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FC465" w14:textId="77777777" w:rsidR="00561BDC" w:rsidRPr="00CB7AF4" w:rsidRDefault="00561BDC" w:rsidP="009B4EB2">
      <w:pPr>
        <w:keepNext/>
        <w:spacing w:before="240" w:after="60" w:line="360" w:lineRule="auto"/>
        <w:outlineLvl w:val="3"/>
        <w:rPr>
          <w:rFonts w:asciiTheme="majorBidi" w:eastAsia="Times New Roman" w:hAnsiTheme="majorBidi" w:cstheme="majorBidi"/>
          <w:b/>
          <w:bCs/>
        </w:rPr>
      </w:pPr>
      <w:r w:rsidRPr="00CB7AF4">
        <w:rPr>
          <w:rFonts w:asciiTheme="majorBidi" w:eastAsia="Times New Roman" w:hAnsiTheme="majorBidi" w:cstheme="majorBidi"/>
          <w:b/>
          <w:bCs/>
          <w:noProof/>
        </w:rPr>
        <w:drawing>
          <wp:inline distT="0" distB="0" distL="0" distR="0" wp14:anchorId="77753641" wp14:editId="66AF4662">
            <wp:extent cx="2223135" cy="7029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4293" cy="712797"/>
                    </a:xfrm>
                    <a:prstGeom prst="rect">
                      <a:avLst/>
                    </a:prstGeom>
                    <a:noFill/>
                    <a:ln>
                      <a:noFill/>
                    </a:ln>
                  </pic:spPr>
                </pic:pic>
              </a:graphicData>
            </a:graphic>
          </wp:inline>
        </w:drawing>
      </w:r>
      <w:r w:rsidR="009B4EB2">
        <w:rPr>
          <w:rFonts w:asciiTheme="majorBidi" w:eastAsia="Times New Roman" w:hAnsiTheme="majorBidi" w:cstheme="majorBidi"/>
          <w:b/>
          <w:bCs/>
        </w:rPr>
        <w:t xml:space="preserve">              </w:t>
      </w:r>
      <w:r w:rsidR="004161A9">
        <w:rPr>
          <w:rFonts w:asciiTheme="majorBidi" w:eastAsia="Times New Roman" w:hAnsiTheme="majorBidi" w:cstheme="majorBidi"/>
          <w:b/>
          <w:bCs/>
        </w:rPr>
        <w:t xml:space="preserve">  </w:t>
      </w:r>
      <w:r w:rsidR="009B4EB2">
        <w:rPr>
          <w:rFonts w:asciiTheme="majorBidi" w:eastAsia="Times New Roman" w:hAnsiTheme="majorBidi" w:cstheme="majorBidi"/>
          <w:b/>
          <w:bCs/>
        </w:rPr>
        <w:t xml:space="preserve">                                                       </w:t>
      </w:r>
      <w:r w:rsidR="009B4EB2" w:rsidRPr="009B4EB2">
        <w:rPr>
          <w:rFonts w:asciiTheme="majorBidi" w:eastAsia="Times New Roman" w:hAnsiTheme="majorBidi" w:cstheme="majorBidi"/>
          <w:b/>
          <w:bCs/>
          <w:noProof/>
        </w:rPr>
        <w:drawing>
          <wp:inline distT="0" distB="0" distL="0" distR="0" wp14:anchorId="6D2C17A8" wp14:editId="4F94841D">
            <wp:extent cx="1003300" cy="7391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3300" cy="739140"/>
                    </a:xfrm>
                    <a:prstGeom prst="rect">
                      <a:avLst/>
                    </a:prstGeom>
                  </pic:spPr>
                </pic:pic>
              </a:graphicData>
            </a:graphic>
          </wp:inline>
        </w:drawing>
      </w:r>
    </w:p>
    <w:p w14:paraId="059E05E6" w14:textId="77777777" w:rsidR="002E6E1E" w:rsidRDefault="002E6E1E" w:rsidP="005A2046">
      <w:pPr>
        <w:spacing w:line="360" w:lineRule="auto"/>
        <w:jc w:val="center"/>
        <w:rPr>
          <w:rFonts w:asciiTheme="majorBidi" w:eastAsia="Calibri" w:hAnsiTheme="majorBidi" w:cstheme="majorBidi"/>
          <w:b/>
          <w:sz w:val="20"/>
          <w:szCs w:val="20"/>
        </w:rPr>
      </w:pPr>
    </w:p>
    <w:p w14:paraId="1A550CAB" w14:textId="77777777" w:rsidR="00561BDC" w:rsidRPr="005A2046" w:rsidRDefault="00561BDC" w:rsidP="005A2046">
      <w:pPr>
        <w:spacing w:line="360" w:lineRule="auto"/>
        <w:jc w:val="center"/>
        <w:rPr>
          <w:rFonts w:asciiTheme="majorBidi" w:eastAsia="Times New Roman" w:hAnsiTheme="majorBidi" w:cstheme="majorBidi"/>
          <w:b/>
          <w:color w:val="000000"/>
          <w:sz w:val="20"/>
          <w:szCs w:val="20"/>
        </w:rPr>
      </w:pPr>
      <w:r w:rsidRPr="005A2046">
        <w:rPr>
          <w:rFonts w:asciiTheme="majorBidi" w:eastAsia="Calibri" w:hAnsiTheme="majorBidi" w:cstheme="majorBidi"/>
          <w:b/>
          <w:sz w:val="20"/>
          <w:szCs w:val="20"/>
        </w:rPr>
        <w:t>École doctorale</w:t>
      </w:r>
      <w:r w:rsidR="005A2046" w:rsidRPr="005A2046">
        <w:rPr>
          <w:rFonts w:asciiTheme="majorBidi" w:eastAsia="Times New Roman" w:hAnsiTheme="majorBidi" w:cstheme="majorBidi"/>
          <w:b/>
          <w:color w:val="000000"/>
          <w:sz w:val="20"/>
          <w:szCs w:val="20"/>
        </w:rPr>
        <w:t xml:space="preserve"> 355 :</w:t>
      </w:r>
      <w:r w:rsidR="006C6B72" w:rsidRPr="005A2046">
        <w:rPr>
          <w:rFonts w:asciiTheme="majorBidi" w:eastAsia="Times New Roman" w:hAnsiTheme="majorBidi" w:cstheme="majorBidi"/>
          <w:b/>
          <w:color w:val="000000"/>
          <w:sz w:val="20"/>
          <w:szCs w:val="20"/>
        </w:rPr>
        <w:t xml:space="preserve"> Espaces</w:t>
      </w:r>
      <w:r w:rsidR="00D70105" w:rsidRPr="005A2046">
        <w:rPr>
          <w:rFonts w:asciiTheme="majorBidi" w:eastAsia="Times New Roman" w:hAnsiTheme="majorBidi" w:cstheme="majorBidi"/>
          <w:b/>
          <w:color w:val="000000"/>
          <w:sz w:val="20"/>
          <w:szCs w:val="20"/>
        </w:rPr>
        <w:t>,</w:t>
      </w:r>
      <w:r w:rsidR="006C6B72" w:rsidRPr="005A2046">
        <w:rPr>
          <w:rFonts w:asciiTheme="majorBidi" w:eastAsia="Times New Roman" w:hAnsiTheme="majorBidi" w:cstheme="majorBidi"/>
          <w:b/>
          <w:color w:val="000000"/>
          <w:sz w:val="20"/>
          <w:szCs w:val="20"/>
        </w:rPr>
        <w:t xml:space="preserve"> Cultures</w:t>
      </w:r>
      <w:r w:rsidR="00D70105" w:rsidRPr="005A2046">
        <w:rPr>
          <w:rFonts w:asciiTheme="majorBidi" w:eastAsia="Times New Roman" w:hAnsiTheme="majorBidi" w:cstheme="majorBidi"/>
          <w:b/>
          <w:color w:val="000000"/>
          <w:sz w:val="20"/>
          <w:szCs w:val="20"/>
        </w:rPr>
        <w:t>,</w:t>
      </w:r>
      <w:r w:rsidR="006C6B72" w:rsidRPr="005A2046">
        <w:rPr>
          <w:rFonts w:asciiTheme="majorBidi" w:eastAsia="Times New Roman" w:hAnsiTheme="majorBidi" w:cstheme="majorBidi"/>
          <w:b/>
          <w:color w:val="000000"/>
          <w:sz w:val="20"/>
          <w:szCs w:val="20"/>
        </w:rPr>
        <w:t xml:space="preserve"> Sociétés</w:t>
      </w:r>
    </w:p>
    <w:p w14:paraId="4BD3B3DE" w14:textId="77777777" w:rsidR="00401A90" w:rsidRPr="005A2046" w:rsidRDefault="00561BDC" w:rsidP="005A2046">
      <w:pPr>
        <w:spacing w:line="360" w:lineRule="auto"/>
        <w:jc w:val="center"/>
        <w:rPr>
          <w:rFonts w:asciiTheme="majorBidi" w:eastAsia="Calibri" w:hAnsiTheme="majorBidi" w:cstheme="majorBidi"/>
          <w:b/>
          <w:sz w:val="20"/>
          <w:szCs w:val="20"/>
        </w:rPr>
      </w:pPr>
      <w:r w:rsidRPr="005A2046">
        <w:rPr>
          <w:rFonts w:asciiTheme="majorBidi" w:eastAsia="Calibri" w:hAnsiTheme="majorBidi" w:cstheme="majorBidi"/>
          <w:b/>
          <w:sz w:val="20"/>
          <w:szCs w:val="20"/>
        </w:rPr>
        <w:t>Institut de Recherches et d’Études sur le Monde Arabe et Musulman</w:t>
      </w:r>
      <w:r w:rsidR="00401A90" w:rsidRPr="005A2046">
        <w:rPr>
          <w:rFonts w:asciiTheme="majorBidi" w:eastAsia="Calibri" w:hAnsiTheme="majorBidi" w:cstheme="majorBidi"/>
          <w:b/>
          <w:sz w:val="20"/>
          <w:szCs w:val="20"/>
        </w:rPr>
        <w:t xml:space="preserve"> (IREMAM)</w:t>
      </w:r>
      <w:r w:rsidR="005A2046" w:rsidRPr="005A2046">
        <w:rPr>
          <w:rFonts w:asciiTheme="majorBidi" w:eastAsia="Calibri" w:hAnsiTheme="majorBidi" w:cstheme="majorBidi"/>
          <w:b/>
          <w:sz w:val="20"/>
          <w:szCs w:val="20"/>
        </w:rPr>
        <w:t xml:space="preserve"> – UMR 7310</w:t>
      </w:r>
    </w:p>
    <w:p w14:paraId="13A82AE3" w14:textId="77777777" w:rsidR="00401A90" w:rsidRPr="00FE2BD7" w:rsidRDefault="00401A90" w:rsidP="005A2046">
      <w:pPr>
        <w:spacing w:line="360" w:lineRule="auto"/>
        <w:rPr>
          <w:rFonts w:asciiTheme="majorBidi" w:eastAsia="Calibri" w:hAnsiTheme="majorBidi" w:cstheme="majorBidi"/>
          <w:sz w:val="20"/>
          <w:szCs w:val="20"/>
        </w:rPr>
      </w:pPr>
    </w:p>
    <w:p w14:paraId="3581F4C6" w14:textId="77777777" w:rsidR="002E6E1E" w:rsidRDefault="002E6E1E" w:rsidP="005A2046">
      <w:pPr>
        <w:spacing w:line="360" w:lineRule="auto"/>
        <w:jc w:val="center"/>
        <w:rPr>
          <w:rFonts w:asciiTheme="majorBidi" w:eastAsia="Calibri" w:hAnsiTheme="majorBidi" w:cstheme="majorBidi"/>
          <w:b/>
          <w:bCs/>
        </w:rPr>
      </w:pPr>
    </w:p>
    <w:p w14:paraId="55980D25" w14:textId="77777777" w:rsidR="00561BDC" w:rsidRDefault="00401A90" w:rsidP="005A2046">
      <w:pPr>
        <w:spacing w:line="360" w:lineRule="auto"/>
        <w:jc w:val="center"/>
        <w:rPr>
          <w:rFonts w:asciiTheme="majorBidi" w:eastAsia="Calibri" w:hAnsiTheme="majorBidi" w:cstheme="majorBidi"/>
          <w:b/>
          <w:bCs/>
        </w:rPr>
      </w:pPr>
      <w:r w:rsidRPr="00CB7AF4">
        <w:rPr>
          <w:rFonts w:asciiTheme="majorBidi" w:eastAsia="Calibri" w:hAnsiTheme="majorBidi" w:cstheme="majorBidi"/>
          <w:b/>
          <w:bCs/>
        </w:rPr>
        <w:t>THÈSE DE DOCTORAT</w:t>
      </w:r>
    </w:p>
    <w:p w14:paraId="453D2DA4" w14:textId="77777777" w:rsidR="0095410A" w:rsidRDefault="0095410A" w:rsidP="005A2046">
      <w:pPr>
        <w:spacing w:line="360" w:lineRule="auto"/>
        <w:jc w:val="center"/>
        <w:rPr>
          <w:rFonts w:asciiTheme="majorBidi" w:eastAsia="Calibri" w:hAnsiTheme="majorBidi" w:cstheme="majorBidi"/>
        </w:rPr>
      </w:pPr>
      <w:r>
        <w:rPr>
          <w:rFonts w:asciiTheme="majorBidi" w:eastAsia="Calibri" w:hAnsiTheme="majorBidi" w:cstheme="majorBidi"/>
          <w:b/>
          <w:bCs/>
        </w:rPr>
        <w:t>Sp</w:t>
      </w:r>
      <w:r w:rsidRPr="00DF7ED7">
        <w:rPr>
          <w:rFonts w:asciiTheme="majorBidi" w:eastAsia="Calibri" w:hAnsiTheme="majorBidi" w:cstheme="majorBidi"/>
          <w:b/>
          <w:bCs/>
        </w:rPr>
        <w:t>écialité : Monde</w:t>
      </w:r>
      <w:r w:rsidR="005A2046">
        <w:rPr>
          <w:rFonts w:asciiTheme="majorBidi" w:eastAsia="Calibri" w:hAnsiTheme="majorBidi" w:cstheme="majorBidi"/>
          <w:b/>
          <w:bCs/>
        </w:rPr>
        <w:t>s</w:t>
      </w:r>
      <w:r w:rsidRPr="00DF7ED7">
        <w:rPr>
          <w:rFonts w:asciiTheme="majorBidi" w:eastAsia="Calibri" w:hAnsiTheme="majorBidi" w:cstheme="majorBidi"/>
          <w:b/>
          <w:bCs/>
        </w:rPr>
        <w:t xml:space="preserve"> arabe, musulman et sémitique</w:t>
      </w:r>
    </w:p>
    <w:p w14:paraId="570CC751" w14:textId="77777777" w:rsidR="005A2046" w:rsidRDefault="005A2046" w:rsidP="005A2046">
      <w:pPr>
        <w:spacing w:line="360" w:lineRule="auto"/>
        <w:jc w:val="center"/>
        <w:rPr>
          <w:rFonts w:asciiTheme="majorBidi" w:eastAsia="Calibri" w:hAnsiTheme="majorBidi" w:cstheme="majorBidi"/>
        </w:rPr>
      </w:pPr>
    </w:p>
    <w:p w14:paraId="204746FE" w14:textId="77777777" w:rsidR="00401A90" w:rsidRPr="00401A90" w:rsidRDefault="005A2046" w:rsidP="005A2046">
      <w:pPr>
        <w:spacing w:line="360" w:lineRule="auto"/>
        <w:jc w:val="center"/>
        <w:rPr>
          <w:rFonts w:asciiTheme="majorBidi" w:eastAsia="Calibri" w:hAnsiTheme="majorBidi" w:cstheme="majorBidi"/>
        </w:rPr>
      </w:pPr>
      <w:r>
        <w:rPr>
          <w:rFonts w:asciiTheme="majorBidi" w:eastAsia="Calibri" w:hAnsiTheme="majorBidi" w:cstheme="majorBidi"/>
        </w:rPr>
        <w:t>présentée par</w:t>
      </w:r>
    </w:p>
    <w:p w14:paraId="697B4C92" w14:textId="77777777" w:rsidR="00561BDC" w:rsidRPr="005A2046" w:rsidRDefault="00561BDC" w:rsidP="005A2046">
      <w:pPr>
        <w:spacing w:line="360" w:lineRule="auto"/>
        <w:jc w:val="center"/>
        <w:rPr>
          <w:rFonts w:asciiTheme="majorBidi" w:eastAsia="Calibri" w:hAnsiTheme="majorBidi" w:cstheme="majorBidi"/>
          <w:b/>
          <w:bCs/>
          <w:smallCaps/>
          <w:sz w:val="28"/>
        </w:rPr>
      </w:pPr>
      <w:r w:rsidRPr="005A2046">
        <w:rPr>
          <w:rFonts w:asciiTheme="majorBidi" w:eastAsia="Calibri" w:hAnsiTheme="majorBidi" w:cstheme="majorBidi"/>
          <w:b/>
          <w:bCs/>
          <w:sz w:val="28"/>
        </w:rPr>
        <w:t xml:space="preserve">Mohamed Ali </w:t>
      </w:r>
      <w:r w:rsidR="000212AB" w:rsidRPr="005A2046">
        <w:rPr>
          <w:rFonts w:asciiTheme="majorBidi" w:eastAsia="Calibri" w:hAnsiTheme="majorBidi" w:cstheme="majorBidi"/>
          <w:b/>
          <w:bCs/>
          <w:sz w:val="28"/>
        </w:rPr>
        <w:t>ABDEL JALIL</w:t>
      </w:r>
    </w:p>
    <w:p w14:paraId="3A357620" w14:textId="77777777" w:rsidR="00561BDC" w:rsidRPr="00401A90" w:rsidRDefault="00561BDC" w:rsidP="005A2046">
      <w:pPr>
        <w:spacing w:line="360" w:lineRule="auto"/>
        <w:jc w:val="center"/>
        <w:rPr>
          <w:rFonts w:asciiTheme="majorBidi" w:eastAsia="Calibri" w:hAnsiTheme="majorBidi" w:cstheme="majorBidi"/>
          <w:b/>
          <w:bCs/>
        </w:rPr>
      </w:pPr>
    </w:p>
    <w:p w14:paraId="3001717C" w14:textId="77777777" w:rsidR="00C41E93" w:rsidRPr="002E6E1E" w:rsidRDefault="00597920" w:rsidP="005A2046">
      <w:pPr>
        <w:spacing w:line="360" w:lineRule="auto"/>
        <w:jc w:val="center"/>
        <w:rPr>
          <w:rFonts w:asciiTheme="majorBidi" w:eastAsia="Calibri" w:hAnsiTheme="majorBidi" w:cstheme="majorBidi"/>
          <w:b/>
          <w:bCs/>
          <w:sz w:val="36"/>
          <w:szCs w:val="32"/>
        </w:rPr>
      </w:pPr>
      <w:r w:rsidRPr="002E6E1E">
        <w:rPr>
          <w:rFonts w:asciiTheme="majorBidi" w:eastAsia="Calibri" w:hAnsiTheme="majorBidi" w:cstheme="majorBidi"/>
          <w:b/>
          <w:bCs/>
          <w:sz w:val="36"/>
          <w:szCs w:val="32"/>
        </w:rPr>
        <w:t>Approche polysémiq</w:t>
      </w:r>
      <w:r w:rsidR="00C41E93" w:rsidRPr="002E6E1E">
        <w:rPr>
          <w:rFonts w:asciiTheme="majorBidi" w:eastAsia="Calibri" w:hAnsiTheme="majorBidi" w:cstheme="majorBidi"/>
          <w:b/>
          <w:bCs/>
          <w:sz w:val="36"/>
          <w:szCs w:val="32"/>
        </w:rPr>
        <w:t>ue et traductologique du Coran.</w:t>
      </w:r>
    </w:p>
    <w:p w14:paraId="426B5CF1" w14:textId="77777777" w:rsidR="00597920" w:rsidRPr="002E6E1E" w:rsidRDefault="00597920" w:rsidP="005A2046">
      <w:pPr>
        <w:spacing w:line="360" w:lineRule="auto"/>
        <w:jc w:val="center"/>
        <w:rPr>
          <w:rFonts w:asciiTheme="majorBidi" w:eastAsia="Calibri" w:hAnsiTheme="majorBidi" w:cstheme="majorBidi"/>
          <w:b/>
          <w:bCs/>
          <w:sz w:val="36"/>
          <w:szCs w:val="32"/>
        </w:rPr>
      </w:pPr>
      <w:r w:rsidRPr="002E6E1E">
        <w:rPr>
          <w:rFonts w:asciiTheme="majorBidi" w:eastAsia="Calibri" w:hAnsiTheme="majorBidi" w:cstheme="majorBidi"/>
          <w:b/>
          <w:bCs/>
          <w:sz w:val="36"/>
          <w:szCs w:val="32"/>
        </w:rPr>
        <w:t>La sourate XXII (Al-Ḥajj [le pèlerinage]) comme modèle</w:t>
      </w:r>
    </w:p>
    <w:p w14:paraId="2BD95A8D" w14:textId="77777777" w:rsidR="0095410A" w:rsidRPr="009C2EEB" w:rsidRDefault="0095410A" w:rsidP="00CB7AF4">
      <w:pPr>
        <w:spacing w:line="360" w:lineRule="auto"/>
        <w:rPr>
          <w:rFonts w:asciiTheme="majorBidi" w:eastAsia="Calibri" w:hAnsiTheme="majorBidi" w:cstheme="majorBidi"/>
          <w:b/>
          <w:bCs/>
          <w:sz w:val="20"/>
          <w:szCs w:val="20"/>
        </w:rPr>
      </w:pPr>
    </w:p>
    <w:p w14:paraId="4C739443" w14:textId="77777777" w:rsidR="002E6E1E" w:rsidRPr="002E6E1E" w:rsidRDefault="008A7B15" w:rsidP="008A7B15">
      <w:pPr>
        <w:spacing w:line="360" w:lineRule="auto"/>
        <w:jc w:val="center"/>
        <w:rPr>
          <w:rFonts w:asciiTheme="majorBidi" w:eastAsia="Calibri" w:hAnsiTheme="majorBidi" w:cstheme="majorBidi"/>
          <w:szCs w:val="20"/>
        </w:rPr>
      </w:pPr>
      <w:r w:rsidRPr="002E6E1E">
        <w:rPr>
          <w:rFonts w:asciiTheme="majorBidi" w:eastAsia="Calibri" w:hAnsiTheme="majorBidi" w:cstheme="majorBidi"/>
          <w:szCs w:val="20"/>
        </w:rPr>
        <w:t>s</w:t>
      </w:r>
      <w:r w:rsidR="005A2046" w:rsidRPr="002E6E1E">
        <w:rPr>
          <w:rFonts w:asciiTheme="majorBidi" w:eastAsia="Calibri" w:hAnsiTheme="majorBidi" w:cstheme="majorBidi"/>
          <w:szCs w:val="20"/>
        </w:rPr>
        <w:t xml:space="preserve">ous la direction de </w:t>
      </w:r>
    </w:p>
    <w:p w14:paraId="090B9B4B" w14:textId="77777777" w:rsidR="008D07AC" w:rsidRPr="002E6E1E" w:rsidRDefault="005A2046" w:rsidP="008A7B15">
      <w:pPr>
        <w:spacing w:line="360" w:lineRule="auto"/>
        <w:jc w:val="center"/>
        <w:rPr>
          <w:rFonts w:asciiTheme="majorBidi" w:eastAsia="Calibri" w:hAnsiTheme="majorBidi" w:cstheme="majorBidi"/>
          <w:b/>
          <w:szCs w:val="20"/>
        </w:rPr>
      </w:pPr>
      <w:r w:rsidRPr="002E6E1E">
        <w:rPr>
          <w:rFonts w:asciiTheme="majorBidi" w:eastAsia="Calibri" w:hAnsiTheme="majorBidi" w:cstheme="majorBidi"/>
          <w:b/>
          <w:szCs w:val="20"/>
        </w:rPr>
        <w:t>M. Richard JACQUEMOND</w:t>
      </w:r>
    </w:p>
    <w:p w14:paraId="1D5154A1" w14:textId="77777777" w:rsidR="005A2046" w:rsidRDefault="005A2046" w:rsidP="00401A90">
      <w:pPr>
        <w:spacing w:line="360" w:lineRule="auto"/>
        <w:rPr>
          <w:rFonts w:asciiTheme="majorBidi" w:eastAsia="Calibri" w:hAnsiTheme="majorBidi" w:cstheme="majorBidi"/>
          <w:sz w:val="20"/>
          <w:szCs w:val="20"/>
        </w:rPr>
      </w:pPr>
    </w:p>
    <w:p w14:paraId="542869CC" w14:textId="77777777" w:rsidR="002E6E1E" w:rsidRDefault="002E6E1E" w:rsidP="00401A90">
      <w:pPr>
        <w:spacing w:line="360" w:lineRule="auto"/>
        <w:rPr>
          <w:rFonts w:asciiTheme="majorBidi" w:eastAsia="Calibri" w:hAnsiTheme="majorBidi" w:cstheme="majorBidi"/>
          <w:sz w:val="20"/>
          <w:szCs w:val="20"/>
        </w:rPr>
      </w:pPr>
    </w:p>
    <w:p w14:paraId="2D6F91A0" w14:textId="77777777" w:rsidR="008A7B15" w:rsidRDefault="008A7B15" w:rsidP="00401A90">
      <w:pPr>
        <w:spacing w:line="360" w:lineRule="auto"/>
        <w:rPr>
          <w:rFonts w:asciiTheme="majorBidi" w:eastAsia="Calibri" w:hAnsiTheme="majorBidi" w:cstheme="majorBidi"/>
          <w:sz w:val="20"/>
          <w:szCs w:val="20"/>
        </w:rPr>
      </w:pPr>
    </w:p>
    <w:p w14:paraId="2C326AC9" w14:textId="77777777" w:rsidR="008A7B15" w:rsidRDefault="008A7B15" w:rsidP="00401A90">
      <w:pPr>
        <w:spacing w:line="360" w:lineRule="auto"/>
        <w:rPr>
          <w:rFonts w:asciiTheme="majorBidi" w:eastAsia="Calibri" w:hAnsiTheme="majorBidi" w:cstheme="majorBidi"/>
          <w:sz w:val="20"/>
          <w:szCs w:val="20"/>
        </w:rPr>
      </w:pPr>
    </w:p>
    <w:p w14:paraId="25377BAF" w14:textId="77777777" w:rsidR="005A2046" w:rsidRDefault="008A7B15" w:rsidP="00401A90">
      <w:pPr>
        <w:spacing w:line="360" w:lineRule="auto"/>
        <w:rPr>
          <w:rFonts w:asciiTheme="majorBidi" w:eastAsia="Calibri" w:hAnsiTheme="majorBidi" w:cstheme="majorBidi"/>
          <w:sz w:val="20"/>
          <w:szCs w:val="20"/>
        </w:rPr>
      </w:pPr>
      <w:r>
        <w:rPr>
          <w:rFonts w:asciiTheme="majorBidi" w:eastAsia="Calibri" w:hAnsiTheme="majorBidi" w:cstheme="majorBidi"/>
          <w:sz w:val="20"/>
          <w:szCs w:val="20"/>
        </w:rPr>
        <w:t>J</w:t>
      </w:r>
      <w:r w:rsidR="000212AB" w:rsidRPr="009C2EEB">
        <w:rPr>
          <w:rFonts w:asciiTheme="majorBidi" w:eastAsia="Calibri" w:hAnsiTheme="majorBidi" w:cstheme="majorBidi"/>
          <w:sz w:val="20"/>
          <w:szCs w:val="20"/>
        </w:rPr>
        <w:t>ury :</w:t>
      </w:r>
    </w:p>
    <w:p w14:paraId="5C90BA2B" w14:textId="77777777" w:rsidR="005A2046" w:rsidRDefault="005A2046" w:rsidP="00401A90">
      <w:pPr>
        <w:spacing w:line="360" w:lineRule="auto"/>
        <w:rPr>
          <w:rFonts w:asciiTheme="majorBidi" w:eastAsia="Calibri" w:hAnsiTheme="majorBidi" w:cstheme="majorBidi"/>
          <w:sz w:val="20"/>
          <w:szCs w:val="20"/>
        </w:rPr>
      </w:pPr>
      <w:r>
        <w:rPr>
          <w:rFonts w:asciiTheme="majorBidi" w:eastAsia="Calibri" w:hAnsiTheme="majorBidi" w:cstheme="majorBidi"/>
          <w:sz w:val="20"/>
          <w:szCs w:val="20"/>
        </w:rPr>
        <w:t>M. Eric CHAUMONT, Chargé de recherches HDR, IREMAM-CNRS et Université d’Aix-Marseille</w:t>
      </w:r>
    </w:p>
    <w:p w14:paraId="3742FC68" w14:textId="77777777" w:rsidR="005A2046" w:rsidRDefault="005A2046" w:rsidP="00401A90">
      <w:pPr>
        <w:spacing w:line="360" w:lineRule="auto"/>
        <w:rPr>
          <w:rFonts w:asciiTheme="majorBidi" w:eastAsia="Calibri" w:hAnsiTheme="majorBidi" w:cstheme="majorBidi"/>
          <w:sz w:val="20"/>
          <w:szCs w:val="20"/>
        </w:rPr>
      </w:pPr>
      <w:r>
        <w:rPr>
          <w:rFonts w:asciiTheme="majorBidi" w:eastAsia="Calibri" w:hAnsiTheme="majorBidi" w:cstheme="majorBidi"/>
          <w:sz w:val="20"/>
          <w:szCs w:val="20"/>
        </w:rPr>
        <w:t>Mme Lynne FRANJIÉ, Professeure, Université de Lille 3</w:t>
      </w:r>
    </w:p>
    <w:p w14:paraId="1FD9F421" w14:textId="77777777" w:rsidR="008A7B15" w:rsidRDefault="005A2046" w:rsidP="00401A90">
      <w:pPr>
        <w:spacing w:line="360" w:lineRule="auto"/>
        <w:rPr>
          <w:rFonts w:asciiTheme="majorBidi" w:eastAsia="Calibri" w:hAnsiTheme="majorBidi" w:cstheme="majorBidi"/>
          <w:sz w:val="20"/>
          <w:szCs w:val="20"/>
        </w:rPr>
      </w:pPr>
      <w:r>
        <w:rPr>
          <w:rFonts w:asciiTheme="majorBidi" w:eastAsia="Calibri" w:hAnsiTheme="majorBidi" w:cstheme="majorBidi"/>
          <w:sz w:val="20"/>
          <w:szCs w:val="20"/>
        </w:rPr>
        <w:t xml:space="preserve">M. </w:t>
      </w:r>
      <w:r w:rsidRPr="009C2EEB">
        <w:rPr>
          <w:rFonts w:asciiTheme="majorBidi" w:eastAsia="Calibri" w:hAnsiTheme="majorBidi" w:cstheme="majorBidi"/>
          <w:sz w:val="20"/>
          <w:szCs w:val="20"/>
        </w:rPr>
        <w:t>Richard</w:t>
      </w:r>
      <w:r>
        <w:rPr>
          <w:rFonts w:asciiTheme="majorBidi" w:eastAsia="Calibri" w:hAnsiTheme="majorBidi" w:cstheme="majorBidi"/>
          <w:sz w:val="20"/>
          <w:szCs w:val="20"/>
        </w:rPr>
        <w:t xml:space="preserve"> </w:t>
      </w:r>
      <w:r w:rsidRPr="009C2EEB">
        <w:rPr>
          <w:rFonts w:asciiTheme="majorBidi" w:eastAsia="Calibri" w:hAnsiTheme="majorBidi" w:cstheme="majorBidi"/>
          <w:sz w:val="20"/>
          <w:szCs w:val="20"/>
        </w:rPr>
        <w:t>JACQUEMOND</w:t>
      </w:r>
      <w:r>
        <w:rPr>
          <w:rFonts w:asciiTheme="majorBidi" w:eastAsia="Calibri" w:hAnsiTheme="majorBidi" w:cstheme="majorBidi"/>
          <w:sz w:val="20"/>
          <w:szCs w:val="20"/>
        </w:rPr>
        <w:t>, Professeur, Université d’Aix-Marseille</w:t>
      </w:r>
    </w:p>
    <w:p w14:paraId="0777615F" w14:textId="77777777" w:rsidR="005A2046" w:rsidRDefault="008A7B15" w:rsidP="00401A90">
      <w:pPr>
        <w:spacing w:line="360" w:lineRule="auto"/>
        <w:rPr>
          <w:rFonts w:asciiTheme="majorBidi" w:eastAsia="Calibri" w:hAnsiTheme="majorBidi" w:cstheme="majorBidi"/>
          <w:sz w:val="20"/>
          <w:szCs w:val="20"/>
        </w:rPr>
      </w:pPr>
      <w:r>
        <w:rPr>
          <w:rFonts w:asciiTheme="majorBidi" w:eastAsia="Calibri" w:hAnsiTheme="majorBidi" w:cstheme="majorBidi"/>
          <w:sz w:val="20"/>
          <w:szCs w:val="20"/>
        </w:rPr>
        <w:t>M. Pierre LORY, Directeur d’études, Éc</w:t>
      </w:r>
      <w:r w:rsidR="00D609DC">
        <w:rPr>
          <w:rFonts w:asciiTheme="majorBidi" w:eastAsia="Calibri" w:hAnsiTheme="majorBidi" w:cstheme="majorBidi"/>
          <w:sz w:val="20"/>
          <w:szCs w:val="20"/>
        </w:rPr>
        <w:t>ole Pratique des Hautes Études</w:t>
      </w:r>
    </w:p>
    <w:p w14:paraId="09DF22A7" w14:textId="77777777" w:rsidR="000212AB" w:rsidRPr="009C2EEB" w:rsidRDefault="000212AB" w:rsidP="00401A90">
      <w:pPr>
        <w:spacing w:line="360" w:lineRule="auto"/>
        <w:rPr>
          <w:rFonts w:asciiTheme="majorBidi" w:eastAsia="Calibri" w:hAnsiTheme="majorBidi" w:cstheme="majorBid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tblGrid>
      <w:tr w:rsidR="005A2046" w:rsidRPr="009C2EEB" w14:paraId="6A13939B" w14:textId="77777777">
        <w:tc>
          <w:tcPr>
            <w:tcW w:w="1143" w:type="dxa"/>
          </w:tcPr>
          <w:p w14:paraId="5041096E" w14:textId="77777777" w:rsidR="005A2046" w:rsidRPr="009C2EEB" w:rsidRDefault="005A2046" w:rsidP="00401A90">
            <w:pPr>
              <w:spacing w:line="360" w:lineRule="auto"/>
              <w:rPr>
                <w:rFonts w:asciiTheme="majorBidi" w:eastAsia="Calibri" w:hAnsiTheme="majorBidi" w:cstheme="majorBidi"/>
                <w:sz w:val="20"/>
                <w:szCs w:val="20"/>
              </w:rPr>
            </w:pPr>
          </w:p>
        </w:tc>
      </w:tr>
    </w:tbl>
    <w:p w14:paraId="19B89A30" w14:textId="07C9A540" w:rsidR="007A28F2" w:rsidRPr="00C769A1" w:rsidRDefault="0061206F" w:rsidP="00C769A1">
      <w:pPr>
        <w:contextualSpacing/>
        <w:jc w:val="both"/>
        <w:rPr>
          <w:rFonts w:asciiTheme="majorBidi" w:eastAsia="Calibri" w:hAnsiTheme="majorBidi" w:cstheme="majorBidi"/>
          <w:sz w:val="18"/>
          <w:szCs w:val="18"/>
        </w:rPr>
      </w:pPr>
      <w:r>
        <w:rPr>
          <w:rFonts w:asciiTheme="majorBidi" w:eastAsia="Calibri" w:hAnsiTheme="majorBidi" w:cstheme="majorBidi"/>
          <w:color w:val="C00000"/>
        </w:rPr>
        <w:br w:type="page"/>
      </w:r>
    </w:p>
    <w:p w14:paraId="653B25F5" w14:textId="77777777" w:rsidR="00561BDC" w:rsidRPr="007E6257" w:rsidRDefault="00561BDC" w:rsidP="00CB7AF4">
      <w:pPr>
        <w:spacing w:line="360" w:lineRule="auto"/>
        <w:jc w:val="center"/>
        <w:rPr>
          <w:rFonts w:asciiTheme="majorBidi" w:eastAsia="Times New Roman" w:hAnsiTheme="majorBidi" w:cstheme="majorBidi"/>
          <w:b/>
          <w:bCs/>
        </w:rPr>
      </w:pPr>
      <w:r w:rsidRPr="007E6257">
        <w:rPr>
          <w:rFonts w:asciiTheme="majorBidi" w:eastAsia="Times New Roman" w:hAnsiTheme="majorBidi" w:cstheme="majorBidi"/>
          <w:b/>
          <w:bCs/>
        </w:rPr>
        <w:lastRenderedPageBreak/>
        <w:t>Remerciements</w:t>
      </w:r>
    </w:p>
    <w:p w14:paraId="292C09F0" w14:textId="77777777" w:rsidR="00561BDC" w:rsidRPr="00CB7AF4" w:rsidRDefault="00561BDC" w:rsidP="00CB7AF4">
      <w:pPr>
        <w:spacing w:line="360" w:lineRule="auto"/>
        <w:ind w:firstLine="708"/>
        <w:jc w:val="both"/>
        <w:rPr>
          <w:rFonts w:asciiTheme="majorBidi" w:eastAsia="Times New Roman" w:hAnsiTheme="majorBidi" w:cstheme="majorBidi"/>
          <w:i/>
          <w:iCs/>
        </w:rPr>
      </w:pPr>
      <w:r w:rsidRPr="00CB7AF4">
        <w:rPr>
          <w:rFonts w:asciiTheme="majorBidi" w:eastAsia="Times New Roman" w:hAnsiTheme="majorBidi" w:cstheme="majorBidi"/>
          <w:i/>
          <w:iCs/>
        </w:rPr>
        <w:t>J’adresse tous mes remerciements les plus vifs et les plus sincères à mon professeur Richard Jacquemond pour m’avoir soutenu afin de mener à bien ce travail.</w:t>
      </w:r>
    </w:p>
    <w:p w14:paraId="1985FF2D" w14:textId="77777777" w:rsidR="00561BDC" w:rsidRDefault="00561BDC" w:rsidP="00CB7AF4">
      <w:pPr>
        <w:spacing w:line="360" w:lineRule="auto"/>
        <w:ind w:firstLine="708"/>
        <w:jc w:val="both"/>
        <w:rPr>
          <w:rFonts w:asciiTheme="majorBidi" w:eastAsia="Times New Roman" w:hAnsiTheme="majorBidi" w:cstheme="majorBidi"/>
          <w:i/>
          <w:iCs/>
        </w:rPr>
      </w:pPr>
      <w:r w:rsidRPr="00CB7AF4">
        <w:rPr>
          <w:rFonts w:asciiTheme="majorBidi" w:eastAsia="Times New Roman" w:hAnsiTheme="majorBidi" w:cstheme="majorBidi"/>
          <w:i/>
          <w:iCs/>
        </w:rPr>
        <w:t xml:space="preserve">En effet, Mr. </w:t>
      </w:r>
      <w:r w:rsidRPr="00415D10">
        <w:rPr>
          <w:rFonts w:asciiTheme="majorBidi" w:eastAsia="Times New Roman" w:hAnsiTheme="majorBidi" w:cstheme="majorBidi"/>
          <w:i/>
          <w:iCs/>
        </w:rPr>
        <w:t xml:space="preserve">Jacquemond </w:t>
      </w:r>
      <w:r w:rsidR="00C806ED" w:rsidRPr="00415D10">
        <w:rPr>
          <w:rFonts w:asciiTheme="majorBidi" w:eastAsia="Times New Roman" w:hAnsiTheme="majorBidi" w:cstheme="majorBidi"/>
          <w:i/>
          <w:iCs/>
        </w:rPr>
        <w:t>n’a pas ménagé son temps pour</w:t>
      </w:r>
      <w:r w:rsidRPr="00415D10">
        <w:rPr>
          <w:rFonts w:asciiTheme="majorBidi" w:eastAsia="Times New Roman" w:hAnsiTheme="majorBidi" w:cstheme="majorBidi"/>
          <w:i/>
          <w:iCs/>
        </w:rPr>
        <w:t xml:space="preserve"> me prodiguer les conseils les plus précieux dès les premiers pas jusqu’à l’accomplissement de mon mémoire. C’est grâce à ses vastes et profondes connaissances littéraires, linguistiques et traductologiques</w:t>
      </w:r>
      <w:r w:rsidRPr="00CB7AF4">
        <w:rPr>
          <w:rFonts w:asciiTheme="majorBidi" w:eastAsia="Times New Roman" w:hAnsiTheme="majorBidi" w:cstheme="majorBidi"/>
          <w:i/>
          <w:iCs/>
        </w:rPr>
        <w:t xml:space="preserve"> et à son patronage très important pour moi que mon travail a pu voir le jour. Qu’il me soit permis de saluer et d’apprécier l’inlassable bienveillance dont il m’a fait profiter, sans cesse et très généreusement. Et qu’il veuille accepter ici ma profonde reconnaissance.</w:t>
      </w:r>
    </w:p>
    <w:p w14:paraId="449B23A9" w14:textId="77777777" w:rsidR="00EA2FFC" w:rsidRDefault="00EA2FFC" w:rsidP="00CB7AF4">
      <w:pPr>
        <w:spacing w:line="360" w:lineRule="auto"/>
        <w:ind w:firstLine="708"/>
        <w:jc w:val="both"/>
        <w:rPr>
          <w:rFonts w:asciiTheme="majorBidi" w:eastAsia="Times New Roman" w:hAnsiTheme="majorBidi" w:cstheme="majorBidi"/>
          <w:i/>
          <w:iCs/>
        </w:rPr>
      </w:pPr>
      <w:r>
        <w:rPr>
          <w:rFonts w:asciiTheme="majorBidi" w:eastAsia="Times New Roman" w:hAnsiTheme="majorBidi" w:cstheme="majorBidi"/>
          <w:i/>
          <w:iCs/>
        </w:rPr>
        <w:t>J’adresse aussi mes remerciements les plus vifs aux membres du comité du suivi Mr. Éric Chaumont (CNRS/IREMAM)</w:t>
      </w:r>
      <w:r w:rsidR="007B4647">
        <w:rPr>
          <w:rFonts w:asciiTheme="majorBidi" w:eastAsia="Times New Roman" w:hAnsiTheme="majorBidi" w:cstheme="majorBidi"/>
          <w:i/>
          <w:iCs/>
        </w:rPr>
        <w:t xml:space="preserve"> et Mr. Alexis Nuselovici (</w:t>
      </w:r>
      <w:r w:rsidR="008904D8">
        <w:rPr>
          <w:rFonts w:asciiTheme="majorBidi" w:eastAsia="Times New Roman" w:hAnsiTheme="majorBidi" w:cstheme="majorBidi"/>
          <w:i/>
          <w:iCs/>
        </w:rPr>
        <w:t>CIELAM/</w:t>
      </w:r>
      <w:r w:rsidR="007B4647">
        <w:rPr>
          <w:rFonts w:asciiTheme="majorBidi" w:eastAsia="Times New Roman" w:hAnsiTheme="majorBidi" w:cstheme="majorBidi"/>
          <w:i/>
          <w:iCs/>
        </w:rPr>
        <w:t>AMU) pour leurs précieux conseils et remarques.</w:t>
      </w:r>
    </w:p>
    <w:p w14:paraId="095B29F3" w14:textId="77777777" w:rsidR="002A1516" w:rsidRDefault="002A1516" w:rsidP="00CB7AF4">
      <w:pPr>
        <w:spacing w:line="360" w:lineRule="auto"/>
        <w:jc w:val="both"/>
        <w:rPr>
          <w:rFonts w:asciiTheme="majorBidi" w:eastAsia="Times New Roman" w:hAnsiTheme="majorBidi" w:cstheme="majorBidi"/>
        </w:rPr>
      </w:pPr>
    </w:p>
    <w:p w14:paraId="0965162A" w14:textId="77777777" w:rsidR="002A1516" w:rsidRDefault="002A1516" w:rsidP="00CB7AF4">
      <w:pPr>
        <w:spacing w:line="360" w:lineRule="auto"/>
        <w:jc w:val="both"/>
        <w:rPr>
          <w:rFonts w:asciiTheme="majorBidi" w:eastAsia="Times New Roman" w:hAnsiTheme="majorBidi" w:cstheme="majorBidi"/>
        </w:rPr>
      </w:pPr>
    </w:p>
    <w:p w14:paraId="169535E4" w14:textId="77777777" w:rsidR="002A1516" w:rsidRDefault="002A1516" w:rsidP="00CB7AF4">
      <w:pPr>
        <w:spacing w:line="360" w:lineRule="auto"/>
        <w:jc w:val="both"/>
        <w:rPr>
          <w:rFonts w:asciiTheme="majorBidi" w:eastAsia="Times New Roman" w:hAnsiTheme="majorBidi" w:cstheme="majorBidi"/>
        </w:rPr>
      </w:pPr>
      <w:r>
        <w:rPr>
          <w:rFonts w:asciiTheme="majorBidi" w:eastAsia="Times New Roman" w:hAnsiTheme="majorBidi" w:cstheme="majorBidi"/>
        </w:rPr>
        <w:br w:type="page"/>
      </w:r>
    </w:p>
    <w:p w14:paraId="00A7EB97" w14:textId="60A5530C" w:rsidR="0016651E" w:rsidRPr="00E54BD4" w:rsidRDefault="002A1516" w:rsidP="00642F5B">
      <w:pPr>
        <w:contextualSpacing/>
        <w:jc w:val="center"/>
        <w:rPr>
          <w:rFonts w:asciiTheme="majorBidi" w:eastAsia="Times New Roman" w:hAnsiTheme="majorBidi" w:cstheme="majorBidi"/>
          <w:b/>
          <w:bCs/>
          <w:sz w:val="20"/>
          <w:szCs w:val="20"/>
        </w:rPr>
      </w:pPr>
      <w:r w:rsidRPr="00E54BD4">
        <w:rPr>
          <w:rFonts w:asciiTheme="majorBidi" w:eastAsia="Times New Roman" w:hAnsiTheme="majorBidi" w:cstheme="majorBidi"/>
          <w:b/>
          <w:bCs/>
          <w:sz w:val="20"/>
          <w:szCs w:val="20"/>
        </w:rPr>
        <w:lastRenderedPageBreak/>
        <w:t>Table des matières</w:t>
      </w:r>
    </w:p>
    <w:tbl>
      <w:tblPr>
        <w:tblStyle w:val="Grilledutableau"/>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0"/>
        <w:gridCol w:w="929"/>
      </w:tblGrid>
      <w:tr w:rsidR="00E457AA" w:rsidRPr="00E54BD4" w14:paraId="7C3A5061" w14:textId="77777777" w:rsidTr="001504D2">
        <w:trPr>
          <w:trHeight w:val="283"/>
        </w:trPr>
        <w:tc>
          <w:tcPr>
            <w:tcW w:w="9030" w:type="dxa"/>
          </w:tcPr>
          <w:p w14:paraId="7817689A" w14:textId="76FE8FDB" w:rsidR="00E457AA" w:rsidRPr="00E54BD4" w:rsidRDefault="00E457AA"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Système de translittération IJMES</w:t>
            </w:r>
          </w:p>
        </w:tc>
        <w:tc>
          <w:tcPr>
            <w:tcW w:w="929" w:type="dxa"/>
          </w:tcPr>
          <w:p w14:paraId="3514DBA0" w14:textId="0EF37104" w:rsidR="00E457AA"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w:t>
            </w:r>
          </w:p>
        </w:tc>
      </w:tr>
      <w:tr w:rsidR="00E457AA" w:rsidRPr="00E54BD4" w14:paraId="544F2FE1" w14:textId="77777777" w:rsidTr="001504D2">
        <w:tc>
          <w:tcPr>
            <w:tcW w:w="9030" w:type="dxa"/>
          </w:tcPr>
          <w:p w14:paraId="642A8F79" w14:textId="63A9A8FA" w:rsidR="00E457AA" w:rsidRPr="00E54BD4" w:rsidRDefault="00E457AA" w:rsidP="00490604">
            <w:pPr>
              <w:contextualSpacing/>
              <w:jc w:val="both"/>
              <w:rPr>
                <w:rFonts w:asciiTheme="majorBidi" w:hAnsiTheme="majorBidi" w:cstheme="majorBidi"/>
                <w:sz w:val="20"/>
                <w:szCs w:val="20"/>
              </w:rPr>
            </w:pPr>
            <w:r w:rsidRPr="00E54BD4">
              <w:rPr>
                <w:rFonts w:asciiTheme="majorBidi" w:eastAsia="Calibri" w:hAnsiTheme="majorBidi" w:cstheme="majorBidi"/>
                <w:sz w:val="20"/>
                <w:szCs w:val="20"/>
                <w:lang w:bidi="ar-AE"/>
              </w:rPr>
              <w:t>Liste des abréviations</w:t>
            </w:r>
          </w:p>
        </w:tc>
        <w:tc>
          <w:tcPr>
            <w:tcW w:w="929" w:type="dxa"/>
          </w:tcPr>
          <w:p w14:paraId="4FCF0712" w14:textId="23C8498A" w:rsidR="00E457AA"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5</w:t>
            </w:r>
          </w:p>
        </w:tc>
      </w:tr>
      <w:tr w:rsidR="00E457AA" w:rsidRPr="00E54BD4" w14:paraId="4D69EACC" w14:textId="77777777" w:rsidTr="001504D2">
        <w:tc>
          <w:tcPr>
            <w:tcW w:w="9030" w:type="dxa"/>
          </w:tcPr>
          <w:p w14:paraId="1129ACC9" w14:textId="77777777" w:rsidR="00743430" w:rsidRPr="00E54BD4" w:rsidRDefault="00E457AA"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Introduction</w:t>
            </w:r>
          </w:p>
          <w:p w14:paraId="69B243C7" w14:textId="3DEBDDFA" w:rsidR="00743430" w:rsidRPr="002860C3" w:rsidRDefault="002860C3" w:rsidP="00490604">
            <w:pPr>
              <w:contextualSpacing/>
              <w:jc w:val="both"/>
              <w:rPr>
                <w:rFonts w:asciiTheme="majorBidi" w:hAnsiTheme="majorBidi" w:cstheme="majorBidi"/>
                <w:sz w:val="20"/>
                <w:szCs w:val="20"/>
              </w:rPr>
            </w:pPr>
            <w:r>
              <w:rPr>
                <w:rFonts w:asciiTheme="majorBidi" w:eastAsia="SimSun" w:hAnsiTheme="majorBidi" w:cstheme="majorBidi"/>
                <w:sz w:val="20"/>
                <w:szCs w:val="20"/>
                <w:lang w:eastAsia="zh-CN"/>
              </w:rPr>
              <w:t>a.</w:t>
            </w:r>
            <w:r w:rsidRPr="002860C3">
              <w:rPr>
                <w:rFonts w:asciiTheme="majorBidi" w:eastAsia="SimSun" w:hAnsiTheme="majorBidi" w:cstheme="majorBidi"/>
                <w:sz w:val="20"/>
                <w:szCs w:val="20"/>
                <w:lang w:eastAsia="zh-CN"/>
              </w:rPr>
              <w:t xml:space="preserve"> Pourquoi</w:t>
            </w:r>
            <w:r w:rsidR="00255910" w:rsidRPr="002860C3">
              <w:rPr>
                <w:rFonts w:asciiTheme="majorBidi" w:eastAsia="SimSun" w:hAnsiTheme="majorBidi" w:cstheme="majorBidi"/>
                <w:sz w:val="20"/>
                <w:szCs w:val="20"/>
                <w:lang w:eastAsia="zh-CN"/>
              </w:rPr>
              <w:t xml:space="preserve"> le Coran est un texte polysémique par excellence ?</w:t>
            </w:r>
          </w:p>
          <w:p w14:paraId="4B390644" w14:textId="714C98EE" w:rsidR="00255910" w:rsidRPr="002860C3" w:rsidRDefault="002860C3" w:rsidP="00490604">
            <w:pPr>
              <w:contextualSpacing/>
              <w:jc w:val="both"/>
              <w:rPr>
                <w:rFonts w:asciiTheme="majorBidi" w:hAnsiTheme="majorBidi" w:cstheme="majorBidi"/>
                <w:sz w:val="20"/>
                <w:szCs w:val="20"/>
              </w:rPr>
            </w:pPr>
            <w:r>
              <w:rPr>
                <w:rFonts w:asciiTheme="majorBidi" w:hAnsiTheme="majorBidi" w:cstheme="majorBidi"/>
                <w:sz w:val="20"/>
                <w:szCs w:val="20"/>
              </w:rPr>
              <w:t>b.</w:t>
            </w:r>
            <w:r w:rsidRPr="002860C3">
              <w:rPr>
                <w:rFonts w:asciiTheme="majorBidi" w:hAnsiTheme="majorBidi" w:cstheme="majorBidi"/>
                <w:sz w:val="20"/>
                <w:szCs w:val="20"/>
              </w:rPr>
              <w:t xml:space="preserve"> Le</w:t>
            </w:r>
            <w:r w:rsidR="00743430" w:rsidRPr="002860C3">
              <w:rPr>
                <w:rFonts w:asciiTheme="majorBidi" w:hAnsiTheme="majorBidi" w:cstheme="majorBidi"/>
                <w:sz w:val="20"/>
                <w:szCs w:val="20"/>
              </w:rPr>
              <w:t xml:space="preserve"> corpus des traductions</w:t>
            </w:r>
          </w:p>
          <w:p w14:paraId="249A099E" w14:textId="6F9707AE" w:rsidR="002E51C7" w:rsidRPr="002860C3" w:rsidRDefault="002860C3" w:rsidP="00490604">
            <w:pPr>
              <w:contextualSpacing/>
              <w:jc w:val="both"/>
              <w:rPr>
                <w:rFonts w:asciiTheme="majorBidi" w:hAnsiTheme="majorBidi" w:cstheme="majorBidi"/>
                <w:sz w:val="20"/>
                <w:szCs w:val="20"/>
              </w:rPr>
            </w:pPr>
            <w:r>
              <w:rPr>
                <w:rFonts w:asciiTheme="majorBidi" w:hAnsiTheme="majorBidi" w:cstheme="majorBidi"/>
                <w:sz w:val="20"/>
                <w:szCs w:val="20"/>
              </w:rPr>
              <w:t xml:space="preserve">c. </w:t>
            </w:r>
            <w:r w:rsidR="002E51C7" w:rsidRPr="002860C3">
              <w:rPr>
                <w:rFonts w:asciiTheme="majorBidi" w:hAnsiTheme="majorBidi" w:cstheme="majorBidi"/>
                <w:sz w:val="20"/>
                <w:szCs w:val="20"/>
              </w:rPr>
              <w:t>La polysémie</w:t>
            </w:r>
          </w:p>
          <w:p w14:paraId="17BC3C68" w14:textId="100E88E9" w:rsidR="00F66DE9" w:rsidRPr="002860C3" w:rsidRDefault="002860C3" w:rsidP="00490604">
            <w:pPr>
              <w:contextualSpacing/>
              <w:jc w:val="both"/>
              <w:rPr>
                <w:rFonts w:asciiTheme="majorBidi" w:hAnsiTheme="majorBidi" w:cstheme="majorBidi"/>
                <w:sz w:val="20"/>
                <w:szCs w:val="20"/>
              </w:rPr>
            </w:pPr>
            <w:r>
              <w:rPr>
                <w:rFonts w:asciiTheme="majorBidi" w:hAnsiTheme="majorBidi" w:cstheme="majorBidi"/>
                <w:sz w:val="20"/>
                <w:szCs w:val="20"/>
              </w:rPr>
              <w:t xml:space="preserve">d. </w:t>
            </w:r>
            <w:r w:rsidR="00F66DE9" w:rsidRPr="002860C3">
              <w:rPr>
                <w:rFonts w:asciiTheme="majorBidi" w:hAnsiTheme="majorBidi" w:cstheme="majorBidi"/>
                <w:sz w:val="20"/>
                <w:szCs w:val="20"/>
              </w:rPr>
              <w:t>Les niveaux de polysémie dans la sourate Al-Ḥajj</w:t>
            </w:r>
          </w:p>
          <w:p w14:paraId="7CECAB9E" w14:textId="18A71F4D" w:rsidR="00F66DE9" w:rsidRPr="002860C3" w:rsidRDefault="002860C3" w:rsidP="00490604">
            <w:pPr>
              <w:contextualSpacing/>
              <w:jc w:val="both"/>
              <w:rPr>
                <w:rFonts w:asciiTheme="majorBidi" w:hAnsiTheme="majorBidi" w:cstheme="majorBidi"/>
                <w:sz w:val="20"/>
                <w:szCs w:val="20"/>
              </w:rPr>
            </w:pPr>
            <w:r>
              <w:rPr>
                <w:rFonts w:asciiTheme="majorBidi" w:hAnsiTheme="majorBidi" w:cstheme="majorBidi"/>
                <w:sz w:val="20"/>
                <w:szCs w:val="20"/>
              </w:rPr>
              <w:t xml:space="preserve">e. </w:t>
            </w:r>
            <w:r w:rsidR="00F66DE9" w:rsidRPr="002860C3">
              <w:rPr>
                <w:rFonts w:asciiTheme="majorBidi" w:hAnsiTheme="majorBidi" w:cstheme="majorBidi"/>
                <w:sz w:val="20"/>
                <w:szCs w:val="20"/>
              </w:rPr>
              <w:t>Le sens indiciel</w:t>
            </w:r>
          </w:p>
        </w:tc>
        <w:tc>
          <w:tcPr>
            <w:tcW w:w="929" w:type="dxa"/>
          </w:tcPr>
          <w:p w14:paraId="26A80092" w14:textId="5B6896F5" w:rsidR="00E457AA"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6</w:t>
            </w:r>
          </w:p>
          <w:p w14:paraId="162A9724" w14:textId="5DDCC762" w:rsidR="004B2AFB"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12</w:t>
            </w:r>
          </w:p>
          <w:p w14:paraId="7AF4F918" w14:textId="0E77E1B5" w:rsidR="004B2AFB"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21</w:t>
            </w:r>
          </w:p>
          <w:p w14:paraId="260841C0" w14:textId="6312DFF8" w:rsidR="004B2AFB"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30</w:t>
            </w:r>
          </w:p>
          <w:p w14:paraId="32331D34" w14:textId="38746D8C" w:rsidR="00F66DE9"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39</w:t>
            </w:r>
          </w:p>
          <w:p w14:paraId="1E80C748" w14:textId="0DF2E77D" w:rsidR="00F66DE9" w:rsidRPr="00E54BD4" w:rsidRDefault="00F66DE9"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w:t>
            </w:r>
            <w:r w:rsidR="001A0BF3" w:rsidRPr="00E54BD4">
              <w:rPr>
                <w:rFonts w:asciiTheme="majorBidi" w:hAnsiTheme="majorBidi" w:cstheme="majorBidi"/>
                <w:sz w:val="20"/>
                <w:szCs w:val="20"/>
              </w:rPr>
              <w:t>2</w:t>
            </w:r>
          </w:p>
        </w:tc>
      </w:tr>
      <w:tr w:rsidR="00E457AA" w:rsidRPr="00E54BD4" w14:paraId="5371934D" w14:textId="77777777" w:rsidTr="001504D2">
        <w:tc>
          <w:tcPr>
            <w:tcW w:w="9030" w:type="dxa"/>
          </w:tcPr>
          <w:p w14:paraId="7361858C" w14:textId="5C2CADEC" w:rsidR="00972171" w:rsidRPr="00E54BD4" w:rsidRDefault="00E457AA" w:rsidP="00490604">
            <w:pPr>
              <w:shd w:val="clear" w:color="auto" w:fill="FFFFFF"/>
              <w:contextualSpacing/>
              <w:jc w:val="both"/>
              <w:rPr>
                <w:rFonts w:asciiTheme="majorBidi" w:hAnsiTheme="majorBidi" w:cstheme="majorBidi"/>
                <w:sz w:val="20"/>
                <w:szCs w:val="20"/>
              </w:rPr>
            </w:pPr>
            <w:r w:rsidRPr="00E54BD4">
              <w:rPr>
                <w:rFonts w:asciiTheme="majorBidi" w:hAnsiTheme="majorBidi" w:cstheme="majorBidi"/>
                <w:sz w:val="20"/>
                <w:szCs w:val="20"/>
              </w:rPr>
              <w:t>Partie I</w:t>
            </w:r>
            <w:r w:rsidR="00972171" w:rsidRPr="00E54BD4">
              <w:rPr>
                <w:rFonts w:asciiTheme="majorBidi" w:hAnsiTheme="majorBidi" w:cstheme="majorBidi"/>
                <w:sz w:val="20"/>
                <w:szCs w:val="20"/>
              </w:rPr>
              <w:t xml:space="preserve"> Polysémie du texte arabe de la sourate al-Ḥajj</w:t>
            </w:r>
          </w:p>
        </w:tc>
        <w:tc>
          <w:tcPr>
            <w:tcW w:w="929" w:type="dxa"/>
          </w:tcPr>
          <w:p w14:paraId="7F4D4C35" w14:textId="126E406C" w:rsidR="00E457AA" w:rsidRPr="00E54BD4" w:rsidRDefault="009B5B46"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w:t>
            </w:r>
            <w:r w:rsidR="001A0BF3" w:rsidRPr="00E54BD4">
              <w:rPr>
                <w:rFonts w:asciiTheme="majorBidi" w:hAnsiTheme="majorBidi" w:cstheme="majorBidi"/>
                <w:sz w:val="20"/>
                <w:szCs w:val="20"/>
              </w:rPr>
              <w:t>5</w:t>
            </w:r>
          </w:p>
        </w:tc>
      </w:tr>
      <w:tr w:rsidR="00E457AA" w:rsidRPr="00E54BD4" w14:paraId="30DE4098" w14:textId="77777777" w:rsidTr="001504D2">
        <w:trPr>
          <w:trHeight w:val="660"/>
        </w:trPr>
        <w:tc>
          <w:tcPr>
            <w:tcW w:w="9030" w:type="dxa"/>
          </w:tcPr>
          <w:p w14:paraId="4DEFD6A8" w14:textId="2625E13E" w:rsidR="002558BB" w:rsidRPr="00010AA3" w:rsidRDefault="00010AA3" w:rsidP="00490604">
            <w:pPr>
              <w:contextualSpacing/>
              <w:jc w:val="both"/>
              <w:rPr>
                <w:rFonts w:asciiTheme="majorBidi" w:hAnsiTheme="majorBidi" w:cstheme="majorBidi"/>
                <w:sz w:val="20"/>
                <w:szCs w:val="20"/>
              </w:rPr>
            </w:pPr>
            <w:r>
              <w:rPr>
                <w:rFonts w:asciiTheme="majorBidi" w:hAnsiTheme="majorBidi" w:cstheme="majorBidi"/>
                <w:sz w:val="20"/>
                <w:szCs w:val="20"/>
              </w:rPr>
              <w:t>1.</w:t>
            </w:r>
            <w:r w:rsidR="00D33BC0" w:rsidRPr="00010AA3">
              <w:rPr>
                <w:rFonts w:asciiTheme="majorBidi" w:hAnsiTheme="majorBidi" w:cstheme="majorBidi"/>
                <w:sz w:val="20"/>
                <w:szCs w:val="20"/>
              </w:rPr>
              <w:t xml:space="preserve">Chapitre </w:t>
            </w:r>
            <w:r w:rsidR="005C50D1">
              <w:rPr>
                <w:rFonts w:asciiTheme="majorBidi" w:hAnsiTheme="majorBidi" w:cstheme="majorBidi"/>
                <w:sz w:val="20"/>
                <w:szCs w:val="20"/>
              </w:rPr>
              <w:t>p</w:t>
            </w:r>
            <w:r w:rsidR="00D33BC0" w:rsidRPr="00010AA3">
              <w:rPr>
                <w:rFonts w:asciiTheme="majorBidi" w:hAnsiTheme="majorBidi" w:cstheme="majorBidi"/>
                <w:sz w:val="20"/>
                <w:szCs w:val="20"/>
              </w:rPr>
              <w:t>remier : Présentation générale des principaux thèmes de la sourate Al-Ḥajj</w:t>
            </w:r>
          </w:p>
          <w:p w14:paraId="070E7A56" w14:textId="666299D5" w:rsidR="002558BB" w:rsidRPr="00010AA3" w:rsidRDefault="00010AA3" w:rsidP="00490604">
            <w:pPr>
              <w:shd w:val="clear" w:color="auto" w:fill="FFFFFF"/>
              <w:contextualSpacing/>
              <w:jc w:val="both"/>
              <w:rPr>
                <w:rFonts w:asciiTheme="majorBidi" w:hAnsiTheme="majorBidi" w:cstheme="majorBidi"/>
                <w:sz w:val="20"/>
                <w:szCs w:val="20"/>
              </w:rPr>
            </w:pPr>
            <w:r>
              <w:rPr>
                <w:rFonts w:asciiTheme="majorBidi" w:hAnsiTheme="majorBidi" w:cstheme="majorBidi"/>
                <w:sz w:val="20"/>
                <w:szCs w:val="20"/>
              </w:rPr>
              <w:t>1.</w:t>
            </w:r>
            <w:r w:rsidR="00F10FCF">
              <w:rPr>
                <w:rFonts w:asciiTheme="majorBidi" w:hAnsiTheme="majorBidi" w:cstheme="majorBidi"/>
                <w:sz w:val="20"/>
                <w:szCs w:val="20"/>
              </w:rPr>
              <w:t>1.</w:t>
            </w:r>
            <w:r w:rsidR="00F10FCF" w:rsidRPr="00010AA3">
              <w:rPr>
                <w:rFonts w:asciiTheme="majorBidi" w:hAnsiTheme="majorBidi" w:cstheme="majorBidi"/>
                <w:sz w:val="20"/>
                <w:szCs w:val="20"/>
              </w:rPr>
              <w:t xml:space="preserve"> Principaux</w:t>
            </w:r>
            <w:r w:rsidR="007D03DB" w:rsidRPr="00010AA3">
              <w:rPr>
                <w:rFonts w:asciiTheme="majorBidi" w:hAnsiTheme="majorBidi" w:cstheme="majorBidi"/>
                <w:sz w:val="20"/>
                <w:szCs w:val="20"/>
              </w:rPr>
              <w:t xml:space="preserve"> thèmes de la sourate Al-Ḥajj</w:t>
            </w:r>
          </w:p>
          <w:p w14:paraId="472CC92A" w14:textId="6FB46EAC" w:rsidR="00DF6A0C" w:rsidRPr="00010AA3" w:rsidRDefault="00010AA3" w:rsidP="00490604">
            <w:pPr>
              <w:shd w:val="clear" w:color="auto" w:fill="FFFFFF"/>
              <w:contextualSpacing/>
              <w:jc w:val="both"/>
              <w:rPr>
                <w:rFonts w:asciiTheme="majorBidi" w:hAnsiTheme="majorBidi" w:cstheme="majorBidi"/>
                <w:sz w:val="20"/>
                <w:szCs w:val="20"/>
              </w:rPr>
            </w:pPr>
            <w:r>
              <w:rPr>
                <w:rFonts w:asciiTheme="majorBidi" w:hAnsiTheme="majorBidi" w:cstheme="majorBidi"/>
                <w:sz w:val="20"/>
                <w:szCs w:val="20"/>
              </w:rPr>
              <w:t>1.2.</w:t>
            </w:r>
            <w:r w:rsidR="00F10FCF">
              <w:rPr>
                <w:rFonts w:asciiTheme="majorBidi" w:hAnsiTheme="majorBidi" w:cstheme="majorBidi"/>
                <w:sz w:val="20"/>
                <w:szCs w:val="20"/>
              </w:rPr>
              <w:t xml:space="preserve"> </w:t>
            </w:r>
            <w:r w:rsidR="00435A66" w:rsidRPr="00010AA3">
              <w:rPr>
                <w:rFonts w:asciiTheme="majorBidi" w:hAnsiTheme="majorBidi" w:cstheme="majorBidi"/>
                <w:sz w:val="20"/>
                <w:szCs w:val="20"/>
              </w:rPr>
              <w:t>Difficultés de compréhension du Coran</w:t>
            </w:r>
          </w:p>
        </w:tc>
        <w:tc>
          <w:tcPr>
            <w:tcW w:w="929" w:type="dxa"/>
          </w:tcPr>
          <w:p w14:paraId="3859FC19" w14:textId="3D15E8A8" w:rsidR="00E457AA"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46</w:t>
            </w:r>
          </w:p>
          <w:p w14:paraId="6576B8BE" w14:textId="78AD72FB" w:rsidR="007D03DB"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47</w:t>
            </w:r>
          </w:p>
          <w:p w14:paraId="1C2E2215" w14:textId="2FC71407" w:rsidR="009B5B46"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48</w:t>
            </w:r>
          </w:p>
        </w:tc>
      </w:tr>
      <w:tr w:rsidR="00E457AA" w:rsidRPr="00E54BD4" w14:paraId="175AB7A1" w14:textId="77777777" w:rsidTr="001504D2">
        <w:tc>
          <w:tcPr>
            <w:tcW w:w="9030" w:type="dxa"/>
          </w:tcPr>
          <w:p w14:paraId="4EB79086" w14:textId="03801DA5" w:rsidR="00E457AA" w:rsidRPr="00E54BD4" w:rsidRDefault="00781CE1" w:rsidP="00876BB0">
            <w:pPr>
              <w:pStyle w:val="Paragraphedeliste"/>
              <w:numPr>
                <w:ilvl w:val="0"/>
                <w:numId w:val="99"/>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rPr>
              <w:t xml:space="preserve">Chapitre </w:t>
            </w:r>
            <w:r w:rsidR="0095788E" w:rsidRPr="00E54BD4">
              <w:rPr>
                <w:rFonts w:asciiTheme="majorBidi" w:hAnsiTheme="majorBidi" w:cstheme="majorBidi"/>
                <w:sz w:val="20"/>
                <w:szCs w:val="20"/>
              </w:rPr>
              <w:t>II :</w:t>
            </w:r>
            <w:r w:rsidRPr="00E54BD4">
              <w:rPr>
                <w:rFonts w:asciiTheme="majorBidi" w:hAnsiTheme="majorBidi" w:cstheme="majorBidi"/>
                <w:sz w:val="20"/>
                <w:szCs w:val="20"/>
              </w:rPr>
              <w:t xml:space="preserve"> Histoire concise de l’exégèse du Coran en relation avec la polysémie</w:t>
            </w:r>
          </w:p>
          <w:p w14:paraId="6DC2FD30" w14:textId="55FA8169" w:rsidR="009E1E77" w:rsidRPr="00752B97" w:rsidRDefault="00752B97" w:rsidP="00490604">
            <w:pPr>
              <w:contextualSpacing/>
              <w:jc w:val="both"/>
              <w:rPr>
                <w:rFonts w:asciiTheme="majorBidi" w:hAnsiTheme="majorBidi" w:cstheme="majorBidi"/>
                <w:sz w:val="20"/>
                <w:szCs w:val="20"/>
              </w:rPr>
            </w:pPr>
            <w:r>
              <w:rPr>
                <w:rFonts w:asciiTheme="majorBidi" w:hAnsiTheme="majorBidi" w:cstheme="majorBidi"/>
                <w:sz w:val="20"/>
                <w:szCs w:val="20"/>
              </w:rPr>
              <w:t xml:space="preserve">2.1. </w:t>
            </w:r>
            <w:r w:rsidR="009E1E77" w:rsidRPr="00752B97">
              <w:rPr>
                <w:rFonts w:asciiTheme="majorBidi" w:hAnsiTheme="majorBidi" w:cstheme="majorBidi"/>
                <w:sz w:val="20"/>
                <w:szCs w:val="20"/>
              </w:rPr>
              <w:t>Le rapport entre le</w:t>
            </w:r>
            <w:r w:rsidR="009E1E77" w:rsidRPr="00752B97">
              <w:rPr>
                <w:rFonts w:asciiTheme="majorBidi" w:hAnsiTheme="majorBidi" w:cstheme="majorBidi"/>
                <w:i/>
                <w:iCs/>
                <w:sz w:val="20"/>
                <w:szCs w:val="20"/>
              </w:rPr>
              <w:t xml:space="preserve"> tafsīr</w:t>
            </w:r>
            <w:r w:rsidR="009E1E77" w:rsidRPr="00752B97">
              <w:rPr>
                <w:rFonts w:asciiTheme="majorBidi" w:hAnsiTheme="majorBidi" w:cstheme="majorBidi"/>
                <w:sz w:val="20"/>
                <w:szCs w:val="20"/>
              </w:rPr>
              <w:t xml:space="preserve"> et la </w:t>
            </w:r>
            <w:r w:rsidR="009E1E77" w:rsidRPr="00752B97">
              <w:rPr>
                <w:rFonts w:asciiTheme="majorBidi" w:hAnsiTheme="majorBidi" w:cstheme="majorBidi"/>
                <w:i/>
                <w:iCs/>
                <w:sz w:val="20"/>
                <w:szCs w:val="20"/>
              </w:rPr>
              <w:t>tarjama</w:t>
            </w:r>
          </w:p>
          <w:p w14:paraId="5960CD33" w14:textId="30AC1DA8" w:rsidR="002558BB" w:rsidRPr="00752B97" w:rsidRDefault="00752B97" w:rsidP="00490604">
            <w:pPr>
              <w:contextualSpacing/>
              <w:jc w:val="both"/>
              <w:rPr>
                <w:rFonts w:asciiTheme="majorBidi" w:hAnsiTheme="majorBidi" w:cstheme="majorBidi"/>
                <w:sz w:val="20"/>
                <w:szCs w:val="20"/>
              </w:rPr>
            </w:pPr>
            <w:r>
              <w:rPr>
                <w:rFonts w:asciiTheme="majorBidi" w:hAnsiTheme="majorBidi" w:cstheme="majorBidi"/>
                <w:sz w:val="20"/>
                <w:szCs w:val="20"/>
              </w:rPr>
              <w:t xml:space="preserve">2.2. </w:t>
            </w:r>
            <w:r w:rsidR="00812B07" w:rsidRPr="00752B97">
              <w:rPr>
                <w:rFonts w:asciiTheme="majorBidi" w:hAnsiTheme="majorBidi" w:cstheme="majorBidi"/>
                <w:sz w:val="20"/>
                <w:szCs w:val="20"/>
              </w:rPr>
              <w:t>Les besoins auxquels répond le tafsīr</w:t>
            </w:r>
          </w:p>
        </w:tc>
        <w:tc>
          <w:tcPr>
            <w:tcW w:w="929" w:type="dxa"/>
          </w:tcPr>
          <w:p w14:paraId="6E694E34" w14:textId="2B849D3E" w:rsidR="00E457AA" w:rsidRPr="00E54BD4" w:rsidRDefault="001A0BF3"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55</w:t>
            </w:r>
          </w:p>
          <w:p w14:paraId="65400F35" w14:textId="77777777" w:rsidR="009E1E77" w:rsidRPr="00E54BD4" w:rsidRDefault="009E1E77"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5</w:t>
            </w:r>
            <w:r w:rsidR="001A0BF3" w:rsidRPr="00E54BD4">
              <w:rPr>
                <w:rFonts w:asciiTheme="majorBidi" w:hAnsiTheme="majorBidi" w:cstheme="majorBidi"/>
                <w:sz w:val="20"/>
                <w:szCs w:val="20"/>
              </w:rPr>
              <w:t>5</w:t>
            </w:r>
          </w:p>
          <w:p w14:paraId="71AD1064" w14:textId="659460C8" w:rsidR="00812B07" w:rsidRPr="00E54BD4" w:rsidRDefault="00812B07"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66</w:t>
            </w:r>
          </w:p>
        </w:tc>
      </w:tr>
      <w:tr w:rsidR="00E457AA" w:rsidRPr="00E54BD4" w14:paraId="50751C4E" w14:textId="77777777" w:rsidTr="001504D2">
        <w:tc>
          <w:tcPr>
            <w:tcW w:w="9030" w:type="dxa"/>
          </w:tcPr>
          <w:p w14:paraId="78B3CCDD" w14:textId="2D96414F" w:rsidR="002558BB" w:rsidRPr="00E54BD4" w:rsidRDefault="002558BB" w:rsidP="00876BB0">
            <w:pPr>
              <w:pStyle w:val="Paragraphedeliste"/>
              <w:numPr>
                <w:ilvl w:val="0"/>
                <w:numId w:val="100"/>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rPr>
              <w:t>Chapitre III :</w:t>
            </w:r>
            <w:r w:rsidR="00466D9A">
              <w:rPr>
                <w:rFonts w:asciiTheme="majorBidi" w:hAnsiTheme="majorBidi" w:cstheme="majorBidi"/>
                <w:sz w:val="20"/>
                <w:szCs w:val="20"/>
              </w:rPr>
              <w:t xml:space="preserve"> P</w:t>
            </w:r>
            <w:r w:rsidR="001A0BF3" w:rsidRPr="00E54BD4">
              <w:rPr>
                <w:rFonts w:asciiTheme="majorBidi" w:hAnsiTheme="majorBidi" w:cstheme="majorBidi"/>
                <w:sz w:val="20"/>
                <w:szCs w:val="20"/>
              </w:rPr>
              <w:t>olysémie pronominale</w:t>
            </w:r>
          </w:p>
          <w:p w14:paraId="6DF1143D" w14:textId="2096E131" w:rsidR="00E457AA" w:rsidRPr="00E54BD4" w:rsidRDefault="002558BB" w:rsidP="00876BB0">
            <w:pPr>
              <w:pStyle w:val="Paragraphedeliste"/>
              <w:numPr>
                <w:ilvl w:val="1"/>
                <w:numId w:val="127"/>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rPr>
              <w:t>Les types de polysémie</w:t>
            </w:r>
          </w:p>
          <w:p w14:paraId="6A1E01BD" w14:textId="7E0B0A07" w:rsidR="001A0BF3" w:rsidRPr="00E54BD4" w:rsidRDefault="00B20FFE" w:rsidP="00876BB0">
            <w:pPr>
              <w:pStyle w:val="Paragraphedeliste"/>
              <w:numPr>
                <w:ilvl w:val="1"/>
                <w:numId w:val="127"/>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rPr>
              <w:t>La p</w:t>
            </w:r>
            <w:r w:rsidR="002558BB" w:rsidRPr="00E54BD4">
              <w:rPr>
                <w:rFonts w:asciiTheme="majorBidi" w:hAnsiTheme="majorBidi" w:cstheme="majorBidi"/>
                <w:sz w:val="20"/>
                <w:szCs w:val="20"/>
              </w:rPr>
              <w:t>olysémie pronominale</w:t>
            </w:r>
            <w:r w:rsidRPr="00E54BD4">
              <w:rPr>
                <w:rFonts w:asciiTheme="majorBidi" w:hAnsiTheme="majorBidi" w:cstheme="majorBidi"/>
                <w:sz w:val="20"/>
                <w:szCs w:val="20"/>
              </w:rPr>
              <w:t xml:space="preserve"> du texte </w:t>
            </w:r>
            <w:r w:rsidR="00D0716B" w:rsidRPr="00E54BD4">
              <w:rPr>
                <w:rFonts w:asciiTheme="majorBidi" w:hAnsiTheme="majorBidi" w:cstheme="majorBidi"/>
                <w:sz w:val="20"/>
                <w:szCs w:val="20"/>
              </w:rPr>
              <w:t>arabe</w:t>
            </w:r>
          </w:p>
        </w:tc>
        <w:tc>
          <w:tcPr>
            <w:tcW w:w="929" w:type="dxa"/>
          </w:tcPr>
          <w:p w14:paraId="2DA24011" w14:textId="0EDBD2C9" w:rsidR="00E457AA" w:rsidRPr="00E54BD4" w:rsidRDefault="00742803" w:rsidP="00490604">
            <w:pPr>
              <w:contextualSpacing/>
              <w:jc w:val="both"/>
              <w:rPr>
                <w:rFonts w:asciiTheme="majorBidi" w:hAnsiTheme="majorBidi" w:cstheme="majorBidi"/>
                <w:sz w:val="20"/>
                <w:szCs w:val="20"/>
              </w:rPr>
            </w:pPr>
            <w:r>
              <w:rPr>
                <w:rFonts w:asciiTheme="majorBidi" w:hAnsiTheme="majorBidi" w:cstheme="majorBidi"/>
                <w:sz w:val="20"/>
                <w:szCs w:val="20"/>
              </w:rPr>
              <w:t>95</w:t>
            </w:r>
          </w:p>
          <w:p w14:paraId="4480A844" w14:textId="1969C48F" w:rsidR="002558BB" w:rsidRPr="00E54BD4" w:rsidRDefault="00742803" w:rsidP="00490604">
            <w:pPr>
              <w:contextualSpacing/>
              <w:jc w:val="both"/>
              <w:rPr>
                <w:rFonts w:asciiTheme="majorBidi" w:hAnsiTheme="majorBidi" w:cstheme="majorBidi"/>
                <w:sz w:val="20"/>
                <w:szCs w:val="20"/>
              </w:rPr>
            </w:pPr>
            <w:r>
              <w:rPr>
                <w:rFonts w:asciiTheme="majorBidi" w:hAnsiTheme="majorBidi" w:cstheme="majorBidi"/>
                <w:sz w:val="20"/>
                <w:szCs w:val="20"/>
              </w:rPr>
              <w:t>95</w:t>
            </w:r>
          </w:p>
          <w:p w14:paraId="1C35A12E" w14:textId="6542B26B" w:rsidR="002558BB" w:rsidRPr="00E54BD4" w:rsidRDefault="002558BB"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10</w:t>
            </w:r>
            <w:r w:rsidR="00742803">
              <w:rPr>
                <w:rFonts w:asciiTheme="majorBidi" w:hAnsiTheme="majorBidi" w:cstheme="majorBidi"/>
                <w:sz w:val="20"/>
                <w:szCs w:val="20"/>
              </w:rPr>
              <w:t>1</w:t>
            </w:r>
          </w:p>
        </w:tc>
      </w:tr>
      <w:tr w:rsidR="00E457AA" w:rsidRPr="00E54BD4" w14:paraId="50E5E8CD" w14:textId="77777777" w:rsidTr="001504D2">
        <w:trPr>
          <w:trHeight w:val="1122"/>
        </w:trPr>
        <w:tc>
          <w:tcPr>
            <w:tcW w:w="9030" w:type="dxa"/>
          </w:tcPr>
          <w:p w14:paraId="5884635F" w14:textId="2EB30FAF" w:rsidR="002558BB" w:rsidRPr="00E54BD4" w:rsidRDefault="00B20FFE" w:rsidP="00876BB0">
            <w:pPr>
              <w:pStyle w:val="Paragraphedeliste"/>
              <w:numPr>
                <w:ilvl w:val="0"/>
                <w:numId w:val="127"/>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rPr>
              <w:t>Chapitre IV : P</w:t>
            </w:r>
            <w:r w:rsidR="002558BB" w:rsidRPr="00E54BD4">
              <w:rPr>
                <w:rFonts w:asciiTheme="majorBidi" w:hAnsiTheme="majorBidi" w:cstheme="majorBidi"/>
                <w:sz w:val="20"/>
                <w:szCs w:val="20"/>
              </w:rPr>
              <w:t>olysémie lexicale</w:t>
            </w:r>
            <w:r w:rsidR="00D0716B" w:rsidRPr="00E54BD4">
              <w:rPr>
                <w:rFonts w:asciiTheme="majorBidi" w:hAnsiTheme="majorBidi" w:cstheme="majorBidi"/>
                <w:sz w:val="20"/>
                <w:szCs w:val="20"/>
              </w:rPr>
              <w:t xml:space="preserve"> du texte arabe</w:t>
            </w:r>
          </w:p>
          <w:p w14:paraId="729F97B6" w14:textId="524B18C1" w:rsidR="002558BB" w:rsidRPr="00F10FCF" w:rsidRDefault="00F10FCF" w:rsidP="00490604">
            <w:pPr>
              <w:contextualSpacing/>
              <w:jc w:val="both"/>
              <w:rPr>
                <w:rFonts w:asciiTheme="majorBidi" w:hAnsiTheme="majorBidi" w:cstheme="majorBidi"/>
                <w:sz w:val="20"/>
                <w:szCs w:val="20"/>
              </w:rPr>
            </w:pPr>
            <w:r>
              <w:rPr>
                <w:rFonts w:asciiTheme="majorBidi" w:hAnsiTheme="majorBidi" w:cstheme="majorBidi"/>
                <w:sz w:val="20"/>
                <w:szCs w:val="20"/>
              </w:rPr>
              <w:t>4.1.</w:t>
            </w:r>
            <w:r w:rsidRPr="00F10FCF">
              <w:rPr>
                <w:rFonts w:asciiTheme="majorBidi" w:hAnsiTheme="majorBidi" w:cstheme="majorBidi"/>
                <w:sz w:val="20"/>
                <w:szCs w:val="20"/>
              </w:rPr>
              <w:t xml:space="preserve"> Polysémie</w:t>
            </w:r>
            <w:r w:rsidR="002558BB" w:rsidRPr="00F10FCF">
              <w:rPr>
                <w:rFonts w:asciiTheme="majorBidi" w:hAnsiTheme="majorBidi" w:cstheme="majorBidi"/>
                <w:sz w:val="20"/>
                <w:szCs w:val="20"/>
              </w:rPr>
              <w:t xml:space="preserve"> des mots génériques</w:t>
            </w:r>
          </w:p>
          <w:p w14:paraId="56B35595" w14:textId="684157DA" w:rsidR="002558BB" w:rsidRPr="00F10FCF" w:rsidRDefault="00F10FCF" w:rsidP="00490604">
            <w:pPr>
              <w:contextualSpacing/>
              <w:jc w:val="both"/>
              <w:rPr>
                <w:rFonts w:asciiTheme="majorBidi" w:hAnsiTheme="majorBidi" w:cstheme="majorBidi"/>
                <w:sz w:val="20"/>
                <w:szCs w:val="20"/>
              </w:rPr>
            </w:pPr>
            <w:r>
              <w:rPr>
                <w:rFonts w:asciiTheme="majorBidi" w:hAnsiTheme="majorBidi" w:cstheme="majorBidi"/>
                <w:sz w:val="20"/>
                <w:szCs w:val="20"/>
              </w:rPr>
              <w:t>4.2.</w:t>
            </w:r>
            <w:r w:rsidRPr="00F10FCF">
              <w:rPr>
                <w:rFonts w:asciiTheme="majorBidi" w:hAnsiTheme="majorBidi" w:cstheme="majorBidi"/>
                <w:sz w:val="20"/>
                <w:szCs w:val="20"/>
              </w:rPr>
              <w:t xml:space="preserve"> Polysémie</w:t>
            </w:r>
            <w:r w:rsidR="00C4364B" w:rsidRPr="00F10FCF">
              <w:rPr>
                <w:rFonts w:asciiTheme="majorBidi" w:hAnsiTheme="majorBidi" w:cstheme="majorBidi"/>
                <w:sz w:val="20"/>
                <w:szCs w:val="20"/>
              </w:rPr>
              <w:t xml:space="preserve"> des mots </w:t>
            </w:r>
            <w:r w:rsidR="00C4364B" w:rsidRPr="00F10FCF">
              <w:rPr>
                <w:rFonts w:asciiTheme="majorBidi" w:hAnsiTheme="majorBidi" w:cstheme="majorBidi"/>
                <w:i/>
                <w:iCs/>
                <w:sz w:val="20"/>
                <w:szCs w:val="20"/>
              </w:rPr>
              <w:t>hapax</w:t>
            </w:r>
          </w:p>
          <w:p w14:paraId="6CE31018" w14:textId="3DD37B32" w:rsidR="00C4364B" w:rsidRPr="00F10FCF" w:rsidRDefault="00F10FCF" w:rsidP="00490604">
            <w:pPr>
              <w:contextualSpacing/>
              <w:jc w:val="both"/>
              <w:rPr>
                <w:rFonts w:asciiTheme="majorBidi" w:hAnsiTheme="majorBidi" w:cstheme="majorBidi"/>
                <w:sz w:val="20"/>
                <w:szCs w:val="20"/>
              </w:rPr>
            </w:pPr>
            <w:r>
              <w:rPr>
                <w:rFonts w:asciiTheme="majorBidi" w:eastAsia="Calibri" w:hAnsiTheme="majorBidi" w:cstheme="majorBidi"/>
                <w:sz w:val="20"/>
                <w:szCs w:val="20"/>
                <w:lang w:bidi="ar-AE"/>
              </w:rPr>
              <w:t>4.3.</w:t>
            </w:r>
            <w:r w:rsidRPr="00F10FCF">
              <w:rPr>
                <w:rFonts w:asciiTheme="majorBidi" w:eastAsia="Calibri" w:hAnsiTheme="majorBidi" w:cstheme="majorBidi"/>
                <w:sz w:val="20"/>
                <w:szCs w:val="20"/>
                <w:lang w:bidi="ar-AE"/>
              </w:rPr>
              <w:t xml:space="preserve"> Polysémie</w:t>
            </w:r>
            <w:r w:rsidR="00C4364B" w:rsidRPr="00F10FCF">
              <w:rPr>
                <w:rFonts w:asciiTheme="majorBidi" w:eastAsia="Calibri" w:hAnsiTheme="majorBidi" w:cstheme="majorBidi"/>
                <w:sz w:val="20"/>
                <w:szCs w:val="20"/>
                <w:lang w:bidi="ar-AE"/>
              </w:rPr>
              <w:t xml:space="preserve"> des noms de Dieu</w:t>
            </w:r>
          </w:p>
          <w:p w14:paraId="37CBB7D3" w14:textId="7529F46B" w:rsidR="00C4364B" w:rsidRPr="00F10FCF" w:rsidRDefault="00F10FCF" w:rsidP="00490604">
            <w:pPr>
              <w:contextualSpacing/>
              <w:jc w:val="both"/>
              <w:rPr>
                <w:rFonts w:asciiTheme="majorBidi" w:hAnsiTheme="majorBidi" w:cstheme="majorBidi"/>
                <w:sz w:val="20"/>
                <w:szCs w:val="20"/>
              </w:rPr>
            </w:pPr>
            <w:r>
              <w:rPr>
                <w:rFonts w:asciiTheme="majorBidi" w:hAnsiTheme="majorBidi" w:cstheme="majorBidi"/>
                <w:sz w:val="20"/>
                <w:szCs w:val="20"/>
                <w:lang w:bidi="ar-AE"/>
              </w:rPr>
              <w:t xml:space="preserve">4.4. </w:t>
            </w:r>
            <w:r w:rsidR="00C4364B" w:rsidRPr="00F10FCF">
              <w:rPr>
                <w:rFonts w:asciiTheme="majorBidi" w:hAnsiTheme="majorBidi" w:cstheme="majorBidi"/>
                <w:sz w:val="20"/>
                <w:szCs w:val="20"/>
                <w:lang w:bidi="ar-AE"/>
              </w:rPr>
              <w:t>Différences de lecture</w:t>
            </w:r>
          </w:p>
        </w:tc>
        <w:tc>
          <w:tcPr>
            <w:tcW w:w="929" w:type="dxa"/>
          </w:tcPr>
          <w:p w14:paraId="356C9356" w14:textId="1D49F416" w:rsidR="00E457AA" w:rsidRPr="00E54BD4" w:rsidRDefault="00742803" w:rsidP="00490604">
            <w:pPr>
              <w:contextualSpacing/>
              <w:jc w:val="both"/>
              <w:rPr>
                <w:rFonts w:asciiTheme="majorBidi" w:hAnsiTheme="majorBidi" w:cstheme="majorBidi"/>
                <w:sz w:val="20"/>
                <w:szCs w:val="20"/>
              </w:rPr>
            </w:pPr>
            <w:r>
              <w:rPr>
                <w:rFonts w:asciiTheme="majorBidi" w:hAnsiTheme="majorBidi" w:cstheme="majorBidi"/>
                <w:sz w:val="20"/>
                <w:szCs w:val="20"/>
              </w:rPr>
              <w:t>117</w:t>
            </w:r>
          </w:p>
          <w:p w14:paraId="0C9099D7" w14:textId="2B2C530C" w:rsidR="002558BB" w:rsidRPr="00E54BD4" w:rsidRDefault="002558BB"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1</w:t>
            </w:r>
            <w:r w:rsidR="00742803">
              <w:rPr>
                <w:rFonts w:asciiTheme="majorBidi" w:hAnsiTheme="majorBidi" w:cstheme="majorBidi"/>
                <w:sz w:val="20"/>
                <w:szCs w:val="20"/>
              </w:rPr>
              <w:t>17</w:t>
            </w:r>
          </w:p>
          <w:p w14:paraId="12073047" w14:textId="77777777" w:rsidR="00C4364B" w:rsidRPr="00E54BD4" w:rsidRDefault="00C4364B"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182</w:t>
            </w:r>
          </w:p>
          <w:p w14:paraId="308DCC74" w14:textId="77777777" w:rsidR="00C4364B" w:rsidRPr="00E54BD4" w:rsidRDefault="00C4364B" w:rsidP="00490604">
            <w:pPr>
              <w:contextualSpacing/>
              <w:jc w:val="both"/>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194</w:t>
            </w:r>
          </w:p>
          <w:p w14:paraId="1D57EB2D" w14:textId="319640B7" w:rsidR="00C4364B" w:rsidRPr="00E54BD4" w:rsidRDefault="00C4364B" w:rsidP="00490604">
            <w:pPr>
              <w:contextualSpacing/>
              <w:jc w:val="both"/>
              <w:rPr>
                <w:rFonts w:asciiTheme="majorBidi" w:hAnsiTheme="majorBidi" w:cstheme="majorBidi"/>
                <w:sz w:val="20"/>
                <w:szCs w:val="20"/>
                <w:lang w:bidi="ar-AE"/>
              </w:rPr>
            </w:pPr>
            <w:r w:rsidRPr="00E54BD4">
              <w:rPr>
                <w:rFonts w:asciiTheme="majorBidi" w:hAnsiTheme="majorBidi" w:cstheme="majorBidi"/>
                <w:sz w:val="20"/>
                <w:szCs w:val="20"/>
                <w:lang w:bidi="ar-AE"/>
              </w:rPr>
              <w:t>19</w:t>
            </w:r>
            <w:r w:rsidR="00DB475B" w:rsidRPr="00E54BD4">
              <w:rPr>
                <w:rFonts w:asciiTheme="majorBidi" w:hAnsiTheme="majorBidi" w:cstheme="majorBidi"/>
                <w:sz w:val="20"/>
                <w:szCs w:val="20"/>
                <w:lang w:bidi="ar-AE"/>
              </w:rPr>
              <w:t>7</w:t>
            </w:r>
          </w:p>
        </w:tc>
      </w:tr>
      <w:tr w:rsidR="00E457AA" w:rsidRPr="00E54BD4" w14:paraId="171C689C" w14:textId="77777777" w:rsidTr="001504D2">
        <w:trPr>
          <w:trHeight w:val="311"/>
        </w:trPr>
        <w:tc>
          <w:tcPr>
            <w:tcW w:w="9030" w:type="dxa"/>
          </w:tcPr>
          <w:p w14:paraId="1F20D6F1" w14:textId="02F38736" w:rsidR="00E457AA" w:rsidRPr="00490604" w:rsidRDefault="00C4364B" w:rsidP="00876BB0">
            <w:pPr>
              <w:pStyle w:val="Paragraphedeliste"/>
              <w:numPr>
                <w:ilvl w:val="0"/>
                <w:numId w:val="127"/>
              </w:numPr>
              <w:bidi w:val="0"/>
              <w:spacing w:after="0" w:line="240" w:lineRule="auto"/>
              <w:contextualSpacing/>
              <w:outlineLvl w:val="0"/>
              <w:rPr>
                <w:rFonts w:asciiTheme="majorBidi" w:hAnsiTheme="majorBidi" w:cstheme="majorBidi"/>
                <w:sz w:val="20"/>
                <w:szCs w:val="20"/>
              </w:rPr>
            </w:pPr>
            <w:r w:rsidRPr="00490604">
              <w:rPr>
                <w:rFonts w:asciiTheme="majorBidi" w:hAnsiTheme="majorBidi" w:cstheme="majorBidi"/>
                <w:sz w:val="20"/>
                <w:szCs w:val="20"/>
                <w:lang w:bidi="ar-AE"/>
              </w:rPr>
              <w:t xml:space="preserve">Chapitre V : </w:t>
            </w:r>
            <w:r w:rsidRPr="00490604">
              <w:rPr>
                <w:rFonts w:asciiTheme="majorBidi" w:hAnsiTheme="majorBidi" w:cstheme="majorBidi"/>
                <w:sz w:val="20"/>
                <w:szCs w:val="20"/>
              </w:rPr>
              <w:t>La polysémie des énoncés</w:t>
            </w:r>
            <w:r w:rsidR="00D0716B" w:rsidRPr="00490604">
              <w:rPr>
                <w:rFonts w:asciiTheme="majorBidi" w:hAnsiTheme="majorBidi" w:cstheme="majorBidi"/>
                <w:sz w:val="20"/>
                <w:szCs w:val="20"/>
              </w:rPr>
              <w:t xml:space="preserve"> du texte arabe</w:t>
            </w:r>
          </w:p>
        </w:tc>
        <w:tc>
          <w:tcPr>
            <w:tcW w:w="929" w:type="dxa"/>
          </w:tcPr>
          <w:p w14:paraId="49E2A68E" w14:textId="3BC714BE" w:rsidR="00E457AA" w:rsidRPr="00E54BD4" w:rsidRDefault="00C4364B"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20</w:t>
            </w:r>
            <w:r w:rsidR="00742803">
              <w:rPr>
                <w:rFonts w:asciiTheme="majorBidi" w:hAnsiTheme="majorBidi" w:cstheme="majorBidi"/>
                <w:sz w:val="20"/>
                <w:szCs w:val="20"/>
              </w:rPr>
              <w:t>1</w:t>
            </w:r>
          </w:p>
        </w:tc>
      </w:tr>
      <w:tr w:rsidR="00E457AA" w:rsidRPr="00E54BD4" w14:paraId="477F0E47" w14:textId="77777777" w:rsidTr="001504D2">
        <w:tc>
          <w:tcPr>
            <w:tcW w:w="9030" w:type="dxa"/>
          </w:tcPr>
          <w:p w14:paraId="37E5E60A" w14:textId="22FD23CB" w:rsidR="00E457AA" w:rsidRPr="00E54BD4" w:rsidRDefault="00C4364B" w:rsidP="00490604">
            <w:pPr>
              <w:contextualSpacing/>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Conclusion de la première partie</w:t>
            </w:r>
          </w:p>
        </w:tc>
        <w:tc>
          <w:tcPr>
            <w:tcW w:w="929" w:type="dxa"/>
          </w:tcPr>
          <w:p w14:paraId="09B6DE69" w14:textId="150F3088" w:rsidR="00E457AA" w:rsidRPr="00E54BD4" w:rsidRDefault="00C4364B" w:rsidP="00490604">
            <w:pPr>
              <w:contextualSpacing/>
              <w:jc w:val="both"/>
              <w:rPr>
                <w:rFonts w:asciiTheme="majorBidi" w:hAnsiTheme="majorBidi" w:cstheme="majorBidi"/>
                <w:sz w:val="20"/>
                <w:szCs w:val="20"/>
              </w:rPr>
            </w:pPr>
            <w:r w:rsidRPr="00E54BD4">
              <w:rPr>
                <w:rFonts w:asciiTheme="majorBidi" w:eastAsia="Calibri" w:hAnsiTheme="majorBidi" w:cstheme="majorBidi"/>
                <w:sz w:val="20"/>
                <w:szCs w:val="20"/>
                <w:lang w:bidi="ar-AE"/>
              </w:rPr>
              <w:t>26</w:t>
            </w:r>
            <w:r w:rsidR="00657B0B">
              <w:rPr>
                <w:rFonts w:asciiTheme="majorBidi" w:eastAsia="Calibri" w:hAnsiTheme="majorBidi" w:cstheme="majorBidi"/>
                <w:sz w:val="20"/>
                <w:szCs w:val="20"/>
                <w:lang w:bidi="ar-AE"/>
              </w:rPr>
              <w:t>0</w:t>
            </w:r>
          </w:p>
        </w:tc>
      </w:tr>
      <w:tr w:rsidR="00FA2A38" w:rsidRPr="00E54BD4" w14:paraId="022EC86D" w14:textId="77777777" w:rsidTr="001504D2">
        <w:tc>
          <w:tcPr>
            <w:tcW w:w="9030" w:type="dxa"/>
          </w:tcPr>
          <w:p w14:paraId="77C41B35" w14:textId="5733AEB3" w:rsidR="00FA2A38" w:rsidRPr="00E54BD4" w:rsidRDefault="00592809" w:rsidP="00490604">
            <w:pPr>
              <w:contextualSpacing/>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Second partie : traductions et polysémie</w:t>
            </w:r>
          </w:p>
        </w:tc>
        <w:tc>
          <w:tcPr>
            <w:tcW w:w="929" w:type="dxa"/>
          </w:tcPr>
          <w:p w14:paraId="3954B84A" w14:textId="4426A6AB" w:rsidR="00FA2A38" w:rsidRPr="00E54BD4" w:rsidRDefault="00765C2D" w:rsidP="00490604">
            <w:pPr>
              <w:contextualSpacing/>
              <w:jc w:val="both"/>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26</w:t>
            </w:r>
            <w:r w:rsidR="00E12B1B">
              <w:rPr>
                <w:rFonts w:asciiTheme="majorBidi" w:eastAsia="Calibri" w:hAnsiTheme="majorBidi" w:cstheme="majorBidi"/>
                <w:sz w:val="20"/>
                <w:szCs w:val="20"/>
                <w:lang w:bidi="ar-AE"/>
              </w:rPr>
              <w:t>2</w:t>
            </w:r>
          </w:p>
        </w:tc>
      </w:tr>
      <w:tr w:rsidR="00E457AA" w:rsidRPr="00E54BD4" w14:paraId="07632BEA" w14:textId="77777777" w:rsidTr="001504D2">
        <w:tc>
          <w:tcPr>
            <w:tcW w:w="9030" w:type="dxa"/>
          </w:tcPr>
          <w:p w14:paraId="7053931B" w14:textId="1B1AC964" w:rsidR="00E457AA" w:rsidRPr="00E54BD4" w:rsidRDefault="009E245D" w:rsidP="00876BB0">
            <w:pPr>
              <w:pStyle w:val="Paragraphedeliste"/>
              <w:numPr>
                <w:ilvl w:val="0"/>
                <w:numId w:val="127"/>
              </w:numPr>
              <w:bidi w:val="0"/>
              <w:spacing w:after="0" w:line="240" w:lineRule="auto"/>
              <w:contextualSpacing/>
              <w:jc w:val="both"/>
              <w:rPr>
                <w:rFonts w:asciiTheme="majorBidi" w:hAnsiTheme="majorBidi" w:cstheme="majorBidi"/>
                <w:sz w:val="20"/>
                <w:szCs w:val="20"/>
              </w:rPr>
            </w:pPr>
            <w:r w:rsidRPr="00E54BD4">
              <w:rPr>
                <w:rFonts w:asciiTheme="majorBidi" w:eastAsia="Calibri" w:hAnsiTheme="majorBidi" w:cstheme="majorBidi"/>
                <w:sz w:val="20"/>
                <w:szCs w:val="20"/>
                <w:lang w:bidi="ar-AE"/>
              </w:rPr>
              <w:t xml:space="preserve">Chapitre VI : </w:t>
            </w:r>
            <w:r w:rsidRPr="00E54BD4">
              <w:rPr>
                <w:rFonts w:asciiTheme="majorBidi" w:hAnsiTheme="majorBidi" w:cstheme="majorBidi"/>
                <w:sz w:val="20"/>
                <w:szCs w:val="20"/>
              </w:rPr>
              <w:t>Présentation succincte des traductions françaises du Coran à la lumière de la polysémie</w:t>
            </w:r>
          </w:p>
        </w:tc>
        <w:tc>
          <w:tcPr>
            <w:tcW w:w="929" w:type="dxa"/>
          </w:tcPr>
          <w:p w14:paraId="513F606E" w14:textId="1064786F" w:rsidR="00E457AA" w:rsidRPr="00E54BD4" w:rsidRDefault="00DB475B"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26</w:t>
            </w:r>
            <w:r w:rsidR="00E12B1B">
              <w:rPr>
                <w:rFonts w:asciiTheme="majorBidi" w:hAnsiTheme="majorBidi" w:cstheme="majorBidi"/>
                <w:sz w:val="20"/>
                <w:szCs w:val="20"/>
              </w:rPr>
              <w:t>3</w:t>
            </w:r>
          </w:p>
        </w:tc>
      </w:tr>
      <w:tr w:rsidR="00E457AA" w:rsidRPr="00E54BD4" w14:paraId="3DC315D7" w14:textId="77777777" w:rsidTr="001504D2">
        <w:tc>
          <w:tcPr>
            <w:tcW w:w="9030" w:type="dxa"/>
          </w:tcPr>
          <w:p w14:paraId="02985C38" w14:textId="307540E9" w:rsidR="00E457AA" w:rsidRPr="00E54BD4" w:rsidRDefault="009E245D" w:rsidP="00876BB0">
            <w:pPr>
              <w:pStyle w:val="Paragraphedeliste"/>
              <w:numPr>
                <w:ilvl w:val="0"/>
                <w:numId w:val="127"/>
              </w:numPr>
              <w:bidi w:val="0"/>
              <w:spacing w:after="0" w:line="240" w:lineRule="auto"/>
              <w:contextualSpacing/>
              <w:jc w:val="both"/>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 xml:space="preserve">Chapitre VII : </w:t>
            </w:r>
            <w:r w:rsidRPr="00E54BD4">
              <w:rPr>
                <w:rFonts w:asciiTheme="majorBidi" w:hAnsiTheme="majorBidi" w:cstheme="majorBidi"/>
                <w:sz w:val="20"/>
                <w:szCs w:val="20"/>
              </w:rPr>
              <w:t>Les tendances déformantes dans les traductions françaises la sourate al-Ḥajj</w:t>
            </w:r>
          </w:p>
        </w:tc>
        <w:tc>
          <w:tcPr>
            <w:tcW w:w="929" w:type="dxa"/>
          </w:tcPr>
          <w:p w14:paraId="2A168A44" w14:textId="36F4CCC9" w:rsidR="00E457AA" w:rsidRPr="00E54BD4" w:rsidRDefault="00DB475B"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29</w:t>
            </w:r>
            <w:r w:rsidR="00E12B1B">
              <w:rPr>
                <w:rFonts w:asciiTheme="majorBidi" w:hAnsiTheme="majorBidi" w:cstheme="majorBidi"/>
                <w:sz w:val="20"/>
                <w:szCs w:val="20"/>
              </w:rPr>
              <w:t>7</w:t>
            </w:r>
          </w:p>
        </w:tc>
      </w:tr>
      <w:tr w:rsidR="009E245D" w:rsidRPr="00E54BD4" w14:paraId="63C906DB" w14:textId="77777777" w:rsidTr="001504D2">
        <w:tc>
          <w:tcPr>
            <w:tcW w:w="9030" w:type="dxa"/>
          </w:tcPr>
          <w:p w14:paraId="4B0C6680" w14:textId="093231D0" w:rsidR="009E245D" w:rsidRPr="00E54BD4" w:rsidRDefault="009E245D" w:rsidP="00876BB0">
            <w:pPr>
              <w:pStyle w:val="Paragraphedeliste"/>
              <w:numPr>
                <w:ilvl w:val="0"/>
                <w:numId w:val="127"/>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rPr>
              <w:t>Chapitre VIII : La polysémie pronominale des traductions</w:t>
            </w:r>
          </w:p>
        </w:tc>
        <w:tc>
          <w:tcPr>
            <w:tcW w:w="929" w:type="dxa"/>
          </w:tcPr>
          <w:p w14:paraId="35C50E79" w14:textId="00BC9A7A" w:rsidR="009E245D" w:rsidRPr="00E54BD4" w:rsidRDefault="00DB475B"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31</w:t>
            </w:r>
            <w:r w:rsidR="00E12B1B">
              <w:rPr>
                <w:rFonts w:asciiTheme="majorBidi" w:hAnsiTheme="majorBidi" w:cstheme="majorBidi"/>
                <w:sz w:val="20"/>
                <w:szCs w:val="20"/>
              </w:rPr>
              <w:t>6</w:t>
            </w:r>
          </w:p>
        </w:tc>
      </w:tr>
      <w:tr w:rsidR="009E245D" w:rsidRPr="00E54BD4" w14:paraId="01EED645" w14:textId="77777777" w:rsidTr="001504D2">
        <w:tc>
          <w:tcPr>
            <w:tcW w:w="9030" w:type="dxa"/>
          </w:tcPr>
          <w:p w14:paraId="3656B825" w14:textId="09852968" w:rsidR="009E245D" w:rsidRPr="00E54BD4" w:rsidRDefault="009E245D" w:rsidP="00876BB0">
            <w:pPr>
              <w:pStyle w:val="Paragraphedeliste"/>
              <w:numPr>
                <w:ilvl w:val="0"/>
                <w:numId w:val="124"/>
              </w:numPr>
              <w:bidi w:val="0"/>
              <w:spacing w:after="0" w:line="240" w:lineRule="auto"/>
              <w:contextualSpacing/>
              <w:jc w:val="both"/>
              <w:rPr>
                <w:rFonts w:asciiTheme="majorBidi" w:hAnsiTheme="majorBidi" w:cstheme="majorBidi"/>
                <w:sz w:val="20"/>
                <w:szCs w:val="20"/>
              </w:rPr>
            </w:pPr>
            <w:r w:rsidRPr="00E54BD4">
              <w:rPr>
                <w:rFonts w:asciiTheme="majorBidi" w:eastAsia="Calibri" w:hAnsiTheme="majorBidi" w:cstheme="majorBidi"/>
                <w:sz w:val="20"/>
                <w:szCs w:val="20"/>
                <w:lang w:bidi="ar-AE"/>
              </w:rPr>
              <w:t xml:space="preserve">Chapitre IX : </w:t>
            </w:r>
            <w:r w:rsidRPr="00E54BD4">
              <w:rPr>
                <w:rFonts w:asciiTheme="majorBidi" w:hAnsiTheme="majorBidi" w:cstheme="majorBidi"/>
                <w:sz w:val="20"/>
                <w:szCs w:val="20"/>
              </w:rPr>
              <w:t>Polysémie lexicale des traductions</w:t>
            </w:r>
          </w:p>
          <w:p w14:paraId="2DF7FB93" w14:textId="77777777" w:rsidR="007B1884" w:rsidRPr="00E54BD4" w:rsidRDefault="007A626A" w:rsidP="00876BB0">
            <w:pPr>
              <w:pStyle w:val="Paragraphedeliste"/>
              <w:numPr>
                <w:ilvl w:val="1"/>
                <w:numId w:val="124"/>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rPr>
              <w:t>Traduction de quelques mots génériques</w:t>
            </w:r>
          </w:p>
          <w:p w14:paraId="6736805B" w14:textId="77777777" w:rsidR="007B1884" w:rsidRPr="00E54BD4" w:rsidRDefault="007A626A" w:rsidP="00876BB0">
            <w:pPr>
              <w:pStyle w:val="Paragraphedeliste"/>
              <w:numPr>
                <w:ilvl w:val="1"/>
                <w:numId w:val="124"/>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lang w:bidi="ar-AE"/>
              </w:rPr>
              <w:t xml:space="preserve">Traduction des </w:t>
            </w:r>
            <w:r w:rsidRPr="00E54BD4">
              <w:rPr>
                <w:rFonts w:asciiTheme="majorBidi" w:hAnsiTheme="majorBidi" w:cstheme="majorBidi"/>
                <w:i/>
                <w:iCs/>
                <w:sz w:val="20"/>
                <w:szCs w:val="20"/>
                <w:lang w:bidi="ar-AE"/>
              </w:rPr>
              <w:t>hapax legomenon</w:t>
            </w:r>
          </w:p>
          <w:p w14:paraId="044CF7EE" w14:textId="77777777" w:rsidR="007B1884" w:rsidRPr="00E54BD4" w:rsidRDefault="007A626A" w:rsidP="00876BB0">
            <w:pPr>
              <w:pStyle w:val="Paragraphedeliste"/>
              <w:numPr>
                <w:ilvl w:val="1"/>
                <w:numId w:val="124"/>
              </w:numPr>
              <w:bidi w:val="0"/>
              <w:spacing w:after="0" w:line="240" w:lineRule="auto"/>
              <w:contextualSpacing/>
              <w:jc w:val="both"/>
              <w:rPr>
                <w:rFonts w:asciiTheme="majorBidi" w:hAnsiTheme="majorBidi" w:cstheme="majorBidi"/>
                <w:sz w:val="20"/>
                <w:szCs w:val="20"/>
              </w:rPr>
            </w:pPr>
            <w:r w:rsidRPr="00E54BD4">
              <w:rPr>
                <w:rFonts w:asciiTheme="majorBidi" w:eastAsia="Calibri" w:hAnsiTheme="majorBidi" w:cstheme="majorBidi"/>
                <w:sz w:val="20"/>
                <w:szCs w:val="20"/>
                <w:lang w:bidi="ar-AE"/>
              </w:rPr>
              <w:t>Polysémie des noms de Dieu</w:t>
            </w:r>
          </w:p>
          <w:p w14:paraId="38A036FB" w14:textId="17D02228" w:rsidR="007A626A" w:rsidRPr="00E54BD4" w:rsidRDefault="007A626A" w:rsidP="00876BB0">
            <w:pPr>
              <w:pStyle w:val="Paragraphedeliste"/>
              <w:numPr>
                <w:ilvl w:val="1"/>
                <w:numId w:val="124"/>
              </w:numPr>
              <w:bidi w:val="0"/>
              <w:spacing w:after="0" w:line="240" w:lineRule="auto"/>
              <w:contextualSpacing/>
              <w:jc w:val="both"/>
              <w:rPr>
                <w:rFonts w:asciiTheme="majorBidi" w:hAnsiTheme="majorBidi" w:cstheme="majorBidi"/>
                <w:sz w:val="20"/>
                <w:szCs w:val="20"/>
              </w:rPr>
            </w:pPr>
            <w:r w:rsidRPr="00E54BD4">
              <w:rPr>
                <w:rFonts w:asciiTheme="majorBidi" w:hAnsiTheme="majorBidi" w:cstheme="majorBidi"/>
                <w:sz w:val="20"/>
                <w:szCs w:val="20"/>
              </w:rPr>
              <w:t xml:space="preserve">Traduction du terme </w:t>
            </w:r>
            <w:r w:rsidRPr="00E54BD4">
              <w:rPr>
                <w:rFonts w:asciiTheme="majorBidi" w:hAnsiTheme="majorBidi" w:cstheme="majorBidi"/>
                <w:i/>
                <w:iCs/>
                <w:sz w:val="20"/>
                <w:szCs w:val="20"/>
              </w:rPr>
              <w:t>Allāh</w:t>
            </w:r>
          </w:p>
        </w:tc>
        <w:tc>
          <w:tcPr>
            <w:tcW w:w="929" w:type="dxa"/>
          </w:tcPr>
          <w:p w14:paraId="711C9682" w14:textId="3DF927F1" w:rsidR="009E245D" w:rsidRPr="00E54BD4" w:rsidRDefault="00E12B1B" w:rsidP="00490604">
            <w:pPr>
              <w:contextualSpacing/>
              <w:jc w:val="both"/>
              <w:rPr>
                <w:rFonts w:asciiTheme="majorBidi" w:hAnsiTheme="majorBidi" w:cstheme="majorBidi"/>
                <w:sz w:val="20"/>
                <w:szCs w:val="20"/>
              </w:rPr>
            </w:pPr>
            <w:r>
              <w:rPr>
                <w:rFonts w:asciiTheme="majorBidi" w:hAnsiTheme="majorBidi" w:cstheme="majorBidi"/>
                <w:sz w:val="20"/>
                <w:szCs w:val="20"/>
              </w:rPr>
              <w:t>335</w:t>
            </w:r>
          </w:p>
          <w:p w14:paraId="55C35C9E" w14:textId="200F0DA3" w:rsidR="008C75AB" w:rsidRPr="00E54BD4" w:rsidRDefault="00E12B1B" w:rsidP="00490604">
            <w:pPr>
              <w:contextualSpacing/>
              <w:jc w:val="both"/>
              <w:rPr>
                <w:rFonts w:asciiTheme="majorBidi" w:hAnsiTheme="majorBidi" w:cstheme="majorBidi"/>
                <w:sz w:val="20"/>
                <w:szCs w:val="20"/>
              </w:rPr>
            </w:pPr>
            <w:r>
              <w:rPr>
                <w:rFonts w:asciiTheme="majorBidi" w:hAnsiTheme="majorBidi" w:cstheme="majorBidi"/>
                <w:sz w:val="20"/>
                <w:szCs w:val="20"/>
              </w:rPr>
              <w:t>335</w:t>
            </w:r>
          </w:p>
          <w:p w14:paraId="1DA97D74" w14:textId="56112D61" w:rsidR="00AD736F" w:rsidRPr="00E54BD4" w:rsidRDefault="00E12B1B" w:rsidP="00490604">
            <w:pPr>
              <w:contextualSpacing/>
              <w:jc w:val="both"/>
              <w:rPr>
                <w:rFonts w:asciiTheme="majorBidi" w:hAnsiTheme="majorBidi" w:cstheme="majorBidi"/>
                <w:sz w:val="20"/>
                <w:szCs w:val="20"/>
              </w:rPr>
            </w:pPr>
            <w:r>
              <w:rPr>
                <w:rFonts w:asciiTheme="majorBidi" w:hAnsiTheme="majorBidi" w:cstheme="majorBidi"/>
                <w:sz w:val="20"/>
                <w:szCs w:val="20"/>
              </w:rPr>
              <w:t>371</w:t>
            </w:r>
          </w:p>
          <w:p w14:paraId="45370094" w14:textId="22E51CE3" w:rsidR="00AD736F" w:rsidRPr="00E54BD4" w:rsidRDefault="00742803" w:rsidP="00490604">
            <w:pPr>
              <w:contextualSpacing/>
              <w:jc w:val="both"/>
              <w:rPr>
                <w:rFonts w:asciiTheme="majorBidi" w:hAnsiTheme="majorBidi" w:cstheme="majorBidi"/>
                <w:sz w:val="20"/>
                <w:szCs w:val="20"/>
              </w:rPr>
            </w:pPr>
            <w:r>
              <w:rPr>
                <w:rFonts w:asciiTheme="majorBidi" w:hAnsiTheme="majorBidi" w:cstheme="majorBidi"/>
                <w:sz w:val="20"/>
                <w:szCs w:val="20"/>
              </w:rPr>
              <w:t>382</w:t>
            </w:r>
          </w:p>
          <w:p w14:paraId="756A1685" w14:textId="7EEA3FBB" w:rsidR="00AD736F" w:rsidRPr="00E54BD4" w:rsidRDefault="00E12B1B" w:rsidP="00490604">
            <w:pPr>
              <w:contextualSpacing/>
              <w:jc w:val="both"/>
              <w:rPr>
                <w:rFonts w:asciiTheme="majorBidi" w:hAnsiTheme="majorBidi" w:cstheme="majorBidi"/>
                <w:sz w:val="20"/>
                <w:szCs w:val="20"/>
              </w:rPr>
            </w:pPr>
            <w:r>
              <w:rPr>
                <w:rFonts w:asciiTheme="majorBidi" w:hAnsiTheme="majorBidi" w:cstheme="majorBidi"/>
                <w:sz w:val="20"/>
                <w:szCs w:val="20"/>
              </w:rPr>
              <w:t>398</w:t>
            </w:r>
          </w:p>
        </w:tc>
      </w:tr>
      <w:tr w:rsidR="009E245D" w:rsidRPr="00E54BD4" w14:paraId="71B3A417" w14:textId="77777777" w:rsidTr="001504D2">
        <w:trPr>
          <w:trHeight w:val="2254"/>
        </w:trPr>
        <w:tc>
          <w:tcPr>
            <w:tcW w:w="9030" w:type="dxa"/>
          </w:tcPr>
          <w:p w14:paraId="729F8DE0" w14:textId="77777777" w:rsidR="009E245D" w:rsidRPr="00E54BD4" w:rsidRDefault="009E245D" w:rsidP="00876BB0">
            <w:pPr>
              <w:pStyle w:val="Paragraphedeliste"/>
              <w:numPr>
                <w:ilvl w:val="0"/>
                <w:numId w:val="124"/>
              </w:numPr>
              <w:bidi w:val="0"/>
              <w:spacing w:after="0" w:line="240" w:lineRule="auto"/>
              <w:contextualSpacing/>
              <w:jc w:val="both"/>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Chapitre X : Polysémie des énoncés dans les traductions</w:t>
            </w:r>
          </w:p>
          <w:p w14:paraId="1C2AA811" w14:textId="77777777" w:rsidR="00642F5B"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rPr>
              <w:t>Traduction de la phrase « </w:t>
            </w:r>
            <w:r w:rsidRPr="00E54BD4">
              <w:rPr>
                <w:rFonts w:asciiTheme="majorBidi" w:hAnsiTheme="majorBidi" w:cstheme="majorBidi"/>
                <w:sz w:val="20"/>
                <w:szCs w:val="20"/>
                <w:rtl/>
              </w:rPr>
              <w:t>تضع كلُّ ذات حَمل حَملها</w:t>
            </w:r>
            <w:r w:rsidRPr="00E54BD4">
              <w:rPr>
                <w:rFonts w:asciiTheme="majorBidi" w:hAnsiTheme="majorBidi" w:cstheme="majorBidi"/>
                <w:i/>
                <w:iCs/>
                <w:sz w:val="20"/>
                <w:szCs w:val="20"/>
              </w:rPr>
              <w:t> </w:t>
            </w:r>
            <w:r w:rsidRPr="00E54BD4">
              <w:rPr>
                <w:rFonts w:asciiTheme="majorBidi" w:hAnsiTheme="majorBidi" w:cstheme="majorBidi"/>
                <w:sz w:val="20"/>
                <w:szCs w:val="20"/>
              </w:rPr>
              <w:t>» (v. 2)</w:t>
            </w:r>
          </w:p>
          <w:p w14:paraId="6F850FF1" w14:textId="77777777" w:rsidR="00642F5B"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lang w:bidi="ar-KW"/>
              </w:rPr>
              <w:t>Traduction du verset 15</w:t>
            </w:r>
          </w:p>
          <w:p w14:paraId="3678EB51" w14:textId="77777777" w:rsidR="00642F5B"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shd w:val="clear" w:color="auto" w:fill="FFFFFF"/>
                <w:lang w:bidi="ar-KW"/>
              </w:rPr>
              <w:t xml:space="preserve">La traduction du concept de prédestination dans le verbe </w:t>
            </w:r>
            <w:r w:rsidRPr="00E54BD4">
              <w:rPr>
                <w:rFonts w:asciiTheme="majorBidi" w:hAnsiTheme="majorBidi" w:cstheme="majorBidi"/>
                <w:i/>
                <w:iCs/>
                <w:sz w:val="20"/>
                <w:szCs w:val="20"/>
                <w:shd w:val="clear" w:color="auto" w:fill="FFFFFF"/>
                <w:lang w:bidi="ar-KW"/>
              </w:rPr>
              <w:t>kutiba</w:t>
            </w:r>
            <w:r w:rsidRPr="00E54BD4">
              <w:rPr>
                <w:rFonts w:asciiTheme="majorBidi" w:hAnsiTheme="majorBidi" w:cstheme="majorBidi"/>
                <w:sz w:val="20"/>
                <w:szCs w:val="20"/>
                <w:shd w:val="clear" w:color="auto" w:fill="FFFFFF"/>
                <w:lang w:bidi="ar-KW"/>
              </w:rPr>
              <w:t xml:space="preserve"> (v. 4)</w:t>
            </w:r>
          </w:p>
          <w:p w14:paraId="2CBF2519" w14:textId="77777777" w:rsidR="00642F5B"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rPr>
              <w:t xml:space="preserve">La forme du verbe </w:t>
            </w:r>
            <w:r w:rsidRPr="00E54BD4">
              <w:rPr>
                <w:rFonts w:asciiTheme="majorBidi" w:hAnsiTheme="majorBidi" w:cstheme="majorBidi"/>
                <w:i/>
                <w:iCs/>
                <w:sz w:val="20"/>
                <w:szCs w:val="20"/>
              </w:rPr>
              <w:t>yuqātalūna</w:t>
            </w:r>
            <w:r w:rsidRPr="00E54BD4">
              <w:rPr>
                <w:rFonts w:asciiTheme="majorBidi" w:hAnsiTheme="majorBidi" w:cstheme="majorBidi"/>
                <w:sz w:val="20"/>
                <w:szCs w:val="20"/>
              </w:rPr>
              <w:t xml:space="preserve"> (passif) ou </w:t>
            </w:r>
            <w:r w:rsidRPr="00E54BD4">
              <w:rPr>
                <w:rFonts w:asciiTheme="majorBidi" w:hAnsiTheme="majorBidi" w:cstheme="majorBidi"/>
                <w:i/>
                <w:iCs/>
                <w:sz w:val="20"/>
                <w:szCs w:val="20"/>
              </w:rPr>
              <w:t>yuqātilūna</w:t>
            </w:r>
            <w:r w:rsidRPr="00E54BD4">
              <w:rPr>
                <w:rFonts w:asciiTheme="majorBidi" w:hAnsiTheme="majorBidi" w:cstheme="majorBidi"/>
                <w:sz w:val="20"/>
                <w:szCs w:val="20"/>
              </w:rPr>
              <w:t xml:space="preserve"> (actif) ? (v. 39)</w:t>
            </w:r>
          </w:p>
          <w:p w14:paraId="11739043" w14:textId="333D798E" w:rsidR="00642F5B" w:rsidRPr="00E54BD4" w:rsidRDefault="00E35918"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rPr>
              <w:t xml:space="preserve">La </w:t>
            </w:r>
            <w:r w:rsidR="00642F5B" w:rsidRPr="00E54BD4">
              <w:rPr>
                <w:rFonts w:asciiTheme="majorBidi" w:hAnsiTheme="majorBidi" w:cstheme="majorBidi"/>
                <w:sz w:val="20"/>
                <w:szCs w:val="20"/>
              </w:rPr>
              <w:t xml:space="preserve">traduction du concept du </w:t>
            </w:r>
            <w:r w:rsidR="00642F5B" w:rsidRPr="00E54BD4">
              <w:rPr>
                <w:rFonts w:asciiTheme="majorBidi" w:hAnsiTheme="majorBidi" w:cstheme="majorBidi"/>
                <w:i/>
                <w:iCs/>
                <w:sz w:val="20"/>
                <w:szCs w:val="20"/>
              </w:rPr>
              <w:t>baʿth</w:t>
            </w:r>
            <w:r w:rsidR="00642F5B" w:rsidRPr="00E54BD4">
              <w:rPr>
                <w:rFonts w:asciiTheme="majorBidi" w:hAnsiTheme="majorBidi" w:cstheme="majorBidi"/>
                <w:sz w:val="20"/>
                <w:szCs w:val="20"/>
              </w:rPr>
              <w:t> (v. 5)</w:t>
            </w:r>
          </w:p>
          <w:p w14:paraId="15080ABC" w14:textId="77777777" w:rsidR="00642F5B"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lang w:bidi="ar-EG"/>
              </w:rPr>
              <w:t xml:space="preserve">Traduction </w:t>
            </w:r>
            <w:r w:rsidRPr="00E54BD4">
              <w:rPr>
                <w:rFonts w:asciiTheme="majorBidi" w:hAnsiTheme="majorBidi" w:cstheme="majorBidi"/>
                <w:sz w:val="20"/>
                <w:szCs w:val="20"/>
              </w:rPr>
              <w:t>de l’</w:t>
            </w:r>
            <w:r w:rsidRPr="00E54BD4">
              <w:rPr>
                <w:rFonts w:asciiTheme="majorBidi" w:hAnsiTheme="majorBidi" w:cstheme="majorBidi"/>
                <w:sz w:val="20"/>
                <w:szCs w:val="20"/>
                <w:lang w:bidi="ar-AE"/>
              </w:rPr>
              <w:t>anastrophe [</w:t>
            </w:r>
            <w:r w:rsidRPr="00E54BD4">
              <w:rPr>
                <w:rFonts w:asciiTheme="majorBidi" w:hAnsiTheme="majorBidi" w:cstheme="majorBidi"/>
                <w:i/>
                <w:iCs/>
                <w:sz w:val="20"/>
                <w:szCs w:val="20"/>
                <w:lang w:bidi="ar-AE"/>
              </w:rPr>
              <w:t>at-taqdīm wa-at-taʾkhīr</w:t>
            </w:r>
            <w:r w:rsidRPr="00E54BD4">
              <w:rPr>
                <w:rFonts w:asciiTheme="majorBidi" w:hAnsiTheme="majorBidi" w:cstheme="majorBidi"/>
                <w:sz w:val="20"/>
                <w:szCs w:val="20"/>
                <w:lang w:bidi="ar-AE"/>
              </w:rPr>
              <w:t>]</w:t>
            </w:r>
          </w:p>
          <w:p w14:paraId="12E6A250" w14:textId="48D0E310" w:rsidR="00642F5B" w:rsidRPr="00E54BD4" w:rsidRDefault="006816B0"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rPr>
              <w:t>Traduction d</w:t>
            </w:r>
            <w:r w:rsidR="007C4445" w:rsidRPr="00E54BD4">
              <w:rPr>
                <w:rFonts w:asciiTheme="majorBidi" w:hAnsiTheme="majorBidi" w:cstheme="majorBidi"/>
                <w:sz w:val="20"/>
                <w:szCs w:val="20"/>
              </w:rPr>
              <w:t>e l’omission et de la ponctuation</w:t>
            </w:r>
          </w:p>
          <w:p w14:paraId="22031253" w14:textId="1647018A" w:rsidR="00642F5B"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lang w:bidi="ar-AE"/>
              </w:rPr>
              <w:t>Aspects idéologiques</w:t>
            </w:r>
            <w:r w:rsidR="00880EEE" w:rsidRPr="00E54BD4">
              <w:rPr>
                <w:rFonts w:asciiTheme="majorBidi" w:hAnsiTheme="majorBidi" w:cstheme="majorBidi"/>
                <w:sz w:val="20"/>
                <w:szCs w:val="20"/>
                <w:lang w:bidi="ar-AE"/>
              </w:rPr>
              <w:t> : Traduction du verset 41</w:t>
            </w:r>
          </w:p>
          <w:p w14:paraId="4D271DCF" w14:textId="77777777" w:rsidR="00715F3F"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shd w:val="clear" w:color="auto" w:fill="FFFFFF"/>
                <w:lang w:bidi="ar-KW"/>
              </w:rPr>
              <w:t>Polysémie des énoncés liée</w:t>
            </w:r>
            <w:r w:rsidRPr="00E54BD4">
              <w:rPr>
                <w:rFonts w:asciiTheme="majorBidi" w:hAnsiTheme="majorBidi" w:cstheme="majorBidi"/>
                <w:sz w:val="20"/>
                <w:szCs w:val="20"/>
              </w:rPr>
              <w:t xml:space="preserve"> aux circonstances de rédaction du Coran (</w:t>
            </w:r>
            <w:r w:rsidRPr="00E54BD4">
              <w:rPr>
                <w:rFonts w:asciiTheme="majorBidi" w:hAnsiTheme="majorBidi" w:cstheme="majorBidi"/>
                <w:i/>
                <w:iCs/>
                <w:sz w:val="20"/>
                <w:szCs w:val="20"/>
              </w:rPr>
              <w:t>asbāb an-nuzūl</w:t>
            </w:r>
            <w:r w:rsidR="00715F3F" w:rsidRPr="00E54BD4">
              <w:rPr>
                <w:rFonts w:asciiTheme="majorBidi" w:hAnsiTheme="majorBidi" w:cstheme="majorBidi"/>
                <w:sz w:val="20"/>
                <w:szCs w:val="20"/>
              </w:rPr>
              <w:t>)</w:t>
            </w:r>
          </w:p>
          <w:p w14:paraId="3F42A0C3" w14:textId="70AF63C4" w:rsidR="000727BF" w:rsidRPr="00E54BD4" w:rsidRDefault="00642F5B" w:rsidP="00876BB0">
            <w:pPr>
              <w:pStyle w:val="Paragraphedeliste"/>
              <w:numPr>
                <w:ilvl w:val="1"/>
                <w:numId w:val="124"/>
              </w:numPr>
              <w:bidi w:val="0"/>
              <w:spacing w:after="0" w:line="240" w:lineRule="auto"/>
              <w:contextualSpacing/>
              <w:jc w:val="both"/>
              <w:outlineLvl w:val="0"/>
              <w:rPr>
                <w:rFonts w:asciiTheme="majorBidi" w:hAnsiTheme="majorBidi" w:cstheme="majorBidi"/>
                <w:sz w:val="20"/>
                <w:szCs w:val="20"/>
              </w:rPr>
            </w:pPr>
            <w:r w:rsidRPr="00E54BD4">
              <w:rPr>
                <w:rFonts w:asciiTheme="majorBidi" w:hAnsiTheme="majorBidi" w:cstheme="majorBidi"/>
                <w:sz w:val="20"/>
                <w:szCs w:val="20"/>
                <w:lang w:bidi="ar-KW"/>
              </w:rPr>
              <w:t xml:space="preserve">Traduction de certaines images </w:t>
            </w:r>
            <w:r w:rsidRPr="00E54BD4">
              <w:rPr>
                <w:rFonts w:asciiTheme="majorBidi" w:hAnsiTheme="majorBidi" w:cstheme="majorBidi"/>
                <w:sz w:val="20"/>
                <w:szCs w:val="20"/>
              </w:rPr>
              <w:t>qui relèvent du vernaculaire</w:t>
            </w:r>
          </w:p>
        </w:tc>
        <w:tc>
          <w:tcPr>
            <w:tcW w:w="929" w:type="dxa"/>
          </w:tcPr>
          <w:p w14:paraId="2BE060E7" w14:textId="4DD959EA" w:rsidR="009E245D" w:rsidRPr="00E54BD4" w:rsidRDefault="00E12B1B" w:rsidP="00490604">
            <w:pPr>
              <w:contextualSpacing/>
              <w:jc w:val="both"/>
              <w:rPr>
                <w:rFonts w:asciiTheme="majorBidi" w:hAnsiTheme="majorBidi" w:cstheme="majorBidi"/>
                <w:sz w:val="20"/>
                <w:szCs w:val="20"/>
              </w:rPr>
            </w:pPr>
            <w:r>
              <w:rPr>
                <w:rFonts w:asciiTheme="majorBidi" w:hAnsiTheme="majorBidi" w:cstheme="majorBidi"/>
                <w:sz w:val="20"/>
                <w:szCs w:val="20"/>
              </w:rPr>
              <w:t>405</w:t>
            </w:r>
          </w:p>
          <w:p w14:paraId="1D1EB667" w14:textId="5ED6DB1C" w:rsidR="00CA74A9" w:rsidRPr="00E54BD4" w:rsidRDefault="00E12B1B" w:rsidP="00490604">
            <w:pPr>
              <w:contextualSpacing/>
              <w:jc w:val="both"/>
              <w:rPr>
                <w:rFonts w:asciiTheme="majorBidi" w:hAnsiTheme="majorBidi" w:cstheme="majorBidi"/>
                <w:sz w:val="20"/>
                <w:szCs w:val="20"/>
              </w:rPr>
            </w:pPr>
            <w:r>
              <w:rPr>
                <w:rFonts w:asciiTheme="majorBidi" w:hAnsiTheme="majorBidi" w:cstheme="majorBidi"/>
                <w:sz w:val="20"/>
                <w:szCs w:val="20"/>
              </w:rPr>
              <w:t>405</w:t>
            </w:r>
          </w:p>
          <w:p w14:paraId="7586BC02" w14:textId="528CEBCB" w:rsidR="00CA74A9" w:rsidRPr="00E54BD4" w:rsidRDefault="0098531B" w:rsidP="00490604">
            <w:pPr>
              <w:contextualSpacing/>
              <w:jc w:val="both"/>
              <w:rPr>
                <w:rFonts w:asciiTheme="majorBidi" w:hAnsiTheme="majorBidi" w:cstheme="majorBidi"/>
                <w:sz w:val="20"/>
                <w:szCs w:val="20"/>
              </w:rPr>
            </w:pPr>
            <w:r>
              <w:rPr>
                <w:rFonts w:asciiTheme="majorBidi" w:hAnsiTheme="majorBidi" w:cstheme="majorBidi"/>
                <w:sz w:val="20"/>
                <w:szCs w:val="20"/>
              </w:rPr>
              <w:t>407</w:t>
            </w:r>
          </w:p>
          <w:p w14:paraId="4E72F8FC" w14:textId="41E3045A" w:rsidR="00CA74A9" w:rsidRPr="00E54BD4" w:rsidRDefault="0098531B" w:rsidP="00490604">
            <w:pPr>
              <w:contextualSpacing/>
              <w:jc w:val="both"/>
              <w:rPr>
                <w:rFonts w:asciiTheme="majorBidi" w:hAnsiTheme="majorBidi" w:cstheme="majorBidi"/>
                <w:sz w:val="20"/>
                <w:szCs w:val="20"/>
              </w:rPr>
            </w:pPr>
            <w:r>
              <w:rPr>
                <w:rFonts w:asciiTheme="majorBidi" w:hAnsiTheme="majorBidi" w:cstheme="majorBidi"/>
                <w:sz w:val="20"/>
                <w:szCs w:val="20"/>
              </w:rPr>
              <w:t>410</w:t>
            </w:r>
          </w:p>
          <w:p w14:paraId="2BC6AA73" w14:textId="1E836C49" w:rsidR="00CA74A9" w:rsidRPr="00E54BD4" w:rsidRDefault="0098531B" w:rsidP="00490604">
            <w:pPr>
              <w:contextualSpacing/>
              <w:jc w:val="both"/>
              <w:rPr>
                <w:rFonts w:asciiTheme="majorBidi" w:hAnsiTheme="majorBidi" w:cstheme="majorBidi"/>
                <w:sz w:val="20"/>
                <w:szCs w:val="20"/>
              </w:rPr>
            </w:pPr>
            <w:r>
              <w:rPr>
                <w:rFonts w:asciiTheme="majorBidi" w:hAnsiTheme="majorBidi" w:cstheme="majorBidi"/>
                <w:sz w:val="20"/>
                <w:szCs w:val="20"/>
              </w:rPr>
              <w:t>411</w:t>
            </w:r>
          </w:p>
          <w:p w14:paraId="4FE0679C" w14:textId="30920906" w:rsidR="00CA74A9" w:rsidRPr="00E54BD4" w:rsidRDefault="0098531B" w:rsidP="00490604">
            <w:pPr>
              <w:contextualSpacing/>
              <w:jc w:val="both"/>
              <w:rPr>
                <w:rFonts w:asciiTheme="majorBidi" w:hAnsiTheme="majorBidi" w:cstheme="majorBidi"/>
                <w:sz w:val="20"/>
                <w:szCs w:val="20"/>
              </w:rPr>
            </w:pPr>
            <w:r>
              <w:rPr>
                <w:rFonts w:asciiTheme="majorBidi" w:hAnsiTheme="majorBidi" w:cstheme="majorBidi"/>
                <w:sz w:val="20"/>
                <w:szCs w:val="20"/>
              </w:rPr>
              <w:t>412</w:t>
            </w:r>
          </w:p>
          <w:p w14:paraId="012A2C9E" w14:textId="29A68076" w:rsidR="00B7469C" w:rsidRPr="00E54BD4" w:rsidRDefault="00E61741" w:rsidP="00490604">
            <w:pPr>
              <w:contextualSpacing/>
              <w:jc w:val="both"/>
              <w:rPr>
                <w:rFonts w:asciiTheme="majorBidi" w:hAnsiTheme="majorBidi" w:cstheme="majorBidi"/>
                <w:sz w:val="20"/>
                <w:szCs w:val="20"/>
              </w:rPr>
            </w:pPr>
            <w:r>
              <w:rPr>
                <w:rFonts w:asciiTheme="majorBidi" w:hAnsiTheme="majorBidi" w:cstheme="majorBidi"/>
                <w:sz w:val="20"/>
                <w:szCs w:val="20"/>
              </w:rPr>
              <w:t>422</w:t>
            </w:r>
          </w:p>
          <w:p w14:paraId="30E74CC1" w14:textId="2E11AB9B" w:rsidR="006816B0" w:rsidRPr="00E54BD4" w:rsidRDefault="00E61741" w:rsidP="00490604">
            <w:pPr>
              <w:contextualSpacing/>
              <w:jc w:val="both"/>
              <w:rPr>
                <w:rFonts w:asciiTheme="majorBidi" w:hAnsiTheme="majorBidi" w:cstheme="majorBidi"/>
                <w:sz w:val="20"/>
                <w:szCs w:val="20"/>
              </w:rPr>
            </w:pPr>
            <w:r>
              <w:rPr>
                <w:rFonts w:asciiTheme="majorBidi" w:hAnsiTheme="majorBidi" w:cstheme="majorBidi"/>
                <w:sz w:val="20"/>
                <w:szCs w:val="20"/>
              </w:rPr>
              <w:t>428</w:t>
            </w:r>
          </w:p>
          <w:p w14:paraId="27A39FEF" w14:textId="3C78292E" w:rsidR="00880EEE" w:rsidRPr="00E54BD4" w:rsidRDefault="00E61741" w:rsidP="00490604">
            <w:pPr>
              <w:contextualSpacing/>
              <w:jc w:val="both"/>
              <w:rPr>
                <w:rFonts w:asciiTheme="majorBidi" w:hAnsiTheme="majorBidi" w:cstheme="majorBidi"/>
                <w:sz w:val="20"/>
                <w:szCs w:val="20"/>
              </w:rPr>
            </w:pPr>
            <w:r>
              <w:rPr>
                <w:rFonts w:asciiTheme="majorBidi" w:hAnsiTheme="majorBidi" w:cstheme="majorBidi"/>
                <w:sz w:val="20"/>
                <w:szCs w:val="20"/>
              </w:rPr>
              <w:t>440</w:t>
            </w:r>
          </w:p>
          <w:p w14:paraId="31342D84" w14:textId="66D19746" w:rsidR="00715F3F" w:rsidRPr="00E54BD4" w:rsidRDefault="00E61741" w:rsidP="00490604">
            <w:pPr>
              <w:contextualSpacing/>
              <w:jc w:val="both"/>
              <w:rPr>
                <w:rFonts w:asciiTheme="majorBidi" w:hAnsiTheme="majorBidi" w:cstheme="majorBidi"/>
                <w:sz w:val="20"/>
                <w:szCs w:val="20"/>
              </w:rPr>
            </w:pPr>
            <w:r>
              <w:rPr>
                <w:rFonts w:asciiTheme="majorBidi" w:hAnsiTheme="majorBidi" w:cstheme="majorBidi"/>
                <w:sz w:val="20"/>
                <w:szCs w:val="20"/>
              </w:rPr>
              <w:t>443</w:t>
            </w:r>
          </w:p>
          <w:p w14:paraId="7A1E2663" w14:textId="111AAA18" w:rsidR="00B7469C" w:rsidRPr="00E54BD4" w:rsidRDefault="00B259E9"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448</w:t>
            </w:r>
          </w:p>
        </w:tc>
      </w:tr>
      <w:tr w:rsidR="009E245D" w:rsidRPr="00E54BD4" w14:paraId="559C40D9" w14:textId="77777777" w:rsidTr="001504D2">
        <w:trPr>
          <w:trHeight w:val="590"/>
        </w:trPr>
        <w:tc>
          <w:tcPr>
            <w:tcW w:w="9030" w:type="dxa"/>
          </w:tcPr>
          <w:p w14:paraId="7933CD3A" w14:textId="05EBA681" w:rsidR="007B1884" w:rsidRPr="00E54BD4" w:rsidRDefault="009E245D" w:rsidP="00876BB0">
            <w:pPr>
              <w:pStyle w:val="Paragraphedeliste"/>
              <w:numPr>
                <w:ilvl w:val="0"/>
                <w:numId w:val="124"/>
              </w:numPr>
              <w:bidi w:val="0"/>
              <w:spacing w:after="0" w:line="240" w:lineRule="auto"/>
              <w:contextualSpacing/>
              <w:jc w:val="both"/>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Chapitre XI : Convergences et divergences dans les traductions</w:t>
            </w:r>
          </w:p>
          <w:p w14:paraId="5B09FDB0" w14:textId="77777777" w:rsidR="007B1884" w:rsidRPr="00E54BD4" w:rsidRDefault="00AF4FC9" w:rsidP="00876BB0">
            <w:pPr>
              <w:pStyle w:val="Paragraphedeliste"/>
              <w:numPr>
                <w:ilvl w:val="1"/>
                <w:numId w:val="124"/>
              </w:numPr>
              <w:bidi w:val="0"/>
              <w:spacing w:after="0" w:line="240" w:lineRule="auto"/>
              <w:contextualSpacing/>
              <w:jc w:val="both"/>
              <w:rPr>
                <w:rFonts w:asciiTheme="majorBidi" w:eastAsia="Calibri" w:hAnsiTheme="majorBidi" w:cstheme="majorBidi"/>
                <w:sz w:val="20"/>
                <w:szCs w:val="20"/>
                <w:lang w:bidi="ar-AE"/>
              </w:rPr>
            </w:pPr>
            <w:r w:rsidRPr="00E54BD4">
              <w:rPr>
                <w:rFonts w:asciiTheme="majorBidi" w:hAnsiTheme="majorBidi" w:cstheme="majorBidi"/>
                <w:sz w:val="20"/>
                <w:szCs w:val="20"/>
              </w:rPr>
              <w:t>Les extrêmes se touchent</w:t>
            </w:r>
          </w:p>
          <w:p w14:paraId="13A56BE4" w14:textId="295632AA" w:rsidR="00AF4FC9" w:rsidRPr="00E54BD4" w:rsidRDefault="00AF4FC9" w:rsidP="00876BB0">
            <w:pPr>
              <w:pStyle w:val="Paragraphedeliste"/>
              <w:numPr>
                <w:ilvl w:val="1"/>
                <w:numId w:val="124"/>
              </w:numPr>
              <w:bidi w:val="0"/>
              <w:spacing w:after="0" w:line="240" w:lineRule="auto"/>
              <w:contextualSpacing/>
              <w:jc w:val="both"/>
              <w:rPr>
                <w:rFonts w:asciiTheme="majorBidi" w:eastAsia="Calibri" w:hAnsiTheme="majorBidi" w:cstheme="majorBidi"/>
                <w:sz w:val="20"/>
                <w:szCs w:val="20"/>
                <w:lang w:bidi="ar-AE"/>
              </w:rPr>
            </w:pPr>
            <w:r w:rsidRPr="00E54BD4">
              <w:rPr>
                <w:rFonts w:asciiTheme="majorBidi" w:hAnsiTheme="majorBidi" w:cstheme="majorBidi"/>
                <w:sz w:val="20"/>
                <w:szCs w:val="20"/>
              </w:rPr>
              <w:t>Différences entre la traduction de Hamidullah et celle du Complexe de Médine</w:t>
            </w:r>
          </w:p>
        </w:tc>
        <w:tc>
          <w:tcPr>
            <w:tcW w:w="929" w:type="dxa"/>
          </w:tcPr>
          <w:p w14:paraId="7B798437" w14:textId="5BE89D77" w:rsidR="009E245D" w:rsidRPr="00E54BD4" w:rsidRDefault="00E61741" w:rsidP="00490604">
            <w:pPr>
              <w:contextualSpacing/>
              <w:jc w:val="both"/>
              <w:rPr>
                <w:rFonts w:asciiTheme="majorBidi" w:hAnsiTheme="majorBidi" w:cstheme="majorBidi"/>
                <w:sz w:val="20"/>
                <w:szCs w:val="20"/>
              </w:rPr>
            </w:pPr>
            <w:r>
              <w:rPr>
                <w:rFonts w:asciiTheme="majorBidi" w:hAnsiTheme="majorBidi" w:cstheme="majorBidi"/>
                <w:sz w:val="20"/>
                <w:szCs w:val="20"/>
              </w:rPr>
              <w:t>458</w:t>
            </w:r>
          </w:p>
          <w:p w14:paraId="3B0287F1" w14:textId="1CA2F1BE" w:rsidR="00DB4189" w:rsidRPr="00E54BD4" w:rsidRDefault="00E75376" w:rsidP="00490604">
            <w:pPr>
              <w:contextualSpacing/>
              <w:jc w:val="both"/>
              <w:rPr>
                <w:rFonts w:asciiTheme="majorBidi" w:hAnsiTheme="majorBidi" w:cstheme="majorBidi"/>
                <w:sz w:val="20"/>
                <w:szCs w:val="20"/>
              </w:rPr>
            </w:pPr>
            <w:r>
              <w:rPr>
                <w:rFonts w:asciiTheme="majorBidi" w:hAnsiTheme="majorBidi" w:cstheme="majorBidi"/>
                <w:sz w:val="20"/>
                <w:szCs w:val="20"/>
              </w:rPr>
              <w:t>458</w:t>
            </w:r>
          </w:p>
          <w:p w14:paraId="4C28D5BB" w14:textId="6903075F" w:rsidR="00C44FFA" w:rsidRPr="00E54BD4" w:rsidRDefault="00DB4189"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47</w:t>
            </w:r>
            <w:r w:rsidR="00E75376">
              <w:rPr>
                <w:rFonts w:asciiTheme="majorBidi" w:hAnsiTheme="majorBidi" w:cstheme="majorBidi"/>
                <w:sz w:val="20"/>
                <w:szCs w:val="20"/>
              </w:rPr>
              <w:t>3</w:t>
            </w:r>
          </w:p>
        </w:tc>
      </w:tr>
      <w:tr w:rsidR="002666F3" w:rsidRPr="00E54BD4" w14:paraId="7F47812F" w14:textId="77777777" w:rsidTr="001504D2">
        <w:tc>
          <w:tcPr>
            <w:tcW w:w="9030" w:type="dxa"/>
          </w:tcPr>
          <w:p w14:paraId="15BDD650" w14:textId="506C3779" w:rsidR="002666F3" w:rsidRPr="00E54BD4" w:rsidRDefault="002666F3" w:rsidP="00490604">
            <w:pPr>
              <w:contextualSpacing/>
              <w:jc w:val="both"/>
              <w:rPr>
                <w:rFonts w:asciiTheme="majorBidi" w:eastAsia="Calibri" w:hAnsiTheme="majorBidi" w:cstheme="majorBidi"/>
                <w:sz w:val="20"/>
                <w:szCs w:val="20"/>
                <w:lang w:bidi="ar-AE"/>
              </w:rPr>
            </w:pPr>
            <w:r w:rsidRPr="00E54BD4">
              <w:rPr>
                <w:rFonts w:asciiTheme="majorBidi" w:eastAsia="Calibri" w:hAnsiTheme="majorBidi" w:cstheme="majorBidi"/>
                <w:sz w:val="20"/>
                <w:szCs w:val="20"/>
                <w:lang w:bidi="ar-AE"/>
              </w:rPr>
              <w:t>Conclusion</w:t>
            </w:r>
          </w:p>
        </w:tc>
        <w:tc>
          <w:tcPr>
            <w:tcW w:w="929" w:type="dxa"/>
          </w:tcPr>
          <w:p w14:paraId="2ED367F2" w14:textId="67248D4A" w:rsidR="002666F3" w:rsidRPr="00E54BD4" w:rsidRDefault="008F288F"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48</w:t>
            </w:r>
            <w:r w:rsidR="00E75376">
              <w:rPr>
                <w:rFonts w:asciiTheme="majorBidi" w:hAnsiTheme="majorBidi" w:cstheme="majorBidi"/>
                <w:sz w:val="20"/>
                <w:szCs w:val="20"/>
              </w:rPr>
              <w:t>3</w:t>
            </w:r>
          </w:p>
        </w:tc>
      </w:tr>
      <w:tr w:rsidR="00EF3B0D" w:rsidRPr="00E54BD4" w14:paraId="0C1BFB4B" w14:textId="77777777" w:rsidTr="001504D2">
        <w:tc>
          <w:tcPr>
            <w:tcW w:w="9030" w:type="dxa"/>
          </w:tcPr>
          <w:p w14:paraId="0CD09CD4" w14:textId="6F20D51E" w:rsidR="00EF3B0D" w:rsidRPr="00E54BD4" w:rsidRDefault="00EF3B0D" w:rsidP="00490604">
            <w:pPr>
              <w:contextualSpacing/>
              <w:jc w:val="both"/>
              <w:rPr>
                <w:rFonts w:asciiTheme="majorBidi" w:eastAsia="Calibri" w:hAnsiTheme="majorBidi" w:cstheme="majorBidi"/>
                <w:sz w:val="20"/>
                <w:szCs w:val="20"/>
                <w:lang w:bidi="ar-AE"/>
              </w:rPr>
            </w:pPr>
            <w:r>
              <w:rPr>
                <w:rFonts w:asciiTheme="majorBidi" w:eastAsia="Calibri" w:hAnsiTheme="majorBidi" w:cstheme="majorBidi"/>
                <w:sz w:val="20"/>
                <w:szCs w:val="20"/>
                <w:lang w:bidi="ar-AE"/>
              </w:rPr>
              <w:t>Bibliographie</w:t>
            </w:r>
          </w:p>
        </w:tc>
        <w:tc>
          <w:tcPr>
            <w:tcW w:w="929" w:type="dxa"/>
          </w:tcPr>
          <w:p w14:paraId="3A1D2B89" w14:textId="7FE8C26D" w:rsidR="00EF3B0D" w:rsidRPr="00E54BD4" w:rsidRDefault="00EF3B0D" w:rsidP="00490604">
            <w:pPr>
              <w:contextualSpacing/>
              <w:jc w:val="both"/>
              <w:rPr>
                <w:rFonts w:asciiTheme="majorBidi" w:hAnsiTheme="majorBidi" w:cstheme="majorBidi"/>
                <w:sz w:val="20"/>
                <w:szCs w:val="20"/>
              </w:rPr>
            </w:pPr>
            <w:r>
              <w:rPr>
                <w:rFonts w:asciiTheme="majorBidi" w:hAnsiTheme="majorBidi" w:cstheme="majorBidi"/>
                <w:sz w:val="20"/>
                <w:szCs w:val="20"/>
              </w:rPr>
              <w:t>49</w:t>
            </w:r>
            <w:r w:rsidR="00E75376">
              <w:rPr>
                <w:rFonts w:asciiTheme="majorBidi" w:hAnsiTheme="majorBidi" w:cstheme="majorBidi"/>
                <w:sz w:val="20"/>
                <w:szCs w:val="20"/>
              </w:rPr>
              <w:t>2</w:t>
            </w:r>
          </w:p>
        </w:tc>
      </w:tr>
      <w:tr w:rsidR="007C13CA" w:rsidRPr="00E54BD4" w14:paraId="12FABA13" w14:textId="77777777" w:rsidTr="001504D2">
        <w:trPr>
          <w:trHeight w:val="185"/>
        </w:trPr>
        <w:tc>
          <w:tcPr>
            <w:tcW w:w="9030" w:type="dxa"/>
          </w:tcPr>
          <w:p w14:paraId="7182C5E2" w14:textId="5A313314" w:rsidR="007C13CA" w:rsidRPr="00E54BD4" w:rsidRDefault="007C13CA"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Résumé</w:t>
            </w:r>
            <w:r w:rsidR="00681FFB" w:rsidRPr="00E54BD4">
              <w:rPr>
                <w:rFonts w:asciiTheme="majorBidi" w:hAnsiTheme="majorBidi" w:cstheme="majorBidi"/>
                <w:sz w:val="20"/>
                <w:szCs w:val="20"/>
              </w:rPr>
              <w:t xml:space="preserve"> - Abstract</w:t>
            </w:r>
          </w:p>
        </w:tc>
        <w:tc>
          <w:tcPr>
            <w:tcW w:w="929" w:type="dxa"/>
          </w:tcPr>
          <w:p w14:paraId="40EE59E0" w14:textId="4FF91969" w:rsidR="007C13CA" w:rsidRPr="00E54BD4" w:rsidRDefault="008B0FB2" w:rsidP="00490604">
            <w:pPr>
              <w:contextualSpacing/>
              <w:jc w:val="both"/>
              <w:rPr>
                <w:rFonts w:asciiTheme="majorBidi" w:hAnsiTheme="majorBidi" w:cstheme="majorBidi"/>
                <w:sz w:val="20"/>
                <w:szCs w:val="20"/>
              </w:rPr>
            </w:pPr>
            <w:r w:rsidRPr="00E54BD4">
              <w:rPr>
                <w:rFonts w:asciiTheme="majorBidi" w:hAnsiTheme="majorBidi" w:cstheme="majorBidi"/>
                <w:sz w:val="20"/>
                <w:szCs w:val="20"/>
              </w:rPr>
              <w:t>50</w:t>
            </w:r>
            <w:r w:rsidR="00E75376">
              <w:rPr>
                <w:rFonts w:asciiTheme="majorBidi" w:hAnsiTheme="majorBidi" w:cstheme="majorBidi"/>
                <w:sz w:val="20"/>
                <w:szCs w:val="20"/>
              </w:rPr>
              <w:t>5</w:t>
            </w:r>
          </w:p>
        </w:tc>
      </w:tr>
    </w:tbl>
    <w:p w14:paraId="61DA831B" w14:textId="77777777" w:rsidR="002A1516" w:rsidRPr="00642F5B" w:rsidRDefault="002A1516" w:rsidP="00642F5B">
      <w:pPr>
        <w:contextualSpacing/>
        <w:jc w:val="both"/>
        <w:rPr>
          <w:rFonts w:asciiTheme="majorBidi" w:eastAsia="Times New Roman" w:hAnsiTheme="majorBidi" w:cstheme="majorBidi"/>
          <w:color w:val="C00000"/>
          <w:sz w:val="20"/>
          <w:szCs w:val="20"/>
        </w:rPr>
      </w:pPr>
    </w:p>
    <w:p w14:paraId="24DA93E5" w14:textId="77777777" w:rsidR="00561BDC" w:rsidRPr="002B7501" w:rsidRDefault="00561BDC" w:rsidP="00642F5B">
      <w:pPr>
        <w:contextualSpacing/>
        <w:jc w:val="both"/>
        <w:rPr>
          <w:rFonts w:asciiTheme="majorBidi" w:eastAsia="Calibri" w:hAnsiTheme="majorBidi" w:cstheme="majorBidi"/>
          <w:lang w:bidi="ar-AE"/>
        </w:rPr>
      </w:pPr>
      <w:r w:rsidRPr="00642F5B">
        <w:rPr>
          <w:rFonts w:asciiTheme="majorBidi" w:eastAsia="Times New Roman" w:hAnsiTheme="majorBidi" w:cstheme="majorBidi"/>
          <w:sz w:val="20"/>
          <w:szCs w:val="20"/>
        </w:rPr>
        <w:br w:type="page"/>
      </w:r>
      <w:r w:rsidRPr="00CB7AF4">
        <w:rPr>
          <w:rFonts w:asciiTheme="majorBidi" w:eastAsia="Times New Roman" w:hAnsiTheme="majorBidi" w:cstheme="majorBidi"/>
          <w:b/>
          <w:bCs/>
          <w:u w:val="single"/>
        </w:rPr>
        <w:lastRenderedPageBreak/>
        <w:t>Système de translittération IJMES :</w:t>
      </w:r>
    </w:p>
    <w:p w14:paraId="706883DE" w14:textId="77777777" w:rsidR="00561BDC" w:rsidRDefault="00561BDC" w:rsidP="002635A2">
      <w:p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Les translittérations utilisées pour les citations en arabe sont celles du système de translittération IJMES (</w:t>
      </w:r>
      <w:r w:rsidRPr="00CB7AF4">
        <w:rPr>
          <w:rFonts w:asciiTheme="majorBidi" w:eastAsia="Times New Roman" w:hAnsiTheme="majorBidi" w:cstheme="majorBidi"/>
          <w:i/>
          <w:iCs/>
        </w:rPr>
        <w:t>International Journal of Middle East Studies</w:t>
      </w:r>
      <w:r w:rsidRPr="00CB7AF4">
        <w:rPr>
          <w:rFonts w:asciiTheme="majorBidi" w:eastAsia="Times New Roman" w:hAnsiTheme="majorBidi" w:cstheme="majorBidi"/>
        </w:rPr>
        <w:t>).</w:t>
      </w:r>
    </w:p>
    <w:p w14:paraId="7497C705" w14:textId="77777777" w:rsidR="002635A2" w:rsidRPr="00CB7AF4" w:rsidRDefault="002635A2" w:rsidP="002635A2">
      <w:pPr>
        <w:spacing w:line="360" w:lineRule="auto"/>
        <w:jc w:val="both"/>
        <w:rPr>
          <w:rFonts w:asciiTheme="majorBidi" w:eastAsia="Times New Roman" w:hAnsiTheme="majorBidi" w:cstheme="majorBidi"/>
        </w:rPr>
      </w:pPr>
    </w:p>
    <w:tbl>
      <w:tblPr>
        <w:tblW w:w="0" w:type="auto"/>
        <w:jc w:val="center"/>
        <w:tblLook w:val="04A0" w:firstRow="1" w:lastRow="0" w:firstColumn="1" w:lastColumn="0" w:noHBand="0" w:noVBand="1"/>
      </w:tblPr>
      <w:tblGrid>
        <w:gridCol w:w="993"/>
        <w:gridCol w:w="1134"/>
        <w:gridCol w:w="2126"/>
        <w:gridCol w:w="992"/>
        <w:gridCol w:w="1134"/>
      </w:tblGrid>
      <w:tr w:rsidR="00561BDC" w:rsidRPr="00CB7AF4" w14:paraId="0B556014" w14:textId="77777777">
        <w:trPr>
          <w:jc w:val="center"/>
        </w:trPr>
        <w:tc>
          <w:tcPr>
            <w:tcW w:w="993" w:type="dxa"/>
          </w:tcPr>
          <w:p w14:paraId="7DBAEFE4"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ء</w:t>
            </w:r>
          </w:p>
        </w:tc>
        <w:tc>
          <w:tcPr>
            <w:tcW w:w="1134" w:type="dxa"/>
          </w:tcPr>
          <w:p w14:paraId="0791FF62"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ʾ</w:t>
            </w:r>
          </w:p>
        </w:tc>
        <w:tc>
          <w:tcPr>
            <w:tcW w:w="2126" w:type="dxa"/>
          </w:tcPr>
          <w:p w14:paraId="06FF0854"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00EF3B10"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ض</w:t>
            </w:r>
          </w:p>
        </w:tc>
        <w:tc>
          <w:tcPr>
            <w:tcW w:w="1134" w:type="dxa"/>
          </w:tcPr>
          <w:p w14:paraId="74B97F4B"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ḍ</w:t>
            </w:r>
          </w:p>
        </w:tc>
      </w:tr>
      <w:tr w:rsidR="00561BDC" w:rsidRPr="00CB7AF4" w14:paraId="0B62624D" w14:textId="77777777">
        <w:trPr>
          <w:jc w:val="center"/>
        </w:trPr>
        <w:tc>
          <w:tcPr>
            <w:tcW w:w="993" w:type="dxa"/>
          </w:tcPr>
          <w:p w14:paraId="655399A2"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ب</w:t>
            </w:r>
          </w:p>
        </w:tc>
        <w:tc>
          <w:tcPr>
            <w:tcW w:w="1134" w:type="dxa"/>
          </w:tcPr>
          <w:p w14:paraId="5339C8CC"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b</w:t>
            </w:r>
          </w:p>
        </w:tc>
        <w:tc>
          <w:tcPr>
            <w:tcW w:w="2126" w:type="dxa"/>
          </w:tcPr>
          <w:p w14:paraId="6AD917FE"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257A5BF8"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ط</w:t>
            </w:r>
          </w:p>
        </w:tc>
        <w:tc>
          <w:tcPr>
            <w:tcW w:w="1134" w:type="dxa"/>
          </w:tcPr>
          <w:p w14:paraId="6226F3C3"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ṭ</w:t>
            </w:r>
          </w:p>
        </w:tc>
      </w:tr>
      <w:tr w:rsidR="00561BDC" w:rsidRPr="00CB7AF4" w14:paraId="3B093BBE" w14:textId="77777777">
        <w:trPr>
          <w:jc w:val="center"/>
        </w:trPr>
        <w:tc>
          <w:tcPr>
            <w:tcW w:w="993" w:type="dxa"/>
          </w:tcPr>
          <w:p w14:paraId="5861CB02"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ت</w:t>
            </w:r>
          </w:p>
        </w:tc>
        <w:tc>
          <w:tcPr>
            <w:tcW w:w="1134" w:type="dxa"/>
          </w:tcPr>
          <w:p w14:paraId="3AB5FDEB"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t</w:t>
            </w:r>
          </w:p>
        </w:tc>
        <w:tc>
          <w:tcPr>
            <w:tcW w:w="2126" w:type="dxa"/>
          </w:tcPr>
          <w:p w14:paraId="72DAF350"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54B54730"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ظ</w:t>
            </w:r>
          </w:p>
        </w:tc>
        <w:tc>
          <w:tcPr>
            <w:tcW w:w="1134" w:type="dxa"/>
          </w:tcPr>
          <w:p w14:paraId="4978D17B"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ẓ</w:t>
            </w:r>
          </w:p>
        </w:tc>
      </w:tr>
      <w:tr w:rsidR="00561BDC" w:rsidRPr="00CB7AF4" w14:paraId="698E6F26" w14:textId="77777777">
        <w:trPr>
          <w:jc w:val="center"/>
        </w:trPr>
        <w:tc>
          <w:tcPr>
            <w:tcW w:w="993" w:type="dxa"/>
          </w:tcPr>
          <w:p w14:paraId="6C45BC9D"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ث</w:t>
            </w:r>
          </w:p>
        </w:tc>
        <w:tc>
          <w:tcPr>
            <w:tcW w:w="1134" w:type="dxa"/>
          </w:tcPr>
          <w:p w14:paraId="4A61D602"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 xml:space="preserve">th </w:t>
            </w:r>
          </w:p>
        </w:tc>
        <w:tc>
          <w:tcPr>
            <w:tcW w:w="2126" w:type="dxa"/>
          </w:tcPr>
          <w:p w14:paraId="265BF80D"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3147BEB9"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ع</w:t>
            </w:r>
          </w:p>
        </w:tc>
        <w:tc>
          <w:tcPr>
            <w:tcW w:w="1134" w:type="dxa"/>
          </w:tcPr>
          <w:p w14:paraId="286C9B4C"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ʿ</w:t>
            </w:r>
          </w:p>
        </w:tc>
      </w:tr>
      <w:tr w:rsidR="00561BDC" w:rsidRPr="00CB7AF4" w14:paraId="6BE9B315" w14:textId="77777777">
        <w:trPr>
          <w:jc w:val="center"/>
        </w:trPr>
        <w:tc>
          <w:tcPr>
            <w:tcW w:w="993" w:type="dxa"/>
          </w:tcPr>
          <w:p w14:paraId="184AFC05"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ج</w:t>
            </w:r>
          </w:p>
        </w:tc>
        <w:tc>
          <w:tcPr>
            <w:tcW w:w="1134" w:type="dxa"/>
          </w:tcPr>
          <w:p w14:paraId="0FB2FEEC"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j</w:t>
            </w:r>
          </w:p>
        </w:tc>
        <w:tc>
          <w:tcPr>
            <w:tcW w:w="2126" w:type="dxa"/>
          </w:tcPr>
          <w:p w14:paraId="60EA5290"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186E4C4F"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غ</w:t>
            </w:r>
          </w:p>
        </w:tc>
        <w:tc>
          <w:tcPr>
            <w:tcW w:w="1134" w:type="dxa"/>
          </w:tcPr>
          <w:p w14:paraId="5A723F0D"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gh</w:t>
            </w:r>
          </w:p>
        </w:tc>
      </w:tr>
      <w:tr w:rsidR="00561BDC" w:rsidRPr="00CB7AF4" w14:paraId="2CD69C24" w14:textId="77777777">
        <w:trPr>
          <w:jc w:val="center"/>
        </w:trPr>
        <w:tc>
          <w:tcPr>
            <w:tcW w:w="993" w:type="dxa"/>
          </w:tcPr>
          <w:p w14:paraId="7F8812E7"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ح</w:t>
            </w:r>
          </w:p>
        </w:tc>
        <w:tc>
          <w:tcPr>
            <w:tcW w:w="1134" w:type="dxa"/>
          </w:tcPr>
          <w:p w14:paraId="224A25E0"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ḥ</w:t>
            </w:r>
          </w:p>
        </w:tc>
        <w:tc>
          <w:tcPr>
            <w:tcW w:w="2126" w:type="dxa"/>
          </w:tcPr>
          <w:p w14:paraId="119BC2E4"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1F90675E"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ف</w:t>
            </w:r>
          </w:p>
        </w:tc>
        <w:tc>
          <w:tcPr>
            <w:tcW w:w="1134" w:type="dxa"/>
          </w:tcPr>
          <w:p w14:paraId="01DA4004"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f</w:t>
            </w:r>
          </w:p>
        </w:tc>
      </w:tr>
      <w:tr w:rsidR="00561BDC" w:rsidRPr="00CB7AF4" w14:paraId="4B44D120" w14:textId="77777777">
        <w:trPr>
          <w:jc w:val="center"/>
        </w:trPr>
        <w:tc>
          <w:tcPr>
            <w:tcW w:w="993" w:type="dxa"/>
          </w:tcPr>
          <w:p w14:paraId="4030DDE2"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خ</w:t>
            </w:r>
          </w:p>
        </w:tc>
        <w:tc>
          <w:tcPr>
            <w:tcW w:w="1134" w:type="dxa"/>
          </w:tcPr>
          <w:p w14:paraId="2DBCF88D"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kh</w:t>
            </w:r>
          </w:p>
        </w:tc>
        <w:tc>
          <w:tcPr>
            <w:tcW w:w="2126" w:type="dxa"/>
          </w:tcPr>
          <w:p w14:paraId="4597FDB5"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72ECE357"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ق</w:t>
            </w:r>
          </w:p>
        </w:tc>
        <w:tc>
          <w:tcPr>
            <w:tcW w:w="1134" w:type="dxa"/>
          </w:tcPr>
          <w:p w14:paraId="04DA719A"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q</w:t>
            </w:r>
          </w:p>
        </w:tc>
      </w:tr>
      <w:tr w:rsidR="00561BDC" w:rsidRPr="00CB7AF4" w14:paraId="36AE7FFF" w14:textId="77777777">
        <w:trPr>
          <w:jc w:val="center"/>
        </w:trPr>
        <w:tc>
          <w:tcPr>
            <w:tcW w:w="993" w:type="dxa"/>
          </w:tcPr>
          <w:p w14:paraId="2A178A99"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د</w:t>
            </w:r>
          </w:p>
        </w:tc>
        <w:tc>
          <w:tcPr>
            <w:tcW w:w="1134" w:type="dxa"/>
          </w:tcPr>
          <w:p w14:paraId="642CDE7B"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d</w:t>
            </w:r>
          </w:p>
        </w:tc>
        <w:tc>
          <w:tcPr>
            <w:tcW w:w="2126" w:type="dxa"/>
          </w:tcPr>
          <w:p w14:paraId="285FF8CA"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04D82AA3"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ك</w:t>
            </w:r>
          </w:p>
        </w:tc>
        <w:tc>
          <w:tcPr>
            <w:tcW w:w="1134" w:type="dxa"/>
          </w:tcPr>
          <w:p w14:paraId="73E86D1A"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k</w:t>
            </w:r>
          </w:p>
        </w:tc>
      </w:tr>
      <w:tr w:rsidR="00561BDC" w:rsidRPr="00CB7AF4" w14:paraId="4DDE0C25" w14:textId="77777777">
        <w:trPr>
          <w:jc w:val="center"/>
        </w:trPr>
        <w:tc>
          <w:tcPr>
            <w:tcW w:w="993" w:type="dxa"/>
          </w:tcPr>
          <w:p w14:paraId="5F7135B9"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ذ</w:t>
            </w:r>
          </w:p>
        </w:tc>
        <w:tc>
          <w:tcPr>
            <w:tcW w:w="1134" w:type="dxa"/>
          </w:tcPr>
          <w:p w14:paraId="1526DD1E"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dh</w:t>
            </w:r>
          </w:p>
        </w:tc>
        <w:tc>
          <w:tcPr>
            <w:tcW w:w="2126" w:type="dxa"/>
          </w:tcPr>
          <w:p w14:paraId="0EFD7263"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2C19F311"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ل</w:t>
            </w:r>
          </w:p>
        </w:tc>
        <w:tc>
          <w:tcPr>
            <w:tcW w:w="1134" w:type="dxa"/>
          </w:tcPr>
          <w:p w14:paraId="7A8EA85E"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l</w:t>
            </w:r>
          </w:p>
        </w:tc>
      </w:tr>
      <w:tr w:rsidR="00561BDC" w:rsidRPr="00CB7AF4" w14:paraId="673CB980" w14:textId="77777777">
        <w:trPr>
          <w:jc w:val="center"/>
        </w:trPr>
        <w:tc>
          <w:tcPr>
            <w:tcW w:w="993" w:type="dxa"/>
          </w:tcPr>
          <w:p w14:paraId="5A84B3CB"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ر</w:t>
            </w:r>
          </w:p>
        </w:tc>
        <w:tc>
          <w:tcPr>
            <w:tcW w:w="1134" w:type="dxa"/>
          </w:tcPr>
          <w:p w14:paraId="2FF2501C"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r</w:t>
            </w:r>
          </w:p>
        </w:tc>
        <w:tc>
          <w:tcPr>
            <w:tcW w:w="2126" w:type="dxa"/>
          </w:tcPr>
          <w:p w14:paraId="7DF80215"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2E74DD83"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م</w:t>
            </w:r>
          </w:p>
        </w:tc>
        <w:tc>
          <w:tcPr>
            <w:tcW w:w="1134" w:type="dxa"/>
          </w:tcPr>
          <w:p w14:paraId="5462A40F"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m</w:t>
            </w:r>
          </w:p>
        </w:tc>
      </w:tr>
      <w:tr w:rsidR="00561BDC" w:rsidRPr="00CB7AF4" w14:paraId="6B346DA5" w14:textId="77777777">
        <w:trPr>
          <w:jc w:val="center"/>
        </w:trPr>
        <w:tc>
          <w:tcPr>
            <w:tcW w:w="993" w:type="dxa"/>
          </w:tcPr>
          <w:p w14:paraId="1FA54C7A"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ز</w:t>
            </w:r>
          </w:p>
        </w:tc>
        <w:tc>
          <w:tcPr>
            <w:tcW w:w="1134" w:type="dxa"/>
          </w:tcPr>
          <w:p w14:paraId="2373AA28"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z</w:t>
            </w:r>
          </w:p>
        </w:tc>
        <w:tc>
          <w:tcPr>
            <w:tcW w:w="2126" w:type="dxa"/>
          </w:tcPr>
          <w:p w14:paraId="27537F19"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493FAF42"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ن</w:t>
            </w:r>
          </w:p>
        </w:tc>
        <w:tc>
          <w:tcPr>
            <w:tcW w:w="1134" w:type="dxa"/>
          </w:tcPr>
          <w:p w14:paraId="2B335444"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n</w:t>
            </w:r>
          </w:p>
        </w:tc>
      </w:tr>
      <w:tr w:rsidR="00561BDC" w:rsidRPr="00CB7AF4" w14:paraId="20083762" w14:textId="77777777">
        <w:trPr>
          <w:jc w:val="center"/>
        </w:trPr>
        <w:tc>
          <w:tcPr>
            <w:tcW w:w="993" w:type="dxa"/>
          </w:tcPr>
          <w:p w14:paraId="555F54F1"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س</w:t>
            </w:r>
          </w:p>
        </w:tc>
        <w:tc>
          <w:tcPr>
            <w:tcW w:w="1134" w:type="dxa"/>
          </w:tcPr>
          <w:p w14:paraId="454A8116"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s</w:t>
            </w:r>
          </w:p>
        </w:tc>
        <w:tc>
          <w:tcPr>
            <w:tcW w:w="2126" w:type="dxa"/>
          </w:tcPr>
          <w:p w14:paraId="5646F32C"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7AEBB214"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هـ</w:t>
            </w:r>
          </w:p>
        </w:tc>
        <w:tc>
          <w:tcPr>
            <w:tcW w:w="1134" w:type="dxa"/>
          </w:tcPr>
          <w:p w14:paraId="3F1B93F7"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h</w:t>
            </w:r>
          </w:p>
        </w:tc>
      </w:tr>
      <w:tr w:rsidR="00561BDC" w:rsidRPr="00CB7AF4" w14:paraId="613A8F85" w14:textId="77777777">
        <w:trPr>
          <w:jc w:val="center"/>
        </w:trPr>
        <w:tc>
          <w:tcPr>
            <w:tcW w:w="993" w:type="dxa"/>
          </w:tcPr>
          <w:p w14:paraId="76417D78"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ش</w:t>
            </w:r>
          </w:p>
        </w:tc>
        <w:tc>
          <w:tcPr>
            <w:tcW w:w="1134" w:type="dxa"/>
          </w:tcPr>
          <w:p w14:paraId="497760C0"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sh</w:t>
            </w:r>
          </w:p>
        </w:tc>
        <w:tc>
          <w:tcPr>
            <w:tcW w:w="2126" w:type="dxa"/>
          </w:tcPr>
          <w:p w14:paraId="03C77ED8"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1759D6D3"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و</w:t>
            </w:r>
          </w:p>
        </w:tc>
        <w:tc>
          <w:tcPr>
            <w:tcW w:w="1134" w:type="dxa"/>
          </w:tcPr>
          <w:p w14:paraId="6C931286"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w</w:t>
            </w:r>
          </w:p>
        </w:tc>
      </w:tr>
      <w:tr w:rsidR="00561BDC" w:rsidRPr="00CB7AF4" w14:paraId="703CD276" w14:textId="77777777">
        <w:trPr>
          <w:jc w:val="center"/>
        </w:trPr>
        <w:tc>
          <w:tcPr>
            <w:tcW w:w="993" w:type="dxa"/>
          </w:tcPr>
          <w:p w14:paraId="1EA0D070"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ص</w:t>
            </w:r>
          </w:p>
        </w:tc>
        <w:tc>
          <w:tcPr>
            <w:tcW w:w="1134" w:type="dxa"/>
          </w:tcPr>
          <w:p w14:paraId="1A691A7A"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ṣ</w:t>
            </w:r>
          </w:p>
        </w:tc>
        <w:tc>
          <w:tcPr>
            <w:tcW w:w="2126" w:type="dxa"/>
          </w:tcPr>
          <w:p w14:paraId="4D29803A"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p>
        </w:tc>
        <w:tc>
          <w:tcPr>
            <w:tcW w:w="992" w:type="dxa"/>
          </w:tcPr>
          <w:p w14:paraId="4C291CF7"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lang w:bidi="ar-KW"/>
              </w:rPr>
              <w:t>ي</w:t>
            </w:r>
          </w:p>
        </w:tc>
        <w:tc>
          <w:tcPr>
            <w:tcW w:w="1134" w:type="dxa"/>
          </w:tcPr>
          <w:p w14:paraId="60491F26" w14:textId="77777777" w:rsidR="00561BDC" w:rsidRPr="00CB7AF4" w:rsidRDefault="00561BDC" w:rsidP="00CB7AF4">
            <w:pPr>
              <w:spacing w:before="100" w:beforeAutospacing="1" w:after="100" w:afterAutospacing="1" w:line="360" w:lineRule="auto"/>
              <w:jc w:val="both"/>
              <w:rPr>
                <w:rFonts w:asciiTheme="majorBidi" w:eastAsia="Times New Roman" w:hAnsiTheme="majorBidi" w:cstheme="majorBidi"/>
              </w:rPr>
            </w:pPr>
            <w:r w:rsidRPr="00CB7AF4">
              <w:rPr>
                <w:rFonts w:asciiTheme="majorBidi" w:eastAsia="Times New Roman" w:hAnsiTheme="majorBidi" w:cstheme="majorBidi"/>
              </w:rPr>
              <w:t>y</w:t>
            </w:r>
          </w:p>
        </w:tc>
      </w:tr>
    </w:tbl>
    <w:p w14:paraId="6862FB04" w14:textId="77777777" w:rsidR="00561BDC" w:rsidRPr="00CB7AF4" w:rsidRDefault="00561BDC" w:rsidP="00CB7AF4">
      <w:pPr>
        <w:spacing w:line="360" w:lineRule="auto"/>
        <w:jc w:val="both"/>
        <w:rPr>
          <w:rFonts w:asciiTheme="majorBidi" w:eastAsia="Times New Roman" w:hAnsiTheme="majorBidi" w:cstheme="majorBidi"/>
        </w:rPr>
      </w:pPr>
    </w:p>
    <w:p w14:paraId="3844B5ED" w14:textId="77777777" w:rsidR="00561BDC" w:rsidRPr="00CB7AF4" w:rsidRDefault="00561BDC" w:rsidP="00CB7AF4">
      <w:p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Voyelles courtes</w:t>
      </w:r>
      <w:r w:rsidRPr="00CB7AF4">
        <w:rPr>
          <w:rFonts w:asciiTheme="majorBidi" w:eastAsia="Times New Roman" w:hAnsiTheme="majorBidi" w:cstheme="majorBidi"/>
          <w:rtl/>
          <w:lang w:bidi="ar-KW"/>
        </w:rPr>
        <w:t> </w:t>
      </w:r>
      <w:r w:rsidRPr="00CB7AF4">
        <w:rPr>
          <w:rFonts w:asciiTheme="majorBidi" w:eastAsia="Times New Roman" w:hAnsiTheme="majorBidi" w:cstheme="majorBidi"/>
        </w:rPr>
        <w:t xml:space="preserve">: </w:t>
      </w:r>
      <w:r w:rsidRPr="00CB7AF4">
        <w:rPr>
          <w:rFonts w:asciiTheme="majorBidi" w:eastAsia="Times New Roman" w:hAnsiTheme="majorBidi" w:cstheme="majorBidi"/>
          <w:rtl/>
          <w:lang w:bidi="ar-KW"/>
        </w:rPr>
        <w:t>ــــَـــ </w:t>
      </w:r>
      <w:r w:rsidRPr="00CB7AF4">
        <w:rPr>
          <w:rFonts w:asciiTheme="majorBidi" w:eastAsia="Times New Roman" w:hAnsiTheme="majorBidi" w:cstheme="majorBidi"/>
        </w:rPr>
        <w:t>: a ;</w:t>
      </w:r>
      <w:r w:rsidRPr="00CB7AF4">
        <w:rPr>
          <w:rFonts w:asciiTheme="majorBidi" w:eastAsia="Times New Roman" w:hAnsiTheme="majorBidi" w:cstheme="majorBidi"/>
          <w:lang w:bidi="ar-KW"/>
        </w:rPr>
        <w:t xml:space="preserve"> </w:t>
      </w:r>
      <w:r w:rsidRPr="00CB7AF4">
        <w:rPr>
          <w:rFonts w:asciiTheme="majorBidi" w:eastAsia="Times New Roman" w:hAnsiTheme="majorBidi" w:cstheme="majorBidi"/>
          <w:rtl/>
          <w:lang w:bidi="ar-KW"/>
        </w:rPr>
        <w:t>ـــُـــ</w:t>
      </w:r>
      <w:r w:rsidRPr="00CB7AF4">
        <w:rPr>
          <w:rFonts w:asciiTheme="majorBidi" w:eastAsia="Times New Roman" w:hAnsiTheme="majorBidi" w:cstheme="majorBidi"/>
          <w:lang w:bidi="ar-KW"/>
        </w:rPr>
        <w:t> :</w:t>
      </w:r>
      <w:r w:rsidRPr="00CB7AF4">
        <w:rPr>
          <w:rFonts w:asciiTheme="majorBidi" w:eastAsia="Times New Roman" w:hAnsiTheme="majorBidi" w:cstheme="majorBidi"/>
        </w:rPr>
        <w:t xml:space="preserve"> u ;</w:t>
      </w:r>
      <w:r w:rsidRPr="00CB7AF4">
        <w:rPr>
          <w:rFonts w:asciiTheme="majorBidi" w:eastAsia="Times New Roman" w:hAnsiTheme="majorBidi" w:cstheme="majorBidi"/>
          <w:lang w:bidi="ar-KW"/>
        </w:rPr>
        <w:t xml:space="preserve"> </w:t>
      </w:r>
      <w:r w:rsidRPr="00CB7AF4">
        <w:rPr>
          <w:rFonts w:asciiTheme="majorBidi" w:eastAsia="Times New Roman" w:hAnsiTheme="majorBidi" w:cstheme="majorBidi"/>
          <w:rtl/>
          <w:lang w:bidi="ar-KW"/>
        </w:rPr>
        <w:t>ـــِـــ</w:t>
      </w:r>
      <w:r w:rsidRPr="00CB7AF4">
        <w:rPr>
          <w:rFonts w:asciiTheme="majorBidi" w:eastAsia="Times New Roman" w:hAnsiTheme="majorBidi" w:cstheme="majorBidi"/>
          <w:lang w:bidi="ar-KW"/>
        </w:rPr>
        <w:t> </w:t>
      </w:r>
      <w:r w:rsidRPr="00CB7AF4">
        <w:rPr>
          <w:rFonts w:asciiTheme="majorBidi" w:eastAsia="Times New Roman" w:hAnsiTheme="majorBidi" w:cstheme="majorBidi"/>
        </w:rPr>
        <w:t>: i.</w:t>
      </w:r>
    </w:p>
    <w:p w14:paraId="3F040709" w14:textId="77777777" w:rsidR="00561BDC" w:rsidRPr="00CB7AF4" w:rsidRDefault="00561BDC" w:rsidP="00CB7AF4">
      <w:p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Voyelles longues : ā ū ī.</w:t>
      </w:r>
    </w:p>
    <w:p w14:paraId="188EB81E" w14:textId="77777777" w:rsidR="00561BDC" w:rsidRPr="00CB7AF4" w:rsidRDefault="00561BDC" w:rsidP="00CB7AF4">
      <w:p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Diphtongues : aw, ay.</w:t>
      </w:r>
    </w:p>
    <w:p w14:paraId="363A1431" w14:textId="77777777" w:rsidR="00561BDC" w:rsidRPr="00CB7AF4" w:rsidRDefault="00561BDC" w:rsidP="00CB7AF4">
      <w:p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Redoublés : iyy, uww.</w:t>
      </w:r>
    </w:p>
    <w:p w14:paraId="6D25659A" w14:textId="77777777" w:rsidR="0099789B" w:rsidRDefault="0099789B" w:rsidP="00CB7AF4">
      <w:pPr>
        <w:spacing w:line="360" w:lineRule="auto"/>
        <w:jc w:val="both"/>
        <w:rPr>
          <w:rFonts w:asciiTheme="majorBidi" w:eastAsia="Calibri" w:hAnsiTheme="majorBidi" w:cstheme="majorBidi"/>
        </w:rPr>
      </w:pPr>
      <w:r>
        <w:rPr>
          <w:rFonts w:asciiTheme="majorBidi" w:eastAsia="Calibri" w:hAnsiTheme="majorBidi" w:cstheme="majorBidi"/>
        </w:rPr>
        <w:br w:type="page"/>
      </w:r>
    </w:p>
    <w:p w14:paraId="4EB7C1ED" w14:textId="77777777" w:rsidR="00561BDC" w:rsidRPr="00CB7AF4" w:rsidRDefault="00561BDC" w:rsidP="00CB7AF4">
      <w:pPr>
        <w:spacing w:line="360" w:lineRule="auto"/>
        <w:jc w:val="both"/>
        <w:rPr>
          <w:rFonts w:asciiTheme="majorBidi" w:eastAsia="Calibri" w:hAnsiTheme="majorBidi" w:cstheme="majorBidi"/>
        </w:rPr>
      </w:pPr>
    </w:p>
    <w:tbl>
      <w:tblPr>
        <w:tblW w:w="10348" w:type="dxa"/>
        <w:tblInd w:w="-459" w:type="dxa"/>
        <w:tblLook w:val="04A0" w:firstRow="1" w:lastRow="0" w:firstColumn="1" w:lastColumn="0" w:noHBand="0" w:noVBand="1"/>
      </w:tblPr>
      <w:tblGrid>
        <w:gridCol w:w="7137"/>
        <w:gridCol w:w="3211"/>
      </w:tblGrid>
      <w:tr w:rsidR="0099789B" w:rsidRPr="00596DCD" w14:paraId="20319C6A" w14:textId="77777777" w:rsidTr="006D032B">
        <w:tc>
          <w:tcPr>
            <w:tcW w:w="10348" w:type="dxa"/>
            <w:gridSpan w:val="2"/>
          </w:tcPr>
          <w:p w14:paraId="7A977A09" w14:textId="77777777" w:rsidR="0099789B" w:rsidRPr="005771F8" w:rsidRDefault="00C806ED" w:rsidP="003F01B1">
            <w:pPr>
              <w:tabs>
                <w:tab w:val="right" w:pos="993"/>
              </w:tabs>
              <w:spacing w:line="360" w:lineRule="auto"/>
              <w:jc w:val="center"/>
              <w:rPr>
                <w:rFonts w:eastAsia="Calibri"/>
                <w:b/>
                <w:bCs/>
                <w:sz w:val="20"/>
                <w:szCs w:val="20"/>
                <w:lang w:bidi="ar-AE"/>
              </w:rPr>
            </w:pPr>
            <w:r w:rsidRPr="005771F8">
              <w:rPr>
                <w:rFonts w:eastAsia="Calibri"/>
                <w:b/>
                <w:bCs/>
                <w:sz w:val="20"/>
                <w:szCs w:val="20"/>
                <w:lang w:bidi="ar-AE"/>
              </w:rPr>
              <w:t xml:space="preserve">Liste des </w:t>
            </w:r>
            <w:r w:rsidR="0099789B" w:rsidRPr="005771F8">
              <w:rPr>
                <w:rFonts w:eastAsia="Calibri"/>
                <w:b/>
                <w:bCs/>
                <w:sz w:val="20"/>
                <w:szCs w:val="20"/>
                <w:lang w:bidi="ar-AE"/>
              </w:rPr>
              <w:t>abréviations</w:t>
            </w:r>
          </w:p>
        </w:tc>
      </w:tr>
      <w:tr w:rsidR="0099789B" w:rsidRPr="00596DCD" w14:paraId="0B78F7FE" w14:textId="77777777" w:rsidTr="006D032B">
        <w:tc>
          <w:tcPr>
            <w:tcW w:w="7137" w:type="dxa"/>
          </w:tcPr>
          <w:p w14:paraId="2A4A4CC6"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Times New Roman"/>
                <w:sz w:val="20"/>
                <w:szCs w:val="20"/>
              </w:rPr>
              <w:t>André Du Ryer</w:t>
            </w:r>
            <w:r w:rsidRPr="005771F8">
              <w:rPr>
                <w:rFonts w:eastAsia="Calibri"/>
                <w:sz w:val="20"/>
                <w:szCs w:val="20"/>
                <w:lang w:bidi="ar-AE"/>
              </w:rPr>
              <w:t xml:space="preserve"> (1647)</w:t>
            </w:r>
          </w:p>
        </w:tc>
        <w:tc>
          <w:tcPr>
            <w:tcW w:w="3211" w:type="dxa"/>
          </w:tcPr>
          <w:p w14:paraId="7F701F98"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Calibri"/>
                <w:sz w:val="20"/>
                <w:szCs w:val="20"/>
                <w:lang w:bidi="ar-AE"/>
              </w:rPr>
              <w:t>D.R.</w:t>
            </w:r>
          </w:p>
        </w:tc>
      </w:tr>
      <w:tr w:rsidR="0099789B" w:rsidRPr="00596DCD" w14:paraId="09A427B9" w14:textId="77777777" w:rsidTr="006D032B">
        <w:tc>
          <w:tcPr>
            <w:tcW w:w="7137" w:type="dxa"/>
          </w:tcPr>
          <w:p w14:paraId="3ACE82CC"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SimSun"/>
                <w:sz w:val="20"/>
                <w:szCs w:val="20"/>
                <w:lang w:eastAsia="zh-CN"/>
              </w:rPr>
              <w:t>Claude-Étienne Savary</w:t>
            </w:r>
            <w:r w:rsidRPr="005771F8">
              <w:rPr>
                <w:rFonts w:eastAsia="Calibri"/>
                <w:sz w:val="20"/>
                <w:szCs w:val="20"/>
                <w:lang w:bidi="ar-AE"/>
              </w:rPr>
              <w:t xml:space="preserve"> (1782)</w:t>
            </w:r>
          </w:p>
        </w:tc>
        <w:tc>
          <w:tcPr>
            <w:tcW w:w="3211" w:type="dxa"/>
          </w:tcPr>
          <w:p w14:paraId="1F7C9671"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Calibri"/>
                <w:sz w:val="20"/>
                <w:szCs w:val="20"/>
                <w:lang w:bidi="ar-AE"/>
              </w:rPr>
              <w:t>Sav.</w:t>
            </w:r>
          </w:p>
        </w:tc>
      </w:tr>
      <w:tr w:rsidR="0099789B" w:rsidRPr="00596DCD" w14:paraId="1FAE69C8" w14:textId="77777777" w:rsidTr="006D032B">
        <w:tc>
          <w:tcPr>
            <w:tcW w:w="7137" w:type="dxa"/>
          </w:tcPr>
          <w:p w14:paraId="7994A04C"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SimSun"/>
                <w:sz w:val="20"/>
                <w:szCs w:val="20"/>
                <w:lang w:eastAsia="zh-CN"/>
              </w:rPr>
              <w:t>Kazimirski (</w:t>
            </w:r>
            <w:r w:rsidRPr="005771F8">
              <w:rPr>
                <w:rFonts w:eastAsia="Times New Roman"/>
                <w:sz w:val="20"/>
                <w:szCs w:val="20"/>
                <w:lang w:eastAsia="en-AU"/>
              </w:rPr>
              <w:t>1840</w:t>
            </w:r>
            <w:r w:rsidRPr="005771F8">
              <w:rPr>
                <w:rFonts w:eastAsia="Calibri"/>
                <w:sz w:val="20"/>
                <w:szCs w:val="20"/>
                <w:lang w:bidi="ar-AE"/>
              </w:rPr>
              <w:t>)</w:t>
            </w:r>
          </w:p>
        </w:tc>
        <w:tc>
          <w:tcPr>
            <w:tcW w:w="3211" w:type="dxa"/>
          </w:tcPr>
          <w:p w14:paraId="55D6775F"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Calibri"/>
                <w:sz w:val="20"/>
                <w:szCs w:val="20"/>
                <w:lang w:bidi="ar-AE"/>
              </w:rPr>
              <w:t>Kaz.</w:t>
            </w:r>
          </w:p>
        </w:tc>
      </w:tr>
      <w:tr w:rsidR="0099789B" w:rsidRPr="00596DCD" w14:paraId="1C7F4477" w14:textId="77777777" w:rsidTr="006D032B">
        <w:tc>
          <w:tcPr>
            <w:tcW w:w="7137" w:type="dxa"/>
          </w:tcPr>
          <w:p w14:paraId="011CD136"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Times New Roman"/>
                <w:sz w:val="20"/>
                <w:szCs w:val="20"/>
              </w:rPr>
              <w:t>Régis Blachère (1949)</w:t>
            </w:r>
          </w:p>
        </w:tc>
        <w:tc>
          <w:tcPr>
            <w:tcW w:w="3211" w:type="dxa"/>
          </w:tcPr>
          <w:p w14:paraId="4992B6E5"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Calibri"/>
                <w:sz w:val="20"/>
                <w:szCs w:val="20"/>
                <w:lang w:bidi="ar-AE"/>
              </w:rPr>
              <w:t>Blach.</w:t>
            </w:r>
          </w:p>
        </w:tc>
      </w:tr>
      <w:tr w:rsidR="0099789B" w:rsidRPr="00596DCD" w14:paraId="063615AA" w14:textId="77777777" w:rsidTr="006D032B">
        <w:tc>
          <w:tcPr>
            <w:tcW w:w="7137" w:type="dxa"/>
          </w:tcPr>
          <w:p w14:paraId="59723CEE"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SimSun"/>
                <w:sz w:val="20"/>
                <w:szCs w:val="20"/>
                <w:lang w:eastAsia="zh-CN"/>
              </w:rPr>
              <w:t xml:space="preserve">Ameur </w:t>
            </w:r>
            <w:r w:rsidRPr="005771F8">
              <w:rPr>
                <w:rFonts w:eastAsia="Times New Roman"/>
                <w:sz w:val="20"/>
                <w:szCs w:val="20"/>
              </w:rPr>
              <w:t>Ghédira</w:t>
            </w:r>
            <w:r w:rsidRPr="005771F8">
              <w:rPr>
                <w:rFonts w:eastAsia="SimSun"/>
                <w:sz w:val="20"/>
                <w:szCs w:val="20"/>
                <w:lang w:eastAsia="zh-CN"/>
              </w:rPr>
              <w:t xml:space="preserve"> (1957</w:t>
            </w:r>
            <w:r w:rsidRPr="005771F8">
              <w:rPr>
                <w:rFonts w:eastAsia="Calibri"/>
                <w:sz w:val="20"/>
                <w:szCs w:val="20"/>
                <w:lang w:bidi="ar-AE"/>
              </w:rPr>
              <w:t>)</w:t>
            </w:r>
          </w:p>
        </w:tc>
        <w:tc>
          <w:tcPr>
            <w:tcW w:w="3211" w:type="dxa"/>
          </w:tcPr>
          <w:p w14:paraId="0E985D0B"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Calibri"/>
                <w:sz w:val="20"/>
                <w:szCs w:val="20"/>
                <w:lang w:bidi="ar-AE"/>
              </w:rPr>
              <w:t>Ghéd.</w:t>
            </w:r>
          </w:p>
        </w:tc>
      </w:tr>
      <w:tr w:rsidR="0099789B" w:rsidRPr="00596DCD" w14:paraId="21EBDD4B" w14:textId="77777777" w:rsidTr="006D032B">
        <w:tc>
          <w:tcPr>
            <w:tcW w:w="7137" w:type="dxa"/>
          </w:tcPr>
          <w:p w14:paraId="63E9C3BE"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Times New Roman"/>
                <w:sz w:val="20"/>
                <w:szCs w:val="20"/>
              </w:rPr>
              <w:t>Muhammad Hamidullah (1959)</w:t>
            </w:r>
            <w:r w:rsidRPr="005771F8">
              <w:rPr>
                <w:rFonts w:eastAsia="Calibri"/>
                <w:sz w:val="20"/>
                <w:szCs w:val="20"/>
                <w:lang w:bidi="ar-AE"/>
              </w:rPr>
              <w:t xml:space="preserve"> (traduction accompagnée du texte arabe à gauche)</w:t>
            </w:r>
          </w:p>
        </w:tc>
        <w:tc>
          <w:tcPr>
            <w:tcW w:w="3211" w:type="dxa"/>
          </w:tcPr>
          <w:p w14:paraId="1A073794"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Calibri"/>
                <w:sz w:val="20"/>
                <w:szCs w:val="20"/>
                <w:lang w:bidi="ar-AE"/>
              </w:rPr>
              <w:t>Hamid.</w:t>
            </w:r>
          </w:p>
        </w:tc>
      </w:tr>
      <w:tr w:rsidR="0099789B" w:rsidRPr="00596DCD" w14:paraId="611F5BB9" w14:textId="77777777" w:rsidTr="006D032B">
        <w:tc>
          <w:tcPr>
            <w:tcW w:w="7137" w:type="dxa"/>
          </w:tcPr>
          <w:p w14:paraId="70954662"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Times New Roman"/>
                <w:sz w:val="20"/>
                <w:szCs w:val="20"/>
              </w:rPr>
              <w:t>Denise Masson (1967)</w:t>
            </w:r>
            <w:r w:rsidRPr="005771F8">
              <w:rPr>
                <w:rFonts w:eastAsia="Calibri"/>
                <w:sz w:val="20"/>
                <w:szCs w:val="20"/>
                <w:lang w:bidi="ar-AE"/>
              </w:rPr>
              <w:t xml:space="preserve"> (accompagnée du texte arabe à droite)</w:t>
            </w:r>
          </w:p>
        </w:tc>
        <w:tc>
          <w:tcPr>
            <w:tcW w:w="3211" w:type="dxa"/>
          </w:tcPr>
          <w:p w14:paraId="29BA0A06" w14:textId="77777777" w:rsidR="0099789B" w:rsidRPr="005771F8" w:rsidRDefault="0099789B" w:rsidP="003F01B1">
            <w:pPr>
              <w:tabs>
                <w:tab w:val="right" w:pos="993"/>
              </w:tabs>
              <w:spacing w:line="360" w:lineRule="auto"/>
              <w:jc w:val="both"/>
              <w:rPr>
                <w:rFonts w:eastAsia="Calibri"/>
                <w:sz w:val="20"/>
                <w:szCs w:val="20"/>
                <w:lang w:bidi="ar-AE"/>
              </w:rPr>
            </w:pPr>
            <w:r w:rsidRPr="005771F8">
              <w:rPr>
                <w:rFonts w:eastAsia="Calibri"/>
                <w:sz w:val="20"/>
                <w:szCs w:val="20"/>
                <w:lang w:bidi="ar-AE"/>
              </w:rPr>
              <w:t>Mass.</w:t>
            </w:r>
          </w:p>
        </w:tc>
      </w:tr>
      <w:tr w:rsidR="0099789B" w:rsidRPr="00596DCD" w14:paraId="3172BCAB" w14:textId="77777777" w:rsidTr="006D032B">
        <w:tc>
          <w:tcPr>
            <w:tcW w:w="7137" w:type="dxa"/>
          </w:tcPr>
          <w:p w14:paraId="0B0EB65B" w14:textId="0DD85DF4" w:rsidR="0099789B" w:rsidRPr="005771F8" w:rsidRDefault="00370BE5" w:rsidP="003F01B1">
            <w:pPr>
              <w:tabs>
                <w:tab w:val="right" w:pos="993"/>
              </w:tabs>
              <w:spacing w:line="360" w:lineRule="auto"/>
              <w:jc w:val="both"/>
              <w:rPr>
                <w:rFonts w:eastAsia="Times New Roman"/>
                <w:sz w:val="20"/>
                <w:szCs w:val="20"/>
              </w:rPr>
            </w:pPr>
            <w:r>
              <w:rPr>
                <w:rFonts w:eastAsia="Times New Roman"/>
                <w:sz w:val="20"/>
                <w:szCs w:val="20"/>
              </w:rPr>
              <w:t>Jean Grosjean (</w:t>
            </w:r>
            <w:r w:rsidR="007A22CF">
              <w:rPr>
                <w:rFonts w:eastAsia="Times New Roman"/>
                <w:sz w:val="20"/>
                <w:szCs w:val="20"/>
              </w:rPr>
              <w:t>1972</w:t>
            </w:r>
            <w:r w:rsidR="0099789B" w:rsidRPr="005771F8">
              <w:rPr>
                <w:rFonts w:eastAsia="Times New Roman"/>
                <w:sz w:val="20"/>
                <w:szCs w:val="20"/>
              </w:rPr>
              <w:t>)</w:t>
            </w:r>
          </w:p>
        </w:tc>
        <w:tc>
          <w:tcPr>
            <w:tcW w:w="3211" w:type="dxa"/>
          </w:tcPr>
          <w:p w14:paraId="4E7674FC"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Grosj.</w:t>
            </w:r>
          </w:p>
        </w:tc>
      </w:tr>
      <w:tr w:rsidR="0099789B" w:rsidRPr="00596DCD" w14:paraId="2D519DC3" w14:textId="77777777" w:rsidTr="006D032B">
        <w:tc>
          <w:tcPr>
            <w:tcW w:w="7137" w:type="dxa"/>
          </w:tcPr>
          <w:p w14:paraId="19BCACC9"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 xml:space="preserve">Noureddine Ben Mahmoud (1962) </w:t>
            </w:r>
            <w:r w:rsidRPr="005771F8">
              <w:rPr>
                <w:rFonts w:eastAsia="Calibri"/>
                <w:sz w:val="20"/>
                <w:szCs w:val="20"/>
                <w:lang w:bidi="ar-AE"/>
              </w:rPr>
              <w:t>(traduction accompagnée du texte arabe à gauche)</w:t>
            </w:r>
          </w:p>
        </w:tc>
        <w:tc>
          <w:tcPr>
            <w:tcW w:w="3211" w:type="dxa"/>
          </w:tcPr>
          <w:p w14:paraId="763D6B7D"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B.M.</w:t>
            </w:r>
          </w:p>
        </w:tc>
      </w:tr>
      <w:tr w:rsidR="0099789B" w:rsidRPr="00596DCD" w14:paraId="3DC27B13" w14:textId="77777777" w:rsidTr="006D032B">
        <w:tc>
          <w:tcPr>
            <w:tcW w:w="7137" w:type="dxa"/>
          </w:tcPr>
          <w:p w14:paraId="2F1E055A"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Jacques Berque (1990)</w:t>
            </w:r>
          </w:p>
        </w:tc>
        <w:tc>
          <w:tcPr>
            <w:tcW w:w="3211" w:type="dxa"/>
          </w:tcPr>
          <w:p w14:paraId="2DC01A6C"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Ber.</w:t>
            </w:r>
          </w:p>
        </w:tc>
      </w:tr>
      <w:tr w:rsidR="0099789B" w:rsidRPr="00596DCD" w14:paraId="4FC97AF8" w14:textId="77777777" w:rsidTr="006D032B">
        <w:tc>
          <w:tcPr>
            <w:tcW w:w="7137" w:type="dxa"/>
          </w:tcPr>
          <w:p w14:paraId="68F85992"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André Chouraqui (1990)</w:t>
            </w:r>
          </w:p>
        </w:tc>
        <w:tc>
          <w:tcPr>
            <w:tcW w:w="3211" w:type="dxa"/>
          </w:tcPr>
          <w:p w14:paraId="1A9135CB"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Chour.</w:t>
            </w:r>
          </w:p>
        </w:tc>
      </w:tr>
      <w:tr w:rsidR="0099789B" w:rsidRPr="00596DCD" w14:paraId="4CAF7D40" w14:textId="77777777" w:rsidTr="006D032B">
        <w:tc>
          <w:tcPr>
            <w:tcW w:w="7137" w:type="dxa"/>
          </w:tcPr>
          <w:p w14:paraId="7F7F6E35"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Ahmed Guessous (1999) (traduction rimée)</w:t>
            </w:r>
          </w:p>
        </w:tc>
        <w:tc>
          <w:tcPr>
            <w:tcW w:w="3211" w:type="dxa"/>
          </w:tcPr>
          <w:p w14:paraId="56B3D998"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Gues.</w:t>
            </w:r>
          </w:p>
        </w:tc>
      </w:tr>
      <w:tr w:rsidR="0099789B" w:rsidRPr="00596DCD" w14:paraId="28D1555C" w14:textId="77777777" w:rsidTr="006D032B">
        <w:tc>
          <w:tcPr>
            <w:tcW w:w="7137" w:type="dxa"/>
          </w:tcPr>
          <w:p w14:paraId="0364E2B6"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 xml:space="preserve">Mohammed Chiadmi (1999) </w:t>
            </w:r>
            <w:r w:rsidRPr="005771F8">
              <w:rPr>
                <w:rFonts w:eastAsia="Calibri"/>
                <w:sz w:val="20"/>
                <w:szCs w:val="20"/>
                <w:lang w:bidi="ar-AE"/>
              </w:rPr>
              <w:t>(traduction accompagnée du texte arabe à droite)</w:t>
            </w:r>
          </w:p>
        </w:tc>
        <w:tc>
          <w:tcPr>
            <w:tcW w:w="3211" w:type="dxa"/>
          </w:tcPr>
          <w:p w14:paraId="505A0727"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Chiad.</w:t>
            </w:r>
          </w:p>
        </w:tc>
      </w:tr>
      <w:tr w:rsidR="0099789B" w:rsidRPr="00596DCD" w14:paraId="2A74CE8B" w14:textId="77777777" w:rsidTr="006D032B">
        <w:tc>
          <w:tcPr>
            <w:tcW w:w="7137" w:type="dxa"/>
          </w:tcPr>
          <w:p w14:paraId="01C47D5F"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Le Complexe du Roi Fahd de Médine (2001)</w:t>
            </w:r>
          </w:p>
        </w:tc>
        <w:tc>
          <w:tcPr>
            <w:tcW w:w="3211" w:type="dxa"/>
          </w:tcPr>
          <w:p w14:paraId="6A0A5BE8"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Méd.</w:t>
            </w:r>
          </w:p>
        </w:tc>
      </w:tr>
      <w:tr w:rsidR="0099789B" w:rsidRPr="00596DCD" w14:paraId="73A68C12" w14:textId="77777777" w:rsidTr="006D032B">
        <w:tc>
          <w:tcPr>
            <w:tcW w:w="7137" w:type="dxa"/>
          </w:tcPr>
          <w:p w14:paraId="5E246D41"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Zeinab Abdelaziz (2002)</w:t>
            </w:r>
          </w:p>
        </w:tc>
        <w:tc>
          <w:tcPr>
            <w:tcW w:w="3211" w:type="dxa"/>
          </w:tcPr>
          <w:p w14:paraId="368050BF"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Abdel.</w:t>
            </w:r>
          </w:p>
        </w:tc>
      </w:tr>
      <w:tr w:rsidR="0099789B" w:rsidRPr="00596DCD" w14:paraId="03C52171" w14:textId="77777777" w:rsidTr="006D032B">
        <w:tc>
          <w:tcPr>
            <w:tcW w:w="7137" w:type="dxa"/>
          </w:tcPr>
          <w:p w14:paraId="575882D4"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Sami Awad Aldeeb Abu-Sahlieh (2008)</w:t>
            </w:r>
          </w:p>
        </w:tc>
        <w:tc>
          <w:tcPr>
            <w:tcW w:w="3211" w:type="dxa"/>
          </w:tcPr>
          <w:p w14:paraId="799FD541" w14:textId="77777777" w:rsidR="0099789B" w:rsidRPr="005771F8" w:rsidRDefault="0099789B" w:rsidP="003F01B1">
            <w:pPr>
              <w:tabs>
                <w:tab w:val="right" w:pos="993"/>
              </w:tabs>
              <w:spacing w:line="360" w:lineRule="auto"/>
              <w:jc w:val="both"/>
              <w:rPr>
                <w:rFonts w:eastAsia="Times New Roman"/>
                <w:sz w:val="20"/>
                <w:szCs w:val="20"/>
              </w:rPr>
            </w:pPr>
            <w:r w:rsidRPr="005771F8">
              <w:rPr>
                <w:rFonts w:eastAsia="Times New Roman"/>
                <w:sz w:val="20"/>
                <w:szCs w:val="20"/>
              </w:rPr>
              <w:t>Ald.</w:t>
            </w:r>
          </w:p>
        </w:tc>
      </w:tr>
      <w:tr w:rsidR="0099789B" w:rsidRPr="00596DCD" w14:paraId="6B58E88F" w14:textId="77777777" w:rsidTr="006D032B">
        <w:tc>
          <w:tcPr>
            <w:tcW w:w="7137" w:type="dxa"/>
          </w:tcPr>
          <w:p w14:paraId="3CA0A539"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Malek Chebel (2009)</w:t>
            </w:r>
          </w:p>
        </w:tc>
        <w:tc>
          <w:tcPr>
            <w:tcW w:w="3211" w:type="dxa"/>
          </w:tcPr>
          <w:p w14:paraId="79EF45E2"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Cheb.</w:t>
            </w:r>
          </w:p>
        </w:tc>
      </w:tr>
      <w:tr w:rsidR="0099789B" w:rsidRPr="00596DCD" w14:paraId="149DEFA4" w14:textId="77777777" w:rsidTr="006D032B">
        <w:tc>
          <w:tcPr>
            <w:tcW w:w="7137" w:type="dxa"/>
          </w:tcPr>
          <w:p w14:paraId="4CDEA0B9"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 xml:space="preserve">Hachemi Hafiane (2010) </w:t>
            </w:r>
            <w:r w:rsidRPr="00596DCD">
              <w:rPr>
                <w:rFonts w:eastAsia="Calibri"/>
                <w:sz w:val="20"/>
                <w:szCs w:val="20"/>
                <w:lang w:bidi="ar-AE"/>
              </w:rPr>
              <w:t>(traduction accompagnée du texte arabe à droite)</w:t>
            </w:r>
          </w:p>
        </w:tc>
        <w:tc>
          <w:tcPr>
            <w:tcW w:w="3211" w:type="dxa"/>
          </w:tcPr>
          <w:p w14:paraId="13C8ACE8"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Haf.</w:t>
            </w:r>
          </w:p>
        </w:tc>
      </w:tr>
      <w:tr w:rsidR="0099789B" w:rsidRPr="00596DCD" w14:paraId="6F33533C" w14:textId="77777777" w:rsidTr="006D032B">
        <w:tc>
          <w:tcPr>
            <w:tcW w:w="7137" w:type="dxa"/>
          </w:tcPr>
          <w:p w14:paraId="09FF1244"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Verset</w:t>
            </w:r>
          </w:p>
        </w:tc>
        <w:tc>
          <w:tcPr>
            <w:tcW w:w="3211" w:type="dxa"/>
          </w:tcPr>
          <w:p w14:paraId="196C6A36"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v.</w:t>
            </w:r>
          </w:p>
        </w:tc>
      </w:tr>
      <w:tr w:rsidR="0099789B" w:rsidRPr="00596DCD" w14:paraId="4FA22DB2" w14:textId="77777777" w:rsidTr="006D032B">
        <w:tc>
          <w:tcPr>
            <w:tcW w:w="7137" w:type="dxa"/>
          </w:tcPr>
          <w:p w14:paraId="1F0D18CA"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Sourate</w:t>
            </w:r>
          </w:p>
        </w:tc>
        <w:tc>
          <w:tcPr>
            <w:tcW w:w="3211" w:type="dxa"/>
          </w:tcPr>
          <w:p w14:paraId="547CB7C0"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s.</w:t>
            </w:r>
          </w:p>
        </w:tc>
      </w:tr>
      <w:tr w:rsidR="0099789B" w:rsidRPr="00596DCD" w14:paraId="50969C41" w14:textId="77777777" w:rsidTr="006D032B">
        <w:tc>
          <w:tcPr>
            <w:tcW w:w="7137" w:type="dxa"/>
          </w:tcPr>
          <w:p w14:paraId="1BBFE38D"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Note du traducteur ou de (la) traduction</w:t>
            </w:r>
          </w:p>
        </w:tc>
        <w:tc>
          <w:tcPr>
            <w:tcW w:w="3211" w:type="dxa"/>
          </w:tcPr>
          <w:p w14:paraId="2B89628E" w14:textId="77777777" w:rsidR="0099789B" w:rsidRPr="00596DCD" w:rsidRDefault="0099789B" w:rsidP="003F01B1">
            <w:pPr>
              <w:tabs>
                <w:tab w:val="right" w:pos="993"/>
              </w:tabs>
              <w:spacing w:line="360" w:lineRule="auto"/>
              <w:jc w:val="both"/>
              <w:rPr>
                <w:rFonts w:eastAsia="Times New Roman"/>
                <w:sz w:val="20"/>
                <w:szCs w:val="20"/>
              </w:rPr>
            </w:pPr>
            <w:r w:rsidRPr="00596DCD">
              <w:rPr>
                <w:rFonts w:eastAsia="Times New Roman"/>
                <w:sz w:val="20"/>
                <w:szCs w:val="20"/>
              </w:rPr>
              <w:t>NDT</w:t>
            </w:r>
          </w:p>
        </w:tc>
      </w:tr>
    </w:tbl>
    <w:p w14:paraId="3CF54C12" w14:textId="77777777" w:rsidR="00561BDC" w:rsidRPr="00CB7AF4" w:rsidRDefault="00561BDC" w:rsidP="007E6257">
      <w:pPr>
        <w:spacing w:line="360" w:lineRule="auto"/>
        <w:jc w:val="both"/>
        <w:rPr>
          <w:rFonts w:asciiTheme="majorBidi" w:eastAsia="Calibri" w:hAnsiTheme="majorBidi" w:cstheme="majorBidi"/>
        </w:rPr>
      </w:pPr>
    </w:p>
    <w:p w14:paraId="29741BF1" w14:textId="77777777" w:rsidR="00561BDC" w:rsidRPr="00CB7AF4" w:rsidRDefault="00561BDC" w:rsidP="00CB7AF4">
      <w:pPr>
        <w:spacing w:line="360" w:lineRule="auto"/>
        <w:jc w:val="both"/>
        <w:rPr>
          <w:rFonts w:asciiTheme="majorBidi" w:eastAsia="Calibri" w:hAnsiTheme="majorBidi" w:cstheme="majorBidi"/>
        </w:rPr>
      </w:pPr>
      <w:r w:rsidRPr="00CB7AF4">
        <w:rPr>
          <w:rFonts w:asciiTheme="majorBidi" w:eastAsia="Calibri" w:hAnsiTheme="majorBidi" w:cstheme="majorBidi"/>
          <w:color w:val="FF0000"/>
        </w:rPr>
        <w:br w:type="page"/>
      </w:r>
    </w:p>
    <w:p w14:paraId="6660B860" w14:textId="77777777" w:rsidR="00561BDC" w:rsidRPr="00CB7AF4" w:rsidRDefault="00561BDC" w:rsidP="00AF2F28">
      <w:pPr>
        <w:spacing w:line="360" w:lineRule="auto"/>
        <w:jc w:val="center"/>
        <w:rPr>
          <w:rFonts w:asciiTheme="majorBidi" w:eastAsia="Calibri" w:hAnsiTheme="majorBidi" w:cstheme="majorBidi"/>
          <w:b/>
          <w:bCs/>
        </w:rPr>
      </w:pPr>
      <w:r w:rsidRPr="00CB7AF4">
        <w:rPr>
          <w:rFonts w:asciiTheme="majorBidi" w:eastAsia="Calibri" w:hAnsiTheme="majorBidi" w:cstheme="majorBidi"/>
          <w:b/>
          <w:bCs/>
        </w:rPr>
        <w:lastRenderedPageBreak/>
        <w:t>Introduction</w:t>
      </w:r>
    </w:p>
    <w:p w14:paraId="278E3430" w14:textId="77777777" w:rsidR="00561BDC" w:rsidRPr="00CB7AF4" w:rsidRDefault="00561BDC" w:rsidP="00CB7AF4">
      <w:pPr>
        <w:spacing w:line="360" w:lineRule="auto"/>
        <w:jc w:val="both"/>
        <w:rPr>
          <w:rFonts w:asciiTheme="majorBidi" w:eastAsia="Times New Roman" w:hAnsiTheme="majorBidi" w:cstheme="majorBidi"/>
        </w:rPr>
      </w:pPr>
    </w:p>
    <w:p w14:paraId="1574CBD7" w14:textId="77777777" w:rsidR="00561BDC" w:rsidRPr="00CB7AF4" w:rsidRDefault="00561BDC" w:rsidP="00CB7AF4">
      <w:pPr>
        <w:spacing w:line="360" w:lineRule="auto"/>
        <w:ind w:firstLine="708"/>
        <w:jc w:val="both"/>
        <w:rPr>
          <w:rFonts w:asciiTheme="majorBidi" w:eastAsia="Calibri" w:hAnsiTheme="majorBidi" w:cstheme="majorBidi"/>
          <w:color w:val="FF0000"/>
          <w:lang w:bidi="ar-AE"/>
        </w:rPr>
      </w:pPr>
      <w:r w:rsidRPr="00CB7AF4">
        <w:rPr>
          <w:rFonts w:asciiTheme="majorBidi" w:eastAsia="Times New Roman" w:hAnsiTheme="majorBidi" w:cstheme="majorBidi"/>
        </w:rPr>
        <w:t>« Traduire, souligne Christophe Rico, c’est à la fois perdre et créer, mourir et renaître, sauver l’essentiel au cours d’un naufrage pour pouvoir prendre pied sur une terre vierge. C’est bien là que résident l’aventure et le risque encourus par toute traduction : dans une suite de décisions sans appel qui constitue sa force et sa faiblesse. »</w:t>
      </w:r>
      <w:r w:rsidRPr="00CB7AF4">
        <w:rPr>
          <w:rFonts w:asciiTheme="majorBidi" w:eastAsia="Times New Roman" w:hAnsiTheme="majorBidi" w:cstheme="majorBidi"/>
          <w:vertAlign w:val="superscript"/>
          <w:lang w:bidi="ar-AE"/>
        </w:rPr>
        <w:footnoteReference w:id="1"/>
      </w:r>
      <w:r w:rsidRPr="00CB7AF4">
        <w:rPr>
          <w:rFonts w:asciiTheme="majorBidi" w:eastAsia="Calibri" w:hAnsiTheme="majorBidi" w:cstheme="majorBidi"/>
          <w:lang w:bidi="ar-AE"/>
        </w:rPr>
        <w:t xml:space="preserve"> Ainsi, « La traduction est à la fois impossible et nécessaire. »</w:t>
      </w:r>
      <w:r w:rsidRPr="00CB7AF4">
        <w:rPr>
          <w:rFonts w:asciiTheme="majorBidi" w:eastAsia="Times New Roman" w:hAnsiTheme="majorBidi" w:cstheme="majorBidi"/>
          <w:vertAlign w:val="superscript"/>
          <w:lang w:bidi="ar-AE"/>
        </w:rPr>
        <w:footnoteReference w:id="2"/>
      </w:r>
    </w:p>
    <w:p w14:paraId="3CBCA5A3" w14:textId="77777777" w:rsidR="00561BDC" w:rsidRPr="00CB7AF4" w:rsidRDefault="00561BDC" w:rsidP="00CB7AF4">
      <w:pPr>
        <w:spacing w:line="360" w:lineRule="auto"/>
        <w:jc w:val="both"/>
        <w:rPr>
          <w:rFonts w:asciiTheme="majorBidi" w:eastAsia="Times New Roman" w:hAnsiTheme="majorBidi" w:cstheme="majorBidi"/>
        </w:rPr>
      </w:pPr>
    </w:p>
    <w:p w14:paraId="2C2B3056"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De nos jours, les études en traduction qui ont connu un véritable essor au XX</w:t>
      </w:r>
      <w:r w:rsidRPr="00CB7AF4">
        <w:rPr>
          <w:rFonts w:asciiTheme="majorBidi" w:eastAsia="Times New Roman" w:hAnsiTheme="majorBidi" w:cstheme="majorBidi"/>
          <w:vertAlign w:val="superscript"/>
        </w:rPr>
        <w:t>e</w:t>
      </w:r>
      <w:r w:rsidRPr="00CB7AF4">
        <w:rPr>
          <w:rFonts w:asciiTheme="majorBidi" w:eastAsia="Times New Roman" w:hAnsiTheme="majorBidi" w:cstheme="majorBidi"/>
        </w:rPr>
        <w:t xml:space="preserve"> siècle, continuent à aiguiser la curiosité de beaucoup de chercheurs. Ces études ne se limitent pas au côté théorique, mais le dépassent de loin pour comprendre d’autres domaines ayant rapport à la pratique, à la didactique, et surtout à la critique des traductions.</w:t>
      </w:r>
    </w:p>
    <w:p w14:paraId="0FEA3015"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26434B21" w14:textId="77777777" w:rsidR="00561BDC" w:rsidRPr="00CB7AF4" w:rsidRDefault="00561BDC" w:rsidP="005650C2">
      <w:pPr>
        <w:spacing w:line="360" w:lineRule="auto"/>
        <w:ind w:firstLine="708"/>
        <w:jc w:val="both"/>
        <w:rPr>
          <w:rFonts w:asciiTheme="majorBidi" w:eastAsia="Calibri" w:hAnsiTheme="majorBidi" w:cstheme="majorBidi"/>
          <w:lang w:bidi="ar-AE"/>
        </w:rPr>
      </w:pPr>
      <w:r w:rsidRPr="00CB7AF4">
        <w:rPr>
          <w:rFonts w:asciiTheme="majorBidi" w:eastAsia="Times New Roman" w:hAnsiTheme="majorBidi" w:cstheme="majorBidi"/>
        </w:rPr>
        <w:t>Notre présente étude s’inscrit dans le cadre de la critique des traductions, étant donné que le principal objectif de la traduction d’un texte est de transmettre une « lecture » du texte de départ. La traduction</w:t>
      </w:r>
      <w:r w:rsidR="007E6257">
        <w:rPr>
          <w:rStyle w:val="Appelnotedebasdep"/>
          <w:rFonts w:eastAsia="Times New Roman"/>
        </w:rPr>
        <w:footnoteReference w:id="3"/>
      </w:r>
      <w:r w:rsidRPr="00CB7AF4">
        <w:rPr>
          <w:rFonts w:asciiTheme="majorBidi" w:eastAsia="Times New Roman" w:hAnsiTheme="majorBidi" w:cstheme="majorBidi"/>
        </w:rPr>
        <w:t xml:space="preserve"> : c’est formuler autrement les mêmes idées que l’auteur. Cependant, on ne sait pas d’une manière précise ce que l’auteur, s’il existe, voulait dire. Tout texte est polysémique. Voilà </w:t>
      </w:r>
      <w:r w:rsidRPr="00CB7AF4">
        <w:rPr>
          <w:rFonts w:asciiTheme="majorBidi" w:eastAsia="Times New Roman" w:hAnsiTheme="majorBidi" w:cstheme="majorBidi"/>
          <w:i/>
          <w:iCs/>
        </w:rPr>
        <w:t>le hic</w:t>
      </w:r>
      <w:r w:rsidRPr="00CB7AF4">
        <w:rPr>
          <w:rFonts w:asciiTheme="majorBidi" w:eastAsia="Times New Roman" w:hAnsiTheme="majorBidi" w:cstheme="majorBidi"/>
        </w:rPr>
        <w:t>. L’obstacle majeur à la traduction est la polysémie</w:t>
      </w:r>
      <w:r w:rsidR="00372432">
        <w:rPr>
          <w:rStyle w:val="Appelnotedebasdep"/>
          <w:rFonts w:eastAsia="Times New Roman"/>
        </w:rPr>
        <w:footnoteReference w:id="4"/>
      </w:r>
      <w:r w:rsidRPr="00CB7AF4">
        <w:rPr>
          <w:rFonts w:asciiTheme="majorBidi" w:eastAsia="Times New Roman" w:hAnsiTheme="majorBidi" w:cstheme="majorBidi"/>
        </w:rPr>
        <w:t>. Cet obstacle s’avère plus grand dans le texte sacré</w:t>
      </w:r>
      <w:r w:rsidR="0032150C">
        <w:rPr>
          <w:rStyle w:val="Appelnotedebasdep"/>
          <w:rFonts w:eastAsia="Times New Roman"/>
        </w:rPr>
        <w:footnoteReference w:id="5"/>
      </w:r>
      <w:r w:rsidRPr="00CB7AF4">
        <w:rPr>
          <w:rFonts w:asciiTheme="majorBidi" w:eastAsia="Times New Roman" w:hAnsiTheme="majorBidi" w:cstheme="majorBidi"/>
        </w:rPr>
        <w:t xml:space="preserve">. “La traduction ne couvre que les énoncés de forme </w:t>
      </w:r>
      <w:r w:rsidRPr="00CB7AF4">
        <w:rPr>
          <w:rFonts w:asciiTheme="majorBidi" w:eastAsia="Times New Roman" w:hAnsiTheme="majorBidi" w:cstheme="majorBidi"/>
        </w:rPr>
        <w:lastRenderedPageBreak/>
        <w:t xml:space="preserve">linguistique, mais un énoncé ne se réduit jamais à sa seule forme linguistique.” </w:t>
      </w:r>
      <w:r w:rsidRPr="00CB7AF4">
        <w:rPr>
          <w:rFonts w:asciiTheme="majorBidi" w:eastAsia="Times New Roman" w:hAnsiTheme="majorBidi" w:cstheme="majorBidi"/>
          <w:vertAlign w:val="superscript"/>
          <w:lang w:bidi="ar-AE"/>
        </w:rPr>
        <w:footnoteReference w:id="6"/>
      </w:r>
      <w:r w:rsidRPr="00CB7AF4">
        <w:rPr>
          <w:rFonts w:asciiTheme="majorBidi" w:eastAsia="Times New Roman" w:hAnsiTheme="majorBidi" w:cstheme="majorBidi"/>
        </w:rPr>
        <w:t xml:space="preserve"> </w:t>
      </w:r>
      <w:r w:rsidRPr="00CB7AF4">
        <w:rPr>
          <w:rFonts w:asciiTheme="majorBidi" w:eastAsia="Calibri" w:hAnsiTheme="majorBidi" w:cstheme="majorBidi"/>
          <w:lang w:bidi="ar-AE"/>
        </w:rPr>
        <w:t xml:space="preserve">Le sens n’est pas seulement véhiculé par les mots. Il importe de voir les implications de l’énoncé. </w:t>
      </w:r>
      <w:r w:rsidRPr="00CB7AF4">
        <w:rPr>
          <w:rFonts w:asciiTheme="majorBidi" w:eastAsia="Times New Roman" w:hAnsiTheme="majorBidi" w:cstheme="majorBidi"/>
        </w:rPr>
        <w:t xml:space="preserve">Dans un texte sacré, en l’occurrence le Coran, </w:t>
      </w:r>
      <w:r w:rsidRPr="00CB7AF4">
        <w:rPr>
          <w:rFonts w:asciiTheme="majorBidi" w:eastAsia="Calibri" w:hAnsiTheme="majorBidi" w:cstheme="majorBidi"/>
          <w:lang w:bidi="ar-AE"/>
        </w:rPr>
        <w:t>beaucoup de contextes nous manquent, c’est pourquoi</w:t>
      </w:r>
      <w:r w:rsidR="005650C2">
        <w:rPr>
          <w:rFonts w:asciiTheme="majorBidi" w:eastAsia="Calibri" w:hAnsiTheme="majorBidi" w:cstheme="majorBidi"/>
          <w:lang w:bidi="ar-AE"/>
        </w:rPr>
        <w:t xml:space="preserve"> on a plusieurs interprétations </w:t>
      </w:r>
      <w:r w:rsidRPr="00CB7AF4">
        <w:rPr>
          <w:rFonts w:asciiTheme="majorBidi" w:eastAsia="Calibri" w:hAnsiTheme="majorBidi" w:cstheme="majorBidi"/>
          <w:lang w:bidi="ar-AE"/>
        </w:rPr>
        <w:t xml:space="preserve">malgré </w:t>
      </w:r>
      <w:r w:rsidRPr="00CB7AF4">
        <w:rPr>
          <w:rFonts w:asciiTheme="majorBidi" w:eastAsia="Calibri" w:hAnsiTheme="majorBidi" w:cstheme="majorBidi"/>
        </w:rPr>
        <w:t xml:space="preserve">les </w:t>
      </w:r>
      <w:r w:rsidRPr="00CB7AF4">
        <w:rPr>
          <w:rFonts w:asciiTheme="majorBidi" w:eastAsia="Calibri" w:hAnsiTheme="majorBidi" w:cstheme="majorBidi"/>
          <w:i/>
          <w:iCs/>
        </w:rPr>
        <w:t>asbāb an-nuzūl</w:t>
      </w:r>
      <w:r w:rsidRPr="00CB7AF4">
        <w:rPr>
          <w:rFonts w:asciiTheme="majorBidi" w:eastAsia="Calibri" w:hAnsiTheme="majorBidi" w:cstheme="majorBidi"/>
        </w:rPr>
        <w:t xml:space="preserve"> (les causes, les circonstances ou le contexte historique de l’énonciation ou de “la rédaction”)</w:t>
      </w:r>
      <w:r w:rsidRPr="00CB7AF4">
        <w:rPr>
          <w:rFonts w:asciiTheme="majorBidi" w:eastAsia="Times New Roman" w:hAnsiTheme="majorBidi" w:cstheme="majorBidi"/>
          <w:vertAlign w:val="superscript"/>
          <w:lang w:bidi="ar-AE"/>
        </w:rPr>
        <w:footnoteReference w:id="7"/>
      </w:r>
      <w:r w:rsidRPr="00CB7AF4">
        <w:rPr>
          <w:rFonts w:asciiTheme="majorBidi" w:eastAsia="Calibri" w:hAnsiTheme="majorBidi" w:cstheme="majorBidi"/>
        </w:rPr>
        <w:t>.</w:t>
      </w:r>
      <w:r w:rsidRPr="00CB7AF4">
        <w:rPr>
          <w:rFonts w:asciiTheme="majorBidi" w:eastAsia="Calibri" w:hAnsiTheme="majorBidi" w:cstheme="majorBidi"/>
          <w:lang w:bidi="ar-AE"/>
        </w:rPr>
        <w:t xml:space="preserve"> Ce qui donne lieu à la polysémie.</w:t>
      </w:r>
    </w:p>
    <w:p w14:paraId="7EA5FEFC" w14:textId="77777777" w:rsidR="00561BDC" w:rsidRPr="00CB7AF4" w:rsidRDefault="00561BDC" w:rsidP="00727965">
      <w:pPr>
        <w:spacing w:line="360" w:lineRule="auto"/>
        <w:ind w:firstLine="708"/>
        <w:jc w:val="both"/>
        <w:rPr>
          <w:rFonts w:asciiTheme="majorBidi" w:eastAsia="Calibri" w:hAnsiTheme="majorBidi" w:cstheme="majorBidi"/>
          <w:rtl/>
        </w:rPr>
      </w:pPr>
    </w:p>
    <w:p w14:paraId="41340D1F" w14:textId="77777777" w:rsidR="00561BDC" w:rsidRPr="00B17CFE" w:rsidRDefault="00561BDC" w:rsidP="007E7089">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Ainsi, le hadith [aphorisme du prophète ou propos prophétique] rapporté par</w:t>
      </w:r>
      <w:r w:rsidR="004922B5">
        <w:rPr>
          <w:rFonts w:asciiTheme="majorBidi" w:eastAsia="Calibri" w:hAnsiTheme="majorBidi" w:cstheme="majorBidi"/>
          <w:lang w:bidi="ar-AE"/>
        </w:rPr>
        <w:t xml:space="preserve"> </w:t>
      </w:r>
      <w:r w:rsidRPr="00CB7AF4">
        <w:rPr>
          <w:rFonts w:asciiTheme="majorBidi" w:eastAsia="Calibri" w:hAnsiTheme="majorBidi" w:cstheme="majorBidi"/>
          <w:lang w:bidi="ar-AE"/>
        </w:rPr>
        <w:t xml:space="preserve">Ibn ʿUmar </w:t>
      </w:r>
      <w:r w:rsidR="004A50BA">
        <w:rPr>
          <w:rFonts w:asciiTheme="majorBidi" w:eastAsia="Calibri" w:hAnsiTheme="majorBidi" w:cstheme="majorBidi"/>
          <w:lang w:bidi="ar-AE"/>
        </w:rPr>
        <w:t xml:space="preserve">b. </w:t>
      </w:r>
      <w:r w:rsidRPr="00CB7AF4">
        <w:rPr>
          <w:rFonts w:asciiTheme="majorBidi" w:eastAsia="Calibri" w:hAnsiTheme="majorBidi" w:cstheme="majorBidi"/>
          <w:lang w:bidi="ar-AE"/>
        </w:rPr>
        <w:t>al-Khaṭṭāb</w:t>
      </w:r>
      <w:r w:rsidR="007E7089">
        <w:rPr>
          <w:rFonts w:asciiTheme="majorBidi" w:eastAsia="Calibri" w:hAnsiTheme="majorBidi" w:cstheme="majorBidi"/>
          <w:lang w:bidi="ar-AE"/>
        </w:rPr>
        <w:t>,</w:t>
      </w:r>
      <w:r w:rsidRPr="00CB7AF4">
        <w:rPr>
          <w:rFonts w:asciiTheme="majorBidi" w:eastAsia="Calibri" w:hAnsiTheme="majorBidi" w:cstheme="majorBidi"/>
          <w:lang w:bidi="ar-AE"/>
        </w:rPr>
        <w:t xml:space="preserve"> </w:t>
      </w:r>
      <w:r w:rsidR="007E7089">
        <w:rPr>
          <w:rFonts w:asciiTheme="majorBidi" w:eastAsia="Calibri" w:hAnsiTheme="majorBidi" w:cstheme="majorBidi"/>
          <w:lang w:bidi="ar-AE"/>
        </w:rPr>
        <w:t>le fils du Calife Omar</w:t>
      </w:r>
      <w:r w:rsidR="007E7089" w:rsidRPr="00CB7AF4">
        <w:rPr>
          <w:rFonts w:asciiTheme="majorBidi" w:eastAsia="Calibri" w:hAnsiTheme="majorBidi" w:cstheme="majorBidi"/>
          <w:lang w:bidi="ar-AE"/>
        </w:rPr>
        <w:t xml:space="preserve"> </w:t>
      </w:r>
      <w:r w:rsidRPr="00CB7AF4">
        <w:rPr>
          <w:rFonts w:asciiTheme="majorBidi" w:eastAsia="Calibri" w:hAnsiTheme="majorBidi" w:cstheme="majorBidi"/>
          <w:lang w:bidi="ar-AE"/>
        </w:rPr>
        <w:t>(qui aurait dit : « Que personne d’entre vous ne dise qu’il a acquis le Coran entier, car qu’en sait-il? Beaucoup du Coran a été perdu ! Alors qu’il dise : J’ai acquis ce qui était disponible [apparent]. »)</w:t>
      </w:r>
      <w:r w:rsidRPr="00CB7AF4">
        <w:rPr>
          <w:rFonts w:asciiTheme="majorBidi" w:eastAsia="Times New Roman" w:hAnsiTheme="majorBidi" w:cstheme="majorBidi"/>
          <w:vertAlign w:val="superscript"/>
          <w:lang w:bidi="ar-AE"/>
        </w:rPr>
        <w:footnoteReference w:id="8"/>
      </w:r>
      <w:r w:rsidRPr="00CB7AF4">
        <w:rPr>
          <w:rFonts w:asciiTheme="majorBidi" w:eastAsia="Calibri" w:hAnsiTheme="majorBidi" w:cstheme="majorBidi"/>
          <w:lang w:bidi="ar-AE"/>
        </w:rPr>
        <w:t xml:space="preserve"> peut être compris comme suit : Le texte du Coran adopté est incomplet, car il ne peut jamais refléter </w:t>
      </w:r>
      <w:r w:rsidRPr="005650C2">
        <w:rPr>
          <w:rFonts w:asciiTheme="majorBidi" w:eastAsia="Calibri" w:hAnsiTheme="majorBidi" w:cstheme="majorBidi"/>
          <w:lang w:bidi="ar-AE"/>
        </w:rPr>
        <w:t>le contexte, les scènes, les gestes qui font partie du sens du Coran. “Le sens est un contexte.”</w:t>
      </w:r>
      <w:r w:rsidRPr="005650C2">
        <w:rPr>
          <w:rFonts w:asciiTheme="majorBidi" w:eastAsia="Times New Roman" w:hAnsiTheme="majorBidi" w:cstheme="majorBidi"/>
          <w:vertAlign w:val="superscript"/>
          <w:lang w:bidi="ar-AE"/>
        </w:rPr>
        <w:footnoteReference w:id="9"/>
      </w:r>
      <w:r w:rsidRPr="005650C2">
        <w:rPr>
          <w:rFonts w:asciiTheme="majorBidi" w:eastAsia="Calibri" w:hAnsiTheme="majorBidi" w:cstheme="majorBidi"/>
          <w:lang w:bidi="ar-AE"/>
        </w:rPr>
        <w:t xml:space="preserve"> On décrivait Muḥammad comme un Coran qui marchait sur terr</w:t>
      </w:r>
      <w:r w:rsidR="00A55FC7" w:rsidRPr="005650C2">
        <w:rPr>
          <w:rFonts w:asciiTheme="majorBidi" w:eastAsia="Calibri" w:hAnsiTheme="majorBidi" w:cstheme="majorBidi"/>
          <w:lang w:bidi="ar-AE"/>
        </w:rPr>
        <w:t>e. En d’autres termes, le vrai C</w:t>
      </w:r>
      <w:r w:rsidRPr="005650C2">
        <w:rPr>
          <w:rFonts w:asciiTheme="majorBidi" w:eastAsia="Calibri" w:hAnsiTheme="majorBidi" w:cstheme="majorBidi"/>
          <w:lang w:bidi="ar-AE"/>
        </w:rPr>
        <w:t>oran est le contexte</w:t>
      </w:r>
      <w:r w:rsidRPr="00CB7AF4">
        <w:rPr>
          <w:rFonts w:asciiTheme="majorBidi" w:eastAsia="Calibri" w:hAnsiTheme="majorBidi" w:cstheme="majorBidi"/>
          <w:lang w:bidi="ar-AE"/>
        </w:rPr>
        <w:t xml:space="preserve">, le déroulement des événements, l’être vivant. De plus, </w:t>
      </w:r>
      <w:r w:rsidRPr="00B17CFE">
        <w:rPr>
          <w:rFonts w:asciiTheme="majorBidi" w:eastAsia="Calibri" w:hAnsiTheme="majorBidi" w:cstheme="majorBidi"/>
          <w:lang w:bidi="ar-AE"/>
        </w:rPr>
        <w:t xml:space="preserve">la compilation du Coran </w:t>
      </w:r>
      <w:r w:rsidR="00A55FC7" w:rsidRPr="00B17CFE">
        <w:rPr>
          <w:rFonts w:asciiTheme="majorBidi" w:eastAsia="Calibri" w:hAnsiTheme="majorBidi" w:cstheme="majorBidi"/>
          <w:lang w:bidi="ar-AE"/>
        </w:rPr>
        <w:t>à partir de</w:t>
      </w:r>
      <w:r w:rsidRPr="00B17CFE">
        <w:rPr>
          <w:rFonts w:asciiTheme="majorBidi" w:eastAsia="Calibri" w:hAnsiTheme="majorBidi" w:cstheme="majorBidi"/>
          <w:lang w:bidi="ar-AE"/>
        </w:rPr>
        <w:t xml:space="preserve"> discours et documents </w:t>
      </w:r>
      <w:r w:rsidR="00A55FC7" w:rsidRPr="00B17CFE">
        <w:rPr>
          <w:rFonts w:asciiTheme="majorBidi" w:eastAsia="Calibri" w:hAnsiTheme="majorBidi" w:cstheme="majorBidi"/>
          <w:lang w:bidi="ar-AE"/>
        </w:rPr>
        <w:lastRenderedPageBreak/>
        <w:t>divers</w:t>
      </w:r>
      <w:r w:rsidRPr="00B17CFE">
        <w:rPr>
          <w:rFonts w:asciiTheme="majorBidi" w:eastAsia="Calibri" w:hAnsiTheme="majorBidi" w:cstheme="majorBidi"/>
          <w:lang w:bidi="ar-AE"/>
        </w:rPr>
        <w:t xml:space="preserve"> a </w:t>
      </w:r>
      <w:r w:rsidR="00A55FC7" w:rsidRPr="00B17CFE">
        <w:rPr>
          <w:rFonts w:asciiTheme="majorBidi" w:eastAsia="Calibri" w:hAnsiTheme="majorBidi" w:cstheme="majorBidi"/>
          <w:lang w:bidi="ar-AE"/>
        </w:rPr>
        <w:t>amené la perte d’</w:t>
      </w:r>
      <w:r w:rsidRPr="00B17CFE">
        <w:rPr>
          <w:rFonts w:asciiTheme="majorBidi" w:eastAsia="Calibri" w:hAnsiTheme="majorBidi" w:cstheme="majorBidi"/>
          <w:lang w:bidi="ar-AE"/>
        </w:rPr>
        <w:t xml:space="preserve">un contexte d’un côté et </w:t>
      </w:r>
      <w:r w:rsidR="00A55FC7" w:rsidRPr="00B17CFE">
        <w:rPr>
          <w:rFonts w:asciiTheme="majorBidi" w:eastAsia="Calibri" w:hAnsiTheme="majorBidi" w:cstheme="majorBidi"/>
          <w:lang w:bidi="ar-AE"/>
        </w:rPr>
        <w:t>la création d’un nouveau</w:t>
      </w:r>
      <w:r w:rsidRPr="00B17CFE">
        <w:rPr>
          <w:rFonts w:asciiTheme="majorBidi" w:eastAsia="Calibri" w:hAnsiTheme="majorBidi" w:cstheme="majorBidi"/>
          <w:lang w:bidi="ar-AE"/>
        </w:rPr>
        <w:t xml:space="preserve"> contexte d’un autre côté, contexte différent de celui de l’enchaînement des événements.</w:t>
      </w:r>
    </w:p>
    <w:p w14:paraId="04E8369B"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5B8391B4" w14:textId="77777777" w:rsidR="00561BDC" w:rsidRPr="00CB7AF4" w:rsidRDefault="00561BDC" w:rsidP="000C42AD">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La tradition musulmane ra</w:t>
      </w:r>
      <w:r w:rsidR="000C42AD">
        <w:rPr>
          <w:rFonts w:asciiTheme="majorBidi" w:eastAsia="Calibri" w:hAnsiTheme="majorBidi" w:cstheme="majorBidi"/>
          <w:lang w:bidi="ar-AE"/>
        </w:rPr>
        <w:t>pporte trois contextes du Coran :</w:t>
      </w:r>
    </w:p>
    <w:p w14:paraId="61798579" w14:textId="77777777" w:rsidR="00561BDC" w:rsidRPr="00CB7AF4" w:rsidRDefault="00561BDC" w:rsidP="007640DC">
      <w:pPr>
        <w:numPr>
          <w:ilvl w:val="0"/>
          <w:numId w:val="2"/>
        </w:numPr>
        <w:spacing w:line="360" w:lineRule="auto"/>
        <w:jc w:val="both"/>
        <w:rPr>
          <w:rFonts w:asciiTheme="majorBidi" w:eastAsia="Times New Roman" w:hAnsiTheme="majorBidi" w:cstheme="majorBidi"/>
        </w:rPr>
      </w:pPr>
      <w:r w:rsidRPr="004C0AFB">
        <w:rPr>
          <w:rFonts w:asciiTheme="majorBidi" w:eastAsia="Times New Roman" w:hAnsiTheme="majorBidi" w:cstheme="majorBidi"/>
        </w:rPr>
        <w:t xml:space="preserve">Le contexte </w:t>
      </w:r>
      <w:r w:rsidRPr="004C0AFB">
        <w:rPr>
          <w:rFonts w:asciiTheme="majorBidi" w:eastAsia="Times New Roman" w:hAnsiTheme="majorBidi" w:cstheme="majorBidi"/>
          <w:i/>
          <w:iCs/>
        </w:rPr>
        <w:t>oral</w:t>
      </w:r>
      <w:r w:rsidRPr="00CB7AF4">
        <w:rPr>
          <w:rFonts w:asciiTheme="majorBidi" w:eastAsia="Times New Roman" w:hAnsiTheme="majorBidi" w:cstheme="majorBidi"/>
        </w:rPr>
        <w:t xml:space="preserve"> de l’énonciation par le Prophète en tant que « </w:t>
      </w:r>
      <w:r w:rsidRPr="00CB7AF4">
        <w:rPr>
          <w:rFonts w:asciiTheme="majorBidi" w:eastAsia="Times New Roman" w:hAnsiTheme="majorBidi" w:cstheme="majorBidi"/>
          <w:i/>
          <w:iCs/>
        </w:rPr>
        <w:t>parangon</w:t>
      </w:r>
      <w:r w:rsidRPr="00CB7AF4">
        <w:rPr>
          <w:rFonts w:asciiTheme="majorBidi" w:eastAsia="Times New Roman" w:hAnsiTheme="majorBidi" w:cstheme="majorBidi"/>
        </w:rPr>
        <w:t> » (porte-parole d’un groupe, personnage emblématique)</w:t>
      </w:r>
      <w:r w:rsidRPr="00CB7AF4">
        <w:rPr>
          <w:rFonts w:asciiTheme="majorBidi" w:eastAsia="Times New Roman" w:hAnsiTheme="majorBidi" w:cstheme="majorBidi"/>
          <w:shd w:val="clear" w:color="auto" w:fill="FFFFFF"/>
        </w:rPr>
        <w:t xml:space="preserve"> </w:t>
      </w:r>
      <w:r w:rsidRPr="00CB7AF4">
        <w:rPr>
          <w:rFonts w:asciiTheme="majorBidi" w:eastAsia="Times New Roman" w:hAnsiTheme="majorBidi" w:cstheme="majorBidi"/>
        </w:rPr>
        <w:t>selon les termes de Claude Gilliot</w:t>
      </w:r>
      <w:r w:rsidR="00E95A1B">
        <w:rPr>
          <w:rStyle w:val="Appelnotedebasdep"/>
          <w:rFonts w:eastAsia="Times New Roman"/>
        </w:rPr>
        <w:footnoteReference w:id="10"/>
      </w:r>
      <w:r w:rsidR="00065066">
        <w:rPr>
          <w:rFonts w:asciiTheme="majorBidi" w:eastAsia="Times New Roman" w:hAnsiTheme="majorBidi" w:cstheme="majorBidi"/>
        </w:rPr>
        <w:t>.</w:t>
      </w:r>
    </w:p>
    <w:p w14:paraId="0E02600E" w14:textId="2C12D741" w:rsidR="00561BDC" w:rsidRPr="00CB7AF4" w:rsidRDefault="00561BDC" w:rsidP="007640DC">
      <w:pPr>
        <w:numPr>
          <w:ilvl w:val="0"/>
          <w:numId w:val="2"/>
        </w:numPr>
        <w:spacing w:line="360" w:lineRule="auto"/>
        <w:jc w:val="both"/>
        <w:rPr>
          <w:rFonts w:asciiTheme="majorBidi" w:eastAsia="Calibri" w:hAnsiTheme="majorBidi" w:cstheme="majorBidi"/>
          <w:lang w:bidi="ar-AE"/>
        </w:rPr>
      </w:pPr>
      <w:r w:rsidRPr="00CB7AF4">
        <w:rPr>
          <w:rFonts w:asciiTheme="majorBidi" w:eastAsia="Times New Roman" w:hAnsiTheme="majorBidi" w:cstheme="majorBidi"/>
        </w:rPr>
        <w:t xml:space="preserve">Le contexte </w:t>
      </w:r>
      <w:r w:rsidRPr="004C0AFB">
        <w:rPr>
          <w:rFonts w:asciiTheme="majorBidi" w:eastAsia="Times New Roman" w:hAnsiTheme="majorBidi" w:cstheme="majorBidi"/>
          <w:i/>
          <w:iCs/>
        </w:rPr>
        <w:t>chronologique historique</w:t>
      </w:r>
      <w:r w:rsidRPr="00CB7AF4">
        <w:rPr>
          <w:rFonts w:asciiTheme="majorBidi" w:eastAsia="Times New Roman" w:hAnsiTheme="majorBidi" w:cstheme="majorBidi"/>
        </w:rPr>
        <w:t xml:space="preserve"> de la parole de Muḥammad</w:t>
      </w:r>
      <w:r w:rsidRPr="00CB7AF4">
        <w:rPr>
          <w:rFonts w:asciiTheme="majorBidi" w:eastAsia="Calibri" w:hAnsiTheme="majorBidi" w:cstheme="majorBidi"/>
          <w:lang w:bidi="ar-AE"/>
        </w:rPr>
        <w:t xml:space="preserve"> écrite par quelques compagnons selon l’ordre chronologique des événements. (Ex. : </w:t>
      </w:r>
      <w:r w:rsidRPr="00CB7AF4">
        <w:rPr>
          <w:rFonts w:asciiTheme="majorBidi" w:eastAsia="Calibri" w:hAnsiTheme="majorBidi" w:cstheme="majorBidi"/>
          <w:i/>
          <w:iCs/>
          <w:lang w:bidi="ar-AE"/>
        </w:rPr>
        <w:t>muṣḥaf</w:t>
      </w:r>
      <w:r w:rsidRPr="00CB7AF4">
        <w:rPr>
          <w:rFonts w:asciiTheme="majorBidi" w:eastAsia="Calibri" w:hAnsiTheme="majorBidi" w:cstheme="majorBidi"/>
          <w:lang w:bidi="ar-AE"/>
        </w:rPr>
        <w:t xml:space="preserve"> [volume</w:t>
      </w:r>
      <w:r w:rsidR="005A0F4C">
        <w:rPr>
          <w:rFonts w:asciiTheme="majorBidi" w:eastAsia="Calibri" w:hAnsiTheme="majorBidi" w:cstheme="majorBidi"/>
          <w:lang w:bidi="ar-AE"/>
        </w:rPr>
        <w:t>, codex, version] de ʿAbdullāh b.</w:t>
      </w:r>
      <w:r w:rsidRPr="00CB7AF4">
        <w:rPr>
          <w:rFonts w:asciiTheme="majorBidi" w:eastAsia="Calibri" w:hAnsiTheme="majorBidi" w:cstheme="majorBidi"/>
          <w:lang w:bidi="ar-AE"/>
        </w:rPr>
        <w:t xml:space="preserve"> Masʿūd,</w:t>
      </w:r>
      <w:r w:rsidRPr="00CB7AF4">
        <w:rPr>
          <w:rFonts w:asciiTheme="majorBidi" w:eastAsia="Calibri" w:hAnsiTheme="majorBidi" w:cstheme="majorBidi"/>
          <w:i/>
          <w:iCs/>
          <w:lang w:bidi="ar-AE"/>
        </w:rPr>
        <w:t xml:space="preserve"> muṣḥaf</w:t>
      </w:r>
      <w:r w:rsidR="00B448A6">
        <w:rPr>
          <w:rFonts w:asciiTheme="majorBidi" w:eastAsia="Calibri" w:hAnsiTheme="majorBidi" w:cstheme="majorBidi"/>
          <w:lang w:bidi="ar-AE"/>
        </w:rPr>
        <w:t xml:space="preserve"> </w:t>
      </w:r>
      <w:r w:rsidR="00B448A6" w:rsidRPr="00094CE1">
        <w:rPr>
          <w:rFonts w:asciiTheme="majorBidi" w:eastAsia="Calibri" w:hAnsiTheme="majorBidi" w:cstheme="majorBidi"/>
          <w:lang w:bidi="ar-AE"/>
        </w:rPr>
        <w:t xml:space="preserve">de </w:t>
      </w:r>
      <w:r w:rsidRPr="00094CE1">
        <w:rPr>
          <w:rFonts w:asciiTheme="majorBidi" w:eastAsia="Calibri" w:hAnsiTheme="majorBidi" w:cstheme="majorBidi"/>
          <w:lang w:bidi="ar-AE"/>
        </w:rPr>
        <w:t xml:space="preserve">Ubayy </w:t>
      </w:r>
      <w:r w:rsidR="00B448A6" w:rsidRPr="00094CE1">
        <w:rPr>
          <w:rFonts w:asciiTheme="majorBidi" w:eastAsia="Calibri" w:hAnsiTheme="majorBidi" w:cstheme="majorBidi"/>
          <w:lang w:bidi="ar-AE"/>
        </w:rPr>
        <w:t>b.</w:t>
      </w:r>
      <w:r w:rsidRPr="00094CE1">
        <w:rPr>
          <w:rFonts w:asciiTheme="majorBidi" w:eastAsia="Calibri" w:hAnsiTheme="majorBidi" w:cstheme="majorBidi"/>
          <w:lang w:bidi="ar-AE"/>
        </w:rPr>
        <w:t xml:space="preserve"> Kaʿb,</w:t>
      </w:r>
      <w:r w:rsidRPr="00094CE1">
        <w:rPr>
          <w:rFonts w:asciiTheme="majorBidi" w:eastAsia="Calibri" w:hAnsiTheme="majorBidi" w:cstheme="majorBidi"/>
          <w:i/>
          <w:iCs/>
          <w:lang w:bidi="ar-AE"/>
        </w:rPr>
        <w:t xml:space="preserve"> muṣḥaf</w:t>
      </w:r>
      <w:r w:rsidR="005A0F4C">
        <w:rPr>
          <w:rFonts w:asciiTheme="majorBidi" w:eastAsia="Calibri" w:hAnsiTheme="majorBidi" w:cstheme="majorBidi"/>
          <w:lang w:bidi="ar-AE"/>
        </w:rPr>
        <w:t xml:space="preserve"> de ʿAbdullāh b.</w:t>
      </w:r>
      <w:r w:rsidRPr="00094CE1">
        <w:rPr>
          <w:rFonts w:asciiTheme="majorBidi" w:eastAsia="Calibri" w:hAnsiTheme="majorBidi" w:cstheme="majorBidi"/>
          <w:lang w:bidi="ar-AE"/>
        </w:rPr>
        <w:t xml:space="preserve"> ʿAbbās, </w:t>
      </w:r>
      <w:r w:rsidRPr="00094CE1">
        <w:rPr>
          <w:rFonts w:asciiTheme="majorBidi" w:eastAsia="Calibri" w:hAnsiTheme="majorBidi" w:cstheme="majorBidi"/>
          <w:i/>
          <w:iCs/>
          <w:lang w:bidi="ar-AE"/>
        </w:rPr>
        <w:t>muṣḥaf</w:t>
      </w:r>
      <w:r w:rsidRPr="00094CE1">
        <w:rPr>
          <w:rFonts w:asciiTheme="majorBidi" w:eastAsia="Calibri" w:hAnsiTheme="majorBidi" w:cstheme="majorBidi"/>
          <w:lang w:bidi="ar-AE"/>
        </w:rPr>
        <w:t xml:space="preserve"> de ʿAlī, </w:t>
      </w:r>
      <w:r w:rsidRPr="00094CE1">
        <w:rPr>
          <w:rFonts w:asciiTheme="majorBidi" w:eastAsia="Calibri" w:hAnsiTheme="majorBidi" w:cstheme="majorBidi"/>
          <w:i/>
          <w:iCs/>
          <w:lang w:bidi="ar-AE"/>
        </w:rPr>
        <w:t>muṣḥaf</w:t>
      </w:r>
      <w:r w:rsidRPr="00094CE1">
        <w:rPr>
          <w:rFonts w:asciiTheme="majorBidi" w:eastAsia="Calibri" w:hAnsiTheme="majorBidi" w:cstheme="majorBidi"/>
          <w:lang w:bidi="ar-AE"/>
        </w:rPr>
        <w:t xml:space="preserve"> de ʿĀʾisha, </w:t>
      </w:r>
      <w:r w:rsidRPr="00094CE1">
        <w:rPr>
          <w:rFonts w:asciiTheme="majorBidi" w:eastAsia="Calibri" w:hAnsiTheme="majorBidi" w:cstheme="majorBidi"/>
          <w:i/>
          <w:iCs/>
          <w:lang w:bidi="ar-AE"/>
        </w:rPr>
        <w:t>muṣḥaf</w:t>
      </w:r>
      <w:r w:rsidRPr="00094CE1">
        <w:rPr>
          <w:rFonts w:asciiTheme="majorBidi" w:eastAsia="Calibri" w:hAnsiTheme="majorBidi" w:cstheme="majorBidi"/>
          <w:lang w:bidi="ar-AE"/>
        </w:rPr>
        <w:t xml:space="preserve"> de Fāṭima, etc.)</w:t>
      </w:r>
    </w:p>
    <w:p w14:paraId="0C2BBE8C" w14:textId="77777777" w:rsidR="00561BDC" w:rsidRPr="00CB7AF4" w:rsidRDefault="00561BDC" w:rsidP="007640DC">
      <w:pPr>
        <w:numPr>
          <w:ilvl w:val="0"/>
          <w:numId w:val="2"/>
        </w:numPr>
        <w:spacing w:line="360" w:lineRule="auto"/>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Le </w:t>
      </w:r>
      <w:r w:rsidRPr="004C0AFB">
        <w:rPr>
          <w:rFonts w:asciiTheme="majorBidi" w:eastAsia="Calibri" w:hAnsiTheme="majorBidi" w:cstheme="majorBidi"/>
          <w:lang w:bidi="ar-AE"/>
        </w:rPr>
        <w:t xml:space="preserve">contexte </w:t>
      </w:r>
      <w:r w:rsidR="002005CB" w:rsidRPr="004C0AFB">
        <w:rPr>
          <w:rFonts w:asciiTheme="majorBidi" w:hAnsiTheme="majorBidi" w:cstheme="majorBidi"/>
          <w:i/>
          <w:iCs/>
        </w:rPr>
        <w:t>scriptural</w:t>
      </w:r>
      <w:r w:rsidRPr="004C0AFB">
        <w:rPr>
          <w:rFonts w:asciiTheme="majorBidi" w:eastAsia="Calibri" w:hAnsiTheme="majorBidi" w:cstheme="majorBidi"/>
          <w:lang w:bidi="ar-AE"/>
        </w:rPr>
        <w:t xml:space="preserve"> décousu et plus ou</w:t>
      </w:r>
      <w:r w:rsidRPr="00CB7AF4">
        <w:rPr>
          <w:rFonts w:asciiTheme="majorBidi" w:eastAsia="Calibri" w:hAnsiTheme="majorBidi" w:cstheme="majorBidi"/>
          <w:lang w:bidi="ar-AE"/>
        </w:rPr>
        <w:t xml:space="preserve"> moins arbitraire de la compilation réécrite par le </w:t>
      </w:r>
      <w:r w:rsidR="00AB5410">
        <w:rPr>
          <w:rFonts w:asciiTheme="majorBidi" w:eastAsia="Calibri" w:hAnsiTheme="majorBidi" w:cstheme="majorBidi"/>
          <w:lang w:bidi="ar-AE"/>
        </w:rPr>
        <w:t>troisième</w:t>
      </w:r>
      <w:r w:rsidRPr="00CB7AF4">
        <w:rPr>
          <w:rFonts w:asciiTheme="majorBidi" w:eastAsia="Calibri" w:hAnsiTheme="majorBidi" w:cstheme="majorBidi"/>
          <w:lang w:bidi="ar-AE"/>
        </w:rPr>
        <w:t xml:space="preserve"> calife ʿUthmān selon la longueur des sourates (en rejetant et brulant toute version en ordre chronologique et en justifiant sa compilation par le fait qu’elle est </w:t>
      </w:r>
      <w:r w:rsidRPr="00CB7AF4">
        <w:rPr>
          <w:rFonts w:asciiTheme="majorBidi" w:eastAsia="Calibri" w:hAnsiTheme="majorBidi" w:cstheme="majorBidi"/>
          <w:i/>
          <w:iCs/>
          <w:lang w:bidi="ar-AE"/>
        </w:rPr>
        <w:t>tawqīfī</w:t>
      </w:r>
      <w:r w:rsidRPr="00CB7AF4">
        <w:rPr>
          <w:rFonts w:asciiTheme="majorBidi" w:eastAsia="Calibri" w:hAnsiTheme="majorBidi" w:cstheme="majorBidi"/>
          <w:lang w:bidi="ar-AE"/>
        </w:rPr>
        <w:t xml:space="preserve"> [fixé par ordre prophétique]). Ce contexte décousu de la Vulgate a un effet très polysémique et arbitraire, car il permet d’insérer n’importe quel sens dans le champ sémantique du mot ou de la phrase et par la suite d’élargir la polysémie. Cette compilation othmanienne semble être une stratégie du texte pour permettre toute lecture future afin de répondre à tous les besoins sociopolitiques. Malgré cette stratégie, il </w:t>
      </w:r>
      <w:r w:rsidRPr="00F12204">
        <w:rPr>
          <w:rFonts w:asciiTheme="majorBidi" w:eastAsia="Calibri" w:hAnsiTheme="majorBidi" w:cstheme="majorBidi"/>
          <w:lang w:bidi="ar-AE"/>
        </w:rPr>
        <w:t xml:space="preserve">semble que la polysémie du Coran </w:t>
      </w:r>
      <w:r w:rsidR="00C27F75" w:rsidRPr="00F12204">
        <w:rPr>
          <w:rFonts w:asciiTheme="majorBidi" w:eastAsia="Calibri" w:hAnsiTheme="majorBidi" w:cstheme="majorBidi"/>
          <w:lang w:bidi="ar-AE"/>
        </w:rPr>
        <w:t xml:space="preserve">tend à se réduire de nos jours, </w:t>
      </w:r>
      <w:r w:rsidRPr="00F12204">
        <w:rPr>
          <w:rFonts w:asciiTheme="majorBidi" w:eastAsia="Calibri" w:hAnsiTheme="majorBidi" w:cstheme="majorBidi"/>
          <w:lang w:bidi="ar-AE"/>
        </w:rPr>
        <w:t>l</w:t>
      </w:r>
      <w:r w:rsidR="00C27F75" w:rsidRPr="00F12204">
        <w:rPr>
          <w:rFonts w:asciiTheme="majorBidi" w:eastAsia="Calibri" w:hAnsiTheme="majorBidi" w:cstheme="majorBidi"/>
          <w:lang w:bidi="ar-AE"/>
        </w:rPr>
        <w:t>es exégèses</w:t>
      </w:r>
      <w:r w:rsidR="00336417" w:rsidRPr="00F12204">
        <w:rPr>
          <w:rStyle w:val="Appelnotedebasdep"/>
          <w:rFonts w:eastAsia="Calibri"/>
          <w:lang w:bidi="ar-AE"/>
        </w:rPr>
        <w:footnoteReference w:id="11"/>
      </w:r>
      <w:r w:rsidR="00C27F75" w:rsidRPr="00F12204">
        <w:rPr>
          <w:rFonts w:asciiTheme="majorBidi" w:eastAsia="Calibri" w:hAnsiTheme="majorBidi" w:cstheme="majorBidi"/>
          <w:lang w:bidi="ar-AE"/>
        </w:rPr>
        <w:t xml:space="preserve"> modernes s’en tenant </w:t>
      </w:r>
      <w:r w:rsidRPr="00F12204">
        <w:rPr>
          <w:rFonts w:asciiTheme="majorBidi" w:eastAsia="Calibri" w:hAnsiTheme="majorBidi" w:cstheme="majorBidi"/>
          <w:lang w:bidi="ar-AE"/>
        </w:rPr>
        <w:t xml:space="preserve">souvent </w:t>
      </w:r>
      <w:r w:rsidR="00C27F75" w:rsidRPr="00F12204">
        <w:rPr>
          <w:rFonts w:asciiTheme="majorBidi" w:eastAsia="Calibri" w:hAnsiTheme="majorBidi" w:cstheme="majorBidi"/>
          <w:lang w:bidi="ar-AE"/>
        </w:rPr>
        <w:t>à l’interprétation canonique ou dominante.</w:t>
      </w:r>
      <w:r w:rsidRPr="00F12204">
        <w:rPr>
          <w:rFonts w:asciiTheme="majorBidi" w:eastAsia="Calibri" w:hAnsiTheme="majorBidi" w:cstheme="majorBidi"/>
          <w:lang w:bidi="ar-AE"/>
        </w:rPr>
        <w:t xml:space="preserve"> Cette stratégie</w:t>
      </w:r>
      <w:r w:rsidR="002207B1">
        <w:rPr>
          <w:rFonts w:asciiTheme="majorBidi" w:eastAsia="Calibri" w:hAnsiTheme="majorBidi" w:cstheme="majorBidi"/>
          <w:lang w:bidi="ar-AE"/>
        </w:rPr>
        <w:t xml:space="preserve"> </w:t>
      </w:r>
      <w:r w:rsidRPr="00CB7AF4">
        <w:rPr>
          <w:rFonts w:asciiTheme="majorBidi" w:eastAsia="Calibri" w:hAnsiTheme="majorBidi" w:cstheme="majorBidi"/>
          <w:lang w:bidi="ar-AE"/>
        </w:rPr>
        <w:t>est perdue dans les traductions qui essayent d’utiliser des connecteurs logiques pour combler les vides et relier les parties décousues du texte.</w:t>
      </w:r>
    </w:p>
    <w:p w14:paraId="0539C2F3"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13F89FB3" w14:textId="45FBABDC" w:rsidR="00561BDC" w:rsidRPr="004A4955"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lastRenderedPageBreak/>
        <w:t xml:space="preserve">Ces trois contextes donnent trois niveaux de signification, et par la suite trois types d’exégèses : </w:t>
      </w:r>
      <w:r w:rsidRPr="00CB7AF4">
        <w:rPr>
          <w:rFonts w:asciiTheme="majorBidi" w:eastAsia="Calibri" w:hAnsiTheme="majorBidi" w:cstheme="majorBidi"/>
          <w:i/>
          <w:iCs/>
          <w:lang w:bidi="ar-AE"/>
        </w:rPr>
        <w:t>tafsīr kashfī</w:t>
      </w:r>
      <w:r w:rsidRPr="00CB7AF4">
        <w:rPr>
          <w:rFonts w:asciiTheme="majorBidi" w:eastAsia="Calibri" w:hAnsiTheme="majorBidi" w:cstheme="majorBidi"/>
          <w:lang w:bidi="ar-AE"/>
        </w:rPr>
        <w:t xml:space="preserve"> (mystique), </w:t>
      </w:r>
      <w:r w:rsidRPr="00CB7AF4">
        <w:rPr>
          <w:rFonts w:asciiTheme="majorBidi" w:eastAsia="Calibri" w:hAnsiTheme="majorBidi" w:cstheme="majorBidi"/>
          <w:i/>
          <w:iCs/>
          <w:lang w:bidi="ar-AE"/>
        </w:rPr>
        <w:t>tafsīr naqlī</w:t>
      </w:r>
      <w:r w:rsidRPr="00CB7AF4">
        <w:rPr>
          <w:rFonts w:asciiTheme="majorBidi" w:eastAsia="Calibri" w:hAnsiTheme="majorBidi" w:cstheme="majorBidi"/>
          <w:lang w:bidi="ar-AE"/>
        </w:rPr>
        <w:t xml:space="preserve"> (littéraliste) et </w:t>
      </w:r>
      <w:r w:rsidRPr="00CB7AF4">
        <w:rPr>
          <w:rFonts w:asciiTheme="majorBidi" w:eastAsia="Calibri" w:hAnsiTheme="majorBidi" w:cstheme="majorBidi"/>
          <w:i/>
          <w:iCs/>
          <w:lang w:bidi="ar-AE"/>
        </w:rPr>
        <w:t>tafsīr ʿaqlī</w:t>
      </w:r>
      <w:r w:rsidRPr="00CB7AF4">
        <w:rPr>
          <w:rFonts w:asciiTheme="majorBidi" w:eastAsia="Calibri" w:hAnsiTheme="majorBidi" w:cstheme="majorBidi"/>
          <w:lang w:bidi="ar-AE"/>
        </w:rPr>
        <w:t xml:space="preserve"> (spéculative ou rationaliste) (selon Pierre Lory</w:t>
      </w:r>
      <w:r w:rsidR="0031426E">
        <w:rPr>
          <w:rStyle w:val="Appelnotedebasdep"/>
          <w:rFonts w:eastAsia="Calibri"/>
          <w:lang w:bidi="ar-AE"/>
        </w:rPr>
        <w:footnoteReference w:id="12"/>
      </w:r>
      <w:r w:rsidRPr="00CB7AF4">
        <w:rPr>
          <w:rFonts w:asciiTheme="majorBidi" w:eastAsia="Calibri" w:hAnsiTheme="majorBidi" w:cstheme="majorBidi"/>
          <w:lang w:bidi="ar-AE"/>
        </w:rPr>
        <w:t xml:space="preserve">) ; sans oublier le </w:t>
      </w:r>
      <w:r w:rsidRPr="00CB7AF4">
        <w:rPr>
          <w:rFonts w:asciiTheme="majorBidi" w:eastAsia="Calibri" w:hAnsiTheme="majorBidi" w:cstheme="majorBidi"/>
          <w:i/>
          <w:iCs/>
          <w:lang w:bidi="ar-AE"/>
        </w:rPr>
        <w:t xml:space="preserve">tafsīr </w:t>
      </w:r>
      <w:r w:rsidRPr="004A4955">
        <w:rPr>
          <w:rFonts w:asciiTheme="majorBidi" w:eastAsia="Calibri" w:hAnsiTheme="majorBidi" w:cstheme="majorBidi"/>
          <w:i/>
          <w:iCs/>
          <w:lang w:bidi="ar-AE"/>
        </w:rPr>
        <w:t>ishārī</w:t>
      </w:r>
      <w:r w:rsidRPr="004A4955">
        <w:rPr>
          <w:rFonts w:asciiTheme="majorBidi" w:eastAsia="Calibri" w:hAnsiTheme="majorBidi" w:cstheme="majorBidi"/>
          <w:lang w:bidi="ar-AE"/>
        </w:rPr>
        <w:t xml:space="preserve"> </w:t>
      </w:r>
      <w:r w:rsidR="007943BF" w:rsidRPr="004A4955">
        <w:rPr>
          <w:rFonts w:asciiTheme="majorBidi" w:eastAsia="Calibri" w:hAnsiTheme="majorBidi" w:cstheme="majorBidi"/>
          <w:lang w:bidi="ar-AE"/>
        </w:rPr>
        <w:t>(ou</w:t>
      </w:r>
      <w:r w:rsidR="0070608A" w:rsidRPr="004A4955">
        <w:rPr>
          <w:rFonts w:asciiTheme="majorBidi" w:eastAsia="Calibri" w:hAnsiTheme="majorBidi" w:cstheme="majorBidi"/>
          <w:lang w:bidi="ar-AE"/>
        </w:rPr>
        <w:t xml:space="preserve"> </w:t>
      </w:r>
      <w:r w:rsidR="0070608A" w:rsidRPr="004A4955">
        <w:rPr>
          <w:rFonts w:asciiTheme="majorBidi" w:eastAsia="Calibri" w:hAnsiTheme="majorBidi" w:cstheme="majorBidi"/>
          <w:i/>
          <w:iCs/>
          <w:lang w:bidi="ar-AE"/>
        </w:rPr>
        <w:t>tafsīr bi-l-ishāra</w:t>
      </w:r>
      <w:r w:rsidR="0070608A" w:rsidRPr="004A4955">
        <w:rPr>
          <w:rFonts w:asciiTheme="majorBidi" w:eastAsia="Calibri" w:hAnsiTheme="majorBidi" w:cstheme="majorBidi"/>
          <w:lang w:bidi="ar-AE"/>
        </w:rPr>
        <w:t>,</w:t>
      </w:r>
      <w:r w:rsidR="007943BF" w:rsidRPr="004A4955">
        <w:rPr>
          <w:rFonts w:asciiTheme="majorBidi" w:eastAsia="Calibri" w:hAnsiTheme="majorBidi" w:cstheme="majorBidi"/>
          <w:lang w:bidi="ar-AE"/>
        </w:rPr>
        <w:t xml:space="preserve"> </w:t>
      </w:r>
      <w:r w:rsidR="0070608A" w:rsidRPr="004A4955">
        <w:rPr>
          <w:rFonts w:asciiTheme="majorBidi" w:eastAsia="Calibri" w:hAnsiTheme="majorBidi" w:cstheme="majorBidi"/>
          <w:i/>
          <w:iCs/>
          <w:lang w:bidi="ar-AE"/>
        </w:rPr>
        <w:t xml:space="preserve">tafsīr </w:t>
      </w:r>
      <w:r w:rsidR="007943BF" w:rsidRPr="004A4955">
        <w:rPr>
          <w:rFonts w:asciiTheme="majorBidi" w:eastAsia="Calibri" w:hAnsiTheme="majorBidi" w:cstheme="majorBidi"/>
          <w:i/>
          <w:iCs/>
          <w:lang w:bidi="ar-AE"/>
        </w:rPr>
        <w:t>ramzī</w:t>
      </w:r>
      <w:r w:rsidR="007943BF" w:rsidRPr="004A4955">
        <w:rPr>
          <w:rFonts w:asciiTheme="majorBidi" w:eastAsia="Calibri" w:hAnsiTheme="majorBidi" w:cstheme="majorBidi"/>
          <w:lang w:bidi="ar-AE"/>
        </w:rPr>
        <w:t>) [symbolique</w:t>
      </w:r>
      <w:r w:rsidR="00C544C1" w:rsidRPr="004A4955">
        <w:rPr>
          <w:rFonts w:asciiTheme="majorBidi" w:eastAsia="Calibri" w:hAnsiTheme="majorBidi" w:cstheme="majorBidi"/>
          <w:lang w:bidi="ar-AE"/>
        </w:rPr>
        <w:t>, par allusion</w:t>
      </w:r>
      <w:r w:rsidR="007943BF" w:rsidRPr="004A4955">
        <w:rPr>
          <w:rFonts w:asciiTheme="majorBidi" w:eastAsia="Calibri" w:hAnsiTheme="majorBidi" w:cstheme="majorBidi"/>
          <w:lang w:bidi="ar-AE"/>
        </w:rPr>
        <w:t>]</w:t>
      </w:r>
      <w:r w:rsidR="00665225" w:rsidRPr="004A4955">
        <w:rPr>
          <w:rStyle w:val="Appelnotedebasdep"/>
          <w:rFonts w:eastAsia="Calibri"/>
          <w:lang w:bidi="ar-AE"/>
        </w:rPr>
        <w:footnoteReference w:id="13"/>
      </w:r>
      <w:r w:rsidR="007943BF" w:rsidRPr="004A4955">
        <w:rPr>
          <w:rFonts w:asciiTheme="majorBidi" w:eastAsia="Calibri" w:hAnsiTheme="majorBidi" w:cstheme="majorBidi"/>
          <w:lang w:bidi="ar-AE"/>
        </w:rPr>
        <w:t xml:space="preserve"> </w:t>
      </w:r>
      <w:r w:rsidRPr="004A4955">
        <w:rPr>
          <w:rFonts w:asciiTheme="majorBidi" w:eastAsia="Calibri" w:hAnsiTheme="majorBidi" w:cstheme="majorBidi"/>
          <w:lang w:bidi="ar-AE"/>
        </w:rPr>
        <w:t>qui n’est pas tout à fait reconnu.</w:t>
      </w:r>
    </w:p>
    <w:p w14:paraId="44134B14" w14:textId="77777777" w:rsidR="00561BDC" w:rsidRPr="004A4955" w:rsidRDefault="00561BDC" w:rsidP="00E62335">
      <w:pPr>
        <w:spacing w:line="360" w:lineRule="auto"/>
        <w:jc w:val="both"/>
        <w:rPr>
          <w:rFonts w:asciiTheme="majorBidi" w:eastAsia="Calibri" w:hAnsiTheme="majorBidi" w:cstheme="majorBidi"/>
          <w:lang w:bidi="ar-AE"/>
        </w:rPr>
      </w:pPr>
    </w:p>
    <w:p w14:paraId="333408D2" w14:textId="77777777" w:rsidR="00561BDC" w:rsidRPr="004938AD"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De plus, il y a le contexte du lecteur, celui qui comprend le message non pas selon le contexte du texte, mais selon son propre contexte. La compréhension d’un message par un lecteur est soumise à des facteurs psychologiques, sociologiques, historiques et politiques. Et puisque ces facteurs changent d’un lecteur à un autre, ils peuvent contribuer à la polysémie. En général, les termes, qu’ils soient juridiques, religieux ou autre, n’ont pas le même sens une fois traduits ou interprétés, puisque les institutions dans lesquelles ils s’inscrivent ne sont pas les mêmes, ce qui donne une polysémie géopolitique, culturelle et historique en fonction de la culture-cible. Les exégètes </w:t>
      </w:r>
      <w:r w:rsidRPr="004938AD">
        <w:rPr>
          <w:rFonts w:asciiTheme="majorBidi" w:eastAsia="Calibri" w:hAnsiTheme="majorBidi" w:cstheme="majorBidi"/>
          <w:lang w:bidi="ar-AE"/>
        </w:rPr>
        <w:t xml:space="preserve">ont donné plusieurs interprétations en fonction des facteurs sociolinguistiques et sociopolitiques </w:t>
      </w:r>
      <w:r w:rsidR="00C27F75" w:rsidRPr="004938AD">
        <w:rPr>
          <w:rFonts w:asciiTheme="majorBidi" w:eastAsia="Calibri" w:hAnsiTheme="majorBidi" w:cstheme="majorBidi"/>
          <w:lang w:bidi="ar-AE"/>
        </w:rPr>
        <w:t xml:space="preserve">et des dialectes régionaux (les sept </w:t>
      </w:r>
      <w:r w:rsidR="00E62335" w:rsidRPr="004938AD">
        <w:rPr>
          <w:rFonts w:asciiTheme="majorBidi" w:eastAsia="Calibri" w:hAnsiTheme="majorBidi" w:cstheme="majorBidi"/>
          <w:lang w:bidi="ar-AE"/>
        </w:rPr>
        <w:t>lectures).</w:t>
      </w:r>
    </w:p>
    <w:p w14:paraId="6E432FDC"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22900761" w14:textId="77777777" w:rsidR="00561BDC" w:rsidRPr="00CB7AF4" w:rsidRDefault="00561BDC" w:rsidP="00CB7AF4">
      <w:pPr>
        <w:spacing w:line="360" w:lineRule="auto"/>
        <w:ind w:firstLine="360"/>
        <w:jc w:val="both"/>
        <w:rPr>
          <w:rFonts w:asciiTheme="majorBidi" w:eastAsia="Times New Roman" w:hAnsiTheme="majorBidi" w:cstheme="majorBidi"/>
        </w:rPr>
      </w:pPr>
      <w:r w:rsidRPr="00CB7AF4">
        <w:rPr>
          <w:rFonts w:asciiTheme="majorBidi" w:eastAsia="Times New Roman" w:hAnsiTheme="majorBidi" w:cstheme="majorBidi"/>
        </w:rPr>
        <w:t xml:space="preserve">Bien que, dans l’ensemble de son œuvre, Henri Meschonnic défende la thèse selon laquelle la forme fait partie intégrante du sens et tienne à ce qu’en matière de traduction, on tâche, autant que peut se faire, de reproduire cette </w:t>
      </w:r>
      <w:r w:rsidRPr="00CB7AF4">
        <w:rPr>
          <w:rFonts w:asciiTheme="majorBidi" w:eastAsia="Times New Roman" w:hAnsiTheme="majorBidi" w:cstheme="majorBidi"/>
          <w:i/>
          <w:iCs/>
        </w:rPr>
        <w:t>forme-sens</w:t>
      </w:r>
      <w:r w:rsidRPr="00CB7AF4">
        <w:rPr>
          <w:rFonts w:asciiTheme="majorBidi" w:eastAsia="Times New Roman" w:hAnsiTheme="majorBidi" w:cstheme="majorBidi"/>
        </w:rPr>
        <w:t xml:space="preserve">, on pourrait dire que si la forme est plus ou moins fixe, le sens est flottant, mouvant, variable, instable. </w:t>
      </w:r>
      <w:r w:rsidRPr="00CB7AF4">
        <w:rPr>
          <w:rFonts w:asciiTheme="majorBidi" w:eastAsia="Calibri" w:hAnsiTheme="majorBidi" w:cstheme="majorBidi"/>
          <w:lang w:bidi="ar-AE"/>
        </w:rPr>
        <w:t>Le sens n’est pas stagnant, mais, quoique lentement, il coule, ruisselle, dégouline, glisse dans le lieu et le temps avec toute lecture, interprétation, traduction.</w:t>
      </w:r>
      <w:r w:rsidRPr="00CB7AF4">
        <w:rPr>
          <w:rFonts w:asciiTheme="majorBidi" w:eastAsia="Times New Roman" w:hAnsiTheme="majorBidi" w:cstheme="majorBidi"/>
        </w:rPr>
        <w:t xml:space="preserve"> Le sens étymologique du mot </w:t>
      </w:r>
      <w:r w:rsidRPr="00CB7AF4">
        <w:rPr>
          <w:rFonts w:asciiTheme="majorBidi" w:eastAsia="Times New Roman" w:hAnsiTheme="majorBidi" w:cstheme="majorBidi"/>
          <w:i/>
          <w:iCs/>
        </w:rPr>
        <w:t>Coran</w:t>
      </w:r>
      <w:r w:rsidRPr="00CB7AF4">
        <w:rPr>
          <w:rFonts w:asciiTheme="majorBidi" w:eastAsia="Times New Roman" w:hAnsiTheme="majorBidi" w:cstheme="majorBidi"/>
        </w:rPr>
        <w:t xml:space="preserve"> signifie déjà la </w:t>
      </w:r>
      <w:r w:rsidRPr="00CB7AF4">
        <w:rPr>
          <w:rFonts w:asciiTheme="majorBidi" w:eastAsia="Times New Roman" w:hAnsiTheme="majorBidi" w:cstheme="majorBidi"/>
          <w:i/>
          <w:iCs/>
        </w:rPr>
        <w:t>lecture</w:t>
      </w:r>
      <w:r w:rsidRPr="00CB7AF4">
        <w:rPr>
          <w:rFonts w:asciiTheme="majorBidi" w:eastAsia="Times New Roman" w:hAnsiTheme="majorBidi" w:cstheme="majorBidi"/>
        </w:rPr>
        <w:t xml:space="preserve"> (dérivé du syriaque oriental </w:t>
      </w:r>
      <w:r w:rsidRPr="00CB7AF4">
        <w:rPr>
          <w:rFonts w:asciiTheme="majorBidi" w:eastAsia="Times New Roman" w:hAnsiTheme="majorBidi" w:cstheme="majorBidi"/>
          <w:i/>
          <w:iCs/>
        </w:rPr>
        <w:t>qeryānā</w:t>
      </w:r>
      <w:r w:rsidRPr="00CB7AF4">
        <w:rPr>
          <w:rFonts w:asciiTheme="majorBidi" w:eastAsia="Times New Roman" w:hAnsiTheme="majorBidi" w:cstheme="majorBidi"/>
        </w:rPr>
        <w:t>, c.à.d. lecture)</w:t>
      </w:r>
      <w:r w:rsidRPr="00CB7AF4">
        <w:rPr>
          <w:rFonts w:asciiTheme="majorBidi" w:eastAsia="Times New Roman" w:hAnsiTheme="majorBidi" w:cstheme="majorBidi"/>
          <w:vertAlign w:val="superscript"/>
          <w:lang w:bidi="ar-AE"/>
        </w:rPr>
        <w:footnoteReference w:id="14"/>
      </w:r>
      <w:r w:rsidRPr="00CB7AF4">
        <w:rPr>
          <w:rFonts w:asciiTheme="majorBidi" w:eastAsia="Times New Roman" w:hAnsiTheme="majorBidi" w:cstheme="majorBidi"/>
        </w:rPr>
        <w:t xml:space="preserve">, à l’instar du </w:t>
      </w:r>
      <w:r w:rsidRPr="00CB7AF4">
        <w:rPr>
          <w:rFonts w:asciiTheme="majorBidi" w:eastAsia="Times New Roman" w:hAnsiTheme="majorBidi" w:cstheme="majorBidi"/>
          <w:i/>
          <w:iCs/>
        </w:rPr>
        <w:t>Tanakh</w:t>
      </w:r>
      <w:r w:rsidRPr="00CB7AF4">
        <w:rPr>
          <w:rFonts w:asciiTheme="majorBidi" w:eastAsia="Times New Roman" w:hAnsiTheme="majorBidi" w:cstheme="majorBidi"/>
        </w:rPr>
        <w:t xml:space="preserve"> [la Bible hébraïque] dont l’une des acceptions est </w:t>
      </w:r>
      <w:r w:rsidRPr="00CB7AF4">
        <w:rPr>
          <w:rFonts w:asciiTheme="majorBidi" w:eastAsia="Times New Roman" w:hAnsiTheme="majorBidi" w:cstheme="majorBidi"/>
          <w:i/>
          <w:iCs/>
        </w:rPr>
        <w:t>mikra</w:t>
      </w:r>
      <w:r w:rsidRPr="00CB7AF4">
        <w:rPr>
          <w:rFonts w:asciiTheme="majorBidi" w:eastAsia="Times New Roman" w:hAnsiTheme="majorBidi" w:cstheme="majorBidi"/>
        </w:rPr>
        <w:t xml:space="preserve"> [“ce qui est lu”, “lecture”]. Dans son ouvrage </w:t>
      </w:r>
      <w:r w:rsidRPr="00CB7AF4">
        <w:rPr>
          <w:rFonts w:asciiTheme="majorBidi" w:eastAsia="Times New Roman" w:hAnsiTheme="majorBidi" w:cstheme="majorBidi"/>
          <w:i/>
          <w:iCs/>
        </w:rPr>
        <w:t>Les états de la poétique</w:t>
      </w:r>
      <w:r w:rsidRPr="00CB7AF4">
        <w:rPr>
          <w:rFonts w:asciiTheme="majorBidi" w:eastAsia="Times New Roman" w:hAnsiTheme="majorBidi" w:cstheme="majorBidi"/>
        </w:rPr>
        <w:t xml:space="preserve">, </w:t>
      </w:r>
      <w:r w:rsidRPr="00CB7AF4">
        <w:rPr>
          <w:rFonts w:asciiTheme="majorBidi" w:eastAsia="Times New Roman" w:hAnsiTheme="majorBidi" w:cstheme="majorBidi"/>
        </w:rPr>
        <w:lastRenderedPageBreak/>
        <w:t xml:space="preserve">Meschonnic rappelle que « le terme même de </w:t>
      </w:r>
      <w:r w:rsidRPr="00CB7AF4">
        <w:rPr>
          <w:rFonts w:asciiTheme="majorBidi" w:eastAsia="Times New Roman" w:hAnsiTheme="majorBidi" w:cstheme="majorBidi"/>
          <w:i/>
          <w:iCs/>
        </w:rPr>
        <w:t>Mikra</w:t>
      </w:r>
      <w:r w:rsidRPr="00CB7AF4">
        <w:rPr>
          <w:rFonts w:asciiTheme="majorBidi" w:eastAsia="Times New Roman" w:hAnsiTheme="majorBidi" w:cstheme="majorBidi"/>
        </w:rPr>
        <w:t xml:space="preserve">, qui désigne le corpus biblique, à la fois étymologiquement et fonctionnellement, signifie </w:t>
      </w:r>
      <w:r w:rsidRPr="00CB7AF4">
        <w:rPr>
          <w:rFonts w:asciiTheme="majorBidi" w:eastAsia="Times New Roman" w:hAnsiTheme="majorBidi" w:cstheme="majorBidi"/>
          <w:i/>
          <w:iCs/>
        </w:rPr>
        <w:t>lecture</w:t>
      </w:r>
      <w:r w:rsidRPr="00CB7AF4">
        <w:rPr>
          <w:rFonts w:asciiTheme="majorBidi" w:eastAsia="Times New Roman" w:hAnsiTheme="majorBidi" w:cstheme="majorBidi"/>
        </w:rPr>
        <w:t> »</w:t>
      </w:r>
      <w:r w:rsidRPr="00CB7AF4">
        <w:rPr>
          <w:rFonts w:asciiTheme="majorBidi" w:eastAsia="Times New Roman" w:hAnsiTheme="majorBidi" w:cstheme="majorBidi"/>
          <w:vertAlign w:val="superscript"/>
        </w:rPr>
        <w:footnoteReference w:id="15"/>
      </w:r>
      <w:r w:rsidRPr="00CB7AF4">
        <w:rPr>
          <w:rFonts w:asciiTheme="majorBidi" w:eastAsia="Times New Roman" w:hAnsiTheme="majorBidi" w:cstheme="majorBidi"/>
        </w:rPr>
        <w:t>. Et la lecture est le moteur de la polysémie.</w:t>
      </w:r>
    </w:p>
    <w:p w14:paraId="0A77E2D7"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34461A56"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Il est à souligner qu’il n’y a pas que les contextes patents, mais il y a aussi les contextes cachés et ce que nous appelons les connotations qui ne sont pas toutes intellectuelles, mais affectives, pas toutes publiques, mais propres à un milieu, à une classe, à une communauté ou à une confrérie.</w:t>
      </w:r>
    </w:p>
    <w:p w14:paraId="006D32FB"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78498393" w14:textId="77777777" w:rsidR="00A32054" w:rsidRPr="000D6072" w:rsidRDefault="00561BDC" w:rsidP="00CB7AF4">
      <w:pPr>
        <w:spacing w:line="360" w:lineRule="auto"/>
        <w:ind w:firstLine="708"/>
        <w:jc w:val="both"/>
        <w:rPr>
          <w:rFonts w:asciiTheme="majorBidi" w:eastAsia="Times New Roman" w:hAnsiTheme="majorBidi" w:cstheme="majorBidi"/>
          <w:rtl/>
        </w:rPr>
      </w:pPr>
      <w:r w:rsidRPr="00CB7AF4">
        <w:rPr>
          <w:rFonts w:asciiTheme="majorBidi" w:eastAsia="Calibri" w:hAnsiTheme="majorBidi" w:cstheme="majorBidi"/>
          <w:lang w:bidi="ar-AE"/>
        </w:rPr>
        <w:t xml:space="preserve">Ces couches d’exégèses et ces </w:t>
      </w:r>
      <w:r w:rsidRPr="000D6072">
        <w:rPr>
          <w:rFonts w:asciiTheme="majorBidi" w:eastAsia="Calibri" w:hAnsiTheme="majorBidi" w:cstheme="majorBidi"/>
          <w:lang w:bidi="ar-AE"/>
        </w:rPr>
        <w:t xml:space="preserve">différentes lectures </w:t>
      </w:r>
      <w:r w:rsidR="00FB01D8" w:rsidRPr="000D6072">
        <w:rPr>
          <w:rFonts w:asciiTheme="majorBidi" w:eastAsia="Calibri" w:hAnsiTheme="majorBidi" w:cstheme="majorBidi"/>
          <w:lang w:bidi="ar-AE"/>
        </w:rPr>
        <w:t>donnent naissance à</w:t>
      </w:r>
      <w:r w:rsidRPr="000D6072">
        <w:rPr>
          <w:rFonts w:asciiTheme="majorBidi" w:eastAsia="Calibri" w:hAnsiTheme="majorBidi" w:cstheme="majorBidi"/>
          <w:lang w:bidi="ar-AE"/>
        </w:rPr>
        <w:t xml:space="preserve"> un texte polysémique par excellence. Le lien entre le contexte imaginaire et le contexte de compilation ressemble au lien entre un paysage naturel et son image dessinée à la main. Le paysage est plein de sens. Son image l’est aussi, mais avec une autre sorte de polysémie.</w:t>
      </w:r>
      <w:r w:rsidRPr="000D6072">
        <w:rPr>
          <w:rFonts w:asciiTheme="majorBidi" w:eastAsia="Times New Roman" w:hAnsiTheme="majorBidi" w:cstheme="majorBidi"/>
        </w:rPr>
        <w:t xml:space="preserve"> Le Coran a été soumis à un quad</w:t>
      </w:r>
      <w:r w:rsidR="00A32054" w:rsidRPr="000D6072">
        <w:rPr>
          <w:rFonts w:asciiTheme="majorBidi" w:eastAsia="Times New Roman" w:hAnsiTheme="majorBidi" w:cstheme="majorBidi"/>
        </w:rPr>
        <w:t>ruple processus de traduction :</w:t>
      </w:r>
    </w:p>
    <w:p w14:paraId="374987AE" w14:textId="77777777" w:rsidR="00A32054" w:rsidRPr="00A41C42" w:rsidRDefault="00561BDC" w:rsidP="007640DC">
      <w:pPr>
        <w:pStyle w:val="Paragraphedeliste"/>
        <w:numPr>
          <w:ilvl w:val="0"/>
          <w:numId w:val="10"/>
        </w:numPr>
        <w:bidi w:val="0"/>
        <w:spacing w:after="0" w:line="360" w:lineRule="auto"/>
        <w:jc w:val="both"/>
        <w:rPr>
          <w:rFonts w:asciiTheme="majorBidi" w:hAnsiTheme="majorBidi" w:cstheme="majorBidi"/>
          <w:sz w:val="24"/>
          <w:szCs w:val="24"/>
        </w:rPr>
      </w:pPr>
      <w:r w:rsidRPr="000D6072">
        <w:rPr>
          <w:rFonts w:asciiTheme="majorBidi" w:hAnsiTheme="majorBidi" w:cstheme="majorBidi"/>
          <w:sz w:val="24"/>
          <w:szCs w:val="24"/>
        </w:rPr>
        <w:t xml:space="preserve">l’énonciation du texte arabe qui n’est principalement qu’une véritable traduction adaptée </w:t>
      </w:r>
      <w:r w:rsidRPr="000D6072">
        <w:rPr>
          <w:rFonts w:asciiTheme="majorBidi" w:hAnsiTheme="majorBidi" w:cstheme="majorBidi"/>
          <w:sz w:val="24"/>
          <w:szCs w:val="24"/>
          <w:shd w:val="clear" w:color="auto" w:fill="FFFFFF"/>
        </w:rPr>
        <w:t>en sens « descendant » (traduction</w:t>
      </w:r>
      <w:r w:rsidRPr="000D6072">
        <w:rPr>
          <w:rFonts w:asciiTheme="majorBidi" w:hAnsiTheme="majorBidi" w:cstheme="majorBidi"/>
          <w:sz w:val="24"/>
          <w:szCs w:val="24"/>
        </w:rPr>
        <w:t> </w:t>
      </w:r>
      <w:r w:rsidRPr="000D6072">
        <w:rPr>
          <w:rFonts w:asciiTheme="majorBidi" w:hAnsiTheme="majorBidi" w:cstheme="majorBidi"/>
          <w:i/>
          <w:iCs/>
          <w:sz w:val="24"/>
          <w:szCs w:val="24"/>
        </w:rPr>
        <w:t>aval</w:t>
      </w:r>
      <w:r w:rsidRPr="000D6072">
        <w:rPr>
          <w:rFonts w:asciiTheme="majorBidi" w:hAnsiTheme="majorBidi" w:cstheme="majorBidi"/>
          <w:sz w:val="24"/>
          <w:szCs w:val="24"/>
          <w:shd w:val="clear" w:color="auto" w:fill="FFFFFF"/>
        </w:rPr>
        <w:t xml:space="preserve">) </w:t>
      </w:r>
      <w:r w:rsidRPr="000D6072">
        <w:rPr>
          <w:rFonts w:asciiTheme="majorBidi" w:hAnsiTheme="majorBidi" w:cstheme="majorBidi"/>
          <w:sz w:val="24"/>
          <w:szCs w:val="24"/>
        </w:rPr>
        <w:t xml:space="preserve">depuis des langues dominantes </w:t>
      </w:r>
      <w:r w:rsidR="003A3C34" w:rsidRPr="000D6072">
        <w:rPr>
          <w:rFonts w:asciiTheme="majorBidi" w:hAnsiTheme="majorBidi" w:cstheme="majorBidi"/>
          <w:sz w:val="24"/>
          <w:szCs w:val="24"/>
        </w:rPr>
        <w:t>(comme le syriaque et l’hébreu</w:t>
      </w:r>
      <w:r w:rsidR="004508F5" w:rsidRPr="000D6072">
        <w:rPr>
          <w:rStyle w:val="Appelnotedebasdep"/>
          <w:sz w:val="24"/>
          <w:szCs w:val="24"/>
        </w:rPr>
        <w:footnoteReference w:id="16"/>
      </w:r>
      <w:r w:rsidR="003A3C34" w:rsidRPr="000D6072">
        <w:rPr>
          <w:rFonts w:asciiTheme="majorBidi" w:hAnsiTheme="majorBidi" w:cstheme="majorBidi"/>
          <w:sz w:val="24"/>
          <w:szCs w:val="24"/>
        </w:rPr>
        <w:t xml:space="preserve">) </w:t>
      </w:r>
      <w:r w:rsidRPr="000D6072">
        <w:rPr>
          <w:rFonts w:asciiTheme="majorBidi" w:hAnsiTheme="majorBidi" w:cstheme="majorBidi"/>
          <w:sz w:val="24"/>
          <w:szCs w:val="24"/>
        </w:rPr>
        <w:t>vers</w:t>
      </w:r>
      <w:r w:rsidRPr="000D6072">
        <w:rPr>
          <w:rFonts w:asciiTheme="majorBidi" w:hAnsiTheme="majorBidi" w:cstheme="majorBidi"/>
          <w:sz w:val="24"/>
          <w:szCs w:val="24"/>
          <w:shd w:val="clear" w:color="auto" w:fill="FFFFFF"/>
        </w:rPr>
        <w:t xml:space="preserve"> une langue dominée ou un idiome vernaculaire </w:t>
      </w:r>
      <w:r w:rsidRPr="000D6072">
        <w:rPr>
          <w:rFonts w:asciiTheme="majorBidi" w:hAnsiTheme="majorBidi" w:cstheme="majorBidi"/>
          <w:sz w:val="24"/>
          <w:szCs w:val="24"/>
        </w:rPr>
        <w:t>(l’arabe)</w:t>
      </w:r>
      <w:r w:rsidRPr="000D6072">
        <w:rPr>
          <w:vertAlign w:val="superscript"/>
          <w:lang w:eastAsia="fr-FR"/>
        </w:rPr>
        <w:footnoteReference w:id="17"/>
      </w:r>
      <w:r w:rsidR="00A32054" w:rsidRPr="000D6072">
        <w:rPr>
          <w:rFonts w:asciiTheme="majorBidi" w:hAnsiTheme="majorBidi" w:cstheme="majorBidi"/>
          <w:sz w:val="24"/>
          <w:szCs w:val="24"/>
        </w:rPr>
        <w:t xml:space="preserve"> ; </w:t>
      </w:r>
      <w:r w:rsidR="0046046A" w:rsidRPr="000D6072">
        <w:rPr>
          <w:rFonts w:asciiTheme="majorBidi" w:hAnsiTheme="majorBidi" w:cstheme="majorBidi"/>
          <w:sz w:val="24"/>
          <w:szCs w:val="24"/>
        </w:rPr>
        <w:t>le Coran arabe lui-même est</w:t>
      </w:r>
      <w:r w:rsidR="00B40A28" w:rsidRPr="000D6072">
        <w:rPr>
          <w:rFonts w:asciiTheme="majorBidi" w:hAnsiTheme="majorBidi" w:cstheme="majorBidi"/>
          <w:sz w:val="24"/>
          <w:szCs w:val="24"/>
        </w:rPr>
        <w:t>,</w:t>
      </w:r>
      <w:r w:rsidR="0046046A" w:rsidRPr="000D6072">
        <w:rPr>
          <w:rFonts w:asciiTheme="majorBidi" w:hAnsiTheme="majorBidi" w:cstheme="majorBidi"/>
          <w:sz w:val="24"/>
          <w:szCs w:val="24"/>
        </w:rPr>
        <w:t xml:space="preserve"> semble-t-il, un texte hétérogène </w:t>
      </w:r>
      <w:r w:rsidR="001B28E1" w:rsidRPr="000D6072">
        <w:rPr>
          <w:rFonts w:asciiTheme="majorBidi" w:hAnsiTheme="majorBidi" w:cstheme="majorBidi"/>
          <w:sz w:val="24"/>
          <w:szCs w:val="24"/>
        </w:rPr>
        <w:t xml:space="preserve">homogénéisé </w:t>
      </w:r>
      <w:r w:rsidR="0046046A" w:rsidRPr="000D6072">
        <w:rPr>
          <w:rFonts w:asciiTheme="majorBidi" w:hAnsiTheme="majorBidi" w:cstheme="majorBidi"/>
          <w:sz w:val="24"/>
          <w:szCs w:val="24"/>
        </w:rPr>
        <w:t>qui contient des passages résultant d’une traduction ethnocentrique</w:t>
      </w:r>
      <w:r w:rsidR="00A32054" w:rsidRPr="000D6072">
        <w:rPr>
          <w:rFonts w:asciiTheme="majorBidi" w:hAnsiTheme="majorBidi" w:cstheme="majorBidi"/>
          <w:sz w:val="24"/>
          <w:szCs w:val="24"/>
        </w:rPr>
        <w:t xml:space="preserve"> </w:t>
      </w:r>
      <w:r w:rsidR="0046046A" w:rsidRPr="000D6072">
        <w:rPr>
          <w:rFonts w:asciiTheme="majorBidi" w:hAnsiTheme="majorBidi" w:cstheme="majorBidi"/>
          <w:sz w:val="24"/>
          <w:szCs w:val="24"/>
        </w:rPr>
        <w:t>où le jeu des forces déformantes, pour reprendre les ter</w:t>
      </w:r>
      <w:r w:rsidR="005F6701">
        <w:rPr>
          <w:rFonts w:asciiTheme="majorBidi" w:hAnsiTheme="majorBidi" w:cstheme="majorBidi"/>
          <w:sz w:val="24"/>
          <w:szCs w:val="24"/>
        </w:rPr>
        <w:t>mes d’Antoine Berman, s’exerce</w:t>
      </w:r>
      <w:r w:rsidR="0046046A" w:rsidRPr="000D6072">
        <w:rPr>
          <w:rFonts w:asciiTheme="majorBidi" w:hAnsiTheme="majorBidi" w:cstheme="majorBidi"/>
          <w:sz w:val="24"/>
          <w:szCs w:val="24"/>
        </w:rPr>
        <w:t xml:space="preserve"> librement, et d’autres passages résultant d’</w:t>
      </w:r>
      <w:r w:rsidR="00A32054" w:rsidRPr="000D6072">
        <w:rPr>
          <w:rFonts w:asciiTheme="majorBidi" w:hAnsiTheme="majorBidi" w:cstheme="majorBidi"/>
          <w:sz w:val="24"/>
          <w:szCs w:val="24"/>
        </w:rPr>
        <w:t>une trad</w:t>
      </w:r>
      <w:r w:rsidR="0039045C" w:rsidRPr="000D6072">
        <w:rPr>
          <w:rFonts w:asciiTheme="majorBidi" w:hAnsiTheme="majorBidi" w:cstheme="majorBidi"/>
          <w:sz w:val="24"/>
          <w:szCs w:val="24"/>
        </w:rPr>
        <w:t xml:space="preserve">uction sourcière dépaysante </w:t>
      </w:r>
      <w:r w:rsidR="0039045C" w:rsidRPr="000D6072">
        <w:rPr>
          <w:rFonts w:ascii="Times New Roman" w:hAnsi="Times New Roman" w:cs="Times New Roman"/>
          <w:sz w:val="24"/>
          <w:szCs w:val="24"/>
        </w:rPr>
        <w:t>(</w:t>
      </w:r>
      <w:r w:rsidR="00FB01D8" w:rsidRPr="000D6072">
        <w:rPr>
          <w:rFonts w:ascii="Times New Roman" w:hAnsi="Times New Roman" w:cs="Times New Roman"/>
          <w:i/>
          <w:iCs/>
          <w:sz w:val="24"/>
          <w:szCs w:val="24"/>
        </w:rPr>
        <w:t>f</w:t>
      </w:r>
      <w:r w:rsidR="0039045C" w:rsidRPr="000D6072">
        <w:rPr>
          <w:rFonts w:ascii="Times New Roman" w:hAnsi="Times New Roman" w:cs="Times New Roman"/>
          <w:i/>
          <w:iCs/>
          <w:sz w:val="24"/>
          <w:szCs w:val="24"/>
        </w:rPr>
        <w:t>oreignizing</w:t>
      </w:r>
      <w:r w:rsidR="0039045C" w:rsidRPr="000D6072">
        <w:rPr>
          <w:rFonts w:ascii="Times New Roman" w:hAnsi="Times New Roman" w:cs="Times New Roman"/>
          <w:sz w:val="24"/>
          <w:szCs w:val="24"/>
        </w:rPr>
        <w:t>)</w:t>
      </w:r>
      <w:r w:rsidR="0046046A" w:rsidRPr="000D6072">
        <w:rPr>
          <w:rFonts w:ascii="Times New Roman" w:hAnsi="Times New Roman" w:cs="Times New Roman"/>
          <w:sz w:val="24"/>
          <w:szCs w:val="24"/>
        </w:rPr>
        <w:t>, non ethnocentrique</w:t>
      </w:r>
      <w:r w:rsidR="00241458" w:rsidRPr="000D6072">
        <w:rPr>
          <w:rFonts w:ascii="Times New Roman" w:hAnsi="Times New Roman" w:cs="Times New Roman"/>
          <w:sz w:val="24"/>
          <w:szCs w:val="24"/>
        </w:rPr>
        <w:t xml:space="preserve"> (littérale) qui exige un travail important sur la langue traduisante, une créativité de la part du traducteur ;</w:t>
      </w:r>
    </w:p>
    <w:p w14:paraId="1AE6E52C" w14:textId="77777777" w:rsidR="00A32054" w:rsidRDefault="00561BDC" w:rsidP="007640DC">
      <w:pPr>
        <w:pStyle w:val="Paragraphedeliste"/>
        <w:numPr>
          <w:ilvl w:val="0"/>
          <w:numId w:val="10"/>
        </w:numPr>
        <w:bidi w:val="0"/>
        <w:spacing w:after="0" w:line="360" w:lineRule="auto"/>
        <w:jc w:val="both"/>
        <w:rPr>
          <w:rFonts w:asciiTheme="majorBidi" w:hAnsiTheme="majorBidi" w:cstheme="majorBidi"/>
          <w:sz w:val="24"/>
          <w:szCs w:val="24"/>
        </w:rPr>
      </w:pPr>
      <w:r w:rsidRPr="00A32054">
        <w:rPr>
          <w:rFonts w:asciiTheme="majorBidi" w:hAnsiTheme="majorBidi" w:cstheme="majorBidi"/>
          <w:sz w:val="24"/>
          <w:szCs w:val="24"/>
        </w:rPr>
        <w:lastRenderedPageBreak/>
        <w:t>la compilation et la fi</w:t>
      </w:r>
      <w:r w:rsidR="00A32054">
        <w:rPr>
          <w:rFonts w:asciiTheme="majorBidi" w:hAnsiTheme="majorBidi" w:cstheme="majorBidi"/>
          <w:sz w:val="24"/>
          <w:szCs w:val="24"/>
        </w:rPr>
        <w:t>xation de la vulgate arabe ;</w:t>
      </w:r>
    </w:p>
    <w:p w14:paraId="26F27CFD" w14:textId="77777777" w:rsidR="00A32054" w:rsidRDefault="00561BDC" w:rsidP="007640DC">
      <w:pPr>
        <w:pStyle w:val="Paragraphedeliste"/>
        <w:numPr>
          <w:ilvl w:val="0"/>
          <w:numId w:val="10"/>
        </w:numPr>
        <w:bidi w:val="0"/>
        <w:spacing w:after="0" w:line="360" w:lineRule="auto"/>
        <w:jc w:val="both"/>
        <w:rPr>
          <w:rFonts w:asciiTheme="majorBidi" w:hAnsiTheme="majorBidi" w:cstheme="majorBidi"/>
          <w:sz w:val="24"/>
          <w:szCs w:val="24"/>
        </w:rPr>
      </w:pPr>
      <w:r w:rsidRPr="00A32054">
        <w:rPr>
          <w:rFonts w:asciiTheme="majorBidi" w:hAnsiTheme="majorBidi" w:cstheme="majorBidi"/>
          <w:sz w:val="24"/>
          <w:szCs w:val="24"/>
        </w:rPr>
        <w:t>l’interprétation (l’</w:t>
      </w:r>
      <w:r w:rsidR="00A32054">
        <w:rPr>
          <w:rFonts w:asciiTheme="majorBidi" w:hAnsiTheme="majorBidi" w:cstheme="majorBidi"/>
          <w:sz w:val="24"/>
          <w:szCs w:val="24"/>
        </w:rPr>
        <w:t>exégèse) en arabe ;</w:t>
      </w:r>
    </w:p>
    <w:p w14:paraId="3FB1ABA2" w14:textId="77777777" w:rsidR="00561BDC" w:rsidRPr="00987A24" w:rsidRDefault="00A32054" w:rsidP="007640DC">
      <w:pPr>
        <w:pStyle w:val="Paragraphedeliste"/>
        <w:numPr>
          <w:ilvl w:val="0"/>
          <w:numId w:val="10"/>
        </w:num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et enfin </w:t>
      </w:r>
      <w:r w:rsidR="00561BDC" w:rsidRPr="00987A24">
        <w:rPr>
          <w:rFonts w:asciiTheme="majorBidi" w:hAnsiTheme="majorBidi" w:cstheme="majorBidi"/>
          <w:sz w:val="24"/>
          <w:szCs w:val="24"/>
        </w:rPr>
        <w:t xml:space="preserve">la traduction proprement dite de l’arabe vers d’autres langues. Ces quatre processus ont </w:t>
      </w:r>
      <w:r w:rsidR="005F42C3" w:rsidRPr="00987A24">
        <w:rPr>
          <w:rFonts w:asciiTheme="majorBidi" w:hAnsiTheme="majorBidi" w:cstheme="majorBidi"/>
          <w:sz w:val="24"/>
          <w:szCs w:val="24"/>
        </w:rPr>
        <w:t>tour à tour diminué, élargi, orienté</w:t>
      </w:r>
      <w:r w:rsidR="00561BDC" w:rsidRPr="00987A24">
        <w:rPr>
          <w:rFonts w:asciiTheme="majorBidi" w:hAnsiTheme="majorBidi" w:cstheme="majorBidi"/>
          <w:sz w:val="24"/>
          <w:szCs w:val="24"/>
        </w:rPr>
        <w:t xml:space="preserve"> la polysémie du texte.</w:t>
      </w:r>
    </w:p>
    <w:p w14:paraId="1E1248C2" w14:textId="77777777" w:rsidR="00561BDC" w:rsidRPr="00987A24" w:rsidRDefault="00561BDC" w:rsidP="00CB7AF4">
      <w:pPr>
        <w:spacing w:line="360" w:lineRule="auto"/>
        <w:ind w:firstLine="708"/>
        <w:jc w:val="both"/>
        <w:rPr>
          <w:rFonts w:asciiTheme="majorBidi" w:eastAsia="Times New Roman" w:hAnsiTheme="majorBidi" w:cstheme="majorBidi"/>
        </w:rPr>
      </w:pPr>
    </w:p>
    <w:p w14:paraId="3E7E0B53" w14:textId="77777777" w:rsidR="00561BDC" w:rsidRPr="00CB7AF4" w:rsidRDefault="005F42C3" w:rsidP="00F0130D">
      <w:pPr>
        <w:spacing w:line="360" w:lineRule="auto"/>
        <w:ind w:firstLine="708"/>
        <w:jc w:val="both"/>
        <w:rPr>
          <w:rFonts w:asciiTheme="majorBidi" w:eastAsia="Times New Roman" w:hAnsiTheme="majorBidi" w:cstheme="majorBidi"/>
        </w:rPr>
      </w:pPr>
      <w:r w:rsidRPr="00987A24">
        <w:rPr>
          <w:rFonts w:asciiTheme="majorBidi" w:eastAsia="Times New Roman" w:hAnsiTheme="majorBidi" w:cstheme="majorBidi"/>
        </w:rPr>
        <w:t>Si l’on veut bien admettre que le Coran est, pour une large partie au moins,</w:t>
      </w:r>
      <w:r w:rsidR="00561BDC" w:rsidRPr="00987A24">
        <w:rPr>
          <w:rFonts w:asciiTheme="majorBidi" w:eastAsia="Times New Roman" w:hAnsiTheme="majorBidi" w:cstheme="majorBidi"/>
        </w:rPr>
        <w:t xml:space="preserve"> une traduction arabe dépaysante (non ethnocentrique), </w:t>
      </w:r>
      <w:r w:rsidRPr="00987A24">
        <w:rPr>
          <w:rFonts w:asciiTheme="majorBidi" w:eastAsia="Times New Roman" w:hAnsiTheme="majorBidi" w:cstheme="majorBidi"/>
        </w:rPr>
        <w:t xml:space="preserve">on comprend qu’il ait </w:t>
      </w:r>
      <w:r w:rsidR="00561BDC" w:rsidRPr="00987A24">
        <w:rPr>
          <w:rFonts w:asciiTheme="majorBidi" w:eastAsia="Times New Roman" w:hAnsiTheme="majorBidi" w:cstheme="majorBidi"/>
        </w:rPr>
        <w:t xml:space="preserve">exigé des grands efforts justificatifs </w:t>
      </w:r>
      <w:r w:rsidRPr="00987A24">
        <w:rPr>
          <w:rFonts w:asciiTheme="majorBidi" w:eastAsia="Times New Roman" w:hAnsiTheme="majorBidi" w:cstheme="majorBidi"/>
        </w:rPr>
        <w:t xml:space="preserve">et </w:t>
      </w:r>
      <w:r w:rsidR="00561BDC" w:rsidRPr="00987A24">
        <w:rPr>
          <w:rFonts w:asciiTheme="majorBidi" w:eastAsia="Times New Roman" w:hAnsiTheme="majorBidi" w:cstheme="majorBidi"/>
        </w:rPr>
        <w:t>argumentatifs</w:t>
      </w:r>
      <w:r w:rsidR="0013106D" w:rsidRPr="00987A24">
        <w:rPr>
          <w:rFonts w:asciiTheme="majorBidi" w:eastAsia="Times New Roman" w:hAnsiTheme="majorBidi" w:cstheme="majorBidi"/>
        </w:rPr>
        <w:t xml:space="preserve"> </w:t>
      </w:r>
      <w:r w:rsidR="00561BDC" w:rsidRPr="00987A24">
        <w:rPr>
          <w:rFonts w:asciiTheme="majorBidi" w:eastAsia="Times New Roman" w:hAnsiTheme="majorBidi" w:cstheme="majorBidi"/>
        </w:rPr>
        <w:t>de la part des grammairiens et linguistes arabes. Ce style dépaysant du Coran a donné lieu à une polysémie arbitraire</w:t>
      </w:r>
      <w:r w:rsidRPr="00987A24">
        <w:rPr>
          <w:rFonts w:asciiTheme="majorBidi" w:eastAsia="Times New Roman" w:hAnsiTheme="majorBidi" w:cstheme="majorBidi"/>
        </w:rPr>
        <w:t xml:space="preserve">, non évolutive, non générative et non cumulative : </w:t>
      </w:r>
      <w:r w:rsidR="00561BDC" w:rsidRPr="00987A24">
        <w:rPr>
          <w:rFonts w:asciiTheme="majorBidi" w:eastAsia="Times New Roman" w:hAnsiTheme="majorBidi" w:cstheme="majorBidi"/>
        </w:rPr>
        <w:t>on peut insérer, intercaler dans le champ sémantique d’un mot ou d’une séquence du Coran une signification</w:t>
      </w:r>
      <w:r w:rsidR="00561BDC" w:rsidRPr="00CB7AF4">
        <w:rPr>
          <w:rFonts w:asciiTheme="majorBidi" w:eastAsia="Times New Roman" w:hAnsiTheme="majorBidi" w:cstheme="majorBidi"/>
        </w:rPr>
        <w:t xml:space="preserve"> étrangère qui ne fait pas partie de la ligne ou de l’histoire évolutive du terme en question, ce que démontre Soufian Al Karjousli dans sa thèse</w:t>
      </w:r>
      <w:r w:rsidR="00561BDC" w:rsidRPr="00CB7AF4">
        <w:rPr>
          <w:rFonts w:asciiTheme="majorBidi" w:eastAsia="Times New Roman" w:hAnsiTheme="majorBidi" w:cstheme="majorBidi"/>
          <w:vertAlign w:val="superscript"/>
        </w:rPr>
        <w:footnoteReference w:id="18"/>
      </w:r>
      <w:r w:rsidR="00561BDC" w:rsidRPr="00CB7AF4">
        <w:rPr>
          <w:rFonts w:asciiTheme="majorBidi" w:eastAsia="Times New Roman" w:hAnsiTheme="majorBidi" w:cstheme="majorBidi"/>
        </w:rPr>
        <w:t>.</w:t>
      </w:r>
    </w:p>
    <w:p w14:paraId="0485489F" w14:textId="77777777" w:rsidR="00561BDC" w:rsidRPr="00CB7AF4" w:rsidRDefault="00561BDC" w:rsidP="00CB7AF4">
      <w:pPr>
        <w:spacing w:line="360" w:lineRule="auto"/>
        <w:jc w:val="both"/>
        <w:rPr>
          <w:rFonts w:asciiTheme="majorBidi" w:eastAsia="Times New Roman" w:hAnsiTheme="majorBidi" w:cstheme="majorBidi"/>
        </w:rPr>
      </w:pPr>
    </w:p>
    <w:p w14:paraId="083FAA98"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Le Coran arabe n’est qu’une traduction, </w:t>
      </w:r>
      <w:r w:rsidRPr="00F0130D">
        <w:rPr>
          <w:rFonts w:asciiTheme="majorBidi" w:eastAsia="Times New Roman" w:hAnsiTheme="majorBidi" w:cstheme="majorBidi"/>
        </w:rPr>
        <w:t xml:space="preserve">rédaction, révision, correction, reformulation, adaptation de différents textes aux besoins des récepteurs arabophones. La traduction est un rouage essentiel contribuant à l’élaboration du Coran. </w:t>
      </w:r>
      <w:r w:rsidR="00A233C2" w:rsidRPr="00F0130D">
        <w:rPr>
          <w:rFonts w:asciiTheme="majorBidi" w:eastAsia="Calibri" w:hAnsiTheme="majorBidi" w:cstheme="majorBidi"/>
        </w:rPr>
        <w:t xml:space="preserve">L’intellectuel et </w:t>
      </w:r>
      <w:r w:rsidRPr="00F0130D">
        <w:rPr>
          <w:rFonts w:asciiTheme="majorBidi" w:eastAsia="Calibri" w:hAnsiTheme="majorBidi" w:cstheme="majorBidi"/>
        </w:rPr>
        <w:t>traducteur irakien Ahmed Hasan Ali Al-Gubbanchi [al-Qubanji]</w:t>
      </w:r>
      <w:r w:rsidRPr="00F0130D">
        <w:rPr>
          <w:rFonts w:asciiTheme="majorBidi" w:eastAsia="Calibri" w:hAnsiTheme="majorBidi" w:cstheme="majorBidi"/>
          <w:vertAlign w:val="superscript"/>
          <w:lang w:bidi="ar-AE"/>
        </w:rPr>
        <w:footnoteReference w:id="19"/>
      </w:r>
      <w:r w:rsidRPr="00F0130D">
        <w:rPr>
          <w:rFonts w:asciiTheme="majorBidi" w:eastAsia="Calibri" w:hAnsiTheme="majorBidi" w:cstheme="majorBidi"/>
        </w:rPr>
        <w:t xml:space="preserve"> soutient l’idée que le Prophète de l’islam est un traducteur d’un message divin.</w:t>
      </w:r>
      <w:r w:rsidR="00F0130D">
        <w:rPr>
          <w:rFonts w:asciiTheme="majorBidi" w:eastAsia="Calibri" w:hAnsiTheme="majorBidi" w:cstheme="majorBidi"/>
        </w:rPr>
        <w:t xml:space="preserve"> </w:t>
      </w:r>
      <w:r w:rsidR="00A233C2" w:rsidRPr="00F0130D">
        <w:rPr>
          <w:rFonts w:asciiTheme="majorBidi" w:eastAsia="Calibri" w:hAnsiTheme="majorBidi" w:cstheme="majorBidi"/>
        </w:rPr>
        <w:t xml:space="preserve">Selon lui, </w:t>
      </w:r>
      <w:r w:rsidRPr="00F0130D">
        <w:rPr>
          <w:rFonts w:asciiTheme="majorBidi" w:eastAsia="Calibri" w:hAnsiTheme="majorBidi" w:cstheme="majorBidi"/>
        </w:rPr>
        <w:t>les mots du Coran</w:t>
      </w:r>
      <w:r w:rsidRPr="00CB7AF4">
        <w:rPr>
          <w:rFonts w:asciiTheme="majorBidi" w:eastAsia="Calibri" w:hAnsiTheme="majorBidi" w:cstheme="majorBidi"/>
        </w:rPr>
        <w:t xml:space="preserve"> ne sont pas la parole de Dieu. Les significations proviennent de Dieu, tandis que la parole du Coran a été formulée par le Prophète lui-même pour répondre aux exigenc</w:t>
      </w:r>
      <w:r w:rsidR="00A233C2">
        <w:rPr>
          <w:rFonts w:asciiTheme="majorBidi" w:eastAsia="Calibri" w:hAnsiTheme="majorBidi" w:cstheme="majorBidi"/>
        </w:rPr>
        <w:t>es de son temps, c’est pourquoi</w:t>
      </w:r>
      <w:r w:rsidRPr="00CB7AF4">
        <w:rPr>
          <w:rFonts w:asciiTheme="majorBidi" w:eastAsia="Calibri" w:hAnsiTheme="majorBidi" w:cstheme="majorBidi"/>
        </w:rPr>
        <w:t xml:space="preserve"> il a permis au moins sept lectures du Coran.</w:t>
      </w:r>
    </w:p>
    <w:p w14:paraId="0D8050DB"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0EAA878D" w14:textId="77777777" w:rsidR="00561BDC" w:rsidRPr="00CB7AF4" w:rsidRDefault="00561BDC" w:rsidP="00F33CCD">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La tradition </w:t>
      </w:r>
      <w:r w:rsidRPr="00F33CCD">
        <w:rPr>
          <w:rFonts w:asciiTheme="majorBidi" w:eastAsia="Times New Roman" w:hAnsiTheme="majorBidi" w:cstheme="majorBidi"/>
        </w:rPr>
        <w:t xml:space="preserve">musulmane rapporte que l’une des caractéristiques les plus fondamentales du Coran, un texte sans auteur [sans auteur </w:t>
      </w:r>
      <w:r w:rsidRPr="00F33CCD">
        <w:rPr>
          <w:rFonts w:asciiTheme="majorBidi" w:eastAsia="Times New Roman" w:hAnsiTheme="majorBidi" w:cstheme="majorBidi"/>
          <w:i/>
          <w:iCs/>
        </w:rPr>
        <w:t>conscient</w:t>
      </w:r>
      <w:r w:rsidRPr="00F33CCD">
        <w:rPr>
          <w:rFonts w:asciiTheme="majorBidi" w:eastAsia="Times New Roman" w:hAnsiTheme="majorBidi" w:cstheme="majorBidi"/>
        </w:rPr>
        <w:t xml:space="preserve"> ou individuel] (autrement dit : un texte, selon </w:t>
      </w:r>
      <w:r w:rsidRPr="00F33CCD">
        <w:rPr>
          <w:rFonts w:asciiTheme="majorBidi" w:eastAsia="Times New Roman" w:hAnsiTheme="majorBidi" w:cstheme="majorBidi"/>
        </w:rPr>
        <w:lastRenderedPageBreak/>
        <w:t xml:space="preserve">les musulmans, révélé par </w:t>
      </w:r>
      <w:r w:rsidRPr="00F33CCD">
        <w:rPr>
          <w:rFonts w:asciiTheme="majorBidi" w:eastAsia="Times New Roman" w:hAnsiTheme="majorBidi" w:cstheme="majorBidi"/>
          <w:i/>
          <w:iCs/>
        </w:rPr>
        <w:t>Dieu</w:t>
      </w:r>
      <w:r w:rsidRPr="00F33CCD">
        <w:rPr>
          <w:rFonts w:asciiTheme="majorBidi" w:eastAsia="Times New Roman" w:hAnsiTheme="majorBidi" w:cstheme="majorBidi"/>
        </w:rPr>
        <w:t xml:space="preserve">, </w:t>
      </w:r>
      <w:r w:rsidR="00355C6B" w:rsidRPr="00F33CCD">
        <w:rPr>
          <w:rFonts w:asciiTheme="majorBidi" w:eastAsia="Times New Roman" w:hAnsiTheme="majorBidi" w:cstheme="majorBidi"/>
        </w:rPr>
        <w:t xml:space="preserve">et qui de ce fait puise dans </w:t>
      </w:r>
      <w:r w:rsidRPr="00F33CCD">
        <w:rPr>
          <w:rFonts w:asciiTheme="majorBidi" w:eastAsia="Times New Roman" w:hAnsiTheme="majorBidi" w:cstheme="majorBidi"/>
          <w:i/>
          <w:iCs/>
        </w:rPr>
        <w:t xml:space="preserve">l’inconscient </w:t>
      </w:r>
      <w:r w:rsidR="002B3753" w:rsidRPr="00F33CCD">
        <w:rPr>
          <w:rFonts w:asciiTheme="majorBidi" w:eastAsia="Times New Roman" w:hAnsiTheme="majorBidi" w:cstheme="majorBidi"/>
          <w:i/>
          <w:iCs/>
        </w:rPr>
        <w:t>littéraire</w:t>
      </w:r>
      <w:r w:rsidRPr="00F33CCD">
        <w:rPr>
          <w:rFonts w:asciiTheme="majorBidi" w:eastAsia="Times New Roman" w:hAnsiTheme="majorBidi" w:cstheme="majorBidi"/>
        </w:rPr>
        <w:t xml:space="preserve"> </w:t>
      </w:r>
      <w:r w:rsidR="002B3753" w:rsidRPr="00F33CCD">
        <w:rPr>
          <w:rFonts w:asciiTheme="majorBidi" w:eastAsia="Times New Roman" w:hAnsiTheme="majorBidi" w:cstheme="majorBidi"/>
        </w:rPr>
        <w:t xml:space="preserve">de l’Arabie </w:t>
      </w:r>
      <w:r w:rsidR="00355C6B" w:rsidRPr="00F33CCD">
        <w:rPr>
          <w:rFonts w:asciiTheme="majorBidi" w:eastAsia="Times New Roman" w:hAnsiTheme="majorBidi" w:cstheme="majorBidi"/>
        </w:rPr>
        <w:t>ancienne</w:t>
      </w:r>
      <w:r w:rsidRPr="00F33CCD">
        <w:rPr>
          <w:rFonts w:asciiTheme="majorBidi" w:eastAsia="Times New Roman" w:hAnsiTheme="majorBidi" w:cstheme="majorBidi"/>
        </w:rPr>
        <w:t xml:space="preserve">), est qu’il est un texte </w:t>
      </w:r>
      <w:r w:rsidRPr="00F33CCD">
        <w:rPr>
          <w:rFonts w:asciiTheme="majorBidi" w:eastAsia="Times New Roman" w:hAnsiTheme="majorBidi" w:cstheme="majorBidi"/>
          <w:i/>
          <w:iCs/>
        </w:rPr>
        <w:t>polysémique</w:t>
      </w:r>
      <w:r w:rsidRPr="00F33CCD">
        <w:rPr>
          <w:rFonts w:asciiTheme="majorBidi" w:eastAsia="Times New Roman" w:hAnsiTheme="majorBidi" w:cstheme="majorBidi"/>
        </w:rPr>
        <w:t xml:space="preserve"> par excellence (</w:t>
      </w:r>
      <w:r w:rsidRPr="00F33CCD">
        <w:rPr>
          <w:rFonts w:asciiTheme="majorBidi" w:eastAsia="Times New Roman" w:hAnsiTheme="majorBidi" w:cstheme="majorBidi"/>
          <w:i/>
          <w:iCs/>
        </w:rPr>
        <w:t>ḥammāl dhū wujūh</w:t>
      </w:r>
      <w:r w:rsidR="00300BE6" w:rsidRPr="00F33CCD">
        <w:rPr>
          <w:rStyle w:val="Appelnotedebasdep"/>
          <w:rFonts w:eastAsia="Times New Roman"/>
        </w:rPr>
        <w:footnoteReference w:id="20"/>
      </w:r>
      <w:r w:rsidRPr="00F33CCD">
        <w:rPr>
          <w:rFonts w:asciiTheme="majorBidi" w:eastAsia="Times New Roman" w:hAnsiTheme="majorBidi" w:cstheme="majorBidi"/>
        </w:rPr>
        <w:t xml:space="preserve"> : </w:t>
      </w:r>
      <w:r w:rsidRPr="00F33CCD">
        <w:rPr>
          <w:rFonts w:asciiTheme="majorBidi" w:eastAsia="Times New Roman" w:hAnsiTheme="majorBidi" w:cstheme="majorBidi"/>
          <w:i/>
          <w:iCs/>
        </w:rPr>
        <w:t>litt.</w:t>
      </w:r>
      <w:r w:rsidRPr="00F33CCD">
        <w:rPr>
          <w:rFonts w:asciiTheme="majorBidi" w:eastAsia="Times New Roman" w:hAnsiTheme="majorBidi" w:cstheme="majorBidi"/>
        </w:rPr>
        <w:t xml:space="preserve"> porteur de visages, de facettes), d’où s’ensuit l’ambiguïté. Ce qu’affirme</w:t>
      </w:r>
      <w:r w:rsidR="00355C6B" w:rsidRPr="00F33CCD">
        <w:rPr>
          <w:rFonts w:asciiTheme="majorBidi" w:eastAsia="Times New Roman" w:hAnsiTheme="majorBidi" w:cstheme="majorBidi"/>
        </w:rPr>
        <w:t>ra</w:t>
      </w:r>
      <w:r w:rsidRPr="00F33CCD">
        <w:rPr>
          <w:rFonts w:asciiTheme="majorBidi" w:eastAsia="Times New Roman" w:hAnsiTheme="majorBidi" w:cstheme="majorBidi"/>
        </w:rPr>
        <w:t xml:space="preserve"> plus tard la </w:t>
      </w:r>
      <w:r w:rsidR="00355C6B" w:rsidRPr="00F33CCD">
        <w:rPr>
          <w:rFonts w:asciiTheme="majorBidi" w:eastAsia="Times New Roman" w:hAnsiTheme="majorBidi" w:cstheme="majorBidi"/>
        </w:rPr>
        <w:t>philosophie derridéenne de la d</w:t>
      </w:r>
      <w:r w:rsidRPr="00F33CCD">
        <w:rPr>
          <w:rFonts w:asciiTheme="majorBidi" w:eastAsia="Times New Roman" w:hAnsiTheme="majorBidi" w:cstheme="majorBidi"/>
        </w:rPr>
        <w:t xml:space="preserve">éconstruction qui défend l’idée que tout texte est ouvert, infini, sans centre fixe, </w:t>
      </w:r>
      <w:r w:rsidRPr="00F33CCD">
        <w:rPr>
          <w:rFonts w:asciiTheme="majorBidi" w:eastAsia="Times New Roman" w:hAnsiTheme="majorBidi" w:cstheme="majorBidi"/>
          <w:i/>
          <w:iCs/>
        </w:rPr>
        <w:t>sans auteur</w:t>
      </w:r>
      <w:r w:rsidRPr="00F33CCD">
        <w:rPr>
          <w:rFonts w:asciiTheme="majorBidi" w:eastAsia="Times New Roman" w:hAnsiTheme="majorBidi" w:cstheme="majorBidi"/>
        </w:rPr>
        <w:t xml:space="preserve"> et que l’autorité appartient non pas au texte lui-même, mais au lecteur. David Bellos, lui aussi, souligne qu’</w:t>
      </w:r>
      <w:r w:rsidRPr="00F33CCD">
        <w:rPr>
          <w:rFonts w:asciiTheme="majorBidi" w:eastAsia="Calibri" w:hAnsiTheme="majorBidi" w:cstheme="majorBidi"/>
          <w:lang w:bidi="ar-AE"/>
        </w:rPr>
        <w:t>« un énoncé présente tant de facettes</w:t>
      </w:r>
      <w:r w:rsidRPr="00CB7AF4">
        <w:rPr>
          <w:rFonts w:asciiTheme="majorBidi" w:eastAsia="Calibri" w:hAnsiTheme="majorBidi" w:cstheme="majorBidi"/>
          <w:lang w:bidi="ar-AE"/>
        </w:rPr>
        <w:t xml:space="preserve"> que son traducteur disposera toujours d’un peu d’espace libre où se glisser. Et réciproquement, jamais aucun ensemble de contraintes sociales, pratiques, linguistiques ou génériques ne détermine complètement la façon dont une traduction doit être effectuée.</w:t>
      </w:r>
      <w:r w:rsidRPr="00CB7AF4">
        <w:rPr>
          <w:rFonts w:asciiTheme="majorBidi" w:eastAsia="Times New Roman" w:hAnsiTheme="majorBidi" w:cstheme="majorBidi"/>
        </w:rPr>
        <w:t> »</w:t>
      </w:r>
      <w:r w:rsidRPr="00CB7AF4">
        <w:rPr>
          <w:rFonts w:asciiTheme="majorBidi" w:eastAsia="Times New Roman" w:hAnsiTheme="majorBidi" w:cstheme="majorBidi"/>
          <w:vertAlign w:val="superscript"/>
          <w:lang w:bidi="ar-AE"/>
        </w:rPr>
        <w:footnoteReference w:id="21"/>
      </w:r>
    </w:p>
    <w:p w14:paraId="3F1EE338" w14:textId="77777777" w:rsidR="00561BDC" w:rsidRPr="00CB7AF4" w:rsidRDefault="00561BDC" w:rsidP="00CB7AF4">
      <w:pPr>
        <w:spacing w:line="360" w:lineRule="auto"/>
        <w:ind w:firstLine="708"/>
        <w:jc w:val="both"/>
        <w:rPr>
          <w:rFonts w:asciiTheme="majorBidi" w:eastAsia="SimSun" w:hAnsiTheme="majorBidi" w:cstheme="majorBidi"/>
          <w:lang w:eastAsia="zh-CN"/>
        </w:rPr>
      </w:pPr>
    </w:p>
    <w:p w14:paraId="1EFFC1A0" w14:textId="77777777" w:rsidR="00A956A4" w:rsidRDefault="00561BDC" w:rsidP="00FB0188">
      <w:pPr>
        <w:spacing w:line="360" w:lineRule="auto"/>
        <w:ind w:firstLine="708"/>
        <w:jc w:val="both"/>
        <w:rPr>
          <w:rFonts w:asciiTheme="majorBidi" w:eastAsia="SimSun" w:hAnsiTheme="majorBidi" w:cstheme="majorBidi"/>
          <w:lang w:eastAsia="zh-CN"/>
        </w:rPr>
      </w:pPr>
      <w:r w:rsidRPr="00833DFE">
        <w:rPr>
          <w:rFonts w:asciiTheme="majorBidi" w:eastAsia="SimSun" w:hAnsiTheme="majorBidi" w:cstheme="majorBidi"/>
          <w:b/>
          <w:bCs/>
          <w:lang w:eastAsia="zh-CN"/>
        </w:rPr>
        <w:t xml:space="preserve">Pourquoi le Coran est </w:t>
      </w:r>
      <w:r w:rsidRPr="00FB0188">
        <w:rPr>
          <w:rFonts w:asciiTheme="majorBidi" w:eastAsia="SimSun" w:hAnsiTheme="majorBidi" w:cstheme="majorBidi"/>
          <w:b/>
          <w:bCs/>
          <w:lang w:eastAsia="zh-CN"/>
        </w:rPr>
        <w:t>un texte polysémique par excellence ?</w:t>
      </w:r>
      <w:r w:rsidRPr="00FB0188">
        <w:rPr>
          <w:rFonts w:asciiTheme="majorBidi" w:eastAsia="SimSun" w:hAnsiTheme="majorBidi" w:cstheme="majorBidi"/>
          <w:lang w:eastAsia="zh-CN"/>
        </w:rPr>
        <w:t xml:space="preserve"> L’une des raisons est peut-être que les premiers récepteurs, qui </w:t>
      </w:r>
      <w:r w:rsidR="00355C6B" w:rsidRPr="00FB0188">
        <w:rPr>
          <w:rFonts w:asciiTheme="majorBidi" w:eastAsia="SimSun" w:hAnsiTheme="majorBidi" w:cstheme="majorBidi"/>
          <w:lang w:eastAsia="zh-CN"/>
        </w:rPr>
        <w:t>étaient issus de divers</w:t>
      </w:r>
      <w:r w:rsidRPr="00FB0188">
        <w:rPr>
          <w:rFonts w:asciiTheme="majorBidi" w:eastAsia="SimSun" w:hAnsiTheme="majorBidi" w:cstheme="majorBidi"/>
          <w:lang w:eastAsia="zh-CN"/>
        </w:rPr>
        <w:t xml:space="preserve"> </w:t>
      </w:r>
      <w:r w:rsidR="00355C6B" w:rsidRPr="00FB0188">
        <w:rPr>
          <w:rFonts w:asciiTheme="majorBidi" w:eastAsia="SimSun" w:hAnsiTheme="majorBidi" w:cstheme="majorBidi"/>
          <w:i/>
          <w:lang w:eastAsia="zh-CN"/>
        </w:rPr>
        <w:t>backgrounds</w:t>
      </w:r>
      <w:r w:rsidRPr="00FB0188">
        <w:rPr>
          <w:rFonts w:asciiTheme="majorBidi" w:eastAsia="SimSun" w:hAnsiTheme="majorBidi" w:cstheme="majorBidi"/>
          <w:lang w:eastAsia="zh-CN"/>
        </w:rPr>
        <w:t>, avaient besoin, à travers les multiples exégèses, de s’affirmer, d’exprimer leurs différences</w:t>
      </w:r>
      <w:r w:rsidR="00FB0188" w:rsidRPr="00FB0188">
        <w:rPr>
          <w:rFonts w:asciiTheme="majorBidi" w:eastAsia="SimSun" w:hAnsiTheme="majorBidi" w:cstheme="majorBidi"/>
          <w:lang w:eastAsia="zh-CN"/>
        </w:rPr>
        <w:t xml:space="preserve">, </w:t>
      </w:r>
      <w:r w:rsidRPr="00FB0188">
        <w:rPr>
          <w:rFonts w:asciiTheme="majorBidi" w:eastAsia="SimSun" w:hAnsiTheme="majorBidi" w:cstheme="majorBidi"/>
          <w:lang w:eastAsia="zh-CN"/>
        </w:rPr>
        <w:t>leurs identités, face à un texte-canon unique, unificateur, destructeur et fusionnant des identités. L’apparition de multiples interprétations peut se comprendre comme compensation de l’imposition d’un unique texte, pour que les identités ou les sous-identités muselées,</w:t>
      </w:r>
      <w:r w:rsidRPr="00CB7AF4">
        <w:rPr>
          <w:rFonts w:asciiTheme="majorBidi" w:eastAsia="SimSun" w:hAnsiTheme="majorBidi" w:cstheme="majorBidi"/>
          <w:lang w:eastAsia="zh-CN"/>
        </w:rPr>
        <w:t xml:space="preserve"> étouffées s’extériorisent, puissent trouver une issue, une catharsis.</w:t>
      </w:r>
    </w:p>
    <w:p w14:paraId="54B3C847" w14:textId="77777777" w:rsidR="00A956A4" w:rsidRDefault="00A956A4" w:rsidP="00CB7AF4">
      <w:pPr>
        <w:spacing w:line="360" w:lineRule="auto"/>
        <w:ind w:firstLine="708"/>
        <w:jc w:val="both"/>
        <w:rPr>
          <w:rFonts w:asciiTheme="majorBidi" w:eastAsia="SimSun" w:hAnsiTheme="majorBidi" w:cstheme="majorBidi"/>
          <w:lang w:eastAsia="zh-CN"/>
        </w:rPr>
      </w:pPr>
      <w:r w:rsidRPr="00A41C42">
        <w:rPr>
          <w:rFonts w:asciiTheme="majorBidi" w:eastAsia="SimSun" w:hAnsiTheme="majorBidi" w:cstheme="majorBidi"/>
          <w:lang w:eastAsia="zh-CN"/>
        </w:rPr>
        <w:t xml:space="preserve">Qui plus est, la polysémie du Coran peut être due à une autre raison : c’est que l’exégèse coranique est </w:t>
      </w:r>
      <w:r w:rsidR="000102AE">
        <w:rPr>
          <w:rFonts w:asciiTheme="majorBidi" w:eastAsia="SimSun" w:hAnsiTheme="majorBidi" w:cstheme="majorBidi"/>
          <w:lang w:eastAsia="zh-CN"/>
        </w:rPr>
        <w:t xml:space="preserve">plus </w:t>
      </w:r>
      <w:r w:rsidRPr="00A41C42">
        <w:rPr>
          <w:rFonts w:asciiTheme="majorBidi" w:eastAsia="SimSun" w:hAnsiTheme="majorBidi" w:cstheme="majorBidi"/>
          <w:lang w:eastAsia="zh-CN"/>
        </w:rPr>
        <w:t>textuelle (fondée sur le texte)</w:t>
      </w:r>
      <w:r w:rsidR="000102AE">
        <w:rPr>
          <w:rFonts w:asciiTheme="majorBidi" w:eastAsia="SimSun" w:hAnsiTheme="majorBidi" w:cstheme="majorBidi"/>
          <w:lang w:eastAsia="zh-CN"/>
        </w:rPr>
        <w:t xml:space="preserve"> que conceptuelle,</w:t>
      </w:r>
      <w:r w:rsidRPr="00A41C42">
        <w:rPr>
          <w:rFonts w:asciiTheme="majorBidi" w:eastAsia="SimSun" w:hAnsiTheme="majorBidi" w:cstheme="majorBidi"/>
          <w:lang w:eastAsia="zh-CN"/>
        </w:rPr>
        <w:t xml:space="preserve"> alors que l’exégèse chrétienne est conceptuelle (fondée sur les concepts).</w:t>
      </w:r>
    </w:p>
    <w:p w14:paraId="10172BA1" w14:textId="77777777" w:rsidR="004C2004" w:rsidRPr="00A41C42" w:rsidRDefault="004C2004" w:rsidP="00CB7AF4">
      <w:pPr>
        <w:spacing w:line="360" w:lineRule="auto"/>
        <w:ind w:firstLine="708"/>
        <w:jc w:val="both"/>
        <w:rPr>
          <w:rFonts w:asciiTheme="majorBidi" w:eastAsia="SimSun" w:hAnsiTheme="majorBidi" w:cstheme="majorBidi"/>
          <w:lang w:eastAsia="zh-CN"/>
        </w:rPr>
      </w:pPr>
    </w:p>
    <w:p w14:paraId="63F17F2D" w14:textId="77777777" w:rsidR="00B95E42" w:rsidRPr="00C541CA" w:rsidRDefault="00B95E42" w:rsidP="00A32EC1">
      <w:pPr>
        <w:spacing w:line="360" w:lineRule="auto"/>
        <w:ind w:firstLine="708"/>
        <w:jc w:val="both"/>
        <w:rPr>
          <w:rFonts w:asciiTheme="majorBidi" w:eastAsia="SimSun" w:hAnsiTheme="majorBidi" w:cstheme="majorBidi"/>
          <w:lang w:eastAsia="zh-CN"/>
        </w:rPr>
      </w:pPr>
      <w:r w:rsidRPr="00C541CA">
        <w:rPr>
          <w:rFonts w:asciiTheme="majorBidi" w:eastAsia="SimSun" w:hAnsiTheme="majorBidi" w:cstheme="majorBidi"/>
          <w:lang w:eastAsia="zh-CN"/>
        </w:rPr>
        <w:t xml:space="preserve">Cependant, </w:t>
      </w:r>
      <w:r w:rsidRPr="00C541CA">
        <w:rPr>
          <w:rFonts w:asciiTheme="majorBidi" w:eastAsia="SimSun" w:hAnsiTheme="majorBidi" w:cstheme="majorBidi"/>
          <w:b/>
          <w:bCs/>
          <w:lang w:eastAsia="zh-CN"/>
        </w:rPr>
        <w:t>la polysémie est-elle propre à l’arabe ?</w:t>
      </w:r>
      <w:r w:rsidRPr="00C541CA">
        <w:rPr>
          <w:rFonts w:asciiTheme="majorBidi" w:eastAsia="SimSun" w:hAnsiTheme="majorBidi" w:cstheme="majorBidi"/>
          <w:lang w:eastAsia="zh-CN"/>
        </w:rPr>
        <w:t xml:space="preserve"> </w:t>
      </w:r>
      <w:r w:rsidR="00E23899" w:rsidRPr="00C541CA">
        <w:rPr>
          <w:rFonts w:asciiTheme="majorBidi" w:eastAsia="SimSun" w:hAnsiTheme="majorBidi" w:cstheme="majorBidi"/>
          <w:lang w:eastAsia="zh-CN"/>
        </w:rPr>
        <w:t>Est-ce que l’arabe</w:t>
      </w:r>
      <w:r w:rsidR="00690849" w:rsidRPr="00C541CA">
        <w:rPr>
          <w:rFonts w:asciiTheme="majorBidi" w:eastAsia="SimSun" w:hAnsiTheme="majorBidi" w:cstheme="majorBidi"/>
          <w:lang w:eastAsia="zh-CN"/>
        </w:rPr>
        <w:t xml:space="preserve"> en tant que langue sémitique</w:t>
      </w:r>
      <w:r w:rsidR="00E23899" w:rsidRPr="00C541CA">
        <w:rPr>
          <w:rFonts w:asciiTheme="majorBidi" w:eastAsia="SimSun" w:hAnsiTheme="majorBidi" w:cstheme="majorBidi"/>
          <w:lang w:eastAsia="zh-CN"/>
        </w:rPr>
        <w:t xml:space="preserve"> est plus polysémique</w:t>
      </w:r>
      <w:r w:rsidR="00300EBA" w:rsidRPr="00C541CA">
        <w:rPr>
          <w:rFonts w:asciiTheme="majorBidi" w:eastAsia="SimSun" w:hAnsiTheme="majorBidi" w:cstheme="majorBidi"/>
          <w:lang w:eastAsia="zh-CN"/>
        </w:rPr>
        <w:t xml:space="preserve"> que les autres langues ?</w:t>
      </w:r>
      <w:r w:rsidR="00E23899" w:rsidRPr="00C541CA">
        <w:rPr>
          <w:rFonts w:asciiTheme="majorBidi" w:eastAsia="SimSun" w:hAnsiTheme="majorBidi" w:cstheme="majorBidi"/>
          <w:lang w:eastAsia="zh-CN"/>
        </w:rPr>
        <w:t xml:space="preserve"> </w:t>
      </w:r>
      <w:r w:rsidR="00EB0816" w:rsidRPr="00C541CA">
        <w:rPr>
          <w:rFonts w:asciiTheme="majorBidi" w:eastAsia="SimSun" w:hAnsiTheme="majorBidi" w:cstheme="majorBidi"/>
          <w:lang w:eastAsia="zh-CN"/>
        </w:rPr>
        <w:t xml:space="preserve">Le philosophe franco-tunisien </w:t>
      </w:r>
      <w:r w:rsidR="00362AA9" w:rsidRPr="00C541CA">
        <w:rPr>
          <w:rFonts w:asciiTheme="majorBidi" w:eastAsia="SimSun" w:hAnsiTheme="majorBidi" w:cstheme="majorBidi"/>
          <w:lang w:eastAsia="zh-CN"/>
        </w:rPr>
        <w:t xml:space="preserve">Moncef Chelli </w:t>
      </w:r>
      <w:r w:rsidR="00EB0816" w:rsidRPr="00C541CA">
        <w:rPr>
          <w:rFonts w:asciiTheme="majorBidi" w:eastAsia="SimSun" w:hAnsiTheme="majorBidi" w:cstheme="majorBidi"/>
          <w:lang w:eastAsia="zh-CN"/>
        </w:rPr>
        <w:t xml:space="preserve">(1936-1994) </w:t>
      </w:r>
      <w:r w:rsidR="00622FA2" w:rsidRPr="00C541CA">
        <w:rPr>
          <w:rFonts w:asciiTheme="majorBidi" w:eastAsia="SimSun" w:hAnsiTheme="majorBidi" w:cstheme="majorBidi"/>
          <w:lang w:eastAsia="zh-CN"/>
        </w:rPr>
        <w:t>souligne</w:t>
      </w:r>
      <w:r w:rsidR="00EB0816" w:rsidRPr="00C541CA">
        <w:rPr>
          <w:rFonts w:asciiTheme="majorBidi" w:eastAsia="SimSun" w:hAnsiTheme="majorBidi" w:cstheme="majorBidi"/>
          <w:lang w:eastAsia="zh-CN"/>
        </w:rPr>
        <w:t xml:space="preserve"> que l’</w:t>
      </w:r>
      <w:r w:rsidR="00587DF3" w:rsidRPr="00C541CA">
        <w:rPr>
          <w:rFonts w:asciiTheme="majorBidi" w:eastAsia="SimSun" w:hAnsiTheme="majorBidi" w:cstheme="majorBidi"/>
          <w:lang w:eastAsia="zh-CN"/>
        </w:rPr>
        <w:t>arabe est plus polysémique</w:t>
      </w:r>
      <w:r w:rsidR="00300EBA" w:rsidRPr="00C541CA">
        <w:rPr>
          <w:rFonts w:asciiTheme="majorBidi" w:eastAsia="SimSun" w:hAnsiTheme="majorBidi" w:cstheme="majorBidi"/>
          <w:lang w:eastAsia="zh-CN"/>
        </w:rPr>
        <w:t>.</w:t>
      </w:r>
      <w:r w:rsidR="00D27B4D" w:rsidRPr="00C541CA">
        <w:rPr>
          <w:rStyle w:val="Appelnotedebasdep"/>
          <w:rFonts w:eastAsia="SimSun"/>
          <w:lang w:eastAsia="zh-CN"/>
        </w:rPr>
        <w:footnoteReference w:id="22"/>
      </w:r>
      <w:r w:rsidR="00A32EC1" w:rsidRPr="00C541CA">
        <w:rPr>
          <w:rFonts w:asciiTheme="majorBidi" w:eastAsia="SimSun" w:hAnsiTheme="majorBidi" w:cstheme="majorBidi"/>
          <w:lang w:eastAsia="zh-CN"/>
        </w:rPr>
        <w:t xml:space="preserve"> Il </w:t>
      </w:r>
      <w:r w:rsidR="00690849" w:rsidRPr="00C541CA">
        <w:rPr>
          <w:rFonts w:asciiTheme="majorBidi" w:eastAsia="SimSun" w:hAnsiTheme="majorBidi" w:cstheme="majorBidi"/>
          <w:lang w:eastAsia="zh-CN"/>
        </w:rPr>
        <w:t>dit qu’à l’intérieur d’une langue sémitique le langage n’est pas fait de signes, qu’on ne part pas de l’hypothèse selon laquelle l’homme et le monde existent et sont des vis-à-vis et qu’au contraire à chaque phrase que l’on prononce on a l’impression de réaliser le monde.</w:t>
      </w:r>
      <w:r w:rsidR="00690849" w:rsidRPr="00C541CA">
        <w:rPr>
          <w:rStyle w:val="Appelnotedebasdep"/>
          <w:rFonts w:eastAsia="SimSun"/>
          <w:lang w:eastAsia="zh-CN"/>
        </w:rPr>
        <w:footnoteReference w:id="23"/>
      </w:r>
      <w:r w:rsidR="00E154CE" w:rsidRPr="00C541CA">
        <w:rPr>
          <w:rFonts w:asciiTheme="majorBidi" w:eastAsia="SimSun" w:hAnsiTheme="majorBidi" w:cstheme="majorBidi"/>
          <w:lang w:eastAsia="zh-CN"/>
        </w:rPr>
        <w:t xml:space="preserve"> </w:t>
      </w:r>
      <w:r w:rsidR="007C2707" w:rsidRPr="00C541CA">
        <w:rPr>
          <w:rFonts w:asciiTheme="majorBidi" w:eastAsia="SimSun" w:hAnsiTheme="majorBidi" w:cstheme="majorBidi"/>
          <w:lang w:eastAsia="zh-CN"/>
        </w:rPr>
        <w:t>D’ailleurs, l</w:t>
      </w:r>
      <w:r w:rsidR="00E154CE" w:rsidRPr="00C541CA">
        <w:rPr>
          <w:rFonts w:asciiTheme="majorBidi" w:eastAsia="SimSun" w:hAnsiTheme="majorBidi" w:cstheme="majorBidi"/>
          <w:lang w:eastAsia="zh-CN"/>
        </w:rPr>
        <w:t xml:space="preserve">e traducteur tunisien </w:t>
      </w:r>
      <w:r w:rsidR="00E154CE" w:rsidRPr="00C541CA">
        <w:rPr>
          <w:rFonts w:eastAsia="SimSun"/>
          <w:lang w:eastAsia="zh-CN"/>
        </w:rPr>
        <w:lastRenderedPageBreak/>
        <w:t xml:space="preserve">Ameur </w:t>
      </w:r>
      <w:r w:rsidR="00E154CE" w:rsidRPr="00C541CA">
        <w:rPr>
          <w:rFonts w:asciiTheme="majorBidi" w:eastAsia="Calibri" w:hAnsiTheme="majorBidi" w:cstheme="majorBidi"/>
        </w:rPr>
        <w:t>Ghédira [</w:t>
      </w:r>
      <w:r w:rsidR="00E154CE" w:rsidRPr="00C541CA">
        <w:rPr>
          <w:rFonts w:asciiTheme="majorBidi" w:hAnsiTheme="majorBidi" w:cstheme="majorBidi"/>
        </w:rPr>
        <w:t>ʿĀmir Ghadīra</w:t>
      </w:r>
      <w:r w:rsidR="00E154CE" w:rsidRPr="00C541CA">
        <w:rPr>
          <w:rFonts w:asciiTheme="majorBidi" w:eastAsia="Calibri" w:hAnsiTheme="majorBidi" w:cstheme="majorBidi"/>
        </w:rPr>
        <w:t>] précise, lui aussi, que « </w:t>
      </w:r>
      <w:r w:rsidR="007C2707" w:rsidRPr="00C541CA">
        <w:rPr>
          <w:rFonts w:asciiTheme="majorBidi" w:eastAsia="Calibri" w:hAnsiTheme="majorBidi" w:cstheme="majorBidi"/>
        </w:rPr>
        <w:t>[l]e vocabulaire sémitique est formé à partir de racines fixes, chargées de sens.</w:t>
      </w:r>
      <w:r w:rsidR="00351C49" w:rsidRPr="00C541CA">
        <w:rPr>
          <w:rFonts w:asciiTheme="majorBidi" w:eastAsia="Calibri" w:hAnsiTheme="majorBidi" w:cstheme="majorBidi"/>
        </w:rPr>
        <w:t xml:space="preserve"> […] Le mot arabe, par exemple, tracé sous nos yeux, est un corps inerte que nous ranimons en le prononçant ; inerte et polyvalent. »</w:t>
      </w:r>
      <w:r w:rsidR="00E154CE" w:rsidRPr="00C541CA">
        <w:rPr>
          <w:rStyle w:val="Appelnotedebasdep"/>
          <w:rFonts w:eastAsia="Calibri"/>
        </w:rPr>
        <w:footnoteReference w:id="24"/>
      </w:r>
    </w:p>
    <w:p w14:paraId="42A8CA53" w14:textId="77777777" w:rsidR="00A34018" w:rsidRPr="00A41C42" w:rsidRDefault="00443CE4" w:rsidP="00622FA2">
      <w:pPr>
        <w:spacing w:line="360" w:lineRule="auto"/>
        <w:ind w:firstLine="708"/>
        <w:jc w:val="both"/>
        <w:rPr>
          <w:rFonts w:asciiTheme="majorBidi" w:eastAsia="SimSun" w:hAnsiTheme="majorBidi" w:cstheme="majorBidi"/>
          <w:lang w:eastAsia="zh-CN"/>
        </w:rPr>
      </w:pPr>
      <w:r w:rsidRPr="00A41C42">
        <w:rPr>
          <w:rFonts w:asciiTheme="majorBidi" w:eastAsia="SimSun" w:hAnsiTheme="majorBidi" w:cstheme="majorBidi"/>
          <w:lang w:eastAsia="zh-CN"/>
        </w:rPr>
        <w:t xml:space="preserve">Le mot </w:t>
      </w:r>
      <w:r w:rsidR="00622FA2" w:rsidRPr="00A41C42">
        <w:rPr>
          <w:rFonts w:asciiTheme="majorBidi" w:eastAsia="SimSun" w:hAnsiTheme="majorBidi" w:cstheme="majorBidi"/>
          <w:lang w:eastAsia="zh-CN"/>
        </w:rPr>
        <w:t>arabe renvoie à</w:t>
      </w:r>
      <w:r w:rsidRPr="00A41C42">
        <w:rPr>
          <w:rFonts w:asciiTheme="majorBidi" w:eastAsia="SimSun" w:hAnsiTheme="majorBidi" w:cstheme="majorBidi"/>
          <w:lang w:eastAsia="zh-CN"/>
        </w:rPr>
        <w:t xml:space="preserve"> </w:t>
      </w:r>
      <w:r w:rsidR="00927B21" w:rsidRPr="00A41C42">
        <w:rPr>
          <w:rFonts w:asciiTheme="majorBidi" w:eastAsia="SimSun" w:hAnsiTheme="majorBidi" w:cstheme="majorBidi"/>
          <w:lang w:eastAsia="zh-CN"/>
        </w:rPr>
        <w:t>un champ sémantique plus vaste, voir</w:t>
      </w:r>
      <w:r w:rsidRPr="00A41C42">
        <w:rPr>
          <w:rFonts w:asciiTheme="majorBidi" w:eastAsia="SimSun" w:hAnsiTheme="majorBidi" w:cstheme="majorBidi"/>
          <w:lang w:eastAsia="zh-CN"/>
        </w:rPr>
        <w:t xml:space="preserve">e à la langue dans son ensemble. Saussure a déjà affirmé que la signification d’un mot dépend de celle des autres mots. Moncef Chelli </w:t>
      </w:r>
      <w:r w:rsidR="00622FA2" w:rsidRPr="00A41C42">
        <w:rPr>
          <w:rFonts w:asciiTheme="majorBidi" w:eastAsia="SimSun" w:hAnsiTheme="majorBidi" w:cstheme="majorBidi"/>
          <w:lang w:eastAsia="zh-CN"/>
        </w:rPr>
        <w:t>souligne la même idée d</w:t>
      </w:r>
      <w:r w:rsidRPr="00A41C42">
        <w:rPr>
          <w:rFonts w:asciiTheme="majorBidi" w:eastAsia="SimSun" w:hAnsiTheme="majorBidi" w:cstheme="majorBidi"/>
          <w:lang w:eastAsia="zh-CN"/>
        </w:rPr>
        <w:t>’autant plus qu’</w:t>
      </w:r>
      <w:r w:rsidR="00A34018" w:rsidRPr="00A41C42">
        <w:rPr>
          <w:rFonts w:asciiTheme="majorBidi" w:eastAsia="SimSun" w:hAnsiTheme="majorBidi" w:cstheme="majorBidi"/>
          <w:lang w:eastAsia="zh-CN"/>
        </w:rPr>
        <w:t>une combinatoire serrée li</w:t>
      </w:r>
      <w:r w:rsidRPr="00A41C42">
        <w:rPr>
          <w:rFonts w:asciiTheme="majorBidi" w:eastAsia="SimSun" w:hAnsiTheme="majorBidi" w:cstheme="majorBidi"/>
          <w:lang w:eastAsia="zh-CN"/>
        </w:rPr>
        <w:t xml:space="preserve">e les mots dans la langue arabe : </w:t>
      </w:r>
      <w:r w:rsidR="00622FA2" w:rsidRPr="00A41C42">
        <w:rPr>
          <w:rFonts w:asciiTheme="majorBidi" w:eastAsia="SimSun" w:hAnsiTheme="majorBidi" w:cstheme="majorBidi"/>
          <w:lang w:eastAsia="zh-CN"/>
        </w:rPr>
        <w:t>« </w:t>
      </w:r>
      <w:r w:rsidR="00A34018" w:rsidRPr="00A41C42">
        <w:rPr>
          <w:rFonts w:asciiTheme="majorBidi" w:eastAsia="SimSun" w:hAnsiTheme="majorBidi" w:cstheme="majorBidi"/>
          <w:lang w:eastAsia="zh-CN"/>
        </w:rPr>
        <w:t>Ainsi un mot arabe renvoie</w:t>
      </w:r>
      <w:r w:rsidR="00622FA2" w:rsidRPr="00A41C42">
        <w:rPr>
          <w:rFonts w:asciiTheme="majorBidi" w:eastAsia="SimSun" w:hAnsiTheme="majorBidi" w:cstheme="majorBidi"/>
          <w:lang w:eastAsia="zh-CN"/>
        </w:rPr>
        <w:t xml:space="preserve"> à une racine et celle-ci est l’</w:t>
      </w:r>
      <w:r w:rsidR="00A34018" w:rsidRPr="00A41C42">
        <w:rPr>
          <w:rFonts w:asciiTheme="majorBidi" w:eastAsia="SimSun" w:hAnsiTheme="majorBidi" w:cstheme="majorBidi"/>
          <w:lang w:eastAsia="zh-CN"/>
        </w:rPr>
        <w:t>un des 19656 arrangements qui forment le corps de la langue. Mais ces arrangements ne sont pas simplement juxtaposés les uns à côté des autres, ils communiquent tous entre eux. Les arrangements de la combinatoire sont tous en</w:t>
      </w:r>
      <w:r w:rsidR="00622FA2" w:rsidRPr="00A41C42">
        <w:rPr>
          <w:rFonts w:asciiTheme="majorBidi" w:eastAsia="SimSun" w:hAnsiTheme="majorBidi" w:cstheme="majorBidi"/>
          <w:lang w:eastAsia="zh-CN"/>
        </w:rPr>
        <w:t xml:space="preserve"> communication par un système d’anastomoses</w:t>
      </w:r>
      <w:r w:rsidR="00A34018" w:rsidRPr="00A41C42">
        <w:rPr>
          <w:rFonts w:asciiTheme="majorBidi" w:eastAsia="SimSun" w:hAnsiTheme="majorBidi" w:cstheme="majorBidi"/>
          <w:lang w:eastAsia="zh-CN"/>
        </w:rPr>
        <w:t>.</w:t>
      </w:r>
      <w:r w:rsidR="00622FA2" w:rsidRPr="00A41C42">
        <w:rPr>
          <w:rFonts w:asciiTheme="majorBidi" w:eastAsia="SimSun" w:hAnsiTheme="majorBidi" w:cstheme="majorBidi"/>
          <w:lang w:eastAsia="zh-CN"/>
        </w:rPr>
        <w:t> »</w:t>
      </w:r>
      <w:r w:rsidR="00A34018" w:rsidRPr="00A41C42">
        <w:rPr>
          <w:rStyle w:val="Appelnotedebasdep"/>
          <w:rFonts w:eastAsia="SimSun"/>
          <w:lang w:eastAsia="zh-CN"/>
        </w:rPr>
        <w:footnoteReference w:id="25"/>
      </w:r>
    </w:p>
    <w:p w14:paraId="606697FC" w14:textId="77777777" w:rsidR="00A34018" w:rsidRPr="00A41C42" w:rsidRDefault="00064AC2" w:rsidP="00FC7955">
      <w:pPr>
        <w:spacing w:line="360" w:lineRule="auto"/>
        <w:ind w:firstLine="708"/>
        <w:jc w:val="both"/>
        <w:rPr>
          <w:rFonts w:asciiTheme="majorBidi" w:eastAsia="SimSun" w:hAnsiTheme="majorBidi" w:cstheme="majorBidi"/>
          <w:lang w:eastAsia="zh-CN"/>
        </w:rPr>
      </w:pPr>
      <w:r w:rsidRPr="00A41C42">
        <w:rPr>
          <w:rFonts w:asciiTheme="majorBidi" w:eastAsia="SimSun" w:hAnsiTheme="majorBidi" w:cstheme="majorBidi"/>
          <w:lang w:eastAsia="zh-CN"/>
        </w:rPr>
        <w:t xml:space="preserve">Selon Chelli, l’attitude de la </w:t>
      </w:r>
      <w:r w:rsidRPr="00A41C42">
        <w:rPr>
          <w:rFonts w:asciiTheme="majorBidi" w:eastAsia="SimSun" w:hAnsiTheme="majorBidi" w:cstheme="majorBidi"/>
          <w:i/>
          <w:iCs/>
          <w:lang w:eastAsia="zh-CN"/>
        </w:rPr>
        <w:t>Jāhilīya</w:t>
      </w:r>
      <w:r w:rsidRPr="00A41C42">
        <w:rPr>
          <w:rFonts w:asciiTheme="majorBidi" w:eastAsia="SimSun" w:hAnsiTheme="majorBidi" w:cstheme="majorBidi"/>
          <w:lang w:eastAsia="zh-CN"/>
        </w:rPr>
        <w:t xml:space="preserve">, à l’égard de la puissance indéterminée de création était ambiguë. La puissance </w:t>
      </w:r>
      <w:r w:rsidR="003716BB" w:rsidRPr="00A41C42">
        <w:rPr>
          <w:rFonts w:asciiTheme="majorBidi" w:eastAsia="SimSun" w:hAnsiTheme="majorBidi" w:cstheme="majorBidi"/>
          <w:lang w:eastAsia="zh-CN"/>
        </w:rPr>
        <w:t xml:space="preserve">a été personnifiée et divinisée, dès la </w:t>
      </w:r>
      <w:r w:rsidR="003716BB" w:rsidRPr="00A41C42">
        <w:rPr>
          <w:rFonts w:asciiTheme="majorBidi" w:eastAsia="SimSun" w:hAnsiTheme="majorBidi" w:cstheme="majorBidi"/>
          <w:i/>
          <w:iCs/>
          <w:lang w:eastAsia="zh-CN"/>
        </w:rPr>
        <w:t>Jāhilīya</w:t>
      </w:r>
      <w:r w:rsidR="003716BB" w:rsidRPr="00A41C42">
        <w:rPr>
          <w:rFonts w:asciiTheme="majorBidi" w:eastAsia="SimSun" w:hAnsiTheme="majorBidi" w:cstheme="majorBidi"/>
          <w:lang w:eastAsia="zh-CN"/>
        </w:rPr>
        <w:t>, sous le nom d’Allah.</w:t>
      </w:r>
      <w:r w:rsidR="003716BB" w:rsidRPr="00A41C42">
        <w:rPr>
          <w:rStyle w:val="Appelnotedebasdep"/>
          <w:rFonts w:eastAsia="SimSun"/>
          <w:lang w:eastAsia="zh-CN"/>
        </w:rPr>
        <w:footnoteReference w:id="26"/>
      </w:r>
      <w:r w:rsidR="00793513" w:rsidRPr="00A41C42">
        <w:rPr>
          <w:rFonts w:asciiTheme="majorBidi" w:eastAsia="SimSun" w:hAnsiTheme="majorBidi" w:cstheme="majorBidi"/>
          <w:lang w:eastAsia="zh-CN"/>
        </w:rPr>
        <w:t xml:space="preserve"> Ainsi, Allah est indéterminé ; Il n’est pas l’Être ; Il n’est pas, d’autant plus que l’arabe ne connait pas le verbe « être ». </w:t>
      </w:r>
      <w:r w:rsidR="00667FAA" w:rsidRPr="00A41C42">
        <w:rPr>
          <w:rFonts w:asciiTheme="majorBidi" w:eastAsia="SimSun" w:hAnsiTheme="majorBidi" w:cstheme="majorBidi"/>
          <w:lang w:eastAsia="zh-CN"/>
        </w:rPr>
        <w:t xml:space="preserve">Ce qui donne un langage flou. </w:t>
      </w:r>
      <w:r w:rsidR="00BC108F" w:rsidRPr="00A41C42">
        <w:rPr>
          <w:rFonts w:asciiTheme="majorBidi" w:eastAsia="SimSun" w:hAnsiTheme="majorBidi" w:cstheme="majorBidi"/>
          <w:lang w:eastAsia="zh-CN"/>
        </w:rPr>
        <w:t xml:space="preserve">Cependant, en Occident, </w:t>
      </w:r>
      <w:r w:rsidR="007721FE" w:rsidRPr="00A41C42">
        <w:rPr>
          <w:rFonts w:asciiTheme="majorBidi" w:eastAsia="SimSun" w:hAnsiTheme="majorBidi" w:cstheme="majorBidi"/>
          <w:lang w:eastAsia="zh-CN"/>
        </w:rPr>
        <w:t xml:space="preserve">Dieu est infini et </w:t>
      </w:r>
      <w:r w:rsidR="00BC108F" w:rsidRPr="00A41C42">
        <w:rPr>
          <w:rFonts w:asciiTheme="majorBidi" w:eastAsia="SimSun" w:hAnsiTheme="majorBidi" w:cstheme="majorBidi"/>
          <w:lang w:eastAsia="zh-CN"/>
        </w:rPr>
        <w:t xml:space="preserve">non indéfini ; Il est donc déterminé ; Dieu est un Être, une Existence infinie mais déterminée. Dieu est ainsi compris en l’attribuant à </w:t>
      </w:r>
      <w:r w:rsidR="00BC108F" w:rsidRPr="003B504C">
        <w:rPr>
          <w:rFonts w:asciiTheme="majorBidi" w:eastAsia="SimSun" w:hAnsiTheme="majorBidi" w:cstheme="majorBidi"/>
          <w:lang w:eastAsia="zh-CN"/>
        </w:rPr>
        <w:t>un être, alors qu’Allah est compris en arabe sans le verbe « être » : « </w:t>
      </w:r>
      <w:r w:rsidR="00FC7955">
        <w:rPr>
          <w:rFonts w:asciiTheme="majorBidi" w:eastAsia="SimSun" w:hAnsiTheme="majorBidi" w:cstheme="majorBidi" w:hint="cs"/>
          <w:rtl/>
          <w:lang w:eastAsia="zh-CN"/>
        </w:rPr>
        <w:t>لا إله إلا الله</w:t>
      </w:r>
      <w:r w:rsidR="00BC108F" w:rsidRPr="003B504C">
        <w:rPr>
          <w:rFonts w:asciiTheme="majorBidi" w:eastAsia="SimSun" w:hAnsiTheme="majorBidi" w:cstheme="majorBidi"/>
          <w:i/>
          <w:iCs/>
          <w:lang w:eastAsia="zh-CN"/>
        </w:rPr>
        <w:t> </w:t>
      </w:r>
      <w:r w:rsidR="00647988" w:rsidRPr="003B504C">
        <w:rPr>
          <w:rFonts w:asciiTheme="majorBidi" w:eastAsia="SimSun" w:hAnsiTheme="majorBidi" w:cstheme="majorBidi"/>
          <w:lang w:eastAsia="zh-CN"/>
        </w:rPr>
        <w:t>» (= « Pas de d</w:t>
      </w:r>
      <w:r w:rsidR="00BC108F" w:rsidRPr="003B504C">
        <w:rPr>
          <w:rFonts w:asciiTheme="majorBidi" w:eastAsia="SimSun" w:hAnsiTheme="majorBidi" w:cstheme="majorBidi"/>
          <w:lang w:eastAsia="zh-CN"/>
        </w:rPr>
        <w:t>ieu qu’Allah </w:t>
      </w:r>
      <w:r w:rsidR="00BC108F" w:rsidRPr="00A41C42">
        <w:rPr>
          <w:rFonts w:asciiTheme="majorBidi" w:eastAsia="SimSun" w:hAnsiTheme="majorBidi" w:cstheme="majorBidi"/>
          <w:lang w:eastAsia="zh-CN"/>
        </w:rPr>
        <w:t>»).</w:t>
      </w:r>
      <w:r w:rsidR="00A145F9" w:rsidRPr="00A41C42">
        <w:rPr>
          <w:rFonts w:asciiTheme="majorBidi" w:eastAsia="SimSun" w:hAnsiTheme="majorBidi" w:cstheme="majorBidi"/>
          <w:lang w:eastAsia="zh-CN"/>
        </w:rPr>
        <w:t xml:space="preserve"> Allah </w:t>
      </w:r>
      <w:r w:rsidR="00B352C1" w:rsidRPr="00A41C42">
        <w:rPr>
          <w:rFonts w:asciiTheme="majorBidi" w:eastAsia="SimSun" w:hAnsiTheme="majorBidi" w:cstheme="majorBidi"/>
          <w:lang w:eastAsia="zh-CN"/>
        </w:rPr>
        <w:t>précède le langage et échappe à toutes ses lois, le langage que les Arabes ont le sentiment de posséder</w:t>
      </w:r>
      <w:r w:rsidR="00352B1C" w:rsidRPr="00A41C42">
        <w:rPr>
          <w:rFonts w:asciiTheme="majorBidi" w:eastAsia="SimSun" w:hAnsiTheme="majorBidi" w:cstheme="majorBidi"/>
          <w:lang w:eastAsia="zh-CN"/>
        </w:rPr>
        <w:t>. Dans ce sens, Allah le créateur est une puissance productrice du sens.</w:t>
      </w:r>
      <w:r w:rsidR="00ED7EFF" w:rsidRPr="00A41C42">
        <w:rPr>
          <w:rFonts w:asciiTheme="majorBidi" w:eastAsia="SimSun" w:hAnsiTheme="majorBidi" w:cstheme="majorBidi"/>
          <w:lang w:eastAsia="zh-CN"/>
        </w:rPr>
        <w:t xml:space="preserve"> Allah est maître du sens et du discours.</w:t>
      </w:r>
      <w:r w:rsidR="00352B1C" w:rsidRPr="00A41C42">
        <w:rPr>
          <w:rFonts w:asciiTheme="majorBidi" w:eastAsia="SimSun" w:hAnsiTheme="majorBidi" w:cstheme="majorBidi"/>
          <w:lang w:eastAsia="zh-CN"/>
        </w:rPr>
        <w:t xml:space="preserve"> </w:t>
      </w:r>
      <w:r w:rsidR="007721FE" w:rsidRPr="00A41C42">
        <w:rPr>
          <w:rFonts w:asciiTheme="majorBidi" w:eastAsia="SimSun" w:hAnsiTheme="majorBidi" w:cstheme="majorBidi"/>
          <w:lang w:eastAsia="zh-CN"/>
        </w:rPr>
        <w:t xml:space="preserve">Ainsi, </w:t>
      </w:r>
      <w:r w:rsidR="00122B74" w:rsidRPr="00A41C42">
        <w:rPr>
          <w:rFonts w:asciiTheme="majorBidi" w:eastAsia="SimSun" w:hAnsiTheme="majorBidi" w:cstheme="majorBidi"/>
          <w:lang w:eastAsia="zh-CN"/>
        </w:rPr>
        <w:t>« </w:t>
      </w:r>
      <w:r w:rsidR="007721FE" w:rsidRPr="00A41C42">
        <w:rPr>
          <w:rFonts w:asciiTheme="majorBidi" w:eastAsia="SimSun" w:hAnsiTheme="majorBidi" w:cstheme="majorBidi"/>
          <w:lang w:eastAsia="zh-CN"/>
        </w:rPr>
        <w:t>il n’y a aucun danger que la langue arabe tombe dans l’équivoque, car, dès le départ le Dieu qu’elle cherchait devait être extérieur au disco</w:t>
      </w:r>
      <w:r w:rsidR="00B16BFB" w:rsidRPr="00A41C42">
        <w:rPr>
          <w:rFonts w:asciiTheme="majorBidi" w:eastAsia="SimSun" w:hAnsiTheme="majorBidi" w:cstheme="majorBidi"/>
          <w:lang w:eastAsia="zh-CN"/>
        </w:rPr>
        <w:t>urs</w:t>
      </w:r>
      <w:r w:rsidR="00122B74" w:rsidRPr="00A41C42">
        <w:rPr>
          <w:rFonts w:asciiTheme="majorBidi" w:eastAsia="SimSun" w:hAnsiTheme="majorBidi" w:cstheme="majorBidi"/>
          <w:lang w:eastAsia="zh-CN"/>
        </w:rPr>
        <w:t> »</w:t>
      </w:r>
      <w:r w:rsidR="00B16BFB" w:rsidRPr="00A41C42">
        <w:rPr>
          <w:rFonts w:asciiTheme="majorBidi" w:eastAsia="SimSun" w:hAnsiTheme="majorBidi" w:cstheme="majorBidi"/>
          <w:lang w:eastAsia="zh-CN"/>
        </w:rPr>
        <w:t>.</w:t>
      </w:r>
      <w:r w:rsidR="00122B74" w:rsidRPr="00A41C42">
        <w:rPr>
          <w:rFonts w:asciiTheme="majorBidi" w:eastAsia="SimSun" w:hAnsiTheme="majorBidi" w:cstheme="majorBidi"/>
          <w:lang w:eastAsia="zh-CN"/>
        </w:rPr>
        <w:t xml:space="preserve"> « La forme du discours arabe ne renvoie qu’à la puissance ». « Les mots y sont mus et se développent concrètement quand ils énoncent un contenu, en dehors de ce contenu ils ne sont pas prononçables et </w:t>
      </w:r>
      <w:r w:rsidR="00FE4F3F" w:rsidRPr="00A41C42">
        <w:rPr>
          <w:rFonts w:asciiTheme="majorBidi" w:eastAsia="SimSun" w:hAnsiTheme="majorBidi" w:cstheme="majorBidi"/>
          <w:lang w:eastAsia="zh-CN"/>
        </w:rPr>
        <w:t xml:space="preserve">ils n’ont pas forme distincte. Personne ne peut dire </w:t>
      </w:r>
      <w:r w:rsidR="00FE4F3F" w:rsidRPr="00A41C42">
        <w:rPr>
          <w:rFonts w:asciiTheme="majorBidi" w:eastAsia="SimSun" w:hAnsiTheme="majorBidi" w:cstheme="majorBidi"/>
          <w:i/>
          <w:iCs/>
          <w:lang w:eastAsia="zh-CN"/>
        </w:rPr>
        <w:t>f.</w:t>
      </w:r>
      <w:r w:rsidR="009360E4" w:rsidRPr="00A41C42">
        <w:rPr>
          <w:rFonts w:asciiTheme="majorBidi" w:eastAsia="Times New Roman" w:hAnsiTheme="majorBidi" w:cstheme="majorBidi"/>
          <w:i/>
          <w:iCs/>
        </w:rPr>
        <w:t>ʿ</w:t>
      </w:r>
      <w:r w:rsidR="009360E4" w:rsidRPr="00A41C42">
        <w:rPr>
          <w:rFonts w:asciiTheme="majorBidi" w:eastAsia="SimSun" w:hAnsiTheme="majorBidi" w:cstheme="majorBidi"/>
          <w:i/>
          <w:iCs/>
          <w:lang w:eastAsia="zh-CN"/>
        </w:rPr>
        <w:t>.l</w:t>
      </w:r>
      <w:r w:rsidR="009360E4" w:rsidRPr="00A41C42">
        <w:rPr>
          <w:rFonts w:asciiTheme="majorBidi" w:eastAsia="SimSun" w:hAnsiTheme="majorBidi" w:cstheme="majorBidi"/>
          <w:lang w:eastAsia="zh-CN"/>
        </w:rPr>
        <w:t xml:space="preserve"> </w:t>
      </w:r>
      <w:r w:rsidR="009360E4" w:rsidRPr="00A41C42">
        <w:rPr>
          <w:rFonts w:eastAsia="SimSun"/>
          <w:lang w:eastAsia="zh-CN"/>
        </w:rPr>
        <w:t>[faire]</w:t>
      </w:r>
      <w:r w:rsidR="009360E4" w:rsidRPr="00A41C42">
        <w:rPr>
          <w:rFonts w:asciiTheme="majorBidi" w:eastAsia="SimSun" w:hAnsiTheme="majorBidi" w:cstheme="majorBidi"/>
          <w:lang w:eastAsia="zh-CN"/>
        </w:rPr>
        <w:t xml:space="preserve"> mais </w:t>
      </w:r>
      <w:r w:rsidR="009360E4" w:rsidRPr="00A41C42">
        <w:rPr>
          <w:rFonts w:asciiTheme="majorBidi" w:eastAsia="SimSun" w:hAnsiTheme="majorBidi" w:cstheme="majorBidi"/>
          <w:i/>
          <w:iCs/>
          <w:lang w:eastAsia="zh-CN"/>
        </w:rPr>
        <w:t>fa</w:t>
      </w:r>
      <w:r w:rsidR="009360E4" w:rsidRPr="00A41C42">
        <w:rPr>
          <w:rFonts w:asciiTheme="majorBidi" w:eastAsia="Times New Roman" w:hAnsiTheme="majorBidi" w:cstheme="majorBidi"/>
          <w:i/>
          <w:iCs/>
        </w:rPr>
        <w:t>ʿa</w:t>
      </w:r>
      <w:r w:rsidR="009360E4" w:rsidRPr="00A41C42">
        <w:rPr>
          <w:rFonts w:asciiTheme="majorBidi" w:eastAsia="SimSun" w:hAnsiTheme="majorBidi" w:cstheme="majorBidi"/>
          <w:i/>
          <w:iCs/>
          <w:lang w:eastAsia="zh-CN"/>
        </w:rPr>
        <w:t>la</w:t>
      </w:r>
      <w:r w:rsidR="009360E4" w:rsidRPr="00A41C42">
        <w:rPr>
          <w:rFonts w:asciiTheme="majorBidi" w:eastAsia="SimSun" w:hAnsiTheme="majorBidi" w:cstheme="majorBidi"/>
          <w:lang w:eastAsia="zh-CN"/>
        </w:rPr>
        <w:t xml:space="preserve"> qui signifie déjà « il a fait ». La forme du discours arabe n’est pas susceptible de vérité ou d’erreur, c’est une pure puissance. »</w:t>
      </w:r>
      <w:r w:rsidR="00B16BFB" w:rsidRPr="00A41C42">
        <w:rPr>
          <w:rStyle w:val="Appelnotedebasdep"/>
          <w:rFonts w:asciiTheme="majorBidi" w:eastAsia="SimSun" w:hAnsiTheme="majorBidi" w:cstheme="majorBidi"/>
          <w:lang w:eastAsia="zh-CN"/>
        </w:rPr>
        <w:footnoteReference w:id="27"/>
      </w:r>
    </w:p>
    <w:p w14:paraId="5AE18379" w14:textId="77777777" w:rsidR="00A34018" w:rsidRPr="00E47986" w:rsidRDefault="00E70940" w:rsidP="00F97E53">
      <w:pPr>
        <w:spacing w:line="360" w:lineRule="auto"/>
        <w:ind w:firstLine="708"/>
        <w:jc w:val="both"/>
        <w:rPr>
          <w:rFonts w:asciiTheme="majorBidi" w:eastAsia="SimSun" w:hAnsiTheme="majorBidi" w:cstheme="majorBidi"/>
          <w:rtl/>
          <w:lang w:eastAsia="zh-CN"/>
        </w:rPr>
      </w:pPr>
      <w:r w:rsidRPr="00A41C42">
        <w:rPr>
          <w:rFonts w:asciiTheme="majorBidi" w:eastAsia="SimSun" w:hAnsiTheme="majorBidi" w:cstheme="majorBidi"/>
          <w:lang w:eastAsia="zh-CN"/>
        </w:rPr>
        <w:t xml:space="preserve">L’arabe est équivoque. En guise </w:t>
      </w:r>
      <w:r w:rsidRPr="00E47986">
        <w:rPr>
          <w:rFonts w:asciiTheme="majorBidi" w:eastAsia="SimSun" w:hAnsiTheme="majorBidi" w:cstheme="majorBidi"/>
          <w:lang w:eastAsia="zh-CN"/>
        </w:rPr>
        <w:t>d’exemple,</w:t>
      </w:r>
      <w:r w:rsidR="00C539B3" w:rsidRPr="00E47986">
        <w:rPr>
          <w:rFonts w:asciiTheme="majorBidi" w:eastAsia="SimSun" w:hAnsiTheme="majorBidi" w:cstheme="majorBidi"/>
          <w:lang w:eastAsia="zh-CN"/>
        </w:rPr>
        <w:t xml:space="preserve"> relève Chelli,</w:t>
      </w:r>
      <w:r w:rsidRPr="00E47986">
        <w:rPr>
          <w:rFonts w:asciiTheme="majorBidi" w:eastAsia="SimSun" w:hAnsiTheme="majorBidi" w:cstheme="majorBidi"/>
          <w:lang w:eastAsia="zh-CN"/>
        </w:rPr>
        <w:t xml:space="preserve"> le sens des inscriptions à Grenade « prête souvent à équivoque ; celle qu’on rencontre le plus souvent : </w:t>
      </w:r>
      <w:r w:rsidR="00C539B3" w:rsidRPr="00E47986">
        <w:rPr>
          <w:rFonts w:eastAsia="SimSun"/>
          <w:lang w:eastAsia="zh-CN"/>
        </w:rPr>
        <w:t>‘</w:t>
      </w:r>
      <w:r w:rsidRPr="00E47986">
        <w:rPr>
          <w:rFonts w:asciiTheme="majorBidi" w:eastAsia="SimSun" w:hAnsiTheme="majorBidi" w:cstheme="majorBidi"/>
          <w:i/>
          <w:iCs/>
          <w:lang w:eastAsia="zh-CN"/>
        </w:rPr>
        <w:t>Lā ghalib</w:t>
      </w:r>
      <w:r w:rsidRPr="00E47986">
        <w:rPr>
          <w:rFonts w:asciiTheme="majorBidi" w:eastAsia="SimSun" w:hAnsiTheme="majorBidi" w:cstheme="majorBidi"/>
          <w:i/>
          <w:iCs/>
          <w:vertAlign w:val="superscript"/>
          <w:lang w:eastAsia="zh-CN"/>
        </w:rPr>
        <w:t>a</w:t>
      </w:r>
      <w:r w:rsidRPr="00E47986">
        <w:rPr>
          <w:rFonts w:asciiTheme="majorBidi" w:eastAsia="SimSun" w:hAnsiTheme="majorBidi" w:cstheme="majorBidi"/>
          <w:i/>
          <w:iCs/>
          <w:lang w:eastAsia="zh-CN"/>
        </w:rPr>
        <w:t xml:space="preserve"> illā Allāh</w:t>
      </w:r>
      <w:r w:rsidR="00C539B3" w:rsidRPr="00E47986">
        <w:rPr>
          <w:rFonts w:eastAsia="SimSun"/>
          <w:lang w:eastAsia="zh-CN"/>
        </w:rPr>
        <w:t>’</w:t>
      </w:r>
      <w:r w:rsidRPr="00E47986">
        <w:rPr>
          <w:rFonts w:asciiTheme="majorBidi" w:eastAsia="SimSun" w:hAnsiTheme="majorBidi" w:cstheme="majorBidi"/>
          <w:lang w:eastAsia="zh-CN"/>
        </w:rPr>
        <w:t xml:space="preserve"> peut signifier</w:t>
      </w:r>
      <w:r w:rsidR="00D228A4" w:rsidRPr="00E47986">
        <w:rPr>
          <w:rFonts w:asciiTheme="majorBidi" w:eastAsia="SimSun" w:hAnsiTheme="majorBidi" w:cstheme="majorBidi"/>
          <w:lang w:eastAsia="zh-CN"/>
        </w:rPr>
        <w:t xml:space="preserve"> : </w:t>
      </w:r>
      <w:r w:rsidR="00C539B3" w:rsidRPr="00E47986">
        <w:rPr>
          <w:rFonts w:eastAsia="SimSun"/>
          <w:lang w:eastAsia="zh-CN"/>
        </w:rPr>
        <w:t>‘</w:t>
      </w:r>
      <w:r w:rsidR="00D228A4" w:rsidRPr="00E47986">
        <w:rPr>
          <w:rFonts w:asciiTheme="majorBidi" w:eastAsia="SimSun" w:hAnsiTheme="majorBidi" w:cstheme="majorBidi"/>
          <w:lang w:eastAsia="zh-CN"/>
        </w:rPr>
        <w:t>Seul Allah peut vaincre les maîtres de ces lieux</w:t>
      </w:r>
      <w:r w:rsidR="00C539B3" w:rsidRPr="00E47986">
        <w:rPr>
          <w:rFonts w:eastAsia="SimSun"/>
          <w:lang w:eastAsia="zh-CN"/>
        </w:rPr>
        <w:t>’</w:t>
      </w:r>
      <w:r w:rsidR="00D228A4" w:rsidRPr="00E47986">
        <w:rPr>
          <w:rFonts w:asciiTheme="majorBidi" w:eastAsia="SimSun" w:hAnsiTheme="majorBidi" w:cstheme="majorBidi"/>
          <w:lang w:eastAsia="zh-CN"/>
        </w:rPr>
        <w:t xml:space="preserve">, elle peut signifier que : </w:t>
      </w:r>
      <w:r w:rsidR="00C539B3" w:rsidRPr="00E47986">
        <w:rPr>
          <w:rFonts w:eastAsia="SimSun"/>
          <w:lang w:eastAsia="zh-CN"/>
        </w:rPr>
        <w:lastRenderedPageBreak/>
        <w:t>‘</w:t>
      </w:r>
      <w:r w:rsidR="00D228A4" w:rsidRPr="00E47986">
        <w:rPr>
          <w:rFonts w:asciiTheme="majorBidi" w:eastAsia="SimSun" w:hAnsiTheme="majorBidi" w:cstheme="majorBidi"/>
          <w:lang w:eastAsia="zh-CN"/>
        </w:rPr>
        <w:t>il n’y a pas de victoires humaines, les victoires appartiennent toutes à Allah</w:t>
      </w:r>
      <w:r w:rsidR="00C539B3" w:rsidRPr="00E47986">
        <w:rPr>
          <w:rFonts w:eastAsia="SimSun"/>
          <w:lang w:eastAsia="zh-CN"/>
        </w:rPr>
        <w:t>’</w:t>
      </w:r>
      <w:r w:rsidR="00D228A4" w:rsidRPr="00E47986">
        <w:rPr>
          <w:rFonts w:asciiTheme="majorBidi" w:eastAsia="SimSun" w:hAnsiTheme="majorBidi" w:cstheme="majorBidi"/>
          <w:lang w:eastAsia="zh-CN"/>
        </w:rPr>
        <w:t xml:space="preserve"> et, dans les moments de vrais triomphes, il ne faut pas du tout forcer le sens pour comprendre </w:t>
      </w:r>
      <w:r w:rsidR="00C539B3" w:rsidRPr="00E47986">
        <w:rPr>
          <w:rFonts w:eastAsia="SimSun"/>
          <w:lang w:eastAsia="zh-CN"/>
        </w:rPr>
        <w:t>‘</w:t>
      </w:r>
      <w:r w:rsidR="00D228A4" w:rsidRPr="00E47986">
        <w:rPr>
          <w:rFonts w:asciiTheme="majorBidi" w:eastAsia="SimSun" w:hAnsiTheme="majorBidi" w:cstheme="majorBidi"/>
          <w:lang w:eastAsia="zh-CN"/>
        </w:rPr>
        <w:t>qu’on est Allah puisqu’on est vainqueur</w:t>
      </w:r>
      <w:r w:rsidR="00C539B3" w:rsidRPr="00E47986">
        <w:rPr>
          <w:rFonts w:asciiTheme="majorBidi" w:eastAsia="SimSun" w:hAnsiTheme="majorBidi" w:cstheme="majorBidi"/>
          <w:lang w:eastAsia="zh-CN"/>
        </w:rPr>
        <w:t>’</w:t>
      </w:r>
      <w:r w:rsidR="00D228A4" w:rsidRPr="00E47986">
        <w:rPr>
          <w:rFonts w:asciiTheme="majorBidi" w:eastAsia="SimSun" w:hAnsiTheme="majorBidi" w:cstheme="majorBidi"/>
          <w:lang w:eastAsia="zh-CN"/>
        </w:rPr>
        <w:t>. »</w:t>
      </w:r>
      <w:r w:rsidRPr="00E47986">
        <w:rPr>
          <w:rStyle w:val="Appelnotedebasdep"/>
          <w:rFonts w:asciiTheme="majorBidi" w:eastAsia="SimSun" w:hAnsiTheme="majorBidi" w:cstheme="majorBidi"/>
          <w:lang w:eastAsia="zh-CN"/>
        </w:rPr>
        <w:footnoteReference w:id="28"/>
      </w:r>
    </w:p>
    <w:p w14:paraId="187DAC80" w14:textId="77777777" w:rsidR="00066232" w:rsidRPr="00E47986" w:rsidRDefault="0061540C" w:rsidP="00E47986">
      <w:pPr>
        <w:spacing w:line="360" w:lineRule="auto"/>
        <w:ind w:firstLine="708"/>
        <w:jc w:val="both"/>
        <w:rPr>
          <w:rFonts w:asciiTheme="majorBidi" w:eastAsia="Times New Roman" w:hAnsiTheme="majorBidi" w:cstheme="majorBidi"/>
          <w:shd w:val="clear" w:color="auto" w:fill="FFFFFF"/>
        </w:rPr>
      </w:pPr>
      <w:r w:rsidRPr="00E47986">
        <w:rPr>
          <w:rFonts w:asciiTheme="majorBidi" w:hAnsiTheme="majorBidi" w:cstheme="majorBidi"/>
        </w:rPr>
        <w:t>Non</w:t>
      </w:r>
      <w:r w:rsidR="00256F00" w:rsidRPr="00E47986">
        <w:rPr>
          <w:rFonts w:asciiTheme="majorBidi" w:hAnsiTheme="majorBidi" w:cstheme="majorBidi"/>
        </w:rPr>
        <w:t xml:space="preserve"> seul</w:t>
      </w:r>
      <w:r w:rsidRPr="00E47986">
        <w:rPr>
          <w:rFonts w:asciiTheme="majorBidi" w:hAnsiTheme="majorBidi" w:cstheme="majorBidi"/>
        </w:rPr>
        <w:t>ement</w:t>
      </w:r>
      <w:r w:rsidR="00DD0D2C" w:rsidRPr="00E47986">
        <w:rPr>
          <w:rFonts w:asciiTheme="majorBidi" w:hAnsiTheme="majorBidi" w:cstheme="majorBidi"/>
        </w:rPr>
        <w:t xml:space="preserve"> le C</w:t>
      </w:r>
      <w:r w:rsidR="00256F00" w:rsidRPr="00E47986">
        <w:rPr>
          <w:rFonts w:asciiTheme="majorBidi" w:hAnsiTheme="majorBidi" w:cstheme="majorBidi"/>
        </w:rPr>
        <w:t>oran est polysémique</w:t>
      </w:r>
      <w:r w:rsidRPr="00E47986">
        <w:rPr>
          <w:rFonts w:asciiTheme="majorBidi" w:hAnsiTheme="majorBidi" w:cstheme="majorBidi"/>
        </w:rPr>
        <w:t>,</w:t>
      </w:r>
      <w:r w:rsidR="00727084" w:rsidRPr="00E47986">
        <w:rPr>
          <w:rFonts w:asciiTheme="majorBidi" w:hAnsiTheme="majorBidi" w:cstheme="majorBidi"/>
        </w:rPr>
        <w:t xml:space="preserve"> mais, note </w:t>
      </w:r>
      <w:r w:rsidR="00256F00" w:rsidRPr="00E47986">
        <w:rPr>
          <w:rFonts w:asciiTheme="majorBidi" w:hAnsiTheme="majorBidi" w:cstheme="majorBidi"/>
        </w:rPr>
        <w:t>Alain Gresh</w:t>
      </w:r>
      <w:r w:rsidR="00727084" w:rsidRPr="00E47986">
        <w:rPr>
          <w:rFonts w:asciiTheme="majorBidi" w:hAnsiTheme="majorBidi" w:cstheme="majorBidi"/>
        </w:rPr>
        <w:t>,</w:t>
      </w:r>
      <w:r w:rsidR="00256F00" w:rsidRPr="00E47986">
        <w:rPr>
          <w:rFonts w:asciiTheme="majorBidi" w:hAnsiTheme="majorBidi" w:cstheme="majorBidi"/>
        </w:rPr>
        <w:t xml:space="preserve"> « </w:t>
      </w:r>
      <w:r w:rsidR="00727084" w:rsidRPr="00E47986">
        <w:rPr>
          <w:rFonts w:asciiTheme="majorBidi" w:hAnsiTheme="majorBidi" w:cstheme="majorBidi"/>
        </w:rPr>
        <w:t>[l]</w:t>
      </w:r>
      <w:r w:rsidR="008170B2" w:rsidRPr="00E47986">
        <w:rPr>
          <w:rFonts w:asciiTheme="majorBidi" w:hAnsiTheme="majorBidi" w:cstheme="majorBidi"/>
        </w:rPr>
        <w:t>’</w:t>
      </w:r>
      <w:r w:rsidR="003F01B1" w:rsidRPr="00E47986">
        <w:rPr>
          <w:rFonts w:asciiTheme="majorBidi" w:hAnsiTheme="majorBidi" w:cstheme="majorBidi"/>
        </w:rPr>
        <w:t>islam a mille visages, les musulmans aussi</w:t>
      </w:r>
      <w:r w:rsidR="00256F00" w:rsidRPr="00E47986">
        <w:rPr>
          <w:rFonts w:asciiTheme="majorBidi" w:hAnsiTheme="majorBidi" w:cstheme="majorBidi"/>
        </w:rPr>
        <w:t> »</w:t>
      </w:r>
      <w:r w:rsidR="003F01B1" w:rsidRPr="00E47986">
        <w:rPr>
          <w:rFonts w:asciiTheme="majorBidi" w:hAnsiTheme="majorBidi" w:cstheme="majorBidi"/>
        </w:rPr>
        <w:t>.</w:t>
      </w:r>
      <w:r w:rsidRPr="00E47986">
        <w:rPr>
          <w:rStyle w:val="Appelnotedebasdep"/>
          <w:rFonts w:asciiTheme="majorBidi" w:hAnsiTheme="majorBidi" w:cstheme="majorBidi"/>
        </w:rPr>
        <w:footnoteReference w:id="29"/>
      </w:r>
    </w:p>
    <w:p w14:paraId="284F616D" w14:textId="77777777" w:rsidR="006C50F4" w:rsidRDefault="00D33ECB" w:rsidP="00EF5A0D">
      <w:pPr>
        <w:spacing w:line="360" w:lineRule="auto"/>
        <w:ind w:firstLine="708"/>
        <w:jc w:val="both"/>
        <w:rPr>
          <w:rFonts w:asciiTheme="majorBidi" w:hAnsiTheme="majorBidi" w:cstheme="majorBidi"/>
        </w:rPr>
      </w:pPr>
      <w:r w:rsidRPr="006A4C0B">
        <w:rPr>
          <w:rFonts w:asciiTheme="majorBidi" w:hAnsiTheme="majorBidi" w:cstheme="majorBidi"/>
        </w:rPr>
        <w:t xml:space="preserve">Ainsi, on peut dire que la polysémie du Coran est due à deux choses : 1-le caractère polysémique de la langue arabe, 2-et </w:t>
      </w:r>
      <w:r w:rsidR="000C7A90">
        <w:t>l’extrême diversité géographique et historique de la diffusion de l’islam</w:t>
      </w:r>
      <w:r w:rsidRPr="006A4C0B">
        <w:rPr>
          <w:rFonts w:asciiTheme="majorBidi" w:hAnsiTheme="majorBidi" w:cstheme="majorBidi"/>
        </w:rPr>
        <w:t>.</w:t>
      </w:r>
    </w:p>
    <w:p w14:paraId="08594B8C" w14:textId="77777777" w:rsidR="00D11A6B" w:rsidRPr="006A4C0B" w:rsidRDefault="00D11A6B" w:rsidP="00254129">
      <w:pPr>
        <w:spacing w:line="360" w:lineRule="auto"/>
        <w:ind w:firstLine="708"/>
        <w:jc w:val="both"/>
        <w:rPr>
          <w:rFonts w:asciiTheme="majorBidi" w:eastAsia="Times New Roman" w:hAnsiTheme="majorBidi" w:cstheme="majorBidi"/>
          <w:shd w:val="clear" w:color="auto" w:fill="FFFFFF"/>
        </w:rPr>
      </w:pPr>
    </w:p>
    <w:p w14:paraId="64B3EF22" w14:textId="77777777" w:rsidR="00561BDC" w:rsidRPr="00CB7AF4" w:rsidRDefault="00561BDC" w:rsidP="00F97E53">
      <w:pPr>
        <w:spacing w:line="360" w:lineRule="auto"/>
        <w:ind w:firstLine="708"/>
        <w:jc w:val="both"/>
        <w:rPr>
          <w:rFonts w:asciiTheme="majorBidi" w:eastAsia="Times New Roman" w:hAnsiTheme="majorBidi" w:cstheme="majorBidi"/>
        </w:rPr>
      </w:pPr>
      <w:r w:rsidRPr="00CB7AF4">
        <w:rPr>
          <w:rFonts w:asciiTheme="majorBidi" w:eastAsia="SimSun" w:hAnsiTheme="majorBidi" w:cstheme="majorBidi"/>
          <w:lang w:eastAsia="zh-CN"/>
        </w:rPr>
        <w:t>Chokri Mimouni</w:t>
      </w:r>
      <w:r w:rsidRPr="00CB7AF4">
        <w:rPr>
          <w:rFonts w:asciiTheme="majorBidi" w:eastAsia="Times New Roman" w:hAnsiTheme="majorBidi" w:cstheme="majorBidi"/>
        </w:rPr>
        <w:t xml:space="preserve"> </w:t>
      </w:r>
      <w:r w:rsidRPr="00CB7AF4">
        <w:rPr>
          <w:rFonts w:asciiTheme="majorBidi" w:eastAsia="SimSun" w:hAnsiTheme="majorBidi" w:cstheme="majorBidi"/>
          <w:lang w:eastAsia="zh-CN"/>
        </w:rPr>
        <w:t xml:space="preserve">affirme, à propos de la traduction du Coran, que </w:t>
      </w:r>
      <w:r w:rsidR="008F0AEA" w:rsidRPr="00D80618">
        <w:rPr>
          <w:rFonts w:asciiTheme="majorBidi" w:eastAsia="Calibri" w:hAnsiTheme="majorBidi" w:cstheme="majorBidi"/>
          <w:lang w:bidi="ar-AE"/>
        </w:rPr>
        <w:t>« </w:t>
      </w:r>
      <w:r w:rsidR="00727084" w:rsidRPr="00D80618">
        <w:rPr>
          <w:rFonts w:asciiTheme="majorBidi" w:eastAsia="Calibri" w:hAnsiTheme="majorBidi" w:cstheme="majorBidi"/>
          <w:lang w:bidi="ar-AE"/>
        </w:rPr>
        <w:t>[f]</w:t>
      </w:r>
      <w:r w:rsidRPr="00D80618">
        <w:rPr>
          <w:rFonts w:asciiTheme="majorBidi" w:eastAsia="Calibri" w:hAnsiTheme="majorBidi" w:cstheme="majorBidi"/>
          <w:lang w:bidi="ar-AE"/>
        </w:rPr>
        <w:t>ace à un texte renfermant des versets obscurs, donnant droit à plusieurs interprétations, la pénibilité de l’acte de</w:t>
      </w:r>
      <w:r w:rsidRPr="00CB7AF4">
        <w:rPr>
          <w:rFonts w:asciiTheme="majorBidi" w:eastAsia="Calibri" w:hAnsiTheme="majorBidi" w:cstheme="majorBidi"/>
          <w:lang w:bidi="ar-AE"/>
        </w:rPr>
        <w:t xml:space="preserve"> traduire ainsi que les multiples facettes de traduction se comprennent très bien. […] Le mot, tel un dé,</w:t>
      </w:r>
      <w:r w:rsidRPr="00CB7AF4">
        <w:rPr>
          <w:rFonts w:asciiTheme="majorBidi" w:eastAsia="Times New Roman" w:hAnsiTheme="majorBidi" w:cstheme="majorBidi"/>
        </w:rPr>
        <w:t xml:space="preserve"> </w:t>
      </w:r>
      <w:r w:rsidRPr="00CB7AF4">
        <w:rPr>
          <w:rFonts w:asciiTheme="majorBidi" w:eastAsia="Calibri" w:hAnsiTheme="majorBidi" w:cstheme="majorBidi"/>
          <w:lang w:bidi="ar-AE"/>
        </w:rPr>
        <w:t>donne un sens nouveau selon la facette du dé</w:t>
      </w:r>
      <w:r w:rsidRPr="00CB7AF4">
        <w:rPr>
          <w:rFonts w:asciiTheme="majorBidi" w:eastAsia="Calibri" w:hAnsiTheme="majorBidi" w:cstheme="majorBidi"/>
          <w:rtl/>
          <w:lang w:bidi="ar-AE"/>
        </w:rPr>
        <w:t>.</w:t>
      </w:r>
      <w:r w:rsidRPr="00CB7AF4">
        <w:rPr>
          <w:rFonts w:asciiTheme="majorBidi" w:eastAsia="Calibri" w:hAnsiTheme="majorBidi" w:cstheme="majorBidi"/>
          <w:lang w:bidi="ar-AE"/>
        </w:rPr>
        <w:t xml:space="preserve"> Le verset peut avoir autant de sens que de jet de dé. […] Des traductions littéralistes, avec des notes et des explications, sont proposées aux lecteurs. Par ce genre de traduction, les spécialistes établissent des correspondances au niveau formel de la langue : grammaire, syntaxe, lexique, style, etc. Cependant, la correspondance du sens nous réconforte pour affirmer qu’on ne traduit pas seulement un texte mais un contexte car le sens, vu son instabilité, est le résultat d’un système d’interprétation individuelle ou collective dans un contexte socioculturel particulier et historiquement bien déterminé.</w:t>
      </w:r>
      <w:r w:rsidR="008F0AEA">
        <w:rPr>
          <w:rFonts w:asciiTheme="majorBidi" w:eastAsia="Calibri" w:hAnsiTheme="majorBidi" w:cstheme="majorBidi"/>
          <w:lang w:bidi="ar-AE"/>
        </w:rPr>
        <w:t> »</w:t>
      </w:r>
      <w:r w:rsidRPr="00CB7AF4">
        <w:rPr>
          <w:rFonts w:asciiTheme="majorBidi" w:eastAsia="Calibri" w:hAnsiTheme="majorBidi" w:cstheme="majorBidi"/>
          <w:vertAlign w:val="superscript"/>
          <w:lang w:bidi="ar-AE"/>
        </w:rPr>
        <w:footnoteReference w:id="30"/>
      </w:r>
    </w:p>
    <w:p w14:paraId="65E9CACF"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551650C6" w14:textId="77777777" w:rsidR="00561BDC" w:rsidRPr="001A7731" w:rsidRDefault="00561BDC" w:rsidP="00CB7AF4">
      <w:pPr>
        <w:spacing w:line="360" w:lineRule="auto"/>
        <w:ind w:firstLine="708"/>
        <w:jc w:val="both"/>
        <w:rPr>
          <w:rFonts w:asciiTheme="majorBidi" w:eastAsia="Times New Roman" w:hAnsiTheme="majorBidi" w:cstheme="majorBidi"/>
        </w:rPr>
      </w:pPr>
      <w:r w:rsidRPr="001A7731">
        <w:rPr>
          <w:rFonts w:asciiTheme="majorBidi" w:eastAsia="Times New Roman" w:hAnsiTheme="majorBidi" w:cstheme="majorBidi"/>
        </w:rPr>
        <w:t xml:space="preserve">Cette opacité de certains versets et cette pluralité de sens constituent une des problématiques majeures et </w:t>
      </w:r>
      <w:r w:rsidR="00727084" w:rsidRPr="001A7731">
        <w:rPr>
          <w:rFonts w:asciiTheme="majorBidi" w:eastAsia="Times New Roman" w:hAnsiTheme="majorBidi" w:cstheme="majorBidi"/>
        </w:rPr>
        <w:t xml:space="preserve">l’un </w:t>
      </w:r>
      <w:r w:rsidRPr="001A7731">
        <w:rPr>
          <w:rFonts w:asciiTheme="majorBidi" w:eastAsia="Times New Roman" w:hAnsiTheme="majorBidi" w:cstheme="majorBidi"/>
        </w:rPr>
        <w:t xml:space="preserve">des enjeux </w:t>
      </w:r>
      <w:r w:rsidR="00727084" w:rsidRPr="001A7731">
        <w:rPr>
          <w:rFonts w:asciiTheme="majorBidi" w:eastAsia="Times New Roman" w:hAnsiTheme="majorBidi" w:cstheme="majorBidi"/>
        </w:rPr>
        <w:t xml:space="preserve">essentiels </w:t>
      </w:r>
      <w:r w:rsidRPr="001A7731">
        <w:rPr>
          <w:rFonts w:asciiTheme="majorBidi" w:eastAsia="Times New Roman" w:hAnsiTheme="majorBidi" w:cstheme="majorBidi"/>
        </w:rPr>
        <w:t xml:space="preserve">de la traduction du Coran. </w:t>
      </w:r>
    </w:p>
    <w:p w14:paraId="54259325" w14:textId="77777777" w:rsidR="00561BDC" w:rsidRPr="001A7731" w:rsidRDefault="00561BDC" w:rsidP="00CB7AF4">
      <w:pPr>
        <w:spacing w:line="360" w:lineRule="auto"/>
        <w:ind w:firstLine="708"/>
        <w:jc w:val="both"/>
        <w:rPr>
          <w:rFonts w:asciiTheme="majorBidi" w:eastAsia="Times New Roman" w:hAnsiTheme="majorBidi" w:cstheme="majorBidi"/>
        </w:rPr>
      </w:pPr>
    </w:p>
    <w:p w14:paraId="408ADCC4" w14:textId="4B16DDEA" w:rsidR="00561BDC" w:rsidRPr="00CB7AF4" w:rsidRDefault="00561BDC" w:rsidP="00CB7AF4">
      <w:pPr>
        <w:spacing w:line="360" w:lineRule="auto"/>
        <w:ind w:firstLine="708"/>
        <w:jc w:val="both"/>
        <w:rPr>
          <w:rFonts w:asciiTheme="majorBidi" w:eastAsia="Calibri" w:hAnsiTheme="majorBidi" w:cstheme="majorBidi"/>
          <w:lang w:bidi="ar-AE"/>
        </w:rPr>
      </w:pPr>
      <w:r w:rsidRPr="001A7731">
        <w:rPr>
          <w:rFonts w:asciiTheme="majorBidi" w:eastAsia="Calibri" w:hAnsiTheme="majorBidi" w:cstheme="majorBidi"/>
          <w:lang w:bidi="ar-AE"/>
        </w:rPr>
        <w:t>Abū Na</w:t>
      </w:r>
      <w:r w:rsidRPr="001A7731">
        <w:rPr>
          <w:rFonts w:asciiTheme="majorBidi" w:eastAsia="Times New Roman" w:hAnsiTheme="majorBidi" w:cstheme="majorBidi"/>
        </w:rPr>
        <w:t>ʿīm</w:t>
      </w:r>
      <w:r w:rsidRPr="001A7731">
        <w:rPr>
          <w:rFonts w:asciiTheme="majorBidi" w:eastAsia="Calibri" w:hAnsiTheme="majorBidi" w:cstheme="majorBidi"/>
          <w:lang w:bidi="ar-AE"/>
        </w:rPr>
        <w:t>, un célèbre compilateur de hadiths, rapporte</w:t>
      </w:r>
      <w:r w:rsidR="00462AF1" w:rsidRPr="001A7731">
        <w:rPr>
          <w:rFonts w:asciiTheme="majorBidi" w:eastAsia="Calibri" w:hAnsiTheme="majorBidi" w:cstheme="majorBidi"/>
          <w:lang w:bidi="ar-AE"/>
        </w:rPr>
        <w:t>,</w:t>
      </w:r>
      <w:r w:rsidRPr="001A7731">
        <w:rPr>
          <w:rFonts w:asciiTheme="majorBidi" w:eastAsia="Calibri" w:hAnsiTheme="majorBidi" w:cstheme="majorBidi"/>
          <w:lang w:bidi="ar-AE"/>
        </w:rPr>
        <w:t xml:space="preserve"> </w:t>
      </w:r>
      <w:r w:rsidR="00462AF1" w:rsidRPr="001A7731">
        <w:rPr>
          <w:rFonts w:asciiTheme="majorBidi" w:eastAsia="Calibri" w:hAnsiTheme="majorBidi" w:cstheme="majorBidi"/>
          <w:lang w:bidi="ar-AE"/>
        </w:rPr>
        <w:t>sur l’autorité de</w:t>
      </w:r>
      <w:r w:rsidRPr="001A7731">
        <w:rPr>
          <w:rFonts w:asciiTheme="majorBidi" w:eastAsia="Times New Roman" w:hAnsiTheme="majorBidi" w:cstheme="majorBidi"/>
        </w:rPr>
        <w:t xml:space="preserve"> </w:t>
      </w:r>
      <w:r w:rsidR="00727084" w:rsidRPr="001A7731">
        <w:rPr>
          <w:rFonts w:asciiTheme="majorBidi" w:eastAsia="Calibri" w:hAnsiTheme="majorBidi" w:cstheme="majorBidi"/>
          <w:lang w:bidi="ar-AE"/>
        </w:rPr>
        <w:t>l’exégète et</w:t>
      </w:r>
      <w:r w:rsidRPr="001A7731">
        <w:rPr>
          <w:rFonts w:asciiTheme="majorBidi" w:eastAsia="Calibri" w:hAnsiTheme="majorBidi" w:cstheme="majorBidi"/>
          <w:lang w:bidi="ar-AE"/>
        </w:rPr>
        <w:t xml:space="preserve"> cousin paternel du prophète, Ibn ʿAbbās,</w:t>
      </w:r>
      <w:r w:rsidRPr="001A7731">
        <w:rPr>
          <w:rFonts w:asciiTheme="majorBidi" w:eastAsia="Calibri" w:hAnsiTheme="majorBidi" w:cstheme="majorBidi"/>
        </w:rPr>
        <w:t xml:space="preserve"> le hadith suivant : «</w:t>
      </w:r>
      <w:r w:rsidR="00727084" w:rsidRPr="001A7731">
        <w:rPr>
          <w:rFonts w:asciiTheme="majorBidi" w:eastAsia="Calibri" w:hAnsiTheme="majorBidi" w:cstheme="majorBidi"/>
        </w:rPr>
        <w:t> </w:t>
      </w:r>
      <w:r w:rsidRPr="001A7731">
        <w:rPr>
          <w:rFonts w:asciiTheme="majorBidi" w:eastAsia="Calibri" w:hAnsiTheme="majorBidi" w:cstheme="majorBidi"/>
          <w:i/>
          <w:iCs/>
        </w:rPr>
        <w:t>Al-qurʾān dhū</w:t>
      </w:r>
      <w:r w:rsidRPr="001A7731">
        <w:rPr>
          <w:rFonts w:asciiTheme="majorBidi" w:eastAsia="Times New Roman" w:hAnsiTheme="majorBidi" w:cstheme="majorBidi"/>
          <w:i/>
          <w:iCs/>
        </w:rPr>
        <w:t xml:space="preserve"> </w:t>
      </w:r>
      <w:r w:rsidRPr="001A7731">
        <w:rPr>
          <w:rFonts w:asciiTheme="majorBidi" w:eastAsia="Calibri" w:hAnsiTheme="majorBidi" w:cstheme="majorBidi"/>
          <w:i/>
          <w:iCs/>
        </w:rPr>
        <w:t>wujūh ; fa-ḥmilū</w:t>
      </w:r>
      <w:r w:rsidR="00727084" w:rsidRPr="001A7731">
        <w:rPr>
          <w:rFonts w:asciiTheme="majorBidi" w:eastAsia="Calibri" w:hAnsiTheme="majorBidi" w:cstheme="majorBidi"/>
          <w:i/>
          <w:iCs/>
        </w:rPr>
        <w:t>-</w:t>
      </w:r>
      <w:r w:rsidRPr="001A7731">
        <w:rPr>
          <w:rFonts w:asciiTheme="majorBidi" w:eastAsia="Calibri" w:hAnsiTheme="majorBidi" w:cstheme="majorBidi"/>
          <w:i/>
          <w:iCs/>
        </w:rPr>
        <w:t>hu ʿalā aḥsani wujūhi</w:t>
      </w:r>
      <w:r w:rsidR="00727084" w:rsidRPr="001A7731">
        <w:rPr>
          <w:rFonts w:asciiTheme="majorBidi" w:eastAsia="Calibri" w:hAnsiTheme="majorBidi" w:cstheme="majorBidi"/>
          <w:i/>
          <w:iCs/>
        </w:rPr>
        <w:t>-</w:t>
      </w:r>
      <w:r w:rsidRPr="001A7731">
        <w:rPr>
          <w:rFonts w:asciiTheme="majorBidi" w:eastAsia="Calibri" w:hAnsiTheme="majorBidi" w:cstheme="majorBidi"/>
          <w:i/>
          <w:iCs/>
        </w:rPr>
        <w:t>hi</w:t>
      </w:r>
      <w:r w:rsidR="00727084" w:rsidRPr="001A7731">
        <w:rPr>
          <w:rFonts w:asciiTheme="majorBidi" w:eastAsia="Calibri" w:hAnsiTheme="majorBidi" w:cstheme="majorBidi"/>
          <w:i/>
          <w:iCs/>
        </w:rPr>
        <w:t> </w:t>
      </w:r>
      <w:r w:rsidRPr="001A7731">
        <w:rPr>
          <w:rFonts w:asciiTheme="majorBidi" w:eastAsia="Calibri" w:hAnsiTheme="majorBidi" w:cstheme="majorBidi"/>
        </w:rPr>
        <w:t>»</w:t>
      </w:r>
      <w:r w:rsidRPr="001A7731">
        <w:rPr>
          <w:rFonts w:asciiTheme="majorBidi" w:eastAsia="Calibri" w:hAnsiTheme="majorBidi" w:cstheme="majorBidi"/>
          <w:vertAlign w:val="superscript"/>
          <w:lang w:bidi="ar-AE"/>
        </w:rPr>
        <w:footnoteReference w:id="31"/>
      </w:r>
      <w:r w:rsidRPr="001A7731">
        <w:rPr>
          <w:rFonts w:asciiTheme="majorBidi" w:eastAsia="Calibri" w:hAnsiTheme="majorBidi" w:cstheme="majorBidi"/>
        </w:rPr>
        <w:t xml:space="preserve"> [</w:t>
      </w:r>
      <w:r w:rsidRPr="001A7731">
        <w:rPr>
          <w:rFonts w:asciiTheme="majorBidi" w:eastAsia="Calibri" w:hAnsiTheme="majorBidi" w:cstheme="majorBidi"/>
          <w:i/>
          <w:iCs/>
        </w:rPr>
        <w:t>Le Coran a des facettes</w:t>
      </w:r>
      <w:r w:rsidRPr="001A7731">
        <w:rPr>
          <w:rFonts w:asciiTheme="majorBidi" w:eastAsia="Calibri" w:hAnsiTheme="majorBidi" w:cstheme="majorBidi"/>
        </w:rPr>
        <w:t xml:space="preserve"> (peut-être lu, compris et interprété de multiples façons) ; </w:t>
      </w:r>
      <w:r w:rsidRPr="001A7731">
        <w:rPr>
          <w:rFonts w:asciiTheme="majorBidi" w:eastAsia="Calibri" w:hAnsiTheme="majorBidi" w:cstheme="majorBidi"/>
          <w:i/>
          <w:iCs/>
        </w:rPr>
        <w:t>prenez donc sa meilleure facette</w:t>
      </w:r>
      <w:r w:rsidRPr="001A7731">
        <w:rPr>
          <w:rFonts w:asciiTheme="majorBidi" w:eastAsia="Calibri" w:hAnsiTheme="majorBidi" w:cstheme="majorBidi"/>
        </w:rPr>
        <w:t xml:space="preserve"> (prenez</w:t>
      </w:r>
      <w:r w:rsidR="00462AF1" w:rsidRPr="001A7731">
        <w:rPr>
          <w:rFonts w:asciiTheme="majorBidi" w:eastAsia="Calibri" w:hAnsiTheme="majorBidi" w:cstheme="majorBidi"/>
        </w:rPr>
        <w:t>-en</w:t>
      </w:r>
      <w:r w:rsidRPr="001A7731">
        <w:rPr>
          <w:rFonts w:asciiTheme="majorBidi" w:eastAsia="Calibri" w:hAnsiTheme="majorBidi" w:cstheme="majorBidi"/>
        </w:rPr>
        <w:t xml:space="preserve"> donc la meilleure interprétation possible)]. (Mais le meilleur dans le passé ne l’est plus aujourd’hui.) C’est pour cela</w:t>
      </w:r>
      <w:r w:rsidR="00462AF1" w:rsidRPr="001A7731">
        <w:rPr>
          <w:rFonts w:asciiTheme="majorBidi" w:eastAsia="Calibri" w:hAnsiTheme="majorBidi" w:cstheme="majorBidi"/>
        </w:rPr>
        <w:t xml:space="preserve"> que</w:t>
      </w:r>
      <w:r w:rsidRPr="001A7731">
        <w:rPr>
          <w:rFonts w:asciiTheme="majorBidi" w:eastAsia="Calibri" w:hAnsiTheme="majorBidi" w:cstheme="majorBidi"/>
        </w:rPr>
        <w:t xml:space="preserve">, selon </w:t>
      </w:r>
      <w:r w:rsidRPr="001A7731">
        <w:rPr>
          <w:rFonts w:asciiTheme="majorBidi" w:eastAsia="Calibri" w:hAnsiTheme="majorBidi" w:cstheme="majorBidi"/>
        </w:rPr>
        <w:lastRenderedPageBreak/>
        <w:t xml:space="preserve">Ibn Taymiyya, on a écrit des ouvrages sur </w:t>
      </w:r>
      <w:r w:rsidRPr="001A7731">
        <w:rPr>
          <w:rFonts w:asciiTheme="majorBidi" w:eastAsia="Times New Roman" w:hAnsiTheme="majorBidi" w:cstheme="majorBidi"/>
          <w:i/>
          <w:iCs/>
        </w:rPr>
        <w:t>al-wujūh wa-</w:t>
      </w:r>
      <w:r w:rsidR="00727084" w:rsidRPr="001A7731">
        <w:rPr>
          <w:rFonts w:asciiTheme="majorBidi" w:eastAsia="Times New Roman" w:hAnsiTheme="majorBidi" w:cstheme="majorBidi"/>
          <w:i/>
          <w:iCs/>
        </w:rPr>
        <w:t>n-</w:t>
      </w:r>
      <w:r w:rsidRPr="001A7731">
        <w:rPr>
          <w:rFonts w:asciiTheme="majorBidi" w:eastAsia="Times New Roman" w:hAnsiTheme="majorBidi" w:cstheme="majorBidi"/>
          <w:i/>
          <w:iCs/>
        </w:rPr>
        <w:t>naẓāʾir</w:t>
      </w:r>
      <w:r w:rsidRPr="001A7731">
        <w:rPr>
          <w:rFonts w:asciiTheme="majorBidi" w:eastAsia="Calibri" w:hAnsiTheme="majorBidi" w:cstheme="majorBidi"/>
        </w:rPr>
        <w:t xml:space="preserve">. </w:t>
      </w:r>
      <w:r w:rsidR="00462AF1" w:rsidRPr="001A7731">
        <w:rPr>
          <w:rFonts w:asciiTheme="majorBidi" w:eastAsia="Calibri" w:hAnsiTheme="majorBidi" w:cstheme="majorBidi"/>
          <w:iCs/>
        </w:rPr>
        <w:t xml:space="preserve">Les </w:t>
      </w:r>
      <w:r w:rsidRPr="001A7731">
        <w:rPr>
          <w:rFonts w:asciiTheme="majorBidi" w:eastAsia="Calibri" w:hAnsiTheme="majorBidi" w:cstheme="majorBidi"/>
          <w:i/>
          <w:iCs/>
        </w:rPr>
        <w:t>wujūh</w:t>
      </w:r>
      <w:r w:rsidRPr="001A7731">
        <w:rPr>
          <w:rFonts w:asciiTheme="majorBidi" w:eastAsia="Calibri" w:hAnsiTheme="majorBidi" w:cstheme="majorBidi"/>
        </w:rPr>
        <w:t xml:space="preserve"> [les faces ou les visages] sont les mots qui prennent une signification différente quand ils sont répétés (</w:t>
      </w:r>
      <w:r w:rsidR="00462AF1" w:rsidRPr="001A7731">
        <w:rPr>
          <w:rFonts w:asciiTheme="majorBidi" w:eastAsia="Times New Roman" w:hAnsiTheme="majorBidi" w:cstheme="majorBidi"/>
        </w:rPr>
        <w:t>antanaclase et/ou diaphore</w:t>
      </w:r>
      <w:r w:rsidRPr="001A7731">
        <w:rPr>
          <w:rFonts w:asciiTheme="majorBidi" w:eastAsia="Times New Roman" w:hAnsiTheme="majorBidi" w:cstheme="majorBidi"/>
        </w:rPr>
        <w:t xml:space="preserve">), comme le mot : </w:t>
      </w:r>
      <w:r w:rsidRPr="001A7731">
        <w:rPr>
          <w:rFonts w:asciiTheme="majorBidi" w:eastAsia="Times New Roman" w:hAnsiTheme="majorBidi" w:cstheme="majorBidi"/>
          <w:i/>
          <w:iCs/>
        </w:rPr>
        <w:t>ḥaqq</w:t>
      </w:r>
      <w:r w:rsidRPr="001A7731">
        <w:rPr>
          <w:rFonts w:asciiTheme="majorBidi" w:eastAsia="Times New Roman" w:hAnsiTheme="majorBidi" w:cstheme="majorBidi"/>
        </w:rPr>
        <w:t xml:space="preserve"> (droit, raison, vérité, vrai, etc.) ; </w:t>
      </w:r>
      <w:r w:rsidRPr="001A7731">
        <w:rPr>
          <w:rFonts w:asciiTheme="majorBidi" w:eastAsia="Calibri" w:hAnsiTheme="majorBidi" w:cstheme="majorBidi"/>
        </w:rPr>
        <w:t xml:space="preserve">quant </w:t>
      </w:r>
      <w:r w:rsidR="00462AF1" w:rsidRPr="001A7731">
        <w:rPr>
          <w:rFonts w:asciiTheme="majorBidi" w:eastAsia="Calibri" w:hAnsiTheme="majorBidi" w:cstheme="majorBidi"/>
        </w:rPr>
        <w:t xml:space="preserve">aux </w:t>
      </w:r>
      <w:r w:rsidRPr="001A7731">
        <w:rPr>
          <w:rFonts w:asciiTheme="majorBidi" w:eastAsia="Calibri" w:hAnsiTheme="majorBidi" w:cstheme="majorBidi"/>
          <w:i/>
          <w:iCs/>
        </w:rPr>
        <w:t>naẓāʾir</w:t>
      </w:r>
      <w:r w:rsidRPr="001A7731">
        <w:rPr>
          <w:rFonts w:asciiTheme="majorBidi" w:eastAsia="Calibri" w:hAnsiTheme="majorBidi" w:cstheme="majorBidi"/>
        </w:rPr>
        <w:t xml:space="preserve">, ce sont les mots génériques </w:t>
      </w:r>
      <w:r w:rsidRPr="001A7731">
        <w:rPr>
          <w:rFonts w:asciiTheme="majorBidi" w:eastAsia="Calibri" w:hAnsiTheme="majorBidi" w:cstheme="majorBidi"/>
          <w:lang w:bidi="ar-AE"/>
        </w:rPr>
        <w:t xml:space="preserve">(les </w:t>
      </w:r>
      <w:r w:rsidRPr="001A7731">
        <w:rPr>
          <w:rFonts w:asciiTheme="majorBidi" w:eastAsia="Calibri" w:hAnsiTheme="majorBidi" w:cstheme="majorBidi"/>
          <w:i/>
          <w:iCs/>
          <w:lang w:bidi="ar-AE"/>
        </w:rPr>
        <w:t>mafhūm</w:t>
      </w:r>
      <w:r w:rsidRPr="001A7731">
        <w:rPr>
          <w:rFonts w:asciiTheme="majorBidi" w:eastAsia="Calibri" w:hAnsiTheme="majorBidi" w:cstheme="majorBidi"/>
          <w:lang w:bidi="ar-AE"/>
        </w:rPr>
        <w:t>, les</w:t>
      </w:r>
      <w:r w:rsidRPr="00CB7AF4">
        <w:rPr>
          <w:rFonts w:asciiTheme="majorBidi" w:eastAsia="Calibri" w:hAnsiTheme="majorBidi" w:cstheme="majorBidi"/>
          <w:lang w:bidi="ar-AE"/>
        </w:rPr>
        <w:t xml:space="preserve"> </w:t>
      </w:r>
      <w:r w:rsidRPr="00CB7AF4">
        <w:rPr>
          <w:rFonts w:asciiTheme="majorBidi" w:eastAsia="Calibri" w:hAnsiTheme="majorBidi" w:cstheme="majorBidi"/>
          <w:i/>
          <w:iCs/>
          <w:lang w:bidi="ar-AE"/>
        </w:rPr>
        <w:t>lafẓ mutawāṭiʾ</w:t>
      </w:r>
      <w:r w:rsidRPr="00CB7AF4">
        <w:rPr>
          <w:rFonts w:asciiTheme="majorBidi" w:eastAsia="Calibri" w:hAnsiTheme="majorBidi" w:cstheme="majorBidi"/>
          <w:lang w:bidi="ar-AE"/>
        </w:rPr>
        <w:t xml:space="preserve"> ou les </w:t>
      </w:r>
      <w:r w:rsidRPr="00CB7AF4">
        <w:rPr>
          <w:rFonts w:asciiTheme="majorBidi" w:eastAsia="Calibri" w:hAnsiTheme="majorBidi" w:cstheme="majorBidi"/>
          <w:i/>
          <w:iCs/>
          <w:lang w:bidi="ar-AE"/>
        </w:rPr>
        <w:t>mutawāṭiʾ lafẓī</w:t>
      </w:r>
      <w:r w:rsidRPr="00CB7AF4">
        <w:rPr>
          <w:rFonts w:asciiTheme="majorBidi" w:eastAsia="Calibri" w:hAnsiTheme="majorBidi" w:cstheme="majorBidi"/>
          <w:lang w:bidi="ar-AE"/>
        </w:rPr>
        <w:t xml:space="preserve">) </w:t>
      </w:r>
      <w:r w:rsidRPr="00CB7AF4">
        <w:rPr>
          <w:rFonts w:asciiTheme="majorBidi" w:eastAsia="Calibri" w:hAnsiTheme="majorBidi" w:cstheme="majorBidi"/>
        </w:rPr>
        <w:t>qui ont une seule notion mais avec une différente dénomination</w:t>
      </w:r>
      <w:r w:rsidRPr="00CB7AF4">
        <w:rPr>
          <w:rFonts w:asciiTheme="majorBidi" w:eastAsia="Calibri" w:hAnsiTheme="majorBidi" w:cstheme="majorBidi"/>
          <w:vertAlign w:val="superscript"/>
          <w:lang w:bidi="ar-AE"/>
        </w:rPr>
        <w:footnoteReference w:id="32"/>
      </w:r>
      <w:r w:rsidRPr="00CB7AF4">
        <w:rPr>
          <w:rFonts w:asciiTheme="majorBidi" w:eastAsia="Calibri" w:hAnsiTheme="majorBidi" w:cstheme="majorBidi"/>
          <w:lang w:bidi="ar-AE"/>
        </w:rPr>
        <w:t xml:space="preserve">, comme le mot : </w:t>
      </w:r>
      <w:r w:rsidRPr="00CB7AF4">
        <w:rPr>
          <w:rFonts w:asciiTheme="majorBidi" w:eastAsia="Calibri" w:hAnsiTheme="majorBidi" w:cstheme="majorBidi"/>
          <w:i/>
          <w:iCs/>
          <w:lang w:bidi="ar-AE"/>
        </w:rPr>
        <w:t>insān</w:t>
      </w:r>
      <w:r w:rsidRPr="00CB7AF4">
        <w:rPr>
          <w:rFonts w:asciiTheme="majorBidi" w:eastAsia="Calibri" w:hAnsiTheme="majorBidi" w:cstheme="majorBidi"/>
          <w:lang w:bidi="ar-AE"/>
        </w:rPr>
        <w:t xml:space="preserve"> (pl. </w:t>
      </w:r>
      <w:r w:rsidRPr="00CB7AF4">
        <w:rPr>
          <w:rFonts w:asciiTheme="majorBidi" w:eastAsia="Calibri" w:hAnsiTheme="majorBidi" w:cstheme="majorBidi"/>
          <w:i/>
          <w:iCs/>
          <w:lang w:bidi="ar-AE"/>
        </w:rPr>
        <w:t>nās</w:t>
      </w:r>
      <w:r w:rsidRPr="00CB7AF4">
        <w:rPr>
          <w:rFonts w:asciiTheme="majorBidi" w:eastAsia="Calibri" w:hAnsiTheme="majorBidi" w:cstheme="majorBidi"/>
          <w:lang w:bidi="ar-AE"/>
        </w:rPr>
        <w:t>).</w:t>
      </w:r>
      <w:r w:rsidRPr="00CB7AF4">
        <w:rPr>
          <w:rFonts w:asciiTheme="majorBidi" w:eastAsia="Calibri" w:hAnsiTheme="majorBidi" w:cstheme="majorBidi"/>
        </w:rPr>
        <w:t xml:space="preserve"> Az-Zarkashī</w:t>
      </w:r>
      <w:r w:rsidRPr="00CB7AF4">
        <w:rPr>
          <w:rFonts w:asciiTheme="majorBidi" w:eastAsia="Calibri" w:hAnsiTheme="majorBidi" w:cstheme="majorBidi"/>
          <w:lang w:bidi="ar-AE"/>
        </w:rPr>
        <w:t xml:space="preserve"> souligne que la locution </w:t>
      </w:r>
      <w:r w:rsidRPr="00CB7AF4">
        <w:rPr>
          <w:rFonts w:asciiTheme="majorBidi" w:eastAsia="Calibri" w:hAnsiTheme="majorBidi" w:cstheme="majorBidi"/>
          <w:i/>
          <w:iCs/>
        </w:rPr>
        <w:t>dhū</w:t>
      </w:r>
      <w:r w:rsidRPr="00CB7AF4">
        <w:rPr>
          <w:rFonts w:asciiTheme="majorBidi" w:eastAsia="Times New Roman" w:hAnsiTheme="majorBidi" w:cstheme="majorBidi"/>
          <w:i/>
          <w:iCs/>
        </w:rPr>
        <w:t xml:space="preserve"> </w:t>
      </w:r>
      <w:r w:rsidRPr="00CB7AF4">
        <w:rPr>
          <w:rFonts w:asciiTheme="majorBidi" w:eastAsia="Calibri" w:hAnsiTheme="majorBidi" w:cstheme="majorBidi"/>
          <w:i/>
          <w:iCs/>
        </w:rPr>
        <w:t>wujūh</w:t>
      </w:r>
      <w:r w:rsidRPr="00CB7AF4">
        <w:rPr>
          <w:rFonts w:asciiTheme="majorBidi" w:eastAsia="Calibri" w:hAnsiTheme="majorBidi" w:cstheme="majorBidi"/>
          <w:lang w:bidi="ar-AE"/>
        </w:rPr>
        <w:t xml:space="preserve"> signifie </w:t>
      </w:r>
      <w:r w:rsidR="007C344E">
        <w:rPr>
          <w:rFonts w:asciiTheme="majorBidi" w:eastAsia="Calibri" w:hAnsiTheme="majorBidi" w:cstheme="majorBidi"/>
          <w:lang w:bidi="ar-AE"/>
        </w:rPr>
        <w:t>soit : qui</w:t>
      </w:r>
      <w:r w:rsidRPr="00CB7AF4">
        <w:rPr>
          <w:rFonts w:asciiTheme="majorBidi" w:eastAsia="Calibri" w:hAnsiTheme="majorBidi" w:cstheme="majorBidi"/>
          <w:lang w:bidi="ar-AE"/>
        </w:rPr>
        <w:t xml:space="preserve"> porte plusieurs interprétations et significations, </w:t>
      </w:r>
      <w:r w:rsidR="007C344E">
        <w:rPr>
          <w:rFonts w:asciiTheme="majorBidi" w:eastAsia="Calibri" w:hAnsiTheme="majorBidi" w:cstheme="majorBidi"/>
          <w:lang w:bidi="ar-AE"/>
        </w:rPr>
        <w:t>soit : qui</w:t>
      </w:r>
      <w:r w:rsidRPr="00CB7AF4">
        <w:rPr>
          <w:rFonts w:asciiTheme="majorBidi" w:eastAsia="Calibri" w:hAnsiTheme="majorBidi" w:cstheme="majorBidi"/>
          <w:lang w:bidi="ar-AE"/>
        </w:rPr>
        <w:t xml:space="preserve"> rassemble plusieurs statuts juridiques (</w:t>
      </w:r>
      <w:r w:rsidRPr="00CB7AF4">
        <w:rPr>
          <w:rFonts w:asciiTheme="majorBidi" w:eastAsia="Calibri" w:hAnsiTheme="majorBidi" w:cstheme="majorBidi"/>
          <w:i/>
          <w:iCs/>
          <w:lang w:bidi="ar-AE"/>
        </w:rPr>
        <w:t>aḥkām</w:t>
      </w:r>
      <w:r w:rsidR="007C344E">
        <w:rPr>
          <w:rFonts w:asciiTheme="majorBidi" w:eastAsia="Calibri" w:hAnsiTheme="majorBidi" w:cstheme="majorBidi"/>
          <w:lang w:bidi="ar-AE"/>
        </w:rPr>
        <w:t>) comme</w:t>
      </w:r>
      <w:r w:rsidRPr="00CB7AF4">
        <w:rPr>
          <w:rFonts w:asciiTheme="majorBidi" w:eastAsia="Calibri" w:hAnsiTheme="majorBidi" w:cstheme="majorBidi"/>
          <w:lang w:bidi="ar-AE"/>
        </w:rPr>
        <w:t xml:space="preserve"> </w:t>
      </w:r>
      <w:r w:rsidRPr="00CB7AF4">
        <w:rPr>
          <w:rFonts w:asciiTheme="majorBidi" w:eastAsia="Calibri" w:hAnsiTheme="majorBidi" w:cstheme="majorBidi"/>
          <w:i/>
          <w:iCs/>
          <w:lang w:bidi="ar-AE"/>
        </w:rPr>
        <w:t>at-taḥlīl wa-t-taḥrīm</w:t>
      </w:r>
      <w:r w:rsidRPr="00CB7AF4">
        <w:rPr>
          <w:rFonts w:asciiTheme="majorBidi" w:eastAsia="Calibri" w:hAnsiTheme="majorBidi" w:cstheme="majorBidi"/>
          <w:lang w:bidi="ar-AE"/>
        </w:rPr>
        <w:t xml:space="preserve"> (la permission et la prohibition), </w:t>
      </w:r>
      <w:r w:rsidR="00755DF6">
        <w:rPr>
          <w:rFonts w:asciiTheme="majorBidi" w:eastAsia="Calibri" w:hAnsiTheme="majorBidi" w:cstheme="majorBidi"/>
          <w:i/>
          <w:iCs/>
          <w:lang w:bidi="ar-AE"/>
        </w:rPr>
        <w:t>al-</w:t>
      </w:r>
      <w:r w:rsidRPr="00CB7AF4">
        <w:rPr>
          <w:rFonts w:asciiTheme="majorBidi" w:eastAsia="Calibri" w:hAnsiTheme="majorBidi" w:cstheme="majorBidi"/>
          <w:i/>
          <w:iCs/>
          <w:lang w:bidi="ar-AE"/>
        </w:rPr>
        <w:t>awāmir wa-n-nawāhī</w:t>
      </w:r>
      <w:r w:rsidRPr="00CB7AF4">
        <w:rPr>
          <w:rFonts w:asciiTheme="majorBidi" w:eastAsia="Calibri" w:hAnsiTheme="majorBidi" w:cstheme="majorBidi"/>
          <w:lang w:bidi="ar-AE"/>
        </w:rPr>
        <w:t xml:space="preserve"> (les ordres et les interdictions), </w:t>
      </w:r>
      <w:r w:rsidRPr="00CB7AF4">
        <w:rPr>
          <w:rFonts w:asciiTheme="majorBidi" w:eastAsia="Calibri" w:hAnsiTheme="majorBidi" w:cstheme="majorBidi"/>
          <w:i/>
          <w:iCs/>
          <w:lang w:bidi="ar-AE"/>
        </w:rPr>
        <w:t>at-targhīb wa-t-tarhīb</w:t>
      </w:r>
      <w:r w:rsidRPr="00CB7AF4">
        <w:rPr>
          <w:rFonts w:asciiTheme="majorBidi" w:eastAsia="Calibri" w:hAnsiTheme="majorBidi" w:cstheme="majorBidi"/>
          <w:lang w:bidi="ar-AE"/>
        </w:rPr>
        <w:t xml:space="preserve"> (la promesse</w:t>
      </w:r>
      <w:r w:rsidRPr="00CB7AF4">
        <w:rPr>
          <w:rFonts w:asciiTheme="majorBidi" w:eastAsia="Times New Roman" w:hAnsiTheme="majorBidi" w:cstheme="majorBidi"/>
        </w:rPr>
        <w:t xml:space="preserve"> </w:t>
      </w:r>
      <w:r w:rsidRPr="00CB7AF4">
        <w:rPr>
          <w:rFonts w:asciiTheme="majorBidi" w:eastAsia="Calibri" w:hAnsiTheme="majorBidi" w:cstheme="majorBidi"/>
          <w:lang w:bidi="ar-AE"/>
        </w:rPr>
        <w:t>et l’intimidation</w:t>
      </w:r>
      <w:r w:rsidRPr="00CB7AF4">
        <w:rPr>
          <w:rFonts w:asciiTheme="majorBidi" w:eastAsia="Times New Roman" w:hAnsiTheme="majorBidi" w:cstheme="majorBidi"/>
        </w:rPr>
        <w:t xml:space="preserve"> </w:t>
      </w:r>
      <w:r w:rsidR="00F96ECC">
        <w:rPr>
          <w:rFonts w:asciiTheme="majorBidi" w:eastAsia="Calibri" w:hAnsiTheme="majorBidi" w:cstheme="majorBidi"/>
          <w:lang w:bidi="ar-AE"/>
        </w:rPr>
        <w:t>[l’encouragement au bien et</w:t>
      </w:r>
      <w:r w:rsidRPr="00CB7AF4">
        <w:rPr>
          <w:rFonts w:asciiTheme="majorBidi" w:eastAsia="Calibri" w:hAnsiTheme="majorBidi" w:cstheme="majorBidi"/>
          <w:lang w:bidi="ar-AE"/>
        </w:rPr>
        <w:t xml:space="preserve"> la dissuasion au mal] ou les promesses et les menaces). Et la phrase </w:t>
      </w:r>
      <w:r w:rsidRPr="00CB7AF4">
        <w:rPr>
          <w:rFonts w:asciiTheme="majorBidi" w:eastAsia="Calibri" w:hAnsiTheme="majorBidi" w:cstheme="majorBidi"/>
          <w:i/>
          <w:iCs/>
        </w:rPr>
        <w:t>fa-ḥmilū</w:t>
      </w:r>
      <w:r w:rsidR="00F96ECC">
        <w:rPr>
          <w:rFonts w:asciiTheme="majorBidi" w:eastAsia="Calibri" w:hAnsiTheme="majorBidi" w:cstheme="majorBidi"/>
          <w:i/>
          <w:iCs/>
        </w:rPr>
        <w:t>-</w:t>
      </w:r>
      <w:r w:rsidRPr="00CB7AF4">
        <w:rPr>
          <w:rFonts w:asciiTheme="majorBidi" w:eastAsia="Calibri" w:hAnsiTheme="majorBidi" w:cstheme="majorBidi"/>
          <w:i/>
          <w:iCs/>
        </w:rPr>
        <w:t>hu ʿalā aḥsani wujūhi</w:t>
      </w:r>
      <w:r w:rsidR="00F96ECC">
        <w:rPr>
          <w:rFonts w:asciiTheme="majorBidi" w:eastAsia="Calibri" w:hAnsiTheme="majorBidi" w:cstheme="majorBidi"/>
          <w:i/>
          <w:iCs/>
        </w:rPr>
        <w:t>-</w:t>
      </w:r>
      <w:r w:rsidRPr="00CB7AF4">
        <w:rPr>
          <w:rFonts w:asciiTheme="majorBidi" w:eastAsia="Calibri" w:hAnsiTheme="majorBidi" w:cstheme="majorBidi"/>
          <w:i/>
          <w:iCs/>
        </w:rPr>
        <w:t>hi</w:t>
      </w:r>
      <w:r w:rsidRPr="00CB7AF4">
        <w:rPr>
          <w:rFonts w:asciiTheme="majorBidi" w:eastAsia="Calibri" w:hAnsiTheme="majorBidi" w:cstheme="majorBidi"/>
          <w:lang w:bidi="ar-AE"/>
        </w:rPr>
        <w:t xml:space="preserve"> signifie</w:t>
      </w:r>
      <w:r w:rsidR="007C344E">
        <w:rPr>
          <w:rFonts w:asciiTheme="majorBidi" w:eastAsia="Calibri" w:hAnsiTheme="majorBidi" w:cstheme="majorBidi"/>
          <w:lang w:bidi="ar-AE"/>
        </w:rPr>
        <w:t xml:space="preserve"> soit</w:t>
      </w:r>
      <w:r w:rsidRPr="00CB7AF4">
        <w:rPr>
          <w:rFonts w:asciiTheme="majorBidi" w:eastAsia="Calibri" w:hAnsiTheme="majorBidi" w:cstheme="majorBidi"/>
          <w:lang w:bidi="ar-AE"/>
        </w:rPr>
        <w:t xml:space="preserve"> lui donner le meilleur sens, </w:t>
      </w:r>
      <w:r w:rsidR="007C344E">
        <w:rPr>
          <w:rFonts w:asciiTheme="majorBidi" w:eastAsia="Calibri" w:hAnsiTheme="majorBidi" w:cstheme="majorBidi"/>
          <w:lang w:bidi="ar-AE"/>
        </w:rPr>
        <w:t>soit</w:t>
      </w:r>
      <w:r w:rsidRPr="00CB7AF4">
        <w:rPr>
          <w:rFonts w:asciiTheme="majorBidi" w:eastAsia="Calibri" w:hAnsiTheme="majorBidi" w:cstheme="majorBidi"/>
          <w:lang w:bidi="ar-AE"/>
        </w:rPr>
        <w:t xml:space="preserve"> en tirer le meilleur des </w:t>
      </w:r>
      <w:r w:rsidRPr="00CB7AF4">
        <w:rPr>
          <w:rFonts w:asciiTheme="majorBidi" w:eastAsia="Calibri" w:hAnsiTheme="majorBidi" w:cstheme="majorBidi"/>
          <w:i/>
          <w:iCs/>
          <w:lang w:bidi="ar-AE"/>
        </w:rPr>
        <w:t>ʿazāʾim</w:t>
      </w:r>
      <w:r w:rsidRPr="00CB7AF4">
        <w:rPr>
          <w:rFonts w:asciiTheme="majorBidi" w:eastAsia="Calibri" w:hAnsiTheme="majorBidi" w:cstheme="majorBidi"/>
          <w:lang w:bidi="ar-AE"/>
        </w:rPr>
        <w:t xml:space="preserve"> (pl. de </w:t>
      </w:r>
      <w:r w:rsidRPr="00CB7AF4">
        <w:rPr>
          <w:rFonts w:asciiTheme="majorBidi" w:eastAsia="Calibri" w:hAnsiTheme="majorBidi" w:cstheme="majorBidi"/>
          <w:i/>
          <w:iCs/>
          <w:lang w:bidi="ar-AE"/>
        </w:rPr>
        <w:t>ʿazīma</w:t>
      </w:r>
      <w:r w:rsidR="00F96ECC">
        <w:rPr>
          <w:rFonts w:asciiTheme="majorBidi" w:eastAsia="Calibri" w:hAnsiTheme="majorBidi" w:cstheme="majorBidi"/>
          <w:i/>
          <w:iCs/>
          <w:lang w:bidi="ar-AE"/>
        </w:rPr>
        <w:t> </w:t>
      </w:r>
      <w:r w:rsidRPr="00CB7AF4">
        <w:rPr>
          <w:rFonts w:asciiTheme="majorBidi" w:eastAsia="Calibri" w:hAnsiTheme="majorBidi" w:cstheme="majorBidi"/>
          <w:lang w:bidi="ar-AE"/>
        </w:rPr>
        <w:t xml:space="preserve">: la règle instituée pour le cas normal) sans les </w:t>
      </w:r>
      <w:r w:rsidRPr="00CB7AF4">
        <w:rPr>
          <w:rFonts w:asciiTheme="majorBidi" w:eastAsia="Calibri" w:hAnsiTheme="majorBidi" w:cstheme="majorBidi"/>
          <w:i/>
          <w:iCs/>
          <w:lang w:bidi="ar-AE"/>
        </w:rPr>
        <w:t>rukhaṣ</w:t>
      </w:r>
      <w:r w:rsidRPr="00CB7AF4">
        <w:rPr>
          <w:rFonts w:asciiTheme="majorBidi" w:eastAsia="Calibri" w:hAnsiTheme="majorBidi" w:cstheme="majorBidi"/>
          <w:lang w:bidi="ar-AE"/>
        </w:rPr>
        <w:t xml:space="preserve"> (pl. de </w:t>
      </w:r>
      <w:r w:rsidRPr="00CB7AF4">
        <w:rPr>
          <w:rFonts w:asciiTheme="majorBidi" w:eastAsia="Calibri" w:hAnsiTheme="majorBidi" w:cstheme="majorBidi"/>
          <w:i/>
          <w:iCs/>
          <w:lang w:bidi="ar-AE"/>
        </w:rPr>
        <w:t>rukhṣa</w:t>
      </w:r>
      <w:r w:rsidR="00F96ECC">
        <w:rPr>
          <w:rFonts w:asciiTheme="majorBidi" w:eastAsia="Calibri" w:hAnsiTheme="majorBidi" w:cstheme="majorBidi" w:hint="cs"/>
          <w:i/>
          <w:iCs/>
          <w:lang w:bidi="ar-AE"/>
        </w:rPr>
        <w:t> </w:t>
      </w:r>
      <w:r w:rsidRPr="00CB7AF4">
        <w:rPr>
          <w:rFonts w:asciiTheme="majorBidi" w:eastAsia="Calibri" w:hAnsiTheme="majorBidi" w:cstheme="majorBidi"/>
          <w:lang w:bidi="ar-AE"/>
        </w:rPr>
        <w:t xml:space="preserve">: la règle instituée sur le même sujet que celui de la </w:t>
      </w:r>
      <w:r w:rsidRPr="00CB7AF4">
        <w:rPr>
          <w:rFonts w:asciiTheme="majorBidi" w:eastAsia="Calibri" w:hAnsiTheme="majorBidi" w:cstheme="majorBidi"/>
          <w:i/>
          <w:iCs/>
          <w:lang w:bidi="ar-AE"/>
        </w:rPr>
        <w:t>ʿazīma</w:t>
      </w:r>
      <w:r w:rsidRPr="00CB7AF4">
        <w:rPr>
          <w:rFonts w:asciiTheme="majorBidi" w:eastAsia="Calibri" w:hAnsiTheme="majorBidi" w:cstheme="majorBidi"/>
          <w:lang w:bidi="ar-AE"/>
        </w:rPr>
        <w:t xml:space="preserve"> comme mesure d’allègement, pour certains cas circonstanciels [</w:t>
      </w:r>
      <w:r w:rsidRPr="00CB7AF4">
        <w:rPr>
          <w:rFonts w:asciiTheme="majorBidi" w:eastAsia="Calibri" w:hAnsiTheme="majorBidi" w:cstheme="majorBidi"/>
          <w:i/>
          <w:iCs/>
          <w:lang w:bidi="ar-AE"/>
        </w:rPr>
        <w:t>ʿawāriḍ</w:t>
      </w:r>
      <w:r w:rsidRPr="00CB7AF4">
        <w:rPr>
          <w:rFonts w:asciiTheme="majorBidi" w:eastAsia="Calibri" w:hAnsiTheme="majorBidi" w:cstheme="majorBidi"/>
          <w:lang w:bidi="ar-AE"/>
        </w:rPr>
        <w:t xml:space="preserve">]), pour choisir le sens qui porte le pardon et non pas la vengeance, ce qui montre clairement, selon </w:t>
      </w:r>
      <w:r w:rsidRPr="00CB7AF4">
        <w:rPr>
          <w:rFonts w:asciiTheme="majorBidi" w:eastAsia="Calibri" w:hAnsiTheme="majorBidi" w:cstheme="majorBidi"/>
        </w:rPr>
        <w:t>Az-Zarkashī</w:t>
      </w:r>
      <w:r w:rsidRPr="00CB7AF4">
        <w:rPr>
          <w:rFonts w:asciiTheme="majorBidi" w:eastAsia="Calibri" w:hAnsiTheme="majorBidi" w:cstheme="majorBidi"/>
          <w:lang w:bidi="ar-AE"/>
        </w:rPr>
        <w:t xml:space="preserve"> que l’</w:t>
      </w:r>
      <w:r w:rsidRPr="00CB7AF4">
        <w:rPr>
          <w:rFonts w:asciiTheme="majorBidi" w:eastAsia="Calibri" w:hAnsiTheme="majorBidi" w:cstheme="majorBidi"/>
          <w:i/>
          <w:iCs/>
          <w:lang w:bidi="ar-AE"/>
        </w:rPr>
        <w:t>ijtihād</w:t>
      </w:r>
      <w:r w:rsidRPr="00CB7AF4">
        <w:rPr>
          <w:rFonts w:asciiTheme="majorBidi" w:eastAsia="Calibri" w:hAnsiTheme="majorBidi" w:cstheme="majorBidi"/>
          <w:lang w:bidi="ar-AE"/>
        </w:rPr>
        <w:t xml:space="preserve"> (l’ef</w:t>
      </w:r>
      <w:r w:rsidR="00F96ECC">
        <w:rPr>
          <w:rFonts w:asciiTheme="majorBidi" w:eastAsia="Calibri" w:hAnsiTheme="majorBidi" w:cstheme="majorBidi"/>
          <w:lang w:bidi="ar-AE"/>
        </w:rPr>
        <w:t>fort de réflexion) est autorisé</w:t>
      </w:r>
      <w:r w:rsidRPr="00CB7AF4">
        <w:rPr>
          <w:rFonts w:asciiTheme="majorBidi" w:eastAsia="Calibri" w:hAnsiTheme="majorBidi" w:cstheme="majorBidi"/>
          <w:vertAlign w:val="superscript"/>
          <w:lang w:bidi="ar-AE"/>
        </w:rPr>
        <w:footnoteReference w:id="33"/>
      </w:r>
      <w:r w:rsidRPr="00CB7AF4">
        <w:rPr>
          <w:rFonts w:asciiTheme="majorBidi" w:eastAsia="Calibri" w:hAnsiTheme="majorBidi" w:cstheme="majorBidi"/>
          <w:lang w:bidi="ar-AE"/>
        </w:rPr>
        <w:t xml:space="preserve">, ce qui ouvre la voie à la polysémie, car le </w:t>
      </w:r>
      <w:r w:rsidRPr="00CB7AF4">
        <w:rPr>
          <w:rFonts w:asciiTheme="majorBidi" w:eastAsia="Calibri" w:hAnsiTheme="majorBidi" w:cstheme="majorBidi"/>
          <w:i/>
          <w:iCs/>
          <w:lang w:bidi="ar-AE"/>
        </w:rPr>
        <w:t>ḥukm</w:t>
      </w:r>
      <w:r w:rsidRPr="00CB7AF4">
        <w:rPr>
          <w:rFonts w:asciiTheme="majorBidi" w:eastAsia="Calibri" w:hAnsiTheme="majorBidi" w:cstheme="majorBidi"/>
          <w:lang w:bidi="ar-AE"/>
        </w:rPr>
        <w:t xml:space="preserve"> [le statut juridique] change avec le temps.</w:t>
      </w:r>
    </w:p>
    <w:p w14:paraId="2A441B61" w14:textId="77777777" w:rsidR="00561BDC" w:rsidRPr="00CB7AF4" w:rsidRDefault="00561BDC" w:rsidP="004A2440">
      <w:pPr>
        <w:bidi/>
        <w:spacing w:line="360" w:lineRule="auto"/>
        <w:ind w:firstLine="708"/>
        <w:jc w:val="both"/>
        <w:rPr>
          <w:rFonts w:asciiTheme="majorBidi" w:eastAsia="Times New Roman" w:hAnsiTheme="majorBidi" w:cstheme="majorBidi"/>
          <w:rtl/>
        </w:rPr>
      </w:pPr>
    </w:p>
    <w:p w14:paraId="11DB195B" w14:textId="08F5D75A" w:rsidR="00561BDC" w:rsidRPr="00CB7AF4" w:rsidRDefault="00727965" w:rsidP="007B0B76">
      <w:pPr>
        <w:spacing w:line="360" w:lineRule="auto"/>
        <w:ind w:firstLine="708"/>
        <w:jc w:val="both"/>
        <w:rPr>
          <w:rFonts w:asciiTheme="majorBidi" w:eastAsia="Times New Roman" w:hAnsiTheme="majorBidi" w:cstheme="majorBidi"/>
        </w:rPr>
      </w:pPr>
      <w:r>
        <w:rPr>
          <w:rFonts w:asciiTheme="majorBidi" w:eastAsia="Times New Roman" w:hAnsiTheme="majorBidi" w:cstheme="majorBidi"/>
        </w:rPr>
        <w:t>Aussi ʿAlī b.</w:t>
      </w:r>
      <w:r w:rsidR="00561BDC" w:rsidRPr="00CB7AF4">
        <w:rPr>
          <w:rFonts w:asciiTheme="majorBidi" w:eastAsia="Times New Roman" w:hAnsiTheme="majorBidi" w:cstheme="majorBidi"/>
        </w:rPr>
        <w:t xml:space="preserve"> Abī Ṭālib a-t-il recommandé de ne pas négocier avec ses adversaires sur la base du Coran, mais sur la base de </w:t>
      </w:r>
      <w:r w:rsidR="00561BDC" w:rsidRPr="00CB7AF4">
        <w:rPr>
          <w:rFonts w:asciiTheme="majorBidi" w:eastAsia="Times New Roman" w:hAnsiTheme="majorBidi" w:cstheme="majorBidi"/>
          <w:kern w:val="3"/>
        </w:rPr>
        <w:t xml:space="preserve">la </w:t>
      </w:r>
      <w:r w:rsidR="00561BDC" w:rsidRPr="00CB7AF4">
        <w:rPr>
          <w:rFonts w:asciiTheme="majorBidi" w:eastAsia="Times New Roman" w:hAnsiTheme="majorBidi" w:cstheme="majorBidi"/>
          <w:i/>
          <w:iCs/>
          <w:kern w:val="3"/>
        </w:rPr>
        <w:t>sunna</w:t>
      </w:r>
      <w:r w:rsidR="00561BDC" w:rsidRPr="00CB7AF4">
        <w:rPr>
          <w:rFonts w:asciiTheme="majorBidi" w:eastAsia="Times New Roman" w:hAnsiTheme="majorBidi" w:cstheme="majorBidi"/>
          <w:kern w:val="3"/>
        </w:rPr>
        <w:t xml:space="preserve"> [les dires, les actes et les approbations explicites ou implicites de Muḥammad]</w:t>
      </w:r>
      <w:r w:rsidR="00561BDC" w:rsidRPr="00CB7AF4">
        <w:rPr>
          <w:rFonts w:asciiTheme="majorBidi" w:eastAsia="Times New Roman" w:hAnsiTheme="majorBidi" w:cstheme="majorBidi"/>
        </w:rPr>
        <w:t>.</w:t>
      </w:r>
      <w:r w:rsidR="007B0B76">
        <w:rPr>
          <w:rFonts w:asciiTheme="majorBidi" w:eastAsia="Times New Roman" w:hAnsiTheme="majorBidi" w:cstheme="majorBidi"/>
        </w:rPr>
        <w:t xml:space="preserve"> </w:t>
      </w:r>
      <w:r w:rsidR="00AA0C93">
        <w:rPr>
          <w:rFonts w:asciiTheme="majorBidi" w:eastAsia="Times New Roman" w:hAnsiTheme="majorBidi" w:cstheme="majorBidi"/>
        </w:rPr>
        <w:t>L’exégète Muqātil b.</w:t>
      </w:r>
      <w:r w:rsidR="00561BDC" w:rsidRPr="00CB7AF4">
        <w:rPr>
          <w:rFonts w:asciiTheme="majorBidi" w:eastAsia="Times New Roman" w:hAnsiTheme="majorBidi" w:cstheme="majorBidi"/>
        </w:rPr>
        <w:t xml:space="preserve"> Sulaymān al-Balkhī (mort en 767) rapporte </w:t>
      </w:r>
      <w:r w:rsidR="00561BDC" w:rsidRPr="00CB7AF4">
        <w:rPr>
          <w:rFonts w:asciiTheme="majorBidi" w:eastAsia="Times New Roman" w:hAnsiTheme="majorBidi" w:cstheme="majorBidi"/>
          <w:kern w:val="3"/>
        </w:rPr>
        <w:t xml:space="preserve">un </w:t>
      </w:r>
      <w:r w:rsidR="00561BDC" w:rsidRPr="00B215B0">
        <w:rPr>
          <w:rFonts w:asciiTheme="majorBidi" w:eastAsia="Times New Roman" w:hAnsiTheme="majorBidi" w:cstheme="majorBidi"/>
          <w:iCs/>
          <w:kern w:val="3"/>
        </w:rPr>
        <w:t>hadith</w:t>
      </w:r>
      <w:r w:rsidR="00561BDC" w:rsidRPr="00CB7AF4">
        <w:rPr>
          <w:rFonts w:asciiTheme="majorBidi" w:eastAsia="Times New Roman" w:hAnsiTheme="majorBidi" w:cstheme="majorBidi"/>
          <w:kern w:val="3"/>
        </w:rPr>
        <w:t xml:space="preserve"> </w:t>
      </w:r>
      <w:r w:rsidR="00561BDC" w:rsidRPr="00CB7AF4">
        <w:rPr>
          <w:rFonts w:asciiTheme="majorBidi" w:eastAsia="Times New Roman" w:hAnsiTheme="majorBidi" w:cstheme="majorBidi"/>
        </w:rPr>
        <w:t xml:space="preserve">affirmant que « l’homme n’est un tout </w:t>
      </w:r>
      <w:r w:rsidR="00561BDC" w:rsidRPr="00CB7AF4">
        <w:rPr>
          <w:rFonts w:asciiTheme="majorBidi" w:eastAsia="Times New Roman" w:hAnsiTheme="majorBidi" w:cstheme="majorBidi"/>
          <w:i/>
          <w:iCs/>
        </w:rPr>
        <w:t>faqīh</w:t>
      </w:r>
      <w:r w:rsidR="00561BDC" w:rsidRPr="00CB7AF4">
        <w:rPr>
          <w:rFonts w:asciiTheme="majorBidi" w:eastAsia="Times New Roman" w:hAnsiTheme="majorBidi" w:cstheme="majorBidi"/>
        </w:rPr>
        <w:t xml:space="preserve"> [jurisconsulte érudit] que lorsqu’il voit dans le Coran de multiples faces [sens, contenus, lectures]. »</w:t>
      </w:r>
      <w:r w:rsidR="00561BDC" w:rsidRPr="00CB7AF4">
        <w:rPr>
          <w:rFonts w:asciiTheme="majorBidi" w:eastAsia="Times New Roman" w:hAnsiTheme="majorBidi" w:cstheme="majorBidi"/>
          <w:vertAlign w:val="superscript"/>
          <w:lang w:bidi="ar-AE"/>
        </w:rPr>
        <w:footnoteReference w:id="34"/>
      </w:r>
      <w:r w:rsidR="00561BDC" w:rsidRPr="00CB7AF4">
        <w:rPr>
          <w:rFonts w:asciiTheme="majorBidi" w:eastAsia="Times New Roman" w:hAnsiTheme="majorBidi" w:cstheme="majorBidi"/>
        </w:rPr>
        <w:t xml:space="preserve">. </w:t>
      </w:r>
      <w:r w:rsidR="00561BDC" w:rsidRPr="00CB7AF4">
        <w:rPr>
          <w:rFonts w:asciiTheme="majorBidi" w:eastAsia="Times New Roman" w:hAnsiTheme="majorBidi" w:cstheme="majorBidi"/>
          <w:lang w:bidi="ar-AE"/>
        </w:rPr>
        <w:t xml:space="preserve">C’est pourquoi « Nul n’en connaît l’interprétation, à part </w:t>
      </w:r>
      <w:r w:rsidR="00561BDC" w:rsidRPr="00CB7AF4">
        <w:rPr>
          <w:rFonts w:asciiTheme="majorBidi" w:eastAsia="Times New Roman" w:hAnsiTheme="majorBidi" w:cstheme="majorBidi"/>
          <w:i/>
          <w:iCs/>
          <w:lang w:bidi="ar-AE"/>
        </w:rPr>
        <w:t>Dieu</w:t>
      </w:r>
      <w:r w:rsidR="00561BDC" w:rsidRPr="00CB7AF4">
        <w:rPr>
          <w:rFonts w:asciiTheme="majorBidi" w:eastAsia="Times New Roman" w:hAnsiTheme="majorBidi" w:cstheme="majorBidi"/>
          <w:lang w:bidi="ar-AE"/>
        </w:rPr>
        <w:t xml:space="preserve"> » (III, 7), c’est-à-dire que </w:t>
      </w:r>
      <w:r w:rsidR="00561BDC" w:rsidRPr="00CB7AF4">
        <w:rPr>
          <w:rFonts w:asciiTheme="majorBidi" w:eastAsia="Times New Roman" w:hAnsiTheme="majorBidi" w:cstheme="majorBidi"/>
          <w:i/>
          <w:iCs/>
          <w:lang w:bidi="ar-AE"/>
        </w:rPr>
        <w:t>toutes</w:t>
      </w:r>
      <w:r w:rsidR="00561BDC" w:rsidRPr="00CB7AF4">
        <w:rPr>
          <w:rFonts w:asciiTheme="majorBidi" w:eastAsia="Times New Roman" w:hAnsiTheme="majorBidi" w:cstheme="majorBidi"/>
          <w:lang w:bidi="ar-AE"/>
        </w:rPr>
        <w:t xml:space="preserve"> les interprétations du texte coranique se trouvent seulement dans</w:t>
      </w:r>
      <w:r w:rsidR="00561BDC" w:rsidRPr="00CB7AF4">
        <w:rPr>
          <w:rFonts w:asciiTheme="majorBidi" w:eastAsia="Times New Roman" w:hAnsiTheme="majorBidi" w:cstheme="majorBidi"/>
          <w:i/>
          <w:iCs/>
        </w:rPr>
        <w:t xml:space="preserve"> l’inconscient collectif</w:t>
      </w:r>
      <w:r w:rsidR="00561BDC" w:rsidRPr="00CB7AF4">
        <w:rPr>
          <w:rFonts w:asciiTheme="majorBidi" w:eastAsia="Times New Roman" w:hAnsiTheme="majorBidi" w:cstheme="majorBidi"/>
          <w:lang w:bidi="ar-AE"/>
        </w:rPr>
        <w:t xml:space="preserve"> et apparaissent au fur et à mesure des lectures.</w:t>
      </w:r>
    </w:p>
    <w:p w14:paraId="1D68659E" w14:textId="77777777" w:rsidR="00561BDC" w:rsidRPr="004D2849" w:rsidRDefault="00561BDC" w:rsidP="004D2849">
      <w:pPr>
        <w:spacing w:line="360" w:lineRule="auto"/>
        <w:ind w:firstLine="708"/>
        <w:jc w:val="both"/>
        <w:rPr>
          <w:rFonts w:asciiTheme="majorBidi" w:eastAsia="Calibri" w:hAnsiTheme="majorBidi" w:cstheme="majorBidi"/>
          <w:rtl/>
        </w:rPr>
      </w:pPr>
    </w:p>
    <w:p w14:paraId="490F22A8" w14:textId="7342CAC0" w:rsidR="00561BDC" w:rsidRPr="00CB7AF4" w:rsidRDefault="00561BDC" w:rsidP="00AD1C6F">
      <w:pPr>
        <w:spacing w:line="360" w:lineRule="auto"/>
        <w:ind w:firstLine="708"/>
        <w:jc w:val="both"/>
        <w:rPr>
          <w:rFonts w:asciiTheme="majorBidi" w:eastAsia="Times New Roman" w:hAnsiTheme="majorBidi" w:cstheme="majorBidi"/>
        </w:rPr>
      </w:pPr>
      <w:r w:rsidRPr="004D2849">
        <w:rPr>
          <w:rFonts w:asciiTheme="majorBidi" w:eastAsia="Calibri" w:hAnsiTheme="majorBidi" w:cstheme="majorBidi"/>
          <w:lang w:bidi="ar-AE"/>
        </w:rPr>
        <w:lastRenderedPageBreak/>
        <w:t xml:space="preserve">As-Suyūṭī relate une thèse, rapportée par Ibn Ḥanbal, expliquant les « sept lettres » </w:t>
      </w:r>
      <w:r w:rsidR="00AD1C6F" w:rsidRPr="004D2849">
        <w:rPr>
          <w:rFonts w:asciiTheme="majorBidi" w:hAnsiTheme="majorBidi" w:cstheme="majorBidi"/>
        </w:rPr>
        <w:t>[</w:t>
      </w:r>
      <w:r w:rsidR="00AD1C6F" w:rsidRPr="004D2849">
        <w:rPr>
          <w:rFonts w:asciiTheme="majorBidi" w:eastAsia="Calibri" w:hAnsiTheme="majorBidi" w:cstheme="majorBidi"/>
          <w:i/>
          <w:iCs/>
          <w:lang w:bidi="ar-AE"/>
        </w:rPr>
        <w:t>sab</w:t>
      </w:r>
      <w:r w:rsidR="00AD1C6F" w:rsidRPr="004D2849">
        <w:rPr>
          <w:rFonts w:asciiTheme="majorBidi" w:hAnsiTheme="majorBidi" w:cstheme="majorBidi"/>
          <w:i/>
          <w:iCs/>
        </w:rPr>
        <w:t>ʿ</w:t>
      </w:r>
      <w:r w:rsidR="00643877">
        <w:rPr>
          <w:rFonts w:asciiTheme="majorBidi" w:hAnsiTheme="majorBidi" w:cstheme="majorBidi"/>
          <w:i/>
          <w:iCs/>
        </w:rPr>
        <w:t xml:space="preserve">at </w:t>
      </w:r>
      <w:r w:rsidR="00AD1C6F" w:rsidRPr="004D2849">
        <w:rPr>
          <w:rFonts w:asciiTheme="majorBidi" w:hAnsiTheme="majorBidi" w:cstheme="majorBidi"/>
          <w:i/>
          <w:iCs/>
        </w:rPr>
        <w:t>aḥruf</w:t>
      </w:r>
      <w:r w:rsidR="00AD1C6F" w:rsidRPr="004D2849">
        <w:rPr>
          <w:rFonts w:asciiTheme="majorBidi" w:hAnsiTheme="majorBidi" w:cstheme="majorBidi"/>
        </w:rPr>
        <w:t xml:space="preserve">] </w:t>
      </w:r>
      <w:r w:rsidRPr="004D2849">
        <w:rPr>
          <w:rFonts w:asciiTheme="majorBidi" w:eastAsia="Calibri" w:hAnsiTheme="majorBidi" w:cstheme="majorBidi"/>
          <w:lang w:bidi="ar-AE"/>
        </w:rPr>
        <w:t xml:space="preserve">par la possibilité qu’a tout mot du Coran d’être remplacé par </w:t>
      </w:r>
      <w:r w:rsidRPr="004D2849">
        <w:rPr>
          <w:rFonts w:asciiTheme="majorBidi" w:eastAsia="Calibri" w:hAnsiTheme="majorBidi" w:cstheme="majorBidi"/>
          <w:i/>
          <w:iCs/>
          <w:lang w:bidi="ar-AE"/>
        </w:rPr>
        <w:t>sept synonymes</w:t>
      </w:r>
      <w:r w:rsidRPr="004D2849">
        <w:rPr>
          <w:rFonts w:asciiTheme="majorBidi" w:eastAsia="Times New Roman" w:hAnsiTheme="majorBidi" w:cstheme="majorBidi"/>
          <w:vertAlign w:val="superscript"/>
          <w:lang w:bidi="ar-AE"/>
        </w:rPr>
        <w:footnoteReference w:id="35"/>
      </w:r>
      <w:r w:rsidRPr="004D2849">
        <w:rPr>
          <w:rFonts w:asciiTheme="majorBidi" w:eastAsia="Calibri" w:hAnsiTheme="majorBidi" w:cstheme="majorBidi"/>
          <w:lang w:bidi="ar-AE"/>
        </w:rPr>
        <w:t xml:space="preserve">. </w:t>
      </w:r>
      <w:r w:rsidR="00B95E42" w:rsidRPr="004D2849">
        <w:rPr>
          <w:rFonts w:asciiTheme="majorBidi" w:eastAsia="Calibri" w:hAnsiTheme="majorBidi" w:cstheme="majorBidi"/>
          <w:lang w:bidi="ar-AE"/>
        </w:rPr>
        <w:t>Ubayy</w:t>
      </w:r>
      <w:r w:rsidR="00AA0C93">
        <w:rPr>
          <w:rFonts w:asciiTheme="majorBidi" w:eastAsia="Calibri" w:hAnsiTheme="majorBidi" w:cstheme="majorBidi"/>
          <w:lang w:bidi="ar-AE"/>
        </w:rPr>
        <w:t xml:space="preserve"> b.</w:t>
      </w:r>
      <w:r w:rsidRPr="004D2849">
        <w:rPr>
          <w:rFonts w:asciiTheme="majorBidi" w:eastAsia="Calibri" w:hAnsiTheme="majorBidi" w:cstheme="majorBidi"/>
          <w:lang w:bidi="ar-AE"/>
        </w:rPr>
        <w:t xml:space="preserve"> Kaʿb, u</w:t>
      </w:r>
      <w:r w:rsidRPr="00CB7AF4">
        <w:rPr>
          <w:rFonts w:asciiTheme="majorBidi" w:eastAsia="Calibri" w:hAnsiTheme="majorBidi" w:cstheme="majorBidi"/>
          <w:lang w:bidi="ar-AE"/>
        </w:rPr>
        <w:t xml:space="preserve">n des secrétaires de Muḥammad chargé de la rédaction du Coran, aurait même exprimé cette règle qu’il aurait appliquée dans sa version coranique : « J’ai dit [dans le Coran] : </w:t>
      </w:r>
      <w:r w:rsidRPr="00CB7AF4">
        <w:rPr>
          <w:rFonts w:asciiTheme="majorBidi" w:eastAsia="Calibri" w:hAnsiTheme="majorBidi" w:cstheme="majorBidi"/>
          <w:i/>
          <w:iCs/>
          <w:lang w:bidi="ar-AE"/>
        </w:rPr>
        <w:t xml:space="preserve">Audient </w:t>
      </w:r>
      <w:r w:rsidR="00B50187" w:rsidRPr="00B50187">
        <w:rPr>
          <w:rFonts w:asciiTheme="majorBidi" w:eastAsia="Calibri" w:hAnsiTheme="majorBidi" w:cstheme="majorBidi"/>
          <w:lang w:bidi="ar-AE"/>
        </w:rPr>
        <w:t>[</w:t>
      </w:r>
      <w:r w:rsidR="004C3163" w:rsidRPr="004C3163">
        <w:rPr>
          <w:rFonts w:asciiTheme="majorBidi" w:eastAsia="Calibri" w:hAnsiTheme="majorBidi" w:cstheme="majorBidi"/>
          <w:i/>
          <w:iCs/>
          <w:lang w:bidi="ar-AE"/>
        </w:rPr>
        <w:t>Samī</w:t>
      </w:r>
      <w:r w:rsidR="004C3163" w:rsidRPr="004C3163">
        <w:rPr>
          <w:rFonts w:asciiTheme="majorBidi" w:eastAsia="Times New Roman" w:hAnsiTheme="majorBidi" w:cstheme="majorBidi"/>
          <w:i/>
          <w:iCs/>
        </w:rPr>
        <w:t>ʿ</w:t>
      </w:r>
      <w:r w:rsidR="004C3163">
        <w:rPr>
          <w:rFonts w:asciiTheme="majorBidi" w:eastAsia="Calibri" w:hAnsiTheme="majorBidi" w:cstheme="majorBidi"/>
          <w:lang w:bidi="ar-AE"/>
        </w:rPr>
        <w:t xml:space="preserve">, </w:t>
      </w:r>
      <w:r w:rsidR="00B50187" w:rsidRPr="00B50187">
        <w:rPr>
          <w:rFonts w:asciiTheme="majorBidi" w:eastAsia="Calibri" w:hAnsiTheme="majorBidi" w:cstheme="majorBidi"/>
          <w:lang w:bidi="ar-AE"/>
        </w:rPr>
        <w:t xml:space="preserve">Celui qui entend toute chose] </w:t>
      </w:r>
      <w:r w:rsidRPr="00CB7AF4">
        <w:rPr>
          <w:rFonts w:asciiTheme="majorBidi" w:eastAsia="Calibri" w:hAnsiTheme="majorBidi" w:cstheme="majorBidi"/>
          <w:i/>
          <w:iCs/>
          <w:lang w:bidi="ar-AE"/>
        </w:rPr>
        <w:t>et Savant</w:t>
      </w:r>
      <w:r w:rsidRPr="00CB7AF4">
        <w:rPr>
          <w:rFonts w:asciiTheme="majorBidi" w:eastAsia="Calibri" w:hAnsiTheme="majorBidi" w:cstheme="majorBidi"/>
          <w:lang w:bidi="ar-AE"/>
        </w:rPr>
        <w:t xml:space="preserve">, [à la place de] </w:t>
      </w:r>
      <w:r w:rsidRPr="00CB7AF4">
        <w:rPr>
          <w:rFonts w:asciiTheme="majorBidi" w:eastAsia="Calibri" w:hAnsiTheme="majorBidi" w:cstheme="majorBidi"/>
          <w:i/>
          <w:iCs/>
          <w:lang w:bidi="ar-AE"/>
        </w:rPr>
        <w:t>Puissant et Sage</w:t>
      </w:r>
      <w:r w:rsidRPr="00CB7AF4">
        <w:rPr>
          <w:rFonts w:asciiTheme="majorBidi" w:eastAsia="Calibri" w:hAnsiTheme="majorBidi" w:cstheme="majorBidi"/>
          <w:lang w:bidi="ar-AE"/>
        </w:rPr>
        <w:t>, [mais sans aller jusqu’à trahir le sens, comme on le fait quand] on substitue l’expression d’un châtiment à celle du pardon, ou cell</w:t>
      </w:r>
      <w:r w:rsidR="00B215B0">
        <w:rPr>
          <w:rFonts w:asciiTheme="majorBidi" w:eastAsia="Calibri" w:hAnsiTheme="majorBidi" w:cstheme="majorBidi"/>
          <w:lang w:bidi="ar-AE"/>
        </w:rPr>
        <w:t>e-ci à celle-là </w:t>
      </w:r>
      <w:r w:rsidRPr="00CB7AF4">
        <w:rPr>
          <w:rFonts w:asciiTheme="majorBidi" w:eastAsia="Calibri" w:hAnsiTheme="majorBidi" w:cstheme="majorBidi"/>
          <w:lang w:bidi="ar-AE"/>
        </w:rPr>
        <w:t>»</w:t>
      </w:r>
      <w:r w:rsidRPr="00CB7AF4">
        <w:rPr>
          <w:rFonts w:asciiTheme="majorBidi" w:eastAsia="Times New Roman" w:hAnsiTheme="majorBidi" w:cstheme="majorBidi"/>
          <w:vertAlign w:val="superscript"/>
          <w:lang w:bidi="ar-AE"/>
        </w:rPr>
        <w:footnoteReference w:id="36"/>
      </w:r>
      <w:r w:rsidR="00B215B0">
        <w:rPr>
          <w:rFonts w:asciiTheme="majorBidi" w:eastAsia="Calibri" w:hAnsiTheme="majorBidi" w:cstheme="majorBidi"/>
          <w:lang w:bidi="ar-AE"/>
        </w:rPr>
        <w:t>.</w:t>
      </w:r>
    </w:p>
    <w:p w14:paraId="64B17313"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06989D43"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Ainsi, </w:t>
      </w:r>
      <w:r w:rsidR="00B95E42" w:rsidRPr="00CB7AF4">
        <w:rPr>
          <w:rFonts w:asciiTheme="majorBidi" w:eastAsia="Calibri" w:hAnsiTheme="majorBidi" w:cstheme="majorBidi"/>
          <w:lang w:bidi="ar-AE"/>
        </w:rPr>
        <w:t>Ubayy</w:t>
      </w:r>
      <w:r w:rsidRPr="00CB7AF4">
        <w:rPr>
          <w:rFonts w:asciiTheme="majorBidi" w:eastAsia="Calibri" w:hAnsiTheme="majorBidi" w:cstheme="majorBidi"/>
          <w:lang w:bidi="ar-AE"/>
        </w:rPr>
        <w:t xml:space="preserve">, un des plus importants scribes du Prophète, va bien au-delà de la simple synonymie en établissant la légitimité de l’infinie liberté des variantes, à la seule condition, toutefois, que celle-ci ne débouche pas sur des contresens. L’on a même fait dire au deuxième </w:t>
      </w:r>
      <w:r w:rsidR="00B215B0">
        <w:rPr>
          <w:rFonts w:asciiTheme="majorBidi" w:eastAsia="Calibri" w:hAnsiTheme="majorBidi" w:cstheme="majorBidi"/>
          <w:lang w:bidi="ar-AE"/>
        </w:rPr>
        <w:t>c</w:t>
      </w:r>
      <w:r w:rsidRPr="00CB7AF4">
        <w:rPr>
          <w:rFonts w:asciiTheme="majorBidi" w:eastAsia="Calibri" w:hAnsiTheme="majorBidi" w:cstheme="majorBidi"/>
          <w:lang w:bidi="ar-AE"/>
        </w:rPr>
        <w:t>ali</w:t>
      </w:r>
      <w:r w:rsidR="00B215B0">
        <w:rPr>
          <w:rFonts w:asciiTheme="majorBidi" w:eastAsia="Calibri" w:hAnsiTheme="majorBidi" w:cstheme="majorBidi"/>
          <w:lang w:bidi="ar-AE"/>
        </w:rPr>
        <w:t>fe, ʿUmar, à qui l’on attribue</w:t>
      </w:r>
      <w:r w:rsidRPr="00CB7AF4">
        <w:rPr>
          <w:rFonts w:asciiTheme="majorBidi" w:eastAsia="Calibri" w:hAnsiTheme="majorBidi" w:cstheme="majorBidi"/>
          <w:lang w:bidi="ar-AE"/>
        </w:rPr>
        <w:t xml:space="preserve"> la première collecte des textes compo</w:t>
      </w:r>
      <w:r w:rsidR="00B215B0">
        <w:rPr>
          <w:rFonts w:asciiTheme="majorBidi" w:eastAsia="Calibri" w:hAnsiTheme="majorBidi" w:cstheme="majorBidi"/>
          <w:lang w:bidi="ar-AE"/>
        </w:rPr>
        <w:t>sant le Coran</w:t>
      </w:r>
      <w:r w:rsidRPr="00CB7AF4">
        <w:rPr>
          <w:rFonts w:asciiTheme="majorBidi" w:eastAsia="Calibri" w:hAnsiTheme="majorBidi" w:cstheme="majorBidi"/>
          <w:lang w:bidi="ar-AE"/>
        </w:rPr>
        <w:t xml:space="preserve"> : « Tout ce que l’on dit dans le Coran est juste (</w:t>
      </w:r>
      <w:r w:rsidRPr="00CB7AF4">
        <w:rPr>
          <w:rFonts w:asciiTheme="majorBidi" w:eastAsia="Calibri" w:hAnsiTheme="majorBidi" w:cstheme="majorBidi"/>
          <w:i/>
          <w:iCs/>
          <w:lang w:bidi="ar-AE"/>
        </w:rPr>
        <w:t>ṣawāb</w:t>
      </w:r>
      <w:r w:rsidRPr="00CB7AF4">
        <w:rPr>
          <w:rFonts w:asciiTheme="majorBidi" w:eastAsia="Calibri" w:hAnsiTheme="majorBidi" w:cstheme="majorBidi"/>
          <w:lang w:bidi="ar-AE"/>
        </w:rPr>
        <w:t xml:space="preserve">) tant que l’on ne substitue pas </w:t>
      </w:r>
      <w:r w:rsidRPr="00CB7AF4">
        <w:rPr>
          <w:rFonts w:asciiTheme="majorBidi" w:eastAsia="Calibri" w:hAnsiTheme="majorBidi" w:cstheme="majorBidi"/>
          <w:i/>
          <w:iCs/>
          <w:lang w:bidi="ar-AE"/>
        </w:rPr>
        <w:t>châtiment</w:t>
      </w:r>
      <w:r w:rsidRPr="00CB7AF4">
        <w:rPr>
          <w:rFonts w:asciiTheme="majorBidi" w:eastAsia="Calibri" w:hAnsiTheme="majorBidi" w:cstheme="majorBidi"/>
          <w:lang w:bidi="ar-AE"/>
        </w:rPr>
        <w:t xml:space="preserve"> à </w:t>
      </w:r>
      <w:r w:rsidRPr="00CB7AF4">
        <w:rPr>
          <w:rFonts w:asciiTheme="majorBidi" w:eastAsia="Calibri" w:hAnsiTheme="majorBidi" w:cstheme="majorBidi"/>
          <w:i/>
          <w:iCs/>
          <w:lang w:bidi="ar-AE"/>
        </w:rPr>
        <w:t>pardon</w:t>
      </w:r>
      <w:r w:rsidRPr="00CB7AF4">
        <w:rPr>
          <w:rFonts w:asciiTheme="majorBidi" w:eastAsia="Calibri" w:hAnsiTheme="majorBidi" w:cstheme="majorBidi"/>
          <w:lang w:bidi="ar-AE"/>
        </w:rPr>
        <w:t xml:space="preserve"> [c’est-à-dire tant que l’on ne commette pas de contresens].</w:t>
      </w:r>
      <w:r w:rsidR="00B747AF">
        <w:rPr>
          <w:rFonts w:asciiTheme="majorBidi" w:eastAsia="Calibri" w:hAnsiTheme="majorBidi" w:cstheme="majorBidi"/>
          <w:lang w:bidi="ar-AE"/>
        </w:rPr>
        <w:t> »</w:t>
      </w:r>
      <w:r w:rsidRPr="00CB7AF4">
        <w:rPr>
          <w:rFonts w:asciiTheme="majorBidi" w:eastAsia="Times New Roman" w:hAnsiTheme="majorBidi" w:cstheme="majorBidi"/>
          <w:vertAlign w:val="superscript"/>
          <w:lang w:bidi="ar-AE"/>
        </w:rPr>
        <w:footnoteReference w:id="37"/>
      </w:r>
      <w:r w:rsidRPr="00CB7AF4">
        <w:rPr>
          <w:rFonts w:asciiTheme="majorBidi" w:eastAsia="Calibri" w:hAnsiTheme="majorBidi" w:cstheme="majorBidi"/>
          <w:lang w:bidi="ar-AE"/>
        </w:rPr>
        <w:t xml:space="preserve"> Cela affirme le caractère polysémique infini du texte.</w:t>
      </w:r>
    </w:p>
    <w:p w14:paraId="27D5C266"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4E8F793A" w14:textId="77777777" w:rsidR="00561BDC" w:rsidRPr="00CB7AF4" w:rsidRDefault="00561BDC" w:rsidP="002D7183">
      <w:pPr>
        <w:spacing w:line="360" w:lineRule="auto"/>
        <w:ind w:firstLine="708"/>
        <w:jc w:val="both"/>
        <w:rPr>
          <w:rFonts w:asciiTheme="majorBidi" w:eastAsia="Times New Roman" w:hAnsiTheme="majorBidi" w:cstheme="majorBidi"/>
        </w:rPr>
      </w:pPr>
      <w:r w:rsidRPr="00CB7AF4">
        <w:rPr>
          <w:rFonts w:asciiTheme="majorBidi" w:eastAsia="Calibri" w:hAnsiTheme="majorBidi" w:cstheme="majorBidi"/>
          <w:lang w:bidi="ar-AE"/>
        </w:rPr>
        <w:t>Il semble que les premiers musulmans ont donné peu d’importance aux détails du texte</w:t>
      </w:r>
      <w:r w:rsidRPr="00CB7AF4">
        <w:rPr>
          <w:rFonts w:asciiTheme="majorBidi" w:eastAsia="Times New Roman" w:hAnsiTheme="majorBidi" w:cstheme="majorBidi"/>
        </w:rPr>
        <w:t>. Pour eux, ce qui était le plus important est l’intention de l’auteur (fictif), qui est globale, selon Antoine Compagnon</w:t>
      </w:r>
      <w:r w:rsidR="00381280">
        <w:rPr>
          <w:rStyle w:val="Appelnotedebasdep"/>
          <w:rFonts w:eastAsia="Times New Roman"/>
        </w:rPr>
        <w:footnoteReference w:id="38"/>
      </w:r>
      <w:r w:rsidRPr="00CB7AF4">
        <w:rPr>
          <w:rFonts w:asciiTheme="majorBidi" w:eastAsia="Times New Roman" w:hAnsiTheme="majorBidi" w:cstheme="majorBidi"/>
        </w:rPr>
        <w:t xml:space="preserve"> et n’implique pas une conscience de tous les détails de l’écriture. Mais dire autrement c’est dire autre chose selon la théorie littéraire, ce qui aboutit à un changement perpétuel de signification, à avoir « autant de sens que de lecteurs » selon les termes de Stanley Fish</w:t>
      </w:r>
      <w:r w:rsidR="002D7183">
        <w:rPr>
          <w:rFonts w:asciiTheme="majorBidi" w:eastAsia="Times New Roman" w:hAnsiTheme="majorBidi" w:cstheme="majorBidi"/>
        </w:rPr>
        <w:t xml:space="preserve"> </w:t>
      </w:r>
      <w:r w:rsidR="002D7183" w:rsidRPr="00CB7AF4">
        <w:rPr>
          <w:rFonts w:asciiTheme="majorBidi" w:eastAsia="Times New Roman" w:hAnsiTheme="majorBidi" w:cstheme="majorBidi"/>
        </w:rPr>
        <w:t>(1980)</w:t>
      </w:r>
      <w:r w:rsidR="00E924A1">
        <w:rPr>
          <w:rFonts w:asciiTheme="majorBidi" w:eastAsia="Times New Roman" w:hAnsiTheme="majorBidi" w:cstheme="majorBidi"/>
        </w:rPr>
        <w:t xml:space="preserve"> cité par Compagnon</w:t>
      </w:r>
      <w:r w:rsidR="002D7183">
        <w:rPr>
          <w:rFonts w:asciiTheme="majorBidi" w:eastAsia="Times New Roman" w:hAnsiTheme="majorBidi" w:cstheme="majorBidi"/>
        </w:rPr>
        <w:t>.</w:t>
      </w:r>
      <w:r w:rsidR="005A3FB9">
        <w:rPr>
          <w:rStyle w:val="Appelnotedebasdep"/>
          <w:rFonts w:eastAsia="Times New Roman"/>
        </w:rPr>
        <w:footnoteReference w:id="39"/>
      </w:r>
    </w:p>
    <w:p w14:paraId="712A8C6B" w14:textId="77777777" w:rsidR="00561BDC" w:rsidRPr="00CB7AF4" w:rsidRDefault="00561BDC" w:rsidP="00CB7AF4">
      <w:pPr>
        <w:spacing w:line="360" w:lineRule="auto"/>
        <w:jc w:val="both"/>
        <w:rPr>
          <w:rFonts w:asciiTheme="majorBidi" w:eastAsia="Times New Roman" w:hAnsiTheme="majorBidi" w:cstheme="majorBidi"/>
          <w:rtl/>
        </w:rPr>
      </w:pPr>
    </w:p>
    <w:p w14:paraId="0859E9B9" w14:textId="77777777" w:rsidR="00561BDC" w:rsidRPr="00CB7AF4" w:rsidRDefault="00561BDC" w:rsidP="00964AA7">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Si le Coran n’a pas de sens fixe, comme d’ailleurs tout texte, cela signifie que les exégèses orthodoxes et hétérodoxes ne sont donc que des possibilités parmi d’autres, possibilités qui ne sont pas plus véridiques que les autres, et par la suite que le Coran ne détient pas </w:t>
      </w:r>
      <w:r w:rsidRPr="00CB7AF4">
        <w:rPr>
          <w:rFonts w:asciiTheme="majorBidi" w:eastAsia="Times New Roman" w:hAnsiTheme="majorBidi" w:cstheme="majorBidi"/>
          <w:i/>
          <w:iCs/>
        </w:rPr>
        <w:t>la</w:t>
      </w:r>
      <w:r w:rsidRPr="00CB7AF4">
        <w:rPr>
          <w:rFonts w:asciiTheme="majorBidi" w:eastAsia="Times New Roman" w:hAnsiTheme="majorBidi" w:cstheme="majorBidi"/>
        </w:rPr>
        <w:t xml:space="preserve"> Vérité absolue et fixe (c’est plutôt le lecteur qui détient </w:t>
      </w:r>
      <w:r w:rsidRPr="00CB7AF4">
        <w:rPr>
          <w:rFonts w:asciiTheme="majorBidi" w:eastAsia="Times New Roman" w:hAnsiTheme="majorBidi" w:cstheme="majorBidi"/>
          <w:i/>
          <w:iCs/>
        </w:rPr>
        <w:t>une</w:t>
      </w:r>
      <w:r w:rsidRPr="00CB7AF4">
        <w:rPr>
          <w:rFonts w:asciiTheme="majorBidi" w:eastAsia="Times New Roman" w:hAnsiTheme="majorBidi" w:cstheme="majorBidi"/>
        </w:rPr>
        <w:t xml:space="preserve"> vérité subjective et individuelle) et qu’il ne </w:t>
      </w:r>
      <w:r w:rsidRPr="00CB7AF4">
        <w:rPr>
          <w:rFonts w:asciiTheme="majorBidi" w:eastAsia="Times New Roman" w:hAnsiTheme="majorBidi" w:cstheme="majorBidi"/>
        </w:rPr>
        <w:lastRenderedPageBreak/>
        <w:t>peut pas être une source du droit et de la législation islamique. Cependant, il est à souligner que des théologiens contemporains, comme Yūsuf Al-Qarḍāwī (né en 1926), ont renié le caractère polysémique du Coran pour ne pas mettre en cause son caractère référentiel</w:t>
      </w:r>
      <w:r w:rsidRPr="00CB7AF4">
        <w:rPr>
          <w:rFonts w:asciiTheme="majorBidi" w:eastAsia="Times New Roman" w:hAnsiTheme="majorBidi" w:cstheme="majorBidi"/>
          <w:vertAlign w:val="superscript"/>
          <w:lang w:bidi="ar-AE"/>
        </w:rPr>
        <w:footnoteReference w:id="40"/>
      </w:r>
      <w:r w:rsidRPr="00CB7AF4">
        <w:rPr>
          <w:rFonts w:asciiTheme="majorBidi" w:eastAsia="Times New Roman" w:hAnsiTheme="majorBidi" w:cstheme="majorBidi"/>
        </w:rPr>
        <w:t xml:space="preserve">. </w:t>
      </w:r>
      <w:r w:rsidR="003C41ED">
        <w:rPr>
          <w:rFonts w:asciiTheme="majorBidi" w:eastAsia="Times New Roman" w:hAnsiTheme="majorBidi" w:cstheme="majorBidi"/>
        </w:rPr>
        <w:t>Le théologien é</w:t>
      </w:r>
      <w:r w:rsidR="003C41ED" w:rsidRPr="00CB7AF4">
        <w:rPr>
          <w:rFonts w:asciiTheme="majorBidi" w:eastAsia="Times New Roman" w:hAnsiTheme="majorBidi" w:cstheme="majorBidi"/>
        </w:rPr>
        <w:t xml:space="preserve">gyptien </w:t>
      </w:r>
      <w:r w:rsidRPr="00CB7AF4">
        <w:rPr>
          <w:rFonts w:asciiTheme="majorBidi" w:eastAsia="Times New Roman" w:hAnsiTheme="majorBidi" w:cstheme="majorBidi"/>
        </w:rPr>
        <w:t xml:space="preserve">Aḥmad </w:t>
      </w:r>
      <w:r w:rsidR="00164691" w:rsidRPr="00CB7AF4">
        <w:rPr>
          <w:rFonts w:asciiTheme="majorBidi" w:eastAsia="Times New Roman" w:hAnsiTheme="majorBidi" w:cstheme="majorBidi"/>
        </w:rPr>
        <w:t>Ṣubḥī</w:t>
      </w:r>
      <w:r w:rsidRPr="00CB7AF4">
        <w:rPr>
          <w:rFonts w:asciiTheme="majorBidi" w:eastAsia="Times New Roman" w:hAnsiTheme="majorBidi" w:cstheme="majorBidi"/>
        </w:rPr>
        <w:t xml:space="preserve"> Manṣūr (né en 1949) renie catégoriquement le caractère polysémique du Coran et défend acharnement son caractère monosémique : selon lui, le Coran est un livre dont les versets sont clairs, précis et monosémiques (</w:t>
      </w:r>
      <w:r w:rsidRPr="00CB7AF4">
        <w:rPr>
          <w:rFonts w:asciiTheme="majorBidi" w:eastAsia="Times New Roman" w:hAnsiTheme="majorBidi" w:cstheme="majorBidi"/>
          <w:i/>
          <w:iCs/>
        </w:rPr>
        <w:t>muḥkama</w:t>
      </w:r>
      <w:r w:rsidRPr="00CB7AF4">
        <w:rPr>
          <w:rFonts w:asciiTheme="majorBidi" w:eastAsia="Times New Roman" w:hAnsiTheme="majorBidi" w:cstheme="majorBidi"/>
        </w:rPr>
        <w:t>)</w:t>
      </w:r>
      <w:r w:rsidRPr="00CB7AF4">
        <w:rPr>
          <w:rFonts w:asciiTheme="majorBidi" w:eastAsia="Times New Roman" w:hAnsiTheme="majorBidi" w:cstheme="majorBidi"/>
          <w:vertAlign w:val="superscript"/>
          <w:lang w:bidi="ar-AE"/>
        </w:rPr>
        <w:footnoteReference w:id="41"/>
      </w:r>
      <w:r w:rsidRPr="00CB7AF4">
        <w:rPr>
          <w:rFonts w:asciiTheme="majorBidi" w:eastAsia="Times New Roman" w:hAnsiTheme="majorBidi" w:cstheme="majorBidi"/>
        </w:rPr>
        <w:t>. On comprend cette défense acharnée de la monosé</w:t>
      </w:r>
      <w:r w:rsidR="00B215B0">
        <w:rPr>
          <w:rFonts w:asciiTheme="majorBidi" w:eastAsia="Times New Roman" w:hAnsiTheme="majorBidi" w:cstheme="majorBidi"/>
        </w:rPr>
        <w:t>mie du Coran par</w:t>
      </w:r>
      <w:r w:rsidR="00964AA7">
        <w:rPr>
          <w:rFonts w:asciiTheme="majorBidi" w:eastAsia="Times New Roman" w:hAnsiTheme="majorBidi" w:cstheme="majorBidi"/>
        </w:rPr>
        <w:t xml:space="preserve"> </w:t>
      </w:r>
      <w:r w:rsidRPr="00CB7AF4">
        <w:rPr>
          <w:rFonts w:asciiTheme="majorBidi" w:eastAsia="Times New Roman" w:hAnsiTheme="majorBidi" w:cstheme="majorBidi"/>
        </w:rPr>
        <w:t>Manṣūr lorsqu’on sait qu’en refusant la sunna il n’accepte que le Coran comme source unique du droit musulman. Par contre, n’oublions pas que d’autres théologiens musulmans sunnites, comme l’Égypt</w:t>
      </w:r>
      <w:r w:rsidR="00B95E42">
        <w:rPr>
          <w:rFonts w:asciiTheme="majorBidi" w:eastAsia="Times New Roman" w:hAnsiTheme="majorBidi" w:cstheme="majorBidi"/>
        </w:rPr>
        <w:t>ien Muḥammad Al-Ghazālī</w:t>
      </w:r>
      <w:r w:rsidR="006846D0">
        <w:rPr>
          <w:rFonts w:asciiTheme="majorBidi" w:eastAsia="Times New Roman" w:hAnsiTheme="majorBidi" w:cstheme="majorBidi"/>
        </w:rPr>
        <w:t xml:space="preserve"> </w:t>
      </w:r>
      <w:r w:rsidRPr="00CB7AF4">
        <w:rPr>
          <w:rFonts w:asciiTheme="majorBidi" w:eastAsia="Times New Roman" w:hAnsiTheme="majorBidi" w:cstheme="majorBidi"/>
        </w:rPr>
        <w:t>(1917-1996), reconnaissent le caractère polysémique du Coran et le considèrent comme une richesse et une flexibilité du texte coranique pour qu’il puisse s’a</w:t>
      </w:r>
      <w:r w:rsidR="00B215B0">
        <w:rPr>
          <w:rFonts w:asciiTheme="majorBidi" w:eastAsia="Times New Roman" w:hAnsiTheme="majorBidi" w:cstheme="majorBidi"/>
        </w:rPr>
        <w:t xml:space="preserve">dapter à tout temps. Al-Ghazālī </w:t>
      </w:r>
      <w:r w:rsidRPr="00CB7AF4">
        <w:rPr>
          <w:rFonts w:asciiTheme="majorBidi" w:eastAsia="Times New Roman" w:hAnsiTheme="majorBidi" w:cstheme="majorBidi"/>
        </w:rPr>
        <w:t>considère la polysémie du Coran comme une partie de son inimitabilité.</w:t>
      </w:r>
      <w:r w:rsidRPr="00CB7AF4">
        <w:rPr>
          <w:rFonts w:asciiTheme="majorBidi" w:eastAsia="Times New Roman" w:hAnsiTheme="majorBidi" w:cstheme="majorBidi"/>
          <w:vertAlign w:val="superscript"/>
          <w:lang w:bidi="ar-AE"/>
        </w:rPr>
        <w:footnoteReference w:id="42"/>
      </w:r>
    </w:p>
    <w:p w14:paraId="7C6813A1" w14:textId="77777777" w:rsidR="00561BDC" w:rsidRPr="00CB7AF4" w:rsidRDefault="00561BDC" w:rsidP="00CB7AF4">
      <w:pPr>
        <w:spacing w:line="360" w:lineRule="auto"/>
        <w:ind w:firstLine="708"/>
        <w:jc w:val="both"/>
        <w:rPr>
          <w:rFonts w:asciiTheme="majorBidi" w:eastAsia="Times New Roman" w:hAnsiTheme="majorBidi" w:cstheme="majorBidi"/>
          <w:color w:val="FF0000"/>
        </w:rPr>
      </w:pPr>
    </w:p>
    <w:p w14:paraId="3FC5F4E2" w14:textId="77777777" w:rsidR="00561BDC" w:rsidRPr="00CB7AF4" w:rsidRDefault="00561BDC" w:rsidP="00CB7AF4">
      <w:pPr>
        <w:spacing w:line="360" w:lineRule="auto"/>
        <w:ind w:firstLine="708"/>
        <w:jc w:val="both"/>
        <w:rPr>
          <w:rFonts w:asciiTheme="majorBidi" w:eastAsia="Times New Roman" w:hAnsiTheme="majorBidi" w:cstheme="majorBidi"/>
          <w:color w:val="FF0000"/>
        </w:rPr>
      </w:pPr>
      <w:r w:rsidRPr="00CB7AF4">
        <w:rPr>
          <w:rFonts w:asciiTheme="majorBidi" w:eastAsia="Times New Roman" w:hAnsiTheme="majorBidi" w:cstheme="majorBidi"/>
        </w:rPr>
        <w:t xml:space="preserve">Afin d’illustrer nos propos, nous avons opté pour le choix de l’analyse du texte de départ (arabe) et de quelques textes d’arrivée (traductions françaises) de la sourate </w:t>
      </w:r>
      <w:r w:rsidR="00B215B0">
        <w:rPr>
          <w:rFonts w:asciiTheme="majorBidi" w:eastAsia="Times New Roman" w:hAnsiTheme="majorBidi" w:cstheme="majorBidi"/>
          <w:i/>
          <w:iCs/>
        </w:rPr>
        <w:t>Al-</w:t>
      </w:r>
      <w:r w:rsidRPr="00CB7AF4">
        <w:rPr>
          <w:rFonts w:asciiTheme="majorBidi" w:eastAsia="Times New Roman" w:hAnsiTheme="majorBidi" w:cstheme="majorBidi"/>
          <w:i/>
          <w:iCs/>
        </w:rPr>
        <w:t>Ḥajj</w:t>
      </w:r>
      <w:r w:rsidRPr="00CB7AF4">
        <w:rPr>
          <w:rFonts w:asciiTheme="majorBidi" w:eastAsia="Times New Roman" w:hAnsiTheme="majorBidi" w:cstheme="majorBidi"/>
        </w:rPr>
        <w:t xml:space="preserve"> [le pèlerinage].</w:t>
      </w:r>
    </w:p>
    <w:p w14:paraId="2850636F" w14:textId="77777777" w:rsidR="00561BDC" w:rsidRPr="006C7199" w:rsidRDefault="00561BDC" w:rsidP="00CB7AF4">
      <w:pPr>
        <w:spacing w:line="360" w:lineRule="auto"/>
        <w:ind w:firstLine="708"/>
        <w:jc w:val="both"/>
        <w:rPr>
          <w:rFonts w:asciiTheme="majorBidi" w:eastAsia="Times New Roman" w:hAnsiTheme="majorBidi" w:cstheme="majorBidi"/>
        </w:rPr>
      </w:pPr>
    </w:p>
    <w:p w14:paraId="2F03714B" w14:textId="77777777" w:rsidR="00561BDC" w:rsidRPr="00CB7AF4" w:rsidRDefault="00561BDC" w:rsidP="00CB7AF4">
      <w:pPr>
        <w:spacing w:line="360" w:lineRule="auto"/>
        <w:ind w:firstLine="708"/>
        <w:jc w:val="both"/>
        <w:rPr>
          <w:rFonts w:asciiTheme="majorBidi" w:eastAsia="Times New Roman" w:hAnsiTheme="majorBidi" w:cstheme="majorBidi"/>
        </w:rPr>
      </w:pPr>
      <w:r w:rsidRPr="006C7199">
        <w:rPr>
          <w:rFonts w:asciiTheme="majorBidi" w:eastAsia="Times New Roman" w:hAnsiTheme="majorBidi" w:cstheme="majorBidi"/>
        </w:rPr>
        <w:t>Choisir un corpus religieux afin</w:t>
      </w:r>
      <w:r w:rsidRPr="00CB7AF4">
        <w:rPr>
          <w:rFonts w:asciiTheme="majorBidi" w:eastAsia="Times New Roman" w:hAnsiTheme="majorBidi" w:cstheme="majorBidi"/>
        </w:rPr>
        <w:t xml:space="preserve"> d’illustrer notre hypothèse est dû au fait qu’un texte religieux constitue un exemple représentatif de la question de la polysémie </w:t>
      </w:r>
      <w:r w:rsidR="00FD2851" w:rsidRPr="00CB7AF4">
        <w:rPr>
          <w:rFonts w:asciiTheme="majorBidi" w:eastAsia="Times New Roman" w:hAnsiTheme="majorBidi" w:cstheme="majorBidi"/>
        </w:rPr>
        <w:t>puisqu’il</w:t>
      </w:r>
      <w:r w:rsidRPr="00CB7AF4">
        <w:rPr>
          <w:rFonts w:asciiTheme="majorBidi" w:eastAsia="Times New Roman" w:hAnsiTheme="majorBidi" w:cstheme="majorBidi"/>
        </w:rPr>
        <w:t xml:space="preserve"> est </w:t>
      </w:r>
      <w:r w:rsidRPr="00CB7AF4">
        <w:rPr>
          <w:rFonts w:asciiTheme="majorBidi" w:eastAsia="Times New Roman" w:hAnsiTheme="majorBidi" w:cstheme="majorBidi"/>
        </w:rPr>
        <w:lastRenderedPageBreak/>
        <w:t>continûment lu et qu’il fait inlassablement l’objet d’une retraduction. Un texte religieux constitue une source très riche pour l’étude de la traduction, comme le souligne à bon droit Mathieu Guidère : « D’une manière générale, il convient de souligner que l’histoire des religions […] constitue une source précieuse pour l’étude de la traduction ».</w:t>
      </w:r>
      <w:r w:rsidRPr="00CB7AF4">
        <w:rPr>
          <w:rFonts w:asciiTheme="majorBidi" w:eastAsia="Times New Roman" w:hAnsiTheme="majorBidi" w:cstheme="majorBidi"/>
          <w:vertAlign w:val="superscript"/>
          <w:lang w:bidi="ar-AE"/>
        </w:rPr>
        <w:footnoteReference w:id="43"/>
      </w:r>
    </w:p>
    <w:p w14:paraId="321E072A" w14:textId="77777777" w:rsidR="00561BDC" w:rsidRPr="008E09C2" w:rsidRDefault="00561BDC" w:rsidP="00CB7AF4">
      <w:pPr>
        <w:spacing w:line="360" w:lineRule="auto"/>
        <w:jc w:val="both"/>
        <w:rPr>
          <w:rFonts w:asciiTheme="majorBidi" w:eastAsia="Times New Roman" w:hAnsiTheme="majorBidi" w:cstheme="majorBidi"/>
          <w:lang w:bidi="ar-EG"/>
        </w:rPr>
      </w:pPr>
    </w:p>
    <w:p w14:paraId="4505A395" w14:textId="77777777" w:rsidR="00561BDC" w:rsidRPr="008E09C2" w:rsidRDefault="00561BDC" w:rsidP="00EC2081">
      <w:pPr>
        <w:spacing w:line="360" w:lineRule="auto"/>
        <w:ind w:firstLine="708"/>
        <w:jc w:val="both"/>
        <w:rPr>
          <w:rFonts w:asciiTheme="majorBidi" w:eastAsia="Times New Roman" w:hAnsiTheme="majorBidi" w:cstheme="majorBidi"/>
          <w:lang w:bidi="ar-KW"/>
        </w:rPr>
      </w:pPr>
      <w:r w:rsidRPr="008E09C2">
        <w:rPr>
          <w:rFonts w:asciiTheme="majorBidi" w:eastAsia="Times New Roman" w:hAnsiTheme="majorBidi" w:cstheme="majorBidi"/>
          <w:lang w:bidi="ar-KW"/>
        </w:rPr>
        <w:t>Selon l’un des sens des versets VI, 38 (« </w:t>
      </w:r>
      <w:r w:rsidR="00CF3CBE">
        <w:rPr>
          <w:rFonts w:asciiTheme="majorBidi" w:eastAsia="Times New Roman" w:hAnsiTheme="majorBidi" w:cstheme="majorBidi" w:hint="cs"/>
          <w:rtl/>
          <w:lang w:bidi="ar-KW"/>
        </w:rPr>
        <w:t>ما فرَّطنا في الكتاب من شيء</w:t>
      </w:r>
      <w:r w:rsidRPr="008E09C2">
        <w:rPr>
          <w:rFonts w:asciiTheme="majorBidi" w:eastAsia="Times New Roman" w:hAnsiTheme="majorBidi" w:cstheme="majorBidi"/>
          <w:lang w:bidi="ar-KW"/>
        </w:rPr>
        <w:t> » [« Nous n’avons absolument pas omis la moindre chose »]) et XVI, 89 («</w:t>
      </w:r>
      <w:r w:rsidR="008A049C" w:rsidRPr="008E09C2">
        <w:rPr>
          <w:rFonts w:asciiTheme="majorBidi" w:eastAsia="Times New Roman" w:hAnsiTheme="majorBidi" w:cstheme="majorBidi"/>
          <w:lang w:bidi="ar-KW"/>
        </w:rPr>
        <w:t xml:space="preserve"> </w:t>
      </w:r>
      <w:r w:rsidR="003A2282">
        <w:rPr>
          <w:rFonts w:asciiTheme="majorBidi" w:eastAsia="Times New Roman" w:hAnsiTheme="majorBidi" w:cstheme="majorBidi" w:hint="cs"/>
          <w:rtl/>
          <w:lang w:bidi="ar-KW"/>
        </w:rPr>
        <w:t>ونزَّلنا عليكَ الكتابَ تِبياناً لكل شيء</w:t>
      </w:r>
      <w:r w:rsidRPr="008E09C2">
        <w:rPr>
          <w:rFonts w:asciiTheme="majorBidi" w:eastAsia="Times New Roman" w:hAnsiTheme="majorBidi" w:cstheme="majorBidi"/>
          <w:lang w:bidi="ar-KW"/>
        </w:rPr>
        <w:t xml:space="preserve"> » [« Nous avons sur toi fait descendre l’Écrit en explication de toute chose »]), toutes les significations se </w:t>
      </w:r>
      <w:r w:rsidRPr="000327F3">
        <w:rPr>
          <w:rFonts w:asciiTheme="majorBidi" w:eastAsia="Times New Roman" w:hAnsiTheme="majorBidi" w:cstheme="majorBidi"/>
          <w:lang w:bidi="ar-KW"/>
        </w:rPr>
        <w:t xml:space="preserve">trouvent dans le Coran. Ainsi, le grand exégète az-Zarkashī, dans son </w:t>
      </w:r>
      <w:r w:rsidRPr="000327F3">
        <w:rPr>
          <w:rFonts w:asciiTheme="majorBidi" w:eastAsia="Times New Roman" w:hAnsiTheme="majorBidi" w:cstheme="majorBidi"/>
          <w:i/>
          <w:iCs/>
          <w:lang w:bidi="ar-KW"/>
        </w:rPr>
        <w:t>Al-Burhān</w:t>
      </w:r>
      <w:r w:rsidRPr="000327F3">
        <w:rPr>
          <w:rFonts w:asciiTheme="majorBidi" w:eastAsia="Times New Roman" w:hAnsiTheme="majorBidi" w:cstheme="majorBidi"/>
          <w:lang w:bidi="ar-KW"/>
        </w:rPr>
        <w:t>, souligne : «</w:t>
      </w:r>
      <w:r w:rsidR="008A049C" w:rsidRPr="000327F3">
        <w:rPr>
          <w:rFonts w:asciiTheme="majorBidi" w:eastAsia="Times New Roman" w:hAnsiTheme="majorBidi" w:cstheme="majorBidi"/>
          <w:lang w:bidi="ar-KW"/>
        </w:rPr>
        <w:t xml:space="preserve"> </w:t>
      </w:r>
      <w:r w:rsidR="00EC2081" w:rsidRPr="000327F3">
        <w:rPr>
          <w:rFonts w:asciiTheme="majorBidi" w:eastAsia="Times New Roman" w:hAnsiTheme="majorBidi" w:cstheme="majorBidi"/>
          <w:i/>
          <w:rtl/>
          <w:lang w:bidi="ar-KW"/>
        </w:rPr>
        <w:t>وما من شيء إلا ويمكن استخراجه منه</w:t>
      </w:r>
      <w:r w:rsidR="00B215B0" w:rsidRPr="000327F3">
        <w:rPr>
          <w:rFonts w:asciiTheme="majorBidi" w:eastAsia="Times New Roman" w:hAnsiTheme="majorBidi" w:cstheme="majorBidi"/>
          <w:lang w:bidi="ar-KW"/>
        </w:rPr>
        <w:t> » [« Il n’est</w:t>
      </w:r>
      <w:r w:rsidRPr="000327F3">
        <w:rPr>
          <w:rFonts w:asciiTheme="majorBidi" w:eastAsia="Times New Roman" w:hAnsiTheme="majorBidi" w:cstheme="majorBidi"/>
          <w:lang w:bidi="ar-KW"/>
        </w:rPr>
        <w:t xml:space="preserve"> rien </w:t>
      </w:r>
      <w:r w:rsidR="00B215B0" w:rsidRPr="000327F3">
        <w:rPr>
          <w:rFonts w:asciiTheme="majorBidi" w:eastAsia="Times New Roman" w:hAnsiTheme="majorBidi" w:cstheme="majorBidi"/>
          <w:lang w:bidi="ar-KW"/>
        </w:rPr>
        <w:t xml:space="preserve">qui ne puisse </w:t>
      </w:r>
      <w:r w:rsidRPr="000327F3">
        <w:rPr>
          <w:rFonts w:asciiTheme="majorBidi" w:eastAsia="Times New Roman" w:hAnsiTheme="majorBidi" w:cstheme="majorBidi"/>
          <w:lang w:bidi="ar-KW"/>
        </w:rPr>
        <w:t xml:space="preserve">être tiré du Coran »]. </w:t>
      </w:r>
      <w:r w:rsidRPr="000327F3">
        <w:rPr>
          <w:rFonts w:asciiTheme="majorBidi" w:eastAsia="Times New Roman" w:hAnsiTheme="majorBidi" w:cstheme="majorBidi"/>
          <w:lang w:bidi="ar-EG"/>
        </w:rPr>
        <w:t>Le Coran est donc</w:t>
      </w:r>
      <w:r w:rsidRPr="008E09C2">
        <w:rPr>
          <w:rFonts w:asciiTheme="majorBidi" w:eastAsia="Times New Roman" w:hAnsiTheme="majorBidi" w:cstheme="majorBidi"/>
          <w:lang w:bidi="ar-EG"/>
        </w:rPr>
        <w:t xml:space="preserve"> polysémique</w:t>
      </w:r>
      <w:r w:rsidRPr="008E09C2">
        <w:rPr>
          <w:rFonts w:asciiTheme="majorBidi" w:eastAsia="Times New Roman" w:hAnsiTheme="majorBidi" w:cstheme="majorBidi"/>
        </w:rPr>
        <w:t xml:space="preserve"> par excellence</w:t>
      </w:r>
      <w:r w:rsidRPr="008E09C2">
        <w:rPr>
          <w:rFonts w:asciiTheme="majorBidi" w:eastAsia="Times New Roman" w:hAnsiTheme="majorBidi" w:cstheme="majorBidi"/>
          <w:lang w:bidi="ar-EG"/>
        </w:rPr>
        <w:t xml:space="preserve">. Mais on ne peut pas analyser tout le Coran. Il faut donc choisir une sourate représentative. Nous avons jeté notre dévolu sur la sourate </w:t>
      </w:r>
      <w:r w:rsidR="00B215B0" w:rsidRPr="008E09C2">
        <w:rPr>
          <w:rFonts w:asciiTheme="majorBidi" w:eastAsia="Times New Roman" w:hAnsiTheme="majorBidi" w:cstheme="majorBidi"/>
          <w:bCs/>
          <w:i/>
          <w:iCs/>
        </w:rPr>
        <w:t>Al-Ḥajj</w:t>
      </w:r>
      <w:r w:rsidR="00B215B0" w:rsidRPr="008E09C2">
        <w:rPr>
          <w:rFonts w:asciiTheme="majorBidi" w:eastAsia="Times New Roman" w:hAnsiTheme="majorBidi" w:cstheme="majorBidi"/>
        </w:rPr>
        <w:t xml:space="preserve"> [le pèlerinage] (sourate n° XXII).</w:t>
      </w:r>
    </w:p>
    <w:p w14:paraId="0461765B" w14:textId="77777777" w:rsidR="00561BDC" w:rsidRPr="008E09C2" w:rsidRDefault="00561BDC" w:rsidP="00CB7AF4">
      <w:pPr>
        <w:spacing w:line="360" w:lineRule="auto"/>
        <w:ind w:firstLine="708"/>
        <w:jc w:val="both"/>
        <w:rPr>
          <w:rFonts w:asciiTheme="majorBidi" w:eastAsia="Times New Roman" w:hAnsiTheme="majorBidi" w:cstheme="majorBidi"/>
          <w:lang w:bidi="ar-EG"/>
        </w:rPr>
      </w:pPr>
    </w:p>
    <w:p w14:paraId="2A0631C3" w14:textId="77777777" w:rsidR="00561BDC" w:rsidRPr="00CB7AF4" w:rsidRDefault="00B215B0" w:rsidP="00516CE4">
      <w:pPr>
        <w:spacing w:line="360" w:lineRule="auto"/>
        <w:ind w:firstLine="708"/>
        <w:jc w:val="both"/>
        <w:rPr>
          <w:rFonts w:asciiTheme="majorBidi" w:eastAsia="Times New Roman" w:hAnsiTheme="majorBidi" w:cstheme="majorBidi"/>
          <w:lang w:bidi="ar-EG"/>
        </w:rPr>
      </w:pPr>
      <w:r w:rsidRPr="008E09C2">
        <w:rPr>
          <w:rFonts w:asciiTheme="majorBidi" w:eastAsia="Times New Roman" w:hAnsiTheme="majorBidi" w:cstheme="majorBidi"/>
        </w:rPr>
        <w:t xml:space="preserve">Ce choix </w:t>
      </w:r>
      <w:r w:rsidR="00561BDC" w:rsidRPr="008E09C2">
        <w:rPr>
          <w:rFonts w:asciiTheme="majorBidi" w:eastAsia="Times New Roman" w:hAnsiTheme="majorBidi" w:cstheme="majorBidi"/>
        </w:rPr>
        <w:t xml:space="preserve">est loin d’être arbitraire. La sourate </w:t>
      </w:r>
      <w:r w:rsidR="00561BDC" w:rsidRPr="008E09C2">
        <w:rPr>
          <w:rFonts w:asciiTheme="majorBidi" w:eastAsia="Times New Roman" w:hAnsiTheme="majorBidi" w:cstheme="majorBidi"/>
          <w:i/>
          <w:iCs/>
        </w:rPr>
        <w:t>Al-Ḥajj</w:t>
      </w:r>
      <w:r w:rsidR="00561BDC" w:rsidRPr="008E09C2">
        <w:rPr>
          <w:rFonts w:asciiTheme="majorBidi" w:eastAsia="Times New Roman" w:hAnsiTheme="majorBidi" w:cstheme="majorBidi"/>
        </w:rPr>
        <w:t xml:space="preserve"> constitue pour nous un échantillon significatif.</w:t>
      </w:r>
      <w:r w:rsidR="00A7674A" w:rsidRPr="008E09C2">
        <w:rPr>
          <w:rFonts w:asciiTheme="majorBidi" w:eastAsia="Times New Roman" w:hAnsiTheme="majorBidi" w:cstheme="majorBidi"/>
          <w:lang w:bidi="ar-EG"/>
        </w:rPr>
        <w:t xml:space="preserve"> </w:t>
      </w:r>
      <w:r w:rsidR="00561BDC" w:rsidRPr="008E09C2">
        <w:rPr>
          <w:rFonts w:asciiTheme="majorBidi" w:eastAsia="Times New Roman" w:hAnsiTheme="majorBidi" w:cstheme="majorBidi"/>
        </w:rPr>
        <w:t>Formée de 78 versets</w:t>
      </w:r>
      <w:r w:rsidR="00561BDC" w:rsidRPr="008E09C2">
        <w:rPr>
          <w:rFonts w:asciiTheme="majorBidi" w:eastAsia="Times New Roman" w:hAnsiTheme="majorBidi" w:cstheme="majorBidi"/>
          <w:vertAlign w:val="superscript"/>
          <w:lang w:bidi="ar-AE"/>
        </w:rPr>
        <w:footnoteReference w:id="44"/>
      </w:r>
      <w:r w:rsidR="00561BDC" w:rsidRPr="008E09C2">
        <w:rPr>
          <w:rFonts w:asciiTheme="majorBidi" w:eastAsia="Times New Roman" w:hAnsiTheme="majorBidi" w:cstheme="majorBidi"/>
        </w:rPr>
        <w:t xml:space="preserve">, </w:t>
      </w:r>
      <w:r w:rsidR="00A7674A" w:rsidRPr="008E09C2">
        <w:rPr>
          <w:rFonts w:asciiTheme="majorBidi" w:eastAsia="Times New Roman" w:hAnsiTheme="majorBidi" w:cstheme="majorBidi"/>
        </w:rPr>
        <w:t>c’</w:t>
      </w:r>
      <w:r w:rsidR="00561BDC" w:rsidRPr="008E09C2">
        <w:rPr>
          <w:rFonts w:asciiTheme="majorBidi" w:eastAsia="Times New Roman" w:hAnsiTheme="majorBidi" w:cstheme="majorBidi"/>
        </w:rPr>
        <w:t xml:space="preserve">est une sourate de longueur moyenne </w:t>
      </w:r>
      <w:r w:rsidR="00561BDC" w:rsidRPr="008E09C2">
        <w:rPr>
          <w:rFonts w:asciiTheme="majorBidi" w:eastAsia="Calibri" w:hAnsiTheme="majorBidi" w:cstheme="majorBidi"/>
          <w:lang w:bidi="ar-AE"/>
        </w:rPr>
        <w:t xml:space="preserve">(se situant entre </w:t>
      </w:r>
      <w:r w:rsidR="00561BDC" w:rsidRPr="008E09C2">
        <w:rPr>
          <w:rFonts w:asciiTheme="majorBidi" w:eastAsia="Calibri" w:hAnsiTheme="majorBidi" w:cstheme="majorBidi"/>
          <w:i/>
          <w:iCs/>
          <w:lang w:bidi="ar-AE"/>
        </w:rPr>
        <w:t>Al-Baqara</w:t>
      </w:r>
      <w:r w:rsidR="00561BDC" w:rsidRPr="008E09C2">
        <w:rPr>
          <w:rFonts w:asciiTheme="majorBidi" w:eastAsia="Calibri" w:hAnsiTheme="majorBidi" w:cstheme="majorBidi"/>
          <w:lang w:bidi="ar-AE"/>
        </w:rPr>
        <w:t xml:space="preserve"> [la Vache] (n° II), la plus longue, 286 versets et </w:t>
      </w:r>
      <w:r w:rsidR="00561BDC" w:rsidRPr="008E09C2">
        <w:rPr>
          <w:rFonts w:asciiTheme="majorBidi" w:eastAsia="Calibri" w:hAnsiTheme="majorBidi" w:cstheme="majorBidi"/>
          <w:i/>
          <w:iCs/>
          <w:lang w:bidi="ar-AE"/>
        </w:rPr>
        <w:t>al-Kawthar</w:t>
      </w:r>
      <w:r w:rsidR="00561BDC" w:rsidRPr="008E09C2">
        <w:rPr>
          <w:rFonts w:asciiTheme="majorBidi" w:eastAsia="Calibri" w:hAnsiTheme="majorBidi" w:cstheme="majorBidi"/>
          <w:lang w:bidi="ar-AE"/>
        </w:rPr>
        <w:t xml:space="preserve"> [les Faveurs] (n°</w:t>
      </w:r>
      <w:r w:rsidR="00A7674A" w:rsidRPr="008E09C2">
        <w:rPr>
          <w:rFonts w:asciiTheme="majorBidi" w:eastAsia="Calibri" w:hAnsiTheme="majorBidi" w:cstheme="majorBidi"/>
          <w:lang w:bidi="ar-AE"/>
        </w:rPr>
        <w:t xml:space="preserve"> CVIII), la plus courte, 3 vers</w:t>
      </w:r>
      <w:r w:rsidR="00561BDC" w:rsidRPr="008E09C2">
        <w:rPr>
          <w:rFonts w:asciiTheme="majorBidi" w:eastAsia="Calibri" w:hAnsiTheme="majorBidi" w:cstheme="majorBidi"/>
          <w:lang w:bidi="ar-AE"/>
        </w:rPr>
        <w:t>e</w:t>
      </w:r>
      <w:r w:rsidR="00A7674A" w:rsidRPr="008E09C2">
        <w:rPr>
          <w:rFonts w:asciiTheme="majorBidi" w:eastAsia="Calibri" w:hAnsiTheme="majorBidi" w:cstheme="majorBidi"/>
          <w:lang w:bidi="ar-AE"/>
        </w:rPr>
        <w:t>t</w:t>
      </w:r>
      <w:r w:rsidR="00561BDC" w:rsidRPr="008E09C2">
        <w:rPr>
          <w:rFonts w:asciiTheme="majorBidi" w:eastAsia="Calibri" w:hAnsiTheme="majorBidi" w:cstheme="majorBidi"/>
          <w:lang w:bidi="ar-AE"/>
        </w:rPr>
        <w:t>s [10 mots])</w:t>
      </w:r>
      <w:r w:rsidR="00561BDC" w:rsidRPr="008E09C2">
        <w:rPr>
          <w:rFonts w:asciiTheme="majorBidi" w:eastAsia="Times New Roman" w:hAnsiTheme="majorBidi" w:cstheme="majorBidi"/>
        </w:rPr>
        <w:t xml:space="preserve">, mais complexe. Elle </w:t>
      </w:r>
      <w:r w:rsidR="00561BDC" w:rsidRPr="008E09C2">
        <w:rPr>
          <w:rFonts w:asciiTheme="majorBidi" w:eastAsia="Calibri" w:hAnsiTheme="majorBidi" w:cstheme="majorBidi"/>
          <w:lang w:bidi="ar-AE"/>
        </w:rPr>
        <w:t>est à cheval entre les sourates médinoises</w:t>
      </w:r>
      <w:r w:rsidR="00561BDC" w:rsidRPr="00CB7AF4">
        <w:rPr>
          <w:rFonts w:asciiTheme="majorBidi" w:eastAsia="Calibri" w:hAnsiTheme="majorBidi" w:cstheme="majorBidi"/>
          <w:lang w:bidi="ar-AE"/>
        </w:rPr>
        <w:t xml:space="preserve"> et les sourates mecquoises</w:t>
      </w:r>
      <w:r w:rsidR="00561BDC" w:rsidRPr="00CB7AF4">
        <w:rPr>
          <w:rFonts w:asciiTheme="majorBidi" w:eastAsia="Times New Roman" w:hAnsiTheme="majorBidi" w:cstheme="majorBidi"/>
          <w:vertAlign w:val="superscript"/>
          <w:lang w:bidi="ar-AE"/>
        </w:rPr>
        <w:footnoteReference w:id="45"/>
      </w:r>
      <w:r w:rsidR="00561BDC" w:rsidRPr="00CB7AF4">
        <w:rPr>
          <w:rFonts w:asciiTheme="majorBidi" w:eastAsia="Calibri" w:hAnsiTheme="majorBidi" w:cstheme="majorBidi"/>
          <w:lang w:bidi="ar-AE"/>
        </w:rPr>
        <w:t>, et elle reflète par la suite deux types de discours.</w:t>
      </w:r>
      <w:r w:rsidR="00561BDC" w:rsidRPr="00CB7AF4">
        <w:rPr>
          <w:rFonts w:asciiTheme="majorBidi" w:eastAsia="Times New Roman" w:hAnsiTheme="majorBidi" w:cstheme="majorBidi"/>
        </w:rPr>
        <w:t xml:space="preserve"> </w:t>
      </w:r>
      <w:r w:rsidR="00561BDC" w:rsidRPr="00CB7AF4">
        <w:rPr>
          <w:rFonts w:asciiTheme="majorBidi" w:eastAsia="Calibri" w:hAnsiTheme="majorBidi" w:cstheme="majorBidi"/>
          <w:lang w:bidi="ar-AE"/>
        </w:rPr>
        <w:t>Elle contient des versets, des tournures, des locutions et des mots polysémiques</w:t>
      </w:r>
      <w:r w:rsidR="00516CE4">
        <w:rPr>
          <w:rFonts w:asciiTheme="majorBidi" w:eastAsia="Calibri" w:hAnsiTheme="majorBidi" w:cstheme="majorBidi"/>
          <w:lang w:bidi="ar-AE"/>
        </w:rPr>
        <w:t>.</w:t>
      </w:r>
    </w:p>
    <w:p w14:paraId="4AAFE23A"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5886A37C" w14:textId="77777777" w:rsidR="00561BDC"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Contrairement à d’autres sourates comme celle de </w:t>
      </w:r>
      <w:r w:rsidRPr="00CB7AF4">
        <w:rPr>
          <w:rFonts w:asciiTheme="majorBidi" w:eastAsia="Times New Roman" w:hAnsiTheme="majorBidi" w:cstheme="majorBidi"/>
          <w:i/>
          <w:iCs/>
        </w:rPr>
        <w:t>Yūsuf</w:t>
      </w:r>
      <w:r w:rsidRPr="00CB7AF4">
        <w:rPr>
          <w:rFonts w:asciiTheme="majorBidi" w:eastAsia="Times New Roman" w:hAnsiTheme="majorBidi" w:cstheme="majorBidi"/>
        </w:rPr>
        <w:t xml:space="preserve"> [Joseph] (n° XII), purement narrative, et celle d’</w:t>
      </w:r>
      <w:r w:rsidRPr="00CB7AF4">
        <w:rPr>
          <w:rFonts w:asciiTheme="majorBidi" w:eastAsia="Times New Roman" w:hAnsiTheme="majorBidi" w:cstheme="majorBidi"/>
          <w:i/>
          <w:iCs/>
        </w:rPr>
        <w:t>An-Nisāʾ</w:t>
      </w:r>
      <w:r w:rsidRPr="00CB7AF4">
        <w:rPr>
          <w:rFonts w:asciiTheme="majorBidi" w:eastAsia="Times New Roman" w:hAnsiTheme="majorBidi" w:cstheme="majorBidi"/>
        </w:rPr>
        <w:t xml:space="preserve"> [les Femmes] (n° IV) qui ne renferme que des sentences,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sourate exhaustive, se caractérise par le fait qu’elle reflète le discours mecquois (prédicative et exhortative) et le discours médinois (législative), c’est-à-dire elle reflète les deux étapes de la construction de l’islam.</w:t>
      </w:r>
    </w:p>
    <w:p w14:paraId="403AB2C6" w14:textId="77777777" w:rsidR="00C15BD7" w:rsidRPr="00B8254C" w:rsidRDefault="00C15BD7" w:rsidP="00CB7AF4">
      <w:pPr>
        <w:spacing w:line="360" w:lineRule="auto"/>
        <w:ind w:firstLine="708"/>
        <w:jc w:val="both"/>
        <w:rPr>
          <w:rFonts w:asciiTheme="majorBidi" w:eastAsia="Times New Roman" w:hAnsiTheme="majorBidi" w:cstheme="majorBidi"/>
        </w:rPr>
      </w:pPr>
    </w:p>
    <w:p w14:paraId="26E930E5" w14:textId="77777777" w:rsidR="00596660" w:rsidRPr="00B8254C" w:rsidRDefault="00596660" w:rsidP="00186D28">
      <w:pPr>
        <w:spacing w:line="360" w:lineRule="auto"/>
        <w:ind w:firstLine="708"/>
        <w:jc w:val="both"/>
        <w:rPr>
          <w:rFonts w:asciiTheme="majorBidi" w:eastAsia="Times New Roman" w:hAnsiTheme="majorBidi" w:cstheme="majorBidi"/>
        </w:rPr>
      </w:pPr>
      <w:r w:rsidRPr="00B8254C">
        <w:rPr>
          <w:rFonts w:asciiTheme="majorBidi" w:eastAsia="Times New Roman" w:hAnsiTheme="majorBidi" w:cstheme="majorBidi"/>
        </w:rPr>
        <w:t xml:space="preserve">Cette sourate </w:t>
      </w:r>
      <w:r w:rsidR="00DD43D1" w:rsidRPr="00B8254C">
        <w:rPr>
          <w:rFonts w:asciiTheme="majorBidi" w:eastAsia="Times New Roman" w:hAnsiTheme="majorBidi" w:cstheme="majorBidi"/>
        </w:rPr>
        <w:t>peut être considérée comme</w:t>
      </w:r>
      <w:r w:rsidRPr="00B8254C">
        <w:rPr>
          <w:rFonts w:asciiTheme="majorBidi" w:eastAsia="Times New Roman" w:hAnsiTheme="majorBidi" w:cstheme="majorBidi"/>
        </w:rPr>
        <w:t xml:space="preserve"> </w:t>
      </w:r>
      <w:r w:rsidR="0018266C" w:rsidRPr="00B8254C">
        <w:rPr>
          <w:rFonts w:asciiTheme="majorBidi" w:eastAsia="Times New Roman" w:hAnsiTheme="majorBidi" w:cstheme="majorBidi"/>
        </w:rPr>
        <w:t>l’</w:t>
      </w:r>
      <w:r w:rsidR="00DD43D1" w:rsidRPr="00B8254C">
        <w:rPr>
          <w:rFonts w:asciiTheme="majorBidi" w:eastAsia="Times New Roman" w:hAnsiTheme="majorBidi" w:cstheme="majorBidi"/>
        </w:rPr>
        <w:t>un</w:t>
      </w:r>
      <w:r w:rsidR="0018266C" w:rsidRPr="00B8254C">
        <w:rPr>
          <w:rFonts w:asciiTheme="majorBidi" w:eastAsia="Times New Roman" w:hAnsiTheme="majorBidi" w:cstheme="majorBidi"/>
        </w:rPr>
        <w:t xml:space="preserve"> des</w:t>
      </w:r>
      <w:r w:rsidRPr="00B8254C">
        <w:rPr>
          <w:rFonts w:asciiTheme="majorBidi" w:eastAsia="Times New Roman" w:hAnsiTheme="majorBidi" w:cstheme="majorBidi"/>
        </w:rPr>
        <w:t xml:space="preserve"> texte</w:t>
      </w:r>
      <w:r w:rsidR="0018266C" w:rsidRPr="00B8254C">
        <w:rPr>
          <w:rFonts w:asciiTheme="majorBidi" w:eastAsia="Times New Roman" w:hAnsiTheme="majorBidi" w:cstheme="majorBidi"/>
        </w:rPr>
        <w:t>s</w:t>
      </w:r>
      <w:r w:rsidRPr="00B8254C">
        <w:rPr>
          <w:rFonts w:asciiTheme="majorBidi" w:eastAsia="Times New Roman" w:hAnsiTheme="majorBidi" w:cstheme="majorBidi"/>
        </w:rPr>
        <w:t xml:space="preserve"> fondateur</w:t>
      </w:r>
      <w:r w:rsidR="0018266C" w:rsidRPr="00B8254C">
        <w:rPr>
          <w:rFonts w:asciiTheme="majorBidi" w:eastAsia="Times New Roman" w:hAnsiTheme="majorBidi" w:cstheme="majorBidi"/>
        </w:rPr>
        <w:t>s</w:t>
      </w:r>
      <w:r w:rsidRPr="00B8254C">
        <w:rPr>
          <w:rFonts w:asciiTheme="majorBidi" w:eastAsia="Times New Roman" w:hAnsiTheme="majorBidi" w:cstheme="majorBidi"/>
        </w:rPr>
        <w:t xml:space="preserve"> de l’identité religieuse musulmane</w:t>
      </w:r>
      <w:r w:rsidR="00373F51" w:rsidRPr="00B8254C">
        <w:rPr>
          <w:rFonts w:asciiTheme="majorBidi" w:eastAsia="Times New Roman" w:hAnsiTheme="majorBidi" w:cstheme="majorBidi"/>
        </w:rPr>
        <w:t>,</w:t>
      </w:r>
      <w:r w:rsidRPr="00B8254C">
        <w:rPr>
          <w:rFonts w:asciiTheme="majorBidi" w:eastAsia="Times New Roman" w:hAnsiTheme="majorBidi" w:cstheme="majorBidi"/>
        </w:rPr>
        <w:t xml:space="preserve"> </w:t>
      </w:r>
      <w:r w:rsidR="001010F1" w:rsidRPr="00B8254C">
        <w:rPr>
          <w:rFonts w:asciiTheme="majorBidi" w:eastAsia="Times New Roman" w:hAnsiTheme="majorBidi" w:cstheme="majorBidi"/>
        </w:rPr>
        <w:t xml:space="preserve">car elle </w:t>
      </w:r>
      <w:r w:rsidR="00373F51" w:rsidRPr="00B8254C">
        <w:rPr>
          <w:rFonts w:asciiTheme="majorBidi" w:eastAsia="Times New Roman" w:hAnsiTheme="majorBidi" w:cstheme="majorBidi"/>
        </w:rPr>
        <w:t>donne aux</w:t>
      </w:r>
      <w:r w:rsidR="001010F1" w:rsidRPr="00B8254C">
        <w:rPr>
          <w:rFonts w:asciiTheme="majorBidi" w:eastAsia="Times New Roman" w:hAnsiTheme="majorBidi" w:cstheme="majorBidi"/>
        </w:rPr>
        <w:t xml:space="preserve"> nou</w:t>
      </w:r>
      <w:r w:rsidR="00E02CFA" w:rsidRPr="00B8254C">
        <w:rPr>
          <w:rFonts w:asciiTheme="majorBidi" w:eastAsia="Times New Roman" w:hAnsiTheme="majorBidi" w:cstheme="majorBidi"/>
        </w:rPr>
        <w:t>veaux croyants</w:t>
      </w:r>
      <w:r w:rsidR="001010F1" w:rsidRPr="00B8254C">
        <w:rPr>
          <w:rFonts w:asciiTheme="majorBidi" w:eastAsia="Times New Roman" w:hAnsiTheme="majorBidi" w:cstheme="majorBidi"/>
        </w:rPr>
        <w:t xml:space="preserve"> le nom « </w:t>
      </w:r>
      <w:r w:rsidR="001010F1" w:rsidRPr="00B8254C">
        <w:rPr>
          <w:rFonts w:asciiTheme="majorBidi" w:eastAsia="Times New Roman" w:hAnsiTheme="majorBidi" w:cstheme="majorBidi"/>
          <w:i/>
          <w:iCs/>
        </w:rPr>
        <w:t>muslimīn</w:t>
      </w:r>
      <w:r w:rsidR="00B47782" w:rsidRPr="00B8254C">
        <w:rPr>
          <w:rFonts w:asciiTheme="majorBidi" w:eastAsia="Times New Roman" w:hAnsiTheme="majorBidi" w:cstheme="majorBidi"/>
        </w:rPr>
        <w:t> »</w:t>
      </w:r>
      <w:r w:rsidR="001010F1" w:rsidRPr="00B8254C">
        <w:rPr>
          <w:rFonts w:asciiTheme="majorBidi" w:eastAsia="Times New Roman" w:hAnsiTheme="majorBidi" w:cstheme="majorBidi"/>
        </w:rPr>
        <w:t xml:space="preserve"> (verset </w:t>
      </w:r>
      <w:r w:rsidR="00B47782" w:rsidRPr="00B8254C">
        <w:rPr>
          <w:rFonts w:asciiTheme="majorBidi" w:eastAsia="Times New Roman" w:hAnsiTheme="majorBidi" w:cstheme="majorBidi"/>
        </w:rPr>
        <w:t>78</w:t>
      </w:r>
      <w:r w:rsidR="00E02CFA" w:rsidRPr="00B8254C">
        <w:rPr>
          <w:rFonts w:asciiTheme="majorBidi" w:eastAsia="Times New Roman" w:hAnsiTheme="majorBidi" w:cstheme="majorBidi"/>
        </w:rPr>
        <w:t>)</w:t>
      </w:r>
      <w:r w:rsidR="00B47782" w:rsidRPr="00B8254C">
        <w:rPr>
          <w:rFonts w:asciiTheme="majorBidi" w:eastAsia="Times New Roman" w:hAnsiTheme="majorBidi" w:cstheme="majorBidi"/>
        </w:rPr>
        <w:t xml:space="preserve">, </w:t>
      </w:r>
      <w:r w:rsidR="00627515" w:rsidRPr="00B8254C">
        <w:rPr>
          <w:rFonts w:asciiTheme="majorBidi" w:eastAsia="Times New Roman" w:hAnsiTheme="majorBidi" w:cstheme="majorBidi"/>
        </w:rPr>
        <w:t>légitime le djihad (verset 39) et légifère le pèlerinage (verset 27)</w:t>
      </w:r>
      <w:r w:rsidR="00001DF9" w:rsidRPr="00B8254C">
        <w:rPr>
          <w:rFonts w:asciiTheme="majorBidi" w:eastAsia="Times New Roman" w:hAnsiTheme="majorBidi" w:cstheme="majorBidi"/>
        </w:rPr>
        <w:t xml:space="preserve"> en tant que culte d’appartenance à une communauté religieuse</w:t>
      </w:r>
      <w:r w:rsidR="00DD43D1" w:rsidRPr="00B8254C">
        <w:rPr>
          <w:rStyle w:val="Appelnotedebasdep"/>
          <w:rFonts w:eastAsia="Times New Roman"/>
        </w:rPr>
        <w:footnoteReference w:id="46"/>
      </w:r>
      <w:r w:rsidR="0018266C" w:rsidRPr="00B8254C">
        <w:rPr>
          <w:rFonts w:asciiTheme="majorBidi" w:eastAsia="Times New Roman" w:hAnsiTheme="majorBidi" w:cstheme="majorBidi"/>
        </w:rPr>
        <w:t>. Elle</w:t>
      </w:r>
      <w:r w:rsidRPr="00B8254C">
        <w:rPr>
          <w:rFonts w:asciiTheme="majorBidi" w:eastAsia="Times New Roman" w:hAnsiTheme="majorBidi" w:cstheme="majorBidi"/>
        </w:rPr>
        <w:t xml:space="preserve"> présente les étapes essentielles de la construction de cette identité dans un contexte de conflit religieux et sociopolitique.</w:t>
      </w:r>
    </w:p>
    <w:p w14:paraId="5B05884C" w14:textId="77777777" w:rsidR="00561BDC" w:rsidRPr="00B8254C" w:rsidRDefault="00561BDC" w:rsidP="0018266C">
      <w:pPr>
        <w:spacing w:line="360" w:lineRule="auto"/>
        <w:jc w:val="both"/>
        <w:rPr>
          <w:rFonts w:asciiTheme="majorBidi" w:eastAsia="Times New Roman" w:hAnsiTheme="majorBidi" w:cstheme="majorBidi"/>
          <w:rtl/>
        </w:rPr>
      </w:pPr>
    </w:p>
    <w:p w14:paraId="7E4AB3E8" w14:textId="77777777" w:rsidR="00561BDC" w:rsidRPr="00CB7AF4" w:rsidRDefault="00561BDC" w:rsidP="00F2624E">
      <w:pPr>
        <w:spacing w:line="360" w:lineRule="auto"/>
        <w:ind w:firstLine="720"/>
        <w:jc w:val="both"/>
        <w:rPr>
          <w:rFonts w:asciiTheme="majorBidi" w:eastAsia="Times New Roman" w:hAnsiTheme="majorBidi" w:cstheme="majorBidi"/>
        </w:rPr>
      </w:pPr>
      <w:r w:rsidRPr="00CB7AF4">
        <w:rPr>
          <w:rFonts w:asciiTheme="majorBidi" w:eastAsia="Times New Roman" w:hAnsiTheme="majorBidi" w:cstheme="majorBidi"/>
        </w:rPr>
        <w:t xml:space="preserve">De plus, la sourate </w:t>
      </w:r>
      <w:r w:rsidRPr="00CB7AF4">
        <w:rPr>
          <w:rFonts w:asciiTheme="majorBidi" w:eastAsia="Times New Roman" w:hAnsiTheme="majorBidi" w:cstheme="majorBidi"/>
          <w:i/>
          <w:iCs/>
        </w:rPr>
        <w:t>Al-Ḥajj</w:t>
      </w:r>
      <w:r w:rsidR="00A7674A">
        <w:rPr>
          <w:rFonts w:asciiTheme="majorBidi" w:eastAsia="Times New Roman" w:hAnsiTheme="majorBidi" w:cstheme="majorBidi"/>
        </w:rPr>
        <w:t>,</w:t>
      </w:r>
      <w:r w:rsidRPr="00CB7AF4">
        <w:rPr>
          <w:rFonts w:asciiTheme="majorBidi" w:eastAsia="Times New Roman" w:hAnsiTheme="majorBidi" w:cstheme="majorBidi"/>
        </w:rPr>
        <w:t xml:space="preserve"> seule sourate qui</w:t>
      </w:r>
      <w:r w:rsidR="00A7674A">
        <w:rPr>
          <w:rFonts w:asciiTheme="majorBidi" w:eastAsia="Times New Roman" w:hAnsiTheme="majorBidi" w:cstheme="majorBidi"/>
        </w:rPr>
        <w:t xml:space="preserve"> porte le nom d’un pilier de l’i</w:t>
      </w:r>
      <w:r w:rsidRPr="00CB7AF4">
        <w:rPr>
          <w:rFonts w:asciiTheme="majorBidi" w:eastAsia="Times New Roman" w:hAnsiTheme="majorBidi" w:cstheme="majorBidi"/>
        </w:rPr>
        <w:t xml:space="preserve">slam, jouit d’une grande richesse thématique. Elle aborde plusieurs thèmes différents, diversifiés, voire divergents: le pèlerinage, la résurrection, le djihad, l’eschatologie, la soumission à Dieu, Satan, le monothéisme, l’intimidation, la résurrection, le respect des observances ou des rites religieux, l’abrogeant et l’abrogé, l’allusion à l’histoire des </w:t>
      </w:r>
      <w:r w:rsidRPr="00CB7AF4">
        <w:rPr>
          <w:rFonts w:asciiTheme="majorBidi" w:eastAsia="Times New Roman" w:hAnsiTheme="majorBidi" w:cstheme="majorBidi"/>
          <w:i/>
          <w:iCs/>
        </w:rPr>
        <w:t>gharānīq</w:t>
      </w:r>
      <w:r w:rsidRPr="00CB7AF4">
        <w:rPr>
          <w:rFonts w:asciiTheme="majorBidi" w:eastAsia="Times New Roman" w:hAnsiTheme="majorBidi" w:cstheme="majorBidi"/>
        </w:rPr>
        <w:t xml:space="preserve"> (Muḥammad, recevant la sourate LIII, </w:t>
      </w:r>
      <w:r w:rsidRPr="00CB7AF4">
        <w:rPr>
          <w:rFonts w:asciiTheme="majorBidi" w:eastAsia="Times New Roman" w:hAnsiTheme="majorBidi" w:cstheme="majorBidi"/>
          <w:i/>
          <w:iCs/>
        </w:rPr>
        <w:t>An-Najm</w:t>
      </w:r>
      <w:r w:rsidRPr="00CB7AF4">
        <w:rPr>
          <w:rFonts w:asciiTheme="majorBidi" w:eastAsia="Times New Roman" w:hAnsiTheme="majorBidi" w:cstheme="majorBidi"/>
        </w:rPr>
        <w:t xml:space="preserve"> [l’Étoile], y introduisit par inadvertance un verset élogieux à l’égard des trois déesses du paganisme arabe) et par la suite à l’impeccabilité des prophètes, etc. L’on sait le scandale provoqué dans le monde islamique par l’utilisation malveillante de cette légende dans les </w:t>
      </w:r>
      <w:r w:rsidRPr="00CB7AF4">
        <w:rPr>
          <w:rFonts w:asciiTheme="majorBidi" w:eastAsia="Times New Roman" w:hAnsiTheme="majorBidi" w:cstheme="majorBidi"/>
          <w:i/>
          <w:iCs/>
        </w:rPr>
        <w:t>Versets sataniques</w:t>
      </w:r>
      <w:r w:rsidRPr="00CB7AF4">
        <w:rPr>
          <w:rFonts w:asciiTheme="majorBidi" w:eastAsia="Times New Roman" w:hAnsiTheme="majorBidi" w:cstheme="majorBidi"/>
        </w:rPr>
        <w:t xml:space="preserve"> du romancier anglo-indien Salman Rushdie.</w:t>
      </w:r>
    </w:p>
    <w:p w14:paraId="12E4C57E" w14:textId="77777777" w:rsidR="00561BDC" w:rsidRPr="00CB7AF4" w:rsidRDefault="00561BDC" w:rsidP="00CB7AF4">
      <w:pPr>
        <w:spacing w:line="360" w:lineRule="auto"/>
        <w:ind w:firstLine="720"/>
        <w:jc w:val="both"/>
        <w:rPr>
          <w:rFonts w:asciiTheme="majorBidi" w:eastAsia="Times New Roman" w:hAnsiTheme="majorBidi" w:cstheme="majorBidi"/>
        </w:rPr>
      </w:pPr>
    </w:p>
    <w:p w14:paraId="6D793023"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lastRenderedPageBreak/>
        <w:t xml:space="preserve">Qui plus est, nous avons opté pour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xml:space="preserve"> parce qu’elle contient des versets </w:t>
      </w:r>
      <w:r w:rsidRPr="00CB7AF4">
        <w:rPr>
          <w:rFonts w:asciiTheme="majorBidi" w:eastAsia="Times New Roman" w:hAnsiTheme="majorBidi" w:cstheme="majorBidi"/>
          <w:i/>
          <w:iCs/>
        </w:rPr>
        <w:t>problématiques</w:t>
      </w:r>
      <w:r w:rsidRPr="00CB7AF4">
        <w:rPr>
          <w:rFonts w:asciiTheme="majorBidi" w:eastAsia="Times New Roman" w:hAnsiTheme="majorBidi" w:cstheme="majorBidi"/>
        </w:rPr>
        <w:t xml:space="preserve"> qui ont des significations contradictoires (ex. : le verset 15 qui porte le sens d’une menace et du suicide par pendaison, ou bien le sens de l’optimisme et du changement psychologique ; le verset 52 sur l’éloge des </w:t>
      </w:r>
      <w:r w:rsidRPr="00CB7AF4">
        <w:rPr>
          <w:rFonts w:asciiTheme="majorBidi" w:eastAsia="Times New Roman" w:hAnsiTheme="majorBidi" w:cstheme="majorBidi"/>
          <w:i/>
          <w:iCs/>
        </w:rPr>
        <w:t>gharānīq</w:t>
      </w:r>
      <w:r w:rsidRPr="00CB7AF4">
        <w:rPr>
          <w:rFonts w:asciiTheme="majorBidi" w:eastAsia="Times New Roman" w:hAnsiTheme="majorBidi" w:cstheme="majorBidi"/>
        </w:rPr>
        <w:t xml:space="preserve"> ou sur le dénigrement des deux premiers califes, le verset 66 sur l’affirmation ou la réfutation de la réincarnation). Les musulmans orthodoxes étaient obligés de créer des nouvelles significations pour servir leurs intérêts dans un contexte de conflits politiques et dogmatiques, significations que ne donne pas le contexte. Ainsi, ils ont été contraints de donner, par exemple, au mot </w:t>
      </w:r>
      <w:r w:rsidR="002629C6" w:rsidRPr="00CB7AF4">
        <w:rPr>
          <w:rFonts w:asciiTheme="majorBidi" w:eastAsia="Times New Roman" w:hAnsiTheme="majorBidi" w:cstheme="majorBidi"/>
          <w:i/>
          <w:iCs/>
        </w:rPr>
        <w:t>as-samāʾ</w:t>
      </w:r>
      <w:r w:rsidR="002629C6">
        <w:rPr>
          <w:rFonts w:asciiTheme="majorBidi" w:eastAsia="Times New Roman" w:hAnsiTheme="majorBidi" w:cstheme="majorBidi"/>
        </w:rPr>
        <w:t xml:space="preserve"> [le ciel] le sens de “</w:t>
      </w:r>
      <w:r w:rsidRPr="00CB7AF4">
        <w:rPr>
          <w:rFonts w:asciiTheme="majorBidi" w:eastAsia="Times New Roman" w:hAnsiTheme="majorBidi" w:cstheme="majorBidi"/>
        </w:rPr>
        <w:t xml:space="preserve">plafond de la maison”. Cette nouvelle polysémie est due ici à des raisons conflictuelles (dogmatiques et politiques). Les sunnites ont été obligés également de choisir un sens périphérique et marginal du verbe </w:t>
      </w:r>
      <w:r w:rsidR="00A7674A">
        <w:rPr>
          <w:rFonts w:asciiTheme="majorBidi" w:eastAsia="Times New Roman" w:hAnsiTheme="majorBidi" w:cstheme="majorBidi"/>
          <w:i/>
          <w:iCs/>
        </w:rPr>
        <w:t>a</w:t>
      </w:r>
      <w:r w:rsidRPr="00CB7AF4">
        <w:rPr>
          <w:rFonts w:asciiTheme="majorBidi" w:eastAsia="Times New Roman" w:hAnsiTheme="majorBidi" w:cstheme="majorBidi"/>
          <w:i/>
          <w:iCs/>
        </w:rPr>
        <w:t>ḥyā</w:t>
      </w:r>
      <w:r w:rsidRPr="00CB7AF4">
        <w:rPr>
          <w:rFonts w:asciiTheme="majorBidi" w:eastAsia="Times New Roman" w:hAnsiTheme="majorBidi" w:cstheme="majorBidi"/>
        </w:rPr>
        <w:t xml:space="preserve"> (verset 66), à </w:t>
      </w:r>
      <w:r w:rsidR="006612A8" w:rsidRPr="00CB7AF4">
        <w:rPr>
          <w:rFonts w:asciiTheme="majorBidi" w:eastAsia="Times New Roman" w:hAnsiTheme="majorBidi" w:cstheme="majorBidi"/>
        </w:rPr>
        <w:t>savoir :</w:t>
      </w:r>
      <w:r w:rsidRPr="00CB7AF4">
        <w:rPr>
          <w:rFonts w:asciiTheme="majorBidi" w:eastAsia="Times New Roman" w:hAnsiTheme="majorBidi" w:cstheme="majorBidi"/>
          <w:i/>
          <w:iCs/>
        </w:rPr>
        <w:t xml:space="preserve"> donner la vie</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créer</w:t>
      </w:r>
      <w:r w:rsidR="00A7674A">
        <w:rPr>
          <w:rFonts w:asciiTheme="majorBidi" w:eastAsia="Times New Roman" w:hAnsiTheme="majorBidi" w:cstheme="majorBidi"/>
        </w:rPr>
        <w:t>), alors que s</w:t>
      </w:r>
      <w:r w:rsidRPr="00CB7AF4">
        <w:rPr>
          <w:rFonts w:asciiTheme="majorBidi" w:eastAsia="Times New Roman" w:hAnsiTheme="majorBidi" w:cstheme="majorBidi"/>
        </w:rPr>
        <w:t xml:space="preserve">a signification centrale </w:t>
      </w:r>
      <w:r w:rsidR="006612A8" w:rsidRPr="00CB7AF4">
        <w:rPr>
          <w:rFonts w:asciiTheme="majorBidi" w:eastAsia="Times New Roman" w:hAnsiTheme="majorBidi" w:cstheme="majorBidi"/>
        </w:rPr>
        <w:t>est :</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faire renaître</w:t>
      </w:r>
      <w:r w:rsidRPr="00CB7AF4">
        <w:rPr>
          <w:rFonts w:asciiTheme="majorBidi" w:eastAsia="Times New Roman" w:hAnsiTheme="majorBidi" w:cstheme="majorBidi"/>
        </w:rPr>
        <w:t>, et ce pour ne pas contredire l’un des fondements de la doctrine majoritaire qui refuse la réincarnation.</w:t>
      </w:r>
    </w:p>
    <w:p w14:paraId="5D38A5D9"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613F6ED7" w14:textId="2C31F9ED"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Ce qui distingue également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xml:space="preserve"> au plan polysémique, c’est le fait qu’elle contient des pronoms personnels ou des pronoms démonstratifs polysémiques, dont l’antécédent n’est pas clair. </w:t>
      </w:r>
      <w:r w:rsidR="006612A8" w:rsidRPr="00CB7AF4">
        <w:rPr>
          <w:rFonts w:asciiTheme="majorBidi" w:eastAsia="Times New Roman" w:hAnsiTheme="majorBidi" w:cstheme="majorBidi"/>
        </w:rPr>
        <w:t>Ex. :</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yanṣuru</w:t>
      </w:r>
      <w:r w:rsidR="00A7674A">
        <w:rPr>
          <w:rFonts w:asciiTheme="majorBidi" w:eastAsia="Times New Roman" w:hAnsiTheme="majorBidi" w:cstheme="majorBidi"/>
          <w:i/>
          <w:iCs/>
        </w:rPr>
        <w:t>-</w:t>
      </w:r>
      <w:r w:rsidRPr="00CB7AF4">
        <w:rPr>
          <w:rFonts w:asciiTheme="majorBidi" w:eastAsia="Times New Roman" w:hAnsiTheme="majorBidi" w:cstheme="majorBidi"/>
          <w:b/>
          <w:bCs/>
          <w:i/>
          <w:iCs/>
        </w:rPr>
        <w:t>hu</w:t>
      </w:r>
      <w:r w:rsidRPr="00CB7AF4">
        <w:rPr>
          <w:rFonts w:asciiTheme="majorBidi" w:eastAsia="Times New Roman" w:hAnsiTheme="majorBidi" w:cstheme="majorBidi"/>
        </w:rPr>
        <w:t xml:space="preserve"> (verset 15),</w:t>
      </w:r>
      <w:r w:rsidR="008A049C">
        <w:rPr>
          <w:rFonts w:asciiTheme="majorBidi" w:eastAsia="Times New Roman" w:hAnsiTheme="majorBidi" w:cstheme="majorBidi"/>
        </w:rPr>
        <w:t xml:space="preserve"> wa-</w:t>
      </w:r>
      <w:r w:rsidRPr="00CB7AF4">
        <w:rPr>
          <w:rFonts w:asciiTheme="majorBidi" w:eastAsia="Times New Roman" w:hAnsiTheme="majorBidi" w:cstheme="majorBidi"/>
          <w:i/>
          <w:iCs/>
        </w:rPr>
        <w:t xml:space="preserve">inna llāha yahdī man </w:t>
      </w:r>
      <w:r w:rsidRPr="00CB7AF4">
        <w:rPr>
          <w:rFonts w:asciiTheme="majorBidi" w:eastAsia="Times New Roman" w:hAnsiTheme="majorBidi" w:cstheme="majorBidi"/>
          <w:b/>
          <w:bCs/>
          <w:i/>
          <w:iCs/>
        </w:rPr>
        <w:t>yu</w:t>
      </w:r>
      <w:r w:rsidRPr="00CB7AF4">
        <w:rPr>
          <w:rFonts w:asciiTheme="majorBidi" w:eastAsia="Times New Roman" w:hAnsiTheme="majorBidi" w:cstheme="majorBidi"/>
          <w:i/>
          <w:iCs/>
        </w:rPr>
        <w:t>rīd</w:t>
      </w:r>
      <w:r w:rsidRPr="00CB7AF4">
        <w:rPr>
          <w:rFonts w:asciiTheme="majorBidi" w:eastAsia="Times New Roman" w:hAnsiTheme="majorBidi" w:cstheme="majorBidi"/>
        </w:rPr>
        <w:t xml:space="preserve"> (verset 16) [le sujet implicite du verbe </w:t>
      </w:r>
      <w:r w:rsidRPr="00CB7AF4">
        <w:rPr>
          <w:rFonts w:asciiTheme="majorBidi" w:eastAsia="Times New Roman" w:hAnsiTheme="majorBidi" w:cstheme="majorBidi"/>
          <w:b/>
          <w:bCs/>
          <w:i/>
          <w:iCs/>
        </w:rPr>
        <w:t>yu</w:t>
      </w:r>
      <w:r w:rsidRPr="00CB7AF4">
        <w:rPr>
          <w:rFonts w:asciiTheme="majorBidi" w:eastAsia="Times New Roman" w:hAnsiTheme="majorBidi" w:cstheme="majorBidi"/>
          <w:i/>
          <w:iCs/>
        </w:rPr>
        <w:t>rīdu</w:t>
      </w:r>
      <w:r w:rsidRPr="00CB7AF4">
        <w:rPr>
          <w:rFonts w:asciiTheme="majorBidi" w:eastAsia="Times New Roman" w:hAnsiTheme="majorBidi" w:cstheme="majorBidi"/>
        </w:rPr>
        <w:t xml:space="preserve"> renvoie ou bien à </w:t>
      </w:r>
      <w:r w:rsidRPr="00CB7AF4">
        <w:rPr>
          <w:rFonts w:asciiTheme="majorBidi" w:eastAsia="Times New Roman" w:hAnsiTheme="majorBidi" w:cstheme="majorBidi"/>
          <w:i/>
          <w:iCs/>
        </w:rPr>
        <w:t>Allāh</w:t>
      </w:r>
      <w:r w:rsidRPr="00CB7AF4">
        <w:rPr>
          <w:rFonts w:asciiTheme="majorBidi" w:eastAsia="Times New Roman" w:hAnsiTheme="majorBidi" w:cstheme="majorBidi"/>
        </w:rPr>
        <w:t xml:space="preserve"> ou bien au pronom </w:t>
      </w:r>
      <w:r w:rsidRPr="00CB7AF4">
        <w:rPr>
          <w:rFonts w:asciiTheme="majorBidi" w:eastAsia="Times New Roman" w:hAnsiTheme="majorBidi" w:cstheme="majorBidi"/>
          <w:i/>
          <w:iCs/>
        </w:rPr>
        <w:t>man</w:t>
      </w:r>
      <w:r w:rsidRPr="00CB7AF4">
        <w:rPr>
          <w:rFonts w:asciiTheme="majorBidi" w:eastAsia="Times New Roman" w:hAnsiTheme="majorBidi" w:cstheme="majorBidi"/>
        </w:rPr>
        <w:t xml:space="preserve"> [quiconque]], </w:t>
      </w:r>
      <w:r w:rsidRPr="00CB7AF4">
        <w:rPr>
          <w:rFonts w:asciiTheme="majorBidi" w:eastAsia="Times New Roman" w:hAnsiTheme="majorBidi" w:cstheme="majorBidi"/>
          <w:i/>
          <w:iCs/>
        </w:rPr>
        <w:t xml:space="preserve">yudhkaru </w:t>
      </w:r>
      <w:r w:rsidRPr="00A7674A">
        <w:rPr>
          <w:rFonts w:asciiTheme="majorBidi" w:eastAsia="Times New Roman" w:hAnsiTheme="majorBidi" w:cstheme="majorBidi"/>
          <w:bCs/>
          <w:i/>
          <w:iCs/>
        </w:rPr>
        <w:t>fī</w:t>
      </w:r>
      <w:r w:rsidR="00A7674A" w:rsidRPr="00A7674A">
        <w:rPr>
          <w:rFonts w:asciiTheme="majorBidi" w:eastAsia="Times New Roman" w:hAnsiTheme="majorBidi" w:cstheme="majorBidi"/>
          <w:bCs/>
          <w:i/>
          <w:iCs/>
        </w:rPr>
        <w:t>-</w:t>
      </w:r>
      <w:r w:rsidRPr="00CB7AF4">
        <w:rPr>
          <w:rFonts w:asciiTheme="majorBidi" w:eastAsia="Times New Roman" w:hAnsiTheme="majorBidi" w:cstheme="majorBidi"/>
          <w:b/>
          <w:bCs/>
          <w:i/>
          <w:iCs/>
        </w:rPr>
        <w:t>hā</w:t>
      </w:r>
      <w:r w:rsidRPr="00CB7AF4">
        <w:rPr>
          <w:rFonts w:asciiTheme="majorBidi" w:eastAsia="Times New Roman" w:hAnsiTheme="majorBidi" w:cstheme="majorBidi"/>
        </w:rPr>
        <w:t xml:space="preserve"> (verset 40), </w:t>
      </w:r>
      <w:r w:rsidRPr="00CB7AF4">
        <w:rPr>
          <w:rFonts w:asciiTheme="majorBidi" w:eastAsia="Times New Roman" w:hAnsiTheme="majorBidi" w:cstheme="majorBidi"/>
          <w:i/>
          <w:iCs/>
        </w:rPr>
        <w:t>makkanā</w:t>
      </w:r>
      <w:r w:rsidR="00A7674A">
        <w:rPr>
          <w:rFonts w:asciiTheme="majorBidi" w:eastAsia="Times New Roman" w:hAnsiTheme="majorBidi" w:cstheme="majorBidi"/>
          <w:i/>
          <w:iCs/>
        </w:rPr>
        <w:t>-</w:t>
      </w:r>
      <w:r w:rsidRPr="00CB7AF4">
        <w:rPr>
          <w:rFonts w:asciiTheme="majorBidi" w:eastAsia="Times New Roman" w:hAnsiTheme="majorBidi" w:cstheme="majorBidi"/>
          <w:b/>
          <w:bCs/>
          <w:i/>
          <w:iCs/>
        </w:rPr>
        <w:t>hum</w:t>
      </w:r>
      <w:r w:rsidR="00643877">
        <w:rPr>
          <w:rFonts w:asciiTheme="majorBidi" w:eastAsia="Times New Roman" w:hAnsiTheme="majorBidi" w:cstheme="majorBidi"/>
          <w:i/>
          <w:iCs/>
        </w:rPr>
        <w:t xml:space="preserve"> fi-l-</w:t>
      </w:r>
      <w:r w:rsidRPr="00CB7AF4">
        <w:rPr>
          <w:rFonts w:asciiTheme="majorBidi" w:eastAsia="Times New Roman" w:hAnsiTheme="majorBidi" w:cstheme="majorBidi"/>
          <w:i/>
          <w:iCs/>
        </w:rPr>
        <w:t>arḍ</w:t>
      </w:r>
      <w:r w:rsidRPr="00CB7AF4">
        <w:rPr>
          <w:rFonts w:asciiTheme="majorBidi" w:eastAsia="Times New Roman" w:hAnsiTheme="majorBidi" w:cstheme="majorBidi"/>
        </w:rPr>
        <w:t xml:space="preserve"> (verset 41),</w:t>
      </w:r>
      <w:r w:rsidRPr="00CB7AF4">
        <w:rPr>
          <w:rFonts w:asciiTheme="majorBidi" w:eastAsia="Times New Roman" w:hAnsiTheme="majorBidi" w:cstheme="majorBidi"/>
          <w:i/>
          <w:iCs/>
        </w:rPr>
        <w:t xml:space="preserve"> miryatin min</w:t>
      </w:r>
      <w:r w:rsidR="00A7674A">
        <w:rPr>
          <w:rFonts w:asciiTheme="majorBidi" w:eastAsia="Times New Roman" w:hAnsiTheme="majorBidi" w:cstheme="majorBidi"/>
          <w:i/>
          <w:iCs/>
        </w:rPr>
        <w:t>-</w:t>
      </w:r>
      <w:r w:rsidRPr="00CB7AF4">
        <w:rPr>
          <w:rFonts w:asciiTheme="majorBidi" w:eastAsia="Times New Roman" w:hAnsiTheme="majorBidi" w:cstheme="majorBidi"/>
          <w:b/>
          <w:bCs/>
          <w:i/>
          <w:iCs/>
        </w:rPr>
        <w:t>hu</w:t>
      </w:r>
      <w:r w:rsidRPr="00CB7AF4">
        <w:rPr>
          <w:rFonts w:asciiTheme="majorBidi" w:eastAsia="Times New Roman" w:hAnsiTheme="majorBidi" w:cstheme="majorBidi"/>
        </w:rPr>
        <w:t xml:space="preserve"> (verset 55), </w:t>
      </w:r>
      <w:r w:rsidRPr="00CB7AF4">
        <w:rPr>
          <w:rFonts w:asciiTheme="majorBidi" w:eastAsia="Times New Roman" w:hAnsiTheme="majorBidi" w:cstheme="majorBidi"/>
          <w:b/>
          <w:bCs/>
          <w:i/>
          <w:iCs/>
        </w:rPr>
        <w:t>h</w:t>
      </w:r>
      <w:r w:rsidR="00BD1FC5" w:rsidRPr="00CB7AF4">
        <w:rPr>
          <w:rFonts w:asciiTheme="majorBidi" w:eastAsia="Times New Roman" w:hAnsiTheme="majorBidi" w:cstheme="majorBidi"/>
          <w:b/>
          <w:bCs/>
          <w:i/>
          <w:iCs/>
        </w:rPr>
        <w:t>u</w:t>
      </w:r>
      <w:r w:rsidRPr="00CB7AF4">
        <w:rPr>
          <w:rFonts w:asciiTheme="majorBidi" w:eastAsia="Times New Roman" w:hAnsiTheme="majorBidi" w:cstheme="majorBidi"/>
          <w:b/>
          <w:bCs/>
          <w:i/>
          <w:iCs/>
        </w:rPr>
        <w:t>wa</w:t>
      </w:r>
      <w:r w:rsidRPr="00CB7AF4">
        <w:rPr>
          <w:rFonts w:asciiTheme="majorBidi" w:eastAsia="Times New Roman" w:hAnsiTheme="majorBidi" w:cstheme="majorBidi"/>
          <w:i/>
          <w:iCs/>
        </w:rPr>
        <w:t xml:space="preserve"> sammā</w:t>
      </w:r>
      <w:r w:rsidR="00A7674A">
        <w:rPr>
          <w:rFonts w:asciiTheme="majorBidi" w:eastAsia="Times New Roman" w:hAnsiTheme="majorBidi" w:cstheme="majorBidi"/>
          <w:i/>
          <w:iCs/>
        </w:rPr>
        <w:t>-</w:t>
      </w:r>
      <w:r w:rsidRPr="00CB7AF4">
        <w:rPr>
          <w:rFonts w:asciiTheme="majorBidi" w:eastAsia="Times New Roman" w:hAnsiTheme="majorBidi" w:cstheme="majorBidi"/>
          <w:i/>
          <w:iCs/>
        </w:rPr>
        <w:t>kum</w:t>
      </w:r>
      <w:r w:rsidRPr="00CB7AF4">
        <w:rPr>
          <w:rFonts w:asciiTheme="majorBidi" w:eastAsia="Times New Roman" w:hAnsiTheme="majorBidi" w:cstheme="majorBidi"/>
        </w:rPr>
        <w:t xml:space="preserve"> (verset 78),</w:t>
      </w:r>
      <w:r w:rsidR="008A049C">
        <w:rPr>
          <w:rFonts w:asciiTheme="majorBidi" w:eastAsia="Times New Roman" w:hAnsiTheme="majorBidi" w:cstheme="majorBidi"/>
        </w:rPr>
        <w:t xml:space="preserve"> wa-</w:t>
      </w:r>
      <w:r w:rsidRPr="00CB7AF4">
        <w:rPr>
          <w:rFonts w:asciiTheme="majorBidi" w:eastAsia="Times New Roman" w:hAnsiTheme="majorBidi" w:cstheme="majorBidi"/>
          <w:i/>
          <w:iCs/>
        </w:rPr>
        <w:t xml:space="preserve">fī </w:t>
      </w:r>
      <w:r w:rsidRPr="00CB7AF4">
        <w:rPr>
          <w:rFonts w:asciiTheme="majorBidi" w:eastAsia="Times New Roman" w:hAnsiTheme="majorBidi" w:cstheme="majorBidi"/>
          <w:b/>
          <w:bCs/>
          <w:i/>
          <w:iCs/>
        </w:rPr>
        <w:t>hādhā</w:t>
      </w:r>
      <w:r w:rsidRPr="00CB7AF4">
        <w:rPr>
          <w:rFonts w:asciiTheme="majorBidi" w:eastAsia="Times New Roman" w:hAnsiTheme="majorBidi" w:cstheme="majorBidi"/>
        </w:rPr>
        <w:t xml:space="preserve"> (verset 78), </w:t>
      </w:r>
      <w:r w:rsidRPr="00CB7AF4">
        <w:rPr>
          <w:rFonts w:asciiTheme="majorBidi" w:eastAsia="Times New Roman" w:hAnsiTheme="majorBidi" w:cstheme="majorBidi"/>
          <w:b/>
          <w:bCs/>
          <w:i/>
          <w:iCs/>
        </w:rPr>
        <w:t>dhālika</w:t>
      </w:r>
      <w:r w:rsidRPr="00CB7AF4">
        <w:rPr>
          <w:rFonts w:asciiTheme="majorBidi" w:eastAsia="Times New Roman" w:hAnsiTheme="majorBidi" w:cstheme="majorBidi"/>
        </w:rPr>
        <w:t xml:space="preserve"> (versets 6, 10, 30, 32, 60, 61, 62, 70).</w:t>
      </w:r>
    </w:p>
    <w:p w14:paraId="598C155B"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6E1C296F"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Tout cela nous permet d’examiner, dans un premier lieu, la polysémie distinguant le texte coranique plus que tout autre texte ; dans un second lieu, la confrontation du texte arabe (texte-source) avec ses traductions françaises nous permet aussi d’examiner les différents problèmes de traduction dus principalement à la différence des deux systèmes linguistiques français et arabe, à la différence des cultures ainsi qu’à la nature polysémique du texte-source lui-même.</w:t>
      </w:r>
    </w:p>
    <w:p w14:paraId="496E7E4F" w14:textId="77777777" w:rsidR="00561BDC" w:rsidRPr="00CB7AF4" w:rsidRDefault="00561BDC" w:rsidP="00CB7AF4">
      <w:pPr>
        <w:spacing w:line="360" w:lineRule="auto"/>
        <w:jc w:val="both"/>
        <w:rPr>
          <w:rFonts w:asciiTheme="majorBidi" w:eastAsia="Times New Roman" w:hAnsiTheme="majorBidi" w:cstheme="majorBidi"/>
        </w:rPr>
      </w:pPr>
    </w:p>
    <w:p w14:paraId="2EF087A0"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Et comme le travail traductionnel se poursuit à travers les siècles et jusqu’à nos jours, un choix s’impose. Parmi plus de 30 traductions françaises du texte coranique, nous avons opté pour quelques traductions représentatives d’une période de temps. Nous avons choisi des traductions aussi anciennes que contemporaines. Nous avons choisi des traductions q</w:t>
      </w:r>
      <w:r w:rsidR="00A7674A">
        <w:rPr>
          <w:rFonts w:asciiTheme="majorBidi" w:eastAsia="Times New Roman" w:hAnsiTheme="majorBidi" w:cstheme="majorBidi"/>
        </w:rPr>
        <w:t xml:space="preserve">ui représentent non </w:t>
      </w:r>
      <w:r w:rsidR="00A7674A">
        <w:rPr>
          <w:rFonts w:asciiTheme="majorBidi" w:eastAsia="Times New Roman" w:hAnsiTheme="majorBidi" w:cstheme="majorBidi"/>
        </w:rPr>
        <w:lastRenderedPageBreak/>
        <w:t>seulement</w:t>
      </w:r>
      <w:r w:rsidRPr="00CB7AF4">
        <w:rPr>
          <w:rFonts w:asciiTheme="majorBidi" w:eastAsia="Times New Roman" w:hAnsiTheme="majorBidi" w:cstheme="majorBidi"/>
        </w:rPr>
        <w:t xml:space="preserve"> différentes é</w:t>
      </w:r>
      <w:r w:rsidR="00A7674A">
        <w:rPr>
          <w:rFonts w:asciiTheme="majorBidi" w:eastAsia="Times New Roman" w:hAnsiTheme="majorBidi" w:cstheme="majorBidi"/>
        </w:rPr>
        <w:t xml:space="preserve">poques, mais aussi </w:t>
      </w:r>
      <w:r w:rsidRPr="00CB7AF4">
        <w:rPr>
          <w:rFonts w:asciiTheme="majorBidi" w:eastAsia="Times New Roman" w:hAnsiTheme="majorBidi" w:cstheme="majorBidi"/>
        </w:rPr>
        <w:t>différentes tendances, traductions réalisées par des musulmans et traductions réalisées par des non-musulmans.</w:t>
      </w:r>
    </w:p>
    <w:p w14:paraId="5C8FC051"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11D1D04D" w14:textId="77777777" w:rsidR="0071190B" w:rsidRPr="005168E7" w:rsidRDefault="0071190B" w:rsidP="005168E7">
      <w:pPr>
        <w:spacing w:line="360" w:lineRule="auto"/>
        <w:ind w:firstLine="708"/>
        <w:jc w:val="both"/>
        <w:rPr>
          <w:rFonts w:asciiTheme="majorBidi" w:eastAsia="Times New Roman" w:hAnsiTheme="majorBidi" w:cstheme="majorBidi"/>
          <w:b/>
          <w:bCs/>
          <w:u w:val="single"/>
          <w:rtl/>
        </w:rPr>
      </w:pPr>
      <w:r w:rsidRPr="00CB7AF4">
        <w:rPr>
          <w:rFonts w:asciiTheme="majorBidi" w:eastAsia="Times New Roman" w:hAnsiTheme="majorBidi" w:cstheme="majorBidi"/>
          <w:b/>
          <w:bCs/>
          <w:u w:val="single"/>
        </w:rPr>
        <w:t>Le corpus des traductions :</w:t>
      </w:r>
    </w:p>
    <w:p w14:paraId="3930CA87" w14:textId="77777777" w:rsidR="0071190B" w:rsidRPr="00CB7AF4" w:rsidRDefault="0071190B" w:rsidP="00031C98">
      <w:pPr>
        <w:spacing w:line="360" w:lineRule="auto"/>
        <w:ind w:firstLine="709"/>
        <w:jc w:val="both"/>
        <w:rPr>
          <w:rFonts w:asciiTheme="majorBidi" w:eastAsia="Times New Roman" w:hAnsiTheme="majorBidi" w:cstheme="majorBidi"/>
        </w:rPr>
      </w:pPr>
      <w:r w:rsidRPr="00CB7AF4">
        <w:rPr>
          <w:rFonts w:asciiTheme="majorBidi" w:eastAsia="Times New Roman" w:hAnsiTheme="majorBidi" w:cstheme="majorBidi"/>
        </w:rPr>
        <w:t xml:space="preserve">Nous allons choisir quelques </w:t>
      </w:r>
      <w:r w:rsidR="00031C98">
        <w:rPr>
          <w:rFonts w:asciiTheme="majorBidi" w:eastAsia="Times New Roman" w:hAnsiTheme="majorBidi" w:cstheme="majorBidi"/>
        </w:rPr>
        <w:t>exemples</w:t>
      </w:r>
      <w:r w:rsidRPr="00CB7AF4">
        <w:rPr>
          <w:rFonts w:asciiTheme="majorBidi" w:eastAsia="Times New Roman" w:hAnsiTheme="majorBidi" w:cstheme="majorBidi"/>
        </w:rPr>
        <w:t xml:space="preserve"> parmi les </w:t>
      </w:r>
      <w:r w:rsidR="000F7F97">
        <w:rPr>
          <w:rFonts w:asciiTheme="majorBidi" w:eastAsia="Times New Roman" w:hAnsiTheme="majorBidi" w:cstheme="majorBidi"/>
        </w:rPr>
        <w:t xml:space="preserve">dix-huit </w:t>
      </w:r>
      <w:r w:rsidRPr="00CB7AF4">
        <w:rPr>
          <w:rFonts w:asciiTheme="majorBidi" w:eastAsia="Times New Roman" w:hAnsiTheme="majorBidi" w:cstheme="majorBidi"/>
        </w:rPr>
        <w:t>traductions suivantes de :</w:t>
      </w:r>
    </w:p>
    <w:p w14:paraId="1FD66B7F"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André Du Ryer</w:t>
      </w:r>
      <w:r w:rsidRPr="00CB7AF4">
        <w:rPr>
          <w:rFonts w:asciiTheme="majorBidi" w:eastAsia="Calibri" w:hAnsiTheme="majorBidi" w:cstheme="majorBidi"/>
          <w:lang w:bidi="ar-AE"/>
        </w:rPr>
        <w:t xml:space="preserve"> </w:t>
      </w:r>
      <w:r w:rsidRPr="0023248F">
        <w:rPr>
          <w:rFonts w:asciiTheme="majorBidi" w:eastAsia="Calibri" w:hAnsiTheme="majorBidi" w:cstheme="majorBidi"/>
          <w:lang w:bidi="ar-AE"/>
        </w:rPr>
        <w:t>(1647)</w:t>
      </w:r>
      <w:r w:rsidRPr="0023248F">
        <w:rPr>
          <w:rFonts w:asciiTheme="majorBidi" w:eastAsia="Times New Roman" w:hAnsiTheme="majorBidi" w:cstheme="majorBidi"/>
        </w:rPr>
        <w:t> ;</w:t>
      </w:r>
    </w:p>
    <w:p w14:paraId="7FE6A16D"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SimSun" w:hAnsiTheme="majorBidi" w:cstheme="majorBidi"/>
          <w:lang w:eastAsia="zh-CN"/>
        </w:rPr>
        <w:t>Claude-Étienne Savary</w:t>
      </w:r>
      <w:r w:rsidRPr="0023248F">
        <w:rPr>
          <w:rFonts w:asciiTheme="majorBidi" w:eastAsia="Calibri" w:hAnsiTheme="majorBidi" w:cstheme="majorBidi"/>
          <w:lang w:bidi="ar-AE"/>
        </w:rPr>
        <w:t xml:space="preserve"> (1782)</w:t>
      </w:r>
      <w:r w:rsidRPr="0023248F">
        <w:rPr>
          <w:rFonts w:asciiTheme="majorBidi" w:eastAsia="Times New Roman" w:hAnsiTheme="majorBidi" w:cstheme="majorBidi"/>
        </w:rPr>
        <w:t> ;</w:t>
      </w:r>
    </w:p>
    <w:p w14:paraId="4DCBDEF0"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SimSun" w:hAnsiTheme="majorBidi" w:cstheme="majorBidi"/>
          <w:lang w:eastAsia="zh-CN"/>
        </w:rPr>
        <w:t>Kazimirski (</w:t>
      </w:r>
      <w:r w:rsidRPr="0023248F">
        <w:rPr>
          <w:rFonts w:asciiTheme="majorBidi" w:eastAsia="Times New Roman" w:hAnsiTheme="majorBidi" w:cstheme="majorBidi"/>
          <w:lang w:eastAsia="en-AU"/>
        </w:rPr>
        <w:t>1840</w:t>
      </w:r>
      <w:r w:rsidRPr="0023248F">
        <w:rPr>
          <w:rFonts w:asciiTheme="majorBidi" w:eastAsia="Calibri" w:hAnsiTheme="majorBidi" w:cstheme="majorBidi"/>
          <w:lang w:bidi="ar-AE"/>
        </w:rPr>
        <w:t>)</w:t>
      </w:r>
      <w:r w:rsidRPr="0023248F">
        <w:rPr>
          <w:rFonts w:asciiTheme="majorBidi" w:eastAsia="Times New Roman" w:hAnsiTheme="majorBidi" w:cstheme="majorBidi"/>
        </w:rPr>
        <w:t> ;</w:t>
      </w:r>
    </w:p>
    <w:p w14:paraId="21347F45"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Régis Blachère (1949) ;</w:t>
      </w:r>
    </w:p>
    <w:p w14:paraId="76034AFC"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SimSun" w:hAnsiTheme="majorBidi" w:cstheme="majorBidi"/>
          <w:lang w:eastAsia="zh-CN"/>
        </w:rPr>
        <w:t xml:space="preserve">Ameur </w:t>
      </w:r>
      <w:r w:rsidRPr="0023248F">
        <w:rPr>
          <w:rFonts w:asciiTheme="majorBidi" w:eastAsia="Times New Roman" w:hAnsiTheme="majorBidi" w:cstheme="majorBidi"/>
        </w:rPr>
        <w:t>Ghédira</w:t>
      </w:r>
      <w:r w:rsidRPr="0023248F">
        <w:rPr>
          <w:rFonts w:asciiTheme="majorBidi" w:eastAsia="SimSun" w:hAnsiTheme="majorBidi" w:cstheme="majorBidi"/>
          <w:lang w:eastAsia="zh-CN"/>
        </w:rPr>
        <w:t xml:space="preserve"> (1957</w:t>
      </w:r>
      <w:r w:rsidRPr="0023248F">
        <w:rPr>
          <w:rFonts w:asciiTheme="majorBidi" w:eastAsia="Calibri" w:hAnsiTheme="majorBidi" w:cstheme="majorBidi"/>
          <w:lang w:bidi="ar-AE"/>
        </w:rPr>
        <w:t>)</w:t>
      </w:r>
      <w:r w:rsidRPr="0023248F">
        <w:rPr>
          <w:rFonts w:asciiTheme="majorBidi" w:eastAsia="Times New Roman" w:hAnsiTheme="majorBidi" w:cstheme="majorBidi"/>
        </w:rPr>
        <w:t> ;</w:t>
      </w:r>
    </w:p>
    <w:p w14:paraId="7760AC57"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Muhammad Hamidullah (1959)</w:t>
      </w:r>
      <w:r w:rsidRPr="0023248F">
        <w:rPr>
          <w:rFonts w:asciiTheme="majorBidi" w:eastAsia="Calibri" w:hAnsiTheme="majorBidi" w:cstheme="majorBidi"/>
          <w:lang w:bidi="ar-AE"/>
        </w:rPr>
        <w:t xml:space="preserve"> (traduction accompagnée du texte arabe</w:t>
      </w:r>
      <w:r w:rsidR="00D47DB5">
        <w:rPr>
          <w:rFonts w:asciiTheme="majorBidi" w:eastAsia="Calibri" w:hAnsiTheme="majorBidi" w:cstheme="majorBidi"/>
          <w:lang w:bidi="ar-AE"/>
        </w:rPr>
        <w:t xml:space="preserve"> en regard,</w:t>
      </w:r>
      <w:r w:rsidRPr="0023248F">
        <w:rPr>
          <w:rFonts w:asciiTheme="majorBidi" w:eastAsia="Calibri" w:hAnsiTheme="majorBidi" w:cstheme="majorBidi"/>
          <w:lang w:bidi="ar-AE"/>
        </w:rPr>
        <w:t xml:space="preserve"> à gauche)</w:t>
      </w:r>
      <w:r w:rsidRPr="0023248F">
        <w:rPr>
          <w:rFonts w:asciiTheme="majorBidi" w:eastAsia="Times New Roman" w:hAnsiTheme="majorBidi" w:cstheme="majorBidi"/>
        </w:rPr>
        <w:t> ;</w:t>
      </w:r>
    </w:p>
    <w:p w14:paraId="52C07D1E"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Noureddine Ben Mahmoud (1962)</w:t>
      </w:r>
      <w:r w:rsidRPr="0023248F">
        <w:rPr>
          <w:rFonts w:asciiTheme="majorBidi" w:eastAsia="Calibri" w:hAnsiTheme="majorBidi" w:cstheme="majorBidi"/>
          <w:lang w:bidi="ar-AE"/>
        </w:rPr>
        <w:t xml:space="preserve"> (traduction accompagnée du texte arabe</w:t>
      </w:r>
      <w:r w:rsidR="00D47DB5">
        <w:rPr>
          <w:rFonts w:asciiTheme="majorBidi" w:eastAsia="Calibri" w:hAnsiTheme="majorBidi" w:cstheme="majorBidi"/>
          <w:lang w:bidi="ar-AE"/>
        </w:rPr>
        <w:t xml:space="preserve"> en regard,</w:t>
      </w:r>
      <w:r w:rsidRPr="0023248F">
        <w:rPr>
          <w:rFonts w:asciiTheme="majorBidi" w:eastAsia="Calibri" w:hAnsiTheme="majorBidi" w:cstheme="majorBidi"/>
          <w:lang w:bidi="ar-AE"/>
        </w:rPr>
        <w:t xml:space="preserve"> à gauche) ;</w:t>
      </w:r>
    </w:p>
    <w:p w14:paraId="3D8CB6F3"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Denise Masson (1967)</w:t>
      </w:r>
      <w:r w:rsidRPr="0023248F">
        <w:rPr>
          <w:rFonts w:asciiTheme="majorBidi" w:eastAsia="Calibri" w:hAnsiTheme="majorBidi" w:cstheme="majorBidi"/>
          <w:lang w:bidi="ar-AE"/>
        </w:rPr>
        <w:t xml:space="preserve"> (traduction accompagnée du texte arabe</w:t>
      </w:r>
      <w:r w:rsidR="00D47DB5">
        <w:rPr>
          <w:rFonts w:asciiTheme="majorBidi" w:eastAsia="Calibri" w:hAnsiTheme="majorBidi" w:cstheme="majorBidi"/>
          <w:lang w:bidi="ar-AE"/>
        </w:rPr>
        <w:t xml:space="preserve"> en regard,</w:t>
      </w:r>
      <w:r w:rsidRPr="0023248F">
        <w:rPr>
          <w:rFonts w:asciiTheme="majorBidi" w:eastAsia="Calibri" w:hAnsiTheme="majorBidi" w:cstheme="majorBidi"/>
          <w:lang w:bidi="ar-AE"/>
        </w:rPr>
        <w:t xml:space="preserve"> à droite)</w:t>
      </w:r>
      <w:r w:rsidRPr="0023248F">
        <w:rPr>
          <w:rFonts w:asciiTheme="majorBidi" w:eastAsia="Times New Roman" w:hAnsiTheme="majorBidi" w:cstheme="majorBidi"/>
        </w:rPr>
        <w:t> ;</w:t>
      </w:r>
    </w:p>
    <w:p w14:paraId="5A5353F4" w14:textId="7C80AD51" w:rsidR="0071190B" w:rsidRPr="0023248F" w:rsidRDefault="00370BE5" w:rsidP="007640DC">
      <w:pPr>
        <w:numPr>
          <w:ilvl w:val="0"/>
          <w:numId w:val="3"/>
        </w:numPr>
        <w:spacing w:line="360" w:lineRule="auto"/>
        <w:jc w:val="both"/>
        <w:rPr>
          <w:rFonts w:asciiTheme="majorBidi" w:eastAsia="Times New Roman" w:hAnsiTheme="majorBidi" w:cstheme="majorBidi"/>
        </w:rPr>
      </w:pPr>
      <w:r>
        <w:rPr>
          <w:rFonts w:asciiTheme="majorBidi" w:eastAsia="Times New Roman" w:hAnsiTheme="majorBidi" w:cstheme="majorBidi"/>
        </w:rPr>
        <w:t>Jean Grosjean (</w:t>
      </w:r>
      <w:r w:rsidR="00A016FC">
        <w:rPr>
          <w:rFonts w:asciiTheme="majorBidi" w:eastAsia="Times New Roman" w:hAnsiTheme="majorBidi" w:cstheme="majorBidi"/>
        </w:rPr>
        <w:t>1972</w:t>
      </w:r>
      <w:r w:rsidR="0071190B" w:rsidRPr="0023248F">
        <w:rPr>
          <w:rFonts w:asciiTheme="majorBidi" w:eastAsia="Times New Roman" w:hAnsiTheme="majorBidi" w:cstheme="majorBidi"/>
        </w:rPr>
        <w:t>) ;</w:t>
      </w:r>
    </w:p>
    <w:p w14:paraId="49C8A303" w14:textId="77777777" w:rsidR="0071190B" w:rsidRPr="0023248F" w:rsidRDefault="0071190B" w:rsidP="007640DC">
      <w:pPr>
        <w:numPr>
          <w:ilvl w:val="0"/>
          <w:numId w:val="3"/>
        </w:numPr>
        <w:spacing w:line="360" w:lineRule="auto"/>
        <w:jc w:val="both"/>
        <w:rPr>
          <w:rFonts w:asciiTheme="majorBidi" w:eastAsia="Calibri" w:hAnsiTheme="majorBidi" w:cstheme="majorBidi"/>
          <w:lang w:bidi="ar-AE"/>
        </w:rPr>
      </w:pPr>
      <w:r w:rsidRPr="0023248F">
        <w:rPr>
          <w:rFonts w:asciiTheme="majorBidi" w:eastAsia="Times New Roman" w:hAnsiTheme="majorBidi" w:cstheme="majorBidi"/>
        </w:rPr>
        <w:t>Jacques Berque (1990) (traduction qui a suscité une polémique) ;</w:t>
      </w:r>
    </w:p>
    <w:p w14:paraId="31228F18"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André Chouraqui (1990) (traduction dépaysante controversée</w:t>
      </w:r>
      <w:r w:rsidR="00A7674A">
        <w:rPr>
          <w:rFonts w:asciiTheme="majorBidi" w:eastAsia="Times New Roman" w:hAnsiTheme="majorBidi" w:cstheme="majorBidi"/>
        </w:rPr>
        <w:t>,</w:t>
      </w:r>
      <w:r w:rsidRPr="0023248F">
        <w:rPr>
          <w:rFonts w:asciiTheme="majorBidi" w:eastAsia="Times New Roman" w:hAnsiTheme="majorBidi" w:cstheme="majorBidi"/>
        </w:rPr>
        <w:t xml:space="preserve"> réalisée par le biais de l’hébreu) ; </w:t>
      </w:r>
    </w:p>
    <w:p w14:paraId="15D85FDE"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Ahmed Guessous (1999) (traduction rimée) ;</w:t>
      </w:r>
    </w:p>
    <w:p w14:paraId="28E27A74"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 xml:space="preserve">Mohammed Chiadmi (1999) </w:t>
      </w:r>
      <w:r w:rsidRPr="0023248F">
        <w:rPr>
          <w:rFonts w:asciiTheme="majorBidi" w:eastAsia="Calibri" w:hAnsiTheme="majorBidi" w:cstheme="majorBidi"/>
          <w:lang w:bidi="ar-AE"/>
        </w:rPr>
        <w:t>(traduction apologétique accompagnée du texte arabe</w:t>
      </w:r>
      <w:r w:rsidR="00903698">
        <w:rPr>
          <w:rFonts w:asciiTheme="majorBidi" w:eastAsia="Calibri" w:hAnsiTheme="majorBidi" w:cstheme="majorBidi"/>
          <w:lang w:bidi="ar-AE"/>
        </w:rPr>
        <w:t xml:space="preserve"> en regard,</w:t>
      </w:r>
      <w:r w:rsidRPr="0023248F">
        <w:rPr>
          <w:rFonts w:asciiTheme="majorBidi" w:eastAsia="Calibri" w:hAnsiTheme="majorBidi" w:cstheme="majorBidi"/>
          <w:lang w:bidi="ar-AE"/>
        </w:rPr>
        <w:t xml:space="preserve"> à droite) ;</w:t>
      </w:r>
    </w:p>
    <w:p w14:paraId="13806D77"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Complexe du Roi Fahd à Médine (2001) ;</w:t>
      </w:r>
    </w:p>
    <w:p w14:paraId="40F41FFC" w14:textId="77777777" w:rsidR="0071190B" w:rsidRPr="0023248F" w:rsidRDefault="00CC756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 xml:space="preserve">Zeinab </w:t>
      </w:r>
      <w:r w:rsidRPr="0023248F">
        <w:rPr>
          <w:rFonts w:asciiTheme="majorBidi" w:eastAsia="Calibri" w:hAnsiTheme="majorBidi" w:cstheme="majorBidi"/>
        </w:rPr>
        <w:t>Abdelaziz</w:t>
      </w:r>
      <w:r w:rsidRPr="0023248F">
        <w:rPr>
          <w:rFonts w:asciiTheme="majorBidi" w:eastAsia="Times New Roman" w:hAnsiTheme="majorBidi" w:cstheme="majorBidi"/>
        </w:rPr>
        <w:t xml:space="preserve"> (2002, 2009 &amp; 2014) ;</w:t>
      </w:r>
    </w:p>
    <w:p w14:paraId="707BD166" w14:textId="77777777" w:rsidR="003242B9" w:rsidRPr="0023248F" w:rsidRDefault="003242B9" w:rsidP="007640DC">
      <w:pPr>
        <w:numPr>
          <w:ilvl w:val="0"/>
          <w:numId w:val="3"/>
        </w:numPr>
        <w:spacing w:line="360" w:lineRule="auto"/>
        <w:jc w:val="both"/>
        <w:rPr>
          <w:rFonts w:asciiTheme="majorBidi" w:eastAsia="Calibri" w:hAnsiTheme="majorBidi" w:cstheme="majorBidi"/>
          <w:lang w:bidi="ar-AE"/>
        </w:rPr>
      </w:pPr>
      <w:r w:rsidRPr="000159E8">
        <w:rPr>
          <w:rFonts w:asciiTheme="majorBidi" w:eastAsia="Times New Roman" w:hAnsiTheme="majorBidi" w:cstheme="majorBidi"/>
        </w:rPr>
        <w:t>Sami Awad Aldeeb Abu-Sahlieh (2008) (</w:t>
      </w:r>
      <w:r w:rsidRPr="000159E8">
        <w:rPr>
          <w:rFonts w:asciiTheme="majorBidi" w:eastAsia="Calibri" w:hAnsiTheme="majorBidi" w:cstheme="majorBidi"/>
          <w:lang w:bidi="ar-AE"/>
        </w:rPr>
        <w:t>traduction accompagnée du texte arabe</w:t>
      </w:r>
      <w:r w:rsidR="000159E8" w:rsidRPr="000159E8">
        <w:rPr>
          <w:rFonts w:asciiTheme="majorBidi" w:eastAsia="Calibri" w:hAnsiTheme="majorBidi" w:cstheme="majorBidi"/>
          <w:lang w:bidi="ar-AE"/>
        </w:rPr>
        <w:t xml:space="preserve"> </w:t>
      </w:r>
      <w:r w:rsidR="000159E8" w:rsidRPr="000159E8">
        <w:rPr>
          <w:lang w:eastAsia="en-US"/>
        </w:rPr>
        <w:t>en regard</w:t>
      </w:r>
      <w:r w:rsidRPr="000159E8">
        <w:rPr>
          <w:rFonts w:asciiTheme="majorBidi" w:eastAsia="Calibri" w:hAnsiTheme="majorBidi" w:cstheme="majorBidi"/>
          <w:lang w:bidi="ar-AE"/>
        </w:rPr>
        <w:t>, en deux</w:t>
      </w:r>
      <w:r w:rsidRPr="0023248F">
        <w:rPr>
          <w:rFonts w:asciiTheme="majorBidi" w:eastAsia="Calibri" w:hAnsiTheme="majorBidi" w:cstheme="majorBidi"/>
          <w:lang w:bidi="ar-AE"/>
        </w:rPr>
        <w:t xml:space="preserve"> colonnes, </w:t>
      </w:r>
      <w:r w:rsidRPr="0023248F">
        <w:rPr>
          <w:rFonts w:asciiTheme="majorBidi" w:eastAsia="Times New Roman" w:hAnsiTheme="majorBidi" w:cstheme="majorBidi"/>
        </w:rPr>
        <w:t>réalisée à partir de la confrontation des autres traductions) ;</w:t>
      </w:r>
    </w:p>
    <w:p w14:paraId="591D2180" w14:textId="77777777" w:rsidR="0071190B" w:rsidRPr="0023248F" w:rsidRDefault="0071190B" w:rsidP="007640DC">
      <w:pPr>
        <w:numPr>
          <w:ilvl w:val="0"/>
          <w:numId w:val="3"/>
        </w:numPr>
        <w:spacing w:line="360" w:lineRule="auto"/>
        <w:jc w:val="both"/>
        <w:rPr>
          <w:rFonts w:asciiTheme="majorBidi" w:eastAsia="Times New Roman" w:hAnsiTheme="majorBidi" w:cstheme="majorBidi"/>
        </w:rPr>
      </w:pPr>
      <w:r w:rsidRPr="0023248F">
        <w:rPr>
          <w:rFonts w:asciiTheme="majorBidi" w:eastAsia="Times New Roman" w:hAnsiTheme="majorBidi" w:cstheme="majorBidi"/>
        </w:rPr>
        <w:t>Malek Chebel (2009) ;</w:t>
      </w:r>
    </w:p>
    <w:p w14:paraId="4D9B179F" w14:textId="77777777" w:rsidR="0071190B" w:rsidRPr="00CB7AF4" w:rsidRDefault="0071190B" w:rsidP="007640DC">
      <w:pPr>
        <w:numPr>
          <w:ilvl w:val="0"/>
          <w:numId w:val="3"/>
        </w:numPr>
        <w:spacing w:line="276" w:lineRule="auto"/>
        <w:jc w:val="both"/>
        <w:rPr>
          <w:rFonts w:asciiTheme="majorBidi" w:eastAsia="Times New Roman" w:hAnsiTheme="majorBidi" w:cstheme="majorBidi"/>
        </w:rPr>
      </w:pPr>
      <w:r w:rsidRPr="0023248F">
        <w:rPr>
          <w:rFonts w:asciiTheme="majorBidi" w:eastAsia="Times New Roman" w:hAnsiTheme="majorBidi" w:cstheme="majorBidi"/>
        </w:rPr>
        <w:t>Hachemi Hafiane (2010)</w:t>
      </w:r>
      <w:r w:rsidRPr="0023248F">
        <w:rPr>
          <w:rFonts w:asciiTheme="majorBidi" w:eastAsia="Calibri" w:hAnsiTheme="majorBidi" w:cstheme="majorBidi"/>
          <w:lang w:bidi="ar-AE"/>
        </w:rPr>
        <w:t xml:space="preserve"> (traduction</w:t>
      </w:r>
      <w:r w:rsidRPr="00CB7AF4">
        <w:rPr>
          <w:rFonts w:asciiTheme="majorBidi" w:eastAsia="Calibri" w:hAnsiTheme="majorBidi" w:cstheme="majorBidi"/>
          <w:lang w:bidi="ar-AE"/>
        </w:rPr>
        <w:t xml:space="preserve"> accompagnée du texte arabe</w:t>
      </w:r>
      <w:r w:rsidR="00723763">
        <w:rPr>
          <w:rFonts w:asciiTheme="majorBidi" w:eastAsia="Calibri" w:hAnsiTheme="majorBidi" w:cstheme="majorBidi"/>
          <w:lang w:bidi="ar-AE"/>
        </w:rPr>
        <w:t xml:space="preserve"> en regard,</w:t>
      </w:r>
      <w:r w:rsidRPr="00CB7AF4">
        <w:rPr>
          <w:rFonts w:asciiTheme="majorBidi" w:eastAsia="Calibri" w:hAnsiTheme="majorBidi" w:cstheme="majorBidi"/>
          <w:lang w:bidi="ar-AE"/>
        </w:rPr>
        <w:t xml:space="preserve"> à droite).</w:t>
      </w:r>
    </w:p>
    <w:p w14:paraId="51E60CB9" w14:textId="77777777" w:rsidR="0071190B" w:rsidRPr="005316B8" w:rsidRDefault="0071190B" w:rsidP="004F69D6">
      <w:pPr>
        <w:spacing w:line="276" w:lineRule="auto"/>
        <w:ind w:firstLine="360"/>
        <w:jc w:val="both"/>
        <w:rPr>
          <w:rFonts w:asciiTheme="majorBidi" w:eastAsia="Times New Roman" w:hAnsiTheme="majorBidi" w:cstheme="majorBidi"/>
        </w:rPr>
      </w:pPr>
    </w:p>
    <w:p w14:paraId="0182E682" w14:textId="77777777" w:rsidR="009E1099" w:rsidRPr="005316B8" w:rsidRDefault="00345549" w:rsidP="00E01087">
      <w:pPr>
        <w:spacing w:line="276" w:lineRule="auto"/>
        <w:ind w:firstLine="360"/>
        <w:jc w:val="both"/>
        <w:rPr>
          <w:rFonts w:asciiTheme="majorBidi" w:eastAsia="Times New Roman" w:hAnsiTheme="majorBidi" w:cstheme="majorBidi"/>
          <w:shd w:val="clear" w:color="auto" w:fill="FFFFFF"/>
        </w:rPr>
      </w:pPr>
      <w:r w:rsidRPr="005316B8">
        <w:rPr>
          <w:rFonts w:asciiTheme="majorBidi" w:eastAsia="Times New Roman" w:hAnsiTheme="majorBidi" w:cstheme="majorBidi"/>
        </w:rPr>
        <w:lastRenderedPageBreak/>
        <w:t xml:space="preserve">Pour ce qui </w:t>
      </w:r>
      <w:r w:rsidR="00561BDC" w:rsidRPr="005316B8">
        <w:rPr>
          <w:rFonts w:asciiTheme="majorBidi" w:eastAsia="Times New Roman" w:hAnsiTheme="majorBidi" w:cstheme="majorBidi"/>
        </w:rPr>
        <w:t>e</w:t>
      </w:r>
      <w:r w:rsidRPr="005316B8">
        <w:rPr>
          <w:rFonts w:asciiTheme="majorBidi" w:eastAsia="Times New Roman" w:hAnsiTheme="majorBidi" w:cstheme="majorBidi"/>
        </w:rPr>
        <w:t>st du</w:t>
      </w:r>
      <w:r w:rsidR="00561BDC" w:rsidRPr="005316B8">
        <w:rPr>
          <w:rFonts w:asciiTheme="majorBidi" w:eastAsia="Times New Roman" w:hAnsiTheme="majorBidi" w:cstheme="majorBidi"/>
        </w:rPr>
        <w:t xml:space="preserve"> choix de ces traductions</w:t>
      </w:r>
      <w:r w:rsidRPr="005316B8">
        <w:rPr>
          <w:rFonts w:asciiTheme="majorBidi" w:eastAsia="Times New Roman" w:hAnsiTheme="majorBidi" w:cstheme="majorBidi"/>
        </w:rPr>
        <w:t>,</w:t>
      </w:r>
      <w:r w:rsidR="008313A8" w:rsidRPr="005316B8">
        <w:rPr>
          <w:rFonts w:asciiTheme="majorBidi" w:eastAsia="Times New Roman" w:hAnsiTheme="majorBidi" w:cstheme="majorBidi"/>
        </w:rPr>
        <w:t xml:space="preserve"> </w:t>
      </w:r>
      <w:r w:rsidRPr="005316B8">
        <w:rPr>
          <w:rFonts w:asciiTheme="majorBidi" w:eastAsia="Times New Roman" w:hAnsiTheme="majorBidi" w:cstheme="majorBidi"/>
        </w:rPr>
        <w:t xml:space="preserve">nous avons </w:t>
      </w:r>
      <w:r w:rsidR="00E15040" w:rsidRPr="005316B8">
        <w:rPr>
          <w:rFonts w:asciiTheme="majorBidi" w:eastAsia="Times New Roman" w:hAnsiTheme="majorBidi" w:cstheme="majorBidi"/>
        </w:rPr>
        <w:t xml:space="preserve">d’abord </w:t>
      </w:r>
      <w:r w:rsidR="004F69D6" w:rsidRPr="005316B8">
        <w:rPr>
          <w:rFonts w:asciiTheme="majorBidi" w:eastAsia="Times New Roman" w:hAnsiTheme="majorBidi" w:cstheme="majorBidi"/>
        </w:rPr>
        <w:t>consulté toutes les traduction</w:t>
      </w:r>
      <w:r w:rsidR="00D15787" w:rsidRPr="005316B8">
        <w:rPr>
          <w:rFonts w:asciiTheme="majorBidi" w:eastAsia="Times New Roman" w:hAnsiTheme="majorBidi" w:cstheme="majorBidi"/>
        </w:rPr>
        <w:t>s de la sourate al-Ḥajj</w:t>
      </w:r>
      <w:r w:rsidR="004F69D6" w:rsidRPr="005316B8">
        <w:rPr>
          <w:rFonts w:asciiTheme="majorBidi" w:eastAsia="Times New Roman" w:hAnsiTheme="majorBidi" w:cstheme="majorBidi"/>
        </w:rPr>
        <w:t xml:space="preserve"> en français disponible</w:t>
      </w:r>
      <w:r w:rsidR="00D15787" w:rsidRPr="005316B8">
        <w:rPr>
          <w:rFonts w:asciiTheme="majorBidi" w:eastAsia="Times New Roman" w:hAnsiTheme="majorBidi" w:cstheme="majorBidi"/>
        </w:rPr>
        <w:t>s</w:t>
      </w:r>
      <w:r w:rsidR="004F69D6" w:rsidRPr="005316B8">
        <w:rPr>
          <w:rFonts w:asciiTheme="majorBidi" w:eastAsia="Times New Roman" w:hAnsiTheme="majorBidi" w:cstheme="majorBidi"/>
        </w:rPr>
        <w:t xml:space="preserve"> </w:t>
      </w:r>
      <w:r w:rsidR="005F6701" w:rsidRPr="005316B8">
        <w:rPr>
          <w:rFonts w:asciiTheme="majorBidi" w:eastAsia="Times New Roman" w:hAnsiTheme="majorBidi" w:cstheme="majorBidi"/>
        </w:rPr>
        <w:t>dans les</w:t>
      </w:r>
      <w:r w:rsidR="00D15787" w:rsidRPr="005316B8">
        <w:rPr>
          <w:rFonts w:asciiTheme="majorBidi" w:eastAsia="Times New Roman" w:hAnsiTheme="majorBidi" w:cstheme="majorBidi"/>
        </w:rPr>
        <w:t xml:space="preserve"> bibliothèque</w:t>
      </w:r>
      <w:r w:rsidR="005F6701" w:rsidRPr="005316B8">
        <w:rPr>
          <w:rFonts w:asciiTheme="majorBidi" w:eastAsia="Times New Roman" w:hAnsiTheme="majorBidi" w:cstheme="majorBidi"/>
        </w:rPr>
        <w:t>s aixoises (</w:t>
      </w:r>
      <w:r w:rsidR="000D6629" w:rsidRPr="005316B8">
        <w:rPr>
          <w:rFonts w:asciiTheme="majorBidi" w:eastAsia="Times New Roman" w:hAnsiTheme="majorBidi" w:cstheme="majorBidi"/>
        </w:rPr>
        <w:t>BU de la Facul</w:t>
      </w:r>
      <w:r w:rsidR="005F6701" w:rsidRPr="005316B8">
        <w:rPr>
          <w:rFonts w:asciiTheme="majorBidi" w:eastAsia="Times New Roman" w:hAnsiTheme="majorBidi" w:cstheme="majorBidi"/>
        </w:rPr>
        <w:t xml:space="preserve">té de Lettres d’Aix et </w:t>
      </w:r>
      <w:r w:rsidR="000A3B42" w:rsidRPr="005316B8">
        <w:rPr>
          <w:rFonts w:asciiTheme="majorBidi" w:eastAsia="Times New Roman" w:hAnsiTheme="majorBidi" w:cstheme="majorBidi"/>
        </w:rPr>
        <w:t>média</w:t>
      </w:r>
      <w:r w:rsidR="000D6629" w:rsidRPr="005316B8">
        <w:rPr>
          <w:rFonts w:asciiTheme="majorBidi" w:eastAsia="Times New Roman" w:hAnsiTheme="majorBidi" w:cstheme="majorBidi"/>
        </w:rPr>
        <w:t>thèque de la MMSH</w:t>
      </w:r>
      <w:r w:rsidR="000D6629" w:rsidRPr="005316B8">
        <w:rPr>
          <w:rStyle w:val="Appelnotedebasdep"/>
          <w:rFonts w:eastAsia="Times New Roman"/>
        </w:rPr>
        <w:footnoteReference w:id="47"/>
      </w:r>
      <w:r w:rsidR="000D6629" w:rsidRPr="005316B8">
        <w:rPr>
          <w:rFonts w:asciiTheme="majorBidi" w:eastAsia="Times New Roman" w:hAnsiTheme="majorBidi" w:cstheme="majorBidi"/>
        </w:rPr>
        <w:t xml:space="preserve">) </w:t>
      </w:r>
      <w:r w:rsidR="00547A18" w:rsidRPr="005316B8">
        <w:rPr>
          <w:rFonts w:asciiTheme="majorBidi" w:eastAsia="Times New Roman" w:hAnsiTheme="majorBidi" w:cstheme="majorBidi"/>
        </w:rPr>
        <w:t>ou</w:t>
      </w:r>
      <w:r w:rsidR="00D15787" w:rsidRPr="005316B8">
        <w:rPr>
          <w:rFonts w:asciiTheme="majorBidi" w:eastAsia="Times New Roman" w:hAnsiTheme="majorBidi" w:cstheme="majorBidi"/>
        </w:rPr>
        <w:t xml:space="preserve"> en ligne. </w:t>
      </w:r>
      <w:r w:rsidR="002B145F" w:rsidRPr="005316B8">
        <w:rPr>
          <w:rFonts w:asciiTheme="majorBidi" w:eastAsia="Times New Roman" w:hAnsiTheme="majorBidi" w:cstheme="majorBidi"/>
        </w:rPr>
        <w:t>N</w:t>
      </w:r>
      <w:r w:rsidR="00256EF4" w:rsidRPr="005316B8">
        <w:rPr>
          <w:rFonts w:asciiTheme="majorBidi" w:eastAsia="Times New Roman" w:hAnsiTheme="majorBidi" w:cstheme="majorBidi"/>
        </w:rPr>
        <w:t>ous avons</w:t>
      </w:r>
      <w:r w:rsidR="00D15787" w:rsidRPr="005316B8">
        <w:rPr>
          <w:rFonts w:asciiTheme="majorBidi" w:eastAsia="Times New Roman" w:hAnsiTheme="majorBidi" w:cstheme="majorBidi"/>
        </w:rPr>
        <w:t xml:space="preserve"> </w:t>
      </w:r>
      <w:r w:rsidR="00E635D9" w:rsidRPr="005316B8">
        <w:rPr>
          <w:rFonts w:asciiTheme="majorBidi" w:eastAsia="Times New Roman" w:hAnsiTheme="majorBidi" w:cstheme="majorBidi"/>
        </w:rPr>
        <w:t>ainsi retenu</w:t>
      </w:r>
      <w:r w:rsidR="00D46E98" w:rsidRPr="005316B8">
        <w:rPr>
          <w:rFonts w:asciiTheme="majorBidi" w:eastAsia="Times New Roman" w:hAnsiTheme="majorBidi" w:cstheme="majorBidi"/>
        </w:rPr>
        <w:t xml:space="preserve"> les traductions qui </w:t>
      </w:r>
      <w:r w:rsidR="00E635D9" w:rsidRPr="005316B8">
        <w:rPr>
          <w:lang w:eastAsia="en-US"/>
        </w:rPr>
        <w:t>présentaient entre elles des différences marquées et significatives</w:t>
      </w:r>
      <w:r w:rsidR="00AC2688" w:rsidRPr="005316B8">
        <w:rPr>
          <w:rFonts w:asciiTheme="majorBidi" w:eastAsia="Times New Roman" w:hAnsiTheme="majorBidi" w:cstheme="majorBidi"/>
        </w:rPr>
        <w:t> ;</w:t>
      </w:r>
      <w:r w:rsidR="00D15787" w:rsidRPr="005316B8">
        <w:rPr>
          <w:rFonts w:asciiTheme="majorBidi" w:eastAsia="Times New Roman" w:hAnsiTheme="majorBidi" w:cstheme="majorBidi"/>
        </w:rPr>
        <w:t xml:space="preserve"> </w:t>
      </w:r>
      <w:r w:rsidR="00851439" w:rsidRPr="005316B8">
        <w:rPr>
          <w:rFonts w:asciiTheme="majorBidi" w:eastAsia="Times New Roman" w:hAnsiTheme="majorBidi" w:cstheme="majorBidi"/>
        </w:rPr>
        <w:t>parallèlement</w:t>
      </w:r>
      <w:r w:rsidR="00D15787" w:rsidRPr="005316B8">
        <w:rPr>
          <w:rFonts w:asciiTheme="majorBidi" w:eastAsia="Times New Roman" w:hAnsiTheme="majorBidi" w:cstheme="majorBidi"/>
        </w:rPr>
        <w:t>,</w:t>
      </w:r>
      <w:r w:rsidR="004F69D6" w:rsidRPr="005316B8">
        <w:rPr>
          <w:rFonts w:asciiTheme="majorBidi" w:eastAsia="Times New Roman" w:hAnsiTheme="majorBidi" w:cstheme="majorBidi"/>
        </w:rPr>
        <w:t xml:space="preserve"> </w:t>
      </w:r>
      <w:r w:rsidR="00C64B5A" w:rsidRPr="005316B8">
        <w:rPr>
          <w:rFonts w:asciiTheme="majorBidi" w:eastAsia="Times New Roman" w:hAnsiTheme="majorBidi" w:cstheme="majorBidi"/>
        </w:rPr>
        <w:t xml:space="preserve">quand </w:t>
      </w:r>
      <w:r w:rsidR="005B69FD" w:rsidRPr="005316B8">
        <w:rPr>
          <w:rFonts w:asciiTheme="majorBidi" w:eastAsia="Times New Roman" w:hAnsiTheme="majorBidi" w:cstheme="majorBidi"/>
        </w:rPr>
        <w:t>nous avons</w:t>
      </w:r>
      <w:r w:rsidR="00D15787" w:rsidRPr="005316B8">
        <w:rPr>
          <w:rFonts w:asciiTheme="majorBidi" w:eastAsia="Times New Roman" w:hAnsiTheme="majorBidi" w:cstheme="majorBidi"/>
        </w:rPr>
        <w:t xml:space="preserve"> exclu </w:t>
      </w:r>
      <w:r w:rsidR="00AC2688" w:rsidRPr="005316B8">
        <w:rPr>
          <w:rFonts w:asciiTheme="majorBidi" w:eastAsia="Times New Roman" w:hAnsiTheme="majorBidi" w:cstheme="majorBidi"/>
        </w:rPr>
        <w:t xml:space="preserve">celles de </w:t>
      </w:r>
      <w:r w:rsidR="00632D1B" w:rsidRPr="005316B8">
        <w:rPr>
          <w:rFonts w:asciiTheme="majorBidi" w:eastAsia="Times New Roman" w:hAnsiTheme="majorBidi" w:cstheme="majorBidi"/>
        </w:rPr>
        <w:t xml:space="preserve">Hamza </w:t>
      </w:r>
      <w:r w:rsidR="00D15787" w:rsidRPr="005316B8">
        <w:rPr>
          <w:rFonts w:asciiTheme="majorBidi" w:eastAsia="Times New Roman" w:hAnsiTheme="majorBidi" w:cstheme="majorBidi"/>
        </w:rPr>
        <w:t>Boubakeur</w:t>
      </w:r>
      <w:r w:rsidR="00632D1B" w:rsidRPr="005316B8">
        <w:rPr>
          <w:rFonts w:asciiTheme="majorBidi" w:eastAsia="Times New Roman" w:hAnsiTheme="majorBidi" w:cstheme="majorBidi"/>
        </w:rPr>
        <w:t xml:space="preserve"> (1990)</w:t>
      </w:r>
      <w:r w:rsidR="00212082" w:rsidRPr="005316B8">
        <w:rPr>
          <w:rFonts w:asciiTheme="majorBidi" w:eastAsia="Times New Roman" w:hAnsiTheme="majorBidi" w:cstheme="majorBidi"/>
        </w:rPr>
        <w:t>,</w:t>
      </w:r>
      <w:r w:rsidR="004F69D6" w:rsidRPr="005316B8">
        <w:rPr>
          <w:rFonts w:asciiTheme="majorBidi" w:eastAsia="Times New Roman" w:hAnsiTheme="majorBidi" w:cstheme="majorBidi"/>
        </w:rPr>
        <w:t xml:space="preserve"> </w:t>
      </w:r>
      <w:r w:rsidR="008B0332" w:rsidRPr="005316B8">
        <w:rPr>
          <w:rFonts w:asciiTheme="majorBidi" w:eastAsia="Times New Roman" w:hAnsiTheme="majorBidi" w:cstheme="majorBidi"/>
        </w:rPr>
        <w:t xml:space="preserve">Sadok </w:t>
      </w:r>
      <w:r w:rsidR="000A3B42" w:rsidRPr="005316B8">
        <w:rPr>
          <w:rFonts w:asciiTheme="majorBidi" w:eastAsia="Times New Roman" w:hAnsiTheme="majorBidi" w:cstheme="majorBidi"/>
        </w:rPr>
        <w:t>M</w:t>
      </w:r>
      <w:r w:rsidR="004F69D6" w:rsidRPr="005316B8">
        <w:rPr>
          <w:rFonts w:asciiTheme="majorBidi" w:eastAsia="Times New Roman" w:hAnsiTheme="majorBidi" w:cstheme="majorBidi"/>
        </w:rPr>
        <w:t>azigh</w:t>
      </w:r>
      <w:r w:rsidR="008B0332" w:rsidRPr="005316B8">
        <w:rPr>
          <w:rFonts w:asciiTheme="majorBidi" w:eastAsia="Times New Roman" w:hAnsiTheme="majorBidi" w:cstheme="majorBidi"/>
        </w:rPr>
        <w:t xml:space="preserve"> (2006)</w:t>
      </w:r>
      <w:r w:rsidR="00212082" w:rsidRPr="005316B8">
        <w:rPr>
          <w:rFonts w:asciiTheme="majorBidi" w:eastAsia="Times New Roman" w:hAnsiTheme="majorBidi" w:cstheme="majorBidi"/>
        </w:rPr>
        <w:t xml:space="preserve">, </w:t>
      </w:r>
      <w:r w:rsidR="00D05793" w:rsidRPr="005316B8">
        <w:rPr>
          <w:rFonts w:asciiTheme="majorBidi" w:eastAsia="Times New Roman" w:hAnsiTheme="majorBidi" w:cstheme="majorBidi"/>
        </w:rPr>
        <w:t>Abolqasemi Fakhri (2008)</w:t>
      </w:r>
      <w:r w:rsidR="00212082" w:rsidRPr="005316B8">
        <w:rPr>
          <w:rFonts w:asciiTheme="majorBidi" w:eastAsia="Times New Roman" w:hAnsiTheme="majorBidi" w:cstheme="majorBidi"/>
        </w:rPr>
        <w:t xml:space="preserve"> et autres</w:t>
      </w:r>
      <w:r w:rsidR="00256EF4" w:rsidRPr="005316B8">
        <w:rPr>
          <w:rFonts w:asciiTheme="majorBidi" w:eastAsia="Times New Roman" w:hAnsiTheme="majorBidi" w:cstheme="majorBidi"/>
        </w:rPr>
        <w:t>,</w:t>
      </w:r>
      <w:r w:rsidR="007615DF" w:rsidRPr="005316B8">
        <w:rPr>
          <w:rFonts w:asciiTheme="majorBidi" w:eastAsia="Times New Roman" w:hAnsiTheme="majorBidi" w:cstheme="majorBidi"/>
        </w:rPr>
        <w:t xml:space="preserve"> c’est parce qu’elles </w:t>
      </w:r>
      <w:r w:rsidR="00463DE7" w:rsidRPr="005316B8">
        <w:rPr>
          <w:rFonts w:asciiTheme="majorBidi" w:eastAsia="Times New Roman" w:hAnsiTheme="majorBidi" w:cstheme="majorBidi"/>
        </w:rPr>
        <w:t xml:space="preserve">n’offraient </w:t>
      </w:r>
      <w:r w:rsidR="00851439" w:rsidRPr="005316B8">
        <w:rPr>
          <w:rFonts w:asciiTheme="majorBidi" w:eastAsia="Times New Roman" w:hAnsiTheme="majorBidi" w:cstheme="majorBidi"/>
        </w:rPr>
        <w:t xml:space="preserve">pas </w:t>
      </w:r>
      <w:r w:rsidR="008248C2" w:rsidRPr="005316B8">
        <w:rPr>
          <w:rFonts w:asciiTheme="majorBidi" w:eastAsia="Times New Roman" w:hAnsiTheme="majorBidi" w:cstheme="majorBidi"/>
        </w:rPr>
        <w:t xml:space="preserve">réellement </w:t>
      </w:r>
      <w:r w:rsidR="00851439" w:rsidRPr="005316B8">
        <w:rPr>
          <w:rFonts w:asciiTheme="majorBidi" w:eastAsia="Times New Roman" w:hAnsiTheme="majorBidi" w:cstheme="majorBidi"/>
        </w:rPr>
        <w:t xml:space="preserve">de choix différents </w:t>
      </w:r>
      <w:r w:rsidR="008248C2" w:rsidRPr="005316B8">
        <w:rPr>
          <w:rFonts w:asciiTheme="majorBidi" w:eastAsia="Times New Roman" w:hAnsiTheme="majorBidi" w:cstheme="majorBidi"/>
        </w:rPr>
        <w:t xml:space="preserve">de ceux opérés dans </w:t>
      </w:r>
      <w:r w:rsidR="00851439" w:rsidRPr="005316B8">
        <w:rPr>
          <w:rFonts w:asciiTheme="majorBidi" w:eastAsia="Times New Roman" w:hAnsiTheme="majorBidi" w:cstheme="majorBidi"/>
        </w:rPr>
        <w:t>les traductions précédentes ou ultérieures</w:t>
      </w:r>
      <w:r w:rsidR="00463DE7" w:rsidRPr="005316B8">
        <w:rPr>
          <w:rFonts w:asciiTheme="majorBidi" w:eastAsia="Times New Roman" w:hAnsiTheme="majorBidi" w:cstheme="majorBidi"/>
        </w:rPr>
        <w:t> ;</w:t>
      </w:r>
      <w:r w:rsidR="004F69D6" w:rsidRPr="005316B8">
        <w:rPr>
          <w:rFonts w:asciiTheme="majorBidi" w:eastAsia="Times New Roman" w:hAnsiTheme="majorBidi" w:cstheme="majorBidi"/>
        </w:rPr>
        <w:t xml:space="preserve"> </w:t>
      </w:r>
      <w:r w:rsidR="00463DE7" w:rsidRPr="005316B8">
        <w:rPr>
          <w:rFonts w:asciiTheme="majorBidi" w:eastAsia="Times New Roman" w:hAnsiTheme="majorBidi" w:cstheme="majorBidi"/>
        </w:rPr>
        <w:t>e</w:t>
      </w:r>
      <w:r w:rsidR="00851439" w:rsidRPr="005316B8">
        <w:rPr>
          <w:rFonts w:asciiTheme="majorBidi" w:eastAsia="Times New Roman" w:hAnsiTheme="majorBidi" w:cstheme="majorBidi"/>
        </w:rPr>
        <w:t xml:space="preserve">n </w:t>
      </w:r>
      <w:r w:rsidR="008E07E0" w:rsidRPr="005316B8">
        <w:rPr>
          <w:rFonts w:asciiTheme="majorBidi" w:eastAsia="Times New Roman" w:hAnsiTheme="majorBidi" w:cstheme="majorBidi"/>
        </w:rPr>
        <w:t>effet</w:t>
      </w:r>
      <w:r w:rsidR="00851439" w:rsidRPr="005316B8">
        <w:rPr>
          <w:rFonts w:asciiTheme="majorBidi" w:eastAsia="Times New Roman" w:hAnsiTheme="majorBidi" w:cstheme="majorBidi"/>
        </w:rPr>
        <w:t>, q</w:t>
      </w:r>
      <w:r w:rsidR="00212082" w:rsidRPr="005316B8">
        <w:rPr>
          <w:rFonts w:asciiTheme="majorBidi" w:eastAsia="Times New Roman" w:hAnsiTheme="majorBidi" w:cstheme="majorBidi"/>
        </w:rPr>
        <w:t>uand</w:t>
      </w:r>
      <w:r w:rsidR="004F69D6" w:rsidRPr="005316B8">
        <w:rPr>
          <w:rFonts w:asciiTheme="majorBidi" w:eastAsia="Times New Roman" w:hAnsiTheme="majorBidi" w:cstheme="majorBidi"/>
        </w:rPr>
        <w:t xml:space="preserve"> les choix </w:t>
      </w:r>
      <w:r w:rsidR="008E07E0" w:rsidRPr="005316B8">
        <w:rPr>
          <w:rFonts w:asciiTheme="majorBidi" w:eastAsia="Times New Roman" w:hAnsiTheme="majorBidi" w:cstheme="majorBidi"/>
        </w:rPr>
        <w:t xml:space="preserve">de traduction </w:t>
      </w:r>
      <w:r w:rsidR="004F69D6" w:rsidRPr="005316B8">
        <w:rPr>
          <w:rFonts w:asciiTheme="majorBidi" w:eastAsia="Times New Roman" w:hAnsiTheme="majorBidi" w:cstheme="majorBidi"/>
        </w:rPr>
        <w:t xml:space="preserve">sont multiples, la polysémie </w:t>
      </w:r>
      <w:r w:rsidR="008E07E0" w:rsidRPr="005316B8">
        <w:rPr>
          <w:rFonts w:asciiTheme="majorBidi" w:eastAsia="Times New Roman" w:hAnsiTheme="majorBidi" w:cstheme="majorBidi"/>
        </w:rPr>
        <w:t>du texte de départ se reflète encore</w:t>
      </w:r>
      <w:r w:rsidR="0092755A" w:rsidRPr="005316B8">
        <w:rPr>
          <w:rFonts w:asciiTheme="majorBidi" w:eastAsia="Times New Roman" w:hAnsiTheme="majorBidi" w:cstheme="majorBidi"/>
        </w:rPr>
        <w:t xml:space="preserve"> </w:t>
      </w:r>
      <w:r w:rsidR="0092755A" w:rsidRPr="005316B8">
        <w:rPr>
          <w:rFonts w:asciiTheme="majorBidi" w:eastAsia="Times New Roman" w:hAnsiTheme="majorBidi" w:cstheme="majorBidi"/>
          <w:shd w:val="clear" w:color="auto" w:fill="FFFFFF"/>
        </w:rPr>
        <w:t>mieux</w:t>
      </w:r>
      <w:r w:rsidR="008E07E0" w:rsidRPr="005316B8">
        <w:rPr>
          <w:rFonts w:asciiTheme="majorBidi" w:eastAsia="Times New Roman" w:hAnsiTheme="majorBidi" w:cstheme="majorBidi"/>
          <w:shd w:val="clear" w:color="auto" w:fill="FFFFFF"/>
        </w:rPr>
        <w:t xml:space="preserve"> dans les traductions</w:t>
      </w:r>
      <w:r w:rsidR="00212082" w:rsidRPr="005316B8">
        <w:rPr>
          <w:rFonts w:asciiTheme="majorBidi" w:eastAsia="Times New Roman" w:hAnsiTheme="majorBidi" w:cstheme="majorBidi"/>
          <w:shd w:val="clear" w:color="auto" w:fill="FFFFFF"/>
        </w:rPr>
        <w:t xml:space="preserve">. </w:t>
      </w:r>
      <w:r w:rsidR="00C15C81" w:rsidRPr="005316B8">
        <w:rPr>
          <w:rFonts w:asciiTheme="majorBidi" w:eastAsia="Times New Roman" w:hAnsiTheme="majorBidi" w:cstheme="majorBidi"/>
          <w:shd w:val="clear" w:color="auto" w:fill="FFFFFF"/>
        </w:rPr>
        <w:t>Ensuite, n</w:t>
      </w:r>
      <w:r w:rsidR="00256EF4" w:rsidRPr="005316B8">
        <w:rPr>
          <w:rFonts w:asciiTheme="majorBidi" w:eastAsia="Times New Roman" w:hAnsiTheme="majorBidi" w:cstheme="majorBidi"/>
          <w:shd w:val="clear" w:color="auto" w:fill="FFFFFF"/>
        </w:rPr>
        <w:t>ous avons</w:t>
      </w:r>
      <w:r w:rsidR="00E934B6" w:rsidRPr="005316B8">
        <w:rPr>
          <w:rFonts w:asciiTheme="majorBidi" w:eastAsia="Times New Roman" w:hAnsiTheme="majorBidi" w:cstheme="majorBidi"/>
          <w:shd w:val="clear" w:color="auto" w:fill="FFFFFF"/>
        </w:rPr>
        <w:t xml:space="preserve"> vu que B</w:t>
      </w:r>
      <w:r w:rsidR="004F69D6" w:rsidRPr="005316B8">
        <w:rPr>
          <w:rFonts w:asciiTheme="majorBidi" w:eastAsia="Times New Roman" w:hAnsiTheme="majorBidi" w:cstheme="majorBidi"/>
          <w:shd w:val="clear" w:color="auto" w:fill="FFFFFF"/>
        </w:rPr>
        <w:t>en Mahmoud</w:t>
      </w:r>
      <w:r w:rsidR="00212082" w:rsidRPr="005316B8">
        <w:rPr>
          <w:rFonts w:asciiTheme="majorBidi" w:eastAsia="Times New Roman" w:hAnsiTheme="majorBidi" w:cstheme="majorBidi"/>
          <w:shd w:val="clear" w:color="auto" w:fill="FFFFFF"/>
        </w:rPr>
        <w:t>, Guessous</w:t>
      </w:r>
      <w:r w:rsidR="00212EAF" w:rsidRPr="005316B8">
        <w:rPr>
          <w:rFonts w:asciiTheme="majorBidi" w:eastAsia="Times New Roman" w:hAnsiTheme="majorBidi" w:cstheme="majorBidi"/>
          <w:shd w:val="clear" w:color="auto" w:fill="FFFFFF"/>
        </w:rPr>
        <w:t xml:space="preserve"> et Chiadmi faisaient des choix différents de traduction</w:t>
      </w:r>
      <w:r w:rsidR="004F69D6" w:rsidRPr="005316B8">
        <w:rPr>
          <w:rFonts w:asciiTheme="majorBidi" w:eastAsia="Times New Roman" w:hAnsiTheme="majorBidi" w:cstheme="majorBidi"/>
          <w:shd w:val="clear" w:color="auto" w:fill="FFFFFF"/>
        </w:rPr>
        <w:t>.</w:t>
      </w:r>
      <w:r w:rsidR="00094E67" w:rsidRPr="005316B8">
        <w:rPr>
          <w:rFonts w:asciiTheme="majorBidi" w:eastAsia="Times New Roman" w:hAnsiTheme="majorBidi" w:cstheme="majorBidi"/>
          <w:shd w:val="clear" w:color="auto" w:fill="FFFFFF"/>
        </w:rPr>
        <w:t xml:space="preserve"> </w:t>
      </w:r>
      <w:r w:rsidR="001B7128" w:rsidRPr="005316B8">
        <w:rPr>
          <w:rFonts w:asciiTheme="majorBidi" w:eastAsia="Times New Roman" w:hAnsiTheme="majorBidi" w:cstheme="majorBidi"/>
          <w:shd w:val="clear" w:color="auto" w:fill="FFFFFF"/>
        </w:rPr>
        <w:t xml:space="preserve">En comparant ces trois traductions avec d’autres, et notamment les anciennes qui ont beaucoup d’influence, </w:t>
      </w:r>
      <w:r w:rsidR="00567456" w:rsidRPr="005316B8">
        <w:rPr>
          <w:rFonts w:asciiTheme="majorBidi" w:eastAsia="Times New Roman" w:hAnsiTheme="majorBidi" w:cstheme="majorBidi"/>
          <w:shd w:val="clear" w:color="auto" w:fill="FFFFFF"/>
        </w:rPr>
        <w:t>nous avons vu par exemple que l</w:t>
      </w:r>
      <w:r w:rsidR="00363837" w:rsidRPr="005316B8">
        <w:rPr>
          <w:rFonts w:asciiTheme="majorBidi" w:eastAsia="Times New Roman" w:hAnsiTheme="majorBidi" w:cstheme="majorBidi"/>
          <w:shd w:val="clear" w:color="auto" w:fill="FFFFFF"/>
        </w:rPr>
        <w:t>a</w:t>
      </w:r>
      <w:r w:rsidR="00567456" w:rsidRPr="005316B8">
        <w:rPr>
          <w:rFonts w:asciiTheme="majorBidi" w:eastAsia="Times New Roman" w:hAnsiTheme="majorBidi" w:cstheme="majorBidi"/>
          <w:shd w:val="clear" w:color="auto" w:fill="FFFFFF"/>
        </w:rPr>
        <w:t xml:space="preserve"> ressemblance </w:t>
      </w:r>
      <w:r w:rsidR="0095229E" w:rsidRPr="005316B8">
        <w:rPr>
          <w:rFonts w:asciiTheme="majorBidi" w:eastAsia="Times New Roman" w:hAnsiTheme="majorBidi" w:cstheme="majorBidi"/>
          <w:shd w:val="clear" w:color="auto" w:fill="FFFFFF"/>
        </w:rPr>
        <w:t xml:space="preserve">entre </w:t>
      </w:r>
      <w:r w:rsidR="00567456" w:rsidRPr="005316B8">
        <w:rPr>
          <w:rFonts w:asciiTheme="majorBidi" w:eastAsia="Times New Roman" w:hAnsiTheme="majorBidi" w:cstheme="majorBidi"/>
          <w:shd w:val="clear" w:color="auto" w:fill="FFFFFF"/>
        </w:rPr>
        <w:t xml:space="preserve">celle de Ben Mahmoud et celles de Blachère et de Kazimirski </w:t>
      </w:r>
      <w:r w:rsidR="00363837" w:rsidRPr="005316B8">
        <w:rPr>
          <w:rFonts w:asciiTheme="majorBidi" w:eastAsia="Times New Roman" w:hAnsiTheme="majorBidi" w:cstheme="majorBidi"/>
          <w:shd w:val="clear" w:color="auto" w:fill="FFFFFF"/>
        </w:rPr>
        <w:t>était</w:t>
      </w:r>
      <w:r w:rsidR="002676C6" w:rsidRPr="005316B8">
        <w:rPr>
          <w:rFonts w:asciiTheme="majorBidi" w:eastAsia="Times New Roman" w:hAnsiTheme="majorBidi" w:cstheme="majorBidi"/>
          <w:shd w:val="clear" w:color="auto" w:fill="FFFFFF"/>
        </w:rPr>
        <w:t xml:space="preserve"> </w:t>
      </w:r>
      <w:r w:rsidR="00363837" w:rsidRPr="005316B8">
        <w:rPr>
          <w:rFonts w:asciiTheme="majorBidi" w:eastAsia="Times New Roman" w:hAnsiTheme="majorBidi" w:cstheme="majorBidi"/>
          <w:shd w:val="clear" w:color="auto" w:fill="FFFFFF"/>
        </w:rPr>
        <w:t>infime</w:t>
      </w:r>
      <w:r w:rsidR="002676C6" w:rsidRPr="005316B8">
        <w:rPr>
          <w:rFonts w:asciiTheme="majorBidi" w:eastAsia="Times New Roman" w:hAnsiTheme="majorBidi" w:cstheme="majorBidi"/>
          <w:shd w:val="clear" w:color="auto" w:fill="FFFFFF"/>
        </w:rPr>
        <w:t>. L</w:t>
      </w:r>
      <w:r w:rsidR="00363837" w:rsidRPr="005316B8">
        <w:rPr>
          <w:rFonts w:asciiTheme="majorBidi" w:eastAsia="Times New Roman" w:hAnsiTheme="majorBidi" w:cstheme="majorBidi"/>
          <w:shd w:val="clear" w:color="auto" w:fill="FFFFFF"/>
        </w:rPr>
        <w:t>eur</w:t>
      </w:r>
      <w:r w:rsidR="002676C6" w:rsidRPr="005316B8">
        <w:rPr>
          <w:rFonts w:asciiTheme="majorBidi" w:eastAsia="Times New Roman" w:hAnsiTheme="majorBidi" w:cstheme="majorBidi"/>
          <w:shd w:val="clear" w:color="auto" w:fill="FFFFFF"/>
        </w:rPr>
        <w:t xml:space="preserve">s </w:t>
      </w:r>
      <w:r w:rsidR="00363837" w:rsidRPr="005316B8">
        <w:rPr>
          <w:rFonts w:asciiTheme="majorBidi" w:eastAsia="Times New Roman" w:hAnsiTheme="majorBidi" w:cstheme="majorBidi"/>
          <w:shd w:val="clear" w:color="auto" w:fill="FFFFFF"/>
        </w:rPr>
        <w:t>points de rencontre</w:t>
      </w:r>
      <w:r w:rsidR="002676C6" w:rsidRPr="005316B8">
        <w:rPr>
          <w:rFonts w:asciiTheme="majorBidi" w:eastAsia="Times New Roman" w:hAnsiTheme="majorBidi" w:cstheme="majorBidi"/>
          <w:shd w:val="clear" w:color="auto" w:fill="FFFFFF"/>
        </w:rPr>
        <w:t xml:space="preserve"> sont essentiellement </w:t>
      </w:r>
      <w:r w:rsidR="00E01087" w:rsidRPr="005316B8">
        <w:rPr>
          <w:rFonts w:asciiTheme="majorBidi" w:eastAsia="Times New Roman" w:hAnsiTheme="majorBidi" w:cstheme="majorBidi"/>
          <w:shd w:val="clear" w:color="auto" w:fill="FFFFFF"/>
        </w:rPr>
        <w:t xml:space="preserve">dans le choix </w:t>
      </w:r>
      <w:r w:rsidR="002676C6" w:rsidRPr="005316B8">
        <w:rPr>
          <w:rFonts w:asciiTheme="majorBidi" w:eastAsia="Times New Roman" w:hAnsiTheme="majorBidi" w:cstheme="majorBidi"/>
          <w:shd w:val="clear" w:color="auto" w:fill="FFFFFF"/>
        </w:rPr>
        <w:t>des termes comme : « votre Seigneur », « hommes », « témoins », qui sont utilisés par la plupart des traducteurs.</w:t>
      </w:r>
      <w:r w:rsidR="00363837" w:rsidRPr="005316B8">
        <w:rPr>
          <w:rFonts w:asciiTheme="majorBidi" w:eastAsia="Times New Roman" w:hAnsiTheme="majorBidi" w:cstheme="majorBidi"/>
          <w:shd w:val="clear" w:color="auto" w:fill="FFFFFF"/>
        </w:rPr>
        <w:t xml:space="preserve"> De mê</w:t>
      </w:r>
      <w:r w:rsidR="00E01087" w:rsidRPr="005316B8">
        <w:rPr>
          <w:rFonts w:asciiTheme="majorBidi" w:eastAsia="Times New Roman" w:hAnsiTheme="majorBidi" w:cstheme="majorBidi"/>
          <w:shd w:val="clear" w:color="auto" w:fill="FFFFFF"/>
        </w:rPr>
        <w:t>me, il existe très peu de similitude entre d’un côté celles de Guessous et de Chiadmi et de l’autre celles de Blachère et Kazimirski.</w:t>
      </w:r>
    </w:p>
    <w:p w14:paraId="15D1BFC7" w14:textId="77777777" w:rsidR="00A21BE0" w:rsidRPr="005316B8" w:rsidRDefault="0069565A" w:rsidP="009E1099">
      <w:pPr>
        <w:spacing w:line="276" w:lineRule="auto"/>
        <w:ind w:firstLine="360"/>
        <w:jc w:val="both"/>
        <w:rPr>
          <w:rFonts w:asciiTheme="majorBidi" w:eastAsia="Times New Roman" w:hAnsiTheme="majorBidi" w:cstheme="majorBidi"/>
          <w:shd w:val="clear" w:color="auto" w:fill="FFFFFF"/>
        </w:rPr>
      </w:pPr>
      <w:r w:rsidRPr="005316B8">
        <w:rPr>
          <w:rFonts w:asciiTheme="majorBidi" w:eastAsia="Times New Roman" w:hAnsiTheme="majorBidi" w:cstheme="majorBidi"/>
          <w:shd w:val="clear" w:color="auto" w:fill="FFFFFF"/>
        </w:rPr>
        <w:t xml:space="preserve">En outre, </w:t>
      </w:r>
      <w:r w:rsidR="00E01087" w:rsidRPr="005316B8">
        <w:rPr>
          <w:rFonts w:asciiTheme="majorBidi" w:eastAsia="Times New Roman" w:hAnsiTheme="majorBidi" w:cstheme="majorBidi"/>
          <w:shd w:val="clear" w:color="auto" w:fill="FFFFFF"/>
        </w:rPr>
        <w:t>le choix de ce corpus</w:t>
      </w:r>
      <w:r w:rsidR="009E1099" w:rsidRPr="005316B8">
        <w:rPr>
          <w:rFonts w:asciiTheme="majorBidi" w:eastAsia="Times New Roman" w:hAnsiTheme="majorBidi" w:cstheme="majorBidi"/>
          <w:shd w:val="clear" w:color="auto" w:fill="FFFFFF"/>
        </w:rPr>
        <w:t xml:space="preserve"> </w:t>
      </w:r>
      <w:r w:rsidR="00E01087" w:rsidRPr="005316B8">
        <w:rPr>
          <w:rFonts w:asciiTheme="majorBidi" w:eastAsia="Times New Roman" w:hAnsiTheme="majorBidi" w:cstheme="majorBidi"/>
          <w:shd w:val="clear" w:color="auto" w:fill="FFFFFF"/>
        </w:rPr>
        <w:t>de</w:t>
      </w:r>
      <w:r w:rsidR="009E1099" w:rsidRPr="005316B8">
        <w:rPr>
          <w:rFonts w:asciiTheme="majorBidi" w:eastAsia="Times New Roman" w:hAnsiTheme="majorBidi" w:cstheme="majorBidi"/>
          <w:shd w:val="clear" w:color="auto" w:fill="FFFFFF"/>
        </w:rPr>
        <w:t xml:space="preserve"> traductions se justifie aussi parce que celles-ci </w:t>
      </w:r>
      <w:r w:rsidRPr="005316B8">
        <w:rPr>
          <w:rFonts w:asciiTheme="majorBidi" w:eastAsia="Times New Roman" w:hAnsiTheme="majorBidi" w:cstheme="majorBidi"/>
          <w:shd w:val="clear" w:color="auto" w:fill="FFFFFF"/>
        </w:rPr>
        <w:t>couvrent toute l’histoire de la traduction du Coran depuis la première traduction</w:t>
      </w:r>
      <w:r w:rsidRPr="005316B8">
        <w:rPr>
          <w:rFonts w:asciiTheme="majorBidi" w:eastAsia="Times New Roman" w:hAnsiTheme="majorBidi" w:cstheme="majorBidi"/>
        </w:rPr>
        <w:t xml:space="preserve"> de Du Ryer</w:t>
      </w:r>
      <w:r w:rsidRPr="005316B8">
        <w:rPr>
          <w:rFonts w:asciiTheme="majorBidi" w:eastAsia="Calibri" w:hAnsiTheme="majorBidi" w:cstheme="majorBidi"/>
          <w:lang w:bidi="ar-AE"/>
        </w:rPr>
        <w:t xml:space="preserve"> (1647)</w:t>
      </w:r>
      <w:r w:rsidRPr="005316B8">
        <w:rPr>
          <w:rFonts w:asciiTheme="majorBidi" w:eastAsia="Times New Roman" w:hAnsiTheme="majorBidi" w:cstheme="majorBidi"/>
          <w:shd w:val="clear" w:color="auto" w:fill="FFFFFF"/>
        </w:rPr>
        <w:t xml:space="preserve"> jusqu’à la dernière, celle de </w:t>
      </w:r>
      <w:r w:rsidRPr="005316B8">
        <w:rPr>
          <w:rFonts w:asciiTheme="majorBidi" w:eastAsia="Times New Roman" w:hAnsiTheme="majorBidi" w:cstheme="majorBidi"/>
        </w:rPr>
        <w:t>Hafiane (2010)</w:t>
      </w:r>
      <w:r w:rsidR="007E4EAA" w:rsidRPr="005316B8">
        <w:rPr>
          <w:rFonts w:asciiTheme="majorBidi" w:eastAsia="Times New Roman" w:hAnsiTheme="majorBidi" w:cstheme="majorBidi"/>
        </w:rPr>
        <w:t>.</w:t>
      </w:r>
      <w:r w:rsidR="00CC41B6" w:rsidRPr="005316B8">
        <w:rPr>
          <w:rFonts w:asciiTheme="majorBidi" w:eastAsia="Times New Roman" w:hAnsiTheme="majorBidi" w:cstheme="majorBidi"/>
        </w:rPr>
        <w:t xml:space="preserve"> </w:t>
      </w:r>
      <w:r w:rsidR="009E1099" w:rsidRPr="005316B8">
        <w:rPr>
          <w:rFonts w:asciiTheme="majorBidi" w:eastAsia="Times New Roman" w:hAnsiTheme="majorBidi" w:cstheme="majorBidi"/>
        </w:rPr>
        <w:t>Si n</w:t>
      </w:r>
      <w:r w:rsidR="00CC41B6" w:rsidRPr="005316B8">
        <w:rPr>
          <w:rFonts w:asciiTheme="majorBidi" w:eastAsia="Times New Roman" w:hAnsiTheme="majorBidi" w:cstheme="majorBidi"/>
        </w:rPr>
        <w:t xml:space="preserve">ous </w:t>
      </w:r>
      <w:r w:rsidR="001219E3" w:rsidRPr="005316B8">
        <w:rPr>
          <w:rFonts w:asciiTheme="majorBidi" w:eastAsia="Times New Roman" w:hAnsiTheme="majorBidi" w:cstheme="majorBidi"/>
        </w:rPr>
        <w:t>tenons à choisir des traductions espacées dans le temps, réparties sur toute l’histoire des traduct</w:t>
      </w:r>
      <w:r w:rsidR="000212AE" w:rsidRPr="005316B8">
        <w:rPr>
          <w:rFonts w:asciiTheme="majorBidi" w:eastAsia="Times New Roman" w:hAnsiTheme="majorBidi" w:cstheme="majorBidi"/>
        </w:rPr>
        <w:t xml:space="preserve">ions coraniques, </w:t>
      </w:r>
      <w:r w:rsidR="009E1099" w:rsidRPr="005316B8">
        <w:rPr>
          <w:rFonts w:asciiTheme="majorBidi" w:eastAsia="Times New Roman" w:hAnsiTheme="majorBidi" w:cstheme="majorBidi"/>
        </w:rPr>
        <w:t xml:space="preserve">c’est </w:t>
      </w:r>
      <w:r w:rsidR="000212AE" w:rsidRPr="005316B8">
        <w:rPr>
          <w:rFonts w:asciiTheme="majorBidi" w:eastAsia="Times New Roman" w:hAnsiTheme="majorBidi" w:cstheme="majorBidi"/>
        </w:rPr>
        <w:t>pour</w:t>
      </w:r>
      <w:r w:rsidR="001219E3" w:rsidRPr="005316B8">
        <w:rPr>
          <w:rFonts w:asciiTheme="majorBidi" w:eastAsia="Times New Roman" w:hAnsiTheme="majorBidi" w:cstheme="majorBidi"/>
        </w:rPr>
        <w:t xml:space="preserve"> </w:t>
      </w:r>
      <w:r w:rsidR="009E1099" w:rsidRPr="005316B8">
        <w:rPr>
          <w:rFonts w:asciiTheme="majorBidi" w:eastAsia="Times New Roman" w:hAnsiTheme="majorBidi" w:cstheme="majorBidi"/>
        </w:rPr>
        <w:t xml:space="preserve">mieux </w:t>
      </w:r>
      <w:r w:rsidR="00C553B4" w:rsidRPr="005316B8">
        <w:rPr>
          <w:rFonts w:asciiTheme="majorBidi" w:eastAsia="Times New Roman" w:hAnsiTheme="majorBidi" w:cstheme="majorBidi"/>
        </w:rPr>
        <w:t xml:space="preserve">en </w:t>
      </w:r>
      <w:r w:rsidR="001219E3" w:rsidRPr="005316B8">
        <w:rPr>
          <w:rFonts w:asciiTheme="majorBidi" w:eastAsia="Times New Roman" w:hAnsiTheme="majorBidi" w:cstheme="majorBidi"/>
        </w:rPr>
        <w:t>voir l’évolution des traductions au plan polysémique</w:t>
      </w:r>
      <w:r w:rsidR="00A21BE0" w:rsidRPr="005316B8">
        <w:rPr>
          <w:rFonts w:asciiTheme="majorBidi" w:eastAsia="Times New Roman" w:hAnsiTheme="majorBidi" w:cstheme="majorBidi"/>
        </w:rPr>
        <w:t xml:space="preserve"> (1647 ; 1782 ; 1840 ; 1949 ; </w:t>
      </w:r>
      <w:r w:rsidR="00370BE5" w:rsidRPr="005316B8">
        <w:rPr>
          <w:rFonts w:asciiTheme="majorBidi" w:eastAsia="Times New Roman" w:hAnsiTheme="majorBidi" w:cstheme="majorBidi"/>
        </w:rPr>
        <w:t xml:space="preserve">1957 ; 1959 ; 1962 ; 1967 ; </w:t>
      </w:r>
      <w:r w:rsidR="00615FAA" w:rsidRPr="005316B8">
        <w:rPr>
          <w:rFonts w:asciiTheme="majorBidi" w:eastAsia="Times New Roman" w:hAnsiTheme="majorBidi" w:cstheme="majorBidi"/>
        </w:rPr>
        <w:t>1979</w:t>
      </w:r>
      <w:r w:rsidR="00A21BE0" w:rsidRPr="005316B8">
        <w:rPr>
          <w:rFonts w:asciiTheme="majorBidi" w:eastAsia="Times New Roman" w:hAnsiTheme="majorBidi" w:cstheme="majorBidi"/>
        </w:rPr>
        <w:t> ; 1990 ; 1999 ; 2001 ; 2002 ; 2008 ; 2009 ; 2010).</w:t>
      </w:r>
    </w:p>
    <w:p w14:paraId="2AB6F1C3" w14:textId="77777777" w:rsidR="00A21BE0" w:rsidRPr="005316B8" w:rsidRDefault="001219E3" w:rsidP="00F130F7">
      <w:pPr>
        <w:spacing w:line="276" w:lineRule="auto"/>
        <w:ind w:firstLine="360"/>
        <w:jc w:val="both"/>
        <w:rPr>
          <w:rFonts w:asciiTheme="majorBidi" w:eastAsia="Calibri" w:hAnsiTheme="majorBidi" w:cstheme="majorBidi"/>
          <w:lang w:bidi="ar-AE"/>
        </w:rPr>
      </w:pPr>
      <w:r w:rsidRPr="005316B8">
        <w:rPr>
          <w:rFonts w:asciiTheme="majorBidi" w:eastAsia="Times New Roman" w:hAnsiTheme="majorBidi" w:cstheme="majorBidi"/>
        </w:rPr>
        <w:t>Cependant, q</w:t>
      </w:r>
      <w:r w:rsidR="00CC41B6" w:rsidRPr="005316B8">
        <w:rPr>
          <w:rFonts w:asciiTheme="majorBidi" w:eastAsia="Times New Roman" w:hAnsiTheme="majorBidi" w:cstheme="majorBidi"/>
        </w:rPr>
        <w:t xml:space="preserve">uand nous avons </w:t>
      </w:r>
      <w:r w:rsidR="00C22A31" w:rsidRPr="005316B8">
        <w:rPr>
          <w:rFonts w:asciiTheme="majorBidi" w:eastAsia="Times New Roman" w:hAnsiTheme="majorBidi" w:cstheme="majorBidi"/>
        </w:rPr>
        <w:t>opté pour</w:t>
      </w:r>
      <w:r w:rsidR="00CC41B6" w:rsidRPr="005316B8">
        <w:rPr>
          <w:rFonts w:asciiTheme="majorBidi" w:eastAsia="Times New Roman" w:hAnsiTheme="majorBidi" w:cstheme="majorBidi"/>
        </w:rPr>
        <w:t xml:space="preserve"> </w:t>
      </w:r>
      <w:r w:rsidR="00A21BE0" w:rsidRPr="005316B8">
        <w:rPr>
          <w:rFonts w:asciiTheme="majorBidi" w:eastAsia="Times New Roman" w:hAnsiTheme="majorBidi" w:cstheme="majorBidi"/>
        </w:rPr>
        <w:t>deu</w:t>
      </w:r>
      <w:r w:rsidR="00C22A31" w:rsidRPr="005316B8">
        <w:rPr>
          <w:rFonts w:asciiTheme="majorBidi" w:eastAsia="Times New Roman" w:hAnsiTheme="majorBidi" w:cstheme="majorBidi"/>
        </w:rPr>
        <w:t>x traductions</w:t>
      </w:r>
      <w:r w:rsidR="000212AE" w:rsidRPr="005316B8">
        <w:rPr>
          <w:rFonts w:asciiTheme="majorBidi" w:eastAsia="Times New Roman" w:hAnsiTheme="majorBidi" w:cstheme="majorBidi"/>
        </w:rPr>
        <w:t xml:space="preserve"> sorties</w:t>
      </w:r>
      <w:r w:rsidR="00A21BE0" w:rsidRPr="005316B8">
        <w:rPr>
          <w:rFonts w:asciiTheme="majorBidi" w:eastAsia="Times New Roman" w:hAnsiTheme="majorBidi" w:cstheme="majorBidi"/>
        </w:rPr>
        <w:t xml:space="preserve"> la même année</w:t>
      </w:r>
      <w:r w:rsidR="00DC5CD9" w:rsidRPr="005316B8">
        <w:rPr>
          <w:rFonts w:asciiTheme="majorBidi" w:eastAsia="Times New Roman" w:hAnsiTheme="majorBidi" w:cstheme="majorBidi"/>
        </w:rPr>
        <w:t>,</w:t>
      </w:r>
      <w:r w:rsidR="00A21BE0" w:rsidRPr="005316B8">
        <w:rPr>
          <w:rFonts w:asciiTheme="majorBidi" w:eastAsia="Times New Roman" w:hAnsiTheme="majorBidi" w:cstheme="majorBidi"/>
        </w:rPr>
        <w:t xml:space="preserve"> c’est parce qu’elles </w:t>
      </w:r>
      <w:r w:rsidR="000212AE" w:rsidRPr="005316B8">
        <w:rPr>
          <w:rFonts w:asciiTheme="majorBidi" w:eastAsia="Times New Roman" w:hAnsiTheme="majorBidi" w:cstheme="majorBidi"/>
        </w:rPr>
        <w:t>présentent</w:t>
      </w:r>
      <w:r w:rsidR="00A21BE0" w:rsidRPr="005316B8">
        <w:rPr>
          <w:rFonts w:asciiTheme="majorBidi" w:eastAsia="Times New Roman" w:hAnsiTheme="majorBidi" w:cstheme="majorBidi"/>
        </w:rPr>
        <w:t xml:space="preserve"> des choix différents de traduction</w:t>
      </w:r>
      <w:r w:rsidR="00C46DC8" w:rsidRPr="005316B8">
        <w:rPr>
          <w:rFonts w:asciiTheme="majorBidi" w:eastAsia="Times New Roman" w:hAnsiTheme="majorBidi" w:cstheme="majorBidi"/>
        </w:rPr>
        <w:t xml:space="preserve"> et que chacun des traducteurs adopte une approche différente de l’autre</w:t>
      </w:r>
      <w:r w:rsidR="00A21BE0" w:rsidRPr="005316B8">
        <w:rPr>
          <w:rFonts w:asciiTheme="majorBidi" w:eastAsia="Times New Roman" w:hAnsiTheme="majorBidi" w:cstheme="majorBidi"/>
        </w:rPr>
        <w:t xml:space="preserve">, </w:t>
      </w:r>
      <w:r w:rsidR="00AD304D" w:rsidRPr="005316B8">
        <w:rPr>
          <w:rFonts w:asciiTheme="majorBidi" w:eastAsia="Times New Roman" w:hAnsiTheme="majorBidi" w:cstheme="majorBidi"/>
        </w:rPr>
        <w:t>ce qui peut permettre de voir à quel point</w:t>
      </w:r>
      <w:r w:rsidR="00A21BE0" w:rsidRPr="005316B8">
        <w:rPr>
          <w:rFonts w:asciiTheme="majorBidi" w:eastAsia="Times New Roman" w:hAnsiTheme="majorBidi" w:cstheme="majorBidi"/>
        </w:rPr>
        <w:t xml:space="preserve"> les traductions reflètent la richesse polysémique du texte arabe. Il s’agit</w:t>
      </w:r>
      <w:r w:rsidR="00AB24F6" w:rsidRPr="005316B8">
        <w:rPr>
          <w:rFonts w:asciiTheme="majorBidi" w:eastAsia="Times New Roman" w:hAnsiTheme="majorBidi" w:cstheme="majorBidi"/>
        </w:rPr>
        <w:t xml:space="preserve">, </w:t>
      </w:r>
      <w:r w:rsidR="00AB24F6" w:rsidRPr="005316B8">
        <w:rPr>
          <w:lang w:eastAsia="en-US"/>
        </w:rPr>
        <w:t>dans le premier cas, de</w:t>
      </w:r>
      <w:r w:rsidR="00A21BE0" w:rsidRPr="005316B8">
        <w:rPr>
          <w:rFonts w:asciiTheme="majorBidi" w:eastAsia="Times New Roman" w:hAnsiTheme="majorBidi" w:cstheme="majorBidi"/>
        </w:rPr>
        <w:t xml:space="preserve"> </w:t>
      </w:r>
      <w:r w:rsidR="00860624" w:rsidRPr="005316B8">
        <w:rPr>
          <w:rFonts w:asciiTheme="majorBidi" w:eastAsia="Times New Roman" w:hAnsiTheme="majorBidi" w:cstheme="majorBidi"/>
        </w:rPr>
        <w:t xml:space="preserve">deux </w:t>
      </w:r>
      <w:r w:rsidR="00A21BE0" w:rsidRPr="005316B8">
        <w:rPr>
          <w:rFonts w:asciiTheme="majorBidi" w:eastAsia="Times New Roman" w:hAnsiTheme="majorBidi" w:cstheme="majorBidi"/>
        </w:rPr>
        <w:t>traductions</w:t>
      </w:r>
      <w:r w:rsidR="00AB24F6" w:rsidRPr="005316B8">
        <w:rPr>
          <w:rFonts w:asciiTheme="majorBidi" w:eastAsia="Times New Roman" w:hAnsiTheme="majorBidi" w:cstheme="majorBidi"/>
        </w:rPr>
        <w:t>, celle</w:t>
      </w:r>
      <w:r w:rsidR="00A21BE0" w:rsidRPr="005316B8">
        <w:rPr>
          <w:rFonts w:asciiTheme="majorBidi" w:eastAsia="Times New Roman" w:hAnsiTheme="majorBidi" w:cstheme="majorBidi"/>
        </w:rPr>
        <w:t xml:space="preserve"> de Jacques Berque (traduction qui a suscité une polémique) et </w:t>
      </w:r>
      <w:r w:rsidR="00AB24F6" w:rsidRPr="005316B8">
        <w:rPr>
          <w:rFonts w:asciiTheme="majorBidi" w:eastAsia="Times New Roman" w:hAnsiTheme="majorBidi" w:cstheme="majorBidi"/>
        </w:rPr>
        <w:t xml:space="preserve">celle </w:t>
      </w:r>
      <w:r w:rsidR="00A21BE0" w:rsidRPr="005316B8">
        <w:rPr>
          <w:rFonts w:asciiTheme="majorBidi" w:eastAsia="Times New Roman" w:hAnsiTheme="majorBidi" w:cstheme="majorBidi"/>
        </w:rPr>
        <w:t>d’André Chouraqui (traduction dépaysante controversée réalisée par le biais de l’hébreu)</w:t>
      </w:r>
      <w:r w:rsidR="00F130F7" w:rsidRPr="005316B8">
        <w:rPr>
          <w:rFonts w:asciiTheme="majorBidi" w:eastAsia="Times New Roman" w:hAnsiTheme="majorBidi" w:cstheme="majorBidi"/>
        </w:rPr>
        <w:t>,</w:t>
      </w:r>
      <w:r w:rsidR="00A21BE0" w:rsidRPr="005316B8">
        <w:rPr>
          <w:rFonts w:asciiTheme="majorBidi" w:eastAsia="Times New Roman" w:hAnsiTheme="majorBidi" w:cstheme="majorBidi"/>
        </w:rPr>
        <w:t xml:space="preserve"> </w:t>
      </w:r>
      <w:r w:rsidR="00F130F7" w:rsidRPr="005316B8">
        <w:rPr>
          <w:lang w:eastAsia="en-US"/>
        </w:rPr>
        <w:t xml:space="preserve">toutes les deux publiées en 1990. </w:t>
      </w:r>
      <w:r w:rsidR="004E2E72" w:rsidRPr="005316B8">
        <w:rPr>
          <w:lang w:eastAsia="en-US"/>
        </w:rPr>
        <w:t>Dans le second cas, il s’</w:t>
      </w:r>
      <w:r w:rsidR="00F130F7" w:rsidRPr="005316B8">
        <w:rPr>
          <w:lang w:eastAsia="en-US"/>
        </w:rPr>
        <w:t xml:space="preserve">agit de </w:t>
      </w:r>
      <w:r w:rsidR="00860624" w:rsidRPr="005316B8">
        <w:rPr>
          <w:rFonts w:asciiTheme="majorBidi" w:eastAsia="Times New Roman" w:hAnsiTheme="majorBidi" w:cstheme="majorBidi"/>
        </w:rPr>
        <w:t xml:space="preserve">deux traductions </w:t>
      </w:r>
      <w:r w:rsidR="00F130F7" w:rsidRPr="005316B8">
        <w:rPr>
          <w:lang w:eastAsia="en-US"/>
        </w:rPr>
        <w:t xml:space="preserve">de 1999, celle </w:t>
      </w:r>
      <w:r w:rsidR="00860624" w:rsidRPr="005316B8">
        <w:rPr>
          <w:rFonts w:asciiTheme="majorBidi" w:eastAsia="Times New Roman" w:hAnsiTheme="majorBidi" w:cstheme="majorBidi"/>
        </w:rPr>
        <w:t>d’Ahmed Guessous (traduction rimée</w:t>
      </w:r>
      <w:r w:rsidR="00CA0DB6" w:rsidRPr="005316B8">
        <w:rPr>
          <w:rFonts w:asciiTheme="majorBidi" w:eastAsia="Times New Roman" w:hAnsiTheme="majorBidi" w:cstheme="majorBidi"/>
        </w:rPr>
        <w:t xml:space="preserve"> qui a essayé d</w:t>
      </w:r>
      <w:r w:rsidR="00321ABE" w:rsidRPr="005316B8">
        <w:rPr>
          <w:rFonts w:asciiTheme="majorBidi" w:eastAsia="Times New Roman" w:hAnsiTheme="majorBidi" w:cstheme="majorBidi"/>
        </w:rPr>
        <w:t>e reproduire</w:t>
      </w:r>
      <w:r w:rsidR="00CA0DB6" w:rsidRPr="005316B8">
        <w:rPr>
          <w:rFonts w:asciiTheme="majorBidi" w:eastAsia="Times New Roman" w:hAnsiTheme="majorBidi" w:cstheme="majorBidi"/>
        </w:rPr>
        <w:t xml:space="preserve"> la musicalité du Coran</w:t>
      </w:r>
      <w:r w:rsidR="00860624" w:rsidRPr="005316B8">
        <w:rPr>
          <w:rFonts w:asciiTheme="majorBidi" w:eastAsia="Times New Roman" w:hAnsiTheme="majorBidi" w:cstheme="majorBidi"/>
        </w:rPr>
        <w:t xml:space="preserve">) et </w:t>
      </w:r>
      <w:r w:rsidR="00F130F7" w:rsidRPr="005316B8">
        <w:rPr>
          <w:rFonts w:asciiTheme="majorBidi" w:eastAsia="Times New Roman" w:hAnsiTheme="majorBidi" w:cstheme="majorBidi"/>
        </w:rPr>
        <w:t xml:space="preserve">celle </w:t>
      </w:r>
      <w:r w:rsidR="00860624" w:rsidRPr="005316B8">
        <w:rPr>
          <w:rFonts w:asciiTheme="majorBidi" w:eastAsia="Times New Roman" w:hAnsiTheme="majorBidi" w:cstheme="majorBidi"/>
        </w:rPr>
        <w:t xml:space="preserve">de </w:t>
      </w:r>
      <w:r w:rsidR="00A21BE0" w:rsidRPr="005316B8">
        <w:rPr>
          <w:rFonts w:asciiTheme="majorBidi" w:eastAsia="Times New Roman" w:hAnsiTheme="majorBidi" w:cstheme="majorBidi"/>
        </w:rPr>
        <w:t xml:space="preserve">Mohammed Chiadmi </w:t>
      </w:r>
      <w:r w:rsidR="00784B24" w:rsidRPr="005316B8">
        <w:rPr>
          <w:rFonts w:asciiTheme="majorBidi" w:eastAsia="Calibri" w:hAnsiTheme="majorBidi" w:cstheme="majorBidi"/>
          <w:lang w:bidi="ar-AE"/>
        </w:rPr>
        <w:t>(traduction</w:t>
      </w:r>
      <w:r w:rsidR="00CA0DB6" w:rsidRPr="005316B8">
        <w:rPr>
          <w:rFonts w:asciiTheme="majorBidi" w:eastAsia="Calibri" w:hAnsiTheme="majorBidi" w:cstheme="majorBidi"/>
          <w:lang w:bidi="ar-AE"/>
        </w:rPr>
        <w:t xml:space="preserve"> </w:t>
      </w:r>
      <w:r w:rsidR="00A21BE0" w:rsidRPr="005316B8">
        <w:rPr>
          <w:rFonts w:asciiTheme="majorBidi" w:eastAsia="Calibri" w:hAnsiTheme="majorBidi" w:cstheme="majorBidi"/>
          <w:lang w:bidi="ar-AE"/>
        </w:rPr>
        <w:t>apologétique)</w:t>
      </w:r>
      <w:r w:rsidR="00860624" w:rsidRPr="005316B8">
        <w:rPr>
          <w:rFonts w:asciiTheme="majorBidi" w:eastAsia="Calibri" w:hAnsiTheme="majorBidi" w:cstheme="majorBidi"/>
          <w:lang w:bidi="ar-AE"/>
        </w:rPr>
        <w:t>.</w:t>
      </w:r>
    </w:p>
    <w:p w14:paraId="47659B38" w14:textId="77777777" w:rsidR="000266A5" w:rsidRPr="005316B8" w:rsidRDefault="000266A5" w:rsidP="00CB351A">
      <w:pPr>
        <w:spacing w:line="276" w:lineRule="auto"/>
        <w:ind w:firstLine="360"/>
        <w:jc w:val="both"/>
        <w:rPr>
          <w:rFonts w:asciiTheme="majorBidi" w:eastAsia="Calibri" w:hAnsiTheme="majorBidi" w:cstheme="majorBidi"/>
        </w:rPr>
      </w:pPr>
      <w:r w:rsidRPr="005316B8">
        <w:rPr>
          <w:rFonts w:asciiTheme="majorBidi" w:eastAsia="Calibri" w:hAnsiTheme="majorBidi" w:cstheme="majorBidi"/>
          <w:lang w:bidi="ar-AE"/>
        </w:rPr>
        <w:t xml:space="preserve">Notre hypothèse est de voir que les traductions réduisent la polysémie </w:t>
      </w:r>
      <w:r w:rsidR="00402FA4" w:rsidRPr="005316B8">
        <w:rPr>
          <w:rFonts w:asciiTheme="majorBidi" w:eastAsia="Calibri" w:hAnsiTheme="majorBidi" w:cstheme="majorBidi"/>
          <w:lang w:bidi="ar-AE"/>
        </w:rPr>
        <w:t xml:space="preserve">du texte-source. </w:t>
      </w:r>
      <w:r w:rsidR="00CB351A" w:rsidRPr="005316B8">
        <w:rPr>
          <w:rFonts w:asciiTheme="majorBidi" w:eastAsia="Calibri" w:hAnsiTheme="majorBidi" w:cstheme="majorBidi"/>
          <w:lang w:bidi="ar-AE"/>
        </w:rPr>
        <w:t xml:space="preserve">Cela ne nous empêche pas </w:t>
      </w:r>
      <w:r w:rsidR="006F4631" w:rsidRPr="005316B8">
        <w:rPr>
          <w:rFonts w:asciiTheme="majorBidi" w:eastAsia="Calibri" w:hAnsiTheme="majorBidi" w:cstheme="majorBidi"/>
          <w:lang w:bidi="ar-AE"/>
        </w:rPr>
        <w:t xml:space="preserve">donc </w:t>
      </w:r>
      <w:r w:rsidR="00CB351A" w:rsidRPr="005316B8">
        <w:rPr>
          <w:rFonts w:asciiTheme="majorBidi" w:eastAsia="Calibri" w:hAnsiTheme="majorBidi" w:cstheme="majorBidi"/>
          <w:lang w:bidi="ar-AE"/>
        </w:rPr>
        <w:t>de choisir</w:t>
      </w:r>
      <w:r w:rsidR="003C4446" w:rsidRPr="005316B8">
        <w:rPr>
          <w:rFonts w:asciiTheme="majorBidi" w:eastAsia="Calibri" w:hAnsiTheme="majorBidi" w:cstheme="majorBidi"/>
          <w:lang w:bidi="ar-AE"/>
        </w:rPr>
        <w:t xml:space="preserve"> des traductions qui ne jouissent pas d’une large diffusion (comme celle</w:t>
      </w:r>
      <w:r w:rsidR="000A3B42" w:rsidRPr="005316B8">
        <w:rPr>
          <w:rFonts w:asciiTheme="majorBidi" w:eastAsia="Calibri" w:hAnsiTheme="majorBidi" w:cstheme="majorBidi"/>
          <w:lang w:bidi="ar-AE"/>
        </w:rPr>
        <w:t>s d’Abdelaziz et de</w:t>
      </w:r>
      <w:r w:rsidR="003C4446" w:rsidRPr="005316B8">
        <w:rPr>
          <w:rFonts w:asciiTheme="majorBidi" w:eastAsia="Calibri" w:hAnsiTheme="majorBidi" w:cstheme="majorBidi"/>
          <w:lang w:bidi="ar-AE"/>
        </w:rPr>
        <w:t xml:space="preserve"> Ghédira) ou d’</w:t>
      </w:r>
      <w:r w:rsidR="00CB351A" w:rsidRPr="005316B8">
        <w:rPr>
          <w:rFonts w:asciiTheme="majorBidi" w:eastAsia="Calibri" w:hAnsiTheme="majorBidi" w:cstheme="majorBidi"/>
          <w:lang w:bidi="ar-AE"/>
        </w:rPr>
        <w:t>une acceptabilité</w:t>
      </w:r>
      <w:r w:rsidR="003C4446" w:rsidRPr="005316B8">
        <w:rPr>
          <w:rFonts w:asciiTheme="majorBidi" w:eastAsia="Calibri" w:hAnsiTheme="majorBidi" w:cstheme="majorBidi"/>
          <w:lang w:bidi="ar-AE"/>
        </w:rPr>
        <w:t xml:space="preserve"> (comme celle</w:t>
      </w:r>
      <w:r w:rsidR="000A3B42" w:rsidRPr="005316B8">
        <w:rPr>
          <w:rFonts w:asciiTheme="majorBidi" w:eastAsia="Calibri" w:hAnsiTheme="majorBidi" w:cstheme="majorBidi"/>
          <w:lang w:bidi="ar-AE"/>
        </w:rPr>
        <w:t>s</w:t>
      </w:r>
      <w:r w:rsidR="003C4446" w:rsidRPr="005316B8">
        <w:rPr>
          <w:rFonts w:asciiTheme="majorBidi" w:eastAsia="Calibri" w:hAnsiTheme="majorBidi" w:cstheme="majorBidi"/>
          <w:lang w:bidi="ar-AE"/>
        </w:rPr>
        <w:t xml:space="preserve"> de Chouraqui et d’Aldeeb).</w:t>
      </w:r>
    </w:p>
    <w:p w14:paraId="20009F94" w14:textId="77777777" w:rsidR="00120051" w:rsidRPr="005316B8" w:rsidRDefault="00120051" w:rsidP="00120051">
      <w:pPr>
        <w:spacing w:line="276" w:lineRule="auto"/>
        <w:ind w:firstLine="360"/>
        <w:jc w:val="both"/>
        <w:rPr>
          <w:rFonts w:asciiTheme="majorBidi" w:eastAsia="Times New Roman" w:hAnsiTheme="majorBidi" w:cstheme="majorBidi"/>
        </w:rPr>
      </w:pPr>
    </w:p>
    <w:p w14:paraId="52F6C608" w14:textId="77777777" w:rsidR="00561BDC" w:rsidRPr="005316B8" w:rsidRDefault="00561BDC" w:rsidP="0092381C">
      <w:pPr>
        <w:spacing w:line="360" w:lineRule="auto"/>
        <w:ind w:firstLine="708"/>
        <w:jc w:val="both"/>
        <w:rPr>
          <w:rFonts w:asciiTheme="majorBidi" w:eastAsia="Times New Roman" w:hAnsiTheme="majorBidi" w:cstheme="majorBidi"/>
        </w:rPr>
      </w:pPr>
      <w:r w:rsidRPr="005316B8">
        <w:rPr>
          <w:rFonts w:asciiTheme="majorBidi" w:eastAsia="Times New Roman" w:hAnsiTheme="majorBidi" w:cstheme="majorBidi"/>
        </w:rPr>
        <w:lastRenderedPageBreak/>
        <w:t>Par convention, nous citer</w:t>
      </w:r>
      <w:r w:rsidR="00A7674A" w:rsidRPr="005316B8">
        <w:rPr>
          <w:rFonts w:asciiTheme="majorBidi" w:eastAsia="Times New Roman" w:hAnsiTheme="majorBidi" w:cstheme="majorBidi"/>
        </w:rPr>
        <w:t>ons</w:t>
      </w:r>
      <w:r w:rsidRPr="005316B8">
        <w:rPr>
          <w:rFonts w:asciiTheme="majorBidi" w:eastAsia="Times New Roman" w:hAnsiTheme="majorBidi" w:cstheme="majorBidi"/>
        </w:rPr>
        <w:t xml:space="preserve"> la traduction de Jacques Berque pour les citations des versets coraniques sauf q</w:t>
      </w:r>
      <w:r w:rsidR="00A7674A" w:rsidRPr="005316B8">
        <w:rPr>
          <w:rFonts w:asciiTheme="majorBidi" w:eastAsia="Times New Roman" w:hAnsiTheme="majorBidi" w:cstheme="majorBidi"/>
        </w:rPr>
        <w:t>uand il s’agira de</w:t>
      </w:r>
      <w:r w:rsidRPr="005316B8">
        <w:rPr>
          <w:rFonts w:asciiTheme="majorBidi" w:eastAsia="Times New Roman" w:hAnsiTheme="majorBidi" w:cstheme="majorBidi"/>
        </w:rPr>
        <w:t xml:space="preserve"> discute</w:t>
      </w:r>
      <w:r w:rsidR="00A7674A" w:rsidRPr="005316B8">
        <w:rPr>
          <w:rFonts w:asciiTheme="majorBidi" w:eastAsia="Times New Roman" w:hAnsiTheme="majorBidi" w:cstheme="majorBidi"/>
        </w:rPr>
        <w:t>r</w:t>
      </w:r>
      <w:r w:rsidRPr="005316B8">
        <w:rPr>
          <w:rFonts w:asciiTheme="majorBidi" w:eastAsia="Times New Roman" w:hAnsiTheme="majorBidi" w:cstheme="majorBidi"/>
        </w:rPr>
        <w:t xml:space="preserve"> d’autres traductions ou</w:t>
      </w:r>
      <w:r w:rsidR="0092381C" w:rsidRPr="005316B8">
        <w:rPr>
          <w:rFonts w:asciiTheme="majorBidi" w:eastAsia="Times New Roman" w:hAnsiTheme="majorBidi" w:cstheme="majorBidi"/>
        </w:rPr>
        <w:t xml:space="preserve"> bien encore</w:t>
      </w:r>
      <w:r w:rsidRPr="005316B8">
        <w:rPr>
          <w:rFonts w:asciiTheme="majorBidi" w:eastAsia="Times New Roman" w:hAnsiTheme="majorBidi" w:cstheme="majorBidi"/>
        </w:rPr>
        <w:t xml:space="preserve"> </w:t>
      </w:r>
      <w:r w:rsidR="00400069" w:rsidRPr="005316B8">
        <w:rPr>
          <w:rFonts w:asciiTheme="majorBidi" w:eastAsia="Times New Roman" w:hAnsiTheme="majorBidi" w:cstheme="majorBidi"/>
        </w:rPr>
        <w:t>de mettre en évidence une idée qui n’apparaît pas</w:t>
      </w:r>
      <w:r w:rsidRPr="005316B8">
        <w:rPr>
          <w:rFonts w:asciiTheme="majorBidi" w:eastAsia="Times New Roman" w:hAnsiTheme="majorBidi" w:cstheme="majorBidi"/>
        </w:rPr>
        <w:t xml:space="preserve"> </w:t>
      </w:r>
      <w:r w:rsidR="00400069" w:rsidRPr="005316B8">
        <w:rPr>
          <w:rFonts w:asciiTheme="majorBidi" w:eastAsia="Times New Roman" w:hAnsiTheme="majorBidi" w:cstheme="majorBidi"/>
        </w:rPr>
        <w:t>dans la traduction de Berque</w:t>
      </w:r>
      <w:r w:rsidR="007338B9" w:rsidRPr="005316B8">
        <w:rPr>
          <w:rFonts w:asciiTheme="majorBidi" w:eastAsia="Times New Roman" w:hAnsiTheme="majorBidi" w:cstheme="majorBidi"/>
        </w:rPr>
        <w:t>.</w:t>
      </w:r>
    </w:p>
    <w:p w14:paraId="601815DE" w14:textId="77777777" w:rsidR="0092381C" w:rsidRPr="005316B8" w:rsidRDefault="0092381C" w:rsidP="0092381C">
      <w:pPr>
        <w:spacing w:line="360" w:lineRule="auto"/>
        <w:ind w:firstLine="708"/>
        <w:jc w:val="both"/>
        <w:rPr>
          <w:rFonts w:asciiTheme="majorBidi" w:eastAsia="Times New Roman" w:hAnsiTheme="majorBidi" w:cstheme="majorBidi"/>
        </w:rPr>
      </w:pPr>
    </w:p>
    <w:p w14:paraId="170BD43F"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Notre travail est articulé autour de trois axes principaux de recherche :</w:t>
      </w:r>
    </w:p>
    <w:p w14:paraId="3BDA2C42" w14:textId="77777777" w:rsidR="00561BDC" w:rsidRPr="00CB7AF4" w:rsidRDefault="00561BDC" w:rsidP="007640DC">
      <w:pPr>
        <w:numPr>
          <w:ilvl w:val="0"/>
          <w:numId w:val="4"/>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 xml:space="preserve">une étude de la polysémie du texte-source arabe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w:t>
      </w:r>
    </w:p>
    <w:p w14:paraId="3BE0C2BC" w14:textId="77777777" w:rsidR="00561BDC" w:rsidRPr="00CB7AF4" w:rsidRDefault="00561BDC" w:rsidP="007640DC">
      <w:pPr>
        <w:numPr>
          <w:ilvl w:val="0"/>
          <w:numId w:val="4"/>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une étude de la polysémie du texte-cible (des traductions françaises) pour montrer comment la traduction réduit la polysémie et comment on passe d’un texte polysémique ouvert à une traduction polysémique plus limitée, pour enfin donner des modèles de traduction ;</w:t>
      </w:r>
    </w:p>
    <w:p w14:paraId="389B6935" w14:textId="77777777" w:rsidR="00561BDC" w:rsidRPr="00CB7AF4" w:rsidRDefault="00561BDC" w:rsidP="007640DC">
      <w:pPr>
        <w:numPr>
          <w:ilvl w:val="0"/>
          <w:numId w:val="4"/>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une étude des rapports entre les exégèses du texte de départ et les traductions en fonction de la polysémie.</w:t>
      </w:r>
    </w:p>
    <w:p w14:paraId="3D1FF7F6" w14:textId="77777777" w:rsidR="00561BDC" w:rsidRPr="00CB7AF4" w:rsidRDefault="00561BDC" w:rsidP="00CB7AF4">
      <w:pPr>
        <w:spacing w:line="360" w:lineRule="auto"/>
        <w:jc w:val="both"/>
        <w:rPr>
          <w:rFonts w:asciiTheme="majorBidi" w:eastAsia="Times New Roman" w:hAnsiTheme="majorBidi" w:cstheme="majorBidi"/>
        </w:rPr>
      </w:pPr>
    </w:p>
    <w:p w14:paraId="0E786CD1" w14:textId="77777777" w:rsidR="00561BDC" w:rsidRPr="00CB7AF4" w:rsidRDefault="00561BDC" w:rsidP="00CB7AF4">
      <w:pPr>
        <w:tabs>
          <w:tab w:val="right" w:pos="709"/>
        </w:tabs>
        <w:spacing w:line="360" w:lineRule="auto"/>
        <w:ind w:firstLine="709"/>
        <w:jc w:val="both"/>
        <w:rPr>
          <w:rFonts w:asciiTheme="majorBidi" w:eastAsia="Times New Roman" w:hAnsiTheme="majorBidi" w:cstheme="majorBidi"/>
        </w:rPr>
      </w:pPr>
      <w:r w:rsidRPr="00CB7AF4">
        <w:rPr>
          <w:rFonts w:asciiTheme="majorBidi" w:eastAsia="Times New Roman" w:hAnsiTheme="majorBidi" w:cstheme="majorBidi"/>
        </w:rPr>
        <w:t>Notre recherche porte sur l’une des problématiques les plus importantes dans la traduction, celle de la co</w:t>
      </w:r>
      <w:r w:rsidR="00E27C53">
        <w:rPr>
          <w:rFonts w:asciiTheme="majorBidi" w:eastAsia="Times New Roman" w:hAnsiTheme="majorBidi" w:cstheme="majorBidi"/>
        </w:rPr>
        <w:t>mpréhension du texte-source, i.</w:t>
      </w:r>
      <w:r w:rsidRPr="00CB7AF4">
        <w:rPr>
          <w:rFonts w:asciiTheme="majorBidi" w:eastAsia="Times New Roman" w:hAnsiTheme="majorBidi" w:cstheme="majorBidi"/>
        </w:rPr>
        <w:t xml:space="preserve">e. la polysémie. La différence de structure entre les deux langues (arabe et français) quant au lexique, à la grammaire et à la sémantique contribue à changer la polysémie du texte-source. </w:t>
      </w:r>
    </w:p>
    <w:p w14:paraId="3CF3363D" w14:textId="77777777" w:rsidR="00561BDC" w:rsidRPr="00CB7AF4" w:rsidRDefault="00561BDC" w:rsidP="00CB7AF4">
      <w:pPr>
        <w:tabs>
          <w:tab w:val="right" w:pos="709"/>
        </w:tabs>
        <w:spacing w:line="360" w:lineRule="auto"/>
        <w:ind w:firstLine="709"/>
        <w:jc w:val="both"/>
        <w:rPr>
          <w:rFonts w:asciiTheme="majorBidi" w:eastAsia="Times New Roman" w:hAnsiTheme="majorBidi" w:cstheme="majorBidi"/>
        </w:rPr>
      </w:pPr>
    </w:p>
    <w:p w14:paraId="5974915C" w14:textId="77777777" w:rsidR="00561BDC" w:rsidRPr="00CB7AF4" w:rsidRDefault="00561BDC" w:rsidP="00CB7AF4">
      <w:pPr>
        <w:tabs>
          <w:tab w:val="right" w:pos="709"/>
        </w:tabs>
        <w:spacing w:line="360" w:lineRule="auto"/>
        <w:ind w:firstLine="709"/>
        <w:jc w:val="both"/>
        <w:rPr>
          <w:rFonts w:asciiTheme="majorBidi" w:eastAsia="Times New Roman" w:hAnsiTheme="majorBidi" w:cstheme="majorBidi"/>
        </w:rPr>
      </w:pPr>
      <w:r w:rsidRPr="00CB7AF4">
        <w:rPr>
          <w:rFonts w:asciiTheme="majorBidi" w:eastAsia="Times New Roman" w:hAnsiTheme="majorBidi" w:cstheme="majorBidi"/>
        </w:rPr>
        <w:t xml:space="preserve">Notre recherche qui s’inscrit dans le cadre de la comparaison des traductions consiste à faire le parallèle entre l’histoire des traductions de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xml:space="preserve"> d’un côté et ses exégèses d’un autre côté en fonction de la polysémie.</w:t>
      </w:r>
    </w:p>
    <w:p w14:paraId="67F95009" w14:textId="77777777" w:rsidR="00561BDC" w:rsidRPr="00CB7AF4" w:rsidRDefault="00561BDC" w:rsidP="00CB7AF4">
      <w:pPr>
        <w:tabs>
          <w:tab w:val="right" w:pos="709"/>
        </w:tabs>
        <w:spacing w:line="360" w:lineRule="auto"/>
        <w:jc w:val="both"/>
        <w:rPr>
          <w:rFonts w:asciiTheme="majorBidi" w:eastAsia="Times New Roman" w:hAnsiTheme="majorBidi" w:cstheme="majorBidi"/>
        </w:rPr>
      </w:pPr>
    </w:p>
    <w:p w14:paraId="62804C66" w14:textId="77777777" w:rsidR="00561BDC" w:rsidRPr="00E84FD5" w:rsidRDefault="00561BDC" w:rsidP="00CB7AF4">
      <w:pPr>
        <w:tabs>
          <w:tab w:val="right" w:pos="709"/>
        </w:tabs>
        <w:spacing w:line="360" w:lineRule="auto"/>
        <w:ind w:firstLine="709"/>
        <w:jc w:val="both"/>
        <w:rPr>
          <w:rFonts w:asciiTheme="majorBidi" w:eastAsia="Times New Roman" w:hAnsiTheme="majorBidi" w:cstheme="majorBidi"/>
        </w:rPr>
      </w:pPr>
      <w:r w:rsidRPr="00E84FD5">
        <w:rPr>
          <w:rFonts w:asciiTheme="majorBidi" w:eastAsia="Times New Roman" w:hAnsiTheme="majorBidi" w:cstheme="majorBidi"/>
        </w:rPr>
        <w:t>La problématique de notre recherche ou les questions qu’elle pose sont les suivantes :</w:t>
      </w:r>
    </w:p>
    <w:p w14:paraId="6EFFCACE" w14:textId="77777777" w:rsidR="00561BDC" w:rsidRPr="00E84FD5" w:rsidRDefault="00561BDC" w:rsidP="00CB7AF4">
      <w:pPr>
        <w:tabs>
          <w:tab w:val="right" w:pos="709"/>
        </w:tabs>
        <w:spacing w:line="360" w:lineRule="auto"/>
        <w:ind w:firstLine="709"/>
        <w:jc w:val="both"/>
        <w:rPr>
          <w:rFonts w:asciiTheme="majorBidi" w:eastAsia="Times New Roman" w:hAnsiTheme="majorBidi" w:cstheme="majorBidi"/>
        </w:rPr>
      </w:pPr>
      <w:r w:rsidRPr="00E84FD5">
        <w:rPr>
          <w:rFonts w:asciiTheme="majorBidi" w:eastAsia="Times New Roman" w:hAnsiTheme="majorBidi" w:cstheme="majorBidi"/>
        </w:rPr>
        <w:t>Dans quelle mesure le texte coranique est polysémique ? Quel est le blanc (le vide) du texte-source ? Qu’est-ce que le texte arabe ne dit pas, cache ? Quelle sont les relations entre le texte-source et le texte-cible ? Y a-t-il une dimension politique ? Y a-t-il des modèles ou des méthodes de traduction</w:t>
      </w:r>
      <w:r w:rsidRPr="00E84FD5">
        <w:rPr>
          <w:rFonts w:asciiTheme="majorBidi" w:eastAsia="Times New Roman" w:hAnsiTheme="majorBidi" w:cstheme="majorBidi"/>
          <w:lang w:bidi="ar-AE"/>
        </w:rPr>
        <w:t xml:space="preserve"> du Coran ? </w:t>
      </w:r>
      <w:r w:rsidRPr="00E84FD5">
        <w:rPr>
          <w:rFonts w:asciiTheme="majorBidi" w:eastAsia="Times New Roman" w:hAnsiTheme="majorBidi" w:cstheme="majorBidi"/>
        </w:rPr>
        <w:t>Comment passe</w:t>
      </w:r>
      <w:r w:rsidR="00E27C53" w:rsidRPr="00E84FD5">
        <w:rPr>
          <w:rFonts w:asciiTheme="majorBidi" w:eastAsia="Times New Roman" w:hAnsiTheme="majorBidi" w:cstheme="majorBidi"/>
        </w:rPr>
        <w:t>-t-on</w:t>
      </w:r>
      <w:r w:rsidRPr="00E84FD5">
        <w:rPr>
          <w:rFonts w:asciiTheme="majorBidi" w:eastAsia="Times New Roman" w:hAnsiTheme="majorBidi" w:cstheme="majorBidi"/>
        </w:rPr>
        <w:t xml:space="preserve"> d’un texte polysémique ouvert vers un texte différemment polysémique ? Comment le traducteur joue</w:t>
      </w:r>
      <w:r w:rsidR="00E27C53" w:rsidRPr="00E84FD5">
        <w:rPr>
          <w:rFonts w:asciiTheme="majorBidi" w:eastAsia="Times New Roman" w:hAnsiTheme="majorBidi" w:cstheme="majorBidi"/>
        </w:rPr>
        <w:t>-t-il</w:t>
      </w:r>
      <w:r w:rsidRPr="00E84FD5">
        <w:rPr>
          <w:rFonts w:asciiTheme="majorBidi" w:eastAsia="Times New Roman" w:hAnsiTheme="majorBidi" w:cstheme="majorBidi"/>
        </w:rPr>
        <w:t xml:space="preserve"> entre un texte ouvert à </w:t>
      </w:r>
      <w:r w:rsidR="00E27C53" w:rsidRPr="00E84FD5">
        <w:rPr>
          <w:rFonts w:asciiTheme="majorBidi" w:eastAsia="Times New Roman" w:hAnsiTheme="majorBidi" w:cstheme="majorBidi"/>
        </w:rPr>
        <w:t>de multiples</w:t>
      </w:r>
      <w:r w:rsidRPr="00E84FD5">
        <w:rPr>
          <w:rFonts w:asciiTheme="majorBidi" w:eastAsia="Times New Roman" w:hAnsiTheme="majorBidi" w:cstheme="majorBidi"/>
        </w:rPr>
        <w:t xml:space="preserve"> interprétations et une traduction plus limitée ?</w:t>
      </w:r>
    </w:p>
    <w:p w14:paraId="6614344C" w14:textId="77777777" w:rsidR="00561BDC" w:rsidRPr="00E84FD5" w:rsidRDefault="00561BDC" w:rsidP="00CB7AF4">
      <w:pPr>
        <w:tabs>
          <w:tab w:val="right" w:pos="709"/>
        </w:tabs>
        <w:spacing w:line="360" w:lineRule="auto"/>
        <w:ind w:firstLine="709"/>
        <w:jc w:val="both"/>
        <w:rPr>
          <w:rFonts w:asciiTheme="majorBidi" w:eastAsia="Times New Roman" w:hAnsiTheme="majorBidi" w:cstheme="majorBidi"/>
        </w:rPr>
      </w:pPr>
    </w:p>
    <w:p w14:paraId="3027445E" w14:textId="77777777" w:rsidR="00561BDC" w:rsidRPr="00CB7AF4" w:rsidRDefault="00561BDC" w:rsidP="00CB7AF4">
      <w:pPr>
        <w:tabs>
          <w:tab w:val="right" w:pos="709"/>
        </w:tabs>
        <w:spacing w:line="360" w:lineRule="auto"/>
        <w:ind w:firstLine="709"/>
        <w:jc w:val="both"/>
        <w:rPr>
          <w:rFonts w:asciiTheme="majorBidi" w:eastAsia="Times New Roman" w:hAnsiTheme="majorBidi" w:cstheme="majorBidi"/>
        </w:rPr>
      </w:pPr>
      <w:r w:rsidRPr="00CB7AF4">
        <w:rPr>
          <w:rFonts w:asciiTheme="majorBidi" w:eastAsia="Times New Roman" w:hAnsiTheme="majorBidi" w:cstheme="majorBidi"/>
        </w:rPr>
        <w:lastRenderedPageBreak/>
        <w:t>Nous allons passer en revue les exégèses arabes existantes en montrant leur caractère polysémique et en analysant ce qu’elles disent et ce qu’elles ne disent pas (les blancs ou les vides). Puis nous allons exposer les traductions françaises en montrant également leur caractère polysémique ainsi que les exégèses sur lesquelles elles se sont appuyées.</w:t>
      </w:r>
    </w:p>
    <w:p w14:paraId="6D768E2E" w14:textId="77777777" w:rsidR="00561BDC" w:rsidRPr="00CB7AF4" w:rsidRDefault="00561BDC" w:rsidP="00CB7AF4">
      <w:pPr>
        <w:spacing w:line="360" w:lineRule="auto"/>
        <w:ind w:firstLine="360"/>
        <w:jc w:val="both"/>
        <w:rPr>
          <w:rFonts w:asciiTheme="majorBidi" w:eastAsia="Times New Roman" w:hAnsiTheme="majorBidi" w:cstheme="majorBidi"/>
        </w:rPr>
      </w:pPr>
    </w:p>
    <w:p w14:paraId="78397836" w14:textId="77777777" w:rsidR="00561BDC" w:rsidRPr="00CB7AF4" w:rsidRDefault="00561BDC" w:rsidP="00CB7AF4">
      <w:pPr>
        <w:spacing w:line="360" w:lineRule="auto"/>
        <w:ind w:firstLine="360"/>
        <w:jc w:val="both"/>
        <w:rPr>
          <w:rFonts w:asciiTheme="majorBidi" w:eastAsia="Times New Roman" w:hAnsiTheme="majorBidi" w:cstheme="majorBidi"/>
        </w:rPr>
      </w:pPr>
      <w:r w:rsidRPr="00CB7AF4">
        <w:rPr>
          <w:rFonts w:asciiTheme="majorBidi" w:eastAsia="Times New Roman" w:hAnsiTheme="majorBidi" w:cstheme="majorBidi"/>
        </w:rPr>
        <w:t xml:space="preserve">Notre étude se veut doublement comparative puisque, d’une part, la comparaison entre les différentes exégèses du texte de départ nous permettra de voir ses dimensions sociopolitiques et conflictuelles ; et d’autre part, la comparaison des quelques traductions entre elles nous permettra de dégager une méthode de traduction. Partant de l’idée que derrière toute traduction se dessine une sorte de </w:t>
      </w:r>
      <w:r w:rsidRPr="00CB7AF4">
        <w:rPr>
          <w:rFonts w:asciiTheme="majorBidi" w:eastAsia="Times New Roman" w:hAnsiTheme="majorBidi" w:cstheme="majorBidi"/>
          <w:i/>
          <w:iCs/>
        </w:rPr>
        <w:t>projet</w:t>
      </w:r>
      <w:r w:rsidRPr="00CB7AF4">
        <w:rPr>
          <w:rFonts w:asciiTheme="majorBidi" w:eastAsia="Times New Roman" w:hAnsiTheme="majorBidi" w:cstheme="majorBidi"/>
        </w:rPr>
        <w:t xml:space="preserve"> montrant l’attitude du traducteur face à son texte, c’est certainement la comparaison des traductions entre elles qui peut nous apporter un éclairage à ce sujet en nous aidant à tracer la </w:t>
      </w:r>
      <w:r w:rsidRPr="00CB7AF4">
        <w:rPr>
          <w:rFonts w:asciiTheme="majorBidi" w:eastAsia="Times New Roman" w:hAnsiTheme="majorBidi" w:cstheme="majorBidi"/>
          <w:i/>
          <w:iCs/>
        </w:rPr>
        <w:t>ligne directrice</w:t>
      </w:r>
      <w:r w:rsidRPr="00CB7AF4">
        <w:rPr>
          <w:rFonts w:asciiTheme="majorBidi" w:eastAsia="Times New Roman" w:hAnsiTheme="majorBidi" w:cstheme="majorBidi"/>
        </w:rPr>
        <w:t xml:space="preserve"> suivie par chaque traducteur pour rendre la charge du texte-source.</w:t>
      </w:r>
    </w:p>
    <w:p w14:paraId="4FC5B969" w14:textId="77777777" w:rsidR="00561BDC" w:rsidRPr="00CB7AF4" w:rsidRDefault="00561BDC" w:rsidP="00CB7AF4">
      <w:pPr>
        <w:spacing w:line="360" w:lineRule="auto"/>
        <w:ind w:firstLine="360"/>
        <w:jc w:val="both"/>
        <w:rPr>
          <w:rFonts w:asciiTheme="majorBidi" w:eastAsia="Times New Roman" w:hAnsiTheme="majorBidi" w:cstheme="majorBidi"/>
        </w:rPr>
      </w:pPr>
    </w:p>
    <w:p w14:paraId="6F66CC7B" w14:textId="77777777" w:rsidR="00561BDC" w:rsidRPr="00CB7AF4" w:rsidRDefault="00561BDC" w:rsidP="00CB7AF4">
      <w:pPr>
        <w:spacing w:line="360" w:lineRule="auto"/>
        <w:ind w:firstLine="360"/>
        <w:jc w:val="both"/>
        <w:rPr>
          <w:rFonts w:asciiTheme="majorBidi" w:eastAsia="Times New Roman" w:hAnsiTheme="majorBidi" w:cstheme="majorBidi"/>
        </w:rPr>
      </w:pPr>
      <w:r w:rsidRPr="00CB7AF4">
        <w:rPr>
          <w:rFonts w:asciiTheme="majorBidi" w:eastAsia="Times New Roman" w:hAnsiTheme="majorBidi" w:cstheme="majorBidi"/>
        </w:rPr>
        <w:t xml:space="preserve">Notre objectif est donc bien précis : mettre en relief le caractère </w:t>
      </w:r>
      <w:r w:rsidRPr="00CB7AF4">
        <w:rPr>
          <w:rFonts w:asciiTheme="majorBidi" w:eastAsia="Times New Roman" w:hAnsiTheme="majorBidi" w:cstheme="majorBidi"/>
          <w:i/>
          <w:iCs/>
        </w:rPr>
        <w:t>polysémique</w:t>
      </w:r>
      <w:r w:rsidRPr="00CB7AF4">
        <w:rPr>
          <w:rFonts w:asciiTheme="majorBidi" w:eastAsia="Times New Roman" w:hAnsiTheme="majorBidi" w:cstheme="majorBidi"/>
        </w:rPr>
        <w:t xml:space="preserve"> du texte coranique, caractère sur lequel insiste la tradition musulmane elle-même. Notre objectif est non seulement de montrer que le texte coranique n’a pas de sens fixe et clair, mais aussi de montrer que le rôle de ce texte n’est pas de transmettre un message, ni de porter un sens.</w:t>
      </w:r>
    </w:p>
    <w:p w14:paraId="55BF74A2" w14:textId="77777777" w:rsidR="00561BDC" w:rsidRPr="00CB7AF4" w:rsidRDefault="00561BDC" w:rsidP="00CB7AF4">
      <w:pPr>
        <w:spacing w:line="360" w:lineRule="auto"/>
        <w:ind w:firstLine="360"/>
        <w:jc w:val="both"/>
        <w:rPr>
          <w:rFonts w:asciiTheme="majorBidi" w:eastAsia="Times New Roman" w:hAnsiTheme="majorBidi" w:cstheme="majorBidi"/>
        </w:rPr>
      </w:pPr>
    </w:p>
    <w:p w14:paraId="2CEA3EB3" w14:textId="77777777" w:rsidR="00561BDC" w:rsidRPr="00CB7AF4" w:rsidRDefault="00561BDC" w:rsidP="00CB7AF4">
      <w:pPr>
        <w:spacing w:line="360" w:lineRule="auto"/>
        <w:ind w:firstLine="360"/>
        <w:jc w:val="both"/>
        <w:rPr>
          <w:rFonts w:asciiTheme="majorBidi" w:eastAsia="Times New Roman" w:hAnsiTheme="majorBidi" w:cstheme="majorBidi"/>
        </w:rPr>
      </w:pPr>
      <w:r w:rsidRPr="00CB7AF4">
        <w:rPr>
          <w:rFonts w:asciiTheme="majorBidi" w:eastAsia="Times New Roman" w:hAnsiTheme="majorBidi" w:cstheme="majorBidi"/>
        </w:rPr>
        <w:t xml:space="preserve">Notre analyse </w:t>
      </w:r>
      <w:r w:rsidR="00C43F8E" w:rsidRPr="00CB7AF4">
        <w:rPr>
          <w:rFonts w:asciiTheme="majorBidi" w:eastAsia="Times New Roman" w:hAnsiTheme="majorBidi" w:cstheme="majorBidi"/>
        </w:rPr>
        <w:t>est</w:t>
      </w:r>
      <w:r w:rsidRPr="00CB7AF4">
        <w:rPr>
          <w:rFonts w:asciiTheme="majorBidi" w:eastAsia="Times New Roman" w:hAnsiTheme="majorBidi" w:cstheme="majorBidi"/>
        </w:rPr>
        <w:t xml:space="preserve"> essentiellement </w:t>
      </w:r>
      <w:r w:rsidR="00C43F8E" w:rsidRPr="00CB7AF4">
        <w:rPr>
          <w:rFonts w:asciiTheme="majorBidi" w:eastAsia="Times New Roman" w:hAnsiTheme="majorBidi" w:cstheme="majorBidi"/>
        </w:rPr>
        <w:t>un travail herméneutique et traductologique classique. Nous nous référons à des</w:t>
      </w:r>
      <w:r w:rsidRPr="00CB7AF4">
        <w:rPr>
          <w:rFonts w:asciiTheme="majorBidi" w:eastAsia="Times New Roman" w:hAnsiTheme="majorBidi" w:cstheme="majorBidi"/>
        </w:rPr>
        <w:t xml:space="preserve"> théoriciens qui ont abordé les problèmes théoriques et pratiques de la traduction, de l’interprétation et de l’herméneutique. Citons à titre d’exemple : Paul Ricœur (</w:t>
      </w:r>
      <w:r w:rsidRPr="00CB7AF4">
        <w:rPr>
          <w:rFonts w:asciiTheme="majorBidi" w:eastAsia="SimSun" w:hAnsiTheme="majorBidi" w:cstheme="majorBidi"/>
          <w:i/>
          <w:iCs/>
          <w:lang w:eastAsia="zh-CN"/>
        </w:rPr>
        <w:t>Sur la traduction</w:t>
      </w:r>
      <w:r w:rsidRPr="00CB7AF4">
        <w:rPr>
          <w:rFonts w:asciiTheme="majorBidi" w:eastAsia="Times New Roman" w:hAnsiTheme="majorBidi" w:cstheme="majorBidi"/>
          <w:vertAlign w:val="superscript"/>
          <w:lang w:bidi="ar-AE"/>
        </w:rPr>
        <w:footnoteReference w:id="48"/>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La critique et la conviction</w:t>
      </w:r>
      <w:r w:rsidRPr="00CB7AF4">
        <w:rPr>
          <w:rFonts w:asciiTheme="majorBidi" w:eastAsia="Times New Roman" w:hAnsiTheme="majorBidi" w:cstheme="majorBidi"/>
          <w:vertAlign w:val="superscript"/>
          <w:lang w:bidi="ar-AE"/>
        </w:rPr>
        <w:footnoteReference w:id="49"/>
      </w:r>
      <w:r w:rsidRPr="00CB7AF4">
        <w:rPr>
          <w:rFonts w:asciiTheme="majorBidi" w:eastAsia="Times New Roman" w:hAnsiTheme="majorBidi" w:cstheme="majorBidi"/>
        </w:rPr>
        <w:t>), Inês Oseki-Dépré (</w:t>
      </w:r>
      <w:r w:rsidRPr="00CB7AF4">
        <w:rPr>
          <w:rFonts w:asciiTheme="majorBidi" w:eastAsia="SimSun" w:hAnsiTheme="majorBidi" w:cstheme="majorBidi"/>
          <w:i/>
          <w:iCs/>
          <w:lang w:eastAsia="zh-CN"/>
        </w:rPr>
        <w:t>Théories et pratiques de la traduction littéraire</w:t>
      </w:r>
      <w:r w:rsidRPr="00CB7AF4">
        <w:rPr>
          <w:rFonts w:asciiTheme="majorBidi" w:eastAsia="Times New Roman" w:hAnsiTheme="majorBidi" w:cstheme="majorBidi"/>
          <w:vertAlign w:val="superscript"/>
          <w:lang w:bidi="ar-AE"/>
        </w:rPr>
        <w:footnoteReference w:id="50"/>
      </w:r>
      <w:r w:rsidRPr="00CB7AF4">
        <w:rPr>
          <w:rFonts w:asciiTheme="majorBidi" w:eastAsia="Times New Roman" w:hAnsiTheme="majorBidi" w:cstheme="majorBidi"/>
        </w:rPr>
        <w:t>), Umberto Eco (</w:t>
      </w:r>
      <w:r w:rsidRPr="00CB7AF4">
        <w:rPr>
          <w:rFonts w:asciiTheme="majorBidi" w:eastAsia="Times New Roman" w:hAnsiTheme="majorBidi" w:cstheme="majorBidi"/>
          <w:i/>
          <w:iCs/>
        </w:rPr>
        <w:t>Les Limites de l’interprétation</w:t>
      </w:r>
      <w:r w:rsidRPr="00CB7AF4">
        <w:rPr>
          <w:rFonts w:asciiTheme="majorBidi" w:eastAsia="Times New Roman" w:hAnsiTheme="majorBidi" w:cstheme="majorBidi"/>
          <w:vertAlign w:val="superscript"/>
          <w:lang w:bidi="ar-AE"/>
        </w:rPr>
        <w:footnoteReference w:id="51"/>
      </w:r>
      <w:r w:rsidRPr="00CB7AF4">
        <w:rPr>
          <w:rFonts w:asciiTheme="majorBidi" w:eastAsia="Times New Roman" w:hAnsiTheme="majorBidi" w:cstheme="majorBidi"/>
        </w:rPr>
        <w:t>), David Bellos (</w:t>
      </w:r>
      <w:r w:rsidRPr="00CB7AF4">
        <w:rPr>
          <w:rFonts w:asciiTheme="majorBidi" w:eastAsia="Times New Roman" w:hAnsiTheme="majorBidi" w:cstheme="majorBidi"/>
          <w:i/>
          <w:iCs/>
        </w:rPr>
        <w:t>Le poisson et le bananier</w:t>
      </w:r>
      <w:r w:rsidRPr="00CB7AF4">
        <w:rPr>
          <w:rFonts w:asciiTheme="majorBidi" w:eastAsia="Times New Roman" w:hAnsiTheme="majorBidi" w:cstheme="majorBidi"/>
          <w:vertAlign w:val="superscript"/>
          <w:lang w:bidi="ar-AE"/>
        </w:rPr>
        <w:footnoteReference w:id="52"/>
      </w:r>
      <w:r w:rsidRPr="00CB7AF4">
        <w:rPr>
          <w:rFonts w:asciiTheme="majorBidi" w:eastAsia="Times New Roman" w:hAnsiTheme="majorBidi" w:cstheme="majorBidi"/>
        </w:rPr>
        <w:t>), Charles Sanders Peirce</w:t>
      </w:r>
      <w:r w:rsidRPr="00CB7AF4">
        <w:rPr>
          <w:rFonts w:asciiTheme="majorBidi" w:eastAsia="Times New Roman" w:hAnsiTheme="majorBidi" w:cstheme="majorBidi"/>
          <w:vertAlign w:val="superscript"/>
          <w:lang w:bidi="ar-AE"/>
        </w:rPr>
        <w:footnoteReference w:id="53"/>
      </w:r>
      <w:r w:rsidR="00C43F8E" w:rsidRPr="00CB7AF4">
        <w:rPr>
          <w:rFonts w:asciiTheme="majorBidi" w:eastAsia="Times New Roman" w:hAnsiTheme="majorBidi" w:cstheme="majorBidi"/>
        </w:rPr>
        <w:t>,</w:t>
      </w:r>
      <w:r w:rsidRPr="00CB7AF4">
        <w:rPr>
          <w:rFonts w:asciiTheme="majorBidi" w:eastAsia="Times New Roman" w:hAnsiTheme="majorBidi" w:cstheme="majorBidi"/>
        </w:rPr>
        <w:t xml:space="preserve"> Willard Van Orman Quine</w:t>
      </w:r>
      <w:r w:rsidRPr="00CB7AF4">
        <w:rPr>
          <w:rFonts w:asciiTheme="majorBidi" w:eastAsia="Times New Roman" w:hAnsiTheme="majorBidi" w:cstheme="majorBidi"/>
          <w:vertAlign w:val="superscript"/>
          <w:lang w:bidi="ar-AE"/>
        </w:rPr>
        <w:footnoteReference w:id="54"/>
      </w:r>
      <w:r w:rsidR="00C43F8E" w:rsidRPr="00CB7AF4">
        <w:rPr>
          <w:rFonts w:asciiTheme="majorBidi" w:eastAsia="Times New Roman" w:hAnsiTheme="majorBidi" w:cstheme="majorBidi"/>
        </w:rPr>
        <w:t xml:space="preserve">, Mathieu </w:t>
      </w:r>
      <w:r w:rsidR="00C43F8E" w:rsidRPr="00CB7AF4">
        <w:rPr>
          <w:rFonts w:asciiTheme="majorBidi" w:eastAsia="Times New Roman" w:hAnsiTheme="majorBidi" w:cstheme="majorBidi"/>
        </w:rPr>
        <w:lastRenderedPageBreak/>
        <w:t>Guidère (</w:t>
      </w:r>
      <w:r w:rsidR="00C43F8E" w:rsidRPr="00CB7AF4">
        <w:rPr>
          <w:rFonts w:asciiTheme="majorBidi" w:eastAsia="Times New Roman" w:hAnsiTheme="majorBidi" w:cstheme="majorBidi"/>
          <w:i/>
          <w:iCs/>
        </w:rPr>
        <w:t>Introduction à la traductologie</w:t>
      </w:r>
      <w:r w:rsidR="00C43F8E" w:rsidRPr="00CB7AF4">
        <w:rPr>
          <w:rFonts w:asciiTheme="majorBidi" w:eastAsia="Times New Roman" w:hAnsiTheme="majorBidi" w:cstheme="majorBidi"/>
        </w:rPr>
        <w:t>)</w:t>
      </w:r>
      <w:r w:rsidR="00C43F8E" w:rsidRPr="00CB7AF4">
        <w:rPr>
          <w:rFonts w:asciiTheme="majorBidi" w:eastAsia="Times New Roman" w:hAnsiTheme="majorBidi" w:cstheme="majorBidi"/>
          <w:vertAlign w:val="superscript"/>
          <w:lang w:bidi="ar-AE"/>
        </w:rPr>
        <w:footnoteReference w:id="55"/>
      </w:r>
      <w:r w:rsidR="00F34360" w:rsidRPr="00CB7AF4">
        <w:rPr>
          <w:rFonts w:asciiTheme="majorBidi" w:eastAsia="Times New Roman" w:hAnsiTheme="majorBidi" w:cstheme="majorBidi"/>
        </w:rPr>
        <w:t>,</w:t>
      </w:r>
      <w:r w:rsidR="00C43F8E" w:rsidRPr="00CB7AF4">
        <w:rPr>
          <w:rFonts w:asciiTheme="majorBidi" w:eastAsia="Times New Roman" w:hAnsiTheme="majorBidi" w:cstheme="majorBidi"/>
        </w:rPr>
        <w:t xml:space="preserve"> Katharina Reiss (</w:t>
      </w:r>
      <w:r w:rsidR="00C43F8E" w:rsidRPr="00CB7AF4">
        <w:rPr>
          <w:rFonts w:asciiTheme="majorBidi" w:eastAsia="Times New Roman" w:hAnsiTheme="majorBidi" w:cstheme="majorBidi"/>
          <w:i/>
          <w:iCs/>
        </w:rPr>
        <w:t>Problématiques de la traduction</w:t>
      </w:r>
      <w:r w:rsidR="00C43F8E" w:rsidRPr="00CB7AF4">
        <w:rPr>
          <w:rFonts w:asciiTheme="majorBidi" w:eastAsia="Times New Roman" w:hAnsiTheme="majorBidi" w:cstheme="majorBidi"/>
        </w:rPr>
        <w:t>)</w:t>
      </w:r>
      <w:r w:rsidR="00CD0FEF" w:rsidRPr="00CB7AF4">
        <w:rPr>
          <w:rFonts w:asciiTheme="majorBidi" w:eastAsia="Times New Roman" w:hAnsiTheme="majorBidi" w:cstheme="majorBidi"/>
          <w:vertAlign w:val="superscript"/>
          <w:lang w:bidi="ar-AE"/>
        </w:rPr>
        <w:footnoteReference w:id="56"/>
      </w:r>
      <w:r w:rsidR="00F34360" w:rsidRPr="00CB7AF4">
        <w:rPr>
          <w:rFonts w:asciiTheme="majorBidi" w:eastAsia="Times New Roman" w:hAnsiTheme="majorBidi" w:cstheme="majorBidi"/>
        </w:rPr>
        <w:t xml:space="preserve"> et Georges Mounin</w:t>
      </w:r>
      <w:r w:rsidR="00F34360" w:rsidRPr="00CB7AF4">
        <w:rPr>
          <w:rFonts w:asciiTheme="majorBidi" w:eastAsia="Times New Roman" w:hAnsiTheme="majorBidi" w:cstheme="majorBidi"/>
          <w:vertAlign w:val="superscript"/>
          <w:lang w:bidi="ar-AE"/>
        </w:rPr>
        <w:footnoteReference w:id="57"/>
      </w:r>
      <w:r w:rsidR="00F34360" w:rsidRPr="00CB7AF4">
        <w:rPr>
          <w:rFonts w:asciiTheme="majorBidi" w:eastAsia="Times New Roman" w:hAnsiTheme="majorBidi" w:cstheme="majorBidi"/>
        </w:rPr>
        <w:t>.</w:t>
      </w:r>
    </w:p>
    <w:p w14:paraId="31741652" w14:textId="77777777" w:rsidR="00561BDC" w:rsidRPr="00CB7AF4" w:rsidRDefault="00561BDC" w:rsidP="00CB7AF4">
      <w:pPr>
        <w:spacing w:line="360" w:lineRule="auto"/>
        <w:ind w:firstLine="360"/>
        <w:jc w:val="both"/>
        <w:rPr>
          <w:rFonts w:asciiTheme="majorBidi" w:eastAsia="Times New Roman" w:hAnsiTheme="majorBidi" w:cstheme="majorBidi"/>
          <w:color w:val="FF0000"/>
        </w:rPr>
      </w:pPr>
    </w:p>
    <w:p w14:paraId="4D891198" w14:textId="77777777" w:rsidR="00561BDC" w:rsidRPr="00CB7AF4" w:rsidRDefault="00561BDC" w:rsidP="0041572B">
      <w:pPr>
        <w:spacing w:line="360" w:lineRule="auto"/>
        <w:ind w:firstLine="708"/>
        <w:jc w:val="both"/>
        <w:rPr>
          <w:rFonts w:asciiTheme="majorBidi" w:eastAsia="Times New Roman" w:hAnsiTheme="majorBidi" w:cstheme="majorBidi"/>
          <w:lang w:bidi="ar-EG"/>
        </w:rPr>
      </w:pPr>
      <w:r w:rsidRPr="00CB7AF4">
        <w:rPr>
          <w:rFonts w:asciiTheme="majorBidi" w:eastAsia="Times New Roman" w:hAnsiTheme="majorBidi" w:cstheme="majorBidi"/>
          <w:lang w:bidi="ar-EG"/>
        </w:rPr>
        <w:t xml:space="preserve">Selon Paul Ricœur (dans : </w:t>
      </w:r>
      <w:r w:rsidRPr="00CB7AF4">
        <w:rPr>
          <w:rFonts w:asciiTheme="majorBidi" w:eastAsia="Times New Roman" w:hAnsiTheme="majorBidi" w:cstheme="majorBidi"/>
          <w:i/>
          <w:iCs/>
          <w:lang w:bidi="ar-EG"/>
        </w:rPr>
        <w:t>Sur la traduction</w:t>
      </w:r>
      <w:r w:rsidRPr="00CB7AF4">
        <w:rPr>
          <w:rFonts w:asciiTheme="majorBidi" w:eastAsia="Times New Roman" w:hAnsiTheme="majorBidi" w:cstheme="majorBidi"/>
          <w:lang w:bidi="ar-EG"/>
        </w:rPr>
        <w:t xml:space="preserve">), la traduction (qui réalise </w:t>
      </w:r>
      <w:r w:rsidRPr="00CB7AF4">
        <w:rPr>
          <w:rFonts w:asciiTheme="majorBidi" w:eastAsia="Times New Roman" w:hAnsiTheme="majorBidi" w:cstheme="majorBidi"/>
          <w:i/>
          <w:iCs/>
          <w:lang w:bidi="ar-EG"/>
        </w:rPr>
        <w:t>l’hospitalité langagière</w:t>
      </w:r>
      <w:r w:rsidRPr="00CB7AF4">
        <w:rPr>
          <w:rFonts w:asciiTheme="majorBidi" w:eastAsia="Times New Roman" w:hAnsiTheme="majorBidi" w:cstheme="majorBidi"/>
          <w:lang w:bidi="ar-EG"/>
        </w:rPr>
        <w:t xml:space="preserve">) est une réconciliation entre </w:t>
      </w:r>
      <w:r w:rsidRPr="00CB7AF4">
        <w:rPr>
          <w:rFonts w:asciiTheme="majorBidi" w:eastAsia="Times New Roman" w:hAnsiTheme="majorBidi" w:cstheme="majorBidi"/>
          <w:i/>
          <w:iCs/>
          <w:lang w:bidi="ar-EG"/>
        </w:rPr>
        <w:t xml:space="preserve">le propre </w:t>
      </w:r>
      <w:r w:rsidRPr="00CB7AF4">
        <w:rPr>
          <w:rFonts w:asciiTheme="majorBidi" w:eastAsia="Times New Roman" w:hAnsiTheme="majorBidi" w:cstheme="majorBidi"/>
          <w:lang w:bidi="ar-EG"/>
        </w:rPr>
        <w:t xml:space="preserve">et </w:t>
      </w:r>
      <w:r w:rsidRPr="00CB7AF4">
        <w:rPr>
          <w:rFonts w:asciiTheme="majorBidi" w:eastAsia="Times New Roman" w:hAnsiTheme="majorBidi" w:cstheme="majorBidi"/>
          <w:i/>
          <w:iCs/>
          <w:lang w:bidi="ar-EG"/>
        </w:rPr>
        <w:t>l’étranger</w:t>
      </w:r>
      <w:r w:rsidR="000A3B42">
        <w:rPr>
          <w:rFonts w:asciiTheme="majorBidi" w:eastAsia="Times New Roman" w:hAnsiTheme="majorBidi" w:cstheme="majorBidi"/>
          <w:lang w:bidi="ar-EG"/>
        </w:rPr>
        <w:t>. Selon l’helléniste Marcel Dé</w:t>
      </w:r>
      <w:r w:rsidRPr="00CB7AF4">
        <w:rPr>
          <w:rFonts w:asciiTheme="majorBidi" w:eastAsia="Times New Roman" w:hAnsiTheme="majorBidi" w:cstheme="majorBidi"/>
          <w:lang w:bidi="ar-EG"/>
        </w:rPr>
        <w:t xml:space="preserve">tienne et le sinologue François Jullien, la traduction est présentée comme la </w:t>
      </w:r>
      <w:r w:rsidR="0041572B">
        <w:rPr>
          <w:rFonts w:asciiTheme="majorBidi" w:eastAsia="Times New Roman" w:hAnsiTheme="majorBidi" w:cstheme="majorBidi"/>
          <w:lang w:bidi="ar-EG"/>
        </w:rPr>
        <w:t>« </w:t>
      </w:r>
      <w:r w:rsidRPr="00CB7AF4">
        <w:rPr>
          <w:rFonts w:asciiTheme="majorBidi" w:eastAsia="Times New Roman" w:hAnsiTheme="majorBidi" w:cstheme="majorBidi"/>
          <w:i/>
          <w:iCs/>
          <w:lang w:bidi="ar-EG"/>
        </w:rPr>
        <w:t>construction du comparable</w:t>
      </w:r>
      <w:r w:rsidR="0041572B">
        <w:rPr>
          <w:rFonts w:asciiTheme="majorBidi" w:eastAsia="Times New Roman" w:hAnsiTheme="majorBidi" w:cstheme="majorBidi"/>
          <w:lang w:bidi="ar-EG"/>
        </w:rPr>
        <w:t> »</w:t>
      </w:r>
      <w:r w:rsidR="007152A0" w:rsidRPr="007D7F61">
        <w:rPr>
          <w:rStyle w:val="Appelnotedebasdep"/>
          <w:rFonts w:eastAsia="Times New Roman"/>
          <w:lang w:bidi="ar-EG"/>
        </w:rPr>
        <w:footnoteReference w:id="58"/>
      </w:r>
      <w:r w:rsidRPr="00CB7AF4">
        <w:rPr>
          <w:rFonts w:asciiTheme="majorBidi" w:eastAsia="Times New Roman" w:hAnsiTheme="majorBidi" w:cstheme="majorBidi"/>
          <w:i/>
          <w:iCs/>
          <w:lang w:bidi="ar-EG"/>
        </w:rPr>
        <w:t xml:space="preserve"> </w:t>
      </w:r>
      <w:r w:rsidRPr="00CB7AF4">
        <w:rPr>
          <w:rFonts w:asciiTheme="majorBidi" w:eastAsia="Times New Roman" w:hAnsiTheme="majorBidi" w:cstheme="majorBidi"/>
          <w:lang w:bidi="ar-EG"/>
        </w:rPr>
        <w:t>au-delà des différences culturelles et langagières, au-delà de l’intraduisible. Par conséquent, la traduction est une sorte de réconciliation, de compromis entre la polysémie du propre et celle de l’étranger.</w:t>
      </w:r>
    </w:p>
    <w:p w14:paraId="1E74CAD7" w14:textId="77777777" w:rsidR="00561BDC" w:rsidRPr="00CB7AF4" w:rsidRDefault="00561BDC" w:rsidP="00CB7AF4">
      <w:pPr>
        <w:spacing w:line="360" w:lineRule="auto"/>
        <w:jc w:val="both"/>
        <w:rPr>
          <w:rFonts w:asciiTheme="majorBidi" w:eastAsia="Times New Roman" w:hAnsiTheme="majorBidi" w:cstheme="majorBidi"/>
        </w:rPr>
      </w:pPr>
    </w:p>
    <w:p w14:paraId="01964CB0" w14:textId="77777777" w:rsidR="00561BDC" w:rsidRPr="00CB7AF4" w:rsidRDefault="00561BDC" w:rsidP="00CB7AF4">
      <w:p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ab/>
        <w:t xml:space="preserve">Dans son ouvrage </w:t>
      </w:r>
      <w:r w:rsidRPr="00CB7AF4">
        <w:rPr>
          <w:rFonts w:asciiTheme="majorBidi" w:eastAsia="Times New Roman" w:hAnsiTheme="majorBidi" w:cstheme="majorBidi"/>
          <w:i/>
          <w:iCs/>
        </w:rPr>
        <w:t>La critique et la conviction</w:t>
      </w:r>
      <w:r w:rsidRPr="00CB7AF4">
        <w:rPr>
          <w:rFonts w:asciiTheme="majorBidi" w:eastAsia="Times New Roman" w:hAnsiTheme="majorBidi" w:cstheme="majorBidi"/>
        </w:rPr>
        <w:t xml:space="preserve">, et surtout dans </w:t>
      </w:r>
      <w:r w:rsidR="00E27C53">
        <w:rPr>
          <w:rFonts w:asciiTheme="majorBidi" w:eastAsia="Times New Roman" w:hAnsiTheme="majorBidi" w:cstheme="majorBidi"/>
        </w:rPr>
        <w:t>le</w:t>
      </w:r>
      <w:r w:rsidRPr="00CB7AF4">
        <w:rPr>
          <w:rFonts w:asciiTheme="majorBidi" w:eastAsia="Times New Roman" w:hAnsiTheme="majorBidi" w:cstheme="majorBidi"/>
        </w:rPr>
        <w:t xml:space="preserve"> chapitre intitulé « Lectures et méditations bibliques », Paul Ricœur souligne qu’en matière de traduction, et en particulier de traduction du texte religieux, ce n’est pas toujours le même « centre organisateur » et « la même ligne directrice » qui sont tenus pour normatifs. Chaque traducteur </w:t>
      </w:r>
      <w:r w:rsidRPr="00CB7AF4">
        <w:rPr>
          <w:rFonts w:asciiTheme="majorBidi" w:eastAsia="Times New Roman" w:hAnsiTheme="majorBidi" w:cstheme="majorBidi"/>
          <w:i/>
          <w:iCs/>
        </w:rPr>
        <w:t>lit</w:t>
      </w:r>
      <w:r w:rsidRPr="00CB7AF4">
        <w:rPr>
          <w:rFonts w:asciiTheme="majorBidi" w:eastAsia="Times New Roman" w:hAnsiTheme="majorBidi" w:cstheme="majorBidi"/>
        </w:rPr>
        <w:t xml:space="preserve"> le texte autrement suivant les </w:t>
      </w:r>
      <w:r w:rsidRPr="00CB7AF4">
        <w:rPr>
          <w:rFonts w:asciiTheme="majorBidi" w:eastAsia="Times New Roman" w:hAnsiTheme="majorBidi" w:cstheme="majorBidi"/>
          <w:i/>
          <w:iCs/>
        </w:rPr>
        <w:t>modalités d’interprétation</w:t>
      </w:r>
      <w:r w:rsidRPr="00CB7AF4">
        <w:rPr>
          <w:rFonts w:asciiTheme="majorBidi" w:eastAsia="Times New Roman" w:hAnsiTheme="majorBidi" w:cstheme="majorBidi"/>
        </w:rPr>
        <w:t xml:space="preserve"> qu’il emploie pour se le rendre intelligible</w:t>
      </w:r>
      <w:r w:rsidRPr="00CB7AF4">
        <w:rPr>
          <w:rFonts w:asciiTheme="majorBidi" w:eastAsia="Times New Roman" w:hAnsiTheme="majorBidi" w:cstheme="majorBidi"/>
          <w:vertAlign w:val="superscript"/>
        </w:rPr>
        <w:footnoteReference w:id="59"/>
      </w:r>
      <w:r w:rsidRPr="00CB7AF4">
        <w:rPr>
          <w:rFonts w:asciiTheme="majorBidi" w:eastAsia="Times New Roman" w:hAnsiTheme="majorBidi" w:cstheme="majorBidi"/>
        </w:rPr>
        <w:t>.</w:t>
      </w:r>
    </w:p>
    <w:p w14:paraId="7E08A059" w14:textId="77777777" w:rsidR="00561BDC" w:rsidRPr="00E84FD5" w:rsidRDefault="00561BDC" w:rsidP="00CB7AF4">
      <w:pPr>
        <w:spacing w:line="360" w:lineRule="auto"/>
        <w:jc w:val="both"/>
        <w:rPr>
          <w:rFonts w:asciiTheme="majorBidi" w:eastAsia="Times New Roman" w:hAnsiTheme="majorBidi" w:cstheme="majorBidi"/>
        </w:rPr>
      </w:pPr>
    </w:p>
    <w:p w14:paraId="2BFC812D" w14:textId="77777777" w:rsidR="00561BDC" w:rsidRPr="00CB7AF4" w:rsidRDefault="00561BDC" w:rsidP="00CB7AF4">
      <w:pPr>
        <w:spacing w:line="360" w:lineRule="auto"/>
        <w:jc w:val="both"/>
        <w:rPr>
          <w:rFonts w:asciiTheme="majorBidi" w:eastAsia="Times New Roman" w:hAnsiTheme="majorBidi" w:cstheme="majorBidi"/>
        </w:rPr>
      </w:pPr>
      <w:r w:rsidRPr="00E84FD5">
        <w:rPr>
          <w:rFonts w:asciiTheme="majorBidi" w:eastAsia="Times New Roman" w:hAnsiTheme="majorBidi" w:cstheme="majorBidi"/>
        </w:rPr>
        <w:tab/>
        <w:t>Cependant, peut</w:t>
      </w:r>
      <w:r w:rsidR="00E27C53" w:rsidRPr="00E84FD5">
        <w:rPr>
          <w:rFonts w:asciiTheme="majorBidi" w:eastAsia="Times New Roman" w:hAnsiTheme="majorBidi" w:cstheme="majorBidi"/>
        </w:rPr>
        <w:t>-il</w:t>
      </w:r>
      <w:r w:rsidRPr="00E84FD5">
        <w:rPr>
          <w:rFonts w:asciiTheme="majorBidi" w:eastAsia="Times New Roman" w:hAnsiTheme="majorBidi" w:cstheme="majorBidi"/>
        </w:rPr>
        <w:t xml:space="preserve"> y avoir des limites pour l’interprétation ? À ce</w:t>
      </w:r>
      <w:r w:rsidR="00E27C53" w:rsidRPr="00E84FD5">
        <w:rPr>
          <w:rFonts w:asciiTheme="majorBidi" w:eastAsia="Times New Roman" w:hAnsiTheme="majorBidi" w:cstheme="majorBidi"/>
        </w:rPr>
        <w:t>t égard, Umberto Eco précise :</w:t>
      </w:r>
      <w:r w:rsidRPr="00E84FD5">
        <w:rPr>
          <w:rFonts w:asciiTheme="majorBidi" w:eastAsia="Times New Roman" w:hAnsiTheme="majorBidi" w:cstheme="majorBidi"/>
        </w:rPr>
        <w:t xml:space="preserve"> « Le texte [est] interprétable de plusieurs façons, mais en obéissant à des règles bien définies et non à l’infini ».</w:t>
      </w:r>
      <w:r w:rsidRPr="00E84FD5">
        <w:rPr>
          <w:rFonts w:asciiTheme="majorBidi" w:eastAsia="Times New Roman" w:hAnsiTheme="majorBidi" w:cstheme="majorBidi"/>
          <w:vertAlign w:val="superscript"/>
        </w:rPr>
        <w:footnoteReference w:id="60"/>
      </w:r>
      <w:r w:rsidRPr="00CB7AF4">
        <w:rPr>
          <w:rFonts w:asciiTheme="majorBidi" w:eastAsia="Times New Roman" w:hAnsiTheme="majorBidi" w:cstheme="majorBidi"/>
        </w:rPr>
        <w:t xml:space="preserve"> Mais quels sont les éléments qui peuvent limiter l’interprétation d’un texte ? Est-ce que ces éléments appartiennent au texte, à l’auteur, ou bien au lecteur ? Pour Eco, c’est le texte, une « immense machine à produire des interprétations », qui cherche à indiquer « ses </w:t>
      </w:r>
      <w:r w:rsidR="00AC53A0" w:rsidRPr="00CB7AF4">
        <w:rPr>
          <w:rFonts w:asciiTheme="majorBidi" w:eastAsia="Times New Roman" w:hAnsiTheme="majorBidi" w:cstheme="majorBidi"/>
        </w:rPr>
        <w:t>propres parcours de lectures ».</w:t>
      </w:r>
    </w:p>
    <w:p w14:paraId="10F470B2"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0C940BDF" w14:textId="77777777" w:rsidR="00561BDC" w:rsidRPr="00CB7AF4" w:rsidRDefault="00561BDC" w:rsidP="00E97FA6">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lastRenderedPageBreak/>
        <w:t>Selon Eco, c’est l’intention du texte (</w:t>
      </w:r>
      <w:r w:rsidRPr="00CB7AF4">
        <w:rPr>
          <w:rFonts w:asciiTheme="majorBidi" w:eastAsia="Times New Roman" w:hAnsiTheme="majorBidi" w:cstheme="majorBidi"/>
          <w:i/>
          <w:iCs/>
        </w:rPr>
        <w:t>intentio operis</w:t>
      </w:r>
      <w:r w:rsidRPr="00CB7AF4">
        <w:rPr>
          <w:rFonts w:asciiTheme="majorBidi" w:eastAsia="Times New Roman" w:hAnsiTheme="majorBidi" w:cstheme="majorBidi"/>
        </w:rPr>
        <w:t>), et pas de l’auteur (</w:t>
      </w:r>
      <w:r w:rsidRPr="00CB7AF4">
        <w:rPr>
          <w:rFonts w:asciiTheme="majorBidi" w:eastAsia="Times New Roman" w:hAnsiTheme="majorBidi" w:cstheme="majorBidi"/>
          <w:i/>
          <w:iCs/>
        </w:rPr>
        <w:t>intentio auctoris</w:t>
      </w:r>
      <w:r w:rsidRPr="00CB7AF4">
        <w:rPr>
          <w:rFonts w:asciiTheme="majorBidi" w:eastAsia="Times New Roman" w:hAnsiTheme="majorBidi" w:cstheme="majorBidi"/>
        </w:rPr>
        <w:t>), qui doit être prise en considération : « Entre l’inaccessible intention de l’auteur et la discutable intention du lecteur, il y a l’intention transparente du texte qui réfute une interprétation inacceptable. »</w:t>
      </w:r>
      <w:r w:rsidRPr="00CB7AF4">
        <w:rPr>
          <w:rFonts w:asciiTheme="majorBidi" w:eastAsia="Times New Roman" w:hAnsiTheme="majorBidi" w:cstheme="majorBidi"/>
          <w:vertAlign w:val="superscript"/>
        </w:rPr>
        <w:footnoteReference w:id="61"/>
      </w:r>
      <w:r w:rsidRPr="00CB7AF4">
        <w:rPr>
          <w:rFonts w:asciiTheme="majorBidi" w:eastAsia="Times New Roman" w:hAnsiTheme="majorBidi" w:cstheme="majorBidi"/>
        </w:rPr>
        <w:t xml:space="preserve"> Ainsi, « il est impossible - ou du moins illégitime d’un point de vue critique - de faire dire [au texte] ce qu’il ne dit pas. »</w:t>
      </w:r>
      <w:r w:rsidRPr="00CB7AF4">
        <w:rPr>
          <w:rFonts w:asciiTheme="majorBidi" w:eastAsia="Times New Roman" w:hAnsiTheme="majorBidi" w:cstheme="majorBidi"/>
          <w:vertAlign w:val="superscript"/>
        </w:rPr>
        <w:footnoteReference w:id="62"/>
      </w:r>
      <w:r w:rsidRPr="00CB7AF4">
        <w:rPr>
          <w:rFonts w:asciiTheme="majorBidi" w:eastAsia="Times New Roman" w:hAnsiTheme="majorBidi" w:cstheme="majorBidi"/>
        </w:rPr>
        <w:t xml:space="preserve"> Mais l’histoire de l’exégèse du Coran, à titre d’exemple, nous montre que le lecteur, qu’il soit une autorité politique ou religieuse ou un individu, a bel et bien fait dire au texte ce qu’il ne disait pas, et il a pu tordre l’intention du texte pour servir l’intention du lecteur (</w:t>
      </w:r>
      <w:r w:rsidRPr="00CB7AF4">
        <w:rPr>
          <w:rFonts w:asciiTheme="majorBidi" w:eastAsia="Times New Roman" w:hAnsiTheme="majorBidi" w:cstheme="majorBidi"/>
          <w:i/>
          <w:iCs/>
        </w:rPr>
        <w:t>intentio lectoris</w:t>
      </w:r>
      <w:r w:rsidRPr="00CB7AF4">
        <w:rPr>
          <w:rFonts w:asciiTheme="majorBidi" w:eastAsia="Times New Roman" w:hAnsiTheme="majorBidi" w:cstheme="majorBidi"/>
        </w:rPr>
        <w:t xml:space="preserve">). Ainsi, </w:t>
      </w:r>
      <w:r w:rsidRPr="00CB7AF4">
        <w:rPr>
          <w:rFonts w:asciiTheme="majorBidi" w:eastAsia="Times New Roman" w:hAnsiTheme="majorBidi" w:cstheme="majorBidi"/>
          <w:i/>
          <w:iCs/>
        </w:rPr>
        <w:t>Les Limites de l’interprétation</w:t>
      </w:r>
      <w:r w:rsidRPr="00CB7AF4">
        <w:rPr>
          <w:rFonts w:asciiTheme="majorBidi" w:eastAsia="Times New Roman" w:hAnsiTheme="majorBidi" w:cstheme="majorBidi"/>
        </w:rPr>
        <w:t xml:space="preserve"> d’Umberto Eco ne sont parfois pas respectées par les commentateurs</w:t>
      </w:r>
      <w:r w:rsidR="00E97FA6">
        <w:rPr>
          <w:rFonts w:asciiTheme="majorBidi" w:eastAsia="Times New Roman" w:hAnsiTheme="majorBidi" w:cstheme="majorBidi"/>
        </w:rPr>
        <w:t>,</w:t>
      </w:r>
      <w:r w:rsidR="00E97FA6" w:rsidRPr="00CB7AF4">
        <w:rPr>
          <w:rFonts w:asciiTheme="majorBidi" w:eastAsia="Times New Roman" w:hAnsiTheme="majorBidi" w:cstheme="majorBidi"/>
        </w:rPr>
        <w:t xml:space="preserve"> </w:t>
      </w:r>
      <w:r w:rsidR="00E97FA6">
        <w:rPr>
          <w:rFonts w:asciiTheme="majorBidi" w:eastAsia="Times New Roman" w:hAnsiTheme="majorBidi" w:cstheme="majorBidi"/>
        </w:rPr>
        <w:t>s</w:t>
      </w:r>
      <w:r w:rsidRPr="00CB7AF4">
        <w:rPr>
          <w:rFonts w:asciiTheme="majorBidi" w:eastAsia="Times New Roman" w:hAnsiTheme="majorBidi" w:cstheme="majorBidi"/>
        </w:rPr>
        <w:t>urtout dan</w:t>
      </w:r>
      <w:r w:rsidR="00F975D9">
        <w:rPr>
          <w:rFonts w:asciiTheme="majorBidi" w:eastAsia="Times New Roman" w:hAnsiTheme="majorBidi" w:cstheme="majorBidi"/>
        </w:rPr>
        <w:t>s l’exégèse des versets dits "équivoques"</w:t>
      </w:r>
      <w:r w:rsidRPr="00CB7AF4">
        <w:rPr>
          <w:rFonts w:asciiTheme="majorBidi" w:eastAsia="Times New Roman" w:hAnsiTheme="majorBidi" w:cstheme="majorBidi"/>
        </w:rPr>
        <w:t xml:space="preserve">. À ce propos, Eco distingue entre une </w:t>
      </w:r>
      <w:r w:rsidRPr="00CB7AF4">
        <w:rPr>
          <w:rFonts w:asciiTheme="majorBidi" w:eastAsia="Times New Roman" w:hAnsiTheme="majorBidi" w:cstheme="majorBidi"/>
          <w:i/>
          <w:iCs/>
        </w:rPr>
        <w:t>interprétation</w:t>
      </w:r>
      <w:r w:rsidRPr="00CB7AF4">
        <w:rPr>
          <w:rFonts w:asciiTheme="majorBidi" w:eastAsia="Times New Roman" w:hAnsiTheme="majorBidi" w:cstheme="majorBidi"/>
        </w:rPr>
        <w:t xml:space="preserve"> basée sur le texte et une </w:t>
      </w:r>
      <w:r w:rsidRPr="00CB7AF4">
        <w:rPr>
          <w:rFonts w:asciiTheme="majorBidi" w:eastAsia="Times New Roman" w:hAnsiTheme="majorBidi" w:cstheme="majorBidi"/>
          <w:i/>
          <w:iCs/>
        </w:rPr>
        <w:t>utilisation</w:t>
      </w:r>
      <w:r w:rsidRPr="00CB7AF4">
        <w:rPr>
          <w:rFonts w:asciiTheme="majorBidi" w:eastAsia="Times New Roman" w:hAnsiTheme="majorBidi" w:cstheme="majorBidi"/>
        </w:rPr>
        <w:t xml:space="preserve"> du texte pour en tirer des inférences.</w:t>
      </w:r>
      <w:r w:rsidRPr="00CB7AF4">
        <w:rPr>
          <w:rFonts w:asciiTheme="majorBidi" w:eastAsia="Times New Roman" w:hAnsiTheme="majorBidi" w:cstheme="majorBidi"/>
          <w:vertAlign w:val="superscript"/>
        </w:rPr>
        <w:footnoteReference w:id="63"/>
      </w:r>
      <w:r w:rsidRPr="00CB7AF4">
        <w:rPr>
          <w:rFonts w:asciiTheme="majorBidi" w:eastAsia="Times New Roman" w:hAnsiTheme="majorBidi" w:cstheme="majorBidi"/>
        </w:rPr>
        <w:t xml:space="preserve"> De plus, il note que dès que le texte devient “sacré” , au sens religieux ou profane, il se déchaîne à son égard le jeu de la lecture soupçonneuse (en quête de messages cachés) et donc d’une interprétation excédante. Prenons comme exemple le verset 15 de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xml:space="preserve"> [le pèlerinage]. Contraire à ce que le verset dit en fonction de la grammaire arabe, de la sémantique et de la logique du texte et du contexte, l’exégèse de ce verset, qui n’est d’ailleurs pas arbitraire, a répondu à un besoin sociopolitique de la première communauté musulmane, et elle s’est inscrite dans un contexte sociopolitique conflictuel qui exigeait une telle interprétation. Ce verset dit :</w:t>
      </w:r>
    </w:p>
    <w:p w14:paraId="26982E20" w14:textId="77777777" w:rsidR="00561BDC" w:rsidRPr="00CB7AF4" w:rsidRDefault="00561BDC" w:rsidP="00CB7AF4">
      <w:pPr>
        <w:bidi/>
        <w:spacing w:line="360" w:lineRule="auto"/>
        <w:jc w:val="both"/>
        <w:rPr>
          <w:rFonts w:asciiTheme="majorBidi" w:eastAsia="Times New Roman" w:hAnsiTheme="majorBidi" w:cstheme="majorBidi"/>
          <w:lang w:bidi="ar-KW"/>
        </w:rPr>
      </w:pPr>
      <w:r w:rsidRPr="00CB7AF4">
        <w:rPr>
          <w:rFonts w:asciiTheme="majorBidi" w:eastAsia="Times New Roman" w:hAnsiTheme="majorBidi" w:cstheme="majorBidi"/>
          <w:rtl/>
        </w:rPr>
        <w:t>"مَن كانَ يَـظُـنُّ أَنْ لن يَـنْـصُـر</w:t>
      </w:r>
      <w:r w:rsidRPr="00CB7AF4">
        <w:rPr>
          <w:rFonts w:asciiTheme="majorBidi" w:eastAsia="Times New Roman" w:hAnsiTheme="majorBidi" w:cstheme="majorBidi"/>
          <w:u w:val="single"/>
          <w:rtl/>
        </w:rPr>
        <w:t>َهُ</w:t>
      </w:r>
      <w:r w:rsidRPr="00CB7AF4">
        <w:rPr>
          <w:rFonts w:asciiTheme="majorBidi" w:eastAsia="Times New Roman" w:hAnsiTheme="majorBidi" w:cstheme="majorBidi"/>
          <w:rtl/>
        </w:rPr>
        <w:t xml:space="preserve"> اللهُ في الدُّنيا</w:t>
      </w:r>
      <w:r w:rsidRPr="00CB7AF4">
        <w:rPr>
          <w:rFonts w:asciiTheme="majorBidi" w:eastAsia="Times New Roman" w:hAnsiTheme="majorBidi" w:cstheme="majorBidi"/>
          <w:rtl/>
          <w:lang w:bidi="ar-SY"/>
        </w:rPr>
        <w:t xml:space="preserve"> </w:t>
      </w:r>
      <w:r w:rsidRPr="00CB7AF4">
        <w:rPr>
          <w:rFonts w:asciiTheme="majorBidi" w:eastAsia="Times New Roman" w:hAnsiTheme="majorBidi" w:cstheme="majorBidi"/>
          <w:rtl/>
        </w:rPr>
        <w:t xml:space="preserve">والآخِرَةِ فَـلْـيَـمْـدُدْ </w:t>
      </w:r>
      <w:r w:rsidRPr="00CB7AF4">
        <w:rPr>
          <w:rFonts w:asciiTheme="majorBidi" w:eastAsia="Times New Roman" w:hAnsiTheme="majorBidi" w:cstheme="majorBidi"/>
          <w:u w:val="single"/>
          <w:rtl/>
        </w:rPr>
        <w:t>بِسببٍ</w:t>
      </w:r>
      <w:r w:rsidR="006612A8" w:rsidRPr="00CB7AF4">
        <w:rPr>
          <w:rFonts w:asciiTheme="majorBidi" w:eastAsia="Times New Roman" w:hAnsiTheme="majorBidi" w:cstheme="majorBidi"/>
          <w:rtl/>
        </w:rPr>
        <w:t xml:space="preserve"> </w:t>
      </w:r>
      <w:r w:rsidRPr="00CB7AF4">
        <w:rPr>
          <w:rFonts w:asciiTheme="majorBidi" w:eastAsia="Times New Roman" w:hAnsiTheme="majorBidi" w:cstheme="majorBidi"/>
          <w:rtl/>
        </w:rPr>
        <w:t xml:space="preserve">إلى السَّماءِ ثُـمَّ </w:t>
      </w:r>
      <w:r w:rsidRPr="00CB7AF4">
        <w:rPr>
          <w:rFonts w:asciiTheme="majorBidi" w:eastAsia="Times New Roman" w:hAnsiTheme="majorBidi" w:cstheme="majorBidi"/>
          <w:b/>
          <w:bCs/>
          <w:u w:val="single"/>
          <w:rtl/>
        </w:rPr>
        <w:t>لِـيَـقْـطَـعْ</w:t>
      </w:r>
      <w:r w:rsidRPr="00CB7AF4">
        <w:rPr>
          <w:rFonts w:asciiTheme="majorBidi" w:eastAsia="Times New Roman" w:hAnsiTheme="majorBidi" w:cstheme="majorBidi"/>
          <w:b/>
          <w:bCs/>
          <w:rtl/>
          <w:lang w:bidi="ar-SY"/>
        </w:rPr>
        <w:t xml:space="preserve"> </w:t>
      </w:r>
      <w:r w:rsidRPr="00CB7AF4">
        <w:rPr>
          <w:rFonts w:asciiTheme="majorBidi" w:eastAsia="Times New Roman" w:hAnsiTheme="majorBidi" w:cstheme="majorBidi"/>
          <w:b/>
          <w:bCs/>
          <w:u w:val="single"/>
          <w:rtl/>
          <w:lang w:bidi="ar-SY"/>
        </w:rPr>
        <w:t>[</w:t>
      </w:r>
      <w:r w:rsidRPr="00CB7AF4">
        <w:rPr>
          <w:rFonts w:asciiTheme="majorBidi" w:eastAsia="Times New Roman" w:hAnsiTheme="majorBidi" w:cstheme="majorBidi"/>
          <w:b/>
          <w:bCs/>
          <w:u w:val="single"/>
          <w:lang w:bidi="ar-SY"/>
        </w:rPr>
        <w:t>Ø</w:t>
      </w:r>
      <w:r w:rsidRPr="00CB7AF4">
        <w:rPr>
          <w:rFonts w:asciiTheme="majorBidi" w:eastAsia="Times New Roman" w:hAnsiTheme="majorBidi" w:cstheme="majorBidi"/>
          <w:b/>
          <w:bCs/>
          <w:u w:val="single"/>
          <w:rtl/>
          <w:lang w:bidi="ar-SY"/>
        </w:rPr>
        <w:t>]</w:t>
      </w:r>
      <w:r w:rsidRPr="00CB7AF4">
        <w:rPr>
          <w:rFonts w:asciiTheme="majorBidi" w:eastAsia="Times New Roman" w:hAnsiTheme="majorBidi" w:cstheme="majorBidi"/>
          <w:rtl/>
          <w:lang w:bidi="ar-SY"/>
        </w:rPr>
        <w:t xml:space="preserve"> </w:t>
      </w:r>
      <w:r w:rsidRPr="00CB7AF4">
        <w:rPr>
          <w:rFonts w:asciiTheme="majorBidi" w:eastAsia="Times New Roman" w:hAnsiTheme="majorBidi" w:cstheme="majorBidi"/>
          <w:rtl/>
        </w:rPr>
        <w:t>فَـلْـيَـنْـظُـرْ هل يُـذْهِـبَـنَّ كَـيدُهُ ما يَـغِـيظُ."</w:t>
      </w:r>
    </w:p>
    <w:p w14:paraId="372E395F" w14:textId="77777777" w:rsidR="00561BDC" w:rsidRPr="00CB7AF4" w:rsidRDefault="00561BDC" w:rsidP="00CB7AF4">
      <w:pPr>
        <w:spacing w:line="360" w:lineRule="auto"/>
        <w:ind w:firstLine="720"/>
        <w:jc w:val="both"/>
        <w:rPr>
          <w:rFonts w:asciiTheme="majorBidi" w:eastAsia="Times New Roman" w:hAnsiTheme="majorBidi" w:cstheme="majorBidi"/>
          <w:rtl/>
        </w:rPr>
      </w:pPr>
      <w:r w:rsidRPr="00CB7AF4">
        <w:rPr>
          <w:rFonts w:asciiTheme="majorBidi" w:eastAsia="Times New Roman" w:hAnsiTheme="majorBidi" w:cstheme="majorBidi"/>
          <w:lang w:bidi="ar-AE"/>
        </w:rPr>
        <w:t>Alors qu’u</w:t>
      </w:r>
      <w:r w:rsidRPr="00CB7AF4">
        <w:rPr>
          <w:rFonts w:asciiTheme="majorBidi" w:eastAsia="Times New Roman" w:hAnsiTheme="majorBidi" w:cstheme="majorBidi"/>
        </w:rPr>
        <w:t xml:space="preserve">ne interprétation et une traduction conformes au contexte et aux critères linguistiques pourraient </w:t>
      </w:r>
      <w:r w:rsidRPr="00E84FD5">
        <w:rPr>
          <w:rFonts w:asciiTheme="majorBidi" w:eastAsia="Times New Roman" w:hAnsiTheme="majorBidi" w:cstheme="majorBidi"/>
        </w:rPr>
        <w:t xml:space="preserve">éventuellement </w:t>
      </w:r>
      <w:r w:rsidR="00307EDA" w:rsidRPr="00E84FD5">
        <w:rPr>
          <w:rFonts w:asciiTheme="majorBidi" w:eastAsia="Times New Roman" w:hAnsiTheme="majorBidi" w:cstheme="majorBidi"/>
        </w:rPr>
        <w:t>donner cec</w:t>
      </w:r>
      <w:r w:rsidRPr="00E84FD5">
        <w:rPr>
          <w:rFonts w:asciiTheme="majorBidi" w:eastAsia="Times New Roman" w:hAnsiTheme="majorBidi" w:cstheme="majorBidi"/>
        </w:rPr>
        <w:t xml:space="preserve">i : </w:t>
      </w:r>
      <w:r w:rsidRPr="00E84FD5">
        <w:rPr>
          <w:rFonts w:asciiTheme="majorBidi" w:eastAsia="Times New Roman" w:hAnsiTheme="majorBidi" w:cstheme="majorBidi"/>
          <w:i/>
          <w:iCs/>
        </w:rPr>
        <w:t>“</w:t>
      </w:r>
      <w:r w:rsidRPr="00CB7AF4">
        <w:rPr>
          <w:rFonts w:asciiTheme="majorBidi" w:eastAsia="Times New Roman" w:hAnsiTheme="majorBidi" w:cstheme="majorBidi"/>
          <w:i/>
          <w:iCs/>
        </w:rPr>
        <w:t xml:space="preserve">Celui qui penserait que Dieu le laisserait sans secours en ce qui concerne ce monde terrestre et l’autre monde n’a qu’à établir </w:t>
      </w:r>
      <w:r w:rsidRPr="00CB7AF4">
        <w:rPr>
          <w:rFonts w:asciiTheme="majorBidi" w:eastAsia="Times New Roman" w:hAnsiTheme="majorBidi" w:cstheme="majorBidi"/>
          <w:i/>
          <w:iCs/>
          <w:u w:val="single"/>
        </w:rPr>
        <w:t>un lien</w:t>
      </w:r>
      <w:r w:rsidRPr="00CB7AF4">
        <w:rPr>
          <w:rFonts w:asciiTheme="majorBidi" w:eastAsia="Times New Roman" w:hAnsiTheme="majorBidi" w:cstheme="majorBidi"/>
          <w:i/>
          <w:iCs/>
        </w:rPr>
        <w:t xml:space="preserve"> </w:t>
      </w:r>
      <w:r w:rsidRPr="00CB7AF4">
        <w:rPr>
          <w:rFonts w:asciiTheme="majorBidi" w:eastAsia="Times New Roman" w:hAnsiTheme="majorBidi" w:cstheme="majorBidi"/>
          <w:i/>
          <w:iCs/>
        </w:rPr>
        <w:lastRenderedPageBreak/>
        <w:t xml:space="preserve">avec le Ciel, puis </w:t>
      </w:r>
      <w:r w:rsidRPr="00CB7AF4">
        <w:rPr>
          <w:rFonts w:asciiTheme="majorBidi" w:eastAsia="Times New Roman" w:hAnsiTheme="majorBidi" w:cstheme="majorBidi"/>
          <w:b/>
          <w:bCs/>
          <w:i/>
          <w:iCs/>
        </w:rPr>
        <w:t>faire une rupture</w:t>
      </w:r>
      <w:r w:rsidRPr="00CB7AF4">
        <w:rPr>
          <w:rFonts w:asciiTheme="majorBidi" w:eastAsia="Times New Roman" w:hAnsiTheme="majorBidi" w:cstheme="majorBidi"/>
          <w:i/>
          <w:iCs/>
        </w:rPr>
        <w:t xml:space="preserve"> </w:t>
      </w:r>
      <w:r w:rsidRPr="00CB7AF4">
        <w:rPr>
          <w:rFonts w:asciiTheme="majorBidi" w:eastAsia="Times New Roman" w:hAnsiTheme="majorBidi" w:cstheme="majorBidi"/>
          <w:b/>
          <w:bCs/>
          <w:i/>
          <w:iCs/>
          <w:u w:val="single"/>
        </w:rPr>
        <w:t>[avec ce qui le fait penser ainsi]</w:t>
      </w:r>
      <w:r w:rsidRPr="00CB7AF4">
        <w:rPr>
          <w:rFonts w:asciiTheme="majorBidi" w:eastAsia="Times New Roman" w:hAnsiTheme="majorBidi" w:cstheme="majorBidi"/>
          <w:i/>
          <w:iCs/>
        </w:rPr>
        <w:t>, et puis voir si son stratagème va supprimer l’objet de sa rage!”</w:t>
      </w:r>
      <w:r w:rsidR="00307EDA">
        <w:rPr>
          <w:rFonts w:asciiTheme="majorBidi" w:eastAsia="Times New Roman" w:hAnsiTheme="majorBidi" w:cstheme="majorBidi"/>
        </w:rPr>
        <w:t xml:space="preserve">, on </w:t>
      </w:r>
      <w:r w:rsidR="00307EDA" w:rsidRPr="00E84FD5">
        <w:rPr>
          <w:rFonts w:asciiTheme="majorBidi" w:eastAsia="Times New Roman" w:hAnsiTheme="majorBidi" w:cstheme="majorBidi"/>
        </w:rPr>
        <w:t xml:space="preserve">remarque que presque tous les exégètes et à leur </w:t>
      </w:r>
      <w:r w:rsidRPr="00E84FD5">
        <w:rPr>
          <w:rFonts w:asciiTheme="majorBidi" w:eastAsia="Times New Roman" w:hAnsiTheme="majorBidi" w:cstheme="majorBidi"/>
        </w:rPr>
        <w:t>suite les traducteurs ont tordu le sens de ce verset, l’ont</w:t>
      </w:r>
      <w:r w:rsidRPr="00CB7AF4">
        <w:rPr>
          <w:rFonts w:asciiTheme="majorBidi" w:eastAsia="Times New Roman" w:hAnsiTheme="majorBidi" w:cstheme="majorBidi"/>
        </w:rPr>
        <w:t xml:space="preserve"> utilisé pour faire entendre que Muḥammad va remporter la victoire, quoi que ses adversaires fassent contre lui, et que le suicide est acceptable par le Coran si </w:t>
      </w:r>
      <w:r w:rsidR="00307EDA">
        <w:rPr>
          <w:rFonts w:asciiTheme="majorBidi" w:eastAsia="Times New Roman" w:hAnsiTheme="majorBidi" w:cstheme="majorBidi"/>
        </w:rPr>
        <w:t>l’</w:t>
      </w:r>
      <w:r w:rsidRPr="00CB7AF4">
        <w:rPr>
          <w:rFonts w:asciiTheme="majorBidi" w:eastAsia="Times New Roman" w:hAnsiTheme="majorBidi" w:cstheme="majorBidi"/>
        </w:rPr>
        <w:t xml:space="preserve">on veut être hostile au Prophète : « qu’il tende </w:t>
      </w:r>
      <w:r w:rsidRPr="00CB7AF4">
        <w:rPr>
          <w:rFonts w:asciiTheme="majorBidi" w:eastAsia="Times New Roman" w:hAnsiTheme="majorBidi" w:cstheme="majorBidi"/>
          <w:u w:val="single"/>
        </w:rPr>
        <w:t>une corde</w:t>
      </w:r>
      <w:r w:rsidRPr="00CB7AF4">
        <w:rPr>
          <w:rFonts w:asciiTheme="majorBidi" w:eastAsia="Times New Roman" w:hAnsiTheme="majorBidi" w:cstheme="majorBidi"/>
        </w:rPr>
        <w:t xml:space="preserve"> jusqu’au ciel [comment ?!], puis qu’il </w:t>
      </w:r>
      <w:r w:rsidRPr="00CB7AF4">
        <w:rPr>
          <w:rFonts w:asciiTheme="majorBidi" w:eastAsia="Times New Roman" w:hAnsiTheme="majorBidi" w:cstheme="majorBidi"/>
          <w:b/>
          <w:bCs/>
          <w:i/>
          <w:iCs/>
          <w:u w:val="single"/>
        </w:rPr>
        <w:t>la</w:t>
      </w:r>
      <w:r w:rsidRPr="00CB7AF4">
        <w:rPr>
          <w:rFonts w:asciiTheme="majorBidi" w:eastAsia="Times New Roman" w:hAnsiTheme="majorBidi" w:cstheme="majorBidi"/>
        </w:rPr>
        <w:t xml:space="preserve"> </w:t>
      </w:r>
      <w:r w:rsidRPr="00CB7AF4">
        <w:rPr>
          <w:rFonts w:asciiTheme="majorBidi" w:eastAsia="Times New Roman" w:hAnsiTheme="majorBidi" w:cstheme="majorBidi"/>
          <w:b/>
          <w:bCs/>
          <w:u w:val="single"/>
        </w:rPr>
        <w:t>coupe</w:t>
      </w:r>
      <w:r w:rsidRPr="00CB7AF4">
        <w:rPr>
          <w:rFonts w:asciiTheme="majorBidi" w:eastAsia="Times New Roman" w:hAnsiTheme="majorBidi" w:cstheme="majorBidi"/>
        </w:rPr>
        <w:t xml:space="preserve">, et qu’il voie [comment peut-il voir après avoir coupé la corde ?!]. » À titre d’exemple, voici la traduction de </w:t>
      </w:r>
      <w:r w:rsidRPr="00CB7AF4">
        <w:rPr>
          <w:rFonts w:asciiTheme="majorBidi" w:eastAsia="Calibri" w:hAnsiTheme="majorBidi" w:cstheme="majorBidi"/>
        </w:rPr>
        <w:t xml:space="preserve">Zeinab Abdelaziz : « Quiconque croyait qu’Allah ne lui Donnerait pas victoire (au Prophète), dans le monde et dans la vie Future, qu’il tende alors une corde vers le toit, ensuite qu’il se pende : qu’il regarde si sa ruse a dissipé ce qui l’enrage ! » </w:t>
      </w:r>
      <w:r w:rsidRPr="00CB7AF4">
        <w:rPr>
          <w:rFonts w:asciiTheme="majorBidi" w:eastAsia="Times New Roman" w:hAnsiTheme="majorBidi" w:cstheme="majorBidi"/>
        </w:rPr>
        <w:t xml:space="preserve">Dans le conflit des interprétations (Paul Ricœur), cette </w:t>
      </w:r>
      <w:r w:rsidRPr="00CB7AF4">
        <w:rPr>
          <w:rFonts w:asciiTheme="majorBidi" w:eastAsia="Times New Roman" w:hAnsiTheme="majorBidi" w:cstheme="majorBidi"/>
          <w:i/>
          <w:iCs/>
        </w:rPr>
        <w:t>mésinterprétation</w:t>
      </w:r>
      <w:r w:rsidRPr="00CB7AF4">
        <w:rPr>
          <w:rFonts w:asciiTheme="majorBidi" w:eastAsia="Times New Roman" w:hAnsiTheme="majorBidi" w:cstheme="majorBidi"/>
        </w:rPr>
        <w:t xml:space="preserve"> (Umberto Eco) a pris le dessus, s’est imposée aux autres </w:t>
      </w:r>
      <w:r w:rsidRPr="00CB7AF4">
        <w:rPr>
          <w:rFonts w:asciiTheme="majorBidi" w:eastAsia="Times New Roman" w:hAnsiTheme="majorBidi" w:cstheme="majorBidi"/>
          <w:i/>
          <w:iCs/>
        </w:rPr>
        <w:t>interprétations</w:t>
      </w:r>
      <w:r w:rsidRPr="00CB7AF4">
        <w:rPr>
          <w:rFonts w:asciiTheme="majorBidi" w:eastAsia="Times New Roman" w:hAnsiTheme="majorBidi" w:cstheme="majorBidi"/>
        </w:rPr>
        <w:t xml:space="preserve"> possibles.</w:t>
      </w:r>
    </w:p>
    <w:p w14:paraId="035BD0C0" w14:textId="77777777" w:rsidR="00561BDC" w:rsidRPr="00CB7AF4" w:rsidRDefault="00561BDC" w:rsidP="00CB7AF4">
      <w:pPr>
        <w:spacing w:line="360" w:lineRule="auto"/>
        <w:ind w:firstLine="720"/>
        <w:jc w:val="both"/>
        <w:rPr>
          <w:rFonts w:asciiTheme="majorBidi" w:eastAsia="Times New Roman" w:hAnsiTheme="majorBidi" w:cstheme="majorBidi"/>
        </w:rPr>
      </w:pPr>
    </w:p>
    <w:p w14:paraId="7464040E" w14:textId="77777777" w:rsidR="00561BDC" w:rsidRPr="00CB7AF4" w:rsidRDefault="00561BDC" w:rsidP="00CB7AF4">
      <w:pPr>
        <w:spacing w:line="360" w:lineRule="auto"/>
        <w:ind w:firstLine="720"/>
        <w:jc w:val="both"/>
        <w:rPr>
          <w:rFonts w:asciiTheme="majorBidi" w:eastAsia="Times New Roman" w:hAnsiTheme="majorBidi" w:cstheme="majorBidi"/>
        </w:rPr>
      </w:pPr>
      <w:r w:rsidRPr="00CB7AF4">
        <w:rPr>
          <w:rFonts w:asciiTheme="majorBidi" w:eastAsia="Times New Roman" w:hAnsiTheme="majorBidi" w:cstheme="majorBidi"/>
        </w:rPr>
        <w:t xml:space="preserve">Le verset 15 de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xml:space="preserve"> n’est qu’un exemple </w:t>
      </w:r>
      <w:r w:rsidR="00307EDA">
        <w:rPr>
          <w:rFonts w:asciiTheme="majorBidi" w:eastAsia="Times New Roman" w:hAnsiTheme="majorBidi" w:cstheme="majorBidi"/>
        </w:rPr>
        <w:t>de</w:t>
      </w:r>
      <w:r w:rsidRPr="00CB7AF4">
        <w:rPr>
          <w:rFonts w:asciiTheme="majorBidi" w:eastAsia="Times New Roman" w:hAnsiTheme="majorBidi" w:cstheme="majorBidi"/>
        </w:rPr>
        <w:t xml:space="preserve"> la soumission de l’intention du texte à l’autorité du lecteur et montre que c’est le lecteur qui met des limites à l’interprétation en fonction de son intention. Aussi lisons-nous que les oulémas, les </w:t>
      </w:r>
      <w:r w:rsidRPr="00CB7AF4">
        <w:rPr>
          <w:rFonts w:asciiTheme="majorBidi" w:eastAsia="Times New Roman" w:hAnsiTheme="majorBidi" w:cstheme="majorBidi"/>
          <w:i/>
          <w:iCs/>
        </w:rPr>
        <w:t>faqīh</w:t>
      </w:r>
      <w:r w:rsidRPr="00CB7AF4">
        <w:rPr>
          <w:rFonts w:asciiTheme="majorBidi" w:eastAsia="Times New Roman" w:hAnsiTheme="majorBidi" w:cstheme="majorBidi"/>
        </w:rPr>
        <w:t xml:space="preserve"> [juristes musulmans] et les exégè</w:t>
      </w:r>
      <w:r w:rsidR="00307EDA">
        <w:rPr>
          <w:rFonts w:asciiTheme="majorBidi" w:eastAsia="Times New Roman" w:hAnsiTheme="majorBidi" w:cstheme="majorBidi"/>
        </w:rPr>
        <w:t>tes (al-Qurṭubī, Ibn Taymiyya, a</w:t>
      </w:r>
      <w:r w:rsidRPr="00CB7AF4">
        <w:rPr>
          <w:rFonts w:asciiTheme="majorBidi" w:eastAsia="Times New Roman" w:hAnsiTheme="majorBidi" w:cstheme="majorBidi"/>
        </w:rPr>
        <w:t>s-Suyūṭī, etc.) ont mis des règles et des normes</w:t>
      </w:r>
      <w:r w:rsidR="00A45A0D">
        <w:rPr>
          <w:rStyle w:val="Appelnotedebasdep"/>
          <w:rFonts w:eastAsia="Times New Roman"/>
        </w:rPr>
        <w:footnoteReference w:id="64"/>
      </w:r>
      <w:r w:rsidRPr="00CB7AF4">
        <w:rPr>
          <w:rFonts w:asciiTheme="majorBidi" w:eastAsia="Times New Roman" w:hAnsiTheme="majorBidi" w:cstheme="majorBidi"/>
        </w:rPr>
        <w:t xml:space="preserve"> pour l’interprétation acceptée et que toutes les exégèses et les traductions sont conformes au courant orthodoxe sunnite. Cependant, le texte coranique reste un texte polysémique.</w:t>
      </w:r>
    </w:p>
    <w:p w14:paraId="3BFC70AB" w14:textId="77777777" w:rsidR="00561BDC" w:rsidRPr="00CB7AF4" w:rsidRDefault="00561BDC" w:rsidP="00CB7AF4">
      <w:pPr>
        <w:spacing w:line="360" w:lineRule="auto"/>
        <w:ind w:firstLine="720"/>
        <w:jc w:val="both"/>
        <w:rPr>
          <w:rFonts w:asciiTheme="majorBidi" w:eastAsia="Times New Roman" w:hAnsiTheme="majorBidi" w:cstheme="majorBidi"/>
        </w:rPr>
      </w:pPr>
    </w:p>
    <w:p w14:paraId="5E7B1308" w14:textId="77777777" w:rsidR="00561BDC" w:rsidRPr="00CB7AF4" w:rsidRDefault="00561BDC" w:rsidP="00CB7AF4">
      <w:pPr>
        <w:spacing w:line="360" w:lineRule="auto"/>
        <w:ind w:firstLine="720"/>
        <w:jc w:val="both"/>
        <w:rPr>
          <w:rFonts w:asciiTheme="majorBidi" w:eastAsia="Times New Roman" w:hAnsiTheme="majorBidi" w:cstheme="majorBidi"/>
        </w:rPr>
      </w:pPr>
      <w:r w:rsidRPr="00CB7AF4">
        <w:rPr>
          <w:rFonts w:asciiTheme="majorBidi" w:eastAsia="Times New Roman" w:hAnsiTheme="majorBidi" w:cstheme="majorBidi"/>
        </w:rPr>
        <w:t>De manière général, l’exégèse va du particuli</w:t>
      </w:r>
      <w:r w:rsidR="00094EF0">
        <w:rPr>
          <w:rFonts w:asciiTheme="majorBidi" w:eastAsia="Times New Roman" w:hAnsiTheme="majorBidi" w:cstheme="majorBidi"/>
        </w:rPr>
        <w:t xml:space="preserve">er vers l’universel (ex. </w:t>
      </w:r>
      <w:r w:rsidRPr="00CB7AF4">
        <w:rPr>
          <w:rFonts w:asciiTheme="majorBidi" w:eastAsia="Times New Roman" w:hAnsiTheme="majorBidi" w:cstheme="majorBidi"/>
          <w:i/>
          <w:iCs/>
        </w:rPr>
        <w:t>an-nās</w:t>
      </w:r>
      <w:r w:rsidRPr="00CB7AF4">
        <w:rPr>
          <w:rFonts w:asciiTheme="majorBidi" w:eastAsia="Times New Roman" w:hAnsiTheme="majorBidi" w:cstheme="majorBidi"/>
        </w:rPr>
        <w:t> : un groupe → l’humanité), et parfois de l’univ</w:t>
      </w:r>
      <w:r w:rsidR="00094EF0">
        <w:rPr>
          <w:rFonts w:asciiTheme="majorBidi" w:eastAsia="Times New Roman" w:hAnsiTheme="majorBidi" w:cstheme="majorBidi"/>
        </w:rPr>
        <w:t>ersel vers le particulier (ex.</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Man k</w:t>
      </w:r>
      <w:r w:rsidR="00094EF0">
        <w:rPr>
          <w:rFonts w:asciiTheme="majorBidi" w:eastAsia="Times New Roman" w:hAnsiTheme="majorBidi" w:cstheme="majorBidi"/>
          <w:i/>
          <w:iCs/>
        </w:rPr>
        <w:t xml:space="preserve">āna yaẓunnu </w:t>
      </w:r>
      <w:r w:rsidR="005967A0" w:rsidRPr="00CB7AF4">
        <w:rPr>
          <w:rFonts w:asciiTheme="majorBidi" w:eastAsia="Times New Roman" w:hAnsiTheme="majorBidi" w:cstheme="majorBidi"/>
          <w:i/>
          <w:iCs/>
        </w:rPr>
        <w:t>an lan yanṣura</w:t>
      </w:r>
      <w:r w:rsidR="00094EF0">
        <w:rPr>
          <w:rFonts w:asciiTheme="majorBidi" w:eastAsia="Times New Roman" w:hAnsiTheme="majorBidi" w:cstheme="majorBidi"/>
          <w:i/>
          <w:iCs/>
        </w:rPr>
        <w:t xml:space="preserve">-hu </w:t>
      </w:r>
      <w:r w:rsidR="005967A0" w:rsidRPr="00CB7AF4">
        <w:rPr>
          <w:rFonts w:asciiTheme="majorBidi" w:eastAsia="Times New Roman" w:hAnsiTheme="majorBidi" w:cstheme="majorBidi"/>
          <w:i/>
          <w:iCs/>
        </w:rPr>
        <w:t>l</w:t>
      </w:r>
      <w:r w:rsidRPr="00CB7AF4">
        <w:rPr>
          <w:rFonts w:asciiTheme="majorBidi" w:eastAsia="Times New Roman" w:hAnsiTheme="majorBidi" w:cstheme="majorBidi"/>
          <w:i/>
          <w:iCs/>
        </w:rPr>
        <w:t>lāhu</w:t>
      </w:r>
      <w:r w:rsidR="00094EF0">
        <w:rPr>
          <w:rFonts w:asciiTheme="majorBidi" w:eastAsia="Times New Roman" w:hAnsiTheme="majorBidi" w:cstheme="majorBidi"/>
        </w:rPr>
        <w:t xml:space="preserve"> [XXII, 15]</w:t>
      </w:r>
      <w:r w:rsidRPr="00CB7AF4">
        <w:rPr>
          <w:rFonts w:asciiTheme="majorBidi" w:eastAsia="Times New Roman" w:hAnsiTheme="majorBidi" w:cstheme="majorBidi"/>
        </w:rPr>
        <w:t xml:space="preserve"> : “Celui qui penserait que Dieu le secourra” → “ Celui qui penserait que Dieu ne secourra le Prophète”). L’exégèse a tendance à privilégier un sens parmi d’autres en fonction du </w:t>
      </w:r>
      <w:r w:rsidRPr="00CB7AF4">
        <w:rPr>
          <w:rFonts w:asciiTheme="majorBidi" w:eastAsia="Times New Roman" w:hAnsiTheme="majorBidi" w:cstheme="majorBidi"/>
          <w:i/>
          <w:iCs/>
        </w:rPr>
        <w:t>consensus omnium</w:t>
      </w:r>
      <w:r w:rsidRPr="00CB7AF4">
        <w:rPr>
          <w:rFonts w:asciiTheme="majorBidi" w:eastAsia="Times New Roman" w:hAnsiTheme="majorBidi" w:cstheme="majorBidi"/>
        </w:rPr>
        <w:t xml:space="preserve">, ou à conclure par l’énoncé </w:t>
      </w:r>
      <w:r w:rsidR="00094EF0">
        <w:rPr>
          <w:rFonts w:asciiTheme="majorBidi" w:eastAsia="Times New Roman" w:hAnsiTheme="majorBidi" w:cstheme="majorBidi"/>
          <w:i/>
          <w:iCs/>
        </w:rPr>
        <w:t xml:space="preserve">wa-llāhu </w:t>
      </w:r>
      <w:r w:rsidRPr="00CB7AF4">
        <w:rPr>
          <w:rFonts w:asciiTheme="majorBidi" w:eastAsia="Times New Roman" w:hAnsiTheme="majorBidi" w:cstheme="majorBidi"/>
          <w:i/>
          <w:iCs/>
        </w:rPr>
        <w:t>aʿlam !</w:t>
      </w:r>
      <w:r w:rsidRPr="00CB7AF4">
        <w:rPr>
          <w:rFonts w:asciiTheme="majorBidi" w:eastAsia="Times New Roman" w:hAnsiTheme="majorBidi" w:cstheme="majorBidi"/>
        </w:rPr>
        <w:t xml:space="preserve"> (</w:t>
      </w:r>
      <w:r w:rsidRPr="00CB7AF4">
        <w:rPr>
          <w:rFonts w:asciiTheme="majorBidi" w:eastAsia="Times New Roman" w:hAnsiTheme="majorBidi" w:cstheme="majorBidi"/>
          <w:rtl/>
        </w:rPr>
        <w:t>واللهُ أعلم !</w:t>
      </w:r>
      <w:r w:rsidRPr="00CB7AF4">
        <w:rPr>
          <w:rFonts w:asciiTheme="majorBidi" w:eastAsia="Times New Roman" w:hAnsiTheme="majorBidi" w:cstheme="majorBidi"/>
        </w:rPr>
        <w:t>) [</w:t>
      </w:r>
      <w:r w:rsidRPr="00CB7AF4">
        <w:rPr>
          <w:rFonts w:asciiTheme="majorBidi" w:eastAsia="Times New Roman" w:hAnsiTheme="majorBidi" w:cstheme="majorBidi"/>
          <w:i/>
          <w:iCs/>
        </w:rPr>
        <w:t>Dieu sait mieux !</w:t>
      </w:r>
      <w:r w:rsidRPr="00CB7AF4">
        <w:rPr>
          <w:rFonts w:asciiTheme="majorBidi" w:eastAsia="Times New Roman" w:hAnsiTheme="majorBidi" w:cstheme="majorBidi"/>
        </w:rPr>
        <w:t>], qui laisse la porte ouverte à la polysémie.</w:t>
      </w:r>
    </w:p>
    <w:p w14:paraId="3295FB9D" w14:textId="77777777" w:rsidR="00561BDC" w:rsidRPr="00CB7AF4" w:rsidRDefault="00561BDC" w:rsidP="00CB7AF4">
      <w:pPr>
        <w:spacing w:line="360" w:lineRule="auto"/>
        <w:jc w:val="both"/>
        <w:rPr>
          <w:rFonts w:asciiTheme="majorBidi" w:eastAsia="Times New Roman" w:hAnsiTheme="majorBidi" w:cstheme="majorBidi"/>
        </w:rPr>
      </w:pPr>
    </w:p>
    <w:p w14:paraId="3EE28A7B" w14:textId="77777777" w:rsidR="00561BDC" w:rsidRPr="00CB7AF4" w:rsidRDefault="00561BDC" w:rsidP="00CB7AF4">
      <w:pPr>
        <w:spacing w:line="360" w:lineRule="auto"/>
        <w:ind w:firstLine="720"/>
        <w:jc w:val="both"/>
        <w:rPr>
          <w:rFonts w:asciiTheme="majorBidi" w:eastAsia="Calibri" w:hAnsiTheme="majorBidi" w:cstheme="majorBidi"/>
          <w:lang w:bidi="ar-AE"/>
        </w:rPr>
      </w:pPr>
      <w:r w:rsidRPr="00CB7AF4">
        <w:rPr>
          <w:rFonts w:asciiTheme="majorBidi" w:eastAsia="Times New Roman" w:hAnsiTheme="majorBidi" w:cstheme="majorBidi"/>
        </w:rPr>
        <w:t xml:space="preserve">Derrida va donc plus loin en affirmant que le pouvoir de l’interprétation n’appartient pas au texte, mais au lecteur, ce qui ouvre la voie devant la polysémie. Cependant, Derrida distingue entre </w:t>
      </w:r>
      <w:r w:rsidRPr="00CB7AF4">
        <w:rPr>
          <w:rFonts w:asciiTheme="majorBidi" w:eastAsia="Times New Roman" w:hAnsiTheme="majorBidi" w:cstheme="majorBidi"/>
          <w:i/>
          <w:iCs/>
        </w:rPr>
        <w:t>polysémie</w:t>
      </w:r>
      <w:r w:rsidRPr="00CB7AF4">
        <w:rPr>
          <w:rFonts w:asciiTheme="majorBidi" w:eastAsia="Times New Roman" w:hAnsiTheme="majorBidi" w:cstheme="majorBidi"/>
        </w:rPr>
        <w:t xml:space="preserve"> et </w:t>
      </w:r>
      <w:r w:rsidRPr="00CB7AF4">
        <w:rPr>
          <w:rFonts w:asciiTheme="majorBidi" w:eastAsia="Times New Roman" w:hAnsiTheme="majorBidi" w:cstheme="majorBidi"/>
          <w:i/>
          <w:iCs/>
        </w:rPr>
        <w:t>dissémination</w:t>
      </w:r>
      <w:r w:rsidRPr="00CB7AF4">
        <w:rPr>
          <w:rFonts w:asciiTheme="majorBidi" w:eastAsia="Times New Roman" w:hAnsiTheme="majorBidi" w:cstheme="majorBidi"/>
        </w:rPr>
        <w:t xml:space="preserve">. </w:t>
      </w:r>
      <w:r w:rsidRPr="00CB7AF4">
        <w:rPr>
          <w:rFonts w:asciiTheme="majorBidi" w:eastAsia="Calibri" w:hAnsiTheme="majorBidi" w:cstheme="majorBidi"/>
          <w:lang w:bidi="ar-AE"/>
        </w:rPr>
        <w:t xml:space="preserve">« Selon lui, la polysémie n’est que l’autre face de la </w:t>
      </w:r>
      <w:r w:rsidRPr="00CB7AF4">
        <w:rPr>
          <w:rFonts w:asciiTheme="majorBidi" w:eastAsia="Calibri" w:hAnsiTheme="majorBidi" w:cstheme="majorBidi"/>
          <w:lang w:bidi="ar-AE"/>
        </w:rPr>
        <w:lastRenderedPageBreak/>
        <w:t>monosémie, ou de l’univocité. L’univocité est aussi l’horizon absolu de la plurivocité. Ainsi c’est l’horizon du sens comme tel qui se trouve remis en question par la déconstruction. Et dans ce</w:t>
      </w:r>
      <w:r w:rsidRPr="00CB7AF4">
        <w:rPr>
          <w:rFonts w:asciiTheme="majorBidi" w:eastAsia="Calibri" w:hAnsiTheme="majorBidi" w:cstheme="majorBidi"/>
        </w:rPr>
        <w:t xml:space="preserve"> </w:t>
      </w:r>
      <w:r w:rsidRPr="00CB7AF4">
        <w:rPr>
          <w:rFonts w:asciiTheme="majorBidi" w:eastAsia="Calibri" w:hAnsiTheme="majorBidi" w:cstheme="majorBidi"/>
          <w:lang w:bidi="ar-AE"/>
        </w:rPr>
        <w:t>contexte la dissémination se trouve directement opposée à l’herméneutique, puisque Derrida identifie explicitement l’horizon sémantique avec</w:t>
      </w:r>
      <w:r w:rsidRPr="00CB7AF4">
        <w:rPr>
          <w:rFonts w:asciiTheme="majorBidi" w:eastAsia="Calibri" w:hAnsiTheme="majorBidi" w:cstheme="majorBidi"/>
        </w:rPr>
        <w:t xml:space="preserve"> </w:t>
      </w:r>
      <w:r w:rsidRPr="00CB7AF4">
        <w:rPr>
          <w:rFonts w:asciiTheme="majorBidi" w:eastAsia="Calibri" w:hAnsiTheme="majorBidi" w:cstheme="majorBidi"/>
          <w:lang w:bidi="ar-AE"/>
        </w:rPr>
        <w:t>l’horizon herméneutique. L’horizon en tant que tel ne peut être qu’un horizon sémantique. »</w:t>
      </w:r>
      <w:r w:rsidRPr="00CB7AF4">
        <w:rPr>
          <w:rFonts w:asciiTheme="majorBidi" w:eastAsia="Times New Roman" w:hAnsiTheme="majorBidi" w:cstheme="majorBidi"/>
          <w:vertAlign w:val="superscript"/>
        </w:rPr>
        <w:footnoteReference w:id="65"/>
      </w:r>
      <w:r w:rsidRPr="00CB7AF4">
        <w:rPr>
          <w:rFonts w:asciiTheme="majorBidi" w:eastAsia="Calibri" w:hAnsiTheme="majorBidi" w:cstheme="majorBidi"/>
          <w:lang w:bidi="ar-AE"/>
        </w:rPr>
        <w:t xml:space="preserve"> La dissémination excède la polysémie. Selon Jacques Derrida, la polysémie en tant que telle, « s’organise dans l’horizon implicite d’une résumption unitaire du sens, voire d’une dialectique […] téléologique et totalisante</w:t>
      </w:r>
      <w:r w:rsidRPr="00CB7AF4">
        <w:rPr>
          <w:rFonts w:asciiTheme="majorBidi" w:eastAsia="Calibri" w:hAnsiTheme="majorBidi" w:cstheme="majorBidi"/>
        </w:rPr>
        <w:t xml:space="preserve"> </w:t>
      </w:r>
      <w:r w:rsidRPr="00CB7AF4">
        <w:rPr>
          <w:rFonts w:asciiTheme="majorBidi" w:eastAsia="Calibri" w:hAnsiTheme="majorBidi" w:cstheme="majorBidi"/>
          <w:lang w:bidi="ar-AE"/>
        </w:rPr>
        <w:t>qui doit permettre à un moment donné, si éloigné soit-il, de rassembler la totalité d’un texte dans la vérité</w:t>
      </w:r>
      <w:r w:rsidRPr="00CB7AF4">
        <w:rPr>
          <w:rFonts w:asciiTheme="majorBidi" w:eastAsia="Calibri" w:hAnsiTheme="majorBidi" w:cstheme="majorBidi"/>
        </w:rPr>
        <w:t xml:space="preserve"> </w:t>
      </w:r>
      <w:r w:rsidRPr="00CB7AF4">
        <w:rPr>
          <w:rFonts w:asciiTheme="majorBidi" w:eastAsia="Calibri" w:hAnsiTheme="majorBidi" w:cstheme="majorBidi"/>
          <w:lang w:bidi="ar-AE"/>
        </w:rPr>
        <w:t xml:space="preserve">de son sens, ce qui constitue le texte en </w:t>
      </w:r>
      <w:r w:rsidRPr="00CB7AF4">
        <w:rPr>
          <w:rFonts w:asciiTheme="majorBidi" w:eastAsia="Calibri" w:hAnsiTheme="majorBidi" w:cstheme="majorBidi"/>
          <w:i/>
          <w:iCs/>
          <w:lang w:bidi="ar-AE"/>
        </w:rPr>
        <w:t>expression</w:t>
      </w:r>
      <w:r w:rsidRPr="00CB7AF4">
        <w:rPr>
          <w:rFonts w:asciiTheme="majorBidi" w:eastAsia="Calibri" w:hAnsiTheme="majorBidi" w:cstheme="majorBidi"/>
          <w:lang w:bidi="ar-AE"/>
        </w:rPr>
        <w:t xml:space="preserve">, en </w:t>
      </w:r>
      <w:r w:rsidRPr="00CB7AF4">
        <w:rPr>
          <w:rFonts w:asciiTheme="majorBidi" w:eastAsia="Calibri" w:hAnsiTheme="majorBidi" w:cstheme="majorBidi"/>
          <w:i/>
          <w:iCs/>
          <w:lang w:bidi="ar-AE"/>
        </w:rPr>
        <w:t>illustration</w:t>
      </w:r>
      <w:r w:rsidRPr="00CB7AF4">
        <w:rPr>
          <w:rFonts w:asciiTheme="majorBidi" w:eastAsia="Calibri" w:hAnsiTheme="majorBidi" w:cstheme="majorBidi"/>
          <w:lang w:bidi="ar-AE"/>
        </w:rPr>
        <w:t>, et annule le déplacement ouvert et productif de la chaîne textuelle. »</w:t>
      </w:r>
      <w:r w:rsidRPr="00CB7AF4">
        <w:rPr>
          <w:rFonts w:asciiTheme="majorBidi" w:eastAsia="Times New Roman" w:hAnsiTheme="majorBidi" w:cstheme="majorBidi"/>
          <w:vertAlign w:val="superscript"/>
        </w:rPr>
        <w:footnoteReference w:id="66"/>
      </w:r>
      <w:r w:rsidRPr="00CB7AF4">
        <w:rPr>
          <w:rFonts w:asciiTheme="majorBidi" w:eastAsia="Calibri" w:hAnsiTheme="majorBidi" w:cstheme="majorBidi"/>
          <w:lang w:bidi="ar-AE"/>
        </w:rPr>
        <w:t xml:space="preserve"> « La dissémination, au contraire, pour produire un nombre non-fini d’effets sémantiques, ne se laisse reconduire ni à un présent d’origine simple [...], ni à une présence eschatologique. Elle marque une multiplicité irréductible et générative. » La dissémination est le jeu de ce qui empêche la standardisation ou la formalisation de la signification prétendue d’un texte. C’est le nom d’un « régime moteur du surplus (et du) manque » de sens d’un texte (qu’on a toujours tendance à supposer fini, même s’il y a polysémie). La dissémination, c’est ce qui interrompt la totalisation : « la série des valences sémantiques ne peut plus se fermer ou se rassembler ». Cela dit, le jeu de la dissémination ne promet pas davantage l’ouverture « sur une richesse inépuisable du sens ou sur la transcendance d’un excès sémantique ». La dissémination est tout simplement une </w:t>
      </w:r>
      <w:r w:rsidRPr="00CB7AF4">
        <w:rPr>
          <w:rFonts w:asciiTheme="majorBidi" w:eastAsia="Calibri" w:hAnsiTheme="majorBidi" w:cstheme="majorBidi"/>
          <w:i/>
          <w:iCs/>
          <w:lang w:bidi="ar-AE"/>
        </w:rPr>
        <w:t>critique</w:t>
      </w:r>
      <w:r w:rsidRPr="00CB7AF4">
        <w:rPr>
          <w:rFonts w:asciiTheme="majorBidi" w:eastAsia="Calibri" w:hAnsiTheme="majorBidi" w:cstheme="majorBidi"/>
          <w:lang w:bidi="ar-AE"/>
        </w:rPr>
        <w:t xml:space="preserve"> du sémantisme, une </w:t>
      </w:r>
      <w:r w:rsidRPr="00CB7AF4">
        <w:rPr>
          <w:rFonts w:asciiTheme="majorBidi" w:eastAsia="Calibri" w:hAnsiTheme="majorBidi" w:cstheme="majorBidi"/>
          <w:i/>
          <w:iCs/>
          <w:lang w:bidi="ar-AE"/>
        </w:rPr>
        <w:t>critique</w:t>
      </w:r>
      <w:r w:rsidRPr="00CB7AF4">
        <w:rPr>
          <w:rFonts w:asciiTheme="majorBidi" w:eastAsia="Calibri" w:hAnsiTheme="majorBidi" w:cstheme="majorBidi"/>
          <w:lang w:bidi="ar-AE"/>
        </w:rPr>
        <w:t xml:space="preserve"> du thématisme, une « critique » du simple contenu.</w:t>
      </w:r>
      <w:r w:rsidRPr="00CB7AF4">
        <w:rPr>
          <w:rFonts w:asciiTheme="majorBidi" w:eastAsia="Times New Roman" w:hAnsiTheme="majorBidi" w:cstheme="majorBidi"/>
          <w:vertAlign w:val="superscript"/>
        </w:rPr>
        <w:footnoteReference w:id="67"/>
      </w:r>
    </w:p>
    <w:p w14:paraId="13E75F5C" w14:textId="77777777" w:rsidR="00561BDC" w:rsidRPr="00CB7AF4" w:rsidRDefault="00561BDC" w:rsidP="00CB7AF4">
      <w:pPr>
        <w:spacing w:line="360" w:lineRule="auto"/>
        <w:ind w:firstLine="720"/>
        <w:jc w:val="both"/>
        <w:rPr>
          <w:rFonts w:asciiTheme="majorBidi" w:eastAsia="Calibri" w:hAnsiTheme="majorBidi" w:cstheme="majorBidi"/>
          <w:lang w:bidi="ar-AE"/>
        </w:rPr>
      </w:pPr>
    </w:p>
    <w:p w14:paraId="2E421B9F" w14:textId="77777777" w:rsidR="00561BDC" w:rsidRPr="00CB7AF4" w:rsidRDefault="00561BDC" w:rsidP="00CB7AF4">
      <w:pPr>
        <w:spacing w:line="360" w:lineRule="auto"/>
        <w:ind w:firstLine="720"/>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Selon Derrida, la signification d’un texte donné est le résultat de la différence (active, dynamique) entre les mots employés plutôt que de la référence aux choses qu’ils représentent (“Il n’y a rien hors du texte”). Derrida suggère alors le terme </w:t>
      </w:r>
      <w:r w:rsidRPr="00CB7AF4">
        <w:rPr>
          <w:rFonts w:asciiTheme="majorBidi" w:eastAsia="Calibri" w:hAnsiTheme="majorBidi" w:cstheme="majorBidi"/>
          <w:i/>
          <w:iCs/>
          <w:lang w:bidi="ar-AE"/>
        </w:rPr>
        <w:t>différance</w:t>
      </w:r>
      <w:r w:rsidRPr="00CB7AF4">
        <w:rPr>
          <w:rFonts w:asciiTheme="majorBidi" w:eastAsia="Calibri" w:hAnsiTheme="majorBidi" w:cstheme="majorBidi"/>
          <w:lang w:bidi="ar-AE"/>
        </w:rPr>
        <w:t xml:space="preserve">, un mot-valise combinant </w:t>
      </w:r>
      <w:r w:rsidRPr="00CB7AF4">
        <w:rPr>
          <w:rFonts w:asciiTheme="majorBidi" w:eastAsia="Calibri" w:hAnsiTheme="majorBidi" w:cstheme="majorBidi"/>
          <w:i/>
          <w:iCs/>
          <w:lang w:bidi="ar-AE"/>
        </w:rPr>
        <w:t>différence</w:t>
      </w:r>
      <w:r w:rsidRPr="00CB7AF4">
        <w:rPr>
          <w:rFonts w:asciiTheme="majorBidi" w:eastAsia="Calibri" w:hAnsiTheme="majorBidi" w:cstheme="majorBidi"/>
          <w:lang w:bidi="ar-AE"/>
        </w:rPr>
        <w:t xml:space="preserve"> et </w:t>
      </w:r>
      <w:r w:rsidRPr="00CB7AF4">
        <w:rPr>
          <w:rFonts w:asciiTheme="majorBidi" w:eastAsia="Calibri" w:hAnsiTheme="majorBidi" w:cstheme="majorBidi"/>
          <w:i/>
          <w:iCs/>
          <w:lang w:bidi="ar-AE"/>
        </w:rPr>
        <w:t xml:space="preserve">différant </w:t>
      </w:r>
      <w:r w:rsidRPr="00CB7AF4">
        <w:rPr>
          <w:rFonts w:asciiTheme="majorBidi" w:eastAsia="Calibri" w:hAnsiTheme="majorBidi" w:cstheme="majorBidi"/>
          <w:lang w:bidi="ar-AE"/>
        </w:rPr>
        <w:t xml:space="preserve">(le participe présent du verbe </w:t>
      </w:r>
      <w:r w:rsidRPr="00CB7AF4">
        <w:rPr>
          <w:rFonts w:asciiTheme="majorBidi" w:eastAsia="Calibri" w:hAnsiTheme="majorBidi" w:cstheme="majorBidi"/>
          <w:i/>
          <w:iCs/>
          <w:lang w:bidi="ar-AE"/>
        </w:rPr>
        <w:t>différer</w:t>
      </w:r>
      <w:r w:rsidRPr="00CB7AF4">
        <w:rPr>
          <w:rFonts w:asciiTheme="majorBidi" w:eastAsia="Calibri" w:hAnsiTheme="majorBidi" w:cstheme="majorBidi"/>
          <w:lang w:bidi="ar-AE"/>
        </w:rPr>
        <w:t xml:space="preserve">). Il voulait dire que les différentes significations d’un texte peuvent être découvertes en décomposant la structure du langage dans lequel il est rédigé et en dépassant les sens explicites et implicites pour mesurer le blanc (le vide) </w:t>
      </w:r>
      <w:r w:rsidRPr="00CB7AF4">
        <w:rPr>
          <w:rFonts w:asciiTheme="majorBidi" w:eastAsia="Calibri" w:hAnsiTheme="majorBidi" w:cstheme="majorBidi"/>
          <w:lang w:bidi="ar-AE"/>
        </w:rPr>
        <w:lastRenderedPageBreak/>
        <w:t>du texte, voir ce que le texte ne dit pas, chercher l’impensé, le marginalisé, l’oublié, l’exclu, le non dévoilé, le caché.</w:t>
      </w:r>
    </w:p>
    <w:p w14:paraId="392A7C60" w14:textId="77777777" w:rsidR="00AC53A0" w:rsidRPr="00CB7AF4" w:rsidRDefault="00AC53A0" w:rsidP="00CB7AF4">
      <w:pPr>
        <w:spacing w:line="360" w:lineRule="auto"/>
        <w:ind w:firstLine="720"/>
        <w:jc w:val="both"/>
        <w:rPr>
          <w:rFonts w:asciiTheme="majorBidi" w:eastAsia="Calibri" w:hAnsiTheme="majorBidi" w:cstheme="majorBidi"/>
          <w:lang w:bidi="ar-AE"/>
        </w:rPr>
      </w:pPr>
    </w:p>
    <w:p w14:paraId="2DF25202" w14:textId="77777777" w:rsidR="00AC53A0" w:rsidRPr="00CB7AF4" w:rsidRDefault="00AC53A0" w:rsidP="00CB7AF4">
      <w:pPr>
        <w:spacing w:line="360" w:lineRule="auto"/>
        <w:ind w:firstLine="720"/>
        <w:jc w:val="both"/>
        <w:rPr>
          <w:rFonts w:asciiTheme="majorBidi" w:eastAsia="Calibri" w:hAnsiTheme="majorBidi" w:cstheme="majorBidi"/>
          <w:lang w:bidi="ar-AE"/>
        </w:rPr>
      </w:pPr>
    </w:p>
    <w:p w14:paraId="4440D61E" w14:textId="77777777" w:rsidR="00561BDC" w:rsidRPr="00CB7AF4" w:rsidRDefault="00561BDC" w:rsidP="00CB7AF4">
      <w:pPr>
        <w:spacing w:line="360" w:lineRule="auto"/>
        <w:jc w:val="both"/>
        <w:rPr>
          <w:rFonts w:asciiTheme="majorBidi" w:eastAsia="Calibri" w:hAnsiTheme="majorBidi" w:cstheme="majorBidi"/>
          <w:b/>
          <w:bCs/>
          <w:lang w:bidi="ar-AE"/>
        </w:rPr>
      </w:pPr>
      <w:r w:rsidRPr="00CB7AF4">
        <w:rPr>
          <w:rFonts w:asciiTheme="majorBidi" w:eastAsia="Calibri" w:hAnsiTheme="majorBidi" w:cstheme="majorBidi"/>
          <w:b/>
          <w:bCs/>
          <w:lang w:bidi="ar-AE"/>
        </w:rPr>
        <w:t>La polysémie :</w:t>
      </w:r>
    </w:p>
    <w:p w14:paraId="06630A01"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Pierre Cadiot et Benoît Habert parlent de polysémie lorsqu’il y a </w:t>
      </w:r>
      <w:r w:rsidRPr="00CB7AF4">
        <w:rPr>
          <w:rFonts w:asciiTheme="majorBidi" w:eastAsia="Calibri" w:hAnsiTheme="majorBidi" w:cstheme="majorBidi"/>
          <w:i/>
          <w:iCs/>
          <w:lang w:bidi="ar-AE"/>
        </w:rPr>
        <w:t>« existence de sens différents pour un même mot, mais de sens perçus comme reliés d’une manière ou d’une autre »</w:t>
      </w:r>
      <w:r w:rsidRPr="00CB7AF4">
        <w:rPr>
          <w:rFonts w:asciiTheme="majorBidi" w:eastAsia="Calibri" w:hAnsiTheme="majorBidi" w:cstheme="majorBidi"/>
          <w:lang w:bidi="ar-AE"/>
        </w:rPr>
        <w:t>.</w:t>
      </w:r>
      <w:r w:rsidRPr="00CB7AF4">
        <w:rPr>
          <w:rFonts w:asciiTheme="majorBidi" w:eastAsia="Calibri" w:hAnsiTheme="majorBidi" w:cstheme="majorBidi"/>
          <w:vertAlign w:val="superscript"/>
        </w:rPr>
        <w:footnoteReference w:id="68"/>
      </w:r>
      <w:r w:rsidRPr="00CB7AF4">
        <w:rPr>
          <w:rFonts w:asciiTheme="majorBidi" w:eastAsia="Calibri" w:hAnsiTheme="majorBidi" w:cstheme="majorBidi"/>
          <w:lang w:bidi="ar-AE"/>
        </w:rPr>
        <w:t>Il faut donc que les sens soient perçus par le lecteur. Par conséquent, il faut que le lecteur ait conscience des relations entre les sens d’un mot donné. « La polysémie, soulignent Igor Mel’čuk et Alain Polguère, est un fai</w:t>
      </w:r>
      <w:r w:rsidR="00094EF0">
        <w:rPr>
          <w:rFonts w:asciiTheme="majorBidi" w:eastAsia="Calibri" w:hAnsiTheme="majorBidi" w:cstheme="majorBidi"/>
          <w:lang w:bidi="ar-AE"/>
        </w:rPr>
        <w:t>t linguistique de base –</w:t>
      </w:r>
      <w:r w:rsidRPr="00CB7AF4">
        <w:rPr>
          <w:rFonts w:asciiTheme="majorBidi" w:eastAsia="Calibri" w:hAnsiTheme="majorBidi" w:cstheme="majorBidi"/>
          <w:lang w:bidi="ar-AE"/>
        </w:rPr>
        <w:t xml:space="preserve"> un trait fort répandu et important dans toutes les langues naturelles. »</w:t>
      </w:r>
      <w:r w:rsidRPr="00CB7AF4">
        <w:rPr>
          <w:rFonts w:asciiTheme="majorBidi" w:eastAsia="Times New Roman" w:hAnsiTheme="majorBidi" w:cstheme="majorBidi"/>
          <w:vertAlign w:val="superscript"/>
        </w:rPr>
        <w:footnoteReference w:id="69"/>
      </w:r>
      <w:r w:rsidRPr="00CB7AF4">
        <w:rPr>
          <w:rFonts w:asciiTheme="majorBidi" w:eastAsia="Calibri" w:hAnsiTheme="majorBidi" w:cstheme="majorBidi"/>
          <w:lang w:bidi="ar-AE"/>
        </w:rPr>
        <w:t xml:space="preserve"> “Les polysémies ou « ambiguïtés lexicales » correspondent à des mots morphologiquement identiques, appartenant à une même classe grammaticale mais qui ont des sens différents. […] On a, comme types de polysémie, une polysémie cohérente, une polysémie complémentaire, une polysémie de raffinement et une polysémie désordonnée.”</w:t>
      </w:r>
      <w:r w:rsidRPr="00CB7AF4">
        <w:rPr>
          <w:rFonts w:asciiTheme="majorBidi" w:eastAsia="Times New Roman" w:hAnsiTheme="majorBidi" w:cstheme="majorBidi"/>
          <w:vertAlign w:val="superscript"/>
        </w:rPr>
        <w:footnoteReference w:id="70"/>
      </w:r>
    </w:p>
    <w:p w14:paraId="20837852"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6EAB9EDA"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Cependant, Jacqueline Picoche définit deux types de polysémie : 1)-la polysémie sans subduction, qui relève le plus souvent des cas de métonymie ; et 2)-la polysémie avec subduction sur un ou plusieurs cinétismes</w:t>
      </w:r>
      <w:r w:rsidRPr="00CB7AF4">
        <w:rPr>
          <w:rFonts w:asciiTheme="majorBidi" w:eastAsia="Times New Roman" w:hAnsiTheme="majorBidi" w:cstheme="majorBidi"/>
          <w:vertAlign w:val="superscript"/>
        </w:rPr>
        <w:footnoteReference w:id="71"/>
      </w:r>
      <w:r w:rsidRPr="00CB7AF4">
        <w:rPr>
          <w:rFonts w:asciiTheme="majorBidi" w:eastAsia="Calibri" w:hAnsiTheme="majorBidi" w:cstheme="majorBidi"/>
          <w:lang w:bidi="ar-AE"/>
        </w:rPr>
        <w:t xml:space="preserve"> qui inclut la métaphore.</w:t>
      </w:r>
      <w:r w:rsidRPr="00CB7AF4">
        <w:rPr>
          <w:rFonts w:asciiTheme="majorBidi" w:eastAsia="Times New Roman" w:hAnsiTheme="majorBidi" w:cstheme="majorBidi"/>
          <w:vertAlign w:val="superscript"/>
        </w:rPr>
        <w:footnoteReference w:id="72"/>
      </w:r>
    </w:p>
    <w:p w14:paraId="48FA12D2"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3CB0E56B"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Il y a deux hypothèses de la polysémie : </w:t>
      </w:r>
      <w:r w:rsidR="00094EF0">
        <w:rPr>
          <w:rFonts w:asciiTheme="majorBidi" w:eastAsia="Calibri" w:hAnsiTheme="majorBidi" w:cstheme="majorBidi"/>
          <w:lang w:bidi="ar-AE"/>
        </w:rPr>
        <w:t xml:space="preserve">1) </w:t>
      </w:r>
      <w:r w:rsidRPr="00CB7AF4">
        <w:rPr>
          <w:rFonts w:asciiTheme="majorBidi" w:eastAsia="Calibri" w:hAnsiTheme="majorBidi" w:cstheme="majorBidi"/>
          <w:lang w:bidi="ar-AE"/>
        </w:rPr>
        <w:t>l’hypothèse du sens premier (chez les objectivistes) : l’évolution diachronique du sens d’un sens plus concret (premier) vers un ou des sens plus abstraits (Jacqueline Picoche, R</w:t>
      </w:r>
      <w:r w:rsidR="00094EF0">
        <w:rPr>
          <w:rFonts w:asciiTheme="majorBidi" w:eastAsia="Calibri" w:hAnsiTheme="majorBidi" w:cstheme="majorBidi"/>
          <w:lang w:bidi="ar-AE"/>
        </w:rPr>
        <w:t xml:space="preserve">obert Martin, Georges Kleiber) – c’est </w:t>
      </w:r>
      <w:r w:rsidRPr="00CB7AF4">
        <w:rPr>
          <w:rFonts w:asciiTheme="majorBidi" w:eastAsia="Calibri" w:hAnsiTheme="majorBidi" w:cstheme="majorBidi"/>
          <w:lang w:bidi="ar-AE"/>
        </w:rPr>
        <w:t>la version étendue de la sémantique du prot</w:t>
      </w:r>
      <w:r w:rsidR="00094EF0">
        <w:rPr>
          <w:rFonts w:asciiTheme="majorBidi" w:eastAsia="Calibri" w:hAnsiTheme="majorBidi" w:cstheme="majorBidi"/>
          <w:lang w:bidi="ar-AE"/>
        </w:rPr>
        <w:t xml:space="preserve">otype ; 2) </w:t>
      </w:r>
      <w:r w:rsidRPr="00CB7AF4">
        <w:rPr>
          <w:rFonts w:asciiTheme="majorBidi" w:eastAsia="Calibri" w:hAnsiTheme="majorBidi" w:cstheme="majorBidi"/>
          <w:lang w:bidi="ar-AE"/>
        </w:rPr>
        <w:t>l’hypothèse d’un noyau de sens (théories sémantiques constructivistes)</w:t>
      </w:r>
      <w:r w:rsidRPr="00CB7AF4">
        <w:rPr>
          <w:rFonts w:asciiTheme="majorBidi" w:eastAsia="Times New Roman" w:hAnsiTheme="majorBidi" w:cstheme="majorBidi"/>
          <w:vertAlign w:val="superscript"/>
        </w:rPr>
        <w:footnoteReference w:id="73"/>
      </w:r>
      <w:r w:rsidRPr="00CB7AF4">
        <w:rPr>
          <w:rFonts w:asciiTheme="majorBidi" w:eastAsia="Calibri" w:hAnsiTheme="majorBidi" w:cstheme="majorBidi"/>
          <w:lang w:bidi="ar-AE"/>
        </w:rPr>
        <w:t>.</w:t>
      </w:r>
    </w:p>
    <w:p w14:paraId="695E1F9F"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5AF00A3A"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Kleiber souligne que la polysémie comprend « deux traits interdépendants : une tendance à privilégier la continuité au détriment de la discontinuité et le désir de promouvoir une sémantique dynamique, où le sens n’est plus donné, mais se trouve construit dans ou émerge du contexte au fur et à mesure du déroulement discursif et de l’interaction langagière »</w:t>
      </w:r>
      <w:r w:rsidRPr="00CB7AF4">
        <w:rPr>
          <w:rFonts w:asciiTheme="majorBidi" w:eastAsia="Times New Roman" w:hAnsiTheme="majorBidi" w:cstheme="majorBidi"/>
          <w:vertAlign w:val="superscript"/>
        </w:rPr>
        <w:footnoteReference w:id="74"/>
      </w:r>
      <w:r w:rsidRPr="00CB7AF4">
        <w:rPr>
          <w:rFonts w:asciiTheme="majorBidi" w:eastAsia="Calibri" w:hAnsiTheme="majorBidi" w:cstheme="majorBidi"/>
          <w:lang w:bidi="ar-AE"/>
        </w:rPr>
        <w:t>.</w:t>
      </w:r>
    </w:p>
    <w:p w14:paraId="45C52963" w14:textId="77777777" w:rsidR="00561BDC" w:rsidRPr="0091044B" w:rsidRDefault="00561BDC" w:rsidP="00CB7AF4">
      <w:pPr>
        <w:spacing w:line="360" w:lineRule="auto"/>
        <w:ind w:firstLine="708"/>
        <w:jc w:val="both"/>
        <w:rPr>
          <w:rFonts w:asciiTheme="majorBidi" w:eastAsia="Calibri" w:hAnsiTheme="majorBidi" w:cstheme="majorBidi"/>
          <w:lang w:bidi="ar-AE"/>
        </w:rPr>
      </w:pPr>
    </w:p>
    <w:p w14:paraId="37D19E65" w14:textId="77777777" w:rsidR="00A21468" w:rsidRPr="0091044B" w:rsidRDefault="00561BDC" w:rsidP="000D29A3">
      <w:pPr>
        <w:spacing w:line="360" w:lineRule="auto"/>
        <w:ind w:firstLine="708"/>
        <w:jc w:val="both"/>
        <w:rPr>
          <w:rFonts w:asciiTheme="majorBidi" w:eastAsia="Calibri" w:hAnsiTheme="majorBidi" w:cstheme="majorBidi"/>
          <w:lang w:bidi="ar-AE"/>
        </w:rPr>
      </w:pPr>
      <w:r w:rsidRPr="0091044B">
        <w:rPr>
          <w:rFonts w:asciiTheme="majorBidi" w:eastAsia="Calibri" w:hAnsiTheme="majorBidi" w:cstheme="majorBidi"/>
          <w:lang w:bidi="ar-AE"/>
        </w:rPr>
        <w:t>La polysé</w:t>
      </w:r>
      <w:r w:rsidR="00094EF0" w:rsidRPr="0091044B">
        <w:rPr>
          <w:rFonts w:asciiTheme="majorBidi" w:eastAsia="Calibri" w:hAnsiTheme="majorBidi" w:cstheme="majorBidi"/>
          <w:lang w:bidi="ar-AE"/>
        </w:rPr>
        <w:t>mie repose sur un présupposé : n</w:t>
      </w:r>
      <w:r w:rsidRPr="0091044B">
        <w:rPr>
          <w:rFonts w:asciiTheme="majorBidi" w:eastAsia="Calibri" w:hAnsiTheme="majorBidi" w:cstheme="majorBidi"/>
          <w:lang w:bidi="ar-AE"/>
        </w:rPr>
        <w:t>ous sommes tous différents et chacun a sa vision du monde, sa perception, sa compréhension, son niveau de conscience, bien que nous soyons d’ailleurs tous pareils. Au commencement, était la diversité et non</w:t>
      </w:r>
      <w:r w:rsidR="00094EF0" w:rsidRPr="0091044B">
        <w:rPr>
          <w:rFonts w:asciiTheme="majorBidi" w:eastAsia="Calibri" w:hAnsiTheme="majorBidi" w:cstheme="majorBidi"/>
          <w:lang w:bidi="ar-AE"/>
        </w:rPr>
        <w:t xml:space="preserve"> pas l’unicité. Le prologue de l’Évangile</w:t>
      </w:r>
      <w:r w:rsidR="003B5C3F" w:rsidRPr="0091044B">
        <w:rPr>
          <w:rFonts w:asciiTheme="majorBidi" w:eastAsia="Calibri" w:hAnsiTheme="majorBidi" w:cstheme="majorBidi"/>
          <w:lang w:bidi="ar-AE"/>
        </w:rPr>
        <w:t xml:space="preserve"> selon Jean dit : </w:t>
      </w:r>
      <w:r w:rsidR="000949B0" w:rsidRPr="0091044B">
        <w:rPr>
          <w:rFonts w:asciiTheme="majorBidi" w:eastAsia="Calibri" w:hAnsiTheme="majorBidi" w:cstheme="majorBidi"/>
          <w:lang w:bidi="ar-AE"/>
        </w:rPr>
        <w:t>« </w:t>
      </w:r>
      <w:r w:rsidRPr="0091044B">
        <w:rPr>
          <w:rFonts w:asciiTheme="majorBidi" w:eastAsia="Calibri" w:hAnsiTheme="majorBidi" w:cstheme="majorBidi"/>
          <w:lang w:bidi="ar-AE"/>
        </w:rPr>
        <w:t xml:space="preserve">Au commencement était </w:t>
      </w:r>
      <w:r w:rsidRPr="0091044B">
        <w:rPr>
          <w:rFonts w:asciiTheme="majorBidi" w:eastAsia="Calibri" w:hAnsiTheme="majorBidi" w:cstheme="majorBidi"/>
          <w:i/>
          <w:iCs/>
          <w:lang w:bidi="ar-AE"/>
        </w:rPr>
        <w:t>le Verbe</w:t>
      </w:r>
      <w:r w:rsidRPr="0091044B">
        <w:rPr>
          <w:rFonts w:asciiTheme="majorBidi" w:eastAsia="Calibri" w:hAnsiTheme="majorBidi" w:cstheme="majorBidi"/>
          <w:lang w:bidi="ar-AE"/>
        </w:rPr>
        <w:t xml:space="preserve"> [traduction Crampon (1864)], ou </w:t>
      </w:r>
      <w:r w:rsidRPr="0091044B">
        <w:rPr>
          <w:rFonts w:asciiTheme="majorBidi" w:eastAsia="Calibri" w:hAnsiTheme="majorBidi" w:cstheme="majorBidi"/>
          <w:i/>
          <w:iCs/>
          <w:lang w:bidi="ar-AE"/>
        </w:rPr>
        <w:t>la Parole</w:t>
      </w:r>
      <w:r w:rsidR="000949B0" w:rsidRPr="0091044B">
        <w:rPr>
          <w:rFonts w:asciiTheme="majorBidi" w:eastAsia="Calibri" w:hAnsiTheme="majorBidi" w:cstheme="majorBidi"/>
          <w:lang w:bidi="ar-AE"/>
        </w:rPr>
        <w:t> »</w:t>
      </w:r>
      <w:r w:rsidRPr="0091044B">
        <w:rPr>
          <w:rFonts w:asciiTheme="majorBidi" w:eastAsia="Calibri" w:hAnsiTheme="majorBidi" w:cstheme="majorBidi"/>
          <w:lang w:bidi="ar-AE"/>
        </w:rPr>
        <w:t xml:space="preserve"> [traduction Seg</w:t>
      </w:r>
      <w:r w:rsidR="00A035C3" w:rsidRPr="0091044B">
        <w:rPr>
          <w:rFonts w:asciiTheme="majorBidi" w:eastAsia="Calibri" w:hAnsiTheme="majorBidi" w:cstheme="majorBidi"/>
          <w:lang w:bidi="ar-AE"/>
        </w:rPr>
        <w:t xml:space="preserve">ond (1910)]. Selon Simone Weil, </w:t>
      </w:r>
      <w:r w:rsidRPr="0091044B">
        <w:rPr>
          <w:rFonts w:asciiTheme="majorBidi" w:eastAsia="Calibri" w:hAnsiTheme="majorBidi" w:cstheme="majorBidi"/>
          <w:lang w:bidi="ar-AE"/>
        </w:rPr>
        <w:t xml:space="preserve">dans </w:t>
      </w:r>
      <w:r w:rsidRPr="0091044B">
        <w:rPr>
          <w:rFonts w:asciiTheme="majorBidi" w:eastAsia="Calibri" w:hAnsiTheme="majorBidi" w:cstheme="majorBidi"/>
          <w:i/>
          <w:iCs/>
          <w:lang w:bidi="ar-AE"/>
        </w:rPr>
        <w:t>Lettre à un religieux</w:t>
      </w:r>
      <w:r w:rsidR="00B67E1C" w:rsidRPr="0091044B">
        <w:rPr>
          <w:rFonts w:asciiTheme="majorBidi" w:eastAsia="Calibri" w:hAnsiTheme="majorBidi" w:cstheme="majorBidi"/>
          <w:lang w:bidi="ar-AE"/>
        </w:rPr>
        <w:t xml:space="preserve">, </w:t>
      </w:r>
      <w:r w:rsidRPr="0091044B">
        <w:rPr>
          <w:rFonts w:asciiTheme="majorBidi" w:eastAsia="Calibri" w:hAnsiTheme="majorBidi" w:cstheme="majorBidi"/>
          <w:lang w:bidi="ar-AE"/>
        </w:rPr>
        <w:t xml:space="preserve">au commencement était </w:t>
      </w:r>
      <w:r w:rsidRPr="0091044B">
        <w:rPr>
          <w:rFonts w:asciiTheme="majorBidi" w:eastAsia="Calibri" w:hAnsiTheme="majorBidi" w:cstheme="majorBidi"/>
          <w:i/>
          <w:iCs/>
          <w:lang w:bidi="ar-AE"/>
        </w:rPr>
        <w:t>Logos</w:t>
      </w:r>
      <w:r w:rsidR="00B67E1C" w:rsidRPr="0091044B">
        <w:rPr>
          <w:rFonts w:asciiTheme="majorBidi" w:eastAsia="Calibri" w:hAnsiTheme="majorBidi" w:cstheme="majorBidi"/>
          <w:lang w:bidi="ar-AE"/>
        </w:rPr>
        <w:t>, c’est-à-dire la médiation</w:t>
      </w:r>
      <w:r w:rsidR="00A21468" w:rsidRPr="0091044B">
        <w:rPr>
          <w:rFonts w:asciiTheme="majorBidi" w:eastAsia="Calibri" w:hAnsiTheme="majorBidi" w:cstheme="majorBidi"/>
          <w:lang w:bidi="ar-AE"/>
        </w:rPr>
        <w:t>.</w:t>
      </w:r>
      <w:r w:rsidR="000D29A3" w:rsidRPr="0091044B">
        <w:rPr>
          <w:rFonts w:asciiTheme="majorBidi" w:eastAsia="Calibri" w:hAnsiTheme="majorBidi" w:cstheme="majorBidi"/>
          <w:lang w:bidi="ar-AE"/>
        </w:rPr>
        <w:t xml:space="preserve"> </w:t>
      </w:r>
      <w:r w:rsidR="00145E5D" w:rsidRPr="0091044B">
        <w:rPr>
          <w:rFonts w:asciiTheme="majorBidi" w:eastAsia="Times New Roman" w:hAnsiTheme="majorBidi" w:cstheme="majorBidi"/>
          <w:shd w:val="clear" w:color="auto" w:fill="FFFFFF"/>
        </w:rPr>
        <w:t>« </w:t>
      </w:r>
      <w:r w:rsidR="00A21468" w:rsidRPr="0091044B">
        <w:rPr>
          <w:rFonts w:asciiTheme="majorBidi" w:eastAsia="Times New Roman" w:hAnsiTheme="majorBidi" w:cstheme="majorBidi"/>
          <w:shd w:val="clear" w:color="auto" w:fill="FFFFFF"/>
        </w:rPr>
        <w:t>Le fait même</w:t>
      </w:r>
      <w:r w:rsidR="00145E5D" w:rsidRPr="0091044B">
        <w:rPr>
          <w:rFonts w:asciiTheme="majorBidi" w:eastAsia="Times New Roman" w:hAnsiTheme="majorBidi" w:cstheme="majorBidi"/>
          <w:shd w:val="clear" w:color="auto" w:fill="FFFFFF"/>
        </w:rPr>
        <w:t xml:space="preserve"> d’</w:t>
      </w:r>
      <w:r w:rsidR="00A21468" w:rsidRPr="0091044B">
        <w:rPr>
          <w:rFonts w:asciiTheme="majorBidi" w:eastAsia="Times New Roman" w:hAnsiTheme="majorBidi" w:cstheme="majorBidi"/>
          <w:shd w:val="clear" w:color="auto" w:fill="FFFFFF"/>
        </w:rPr>
        <w:t>avoir traduit</w:t>
      </w:r>
      <w:r w:rsidR="00A21468" w:rsidRPr="0091044B">
        <w:rPr>
          <w:rStyle w:val="apple-converted-space"/>
          <w:rFonts w:asciiTheme="majorBidi" w:eastAsia="Times New Roman" w:hAnsiTheme="majorBidi" w:cstheme="majorBidi"/>
          <w:shd w:val="clear" w:color="auto" w:fill="FFFFFF"/>
        </w:rPr>
        <w:t> </w:t>
      </w:r>
      <w:r w:rsidR="00A21468" w:rsidRPr="0091044B">
        <w:rPr>
          <w:rFonts w:asciiTheme="majorBidi" w:eastAsia="Times New Roman" w:hAnsiTheme="majorBidi" w:cstheme="majorBidi"/>
          <w:i/>
          <w:iCs/>
        </w:rPr>
        <w:t>Logos</w:t>
      </w:r>
      <w:r w:rsidR="00A21468" w:rsidRPr="0091044B">
        <w:rPr>
          <w:rStyle w:val="apple-converted-space"/>
          <w:rFonts w:asciiTheme="majorBidi" w:eastAsia="Times New Roman" w:hAnsiTheme="majorBidi" w:cstheme="majorBidi"/>
          <w:i/>
          <w:iCs/>
        </w:rPr>
        <w:t> </w:t>
      </w:r>
      <w:r w:rsidR="00A21468" w:rsidRPr="0091044B">
        <w:rPr>
          <w:rFonts w:asciiTheme="majorBidi" w:eastAsia="Times New Roman" w:hAnsiTheme="majorBidi" w:cstheme="majorBidi"/>
          <w:shd w:val="clear" w:color="auto" w:fill="FFFFFF"/>
        </w:rPr>
        <w:t>par</w:t>
      </w:r>
      <w:r w:rsidR="00A21468" w:rsidRPr="0091044B">
        <w:rPr>
          <w:rStyle w:val="apple-converted-space"/>
          <w:rFonts w:asciiTheme="majorBidi" w:eastAsia="Times New Roman" w:hAnsiTheme="majorBidi" w:cstheme="majorBidi"/>
          <w:shd w:val="clear" w:color="auto" w:fill="FFFFFF"/>
        </w:rPr>
        <w:t> </w:t>
      </w:r>
      <w:r w:rsidR="00A21468" w:rsidRPr="0091044B">
        <w:rPr>
          <w:rFonts w:asciiTheme="majorBidi" w:eastAsia="Times New Roman" w:hAnsiTheme="majorBidi" w:cstheme="majorBidi"/>
          <w:i/>
          <w:iCs/>
        </w:rPr>
        <w:t>verbum</w:t>
      </w:r>
      <w:r w:rsidR="000D29A3" w:rsidRPr="0091044B">
        <w:rPr>
          <w:rFonts w:asciiTheme="majorBidi" w:eastAsia="Times New Roman" w:hAnsiTheme="majorBidi" w:cstheme="majorBidi"/>
        </w:rPr>
        <w:t>, souligne Simone Weil,</w:t>
      </w:r>
      <w:r w:rsidR="00A21468" w:rsidRPr="0091044B">
        <w:rPr>
          <w:rStyle w:val="apple-converted-space"/>
          <w:rFonts w:asciiTheme="majorBidi" w:eastAsia="Times New Roman" w:hAnsiTheme="majorBidi" w:cstheme="majorBidi"/>
          <w:i/>
          <w:iCs/>
        </w:rPr>
        <w:t> </w:t>
      </w:r>
      <w:r w:rsidR="00A21468" w:rsidRPr="0091044B">
        <w:rPr>
          <w:rFonts w:asciiTheme="majorBidi" w:eastAsia="Times New Roman" w:hAnsiTheme="majorBidi" w:cstheme="majorBidi"/>
          <w:shd w:val="clear" w:color="auto" w:fill="FFFFFF"/>
        </w:rPr>
        <w:t>indique que quelque chose a été perdu, car</w:t>
      </w:r>
      <w:r w:rsidR="00A21468" w:rsidRPr="0091044B">
        <w:rPr>
          <w:rStyle w:val="apple-converted-space"/>
          <w:rFonts w:asciiTheme="majorBidi" w:eastAsia="Times New Roman" w:hAnsiTheme="majorBidi" w:cstheme="majorBidi"/>
          <w:shd w:val="clear" w:color="auto" w:fill="FFFFFF"/>
        </w:rPr>
        <w:t> </w:t>
      </w:r>
      <w:r w:rsidR="00A21468" w:rsidRPr="0091044B">
        <w:rPr>
          <w:rFonts w:asciiTheme="majorBidi" w:eastAsia="Times New Roman" w:hAnsiTheme="majorBidi" w:cstheme="majorBidi"/>
          <w:i/>
          <w:iCs/>
        </w:rPr>
        <w:t>logos</w:t>
      </w:r>
      <w:r w:rsidR="00A21468" w:rsidRPr="0091044B">
        <w:rPr>
          <w:rStyle w:val="apple-converted-space"/>
          <w:rFonts w:asciiTheme="majorBidi" w:eastAsia="Times New Roman" w:hAnsiTheme="majorBidi" w:cstheme="majorBidi"/>
          <w:i/>
          <w:iCs/>
        </w:rPr>
        <w:t> </w:t>
      </w:r>
      <w:r w:rsidR="00A21468" w:rsidRPr="0091044B">
        <w:rPr>
          <w:rFonts w:asciiTheme="majorBidi" w:eastAsia="Times New Roman" w:hAnsiTheme="majorBidi" w:cstheme="majorBidi"/>
          <w:shd w:val="clear" w:color="auto" w:fill="FFFFFF"/>
        </w:rPr>
        <w:t>veut dire avant tout</w:t>
      </w:r>
      <w:r w:rsidR="00A21468" w:rsidRPr="0091044B">
        <w:rPr>
          <w:rStyle w:val="apple-converted-space"/>
          <w:rFonts w:asciiTheme="majorBidi" w:eastAsia="Times New Roman" w:hAnsiTheme="majorBidi" w:cstheme="majorBidi"/>
          <w:shd w:val="clear" w:color="auto" w:fill="FFFFFF"/>
        </w:rPr>
        <w:t> </w:t>
      </w:r>
      <w:r w:rsidR="00A21468" w:rsidRPr="0091044B">
        <w:rPr>
          <w:rFonts w:asciiTheme="majorBidi" w:eastAsia="Times New Roman" w:hAnsiTheme="majorBidi" w:cstheme="majorBidi"/>
          <w:i/>
          <w:iCs/>
        </w:rPr>
        <w:t>rapport,</w:t>
      </w:r>
      <w:r w:rsidR="00A21468" w:rsidRPr="0091044B">
        <w:rPr>
          <w:rStyle w:val="apple-converted-space"/>
          <w:rFonts w:asciiTheme="majorBidi" w:eastAsia="Times New Roman" w:hAnsiTheme="majorBidi" w:cstheme="majorBidi"/>
          <w:i/>
          <w:iCs/>
        </w:rPr>
        <w:t> </w:t>
      </w:r>
      <w:r w:rsidR="00A21468" w:rsidRPr="0091044B">
        <w:rPr>
          <w:rFonts w:asciiTheme="majorBidi" w:eastAsia="Times New Roman" w:hAnsiTheme="majorBidi" w:cstheme="majorBidi"/>
          <w:shd w:val="clear" w:color="auto" w:fill="FFFFFF"/>
        </w:rPr>
        <w:t>et est synonyme de</w:t>
      </w:r>
      <w:r w:rsidR="00A21468" w:rsidRPr="0091044B">
        <w:rPr>
          <w:rStyle w:val="apple-converted-space"/>
          <w:rFonts w:asciiTheme="majorBidi" w:eastAsia="Times New Roman" w:hAnsiTheme="majorBidi" w:cstheme="majorBidi"/>
          <w:shd w:val="clear" w:color="auto" w:fill="FFFFFF"/>
        </w:rPr>
        <w:t> </w:t>
      </w:r>
      <w:r w:rsidR="00A21468" w:rsidRPr="0091044B">
        <w:rPr>
          <w:rFonts w:asciiTheme="majorBidi" w:eastAsia="Times New Roman" w:hAnsiTheme="majorBidi" w:cstheme="majorBidi"/>
          <w:i/>
          <w:iCs/>
        </w:rPr>
        <w:t>arithmas,</w:t>
      </w:r>
      <w:r w:rsidR="00A21468" w:rsidRPr="0091044B">
        <w:rPr>
          <w:rStyle w:val="apple-converted-space"/>
          <w:rFonts w:asciiTheme="majorBidi" w:eastAsia="Times New Roman" w:hAnsiTheme="majorBidi" w:cstheme="majorBidi"/>
          <w:i/>
          <w:iCs/>
        </w:rPr>
        <w:t> </w:t>
      </w:r>
      <w:r w:rsidR="00A21468" w:rsidRPr="0091044B">
        <w:rPr>
          <w:rFonts w:asciiTheme="majorBidi" w:eastAsia="Times New Roman" w:hAnsiTheme="majorBidi" w:cstheme="majorBidi"/>
          <w:shd w:val="clear" w:color="auto" w:fill="FFFFFF"/>
        </w:rPr>
        <w:t>nombre, chez Platon et l</w:t>
      </w:r>
      <w:r w:rsidR="00145E5D" w:rsidRPr="0091044B">
        <w:rPr>
          <w:rFonts w:asciiTheme="majorBidi" w:eastAsia="Times New Roman" w:hAnsiTheme="majorBidi" w:cstheme="majorBidi"/>
          <w:shd w:val="clear" w:color="auto" w:fill="FFFFFF"/>
        </w:rPr>
        <w:t>es Pythagoriciens. - Rapport, c’</w:t>
      </w:r>
      <w:r w:rsidR="00A21468" w:rsidRPr="0091044B">
        <w:rPr>
          <w:rFonts w:asciiTheme="majorBidi" w:eastAsia="Times New Roman" w:hAnsiTheme="majorBidi" w:cstheme="majorBidi"/>
          <w:shd w:val="clear" w:color="auto" w:fill="FFFFFF"/>
        </w:rPr>
        <w:t>est-à-di</w:t>
      </w:r>
      <w:r w:rsidR="00145E5D" w:rsidRPr="0091044B">
        <w:rPr>
          <w:rFonts w:asciiTheme="majorBidi" w:eastAsia="Times New Roman" w:hAnsiTheme="majorBidi" w:cstheme="majorBidi"/>
          <w:shd w:val="clear" w:color="auto" w:fill="FFFFFF"/>
        </w:rPr>
        <w:t>re pro</w:t>
      </w:r>
      <w:r w:rsidR="00145E5D" w:rsidRPr="0091044B">
        <w:rPr>
          <w:rFonts w:asciiTheme="majorBidi" w:eastAsia="Times New Roman" w:hAnsiTheme="majorBidi" w:cstheme="majorBidi"/>
          <w:shd w:val="clear" w:color="auto" w:fill="FFFFFF"/>
        </w:rPr>
        <w:softHyphen/>
        <w:t>portion. - Proportion, c’</w:t>
      </w:r>
      <w:r w:rsidR="00A21468" w:rsidRPr="0091044B">
        <w:rPr>
          <w:rFonts w:asciiTheme="majorBidi" w:eastAsia="Times New Roman" w:hAnsiTheme="majorBidi" w:cstheme="majorBidi"/>
          <w:shd w:val="clear" w:color="auto" w:fill="FFFFFF"/>
        </w:rPr>
        <w:t>est</w:t>
      </w:r>
      <w:r w:rsidR="00145E5D" w:rsidRPr="0091044B">
        <w:rPr>
          <w:rFonts w:asciiTheme="majorBidi" w:eastAsia="Times New Roman" w:hAnsiTheme="majorBidi" w:cstheme="majorBidi"/>
          <w:shd w:val="clear" w:color="auto" w:fill="FFFFFF"/>
        </w:rPr>
        <w:t>-à-dire harmonie. - Harmonie, c’</w:t>
      </w:r>
      <w:r w:rsidR="00A21468" w:rsidRPr="0091044B">
        <w:rPr>
          <w:rFonts w:asciiTheme="majorBidi" w:eastAsia="Times New Roman" w:hAnsiTheme="majorBidi" w:cstheme="majorBidi"/>
          <w:shd w:val="clear" w:color="auto" w:fill="FFFFFF"/>
        </w:rPr>
        <w:t xml:space="preserve">est-à-dire médiation. - Je </w:t>
      </w:r>
      <w:r w:rsidR="00145E5D" w:rsidRPr="0091044B">
        <w:rPr>
          <w:rFonts w:asciiTheme="majorBidi" w:eastAsia="Times New Roman" w:hAnsiTheme="majorBidi" w:cstheme="majorBidi"/>
          <w:shd w:val="clear" w:color="auto" w:fill="FFFFFF"/>
        </w:rPr>
        <w:t>traduirais :</w:t>
      </w:r>
      <w:r w:rsidR="00A21468" w:rsidRPr="0091044B">
        <w:rPr>
          <w:rFonts w:asciiTheme="majorBidi" w:eastAsia="Times New Roman" w:hAnsiTheme="majorBidi" w:cstheme="majorBidi"/>
          <w:shd w:val="clear" w:color="auto" w:fill="FFFFFF"/>
        </w:rPr>
        <w:t xml:space="preserve"> Au commencement était la Médiation.</w:t>
      </w:r>
      <w:r w:rsidR="00145E5D" w:rsidRPr="0091044B">
        <w:rPr>
          <w:rFonts w:asciiTheme="majorBidi" w:eastAsia="Times New Roman" w:hAnsiTheme="majorBidi" w:cstheme="majorBidi"/>
          <w:shd w:val="clear" w:color="auto" w:fill="FFFFFF"/>
        </w:rPr>
        <w:t> »</w:t>
      </w:r>
      <w:r w:rsidR="00A035C3" w:rsidRPr="0091044B">
        <w:rPr>
          <w:rStyle w:val="Appelnotedebasdep"/>
          <w:rFonts w:eastAsia="Times New Roman"/>
          <w:shd w:val="clear" w:color="auto" w:fill="FFFFFF"/>
        </w:rPr>
        <w:footnoteReference w:id="75"/>
      </w:r>
    </w:p>
    <w:p w14:paraId="7FB663F3" w14:textId="77777777" w:rsidR="00145E5D" w:rsidRPr="0091044B" w:rsidRDefault="00145E5D" w:rsidP="003F5E69">
      <w:pPr>
        <w:spacing w:line="360" w:lineRule="auto"/>
        <w:jc w:val="both"/>
        <w:rPr>
          <w:rFonts w:asciiTheme="majorBidi" w:eastAsia="Calibri" w:hAnsiTheme="majorBidi" w:cstheme="majorBidi"/>
          <w:lang w:bidi="ar-AE"/>
        </w:rPr>
      </w:pPr>
    </w:p>
    <w:p w14:paraId="13256AA0"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Au commencement, s’il existe déjà un commencement, l’existence du Verbe, du Logos, du Nombre, du Rapport, de l’Harmonie, de la Médiation veut dire que la relation est à l’origine, c.à.d. la diversité est originelle. En d’</w:t>
      </w:r>
      <w:r w:rsidR="0071586A">
        <w:rPr>
          <w:rFonts w:asciiTheme="majorBidi" w:eastAsia="Calibri" w:hAnsiTheme="majorBidi" w:cstheme="majorBidi"/>
          <w:lang w:bidi="ar-AE"/>
        </w:rPr>
        <w:t>autres termes, nous dirions : « </w:t>
      </w:r>
      <w:r w:rsidRPr="00CB7AF4">
        <w:rPr>
          <w:rFonts w:asciiTheme="majorBidi" w:eastAsia="Calibri" w:hAnsiTheme="majorBidi" w:cstheme="majorBidi"/>
          <w:lang w:bidi="ar-AE"/>
        </w:rPr>
        <w:t>Au c</w:t>
      </w:r>
      <w:r w:rsidR="0071586A">
        <w:rPr>
          <w:rFonts w:asciiTheme="majorBidi" w:eastAsia="Calibri" w:hAnsiTheme="majorBidi" w:cstheme="majorBidi"/>
          <w:lang w:bidi="ar-AE"/>
        </w:rPr>
        <w:t>ommencement était la polysémie »</w:t>
      </w:r>
      <w:r w:rsidRPr="00CB7AF4">
        <w:rPr>
          <w:rFonts w:asciiTheme="majorBidi" w:eastAsia="Calibri" w:hAnsiTheme="majorBidi" w:cstheme="majorBidi"/>
          <w:lang w:bidi="ar-AE"/>
        </w:rPr>
        <w:t>.</w:t>
      </w:r>
    </w:p>
    <w:p w14:paraId="1D782DA8"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267C3BFB"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Mais pourquoi le terme est polysémique dans tout texte en général et dans le Coran en particulier ?</w:t>
      </w:r>
    </w:p>
    <w:p w14:paraId="0715DDA2" w14:textId="0584EF52"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lastRenderedPageBreak/>
        <w:t>parce qu’on n’en connait pas le contexte extralinguistique</w:t>
      </w:r>
      <w:r w:rsidRPr="00CB7AF4">
        <w:rPr>
          <w:rFonts w:asciiTheme="majorBidi" w:eastAsia="Times New Roman" w:hAnsiTheme="majorBidi" w:cstheme="majorBidi"/>
          <w:vertAlign w:val="superscript"/>
        </w:rPr>
        <w:footnoteReference w:id="76"/>
      </w:r>
      <w:r w:rsidR="00094EF0">
        <w:rPr>
          <w:rFonts w:asciiTheme="majorBidi" w:eastAsia="Calibri" w:hAnsiTheme="majorBidi" w:cstheme="majorBidi"/>
          <w:lang w:bidi="ar-AE"/>
        </w:rPr>
        <w:t> ; ex. :</w:t>
      </w:r>
      <w:r w:rsidRPr="00CB7AF4">
        <w:rPr>
          <w:rFonts w:asciiTheme="majorBidi" w:eastAsia="Calibri" w:hAnsiTheme="majorBidi" w:cstheme="majorBidi"/>
          <w:lang w:bidi="ar-AE"/>
        </w:rPr>
        <w:t xml:space="preserve"> le mot</w:t>
      </w:r>
      <w:r w:rsidR="00094EF0">
        <w:rPr>
          <w:rFonts w:asciiTheme="majorBidi" w:eastAsia="Calibri" w:hAnsiTheme="majorBidi" w:cstheme="majorBidi"/>
          <w:i/>
          <w:iCs/>
          <w:lang w:bidi="ar-AE"/>
        </w:rPr>
        <w:t> a</w:t>
      </w:r>
      <w:r w:rsidRPr="00CB7AF4">
        <w:rPr>
          <w:rFonts w:asciiTheme="majorBidi" w:eastAsia="Calibri" w:hAnsiTheme="majorBidi" w:cstheme="majorBidi"/>
          <w:i/>
          <w:iCs/>
          <w:lang w:bidi="ar-AE"/>
        </w:rPr>
        <w:t>n-nās</w:t>
      </w:r>
      <w:r w:rsidRPr="00CB7AF4">
        <w:rPr>
          <w:rFonts w:asciiTheme="majorBidi" w:eastAsia="Calibri" w:hAnsiTheme="majorBidi" w:cstheme="majorBidi"/>
          <w:lang w:bidi="ar-AE"/>
        </w:rPr>
        <w:t xml:space="preserve"> (XXII, 1) signifierait : les hommes, les auditeurs, le public, un tel, les croyants, toute l’humanité ;</w:t>
      </w:r>
    </w:p>
    <w:p w14:paraId="6CE45455" w14:textId="77777777"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parce qu’on utilise la locution </w:t>
      </w:r>
      <w:r w:rsidRPr="00CB7AF4">
        <w:rPr>
          <w:rFonts w:asciiTheme="majorBidi" w:eastAsia="Calibri" w:hAnsiTheme="majorBidi" w:cstheme="majorBidi"/>
          <w:i/>
          <w:iCs/>
          <w:lang w:bidi="ar-AE"/>
        </w:rPr>
        <w:t>exprès</w:t>
      </w:r>
      <w:r w:rsidRPr="00CB7AF4">
        <w:rPr>
          <w:rFonts w:asciiTheme="majorBidi" w:eastAsia="Calibri" w:hAnsiTheme="majorBidi" w:cstheme="majorBidi"/>
          <w:lang w:bidi="ar-AE"/>
        </w:rPr>
        <w:t xml:space="preserve"> pour un autre contexte ; ex</w:t>
      </w:r>
      <w:r w:rsidR="00094EF0">
        <w:rPr>
          <w:rFonts w:asciiTheme="majorBidi" w:eastAsia="Calibri" w:hAnsiTheme="majorBidi" w:cstheme="majorBidi"/>
          <w:lang w:bidi="ar-AE"/>
        </w:rPr>
        <w:t>.</w:t>
      </w:r>
      <w:r w:rsidRPr="00CB7AF4">
        <w:rPr>
          <w:rFonts w:asciiTheme="majorBidi" w:eastAsia="Calibri" w:hAnsiTheme="majorBidi" w:cstheme="majorBidi"/>
          <w:lang w:bidi="ar-AE"/>
        </w:rPr>
        <w:t xml:space="preserve"> : la locution </w:t>
      </w:r>
      <w:r w:rsidR="00094EF0">
        <w:rPr>
          <w:rFonts w:asciiTheme="majorBidi" w:eastAsia="Calibri" w:hAnsiTheme="majorBidi" w:cstheme="majorBidi"/>
          <w:i/>
          <w:iCs/>
          <w:lang w:bidi="ar-AE"/>
        </w:rPr>
        <w:t>“qaddimū li-</w:t>
      </w:r>
      <w:r w:rsidRPr="00CB7AF4">
        <w:rPr>
          <w:rFonts w:asciiTheme="majorBidi" w:eastAsia="Calibri" w:hAnsiTheme="majorBidi" w:cstheme="majorBidi"/>
          <w:i/>
          <w:iCs/>
          <w:lang w:bidi="ar-AE"/>
        </w:rPr>
        <w:t>anfusi</w:t>
      </w:r>
      <w:r w:rsidR="00094EF0">
        <w:rPr>
          <w:rFonts w:asciiTheme="majorBidi" w:eastAsia="Calibri" w:hAnsiTheme="majorBidi" w:cstheme="majorBidi"/>
          <w:i/>
          <w:iCs/>
          <w:lang w:bidi="ar-AE"/>
        </w:rPr>
        <w:t>-</w:t>
      </w:r>
      <w:r w:rsidRPr="00CB7AF4">
        <w:rPr>
          <w:rFonts w:asciiTheme="majorBidi" w:eastAsia="Calibri" w:hAnsiTheme="majorBidi" w:cstheme="majorBidi"/>
          <w:i/>
          <w:iCs/>
          <w:lang w:bidi="ar-AE"/>
        </w:rPr>
        <w:t>kum”</w:t>
      </w:r>
      <w:r w:rsidRPr="00CB7AF4">
        <w:rPr>
          <w:rFonts w:asciiTheme="majorBidi" w:eastAsia="Calibri" w:hAnsiTheme="majorBidi" w:cstheme="majorBidi"/>
          <w:lang w:bidi="ar-AE"/>
        </w:rPr>
        <w:t xml:space="preserve"> (II, 223), qui signifie littéralement : “présentez à vous-mêmes”, pourrait signifier : “faites le bien” ou “commencez [de faire l’amour] par des caresses” ;</w:t>
      </w:r>
    </w:p>
    <w:p w14:paraId="0E8441D5" w14:textId="77777777"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parce qu’on ne connait pas le vouloir-dire ; ex : on ne sait pas ce que veut dire “ tenir lieu” (remplacer ou égaler ?) dans la phrase </w:t>
      </w:r>
      <w:r w:rsidRPr="00CB7AF4">
        <w:rPr>
          <w:rFonts w:asciiTheme="majorBidi" w:eastAsia="Calibri" w:hAnsiTheme="majorBidi" w:cstheme="majorBidi"/>
          <w:i/>
          <w:iCs/>
          <w:lang w:bidi="ar-AE"/>
        </w:rPr>
        <w:t xml:space="preserve">“Le café instantané ne saurait </w:t>
      </w:r>
      <w:r w:rsidRPr="00CB7AF4">
        <w:rPr>
          <w:rFonts w:asciiTheme="majorBidi" w:eastAsia="Calibri" w:hAnsiTheme="majorBidi" w:cstheme="majorBidi"/>
          <w:lang w:bidi="ar-AE"/>
        </w:rPr>
        <w:t>tenir lieu</w:t>
      </w:r>
      <w:r w:rsidRPr="00CB7AF4">
        <w:rPr>
          <w:rFonts w:asciiTheme="majorBidi" w:eastAsia="Calibri" w:hAnsiTheme="majorBidi" w:cstheme="majorBidi"/>
          <w:i/>
          <w:iCs/>
          <w:lang w:bidi="ar-AE"/>
        </w:rPr>
        <w:t xml:space="preserve"> d’un café à base de grains fraîchement moulus”</w:t>
      </w:r>
      <w:r w:rsidRPr="00CB7AF4">
        <w:rPr>
          <w:rFonts w:asciiTheme="majorBidi" w:eastAsia="Calibri" w:hAnsiTheme="majorBidi" w:cstheme="majorBidi"/>
          <w:lang w:bidi="ar-AE"/>
        </w:rPr>
        <w:t xml:space="preserve">, phrase fausse par ce que le café instantané est fabriqué pour tenir lieu du café frais ; mais elle est vraie parce qu’il n’égale pas le café frais ; </w:t>
      </w:r>
    </w:p>
    <w:p w14:paraId="02DE5316" w14:textId="77777777"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t>parce que l’arrière-plan du lecteur n’est pas le même ; la lecture sunnite n’est pas comme la lecture druze, alaouite ou mystique. La mystique souligne que les chemins vers Dieu sont aussi multiples que les êtres humains. Les lectures du Coran sont donc aussi nombreuses que ses lecteurs. Cependant, ce qui nous intéresse n’est pas les lectures individuelles mais les lectures collectives car la lecture de l’individu reflète déjà la lecture de sa communauté ;</w:t>
      </w:r>
    </w:p>
    <w:p w14:paraId="26262A24" w14:textId="77777777"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parce que l’étymologie est différente. On ne sait pas si le mot polysémique est étymologiquement deux mots qui sont devenus homophones ; ex. : le mot </w:t>
      </w:r>
      <w:r w:rsidRPr="00CB7AF4">
        <w:rPr>
          <w:rFonts w:asciiTheme="majorBidi" w:eastAsia="Calibri" w:hAnsiTheme="majorBidi" w:cstheme="majorBidi"/>
          <w:i/>
          <w:iCs/>
          <w:lang w:bidi="ar-AE"/>
        </w:rPr>
        <w:t>« son » </w:t>
      </w:r>
      <w:r w:rsidR="00094EF0">
        <w:rPr>
          <w:rFonts w:asciiTheme="majorBidi" w:eastAsia="Calibri" w:hAnsiTheme="majorBidi" w:cstheme="majorBidi"/>
          <w:lang w:bidi="ar-AE"/>
        </w:rPr>
        <w:t xml:space="preserve">: 1) </w:t>
      </w:r>
      <w:r w:rsidRPr="00CB7AF4">
        <w:rPr>
          <w:rFonts w:asciiTheme="majorBidi" w:eastAsia="Calibri" w:hAnsiTheme="majorBidi" w:cstheme="majorBidi"/>
          <w:lang w:bidi="ar-AE"/>
        </w:rPr>
        <w:t xml:space="preserve">de </w:t>
      </w:r>
      <w:r w:rsidRPr="00CB7AF4">
        <w:rPr>
          <w:rFonts w:asciiTheme="majorBidi" w:eastAsia="Calibri" w:hAnsiTheme="majorBidi" w:cstheme="majorBidi"/>
          <w:i/>
          <w:iCs/>
          <w:lang w:bidi="ar-AE"/>
        </w:rPr>
        <w:t>sonus </w:t>
      </w:r>
      <w:r w:rsidR="00094EF0">
        <w:rPr>
          <w:rFonts w:asciiTheme="majorBidi" w:eastAsia="Calibri" w:hAnsiTheme="majorBidi" w:cstheme="majorBidi"/>
          <w:lang w:bidi="ar-AE"/>
        </w:rPr>
        <w:t xml:space="preserve">: bruit, et 2) </w:t>
      </w:r>
      <w:r w:rsidRPr="00CB7AF4">
        <w:rPr>
          <w:rFonts w:asciiTheme="majorBidi" w:eastAsia="Calibri" w:hAnsiTheme="majorBidi" w:cstheme="majorBidi"/>
          <w:lang w:bidi="ar-AE"/>
        </w:rPr>
        <w:t xml:space="preserve">de </w:t>
      </w:r>
      <w:r w:rsidRPr="00CB7AF4">
        <w:rPr>
          <w:rFonts w:asciiTheme="majorBidi" w:eastAsia="Calibri" w:hAnsiTheme="majorBidi" w:cstheme="majorBidi"/>
          <w:i/>
          <w:iCs/>
          <w:lang w:bidi="ar-AE"/>
        </w:rPr>
        <w:t>secundus </w:t>
      </w:r>
      <w:r w:rsidRPr="00CB7AF4">
        <w:rPr>
          <w:rFonts w:asciiTheme="majorBidi" w:eastAsia="Calibri" w:hAnsiTheme="majorBidi" w:cstheme="majorBidi"/>
          <w:lang w:bidi="ar-AE"/>
        </w:rPr>
        <w:t>: résidu de la mouture du blé</w:t>
      </w:r>
      <w:r w:rsidRPr="00CB7AF4">
        <w:rPr>
          <w:rFonts w:asciiTheme="majorBidi" w:eastAsia="Times New Roman" w:hAnsiTheme="majorBidi" w:cstheme="majorBidi"/>
          <w:vertAlign w:val="superscript"/>
        </w:rPr>
        <w:footnoteReference w:id="77"/>
      </w:r>
      <w:r w:rsidRPr="00CB7AF4">
        <w:rPr>
          <w:rFonts w:asciiTheme="majorBidi" w:eastAsia="Calibri" w:hAnsiTheme="majorBidi" w:cstheme="majorBidi"/>
          <w:lang w:bidi="ar-AE"/>
        </w:rPr>
        <w:t> ;</w:t>
      </w:r>
    </w:p>
    <w:p w14:paraId="212B74EF" w14:textId="5B9A2B43"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t>parce que, dans le Cor</w:t>
      </w:r>
      <w:r w:rsidR="00094EF0">
        <w:rPr>
          <w:rFonts w:asciiTheme="majorBidi" w:eastAsia="Calibri" w:hAnsiTheme="majorBidi" w:cstheme="majorBidi"/>
          <w:lang w:bidi="ar-AE"/>
        </w:rPr>
        <w:t>an, il y a plusieurs lectures (sept ou dix</w:t>
      </w:r>
      <w:r w:rsidRPr="00CB7AF4">
        <w:rPr>
          <w:rFonts w:asciiTheme="majorBidi" w:eastAsia="Calibri" w:hAnsiTheme="majorBidi" w:cstheme="majorBidi"/>
          <w:lang w:bidi="ar-AE"/>
        </w:rPr>
        <w:t xml:space="preserve"> </w:t>
      </w:r>
      <w:r w:rsidR="009D7A55" w:rsidRPr="00CB7AF4">
        <w:rPr>
          <w:rFonts w:asciiTheme="majorBidi" w:eastAsia="Calibri" w:hAnsiTheme="majorBidi" w:cstheme="majorBidi"/>
          <w:i/>
          <w:iCs/>
          <w:lang w:bidi="ar-AE"/>
        </w:rPr>
        <w:t>aḥruf</w:t>
      </w:r>
      <w:r w:rsidRPr="00CB7AF4">
        <w:rPr>
          <w:rFonts w:asciiTheme="majorBidi" w:eastAsia="Calibri" w:hAnsiTheme="majorBidi" w:cstheme="majorBidi"/>
          <w:lang w:bidi="ar-AE"/>
        </w:rPr>
        <w:t>, selon les dialectes arabes de l’époque de l’élaboration du Coran) ;</w:t>
      </w:r>
    </w:p>
    <w:p w14:paraId="1B31B4BE" w14:textId="77777777"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t>parce que parfois dans le Coran on n’est pas sûr de la vocalisation du mot, ce qui donne la polysémie ; ex. : le verbe (</w:t>
      </w:r>
      <w:r w:rsidRPr="00CB7AF4">
        <w:rPr>
          <w:rFonts w:asciiTheme="majorBidi" w:eastAsia="Calibri" w:hAnsiTheme="majorBidi" w:cstheme="majorBidi"/>
          <w:rtl/>
          <w:lang w:bidi="ar-AE"/>
        </w:rPr>
        <w:t>يُقاتلونَ</w:t>
      </w:r>
      <w:r w:rsidRPr="00CB7AF4">
        <w:rPr>
          <w:rFonts w:asciiTheme="majorBidi" w:eastAsia="Calibri" w:hAnsiTheme="majorBidi" w:cstheme="majorBidi"/>
          <w:lang w:bidi="ar-AE"/>
        </w:rPr>
        <w:t xml:space="preserve">) (XXII, 39) peut se lire de deux manières : </w:t>
      </w:r>
      <w:r w:rsidRPr="00CB7AF4">
        <w:rPr>
          <w:rFonts w:asciiTheme="majorBidi" w:eastAsia="Calibri" w:hAnsiTheme="majorBidi" w:cstheme="majorBidi"/>
          <w:i/>
          <w:iCs/>
          <w:lang w:bidi="ar-AE"/>
        </w:rPr>
        <w:t>yuqāt</w:t>
      </w:r>
      <w:r w:rsidRPr="00CB7AF4">
        <w:rPr>
          <w:rFonts w:asciiTheme="majorBidi" w:eastAsia="Calibri" w:hAnsiTheme="majorBidi" w:cstheme="majorBidi"/>
          <w:b/>
          <w:bCs/>
          <w:i/>
          <w:iCs/>
          <w:lang w:bidi="ar-AE"/>
        </w:rPr>
        <w:t>i</w:t>
      </w:r>
      <w:r w:rsidRPr="00CB7AF4">
        <w:rPr>
          <w:rFonts w:asciiTheme="majorBidi" w:eastAsia="Calibri" w:hAnsiTheme="majorBidi" w:cstheme="majorBidi"/>
          <w:i/>
          <w:iCs/>
          <w:lang w:bidi="ar-AE"/>
        </w:rPr>
        <w:t>lūna</w:t>
      </w:r>
      <w:r w:rsidRPr="00CB7AF4">
        <w:rPr>
          <w:rFonts w:asciiTheme="majorBidi" w:eastAsia="Calibri" w:hAnsiTheme="majorBidi" w:cstheme="majorBidi"/>
          <w:lang w:bidi="ar-AE"/>
        </w:rPr>
        <w:t xml:space="preserve"> (voix active : ils combattent) ou </w:t>
      </w:r>
      <w:r w:rsidRPr="00CB7AF4">
        <w:rPr>
          <w:rFonts w:asciiTheme="majorBidi" w:eastAsia="Calibri" w:hAnsiTheme="majorBidi" w:cstheme="majorBidi"/>
          <w:i/>
          <w:iCs/>
          <w:lang w:bidi="ar-AE"/>
        </w:rPr>
        <w:t>y</w:t>
      </w:r>
      <w:r w:rsidR="00094EF0">
        <w:rPr>
          <w:rFonts w:asciiTheme="majorBidi" w:eastAsia="Calibri" w:hAnsiTheme="majorBidi" w:cstheme="majorBidi"/>
          <w:i/>
          <w:iCs/>
          <w:lang w:bidi="ar-AE"/>
        </w:rPr>
        <w:t>u</w:t>
      </w:r>
      <w:r w:rsidRPr="00CB7AF4">
        <w:rPr>
          <w:rFonts w:asciiTheme="majorBidi" w:eastAsia="Calibri" w:hAnsiTheme="majorBidi" w:cstheme="majorBidi"/>
          <w:i/>
          <w:iCs/>
          <w:lang w:bidi="ar-AE"/>
        </w:rPr>
        <w:t>qāt</w:t>
      </w:r>
      <w:r w:rsidRPr="00CB7AF4">
        <w:rPr>
          <w:rFonts w:asciiTheme="majorBidi" w:eastAsia="Calibri" w:hAnsiTheme="majorBidi" w:cstheme="majorBidi"/>
          <w:b/>
          <w:bCs/>
          <w:i/>
          <w:iCs/>
          <w:lang w:bidi="ar-AE"/>
        </w:rPr>
        <w:t>a</w:t>
      </w:r>
      <w:r w:rsidRPr="00CB7AF4">
        <w:rPr>
          <w:rFonts w:asciiTheme="majorBidi" w:eastAsia="Calibri" w:hAnsiTheme="majorBidi" w:cstheme="majorBidi"/>
          <w:i/>
          <w:iCs/>
          <w:lang w:bidi="ar-AE"/>
        </w:rPr>
        <w:t>lūna</w:t>
      </w:r>
      <w:r w:rsidRPr="00CB7AF4">
        <w:rPr>
          <w:rFonts w:asciiTheme="majorBidi" w:eastAsia="Calibri" w:hAnsiTheme="majorBidi" w:cstheme="majorBidi"/>
          <w:lang w:bidi="ar-AE"/>
        </w:rPr>
        <w:t xml:space="preserve"> (voix passive : ils sont combattus) ;</w:t>
      </w:r>
    </w:p>
    <w:p w14:paraId="5CEF8E2D" w14:textId="77777777" w:rsidR="00561BDC" w:rsidRPr="00CB7AF4" w:rsidRDefault="00561BDC" w:rsidP="007640DC">
      <w:pPr>
        <w:numPr>
          <w:ilvl w:val="0"/>
          <w:numId w:val="5"/>
        </w:numPr>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lastRenderedPageBreak/>
        <w:t>parce que les exégètes musulmans contemporains voudraient concilier le Coran avec les dernières découvertes scientifiques ;</w:t>
      </w:r>
    </w:p>
    <w:p w14:paraId="6D2E342E" w14:textId="77777777" w:rsidR="00561BDC" w:rsidRPr="00CB7AF4" w:rsidRDefault="00561BDC" w:rsidP="007640DC">
      <w:pPr>
        <w:numPr>
          <w:ilvl w:val="0"/>
          <w:numId w:val="5"/>
        </w:numPr>
        <w:tabs>
          <w:tab w:val="right" w:pos="709"/>
        </w:tabs>
        <w:spacing w:line="360" w:lineRule="auto"/>
        <w:contextualSpacing/>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parce qu’il y a dans le texte des vides qui augmentent la polysémie ; ex. : puisqu’on ne sait pas quand arrive </w:t>
      </w:r>
      <w:r w:rsidRPr="00CB7AF4">
        <w:rPr>
          <w:rFonts w:asciiTheme="majorBidi" w:eastAsia="Calibri" w:hAnsiTheme="majorBidi" w:cstheme="majorBidi"/>
          <w:i/>
          <w:iCs/>
          <w:lang w:bidi="ar-AE"/>
        </w:rPr>
        <w:t>zalzalat as-sāʿa</w:t>
      </w:r>
      <w:r w:rsidR="00094EF0">
        <w:rPr>
          <w:rFonts w:asciiTheme="majorBidi" w:eastAsia="Calibri" w:hAnsiTheme="majorBidi" w:cstheme="majorBidi"/>
          <w:lang w:bidi="ar-AE"/>
        </w:rPr>
        <w:t xml:space="preserve"> [le tremblement de l’h</w:t>
      </w:r>
      <w:r w:rsidRPr="00CB7AF4">
        <w:rPr>
          <w:rFonts w:asciiTheme="majorBidi" w:eastAsia="Calibri" w:hAnsiTheme="majorBidi" w:cstheme="majorBidi"/>
          <w:lang w:bidi="ar-AE"/>
        </w:rPr>
        <w:t>eure] (XXII, 1), on lui donne plusieurs sens : séisme, Jugement dernier, mouvement cosmique, apparition de ʿAlī, perfection de l’Âme.</w:t>
      </w:r>
    </w:p>
    <w:p w14:paraId="2094AEC4" w14:textId="77777777" w:rsidR="00561BDC" w:rsidRPr="00CB7AF4" w:rsidRDefault="00561BDC" w:rsidP="00CB7AF4">
      <w:pPr>
        <w:spacing w:line="360" w:lineRule="auto"/>
        <w:jc w:val="both"/>
        <w:rPr>
          <w:rFonts w:asciiTheme="majorBidi" w:eastAsia="Calibri" w:hAnsiTheme="majorBidi" w:cstheme="majorBidi"/>
          <w:lang w:bidi="ar-AE"/>
        </w:rPr>
      </w:pPr>
    </w:p>
    <w:p w14:paraId="030157F8" w14:textId="2C911BAB" w:rsidR="00561BDC" w:rsidRPr="00CB7AF4" w:rsidRDefault="00561BDC" w:rsidP="00CB7AF4">
      <w:pPr>
        <w:spacing w:line="360" w:lineRule="auto"/>
        <w:ind w:firstLine="360"/>
        <w:jc w:val="both"/>
        <w:rPr>
          <w:rFonts w:asciiTheme="majorBidi" w:eastAsia="Times New Roman" w:hAnsiTheme="majorBidi" w:cstheme="majorBidi"/>
        </w:rPr>
      </w:pPr>
      <w:r w:rsidRPr="00CB7AF4">
        <w:rPr>
          <w:rFonts w:asciiTheme="majorBidi" w:eastAsia="Calibri" w:hAnsiTheme="majorBidi" w:cstheme="majorBidi"/>
          <w:lang w:bidi="ar-AE"/>
        </w:rPr>
        <w:t xml:space="preserve">Les mots ou expressions polysémiques augmentent l’ambiguïté de tout texte, de tout texte sacré en général et du Coran en particulier. Ambiguïté qui d’un côté enrichit l’interprétation et d’un autre côté en interdit toute critique. </w:t>
      </w:r>
      <w:r w:rsidRPr="00CB7AF4">
        <w:rPr>
          <w:rFonts w:asciiTheme="majorBidi" w:eastAsia="Times New Roman" w:hAnsiTheme="majorBidi" w:cstheme="majorBidi"/>
        </w:rPr>
        <w:t xml:space="preserve">Ce qui augmente la polysémie dans le texte sacré en général et dans le Coran en particulier c’est son caractère sacré qui enrichit l’interprétation d’un côté mais qui interdit toute critique d’un autre côté. Si un verset du Coran avait dit que 1 + 1 = 3, les exégètes et les théologiens auraient été divisés en plusieurs écoles ou groupes : certains auraient dit que ce serait un </w:t>
      </w:r>
      <w:r w:rsidRPr="00CB7AF4">
        <w:rPr>
          <w:rFonts w:asciiTheme="majorBidi" w:eastAsia="Times New Roman" w:hAnsiTheme="majorBidi" w:cstheme="majorBidi"/>
          <w:i/>
          <w:iCs/>
        </w:rPr>
        <w:t xml:space="preserve">iʿjāz ʿilmī </w:t>
      </w:r>
      <w:r w:rsidRPr="00CB7AF4">
        <w:rPr>
          <w:rFonts w:asciiTheme="majorBidi" w:eastAsia="Times New Roman" w:hAnsiTheme="majorBidi" w:cstheme="majorBidi"/>
        </w:rPr>
        <w:t xml:space="preserve">[une inimitabilité scientifique ou un contenu scientifique miraculeux] (que l’on pourrait prouver plus tard dans des réactions chimiques, dans la reproduction biologique, dans une autre logique, dans d’autres galaxies et d’autres espaces cosmiques ou dans des mondes invisibles, virtuels ou magiques) ; d’autres auraient affirmé qu’il s’agissait d’un </w:t>
      </w:r>
      <w:r w:rsidRPr="00CB7AF4">
        <w:rPr>
          <w:rFonts w:asciiTheme="majorBidi" w:eastAsia="Times New Roman" w:hAnsiTheme="majorBidi" w:cstheme="majorBidi"/>
          <w:i/>
          <w:iCs/>
        </w:rPr>
        <w:t>iʿjāz balāghī</w:t>
      </w:r>
      <w:r w:rsidRPr="00CB7AF4">
        <w:rPr>
          <w:rFonts w:asciiTheme="majorBidi" w:eastAsia="Times New Roman" w:hAnsiTheme="majorBidi" w:cstheme="majorBidi"/>
        </w:rPr>
        <w:t xml:space="preserve"> [une inimitabilité rhétorique] (le 3 serait une métaphore du 2) ; une troisième partie aurait dit que cette équation pourrait être selon les calculs de Dieu et non pas selon nos calculs; une quatrième partie moins courageuse aurait brandi le fameux énoncé </w:t>
      </w:r>
      <w:r w:rsidR="000524C2">
        <w:rPr>
          <w:rFonts w:asciiTheme="majorBidi" w:eastAsia="Times New Roman" w:hAnsiTheme="majorBidi" w:cstheme="majorBidi"/>
          <w:i/>
          <w:iCs/>
        </w:rPr>
        <w:t xml:space="preserve">wa-llāhu </w:t>
      </w:r>
      <w:r w:rsidRPr="00CB7AF4">
        <w:rPr>
          <w:rFonts w:asciiTheme="majorBidi" w:eastAsia="Times New Roman" w:hAnsiTheme="majorBidi" w:cstheme="majorBidi"/>
          <w:i/>
          <w:iCs/>
        </w:rPr>
        <w:t>aʿlam!</w:t>
      </w:r>
      <w:r w:rsidRPr="00CB7AF4">
        <w:rPr>
          <w:rFonts w:asciiTheme="majorBidi" w:eastAsia="Times New Roman" w:hAnsiTheme="majorBidi" w:cstheme="majorBidi"/>
        </w:rPr>
        <w:t xml:space="preserve"> (</w:t>
      </w:r>
      <w:r w:rsidRPr="00CB7AF4">
        <w:rPr>
          <w:rFonts w:asciiTheme="majorBidi" w:eastAsia="Times New Roman" w:hAnsiTheme="majorBidi" w:cstheme="majorBidi"/>
          <w:rtl/>
        </w:rPr>
        <w:t>واللهُ أعلم!</w:t>
      </w:r>
      <w:r w:rsidRPr="00CB7AF4">
        <w:rPr>
          <w:rFonts w:asciiTheme="majorBidi" w:eastAsia="Times New Roman" w:hAnsiTheme="majorBidi" w:cstheme="majorBidi"/>
        </w:rPr>
        <w:t>) [</w:t>
      </w:r>
      <w:r w:rsidRPr="00CB7AF4">
        <w:rPr>
          <w:rFonts w:asciiTheme="majorBidi" w:eastAsia="Times New Roman" w:hAnsiTheme="majorBidi" w:cstheme="majorBidi"/>
          <w:i/>
          <w:iCs/>
        </w:rPr>
        <w:t>Dieu sait mieux !</w:t>
      </w:r>
      <w:r w:rsidRPr="00CB7AF4">
        <w:rPr>
          <w:rFonts w:asciiTheme="majorBidi" w:eastAsia="Times New Roman" w:hAnsiTheme="majorBidi" w:cstheme="majorBidi"/>
        </w:rPr>
        <w:t>] ; mais personne n’aurait osé dire qu’il s’agissait simplement d’une erreur de calcul reflet du progrès scientifique et du contexte sociologique du temps et du lieu de l’élaboration du Coran. Cela pourrait bien entendu aider à enrichir le texte, à découvrir d’autres sens cachés, mais cela ne reflète pas la réalité historique et sociologique.</w:t>
      </w:r>
    </w:p>
    <w:p w14:paraId="65987280" w14:textId="77777777" w:rsidR="00561BDC" w:rsidRPr="00741776" w:rsidRDefault="00561BDC" w:rsidP="00741776">
      <w:pPr>
        <w:spacing w:line="360" w:lineRule="auto"/>
        <w:jc w:val="both"/>
        <w:rPr>
          <w:rFonts w:asciiTheme="majorBidi" w:eastAsia="Calibri" w:hAnsiTheme="majorBidi" w:cstheme="majorBidi"/>
          <w:rtl/>
        </w:rPr>
      </w:pPr>
    </w:p>
    <w:p w14:paraId="246D7531" w14:textId="77777777" w:rsidR="00561BDC" w:rsidRPr="00CB7AF4" w:rsidRDefault="00094EF0" w:rsidP="00741776">
      <w:pPr>
        <w:spacing w:line="360" w:lineRule="auto"/>
        <w:ind w:firstLine="708"/>
        <w:jc w:val="both"/>
        <w:rPr>
          <w:rFonts w:asciiTheme="majorBidi" w:eastAsia="Calibri" w:hAnsiTheme="majorBidi" w:cstheme="majorBidi"/>
          <w:lang w:bidi="ar-AE"/>
        </w:rPr>
      </w:pPr>
      <w:r w:rsidRPr="00741776">
        <w:rPr>
          <w:rFonts w:asciiTheme="majorBidi" w:eastAsia="Calibri" w:hAnsiTheme="majorBidi" w:cstheme="majorBidi"/>
        </w:rPr>
        <w:t>Dans la</w:t>
      </w:r>
      <w:r w:rsidR="00305AAD" w:rsidRPr="00741776">
        <w:rPr>
          <w:rFonts w:asciiTheme="majorBidi" w:eastAsia="Calibri" w:hAnsiTheme="majorBidi" w:cstheme="majorBidi"/>
        </w:rPr>
        <w:t xml:space="preserve"> science de la</w:t>
      </w:r>
      <w:r w:rsidRPr="00741776">
        <w:rPr>
          <w:rFonts w:asciiTheme="majorBidi" w:eastAsia="Calibri" w:hAnsiTheme="majorBidi" w:cstheme="majorBidi"/>
        </w:rPr>
        <w:t xml:space="preserve"> logique</w:t>
      </w:r>
      <w:r w:rsidR="00F2224D" w:rsidRPr="00741776">
        <w:rPr>
          <w:rStyle w:val="Appelnotedebasdep"/>
          <w:rFonts w:eastAsia="Calibri"/>
        </w:rPr>
        <w:footnoteReference w:id="78"/>
      </w:r>
      <w:r w:rsidRPr="00741776">
        <w:rPr>
          <w:rFonts w:asciiTheme="majorBidi" w:eastAsia="Calibri" w:hAnsiTheme="majorBidi" w:cstheme="majorBidi"/>
        </w:rPr>
        <w:t>, un</w:t>
      </w:r>
      <w:r w:rsidR="00561BDC" w:rsidRPr="00741776">
        <w:rPr>
          <w:rFonts w:asciiTheme="majorBidi" w:eastAsia="Calibri" w:hAnsiTheme="majorBidi" w:cstheme="majorBidi"/>
        </w:rPr>
        <w:t xml:space="preserve"> </w:t>
      </w:r>
      <w:r w:rsidR="00561BDC" w:rsidRPr="00741776">
        <w:rPr>
          <w:rFonts w:asciiTheme="majorBidi" w:eastAsia="Calibri" w:hAnsiTheme="majorBidi" w:cstheme="majorBidi"/>
          <w:i/>
          <w:iCs/>
        </w:rPr>
        <w:t>ḥadd</w:t>
      </w:r>
      <w:r w:rsidRPr="00741776">
        <w:rPr>
          <w:rFonts w:asciiTheme="majorBidi" w:eastAsia="Calibri" w:hAnsiTheme="majorBidi" w:cstheme="majorBidi"/>
        </w:rPr>
        <w:t xml:space="preserve"> [terme</w:t>
      </w:r>
      <w:r>
        <w:rPr>
          <w:rFonts w:asciiTheme="majorBidi" w:eastAsia="Calibri" w:hAnsiTheme="majorBidi" w:cstheme="majorBidi"/>
        </w:rPr>
        <w:t xml:space="preserve">] a deux types : 1) </w:t>
      </w:r>
      <w:r w:rsidR="00561BDC" w:rsidRPr="00CB7AF4">
        <w:rPr>
          <w:rFonts w:asciiTheme="majorBidi" w:eastAsia="Calibri" w:hAnsiTheme="majorBidi" w:cstheme="majorBidi"/>
        </w:rPr>
        <w:t xml:space="preserve">un </w:t>
      </w:r>
      <w:r w:rsidR="00561BDC" w:rsidRPr="00CB7AF4">
        <w:rPr>
          <w:rFonts w:asciiTheme="majorBidi" w:eastAsia="Calibri" w:hAnsiTheme="majorBidi" w:cstheme="majorBidi"/>
          <w:i/>
          <w:iCs/>
        </w:rPr>
        <w:t>mafhūm</w:t>
      </w:r>
      <w:r w:rsidR="00561BDC" w:rsidRPr="00CB7AF4">
        <w:rPr>
          <w:rFonts w:asciiTheme="majorBidi" w:eastAsia="Calibri" w:hAnsiTheme="majorBidi" w:cstheme="majorBidi"/>
        </w:rPr>
        <w:t xml:space="preserve"> (un terme générique, un </w:t>
      </w:r>
      <w:r w:rsidR="00561BDC" w:rsidRPr="00CB7AF4">
        <w:rPr>
          <w:rFonts w:asciiTheme="majorBidi" w:eastAsia="Calibri" w:hAnsiTheme="majorBidi" w:cstheme="majorBidi"/>
          <w:i/>
          <w:iCs/>
        </w:rPr>
        <w:t>lafẓ mut</w:t>
      </w:r>
      <w:r w:rsidR="00592D1E">
        <w:rPr>
          <w:rFonts w:asciiTheme="majorBidi" w:eastAsia="Calibri" w:hAnsiTheme="majorBidi" w:cstheme="majorBidi"/>
          <w:i/>
          <w:iCs/>
        </w:rPr>
        <w:t>a</w:t>
      </w:r>
      <w:r w:rsidR="00561BDC" w:rsidRPr="00CB7AF4">
        <w:rPr>
          <w:rFonts w:asciiTheme="majorBidi" w:eastAsia="Calibri" w:hAnsiTheme="majorBidi" w:cstheme="majorBidi"/>
          <w:i/>
          <w:iCs/>
        </w:rPr>
        <w:t>wāṭiʾ</w:t>
      </w:r>
      <w:r w:rsidR="00561BDC" w:rsidRPr="00CB7AF4">
        <w:rPr>
          <w:rFonts w:asciiTheme="majorBidi" w:eastAsia="Calibri" w:hAnsiTheme="majorBidi" w:cstheme="majorBidi"/>
        </w:rPr>
        <w:t xml:space="preserve">, un </w:t>
      </w:r>
      <w:r w:rsidR="00561BDC" w:rsidRPr="00CB7AF4">
        <w:rPr>
          <w:rFonts w:asciiTheme="majorBidi" w:eastAsia="Calibri" w:hAnsiTheme="majorBidi" w:cstheme="majorBidi"/>
          <w:i/>
          <w:iCs/>
        </w:rPr>
        <w:t>mut</w:t>
      </w:r>
      <w:r w:rsidR="00592D1E">
        <w:rPr>
          <w:rFonts w:asciiTheme="majorBidi" w:eastAsia="Calibri" w:hAnsiTheme="majorBidi" w:cstheme="majorBidi"/>
          <w:i/>
          <w:iCs/>
        </w:rPr>
        <w:t>a</w:t>
      </w:r>
      <w:r w:rsidR="00561BDC" w:rsidRPr="00CB7AF4">
        <w:rPr>
          <w:rFonts w:asciiTheme="majorBidi" w:eastAsia="Calibri" w:hAnsiTheme="majorBidi" w:cstheme="majorBidi"/>
          <w:i/>
          <w:iCs/>
        </w:rPr>
        <w:t>wāṭiʾ</w:t>
      </w:r>
      <w:r w:rsidR="00561BDC" w:rsidRPr="00CB7AF4">
        <w:rPr>
          <w:rFonts w:asciiTheme="majorBidi" w:eastAsia="Times New Roman" w:hAnsiTheme="majorBidi" w:cstheme="majorBidi"/>
          <w:i/>
          <w:iCs/>
        </w:rPr>
        <w:t xml:space="preserve"> </w:t>
      </w:r>
      <w:r w:rsidR="00561BDC" w:rsidRPr="00CB7AF4">
        <w:rPr>
          <w:rFonts w:asciiTheme="majorBidi" w:eastAsia="Calibri" w:hAnsiTheme="majorBidi" w:cstheme="majorBidi"/>
          <w:i/>
          <w:iCs/>
        </w:rPr>
        <w:t>lafẓī</w:t>
      </w:r>
      <w:r w:rsidR="00561BDC" w:rsidRPr="00CB7AF4">
        <w:rPr>
          <w:rFonts w:asciiTheme="majorBidi" w:eastAsia="Calibri" w:hAnsiTheme="majorBidi" w:cstheme="majorBidi"/>
        </w:rPr>
        <w:t xml:space="preserve">, ou les </w:t>
      </w:r>
      <w:r w:rsidR="00561BDC" w:rsidRPr="00CB7AF4">
        <w:rPr>
          <w:rFonts w:asciiTheme="majorBidi" w:eastAsia="Calibri" w:hAnsiTheme="majorBidi" w:cstheme="majorBidi"/>
          <w:i/>
          <w:iCs/>
        </w:rPr>
        <w:t>naẓāʾir</w:t>
      </w:r>
      <w:r>
        <w:rPr>
          <w:rFonts w:asciiTheme="majorBidi" w:eastAsia="Calibri" w:hAnsiTheme="majorBidi" w:cstheme="majorBidi"/>
        </w:rPr>
        <w:t>), c’est-à-</w:t>
      </w:r>
      <w:r w:rsidR="00561BDC" w:rsidRPr="00CB7AF4">
        <w:rPr>
          <w:rFonts w:asciiTheme="majorBidi" w:eastAsia="Calibri" w:hAnsiTheme="majorBidi" w:cstheme="majorBidi"/>
        </w:rPr>
        <w:t xml:space="preserve">dire une notion, un </w:t>
      </w:r>
      <w:r w:rsidR="00561BDC" w:rsidRPr="00CB7AF4">
        <w:rPr>
          <w:rFonts w:asciiTheme="majorBidi" w:eastAsia="Calibri" w:hAnsiTheme="majorBidi" w:cstheme="majorBidi"/>
        </w:rPr>
        <w:lastRenderedPageBreak/>
        <w:t>concept ou un</w:t>
      </w:r>
      <w:r>
        <w:rPr>
          <w:rFonts w:asciiTheme="majorBidi" w:eastAsia="Calibri" w:hAnsiTheme="majorBidi" w:cstheme="majorBidi"/>
        </w:rPr>
        <w:t xml:space="preserve">e représentation mentale, et 2) </w:t>
      </w:r>
      <w:r w:rsidR="00561BDC" w:rsidRPr="00CB7AF4">
        <w:rPr>
          <w:rFonts w:asciiTheme="majorBidi" w:eastAsia="Calibri" w:hAnsiTheme="majorBidi" w:cstheme="majorBidi"/>
        </w:rPr>
        <w:t xml:space="preserve">un </w:t>
      </w:r>
      <w:r w:rsidR="00561BDC" w:rsidRPr="00CB7AF4">
        <w:rPr>
          <w:rFonts w:asciiTheme="majorBidi" w:eastAsia="Calibri" w:hAnsiTheme="majorBidi" w:cstheme="majorBidi"/>
          <w:i/>
          <w:iCs/>
        </w:rPr>
        <w:t>māṣadaq</w:t>
      </w:r>
      <w:r w:rsidR="00561BDC" w:rsidRPr="00CB7AF4">
        <w:rPr>
          <w:rFonts w:asciiTheme="majorBidi" w:eastAsia="Calibri" w:hAnsiTheme="majorBidi" w:cstheme="majorBidi"/>
        </w:rPr>
        <w:t xml:space="preserve"> (une dénomination), c’est à dire tout élément qui approuve la notion du terme générique ou qui réalise le concept du </w:t>
      </w:r>
      <w:r w:rsidR="00561BDC" w:rsidRPr="00CB7AF4">
        <w:rPr>
          <w:rFonts w:asciiTheme="majorBidi" w:eastAsia="Calibri" w:hAnsiTheme="majorBidi" w:cstheme="majorBidi"/>
          <w:i/>
          <w:iCs/>
        </w:rPr>
        <w:t>mafhūm</w:t>
      </w:r>
      <w:r w:rsidR="00561BDC" w:rsidRPr="00CB7AF4">
        <w:rPr>
          <w:rFonts w:asciiTheme="majorBidi" w:eastAsia="Calibri" w:hAnsiTheme="majorBidi" w:cstheme="majorBidi"/>
        </w:rPr>
        <w:t xml:space="preserve"> (une sorte d’extension). À titre d’exemple, le</w:t>
      </w:r>
      <w:r w:rsidR="00561BDC" w:rsidRPr="00CB7AF4">
        <w:rPr>
          <w:rFonts w:asciiTheme="majorBidi" w:eastAsia="Calibri" w:hAnsiTheme="majorBidi" w:cstheme="majorBidi"/>
          <w:i/>
          <w:iCs/>
        </w:rPr>
        <w:t xml:space="preserve"> ḥadd</w:t>
      </w:r>
      <w:r w:rsidR="00561BDC" w:rsidRPr="00CB7AF4">
        <w:rPr>
          <w:rFonts w:asciiTheme="majorBidi" w:eastAsia="Calibri" w:hAnsiTheme="majorBidi" w:cstheme="majorBidi"/>
        </w:rPr>
        <w:t xml:space="preserve"> </w:t>
      </w:r>
      <w:r>
        <w:rPr>
          <w:rFonts w:asciiTheme="majorBidi" w:eastAsia="Calibri" w:hAnsiTheme="majorBidi" w:cstheme="majorBidi"/>
          <w:lang w:bidi="ar-AE"/>
        </w:rPr>
        <w:t>(</w:t>
      </w:r>
      <w:r w:rsidR="00561BDC" w:rsidRPr="00CB7AF4">
        <w:rPr>
          <w:rFonts w:asciiTheme="majorBidi" w:eastAsia="Calibri" w:hAnsiTheme="majorBidi" w:cstheme="majorBidi"/>
          <w:lang w:bidi="ar-AE"/>
        </w:rPr>
        <w:t xml:space="preserve">terme) « métal » est un </w:t>
      </w:r>
      <w:r w:rsidR="00561BDC" w:rsidRPr="00CB7AF4">
        <w:rPr>
          <w:rFonts w:asciiTheme="majorBidi" w:eastAsia="Calibri" w:hAnsiTheme="majorBidi" w:cstheme="majorBidi"/>
          <w:i/>
          <w:iCs/>
          <w:lang w:bidi="ar-AE"/>
        </w:rPr>
        <w:t>mafhūm</w:t>
      </w:r>
      <w:r w:rsidR="00561BDC" w:rsidRPr="00CB7AF4">
        <w:rPr>
          <w:rFonts w:asciiTheme="majorBidi" w:eastAsia="Calibri" w:hAnsiTheme="majorBidi" w:cstheme="majorBidi"/>
          <w:lang w:bidi="ar-AE"/>
        </w:rPr>
        <w:t xml:space="preserve"> (terme générique) dont les </w:t>
      </w:r>
      <w:r w:rsidR="00561BDC" w:rsidRPr="00CB7AF4">
        <w:rPr>
          <w:rFonts w:asciiTheme="majorBidi" w:eastAsia="Calibri" w:hAnsiTheme="majorBidi" w:cstheme="majorBidi"/>
          <w:i/>
          <w:iCs/>
          <w:lang w:bidi="ar-AE"/>
        </w:rPr>
        <w:t>māṣadaq</w:t>
      </w:r>
      <w:r w:rsidR="00561BDC" w:rsidRPr="00CB7AF4">
        <w:rPr>
          <w:rFonts w:asciiTheme="majorBidi" w:eastAsia="Calibri" w:hAnsiTheme="majorBidi" w:cstheme="majorBidi"/>
          <w:lang w:bidi="ar-AE"/>
        </w:rPr>
        <w:t xml:space="preserve"> (les dénominations) sont : le cuivre, le zinc, le fer, l’acier, l’aluminium, le plomb, etc. Plus le </w:t>
      </w:r>
      <w:r w:rsidR="00561BDC" w:rsidRPr="00CB7AF4">
        <w:rPr>
          <w:rFonts w:asciiTheme="majorBidi" w:eastAsia="Calibri" w:hAnsiTheme="majorBidi" w:cstheme="majorBidi"/>
          <w:i/>
          <w:iCs/>
          <w:lang w:bidi="ar-AE"/>
        </w:rPr>
        <w:t>mafhūm</w:t>
      </w:r>
      <w:r>
        <w:rPr>
          <w:rFonts w:asciiTheme="majorBidi" w:eastAsia="Calibri" w:hAnsiTheme="majorBidi" w:cstheme="majorBidi"/>
          <w:lang w:bidi="ar-AE"/>
        </w:rPr>
        <w:t xml:space="preserve"> (terme générique) a de</w:t>
      </w:r>
      <w:r w:rsidR="00561BDC" w:rsidRPr="00CB7AF4">
        <w:rPr>
          <w:rFonts w:asciiTheme="majorBidi" w:eastAsia="Calibri" w:hAnsiTheme="majorBidi" w:cstheme="majorBidi"/>
          <w:lang w:bidi="ar-AE"/>
        </w:rPr>
        <w:t xml:space="preserve"> traits sémantiques disti</w:t>
      </w:r>
      <w:r>
        <w:rPr>
          <w:rFonts w:asciiTheme="majorBidi" w:eastAsia="Calibri" w:hAnsiTheme="majorBidi" w:cstheme="majorBidi"/>
          <w:lang w:bidi="ar-AE"/>
        </w:rPr>
        <w:t>nctifs (sémèmes), moins il a de</w:t>
      </w:r>
      <w:r w:rsidR="00561BDC" w:rsidRPr="00CB7AF4">
        <w:rPr>
          <w:rFonts w:asciiTheme="majorBidi" w:eastAsia="Calibri" w:hAnsiTheme="majorBidi" w:cstheme="majorBidi"/>
          <w:lang w:bidi="ar-AE"/>
        </w:rPr>
        <w:t xml:space="preserve"> dénominations [</w:t>
      </w:r>
      <w:r w:rsidR="00561BDC" w:rsidRPr="00CB7AF4">
        <w:rPr>
          <w:rFonts w:asciiTheme="majorBidi" w:eastAsia="Calibri" w:hAnsiTheme="majorBidi" w:cstheme="majorBidi"/>
          <w:i/>
          <w:iCs/>
          <w:lang w:bidi="ar-AE"/>
        </w:rPr>
        <w:t>māṣadaq</w:t>
      </w:r>
      <w:r w:rsidR="00561BDC" w:rsidRPr="00CB7AF4">
        <w:rPr>
          <w:rFonts w:asciiTheme="majorBidi" w:eastAsia="Calibri" w:hAnsiTheme="majorBidi" w:cstheme="majorBidi"/>
          <w:lang w:bidi="ar-AE"/>
        </w:rPr>
        <w:t>]. Inversement</w:t>
      </w:r>
      <w:r>
        <w:rPr>
          <w:rFonts w:asciiTheme="majorBidi" w:eastAsia="Calibri" w:hAnsiTheme="majorBidi" w:cstheme="majorBidi"/>
          <w:lang w:bidi="ar-AE"/>
        </w:rPr>
        <w:t>, moins le terme générique a de</w:t>
      </w:r>
      <w:r w:rsidR="00561BDC" w:rsidRPr="00CB7AF4">
        <w:rPr>
          <w:rFonts w:asciiTheme="majorBidi" w:eastAsia="Calibri" w:hAnsiTheme="majorBidi" w:cstheme="majorBidi"/>
          <w:lang w:bidi="ar-AE"/>
        </w:rPr>
        <w:t xml:space="preserve"> traits sémantiques distinctifs, plus il a de dénominations.</w:t>
      </w:r>
    </w:p>
    <w:p w14:paraId="1635975E" w14:textId="77777777" w:rsidR="00561BDC" w:rsidRPr="00CB7AF4" w:rsidRDefault="00561BDC" w:rsidP="008D3CE4">
      <w:pPr>
        <w:spacing w:line="360" w:lineRule="auto"/>
        <w:ind w:firstLine="708"/>
        <w:jc w:val="both"/>
        <w:rPr>
          <w:rFonts w:asciiTheme="majorBidi" w:eastAsia="Calibri" w:hAnsiTheme="majorBidi" w:cstheme="majorBidi"/>
          <w:rtl/>
        </w:rPr>
      </w:pPr>
    </w:p>
    <w:p w14:paraId="20FCBE54" w14:textId="77777777" w:rsidR="00561BDC" w:rsidRPr="00CB7AF4" w:rsidRDefault="00561BDC" w:rsidP="00CB7AF4">
      <w:pPr>
        <w:spacing w:line="360" w:lineRule="auto"/>
        <w:ind w:firstLine="708"/>
        <w:jc w:val="both"/>
        <w:rPr>
          <w:rFonts w:asciiTheme="majorBidi" w:eastAsia="SimSun" w:hAnsiTheme="majorBidi" w:cstheme="majorBidi"/>
          <w:lang w:eastAsia="zh-CN"/>
        </w:rPr>
      </w:pPr>
      <w:r w:rsidRPr="00CB7AF4">
        <w:rPr>
          <w:rFonts w:asciiTheme="majorBidi" w:eastAsia="Calibri" w:hAnsiTheme="majorBidi" w:cstheme="majorBidi"/>
          <w:lang w:bidi="ar-AE"/>
        </w:rPr>
        <w:t xml:space="preserve">Deux idées essentielles justifient et confirment </w:t>
      </w:r>
      <w:r w:rsidR="00094EF0">
        <w:rPr>
          <w:rFonts w:asciiTheme="majorBidi" w:eastAsia="Calibri" w:hAnsiTheme="majorBidi" w:cstheme="majorBidi"/>
          <w:lang w:bidi="ar-AE"/>
        </w:rPr>
        <w:t xml:space="preserve">la polysémie dans le Coran : 1) </w:t>
      </w:r>
      <w:r w:rsidRPr="00CB7AF4">
        <w:rPr>
          <w:rFonts w:asciiTheme="majorBidi" w:eastAsia="Calibri" w:hAnsiTheme="majorBidi" w:cstheme="majorBidi"/>
          <w:lang w:bidi="ar-AE"/>
        </w:rPr>
        <w:t>Il est impossible de considérer parmi d’autres significations possibles un sens comme le seul sens voulu par l’émetteur (le destinateur), car ce dernier ne peut pas fixer un seul sens de son énoncé, du fait qu’il ne connaît déjà que quelques aspects ou facettes de son message</w:t>
      </w:r>
      <w:r w:rsidRPr="00CB7AF4">
        <w:rPr>
          <w:rFonts w:asciiTheme="majorBidi" w:eastAsia="Times New Roman" w:hAnsiTheme="majorBidi" w:cstheme="majorBidi"/>
          <w:vertAlign w:val="superscript"/>
          <w:lang w:bidi="ar-AE"/>
        </w:rPr>
        <w:footnoteReference w:id="79"/>
      </w:r>
      <w:r w:rsidRPr="00CB7AF4">
        <w:rPr>
          <w:rFonts w:asciiTheme="majorBidi" w:eastAsia="Calibri" w:hAnsiTheme="majorBidi" w:cstheme="majorBidi"/>
          <w:lang w:bidi="ar-AE"/>
        </w:rPr>
        <w:t xml:space="preserve">. </w:t>
      </w:r>
      <w:r w:rsidR="00094EF0">
        <w:rPr>
          <w:rFonts w:asciiTheme="majorBidi" w:eastAsia="SimSun" w:hAnsiTheme="majorBidi" w:cstheme="majorBidi"/>
          <w:lang w:eastAsia="zh-CN"/>
        </w:rPr>
        <w:t xml:space="preserve">2) </w:t>
      </w:r>
      <w:r w:rsidRPr="00CB7AF4">
        <w:rPr>
          <w:rFonts w:asciiTheme="majorBidi" w:eastAsia="SimSun" w:hAnsiTheme="majorBidi" w:cstheme="majorBidi"/>
          <w:lang w:eastAsia="zh-CN"/>
        </w:rPr>
        <w:t xml:space="preserve">Le Coran abonde de termes génériques que les exégètes musulmans ne définissent pas souvent. Le terme </w:t>
      </w:r>
      <w:r w:rsidRPr="00CB7AF4">
        <w:rPr>
          <w:rFonts w:asciiTheme="majorBidi" w:eastAsia="SimSun" w:hAnsiTheme="majorBidi" w:cstheme="majorBidi"/>
          <w:i/>
          <w:iCs/>
          <w:lang w:eastAsia="zh-CN"/>
        </w:rPr>
        <w:t>sāʿa</w:t>
      </w:r>
      <w:r w:rsidRPr="00CB7AF4">
        <w:rPr>
          <w:rFonts w:asciiTheme="majorBidi" w:eastAsia="SimSun" w:hAnsiTheme="majorBidi" w:cstheme="majorBidi"/>
          <w:lang w:eastAsia="zh-CN"/>
        </w:rPr>
        <w:t>, par exemple, a moins de traits sémantiques (+temps) et a par la suite beaucoup de synonymes (heure, peu de temps, instant, montre, Jugement dernier, résurrection, etc.).</w:t>
      </w:r>
    </w:p>
    <w:p w14:paraId="1B1E5371" w14:textId="77777777" w:rsidR="00561BDC" w:rsidRPr="00CB7AF4" w:rsidRDefault="00561BDC" w:rsidP="00CB7AF4">
      <w:pPr>
        <w:spacing w:line="360" w:lineRule="auto"/>
        <w:jc w:val="both"/>
        <w:rPr>
          <w:rFonts w:asciiTheme="majorBidi" w:eastAsia="Calibri" w:hAnsiTheme="majorBidi" w:cstheme="majorBidi"/>
          <w:lang w:bidi="ar-AE"/>
        </w:rPr>
      </w:pPr>
    </w:p>
    <w:p w14:paraId="7573CEFE"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Times New Roman" w:hAnsiTheme="majorBidi" w:cstheme="majorBidi"/>
        </w:rPr>
        <w:t>David Bellos</w:t>
      </w:r>
      <w:r w:rsidRPr="00CB7AF4">
        <w:rPr>
          <w:rFonts w:asciiTheme="majorBidi" w:eastAsia="Calibri" w:hAnsiTheme="majorBidi" w:cstheme="majorBidi"/>
          <w:lang w:bidi="ar-AE"/>
        </w:rPr>
        <w:t xml:space="preserve"> souligne la même idée : “À vrai dire, même dans le cas des choses visibles, un mot donné ne nomme pas parmi elles tel ou tel individu en particulier, mais seulement ce qui leur permet à toutes d’être vues comme des exemplaires d’une même idée. « Arbre», par exemple, n’est pas le nom propre de ce chêne-ci ou de ce tremble-là, mais nomme l’idée d’un arbre - une représentation mentale de l’ « </w:t>
      </w:r>
      <w:r w:rsidRPr="00CB7AF4">
        <w:rPr>
          <w:rFonts w:asciiTheme="majorBidi" w:eastAsia="Calibri" w:hAnsiTheme="majorBidi" w:cstheme="majorBidi"/>
          <w:i/>
          <w:iCs/>
          <w:lang w:bidi="ar-AE"/>
        </w:rPr>
        <w:t>arborité</w:t>
      </w:r>
      <w:r w:rsidRPr="00CB7AF4">
        <w:rPr>
          <w:rFonts w:asciiTheme="majorBidi" w:eastAsia="Calibri" w:hAnsiTheme="majorBidi" w:cstheme="majorBidi"/>
          <w:lang w:bidi="ar-AE"/>
        </w:rPr>
        <w:t> » en vertu de laquelle tous les arbres réels peuvent être reconnus comme tels.”</w:t>
      </w:r>
      <w:r w:rsidRPr="00CB7AF4">
        <w:rPr>
          <w:rFonts w:asciiTheme="majorBidi" w:eastAsia="Times New Roman" w:hAnsiTheme="majorBidi" w:cstheme="majorBidi"/>
          <w:vertAlign w:val="superscript"/>
          <w:lang w:bidi="ar-AE"/>
        </w:rPr>
        <w:footnoteReference w:id="80"/>
      </w:r>
    </w:p>
    <w:p w14:paraId="76D8E845"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7A53A4F6" w14:textId="77777777" w:rsidR="00561BDC" w:rsidRPr="00CB7AF4" w:rsidRDefault="004D1F75" w:rsidP="00CB7AF4">
      <w:pPr>
        <w:spacing w:line="360" w:lineRule="auto"/>
        <w:ind w:firstLine="708"/>
        <w:jc w:val="both"/>
        <w:rPr>
          <w:rFonts w:asciiTheme="majorBidi" w:eastAsia="SimSun" w:hAnsiTheme="majorBidi" w:cstheme="majorBidi"/>
          <w:lang w:eastAsia="zh-CN"/>
        </w:rPr>
      </w:pPr>
      <w:r>
        <w:rPr>
          <w:rFonts w:asciiTheme="majorBidi" w:eastAsia="Calibri" w:hAnsiTheme="majorBidi" w:cstheme="majorBidi"/>
          <w:lang w:bidi="ar-AE"/>
        </w:rPr>
        <w:t>Dans un énoncé, plus il y a de</w:t>
      </w:r>
      <w:r w:rsidR="00561BDC" w:rsidRPr="00CB7AF4">
        <w:rPr>
          <w:rFonts w:asciiTheme="majorBidi" w:eastAsia="Calibri" w:hAnsiTheme="majorBidi" w:cstheme="majorBidi"/>
          <w:lang w:bidi="ar-AE"/>
        </w:rPr>
        <w:t xml:space="preserve"> </w:t>
      </w:r>
      <w:r>
        <w:rPr>
          <w:rFonts w:asciiTheme="majorBidi" w:eastAsia="Calibri" w:hAnsiTheme="majorBidi" w:cstheme="majorBidi"/>
          <w:lang w:bidi="ar-AE"/>
        </w:rPr>
        <w:t>noms communs et moins il y a de</w:t>
      </w:r>
      <w:r w:rsidR="00561BDC" w:rsidRPr="00CB7AF4">
        <w:rPr>
          <w:rFonts w:asciiTheme="majorBidi" w:eastAsia="Calibri" w:hAnsiTheme="majorBidi" w:cstheme="majorBidi"/>
          <w:lang w:bidi="ar-AE"/>
        </w:rPr>
        <w:t xml:space="preserve"> déterminants spatiotemporels et descriptifs, plus l’énoncé est polysémique.</w:t>
      </w:r>
      <w:r w:rsidR="00561BDC" w:rsidRPr="00CB7AF4">
        <w:rPr>
          <w:rFonts w:asciiTheme="majorBidi" w:eastAsia="SimSun" w:hAnsiTheme="majorBidi" w:cstheme="majorBidi"/>
          <w:lang w:eastAsia="zh-CN"/>
        </w:rPr>
        <w:t xml:space="preserve"> C’est le cas du texte coranique. </w:t>
      </w:r>
      <w:r w:rsidR="00D71A6A">
        <w:rPr>
          <w:rFonts w:asciiTheme="majorBidi" w:eastAsia="SimSun" w:hAnsiTheme="majorBidi" w:cstheme="majorBidi"/>
          <w:lang w:eastAsia="zh-CN"/>
        </w:rPr>
        <w:t>Ainsi dans la phrase « </w:t>
      </w:r>
      <w:r w:rsidR="00561BDC" w:rsidRPr="00CB7AF4">
        <w:rPr>
          <w:rFonts w:asciiTheme="majorBidi" w:eastAsia="SimSun" w:hAnsiTheme="majorBidi" w:cstheme="majorBidi"/>
          <w:i/>
          <w:iCs/>
          <w:lang w:eastAsia="zh-CN"/>
        </w:rPr>
        <w:t>hādhāni khaṣ</w:t>
      </w:r>
      <w:r>
        <w:rPr>
          <w:rFonts w:asciiTheme="majorBidi" w:eastAsia="SimSun" w:hAnsiTheme="majorBidi" w:cstheme="majorBidi"/>
          <w:i/>
          <w:iCs/>
          <w:lang w:eastAsia="zh-CN"/>
        </w:rPr>
        <w:t xml:space="preserve">māni </w:t>
      </w:r>
      <w:r w:rsidR="00561BDC" w:rsidRPr="00CB7AF4">
        <w:rPr>
          <w:rFonts w:asciiTheme="majorBidi" w:eastAsia="SimSun" w:hAnsiTheme="majorBidi" w:cstheme="majorBidi"/>
          <w:i/>
          <w:iCs/>
          <w:lang w:eastAsia="zh-CN"/>
        </w:rPr>
        <w:t>khtaṣamū fī rabbi</w:t>
      </w:r>
      <w:r>
        <w:rPr>
          <w:rFonts w:asciiTheme="majorBidi" w:eastAsia="SimSun" w:hAnsiTheme="majorBidi" w:cstheme="majorBidi"/>
          <w:i/>
          <w:iCs/>
          <w:lang w:eastAsia="zh-CN"/>
        </w:rPr>
        <w:t>-</w:t>
      </w:r>
      <w:r w:rsidR="00561BDC" w:rsidRPr="00CB7AF4">
        <w:rPr>
          <w:rFonts w:asciiTheme="majorBidi" w:eastAsia="SimSun" w:hAnsiTheme="majorBidi" w:cstheme="majorBidi"/>
          <w:i/>
          <w:iCs/>
          <w:lang w:eastAsia="zh-CN"/>
        </w:rPr>
        <w:t>him</w:t>
      </w:r>
      <w:r w:rsidR="00561BDC" w:rsidRPr="00CB7AF4">
        <w:rPr>
          <w:rFonts w:asciiTheme="majorBidi" w:eastAsia="SimSun" w:hAnsiTheme="majorBidi" w:cstheme="majorBidi"/>
          <w:lang w:eastAsia="zh-CN"/>
        </w:rPr>
        <w:t xml:space="preserve"> (XXII, 19) [Voici deux </w:t>
      </w:r>
      <w:r w:rsidR="00561BDC" w:rsidRPr="00CB7AF4">
        <w:rPr>
          <w:rFonts w:asciiTheme="majorBidi" w:eastAsia="SimSun" w:hAnsiTheme="majorBidi" w:cstheme="majorBidi"/>
          <w:lang w:eastAsia="zh-CN"/>
        </w:rPr>
        <w:lastRenderedPageBreak/>
        <w:t>adversaires qui se que</w:t>
      </w:r>
      <w:r w:rsidR="00D71A6A">
        <w:rPr>
          <w:rFonts w:asciiTheme="majorBidi" w:eastAsia="SimSun" w:hAnsiTheme="majorBidi" w:cstheme="majorBidi"/>
          <w:lang w:eastAsia="zh-CN"/>
        </w:rPr>
        <w:t>rellent au sujet leur Seigneur] », le</w:t>
      </w:r>
      <w:r w:rsidR="00561BDC" w:rsidRPr="00CB7AF4">
        <w:rPr>
          <w:rFonts w:asciiTheme="majorBidi" w:eastAsia="SimSun" w:hAnsiTheme="majorBidi" w:cstheme="majorBidi"/>
          <w:lang w:eastAsia="zh-CN"/>
        </w:rPr>
        <w:t xml:space="preserve"> terme générique </w:t>
      </w:r>
      <w:r w:rsidR="00561BDC" w:rsidRPr="00CB7AF4">
        <w:rPr>
          <w:rFonts w:asciiTheme="majorBidi" w:eastAsia="SimSun" w:hAnsiTheme="majorBidi" w:cstheme="majorBidi"/>
          <w:i/>
          <w:iCs/>
          <w:lang w:eastAsia="zh-CN"/>
        </w:rPr>
        <w:t>khaṣmāni</w:t>
      </w:r>
      <w:r w:rsidR="00561BDC" w:rsidRPr="00CB7AF4">
        <w:rPr>
          <w:rFonts w:asciiTheme="majorBidi" w:eastAsia="SimSun" w:hAnsiTheme="majorBidi" w:cstheme="majorBidi"/>
          <w:lang w:eastAsia="zh-CN"/>
        </w:rPr>
        <w:t xml:space="preserve"> [deux adversaires] peut avoir beaucoup de sens : clans, groupes adverses, croyants et mécréants, musulmans et païens, musulmans et </w:t>
      </w:r>
      <w:r w:rsidR="00561BDC" w:rsidRPr="004D1F75">
        <w:rPr>
          <w:rFonts w:asciiTheme="majorBidi" w:eastAsia="SimSun" w:hAnsiTheme="majorBidi" w:cstheme="majorBidi"/>
          <w:i/>
          <w:lang w:eastAsia="zh-CN"/>
        </w:rPr>
        <w:t>ahl al-kitāb</w:t>
      </w:r>
      <w:r>
        <w:rPr>
          <w:rFonts w:asciiTheme="majorBidi" w:eastAsia="SimSun" w:hAnsiTheme="majorBidi" w:cstheme="majorBidi"/>
          <w:lang w:eastAsia="zh-CN"/>
        </w:rPr>
        <w:t xml:space="preserve"> [gens du</w:t>
      </w:r>
      <w:r w:rsidR="00561BDC" w:rsidRPr="00CB7AF4">
        <w:rPr>
          <w:rFonts w:asciiTheme="majorBidi" w:eastAsia="SimSun" w:hAnsiTheme="majorBidi" w:cstheme="majorBidi"/>
          <w:lang w:eastAsia="zh-CN"/>
        </w:rPr>
        <w:t xml:space="preserve"> Livre], etc.</w:t>
      </w:r>
    </w:p>
    <w:p w14:paraId="75EC61FB" w14:textId="77777777" w:rsidR="00561BDC" w:rsidRPr="00CB7AF4" w:rsidRDefault="00561BDC" w:rsidP="00CB7AF4">
      <w:pPr>
        <w:spacing w:line="360" w:lineRule="auto"/>
        <w:ind w:firstLine="708"/>
        <w:jc w:val="both"/>
        <w:rPr>
          <w:rFonts w:asciiTheme="majorBidi" w:eastAsia="Calibri" w:hAnsiTheme="majorBidi" w:cstheme="majorBidi"/>
        </w:rPr>
      </w:pPr>
    </w:p>
    <w:p w14:paraId="0877DAB0" w14:textId="77777777" w:rsidR="00561BDC" w:rsidRPr="00CB7AF4" w:rsidRDefault="00561BDC" w:rsidP="00CB7AF4">
      <w:pPr>
        <w:spacing w:line="360" w:lineRule="auto"/>
        <w:ind w:firstLine="708"/>
        <w:jc w:val="both"/>
        <w:rPr>
          <w:rFonts w:asciiTheme="majorBidi" w:eastAsia="Calibri" w:hAnsiTheme="majorBidi" w:cstheme="majorBidi"/>
        </w:rPr>
      </w:pPr>
      <w:r w:rsidRPr="00CB7AF4">
        <w:rPr>
          <w:rFonts w:asciiTheme="majorBidi" w:eastAsia="Calibri" w:hAnsiTheme="majorBidi" w:cstheme="majorBidi"/>
        </w:rPr>
        <w:t xml:space="preserve">Ahmed Hasan Ali Al-Gubbanchi souligne que le sens d’un mot (le mot </w:t>
      </w:r>
      <w:r w:rsidRPr="00CB7AF4">
        <w:rPr>
          <w:rFonts w:asciiTheme="majorBidi" w:eastAsia="Calibri" w:hAnsiTheme="majorBidi" w:cstheme="majorBidi"/>
          <w:i/>
          <w:iCs/>
        </w:rPr>
        <w:t>eau</w:t>
      </w:r>
      <w:r w:rsidRPr="00CB7AF4">
        <w:rPr>
          <w:rFonts w:asciiTheme="majorBidi" w:eastAsia="Calibri" w:hAnsiTheme="majorBidi" w:cstheme="majorBidi"/>
        </w:rPr>
        <w:t xml:space="preserve"> par exemple) diffère selon le contexte et que le champ sémantique d’un mot, comme </w:t>
      </w:r>
      <w:r w:rsidRPr="00CB7AF4">
        <w:rPr>
          <w:rFonts w:asciiTheme="majorBidi" w:eastAsia="Calibri" w:hAnsiTheme="majorBidi" w:cstheme="majorBidi"/>
          <w:i/>
          <w:iCs/>
        </w:rPr>
        <w:t>mufsid</w:t>
      </w:r>
      <w:r w:rsidRPr="00CB7AF4">
        <w:rPr>
          <w:rFonts w:asciiTheme="majorBidi" w:eastAsia="Calibri" w:hAnsiTheme="majorBidi" w:cstheme="majorBidi"/>
        </w:rPr>
        <w:t xml:space="preserve"> [corruptif, pervers], est très flou</w:t>
      </w:r>
      <w:r w:rsidRPr="00CB7AF4">
        <w:rPr>
          <w:rFonts w:asciiTheme="majorBidi" w:eastAsia="Times New Roman" w:hAnsiTheme="majorBidi" w:cstheme="majorBidi"/>
          <w:vertAlign w:val="superscript"/>
          <w:lang w:bidi="ar-AE"/>
        </w:rPr>
        <w:footnoteReference w:id="81"/>
      </w:r>
      <w:r w:rsidRPr="00CB7AF4">
        <w:rPr>
          <w:rFonts w:asciiTheme="majorBidi" w:eastAsia="Calibri" w:hAnsiTheme="majorBidi" w:cstheme="majorBidi"/>
        </w:rPr>
        <w:t>. Le mot</w:t>
      </w:r>
      <w:r w:rsidRPr="00CB7AF4">
        <w:rPr>
          <w:rFonts w:asciiTheme="majorBidi" w:eastAsia="Calibri" w:hAnsiTheme="majorBidi" w:cstheme="majorBidi"/>
          <w:i/>
          <w:iCs/>
        </w:rPr>
        <w:t xml:space="preserve"> mufsid</w:t>
      </w:r>
      <w:r w:rsidRPr="00CB7AF4">
        <w:rPr>
          <w:rFonts w:asciiTheme="majorBidi" w:eastAsia="Calibri" w:hAnsiTheme="majorBidi" w:cstheme="majorBidi"/>
        </w:rPr>
        <w:t xml:space="preserve"> peut signifier celui/celle qui n’accomplit pas la prière, celui/celle qui </w:t>
      </w:r>
      <w:r w:rsidR="004D1F75">
        <w:rPr>
          <w:rFonts w:asciiTheme="majorBidi" w:eastAsia="Calibri" w:hAnsiTheme="majorBidi" w:cstheme="majorBidi"/>
        </w:rPr>
        <w:t>a</w:t>
      </w:r>
      <w:r w:rsidRPr="00CB7AF4">
        <w:rPr>
          <w:rFonts w:asciiTheme="majorBidi" w:eastAsia="Calibri" w:hAnsiTheme="majorBidi" w:cstheme="majorBidi"/>
        </w:rPr>
        <w:t xml:space="preserve"> une relation amoureuse hors mariage, celui/celle qui ne respecte la loi musulmane ou la tradition, celui/celle qui commet un meurtre ou un génocide, etc. Le Coran fourmille de mots pareils, ce qui donne lieu à la polysémie que les autorités religieuses et politiques essayent de limiter en fonction de leurs intérêts. Le Coran n’est pas un signal routier conventionnel monosémique. Il est plus que </w:t>
      </w:r>
      <w:r w:rsidR="00C92E72">
        <w:rPr>
          <w:rFonts w:asciiTheme="majorBidi" w:eastAsia="Calibri" w:hAnsiTheme="majorBidi" w:cstheme="majorBidi"/>
        </w:rPr>
        <w:t>polysémique, il est dispersif, "disséminatif"</w:t>
      </w:r>
      <w:r w:rsidRPr="00CB7AF4">
        <w:rPr>
          <w:rFonts w:asciiTheme="majorBidi" w:eastAsia="Calibri" w:hAnsiTheme="majorBidi" w:cstheme="majorBidi"/>
        </w:rPr>
        <w:t>.</w:t>
      </w:r>
    </w:p>
    <w:p w14:paraId="790D5931" w14:textId="77777777" w:rsidR="00561BDC" w:rsidRPr="00CB7AF4" w:rsidRDefault="00561BDC" w:rsidP="00CB7AF4">
      <w:pPr>
        <w:spacing w:line="360" w:lineRule="auto"/>
        <w:ind w:firstLine="708"/>
        <w:jc w:val="both"/>
        <w:rPr>
          <w:rFonts w:asciiTheme="majorBidi" w:eastAsia="Calibri" w:hAnsiTheme="majorBidi" w:cstheme="majorBidi"/>
        </w:rPr>
      </w:pPr>
    </w:p>
    <w:p w14:paraId="1023A30A" w14:textId="77777777" w:rsidR="00F80A65" w:rsidRPr="009035A3" w:rsidRDefault="00561BDC" w:rsidP="00DE019F">
      <w:pPr>
        <w:spacing w:line="360" w:lineRule="auto"/>
        <w:ind w:firstLine="708"/>
        <w:jc w:val="both"/>
        <w:rPr>
          <w:rFonts w:asciiTheme="majorBidi" w:eastAsia="Times New Roman" w:hAnsiTheme="majorBidi" w:cstheme="majorBidi"/>
          <w:lang w:bidi="ar-EG"/>
        </w:rPr>
      </w:pPr>
      <w:r w:rsidRPr="009035A3">
        <w:rPr>
          <w:rFonts w:asciiTheme="majorBidi" w:eastAsia="Calibri" w:hAnsiTheme="majorBidi" w:cstheme="majorBidi"/>
        </w:rPr>
        <w:t xml:space="preserve">Le sens de ces mots génériques, dont le Coran regorge et que les exégètes n’expliquent pas souvent, semble comme évident, alors qu’il est très large, équivoque et donne lieu à d’innombrables interprétations. Prenons comme exemple le verbe </w:t>
      </w:r>
      <w:r w:rsidRPr="009035A3">
        <w:rPr>
          <w:rFonts w:asciiTheme="majorBidi" w:eastAsia="Calibri" w:hAnsiTheme="majorBidi" w:cstheme="majorBidi"/>
          <w:i/>
          <w:iCs/>
        </w:rPr>
        <w:t>ittaqū</w:t>
      </w:r>
      <w:r w:rsidRPr="009035A3">
        <w:rPr>
          <w:rFonts w:asciiTheme="majorBidi" w:eastAsia="Calibri" w:hAnsiTheme="majorBidi" w:cstheme="majorBidi"/>
        </w:rPr>
        <w:t xml:space="preserve"> (verset 1</w:t>
      </w:r>
      <w:r w:rsidRPr="009035A3">
        <w:rPr>
          <w:rFonts w:asciiTheme="majorBidi" w:eastAsia="Calibri" w:hAnsiTheme="majorBidi" w:cstheme="majorBidi"/>
          <w:vertAlign w:val="superscript"/>
        </w:rPr>
        <w:t>er</w:t>
      </w:r>
      <w:r w:rsidRPr="009035A3">
        <w:rPr>
          <w:rFonts w:asciiTheme="majorBidi" w:eastAsia="Calibri" w:hAnsiTheme="majorBidi" w:cstheme="majorBidi"/>
        </w:rPr>
        <w:t xml:space="preserve"> de la sourate </w:t>
      </w:r>
      <w:r w:rsidRPr="009035A3">
        <w:rPr>
          <w:rFonts w:asciiTheme="majorBidi" w:eastAsia="Calibri" w:hAnsiTheme="majorBidi" w:cstheme="majorBidi"/>
          <w:i/>
          <w:iCs/>
        </w:rPr>
        <w:t>Al-Ḥajj</w:t>
      </w:r>
      <w:r w:rsidR="00297CA8" w:rsidRPr="009035A3">
        <w:rPr>
          <w:rFonts w:asciiTheme="majorBidi" w:eastAsia="Calibri" w:hAnsiTheme="majorBidi" w:cstheme="majorBidi"/>
        </w:rPr>
        <w:t xml:space="preserve">) </w:t>
      </w:r>
      <w:r w:rsidR="006E7AF7" w:rsidRPr="009035A3">
        <w:rPr>
          <w:rFonts w:asciiTheme="majorBidi" w:eastAsia="Calibri" w:hAnsiTheme="majorBidi" w:cstheme="majorBidi"/>
        </w:rPr>
        <w:t>qui signifie</w:t>
      </w:r>
      <w:r w:rsidR="00297CA8" w:rsidRPr="009035A3">
        <w:rPr>
          <w:rFonts w:asciiTheme="majorBidi" w:eastAsia="Calibri" w:hAnsiTheme="majorBidi" w:cstheme="majorBidi"/>
        </w:rPr>
        <w:t xml:space="preserve"> : </w:t>
      </w:r>
      <w:r w:rsidRPr="009035A3">
        <w:rPr>
          <w:rFonts w:asciiTheme="majorBidi" w:eastAsia="Calibri" w:hAnsiTheme="majorBidi" w:cstheme="majorBidi"/>
        </w:rPr>
        <w:t>prémunissez-vous, craignez</w:t>
      </w:r>
      <w:r w:rsidR="00297CA8" w:rsidRPr="009035A3">
        <w:rPr>
          <w:rFonts w:asciiTheme="majorBidi" w:eastAsia="Calibri" w:hAnsiTheme="majorBidi" w:cstheme="majorBidi"/>
        </w:rPr>
        <w:t xml:space="preserve"> votre Seigneur</w:t>
      </w:r>
      <w:r w:rsidRPr="009035A3">
        <w:rPr>
          <w:rFonts w:asciiTheme="majorBidi" w:eastAsia="Calibri" w:hAnsiTheme="majorBidi" w:cstheme="majorBidi"/>
        </w:rPr>
        <w:t>,</w:t>
      </w:r>
      <w:r w:rsidR="00297CA8" w:rsidRPr="009035A3">
        <w:rPr>
          <w:rFonts w:asciiTheme="majorBidi" w:hAnsiTheme="majorBidi" w:cstheme="majorBidi"/>
          <w:lang w:bidi="ar-EG"/>
        </w:rPr>
        <w:t xml:space="preserve"> </w:t>
      </w:r>
      <w:r w:rsidR="00F43FB9" w:rsidRPr="009035A3">
        <w:rPr>
          <w:rFonts w:asciiTheme="majorBidi" w:eastAsia="Times New Roman" w:hAnsiTheme="majorBidi" w:cstheme="majorBidi"/>
          <w:lang w:bidi="ar-EG"/>
        </w:rPr>
        <w:t>méfiez-vous de</w:t>
      </w:r>
      <w:r w:rsidR="00297CA8" w:rsidRPr="009035A3">
        <w:rPr>
          <w:rFonts w:asciiTheme="majorBidi" w:eastAsia="Times New Roman" w:hAnsiTheme="majorBidi" w:cstheme="majorBidi"/>
          <w:lang w:bidi="ar-EG"/>
        </w:rPr>
        <w:t xml:space="preserve"> la punition de votre Seigneur, </w:t>
      </w:r>
      <w:r w:rsidR="00297CA8" w:rsidRPr="009035A3">
        <w:rPr>
          <w:rFonts w:asciiTheme="majorBidi" w:hAnsiTheme="majorBidi" w:cstheme="majorBidi"/>
          <w:lang w:bidi="ar-EG"/>
        </w:rPr>
        <w:t xml:space="preserve">obéissez à Dieu, etc. </w:t>
      </w:r>
      <w:r w:rsidR="006E7AF7" w:rsidRPr="009035A3">
        <w:rPr>
          <w:rFonts w:asciiTheme="majorBidi" w:eastAsia="Times New Roman" w:hAnsiTheme="majorBidi" w:cstheme="majorBidi"/>
          <w:lang w:bidi="ar-EG"/>
        </w:rPr>
        <w:t xml:space="preserve">Ce verbe </w:t>
      </w:r>
      <w:r w:rsidR="00F80A65" w:rsidRPr="009035A3">
        <w:rPr>
          <w:rFonts w:asciiTheme="majorBidi" w:hAnsiTheme="majorBidi" w:cstheme="majorBidi"/>
          <w:lang w:bidi="ar-EG"/>
        </w:rPr>
        <w:t xml:space="preserve">peut </w:t>
      </w:r>
      <w:r w:rsidR="006E7AF7" w:rsidRPr="009035A3">
        <w:rPr>
          <w:rFonts w:asciiTheme="majorBidi" w:hAnsiTheme="majorBidi" w:cstheme="majorBidi"/>
          <w:lang w:bidi="ar-EG"/>
        </w:rPr>
        <w:t>signifier chez les sunnites : « ne croyez pas à la Trinité » ; « </w:t>
      </w:r>
      <w:r w:rsidR="00F80A65" w:rsidRPr="009035A3">
        <w:rPr>
          <w:rFonts w:asciiTheme="majorBidi" w:hAnsiTheme="majorBidi" w:cstheme="majorBidi"/>
          <w:lang w:bidi="ar-EG"/>
        </w:rPr>
        <w:t>ne buvez pas d’alcool</w:t>
      </w:r>
      <w:r w:rsidR="006E7AF7" w:rsidRPr="009035A3">
        <w:rPr>
          <w:rFonts w:asciiTheme="majorBidi" w:hAnsiTheme="majorBidi" w:cstheme="majorBidi"/>
          <w:lang w:bidi="ar-EG"/>
        </w:rPr>
        <w:t> »</w:t>
      </w:r>
      <w:r w:rsidR="00F80A65" w:rsidRPr="009035A3">
        <w:rPr>
          <w:rFonts w:asciiTheme="majorBidi" w:hAnsiTheme="majorBidi" w:cstheme="majorBidi"/>
          <w:lang w:bidi="ar-EG"/>
        </w:rPr>
        <w:t xml:space="preserve"> ; etc. </w:t>
      </w:r>
      <w:r w:rsidR="006E7AF7" w:rsidRPr="009035A3">
        <w:rPr>
          <w:rFonts w:asciiTheme="majorBidi" w:hAnsiTheme="majorBidi" w:cstheme="majorBidi"/>
          <w:lang w:bidi="ar-EG"/>
        </w:rPr>
        <w:t>Mais il</w:t>
      </w:r>
      <w:r w:rsidR="00F80A65" w:rsidRPr="009035A3">
        <w:rPr>
          <w:rFonts w:asciiTheme="majorBidi" w:hAnsiTheme="majorBidi" w:cstheme="majorBidi"/>
          <w:lang w:bidi="ar-EG"/>
        </w:rPr>
        <w:t xml:space="preserve"> peut signifier </w:t>
      </w:r>
      <w:r w:rsidR="006E7AF7" w:rsidRPr="009035A3">
        <w:rPr>
          <w:rFonts w:asciiTheme="majorBidi" w:hAnsiTheme="majorBidi" w:cstheme="majorBidi"/>
          <w:lang w:bidi="ar-EG"/>
        </w:rPr>
        <w:t xml:space="preserve">le contraire </w:t>
      </w:r>
      <w:r w:rsidR="00F80A65" w:rsidRPr="009035A3">
        <w:rPr>
          <w:rFonts w:asciiTheme="majorBidi" w:hAnsiTheme="majorBidi" w:cstheme="majorBidi"/>
          <w:lang w:bidi="ar-EG"/>
        </w:rPr>
        <w:t>chez les courants ésotériq</w:t>
      </w:r>
      <w:r w:rsidR="006E7AF7" w:rsidRPr="009035A3">
        <w:rPr>
          <w:rFonts w:asciiTheme="majorBidi" w:hAnsiTheme="majorBidi" w:cstheme="majorBidi"/>
          <w:lang w:bidi="ar-EG"/>
        </w:rPr>
        <w:t>ues (</w:t>
      </w:r>
      <w:r w:rsidR="00DE019F" w:rsidRPr="009035A3">
        <w:rPr>
          <w:rFonts w:asciiTheme="majorBidi" w:hAnsiTheme="majorBidi" w:cstheme="majorBidi"/>
          <w:lang w:bidi="ar-EG"/>
        </w:rPr>
        <w:t>comme</w:t>
      </w:r>
      <w:r w:rsidR="006E7AF7" w:rsidRPr="009035A3">
        <w:rPr>
          <w:rFonts w:asciiTheme="majorBidi" w:hAnsiTheme="majorBidi" w:cstheme="majorBidi"/>
          <w:lang w:bidi="ar-EG"/>
        </w:rPr>
        <w:t xml:space="preserve"> les </w:t>
      </w:r>
      <w:r w:rsidR="00F80A65" w:rsidRPr="009035A3">
        <w:rPr>
          <w:rFonts w:asciiTheme="majorBidi" w:hAnsiTheme="majorBidi" w:cstheme="majorBidi"/>
          <w:lang w:bidi="ar-EG"/>
        </w:rPr>
        <w:t>nus</w:t>
      </w:r>
      <w:r w:rsidR="006E7AF7" w:rsidRPr="009035A3">
        <w:rPr>
          <w:rFonts w:asciiTheme="majorBidi" w:hAnsiTheme="majorBidi" w:cstheme="majorBidi"/>
          <w:lang w:bidi="ar-EG"/>
        </w:rPr>
        <w:t>ayrites) : « </w:t>
      </w:r>
      <w:r w:rsidR="00F80A65" w:rsidRPr="009035A3">
        <w:rPr>
          <w:rFonts w:asciiTheme="majorBidi" w:hAnsiTheme="majorBidi" w:cstheme="majorBidi"/>
          <w:lang w:bidi="ar-EG"/>
        </w:rPr>
        <w:t>communiez entre vous avec du vin</w:t>
      </w:r>
      <w:r w:rsidR="006E7AF7" w:rsidRPr="009035A3">
        <w:rPr>
          <w:rFonts w:asciiTheme="majorBidi" w:hAnsiTheme="majorBidi" w:cstheme="majorBidi"/>
          <w:lang w:bidi="ar-EG"/>
        </w:rPr>
        <w:t> » ; « </w:t>
      </w:r>
      <w:r w:rsidR="00DE019F" w:rsidRPr="009035A3">
        <w:rPr>
          <w:rFonts w:asciiTheme="majorBidi" w:hAnsiTheme="majorBidi" w:cstheme="majorBidi"/>
          <w:lang w:bidi="ar-EG"/>
        </w:rPr>
        <w:t xml:space="preserve">croyez </w:t>
      </w:r>
      <w:r w:rsidR="006E7AF7" w:rsidRPr="009035A3">
        <w:rPr>
          <w:rFonts w:asciiTheme="majorBidi" w:hAnsiTheme="majorBidi" w:cstheme="majorBidi"/>
          <w:lang w:bidi="ar-EG"/>
        </w:rPr>
        <w:t>en</w:t>
      </w:r>
      <w:r w:rsidR="00F80A65" w:rsidRPr="009035A3">
        <w:rPr>
          <w:rFonts w:asciiTheme="majorBidi" w:hAnsiTheme="majorBidi" w:cstheme="majorBidi"/>
          <w:lang w:bidi="ar-EG"/>
        </w:rPr>
        <w:t xml:space="preserve"> la réincarnation</w:t>
      </w:r>
      <w:r w:rsidR="006E7AF7" w:rsidRPr="009035A3">
        <w:rPr>
          <w:rFonts w:asciiTheme="majorBidi" w:hAnsiTheme="majorBidi" w:cstheme="majorBidi"/>
          <w:lang w:bidi="ar-EG"/>
        </w:rPr>
        <w:t> »</w:t>
      </w:r>
      <w:r w:rsidR="00F80A65" w:rsidRPr="009035A3">
        <w:rPr>
          <w:rFonts w:asciiTheme="majorBidi" w:hAnsiTheme="majorBidi" w:cstheme="majorBidi"/>
          <w:lang w:bidi="ar-EG"/>
        </w:rPr>
        <w:t> ;</w:t>
      </w:r>
      <w:r w:rsidR="006E7AF7" w:rsidRPr="009035A3">
        <w:rPr>
          <w:rFonts w:asciiTheme="majorBidi" w:hAnsiTheme="majorBidi" w:cstheme="majorBidi"/>
          <w:lang w:bidi="ar-EG"/>
        </w:rPr>
        <w:t xml:space="preserve"> « </w:t>
      </w:r>
      <w:r w:rsidR="00F80A65" w:rsidRPr="009035A3">
        <w:rPr>
          <w:rFonts w:asciiTheme="majorBidi" w:hAnsiTheme="majorBidi" w:cstheme="majorBidi"/>
          <w:lang w:bidi="ar-EG"/>
        </w:rPr>
        <w:t>gardez les secrets de la confrérie</w:t>
      </w:r>
      <w:r w:rsidR="006E7AF7" w:rsidRPr="009035A3">
        <w:rPr>
          <w:rFonts w:asciiTheme="majorBidi" w:hAnsiTheme="majorBidi" w:cstheme="majorBidi"/>
          <w:lang w:bidi="ar-EG"/>
        </w:rPr>
        <w:t> »</w:t>
      </w:r>
      <w:r w:rsidR="00F80A65" w:rsidRPr="009035A3">
        <w:rPr>
          <w:rFonts w:asciiTheme="majorBidi" w:hAnsiTheme="majorBidi" w:cstheme="majorBidi"/>
          <w:lang w:bidi="ar-EG"/>
        </w:rPr>
        <w:t> ; etc.</w:t>
      </w:r>
    </w:p>
    <w:p w14:paraId="42328263" w14:textId="77777777" w:rsidR="00561BDC" w:rsidRPr="009035A3" w:rsidRDefault="00561BDC" w:rsidP="00CB7AF4">
      <w:pPr>
        <w:spacing w:line="360" w:lineRule="auto"/>
        <w:jc w:val="both"/>
        <w:rPr>
          <w:rFonts w:asciiTheme="majorBidi" w:eastAsia="Calibri" w:hAnsiTheme="majorBidi" w:cstheme="majorBidi"/>
        </w:rPr>
      </w:pPr>
    </w:p>
    <w:p w14:paraId="26C0DBF2" w14:textId="77777777" w:rsidR="00561BDC" w:rsidRPr="00CB7AF4" w:rsidRDefault="00561BDC" w:rsidP="00CB7AF4">
      <w:pPr>
        <w:spacing w:line="360" w:lineRule="auto"/>
        <w:ind w:firstLine="708"/>
        <w:jc w:val="both"/>
        <w:rPr>
          <w:rFonts w:asciiTheme="majorBidi" w:eastAsia="Times New Roman" w:hAnsiTheme="majorBidi" w:cstheme="majorBidi"/>
          <w:color w:val="FF0000"/>
        </w:rPr>
      </w:pPr>
      <w:r w:rsidRPr="00CB7AF4">
        <w:rPr>
          <w:rFonts w:asciiTheme="majorBidi" w:eastAsia="Times New Roman" w:hAnsiTheme="majorBidi" w:cstheme="majorBidi"/>
        </w:rPr>
        <w:t>Ce qui joue un rôle essentiel sur la polysémie c’est l’antanaclase [la diaphore], qui est « </w:t>
      </w:r>
      <w:r w:rsidRPr="00CB7AF4">
        <w:rPr>
          <w:rFonts w:asciiTheme="majorBidi" w:eastAsia="Times New Roman" w:hAnsiTheme="majorBidi" w:cstheme="majorBidi"/>
          <w:i/>
          <w:iCs/>
        </w:rPr>
        <w:t>la répétition d’un mot auquel on donne chaque fois une signification différente </w:t>
      </w:r>
      <w:r w:rsidRPr="00CB7AF4">
        <w:rPr>
          <w:rFonts w:asciiTheme="majorBidi" w:eastAsia="Times New Roman" w:hAnsiTheme="majorBidi" w:cstheme="majorBidi"/>
        </w:rPr>
        <w:t>».</w:t>
      </w:r>
      <w:r w:rsidRPr="00CB7AF4">
        <w:rPr>
          <w:rFonts w:asciiTheme="majorBidi" w:eastAsia="Times New Roman" w:hAnsiTheme="majorBidi" w:cstheme="majorBidi"/>
          <w:vertAlign w:val="superscript"/>
        </w:rPr>
        <w:footnoteReference w:id="82"/>
      </w:r>
      <w:r w:rsidRPr="00CB7AF4">
        <w:rPr>
          <w:rFonts w:asciiTheme="majorBidi" w:eastAsia="Times New Roman" w:hAnsiTheme="majorBidi" w:cstheme="majorBidi"/>
        </w:rPr>
        <w:t xml:space="preserve"> Ce procédé qui consiste en la « </w:t>
      </w:r>
      <w:r w:rsidRPr="00CB7AF4">
        <w:rPr>
          <w:rFonts w:asciiTheme="majorBidi" w:eastAsia="Times New Roman" w:hAnsiTheme="majorBidi" w:cstheme="majorBidi"/>
          <w:i/>
          <w:iCs/>
        </w:rPr>
        <w:t>reprise d’un même mot, mais avec un sens différent</w:t>
      </w:r>
      <w:r w:rsidRPr="00CB7AF4">
        <w:rPr>
          <w:rFonts w:asciiTheme="majorBidi" w:eastAsia="Times New Roman" w:hAnsiTheme="majorBidi" w:cstheme="majorBidi"/>
        </w:rPr>
        <w:t> »</w:t>
      </w:r>
      <w:r w:rsidRPr="00CB7AF4">
        <w:rPr>
          <w:rFonts w:asciiTheme="majorBidi" w:eastAsia="Times New Roman" w:hAnsiTheme="majorBidi" w:cstheme="majorBidi"/>
          <w:vertAlign w:val="superscript"/>
        </w:rPr>
        <w:footnoteReference w:id="83"/>
      </w:r>
      <w:r w:rsidRPr="00CB7AF4">
        <w:rPr>
          <w:rFonts w:asciiTheme="majorBidi" w:eastAsia="Times New Roman" w:hAnsiTheme="majorBidi" w:cstheme="majorBidi"/>
        </w:rPr>
        <w:t xml:space="preserve"> joue essentiellement, d’après Brigitte Buffart-Moret, sur la polysémie des termes, la polysémie étant, pour un terme </w:t>
      </w:r>
      <w:r w:rsidRPr="00CB7AF4">
        <w:rPr>
          <w:rFonts w:asciiTheme="majorBidi" w:eastAsia="Times New Roman" w:hAnsiTheme="majorBidi" w:cstheme="majorBidi"/>
        </w:rPr>
        <w:lastRenderedPageBreak/>
        <w:t>donné, « </w:t>
      </w:r>
      <w:r w:rsidRPr="00CB7AF4">
        <w:rPr>
          <w:rFonts w:asciiTheme="majorBidi" w:eastAsia="Times New Roman" w:hAnsiTheme="majorBidi" w:cstheme="majorBidi"/>
          <w:i/>
          <w:iCs/>
        </w:rPr>
        <w:t>la coexistence de plusieurs sens dérivant clairement l’un de l’autre.</w:t>
      </w:r>
      <w:r w:rsidRPr="00CB7AF4">
        <w:rPr>
          <w:rFonts w:asciiTheme="majorBidi" w:eastAsia="Times New Roman" w:hAnsiTheme="majorBidi" w:cstheme="majorBidi"/>
        </w:rPr>
        <w:t> »</w:t>
      </w:r>
      <w:r w:rsidRPr="00CB7AF4">
        <w:rPr>
          <w:rFonts w:asciiTheme="majorBidi" w:eastAsia="Times New Roman" w:hAnsiTheme="majorBidi" w:cstheme="majorBidi"/>
          <w:vertAlign w:val="superscript"/>
        </w:rPr>
        <w:t xml:space="preserve"> </w:t>
      </w:r>
      <w:r w:rsidRPr="00CB7AF4">
        <w:rPr>
          <w:rFonts w:asciiTheme="majorBidi" w:eastAsia="Times New Roman" w:hAnsiTheme="majorBidi" w:cstheme="majorBidi"/>
          <w:vertAlign w:val="superscript"/>
        </w:rPr>
        <w:footnoteReference w:id="84"/>
      </w:r>
      <w:r w:rsidRPr="00CB7AF4">
        <w:rPr>
          <w:rFonts w:asciiTheme="majorBidi" w:eastAsia="Times New Roman" w:hAnsiTheme="majorBidi" w:cstheme="majorBidi"/>
        </w:rPr>
        <w:t xml:space="preserve"> Dans ce type de répétition, il ne s’agit plus d’un seul signifié (</w:t>
      </w:r>
      <w:r w:rsidRPr="00CB7AF4">
        <w:rPr>
          <w:rFonts w:asciiTheme="majorBidi" w:eastAsia="Times New Roman" w:hAnsiTheme="majorBidi" w:cstheme="majorBidi"/>
          <w:i/>
          <w:iCs/>
        </w:rPr>
        <w:t>“Sé”</w:t>
      </w:r>
      <w:r w:rsidRPr="00CB7AF4">
        <w:rPr>
          <w:rFonts w:asciiTheme="majorBidi" w:eastAsia="Times New Roman" w:hAnsiTheme="majorBidi" w:cstheme="majorBidi"/>
        </w:rPr>
        <w:t xml:space="preserve">) repris par un nombre indéfini de signifiants (x </w:t>
      </w:r>
      <w:r w:rsidRPr="00CB7AF4">
        <w:rPr>
          <w:rFonts w:asciiTheme="majorBidi" w:eastAsia="Times New Roman" w:hAnsiTheme="majorBidi" w:cstheme="majorBidi"/>
          <w:i/>
          <w:iCs/>
        </w:rPr>
        <w:t>“Sa”</w:t>
      </w:r>
      <w:r w:rsidRPr="00CB7AF4">
        <w:rPr>
          <w:rFonts w:asciiTheme="majorBidi" w:eastAsia="Times New Roman" w:hAnsiTheme="majorBidi" w:cstheme="majorBidi"/>
        </w:rPr>
        <w:t>), mais plutôt du contraire. De ce point de vue, Georges Molinié explique qu’avec l’antanaclase, forme de « </w:t>
      </w:r>
      <w:r w:rsidRPr="00CB7AF4">
        <w:rPr>
          <w:rFonts w:asciiTheme="majorBidi" w:eastAsia="Times New Roman" w:hAnsiTheme="majorBidi" w:cstheme="majorBidi"/>
          <w:i/>
          <w:iCs/>
        </w:rPr>
        <w:t>répétition à double détente</w:t>
      </w:r>
      <w:r w:rsidRPr="00CB7AF4">
        <w:rPr>
          <w:rFonts w:asciiTheme="majorBidi" w:eastAsia="Times New Roman" w:hAnsiTheme="majorBidi" w:cstheme="majorBidi"/>
        </w:rPr>
        <w:t> »</w:t>
      </w:r>
      <w:r w:rsidRPr="00CB7AF4">
        <w:rPr>
          <w:rFonts w:asciiTheme="majorBidi" w:eastAsia="Times New Roman" w:hAnsiTheme="majorBidi" w:cstheme="majorBidi"/>
          <w:vertAlign w:val="superscript"/>
        </w:rPr>
        <w:footnoteReference w:id="85"/>
      </w:r>
      <w:r w:rsidRPr="00CB7AF4">
        <w:rPr>
          <w:rFonts w:asciiTheme="majorBidi" w:eastAsia="Times New Roman" w:hAnsiTheme="majorBidi" w:cstheme="majorBidi"/>
        </w:rPr>
        <w:t xml:space="preserve">, le « ” Sa” </w:t>
      </w:r>
      <w:r w:rsidRPr="00CB7AF4">
        <w:rPr>
          <w:rFonts w:asciiTheme="majorBidi" w:eastAsia="Times New Roman" w:hAnsiTheme="majorBidi" w:cstheme="majorBidi"/>
          <w:i/>
          <w:iCs/>
        </w:rPr>
        <w:t xml:space="preserve">apparaît sous la forme “Sa” + “ Sa” </w:t>
      </w:r>
      <w:r w:rsidRPr="00CB7AF4">
        <w:rPr>
          <w:rFonts w:asciiTheme="majorBidi" w:eastAsia="Times New Roman" w:hAnsiTheme="majorBidi" w:cstheme="majorBidi"/>
        </w:rPr>
        <w:t>»,</w:t>
      </w:r>
      <w:r w:rsidRPr="00CB7AF4">
        <w:rPr>
          <w:rFonts w:asciiTheme="majorBidi" w:eastAsia="Times New Roman" w:hAnsiTheme="majorBidi" w:cstheme="majorBidi"/>
          <w:vertAlign w:val="superscript"/>
        </w:rPr>
        <w:footnoteReference w:id="86"/>
      </w:r>
      <w:r w:rsidRPr="00CB7AF4">
        <w:rPr>
          <w:rFonts w:asciiTheme="majorBidi" w:eastAsia="Times New Roman" w:hAnsiTheme="majorBidi" w:cstheme="majorBidi"/>
        </w:rPr>
        <w:t xml:space="preserve"> le premier </w:t>
      </w:r>
      <w:r w:rsidRPr="00CB7AF4">
        <w:rPr>
          <w:rFonts w:asciiTheme="majorBidi" w:eastAsia="Times New Roman" w:hAnsiTheme="majorBidi" w:cstheme="majorBidi"/>
          <w:i/>
          <w:iCs/>
        </w:rPr>
        <w:t xml:space="preserve">“ Sa” </w:t>
      </w:r>
      <w:r w:rsidRPr="00CB7AF4">
        <w:rPr>
          <w:rFonts w:asciiTheme="majorBidi" w:eastAsia="Times New Roman" w:hAnsiTheme="majorBidi" w:cstheme="majorBidi"/>
        </w:rPr>
        <w:t>ayant un sens différent du second.</w:t>
      </w:r>
    </w:p>
    <w:p w14:paraId="4FC28D6F"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75B8AFD7"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Ce procédé qu’Henri Suhamy qualifie de « </w:t>
      </w:r>
      <w:r w:rsidRPr="00CB7AF4">
        <w:rPr>
          <w:rFonts w:asciiTheme="majorBidi" w:eastAsia="Times New Roman" w:hAnsiTheme="majorBidi" w:cstheme="majorBidi"/>
          <w:i/>
          <w:iCs/>
        </w:rPr>
        <w:t>plus intellectuel que rythmique</w:t>
      </w:r>
      <w:r w:rsidRPr="00CB7AF4">
        <w:rPr>
          <w:rFonts w:asciiTheme="majorBidi" w:eastAsia="Times New Roman" w:hAnsiTheme="majorBidi" w:cstheme="majorBidi"/>
        </w:rPr>
        <w:t> »</w:t>
      </w:r>
      <w:r w:rsidRPr="00CB7AF4">
        <w:rPr>
          <w:rFonts w:asciiTheme="majorBidi" w:eastAsia="Times New Roman" w:hAnsiTheme="majorBidi" w:cstheme="majorBidi"/>
          <w:vertAlign w:val="superscript"/>
        </w:rPr>
        <w:footnoteReference w:id="87"/>
      </w:r>
      <w:r w:rsidRPr="00CB7AF4">
        <w:rPr>
          <w:rFonts w:asciiTheme="majorBidi" w:eastAsia="Times New Roman" w:hAnsiTheme="majorBidi" w:cstheme="majorBidi"/>
        </w:rPr>
        <w:t xml:space="preserve"> est assez récurrent dans le texte coranique en général et dans la sourate </w:t>
      </w:r>
      <w:r w:rsidRPr="00CB7AF4">
        <w:rPr>
          <w:rFonts w:asciiTheme="majorBidi" w:eastAsia="Calibri" w:hAnsiTheme="majorBidi" w:cstheme="majorBidi"/>
          <w:i/>
          <w:iCs/>
          <w:lang w:bidi="ar-AE"/>
        </w:rPr>
        <w:t>Al-Ḥajj</w:t>
      </w:r>
      <w:r w:rsidRPr="00CB7AF4">
        <w:rPr>
          <w:rFonts w:asciiTheme="majorBidi" w:eastAsia="Calibri" w:hAnsiTheme="majorBidi" w:cstheme="majorBidi"/>
          <w:lang w:bidi="ar-AE"/>
        </w:rPr>
        <w:t xml:space="preserve"> </w:t>
      </w:r>
      <w:r w:rsidRPr="00CB7AF4">
        <w:rPr>
          <w:rFonts w:asciiTheme="majorBidi" w:eastAsia="Times New Roman" w:hAnsiTheme="majorBidi" w:cstheme="majorBidi"/>
        </w:rPr>
        <w:t>en particulier, entre autres sourates.</w:t>
      </w:r>
    </w:p>
    <w:p w14:paraId="493EC71D" w14:textId="77777777" w:rsidR="00561BDC" w:rsidRPr="00CB7AF4" w:rsidRDefault="00561BDC" w:rsidP="00CB7AF4">
      <w:pPr>
        <w:spacing w:line="360" w:lineRule="auto"/>
        <w:jc w:val="both"/>
        <w:rPr>
          <w:rFonts w:asciiTheme="majorBidi" w:eastAsia="Times New Roman" w:hAnsiTheme="majorBidi" w:cstheme="majorBidi"/>
        </w:rPr>
      </w:pPr>
    </w:p>
    <w:p w14:paraId="08696EB1"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Times New Roman" w:hAnsiTheme="majorBidi" w:cstheme="majorBidi"/>
        </w:rPr>
        <w:t xml:space="preserve">Voici les mots répétés dans la sourate </w:t>
      </w:r>
      <w:r w:rsidRPr="00CB7AF4">
        <w:rPr>
          <w:rFonts w:asciiTheme="majorBidi" w:eastAsia="Calibri" w:hAnsiTheme="majorBidi" w:cstheme="majorBidi"/>
          <w:i/>
          <w:iCs/>
          <w:lang w:bidi="ar-AE"/>
        </w:rPr>
        <w:t>Al-Ḥajj</w:t>
      </w:r>
      <w:r w:rsidRPr="00CB7AF4">
        <w:rPr>
          <w:rFonts w:asciiTheme="majorBidi" w:eastAsia="Calibri" w:hAnsiTheme="majorBidi" w:cstheme="majorBidi"/>
          <w:lang w:bidi="ar-AE"/>
        </w:rPr>
        <w:t> :</w:t>
      </w:r>
    </w:p>
    <w:p w14:paraId="4FC836E5" w14:textId="77777777" w:rsidR="00561BDC" w:rsidRPr="00F73807" w:rsidRDefault="00561BDC" w:rsidP="00CB7AF4">
      <w:pPr>
        <w:spacing w:line="360" w:lineRule="auto"/>
        <w:jc w:val="both"/>
        <w:rPr>
          <w:rFonts w:asciiTheme="majorBidi" w:eastAsia="Times New Roman" w:hAnsiTheme="majorBidi" w:cstheme="majorBidi"/>
        </w:rPr>
      </w:pPr>
      <w:r w:rsidRPr="00F73807">
        <w:rPr>
          <w:rFonts w:asciiTheme="majorBidi" w:eastAsia="Times New Roman" w:hAnsiTheme="majorBidi" w:cstheme="majorBidi"/>
          <w:i/>
          <w:iCs/>
        </w:rPr>
        <w:t>Allāh</w:t>
      </w:r>
      <w:r w:rsidRPr="00F73807">
        <w:rPr>
          <w:rFonts w:asciiTheme="majorBidi" w:eastAsia="Times New Roman" w:hAnsiTheme="majorBidi" w:cstheme="majorBidi"/>
        </w:rPr>
        <w:t xml:space="preserve"> (72 fois),</w:t>
      </w:r>
      <w:r w:rsidR="004D1F75" w:rsidRPr="00F73807">
        <w:rPr>
          <w:rFonts w:asciiTheme="majorBidi" w:eastAsia="Calibri" w:hAnsiTheme="majorBidi" w:cstheme="majorBidi"/>
          <w:i/>
          <w:iCs/>
          <w:lang w:bidi="ar-AE"/>
        </w:rPr>
        <w:t xml:space="preserve"> </w:t>
      </w:r>
      <w:r w:rsidRPr="00F73807">
        <w:rPr>
          <w:rFonts w:asciiTheme="majorBidi" w:eastAsia="Calibri" w:hAnsiTheme="majorBidi" w:cstheme="majorBidi"/>
          <w:i/>
          <w:iCs/>
          <w:lang w:bidi="ar-AE"/>
        </w:rPr>
        <w:t>inna</w:t>
      </w:r>
      <w:r w:rsidRPr="00F73807">
        <w:rPr>
          <w:rFonts w:asciiTheme="majorBidi" w:eastAsia="Calibri" w:hAnsiTheme="majorBidi" w:cstheme="majorBidi"/>
          <w:lang w:bidi="ar-AE"/>
        </w:rPr>
        <w:t>/</w:t>
      </w:r>
      <w:r w:rsidRPr="00F73807">
        <w:rPr>
          <w:rFonts w:asciiTheme="majorBidi" w:eastAsia="Calibri" w:hAnsiTheme="majorBidi" w:cstheme="majorBidi"/>
          <w:i/>
          <w:iCs/>
          <w:lang w:bidi="ar-AE"/>
        </w:rPr>
        <w:t>anna</w:t>
      </w:r>
      <w:r w:rsidRPr="00F73807">
        <w:rPr>
          <w:rFonts w:asciiTheme="majorBidi" w:eastAsia="Calibri" w:hAnsiTheme="majorBidi" w:cstheme="majorBidi"/>
          <w:lang w:bidi="ar-AE"/>
        </w:rPr>
        <w:t xml:space="preserve"> (33 fois),</w:t>
      </w:r>
      <w:r w:rsidRPr="00F73807">
        <w:rPr>
          <w:rFonts w:asciiTheme="majorBidi" w:eastAsia="Times New Roman" w:hAnsiTheme="majorBidi" w:cstheme="majorBidi"/>
        </w:rPr>
        <w:t xml:space="preserve"> </w:t>
      </w:r>
      <w:r w:rsidRPr="00F73807">
        <w:rPr>
          <w:rFonts w:asciiTheme="majorBidi" w:eastAsia="Times New Roman" w:hAnsiTheme="majorBidi" w:cstheme="majorBidi"/>
          <w:i/>
          <w:iCs/>
        </w:rPr>
        <w:t>an-nās</w:t>
      </w:r>
      <w:r w:rsidRPr="00F73807">
        <w:rPr>
          <w:rFonts w:asciiTheme="majorBidi" w:eastAsia="Times New Roman" w:hAnsiTheme="majorBidi" w:cstheme="majorBidi"/>
        </w:rPr>
        <w:t xml:space="preserve"> (15 fois), </w:t>
      </w:r>
      <w:r w:rsidRPr="00F73807">
        <w:rPr>
          <w:rFonts w:asciiTheme="majorBidi" w:eastAsia="Times New Roman" w:hAnsiTheme="majorBidi" w:cstheme="majorBidi"/>
          <w:i/>
          <w:iCs/>
        </w:rPr>
        <w:t>yaʿlam</w:t>
      </w:r>
      <w:r w:rsidRPr="00F73807">
        <w:rPr>
          <w:rFonts w:asciiTheme="majorBidi" w:eastAsia="Times New Roman" w:hAnsiTheme="majorBidi" w:cstheme="majorBidi"/>
        </w:rPr>
        <w:t>/</w:t>
      </w:r>
      <w:r w:rsidRPr="00F73807">
        <w:rPr>
          <w:rFonts w:asciiTheme="majorBidi" w:eastAsia="Times New Roman" w:hAnsiTheme="majorBidi" w:cstheme="majorBidi"/>
          <w:i/>
          <w:iCs/>
        </w:rPr>
        <w:t>ʿilm</w:t>
      </w:r>
      <w:r w:rsidRPr="00F73807">
        <w:rPr>
          <w:rFonts w:asciiTheme="majorBidi" w:eastAsia="Times New Roman" w:hAnsiTheme="majorBidi" w:cstheme="majorBidi"/>
        </w:rPr>
        <w:t xml:space="preserve"> (13 fois), </w:t>
      </w:r>
      <w:r w:rsidRPr="00F73807">
        <w:rPr>
          <w:rFonts w:asciiTheme="majorBidi" w:eastAsia="Times New Roman" w:hAnsiTheme="majorBidi" w:cstheme="majorBidi"/>
          <w:i/>
          <w:iCs/>
        </w:rPr>
        <w:t>dhālika</w:t>
      </w:r>
      <w:r w:rsidRPr="00F73807">
        <w:rPr>
          <w:rFonts w:asciiTheme="majorBidi" w:eastAsia="Times New Roman" w:hAnsiTheme="majorBidi" w:cstheme="majorBidi"/>
        </w:rPr>
        <w:t>/</w:t>
      </w:r>
      <w:r w:rsidRPr="00F73807">
        <w:rPr>
          <w:rFonts w:asciiTheme="majorBidi" w:eastAsia="Times New Roman" w:hAnsiTheme="majorBidi" w:cstheme="majorBidi"/>
          <w:i/>
          <w:iCs/>
        </w:rPr>
        <w:t>dhālikum</w:t>
      </w:r>
      <w:r w:rsidRPr="00F73807">
        <w:rPr>
          <w:rFonts w:asciiTheme="majorBidi" w:eastAsia="Times New Roman" w:hAnsiTheme="majorBidi" w:cstheme="majorBidi"/>
        </w:rPr>
        <w:t xml:space="preserve"> (12 fois), </w:t>
      </w:r>
      <w:r w:rsidRPr="00F73807">
        <w:rPr>
          <w:rFonts w:asciiTheme="majorBidi" w:eastAsia="Times New Roman" w:hAnsiTheme="majorBidi" w:cstheme="majorBidi"/>
          <w:i/>
          <w:iCs/>
        </w:rPr>
        <w:t>kull</w:t>
      </w:r>
      <w:r w:rsidRPr="00F73807">
        <w:rPr>
          <w:rFonts w:asciiTheme="majorBidi" w:eastAsia="Times New Roman" w:hAnsiTheme="majorBidi" w:cstheme="majorBidi"/>
        </w:rPr>
        <w:t xml:space="preserve"> (11 fois), </w:t>
      </w:r>
      <w:r w:rsidRPr="00F73807">
        <w:rPr>
          <w:rFonts w:asciiTheme="majorBidi" w:eastAsia="Times New Roman" w:hAnsiTheme="majorBidi" w:cstheme="majorBidi"/>
          <w:i/>
          <w:iCs/>
        </w:rPr>
        <w:t>āmanū</w:t>
      </w:r>
      <w:r w:rsidRPr="00F73807">
        <w:rPr>
          <w:rFonts w:asciiTheme="majorBidi" w:eastAsia="Times New Roman" w:hAnsiTheme="majorBidi" w:cstheme="majorBidi"/>
        </w:rPr>
        <w:t>/</w:t>
      </w:r>
      <w:r w:rsidRPr="00F73807">
        <w:rPr>
          <w:rFonts w:asciiTheme="majorBidi" w:eastAsia="Times New Roman" w:hAnsiTheme="majorBidi" w:cstheme="majorBidi"/>
          <w:i/>
          <w:iCs/>
        </w:rPr>
        <w:t>yuʾminū</w:t>
      </w:r>
      <w:r w:rsidRPr="00F73807">
        <w:rPr>
          <w:rFonts w:asciiTheme="majorBidi" w:eastAsia="Times New Roman" w:hAnsiTheme="majorBidi" w:cstheme="majorBidi"/>
        </w:rPr>
        <w:t xml:space="preserve"> (9 fois ), </w:t>
      </w:r>
      <w:r w:rsidRPr="00F73807">
        <w:rPr>
          <w:rFonts w:asciiTheme="majorBidi" w:eastAsia="Times New Roman" w:hAnsiTheme="majorBidi" w:cstheme="majorBidi"/>
          <w:i/>
          <w:iCs/>
        </w:rPr>
        <w:t>arḍ</w:t>
      </w:r>
      <w:r w:rsidRPr="00F73807">
        <w:rPr>
          <w:rFonts w:asciiTheme="majorBidi" w:eastAsia="Times New Roman" w:hAnsiTheme="majorBidi" w:cstheme="majorBidi"/>
        </w:rPr>
        <w:t xml:space="preserve"> (9 fois), </w:t>
      </w:r>
      <w:r w:rsidRPr="00F73807">
        <w:rPr>
          <w:rFonts w:asciiTheme="majorBidi" w:eastAsia="Times New Roman" w:hAnsiTheme="majorBidi" w:cstheme="majorBidi"/>
          <w:i/>
          <w:iCs/>
        </w:rPr>
        <w:t>ʿadhāb</w:t>
      </w:r>
      <w:r w:rsidRPr="00F73807">
        <w:rPr>
          <w:rFonts w:asciiTheme="majorBidi" w:eastAsia="Times New Roman" w:hAnsiTheme="majorBidi" w:cstheme="majorBidi"/>
        </w:rPr>
        <w:t xml:space="preserve"> (9 fois), </w:t>
      </w:r>
      <w:r w:rsidRPr="00F73807">
        <w:rPr>
          <w:rFonts w:asciiTheme="majorBidi" w:eastAsia="Times New Roman" w:hAnsiTheme="majorBidi" w:cstheme="majorBidi"/>
          <w:i/>
          <w:iCs/>
        </w:rPr>
        <w:t>rabb</w:t>
      </w:r>
      <w:r w:rsidRPr="00F73807">
        <w:rPr>
          <w:rFonts w:asciiTheme="majorBidi" w:eastAsia="Times New Roman" w:hAnsiTheme="majorBidi" w:cstheme="majorBidi"/>
        </w:rPr>
        <w:t xml:space="preserve"> (8 fois), </w:t>
      </w:r>
      <w:r w:rsidRPr="00F73807">
        <w:rPr>
          <w:rFonts w:asciiTheme="majorBidi" w:eastAsia="Times New Roman" w:hAnsiTheme="majorBidi" w:cstheme="majorBidi"/>
          <w:i/>
          <w:iCs/>
        </w:rPr>
        <w:t>samāʾ</w:t>
      </w:r>
      <w:r w:rsidRPr="00F73807">
        <w:rPr>
          <w:rFonts w:asciiTheme="majorBidi" w:eastAsia="Times New Roman" w:hAnsiTheme="majorBidi" w:cstheme="majorBidi"/>
        </w:rPr>
        <w:t xml:space="preserve"> (</w:t>
      </w:r>
      <w:r w:rsidRPr="00F73807">
        <w:rPr>
          <w:rFonts w:asciiTheme="majorBidi" w:eastAsia="Times New Roman" w:hAnsiTheme="majorBidi" w:cstheme="majorBidi"/>
          <w:i/>
          <w:iCs/>
        </w:rPr>
        <w:t>s.</w:t>
      </w:r>
      <w:r w:rsidRPr="00F73807">
        <w:rPr>
          <w:rFonts w:asciiTheme="majorBidi" w:eastAsia="Times New Roman" w:hAnsiTheme="majorBidi" w:cstheme="majorBidi"/>
        </w:rPr>
        <w:t xml:space="preserve"> ou </w:t>
      </w:r>
      <w:r w:rsidRPr="00F73807">
        <w:rPr>
          <w:rFonts w:asciiTheme="majorBidi" w:eastAsia="Times New Roman" w:hAnsiTheme="majorBidi" w:cstheme="majorBidi"/>
          <w:i/>
          <w:iCs/>
        </w:rPr>
        <w:t>pl.</w:t>
      </w:r>
      <w:r w:rsidRPr="00F73807">
        <w:rPr>
          <w:rFonts w:asciiTheme="majorBidi" w:eastAsia="Times New Roman" w:hAnsiTheme="majorBidi" w:cstheme="majorBidi"/>
        </w:rPr>
        <w:t xml:space="preserve">) (7 fois), </w:t>
      </w:r>
      <w:r w:rsidR="004D1F75" w:rsidRPr="00F73807">
        <w:rPr>
          <w:rFonts w:asciiTheme="majorBidi" w:eastAsia="Times New Roman" w:hAnsiTheme="majorBidi" w:cstheme="majorBidi"/>
          <w:i/>
          <w:iCs/>
        </w:rPr>
        <w:t>yaw</w:t>
      </w:r>
      <w:r w:rsidRPr="00F73807">
        <w:rPr>
          <w:rFonts w:asciiTheme="majorBidi" w:eastAsia="Times New Roman" w:hAnsiTheme="majorBidi" w:cstheme="majorBidi"/>
          <w:i/>
          <w:iCs/>
        </w:rPr>
        <w:t>m</w:t>
      </w:r>
      <w:r w:rsidRPr="00F73807">
        <w:rPr>
          <w:rFonts w:asciiTheme="majorBidi" w:eastAsia="Times New Roman" w:hAnsiTheme="majorBidi" w:cstheme="majorBidi"/>
        </w:rPr>
        <w:t xml:space="preserve"> (7 fois), </w:t>
      </w:r>
      <w:r w:rsidRPr="00F73807">
        <w:rPr>
          <w:rFonts w:asciiTheme="majorBidi" w:eastAsia="Times New Roman" w:hAnsiTheme="majorBidi" w:cstheme="majorBidi"/>
          <w:i/>
          <w:iCs/>
        </w:rPr>
        <w:t>ḥaqq</w:t>
      </w:r>
      <w:r w:rsidRPr="00F73807">
        <w:rPr>
          <w:rFonts w:asciiTheme="majorBidi" w:eastAsia="Times New Roman" w:hAnsiTheme="majorBidi" w:cstheme="majorBidi"/>
        </w:rPr>
        <w:t xml:space="preserve"> (7 fois), </w:t>
      </w:r>
      <w:r w:rsidRPr="00F73807">
        <w:rPr>
          <w:rFonts w:asciiTheme="majorBidi" w:eastAsia="Times New Roman" w:hAnsiTheme="majorBidi" w:cstheme="majorBidi"/>
          <w:i/>
          <w:iCs/>
        </w:rPr>
        <w:t>qulūb</w:t>
      </w:r>
      <w:r w:rsidRPr="00F73807">
        <w:rPr>
          <w:rFonts w:asciiTheme="majorBidi" w:eastAsia="Times New Roman" w:hAnsiTheme="majorBidi" w:cstheme="majorBidi"/>
        </w:rPr>
        <w:t xml:space="preserve"> (7 fois),</w:t>
      </w:r>
      <w:r w:rsidRPr="00F73807">
        <w:rPr>
          <w:rFonts w:asciiTheme="majorBidi" w:eastAsia="Times New Roman" w:hAnsiTheme="majorBidi" w:cstheme="majorBidi"/>
          <w:i/>
          <w:iCs/>
        </w:rPr>
        <w:t xml:space="preserve"> kāna</w:t>
      </w:r>
      <w:r w:rsidRPr="00F73807">
        <w:rPr>
          <w:rFonts w:asciiTheme="majorBidi" w:eastAsia="Times New Roman" w:hAnsiTheme="majorBidi" w:cstheme="majorBidi"/>
        </w:rPr>
        <w:t xml:space="preserve"> (7 fois), </w:t>
      </w:r>
      <w:r w:rsidRPr="00F73807">
        <w:rPr>
          <w:rFonts w:asciiTheme="majorBidi" w:eastAsia="Times New Roman" w:hAnsiTheme="majorBidi" w:cstheme="majorBidi"/>
          <w:i/>
          <w:iCs/>
        </w:rPr>
        <w:t>yahdī</w:t>
      </w:r>
      <w:r w:rsidRPr="00F73807">
        <w:rPr>
          <w:rFonts w:asciiTheme="majorBidi" w:eastAsia="Times New Roman" w:hAnsiTheme="majorBidi" w:cstheme="majorBidi"/>
        </w:rPr>
        <w:t>/</w:t>
      </w:r>
      <w:r w:rsidRPr="00F73807">
        <w:rPr>
          <w:rFonts w:asciiTheme="majorBidi" w:eastAsia="Times New Roman" w:hAnsiTheme="majorBidi" w:cstheme="majorBidi"/>
          <w:i/>
          <w:iCs/>
        </w:rPr>
        <w:t>hudā</w:t>
      </w:r>
      <w:r w:rsidRPr="00F73807">
        <w:rPr>
          <w:rFonts w:asciiTheme="majorBidi" w:eastAsia="Times New Roman" w:hAnsiTheme="majorBidi" w:cstheme="majorBidi"/>
        </w:rPr>
        <w:t xml:space="preserve"> (7 fois), </w:t>
      </w:r>
      <w:r w:rsidRPr="00F73807">
        <w:rPr>
          <w:rFonts w:asciiTheme="majorBidi" w:eastAsia="Times New Roman" w:hAnsiTheme="majorBidi" w:cstheme="majorBidi"/>
          <w:i/>
          <w:iCs/>
        </w:rPr>
        <w:t>yarā</w:t>
      </w:r>
      <w:r w:rsidRPr="00F73807">
        <w:rPr>
          <w:rFonts w:asciiTheme="majorBidi" w:eastAsia="Times New Roman" w:hAnsiTheme="majorBidi" w:cstheme="majorBidi"/>
        </w:rPr>
        <w:t xml:space="preserve"> (6 fois), </w:t>
      </w:r>
      <w:r w:rsidRPr="00F73807">
        <w:rPr>
          <w:rFonts w:asciiTheme="majorBidi" w:eastAsia="Times New Roman" w:hAnsiTheme="majorBidi" w:cstheme="majorBidi"/>
          <w:i/>
          <w:iCs/>
        </w:rPr>
        <w:t>yarzuq</w:t>
      </w:r>
      <w:r w:rsidRPr="00F73807">
        <w:rPr>
          <w:rFonts w:asciiTheme="majorBidi" w:eastAsia="Times New Roman" w:hAnsiTheme="majorBidi" w:cstheme="majorBidi"/>
        </w:rPr>
        <w:t>/</w:t>
      </w:r>
      <w:r w:rsidRPr="00F73807">
        <w:rPr>
          <w:rFonts w:asciiTheme="majorBidi" w:eastAsia="Times New Roman" w:hAnsiTheme="majorBidi" w:cstheme="majorBidi"/>
          <w:i/>
          <w:iCs/>
        </w:rPr>
        <w:t>rizq</w:t>
      </w:r>
      <w:r w:rsidRPr="00F73807">
        <w:rPr>
          <w:rFonts w:asciiTheme="majorBidi" w:eastAsia="Times New Roman" w:hAnsiTheme="majorBidi" w:cstheme="majorBidi"/>
        </w:rPr>
        <w:t xml:space="preserve"> (6 fois), </w:t>
      </w:r>
      <w:r w:rsidRPr="00F73807">
        <w:rPr>
          <w:rFonts w:asciiTheme="majorBidi" w:eastAsia="Times New Roman" w:hAnsiTheme="majorBidi" w:cstheme="majorBidi"/>
          <w:i/>
          <w:iCs/>
        </w:rPr>
        <w:t>kafarū</w:t>
      </w:r>
      <w:r w:rsidRPr="00F73807">
        <w:rPr>
          <w:rFonts w:asciiTheme="majorBidi" w:eastAsia="Times New Roman" w:hAnsiTheme="majorBidi" w:cstheme="majorBidi"/>
        </w:rPr>
        <w:t xml:space="preserve"> (6 fois), </w:t>
      </w:r>
      <w:r w:rsidRPr="00F73807">
        <w:rPr>
          <w:rFonts w:asciiTheme="majorBidi" w:eastAsia="Times New Roman" w:hAnsiTheme="majorBidi" w:cstheme="majorBidi"/>
          <w:i/>
          <w:iCs/>
        </w:rPr>
        <w:t>yaʿmal</w:t>
      </w:r>
      <w:r w:rsidRPr="00F73807">
        <w:rPr>
          <w:rFonts w:asciiTheme="majorBidi" w:eastAsia="Times New Roman" w:hAnsiTheme="majorBidi" w:cstheme="majorBidi"/>
        </w:rPr>
        <w:t xml:space="preserve"> (5 fois), </w:t>
      </w:r>
      <w:r w:rsidRPr="00F73807">
        <w:rPr>
          <w:rFonts w:asciiTheme="majorBidi" w:eastAsia="Times New Roman" w:hAnsiTheme="majorBidi" w:cstheme="majorBidi"/>
          <w:i/>
          <w:iCs/>
        </w:rPr>
        <w:t>yanṣur</w:t>
      </w:r>
      <w:r w:rsidRPr="00F73807">
        <w:rPr>
          <w:rFonts w:asciiTheme="majorBidi" w:eastAsia="Times New Roman" w:hAnsiTheme="majorBidi" w:cstheme="majorBidi"/>
        </w:rPr>
        <w:t>/</w:t>
      </w:r>
      <w:r w:rsidRPr="00F73807">
        <w:rPr>
          <w:rFonts w:asciiTheme="majorBidi" w:eastAsia="Times New Roman" w:hAnsiTheme="majorBidi" w:cstheme="majorBidi"/>
          <w:i/>
          <w:iCs/>
        </w:rPr>
        <w:t>naṣr</w:t>
      </w:r>
      <w:r w:rsidRPr="00F73807">
        <w:rPr>
          <w:rFonts w:asciiTheme="majorBidi" w:eastAsia="Times New Roman" w:hAnsiTheme="majorBidi" w:cstheme="majorBidi"/>
        </w:rPr>
        <w:t xml:space="preserve"> (5 fois), </w:t>
      </w:r>
      <w:r w:rsidRPr="00F73807">
        <w:rPr>
          <w:rFonts w:asciiTheme="majorBidi" w:eastAsia="Times New Roman" w:hAnsiTheme="majorBidi" w:cstheme="majorBidi"/>
          <w:i/>
          <w:iCs/>
        </w:rPr>
        <w:t>khayr</w:t>
      </w:r>
      <w:r w:rsidRPr="00F73807">
        <w:rPr>
          <w:rFonts w:asciiTheme="majorBidi" w:eastAsia="Times New Roman" w:hAnsiTheme="majorBidi" w:cstheme="majorBidi"/>
        </w:rPr>
        <w:t xml:space="preserve"> (5 fois), </w:t>
      </w:r>
      <w:r w:rsidRPr="00F73807">
        <w:rPr>
          <w:rFonts w:asciiTheme="majorBidi" w:eastAsia="Times New Roman" w:hAnsiTheme="majorBidi" w:cstheme="majorBidi"/>
          <w:i/>
          <w:iCs/>
        </w:rPr>
        <w:t>shayṭān</w:t>
      </w:r>
      <w:r w:rsidRPr="00F73807">
        <w:rPr>
          <w:rFonts w:asciiTheme="majorBidi" w:eastAsia="Times New Roman" w:hAnsiTheme="majorBidi" w:cstheme="majorBidi"/>
        </w:rPr>
        <w:t xml:space="preserve"> (4 fois), </w:t>
      </w:r>
      <w:r w:rsidRPr="00F73807">
        <w:rPr>
          <w:rFonts w:asciiTheme="majorBidi" w:eastAsia="Times New Roman" w:hAnsiTheme="majorBidi" w:cstheme="majorBidi"/>
          <w:i/>
          <w:iCs/>
        </w:rPr>
        <w:t>yashhad</w:t>
      </w:r>
      <w:r w:rsidRPr="00F73807">
        <w:rPr>
          <w:rFonts w:asciiTheme="majorBidi" w:eastAsia="Times New Roman" w:hAnsiTheme="majorBidi" w:cstheme="majorBidi"/>
        </w:rPr>
        <w:t>/</w:t>
      </w:r>
      <w:r w:rsidRPr="00F73807">
        <w:rPr>
          <w:rFonts w:asciiTheme="majorBidi" w:eastAsia="Times New Roman" w:hAnsiTheme="majorBidi" w:cstheme="majorBidi"/>
          <w:i/>
          <w:iCs/>
        </w:rPr>
        <w:t>shahīd</w:t>
      </w:r>
      <w:r w:rsidRPr="00F73807">
        <w:rPr>
          <w:rFonts w:asciiTheme="majorBidi" w:eastAsia="Times New Roman" w:hAnsiTheme="majorBidi" w:cstheme="majorBidi"/>
        </w:rPr>
        <w:t xml:space="preserve"> (4 fois), </w:t>
      </w:r>
      <w:r w:rsidRPr="00F73807">
        <w:rPr>
          <w:rFonts w:asciiTheme="majorBidi" w:eastAsia="Times New Roman" w:hAnsiTheme="majorBidi" w:cstheme="majorBidi"/>
          <w:i/>
          <w:iCs/>
        </w:rPr>
        <w:t>ṣalāt</w:t>
      </w:r>
      <w:r w:rsidRPr="00F73807">
        <w:rPr>
          <w:rFonts w:asciiTheme="majorBidi" w:eastAsia="Times New Roman" w:hAnsiTheme="majorBidi" w:cstheme="majorBidi"/>
        </w:rPr>
        <w:t>/</w:t>
      </w:r>
      <w:r w:rsidRPr="00F73807">
        <w:rPr>
          <w:rFonts w:asciiTheme="majorBidi" w:eastAsia="Times New Roman" w:hAnsiTheme="majorBidi" w:cstheme="majorBidi"/>
          <w:i/>
          <w:iCs/>
        </w:rPr>
        <w:t>ṣal</w:t>
      </w:r>
      <w:r w:rsidR="004D1F75" w:rsidRPr="00F73807">
        <w:rPr>
          <w:rFonts w:asciiTheme="majorBidi" w:eastAsia="Times New Roman" w:hAnsiTheme="majorBidi" w:cstheme="majorBidi"/>
          <w:i/>
          <w:iCs/>
        </w:rPr>
        <w:t>a</w:t>
      </w:r>
      <w:r w:rsidRPr="00F73807">
        <w:rPr>
          <w:rFonts w:asciiTheme="majorBidi" w:eastAsia="Times New Roman" w:hAnsiTheme="majorBidi" w:cstheme="majorBidi"/>
          <w:i/>
          <w:iCs/>
        </w:rPr>
        <w:t>wāt</w:t>
      </w:r>
      <w:r w:rsidRPr="00F73807">
        <w:rPr>
          <w:rFonts w:asciiTheme="majorBidi" w:eastAsia="Times New Roman" w:hAnsiTheme="majorBidi" w:cstheme="majorBidi"/>
        </w:rPr>
        <w:t xml:space="preserve"> (4 fois), </w:t>
      </w:r>
      <w:r w:rsidRPr="00F73807">
        <w:rPr>
          <w:rFonts w:asciiTheme="majorBidi" w:eastAsia="Times New Roman" w:hAnsiTheme="majorBidi" w:cstheme="majorBidi"/>
          <w:i/>
          <w:iCs/>
        </w:rPr>
        <w:t>yurīd</w:t>
      </w:r>
      <w:r w:rsidRPr="00F73807">
        <w:rPr>
          <w:rFonts w:asciiTheme="majorBidi" w:eastAsia="Times New Roman" w:hAnsiTheme="majorBidi" w:cstheme="majorBidi"/>
        </w:rPr>
        <w:t xml:space="preserve"> (4 fois), </w:t>
      </w:r>
      <w:r w:rsidRPr="00F73807">
        <w:rPr>
          <w:rFonts w:asciiTheme="majorBidi" w:eastAsia="Times New Roman" w:hAnsiTheme="majorBidi" w:cstheme="majorBidi"/>
          <w:i/>
          <w:iCs/>
        </w:rPr>
        <w:t>ṣāliḥāt</w:t>
      </w:r>
      <w:r w:rsidRPr="00F73807">
        <w:rPr>
          <w:rFonts w:asciiTheme="majorBidi" w:eastAsia="Times New Roman" w:hAnsiTheme="majorBidi" w:cstheme="majorBidi"/>
        </w:rPr>
        <w:t xml:space="preserve"> (4 fois), </w:t>
      </w:r>
      <w:r w:rsidRPr="00F73807">
        <w:rPr>
          <w:rFonts w:asciiTheme="majorBidi" w:eastAsia="Times New Roman" w:hAnsiTheme="majorBidi" w:cstheme="majorBidi"/>
          <w:i/>
          <w:iCs/>
        </w:rPr>
        <w:t>anzala</w:t>
      </w:r>
      <w:r w:rsidRPr="00F73807">
        <w:rPr>
          <w:rFonts w:asciiTheme="majorBidi" w:eastAsia="Times New Roman" w:hAnsiTheme="majorBidi" w:cstheme="majorBidi"/>
        </w:rPr>
        <w:t>/</w:t>
      </w:r>
      <w:r w:rsidRPr="00F73807">
        <w:rPr>
          <w:rFonts w:asciiTheme="majorBidi" w:eastAsia="Times New Roman" w:hAnsiTheme="majorBidi" w:cstheme="majorBidi"/>
          <w:i/>
          <w:iCs/>
        </w:rPr>
        <w:t>yunazzil</w:t>
      </w:r>
      <w:r w:rsidRPr="00F73807">
        <w:rPr>
          <w:rFonts w:asciiTheme="majorBidi" w:eastAsia="Times New Roman" w:hAnsiTheme="majorBidi" w:cstheme="majorBidi"/>
        </w:rPr>
        <w:t xml:space="preserve"> (4 fois), </w:t>
      </w:r>
      <w:r w:rsidR="004D1F75" w:rsidRPr="00F73807">
        <w:rPr>
          <w:rFonts w:asciiTheme="majorBidi" w:eastAsia="Times New Roman" w:hAnsiTheme="majorBidi" w:cstheme="majorBidi"/>
          <w:i/>
          <w:iCs/>
        </w:rPr>
        <w:t>sha</w:t>
      </w:r>
      <w:r w:rsidRPr="00F73807">
        <w:rPr>
          <w:rFonts w:asciiTheme="majorBidi" w:eastAsia="Times New Roman" w:hAnsiTheme="majorBidi" w:cstheme="majorBidi"/>
          <w:i/>
          <w:iCs/>
        </w:rPr>
        <w:t>yʾ</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yuḥ</w:t>
      </w:r>
      <w:r w:rsidR="0012567B" w:rsidRPr="00F73807">
        <w:rPr>
          <w:rFonts w:asciiTheme="majorBidi" w:eastAsia="Times New Roman" w:hAnsiTheme="majorBidi" w:cstheme="majorBidi"/>
          <w:i/>
          <w:iCs/>
        </w:rPr>
        <w:t>i</w:t>
      </w:r>
      <w:r w:rsidRPr="00F73807">
        <w:rPr>
          <w:rFonts w:asciiTheme="majorBidi" w:eastAsia="Times New Roman" w:hAnsiTheme="majorBidi" w:cstheme="majorBidi"/>
          <w:i/>
          <w:iCs/>
        </w:rPr>
        <w:t>yī</w:t>
      </w:r>
      <w:r w:rsidRPr="00F73807">
        <w:rPr>
          <w:rFonts w:asciiTheme="majorBidi" w:eastAsia="Times New Roman" w:hAnsiTheme="majorBidi" w:cstheme="majorBidi"/>
        </w:rPr>
        <w:t>/</w:t>
      </w:r>
      <w:r w:rsidRPr="00F73807">
        <w:rPr>
          <w:rFonts w:asciiTheme="majorBidi" w:eastAsia="Times New Roman" w:hAnsiTheme="majorBidi" w:cstheme="majorBidi"/>
          <w:i/>
          <w:iCs/>
        </w:rPr>
        <w:t>aḥyā</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amara</w:t>
      </w:r>
      <w:r w:rsidRPr="00F73807">
        <w:rPr>
          <w:rFonts w:asciiTheme="majorBidi" w:eastAsia="Times New Roman" w:hAnsiTheme="majorBidi" w:cstheme="majorBidi"/>
        </w:rPr>
        <w:t>/</w:t>
      </w:r>
      <w:r w:rsidRPr="00F73807">
        <w:rPr>
          <w:rFonts w:asciiTheme="majorBidi" w:eastAsia="Times New Roman" w:hAnsiTheme="majorBidi" w:cstheme="majorBidi"/>
          <w:i/>
          <w:iCs/>
        </w:rPr>
        <w:t>amr</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as-sāʿa</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yadʿū</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yaʿbud</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yakhruj</w:t>
      </w:r>
      <w:r w:rsidRPr="00F73807">
        <w:rPr>
          <w:rFonts w:asciiTheme="majorBidi" w:eastAsia="Times New Roman" w:hAnsiTheme="majorBidi" w:cstheme="majorBidi"/>
        </w:rPr>
        <w:t>/</w:t>
      </w:r>
      <w:r w:rsidRPr="00F73807">
        <w:rPr>
          <w:rFonts w:asciiTheme="majorBidi" w:eastAsia="Times New Roman" w:hAnsiTheme="majorBidi" w:cstheme="majorBidi"/>
          <w:i/>
          <w:iCs/>
        </w:rPr>
        <w:t>yukhrij</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tajrī</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biʾsa</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yatlū</w:t>
      </w:r>
      <w:r w:rsidRPr="00F73807">
        <w:rPr>
          <w:rFonts w:asciiTheme="majorBidi" w:eastAsia="Times New Roman" w:hAnsiTheme="majorBidi" w:cstheme="majorBidi"/>
        </w:rPr>
        <w:t>/</w:t>
      </w:r>
      <w:r w:rsidRPr="00F73807">
        <w:rPr>
          <w:rFonts w:asciiTheme="majorBidi" w:eastAsia="Times New Roman" w:hAnsiTheme="majorBidi" w:cstheme="majorBidi"/>
          <w:i/>
          <w:iCs/>
        </w:rPr>
        <w:t>yutlā</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yaqūl</w:t>
      </w:r>
      <w:r w:rsidRPr="00F73807">
        <w:rPr>
          <w:rFonts w:asciiTheme="majorBidi" w:eastAsia="Times New Roman" w:hAnsiTheme="majorBidi" w:cstheme="majorBidi"/>
        </w:rPr>
        <w:t>/</w:t>
      </w:r>
      <w:r w:rsidRPr="00F73807">
        <w:rPr>
          <w:rFonts w:asciiTheme="majorBidi" w:eastAsia="Times New Roman" w:hAnsiTheme="majorBidi" w:cstheme="majorBidi"/>
          <w:i/>
          <w:iCs/>
        </w:rPr>
        <w:t>qawl</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sakhkhara</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ittaqū</w:t>
      </w:r>
      <w:r w:rsidRPr="00F73807">
        <w:rPr>
          <w:rFonts w:asciiTheme="majorBidi" w:eastAsia="Times New Roman" w:hAnsiTheme="majorBidi" w:cstheme="majorBidi"/>
        </w:rPr>
        <w:t>/</w:t>
      </w:r>
      <w:r w:rsidRPr="00F73807">
        <w:rPr>
          <w:rFonts w:asciiTheme="majorBidi" w:eastAsia="Times New Roman" w:hAnsiTheme="majorBidi" w:cstheme="majorBidi"/>
          <w:i/>
          <w:iCs/>
        </w:rPr>
        <w:t>taqwā</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yudkhil</w:t>
      </w:r>
      <w:r w:rsidRPr="00F73807">
        <w:rPr>
          <w:rFonts w:asciiTheme="majorBidi" w:eastAsia="Times New Roman" w:hAnsiTheme="majorBidi" w:cstheme="majorBidi"/>
        </w:rPr>
        <w:t xml:space="preserve"> (3 fois),</w:t>
      </w:r>
      <w:r w:rsidRPr="00CB7AF4">
        <w:rPr>
          <w:rFonts w:asciiTheme="majorBidi" w:eastAsia="Times New Roman" w:hAnsiTheme="majorBidi" w:cstheme="majorBidi"/>
        </w:rPr>
        <w:t xml:space="preserve"> </w:t>
      </w:r>
      <w:r w:rsidRPr="00F73807">
        <w:rPr>
          <w:rFonts w:asciiTheme="majorBidi" w:eastAsia="Times New Roman" w:hAnsiTheme="majorBidi" w:cstheme="majorBidi"/>
          <w:i/>
          <w:iCs/>
        </w:rPr>
        <w:t>kadhālik</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al-q</w:t>
      </w:r>
      <w:r w:rsidR="004D1F75" w:rsidRPr="00F73807">
        <w:rPr>
          <w:rFonts w:asciiTheme="majorBidi" w:eastAsia="Times New Roman" w:hAnsiTheme="majorBidi" w:cstheme="majorBidi"/>
          <w:i/>
          <w:iCs/>
        </w:rPr>
        <w:t>i</w:t>
      </w:r>
      <w:r w:rsidRPr="00F73807">
        <w:rPr>
          <w:rFonts w:asciiTheme="majorBidi" w:eastAsia="Times New Roman" w:hAnsiTheme="majorBidi" w:cstheme="majorBidi"/>
          <w:i/>
          <w:iCs/>
        </w:rPr>
        <w:t>yāma</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mawlā</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yaʾtī</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anʿām</w:t>
      </w:r>
      <w:r w:rsidRPr="00F73807">
        <w:rPr>
          <w:rFonts w:asciiTheme="majorBidi" w:eastAsia="Times New Roman" w:hAnsiTheme="majorBidi" w:cstheme="majorBidi"/>
        </w:rPr>
        <w:t xml:space="preserve"> (3 fois), </w:t>
      </w:r>
      <w:r w:rsidRPr="00F73807">
        <w:rPr>
          <w:rFonts w:asciiTheme="majorBidi" w:eastAsia="Times New Roman" w:hAnsiTheme="majorBidi" w:cstheme="majorBidi"/>
          <w:i/>
          <w:iCs/>
        </w:rPr>
        <w:t>ākhira</w:t>
      </w:r>
      <w:r w:rsidRPr="00F73807">
        <w:rPr>
          <w:rFonts w:asciiTheme="majorBidi" w:eastAsia="Times New Roman" w:hAnsiTheme="majorBidi" w:cstheme="majorBidi"/>
        </w:rPr>
        <w:t xml:space="preserve"> (2 fois),</w:t>
      </w:r>
      <w:r w:rsidRPr="00F73807">
        <w:rPr>
          <w:rFonts w:asciiTheme="majorBidi" w:eastAsia="Times New Roman" w:hAnsiTheme="majorBidi" w:cstheme="majorBidi"/>
          <w:i/>
          <w:iCs/>
        </w:rPr>
        <w:t xml:space="preserve"> yuḍill</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fitna</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mustaqīm</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wajh</w:t>
      </w:r>
      <w:r w:rsidRPr="00F73807">
        <w:rPr>
          <w:rFonts w:asciiTheme="majorBidi" w:eastAsia="Times New Roman" w:hAnsiTheme="majorBidi" w:cstheme="majorBidi"/>
        </w:rPr>
        <w:t>/</w:t>
      </w:r>
      <w:r w:rsidRPr="00F73807">
        <w:rPr>
          <w:rFonts w:asciiTheme="majorBidi" w:eastAsia="Times New Roman" w:hAnsiTheme="majorBidi" w:cstheme="majorBidi"/>
          <w:i/>
          <w:iCs/>
        </w:rPr>
        <w:t>wujūh</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yashāʾ</w:t>
      </w:r>
      <w:r w:rsidRPr="00F73807">
        <w:rPr>
          <w:rFonts w:asciiTheme="majorBidi" w:eastAsia="Times New Roman" w:hAnsiTheme="majorBidi" w:cstheme="majorBidi"/>
        </w:rPr>
        <w:t>/</w:t>
      </w:r>
      <w:r w:rsidRPr="00F73807">
        <w:rPr>
          <w:rFonts w:asciiTheme="majorBidi" w:eastAsia="Times New Roman" w:hAnsiTheme="majorBidi" w:cstheme="majorBidi"/>
          <w:i/>
          <w:iCs/>
        </w:rPr>
        <w:t>nashāʾ</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zakāt</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rayb</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baʿth</w:t>
      </w:r>
      <w:r w:rsidRPr="00F73807">
        <w:rPr>
          <w:rFonts w:asciiTheme="majorBidi" w:eastAsia="Times New Roman" w:hAnsiTheme="majorBidi" w:cstheme="majorBidi"/>
        </w:rPr>
        <w:t>/</w:t>
      </w:r>
      <w:r w:rsidRPr="00F73807">
        <w:rPr>
          <w:rFonts w:asciiTheme="majorBidi" w:eastAsia="Times New Roman" w:hAnsiTheme="majorBidi" w:cstheme="majorBidi"/>
          <w:i/>
          <w:iCs/>
        </w:rPr>
        <w:t>yabʿath</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yasjud</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qawīy</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ʿazīz</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yurīd</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qadīr</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rasūl</w:t>
      </w:r>
      <w:r w:rsidRPr="00F73807">
        <w:rPr>
          <w:rFonts w:asciiTheme="majorBidi" w:eastAsia="Times New Roman" w:hAnsiTheme="majorBidi" w:cstheme="majorBidi"/>
        </w:rPr>
        <w:t xml:space="preserve"> (2 fois), </w:t>
      </w:r>
      <w:r w:rsidRPr="00F73807">
        <w:rPr>
          <w:rFonts w:asciiTheme="majorBidi" w:eastAsia="Times New Roman" w:hAnsiTheme="majorBidi" w:cstheme="majorBidi"/>
          <w:i/>
          <w:iCs/>
        </w:rPr>
        <w:t>kitāb</w:t>
      </w:r>
      <w:r w:rsidRPr="00F73807">
        <w:rPr>
          <w:rFonts w:asciiTheme="majorBidi" w:eastAsia="Times New Roman" w:hAnsiTheme="majorBidi" w:cstheme="majorBidi"/>
        </w:rPr>
        <w:t xml:space="preserve"> (2 fois + </w:t>
      </w:r>
      <w:r w:rsidRPr="00F73807">
        <w:rPr>
          <w:rFonts w:asciiTheme="majorBidi" w:eastAsia="Times New Roman" w:hAnsiTheme="majorBidi" w:cstheme="majorBidi"/>
          <w:i/>
          <w:iCs/>
        </w:rPr>
        <w:t>kutiba</w:t>
      </w:r>
      <w:r w:rsidRPr="00F73807">
        <w:rPr>
          <w:rFonts w:asciiTheme="majorBidi" w:eastAsia="Times New Roman" w:hAnsiTheme="majorBidi" w:cstheme="majorBidi"/>
        </w:rPr>
        <w:t xml:space="preserve"> une fois), </w:t>
      </w:r>
      <w:r w:rsidRPr="00F73807">
        <w:rPr>
          <w:rFonts w:asciiTheme="majorBidi" w:eastAsia="Times New Roman" w:hAnsiTheme="majorBidi" w:cstheme="majorBidi"/>
          <w:i/>
          <w:iCs/>
        </w:rPr>
        <w:t>yuʿaẓẓim</w:t>
      </w:r>
      <w:r w:rsidRPr="00F73807">
        <w:rPr>
          <w:rFonts w:asciiTheme="majorBidi" w:eastAsia="Times New Roman" w:hAnsiTheme="majorBidi" w:cstheme="majorBidi"/>
        </w:rPr>
        <w:t xml:space="preserve"> (2 fois + </w:t>
      </w:r>
      <w:r w:rsidRPr="00F73807">
        <w:rPr>
          <w:rFonts w:asciiTheme="majorBidi" w:eastAsia="Times New Roman" w:hAnsiTheme="majorBidi" w:cstheme="majorBidi"/>
          <w:i/>
          <w:iCs/>
        </w:rPr>
        <w:t>ʿaẓīm</w:t>
      </w:r>
      <w:r w:rsidRPr="00F73807">
        <w:rPr>
          <w:rFonts w:asciiTheme="majorBidi" w:eastAsia="Times New Roman" w:hAnsiTheme="majorBidi" w:cstheme="majorBidi"/>
        </w:rPr>
        <w:t xml:space="preserve"> une fois).</w:t>
      </w:r>
    </w:p>
    <w:p w14:paraId="4EEECAAE" w14:textId="77777777" w:rsidR="00561BDC" w:rsidRPr="00F73807" w:rsidRDefault="00561BDC" w:rsidP="00CB7AF4">
      <w:pPr>
        <w:spacing w:line="360" w:lineRule="auto"/>
        <w:jc w:val="both"/>
        <w:rPr>
          <w:rFonts w:asciiTheme="majorBidi" w:eastAsia="Times New Roman" w:hAnsiTheme="majorBidi" w:cstheme="majorBidi"/>
        </w:rPr>
      </w:pPr>
    </w:p>
    <w:p w14:paraId="39E246BC" w14:textId="77777777" w:rsidR="00561BDC" w:rsidRPr="00CB7AF4" w:rsidRDefault="00561BDC" w:rsidP="00CB7AF4">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Plusieurs ouvrages linguistiques ont abordé l’antanaclase dans le cadre des travaux portant sur la polysémie dans le Coran. À titre d’exemple, nous citons l’ouvrage de Salwā </w:t>
      </w:r>
      <w:r w:rsidRPr="00CB7AF4">
        <w:rPr>
          <w:rFonts w:asciiTheme="majorBidi" w:eastAsia="Times New Roman" w:hAnsiTheme="majorBidi" w:cstheme="majorBidi"/>
        </w:rPr>
        <w:lastRenderedPageBreak/>
        <w:t xml:space="preserve">Muḥammad Al-ʿAwwā intitulé </w:t>
      </w:r>
      <w:r w:rsidRPr="00CB7AF4">
        <w:rPr>
          <w:rFonts w:asciiTheme="majorBidi" w:eastAsia="Times New Roman" w:hAnsiTheme="majorBidi" w:cstheme="majorBidi"/>
          <w:i/>
          <w:iCs/>
        </w:rPr>
        <w:t>al-wujūh wa-</w:t>
      </w:r>
      <w:r w:rsidR="004D1F75">
        <w:rPr>
          <w:rFonts w:asciiTheme="majorBidi" w:eastAsia="Times New Roman" w:hAnsiTheme="majorBidi" w:cstheme="majorBidi"/>
          <w:i/>
          <w:iCs/>
        </w:rPr>
        <w:t>n-</w:t>
      </w:r>
      <w:r w:rsidRPr="00CB7AF4">
        <w:rPr>
          <w:rFonts w:asciiTheme="majorBidi" w:eastAsia="Times New Roman" w:hAnsiTheme="majorBidi" w:cstheme="majorBidi"/>
          <w:i/>
          <w:iCs/>
        </w:rPr>
        <w:t>naẓāʾir fi-l-qurʾā</w:t>
      </w:r>
      <w:r w:rsidR="004D1F75">
        <w:rPr>
          <w:rFonts w:asciiTheme="majorBidi" w:eastAsia="Times New Roman" w:hAnsiTheme="majorBidi" w:cstheme="majorBidi"/>
          <w:i/>
          <w:iCs/>
        </w:rPr>
        <w:t>n</w:t>
      </w:r>
      <w:r w:rsidRPr="00CB7AF4">
        <w:rPr>
          <w:rFonts w:asciiTheme="majorBidi" w:eastAsia="Times New Roman" w:hAnsiTheme="majorBidi" w:cstheme="majorBidi"/>
          <w:i/>
          <w:iCs/>
        </w:rPr>
        <w:t xml:space="preserve"> al-karīm</w:t>
      </w:r>
      <w:r w:rsidRPr="00CB7AF4">
        <w:rPr>
          <w:rFonts w:asciiTheme="majorBidi" w:eastAsia="Times New Roman" w:hAnsiTheme="majorBidi" w:cstheme="majorBidi"/>
          <w:vertAlign w:val="superscript"/>
          <w:rtl/>
          <w:lang w:bidi="ar-EG"/>
        </w:rPr>
        <w:footnoteReference w:id="88"/>
      </w:r>
      <w:r w:rsidRPr="00CB7AF4">
        <w:rPr>
          <w:rFonts w:asciiTheme="majorBidi" w:eastAsia="Times New Roman" w:hAnsiTheme="majorBidi" w:cstheme="majorBidi"/>
        </w:rPr>
        <w:t xml:space="preserve"> dans lequel elle étudie la récurrence de certains termes avec, chaque fois, un sens différent dans les versets coraniques, ce que l’on appelle </w:t>
      </w:r>
      <w:r w:rsidRPr="00CB7AF4">
        <w:rPr>
          <w:rFonts w:asciiTheme="majorBidi" w:eastAsia="Times New Roman" w:hAnsiTheme="majorBidi" w:cstheme="majorBidi"/>
          <w:i/>
          <w:iCs/>
        </w:rPr>
        <w:t>al-mushtarak al-lafẓī</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taʿaddud al-maʿānī</w:t>
      </w:r>
      <w:r w:rsidRPr="00CB7AF4">
        <w:rPr>
          <w:rFonts w:asciiTheme="majorBidi" w:eastAsia="Times New Roman" w:hAnsiTheme="majorBidi" w:cstheme="majorBidi"/>
        </w:rPr>
        <w:t xml:space="preserve">, ou </w:t>
      </w:r>
      <w:r w:rsidRPr="00CB7AF4">
        <w:rPr>
          <w:rFonts w:asciiTheme="majorBidi" w:eastAsia="Times New Roman" w:hAnsiTheme="majorBidi" w:cstheme="majorBidi"/>
          <w:i/>
          <w:iCs/>
        </w:rPr>
        <w:t>taʿaddud ad-dalālāt</w:t>
      </w:r>
      <w:r w:rsidRPr="00CB7AF4">
        <w:rPr>
          <w:rFonts w:asciiTheme="majorBidi" w:eastAsia="Times New Roman" w:hAnsiTheme="majorBidi" w:cstheme="majorBidi"/>
        </w:rPr>
        <w:t xml:space="preserve">), phénomène dû essentiellement à l’évolution du sens et conditionné par deux relations: la </w:t>
      </w:r>
      <w:r w:rsidRPr="00CB7AF4">
        <w:rPr>
          <w:rFonts w:asciiTheme="majorBidi" w:eastAsia="Times New Roman" w:hAnsiTheme="majorBidi" w:cstheme="majorBidi"/>
          <w:i/>
          <w:iCs/>
        </w:rPr>
        <w:t>contiguïté</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al-mujāwara</w:t>
      </w:r>
      <w:r w:rsidRPr="00CB7AF4">
        <w:rPr>
          <w:rFonts w:asciiTheme="majorBidi" w:eastAsia="Times New Roman" w:hAnsiTheme="majorBidi" w:cstheme="majorBidi"/>
        </w:rPr>
        <w:t>) et la </w:t>
      </w:r>
      <w:r w:rsidRPr="00CB7AF4">
        <w:rPr>
          <w:rFonts w:asciiTheme="majorBidi" w:eastAsia="Times New Roman" w:hAnsiTheme="majorBidi" w:cstheme="majorBidi"/>
          <w:i/>
          <w:iCs/>
        </w:rPr>
        <w:t>ressemblance</w:t>
      </w:r>
      <w:r w:rsidRPr="00CB7AF4">
        <w:rPr>
          <w:rFonts w:asciiTheme="majorBidi" w:eastAsia="Times New Roman" w:hAnsiTheme="majorBidi" w:cstheme="majorBidi"/>
        </w:rPr>
        <w:t> (</w:t>
      </w:r>
      <w:r w:rsidRPr="00CB7AF4">
        <w:rPr>
          <w:rFonts w:asciiTheme="majorBidi" w:eastAsia="Times New Roman" w:hAnsiTheme="majorBidi" w:cstheme="majorBidi"/>
          <w:i/>
          <w:iCs/>
        </w:rPr>
        <w:t>al-mushābaha</w:t>
      </w:r>
      <w:r w:rsidRPr="00CB7AF4">
        <w:rPr>
          <w:rFonts w:asciiTheme="majorBidi" w:eastAsia="Times New Roman" w:hAnsiTheme="majorBidi" w:cstheme="majorBidi"/>
        </w:rPr>
        <w:t>)</w:t>
      </w:r>
      <w:r w:rsidRPr="00CB7AF4">
        <w:rPr>
          <w:rFonts w:asciiTheme="majorBidi" w:eastAsia="Times New Roman" w:hAnsiTheme="majorBidi" w:cstheme="majorBidi"/>
          <w:vertAlign w:val="superscript"/>
          <w:rtl/>
          <w:lang w:bidi="ar-EG"/>
        </w:rPr>
        <w:footnoteReference w:id="89"/>
      </w:r>
      <w:r w:rsidRPr="00CB7AF4">
        <w:rPr>
          <w:rFonts w:asciiTheme="majorBidi" w:eastAsia="Times New Roman" w:hAnsiTheme="majorBidi" w:cstheme="majorBidi"/>
          <w:lang w:bidi="ar-EG"/>
        </w:rPr>
        <w:t>.</w:t>
      </w:r>
    </w:p>
    <w:p w14:paraId="38C065C0" w14:textId="77777777" w:rsidR="00561BDC" w:rsidRPr="00CB7AF4" w:rsidRDefault="00561BDC" w:rsidP="00CB7AF4">
      <w:pPr>
        <w:spacing w:line="360" w:lineRule="auto"/>
        <w:ind w:firstLine="708"/>
        <w:jc w:val="both"/>
        <w:rPr>
          <w:rFonts w:asciiTheme="majorBidi" w:eastAsia="Times New Roman" w:hAnsiTheme="majorBidi" w:cstheme="majorBidi"/>
        </w:rPr>
      </w:pPr>
    </w:p>
    <w:p w14:paraId="480C4D38" w14:textId="77777777" w:rsidR="00561BDC" w:rsidRPr="00CB7AF4" w:rsidRDefault="00561BDC" w:rsidP="00AB7E6B">
      <w:pPr>
        <w:spacing w:line="360" w:lineRule="auto"/>
        <w:ind w:firstLine="708"/>
        <w:jc w:val="both"/>
        <w:rPr>
          <w:rFonts w:asciiTheme="majorBidi" w:eastAsia="Times New Roman" w:hAnsiTheme="majorBidi" w:cstheme="majorBidi"/>
          <w:lang w:bidi="ar-EG"/>
        </w:rPr>
      </w:pPr>
      <w:r w:rsidRPr="00CB7AF4">
        <w:rPr>
          <w:rFonts w:asciiTheme="majorBidi" w:eastAsia="Times New Roman" w:hAnsiTheme="majorBidi" w:cstheme="majorBidi"/>
        </w:rPr>
        <w:t>Al-ʿAwwā insiste sur le fait que c’est le contexte linguistique et extralinguistique qui joue un rôle déterminant dans l’orientation du sens désigné</w:t>
      </w:r>
      <w:r w:rsidRPr="00CB7AF4">
        <w:rPr>
          <w:rFonts w:asciiTheme="majorBidi" w:eastAsia="Times New Roman" w:hAnsiTheme="majorBidi" w:cstheme="majorBidi"/>
          <w:vertAlign w:val="superscript"/>
          <w:rtl/>
          <w:lang w:bidi="ar-EG"/>
        </w:rPr>
        <w:footnoteReference w:id="90"/>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rPr>
        <w:t xml:space="preserve">Dans son ouvrage </w:t>
      </w:r>
      <w:r w:rsidRPr="00CB7AF4">
        <w:rPr>
          <w:rFonts w:asciiTheme="majorBidi" w:eastAsia="Times New Roman" w:hAnsiTheme="majorBidi" w:cstheme="majorBidi"/>
          <w:i/>
          <w:iCs/>
        </w:rPr>
        <w:t>Badāʾiʿ al-fawāʾid</w:t>
      </w:r>
      <w:r w:rsidRPr="00CB7AF4">
        <w:rPr>
          <w:rFonts w:asciiTheme="majorBidi" w:eastAsia="Times New Roman" w:hAnsiTheme="majorBidi" w:cstheme="majorBidi"/>
        </w:rPr>
        <w:t xml:space="preserve">, le théologien Ibn Qayyim al-Jawzīyya (1292-1350) souligne également que </w:t>
      </w:r>
      <w:r w:rsidR="00AB7E6B">
        <w:rPr>
          <w:rFonts w:asciiTheme="majorBidi" w:eastAsia="Times New Roman" w:hAnsiTheme="majorBidi" w:cstheme="majorBidi"/>
          <w:lang w:bidi="ar-EG"/>
        </w:rPr>
        <w:t>« </w:t>
      </w:r>
      <w:r w:rsidRPr="00CB7AF4">
        <w:rPr>
          <w:rFonts w:asciiTheme="majorBidi" w:eastAsia="Times New Roman" w:hAnsiTheme="majorBidi" w:cstheme="majorBidi"/>
          <w:lang w:bidi="ar-EG"/>
        </w:rPr>
        <w:t>le contexte conduit à discerner l’ensemble, identifier le probable, se prononcer sur l’improbabilité du sens non voulu, spécifier le générique, relativiser l’absolu et diversifier la signification.</w:t>
      </w:r>
      <w:r w:rsidRPr="00CB7AF4">
        <w:rPr>
          <w:rFonts w:asciiTheme="majorBidi" w:eastAsia="Times New Roman" w:hAnsiTheme="majorBidi" w:cstheme="majorBidi"/>
        </w:rPr>
        <w:t xml:space="preserve"> </w:t>
      </w:r>
      <w:r w:rsidRPr="00CB7AF4">
        <w:rPr>
          <w:rFonts w:asciiTheme="majorBidi" w:eastAsia="Times New Roman" w:hAnsiTheme="majorBidi" w:cstheme="majorBidi"/>
          <w:lang w:bidi="ar-EG"/>
        </w:rPr>
        <w:t>Cela constitue l’un des plus importants indices qui dévoilent le vouloir-dire du locuteur</w:t>
      </w:r>
      <w:r w:rsidR="00AB7E6B">
        <w:rPr>
          <w:rFonts w:asciiTheme="majorBidi" w:eastAsia="Times New Roman" w:hAnsiTheme="majorBidi" w:cstheme="majorBidi"/>
          <w:lang w:bidi="ar-EG"/>
        </w:rPr>
        <w:t> »</w:t>
      </w:r>
      <w:r w:rsidRPr="00CB7AF4">
        <w:rPr>
          <w:rFonts w:asciiTheme="majorBidi" w:eastAsia="Times New Roman" w:hAnsiTheme="majorBidi" w:cstheme="majorBidi"/>
          <w:vertAlign w:val="superscript"/>
          <w:rtl/>
          <w:lang w:bidi="ar-EG"/>
        </w:rPr>
        <w:footnoteReference w:id="91"/>
      </w:r>
      <w:r w:rsidRPr="00CB7AF4">
        <w:rPr>
          <w:rFonts w:asciiTheme="majorBidi" w:eastAsia="Times New Roman" w:hAnsiTheme="majorBidi" w:cstheme="majorBidi"/>
          <w:lang w:bidi="ar-EG"/>
        </w:rPr>
        <w:t>. Ce qu’affirme nettement</w:t>
      </w:r>
      <w:r w:rsidRPr="00CB7AF4">
        <w:rPr>
          <w:rFonts w:asciiTheme="majorBidi" w:eastAsia="Times New Roman" w:hAnsiTheme="majorBidi" w:cstheme="majorBidi"/>
        </w:rPr>
        <w:t xml:space="preserve"> David </w:t>
      </w:r>
      <w:r w:rsidR="00974494" w:rsidRPr="00CB7AF4">
        <w:rPr>
          <w:rFonts w:asciiTheme="majorBidi" w:eastAsia="Times New Roman" w:hAnsiTheme="majorBidi" w:cstheme="majorBidi"/>
        </w:rPr>
        <w:t>Bellos</w:t>
      </w:r>
      <w:r w:rsidRPr="00CB7AF4">
        <w:rPr>
          <w:rFonts w:asciiTheme="majorBidi" w:eastAsia="Times New Roman" w:hAnsiTheme="majorBidi" w:cstheme="majorBidi"/>
        </w:rPr>
        <w:t xml:space="preserve"> : </w:t>
      </w:r>
      <w:r w:rsidRPr="00CB7AF4">
        <w:rPr>
          <w:rFonts w:asciiTheme="majorBidi" w:eastAsia="Calibri" w:hAnsiTheme="majorBidi" w:cstheme="majorBidi"/>
          <w:lang w:bidi="ar-AE"/>
        </w:rPr>
        <w:t>“Le sens est un contexte”</w:t>
      </w:r>
      <w:r w:rsidRPr="00CB7AF4">
        <w:rPr>
          <w:rFonts w:asciiTheme="majorBidi" w:eastAsia="Times New Roman" w:hAnsiTheme="majorBidi" w:cstheme="majorBidi"/>
          <w:vertAlign w:val="superscript"/>
          <w:lang w:bidi="ar-AE"/>
        </w:rPr>
        <w:footnoteReference w:id="92"/>
      </w:r>
      <w:r w:rsidRPr="00CB7AF4">
        <w:rPr>
          <w:rFonts w:asciiTheme="majorBidi" w:eastAsia="Times New Roman" w:hAnsiTheme="majorBidi" w:cstheme="majorBidi"/>
          <w:lang w:bidi="ar-EG"/>
        </w:rPr>
        <w:t>, comme nous l’avons vu.</w:t>
      </w:r>
    </w:p>
    <w:p w14:paraId="1AFB2859" w14:textId="77777777" w:rsidR="00561BDC" w:rsidRPr="00CB7AF4" w:rsidRDefault="00561BDC" w:rsidP="00CB7AF4">
      <w:pPr>
        <w:spacing w:line="360" w:lineRule="auto"/>
        <w:ind w:firstLine="708"/>
        <w:jc w:val="both"/>
        <w:rPr>
          <w:rFonts w:asciiTheme="majorBidi" w:eastAsia="Times New Roman" w:hAnsiTheme="majorBidi" w:cstheme="majorBidi"/>
          <w:lang w:bidi="ar-EG"/>
        </w:rPr>
      </w:pPr>
    </w:p>
    <w:p w14:paraId="3047B15B" w14:textId="77777777" w:rsidR="00561BDC" w:rsidRPr="00CB7AF4" w:rsidRDefault="00561BDC" w:rsidP="00CB7AF4">
      <w:pPr>
        <w:spacing w:line="360" w:lineRule="auto"/>
        <w:jc w:val="both"/>
        <w:rPr>
          <w:rFonts w:asciiTheme="majorBidi" w:eastAsia="Times New Roman" w:hAnsiTheme="majorBidi" w:cstheme="majorBidi"/>
          <w:b/>
          <w:bCs/>
          <w:lang w:bidi="ar-EG"/>
        </w:rPr>
      </w:pPr>
      <w:r w:rsidRPr="00CB7AF4">
        <w:rPr>
          <w:rFonts w:asciiTheme="majorBidi" w:eastAsia="Times New Roman" w:hAnsiTheme="majorBidi" w:cstheme="majorBidi"/>
          <w:b/>
          <w:bCs/>
          <w:lang w:bidi="ar-EG"/>
        </w:rPr>
        <w:t xml:space="preserve">La polysémie se manifeste dans la sourate </w:t>
      </w:r>
      <w:r w:rsidRPr="00CB7AF4">
        <w:rPr>
          <w:rFonts w:asciiTheme="majorBidi" w:eastAsia="Calibri" w:hAnsiTheme="majorBidi" w:cstheme="majorBidi"/>
          <w:b/>
          <w:bCs/>
          <w:i/>
          <w:iCs/>
          <w:lang w:bidi="ar-AE"/>
        </w:rPr>
        <w:t>Al-Ḥajj</w:t>
      </w:r>
      <w:r w:rsidRPr="00CB7AF4">
        <w:rPr>
          <w:rFonts w:asciiTheme="majorBidi" w:eastAsia="Times New Roman" w:hAnsiTheme="majorBidi" w:cstheme="majorBidi"/>
          <w:b/>
          <w:bCs/>
          <w:lang w:bidi="ar-EG"/>
        </w:rPr>
        <w:t xml:space="preserve"> dans deux manières :</w:t>
      </w:r>
    </w:p>
    <w:p w14:paraId="496BAD6D" w14:textId="016493F2" w:rsidR="00561BDC" w:rsidRPr="00CB7AF4" w:rsidRDefault="00561BDC" w:rsidP="007640DC">
      <w:pPr>
        <w:numPr>
          <w:ilvl w:val="0"/>
          <w:numId w:val="6"/>
        </w:numPr>
        <w:spacing w:line="360" w:lineRule="auto"/>
        <w:jc w:val="both"/>
        <w:rPr>
          <w:rFonts w:asciiTheme="majorBidi" w:eastAsia="Times New Roman" w:hAnsiTheme="majorBidi" w:cstheme="majorBidi"/>
          <w:lang w:bidi="ar-EG"/>
        </w:rPr>
      </w:pPr>
      <w:r w:rsidRPr="00CB7AF4">
        <w:rPr>
          <w:rFonts w:asciiTheme="majorBidi" w:eastAsia="Times New Roman" w:hAnsiTheme="majorBidi" w:cstheme="majorBidi"/>
          <w:lang w:bidi="ar-EG"/>
        </w:rPr>
        <w:t>La première manière de la polysémie est la répétition d’un même mot avec un sens différent (l’antanaclase</w:t>
      </w:r>
      <w:r w:rsidRPr="00CB7AF4">
        <w:rPr>
          <w:rFonts w:asciiTheme="majorBidi" w:eastAsia="Times New Roman" w:hAnsiTheme="majorBidi" w:cstheme="majorBidi"/>
          <w:vertAlign w:val="superscript"/>
          <w:lang w:bidi="ar-AE"/>
        </w:rPr>
        <w:footnoteReference w:id="93"/>
      </w:r>
      <w:r w:rsidRPr="00CB7AF4">
        <w:rPr>
          <w:rFonts w:asciiTheme="majorBidi" w:eastAsia="Times New Roman" w:hAnsiTheme="majorBidi" w:cstheme="majorBidi"/>
          <w:lang w:bidi="ar-EG"/>
        </w:rPr>
        <w:t xml:space="preserve">), c.à.d. à chaque place le même mot prend une signification différente selon le contexte. À titre d’exemple, le mot </w:t>
      </w:r>
      <w:r w:rsidRPr="00CB7AF4">
        <w:rPr>
          <w:rFonts w:asciiTheme="majorBidi" w:eastAsia="Times New Roman" w:hAnsiTheme="majorBidi" w:cstheme="majorBidi"/>
          <w:i/>
          <w:iCs/>
          <w:lang w:bidi="ar-EG"/>
        </w:rPr>
        <w:t>khayr</w:t>
      </w:r>
      <w:r w:rsidRPr="00CB7AF4">
        <w:rPr>
          <w:rFonts w:asciiTheme="majorBidi" w:eastAsia="Times New Roman" w:hAnsiTheme="majorBidi" w:cstheme="majorBidi"/>
          <w:lang w:bidi="ar-EG"/>
        </w:rPr>
        <w:t xml:space="preserve"> (répété dans les versets 11, 30, 36, 58 et 77) porte les sens : </w:t>
      </w:r>
      <w:r w:rsidRPr="00CB7AF4">
        <w:rPr>
          <w:rFonts w:asciiTheme="majorBidi" w:eastAsia="Times New Roman" w:hAnsiTheme="majorBidi" w:cstheme="majorBidi"/>
          <w:i/>
          <w:iCs/>
          <w:lang w:bidi="ar-EG"/>
        </w:rPr>
        <w:t>un avantage</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une récompense</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mieux</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meilleur</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par excellence</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bien</w:t>
      </w:r>
      <w:r w:rsidRPr="00CB7AF4">
        <w:rPr>
          <w:rFonts w:asciiTheme="majorBidi" w:eastAsia="Times New Roman" w:hAnsiTheme="majorBidi" w:cstheme="majorBidi"/>
          <w:lang w:bidi="ar-EG"/>
        </w:rPr>
        <w:t xml:space="preserve">. Et le mot </w:t>
      </w:r>
      <w:r w:rsidRPr="00CB7AF4">
        <w:rPr>
          <w:rFonts w:asciiTheme="majorBidi" w:eastAsia="Times New Roman" w:hAnsiTheme="majorBidi" w:cstheme="majorBidi"/>
          <w:i/>
          <w:iCs/>
          <w:lang w:bidi="ar-EG"/>
        </w:rPr>
        <w:t>an-nās</w:t>
      </w:r>
      <w:r w:rsidRPr="00CB7AF4">
        <w:rPr>
          <w:rFonts w:asciiTheme="majorBidi" w:eastAsia="Times New Roman" w:hAnsiTheme="majorBidi" w:cstheme="majorBidi"/>
          <w:lang w:bidi="ar-EG"/>
        </w:rPr>
        <w:t xml:space="preserve"> dans </w:t>
      </w:r>
      <w:r w:rsidRPr="00CB7AF4">
        <w:rPr>
          <w:rFonts w:asciiTheme="majorBidi" w:eastAsia="Times New Roman" w:hAnsiTheme="majorBidi" w:cstheme="majorBidi"/>
          <w:i/>
          <w:iCs/>
          <w:lang w:bidi="ar-EG"/>
        </w:rPr>
        <w:t>Yā</w:t>
      </w:r>
      <w:r w:rsidRPr="00CB7AF4">
        <w:rPr>
          <w:rFonts w:asciiTheme="majorBidi" w:eastAsia="Times New Roman" w:hAnsiTheme="majorBidi" w:cstheme="majorBidi"/>
          <w:i/>
          <w:iCs/>
        </w:rPr>
        <w:t xml:space="preserve"> </w:t>
      </w:r>
      <w:r w:rsidRPr="00CB7AF4">
        <w:rPr>
          <w:rFonts w:asciiTheme="majorBidi" w:eastAsia="Times New Roman" w:hAnsiTheme="majorBidi" w:cstheme="majorBidi"/>
          <w:i/>
          <w:iCs/>
          <w:lang w:bidi="ar-EG"/>
        </w:rPr>
        <w:t>ayyuha n-nās</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rPr>
        <w:t>Ô hommes !</w:t>
      </w:r>
      <w:r w:rsidRPr="00CB7AF4">
        <w:rPr>
          <w:rFonts w:asciiTheme="majorBidi" w:eastAsia="Times New Roman" w:hAnsiTheme="majorBidi" w:cstheme="majorBidi"/>
          <w:lang w:bidi="ar-EG"/>
        </w:rPr>
        <w:t xml:space="preserve">] (versets 1, 5, 49 et 73) signifie : </w:t>
      </w:r>
      <w:r w:rsidRPr="00CB7AF4">
        <w:rPr>
          <w:rFonts w:asciiTheme="majorBidi" w:eastAsia="Times New Roman" w:hAnsiTheme="majorBidi" w:cstheme="majorBidi"/>
          <w:i/>
          <w:iCs/>
          <w:lang w:bidi="ar-EG"/>
        </w:rPr>
        <w:t>les Mecquois</w:t>
      </w:r>
      <w:r w:rsidRPr="00CB7AF4">
        <w:rPr>
          <w:rFonts w:asciiTheme="majorBidi" w:eastAsia="Times New Roman" w:hAnsiTheme="majorBidi" w:cstheme="majorBidi"/>
          <w:lang w:bidi="ar-EG"/>
        </w:rPr>
        <w:t xml:space="preserve"> ou </w:t>
      </w:r>
      <w:r w:rsidRPr="00CB7AF4">
        <w:rPr>
          <w:rFonts w:asciiTheme="majorBidi" w:eastAsia="Times New Roman" w:hAnsiTheme="majorBidi" w:cstheme="majorBidi"/>
          <w:i/>
          <w:iCs/>
          <w:lang w:bidi="ar-EG"/>
        </w:rPr>
        <w:t xml:space="preserve">ceux qui écoutent le discours ou la </w:t>
      </w:r>
      <w:r w:rsidRPr="00CB7AF4">
        <w:rPr>
          <w:rFonts w:asciiTheme="majorBidi" w:eastAsia="Times New Roman" w:hAnsiTheme="majorBidi" w:cstheme="majorBidi"/>
          <w:i/>
          <w:iCs/>
          <w:lang w:bidi="ar-EG"/>
        </w:rPr>
        <w:lastRenderedPageBreak/>
        <w:t>prédication</w:t>
      </w:r>
      <w:r w:rsidRPr="00CB7AF4">
        <w:rPr>
          <w:rFonts w:asciiTheme="majorBidi" w:eastAsia="Times New Roman" w:hAnsiTheme="majorBidi" w:cstheme="majorBidi"/>
          <w:lang w:bidi="ar-EG"/>
        </w:rPr>
        <w:t xml:space="preserve"> (alors que</w:t>
      </w:r>
      <w:r w:rsidRPr="00CB7AF4">
        <w:rPr>
          <w:rFonts w:asciiTheme="majorBidi" w:eastAsia="Times New Roman" w:hAnsiTheme="majorBidi" w:cstheme="majorBidi"/>
          <w:i/>
          <w:iCs/>
          <w:lang w:bidi="ar-EG"/>
        </w:rPr>
        <w:t xml:space="preserve"> Yā</w:t>
      </w:r>
      <w:r w:rsidRPr="00CB7AF4">
        <w:rPr>
          <w:rFonts w:asciiTheme="majorBidi" w:eastAsia="Times New Roman" w:hAnsiTheme="majorBidi" w:cstheme="majorBidi"/>
          <w:i/>
          <w:iCs/>
        </w:rPr>
        <w:t xml:space="preserve"> </w:t>
      </w:r>
      <w:r w:rsidR="007C7389">
        <w:rPr>
          <w:rFonts w:asciiTheme="majorBidi" w:eastAsia="Times New Roman" w:hAnsiTheme="majorBidi" w:cstheme="majorBidi"/>
          <w:i/>
          <w:iCs/>
          <w:lang w:bidi="ar-EG"/>
        </w:rPr>
        <w:t xml:space="preserve">ayyuha-l-ladhīna </w:t>
      </w:r>
      <w:r w:rsidRPr="00CB7AF4">
        <w:rPr>
          <w:rFonts w:asciiTheme="majorBidi" w:eastAsia="Times New Roman" w:hAnsiTheme="majorBidi" w:cstheme="majorBidi"/>
          <w:i/>
          <w:iCs/>
          <w:lang w:bidi="ar-EG"/>
        </w:rPr>
        <w:t>āmanū</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rPr>
        <w:t>Ô vous qui croyez !</w:t>
      </w:r>
      <w:r w:rsidRPr="00CB7AF4">
        <w:rPr>
          <w:rFonts w:asciiTheme="majorBidi" w:eastAsia="Times New Roman" w:hAnsiTheme="majorBidi" w:cstheme="majorBidi"/>
          <w:lang w:bidi="ar-EG"/>
        </w:rPr>
        <w:t xml:space="preserve">] (verset 77) signifie : </w:t>
      </w:r>
      <w:r w:rsidRPr="00CB7AF4">
        <w:rPr>
          <w:rFonts w:asciiTheme="majorBidi" w:eastAsia="Times New Roman" w:hAnsiTheme="majorBidi" w:cstheme="majorBidi"/>
          <w:i/>
          <w:iCs/>
          <w:lang w:bidi="ar-EG"/>
        </w:rPr>
        <w:t>les Médinois</w:t>
      </w:r>
      <w:r w:rsidRPr="00CB7AF4">
        <w:rPr>
          <w:rFonts w:asciiTheme="majorBidi" w:eastAsia="Times New Roman" w:hAnsiTheme="majorBidi" w:cstheme="majorBidi"/>
          <w:lang w:bidi="ar-EG"/>
        </w:rPr>
        <w:t>)</w:t>
      </w:r>
      <w:r w:rsidRPr="00CB7AF4">
        <w:rPr>
          <w:rFonts w:asciiTheme="majorBidi" w:eastAsia="Times New Roman" w:hAnsiTheme="majorBidi" w:cstheme="majorBidi"/>
          <w:vertAlign w:val="superscript"/>
          <w:lang w:bidi="ar-AE"/>
        </w:rPr>
        <w:footnoteReference w:id="94"/>
      </w:r>
      <w:r w:rsidRPr="00CB7AF4">
        <w:rPr>
          <w:rFonts w:asciiTheme="majorBidi" w:eastAsia="Times New Roman" w:hAnsiTheme="majorBidi" w:cstheme="majorBidi"/>
          <w:lang w:bidi="ar-EG"/>
        </w:rPr>
        <w:t xml:space="preserve"> ; cependant, le même mot </w:t>
      </w:r>
      <w:r w:rsidRPr="00CB7AF4">
        <w:rPr>
          <w:rFonts w:asciiTheme="majorBidi" w:eastAsia="Times New Roman" w:hAnsiTheme="majorBidi" w:cstheme="majorBidi"/>
          <w:i/>
          <w:iCs/>
          <w:lang w:bidi="ar-EG"/>
        </w:rPr>
        <w:t>an-nās</w:t>
      </w:r>
      <w:r w:rsidRPr="00CB7AF4">
        <w:rPr>
          <w:rFonts w:asciiTheme="majorBidi" w:eastAsia="Times New Roman" w:hAnsiTheme="majorBidi" w:cstheme="majorBidi"/>
          <w:lang w:bidi="ar-EG"/>
        </w:rPr>
        <w:t xml:space="preserve"> répété dans le verset 2 signifie : </w:t>
      </w:r>
      <w:r w:rsidRPr="00CB7AF4">
        <w:rPr>
          <w:rFonts w:asciiTheme="majorBidi" w:eastAsia="Times New Roman" w:hAnsiTheme="majorBidi" w:cstheme="majorBidi"/>
          <w:i/>
          <w:iCs/>
          <w:lang w:bidi="ar-EG"/>
        </w:rPr>
        <w:t>les êtres humains</w:t>
      </w:r>
      <w:r w:rsidRPr="00CB7AF4">
        <w:rPr>
          <w:rFonts w:asciiTheme="majorBidi" w:eastAsia="Times New Roman" w:hAnsiTheme="majorBidi" w:cstheme="majorBidi"/>
          <w:lang w:bidi="ar-EG"/>
        </w:rPr>
        <w:t xml:space="preserve">. Le semi-verbe </w:t>
      </w:r>
      <w:r w:rsidRPr="00CB7AF4">
        <w:rPr>
          <w:rFonts w:asciiTheme="majorBidi" w:eastAsia="Times New Roman" w:hAnsiTheme="majorBidi" w:cstheme="majorBidi"/>
          <w:i/>
          <w:iCs/>
          <w:lang w:bidi="ar-EG"/>
        </w:rPr>
        <w:t>kāna</w:t>
      </w:r>
      <w:r w:rsidRPr="00CB7AF4">
        <w:rPr>
          <w:rFonts w:asciiTheme="majorBidi" w:eastAsia="Times New Roman" w:hAnsiTheme="majorBidi" w:cstheme="majorBidi"/>
          <w:lang w:bidi="ar-EG"/>
        </w:rPr>
        <w:t xml:space="preserve"> (versets 5, 15, 44, 46, 69 et 78) n’indique pas toujours le même sens. </w:t>
      </w:r>
      <w:r w:rsidRPr="00CB7AF4">
        <w:rPr>
          <w:rFonts w:asciiTheme="majorBidi" w:eastAsia="Calibri" w:hAnsiTheme="majorBidi" w:cstheme="majorBidi"/>
          <w:lang w:bidi="ar-AE"/>
        </w:rPr>
        <w:t xml:space="preserve">La particule adverbiale </w:t>
      </w:r>
      <w:r w:rsidRPr="00CB7AF4">
        <w:rPr>
          <w:rFonts w:asciiTheme="majorBidi" w:eastAsia="Calibri" w:hAnsiTheme="majorBidi" w:cstheme="majorBidi"/>
          <w:i/>
          <w:iCs/>
          <w:lang w:bidi="ar-AE"/>
        </w:rPr>
        <w:t>inna</w:t>
      </w:r>
      <w:r w:rsidRPr="00CB7AF4">
        <w:rPr>
          <w:rFonts w:asciiTheme="majorBidi" w:eastAsia="Calibri" w:hAnsiTheme="majorBidi" w:cstheme="majorBidi"/>
          <w:lang w:bidi="ar-AE"/>
        </w:rPr>
        <w:t xml:space="preserve"> (avec sa variante</w:t>
      </w:r>
      <w:r w:rsidR="004D1F75">
        <w:rPr>
          <w:rFonts w:asciiTheme="majorBidi" w:eastAsia="Calibri" w:hAnsiTheme="majorBidi" w:cstheme="majorBidi"/>
          <w:i/>
          <w:iCs/>
          <w:lang w:bidi="ar-AE"/>
        </w:rPr>
        <w:t xml:space="preserve"> </w:t>
      </w:r>
      <w:r w:rsidRPr="00CB7AF4">
        <w:rPr>
          <w:rFonts w:asciiTheme="majorBidi" w:eastAsia="Calibri" w:hAnsiTheme="majorBidi" w:cstheme="majorBidi"/>
          <w:i/>
          <w:iCs/>
          <w:lang w:bidi="ar-AE"/>
        </w:rPr>
        <w:t>anna</w:t>
      </w:r>
      <w:r w:rsidRPr="00CB7AF4">
        <w:rPr>
          <w:rFonts w:asciiTheme="majorBidi" w:eastAsia="Calibri" w:hAnsiTheme="majorBidi" w:cstheme="majorBidi"/>
          <w:lang w:bidi="ar-AE"/>
        </w:rPr>
        <w:t xml:space="preserve">) n’a pas toujours une valeur affirmative, mais elle peut avoir un sens déclaratif ou introductif sans aucune affirmation, ou elle peut être utilisée comme un complémenteur (conjonction de subordination) nominalisant une phrase (correspondant à la particule </w:t>
      </w:r>
      <w:r w:rsidRPr="00CB7AF4">
        <w:rPr>
          <w:rFonts w:asciiTheme="majorBidi" w:eastAsia="Calibri" w:hAnsiTheme="majorBidi" w:cstheme="majorBidi"/>
          <w:i/>
          <w:iCs/>
          <w:lang w:bidi="ar-AE"/>
        </w:rPr>
        <w:t>Que</w:t>
      </w:r>
      <w:r w:rsidRPr="00CB7AF4">
        <w:rPr>
          <w:rFonts w:asciiTheme="majorBidi" w:eastAsia="Calibri" w:hAnsiTheme="majorBidi" w:cstheme="majorBidi"/>
          <w:lang w:bidi="ar-AE"/>
        </w:rPr>
        <w:t xml:space="preserve">). Dans la sourate </w:t>
      </w:r>
      <w:r w:rsidRPr="00CB7AF4">
        <w:rPr>
          <w:rFonts w:asciiTheme="majorBidi" w:eastAsia="Calibri" w:hAnsiTheme="majorBidi" w:cstheme="majorBidi"/>
          <w:i/>
          <w:iCs/>
          <w:lang w:bidi="ar-AE"/>
        </w:rPr>
        <w:t>Al-Ḥajj</w:t>
      </w:r>
      <w:r w:rsidRPr="00CB7AF4">
        <w:rPr>
          <w:rFonts w:asciiTheme="majorBidi" w:eastAsia="Calibri" w:hAnsiTheme="majorBidi" w:cstheme="majorBidi"/>
          <w:lang w:bidi="ar-AE"/>
        </w:rPr>
        <w:t xml:space="preserve"> en particulier, cette particule a également un effet stylistique, prosodique allitératif et assonantique (pour avoir une assonance à cas nominatif et non pas accusatif); par exemple, la même phrase (</w:t>
      </w:r>
      <w:r w:rsidRPr="00CB7AF4">
        <w:rPr>
          <w:rFonts w:asciiTheme="majorBidi" w:eastAsia="Calibri" w:hAnsiTheme="majorBidi" w:cstheme="majorBidi"/>
          <w:b/>
          <w:bCs/>
          <w:i/>
          <w:iCs/>
          <w:lang w:bidi="ar-AE"/>
        </w:rPr>
        <w:t>Inna</w:t>
      </w:r>
      <w:r w:rsidR="004D1F75">
        <w:rPr>
          <w:rFonts w:asciiTheme="majorBidi" w:eastAsia="Calibri" w:hAnsiTheme="majorBidi" w:cstheme="majorBidi"/>
          <w:i/>
          <w:iCs/>
          <w:lang w:bidi="ar-AE"/>
        </w:rPr>
        <w:t xml:space="preserve"> d</w:t>
      </w:r>
      <w:r w:rsidRPr="00CB7AF4">
        <w:rPr>
          <w:rFonts w:asciiTheme="majorBidi" w:eastAsia="Calibri" w:hAnsiTheme="majorBidi" w:cstheme="majorBidi"/>
          <w:i/>
          <w:iCs/>
          <w:lang w:bidi="ar-AE"/>
        </w:rPr>
        <w:t xml:space="preserve">hālika ʿala-llāhi </w:t>
      </w:r>
      <w:r w:rsidRPr="00CB7AF4">
        <w:rPr>
          <w:rFonts w:asciiTheme="majorBidi" w:eastAsia="Calibri" w:hAnsiTheme="majorBidi" w:cstheme="majorBidi"/>
          <w:i/>
          <w:iCs/>
          <w:u w:val="single"/>
          <w:lang w:bidi="ar-AE"/>
        </w:rPr>
        <w:t>yasīr</w:t>
      </w:r>
      <w:r w:rsidRPr="00CB7AF4">
        <w:rPr>
          <w:rFonts w:asciiTheme="majorBidi" w:eastAsia="Calibri" w:hAnsiTheme="majorBidi" w:cstheme="majorBidi"/>
          <w:lang w:bidi="ar-AE"/>
        </w:rPr>
        <w:t>) [</w:t>
      </w:r>
      <w:r w:rsidRPr="00CB7AF4">
        <w:rPr>
          <w:rFonts w:asciiTheme="majorBidi" w:eastAsia="Calibri" w:hAnsiTheme="majorBidi" w:cstheme="majorBidi"/>
          <w:i/>
          <w:iCs/>
          <w:lang w:bidi="ar-AE"/>
        </w:rPr>
        <w:t>C’est pour Dieu bien aisé</w:t>
      </w:r>
      <w:r w:rsidRPr="00CB7AF4">
        <w:rPr>
          <w:rFonts w:asciiTheme="majorBidi" w:eastAsia="Calibri" w:hAnsiTheme="majorBidi" w:cstheme="majorBidi"/>
          <w:lang w:bidi="ar-AE"/>
        </w:rPr>
        <w:t xml:space="preserve">] dans le verset 70 de la sourate </w:t>
      </w:r>
      <w:r w:rsidRPr="00CB7AF4">
        <w:rPr>
          <w:rFonts w:asciiTheme="majorBidi" w:eastAsia="Calibri" w:hAnsiTheme="majorBidi" w:cstheme="majorBidi"/>
          <w:i/>
          <w:iCs/>
          <w:lang w:bidi="ar-AE"/>
        </w:rPr>
        <w:t>Al-Ḥajj</w:t>
      </w:r>
      <w:r w:rsidRPr="00CB7AF4">
        <w:rPr>
          <w:rFonts w:asciiTheme="majorBidi" w:eastAsia="Calibri" w:hAnsiTheme="majorBidi" w:cstheme="majorBidi"/>
          <w:lang w:bidi="ar-AE"/>
        </w:rPr>
        <w:t xml:space="preserve"> a été utilisé dans une autre sourate avec une assonance à cas accusatif (IV, 169) non pas avec la particule </w:t>
      </w:r>
      <w:r w:rsidRPr="00CB7AF4">
        <w:rPr>
          <w:rFonts w:asciiTheme="majorBidi" w:eastAsia="Calibri" w:hAnsiTheme="majorBidi" w:cstheme="majorBidi"/>
          <w:i/>
          <w:iCs/>
          <w:lang w:bidi="ar-AE"/>
        </w:rPr>
        <w:t>inna</w:t>
      </w:r>
      <w:r w:rsidRPr="00CB7AF4">
        <w:rPr>
          <w:rFonts w:asciiTheme="majorBidi" w:eastAsia="Calibri" w:hAnsiTheme="majorBidi" w:cstheme="majorBidi"/>
          <w:lang w:bidi="ar-AE"/>
        </w:rPr>
        <w:t xml:space="preserve"> mais avec le semi-verbe </w:t>
      </w:r>
      <w:r w:rsidRPr="00CB7AF4">
        <w:rPr>
          <w:rFonts w:asciiTheme="majorBidi" w:eastAsia="Calibri" w:hAnsiTheme="majorBidi" w:cstheme="majorBidi"/>
          <w:i/>
          <w:iCs/>
          <w:lang w:bidi="ar-AE"/>
        </w:rPr>
        <w:t>kāna</w:t>
      </w:r>
      <w:r w:rsidRPr="00CB7AF4">
        <w:rPr>
          <w:rFonts w:asciiTheme="majorBidi" w:eastAsia="Calibri" w:hAnsiTheme="majorBidi" w:cstheme="majorBidi"/>
          <w:lang w:bidi="ar-AE"/>
        </w:rPr>
        <w:t xml:space="preserve"> (</w:t>
      </w:r>
      <w:r w:rsidRPr="00CB7AF4">
        <w:rPr>
          <w:rFonts w:asciiTheme="majorBidi" w:eastAsia="Calibri" w:hAnsiTheme="majorBidi" w:cstheme="majorBidi"/>
          <w:b/>
          <w:bCs/>
          <w:i/>
          <w:iCs/>
          <w:lang w:bidi="ar-AE"/>
        </w:rPr>
        <w:t>kāna</w:t>
      </w:r>
      <w:r w:rsidR="004D1F75">
        <w:rPr>
          <w:rFonts w:asciiTheme="majorBidi" w:eastAsia="Calibri" w:hAnsiTheme="majorBidi" w:cstheme="majorBidi"/>
          <w:i/>
          <w:iCs/>
          <w:lang w:bidi="ar-AE"/>
        </w:rPr>
        <w:t xml:space="preserve"> d</w:t>
      </w:r>
      <w:r w:rsidRPr="00CB7AF4">
        <w:rPr>
          <w:rFonts w:asciiTheme="majorBidi" w:eastAsia="Calibri" w:hAnsiTheme="majorBidi" w:cstheme="majorBidi"/>
          <w:i/>
          <w:iCs/>
          <w:lang w:bidi="ar-AE"/>
        </w:rPr>
        <w:t xml:space="preserve">hālika ʿala-llāhi </w:t>
      </w:r>
      <w:r w:rsidRPr="00CB7AF4">
        <w:rPr>
          <w:rFonts w:asciiTheme="majorBidi" w:eastAsia="Calibri" w:hAnsiTheme="majorBidi" w:cstheme="majorBidi"/>
          <w:i/>
          <w:iCs/>
          <w:u w:val="single"/>
          <w:lang w:bidi="ar-AE"/>
        </w:rPr>
        <w:t>yasīr</w:t>
      </w:r>
      <w:r w:rsidRPr="00CB7AF4">
        <w:rPr>
          <w:rFonts w:asciiTheme="majorBidi" w:eastAsia="Calibri" w:hAnsiTheme="majorBidi" w:cstheme="majorBidi"/>
          <w:b/>
          <w:bCs/>
          <w:i/>
          <w:iCs/>
          <w:u w:val="single"/>
          <w:lang w:bidi="ar-AE"/>
        </w:rPr>
        <w:t>ā</w:t>
      </w:r>
      <w:r w:rsidRPr="00CB7AF4">
        <w:rPr>
          <w:rFonts w:asciiTheme="majorBidi" w:eastAsia="Calibri" w:hAnsiTheme="majorBidi" w:cstheme="majorBidi"/>
          <w:lang w:bidi="ar-AE"/>
        </w:rPr>
        <w:t>).</w:t>
      </w:r>
      <w:r w:rsidRPr="00CB7AF4">
        <w:rPr>
          <w:rFonts w:asciiTheme="majorBidi" w:eastAsia="Times New Roman" w:hAnsiTheme="majorBidi" w:cstheme="majorBidi"/>
          <w:lang w:bidi="ar-EG"/>
        </w:rPr>
        <w:t xml:space="preserve"> De manière générale, nous remarquons que le Coran utilise </w:t>
      </w:r>
      <w:r w:rsidRPr="00286807">
        <w:rPr>
          <w:rFonts w:asciiTheme="majorBidi" w:eastAsia="Times New Roman" w:hAnsiTheme="majorBidi" w:cstheme="majorBidi"/>
          <w:lang w:bidi="ar-EG"/>
        </w:rPr>
        <w:t xml:space="preserve">abondamment </w:t>
      </w:r>
      <w:r w:rsidRPr="00286807">
        <w:rPr>
          <w:rFonts w:asciiTheme="majorBidi" w:eastAsia="Calibri" w:hAnsiTheme="majorBidi" w:cstheme="majorBidi"/>
          <w:i/>
          <w:iCs/>
          <w:lang w:bidi="ar-AE"/>
        </w:rPr>
        <w:t>kāna</w:t>
      </w:r>
      <w:r w:rsidRPr="00286807">
        <w:rPr>
          <w:rFonts w:asciiTheme="majorBidi" w:eastAsia="Calibri" w:hAnsiTheme="majorBidi" w:cstheme="majorBidi"/>
          <w:lang w:bidi="ar-AE"/>
        </w:rPr>
        <w:t xml:space="preserve"> dans les versets d’assonance à cas accusatif (ex. : la sourate XXXIII [</w:t>
      </w:r>
      <w:r w:rsidR="004D1F75" w:rsidRPr="00286807">
        <w:rPr>
          <w:rFonts w:asciiTheme="majorBidi" w:eastAsia="Calibri" w:hAnsiTheme="majorBidi" w:cstheme="majorBidi"/>
          <w:i/>
          <w:iCs/>
          <w:lang w:bidi="ar-AE"/>
        </w:rPr>
        <w:t>Al-A</w:t>
      </w:r>
      <w:r w:rsidRPr="00286807">
        <w:rPr>
          <w:rFonts w:asciiTheme="majorBidi" w:eastAsia="Calibri" w:hAnsiTheme="majorBidi" w:cstheme="majorBidi"/>
          <w:i/>
          <w:iCs/>
          <w:lang w:bidi="ar-AE"/>
        </w:rPr>
        <w:t>ḥzāb</w:t>
      </w:r>
      <w:r w:rsidRPr="00286807">
        <w:rPr>
          <w:rFonts w:asciiTheme="majorBidi" w:eastAsia="Calibri" w:hAnsiTheme="majorBidi" w:cstheme="majorBidi"/>
          <w:lang w:bidi="ar-AE"/>
        </w:rPr>
        <w:t>]),</w:t>
      </w:r>
      <w:r w:rsidRPr="00CB7AF4">
        <w:rPr>
          <w:rFonts w:asciiTheme="majorBidi" w:eastAsia="Calibri" w:hAnsiTheme="majorBidi" w:cstheme="majorBidi"/>
          <w:lang w:bidi="ar-AE"/>
        </w:rPr>
        <w:t xml:space="preserve"> tandis qu’il utilise beaucoup</w:t>
      </w:r>
      <w:r w:rsidRPr="00CB7AF4">
        <w:rPr>
          <w:rFonts w:asciiTheme="majorBidi" w:eastAsia="Calibri" w:hAnsiTheme="majorBidi" w:cstheme="majorBidi"/>
          <w:b/>
          <w:bCs/>
          <w:i/>
          <w:iCs/>
          <w:lang w:bidi="ar-AE"/>
        </w:rPr>
        <w:t xml:space="preserve"> </w:t>
      </w:r>
      <w:r w:rsidRPr="00CB7AF4">
        <w:rPr>
          <w:rFonts w:asciiTheme="majorBidi" w:eastAsia="Calibri" w:hAnsiTheme="majorBidi" w:cstheme="majorBidi"/>
          <w:i/>
          <w:iCs/>
          <w:lang w:bidi="ar-AE"/>
        </w:rPr>
        <w:t>inna</w:t>
      </w:r>
      <w:r w:rsidRPr="00CB7AF4">
        <w:rPr>
          <w:rFonts w:asciiTheme="majorBidi" w:eastAsia="Times New Roman" w:hAnsiTheme="majorBidi" w:cstheme="majorBidi"/>
          <w:lang w:bidi="ar-EG"/>
        </w:rPr>
        <w:t xml:space="preserve"> dans les versets d’assonance à cas nominatif (ex. : la sourate </w:t>
      </w:r>
      <w:r w:rsidRPr="00CB7AF4">
        <w:rPr>
          <w:rFonts w:asciiTheme="majorBidi" w:eastAsia="Calibri" w:hAnsiTheme="majorBidi" w:cstheme="majorBidi"/>
          <w:i/>
          <w:iCs/>
          <w:lang w:bidi="ar-AE"/>
        </w:rPr>
        <w:t>Al-Ḥajj</w:t>
      </w:r>
      <w:r w:rsidRPr="00CB7AF4">
        <w:rPr>
          <w:rFonts w:asciiTheme="majorBidi" w:eastAsia="Times New Roman" w:hAnsiTheme="majorBidi" w:cstheme="majorBidi"/>
          <w:lang w:bidi="ar-EG"/>
        </w:rPr>
        <w:t xml:space="preserve">). Le mot </w:t>
      </w:r>
      <w:r w:rsidR="00D71A6A">
        <w:rPr>
          <w:rFonts w:asciiTheme="majorBidi" w:eastAsia="Times New Roman" w:hAnsiTheme="majorBidi" w:cstheme="majorBidi"/>
          <w:i/>
          <w:iCs/>
          <w:lang w:bidi="ar-EG"/>
        </w:rPr>
        <w:t>k</w:t>
      </w:r>
      <w:r w:rsidRPr="00CB7AF4">
        <w:rPr>
          <w:rFonts w:asciiTheme="majorBidi" w:eastAsia="Times New Roman" w:hAnsiTheme="majorBidi" w:cstheme="majorBidi"/>
          <w:i/>
          <w:iCs/>
          <w:lang w:bidi="ar-EG"/>
        </w:rPr>
        <w:t>itāb</w:t>
      </w:r>
      <w:r w:rsidRPr="00CB7AF4">
        <w:rPr>
          <w:rFonts w:asciiTheme="majorBidi" w:eastAsia="Times New Roman" w:hAnsiTheme="majorBidi" w:cstheme="majorBidi"/>
          <w:lang w:bidi="ar-EG"/>
        </w:rPr>
        <w:t xml:space="preserve"> dans le verset 8</w:t>
      </w:r>
      <w:r w:rsidR="00D71A6A">
        <w:rPr>
          <w:rFonts w:asciiTheme="majorBidi" w:eastAsia="Times New Roman" w:hAnsiTheme="majorBidi" w:cstheme="majorBidi"/>
          <w:lang w:bidi="ar-EG"/>
        </w:rPr>
        <w:t xml:space="preserve"> n’a pas le même sens que le</w:t>
      </w:r>
      <w:r w:rsidRPr="00CB7AF4">
        <w:rPr>
          <w:rFonts w:asciiTheme="majorBidi" w:eastAsia="Times New Roman" w:hAnsiTheme="majorBidi" w:cstheme="majorBidi"/>
          <w:lang w:bidi="ar-EG"/>
        </w:rPr>
        <w:t xml:space="preserve"> </w:t>
      </w:r>
      <w:r w:rsidR="00D71A6A">
        <w:rPr>
          <w:rFonts w:asciiTheme="majorBidi" w:eastAsia="Times New Roman" w:hAnsiTheme="majorBidi" w:cstheme="majorBidi"/>
          <w:i/>
          <w:iCs/>
          <w:lang w:bidi="ar-EG"/>
        </w:rPr>
        <w:t>k</w:t>
      </w:r>
      <w:r w:rsidRPr="00CB7AF4">
        <w:rPr>
          <w:rFonts w:asciiTheme="majorBidi" w:eastAsia="Times New Roman" w:hAnsiTheme="majorBidi" w:cstheme="majorBidi"/>
          <w:i/>
          <w:iCs/>
          <w:lang w:bidi="ar-EG"/>
        </w:rPr>
        <w:t>itāb</w:t>
      </w:r>
      <w:r w:rsidRPr="00CB7AF4">
        <w:rPr>
          <w:rFonts w:asciiTheme="majorBidi" w:eastAsia="Times New Roman" w:hAnsiTheme="majorBidi" w:cstheme="majorBidi"/>
          <w:lang w:bidi="ar-EG"/>
        </w:rPr>
        <w:t xml:space="preserve"> évoqué dans le verset 70. Par contre, en face de l’antanaclase</w:t>
      </w:r>
      <w:r w:rsidRPr="00CB7AF4">
        <w:rPr>
          <w:rFonts w:asciiTheme="majorBidi" w:eastAsia="Times New Roman" w:hAnsiTheme="majorBidi" w:cstheme="majorBidi"/>
        </w:rPr>
        <w:t xml:space="preserve"> </w:t>
      </w:r>
      <w:r w:rsidRPr="00CB7AF4">
        <w:rPr>
          <w:rFonts w:asciiTheme="majorBidi" w:eastAsia="Times New Roman" w:hAnsiTheme="majorBidi" w:cstheme="majorBidi"/>
          <w:lang w:bidi="ar-EG"/>
        </w:rPr>
        <w:t>(répétition d’un même mot avec un sens différent), on trouve l’utilisation de plusieurs mots pour désigner presque un même sens (</w:t>
      </w:r>
      <w:r w:rsidRPr="00CB7AF4">
        <w:rPr>
          <w:rFonts w:asciiTheme="majorBidi" w:eastAsia="Times New Roman" w:hAnsiTheme="majorBidi" w:cstheme="majorBidi"/>
          <w:i/>
          <w:iCs/>
          <w:lang w:bidi="ar-EG"/>
        </w:rPr>
        <w:t>tarāduf</w:t>
      </w:r>
      <w:r w:rsidRPr="00CB7AF4">
        <w:rPr>
          <w:rFonts w:asciiTheme="majorBidi" w:eastAsia="Times New Roman" w:hAnsiTheme="majorBidi" w:cstheme="majorBidi"/>
          <w:lang w:bidi="ar-EG"/>
        </w:rPr>
        <w:t xml:space="preserve"> [synonymie]), un procédé que dénie l’islamologue réformateur et l’exégète syrien Muḥammad Shaḥrūr (né en 1938)</w:t>
      </w:r>
      <w:r w:rsidR="00D71A6A">
        <w:rPr>
          <w:rFonts w:asciiTheme="majorBidi" w:eastAsia="Times New Roman" w:hAnsiTheme="majorBidi" w:cstheme="majorBidi"/>
          <w:lang w:bidi="ar-EG"/>
        </w:rPr>
        <w:t>,</w:t>
      </w:r>
      <w:r w:rsidRPr="00CB7AF4">
        <w:rPr>
          <w:rFonts w:asciiTheme="majorBidi" w:eastAsia="Times New Roman" w:hAnsiTheme="majorBidi" w:cstheme="majorBidi"/>
          <w:lang w:bidi="ar-EG"/>
        </w:rPr>
        <w:t xml:space="preserve"> qui précise que la synonymie se trouve dans la poésie et non pas dans le Coran</w:t>
      </w:r>
      <w:r w:rsidRPr="00CB7AF4">
        <w:rPr>
          <w:rFonts w:asciiTheme="majorBidi" w:eastAsia="Times New Roman" w:hAnsiTheme="majorBidi" w:cstheme="majorBidi"/>
          <w:vertAlign w:val="superscript"/>
          <w:lang w:bidi="ar-AE"/>
        </w:rPr>
        <w:footnoteReference w:id="95"/>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lang w:bidi="ar-EG"/>
        </w:rPr>
        <w:lastRenderedPageBreak/>
        <w:t>parce que le langage coranique fait la distinction entre les synonymes. Contrairement à ce que pensent les exégètes musulmans, Shaḥrūr cons</w:t>
      </w:r>
      <w:r w:rsidR="00D71A6A">
        <w:rPr>
          <w:rFonts w:asciiTheme="majorBidi" w:eastAsia="Times New Roman" w:hAnsiTheme="majorBidi" w:cstheme="majorBidi"/>
          <w:lang w:bidi="ar-EG"/>
        </w:rPr>
        <w:t>idère par exemple que le sens de</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kitāb</w:t>
      </w:r>
      <w:r w:rsidR="00D71A6A">
        <w:rPr>
          <w:rFonts w:asciiTheme="majorBidi" w:eastAsia="Times New Roman" w:hAnsiTheme="majorBidi" w:cstheme="majorBidi"/>
          <w:lang w:bidi="ar-EG"/>
        </w:rPr>
        <w:t xml:space="preserve"> [l</w:t>
      </w:r>
      <w:r w:rsidRPr="00CB7AF4">
        <w:rPr>
          <w:rFonts w:asciiTheme="majorBidi" w:eastAsia="Times New Roman" w:hAnsiTheme="majorBidi" w:cstheme="majorBidi"/>
          <w:lang w:bidi="ar-EG"/>
        </w:rPr>
        <w:t xml:space="preserve">ivre] est différent de celui du </w:t>
      </w:r>
      <w:r w:rsidRPr="00CB7AF4">
        <w:rPr>
          <w:rFonts w:asciiTheme="majorBidi" w:eastAsia="Times New Roman" w:hAnsiTheme="majorBidi" w:cstheme="majorBidi"/>
          <w:i/>
          <w:iCs/>
          <w:lang w:bidi="ar-EG"/>
        </w:rPr>
        <w:t>dhikr</w:t>
      </w:r>
      <w:r w:rsidRPr="00CB7AF4">
        <w:rPr>
          <w:rFonts w:asciiTheme="majorBidi" w:eastAsia="Times New Roman" w:hAnsiTheme="majorBidi" w:cstheme="majorBidi"/>
          <w:lang w:bidi="ar-EG"/>
        </w:rPr>
        <w:t xml:space="preserve"> [évocation ou rappel], du Coran et du </w:t>
      </w:r>
      <w:r w:rsidRPr="00CB7AF4">
        <w:rPr>
          <w:rFonts w:asciiTheme="majorBidi" w:eastAsia="Times New Roman" w:hAnsiTheme="majorBidi" w:cstheme="majorBidi"/>
          <w:i/>
          <w:iCs/>
          <w:lang w:bidi="ar-EG"/>
        </w:rPr>
        <w:t>furqān</w:t>
      </w:r>
      <w:r w:rsidR="00D71A6A">
        <w:rPr>
          <w:rFonts w:asciiTheme="majorBidi" w:eastAsia="Times New Roman" w:hAnsiTheme="majorBidi" w:cstheme="majorBidi"/>
          <w:lang w:bidi="ar-EG"/>
        </w:rPr>
        <w:t xml:space="preserve"> [l</w:t>
      </w:r>
      <w:r w:rsidRPr="00CB7AF4">
        <w:rPr>
          <w:rFonts w:asciiTheme="majorBidi" w:eastAsia="Times New Roman" w:hAnsiTheme="majorBidi" w:cstheme="majorBidi"/>
          <w:lang w:bidi="ar-EG"/>
        </w:rPr>
        <w:t>ivre du discernement]</w:t>
      </w:r>
      <w:r w:rsidRPr="00CB7AF4">
        <w:rPr>
          <w:rFonts w:asciiTheme="majorBidi" w:eastAsia="Times New Roman" w:hAnsiTheme="majorBidi" w:cstheme="majorBidi"/>
          <w:vertAlign w:val="superscript"/>
          <w:lang w:bidi="ar-AE"/>
        </w:rPr>
        <w:footnoteReference w:id="96"/>
      </w:r>
      <w:r w:rsidRPr="00CB7AF4">
        <w:rPr>
          <w:rFonts w:asciiTheme="majorBidi" w:eastAsia="Times New Roman" w:hAnsiTheme="majorBidi" w:cstheme="majorBidi"/>
          <w:lang w:bidi="ar-EG"/>
        </w:rPr>
        <w:t xml:space="preserve"> alors que les autres exégètes considèrent ces trois mots comme des synonymes parfaits qui désignent </w:t>
      </w:r>
      <w:r w:rsidRPr="00CB7AF4">
        <w:rPr>
          <w:rFonts w:asciiTheme="majorBidi" w:eastAsia="Times New Roman" w:hAnsiTheme="majorBidi" w:cstheme="majorBidi"/>
          <w:i/>
          <w:iCs/>
          <w:lang w:bidi="ar-EG"/>
        </w:rPr>
        <w:t>le Coran</w:t>
      </w:r>
      <w:r w:rsidRPr="00CB7AF4">
        <w:rPr>
          <w:rFonts w:asciiTheme="majorBidi" w:eastAsia="Times New Roman" w:hAnsiTheme="majorBidi" w:cstheme="majorBidi"/>
          <w:lang w:bidi="ar-EG"/>
        </w:rPr>
        <w:t xml:space="preserve">. Pour Shaḥrūr, le Coran est une guidance pour [tous] les hommes, alors que le </w:t>
      </w:r>
      <w:r w:rsidRPr="00CB7AF4">
        <w:rPr>
          <w:rFonts w:asciiTheme="majorBidi" w:eastAsia="Times New Roman" w:hAnsiTheme="majorBidi" w:cstheme="majorBidi"/>
          <w:i/>
          <w:iCs/>
          <w:lang w:bidi="ar-EG"/>
        </w:rPr>
        <w:t>Kitāb</w:t>
      </w:r>
      <w:r w:rsidRPr="00CB7AF4">
        <w:rPr>
          <w:rFonts w:asciiTheme="majorBidi" w:eastAsia="Times New Roman" w:hAnsiTheme="majorBidi" w:cstheme="majorBidi"/>
          <w:lang w:bidi="ar-EG"/>
        </w:rPr>
        <w:t xml:space="preserve"> est une guidance seulement pour ceux qui craignent le Seigneur. L’ouvrage de Shaḥrūr ainsi que sa position (en tant que détracteur de la synonymie dans le Coran et défenseur de l’approche linguistique au détriment de la tradition pour déterminer le sens des mots) ont irrité les oulémas qui ont émis en 2003 une fatwa pour interdire la publication de ce livre et mettre en garde contre ses idées</w:t>
      </w:r>
      <w:r w:rsidRPr="00CB7AF4">
        <w:rPr>
          <w:rFonts w:asciiTheme="majorBidi" w:eastAsia="Times New Roman" w:hAnsiTheme="majorBidi" w:cstheme="majorBidi"/>
          <w:vertAlign w:val="superscript"/>
          <w:lang w:bidi="ar-AE"/>
        </w:rPr>
        <w:footnoteReference w:id="97"/>
      </w:r>
      <w:r w:rsidRPr="00CB7AF4">
        <w:rPr>
          <w:rFonts w:asciiTheme="majorBidi" w:eastAsia="Times New Roman" w:hAnsiTheme="majorBidi" w:cstheme="majorBidi"/>
          <w:lang w:bidi="ar-EG"/>
        </w:rPr>
        <w:t xml:space="preserve">. Dans la sourate </w:t>
      </w:r>
      <w:r w:rsidRPr="00CB7AF4">
        <w:rPr>
          <w:rFonts w:asciiTheme="majorBidi" w:eastAsia="Times New Roman" w:hAnsiTheme="majorBidi" w:cstheme="majorBidi"/>
          <w:i/>
          <w:iCs/>
          <w:lang w:bidi="ar-EG"/>
        </w:rPr>
        <w:t>Al-Ḥajj</w:t>
      </w:r>
      <w:r w:rsidR="00D71A6A">
        <w:rPr>
          <w:rFonts w:asciiTheme="majorBidi" w:eastAsia="Times New Roman" w:hAnsiTheme="majorBidi" w:cstheme="majorBidi"/>
          <w:lang w:bidi="ar-EG"/>
        </w:rPr>
        <w:t>, les mots</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nār</w:t>
      </w:r>
      <w:r w:rsidRPr="00CB7AF4">
        <w:rPr>
          <w:rFonts w:asciiTheme="majorBidi" w:eastAsia="Times New Roman" w:hAnsiTheme="majorBidi" w:cstheme="majorBidi"/>
          <w:lang w:bidi="ar-EG"/>
        </w:rPr>
        <w:t xml:space="preserve"> [feu] (versets 19 et 72), </w:t>
      </w:r>
      <w:r w:rsidRPr="00CB7AF4">
        <w:rPr>
          <w:rFonts w:asciiTheme="majorBidi" w:eastAsia="Times New Roman" w:hAnsiTheme="majorBidi" w:cstheme="majorBidi"/>
          <w:i/>
          <w:iCs/>
          <w:lang w:bidi="ar-EG"/>
        </w:rPr>
        <w:t>ʿadhāb</w:t>
      </w:r>
      <w:r w:rsidRPr="00CB7AF4">
        <w:rPr>
          <w:rFonts w:asciiTheme="majorBidi" w:eastAsia="Times New Roman" w:hAnsiTheme="majorBidi" w:cstheme="majorBidi"/>
          <w:lang w:bidi="ar-EG"/>
        </w:rPr>
        <w:t xml:space="preserve"> [tourment] (versets 2, 4, 9, 18, 22, 25, 47, 55 et 57), </w:t>
      </w:r>
      <w:r w:rsidRPr="00CB7AF4">
        <w:rPr>
          <w:rFonts w:asciiTheme="majorBidi" w:eastAsia="Times New Roman" w:hAnsiTheme="majorBidi" w:cstheme="majorBidi"/>
          <w:i/>
          <w:iCs/>
          <w:lang w:bidi="ar-EG"/>
        </w:rPr>
        <w:t>saʿīr</w:t>
      </w:r>
      <w:r w:rsidRPr="00CB7AF4">
        <w:rPr>
          <w:rFonts w:asciiTheme="majorBidi" w:eastAsia="Times New Roman" w:hAnsiTheme="majorBidi" w:cstheme="majorBidi"/>
          <w:lang w:bidi="ar-EG"/>
        </w:rPr>
        <w:t xml:space="preserve"> [fournaise] (verset 4), </w:t>
      </w:r>
      <w:r w:rsidRPr="00CB7AF4">
        <w:rPr>
          <w:rFonts w:asciiTheme="majorBidi" w:eastAsia="Times New Roman" w:hAnsiTheme="majorBidi" w:cstheme="majorBidi"/>
          <w:i/>
          <w:iCs/>
          <w:lang w:bidi="ar-EG"/>
        </w:rPr>
        <w:t>ḥarīq</w:t>
      </w:r>
      <w:r w:rsidRPr="00CB7AF4">
        <w:rPr>
          <w:rFonts w:asciiTheme="majorBidi" w:eastAsia="Times New Roman" w:hAnsiTheme="majorBidi" w:cstheme="majorBidi"/>
          <w:lang w:bidi="ar-EG"/>
        </w:rPr>
        <w:t xml:space="preserve"> [embrasement] (versets 9 et 22) sont synonymes et désignent l’Enfer.</w:t>
      </w:r>
    </w:p>
    <w:p w14:paraId="42E8FF5F" w14:textId="77777777" w:rsidR="00561BDC" w:rsidRPr="00CB7AF4" w:rsidRDefault="00561BDC" w:rsidP="007640DC">
      <w:pPr>
        <w:numPr>
          <w:ilvl w:val="0"/>
          <w:numId w:val="6"/>
        </w:numPr>
        <w:spacing w:line="360" w:lineRule="auto"/>
        <w:jc w:val="both"/>
        <w:rPr>
          <w:rFonts w:asciiTheme="majorBidi" w:eastAsia="Times New Roman" w:hAnsiTheme="majorBidi" w:cstheme="majorBidi"/>
          <w:lang w:bidi="ar-EG"/>
        </w:rPr>
      </w:pPr>
      <w:r w:rsidRPr="00CB7AF4">
        <w:rPr>
          <w:rFonts w:asciiTheme="majorBidi" w:eastAsia="Times New Roman" w:hAnsiTheme="majorBidi" w:cstheme="majorBidi"/>
          <w:lang w:bidi="ar-EG"/>
        </w:rPr>
        <w:t xml:space="preserve">La seconde manière de la polysémie est la possibilité qu’un même mot prenne plus d’un sens en même temps, c.à.d. le mot peut prendre plusieurs significations dans la même place ; ex. : </w:t>
      </w:r>
      <w:r w:rsidRPr="00CB7AF4">
        <w:rPr>
          <w:rFonts w:asciiTheme="majorBidi" w:eastAsia="Times New Roman" w:hAnsiTheme="majorBidi" w:cstheme="majorBidi"/>
          <w:i/>
          <w:iCs/>
          <w:lang w:bidi="ar-EG"/>
        </w:rPr>
        <w:t>al-mawlā</w:t>
      </w:r>
      <w:r w:rsidRPr="00CB7AF4">
        <w:rPr>
          <w:rFonts w:asciiTheme="majorBidi" w:eastAsia="Times New Roman" w:hAnsiTheme="majorBidi" w:cstheme="majorBidi"/>
          <w:lang w:bidi="ar-EG"/>
        </w:rPr>
        <w:t xml:space="preserve"> (verset 13) signifierait : </w:t>
      </w:r>
      <w:r w:rsidRPr="00CB7AF4">
        <w:rPr>
          <w:rFonts w:asciiTheme="majorBidi" w:eastAsia="Times New Roman" w:hAnsiTheme="majorBidi" w:cstheme="majorBidi"/>
          <w:i/>
          <w:iCs/>
          <w:lang w:bidi="ar-EG"/>
        </w:rPr>
        <w:t>l’idole</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suzerain</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patron</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partenaire</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vassal</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l’esclave</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défenseur</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partisan</w:t>
      </w:r>
      <w:r w:rsidRPr="00CB7AF4">
        <w:rPr>
          <w:rFonts w:asciiTheme="majorBidi" w:eastAsia="Times New Roman" w:hAnsiTheme="majorBidi" w:cstheme="majorBidi"/>
          <w:lang w:bidi="ar-EG"/>
        </w:rPr>
        <w:t xml:space="preserve">, </w:t>
      </w:r>
      <w:r w:rsidRPr="00CB7AF4">
        <w:rPr>
          <w:rFonts w:asciiTheme="majorBidi" w:eastAsia="Times New Roman" w:hAnsiTheme="majorBidi" w:cstheme="majorBidi"/>
          <w:i/>
          <w:iCs/>
          <w:lang w:bidi="ar-EG"/>
        </w:rPr>
        <w:t>le cousin</w:t>
      </w:r>
      <w:r w:rsidRPr="00CB7AF4">
        <w:rPr>
          <w:rFonts w:asciiTheme="majorBidi" w:eastAsia="Times New Roman" w:hAnsiTheme="majorBidi" w:cstheme="majorBidi"/>
          <w:lang w:bidi="ar-EG"/>
        </w:rPr>
        <w:t>.</w:t>
      </w:r>
    </w:p>
    <w:p w14:paraId="7F99B201" w14:textId="77777777" w:rsidR="00561BDC" w:rsidRPr="00CB7AF4" w:rsidRDefault="00561BDC" w:rsidP="00CB7AF4">
      <w:pPr>
        <w:spacing w:line="360" w:lineRule="auto"/>
        <w:jc w:val="both"/>
        <w:rPr>
          <w:rFonts w:asciiTheme="majorBidi" w:eastAsia="Times New Roman" w:hAnsiTheme="majorBidi" w:cstheme="majorBidi"/>
        </w:rPr>
      </w:pPr>
    </w:p>
    <w:p w14:paraId="464ED00B" w14:textId="77777777" w:rsidR="00561BDC" w:rsidRPr="00CB7AF4" w:rsidRDefault="00561BDC" w:rsidP="00CB7AF4">
      <w:pPr>
        <w:spacing w:line="360" w:lineRule="auto"/>
        <w:ind w:firstLine="708"/>
        <w:jc w:val="both"/>
        <w:rPr>
          <w:rFonts w:asciiTheme="majorBidi" w:eastAsia="Times New Roman" w:hAnsiTheme="majorBidi" w:cstheme="majorBidi"/>
          <w:b/>
          <w:bCs/>
        </w:rPr>
      </w:pPr>
      <w:r w:rsidRPr="00CB7AF4">
        <w:rPr>
          <w:rFonts w:asciiTheme="majorBidi" w:eastAsia="Times New Roman" w:hAnsiTheme="majorBidi" w:cstheme="majorBidi"/>
          <w:b/>
          <w:bCs/>
        </w:rPr>
        <w:t xml:space="preserve">Il existe plusieurs niveaux de polysémie dans la sourate </w:t>
      </w:r>
      <w:r w:rsidRPr="00CB7AF4">
        <w:rPr>
          <w:rFonts w:asciiTheme="majorBidi" w:eastAsia="Times New Roman" w:hAnsiTheme="majorBidi" w:cstheme="majorBidi"/>
          <w:b/>
          <w:bCs/>
          <w:i/>
          <w:iCs/>
        </w:rPr>
        <w:t>Al-Ḥajj</w:t>
      </w:r>
      <w:r w:rsidRPr="00CB7AF4">
        <w:rPr>
          <w:rFonts w:asciiTheme="majorBidi" w:eastAsia="Times New Roman" w:hAnsiTheme="majorBidi" w:cstheme="majorBidi"/>
          <w:b/>
          <w:bCs/>
        </w:rPr>
        <w:t> :</w:t>
      </w:r>
    </w:p>
    <w:p w14:paraId="588FFD40" w14:textId="77777777" w:rsidR="00561BDC" w:rsidRPr="00CB7AF4" w:rsidRDefault="00561BDC" w:rsidP="007640DC">
      <w:pPr>
        <w:numPr>
          <w:ilvl w:val="0"/>
          <w:numId w:val="7"/>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 xml:space="preserve">polysémie au niveau des mots, comme le mot </w:t>
      </w:r>
      <w:r w:rsidRPr="00CB7AF4">
        <w:rPr>
          <w:rFonts w:asciiTheme="majorBidi" w:eastAsia="Times New Roman" w:hAnsiTheme="majorBidi" w:cstheme="majorBidi"/>
          <w:i/>
          <w:iCs/>
        </w:rPr>
        <w:t>tafath</w:t>
      </w:r>
      <w:r w:rsidRPr="00CB7AF4">
        <w:rPr>
          <w:rFonts w:asciiTheme="majorBidi" w:eastAsia="Times New Roman" w:hAnsiTheme="majorBidi" w:cstheme="majorBidi"/>
        </w:rPr>
        <w:t xml:space="preserve"> (verset 29) : rituel, crasse, ordure, etc. ;</w:t>
      </w:r>
    </w:p>
    <w:p w14:paraId="26F3767D" w14:textId="0A8C6849" w:rsidR="00561BDC" w:rsidRPr="00CB7AF4" w:rsidRDefault="00561BDC" w:rsidP="007640DC">
      <w:pPr>
        <w:numPr>
          <w:ilvl w:val="0"/>
          <w:numId w:val="7"/>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 xml:space="preserve">polysémie au niveau des phrases, comme : </w:t>
      </w:r>
      <w:r w:rsidR="00B77BE0">
        <w:rPr>
          <w:rFonts w:asciiTheme="majorBidi" w:eastAsia="Times New Roman" w:hAnsiTheme="majorBidi" w:cstheme="majorBidi" w:hint="cs"/>
          <w:rtl/>
        </w:rPr>
        <w:t>هذان خصمان اختصموا في ربهم</w:t>
      </w:r>
      <w:r w:rsidRPr="00CB7AF4">
        <w:rPr>
          <w:rFonts w:asciiTheme="majorBidi" w:eastAsia="Times New Roman" w:hAnsiTheme="majorBidi" w:cstheme="majorBidi"/>
        </w:rPr>
        <w:t xml:space="preserve"> (verset 19) [Voici deux adversaires qui disputent au sujet de leur Seigneur], et</w:t>
      </w:r>
      <w:r w:rsidR="008A049C">
        <w:rPr>
          <w:rFonts w:asciiTheme="majorBidi" w:eastAsia="Times New Roman" w:hAnsiTheme="majorBidi" w:cstheme="majorBidi"/>
        </w:rPr>
        <w:t xml:space="preserve"> wa-</w:t>
      </w:r>
      <w:r w:rsidRPr="00CB7AF4">
        <w:rPr>
          <w:rFonts w:asciiTheme="majorBidi" w:eastAsia="Times New Roman" w:hAnsiTheme="majorBidi" w:cstheme="majorBidi"/>
          <w:i/>
          <w:iCs/>
        </w:rPr>
        <w:t>h</w:t>
      </w:r>
      <w:r w:rsidR="00BD1FC5" w:rsidRPr="00CB7AF4">
        <w:rPr>
          <w:rFonts w:asciiTheme="majorBidi" w:eastAsia="Times New Roman" w:hAnsiTheme="majorBidi" w:cstheme="majorBidi"/>
          <w:i/>
          <w:iCs/>
        </w:rPr>
        <w:t>u</w:t>
      </w:r>
      <w:r w:rsidRPr="00CB7AF4">
        <w:rPr>
          <w:rFonts w:asciiTheme="majorBidi" w:eastAsia="Times New Roman" w:hAnsiTheme="majorBidi" w:cstheme="majorBidi"/>
          <w:i/>
          <w:iCs/>
        </w:rPr>
        <w:t>wa lladhī aḥyā</w:t>
      </w:r>
      <w:r w:rsidR="007827FF">
        <w:rPr>
          <w:rFonts w:asciiTheme="majorBidi" w:eastAsia="Times New Roman" w:hAnsiTheme="majorBidi" w:cstheme="majorBidi"/>
          <w:i/>
          <w:iCs/>
        </w:rPr>
        <w:t>-</w:t>
      </w:r>
      <w:r w:rsidRPr="00CB7AF4">
        <w:rPr>
          <w:rFonts w:asciiTheme="majorBidi" w:eastAsia="Times New Roman" w:hAnsiTheme="majorBidi" w:cstheme="majorBidi"/>
          <w:i/>
          <w:iCs/>
        </w:rPr>
        <w:t>kum, thumma yumītu</w:t>
      </w:r>
      <w:r w:rsidR="007827FF">
        <w:rPr>
          <w:rFonts w:asciiTheme="majorBidi" w:eastAsia="Times New Roman" w:hAnsiTheme="majorBidi" w:cstheme="majorBidi"/>
          <w:i/>
          <w:iCs/>
        </w:rPr>
        <w:t>-</w:t>
      </w:r>
      <w:r w:rsidRPr="00CB7AF4">
        <w:rPr>
          <w:rFonts w:asciiTheme="majorBidi" w:eastAsia="Times New Roman" w:hAnsiTheme="majorBidi" w:cstheme="majorBidi"/>
          <w:i/>
          <w:iCs/>
        </w:rPr>
        <w:t>kum, thumma yuḥyī</w:t>
      </w:r>
      <w:r w:rsidR="007827FF">
        <w:rPr>
          <w:rFonts w:asciiTheme="majorBidi" w:eastAsia="Times New Roman" w:hAnsiTheme="majorBidi" w:cstheme="majorBidi"/>
          <w:i/>
          <w:iCs/>
        </w:rPr>
        <w:t>-</w:t>
      </w:r>
      <w:r w:rsidRPr="00CB7AF4">
        <w:rPr>
          <w:rFonts w:asciiTheme="majorBidi" w:eastAsia="Times New Roman" w:hAnsiTheme="majorBidi" w:cstheme="majorBidi"/>
          <w:i/>
          <w:iCs/>
        </w:rPr>
        <w:t>kum</w:t>
      </w:r>
      <w:r w:rsidRPr="00CB7AF4">
        <w:rPr>
          <w:rFonts w:asciiTheme="majorBidi" w:eastAsia="Times New Roman" w:hAnsiTheme="majorBidi" w:cstheme="majorBidi"/>
        </w:rPr>
        <w:t xml:space="preserve"> (verset 66) [C’est Lui qui vous a fait revivre, et puis qui vous fera mourir, et puis qui vous fera revivre] ;</w:t>
      </w:r>
    </w:p>
    <w:p w14:paraId="65156503" w14:textId="77777777" w:rsidR="00561BDC" w:rsidRPr="00CB7AF4" w:rsidRDefault="00561BDC" w:rsidP="007640DC">
      <w:pPr>
        <w:numPr>
          <w:ilvl w:val="0"/>
          <w:numId w:val="7"/>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lastRenderedPageBreak/>
        <w:t xml:space="preserve">polysémie au niveau des pronoms, comme le pronom </w:t>
      </w:r>
      <w:r w:rsidR="007827FF">
        <w:rPr>
          <w:rFonts w:asciiTheme="majorBidi" w:eastAsia="Times New Roman" w:hAnsiTheme="majorBidi" w:cstheme="majorBidi"/>
          <w:i/>
          <w:iCs/>
        </w:rPr>
        <w:t>“</w:t>
      </w:r>
      <w:r w:rsidRPr="00CB7AF4">
        <w:rPr>
          <w:rFonts w:asciiTheme="majorBidi" w:eastAsia="Times New Roman" w:hAnsiTheme="majorBidi" w:cstheme="majorBidi"/>
          <w:i/>
          <w:iCs/>
        </w:rPr>
        <w:t xml:space="preserve">hu” </w:t>
      </w:r>
      <w:r w:rsidRPr="00CB7AF4">
        <w:rPr>
          <w:rFonts w:asciiTheme="majorBidi" w:eastAsia="Times New Roman" w:hAnsiTheme="majorBidi" w:cstheme="majorBidi"/>
        </w:rPr>
        <w:t xml:space="preserve">dans le verbe </w:t>
      </w:r>
      <w:r w:rsidRPr="00CB7AF4">
        <w:rPr>
          <w:rFonts w:asciiTheme="majorBidi" w:eastAsia="Times New Roman" w:hAnsiTheme="majorBidi" w:cstheme="majorBidi"/>
          <w:i/>
          <w:iCs/>
        </w:rPr>
        <w:t>yanṣura</w:t>
      </w:r>
      <w:r w:rsidR="007827FF">
        <w:rPr>
          <w:rFonts w:asciiTheme="majorBidi" w:eastAsia="Times New Roman" w:hAnsiTheme="majorBidi" w:cstheme="majorBidi"/>
          <w:i/>
          <w:iCs/>
        </w:rPr>
        <w:t>-</w:t>
      </w:r>
      <w:r w:rsidRPr="00CB7AF4">
        <w:rPr>
          <w:rFonts w:asciiTheme="majorBidi" w:eastAsia="Times New Roman" w:hAnsiTheme="majorBidi" w:cstheme="majorBidi"/>
          <w:b/>
          <w:bCs/>
          <w:i/>
          <w:iCs/>
        </w:rPr>
        <w:t>hu</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 xml:space="preserve">il </w:t>
      </w:r>
      <w:r w:rsidRPr="00CB7AF4">
        <w:rPr>
          <w:rFonts w:asciiTheme="majorBidi" w:eastAsia="Times New Roman" w:hAnsiTheme="majorBidi" w:cstheme="majorBidi"/>
          <w:b/>
          <w:bCs/>
          <w:i/>
          <w:iCs/>
        </w:rPr>
        <w:t>le</w:t>
      </w:r>
      <w:r w:rsidRPr="00CB7AF4">
        <w:rPr>
          <w:rFonts w:asciiTheme="majorBidi" w:eastAsia="Times New Roman" w:hAnsiTheme="majorBidi" w:cstheme="majorBidi"/>
          <w:i/>
          <w:iCs/>
        </w:rPr>
        <w:t xml:space="preserve"> secourt</w:t>
      </w:r>
      <w:r w:rsidRPr="00CB7AF4">
        <w:rPr>
          <w:rFonts w:asciiTheme="majorBidi" w:eastAsia="Times New Roman" w:hAnsiTheme="majorBidi" w:cstheme="majorBidi"/>
        </w:rPr>
        <w:t xml:space="preserve">] (verset 15) ou le pronom </w:t>
      </w:r>
      <w:r w:rsidRPr="00CB7AF4">
        <w:rPr>
          <w:rFonts w:asciiTheme="majorBidi" w:eastAsia="Times New Roman" w:hAnsiTheme="majorBidi" w:cstheme="majorBidi"/>
          <w:i/>
          <w:iCs/>
        </w:rPr>
        <w:t>“h</w:t>
      </w:r>
      <w:r w:rsidR="009D53E7" w:rsidRPr="00CB7AF4">
        <w:rPr>
          <w:rFonts w:asciiTheme="majorBidi" w:eastAsia="Times New Roman" w:hAnsiTheme="majorBidi" w:cstheme="majorBidi"/>
          <w:i/>
          <w:iCs/>
        </w:rPr>
        <w:t>u</w:t>
      </w:r>
      <w:r w:rsidRPr="00CB7AF4">
        <w:rPr>
          <w:rFonts w:asciiTheme="majorBidi" w:eastAsia="Times New Roman" w:hAnsiTheme="majorBidi" w:cstheme="majorBidi"/>
          <w:i/>
          <w:iCs/>
        </w:rPr>
        <w:t xml:space="preserve">wa” </w:t>
      </w:r>
      <w:r w:rsidRPr="00CB7AF4">
        <w:rPr>
          <w:rFonts w:asciiTheme="majorBidi" w:eastAsia="Times New Roman" w:hAnsiTheme="majorBidi" w:cstheme="majorBidi"/>
        </w:rPr>
        <w:t xml:space="preserve">dans : </w:t>
      </w:r>
      <w:r w:rsidRPr="00CB7AF4">
        <w:rPr>
          <w:rFonts w:asciiTheme="majorBidi" w:eastAsia="Times New Roman" w:hAnsiTheme="majorBidi" w:cstheme="majorBidi"/>
          <w:b/>
          <w:bCs/>
          <w:i/>
          <w:iCs/>
        </w:rPr>
        <w:t>h</w:t>
      </w:r>
      <w:r w:rsidR="009D53E7" w:rsidRPr="00CB7AF4">
        <w:rPr>
          <w:rFonts w:asciiTheme="majorBidi" w:eastAsia="Times New Roman" w:hAnsiTheme="majorBidi" w:cstheme="majorBidi"/>
          <w:b/>
          <w:bCs/>
          <w:i/>
          <w:iCs/>
        </w:rPr>
        <w:t>u</w:t>
      </w:r>
      <w:r w:rsidRPr="00CB7AF4">
        <w:rPr>
          <w:rFonts w:asciiTheme="majorBidi" w:eastAsia="Times New Roman" w:hAnsiTheme="majorBidi" w:cstheme="majorBidi"/>
          <w:b/>
          <w:bCs/>
          <w:i/>
          <w:iCs/>
        </w:rPr>
        <w:t>wa</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sammā</w:t>
      </w:r>
      <w:r w:rsidR="007827FF">
        <w:rPr>
          <w:rFonts w:asciiTheme="majorBidi" w:eastAsia="Times New Roman" w:hAnsiTheme="majorBidi" w:cstheme="majorBidi"/>
          <w:i/>
          <w:iCs/>
        </w:rPr>
        <w:t>-</w:t>
      </w:r>
      <w:r w:rsidRPr="00CB7AF4">
        <w:rPr>
          <w:rFonts w:asciiTheme="majorBidi" w:eastAsia="Times New Roman" w:hAnsiTheme="majorBidi" w:cstheme="majorBidi"/>
          <w:i/>
          <w:iCs/>
        </w:rPr>
        <w:t>kum</w:t>
      </w:r>
      <w:r w:rsidRPr="00CB7AF4">
        <w:rPr>
          <w:rFonts w:asciiTheme="majorBidi" w:eastAsia="Times New Roman" w:hAnsiTheme="majorBidi" w:cstheme="majorBidi"/>
        </w:rPr>
        <w:t xml:space="preserve"> [</w:t>
      </w:r>
      <w:r w:rsidRPr="00CB7AF4">
        <w:rPr>
          <w:rFonts w:asciiTheme="majorBidi" w:eastAsia="Times New Roman" w:hAnsiTheme="majorBidi" w:cstheme="majorBidi"/>
          <w:b/>
          <w:bCs/>
          <w:i/>
          <w:iCs/>
        </w:rPr>
        <w:t>Lui</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il vous a nommés</w:t>
      </w:r>
      <w:r w:rsidRPr="00CB7AF4">
        <w:rPr>
          <w:rFonts w:asciiTheme="majorBidi" w:eastAsia="Times New Roman" w:hAnsiTheme="majorBidi" w:cstheme="majorBidi"/>
        </w:rPr>
        <w:t>] (verset 78) ;</w:t>
      </w:r>
    </w:p>
    <w:p w14:paraId="00D1087F" w14:textId="77777777" w:rsidR="00561BDC" w:rsidRPr="00CB7AF4" w:rsidRDefault="00561BDC" w:rsidP="007640DC">
      <w:pPr>
        <w:numPr>
          <w:ilvl w:val="0"/>
          <w:numId w:val="7"/>
        </w:numPr>
        <w:spacing w:line="360" w:lineRule="auto"/>
        <w:jc w:val="both"/>
        <w:rPr>
          <w:rFonts w:asciiTheme="majorBidi" w:eastAsia="Times New Roman" w:hAnsiTheme="majorBidi" w:cstheme="majorBidi"/>
        </w:rPr>
      </w:pPr>
      <w:r w:rsidRPr="00CB7AF4">
        <w:rPr>
          <w:rFonts w:asciiTheme="majorBidi" w:eastAsia="Times New Roman" w:hAnsiTheme="majorBidi" w:cstheme="majorBidi"/>
        </w:rPr>
        <w:t>polysémie au niveau de la morale ou de la leçon de certains versets, comme le verset 15</w:t>
      </w:r>
      <w:r w:rsidR="007827FF">
        <w:rPr>
          <w:rFonts w:asciiTheme="majorBidi" w:eastAsia="Times New Roman" w:hAnsiTheme="majorBidi" w:cstheme="majorBidi"/>
        </w:rPr>
        <w:t> :</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“Celui qui objecterait que Dieu le laisserait sans secours en ce monde et dans l’autre n’a qu’à tendre une corde jusqu’au ciel et puis la couper”</w:t>
      </w:r>
      <w:r w:rsidR="007827FF">
        <w:rPr>
          <w:rFonts w:asciiTheme="majorBidi" w:eastAsia="Times New Roman" w:hAnsiTheme="majorBidi" w:cstheme="majorBidi"/>
          <w:i/>
          <w:iCs/>
        </w:rPr>
        <w:t>.</w:t>
      </w:r>
      <w:r w:rsidR="007827FF">
        <w:rPr>
          <w:rFonts w:asciiTheme="majorBidi" w:eastAsia="Times New Roman" w:hAnsiTheme="majorBidi" w:cstheme="majorBidi"/>
        </w:rPr>
        <w:t xml:space="preserve"> S</w:t>
      </w:r>
      <w:r w:rsidRPr="00CB7AF4">
        <w:rPr>
          <w:rFonts w:asciiTheme="majorBidi" w:eastAsia="Times New Roman" w:hAnsiTheme="majorBidi" w:cstheme="majorBidi"/>
        </w:rPr>
        <w:t>’agit</w:t>
      </w:r>
      <w:r w:rsidR="007827FF">
        <w:rPr>
          <w:rFonts w:asciiTheme="majorBidi" w:eastAsia="Times New Roman" w:hAnsiTheme="majorBidi" w:cstheme="majorBidi"/>
        </w:rPr>
        <w:t>-il</w:t>
      </w:r>
      <w:r w:rsidRPr="00CB7AF4">
        <w:rPr>
          <w:rFonts w:asciiTheme="majorBidi" w:eastAsia="Times New Roman" w:hAnsiTheme="majorBidi" w:cstheme="majorBidi"/>
        </w:rPr>
        <w:t xml:space="preserve"> d’une intimidation, d’une demande de changement de comportement ou d’un appel à l’optimisme ?</w:t>
      </w:r>
    </w:p>
    <w:p w14:paraId="6E3FB2E5" w14:textId="77777777" w:rsidR="00561BDC" w:rsidRPr="00CB7AF4" w:rsidRDefault="00561BDC" w:rsidP="00CB7AF4">
      <w:pPr>
        <w:spacing w:line="360" w:lineRule="auto"/>
        <w:jc w:val="both"/>
        <w:rPr>
          <w:rFonts w:asciiTheme="majorBidi" w:eastAsia="Times New Roman" w:hAnsiTheme="majorBidi" w:cstheme="majorBidi"/>
        </w:rPr>
      </w:pPr>
    </w:p>
    <w:p w14:paraId="1CBEF554" w14:textId="77777777" w:rsidR="00561BDC" w:rsidRPr="00192AB5" w:rsidRDefault="00561BDC" w:rsidP="00B12999">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Ce qui compte dans toute opération traduisante, dans toute théorie de </w:t>
      </w:r>
      <w:r w:rsidR="00AC53A0" w:rsidRPr="00CB7AF4">
        <w:rPr>
          <w:rFonts w:asciiTheme="majorBidi" w:eastAsia="Times New Roman" w:hAnsiTheme="majorBidi" w:cstheme="majorBidi"/>
        </w:rPr>
        <w:t>traduction</w:t>
      </w:r>
      <w:r w:rsidRPr="00CB7AF4">
        <w:rPr>
          <w:rFonts w:asciiTheme="majorBidi" w:eastAsia="Times New Roman" w:hAnsiTheme="majorBidi" w:cstheme="majorBidi"/>
        </w:rPr>
        <w:t xml:space="preserve"> c’est bien la finalité ou la fonction d’une traduction</w:t>
      </w:r>
      <w:r w:rsidR="007827FF">
        <w:rPr>
          <w:rFonts w:asciiTheme="majorBidi" w:eastAsia="Times New Roman" w:hAnsiTheme="majorBidi" w:cstheme="majorBidi"/>
        </w:rPr>
        <w:t>,</w:t>
      </w:r>
      <w:r w:rsidRPr="00CB7AF4">
        <w:rPr>
          <w:rFonts w:asciiTheme="majorBidi" w:eastAsia="Times New Roman" w:hAnsiTheme="majorBidi" w:cstheme="majorBidi"/>
        </w:rPr>
        <w:t xml:space="preserve"> et par conséquent le lecteur auquel cette traduction est destinée (le </w:t>
      </w:r>
      <w:r w:rsidRPr="00CB7AF4">
        <w:rPr>
          <w:rFonts w:asciiTheme="majorBidi" w:eastAsia="Times New Roman" w:hAnsiTheme="majorBidi" w:cstheme="majorBidi"/>
          <w:i/>
          <w:iCs/>
        </w:rPr>
        <w:t>skopos</w:t>
      </w:r>
      <w:r w:rsidRPr="00CB7AF4">
        <w:rPr>
          <w:rFonts w:asciiTheme="majorBidi" w:eastAsia="Times New Roman" w:hAnsiTheme="majorBidi" w:cstheme="majorBidi"/>
        </w:rPr>
        <w:t xml:space="preserve"> selon le théoricien allemand Hans J. Vermeer</w:t>
      </w:r>
      <w:r w:rsidRPr="00CB7AF4">
        <w:rPr>
          <w:rFonts w:asciiTheme="majorBidi" w:eastAsia="Times New Roman" w:hAnsiTheme="majorBidi" w:cstheme="majorBidi"/>
          <w:vertAlign w:val="superscript"/>
          <w:lang w:bidi="ar-AE"/>
        </w:rPr>
        <w:footnoteReference w:id="98"/>
      </w:r>
      <w:r w:rsidRPr="00CB7AF4">
        <w:rPr>
          <w:rFonts w:asciiTheme="majorBidi" w:eastAsia="Times New Roman" w:hAnsiTheme="majorBidi" w:cstheme="majorBidi"/>
        </w:rPr>
        <w:t>). La première question qui doit se poser est la suivante : pour qui et dans quel objectif réalise-t-on la traduction ? C</w:t>
      </w:r>
      <w:r w:rsidR="00AC53A0" w:rsidRPr="00CB7AF4">
        <w:rPr>
          <w:rFonts w:asciiTheme="majorBidi" w:eastAsia="Times New Roman" w:hAnsiTheme="majorBidi" w:cstheme="majorBidi"/>
        </w:rPr>
        <w:t>’est donc le lecteur qui compte</w:t>
      </w:r>
      <w:r w:rsidRPr="00CB7AF4">
        <w:rPr>
          <w:rFonts w:asciiTheme="majorBidi" w:eastAsia="Times New Roman" w:hAnsiTheme="majorBidi" w:cstheme="majorBidi"/>
        </w:rPr>
        <w:t xml:space="preserve">. L’existence, pour le Coran, de plusieurs lecteurs donne lieu à la polysémie que les autorités religieuses et politiques ont essayé de limiter, mais qui, cependant, évolue sans cesse avec l’évolution intellectuelle, psychologique et sociopolitique des groupes de lecteurs qui lisent le texte coranique. Le même verset </w:t>
      </w:r>
      <w:r w:rsidR="007827FF">
        <w:rPr>
          <w:rFonts w:asciiTheme="majorBidi" w:eastAsia="Times New Roman" w:hAnsiTheme="majorBidi" w:cstheme="majorBidi"/>
        </w:rPr>
        <w:t>(XXII, 66 :</w:t>
      </w:r>
      <w:r w:rsidRPr="00CB7AF4">
        <w:rPr>
          <w:rFonts w:asciiTheme="majorBidi" w:eastAsia="Times New Roman" w:hAnsiTheme="majorBidi" w:cstheme="majorBidi"/>
        </w:rPr>
        <w:t xml:space="preserve"> </w:t>
      </w:r>
      <w:r w:rsidR="00B12999">
        <w:rPr>
          <w:rFonts w:asciiTheme="majorBidi" w:eastAsia="Times New Roman" w:hAnsiTheme="majorBidi" w:cstheme="majorBidi" w:hint="cs"/>
          <w:rtl/>
        </w:rPr>
        <w:t>وهو الذي أحياكم ثم يميتكم ثم يحييكم</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C’est Lui qui vous a fait vivre, et puis vous fera mourir, et enfin vous fera revivre</w:t>
      </w:r>
      <w:r w:rsidRPr="00CB7AF4">
        <w:rPr>
          <w:rFonts w:asciiTheme="majorBidi" w:eastAsia="Times New Roman" w:hAnsiTheme="majorBidi" w:cstheme="majorBidi"/>
        </w:rPr>
        <w:t xml:space="preserve">] [Traduction de Jacques Berque]) peut faire allusion à deux idées totalement contradictoires: </w:t>
      </w:r>
      <w:r w:rsidRPr="00CB7AF4">
        <w:rPr>
          <w:rFonts w:asciiTheme="majorBidi" w:eastAsia="Times New Roman" w:hAnsiTheme="majorBidi" w:cstheme="majorBidi"/>
          <w:i/>
          <w:iCs/>
        </w:rPr>
        <w:t>la création du néant</w:t>
      </w:r>
      <w:r w:rsidRPr="00CB7AF4">
        <w:rPr>
          <w:rFonts w:asciiTheme="majorBidi" w:eastAsia="Times New Roman" w:hAnsiTheme="majorBidi" w:cstheme="majorBidi"/>
        </w:rPr>
        <w:t xml:space="preserve"> (= </w:t>
      </w:r>
      <w:r w:rsidRPr="00CB7AF4">
        <w:rPr>
          <w:rFonts w:asciiTheme="majorBidi" w:eastAsia="Times New Roman" w:hAnsiTheme="majorBidi" w:cstheme="majorBidi"/>
          <w:i/>
          <w:iCs/>
        </w:rPr>
        <w:t>la fausseté de la réincarnation</w:t>
      </w:r>
      <w:r w:rsidRPr="00CB7AF4">
        <w:rPr>
          <w:rFonts w:asciiTheme="majorBidi" w:eastAsia="Times New Roman" w:hAnsiTheme="majorBidi" w:cstheme="majorBidi"/>
        </w:rPr>
        <w:t xml:space="preserve">) (selon l’interprétation orthodoxe sunnite et chiite) et </w:t>
      </w:r>
      <w:r w:rsidRPr="00CB7AF4">
        <w:rPr>
          <w:rFonts w:asciiTheme="majorBidi" w:eastAsia="Times New Roman" w:hAnsiTheme="majorBidi" w:cstheme="majorBidi"/>
          <w:i/>
          <w:iCs/>
        </w:rPr>
        <w:t xml:space="preserve">la résurrection </w:t>
      </w:r>
      <w:r w:rsidRPr="00CB7AF4">
        <w:rPr>
          <w:rFonts w:asciiTheme="majorBidi" w:eastAsia="Times New Roman" w:hAnsiTheme="majorBidi" w:cstheme="majorBidi"/>
        </w:rPr>
        <w:t>ou</w:t>
      </w:r>
      <w:r w:rsidRPr="00CB7AF4">
        <w:rPr>
          <w:rFonts w:asciiTheme="majorBidi" w:eastAsia="Times New Roman" w:hAnsiTheme="majorBidi" w:cstheme="majorBidi"/>
          <w:i/>
          <w:iCs/>
        </w:rPr>
        <w:t xml:space="preserve"> le retour dans la chair</w:t>
      </w:r>
      <w:r w:rsidRPr="00CB7AF4">
        <w:rPr>
          <w:rFonts w:asciiTheme="majorBidi" w:eastAsia="Times New Roman" w:hAnsiTheme="majorBidi" w:cstheme="majorBidi"/>
        </w:rPr>
        <w:t xml:space="preserve"> (= </w:t>
      </w:r>
      <w:r w:rsidRPr="00CB7AF4">
        <w:rPr>
          <w:rFonts w:asciiTheme="majorBidi" w:eastAsia="Times New Roman" w:hAnsiTheme="majorBidi" w:cstheme="majorBidi"/>
          <w:i/>
          <w:iCs/>
        </w:rPr>
        <w:t xml:space="preserve">la véracité </w:t>
      </w:r>
      <w:r w:rsidRPr="00CB7AF4">
        <w:rPr>
          <w:rFonts w:asciiTheme="majorBidi" w:eastAsia="Times New Roman" w:hAnsiTheme="majorBidi" w:cstheme="majorBidi"/>
        </w:rPr>
        <w:t>ou</w:t>
      </w:r>
      <w:r w:rsidRPr="00CB7AF4">
        <w:rPr>
          <w:rFonts w:asciiTheme="majorBidi" w:eastAsia="Times New Roman" w:hAnsiTheme="majorBidi" w:cstheme="majorBidi"/>
          <w:i/>
          <w:iCs/>
        </w:rPr>
        <w:t xml:space="preserve"> l’authenticité de la réincarnation</w:t>
      </w:r>
      <w:r w:rsidRPr="00CB7AF4">
        <w:rPr>
          <w:rFonts w:asciiTheme="majorBidi" w:eastAsia="Times New Roman" w:hAnsiTheme="majorBidi" w:cstheme="majorBidi"/>
        </w:rPr>
        <w:t>) (selon l’interprétation hétérodoxe, ésotérique, alaouite et druze</w:t>
      </w:r>
      <w:r w:rsidRPr="00CB7AF4">
        <w:rPr>
          <w:rFonts w:asciiTheme="majorBidi" w:eastAsia="Times New Roman" w:hAnsiTheme="majorBidi" w:cstheme="majorBidi"/>
          <w:vertAlign w:val="superscript"/>
          <w:lang w:bidi="ar-AE"/>
        </w:rPr>
        <w:footnoteReference w:id="99"/>
      </w:r>
      <w:r w:rsidRPr="00CB7AF4">
        <w:rPr>
          <w:rFonts w:asciiTheme="majorBidi" w:eastAsia="Times New Roman" w:hAnsiTheme="majorBidi" w:cstheme="majorBidi"/>
        </w:rPr>
        <w:t xml:space="preserve">). Dans ce verset, le verbe </w:t>
      </w:r>
      <w:r w:rsidRPr="00CB7AF4">
        <w:rPr>
          <w:rFonts w:asciiTheme="majorBidi" w:eastAsia="Times New Roman" w:hAnsiTheme="majorBidi" w:cstheme="majorBidi"/>
          <w:i/>
          <w:iCs/>
        </w:rPr>
        <w:t>aḥyā</w:t>
      </w:r>
      <w:r w:rsidR="007827FF">
        <w:rPr>
          <w:rFonts w:asciiTheme="majorBidi" w:eastAsia="Times New Roman" w:hAnsiTheme="majorBidi" w:cstheme="majorBidi"/>
          <w:i/>
          <w:iCs/>
        </w:rPr>
        <w:t>-</w:t>
      </w:r>
      <w:r w:rsidRPr="00CB7AF4">
        <w:rPr>
          <w:rFonts w:asciiTheme="majorBidi" w:eastAsia="Times New Roman" w:hAnsiTheme="majorBidi" w:cstheme="majorBidi"/>
          <w:i/>
          <w:iCs/>
        </w:rPr>
        <w:t>kum</w:t>
      </w:r>
      <w:r w:rsidRPr="00CB7AF4">
        <w:rPr>
          <w:rFonts w:asciiTheme="majorBidi" w:eastAsia="Times New Roman" w:hAnsiTheme="majorBidi" w:cstheme="majorBidi"/>
        </w:rPr>
        <w:t xml:space="preserve"> </w:t>
      </w:r>
      <w:r w:rsidRPr="00CB7AF4">
        <w:rPr>
          <w:rFonts w:asciiTheme="majorBidi" w:eastAsia="Times New Roman" w:hAnsiTheme="majorBidi" w:cstheme="majorBidi"/>
        </w:rPr>
        <w:lastRenderedPageBreak/>
        <w:t>(</w:t>
      </w:r>
      <w:r w:rsidRPr="00CB7AF4">
        <w:rPr>
          <w:rFonts w:asciiTheme="majorBidi" w:eastAsia="Times New Roman" w:hAnsiTheme="majorBidi" w:cstheme="majorBidi"/>
          <w:i/>
          <w:iCs/>
        </w:rPr>
        <w:t>litt</w:t>
      </w:r>
      <w:r w:rsidRPr="00CB7AF4">
        <w:rPr>
          <w:rFonts w:asciiTheme="majorBidi" w:eastAsia="Times New Roman" w:hAnsiTheme="majorBidi" w:cstheme="majorBidi"/>
        </w:rPr>
        <w:t xml:space="preserve">. : </w:t>
      </w:r>
      <w:r w:rsidRPr="00CB7AF4">
        <w:rPr>
          <w:rFonts w:asciiTheme="majorBidi" w:eastAsia="Times New Roman" w:hAnsiTheme="majorBidi" w:cstheme="majorBidi"/>
          <w:i/>
          <w:iCs/>
        </w:rPr>
        <w:t>il vous a rendu la vie</w:t>
      </w:r>
      <w:r w:rsidRPr="00CB7AF4">
        <w:rPr>
          <w:rFonts w:asciiTheme="majorBidi" w:eastAsia="Times New Roman" w:hAnsiTheme="majorBidi" w:cstheme="majorBidi"/>
        </w:rPr>
        <w:t xml:space="preserve">) a été interprété de deux manières : </w:t>
      </w:r>
      <w:r w:rsidRPr="00CB7AF4">
        <w:rPr>
          <w:rFonts w:asciiTheme="majorBidi" w:eastAsia="Times New Roman" w:hAnsiTheme="majorBidi" w:cstheme="majorBidi"/>
          <w:i/>
          <w:iCs/>
        </w:rPr>
        <w:t>donner la vie</w:t>
      </w:r>
      <w:r w:rsidRPr="00CB7AF4">
        <w:rPr>
          <w:rFonts w:asciiTheme="majorBidi" w:eastAsia="Times New Roman" w:hAnsiTheme="majorBidi" w:cstheme="majorBidi"/>
        </w:rPr>
        <w:t xml:space="preserve"> (</w:t>
      </w:r>
      <w:r w:rsidRPr="00CB7AF4">
        <w:rPr>
          <w:rFonts w:asciiTheme="majorBidi" w:eastAsia="Times New Roman" w:hAnsiTheme="majorBidi" w:cstheme="majorBidi"/>
          <w:i/>
          <w:iCs/>
        </w:rPr>
        <w:t>créer</w:t>
      </w:r>
      <w:r w:rsidRPr="00CB7AF4">
        <w:rPr>
          <w:rFonts w:asciiTheme="majorBidi" w:eastAsia="Times New Roman" w:hAnsiTheme="majorBidi" w:cstheme="majorBidi"/>
        </w:rPr>
        <w:t xml:space="preserve">), et </w:t>
      </w:r>
      <w:r w:rsidRPr="00CB7AF4">
        <w:rPr>
          <w:rFonts w:asciiTheme="majorBidi" w:eastAsia="Times New Roman" w:hAnsiTheme="majorBidi" w:cstheme="majorBidi"/>
          <w:i/>
          <w:iCs/>
        </w:rPr>
        <w:t xml:space="preserve">faire </w:t>
      </w:r>
      <w:r w:rsidRPr="00192AB5">
        <w:rPr>
          <w:rFonts w:asciiTheme="majorBidi" w:eastAsia="Times New Roman" w:hAnsiTheme="majorBidi" w:cstheme="majorBidi"/>
          <w:i/>
          <w:iCs/>
        </w:rPr>
        <w:t>renaître</w:t>
      </w:r>
      <w:r w:rsidRPr="00192AB5">
        <w:rPr>
          <w:rFonts w:asciiTheme="majorBidi" w:eastAsia="Times New Roman" w:hAnsiTheme="majorBidi" w:cstheme="majorBidi"/>
        </w:rPr>
        <w:t>.</w:t>
      </w:r>
    </w:p>
    <w:p w14:paraId="64D65960" w14:textId="77777777" w:rsidR="00F24357" w:rsidRPr="00192AB5" w:rsidRDefault="00F24357" w:rsidP="00B12999">
      <w:pPr>
        <w:spacing w:line="360" w:lineRule="auto"/>
        <w:ind w:firstLine="708"/>
        <w:jc w:val="both"/>
        <w:rPr>
          <w:rFonts w:asciiTheme="majorBidi" w:eastAsia="Times New Roman" w:hAnsiTheme="majorBidi" w:cstheme="majorBidi"/>
        </w:rPr>
      </w:pPr>
    </w:p>
    <w:p w14:paraId="0E2FAB1E" w14:textId="77777777" w:rsidR="00F24357" w:rsidRPr="00192AB5" w:rsidRDefault="00F24357" w:rsidP="00F24357">
      <w:pPr>
        <w:spacing w:line="360" w:lineRule="auto"/>
        <w:ind w:firstLine="284"/>
        <w:contextualSpacing/>
        <w:jc w:val="both"/>
        <w:rPr>
          <w:rFonts w:asciiTheme="majorBidi" w:eastAsia="Times New Roman" w:hAnsiTheme="majorBidi" w:cstheme="majorBidi"/>
        </w:rPr>
      </w:pPr>
      <w:r w:rsidRPr="00192AB5">
        <w:rPr>
          <w:rFonts w:asciiTheme="majorBidi" w:eastAsia="Times New Roman" w:hAnsiTheme="majorBidi" w:cstheme="majorBidi"/>
        </w:rPr>
        <w:t xml:space="preserve">Pour leur part, les traducteurs doivent répondre aux besoins de leurs lecteurs. Cependant, les lecteurs, les besoins, le temps, le lieu et le contexte dans les traductions ne sont pas les mêmes qui se trouvent dans le texte-source. Ce qui peut signifier que le Coran arabe et ses traductions ne sont pas les mêmes. Les fonctions du textes-source et des textes-cibles ne sont pas les mêmes. Le texte source et les textes-cibles n’ont pas le même </w:t>
      </w:r>
      <w:r w:rsidRPr="00192AB5">
        <w:rPr>
          <w:rFonts w:asciiTheme="majorBidi" w:eastAsia="Times New Roman" w:hAnsiTheme="majorBidi" w:cstheme="majorBidi"/>
          <w:i/>
          <w:iCs/>
        </w:rPr>
        <w:t>skopos</w:t>
      </w:r>
      <w:r w:rsidRPr="00192AB5">
        <w:rPr>
          <w:rFonts w:asciiTheme="majorBidi" w:eastAsia="Times New Roman" w:hAnsiTheme="majorBidi" w:cstheme="majorBidi"/>
        </w:rPr>
        <w:t>. Les traductions du Coran ne peuvent pas conserver la fonction sacré et psalmodique du texte arabe. Elles ont modifié la fonction du texte en une fonction explicative, exégétique, paraphrastique, avec un niveau inférieur et moins riche au plan polysémique que les exégèses arabophones.</w:t>
      </w:r>
    </w:p>
    <w:p w14:paraId="55C45F4F" w14:textId="77777777" w:rsidR="00561BDC" w:rsidRPr="00192AB5" w:rsidRDefault="00561BDC" w:rsidP="00CB7AF4">
      <w:pPr>
        <w:spacing w:line="360" w:lineRule="auto"/>
        <w:jc w:val="both"/>
        <w:rPr>
          <w:rFonts w:asciiTheme="majorBidi" w:eastAsia="Times New Roman" w:hAnsiTheme="majorBidi" w:cstheme="majorBidi"/>
        </w:rPr>
      </w:pPr>
    </w:p>
    <w:p w14:paraId="52D540E9" w14:textId="5E915F7E" w:rsidR="00561BDC" w:rsidRPr="00296288" w:rsidRDefault="00561BDC" w:rsidP="00296288">
      <w:pPr>
        <w:spacing w:line="360" w:lineRule="auto"/>
        <w:ind w:firstLine="708"/>
        <w:jc w:val="both"/>
        <w:rPr>
          <w:rFonts w:asciiTheme="majorBidi" w:eastAsia="Calibri" w:hAnsiTheme="majorBidi" w:cstheme="majorBidi"/>
        </w:rPr>
      </w:pPr>
      <w:r w:rsidRPr="00192AB5">
        <w:rPr>
          <w:rFonts w:asciiTheme="majorBidi" w:eastAsia="Calibri" w:hAnsiTheme="majorBidi" w:cstheme="majorBidi"/>
        </w:rPr>
        <w:t xml:space="preserve">Il est à souligner que </w:t>
      </w:r>
      <w:r w:rsidRPr="00192AB5">
        <w:rPr>
          <w:rFonts w:asciiTheme="majorBidi" w:eastAsia="Times New Roman" w:hAnsiTheme="majorBidi" w:cstheme="majorBidi"/>
        </w:rPr>
        <w:t>le contenu</w:t>
      </w:r>
      <w:r w:rsidRPr="00CB7AF4">
        <w:rPr>
          <w:rFonts w:asciiTheme="majorBidi" w:eastAsia="Times New Roman" w:hAnsiTheme="majorBidi" w:cstheme="majorBidi"/>
        </w:rPr>
        <w:t xml:space="preserve"> des textes sacrés en général est le résultat de nombre de conflits économiques, sociaux et politiques.</w:t>
      </w:r>
      <w:r w:rsidRPr="00CB7AF4">
        <w:rPr>
          <w:rFonts w:asciiTheme="majorBidi" w:eastAsia="Calibri" w:hAnsiTheme="majorBidi" w:cstheme="majorBidi"/>
          <w:vertAlign w:val="superscript"/>
          <w:lang w:bidi="ar-AE"/>
        </w:rPr>
        <w:footnoteReference w:id="100"/>
      </w:r>
      <w:r w:rsidRPr="00CB7AF4">
        <w:rPr>
          <w:rFonts w:asciiTheme="majorBidi" w:eastAsia="Times New Roman" w:hAnsiTheme="majorBidi" w:cstheme="majorBidi"/>
        </w:rPr>
        <w:t xml:space="preserve"> </w:t>
      </w:r>
      <w:r w:rsidRPr="00CB7AF4">
        <w:rPr>
          <w:rFonts w:asciiTheme="majorBidi" w:eastAsia="Calibri" w:hAnsiTheme="majorBidi" w:cstheme="majorBidi"/>
        </w:rPr>
        <w:t xml:space="preserve">C’est déjà le pouvoir politique qui a imposé le Coran comme texte inimitable, éloquent et </w:t>
      </w:r>
      <w:r w:rsidRPr="00CB7AF4">
        <w:rPr>
          <w:rFonts w:asciiTheme="majorBidi" w:eastAsia="Calibri" w:hAnsiTheme="majorBidi" w:cstheme="majorBidi"/>
          <w:i/>
          <w:iCs/>
        </w:rPr>
        <w:t>polysémique</w:t>
      </w:r>
      <w:r w:rsidRPr="00CB7AF4">
        <w:rPr>
          <w:rFonts w:asciiTheme="majorBidi" w:eastAsia="Calibri" w:hAnsiTheme="majorBidi" w:cstheme="majorBidi"/>
        </w:rPr>
        <w:t>.</w:t>
      </w:r>
      <w:r w:rsidRPr="00CB7AF4">
        <w:rPr>
          <w:rFonts w:asciiTheme="majorBidi" w:eastAsia="Times New Roman" w:hAnsiTheme="majorBidi" w:cstheme="majorBidi"/>
        </w:rPr>
        <w:t xml:space="preserve"> L’histoire est souvent écrite par les vainqueurs ; le contenu, l’exégèse et la traduction des textes sacrés le sont également. </w:t>
      </w:r>
      <w:r w:rsidRPr="00CB7AF4">
        <w:rPr>
          <w:rFonts w:asciiTheme="majorBidi" w:eastAsia="Calibri" w:hAnsiTheme="majorBidi" w:cstheme="majorBidi"/>
        </w:rPr>
        <w:t xml:space="preserve">Vu que le texte sacré est au service du pouvoir politique et des conflits sociopolitiques, l’interprétation et la traduction du texte peuvent changer quand le pouvoir change, ce qui contribue au développement de la polysémie. À titre d’exemple, les kharijites </w:t>
      </w:r>
      <w:r w:rsidRPr="00CB7AF4">
        <w:rPr>
          <w:rFonts w:asciiTheme="majorBidi" w:eastAsia="Times New Roman" w:hAnsiTheme="majorBidi" w:cstheme="majorBidi"/>
        </w:rPr>
        <w:t>[al-Khawārij « les dissidents », VII</w:t>
      </w:r>
      <w:r w:rsidRPr="00CB7AF4">
        <w:rPr>
          <w:rFonts w:asciiTheme="majorBidi" w:eastAsia="Times New Roman" w:hAnsiTheme="majorBidi" w:cstheme="majorBidi"/>
          <w:vertAlign w:val="superscript"/>
        </w:rPr>
        <w:t>e</w:t>
      </w:r>
      <w:r w:rsidRPr="00CB7AF4">
        <w:rPr>
          <w:rFonts w:asciiTheme="majorBidi" w:eastAsia="Times New Roman" w:hAnsiTheme="majorBidi" w:cstheme="majorBidi"/>
        </w:rPr>
        <w:t xml:space="preserve"> siècle] se sont appuyé sur l’exégèse du</w:t>
      </w:r>
      <w:r w:rsidR="0067400A">
        <w:rPr>
          <w:rFonts w:asciiTheme="majorBidi" w:eastAsia="Times New Roman" w:hAnsiTheme="majorBidi" w:cstheme="majorBidi"/>
        </w:rPr>
        <w:t xml:space="preserve"> Coran pour lutter contre ʿAlī b.</w:t>
      </w:r>
      <w:r w:rsidRPr="00CB7AF4">
        <w:rPr>
          <w:rFonts w:asciiTheme="majorBidi" w:eastAsia="Times New Roman" w:hAnsiTheme="majorBidi" w:cstheme="majorBidi"/>
        </w:rPr>
        <w:t xml:space="preserve"> Abī Ṭālib et le tuer enfin. L’exégèse sunnite qui repose sur le califat [al-</w:t>
      </w:r>
      <w:r w:rsidRPr="001D5F2C">
        <w:rPr>
          <w:rFonts w:asciiTheme="majorBidi" w:eastAsia="Times New Roman" w:hAnsiTheme="majorBidi" w:cstheme="majorBidi"/>
        </w:rPr>
        <w:t xml:space="preserve">khilāfat, la succession du prophète, le titre du </w:t>
      </w:r>
      <w:r w:rsidRPr="001D5F2C">
        <w:rPr>
          <w:rFonts w:asciiTheme="majorBidi" w:eastAsia="Times New Roman" w:hAnsiTheme="majorBidi" w:cstheme="majorBidi"/>
        </w:rPr>
        <w:lastRenderedPageBreak/>
        <w:t>commandeur des croyants (</w:t>
      </w:r>
      <w:r w:rsidRPr="001D5F2C">
        <w:rPr>
          <w:rFonts w:asciiTheme="majorBidi" w:eastAsia="Times New Roman" w:hAnsiTheme="majorBidi" w:cstheme="majorBidi"/>
          <w:i/>
          <w:iCs/>
        </w:rPr>
        <w:t>amīr al-muʾminīn</w:t>
      </w:r>
      <w:r w:rsidRPr="001D5F2C">
        <w:rPr>
          <w:rFonts w:asciiTheme="majorBidi" w:eastAsia="Times New Roman" w:hAnsiTheme="majorBidi" w:cstheme="majorBidi"/>
        </w:rPr>
        <w:t> : miramolin</w:t>
      </w:r>
      <w:r w:rsidR="00B57FFD" w:rsidRPr="001D5F2C">
        <w:rPr>
          <w:rStyle w:val="Appelnotedebasdep"/>
          <w:rFonts w:eastAsia="Times New Roman"/>
        </w:rPr>
        <w:footnoteReference w:id="101"/>
      </w:r>
      <w:r w:rsidRPr="001D5F2C">
        <w:rPr>
          <w:rFonts w:asciiTheme="majorBidi" w:eastAsia="Times New Roman" w:hAnsiTheme="majorBidi" w:cstheme="majorBidi"/>
        </w:rPr>
        <w:t>)] diffère de l’exégèse chiite qui repose sur l’</w:t>
      </w:r>
      <w:r w:rsidRPr="001D5F2C">
        <w:rPr>
          <w:rFonts w:asciiTheme="majorBidi" w:eastAsia="Times New Roman" w:hAnsiTheme="majorBidi" w:cstheme="majorBidi"/>
          <w:i/>
          <w:iCs/>
        </w:rPr>
        <w:t>imāmat</w:t>
      </w:r>
      <w:r w:rsidRPr="001D5F2C">
        <w:rPr>
          <w:rFonts w:asciiTheme="majorBidi" w:eastAsia="Times New Roman" w:hAnsiTheme="majorBidi" w:cstheme="majorBidi"/>
        </w:rPr>
        <w:t xml:space="preserve"> [le commandement religieux et politique, un prolongement naturel, nécessaire et d’essence divine de la prophétie]</w:t>
      </w:r>
      <w:r w:rsidRPr="001D5F2C">
        <w:rPr>
          <w:rFonts w:asciiTheme="majorBidi" w:eastAsia="Calibri" w:hAnsiTheme="majorBidi" w:cstheme="majorBidi"/>
        </w:rPr>
        <w:t>. Le verset 15 de la</w:t>
      </w:r>
      <w:r w:rsidRPr="00CB7AF4">
        <w:rPr>
          <w:rFonts w:asciiTheme="majorBidi" w:eastAsia="Calibri" w:hAnsiTheme="majorBidi" w:cstheme="majorBidi"/>
        </w:rPr>
        <w:t xml:space="preserve"> sourate </w:t>
      </w:r>
      <w:r w:rsidRPr="00CB7AF4">
        <w:rPr>
          <w:rFonts w:asciiTheme="majorBidi" w:eastAsia="Calibri" w:hAnsiTheme="majorBidi" w:cstheme="majorBidi"/>
          <w:i/>
          <w:iCs/>
        </w:rPr>
        <w:t>Al-Ḥajj</w:t>
      </w:r>
      <w:r w:rsidRPr="00CB7AF4">
        <w:rPr>
          <w:rFonts w:asciiTheme="majorBidi" w:eastAsia="Calibri" w:hAnsiTheme="majorBidi" w:cstheme="majorBidi"/>
        </w:rPr>
        <w:t xml:space="preserve">, qui a été interprété par la plupart des exégètes dans le cadre des conflits entre Muḥammad et ses adversaires, est compris actuellement dans un sens spirituel, psychologique et individuel par une confrérie mystique syrienne du </w:t>
      </w:r>
      <w:r w:rsidRPr="00CB7AF4">
        <w:rPr>
          <w:rFonts w:asciiTheme="majorBidi" w:eastAsia="Calibri" w:hAnsiTheme="majorBidi" w:cstheme="majorBidi"/>
          <w:i/>
          <w:iCs/>
        </w:rPr>
        <w:t>Naqshbandiyya</w:t>
      </w:r>
      <w:r w:rsidRPr="00CB7AF4">
        <w:rPr>
          <w:rFonts w:asciiTheme="majorBidi" w:eastAsia="Calibri" w:hAnsiTheme="majorBidi" w:cstheme="majorBidi"/>
        </w:rPr>
        <w:t xml:space="preserve"> (Muḥammad Amīn Shaykhū (1890-1964)</w:t>
      </w:r>
      <w:r w:rsidRPr="00CB7AF4">
        <w:rPr>
          <w:rFonts w:asciiTheme="majorBidi" w:eastAsia="Calibri" w:hAnsiTheme="majorBidi" w:cstheme="majorBidi"/>
          <w:vertAlign w:val="superscript"/>
          <w:lang w:bidi="ar-AE"/>
        </w:rPr>
        <w:footnoteReference w:id="102"/>
      </w:r>
      <w:r w:rsidRPr="00CB7AF4">
        <w:rPr>
          <w:rFonts w:asciiTheme="majorBidi" w:eastAsia="Calibri" w:hAnsiTheme="majorBidi" w:cstheme="majorBidi"/>
        </w:rPr>
        <w:t>, ʿAbd al-Hādī</w:t>
      </w:r>
      <w:r w:rsidRPr="00CB7AF4">
        <w:rPr>
          <w:rFonts w:asciiTheme="majorBidi" w:eastAsia="Times New Roman" w:hAnsiTheme="majorBidi" w:cstheme="majorBidi"/>
        </w:rPr>
        <w:t xml:space="preserve"> </w:t>
      </w:r>
      <w:r w:rsidRPr="00CB7AF4">
        <w:rPr>
          <w:rFonts w:asciiTheme="majorBidi" w:eastAsia="Calibri" w:hAnsiTheme="majorBidi" w:cstheme="majorBidi"/>
        </w:rPr>
        <w:t>Al-Bānī (1916-2011), Muḥammad Rātib An-Nābulsī</w:t>
      </w:r>
      <w:r w:rsidRPr="00CB7AF4">
        <w:rPr>
          <w:rFonts w:asciiTheme="majorBidi" w:eastAsia="Calibri" w:hAnsiTheme="majorBidi" w:cstheme="majorBidi"/>
          <w:vertAlign w:val="superscript"/>
          <w:lang w:bidi="ar-AE"/>
        </w:rPr>
        <w:footnoteReference w:id="103"/>
      </w:r>
      <w:r w:rsidRPr="00CB7AF4">
        <w:rPr>
          <w:rFonts w:asciiTheme="majorBidi" w:eastAsia="Calibri" w:hAnsiTheme="majorBidi" w:cstheme="majorBidi"/>
        </w:rPr>
        <w:t xml:space="preserve">). </w:t>
      </w:r>
      <w:r w:rsidRPr="00CB7AF4">
        <w:rPr>
          <w:rFonts w:asciiTheme="majorBidi" w:eastAsia="Times New Roman" w:hAnsiTheme="majorBidi" w:cstheme="majorBidi"/>
        </w:rPr>
        <w:t xml:space="preserve">Le verset 41 </w:t>
      </w:r>
      <w:r w:rsidRPr="00CB7AF4">
        <w:rPr>
          <w:rFonts w:asciiTheme="majorBidi" w:eastAsia="Calibri" w:hAnsiTheme="majorBidi" w:cstheme="majorBidi"/>
        </w:rPr>
        <w:t xml:space="preserve">de la sourate </w:t>
      </w:r>
      <w:r w:rsidRPr="00CB7AF4">
        <w:rPr>
          <w:rFonts w:asciiTheme="majorBidi" w:eastAsia="Calibri" w:hAnsiTheme="majorBidi" w:cstheme="majorBidi"/>
          <w:i/>
          <w:iCs/>
        </w:rPr>
        <w:t>Al-Ḥajj</w:t>
      </w:r>
      <w:r w:rsidRPr="00CB7AF4">
        <w:rPr>
          <w:rFonts w:asciiTheme="majorBidi" w:eastAsia="Times New Roman" w:hAnsiTheme="majorBidi" w:cstheme="majorBidi"/>
        </w:rPr>
        <w:t xml:space="preserve"> (“si Nous leur en donnons capacité sur la terre, [ils] accomplissent la prière, acquittent la purification, prescrivent le convenable et proscrivent le blâmable”) a été interprété pour dire que le régime politique doit faire partie de la religion musulmane et qu’il incombe aux musulmans de rétablir le califat de l’islam</w:t>
      </w:r>
      <w:r w:rsidRPr="00CB7AF4">
        <w:rPr>
          <w:rFonts w:asciiTheme="majorBidi" w:eastAsia="Calibri" w:hAnsiTheme="majorBidi" w:cstheme="majorBidi"/>
        </w:rPr>
        <w:t>.</w:t>
      </w:r>
    </w:p>
    <w:p w14:paraId="612CA160" w14:textId="0837C51B" w:rsidR="00296288" w:rsidRDefault="00561BDC" w:rsidP="00296288">
      <w:pPr>
        <w:spacing w:line="360" w:lineRule="auto"/>
        <w:ind w:firstLine="708"/>
        <w:jc w:val="both"/>
        <w:rPr>
          <w:rFonts w:asciiTheme="majorBidi" w:eastAsia="Times New Roman" w:hAnsiTheme="majorBidi" w:cstheme="majorBidi"/>
        </w:rPr>
      </w:pPr>
      <w:r w:rsidRPr="00CB7AF4">
        <w:rPr>
          <w:rFonts w:asciiTheme="majorBidi" w:eastAsia="Times New Roman" w:hAnsiTheme="majorBidi" w:cstheme="majorBidi"/>
        </w:rPr>
        <w:t xml:space="preserve">Un phénomène important à souligner dans le Coran en général et dans la sourate </w:t>
      </w:r>
      <w:r w:rsidRPr="00CB7AF4">
        <w:rPr>
          <w:rFonts w:asciiTheme="majorBidi" w:eastAsia="Times New Roman" w:hAnsiTheme="majorBidi" w:cstheme="majorBidi"/>
          <w:i/>
          <w:iCs/>
        </w:rPr>
        <w:t>Al-Ḥajj</w:t>
      </w:r>
      <w:r w:rsidRPr="00CB7AF4">
        <w:rPr>
          <w:rFonts w:asciiTheme="majorBidi" w:eastAsia="Times New Roman" w:hAnsiTheme="majorBidi" w:cstheme="majorBidi"/>
        </w:rPr>
        <w:t xml:space="preserve"> en </w:t>
      </w:r>
      <w:r w:rsidRPr="00483D12">
        <w:rPr>
          <w:rFonts w:asciiTheme="majorBidi" w:eastAsia="Times New Roman" w:hAnsiTheme="majorBidi" w:cstheme="majorBidi"/>
        </w:rPr>
        <w:t xml:space="preserve">particulier, du fait que cette dernière fut rassemblée à partir de plusieurs discours mecquois et médinois, c’est qu’il </w:t>
      </w:r>
      <w:r w:rsidR="00087A14" w:rsidRPr="00483D12">
        <w:rPr>
          <w:rFonts w:asciiTheme="majorBidi" w:eastAsia="Times New Roman" w:hAnsiTheme="majorBidi" w:cstheme="majorBidi"/>
        </w:rPr>
        <w:t xml:space="preserve">y </w:t>
      </w:r>
      <w:r w:rsidRPr="00483D12">
        <w:rPr>
          <w:rFonts w:asciiTheme="majorBidi" w:eastAsia="Times New Roman" w:hAnsiTheme="majorBidi" w:cstheme="majorBidi"/>
        </w:rPr>
        <w:t>existe des incohérences. Cette incohérence nous permet de supprimer ou d’ajouter.</w:t>
      </w:r>
    </w:p>
    <w:p w14:paraId="0A0957F1" w14:textId="77777777" w:rsidR="00296288" w:rsidRPr="00296288" w:rsidRDefault="00296288" w:rsidP="00296288">
      <w:pPr>
        <w:spacing w:line="360" w:lineRule="auto"/>
        <w:ind w:firstLine="708"/>
        <w:jc w:val="both"/>
        <w:rPr>
          <w:rFonts w:asciiTheme="majorBidi" w:eastAsia="Times New Roman" w:hAnsiTheme="majorBidi" w:cstheme="majorBidi"/>
          <w:lang w:bidi="ar-AE"/>
        </w:rPr>
      </w:pPr>
    </w:p>
    <w:p w14:paraId="396A677A" w14:textId="77777777" w:rsidR="00561BDC" w:rsidRPr="00CB7AF4" w:rsidRDefault="00561BDC" w:rsidP="00CB7AF4">
      <w:pPr>
        <w:spacing w:line="360" w:lineRule="auto"/>
        <w:jc w:val="both"/>
        <w:rPr>
          <w:rFonts w:asciiTheme="majorBidi" w:eastAsia="Calibri" w:hAnsiTheme="majorBidi" w:cstheme="majorBidi"/>
          <w:b/>
          <w:bCs/>
          <w:lang w:bidi="ar-AE"/>
        </w:rPr>
      </w:pPr>
      <w:r w:rsidRPr="00CB7AF4">
        <w:rPr>
          <w:rFonts w:asciiTheme="majorBidi" w:eastAsia="Calibri" w:hAnsiTheme="majorBidi" w:cstheme="majorBidi"/>
          <w:b/>
          <w:bCs/>
          <w:lang w:bidi="ar-AE"/>
        </w:rPr>
        <w:t>Le sens indiciel :</w:t>
      </w:r>
    </w:p>
    <w:p w14:paraId="4210975A" w14:textId="5CF8377C" w:rsidR="00561BDC" w:rsidRPr="00CB7AF4" w:rsidRDefault="00A1216A" w:rsidP="009606E8">
      <w:pPr>
        <w:spacing w:line="360" w:lineRule="auto"/>
        <w:jc w:val="both"/>
        <w:rPr>
          <w:rFonts w:asciiTheme="majorBidi" w:eastAsia="Calibri" w:hAnsiTheme="majorBidi" w:cstheme="majorBidi"/>
          <w:lang w:bidi="ar-AE"/>
        </w:rPr>
      </w:pPr>
      <w:r>
        <w:rPr>
          <w:rFonts w:asciiTheme="majorBidi" w:eastAsia="Calibri" w:hAnsiTheme="majorBidi" w:cstheme="majorBidi"/>
          <w:lang w:bidi="ar-AE"/>
        </w:rPr>
        <w:t>« </w:t>
      </w:r>
      <w:r w:rsidR="00561BDC" w:rsidRPr="00CB7AF4">
        <w:rPr>
          <w:rFonts w:asciiTheme="majorBidi" w:eastAsia="Calibri" w:hAnsiTheme="majorBidi" w:cstheme="majorBidi"/>
          <w:lang w:bidi="ar-AE"/>
        </w:rPr>
        <w:t>Quand on écrit ou parle on produit des significations à plusieurs plans</w:t>
      </w:r>
      <w:r>
        <w:rPr>
          <w:rFonts w:asciiTheme="majorBidi" w:eastAsia="Calibri" w:hAnsiTheme="majorBidi" w:cstheme="majorBidi"/>
          <w:lang w:bidi="ar-AE"/>
        </w:rPr>
        <w:t> »</w:t>
      </w:r>
      <w:r w:rsidR="00561BDC" w:rsidRPr="00CB7AF4">
        <w:rPr>
          <w:rFonts w:asciiTheme="majorBidi" w:eastAsia="Calibri" w:hAnsiTheme="majorBidi" w:cstheme="majorBidi"/>
          <w:vertAlign w:val="superscript"/>
          <w:lang w:bidi="ar-AE"/>
        </w:rPr>
        <w:footnoteReference w:id="104"/>
      </w:r>
      <w:r w:rsidR="00561BDC" w:rsidRPr="00CB7AF4">
        <w:rPr>
          <w:rFonts w:asciiTheme="majorBidi" w:eastAsia="Calibri" w:hAnsiTheme="majorBidi" w:cstheme="majorBidi"/>
        </w:rPr>
        <w:t xml:space="preserve">. </w:t>
      </w:r>
      <w:r w:rsidR="00561BDC" w:rsidRPr="00CB7AF4">
        <w:rPr>
          <w:rFonts w:asciiTheme="majorBidi" w:eastAsia="Calibri" w:hAnsiTheme="majorBidi" w:cstheme="majorBidi"/>
          <w:lang w:bidi="ar-AE"/>
        </w:rPr>
        <w:t xml:space="preserve">Quand on sent l’odeur du café par exemple, cela signifie que : 1)-le café est préparé, 2)-quelqu’un a préparé le café, 3)-ma mère (ou ma femme) est rentrée, etc. Le type de sens que les choses révèlent par elles-mêmes est appelé le sens indiciel. Nous recevons de milliers de signaux de ce genre, </w:t>
      </w:r>
      <w:r w:rsidR="00561BDC" w:rsidRPr="00CB7AF4">
        <w:rPr>
          <w:rFonts w:asciiTheme="majorBidi" w:eastAsia="Calibri" w:hAnsiTheme="majorBidi" w:cstheme="majorBidi"/>
          <w:i/>
          <w:iCs/>
          <w:lang w:bidi="ar-AE"/>
        </w:rPr>
        <w:t>mais nous ne captons que ceux qui donnent le sens dont nous avons besoin</w:t>
      </w:r>
      <w:r w:rsidR="00561BDC" w:rsidRPr="00CB7AF4">
        <w:rPr>
          <w:rFonts w:asciiTheme="majorBidi" w:eastAsia="Calibri" w:hAnsiTheme="majorBidi" w:cstheme="majorBidi"/>
          <w:lang w:bidi="ar-AE"/>
        </w:rPr>
        <w:t>.</w:t>
      </w:r>
      <w:r w:rsidR="00561BDC" w:rsidRPr="00CB7AF4">
        <w:rPr>
          <w:rFonts w:asciiTheme="majorBidi" w:eastAsia="Calibri" w:hAnsiTheme="majorBidi" w:cstheme="majorBidi"/>
        </w:rPr>
        <w:t xml:space="preserve"> </w:t>
      </w:r>
      <w:r w:rsidR="00561BDC" w:rsidRPr="00CB7AF4">
        <w:rPr>
          <w:rFonts w:asciiTheme="majorBidi" w:eastAsia="Calibri" w:hAnsiTheme="majorBidi" w:cstheme="majorBidi"/>
          <w:lang w:bidi="ar-AE"/>
        </w:rPr>
        <w:t xml:space="preserve">Dans la sourate </w:t>
      </w:r>
      <w:r w:rsidR="00561BDC" w:rsidRPr="00CB7AF4">
        <w:rPr>
          <w:rFonts w:asciiTheme="majorBidi" w:eastAsia="Calibri" w:hAnsiTheme="majorBidi" w:cstheme="majorBidi"/>
          <w:i/>
          <w:iCs/>
          <w:lang w:bidi="ar-AE"/>
        </w:rPr>
        <w:t>Al-Ḥajj</w:t>
      </w:r>
      <w:r w:rsidR="00561BDC" w:rsidRPr="00CB7AF4">
        <w:rPr>
          <w:rFonts w:asciiTheme="majorBidi" w:eastAsia="Calibri" w:hAnsiTheme="majorBidi" w:cstheme="majorBidi"/>
          <w:lang w:bidi="ar-AE"/>
        </w:rPr>
        <w:t xml:space="preserve">, le sens “propositionnel” de la phrase : </w:t>
      </w:r>
      <w:r w:rsidR="009606E8" w:rsidRPr="009606E8">
        <w:rPr>
          <w:rFonts w:asciiTheme="majorBidi" w:eastAsia="Calibri" w:hAnsiTheme="majorBidi" w:cstheme="majorBidi" w:hint="cs"/>
          <w:rtl/>
          <w:lang w:bidi="ar-AE"/>
        </w:rPr>
        <w:t>إن زلزلة الساعة شيء عظيم</w:t>
      </w:r>
      <w:r w:rsidR="00561BDC" w:rsidRPr="00CB7AF4">
        <w:rPr>
          <w:rFonts w:asciiTheme="majorBidi" w:eastAsia="Calibri" w:hAnsiTheme="majorBidi" w:cstheme="majorBidi"/>
          <w:lang w:bidi="ar-AE"/>
        </w:rPr>
        <w:t xml:space="preserve"> (verset 1</w:t>
      </w:r>
      <w:r w:rsidR="00561BDC" w:rsidRPr="00CB7AF4">
        <w:rPr>
          <w:rFonts w:asciiTheme="majorBidi" w:eastAsia="Calibri" w:hAnsiTheme="majorBidi" w:cstheme="majorBidi"/>
          <w:vertAlign w:val="superscript"/>
          <w:lang w:bidi="ar-AE"/>
        </w:rPr>
        <w:t>er</w:t>
      </w:r>
      <w:r w:rsidR="00561BDC" w:rsidRPr="00CB7AF4">
        <w:rPr>
          <w:rFonts w:asciiTheme="majorBidi" w:eastAsia="Calibri" w:hAnsiTheme="majorBidi" w:cstheme="majorBidi"/>
          <w:lang w:bidi="ar-AE"/>
        </w:rPr>
        <w:t xml:space="preserve">) est : “Le tremblement de l’Heure sera chose énorme” (traduction de Jacques Berque), mais le sens indiciel peut être une intimidation : “Embrassez l’islam avant de recevoir le châtiment”. Le sens indiciel ouvre la porte </w:t>
      </w:r>
      <w:r w:rsidR="00561BDC" w:rsidRPr="00CB7AF4">
        <w:rPr>
          <w:rFonts w:asciiTheme="majorBidi" w:eastAsia="Calibri" w:hAnsiTheme="majorBidi" w:cstheme="majorBidi"/>
          <w:lang w:bidi="ar-AE"/>
        </w:rPr>
        <w:lastRenderedPageBreak/>
        <w:t>à l’interprétation et par la suite à la polysémie.</w:t>
      </w:r>
      <w:r w:rsidR="00561BDC" w:rsidRPr="00CB7AF4">
        <w:rPr>
          <w:rFonts w:asciiTheme="majorBidi" w:eastAsia="Calibri" w:hAnsiTheme="majorBidi" w:cstheme="majorBidi"/>
        </w:rPr>
        <w:t xml:space="preserve"> </w:t>
      </w:r>
      <w:r w:rsidR="00561BDC" w:rsidRPr="00CB7AF4">
        <w:rPr>
          <w:rFonts w:asciiTheme="majorBidi" w:eastAsia="Calibri" w:hAnsiTheme="majorBidi" w:cstheme="majorBidi"/>
          <w:lang w:bidi="ar-AE"/>
        </w:rPr>
        <w:t xml:space="preserve">L’exégèse qui cherche le sens indiciel est le tafsīr </w:t>
      </w:r>
      <w:r w:rsidR="00561BDC" w:rsidRPr="00CB7AF4">
        <w:rPr>
          <w:rFonts w:asciiTheme="majorBidi" w:eastAsia="Calibri" w:hAnsiTheme="majorBidi" w:cstheme="majorBidi"/>
          <w:i/>
          <w:iCs/>
          <w:lang w:bidi="ar-AE"/>
        </w:rPr>
        <w:t>ishārī</w:t>
      </w:r>
      <w:r w:rsidR="00561BDC" w:rsidRPr="00CB7AF4">
        <w:rPr>
          <w:rFonts w:asciiTheme="majorBidi" w:eastAsia="Calibri" w:hAnsiTheme="majorBidi" w:cstheme="majorBidi"/>
          <w:lang w:bidi="ar-AE"/>
        </w:rPr>
        <w:t xml:space="preserve"> [allusif] (</w:t>
      </w:r>
      <w:r w:rsidR="00561BDC" w:rsidRPr="00CB7AF4">
        <w:rPr>
          <w:rFonts w:asciiTheme="majorBidi" w:eastAsia="Calibri" w:hAnsiTheme="majorBidi" w:cstheme="majorBidi"/>
          <w:i/>
          <w:iCs/>
          <w:lang w:bidi="ar-AE"/>
        </w:rPr>
        <w:t>dhawqī</w:t>
      </w:r>
      <w:r w:rsidR="00561BDC" w:rsidRPr="00CB7AF4">
        <w:rPr>
          <w:rFonts w:asciiTheme="majorBidi" w:eastAsia="Calibri" w:hAnsiTheme="majorBidi" w:cstheme="majorBidi"/>
          <w:lang w:bidi="ar-AE"/>
        </w:rPr>
        <w:t xml:space="preserve"> [gustatif], </w:t>
      </w:r>
      <w:r w:rsidR="00561BDC" w:rsidRPr="00CB7AF4">
        <w:rPr>
          <w:rFonts w:asciiTheme="majorBidi" w:eastAsia="Calibri" w:hAnsiTheme="majorBidi" w:cstheme="majorBidi"/>
          <w:i/>
          <w:iCs/>
          <w:lang w:bidi="ar-AE"/>
        </w:rPr>
        <w:t>fayḍī</w:t>
      </w:r>
      <w:r w:rsidR="00561BDC" w:rsidRPr="00CB7AF4">
        <w:rPr>
          <w:rFonts w:asciiTheme="majorBidi" w:eastAsia="Calibri" w:hAnsiTheme="majorBidi" w:cstheme="majorBidi"/>
          <w:lang w:bidi="ar-AE"/>
        </w:rPr>
        <w:t xml:space="preserve"> [émanatif]) : il s’agit de l’interprétation du Coran en recourant à des signaux subtils. Les figures de cette exégèse sont:</w:t>
      </w:r>
      <w:r w:rsidR="00561BDC" w:rsidRPr="00CB7AF4">
        <w:rPr>
          <w:rFonts w:asciiTheme="majorBidi" w:eastAsia="Times New Roman" w:hAnsiTheme="majorBidi" w:cstheme="majorBidi"/>
        </w:rPr>
        <w:t xml:space="preserve"> </w:t>
      </w:r>
      <w:r w:rsidR="00561BDC" w:rsidRPr="00CB7AF4">
        <w:rPr>
          <w:rFonts w:asciiTheme="majorBidi" w:eastAsia="Calibri" w:hAnsiTheme="majorBidi" w:cstheme="majorBidi"/>
        </w:rPr>
        <w:t>ʿ</w:t>
      </w:r>
      <w:r w:rsidR="00BE4EE3">
        <w:rPr>
          <w:rFonts w:asciiTheme="majorBidi" w:eastAsia="Calibri" w:hAnsiTheme="majorBidi" w:cstheme="majorBidi"/>
        </w:rPr>
        <w:t>Abd Allāh b.</w:t>
      </w:r>
      <w:r w:rsidR="00561BDC" w:rsidRPr="00CB7AF4">
        <w:rPr>
          <w:rFonts w:asciiTheme="majorBidi" w:eastAsia="Calibri" w:hAnsiTheme="majorBidi" w:cstheme="majorBidi"/>
        </w:rPr>
        <w:t xml:space="preserve"> ʿAbbās</w:t>
      </w:r>
      <w:r w:rsidR="00561BDC" w:rsidRPr="00CB7AF4">
        <w:rPr>
          <w:rFonts w:asciiTheme="majorBidi" w:eastAsia="Calibri" w:hAnsiTheme="majorBidi" w:cstheme="majorBidi"/>
          <w:vertAlign w:val="superscript"/>
          <w:lang w:bidi="ar-AE"/>
        </w:rPr>
        <w:footnoteReference w:id="105"/>
      </w:r>
      <w:r w:rsidR="00561BDC" w:rsidRPr="00CB7AF4">
        <w:rPr>
          <w:rFonts w:asciiTheme="majorBidi" w:eastAsia="Calibri" w:hAnsiTheme="majorBidi" w:cstheme="majorBidi"/>
        </w:rPr>
        <w:t xml:space="preserve"> (618/619-687)</w:t>
      </w:r>
      <w:r w:rsidR="00561BDC" w:rsidRPr="00CB7AF4">
        <w:rPr>
          <w:rFonts w:asciiTheme="majorBidi" w:eastAsia="Calibri" w:hAnsiTheme="majorBidi" w:cstheme="majorBidi"/>
          <w:lang w:bidi="ar-AE"/>
        </w:rPr>
        <w:t>, Sahl at-Tustarī (IX</w:t>
      </w:r>
      <w:r w:rsidR="00561BDC" w:rsidRPr="00CB7AF4">
        <w:rPr>
          <w:rFonts w:asciiTheme="majorBidi" w:eastAsia="Calibri" w:hAnsiTheme="majorBidi" w:cstheme="majorBidi"/>
          <w:vertAlign w:val="superscript"/>
          <w:lang w:bidi="ar-AE"/>
        </w:rPr>
        <w:t>e</w:t>
      </w:r>
      <w:r w:rsidR="00BE4EE3">
        <w:rPr>
          <w:rFonts w:asciiTheme="majorBidi" w:eastAsia="Calibri" w:hAnsiTheme="majorBidi" w:cstheme="majorBidi"/>
          <w:lang w:bidi="ar-AE"/>
        </w:rPr>
        <w:t xml:space="preserve"> siècle), ʿAbd al-Karīm b.</w:t>
      </w:r>
      <w:r w:rsidR="00561BDC" w:rsidRPr="00CB7AF4">
        <w:rPr>
          <w:rFonts w:asciiTheme="majorBidi" w:eastAsia="Calibri" w:hAnsiTheme="majorBidi" w:cstheme="majorBidi"/>
          <w:lang w:bidi="ar-AE"/>
        </w:rPr>
        <w:t xml:space="preserve"> Hawāzin al-Qushayrī (X</w:t>
      </w:r>
      <w:r w:rsidR="00561BDC" w:rsidRPr="00CB7AF4">
        <w:rPr>
          <w:rFonts w:asciiTheme="majorBidi" w:eastAsia="Calibri" w:hAnsiTheme="majorBidi" w:cstheme="majorBidi"/>
          <w:vertAlign w:val="superscript"/>
          <w:lang w:bidi="ar-AE"/>
        </w:rPr>
        <w:t>e</w:t>
      </w:r>
      <w:r w:rsidR="007827FF">
        <w:rPr>
          <w:rFonts w:asciiTheme="majorBidi" w:eastAsia="Calibri" w:hAnsiTheme="majorBidi" w:cstheme="majorBidi"/>
          <w:lang w:bidi="ar-AE"/>
        </w:rPr>
        <w:t xml:space="preserve"> siècle), Rūzbahān al-Baqlī ash-S</w:t>
      </w:r>
      <w:r w:rsidR="00561BDC" w:rsidRPr="00CB7AF4">
        <w:rPr>
          <w:rFonts w:asciiTheme="majorBidi" w:eastAsia="Calibri" w:hAnsiTheme="majorBidi" w:cstheme="majorBidi"/>
          <w:lang w:bidi="ar-AE"/>
        </w:rPr>
        <w:t>hīrāzī (XIII</w:t>
      </w:r>
      <w:r w:rsidR="00561BDC" w:rsidRPr="00CB7AF4">
        <w:rPr>
          <w:rFonts w:asciiTheme="majorBidi" w:eastAsia="Calibri" w:hAnsiTheme="majorBidi" w:cstheme="majorBidi"/>
          <w:vertAlign w:val="superscript"/>
          <w:lang w:bidi="ar-AE"/>
        </w:rPr>
        <w:t>e</w:t>
      </w:r>
      <w:r w:rsidR="00561BDC" w:rsidRPr="00CB7AF4">
        <w:rPr>
          <w:rFonts w:asciiTheme="majorBidi" w:eastAsia="Calibri" w:hAnsiTheme="majorBidi" w:cstheme="majorBidi"/>
          <w:lang w:bidi="ar-AE"/>
        </w:rPr>
        <w:t xml:space="preserve"> siècle), Aḥ</w:t>
      </w:r>
      <w:r w:rsidR="00BE4EE3">
        <w:rPr>
          <w:rFonts w:asciiTheme="majorBidi" w:eastAsia="Calibri" w:hAnsiTheme="majorBidi" w:cstheme="majorBidi"/>
          <w:lang w:bidi="ar-AE"/>
        </w:rPr>
        <w:t>mad b.</w:t>
      </w:r>
      <w:r w:rsidR="00561BDC" w:rsidRPr="00CB7AF4">
        <w:rPr>
          <w:rFonts w:asciiTheme="majorBidi" w:eastAsia="Calibri" w:hAnsiTheme="majorBidi" w:cstheme="majorBidi"/>
          <w:lang w:bidi="ar-AE"/>
        </w:rPr>
        <w:t xml:space="preserve"> ʿAjība (1747-1809), Maḥ</w:t>
      </w:r>
      <w:r w:rsidR="007827FF">
        <w:rPr>
          <w:rFonts w:asciiTheme="majorBidi" w:eastAsia="Calibri" w:hAnsiTheme="majorBidi" w:cstheme="majorBidi"/>
          <w:lang w:bidi="ar-AE"/>
        </w:rPr>
        <w:t xml:space="preserve">mūd Shihāb ad-Dīn Abū </w:t>
      </w:r>
      <w:r w:rsidR="00561BDC" w:rsidRPr="00CB7AF4">
        <w:rPr>
          <w:rFonts w:asciiTheme="majorBidi" w:eastAsia="Calibri" w:hAnsiTheme="majorBidi" w:cstheme="majorBidi"/>
          <w:lang w:bidi="ar-AE"/>
        </w:rPr>
        <w:t>th-Thanāʾ al-Ḥusaynī al-Ālūsī al-Baghdādī (1803-1854), Aḥmad ibn Muṣ</w:t>
      </w:r>
      <w:r w:rsidR="007827FF">
        <w:rPr>
          <w:rFonts w:asciiTheme="majorBidi" w:eastAsia="Calibri" w:hAnsiTheme="majorBidi" w:cstheme="majorBidi"/>
          <w:lang w:bidi="ar-AE"/>
        </w:rPr>
        <w:t>tafā a</w:t>
      </w:r>
      <w:r w:rsidR="00561BDC" w:rsidRPr="00CB7AF4">
        <w:rPr>
          <w:rFonts w:asciiTheme="majorBidi" w:eastAsia="Calibri" w:hAnsiTheme="majorBidi" w:cstheme="majorBidi"/>
          <w:lang w:bidi="ar-AE"/>
        </w:rPr>
        <w:t>l-ʿAlawī (1869/74-1934), Badīʿ az-Zamān Saʿīd an-Nūrsī [Bediüzzaman Saïd Nursi] (1878-1960).</w:t>
      </w:r>
    </w:p>
    <w:p w14:paraId="118B1DFB" w14:textId="77777777" w:rsidR="00561BDC" w:rsidRPr="00CB7AF4" w:rsidRDefault="00561BDC" w:rsidP="00CB7AF4">
      <w:pPr>
        <w:spacing w:line="360" w:lineRule="auto"/>
        <w:jc w:val="both"/>
        <w:rPr>
          <w:rFonts w:asciiTheme="majorBidi" w:eastAsia="Calibri" w:hAnsiTheme="majorBidi" w:cstheme="majorBidi"/>
          <w:lang w:bidi="ar-AE"/>
        </w:rPr>
      </w:pPr>
    </w:p>
    <w:p w14:paraId="2109E833"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Une nouvelle école exégétique, dont l’une des f</w:t>
      </w:r>
      <w:r w:rsidR="007827FF">
        <w:rPr>
          <w:rFonts w:asciiTheme="majorBidi" w:eastAsia="Calibri" w:hAnsiTheme="majorBidi" w:cstheme="majorBidi"/>
          <w:lang w:bidi="ar-AE"/>
        </w:rPr>
        <w:t>igures est le géologue é</w:t>
      </w:r>
      <w:r w:rsidRPr="00CB7AF4">
        <w:rPr>
          <w:rFonts w:asciiTheme="majorBidi" w:eastAsia="Calibri" w:hAnsiTheme="majorBidi" w:cstheme="majorBidi"/>
          <w:lang w:bidi="ar-AE"/>
        </w:rPr>
        <w:t>gyptien Zaghlūl An-Najjār (né en 1933), adopte une approche indicielle dans l’exégèse qui repose sur le concordisme</w:t>
      </w:r>
      <w:r w:rsidRPr="00CB7AF4">
        <w:rPr>
          <w:rFonts w:asciiTheme="majorBidi" w:eastAsia="Calibri" w:hAnsiTheme="majorBidi" w:cstheme="majorBidi"/>
          <w:vertAlign w:val="superscript"/>
          <w:lang w:bidi="ar-AE"/>
        </w:rPr>
        <w:footnoteReference w:id="106"/>
      </w:r>
      <w:r w:rsidRPr="00CB7AF4">
        <w:rPr>
          <w:rFonts w:asciiTheme="majorBidi" w:eastAsia="Calibri" w:hAnsiTheme="majorBidi" w:cstheme="majorBidi"/>
          <w:lang w:bidi="ar-AE"/>
        </w:rPr>
        <w:t xml:space="preserve"> ou le dogme de </w:t>
      </w:r>
      <w:r w:rsidRPr="007827FF">
        <w:rPr>
          <w:rFonts w:asciiTheme="majorBidi" w:eastAsia="Calibri" w:hAnsiTheme="majorBidi" w:cstheme="majorBidi"/>
          <w:iCs/>
          <w:lang w:bidi="ar-AE"/>
        </w:rPr>
        <w:t>l</w:t>
      </w:r>
      <w:r w:rsidRPr="00CB7AF4">
        <w:rPr>
          <w:rFonts w:asciiTheme="majorBidi" w:eastAsia="Calibri" w:hAnsiTheme="majorBidi" w:cstheme="majorBidi"/>
          <w:i/>
          <w:iCs/>
          <w:lang w:bidi="ar-AE"/>
        </w:rPr>
        <w:t>’iʿjāz al-ʿilmī</w:t>
      </w:r>
      <w:r w:rsidRPr="00CB7AF4">
        <w:rPr>
          <w:rFonts w:asciiTheme="majorBidi" w:eastAsia="Calibri" w:hAnsiTheme="majorBidi" w:cstheme="majorBidi"/>
          <w:lang w:bidi="ar-AE"/>
        </w:rPr>
        <w:t xml:space="preserve"> (l’inimitabilité scientifique ou le contenu scientifique miraculeux) qui tend à faire concorder le Coran et la Sunna avec les sciences contemporaines). De point de vue sociologique et psychologique, ce dogme de l’</w:t>
      </w:r>
      <w:r w:rsidRPr="00CB7AF4">
        <w:rPr>
          <w:rFonts w:asciiTheme="majorBidi" w:eastAsia="Calibri" w:hAnsiTheme="majorBidi" w:cstheme="majorBidi"/>
          <w:i/>
          <w:iCs/>
          <w:lang w:bidi="ar-AE"/>
        </w:rPr>
        <w:t>iʿjāz</w:t>
      </w:r>
      <w:r w:rsidRPr="00CB7AF4">
        <w:rPr>
          <w:rFonts w:asciiTheme="majorBidi" w:eastAsia="Calibri" w:hAnsiTheme="majorBidi" w:cstheme="majorBidi"/>
          <w:lang w:bidi="ar-AE"/>
        </w:rPr>
        <w:t xml:space="preserve"> pourrait être le résultat d’un complexe d’infériorité maladif. Les musulmans veulent prouver à travers leur exégèse de </w:t>
      </w:r>
      <w:r w:rsidRPr="007827FF">
        <w:rPr>
          <w:rFonts w:asciiTheme="majorBidi" w:eastAsia="Calibri" w:hAnsiTheme="majorBidi" w:cstheme="majorBidi"/>
          <w:iCs/>
          <w:lang w:bidi="ar-AE"/>
        </w:rPr>
        <w:t>l</w:t>
      </w:r>
      <w:r w:rsidRPr="00CB7AF4">
        <w:rPr>
          <w:rFonts w:asciiTheme="majorBidi" w:eastAsia="Calibri" w:hAnsiTheme="majorBidi" w:cstheme="majorBidi"/>
          <w:i/>
          <w:iCs/>
          <w:lang w:bidi="ar-AE"/>
        </w:rPr>
        <w:t>’iʿjāz</w:t>
      </w:r>
      <w:r w:rsidRPr="00CB7AF4">
        <w:rPr>
          <w:rFonts w:asciiTheme="majorBidi" w:eastAsia="Calibri" w:hAnsiTheme="majorBidi" w:cstheme="majorBidi"/>
          <w:lang w:bidi="ar-AE"/>
        </w:rPr>
        <w:t xml:space="preserve"> que les autres nations ne les surpassent pas dans les domaines scientifiques. Dans la sourate </w:t>
      </w:r>
      <w:r w:rsidRPr="00CB7AF4">
        <w:rPr>
          <w:rFonts w:asciiTheme="majorBidi" w:eastAsia="Calibri" w:hAnsiTheme="majorBidi" w:cstheme="majorBidi"/>
          <w:i/>
          <w:iCs/>
          <w:lang w:bidi="ar-AE"/>
        </w:rPr>
        <w:t>Al-Ḥajj</w:t>
      </w:r>
      <w:r w:rsidR="007827FF">
        <w:rPr>
          <w:rFonts w:asciiTheme="majorBidi" w:eastAsia="Calibri" w:hAnsiTheme="majorBidi" w:cstheme="majorBidi"/>
          <w:lang w:bidi="ar-AE"/>
        </w:rPr>
        <w:t xml:space="preserve">, </w:t>
      </w:r>
      <w:r w:rsidRPr="00CB7AF4">
        <w:rPr>
          <w:rFonts w:asciiTheme="majorBidi" w:eastAsia="Calibri" w:hAnsiTheme="majorBidi" w:cstheme="majorBidi"/>
          <w:lang w:bidi="ar-AE"/>
        </w:rPr>
        <w:t xml:space="preserve">Najjār voit, à titre d’exemple, que l’adjectif </w:t>
      </w:r>
      <w:r w:rsidRPr="00CB7AF4">
        <w:rPr>
          <w:rFonts w:asciiTheme="majorBidi" w:eastAsia="Calibri" w:hAnsiTheme="majorBidi" w:cstheme="majorBidi"/>
          <w:i/>
          <w:iCs/>
          <w:lang w:bidi="ar-AE"/>
        </w:rPr>
        <w:t xml:space="preserve">ʿamīq </w:t>
      </w:r>
      <w:r w:rsidRPr="00CB7AF4">
        <w:rPr>
          <w:rFonts w:asciiTheme="majorBidi" w:eastAsia="Calibri" w:hAnsiTheme="majorBidi" w:cstheme="majorBidi"/>
          <w:lang w:bidi="ar-AE"/>
        </w:rPr>
        <w:t>[profond] (verset 27) fait allusion à la sphéricité de la terre, et que la phrase</w:t>
      </w:r>
      <w:r w:rsidR="008A049C">
        <w:rPr>
          <w:rFonts w:asciiTheme="majorBidi" w:eastAsia="Calibri" w:hAnsiTheme="majorBidi" w:cstheme="majorBidi"/>
          <w:lang w:bidi="ar-AE"/>
        </w:rPr>
        <w:t xml:space="preserve"> </w:t>
      </w:r>
      <w:r w:rsidR="007827FF">
        <w:rPr>
          <w:rFonts w:asciiTheme="majorBidi" w:eastAsia="Calibri" w:hAnsiTheme="majorBidi" w:cstheme="majorBidi"/>
          <w:lang w:bidi="ar-AE"/>
        </w:rPr>
        <w:t>« </w:t>
      </w:r>
      <w:r w:rsidR="008A049C" w:rsidRPr="007827FF">
        <w:rPr>
          <w:rFonts w:asciiTheme="majorBidi" w:eastAsia="Calibri" w:hAnsiTheme="majorBidi" w:cstheme="majorBidi"/>
          <w:i/>
          <w:lang w:bidi="ar-AE"/>
        </w:rPr>
        <w:t>wa-</w:t>
      </w:r>
      <w:r w:rsidRPr="00CB7AF4">
        <w:rPr>
          <w:rFonts w:asciiTheme="majorBidi" w:eastAsia="Calibri" w:hAnsiTheme="majorBidi" w:cstheme="majorBidi"/>
          <w:i/>
          <w:iCs/>
          <w:lang w:bidi="ar-AE"/>
        </w:rPr>
        <w:t>inna yawman ʿinda rabbi</w:t>
      </w:r>
      <w:r w:rsidR="007827FF">
        <w:rPr>
          <w:rFonts w:asciiTheme="majorBidi" w:eastAsia="Calibri" w:hAnsiTheme="majorBidi" w:cstheme="majorBidi"/>
          <w:i/>
          <w:iCs/>
          <w:lang w:bidi="ar-AE"/>
        </w:rPr>
        <w:t>-ka ka-</w:t>
      </w:r>
      <w:r w:rsidRPr="00CB7AF4">
        <w:rPr>
          <w:rFonts w:asciiTheme="majorBidi" w:eastAsia="Calibri" w:hAnsiTheme="majorBidi" w:cstheme="majorBidi"/>
          <w:i/>
          <w:iCs/>
          <w:lang w:bidi="ar-AE"/>
        </w:rPr>
        <w:t>alfi sanatin mimmā taʿuddūn</w:t>
      </w:r>
      <w:r w:rsidR="007827FF">
        <w:rPr>
          <w:rFonts w:asciiTheme="majorBidi" w:eastAsia="Calibri" w:hAnsiTheme="majorBidi" w:cstheme="majorBidi"/>
          <w:iCs/>
          <w:lang w:bidi="ar-AE"/>
        </w:rPr>
        <w:t> »</w:t>
      </w:r>
      <w:r w:rsidRPr="00CB7AF4">
        <w:rPr>
          <w:rFonts w:asciiTheme="majorBidi" w:eastAsia="Calibri" w:hAnsiTheme="majorBidi" w:cstheme="majorBidi"/>
          <w:lang w:bidi="ar-AE"/>
        </w:rPr>
        <w:t xml:space="preserve"> (</w:t>
      </w:r>
      <w:r w:rsidRPr="00CB7AF4">
        <w:rPr>
          <w:rFonts w:asciiTheme="majorBidi" w:eastAsia="Calibri" w:hAnsiTheme="majorBidi" w:cstheme="majorBidi"/>
          <w:i/>
          <w:iCs/>
          <w:lang w:bidi="ar-AE"/>
        </w:rPr>
        <w:t>Seulement un jour de ton Seigneur vaut mille ans de vos computs</w:t>
      </w:r>
      <w:r w:rsidRPr="00CB7AF4">
        <w:rPr>
          <w:rFonts w:asciiTheme="majorBidi" w:eastAsia="Calibri" w:hAnsiTheme="majorBidi" w:cstheme="majorBidi"/>
          <w:lang w:bidi="ar-AE"/>
        </w:rPr>
        <w:t>) (verset 47) fait allusion à la vitesse de la lumière dans le vide.</w:t>
      </w:r>
    </w:p>
    <w:p w14:paraId="141DA0FB" w14:textId="77777777" w:rsidR="00561BDC" w:rsidRPr="00CB7AF4" w:rsidRDefault="00561BDC" w:rsidP="00CB7AF4">
      <w:pPr>
        <w:spacing w:line="360" w:lineRule="auto"/>
        <w:ind w:firstLine="708"/>
        <w:jc w:val="both"/>
        <w:rPr>
          <w:rFonts w:asciiTheme="majorBidi" w:eastAsia="Calibri" w:hAnsiTheme="majorBidi" w:cstheme="majorBidi"/>
          <w:lang w:bidi="ar-AE"/>
        </w:rPr>
      </w:pPr>
    </w:p>
    <w:p w14:paraId="4FB5765A" w14:textId="77777777" w:rsidR="00561BDC" w:rsidRPr="00CB7AF4" w:rsidRDefault="00561BDC" w:rsidP="00CB7AF4">
      <w:pPr>
        <w:spacing w:line="360" w:lineRule="auto"/>
        <w:ind w:firstLine="708"/>
        <w:jc w:val="both"/>
        <w:rPr>
          <w:rFonts w:asciiTheme="majorBidi" w:eastAsia="Calibri" w:hAnsiTheme="majorBidi" w:cstheme="majorBidi"/>
          <w:lang w:bidi="ar-AE"/>
        </w:rPr>
      </w:pPr>
      <w:r w:rsidRPr="00CB7AF4">
        <w:rPr>
          <w:rFonts w:asciiTheme="majorBidi" w:eastAsia="Calibri" w:hAnsiTheme="majorBidi" w:cstheme="majorBidi"/>
          <w:lang w:bidi="ar-AE"/>
        </w:rPr>
        <w:t xml:space="preserve">En réalité, l’élaboration du Coran peut être vue comme une sorte de traitement du complexe d’infériorité collectif qui existait chez </w:t>
      </w:r>
      <w:r w:rsidR="007827FF">
        <w:rPr>
          <w:rFonts w:asciiTheme="majorBidi" w:eastAsia="Times New Roman" w:hAnsiTheme="majorBidi" w:cstheme="majorBidi"/>
          <w:i/>
          <w:iCs/>
          <w:lang w:bidi="ar-EG"/>
        </w:rPr>
        <w:t>al-</w:t>
      </w:r>
      <w:r w:rsidR="001D798A">
        <w:rPr>
          <w:rFonts w:asciiTheme="majorBidi" w:eastAsia="Times New Roman" w:hAnsiTheme="majorBidi" w:cstheme="majorBidi"/>
          <w:i/>
          <w:iCs/>
          <w:lang w:bidi="ar-EG"/>
        </w:rPr>
        <w:t>ummīy</w:t>
      </w:r>
      <w:r w:rsidR="001D798A" w:rsidRPr="00CB7AF4">
        <w:rPr>
          <w:rFonts w:asciiTheme="majorBidi" w:eastAsia="Calibri" w:hAnsiTheme="majorBidi" w:cstheme="majorBidi"/>
          <w:i/>
          <w:iCs/>
          <w:lang w:bidi="ar-AE"/>
        </w:rPr>
        <w:t>ū</w:t>
      </w:r>
      <w:r w:rsidRPr="00CB7AF4">
        <w:rPr>
          <w:rFonts w:asciiTheme="majorBidi" w:eastAsia="Times New Roman" w:hAnsiTheme="majorBidi" w:cstheme="majorBidi"/>
          <w:i/>
          <w:iCs/>
          <w:lang w:bidi="ar-EG"/>
        </w:rPr>
        <w:t>n</w:t>
      </w:r>
      <w:r w:rsidRPr="00CB7AF4">
        <w:rPr>
          <w:rFonts w:asciiTheme="majorBidi" w:eastAsia="Calibri" w:hAnsiTheme="majorBidi" w:cstheme="majorBidi"/>
          <w:lang w:bidi="ar-AE"/>
        </w:rPr>
        <w:t xml:space="preserve"> (les </w:t>
      </w:r>
      <w:r w:rsidRPr="00CB7AF4">
        <w:rPr>
          <w:rFonts w:asciiTheme="majorBidi" w:eastAsia="Times New Roman" w:hAnsiTheme="majorBidi" w:cstheme="majorBidi"/>
          <w:i/>
          <w:iCs/>
          <w:lang w:bidi="ar-EG"/>
        </w:rPr>
        <w:t>Gentils</w:t>
      </w:r>
      <w:r w:rsidRPr="00CB7AF4">
        <w:rPr>
          <w:rFonts w:asciiTheme="majorBidi" w:eastAsia="Times New Roman" w:hAnsiTheme="majorBidi" w:cstheme="majorBidi"/>
          <w:lang w:bidi="ar-EG"/>
        </w:rPr>
        <w:t xml:space="preserve">, les païens Arabes, les non-chrétiens). </w:t>
      </w:r>
      <w:r w:rsidRPr="00CB7AF4">
        <w:rPr>
          <w:rFonts w:asciiTheme="majorBidi" w:eastAsia="Times New Roman" w:hAnsiTheme="majorBidi" w:cstheme="majorBidi"/>
          <w:lang w:bidi="ar-AE"/>
        </w:rPr>
        <w:t xml:space="preserve">L’objectif d’élaborer le Coran était </w:t>
      </w:r>
      <w:r w:rsidR="003E17D4">
        <w:rPr>
          <w:rFonts w:asciiTheme="majorBidi" w:eastAsia="Times New Roman" w:hAnsiTheme="majorBidi" w:cstheme="majorBidi"/>
          <w:lang w:bidi="ar-AE"/>
        </w:rPr>
        <w:t xml:space="preserve">probablement </w:t>
      </w:r>
      <w:r w:rsidRPr="00CB7AF4">
        <w:rPr>
          <w:rFonts w:asciiTheme="majorBidi" w:eastAsia="Times New Roman" w:hAnsiTheme="majorBidi" w:cstheme="majorBidi"/>
          <w:lang w:bidi="ar-AE"/>
        </w:rPr>
        <w:t>de prouver aux Juifs et aux chrétiens ébionites que les Gentils Arabes (</w:t>
      </w:r>
      <w:r w:rsidR="001D798A">
        <w:rPr>
          <w:rFonts w:asciiTheme="majorBidi" w:eastAsia="Times New Roman" w:hAnsiTheme="majorBidi" w:cstheme="majorBidi"/>
          <w:i/>
          <w:iCs/>
          <w:lang w:bidi="ar-AE"/>
        </w:rPr>
        <w:t>al-Ummīy</w:t>
      </w:r>
      <w:r w:rsidR="001D798A" w:rsidRPr="00CB7AF4">
        <w:rPr>
          <w:rFonts w:asciiTheme="majorBidi" w:eastAsia="Calibri" w:hAnsiTheme="majorBidi" w:cstheme="majorBidi"/>
          <w:i/>
          <w:iCs/>
          <w:lang w:bidi="ar-AE"/>
        </w:rPr>
        <w:t>ū</w:t>
      </w:r>
      <w:r w:rsidRPr="00CB7AF4">
        <w:rPr>
          <w:rFonts w:asciiTheme="majorBidi" w:eastAsia="Times New Roman" w:hAnsiTheme="majorBidi" w:cstheme="majorBidi"/>
          <w:i/>
          <w:iCs/>
          <w:lang w:bidi="ar-AE"/>
        </w:rPr>
        <w:t>n</w:t>
      </w:r>
      <w:r w:rsidRPr="00CB7AF4">
        <w:rPr>
          <w:rFonts w:asciiTheme="majorBidi" w:eastAsia="Times New Roman" w:hAnsiTheme="majorBidi" w:cstheme="majorBidi"/>
          <w:lang w:bidi="ar-AE"/>
        </w:rPr>
        <w:t>) pouvaient avoir un livre sacré et être ainsi sur un pied d’égalité avec les deux autres religions monothéistes.</w:t>
      </w:r>
      <w:r w:rsidR="007827FF">
        <w:rPr>
          <w:rFonts w:asciiTheme="majorBidi" w:eastAsia="Times New Roman" w:hAnsiTheme="majorBidi" w:cstheme="majorBidi"/>
          <w:lang w:bidi="ar-AE"/>
        </w:rPr>
        <w:t xml:space="preserve"> La</w:t>
      </w:r>
      <w:r w:rsidRPr="00CB7AF4">
        <w:rPr>
          <w:rFonts w:asciiTheme="majorBidi" w:eastAsia="Times New Roman" w:hAnsiTheme="majorBidi" w:cstheme="majorBidi"/>
          <w:lang w:bidi="ar-AE"/>
        </w:rPr>
        <w:t xml:space="preserve"> </w:t>
      </w:r>
      <w:r w:rsidR="007827FF">
        <w:rPr>
          <w:rFonts w:asciiTheme="majorBidi" w:eastAsia="Times New Roman" w:hAnsiTheme="majorBidi" w:cstheme="majorBidi"/>
          <w:i/>
          <w:iCs/>
          <w:lang w:bidi="ar-AE"/>
        </w:rPr>
        <w:t>Sīra</w:t>
      </w:r>
      <w:r w:rsidRPr="00CB7AF4">
        <w:rPr>
          <w:rFonts w:asciiTheme="majorBidi" w:eastAsia="Times New Roman" w:hAnsiTheme="majorBidi" w:cstheme="majorBidi"/>
          <w:i/>
          <w:iCs/>
          <w:lang w:bidi="ar-AE"/>
        </w:rPr>
        <w:t xml:space="preserve"> </w:t>
      </w:r>
      <w:r w:rsidR="007827FF" w:rsidRPr="007827FF">
        <w:rPr>
          <w:rFonts w:asciiTheme="majorBidi" w:eastAsia="Times New Roman" w:hAnsiTheme="majorBidi" w:cstheme="majorBidi"/>
          <w:iCs/>
          <w:lang w:bidi="ar-AE"/>
        </w:rPr>
        <w:t>d’</w:t>
      </w:r>
      <w:r w:rsidR="007827FF">
        <w:rPr>
          <w:rFonts w:asciiTheme="majorBidi" w:eastAsia="Times New Roman" w:hAnsiTheme="majorBidi" w:cstheme="majorBidi"/>
          <w:iCs/>
          <w:lang w:bidi="ar-AE"/>
        </w:rPr>
        <w:t>I</w:t>
      </w:r>
      <w:r w:rsidRPr="007827FF">
        <w:rPr>
          <w:rFonts w:asciiTheme="majorBidi" w:eastAsia="Times New Roman" w:hAnsiTheme="majorBidi" w:cstheme="majorBidi"/>
          <w:iCs/>
          <w:lang w:bidi="ar-AE"/>
        </w:rPr>
        <w:t>bn Hishām</w:t>
      </w:r>
      <w:r w:rsidRPr="00CB7AF4">
        <w:rPr>
          <w:rFonts w:asciiTheme="majorBidi" w:eastAsia="Times New Roman" w:hAnsiTheme="majorBidi" w:cstheme="majorBidi"/>
          <w:lang w:bidi="ar-AE"/>
        </w:rPr>
        <w:t xml:space="preserve"> </w:t>
      </w:r>
      <w:r w:rsidRPr="00CB7AF4">
        <w:rPr>
          <w:rFonts w:asciiTheme="majorBidi" w:eastAsia="Times New Roman" w:hAnsiTheme="majorBidi" w:cstheme="majorBidi"/>
          <w:lang w:bidi="ar-AE"/>
        </w:rPr>
        <w:lastRenderedPageBreak/>
        <w:t>rapporte que les Juifs de Yathrib (actuellement Médine), en tant que gens de Livre (détenteurs d’un livre sacré), narguaient les Arabes païens qui n’avaient pas de livre sacré et se moquaient de leur paganisme.</w:t>
      </w:r>
      <w:r w:rsidR="008D053E">
        <w:rPr>
          <w:rStyle w:val="Appelnotedebasdep"/>
          <w:rFonts w:eastAsia="Times New Roman"/>
          <w:lang w:bidi="ar-AE"/>
        </w:rPr>
        <w:footnoteReference w:id="107"/>
      </w:r>
      <w:r w:rsidR="008D053E">
        <w:rPr>
          <w:rFonts w:asciiTheme="majorBidi" w:eastAsia="Times New Roman" w:hAnsiTheme="majorBidi" w:cstheme="majorBidi"/>
          <w:lang w:bidi="ar-AE"/>
        </w:rPr>
        <w:t xml:space="preserve"> </w:t>
      </w:r>
      <w:r w:rsidRPr="00CB7AF4">
        <w:rPr>
          <w:rFonts w:asciiTheme="majorBidi" w:eastAsia="Times New Roman" w:hAnsiTheme="majorBidi" w:cstheme="majorBidi"/>
          <w:lang w:bidi="ar-AE"/>
        </w:rPr>
        <w:t>Le complexe d’inféri</w:t>
      </w:r>
      <w:r w:rsidR="007827FF">
        <w:rPr>
          <w:rFonts w:asciiTheme="majorBidi" w:eastAsia="Times New Roman" w:hAnsiTheme="majorBidi" w:cstheme="majorBidi"/>
          <w:lang w:bidi="ar-AE"/>
        </w:rPr>
        <w:t>orité de la communauté païenne a</w:t>
      </w:r>
      <w:r w:rsidRPr="00CB7AF4">
        <w:rPr>
          <w:rFonts w:asciiTheme="majorBidi" w:eastAsia="Times New Roman" w:hAnsiTheme="majorBidi" w:cstheme="majorBidi"/>
          <w:lang w:bidi="ar-AE"/>
        </w:rPr>
        <w:t>rabe a donc poussé celle-ci, à travers Muḥammad, à imiter les gens du Livre (</w:t>
      </w:r>
      <w:r w:rsidRPr="00CB7AF4">
        <w:rPr>
          <w:rFonts w:asciiTheme="majorBidi" w:eastAsia="Times New Roman" w:hAnsiTheme="majorBidi" w:cstheme="majorBidi"/>
          <w:i/>
          <w:iCs/>
          <w:lang w:bidi="ar-AE"/>
        </w:rPr>
        <w:t>ahl al-kitāb</w:t>
      </w:r>
      <w:r w:rsidRPr="00CB7AF4">
        <w:rPr>
          <w:rFonts w:asciiTheme="majorBidi" w:eastAsia="Times New Roman" w:hAnsiTheme="majorBidi" w:cstheme="majorBidi"/>
          <w:lang w:bidi="ar-AE"/>
        </w:rPr>
        <w:t>) en traduisant avec adaptation la trad</w:t>
      </w:r>
      <w:r w:rsidR="007827FF">
        <w:rPr>
          <w:rFonts w:asciiTheme="majorBidi" w:eastAsia="Times New Roman" w:hAnsiTheme="majorBidi" w:cstheme="majorBidi"/>
          <w:lang w:bidi="ar-AE"/>
        </w:rPr>
        <w:t>ition judéo-chrétienne sans en révéler</w:t>
      </w:r>
      <w:r w:rsidRPr="00CB7AF4">
        <w:rPr>
          <w:rFonts w:asciiTheme="majorBidi" w:eastAsia="Times New Roman" w:hAnsiTheme="majorBidi" w:cstheme="majorBidi"/>
          <w:lang w:bidi="ar-AE"/>
        </w:rPr>
        <w:t xml:space="preserve"> la source</w:t>
      </w:r>
      <w:r w:rsidR="007827FF">
        <w:rPr>
          <w:rFonts w:asciiTheme="majorBidi" w:eastAsia="Times New Roman" w:hAnsiTheme="majorBidi" w:cstheme="majorBidi"/>
          <w:lang w:bidi="ar-AE"/>
        </w:rPr>
        <w:t>,</w:t>
      </w:r>
      <w:r w:rsidRPr="00CB7AF4">
        <w:rPr>
          <w:rFonts w:asciiTheme="majorBidi" w:eastAsia="Times New Roman" w:hAnsiTheme="majorBidi" w:cstheme="majorBidi"/>
          <w:lang w:bidi="ar-AE"/>
        </w:rPr>
        <w:t xml:space="preserve"> pour ne pas susciter contre les païens plus de moquerie de la part des Juifs, pour ne pas donner aux Juifs le sentiment de fierté d’être l’origine et pour ne pas renforcer le complexe de supériorité chez les gens du Livre contre les Arabes païens.</w:t>
      </w:r>
      <w:r w:rsidRPr="00CB7AF4">
        <w:rPr>
          <w:rFonts w:asciiTheme="majorBidi" w:eastAsia="Calibri" w:hAnsiTheme="majorBidi" w:cstheme="majorBidi"/>
          <w:lang w:bidi="ar-AE"/>
        </w:rPr>
        <w:t xml:space="preserve"> Et lorsque le texte coranique est devenu périmé, certains exégètes et théologiens musulmans ont recours au concordisme de </w:t>
      </w:r>
      <w:r w:rsidRPr="007827FF">
        <w:rPr>
          <w:rFonts w:asciiTheme="majorBidi" w:eastAsia="Calibri" w:hAnsiTheme="majorBidi" w:cstheme="majorBidi"/>
          <w:iCs/>
          <w:lang w:bidi="ar-AE"/>
        </w:rPr>
        <w:t>l</w:t>
      </w:r>
      <w:r w:rsidR="001D798A">
        <w:rPr>
          <w:rFonts w:asciiTheme="majorBidi" w:eastAsia="Calibri" w:hAnsiTheme="majorBidi" w:cstheme="majorBidi"/>
          <w:i/>
          <w:iCs/>
          <w:lang w:bidi="ar-AE"/>
        </w:rPr>
        <w:t xml:space="preserve">’iʿjāz </w:t>
      </w:r>
      <w:r w:rsidRPr="00CB7AF4">
        <w:rPr>
          <w:rFonts w:asciiTheme="majorBidi" w:eastAsia="Calibri" w:hAnsiTheme="majorBidi" w:cstheme="majorBidi"/>
          <w:i/>
          <w:iCs/>
          <w:lang w:bidi="ar-AE"/>
        </w:rPr>
        <w:t>ʿilmī</w:t>
      </w:r>
      <w:r w:rsidRPr="00CB7AF4">
        <w:rPr>
          <w:rFonts w:asciiTheme="majorBidi" w:eastAsia="Calibri" w:hAnsiTheme="majorBidi" w:cstheme="majorBidi"/>
          <w:lang w:bidi="ar-AE"/>
        </w:rPr>
        <w:t>.</w:t>
      </w:r>
    </w:p>
    <w:p w14:paraId="7F8A4B3C" w14:textId="680AAB34" w:rsidR="00EB5652" w:rsidRDefault="00EB5652" w:rsidP="001D798A">
      <w:pPr>
        <w:spacing w:line="360" w:lineRule="auto"/>
        <w:jc w:val="both"/>
        <w:rPr>
          <w:rFonts w:asciiTheme="majorBidi" w:eastAsia="Calibri" w:hAnsiTheme="majorBidi" w:cstheme="majorBidi"/>
          <w:lang w:bidi="ar-AE"/>
        </w:rPr>
      </w:pPr>
      <w:r>
        <w:rPr>
          <w:rFonts w:asciiTheme="majorBidi" w:eastAsia="Calibri" w:hAnsiTheme="majorBidi" w:cstheme="majorBidi"/>
          <w:lang w:bidi="ar-AE"/>
        </w:rPr>
        <w:br w:type="page"/>
      </w:r>
    </w:p>
    <w:p w14:paraId="70091F2D" w14:textId="77777777" w:rsidR="004F1122" w:rsidRDefault="004F1122" w:rsidP="00EB5652">
      <w:pPr>
        <w:spacing w:line="360" w:lineRule="auto"/>
        <w:jc w:val="center"/>
        <w:outlineLvl w:val="0"/>
        <w:rPr>
          <w:b/>
          <w:bCs/>
          <w:lang w:bidi="ar-AE"/>
        </w:rPr>
      </w:pPr>
    </w:p>
    <w:p w14:paraId="28FDF830" w14:textId="77777777" w:rsidR="004F1122" w:rsidRDefault="004F1122" w:rsidP="00EB5652">
      <w:pPr>
        <w:spacing w:line="360" w:lineRule="auto"/>
        <w:jc w:val="center"/>
        <w:outlineLvl w:val="0"/>
        <w:rPr>
          <w:b/>
          <w:bCs/>
          <w:lang w:bidi="ar-AE"/>
        </w:rPr>
      </w:pPr>
    </w:p>
    <w:p w14:paraId="32270036" w14:textId="77777777" w:rsidR="004F1122" w:rsidRDefault="004F1122" w:rsidP="00EB5652">
      <w:pPr>
        <w:spacing w:line="360" w:lineRule="auto"/>
        <w:jc w:val="center"/>
        <w:outlineLvl w:val="0"/>
        <w:rPr>
          <w:b/>
          <w:bCs/>
          <w:lang w:bidi="ar-AE"/>
        </w:rPr>
      </w:pPr>
    </w:p>
    <w:p w14:paraId="1D3FE8FE" w14:textId="77777777" w:rsidR="004F1122" w:rsidRDefault="004F1122" w:rsidP="00EB5652">
      <w:pPr>
        <w:spacing w:line="360" w:lineRule="auto"/>
        <w:jc w:val="center"/>
        <w:outlineLvl w:val="0"/>
        <w:rPr>
          <w:b/>
          <w:bCs/>
          <w:lang w:bidi="ar-AE"/>
        </w:rPr>
      </w:pPr>
    </w:p>
    <w:p w14:paraId="37DA15CA" w14:textId="77777777" w:rsidR="004F1122" w:rsidRDefault="004F1122" w:rsidP="00EB5652">
      <w:pPr>
        <w:spacing w:line="360" w:lineRule="auto"/>
        <w:jc w:val="center"/>
        <w:outlineLvl w:val="0"/>
        <w:rPr>
          <w:b/>
          <w:bCs/>
          <w:lang w:bidi="ar-AE"/>
        </w:rPr>
      </w:pPr>
    </w:p>
    <w:p w14:paraId="4482C518" w14:textId="77777777" w:rsidR="004F1122" w:rsidRDefault="004F1122" w:rsidP="00EB5652">
      <w:pPr>
        <w:spacing w:line="360" w:lineRule="auto"/>
        <w:jc w:val="center"/>
        <w:outlineLvl w:val="0"/>
        <w:rPr>
          <w:b/>
          <w:bCs/>
          <w:lang w:bidi="ar-AE"/>
        </w:rPr>
      </w:pPr>
    </w:p>
    <w:p w14:paraId="67CFF3F8" w14:textId="77777777" w:rsidR="004F1122" w:rsidRDefault="004F1122" w:rsidP="00EB5652">
      <w:pPr>
        <w:spacing w:line="360" w:lineRule="auto"/>
        <w:jc w:val="center"/>
        <w:outlineLvl w:val="0"/>
        <w:rPr>
          <w:b/>
          <w:bCs/>
          <w:lang w:bidi="ar-AE"/>
        </w:rPr>
      </w:pPr>
    </w:p>
    <w:p w14:paraId="2FCF7186" w14:textId="77777777" w:rsidR="004F1122" w:rsidRDefault="004F1122" w:rsidP="00EB5652">
      <w:pPr>
        <w:spacing w:line="360" w:lineRule="auto"/>
        <w:jc w:val="center"/>
        <w:outlineLvl w:val="0"/>
        <w:rPr>
          <w:b/>
          <w:bCs/>
          <w:lang w:bidi="ar-AE"/>
        </w:rPr>
      </w:pPr>
    </w:p>
    <w:p w14:paraId="7F3C1D54" w14:textId="77777777" w:rsidR="00EB5652" w:rsidRDefault="00EB5652" w:rsidP="00EB5652">
      <w:pPr>
        <w:spacing w:line="360" w:lineRule="auto"/>
        <w:jc w:val="center"/>
        <w:outlineLvl w:val="0"/>
        <w:rPr>
          <w:b/>
          <w:bCs/>
          <w:lang w:bidi="ar-AE"/>
        </w:rPr>
      </w:pPr>
      <w:r w:rsidRPr="00861EF5">
        <w:rPr>
          <w:b/>
          <w:bCs/>
          <w:lang w:bidi="ar-AE"/>
        </w:rPr>
        <w:t>Première Partie</w:t>
      </w:r>
    </w:p>
    <w:p w14:paraId="403E2A48" w14:textId="77777777" w:rsidR="00EB5652" w:rsidRPr="00D51F6E" w:rsidRDefault="00EB5652" w:rsidP="00EB5652">
      <w:pPr>
        <w:spacing w:line="360" w:lineRule="auto"/>
        <w:jc w:val="center"/>
        <w:outlineLvl w:val="0"/>
        <w:rPr>
          <w:b/>
          <w:bCs/>
          <w:lang w:bidi="ar-AE"/>
        </w:rPr>
      </w:pPr>
    </w:p>
    <w:p w14:paraId="2BE8F548" w14:textId="77777777" w:rsidR="00EB5652" w:rsidRPr="00D51F6E" w:rsidRDefault="00EB5652" w:rsidP="00EB5652">
      <w:pPr>
        <w:spacing w:line="360" w:lineRule="auto"/>
        <w:jc w:val="center"/>
        <w:outlineLvl w:val="0"/>
        <w:rPr>
          <w:b/>
          <w:bCs/>
          <w:lang w:bidi="ar-AE"/>
        </w:rPr>
      </w:pPr>
      <w:r w:rsidRPr="00D51F6E">
        <w:rPr>
          <w:b/>
          <w:bCs/>
          <w:lang w:bidi="ar-AE"/>
        </w:rPr>
        <w:t xml:space="preserve">Polysémie du texte arabe de la sourate al-Ḥajj </w:t>
      </w:r>
    </w:p>
    <w:p w14:paraId="23169EEE" w14:textId="03E96B6C" w:rsidR="00EB5652" w:rsidRPr="00D51F6E" w:rsidRDefault="00EB5652" w:rsidP="00EB5652">
      <w:pPr>
        <w:jc w:val="center"/>
        <w:rPr>
          <w:b/>
          <w:bCs/>
          <w:lang w:bidi="ar-AE"/>
        </w:rPr>
      </w:pPr>
      <w:r w:rsidRPr="00D51F6E">
        <w:rPr>
          <w:b/>
          <w:bCs/>
          <w:lang w:bidi="ar-AE"/>
        </w:rPr>
        <w:br w:type="page"/>
      </w:r>
      <w:r w:rsidR="005C50D1">
        <w:rPr>
          <w:b/>
          <w:bCs/>
          <w:lang w:bidi="ar-AE"/>
        </w:rPr>
        <w:lastRenderedPageBreak/>
        <w:t>Chapitre p</w:t>
      </w:r>
      <w:r w:rsidRPr="00D51F6E">
        <w:rPr>
          <w:b/>
          <w:bCs/>
          <w:lang w:bidi="ar-AE"/>
        </w:rPr>
        <w:t>remier</w:t>
      </w:r>
    </w:p>
    <w:p w14:paraId="35DBC6C9" w14:textId="77777777" w:rsidR="00EB5652" w:rsidRPr="00D51F6E" w:rsidRDefault="00EB5652" w:rsidP="00EB5652">
      <w:pPr>
        <w:spacing w:line="360" w:lineRule="auto"/>
        <w:jc w:val="center"/>
        <w:outlineLvl w:val="0"/>
        <w:rPr>
          <w:b/>
          <w:bCs/>
          <w:lang w:bidi="ar-AE"/>
        </w:rPr>
      </w:pPr>
    </w:p>
    <w:p w14:paraId="4B65DAF2" w14:textId="77777777" w:rsidR="00EB5652" w:rsidRPr="00D51F6E" w:rsidRDefault="00EB5652" w:rsidP="00EB5652">
      <w:pPr>
        <w:spacing w:line="360" w:lineRule="auto"/>
        <w:jc w:val="center"/>
        <w:outlineLvl w:val="0"/>
        <w:rPr>
          <w:rFonts w:asciiTheme="majorBidi" w:eastAsia="Times New Roman" w:hAnsiTheme="majorBidi" w:cstheme="majorBidi"/>
          <w:b/>
          <w:bCs/>
        </w:rPr>
      </w:pPr>
      <w:r w:rsidRPr="00D51F6E">
        <w:rPr>
          <w:rFonts w:asciiTheme="majorBidi" w:eastAsia="Times New Roman" w:hAnsiTheme="majorBidi" w:cstheme="majorBidi"/>
          <w:b/>
          <w:bCs/>
        </w:rPr>
        <w:t>Présentation générale des principaux thèmes de la sourate Al-Ḥajj</w:t>
      </w:r>
    </w:p>
    <w:p w14:paraId="1D8D4C29" w14:textId="77777777" w:rsidR="00EB5652" w:rsidRPr="00D51F6E" w:rsidRDefault="00EB5652" w:rsidP="00EB5652">
      <w:pPr>
        <w:spacing w:line="360" w:lineRule="auto"/>
        <w:jc w:val="both"/>
        <w:rPr>
          <w:rFonts w:asciiTheme="majorBidi" w:eastAsia="Times New Roman" w:hAnsiTheme="majorBidi" w:cstheme="majorBidi"/>
        </w:rPr>
      </w:pPr>
    </w:p>
    <w:p w14:paraId="50AF76FE" w14:textId="77777777" w:rsidR="00EB5652" w:rsidRPr="00D51F6E" w:rsidRDefault="00EB5652" w:rsidP="00EB5652">
      <w:pPr>
        <w:spacing w:line="360" w:lineRule="auto"/>
        <w:ind w:firstLine="708"/>
        <w:jc w:val="both"/>
        <w:rPr>
          <w:rFonts w:asciiTheme="majorBidi" w:eastAsia="Times New Roman" w:hAnsiTheme="majorBidi" w:cstheme="majorBidi"/>
        </w:rPr>
      </w:pPr>
      <w:r w:rsidRPr="00D51F6E">
        <w:rPr>
          <w:rFonts w:asciiTheme="majorBidi" w:eastAsia="Times New Roman" w:hAnsiTheme="majorBidi" w:cstheme="majorBidi"/>
        </w:rPr>
        <w:t xml:space="preserve">La sourate XXII, </w:t>
      </w:r>
      <w:r w:rsidRPr="00D51F6E">
        <w:rPr>
          <w:rFonts w:asciiTheme="majorBidi" w:eastAsia="Times New Roman" w:hAnsiTheme="majorBidi" w:cstheme="majorBidi"/>
          <w:i/>
        </w:rPr>
        <w:t>Al-Ḥajj</w:t>
      </w:r>
      <w:r w:rsidRPr="00D51F6E">
        <w:rPr>
          <w:rFonts w:asciiTheme="majorBidi" w:eastAsia="Times New Roman" w:hAnsiTheme="majorBidi" w:cstheme="majorBidi"/>
        </w:rPr>
        <w:t xml:space="preserve">, se situe entre la sourate XXI, </w:t>
      </w:r>
      <w:r w:rsidRPr="00D51F6E">
        <w:rPr>
          <w:rFonts w:asciiTheme="majorBidi" w:eastAsia="Times New Roman" w:hAnsiTheme="majorBidi" w:cstheme="majorBidi"/>
          <w:i/>
          <w:iCs/>
        </w:rPr>
        <w:t>Al-Anbiyāʾ</w:t>
      </w:r>
      <w:r w:rsidRPr="00D51F6E">
        <w:rPr>
          <w:rFonts w:asciiTheme="majorBidi" w:eastAsia="Times New Roman" w:hAnsiTheme="majorBidi" w:cstheme="majorBidi"/>
        </w:rPr>
        <w:t xml:space="preserve"> [les Prophètes], et la sourate XXIII, </w:t>
      </w:r>
      <w:r w:rsidRPr="00D51F6E">
        <w:rPr>
          <w:rFonts w:asciiTheme="majorBidi" w:eastAsia="Times New Roman" w:hAnsiTheme="majorBidi" w:cstheme="majorBidi"/>
          <w:i/>
          <w:iCs/>
        </w:rPr>
        <w:t>Al-Muʾminūn</w:t>
      </w:r>
      <w:r w:rsidRPr="00D51F6E">
        <w:rPr>
          <w:rFonts w:asciiTheme="majorBidi" w:eastAsia="Times New Roman" w:hAnsiTheme="majorBidi" w:cstheme="majorBidi"/>
        </w:rPr>
        <w:t xml:space="preserve"> [les Croyants]. Elle constitue un pont entre les deux sourates, une suite de la sourate précédente des Prophètes et une introduction à la sourate suivante des Croyants. La sourate précédente aborde le thème de la punition certaine dans l’ici-bas à l’encontre des dénégateurs des prophéties des anciens prophètes. La sourate du Pèlerinage constitue une suite en insistant sur la punition non seulement dans ce monde mais aussi dans l’autre contre les dénégateurs non seulement des prophètes de l’ancien et du nouveau testament, mais aussi de la prophétie de Muḥammad. Elle met ainsi Muḥammad dans la même lignée que les prophètes de la Bible. Une fois que ces deux sourates ont semé la </w:t>
      </w:r>
      <w:r w:rsidRPr="00D51F6E">
        <w:rPr>
          <w:rFonts w:asciiTheme="majorBidi" w:eastAsia="Times New Roman" w:hAnsiTheme="majorBidi" w:cstheme="majorBidi"/>
          <w:i/>
          <w:iCs/>
        </w:rPr>
        <w:t>peur</w:t>
      </w:r>
      <w:r w:rsidRPr="00D51F6E">
        <w:rPr>
          <w:rFonts w:asciiTheme="majorBidi" w:eastAsia="Times New Roman" w:hAnsiTheme="majorBidi" w:cstheme="majorBidi"/>
        </w:rPr>
        <w:t xml:space="preserve"> dans le cœur du « lecteur » qui croit à l’authenticité de la punition, ce dernier devient </w:t>
      </w:r>
      <w:r w:rsidRPr="00D51F6E">
        <w:rPr>
          <w:rFonts w:asciiTheme="majorBidi" w:eastAsia="Times New Roman" w:hAnsiTheme="majorBidi" w:cstheme="majorBidi"/>
          <w:i/>
          <w:iCs/>
        </w:rPr>
        <w:t>croyant</w:t>
      </w:r>
      <w:r w:rsidRPr="00D51F6E">
        <w:rPr>
          <w:rFonts w:asciiTheme="majorBidi" w:eastAsia="Times New Roman" w:hAnsiTheme="majorBidi" w:cstheme="majorBidi"/>
        </w:rPr>
        <w:t xml:space="preserve"> appartenant à la communauté musulmane et par la suite il lui faut lire la sourate suivante des Croyants qui traite des fondements de sa religion comme l’unicité de Dieu qui se différencie de celle chez les deux autres religions abrahamiques.</w:t>
      </w:r>
    </w:p>
    <w:p w14:paraId="7674CDA7" w14:textId="77777777" w:rsidR="00EB5652" w:rsidRPr="00D51F6E" w:rsidRDefault="00EB5652" w:rsidP="00EB5652">
      <w:pPr>
        <w:spacing w:line="360" w:lineRule="auto"/>
        <w:jc w:val="both"/>
        <w:rPr>
          <w:rFonts w:asciiTheme="majorBidi" w:eastAsia="Times New Roman" w:hAnsiTheme="majorBidi" w:cstheme="majorBidi"/>
        </w:rPr>
      </w:pPr>
    </w:p>
    <w:p w14:paraId="7A0288A2" w14:textId="77777777" w:rsidR="00EB5652" w:rsidRPr="00D51F6E" w:rsidRDefault="00EB5652" w:rsidP="00EB5652">
      <w:pPr>
        <w:shd w:val="clear" w:color="auto" w:fill="FFFFFF"/>
        <w:spacing w:line="360" w:lineRule="auto"/>
        <w:ind w:firstLine="708"/>
        <w:jc w:val="both"/>
        <w:rPr>
          <w:rFonts w:asciiTheme="majorBidi" w:eastAsia="Times New Roman" w:hAnsiTheme="majorBidi" w:cstheme="majorBidi"/>
        </w:rPr>
      </w:pPr>
      <w:r w:rsidRPr="00D51F6E">
        <w:rPr>
          <w:rFonts w:asciiTheme="majorBidi" w:eastAsia="Times New Roman" w:hAnsiTheme="majorBidi" w:cstheme="majorBidi"/>
        </w:rPr>
        <w:t>Vu que cette sourate présente à la fois les caractéristiques des sourates mecquoises (qui traitent l’unicité de Dieu, la résurrection, la menace, le jugement dernier, les vertus, etc.) et médinoises (qui traitent la loi musulmane, le djihad, le pèlerinage, etc.), les commentateurs ont divergé à propos de son type et de son classement.</w:t>
      </w:r>
    </w:p>
    <w:p w14:paraId="4E40B08D" w14:textId="77777777" w:rsidR="00EB5652" w:rsidRPr="00D51F6E" w:rsidRDefault="00EB5652" w:rsidP="00EB5652">
      <w:pPr>
        <w:shd w:val="clear" w:color="auto" w:fill="FFFFFF"/>
        <w:spacing w:line="360" w:lineRule="auto"/>
        <w:jc w:val="both"/>
        <w:rPr>
          <w:rFonts w:asciiTheme="majorBidi" w:eastAsia="Times New Roman" w:hAnsiTheme="majorBidi" w:cstheme="majorBidi"/>
        </w:rPr>
      </w:pPr>
    </w:p>
    <w:p w14:paraId="22C1FB40" w14:textId="77777777" w:rsidR="00EB5652" w:rsidRPr="00D51F6E" w:rsidRDefault="00EB5652" w:rsidP="00EB5652">
      <w:pPr>
        <w:shd w:val="clear" w:color="auto" w:fill="FFFFFF"/>
        <w:spacing w:line="360" w:lineRule="auto"/>
        <w:ind w:firstLine="708"/>
        <w:jc w:val="both"/>
        <w:rPr>
          <w:rFonts w:asciiTheme="majorBidi" w:eastAsia="Times New Roman" w:hAnsiTheme="majorBidi" w:cstheme="majorBidi"/>
        </w:rPr>
      </w:pPr>
      <w:r w:rsidRPr="00D51F6E">
        <w:rPr>
          <w:rFonts w:asciiTheme="majorBidi" w:eastAsia="Times New Roman" w:hAnsiTheme="majorBidi" w:cstheme="majorBidi"/>
        </w:rPr>
        <w:t>Toutefois, à la lumière de son style et des thèmes qu’elle aborde, les théologiens sont d’avis qu’une partie de la sourate a été révélée dans le dernier stade de la vie de Muḥammad à la Mecque, quelque temps avant l’hégire. Une autre partie de la sourate a été révélée au début de sa vie à Médine. Aussi la sourate comporte-t-elle les caractéristiques des sourates mecquoises et médinoises à la fois.</w:t>
      </w:r>
    </w:p>
    <w:p w14:paraId="06D07A8E" w14:textId="77777777" w:rsidR="00EB5652" w:rsidRPr="00D51F6E" w:rsidRDefault="00EB5652" w:rsidP="00EB5652">
      <w:pPr>
        <w:shd w:val="clear" w:color="auto" w:fill="FFFFFF"/>
        <w:spacing w:line="360" w:lineRule="auto"/>
        <w:jc w:val="both"/>
        <w:rPr>
          <w:rFonts w:asciiTheme="majorBidi" w:eastAsia="Times New Roman" w:hAnsiTheme="majorBidi" w:cstheme="majorBidi"/>
        </w:rPr>
      </w:pPr>
    </w:p>
    <w:p w14:paraId="06FA44D3" w14:textId="77777777" w:rsidR="00EB5652" w:rsidRPr="00D51F6E" w:rsidRDefault="00EB5652" w:rsidP="00EB5652">
      <w:pPr>
        <w:shd w:val="clear" w:color="auto" w:fill="FFFFFF"/>
        <w:spacing w:line="360" w:lineRule="auto"/>
        <w:ind w:firstLine="708"/>
        <w:jc w:val="both"/>
        <w:rPr>
          <w:rFonts w:asciiTheme="majorBidi" w:eastAsia="Times New Roman" w:hAnsiTheme="majorBidi" w:cstheme="majorBidi"/>
        </w:rPr>
      </w:pPr>
      <w:r w:rsidRPr="00D51F6E">
        <w:rPr>
          <w:rFonts w:asciiTheme="majorBidi" w:eastAsia="Times New Roman" w:hAnsiTheme="majorBidi" w:cstheme="majorBidi"/>
        </w:rPr>
        <w:t>Le changement de style à partir du verset 25 indique que les versets 25 à 78 ont probablement été révélés pendant la première année après l’hégire.</w:t>
      </w:r>
    </w:p>
    <w:p w14:paraId="4A2EFEB6" w14:textId="77777777" w:rsidR="00EB5652" w:rsidRPr="001A0BF3" w:rsidRDefault="00EB5652" w:rsidP="00EB5652">
      <w:pPr>
        <w:shd w:val="clear" w:color="auto" w:fill="FFFFFF"/>
        <w:spacing w:line="360" w:lineRule="auto"/>
        <w:jc w:val="both"/>
        <w:rPr>
          <w:rFonts w:asciiTheme="majorBidi" w:eastAsia="Times New Roman" w:hAnsiTheme="majorBidi" w:cstheme="majorBidi"/>
        </w:rPr>
      </w:pPr>
    </w:p>
    <w:p w14:paraId="54CAEC15" w14:textId="388980E2" w:rsidR="007D03DB" w:rsidRPr="00B259E9" w:rsidRDefault="007D03DB" w:rsidP="00876BB0">
      <w:pPr>
        <w:pStyle w:val="Paragraphedeliste"/>
        <w:numPr>
          <w:ilvl w:val="1"/>
          <w:numId w:val="125"/>
        </w:numPr>
        <w:shd w:val="clear" w:color="auto" w:fill="FFFFFF"/>
        <w:bidi w:val="0"/>
        <w:spacing w:line="360" w:lineRule="auto"/>
        <w:jc w:val="both"/>
        <w:rPr>
          <w:rFonts w:asciiTheme="majorBidi" w:hAnsiTheme="majorBidi" w:cstheme="majorBidi"/>
          <w:b/>
          <w:bCs/>
        </w:rPr>
      </w:pPr>
      <w:r w:rsidRPr="00B259E9">
        <w:rPr>
          <w:rFonts w:asciiTheme="majorBidi" w:hAnsiTheme="majorBidi" w:cstheme="majorBidi"/>
          <w:b/>
          <w:bCs/>
        </w:rPr>
        <w:t>Principaux thèmes de la sourate Al-Ḥajj :</w:t>
      </w:r>
    </w:p>
    <w:p w14:paraId="07EE5E78" w14:textId="77777777" w:rsidR="00EB5652" w:rsidRPr="003213D4" w:rsidRDefault="00EB5652" w:rsidP="00EB5652">
      <w:pPr>
        <w:spacing w:line="360" w:lineRule="auto"/>
        <w:ind w:firstLine="708"/>
        <w:jc w:val="both"/>
        <w:rPr>
          <w:rFonts w:asciiTheme="majorBidi" w:eastAsia="Times New Roman" w:hAnsiTheme="majorBidi" w:cstheme="majorBidi"/>
          <w:shd w:val="clear" w:color="auto" w:fill="FFFFFF"/>
        </w:rPr>
      </w:pPr>
      <w:r w:rsidRPr="00D51F6E">
        <w:rPr>
          <w:rFonts w:asciiTheme="majorBidi" w:eastAsia="Times New Roman" w:hAnsiTheme="majorBidi" w:cstheme="majorBidi"/>
          <w:shd w:val="clear" w:color="auto" w:fill="FFFFFF"/>
        </w:rPr>
        <w:t xml:space="preserve">La sourate aborde des thèmes qui marquent un tournant décisif dans l’histoire de l’islam : 1) la fin du monde et le jugement dernier ; 2) la résurrection ; 3) l’unicité et la toute-puissance de Dieu ; 4) la condamnation des polémiques des païens au sujet de l’unicité d’Allah ; 5) la récompense de Dieu ; 6) la confirmation de la victoire du prophète ; 7) la clarté des versets coraniques ; 8) la soumission de l’univers à Dieu ; 9) le défi de créer une mouche (verset 73) ; 10) la punition de Dieu ; 11) la législation du pèlerinage (v. 27) ; 12) le rituel du sacrifice (v. 36) ; 13) la permission de déclarer la guerre (le djihad) contre les adversaires (v. 39) ; 14) la légitimité de l’abrogation (les versets abrogeants et les versets abrogés) (v. 52), une solution pour les contradictions entre les versets ; 15) l’histoire de l’éloge des divinités mecquoises </w:t>
      </w:r>
      <w:r w:rsidRPr="00D51F6E">
        <w:rPr>
          <w:rFonts w:asciiTheme="majorBidi" w:eastAsia="Times New Roman" w:hAnsiTheme="majorBidi" w:cstheme="majorBidi"/>
          <w:i/>
          <w:iCs/>
          <w:shd w:val="clear" w:color="auto" w:fill="FFFFFF"/>
        </w:rPr>
        <w:t>gharānīq</w:t>
      </w:r>
      <w:r w:rsidRPr="00D51F6E">
        <w:rPr>
          <w:rFonts w:asciiTheme="majorBidi" w:eastAsia="Times New Roman" w:hAnsiTheme="majorBidi" w:cstheme="majorBidi"/>
          <w:shd w:val="clear" w:color="auto" w:fill="FFFFFF"/>
        </w:rPr>
        <w:t xml:space="preserve"> par le prophète (ou, selon une exégèse chiite, le dénigrement des deux premiers califes) ; 16) la légitimité de la loi du talion (œil pour œil, dent pour dent).</w:t>
      </w:r>
      <w:r w:rsidRPr="003213D4">
        <w:rPr>
          <w:rFonts w:asciiTheme="majorBidi" w:eastAsia="Times New Roman" w:hAnsiTheme="majorBidi" w:cstheme="majorBidi"/>
          <w:shd w:val="clear" w:color="auto" w:fill="FFFFFF"/>
        </w:rPr>
        <w:t xml:space="preserve"> De surcroit, dans cette sourate, les nouveaux croyants ont été officiellement baptisés « musulmans » (v. 78), et de ce fait ils ont pris racine dans une religion monothéiste et leur existence est devenue légitime aux yeux des juifs et des chrétiens de l’Arabie.</w:t>
      </w:r>
    </w:p>
    <w:p w14:paraId="5EAAC69B" w14:textId="77777777" w:rsidR="00EB5652" w:rsidRPr="003213D4" w:rsidRDefault="00EB5652" w:rsidP="00EB5652">
      <w:pPr>
        <w:spacing w:line="360" w:lineRule="auto"/>
        <w:jc w:val="both"/>
        <w:rPr>
          <w:rFonts w:asciiTheme="majorBidi" w:eastAsia="Times New Roman" w:hAnsiTheme="majorBidi" w:cstheme="majorBidi"/>
          <w:shd w:val="clear" w:color="auto" w:fill="FFFFFF"/>
        </w:rPr>
      </w:pPr>
    </w:p>
    <w:p w14:paraId="58921E2B" w14:textId="77777777" w:rsidR="00EB5652" w:rsidRPr="003213D4" w:rsidRDefault="00EB5652" w:rsidP="00EB5652">
      <w:pPr>
        <w:spacing w:line="360" w:lineRule="auto"/>
        <w:ind w:firstLine="708"/>
        <w:jc w:val="both"/>
        <w:rPr>
          <w:rFonts w:asciiTheme="majorBidi" w:eastAsia="Times New Roman" w:hAnsiTheme="majorBidi" w:cstheme="majorBidi"/>
          <w:shd w:val="clear" w:color="auto" w:fill="FFFFFF"/>
        </w:rPr>
      </w:pPr>
      <w:r w:rsidRPr="003213D4">
        <w:rPr>
          <w:rFonts w:asciiTheme="majorBidi" w:eastAsia="Times New Roman" w:hAnsiTheme="majorBidi" w:cstheme="majorBidi"/>
          <w:shd w:val="clear" w:color="auto" w:fill="FFFFFF"/>
        </w:rPr>
        <w:t xml:space="preserve">Vu ces thèmes diversifiés, fondateurs de l’islam et extrêmement importants pour les musulmans en tant que déterminant d’identité, la tradition rapporte que cette sourate a été privilégiée par deux </w:t>
      </w:r>
      <w:r w:rsidRPr="003213D4">
        <w:rPr>
          <w:rFonts w:asciiTheme="majorBidi" w:eastAsia="Times New Roman" w:hAnsiTheme="majorBidi" w:cstheme="majorBidi"/>
          <w:i/>
          <w:iCs/>
          <w:shd w:val="clear" w:color="auto" w:fill="FFFFFF"/>
        </w:rPr>
        <w:t>sajda</w:t>
      </w:r>
      <w:r>
        <w:rPr>
          <w:rFonts w:asciiTheme="majorBidi" w:eastAsia="Times New Roman" w:hAnsiTheme="majorBidi" w:cstheme="majorBidi"/>
          <w:i/>
          <w:iCs/>
          <w:shd w:val="clear" w:color="auto" w:fill="FFFFFF"/>
        </w:rPr>
        <w:t>-</w:t>
      </w:r>
      <w:r>
        <w:rPr>
          <w:rFonts w:asciiTheme="majorBidi" w:eastAsia="Times New Roman" w:hAnsiTheme="majorBidi" w:cstheme="majorBidi"/>
          <w:iCs/>
          <w:shd w:val="clear" w:color="auto" w:fill="FFFFFF"/>
        </w:rPr>
        <w:t>s</w:t>
      </w:r>
      <w:r w:rsidRPr="003213D4">
        <w:rPr>
          <w:rFonts w:asciiTheme="majorBidi" w:eastAsia="Times New Roman" w:hAnsiTheme="majorBidi" w:cstheme="majorBidi"/>
          <w:shd w:val="clear" w:color="auto" w:fill="FFFFFF"/>
        </w:rPr>
        <w:t xml:space="preserve"> [prosternations] (Al-Bayhaqī, </w:t>
      </w:r>
      <w:r w:rsidRPr="003213D4">
        <w:rPr>
          <w:rFonts w:asciiTheme="majorBidi" w:eastAsia="Times New Roman" w:hAnsiTheme="majorBidi" w:cstheme="majorBidi"/>
          <w:i/>
          <w:iCs/>
          <w:shd w:val="clear" w:color="auto" w:fill="FFFFFF"/>
        </w:rPr>
        <w:t>As-sunan al-kubrā</w:t>
      </w:r>
      <w:r w:rsidRPr="003213D4">
        <w:rPr>
          <w:rFonts w:asciiTheme="majorBidi" w:eastAsia="Times New Roman" w:hAnsiTheme="majorBidi" w:cstheme="majorBidi"/>
          <w:shd w:val="clear" w:color="auto" w:fill="FFFFFF"/>
        </w:rPr>
        <w:t xml:space="preserve">, t. 2, 317) comme marque de soumission et de remerciement. Celui qui récite la sourate </w:t>
      </w:r>
      <w:r w:rsidRPr="00C9372C">
        <w:rPr>
          <w:rFonts w:asciiTheme="majorBidi" w:eastAsia="Times New Roman" w:hAnsiTheme="majorBidi" w:cstheme="majorBidi"/>
          <w:i/>
        </w:rPr>
        <w:t>Al-Ḥajj</w:t>
      </w:r>
      <w:r w:rsidRPr="003213D4">
        <w:rPr>
          <w:rFonts w:asciiTheme="majorBidi" w:eastAsia="Times New Roman" w:hAnsiTheme="majorBidi" w:cstheme="majorBidi"/>
        </w:rPr>
        <w:t xml:space="preserve"> </w:t>
      </w:r>
      <w:r w:rsidRPr="003213D4">
        <w:rPr>
          <w:rFonts w:asciiTheme="majorBidi" w:eastAsia="Times New Roman" w:hAnsiTheme="majorBidi" w:cstheme="majorBidi"/>
          <w:shd w:val="clear" w:color="auto" w:fill="FFFFFF"/>
        </w:rPr>
        <w:t xml:space="preserve">est ainsi obligé à se prosterner </w:t>
      </w:r>
      <w:r w:rsidRPr="003213D4">
        <w:rPr>
          <w:rFonts w:asciiTheme="majorBidi" w:eastAsia="Times New Roman" w:hAnsiTheme="majorBidi" w:cstheme="majorBidi"/>
          <w:i/>
          <w:iCs/>
          <w:shd w:val="clear" w:color="auto" w:fill="FFFFFF"/>
        </w:rPr>
        <w:t>deux fois</w:t>
      </w:r>
      <w:r w:rsidRPr="003213D4">
        <w:rPr>
          <w:rFonts w:asciiTheme="majorBidi" w:eastAsia="Times New Roman" w:hAnsiTheme="majorBidi" w:cstheme="majorBidi"/>
          <w:shd w:val="clear" w:color="auto" w:fill="FFFFFF"/>
        </w:rPr>
        <w:t xml:space="preserve"> (v. 18 et 77) devant la Grandeur de Dieu, alors qu’il ne se prosterne qu’une seule fois lors de la récitation d’autres sourates même celle qui porte le nom « </w:t>
      </w:r>
      <w:r w:rsidRPr="003213D4">
        <w:rPr>
          <w:rFonts w:asciiTheme="majorBidi" w:eastAsia="Times New Roman" w:hAnsiTheme="majorBidi" w:cstheme="majorBidi"/>
          <w:i/>
          <w:iCs/>
          <w:shd w:val="clear" w:color="auto" w:fill="FFFFFF"/>
        </w:rPr>
        <w:t>sajda</w:t>
      </w:r>
      <w:r w:rsidRPr="003213D4">
        <w:rPr>
          <w:rFonts w:asciiTheme="majorBidi" w:eastAsia="Times New Roman" w:hAnsiTheme="majorBidi" w:cstheme="majorBidi"/>
          <w:shd w:val="clear" w:color="auto" w:fill="FFFFFF"/>
        </w:rPr>
        <w:t xml:space="preserve"> » [prosternation] (sourate n° 32). Dans son </w:t>
      </w:r>
      <w:r w:rsidRPr="003213D4">
        <w:rPr>
          <w:rFonts w:asciiTheme="majorBidi" w:eastAsia="Times New Roman" w:hAnsiTheme="majorBidi" w:cstheme="majorBidi"/>
          <w:i/>
          <w:iCs/>
          <w:shd w:val="clear" w:color="auto" w:fill="FFFFFF"/>
        </w:rPr>
        <w:t>Musnad</w:t>
      </w:r>
      <w:r w:rsidRPr="003213D4">
        <w:rPr>
          <w:rFonts w:asciiTheme="majorBidi" w:eastAsia="Times New Roman" w:hAnsiTheme="majorBidi" w:cstheme="majorBidi"/>
          <w:shd w:val="clear" w:color="auto" w:fill="FFFFFF"/>
        </w:rPr>
        <w:t xml:space="preserve"> (hadith n°</w:t>
      </w:r>
      <w:r>
        <w:rPr>
          <w:rFonts w:asciiTheme="majorBidi" w:eastAsia="Times New Roman" w:hAnsiTheme="majorBidi" w:cstheme="majorBidi"/>
          <w:shd w:val="clear" w:color="auto" w:fill="FFFFFF"/>
        </w:rPr>
        <w:t xml:space="preserve"> 144), ʿUqba b. ʿĀmir rapporte : « J’ai dit : ‘</w:t>
      </w:r>
      <w:r w:rsidRPr="003213D4">
        <w:rPr>
          <w:rFonts w:asciiTheme="majorBidi" w:eastAsia="Times New Roman" w:hAnsiTheme="majorBidi" w:cstheme="majorBidi"/>
          <w:shd w:val="clear" w:color="auto" w:fill="FFFFFF"/>
        </w:rPr>
        <w:t xml:space="preserve">Ô Envoyé de Dieu ! La Sourate </w:t>
      </w:r>
      <w:r w:rsidRPr="00C9372C">
        <w:rPr>
          <w:rFonts w:asciiTheme="majorBidi" w:eastAsia="Times New Roman" w:hAnsiTheme="majorBidi" w:cstheme="majorBidi"/>
          <w:i/>
        </w:rPr>
        <w:t>Al-Ḥajj</w:t>
      </w:r>
      <w:r w:rsidRPr="003213D4">
        <w:rPr>
          <w:rFonts w:asciiTheme="majorBidi" w:eastAsia="Times New Roman" w:hAnsiTheme="majorBidi" w:cstheme="majorBidi"/>
        </w:rPr>
        <w:t xml:space="preserve"> </w:t>
      </w:r>
      <w:r w:rsidRPr="003213D4">
        <w:rPr>
          <w:rFonts w:asciiTheme="majorBidi" w:eastAsia="Times New Roman" w:hAnsiTheme="majorBidi" w:cstheme="majorBidi"/>
          <w:shd w:val="clear" w:color="auto" w:fill="FFFFFF"/>
        </w:rPr>
        <w:t>est-elle appréciée particulièrement du fait qu’elle comporte deux prosternations à observ</w:t>
      </w:r>
      <w:r>
        <w:rPr>
          <w:rFonts w:asciiTheme="majorBidi" w:eastAsia="Times New Roman" w:hAnsiTheme="majorBidi" w:cstheme="majorBidi"/>
          <w:shd w:val="clear" w:color="auto" w:fill="FFFFFF"/>
        </w:rPr>
        <w:t>er au moment de la récitation ?’ Il a dit : ‘</w:t>
      </w:r>
      <w:r w:rsidRPr="003213D4">
        <w:rPr>
          <w:rFonts w:asciiTheme="majorBidi" w:eastAsia="Times New Roman" w:hAnsiTheme="majorBidi" w:cstheme="majorBidi"/>
          <w:shd w:val="clear" w:color="auto" w:fill="FFFFFF"/>
        </w:rPr>
        <w:t>Oui, et celui qui ne les observe pas ne doit pas lire</w:t>
      </w:r>
      <w:r>
        <w:rPr>
          <w:rFonts w:asciiTheme="majorBidi" w:eastAsia="Times New Roman" w:hAnsiTheme="majorBidi" w:cstheme="majorBidi"/>
          <w:shd w:val="clear" w:color="auto" w:fill="FFFFFF"/>
        </w:rPr>
        <w:t xml:space="preserve"> les versets qui les renferment’</w:t>
      </w:r>
      <w:r w:rsidRPr="003213D4">
        <w:rPr>
          <w:rFonts w:asciiTheme="majorBidi" w:eastAsia="Times New Roman" w:hAnsiTheme="majorBidi" w:cstheme="majorBidi"/>
          <w:shd w:val="clear" w:color="auto" w:fill="FFFFFF"/>
        </w:rPr>
        <w:t xml:space="preserve"> (autre ve</w:t>
      </w:r>
      <w:r>
        <w:rPr>
          <w:rFonts w:asciiTheme="majorBidi" w:eastAsia="Times New Roman" w:hAnsiTheme="majorBidi" w:cstheme="majorBidi"/>
          <w:shd w:val="clear" w:color="auto" w:fill="FFFFFF"/>
        </w:rPr>
        <w:t>rsion : ‘</w:t>
      </w:r>
      <w:r w:rsidRPr="003213D4">
        <w:rPr>
          <w:rFonts w:asciiTheme="majorBidi" w:eastAsia="Times New Roman" w:hAnsiTheme="majorBidi" w:cstheme="majorBidi"/>
          <w:shd w:val="clear" w:color="auto" w:fill="FFFFFF"/>
        </w:rPr>
        <w:t>Oui, et celui qui ne les observe pas est comme s’il ne lisait pas</w:t>
      </w:r>
      <w:r>
        <w:rPr>
          <w:rFonts w:asciiTheme="majorBidi" w:eastAsia="Times New Roman" w:hAnsiTheme="majorBidi" w:cstheme="majorBidi"/>
          <w:shd w:val="clear" w:color="auto" w:fill="FFFFFF"/>
        </w:rPr>
        <w:t xml:space="preserve"> les versets qui les renferment’) ». L</w:t>
      </w:r>
      <w:r w:rsidRPr="003213D4">
        <w:rPr>
          <w:rFonts w:asciiTheme="majorBidi" w:eastAsia="Times New Roman" w:hAnsiTheme="majorBidi" w:cstheme="majorBidi"/>
          <w:shd w:val="clear" w:color="auto" w:fill="FFFFFF"/>
        </w:rPr>
        <w:t xml:space="preserve">’exégète Hibat </w:t>
      </w:r>
      <w:r>
        <w:rPr>
          <w:rFonts w:asciiTheme="majorBidi" w:eastAsia="Times New Roman" w:hAnsiTheme="majorBidi" w:cstheme="majorBidi"/>
          <w:shd w:val="clear" w:color="auto" w:fill="FFFFFF"/>
        </w:rPr>
        <w:t>Allāh b. Salāma (m. 1019) a</w:t>
      </w:r>
      <w:r w:rsidRPr="003213D4">
        <w:rPr>
          <w:rFonts w:asciiTheme="majorBidi" w:eastAsia="Times New Roman" w:hAnsiTheme="majorBidi" w:cstheme="majorBidi"/>
          <w:shd w:val="clear" w:color="auto" w:fill="FFFFFF"/>
        </w:rPr>
        <w:t xml:space="preserve"> qualifié la sourate </w:t>
      </w:r>
      <w:r w:rsidRPr="003213D4">
        <w:rPr>
          <w:rFonts w:asciiTheme="majorBidi" w:eastAsia="Times New Roman" w:hAnsiTheme="majorBidi" w:cstheme="majorBidi"/>
        </w:rPr>
        <w:t>Al-Ḥajj</w:t>
      </w:r>
      <w:r w:rsidRPr="003213D4">
        <w:rPr>
          <w:rFonts w:asciiTheme="majorBidi" w:eastAsia="Times New Roman" w:hAnsiTheme="majorBidi" w:cstheme="majorBidi"/>
          <w:shd w:val="clear" w:color="auto" w:fill="FFFFFF"/>
        </w:rPr>
        <w:t xml:space="preserve"> de l’une des merveilles (</w:t>
      </w:r>
      <w:r w:rsidRPr="003213D4">
        <w:rPr>
          <w:rFonts w:asciiTheme="majorBidi" w:eastAsia="Times New Roman" w:hAnsiTheme="majorBidi" w:cstheme="majorBidi"/>
          <w:i/>
          <w:iCs/>
          <w:shd w:val="clear" w:color="auto" w:fill="FFFFFF"/>
        </w:rPr>
        <w:t>aʿājīb</w:t>
      </w:r>
      <w:r w:rsidRPr="003213D4">
        <w:rPr>
          <w:rFonts w:asciiTheme="majorBidi" w:eastAsia="Times New Roman" w:hAnsiTheme="majorBidi" w:cstheme="majorBidi"/>
          <w:shd w:val="clear" w:color="auto" w:fill="FFFFFF"/>
        </w:rPr>
        <w:t xml:space="preserve">) des sourates du Coran, du fait qu’elle renferme des versets révélés la nuit et le jour, à la Mecque et à Médine, en voyage et en séjour, en paix et en guerre, abrogeants et abrogés, clairs et </w:t>
      </w:r>
      <w:r w:rsidRPr="003213D4">
        <w:rPr>
          <w:rFonts w:asciiTheme="majorBidi" w:eastAsia="Times New Roman" w:hAnsiTheme="majorBidi" w:cstheme="majorBidi"/>
          <w:shd w:val="clear" w:color="auto" w:fill="FFFFFF"/>
        </w:rPr>
        <w:lastRenderedPageBreak/>
        <w:t>équivoques, dont le nombre est controversé (74 selon les Syriens, 75 selon les théologiens d</w:t>
      </w:r>
      <w:r>
        <w:rPr>
          <w:rFonts w:asciiTheme="majorBidi" w:eastAsia="Times New Roman" w:hAnsiTheme="majorBidi" w:cstheme="majorBidi"/>
          <w:shd w:val="clear" w:color="auto" w:fill="FFFFFF"/>
        </w:rPr>
        <w:t>e Bas</w:t>
      </w:r>
      <w:r w:rsidRPr="003213D4">
        <w:rPr>
          <w:rFonts w:asciiTheme="majorBidi" w:eastAsia="Times New Roman" w:hAnsiTheme="majorBidi" w:cstheme="majorBidi"/>
          <w:shd w:val="clear" w:color="auto" w:fill="FFFFFF"/>
        </w:rPr>
        <w:t>ra, 76 selon les Médinois, 77 selon les Mecquois, et 78 selon les théologiens de Koufa)</w:t>
      </w:r>
      <w:r w:rsidRPr="003213D4">
        <w:rPr>
          <w:rFonts w:asciiTheme="majorBidi" w:eastAsia="Times New Roman" w:hAnsiTheme="majorBidi" w:cstheme="majorBidi"/>
          <w:vertAlign w:val="superscript"/>
          <w:lang w:bidi="ar-AE"/>
        </w:rPr>
        <w:footnoteReference w:id="108"/>
      </w:r>
      <w:r w:rsidRPr="003213D4">
        <w:rPr>
          <w:rFonts w:asciiTheme="majorBidi" w:eastAsia="Times New Roman" w:hAnsiTheme="majorBidi" w:cstheme="majorBidi"/>
          <w:shd w:val="clear" w:color="auto" w:fill="FFFFFF"/>
        </w:rPr>
        <w:t>.</w:t>
      </w:r>
    </w:p>
    <w:p w14:paraId="789C4D1B" w14:textId="77777777" w:rsidR="00EB5652" w:rsidRPr="003213D4" w:rsidRDefault="00EB5652" w:rsidP="00EB5652">
      <w:pPr>
        <w:spacing w:line="360" w:lineRule="auto"/>
        <w:ind w:firstLine="708"/>
        <w:jc w:val="both"/>
        <w:rPr>
          <w:rFonts w:asciiTheme="majorBidi" w:eastAsia="Times New Roman" w:hAnsiTheme="majorBidi" w:cstheme="majorBidi"/>
          <w:shd w:val="clear" w:color="auto" w:fill="FFFFFF"/>
        </w:rPr>
      </w:pPr>
    </w:p>
    <w:p w14:paraId="1F46FDD2" w14:textId="77777777" w:rsidR="00EB5652" w:rsidRPr="00D554CA" w:rsidRDefault="00EB5652" w:rsidP="00EB5652">
      <w:pPr>
        <w:spacing w:line="360" w:lineRule="auto"/>
        <w:ind w:firstLine="708"/>
        <w:jc w:val="both"/>
        <w:rPr>
          <w:rFonts w:asciiTheme="majorBidi" w:hAnsiTheme="majorBidi" w:cstheme="majorBidi"/>
        </w:rPr>
      </w:pPr>
      <w:r w:rsidRPr="00D554CA">
        <w:rPr>
          <w:rFonts w:asciiTheme="majorBidi" w:hAnsiTheme="majorBidi" w:cstheme="majorBidi"/>
        </w:rPr>
        <w:t>En effet, cette sourate constitue le texte fondateur de l’identité religieuse musulmane et présente les principales étapes de la construction de cette identité dans un contexte de conflit avec les identités juive et chrétienne :</w:t>
      </w:r>
    </w:p>
    <w:p w14:paraId="01842242" w14:textId="77777777" w:rsidR="00EB5652" w:rsidRPr="00D554CA" w:rsidRDefault="00EB5652" w:rsidP="007640DC">
      <w:pPr>
        <w:numPr>
          <w:ilvl w:val="0"/>
          <w:numId w:val="15"/>
        </w:numPr>
        <w:spacing w:line="360" w:lineRule="auto"/>
        <w:jc w:val="both"/>
        <w:rPr>
          <w:rFonts w:asciiTheme="majorBidi" w:hAnsiTheme="majorBidi" w:cstheme="majorBidi"/>
        </w:rPr>
      </w:pPr>
      <w:r w:rsidRPr="00D554CA">
        <w:rPr>
          <w:rFonts w:asciiTheme="majorBidi" w:hAnsiTheme="majorBidi" w:cstheme="majorBidi"/>
        </w:rPr>
        <w:t xml:space="preserve">La période de la préparation du terrain idéologique de l’identité : les versets 1, 5, </w:t>
      </w:r>
      <w:r w:rsidRPr="00D554CA">
        <w:rPr>
          <w:rFonts w:asciiTheme="majorBidi" w:hAnsiTheme="majorBidi" w:cstheme="majorBidi"/>
          <w:lang w:bidi="ar-EG"/>
        </w:rPr>
        <w:t xml:space="preserve">49 et 73 </w:t>
      </w:r>
      <w:r w:rsidRPr="00D554CA">
        <w:rPr>
          <w:rFonts w:asciiTheme="majorBidi" w:hAnsiTheme="majorBidi" w:cstheme="majorBidi"/>
        </w:rPr>
        <w:t>qui utilisent la formule générique « </w:t>
      </w:r>
      <w:r w:rsidRPr="00D554CA">
        <w:rPr>
          <w:rFonts w:asciiTheme="majorBidi" w:hAnsiTheme="majorBidi" w:cstheme="majorBidi"/>
          <w:i/>
          <w:iCs/>
        </w:rPr>
        <w:t>yā ayyuhā n-nās</w:t>
      </w:r>
      <w:r w:rsidRPr="00D554CA">
        <w:rPr>
          <w:rFonts w:asciiTheme="majorBidi" w:hAnsiTheme="majorBidi" w:cstheme="majorBidi"/>
        </w:rPr>
        <w:t> » (qui s’adresse à des auditeurs indépendamment de leurs appartenances religieuses) reflètent la période préparatoire, embryonnaire de l’islam.</w:t>
      </w:r>
    </w:p>
    <w:p w14:paraId="4522DD99" w14:textId="77777777" w:rsidR="00EB5652" w:rsidRPr="00D554CA" w:rsidRDefault="00EB5652" w:rsidP="007640DC">
      <w:pPr>
        <w:numPr>
          <w:ilvl w:val="0"/>
          <w:numId w:val="15"/>
        </w:numPr>
        <w:spacing w:line="360" w:lineRule="auto"/>
        <w:jc w:val="both"/>
        <w:rPr>
          <w:rFonts w:asciiTheme="majorBidi" w:hAnsiTheme="majorBidi" w:cstheme="majorBidi"/>
        </w:rPr>
      </w:pPr>
      <w:r w:rsidRPr="00D554CA">
        <w:rPr>
          <w:rFonts w:asciiTheme="majorBidi" w:hAnsiTheme="majorBidi" w:cstheme="majorBidi"/>
        </w:rPr>
        <w:t>La période de la construction militaire de l’identité : le verset 39 a autorisé à la communauté en formation le recours à la force militaire pour s’affirmer et faciliter son expansion.</w:t>
      </w:r>
    </w:p>
    <w:p w14:paraId="659C0315" w14:textId="77777777" w:rsidR="00EB5652" w:rsidRPr="00D554CA" w:rsidRDefault="00EB5652" w:rsidP="007640DC">
      <w:pPr>
        <w:numPr>
          <w:ilvl w:val="0"/>
          <w:numId w:val="15"/>
        </w:numPr>
        <w:spacing w:line="360" w:lineRule="auto"/>
        <w:jc w:val="both"/>
        <w:rPr>
          <w:rFonts w:asciiTheme="majorBidi" w:hAnsiTheme="majorBidi" w:cstheme="majorBidi"/>
        </w:rPr>
      </w:pPr>
      <w:r w:rsidRPr="00D554CA">
        <w:rPr>
          <w:rFonts w:asciiTheme="majorBidi" w:hAnsiTheme="majorBidi" w:cstheme="majorBidi"/>
        </w:rPr>
        <w:t>La période de l’identification, de la stabilisation et de la réglementation de l’identité : le verset 78 (« lequel vous a déjà nommés ‘Musulmans’ » [trad. Fahd]).</w:t>
      </w:r>
    </w:p>
    <w:p w14:paraId="2D2F3364" w14:textId="77777777" w:rsidR="00EB5652" w:rsidRPr="00D554CA" w:rsidRDefault="00EB5652" w:rsidP="00EB5652">
      <w:pPr>
        <w:spacing w:line="360" w:lineRule="auto"/>
        <w:jc w:val="both"/>
        <w:rPr>
          <w:rFonts w:asciiTheme="majorBidi" w:eastAsia="Times New Roman" w:hAnsiTheme="majorBidi" w:cstheme="majorBidi"/>
        </w:rPr>
      </w:pPr>
    </w:p>
    <w:p w14:paraId="06D3595A" w14:textId="471FD182" w:rsidR="00EB5652" w:rsidRPr="00B259E9" w:rsidRDefault="00EB5652" w:rsidP="00876BB0">
      <w:pPr>
        <w:pStyle w:val="Paragraphedeliste"/>
        <w:numPr>
          <w:ilvl w:val="1"/>
          <w:numId w:val="125"/>
        </w:numPr>
        <w:bidi w:val="0"/>
        <w:spacing w:line="360" w:lineRule="auto"/>
        <w:jc w:val="both"/>
        <w:outlineLvl w:val="0"/>
        <w:rPr>
          <w:rFonts w:asciiTheme="majorBidi" w:hAnsiTheme="majorBidi" w:cstheme="majorBidi"/>
          <w:b/>
          <w:bCs/>
        </w:rPr>
      </w:pPr>
      <w:r w:rsidRPr="00B259E9">
        <w:rPr>
          <w:rFonts w:asciiTheme="majorBidi" w:hAnsiTheme="majorBidi" w:cstheme="majorBidi"/>
          <w:b/>
          <w:bCs/>
        </w:rPr>
        <w:t>Difficultés de compréhension du Coran :</w:t>
      </w:r>
    </w:p>
    <w:p w14:paraId="751772E3" w14:textId="77777777" w:rsidR="00EB5652" w:rsidRPr="003213D4" w:rsidRDefault="00EB5652" w:rsidP="00EB5652">
      <w:pPr>
        <w:spacing w:line="360" w:lineRule="auto"/>
        <w:ind w:firstLine="708"/>
        <w:jc w:val="both"/>
        <w:rPr>
          <w:rFonts w:asciiTheme="majorBidi" w:eastAsia="Times New Roman" w:hAnsiTheme="majorBidi" w:cstheme="majorBidi"/>
        </w:rPr>
      </w:pPr>
      <w:r w:rsidRPr="00D554CA">
        <w:rPr>
          <w:rFonts w:asciiTheme="majorBidi" w:eastAsia="Times New Roman" w:hAnsiTheme="majorBidi" w:cstheme="majorBidi"/>
          <w:shd w:val="clear" w:color="auto" w:fill="FFFFFF"/>
        </w:rPr>
        <w:t>Comprendre consiste à construire progressivement un modèle mental de ce qui est évoqué. Cette construction se fait à partir des éléments du texte et de la connaissance du lecteur.  Vu que le texte coranique en tant que recueil décousu</w:t>
      </w:r>
      <w:r w:rsidRPr="003213D4">
        <w:rPr>
          <w:rFonts w:asciiTheme="majorBidi" w:eastAsia="Times New Roman" w:hAnsiTheme="majorBidi" w:cstheme="majorBidi"/>
          <w:shd w:val="clear" w:color="auto" w:fill="FFFFFF"/>
        </w:rPr>
        <w:t xml:space="preserve"> et composé de bribes sans liens entre elles a été construit à partir d’éléments et de contextes divergents et que le lecteur connaît peu de choses sur l’histoire de la rédaction du texte, il est difficile de comprendre la ligne directrice du texte.</w:t>
      </w:r>
      <w:r w:rsidRPr="003213D4">
        <w:rPr>
          <w:rFonts w:asciiTheme="majorBidi" w:eastAsia="Times New Roman" w:hAnsiTheme="majorBidi" w:cstheme="majorBidi"/>
        </w:rPr>
        <w:t xml:space="preserve"> Le passage immédiat d’une idée à une autre complètement différente (ex. : v. 5) ou d’un pronom à un autre (ex. : v. 9-10 et v. 22) augmente la difficulté de compréhension. Le style mixte de la sourate </w:t>
      </w:r>
      <w:r w:rsidRPr="00297361">
        <w:rPr>
          <w:rFonts w:asciiTheme="majorBidi" w:eastAsia="Times New Roman" w:hAnsiTheme="majorBidi" w:cstheme="majorBidi"/>
          <w:i/>
        </w:rPr>
        <w:t>Al-Ḥajj</w:t>
      </w:r>
      <w:r w:rsidRPr="003213D4">
        <w:rPr>
          <w:rFonts w:asciiTheme="majorBidi" w:eastAsia="Times New Roman" w:hAnsiTheme="majorBidi" w:cstheme="majorBidi"/>
          <w:shd w:val="clear" w:color="auto" w:fill="FFFFFF"/>
        </w:rPr>
        <w:t xml:space="preserve"> </w:t>
      </w:r>
      <w:r w:rsidRPr="003213D4">
        <w:rPr>
          <w:rFonts w:asciiTheme="majorBidi" w:eastAsia="Times New Roman" w:hAnsiTheme="majorBidi" w:cstheme="majorBidi"/>
        </w:rPr>
        <w:t xml:space="preserve">qui oscille entre mecquois et médinois ne contribue qu’à augmenter l’équivoque. Qui plus est, une lecture attentive du Coran pourrait révéler plusieurs styles qui peuvent faire allusion à plusieurs rédacteurs potentiels de différents arrière-plans. Chaque rédacteur aurait eu son propre style et ses propres mots ou plutôt ses propres usages des </w:t>
      </w:r>
      <w:r w:rsidRPr="003213D4">
        <w:rPr>
          <w:rFonts w:asciiTheme="majorBidi" w:eastAsia="Times New Roman" w:hAnsiTheme="majorBidi" w:cstheme="majorBidi"/>
        </w:rPr>
        <w:lastRenderedPageBreak/>
        <w:t>mots. Ce qui pourrait signifier que les mêmes mots répétés plusieurs fois dans le Coran peuvent désigner des choses différentes.</w:t>
      </w:r>
    </w:p>
    <w:p w14:paraId="1F9F5A37" w14:textId="77777777" w:rsidR="00EB5652" w:rsidRPr="003213D4" w:rsidRDefault="00EB5652" w:rsidP="00EB5652">
      <w:pPr>
        <w:spacing w:line="360" w:lineRule="auto"/>
        <w:jc w:val="both"/>
        <w:rPr>
          <w:rFonts w:asciiTheme="majorBidi" w:eastAsia="Times New Roman" w:hAnsiTheme="majorBidi" w:cstheme="majorBidi"/>
        </w:rPr>
      </w:pPr>
    </w:p>
    <w:p w14:paraId="3F54AB40" w14:textId="77777777" w:rsidR="00EB5652" w:rsidRPr="003213D4"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t xml:space="preserve">L’une des difficultés de la compréhension de cette sourate est le manque du contexte, des causes et des circonstances de « révélation ». Par exemple, en l’absence des causes de rédaction, on ne peut </w:t>
      </w:r>
      <w:r>
        <w:rPr>
          <w:rFonts w:asciiTheme="majorBidi" w:eastAsia="Times New Roman" w:hAnsiTheme="majorBidi" w:cstheme="majorBidi" w:hint="cs"/>
        </w:rPr>
        <w:t>conna</w:t>
      </w:r>
      <w:r>
        <w:rPr>
          <w:rFonts w:asciiTheme="majorBidi" w:eastAsia="Times New Roman" w:hAnsiTheme="majorBidi" w:cstheme="majorBidi"/>
        </w:rPr>
        <w:t>ître</w:t>
      </w:r>
      <w:r w:rsidRPr="003213D4">
        <w:rPr>
          <w:rFonts w:asciiTheme="majorBidi" w:eastAsia="Times New Roman" w:hAnsiTheme="majorBidi" w:cstheme="majorBidi"/>
        </w:rPr>
        <w:t xml:space="preserve"> le vouloir-dire du verset 15 (victoire du prophète ou changement psychologique ?). Les circonstances de rédaction du verset 52 rapportées par les exégètes sont contradictoires (l’histoire des </w:t>
      </w:r>
      <w:r w:rsidRPr="003213D4">
        <w:rPr>
          <w:rFonts w:asciiTheme="majorBidi" w:eastAsia="Times New Roman" w:hAnsiTheme="majorBidi" w:cstheme="majorBidi"/>
          <w:i/>
          <w:iCs/>
        </w:rPr>
        <w:t>gharānīq</w:t>
      </w:r>
      <w:r w:rsidRPr="003213D4">
        <w:rPr>
          <w:rFonts w:asciiTheme="majorBidi" w:eastAsia="Times New Roman" w:hAnsiTheme="majorBidi" w:cstheme="majorBidi"/>
        </w:rPr>
        <w:t xml:space="preserve"> ou l’invitation de Muḥammad par un Arabe ?). Sans connaître le contexte historique, le verset 66 peut affirmer ou réfuter la réincarnation.</w:t>
      </w:r>
    </w:p>
    <w:p w14:paraId="2E3A83BA" w14:textId="77777777" w:rsidR="00EB5652" w:rsidRPr="003213D4" w:rsidRDefault="00EB5652" w:rsidP="00EB5652">
      <w:pPr>
        <w:spacing w:line="360" w:lineRule="auto"/>
        <w:jc w:val="both"/>
        <w:rPr>
          <w:rFonts w:asciiTheme="majorBidi" w:eastAsia="Times New Roman" w:hAnsiTheme="majorBidi" w:cstheme="majorBidi"/>
        </w:rPr>
      </w:pPr>
    </w:p>
    <w:p w14:paraId="15DC495E" w14:textId="77777777" w:rsidR="00EB5652" w:rsidRPr="003213D4"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t xml:space="preserve">La signification des mots déictiques (embrayeurs) est l’une des plus grandes difficultés, et notamment l’antécédent des pronoms dans les mots suivants : </w:t>
      </w:r>
      <w:r w:rsidRPr="003213D4">
        <w:rPr>
          <w:rFonts w:asciiTheme="majorBidi" w:eastAsia="Times New Roman" w:hAnsiTheme="majorBidi" w:cstheme="majorBidi"/>
          <w:i/>
          <w:iCs/>
          <w:lang w:bidi="ar-EG"/>
        </w:rPr>
        <w:t>tarawna</w:t>
      </w:r>
      <w:r w:rsidRPr="003213D4">
        <w:rPr>
          <w:rFonts w:asciiTheme="majorBidi" w:eastAsia="Times New Roman" w:hAnsiTheme="majorBidi" w:cstheme="majorBidi"/>
          <w:b/>
          <w:bCs/>
          <w:i/>
          <w:iCs/>
          <w:lang w:bidi="ar-EG"/>
        </w:rPr>
        <w:t>hā</w:t>
      </w:r>
      <w:r w:rsidRPr="003213D4">
        <w:rPr>
          <w:rFonts w:asciiTheme="majorBidi" w:eastAsia="Times New Roman" w:hAnsiTheme="majorBidi" w:cstheme="majorBidi"/>
          <w:lang w:bidi="ar-EG"/>
        </w:rPr>
        <w:t xml:space="preserve"> [vous </w:t>
      </w:r>
      <w:r w:rsidRPr="003213D4">
        <w:rPr>
          <w:rFonts w:asciiTheme="majorBidi" w:eastAsia="Times New Roman" w:hAnsiTheme="majorBidi" w:cstheme="majorBidi"/>
          <w:i/>
          <w:iCs/>
          <w:lang w:bidi="ar-EG"/>
        </w:rPr>
        <w:t>la</w:t>
      </w:r>
      <w:r w:rsidRPr="003213D4">
        <w:rPr>
          <w:rFonts w:asciiTheme="majorBidi" w:eastAsia="Times New Roman" w:hAnsiTheme="majorBidi" w:cstheme="majorBidi"/>
          <w:lang w:bidi="ar-EG"/>
        </w:rPr>
        <w:t xml:space="preserve"> verrez] (v. 2)</w:t>
      </w:r>
      <w:r w:rsidRPr="003213D4">
        <w:rPr>
          <w:rFonts w:asciiTheme="majorBidi" w:eastAsia="Times New Roman" w:hAnsiTheme="majorBidi" w:cstheme="majorBidi"/>
        </w:rPr>
        <w:t>,</w:t>
      </w:r>
      <w:r w:rsidRPr="003213D4">
        <w:rPr>
          <w:rFonts w:asciiTheme="majorBidi" w:eastAsia="Times New Roman" w:hAnsiTheme="majorBidi" w:cstheme="majorBidi"/>
          <w:lang w:bidi="ar-AE"/>
        </w:rPr>
        <w:t xml:space="preserve"> </w:t>
      </w:r>
      <w:r w:rsidRPr="003213D4">
        <w:rPr>
          <w:rFonts w:asciiTheme="majorBidi" w:eastAsia="Times New Roman" w:hAnsiTheme="majorBidi" w:cstheme="majorBidi"/>
          <w:i/>
          <w:iCs/>
          <w:lang w:bidi="ar-AE"/>
        </w:rPr>
        <w:t>kutiba ʿalay</w:t>
      </w:r>
      <w:r w:rsidRPr="003213D4">
        <w:rPr>
          <w:rFonts w:asciiTheme="majorBidi" w:eastAsia="Times New Roman" w:hAnsiTheme="majorBidi" w:cstheme="majorBidi"/>
          <w:b/>
          <w:bCs/>
          <w:i/>
          <w:iCs/>
          <w:lang w:bidi="ar-AE"/>
        </w:rPr>
        <w:t>hi</w:t>
      </w:r>
      <w:r w:rsidRPr="003213D4">
        <w:rPr>
          <w:rFonts w:asciiTheme="majorBidi" w:eastAsia="Times New Roman" w:hAnsiTheme="majorBidi" w:cstheme="majorBidi"/>
          <w:i/>
          <w:iCs/>
          <w:lang w:bidi="ar-AE"/>
        </w:rPr>
        <w:t xml:space="preserve"> </w:t>
      </w:r>
      <w:r w:rsidRPr="003213D4">
        <w:rPr>
          <w:rFonts w:asciiTheme="majorBidi" w:eastAsia="Times New Roman" w:hAnsiTheme="majorBidi" w:cstheme="majorBidi"/>
          <w:lang w:bidi="ar-AE"/>
        </w:rPr>
        <w:t xml:space="preserve">[il est écrit sur </w:t>
      </w:r>
      <w:r w:rsidRPr="003213D4">
        <w:rPr>
          <w:rFonts w:asciiTheme="majorBidi" w:eastAsia="Times New Roman" w:hAnsiTheme="majorBidi" w:cstheme="majorBidi"/>
          <w:b/>
          <w:bCs/>
          <w:i/>
          <w:iCs/>
          <w:lang w:bidi="ar-AE"/>
        </w:rPr>
        <w:t>lui</w:t>
      </w:r>
      <w:r w:rsidRPr="003213D4">
        <w:rPr>
          <w:rFonts w:asciiTheme="majorBidi" w:eastAsia="Times New Roman" w:hAnsiTheme="majorBidi" w:cstheme="majorBidi"/>
          <w:lang w:bidi="ar-AE"/>
        </w:rPr>
        <w:t>] (v. 4),</w:t>
      </w:r>
      <w:r w:rsidRPr="003213D4">
        <w:rPr>
          <w:rFonts w:asciiTheme="majorBidi" w:eastAsia="Times New Roman" w:hAnsiTheme="majorBidi" w:cstheme="majorBidi"/>
        </w:rPr>
        <w:t xml:space="preserve"> (v. 6, 10, 30, 32, 60, 61, 62, 70)</w:t>
      </w:r>
      <w:r w:rsidRPr="003213D4">
        <w:rPr>
          <w:rFonts w:asciiTheme="majorBidi" w:eastAsia="Times New Roman" w:hAnsiTheme="majorBidi" w:cstheme="majorBidi"/>
          <w:lang w:bidi="ar-AE"/>
        </w:rPr>
        <w:t xml:space="preserve"> </w:t>
      </w:r>
      <w:r w:rsidRPr="003213D4">
        <w:rPr>
          <w:rFonts w:asciiTheme="majorBidi" w:eastAsia="Times New Roman" w:hAnsiTheme="majorBidi" w:cstheme="majorBidi"/>
          <w:i/>
          <w:iCs/>
          <w:lang w:bidi="ar-AE"/>
        </w:rPr>
        <w:t>yadā</w:t>
      </w:r>
      <w:r w:rsidRPr="003213D4">
        <w:rPr>
          <w:rFonts w:asciiTheme="majorBidi" w:eastAsia="Times New Roman" w:hAnsiTheme="majorBidi" w:cstheme="majorBidi"/>
          <w:b/>
          <w:bCs/>
          <w:i/>
          <w:iCs/>
          <w:lang w:bidi="ar-AE"/>
        </w:rPr>
        <w:t>ka</w:t>
      </w:r>
      <w:r w:rsidRPr="003213D4">
        <w:rPr>
          <w:rFonts w:asciiTheme="majorBidi" w:eastAsia="Times New Roman" w:hAnsiTheme="majorBidi" w:cstheme="majorBidi"/>
          <w:lang w:bidi="ar-AE"/>
        </w:rPr>
        <w:t xml:space="preserve"> [</w:t>
      </w:r>
      <w:r w:rsidRPr="003213D4">
        <w:rPr>
          <w:rFonts w:asciiTheme="majorBidi" w:eastAsia="Times New Roman" w:hAnsiTheme="majorBidi" w:cstheme="majorBidi"/>
          <w:i/>
          <w:iCs/>
          <w:lang w:bidi="ar-AE"/>
        </w:rPr>
        <w:t>tes</w:t>
      </w:r>
      <w:r w:rsidRPr="003213D4">
        <w:rPr>
          <w:rFonts w:asciiTheme="majorBidi" w:eastAsia="Times New Roman" w:hAnsiTheme="majorBidi" w:cstheme="majorBidi"/>
          <w:lang w:bidi="ar-AE"/>
        </w:rPr>
        <w:t xml:space="preserve"> mains] (v. 10), </w:t>
      </w:r>
      <w:r w:rsidRPr="003213D4">
        <w:rPr>
          <w:rFonts w:asciiTheme="majorBidi" w:eastAsia="Times New Roman" w:hAnsiTheme="majorBidi" w:cstheme="majorBidi"/>
          <w:i/>
          <w:iCs/>
        </w:rPr>
        <w:t>lan yanṣura</w:t>
      </w:r>
      <w:r w:rsidRPr="003213D4">
        <w:rPr>
          <w:rFonts w:asciiTheme="majorBidi" w:eastAsia="Times New Roman" w:hAnsiTheme="majorBidi" w:cstheme="majorBidi"/>
          <w:b/>
          <w:bCs/>
          <w:i/>
          <w:iCs/>
        </w:rPr>
        <w:t>hu</w:t>
      </w:r>
      <w:r w:rsidRPr="003213D4">
        <w:rPr>
          <w:rFonts w:asciiTheme="majorBidi" w:eastAsia="Times New Roman" w:hAnsiTheme="majorBidi" w:cstheme="majorBidi"/>
        </w:rPr>
        <w:t xml:space="preserve"> [Il ne </w:t>
      </w:r>
      <w:r w:rsidRPr="003213D4">
        <w:rPr>
          <w:rFonts w:asciiTheme="majorBidi" w:eastAsia="Times New Roman" w:hAnsiTheme="majorBidi" w:cstheme="majorBidi"/>
          <w:i/>
          <w:iCs/>
        </w:rPr>
        <w:t>le</w:t>
      </w:r>
      <w:r w:rsidRPr="003213D4">
        <w:rPr>
          <w:rFonts w:asciiTheme="majorBidi" w:eastAsia="Times New Roman" w:hAnsiTheme="majorBidi" w:cstheme="majorBidi"/>
        </w:rPr>
        <w:t xml:space="preserve"> secourra pas] (v. 15), </w:t>
      </w:r>
      <w:r w:rsidRPr="003213D4">
        <w:rPr>
          <w:rFonts w:asciiTheme="majorBidi" w:eastAsia="Times New Roman" w:hAnsiTheme="majorBidi" w:cstheme="majorBidi"/>
          <w:b/>
          <w:bCs/>
          <w:i/>
          <w:iCs/>
        </w:rPr>
        <w:t>yu</w:t>
      </w:r>
      <w:r w:rsidRPr="003213D4">
        <w:rPr>
          <w:rFonts w:asciiTheme="majorBidi" w:eastAsia="Times New Roman" w:hAnsiTheme="majorBidi" w:cstheme="majorBidi"/>
          <w:i/>
          <w:iCs/>
        </w:rPr>
        <w:t>rīdu</w:t>
      </w:r>
      <w:r w:rsidRPr="003213D4">
        <w:rPr>
          <w:rFonts w:asciiTheme="majorBidi" w:eastAsia="Times New Roman" w:hAnsiTheme="majorBidi" w:cstheme="majorBidi"/>
        </w:rPr>
        <w:t xml:space="preserve"> [</w:t>
      </w:r>
      <w:r w:rsidRPr="003213D4">
        <w:rPr>
          <w:rFonts w:asciiTheme="majorBidi" w:eastAsia="Times New Roman" w:hAnsiTheme="majorBidi" w:cstheme="majorBidi"/>
          <w:i/>
          <w:iCs/>
        </w:rPr>
        <w:t>il</w:t>
      </w:r>
      <w:r w:rsidRPr="003213D4">
        <w:rPr>
          <w:rFonts w:asciiTheme="majorBidi" w:eastAsia="Times New Roman" w:hAnsiTheme="majorBidi" w:cstheme="majorBidi"/>
        </w:rPr>
        <w:t xml:space="preserve"> veut] (v. 16), </w:t>
      </w:r>
      <w:r w:rsidRPr="003213D4">
        <w:rPr>
          <w:rFonts w:asciiTheme="majorBidi" w:eastAsia="Times New Roman" w:hAnsiTheme="majorBidi" w:cstheme="majorBidi"/>
          <w:i/>
          <w:iCs/>
          <w:lang w:bidi="ar-AE"/>
        </w:rPr>
        <w:t>bawwaʾ</w:t>
      </w:r>
      <w:r w:rsidRPr="003213D4">
        <w:rPr>
          <w:rFonts w:asciiTheme="majorBidi" w:eastAsia="Times New Roman" w:hAnsiTheme="majorBidi" w:cstheme="majorBidi"/>
          <w:b/>
          <w:bCs/>
          <w:i/>
          <w:iCs/>
          <w:lang w:bidi="ar-AE"/>
        </w:rPr>
        <w:t>nā</w:t>
      </w:r>
      <w:r w:rsidRPr="003213D4">
        <w:rPr>
          <w:rFonts w:asciiTheme="majorBidi" w:eastAsia="Times New Roman" w:hAnsiTheme="majorBidi" w:cstheme="majorBidi"/>
        </w:rPr>
        <w:t xml:space="preserve"> [</w:t>
      </w:r>
      <w:r w:rsidRPr="003213D4">
        <w:rPr>
          <w:rFonts w:asciiTheme="majorBidi" w:hAnsiTheme="majorBidi" w:cstheme="majorBidi"/>
          <w:i/>
          <w:iCs/>
          <w:lang w:bidi="ar-AE"/>
        </w:rPr>
        <w:t>Nous</w:t>
      </w:r>
      <w:r w:rsidRPr="003213D4">
        <w:rPr>
          <w:rFonts w:asciiTheme="majorBidi" w:hAnsiTheme="majorBidi" w:cstheme="majorBidi"/>
          <w:lang w:bidi="ar-AE"/>
        </w:rPr>
        <w:t xml:space="preserve"> assignâmes</w:t>
      </w:r>
      <w:r w:rsidRPr="003213D4">
        <w:rPr>
          <w:rFonts w:asciiTheme="majorBidi" w:eastAsia="Times New Roman" w:hAnsiTheme="majorBidi" w:cstheme="majorBidi"/>
        </w:rPr>
        <w:t xml:space="preserve">] (v. 26), le sujet de </w:t>
      </w:r>
      <w:r w:rsidRPr="003213D4">
        <w:rPr>
          <w:rFonts w:asciiTheme="majorBidi" w:eastAsia="Times New Roman" w:hAnsiTheme="majorBidi" w:cstheme="majorBidi"/>
          <w:i/>
          <w:iCs/>
        </w:rPr>
        <w:t>lā tushrik bī</w:t>
      </w:r>
      <w:r w:rsidRPr="003213D4">
        <w:rPr>
          <w:rFonts w:asciiTheme="majorBidi" w:eastAsia="Times New Roman" w:hAnsiTheme="majorBidi" w:cstheme="majorBidi"/>
        </w:rPr>
        <w:t xml:space="preserve"> [</w:t>
      </w:r>
      <w:r w:rsidRPr="003213D4">
        <w:rPr>
          <w:rFonts w:asciiTheme="majorBidi" w:hAnsiTheme="majorBidi" w:cstheme="majorBidi"/>
          <w:lang w:bidi="ar-AE"/>
        </w:rPr>
        <w:t>Ne M’associe personne</w:t>
      </w:r>
      <w:r w:rsidRPr="003213D4">
        <w:rPr>
          <w:rFonts w:asciiTheme="majorBidi" w:eastAsia="Times New Roman" w:hAnsiTheme="majorBidi" w:cstheme="majorBidi"/>
        </w:rPr>
        <w:t xml:space="preserve">] (v. 26), </w:t>
      </w:r>
      <w:r w:rsidRPr="003213D4">
        <w:rPr>
          <w:rFonts w:asciiTheme="majorBidi" w:eastAsia="Times New Roman" w:hAnsiTheme="majorBidi" w:cstheme="majorBidi"/>
          <w:i/>
          <w:iCs/>
        </w:rPr>
        <w:t>yaʾtū</w:t>
      </w:r>
      <w:r w:rsidRPr="003213D4">
        <w:rPr>
          <w:rFonts w:asciiTheme="majorBidi" w:eastAsia="Times New Roman" w:hAnsiTheme="majorBidi" w:cstheme="majorBidi"/>
          <w:b/>
          <w:bCs/>
          <w:i/>
          <w:iCs/>
        </w:rPr>
        <w:t>ka</w:t>
      </w:r>
      <w:r w:rsidRPr="003213D4">
        <w:rPr>
          <w:rFonts w:asciiTheme="majorBidi" w:eastAsia="Times New Roman" w:hAnsiTheme="majorBidi" w:cstheme="majorBidi"/>
        </w:rPr>
        <w:t xml:space="preserve"> [</w:t>
      </w:r>
      <w:r w:rsidRPr="003213D4">
        <w:rPr>
          <w:rFonts w:asciiTheme="majorBidi" w:hAnsiTheme="majorBidi" w:cstheme="majorBidi"/>
          <w:lang w:bidi="ar-AE"/>
        </w:rPr>
        <w:t xml:space="preserve">ils </w:t>
      </w:r>
      <w:r w:rsidRPr="003213D4">
        <w:rPr>
          <w:rFonts w:asciiTheme="majorBidi" w:hAnsiTheme="majorBidi" w:cstheme="majorBidi"/>
          <w:i/>
          <w:iCs/>
          <w:lang w:bidi="ar-AE"/>
        </w:rPr>
        <w:t>te</w:t>
      </w:r>
      <w:r w:rsidRPr="003213D4">
        <w:rPr>
          <w:rFonts w:asciiTheme="majorBidi" w:hAnsiTheme="majorBidi" w:cstheme="majorBidi"/>
          <w:lang w:bidi="ar-AE"/>
        </w:rPr>
        <w:t xml:space="preserve"> viennent</w:t>
      </w:r>
      <w:r w:rsidRPr="003213D4">
        <w:rPr>
          <w:rFonts w:asciiTheme="majorBidi" w:eastAsia="Times New Roman" w:hAnsiTheme="majorBidi" w:cstheme="majorBidi"/>
        </w:rPr>
        <w:t xml:space="preserve">], </w:t>
      </w:r>
      <w:r w:rsidRPr="003213D4">
        <w:rPr>
          <w:rFonts w:asciiTheme="majorBidi" w:eastAsia="Times New Roman" w:hAnsiTheme="majorBidi" w:cstheme="majorBidi"/>
          <w:i/>
          <w:iCs/>
        </w:rPr>
        <w:t>yaʾtī</w:t>
      </w:r>
      <w:r w:rsidRPr="003213D4">
        <w:rPr>
          <w:rFonts w:asciiTheme="majorBidi" w:eastAsia="Times New Roman" w:hAnsiTheme="majorBidi" w:cstheme="majorBidi"/>
          <w:b/>
          <w:bCs/>
          <w:i/>
          <w:iCs/>
        </w:rPr>
        <w:t>na</w:t>
      </w:r>
      <w:r w:rsidRPr="003213D4">
        <w:rPr>
          <w:rFonts w:asciiTheme="majorBidi" w:eastAsia="Times New Roman" w:hAnsiTheme="majorBidi" w:cstheme="majorBidi"/>
        </w:rPr>
        <w:t xml:space="preserve"> [</w:t>
      </w:r>
      <w:r w:rsidRPr="003213D4">
        <w:rPr>
          <w:rFonts w:asciiTheme="majorBidi" w:eastAsia="Times New Roman" w:hAnsiTheme="majorBidi" w:cstheme="majorBidi"/>
          <w:i/>
          <w:iCs/>
        </w:rPr>
        <w:t>elles</w:t>
      </w:r>
      <w:r w:rsidRPr="003213D4">
        <w:rPr>
          <w:rFonts w:asciiTheme="majorBidi" w:eastAsia="Times New Roman" w:hAnsiTheme="majorBidi" w:cstheme="majorBidi"/>
        </w:rPr>
        <w:t xml:space="preserve"> viennent] (v. 27), </w:t>
      </w:r>
      <w:r w:rsidRPr="003213D4">
        <w:rPr>
          <w:rFonts w:asciiTheme="majorBidi" w:eastAsia="Times New Roman" w:hAnsiTheme="majorBidi" w:cstheme="majorBidi"/>
          <w:i/>
          <w:iCs/>
        </w:rPr>
        <w:t>yudhkaru fī</w:t>
      </w:r>
      <w:r w:rsidRPr="003213D4">
        <w:rPr>
          <w:rFonts w:asciiTheme="majorBidi" w:eastAsia="Times New Roman" w:hAnsiTheme="majorBidi" w:cstheme="majorBidi"/>
          <w:b/>
          <w:bCs/>
          <w:i/>
          <w:iCs/>
        </w:rPr>
        <w:t>hā</w:t>
      </w:r>
      <w:r w:rsidRPr="003213D4">
        <w:rPr>
          <w:rFonts w:asciiTheme="majorBidi" w:eastAsia="Times New Roman" w:hAnsiTheme="majorBidi" w:cstheme="majorBidi"/>
        </w:rPr>
        <w:t xml:space="preserve"> [dans </w:t>
      </w:r>
      <w:r w:rsidRPr="003213D4">
        <w:rPr>
          <w:rFonts w:asciiTheme="majorBidi" w:eastAsia="Times New Roman" w:hAnsiTheme="majorBidi" w:cstheme="majorBidi"/>
          <w:i/>
          <w:iCs/>
        </w:rPr>
        <w:t>lesquels</w:t>
      </w:r>
      <w:r w:rsidRPr="003213D4">
        <w:rPr>
          <w:rFonts w:asciiTheme="majorBidi" w:eastAsia="Times New Roman" w:hAnsiTheme="majorBidi" w:cstheme="majorBidi"/>
        </w:rPr>
        <w:t xml:space="preserve"> est invoqué] (v. 40), </w:t>
      </w:r>
      <w:r w:rsidRPr="003213D4">
        <w:rPr>
          <w:rFonts w:asciiTheme="majorBidi" w:eastAsia="Times New Roman" w:hAnsiTheme="majorBidi" w:cstheme="majorBidi"/>
          <w:i/>
          <w:iCs/>
        </w:rPr>
        <w:t>makkannā</w:t>
      </w:r>
      <w:r w:rsidRPr="003213D4">
        <w:rPr>
          <w:rFonts w:asciiTheme="majorBidi" w:eastAsia="Times New Roman" w:hAnsiTheme="majorBidi" w:cstheme="majorBidi"/>
          <w:b/>
          <w:bCs/>
          <w:i/>
          <w:iCs/>
        </w:rPr>
        <w:t>hum</w:t>
      </w:r>
      <w:r w:rsidRPr="003213D4">
        <w:rPr>
          <w:rFonts w:asciiTheme="majorBidi" w:eastAsia="Times New Roman" w:hAnsiTheme="majorBidi" w:cstheme="majorBidi"/>
          <w:i/>
          <w:iCs/>
        </w:rPr>
        <w:t xml:space="preserve"> </w:t>
      </w:r>
      <w:r w:rsidRPr="003213D4">
        <w:rPr>
          <w:rFonts w:asciiTheme="majorBidi" w:eastAsia="Times New Roman" w:hAnsiTheme="majorBidi" w:cstheme="majorBidi"/>
        </w:rPr>
        <w:t>[</w:t>
      </w:r>
      <w:r w:rsidRPr="003213D4">
        <w:rPr>
          <w:rFonts w:asciiTheme="majorBidi" w:hAnsiTheme="majorBidi" w:cstheme="majorBidi"/>
          <w:lang w:bidi="ar-AE"/>
        </w:rPr>
        <w:t xml:space="preserve">Nous </w:t>
      </w:r>
      <w:r w:rsidRPr="003213D4">
        <w:rPr>
          <w:rFonts w:asciiTheme="majorBidi" w:hAnsiTheme="majorBidi" w:cstheme="majorBidi"/>
          <w:i/>
          <w:iCs/>
          <w:lang w:bidi="ar-AE"/>
        </w:rPr>
        <w:t>leur</w:t>
      </w:r>
      <w:r w:rsidRPr="003213D4">
        <w:rPr>
          <w:rFonts w:asciiTheme="majorBidi" w:hAnsiTheme="majorBidi" w:cstheme="majorBidi"/>
          <w:lang w:bidi="ar-AE"/>
        </w:rPr>
        <w:t xml:space="preserve"> en donnons capacité</w:t>
      </w:r>
      <w:r w:rsidRPr="003213D4">
        <w:rPr>
          <w:rFonts w:asciiTheme="majorBidi" w:eastAsia="Times New Roman" w:hAnsiTheme="majorBidi" w:cstheme="majorBidi"/>
        </w:rPr>
        <w:t xml:space="preserve">] (v. 41), </w:t>
      </w:r>
      <w:r w:rsidRPr="003213D4">
        <w:rPr>
          <w:rFonts w:asciiTheme="majorBidi" w:eastAsia="Times New Roman" w:hAnsiTheme="majorBidi" w:cstheme="majorBidi"/>
          <w:i/>
          <w:iCs/>
        </w:rPr>
        <w:t>anna</w:t>
      </w:r>
      <w:r w:rsidRPr="003213D4">
        <w:rPr>
          <w:rFonts w:asciiTheme="majorBidi" w:eastAsia="Times New Roman" w:hAnsiTheme="majorBidi" w:cstheme="majorBidi"/>
          <w:b/>
          <w:bCs/>
          <w:i/>
          <w:iCs/>
        </w:rPr>
        <w:t>hu</w:t>
      </w:r>
      <w:r w:rsidRPr="003213D4">
        <w:rPr>
          <w:rFonts w:asciiTheme="majorBidi" w:eastAsia="Times New Roman" w:hAnsiTheme="majorBidi" w:cstheme="majorBidi"/>
          <w:i/>
          <w:iCs/>
        </w:rPr>
        <w:t xml:space="preserve"> l-ḥaqq</w:t>
      </w:r>
      <w:r w:rsidRPr="003213D4">
        <w:rPr>
          <w:rFonts w:asciiTheme="majorBidi" w:eastAsia="Times New Roman" w:hAnsiTheme="majorBidi" w:cstheme="majorBidi"/>
        </w:rPr>
        <w:t xml:space="preserve"> [que </w:t>
      </w:r>
      <w:r w:rsidRPr="003213D4">
        <w:rPr>
          <w:rFonts w:asciiTheme="majorBidi" w:eastAsia="Times New Roman" w:hAnsiTheme="majorBidi" w:cstheme="majorBidi"/>
          <w:i/>
          <w:iCs/>
        </w:rPr>
        <w:t>ceci</w:t>
      </w:r>
      <w:r w:rsidRPr="003213D4">
        <w:rPr>
          <w:rFonts w:asciiTheme="majorBidi" w:eastAsia="Times New Roman" w:hAnsiTheme="majorBidi" w:cstheme="majorBidi"/>
        </w:rPr>
        <w:t xml:space="preserve"> est le Vrai] (v. 54),</w:t>
      </w:r>
      <w:r w:rsidRPr="003213D4">
        <w:rPr>
          <w:rFonts w:asciiTheme="majorBidi" w:eastAsia="Times New Roman" w:hAnsiTheme="majorBidi" w:cstheme="majorBidi"/>
          <w:i/>
          <w:iCs/>
        </w:rPr>
        <w:t xml:space="preserve"> miryatin min</w:t>
      </w:r>
      <w:r w:rsidRPr="003213D4">
        <w:rPr>
          <w:rFonts w:asciiTheme="majorBidi" w:eastAsia="Times New Roman" w:hAnsiTheme="majorBidi" w:cstheme="majorBidi"/>
          <w:b/>
          <w:bCs/>
          <w:i/>
          <w:iCs/>
        </w:rPr>
        <w:t>hu</w:t>
      </w:r>
      <w:r w:rsidRPr="003213D4">
        <w:rPr>
          <w:rFonts w:asciiTheme="majorBidi" w:eastAsia="Times New Roman" w:hAnsiTheme="majorBidi" w:cstheme="majorBidi"/>
        </w:rPr>
        <w:t xml:space="preserve"> [doute sur </w:t>
      </w:r>
      <w:r w:rsidRPr="003213D4">
        <w:rPr>
          <w:rFonts w:asciiTheme="majorBidi" w:eastAsia="Times New Roman" w:hAnsiTheme="majorBidi" w:cstheme="majorBidi"/>
          <w:i/>
          <w:iCs/>
        </w:rPr>
        <w:t>lui</w:t>
      </w:r>
      <w:r w:rsidRPr="003213D4">
        <w:rPr>
          <w:rFonts w:asciiTheme="majorBidi" w:eastAsia="Times New Roman" w:hAnsiTheme="majorBidi" w:cstheme="majorBidi"/>
        </w:rPr>
        <w:t xml:space="preserve">] (v. 55), </w:t>
      </w:r>
      <w:r w:rsidRPr="003213D4">
        <w:rPr>
          <w:rFonts w:asciiTheme="majorBidi" w:eastAsia="Times New Roman" w:hAnsiTheme="majorBidi" w:cstheme="majorBidi"/>
          <w:b/>
          <w:bCs/>
          <w:i/>
          <w:iCs/>
        </w:rPr>
        <w:t>hwa</w:t>
      </w:r>
      <w:r w:rsidRPr="003213D4">
        <w:rPr>
          <w:rFonts w:asciiTheme="majorBidi" w:eastAsia="Times New Roman" w:hAnsiTheme="majorBidi" w:cstheme="majorBidi"/>
          <w:i/>
          <w:iCs/>
        </w:rPr>
        <w:t xml:space="preserve"> sammākum</w:t>
      </w:r>
      <w:r w:rsidRPr="003213D4">
        <w:rPr>
          <w:rFonts w:asciiTheme="majorBidi" w:eastAsia="Times New Roman" w:hAnsiTheme="majorBidi" w:cstheme="majorBidi"/>
        </w:rPr>
        <w:t xml:space="preserve"> [</w:t>
      </w:r>
      <w:r w:rsidRPr="003213D4">
        <w:rPr>
          <w:rFonts w:asciiTheme="majorBidi" w:hAnsiTheme="majorBidi" w:cstheme="majorBidi"/>
          <w:i/>
          <w:iCs/>
          <w:lang w:bidi="ar-AE"/>
        </w:rPr>
        <w:t>lui</w:t>
      </w:r>
      <w:r w:rsidRPr="003213D4">
        <w:rPr>
          <w:rFonts w:asciiTheme="majorBidi" w:hAnsiTheme="majorBidi" w:cstheme="majorBidi"/>
          <w:lang w:bidi="ar-AE"/>
        </w:rPr>
        <w:t xml:space="preserve"> qui vous a nommés</w:t>
      </w:r>
      <w:r w:rsidRPr="003213D4">
        <w:rPr>
          <w:rFonts w:asciiTheme="majorBidi" w:eastAsia="Times New Roman" w:hAnsiTheme="majorBidi" w:cstheme="majorBidi"/>
        </w:rPr>
        <w:t>] (verset 78),</w:t>
      </w:r>
      <w:r w:rsidRPr="00D057A5">
        <w:rPr>
          <w:rFonts w:asciiTheme="majorBidi" w:eastAsia="Times New Roman" w:hAnsiTheme="majorBidi" w:cstheme="majorBidi"/>
          <w:i/>
          <w:iCs/>
        </w:rPr>
        <w:t xml:space="preserve"> wa-</w:t>
      </w:r>
      <w:r w:rsidRPr="003213D4">
        <w:rPr>
          <w:rFonts w:asciiTheme="majorBidi" w:eastAsia="Times New Roman" w:hAnsiTheme="majorBidi" w:cstheme="majorBidi"/>
          <w:i/>
          <w:iCs/>
        </w:rPr>
        <w:t xml:space="preserve">fī </w:t>
      </w:r>
      <w:r w:rsidRPr="003213D4">
        <w:rPr>
          <w:rFonts w:asciiTheme="majorBidi" w:eastAsia="Times New Roman" w:hAnsiTheme="majorBidi" w:cstheme="majorBidi"/>
          <w:b/>
          <w:bCs/>
          <w:i/>
          <w:iCs/>
        </w:rPr>
        <w:t>hādhā</w:t>
      </w:r>
      <w:r w:rsidRPr="003213D4">
        <w:rPr>
          <w:rFonts w:asciiTheme="majorBidi" w:eastAsia="Times New Roman" w:hAnsiTheme="majorBidi" w:cstheme="majorBidi"/>
        </w:rPr>
        <w:t xml:space="preserve"> [et dans </w:t>
      </w:r>
      <w:r w:rsidRPr="003213D4">
        <w:rPr>
          <w:rFonts w:asciiTheme="majorBidi" w:eastAsia="Times New Roman" w:hAnsiTheme="majorBidi" w:cstheme="majorBidi"/>
          <w:i/>
          <w:iCs/>
        </w:rPr>
        <w:t>ceci</w:t>
      </w:r>
      <w:r w:rsidRPr="003213D4">
        <w:rPr>
          <w:rFonts w:asciiTheme="majorBidi" w:eastAsia="Times New Roman" w:hAnsiTheme="majorBidi" w:cstheme="majorBidi"/>
        </w:rPr>
        <w:t xml:space="preserve">] (verset 78), </w:t>
      </w:r>
      <w:r w:rsidRPr="003213D4">
        <w:rPr>
          <w:rFonts w:asciiTheme="majorBidi" w:eastAsia="Times New Roman" w:hAnsiTheme="majorBidi" w:cstheme="majorBidi"/>
          <w:b/>
          <w:bCs/>
          <w:i/>
          <w:iCs/>
        </w:rPr>
        <w:t>dhālika</w:t>
      </w:r>
      <w:r w:rsidRPr="003213D4">
        <w:rPr>
          <w:rFonts w:asciiTheme="majorBidi" w:eastAsia="Times New Roman" w:hAnsiTheme="majorBidi" w:cstheme="majorBidi"/>
        </w:rPr>
        <w:t xml:space="preserve"> [</w:t>
      </w:r>
      <w:r w:rsidRPr="003213D4">
        <w:rPr>
          <w:rFonts w:asciiTheme="majorBidi" w:eastAsia="Times New Roman" w:hAnsiTheme="majorBidi" w:cstheme="majorBidi"/>
          <w:i/>
          <w:iCs/>
        </w:rPr>
        <w:t>cela</w:t>
      </w:r>
      <w:r w:rsidRPr="003213D4">
        <w:rPr>
          <w:rFonts w:asciiTheme="majorBidi" w:eastAsia="Times New Roman" w:hAnsiTheme="majorBidi" w:cstheme="majorBidi"/>
        </w:rPr>
        <w:t>/</w:t>
      </w:r>
      <w:r w:rsidRPr="003213D4">
        <w:rPr>
          <w:rFonts w:asciiTheme="majorBidi" w:eastAsia="Times New Roman" w:hAnsiTheme="majorBidi" w:cstheme="majorBidi"/>
          <w:i/>
          <w:iCs/>
        </w:rPr>
        <w:t>ainsi</w:t>
      </w:r>
      <w:r w:rsidRPr="003213D4">
        <w:rPr>
          <w:rFonts w:asciiTheme="majorBidi" w:eastAsia="Times New Roman" w:hAnsiTheme="majorBidi" w:cstheme="majorBidi"/>
        </w:rPr>
        <w:t>/</w:t>
      </w:r>
      <w:r w:rsidRPr="003213D4">
        <w:rPr>
          <w:rFonts w:asciiTheme="majorBidi" w:eastAsia="Times New Roman" w:hAnsiTheme="majorBidi" w:cstheme="majorBidi"/>
          <w:i/>
          <w:iCs/>
        </w:rPr>
        <w:t>voilà</w:t>
      </w:r>
      <w:r w:rsidRPr="003213D4">
        <w:rPr>
          <w:rFonts w:asciiTheme="majorBidi" w:eastAsia="Times New Roman" w:hAnsiTheme="majorBidi" w:cstheme="majorBidi"/>
        </w:rPr>
        <w:t>].</w:t>
      </w:r>
    </w:p>
    <w:p w14:paraId="3EF769F9" w14:textId="77777777" w:rsidR="00EB5652" w:rsidRPr="003213D4" w:rsidRDefault="00EB5652" w:rsidP="00EB5652">
      <w:pPr>
        <w:bidi/>
        <w:spacing w:line="360" w:lineRule="auto"/>
        <w:jc w:val="both"/>
        <w:rPr>
          <w:rFonts w:asciiTheme="majorBidi" w:eastAsia="Times New Roman" w:hAnsiTheme="majorBidi" w:cstheme="majorBidi"/>
          <w:rtl/>
        </w:rPr>
      </w:pPr>
    </w:p>
    <w:p w14:paraId="34A95298" w14:textId="77777777" w:rsidR="00EB5652" w:rsidRPr="003213D4"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t xml:space="preserve">L’absence de la ponctuation peut être un autre obstacle </w:t>
      </w:r>
      <w:r>
        <w:rPr>
          <w:rFonts w:asciiTheme="majorBidi" w:eastAsia="Times New Roman" w:hAnsiTheme="majorBidi" w:cstheme="majorBidi"/>
        </w:rPr>
        <w:t>à la</w:t>
      </w:r>
      <w:r w:rsidRPr="003213D4">
        <w:rPr>
          <w:rFonts w:asciiTheme="majorBidi" w:eastAsia="Times New Roman" w:hAnsiTheme="majorBidi" w:cstheme="majorBidi"/>
        </w:rPr>
        <w:t xml:space="preserve"> compréhension du Coran. On connaît bien l’exemple la confusion due à la ponctuation dans le verset III, 7 (</w:t>
      </w:r>
      <w:r w:rsidRPr="003213D4">
        <w:rPr>
          <w:rFonts w:asciiTheme="majorBidi" w:eastAsia="Times New Roman" w:hAnsiTheme="majorBidi" w:cstheme="majorBidi"/>
          <w:shd w:val="clear" w:color="auto" w:fill="FFFFFF"/>
          <w:rtl/>
        </w:rPr>
        <w:t>وما يَعْلَمُ تأويلَه إلاَّ اللهُ والراسخون في العِلمِ يقولون آمَنَّا به كُلٌّ من عِندِ ربِّنا</w:t>
      </w:r>
      <w:r w:rsidRPr="003213D4">
        <w:rPr>
          <w:rFonts w:asciiTheme="majorBidi" w:eastAsia="Times New Roman" w:hAnsiTheme="majorBidi" w:cstheme="majorBidi"/>
          <w:shd w:val="clear" w:color="auto" w:fill="FFFFFF"/>
        </w:rPr>
        <w:t> [Or, n’en connaît l’interprétation que Dieu et ceux qui sont enracinés dans la science [ils] disent : « Nous croyons en lui ; tout vient de notre Seigneur]</w:t>
      </w:r>
      <w:r w:rsidRPr="003213D4">
        <w:rPr>
          <w:rFonts w:asciiTheme="majorBidi" w:eastAsia="Times New Roman" w:hAnsiTheme="majorBidi" w:cstheme="majorBidi"/>
        </w:rPr>
        <w:t xml:space="preserve">). Deux </w:t>
      </w:r>
      <w:r>
        <w:rPr>
          <w:rFonts w:asciiTheme="majorBidi" w:eastAsia="Times New Roman" w:hAnsiTheme="majorBidi" w:cstheme="majorBidi"/>
        </w:rPr>
        <w:t>lectures s’opposent. Certains (dont</w:t>
      </w:r>
      <w:r w:rsidRPr="003213D4">
        <w:rPr>
          <w:rFonts w:asciiTheme="majorBidi" w:eastAsia="Times New Roman" w:hAnsiTheme="majorBidi" w:cstheme="majorBidi"/>
        </w:rPr>
        <w:t xml:space="preserve"> ʿĀʾisha, l’épouse du prophète</w:t>
      </w:r>
      <w:r>
        <w:rPr>
          <w:rFonts w:asciiTheme="majorBidi" w:eastAsia="Times New Roman" w:hAnsiTheme="majorBidi" w:cstheme="majorBidi"/>
        </w:rPr>
        <w:t>) arrêtent</w:t>
      </w:r>
      <w:r w:rsidRPr="003213D4">
        <w:rPr>
          <w:rFonts w:asciiTheme="majorBidi" w:eastAsia="Times New Roman" w:hAnsiTheme="majorBidi" w:cstheme="majorBidi"/>
        </w:rPr>
        <w:t xml:space="preserve"> la phrase</w:t>
      </w:r>
      <w:r>
        <w:rPr>
          <w:rFonts w:asciiTheme="majorBidi" w:eastAsia="Times New Roman" w:hAnsiTheme="majorBidi" w:cstheme="majorBidi"/>
        </w:rPr>
        <w:t xml:space="preserve"> après</w:t>
      </w:r>
      <w:r w:rsidRPr="003213D4">
        <w:rPr>
          <w:rFonts w:asciiTheme="majorBidi" w:eastAsia="Times New Roman" w:hAnsiTheme="majorBidi" w:cstheme="majorBidi"/>
        </w:rPr>
        <w:t xml:space="preserve"> « </w:t>
      </w:r>
      <w:r w:rsidRPr="003213D4">
        <w:rPr>
          <w:rFonts w:asciiTheme="majorBidi" w:eastAsia="Times New Roman" w:hAnsiTheme="majorBidi" w:cstheme="majorBidi"/>
          <w:shd w:val="clear" w:color="auto" w:fill="FFFFFF"/>
        </w:rPr>
        <w:t xml:space="preserve">n’en connaît l’interprétation que Dieu », et reprennent ensuite une nouvelle phrase </w:t>
      </w:r>
      <w:r>
        <w:rPr>
          <w:rFonts w:asciiTheme="majorBidi" w:eastAsia="Times New Roman" w:hAnsiTheme="majorBidi" w:cstheme="majorBidi"/>
          <w:shd w:val="clear" w:color="auto" w:fill="FFFFFF"/>
        </w:rPr>
        <w:t>(</w:t>
      </w:r>
      <w:r w:rsidRPr="003213D4">
        <w:rPr>
          <w:rFonts w:asciiTheme="majorBidi" w:eastAsia="Times New Roman" w:hAnsiTheme="majorBidi" w:cstheme="majorBidi"/>
        </w:rPr>
        <w:t>« </w:t>
      </w:r>
      <w:r w:rsidRPr="003213D4">
        <w:rPr>
          <w:rFonts w:asciiTheme="majorBidi" w:eastAsia="Times New Roman" w:hAnsiTheme="majorBidi" w:cstheme="majorBidi"/>
          <w:shd w:val="clear" w:color="auto" w:fill="FFFFFF"/>
        </w:rPr>
        <w:t>Ceux qui sont enr</w:t>
      </w:r>
      <w:r>
        <w:rPr>
          <w:rFonts w:asciiTheme="majorBidi" w:eastAsia="Times New Roman" w:hAnsiTheme="majorBidi" w:cstheme="majorBidi"/>
          <w:shd w:val="clear" w:color="auto" w:fill="FFFFFF"/>
        </w:rPr>
        <w:t>acinés dans la science disent</w:t>
      </w:r>
      <w:r w:rsidRPr="003213D4">
        <w:rPr>
          <w:rFonts w:asciiTheme="majorBidi" w:eastAsia="Times New Roman" w:hAnsiTheme="majorBidi" w:cstheme="majorBidi"/>
          <w:shd w:val="clear" w:color="auto" w:fill="FFFFFF"/>
        </w:rPr>
        <w:t>…</w:t>
      </w:r>
      <w:r>
        <w:rPr>
          <w:rFonts w:asciiTheme="majorBidi" w:eastAsia="Times New Roman" w:hAnsiTheme="majorBidi" w:cstheme="majorBidi"/>
        </w:rPr>
        <w:t> »).</w:t>
      </w:r>
      <w:r w:rsidRPr="003213D4">
        <w:rPr>
          <w:rFonts w:asciiTheme="majorBidi" w:eastAsia="Times New Roman" w:hAnsiTheme="majorBidi" w:cstheme="majorBidi"/>
        </w:rPr>
        <w:t xml:space="preserve"> D’autres lisent le verset ainsi : « </w:t>
      </w:r>
      <w:r w:rsidRPr="003213D4">
        <w:rPr>
          <w:rFonts w:asciiTheme="majorBidi" w:eastAsia="Times New Roman" w:hAnsiTheme="majorBidi" w:cstheme="majorBidi"/>
          <w:shd w:val="clear" w:color="auto" w:fill="FFFFFF"/>
        </w:rPr>
        <w:t>n’en connaît l’interprétation que Dieu et ceux qui sont enracinés dan</w:t>
      </w:r>
      <w:r>
        <w:rPr>
          <w:rFonts w:asciiTheme="majorBidi" w:eastAsia="Times New Roman" w:hAnsiTheme="majorBidi" w:cstheme="majorBidi"/>
          <w:shd w:val="clear" w:color="auto" w:fill="FFFFFF"/>
        </w:rPr>
        <w:t>s la science ; ils disent : … »</w:t>
      </w:r>
      <w:r w:rsidRPr="003213D4">
        <w:rPr>
          <w:rFonts w:asciiTheme="majorBidi" w:eastAsia="Times New Roman" w:hAnsiTheme="majorBidi" w:cstheme="majorBidi"/>
          <w:shd w:val="clear" w:color="auto" w:fill="FFFFFF"/>
        </w:rPr>
        <w:t xml:space="preserve"> </w:t>
      </w:r>
      <w:r>
        <w:rPr>
          <w:rFonts w:asciiTheme="majorBidi" w:eastAsia="Times New Roman" w:hAnsiTheme="majorBidi" w:cstheme="majorBidi"/>
          <w:shd w:val="clear" w:color="auto" w:fill="FFFFFF"/>
        </w:rPr>
        <w:t>(notamment</w:t>
      </w:r>
      <w:r w:rsidRPr="003213D4">
        <w:rPr>
          <w:rFonts w:asciiTheme="majorBidi" w:eastAsia="Times New Roman" w:hAnsiTheme="majorBidi" w:cstheme="majorBidi"/>
          <w:shd w:val="clear" w:color="auto" w:fill="FFFFFF"/>
        </w:rPr>
        <w:t xml:space="preserve"> </w:t>
      </w:r>
      <w:r w:rsidRPr="003213D4">
        <w:rPr>
          <w:rFonts w:asciiTheme="majorBidi" w:eastAsia="Times New Roman" w:hAnsiTheme="majorBidi" w:cstheme="majorBidi"/>
        </w:rPr>
        <w:lastRenderedPageBreak/>
        <w:t>Ibn ʿAbbās (m. 687),</w:t>
      </w:r>
      <w:r>
        <w:rPr>
          <w:rFonts w:asciiTheme="majorBidi" w:eastAsia="Times New Roman" w:hAnsiTheme="majorBidi" w:cstheme="majorBidi"/>
        </w:rPr>
        <w:t xml:space="preserve"> qui d’après Aṭ-Ṭabarī</w:t>
      </w:r>
      <w:r w:rsidRPr="003213D4">
        <w:rPr>
          <w:rFonts w:asciiTheme="majorBidi" w:eastAsia="Times New Roman" w:hAnsiTheme="majorBidi" w:cstheme="majorBidi"/>
        </w:rPr>
        <w:t xml:space="preserve"> affirmait : « Je suis de ceux qui en</w:t>
      </w:r>
      <w:r>
        <w:rPr>
          <w:rFonts w:asciiTheme="majorBidi" w:eastAsia="Times New Roman" w:hAnsiTheme="majorBidi" w:cstheme="majorBidi"/>
        </w:rPr>
        <w:t xml:space="preserve"> connaissent l’interprétation », et les chiites</w:t>
      </w:r>
      <w:r w:rsidRPr="003213D4">
        <w:rPr>
          <w:rFonts w:asciiTheme="majorBidi" w:eastAsia="Times New Roman" w:hAnsiTheme="majorBidi" w:cstheme="majorBidi"/>
          <w:vertAlign w:val="superscript"/>
          <w:lang w:bidi="ar-AE"/>
        </w:rPr>
        <w:footnoteReference w:id="109"/>
      </w:r>
      <w:r>
        <w:rPr>
          <w:rFonts w:asciiTheme="majorBidi" w:eastAsia="Times New Roman" w:hAnsiTheme="majorBidi" w:cstheme="majorBidi"/>
        </w:rPr>
        <w:t>).</w:t>
      </w:r>
    </w:p>
    <w:p w14:paraId="5ED26297" w14:textId="77777777" w:rsidR="00EB5652" w:rsidRPr="003213D4" w:rsidRDefault="00EB5652" w:rsidP="00EB5652">
      <w:pPr>
        <w:spacing w:line="360" w:lineRule="auto"/>
        <w:jc w:val="both"/>
        <w:rPr>
          <w:rFonts w:asciiTheme="majorBidi" w:eastAsia="Times New Roman" w:hAnsiTheme="majorBidi" w:cstheme="majorBidi"/>
        </w:rPr>
      </w:pPr>
    </w:p>
    <w:p w14:paraId="481D1EBC" w14:textId="77777777" w:rsidR="00EB5652" w:rsidRPr="003213D4"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t xml:space="preserve">Il existe dans la sourate une difficulté de compréhension des mots, surtout les </w:t>
      </w:r>
      <w:r w:rsidRPr="003213D4">
        <w:rPr>
          <w:rFonts w:asciiTheme="majorBidi" w:eastAsia="Times New Roman" w:hAnsiTheme="majorBidi" w:cstheme="majorBidi"/>
          <w:i/>
          <w:iCs/>
        </w:rPr>
        <w:t>hapax legomenon</w:t>
      </w:r>
      <w:r w:rsidRPr="003213D4">
        <w:rPr>
          <w:rFonts w:asciiTheme="majorBidi" w:eastAsia="Times New Roman" w:hAnsiTheme="majorBidi" w:cstheme="majorBidi"/>
        </w:rPr>
        <w:t xml:space="preserve"> comme le mot </w:t>
      </w:r>
      <w:r w:rsidRPr="003213D4">
        <w:rPr>
          <w:rFonts w:asciiTheme="majorBidi" w:eastAsia="Times New Roman" w:hAnsiTheme="majorBidi" w:cstheme="majorBidi"/>
          <w:i/>
          <w:iCs/>
        </w:rPr>
        <w:t>tafath</w:t>
      </w:r>
      <w:r w:rsidRPr="003213D4">
        <w:rPr>
          <w:rFonts w:asciiTheme="majorBidi" w:eastAsia="Times New Roman" w:hAnsiTheme="majorBidi" w:cstheme="majorBidi"/>
        </w:rPr>
        <w:t xml:space="preserve"> (v. 29), ainsi que les mots génériques, comme </w:t>
      </w:r>
      <w:r w:rsidRPr="003213D4">
        <w:rPr>
          <w:rFonts w:asciiTheme="majorBidi" w:eastAsia="Times New Roman" w:hAnsiTheme="majorBidi" w:cstheme="majorBidi"/>
          <w:i/>
          <w:iCs/>
        </w:rPr>
        <w:t>mawlā</w:t>
      </w:r>
      <w:r w:rsidRPr="003213D4">
        <w:rPr>
          <w:rFonts w:asciiTheme="majorBidi" w:eastAsia="Times New Roman" w:hAnsiTheme="majorBidi" w:cstheme="majorBidi"/>
        </w:rPr>
        <w:t xml:space="preserve"> [maître/seigneur/allié/esclave/auxiliaire] et </w:t>
      </w:r>
      <w:r w:rsidRPr="003213D4">
        <w:rPr>
          <w:rFonts w:asciiTheme="majorBidi" w:eastAsia="Times New Roman" w:hAnsiTheme="majorBidi" w:cstheme="majorBidi"/>
          <w:i/>
          <w:iCs/>
        </w:rPr>
        <w:t>ʿashīr</w:t>
      </w:r>
      <w:r w:rsidRPr="003213D4">
        <w:rPr>
          <w:rFonts w:asciiTheme="majorBidi" w:eastAsia="Times New Roman" w:hAnsiTheme="majorBidi" w:cstheme="majorBidi"/>
        </w:rPr>
        <w:t xml:space="preserve"> [compagnon/familier/ami/époux] (v. 13 et 78).</w:t>
      </w:r>
    </w:p>
    <w:p w14:paraId="2030F102" w14:textId="77777777" w:rsidR="00EB5652" w:rsidRPr="003213D4" w:rsidRDefault="00EB5652" w:rsidP="00EB5652">
      <w:pPr>
        <w:spacing w:line="360" w:lineRule="auto"/>
        <w:jc w:val="both"/>
        <w:rPr>
          <w:rFonts w:asciiTheme="majorBidi" w:eastAsia="Times New Roman" w:hAnsiTheme="majorBidi" w:cstheme="majorBidi"/>
        </w:rPr>
      </w:pPr>
    </w:p>
    <w:p w14:paraId="109AA3FC" w14:textId="77777777" w:rsidR="00EB5652" w:rsidRPr="003213D4"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t>Les paraboles qui sont censé</w:t>
      </w:r>
      <w:r>
        <w:rPr>
          <w:rFonts w:asciiTheme="majorBidi" w:eastAsia="Times New Roman" w:hAnsiTheme="majorBidi" w:cstheme="majorBidi"/>
        </w:rPr>
        <w:t xml:space="preserve">es </w:t>
      </w:r>
      <w:r w:rsidRPr="003213D4">
        <w:rPr>
          <w:rFonts w:asciiTheme="majorBidi" w:eastAsia="Times New Roman" w:hAnsiTheme="majorBidi" w:cstheme="majorBidi"/>
        </w:rPr>
        <w:t>éclaircir le texte créent aussi une difficulté de compréhension. Dans le verset 5, à propos de la parabole de la renaissance de la terre pour expliquer la notion d’</w:t>
      </w:r>
      <w:r w:rsidRPr="003213D4">
        <w:rPr>
          <w:rFonts w:asciiTheme="majorBidi" w:eastAsia="Times New Roman" w:hAnsiTheme="majorBidi" w:cstheme="majorBidi"/>
          <w:i/>
          <w:iCs/>
        </w:rPr>
        <w:t>al-baʿth</w:t>
      </w:r>
      <w:r w:rsidRPr="003213D4">
        <w:rPr>
          <w:rFonts w:asciiTheme="majorBidi" w:eastAsia="Times New Roman" w:hAnsiTheme="majorBidi" w:cstheme="majorBidi"/>
        </w:rPr>
        <w:t xml:space="preserve"> [renaissance/résurrection], les musulmans orthodoxes comprennent qu’il s’agit du jour du Jugement dernier alors que les musulmans hétérodoxes comprennent qu’il s’agit de la réincarnation. La parabole dans le verset 31 est équivoque (« celui qui associe à Dieu c’est comme s’il dégringolait du ciel, et qu'alors un oiseau le happe ou que le vent l’abîme en un lieu perdu »).</w:t>
      </w:r>
    </w:p>
    <w:p w14:paraId="1791AE40" w14:textId="77777777" w:rsidR="00EB5652" w:rsidRPr="003213D4" w:rsidRDefault="00EB5652" w:rsidP="00EB5652">
      <w:pPr>
        <w:spacing w:line="360" w:lineRule="auto"/>
        <w:jc w:val="both"/>
        <w:rPr>
          <w:rFonts w:asciiTheme="majorBidi" w:eastAsia="Times New Roman" w:hAnsiTheme="majorBidi" w:cstheme="majorBidi"/>
        </w:rPr>
      </w:pPr>
    </w:p>
    <w:p w14:paraId="4AD68D77" w14:textId="77777777" w:rsidR="00EB5652" w:rsidRPr="00D554CA" w:rsidRDefault="00EB5652" w:rsidP="00EB5652">
      <w:pPr>
        <w:spacing w:line="360" w:lineRule="auto"/>
        <w:ind w:firstLine="708"/>
        <w:jc w:val="both"/>
        <w:rPr>
          <w:rFonts w:asciiTheme="majorBidi" w:eastAsia="Times New Roman" w:hAnsiTheme="majorBidi" w:cstheme="majorBidi"/>
        </w:rPr>
      </w:pPr>
      <w:r w:rsidRPr="00D554CA">
        <w:rPr>
          <w:rFonts w:asciiTheme="majorBidi" w:eastAsia="Times New Roman" w:hAnsiTheme="majorBidi" w:cstheme="majorBidi"/>
        </w:rPr>
        <w:t xml:space="preserve">L’incohérence thématique à l’intérieur du même verset et entre les versets de la même sourate crée une difficulté de compréhension de l’enchaînement des idées et de l’ordre chronologique des événements. Les traducteurs en français ajoutent d’habitude des connecteurs logiques pour rendre la traduction compréhensible. Berque ajoute par exemple le connecteur </w:t>
      </w:r>
      <w:r w:rsidRPr="00D554CA">
        <w:rPr>
          <w:rFonts w:asciiTheme="majorBidi" w:hAnsiTheme="majorBidi" w:cstheme="majorBidi"/>
          <w:lang w:bidi="ar-AE"/>
        </w:rPr>
        <w:t>« </w:t>
      </w:r>
      <w:r w:rsidRPr="00D554CA">
        <w:rPr>
          <w:rFonts w:asciiTheme="majorBidi" w:hAnsiTheme="majorBidi" w:cstheme="majorBidi"/>
          <w:i/>
          <w:iCs/>
          <w:lang w:bidi="ar-AE"/>
        </w:rPr>
        <w:t>Tandis que </w:t>
      </w:r>
      <w:r w:rsidRPr="00D554CA">
        <w:rPr>
          <w:rFonts w:asciiTheme="majorBidi" w:hAnsiTheme="majorBidi" w:cstheme="majorBidi"/>
          <w:lang w:bidi="ar-AE"/>
        </w:rPr>
        <w:t>»</w:t>
      </w:r>
      <w:r w:rsidRPr="00D554CA">
        <w:rPr>
          <w:rFonts w:asciiTheme="majorBidi" w:eastAsia="Times New Roman" w:hAnsiTheme="majorBidi" w:cstheme="majorBidi"/>
        </w:rPr>
        <w:t xml:space="preserve"> à la traduction du verset 14 pour le relier au verset précédent. Cette incohérence est fréquente dans tout le Coran. Par exemple, dans la sourate </w:t>
      </w:r>
      <w:r w:rsidRPr="00D554CA">
        <w:rPr>
          <w:rFonts w:asciiTheme="majorBidi" w:eastAsia="Times New Roman" w:hAnsiTheme="majorBidi" w:cstheme="majorBidi"/>
          <w:i/>
        </w:rPr>
        <w:t>Al-Ḥajj</w:t>
      </w:r>
      <w:r w:rsidRPr="00D554CA">
        <w:rPr>
          <w:rFonts w:asciiTheme="majorBidi" w:eastAsia="Times New Roman" w:hAnsiTheme="majorBidi" w:cstheme="majorBidi"/>
        </w:rPr>
        <w:t xml:space="preserve">, on ne trouve pas de cohérence entre le début du verset 5, où il est question des étapes de la création et de la vie de l’homme (en utilisant le pronom de la deuxième personne du pluriel « vous »), et la suite, qui passe brusquement à la renaissance de la terre inerte grâce à la pluie (en utilisant le pronom de la deuxième personne du singulier « tu »). Dans le Coran, il semble que la seule sourate plus ou moins cohérente est celle de </w:t>
      </w:r>
      <w:r w:rsidRPr="00D554CA">
        <w:rPr>
          <w:rFonts w:asciiTheme="majorBidi" w:eastAsia="Times New Roman" w:hAnsiTheme="majorBidi" w:cstheme="majorBidi"/>
          <w:i/>
          <w:iCs/>
        </w:rPr>
        <w:t>Yūsuf</w:t>
      </w:r>
      <w:r w:rsidRPr="00D554CA">
        <w:rPr>
          <w:rFonts w:asciiTheme="majorBidi" w:eastAsia="Times New Roman" w:hAnsiTheme="majorBidi" w:cstheme="majorBidi"/>
        </w:rPr>
        <w:t xml:space="preserve"> [Joseph] (n° 12).</w:t>
      </w:r>
    </w:p>
    <w:p w14:paraId="23FDDB42" w14:textId="77777777" w:rsidR="00EB5652" w:rsidRPr="003213D4" w:rsidRDefault="00EB5652" w:rsidP="00EB5652">
      <w:pPr>
        <w:spacing w:line="360" w:lineRule="auto"/>
        <w:jc w:val="both"/>
        <w:rPr>
          <w:rFonts w:asciiTheme="majorBidi" w:eastAsia="Times New Roman" w:hAnsiTheme="majorBidi" w:cstheme="majorBidi"/>
        </w:rPr>
      </w:pPr>
    </w:p>
    <w:p w14:paraId="5CD14253" w14:textId="77777777" w:rsidR="00EB5652" w:rsidRPr="003213D4"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lastRenderedPageBreak/>
        <w:t xml:space="preserve">Les vides ou les blancs dans le texte constituent également une grande difficulté de compréhension. Par exemple, l’absence du COD des verbes tels que </w:t>
      </w:r>
      <w:r w:rsidRPr="003213D4">
        <w:rPr>
          <w:rFonts w:asciiTheme="majorBidi" w:eastAsia="Times New Roman" w:hAnsiTheme="majorBidi" w:cstheme="majorBidi"/>
          <w:i/>
          <w:iCs/>
        </w:rPr>
        <w:t>li-nubayyina la</w:t>
      </w:r>
      <w:r>
        <w:rPr>
          <w:rFonts w:asciiTheme="majorBidi" w:eastAsia="Times New Roman" w:hAnsiTheme="majorBidi" w:cstheme="majorBidi"/>
          <w:i/>
          <w:iCs/>
        </w:rPr>
        <w:t>-</w:t>
      </w:r>
      <w:r w:rsidRPr="003213D4">
        <w:rPr>
          <w:rFonts w:asciiTheme="majorBidi" w:eastAsia="Times New Roman" w:hAnsiTheme="majorBidi" w:cstheme="majorBidi"/>
          <w:i/>
          <w:iCs/>
        </w:rPr>
        <w:t>kum</w:t>
      </w:r>
      <w:r w:rsidRPr="003213D4">
        <w:rPr>
          <w:rFonts w:asciiTheme="majorBidi" w:eastAsia="Times New Roman" w:hAnsiTheme="majorBidi" w:cstheme="majorBidi"/>
        </w:rPr>
        <w:t xml:space="preserve"> [</w:t>
      </w:r>
      <w:r w:rsidRPr="003213D4">
        <w:rPr>
          <w:rFonts w:asciiTheme="majorBidi" w:hAnsiTheme="majorBidi" w:cstheme="majorBidi"/>
          <w:lang w:bidi="ar-AE"/>
        </w:rPr>
        <w:t>pour vous démontrer</w:t>
      </w:r>
      <w:r w:rsidRPr="003213D4">
        <w:rPr>
          <w:rFonts w:asciiTheme="majorBidi" w:eastAsia="Times New Roman" w:hAnsiTheme="majorBidi" w:cstheme="majorBidi"/>
        </w:rPr>
        <w:t xml:space="preserve"> (quoi ?)] (v. 5) et </w:t>
      </w:r>
      <w:r w:rsidRPr="003213D4">
        <w:rPr>
          <w:rFonts w:asciiTheme="majorBidi" w:eastAsia="Times New Roman" w:hAnsiTheme="majorBidi" w:cstheme="majorBidi"/>
          <w:i/>
          <w:iCs/>
        </w:rPr>
        <w:t>li-yaqṭaʿ</w:t>
      </w:r>
      <w:r w:rsidRPr="003213D4">
        <w:rPr>
          <w:rFonts w:asciiTheme="majorBidi" w:eastAsia="Times New Roman" w:hAnsiTheme="majorBidi" w:cstheme="majorBidi"/>
        </w:rPr>
        <w:t xml:space="preserve"> (</w:t>
      </w:r>
      <w:r w:rsidRPr="003213D4">
        <w:rPr>
          <w:rFonts w:asciiTheme="majorBidi" w:eastAsia="Times New Roman" w:hAnsiTheme="majorBidi" w:cstheme="majorBidi"/>
          <w:shd w:val="clear" w:color="auto" w:fill="FFFFFF"/>
        </w:rPr>
        <w:t>Φ</w:t>
      </w:r>
      <w:r w:rsidRPr="003213D4">
        <w:rPr>
          <w:rFonts w:asciiTheme="majorBidi" w:eastAsia="Times New Roman" w:hAnsiTheme="majorBidi" w:cstheme="majorBidi"/>
        </w:rPr>
        <w:t>) [pour qu’il coupe (</w:t>
      </w:r>
      <w:r w:rsidRPr="003213D4">
        <w:rPr>
          <w:rFonts w:asciiTheme="majorBidi" w:eastAsia="Times New Roman" w:hAnsiTheme="majorBidi" w:cstheme="majorBidi"/>
          <w:shd w:val="clear" w:color="auto" w:fill="FFFFFF"/>
        </w:rPr>
        <w:t>Φ</w:t>
      </w:r>
      <w:r w:rsidRPr="003213D4">
        <w:rPr>
          <w:rFonts w:asciiTheme="majorBidi" w:eastAsia="Times New Roman" w:hAnsiTheme="majorBidi" w:cstheme="majorBidi"/>
        </w:rPr>
        <w:t>) (quoi ?)] (v. 15).</w:t>
      </w:r>
    </w:p>
    <w:p w14:paraId="62EA51B4" w14:textId="77777777" w:rsidR="00EB5652" w:rsidRPr="003213D4" w:rsidRDefault="00EB5652" w:rsidP="00EB5652">
      <w:pPr>
        <w:spacing w:line="360" w:lineRule="auto"/>
        <w:jc w:val="both"/>
        <w:rPr>
          <w:rFonts w:asciiTheme="majorBidi" w:eastAsia="Times New Roman" w:hAnsiTheme="majorBidi" w:cstheme="majorBidi"/>
        </w:rPr>
      </w:pPr>
    </w:p>
    <w:p w14:paraId="524D4147" w14:textId="77777777" w:rsidR="00EB5652" w:rsidRPr="003213D4"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t>Il semble que l’un des objectifs de l’exégèse est de combler ces vides et de résoudre les incohérences les contradictions.</w:t>
      </w:r>
    </w:p>
    <w:p w14:paraId="78CE274B" w14:textId="77777777" w:rsidR="00EB5652" w:rsidRPr="003213D4" w:rsidRDefault="00EB5652" w:rsidP="00EB5652">
      <w:pPr>
        <w:spacing w:line="360" w:lineRule="auto"/>
        <w:jc w:val="both"/>
        <w:rPr>
          <w:rFonts w:asciiTheme="majorBidi" w:eastAsia="Times New Roman" w:hAnsiTheme="majorBidi" w:cstheme="majorBidi"/>
        </w:rPr>
      </w:pPr>
    </w:p>
    <w:p w14:paraId="17C654AC" w14:textId="77777777" w:rsidR="00EB5652" w:rsidRPr="00D554CA" w:rsidRDefault="00EB5652" w:rsidP="00EB5652">
      <w:pPr>
        <w:spacing w:line="360" w:lineRule="auto"/>
        <w:ind w:firstLine="708"/>
        <w:jc w:val="both"/>
        <w:rPr>
          <w:rFonts w:asciiTheme="majorBidi" w:eastAsia="Times New Roman" w:hAnsiTheme="majorBidi" w:cstheme="majorBidi"/>
        </w:rPr>
      </w:pPr>
      <w:r w:rsidRPr="003213D4">
        <w:rPr>
          <w:rFonts w:asciiTheme="majorBidi" w:eastAsia="Times New Roman" w:hAnsiTheme="majorBidi" w:cstheme="majorBidi"/>
        </w:rPr>
        <w:t xml:space="preserve">La contradiction entre les versets coraniques pose un grand problème de compréhension aussi bien pour </w:t>
      </w:r>
      <w:r>
        <w:rPr>
          <w:rFonts w:asciiTheme="majorBidi" w:eastAsia="Times New Roman" w:hAnsiTheme="majorBidi" w:cstheme="majorBidi"/>
        </w:rPr>
        <w:t>le</w:t>
      </w:r>
      <w:r w:rsidRPr="003213D4">
        <w:rPr>
          <w:rFonts w:asciiTheme="majorBidi" w:eastAsia="Times New Roman" w:hAnsiTheme="majorBidi" w:cstheme="majorBidi"/>
        </w:rPr>
        <w:t xml:space="preserve"> simple lecteur que pour </w:t>
      </w:r>
      <w:r>
        <w:rPr>
          <w:rFonts w:asciiTheme="majorBidi" w:eastAsia="Times New Roman" w:hAnsiTheme="majorBidi" w:cstheme="majorBidi"/>
        </w:rPr>
        <w:t>le théologien ou le</w:t>
      </w:r>
      <w:r w:rsidRPr="003213D4">
        <w:rPr>
          <w:rFonts w:asciiTheme="majorBidi" w:eastAsia="Times New Roman" w:hAnsiTheme="majorBidi" w:cstheme="majorBidi"/>
        </w:rPr>
        <w:t xml:space="preserve"> chercheur. Ce thème préoccupe énormément les musulmans à tel point qu’il suffit de taper le mot </w:t>
      </w:r>
      <w:r w:rsidRPr="003213D4">
        <w:rPr>
          <w:rFonts w:asciiTheme="majorBidi" w:eastAsia="Times New Roman" w:hAnsiTheme="majorBidi" w:cstheme="majorBidi"/>
          <w:rtl/>
          <w:lang w:bidi="ar-KW"/>
        </w:rPr>
        <w:t xml:space="preserve">تناقض </w:t>
      </w:r>
      <w:r w:rsidRPr="003213D4">
        <w:rPr>
          <w:rFonts w:asciiTheme="majorBidi" w:eastAsia="Times New Roman" w:hAnsiTheme="majorBidi" w:cstheme="majorBidi"/>
          <w:lang w:bidi="ar-KW"/>
        </w:rPr>
        <w:t xml:space="preserve"> (</w:t>
      </w:r>
      <w:r w:rsidRPr="003213D4">
        <w:rPr>
          <w:rFonts w:asciiTheme="majorBidi" w:eastAsia="Times New Roman" w:hAnsiTheme="majorBidi" w:cstheme="majorBidi"/>
          <w:i/>
          <w:iCs/>
          <w:lang w:bidi="ar-KW"/>
        </w:rPr>
        <w:t>tanāquḍ</w:t>
      </w:r>
      <w:r w:rsidRPr="003213D4">
        <w:rPr>
          <w:rFonts w:asciiTheme="majorBidi" w:eastAsia="Times New Roman" w:hAnsiTheme="majorBidi" w:cstheme="majorBidi"/>
          <w:lang w:bidi="ar-KW"/>
        </w:rPr>
        <w:t xml:space="preserve">, contradiction) sur le moteur de recherche Google </w:t>
      </w:r>
      <w:r w:rsidRPr="003213D4">
        <w:rPr>
          <w:rFonts w:asciiTheme="majorBidi" w:eastAsia="Times New Roman" w:hAnsiTheme="majorBidi" w:cstheme="majorBidi"/>
        </w:rPr>
        <w:t>pour que ce dernier vous propose comme un premier résultat : « </w:t>
      </w:r>
      <w:r w:rsidRPr="003213D4">
        <w:rPr>
          <w:rFonts w:asciiTheme="majorBidi" w:eastAsia="Times New Roman" w:hAnsiTheme="majorBidi" w:cstheme="majorBidi"/>
          <w:rtl/>
          <w:lang w:bidi="ar-KW"/>
        </w:rPr>
        <w:t>تناقض القرآن</w:t>
      </w:r>
      <w:r w:rsidRPr="003213D4">
        <w:rPr>
          <w:rFonts w:asciiTheme="majorBidi" w:eastAsia="Times New Roman" w:hAnsiTheme="majorBidi" w:cstheme="majorBidi"/>
          <w:lang w:bidi="ar-KW"/>
        </w:rPr>
        <w:t> »</w:t>
      </w:r>
      <w:r w:rsidRPr="003213D4">
        <w:rPr>
          <w:rFonts w:asciiTheme="majorBidi" w:eastAsia="Times New Roman" w:hAnsiTheme="majorBidi" w:cstheme="majorBidi"/>
        </w:rPr>
        <w:t xml:space="preserve"> (« </w:t>
      </w:r>
      <w:r w:rsidRPr="003213D4">
        <w:rPr>
          <w:rFonts w:asciiTheme="majorBidi" w:eastAsia="Times New Roman" w:hAnsiTheme="majorBidi" w:cstheme="majorBidi"/>
          <w:i/>
          <w:iCs/>
          <w:lang w:bidi="ar-KW"/>
        </w:rPr>
        <w:t>tanāquḍ al-qurʾān</w:t>
      </w:r>
      <w:r w:rsidRPr="003213D4">
        <w:rPr>
          <w:rFonts w:asciiTheme="majorBidi" w:eastAsia="Times New Roman" w:hAnsiTheme="majorBidi" w:cstheme="majorBidi"/>
          <w:lang w:bidi="ar-KW"/>
        </w:rPr>
        <w:t> »</w:t>
      </w:r>
      <w:r w:rsidRPr="003213D4">
        <w:rPr>
          <w:rFonts w:asciiTheme="majorBidi" w:eastAsia="Times New Roman" w:hAnsiTheme="majorBidi" w:cstheme="majorBidi"/>
        </w:rPr>
        <w:t>, la contradiction du Coran). La réfutation de la contradiction du Coran a fait couler beaucoup d’encre. À titre d’exemple, le théologi</w:t>
      </w:r>
      <w:r>
        <w:rPr>
          <w:rFonts w:asciiTheme="majorBidi" w:eastAsia="Times New Roman" w:hAnsiTheme="majorBidi" w:cstheme="majorBidi"/>
        </w:rPr>
        <w:t xml:space="preserve">en égyptien </w:t>
      </w:r>
      <w:r w:rsidRPr="00D554CA">
        <w:rPr>
          <w:rFonts w:asciiTheme="majorBidi" w:eastAsia="Times New Roman" w:hAnsiTheme="majorBidi" w:cstheme="majorBidi"/>
        </w:rPr>
        <w:t xml:space="preserve">Muḥammad ʿImāra a consacré un ouvrage intitulé </w:t>
      </w:r>
      <w:r w:rsidRPr="00D554CA">
        <w:rPr>
          <w:rFonts w:asciiTheme="majorBidi" w:eastAsia="Times New Roman" w:hAnsiTheme="majorBidi" w:cstheme="majorBidi"/>
          <w:i/>
          <w:iCs/>
        </w:rPr>
        <w:t>Shubuhāt ḥawla al-qurʾān al-karīm</w:t>
      </w:r>
      <w:r w:rsidRPr="00D554CA">
        <w:rPr>
          <w:rFonts w:asciiTheme="majorBidi" w:eastAsia="Times New Roman" w:hAnsiTheme="majorBidi" w:cstheme="majorBidi"/>
        </w:rPr>
        <w:t xml:space="preserve"> [</w:t>
      </w:r>
      <w:r w:rsidRPr="00D554CA">
        <w:rPr>
          <w:rFonts w:asciiTheme="majorBidi" w:eastAsia="Times New Roman" w:hAnsiTheme="majorBidi" w:cstheme="majorBidi"/>
          <w:i/>
          <w:iCs/>
        </w:rPr>
        <w:t>Des soupçons autour du noble Coran</w:t>
      </w:r>
      <w:r w:rsidRPr="00D554CA">
        <w:rPr>
          <w:rFonts w:asciiTheme="majorBidi" w:eastAsia="Times New Roman" w:hAnsiTheme="majorBidi" w:cstheme="majorBidi"/>
        </w:rPr>
        <w:t>]</w:t>
      </w:r>
      <w:r w:rsidRPr="00D554CA">
        <w:rPr>
          <w:rStyle w:val="Appelnotedebasdep"/>
        </w:rPr>
        <w:footnoteReference w:id="110"/>
      </w:r>
      <w:r w:rsidRPr="00D554CA">
        <w:rPr>
          <w:rFonts w:asciiTheme="majorBidi" w:eastAsia="Times New Roman" w:hAnsiTheme="majorBidi" w:cstheme="majorBidi"/>
        </w:rPr>
        <w:t xml:space="preserve"> pour réfuter cette contradiction. Un ensemble de 24 volumes intitulé </w:t>
      </w:r>
      <w:r w:rsidRPr="00D554CA">
        <w:rPr>
          <w:rFonts w:asciiTheme="majorBidi" w:eastAsia="Times New Roman" w:hAnsiTheme="majorBidi" w:cstheme="majorBidi"/>
          <w:i/>
          <w:iCs/>
        </w:rPr>
        <w:t>Mawsūʿat bayān al-islām. Ar-radd ʿalā l-iftirāʾāt wa-sh-shubuhāt</w:t>
      </w:r>
      <w:r w:rsidRPr="00D554CA">
        <w:rPr>
          <w:rFonts w:asciiTheme="majorBidi" w:eastAsia="Times New Roman" w:hAnsiTheme="majorBidi" w:cstheme="majorBidi"/>
        </w:rPr>
        <w:t xml:space="preserve"> [</w:t>
      </w:r>
      <w:r w:rsidRPr="00D554CA">
        <w:rPr>
          <w:rFonts w:asciiTheme="majorBidi" w:eastAsia="Times New Roman" w:hAnsiTheme="majorBidi" w:cstheme="majorBidi"/>
          <w:i/>
          <w:iCs/>
        </w:rPr>
        <w:t>Encyclopédie de l’explication de l’islam. La réfutation des diffamations et des soupçons</w:t>
      </w:r>
      <w:r w:rsidRPr="00D554CA">
        <w:rPr>
          <w:rFonts w:asciiTheme="majorBidi" w:eastAsia="Times New Roman" w:hAnsiTheme="majorBidi" w:cstheme="majorBidi"/>
        </w:rPr>
        <w:t>]</w:t>
      </w:r>
      <w:r w:rsidRPr="00D554CA">
        <w:rPr>
          <w:rStyle w:val="Appelnotedebasdep"/>
        </w:rPr>
        <w:footnoteReference w:id="111"/>
      </w:r>
      <w:r w:rsidRPr="00D554CA">
        <w:rPr>
          <w:rFonts w:asciiTheme="majorBidi" w:eastAsia="Times New Roman" w:hAnsiTheme="majorBidi" w:cstheme="majorBidi"/>
        </w:rPr>
        <w:t xml:space="preserve"> a été écrite par 200 théologiens pour réfuter plus de 1 200 </w:t>
      </w:r>
      <w:r w:rsidRPr="00D554CA">
        <w:rPr>
          <w:rFonts w:asciiTheme="majorBidi" w:eastAsia="Times New Roman" w:hAnsiTheme="majorBidi" w:cstheme="majorBidi"/>
          <w:i/>
          <w:iCs/>
        </w:rPr>
        <w:t>shubha</w:t>
      </w:r>
      <w:r w:rsidRPr="00D554CA">
        <w:rPr>
          <w:rFonts w:asciiTheme="majorBidi" w:eastAsia="Times New Roman" w:hAnsiTheme="majorBidi" w:cstheme="majorBidi"/>
        </w:rPr>
        <w:t xml:space="preserve"> dont le plus important est la contradiction dans le Coran. En guise d’exemple, nous citons comme contradictions dans la sourate </w:t>
      </w:r>
      <w:r w:rsidRPr="00D554CA">
        <w:rPr>
          <w:rFonts w:asciiTheme="majorBidi" w:eastAsia="Times New Roman" w:hAnsiTheme="majorBidi" w:cstheme="majorBidi"/>
          <w:i/>
        </w:rPr>
        <w:t xml:space="preserve">Al-Ḥajj </w:t>
      </w:r>
      <w:r w:rsidRPr="00D554CA">
        <w:rPr>
          <w:rFonts w:asciiTheme="majorBidi" w:eastAsia="Times New Roman" w:hAnsiTheme="majorBidi" w:cstheme="majorBidi"/>
        </w:rPr>
        <w:t>le verset 16 (comment dit-il que les versets sont clairs alors que le verset 15 qui le précède est vague et accepte plusieurs interprétations ?), le verset 47 (le jour de Dieu est égal à mille ans, alors qu’il vaut 50 000 ans selon le verset LXX, 4 ?) et le verset 52 qui parle de la projection de Satan dans le souhait du Prophète et contredit ainsi le dogme de l’impeccabilité.</w:t>
      </w:r>
    </w:p>
    <w:p w14:paraId="2EAAF7AB" w14:textId="77777777" w:rsidR="00EB5652" w:rsidRPr="00D554CA" w:rsidRDefault="00EB5652" w:rsidP="00EB5652">
      <w:pPr>
        <w:spacing w:line="360" w:lineRule="auto"/>
        <w:jc w:val="both"/>
        <w:rPr>
          <w:rFonts w:asciiTheme="majorBidi" w:eastAsia="Times New Roman" w:hAnsiTheme="majorBidi" w:cstheme="majorBidi"/>
        </w:rPr>
      </w:pPr>
    </w:p>
    <w:p w14:paraId="6FEC22E6" w14:textId="77777777" w:rsidR="00EB5652" w:rsidRPr="00D554CA" w:rsidRDefault="00EB5652" w:rsidP="00EB5652">
      <w:pPr>
        <w:spacing w:line="360" w:lineRule="auto"/>
        <w:ind w:firstLine="708"/>
        <w:jc w:val="both"/>
        <w:rPr>
          <w:rFonts w:asciiTheme="majorBidi" w:eastAsia="Times New Roman" w:hAnsiTheme="majorBidi" w:cstheme="majorBidi"/>
        </w:rPr>
      </w:pPr>
      <w:r w:rsidRPr="00D554CA">
        <w:rPr>
          <w:rFonts w:asciiTheme="majorBidi" w:eastAsia="Times New Roman" w:hAnsiTheme="majorBidi" w:cstheme="majorBidi"/>
        </w:rPr>
        <w:t xml:space="preserve">Le changement soudain d’un mot dans une expression ou une phrase jusque-là répétées à l’identique amène le lecteur à s’interroger : pourquoi ce changement ? Pourquoi, par exemple, le Coran qui décrit toujours le jour du Jugement dernier comme </w:t>
      </w:r>
      <w:r w:rsidRPr="00D554CA">
        <w:rPr>
          <w:rFonts w:asciiTheme="majorBidi" w:eastAsia="Times New Roman" w:hAnsiTheme="majorBidi" w:cstheme="majorBidi"/>
          <w:i/>
          <w:iCs/>
        </w:rPr>
        <w:t>yawm ʿa</w:t>
      </w:r>
      <w:r w:rsidRPr="00D554CA">
        <w:rPr>
          <w:rFonts w:asciiTheme="majorBidi" w:eastAsia="Times New Roman" w:hAnsiTheme="majorBidi" w:cstheme="majorBidi"/>
          <w:b/>
          <w:bCs/>
          <w:i/>
          <w:iCs/>
        </w:rPr>
        <w:t>ẓ</w:t>
      </w:r>
      <w:r w:rsidRPr="00D554CA">
        <w:rPr>
          <w:rFonts w:asciiTheme="majorBidi" w:eastAsia="Times New Roman" w:hAnsiTheme="majorBidi" w:cstheme="majorBidi"/>
          <w:i/>
          <w:iCs/>
        </w:rPr>
        <w:t>īm</w:t>
      </w:r>
      <w:r w:rsidRPr="00D554CA">
        <w:rPr>
          <w:rFonts w:asciiTheme="majorBidi" w:eastAsia="Times New Roman" w:hAnsiTheme="majorBidi" w:cstheme="majorBidi"/>
        </w:rPr>
        <w:t xml:space="preserve"> </w:t>
      </w:r>
      <w:r w:rsidRPr="00D554CA">
        <w:rPr>
          <w:rFonts w:asciiTheme="majorBidi" w:eastAsia="Times New Roman" w:hAnsiTheme="majorBidi" w:cstheme="majorBidi"/>
          <w:lang w:bidi="ar-AE"/>
        </w:rPr>
        <w:t>[jour grand/terrible] parle dans la sourate</w:t>
      </w:r>
      <w:r w:rsidRPr="00D554CA">
        <w:rPr>
          <w:rFonts w:asciiTheme="majorBidi" w:eastAsia="Times New Roman" w:hAnsiTheme="majorBidi" w:cstheme="majorBidi"/>
        </w:rPr>
        <w:t xml:space="preserve"> </w:t>
      </w:r>
      <w:r w:rsidRPr="00D554CA">
        <w:rPr>
          <w:rFonts w:asciiTheme="majorBidi" w:eastAsia="Times New Roman" w:hAnsiTheme="majorBidi" w:cstheme="majorBidi"/>
          <w:i/>
        </w:rPr>
        <w:t xml:space="preserve">Al-Ḥajj </w:t>
      </w:r>
      <w:r w:rsidRPr="00D554CA">
        <w:rPr>
          <w:rFonts w:asciiTheme="majorBidi" w:eastAsia="Times New Roman" w:hAnsiTheme="majorBidi" w:cstheme="majorBidi"/>
        </w:rPr>
        <w:t xml:space="preserve">de </w:t>
      </w:r>
      <w:r w:rsidRPr="00D554CA">
        <w:rPr>
          <w:rFonts w:asciiTheme="majorBidi" w:eastAsia="Times New Roman" w:hAnsiTheme="majorBidi" w:cstheme="majorBidi"/>
          <w:i/>
          <w:iCs/>
        </w:rPr>
        <w:t>yawm</w:t>
      </w:r>
      <w:r w:rsidRPr="00D554CA">
        <w:rPr>
          <w:rFonts w:asciiTheme="majorBidi" w:eastAsia="Times New Roman" w:hAnsiTheme="majorBidi" w:cstheme="majorBidi"/>
          <w:i/>
          <w:iCs/>
          <w:lang w:bidi="ar-AE"/>
        </w:rPr>
        <w:t xml:space="preserve"> ʿa</w:t>
      </w:r>
      <w:r w:rsidRPr="00D554CA">
        <w:rPr>
          <w:rFonts w:asciiTheme="majorBidi" w:eastAsia="Times New Roman" w:hAnsiTheme="majorBidi" w:cstheme="majorBidi"/>
          <w:b/>
          <w:bCs/>
          <w:i/>
          <w:iCs/>
          <w:lang w:bidi="ar-AE"/>
        </w:rPr>
        <w:t>q</w:t>
      </w:r>
      <w:r w:rsidRPr="00D554CA">
        <w:rPr>
          <w:rFonts w:asciiTheme="majorBidi" w:eastAsia="Times New Roman" w:hAnsiTheme="majorBidi" w:cstheme="majorBidi"/>
          <w:i/>
          <w:iCs/>
          <w:lang w:bidi="ar-AE"/>
        </w:rPr>
        <w:t>īm</w:t>
      </w:r>
      <w:r w:rsidRPr="00D554CA">
        <w:rPr>
          <w:rFonts w:asciiTheme="majorBidi" w:eastAsia="Times New Roman" w:hAnsiTheme="majorBidi" w:cstheme="majorBidi"/>
          <w:lang w:bidi="ar-AE"/>
        </w:rPr>
        <w:t xml:space="preserve"> [stérile]</w:t>
      </w:r>
      <w:r w:rsidRPr="00D554CA">
        <w:rPr>
          <w:rFonts w:asciiTheme="majorBidi" w:eastAsia="Times New Roman" w:hAnsiTheme="majorBidi" w:cstheme="majorBidi"/>
        </w:rPr>
        <w:t xml:space="preserve"> (v. 55) ?</w:t>
      </w:r>
    </w:p>
    <w:p w14:paraId="5103D235" w14:textId="77777777" w:rsidR="00EB5652" w:rsidRPr="003213D4" w:rsidRDefault="00EB5652" w:rsidP="00EB5652">
      <w:pPr>
        <w:spacing w:line="360" w:lineRule="auto"/>
        <w:jc w:val="both"/>
        <w:rPr>
          <w:rFonts w:asciiTheme="majorBidi" w:eastAsia="Times New Roman" w:hAnsiTheme="majorBidi" w:cstheme="majorBidi"/>
        </w:rPr>
      </w:pPr>
    </w:p>
    <w:p w14:paraId="1AA41073" w14:textId="77777777" w:rsidR="00EB5652" w:rsidRPr="003213D4" w:rsidRDefault="00EB5652" w:rsidP="00EB5652">
      <w:pPr>
        <w:spacing w:line="360" w:lineRule="auto"/>
        <w:ind w:firstLine="360"/>
        <w:jc w:val="both"/>
        <w:rPr>
          <w:rFonts w:asciiTheme="majorBidi" w:eastAsia="Times New Roman" w:hAnsiTheme="majorBidi" w:cstheme="majorBidi"/>
          <w:b/>
          <w:bCs/>
        </w:rPr>
      </w:pPr>
      <w:r w:rsidRPr="003213D4">
        <w:rPr>
          <w:rFonts w:asciiTheme="majorBidi" w:eastAsia="Times New Roman" w:hAnsiTheme="majorBidi" w:cstheme="majorBidi"/>
          <w:b/>
          <w:bCs/>
        </w:rPr>
        <w:t xml:space="preserve">On pourrait </w:t>
      </w:r>
      <w:r>
        <w:rPr>
          <w:rFonts w:asciiTheme="majorBidi" w:eastAsia="Times New Roman" w:hAnsiTheme="majorBidi" w:cstheme="majorBidi"/>
          <w:b/>
          <w:bCs/>
        </w:rPr>
        <w:t>class</w:t>
      </w:r>
      <w:r w:rsidRPr="003213D4">
        <w:rPr>
          <w:rFonts w:asciiTheme="majorBidi" w:eastAsia="Times New Roman" w:hAnsiTheme="majorBidi" w:cstheme="majorBidi"/>
          <w:b/>
          <w:bCs/>
        </w:rPr>
        <w:t>er les difficultés de compréhension du Coran selon plusieurs niveaux :</w:t>
      </w:r>
    </w:p>
    <w:p w14:paraId="2317D369"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rPr>
        <w:t>ambiguïté au niveau des mots et des déictiques (</w:t>
      </w:r>
      <w:r w:rsidRPr="003213D4">
        <w:rPr>
          <w:rFonts w:asciiTheme="majorBidi" w:eastAsia="Times New Roman" w:hAnsiTheme="majorBidi" w:cstheme="majorBidi"/>
          <w:i/>
          <w:iCs/>
        </w:rPr>
        <w:t>al-qarāʾin</w:t>
      </w:r>
      <w:r w:rsidRPr="003213D4">
        <w:rPr>
          <w:rFonts w:asciiTheme="majorBidi" w:eastAsia="Times New Roman" w:hAnsiTheme="majorBidi" w:cstheme="majorBidi"/>
        </w:rPr>
        <w:t xml:space="preserve"> </w:t>
      </w:r>
      <w:r w:rsidRPr="003213D4">
        <w:rPr>
          <w:rFonts w:asciiTheme="majorBidi" w:eastAsia="Times New Roman" w:hAnsiTheme="majorBidi" w:cstheme="majorBidi"/>
          <w:rtl/>
          <w:lang w:bidi="ar-KW"/>
        </w:rPr>
        <w:t xml:space="preserve">القرائن </w:t>
      </w:r>
      <w:r w:rsidRPr="003213D4">
        <w:rPr>
          <w:rFonts w:asciiTheme="majorBidi" w:eastAsia="Times New Roman" w:hAnsiTheme="majorBidi" w:cstheme="majorBidi"/>
          <w:lang w:bidi="ar-KW"/>
        </w:rPr>
        <w:t>, pronoms, démonstratifs, adverbes)</w:t>
      </w:r>
      <w:r w:rsidRPr="003213D4">
        <w:rPr>
          <w:rFonts w:asciiTheme="majorBidi" w:eastAsia="Times New Roman" w:hAnsiTheme="majorBidi" w:cstheme="majorBidi"/>
        </w:rPr>
        <w:t> : on peut dire qu’environ 20 % des mots sont difficiles à comprendre même pour les exégèses (l’antécédent des pronoms, les mots d’origine non arabes, les mots rares (</w:t>
      </w:r>
      <w:r w:rsidRPr="003213D4">
        <w:rPr>
          <w:rFonts w:asciiTheme="majorBidi" w:eastAsia="Times New Roman" w:hAnsiTheme="majorBidi" w:cstheme="majorBidi"/>
          <w:i/>
          <w:iCs/>
        </w:rPr>
        <w:t>hapax</w:t>
      </w:r>
      <w:r w:rsidRPr="003213D4">
        <w:rPr>
          <w:rFonts w:asciiTheme="majorBidi" w:eastAsia="Times New Roman" w:hAnsiTheme="majorBidi" w:cstheme="majorBidi"/>
        </w:rPr>
        <w:t>), les mots génériques) ;</w:t>
      </w:r>
    </w:p>
    <w:p w14:paraId="64162F7F"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rPr>
        <w:t xml:space="preserve">ambiguïté au niveau des structures, des phrases et des métaphores (ex. : </w:t>
      </w:r>
      <w:r w:rsidRPr="003213D4">
        <w:rPr>
          <w:rFonts w:asciiTheme="majorBidi" w:eastAsia="Times New Roman" w:hAnsiTheme="majorBidi" w:cstheme="majorBidi"/>
          <w:i/>
          <w:iCs/>
        </w:rPr>
        <w:t>thānya ʿiṭfihi</w:t>
      </w:r>
      <w:r w:rsidRPr="003213D4">
        <w:rPr>
          <w:rFonts w:asciiTheme="majorBidi" w:eastAsia="Times New Roman" w:hAnsiTheme="majorBidi" w:cstheme="majorBidi"/>
        </w:rPr>
        <w:t xml:space="preserve"> [</w:t>
      </w:r>
      <w:r w:rsidRPr="003213D4">
        <w:rPr>
          <w:rFonts w:asciiTheme="majorBidi" w:hAnsiTheme="majorBidi" w:cstheme="majorBidi"/>
          <w:lang w:bidi="ar-AE"/>
        </w:rPr>
        <w:t>se rengorgeant</w:t>
      </w:r>
      <w:r w:rsidRPr="003213D4">
        <w:rPr>
          <w:rFonts w:asciiTheme="majorBidi" w:eastAsia="Times New Roman" w:hAnsiTheme="majorBidi" w:cstheme="majorBidi"/>
        </w:rPr>
        <w:t xml:space="preserve">] (v. 9) ; </w:t>
      </w:r>
      <w:r w:rsidRPr="003213D4">
        <w:rPr>
          <w:rFonts w:asciiTheme="majorBidi" w:eastAsia="Times New Roman" w:hAnsiTheme="majorBidi" w:cstheme="majorBidi"/>
          <w:i/>
          <w:iCs/>
        </w:rPr>
        <w:t>fa-l-yamdud bi-sababin ʾilā s-samāʾi thumma l-yaqṭaʿ</w:t>
      </w:r>
      <w:r w:rsidRPr="003213D4">
        <w:rPr>
          <w:rFonts w:asciiTheme="majorBidi" w:eastAsia="Times New Roman" w:hAnsiTheme="majorBidi" w:cstheme="majorBidi"/>
        </w:rPr>
        <w:t xml:space="preserve"> [</w:t>
      </w:r>
      <w:r w:rsidRPr="003213D4">
        <w:rPr>
          <w:rFonts w:asciiTheme="majorBidi" w:hAnsiTheme="majorBidi" w:cstheme="majorBidi"/>
          <w:lang w:bidi="ar-AE"/>
        </w:rPr>
        <w:t>n’a qu’à tendre une corde jusqu’au ciel et puis la couper</w:t>
      </w:r>
      <w:r w:rsidRPr="003213D4">
        <w:rPr>
          <w:rFonts w:asciiTheme="majorBidi" w:eastAsia="Times New Roman" w:hAnsiTheme="majorBidi" w:cstheme="majorBidi"/>
        </w:rPr>
        <w:t xml:space="preserve">] (v. 15) ; </w:t>
      </w:r>
      <w:r w:rsidRPr="003213D4">
        <w:rPr>
          <w:rFonts w:asciiTheme="majorBidi" w:eastAsia="Times New Roman" w:hAnsiTheme="majorBidi" w:cstheme="majorBidi"/>
          <w:i/>
          <w:iCs/>
        </w:rPr>
        <w:t>fa-kaʾannamā kharra mina s-samāʾi…</w:t>
      </w:r>
      <w:r w:rsidRPr="003213D4">
        <w:rPr>
          <w:rFonts w:asciiTheme="majorBidi" w:eastAsia="Times New Roman" w:hAnsiTheme="majorBidi" w:cstheme="majorBidi"/>
        </w:rPr>
        <w:t xml:space="preserve"> [</w:t>
      </w:r>
      <w:r w:rsidRPr="003213D4">
        <w:rPr>
          <w:rFonts w:asciiTheme="majorBidi" w:hAnsiTheme="majorBidi" w:cstheme="majorBidi"/>
          <w:lang w:bidi="ar-AE"/>
        </w:rPr>
        <w:t>c’est comme s’il dégringolait du ciel</w:t>
      </w:r>
      <w:r w:rsidRPr="003213D4">
        <w:rPr>
          <w:rFonts w:asciiTheme="majorBidi" w:eastAsia="Times New Roman" w:hAnsiTheme="majorBidi" w:cstheme="majorBidi"/>
        </w:rPr>
        <w:t xml:space="preserve">] (v. 31) ; </w:t>
      </w:r>
      <w:r w:rsidRPr="003213D4">
        <w:rPr>
          <w:rFonts w:asciiTheme="majorBidi" w:eastAsia="Times New Roman" w:hAnsiTheme="majorBidi" w:cstheme="majorBidi"/>
          <w:i/>
          <w:iCs/>
        </w:rPr>
        <w:t>yūliju al-layla fī an-nahari</w:t>
      </w:r>
      <w:r>
        <w:rPr>
          <w:rFonts w:asciiTheme="majorBidi" w:eastAsia="Times New Roman" w:hAnsiTheme="majorBidi" w:cstheme="majorBidi"/>
          <w:i/>
          <w:iCs/>
        </w:rPr>
        <w:t xml:space="preserve"> wa-</w:t>
      </w:r>
      <w:r w:rsidRPr="003213D4">
        <w:rPr>
          <w:rFonts w:asciiTheme="majorBidi" w:eastAsia="Times New Roman" w:hAnsiTheme="majorBidi" w:cstheme="majorBidi"/>
          <w:i/>
          <w:iCs/>
        </w:rPr>
        <w:t>yūliju an-nahāra fī al-layli</w:t>
      </w:r>
      <w:r w:rsidRPr="003213D4">
        <w:rPr>
          <w:rFonts w:asciiTheme="majorBidi" w:eastAsia="Times New Roman" w:hAnsiTheme="majorBidi" w:cstheme="majorBidi"/>
        </w:rPr>
        <w:t xml:space="preserve"> [</w:t>
      </w:r>
      <w:r w:rsidRPr="003213D4">
        <w:rPr>
          <w:rFonts w:asciiTheme="majorBidi" w:hAnsiTheme="majorBidi" w:cstheme="majorBidi"/>
          <w:lang w:bidi="ar-AE"/>
        </w:rPr>
        <w:t>fait entrer la nuit dans le jour, fait entrer le jour dans la nuit</w:t>
      </w:r>
      <w:r w:rsidRPr="003213D4">
        <w:rPr>
          <w:rFonts w:asciiTheme="majorBidi" w:eastAsia="Times New Roman" w:hAnsiTheme="majorBidi" w:cstheme="majorBidi"/>
        </w:rPr>
        <w:t>] (v. 61)) ;</w:t>
      </w:r>
    </w:p>
    <w:p w14:paraId="4228F87F" w14:textId="77777777" w:rsidR="00EB5652" w:rsidRPr="00D554CA"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rPr>
        <w:t xml:space="preserve">ambiguïté </w:t>
      </w:r>
      <w:r w:rsidRPr="00D554CA">
        <w:rPr>
          <w:rFonts w:asciiTheme="majorBidi" w:eastAsia="Times New Roman" w:hAnsiTheme="majorBidi" w:cstheme="majorBidi"/>
        </w:rPr>
        <w:t>syntaxique liée à la segmentation de la phrase, à la ponctuation : on ne sait pas où se termine la phrase, ou si elle est interrogative, affirmative ou exclamative.</w:t>
      </w:r>
    </w:p>
    <w:p w14:paraId="38D2066A"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D554CA">
        <w:rPr>
          <w:rFonts w:asciiTheme="majorBidi" w:eastAsia="Times New Roman" w:hAnsiTheme="majorBidi" w:cstheme="majorBidi"/>
        </w:rPr>
        <w:t>ambiguïté au niveau d’enchaînement</w:t>
      </w:r>
      <w:r w:rsidRPr="003213D4">
        <w:rPr>
          <w:rFonts w:asciiTheme="majorBidi" w:eastAsia="Times New Roman" w:hAnsiTheme="majorBidi" w:cstheme="majorBidi"/>
        </w:rPr>
        <w:t xml:space="preserve"> des versets. On ne connaît pas le lien logique entre beaucoup de versets.</w:t>
      </w:r>
    </w:p>
    <w:p w14:paraId="6C4CE806"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rPr>
        <w:t xml:space="preserve">Ambiguïté au niveau de l’orthographe, liée au </w:t>
      </w:r>
      <w:r w:rsidRPr="003213D4">
        <w:rPr>
          <w:rFonts w:asciiTheme="majorBidi" w:eastAsia="Times New Roman" w:hAnsiTheme="majorBidi" w:cstheme="majorBidi"/>
          <w:i/>
          <w:iCs/>
        </w:rPr>
        <w:t>rasm ʿuthmānī</w:t>
      </w:r>
      <w:r w:rsidRPr="003213D4">
        <w:rPr>
          <w:rFonts w:asciiTheme="majorBidi" w:eastAsia="Times New Roman" w:hAnsiTheme="majorBidi" w:cstheme="majorBidi"/>
        </w:rPr>
        <w:t xml:space="preserve"> (le tracé ou le ductus consonantique attribué au calife ʿUthmān) et à l’absence des signes diacritiques. Ainsi, le lecteur trouve du mal à lire dans le Coran tant de mots orthographiés à la manière archaïque (ex. : </w:t>
      </w:r>
      <w:r w:rsidRPr="003213D4">
        <w:rPr>
          <w:rFonts w:asciiTheme="majorBidi" w:eastAsia="Times New Roman" w:hAnsiTheme="majorBidi" w:cstheme="majorBidi"/>
          <w:noProof/>
        </w:rPr>
        <w:drawing>
          <wp:inline distT="0" distB="0" distL="0" distR="0" wp14:anchorId="297DE4EA" wp14:editId="5DC3ABE3">
            <wp:extent cx="458028" cy="20673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1010" cy="208080"/>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rPr>
        <w:t xml:space="preserve"> (</w:t>
      </w:r>
      <w:r w:rsidRPr="003213D4">
        <w:rPr>
          <w:rFonts w:asciiTheme="majorBidi" w:eastAsia="Times New Roman" w:hAnsiTheme="majorBidi" w:cstheme="majorBidi"/>
          <w:rtl/>
          <w:lang w:bidi="ar-DZ"/>
        </w:rPr>
        <w:t>يَبنَؤُمَّ</w:t>
      </w:r>
      <w:r w:rsidRPr="003213D4">
        <w:rPr>
          <w:rFonts w:asciiTheme="majorBidi" w:eastAsia="Times New Roman" w:hAnsiTheme="majorBidi" w:cstheme="majorBidi"/>
        </w:rPr>
        <w:t xml:space="preserve">) [Ô fils de ma mère] </w:t>
      </w:r>
      <w:r w:rsidRPr="003213D4">
        <w:rPr>
          <w:rFonts w:asciiTheme="majorBidi" w:eastAsia="Times New Roman" w:hAnsiTheme="majorBidi" w:cstheme="majorBidi"/>
          <w:lang w:bidi="ar-KW"/>
        </w:rPr>
        <w:t xml:space="preserve">au lieu de </w:t>
      </w:r>
      <w:r w:rsidRPr="003213D4">
        <w:rPr>
          <w:rFonts w:asciiTheme="majorBidi" w:eastAsia="Times New Roman" w:hAnsiTheme="majorBidi" w:cstheme="majorBidi"/>
          <w:rtl/>
          <w:lang w:bidi="ar-KW"/>
        </w:rPr>
        <w:t>يَا ابْنَ أُمِّي</w:t>
      </w:r>
      <w:r w:rsidRPr="003213D4">
        <w:rPr>
          <w:rFonts w:asciiTheme="majorBidi" w:eastAsia="Times New Roman" w:hAnsiTheme="majorBidi" w:cstheme="majorBidi"/>
          <w:lang w:bidi="ar-KW"/>
        </w:rPr>
        <w:t xml:space="preserve"> (v. XX, 94) ; </w:t>
      </w:r>
      <w:r w:rsidRPr="003213D4">
        <w:rPr>
          <w:rFonts w:asciiTheme="majorBidi" w:eastAsia="Times New Roman" w:hAnsiTheme="majorBidi" w:cstheme="majorBidi"/>
          <w:noProof/>
        </w:rPr>
        <w:drawing>
          <wp:inline distT="0" distB="0" distL="0" distR="0" wp14:anchorId="36A61D39" wp14:editId="1DBBF3EB">
            <wp:extent cx="560457" cy="16697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4515" cy="168186"/>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lang w:bidi="ar-KW"/>
        </w:rPr>
        <w:t xml:space="preserve"> (</w:t>
      </w:r>
      <w:r w:rsidRPr="003213D4">
        <w:rPr>
          <w:rFonts w:asciiTheme="majorBidi" w:eastAsia="Times New Roman" w:hAnsiTheme="majorBidi" w:cstheme="majorBidi"/>
          <w:rtl/>
          <w:lang w:bidi="ar-DZ"/>
        </w:rPr>
        <w:t>يَسَمِرِيُّ</w:t>
      </w:r>
      <w:r w:rsidRPr="003213D4">
        <w:rPr>
          <w:rFonts w:asciiTheme="majorBidi" w:eastAsia="Times New Roman" w:hAnsiTheme="majorBidi" w:cstheme="majorBidi"/>
          <w:lang w:bidi="ar-KW"/>
        </w:rPr>
        <w:t xml:space="preserve">) </w:t>
      </w:r>
      <w:r w:rsidRPr="003213D4">
        <w:rPr>
          <w:rFonts w:asciiTheme="majorBidi" w:eastAsia="Times New Roman" w:hAnsiTheme="majorBidi" w:cstheme="majorBidi"/>
        </w:rPr>
        <w:t xml:space="preserve">[Ô Samaritain !] </w:t>
      </w:r>
      <w:r w:rsidRPr="003213D4">
        <w:rPr>
          <w:rFonts w:asciiTheme="majorBidi" w:eastAsia="Times New Roman" w:hAnsiTheme="majorBidi" w:cstheme="majorBidi"/>
          <w:lang w:bidi="ar-KW"/>
        </w:rPr>
        <w:t xml:space="preserve">au lieu de </w:t>
      </w:r>
      <w:r w:rsidRPr="003213D4">
        <w:rPr>
          <w:rFonts w:asciiTheme="majorBidi" w:eastAsia="Times New Roman" w:hAnsiTheme="majorBidi" w:cstheme="majorBidi"/>
          <w:rtl/>
          <w:lang w:bidi="ar-KW"/>
        </w:rPr>
        <w:t xml:space="preserve">يَاْ سَامريُّ </w:t>
      </w:r>
      <w:r w:rsidRPr="003213D4">
        <w:rPr>
          <w:rFonts w:asciiTheme="majorBidi" w:eastAsia="Times New Roman" w:hAnsiTheme="majorBidi" w:cstheme="majorBidi"/>
          <w:lang w:bidi="ar-KW"/>
        </w:rPr>
        <w:t xml:space="preserve"> (XX, 95) ; </w:t>
      </w:r>
      <w:r w:rsidRPr="003213D4">
        <w:rPr>
          <w:rFonts w:asciiTheme="majorBidi" w:eastAsia="Times New Roman" w:hAnsiTheme="majorBidi" w:cstheme="majorBidi"/>
          <w:noProof/>
        </w:rPr>
        <w:drawing>
          <wp:inline distT="0" distB="0" distL="0" distR="0" wp14:anchorId="4E893A8A" wp14:editId="01979482">
            <wp:extent cx="1351915" cy="198755"/>
            <wp:effectExtent l="19050" t="0" r="63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351915" cy="198755"/>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lang w:bidi="ar-KW"/>
        </w:rPr>
        <w:t xml:space="preserve"> (</w:t>
      </w:r>
      <w:r w:rsidRPr="003213D4">
        <w:rPr>
          <w:rFonts w:asciiTheme="majorBidi" w:eastAsia="Times New Roman" w:hAnsiTheme="majorBidi" w:cstheme="majorBidi"/>
          <w:rtl/>
          <w:lang w:bidi="ar-DZ"/>
        </w:rPr>
        <w:t>الصَّبِـ‍ينَ وَالنَّصَرَى</w:t>
      </w:r>
      <w:r w:rsidRPr="003213D4">
        <w:rPr>
          <w:rFonts w:asciiTheme="majorBidi" w:eastAsia="Times New Roman" w:hAnsiTheme="majorBidi" w:cstheme="majorBidi"/>
          <w:lang w:bidi="ar-KW"/>
        </w:rPr>
        <w:t xml:space="preserve">) </w:t>
      </w:r>
      <w:r w:rsidRPr="003213D4">
        <w:rPr>
          <w:rFonts w:asciiTheme="majorBidi" w:eastAsia="Times New Roman" w:hAnsiTheme="majorBidi" w:cstheme="majorBidi"/>
        </w:rPr>
        <w:t xml:space="preserve">[les sabéens et les chrétiens] </w:t>
      </w:r>
      <w:r w:rsidRPr="003213D4">
        <w:rPr>
          <w:rFonts w:asciiTheme="majorBidi" w:eastAsia="Times New Roman" w:hAnsiTheme="majorBidi" w:cstheme="majorBidi"/>
          <w:lang w:bidi="ar-KW"/>
        </w:rPr>
        <w:t xml:space="preserve">au lieu de </w:t>
      </w:r>
      <w:r w:rsidRPr="003213D4">
        <w:rPr>
          <w:rFonts w:asciiTheme="majorBidi" w:eastAsia="Times New Roman" w:hAnsiTheme="majorBidi" w:cstheme="majorBidi"/>
          <w:rtl/>
          <w:lang w:bidi="ar-KW"/>
        </w:rPr>
        <w:t xml:space="preserve">الصَّابِئِينَ وَالنَّصَارَى </w:t>
      </w:r>
      <w:r w:rsidRPr="003213D4">
        <w:rPr>
          <w:rFonts w:asciiTheme="majorBidi" w:eastAsia="Times New Roman" w:hAnsiTheme="majorBidi" w:cstheme="majorBidi"/>
          <w:lang w:bidi="ar-KW"/>
        </w:rPr>
        <w:t xml:space="preserve"> (v. 17) ; etc.</w:t>
      </w:r>
      <w:r w:rsidRPr="003213D4">
        <w:rPr>
          <w:rFonts w:asciiTheme="majorBidi" w:eastAsia="Times New Roman" w:hAnsiTheme="majorBidi" w:cstheme="majorBidi"/>
        </w:rPr>
        <w:t xml:space="preserve"> L’absence des signes diacritiques (</w:t>
      </w:r>
      <w:r w:rsidRPr="003213D4">
        <w:rPr>
          <w:rFonts w:asciiTheme="majorBidi" w:eastAsia="Times New Roman" w:hAnsiTheme="majorBidi" w:cstheme="majorBidi"/>
          <w:i/>
          <w:iCs/>
        </w:rPr>
        <w:t>ḥarakāt at-tashkīl</w:t>
      </w:r>
      <w:r w:rsidRPr="003213D4">
        <w:rPr>
          <w:rFonts w:asciiTheme="majorBidi" w:eastAsia="Times New Roman" w:hAnsiTheme="majorBidi" w:cstheme="majorBidi"/>
        </w:rPr>
        <w:t xml:space="preserve">) donne lieu à de différentes lectures, par exemple, au verset XXII, 39, le verbe </w:t>
      </w:r>
      <w:r w:rsidRPr="003213D4">
        <w:rPr>
          <w:rFonts w:asciiTheme="majorBidi" w:eastAsia="Times New Roman" w:hAnsiTheme="majorBidi" w:cstheme="majorBidi"/>
          <w:rtl/>
          <w:lang w:bidi="ar-KW"/>
        </w:rPr>
        <w:t>يقاتلون</w:t>
      </w:r>
      <w:r w:rsidRPr="003213D4">
        <w:rPr>
          <w:rFonts w:asciiTheme="majorBidi" w:eastAsia="Times New Roman" w:hAnsiTheme="majorBidi" w:cstheme="majorBidi"/>
        </w:rPr>
        <w:t xml:space="preserve"> (</w:t>
      </w:r>
      <w:r w:rsidRPr="003213D4">
        <w:rPr>
          <w:rFonts w:asciiTheme="majorBidi" w:eastAsia="Times New Roman" w:hAnsiTheme="majorBidi" w:cstheme="majorBidi"/>
          <w:noProof/>
        </w:rPr>
        <w:drawing>
          <wp:inline distT="0" distB="0" distL="0" distR="0" wp14:anchorId="2F28E092" wp14:editId="4E3C145C">
            <wp:extent cx="481882" cy="17492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85140" cy="176111"/>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lang w:bidi="ar-DZ"/>
        </w:rPr>
        <w:t>) peut se lire ainsi :</w:t>
      </w:r>
      <w:r w:rsidRPr="003213D4">
        <w:rPr>
          <w:rFonts w:asciiTheme="majorBidi" w:eastAsia="Times New Roman" w:hAnsiTheme="majorBidi" w:cstheme="majorBidi"/>
          <w:i/>
          <w:iCs/>
        </w:rPr>
        <w:t xml:space="preserve"> yuqāt</w:t>
      </w:r>
      <w:r w:rsidRPr="003213D4">
        <w:rPr>
          <w:rFonts w:asciiTheme="majorBidi" w:eastAsia="Times New Roman" w:hAnsiTheme="majorBidi" w:cstheme="majorBidi"/>
          <w:b/>
          <w:bCs/>
          <w:i/>
          <w:iCs/>
        </w:rPr>
        <w:t>a</w:t>
      </w:r>
      <w:r w:rsidRPr="003213D4">
        <w:rPr>
          <w:rFonts w:asciiTheme="majorBidi" w:eastAsia="Times New Roman" w:hAnsiTheme="majorBidi" w:cstheme="majorBidi"/>
        </w:rPr>
        <w:t xml:space="preserve">lūna [ils sont combattus] et </w:t>
      </w:r>
      <w:r w:rsidRPr="003213D4">
        <w:rPr>
          <w:rFonts w:asciiTheme="majorBidi" w:eastAsia="Times New Roman" w:hAnsiTheme="majorBidi" w:cstheme="majorBidi"/>
          <w:i/>
          <w:iCs/>
        </w:rPr>
        <w:t>yuqāt</w:t>
      </w:r>
      <w:r w:rsidRPr="003213D4">
        <w:rPr>
          <w:rFonts w:asciiTheme="majorBidi" w:eastAsia="Times New Roman" w:hAnsiTheme="majorBidi" w:cstheme="majorBidi"/>
          <w:b/>
          <w:bCs/>
          <w:i/>
          <w:iCs/>
        </w:rPr>
        <w:t>i</w:t>
      </w:r>
      <w:r w:rsidRPr="003213D4">
        <w:rPr>
          <w:rFonts w:asciiTheme="majorBidi" w:eastAsia="Times New Roman" w:hAnsiTheme="majorBidi" w:cstheme="majorBidi"/>
          <w:i/>
          <w:iCs/>
        </w:rPr>
        <w:t xml:space="preserve">lūna </w:t>
      </w:r>
      <w:r w:rsidRPr="003213D4">
        <w:rPr>
          <w:rFonts w:asciiTheme="majorBidi" w:eastAsia="Times New Roman" w:hAnsiTheme="majorBidi" w:cstheme="majorBidi"/>
        </w:rPr>
        <w:t>[ils combattent].</w:t>
      </w:r>
    </w:p>
    <w:p w14:paraId="5D6E0E03"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rPr>
        <w:t xml:space="preserve">ambiguïté au niveau de la suppression et de la répétition, comme la suppression d’un mot ou d’une proposition subordonnée (ex. : la suppression </w:t>
      </w:r>
      <w:r w:rsidRPr="00D554CA">
        <w:rPr>
          <w:rFonts w:asciiTheme="majorBidi" w:eastAsia="Times New Roman" w:hAnsiTheme="majorBidi" w:cstheme="majorBidi"/>
        </w:rPr>
        <w:t>du complément d’objet direct</w:t>
      </w:r>
      <w:r w:rsidRPr="003213D4">
        <w:rPr>
          <w:rFonts w:asciiTheme="majorBidi" w:eastAsia="Times New Roman" w:hAnsiTheme="majorBidi" w:cstheme="majorBidi"/>
        </w:rPr>
        <w:t xml:space="preserve"> dans les v. 5 et 15) et la répétition des versets complets (ex. : la répétition du v. 3 dans le v. 8) ;</w:t>
      </w:r>
    </w:p>
    <w:p w14:paraId="621C6F37"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rPr>
        <w:lastRenderedPageBreak/>
        <w:t>Ambiguïté liée aux éventuels écarts (</w:t>
      </w:r>
      <w:r w:rsidRPr="003213D4">
        <w:rPr>
          <w:rFonts w:asciiTheme="majorBidi" w:eastAsia="Times New Roman" w:hAnsiTheme="majorBidi" w:cstheme="majorBidi"/>
          <w:i/>
          <w:iCs/>
        </w:rPr>
        <w:t>lapsus calami</w:t>
      </w:r>
      <w:r w:rsidRPr="003213D4">
        <w:rPr>
          <w:rFonts w:asciiTheme="majorBidi" w:eastAsia="Times New Roman" w:hAnsiTheme="majorBidi" w:cstheme="majorBidi"/>
        </w:rPr>
        <w:t>) des scribes du Coran (ex. : « </w:t>
      </w:r>
      <w:r w:rsidRPr="003213D4">
        <w:rPr>
          <w:rFonts w:asciiTheme="majorBidi" w:eastAsia="Times New Roman" w:hAnsiTheme="majorBidi" w:cstheme="majorBidi"/>
          <w:i/>
          <w:iCs/>
          <w:lang w:bidi="ar-KW"/>
        </w:rPr>
        <w:t>ʿa</w:t>
      </w:r>
      <w:r w:rsidRPr="003213D4">
        <w:rPr>
          <w:rFonts w:asciiTheme="majorBidi" w:eastAsia="Times New Roman" w:hAnsiTheme="majorBidi" w:cstheme="majorBidi"/>
          <w:b/>
          <w:bCs/>
          <w:i/>
          <w:iCs/>
          <w:lang w:bidi="ar-KW"/>
        </w:rPr>
        <w:t>q</w:t>
      </w:r>
      <w:r w:rsidRPr="003213D4">
        <w:rPr>
          <w:rFonts w:asciiTheme="majorBidi" w:eastAsia="Times New Roman" w:hAnsiTheme="majorBidi" w:cstheme="majorBidi"/>
          <w:i/>
          <w:iCs/>
          <w:lang w:bidi="ar-KW"/>
        </w:rPr>
        <w:t>īm</w:t>
      </w:r>
      <w:r w:rsidRPr="003213D4">
        <w:rPr>
          <w:rFonts w:asciiTheme="majorBidi" w:eastAsia="Times New Roman" w:hAnsiTheme="majorBidi" w:cstheme="majorBidi"/>
        </w:rPr>
        <w:t xml:space="preserve"> » </w:t>
      </w:r>
      <w:r w:rsidRPr="003213D4">
        <w:rPr>
          <w:rFonts w:asciiTheme="majorBidi" w:eastAsia="Times New Roman" w:hAnsiTheme="majorBidi" w:cstheme="majorBidi"/>
          <w:noProof/>
        </w:rPr>
        <w:drawing>
          <wp:inline distT="0" distB="0" distL="0" distR="0" wp14:anchorId="71E5F229" wp14:editId="1D88043C">
            <wp:extent cx="421640" cy="14287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21640" cy="142875"/>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rPr>
        <w:t xml:space="preserve"> [stérile] au lieu « </w:t>
      </w:r>
      <w:r w:rsidRPr="003213D4">
        <w:rPr>
          <w:rFonts w:asciiTheme="majorBidi" w:eastAsia="Times New Roman" w:hAnsiTheme="majorBidi" w:cstheme="majorBidi"/>
          <w:i/>
          <w:iCs/>
        </w:rPr>
        <w:t>ʿaẓīm</w:t>
      </w:r>
      <w:r w:rsidRPr="003213D4">
        <w:rPr>
          <w:rFonts w:asciiTheme="majorBidi" w:eastAsia="Times New Roman" w:hAnsiTheme="majorBidi" w:cstheme="majorBidi"/>
        </w:rPr>
        <w:t xml:space="preserve"> » </w:t>
      </w:r>
      <w:r w:rsidRPr="003213D4">
        <w:rPr>
          <w:rFonts w:asciiTheme="majorBidi" w:eastAsia="Times New Roman" w:hAnsiTheme="majorBidi" w:cstheme="majorBidi"/>
          <w:noProof/>
        </w:rPr>
        <w:drawing>
          <wp:inline distT="0" distB="0" distL="0" distR="0" wp14:anchorId="061736A9" wp14:editId="4398A219">
            <wp:extent cx="516890" cy="15875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16890" cy="158750"/>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rPr>
        <w:t xml:space="preserve"> [terrible] (v. 55) ;</w:t>
      </w:r>
      <w:r w:rsidRPr="003213D4">
        <w:rPr>
          <w:rFonts w:asciiTheme="majorBidi" w:eastAsia="Times New Roman" w:hAnsiTheme="majorBidi" w:cstheme="majorBidi"/>
          <w:b/>
          <w:bCs/>
        </w:rPr>
        <w:t xml:space="preserve"> </w:t>
      </w:r>
      <w:r w:rsidRPr="003213D4">
        <w:rPr>
          <w:rFonts w:asciiTheme="majorBidi" w:eastAsia="Times New Roman" w:hAnsiTheme="majorBidi" w:cstheme="majorBidi"/>
        </w:rPr>
        <w:t>«</w:t>
      </w:r>
      <w:r w:rsidRPr="003213D4">
        <w:rPr>
          <w:rFonts w:asciiTheme="majorBidi" w:eastAsia="Times New Roman" w:hAnsiTheme="majorBidi" w:cstheme="majorBidi"/>
          <w:b/>
          <w:bCs/>
        </w:rPr>
        <w:t> </w:t>
      </w:r>
      <w:r w:rsidRPr="003213D4">
        <w:rPr>
          <w:rFonts w:asciiTheme="majorBidi" w:eastAsia="Times New Roman" w:hAnsiTheme="majorBidi" w:cstheme="majorBidi"/>
          <w:i/>
          <w:iCs/>
        </w:rPr>
        <w:t>yaʿrishūna</w:t>
      </w:r>
      <w:r w:rsidRPr="003213D4">
        <w:rPr>
          <w:rFonts w:asciiTheme="majorBidi" w:eastAsia="Times New Roman" w:hAnsiTheme="majorBidi" w:cstheme="majorBidi"/>
        </w:rPr>
        <w:t> » [</w:t>
      </w:r>
      <w:r w:rsidRPr="003213D4">
        <w:rPr>
          <w:rFonts w:asciiTheme="majorBidi" w:eastAsia="Times New Roman" w:hAnsiTheme="majorBidi" w:cstheme="majorBidi"/>
          <w:rtl/>
          <w:lang w:bidi="ar-KW"/>
        </w:rPr>
        <w:t>يعرِشونَ</w:t>
      </w:r>
      <w:r w:rsidRPr="003213D4">
        <w:rPr>
          <w:rFonts w:asciiTheme="majorBidi" w:eastAsia="Times New Roman" w:hAnsiTheme="majorBidi" w:cstheme="majorBidi"/>
        </w:rPr>
        <w:t xml:space="preserve">] </w:t>
      </w:r>
      <w:r w:rsidRPr="003213D4">
        <w:rPr>
          <w:rFonts w:asciiTheme="majorBidi" w:eastAsia="Times New Roman" w:hAnsiTheme="majorBidi" w:cstheme="majorBidi"/>
          <w:noProof/>
        </w:rPr>
        <w:drawing>
          <wp:inline distT="0" distB="0" distL="0" distR="0" wp14:anchorId="518F7578" wp14:editId="079A5503">
            <wp:extent cx="564515" cy="151130"/>
            <wp:effectExtent l="19050" t="0" r="698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64515" cy="151130"/>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rPr>
        <w:t xml:space="preserve"> [ils treillagent] au lieu de « </w:t>
      </w:r>
      <w:r w:rsidRPr="003213D4">
        <w:rPr>
          <w:rFonts w:asciiTheme="majorBidi" w:eastAsia="Times New Roman" w:hAnsiTheme="majorBidi" w:cstheme="majorBidi"/>
          <w:i/>
          <w:iCs/>
        </w:rPr>
        <w:t>yaghrisūna</w:t>
      </w:r>
      <w:r w:rsidRPr="003213D4">
        <w:rPr>
          <w:rFonts w:asciiTheme="majorBidi" w:eastAsia="Times New Roman" w:hAnsiTheme="majorBidi" w:cstheme="majorBidi"/>
        </w:rPr>
        <w:t> » [</w:t>
      </w:r>
      <w:r w:rsidRPr="003213D4">
        <w:rPr>
          <w:rFonts w:asciiTheme="majorBidi" w:eastAsia="Times New Roman" w:hAnsiTheme="majorBidi" w:cstheme="majorBidi"/>
          <w:rtl/>
          <w:lang w:bidi="ar-KW"/>
        </w:rPr>
        <w:t>يَغرِسونَ</w:t>
      </w:r>
      <w:r w:rsidRPr="003213D4">
        <w:rPr>
          <w:rFonts w:asciiTheme="majorBidi" w:eastAsia="Times New Roman" w:hAnsiTheme="majorBidi" w:cstheme="majorBidi"/>
          <w:lang w:bidi="ar-KW"/>
        </w:rPr>
        <w:t xml:space="preserve">] </w:t>
      </w:r>
      <w:r w:rsidRPr="003213D4">
        <w:rPr>
          <w:rFonts w:asciiTheme="majorBidi" w:eastAsia="Times New Roman" w:hAnsiTheme="majorBidi" w:cstheme="majorBidi"/>
        </w:rPr>
        <w:t>[ils plantent] (XVI, 68) ; « </w:t>
      </w:r>
      <w:r w:rsidRPr="003213D4">
        <w:rPr>
          <w:rFonts w:asciiTheme="majorBidi" w:eastAsia="Times New Roman" w:hAnsiTheme="majorBidi" w:cstheme="majorBidi"/>
          <w:i/>
          <w:iCs/>
        </w:rPr>
        <w:t>bi-khaylika</w:t>
      </w:r>
      <w:r>
        <w:rPr>
          <w:rFonts w:asciiTheme="majorBidi" w:eastAsia="Times New Roman" w:hAnsiTheme="majorBidi" w:cstheme="majorBidi"/>
          <w:i/>
          <w:iCs/>
        </w:rPr>
        <w:t xml:space="preserve"> wa-</w:t>
      </w:r>
      <w:r w:rsidRPr="003213D4">
        <w:rPr>
          <w:rFonts w:asciiTheme="majorBidi" w:eastAsia="Times New Roman" w:hAnsiTheme="majorBidi" w:cstheme="majorBidi"/>
          <w:i/>
          <w:iCs/>
        </w:rPr>
        <w:t>rajilika</w:t>
      </w:r>
      <w:r w:rsidRPr="003213D4">
        <w:rPr>
          <w:rFonts w:asciiTheme="majorBidi" w:eastAsia="Times New Roman" w:hAnsiTheme="majorBidi" w:cstheme="majorBidi"/>
        </w:rPr>
        <w:t> » [</w:t>
      </w:r>
      <w:r w:rsidRPr="003213D4">
        <w:rPr>
          <w:rFonts w:asciiTheme="majorBidi" w:eastAsia="Times New Roman" w:hAnsiTheme="majorBidi" w:cstheme="majorBidi"/>
          <w:rtl/>
        </w:rPr>
        <w:t>بِخَيلِكَ ورَجِلِكَ</w:t>
      </w:r>
      <w:r w:rsidRPr="003213D4">
        <w:rPr>
          <w:rFonts w:asciiTheme="majorBidi" w:eastAsia="Times New Roman" w:hAnsiTheme="majorBidi" w:cstheme="majorBidi"/>
        </w:rPr>
        <w:t xml:space="preserve">] </w:t>
      </w:r>
      <w:r w:rsidRPr="003213D4">
        <w:rPr>
          <w:rFonts w:asciiTheme="majorBidi" w:eastAsia="Times New Roman" w:hAnsiTheme="majorBidi" w:cstheme="majorBidi"/>
          <w:noProof/>
        </w:rPr>
        <w:drawing>
          <wp:inline distT="0" distB="0" distL="0" distR="0" wp14:anchorId="46BC1474" wp14:editId="3869811B">
            <wp:extent cx="1137285" cy="207010"/>
            <wp:effectExtent l="19050" t="0" r="571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137285" cy="207010"/>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rPr>
        <w:t xml:space="preserve"> [par ta cavalerie et ta piétaille] au lieu de « </w:t>
      </w:r>
      <w:r w:rsidRPr="003213D4">
        <w:rPr>
          <w:rFonts w:asciiTheme="majorBidi" w:eastAsia="Times New Roman" w:hAnsiTheme="majorBidi" w:cstheme="majorBidi"/>
          <w:i/>
          <w:iCs/>
        </w:rPr>
        <w:t>bi-ḥyalika</w:t>
      </w:r>
      <w:r>
        <w:rPr>
          <w:rFonts w:asciiTheme="majorBidi" w:eastAsia="Times New Roman" w:hAnsiTheme="majorBidi" w:cstheme="majorBidi"/>
          <w:i/>
          <w:iCs/>
        </w:rPr>
        <w:t xml:space="preserve"> wa-</w:t>
      </w:r>
      <w:r w:rsidRPr="003213D4">
        <w:rPr>
          <w:rFonts w:asciiTheme="majorBidi" w:eastAsia="Times New Roman" w:hAnsiTheme="majorBidi" w:cstheme="majorBidi"/>
          <w:i/>
          <w:iCs/>
        </w:rPr>
        <w:t>dajalika</w:t>
      </w:r>
      <w:r w:rsidRPr="003213D4">
        <w:rPr>
          <w:rFonts w:asciiTheme="majorBidi" w:eastAsia="Times New Roman" w:hAnsiTheme="majorBidi" w:cstheme="majorBidi"/>
        </w:rPr>
        <w:t> » [</w:t>
      </w:r>
      <w:r w:rsidRPr="003213D4">
        <w:rPr>
          <w:rFonts w:asciiTheme="majorBidi" w:eastAsia="Times New Roman" w:hAnsiTheme="majorBidi" w:cstheme="majorBidi"/>
          <w:rtl/>
          <w:lang w:bidi="ar-KW"/>
        </w:rPr>
        <w:t>بِحِيَلِكَ ودَجَلِكَ</w:t>
      </w:r>
      <w:r w:rsidRPr="003213D4">
        <w:rPr>
          <w:rFonts w:asciiTheme="majorBidi" w:eastAsia="Times New Roman" w:hAnsiTheme="majorBidi" w:cstheme="majorBidi"/>
        </w:rPr>
        <w:t xml:space="preserve">] </w:t>
      </w:r>
      <w:r w:rsidRPr="003213D4">
        <w:rPr>
          <w:rFonts w:asciiTheme="majorBidi" w:eastAsia="Times New Roman" w:hAnsiTheme="majorBidi" w:cstheme="majorBidi"/>
          <w:noProof/>
        </w:rPr>
        <w:drawing>
          <wp:inline distT="0" distB="0" distL="0" distR="0" wp14:anchorId="428AAFEA" wp14:editId="5D8B8C4E">
            <wp:extent cx="1137285" cy="207010"/>
            <wp:effectExtent l="19050" t="0" r="571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137285" cy="207010"/>
                    </a:xfrm>
                    <a:prstGeom prst="rect">
                      <a:avLst/>
                    </a:prstGeom>
                    <a:noFill/>
                    <a:ln w="9525">
                      <a:noFill/>
                      <a:miter lim="800000"/>
                      <a:headEnd/>
                      <a:tailEnd/>
                    </a:ln>
                  </pic:spPr>
                </pic:pic>
              </a:graphicData>
            </a:graphic>
          </wp:inline>
        </w:drawing>
      </w:r>
      <w:r w:rsidRPr="003213D4">
        <w:rPr>
          <w:rFonts w:asciiTheme="majorBidi" w:eastAsia="Times New Roman" w:hAnsiTheme="majorBidi" w:cstheme="majorBidi"/>
        </w:rPr>
        <w:t xml:space="preserve"> [par tes ruses et tes mensonges] (XVII, 64) selon Ch. Luxenberg</w:t>
      </w:r>
      <w:r>
        <w:rPr>
          <w:rStyle w:val="Appelnotedebasdep"/>
        </w:rPr>
        <w:footnoteReference w:id="112"/>
      </w:r>
      <w:r w:rsidRPr="003213D4">
        <w:rPr>
          <w:rFonts w:asciiTheme="majorBidi" w:eastAsia="Times New Roman" w:hAnsiTheme="majorBidi" w:cstheme="majorBidi"/>
        </w:rPr>
        <w:t> ; « </w:t>
      </w:r>
      <w:r w:rsidRPr="003213D4">
        <w:rPr>
          <w:rFonts w:asciiTheme="majorBidi" w:eastAsia="Times New Roman" w:hAnsiTheme="majorBidi" w:cstheme="majorBidi"/>
          <w:i/>
          <w:iCs/>
        </w:rPr>
        <w:t>fa-waylun li-l-</w:t>
      </w:r>
      <w:r w:rsidRPr="003213D4">
        <w:rPr>
          <w:rFonts w:asciiTheme="majorBidi" w:eastAsia="Times New Roman" w:hAnsiTheme="majorBidi" w:cstheme="majorBidi"/>
        </w:rPr>
        <w:t>muṣallīna</w:t>
      </w:r>
      <w:r w:rsidRPr="003213D4">
        <w:rPr>
          <w:rFonts w:asciiTheme="majorBidi" w:eastAsia="Times New Roman" w:hAnsiTheme="majorBidi" w:cstheme="majorBidi"/>
          <w:i/>
          <w:iCs/>
        </w:rPr>
        <w:t xml:space="preserve"> alladhīna hum ʿan ṣalātihim sāhūn</w:t>
      </w:r>
      <w:r w:rsidRPr="003213D4">
        <w:rPr>
          <w:rFonts w:asciiTheme="majorBidi" w:eastAsia="Times New Roman" w:hAnsiTheme="majorBidi" w:cstheme="majorBidi"/>
        </w:rPr>
        <w:t> » [</w:t>
      </w:r>
      <w:r w:rsidRPr="003213D4">
        <w:rPr>
          <w:rFonts w:asciiTheme="majorBidi" w:eastAsia="Times New Roman" w:hAnsiTheme="majorBidi" w:cstheme="majorBidi"/>
          <w:rtl/>
          <w:lang w:bidi="ar-KW"/>
        </w:rPr>
        <w:t xml:space="preserve">فويلٌ </w:t>
      </w:r>
      <w:r w:rsidRPr="003213D4">
        <w:rPr>
          <w:rFonts w:asciiTheme="majorBidi" w:eastAsia="Times New Roman" w:hAnsiTheme="majorBidi" w:cstheme="majorBidi"/>
          <w:i/>
          <w:iCs/>
          <w:rtl/>
          <w:lang w:bidi="ar-KW"/>
        </w:rPr>
        <w:t xml:space="preserve">للمُصَلِّينَ </w:t>
      </w:r>
      <w:r w:rsidRPr="003213D4">
        <w:rPr>
          <w:rFonts w:asciiTheme="majorBidi" w:eastAsia="Times New Roman" w:hAnsiTheme="majorBidi" w:cstheme="majorBidi"/>
          <w:rtl/>
          <w:lang w:bidi="ar-KW"/>
        </w:rPr>
        <w:t>الذين هم عن صلاتهم ساهون</w:t>
      </w:r>
      <w:r w:rsidRPr="003213D4">
        <w:rPr>
          <w:rFonts w:asciiTheme="majorBidi" w:eastAsia="Times New Roman" w:hAnsiTheme="majorBidi" w:cstheme="majorBidi"/>
        </w:rPr>
        <w:t xml:space="preserve">] [Malheur à ceux qui </w:t>
      </w:r>
      <w:r w:rsidRPr="003213D4">
        <w:rPr>
          <w:rFonts w:asciiTheme="majorBidi" w:eastAsia="Times New Roman" w:hAnsiTheme="majorBidi" w:cstheme="majorBidi"/>
          <w:i/>
          <w:iCs/>
        </w:rPr>
        <w:t>priant</w:t>
      </w:r>
      <w:r w:rsidRPr="003213D4">
        <w:rPr>
          <w:rFonts w:asciiTheme="majorBidi" w:eastAsia="Times New Roman" w:hAnsiTheme="majorBidi" w:cstheme="majorBidi"/>
        </w:rPr>
        <w:t xml:space="preserve"> sont distraits de leur prière] (CVII, 4) au lieu de « </w:t>
      </w:r>
      <w:r w:rsidRPr="003213D4">
        <w:rPr>
          <w:rFonts w:asciiTheme="majorBidi" w:eastAsia="Times New Roman" w:hAnsiTheme="majorBidi" w:cstheme="majorBidi"/>
          <w:i/>
          <w:iCs/>
        </w:rPr>
        <w:t>fa-waylun li-l-</w:t>
      </w:r>
      <w:r w:rsidRPr="003213D4">
        <w:rPr>
          <w:rFonts w:asciiTheme="majorBidi" w:eastAsia="Times New Roman" w:hAnsiTheme="majorBidi" w:cstheme="majorBidi"/>
        </w:rPr>
        <w:t>muḍillīna… » [</w:t>
      </w:r>
      <w:r w:rsidRPr="003213D4">
        <w:rPr>
          <w:rFonts w:asciiTheme="majorBidi" w:eastAsia="Times New Roman" w:hAnsiTheme="majorBidi" w:cstheme="majorBidi"/>
          <w:rtl/>
          <w:lang w:bidi="ar-KW"/>
        </w:rPr>
        <w:t xml:space="preserve">فويلٌ </w:t>
      </w:r>
      <w:r w:rsidRPr="003213D4">
        <w:rPr>
          <w:rFonts w:asciiTheme="majorBidi" w:eastAsia="Times New Roman" w:hAnsiTheme="majorBidi" w:cstheme="majorBidi"/>
          <w:i/>
          <w:iCs/>
          <w:rtl/>
          <w:lang w:bidi="ar-KW"/>
        </w:rPr>
        <w:t>للمُضِلِّينَ</w:t>
      </w:r>
      <w:r w:rsidRPr="003213D4">
        <w:rPr>
          <w:rFonts w:asciiTheme="majorBidi" w:eastAsia="Times New Roman" w:hAnsiTheme="majorBidi" w:cstheme="majorBidi"/>
          <w:rtl/>
          <w:lang w:bidi="ar-KW"/>
        </w:rPr>
        <w:t>...</w:t>
      </w:r>
      <w:r w:rsidRPr="003213D4">
        <w:rPr>
          <w:rFonts w:asciiTheme="majorBidi" w:eastAsia="Times New Roman" w:hAnsiTheme="majorBidi" w:cstheme="majorBidi"/>
        </w:rPr>
        <w:t xml:space="preserve">] [Malheur aux corrupteurs]). Ces éventuels écarts auraient contribué à diminuer la cohérence du texte coranique et à </w:t>
      </w:r>
      <w:r w:rsidRPr="00D554CA">
        <w:rPr>
          <w:rFonts w:asciiTheme="majorBidi" w:eastAsia="Times New Roman" w:hAnsiTheme="majorBidi" w:cstheme="majorBidi"/>
        </w:rPr>
        <w:t>orienter la polysémie vers une autre direction. L’idée que les scribes se trompaient a été déjà évoquée par</w:t>
      </w:r>
      <w:r w:rsidRPr="003213D4">
        <w:rPr>
          <w:rFonts w:asciiTheme="majorBidi" w:eastAsia="Times New Roman" w:hAnsiTheme="majorBidi" w:cstheme="majorBidi"/>
        </w:rPr>
        <w:t xml:space="preserve"> les anciens théologiens. Selon Aṭ-Ṭabarī, on attribue à ʿĀʾisha, l’épouse de Muḥammad, la réponse suivante à une question sur les erreurs grammaticales dans trois versets : « Ô mon neveu ! C’est le travail des scribes, ils se sont trompés dans le Livre ». Dans le verset 16 (</w:t>
      </w:r>
      <w:r w:rsidRPr="003213D4">
        <w:rPr>
          <w:rFonts w:asciiTheme="majorBidi" w:eastAsia="Times New Roman" w:hAnsiTheme="majorBidi" w:cstheme="majorBidi"/>
          <w:rtl/>
        </w:rPr>
        <w:t>"وكذلك أَنزلناه آياتٍ بَيِّناتٍ وأنَّ اللهَ يَهدي من يريد"</w:t>
      </w:r>
      <w:r w:rsidRPr="003213D4">
        <w:rPr>
          <w:rFonts w:asciiTheme="majorBidi" w:eastAsia="Times New Roman" w:hAnsiTheme="majorBidi" w:cstheme="majorBidi"/>
        </w:rPr>
        <w:t xml:space="preserve">), l’utilisation de </w:t>
      </w:r>
      <w:r w:rsidRPr="003213D4">
        <w:rPr>
          <w:rFonts w:asciiTheme="majorBidi" w:eastAsia="Times New Roman" w:hAnsiTheme="majorBidi" w:cstheme="majorBidi"/>
          <w:i/>
          <w:iCs/>
        </w:rPr>
        <w:t>ʾanna</w:t>
      </w:r>
      <w:r w:rsidRPr="003213D4">
        <w:rPr>
          <w:rFonts w:asciiTheme="majorBidi" w:eastAsia="Times New Roman" w:hAnsiTheme="majorBidi" w:cstheme="majorBidi"/>
        </w:rPr>
        <w:t xml:space="preserve"> (au lieu de </w:t>
      </w:r>
      <w:r w:rsidRPr="003213D4">
        <w:rPr>
          <w:rFonts w:asciiTheme="majorBidi" w:eastAsia="Times New Roman" w:hAnsiTheme="majorBidi" w:cstheme="majorBidi"/>
          <w:i/>
          <w:iCs/>
        </w:rPr>
        <w:t>ʾinna</w:t>
      </w:r>
      <w:r w:rsidRPr="003213D4">
        <w:rPr>
          <w:rFonts w:asciiTheme="majorBidi" w:eastAsia="Times New Roman" w:hAnsiTheme="majorBidi" w:cstheme="majorBidi"/>
        </w:rPr>
        <w:t>) peut indiquer ou bien une erreur de scribes, ou bien une suppression d’un mot juste avant cette particule, ou bien que la phrase (</w:t>
      </w:r>
      <w:r w:rsidRPr="003213D4">
        <w:rPr>
          <w:rFonts w:asciiTheme="majorBidi" w:eastAsia="Times New Roman" w:hAnsiTheme="majorBidi" w:cstheme="majorBidi"/>
          <w:rtl/>
        </w:rPr>
        <w:t>"وأنَّ اللهَ يَهدي من يريد"</w:t>
      </w:r>
      <w:r w:rsidRPr="003213D4">
        <w:rPr>
          <w:rFonts w:asciiTheme="majorBidi" w:eastAsia="Times New Roman" w:hAnsiTheme="majorBidi" w:cstheme="majorBidi"/>
        </w:rPr>
        <w:t xml:space="preserve">) est tirée d’un autre discours et contexte. Normalement et selon les règles de la grammaire, après </w:t>
      </w:r>
      <w:r w:rsidRPr="003213D4">
        <w:rPr>
          <w:rFonts w:asciiTheme="majorBidi" w:eastAsia="Times New Roman" w:hAnsiTheme="majorBidi" w:cstheme="majorBidi"/>
          <w:rtl/>
          <w:lang w:bidi="ar-KW"/>
        </w:rPr>
        <w:t>كذلك</w:t>
      </w:r>
      <w:r w:rsidRPr="003213D4">
        <w:rPr>
          <w:rFonts w:asciiTheme="majorBidi" w:eastAsia="Times New Roman" w:hAnsiTheme="majorBidi" w:cstheme="majorBidi"/>
          <w:lang w:bidi="ar-KW"/>
        </w:rPr>
        <w:t xml:space="preserve">, le Coran utilise </w:t>
      </w:r>
      <w:r w:rsidRPr="003213D4">
        <w:rPr>
          <w:rFonts w:asciiTheme="majorBidi" w:eastAsia="Times New Roman" w:hAnsiTheme="majorBidi" w:cstheme="majorBidi"/>
          <w:rtl/>
          <w:lang w:bidi="ar-KW"/>
        </w:rPr>
        <w:t>إِنَّ</w:t>
      </w:r>
      <w:r w:rsidRPr="003213D4">
        <w:rPr>
          <w:rFonts w:asciiTheme="majorBidi" w:eastAsia="Times New Roman" w:hAnsiTheme="majorBidi" w:cstheme="majorBidi"/>
          <w:lang w:bidi="ar-KW"/>
        </w:rPr>
        <w:t xml:space="preserve"> et pas </w:t>
      </w:r>
      <w:r w:rsidRPr="003213D4">
        <w:rPr>
          <w:rFonts w:asciiTheme="majorBidi" w:eastAsia="Times New Roman" w:hAnsiTheme="majorBidi" w:cstheme="majorBidi"/>
          <w:rtl/>
          <w:lang w:bidi="ar-KW"/>
        </w:rPr>
        <w:t>أَنَّ</w:t>
      </w:r>
      <w:r w:rsidRPr="003213D4">
        <w:rPr>
          <w:rFonts w:asciiTheme="majorBidi" w:eastAsia="Times New Roman" w:hAnsiTheme="majorBidi" w:cstheme="majorBidi"/>
          <w:lang w:bidi="ar-KW"/>
        </w:rPr>
        <w:t>, ex. : (</w:t>
      </w:r>
      <w:r w:rsidRPr="003213D4">
        <w:rPr>
          <w:rFonts w:asciiTheme="majorBidi" w:eastAsia="Times New Roman" w:hAnsiTheme="majorBidi" w:cstheme="majorBidi"/>
          <w:bdr w:val="none" w:sz="0" w:space="0" w:color="auto" w:frame="1"/>
          <w:shd w:val="clear" w:color="auto" w:fill="FFFFFF"/>
          <w:rtl/>
        </w:rPr>
        <w:t>"كذلك</w:t>
      </w:r>
      <w:r w:rsidRPr="003213D4">
        <w:rPr>
          <w:rFonts w:asciiTheme="majorBidi" w:eastAsia="Times New Roman" w:hAnsiTheme="majorBidi" w:cstheme="majorBidi"/>
          <w:bdr w:val="none" w:sz="0" w:space="0" w:color="auto" w:frame="1"/>
          <w:shd w:val="clear" w:color="auto" w:fill="FFFFFF"/>
          <w:rtl/>
          <w:lang w:bidi="ar-KW"/>
        </w:rPr>
        <w:t xml:space="preserve"> </w:t>
      </w:r>
      <w:r w:rsidRPr="003213D4">
        <w:rPr>
          <w:rFonts w:asciiTheme="majorBidi" w:eastAsia="Times New Roman" w:hAnsiTheme="majorBidi" w:cstheme="majorBidi"/>
          <w:shd w:val="clear" w:color="auto" w:fill="FFFFFF"/>
          <w:rtl/>
        </w:rPr>
        <w:t>إِنَّما يَخشى اللهَ مِن عِبادِه العُلَماء</w:t>
      </w:r>
      <w:r w:rsidRPr="003213D4">
        <w:rPr>
          <w:rFonts w:asciiTheme="majorBidi" w:eastAsia="Times New Roman" w:hAnsiTheme="majorBidi" w:cstheme="majorBidi"/>
          <w:shd w:val="clear" w:color="auto" w:fill="FFFFFF"/>
          <w:rtl/>
          <w:lang w:bidi="ar-KW"/>
        </w:rPr>
        <w:t xml:space="preserve">ُ </w:t>
      </w:r>
      <w:r w:rsidRPr="003213D4">
        <w:rPr>
          <w:rFonts w:asciiTheme="majorBidi" w:eastAsia="Times New Roman" w:hAnsiTheme="majorBidi" w:cstheme="majorBidi"/>
          <w:bdr w:val="none" w:sz="0" w:space="0" w:color="auto" w:frame="1"/>
          <w:shd w:val="clear" w:color="auto" w:fill="FFFFFF"/>
          <w:rtl/>
        </w:rPr>
        <w:t xml:space="preserve">إِنَّ </w:t>
      </w:r>
      <w:r w:rsidRPr="003213D4">
        <w:rPr>
          <w:rFonts w:asciiTheme="majorBidi" w:eastAsia="Times New Roman" w:hAnsiTheme="majorBidi" w:cstheme="majorBidi"/>
          <w:shd w:val="clear" w:color="auto" w:fill="FFFFFF"/>
          <w:rtl/>
        </w:rPr>
        <w:t>اللهَ عزيز غفور"</w:t>
      </w:r>
      <w:r w:rsidRPr="003213D4">
        <w:rPr>
          <w:rFonts w:asciiTheme="majorBidi" w:eastAsia="Times New Roman" w:hAnsiTheme="majorBidi" w:cstheme="majorBidi"/>
          <w:lang w:bidi="ar-KW"/>
        </w:rPr>
        <w:t>) (XXXV, 28)</w:t>
      </w:r>
      <w:r w:rsidRPr="003213D4">
        <w:rPr>
          <w:rFonts w:asciiTheme="majorBidi" w:eastAsia="Times New Roman" w:hAnsiTheme="majorBidi" w:cstheme="majorBidi"/>
        </w:rPr>
        <w:t>.</w:t>
      </w:r>
    </w:p>
    <w:p w14:paraId="77E380EC"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lang w:bidi="ar-KW"/>
        </w:rPr>
        <w:t xml:space="preserve">Ambiguïté </w:t>
      </w:r>
      <w:r w:rsidRPr="00D554CA">
        <w:rPr>
          <w:rFonts w:asciiTheme="majorBidi" w:eastAsia="Times New Roman" w:hAnsiTheme="majorBidi" w:cstheme="majorBidi"/>
          <w:lang w:bidi="ar-KW"/>
        </w:rPr>
        <w:t xml:space="preserve">liée à </w:t>
      </w:r>
      <w:r w:rsidRPr="00D554CA">
        <w:rPr>
          <w:rFonts w:asciiTheme="majorBidi" w:eastAsia="Times New Roman" w:hAnsiTheme="majorBidi" w:cstheme="majorBidi"/>
          <w:lang w:bidi="ar-AE"/>
        </w:rPr>
        <w:t>l’anastrophe [</w:t>
      </w:r>
      <w:r w:rsidRPr="00D554CA">
        <w:rPr>
          <w:rFonts w:asciiTheme="majorBidi" w:eastAsia="Times New Roman" w:hAnsiTheme="majorBidi" w:cstheme="majorBidi"/>
          <w:i/>
          <w:iCs/>
          <w:lang w:bidi="ar-AE"/>
        </w:rPr>
        <w:t>at-taqdīm wa-t-taʾkhīr</w:t>
      </w:r>
      <w:r w:rsidRPr="00D554CA">
        <w:rPr>
          <w:rFonts w:asciiTheme="majorBidi" w:eastAsia="Times New Roman" w:hAnsiTheme="majorBidi" w:cstheme="majorBidi"/>
          <w:lang w:bidi="ar-AE"/>
        </w:rPr>
        <w:t>]</w:t>
      </w:r>
      <w:r w:rsidRPr="00D554CA">
        <w:rPr>
          <w:rFonts w:asciiTheme="majorBidi" w:eastAsia="Times New Roman" w:hAnsiTheme="majorBidi" w:cstheme="majorBidi"/>
          <w:lang w:bidi="ar-KW"/>
        </w:rPr>
        <w:t xml:space="preserve"> et au désordre dans certains versets.</w:t>
      </w:r>
      <w:r w:rsidRPr="00D554CA">
        <w:rPr>
          <w:rFonts w:asciiTheme="majorBidi" w:eastAsia="Times New Roman" w:hAnsiTheme="majorBidi" w:cstheme="majorBidi"/>
        </w:rPr>
        <w:t xml:space="preserve"> Exemple : Il semble que cette phrase du verset 39 (</w:t>
      </w:r>
      <w:r w:rsidRPr="00D554CA">
        <w:rPr>
          <w:rFonts w:asciiTheme="majorBidi" w:hAnsiTheme="majorBidi" w:cstheme="majorBidi"/>
          <w:rtl/>
          <w:lang w:bidi="ar-KW"/>
        </w:rPr>
        <w:t>"أُذِنَ للذين يُقاتلون بأنهم ظُلِمُوا"</w:t>
      </w:r>
      <w:r w:rsidRPr="00D554CA">
        <w:rPr>
          <w:rFonts w:asciiTheme="majorBidi" w:eastAsia="Times New Roman" w:hAnsiTheme="majorBidi" w:cstheme="majorBidi"/>
        </w:rPr>
        <w:t>) soit dans le désordre, et qu’il vaudrait mieux mettre chacun des deux verbes à la place de l’autre pour que la phrase soit logique</w:t>
      </w:r>
      <w:r w:rsidRPr="003213D4">
        <w:rPr>
          <w:rFonts w:asciiTheme="majorBidi" w:eastAsia="Times New Roman" w:hAnsiTheme="majorBidi" w:cstheme="majorBidi"/>
        </w:rPr>
        <w:t xml:space="preserve"> et compatible avec ses interprétations ; et l’ordre normal de la phrase doit être ainsi : </w:t>
      </w:r>
      <w:r w:rsidRPr="003213D4">
        <w:rPr>
          <w:rFonts w:asciiTheme="majorBidi" w:hAnsiTheme="majorBidi" w:cstheme="majorBidi"/>
          <w:rtl/>
          <w:lang w:bidi="ar-KW"/>
        </w:rPr>
        <w:t>"أُذِنَ للذين ظُلِموا بأنْ يقاتِلوا"</w:t>
      </w:r>
      <w:r w:rsidRPr="003213D4">
        <w:rPr>
          <w:rFonts w:asciiTheme="majorBidi" w:eastAsia="Times New Roman" w:hAnsiTheme="majorBidi" w:cstheme="majorBidi"/>
          <w:lang w:bidi="ar-KW"/>
        </w:rPr>
        <w:t>.</w:t>
      </w:r>
      <w:r w:rsidRPr="003213D4">
        <w:rPr>
          <w:rFonts w:asciiTheme="majorBidi" w:eastAsia="Times New Roman" w:hAnsiTheme="majorBidi" w:cstheme="majorBidi"/>
        </w:rPr>
        <w:t xml:space="preserve"> Sans oublier l’ambiguïté liée à la contradiction entre les versets ou à l’intérieur du même verset. À titre d’exemple, le verset 39 (</w:t>
      </w:r>
      <w:r w:rsidRPr="003213D4">
        <w:rPr>
          <w:rFonts w:asciiTheme="majorBidi" w:hAnsiTheme="majorBidi" w:cstheme="majorBidi"/>
          <w:rtl/>
          <w:lang w:bidi="ar-KW"/>
        </w:rPr>
        <w:t>"أُذِنَ للذين يقاتَلون بأنهم ظُلِموا"</w:t>
      </w:r>
      <w:r w:rsidRPr="003213D4">
        <w:rPr>
          <w:rFonts w:asciiTheme="majorBidi" w:eastAsia="Times New Roman" w:hAnsiTheme="majorBidi" w:cstheme="majorBidi"/>
        </w:rPr>
        <w:t>) est sémantiquement et logiquement incompatible avec le verset précédent 38 (</w:t>
      </w:r>
      <w:r w:rsidRPr="003213D4">
        <w:rPr>
          <w:rFonts w:asciiTheme="majorBidi" w:eastAsia="Times New Roman" w:hAnsiTheme="majorBidi" w:cstheme="majorBidi"/>
          <w:rtl/>
        </w:rPr>
        <w:t>"إنَّ اللهَ يُدافِعُ عن الذين آمَنوا"</w:t>
      </w:r>
      <w:r w:rsidRPr="003213D4">
        <w:rPr>
          <w:rFonts w:asciiTheme="majorBidi" w:eastAsia="Times New Roman" w:hAnsiTheme="majorBidi" w:cstheme="majorBidi"/>
        </w:rPr>
        <w:t xml:space="preserve">). Pourquoi Dieu autorise aux </w:t>
      </w:r>
      <w:r w:rsidRPr="003213D4">
        <w:rPr>
          <w:rFonts w:asciiTheme="majorBidi" w:eastAsia="Times New Roman" w:hAnsiTheme="majorBidi" w:cstheme="majorBidi"/>
        </w:rPr>
        <w:lastRenderedPageBreak/>
        <w:t>croyants de combattre pour se défendre si Dieu lui-même s’engage à les défendre ?! Cela peut indiquer que chaque énoncé renvoie à une situation sociopolitique complètement différente de l’autre. Ainsi, le verset 38 peut être mecquois et reflète la période de la faiblesse de la communauté musulmane, alors que le verset suivant 39 peut être médinoise et reflète la période la capacité des musulmans à attaquer les autres et à se répandre militairement.</w:t>
      </w:r>
    </w:p>
    <w:p w14:paraId="6DD5C5CF" w14:textId="77777777" w:rsidR="00EB5652" w:rsidRPr="003213D4" w:rsidRDefault="00EB5652" w:rsidP="007640DC">
      <w:pPr>
        <w:numPr>
          <w:ilvl w:val="0"/>
          <w:numId w:val="8"/>
        </w:numPr>
        <w:spacing w:line="360" w:lineRule="auto"/>
        <w:jc w:val="both"/>
        <w:rPr>
          <w:rFonts w:asciiTheme="majorBidi" w:eastAsia="Times New Roman" w:hAnsiTheme="majorBidi" w:cstheme="majorBidi"/>
        </w:rPr>
      </w:pPr>
      <w:r w:rsidRPr="003213D4">
        <w:rPr>
          <w:rFonts w:asciiTheme="majorBidi" w:eastAsia="Times New Roman" w:hAnsiTheme="majorBidi" w:cstheme="majorBidi"/>
          <w:lang w:bidi="ar-KW"/>
        </w:rPr>
        <w:t xml:space="preserve">Ambigüité liée aux connotations. </w:t>
      </w:r>
      <w:r w:rsidRPr="003213D4">
        <w:rPr>
          <w:rFonts w:asciiTheme="majorBidi" w:eastAsia="Times New Roman" w:hAnsiTheme="majorBidi" w:cstheme="majorBidi"/>
        </w:rPr>
        <w:t xml:space="preserve">Dans </w:t>
      </w:r>
      <w:r w:rsidRPr="003213D4">
        <w:rPr>
          <w:rFonts w:asciiTheme="majorBidi" w:eastAsia="Times New Roman" w:hAnsiTheme="majorBidi" w:cstheme="majorBidi"/>
          <w:i/>
          <w:iCs/>
        </w:rPr>
        <w:t>Les problèmes théoriques de la traduction</w:t>
      </w:r>
      <w:r w:rsidRPr="003213D4">
        <w:rPr>
          <w:rFonts w:asciiTheme="majorBidi" w:eastAsia="Times New Roman" w:hAnsiTheme="majorBidi" w:cstheme="majorBidi"/>
        </w:rPr>
        <w:t xml:space="preserve">, Georges Mounin souligne que l’atmosphère affective résiste à la traduction parce que jamais deux situations ne sont semblables, selon le mot de Bloomfield, et qu’il en résulte que </w:t>
      </w:r>
      <w:r>
        <w:rPr>
          <w:rFonts w:asciiTheme="majorBidi" w:eastAsia="Times New Roman" w:hAnsiTheme="majorBidi" w:cstheme="majorBidi"/>
        </w:rPr>
        <w:t>les connotations du même terme « </w:t>
      </w:r>
      <w:r w:rsidRPr="003213D4">
        <w:rPr>
          <w:rFonts w:asciiTheme="majorBidi" w:eastAsia="Times New Roman" w:hAnsiTheme="majorBidi" w:cstheme="majorBidi"/>
        </w:rPr>
        <w:t>varient remarquablement, d’un individu à l’autre, et d’un moment à l’autre". »</w:t>
      </w:r>
      <w:r w:rsidRPr="003213D4">
        <w:rPr>
          <w:rFonts w:asciiTheme="majorBidi" w:eastAsia="Times New Roman" w:hAnsiTheme="majorBidi" w:cstheme="majorBidi"/>
          <w:vertAlign w:val="superscript"/>
          <w:lang w:bidi="ar-AE"/>
        </w:rPr>
        <w:footnoteReference w:id="113"/>
      </w:r>
      <w:r w:rsidRPr="003213D4">
        <w:rPr>
          <w:rFonts w:asciiTheme="majorBidi" w:eastAsia="Times New Roman" w:hAnsiTheme="majorBidi" w:cstheme="majorBidi"/>
        </w:rPr>
        <w:t xml:space="preserve"> Qu’en est-il du Coran dont les versets sont liés à des situations particulières chez ses lecteurs ?</w:t>
      </w:r>
    </w:p>
    <w:p w14:paraId="3D127B94" w14:textId="77777777" w:rsidR="00EB5652" w:rsidRPr="003213D4" w:rsidRDefault="00EB5652" w:rsidP="00EB5652">
      <w:pPr>
        <w:spacing w:line="360" w:lineRule="auto"/>
        <w:jc w:val="both"/>
        <w:rPr>
          <w:rFonts w:asciiTheme="majorBidi" w:eastAsia="Times New Roman" w:hAnsiTheme="majorBidi" w:cstheme="majorBidi"/>
        </w:rPr>
      </w:pPr>
    </w:p>
    <w:p w14:paraId="091BAD78" w14:textId="77777777" w:rsidR="00EB5652" w:rsidRPr="003213D4" w:rsidRDefault="00EB5652" w:rsidP="00EB5652">
      <w:pPr>
        <w:spacing w:line="360" w:lineRule="auto"/>
        <w:ind w:firstLine="360"/>
        <w:jc w:val="both"/>
        <w:rPr>
          <w:rFonts w:asciiTheme="majorBidi" w:eastAsia="Times New Roman" w:hAnsiTheme="majorBidi" w:cstheme="majorBidi"/>
        </w:rPr>
      </w:pPr>
      <w:r w:rsidRPr="003213D4">
        <w:rPr>
          <w:rFonts w:asciiTheme="majorBidi" w:eastAsia="Times New Roman" w:hAnsiTheme="majorBidi" w:cstheme="majorBidi"/>
        </w:rPr>
        <w:t>Ces ambiguïtés aboutissent à une polysémie qui peut affecter le domaine jurisprudentiel.</w:t>
      </w:r>
    </w:p>
    <w:p w14:paraId="05DA79C3" w14:textId="77777777" w:rsidR="00EB5652" w:rsidRPr="003213D4" w:rsidRDefault="00EB5652" w:rsidP="00EB5652">
      <w:pPr>
        <w:spacing w:line="360" w:lineRule="auto"/>
        <w:ind w:firstLine="360"/>
        <w:jc w:val="both"/>
        <w:rPr>
          <w:rFonts w:asciiTheme="majorBidi" w:eastAsia="Times New Roman" w:hAnsiTheme="majorBidi" w:cstheme="majorBidi"/>
        </w:rPr>
      </w:pPr>
    </w:p>
    <w:p w14:paraId="7C56CE24" w14:textId="38FD97E1" w:rsidR="00EB5652" w:rsidRDefault="00EB5652" w:rsidP="001D798A">
      <w:pPr>
        <w:spacing w:line="360" w:lineRule="auto"/>
        <w:jc w:val="both"/>
        <w:rPr>
          <w:rFonts w:asciiTheme="majorBidi" w:eastAsia="Calibri" w:hAnsiTheme="majorBidi" w:cstheme="majorBidi"/>
          <w:lang w:bidi="ar-AE"/>
        </w:rPr>
      </w:pPr>
      <w:r>
        <w:rPr>
          <w:rFonts w:asciiTheme="majorBidi" w:eastAsia="Calibri" w:hAnsiTheme="majorBidi" w:cstheme="majorBidi"/>
          <w:lang w:bidi="ar-AE"/>
        </w:rPr>
        <w:br w:type="page"/>
      </w:r>
    </w:p>
    <w:p w14:paraId="406ECCF4" w14:textId="77777777" w:rsidR="00EB5652" w:rsidRPr="00E116CD" w:rsidRDefault="00EB5652" w:rsidP="00EB5652">
      <w:pPr>
        <w:spacing w:line="360" w:lineRule="auto"/>
        <w:jc w:val="center"/>
        <w:outlineLvl w:val="0"/>
        <w:rPr>
          <w:b/>
          <w:bCs/>
          <w:lang w:bidi="ar-AE"/>
        </w:rPr>
      </w:pPr>
      <w:r w:rsidRPr="00E116CD">
        <w:rPr>
          <w:b/>
          <w:bCs/>
          <w:lang w:bidi="ar-AE"/>
        </w:rPr>
        <w:lastRenderedPageBreak/>
        <w:t>Chapitre II</w:t>
      </w:r>
    </w:p>
    <w:p w14:paraId="75B98EA5" w14:textId="77777777" w:rsidR="00EB5652" w:rsidRPr="00E116CD" w:rsidRDefault="00EB5652" w:rsidP="00EB5652">
      <w:pPr>
        <w:spacing w:line="360" w:lineRule="auto"/>
        <w:jc w:val="center"/>
        <w:outlineLvl w:val="0"/>
        <w:rPr>
          <w:rFonts w:eastAsia="Times New Roman"/>
          <w:b/>
          <w:bCs/>
        </w:rPr>
      </w:pPr>
    </w:p>
    <w:p w14:paraId="6AA24042" w14:textId="77777777" w:rsidR="00EB5652" w:rsidRPr="00E116CD" w:rsidRDefault="00EB5652" w:rsidP="00EB5652">
      <w:pPr>
        <w:spacing w:line="360" w:lineRule="auto"/>
        <w:jc w:val="center"/>
        <w:outlineLvl w:val="0"/>
        <w:rPr>
          <w:rFonts w:eastAsia="Times New Roman"/>
          <w:b/>
          <w:bCs/>
        </w:rPr>
      </w:pPr>
      <w:r w:rsidRPr="00E116CD">
        <w:rPr>
          <w:rFonts w:eastAsia="Times New Roman"/>
          <w:b/>
          <w:bCs/>
        </w:rPr>
        <w:t>Histoire concise de l’exégèse du Coran en relation avec la polysémie</w:t>
      </w:r>
    </w:p>
    <w:p w14:paraId="6D88089A" w14:textId="77777777" w:rsidR="00EB5652" w:rsidRPr="00E116CD" w:rsidRDefault="00EB5652" w:rsidP="00EB5652">
      <w:pPr>
        <w:shd w:val="clear" w:color="auto" w:fill="FFFFFF"/>
        <w:spacing w:line="360" w:lineRule="auto"/>
        <w:jc w:val="both"/>
        <w:rPr>
          <w:rFonts w:eastAsia="Times New Roman"/>
          <w:b/>
          <w:bCs/>
        </w:rPr>
      </w:pPr>
    </w:p>
    <w:p w14:paraId="16BEF9FA" w14:textId="50981539" w:rsidR="00EB5652" w:rsidRPr="00E116CD" w:rsidRDefault="00E85F27" w:rsidP="00EB5652">
      <w:pPr>
        <w:shd w:val="clear" w:color="auto" w:fill="FFFFFF"/>
        <w:spacing w:line="360" w:lineRule="auto"/>
        <w:jc w:val="both"/>
        <w:outlineLvl w:val="0"/>
        <w:rPr>
          <w:rFonts w:eastAsia="Times New Roman"/>
          <w:b/>
          <w:bCs/>
        </w:rPr>
      </w:pPr>
      <w:r>
        <w:rPr>
          <w:rFonts w:eastAsia="Times New Roman"/>
          <w:b/>
          <w:bCs/>
        </w:rPr>
        <w:t xml:space="preserve">2.1. </w:t>
      </w:r>
      <w:r w:rsidR="00EB5652" w:rsidRPr="00E116CD">
        <w:rPr>
          <w:rFonts w:eastAsia="Times New Roman"/>
          <w:b/>
          <w:bCs/>
        </w:rPr>
        <w:t xml:space="preserve">Le rapport entre le </w:t>
      </w:r>
      <w:r w:rsidR="00EB5652" w:rsidRPr="00E116CD">
        <w:rPr>
          <w:rFonts w:eastAsia="Times New Roman"/>
          <w:b/>
          <w:bCs/>
          <w:i/>
          <w:iCs/>
        </w:rPr>
        <w:t>tafsīr</w:t>
      </w:r>
      <w:r w:rsidR="00EB5652" w:rsidRPr="00E116CD">
        <w:rPr>
          <w:rFonts w:eastAsia="Times New Roman"/>
          <w:b/>
          <w:bCs/>
        </w:rPr>
        <w:t xml:space="preserve"> et la </w:t>
      </w:r>
      <w:r w:rsidR="00EB5652" w:rsidRPr="00E116CD">
        <w:rPr>
          <w:rFonts w:eastAsia="Times New Roman"/>
          <w:b/>
          <w:bCs/>
          <w:i/>
          <w:iCs/>
        </w:rPr>
        <w:t>tarjama </w:t>
      </w:r>
      <w:r w:rsidR="00EB5652" w:rsidRPr="00E116CD">
        <w:rPr>
          <w:rFonts w:eastAsia="Times New Roman"/>
          <w:b/>
          <w:bCs/>
        </w:rPr>
        <w:t>:</w:t>
      </w:r>
    </w:p>
    <w:p w14:paraId="3788B361" w14:textId="77777777" w:rsidR="00EB5652" w:rsidRPr="00E116CD" w:rsidRDefault="00EB5652" w:rsidP="00EB5652">
      <w:pPr>
        <w:shd w:val="clear" w:color="auto" w:fill="FFFFFF"/>
        <w:spacing w:line="360" w:lineRule="auto"/>
        <w:ind w:firstLine="240"/>
        <w:jc w:val="both"/>
        <w:rPr>
          <w:rFonts w:eastAsia="Times New Roman"/>
        </w:rPr>
      </w:pPr>
      <w:r w:rsidRPr="00E116CD">
        <w:rPr>
          <w:rFonts w:eastAsia="Times New Roman"/>
        </w:rPr>
        <w:t xml:space="preserve">Il est important, avant tout, de mettre en lumière le rapport entre </w:t>
      </w:r>
      <w:r w:rsidRPr="00E116CD">
        <w:rPr>
          <w:rFonts w:eastAsia="Times New Roman"/>
          <w:i/>
          <w:iCs/>
        </w:rPr>
        <w:t>tafsīr</w:t>
      </w:r>
      <w:r w:rsidRPr="00E116CD">
        <w:rPr>
          <w:rFonts w:eastAsia="Times New Roman"/>
        </w:rPr>
        <w:t xml:space="preserve"> (explication, exégèse, interprétation, commentaire, exégèse) et </w:t>
      </w:r>
      <w:r w:rsidRPr="00E116CD">
        <w:rPr>
          <w:rFonts w:eastAsia="Times New Roman"/>
          <w:i/>
          <w:iCs/>
        </w:rPr>
        <w:t>tarjama</w:t>
      </w:r>
      <w:r w:rsidRPr="00E116CD">
        <w:rPr>
          <w:rFonts w:eastAsia="Times New Roman"/>
        </w:rPr>
        <w:t xml:space="preserve"> (traduction), deux faces d’une même chose qui avaient au départ le même sens, et ensuite le rapport entre </w:t>
      </w:r>
      <w:r w:rsidRPr="00E116CD">
        <w:rPr>
          <w:rFonts w:eastAsia="Times New Roman"/>
          <w:i/>
          <w:iCs/>
        </w:rPr>
        <w:t>tafsīr</w:t>
      </w:r>
      <w:r w:rsidRPr="00E116CD">
        <w:rPr>
          <w:rFonts w:eastAsia="Times New Roman"/>
        </w:rPr>
        <w:t xml:space="preserve"> et </w:t>
      </w:r>
      <w:r w:rsidRPr="00E116CD">
        <w:rPr>
          <w:rFonts w:eastAsia="Times New Roman"/>
          <w:i/>
          <w:iCs/>
        </w:rPr>
        <w:t>déconstruction</w:t>
      </w:r>
      <w:r w:rsidRPr="00E116CD">
        <w:rPr>
          <w:rFonts w:eastAsia="Times New Roman"/>
        </w:rPr>
        <w:t>.</w:t>
      </w:r>
    </w:p>
    <w:p w14:paraId="125655A0" w14:textId="77777777" w:rsidR="00EB5652" w:rsidRPr="00E116CD" w:rsidRDefault="00EB5652" w:rsidP="00EB5652">
      <w:pPr>
        <w:shd w:val="clear" w:color="auto" w:fill="FFFFFF"/>
        <w:spacing w:line="360" w:lineRule="auto"/>
        <w:ind w:firstLine="240"/>
        <w:jc w:val="both"/>
        <w:rPr>
          <w:rFonts w:eastAsia="Times New Roman"/>
        </w:rPr>
      </w:pPr>
    </w:p>
    <w:p w14:paraId="151F963F" w14:textId="77777777" w:rsidR="00EB5652" w:rsidRPr="00AB4842" w:rsidRDefault="00EB5652" w:rsidP="00EB5652">
      <w:pPr>
        <w:shd w:val="clear" w:color="auto" w:fill="FFFFFF"/>
        <w:spacing w:line="360" w:lineRule="auto"/>
        <w:ind w:firstLine="240"/>
        <w:jc w:val="both"/>
        <w:rPr>
          <w:rFonts w:eastAsia="Times New Roman"/>
        </w:rPr>
      </w:pPr>
      <w:r w:rsidRPr="00AB4842">
        <w:rPr>
          <w:rFonts w:eastAsia="Times New Roman"/>
        </w:rPr>
        <w:t xml:space="preserve">Au début, les deux disciplines : </w:t>
      </w:r>
      <w:r w:rsidRPr="00AB4842">
        <w:rPr>
          <w:rFonts w:eastAsia="Times New Roman"/>
          <w:i/>
          <w:iCs/>
        </w:rPr>
        <w:t>tafsīr</w:t>
      </w:r>
      <w:r w:rsidRPr="00AB4842">
        <w:rPr>
          <w:rFonts w:eastAsia="Times New Roman"/>
        </w:rPr>
        <w:t xml:space="preserve"> [interprétation] et </w:t>
      </w:r>
      <w:r w:rsidRPr="00AB4842">
        <w:rPr>
          <w:rFonts w:eastAsia="Times New Roman"/>
          <w:i/>
          <w:iCs/>
        </w:rPr>
        <w:t>taʾwīl</w:t>
      </w:r>
      <w:r w:rsidRPr="00AB4842">
        <w:rPr>
          <w:rFonts w:eastAsia="Times New Roman"/>
        </w:rPr>
        <w:t xml:space="preserve"> [interprétation allégorique] se sont confondus, comme le souligne le théologien Ibn Ḥabīb An-Naysābūrī (m. 1016 J.-C.) (« </w:t>
      </w:r>
      <w:r w:rsidRPr="00AB4842">
        <w:rPr>
          <w:rFonts w:ascii="Simplified Arabic" w:eastAsia="Times New Roman" w:hAnsi="Simplified Arabic" w:cs="Simplified Arabic"/>
          <w:rtl/>
        </w:rPr>
        <w:t>"نبغَ في زماننا مفسِّرون، لو سُئلوا عن الفَرْق بين التفسير والتأويل ما اهتدوا إليه"</w:t>
      </w:r>
      <w:r w:rsidRPr="00AB4842">
        <w:rPr>
          <w:rFonts w:eastAsia="Times New Roman"/>
        </w:rPr>
        <w:t xml:space="preserve"> » [« A notre époque, sont apparus des exégètes qui ne connaissent pas, si on leur demande, la différence entre </w:t>
      </w:r>
      <w:r w:rsidRPr="00AB4842">
        <w:rPr>
          <w:rFonts w:eastAsia="Times New Roman"/>
          <w:i/>
          <w:iCs/>
        </w:rPr>
        <w:t>tafsīr</w:t>
      </w:r>
      <w:r w:rsidRPr="00AB4842">
        <w:rPr>
          <w:rFonts w:eastAsia="Times New Roman"/>
        </w:rPr>
        <w:t xml:space="preserve"> et </w:t>
      </w:r>
      <w:r w:rsidRPr="00AB4842">
        <w:rPr>
          <w:rFonts w:eastAsia="Times New Roman"/>
          <w:i/>
          <w:iCs/>
        </w:rPr>
        <w:t>taʾwīl</w:t>
      </w:r>
      <w:r w:rsidRPr="00AB4842">
        <w:rPr>
          <w:rFonts w:eastAsia="Times New Roman"/>
        </w:rPr>
        <w:t> »]).</w:t>
      </w:r>
      <w:r w:rsidRPr="00AB4842">
        <w:rPr>
          <w:rFonts w:eastAsia="Calibri"/>
          <w:vertAlign w:val="superscript"/>
          <w:lang w:bidi="ar-AE"/>
        </w:rPr>
        <w:footnoteReference w:id="114"/>
      </w:r>
      <w:r w:rsidRPr="00AB4842">
        <w:rPr>
          <w:rFonts w:eastAsia="Times New Roman"/>
        </w:rPr>
        <w:t xml:space="preserve"> De même, les deux disciplines (</w:t>
      </w:r>
      <w:r w:rsidRPr="00AB4842">
        <w:rPr>
          <w:rFonts w:eastAsia="Times New Roman"/>
          <w:i/>
          <w:iCs/>
        </w:rPr>
        <w:t>tafsīr</w:t>
      </w:r>
      <w:r w:rsidRPr="00AB4842">
        <w:rPr>
          <w:rFonts w:eastAsia="Times New Roman"/>
        </w:rPr>
        <w:t xml:space="preserve"> [interprétation] et </w:t>
      </w:r>
      <w:r w:rsidRPr="00AB4842">
        <w:rPr>
          <w:rFonts w:eastAsia="Times New Roman"/>
          <w:i/>
          <w:iCs/>
        </w:rPr>
        <w:t>tarjama</w:t>
      </w:r>
      <w:r w:rsidRPr="00AB4842">
        <w:rPr>
          <w:rFonts w:eastAsia="Times New Roman"/>
        </w:rPr>
        <w:t xml:space="preserve"> [traduction]) sont proches voire se chevauchent. L’une des significations du mot </w:t>
      </w:r>
      <w:r w:rsidRPr="00AB4842">
        <w:rPr>
          <w:rFonts w:eastAsia="Times New Roman"/>
          <w:i/>
          <w:iCs/>
        </w:rPr>
        <w:t>tarjama</w:t>
      </w:r>
      <w:r w:rsidRPr="00AB4842">
        <w:rPr>
          <w:rFonts w:eastAsia="Times New Roman"/>
        </w:rPr>
        <w:t xml:space="preserve"> [traduction] était l’explication en utilisant la même langue, i.e. </w:t>
      </w:r>
      <w:r w:rsidRPr="00AB4842">
        <w:rPr>
          <w:rFonts w:eastAsia="Times New Roman"/>
          <w:i/>
          <w:iCs/>
        </w:rPr>
        <w:t>tafsīr</w:t>
      </w:r>
      <w:r w:rsidRPr="00AB4842">
        <w:rPr>
          <w:rFonts w:eastAsia="Times New Roman"/>
        </w:rPr>
        <w:t xml:space="preserve"> [interprétation]. Ainsi la tradition donne-t-elle à l’imâm du </w:t>
      </w:r>
      <w:r w:rsidRPr="00AB4842">
        <w:rPr>
          <w:rFonts w:eastAsia="Times New Roman"/>
          <w:i/>
          <w:iCs/>
        </w:rPr>
        <w:t>tafsīr</w:t>
      </w:r>
      <w:r w:rsidRPr="00AB4842">
        <w:rPr>
          <w:rFonts w:eastAsia="Times New Roman"/>
        </w:rPr>
        <w:t xml:space="preserve">, Ibn ʿAbbās </w:t>
      </w:r>
      <w:r w:rsidRPr="00AB4842">
        <w:rPr>
          <w:rFonts w:eastAsia="Times New Roman"/>
          <w:lang w:bidi="ar-EG"/>
        </w:rPr>
        <w:t>(618/619-687)</w:t>
      </w:r>
      <w:r w:rsidRPr="00AB4842">
        <w:rPr>
          <w:rFonts w:eastAsia="Times New Roman"/>
        </w:rPr>
        <w:t>, le nom de « </w:t>
      </w:r>
      <w:r w:rsidRPr="00AB4842">
        <w:rPr>
          <w:rFonts w:eastAsia="Times New Roman"/>
          <w:i/>
          <w:iCs/>
        </w:rPr>
        <w:t>Turjumān al-Qurʾān</w:t>
      </w:r>
      <w:r w:rsidRPr="00AB4842">
        <w:rPr>
          <w:rFonts w:eastAsia="Times New Roman"/>
        </w:rPr>
        <w:t> » [« l’exégète (</w:t>
      </w:r>
      <w:r w:rsidRPr="00AB4842">
        <w:rPr>
          <w:rFonts w:eastAsia="Times New Roman"/>
          <w:i/>
          <w:iCs/>
        </w:rPr>
        <w:t>litt.</w:t>
      </w:r>
      <w:r w:rsidRPr="00AB4842">
        <w:rPr>
          <w:rFonts w:eastAsia="Times New Roman"/>
        </w:rPr>
        <w:t> : « le traducteur) du Coran »].</w:t>
      </w:r>
    </w:p>
    <w:p w14:paraId="77D3AE6C" w14:textId="77777777" w:rsidR="00EB5652" w:rsidRPr="00AB4842" w:rsidRDefault="00EB5652" w:rsidP="00EB5652">
      <w:pPr>
        <w:shd w:val="clear" w:color="auto" w:fill="FFFFFF"/>
        <w:spacing w:line="360" w:lineRule="auto"/>
        <w:ind w:firstLine="240"/>
        <w:jc w:val="both"/>
        <w:rPr>
          <w:rFonts w:eastAsia="Times New Roman"/>
        </w:rPr>
      </w:pPr>
      <w:r w:rsidRPr="00AB4842">
        <w:rPr>
          <w:rFonts w:eastAsia="Times New Roman"/>
        </w:rPr>
        <w:t xml:space="preserve"> </w:t>
      </w:r>
    </w:p>
    <w:p w14:paraId="0ED766A4" w14:textId="77777777" w:rsidR="00EB5652" w:rsidRPr="00AB4842" w:rsidRDefault="00EB5652" w:rsidP="00EB5652">
      <w:pPr>
        <w:shd w:val="clear" w:color="auto" w:fill="FFFFFF"/>
        <w:spacing w:line="360" w:lineRule="auto"/>
        <w:ind w:firstLine="240"/>
        <w:jc w:val="both"/>
        <w:rPr>
          <w:rFonts w:eastAsia="Times New Roman"/>
        </w:rPr>
      </w:pPr>
      <w:r w:rsidRPr="00AB4842">
        <w:rPr>
          <w:rFonts w:eastAsia="Times New Roman"/>
        </w:rPr>
        <w:t>Muḥammad ʿAbd Al-ʿAẓīm Az-Zurqānī</w:t>
      </w:r>
      <w:r w:rsidRPr="00AB4842">
        <w:rPr>
          <w:rFonts w:eastAsia="Calibri"/>
          <w:vertAlign w:val="superscript"/>
          <w:lang w:bidi="ar-AE"/>
        </w:rPr>
        <w:footnoteReference w:id="115"/>
      </w:r>
      <w:r w:rsidRPr="00AB4842">
        <w:rPr>
          <w:rFonts w:eastAsia="Times New Roman"/>
        </w:rPr>
        <w:t xml:space="preserve"> (m. 1948) donne quatre sens au mot </w:t>
      </w:r>
      <w:r w:rsidRPr="00AB4842">
        <w:rPr>
          <w:rFonts w:eastAsia="Times New Roman"/>
          <w:i/>
          <w:iCs/>
        </w:rPr>
        <w:t>tarjama</w:t>
      </w:r>
      <w:r>
        <w:rPr>
          <w:rFonts w:eastAsia="Times New Roman"/>
        </w:rPr>
        <w:t xml:space="preserve"> : </w:t>
      </w:r>
      <w:r w:rsidRPr="00AB4842">
        <w:rPr>
          <w:rFonts w:eastAsia="Times New Roman"/>
        </w:rPr>
        <w:t>1) communiquer un message à un a</w:t>
      </w:r>
      <w:r>
        <w:rPr>
          <w:rFonts w:eastAsia="Times New Roman"/>
        </w:rPr>
        <w:t xml:space="preserve">utre qui ne le connait pas ; </w:t>
      </w:r>
      <w:r w:rsidRPr="00AB4842">
        <w:rPr>
          <w:rFonts w:eastAsia="Times New Roman"/>
        </w:rPr>
        <w:t>2) expliquer un message e</w:t>
      </w:r>
      <w:r>
        <w:rPr>
          <w:rFonts w:eastAsia="Times New Roman"/>
        </w:rPr>
        <w:t xml:space="preserve">n utilisant la même langue ; </w:t>
      </w:r>
      <w:r w:rsidRPr="00AB4842">
        <w:rPr>
          <w:rFonts w:eastAsia="Times New Roman"/>
        </w:rPr>
        <w:t>3) expliquer un message en uti</w:t>
      </w:r>
      <w:r>
        <w:rPr>
          <w:rFonts w:eastAsia="Times New Roman"/>
        </w:rPr>
        <w:t xml:space="preserve">lisant une autre langue ; et </w:t>
      </w:r>
      <w:r w:rsidRPr="00AB4842">
        <w:rPr>
          <w:rFonts w:eastAsia="Times New Roman"/>
        </w:rPr>
        <w:t xml:space="preserve">4) traduire le message en une autre langue. Ainsi, la </w:t>
      </w:r>
      <w:r w:rsidRPr="00AB4842">
        <w:rPr>
          <w:rFonts w:eastAsia="Times New Roman"/>
          <w:i/>
          <w:iCs/>
        </w:rPr>
        <w:t>tarjama</w:t>
      </w:r>
      <w:r w:rsidRPr="00AB4842">
        <w:rPr>
          <w:rFonts w:eastAsia="Times New Roman"/>
        </w:rPr>
        <w:t xml:space="preserve"> est en quelque sorte un </w:t>
      </w:r>
      <w:r w:rsidRPr="00AB4842">
        <w:rPr>
          <w:rFonts w:eastAsia="Times New Roman"/>
          <w:i/>
          <w:iCs/>
        </w:rPr>
        <w:t>tafsīr</w:t>
      </w:r>
      <w:r w:rsidRPr="00AB4842">
        <w:rPr>
          <w:rFonts w:eastAsia="Times New Roman"/>
        </w:rPr>
        <w:t xml:space="preserve">. Aussi les exégètes ont-il accepté la </w:t>
      </w:r>
      <w:r w:rsidRPr="00AB4842">
        <w:rPr>
          <w:rFonts w:eastAsia="Times New Roman"/>
          <w:i/>
          <w:iCs/>
        </w:rPr>
        <w:t>traduction</w:t>
      </w:r>
      <w:r w:rsidRPr="00AB4842">
        <w:rPr>
          <w:rFonts w:eastAsia="Times New Roman"/>
        </w:rPr>
        <w:t xml:space="preserve"> du Coran parce qu’ils l’ont considérée comme un </w:t>
      </w:r>
      <w:r w:rsidRPr="00AB4842">
        <w:rPr>
          <w:rFonts w:eastAsia="Times New Roman"/>
          <w:i/>
          <w:iCs/>
        </w:rPr>
        <w:t>tafsīr</w:t>
      </w:r>
      <w:r w:rsidRPr="00AB4842">
        <w:rPr>
          <w:rFonts w:eastAsia="Times New Roman"/>
        </w:rPr>
        <w:t>.</w:t>
      </w:r>
    </w:p>
    <w:p w14:paraId="7889495D" w14:textId="77777777" w:rsidR="00EB5652" w:rsidRPr="00312F58" w:rsidRDefault="00EB5652" w:rsidP="00EB5652">
      <w:pPr>
        <w:shd w:val="clear" w:color="auto" w:fill="FFFFFF"/>
        <w:spacing w:line="360" w:lineRule="auto"/>
        <w:ind w:firstLine="240"/>
        <w:jc w:val="both"/>
        <w:rPr>
          <w:rFonts w:eastAsia="Times New Roman"/>
        </w:rPr>
      </w:pPr>
    </w:p>
    <w:p w14:paraId="45D05FEF" w14:textId="77777777" w:rsidR="00EB5652" w:rsidRPr="00AB4842" w:rsidRDefault="00EB5652" w:rsidP="00EB5652">
      <w:pPr>
        <w:shd w:val="clear" w:color="auto" w:fill="FFFFFF"/>
        <w:spacing w:line="360" w:lineRule="auto"/>
        <w:ind w:firstLine="240"/>
        <w:jc w:val="both"/>
        <w:rPr>
          <w:rFonts w:eastAsia="Times New Roman"/>
          <w:lang w:bidi="ar-KW"/>
        </w:rPr>
      </w:pPr>
      <w:r w:rsidRPr="00312F58">
        <w:rPr>
          <w:rFonts w:eastAsia="Times New Roman"/>
          <w:lang w:bidi="ar-KW"/>
        </w:rPr>
        <w:t xml:space="preserve">Cependant, </w:t>
      </w:r>
      <w:r w:rsidRPr="00312F58">
        <w:rPr>
          <w:rFonts w:eastAsia="Times New Roman"/>
        </w:rPr>
        <w:t xml:space="preserve">Az-Zurqānī, dans son </w:t>
      </w:r>
      <w:r w:rsidRPr="00312F58">
        <w:rPr>
          <w:rFonts w:eastAsia="Times New Roman"/>
          <w:i/>
          <w:iCs/>
        </w:rPr>
        <w:t>Manāhil al-ʿirfān</w:t>
      </w:r>
      <w:r w:rsidRPr="00312F58">
        <w:rPr>
          <w:rFonts w:eastAsia="Times New Roman"/>
        </w:rPr>
        <w:t xml:space="preserve">, </w:t>
      </w:r>
      <w:r w:rsidRPr="00AB4842">
        <w:rPr>
          <w:rFonts w:eastAsia="Times New Roman"/>
        </w:rPr>
        <w:t>donne quatre différences entre la traduction et l’exégèse :</w:t>
      </w:r>
      <w:r w:rsidRPr="00AB4842">
        <w:rPr>
          <w:rFonts w:eastAsia="Times New Roman"/>
          <w:lang w:bidi="ar-KW"/>
        </w:rPr>
        <w:t xml:space="preserve"> (1) La traduction a un statut indépendant par rapport au texte-source, </w:t>
      </w:r>
      <w:r w:rsidRPr="00AB4842">
        <w:rPr>
          <w:rFonts w:eastAsia="Times New Roman"/>
          <w:lang w:bidi="ar-KW"/>
        </w:rPr>
        <w:lastRenderedPageBreak/>
        <w:t>contrairement à l’exégèse. (2) L’explication et le développement ne sont pas permis dans la traduction, contrairement à l’exégèse qui repose sur l’explication. (3) La fidélité est une exigence pour la traduction en choisissant l’équivalent qui révèle tous les sens du mot-source. Le traducteur est beaucoup moins libre que l’exégète qui a une autorité plus grande (le traducteur transmet, l’exégète contrôle et oriente). (4) L’exhaustivité du sens est requise pour la traduction qui remplace l’origine et pas pour l’exégèse qui peut se contenter de donner un aspect du texte.</w:t>
      </w:r>
      <w:r w:rsidRPr="00AB4842">
        <w:rPr>
          <w:rStyle w:val="Appelnotedebasdep"/>
          <w:rFonts w:eastAsia="Times New Roman"/>
          <w:lang w:bidi="ar-KW"/>
        </w:rPr>
        <w:footnoteReference w:id="116"/>
      </w:r>
      <w:r w:rsidRPr="00AB4842">
        <w:rPr>
          <w:rFonts w:eastAsia="Times New Roman"/>
          <w:lang w:bidi="ar-KW"/>
        </w:rPr>
        <w:t xml:space="preserve"> L</w:t>
      </w:r>
      <w:r w:rsidRPr="00AB4842">
        <w:rPr>
          <w:rFonts w:eastAsia="Times New Roman"/>
        </w:rPr>
        <w:t>a traduction n’est ni littéralité ni liberté, mais entre les deux.</w:t>
      </w:r>
    </w:p>
    <w:p w14:paraId="65FD2412" w14:textId="77777777" w:rsidR="00EB5652" w:rsidRPr="00AB4842" w:rsidRDefault="00EB5652" w:rsidP="00EB5652">
      <w:pPr>
        <w:shd w:val="clear" w:color="auto" w:fill="FFFFFF"/>
        <w:spacing w:line="360" w:lineRule="auto"/>
        <w:ind w:firstLine="240"/>
        <w:jc w:val="both"/>
        <w:rPr>
          <w:rFonts w:eastAsia="Times New Roman"/>
          <w:lang w:bidi="ar-KW"/>
        </w:rPr>
      </w:pPr>
    </w:p>
    <w:p w14:paraId="3B5DB4FC" w14:textId="77777777" w:rsidR="00EB5652" w:rsidRPr="00312F58" w:rsidRDefault="00EB5652" w:rsidP="00EB5652">
      <w:pPr>
        <w:shd w:val="clear" w:color="auto" w:fill="FFFFFF"/>
        <w:spacing w:line="360" w:lineRule="auto"/>
        <w:ind w:firstLine="240"/>
        <w:jc w:val="both"/>
        <w:rPr>
          <w:rFonts w:eastAsia="Times New Roman"/>
        </w:rPr>
      </w:pPr>
      <w:r w:rsidRPr="00AB4842">
        <w:rPr>
          <w:rFonts w:eastAsia="Times New Roman"/>
        </w:rPr>
        <w:t xml:space="preserve">Nous remarquons un rapport fort entre le </w:t>
      </w:r>
      <w:r w:rsidRPr="00AB4842">
        <w:rPr>
          <w:rFonts w:eastAsia="Times New Roman"/>
          <w:i/>
          <w:iCs/>
        </w:rPr>
        <w:t>tafsīr</w:t>
      </w:r>
      <w:r w:rsidRPr="00AB4842">
        <w:rPr>
          <w:rFonts w:eastAsia="Times New Roman"/>
        </w:rPr>
        <w:t xml:space="preserve"> et la </w:t>
      </w:r>
      <w:r w:rsidRPr="00AB4842">
        <w:rPr>
          <w:rFonts w:eastAsia="Times New Roman"/>
          <w:i/>
          <w:iCs/>
        </w:rPr>
        <w:t>déconstruction</w:t>
      </w:r>
      <w:r w:rsidRPr="00AB4842">
        <w:rPr>
          <w:rFonts w:eastAsia="Times New Roman"/>
        </w:rPr>
        <w:t xml:space="preserve"> et notamment</w:t>
      </w:r>
      <w:r w:rsidRPr="00312F58">
        <w:rPr>
          <w:rFonts w:eastAsia="Times New Roman"/>
        </w:rPr>
        <w:t xml:space="preserve"> le concept de la « différ</w:t>
      </w:r>
      <w:r w:rsidRPr="00312F58">
        <w:rPr>
          <w:rFonts w:eastAsia="Times New Roman"/>
          <w:i/>
          <w:iCs/>
        </w:rPr>
        <w:t>a</w:t>
      </w:r>
      <w:r w:rsidRPr="00312F58">
        <w:rPr>
          <w:rFonts w:eastAsia="Times New Roman"/>
        </w:rPr>
        <w:t>nce ». « La déconstruction [de Jacques Derrida] et l’herméneutique [de Hans-Georg Gadamer] traitent aussi de thèmes étonnamment communs, comme ceux de l’interprétation et de la vérité, de l’écriture et de la littérature, de la tradition et de la textualité, de la phénoménologie et de la métaphysique. »</w:t>
      </w:r>
      <w:r w:rsidRPr="00312F58">
        <w:rPr>
          <w:rFonts w:eastAsia="Calibri"/>
          <w:vertAlign w:val="superscript"/>
          <w:lang w:bidi="ar-AE"/>
        </w:rPr>
        <w:footnoteReference w:id="117"/>
      </w:r>
    </w:p>
    <w:p w14:paraId="14F4F759" w14:textId="77777777" w:rsidR="00EB5652" w:rsidRPr="00312F58" w:rsidRDefault="00EB5652" w:rsidP="00EB5652">
      <w:pPr>
        <w:shd w:val="clear" w:color="auto" w:fill="FFFFFF"/>
        <w:spacing w:line="360" w:lineRule="auto"/>
        <w:ind w:firstLine="240"/>
        <w:jc w:val="both"/>
        <w:rPr>
          <w:rFonts w:eastAsia="Times New Roman"/>
          <w:lang w:bidi="ar-KW"/>
        </w:rPr>
      </w:pPr>
    </w:p>
    <w:p w14:paraId="14C1D5F8" w14:textId="77777777" w:rsidR="00EB5652" w:rsidRPr="00312F58" w:rsidRDefault="00EB5652" w:rsidP="00EB5652">
      <w:pPr>
        <w:shd w:val="clear" w:color="auto" w:fill="FFFFFF"/>
        <w:spacing w:line="360" w:lineRule="auto"/>
        <w:ind w:firstLine="240"/>
        <w:jc w:val="both"/>
        <w:rPr>
          <w:rFonts w:eastAsia="Times New Roman"/>
          <w:lang w:bidi="ar-KW"/>
        </w:rPr>
      </w:pPr>
      <w:r w:rsidRPr="00312F58">
        <w:rPr>
          <w:rFonts w:eastAsia="Times New Roman"/>
          <w:lang w:bidi="ar-KW"/>
        </w:rPr>
        <w:t xml:space="preserve">La </w:t>
      </w:r>
      <w:r w:rsidRPr="00312F58">
        <w:rPr>
          <w:rFonts w:eastAsia="Times New Roman"/>
          <w:i/>
          <w:iCs/>
          <w:lang w:bidi="ar-KW"/>
        </w:rPr>
        <w:t>différance</w:t>
      </w:r>
      <w:r w:rsidRPr="00312F58">
        <w:rPr>
          <w:rFonts w:eastAsia="Times New Roman"/>
          <w:lang w:bidi="ar-KW"/>
        </w:rPr>
        <w:t>, « c’est « le fait de différer », c’est donc, si l’on veut, la différence prise sous un aspect dynamique et non statique, la différence en train de s’établir et non pas établie ».</w:t>
      </w:r>
      <w:r w:rsidRPr="00312F58">
        <w:rPr>
          <w:rFonts w:eastAsia="Calibri"/>
          <w:vertAlign w:val="superscript"/>
          <w:lang w:bidi="ar-AE"/>
        </w:rPr>
        <w:footnoteReference w:id="118"/>
      </w:r>
      <w:r w:rsidRPr="00312F58">
        <w:rPr>
          <w:rFonts w:eastAsia="Times New Roman"/>
          <w:lang w:bidi="ar-KW"/>
        </w:rPr>
        <w:t xml:space="preserve"> « Le si</w:t>
      </w:r>
      <w:r>
        <w:rPr>
          <w:rFonts w:eastAsia="Times New Roman"/>
          <w:lang w:bidi="ar-KW"/>
        </w:rPr>
        <w:t>gne [linguistique] ne ‘marche’</w:t>
      </w:r>
      <w:r w:rsidRPr="00312F58">
        <w:rPr>
          <w:rFonts w:eastAsia="Times New Roman"/>
          <w:lang w:bidi="ar-KW"/>
        </w:rPr>
        <w:t xml:space="preserve"> que pour autant qu’il diffère indéfiniment sa saturation référentielle ou sémantique ».</w:t>
      </w:r>
      <w:r w:rsidRPr="00312F58">
        <w:rPr>
          <w:rFonts w:eastAsia="Calibri"/>
          <w:vertAlign w:val="superscript"/>
          <w:lang w:bidi="ar-AE"/>
        </w:rPr>
        <w:footnoteReference w:id="119"/>
      </w:r>
      <w:r w:rsidRPr="00312F58">
        <w:rPr>
          <w:rFonts w:eastAsia="Times New Roman"/>
          <w:lang w:bidi="ar-KW"/>
        </w:rPr>
        <w:t xml:space="preserve"> Lorsque les exégètes appellent respectivement « corde » et « plafond » un lien [</w:t>
      </w:r>
      <w:r w:rsidRPr="00312F58">
        <w:rPr>
          <w:rFonts w:eastAsia="Times New Roman"/>
          <w:i/>
          <w:iCs/>
          <w:lang w:bidi="ar-KW"/>
        </w:rPr>
        <w:t>sabab</w:t>
      </w:r>
      <w:r w:rsidRPr="00312F58">
        <w:rPr>
          <w:rFonts w:eastAsia="Times New Roman"/>
          <w:lang w:bidi="ar-KW"/>
        </w:rPr>
        <w:t>] et le ciel [</w:t>
      </w:r>
      <w:r w:rsidRPr="00312F58">
        <w:rPr>
          <w:rFonts w:eastAsia="Times New Roman"/>
          <w:i/>
          <w:iCs/>
          <w:lang w:bidi="ar-KW"/>
        </w:rPr>
        <w:t>as-samāʾ</w:t>
      </w:r>
      <w:r w:rsidRPr="00312F58">
        <w:rPr>
          <w:rFonts w:eastAsia="Times New Roman"/>
          <w:lang w:bidi="ar-KW"/>
        </w:rPr>
        <w:t xml:space="preserve">] (v. XXII, 15), ils réduisent ainsi les signifiés des mots </w:t>
      </w:r>
      <w:r w:rsidRPr="00312F58">
        <w:rPr>
          <w:rFonts w:eastAsia="Times New Roman"/>
          <w:i/>
          <w:iCs/>
          <w:lang w:bidi="ar-KW"/>
        </w:rPr>
        <w:t>sabab</w:t>
      </w:r>
      <w:r w:rsidRPr="00312F58">
        <w:rPr>
          <w:rFonts w:eastAsia="Times New Roman"/>
          <w:lang w:bidi="ar-KW"/>
        </w:rPr>
        <w:t xml:space="preserve"> et </w:t>
      </w:r>
      <w:r w:rsidRPr="00312F58">
        <w:rPr>
          <w:rFonts w:eastAsia="Times New Roman"/>
          <w:i/>
          <w:iCs/>
          <w:lang w:bidi="ar-KW"/>
        </w:rPr>
        <w:t>as-samāʾ</w:t>
      </w:r>
      <w:r w:rsidRPr="00312F58">
        <w:rPr>
          <w:rFonts w:eastAsia="Times New Roman"/>
          <w:lang w:bidi="ar-KW"/>
        </w:rPr>
        <w:t xml:space="preserve">. Et lorsque le courant naqshbandite syrien (Amīn Shaykhū et </w:t>
      </w:r>
      <w:r>
        <w:rPr>
          <w:rFonts w:eastAsia="Times New Roman"/>
          <w:lang w:bidi="ar-KW"/>
        </w:rPr>
        <w:t>‘Abd a</w:t>
      </w:r>
      <w:r w:rsidRPr="00312F58">
        <w:rPr>
          <w:rFonts w:eastAsia="Times New Roman"/>
          <w:lang w:bidi="ar-KW"/>
        </w:rPr>
        <w:t xml:space="preserve">l-Hādī Al-Bānī) appelle respectivement « lien » et « bienfaisance » un </w:t>
      </w:r>
      <w:r w:rsidRPr="00312F58">
        <w:rPr>
          <w:rFonts w:eastAsia="Times New Roman"/>
          <w:i/>
          <w:iCs/>
          <w:lang w:bidi="ar-KW"/>
        </w:rPr>
        <w:t>sabab</w:t>
      </w:r>
      <w:r w:rsidRPr="00312F58">
        <w:rPr>
          <w:rFonts w:eastAsia="Times New Roman"/>
          <w:lang w:bidi="ar-KW"/>
        </w:rPr>
        <w:t xml:space="preserve"> et le </w:t>
      </w:r>
      <w:r w:rsidRPr="00312F58">
        <w:rPr>
          <w:rFonts w:eastAsia="Times New Roman"/>
          <w:i/>
          <w:iCs/>
          <w:lang w:bidi="ar-KW"/>
        </w:rPr>
        <w:t>samāʾ</w:t>
      </w:r>
      <w:r w:rsidRPr="00312F58">
        <w:rPr>
          <w:rFonts w:eastAsia="Times New Roman"/>
          <w:lang w:bidi="ar-KW"/>
        </w:rPr>
        <w:t xml:space="preserve">, il élargit ainsi les signifiés des mots </w:t>
      </w:r>
      <w:r w:rsidRPr="00312F58">
        <w:rPr>
          <w:rFonts w:eastAsia="Times New Roman"/>
          <w:i/>
          <w:iCs/>
          <w:lang w:bidi="ar-KW"/>
        </w:rPr>
        <w:t>sabab</w:t>
      </w:r>
      <w:r w:rsidRPr="00312F58">
        <w:rPr>
          <w:rFonts w:eastAsia="Times New Roman"/>
          <w:lang w:bidi="ar-KW"/>
        </w:rPr>
        <w:t xml:space="preserve"> et </w:t>
      </w:r>
      <w:r w:rsidRPr="00312F58">
        <w:rPr>
          <w:rFonts w:eastAsia="Times New Roman"/>
          <w:i/>
          <w:iCs/>
          <w:lang w:bidi="ar-KW"/>
        </w:rPr>
        <w:t>samāʾ</w:t>
      </w:r>
      <w:r w:rsidRPr="00312F58">
        <w:rPr>
          <w:rFonts w:eastAsia="Times New Roman"/>
          <w:lang w:bidi="ar-KW"/>
        </w:rPr>
        <w:t>. Lorsque ces deux derniers exégètes interprètent la signification prépondérante du mot « </w:t>
      </w:r>
      <w:r w:rsidRPr="00312F58">
        <w:rPr>
          <w:rFonts w:eastAsia="Times New Roman"/>
          <w:i/>
          <w:iCs/>
          <w:lang w:bidi="ar-KW"/>
        </w:rPr>
        <w:t>samāʾ</w:t>
      </w:r>
      <w:r>
        <w:rPr>
          <w:rFonts w:eastAsia="Times New Roman"/>
          <w:lang w:bidi="ar-KW"/>
        </w:rPr>
        <w:t> » comme</w:t>
      </w:r>
      <w:r w:rsidRPr="00312F58">
        <w:rPr>
          <w:rFonts w:eastAsia="Times New Roman"/>
          <w:lang w:bidi="ar-KW"/>
        </w:rPr>
        <w:t xml:space="preserve"> « ce qui n’est pas matière », ils autorisent par avance que la morale, la bonté et le mysticisme soient pris comme cas de « </w:t>
      </w:r>
      <w:r w:rsidRPr="00312F58">
        <w:rPr>
          <w:rFonts w:eastAsia="Times New Roman"/>
          <w:i/>
          <w:iCs/>
          <w:lang w:bidi="ar-KW"/>
        </w:rPr>
        <w:t>samāʾ</w:t>
      </w:r>
      <w:r w:rsidRPr="00312F58">
        <w:rPr>
          <w:rFonts w:eastAsia="Times New Roman"/>
          <w:lang w:bidi="ar-KW"/>
        </w:rPr>
        <w:t> ». Selon Derrida, le signe ne renvoie à son référent ou son signifié que dans l’horizon d’un ailleurs, d’un futur. Nous disons déjà les mots avant que leur interprétation dernière ne soit disponible.</w:t>
      </w:r>
      <w:r w:rsidRPr="00312F58">
        <w:rPr>
          <w:rFonts w:eastAsia="Calibri"/>
          <w:vertAlign w:val="superscript"/>
          <w:lang w:bidi="ar-AE"/>
        </w:rPr>
        <w:footnoteReference w:id="120"/>
      </w:r>
      <w:r w:rsidRPr="00312F58">
        <w:rPr>
          <w:rFonts w:eastAsia="Times New Roman"/>
          <w:lang w:bidi="ar-KW"/>
        </w:rPr>
        <w:t xml:space="preserve"> Selon les interprétations du verset </w:t>
      </w:r>
      <w:r w:rsidRPr="00312F58">
        <w:rPr>
          <w:rFonts w:eastAsia="Times New Roman"/>
        </w:rPr>
        <w:t>III, 7 (</w:t>
      </w:r>
      <w:r w:rsidRPr="00312F58">
        <w:rPr>
          <w:rFonts w:ascii="Simplified Arabic" w:eastAsia="Times New Roman" w:hAnsi="Simplified Arabic" w:cs="Simplified Arabic"/>
          <w:shd w:val="clear" w:color="auto" w:fill="FFFFFF"/>
          <w:rtl/>
          <w:lang w:bidi="ar-KW"/>
        </w:rPr>
        <w:t>"</w:t>
      </w:r>
      <w:r w:rsidRPr="00312F58">
        <w:rPr>
          <w:rFonts w:ascii="Simplified Arabic" w:eastAsia="Times New Roman" w:hAnsi="Simplified Arabic" w:cs="Simplified Arabic"/>
          <w:shd w:val="clear" w:color="auto" w:fill="FFFFFF"/>
          <w:rtl/>
        </w:rPr>
        <w:t>وما يَعْلَمُ تأويلَه إلاَّ اللهُ"</w:t>
      </w:r>
      <w:r w:rsidRPr="00312F58">
        <w:rPr>
          <w:rFonts w:eastAsia="Times New Roman"/>
          <w:shd w:val="clear" w:color="auto" w:fill="FFFFFF"/>
        </w:rPr>
        <w:t> [</w:t>
      </w:r>
      <w:r w:rsidRPr="00312F58">
        <w:rPr>
          <w:rFonts w:eastAsia="Times New Roman"/>
          <w:lang w:bidi="ar-KW"/>
        </w:rPr>
        <w:t xml:space="preserve">« alors que nul ne sait son interprétation </w:t>
      </w:r>
      <w:r w:rsidRPr="00312F58">
        <w:rPr>
          <w:rFonts w:eastAsia="Times New Roman"/>
          <w:lang w:bidi="ar-KW"/>
        </w:rPr>
        <w:lastRenderedPageBreak/>
        <w:t>sinon Allah »] [trad. Abdelaziz]), le Coran diffère sa signification. Les exégètes sont ainsi à la recherche d’une signification dernière. Dans cette perspective, la polysémie peut être considérée comme un processus dynamique de la « </w:t>
      </w:r>
      <w:r w:rsidRPr="00312F58">
        <w:rPr>
          <w:rFonts w:eastAsia="Times New Roman"/>
          <w:i/>
          <w:iCs/>
          <w:lang w:bidi="ar-KW"/>
        </w:rPr>
        <w:t>différance</w:t>
      </w:r>
      <w:r w:rsidRPr="00312F58">
        <w:rPr>
          <w:rFonts w:eastAsia="Times New Roman"/>
          <w:lang w:bidi="ar-KW"/>
        </w:rPr>
        <w:t> ». Un hadith souligne que le Coran est un livre « </w:t>
      </w:r>
      <w:r w:rsidRPr="00312F58">
        <w:rPr>
          <w:rFonts w:ascii="Simplified Arabic" w:eastAsia="Times New Roman" w:hAnsi="Simplified Arabic" w:cs="Simplified Arabic"/>
          <w:rtl/>
          <w:lang w:bidi="ar-KW"/>
        </w:rPr>
        <w:t>لا تنقضي عجائبُه ولا يَــخْــلَــق من كثرة الرد</w:t>
      </w:r>
      <w:r w:rsidRPr="00312F58">
        <w:rPr>
          <w:rFonts w:eastAsia="Times New Roman"/>
          <w:lang w:bidi="ar-KW"/>
        </w:rPr>
        <w:t> » [« dont les miracles ne prendront jamais fin et qui ne s’use pas à force d’être répété »].</w:t>
      </w:r>
      <w:r w:rsidRPr="00312F58">
        <w:rPr>
          <w:rFonts w:eastAsia="Calibri"/>
          <w:vertAlign w:val="superscript"/>
          <w:lang w:bidi="ar-AE"/>
        </w:rPr>
        <w:footnoteReference w:id="121"/>
      </w:r>
      <w:r w:rsidRPr="00312F58">
        <w:rPr>
          <w:rFonts w:eastAsia="Times New Roman"/>
          <w:lang w:bidi="ar-KW"/>
        </w:rPr>
        <w:t xml:space="preserve"> Bien qu’il existe plusieurs hadiths qui soulignent le dogme de « l’enlèvement du Coran à la fin des temps » (</w:t>
      </w:r>
      <w:r w:rsidRPr="00312F58">
        <w:rPr>
          <w:rFonts w:ascii="Simplified Arabic" w:eastAsia="Times New Roman" w:hAnsi="Simplified Arabic" w:cs="Simplified Arabic"/>
          <w:rtl/>
          <w:lang w:bidi="ar-KW"/>
        </w:rPr>
        <w:t>رفْع القرآن في آخر الزمان</w:t>
      </w:r>
      <w:r w:rsidRPr="00312F58">
        <w:rPr>
          <w:rFonts w:eastAsia="Times New Roman"/>
          <w:lang w:bidi="ar-KW"/>
        </w:rPr>
        <w:t>)</w:t>
      </w:r>
      <w:r w:rsidRPr="00312F58">
        <w:rPr>
          <w:rFonts w:eastAsia="Calibri"/>
          <w:vertAlign w:val="superscript"/>
          <w:lang w:bidi="ar-AE"/>
        </w:rPr>
        <w:footnoteReference w:id="122"/>
      </w:r>
      <w:r w:rsidRPr="00312F58">
        <w:rPr>
          <w:rFonts w:eastAsia="Times New Roman"/>
          <w:lang w:bidi="ar-KW"/>
        </w:rPr>
        <w:t>, des musulmans croient que leur livre sacré sera interprété à la fin des temps, car, selon le</w:t>
      </w:r>
      <w:r>
        <w:rPr>
          <w:rFonts w:eastAsia="Times New Roman"/>
          <w:lang w:bidi="ar-KW"/>
        </w:rPr>
        <w:t xml:space="preserve"> théologien égyptien Muḥammad Mu</w:t>
      </w:r>
      <w:r w:rsidRPr="00312F58">
        <w:rPr>
          <w:rFonts w:eastAsia="Times New Roman"/>
          <w:lang w:bidi="ar-KW"/>
        </w:rPr>
        <w:t>t</w:t>
      </w:r>
      <w:r>
        <w:rPr>
          <w:rFonts w:eastAsia="Times New Roman"/>
          <w:lang w:bidi="ar-KW"/>
        </w:rPr>
        <w:t>a</w:t>
      </w:r>
      <w:r w:rsidRPr="00312F58">
        <w:rPr>
          <w:rFonts w:eastAsia="Times New Roman"/>
          <w:lang w:bidi="ar-KW"/>
        </w:rPr>
        <w:t xml:space="preserve">wallī </w:t>
      </w:r>
      <w:r w:rsidRPr="00312F58">
        <w:rPr>
          <w:rFonts w:eastAsia="Times New Roman"/>
          <w:lang w:bidi="ar-EG"/>
        </w:rPr>
        <w:t>Ash-Shaʿrāwī</w:t>
      </w:r>
      <w:r w:rsidRPr="00312F58">
        <w:rPr>
          <w:rFonts w:eastAsia="Times New Roman"/>
          <w:lang w:bidi="ar-KW"/>
        </w:rPr>
        <w:t xml:space="preserve"> (</w:t>
      </w:r>
      <w:hyperlink r:id="rId18" w:tooltip="1911" w:history="1">
        <w:r w:rsidRPr="00312F58">
          <w:rPr>
            <w:rFonts w:eastAsia="Times New Roman"/>
            <w:lang w:bidi="ar-KW"/>
          </w:rPr>
          <w:t>1911</w:t>
        </w:r>
      </w:hyperlink>
      <w:r w:rsidRPr="00312F58">
        <w:rPr>
          <w:rFonts w:eastAsia="Times New Roman"/>
          <w:lang w:bidi="ar-KW"/>
        </w:rPr>
        <w:t>-</w:t>
      </w:r>
      <w:hyperlink r:id="rId19" w:tooltip="1998" w:history="1">
        <w:r w:rsidRPr="00312F58">
          <w:rPr>
            <w:rFonts w:eastAsia="Times New Roman"/>
            <w:lang w:bidi="ar-KW"/>
          </w:rPr>
          <w:t>1998</w:t>
        </w:r>
      </w:hyperlink>
      <w:r w:rsidRPr="00312F58">
        <w:rPr>
          <w:rFonts w:eastAsia="Times New Roman"/>
          <w:lang w:bidi="ar-KW"/>
        </w:rPr>
        <w:t>), le prophète n’a pas interprété le Coran pour ne pas épuiser sa richesse et pour permettre à ce texte d’éblouir la postérité en tant que miracle qui subsiste jusqu’à la fin des temps</w:t>
      </w:r>
      <w:r w:rsidRPr="00312F58">
        <w:rPr>
          <w:rFonts w:eastAsia="Calibri"/>
          <w:vertAlign w:val="superscript"/>
          <w:lang w:bidi="ar-AE"/>
        </w:rPr>
        <w:footnoteReference w:id="123"/>
      </w:r>
      <w:r w:rsidRPr="00312F58">
        <w:rPr>
          <w:rFonts w:eastAsia="Times New Roman"/>
          <w:lang w:bidi="ar-KW"/>
        </w:rPr>
        <w:t>.</w:t>
      </w:r>
    </w:p>
    <w:p w14:paraId="6B3A4D41" w14:textId="77777777" w:rsidR="00EB5652" w:rsidRPr="00312F58" w:rsidRDefault="00EB5652" w:rsidP="00EB5652">
      <w:pPr>
        <w:shd w:val="clear" w:color="auto" w:fill="FFFFFF"/>
        <w:spacing w:line="360" w:lineRule="auto"/>
        <w:ind w:firstLine="240"/>
        <w:jc w:val="both"/>
        <w:rPr>
          <w:rFonts w:eastAsia="Times New Roman"/>
          <w:lang w:bidi="ar-KW"/>
        </w:rPr>
      </w:pPr>
    </w:p>
    <w:p w14:paraId="36B29F5D" w14:textId="77777777" w:rsidR="00EB5652" w:rsidRPr="00312F58" w:rsidRDefault="00EB5652" w:rsidP="00EB5652">
      <w:pPr>
        <w:shd w:val="clear" w:color="auto" w:fill="FFFFFF"/>
        <w:spacing w:line="360" w:lineRule="auto"/>
        <w:ind w:firstLine="240"/>
        <w:jc w:val="both"/>
        <w:rPr>
          <w:rFonts w:eastAsia="Times New Roman"/>
          <w:lang w:bidi="ar-KW"/>
        </w:rPr>
      </w:pPr>
      <w:r w:rsidRPr="00312F58">
        <w:rPr>
          <w:rFonts w:eastAsia="Times New Roman"/>
          <w:lang w:bidi="ar-KW"/>
        </w:rPr>
        <w:t xml:space="preserve">De ce point de vue, les exégèses et les traductions du Coran ne sont que des étapes dans le processus dynamique de la </w:t>
      </w:r>
      <w:r w:rsidRPr="00312F58">
        <w:rPr>
          <w:rFonts w:eastAsia="Times New Roman"/>
          <w:i/>
          <w:iCs/>
          <w:lang w:bidi="ar-KW"/>
        </w:rPr>
        <w:t>différance</w:t>
      </w:r>
      <w:r w:rsidRPr="00312F58">
        <w:rPr>
          <w:rFonts w:eastAsia="Times New Roman"/>
          <w:lang w:bidi="ar-KW"/>
        </w:rPr>
        <w:t>. Elles sont des systèmes de différance.</w:t>
      </w:r>
    </w:p>
    <w:p w14:paraId="7D988A39" w14:textId="77777777" w:rsidR="00EB5652" w:rsidRPr="00AB4842" w:rsidRDefault="00EB5652" w:rsidP="00EB5652">
      <w:pPr>
        <w:shd w:val="clear" w:color="auto" w:fill="FFFFFF"/>
        <w:spacing w:line="360" w:lineRule="auto"/>
        <w:jc w:val="both"/>
        <w:rPr>
          <w:rFonts w:eastAsia="Times New Roman"/>
          <w:lang w:bidi="ar-KW"/>
        </w:rPr>
      </w:pPr>
    </w:p>
    <w:p w14:paraId="5FFBABEF" w14:textId="77777777" w:rsidR="00EB5652" w:rsidRPr="00AB4842" w:rsidRDefault="00EB5652" w:rsidP="00EB5652">
      <w:pPr>
        <w:shd w:val="clear" w:color="auto" w:fill="FFFFFF"/>
        <w:spacing w:line="360" w:lineRule="auto"/>
        <w:ind w:firstLine="240"/>
        <w:jc w:val="both"/>
        <w:rPr>
          <w:rFonts w:eastAsia="Times New Roman"/>
          <w:lang w:bidi="ar-AE"/>
        </w:rPr>
      </w:pPr>
      <w:r w:rsidRPr="00AB4842">
        <w:rPr>
          <w:rFonts w:eastAsia="Times New Roman"/>
        </w:rPr>
        <w:t xml:space="preserve">Le </w:t>
      </w:r>
      <w:r w:rsidRPr="00AB4842">
        <w:rPr>
          <w:rFonts w:eastAsia="Times New Roman"/>
          <w:i/>
          <w:iCs/>
        </w:rPr>
        <w:t>tafsīr</w:t>
      </w:r>
      <w:r w:rsidRPr="00AB4842">
        <w:rPr>
          <w:rFonts w:eastAsia="Times New Roman"/>
        </w:rPr>
        <w:t xml:space="preserve"> en tant qu’activité linguistique est aussi ancien que le Coran lui-même. Cependant, on ne sait pas quand le </w:t>
      </w:r>
      <w:r w:rsidRPr="00AB4842">
        <w:rPr>
          <w:rFonts w:eastAsia="Times New Roman"/>
          <w:i/>
          <w:iCs/>
        </w:rPr>
        <w:t>tafsīr</w:t>
      </w:r>
      <w:r w:rsidRPr="00AB4842">
        <w:rPr>
          <w:rFonts w:eastAsia="Times New Roman"/>
        </w:rPr>
        <w:t xml:space="preserve"> a paru en tant que discipline indépendante</w:t>
      </w:r>
      <w:r w:rsidRPr="00AB4842">
        <w:rPr>
          <w:rFonts w:eastAsia="Calibri"/>
          <w:vertAlign w:val="superscript"/>
          <w:lang w:bidi="ar-AE"/>
        </w:rPr>
        <w:footnoteReference w:id="124"/>
      </w:r>
      <w:r w:rsidRPr="00AB4842">
        <w:rPr>
          <w:rFonts w:eastAsia="Times New Roman"/>
        </w:rPr>
        <w:t xml:space="preserve">. Le mot, paru dans le Coran comme un </w:t>
      </w:r>
      <w:r w:rsidRPr="00AB4842">
        <w:rPr>
          <w:rFonts w:eastAsia="Times New Roman"/>
          <w:i/>
          <w:iCs/>
        </w:rPr>
        <w:t>hapax legomenon</w:t>
      </w:r>
      <w:r w:rsidRPr="00AB4842">
        <w:rPr>
          <w:rFonts w:eastAsia="Times New Roman"/>
        </w:rPr>
        <w:t xml:space="preserve"> (une seule fois) dans le v. 33, XXV ne désigne</w:t>
      </w:r>
      <w:r w:rsidRPr="00312F58">
        <w:rPr>
          <w:rFonts w:eastAsia="Times New Roman"/>
        </w:rPr>
        <w:t xml:space="preserve"> pas seulement, semble-t-il, l’acte d’expliquer, mais aussi celui de traduire.</w:t>
      </w:r>
      <w:r w:rsidRPr="00312F58">
        <w:rPr>
          <w:rFonts w:eastAsia="Times New Roman"/>
          <w:vertAlign w:val="superscript"/>
          <w:lang w:bidi="ar-AE"/>
        </w:rPr>
        <w:footnoteReference w:id="125"/>
      </w:r>
      <w:r w:rsidRPr="00312F58">
        <w:rPr>
          <w:rFonts w:eastAsia="Times New Roman"/>
        </w:rPr>
        <w:t xml:space="preserve"> Une recherche dans les anciens ouvrages arabes nous montre que ce mot a été souvent utilisé pour désigner le travail d’un traducteur ou d’un interprète. Dans </w:t>
      </w:r>
      <w:r w:rsidRPr="00312F58">
        <w:rPr>
          <w:rFonts w:eastAsia="Times New Roman"/>
          <w:i/>
          <w:iCs/>
        </w:rPr>
        <w:t>Futūḥ ash-Shām</w:t>
      </w:r>
      <w:r w:rsidRPr="00312F58">
        <w:rPr>
          <w:rFonts w:eastAsia="Times New Roman"/>
        </w:rPr>
        <w:t xml:space="preserve"> [</w:t>
      </w:r>
      <w:r w:rsidRPr="00312F58">
        <w:rPr>
          <w:rFonts w:eastAsia="Times New Roman"/>
          <w:i/>
          <w:iCs/>
        </w:rPr>
        <w:t>Les conquêtes de la Syrie</w:t>
      </w:r>
      <w:r w:rsidRPr="00312F58">
        <w:rPr>
          <w:rFonts w:eastAsia="Times New Roman"/>
        </w:rPr>
        <w:t>]</w:t>
      </w:r>
      <w:r>
        <w:rPr>
          <w:rStyle w:val="Appelnotedebasdep"/>
          <w:rFonts w:eastAsia="Times New Roman"/>
        </w:rPr>
        <w:footnoteReference w:id="126"/>
      </w:r>
      <w:r w:rsidRPr="00312F58">
        <w:rPr>
          <w:rFonts w:eastAsia="Times New Roman"/>
        </w:rPr>
        <w:t xml:space="preserve">, </w:t>
      </w:r>
      <w:r w:rsidRPr="00312F58">
        <w:rPr>
          <w:rFonts w:eastAsia="Times New Roman"/>
        </w:rPr>
        <w:lastRenderedPageBreak/>
        <w:t xml:space="preserve">l’historien Al-Wāqidī (m. 822) rapporte : </w:t>
      </w:r>
      <w:r w:rsidRPr="00312F58">
        <w:rPr>
          <w:rFonts w:ascii="Simplified Arabic" w:eastAsia="Times New Roman" w:hAnsi="Simplified Arabic" w:cs="Simplified Arabic"/>
          <w:rtl/>
          <w:lang w:bidi="ar-AE"/>
        </w:rPr>
        <w:t>"والذي</w:t>
      </w:r>
      <w:r w:rsidRPr="00312F58">
        <w:rPr>
          <w:rFonts w:ascii="Simplified Arabic" w:eastAsia="Times New Roman" w:hAnsi="Simplified Arabic" w:cs="Simplified Arabic"/>
          <w:b/>
          <w:bCs/>
          <w:i/>
          <w:iCs/>
          <w:rtl/>
          <w:lang w:bidi="ar-AE"/>
        </w:rPr>
        <w:t xml:space="preserve"> فَـسَّـرَ</w:t>
      </w:r>
      <w:r w:rsidRPr="00312F58">
        <w:rPr>
          <w:rFonts w:ascii="Simplified Arabic" w:eastAsia="Times New Roman" w:hAnsi="Simplified Arabic" w:cs="Simplified Arabic"/>
          <w:rtl/>
          <w:lang w:bidi="ar-AE"/>
        </w:rPr>
        <w:t xml:space="preserve"> لنا هذا الكلام هو روماس حاكم بصرى، وكان مع جيش شُرَحبيل بن حسَنة على باب توما [...] وكلَّما قالَ الرومُ شيئاً بلغتهم</w:t>
      </w:r>
      <w:r w:rsidRPr="00312F58">
        <w:rPr>
          <w:rFonts w:ascii="Simplified Arabic" w:eastAsia="Times New Roman" w:hAnsi="Simplified Arabic" w:cs="Simplified Arabic"/>
          <w:b/>
          <w:bCs/>
          <w:i/>
          <w:iCs/>
          <w:rtl/>
          <w:lang w:bidi="ar-AE"/>
        </w:rPr>
        <w:t xml:space="preserve"> فَــسَّــرَه </w:t>
      </w:r>
      <w:r w:rsidRPr="00312F58">
        <w:rPr>
          <w:rFonts w:ascii="Simplified Arabic" w:eastAsia="Times New Roman" w:hAnsi="Simplified Arabic" w:cs="Simplified Arabic"/>
          <w:rtl/>
          <w:lang w:bidi="ar-AE"/>
        </w:rPr>
        <w:t>لنا"</w:t>
      </w:r>
      <w:r w:rsidRPr="00312F58">
        <w:rPr>
          <w:rFonts w:eastAsia="Times New Roman"/>
        </w:rPr>
        <w:t xml:space="preserve"> [« Celui qui nous </w:t>
      </w:r>
      <w:r w:rsidRPr="00312F58">
        <w:rPr>
          <w:rFonts w:eastAsia="Times New Roman"/>
          <w:b/>
          <w:bCs/>
          <w:i/>
          <w:iCs/>
        </w:rPr>
        <w:t>a interprété</w:t>
      </w:r>
      <w:r>
        <w:rPr>
          <w:rFonts w:eastAsia="Times New Roman"/>
        </w:rPr>
        <w:t xml:space="preserve"> ce </w:t>
      </w:r>
      <w:r w:rsidRPr="00AB4842">
        <w:rPr>
          <w:rFonts w:eastAsia="Times New Roman"/>
        </w:rPr>
        <w:t>discours était R</w:t>
      </w:r>
      <w:r w:rsidRPr="00AB4842">
        <w:rPr>
          <w:rFonts w:eastAsia="Times New Roman"/>
          <w:iCs/>
          <w:szCs w:val="20"/>
        </w:rPr>
        <w:t>ū</w:t>
      </w:r>
      <w:r w:rsidRPr="00AB4842">
        <w:rPr>
          <w:rFonts w:eastAsia="Times New Roman"/>
        </w:rPr>
        <w:t>m</w:t>
      </w:r>
      <w:r w:rsidRPr="00AB4842">
        <w:rPr>
          <w:rFonts w:eastAsia="Times New Roman"/>
          <w:lang w:bidi="ar-EG"/>
        </w:rPr>
        <w:t>ā</w:t>
      </w:r>
      <w:r w:rsidRPr="00AB4842">
        <w:rPr>
          <w:rFonts w:eastAsia="Times New Roman"/>
        </w:rPr>
        <w:t>s le gouverneur de Bu</w:t>
      </w:r>
      <w:r w:rsidRPr="00AB4842">
        <w:rPr>
          <w:rFonts w:cstheme="majorBidi"/>
          <w:szCs w:val="28"/>
          <w:shd w:val="clear" w:color="auto" w:fill="FFFFFF"/>
        </w:rPr>
        <w:t>ṣ</w:t>
      </w:r>
      <w:r w:rsidRPr="00AB4842">
        <w:rPr>
          <w:rFonts w:eastAsia="Times New Roman"/>
        </w:rPr>
        <w:t>r</w:t>
      </w:r>
      <w:r w:rsidRPr="00AB4842">
        <w:rPr>
          <w:rFonts w:eastAsia="Times New Roman"/>
          <w:lang w:bidi="ar-EG"/>
        </w:rPr>
        <w:t>ā</w:t>
      </w:r>
      <w:r w:rsidRPr="00AB4842">
        <w:rPr>
          <w:rFonts w:eastAsia="Times New Roman"/>
        </w:rPr>
        <w:t xml:space="preserve"> alors qu’il était dans l’armée de Shuraḥbī</w:t>
      </w:r>
      <w:r>
        <w:rPr>
          <w:rFonts w:eastAsia="Times New Roman"/>
        </w:rPr>
        <w:t>l b.</w:t>
      </w:r>
      <w:r w:rsidRPr="00AB4842">
        <w:rPr>
          <w:rFonts w:eastAsia="Times New Roman"/>
        </w:rPr>
        <w:t xml:space="preserve"> Ḥasana devant Bāb Tūmā […] Et à chaque fois que les Byzantins disaient une chose en leur langue, il nous l’</w:t>
      </w:r>
      <w:r w:rsidRPr="00AB4842">
        <w:rPr>
          <w:rFonts w:eastAsia="Times New Roman"/>
          <w:b/>
          <w:bCs/>
          <w:i/>
          <w:iCs/>
        </w:rPr>
        <w:t>a interprétée</w:t>
      </w:r>
      <w:r w:rsidRPr="00AB4842">
        <w:rPr>
          <w:rFonts w:eastAsia="Times New Roman"/>
        </w:rPr>
        <w:t xml:space="preserve">]. </w:t>
      </w:r>
      <w:r w:rsidRPr="00AB4842">
        <w:rPr>
          <w:rFonts w:eastAsia="Times New Roman"/>
          <w:lang w:bidi="ar-AE"/>
        </w:rPr>
        <w:t xml:space="preserve">Le traditionaliste Aṭ-Ṭabarānī (m. 970), dans </w:t>
      </w:r>
      <w:r w:rsidRPr="00AB4842">
        <w:rPr>
          <w:rFonts w:eastAsia="Times New Roman"/>
          <w:i/>
          <w:iCs/>
          <w:lang w:bidi="ar-AE"/>
        </w:rPr>
        <w:t>Musnad ash-shāmīyyīn</w:t>
      </w:r>
      <w:r w:rsidRPr="00AB4842">
        <w:rPr>
          <w:rStyle w:val="Appelnotedebasdep"/>
          <w:rFonts w:eastAsia="Times New Roman"/>
          <w:lang w:bidi="ar-AE"/>
        </w:rPr>
        <w:footnoteReference w:id="127"/>
      </w:r>
      <w:r w:rsidRPr="00AB4842">
        <w:rPr>
          <w:rFonts w:eastAsia="Times New Roman"/>
          <w:lang w:bidi="ar-AE"/>
        </w:rPr>
        <w:t xml:space="preserve">, ainsi que le traditionniste Al-Bayhaqī (m. 1066), dans </w:t>
      </w:r>
      <w:r w:rsidRPr="00AB4842">
        <w:rPr>
          <w:rFonts w:eastAsia="Times New Roman"/>
          <w:i/>
          <w:iCs/>
          <w:lang w:bidi="ar-AE"/>
        </w:rPr>
        <w:t>Shuʿab al-ʾīmān</w:t>
      </w:r>
      <w:r w:rsidRPr="00AB4842">
        <w:rPr>
          <w:rStyle w:val="Appelnotedebasdep"/>
          <w:rFonts w:eastAsia="Times New Roman"/>
          <w:lang w:bidi="ar-AE"/>
        </w:rPr>
        <w:footnoteReference w:id="128"/>
      </w:r>
      <w:r w:rsidRPr="00AB4842">
        <w:rPr>
          <w:rFonts w:eastAsia="Times New Roman"/>
          <w:lang w:bidi="ar-AE"/>
        </w:rPr>
        <w:t xml:space="preserve">, utilisent le verbe </w:t>
      </w:r>
      <w:r w:rsidRPr="00AB4842">
        <w:rPr>
          <w:rFonts w:eastAsia="Times New Roman"/>
          <w:i/>
          <w:iCs/>
          <w:lang w:bidi="ar-AE"/>
        </w:rPr>
        <w:t>yufassiru</w:t>
      </w:r>
      <w:r w:rsidRPr="00AB4842">
        <w:rPr>
          <w:rFonts w:eastAsia="Times New Roman"/>
          <w:lang w:bidi="ar-AE"/>
        </w:rPr>
        <w:t xml:space="preserve"> pour désigner l’acte du traducteur. </w:t>
      </w:r>
      <w:r w:rsidRPr="00AB4842">
        <w:rPr>
          <w:rFonts w:eastAsia="Times New Roman"/>
        </w:rPr>
        <w:t xml:space="preserve">Le théologien Ibn Ḥajar Al-ʿAsqalānī (m. 1448) dit dans </w:t>
      </w:r>
      <w:r w:rsidRPr="00AB4842">
        <w:rPr>
          <w:rFonts w:eastAsia="Times New Roman"/>
          <w:i/>
          <w:iCs/>
        </w:rPr>
        <w:t>Fatḥ al-Bārī</w:t>
      </w:r>
      <w:r w:rsidRPr="00AB4842">
        <w:rPr>
          <w:rFonts w:eastAsia="Times New Roman"/>
        </w:rPr>
        <w:t xml:space="preserve"> (p. 351) : </w:t>
      </w:r>
      <w:r w:rsidRPr="00AB4842">
        <w:rPr>
          <w:rFonts w:ascii="Simplified Arabic" w:eastAsia="Times New Roman" w:hAnsi="Simplified Arabic" w:cs="Simplified Arabic"/>
          <w:rtl/>
          <w:lang w:bidi="ar-AE"/>
        </w:rPr>
        <w:t>"والتُّرْجُمَان مَنْ</w:t>
      </w:r>
      <w:r w:rsidRPr="00AB4842">
        <w:rPr>
          <w:rFonts w:ascii="Simplified Arabic" w:eastAsia="Times New Roman" w:hAnsi="Simplified Arabic" w:cs="Simplified Arabic"/>
          <w:b/>
          <w:bCs/>
          <w:i/>
          <w:iCs/>
          <w:rtl/>
          <w:lang w:bidi="ar-AE"/>
        </w:rPr>
        <w:t xml:space="preserve"> يُفَسِّر</w:t>
      </w:r>
      <w:r w:rsidRPr="00AB4842">
        <w:rPr>
          <w:rFonts w:ascii="Simplified Arabic" w:eastAsia="Times New Roman" w:hAnsi="Simplified Arabic" w:cs="Simplified Arabic"/>
          <w:rtl/>
          <w:lang w:bidi="ar-AE"/>
        </w:rPr>
        <w:t xml:space="preserve"> لُغَة بِلُغَةٍ"</w:t>
      </w:r>
      <w:r w:rsidRPr="00AB4842">
        <w:rPr>
          <w:rFonts w:eastAsia="Times New Roman"/>
          <w:lang w:bidi="ar-AE"/>
        </w:rPr>
        <w:t xml:space="preserve"> [« L’interprète est celui qui</w:t>
      </w:r>
      <w:r w:rsidRPr="00AB4842">
        <w:rPr>
          <w:rFonts w:eastAsia="Times New Roman"/>
          <w:b/>
          <w:bCs/>
          <w:i/>
          <w:iCs/>
          <w:lang w:bidi="ar-AE"/>
        </w:rPr>
        <w:t xml:space="preserve"> traduit</w:t>
      </w:r>
      <w:r w:rsidRPr="00AB4842">
        <w:rPr>
          <w:rFonts w:eastAsia="Times New Roman"/>
          <w:lang w:bidi="ar-AE"/>
        </w:rPr>
        <w:t xml:space="preserve"> une langue dans une autre »]</w:t>
      </w:r>
      <w:r w:rsidRPr="00AB4842">
        <w:rPr>
          <w:rStyle w:val="Appelnotedebasdep"/>
          <w:rFonts w:eastAsia="Times New Roman"/>
          <w:lang w:bidi="ar-AE"/>
        </w:rPr>
        <w:footnoteReference w:id="129"/>
      </w:r>
      <w:r w:rsidRPr="00AB4842">
        <w:rPr>
          <w:rFonts w:eastAsia="Times New Roman"/>
          <w:lang w:bidi="ar-AE"/>
        </w:rPr>
        <w:t>.</w:t>
      </w:r>
    </w:p>
    <w:p w14:paraId="54FFDA26" w14:textId="77777777" w:rsidR="00EB5652" w:rsidRPr="00AB4842" w:rsidRDefault="00EB5652" w:rsidP="00EB5652">
      <w:pPr>
        <w:shd w:val="clear" w:color="auto" w:fill="FFFFFF"/>
        <w:spacing w:line="360" w:lineRule="auto"/>
        <w:ind w:firstLine="240"/>
        <w:jc w:val="both"/>
        <w:rPr>
          <w:rFonts w:eastAsia="Times New Roman"/>
        </w:rPr>
      </w:pPr>
    </w:p>
    <w:p w14:paraId="7660B3FA" w14:textId="77777777" w:rsidR="00EB5652" w:rsidRPr="00312F58" w:rsidRDefault="00EB5652" w:rsidP="00EB5652">
      <w:pPr>
        <w:tabs>
          <w:tab w:val="left" w:pos="720"/>
        </w:tabs>
        <w:suppressAutoHyphens/>
        <w:spacing w:line="360" w:lineRule="auto"/>
        <w:jc w:val="both"/>
        <w:rPr>
          <w:rFonts w:ascii="Calibri" w:eastAsia="Arial Unicode MS" w:hAnsi="Calibri" w:cs="Arial"/>
        </w:rPr>
      </w:pPr>
      <w:r w:rsidRPr="00312F58">
        <w:rPr>
          <w:rFonts w:eastAsia="Times New Roman"/>
          <w:lang w:bidi="ar-KW"/>
        </w:rPr>
        <w:tab/>
        <w:t>Plusieurs versets mettent en lumière l’attitude des adversaires du prophète (dont l</w:t>
      </w:r>
      <w:r>
        <w:rPr>
          <w:rFonts w:eastAsia="Times New Roman"/>
          <w:lang w:bidi="ar-KW"/>
        </w:rPr>
        <w:t>e plus acharné est An-Naḍr b. a</w:t>
      </w:r>
      <w:r w:rsidRPr="00312F58">
        <w:rPr>
          <w:rFonts w:eastAsia="Times New Roman"/>
          <w:lang w:bidi="ar-KW"/>
        </w:rPr>
        <w:t xml:space="preserve">l-Ḥārith) vis-à-vis du Coran. Ces derniers soulignent que ces idées avaient été formulées avant le Coran et affirment que ce texte n’est que </w:t>
      </w:r>
      <w:r w:rsidRPr="00312F58">
        <w:rPr>
          <w:rFonts w:eastAsia="Times New Roman"/>
          <w:i/>
          <w:iCs/>
          <w:lang w:bidi="ar-KW"/>
        </w:rPr>
        <w:t>asāṭīr al-awwalīn</w:t>
      </w:r>
      <w:r w:rsidRPr="00312F58">
        <w:rPr>
          <w:rFonts w:eastAsia="Times New Roman"/>
          <w:lang w:bidi="ar-KW"/>
        </w:rPr>
        <w:t xml:space="preserve"> (légendes des Anciens) (XXV, 5). En d’autres termes, les adversaires argumentent que le Coran puise ses idées des ouvrages antérieurs écrits évidemment dans des langues étrangères (i.e. forcément à travers une opération traduisante). À l’accusation que Muḥammad s’inspire dans ses versets des légendes des Anciens, le Coran répond dans le verset XXV, 33 que si les adversaires apportent une parabole, le Coran (désigné par le pronom « Nous ») apporte la vérité avec une meilleure explication. En d’autres termes, ce verset voulait dire que le Coran présente une version meilleure que celle de ses adversaires.</w:t>
      </w:r>
    </w:p>
    <w:p w14:paraId="76E5654B" w14:textId="77777777" w:rsidR="00EB5652" w:rsidRPr="00312F58" w:rsidRDefault="00EB5652" w:rsidP="00EB5652">
      <w:pPr>
        <w:shd w:val="clear" w:color="auto" w:fill="FFFFFF"/>
        <w:bidi/>
        <w:spacing w:before="100" w:beforeAutospacing="1" w:after="100" w:afterAutospacing="1" w:line="360" w:lineRule="auto"/>
        <w:jc w:val="both"/>
        <w:rPr>
          <w:rFonts w:eastAsia="Calibri"/>
          <w:lang w:bidi="ar-KW"/>
        </w:rPr>
      </w:pPr>
      <w:r w:rsidRPr="00312F58">
        <w:rPr>
          <w:rFonts w:ascii="Simplified Arabic" w:eastAsia="Calibri" w:hAnsi="Simplified Arabic" w:cs="Simplified Arabic"/>
          <w:rtl/>
        </w:rPr>
        <w:t>"(</w:t>
      </w:r>
      <w:r w:rsidRPr="00312F58">
        <w:rPr>
          <w:rFonts w:ascii="Simplified Arabic" w:eastAsia="Calibri" w:hAnsi="Simplified Arabic" w:cs="Simplified Arabic"/>
        </w:rPr>
        <w:t>5</w:t>
      </w:r>
      <w:r w:rsidRPr="00312F58">
        <w:rPr>
          <w:rFonts w:ascii="Simplified Arabic" w:eastAsia="Calibri" w:hAnsi="Simplified Arabic" w:cs="Simplified Arabic"/>
          <w:rtl/>
        </w:rPr>
        <w:t>)</w:t>
      </w:r>
      <w:r w:rsidRPr="00312F58">
        <w:rPr>
          <w:rFonts w:ascii="Simplified Arabic" w:eastAsia="Calibri" w:hAnsi="Simplified Arabic" w:cs="Simplified Arabic"/>
          <w:rtl/>
          <w:lang w:bidi="ar-KW"/>
        </w:rPr>
        <w:t xml:space="preserve"> </w:t>
      </w:r>
      <w:r w:rsidRPr="00312F58">
        <w:rPr>
          <w:rFonts w:ascii="Simplified Arabic" w:eastAsia="Calibri" w:hAnsi="Simplified Arabic" w:cs="Simplified Arabic"/>
          <w:rtl/>
        </w:rPr>
        <w:t>وقالوا أساطيرُ الأوَّلين اكتتبها فهيَ تُملى عليه بُكرةً وأصيلا</w:t>
      </w:r>
      <w:r w:rsidRPr="00312F58">
        <w:rPr>
          <w:rFonts w:ascii="Simplified Arabic" w:eastAsia="Calibri" w:hAnsi="Simplified Arabic" w:cs="Simplified Arabic"/>
          <w:rtl/>
          <w:lang w:bidi="ar-KW"/>
        </w:rPr>
        <w:t>. [...] (</w:t>
      </w:r>
      <w:r w:rsidRPr="00312F58">
        <w:rPr>
          <w:rFonts w:ascii="Simplified Arabic" w:eastAsia="Calibri" w:hAnsi="Simplified Arabic" w:cs="Simplified Arabic"/>
          <w:lang w:bidi="ar-KW"/>
        </w:rPr>
        <w:t>33</w:t>
      </w:r>
      <w:r w:rsidRPr="00312F58">
        <w:rPr>
          <w:rFonts w:ascii="Simplified Arabic" w:eastAsia="Calibri" w:hAnsi="Simplified Arabic" w:cs="Simplified Arabic"/>
          <w:rtl/>
          <w:lang w:bidi="ar-KW"/>
        </w:rPr>
        <w:t xml:space="preserve">) </w:t>
      </w:r>
      <w:r w:rsidRPr="00312F58">
        <w:rPr>
          <w:rFonts w:ascii="Simplified Arabic" w:eastAsia="Calibri" w:hAnsi="Simplified Arabic" w:cs="Simplified Arabic"/>
          <w:rtl/>
        </w:rPr>
        <w:t xml:space="preserve">ولا يأتونكَ بمَثَلٍ إلاَّ جِئناكَ بالحقّ وأحسنَ تفسيرًا" (الفرقان، </w:t>
      </w:r>
      <w:r w:rsidRPr="00312F58">
        <w:rPr>
          <w:rFonts w:ascii="Simplified Arabic" w:eastAsia="Calibri" w:hAnsi="Simplified Arabic" w:cs="Simplified Arabic"/>
        </w:rPr>
        <w:t>5</w:t>
      </w:r>
      <w:r w:rsidRPr="00312F58">
        <w:rPr>
          <w:rFonts w:ascii="Simplified Arabic" w:eastAsia="Calibri" w:hAnsi="Simplified Arabic" w:cs="Simplified Arabic"/>
          <w:rtl/>
        </w:rPr>
        <w:t xml:space="preserve"> و</w:t>
      </w:r>
      <w:r w:rsidRPr="00312F58">
        <w:rPr>
          <w:rFonts w:ascii="Simplified Arabic" w:eastAsia="Calibri" w:hAnsi="Simplified Arabic" w:cs="Simplified Arabic"/>
        </w:rPr>
        <w:t>33</w:t>
      </w:r>
      <w:r w:rsidRPr="00312F58">
        <w:rPr>
          <w:rFonts w:ascii="Simplified Arabic" w:eastAsia="Calibri" w:hAnsi="Simplified Arabic" w:cs="Simplified Arabic"/>
          <w:rtl/>
        </w:rPr>
        <w:t>)</w:t>
      </w:r>
    </w:p>
    <w:p w14:paraId="596BE89A" w14:textId="77777777" w:rsidR="00EB5652" w:rsidRPr="00C30C91" w:rsidRDefault="00EB5652" w:rsidP="00EB5652">
      <w:pPr>
        <w:shd w:val="clear" w:color="auto" w:fill="FFFFFF"/>
        <w:tabs>
          <w:tab w:val="left" w:pos="720"/>
        </w:tabs>
        <w:suppressAutoHyphens/>
        <w:spacing w:line="360" w:lineRule="auto"/>
        <w:jc w:val="both"/>
        <w:rPr>
          <w:rFonts w:ascii="Calibri" w:eastAsia="Arial Unicode MS" w:hAnsi="Calibri" w:cs="Arial"/>
          <w:rtl/>
        </w:rPr>
      </w:pPr>
      <w:r w:rsidRPr="00312F58">
        <w:rPr>
          <w:rFonts w:eastAsia="Times New Roman"/>
          <w:lang w:bidi="ar-KW"/>
        </w:rPr>
        <w:lastRenderedPageBreak/>
        <w:tab/>
      </w:r>
      <w:r w:rsidRPr="00C30C91">
        <w:rPr>
          <w:rFonts w:eastAsia="Times New Roman"/>
          <w:lang w:bidi="ar-KW"/>
        </w:rPr>
        <w:t xml:space="preserve">Dans </w:t>
      </w:r>
      <w:r w:rsidRPr="00C30C91">
        <w:rPr>
          <w:rFonts w:eastAsia="Calibri" w:cs="Arial"/>
          <w:i/>
          <w:iCs/>
          <w:lang w:bidi="ar-AE"/>
        </w:rPr>
        <w:t>Majmūʿ Fatāwā Ibn Taymīya</w:t>
      </w:r>
      <w:r w:rsidRPr="00C30C91">
        <w:rPr>
          <w:rStyle w:val="Appelnotedebasdep"/>
          <w:rFonts w:eastAsia="Calibri"/>
          <w:lang w:bidi="ar-AE"/>
        </w:rPr>
        <w:footnoteReference w:id="130"/>
      </w:r>
      <w:r w:rsidRPr="00C30C91">
        <w:rPr>
          <w:rFonts w:eastAsia="Times New Roman"/>
          <w:lang w:bidi="ar-KW"/>
        </w:rPr>
        <w:t>,</w:t>
      </w:r>
      <w:r w:rsidRPr="00C30C91">
        <w:rPr>
          <w:rFonts w:eastAsia="Calibri" w:cs="Arial"/>
          <w:lang w:bidi="ar-AE"/>
        </w:rPr>
        <w:t xml:space="preserve"> Ibn Taymīya </w:t>
      </w:r>
      <w:r w:rsidRPr="00C30C91">
        <w:rPr>
          <w:rFonts w:eastAsia="Times New Roman"/>
          <w:lang w:bidi="ar-KW"/>
        </w:rPr>
        <w:t xml:space="preserve">(m. </w:t>
      </w:r>
      <w:r w:rsidRPr="00C30C91">
        <w:rPr>
          <w:rFonts w:eastAsia="Calibri"/>
          <w:shd w:val="clear" w:color="auto" w:fill="FFFFFF"/>
        </w:rPr>
        <w:t>1328</w:t>
      </w:r>
      <w:r w:rsidRPr="00C30C91">
        <w:rPr>
          <w:rFonts w:eastAsia="Times New Roman"/>
          <w:lang w:bidi="ar-KW"/>
        </w:rPr>
        <w:t>) invoque l’idée que le Coran présente une meilleure « traduction », lorsqu’il cite, à propos du sujet de la traduction en général, ce même verset 33, XXV</w:t>
      </w:r>
      <w:r w:rsidRPr="00C30C91">
        <w:rPr>
          <w:rFonts w:eastAsia="Calibri"/>
        </w:rPr>
        <w:t xml:space="preserve"> (« Et ils ne t’apporteront une parabole, sans que Nous ne t’Ayons Apporté la Vérité et la meilleure interprétation </w:t>
      </w:r>
      <w:r w:rsidRPr="00312F58">
        <w:rPr>
          <w:rFonts w:eastAsia="Calibri"/>
        </w:rPr>
        <w:t>» [trad. Abdelaziz])</w:t>
      </w:r>
      <w:r w:rsidRPr="00312F58">
        <w:rPr>
          <w:rFonts w:eastAsia="Times New Roman"/>
          <w:lang w:bidi="ar-KW"/>
        </w:rPr>
        <w:t xml:space="preserve"> pour démontrer l’interdiction de la traduction et de la citation des œuvres des non-musulmans en ce qui concerne la religion. En revanche, la traduction de leurs œuvres non-religieuses est permise, voire préférable, car ces dernières ne sont pas adressées aux musulmans et par la suite ne peuvent pas contenir une trahison. </w:t>
      </w:r>
      <w:r w:rsidRPr="00312F58">
        <w:rPr>
          <w:rFonts w:eastAsia="Calibri" w:cs="Arial"/>
          <w:lang w:bidi="ar-AE"/>
        </w:rPr>
        <w:t>Ibn Taymīya</w:t>
      </w:r>
      <w:r w:rsidRPr="00312F58">
        <w:rPr>
          <w:rFonts w:eastAsia="Times New Roman"/>
          <w:lang w:bidi="ar-KW"/>
        </w:rPr>
        <w:t xml:space="preserve"> explique cette interdiction par le fait que si les non-musulmans ont emprunté les idées des prophètes, ils seraient ainsi comme les Gens du Livre voire pire, et s’ils les ont apprises d’après le syllogisme, elles peuvent être conformes au Coran ou contradictoires. Si elles sont conformes au Coran, </w:t>
      </w:r>
      <w:r w:rsidRPr="00C30C91">
        <w:rPr>
          <w:rFonts w:eastAsia="Times New Roman"/>
          <w:lang w:bidi="ar-KW"/>
        </w:rPr>
        <w:t>elles sont justes, sinon, le Coran démontre leur fausseté à travers ses paraboles, comme le souligne Dieu dans le verset 33, XXV, selon les termes d’Ibn Taymīya qui a interdit la traduction du Coran parce que son caractère arabe est voulu. (</w:t>
      </w:r>
      <w:r w:rsidRPr="00C30C91">
        <w:rPr>
          <w:rFonts w:eastAsia="Calibri" w:cs="Arial"/>
          <w:i/>
          <w:iCs/>
          <w:lang w:bidi="ar-AE"/>
        </w:rPr>
        <w:t>Fatāwā</w:t>
      </w:r>
      <w:r w:rsidRPr="00C30C91">
        <w:rPr>
          <w:rFonts w:eastAsia="Times New Roman"/>
          <w:lang w:bidi="ar-KW"/>
        </w:rPr>
        <w:t>, 22/477)</w:t>
      </w:r>
    </w:p>
    <w:p w14:paraId="1BC74D9D" w14:textId="77777777" w:rsidR="00EB5652" w:rsidRPr="00C30C91" w:rsidRDefault="00EB5652" w:rsidP="00EB5652">
      <w:pPr>
        <w:shd w:val="clear" w:color="auto" w:fill="FFFFFF"/>
        <w:spacing w:line="360" w:lineRule="auto"/>
        <w:jc w:val="both"/>
        <w:rPr>
          <w:rFonts w:eastAsia="Times New Roman"/>
          <w:lang w:bidi="ar-KW"/>
        </w:rPr>
      </w:pPr>
    </w:p>
    <w:p w14:paraId="47F94891" w14:textId="77777777" w:rsidR="00EB5652" w:rsidRPr="00312F58" w:rsidRDefault="00EB5652" w:rsidP="00EB5652">
      <w:pPr>
        <w:shd w:val="clear" w:color="auto" w:fill="FFFFFF"/>
        <w:spacing w:line="360" w:lineRule="auto"/>
        <w:ind w:firstLine="240"/>
        <w:jc w:val="both"/>
        <w:rPr>
          <w:rFonts w:eastAsia="Times New Roman"/>
        </w:rPr>
      </w:pPr>
      <w:r w:rsidRPr="00C30C91">
        <w:rPr>
          <w:rFonts w:eastAsia="Times New Roman"/>
        </w:rPr>
        <w:t>On trouve dans la période de la parution du Coran des activités exégétiques très réduites. Selon Aṭ-Ṭabarī, le deuxième calife ʿUmar aurait demandé ce que signifiait</w:t>
      </w:r>
      <w:r w:rsidRPr="00312F58">
        <w:rPr>
          <w:rFonts w:eastAsia="Times New Roman"/>
        </w:rPr>
        <w:t xml:space="preserve"> le mot </w:t>
      </w:r>
      <w:r w:rsidRPr="00312F58">
        <w:rPr>
          <w:rFonts w:eastAsia="Times New Roman"/>
          <w:i/>
          <w:iCs/>
        </w:rPr>
        <w:t>ʾabb</w:t>
      </w:r>
      <w:r w:rsidRPr="00312F58">
        <w:rPr>
          <w:rFonts w:eastAsia="Times New Roman"/>
        </w:rPr>
        <w:t xml:space="preserve"> (LXXX, 31). </w:t>
      </w:r>
      <w:r w:rsidRPr="00312F58">
        <w:rPr>
          <w:rFonts w:eastAsia="Times New Roman"/>
          <w:shd w:val="clear" w:color="auto" w:fill="FFFFFF"/>
        </w:rPr>
        <w:t xml:space="preserve">Selon </w:t>
      </w:r>
      <w:r>
        <w:rPr>
          <w:rFonts w:eastAsia="Times New Roman"/>
        </w:rPr>
        <w:t>Muḥammad Ḥu</w:t>
      </w:r>
      <w:r w:rsidRPr="00312F58">
        <w:rPr>
          <w:rFonts w:eastAsia="Times New Roman"/>
        </w:rPr>
        <w:t>sayn Adh-Dhahabī (</w:t>
      </w:r>
      <w:r>
        <w:rPr>
          <w:rFonts w:eastAsia="Times New Roman"/>
          <w:i/>
          <w:iCs/>
        </w:rPr>
        <w:t>At-tafsīr wa-</w:t>
      </w:r>
      <w:r w:rsidRPr="00312F58">
        <w:rPr>
          <w:rFonts w:eastAsia="Times New Roman"/>
          <w:i/>
          <w:iCs/>
        </w:rPr>
        <w:t>l-mufassirūn</w:t>
      </w:r>
      <w:r w:rsidRPr="00312F58">
        <w:rPr>
          <w:rFonts w:eastAsia="Times New Roman"/>
        </w:rPr>
        <w:t xml:space="preserve">), le prophète n’a expliqué que quelques versets et certains points. Az-Zarkashī dans </w:t>
      </w:r>
      <w:r w:rsidRPr="00312F58">
        <w:rPr>
          <w:rFonts w:eastAsia="Times New Roman"/>
          <w:i/>
          <w:iCs/>
        </w:rPr>
        <w:t>Al-Burhān</w:t>
      </w:r>
      <w:r w:rsidRPr="00312F58">
        <w:rPr>
          <w:rFonts w:eastAsia="Times New Roman"/>
        </w:rPr>
        <w:t xml:space="preserve"> et Al-Qurṭubī dans son </w:t>
      </w:r>
      <w:r w:rsidRPr="00312F58">
        <w:rPr>
          <w:rFonts w:eastAsia="Times New Roman"/>
          <w:i/>
          <w:iCs/>
        </w:rPr>
        <w:t>Tafsīr</w:t>
      </w:r>
      <w:r w:rsidRPr="00312F58">
        <w:rPr>
          <w:rFonts w:eastAsia="Times New Roman"/>
        </w:rPr>
        <w:t xml:space="preserve"> soulignent que le prophète n’a pas expliqué les mots du Coran. Ibn ʿAbbās ne manquait pas de donner son explication, dans le but d’orienter et de fixer la signification.</w:t>
      </w:r>
    </w:p>
    <w:p w14:paraId="4161B5EC" w14:textId="77777777" w:rsidR="00EB5652" w:rsidRPr="00312F58" w:rsidRDefault="00EB5652" w:rsidP="00EB5652">
      <w:pPr>
        <w:shd w:val="clear" w:color="auto" w:fill="FFFFFF"/>
        <w:spacing w:line="360" w:lineRule="auto"/>
        <w:ind w:firstLine="240"/>
        <w:jc w:val="both"/>
        <w:rPr>
          <w:rFonts w:eastAsia="Times New Roman"/>
        </w:rPr>
      </w:pPr>
    </w:p>
    <w:p w14:paraId="5C8CF101" w14:textId="77777777" w:rsidR="00EB5652" w:rsidRPr="00312F58" w:rsidRDefault="00EB5652" w:rsidP="00EB5652">
      <w:pPr>
        <w:shd w:val="clear" w:color="auto" w:fill="FFFFFF"/>
        <w:spacing w:line="360" w:lineRule="auto"/>
        <w:ind w:firstLine="240"/>
        <w:jc w:val="both"/>
        <w:rPr>
          <w:rFonts w:eastAsia="Times New Roman"/>
          <w:color w:val="002060"/>
        </w:rPr>
      </w:pPr>
      <w:r w:rsidRPr="00312F58">
        <w:rPr>
          <w:rFonts w:eastAsia="Times New Roman"/>
        </w:rPr>
        <w:t>Se référant aux versets XVI, 4</w:t>
      </w:r>
      <w:r>
        <w:rPr>
          <w:rFonts w:eastAsia="Times New Roman"/>
        </w:rPr>
        <w:t>4 et 64, Denis Gril souligne :</w:t>
      </w:r>
      <w:r w:rsidRPr="00312F58">
        <w:rPr>
          <w:rFonts w:eastAsia="Times New Roman"/>
        </w:rPr>
        <w:t xml:space="preserve"> « Tout en s’affirmant discours clair er explicite (</w:t>
      </w:r>
      <w:r w:rsidRPr="00312F58">
        <w:rPr>
          <w:rFonts w:eastAsia="Times New Roman"/>
          <w:i/>
          <w:iCs/>
        </w:rPr>
        <w:t>bayân</w:t>
      </w:r>
      <w:r>
        <w:rPr>
          <w:rFonts w:eastAsia="Times New Roman"/>
        </w:rPr>
        <w:t xml:space="preserve">), [le Coran] </w:t>
      </w:r>
      <w:r w:rsidRPr="00312F58">
        <w:rPr>
          <w:rFonts w:eastAsia="Times New Roman"/>
        </w:rPr>
        <w:t>confie au Prophète la mission d’en expliquer le sens aux hommes (16,44 et 64) ».</w:t>
      </w:r>
      <w:r w:rsidRPr="00312F58">
        <w:rPr>
          <w:rFonts w:eastAsia="Times New Roman"/>
          <w:vertAlign w:val="superscript"/>
          <w:lang w:bidi="ar-AE"/>
        </w:rPr>
        <w:footnoteReference w:id="131"/>
      </w:r>
      <w:r w:rsidRPr="00312F58">
        <w:rPr>
          <w:rFonts w:eastAsia="Times New Roman"/>
        </w:rPr>
        <w:t xml:space="preserve"> Cependant, Aṭ-Ṭabarī souligne que « </w:t>
      </w:r>
      <w:r w:rsidRPr="00312F58">
        <w:rPr>
          <w:rFonts w:eastAsia="Times New Roman"/>
          <w:i/>
          <w:iCs/>
        </w:rPr>
        <w:t>li-tubayyina li-n-nās</w:t>
      </w:r>
      <w:r w:rsidRPr="00312F58">
        <w:rPr>
          <w:rFonts w:eastAsia="Times New Roman"/>
        </w:rPr>
        <w:t> » (XVI, 44) est l’équivalent de « </w:t>
      </w:r>
      <w:r w:rsidRPr="00312F58">
        <w:rPr>
          <w:rFonts w:eastAsia="Times New Roman"/>
          <w:i/>
          <w:iCs/>
        </w:rPr>
        <w:t>li-tuʿarrifa-hum</w:t>
      </w:r>
      <w:r w:rsidRPr="00312F58">
        <w:rPr>
          <w:rFonts w:eastAsia="Times New Roman"/>
        </w:rPr>
        <w:t> » [pour que tu fasses connaître aux hommes, que tu leur annonces]</w:t>
      </w:r>
      <w:r w:rsidRPr="00312F58">
        <w:rPr>
          <w:rFonts w:eastAsia="Times New Roman"/>
          <w:vertAlign w:val="superscript"/>
          <w:lang w:bidi="ar-AE"/>
        </w:rPr>
        <w:footnoteReference w:id="132"/>
      </w:r>
      <w:r w:rsidRPr="00312F58">
        <w:rPr>
          <w:rFonts w:eastAsia="Times New Roman"/>
        </w:rPr>
        <w:t xml:space="preserve">. L’utilisation du terme </w:t>
      </w:r>
      <w:r w:rsidRPr="00312F58">
        <w:rPr>
          <w:rFonts w:eastAsia="Times New Roman"/>
          <w:i/>
          <w:iCs/>
        </w:rPr>
        <w:t>an-nās</w:t>
      </w:r>
      <w:r w:rsidRPr="00312F58">
        <w:rPr>
          <w:rFonts w:eastAsia="Times New Roman"/>
        </w:rPr>
        <w:t xml:space="preserve"> (les hommes, les gens) affirme, semble-t-il, le sens de l’annonce, car ce n’est pas logique que le prophète explique le Coran à tout le monde et </w:t>
      </w:r>
      <w:r w:rsidRPr="00312F58">
        <w:rPr>
          <w:rFonts w:eastAsia="Times New Roman"/>
        </w:rPr>
        <w:lastRenderedPageBreak/>
        <w:t xml:space="preserve">surtout aux mecquois païens qui refusaient même de l’écouter. L’occurrence de ce même verbe </w:t>
      </w:r>
      <w:r w:rsidRPr="00312F58">
        <w:rPr>
          <w:rFonts w:eastAsia="Times New Roman"/>
          <w:i/>
          <w:iCs/>
        </w:rPr>
        <w:t>yubayyin</w:t>
      </w:r>
      <w:r w:rsidRPr="00312F58">
        <w:rPr>
          <w:rFonts w:eastAsia="Times New Roman"/>
        </w:rPr>
        <w:t xml:space="preserve"> comme antonyme de </w:t>
      </w:r>
      <w:r w:rsidRPr="00312F58">
        <w:rPr>
          <w:rFonts w:eastAsia="Times New Roman"/>
          <w:i/>
          <w:iCs/>
        </w:rPr>
        <w:t>yaktum</w:t>
      </w:r>
      <w:r w:rsidRPr="00312F58">
        <w:rPr>
          <w:rFonts w:eastAsia="Times New Roman"/>
        </w:rPr>
        <w:t xml:space="preserve"> [cacher] dans le verset III, 187 </w:t>
      </w:r>
      <w:r w:rsidRPr="00973D9D">
        <w:rPr>
          <w:rFonts w:asciiTheme="majorBidi" w:eastAsia="Times New Roman" w:hAnsiTheme="majorBidi" w:cstheme="majorBidi"/>
        </w:rPr>
        <w:t>(</w:t>
      </w:r>
      <w:r w:rsidRPr="00973D9D">
        <w:rPr>
          <w:rFonts w:asciiTheme="majorBidi" w:eastAsia="Times New Roman" w:hAnsiTheme="majorBidi" w:cstheme="majorBidi"/>
          <w:color w:val="000000"/>
          <w:shd w:val="clear" w:color="auto" w:fill="FFFFFF"/>
          <w:rtl/>
        </w:rPr>
        <w:t>لَــتُــبَـــيِّـــنُـــنَّــه للناس ولا تكْتُمونه</w:t>
      </w:r>
      <w:r w:rsidRPr="00973D9D">
        <w:rPr>
          <w:rFonts w:asciiTheme="majorBidi" w:eastAsia="Times New Roman" w:hAnsiTheme="majorBidi" w:cstheme="majorBidi"/>
        </w:rPr>
        <w:t>) montre</w:t>
      </w:r>
      <w:r w:rsidRPr="00312F58">
        <w:rPr>
          <w:rFonts w:eastAsia="Times New Roman"/>
        </w:rPr>
        <w:t xml:space="preserve"> bien que le langage coranique utilise ce verbe dans le sens d’annoncer et non pas d’expliquer. Le verset LXXV, 19 (</w:t>
      </w:r>
      <w:r w:rsidRPr="00312F58">
        <w:rPr>
          <w:rFonts w:ascii="Simplified Arabic" w:eastAsia="Times New Roman" w:hAnsi="Simplified Arabic" w:cs="Simplified Arabic"/>
          <w:color w:val="000000"/>
          <w:rtl/>
        </w:rPr>
        <w:t>ثم إنَّ علينا بَيانَه</w:t>
      </w:r>
      <w:r w:rsidRPr="00312F58">
        <w:rPr>
          <w:rFonts w:eastAsia="Times New Roman"/>
        </w:rPr>
        <w:t xml:space="preserve">) souligne clairement que c’est à « Dieu » (désigné dans le verset par le pronom pluriel </w:t>
      </w:r>
      <w:r w:rsidRPr="00312F58">
        <w:rPr>
          <w:rFonts w:eastAsia="Times New Roman"/>
          <w:i/>
          <w:iCs/>
        </w:rPr>
        <w:t xml:space="preserve">-nā </w:t>
      </w:r>
      <w:r w:rsidRPr="00312F58">
        <w:rPr>
          <w:rFonts w:eastAsia="Times New Roman"/>
        </w:rPr>
        <w:t>[à nous]) d’en éclairer le sens (</w:t>
      </w:r>
      <w:r w:rsidRPr="00312F58">
        <w:rPr>
          <w:rFonts w:eastAsia="Times New Roman"/>
          <w:i/>
          <w:iCs/>
        </w:rPr>
        <w:t>bayānahu</w:t>
      </w:r>
      <w:r w:rsidRPr="00312F58">
        <w:rPr>
          <w:rFonts w:eastAsia="Times New Roman"/>
        </w:rPr>
        <w:t>).</w:t>
      </w:r>
    </w:p>
    <w:p w14:paraId="26069E23" w14:textId="77777777" w:rsidR="00EB5652" w:rsidRPr="00312F58" w:rsidRDefault="00EB5652" w:rsidP="00EB5652">
      <w:pPr>
        <w:shd w:val="clear" w:color="auto" w:fill="FFFFFF"/>
        <w:spacing w:line="360" w:lineRule="auto"/>
        <w:ind w:firstLine="240"/>
        <w:jc w:val="both"/>
        <w:rPr>
          <w:rFonts w:eastAsia="Times New Roman"/>
        </w:rPr>
      </w:pPr>
      <w:r w:rsidRPr="00312F58">
        <w:rPr>
          <w:rFonts w:eastAsia="Times New Roman"/>
        </w:rPr>
        <w:tab/>
      </w:r>
    </w:p>
    <w:p w14:paraId="66ED7855" w14:textId="77777777" w:rsidR="00EB5652" w:rsidRPr="00312F58" w:rsidRDefault="00EB5652" w:rsidP="00EB5652">
      <w:pPr>
        <w:shd w:val="clear" w:color="auto" w:fill="FFFFFF"/>
        <w:spacing w:line="360" w:lineRule="auto"/>
        <w:ind w:firstLine="240"/>
        <w:jc w:val="both"/>
        <w:rPr>
          <w:rFonts w:eastAsia="Times New Roman"/>
        </w:rPr>
      </w:pPr>
      <w:r w:rsidRPr="00312F58">
        <w:rPr>
          <w:rFonts w:eastAsia="Times New Roman"/>
        </w:rPr>
        <w:t xml:space="preserve">Ainsi, il semble que le prophète n’avait pas de mission d’expliquer le Coran aux hommes, car le sens du verbe </w:t>
      </w:r>
      <w:r w:rsidRPr="00312F58">
        <w:rPr>
          <w:rFonts w:eastAsia="Times New Roman"/>
          <w:i/>
          <w:iCs/>
        </w:rPr>
        <w:t>tubayyina</w:t>
      </w:r>
      <w:r w:rsidRPr="00312F58">
        <w:rPr>
          <w:rFonts w:eastAsia="Times New Roman"/>
        </w:rPr>
        <w:t xml:space="preserve"> évoqué dans les deux derniers versets n’est pas </w:t>
      </w:r>
      <w:r w:rsidRPr="00312F58">
        <w:rPr>
          <w:rFonts w:eastAsia="Times New Roman"/>
          <w:i/>
          <w:iCs/>
        </w:rPr>
        <w:t>expliquer</w:t>
      </w:r>
      <w:r w:rsidRPr="00312F58">
        <w:rPr>
          <w:rFonts w:eastAsia="Times New Roman"/>
        </w:rPr>
        <w:t xml:space="preserve">, mais plutôt </w:t>
      </w:r>
      <w:r w:rsidRPr="00312F58">
        <w:rPr>
          <w:rFonts w:eastAsia="Times New Roman"/>
          <w:i/>
          <w:iCs/>
        </w:rPr>
        <w:t>annoncer</w:t>
      </w:r>
      <w:r w:rsidRPr="00312F58">
        <w:rPr>
          <w:rFonts w:eastAsia="Times New Roman"/>
        </w:rPr>
        <w:t xml:space="preserve">, </w:t>
      </w:r>
      <w:r w:rsidRPr="00312F58">
        <w:rPr>
          <w:rFonts w:eastAsia="Times New Roman"/>
          <w:i/>
          <w:iCs/>
        </w:rPr>
        <w:t>déclarer</w:t>
      </w:r>
      <w:r w:rsidRPr="00312F58">
        <w:rPr>
          <w:rFonts w:eastAsia="Times New Roman"/>
        </w:rPr>
        <w:t>.</w:t>
      </w:r>
    </w:p>
    <w:p w14:paraId="3F2E49FE" w14:textId="77777777" w:rsidR="00EB5652" w:rsidRPr="00312F58" w:rsidRDefault="00EB5652" w:rsidP="00EB5652">
      <w:pPr>
        <w:shd w:val="clear" w:color="auto" w:fill="FFFFFF"/>
        <w:spacing w:line="360" w:lineRule="auto"/>
        <w:ind w:firstLine="240"/>
        <w:jc w:val="both"/>
        <w:rPr>
          <w:rFonts w:eastAsia="Times New Roman"/>
        </w:rPr>
      </w:pPr>
    </w:p>
    <w:p w14:paraId="6DD96B70" w14:textId="77777777" w:rsidR="00EB5652" w:rsidRPr="00312F58" w:rsidRDefault="00EB5652" w:rsidP="00EB5652">
      <w:pPr>
        <w:shd w:val="clear" w:color="auto" w:fill="FFFFFF"/>
        <w:spacing w:line="360" w:lineRule="auto"/>
        <w:ind w:firstLine="240"/>
        <w:jc w:val="both"/>
        <w:rPr>
          <w:rFonts w:eastAsia="Times New Roman"/>
        </w:rPr>
      </w:pPr>
      <w:r w:rsidRPr="00312F58">
        <w:rPr>
          <w:rFonts w:eastAsia="Times New Roman"/>
        </w:rPr>
        <w:t>Il n’y avait pas</w:t>
      </w:r>
      <w:r>
        <w:rPr>
          <w:rFonts w:eastAsia="Times New Roman"/>
        </w:rPr>
        <w:t xml:space="preserve"> de</w:t>
      </w:r>
      <w:r w:rsidRPr="00312F58">
        <w:rPr>
          <w:rFonts w:eastAsia="Times New Roman"/>
        </w:rPr>
        <w:t xml:space="preserve"> besoin social, politique ou identitaire pour que Muḥammad explique le Coran. Il semble que Muḥammad était non pas un commentateur du Coran mais plutôt un porte-parole de l’équipe de la rédaction du texte ou, selon les termes de Gilliot, un </w:t>
      </w:r>
      <w:r w:rsidRPr="00312F58">
        <w:rPr>
          <w:rFonts w:eastAsia="Times New Roman"/>
          <w:i/>
          <w:iCs/>
        </w:rPr>
        <w:t>parangon</w:t>
      </w:r>
      <w:r w:rsidRPr="00312F58">
        <w:rPr>
          <w:rFonts w:eastAsia="Times New Roman"/>
        </w:rPr>
        <w:t xml:space="preserve"> (personnage emblématique)</w:t>
      </w:r>
      <w:r w:rsidRPr="00312F58">
        <w:rPr>
          <w:rFonts w:eastAsia="Times New Roman"/>
          <w:shd w:val="clear" w:color="auto" w:fill="FFFFFF"/>
        </w:rPr>
        <w:t xml:space="preserve"> qui n’était pas le seul rédacteur ou responsable de l’œuvre ou de l’action qu’on lui attribue.</w:t>
      </w:r>
    </w:p>
    <w:p w14:paraId="48FBA38B" w14:textId="77777777" w:rsidR="00EB5652" w:rsidRPr="00312F58" w:rsidRDefault="00EB5652" w:rsidP="00EB5652">
      <w:pPr>
        <w:shd w:val="clear" w:color="auto" w:fill="FFFFFF"/>
        <w:spacing w:line="360" w:lineRule="auto"/>
        <w:ind w:firstLine="240"/>
        <w:jc w:val="both"/>
        <w:rPr>
          <w:rFonts w:eastAsia="Times New Roman"/>
        </w:rPr>
      </w:pPr>
    </w:p>
    <w:p w14:paraId="78BDEF13" w14:textId="77777777" w:rsidR="00EB5652" w:rsidRPr="00312F58" w:rsidRDefault="00EB5652" w:rsidP="00EB5652">
      <w:pPr>
        <w:shd w:val="clear" w:color="auto" w:fill="FFFFFF"/>
        <w:spacing w:line="360" w:lineRule="auto"/>
        <w:ind w:firstLine="240"/>
        <w:jc w:val="both"/>
        <w:rPr>
          <w:rFonts w:eastAsia="Times New Roman"/>
        </w:rPr>
      </w:pPr>
      <w:r w:rsidRPr="00312F58">
        <w:rPr>
          <w:rFonts w:eastAsia="Times New Roman"/>
        </w:rPr>
        <w:t xml:space="preserve">L’un des objectifs de la rédaction du Coran était pour les Arabes païens de se différencier des juifs et des chrétiens, de créer une identité </w:t>
      </w:r>
      <w:r w:rsidRPr="00312F58">
        <w:rPr>
          <w:rFonts w:eastAsia="Times New Roman"/>
          <w:i/>
          <w:iCs/>
        </w:rPr>
        <w:t>arabe</w:t>
      </w:r>
      <w:r w:rsidRPr="00312F58">
        <w:rPr>
          <w:rFonts w:eastAsia="Times New Roman"/>
        </w:rPr>
        <w:t xml:space="preserve"> (basée sur un livre sacré </w:t>
      </w:r>
      <w:r w:rsidRPr="00312F58">
        <w:rPr>
          <w:rFonts w:eastAsia="Times New Roman"/>
          <w:i/>
          <w:iCs/>
        </w:rPr>
        <w:t>arabe</w:t>
      </w:r>
      <w:r w:rsidRPr="00312F58">
        <w:rPr>
          <w:rFonts w:eastAsia="Times New Roman"/>
        </w:rPr>
        <w:t xml:space="preserve"> constitutionnel et canonique, « </w:t>
      </w:r>
      <w:r w:rsidRPr="00312F58">
        <w:rPr>
          <w:rFonts w:eastAsia="Times New Roman"/>
          <w:i/>
          <w:iCs/>
        </w:rPr>
        <w:t>qurʾānan ʿarabīyan</w:t>
      </w:r>
      <w:r w:rsidRPr="00312F58">
        <w:rPr>
          <w:rFonts w:eastAsia="Times New Roman"/>
        </w:rPr>
        <w:t xml:space="preserve"> » (v. XII, 2)), poussés par un sentiment d’émulation entre eux comme </w:t>
      </w:r>
      <w:r w:rsidRPr="00312F58">
        <w:rPr>
          <w:rFonts w:eastAsia="Times New Roman"/>
          <w:i/>
          <w:iCs/>
        </w:rPr>
        <w:t>ummyyīn</w:t>
      </w:r>
      <w:r w:rsidRPr="00312F58">
        <w:rPr>
          <w:rFonts w:eastAsia="Times New Roman"/>
        </w:rPr>
        <w:t xml:space="preserve"> (sans identité religieuse monothéiste, c.à.d. </w:t>
      </w:r>
      <w:r w:rsidRPr="00312F58">
        <w:rPr>
          <w:rFonts w:eastAsia="Times New Roman"/>
          <w:i/>
          <w:iCs/>
          <w:lang w:bidi="ar-EG"/>
        </w:rPr>
        <w:t>Goyim</w:t>
      </w:r>
      <w:r w:rsidRPr="00312F58">
        <w:rPr>
          <w:rFonts w:eastAsia="Times New Roman"/>
          <w:lang w:bidi="ar-EG"/>
        </w:rPr>
        <w:t xml:space="preserve"> [non-juifs] et </w:t>
      </w:r>
      <w:r w:rsidRPr="00312F58">
        <w:rPr>
          <w:rFonts w:eastAsia="Times New Roman"/>
          <w:i/>
          <w:iCs/>
          <w:lang w:bidi="ar-EG"/>
        </w:rPr>
        <w:t>Gentils</w:t>
      </w:r>
      <w:r w:rsidRPr="00312F58">
        <w:rPr>
          <w:rFonts w:eastAsia="Times New Roman"/>
          <w:lang w:bidi="ar-EG"/>
        </w:rPr>
        <w:t xml:space="preserve"> [non-chrétiens])</w:t>
      </w:r>
      <w:r w:rsidRPr="00312F58">
        <w:rPr>
          <w:rFonts w:eastAsia="Times New Roman"/>
        </w:rPr>
        <w:t xml:space="preserve"> et les identités abrahamiques appelées plus tard </w:t>
      </w:r>
      <w:r w:rsidRPr="00312F58">
        <w:rPr>
          <w:rFonts w:eastAsia="Times New Roman"/>
          <w:i/>
          <w:iCs/>
        </w:rPr>
        <w:t xml:space="preserve">les gens du Livre </w:t>
      </w:r>
      <w:r w:rsidRPr="00312F58">
        <w:rPr>
          <w:rFonts w:eastAsia="Times New Roman"/>
        </w:rPr>
        <w:t xml:space="preserve">par le Coran. C’est pourquoi, lors de l’élaboration du Coran comme nouveau symbole identitaire « panarabe » unificateur, il était trop tôt pour des sous-identités de se créer. Une fois que l’identité arabe a été bien établie principalement à travers le Coran (et en particulier dans la sourate </w:t>
      </w:r>
      <w:r w:rsidRPr="00BD71E5">
        <w:rPr>
          <w:rFonts w:eastAsia="Times New Roman"/>
          <w:i/>
        </w:rPr>
        <w:t>Al-Ḥajj</w:t>
      </w:r>
      <w:r w:rsidRPr="00312F58">
        <w:rPr>
          <w:rFonts w:eastAsia="Times New Roman"/>
        </w:rPr>
        <w:t xml:space="preserve">), il était temps de l’émergence de nouvelles sous-identités représentées principalement par les différentes exégèses. À l’exception des communautés et des courants ésotériques (druzes, alaouites, etc.), l’émergence d’une nouvelle communauté, d’un nouveau courant ou d’une nouvelle école est généralement marquée par la parution d’une exégèse. À titre d’exemple, quand les chiites (considérés comme les plus prolifiques concernant les exégèses communautaires et politiques) se </w:t>
      </w:r>
      <w:r w:rsidRPr="00312F58">
        <w:rPr>
          <w:rFonts w:eastAsia="Times New Roman"/>
        </w:rPr>
        <w:lastRenderedPageBreak/>
        <w:t>sont bien différenciés des sunnites, ils ont produit</w:t>
      </w:r>
      <w:r>
        <w:rPr>
          <w:rFonts w:eastAsia="Times New Roman"/>
        </w:rPr>
        <w:t xml:space="preserve"> une exégèse, celle de Jābir b. Yazīd b.</w:t>
      </w:r>
      <w:r w:rsidRPr="00312F58">
        <w:rPr>
          <w:rFonts w:eastAsia="Times New Roman"/>
        </w:rPr>
        <w:t xml:space="preserve"> Ḥārith Al-Juʿfī (m. en 128 H./746 J.-C.).</w:t>
      </w:r>
      <w:r w:rsidRPr="00312F58">
        <w:rPr>
          <w:rFonts w:eastAsia="Times New Roman"/>
          <w:vertAlign w:val="superscript"/>
          <w:lang w:bidi="ar-AE"/>
        </w:rPr>
        <w:footnoteReference w:id="133"/>
      </w:r>
    </w:p>
    <w:p w14:paraId="2989951A" w14:textId="77777777" w:rsidR="00EB5652" w:rsidRPr="00312F58" w:rsidRDefault="00EB5652" w:rsidP="00EB5652">
      <w:pPr>
        <w:shd w:val="clear" w:color="auto" w:fill="FFFFFF"/>
        <w:spacing w:line="360" w:lineRule="auto"/>
        <w:ind w:firstLine="240"/>
        <w:jc w:val="both"/>
        <w:rPr>
          <w:rFonts w:eastAsia="Times New Roman"/>
        </w:rPr>
      </w:pPr>
    </w:p>
    <w:p w14:paraId="1E29E130" w14:textId="77777777" w:rsidR="00EB5652" w:rsidRPr="00312F58" w:rsidRDefault="00EB5652" w:rsidP="00EB5652">
      <w:pPr>
        <w:shd w:val="clear" w:color="auto" w:fill="FFFFFF"/>
        <w:spacing w:line="360" w:lineRule="auto"/>
        <w:ind w:firstLine="240"/>
        <w:jc w:val="both"/>
        <w:rPr>
          <w:rFonts w:eastAsia="Times New Roman"/>
        </w:rPr>
      </w:pPr>
      <w:r w:rsidRPr="00312F58">
        <w:rPr>
          <w:rFonts w:eastAsia="Times New Roman"/>
        </w:rPr>
        <w:t xml:space="preserve">La communauté ahmadie a publié son exégèse </w:t>
      </w:r>
      <w:r w:rsidRPr="00312F58">
        <w:rPr>
          <w:rFonts w:eastAsia="Times New Roman"/>
          <w:i/>
          <w:iCs/>
        </w:rPr>
        <w:t>At-tafsīr al-kabīr</w:t>
      </w:r>
      <w:r w:rsidRPr="00312F58">
        <w:rPr>
          <w:rFonts w:eastAsia="Times New Roman"/>
        </w:rPr>
        <w:t xml:space="preserve"> écrit par Mirzā Bashīr Ad-Dīn Maḥmūd Aḥmad (m. 1965) pour montrer son identité différente. L’émergence de la confrérie sunnite naqshbandite syrien</w:t>
      </w:r>
      <w:r>
        <w:rPr>
          <w:rFonts w:eastAsia="Times New Roman"/>
        </w:rPr>
        <w:t>ne</w:t>
      </w:r>
      <w:r w:rsidRPr="00312F58">
        <w:rPr>
          <w:rFonts w:eastAsia="Times New Roman"/>
        </w:rPr>
        <w:t xml:space="preserve"> d’Amīn Shaykhū (m. </w:t>
      </w:r>
      <w:r w:rsidRPr="00312F58">
        <w:rPr>
          <w:rFonts w:eastAsia="Calibri"/>
        </w:rPr>
        <w:t>1964)</w:t>
      </w:r>
      <w:r w:rsidRPr="00312F58">
        <w:rPr>
          <w:rFonts w:eastAsia="Times New Roman"/>
        </w:rPr>
        <w:t xml:space="preserve"> et d’Al-Bānī (m. 2011) a donné naissance à une exégèse.</w:t>
      </w:r>
    </w:p>
    <w:p w14:paraId="47B0A0A4" w14:textId="77777777" w:rsidR="00EB5652" w:rsidRPr="00312F58" w:rsidRDefault="00EB5652" w:rsidP="00EB5652">
      <w:pPr>
        <w:shd w:val="clear" w:color="auto" w:fill="FFFFFF"/>
        <w:spacing w:line="360" w:lineRule="auto"/>
        <w:jc w:val="both"/>
        <w:rPr>
          <w:rFonts w:eastAsia="Times New Roman"/>
        </w:rPr>
      </w:pPr>
    </w:p>
    <w:p w14:paraId="5E0F81E0" w14:textId="77777777" w:rsidR="00EB5652" w:rsidRPr="00312F58" w:rsidRDefault="00EB5652" w:rsidP="00EB5652">
      <w:pPr>
        <w:shd w:val="clear" w:color="auto" w:fill="FFFFFF"/>
        <w:spacing w:line="360" w:lineRule="auto"/>
        <w:ind w:firstLine="240"/>
        <w:jc w:val="both"/>
        <w:rPr>
          <w:lang w:bidi="ar-AE"/>
        </w:rPr>
      </w:pPr>
      <w:r w:rsidRPr="00312F58">
        <w:rPr>
          <w:lang w:bidi="ar-AE"/>
        </w:rPr>
        <w:t>On peut déjà considérer le Coran arabe comme le résultat d’une traduction</w:t>
      </w:r>
      <w:r w:rsidRPr="00312F58">
        <w:rPr>
          <w:vertAlign w:val="superscript"/>
          <w:lang w:bidi="ar-AE"/>
        </w:rPr>
        <w:footnoteReference w:id="134"/>
      </w:r>
      <w:r w:rsidRPr="00312F58">
        <w:rPr>
          <w:lang w:bidi="ar-AE"/>
        </w:rPr>
        <w:t xml:space="preserve"> pour faire reconnaître une identité arabe. Ce à quoi fait allusion entre autres les versets XII, 2 et XX, 113</w:t>
      </w:r>
      <w:r>
        <w:rPr>
          <w:lang w:bidi="ar-AE"/>
        </w:rPr>
        <w:t xml:space="preserve"> </w:t>
      </w:r>
      <w:r w:rsidRPr="00312F58">
        <w:rPr>
          <w:rFonts w:ascii="Simplified Arabic" w:hAnsi="Simplified Arabic" w:cs="Simplified Arabic"/>
          <w:rtl/>
        </w:rPr>
        <w:t>قرآن</w:t>
      </w:r>
      <w:r w:rsidRPr="00312F58">
        <w:rPr>
          <w:rFonts w:ascii="Simplified Arabic" w:hAnsi="Simplified Arabic" w:cs="Simplified Arabic" w:hint="cs"/>
          <w:rtl/>
        </w:rPr>
        <w:t>ً</w:t>
      </w:r>
      <w:r w:rsidRPr="00312F58">
        <w:rPr>
          <w:rFonts w:ascii="Simplified Arabic" w:hAnsi="Simplified Arabic" w:cs="Simplified Arabic"/>
          <w:rtl/>
        </w:rPr>
        <w:t>ا عربي</w:t>
      </w:r>
      <w:r w:rsidRPr="00312F58">
        <w:rPr>
          <w:rFonts w:ascii="Simplified Arabic" w:hAnsi="Simplified Arabic" w:cs="Simplified Arabic" w:hint="cs"/>
          <w:rtl/>
        </w:rPr>
        <w:t>ً</w:t>
      </w:r>
      <w:r w:rsidRPr="00312F58">
        <w:rPr>
          <w:rFonts w:ascii="Simplified Arabic" w:hAnsi="Simplified Arabic" w:cs="Simplified Arabic"/>
          <w:rtl/>
        </w:rPr>
        <w:t>ا</w:t>
      </w:r>
      <w:r w:rsidRPr="00312F58">
        <w:rPr>
          <w:lang w:bidi="ar-AE"/>
        </w:rPr>
        <w:t xml:space="preserve"> [Nous l’avons fait </w:t>
      </w:r>
      <w:r w:rsidRPr="00312F58">
        <w:rPr>
          <w:i/>
          <w:iCs/>
          <w:lang w:bidi="ar-AE"/>
        </w:rPr>
        <w:t>descendre</w:t>
      </w:r>
      <w:r w:rsidRPr="00312F58">
        <w:rPr>
          <w:lang w:bidi="ar-AE"/>
        </w:rPr>
        <w:t xml:space="preserve"> en forme de Coran arabe]). Pour que les Arabes puissent comprendre les Écritures, Nous (Dieu </w:t>
      </w:r>
      <w:r>
        <w:rPr>
          <w:lang w:bidi="ar-AE"/>
        </w:rPr>
        <w:t>représenté</w:t>
      </w:r>
      <w:r w:rsidRPr="00312F58">
        <w:rPr>
          <w:lang w:bidi="ar-AE"/>
        </w:rPr>
        <w:t xml:space="preserve"> par l’équipe de traduction du Coran), nous </w:t>
      </w:r>
      <w:r w:rsidRPr="00312F58">
        <w:rPr>
          <w:lang w:bidi="ar-AE"/>
        </w:rPr>
        <w:lastRenderedPageBreak/>
        <w:t xml:space="preserve">avons fait </w:t>
      </w:r>
      <w:r w:rsidRPr="00312F58">
        <w:rPr>
          <w:i/>
          <w:iCs/>
          <w:lang w:bidi="ar-AE"/>
        </w:rPr>
        <w:t>descendre</w:t>
      </w:r>
      <w:r w:rsidRPr="00312F58">
        <w:rPr>
          <w:lang w:bidi="ar-AE"/>
        </w:rPr>
        <w:t xml:space="preserve"> (</w:t>
      </w:r>
      <w:r w:rsidRPr="00312F58">
        <w:rPr>
          <w:i/>
          <w:iCs/>
          <w:lang w:bidi="ar-AE"/>
        </w:rPr>
        <w:t>anzalnā</w:t>
      </w:r>
      <w:r w:rsidRPr="00312F58">
        <w:rPr>
          <w:lang w:bidi="ar-AE"/>
        </w:rPr>
        <w:t>) le texte coranique en arabe. La similitude entre le Coran et les anciennes Écritures font allusion à ce processus de traduction</w:t>
      </w:r>
      <w:r w:rsidRPr="00312F58">
        <w:rPr>
          <w:rFonts w:eastAsia="Calibri"/>
        </w:rPr>
        <w:t xml:space="preserve">. </w:t>
      </w:r>
      <w:r w:rsidRPr="00312F58">
        <w:rPr>
          <w:lang w:bidi="ar-AE"/>
        </w:rPr>
        <w:t xml:space="preserve">Plusieurs recherches ont mis en exergue cette similitude, comme les deux célèbres études : </w:t>
      </w:r>
      <w:r w:rsidRPr="00312F58">
        <w:rPr>
          <w:rFonts w:eastAsia="Calibri"/>
          <w:i/>
          <w:iCs/>
        </w:rPr>
        <w:t>Le Prêtre et le Prophète : aux sources du Coran</w:t>
      </w:r>
      <w:r w:rsidRPr="00312F58">
        <w:rPr>
          <w:rFonts w:eastAsia="Calibri"/>
        </w:rPr>
        <w:t xml:space="preserve"> écrit par Joseph Azzi [</w:t>
      </w:r>
      <w:r>
        <w:rPr>
          <w:lang w:bidi="ar-AE"/>
        </w:rPr>
        <w:t>Abū Mūsā a</w:t>
      </w:r>
      <w:r w:rsidRPr="00312F58">
        <w:rPr>
          <w:lang w:bidi="ar-AE"/>
        </w:rPr>
        <w:t>l-Ḥarīrī</w:t>
      </w:r>
      <w:r w:rsidRPr="00312F58">
        <w:rPr>
          <w:rFonts w:eastAsia="Calibri"/>
        </w:rPr>
        <w:t>] (trad. de l’arabe (</w:t>
      </w:r>
      <w:r>
        <w:rPr>
          <w:rFonts w:eastAsia="Calibri"/>
          <w:i/>
          <w:iCs/>
        </w:rPr>
        <w:t>Qiss wa-</w:t>
      </w:r>
      <w:r w:rsidRPr="00312F58">
        <w:rPr>
          <w:rFonts w:eastAsia="Calibri"/>
          <w:i/>
          <w:iCs/>
        </w:rPr>
        <w:t>nabī</w:t>
      </w:r>
      <w:r w:rsidRPr="00312F58">
        <w:rPr>
          <w:rFonts w:eastAsia="Calibri"/>
        </w:rPr>
        <w:t xml:space="preserve">) par Maurice S. Garnier, Maisonneuve et Larose, Paris 2001) et </w:t>
      </w:r>
      <w:r w:rsidRPr="00312F58">
        <w:rPr>
          <w:rFonts w:eastAsia="Calibri"/>
          <w:i/>
          <w:iCs/>
        </w:rPr>
        <w:t>The Syro-Aramaic Reading of the Koran: A Contribution to the Decoding of the Language of the Koran</w:t>
      </w:r>
      <w:r w:rsidRPr="00312F58">
        <w:rPr>
          <w:rFonts w:eastAsia="Calibri"/>
        </w:rPr>
        <w:t xml:space="preserve"> </w:t>
      </w:r>
      <w:r w:rsidRPr="00312F58">
        <w:t>(</w:t>
      </w:r>
      <w:r w:rsidRPr="00312F58">
        <w:rPr>
          <w:i/>
          <w:iCs/>
        </w:rPr>
        <w:t xml:space="preserve">Lecture syro-araméenne du Coran </w:t>
      </w:r>
      <w:r w:rsidRPr="00005621">
        <w:rPr>
          <w:i/>
          <w:iCs/>
        </w:rPr>
        <w:t>: une contribution pour décoder la langue du Coran</w:t>
      </w:r>
      <w:r w:rsidRPr="00005621">
        <w:t>)</w:t>
      </w:r>
      <w:r w:rsidRPr="00005621">
        <w:rPr>
          <w:rFonts w:eastAsia="Calibri"/>
        </w:rPr>
        <w:t xml:space="preserve"> de Christoph</w:t>
      </w:r>
      <w:r w:rsidRPr="00005621">
        <w:t xml:space="preserve"> Luxenberg</w:t>
      </w:r>
      <w:r w:rsidRPr="00005621">
        <w:rPr>
          <w:rStyle w:val="Appelnotedebasdep"/>
        </w:rPr>
        <w:footnoteReference w:id="135"/>
      </w:r>
      <w:r w:rsidRPr="00005621">
        <w:rPr>
          <w:rFonts w:eastAsia="Calibri"/>
        </w:rPr>
        <w:t>. Il est vrai que l’étude de Luxenberg est critiquée par Michel Orcel qui décrit Luxenburg comme étant un « curieux savant islamophobe »</w:t>
      </w:r>
      <w:r w:rsidRPr="00005621">
        <w:rPr>
          <w:rStyle w:val="Appelnotedebasdep"/>
          <w:rFonts w:eastAsia="Calibri"/>
        </w:rPr>
        <w:footnoteReference w:id="136"/>
      </w:r>
      <w:r w:rsidRPr="00005621">
        <w:rPr>
          <w:rFonts w:eastAsia="Calibri"/>
        </w:rPr>
        <w:t>, par Patricia Crone</w:t>
      </w:r>
      <w:r w:rsidRPr="00005621">
        <w:rPr>
          <w:rStyle w:val="Appelnotedebasdep"/>
          <w:rFonts w:eastAsia="Calibri"/>
        </w:rPr>
        <w:footnoteReference w:id="137"/>
      </w:r>
      <w:r w:rsidRPr="00005621">
        <w:rPr>
          <w:rFonts w:eastAsia="Calibri"/>
        </w:rPr>
        <w:t xml:space="preserve"> et par Pierre Lory</w:t>
      </w:r>
      <w:r w:rsidRPr="00005621">
        <w:rPr>
          <w:vertAlign w:val="superscript"/>
          <w:lang w:bidi="ar-AE"/>
        </w:rPr>
        <w:footnoteReference w:id="138"/>
      </w:r>
      <w:r w:rsidRPr="00005621">
        <w:rPr>
          <w:rFonts w:eastAsia="Calibri"/>
        </w:rPr>
        <w:t>, mais il est vrai aussi que cette étude a adopté une méthodologie qui ne contredit pas celle des écoles exégétiques musulmanes, dans le sens que les</w:t>
      </w:r>
      <w:r w:rsidRPr="00312F58">
        <w:rPr>
          <w:rFonts w:eastAsia="Calibri"/>
        </w:rPr>
        <w:t xml:space="preserve"> deux méthodologies se basent sur la grammaire et la morphologie de la langue arabe. De plus, les exégèses musulmanes ne sont pas moins partiales que les recherches d’Azzi et de </w:t>
      </w:r>
      <w:r w:rsidRPr="00312F58">
        <w:t>Luxenberg</w:t>
      </w:r>
      <w:r w:rsidRPr="00312F58">
        <w:rPr>
          <w:rFonts w:eastAsia="Calibri"/>
        </w:rPr>
        <w:t>. Il est à noter que les exégètes musulmans se sont référés à des dictionnaires dont le premier (</w:t>
      </w:r>
      <w:r w:rsidRPr="00312F58">
        <w:rPr>
          <w:rFonts w:eastAsia="Calibri"/>
          <w:i/>
          <w:iCs/>
        </w:rPr>
        <w:t>Kitāb al-ʿAyn</w:t>
      </w:r>
      <w:r w:rsidRPr="00312F58">
        <w:t xml:space="preserve"> </w:t>
      </w:r>
      <w:r>
        <w:rPr>
          <w:rFonts w:eastAsia="Calibri"/>
        </w:rPr>
        <w:t>d’Al-Khalīl b.</w:t>
      </w:r>
      <w:r w:rsidRPr="00312F58">
        <w:rPr>
          <w:rFonts w:eastAsia="Calibri"/>
        </w:rPr>
        <w:t xml:space="preserve"> Aḥ</w:t>
      </w:r>
      <w:r>
        <w:rPr>
          <w:rFonts w:eastAsia="Calibri"/>
        </w:rPr>
        <w:t>mad al-Farāhīdī [718-791]</w:t>
      </w:r>
      <w:r w:rsidRPr="00312F58">
        <w:rPr>
          <w:rFonts w:eastAsia="Calibri"/>
        </w:rPr>
        <w:t>) a été élaboré un siècle après la parution du Coran. Claude Gilliot a défendu le travail de Luxenberg en disant qu’il a fait une autre lecture du Coran en se référant au syriaque (« son étude se situe dans la tradition et le genre des </w:t>
      </w:r>
      <w:r w:rsidRPr="00312F58">
        <w:rPr>
          <w:rFonts w:eastAsia="Calibri"/>
          <w:i/>
          <w:iCs/>
        </w:rPr>
        <w:t>variae lectionis</w:t>
      </w:r>
      <w:r w:rsidRPr="00312F58">
        <w:rPr>
          <w:rFonts w:eastAsia="Calibri"/>
        </w:rPr>
        <w:t> (</w:t>
      </w:r>
      <w:r w:rsidRPr="00312F58">
        <w:rPr>
          <w:rFonts w:eastAsia="Calibri"/>
          <w:i/>
          <w:iCs/>
        </w:rPr>
        <w:t>qirāʾāt</w:t>
      </w:r>
      <w:r w:rsidRPr="00312F58">
        <w:rPr>
          <w:rFonts w:eastAsia="Calibri"/>
        </w:rPr>
        <w:t>) du Coran »)</w:t>
      </w:r>
      <w:r w:rsidRPr="00312F58">
        <w:rPr>
          <w:vertAlign w:val="superscript"/>
          <w:lang w:bidi="ar-AE"/>
        </w:rPr>
        <w:footnoteReference w:id="139"/>
      </w:r>
      <w:r w:rsidRPr="00312F58">
        <w:rPr>
          <w:rFonts w:eastAsia="Calibri"/>
        </w:rPr>
        <w:t>.</w:t>
      </w:r>
    </w:p>
    <w:p w14:paraId="13F66776" w14:textId="77777777" w:rsidR="00EB5652" w:rsidRPr="00312F58" w:rsidRDefault="00EB5652" w:rsidP="00EB5652">
      <w:pPr>
        <w:shd w:val="clear" w:color="auto" w:fill="FFFFFF"/>
        <w:spacing w:line="360" w:lineRule="auto"/>
        <w:jc w:val="both"/>
        <w:rPr>
          <w:lang w:bidi="ar-AE"/>
        </w:rPr>
      </w:pPr>
    </w:p>
    <w:p w14:paraId="6EEBE1B9" w14:textId="77777777" w:rsidR="00EB5652" w:rsidRPr="00312F58" w:rsidRDefault="00EB5652" w:rsidP="00EB5652">
      <w:pPr>
        <w:shd w:val="clear" w:color="auto" w:fill="FFFFFF"/>
        <w:spacing w:line="360" w:lineRule="auto"/>
        <w:ind w:firstLine="240"/>
        <w:jc w:val="both"/>
        <w:rPr>
          <w:rFonts w:eastAsia="Times New Roman"/>
        </w:rPr>
      </w:pPr>
      <w:r w:rsidRPr="00312F58">
        <w:rPr>
          <w:lang w:bidi="ar-AE"/>
        </w:rPr>
        <w:t xml:space="preserve">Il semble que l’une des fonctions du Coran était de contribuer à l’émergence et à la reconnaissance de la langue arabe (fonction de différenciation), fonction qui ressemble beaucoup à celle de la traduction de la Bible en langues vernaculaires européennes pour la reconnaissance de ces nouvelles langues vernaculaires, ce qu’affirment Pascale Casanova dans </w:t>
      </w:r>
      <w:r w:rsidRPr="00312F58">
        <w:rPr>
          <w:i/>
          <w:iCs/>
          <w:lang w:bidi="ar-AE"/>
        </w:rPr>
        <w:t>La république mondiale des lettres</w:t>
      </w:r>
      <w:r w:rsidRPr="00312F58">
        <w:rPr>
          <w:vertAlign w:val="superscript"/>
          <w:lang w:bidi="ar-AE"/>
        </w:rPr>
        <w:footnoteReference w:id="140"/>
      </w:r>
      <w:r w:rsidRPr="00312F58">
        <w:rPr>
          <w:lang w:bidi="ar-AE"/>
        </w:rPr>
        <w:t>,</w:t>
      </w:r>
      <w:r w:rsidRPr="00312F58">
        <w:rPr>
          <w:b/>
          <w:bCs/>
        </w:rPr>
        <w:t xml:space="preserve"> </w:t>
      </w:r>
      <w:r w:rsidRPr="00312F58">
        <w:rPr>
          <w:lang w:bidi="ar-AE"/>
        </w:rPr>
        <w:t xml:space="preserve">Jean Delisle et Judith Woodsworth, dans </w:t>
      </w:r>
      <w:r w:rsidRPr="00312F58">
        <w:rPr>
          <w:i/>
          <w:iCs/>
          <w:lang w:bidi="ar-AE"/>
        </w:rPr>
        <w:t>Les traducteurs dans l’histoire</w:t>
      </w:r>
      <w:r w:rsidRPr="00312F58">
        <w:rPr>
          <w:vertAlign w:val="superscript"/>
          <w:lang w:bidi="ar-AE"/>
        </w:rPr>
        <w:footnoteReference w:id="141"/>
      </w:r>
      <w:r w:rsidRPr="00312F58">
        <w:rPr>
          <w:lang w:bidi="ar-AE"/>
        </w:rPr>
        <w:t>.</w:t>
      </w:r>
    </w:p>
    <w:p w14:paraId="6A3F5776" w14:textId="77777777" w:rsidR="00EB5652" w:rsidRPr="00312F58" w:rsidRDefault="00EB5652" w:rsidP="00EB5652">
      <w:pPr>
        <w:shd w:val="clear" w:color="auto" w:fill="FFFFFF"/>
        <w:spacing w:line="360" w:lineRule="auto"/>
        <w:jc w:val="both"/>
        <w:rPr>
          <w:rFonts w:eastAsia="Times New Roman"/>
        </w:rPr>
      </w:pPr>
    </w:p>
    <w:p w14:paraId="1B0B4161" w14:textId="77777777" w:rsidR="00EB5652" w:rsidRPr="00312F58" w:rsidRDefault="00EB5652" w:rsidP="00EB5652">
      <w:pPr>
        <w:shd w:val="clear" w:color="auto" w:fill="FFFFFF"/>
        <w:spacing w:line="360" w:lineRule="auto"/>
        <w:ind w:firstLine="240"/>
        <w:jc w:val="both"/>
        <w:rPr>
          <w:rFonts w:eastAsia="Times New Roman"/>
        </w:rPr>
      </w:pPr>
      <w:r w:rsidRPr="00312F58">
        <w:rPr>
          <w:rFonts w:eastAsia="Times New Roman"/>
        </w:rPr>
        <w:t xml:space="preserve">Il est à noter que le </w:t>
      </w:r>
      <w:r w:rsidRPr="00312F58">
        <w:rPr>
          <w:rFonts w:eastAsia="Times New Roman"/>
          <w:i/>
          <w:iCs/>
        </w:rPr>
        <w:t>tafsīr</w:t>
      </w:r>
      <w:r w:rsidRPr="00312F58">
        <w:rPr>
          <w:rFonts w:eastAsia="Times New Roman"/>
        </w:rPr>
        <w:t xml:space="preserve"> en tant que discipline a été développé par des musulmans majoritairement </w:t>
      </w:r>
      <w:r w:rsidRPr="00312F58">
        <w:rPr>
          <w:rFonts w:eastAsia="Times New Roman"/>
          <w:i/>
          <w:iCs/>
        </w:rPr>
        <w:t>non-arabes</w:t>
      </w:r>
      <w:r w:rsidRPr="00312F58">
        <w:rPr>
          <w:rFonts w:eastAsia="Times New Roman"/>
        </w:rPr>
        <w:t xml:space="preserve"> comme Aṭ-Ṭabarī (m. 923), </w:t>
      </w:r>
      <w:r w:rsidRPr="00312F58">
        <w:rPr>
          <w:rFonts w:eastAsia="Times New Roman"/>
          <w:lang w:bidi="ar-AE"/>
        </w:rPr>
        <w:t>As-Samarqandī</w:t>
      </w:r>
      <w:r w:rsidRPr="00312F58">
        <w:rPr>
          <w:rFonts w:eastAsia="Times New Roman"/>
        </w:rPr>
        <w:t xml:space="preserve"> (m. 983) et</w:t>
      </w:r>
      <w:r w:rsidRPr="00312F58">
        <w:rPr>
          <w:rFonts w:eastAsia="Times New Roman"/>
          <w:lang w:bidi="ar-AE"/>
        </w:rPr>
        <w:t xml:space="preserve"> Ath-Thaʿlabī</w:t>
      </w:r>
      <w:r w:rsidRPr="00312F58">
        <w:rPr>
          <w:rFonts w:eastAsia="Times New Roman"/>
        </w:rPr>
        <w:t xml:space="preserve"> </w:t>
      </w:r>
      <w:r w:rsidRPr="00312F58">
        <w:rPr>
          <w:rFonts w:eastAsia="Times New Roman"/>
          <w:shd w:val="clear" w:color="auto" w:fill="FFFFFF"/>
        </w:rPr>
        <w:t>de Nishapur</w:t>
      </w:r>
      <w:r w:rsidRPr="00312F58">
        <w:rPr>
          <w:rFonts w:eastAsia="Times New Roman"/>
        </w:rPr>
        <w:t xml:space="preserve"> (m. 1035). Le développement de cette discipline de l’exégèse a accompagné le développement d’une autre discipline pertinente, à savoir la lexicographie, discipline développée elle aussi par des lexicographes majoritairement </w:t>
      </w:r>
      <w:r w:rsidRPr="00312F58">
        <w:rPr>
          <w:rFonts w:eastAsia="Times New Roman"/>
          <w:i/>
          <w:iCs/>
        </w:rPr>
        <w:t>non-arabes</w:t>
      </w:r>
      <w:r w:rsidRPr="00312F58">
        <w:rPr>
          <w:rFonts w:eastAsia="Times New Roman"/>
        </w:rPr>
        <w:t xml:space="preserve"> comme Al-Azharī de Khorasan (m. 980) et le persan Al-Fayrūzʾābādī (m. 1415).</w:t>
      </w:r>
      <w:r w:rsidRPr="00312F58">
        <w:rPr>
          <w:vertAlign w:val="superscript"/>
          <w:lang w:bidi="ar-AE"/>
        </w:rPr>
        <w:footnoteReference w:id="142"/>
      </w:r>
      <w:r w:rsidRPr="00312F58">
        <w:rPr>
          <w:rFonts w:eastAsia="Times New Roman"/>
        </w:rPr>
        <w:t xml:space="preserve"> Il semble que la grammaire et la lexicographie avaient pour objectif entre autres de servir et justifier l’idéologie du Coran. Les sciences du langage qui ont donné à l’exégèse coranique l’apparence d’une science sûre constituent un tournant important dans l’histoire de l’exégèse (Gilliot, </w:t>
      </w:r>
      <w:r w:rsidRPr="00312F58">
        <w:rPr>
          <w:rFonts w:eastAsia="Times New Roman"/>
          <w:i/>
          <w:iCs/>
        </w:rPr>
        <w:t>Exégèse, langue et théologie en islam. L’exégèse coranique de Ṭabarī</w:t>
      </w:r>
      <w:r w:rsidRPr="00312F58">
        <w:rPr>
          <w:rFonts w:eastAsia="Times New Roman"/>
        </w:rPr>
        <w:t>, 1990, 165-203). Qui plus est, elles contribuent de manière décisive à limiter et orienter la polysémie.</w:t>
      </w:r>
    </w:p>
    <w:p w14:paraId="19D7F537" w14:textId="77777777" w:rsidR="00EB5652" w:rsidRPr="00312F58" w:rsidRDefault="00EB5652" w:rsidP="00EB5652">
      <w:pPr>
        <w:shd w:val="clear" w:color="auto" w:fill="FFFFFF"/>
        <w:spacing w:line="360" w:lineRule="auto"/>
        <w:ind w:firstLine="240"/>
        <w:jc w:val="both"/>
        <w:rPr>
          <w:rFonts w:eastAsia="Times New Roman"/>
        </w:rPr>
      </w:pPr>
    </w:p>
    <w:p w14:paraId="0CE703B1" w14:textId="77777777" w:rsidR="00EB5652" w:rsidRPr="00312F58" w:rsidRDefault="00EB5652" w:rsidP="00EB5652">
      <w:pPr>
        <w:shd w:val="clear" w:color="auto" w:fill="FFFFFF"/>
        <w:spacing w:line="360" w:lineRule="auto"/>
        <w:ind w:firstLine="240"/>
        <w:jc w:val="both"/>
        <w:rPr>
          <w:rFonts w:eastAsia="Times New Roman"/>
        </w:rPr>
      </w:pPr>
      <w:r w:rsidRPr="00312F58">
        <w:rPr>
          <w:rFonts w:eastAsia="Times New Roman"/>
        </w:rPr>
        <w:lastRenderedPageBreak/>
        <w:t>Il est à noter que lors de la formation de l’exégèse, les théologiens ont accordé une grande importance aux chaînes de transmission (</w:t>
      </w:r>
      <w:r w:rsidRPr="00312F58">
        <w:rPr>
          <w:rFonts w:eastAsia="Times New Roman"/>
          <w:i/>
          <w:iCs/>
        </w:rPr>
        <w:t>sanad</w:t>
      </w:r>
      <w:r w:rsidRPr="00312F58">
        <w:rPr>
          <w:rFonts w:eastAsia="Times New Roman"/>
        </w:rPr>
        <w:t>, les personnes faisant autorité) plus qu’au corps du texte lui-même.</w:t>
      </w:r>
    </w:p>
    <w:p w14:paraId="1585666F" w14:textId="77777777" w:rsidR="00EB5652" w:rsidRPr="00312F58" w:rsidRDefault="00EB5652" w:rsidP="00EB5652">
      <w:pPr>
        <w:shd w:val="clear" w:color="auto" w:fill="FFFFFF"/>
        <w:spacing w:line="360" w:lineRule="auto"/>
        <w:ind w:firstLine="240"/>
        <w:jc w:val="both"/>
        <w:rPr>
          <w:rFonts w:eastAsia="Times New Roman"/>
        </w:rPr>
      </w:pPr>
    </w:p>
    <w:p w14:paraId="39B76E97" w14:textId="77777777" w:rsidR="00EB5652" w:rsidRPr="00312F58" w:rsidRDefault="00EB5652" w:rsidP="00EB5652">
      <w:pPr>
        <w:shd w:val="clear" w:color="auto" w:fill="FFFFFF"/>
        <w:spacing w:line="360" w:lineRule="auto"/>
        <w:jc w:val="both"/>
        <w:rPr>
          <w:rFonts w:eastAsia="Times New Roman"/>
        </w:rPr>
      </w:pPr>
      <w:r w:rsidRPr="00312F58">
        <w:rPr>
          <w:rFonts w:eastAsia="Times New Roman"/>
        </w:rPr>
        <w:t xml:space="preserve"> </w:t>
      </w:r>
      <w:r w:rsidRPr="00312F58">
        <w:rPr>
          <w:rFonts w:eastAsia="Times New Roman"/>
        </w:rPr>
        <w:tab/>
        <w:t>La grammaire avait le rôle d’</w:t>
      </w:r>
      <w:r w:rsidRPr="00312F58">
        <w:rPr>
          <w:rFonts w:eastAsia="Times New Roman"/>
          <w:i/>
          <w:iCs/>
        </w:rPr>
        <w:t>ancilla corani</w:t>
      </w:r>
      <w:r w:rsidRPr="00312F58">
        <w:rPr>
          <w:rFonts w:eastAsia="Times New Roman"/>
        </w:rPr>
        <w:t>, un auxiliaire du Coran. Cependant, parmi les éléments les plus importants permettant d’évaluer le statut et la valeur d’un exégète ce n’est pas la grammaire, comme le pensent A. Rippin</w:t>
      </w:r>
      <w:r>
        <w:rPr>
          <w:rStyle w:val="Appelnotedebasdep"/>
          <w:rFonts w:eastAsia="Times New Roman"/>
        </w:rPr>
        <w:footnoteReference w:id="143"/>
      </w:r>
      <w:r>
        <w:rPr>
          <w:rFonts w:eastAsia="Times New Roman"/>
        </w:rPr>
        <w:t xml:space="preserve"> </w:t>
      </w:r>
      <w:r w:rsidRPr="00312F58">
        <w:rPr>
          <w:rFonts w:eastAsia="Times New Roman"/>
        </w:rPr>
        <w:t>et Michael G. Carter</w:t>
      </w:r>
      <w:r>
        <w:rPr>
          <w:rStyle w:val="Appelnotedebasdep"/>
          <w:rFonts w:eastAsia="Times New Roman"/>
        </w:rPr>
        <w:footnoteReference w:id="144"/>
      </w:r>
      <w:r w:rsidRPr="00312F58">
        <w:rPr>
          <w:rFonts w:eastAsia="Times New Roman"/>
        </w:rPr>
        <w:t xml:space="preserve">, mais c’est le respect d’une identité religieuse car la grammaire a été déjà adaptée pour servir le Coran et a été taillée à la mesure de son idéologie. </w:t>
      </w:r>
      <w:r w:rsidRPr="00312F58">
        <w:t xml:space="preserve">Umberto Eco souligne à juste titre, dans </w:t>
      </w:r>
      <w:r w:rsidRPr="00312F58">
        <w:rPr>
          <w:i/>
          <w:iCs/>
        </w:rPr>
        <w:t>Lector in fabula</w:t>
      </w:r>
      <w:r w:rsidRPr="00312F58">
        <w:t>, que « tout lecteur peut, à partir d’une phrase, inférer des situations d’énonciation possibles : pour comprendre un texte, on ne se réfère pas uniquement aux règles d’une grammaire de l’énoncé. »</w:t>
      </w:r>
      <w:r>
        <w:rPr>
          <w:rStyle w:val="Appelnotedebasdep"/>
        </w:rPr>
        <w:footnoteReference w:id="145"/>
      </w:r>
      <w:r w:rsidRPr="00312F58">
        <w:rPr>
          <w:rFonts w:eastAsia="Times New Roman"/>
        </w:rPr>
        <w:t xml:space="preserve"> L’exemple du commentaire du verset XXII, 15 le montre bien du fait qu’il contredise la grammaire et respecte l’esprit du conflit. Examinons ce verset :</w:t>
      </w:r>
    </w:p>
    <w:p w14:paraId="4D1A6E85" w14:textId="77777777" w:rsidR="00EB5652" w:rsidRPr="00312F58" w:rsidRDefault="00EB5652" w:rsidP="00EB5652">
      <w:pPr>
        <w:shd w:val="clear" w:color="auto" w:fill="FFFFFF"/>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B5652" w:rsidRPr="00312F58" w14:paraId="759E73CD" w14:textId="77777777" w:rsidTr="002A1516">
        <w:tc>
          <w:tcPr>
            <w:tcW w:w="9576" w:type="dxa"/>
            <w:gridSpan w:val="2"/>
            <w:tcBorders>
              <w:top w:val="nil"/>
              <w:left w:val="single" w:sz="4" w:space="0" w:color="auto"/>
              <w:bottom w:val="single" w:sz="4" w:space="0" w:color="auto"/>
              <w:right w:val="single" w:sz="4" w:space="0" w:color="auto"/>
            </w:tcBorders>
          </w:tcPr>
          <w:p w14:paraId="0A0ED217" w14:textId="77777777" w:rsidR="00EB5652" w:rsidRPr="00312F58" w:rsidRDefault="00EB5652" w:rsidP="002A1516">
            <w:pPr>
              <w:bidi/>
              <w:spacing w:line="360" w:lineRule="auto"/>
              <w:jc w:val="both"/>
              <w:rPr>
                <w:rtl/>
                <w:lang w:bidi="ar-KW"/>
              </w:rPr>
            </w:pPr>
            <w:r w:rsidRPr="00312F58">
              <w:rPr>
                <w:rFonts w:ascii="Simplified Arabic" w:hAnsi="Simplified Arabic" w:cs="Simplified Arabic"/>
                <w:rtl/>
                <w:lang w:bidi="ar-AE"/>
              </w:rPr>
              <w:t>مَن كانَ يظُنُّ أنْ لن ينصرَهُ اللهُ في الدنيا والآخرةِ فلْيَمْدُدْ بسببٍ إلى السماء ثم ليقطَعْ فلْينظُرْ هل يُذْهِبَنَّ كيدُه ما يَغيظ.</w:t>
            </w:r>
            <w:r w:rsidRPr="00312F58">
              <w:rPr>
                <w:rFonts w:ascii="Simplified Arabic" w:hAnsi="Simplified Arabic" w:cs="Simplified Arabic"/>
                <w:rtl/>
                <w:lang w:bidi="ar-KW"/>
              </w:rPr>
              <w:t xml:space="preserve"> (الحج، 15)</w:t>
            </w:r>
          </w:p>
        </w:tc>
      </w:tr>
      <w:tr w:rsidR="00EB5652" w:rsidRPr="00312F58" w14:paraId="41024D61" w14:textId="77777777" w:rsidTr="002A1516">
        <w:tc>
          <w:tcPr>
            <w:tcW w:w="4788" w:type="dxa"/>
            <w:tcBorders>
              <w:top w:val="single" w:sz="4" w:space="0" w:color="auto"/>
              <w:left w:val="single" w:sz="4" w:space="0" w:color="auto"/>
              <w:bottom w:val="single" w:sz="4" w:space="0" w:color="auto"/>
              <w:right w:val="single" w:sz="4" w:space="0" w:color="auto"/>
            </w:tcBorders>
          </w:tcPr>
          <w:p w14:paraId="5ACD6932" w14:textId="77777777" w:rsidR="00EB5652" w:rsidRPr="00312F58" w:rsidRDefault="00EB5652" w:rsidP="002A1516">
            <w:pPr>
              <w:spacing w:line="360" w:lineRule="auto"/>
              <w:jc w:val="both"/>
              <w:rPr>
                <w:b/>
                <w:bCs/>
                <w:lang w:bidi="ar-AE"/>
              </w:rPr>
            </w:pPr>
            <w:r w:rsidRPr="00312F58">
              <w:rPr>
                <w:b/>
                <w:bCs/>
                <w:lang w:bidi="ar-AE"/>
              </w:rPr>
              <w:t>Interprétation exégétique</w:t>
            </w:r>
          </w:p>
        </w:tc>
        <w:tc>
          <w:tcPr>
            <w:tcW w:w="4788" w:type="dxa"/>
            <w:tcBorders>
              <w:top w:val="single" w:sz="4" w:space="0" w:color="auto"/>
              <w:left w:val="single" w:sz="4" w:space="0" w:color="auto"/>
              <w:bottom w:val="single" w:sz="4" w:space="0" w:color="auto"/>
              <w:right w:val="single" w:sz="4" w:space="0" w:color="auto"/>
            </w:tcBorders>
          </w:tcPr>
          <w:p w14:paraId="15498865" w14:textId="77777777" w:rsidR="00EB5652" w:rsidRPr="00312F58" w:rsidRDefault="00EB5652" w:rsidP="002A1516">
            <w:pPr>
              <w:spacing w:line="360" w:lineRule="auto"/>
              <w:jc w:val="both"/>
              <w:rPr>
                <w:b/>
                <w:bCs/>
                <w:lang w:bidi="ar-AE"/>
              </w:rPr>
            </w:pPr>
            <w:r w:rsidRPr="00312F58">
              <w:rPr>
                <w:b/>
                <w:bCs/>
                <w:lang w:bidi="ar-AE"/>
              </w:rPr>
              <w:t>Interprétation lexicographique</w:t>
            </w:r>
          </w:p>
        </w:tc>
      </w:tr>
      <w:tr w:rsidR="00EB5652" w:rsidRPr="00312F58" w14:paraId="3ABEA39A" w14:textId="77777777" w:rsidTr="002A1516">
        <w:tc>
          <w:tcPr>
            <w:tcW w:w="4788" w:type="dxa"/>
            <w:tcBorders>
              <w:top w:val="single" w:sz="4" w:space="0" w:color="auto"/>
              <w:left w:val="single" w:sz="4" w:space="0" w:color="auto"/>
              <w:bottom w:val="single" w:sz="4" w:space="0" w:color="auto"/>
              <w:right w:val="single" w:sz="4" w:space="0" w:color="auto"/>
            </w:tcBorders>
          </w:tcPr>
          <w:p w14:paraId="105F4F0B" w14:textId="77777777" w:rsidR="00EB5652" w:rsidRPr="00312F58" w:rsidRDefault="00EB5652" w:rsidP="002A1516">
            <w:pPr>
              <w:spacing w:line="360" w:lineRule="auto"/>
              <w:contextualSpacing/>
              <w:jc w:val="both"/>
              <w:rPr>
                <w:rFonts w:eastAsia="Calibri"/>
                <w:b/>
                <w:bCs/>
                <w:lang w:bidi="ar-AE"/>
              </w:rPr>
            </w:pPr>
            <w:r w:rsidRPr="00312F58">
              <w:rPr>
                <w:rFonts w:eastAsia="Calibri"/>
              </w:rPr>
              <w:t xml:space="preserve">Quiconque croyait qu’Allah ne </w:t>
            </w:r>
            <w:r w:rsidRPr="00312F58">
              <w:rPr>
                <w:rFonts w:eastAsia="Calibri"/>
                <w:b/>
                <w:bCs/>
              </w:rPr>
              <w:t>lui</w:t>
            </w:r>
            <w:r w:rsidRPr="00312F58">
              <w:rPr>
                <w:rFonts w:eastAsia="Calibri"/>
              </w:rPr>
              <w:t xml:space="preserve"> Donnerait pas victoire </w:t>
            </w:r>
            <w:r w:rsidRPr="00312F58">
              <w:rPr>
                <w:rFonts w:eastAsia="Calibri"/>
                <w:b/>
                <w:bCs/>
              </w:rPr>
              <w:t>(au Prophète)</w:t>
            </w:r>
            <w:r w:rsidRPr="00312F58">
              <w:rPr>
                <w:rFonts w:eastAsia="Calibri"/>
              </w:rPr>
              <w:t xml:space="preserve">, dans le monde et dans la vie Future, qu’il tende alors </w:t>
            </w:r>
            <w:r w:rsidRPr="00312F58">
              <w:rPr>
                <w:rFonts w:eastAsia="Calibri"/>
                <w:b/>
                <w:bCs/>
              </w:rPr>
              <w:t>une corde</w:t>
            </w:r>
            <w:r w:rsidRPr="00312F58">
              <w:rPr>
                <w:rFonts w:eastAsia="Calibri"/>
              </w:rPr>
              <w:t xml:space="preserve"> vers </w:t>
            </w:r>
            <w:r w:rsidRPr="00312F58">
              <w:rPr>
                <w:rFonts w:eastAsia="Calibri"/>
                <w:b/>
                <w:bCs/>
              </w:rPr>
              <w:t>le toit</w:t>
            </w:r>
            <w:r w:rsidRPr="00312F58">
              <w:rPr>
                <w:rFonts w:eastAsia="Calibri"/>
              </w:rPr>
              <w:t xml:space="preserve">, ensuite qu’il </w:t>
            </w:r>
            <w:r w:rsidRPr="00312F58">
              <w:rPr>
                <w:rFonts w:eastAsia="Calibri"/>
                <w:b/>
                <w:bCs/>
              </w:rPr>
              <w:t>se pende</w:t>
            </w:r>
            <w:r w:rsidRPr="00312F58">
              <w:rPr>
                <w:rFonts w:eastAsia="Calibri"/>
              </w:rPr>
              <w:t> : qu’il regarde si sa ruse a dissipé ce qui l’enrage ! (trad. Zeinab Abdelaziz)</w:t>
            </w:r>
          </w:p>
        </w:tc>
        <w:tc>
          <w:tcPr>
            <w:tcW w:w="4788" w:type="dxa"/>
            <w:tcBorders>
              <w:top w:val="single" w:sz="4" w:space="0" w:color="auto"/>
              <w:left w:val="single" w:sz="4" w:space="0" w:color="auto"/>
              <w:bottom w:val="single" w:sz="4" w:space="0" w:color="auto"/>
              <w:right w:val="single" w:sz="4" w:space="0" w:color="auto"/>
            </w:tcBorders>
          </w:tcPr>
          <w:p w14:paraId="33681371" w14:textId="77777777" w:rsidR="00EB5652" w:rsidRPr="00312F58" w:rsidRDefault="00EB5652" w:rsidP="002A1516">
            <w:pPr>
              <w:spacing w:line="360" w:lineRule="auto"/>
              <w:jc w:val="both"/>
              <w:rPr>
                <w:lang w:bidi="ar-AE"/>
              </w:rPr>
            </w:pPr>
            <w:r w:rsidRPr="00312F58">
              <w:rPr>
                <w:rFonts w:eastAsia="Calibri"/>
              </w:rPr>
              <w:t xml:space="preserve">Celui qui penserait que Dieu </w:t>
            </w:r>
            <w:r w:rsidRPr="00312F58">
              <w:rPr>
                <w:rFonts w:eastAsia="Calibri"/>
                <w:b/>
                <w:bCs/>
              </w:rPr>
              <w:t>le</w:t>
            </w:r>
            <w:r w:rsidRPr="00312F58">
              <w:rPr>
                <w:rFonts w:eastAsia="Calibri"/>
              </w:rPr>
              <w:t xml:space="preserve"> laisserait sans secours en ce qui concerne ce monde terrestre et l’autre monde n’a qu’à établir </w:t>
            </w:r>
            <w:r w:rsidRPr="00312F58">
              <w:rPr>
                <w:rFonts w:eastAsia="Calibri"/>
                <w:b/>
                <w:bCs/>
              </w:rPr>
              <w:t>un lien</w:t>
            </w:r>
            <w:r w:rsidRPr="00312F58">
              <w:rPr>
                <w:rFonts w:eastAsia="Calibri"/>
              </w:rPr>
              <w:t xml:space="preserve"> avec </w:t>
            </w:r>
            <w:r w:rsidRPr="00312F58">
              <w:rPr>
                <w:rFonts w:eastAsia="Calibri"/>
                <w:b/>
                <w:bCs/>
              </w:rPr>
              <w:t>le Ciel</w:t>
            </w:r>
            <w:r w:rsidRPr="00312F58">
              <w:rPr>
                <w:rFonts w:eastAsia="Calibri"/>
              </w:rPr>
              <w:t xml:space="preserve">, puis </w:t>
            </w:r>
            <w:r w:rsidRPr="00312F58">
              <w:rPr>
                <w:rFonts w:eastAsia="Calibri"/>
                <w:b/>
                <w:bCs/>
              </w:rPr>
              <w:t>faire une rupture</w:t>
            </w:r>
            <w:r w:rsidRPr="00312F58">
              <w:rPr>
                <w:rFonts w:eastAsia="Calibri"/>
              </w:rPr>
              <w:t xml:space="preserve"> </w:t>
            </w:r>
            <w:r w:rsidRPr="00312F58">
              <w:rPr>
                <w:rFonts w:eastAsia="Calibri"/>
                <w:b/>
                <w:bCs/>
              </w:rPr>
              <w:t>[avec ce qui le fait penser ainsi]</w:t>
            </w:r>
            <w:r w:rsidRPr="00312F58">
              <w:rPr>
                <w:rFonts w:eastAsia="Calibri"/>
              </w:rPr>
              <w:t>, et puis voir si son stratagème va supprimer l’objet de sa rage !</w:t>
            </w:r>
          </w:p>
        </w:tc>
      </w:tr>
    </w:tbl>
    <w:p w14:paraId="3E9724B6" w14:textId="77777777" w:rsidR="00EB5652" w:rsidRPr="00312F58" w:rsidRDefault="00EB5652" w:rsidP="00EB5652">
      <w:pPr>
        <w:spacing w:line="360" w:lineRule="auto"/>
        <w:jc w:val="both"/>
        <w:rPr>
          <w:lang w:bidi="ar-AE"/>
        </w:rPr>
      </w:pPr>
    </w:p>
    <w:p w14:paraId="476824D2" w14:textId="77777777" w:rsidR="00EB5652" w:rsidRPr="00312F58" w:rsidRDefault="00EB5652" w:rsidP="00EB5652">
      <w:pPr>
        <w:spacing w:line="360" w:lineRule="auto"/>
        <w:ind w:firstLine="720"/>
        <w:jc w:val="both"/>
        <w:rPr>
          <w:lang w:bidi="ar-AE"/>
        </w:rPr>
      </w:pPr>
      <w:r w:rsidRPr="00312F58">
        <w:rPr>
          <w:lang w:bidi="ar-AE"/>
        </w:rPr>
        <w:lastRenderedPageBreak/>
        <w:t>Les écarts de l’interprétation exégétique par rapport aux normes linguistiques consistent dans les points suivants :</w:t>
      </w:r>
    </w:p>
    <w:p w14:paraId="015969CE" w14:textId="77777777" w:rsidR="00EB5652" w:rsidRPr="00312F58" w:rsidRDefault="00EB5652" w:rsidP="007640DC">
      <w:pPr>
        <w:numPr>
          <w:ilvl w:val="0"/>
          <w:numId w:val="9"/>
        </w:numPr>
        <w:spacing w:line="360" w:lineRule="auto"/>
        <w:jc w:val="both"/>
      </w:pPr>
      <w:r w:rsidRPr="00312F58">
        <w:t>Il n’y a aucune allusion au Prophète dans les versets précédents. Le pronom clitique COD (-</w:t>
      </w:r>
      <w:r w:rsidRPr="00312F58">
        <w:rPr>
          <w:i/>
          <w:iCs/>
        </w:rPr>
        <w:t>hu</w:t>
      </w:r>
      <w:r w:rsidRPr="00312F58">
        <w:t xml:space="preserve">) dans le verbe </w:t>
      </w:r>
      <w:r w:rsidRPr="00312F58">
        <w:rPr>
          <w:i/>
          <w:iCs/>
        </w:rPr>
        <w:t>yanṣurahu</w:t>
      </w:r>
      <w:r w:rsidRPr="00312F58">
        <w:t xml:space="preserve"> doit renvoyer à un nom déjà cité explicitement.</w:t>
      </w:r>
    </w:p>
    <w:p w14:paraId="5E3CAB52" w14:textId="77777777" w:rsidR="00EB5652" w:rsidRPr="00312F58" w:rsidRDefault="00EB5652" w:rsidP="007640DC">
      <w:pPr>
        <w:numPr>
          <w:ilvl w:val="0"/>
          <w:numId w:val="9"/>
        </w:numPr>
        <w:spacing w:line="360" w:lineRule="auto"/>
        <w:jc w:val="both"/>
      </w:pPr>
      <w:r w:rsidRPr="00312F58">
        <w:t xml:space="preserve">Le mot indéfini </w:t>
      </w:r>
      <w:r w:rsidRPr="00312F58">
        <w:rPr>
          <w:i/>
          <w:iCs/>
        </w:rPr>
        <w:t>sabab</w:t>
      </w:r>
      <w:r w:rsidRPr="00312F58">
        <w:t xml:space="preserve"> est générique et accepte d’innombrables significations : tout ce qui sert de lien. Le sens de « corde » donné par les exégètes à ce mot semble intrus.</w:t>
      </w:r>
    </w:p>
    <w:p w14:paraId="58855E6D" w14:textId="77777777" w:rsidR="00EB5652" w:rsidRPr="00312F58" w:rsidRDefault="00EB5652" w:rsidP="007640DC">
      <w:pPr>
        <w:numPr>
          <w:ilvl w:val="0"/>
          <w:numId w:val="9"/>
        </w:numPr>
        <w:spacing w:line="360" w:lineRule="auto"/>
        <w:jc w:val="both"/>
      </w:pPr>
      <w:r w:rsidRPr="00312F58">
        <w:t xml:space="preserve">Le mot défini </w:t>
      </w:r>
      <w:r w:rsidRPr="00312F58">
        <w:rPr>
          <w:b/>
          <w:bCs/>
        </w:rPr>
        <w:t>as</w:t>
      </w:r>
      <w:r w:rsidRPr="00312F58">
        <w:rPr>
          <w:i/>
          <w:iCs/>
        </w:rPr>
        <w:t>-samāʾ</w:t>
      </w:r>
      <w:r w:rsidRPr="00312F58">
        <w:t xml:space="preserve"> désignerait lexicalement « </w:t>
      </w:r>
      <w:r w:rsidRPr="00312F58">
        <w:rPr>
          <w:b/>
          <w:bCs/>
          <w:i/>
          <w:iCs/>
        </w:rPr>
        <w:t xml:space="preserve">le </w:t>
      </w:r>
      <w:r w:rsidRPr="00312F58">
        <w:t xml:space="preserve">ciel » et non pas le plafond de la maison d’autant plus que le Coran n’utilise ce mot défini que dans le sens du « ciel » proprement dit ou de la « pluie » et que le contexte du verset en question exclut le sens du « plafond de la maison ». Le dictionnaire encyclopédique </w:t>
      </w:r>
      <w:r w:rsidRPr="00312F58">
        <w:rPr>
          <w:i/>
          <w:iCs/>
        </w:rPr>
        <w:t>Lisān al-ʿArab</w:t>
      </w:r>
      <w:r w:rsidRPr="00312F58">
        <w:t xml:space="preserve"> souligne qu’on appelle</w:t>
      </w:r>
      <w:r w:rsidRPr="00312F58">
        <w:rPr>
          <w:i/>
          <w:iCs/>
        </w:rPr>
        <w:t xml:space="preserve"> samāʾ</w:t>
      </w:r>
      <w:r w:rsidRPr="00312F58">
        <w:t xml:space="preserve"> (indéfini, un </w:t>
      </w:r>
      <w:r w:rsidRPr="00312F58">
        <w:rPr>
          <w:i/>
          <w:iCs/>
        </w:rPr>
        <w:t>samāʾ</w:t>
      </w:r>
      <w:r w:rsidRPr="00312F58">
        <w:t xml:space="preserve"> et non pas </w:t>
      </w:r>
      <w:r w:rsidRPr="00312F58">
        <w:rPr>
          <w:i/>
          <w:iCs/>
        </w:rPr>
        <w:t>le</w:t>
      </w:r>
      <w:r w:rsidRPr="00312F58">
        <w:t xml:space="preserve"> </w:t>
      </w:r>
      <w:r w:rsidRPr="00312F58">
        <w:rPr>
          <w:i/>
          <w:iCs/>
        </w:rPr>
        <w:t>samāʾ</w:t>
      </w:r>
      <w:r w:rsidRPr="00312F58">
        <w:t>) le « plafond de la maison ». Ce terme ne désigne probablement le plafond que lorsqu’il est utilisé comme indéfini ou en annexion (</w:t>
      </w:r>
      <w:r w:rsidRPr="00312F58">
        <w:rPr>
          <w:i/>
          <w:iCs/>
        </w:rPr>
        <w:t>samāʾu l-bayt</w:t>
      </w:r>
      <w:r w:rsidRPr="00312F58">
        <w:t xml:space="preserve"> = le plafond). Une fois utilisé au défini, ce terme désigne le ciel proprement dit ou la pluie.</w:t>
      </w:r>
    </w:p>
    <w:p w14:paraId="0F8467A6" w14:textId="77777777" w:rsidR="00EB5652" w:rsidRPr="00312F58" w:rsidRDefault="00EB5652" w:rsidP="007640DC">
      <w:pPr>
        <w:numPr>
          <w:ilvl w:val="0"/>
          <w:numId w:val="9"/>
        </w:numPr>
        <w:spacing w:line="360" w:lineRule="auto"/>
        <w:jc w:val="both"/>
        <w:rPr>
          <w:rFonts w:eastAsia="Calibri"/>
        </w:rPr>
      </w:pPr>
      <w:r w:rsidRPr="00312F58">
        <w:t xml:space="preserve">Le verbe transitif </w:t>
      </w:r>
      <w:r w:rsidRPr="00312F58">
        <w:rPr>
          <w:i/>
          <w:iCs/>
        </w:rPr>
        <w:t>yaqṭaʿ</w:t>
      </w:r>
      <w:r w:rsidRPr="00312F58">
        <w:t xml:space="preserve"> est utilisé dans l’absolu, i.e. sans COD. Pourquoi les exégètes ont-ils supposé le mot « corde » comme un COD ?</w:t>
      </w:r>
      <w:r w:rsidRPr="00312F58">
        <w:rPr>
          <w:rFonts w:eastAsia="Calibri"/>
        </w:rPr>
        <w:t xml:space="preserve"> Le fait de supprimer le complément d’objet direct (COD) modifie le sens du verbe, insiste sur l’action et néglige le complément qui peut être illimité.</w:t>
      </w:r>
    </w:p>
    <w:p w14:paraId="6588FBEE" w14:textId="77777777" w:rsidR="00EB5652" w:rsidRPr="00312F58" w:rsidRDefault="00EB5652" w:rsidP="00EB5652">
      <w:pPr>
        <w:shd w:val="clear" w:color="auto" w:fill="FFFFFF"/>
        <w:spacing w:line="360" w:lineRule="auto"/>
        <w:jc w:val="both"/>
        <w:rPr>
          <w:rFonts w:eastAsia="Times New Roman"/>
        </w:rPr>
      </w:pPr>
    </w:p>
    <w:p w14:paraId="5335D53E" w14:textId="77777777" w:rsidR="00EB5652" w:rsidRDefault="00EB5652" w:rsidP="00EB5652">
      <w:pPr>
        <w:shd w:val="clear" w:color="auto" w:fill="FFFFFF"/>
        <w:spacing w:line="360" w:lineRule="auto"/>
        <w:ind w:firstLine="240"/>
        <w:jc w:val="both"/>
        <w:rPr>
          <w:rFonts w:eastAsia="Times New Roman"/>
          <w:shd w:val="clear" w:color="auto" w:fill="FFFFFF"/>
        </w:rPr>
      </w:pPr>
      <w:r w:rsidRPr="00636306">
        <w:rPr>
          <w:rFonts w:eastAsia="Times New Roman"/>
        </w:rPr>
        <w:t xml:space="preserve">Une autre discipline qui s’ajoute aux sciences du langage pour servir l’idéologie coranique est celle des </w:t>
      </w:r>
      <w:r w:rsidRPr="00636306">
        <w:rPr>
          <w:rFonts w:eastAsia="Times New Roman"/>
          <w:i/>
          <w:iCs/>
        </w:rPr>
        <w:t>asbāb an-nuzūl</w:t>
      </w:r>
      <w:r w:rsidRPr="00636306">
        <w:rPr>
          <w:rFonts w:eastAsia="Times New Roman"/>
        </w:rPr>
        <w:t xml:space="preserve"> [les causes de la révélation] (les circonstances ou le contexte historique de la rédaction du</w:t>
      </w:r>
      <w:r w:rsidRPr="00312F58">
        <w:rPr>
          <w:rFonts w:eastAsia="Times New Roman"/>
        </w:rPr>
        <w:t xml:space="preserve"> Coran)</w:t>
      </w:r>
      <w:r w:rsidRPr="00312F58">
        <w:rPr>
          <w:rFonts w:eastAsia="Times New Roman"/>
          <w:shd w:val="clear" w:color="auto" w:fill="FFFFFF"/>
        </w:rPr>
        <w:t>.</w:t>
      </w:r>
    </w:p>
    <w:p w14:paraId="3949E3B4" w14:textId="77777777" w:rsidR="00E166D7" w:rsidRPr="00E166D7" w:rsidRDefault="00E166D7" w:rsidP="00EB5652">
      <w:pPr>
        <w:shd w:val="clear" w:color="auto" w:fill="FFFFFF"/>
        <w:spacing w:line="360" w:lineRule="auto"/>
        <w:ind w:firstLine="240"/>
        <w:jc w:val="both"/>
        <w:rPr>
          <w:rFonts w:eastAsia="Times New Roman"/>
        </w:rPr>
      </w:pPr>
    </w:p>
    <w:p w14:paraId="5342880F" w14:textId="6ADF2EB3" w:rsidR="00EB5652" w:rsidRPr="00F3240A" w:rsidRDefault="00E166D7" w:rsidP="00876BB0">
      <w:pPr>
        <w:pStyle w:val="Paragraphedeliste"/>
        <w:numPr>
          <w:ilvl w:val="1"/>
          <w:numId w:val="126"/>
        </w:numPr>
        <w:shd w:val="clear" w:color="auto" w:fill="FFFFFF"/>
        <w:bidi w:val="0"/>
        <w:spacing w:line="360" w:lineRule="auto"/>
        <w:jc w:val="both"/>
        <w:rPr>
          <w:b/>
          <w:bCs/>
        </w:rPr>
      </w:pPr>
      <w:r w:rsidRPr="00F3240A">
        <w:rPr>
          <w:rFonts w:asciiTheme="majorBidi" w:hAnsiTheme="majorBidi" w:cstheme="majorBidi"/>
          <w:b/>
          <w:bCs/>
        </w:rPr>
        <w:t xml:space="preserve">Les besoins auxquels répond le </w:t>
      </w:r>
      <w:r w:rsidRPr="00F3240A">
        <w:rPr>
          <w:rFonts w:asciiTheme="majorBidi" w:hAnsiTheme="majorBidi" w:cstheme="majorBidi"/>
          <w:b/>
          <w:bCs/>
          <w:i/>
          <w:iCs/>
        </w:rPr>
        <w:t>tafsīr</w:t>
      </w:r>
      <w:r w:rsidRPr="00F3240A">
        <w:rPr>
          <w:rFonts w:asciiTheme="majorBidi" w:hAnsiTheme="majorBidi" w:cstheme="majorBidi"/>
          <w:b/>
          <w:bCs/>
        </w:rPr>
        <w:t> :</w:t>
      </w:r>
    </w:p>
    <w:p w14:paraId="3A6A8DCD" w14:textId="77777777" w:rsidR="00EB5652" w:rsidRPr="006D032B" w:rsidRDefault="00EB5652" w:rsidP="00EB5652">
      <w:pPr>
        <w:shd w:val="clear" w:color="auto" w:fill="FFFFFF"/>
        <w:spacing w:line="360" w:lineRule="auto"/>
        <w:ind w:firstLine="240"/>
        <w:jc w:val="both"/>
        <w:rPr>
          <w:rFonts w:eastAsia="Times New Roman"/>
        </w:rPr>
      </w:pPr>
      <w:r w:rsidRPr="00312F58">
        <w:rPr>
          <w:rFonts w:eastAsia="Times New Roman"/>
        </w:rPr>
        <w:t>Si le besoin d’avoir une identité religieuse et nationale et de se différencier à l’intérieur de l’Arabie peut être considéré comme l’un des facteurs qui ont conduit à l’émergence du Coran, le besoin du l’exégèse est né dans un contexte d’expansion de l’islam</w:t>
      </w:r>
      <w:r w:rsidRPr="006D032B">
        <w:rPr>
          <w:rFonts w:eastAsia="Times New Roman"/>
        </w:rPr>
        <w:t xml:space="preserve">. Le </w:t>
      </w:r>
      <w:r w:rsidRPr="006D032B">
        <w:rPr>
          <w:rFonts w:eastAsia="Times New Roman"/>
          <w:i/>
          <w:iCs/>
        </w:rPr>
        <w:t>tafsīr</w:t>
      </w:r>
      <w:r w:rsidRPr="006D032B">
        <w:rPr>
          <w:rFonts w:eastAsia="Times New Roman"/>
        </w:rPr>
        <w:t xml:space="preserve"> aurait répondu à certains besoins dont :</w:t>
      </w:r>
    </w:p>
    <w:p w14:paraId="24CECFF6" w14:textId="77777777" w:rsidR="00EB5652" w:rsidRPr="00312F58" w:rsidRDefault="00EB5652" w:rsidP="007640DC">
      <w:pPr>
        <w:pStyle w:val="Paragraphedeliste"/>
        <w:numPr>
          <w:ilvl w:val="0"/>
          <w:numId w:val="16"/>
        </w:numPr>
        <w:shd w:val="clear" w:color="auto" w:fill="FFFFFF"/>
        <w:bidi w:val="0"/>
        <w:spacing w:after="0" w:line="360" w:lineRule="auto"/>
        <w:jc w:val="both"/>
        <w:rPr>
          <w:rFonts w:ascii="Times New Roman" w:hAnsi="Times New Roman" w:cs="Times New Roman"/>
          <w:sz w:val="24"/>
          <w:szCs w:val="24"/>
        </w:rPr>
      </w:pPr>
      <w:r w:rsidRPr="00312F58">
        <w:rPr>
          <w:rFonts w:ascii="Times New Roman" w:hAnsi="Times New Roman" w:cs="Times New Roman"/>
          <w:sz w:val="24"/>
          <w:szCs w:val="24"/>
        </w:rPr>
        <w:lastRenderedPageBreak/>
        <w:t>limiter la liberté de l’utilisation du texte coranique, i. e. réduire la polysémie, pour qu’il ne soit pas un outil aux mains des peuples conquis (le droit de l’exégèse appar</w:t>
      </w:r>
      <w:r>
        <w:rPr>
          <w:rFonts w:ascii="Times New Roman" w:hAnsi="Times New Roman" w:cs="Times New Roman"/>
          <w:sz w:val="24"/>
          <w:szCs w:val="24"/>
        </w:rPr>
        <w:t>tient aux autorités politiques) ;</w:t>
      </w:r>
      <w:r w:rsidRPr="00312F58">
        <w:rPr>
          <w:rFonts w:ascii="Times New Roman" w:hAnsi="Times New Roman" w:cs="Times New Roman"/>
          <w:sz w:val="24"/>
          <w:szCs w:val="24"/>
        </w:rPr>
        <w:t xml:space="preserve"> c’est pour cela des règles de </w:t>
      </w:r>
      <w:r w:rsidRPr="00312F58">
        <w:rPr>
          <w:rFonts w:ascii="Times New Roman" w:hAnsi="Times New Roman" w:cs="Times New Roman"/>
          <w:i/>
          <w:iCs/>
          <w:sz w:val="24"/>
          <w:szCs w:val="24"/>
        </w:rPr>
        <w:t>tafsīr</w:t>
      </w:r>
      <w:r w:rsidRPr="00312F58">
        <w:rPr>
          <w:rFonts w:ascii="Times New Roman" w:hAnsi="Times New Roman" w:cs="Times New Roman"/>
          <w:sz w:val="24"/>
          <w:szCs w:val="24"/>
        </w:rPr>
        <w:t xml:space="preserve"> ont été mises (comme : le </w:t>
      </w:r>
      <w:r w:rsidRPr="00312F58">
        <w:rPr>
          <w:rFonts w:ascii="Times New Roman" w:hAnsi="Times New Roman" w:cs="Times New Roman"/>
          <w:i/>
          <w:iCs/>
          <w:sz w:val="24"/>
          <w:szCs w:val="24"/>
        </w:rPr>
        <w:t>tafsīr</w:t>
      </w:r>
      <w:r w:rsidRPr="00312F58">
        <w:rPr>
          <w:rFonts w:ascii="Times New Roman" w:hAnsi="Times New Roman" w:cs="Times New Roman"/>
          <w:sz w:val="24"/>
          <w:szCs w:val="24"/>
        </w:rPr>
        <w:t xml:space="preserve"> par le Coran et la </w:t>
      </w:r>
      <w:r w:rsidRPr="00312F58">
        <w:rPr>
          <w:rFonts w:ascii="Times New Roman" w:hAnsi="Times New Roman" w:cs="Times New Roman"/>
          <w:i/>
          <w:iCs/>
          <w:sz w:val="24"/>
          <w:szCs w:val="24"/>
        </w:rPr>
        <w:t>sunna</w:t>
      </w:r>
      <w:r w:rsidRPr="00312F58">
        <w:rPr>
          <w:rFonts w:ascii="Times New Roman" w:hAnsi="Times New Roman" w:cs="Times New Roman"/>
          <w:sz w:val="24"/>
          <w:szCs w:val="24"/>
        </w:rPr>
        <w:t xml:space="preserve">, le respect du sens présenté par les dictionnaires, le respect de l’exégèse des maîtres de </w:t>
      </w:r>
      <w:r w:rsidRPr="00312F58">
        <w:rPr>
          <w:rFonts w:ascii="Times New Roman" w:hAnsi="Times New Roman" w:cs="Times New Roman"/>
          <w:i/>
          <w:iCs/>
          <w:sz w:val="24"/>
          <w:szCs w:val="24"/>
        </w:rPr>
        <w:t>tafsīr</w:t>
      </w:r>
      <w:r w:rsidRPr="00312F58">
        <w:rPr>
          <w:rFonts w:ascii="Times New Roman" w:hAnsi="Times New Roman" w:cs="Times New Roman"/>
          <w:sz w:val="24"/>
          <w:szCs w:val="24"/>
        </w:rPr>
        <w:t xml:space="preserve">, etc.). Autrement dit, limiter le sens du hadith : </w:t>
      </w:r>
      <w:r w:rsidRPr="00312F58">
        <w:rPr>
          <w:rFonts w:ascii="Times New Roman" w:eastAsia="Calibri" w:hAnsi="Times New Roman" w:cs="Times New Roman"/>
          <w:sz w:val="24"/>
          <w:szCs w:val="24"/>
          <w:lang w:bidi="ar-AE"/>
        </w:rPr>
        <w:t>« Tout ce que l’on dit dans le Coran est juste (</w:t>
      </w:r>
      <w:r w:rsidRPr="00312F58">
        <w:rPr>
          <w:rFonts w:ascii="Times New Roman" w:eastAsia="Calibri" w:hAnsi="Times New Roman" w:cs="Times New Roman"/>
          <w:i/>
          <w:iCs/>
          <w:sz w:val="24"/>
          <w:szCs w:val="24"/>
          <w:lang w:bidi="ar-AE"/>
        </w:rPr>
        <w:t>ṣawāb</w:t>
      </w:r>
      <w:r w:rsidRPr="00312F58">
        <w:rPr>
          <w:rFonts w:ascii="Times New Roman" w:eastAsia="Calibri" w:hAnsi="Times New Roman" w:cs="Times New Roman"/>
          <w:sz w:val="24"/>
          <w:szCs w:val="24"/>
          <w:lang w:bidi="ar-AE"/>
        </w:rPr>
        <w:t xml:space="preserve">) tant que l’on ne substitue pas </w:t>
      </w:r>
      <w:r w:rsidRPr="00312F58">
        <w:rPr>
          <w:rFonts w:ascii="Times New Roman" w:eastAsia="Calibri" w:hAnsi="Times New Roman" w:cs="Times New Roman"/>
          <w:i/>
          <w:iCs/>
          <w:sz w:val="24"/>
          <w:szCs w:val="24"/>
          <w:lang w:bidi="ar-AE"/>
        </w:rPr>
        <w:t>châtiment</w:t>
      </w:r>
      <w:r w:rsidRPr="00312F58">
        <w:rPr>
          <w:rFonts w:ascii="Times New Roman" w:eastAsia="Calibri" w:hAnsi="Times New Roman" w:cs="Times New Roman"/>
          <w:sz w:val="24"/>
          <w:szCs w:val="24"/>
          <w:lang w:bidi="ar-AE"/>
        </w:rPr>
        <w:t xml:space="preserve"> à </w:t>
      </w:r>
      <w:r w:rsidRPr="00312F58">
        <w:rPr>
          <w:rFonts w:ascii="Times New Roman" w:eastAsia="Calibri" w:hAnsi="Times New Roman" w:cs="Times New Roman"/>
          <w:i/>
          <w:iCs/>
          <w:sz w:val="24"/>
          <w:szCs w:val="24"/>
          <w:lang w:bidi="ar-AE"/>
        </w:rPr>
        <w:t>pardon</w:t>
      </w:r>
      <w:r w:rsidRPr="00312F58">
        <w:rPr>
          <w:rFonts w:ascii="Times New Roman" w:eastAsia="Calibri" w:hAnsi="Times New Roman" w:cs="Times New Roman"/>
          <w:sz w:val="24"/>
          <w:szCs w:val="24"/>
          <w:lang w:bidi="ar-AE"/>
        </w:rPr>
        <w:t xml:space="preserve"> [c’est-à-dire tant que l’on ne commet pas de contresens]. »</w:t>
      </w:r>
      <w:r w:rsidRPr="00312F58">
        <w:rPr>
          <w:rFonts w:ascii="Times New Roman" w:hAnsi="Times New Roman" w:cs="Times New Roman"/>
          <w:sz w:val="24"/>
          <w:szCs w:val="24"/>
          <w:vertAlign w:val="superscript"/>
          <w:lang w:bidi="ar-AE"/>
        </w:rPr>
        <w:footnoteReference w:id="146"/>
      </w:r>
    </w:p>
    <w:p w14:paraId="2D0CC5B8" w14:textId="77777777" w:rsidR="00EB5652" w:rsidRPr="00312F58" w:rsidRDefault="00EB5652" w:rsidP="007640DC">
      <w:pPr>
        <w:pStyle w:val="Paragraphedeliste"/>
        <w:numPr>
          <w:ilvl w:val="0"/>
          <w:numId w:val="16"/>
        </w:numPr>
        <w:shd w:val="clear" w:color="auto" w:fill="FFFFFF"/>
        <w:bidi w:val="0"/>
        <w:spacing w:after="0" w:line="360" w:lineRule="auto"/>
        <w:jc w:val="both"/>
        <w:rPr>
          <w:rFonts w:ascii="Times New Roman" w:hAnsi="Times New Roman" w:cs="Times New Roman"/>
          <w:sz w:val="24"/>
          <w:szCs w:val="24"/>
        </w:rPr>
      </w:pPr>
      <w:r w:rsidRPr="00312F58">
        <w:rPr>
          <w:rFonts w:ascii="Times New Roman" w:hAnsi="Times New Roman" w:cs="Times New Roman"/>
          <w:sz w:val="24"/>
          <w:szCs w:val="24"/>
        </w:rPr>
        <w:t>protéger le dogme musulman contre l’influence des croyances des pays conquis ;</w:t>
      </w:r>
    </w:p>
    <w:p w14:paraId="5E09E3E8" w14:textId="77777777" w:rsidR="00EB5652" w:rsidRPr="00312F58" w:rsidRDefault="00EB5652" w:rsidP="007640DC">
      <w:pPr>
        <w:pStyle w:val="Paragraphedeliste"/>
        <w:numPr>
          <w:ilvl w:val="0"/>
          <w:numId w:val="16"/>
        </w:numPr>
        <w:shd w:val="clear" w:color="auto" w:fill="FFFFFF"/>
        <w:bidi w:val="0"/>
        <w:spacing w:after="0" w:line="360" w:lineRule="auto"/>
        <w:jc w:val="both"/>
        <w:rPr>
          <w:rFonts w:ascii="Times New Roman" w:hAnsi="Times New Roman" w:cs="Times New Roman"/>
          <w:sz w:val="24"/>
          <w:szCs w:val="24"/>
        </w:rPr>
      </w:pPr>
      <w:r w:rsidRPr="00312F58">
        <w:rPr>
          <w:rFonts w:ascii="Times New Roman" w:hAnsi="Times New Roman" w:cs="Times New Roman"/>
          <w:sz w:val="24"/>
          <w:szCs w:val="24"/>
        </w:rPr>
        <w:t>répondre à un besoin juridique ;</w:t>
      </w:r>
    </w:p>
    <w:p w14:paraId="3C7920BC" w14:textId="77777777" w:rsidR="00EB5652" w:rsidRPr="00312F58" w:rsidRDefault="00EB5652" w:rsidP="007640DC">
      <w:pPr>
        <w:pStyle w:val="Paragraphedeliste"/>
        <w:numPr>
          <w:ilvl w:val="0"/>
          <w:numId w:val="16"/>
        </w:numPr>
        <w:shd w:val="clear" w:color="auto" w:fill="FFFFFF"/>
        <w:bidi w:val="0"/>
        <w:spacing w:after="0" w:line="360" w:lineRule="auto"/>
        <w:jc w:val="both"/>
        <w:rPr>
          <w:rFonts w:ascii="Times New Roman" w:hAnsi="Times New Roman" w:cs="Times New Roman"/>
          <w:sz w:val="24"/>
          <w:szCs w:val="24"/>
        </w:rPr>
      </w:pPr>
      <w:r w:rsidRPr="00312F58">
        <w:rPr>
          <w:rFonts w:ascii="Times New Roman" w:hAnsi="Times New Roman" w:cs="Times New Roman"/>
          <w:sz w:val="24"/>
          <w:szCs w:val="24"/>
        </w:rPr>
        <w:t xml:space="preserve">expliquer les versets équivoques et les mots </w:t>
      </w:r>
      <w:r w:rsidRPr="00312F58">
        <w:rPr>
          <w:rFonts w:ascii="Times New Roman" w:hAnsi="Times New Roman" w:cs="Times New Roman"/>
          <w:i/>
          <w:iCs/>
          <w:sz w:val="24"/>
          <w:szCs w:val="24"/>
        </w:rPr>
        <w:t>hapax </w:t>
      </w:r>
      <w:r w:rsidRPr="00312F58">
        <w:rPr>
          <w:rFonts w:ascii="Times New Roman" w:hAnsi="Times New Roman" w:cs="Times New Roman"/>
          <w:sz w:val="24"/>
          <w:szCs w:val="24"/>
        </w:rPr>
        <w:t>;</w:t>
      </w:r>
    </w:p>
    <w:p w14:paraId="0DE9A3E4" w14:textId="77777777" w:rsidR="00EB5652" w:rsidRPr="00312F58" w:rsidRDefault="00EB5652" w:rsidP="007640DC">
      <w:pPr>
        <w:pStyle w:val="Paragraphedeliste"/>
        <w:numPr>
          <w:ilvl w:val="0"/>
          <w:numId w:val="16"/>
        </w:numPr>
        <w:shd w:val="clear" w:color="auto" w:fill="FFFFFF"/>
        <w:bidi w:val="0"/>
        <w:spacing w:after="0" w:line="360" w:lineRule="auto"/>
        <w:jc w:val="both"/>
        <w:rPr>
          <w:rFonts w:ascii="Times New Roman" w:hAnsi="Times New Roman" w:cs="Times New Roman"/>
          <w:sz w:val="24"/>
          <w:szCs w:val="24"/>
        </w:rPr>
      </w:pPr>
      <w:r w:rsidRPr="00312F58">
        <w:rPr>
          <w:rFonts w:ascii="Times New Roman" w:hAnsi="Times New Roman" w:cs="Times New Roman"/>
          <w:sz w:val="24"/>
          <w:szCs w:val="24"/>
        </w:rPr>
        <w:t>affirmer l’identité et se différencier ;</w:t>
      </w:r>
    </w:p>
    <w:p w14:paraId="57412244" w14:textId="77777777" w:rsidR="00EB5652" w:rsidRPr="00636306" w:rsidRDefault="00EB5652" w:rsidP="007640DC">
      <w:pPr>
        <w:pStyle w:val="Paragraphedeliste"/>
        <w:numPr>
          <w:ilvl w:val="0"/>
          <w:numId w:val="16"/>
        </w:numPr>
        <w:shd w:val="clear" w:color="auto" w:fill="FFFFFF"/>
        <w:bidi w:val="0"/>
        <w:spacing w:after="0" w:line="360" w:lineRule="auto"/>
        <w:jc w:val="both"/>
        <w:rPr>
          <w:rFonts w:ascii="Times New Roman" w:hAnsi="Times New Roman" w:cs="Times New Roman"/>
          <w:sz w:val="24"/>
          <w:szCs w:val="24"/>
        </w:rPr>
      </w:pPr>
      <w:r w:rsidRPr="00312F58">
        <w:rPr>
          <w:rFonts w:ascii="Times New Roman" w:hAnsi="Times New Roman" w:cs="Times New Roman"/>
          <w:sz w:val="24"/>
          <w:szCs w:val="24"/>
        </w:rPr>
        <w:t xml:space="preserve">servir une idéologie politique (par exemple, le chiisme a utilisé l’exégèse pour dénigrer ses </w:t>
      </w:r>
      <w:r w:rsidRPr="00636306">
        <w:rPr>
          <w:rFonts w:ascii="Times New Roman" w:hAnsi="Times New Roman" w:cs="Times New Roman"/>
          <w:sz w:val="24"/>
          <w:szCs w:val="24"/>
        </w:rPr>
        <w:t>adversaires, en particulier les deux premiers califes).</w:t>
      </w:r>
    </w:p>
    <w:p w14:paraId="78CC6CA2" w14:textId="77777777" w:rsidR="00EB5652" w:rsidRPr="00636306" w:rsidRDefault="00EB5652" w:rsidP="00EB5652">
      <w:pPr>
        <w:shd w:val="clear" w:color="auto" w:fill="FFFFFF"/>
        <w:spacing w:line="360" w:lineRule="auto"/>
        <w:ind w:firstLine="240"/>
        <w:jc w:val="both"/>
        <w:rPr>
          <w:rFonts w:eastAsia="Times New Roman"/>
        </w:rPr>
      </w:pPr>
    </w:p>
    <w:p w14:paraId="55706C33" w14:textId="77777777" w:rsidR="00EB5652" w:rsidRPr="00636306" w:rsidRDefault="00EB5652" w:rsidP="00EB5652">
      <w:pPr>
        <w:shd w:val="clear" w:color="auto" w:fill="FFFFFF"/>
        <w:spacing w:line="360" w:lineRule="auto"/>
        <w:ind w:firstLine="240"/>
        <w:jc w:val="both"/>
        <w:rPr>
          <w:rFonts w:eastAsia="Times New Roman"/>
        </w:rPr>
      </w:pPr>
      <w:r w:rsidRPr="00636306">
        <w:rPr>
          <w:rFonts w:eastAsia="Times New Roman"/>
        </w:rPr>
        <w:t xml:space="preserve">Un coup d’œil sur l’histoire du Coran et de son exégèse nous montre comment la polysémie s’est réduite lors du passage de l’oralité (sept lectures) à la </w:t>
      </w:r>
      <w:r w:rsidRPr="00636306">
        <w:rPr>
          <w:rFonts w:asciiTheme="majorBidi" w:hAnsiTheme="majorBidi" w:cstheme="majorBidi"/>
        </w:rPr>
        <w:t>scripturalité</w:t>
      </w:r>
      <w:r w:rsidRPr="00636306">
        <w:rPr>
          <w:rFonts w:eastAsia="Times New Roman"/>
        </w:rPr>
        <w:t xml:space="preserve"> du Coran, puis de l’exégèse orale à l’exégèse écrite ; ensuite la polysémie s’est considérablement réduite lors du passage des premières aux dernières exégèses, dans un objectif de fixer non seulement le texte mais sa signification. Il reste à étudier ce qui se passe pour la polysémie lors du passage du texte arabe à ses traductions en français. Ce que nous allons aborder plus tard.</w:t>
      </w:r>
    </w:p>
    <w:p w14:paraId="54F3C95A" w14:textId="77777777" w:rsidR="00EB5652" w:rsidRPr="00636306" w:rsidRDefault="00EB5652" w:rsidP="00EB5652">
      <w:pPr>
        <w:shd w:val="clear" w:color="auto" w:fill="FFFFFF"/>
        <w:spacing w:line="360" w:lineRule="auto"/>
        <w:ind w:firstLine="240"/>
        <w:jc w:val="both"/>
        <w:rPr>
          <w:rFonts w:eastAsia="Times New Roman"/>
        </w:rPr>
      </w:pPr>
    </w:p>
    <w:p w14:paraId="27805FF5" w14:textId="77777777" w:rsidR="00EB5652" w:rsidRPr="00DF1AEB" w:rsidRDefault="00EB5652" w:rsidP="00EB5652">
      <w:pPr>
        <w:shd w:val="clear" w:color="auto" w:fill="FFFFFF"/>
        <w:spacing w:line="360" w:lineRule="auto"/>
        <w:ind w:firstLine="240"/>
        <w:jc w:val="both"/>
        <w:rPr>
          <w:rFonts w:eastAsia="Times New Roman"/>
        </w:rPr>
      </w:pPr>
      <w:r w:rsidRPr="00636306">
        <w:rPr>
          <w:rFonts w:eastAsia="Times New Roman"/>
        </w:rPr>
        <w:t xml:space="preserve">Voici un exemple qui montre bien comment l’exégèse réduit la polysémie du texte coranique. </w:t>
      </w:r>
      <w:r w:rsidRPr="00636306">
        <w:rPr>
          <w:rFonts w:eastAsia="Times New Roman"/>
          <w:lang w:bidi="ar-AE"/>
        </w:rPr>
        <w:t>L’exégèse officielle contemporaine d’Al-Azhar (</w:t>
      </w:r>
      <w:r w:rsidRPr="00636306">
        <w:rPr>
          <w:rFonts w:eastAsia="Times New Roman"/>
          <w:i/>
          <w:iCs/>
          <w:lang w:bidi="ar-AE"/>
        </w:rPr>
        <w:t>Tafsīr</w:t>
      </w:r>
      <w:r w:rsidRPr="00312F58">
        <w:rPr>
          <w:rFonts w:eastAsia="Times New Roman"/>
          <w:i/>
          <w:iCs/>
          <w:lang w:bidi="ar-AE"/>
        </w:rPr>
        <w:t xml:space="preserve"> Al-Muntakhab</w:t>
      </w:r>
      <w:r w:rsidRPr="00312F58">
        <w:rPr>
          <w:rFonts w:eastAsia="Times New Roman"/>
          <w:lang w:bidi="ar-AE"/>
        </w:rPr>
        <w:t>) n’a pas seulement supprimé la chaîne de transmission (</w:t>
      </w:r>
      <w:r w:rsidRPr="00312F58">
        <w:rPr>
          <w:rFonts w:eastAsia="Times New Roman"/>
          <w:i/>
          <w:iCs/>
          <w:lang w:bidi="ar-AE"/>
        </w:rPr>
        <w:t>sanad</w:t>
      </w:r>
      <w:r>
        <w:rPr>
          <w:rFonts w:eastAsia="Times New Roman"/>
          <w:lang w:bidi="ar-AE"/>
        </w:rPr>
        <w:t>) et la répétition, mais elle</w:t>
      </w:r>
      <w:r w:rsidRPr="00312F58">
        <w:rPr>
          <w:rFonts w:eastAsia="Times New Roman"/>
          <w:lang w:bidi="ar-AE"/>
        </w:rPr>
        <w:t xml:space="preserve"> a également supprimé toutes les qui </w:t>
      </w:r>
      <w:r w:rsidRPr="00DF1AEB">
        <w:rPr>
          <w:rFonts w:eastAsia="Times New Roman"/>
          <w:lang w:bidi="ar-AE"/>
        </w:rPr>
        <w:t xml:space="preserve">peuvent soulever des doutes quant à l’impeccabilité du prophète ou la remettre en cause. On remarque que l’ancienne exégèse d’Aṭ-Ṭabarī utilise beaucoup le verbe </w:t>
      </w:r>
      <w:r w:rsidRPr="00DF1AEB">
        <w:rPr>
          <w:rFonts w:eastAsia="Times New Roman"/>
          <w:i/>
          <w:iCs/>
          <w:lang w:bidi="ar-AE"/>
        </w:rPr>
        <w:t>ikhtalafa</w:t>
      </w:r>
      <w:r w:rsidRPr="00DF1AEB">
        <w:rPr>
          <w:rFonts w:eastAsia="Times New Roman"/>
          <w:lang w:bidi="ar-AE"/>
        </w:rPr>
        <w:t xml:space="preserve"> (diverger) qui a disparu de l’exégèse contemporaine.</w:t>
      </w:r>
    </w:p>
    <w:p w14:paraId="02EE00D1" w14:textId="77777777" w:rsidR="00EB5652" w:rsidRPr="00DF1AEB" w:rsidRDefault="00EB5652" w:rsidP="00EB5652">
      <w:pPr>
        <w:shd w:val="clear" w:color="auto" w:fill="FFFFFF"/>
        <w:spacing w:line="360" w:lineRule="auto"/>
        <w:ind w:firstLine="240"/>
        <w:jc w:val="both"/>
        <w:rPr>
          <w:rFonts w:eastAsia="Times New Roman"/>
        </w:rPr>
      </w:pPr>
    </w:p>
    <w:p w14:paraId="7FA1F7FC" w14:textId="77777777" w:rsidR="00EB5652" w:rsidRPr="00312F58" w:rsidRDefault="00EB5652" w:rsidP="00EB5652">
      <w:pPr>
        <w:shd w:val="clear" w:color="auto" w:fill="FFFFFF"/>
        <w:spacing w:line="360" w:lineRule="auto"/>
        <w:ind w:firstLine="240"/>
        <w:jc w:val="both"/>
        <w:rPr>
          <w:rFonts w:eastAsia="Times New Roman"/>
        </w:rPr>
      </w:pPr>
      <w:r w:rsidRPr="00DF1AEB">
        <w:rPr>
          <w:rFonts w:eastAsia="Times New Roman"/>
        </w:rPr>
        <w:lastRenderedPageBreak/>
        <w:t>Claude Gilliot</w:t>
      </w:r>
      <w:r w:rsidRPr="00DF1AEB">
        <w:rPr>
          <w:rFonts w:eastAsia="Times New Roman"/>
          <w:vertAlign w:val="superscript"/>
        </w:rPr>
        <w:footnoteReference w:id="147"/>
      </w:r>
      <w:r w:rsidRPr="00DF1AEB">
        <w:rPr>
          <w:rFonts w:eastAsia="Times New Roman"/>
          <w:lang w:bidi="ar-AE"/>
        </w:rPr>
        <w:t xml:space="preserve"> </w:t>
      </w:r>
      <w:r w:rsidRPr="00DF1AEB">
        <w:rPr>
          <w:rFonts w:eastAsia="Times New Roman"/>
        </w:rPr>
        <w:t>souligne que la comparaison</w:t>
      </w:r>
      <w:r w:rsidRPr="00312F58">
        <w:rPr>
          <w:rFonts w:eastAsia="Times New Roman"/>
        </w:rPr>
        <w:t xml:space="preserve"> entre l’exégèse d’Ibn Kathīr et celle d’Aṭ-Ṭabarī montre que l’environnement intellectuel d’Ibn Kathīr est beaucoup moins riche. </w:t>
      </w:r>
      <w:r w:rsidRPr="00312F58">
        <w:rPr>
          <w:rFonts w:eastAsia="Times New Roman"/>
          <w:lang w:bidi="ar-KW"/>
        </w:rPr>
        <w:t>Ainsi, les contemporains du Coran (la première réception) qui étaient beaucoup moins nombreux par rapport aux musulmans actuels étaient beaucoup plus riches à propos de la polysémie. Le tableau suivant permet de visualiser cette idée.</w:t>
      </w:r>
    </w:p>
    <w:p w14:paraId="03B3893F" w14:textId="77777777" w:rsidR="00EB5652" w:rsidRPr="00312F58" w:rsidRDefault="00EB5652" w:rsidP="00EB5652">
      <w:pPr>
        <w:tabs>
          <w:tab w:val="left" w:pos="7730"/>
        </w:tabs>
        <w:spacing w:line="360" w:lineRule="auto"/>
        <w:jc w:val="both"/>
        <w:rPr>
          <w:rFonts w:eastAsia="Times New Roman"/>
          <w:lang w:bidi="ar-AE"/>
        </w:rPr>
      </w:pPr>
      <w:r w:rsidRPr="00312F58">
        <w:rPr>
          <w:rFonts w:eastAsia="Times New Roman"/>
          <w:lang w:bidi="ar-AE"/>
        </w:rPr>
        <w:t xml:space="preserve"> </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094"/>
        <w:gridCol w:w="3681"/>
        <w:gridCol w:w="3680"/>
        <w:gridCol w:w="2266"/>
      </w:tblGrid>
      <w:tr w:rsidR="00EB5652" w:rsidRPr="00EC488E" w14:paraId="0CEC29F1" w14:textId="77777777" w:rsidTr="002A1516">
        <w:tc>
          <w:tcPr>
            <w:tcW w:w="1418" w:type="dxa"/>
            <w:gridSpan w:val="2"/>
            <w:tcBorders>
              <w:top w:val="single" w:sz="4" w:space="0" w:color="auto"/>
              <w:left w:val="single" w:sz="4" w:space="0" w:color="auto"/>
              <w:bottom w:val="single" w:sz="4" w:space="0" w:color="auto"/>
              <w:right w:val="single" w:sz="4" w:space="0" w:color="auto"/>
            </w:tcBorders>
          </w:tcPr>
          <w:p w14:paraId="19A4E252" w14:textId="77777777" w:rsidR="00EB5652" w:rsidRPr="00EC488E" w:rsidRDefault="00EB5652" w:rsidP="002A1516">
            <w:pPr>
              <w:spacing w:line="360" w:lineRule="auto"/>
              <w:jc w:val="both"/>
              <w:rPr>
                <w:rFonts w:eastAsia="Times New Roman"/>
                <w:b/>
                <w:bCs/>
                <w:sz w:val="18"/>
                <w:szCs w:val="18"/>
                <w:lang w:bidi="ar-KW"/>
              </w:rPr>
            </w:pPr>
            <w:r w:rsidRPr="00EC488E">
              <w:rPr>
                <w:rFonts w:eastAsia="Times New Roman"/>
                <w:b/>
                <w:bCs/>
                <w:sz w:val="18"/>
                <w:szCs w:val="18"/>
                <w:lang w:bidi="ar-KW"/>
              </w:rPr>
              <w:t>Le verset</w:t>
            </w:r>
          </w:p>
        </w:tc>
        <w:tc>
          <w:tcPr>
            <w:tcW w:w="3686" w:type="dxa"/>
            <w:tcBorders>
              <w:top w:val="single" w:sz="4" w:space="0" w:color="auto"/>
              <w:left w:val="single" w:sz="4" w:space="0" w:color="auto"/>
              <w:bottom w:val="single" w:sz="4" w:space="0" w:color="auto"/>
              <w:right w:val="single" w:sz="4" w:space="0" w:color="auto"/>
            </w:tcBorders>
          </w:tcPr>
          <w:p w14:paraId="658B329D" w14:textId="77777777" w:rsidR="00EB5652" w:rsidRPr="00EC488E" w:rsidRDefault="00EB5652" w:rsidP="002A1516">
            <w:pPr>
              <w:tabs>
                <w:tab w:val="left" w:pos="7730"/>
              </w:tabs>
              <w:spacing w:line="360" w:lineRule="auto"/>
              <w:jc w:val="both"/>
              <w:rPr>
                <w:rFonts w:eastAsia="Times New Roman"/>
                <w:b/>
                <w:bCs/>
                <w:sz w:val="18"/>
                <w:szCs w:val="18"/>
                <w:lang w:bidi="ar-KW"/>
              </w:rPr>
            </w:pPr>
            <w:r w:rsidRPr="00EC488E">
              <w:rPr>
                <w:rFonts w:eastAsia="Times New Roman"/>
                <w:b/>
                <w:bCs/>
                <w:sz w:val="18"/>
                <w:szCs w:val="18"/>
                <w:lang w:bidi="ar-AE"/>
              </w:rPr>
              <w:t>Tafsīr Aṭ-Ṭabarī</w:t>
            </w:r>
            <w:r w:rsidRPr="00EC488E">
              <w:rPr>
                <w:rFonts w:eastAsia="Times New Roman"/>
                <w:b/>
                <w:bCs/>
                <w:sz w:val="18"/>
                <w:szCs w:val="18"/>
                <w:lang w:bidi="ar-KW"/>
              </w:rPr>
              <w:t xml:space="preserve"> </w:t>
            </w:r>
            <w:r w:rsidRPr="00EC488E">
              <w:rPr>
                <w:rFonts w:eastAsia="Times New Roman"/>
                <w:b/>
                <w:bCs/>
                <w:sz w:val="18"/>
                <w:szCs w:val="18"/>
              </w:rPr>
              <w:t>(839-923)</w:t>
            </w:r>
          </w:p>
        </w:tc>
        <w:tc>
          <w:tcPr>
            <w:tcW w:w="3685" w:type="dxa"/>
            <w:tcBorders>
              <w:top w:val="single" w:sz="4" w:space="0" w:color="auto"/>
              <w:left w:val="single" w:sz="4" w:space="0" w:color="auto"/>
              <w:bottom w:val="single" w:sz="4" w:space="0" w:color="auto"/>
              <w:right w:val="single" w:sz="4" w:space="0" w:color="auto"/>
            </w:tcBorders>
          </w:tcPr>
          <w:p w14:paraId="28218E2C" w14:textId="77777777" w:rsidR="00EB5652" w:rsidRPr="00EC488E" w:rsidRDefault="00EB5652" w:rsidP="002A1516">
            <w:pPr>
              <w:tabs>
                <w:tab w:val="left" w:pos="7730"/>
              </w:tabs>
              <w:spacing w:line="360" w:lineRule="auto"/>
              <w:jc w:val="both"/>
              <w:rPr>
                <w:rFonts w:eastAsia="Times New Roman"/>
                <w:b/>
                <w:bCs/>
                <w:sz w:val="18"/>
                <w:szCs w:val="18"/>
                <w:lang w:bidi="ar-KW"/>
              </w:rPr>
            </w:pPr>
            <w:r w:rsidRPr="00EC488E">
              <w:rPr>
                <w:rFonts w:eastAsia="Times New Roman"/>
                <w:b/>
                <w:bCs/>
                <w:sz w:val="18"/>
                <w:szCs w:val="18"/>
                <w:lang w:bidi="ar-AE"/>
              </w:rPr>
              <w:t>Tafsīr</w:t>
            </w:r>
            <w:r w:rsidRPr="00EC488E">
              <w:rPr>
                <w:rFonts w:eastAsia="Times New Roman"/>
                <w:b/>
                <w:bCs/>
                <w:sz w:val="18"/>
                <w:szCs w:val="18"/>
                <w:lang w:bidi="ar-KW"/>
              </w:rPr>
              <w:t xml:space="preserve"> Ibn Kathīr </w:t>
            </w:r>
            <w:r w:rsidRPr="00EC488E">
              <w:rPr>
                <w:rFonts w:eastAsia="Times New Roman"/>
                <w:b/>
                <w:bCs/>
                <w:sz w:val="18"/>
                <w:szCs w:val="18"/>
                <w:lang w:bidi="ar-AE"/>
              </w:rPr>
              <w:t>(m. 1373)</w:t>
            </w:r>
          </w:p>
        </w:tc>
        <w:tc>
          <w:tcPr>
            <w:tcW w:w="2268" w:type="dxa"/>
            <w:tcBorders>
              <w:top w:val="single" w:sz="4" w:space="0" w:color="auto"/>
              <w:left w:val="single" w:sz="4" w:space="0" w:color="auto"/>
              <w:bottom w:val="single" w:sz="4" w:space="0" w:color="auto"/>
              <w:right w:val="single" w:sz="4" w:space="0" w:color="auto"/>
            </w:tcBorders>
          </w:tcPr>
          <w:p w14:paraId="2A57FF5C" w14:textId="77777777" w:rsidR="00EB5652" w:rsidRPr="00EC488E" w:rsidRDefault="00EB5652" w:rsidP="002A1516">
            <w:pPr>
              <w:tabs>
                <w:tab w:val="left" w:pos="7730"/>
              </w:tabs>
              <w:spacing w:line="360" w:lineRule="auto"/>
              <w:jc w:val="both"/>
              <w:rPr>
                <w:rFonts w:eastAsia="Times New Roman"/>
                <w:b/>
                <w:bCs/>
                <w:sz w:val="18"/>
                <w:szCs w:val="18"/>
                <w:lang w:bidi="ar-KW"/>
              </w:rPr>
            </w:pPr>
            <w:r w:rsidRPr="00EC488E">
              <w:rPr>
                <w:rFonts w:eastAsia="Times New Roman"/>
                <w:b/>
                <w:bCs/>
                <w:sz w:val="18"/>
                <w:szCs w:val="18"/>
                <w:lang w:bidi="ar-KW"/>
              </w:rPr>
              <w:t>Tafsīr Al-Muntakhab (1998)</w:t>
            </w:r>
          </w:p>
        </w:tc>
      </w:tr>
      <w:tr w:rsidR="00EB5652" w:rsidRPr="00EC488E" w14:paraId="10279A68" w14:textId="77777777" w:rsidTr="002A1516">
        <w:tc>
          <w:tcPr>
            <w:tcW w:w="323" w:type="dxa"/>
            <w:tcBorders>
              <w:top w:val="single" w:sz="4" w:space="0" w:color="auto"/>
              <w:left w:val="single" w:sz="4" w:space="0" w:color="auto"/>
              <w:bottom w:val="single" w:sz="4" w:space="0" w:color="auto"/>
              <w:right w:val="single" w:sz="4" w:space="0" w:color="auto"/>
            </w:tcBorders>
          </w:tcPr>
          <w:p w14:paraId="5B11BAE5" w14:textId="77777777" w:rsidR="00EB5652" w:rsidRPr="00EC488E" w:rsidRDefault="00EB5652" w:rsidP="002A1516">
            <w:pPr>
              <w:bidi/>
              <w:spacing w:line="360" w:lineRule="auto"/>
              <w:jc w:val="both"/>
              <w:rPr>
                <w:rFonts w:ascii="Arabic Typesetting" w:eastAsia="Times New Roman" w:hAnsi="Arabic Typesetting" w:cs="Arabic Typesetting"/>
                <w:sz w:val="18"/>
                <w:szCs w:val="18"/>
                <w:lang w:bidi="ar-KW"/>
              </w:rPr>
            </w:pPr>
            <w:r w:rsidRPr="00EC488E">
              <w:rPr>
                <w:rFonts w:ascii="Arabic Typesetting" w:eastAsia="Times New Roman" w:hAnsi="Arabic Typesetting" w:cs="Arabic Typesetting"/>
                <w:sz w:val="18"/>
                <w:szCs w:val="18"/>
              </w:rPr>
              <w:t>15</w:t>
            </w:r>
          </w:p>
        </w:tc>
        <w:tc>
          <w:tcPr>
            <w:tcW w:w="1095" w:type="dxa"/>
            <w:tcBorders>
              <w:top w:val="single" w:sz="4" w:space="0" w:color="auto"/>
              <w:left w:val="single" w:sz="4" w:space="0" w:color="auto"/>
              <w:bottom w:val="single" w:sz="4" w:space="0" w:color="auto"/>
              <w:right w:val="single" w:sz="4" w:space="0" w:color="auto"/>
            </w:tcBorders>
          </w:tcPr>
          <w:p w14:paraId="523BD3CF" w14:textId="77777777" w:rsidR="00EB5652" w:rsidRPr="00EC488E" w:rsidRDefault="00EB5652" w:rsidP="002A1516">
            <w:pPr>
              <w:bidi/>
              <w:spacing w:line="360" w:lineRule="auto"/>
              <w:jc w:val="both"/>
              <w:rPr>
                <w:rFonts w:ascii="Arabic Typesetting" w:eastAsia="Times New Roman" w:hAnsi="Arabic Typesetting" w:cs="Arabic Typesetting"/>
                <w:sz w:val="18"/>
                <w:szCs w:val="18"/>
                <w:lang w:bidi="ar-KW"/>
              </w:rPr>
            </w:pPr>
            <w:r w:rsidRPr="00EC488E">
              <w:rPr>
                <w:rFonts w:ascii="Arabic Typesetting" w:eastAsia="Times New Roman" w:hAnsi="Arabic Typesetting" w:cs="Arabic Typesetting"/>
                <w:sz w:val="18"/>
                <w:szCs w:val="18"/>
                <w:rtl/>
              </w:rPr>
              <w:t>"</w:t>
            </w:r>
            <w:r w:rsidRPr="00EC488E">
              <w:rPr>
                <w:rFonts w:ascii="Mishafi Gold Regular" w:eastAsia="Times New Roman" w:hAnsi="Mishafi Gold Regular"/>
                <w:sz w:val="18"/>
                <w:szCs w:val="18"/>
                <w:rtl/>
              </w:rPr>
              <w:t>مَن</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كانَ</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يَـظُـنُّ</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أَنْ</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لن</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يَـنْـصُـر</w:t>
            </w:r>
            <w:r w:rsidRPr="00EC488E">
              <w:rPr>
                <w:rFonts w:ascii="Mishafi Gold Regular" w:eastAsia="Times New Roman" w:hAnsi="Mishafi Gold Regular"/>
                <w:sz w:val="18"/>
                <w:szCs w:val="18"/>
                <w:u w:val="single"/>
                <w:rtl/>
              </w:rPr>
              <w:t>َهُ</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اللهُ</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في</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الدُّنيا</w:t>
            </w:r>
            <w:r w:rsidRPr="00EC488E">
              <w:rPr>
                <w:rFonts w:ascii="Arabic Typesetting" w:eastAsia="Times New Roman" w:hAnsi="Arabic Typesetting" w:cs="Arabic Typesetting"/>
                <w:sz w:val="18"/>
                <w:szCs w:val="18"/>
                <w:rtl/>
                <w:lang w:bidi="ar-SY"/>
              </w:rPr>
              <w:t xml:space="preserve"> </w:t>
            </w:r>
            <w:r w:rsidRPr="00EC488E">
              <w:rPr>
                <w:rFonts w:ascii="Mishafi Gold Regular" w:eastAsia="Times New Roman" w:hAnsi="Mishafi Gold Regular"/>
                <w:sz w:val="18"/>
                <w:szCs w:val="18"/>
                <w:rtl/>
              </w:rPr>
              <w:t>والآخِرَةِ</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فَـلْـيَـمْـدُدْ</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بِسببٍ</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إلى</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السَّماءِ</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ثُـمَّ</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لِـيَـقْـطَـعْ</w:t>
            </w:r>
            <w:r w:rsidRPr="00EC488E">
              <w:rPr>
                <w:rFonts w:ascii="Arabic Typesetting" w:eastAsia="Times New Roman" w:hAnsi="Arabic Typesetting" w:cs="Arabic Typesetting"/>
                <w:b/>
                <w:bCs/>
                <w:sz w:val="18"/>
                <w:szCs w:val="18"/>
                <w:rtl/>
                <w:lang w:bidi="ar-SY"/>
              </w:rPr>
              <w:t xml:space="preserve"> </w:t>
            </w:r>
            <w:r w:rsidRPr="00EC488E">
              <w:rPr>
                <w:rFonts w:ascii="Arabic Typesetting" w:eastAsia="Times New Roman" w:hAnsi="Arabic Typesetting" w:cs="Arabic Typesetting"/>
                <w:sz w:val="18"/>
                <w:szCs w:val="18"/>
                <w:rtl/>
                <w:lang w:bidi="ar-SY"/>
              </w:rPr>
              <w:t xml:space="preserve"> </w:t>
            </w:r>
            <w:r w:rsidRPr="00EC488E">
              <w:rPr>
                <w:rFonts w:ascii="Mishafi Gold Regular" w:eastAsia="Times New Roman" w:hAnsi="Mishafi Gold Regular"/>
                <w:sz w:val="18"/>
                <w:szCs w:val="18"/>
                <w:rtl/>
              </w:rPr>
              <w:t>فَـلْـيَـنْـظُـرْ</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هل</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يُـذْهِـبَـنَّ</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كَـيدُهُ</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ما</w:t>
            </w:r>
            <w:r w:rsidRPr="00EC488E">
              <w:rPr>
                <w:rFonts w:ascii="Arabic Typesetting" w:eastAsia="Times New Roman" w:hAnsi="Arabic Typesetting" w:cs="Arabic Typesetting"/>
                <w:sz w:val="18"/>
                <w:szCs w:val="18"/>
                <w:rtl/>
              </w:rPr>
              <w:t xml:space="preserve"> </w:t>
            </w:r>
            <w:r w:rsidRPr="00EC488E">
              <w:rPr>
                <w:rFonts w:ascii="Mishafi Gold Regular" w:eastAsia="Times New Roman" w:hAnsi="Mishafi Gold Regular"/>
                <w:sz w:val="18"/>
                <w:szCs w:val="18"/>
                <w:rtl/>
              </w:rPr>
              <w:t>يَـغِـيظُ</w:t>
            </w:r>
            <w:r w:rsidRPr="00EC488E">
              <w:rPr>
                <w:rFonts w:ascii="Arabic Typesetting" w:eastAsia="Times New Roman" w:hAnsi="Arabic Typesetting" w:cs="Arabic Typesetting"/>
                <w:sz w:val="18"/>
                <w:szCs w:val="18"/>
                <w:rtl/>
              </w:rPr>
              <w:t>."</w:t>
            </w:r>
          </w:p>
        </w:tc>
        <w:tc>
          <w:tcPr>
            <w:tcW w:w="3686" w:type="dxa"/>
            <w:tcBorders>
              <w:top w:val="single" w:sz="4" w:space="0" w:color="auto"/>
              <w:left w:val="single" w:sz="4" w:space="0" w:color="auto"/>
              <w:bottom w:val="single" w:sz="4" w:space="0" w:color="auto"/>
              <w:right w:val="single" w:sz="4" w:space="0" w:color="auto"/>
            </w:tcBorders>
          </w:tcPr>
          <w:p w14:paraId="5C398643" w14:textId="77777777" w:rsidR="00EB5652" w:rsidRPr="00EC488E" w:rsidRDefault="00EB5652" w:rsidP="002A1516">
            <w:pPr>
              <w:bidi/>
              <w:spacing w:line="360" w:lineRule="auto"/>
              <w:jc w:val="both"/>
              <w:rPr>
                <w:rFonts w:ascii="Arabic Typesetting" w:eastAsia="Times New Roman" w:hAnsi="Arabic Typesetting" w:cs="Arabic Typesetting"/>
                <w:sz w:val="18"/>
                <w:szCs w:val="18"/>
                <w:lang w:bidi="ar-KW"/>
              </w:rPr>
            </w:pPr>
            <w:r w:rsidRPr="00EC488E">
              <w:rPr>
                <w:rFonts w:ascii="Mishafi Gold Regular" w:eastAsia="Times New Roman" w:hAnsi="Mishafi Gold Regular"/>
                <w:b/>
                <w:bCs/>
                <w:sz w:val="18"/>
                <w:szCs w:val="18"/>
                <w:u w:val="single"/>
                <w:rtl/>
                <w:lang w:bidi="ar-KW"/>
              </w:rPr>
              <w:t>اختلف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أهل</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التأويل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المعنيّ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بالهاء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بعضهم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فتأويله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قائلي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يحسب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سقفه،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الاختناق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اختناقه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وقطعه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الاختناق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صدره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خالد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قيس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قتادة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ثور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قتادة</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الرزاق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قتادة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بنحوه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الهاء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الموضع،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المعروفة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يونس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زيد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ويكابد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الوحي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يكايده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فكايد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دخلهم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وغاظهم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الهاء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هاهنا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الرزق،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هؤلاء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يعطيه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وذكروا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العرب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يعطيني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أعطاه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وحكوا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أيضا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المطر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جادها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وأحياها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واستشهد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الفقعسي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تعطي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امرأً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فوق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حظه</w:t>
            </w:r>
            <w:r w:rsidRPr="00EC488E">
              <w:rPr>
                <w:rFonts w:ascii="Arabic Typesetting" w:eastAsia="Times New Roman" w:hAnsi="Arabic Typesetting" w:cs="Arabic Typesetting"/>
                <w:sz w:val="18"/>
                <w:szCs w:val="18"/>
                <w:rtl/>
                <w:lang w:bidi="ar-KW"/>
              </w:rPr>
              <w:t xml:space="preserve"> /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الغيث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ناصره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كريب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عطية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إسرائيل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التميمي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أرأيت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فليربط</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حبلاً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سقف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يموت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حميد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عنبسة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الهمداني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التميمي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سألت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سقف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فليعلق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حبلا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صنع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حميد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عمرو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مطرف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رجل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مثله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بشار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الرحمن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سفيان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التميمي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المثنى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داود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شعبة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التميمي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سألت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مثله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سعد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عمي،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إليها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سقف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خشي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الهاء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فعله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عمرو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عاصم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عيسى،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وحدثني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الحارث،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نجيح</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مجاهد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فوقك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خنقه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القاسم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حجاج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مجاهد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عطاء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الخراساني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مجاهد</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خنقه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معاذ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سليمان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الضحاك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يعقوب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عطية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رجاء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سئل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عكرمة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البيت</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وأولى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بالصواب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الهاء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ودينه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تعالى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يعبدونه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حرف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وأنهم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يطمئنون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بالدين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أصابوا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خيرا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عبادتهم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إياه،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وأنهم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يرتدون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دينهم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لشدة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تصيبهم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أتبع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فمعلوم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أتبعه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إياها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توبيخا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ارتدادهم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شكهم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نفاقهم،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استبطاء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السعة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السبوغ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الرزق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الواجب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عقيب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الخبر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نفاقهم،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يحسب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يرزق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وأمته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فيوسع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فضله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ويرزقهم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عطاياه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وكرامته،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استبطاء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فعل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فوقه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سقف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يعلق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فوقه،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اغتاظ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قضى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فاستعجل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انكشاف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اختناقه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غيظه،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بالفرج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فيذهبه،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فكذلك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استعجاله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ودينه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يؤخر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قضى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ميقاته،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يعجل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أسد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وغطفان،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تباطئوا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الإسلام،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نخاف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فينقطع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بيننا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وبين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حلفائنا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اليهود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يميروننا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يرووننا،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تبارك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وتعالى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استعجل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استعجاله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مذهب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غيظه؟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فكذلك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استعجاله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مقدم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w:t>
            </w:r>
            <w:r w:rsidRPr="00EC488E">
              <w:rPr>
                <w:rFonts w:ascii="Mishafi Gold Regular" w:eastAsia="Times New Roman" w:hAnsi="Mishafi Gold Regular"/>
                <w:b/>
                <w:bCs/>
                <w:sz w:val="18"/>
                <w:szCs w:val="18"/>
                <w:u w:val="single"/>
                <w:rtl/>
                <w:lang w:bidi="ar-KW"/>
              </w:rPr>
              <w:t>اختلف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العربية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xml:space="preserve">: (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نحويي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البصرة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وحذفت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الهاء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لأنها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صارا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جميعاً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اسماً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واحدا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الحذف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مصدر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حاجة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الهاء،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غيظه</w:t>
            </w:r>
            <w:r w:rsidRPr="00EC488E">
              <w:rPr>
                <w:rFonts w:ascii="Arabic Typesetting" w:eastAsia="Times New Roman" w:hAnsi="Arabic Typesetting" w:cs="Arabic Typesetting"/>
                <w:sz w:val="18"/>
                <w:szCs w:val="18"/>
                <w:rtl/>
                <w:lang w:bidi="ar-KW"/>
              </w:rPr>
              <w:t>.</w:t>
            </w:r>
          </w:p>
        </w:tc>
        <w:tc>
          <w:tcPr>
            <w:tcW w:w="3685" w:type="dxa"/>
            <w:tcBorders>
              <w:top w:val="single" w:sz="4" w:space="0" w:color="auto"/>
              <w:left w:val="single" w:sz="4" w:space="0" w:color="auto"/>
              <w:bottom w:val="single" w:sz="4" w:space="0" w:color="auto"/>
              <w:right w:val="single" w:sz="4" w:space="0" w:color="auto"/>
            </w:tcBorders>
          </w:tcPr>
          <w:p w14:paraId="25E09EEB" w14:textId="77777777" w:rsidR="00EB5652" w:rsidRPr="00EC488E" w:rsidRDefault="00EB5652" w:rsidP="002A1516">
            <w:pPr>
              <w:bidi/>
              <w:spacing w:line="360" w:lineRule="auto"/>
              <w:jc w:val="both"/>
              <w:rPr>
                <w:rFonts w:ascii="Arabic Typesetting" w:eastAsia="Times New Roman" w:hAnsi="Arabic Typesetting" w:cs="Arabic Typesetting"/>
                <w:sz w:val="18"/>
                <w:szCs w:val="18"/>
                <w:lang w:bidi="ar-KW"/>
              </w:rPr>
            </w:pPr>
            <w:r w:rsidRPr="00EC488E">
              <w:rPr>
                <w:rFonts w:ascii="Mishafi Gold Regular" w:eastAsia="Times New Roman" w:hAnsi="Mishafi Gold Regular"/>
                <w:sz w:val="18"/>
                <w:szCs w:val="18"/>
                <w:rtl/>
                <w:lang w:bidi="ar-KW"/>
              </w:rPr>
              <w:lastRenderedPageBreak/>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والآخرة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مجاهد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وعكرمة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وعطاء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الجوزاء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وقتادة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وغيرهم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الرحمن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زيد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أسلم</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ليتوصل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بلوغ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ليقطع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وقول</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ابن</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عباس</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وأصحابه</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أولى</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وأظهر</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في</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المعنى</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وأبلغ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التهكم،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بناصر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وكتابه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ودينه،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فليذهب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فليقتل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غائظه،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ناصره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محالة،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تعالى</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والذين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آمنوا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الحياة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الدنيا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الأشهاد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ينفع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الظالمين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معذرتهم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اللعنة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سوء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الدار</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غافر</w:t>
            </w:r>
            <w:r w:rsidRPr="00EC488E">
              <w:rPr>
                <w:rFonts w:ascii="Arabic Typesetting" w:eastAsia="Times New Roman" w:hAnsi="Arabic Typesetting" w:cs="Arabic Typesetting"/>
                <w:sz w:val="18"/>
                <w:szCs w:val="18"/>
                <w:rtl/>
                <w:lang w:bidi="ar-KW"/>
              </w:rPr>
              <w:t>: 51</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52]</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السدي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عطاء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الخراساني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يشفي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صدره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الغيظ</w:t>
            </w:r>
            <w:r w:rsidRPr="00EC488E">
              <w:rPr>
                <w:rFonts w:ascii="Arabic Typesetting" w:eastAsia="Times New Roman" w:hAnsi="Arabic Typesetting" w:cs="Arabic Typesetting"/>
                <w:sz w:val="18"/>
                <w:szCs w:val="18"/>
                <w:rtl/>
                <w:lang w:bidi="ar-KW"/>
              </w:rPr>
              <w:t>.</w:t>
            </w:r>
          </w:p>
        </w:tc>
        <w:tc>
          <w:tcPr>
            <w:tcW w:w="2268" w:type="dxa"/>
            <w:tcBorders>
              <w:top w:val="single" w:sz="4" w:space="0" w:color="auto"/>
              <w:left w:val="single" w:sz="4" w:space="0" w:color="auto"/>
              <w:bottom w:val="single" w:sz="4" w:space="0" w:color="auto"/>
              <w:right w:val="single" w:sz="4" w:space="0" w:color="auto"/>
            </w:tcBorders>
          </w:tcPr>
          <w:p w14:paraId="353D6A66" w14:textId="77777777" w:rsidR="00EB5652" w:rsidRPr="00EC488E" w:rsidRDefault="00EB5652" w:rsidP="002A1516">
            <w:pPr>
              <w:tabs>
                <w:tab w:val="left" w:pos="7730"/>
              </w:tabs>
              <w:bidi/>
              <w:spacing w:line="360" w:lineRule="auto"/>
              <w:jc w:val="both"/>
              <w:rPr>
                <w:rFonts w:ascii="Arabic Typesetting" w:eastAsia="Times New Roman" w:hAnsi="Arabic Typesetting" w:cs="Arabic Typesetting"/>
                <w:sz w:val="18"/>
                <w:szCs w:val="18"/>
                <w:lang w:bidi="ar-KW"/>
              </w:rPr>
            </w:pP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الكفار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يظن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فليمدد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بحبل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سقف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ليختنق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وليقدر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وينظر،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فعله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يغيظه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لرسوله؟</w:t>
            </w:r>
          </w:p>
        </w:tc>
      </w:tr>
      <w:tr w:rsidR="00EB5652" w:rsidRPr="00EC488E" w14:paraId="4D4EFCDB" w14:textId="77777777" w:rsidTr="002A1516">
        <w:tc>
          <w:tcPr>
            <w:tcW w:w="323" w:type="dxa"/>
            <w:tcBorders>
              <w:top w:val="single" w:sz="4" w:space="0" w:color="auto"/>
              <w:left w:val="single" w:sz="4" w:space="0" w:color="auto"/>
              <w:bottom w:val="single" w:sz="4" w:space="0" w:color="auto"/>
              <w:right w:val="single" w:sz="4" w:space="0" w:color="auto"/>
            </w:tcBorders>
          </w:tcPr>
          <w:p w14:paraId="5A5B48F8" w14:textId="77777777" w:rsidR="00EB5652" w:rsidRPr="00EC488E" w:rsidRDefault="00EB5652" w:rsidP="002A1516">
            <w:pPr>
              <w:tabs>
                <w:tab w:val="left" w:pos="7730"/>
              </w:tabs>
              <w:bidi/>
              <w:spacing w:line="360" w:lineRule="auto"/>
              <w:jc w:val="both"/>
              <w:rPr>
                <w:rFonts w:ascii="Arabic Typesetting" w:eastAsia="Times New Roman" w:hAnsi="Arabic Typesetting" w:cs="Arabic Typesetting"/>
                <w:sz w:val="18"/>
                <w:szCs w:val="18"/>
                <w:lang w:bidi="ar-KW"/>
              </w:rPr>
            </w:pPr>
            <w:r w:rsidRPr="00EC488E">
              <w:rPr>
                <w:rFonts w:ascii="Arabic Typesetting" w:eastAsia="Times New Roman" w:hAnsi="Arabic Typesetting" w:cs="Arabic Typesetting"/>
                <w:sz w:val="18"/>
                <w:szCs w:val="18"/>
                <w:lang w:bidi="ar-KW"/>
              </w:rPr>
              <w:lastRenderedPageBreak/>
              <w:t>52</w:t>
            </w:r>
          </w:p>
        </w:tc>
        <w:tc>
          <w:tcPr>
            <w:tcW w:w="1095" w:type="dxa"/>
            <w:tcBorders>
              <w:top w:val="single" w:sz="4" w:space="0" w:color="auto"/>
              <w:left w:val="single" w:sz="4" w:space="0" w:color="auto"/>
              <w:bottom w:val="single" w:sz="4" w:space="0" w:color="auto"/>
              <w:right w:val="single" w:sz="4" w:space="0" w:color="auto"/>
            </w:tcBorders>
          </w:tcPr>
          <w:p w14:paraId="7B0B2CFA" w14:textId="77777777" w:rsidR="00EB5652" w:rsidRPr="00EC488E" w:rsidRDefault="00EB5652" w:rsidP="002A1516">
            <w:pPr>
              <w:tabs>
                <w:tab w:val="left" w:pos="7730"/>
              </w:tabs>
              <w:bidi/>
              <w:spacing w:line="360" w:lineRule="auto"/>
              <w:jc w:val="both"/>
              <w:rPr>
                <w:rFonts w:ascii="Arabic Typesetting" w:eastAsia="Times New Roman" w:hAnsi="Arabic Typesetting" w:cs="Arabic Typesetting"/>
                <w:sz w:val="18"/>
                <w:szCs w:val="18"/>
                <w:lang w:bidi="ar-AE"/>
              </w:rPr>
            </w:pP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AE"/>
              </w:rPr>
              <w:t>وما</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أرسلنا</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مِن</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قبلِكَ</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مِن</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رسولٍ</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ولا</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نبيٍّ</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إلاَّ</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إذا</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تمنَّى</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ألقى</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الشيطانُ</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في</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أُمنيَّتِه</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فيَنسَخُ</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اللهُ</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ما</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يُــلْقي</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الشيطانُ</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ثم</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يُحْكِمُ</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اللهُ</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آياتِه</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واللهُ</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عليمٌ</w:t>
            </w:r>
            <w:r w:rsidRPr="00EC488E">
              <w:rPr>
                <w:rFonts w:ascii="Arabic Typesetting" w:eastAsia="Times New Roman" w:hAnsi="Arabic Typesetting" w:cs="Arabic Typesetting"/>
                <w:sz w:val="18"/>
                <w:szCs w:val="18"/>
                <w:rtl/>
                <w:lang w:bidi="ar-AE"/>
              </w:rPr>
              <w:t xml:space="preserve"> </w:t>
            </w:r>
            <w:r w:rsidRPr="00EC488E">
              <w:rPr>
                <w:rFonts w:ascii="Mishafi Gold Regular" w:eastAsia="Times New Roman" w:hAnsi="Mishafi Gold Regular"/>
                <w:sz w:val="18"/>
                <w:szCs w:val="18"/>
                <w:rtl/>
                <w:lang w:bidi="ar-AE"/>
              </w:rPr>
              <w:t>حكيم</w:t>
            </w:r>
            <w:r w:rsidRPr="00EC488E">
              <w:rPr>
                <w:rFonts w:ascii="Arabic Typesetting" w:eastAsia="Times New Roman" w:hAnsi="Arabic Typesetting" w:cs="Arabic Typesetting"/>
                <w:sz w:val="18"/>
                <w:szCs w:val="18"/>
                <w:rtl/>
                <w:lang w:bidi="ar-AE"/>
              </w:rPr>
              <w:t>."</w:t>
            </w:r>
          </w:p>
        </w:tc>
        <w:tc>
          <w:tcPr>
            <w:tcW w:w="3686" w:type="dxa"/>
            <w:tcBorders>
              <w:top w:val="single" w:sz="4" w:space="0" w:color="auto"/>
              <w:left w:val="single" w:sz="4" w:space="0" w:color="auto"/>
              <w:bottom w:val="single" w:sz="4" w:space="0" w:color="auto"/>
              <w:right w:val="single" w:sz="4" w:space="0" w:color="auto"/>
            </w:tcBorders>
          </w:tcPr>
          <w:p w14:paraId="76C97FAF" w14:textId="77777777" w:rsidR="00EB5652" w:rsidRPr="00EC488E" w:rsidRDefault="00EB5652" w:rsidP="002A1516">
            <w:pPr>
              <w:tabs>
                <w:tab w:val="left" w:pos="7730"/>
              </w:tabs>
              <w:bidi/>
              <w:spacing w:line="360" w:lineRule="auto"/>
              <w:jc w:val="both"/>
              <w:rPr>
                <w:rFonts w:ascii="Arabic Typesetting" w:eastAsia="Times New Roman" w:hAnsi="Arabic Typesetting" w:cs="Arabic Typesetting"/>
                <w:sz w:val="18"/>
                <w:szCs w:val="18"/>
                <w:lang w:bidi="ar-KW"/>
              </w:rPr>
            </w:pPr>
            <w:r w:rsidRPr="00EC488E">
              <w:rPr>
                <w:rFonts w:ascii="Mishafi Gold Regular" w:eastAsia="Times New Roman" w:hAnsi="Mishafi Gold Regular"/>
                <w:sz w:val="18"/>
                <w:szCs w:val="18"/>
                <w:rtl/>
                <w:lang w:bidi="ar-KW"/>
              </w:rPr>
              <w:t>القول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تعالى</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السبب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أجله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يتلوه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القرآن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ينزله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فاشتد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واغتم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فسلاه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القاسم،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حجاج،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معشر،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كعب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القرظي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قيس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جلس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ناد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أندية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كثير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أهله،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يومئذ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شيء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فينفروا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والنجم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ضل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صاحبكم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غوى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فقرأها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كلمتين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الغرانقة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لترجى،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فتكلم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مضى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جميعاً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ورفع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الوليد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المغيرة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تراباً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جبهته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شيخاً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كبيراً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يقدر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السجود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فرضوا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تكلم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عرفنا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يحيي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ويميت،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يخلق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ويرزق،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ولكن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تشفع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جعلت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نصيباً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فنحن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أتاه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جبرائيل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فعرض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الكلمتين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اللتين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جئتك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بهاتين،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افتريتُ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فأوحى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إليه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كادوا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ليفتنونك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أوحينا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إليك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لتفتري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نصيراً</w:t>
            </w:r>
            <w:r w:rsidRPr="00EC488E">
              <w:rPr>
                <w:rFonts w:ascii="Arabic Typesetting" w:eastAsia="Times New Roman" w:hAnsi="Arabic Typesetting" w:cs="Arabic Typesetting"/>
                <w:sz w:val="18"/>
                <w:szCs w:val="18"/>
                <w:rtl/>
                <w:lang w:bidi="ar-KW"/>
              </w:rPr>
              <w:t xml:space="preserve">) . </w:t>
            </w:r>
            <w:r w:rsidRPr="00EC488E">
              <w:rPr>
                <w:rFonts w:ascii="Mishafi Gold Regular" w:eastAsia="Times New Roman" w:hAnsi="Mishafi Gold Regular"/>
                <w:sz w:val="18"/>
                <w:szCs w:val="18"/>
                <w:rtl/>
                <w:lang w:bidi="ar-KW"/>
              </w:rPr>
              <w:t>فما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زال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مغموماً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مهموماً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المهاجرين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بأرض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الحبشة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أسلموا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فرجعوا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عشائرهم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أحب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إلينا،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فوجدوا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ارتكسوا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حميد،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سلمة،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يزيد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زياد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المدني،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كعب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القرظي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رأى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تولِّيَ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قومِه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وشقَّ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مباعدتهم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جاءهم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يقارب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وبين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يسره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وحرصه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غلظ</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أمرهم،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والنجم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ضل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صاحبكم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غوى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انتهى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ترتضى،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فرحوا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وسرهم،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وأعجبهم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فأصاخوا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والمؤمنون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مصدقون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جاءهم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يتهمونه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خطأ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زلل،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انتهى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السجدة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وختم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بسجود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تصديقاً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واتباعاً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لأمره،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وغيرهم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يبق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مؤمن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كافر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الوليد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المغيرة،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شيخاً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كبيرا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يستطع،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فأخذ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حفنة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البطحاء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تفرق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وخرجت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سرهم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بأحسن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زعم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يتلو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ترتضى،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وبلغت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السجدة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بأرض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الحبشة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أصحاب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أسلمت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فنهضت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رجال،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وتخلف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جبرائيل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صنعتَ؟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تلوتَ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آتِكَ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فحزن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وخاف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خوفا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كبيراً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تبارك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وتعالى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رحيماً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يعزيه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ويخفض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ويخبره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يكن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أحب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الأنبياء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والرسل،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فأذهبَ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الحزن،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وأمَّـــنه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يخاف،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ترتضى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السماوات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تغني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شيئاً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يأذن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يشاء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ويرضى</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فكيف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جاءه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ندم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منزلة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فغير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وجاء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بغيره،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الحرفان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اللذان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مشرك،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فازدادوا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شراً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المعتمر،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داود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العالية،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جلساؤك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ومولى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بشيء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جالسناك،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يأتيك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أشراف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العرب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رأوا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جلساءك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أشراف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قومك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أرغب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فنزلت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فأجرى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مثلهن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ينسى،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أجرى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كبر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المثنى،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الوليد،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حماد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سلمة،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داود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هند،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العالية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يجالسك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الفقراء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والمساكين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وضعفاء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بخير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لجالسناك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يأتونك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الآفاق،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النجم،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انتهى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الغرانقة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فرغ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والمسلمون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أحيحة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سعيد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العاص،</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كفاً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كبشة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بخير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بالحبشة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أصحاب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أسلمت،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فاشتد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بشار،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جعفر،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شعبة،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بشر،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سعيد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اليوم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بخير،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عذاب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عقيم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المثنى،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الصمد،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شعبة،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بشر،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سعيد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نزلت</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نحوه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سعد،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عمي،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يصلي،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قصة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العرب،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فجعل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يتلوها،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فسمعه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نسمعه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بخير،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فدنوا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فبينما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يتلوها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الشفاعة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فجعل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يتلوها،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جبرائيل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فنسخها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معاذ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الضحاك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العرب،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فجعل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يتلو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ويكثر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ترديدها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ففرحوا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ودنوا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يستمعون،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تلاوة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الشفاعة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فقرأها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يونس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يونس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شهاب،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سئل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شهاب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الرحمن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الحارث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عليهم</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والنجم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هوى</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فلقيه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قلوبهم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فسلموا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وفرحوا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فتأويل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يرسل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الأمم،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بمرسل،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w:t>
            </w:r>
            <w:r w:rsidRPr="00EC488E">
              <w:rPr>
                <w:rFonts w:ascii="Mishafi Gold Regular" w:eastAsia="Times New Roman" w:hAnsi="Mishafi Gold Regular"/>
                <w:b/>
                <w:bCs/>
                <w:sz w:val="18"/>
                <w:szCs w:val="18"/>
                <w:u w:val="single"/>
                <w:rtl/>
                <w:lang w:bidi="ar-KW"/>
              </w:rPr>
              <w:t>اختلف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التأويل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الموضع،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جماعة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التمني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محبته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مقاربة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يحبون،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الأحوال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بسوء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معاوية،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حديثه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عمرو،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عاصم،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عيسى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الحارث،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ورقاء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جميعا،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نجيح،</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مجاهد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القاسم،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حجاج،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مجاهد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مثله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الفرج،</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معاذ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الضحاك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بالتمني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التلاوة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والقراءة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أشبه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بتأويل</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بدلالة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ثناؤه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يُحكِمها،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تنزيله،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فمعلوم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تعالى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وأبطله،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أحكمه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بنسخه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فتأويل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وتكلم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وقرأه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حديثه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وتكلم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تعالى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فيذهب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ويبطله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معاوية،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فيبطل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الحسين،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معاذ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أخبرنا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الضحاك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جبريل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بأمر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يخلِّص</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الباطل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خلقه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يخفى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شيء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تدبيره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إياهم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وصرفه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وأحب</w:t>
            </w:r>
            <w:r w:rsidRPr="00EC488E">
              <w:rPr>
                <w:rFonts w:ascii="Arabic Typesetting" w:eastAsia="Times New Roman" w:hAnsi="Arabic Typesetting" w:cs="Arabic Typesetting"/>
                <w:sz w:val="18"/>
                <w:szCs w:val="18"/>
                <w:rtl/>
                <w:lang w:bidi="ar-KW"/>
              </w:rPr>
              <w:t>.</w:t>
            </w:r>
          </w:p>
        </w:tc>
        <w:tc>
          <w:tcPr>
            <w:tcW w:w="3685" w:type="dxa"/>
            <w:tcBorders>
              <w:top w:val="single" w:sz="4" w:space="0" w:color="auto"/>
              <w:left w:val="single" w:sz="4" w:space="0" w:color="auto"/>
              <w:bottom w:val="single" w:sz="4" w:space="0" w:color="auto"/>
              <w:right w:val="single" w:sz="4" w:space="0" w:color="auto"/>
            </w:tcBorders>
          </w:tcPr>
          <w:p w14:paraId="2B3448FF" w14:textId="77777777" w:rsidR="00EB5652" w:rsidRPr="00EC488E" w:rsidRDefault="00EB5652" w:rsidP="002A1516">
            <w:pPr>
              <w:tabs>
                <w:tab w:val="left" w:pos="7730"/>
              </w:tabs>
              <w:bidi/>
              <w:spacing w:line="360" w:lineRule="auto"/>
              <w:jc w:val="both"/>
              <w:rPr>
                <w:rFonts w:ascii="Arabic Typesetting" w:eastAsia="Times New Roman" w:hAnsi="Arabic Typesetting" w:cs="Arabic Typesetting"/>
                <w:sz w:val="18"/>
                <w:szCs w:val="18"/>
                <w:lang w:bidi="ar-KW"/>
              </w:rPr>
            </w:pPr>
            <w:r w:rsidRPr="00EC488E">
              <w:rPr>
                <w:rFonts w:ascii="Mishafi Gold Regular" w:eastAsia="Times New Roman" w:hAnsi="Mishafi Gold Regular"/>
                <w:b/>
                <w:bCs/>
                <w:sz w:val="18"/>
                <w:szCs w:val="18"/>
                <w:rtl/>
                <w:lang w:bidi="ar-KW"/>
              </w:rPr>
              <w:lastRenderedPageBreak/>
              <w:t>قد</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ذكر</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كثير</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من</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المفسرين</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هاهنا</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قصة</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الغرانيق</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رجوع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كثير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المهاجرة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الحبشة،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ظناً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مشركي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قريش</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أسلموا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ولكنها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طرق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مرسلة،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ولم</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أرها</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مسندة</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من</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وجه</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صحيح،</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والله</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أعلم</w:t>
            </w:r>
            <w:r w:rsidRPr="00EC488E">
              <w:rPr>
                <w:rFonts w:ascii="Arabic Typesetting" w:eastAsia="Times New Roman" w:hAnsi="Arabic Typesetting" w:cs="Arabic Typesetting"/>
                <w:b/>
                <w:bCs/>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حاتم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يونس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حبيب،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داود،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شعبة،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بشر،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سعيد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النجم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الموضع</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بخير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اليوم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وسجدوا،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عز</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وجل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رواه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بندار،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غندر،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شعبة،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نحوه،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مرسل،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رواه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البزار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مسنده،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يوسف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حماد،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خالد،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شعبة،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بشر،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سعيد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أحسب،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الحديث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النجم</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انتهى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بقيته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البزار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يروى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متصلاً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الإسناد،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تفرد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بوصله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خالد،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ثقة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مشهور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يروى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طريق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صالح،</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رواه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حاتم،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العالية،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السدي،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مرسَلاً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رواه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كعب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القرظي،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قيس،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مرسَلاً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أيضاً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قتادة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يصلي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المقام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نعِسَ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لسانه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فحفظها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وأجرى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ألسنتهم،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فدحر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حاتم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موسى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موسى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الكوفي،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المسيبي،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فليح،</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موسى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عقبة،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شهاب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النجم،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الرجل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بخير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أقررناه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وأصحابه،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ولكنه</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لا</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يذكر</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من</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خالف</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دينه</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من</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lastRenderedPageBreak/>
              <w:t>اليهود</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والنصارى</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بمثل</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الذي</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يذكر</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آلهتنا</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من</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الشتم</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والشر</w:t>
            </w:r>
            <w:r w:rsidRPr="00EC488E">
              <w:rPr>
                <w:rFonts w:ascii="Arabic Typesetting" w:eastAsia="Times New Roman" w:hAnsi="Arabic Typesetting" w:cs="Arabic Typesetting"/>
                <w:b/>
                <w:bCs/>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اشتد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ناله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وأصحابه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أذاهم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وتكذيبهم،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وأحزنه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ضلالهم،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هداهم،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أنزل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النجم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أفرأيتم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والعزى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ومناة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الثالثة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الأخرى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الأنثى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عندها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كلمات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الطواغيت،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فقال</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وإنهن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الغرانيق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شفاعتهن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ترتجى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سجع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وفتنته،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فوقعت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هاتان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الكلمتان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قلب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مشرك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وزلت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ألسنتهم،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وتباشروا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رجع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دينه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ودين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آخر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النجم</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حضره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مشرك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الوليد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المغيرة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رجلاً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كبيراً،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فرفع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كفه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تراباً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فعجب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الفريقان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كلاهما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جماعتهم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السجود،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لسجود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فعجبوا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لسجود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غير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إيمان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يكن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سمعوا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الآية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مسامع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فاطمأنت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أنفسهم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وحدَّثهم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السورة،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فسجدوا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لتعظيم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آلهتهم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ففشت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وأظهرها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حتى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بلغت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الحبشة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عثمان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مظعون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وأصحابه،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وتحدثوا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أهل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أسلموا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وصلوا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وبلغهم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سجود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الوليد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المغيرة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التراب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كفه،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وحدثوا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بمكة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فأقبلوا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سراعا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وحفظه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الفرية،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تعالى</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ليجعل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فتنة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للذين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قلوبهم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والقاسية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قلوبهم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الظالمين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شقاق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بعيد</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قضاءه،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وبرَّأه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سجع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انقلب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بضلالهم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وعداوتهم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المسلمين،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واشتدوا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أيضا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مرسل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تفسير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الزهري،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الرحمن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الحارث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هشام،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نحوه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رواه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الإمام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بكر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البيهقي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دلائل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النبوة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يجز</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موسى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عقبة،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ساقه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مغازيه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بنحوه،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روينا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القصة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قلت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ذكرها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إسحاق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السيرة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بنحو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وكلها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مرسَلات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ومنقطعات،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فالله</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أعلم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ساقها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البغوي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تفسيره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مجموعة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ومحمد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كعب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القرظي،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lastRenderedPageBreak/>
              <w:t>وغيرهما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بنحو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سأل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هاهنا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سؤالاً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كيف</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مثل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العصمة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المضمونة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لرسوله،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صلوات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وسلامه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أجوبة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ألطفها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أوقع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مسامع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المشركين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فتوهموا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صدر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وليس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نفس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صنيع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الرحمن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والله</w:t>
            </w:r>
            <w:r w:rsidRPr="00EC488E">
              <w:rPr>
                <w:rFonts w:ascii="Arabic Typesetting" w:eastAsia="Times New Roman" w:hAnsi="Arabic Typesetting" w:cs="Arabic Typesetting"/>
                <w:b/>
                <w:bCs/>
                <w:sz w:val="18"/>
                <w:szCs w:val="18"/>
                <w:rtl/>
                <w:lang w:bidi="ar-KW"/>
              </w:rPr>
              <w:t xml:space="preserve"> </w:t>
            </w:r>
            <w:r w:rsidRPr="00EC488E">
              <w:rPr>
                <w:rFonts w:ascii="Mishafi Gold Regular" w:eastAsia="Times New Roman" w:hAnsi="Mishafi Gold Regular"/>
                <w:b/>
                <w:bCs/>
                <w:sz w:val="18"/>
                <w:szCs w:val="18"/>
                <w:rtl/>
                <w:lang w:bidi="ar-KW"/>
              </w:rPr>
              <w:t>أعلم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وهكذا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تنوعت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أجوبة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المتكلمين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بتقدير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صحته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تعرض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القاضي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عياض،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رحمه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الشفاء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وأجاب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حاصله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تسلية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صلوات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وسلامه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يهيدنك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أصاب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مثل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المرسلين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والأنبياء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البخاري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حديثه،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فيبطل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طلحة،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حديثه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مجاهد</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يعني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ويقال</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قراءته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أماني</w:t>
            </w:r>
            <w:r w:rsidRPr="00EC488E">
              <w:rPr>
                <w:rFonts w:ascii="Arabic Typesetting" w:eastAsia="Times New Roman" w:hAnsi="Arabic Typesetting" w:cs="Arabic Typesetting"/>
                <w:sz w:val="18"/>
                <w:szCs w:val="18"/>
                <w:rtl/>
                <w:lang w:bidi="ar-KW"/>
              </w:rPr>
              <w:t xml:space="preserve">) [ </w:t>
            </w:r>
            <w:r w:rsidRPr="00EC488E">
              <w:rPr>
                <w:rFonts w:ascii="Mishafi Gold Regular" w:eastAsia="Times New Roman" w:hAnsi="Mishafi Gold Regular"/>
                <w:sz w:val="18"/>
                <w:szCs w:val="18"/>
                <w:rtl/>
                <w:lang w:bidi="ar-KW"/>
              </w:rPr>
              <w:t>البقرة</w:t>
            </w:r>
            <w:r w:rsidRPr="00EC488E">
              <w:rPr>
                <w:rFonts w:ascii="Arabic Typesetting" w:eastAsia="Times New Roman" w:hAnsi="Arabic Typesetting" w:cs="Arabic Typesetting"/>
                <w:sz w:val="18"/>
                <w:szCs w:val="18"/>
                <w:rtl/>
                <w:lang w:bidi="ar-KW"/>
              </w:rPr>
              <w:t>: 78]</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يقولون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يكتبون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البغوي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وأكثر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المفسرين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تلاوته،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الشاعر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عثمان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قتل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كتابَ</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ليلةٍ</w:t>
            </w:r>
            <w:r w:rsidRPr="00EC488E">
              <w:rPr>
                <w:rFonts w:ascii="Arabic Typesetting" w:eastAsia="Times New Roman" w:hAnsi="Arabic Typesetting" w:cs="Arabic Typesetting"/>
                <w:sz w:val="18"/>
                <w:szCs w:val="18"/>
                <w:rtl/>
                <w:lang w:bidi="ar-KW"/>
              </w:rPr>
              <w:t xml:space="preserve"> / </w:t>
            </w:r>
            <w:r w:rsidRPr="00EC488E">
              <w:rPr>
                <w:rFonts w:ascii="Mishafi Gold Regular" w:eastAsia="Times New Roman" w:hAnsi="Mishafi Gold Regular"/>
                <w:sz w:val="18"/>
                <w:szCs w:val="18"/>
                <w:rtl/>
                <w:lang w:bidi="ar-KW"/>
              </w:rPr>
              <w:t>وآخرَها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حِمامَ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المقادرِ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الضحاك</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تمنى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جرير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القول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أشبه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b/>
                <w:bCs/>
                <w:sz w:val="18"/>
                <w:szCs w:val="18"/>
                <w:rtl/>
                <w:lang w:bidi="ar-KW"/>
              </w:rPr>
              <w:t>بتأويل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الكلام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فينسخ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حقيقة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لغة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الإزالة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والرفع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طلحة،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ابن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عباس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فيبطل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سبحانه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وتعالى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الضحاك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نسخ</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جبريل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بأمر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ألقى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وأحكم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آياته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وقوله</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والله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الأمور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والحوادث،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تخفى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خافية</w:t>
            </w:r>
            <w:r w:rsidRPr="00EC488E">
              <w:rPr>
                <w:rFonts w:ascii="Arabic Typesetting" w:eastAsia="Times New Roman" w:hAnsi="Arabic Typesetting" w:cs="Arabic Typesetting"/>
                <w:sz w:val="18"/>
                <w:szCs w:val="18"/>
                <w:rtl/>
                <w:lang w:bidi="ar-KW"/>
              </w:rPr>
              <w:t>]</w:t>
            </w:r>
            <w:r w:rsidRPr="00EC488E">
              <w:rPr>
                <w:rFonts w:ascii="Mishafi Gold Regular" w:eastAsia="Times New Roman" w:hAnsi="Mishafi Gold Regular"/>
                <w:sz w:val="18"/>
                <w:szCs w:val="18"/>
                <w:rtl/>
                <w:lang w:bidi="ar-KW"/>
              </w:rPr>
              <w:t>،</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تقديره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وخلقه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وأمره،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الحكمة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التامة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والحجة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البالغة،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ولهذا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قال</w:t>
            </w:r>
            <w:r w:rsidRPr="00EC488E">
              <w:rPr>
                <w:rFonts w:ascii="Arabic Typesetting" w:eastAsia="Times New Roman" w:hAnsi="Arabic Typesetting" w:cs="Arabic Typesetting"/>
                <w:sz w:val="18"/>
                <w:szCs w:val="18"/>
                <w:rtl/>
                <w:lang w:bidi="ar-KW"/>
              </w:rPr>
              <w:t>: (</w:t>
            </w:r>
            <w:r w:rsidRPr="00EC488E">
              <w:rPr>
                <w:rFonts w:ascii="Mishafi Gold Regular" w:eastAsia="Times New Roman" w:hAnsi="Mishafi Gold Regular"/>
                <w:sz w:val="18"/>
                <w:szCs w:val="18"/>
                <w:rtl/>
                <w:lang w:bidi="ar-KW"/>
              </w:rPr>
              <w:t>ليجعل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يلقي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فتنة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للذين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قلوبهم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مرض</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وشرك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وكفر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ونفاق،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كالمشركين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فرحوا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بذلك،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واعتقدوا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صحيح،</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وإنما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كان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الشيطان</w:t>
            </w:r>
            <w:r w:rsidRPr="00EC488E">
              <w:rPr>
                <w:rFonts w:ascii="Arabic Typesetting" w:eastAsia="Times New Roman" w:hAnsi="Arabic Typesetting" w:cs="Arabic Typesetting"/>
                <w:sz w:val="18"/>
                <w:szCs w:val="18"/>
                <w:rtl/>
                <w:lang w:bidi="ar-KW"/>
              </w:rPr>
              <w:t>.</w:t>
            </w:r>
          </w:p>
        </w:tc>
        <w:tc>
          <w:tcPr>
            <w:tcW w:w="2268" w:type="dxa"/>
            <w:tcBorders>
              <w:top w:val="single" w:sz="4" w:space="0" w:color="auto"/>
              <w:left w:val="single" w:sz="4" w:space="0" w:color="auto"/>
              <w:bottom w:val="single" w:sz="4" w:space="0" w:color="auto"/>
              <w:right w:val="single" w:sz="4" w:space="0" w:color="auto"/>
            </w:tcBorders>
          </w:tcPr>
          <w:p w14:paraId="0FE1322F" w14:textId="77777777" w:rsidR="00EB5652" w:rsidRPr="00EC488E" w:rsidRDefault="00EB5652" w:rsidP="002A1516">
            <w:pPr>
              <w:tabs>
                <w:tab w:val="left" w:pos="7730"/>
              </w:tabs>
              <w:bidi/>
              <w:spacing w:line="360" w:lineRule="auto"/>
              <w:jc w:val="both"/>
              <w:rPr>
                <w:rFonts w:ascii="Arabic Typesetting" w:eastAsia="Times New Roman" w:hAnsi="Arabic Typesetting" w:cs="Arabic Typesetting"/>
                <w:sz w:val="18"/>
                <w:szCs w:val="18"/>
                <w:lang w:bidi="ar-KW"/>
              </w:rPr>
            </w:pPr>
            <w:r w:rsidRPr="00EC488E">
              <w:rPr>
                <w:rFonts w:ascii="Mishafi Gold Regular" w:eastAsia="Times New Roman" w:hAnsi="Mishafi Gold Regular"/>
                <w:sz w:val="18"/>
                <w:szCs w:val="18"/>
                <w:rtl/>
                <w:lang w:bidi="ar-KW"/>
              </w:rPr>
              <w:lastRenderedPageBreak/>
              <w:t>لا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تحزن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أيها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محاولات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هؤلاء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الكفار،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فقد</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جرت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الحوادثُ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قبلك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رسلنا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أنبيائنا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أنه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قرأ</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شيئاً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يدعوهم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إلى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الحق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تصدى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شياطين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الإنس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المتمردون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لإبطال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دعوته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وتشكيك</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يتلوه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لكي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يحولوا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النبي</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وبين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أمنيته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إجابة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دعوته،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فيزيل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ما</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يدبِّرون،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ثم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تكون</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الغلبة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النهاية</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للحق</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حيث</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يثبت</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شريعته،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وينصر</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رسوله،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وهو</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عليم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بأحوال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الناس</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ومكائدهم،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حكيم</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أفعاله</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يضع</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كل</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شىء</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فى</w:t>
            </w:r>
            <w:r w:rsidRPr="00EC488E">
              <w:rPr>
                <w:rFonts w:ascii="Arabic Typesetting" w:eastAsia="Times New Roman" w:hAnsi="Arabic Typesetting" w:cs="Arabic Typesetting"/>
                <w:sz w:val="18"/>
                <w:szCs w:val="18"/>
                <w:rtl/>
                <w:lang w:bidi="ar-KW"/>
              </w:rPr>
              <w:t xml:space="preserve"> </w:t>
            </w:r>
            <w:r w:rsidRPr="00EC488E">
              <w:rPr>
                <w:rFonts w:ascii="Mishafi Gold Regular" w:eastAsia="Times New Roman" w:hAnsi="Mishafi Gold Regular"/>
                <w:sz w:val="18"/>
                <w:szCs w:val="18"/>
                <w:rtl/>
                <w:lang w:bidi="ar-KW"/>
              </w:rPr>
              <w:t>موضعه</w:t>
            </w:r>
            <w:r w:rsidRPr="00EC488E">
              <w:rPr>
                <w:rFonts w:ascii="Arabic Typesetting" w:eastAsia="Times New Roman" w:hAnsi="Arabic Typesetting" w:cs="Arabic Typesetting"/>
                <w:sz w:val="18"/>
                <w:szCs w:val="18"/>
                <w:rtl/>
                <w:lang w:bidi="ar-KW"/>
              </w:rPr>
              <w:t>.</w:t>
            </w:r>
          </w:p>
        </w:tc>
      </w:tr>
    </w:tbl>
    <w:p w14:paraId="6A4737D8" w14:textId="77777777" w:rsidR="00EB5652" w:rsidRPr="00312F58" w:rsidRDefault="00EB5652" w:rsidP="00EB5652">
      <w:pPr>
        <w:tabs>
          <w:tab w:val="left" w:pos="7730"/>
        </w:tabs>
        <w:spacing w:line="360" w:lineRule="auto"/>
        <w:jc w:val="both"/>
        <w:rPr>
          <w:rFonts w:eastAsia="Times New Roman"/>
          <w:lang w:bidi="ar-KW"/>
        </w:rPr>
      </w:pPr>
    </w:p>
    <w:p w14:paraId="493654F3" w14:textId="77777777" w:rsidR="00EB5652" w:rsidRPr="00424865" w:rsidRDefault="00EB5652" w:rsidP="00EB5652">
      <w:pPr>
        <w:shd w:val="clear" w:color="auto" w:fill="FFFFFF"/>
        <w:spacing w:line="360" w:lineRule="auto"/>
        <w:ind w:firstLine="708"/>
        <w:jc w:val="both"/>
        <w:rPr>
          <w:rFonts w:eastAsia="Times New Roman"/>
        </w:rPr>
      </w:pPr>
      <w:r w:rsidRPr="00312F58">
        <w:rPr>
          <w:rFonts w:eastAsia="Times New Roman"/>
        </w:rPr>
        <w:t xml:space="preserve">Gilliot souligne également que le </w:t>
      </w:r>
      <w:r w:rsidRPr="00312F58">
        <w:rPr>
          <w:rFonts w:eastAsia="Times New Roman"/>
          <w:i/>
          <w:iCs/>
        </w:rPr>
        <w:t>tafsīr</w:t>
      </w:r>
      <w:r w:rsidRPr="00312F58">
        <w:rPr>
          <w:rFonts w:eastAsia="Times New Roman"/>
        </w:rPr>
        <w:t xml:space="preserve"> a été influencé par la discussion juive et chrétienne sur les quatre significations de l’Écriture. Il cite l’exemple d’Ibn ʿAbbās (m. 687/688), le cousin de Muḥammad, à qui on attribue un classement quaternaire du </w:t>
      </w:r>
      <w:r w:rsidRPr="00312F58">
        <w:rPr>
          <w:rFonts w:eastAsia="Times New Roman"/>
          <w:i/>
          <w:iCs/>
        </w:rPr>
        <w:t>tafsīr</w:t>
      </w:r>
      <w:r w:rsidRPr="00312F58">
        <w:rPr>
          <w:rFonts w:eastAsia="Times New Roman"/>
        </w:rPr>
        <w:t xml:space="preserve"> proche de la catégorisation scripturale (</w:t>
      </w:r>
      <w:r w:rsidRPr="00312F58">
        <w:rPr>
          <w:rFonts w:eastAsia="Times New Roman"/>
          <w:i/>
          <w:iCs/>
        </w:rPr>
        <w:t>Peshat</w:t>
      </w:r>
      <w:r w:rsidRPr="00312F58">
        <w:rPr>
          <w:rFonts w:eastAsia="Times New Roman"/>
        </w:rPr>
        <w:t xml:space="preserve"> [traduction littérale], </w:t>
      </w:r>
      <w:r w:rsidRPr="00312F58">
        <w:rPr>
          <w:rFonts w:eastAsia="Times New Roman"/>
          <w:i/>
          <w:iCs/>
        </w:rPr>
        <w:t>remez</w:t>
      </w:r>
      <w:r w:rsidRPr="00312F58">
        <w:rPr>
          <w:rFonts w:eastAsia="Times New Roman"/>
        </w:rPr>
        <w:t xml:space="preserve"> [sens implicite], </w:t>
      </w:r>
      <w:r w:rsidRPr="00312F58">
        <w:rPr>
          <w:rFonts w:eastAsia="Times New Roman"/>
          <w:i/>
          <w:iCs/>
        </w:rPr>
        <w:t>derash</w:t>
      </w:r>
      <w:r w:rsidRPr="00312F58">
        <w:rPr>
          <w:rFonts w:eastAsia="Times New Roman"/>
        </w:rPr>
        <w:t xml:space="preserve"> [compréhension homilétique] et </w:t>
      </w:r>
      <w:r w:rsidRPr="00312F58">
        <w:rPr>
          <w:rFonts w:eastAsia="Times New Roman"/>
          <w:i/>
          <w:iCs/>
        </w:rPr>
        <w:t>sod</w:t>
      </w:r>
      <w:r w:rsidRPr="00312F58">
        <w:rPr>
          <w:rFonts w:eastAsia="Times New Roman"/>
        </w:rPr>
        <w:t xml:space="preserve"> [sens allégorique et mystique]). Ibn ʿAbbās aurait dit : « Le </w:t>
      </w:r>
      <w:r w:rsidRPr="00424865">
        <w:rPr>
          <w:rFonts w:eastAsia="Times New Roman"/>
        </w:rPr>
        <w:t xml:space="preserve">Coran a été [révélé] sous quatre </w:t>
      </w:r>
      <w:r w:rsidRPr="00424865">
        <w:rPr>
          <w:rFonts w:eastAsia="Times New Roman"/>
          <w:i/>
          <w:iCs/>
        </w:rPr>
        <w:t>wujūh</w:t>
      </w:r>
      <w:r w:rsidRPr="00424865">
        <w:rPr>
          <w:rFonts w:eastAsia="Times New Roman"/>
        </w:rPr>
        <w:t xml:space="preserve"> [aspects] : </w:t>
      </w:r>
      <w:r w:rsidRPr="00424865">
        <w:rPr>
          <w:rFonts w:eastAsia="Times New Roman"/>
          <w:b/>
          <w:bCs/>
        </w:rPr>
        <w:t xml:space="preserve">1) </w:t>
      </w:r>
      <w:r w:rsidRPr="00424865">
        <w:rPr>
          <w:rFonts w:eastAsia="Times New Roman"/>
          <w:i/>
          <w:iCs/>
        </w:rPr>
        <w:t>tafsīr</w:t>
      </w:r>
      <w:r w:rsidRPr="00424865">
        <w:rPr>
          <w:rFonts w:eastAsia="Times New Roman"/>
        </w:rPr>
        <w:t xml:space="preserve"> [sens littéral] que les oulémas savent (« </w:t>
      </w:r>
      <w:r w:rsidRPr="00424865">
        <w:rPr>
          <w:rFonts w:eastAsia="Times New Roman" w:hint="cs"/>
          <w:rtl/>
        </w:rPr>
        <w:t>وجه تأويل يعلمه العلماء</w:t>
      </w:r>
      <w:r w:rsidRPr="00424865">
        <w:rPr>
          <w:rFonts w:eastAsia="Times New Roman"/>
        </w:rPr>
        <w:t xml:space="preserve"> ») ; </w:t>
      </w:r>
      <w:r w:rsidRPr="00424865">
        <w:rPr>
          <w:rFonts w:eastAsia="Times New Roman"/>
          <w:b/>
          <w:bCs/>
        </w:rPr>
        <w:t>2)</w:t>
      </w:r>
      <w:r w:rsidRPr="00424865">
        <w:rPr>
          <w:rFonts w:eastAsia="Times New Roman"/>
        </w:rPr>
        <w:t xml:space="preserve"> </w:t>
      </w:r>
      <w:r w:rsidRPr="00424865">
        <w:rPr>
          <w:rFonts w:eastAsia="Times New Roman"/>
          <w:i/>
          <w:iCs/>
        </w:rPr>
        <w:t>aspect arabe</w:t>
      </w:r>
      <w:r w:rsidRPr="00424865">
        <w:rPr>
          <w:rFonts w:eastAsia="Times New Roman"/>
        </w:rPr>
        <w:t xml:space="preserve">  (</w:t>
      </w:r>
      <w:r w:rsidRPr="00424865">
        <w:rPr>
          <w:rFonts w:eastAsia="Times New Roman"/>
          <w:i/>
          <w:iCs/>
        </w:rPr>
        <w:t xml:space="preserve">wajh </w:t>
      </w:r>
      <w:r w:rsidRPr="00424865">
        <w:rPr>
          <w:rFonts w:asciiTheme="majorBidi" w:eastAsia="Times New Roman" w:hAnsiTheme="majorBidi" w:cstheme="majorBidi"/>
          <w:i/>
          <w:iCs/>
        </w:rPr>
        <w:t>ʿ</w:t>
      </w:r>
      <w:r w:rsidRPr="00424865">
        <w:rPr>
          <w:rFonts w:eastAsia="Times New Roman"/>
          <w:i/>
          <w:iCs/>
        </w:rPr>
        <w:t>arabī</w:t>
      </w:r>
      <w:r w:rsidRPr="00424865">
        <w:rPr>
          <w:rFonts w:eastAsia="Times New Roman"/>
        </w:rPr>
        <w:t xml:space="preserve">) que les Arabes connaissent ; </w:t>
      </w:r>
      <w:r w:rsidRPr="00424865">
        <w:rPr>
          <w:rFonts w:eastAsia="Times New Roman"/>
          <w:b/>
          <w:bCs/>
        </w:rPr>
        <w:t>3)</w:t>
      </w:r>
      <w:r w:rsidRPr="00424865">
        <w:rPr>
          <w:rFonts w:eastAsia="Times New Roman"/>
        </w:rPr>
        <w:t xml:space="preserve"> </w:t>
      </w:r>
      <w:r w:rsidRPr="00424865">
        <w:rPr>
          <w:rFonts w:eastAsia="Times New Roman"/>
          <w:i/>
          <w:iCs/>
        </w:rPr>
        <w:t xml:space="preserve">ḥalāl </w:t>
      </w:r>
      <w:r w:rsidRPr="00424865">
        <w:rPr>
          <w:rFonts w:eastAsia="Times New Roman"/>
          <w:i/>
          <w:iCs/>
        </w:rPr>
        <w:lastRenderedPageBreak/>
        <w:t>wa-ḥarām</w:t>
      </w:r>
      <w:r w:rsidRPr="00424865">
        <w:rPr>
          <w:rFonts w:eastAsia="Times New Roman"/>
        </w:rPr>
        <w:t xml:space="preserve"> [licites et illicites] qu’il n’est pas permis aux gens de ne pas connaître ; </w:t>
      </w:r>
      <w:r w:rsidRPr="00424865">
        <w:rPr>
          <w:rFonts w:eastAsia="Times New Roman"/>
          <w:b/>
          <w:bCs/>
        </w:rPr>
        <w:t>4)</w:t>
      </w:r>
      <w:r w:rsidRPr="00424865">
        <w:rPr>
          <w:rFonts w:eastAsia="Times New Roman"/>
        </w:rPr>
        <w:t xml:space="preserve"> et </w:t>
      </w:r>
      <w:r w:rsidRPr="00424865">
        <w:rPr>
          <w:rFonts w:eastAsia="Times New Roman"/>
          <w:i/>
          <w:iCs/>
        </w:rPr>
        <w:t>taʾwīl</w:t>
      </w:r>
      <w:r w:rsidRPr="00424865">
        <w:rPr>
          <w:rFonts w:eastAsia="Times New Roman"/>
        </w:rPr>
        <w:t xml:space="preserve"> [sens profond] que Dieu seul sait » (</w:t>
      </w:r>
      <w:r w:rsidRPr="00424865">
        <w:rPr>
          <w:rFonts w:eastAsia="Times New Roman" w:hint="cs"/>
          <w:rtl/>
        </w:rPr>
        <w:t>وجه</w:t>
      </w:r>
      <w:r w:rsidRPr="00424865">
        <w:rPr>
          <w:rFonts w:eastAsia="Times New Roman"/>
          <w:rtl/>
        </w:rPr>
        <w:t xml:space="preserve"> </w:t>
      </w:r>
      <w:r w:rsidRPr="00424865">
        <w:rPr>
          <w:rFonts w:eastAsia="Times New Roman" w:hint="cs"/>
          <w:rtl/>
        </w:rPr>
        <w:t>تأويل</w:t>
      </w:r>
      <w:r w:rsidRPr="00424865">
        <w:rPr>
          <w:rFonts w:eastAsia="Times New Roman"/>
          <w:rtl/>
        </w:rPr>
        <w:t xml:space="preserve"> </w:t>
      </w:r>
      <w:r w:rsidRPr="00424865">
        <w:rPr>
          <w:rFonts w:eastAsia="Times New Roman" w:hint="cs"/>
          <w:rtl/>
        </w:rPr>
        <w:t>لا</w:t>
      </w:r>
      <w:r w:rsidRPr="00424865">
        <w:rPr>
          <w:rFonts w:eastAsia="Times New Roman"/>
          <w:rtl/>
        </w:rPr>
        <w:t xml:space="preserve"> </w:t>
      </w:r>
      <w:r w:rsidRPr="00424865">
        <w:rPr>
          <w:rFonts w:eastAsia="Times New Roman" w:hint="cs"/>
          <w:rtl/>
        </w:rPr>
        <w:t>يَعلمه</w:t>
      </w:r>
      <w:r w:rsidRPr="00424865">
        <w:rPr>
          <w:rFonts w:eastAsia="Times New Roman"/>
          <w:rtl/>
        </w:rPr>
        <w:t xml:space="preserve"> </w:t>
      </w:r>
      <w:r w:rsidRPr="00424865">
        <w:rPr>
          <w:rFonts w:eastAsia="Times New Roman" w:hint="cs"/>
          <w:rtl/>
        </w:rPr>
        <w:t>إلا</w:t>
      </w:r>
      <w:r w:rsidRPr="00424865">
        <w:rPr>
          <w:rFonts w:eastAsia="Times New Roman"/>
          <w:rtl/>
        </w:rPr>
        <w:t xml:space="preserve"> </w:t>
      </w:r>
      <w:r w:rsidRPr="00424865">
        <w:rPr>
          <w:rFonts w:eastAsia="Times New Roman" w:hint="cs"/>
          <w:rtl/>
        </w:rPr>
        <w:t>اللَّهُ</w:t>
      </w:r>
      <w:r w:rsidRPr="00424865">
        <w:rPr>
          <w:rFonts w:eastAsia="Times New Roman"/>
        </w:rPr>
        <w:t>).</w:t>
      </w:r>
      <w:r w:rsidRPr="00424865">
        <w:rPr>
          <w:rStyle w:val="Appelnotedebasdep"/>
          <w:rFonts w:eastAsia="Times New Roman"/>
        </w:rPr>
        <w:footnoteReference w:id="148"/>
      </w:r>
    </w:p>
    <w:p w14:paraId="4465D54E" w14:textId="77777777" w:rsidR="00EB5652" w:rsidRPr="00424865" w:rsidRDefault="00EB5652" w:rsidP="00EB5652">
      <w:pPr>
        <w:shd w:val="clear" w:color="auto" w:fill="FFFFFF"/>
        <w:spacing w:line="360" w:lineRule="auto"/>
        <w:ind w:firstLine="708"/>
        <w:jc w:val="both"/>
        <w:rPr>
          <w:rFonts w:eastAsia="Times New Roman"/>
        </w:rPr>
      </w:pPr>
    </w:p>
    <w:p w14:paraId="11B4E1D0" w14:textId="741E7946" w:rsidR="00EB5652" w:rsidRPr="00312F58" w:rsidRDefault="00EB5652" w:rsidP="00EB5652">
      <w:pPr>
        <w:shd w:val="clear" w:color="auto" w:fill="FFFFFF"/>
        <w:spacing w:line="360" w:lineRule="auto"/>
        <w:ind w:firstLine="708"/>
        <w:jc w:val="both"/>
        <w:rPr>
          <w:rFonts w:eastAsia="Times New Roman"/>
          <w:lang w:bidi="ar-KW"/>
        </w:rPr>
      </w:pPr>
      <w:r w:rsidRPr="00312F58">
        <w:rPr>
          <w:rFonts w:eastAsia="Times New Roman"/>
        </w:rPr>
        <w:t xml:space="preserve">Il est presque certain que le </w:t>
      </w:r>
      <w:r w:rsidRPr="00312F58">
        <w:rPr>
          <w:rFonts w:eastAsia="Times New Roman"/>
          <w:i/>
          <w:iCs/>
        </w:rPr>
        <w:t>tafsīr</w:t>
      </w:r>
      <w:r w:rsidRPr="00312F58">
        <w:rPr>
          <w:rFonts w:eastAsia="Times New Roman"/>
        </w:rPr>
        <w:t xml:space="preserve"> a profité de l’exégèse biblique lors de sa formation et surtout à travers ce qu’on appelle les </w:t>
      </w:r>
      <w:r w:rsidRPr="00312F58">
        <w:rPr>
          <w:rFonts w:eastAsia="Times New Roman"/>
          <w:i/>
          <w:iCs/>
        </w:rPr>
        <w:t>isrāʾīlīyāt</w:t>
      </w:r>
      <w:r w:rsidRPr="00312F58">
        <w:rPr>
          <w:rFonts w:eastAsia="Times New Roman"/>
        </w:rPr>
        <w:t xml:space="preserve"> (les récits d’origine juive ou chrétienne), mais il est clair que l’exégèse coranique, une fois atteint son apogée, a commencé, pour bien se différencier, de se débarrasser de tous les éléments hétérogènes, ce qui a conduit à en réduire fortement la polysémie. Une simple comparaison entre les trois exégèses :</w:t>
      </w:r>
      <w:r w:rsidRPr="00312F58">
        <w:rPr>
          <w:rFonts w:eastAsia="Times New Roman"/>
          <w:lang w:bidi="ar-AE"/>
        </w:rPr>
        <w:t xml:space="preserve"> celle d’Aṭ-Ṭabarī</w:t>
      </w:r>
      <w:r w:rsidRPr="00312F58">
        <w:rPr>
          <w:rFonts w:eastAsia="Times New Roman"/>
          <w:lang w:bidi="ar-KW"/>
        </w:rPr>
        <w:t xml:space="preserve"> </w:t>
      </w:r>
      <w:r w:rsidRPr="00312F58">
        <w:rPr>
          <w:rFonts w:eastAsia="Times New Roman"/>
        </w:rPr>
        <w:t>(m. 923)</w:t>
      </w:r>
      <w:r w:rsidRPr="00312F58">
        <w:rPr>
          <w:rFonts w:eastAsia="Times New Roman"/>
          <w:lang w:bidi="ar-AE"/>
        </w:rPr>
        <w:t>, celle d’</w:t>
      </w:r>
      <w:r w:rsidRPr="00312F58">
        <w:rPr>
          <w:rFonts w:eastAsia="Times New Roman"/>
          <w:lang w:bidi="ar-KW"/>
        </w:rPr>
        <w:t xml:space="preserve">Ibn Kathīr </w:t>
      </w:r>
      <w:r w:rsidRPr="00312F58">
        <w:rPr>
          <w:rFonts w:eastAsia="Times New Roman"/>
          <w:lang w:bidi="ar-AE"/>
        </w:rPr>
        <w:t>(m. 1373) et</w:t>
      </w:r>
      <w:r w:rsidRPr="00312F58">
        <w:rPr>
          <w:rFonts w:eastAsia="Times New Roman"/>
          <w:lang w:bidi="ar-KW"/>
        </w:rPr>
        <w:t xml:space="preserve"> </w:t>
      </w:r>
      <w:r w:rsidRPr="00312F58">
        <w:rPr>
          <w:rFonts w:eastAsia="Times New Roman"/>
          <w:i/>
          <w:iCs/>
          <w:lang w:bidi="ar-KW"/>
        </w:rPr>
        <w:t>Al-Muntakhab</w:t>
      </w:r>
      <w:r w:rsidRPr="00312F58">
        <w:rPr>
          <w:rFonts w:eastAsia="Times New Roman"/>
          <w:lang w:bidi="ar-KW"/>
        </w:rPr>
        <w:t xml:space="preserve"> d’Al-Azhar (éd. française et arabe, 1998)</w:t>
      </w:r>
      <w:r w:rsidRPr="00312F58">
        <w:rPr>
          <w:rFonts w:eastAsia="Times New Roman"/>
        </w:rPr>
        <w:t xml:space="preserve"> nous révèle que la première est beaucoup plus riche et expose toutes les opinions, qui ne sont d’ailleurs pas contradictoires avec le dogme sunnite, sans préférer l’une sur l’autre, en insistant sur la div</w:t>
      </w:r>
      <w:r w:rsidR="00293D38">
        <w:rPr>
          <w:rFonts w:eastAsia="Times New Roman"/>
        </w:rPr>
        <w:t xml:space="preserve">ersité par son usage du verbe </w:t>
      </w:r>
      <w:r w:rsidRPr="00312F58">
        <w:rPr>
          <w:rFonts w:eastAsia="Times New Roman"/>
          <w:i/>
          <w:iCs/>
        </w:rPr>
        <w:t>ikhtalafa</w:t>
      </w:r>
      <w:r w:rsidRPr="00312F58">
        <w:rPr>
          <w:rFonts w:eastAsia="Times New Roman"/>
        </w:rPr>
        <w:t xml:space="preserve"> [se diviser, se diverger]. Par contre, Ibn Kathīr s’est appliqué à cribler et à évaluer les traditions exégétiques selon les conceptions orthodoxes assez strictes à la manière de son maître Ibn Taymīya, en utilisant abondamment des phrases telles que « </w:t>
      </w:r>
      <w:r w:rsidRPr="00312F58">
        <w:rPr>
          <w:rFonts w:eastAsia="Times New Roman"/>
          <w:rtl/>
        </w:rPr>
        <w:t>وقولُ</w:t>
      </w:r>
      <w:r w:rsidRPr="00312F58">
        <w:rPr>
          <w:rFonts w:ascii="Simplified Arabic" w:eastAsia="Times New Roman" w:hAnsi="Simplified Arabic" w:cs="Simplified Arabic"/>
          <w:rtl/>
          <w:lang w:bidi="ar-KW"/>
        </w:rPr>
        <w:t xml:space="preserve"> ابن عباس وأصحابُه أَولى وأَظهرُ في المعنى</w:t>
      </w:r>
      <w:r w:rsidRPr="00312F58">
        <w:rPr>
          <w:rFonts w:eastAsia="Times New Roman"/>
        </w:rPr>
        <w:t> »</w:t>
      </w:r>
      <w:r w:rsidRPr="00312F58">
        <w:rPr>
          <w:rFonts w:eastAsia="Times New Roman"/>
          <w:lang w:bidi="ar-KW"/>
        </w:rPr>
        <w:t xml:space="preserve"> [« L’avis </w:t>
      </w:r>
      <w:r w:rsidRPr="00312F58">
        <w:rPr>
          <w:rFonts w:eastAsia="Times New Roman"/>
        </w:rPr>
        <w:t>d’Ibn ʿAbbās et ses compagnons est meilleur et montre mieux le sens</w:t>
      </w:r>
      <w:r w:rsidRPr="00312F58">
        <w:rPr>
          <w:rFonts w:eastAsia="Times New Roman"/>
          <w:lang w:bidi="ar-KW"/>
        </w:rPr>
        <w:t> »]</w:t>
      </w:r>
      <w:r w:rsidRPr="00312F58">
        <w:rPr>
          <w:rFonts w:eastAsia="Times New Roman"/>
        </w:rPr>
        <w:t xml:space="preserve"> ou « </w:t>
      </w:r>
      <w:r w:rsidRPr="00312F58">
        <w:rPr>
          <w:rFonts w:ascii="Simplified Arabic" w:eastAsia="Times New Roman" w:hAnsi="Simplified Arabic" w:cs="Simplified Arabic"/>
          <w:rtl/>
          <w:lang w:bidi="ar-KW"/>
        </w:rPr>
        <w:t>ولم أرها مُسنَدةً من وجه صحيح</w:t>
      </w:r>
      <w:r w:rsidRPr="00312F58">
        <w:rPr>
          <w:rFonts w:eastAsia="Times New Roman"/>
        </w:rPr>
        <w:t xml:space="preserve"> » </w:t>
      </w:r>
      <w:r w:rsidRPr="00312F58">
        <w:rPr>
          <w:rFonts w:eastAsia="Times New Roman"/>
          <w:lang w:bidi="ar-KW"/>
        </w:rPr>
        <w:t xml:space="preserve">[« Je ne vois pas qu’elle [l’histoire de </w:t>
      </w:r>
      <w:r w:rsidRPr="00312F58">
        <w:rPr>
          <w:rFonts w:eastAsia="Times New Roman"/>
          <w:i/>
          <w:iCs/>
          <w:lang w:bidi="ar-KW"/>
        </w:rPr>
        <w:t>qharānīq</w:t>
      </w:r>
      <w:r w:rsidRPr="00312F58">
        <w:rPr>
          <w:rFonts w:eastAsia="Times New Roman"/>
          <w:lang w:bidi="ar-KW"/>
        </w:rPr>
        <w:t xml:space="preserve">] possède une chaîne de transmission authentique »], etc. Quant à l’exégèse officielle moderne </w:t>
      </w:r>
      <w:r w:rsidRPr="00312F58">
        <w:rPr>
          <w:rFonts w:eastAsia="Times New Roman"/>
          <w:i/>
          <w:iCs/>
          <w:lang w:bidi="ar-KW"/>
        </w:rPr>
        <w:t>Al-Muntakhab</w:t>
      </w:r>
      <w:r w:rsidRPr="00312F58">
        <w:rPr>
          <w:rFonts w:eastAsia="Times New Roman"/>
          <w:lang w:bidi="ar-KW"/>
        </w:rPr>
        <w:t xml:space="preserve">, elle donne une </w:t>
      </w:r>
      <w:r w:rsidRPr="00312F58">
        <w:rPr>
          <w:rFonts w:eastAsia="Times New Roman"/>
          <w:i/>
          <w:iCs/>
          <w:lang w:bidi="ar-KW"/>
        </w:rPr>
        <w:t>seule</w:t>
      </w:r>
      <w:r w:rsidRPr="00312F58">
        <w:rPr>
          <w:rFonts w:eastAsia="Times New Roman"/>
          <w:lang w:bidi="ar-KW"/>
        </w:rPr>
        <w:t xml:space="preserve"> signification. Pour </w:t>
      </w:r>
      <w:r w:rsidRPr="00312F58">
        <w:rPr>
          <w:lang w:bidi="ar-AE"/>
        </w:rPr>
        <w:t>l</w:t>
      </w:r>
      <w:r w:rsidRPr="00312F58">
        <w:rPr>
          <w:rFonts w:eastAsia="Times New Roman"/>
          <w:lang w:bidi="ar-AE"/>
        </w:rPr>
        <w:t xml:space="preserve">a phrase : </w:t>
      </w:r>
      <w:r w:rsidRPr="00312F58">
        <w:rPr>
          <w:lang w:bidi="ar-AE"/>
        </w:rPr>
        <w:t>«</w:t>
      </w:r>
      <w:r>
        <w:rPr>
          <w:lang w:bidi="ar-AE"/>
        </w:rPr>
        <w:t xml:space="preserve"> </w:t>
      </w:r>
      <w:r w:rsidRPr="00D31784">
        <w:rPr>
          <w:i/>
          <w:lang w:bidi="ar-AE"/>
        </w:rPr>
        <w:t>wa</w:t>
      </w:r>
      <w:r>
        <w:rPr>
          <w:lang w:bidi="ar-AE"/>
        </w:rPr>
        <w:t>-</w:t>
      </w:r>
      <w:r w:rsidRPr="00312F58">
        <w:rPr>
          <w:i/>
          <w:iCs/>
          <w:lang w:bidi="ar-AE"/>
        </w:rPr>
        <w:t>ikhtalafa</w:t>
      </w:r>
      <w:r>
        <w:rPr>
          <w:rFonts w:eastAsia="Times New Roman"/>
          <w:i/>
          <w:iCs/>
          <w:lang w:bidi="ar-AE"/>
        </w:rPr>
        <w:t xml:space="preserve"> ahl</w:t>
      </w:r>
      <w:r w:rsidRPr="00312F58">
        <w:rPr>
          <w:rFonts w:eastAsia="Times New Roman"/>
          <w:i/>
          <w:iCs/>
          <w:lang w:bidi="ar-AE"/>
        </w:rPr>
        <w:t xml:space="preserve"> </w:t>
      </w:r>
      <w:r>
        <w:rPr>
          <w:rFonts w:eastAsia="Times New Roman"/>
          <w:i/>
          <w:iCs/>
          <w:lang w:bidi="ar-AE"/>
        </w:rPr>
        <w:t>a</w:t>
      </w:r>
      <w:r w:rsidRPr="00312F58">
        <w:rPr>
          <w:rFonts w:eastAsia="Times New Roman"/>
          <w:i/>
          <w:iCs/>
          <w:lang w:bidi="ar-AE"/>
        </w:rPr>
        <w:t>t-taʾwīl</w:t>
      </w:r>
      <w:r w:rsidRPr="00312F58">
        <w:rPr>
          <w:lang w:bidi="ar-AE"/>
        </w:rPr>
        <w:t xml:space="preserve"> » </w:t>
      </w:r>
      <w:r w:rsidRPr="00312F58">
        <w:rPr>
          <w:rFonts w:eastAsia="Times New Roman"/>
          <w:lang w:bidi="ar-AE"/>
        </w:rPr>
        <w:t xml:space="preserve">[les exégètes se sont divisés], </w:t>
      </w:r>
      <w:r w:rsidRPr="00312F58">
        <w:rPr>
          <w:rFonts w:eastAsia="Times New Roman"/>
          <w:lang w:bidi="ar-KW"/>
        </w:rPr>
        <w:t xml:space="preserve">nous avons recensé </w:t>
      </w:r>
      <w:r w:rsidRPr="00312F58">
        <w:rPr>
          <w:lang w:bidi="ar-AE"/>
        </w:rPr>
        <w:t>737 occurrences</w:t>
      </w:r>
      <w:r w:rsidRPr="00312F58">
        <w:rPr>
          <w:rFonts w:eastAsia="Times New Roman"/>
          <w:lang w:bidi="ar-AE"/>
        </w:rPr>
        <w:t xml:space="preserve"> chez </w:t>
      </w:r>
      <w:r w:rsidRPr="00312F58">
        <w:rPr>
          <w:lang w:bidi="ar-AE"/>
        </w:rPr>
        <w:t>Aṭ-Ṭabarī</w:t>
      </w:r>
      <w:r w:rsidRPr="00312F58">
        <w:rPr>
          <w:rFonts w:eastAsia="Times New Roman"/>
          <w:lang w:bidi="ar-KW"/>
        </w:rPr>
        <w:t xml:space="preserve">, deux occurrences chez Ibn Kathīr et aucune </w:t>
      </w:r>
      <w:r>
        <w:rPr>
          <w:rFonts w:eastAsia="Times New Roman"/>
          <w:lang w:bidi="ar-KW"/>
        </w:rPr>
        <w:t>dans le</w:t>
      </w:r>
      <w:r w:rsidRPr="00312F58">
        <w:rPr>
          <w:rFonts w:eastAsia="Times New Roman"/>
          <w:lang w:bidi="ar-KW"/>
        </w:rPr>
        <w:t xml:space="preserve"> </w:t>
      </w:r>
      <w:r w:rsidRPr="00312F58">
        <w:rPr>
          <w:rFonts w:eastAsia="Times New Roman"/>
          <w:i/>
          <w:iCs/>
          <w:lang w:bidi="ar-KW"/>
        </w:rPr>
        <w:t>Muntakhab</w:t>
      </w:r>
      <w:r w:rsidRPr="00312F58">
        <w:rPr>
          <w:rFonts w:eastAsia="Times New Roman"/>
          <w:lang w:bidi="ar-KW"/>
        </w:rPr>
        <w:t xml:space="preserve"> d’Al-Azhar qu</w:t>
      </w:r>
      <w:r w:rsidR="002A784E">
        <w:rPr>
          <w:rFonts w:eastAsia="Times New Roman"/>
          <w:lang w:bidi="ar-KW"/>
        </w:rPr>
        <w:t xml:space="preserve">i utilise d’ailleurs le verbe </w:t>
      </w:r>
      <w:r w:rsidRPr="00312F58">
        <w:rPr>
          <w:rFonts w:eastAsia="Times New Roman"/>
          <w:i/>
          <w:iCs/>
          <w:lang w:bidi="ar-KW"/>
        </w:rPr>
        <w:t>ikhtalafa</w:t>
      </w:r>
      <w:r w:rsidRPr="00312F58">
        <w:rPr>
          <w:rFonts w:eastAsia="Times New Roman"/>
          <w:lang w:bidi="ar-KW"/>
        </w:rPr>
        <w:t xml:space="preserve"> [se diviser] trois fois pour parler des juifs et des chrétiens :</w:t>
      </w:r>
    </w:p>
    <w:p w14:paraId="63479F2F" w14:textId="77777777" w:rsidR="00EB5652" w:rsidRPr="00312F58" w:rsidRDefault="00EB5652" w:rsidP="00EB5652">
      <w:pPr>
        <w:shd w:val="clear" w:color="auto" w:fill="FFFFFF"/>
        <w:bidi/>
        <w:spacing w:line="360" w:lineRule="auto"/>
        <w:jc w:val="both"/>
        <w:rPr>
          <w:rFonts w:ascii="Simplified Arabic" w:eastAsia="Times New Roman" w:hAnsi="Simplified Arabic" w:cs="Simplified Arabic"/>
          <w:rtl/>
          <w:lang w:bidi="ar-KW"/>
        </w:rPr>
      </w:pPr>
      <w:r w:rsidRPr="00312F58">
        <w:rPr>
          <w:rFonts w:ascii="Simplified Arabic" w:eastAsia="Times New Roman" w:hAnsi="Simplified Arabic" w:cs="Simplified Arabic" w:hint="cs"/>
          <w:rtl/>
          <w:lang w:bidi="ar-KW"/>
        </w:rPr>
        <w:t>"</w:t>
      </w:r>
      <w:r w:rsidRPr="00312F58">
        <w:rPr>
          <w:rFonts w:ascii="Simplified Arabic" w:eastAsia="Times New Roman" w:hAnsi="Simplified Arabic" w:cs="Simplified Arabic"/>
          <w:rtl/>
          <w:lang w:bidi="ar-KW"/>
        </w:rPr>
        <w:t xml:space="preserve">وقد </w:t>
      </w:r>
      <w:r w:rsidRPr="00312F58">
        <w:rPr>
          <w:rFonts w:ascii="Simplified Arabic" w:eastAsia="Times New Roman" w:hAnsi="Simplified Arabic" w:cs="Simplified Arabic"/>
          <w:i/>
          <w:iCs/>
          <w:rtl/>
          <w:lang w:bidi="ar-KW"/>
        </w:rPr>
        <w:t>اختلف</w:t>
      </w:r>
      <w:r w:rsidRPr="00312F58">
        <w:rPr>
          <w:rFonts w:ascii="Simplified Arabic" w:eastAsia="Times New Roman" w:hAnsi="Simplified Arabic" w:cs="Simplified Arabic"/>
          <w:rtl/>
          <w:lang w:bidi="ar-KW"/>
        </w:rPr>
        <w:t xml:space="preserve"> كل من </w:t>
      </w:r>
      <w:r w:rsidRPr="00312F58">
        <w:rPr>
          <w:rFonts w:ascii="Simplified Arabic" w:eastAsia="Times New Roman" w:hAnsi="Simplified Arabic" w:cs="Simplified Arabic"/>
          <w:i/>
          <w:iCs/>
          <w:rtl/>
          <w:lang w:bidi="ar-KW"/>
        </w:rPr>
        <w:t>اليهود والنصارى</w:t>
      </w:r>
      <w:r w:rsidRPr="00312F58">
        <w:rPr>
          <w:rFonts w:ascii="Simplified Arabic" w:eastAsia="Times New Roman" w:hAnsi="Simplified Arabic" w:cs="Simplified Arabic"/>
          <w:rtl/>
          <w:lang w:bidi="ar-KW"/>
        </w:rPr>
        <w:t xml:space="preserve"> فى هذا الدين فحرَّفوا</w:t>
      </w:r>
      <w:r w:rsidRPr="00312F58">
        <w:rPr>
          <w:rFonts w:ascii="Simplified Arabic" w:eastAsia="Times New Roman" w:hAnsi="Simplified Arabic" w:cs="Simplified Arabic" w:hint="cs"/>
          <w:rtl/>
          <w:lang w:bidi="ar-KW"/>
        </w:rPr>
        <w:t>"؛ "</w:t>
      </w:r>
      <w:r w:rsidRPr="00312F58">
        <w:rPr>
          <w:rFonts w:ascii="Simplified Arabic" w:eastAsia="Times New Roman" w:hAnsi="Simplified Arabic" w:cs="Simplified Arabic"/>
          <w:rtl/>
          <w:lang w:bidi="ar-KW"/>
        </w:rPr>
        <w:t>ومع ما تقد</w:t>
      </w:r>
      <w:r w:rsidRPr="00312F58">
        <w:rPr>
          <w:rFonts w:ascii="Simplified Arabic" w:eastAsia="Times New Roman" w:hAnsi="Simplified Arabic" w:cs="Simplified Arabic" w:hint="cs"/>
          <w:rtl/>
          <w:lang w:bidi="ar-KW"/>
        </w:rPr>
        <w:t>َّ</w:t>
      </w:r>
      <w:r w:rsidRPr="00312F58">
        <w:rPr>
          <w:rFonts w:ascii="Simplified Arabic" w:eastAsia="Times New Roman" w:hAnsi="Simplified Arabic" w:cs="Simplified Arabic"/>
          <w:rtl/>
          <w:lang w:bidi="ar-KW"/>
        </w:rPr>
        <w:t xml:space="preserve">م من قول الحق فى عيسى، قد </w:t>
      </w:r>
      <w:r w:rsidRPr="00312F58">
        <w:rPr>
          <w:rFonts w:ascii="Simplified Arabic" w:eastAsia="Times New Roman" w:hAnsi="Simplified Arabic" w:cs="Simplified Arabic"/>
          <w:i/>
          <w:iCs/>
          <w:rtl/>
          <w:lang w:bidi="ar-KW"/>
        </w:rPr>
        <w:t>اختلف</w:t>
      </w:r>
      <w:r w:rsidRPr="00312F58">
        <w:rPr>
          <w:rFonts w:ascii="Simplified Arabic" w:eastAsia="Times New Roman" w:hAnsi="Simplified Arabic" w:cs="Simplified Arabic"/>
          <w:rtl/>
          <w:lang w:bidi="ar-KW"/>
        </w:rPr>
        <w:t xml:space="preserve"> </w:t>
      </w:r>
      <w:r w:rsidRPr="00312F58">
        <w:rPr>
          <w:rFonts w:ascii="Simplified Arabic" w:eastAsia="Times New Roman" w:hAnsi="Simplified Arabic" w:cs="Simplified Arabic"/>
          <w:i/>
          <w:iCs/>
          <w:rtl/>
          <w:lang w:bidi="ar-KW"/>
        </w:rPr>
        <w:t>أهل الكتاب</w:t>
      </w:r>
      <w:r w:rsidRPr="00312F58">
        <w:rPr>
          <w:rFonts w:ascii="Simplified Arabic" w:eastAsia="Times New Roman" w:hAnsi="Simplified Arabic" w:cs="Simplified Arabic"/>
          <w:rtl/>
          <w:lang w:bidi="ar-KW"/>
        </w:rPr>
        <w:t xml:space="preserve"> فيه</w:t>
      </w:r>
      <w:r w:rsidRPr="00312F58">
        <w:rPr>
          <w:rFonts w:ascii="Simplified Arabic" w:eastAsia="Times New Roman" w:hAnsi="Simplified Arabic" w:cs="Simplified Arabic" w:hint="cs"/>
          <w:rtl/>
          <w:lang w:bidi="ar-KW"/>
        </w:rPr>
        <w:t>"؛ "</w:t>
      </w:r>
      <w:r w:rsidRPr="00312F58">
        <w:rPr>
          <w:rFonts w:ascii="Simplified Arabic" w:eastAsia="Times New Roman" w:hAnsi="Simplified Arabic" w:cs="Simplified Arabic"/>
          <w:rtl/>
          <w:lang w:bidi="ar-KW"/>
        </w:rPr>
        <w:t xml:space="preserve">وما </w:t>
      </w:r>
      <w:r w:rsidRPr="00312F58">
        <w:rPr>
          <w:rFonts w:ascii="Simplified Arabic" w:eastAsia="Times New Roman" w:hAnsi="Simplified Arabic" w:cs="Simplified Arabic"/>
          <w:i/>
          <w:iCs/>
          <w:rtl/>
          <w:lang w:bidi="ar-KW"/>
        </w:rPr>
        <w:t>اختلف أتباع الرسل السابقين</w:t>
      </w:r>
      <w:r w:rsidRPr="00312F58">
        <w:rPr>
          <w:rFonts w:ascii="Simplified Arabic" w:eastAsia="Times New Roman" w:hAnsi="Simplified Arabic" w:cs="Simplified Arabic"/>
          <w:rtl/>
          <w:lang w:bidi="ar-KW"/>
        </w:rPr>
        <w:t xml:space="preserve"> فى الدين عداوة وحسداً فيما بينهم إلا من بعد ما جاءهم العلم</w:t>
      </w:r>
      <w:r w:rsidRPr="00312F58">
        <w:rPr>
          <w:rFonts w:ascii="Simplified Arabic" w:eastAsia="Times New Roman" w:hAnsi="Simplified Arabic" w:cs="Simplified Arabic" w:hint="cs"/>
          <w:rtl/>
          <w:lang w:bidi="ar-KW"/>
        </w:rPr>
        <w:t>".</w:t>
      </w:r>
    </w:p>
    <w:p w14:paraId="4DB2B7DF" w14:textId="77777777" w:rsidR="00EB5652" w:rsidRPr="008328C5" w:rsidRDefault="00EB5652" w:rsidP="00EB5652">
      <w:pPr>
        <w:shd w:val="clear" w:color="auto" w:fill="FFFFFF"/>
        <w:spacing w:line="360" w:lineRule="auto"/>
        <w:ind w:firstLine="708"/>
        <w:jc w:val="both"/>
        <w:rPr>
          <w:rFonts w:eastAsia="Times New Roman"/>
          <w:lang w:bidi="ar-KW"/>
        </w:rPr>
      </w:pPr>
      <w:r w:rsidRPr="008328C5">
        <w:rPr>
          <w:rFonts w:eastAsia="Times New Roman"/>
          <w:lang w:bidi="ar-KW"/>
        </w:rPr>
        <w:t xml:space="preserve">Par contre, nous avons recensé une seule occurrence </w:t>
      </w:r>
      <w:r w:rsidRPr="008328C5">
        <w:rPr>
          <w:lang w:bidi="ar-AE"/>
        </w:rPr>
        <w:t>de l</w:t>
      </w:r>
      <w:r w:rsidRPr="008328C5">
        <w:rPr>
          <w:rFonts w:eastAsia="Times New Roman"/>
          <w:lang w:bidi="ar-AE"/>
        </w:rPr>
        <w:t xml:space="preserve">a phrase : </w:t>
      </w:r>
      <w:r w:rsidRPr="008328C5">
        <w:rPr>
          <w:lang w:bidi="ar-AE"/>
        </w:rPr>
        <w:t xml:space="preserve">« </w:t>
      </w:r>
      <w:r w:rsidRPr="008328C5">
        <w:rPr>
          <w:i/>
          <w:lang w:bidi="ar-AE"/>
        </w:rPr>
        <w:t>wa</w:t>
      </w:r>
      <w:r w:rsidRPr="008328C5">
        <w:rPr>
          <w:lang w:bidi="ar-AE"/>
        </w:rPr>
        <w:t>-</w:t>
      </w:r>
      <w:r w:rsidRPr="008328C5">
        <w:rPr>
          <w:i/>
          <w:iCs/>
          <w:lang w:bidi="ar-AE"/>
        </w:rPr>
        <w:t>ikhtalafa</w:t>
      </w:r>
      <w:r w:rsidRPr="008328C5">
        <w:rPr>
          <w:rFonts w:eastAsia="Times New Roman"/>
          <w:i/>
          <w:iCs/>
          <w:lang w:bidi="ar-AE"/>
        </w:rPr>
        <w:t xml:space="preserve"> ahl at-taʾwīl</w:t>
      </w:r>
      <w:r w:rsidRPr="008328C5">
        <w:rPr>
          <w:lang w:bidi="ar-AE"/>
        </w:rPr>
        <w:t xml:space="preserve"> » </w:t>
      </w:r>
      <w:r w:rsidRPr="008328C5">
        <w:rPr>
          <w:rFonts w:eastAsia="Times New Roman"/>
          <w:lang w:bidi="ar-KW"/>
        </w:rPr>
        <w:t>chez Muḥammad Rash</w:t>
      </w:r>
      <w:r w:rsidRPr="008328C5">
        <w:rPr>
          <w:lang w:bidi="ar-AE"/>
        </w:rPr>
        <w:t>ī</w:t>
      </w:r>
      <w:r w:rsidRPr="008328C5">
        <w:rPr>
          <w:rFonts w:eastAsia="Times New Roman"/>
          <w:lang w:bidi="ar-KW"/>
        </w:rPr>
        <w:t xml:space="preserve">d Riḍā (dans </w:t>
      </w:r>
      <w:r w:rsidRPr="008328C5">
        <w:rPr>
          <w:rFonts w:eastAsia="Times New Roman"/>
          <w:i/>
          <w:iCs/>
          <w:lang w:bidi="ar-KW"/>
        </w:rPr>
        <w:t>Al-Manār</w:t>
      </w:r>
      <w:r w:rsidRPr="008328C5">
        <w:rPr>
          <w:rFonts w:eastAsia="Times New Roman"/>
          <w:lang w:bidi="ar-KW"/>
        </w:rPr>
        <w:t>).</w:t>
      </w:r>
    </w:p>
    <w:p w14:paraId="5C44D222" w14:textId="77777777" w:rsidR="00EB5652" w:rsidRPr="00312F58" w:rsidRDefault="00EB5652" w:rsidP="00EB5652">
      <w:pPr>
        <w:shd w:val="clear" w:color="auto" w:fill="FFFFFF"/>
        <w:spacing w:line="360" w:lineRule="auto"/>
        <w:jc w:val="both"/>
        <w:rPr>
          <w:rFonts w:eastAsia="Times New Roman"/>
          <w:lang w:bidi="ar-KW"/>
        </w:rPr>
      </w:pPr>
    </w:p>
    <w:p w14:paraId="573E4050" w14:textId="77777777" w:rsidR="00EB5652" w:rsidRPr="00312F58" w:rsidRDefault="00EB5652" w:rsidP="00EB5652">
      <w:pPr>
        <w:shd w:val="clear" w:color="auto" w:fill="FFFFFF"/>
        <w:spacing w:line="360" w:lineRule="auto"/>
        <w:ind w:firstLine="708"/>
        <w:jc w:val="both"/>
        <w:rPr>
          <w:rFonts w:eastAsia="Times New Roman"/>
          <w:lang w:bidi="ar-KW"/>
        </w:rPr>
      </w:pPr>
      <w:r w:rsidRPr="008328C5">
        <w:rPr>
          <w:rFonts w:eastAsia="Times New Roman"/>
          <w:lang w:bidi="ar-KW"/>
        </w:rPr>
        <w:lastRenderedPageBreak/>
        <w:t>Il semble que la mise par écrit de la parole coranique</w:t>
      </w:r>
      <w:r w:rsidRPr="00312F58">
        <w:rPr>
          <w:rFonts w:eastAsia="Times New Roman"/>
          <w:lang w:bidi="ar-KW"/>
        </w:rPr>
        <w:t xml:space="preserve"> avait pour objectif de fixer le texte, et par la suite de limiter la polysémie. L’exégèse avait aussi pour objectif de limiter encore plus la polysémie, car limiter la polysémie contribuerait à mieux se distinguer et avoir une identité plus ou moins déterminée. Ce n’est pas seulement le Coran mais aussi ses commentaires qui ont l’utilité d’affirmer la différence. Et cela se perd à la traduction. C’est peut-être pour cette raison que les musulmans à de différentes périodes se sont opposés à la traduction du Coran et qu’ils ne l’ont acceptée qu’à contrecœur dans un contexte de concurrence ou d’apologie. En effet, la « traduction diffère considérablement de ce qu’exprime le texte original », comme le remarquait déjà vers 130 av. J.-C. dans une sorte de « Prologue du traducteur » de trente ligne</w:t>
      </w:r>
      <w:r>
        <w:rPr>
          <w:rFonts w:eastAsia="Times New Roman"/>
          <w:lang w:bidi="ar-KW"/>
        </w:rPr>
        <w:t>s</w:t>
      </w:r>
      <w:r w:rsidRPr="00312F58">
        <w:rPr>
          <w:rFonts w:eastAsia="Times New Roman"/>
          <w:lang w:bidi="ar-KW"/>
        </w:rPr>
        <w:t xml:space="preserve"> le traducteur grec du livre de Ben Sira </w:t>
      </w:r>
      <w:r w:rsidRPr="00312F58">
        <w:rPr>
          <w:rFonts w:eastAsia="Times New Roman"/>
        </w:rPr>
        <w:t>(li. 15-25)</w:t>
      </w:r>
      <w:r w:rsidRPr="00312F58">
        <w:rPr>
          <w:rFonts w:eastAsia="Times New Roman"/>
          <w:lang w:bidi="ar-KW"/>
        </w:rPr>
        <w:t>.</w:t>
      </w:r>
      <w:r w:rsidRPr="00312F58">
        <w:rPr>
          <w:rFonts w:eastAsia="Times New Roman"/>
          <w:vertAlign w:val="superscript"/>
          <w:lang w:bidi="ar-AE"/>
        </w:rPr>
        <w:footnoteReference w:id="149"/>
      </w:r>
      <w:r w:rsidRPr="00312F58">
        <w:rPr>
          <w:rFonts w:eastAsia="Times New Roman"/>
          <w:lang w:bidi="ar-KW"/>
        </w:rPr>
        <w:t xml:space="preserve"> Ainsi, l’exégèse et la traduction orienteraient la polysémie du texte vers une autre direction.</w:t>
      </w:r>
    </w:p>
    <w:p w14:paraId="0A360E5D" w14:textId="77777777" w:rsidR="00EB5652" w:rsidRPr="00312F58" w:rsidRDefault="00EB5652" w:rsidP="00EB5652">
      <w:pPr>
        <w:shd w:val="clear" w:color="auto" w:fill="FFFFFF"/>
        <w:spacing w:line="360" w:lineRule="auto"/>
        <w:jc w:val="both"/>
        <w:rPr>
          <w:rFonts w:eastAsia="Times New Roman"/>
          <w:lang w:bidi="ar-KW"/>
        </w:rPr>
      </w:pPr>
    </w:p>
    <w:p w14:paraId="56D1BC55" w14:textId="77777777" w:rsidR="00EB5652" w:rsidRPr="00312F58" w:rsidRDefault="00EB5652" w:rsidP="00EB5652">
      <w:pPr>
        <w:shd w:val="clear" w:color="auto" w:fill="FFFFFF"/>
        <w:spacing w:line="360" w:lineRule="auto"/>
        <w:ind w:firstLine="708"/>
        <w:jc w:val="both"/>
        <w:rPr>
          <w:rFonts w:eastAsia="Times New Roman"/>
        </w:rPr>
      </w:pPr>
      <w:r w:rsidRPr="00312F58">
        <w:rPr>
          <w:rFonts w:eastAsia="Times New Roman"/>
          <w:lang w:bidi="ar-KW"/>
        </w:rPr>
        <w:t>Par contre, la tradition exégétique musulmane est extrêmement riche (plus de 2</w:t>
      </w:r>
      <w:r>
        <w:rPr>
          <w:rFonts w:eastAsia="Times New Roman"/>
          <w:lang w:bidi="ar-KW"/>
        </w:rPr>
        <w:t> </w:t>
      </w:r>
      <w:r w:rsidRPr="00312F58">
        <w:rPr>
          <w:rFonts w:eastAsia="Times New Roman"/>
          <w:lang w:bidi="ar-KW"/>
        </w:rPr>
        <w:t>200 commen</w:t>
      </w:r>
      <w:r>
        <w:rPr>
          <w:rFonts w:eastAsia="Times New Roman"/>
          <w:lang w:bidi="ar-KW"/>
        </w:rPr>
        <w:t>taires, selon Jaʿfar As-Sabḥānī dans</w:t>
      </w:r>
      <w:r w:rsidRPr="00312F58">
        <w:rPr>
          <w:rFonts w:eastAsia="Times New Roman"/>
          <w:lang w:bidi="ar-KW"/>
        </w:rPr>
        <w:t xml:space="preserve"> </w:t>
      </w:r>
      <w:r w:rsidRPr="00312F58">
        <w:rPr>
          <w:rFonts w:eastAsia="Times New Roman"/>
          <w:i/>
          <w:iCs/>
          <w:lang w:bidi="ar-KW"/>
        </w:rPr>
        <w:t>Al-manāhij at-tafsīrīya</w:t>
      </w:r>
      <w:r w:rsidRPr="00312F58">
        <w:rPr>
          <w:rFonts w:eastAsia="Times New Roman"/>
          <w:lang w:bidi="ar-KW"/>
        </w:rPr>
        <w:t>)</w:t>
      </w:r>
      <w:r>
        <w:rPr>
          <w:rStyle w:val="Appelnotedebasdep"/>
          <w:rFonts w:eastAsia="Times New Roman"/>
          <w:lang w:bidi="ar-KW"/>
        </w:rPr>
        <w:footnoteReference w:id="150"/>
      </w:r>
      <w:r w:rsidRPr="00312F58">
        <w:rPr>
          <w:rFonts w:eastAsia="Times New Roman"/>
          <w:lang w:bidi="ar-KW"/>
        </w:rPr>
        <w:t xml:space="preserve">.  Étant un instrument de différenciation, l’exégèse ne porte pas seulement une explication du Coran, mais aussi un flot d’informations sur l’appartenance communautaire. Si le Coran se présente lui-même à plusieurs reprises comme un livre </w:t>
      </w:r>
      <w:r w:rsidRPr="00312F58">
        <w:rPr>
          <w:rFonts w:eastAsia="Times New Roman"/>
          <w:i/>
          <w:iCs/>
          <w:lang w:bidi="ar-KW"/>
        </w:rPr>
        <w:t>clair</w:t>
      </w:r>
      <w:r w:rsidRPr="00312F58">
        <w:rPr>
          <w:rFonts w:eastAsia="Times New Roman"/>
          <w:lang w:bidi="ar-KW"/>
        </w:rPr>
        <w:t xml:space="preserve"> [</w:t>
      </w:r>
      <w:r w:rsidRPr="00312F58">
        <w:rPr>
          <w:rFonts w:eastAsia="Times New Roman"/>
          <w:i/>
          <w:iCs/>
          <w:lang w:bidi="ar-KW"/>
        </w:rPr>
        <w:t>mubīn</w:t>
      </w:r>
      <w:r w:rsidRPr="00312F58">
        <w:rPr>
          <w:rFonts w:eastAsia="Times New Roman"/>
          <w:lang w:bidi="ar-KW"/>
        </w:rPr>
        <w:t xml:space="preserve">, </w:t>
      </w:r>
      <w:r w:rsidRPr="00312F58">
        <w:rPr>
          <w:rFonts w:eastAsia="Times New Roman"/>
          <w:i/>
          <w:iCs/>
          <w:lang w:bidi="ar-KW"/>
        </w:rPr>
        <w:t>āyāt bayyināt</w:t>
      </w:r>
      <w:r w:rsidRPr="00312F58">
        <w:rPr>
          <w:rFonts w:eastAsia="Times New Roman"/>
          <w:lang w:bidi="ar-KW"/>
        </w:rPr>
        <w:t xml:space="preserve">] (v. XII, 1 ; XXII, 16 ; XXVI, 2 ; XXVIII, 2 ; etc.) avec quelques </w:t>
      </w:r>
      <w:r w:rsidRPr="00D959BA">
        <w:rPr>
          <w:rFonts w:eastAsia="Times New Roman"/>
          <w:lang w:bidi="ar-KW"/>
        </w:rPr>
        <w:t>versets équivoques, ses commentaires ont donc répondu à un autre besoin que de l’expliquer : celui d’affirmer une identité</w:t>
      </w:r>
      <w:r w:rsidRPr="00312F58">
        <w:rPr>
          <w:rFonts w:eastAsia="Times New Roman"/>
          <w:lang w:bidi="ar-KW"/>
        </w:rPr>
        <w:t xml:space="preserve"> collective ou communautaire, le fait d’être différent de l’autre, l’idée que « </w:t>
      </w:r>
      <w:r w:rsidRPr="00312F58">
        <w:rPr>
          <w:rFonts w:eastAsia="Times New Roman"/>
          <w:lang w:bidi="ar-AE"/>
        </w:rPr>
        <w:t xml:space="preserve">Je ne suis pas vous mais </w:t>
      </w:r>
      <w:r w:rsidRPr="00312F58">
        <w:rPr>
          <w:rFonts w:eastAsia="Times New Roman"/>
          <w:i/>
          <w:iCs/>
          <w:lang w:bidi="ar-AE"/>
        </w:rPr>
        <w:t>moi</w:t>
      </w:r>
      <w:r w:rsidRPr="00312F58">
        <w:rPr>
          <w:rFonts w:eastAsia="Times New Roman"/>
          <w:lang w:bidi="ar-AE"/>
        </w:rPr>
        <w:t xml:space="preserve"> », pour reprendre les termes de </w:t>
      </w:r>
      <w:r w:rsidRPr="00312F58">
        <w:rPr>
          <w:rFonts w:eastAsia="Times New Roman"/>
        </w:rPr>
        <w:t>David Bellos</w:t>
      </w:r>
      <w:r w:rsidRPr="00312F58">
        <w:rPr>
          <w:rFonts w:eastAsia="Times New Roman"/>
          <w:vertAlign w:val="superscript"/>
          <w:lang w:bidi="ar-AE"/>
        </w:rPr>
        <w:footnoteReference w:id="151"/>
      </w:r>
      <w:r w:rsidRPr="00312F58">
        <w:rPr>
          <w:rFonts w:eastAsia="Times New Roman"/>
        </w:rPr>
        <w:t xml:space="preserve">. Ainsi, chaque exégèse renseigne le lecteur sur le groupe social et l’origine géographique de l’auteur. Georges Mounin souligne : « Il existe des « valeurs particulières » [émotives, non cognitives, connotations] du langage qui renseignent l’auditeur sur le locuteur, sa personnalité, son groupe social, son origine géographique, son état psychologique au moment de l’énoncé. […] Ce qui intéresse la théorie de la traduction c’est que les connotations […] font partie du langage, et </w:t>
      </w:r>
      <w:r w:rsidRPr="00312F58">
        <w:rPr>
          <w:rFonts w:eastAsia="Times New Roman"/>
          <w:i/>
          <w:iCs/>
        </w:rPr>
        <w:t>qu’il faut les traduire</w:t>
      </w:r>
      <w:r w:rsidRPr="00312F58">
        <w:rPr>
          <w:rFonts w:eastAsia="Times New Roman"/>
        </w:rPr>
        <w:t>, aussi bien que les dénotations. »</w:t>
      </w:r>
      <w:r w:rsidRPr="00312F58">
        <w:rPr>
          <w:rFonts w:eastAsia="Times New Roman"/>
          <w:vertAlign w:val="superscript"/>
          <w:lang w:bidi="ar-AE"/>
        </w:rPr>
        <w:footnoteReference w:id="152"/>
      </w:r>
    </w:p>
    <w:p w14:paraId="4732EBB6" w14:textId="77777777" w:rsidR="00EB5652" w:rsidRPr="00312F58" w:rsidRDefault="00EB5652" w:rsidP="00EB5652">
      <w:pPr>
        <w:shd w:val="clear" w:color="auto" w:fill="FFFFFF"/>
        <w:spacing w:line="360" w:lineRule="auto"/>
        <w:jc w:val="both"/>
        <w:rPr>
          <w:rFonts w:eastAsia="Times New Roman"/>
        </w:rPr>
      </w:pPr>
    </w:p>
    <w:p w14:paraId="07896F00" w14:textId="77777777" w:rsidR="00EB5652" w:rsidRPr="00312F58" w:rsidRDefault="00EB5652" w:rsidP="00EB5652">
      <w:pPr>
        <w:shd w:val="clear" w:color="auto" w:fill="FFFFFF"/>
        <w:spacing w:line="360" w:lineRule="auto"/>
        <w:ind w:firstLine="708"/>
        <w:jc w:val="both"/>
        <w:rPr>
          <w:rFonts w:eastAsia="Times New Roman"/>
        </w:rPr>
      </w:pPr>
      <w:r w:rsidRPr="00312F58">
        <w:rPr>
          <w:rFonts w:eastAsia="Times New Roman"/>
        </w:rPr>
        <w:lastRenderedPageBreak/>
        <w:t>Selon Gilliot</w:t>
      </w:r>
      <w:r>
        <w:rPr>
          <w:rStyle w:val="Appelnotedebasdep"/>
          <w:rFonts w:eastAsia="Times New Roman"/>
        </w:rPr>
        <w:footnoteReference w:id="153"/>
      </w:r>
      <w:r>
        <w:rPr>
          <w:rFonts w:eastAsia="Times New Roman"/>
        </w:rPr>
        <w:t xml:space="preserve">, </w:t>
      </w:r>
      <w:r w:rsidRPr="00312F58">
        <w:rPr>
          <w:rFonts w:eastAsia="Times New Roman"/>
        </w:rPr>
        <w:t xml:space="preserve">l’exégèse </w:t>
      </w:r>
      <w:r>
        <w:rPr>
          <w:rFonts w:eastAsia="Times New Roman"/>
        </w:rPr>
        <w:t xml:space="preserve">aurait connu trois étapes : (1) </w:t>
      </w:r>
      <w:r w:rsidRPr="00312F58">
        <w:rPr>
          <w:rFonts w:eastAsia="Times New Roman"/>
        </w:rPr>
        <w:t>l’étape de formati</w:t>
      </w:r>
      <w:r>
        <w:rPr>
          <w:rFonts w:eastAsia="Times New Roman"/>
        </w:rPr>
        <w:t xml:space="preserve">on aurait connu deux types : a) </w:t>
      </w:r>
      <w:r w:rsidRPr="00312F58">
        <w:rPr>
          <w:rFonts w:eastAsia="Times New Roman"/>
        </w:rPr>
        <w:t>l’exégèse paraphrastique de nature lexicale représentée surtout par Mujāhi</w:t>
      </w:r>
      <w:r>
        <w:rPr>
          <w:rFonts w:eastAsia="Times New Roman"/>
        </w:rPr>
        <w:t xml:space="preserve">d b. Jabr al-Makkī (m. 722), b) </w:t>
      </w:r>
      <w:r w:rsidRPr="00312F58">
        <w:rPr>
          <w:rFonts w:eastAsia="Times New Roman"/>
        </w:rPr>
        <w:t>l’exégèse narrative qui propose des récits du folklore du Proche-Orient, en particulier ceux du milieu judéo-chrétien (</w:t>
      </w:r>
      <w:r w:rsidRPr="00312F58">
        <w:rPr>
          <w:rFonts w:eastAsia="Times New Roman"/>
          <w:i/>
          <w:iCs/>
          <w:shd w:val="clear" w:color="auto" w:fill="FFFFFF"/>
        </w:rPr>
        <w:t>isrāʾīlīyāt</w:t>
      </w:r>
      <w:r>
        <w:rPr>
          <w:rFonts w:eastAsia="Times New Roman"/>
        </w:rPr>
        <w:t xml:space="preserve">) ; 2) </w:t>
      </w:r>
      <w:r w:rsidRPr="00312F58">
        <w:rPr>
          <w:rFonts w:eastAsia="Times New Roman"/>
        </w:rPr>
        <w:t>l’étape intermédiaire et décisive caractérisée par l’introduction de la grammaire</w:t>
      </w:r>
      <w:r>
        <w:rPr>
          <w:rFonts w:eastAsia="Times New Roman"/>
        </w:rPr>
        <w:t xml:space="preserve"> et des sciences du langage ; 3) </w:t>
      </w:r>
      <w:r w:rsidRPr="00312F58">
        <w:rPr>
          <w:rFonts w:eastAsia="Times New Roman"/>
        </w:rPr>
        <w:t>l’étape spécialisée marquée par l’apparition des commentaires juridiques, mystiques, chiites, kharijites, spéculatifs et dialectiques.</w:t>
      </w:r>
    </w:p>
    <w:p w14:paraId="3E740A39" w14:textId="77777777" w:rsidR="00EB5652" w:rsidRPr="00237457" w:rsidRDefault="00EB5652" w:rsidP="00EB5652">
      <w:pPr>
        <w:shd w:val="clear" w:color="auto" w:fill="FFFFFF"/>
        <w:spacing w:line="360" w:lineRule="auto"/>
        <w:jc w:val="both"/>
        <w:rPr>
          <w:rFonts w:eastAsia="Times New Roman"/>
        </w:rPr>
      </w:pPr>
    </w:p>
    <w:p w14:paraId="04B90188" w14:textId="77777777" w:rsidR="00EB5652" w:rsidRPr="00237457" w:rsidRDefault="00EB5652" w:rsidP="00EB5652">
      <w:pPr>
        <w:shd w:val="clear" w:color="auto" w:fill="FFFFFF"/>
        <w:spacing w:line="360" w:lineRule="auto"/>
        <w:ind w:firstLine="708"/>
        <w:jc w:val="both"/>
        <w:rPr>
          <w:rFonts w:eastAsia="Times New Roman"/>
        </w:rPr>
      </w:pPr>
      <w:r w:rsidRPr="00237457">
        <w:rPr>
          <w:rFonts w:eastAsia="Times New Roman"/>
        </w:rPr>
        <w:t>De son côté, Rippin</w:t>
      </w:r>
      <w:r w:rsidRPr="00237457">
        <w:rPr>
          <w:rStyle w:val="Appelnotedebasdep"/>
          <w:rFonts w:eastAsia="Times New Roman"/>
        </w:rPr>
        <w:footnoteReference w:id="154"/>
      </w:r>
      <w:r w:rsidRPr="00237457">
        <w:rPr>
          <w:rFonts w:eastAsia="Times New Roman"/>
        </w:rPr>
        <w:t xml:space="preserve"> distingue dans l’histoire de l’exégèse coranique quatre temps : (1) stade de formation, (2) période classique, (3) phase de maturité et (4) époque contemporaine. Mais, selon lui, la délimitation est artificielle, particulièrement floue sur les marges, et nécessite certainement d’être affinée.</w:t>
      </w:r>
    </w:p>
    <w:p w14:paraId="487C6332" w14:textId="77777777" w:rsidR="00EB5652" w:rsidRPr="00237457" w:rsidRDefault="00EB5652" w:rsidP="00EB5652">
      <w:pPr>
        <w:shd w:val="clear" w:color="auto" w:fill="FFFFFF"/>
        <w:spacing w:line="360" w:lineRule="auto"/>
        <w:ind w:firstLine="708"/>
        <w:jc w:val="both"/>
        <w:rPr>
          <w:rFonts w:eastAsia="Times New Roman"/>
        </w:rPr>
      </w:pPr>
    </w:p>
    <w:p w14:paraId="66F6561F" w14:textId="77777777" w:rsidR="00EB5652" w:rsidRPr="00237457" w:rsidRDefault="00EB5652" w:rsidP="00EB5652">
      <w:pPr>
        <w:spacing w:line="360" w:lineRule="auto"/>
        <w:ind w:firstLine="708"/>
        <w:jc w:val="both"/>
        <w:rPr>
          <w:rFonts w:eastAsia="Calibri"/>
          <w:shd w:val="clear" w:color="auto" w:fill="FFFFFF"/>
        </w:rPr>
      </w:pPr>
      <w:r w:rsidRPr="00237457">
        <w:rPr>
          <w:rFonts w:eastAsia="Calibri"/>
          <w:shd w:val="clear" w:color="auto" w:fill="FFFFFF"/>
        </w:rPr>
        <w:t>Par contre, les théologiens musulmans distinguent en général trois étapes principales dans l’histoire de l’exégèse (</w:t>
      </w:r>
      <w:r w:rsidRPr="00237457">
        <w:rPr>
          <w:rFonts w:eastAsia="Calibri"/>
        </w:rPr>
        <w:t xml:space="preserve">M. Ḥ. Adh-Dhahabī, </w:t>
      </w:r>
      <w:r w:rsidRPr="00237457">
        <w:rPr>
          <w:rFonts w:eastAsia="Calibri"/>
          <w:i/>
          <w:iCs/>
        </w:rPr>
        <w:t>At-tafsīr wa-l-mufassirūn</w:t>
      </w:r>
      <w:r w:rsidRPr="00237457">
        <w:rPr>
          <w:rFonts w:eastAsia="Calibri"/>
          <w:shd w:val="clear" w:color="auto" w:fill="FFFFFF"/>
        </w:rPr>
        <w:t>) : (1) celle de l’oralité, (2) celle des successeurs des compagnons du Prophète (</w:t>
      </w:r>
      <w:r w:rsidRPr="00237457">
        <w:rPr>
          <w:rFonts w:eastAsia="Calibri"/>
          <w:i/>
          <w:iCs/>
          <w:shd w:val="clear" w:color="auto" w:fill="FFFFFF"/>
        </w:rPr>
        <w:t>tābiʿūn</w:t>
      </w:r>
      <w:r w:rsidRPr="00237457">
        <w:rPr>
          <w:rFonts w:eastAsia="Calibri"/>
          <w:shd w:val="clear" w:color="auto" w:fill="FFFFFF"/>
        </w:rPr>
        <w:t>) et (3) celle de la scripturalité.</w:t>
      </w:r>
    </w:p>
    <w:p w14:paraId="1352BEC1" w14:textId="77777777" w:rsidR="00EB5652" w:rsidRPr="00237457" w:rsidRDefault="00EB5652" w:rsidP="00EB5652">
      <w:pPr>
        <w:spacing w:line="360" w:lineRule="auto"/>
        <w:jc w:val="both"/>
        <w:rPr>
          <w:rFonts w:eastAsia="Calibri"/>
          <w:shd w:val="clear" w:color="auto" w:fill="FFFFFF"/>
        </w:rPr>
      </w:pPr>
    </w:p>
    <w:p w14:paraId="686C9D45" w14:textId="77777777" w:rsidR="00EB5652" w:rsidRPr="00312F58" w:rsidRDefault="00EB5652" w:rsidP="00EB5652">
      <w:pPr>
        <w:spacing w:line="360" w:lineRule="auto"/>
        <w:ind w:firstLine="708"/>
        <w:jc w:val="both"/>
        <w:rPr>
          <w:rFonts w:eastAsia="Calibri"/>
          <w:shd w:val="clear" w:color="auto" w:fill="FFFFFF"/>
        </w:rPr>
      </w:pPr>
      <w:r w:rsidRPr="00237457">
        <w:rPr>
          <w:rFonts w:eastAsia="Calibri"/>
          <w:shd w:val="clear" w:color="auto" w:fill="FFFFFF"/>
        </w:rPr>
        <w:t>Dans la première étape, l’exégèse orale consistait dans la tradition et la transmission (à l’époque de Muḥammad et ses compagnons). Les sources</w:t>
      </w:r>
      <w:r w:rsidRPr="00312F58">
        <w:rPr>
          <w:rFonts w:eastAsia="Calibri"/>
          <w:shd w:val="clear" w:color="auto" w:fill="FFFFFF"/>
        </w:rPr>
        <w:t xml:space="preserve"> de cette exégèse auraient été : 1)-le Coran, 2)-le Prophète, 3)-l’ijtihād [l’effort de réflexion], 4)-les juifs et les chrétiens (</w:t>
      </w:r>
      <w:r w:rsidRPr="00312F58">
        <w:rPr>
          <w:rFonts w:eastAsia="Calibri"/>
          <w:i/>
          <w:iCs/>
          <w:shd w:val="clear" w:color="auto" w:fill="FFFFFF"/>
        </w:rPr>
        <w:t>Ahl al-kitāb</w:t>
      </w:r>
      <w:r w:rsidRPr="00312F58">
        <w:rPr>
          <w:rFonts w:eastAsia="Calibri"/>
          <w:shd w:val="clear" w:color="auto" w:fill="FFFFFF"/>
        </w:rPr>
        <w:t>)</w:t>
      </w:r>
      <w:r w:rsidRPr="00312F58">
        <w:rPr>
          <w:rFonts w:eastAsia="Calibri"/>
          <w:vertAlign w:val="superscript"/>
          <w:lang w:bidi="ar-AE"/>
        </w:rPr>
        <w:footnoteReference w:id="155"/>
      </w:r>
      <w:r w:rsidRPr="00312F58">
        <w:rPr>
          <w:rFonts w:eastAsia="Calibri"/>
          <w:shd w:val="clear" w:color="auto" w:fill="FFFFFF"/>
        </w:rPr>
        <w:t xml:space="preserve">. Les exégètes célèbres de cette première période étaient : </w:t>
      </w:r>
      <w:r w:rsidRPr="00312F58">
        <w:rPr>
          <w:rFonts w:eastAsia="Calibri"/>
          <w:lang w:bidi="ar-EG"/>
        </w:rPr>
        <w:t>ʿ</w:t>
      </w:r>
      <w:r>
        <w:rPr>
          <w:rFonts w:eastAsia="Calibri"/>
          <w:lang w:bidi="ar-EG"/>
        </w:rPr>
        <w:t>Abdullāh b.</w:t>
      </w:r>
      <w:r w:rsidRPr="00312F58">
        <w:rPr>
          <w:rFonts w:eastAsia="Calibri"/>
          <w:lang w:bidi="ar-EG"/>
        </w:rPr>
        <w:t xml:space="preserve"> ʿAbbās (618/619-687)</w:t>
      </w:r>
      <w:r w:rsidRPr="00312F58">
        <w:rPr>
          <w:rFonts w:eastAsia="Calibri"/>
          <w:shd w:val="clear" w:color="auto" w:fill="FFFFFF"/>
        </w:rPr>
        <w:t xml:space="preserve">, </w:t>
      </w:r>
      <w:r w:rsidRPr="00312F58">
        <w:rPr>
          <w:rFonts w:eastAsia="Calibri"/>
          <w:lang w:bidi="ar-EG"/>
        </w:rPr>
        <w:t>ʿ</w:t>
      </w:r>
      <w:r>
        <w:rPr>
          <w:rFonts w:eastAsia="Calibri"/>
          <w:lang w:bidi="ar-EG"/>
        </w:rPr>
        <w:t>Abdullāh b.</w:t>
      </w:r>
      <w:r w:rsidRPr="00312F58">
        <w:rPr>
          <w:rFonts w:eastAsia="Calibri"/>
          <w:lang w:bidi="ar-EG"/>
        </w:rPr>
        <w:t xml:space="preserve"> Masʿ</w:t>
      </w:r>
      <w:r w:rsidRPr="00312F58">
        <w:rPr>
          <w:rFonts w:eastAsia="Calibri"/>
          <w:shd w:val="clear" w:color="auto" w:fill="FFFFFF"/>
        </w:rPr>
        <w:t xml:space="preserve">ūd, le calife </w:t>
      </w:r>
      <w:r w:rsidRPr="00312F58">
        <w:rPr>
          <w:rFonts w:eastAsia="Calibri"/>
        </w:rPr>
        <w:t>ʿ</w:t>
      </w:r>
      <w:r>
        <w:rPr>
          <w:rFonts w:eastAsia="Calibri"/>
        </w:rPr>
        <w:t>Alī b.</w:t>
      </w:r>
      <w:r w:rsidRPr="00312F58">
        <w:rPr>
          <w:rFonts w:eastAsia="Calibri"/>
        </w:rPr>
        <w:t xml:space="preserve"> Abī Ṭālib</w:t>
      </w:r>
      <w:r>
        <w:rPr>
          <w:rFonts w:eastAsia="Calibri"/>
          <w:shd w:val="clear" w:color="auto" w:fill="FFFFFF"/>
        </w:rPr>
        <w:t xml:space="preserve"> et Ubayy b.</w:t>
      </w:r>
      <w:r w:rsidRPr="00312F58">
        <w:rPr>
          <w:rFonts w:eastAsia="Calibri"/>
          <w:shd w:val="clear" w:color="auto" w:fill="FFFFFF"/>
        </w:rPr>
        <w:t xml:space="preserve"> Kaʿb. Les caractéristiques de ce</w:t>
      </w:r>
      <w:r>
        <w:rPr>
          <w:rFonts w:eastAsia="Calibri"/>
          <w:shd w:val="clear" w:color="auto" w:fill="FFFFFF"/>
        </w:rPr>
        <w:t>tte période d’exégèse sont : 1) </w:t>
      </w:r>
      <w:r w:rsidRPr="00312F58">
        <w:rPr>
          <w:rFonts w:eastAsia="Calibri"/>
          <w:shd w:val="clear" w:color="auto" w:fill="FFFFFF"/>
        </w:rPr>
        <w:t>ne pas expliquer tout le Coran, mais des ver</w:t>
      </w:r>
      <w:r>
        <w:rPr>
          <w:rFonts w:eastAsia="Calibri"/>
          <w:shd w:val="clear" w:color="auto" w:fill="FFFFFF"/>
        </w:rPr>
        <w:t>sets et passages équivoques, 2) </w:t>
      </w:r>
      <w:r w:rsidRPr="00312F58">
        <w:rPr>
          <w:rFonts w:eastAsia="Calibri"/>
          <w:shd w:val="clear" w:color="auto" w:fill="FFFFFF"/>
        </w:rPr>
        <w:t>l’existence de peu de dif</w:t>
      </w:r>
      <w:r>
        <w:rPr>
          <w:rFonts w:eastAsia="Calibri"/>
          <w:shd w:val="clear" w:color="auto" w:fill="FFFFFF"/>
        </w:rPr>
        <w:t>férences entre les exégètes, 3) </w:t>
      </w:r>
      <w:r w:rsidRPr="00312F58">
        <w:rPr>
          <w:rFonts w:eastAsia="Calibri"/>
          <w:shd w:val="clear" w:color="auto" w:fill="FFFFFF"/>
        </w:rPr>
        <w:t>donner le sens général s</w:t>
      </w:r>
      <w:r>
        <w:rPr>
          <w:rFonts w:eastAsia="Calibri"/>
          <w:shd w:val="clear" w:color="auto" w:fill="FFFFFF"/>
        </w:rPr>
        <w:t>ans entrer dans les détails, 4) </w:t>
      </w:r>
      <w:r w:rsidRPr="00312F58">
        <w:rPr>
          <w:rFonts w:eastAsia="Calibri"/>
          <w:shd w:val="clear" w:color="auto" w:fill="FFFFFF"/>
        </w:rPr>
        <w:t>se limiter à des explicat</w:t>
      </w:r>
      <w:r>
        <w:rPr>
          <w:rFonts w:eastAsia="Calibri"/>
          <w:shd w:val="clear" w:color="auto" w:fill="FFFFFF"/>
        </w:rPr>
        <w:t>ions purement linguistiques, 5) </w:t>
      </w:r>
      <w:r w:rsidRPr="00312F58">
        <w:rPr>
          <w:rFonts w:eastAsia="Calibri"/>
          <w:shd w:val="clear" w:color="auto" w:fill="FFFFFF"/>
        </w:rPr>
        <w:t xml:space="preserve">la rareté de la déduction des </w:t>
      </w:r>
      <w:r w:rsidRPr="00312F58">
        <w:rPr>
          <w:rFonts w:eastAsia="Calibri"/>
          <w:i/>
          <w:iCs/>
          <w:shd w:val="clear" w:color="auto" w:fill="FFFFFF"/>
        </w:rPr>
        <w:t>aḥkām</w:t>
      </w:r>
      <w:r w:rsidRPr="00312F58">
        <w:rPr>
          <w:rFonts w:eastAsia="Calibri"/>
          <w:shd w:val="clear" w:color="auto" w:fill="FFFFFF"/>
        </w:rPr>
        <w:t xml:space="preserve"> (les lois et le</w:t>
      </w:r>
      <w:r>
        <w:rPr>
          <w:rFonts w:eastAsia="Calibri"/>
          <w:shd w:val="clear" w:color="auto" w:fill="FFFFFF"/>
        </w:rPr>
        <w:t>s règles) du droit musulman, 6) </w:t>
      </w:r>
      <w:r w:rsidRPr="00312F58">
        <w:rPr>
          <w:rFonts w:eastAsia="Calibri"/>
          <w:shd w:val="clear" w:color="auto" w:fill="FFFFFF"/>
        </w:rPr>
        <w:t>l’oralité (l’exégèse</w:t>
      </w:r>
      <w:r>
        <w:rPr>
          <w:rFonts w:eastAsia="Calibri"/>
          <w:shd w:val="clear" w:color="auto" w:fill="FFFFFF"/>
        </w:rPr>
        <w:t xml:space="preserve"> n’a pas </w:t>
      </w:r>
      <w:r>
        <w:rPr>
          <w:rFonts w:eastAsia="Calibri"/>
          <w:shd w:val="clear" w:color="auto" w:fill="FFFFFF"/>
        </w:rPr>
        <w:lastRenderedPageBreak/>
        <w:t>encore été écrite), 7) </w:t>
      </w:r>
      <w:r w:rsidRPr="00312F58">
        <w:rPr>
          <w:rFonts w:eastAsia="Calibri"/>
          <w:shd w:val="clear" w:color="auto" w:fill="FFFFFF"/>
        </w:rPr>
        <w:t>l’inséparabilité des hadiths (l’exégèse orale faisait partie de la tradition orale et des hadiths).</w:t>
      </w:r>
    </w:p>
    <w:p w14:paraId="29DA51E2" w14:textId="77777777" w:rsidR="00EB5652" w:rsidRPr="00312F58" w:rsidRDefault="00EB5652" w:rsidP="00EB5652">
      <w:pPr>
        <w:spacing w:line="360" w:lineRule="auto"/>
        <w:jc w:val="both"/>
        <w:rPr>
          <w:rFonts w:eastAsia="Calibri"/>
          <w:shd w:val="clear" w:color="auto" w:fill="FFFFFF"/>
        </w:rPr>
      </w:pPr>
    </w:p>
    <w:p w14:paraId="37842192" w14:textId="77777777" w:rsidR="00EB5652" w:rsidRPr="00312F58" w:rsidRDefault="00EB5652" w:rsidP="00EB5652">
      <w:pPr>
        <w:spacing w:line="360" w:lineRule="auto"/>
        <w:ind w:firstLine="708"/>
        <w:jc w:val="both"/>
        <w:rPr>
          <w:rFonts w:eastAsia="Calibri"/>
          <w:shd w:val="clear" w:color="auto" w:fill="FFFFFF"/>
        </w:rPr>
      </w:pPr>
      <w:r w:rsidRPr="00312F58">
        <w:rPr>
          <w:rFonts w:eastAsia="Calibri"/>
          <w:shd w:val="clear" w:color="auto" w:fill="FFFFFF"/>
        </w:rPr>
        <w:t>Dans la deuxième étape transitoire entre l</w:t>
      </w:r>
      <w:r>
        <w:rPr>
          <w:rFonts w:eastAsia="Calibri"/>
          <w:shd w:val="clear" w:color="auto" w:fill="FFFFFF"/>
        </w:rPr>
        <w:t xml:space="preserve">’étape </w:t>
      </w:r>
      <w:r w:rsidRPr="00F03A69">
        <w:rPr>
          <w:rFonts w:eastAsia="Calibri"/>
          <w:shd w:val="clear" w:color="auto" w:fill="FFFFFF"/>
        </w:rPr>
        <w:t xml:space="preserve">orale et l’étape </w:t>
      </w:r>
      <w:r w:rsidRPr="00F03A69">
        <w:rPr>
          <w:rFonts w:asciiTheme="majorBidi" w:hAnsiTheme="majorBidi" w:cstheme="majorBidi"/>
        </w:rPr>
        <w:t>scripturale</w:t>
      </w:r>
      <w:r w:rsidRPr="00F03A69">
        <w:rPr>
          <w:rFonts w:eastAsia="Calibri"/>
          <w:shd w:val="clear" w:color="auto" w:fill="FFFFFF"/>
        </w:rPr>
        <w:t>, à</w:t>
      </w:r>
      <w:r w:rsidRPr="00312F58">
        <w:rPr>
          <w:rFonts w:eastAsia="Calibri"/>
          <w:shd w:val="clear" w:color="auto" w:fill="FFFFFF"/>
        </w:rPr>
        <w:t xml:space="preserve"> l’époque des </w:t>
      </w:r>
      <w:r w:rsidRPr="00312F58">
        <w:rPr>
          <w:rFonts w:eastAsia="Calibri"/>
          <w:i/>
          <w:iCs/>
          <w:shd w:val="clear" w:color="auto" w:fill="FFFFFF"/>
        </w:rPr>
        <w:t>tābiʿīn</w:t>
      </w:r>
      <w:r w:rsidRPr="00312F58">
        <w:rPr>
          <w:rFonts w:eastAsia="Calibri"/>
          <w:shd w:val="clear" w:color="auto" w:fill="FFFFFF"/>
        </w:rPr>
        <w:t xml:space="preserve"> (la génération su</w:t>
      </w:r>
      <w:r>
        <w:rPr>
          <w:rFonts w:eastAsia="Calibri"/>
          <w:shd w:val="clear" w:color="auto" w:fill="FFFFFF"/>
        </w:rPr>
        <w:t>ivant celle des c</w:t>
      </w:r>
      <w:r w:rsidRPr="00312F58">
        <w:rPr>
          <w:rFonts w:eastAsia="Calibri"/>
          <w:shd w:val="clear" w:color="auto" w:fill="FFFFFF"/>
        </w:rPr>
        <w:t xml:space="preserve">ompagnons de Muḥammad), les exégètes ont ajouté comme sources d’exégèse l’héritage exégétique des compagnons du prophète ainsi que leur propre </w:t>
      </w:r>
      <w:r w:rsidRPr="001E6513">
        <w:rPr>
          <w:rFonts w:eastAsia="Calibri"/>
          <w:i/>
          <w:shd w:val="clear" w:color="auto" w:fill="FFFFFF"/>
        </w:rPr>
        <w:t>ijtihād</w:t>
      </w:r>
      <w:r w:rsidRPr="00312F58">
        <w:rPr>
          <w:rFonts w:eastAsia="Calibri"/>
          <w:shd w:val="clear" w:color="auto" w:fill="FFFFFF"/>
        </w:rPr>
        <w:t>. Ce qui a probablement augmenté la polysémie. Et ils ont complété l’exégèse en se basant sur des données linguistiques et des circonstances de rédaction du Coran. Des écoles exégétiques sont apparues com</w:t>
      </w:r>
      <w:r>
        <w:rPr>
          <w:rFonts w:eastAsia="Calibri"/>
          <w:shd w:val="clear" w:color="auto" w:fill="FFFFFF"/>
        </w:rPr>
        <w:t>me : celle de la Mecque (Saʿīd b. Jubayr, Mujāhid b.</w:t>
      </w:r>
      <w:r w:rsidRPr="00312F58">
        <w:rPr>
          <w:rFonts w:eastAsia="Calibri"/>
          <w:shd w:val="clear" w:color="auto" w:fill="FFFFFF"/>
        </w:rPr>
        <w:t xml:space="preserve"> Jabr (son exégèse </w:t>
      </w:r>
      <w:r w:rsidRPr="00312F58">
        <w:rPr>
          <w:rFonts w:eastAsia="Calibri"/>
          <w:i/>
          <w:iCs/>
          <w:shd w:val="clear" w:color="auto" w:fill="FFFFFF"/>
        </w:rPr>
        <w:t>ʿaqlī</w:t>
      </w:r>
      <w:r w:rsidRPr="00312F58">
        <w:rPr>
          <w:rFonts w:eastAsia="Calibri"/>
          <w:shd w:val="clear" w:color="auto" w:fill="FFFFFF"/>
        </w:rPr>
        <w:t xml:space="preserve"> [spéculative ou rationaliste]), ʿIkrima, Ṭāwūs</w:t>
      </w:r>
      <w:r>
        <w:rPr>
          <w:rFonts w:eastAsia="Calibri"/>
          <w:shd w:val="clear" w:color="auto" w:fill="FFFFFF"/>
        </w:rPr>
        <w:t xml:space="preserve"> b.</w:t>
      </w:r>
      <w:r w:rsidRPr="00312F58">
        <w:rPr>
          <w:rFonts w:eastAsia="Calibri"/>
          <w:shd w:val="clear" w:color="auto" w:fill="FFFFFF"/>
        </w:rPr>
        <w:t xml:space="preserve"> Kaysān et ʿAṭ</w:t>
      </w:r>
      <w:r>
        <w:rPr>
          <w:rFonts w:eastAsia="Calibri"/>
          <w:shd w:val="clear" w:color="auto" w:fill="FFFFFF"/>
        </w:rPr>
        <w:t>āʾ b.</w:t>
      </w:r>
      <w:r w:rsidRPr="00312F58">
        <w:rPr>
          <w:rFonts w:eastAsia="Calibri"/>
          <w:shd w:val="clear" w:color="auto" w:fill="FFFFFF"/>
        </w:rPr>
        <w:t xml:space="preserve"> Abī Rabāḥ</w:t>
      </w:r>
      <w:r>
        <w:rPr>
          <w:rFonts w:eastAsia="Calibri"/>
          <w:shd w:val="clear" w:color="auto" w:fill="FFFFFF"/>
        </w:rPr>
        <w:t>, etc.) ; celle de Médine (Abū l-ʿĀlya Rafīʿ b.</w:t>
      </w:r>
      <w:r w:rsidRPr="00312F58">
        <w:rPr>
          <w:rFonts w:eastAsia="Calibri"/>
          <w:shd w:val="clear" w:color="auto" w:fill="FFFFFF"/>
        </w:rPr>
        <w:t xml:space="preserve"> Mahrān, Muḥ</w:t>
      </w:r>
      <w:r>
        <w:rPr>
          <w:rFonts w:eastAsia="Calibri"/>
          <w:shd w:val="clear" w:color="auto" w:fill="FFFFFF"/>
        </w:rPr>
        <w:t>ammad b.</w:t>
      </w:r>
      <w:r w:rsidRPr="00312F58">
        <w:rPr>
          <w:rFonts w:eastAsia="Calibri"/>
          <w:shd w:val="clear" w:color="auto" w:fill="FFFFFF"/>
        </w:rPr>
        <w:t xml:space="preserve"> Kaʿb Al-Quraẓ</w:t>
      </w:r>
      <w:r>
        <w:rPr>
          <w:rFonts w:eastAsia="Calibri"/>
          <w:shd w:val="clear" w:color="auto" w:fill="FFFFFF"/>
        </w:rPr>
        <w:t>ī et Zayd b.</w:t>
      </w:r>
      <w:r w:rsidRPr="00312F58">
        <w:rPr>
          <w:rFonts w:eastAsia="Calibri"/>
          <w:shd w:val="clear" w:color="auto" w:fill="FFFFFF"/>
        </w:rPr>
        <w:t xml:space="preserve"> Aslam) ; celle de l’Irak (ʿAlq</w:t>
      </w:r>
      <w:r>
        <w:rPr>
          <w:rFonts w:eastAsia="Calibri"/>
          <w:shd w:val="clear" w:color="auto" w:fill="FFFFFF"/>
        </w:rPr>
        <w:t>ama b. Qays, Masrūq, Al-Aswad b.</w:t>
      </w:r>
      <w:r w:rsidRPr="00312F58">
        <w:rPr>
          <w:rFonts w:eastAsia="Calibri"/>
          <w:shd w:val="clear" w:color="auto" w:fill="FFFFFF"/>
        </w:rPr>
        <w:t xml:space="preserve"> Yazīd, Murra Al-Hamadānī, ʿĀmir Ash-Shaʿbī, Al-Ḥasan Al-Baṣrī et Qatāda). Les caractéristique</w:t>
      </w:r>
      <w:r>
        <w:rPr>
          <w:rFonts w:eastAsia="Calibri"/>
          <w:shd w:val="clear" w:color="auto" w:fill="FFFFFF"/>
        </w:rPr>
        <w:t>s</w:t>
      </w:r>
      <w:r w:rsidRPr="00312F58">
        <w:rPr>
          <w:rFonts w:eastAsia="Calibri"/>
          <w:shd w:val="clear" w:color="auto" w:fill="FFFFFF"/>
        </w:rPr>
        <w:t xml:space="preserve"> de cette étape d’exégèse </w:t>
      </w:r>
      <w:r>
        <w:rPr>
          <w:rFonts w:eastAsia="Calibri"/>
          <w:shd w:val="clear" w:color="auto" w:fill="FFFFFF"/>
        </w:rPr>
        <w:t>sont : 1) </w:t>
      </w:r>
      <w:r w:rsidRPr="00312F58">
        <w:rPr>
          <w:rFonts w:eastAsia="Calibri"/>
          <w:shd w:val="clear" w:color="auto" w:fill="FFFFFF"/>
        </w:rPr>
        <w:t>l’infiltration des récits d’origine juive ou chrétienne (</w:t>
      </w:r>
      <w:r w:rsidRPr="00312F58">
        <w:rPr>
          <w:rFonts w:eastAsia="Calibri"/>
          <w:i/>
          <w:iCs/>
          <w:shd w:val="clear" w:color="auto" w:fill="FFFFFF"/>
        </w:rPr>
        <w:t>isrāʾīlīyāt</w:t>
      </w:r>
      <w:r>
        <w:rPr>
          <w:rFonts w:eastAsia="Calibri"/>
          <w:shd w:val="clear" w:color="auto" w:fill="FFFFFF"/>
        </w:rPr>
        <w:t>) dans l’exégèse, 2) </w:t>
      </w:r>
      <w:r w:rsidRPr="00312F58">
        <w:rPr>
          <w:rFonts w:eastAsia="Calibri"/>
          <w:shd w:val="clear" w:color="auto" w:fill="FFFFFF"/>
        </w:rPr>
        <w:t>le caractère d’oralité et de transmission (</w:t>
      </w:r>
      <w:r w:rsidRPr="00312F58">
        <w:rPr>
          <w:rFonts w:eastAsia="Calibri"/>
          <w:i/>
          <w:iCs/>
          <w:shd w:val="clear" w:color="auto" w:fill="FFFFFF"/>
        </w:rPr>
        <w:t>riwāya</w:t>
      </w:r>
      <w:r>
        <w:rPr>
          <w:rFonts w:eastAsia="Calibri"/>
          <w:shd w:val="clear" w:color="auto" w:fill="FFFFFF"/>
        </w:rPr>
        <w:t>) de l’exégèse, 3) </w:t>
      </w:r>
      <w:r w:rsidRPr="00312F58">
        <w:rPr>
          <w:rFonts w:eastAsia="Calibri"/>
          <w:shd w:val="clear" w:color="auto" w:fill="FFFFFF"/>
        </w:rPr>
        <w:t>l’émergence des conflits idéologiques, philo</w:t>
      </w:r>
      <w:r>
        <w:rPr>
          <w:rFonts w:eastAsia="Calibri"/>
          <w:shd w:val="clear" w:color="auto" w:fill="FFFFFF"/>
        </w:rPr>
        <w:t>sophiques et confessionnels, 3) </w:t>
      </w:r>
      <w:r w:rsidRPr="00312F58">
        <w:rPr>
          <w:rFonts w:eastAsia="Calibri"/>
          <w:shd w:val="clear" w:color="auto" w:fill="FFFFFF"/>
        </w:rPr>
        <w:t>l’augmentation des divergences entre les exégètes par rapport aux exégètes de l’éta</w:t>
      </w:r>
      <w:r>
        <w:rPr>
          <w:rFonts w:eastAsia="Calibri"/>
          <w:shd w:val="clear" w:color="auto" w:fill="FFFFFF"/>
        </w:rPr>
        <w:t>pe précédente, ce qui élargi</w:t>
      </w:r>
      <w:r w:rsidRPr="00312F58">
        <w:rPr>
          <w:rFonts w:eastAsia="Calibri"/>
          <w:shd w:val="clear" w:color="auto" w:fill="FFFFFF"/>
        </w:rPr>
        <w:t>t la polysémie.</w:t>
      </w:r>
    </w:p>
    <w:p w14:paraId="6308A90A" w14:textId="77777777" w:rsidR="00EB5652" w:rsidRPr="00312F58" w:rsidRDefault="00EB5652" w:rsidP="00EB5652">
      <w:pPr>
        <w:spacing w:line="360" w:lineRule="auto"/>
        <w:jc w:val="both"/>
        <w:rPr>
          <w:rFonts w:eastAsia="Calibri"/>
          <w:shd w:val="clear" w:color="auto" w:fill="FFFFFF"/>
        </w:rPr>
      </w:pPr>
    </w:p>
    <w:p w14:paraId="5E49DE04" w14:textId="77777777" w:rsidR="00EB5652" w:rsidRPr="0066729E" w:rsidRDefault="00EB5652" w:rsidP="00EB5652">
      <w:pPr>
        <w:spacing w:line="360" w:lineRule="auto"/>
        <w:ind w:firstLine="708"/>
        <w:jc w:val="both"/>
        <w:rPr>
          <w:rFonts w:eastAsia="Calibri"/>
          <w:shd w:val="clear" w:color="auto" w:fill="FFFFFF"/>
        </w:rPr>
      </w:pPr>
      <w:r w:rsidRPr="00EE6EA1">
        <w:rPr>
          <w:rFonts w:eastAsia="Calibri"/>
          <w:shd w:val="clear" w:color="auto" w:fill="FFFFFF"/>
        </w:rPr>
        <w:t xml:space="preserve">Quant à la troisième étape de l’exégèse, celle de la </w:t>
      </w:r>
      <w:r w:rsidRPr="00EE6EA1">
        <w:rPr>
          <w:rFonts w:asciiTheme="majorBidi" w:hAnsiTheme="majorBidi" w:cstheme="majorBidi"/>
        </w:rPr>
        <w:t>scripturalité</w:t>
      </w:r>
      <w:r w:rsidRPr="00EE6EA1">
        <w:rPr>
          <w:rFonts w:eastAsia="Calibri"/>
          <w:shd w:val="clear" w:color="auto" w:fill="FFFFFF"/>
        </w:rPr>
        <w:t xml:space="preserve">, elle peut être divisée en quatre temps : </w:t>
      </w:r>
      <w:r w:rsidRPr="00EE6EA1">
        <w:rPr>
          <w:rFonts w:eastAsia="Calibri"/>
          <w:b/>
          <w:bCs/>
          <w:shd w:val="clear" w:color="auto" w:fill="FFFFFF"/>
        </w:rPr>
        <w:t>A) </w:t>
      </w:r>
      <w:r w:rsidRPr="00EE6EA1">
        <w:rPr>
          <w:rFonts w:eastAsia="Calibri"/>
          <w:shd w:val="clear" w:color="auto" w:fill="FFFFFF"/>
        </w:rPr>
        <w:t xml:space="preserve">la </w:t>
      </w:r>
      <w:r w:rsidRPr="00EE6EA1">
        <w:rPr>
          <w:rFonts w:asciiTheme="majorBidi" w:hAnsiTheme="majorBidi" w:cstheme="majorBidi"/>
        </w:rPr>
        <w:t>scripturalité</w:t>
      </w:r>
      <w:r w:rsidRPr="00EE6EA1">
        <w:rPr>
          <w:rFonts w:eastAsia="Calibri"/>
          <w:shd w:val="clear" w:color="auto" w:fill="FFFFFF"/>
        </w:rPr>
        <w:t xml:space="preserve"> sporadique : l’exégèse a été écrite sporadiquement dans les recueils des hadiths (comme ceux d’Al-Bukhārī</w:t>
      </w:r>
      <w:r w:rsidRPr="00EE6EA1">
        <w:rPr>
          <w:rFonts w:eastAsia="Calibri"/>
        </w:rPr>
        <w:t> </w:t>
      </w:r>
      <w:r w:rsidRPr="00EE6EA1">
        <w:rPr>
          <w:rFonts w:eastAsia="Calibri"/>
          <w:shd w:val="clear" w:color="auto" w:fill="FFFFFF"/>
        </w:rPr>
        <w:t xml:space="preserve">(810-870), de Muslim (821-875) et d’Abū Dawūd (817-888)). </w:t>
      </w:r>
      <w:r w:rsidRPr="00EE6EA1">
        <w:rPr>
          <w:rFonts w:eastAsia="Calibri"/>
          <w:b/>
          <w:bCs/>
          <w:shd w:val="clear" w:color="auto" w:fill="FFFFFF"/>
        </w:rPr>
        <w:t>B) </w:t>
      </w:r>
      <w:r w:rsidRPr="00EE6EA1">
        <w:rPr>
          <w:rFonts w:eastAsia="Calibri"/>
          <w:shd w:val="clear" w:color="auto" w:fill="FFFFFF"/>
        </w:rPr>
        <w:t xml:space="preserve">la </w:t>
      </w:r>
      <w:r w:rsidRPr="00EE6EA1">
        <w:rPr>
          <w:rFonts w:asciiTheme="majorBidi" w:hAnsiTheme="majorBidi" w:cstheme="majorBidi"/>
        </w:rPr>
        <w:t>scripturalité</w:t>
      </w:r>
      <w:r w:rsidRPr="00EE6EA1">
        <w:rPr>
          <w:rFonts w:eastAsia="Calibri"/>
          <w:shd w:val="clear" w:color="auto" w:fill="FFFFFF"/>
        </w:rPr>
        <w:t xml:space="preserve"> spécialisée : l’exégèse devient une discipline indépendante. On consacre des ouvrages spécialisés à expliquer le Coran sourate par sourate et verset par verset selon l’ordre traditionnel (par ordre de longueur et non par ordre chronologique de « révélation »). Selon </w:t>
      </w:r>
      <w:r w:rsidRPr="00EE6EA1">
        <w:rPr>
          <w:rFonts w:eastAsia="Calibri"/>
        </w:rPr>
        <w:t xml:space="preserve">Muḥammad Ḥusayn Adh-Dhahabī (dans </w:t>
      </w:r>
      <w:r w:rsidRPr="00EE6EA1">
        <w:rPr>
          <w:rFonts w:eastAsia="Calibri"/>
          <w:i/>
          <w:iCs/>
        </w:rPr>
        <w:t>At-tafsīr wa-l-mufassirūn</w:t>
      </w:r>
      <w:r w:rsidRPr="00EE6EA1">
        <w:rPr>
          <w:rFonts w:eastAsia="Calibri"/>
        </w:rPr>
        <w:t xml:space="preserve">, 1/106), il n’est pas facile d’identifier le premier auteur d’une exégèse complète du Coran. Il se peut que ce fût Al-Farrāʾ (mort en 207 H/822 J.-C.). </w:t>
      </w:r>
      <w:r w:rsidRPr="00EE6EA1">
        <w:rPr>
          <w:rFonts w:eastAsia="Calibri"/>
          <w:shd w:val="clear" w:color="auto" w:fill="FFFFFF"/>
        </w:rPr>
        <w:t>L’exégèse d’</w:t>
      </w:r>
      <w:r w:rsidRPr="00EE6EA1">
        <w:rPr>
          <w:rFonts w:eastAsia="Calibri"/>
          <w:lang w:bidi="ar-AE"/>
        </w:rPr>
        <w:t>Aṭ-Ṭabarī</w:t>
      </w:r>
      <w:r w:rsidRPr="00EE6EA1">
        <w:rPr>
          <w:rFonts w:eastAsia="Calibri"/>
        </w:rPr>
        <w:t xml:space="preserve"> (839-923</w:t>
      </w:r>
      <w:r w:rsidRPr="00312F58">
        <w:rPr>
          <w:rFonts w:eastAsia="Calibri"/>
        </w:rPr>
        <w:t>)</w:t>
      </w:r>
      <w:r w:rsidRPr="00312F58">
        <w:rPr>
          <w:rFonts w:eastAsia="Calibri"/>
          <w:vertAlign w:val="superscript"/>
        </w:rPr>
        <w:footnoteReference w:id="156"/>
      </w:r>
      <w:r w:rsidRPr="00312F58">
        <w:rPr>
          <w:rFonts w:eastAsia="Calibri"/>
        </w:rPr>
        <w:t xml:space="preserve"> est la plus </w:t>
      </w:r>
      <w:r w:rsidRPr="00312F58">
        <w:rPr>
          <w:rFonts w:eastAsia="Calibri"/>
        </w:rPr>
        <w:lastRenderedPageBreak/>
        <w:t>célèbre.</w:t>
      </w:r>
      <w:r>
        <w:rPr>
          <w:rFonts w:eastAsia="Calibri"/>
          <w:shd w:val="clear" w:color="auto" w:fill="FFFFFF"/>
        </w:rPr>
        <w:t xml:space="preserve"> </w:t>
      </w:r>
      <w:r w:rsidRPr="005B6E45">
        <w:rPr>
          <w:rFonts w:eastAsia="Calibri"/>
          <w:b/>
          <w:bCs/>
          <w:shd w:val="clear" w:color="auto" w:fill="FFFFFF"/>
        </w:rPr>
        <w:t>C) </w:t>
      </w:r>
      <w:r w:rsidRPr="00312F58">
        <w:rPr>
          <w:rFonts w:eastAsia="Calibri"/>
          <w:shd w:val="clear" w:color="auto" w:fill="FFFFFF"/>
        </w:rPr>
        <w:t>Les débuts de l’exégè</w:t>
      </w:r>
      <w:r>
        <w:rPr>
          <w:rFonts w:eastAsia="Calibri"/>
          <w:shd w:val="clear" w:color="auto" w:fill="FFFFFF"/>
        </w:rPr>
        <w:t>se spéculative : l’exégèse se développ</w:t>
      </w:r>
      <w:r w:rsidRPr="00312F58">
        <w:rPr>
          <w:rFonts w:eastAsia="Calibri"/>
          <w:shd w:val="clear" w:color="auto" w:fill="FFFFFF"/>
        </w:rPr>
        <w:t>e a</w:t>
      </w:r>
      <w:r>
        <w:rPr>
          <w:rFonts w:eastAsia="Calibri"/>
          <w:shd w:val="clear" w:color="auto" w:fill="FFFFFF"/>
        </w:rPr>
        <w:t>vec l’évolution de la science du</w:t>
      </w:r>
      <w:r w:rsidRPr="00312F58">
        <w:rPr>
          <w:rFonts w:eastAsia="Calibri"/>
          <w:shd w:val="clear" w:color="auto" w:fill="FFFFFF"/>
        </w:rPr>
        <w:t xml:space="preserve"> </w:t>
      </w:r>
      <w:r w:rsidRPr="00312F58">
        <w:rPr>
          <w:rFonts w:eastAsia="Calibri"/>
          <w:i/>
          <w:iCs/>
          <w:shd w:val="clear" w:color="auto" w:fill="FFFFFF"/>
        </w:rPr>
        <w:t>kalām</w:t>
      </w:r>
      <w:r w:rsidRPr="00312F58">
        <w:rPr>
          <w:rFonts w:eastAsia="Calibri"/>
          <w:shd w:val="clear" w:color="auto" w:fill="FFFFFF"/>
        </w:rPr>
        <w:t xml:space="preserve"> (dialectique) et des sciences du langage. </w:t>
      </w:r>
      <w:r w:rsidRPr="00EE6EA1">
        <w:rPr>
          <w:rFonts w:eastAsia="Calibri"/>
          <w:shd w:val="clear" w:color="auto" w:fill="FFFFFF"/>
        </w:rPr>
        <w:t>Ce qui a dû contribuer</w:t>
      </w:r>
      <w:r w:rsidRPr="00312F58">
        <w:rPr>
          <w:rFonts w:eastAsia="Calibri"/>
          <w:shd w:val="clear" w:color="auto" w:fill="FFFFFF"/>
        </w:rPr>
        <w:t xml:space="preserve"> à </w:t>
      </w:r>
      <w:r>
        <w:rPr>
          <w:rFonts w:eastAsia="Calibri"/>
          <w:shd w:val="clear" w:color="auto" w:fill="FFFFFF"/>
        </w:rPr>
        <w:t xml:space="preserve">l’évolution de la polysémie. </w:t>
      </w:r>
      <w:r w:rsidRPr="005B6E45">
        <w:rPr>
          <w:rFonts w:eastAsia="Calibri"/>
          <w:b/>
          <w:bCs/>
          <w:shd w:val="clear" w:color="auto" w:fill="FFFFFF"/>
        </w:rPr>
        <w:t>D)</w:t>
      </w:r>
      <w:r>
        <w:rPr>
          <w:rFonts w:eastAsia="Calibri"/>
          <w:shd w:val="clear" w:color="auto" w:fill="FFFFFF"/>
        </w:rPr>
        <w:t xml:space="preserve"> L’exégèse thématique </w:t>
      </w:r>
      <w:r w:rsidRPr="00EE6EA1">
        <w:rPr>
          <w:rFonts w:eastAsia="Calibri"/>
          <w:shd w:val="clear" w:color="auto" w:fill="FFFFFF"/>
        </w:rPr>
        <w:t>: Ibn al-Qayyim consacre</w:t>
      </w:r>
      <w:r w:rsidRPr="00312F58">
        <w:rPr>
          <w:rFonts w:eastAsia="Calibri"/>
          <w:shd w:val="clear" w:color="auto" w:fill="FFFFFF"/>
        </w:rPr>
        <w:t xml:space="preserve"> </w:t>
      </w:r>
      <w:r>
        <w:rPr>
          <w:rFonts w:eastAsia="Calibri"/>
          <w:shd w:val="clear" w:color="auto" w:fill="FFFFFF"/>
        </w:rPr>
        <w:t xml:space="preserve">un ouvrage </w:t>
      </w:r>
      <w:r w:rsidRPr="00312F58">
        <w:rPr>
          <w:rFonts w:eastAsia="Calibri"/>
          <w:shd w:val="clear" w:color="auto" w:fill="FFFFFF"/>
        </w:rPr>
        <w:t>à la composition du Coran (</w:t>
      </w:r>
      <w:r w:rsidRPr="00312F58">
        <w:rPr>
          <w:rFonts w:eastAsia="Calibri"/>
          <w:i/>
          <w:iCs/>
          <w:shd w:val="clear" w:color="auto" w:fill="FFFFFF"/>
        </w:rPr>
        <w:t>At-tibyān fī aqsām al-</w:t>
      </w:r>
      <w:r w:rsidRPr="0066729E">
        <w:rPr>
          <w:rFonts w:eastAsia="Calibri"/>
          <w:i/>
          <w:iCs/>
          <w:shd w:val="clear" w:color="auto" w:fill="FFFFFF"/>
        </w:rPr>
        <w:t>qurʾān</w:t>
      </w:r>
      <w:r w:rsidRPr="0066729E">
        <w:rPr>
          <w:rFonts w:eastAsia="Calibri"/>
          <w:shd w:val="clear" w:color="auto" w:fill="FFFFFF"/>
        </w:rPr>
        <w:t xml:space="preserve">), </w:t>
      </w:r>
      <w:r w:rsidRPr="0066729E">
        <w:rPr>
          <w:rFonts w:eastAsia="Calibri"/>
        </w:rPr>
        <w:t xml:space="preserve">Abū Jaʿfar An-Naḥḥās (m. 950 J.-C) </w:t>
      </w:r>
      <w:r w:rsidRPr="0066729E">
        <w:rPr>
          <w:rFonts w:eastAsia="Calibri"/>
          <w:shd w:val="clear" w:color="auto" w:fill="FFFFFF"/>
        </w:rPr>
        <w:t>un autre à l’abrogation</w:t>
      </w:r>
      <w:r w:rsidRPr="0066729E">
        <w:rPr>
          <w:rFonts w:eastAsia="Calibri"/>
        </w:rPr>
        <w:t xml:space="preserve"> (</w:t>
      </w:r>
      <w:r w:rsidRPr="0066729E">
        <w:rPr>
          <w:rFonts w:eastAsia="Calibri"/>
          <w:i/>
          <w:iCs/>
        </w:rPr>
        <w:t>An-nāsikh wa-al-mansūkh</w:t>
      </w:r>
      <w:r w:rsidRPr="0066729E">
        <w:rPr>
          <w:rFonts w:eastAsia="Calibri"/>
        </w:rPr>
        <w:t xml:space="preserve">]), Al-Wāḥidī an-Naysābūrī (m. 1076) écrit un livre sur </w:t>
      </w:r>
      <w:r w:rsidRPr="0066729E">
        <w:rPr>
          <w:rFonts w:eastAsia="Calibri"/>
          <w:i/>
          <w:iCs/>
        </w:rPr>
        <w:t>asbāb an-nuzūl</w:t>
      </w:r>
      <w:r w:rsidRPr="0066729E">
        <w:rPr>
          <w:rFonts w:eastAsia="Calibri"/>
          <w:shd w:val="clear" w:color="auto" w:fill="FFFFFF"/>
        </w:rPr>
        <w:t xml:space="preserve">, Al-Jaṣṣāṣ </w:t>
      </w:r>
      <w:r w:rsidRPr="0066729E">
        <w:rPr>
          <w:rFonts w:eastAsia="Calibri"/>
        </w:rPr>
        <w:t xml:space="preserve">(m. 942) </w:t>
      </w:r>
      <w:r w:rsidRPr="0066729E">
        <w:rPr>
          <w:rFonts w:eastAsia="Calibri"/>
          <w:shd w:val="clear" w:color="auto" w:fill="FFFFFF"/>
        </w:rPr>
        <w:t xml:space="preserve">aborde les </w:t>
      </w:r>
      <w:r w:rsidRPr="0066729E">
        <w:rPr>
          <w:rFonts w:eastAsia="Calibri"/>
          <w:i/>
          <w:iCs/>
          <w:shd w:val="clear" w:color="auto" w:fill="FFFFFF"/>
        </w:rPr>
        <w:t>Aḥkām</w:t>
      </w:r>
      <w:r w:rsidRPr="0066729E">
        <w:rPr>
          <w:rFonts w:eastAsia="Calibri"/>
          <w:shd w:val="clear" w:color="auto" w:fill="FFFFFF"/>
        </w:rPr>
        <w:t xml:space="preserve"> du Coran, etc.</w:t>
      </w:r>
    </w:p>
    <w:p w14:paraId="52D7232F" w14:textId="77777777" w:rsidR="00EB5652" w:rsidRPr="0066729E" w:rsidRDefault="00EB5652" w:rsidP="00EB5652">
      <w:pPr>
        <w:spacing w:line="360" w:lineRule="auto"/>
        <w:jc w:val="both"/>
        <w:rPr>
          <w:rFonts w:eastAsia="Calibri"/>
          <w:shd w:val="clear" w:color="auto" w:fill="FFFFFF"/>
        </w:rPr>
      </w:pPr>
    </w:p>
    <w:p w14:paraId="226D92D9" w14:textId="77777777" w:rsidR="00EB5652" w:rsidRPr="00312F58" w:rsidRDefault="00EB5652" w:rsidP="00EB5652">
      <w:pPr>
        <w:spacing w:line="360" w:lineRule="auto"/>
        <w:ind w:firstLine="708"/>
        <w:jc w:val="both"/>
        <w:rPr>
          <w:rFonts w:eastAsia="Calibri"/>
          <w:shd w:val="clear" w:color="auto" w:fill="FFFFFF"/>
        </w:rPr>
      </w:pPr>
      <w:r w:rsidRPr="0066729E">
        <w:rPr>
          <w:rFonts w:eastAsia="Calibri"/>
          <w:shd w:val="clear" w:color="auto" w:fill="FFFFFF"/>
        </w:rPr>
        <w:t>Des exégètes tardifs ont développé l’exégèse. D’autres l’ont abrégé. Les hadiths controuvés (</w:t>
      </w:r>
      <w:r w:rsidRPr="0066729E">
        <w:rPr>
          <w:rFonts w:eastAsia="Calibri"/>
          <w:i/>
          <w:iCs/>
          <w:shd w:val="clear" w:color="auto" w:fill="FFFFFF"/>
        </w:rPr>
        <w:t>mawḍūʿa</w:t>
      </w:r>
      <w:r w:rsidRPr="0066729E">
        <w:rPr>
          <w:rFonts w:eastAsia="Calibri"/>
          <w:shd w:val="clear" w:color="auto" w:fill="FFFFFF"/>
        </w:rPr>
        <w:t>) ont été acceptés pour répondre aux conflits politiques et idéologiques. Ces récits forgés reflètent la richesse des significations à cette époque. De manière frappante, des</w:t>
      </w:r>
      <w:r w:rsidRPr="00312F58">
        <w:rPr>
          <w:rFonts w:eastAsia="Calibri"/>
          <w:shd w:val="clear" w:color="auto" w:fill="FFFFFF"/>
        </w:rPr>
        <w:t xml:space="preserve"> exégèses contradictoires (par exemple à propos de l’identification du sacrifié : Isaac ou Ismaïl) ont été attribuées au même exégète Ibn ʿAbbās, comme le souligne l’islamologue hongrois Ignác</w:t>
      </w:r>
      <w:r w:rsidRPr="00312F58">
        <w:rPr>
          <w:rFonts w:eastAsia="Calibri"/>
        </w:rPr>
        <w:t> </w:t>
      </w:r>
      <w:r w:rsidRPr="00312F58">
        <w:rPr>
          <w:rFonts w:eastAsia="Calibri"/>
          <w:shd w:val="clear" w:color="auto" w:fill="FFFFFF"/>
        </w:rPr>
        <w:t>Goldziher</w:t>
      </w:r>
      <w:r w:rsidRPr="00312F58">
        <w:rPr>
          <w:rFonts w:eastAsia="Calibri"/>
        </w:rPr>
        <w:t> (1850-1921)</w:t>
      </w:r>
      <w:r w:rsidRPr="00312F58">
        <w:rPr>
          <w:rFonts w:eastAsia="Calibri"/>
          <w:vertAlign w:val="superscript"/>
          <w:lang w:bidi="ar-AE"/>
        </w:rPr>
        <w:footnoteReference w:id="157"/>
      </w:r>
      <w:r w:rsidRPr="00312F58">
        <w:rPr>
          <w:rFonts w:eastAsia="Calibri"/>
          <w:shd w:val="clear" w:color="auto" w:fill="FFFFFF"/>
        </w:rPr>
        <w:t>. Les récits juifs et chrétiens ainsi que les opinions contradictoires et les discussions des exégètes ont enrich</w:t>
      </w:r>
      <w:r>
        <w:rPr>
          <w:rFonts w:eastAsia="Calibri"/>
          <w:shd w:val="clear" w:color="auto" w:fill="FFFFFF"/>
        </w:rPr>
        <w:t>i l’exégèse du Coran. Abdullāh b.</w:t>
      </w:r>
      <w:r w:rsidRPr="00312F58">
        <w:rPr>
          <w:rFonts w:eastAsia="Calibri"/>
          <w:shd w:val="clear" w:color="auto" w:fill="FFFFFF"/>
        </w:rPr>
        <w:t xml:space="preserve"> Salām (m. 663 J.-C.), Kaʿb Al-Aḥ</w:t>
      </w:r>
      <w:r>
        <w:rPr>
          <w:rFonts w:eastAsia="Calibri"/>
          <w:shd w:val="clear" w:color="auto" w:fill="FFFFFF"/>
        </w:rPr>
        <w:t>bār (m. 652), Wahb b.</w:t>
      </w:r>
      <w:r w:rsidRPr="00312F58">
        <w:rPr>
          <w:rFonts w:eastAsia="Calibri"/>
          <w:shd w:val="clear" w:color="auto" w:fill="FFFFFF"/>
        </w:rPr>
        <w:t xml:space="preserve"> Munabbih (m. 72</w:t>
      </w:r>
      <w:r>
        <w:rPr>
          <w:rFonts w:eastAsia="Calibri"/>
          <w:shd w:val="clear" w:color="auto" w:fill="FFFFFF"/>
        </w:rPr>
        <w:t>8) et ʿAbd Al-Malik b.</w:t>
      </w:r>
      <w:r w:rsidRPr="00312F58">
        <w:rPr>
          <w:rFonts w:eastAsia="Calibri"/>
          <w:shd w:val="clear" w:color="auto" w:fill="FFFFFF"/>
        </w:rPr>
        <w:t xml:space="preserve"> Ju</w:t>
      </w:r>
      <w:r>
        <w:rPr>
          <w:rFonts w:eastAsia="Calibri"/>
          <w:shd w:val="clear" w:color="auto" w:fill="FFFFFF"/>
        </w:rPr>
        <w:t>rayj (m. 767/775</w:t>
      </w:r>
      <w:r w:rsidRPr="00312F58">
        <w:rPr>
          <w:rFonts w:eastAsia="Calibri"/>
          <w:shd w:val="clear" w:color="auto" w:fill="FFFFFF"/>
        </w:rPr>
        <w:t>) ont rapporté beaucoup de récits provenant des Gens du Livre, enrichissant ainsi le champ sémantique du Coran.</w:t>
      </w:r>
    </w:p>
    <w:p w14:paraId="60A76154" w14:textId="77777777" w:rsidR="00EB5652" w:rsidRPr="00312F58" w:rsidRDefault="00EB5652" w:rsidP="00EB5652">
      <w:pPr>
        <w:spacing w:line="360" w:lineRule="auto"/>
        <w:jc w:val="both"/>
        <w:rPr>
          <w:rFonts w:eastAsia="Calibri"/>
          <w:shd w:val="clear" w:color="auto" w:fill="FFFFFF"/>
        </w:rPr>
      </w:pPr>
    </w:p>
    <w:p w14:paraId="104DACD5" w14:textId="77777777" w:rsidR="00EB5652" w:rsidRPr="00312F58" w:rsidRDefault="00EB5652" w:rsidP="00EB5652">
      <w:pPr>
        <w:shd w:val="clear" w:color="auto" w:fill="FFFFFF"/>
        <w:spacing w:line="360" w:lineRule="auto"/>
        <w:ind w:firstLine="708"/>
        <w:jc w:val="both"/>
        <w:rPr>
          <w:rFonts w:eastAsia="Times New Roman"/>
        </w:rPr>
      </w:pPr>
      <w:r w:rsidRPr="00312F58">
        <w:rPr>
          <w:rFonts w:eastAsia="Times New Roman"/>
          <w:shd w:val="clear" w:color="auto" w:fill="FFFFFF"/>
        </w:rPr>
        <w:t>Quant aux contemporains, ils essayent, semble-t-il, de réduire l’exégèse à une seule signification de couleur confessionnelle, sociale, littéraire ou scientifique</w:t>
      </w:r>
      <w:r w:rsidRPr="00312F58">
        <w:rPr>
          <w:rFonts w:eastAsia="Times New Roman"/>
          <w:vertAlign w:val="superscript"/>
          <w:lang w:bidi="ar-AE"/>
        </w:rPr>
        <w:footnoteReference w:id="158"/>
      </w:r>
      <w:r w:rsidRPr="00312F58">
        <w:rPr>
          <w:rFonts w:eastAsia="Times New Roman"/>
          <w:shd w:val="clear" w:color="auto" w:fill="FFFFFF"/>
        </w:rPr>
        <w:t>.</w:t>
      </w:r>
    </w:p>
    <w:p w14:paraId="0EEC2EA4" w14:textId="77777777" w:rsidR="00EB5652" w:rsidRPr="00312F58" w:rsidRDefault="00EB5652" w:rsidP="00EB5652">
      <w:pPr>
        <w:shd w:val="clear" w:color="auto" w:fill="FFFFFF"/>
        <w:spacing w:line="360" w:lineRule="auto"/>
        <w:jc w:val="both"/>
        <w:rPr>
          <w:rFonts w:eastAsia="Times New Roman"/>
        </w:rPr>
      </w:pPr>
    </w:p>
    <w:p w14:paraId="15C5F317" w14:textId="77777777" w:rsidR="00EB5652" w:rsidRPr="00312F58" w:rsidRDefault="00EB5652" w:rsidP="00EB5652">
      <w:pPr>
        <w:shd w:val="clear" w:color="auto" w:fill="FFFFFF"/>
        <w:spacing w:line="360" w:lineRule="auto"/>
        <w:ind w:firstLine="708"/>
        <w:jc w:val="both"/>
        <w:rPr>
          <w:rFonts w:eastAsia="Times New Roman"/>
        </w:rPr>
      </w:pPr>
      <w:r w:rsidRPr="00312F58">
        <w:rPr>
          <w:rFonts w:eastAsia="Times New Roman"/>
        </w:rPr>
        <w:t xml:space="preserve">L’exégèse avait tendance à limiter sa large étendue et à s’identifier de sorte que si une explication nous est donnée, nous pouvons identifier à quelle branche ou école elle appartient : orthodoxe ou hétérodoxe, sunnite ou chiite, traditionnelle ou spéculative, exotérique ou ésotérique, mystique, etc. Pour tous les types d’exégèse, Ibn ʿAbbās est une sorte de héros </w:t>
      </w:r>
      <w:r w:rsidRPr="00312F58">
        <w:rPr>
          <w:rFonts w:eastAsia="Times New Roman"/>
        </w:rPr>
        <w:lastRenderedPageBreak/>
        <w:t>éponyme (</w:t>
      </w:r>
      <w:r w:rsidRPr="00312F58">
        <w:rPr>
          <w:rFonts w:eastAsia="Times New Roman"/>
          <w:i/>
          <w:iCs/>
        </w:rPr>
        <w:t>turjumān al-Qurʾān</w:t>
      </w:r>
      <w:r w:rsidRPr="00312F58">
        <w:rPr>
          <w:rFonts w:eastAsia="Times New Roman"/>
        </w:rPr>
        <w:t>). Il est à noter qu’il n’existe pas de barrières entre ces types d’exégèses. On peut trouver dans une exégèse traditionnelle des éléments mystiques, juridiques, etc.</w:t>
      </w:r>
    </w:p>
    <w:p w14:paraId="660B84F5" w14:textId="77777777" w:rsidR="00EB5652" w:rsidRPr="00312F58" w:rsidRDefault="00EB5652" w:rsidP="00EB5652">
      <w:pPr>
        <w:shd w:val="clear" w:color="auto" w:fill="FFFFFF"/>
        <w:spacing w:line="360" w:lineRule="auto"/>
        <w:jc w:val="both"/>
        <w:rPr>
          <w:rFonts w:eastAsia="Times New Roman"/>
        </w:rPr>
      </w:pPr>
    </w:p>
    <w:p w14:paraId="62F88F68" w14:textId="77777777" w:rsidR="00EB5652" w:rsidRPr="0066729E" w:rsidRDefault="00EB5652" w:rsidP="00EB5652">
      <w:pPr>
        <w:shd w:val="clear" w:color="auto" w:fill="FFFFFF"/>
        <w:spacing w:line="360" w:lineRule="auto"/>
        <w:ind w:firstLine="708"/>
        <w:jc w:val="both"/>
        <w:rPr>
          <w:rFonts w:eastAsia="Times New Roman"/>
        </w:rPr>
      </w:pPr>
      <w:r w:rsidRPr="00312F58">
        <w:rPr>
          <w:rFonts w:eastAsia="Times New Roman"/>
        </w:rPr>
        <w:t xml:space="preserve">L’exégèse coranique était pour les sunnites un moyen privilégié de réfuter les croyances du mutazilisme et des autres sectes, et pour les chiites de dénigrer les omeyades. Ainsi, le </w:t>
      </w:r>
      <w:r w:rsidRPr="00312F58">
        <w:rPr>
          <w:rFonts w:eastAsia="Times New Roman"/>
          <w:i/>
          <w:iCs/>
        </w:rPr>
        <w:t xml:space="preserve">tafsīr </w:t>
      </w:r>
      <w:r w:rsidRPr="00312F58">
        <w:rPr>
          <w:rFonts w:eastAsia="Times New Roman"/>
        </w:rPr>
        <w:t>est dominé par des conflits plus théologiques que linguistiques. Il est influencé plus par la tradition (</w:t>
      </w:r>
      <w:r w:rsidRPr="00312F58">
        <w:rPr>
          <w:rFonts w:eastAsia="Times New Roman"/>
          <w:i/>
          <w:iCs/>
        </w:rPr>
        <w:t>maʾthūr</w:t>
      </w:r>
      <w:r w:rsidRPr="00312F58">
        <w:rPr>
          <w:rFonts w:eastAsia="Times New Roman"/>
        </w:rPr>
        <w:t xml:space="preserve">) que par l’opinion ou le raisonnement </w:t>
      </w:r>
      <w:r w:rsidRPr="0066729E">
        <w:rPr>
          <w:rFonts w:eastAsia="Times New Roman"/>
        </w:rPr>
        <w:t>intellectuel (</w:t>
      </w:r>
      <w:r w:rsidRPr="0066729E">
        <w:rPr>
          <w:rFonts w:eastAsia="Times New Roman"/>
          <w:i/>
          <w:iCs/>
        </w:rPr>
        <w:t>raʾy </w:t>
      </w:r>
      <w:r w:rsidRPr="0066729E">
        <w:rPr>
          <w:rFonts w:eastAsia="Times New Roman"/>
        </w:rPr>
        <w:t xml:space="preserve">ou </w:t>
      </w:r>
      <w:r w:rsidRPr="0066729E">
        <w:rPr>
          <w:rFonts w:eastAsia="Times New Roman"/>
          <w:i/>
          <w:iCs/>
        </w:rPr>
        <w:t>ijtihād</w:t>
      </w:r>
      <w:r w:rsidRPr="0066729E">
        <w:rPr>
          <w:rFonts w:eastAsia="Times New Roman"/>
        </w:rPr>
        <w:t>). En d’autres termes, l’exégèse du Coran est en général plus traditionnelle que spéculative, en vertu du hadith du Prophète : « Celui qui dit sur le Coran son opinion o</w:t>
      </w:r>
      <w:r>
        <w:rPr>
          <w:rFonts w:eastAsia="Times New Roman"/>
        </w:rPr>
        <w:t>u ce qu’il ne sait pas, qu’</w:t>
      </w:r>
      <w:r w:rsidRPr="0066729E">
        <w:rPr>
          <w:rFonts w:eastAsia="Times New Roman"/>
        </w:rPr>
        <w:t xml:space="preserve">il s’attende à voir sa place dans le Feu » (selon </w:t>
      </w:r>
      <w:r w:rsidRPr="0066729E">
        <w:rPr>
          <w:rFonts w:eastAsia="Times New Roman"/>
          <w:i/>
          <w:iCs/>
        </w:rPr>
        <w:t>Musnad Aḥmad</w:t>
      </w:r>
      <w:r w:rsidRPr="0066729E">
        <w:rPr>
          <w:rFonts w:eastAsia="Times New Roman"/>
        </w:rPr>
        <w:t xml:space="preserve"> et </w:t>
      </w:r>
      <w:r w:rsidRPr="0066729E">
        <w:rPr>
          <w:rFonts w:eastAsia="Times New Roman"/>
          <w:i/>
          <w:iCs/>
        </w:rPr>
        <w:t>Sunan at-Tirmidhī</w:t>
      </w:r>
      <w:r w:rsidRPr="0066729E">
        <w:rPr>
          <w:rFonts w:eastAsia="Times New Roman"/>
        </w:rPr>
        <w:t xml:space="preserve">). Les premiers musulmans étaient plus attachés au texte que les tardifs. On attribue au premier calife Abū Bakr ce propos : « Quel ciel me ferait ombrage et quelle terre me porterait, si je disais sur le Livre de Dieu ce que je ne sais pas » (selon </w:t>
      </w:r>
      <w:r w:rsidRPr="0066729E">
        <w:rPr>
          <w:rFonts w:eastAsia="Times New Roman"/>
          <w:i/>
          <w:iCs/>
        </w:rPr>
        <w:t>Ad-durr al-manthūr</w:t>
      </w:r>
      <w:r w:rsidRPr="0066729E">
        <w:rPr>
          <w:rFonts w:eastAsia="Times New Roman"/>
        </w:rPr>
        <w:t xml:space="preserve"> d’As-Suyūṭī).</w:t>
      </w:r>
    </w:p>
    <w:p w14:paraId="74A271E7" w14:textId="77777777" w:rsidR="00EB5652" w:rsidRPr="00312F58" w:rsidRDefault="00EB5652" w:rsidP="00EB5652">
      <w:pPr>
        <w:shd w:val="clear" w:color="auto" w:fill="FFFFFF"/>
        <w:spacing w:line="360" w:lineRule="auto"/>
        <w:jc w:val="both"/>
        <w:rPr>
          <w:rFonts w:eastAsia="Times New Roman"/>
        </w:rPr>
      </w:pPr>
    </w:p>
    <w:p w14:paraId="16F8A50E" w14:textId="77777777" w:rsidR="00EB5652" w:rsidRPr="00312F58" w:rsidRDefault="00EB5652" w:rsidP="00EB5652">
      <w:pPr>
        <w:shd w:val="clear" w:color="auto" w:fill="FFFFFF"/>
        <w:spacing w:line="360" w:lineRule="auto"/>
        <w:ind w:firstLine="708"/>
        <w:jc w:val="both"/>
        <w:rPr>
          <w:rFonts w:eastAsia="Times New Roman"/>
        </w:rPr>
      </w:pPr>
      <w:r w:rsidRPr="00312F58">
        <w:rPr>
          <w:rFonts w:eastAsia="Times New Roman"/>
        </w:rPr>
        <w:t>Cependant, selon A. Rippin, le classement de l’exégèse par les oulémas en deux types (</w:t>
      </w:r>
      <w:r w:rsidRPr="00312F58">
        <w:rPr>
          <w:rFonts w:eastAsia="Times New Roman"/>
          <w:i/>
          <w:iCs/>
        </w:rPr>
        <w:t>bi-l-maʾthūr</w:t>
      </w:r>
      <w:r w:rsidRPr="00312F58">
        <w:rPr>
          <w:rFonts w:eastAsia="Times New Roman"/>
        </w:rPr>
        <w:t xml:space="preserve"> et </w:t>
      </w:r>
      <w:r w:rsidRPr="00312F58">
        <w:rPr>
          <w:rFonts w:eastAsia="Times New Roman"/>
          <w:i/>
          <w:iCs/>
        </w:rPr>
        <w:t>bi-r-raʾy</w:t>
      </w:r>
      <w:r w:rsidRPr="00312F58">
        <w:rPr>
          <w:rFonts w:eastAsia="Times New Roman"/>
        </w:rPr>
        <w:t xml:space="preserve">) se fonde uniquement sur une compréhension superficielle de la forme des ouvrages et accorde peu d’attention à la substance sous-jacente. De plus, chacun des deux types contient des éléments de l’autre. On peut trouver dans une exégèse traditionnelle des interprétations littéralistes, mystiques, allusives, linguistiques, juridiques, philosophiques, thématiques, etc. Mais on peut dire que chaque exégète accorde une importance à un aspect plus qu’à un autre et </w:t>
      </w:r>
      <w:r>
        <w:rPr>
          <w:rFonts w:eastAsia="Times New Roman"/>
        </w:rPr>
        <w:t>« </w:t>
      </w:r>
      <w:r w:rsidRPr="00A23C9A">
        <w:rPr>
          <w:rFonts w:eastAsia="Times New Roman"/>
          <w:iCs/>
        </w:rPr>
        <w:t>analyse le</w:t>
      </w:r>
      <w:r>
        <w:rPr>
          <w:rFonts w:eastAsia="Times New Roman"/>
          <w:iCs/>
        </w:rPr>
        <w:t xml:space="preserve"> texte en fonction du "monde extérieur"</w:t>
      </w:r>
      <w:r w:rsidRPr="00A23C9A">
        <w:rPr>
          <w:rFonts w:eastAsia="Times New Roman"/>
          <w:iCs/>
        </w:rPr>
        <w:t xml:space="preserve"> quelque soit la façon dont l’auteur le définit, afin de résoudre tout ce qui peut sembler contradic</w:t>
      </w:r>
      <w:r>
        <w:rPr>
          <w:rFonts w:eastAsia="Times New Roman"/>
          <w:iCs/>
        </w:rPr>
        <w:t>toire afin de rendre le texte "</w:t>
      </w:r>
      <w:r w:rsidRPr="00A23C9A">
        <w:rPr>
          <w:rFonts w:eastAsia="Times New Roman"/>
          <w:iCs/>
        </w:rPr>
        <w:t>limpide</w:t>
      </w:r>
      <w:r>
        <w:rPr>
          <w:rFonts w:eastAsia="Times New Roman"/>
          <w:iCs/>
        </w:rPr>
        <w:t>"</w:t>
      </w:r>
      <w:r w:rsidRPr="00A23C9A">
        <w:rPr>
          <w:rFonts w:eastAsia="Times New Roman"/>
          <w:iCs/>
        </w:rPr>
        <w:t> »</w:t>
      </w:r>
      <w:r>
        <w:rPr>
          <w:rStyle w:val="Appelnotedebasdep"/>
          <w:rFonts w:eastAsia="Times New Roman"/>
          <w:iCs/>
        </w:rPr>
        <w:footnoteReference w:id="159"/>
      </w:r>
      <w:r w:rsidRPr="00312F58">
        <w:rPr>
          <w:rFonts w:eastAsia="Times New Roman"/>
        </w:rPr>
        <w:t xml:space="preserve"> Ainsi, le Coran est devenu polysémique autant que les conflits et controverses sociopolitiques, philosophiques et théologiques sont riches.</w:t>
      </w:r>
    </w:p>
    <w:p w14:paraId="5BE0C08F" w14:textId="77777777" w:rsidR="00EB5652" w:rsidRPr="00312F58" w:rsidRDefault="00EB5652" w:rsidP="00EB5652">
      <w:pPr>
        <w:shd w:val="clear" w:color="auto" w:fill="FFFFFF"/>
        <w:spacing w:line="360" w:lineRule="auto"/>
        <w:jc w:val="both"/>
        <w:rPr>
          <w:rFonts w:eastAsia="Times New Roman"/>
        </w:rPr>
      </w:pPr>
    </w:p>
    <w:p w14:paraId="584809CF" w14:textId="77777777" w:rsidR="00EB5652" w:rsidRPr="00312F58" w:rsidRDefault="00EB5652" w:rsidP="00EB5652">
      <w:pPr>
        <w:shd w:val="clear" w:color="auto" w:fill="FFFFFF"/>
        <w:spacing w:line="360" w:lineRule="auto"/>
        <w:ind w:firstLine="708"/>
        <w:jc w:val="both"/>
        <w:rPr>
          <w:rFonts w:eastAsia="Times New Roman"/>
        </w:rPr>
      </w:pPr>
      <w:r w:rsidRPr="00312F58">
        <w:rPr>
          <w:rFonts w:eastAsia="Times New Roman"/>
        </w:rPr>
        <w:t>L’exégèse a beaucoup compté, surtout lors de sa formation, sur la chaîne de transmission [</w:t>
      </w:r>
      <w:r w:rsidRPr="00312F58">
        <w:rPr>
          <w:rFonts w:eastAsia="Times New Roman"/>
          <w:i/>
          <w:iCs/>
        </w:rPr>
        <w:t>sanad</w:t>
      </w:r>
      <w:r w:rsidRPr="00312F58">
        <w:rPr>
          <w:rFonts w:eastAsia="Times New Roman"/>
        </w:rPr>
        <w:t xml:space="preserve">] (personnes faisant autorité) de sorte que quand la chaîne change l’interprétation change. Les citations et les personnes de référence reflètent l’allégeance et la position religieuse de l’exégèse. Chaque communauté musulmane a sa propre interprétation parce que chacune a sa </w:t>
      </w:r>
      <w:r w:rsidRPr="00312F58">
        <w:rPr>
          <w:rFonts w:eastAsia="Times New Roman"/>
        </w:rPr>
        <w:lastRenderedPageBreak/>
        <w:t>propre chaîne qui remonte à Muḥammad ou à l’un des imams ou des compagnons du prophète. Plus tard, chaque exégète s’appuie</w:t>
      </w:r>
      <w:r>
        <w:rPr>
          <w:rFonts w:eastAsia="Times New Roman"/>
        </w:rPr>
        <w:t>ra</w:t>
      </w:r>
      <w:r w:rsidRPr="00312F58">
        <w:rPr>
          <w:rFonts w:eastAsia="Times New Roman"/>
        </w:rPr>
        <w:t xml:space="preserve"> sur son prédécesseur en opérant une sélection limitant la polysémie en fonction du lieu, du temps et des croyances de cet exégète.</w:t>
      </w:r>
    </w:p>
    <w:p w14:paraId="5EAD3E90" w14:textId="77777777" w:rsidR="00EB5652" w:rsidRPr="00312F58" w:rsidRDefault="00EB5652" w:rsidP="00EB5652">
      <w:pPr>
        <w:shd w:val="clear" w:color="auto" w:fill="FFFFFF"/>
        <w:spacing w:line="360" w:lineRule="auto"/>
        <w:jc w:val="both"/>
        <w:rPr>
          <w:rFonts w:eastAsia="Times New Roman"/>
        </w:rPr>
      </w:pPr>
    </w:p>
    <w:p w14:paraId="3745F786" w14:textId="77777777" w:rsidR="00EB5652" w:rsidRPr="00D82CCB" w:rsidRDefault="00EB5652" w:rsidP="00EB5652">
      <w:pPr>
        <w:shd w:val="clear" w:color="auto" w:fill="FFFFFF"/>
        <w:spacing w:line="360" w:lineRule="auto"/>
        <w:ind w:firstLine="708"/>
        <w:jc w:val="both"/>
        <w:rPr>
          <w:rFonts w:eastAsia="Times New Roman"/>
        </w:rPr>
      </w:pPr>
      <w:r w:rsidRPr="00312F58">
        <w:rPr>
          <w:rFonts w:eastAsia="Times New Roman"/>
        </w:rPr>
        <w:t>L’histoire de l’exégèse du Coran se caractérise par l’attention particulière portée à la polysémie du texte coranique, généralement connu sous le nom d’</w:t>
      </w:r>
      <w:r w:rsidRPr="00312F58">
        <w:rPr>
          <w:rFonts w:eastAsia="Times New Roman" w:cs="Arial"/>
          <w:i/>
          <w:iCs/>
        </w:rPr>
        <w:t>al-wujūh</w:t>
      </w:r>
      <w:r>
        <w:rPr>
          <w:rFonts w:eastAsia="Times New Roman" w:cs="Arial"/>
          <w:i/>
          <w:iCs/>
        </w:rPr>
        <w:t xml:space="preserve"> wa-</w:t>
      </w:r>
      <w:r w:rsidRPr="00312F58">
        <w:rPr>
          <w:rFonts w:eastAsia="Times New Roman" w:cs="Arial"/>
          <w:i/>
          <w:iCs/>
        </w:rPr>
        <w:t>n-naẓāʾir</w:t>
      </w:r>
      <w:r w:rsidRPr="00312F58">
        <w:rPr>
          <w:rFonts w:eastAsia="Calibri"/>
        </w:rPr>
        <w:t xml:space="preserve"> [les aspects et les analogues]. Ce thème </w:t>
      </w:r>
      <w:r w:rsidRPr="00312F58">
        <w:rPr>
          <w:rFonts w:eastAsia="Times New Roman"/>
        </w:rPr>
        <w:t>a été souvent considéré comme une branche de</w:t>
      </w:r>
      <w:r w:rsidRPr="00312F58">
        <w:rPr>
          <w:rFonts w:eastAsia="Times New Roman"/>
          <w:i/>
          <w:iCs/>
        </w:rPr>
        <w:t xml:space="preserve"> tafsīr</w:t>
      </w:r>
      <w:r w:rsidRPr="00312F58">
        <w:rPr>
          <w:rFonts w:eastAsia="Times New Roman"/>
        </w:rPr>
        <w:t xml:space="preserve"> et comme un aspect et révélateur de l’inimitabilité (</w:t>
      </w:r>
      <w:r w:rsidRPr="00312F58">
        <w:rPr>
          <w:rFonts w:eastAsia="Times New Roman"/>
          <w:i/>
          <w:iCs/>
        </w:rPr>
        <w:t>iʿjāz</w:t>
      </w:r>
      <w:r>
        <w:rPr>
          <w:rFonts w:eastAsia="Times New Roman"/>
        </w:rPr>
        <w:t xml:space="preserve">) du </w:t>
      </w:r>
      <w:r w:rsidRPr="00D82CCB">
        <w:rPr>
          <w:rFonts w:eastAsia="Times New Roman"/>
        </w:rPr>
        <w:t>Coran. Au moins vingt-sept ouvrages ont été écrits pour aborder cette idée.</w:t>
      </w:r>
      <w:r w:rsidRPr="00D82CCB">
        <w:rPr>
          <w:rFonts w:eastAsia="Times New Roman"/>
          <w:vertAlign w:val="superscript"/>
          <w:lang w:bidi="ar-AE"/>
        </w:rPr>
        <w:footnoteReference w:id="160"/>
      </w:r>
      <w:r w:rsidRPr="00D82CCB">
        <w:rPr>
          <w:rFonts w:eastAsia="Times New Roman"/>
        </w:rPr>
        <w:t xml:space="preserve"> Cet intérêt porté par les exégètes et les théologiens à ce sujet montrerait un désir de le contrôler, de le dominer, et par la suite de le limiter. L’importance de la polysémie coranique vient du fait que le</w:t>
      </w:r>
      <w:r w:rsidRPr="00D82CCB">
        <w:rPr>
          <w:rFonts w:eastAsia="Times New Roman"/>
          <w:i/>
          <w:iCs/>
        </w:rPr>
        <w:t xml:space="preserve"> fiqh</w:t>
      </w:r>
      <w:r w:rsidRPr="00D82CCB">
        <w:rPr>
          <w:rFonts w:eastAsia="Times New Roman"/>
        </w:rPr>
        <w:t xml:space="preserve"> ne peut pas être bien compris sans comprendre l’aspect polysémique du Coran (As-Suyūṭī, </w:t>
      </w:r>
      <w:r w:rsidRPr="00D82CCB">
        <w:rPr>
          <w:rFonts w:eastAsia="Times New Roman"/>
          <w:i/>
          <w:iCs/>
        </w:rPr>
        <w:t>Itqān</w:t>
      </w:r>
      <w:r w:rsidRPr="00D82CCB">
        <w:rPr>
          <w:rFonts w:eastAsia="Times New Roman"/>
        </w:rPr>
        <w:t xml:space="preserve">). </w:t>
      </w:r>
    </w:p>
    <w:p w14:paraId="1235A806" w14:textId="77777777" w:rsidR="00EB5652" w:rsidRPr="00D82CCB" w:rsidRDefault="00EB5652" w:rsidP="00EB5652">
      <w:pPr>
        <w:shd w:val="clear" w:color="auto" w:fill="FFFFFF"/>
        <w:spacing w:line="360" w:lineRule="auto"/>
        <w:jc w:val="both"/>
        <w:rPr>
          <w:rFonts w:eastAsia="Times New Roman"/>
        </w:rPr>
      </w:pPr>
    </w:p>
    <w:p w14:paraId="2F7BA793" w14:textId="77777777" w:rsidR="00EB5652" w:rsidRPr="00312F58" w:rsidRDefault="00EB5652" w:rsidP="00EB5652">
      <w:pPr>
        <w:shd w:val="clear" w:color="auto" w:fill="FFFFFF"/>
        <w:spacing w:line="360" w:lineRule="auto"/>
        <w:ind w:firstLine="708"/>
        <w:jc w:val="both"/>
        <w:rPr>
          <w:rFonts w:eastAsia="Times New Roman"/>
        </w:rPr>
      </w:pPr>
      <w:r w:rsidRPr="00D82CCB">
        <w:rPr>
          <w:rFonts w:eastAsia="Times New Roman"/>
        </w:rPr>
        <w:t>Nous remarquons que les exégètes ont eu tendance à réduire la polysémie du texte au fil de l’histoire en exerçant une critique rigoureuse des chaînes de transmission</w:t>
      </w:r>
      <w:r w:rsidRPr="00312F58">
        <w:rPr>
          <w:rFonts w:eastAsia="Times New Roman"/>
        </w:rPr>
        <w:t>, en excluant les éléments judéo-chrétiens (</w:t>
      </w:r>
      <w:r w:rsidRPr="00312F58">
        <w:rPr>
          <w:rFonts w:eastAsia="Times New Roman"/>
          <w:i/>
          <w:iCs/>
        </w:rPr>
        <w:t>isrāʾīlīyāt</w:t>
      </w:r>
      <w:r w:rsidRPr="00312F58">
        <w:rPr>
          <w:rFonts w:eastAsia="Times New Roman"/>
        </w:rPr>
        <w:t>) et l’interprétation par le raisonnement intellectuel (</w:t>
      </w:r>
      <w:r w:rsidRPr="00312F58">
        <w:rPr>
          <w:rFonts w:eastAsia="Times New Roman"/>
          <w:i/>
          <w:iCs/>
        </w:rPr>
        <w:t>raʾy</w:t>
      </w:r>
      <w:r w:rsidRPr="00312F58">
        <w:rPr>
          <w:rFonts w:eastAsia="Times New Roman"/>
        </w:rPr>
        <w:t>) et en se limitant à un cercle étroit de la tradition (</w:t>
      </w:r>
      <w:r w:rsidRPr="00312F58">
        <w:rPr>
          <w:rFonts w:eastAsia="Times New Roman"/>
          <w:i/>
          <w:iCs/>
        </w:rPr>
        <w:t>maʾthūr</w:t>
      </w:r>
      <w:r w:rsidRPr="00312F58">
        <w:rPr>
          <w:rFonts w:eastAsia="Times New Roman"/>
        </w:rPr>
        <w:t>). Ils ont fini par choisir une seule signification qui montre leur appartenance idéologique à l’intérieur du sunnisme (une exégèse pour le hanafisme, une autre pour le chafiisme, etc.).</w:t>
      </w:r>
    </w:p>
    <w:p w14:paraId="35D8917D" w14:textId="77777777" w:rsidR="00EB5652" w:rsidRPr="00312F58" w:rsidRDefault="00EB5652" w:rsidP="00EB5652">
      <w:pPr>
        <w:spacing w:line="360" w:lineRule="auto"/>
        <w:contextualSpacing/>
        <w:jc w:val="both"/>
        <w:rPr>
          <w:rFonts w:eastAsia="Times New Roman"/>
        </w:rPr>
      </w:pPr>
    </w:p>
    <w:p w14:paraId="50522F24" w14:textId="77777777" w:rsidR="00EB5652" w:rsidRPr="00312F58" w:rsidRDefault="00EB5652" w:rsidP="00EB5652">
      <w:pPr>
        <w:spacing w:line="360" w:lineRule="auto"/>
        <w:ind w:firstLine="708"/>
        <w:contextualSpacing/>
        <w:jc w:val="both"/>
        <w:rPr>
          <w:rFonts w:eastAsia="Calibri"/>
          <w:lang w:bidi="ar-AE"/>
        </w:rPr>
      </w:pPr>
      <w:r w:rsidRPr="00312F58">
        <w:rPr>
          <w:rFonts w:eastAsia="Times New Roman"/>
          <w:lang w:bidi="ar-AE"/>
        </w:rPr>
        <w:t>La première exégèse</w:t>
      </w:r>
      <w:r>
        <w:rPr>
          <w:rStyle w:val="Appelnotedebasdep"/>
          <w:rFonts w:eastAsia="Times New Roman"/>
          <w:lang w:bidi="ar-AE"/>
        </w:rPr>
        <w:footnoteReference w:id="161"/>
      </w:r>
      <w:r w:rsidRPr="00312F58">
        <w:rPr>
          <w:rFonts w:eastAsia="Times New Roman"/>
          <w:lang w:bidi="ar-AE"/>
        </w:rPr>
        <w:t xml:space="preserve"> </w:t>
      </w:r>
      <w:r w:rsidRPr="00312F58">
        <w:rPr>
          <w:rFonts w:eastAsia="Times New Roman"/>
          <w:i/>
          <w:iCs/>
          <w:lang w:bidi="ar-AE"/>
        </w:rPr>
        <w:t>Tafsīr Muqātil</w:t>
      </w:r>
      <w:r>
        <w:rPr>
          <w:rFonts w:eastAsia="Times New Roman"/>
          <w:lang w:bidi="ar-AE"/>
        </w:rPr>
        <w:t xml:space="preserve"> de Muqātil b.</w:t>
      </w:r>
      <w:r w:rsidRPr="00312F58">
        <w:rPr>
          <w:rFonts w:eastAsia="Times New Roman"/>
          <w:lang w:bidi="ar-AE"/>
        </w:rPr>
        <w:t xml:space="preserve"> Sulaymān Al-Azdī (m. 767</w:t>
      </w:r>
      <w:r>
        <w:rPr>
          <w:rFonts w:eastAsia="Times New Roman"/>
          <w:lang w:bidi="ar-AE"/>
        </w:rPr>
        <w:t xml:space="preserve">), </w:t>
      </w:r>
      <w:r w:rsidRPr="00312F58">
        <w:rPr>
          <w:rFonts w:eastAsia="Times New Roman"/>
          <w:lang w:bidi="ar-AE"/>
        </w:rPr>
        <w:t>écrite environ un siècle et demi après la mort du Prophète, s’intéresse aux circonstances de la révélation (</w:t>
      </w:r>
      <w:r w:rsidRPr="00312F58">
        <w:rPr>
          <w:rFonts w:eastAsia="Times New Roman"/>
          <w:i/>
          <w:iCs/>
        </w:rPr>
        <w:t>asbāb an-nuzūl</w:t>
      </w:r>
      <w:r w:rsidRPr="00312F58">
        <w:rPr>
          <w:rFonts w:eastAsia="Times New Roman"/>
          <w:lang w:bidi="ar-AE"/>
        </w:rPr>
        <w:t xml:space="preserve">) et donne une brève chaîne de transmission. Cette exégèse donne un sens général concis du verset, une leçon sans entrer dans les détails. Par exemple, il interprète le </w:t>
      </w:r>
      <w:r w:rsidRPr="00E64156">
        <w:rPr>
          <w:rFonts w:eastAsia="Times New Roman"/>
          <w:lang w:bidi="ar-AE"/>
        </w:rPr>
        <w:t xml:space="preserve">premier verset de la sourate </w:t>
      </w:r>
      <w:r w:rsidRPr="00E64156">
        <w:rPr>
          <w:rFonts w:eastAsia="Times New Roman"/>
        </w:rPr>
        <w:t>Al-Ḥajj</w:t>
      </w:r>
      <w:r w:rsidRPr="00E64156">
        <w:rPr>
          <w:rFonts w:eastAsia="Times New Roman"/>
          <w:lang w:bidi="ar-AE"/>
        </w:rPr>
        <w:t xml:space="preserve"> (« </w:t>
      </w:r>
      <w:r w:rsidRPr="00E64156">
        <w:rPr>
          <w:rFonts w:eastAsia="Times New Roman"/>
          <w:i/>
          <w:iCs/>
          <w:lang w:bidi="ar-AE"/>
        </w:rPr>
        <w:t>Yā ʾayyuhā n-nāsu ttaqū rabba-kum inna zalzalata s-sāʿati shayʾun ʿaẓīm</w:t>
      </w:r>
      <w:r w:rsidRPr="00E64156">
        <w:rPr>
          <w:rFonts w:eastAsia="Times New Roman"/>
          <w:lang w:bidi="ar-AE"/>
        </w:rPr>
        <w:t> » [</w:t>
      </w:r>
      <w:r w:rsidRPr="00E64156">
        <w:rPr>
          <w:rFonts w:eastAsia="Calibri"/>
          <w:lang w:bidi="ar-AE"/>
        </w:rPr>
        <w:t>Humains, prémunissez-vous envers votre Seigneur. Le tremblement de</w:t>
      </w:r>
      <w:r w:rsidRPr="00312F58">
        <w:rPr>
          <w:rFonts w:eastAsia="Calibri"/>
          <w:lang w:bidi="ar-AE"/>
        </w:rPr>
        <w:t xml:space="preserve"> </w:t>
      </w:r>
      <w:r w:rsidRPr="00312F58">
        <w:rPr>
          <w:rFonts w:eastAsia="Calibri"/>
          <w:lang w:bidi="ar-AE"/>
        </w:rPr>
        <w:lastRenderedPageBreak/>
        <w:t xml:space="preserve">l’Heure sera chose énorme]) </w:t>
      </w:r>
      <w:r w:rsidRPr="00312F58">
        <w:rPr>
          <w:rFonts w:eastAsia="Times New Roman"/>
          <w:lang w:bidi="ar-AE"/>
        </w:rPr>
        <w:t xml:space="preserve">par un seul mot : </w:t>
      </w:r>
      <w:r w:rsidRPr="00312F58">
        <w:rPr>
          <w:rFonts w:eastAsia="Times New Roman"/>
          <w:i/>
          <w:iCs/>
          <w:lang w:bidi="ar-AE"/>
        </w:rPr>
        <w:t>yukhawwifu</w:t>
      </w:r>
      <w:r>
        <w:rPr>
          <w:rFonts w:eastAsia="Times New Roman"/>
          <w:i/>
          <w:iCs/>
          <w:lang w:bidi="ar-AE"/>
        </w:rPr>
        <w:t>-</w:t>
      </w:r>
      <w:r w:rsidRPr="00312F58">
        <w:rPr>
          <w:rFonts w:eastAsia="Times New Roman"/>
          <w:i/>
          <w:iCs/>
          <w:lang w:bidi="ar-AE"/>
        </w:rPr>
        <w:t>kum</w:t>
      </w:r>
      <w:r>
        <w:rPr>
          <w:rFonts w:eastAsia="Times New Roman"/>
          <w:lang w:bidi="ar-AE"/>
        </w:rPr>
        <w:t xml:space="preserve"> ([Dieu] vous intimide)</w:t>
      </w:r>
      <w:r w:rsidRPr="00312F58">
        <w:rPr>
          <w:rFonts w:eastAsia="Times New Roman"/>
          <w:lang w:bidi="ar-AE"/>
        </w:rPr>
        <w:t>.</w:t>
      </w:r>
      <w:r w:rsidRPr="00312F58">
        <w:rPr>
          <w:rFonts w:eastAsia="Calibri"/>
          <w:lang w:bidi="ar-AE"/>
        </w:rPr>
        <w:t xml:space="preserve"> </w:t>
      </w:r>
      <w:r w:rsidRPr="00312F58">
        <w:rPr>
          <w:rFonts w:eastAsia="Times New Roman"/>
          <w:lang w:bidi="ar-AE"/>
        </w:rPr>
        <w:t xml:space="preserve">Vient ensuite </w:t>
      </w:r>
      <w:r w:rsidRPr="00312F58">
        <w:rPr>
          <w:rFonts w:eastAsia="Times New Roman"/>
        </w:rPr>
        <w:t>une exégèse traditionaliste considérée comme la véritable source et la première référence des autres exégèses, il s’agit de</w:t>
      </w:r>
      <w:r w:rsidRPr="00312F58">
        <w:rPr>
          <w:rFonts w:eastAsia="Times New Roman"/>
          <w:i/>
          <w:iCs/>
          <w:lang w:bidi="ar-AE"/>
        </w:rPr>
        <w:t xml:space="preserve"> Jāmiʿ</w:t>
      </w:r>
      <w:r w:rsidRPr="00312F58">
        <w:rPr>
          <w:rFonts w:eastAsia="Times New Roman"/>
          <w:lang w:bidi="ar-AE"/>
        </w:rPr>
        <w:t xml:space="preserve"> </w:t>
      </w:r>
      <w:r w:rsidRPr="00312F58">
        <w:rPr>
          <w:rFonts w:eastAsia="Times New Roman"/>
          <w:i/>
          <w:iCs/>
          <w:lang w:bidi="ar-KW"/>
        </w:rPr>
        <w:t>al-bayān fī tafsīr al-qurʾān</w:t>
      </w:r>
      <w:r w:rsidRPr="00312F58">
        <w:rPr>
          <w:rFonts w:eastAsia="Times New Roman"/>
          <w:lang w:bidi="ar-AE"/>
        </w:rPr>
        <w:t xml:space="preserve"> d’Ibn Jarīr Aṭ-Ṭabarī</w:t>
      </w:r>
      <w:r w:rsidRPr="00312F58">
        <w:rPr>
          <w:rFonts w:eastAsia="Times New Roman"/>
        </w:rPr>
        <w:t xml:space="preserve"> (m. 923) considéré comme le père de l’exégèse islamique et le père de l’histoire de l’islam. </w:t>
      </w:r>
      <w:r w:rsidRPr="00312F58">
        <w:rPr>
          <w:rFonts w:eastAsia="Times New Roman"/>
          <w:shd w:val="clear" w:color="auto" w:fill="FBFBFB"/>
        </w:rPr>
        <w:t>L’imam An</w:t>
      </w:r>
      <w:r>
        <w:rPr>
          <w:rFonts w:eastAsia="Times New Roman"/>
          <w:shd w:val="clear" w:color="auto" w:fill="FBFBFB"/>
        </w:rPr>
        <w:t>-</w:t>
      </w:r>
      <w:r w:rsidRPr="00312F58">
        <w:rPr>
          <w:rFonts w:eastAsia="Times New Roman"/>
          <w:shd w:val="clear" w:color="auto" w:fill="FBFBFB"/>
        </w:rPr>
        <w:t xml:space="preserve"> Nawawī (1233-1277) a dit : « La Communauté des musulmans est unanime pour affirmer qu’aucun ouvrage comparable au </w:t>
      </w:r>
      <w:r w:rsidRPr="00312F58">
        <w:rPr>
          <w:rFonts w:eastAsia="Times New Roman"/>
          <w:i/>
          <w:iCs/>
          <w:shd w:val="clear" w:color="auto" w:fill="FBFBFB"/>
        </w:rPr>
        <w:t>Tafsīr</w:t>
      </w:r>
      <w:r w:rsidRPr="00312F58">
        <w:rPr>
          <w:rFonts w:eastAsia="Times New Roman"/>
          <w:shd w:val="clear" w:color="auto" w:fill="FBFBFB"/>
        </w:rPr>
        <w:t xml:space="preserve"> </w:t>
      </w:r>
      <w:r w:rsidRPr="00312F58">
        <w:rPr>
          <w:rFonts w:eastAsia="Times New Roman"/>
          <w:lang w:bidi="ar-AE"/>
        </w:rPr>
        <w:t>d’Aṭ-Ṭabarī</w:t>
      </w:r>
      <w:r w:rsidRPr="00312F58">
        <w:rPr>
          <w:rFonts w:eastAsia="Times New Roman"/>
          <w:shd w:val="clear" w:color="auto" w:fill="FBFBFB"/>
        </w:rPr>
        <w:t xml:space="preserve"> ne fut jamais composé. »</w:t>
      </w:r>
      <w:r w:rsidRPr="00312F58">
        <w:rPr>
          <w:rFonts w:eastAsia="Times New Roman"/>
        </w:rPr>
        <w:t xml:space="preserve"> </w:t>
      </w:r>
      <w:r>
        <w:rPr>
          <w:rFonts w:eastAsia="Times New Roman" w:cs="Arial"/>
        </w:rPr>
        <w:t>Muḥammad Ḥu</w:t>
      </w:r>
      <w:r w:rsidRPr="00312F58">
        <w:rPr>
          <w:rFonts w:eastAsia="Times New Roman" w:cs="Arial"/>
        </w:rPr>
        <w:t>sayn Adh-Dhahabī</w:t>
      </w:r>
      <w:r w:rsidRPr="00312F58">
        <w:rPr>
          <w:rFonts w:eastAsia="Calibri"/>
          <w:lang w:bidi="ar-AE"/>
        </w:rPr>
        <w:t xml:space="preserve"> </w:t>
      </w:r>
      <w:r w:rsidRPr="00312F58">
        <w:rPr>
          <w:rFonts w:eastAsia="Times New Roman"/>
        </w:rPr>
        <w:t>souligne que cette exégèse qui interprète le Coran par le Coran et la sunna était beaucoup plus grande que la version actuelle et que c’est l’auteur qui l’a résumée</w:t>
      </w:r>
      <w:r w:rsidRPr="00312F58">
        <w:rPr>
          <w:rFonts w:eastAsia="Calibri"/>
          <w:vertAlign w:val="superscript"/>
          <w:lang w:bidi="ar-AE"/>
        </w:rPr>
        <w:footnoteReference w:id="162"/>
      </w:r>
      <w:r w:rsidRPr="00312F58">
        <w:rPr>
          <w:rFonts w:eastAsia="Times New Roman"/>
        </w:rPr>
        <w:t xml:space="preserve">. Ce qui peut signifier que la polysémie du Coran était beaucoup plus riche et que l’exégète a voulu la réduire pour une raison ou une autre. Sa méthode dans l’exégèse consiste à présenter toutes les interprétations existantes en évoquant le </w:t>
      </w:r>
      <w:r w:rsidRPr="00312F58">
        <w:rPr>
          <w:rFonts w:eastAsia="Times New Roman"/>
          <w:i/>
          <w:iCs/>
        </w:rPr>
        <w:t xml:space="preserve">sanad </w:t>
      </w:r>
      <w:r w:rsidRPr="00312F58">
        <w:rPr>
          <w:rFonts w:eastAsia="Times New Roman"/>
        </w:rPr>
        <w:t>(la chaîne de transmission). Il privilégie une interprétation sur une autre, c’est-à-dire il recourt à l’exégèse par l’opinion pour déduire des règles juridiques (</w:t>
      </w:r>
      <w:r w:rsidRPr="00312F58">
        <w:rPr>
          <w:rFonts w:eastAsia="Times New Roman"/>
          <w:i/>
          <w:iCs/>
        </w:rPr>
        <w:t>aḥkām</w:t>
      </w:r>
      <w:r w:rsidRPr="00312F58">
        <w:rPr>
          <w:rFonts w:eastAsia="Times New Roman"/>
        </w:rPr>
        <w:t>).</w:t>
      </w:r>
      <w:r w:rsidRPr="00312F58">
        <w:rPr>
          <w:rFonts w:eastAsia="Times New Roman" w:cs="Arial"/>
        </w:rPr>
        <w:t xml:space="preserve"> </w:t>
      </w:r>
      <w:r w:rsidRPr="00312F58">
        <w:rPr>
          <w:rFonts w:eastAsia="Times New Roman"/>
        </w:rPr>
        <w:t>Il recourt parfois à l’</w:t>
      </w:r>
      <w:r w:rsidRPr="00312F58">
        <w:rPr>
          <w:rFonts w:eastAsia="Times New Roman"/>
          <w:i/>
          <w:iCs/>
        </w:rPr>
        <w:t>iʿrāb</w:t>
      </w:r>
      <w:r w:rsidRPr="00312F58">
        <w:rPr>
          <w:rFonts w:eastAsia="Times New Roman"/>
        </w:rPr>
        <w:t xml:space="preserve"> (la syntaxe désinentielle) en citant la poésie préislamique et au </w:t>
      </w:r>
      <w:r w:rsidRPr="00312F58">
        <w:rPr>
          <w:rFonts w:eastAsia="Times New Roman"/>
          <w:i/>
          <w:iCs/>
        </w:rPr>
        <w:t>kalām</w:t>
      </w:r>
      <w:r w:rsidRPr="00312F58">
        <w:rPr>
          <w:rFonts w:eastAsia="Times New Roman"/>
        </w:rPr>
        <w:t xml:space="preserve"> selon son besoin pour affirmer son opinion ou critiquer les mutazilites. Il donne une grande importance à l’</w:t>
      </w:r>
      <w:r w:rsidRPr="00312F58">
        <w:rPr>
          <w:rFonts w:eastAsia="Times New Roman"/>
          <w:i/>
          <w:iCs/>
        </w:rPr>
        <w:t>ijm</w:t>
      </w:r>
      <w:r w:rsidRPr="00A30368">
        <w:rPr>
          <w:rFonts w:eastAsia="Times New Roman"/>
          <w:i/>
          <w:iCs/>
        </w:rPr>
        <w:t>āʿ</w:t>
      </w:r>
      <w:r w:rsidRPr="00312F58">
        <w:rPr>
          <w:rFonts w:eastAsia="Times New Roman"/>
        </w:rPr>
        <w:t xml:space="preserve"> (le consensus ou </w:t>
      </w:r>
      <w:r w:rsidRPr="00E64156">
        <w:rPr>
          <w:rFonts w:eastAsia="Times New Roman"/>
        </w:rPr>
        <w:t>l’unanimité de la communauté musulmane sunnite). Ce qui veut dire que toutes les interprétations qu’il a retenues étaient conformes au dogme sunnite et aux intérêts des autorités politiques de son temps. Ce qui devait réduire le champ de la polysémie. Il donne aussi une importance aux différentes lectures (</w:t>
      </w:r>
      <w:r w:rsidRPr="00E64156">
        <w:rPr>
          <w:rFonts w:eastAsia="Times New Roman"/>
          <w:i/>
          <w:iCs/>
        </w:rPr>
        <w:t>qirāʾāt</w:t>
      </w:r>
      <w:r w:rsidRPr="00E64156">
        <w:rPr>
          <w:rFonts w:eastAsia="Times New Roman"/>
        </w:rPr>
        <w:t>). De plus, il rapporte beaucoup de récits juifs et chrétiens</w:t>
      </w:r>
      <w:r w:rsidRPr="00E64156">
        <w:rPr>
          <w:rFonts w:eastAsia="Calibri"/>
          <w:vertAlign w:val="superscript"/>
          <w:lang w:bidi="ar-AE"/>
        </w:rPr>
        <w:footnoteReference w:id="163"/>
      </w:r>
      <w:r w:rsidRPr="00E64156">
        <w:rPr>
          <w:rFonts w:eastAsia="Times New Roman"/>
        </w:rPr>
        <w:t>.</w:t>
      </w:r>
      <w:r w:rsidRPr="00E64156">
        <w:rPr>
          <w:rFonts w:eastAsia="Calibri"/>
          <w:lang w:bidi="ar-AE"/>
        </w:rPr>
        <w:t xml:space="preserve"> </w:t>
      </w:r>
      <w:r w:rsidRPr="00E64156">
        <w:rPr>
          <w:rFonts w:eastAsia="Times New Roman"/>
          <w:lang w:bidi="ar-AE"/>
        </w:rPr>
        <w:t xml:space="preserve">Dans </w:t>
      </w:r>
      <w:r w:rsidRPr="00E64156">
        <w:rPr>
          <w:rFonts w:eastAsia="Times New Roman"/>
          <w:i/>
          <w:iCs/>
          <w:lang w:bidi="ar-AE"/>
        </w:rPr>
        <w:t>Baḥr al-ʿulūm</w:t>
      </w:r>
      <w:r w:rsidRPr="00E64156">
        <w:rPr>
          <w:rFonts w:eastAsia="Times New Roman"/>
          <w:lang w:bidi="ar-AE"/>
        </w:rPr>
        <w:t>, Abū l-Layth Naṣr b. Muḥammad As-Samarqandī</w:t>
      </w:r>
      <w:r w:rsidRPr="00E64156">
        <w:rPr>
          <w:rFonts w:eastAsia="Times New Roman"/>
        </w:rPr>
        <w:t xml:space="preserve"> (m. 983) supprime la chaîne de transmission et présente toutes les exégèses précédentes sans privilégier une opinion sur une autre (sauf dans des cas rares), mais il garde les récits judéo-chrétiens.</w:t>
      </w:r>
      <w:r w:rsidRPr="00E64156">
        <w:rPr>
          <w:rFonts w:eastAsia="Calibri"/>
          <w:lang w:bidi="ar-AE"/>
        </w:rPr>
        <w:t xml:space="preserve"> </w:t>
      </w:r>
      <w:r w:rsidRPr="00E64156">
        <w:rPr>
          <w:rFonts w:eastAsia="Times New Roman"/>
        </w:rPr>
        <w:t xml:space="preserve">Les mutazilites ne peuvent rester les mains croisées devant l’attaque sunnite : pour montrer leur identité, le cadi ʿAbd al-Jabbār (m. 1024) écrit </w:t>
      </w:r>
      <w:r w:rsidRPr="00E64156">
        <w:rPr>
          <w:rFonts w:eastAsia="Times New Roman"/>
          <w:i/>
          <w:iCs/>
        </w:rPr>
        <w:t>Tanzīh al-qurʾān ʿan al-maṭāʿin</w:t>
      </w:r>
      <w:r w:rsidRPr="00E64156">
        <w:rPr>
          <w:rFonts w:eastAsia="Times New Roman"/>
        </w:rPr>
        <w:t xml:space="preserve"> qui donne beaucoup d’importance à l’aspect linguistique et qui a pour objectif d’exposer la doctrine mutazilite et d’accuser d’erreur les autres</w:t>
      </w:r>
      <w:r>
        <w:rPr>
          <w:rFonts w:eastAsia="Times New Roman"/>
        </w:rPr>
        <w:t xml:space="preserve"> exégètes</w:t>
      </w:r>
      <w:r w:rsidRPr="00312F58">
        <w:rPr>
          <w:rFonts w:eastAsia="Times New Roman"/>
        </w:rPr>
        <w:t>.</w:t>
      </w:r>
      <w:r w:rsidRPr="00312F58">
        <w:rPr>
          <w:rFonts w:eastAsia="Calibri"/>
          <w:lang w:bidi="ar-AE"/>
        </w:rPr>
        <w:t xml:space="preserve"> </w:t>
      </w:r>
      <w:r w:rsidRPr="00312F58">
        <w:rPr>
          <w:rFonts w:eastAsia="Times New Roman"/>
          <w:lang w:bidi="ar-AE"/>
        </w:rPr>
        <w:t xml:space="preserve">Les mutazilites ont peut-être ouvert les yeux des sunnites sur l’importance de l’outil linguistique pour démontrer les opinions. Aussi </w:t>
      </w:r>
      <w:r w:rsidRPr="00312F58">
        <w:rPr>
          <w:rFonts w:eastAsia="Times New Roman"/>
          <w:i/>
          <w:iCs/>
          <w:lang w:bidi="ar-AE"/>
        </w:rPr>
        <w:t>Al-Kashf</w:t>
      </w:r>
      <w:r>
        <w:rPr>
          <w:rFonts w:eastAsia="Times New Roman"/>
          <w:i/>
          <w:iCs/>
          <w:lang w:bidi="ar-AE"/>
        </w:rPr>
        <w:t xml:space="preserve"> wa-</w:t>
      </w:r>
      <w:r w:rsidRPr="00312F58">
        <w:rPr>
          <w:rFonts w:eastAsia="Times New Roman"/>
          <w:i/>
          <w:iCs/>
          <w:lang w:bidi="ar-AE"/>
        </w:rPr>
        <w:t>l-bayān ʿan tafsīr al-qurʾān</w:t>
      </w:r>
      <w:r w:rsidRPr="00312F58">
        <w:rPr>
          <w:rFonts w:eastAsia="Times New Roman"/>
          <w:lang w:bidi="ar-AE"/>
        </w:rPr>
        <w:t xml:space="preserve"> d’Abū ʾIsḥāq Aḥmad Ath-Thaʿlabī</w:t>
      </w:r>
      <w:r w:rsidRPr="00312F58">
        <w:rPr>
          <w:rFonts w:eastAsia="Times New Roman"/>
        </w:rPr>
        <w:t xml:space="preserve"> (m. 1035) évoque-t-il en résumé la chaîne de transmission et s’attarde longuement aux questions grammaticales, linguistiques et étymo</w:t>
      </w:r>
      <w:r>
        <w:rPr>
          <w:rFonts w:eastAsia="Times New Roman"/>
        </w:rPr>
        <w:t>logiques. Il aborde avec détails</w:t>
      </w:r>
      <w:r w:rsidRPr="00312F58">
        <w:rPr>
          <w:rFonts w:eastAsia="Times New Roman"/>
        </w:rPr>
        <w:t xml:space="preserve"> et prolixité </w:t>
      </w:r>
      <w:r w:rsidRPr="00312F58">
        <w:rPr>
          <w:rFonts w:eastAsia="Times New Roman"/>
        </w:rPr>
        <w:lastRenderedPageBreak/>
        <w:t xml:space="preserve">les versets qui contiennent des règles du droit musulman en exposant et en analysant toutes les opinions existantes. Par exemple, il explique longuement les différentes significations du verbe </w:t>
      </w:r>
      <w:r w:rsidRPr="00312F58">
        <w:rPr>
          <w:rFonts w:eastAsia="Times New Roman"/>
          <w:i/>
          <w:iCs/>
        </w:rPr>
        <w:t>lāmastum</w:t>
      </w:r>
      <w:r w:rsidRPr="00312F58">
        <w:rPr>
          <w:rFonts w:eastAsia="Times New Roman"/>
        </w:rPr>
        <w:t xml:space="preserve"> [vous avez touché] dans le verset IV, 43, qui ont donné lieu à cinq écoles jurisprudentielles contradictoires. Il </w:t>
      </w:r>
      <w:r w:rsidRPr="00E64156">
        <w:rPr>
          <w:rFonts w:eastAsia="Times New Roman"/>
        </w:rPr>
        <w:t>cite abondamment les récits juifs et chrétiens, quoiqu’étranges, sans donner son opinion.</w:t>
      </w:r>
      <w:r w:rsidRPr="00E64156">
        <w:rPr>
          <w:rFonts w:eastAsia="Calibri"/>
          <w:vertAlign w:val="superscript"/>
          <w:lang w:bidi="ar-AE"/>
        </w:rPr>
        <w:footnoteReference w:id="164"/>
      </w:r>
      <w:r w:rsidRPr="00E64156">
        <w:rPr>
          <w:rFonts w:eastAsia="Times New Roman"/>
        </w:rPr>
        <w:t xml:space="preserve"> C’est un compilateur qui collecte presque toutes les données qui se trouvent à sa disposition sans se soucier de leurs contradictions.</w:t>
      </w:r>
      <w:r w:rsidRPr="00E64156">
        <w:rPr>
          <w:rFonts w:eastAsia="Calibri"/>
          <w:lang w:bidi="ar-AE"/>
        </w:rPr>
        <w:t xml:space="preserve"> </w:t>
      </w:r>
      <w:r w:rsidRPr="00E64156">
        <w:rPr>
          <w:rFonts w:eastAsia="Times New Roman"/>
        </w:rPr>
        <w:t>Pour essayer de résoudre les contradictions apparentes dans le Coran,</w:t>
      </w:r>
      <w:r w:rsidRPr="00E64156">
        <w:rPr>
          <w:rFonts w:eastAsia="Times New Roman"/>
          <w:i/>
          <w:iCs/>
        </w:rPr>
        <w:t xml:space="preserve"> </w:t>
      </w:r>
      <w:r w:rsidRPr="00E64156">
        <w:rPr>
          <w:rFonts w:eastAsia="Times New Roman"/>
        </w:rPr>
        <w:t>Ash-Sharīf al-Murtaḍā Abū l-Qāsim ʿAlī b. Aṭ-</w:t>
      </w:r>
      <w:r w:rsidRPr="00E64156">
        <w:rPr>
          <w:rFonts w:eastAsia="Times New Roman"/>
          <w:caps/>
        </w:rPr>
        <w:t>ṭ</w:t>
      </w:r>
      <w:r w:rsidRPr="00E64156">
        <w:rPr>
          <w:rFonts w:eastAsia="Times New Roman"/>
        </w:rPr>
        <w:t>āhir (m. 1044), un exégète chiite de tendance mutazilite, écrit</w:t>
      </w:r>
      <w:r w:rsidRPr="00E64156">
        <w:rPr>
          <w:rFonts w:eastAsia="Times New Roman"/>
          <w:i/>
          <w:iCs/>
        </w:rPr>
        <w:t xml:space="preserve"> Ghurar al-fawāʾid wa-durar al-qalāʾid </w:t>
      </w:r>
      <w:r w:rsidRPr="00E64156">
        <w:rPr>
          <w:rFonts w:eastAsia="Times New Roman"/>
        </w:rPr>
        <w:t xml:space="preserve">(ou </w:t>
      </w:r>
      <w:r w:rsidRPr="00E64156">
        <w:rPr>
          <w:rFonts w:eastAsia="Times New Roman"/>
          <w:i/>
          <w:iCs/>
        </w:rPr>
        <w:t>Amālī Ash-Sharīf al-Murtaḍā</w:t>
      </w:r>
      <w:r w:rsidRPr="00E64156">
        <w:rPr>
          <w:rFonts w:eastAsia="Times New Roman"/>
        </w:rPr>
        <w:t>).</w:t>
      </w:r>
      <w:r w:rsidRPr="00E64156">
        <w:rPr>
          <w:rFonts w:eastAsia="Calibri"/>
          <w:lang w:bidi="ar-AE"/>
        </w:rPr>
        <w:t xml:space="preserve"> </w:t>
      </w:r>
      <w:r w:rsidRPr="00E64156">
        <w:rPr>
          <w:rFonts w:eastAsia="Times New Roman"/>
          <w:lang w:bidi="ar-AE"/>
        </w:rPr>
        <w:t>Pour montrer l’identité sunnite « pure », Al-Baghawī</w:t>
      </w:r>
      <w:r w:rsidRPr="00E64156">
        <w:rPr>
          <w:rFonts w:eastAsia="Times New Roman"/>
        </w:rPr>
        <w:t xml:space="preserve"> (m. 1116/1122) écrit </w:t>
      </w:r>
      <w:r w:rsidRPr="00E64156">
        <w:rPr>
          <w:rFonts w:eastAsia="Times New Roman"/>
          <w:i/>
          <w:iCs/>
          <w:lang w:bidi="ar-AE"/>
        </w:rPr>
        <w:t>Maʿālim at-tanzīl</w:t>
      </w:r>
      <w:r w:rsidRPr="00E64156">
        <w:rPr>
          <w:rFonts w:eastAsia="Times New Roman"/>
          <w:lang w:bidi="ar-AE"/>
        </w:rPr>
        <w:t xml:space="preserve">, </w:t>
      </w:r>
      <w:r w:rsidRPr="00E64156">
        <w:rPr>
          <w:rFonts w:eastAsia="Times New Roman"/>
        </w:rPr>
        <w:t xml:space="preserve">un résumé de l’exégèse de son prédécesseur </w:t>
      </w:r>
      <w:r w:rsidRPr="00E64156">
        <w:rPr>
          <w:rFonts w:eastAsia="Times New Roman"/>
          <w:lang w:bidi="ar-AE"/>
        </w:rPr>
        <w:t>Ath-Thaʿlabī</w:t>
      </w:r>
      <w:r w:rsidRPr="00E64156">
        <w:rPr>
          <w:rFonts w:eastAsia="Times New Roman"/>
        </w:rPr>
        <w:t>, en supprimant les récits controuvés et les opinions « hérétiques ». Son exégèse est une démarche d’identification, de distinction, un essai d’épuration identitaire et idéologique qui est de nature à réduire la polysémie. Elle supprime ce que les sunnites ne sont pas, en montrant ce qu’ils sont. L’auteur est concis. Il n’évoque pas la chaîne de transmission, évite d’aborder l’aspect linguistique (</w:t>
      </w:r>
      <w:r w:rsidRPr="00E64156">
        <w:rPr>
          <w:rFonts w:eastAsia="Times New Roman"/>
          <w:i/>
          <w:iCs/>
        </w:rPr>
        <w:t>iʿrāb</w:t>
      </w:r>
      <w:r w:rsidRPr="00E64156">
        <w:rPr>
          <w:rFonts w:eastAsia="Times New Roman"/>
        </w:rPr>
        <w:t>, rhétorique, etc.) et de donner toute interprétation controversée, mentionne rarement les récits judéo-chrétiens et les différentes lectures. D’où le succès de cette exégèse en tant qu’ouvrage reflétant le mieux l’identité musulmane sunnite plus ou moins « pure ».</w:t>
      </w:r>
      <w:r w:rsidRPr="00E64156">
        <w:rPr>
          <w:rFonts w:eastAsia="Calibri"/>
          <w:lang w:bidi="ar-AE"/>
        </w:rPr>
        <w:t xml:space="preserve"> </w:t>
      </w:r>
      <w:r w:rsidRPr="00E64156">
        <w:rPr>
          <w:rFonts w:eastAsia="Times New Roman"/>
        </w:rPr>
        <w:t xml:space="preserve">En revanche, le mutazilite Az-Zamakhsharī (m. 1143) défend avec acharnement son identité mutazilite et se moque du sunnisme. Pour montrer quelque chose de nouveau et de différent, il écrit </w:t>
      </w:r>
      <w:r w:rsidRPr="00E64156">
        <w:rPr>
          <w:rFonts w:eastAsia="Times New Roman"/>
          <w:i/>
          <w:iCs/>
        </w:rPr>
        <w:t>Al-kashshāf ʿan ḥaqāʾiq ghawāmiḍ at-tanzīl wa-ʿuyūn al-aqāwīl</w:t>
      </w:r>
      <w:r w:rsidRPr="00312F58">
        <w:rPr>
          <w:rFonts w:eastAsia="Times New Roman"/>
          <w:i/>
          <w:iCs/>
        </w:rPr>
        <w:t xml:space="preserve"> fī wujūh at-</w:t>
      </w:r>
      <w:r w:rsidRPr="00505EAA">
        <w:rPr>
          <w:rFonts w:eastAsia="Times New Roman"/>
          <w:i/>
          <w:iCs/>
        </w:rPr>
        <w:t xml:space="preserve">taʾwīl </w:t>
      </w:r>
      <w:r w:rsidRPr="00505EAA">
        <w:rPr>
          <w:rFonts w:eastAsia="Times New Roman"/>
        </w:rPr>
        <w:t>[L’explorateur des vérités des ambiguïtés de la révélation et la meilleure parole sur les aspects de l’interprétation], une exégèse qui montre la beauté de la rhétorique coranique et</w:t>
      </w:r>
      <w:r w:rsidRPr="00312F58">
        <w:rPr>
          <w:rFonts w:eastAsia="Times New Roman"/>
        </w:rPr>
        <w:t xml:space="preserve"> contribue à conférer au texte coranique le caractère d’un </w:t>
      </w:r>
      <w:r w:rsidRPr="00386F50">
        <w:rPr>
          <w:rFonts w:eastAsia="Times New Roman"/>
        </w:rPr>
        <w:t>texte littéraire par excellence.</w:t>
      </w:r>
      <w:r w:rsidRPr="00386F50">
        <w:rPr>
          <w:rFonts w:eastAsia="Calibri"/>
          <w:lang w:bidi="ar-AE"/>
        </w:rPr>
        <w:t xml:space="preserve"> </w:t>
      </w:r>
      <w:r w:rsidRPr="00386F50">
        <w:rPr>
          <w:rFonts w:eastAsia="Times New Roman"/>
          <w:lang w:bidi="ar-AE"/>
        </w:rPr>
        <w:t xml:space="preserve">Profitant des apports mutazilites, </w:t>
      </w:r>
      <w:r w:rsidRPr="00386F50">
        <w:rPr>
          <w:rFonts w:eastAsia="Times New Roman"/>
          <w:shd w:val="clear" w:color="auto" w:fill="FFFFFF"/>
        </w:rPr>
        <w:t>Abū Muḥammad ʿAbd al-Ḥaqq</w:t>
      </w:r>
      <w:r w:rsidRPr="00386F50">
        <w:rPr>
          <w:rFonts w:eastAsia="Times New Roman"/>
          <w:lang w:bidi="ar-AE"/>
        </w:rPr>
        <w:t xml:space="preserve"> b. ʿAṭīya al-Andalusī (m. 1146/1151) écrit </w:t>
      </w:r>
      <w:r w:rsidRPr="00386F50">
        <w:rPr>
          <w:rFonts w:eastAsia="Times New Roman"/>
          <w:i/>
          <w:iCs/>
          <w:lang w:bidi="ar-AE"/>
        </w:rPr>
        <w:t>Al-Muḥarrar al-wajīz fī tafsīr al-kitāb al-ʿazīz</w:t>
      </w:r>
      <w:r w:rsidRPr="00386F50">
        <w:rPr>
          <w:rFonts w:eastAsia="Times New Roman"/>
          <w:lang w:bidi="ar-AE"/>
        </w:rPr>
        <w:t xml:space="preserve"> [L’exégèse précise et concise</w:t>
      </w:r>
      <w:r w:rsidRPr="00312F58">
        <w:rPr>
          <w:rFonts w:eastAsia="Times New Roman"/>
          <w:lang w:bidi="ar-AE"/>
        </w:rPr>
        <w:t>]</w:t>
      </w:r>
      <w:r w:rsidRPr="00312F58">
        <w:rPr>
          <w:rFonts w:eastAsia="Times New Roman"/>
        </w:rPr>
        <w:t>,</w:t>
      </w:r>
      <w:r w:rsidRPr="00312F58">
        <w:rPr>
          <w:rFonts w:eastAsia="Times New Roman"/>
          <w:lang w:bidi="ar-AE"/>
        </w:rPr>
        <w:t xml:space="preserve"> une grande exégèse (dix volumes manuscrites) traditionaliste sélective avec une justification des choix. Il cite beaucoup la poésie, la rhétorique et les lectures, tout en évitant de mentionner les interprétations hétérodoxes ou celles </w:t>
      </w:r>
      <w:r w:rsidRPr="00386F50">
        <w:rPr>
          <w:rFonts w:eastAsia="Times New Roman"/>
          <w:lang w:bidi="ar-AE"/>
        </w:rPr>
        <w:t xml:space="preserve">qui ne font pas l’unanimité. Bien qu’elle se rapproche un peu de la méthode exégétique mutazilite dans quelques versets, cette exégèse reste un essai d’épuration et de limitation des exégèses précédentes et par la suite un essai de limiter l’aspect </w:t>
      </w:r>
      <w:r w:rsidRPr="00386F50">
        <w:rPr>
          <w:rFonts w:eastAsia="Times New Roman"/>
          <w:lang w:bidi="ar-AE"/>
        </w:rPr>
        <w:lastRenderedPageBreak/>
        <w:t>polysémique du Coran.</w:t>
      </w:r>
      <w:r w:rsidRPr="00386F50">
        <w:rPr>
          <w:rFonts w:eastAsia="Calibri"/>
          <w:lang w:bidi="ar-AE"/>
        </w:rPr>
        <w:t xml:space="preserve"> </w:t>
      </w:r>
      <w:r w:rsidRPr="00386F50">
        <w:rPr>
          <w:rFonts w:eastAsia="Times New Roman"/>
        </w:rPr>
        <w:t>Et puisque la jurisprudence islamique (</w:t>
      </w:r>
      <w:r w:rsidRPr="00386F50">
        <w:rPr>
          <w:rFonts w:eastAsia="Times New Roman"/>
          <w:i/>
          <w:iCs/>
        </w:rPr>
        <w:t>fiqh</w:t>
      </w:r>
      <w:r w:rsidRPr="00386F50">
        <w:rPr>
          <w:rFonts w:eastAsia="Times New Roman"/>
        </w:rPr>
        <w:t xml:space="preserve">) est l’un des domaines pratiques de différenciation les plus importants, </w:t>
      </w:r>
      <w:r w:rsidRPr="00386F50">
        <w:rPr>
          <w:rFonts w:eastAsia="Times New Roman"/>
          <w:lang w:bidi="ar-AE"/>
        </w:rPr>
        <w:t xml:space="preserve">Abū ʿAbd Allāh Muḥammad b. Aḥmad Al-Qurṭubī </w:t>
      </w:r>
      <w:r w:rsidRPr="00386F50">
        <w:rPr>
          <w:rFonts w:eastAsia="Times New Roman"/>
          <w:shd w:val="clear" w:color="auto" w:fill="FFFFFF"/>
        </w:rPr>
        <w:t>(m. 1273)</w:t>
      </w:r>
      <w:r w:rsidRPr="00386F50">
        <w:rPr>
          <w:rFonts w:eastAsia="Times New Roman"/>
          <w:lang w:bidi="ar-AE"/>
        </w:rPr>
        <w:t xml:space="preserve"> y consacre son exégèse, </w:t>
      </w:r>
      <w:r w:rsidRPr="00386F50">
        <w:rPr>
          <w:rFonts w:eastAsia="Times New Roman"/>
          <w:i/>
          <w:iCs/>
          <w:lang w:bidi="ar-AE"/>
        </w:rPr>
        <w:t>Al-jāmiʿ li-aḥkām al-qurʾān</w:t>
      </w:r>
      <w:r w:rsidRPr="00386F50">
        <w:rPr>
          <w:rFonts w:eastAsia="Times New Roman"/>
        </w:rPr>
        <w:t xml:space="preserve">, où il recourt aux </w:t>
      </w:r>
      <w:r w:rsidRPr="00386F50">
        <w:rPr>
          <w:rFonts w:eastAsia="Times New Roman"/>
          <w:i/>
          <w:iCs/>
        </w:rPr>
        <w:t>asbāb an-nuzūl</w:t>
      </w:r>
      <w:r w:rsidRPr="00386F50">
        <w:rPr>
          <w:rFonts w:eastAsia="Times New Roman"/>
        </w:rPr>
        <w:t xml:space="preserve"> et aux contes judéo-chrétiens et cite les anciens exégètes comme Al-Kalbī et Muqātil, considérés comme peu fiables.</w:t>
      </w:r>
      <w:r w:rsidRPr="00386F50">
        <w:rPr>
          <w:rFonts w:eastAsia="Calibri"/>
          <w:lang w:bidi="ar-AE"/>
        </w:rPr>
        <w:t xml:space="preserve"> </w:t>
      </w:r>
      <w:r w:rsidRPr="00386F50">
        <w:rPr>
          <w:rFonts w:eastAsia="Times New Roman"/>
        </w:rPr>
        <w:t xml:space="preserve">Ensuite, </w:t>
      </w:r>
      <w:r w:rsidRPr="00386F50">
        <w:rPr>
          <w:rFonts w:eastAsia="Times New Roman"/>
          <w:lang w:bidi="ar-AE"/>
        </w:rPr>
        <w:t>dans son exégèse</w:t>
      </w:r>
      <w:r w:rsidRPr="00386F50">
        <w:rPr>
          <w:rFonts w:eastAsia="Times New Roman"/>
          <w:i/>
          <w:iCs/>
          <w:lang w:bidi="ar-AE"/>
        </w:rPr>
        <w:t xml:space="preserve"> Tafsīr al-qurʾān al-ʿaẓīm</w:t>
      </w:r>
      <w:r w:rsidRPr="00386F50">
        <w:rPr>
          <w:rFonts w:eastAsia="Times New Roman"/>
        </w:rPr>
        <w:t xml:space="preserve">, </w:t>
      </w:r>
      <w:r w:rsidRPr="00386F50">
        <w:rPr>
          <w:rFonts w:eastAsia="Times New Roman"/>
          <w:lang w:bidi="ar-AE"/>
        </w:rPr>
        <w:t xml:space="preserve">ʿImād Ad-Dīn Abū l-Fidāʾ Ismāʿīl </w:t>
      </w:r>
      <w:r w:rsidRPr="00386F50">
        <w:rPr>
          <w:rFonts w:eastAsia="Times New Roman"/>
        </w:rPr>
        <w:t>Ibn Kathīr</w:t>
      </w:r>
      <w:r w:rsidRPr="00386F50">
        <w:rPr>
          <w:rFonts w:eastAsia="Times New Roman"/>
          <w:lang w:bidi="ar-AE"/>
        </w:rPr>
        <w:t xml:space="preserve"> (m. 1373), l’exégète traditionaliste le plus connu après Aṭ-Ṭabarī vient ajouter à la discipline du </w:t>
      </w:r>
      <w:r w:rsidRPr="00386F50">
        <w:rPr>
          <w:rFonts w:eastAsia="Times New Roman"/>
          <w:i/>
          <w:iCs/>
          <w:lang w:bidi="ar-AE"/>
        </w:rPr>
        <w:t xml:space="preserve">tafsīr </w:t>
      </w:r>
      <w:r w:rsidRPr="00386F50">
        <w:rPr>
          <w:rFonts w:eastAsia="Times New Roman"/>
          <w:lang w:bidi="ar-AE"/>
        </w:rPr>
        <w:t xml:space="preserve">la méthode d’interpréter le verset par un autre verset, le Coran par le Coran. L’auteur donne d’abord </w:t>
      </w:r>
      <w:r w:rsidRPr="00386F50">
        <w:rPr>
          <w:rFonts w:eastAsia="Times New Roman"/>
          <w:i/>
          <w:iCs/>
          <w:lang w:bidi="ar-AE"/>
        </w:rPr>
        <w:t>la</w:t>
      </w:r>
      <w:r w:rsidRPr="00386F50">
        <w:rPr>
          <w:rFonts w:eastAsia="Times New Roman"/>
          <w:lang w:bidi="ar-AE"/>
        </w:rPr>
        <w:t xml:space="preserve"> signification simple du verset ou du mot, puis il cite un autre verset (s’il existe) qui consolide son interprétation, ensuite il évoque les hadiths et les récits judéo-chrétiens en donnant son opinion. Autre caractéristique de</w:t>
      </w:r>
      <w:r>
        <w:rPr>
          <w:rFonts w:eastAsia="Times New Roman"/>
          <w:lang w:bidi="ar-AE"/>
        </w:rPr>
        <w:t xml:space="preserve"> cette exégèse : </w:t>
      </w:r>
      <w:r w:rsidRPr="00312F58">
        <w:rPr>
          <w:rFonts w:eastAsia="Times New Roman"/>
          <w:lang w:bidi="ar-AE"/>
        </w:rPr>
        <w:t>elle met en garde le lecteur lorsqu’il s’agit d’un récit juif ou chrétien qui peut contredire le dogme musulman. Elle aborde en détail les questions et les controverses jurisprudentielles (</w:t>
      </w:r>
      <w:r w:rsidRPr="00312F58">
        <w:rPr>
          <w:rFonts w:eastAsia="Times New Roman"/>
          <w:i/>
          <w:iCs/>
          <w:lang w:bidi="ar-AE"/>
        </w:rPr>
        <w:t>fiqh</w:t>
      </w:r>
      <w:r w:rsidRPr="00312F58">
        <w:rPr>
          <w:rFonts w:eastAsia="Times New Roman"/>
          <w:lang w:bidi="ar-AE"/>
        </w:rPr>
        <w:t>).</w:t>
      </w:r>
      <w:r w:rsidRPr="00312F58">
        <w:rPr>
          <w:rFonts w:eastAsia="Times New Roman"/>
        </w:rPr>
        <w:t xml:space="preserve"> Claude Gilliot</w:t>
      </w:r>
      <w:r>
        <w:rPr>
          <w:rStyle w:val="Appelnotedebasdep"/>
          <w:rFonts w:eastAsia="Times New Roman"/>
        </w:rPr>
        <w:footnoteReference w:id="165"/>
      </w:r>
      <w:r w:rsidRPr="00312F58">
        <w:rPr>
          <w:rFonts w:eastAsia="Times New Roman"/>
        </w:rPr>
        <w:t xml:space="preserve"> </w:t>
      </w:r>
      <w:r>
        <w:rPr>
          <w:rFonts w:eastAsia="Times New Roman"/>
        </w:rPr>
        <w:t>note</w:t>
      </w:r>
      <w:r w:rsidRPr="00312F58">
        <w:rPr>
          <w:rFonts w:eastAsia="Times New Roman"/>
        </w:rPr>
        <w:t xml:space="preserve"> que la comparaison entre cette exégèse et celle d’Aṭ-Ṭabarī ou d’Ar-Rāzī montre que nous sommes dans un environnement intellectuel beaucoup moins riche.</w:t>
      </w:r>
    </w:p>
    <w:p w14:paraId="7BE763E6" w14:textId="77777777" w:rsidR="00EB5652" w:rsidRPr="00312F58" w:rsidRDefault="00EB5652" w:rsidP="00EB5652">
      <w:pPr>
        <w:spacing w:line="360" w:lineRule="auto"/>
        <w:jc w:val="both"/>
        <w:rPr>
          <w:rFonts w:eastAsia="Times New Roman"/>
        </w:rPr>
      </w:pPr>
    </w:p>
    <w:p w14:paraId="76F05700" w14:textId="77777777" w:rsidR="00EB5652" w:rsidRPr="00386F50" w:rsidRDefault="00EB5652" w:rsidP="00EB5652">
      <w:pPr>
        <w:spacing w:line="360" w:lineRule="auto"/>
        <w:ind w:firstLine="708"/>
        <w:jc w:val="both"/>
        <w:rPr>
          <w:rFonts w:eastAsia="Times New Roman"/>
        </w:rPr>
      </w:pPr>
      <w:r w:rsidRPr="00312F58">
        <w:rPr>
          <w:rFonts w:eastAsia="Times New Roman"/>
          <w:lang w:bidi="ar-AE"/>
        </w:rPr>
        <w:t xml:space="preserve">Après </w:t>
      </w:r>
      <w:r w:rsidRPr="00312F58">
        <w:rPr>
          <w:rFonts w:eastAsia="Times New Roman"/>
        </w:rPr>
        <w:t>Ibn Kathīr</w:t>
      </w:r>
      <w:r w:rsidRPr="00312F58">
        <w:rPr>
          <w:rFonts w:eastAsia="Times New Roman"/>
          <w:lang w:bidi="ar-AE"/>
        </w:rPr>
        <w:t xml:space="preserve">, les exégèses postérieures font un résumé sélectif des exégèses traditionnalistes précédentes en mettant l’accent souvent sur un aspect spécifique du Coran et en défendant une opinion qui reflète l’école de jurisprudence à laquelle appartient l’exégète. </w:t>
      </w:r>
      <w:r w:rsidRPr="00312F58">
        <w:rPr>
          <w:rFonts w:eastAsia="Times New Roman"/>
          <w:i/>
          <w:iCs/>
          <w:lang w:bidi="ar-AE"/>
        </w:rPr>
        <w:t>Al-jawāhir al-ḥisān fī tafsīr al-qurʾān</w:t>
      </w:r>
      <w:r>
        <w:rPr>
          <w:rFonts w:eastAsia="Times New Roman"/>
          <w:lang w:bidi="ar-AE"/>
        </w:rPr>
        <w:t xml:space="preserve"> de ʿAbd Ar-Raḥmān b.</w:t>
      </w:r>
      <w:r w:rsidRPr="00312F58">
        <w:rPr>
          <w:rFonts w:eastAsia="Times New Roman"/>
          <w:lang w:bidi="ar-AE"/>
        </w:rPr>
        <w:t xml:space="preserve"> Muḥammad Ath-Thaʿālibī (m. </w:t>
      </w:r>
      <w:r>
        <w:rPr>
          <w:rFonts w:eastAsia="Times New Roman"/>
          <w:lang w:bidi="ar-AE"/>
        </w:rPr>
        <w:t>1471) est un concis de celle d’I</w:t>
      </w:r>
      <w:r w:rsidRPr="00312F58">
        <w:rPr>
          <w:rFonts w:eastAsia="Times New Roman"/>
          <w:lang w:bidi="ar-AE"/>
        </w:rPr>
        <w:t>bn ʿAṭīya al-Andalusī et contient tous les avantages des autres exégèses et tout ce que l’auteur trouve comme authentique.</w:t>
      </w:r>
      <w:r w:rsidRPr="00312F58">
        <w:rPr>
          <w:rFonts w:eastAsia="Times New Roman"/>
        </w:rPr>
        <w:t xml:space="preserve"> </w:t>
      </w:r>
      <w:r>
        <w:rPr>
          <w:rFonts w:eastAsia="Times New Roman"/>
          <w:lang w:bidi="ar-KW"/>
        </w:rPr>
        <w:t>Jalāl a</w:t>
      </w:r>
      <w:r w:rsidRPr="00312F58">
        <w:rPr>
          <w:rFonts w:eastAsia="Times New Roman"/>
          <w:lang w:bidi="ar-KW"/>
        </w:rPr>
        <w:t xml:space="preserve">d-Dīn As-Suyūṭī (m. 1505) </w:t>
      </w:r>
      <w:r w:rsidRPr="00312F58">
        <w:rPr>
          <w:rFonts w:eastAsia="Times New Roman"/>
          <w:lang w:bidi="ar-AE"/>
        </w:rPr>
        <w:t>résume les commentaires précédents</w:t>
      </w:r>
      <w:r w:rsidRPr="00312F58">
        <w:rPr>
          <w:rFonts w:eastAsia="Times New Roman"/>
          <w:i/>
          <w:iCs/>
          <w:lang w:bidi="ar-KW"/>
        </w:rPr>
        <w:t xml:space="preserve"> </w:t>
      </w:r>
      <w:r w:rsidRPr="00312F58">
        <w:rPr>
          <w:rFonts w:eastAsia="Times New Roman"/>
          <w:lang w:bidi="ar-KW"/>
        </w:rPr>
        <w:t xml:space="preserve">dans son exégèse de compilation intitulée </w:t>
      </w:r>
      <w:r>
        <w:rPr>
          <w:rFonts w:eastAsia="Times New Roman"/>
          <w:i/>
          <w:iCs/>
          <w:lang w:bidi="ar-KW"/>
        </w:rPr>
        <w:t xml:space="preserve">Ad-durr al-manthūr fī </w:t>
      </w:r>
      <w:r w:rsidRPr="00312F58">
        <w:rPr>
          <w:rFonts w:eastAsia="Times New Roman"/>
          <w:i/>
          <w:iCs/>
          <w:lang w:bidi="ar-KW"/>
        </w:rPr>
        <w:t>t-tafsīr bi-l-maʾthūr</w:t>
      </w:r>
      <w:r w:rsidRPr="00312F58">
        <w:rPr>
          <w:rFonts w:eastAsia="Times New Roman"/>
          <w:lang w:bidi="ar-KW"/>
        </w:rPr>
        <w:t xml:space="preserve"> </w:t>
      </w:r>
      <w:r w:rsidRPr="00312F58">
        <w:rPr>
          <w:rFonts w:eastAsia="Times New Roman"/>
          <w:shd w:val="clear" w:color="auto" w:fill="FFFFFF"/>
        </w:rPr>
        <w:t>[</w:t>
      </w:r>
      <w:r w:rsidRPr="00312F58">
        <w:rPr>
          <w:rFonts w:eastAsia="Times New Roman"/>
          <w:i/>
          <w:iCs/>
          <w:shd w:val="clear" w:color="auto" w:fill="FFFFFF"/>
        </w:rPr>
        <w:t>Les perles dispersées dans l’exégèse par tradition</w:t>
      </w:r>
      <w:r w:rsidRPr="00312F58">
        <w:rPr>
          <w:rFonts w:eastAsia="Times New Roman"/>
          <w:lang w:bidi="ar-KW"/>
        </w:rPr>
        <w:t>]</w:t>
      </w:r>
      <w:r w:rsidRPr="00312F58">
        <w:rPr>
          <w:rFonts w:eastAsia="Times New Roman"/>
          <w:lang w:bidi="ar-AE"/>
        </w:rPr>
        <w:t>.</w:t>
      </w:r>
      <w:r w:rsidRPr="00312F58">
        <w:rPr>
          <w:rFonts w:eastAsia="Times New Roman"/>
        </w:rPr>
        <w:t xml:space="preserve"> </w:t>
      </w:r>
      <w:r w:rsidRPr="00312F58">
        <w:rPr>
          <w:rFonts w:eastAsia="Times New Roman"/>
          <w:lang w:bidi="ar-EG"/>
        </w:rPr>
        <w:t xml:space="preserve">Quant à </w:t>
      </w:r>
      <w:r w:rsidRPr="00312F58">
        <w:rPr>
          <w:rFonts w:eastAsia="Times New Roman"/>
          <w:i/>
          <w:iCs/>
          <w:lang w:bidi="ar-EG"/>
        </w:rPr>
        <w:t>Mafātīḥ Al-Ghayb</w:t>
      </w:r>
      <w:r w:rsidRPr="00312F58">
        <w:rPr>
          <w:rFonts w:eastAsia="Times New Roman"/>
          <w:lang w:bidi="ar-EG"/>
        </w:rPr>
        <w:t xml:space="preserve"> (</w:t>
      </w:r>
      <w:r w:rsidRPr="00312F58">
        <w:rPr>
          <w:rFonts w:eastAsia="Times New Roman"/>
          <w:i/>
          <w:iCs/>
          <w:lang w:bidi="ar-EG"/>
        </w:rPr>
        <w:t>At-Tafsīr Al-Kabīr</w:t>
      </w:r>
      <w:r>
        <w:rPr>
          <w:rFonts w:eastAsia="Times New Roman"/>
          <w:lang w:bidi="ar-EG"/>
        </w:rPr>
        <w:t>) de Fakhr a</w:t>
      </w:r>
      <w:r w:rsidRPr="00312F58">
        <w:rPr>
          <w:rFonts w:eastAsia="Times New Roman"/>
          <w:lang w:bidi="ar-EG"/>
        </w:rPr>
        <w:t xml:space="preserve">d-Dīn Ar-Rāzī (m. 1210), </w:t>
      </w:r>
      <w:r w:rsidRPr="00312F58">
        <w:rPr>
          <w:rFonts w:eastAsia="Times New Roman"/>
          <w:lang w:bidi="ar-AE"/>
        </w:rPr>
        <w:t>exégèse par opinion</w:t>
      </w:r>
      <w:r w:rsidRPr="00312F58">
        <w:rPr>
          <w:rFonts w:eastAsia="Times New Roman"/>
          <w:lang w:bidi="ar-EG"/>
        </w:rPr>
        <w:t>, elle rassemble tout ce qui est étrange, selon Ibn Khallikān</w:t>
      </w:r>
      <w:r w:rsidRPr="00312F58">
        <w:rPr>
          <w:rFonts w:eastAsia="Calibri"/>
          <w:vertAlign w:val="superscript"/>
          <w:lang w:bidi="ar-AE"/>
        </w:rPr>
        <w:footnoteReference w:id="166"/>
      </w:r>
      <w:r w:rsidRPr="00312F58">
        <w:rPr>
          <w:rFonts w:eastAsia="Times New Roman"/>
          <w:lang w:bidi="ar-EG"/>
        </w:rPr>
        <w:t xml:space="preserve"> et s’occupe de l’harmonie entre les versets et les sourates, des sciences mathématiques et philosophiques et de la critique de la pensée mutazilite.</w:t>
      </w:r>
      <w:r w:rsidRPr="00312F58">
        <w:rPr>
          <w:rFonts w:eastAsia="Times New Roman"/>
        </w:rPr>
        <w:t xml:space="preserve"> </w:t>
      </w:r>
      <w:r>
        <w:rPr>
          <w:rFonts w:eastAsia="Times New Roman"/>
        </w:rPr>
        <w:t>L’exégèse de ʿAbdullāh b.</w:t>
      </w:r>
      <w:r w:rsidRPr="00312F58">
        <w:rPr>
          <w:rFonts w:eastAsia="Times New Roman"/>
        </w:rPr>
        <w:t xml:space="preserve"> ʿUmar Al-Bayḍāwī (m. 1286/1291) intitulée </w:t>
      </w:r>
      <w:r w:rsidRPr="00312F58">
        <w:rPr>
          <w:rFonts w:eastAsia="Times New Roman"/>
          <w:i/>
          <w:iCs/>
        </w:rPr>
        <w:t>Anwār at-tanzīl</w:t>
      </w:r>
      <w:r>
        <w:rPr>
          <w:rFonts w:eastAsia="Times New Roman"/>
          <w:i/>
          <w:iCs/>
        </w:rPr>
        <w:t xml:space="preserve"> wa-</w:t>
      </w:r>
      <w:r w:rsidRPr="00312F58">
        <w:rPr>
          <w:rFonts w:eastAsia="Times New Roman"/>
          <w:i/>
          <w:iCs/>
        </w:rPr>
        <w:t>asrār at-taʾwīl</w:t>
      </w:r>
      <w:r w:rsidRPr="00312F58">
        <w:rPr>
          <w:rFonts w:eastAsia="Times New Roman"/>
        </w:rPr>
        <w:t xml:space="preserve"> [</w:t>
      </w:r>
      <w:r w:rsidRPr="00312F58">
        <w:rPr>
          <w:rFonts w:eastAsia="Times New Roman"/>
          <w:i/>
          <w:iCs/>
          <w:shd w:val="clear" w:color="auto" w:fill="FFFFFF"/>
        </w:rPr>
        <w:t>Les lumières de la révélation et les arcanes de l’interprétation</w:t>
      </w:r>
      <w:r w:rsidRPr="00312F58">
        <w:rPr>
          <w:rFonts w:eastAsia="Times New Roman"/>
        </w:rPr>
        <w:t xml:space="preserve">] </w:t>
      </w:r>
      <w:r w:rsidRPr="00312F58">
        <w:rPr>
          <w:rFonts w:eastAsia="Times New Roman"/>
          <w:lang w:bidi="ar-AE"/>
        </w:rPr>
        <w:t>(exégèse par opinion</w:t>
      </w:r>
      <w:r w:rsidRPr="00312F58">
        <w:rPr>
          <w:rFonts w:eastAsia="Times New Roman"/>
          <w:lang w:bidi="ar-EG"/>
        </w:rPr>
        <w:t xml:space="preserve">) </w:t>
      </w:r>
      <w:r w:rsidRPr="00312F58">
        <w:rPr>
          <w:rFonts w:eastAsia="Times New Roman"/>
        </w:rPr>
        <w:t xml:space="preserve">est un concis de l’exégèse </w:t>
      </w:r>
      <w:r w:rsidRPr="00312F58">
        <w:rPr>
          <w:rFonts w:eastAsia="Times New Roman"/>
          <w:i/>
          <w:iCs/>
        </w:rPr>
        <w:t>Al-Kashshāf</w:t>
      </w:r>
      <w:r w:rsidRPr="00312F58">
        <w:rPr>
          <w:rFonts w:eastAsia="Times New Roman"/>
        </w:rPr>
        <w:t xml:space="preserve"> d’Az-Zamakhsharī, et combine </w:t>
      </w:r>
      <w:r w:rsidRPr="00312F58">
        <w:rPr>
          <w:rFonts w:eastAsia="Times New Roman"/>
        </w:rPr>
        <w:lastRenderedPageBreak/>
        <w:t xml:space="preserve">l’exégèse et l’interprétation. </w:t>
      </w:r>
      <w:r>
        <w:rPr>
          <w:rFonts w:eastAsia="Times New Roman"/>
          <w:i/>
          <w:iCs/>
        </w:rPr>
        <w:t>Mad</w:t>
      </w:r>
      <w:r w:rsidRPr="00312F58">
        <w:rPr>
          <w:rFonts w:eastAsia="Times New Roman"/>
          <w:i/>
          <w:iCs/>
        </w:rPr>
        <w:t>ārik at-tanzīl</w:t>
      </w:r>
      <w:r>
        <w:rPr>
          <w:rFonts w:eastAsia="Times New Roman"/>
          <w:i/>
          <w:iCs/>
        </w:rPr>
        <w:t xml:space="preserve"> wa-</w:t>
      </w:r>
      <w:r w:rsidRPr="00312F58">
        <w:rPr>
          <w:rFonts w:eastAsia="Times New Roman"/>
          <w:i/>
          <w:iCs/>
        </w:rPr>
        <w:t>ḥaqāʾiq at-taʾwīl</w:t>
      </w:r>
      <w:r>
        <w:rPr>
          <w:rFonts w:eastAsia="Times New Roman"/>
        </w:rPr>
        <w:t xml:space="preserve"> de ʿAbd Allāh b.</w:t>
      </w:r>
      <w:r w:rsidRPr="00312F58">
        <w:rPr>
          <w:rFonts w:eastAsia="Times New Roman"/>
        </w:rPr>
        <w:t xml:space="preserve"> Aḥmad An-Nasafī </w:t>
      </w:r>
      <w:r w:rsidRPr="00312F58">
        <w:rPr>
          <w:rFonts w:eastAsia="Times New Roman"/>
          <w:lang w:bidi="ar-AE"/>
        </w:rPr>
        <w:t xml:space="preserve">(m. 1310) </w:t>
      </w:r>
      <w:r w:rsidRPr="00312F58">
        <w:rPr>
          <w:rFonts w:eastAsia="Times New Roman"/>
        </w:rPr>
        <w:t xml:space="preserve">est un concis de celles d’Al-Bayḍāwī et d’Az-Zamakhsharī en excluant les idées mutazilites pour donner une exégèse purement sunnite qui contient les qualités de l’exégèse mutazilite d’Az-Zamakhsharī. De plus, An-Nasafī, dans son commentaire, défend non seulement l’identité sunnite mais aussi la sous-identité du hanafisme, </w:t>
      </w:r>
      <w:r w:rsidRPr="00312F58">
        <w:rPr>
          <w:rFonts w:eastAsia="Times New Roman"/>
          <w:shd w:val="clear" w:color="auto" w:fill="FFFFFF"/>
        </w:rPr>
        <w:t>la plus ancienne des quatre écoles sunnites du droit musulman [</w:t>
      </w:r>
      <w:r w:rsidRPr="00312F58">
        <w:rPr>
          <w:rFonts w:eastAsia="Times New Roman"/>
          <w:i/>
          <w:iCs/>
          <w:shd w:val="clear" w:color="auto" w:fill="FFFFFF"/>
        </w:rPr>
        <w:t>fiqh</w:t>
      </w:r>
      <w:r w:rsidRPr="00312F58">
        <w:rPr>
          <w:rFonts w:eastAsia="Times New Roman"/>
          <w:shd w:val="clear" w:color="auto" w:fill="FFFFFF"/>
        </w:rPr>
        <w:t>] (</w:t>
      </w:r>
      <w:r w:rsidRPr="00312F58">
        <w:rPr>
          <w:rFonts w:eastAsia="Times New Roman"/>
        </w:rPr>
        <w:t xml:space="preserve">Adh-Dhahabī, </w:t>
      </w:r>
      <w:r w:rsidRPr="00312F58">
        <w:rPr>
          <w:rFonts w:eastAsia="Times New Roman"/>
          <w:i/>
          <w:iCs/>
        </w:rPr>
        <w:t>At-tafsīr</w:t>
      </w:r>
      <w:r>
        <w:rPr>
          <w:rFonts w:eastAsia="Times New Roman"/>
          <w:i/>
          <w:iCs/>
        </w:rPr>
        <w:t xml:space="preserve"> wa-</w:t>
      </w:r>
      <w:r w:rsidRPr="00312F58">
        <w:rPr>
          <w:rFonts w:eastAsia="Times New Roman"/>
          <w:i/>
          <w:iCs/>
        </w:rPr>
        <w:t>l-mufassirūn</w:t>
      </w:r>
      <w:r w:rsidRPr="00312F58">
        <w:rPr>
          <w:rFonts w:eastAsia="Times New Roman"/>
          <w:shd w:val="clear" w:color="auto" w:fill="FFFFFF"/>
        </w:rPr>
        <w:t>, 1/218)</w:t>
      </w:r>
      <w:r w:rsidRPr="00312F58">
        <w:rPr>
          <w:rFonts w:eastAsia="Times New Roman"/>
        </w:rPr>
        <w:t>. Dans son commentaire</w:t>
      </w:r>
      <w:r w:rsidRPr="00312F58">
        <w:rPr>
          <w:rFonts w:eastAsia="Times New Roman"/>
          <w:i/>
          <w:iCs/>
        </w:rPr>
        <w:t xml:space="preserve"> Lubāb at-taʾwīl fī maʿānī at-tanzīl</w:t>
      </w:r>
      <w:r>
        <w:rPr>
          <w:rFonts w:eastAsia="Times New Roman"/>
        </w:rPr>
        <w:t xml:space="preserve">, ʿAlāʾ ad-Dīn Abū </w:t>
      </w:r>
      <w:r w:rsidRPr="00312F58">
        <w:rPr>
          <w:rFonts w:eastAsia="Times New Roman"/>
        </w:rPr>
        <w:t>l-Ḥ</w:t>
      </w:r>
      <w:r>
        <w:rPr>
          <w:rFonts w:eastAsia="Times New Roman"/>
        </w:rPr>
        <w:t>asan ʿAlī b. Muḥammad b.</w:t>
      </w:r>
      <w:r w:rsidRPr="00312F58">
        <w:rPr>
          <w:rFonts w:eastAsia="Times New Roman"/>
        </w:rPr>
        <w:t xml:space="preserve"> Ibrāhīm Al-Khāzin</w:t>
      </w:r>
      <w:r w:rsidRPr="00312F58">
        <w:rPr>
          <w:rFonts w:eastAsia="Times New Roman"/>
          <w:lang w:bidi="ar-AE"/>
        </w:rPr>
        <w:t xml:space="preserve"> (m. 1340), lui aussi, a fait un résumé </w:t>
      </w:r>
      <w:r w:rsidRPr="00312F58">
        <w:rPr>
          <w:rFonts w:eastAsia="Times New Roman"/>
        </w:rPr>
        <w:t>du commentaire d’Al-Baghawī. Il reprend abondamment les récits judéo-chrétiens. Il mentionne toutes les batailles du prophète en détail et avec beaucoup de digression</w:t>
      </w:r>
      <w:r>
        <w:rPr>
          <w:rFonts w:eastAsia="Times New Roman"/>
        </w:rPr>
        <w:t>s</w:t>
      </w:r>
      <w:r w:rsidRPr="00312F58">
        <w:rPr>
          <w:rFonts w:eastAsia="Times New Roman"/>
        </w:rPr>
        <w:t xml:space="preserve">. Il donne une grande importance à des questions jurisprudentielles qui n’entre pas d’habitude dans le domaine du </w:t>
      </w:r>
      <w:r w:rsidRPr="00312F58">
        <w:rPr>
          <w:rFonts w:eastAsia="Times New Roman"/>
          <w:i/>
          <w:iCs/>
        </w:rPr>
        <w:t>tafsīr</w:t>
      </w:r>
      <w:r w:rsidRPr="00312F58">
        <w:rPr>
          <w:rFonts w:eastAsia="Times New Roman"/>
        </w:rPr>
        <w:t xml:space="preserve">. Abū Ḥayyān </w:t>
      </w:r>
      <w:r w:rsidRPr="00312F58">
        <w:rPr>
          <w:rFonts w:eastAsia="Times New Roman"/>
          <w:lang w:bidi="ar-AE"/>
        </w:rPr>
        <w:t xml:space="preserve">(m. 1344), dans son commentaire </w:t>
      </w:r>
      <w:r w:rsidRPr="00312F58">
        <w:rPr>
          <w:rFonts w:eastAsia="Times New Roman"/>
          <w:i/>
          <w:iCs/>
        </w:rPr>
        <w:t>Al-baḥr al-muḥīṭ</w:t>
      </w:r>
      <w:r w:rsidRPr="00312F58">
        <w:rPr>
          <w:rFonts w:eastAsia="Times New Roman"/>
        </w:rPr>
        <w:t>, met l’accent</w:t>
      </w:r>
      <w:r w:rsidRPr="00312F58">
        <w:rPr>
          <w:rFonts w:eastAsia="Times New Roman"/>
          <w:lang w:bidi="ar-AE"/>
        </w:rPr>
        <w:t xml:space="preserve"> sur l’aspect grammatical à tel point que son exégèse </w:t>
      </w:r>
      <w:r w:rsidRPr="00312F58">
        <w:rPr>
          <w:rFonts w:eastAsia="Times New Roman"/>
        </w:rPr>
        <w:t xml:space="preserve">est devenue plus proche d’un ouvrage de grammaire que d’exégèse. </w:t>
      </w:r>
      <w:r w:rsidRPr="00312F58">
        <w:rPr>
          <w:rFonts w:eastAsia="Times New Roman"/>
          <w:i/>
          <w:iCs/>
        </w:rPr>
        <w:t>Gharāʾib al-qurʾān</w:t>
      </w:r>
      <w:r>
        <w:rPr>
          <w:rFonts w:eastAsia="Times New Roman"/>
          <w:i/>
          <w:iCs/>
        </w:rPr>
        <w:t xml:space="preserve"> wa-</w:t>
      </w:r>
      <w:r w:rsidRPr="00312F58">
        <w:rPr>
          <w:rFonts w:eastAsia="Times New Roman"/>
          <w:i/>
          <w:iCs/>
        </w:rPr>
        <w:t>raghāʾib al-furqān</w:t>
      </w:r>
      <w:r>
        <w:rPr>
          <w:rFonts w:eastAsia="Times New Roman"/>
        </w:rPr>
        <w:t xml:space="preserve"> de Niẓām ad-Dīn b.</w:t>
      </w:r>
      <w:r w:rsidRPr="00312F58">
        <w:rPr>
          <w:rFonts w:eastAsia="Times New Roman"/>
        </w:rPr>
        <w:t xml:space="preserve"> Al-Ḥasan an-Nisābūrī </w:t>
      </w:r>
      <w:r w:rsidRPr="00312F58">
        <w:rPr>
          <w:rFonts w:eastAsia="Times New Roman"/>
          <w:shd w:val="clear" w:color="auto" w:fill="FFFFFF"/>
        </w:rPr>
        <w:t>(m. 1328/9)</w:t>
      </w:r>
      <w:r w:rsidRPr="00312F58">
        <w:rPr>
          <w:rFonts w:eastAsia="Times New Roman"/>
          <w:lang w:bidi="ar-AE"/>
        </w:rPr>
        <w:t xml:space="preserve"> </w:t>
      </w:r>
      <w:r w:rsidRPr="00312F58">
        <w:rPr>
          <w:rFonts w:eastAsia="Times New Roman"/>
        </w:rPr>
        <w:t xml:space="preserve">est un concis </w:t>
      </w:r>
      <w:r w:rsidRPr="00312F58">
        <w:rPr>
          <w:rFonts w:eastAsia="Times New Roman"/>
          <w:lang w:bidi="ar-EG"/>
        </w:rPr>
        <w:t>du commentaire de Fakhr Ad-Dīn Ar-Rāzī</w:t>
      </w:r>
      <w:r w:rsidRPr="00312F58">
        <w:rPr>
          <w:rFonts w:eastAsia="Times New Roman"/>
        </w:rPr>
        <w:t xml:space="preserve">, mais il ajoute quelques idées d’autres commentaires comme </w:t>
      </w:r>
      <w:r w:rsidRPr="00312F58">
        <w:rPr>
          <w:rFonts w:eastAsia="Times New Roman"/>
          <w:i/>
          <w:iCs/>
        </w:rPr>
        <w:t>Al-Kashshāf</w:t>
      </w:r>
      <w:r w:rsidRPr="00312F58">
        <w:rPr>
          <w:rFonts w:eastAsia="Times New Roman"/>
        </w:rPr>
        <w:t xml:space="preserve"> d’Az-Zamakhsharī et discute des idées dialectiques (</w:t>
      </w:r>
      <w:r w:rsidRPr="00312F58">
        <w:rPr>
          <w:rFonts w:eastAsia="Times New Roman"/>
          <w:i/>
          <w:iCs/>
        </w:rPr>
        <w:t>ʿilm al-kalām</w:t>
      </w:r>
      <w:r w:rsidRPr="00312F58">
        <w:rPr>
          <w:rFonts w:eastAsia="Times New Roman"/>
        </w:rPr>
        <w:t xml:space="preserve">) et philosophique. On voit bien la dimension mystique dans son exégèse. </w:t>
      </w:r>
      <w:r w:rsidRPr="00312F58">
        <w:rPr>
          <w:rFonts w:eastAsia="Times New Roman"/>
          <w:i/>
          <w:iCs/>
        </w:rPr>
        <w:t>Tafsīr al-Jalālayn</w:t>
      </w:r>
      <w:r w:rsidRPr="00312F58">
        <w:rPr>
          <w:rFonts w:eastAsia="Times New Roman"/>
        </w:rPr>
        <w:t xml:space="preserve"> des deux </w:t>
      </w:r>
      <w:r w:rsidRPr="00312F58">
        <w:rPr>
          <w:rFonts w:eastAsia="Times New Roman"/>
          <w:i/>
          <w:iCs/>
        </w:rPr>
        <w:t>Jalāl </w:t>
      </w:r>
      <w:r w:rsidRPr="00312F58">
        <w:rPr>
          <w:rFonts w:eastAsia="Times New Roman"/>
        </w:rPr>
        <w:t xml:space="preserve">: Muḥammad </w:t>
      </w:r>
      <w:r w:rsidRPr="00312F58">
        <w:rPr>
          <w:rFonts w:eastAsia="Times New Roman"/>
          <w:i/>
          <w:iCs/>
        </w:rPr>
        <w:t>Jalāl</w:t>
      </w:r>
      <w:r w:rsidRPr="00312F58">
        <w:rPr>
          <w:rFonts w:eastAsia="Times New Roman"/>
        </w:rPr>
        <w:t xml:space="preserve"> Ad-dīn As-Suyūṭī et </w:t>
      </w:r>
      <w:r w:rsidRPr="00312F58">
        <w:rPr>
          <w:rFonts w:eastAsia="Times New Roman"/>
          <w:i/>
          <w:iCs/>
        </w:rPr>
        <w:t>Jalāl</w:t>
      </w:r>
      <w:r w:rsidRPr="00312F58">
        <w:rPr>
          <w:rFonts w:eastAsia="Times New Roman"/>
        </w:rPr>
        <w:t xml:space="preserve"> Ad-dīn Al-Maḥallī (m. 1459) est un commentaire très bref et très populaire. Dans son commentaire intitulé </w:t>
      </w:r>
      <w:r>
        <w:rPr>
          <w:rFonts w:eastAsia="Times New Roman"/>
          <w:i/>
          <w:iCs/>
        </w:rPr>
        <w:t xml:space="preserve">As-sirāj al-munīr fī </w:t>
      </w:r>
      <w:r w:rsidRPr="00312F58">
        <w:rPr>
          <w:rFonts w:eastAsia="Times New Roman"/>
          <w:i/>
          <w:iCs/>
        </w:rPr>
        <w:t>l-ʾiʿāna ʿalā maʿrifat maʿānī kalām rabbi</w:t>
      </w:r>
      <w:r>
        <w:rPr>
          <w:rFonts w:eastAsia="Times New Roman"/>
          <w:i/>
          <w:iCs/>
        </w:rPr>
        <w:t>-</w:t>
      </w:r>
      <w:r w:rsidRPr="00312F58">
        <w:rPr>
          <w:rFonts w:eastAsia="Times New Roman"/>
          <w:i/>
          <w:iCs/>
        </w:rPr>
        <w:t>nā al-ḥakīm al-khabīr</w:t>
      </w:r>
      <w:r w:rsidRPr="00312F58">
        <w:rPr>
          <w:rFonts w:eastAsia="Times New Roman"/>
        </w:rPr>
        <w:t>, Al-Khaṭīb Ash-Sharbīnī (m. 1569)</w:t>
      </w:r>
      <w:r w:rsidRPr="00312F58">
        <w:rPr>
          <w:rFonts w:eastAsia="Times New Roman"/>
          <w:lang w:bidi="ar-AE"/>
        </w:rPr>
        <w:t xml:space="preserve"> </w:t>
      </w:r>
      <w:r>
        <w:rPr>
          <w:rFonts w:eastAsia="Times New Roman"/>
        </w:rPr>
        <w:t>se contente</w:t>
      </w:r>
      <w:r w:rsidRPr="00312F58">
        <w:rPr>
          <w:rFonts w:eastAsia="Times New Roman"/>
        </w:rPr>
        <w:t xml:space="preserve"> de présenter ce dont</w:t>
      </w:r>
      <w:r>
        <w:rPr>
          <w:rFonts w:eastAsia="Times New Roman"/>
        </w:rPr>
        <w:t xml:space="preserve"> le musulman de son époque a</w:t>
      </w:r>
      <w:r w:rsidRPr="00312F58">
        <w:rPr>
          <w:rFonts w:eastAsia="Times New Roman"/>
        </w:rPr>
        <w:t xml:space="preserve"> besoin. Ainsi, il n’est pas entré dans les questions linguistiques, jurisprudentielles et philosophiques. Il a répondu aux questions soulevées à son époque en se référant à des commentaires précédents. Abū As-Suʿūd (m. 1574)</w:t>
      </w:r>
      <w:r w:rsidRPr="00312F58">
        <w:rPr>
          <w:rFonts w:eastAsia="Times New Roman"/>
          <w:lang w:bidi="ar-AE"/>
        </w:rPr>
        <w:t xml:space="preserve">, dans </w:t>
      </w:r>
      <w:r w:rsidRPr="00312F58">
        <w:rPr>
          <w:rFonts w:eastAsia="Times New Roman"/>
          <w:i/>
          <w:iCs/>
        </w:rPr>
        <w:t>Irshād al-ʿaql as-salīm ilā mazāyā al-kitāb al-karīm</w:t>
      </w:r>
      <w:r w:rsidRPr="00312F58">
        <w:rPr>
          <w:rFonts w:eastAsia="Times New Roman"/>
        </w:rPr>
        <w:t xml:space="preserve">, s’intéresse de </w:t>
      </w:r>
      <w:r w:rsidRPr="00312F58">
        <w:rPr>
          <w:rFonts w:eastAsia="Times New Roman"/>
          <w:i/>
          <w:iCs/>
        </w:rPr>
        <w:t>la rhétorique « inimitable » du Coran</w:t>
      </w:r>
      <w:r w:rsidRPr="00312F58">
        <w:rPr>
          <w:rFonts w:eastAsia="Times New Roman"/>
        </w:rPr>
        <w:t xml:space="preserve"> en réduisant considérablement les récits judéo-chrétiens. Dans </w:t>
      </w:r>
      <w:r w:rsidRPr="00312F58">
        <w:rPr>
          <w:rFonts w:eastAsia="Times New Roman"/>
          <w:i/>
          <w:iCs/>
        </w:rPr>
        <w:t>Rūḥ al-maʿānī fī tafsīr al-qurʾān al-ʿaẓīm</w:t>
      </w:r>
      <w:r>
        <w:rPr>
          <w:rFonts w:eastAsia="Times New Roman"/>
          <w:i/>
          <w:iCs/>
        </w:rPr>
        <w:t xml:space="preserve"> wa-</w:t>
      </w:r>
      <w:r w:rsidRPr="00312F58">
        <w:rPr>
          <w:rFonts w:eastAsia="Times New Roman"/>
          <w:i/>
          <w:iCs/>
        </w:rPr>
        <w:t>as-sabʿ al-mathānī</w:t>
      </w:r>
      <w:r w:rsidRPr="00312F58">
        <w:rPr>
          <w:rFonts w:eastAsia="Times New Roman"/>
        </w:rPr>
        <w:t xml:space="preserve">, une exégèse encyclopédique </w:t>
      </w:r>
      <w:r w:rsidRPr="00312F58">
        <w:rPr>
          <w:rFonts w:eastAsia="Times New Roman"/>
          <w:lang w:bidi="ar-AE"/>
        </w:rPr>
        <w:t>par opinion</w:t>
      </w:r>
      <w:r w:rsidRPr="00312F58">
        <w:rPr>
          <w:rFonts w:eastAsia="Times New Roman"/>
        </w:rPr>
        <w:t xml:space="preserve">, Al-ʾĀlūsī (m. 1854) a criblé toutes les exégèses précédentes pour </w:t>
      </w:r>
      <w:r w:rsidRPr="00386F50">
        <w:rPr>
          <w:rFonts w:eastAsia="Times New Roman"/>
        </w:rPr>
        <w:t xml:space="preserve">donner une exégèse </w:t>
      </w:r>
      <w:r w:rsidRPr="00386F50">
        <w:rPr>
          <w:rFonts w:eastAsia="Times New Roman"/>
          <w:iCs/>
        </w:rPr>
        <w:t>sunnite hanafite</w:t>
      </w:r>
      <w:r w:rsidRPr="00386F50">
        <w:rPr>
          <w:rFonts w:eastAsia="Times New Roman"/>
        </w:rPr>
        <w:t xml:space="preserve"> qui s’efforçait de réfuter les avis différents et de défendre le </w:t>
      </w:r>
      <w:r w:rsidRPr="00386F50">
        <w:rPr>
          <w:rFonts w:eastAsia="Times New Roman"/>
          <w:iCs/>
        </w:rPr>
        <w:t>hanafisme</w:t>
      </w:r>
      <w:r w:rsidRPr="00386F50">
        <w:rPr>
          <w:rFonts w:eastAsia="Times New Roman"/>
        </w:rPr>
        <w:t>, doctrine qui</w:t>
      </w:r>
      <w:r w:rsidRPr="00386F50">
        <w:rPr>
          <w:rFonts w:eastAsia="Times New Roman"/>
          <w:b/>
          <w:bCs/>
        </w:rPr>
        <w:t xml:space="preserve"> </w:t>
      </w:r>
      <w:r w:rsidRPr="00386F50">
        <w:rPr>
          <w:rFonts w:eastAsia="Times New Roman"/>
        </w:rPr>
        <w:t xml:space="preserve">constituait </w:t>
      </w:r>
      <w:r w:rsidRPr="00386F50">
        <w:rPr>
          <w:rFonts w:eastAsia="Times New Roman"/>
          <w:i/>
          <w:iCs/>
        </w:rPr>
        <w:t>l’identité religieuse</w:t>
      </w:r>
      <w:r w:rsidRPr="00386F50">
        <w:rPr>
          <w:rFonts w:eastAsia="Times New Roman"/>
        </w:rPr>
        <w:t xml:space="preserve"> de l’empire ottoman sous le règne duquel Al-ʾĀlūsī a vécu. C’est pourquoi il était très hostile aux récits d’origine judéo-chrétienne (</w:t>
      </w:r>
      <w:r w:rsidRPr="00386F50">
        <w:rPr>
          <w:rFonts w:eastAsia="Times New Roman"/>
          <w:i/>
          <w:iCs/>
          <w:shd w:val="clear" w:color="auto" w:fill="FFFFFF"/>
        </w:rPr>
        <w:t>isrāʾīlīyāt</w:t>
      </w:r>
      <w:r w:rsidRPr="00386F50">
        <w:rPr>
          <w:rFonts w:eastAsia="Times New Roman"/>
        </w:rPr>
        <w:t xml:space="preserve">) de toutes sortes, dont il se moquait parfois. Il adopte quelquefois l’approche du </w:t>
      </w:r>
      <w:r w:rsidRPr="00386F50">
        <w:rPr>
          <w:rFonts w:eastAsia="Times New Roman"/>
          <w:i/>
          <w:iCs/>
        </w:rPr>
        <w:t xml:space="preserve">tafsīr </w:t>
      </w:r>
      <w:r w:rsidRPr="00386F50">
        <w:rPr>
          <w:rFonts w:eastAsia="Times New Roman"/>
          <w:i/>
          <w:iCs/>
        </w:rPr>
        <w:lastRenderedPageBreak/>
        <w:t>ishārī</w:t>
      </w:r>
      <w:r w:rsidRPr="00386F50">
        <w:rPr>
          <w:rFonts w:eastAsia="Times New Roman"/>
        </w:rPr>
        <w:t xml:space="preserve"> </w:t>
      </w:r>
      <w:r w:rsidRPr="00386F50">
        <w:rPr>
          <w:rFonts w:eastAsia="Calibri"/>
          <w:lang w:bidi="ar-AE"/>
        </w:rPr>
        <w:t>[exégèse allusive]</w:t>
      </w:r>
      <w:r w:rsidRPr="00386F50">
        <w:rPr>
          <w:rFonts w:eastAsia="Times New Roman"/>
        </w:rPr>
        <w:t xml:space="preserve"> qui recourait à des signaux subtils. Il est à noter que l’exégèse </w:t>
      </w:r>
      <w:r w:rsidRPr="00386F50">
        <w:rPr>
          <w:rFonts w:eastAsia="Times New Roman"/>
          <w:i/>
          <w:iCs/>
        </w:rPr>
        <w:t>ishārī</w:t>
      </w:r>
      <w:r w:rsidRPr="00386F50">
        <w:rPr>
          <w:rFonts w:eastAsia="Times New Roman"/>
        </w:rPr>
        <w:t xml:space="preserve"> ou </w:t>
      </w:r>
      <w:r w:rsidRPr="00386F50">
        <w:rPr>
          <w:rFonts w:eastAsia="Times New Roman"/>
          <w:i/>
          <w:iCs/>
        </w:rPr>
        <w:t>fayḍī</w:t>
      </w:r>
      <w:r w:rsidRPr="00386F50">
        <w:rPr>
          <w:rFonts w:eastAsia="Times New Roman"/>
        </w:rPr>
        <w:t xml:space="preserve"> [d’émanation] est une exégèse mystique qui repose sur l’expérience spirituelle et qui va plus loin dans l’interprétation, comme celle de Sahl At-Tustarī (m. 896) et celle attribuée à Ibn ʿArabī (m. 1240) (mais son auteur éventuel serait Al-Qāshānī, selon ad-Dhahabī dans </w:t>
      </w:r>
      <w:r w:rsidRPr="00386F50">
        <w:rPr>
          <w:rFonts w:eastAsia="Times New Roman"/>
          <w:i/>
          <w:iCs/>
        </w:rPr>
        <w:t>At-tafsīr wa-l-mufassirūn</w:t>
      </w:r>
      <w:r w:rsidRPr="00386F50">
        <w:rPr>
          <w:rFonts w:eastAsia="Times New Roman" w:cs="Arial"/>
        </w:rPr>
        <w:t>, 2/295)</w:t>
      </w:r>
      <w:r w:rsidRPr="00386F50">
        <w:rPr>
          <w:rFonts w:eastAsia="Times New Roman"/>
        </w:rPr>
        <w:t xml:space="preserve">. Avant Al-ʾĀlūsī, il existe d’autres exégèses qui défendent la sous-identité religieuse avec un peu d’exagération, comme </w:t>
      </w:r>
      <w:r w:rsidRPr="00386F50">
        <w:rPr>
          <w:rFonts w:eastAsia="Times New Roman"/>
          <w:i/>
          <w:iCs/>
        </w:rPr>
        <w:t>Aḥkām al-qurʾān</w:t>
      </w:r>
      <w:r w:rsidRPr="00386F50">
        <w:rPr>
          <w:rFonts w:eastAsia="Times New Roman"/>
        </w:rPr>
        <w:t xml:space="preserve"> d’Al-Jaṣṣāṣ (m. 980) qui affiche clairement son parti-pris pro-hanafite. Une autre </w:t>
      </w:r>
      <w:r w:rsidRPr="00386F50">
        <w:rPr>
          <w:rFonts w:eastAsia="Times New Roman"/>
          <w:i/>
          <w:iCs/>
        </w:rPr>
        <w:t>Aḥkām al-qurʾān</w:t>
      </w:r>
      <w:r w:rsidRPr="00386F50">
        <w:rPr>
          <w:rFonts w:eastAsia="Times New Roman"/>
        </w:rPr>
        <w:t xml:space="preserve">, celui d’al-Kiyā al-Harāsī (m. 1110) défend le chafiisme et attaque Al-Jaṣṣāṣ. Une troisième </w:t>
      </w:r>
      <w:r w:rsidRPr="00386F50">
        <w:rPr>
          <w:rFonts w:eastAsia="Times New Roman"/>
          <w:i/>
          <w:iCs/>
        </w:rPr>
        <w:t>Aḥkām al-qurʾān</w:t>
      </w:r>
      <w:r w:rsidRPr="00386F50">
        <w:rPr>
          <w:rFonts w:eastAsia="Times New Roman"/>
        </w:rPr>
        <w:t xml:space="preserve"> pro-malikite d’Ibn Al-ʿArabī (m. 1148) attaque les autres écoles </w:t>
      </w:r>
      <w:r w:rsidRPr="00386F50">
        <w:rPr>
          <w:rFonts w:eastAsia="Times New Roman"/>
          <w:shd w:val="clear" w:color="auto" w:fill="FFFFFF"/>
        </w:rPr>
        <w:t>(</w:t>
      </w:r>
      <w:r w:rsidRPr="00386F50">
        <w:rPr>
          <w:rFonts w:eastAsia="Times New Roman"/>
          <w:i/>
          <w:iCs/>
          <w:shd w:val="clear" w:color="auto" w:fill="FFFFFF"/>
        </w:rPr>
        <w:t>madhhab</w:t>
      </w:r>
      <w:r w:rsidRPr="00386F50">
        <w:rPr>
          <w:rFonts w:eastAsia="Times New Roman"/>
          <w:shd w:val="clear" w:color="auto" w:fill="FFFFFF"/>
        </w:rPr>
        <w:t>) de jurisprudence (</w:t>
      </w:r>
      <w:r w:rsidRPr="00386F50">
        <w:rPr>
          <w:rFonts w:eastAsia="Times New Roman"/>
          <w:i/>
          <w:iCs/>
          <w:shd w:val="clear" w:color="auto" w:fill="FFFFFF"/>
        </w:rPr>
        <w:t>fiqh</w:t>
      </w:r>
      <w:r w:rsidRPr="00386F50">
        <w:rPr>
          <w:rFonts w:eastAsia="Times New Roman"/>
          <w:shd w:val="clear" w:color="auto" w:fill="FFFFFF"/>
        </w:rPr>
        <w:t>) de l’islam sunnite</w:t>
      </w:r>
      <w:r w:rsidRPr="00386F50">
        <w:rPr>
          <w:rFonts w:eastAsia="Times New Roman"/>
        </w:rPr>
        <w:t>. (</w:t>
      </w:r>
      <w:r w:rsidRPr="00386F50">
        <w:rPr>
          <w:rFonts w:eastAsia="Times New Roman"/>
          <w:i/>
          <w:iCs/>
        </w:rPr>
        <w:t>At-tafsīr wa-l-mufassirūn</w:t>
      </w:r>
      <w:r w:rsidRPr="00386F50">
        <w:rPr>
          <w:rFonts w:eastAsia="Times New Roman"/>
        </w:rPr>
        <w:t xml:space="preserve">, 2/324-233). Chacun de ces exégètes s’appuie sur des critères linguistiques pour défendre l’interprétation de son école. Inversement, les exégèses qui attaquent toutes les autorités exégétiques et ne défendent aucun </w:t>
      </w:r>
      <w:r w:rsidRPr="00386F50">
        <w:rPr>
          <w:rFonts w:eastAsia="Times New Roman"/>
          <w:i/>
        </w:rPr>
        <w:t>madhhab</w:t>
      </w:r>
      <w:r w:rsidRPr="00386F50">
        <w:rPr>
          <w:rFonts w:eastAsia="Times New Roman"/>
        </w:rPr>
        <w:t xml:space="preserve"> sont condamnées et qualifiée d’athéistes, comme celle de l’Égyptien Muḥammad Abū Zayd Ad-Damanhūrī intitulé </w:t>
      </w:r>
      <w:r w:rsidRPr="00386F50">
        <w:rPr>
          <w:rFonts w:eastAsia="Times New Roman"/>
          <w:i/>
          <w:iCs/>
        </w:rPr>
        <w:t>Al-hidāya wa-l-ʿirfān fī tafsīr al-qurʾān bi-l-qurʾān</w:t>
      </w:r>
      <w:r w:rsidRPr="00386F50">
        <w:rPr>
          <w:rFonts w:eastAsia="Times New Roman"/>
        </w:rPr>
        <w:t>, bien qu’elle repose sur l’interprétation du Coran par le Coran lui-même (</w:t>
      </w:r>
      <w:r w:rsidRPr="00386F50">
        <w:rPr>
          <w:rFonts w:eastAsia="Times New Roman"/>
          <w:i/>
          <w:iCs/>
        </w:rPr>
        <w:t>At-tafsīr wa-l-mufassirūn</w:t>
      </w:r>
      <w:r w:rsidRPr="00386F50">
        <w:rPr>
          <w:rFonts w:eastAsia="Times New Roman"/>
        </w:rPr>
        <w:t>, 2/390).</w:t>
      </w:r>
    </w:p>
    <w:p w14:paraId="7D46A34B" w14:textId="77777777" w:rsidR="00EB5652" w:rsidRPr="00386F50" w:rsidRDefault="00EB5652" w:rsidP="00EB5652">
      <w:pPr>
        <w:spacing w:line="360" w:lineRule="auto"/>
        <w:ind w:left="360"/>
        <w:jc w:val="both"/>
        <w:rPr>
          <w:rFonts w:eastAsia="Times New Roman"/>
        </w:rPr>
      </w:pPr>
    </w:p>
    <w:p w14:paraId="19F35DAC" w14:textId="77777777" w:rsidR="00EB5652" w:rsidRPr="00386F50" w:rsidRDefault="00EB5652" w:rsidP="00EB5652">
      <w:pPr>
        <w:spacing w:line="360" w:lineRule="auto"/>
        <w:ind w:firstLine="708"/>
        <w:jc w:val="both"/>
        <w:rPr>
          <w:rFonts w:eastAsia="Times New Roman"/>
        </w:rPr>
      </w:pPr>
      <w:r w:rsidRPr="00386F50">
        <w:rPr>
          <w:rFonts w:eastAsia="Times New Roman"/>
        </w:rPr>
        <w:t xml:space="preserve">Les exégèses contemporaines essaient de se libérer des écoles de </w:t>
      </w:r>
      <w:r w:rsidRPr="00386F50">
        <w:rPr>
          <w:rFonts w:eastAsia="Times New Roman"/>
          <w:i/>
          <w:iCs/>
        </w:rPr>
        <w:t>fiqh</w:t>
      </w:r>
      <w:r w:rsidRPr="00386F50">
        <w:rPr>
          <w:rFonts w:eastAsia="Times New Roman"/>
        </w:rPr>
        <w:t xml:space="preserve"> et des contraintes de la tradition et prennent une tendance sociologique (celle de Muḥammad ʿAbduh [m. 1905]), psychologique (celle d’Amīn</w:t>
      </w:r>
      <w:r w:rsidRPr="00386F50">
        <w:rPr>
          <w:rFonts w:eastAsia="Times New Roman"/>
          <w:lang w:bidi="ar-AE"/>
        </w:rPr>
        <w:t xml:space="preserve"> Shaykhū </w:t>
      </w:r>
      <w:r w:rsidRPr="00386F50">
        <w:rPr>
          <w:rFonts w:eastAsia="Calibri"/>
        </w:rPr>
        <w:t>[m. 1964]</w:t>
      </w:r>
      <w:r w:rsidRPr="00386F50">
        <w:rPr>
          <w:rFonts w:eastAsia="Times New Roman"/>
        </w:rPr>
        <w:t xml:space="preserve">) ou littéraire (celle de Sayyid Quṭb [m. 1966]), avec un désir concordiste. Les commentaires : </w:t>
      </w:r>
      <w:r w:rsidRPr="00386F50">
        <w:rPr>
          <w:rFonts w:eastAsia="Times New Roman"/>
          <w:i/>
          <w:iCs/>
        </w:rPr>
        <w:t>Al-Manār</w:t>
      </w:r>
      <w:r w:rsidRPr="00386F50">
        <w:rPr>
          <w:rFonts w:eastAsia="Times New Roman"/>
        </w:rPr>
        <w:t xml:space="preserve"> de Rashīd Riḍā (m. 1935), </w:t>
      </w:r>
      <w:r w:rsidRPr="00386F50">
        <w:rPr>
          <w:rFonts w:eastAsia="Times New Roman"/>
          <w:i/>
          <w:iCs/>
        </w:rPr>
        <w:t>Majālis at-tadhkīr min kalām al-ḥakīm al-khabīr</w:t>
      </w:r>
      <w:r w:rsidRPr="00386F50">
        <w:rPr>
          <w:rFonts w:eastAsia="Times New Roman"/>
        </w:rPr>
        <w:t xml:space="preserve"> de ʿAbd al-Ḥamīd b. Badīs [Abdelhamid Ben Badis] (m. 1940), </w:t>
      </w:r>
      <w:r w:rsidRPr="00386F50">
        <w:rPr>
          <w:rFonts w:eastAsia="Times New Roman"/>
          <w:i/>
          <w:iCs/>
        </w:rPr>
        <w:t>Taysīr ar-raḥmān fī tafsīr kalām al-mannān</w:t>
      </w:r>
      <w:r w:rsidRPr="00386F50">
        <w:rPr>
          <w:rFonts w:eastAsia="Times New Roman"/>
        </w:rPr>
        <w:t xml:space="preserve"> de ʿAbd ar-Raḥmān As-Saʿdī (m. 1956), </w:t>
      </w:r>
      <w:r w:rsidRPr="00386F50">
        <w:rPr>
          <w:rFonts w:eastAsia="Times New Roman"/>
          <w:i/>
          <w:iCs/>
          <w:lang w:bidi="ar-EG"/>
        </w:rPr>
        <w:t>Aḍwāʾ al-bayān fī ʾīḍāḥ al-qurʾān bi-l-qurʾān</w:t>
      </w:r>
      <w:r w:rsidRPr="00386F50">
        <w:rPr>
          <w:rFonts w:eastAsia="Times New Roman"/>
        </w:rPr>
        <w:t xml:space="preserve"> d’</w:t>
      </w:r>
      <w:r w:rsidRPr="00386F50">
        <w:rPr>
          <w:rFonts w:eastAsia="Times New Roman"/>
          <w:lang w:bidi="ar-EG"/>
        </w:rPr>
        <w:t xml:space="preserve">Ash-Shanqītī (m. 1973/4) </w:t>
      </w:r>
      <w:r w:rsidRPr="00386F50">
        <w:rPr>
          <w:rFonts w:eastAsia="Times New Roman"/>
        </w:rPr>
        <w:t xml:space="preserve">et </w:t>
      </w:r>
      <w:r w:rsidRPr="00386F50">
        <w:rPr>
          <w:rFonts w:eastAsia="Calibri"/>
          <w:i/>
          <w:iCs/>
          <w:lang w:bidi="ar-AE"/>
        </w:rPr>
        <w:t>At-tafsīr al-munīr fi-l-ʿaqīda wa-sh-sharīʿa wa-l-manhaj</w:t>
      </w:r>
      <w:r w:rsidRPr="00386F50">
        <w:rPr>
          <w:rFonts w:eastAsia="Calibri"/>
          <w:lang w:bidi="ar-AE"/>
        </w:rPr>
        <w:t xml:space="preserve"> (1997) </w:t>
      </w:r>
      <w:r w:rsidRPr="00386F50">
        <w:rPr>
          <w:rFonts w:eastAsia="Times New Roman"/>
        </w:rPr>
        <w:t xml:space="preserve">de </w:t>
      </w:r>
      <w:r w:rsidRPr="00386F50">
        <w:rPr>
          <w:rFonts w:eastAsia="Calibri"/>
          <w:lang w:bidi="ar-AE"/>
        </w:rPr>
        <w:t>Wahba az-Zuḥaylī (né 1938)</w:t>
      </w:r>
      <w:r w:rsidRPr="00386F50">
        <w:rPr>
          <w:rFonts w:eastAsia="Times New Roman"/>
        </w:rPr>
        <w:t xml:space="preserve"> veulent lier le Coran à la vie contemporaine et l’interpréter selon les besoins des musulmans contemporains.</w:t>
      </w:r>
    </w:p>
    <w:p w14:paraId="285D58D7" w14:textId="77777777" w:rsidR="00EB5652" w:rsidRPr="00386F50" w:rsidRDefault="00EB5652" w:rsidP="00EB5652">
      <w:pPr>
        <w:spacing w:line="360" w:lineRule="auto"/>
        <w:jc w:val="both"/>
        <w:rPr>
          <w:rFonts w:eastAsia="Times New Roman"/>
        </w:rPr>
      </w:pPr>
    </w:p>
    <w:p w14:paraId="20260347" w14:textId="77777777" w:rsidR="00EB5652" w:rsidRPr="00312F58" w:rsidRDefault="00EB5652" w:rsidP="00EB5652">
      <w:pPr>
        <w:spacing w:line="360" w:lineRule="auto"/>
        <w:ind w:firstLine="708"/>
        <w:jc w:val="both"/>
        <w:rPr>
          <w:rFonts w:eastAsia="Times New Roman"/>
          <w:rtl/>
        </w:rPr>
      </w:pPr>
      <w:r>
        <w:rPr>
          <w:rFonts w:eastAsia="Times New Roman"/>
          <w:shd w:val="clear" w:color="auto" w:fill="FFFFFF"/>
        </w:rPr>
        <w:t>Quant au chiisme, l</w:t>
      </w:r>
      <w:r w:rsidRPr="00312F58">
        <w:rPr>
          <w:rFonts w:eastAsia="Times New Roman"/>
          <w:shd w:val="clear" w:color="auto" w:fill="FFFFFF"/>
        </w:rPr>
        <w:t>es chiites duodécimains</w:t>
      </w:r>
      <w:r w:rsidRPr="00312F58">
        <w:rPr>
          <w:rFonts w:eastAsia="Times New Roman"/>
        </w:rPr>
        <w:t xml:space="preserve"> s’efforcent </w:t>
      </w:r>
      <w:r w:rsidRPr="00312F58">
        <w:rPr>
          <w:rFonts w:eastAsia="Times New Roman"/>
          <w:shd w:val="clear" w:color="auto" w:fill="FFFFFF"/>
        </w:rPr>
        <w:t xml:space="preserve">dans leurs commentaires </w:t>
      </w:r>
      <w:r w:rsidRPr="00312F58">
        <w:rPr>
          <w:rFonts w:eastAsia="Times New Roman"/>
        </w:rPr>
        <w:t xml:space="preserve">de se distinguer des sunnites dans le fait qu’ils n’acceptent que les interprétations de leurs imams (considérés comme seule autorité religieuse). Comme les sunnites, ils utilisent l’exégèse pour trouver dans le Coran un garant de leurs conceptions (comme les notions de l’imamat, de </w:t>
      </w:r>
      <w:r w:rsidRPr="00312F58">
        <w:rPr>
          <w:rFonts w:eastAsia="Times New Roman"/>
          <w:i/>
          <w:iCs/>
        </w:rPr>
        <w:t>rajʿa</w:t>
      </w:r>
      <w:r w:rsidRPr="00312F58">
        <w:rPr>
          <w:rFonts w:eastAsia="Times New Roman"/>
        </w:rPr>
        <w:t xml:space="preserve"> [</w:t>
      </w:r>
      <w:r w:rsidRPr="00312F58">
        <w:rPr>
          <w:rFonts w:eastAsia="Times New Roman"/>
          <w:shd w:val="clear" w:color="auto" w:fill="FFFFFF"/>
        </w:rPr>
        <w:t xml:space="preserve">le retour en vie de certaines personnes qui ont été oppressées dans leur vie, avec leur oppresseur, </w:t>
      </w:r>
      <w:r w:rsidRPr="00312F58">
        <w:rPr>
          <w:rFonts w:eastAsia="Times New Roman"/>
          <w:shd w:val="clear" w:color="auto" w:fill="FFFFFF"/>
        </w:rPr>
        <w:lastRenderedPageBreak/>
        <w:t>pour leur faire justice</w:t>
      </w:r>
      <w:r w:rsidRPr="00312F58">
        <w:rPr>
          <w:rFonts w:eastAsia="Times New Roman"/>
        </w:rPr>
        <w:t xml:space="preserve">], de </w:t>
      </w:r>
      <w:r w:rsidRPr="00312F58">
        <w:rPr>
          <w:rFonts w:eastAsia="Times New Roman"/>
          <w:i/>
          <w:iCs/>
        </w:rPr>
        <w:t>taqīya</w:t>
      </w:r>
      <w:r w:rsidRPr="00312F58">
        <w:rPr>
          <w:rFonts w:eastAsia="Times New Roman"/>
        </w:rPr>
        <w:t xml:space="preserve"> [</w:t>
      </w:r>
      <w:r w:rsidRPr="00312F58">
        <w:rPr>
          <w:rFonts w:eastAsia="Times New Roman"/>
          <w:shd w:val="clear" w:color="auto" w:fill="FFFFFF"/>
        </w:rPr>
        <w:t>dissimulation</w:t>
      </w:r>
      <w:r w:rsidRPr="00312F58">
        <w:rPr>
          <w:rFonts w:eastAsia="Times New Roman"/>
        </w:rPr>
        <w:t xml:space="preserve">] et de la </w:t>
      </w:r>
      <w:r w:rsidRPr="00312F58">
        <w:rPr>
          <w:rFonts w:eastAsia="Times New Roman"/>
          <w:i/>
          <w:iCs/>
        </w:rPr>
        <w:t>walāya</w:t>
      </w:r>
      <w:r w:rsidRPr="00312F58">
        <w:rPr>
          <w:rFonts w:eastAsia="Times New Roman"/>
        </w:rPr>
        <w:t xml:space="preserve"> [allégeance ou autorité religieuse de leurs imâms, l’alliance de Dieu]) et dénigrer leurs adversaires. Leurs commentaires reposent sur l’idée que le Coran a un aspect exotérique (</w:t>
      </w:r>
      <w:r w:rsidRPr="00312F58">
        <w:rPr>
          <w:rFonts w:eastAsia="Times New Roman"/>
          <w:i/>
          <w:iCs/>
        </w:rPr>
        <w:t>ẓāhir</w:t>
      </w:r>
      <w:r w:rsidRPr="00312F58">
        <w:rPr>
          <w:rFonts w:eastAsia="Times New Roman"/>
        </w:rPr>
        <w:t>) et un autre aspect ésotérique caché (</w:t>
      </w:r>
      <w:r w:rsidRPr="00312F58">
        <w:rPr>
          <w:rFonts w:eastAsia="Times New Roman"/>
          <w:i/>
          <w:iCs/>
        </w:rPr>
        <w:t>bāṭin</w:t>
      </w:r>
      <w:r w:rsidRPr="00312F58">
        <w:rPr>
          <w:rFonts w:eastAsia="Times New Roman"/>
        </w:rPr>
        <w:t>)</w:t>
      </w:r>
      <w:r w:rsidRPr="00312F58">
        <w:rPr>
          <w:rFonts w:eastAsia="Times New Roman"/>
          <w:vertAlign w:val="superscript"/>
          <w:lang w:bidi="ar-AE"/>
        </w:rPr>
        <w:footnoteReference w:id="167"/>
      </w:r>
      <w:r w:rsidRPr="00312F58">
        <w:rPr>
          <w:rFonts w:eastAsia="Times New Roman"/>
        </w:rPr>
        <w:t>. Et chaque aspect contient plusieurs interprétations. Selon les chiites, la phrase « </w:t>
      </w:r>
      <w:r w:rsidRPr="00312F58">
        <w:rPr>
          <w:rFonts w:eastAsia="Times New Roman"/>
          <w:i/>
          <w:iCs/>
        </w:rPr>
        <w:t>thumma l</w:t>
      </w:r>
      <w:r>
        <w:rPr>
          <w:rFonts w:eastAsia="Times New Roman"/>
          <w:i/>
          <w:iCs/>
        </w:rPr>
        <w:t>-</w:t>
      </w:r>
      <w:r w:rsidRPr="00312F58">
        <w:rPr>
          <w:rFonts w:eastAsia="Times New Roman"/>
          <w:i/>
          <w:iCs/>
        </w:rPr>
        <w:t>yaqḍū tafatha</w:t>
      </w:r>
      <w:r>
        <w:rPr>
          <w:rFonts w:eastAsia="Times New Roman"/>
          <w:i/>
          <w:iCs/>
        </w:rPr>
        <w:t>-</w:t>
      </w:r>
      <w:r w:rsidRPr="00312F58">
        <w:rPr>
          <w:rFonts w:eastAsia="Times New Roman"/>
          <w:i/>
          <w:iCs/>
        </w:rPr>
        <w:t>hum</w:t>
      </w:r>
      <w:r w:rsidRPr="00312F58">
        <w:rPr>
          <w:rFonts w:eastAsia="Times New Roman"/>
        </w:rPr>
        <w:t> » [</w:t>
      </w:r>
      <w:r w:rsidRPr="00312F58">
        <w:rPr>
          <w:rFonts w:eastAsia="Calibri"/>
          <w:lang w:bidi="ar-AE"/>
        </w:rPr>
        <w:t>et puis qu’ils éliminent leurs excroissances</w:t>
      </w:r>
      <w:r w:rsidRPr="00312F58">
        <w:rPr>
          <w:rFonts w:eastAsia="Times New Roman"/>
        </w:rPr>
        <w:t>] du verset 29 de la sourate al-Ḥajj a deux significations principales : exotérique qui désigne l’hygiène personnelle, et ésotérique qui désigne la rencontre de l’imâm.</w:t>
      </w:r>
      <w:r w:rsidRPr="00312F58">
        <w:rPr>
          <w:rFonts w:eastAsia="Times New Roman"/>
          <w:vertAlign w:val="superscript"/>
          <w:lang w:bidi="ar-AE"/>
        </w:rPr>
        <w:footnoteReference w:id="168"/>
      </w:r>
      <w:r w:rsidRPr="00312F58">
        <w:rPr>
          <w:rFonts w:eastAsia="Times New Roman"/>
        </w:rPr>
        <w:t xml:space="preserve"> Concernant les communautés hétérodoxes, </w:t>
      </w:r>
      <w:r w:rsidRPr="00312F58">
        <w:rPr>
          <w:rFonts w:eastAsia="Times New Roman"/>
          <w:lang w:bidi="ar-AE"/>
        </w:rPr>
        <w:t>on ne connaît pas d’exégèses druzes ni alaouites publiées</w:t>
      </w:r>
      <w:r w:rsidRPr="00312F58">
        <w:rPr>
          <w:rFonts w:eastAsia="Times New Roman"/>
          <w:vertAlign w:val="superscript"/>
          <w:lang w:bidi="ar-AE"/>
        </w:rPr>
        <w:footnoteReference w:id="169"/>
      </w:r>
      <w:r>
        <w:rPr>
          <w:rFonts w:eastAsia="Times New Roman"/>
        </w:rPr>
        <w:t>. Cependant, la communauté a</w:t>
      </w:r>
      <w:r w:rsidRPr="00312F58">
        <w:rPr>
          <w:rFonts w:eastAsia="Times New Roman"/>
        </w:rPr>
        <w:t>hmadie a publié en 2011 la version arabe de son exégèse</w:t>
      </w:r>
      <w:r w:rsidRPr="00312F58">
        <w:rPr>
          <w:rFonts w:eastAsia="Times New Roman"/>
          <w:i/>
          <w:iCs/>
        </w:rPr>
        <w:t xml:space="preserve"> At-tafsīr al-kabīr</w:t>
      </w:r>
      <w:r w:rsidRPr="00312F58">
        <w:rPr>
          <w:rFonts w:eastAsia="Times New Roman"/>
        </w:rPr>
        <w:t xml:space="preserve"> [la grande exégèse] écrit par Mirzā Bashīr Ad-Dīn Maḥmūd Aḥmad (m. 1965)</w:t>
      </w:r>
      <w:r>
        <w:rPr>
          <w:rFonts w:eastAsia="Times New Roman"/>
        </w:rPr>
        <w:t>.</w:t>
      </w:r>
      <w:r>
        <w:rPr>
          <w:rStyle w:val="Appelnotedebasdep"/>
          <w:rFonts w:eastAsia="Times New Roman"/>
        </w:rPr>
        <w:footnoteReference w:id="170"/>
      </w:r>
    </w:p>
    <w:p w14:paraId="6D588618" w14:textId="77777777" w:rsidR="00EB5652" w:rsidRPr="00312F58" w:rsidRDefault="00EB5652" w:rsidP="00EB5652">
      <w:pPr>
        <w:tabs>
          <w:tab w:val="left" w:pos="7730"/>
        </w:tabs>
        <w:spacing w:line="360" w:lineRule="auto"/>
        <w:jc w:val="both"/>
        <w:rPr>
          <w:rFonts w:eastAsia="Times New Roman"/>
          <w:lang w:bidi="ar-AE"/>
        </w:rPr>
      </w:pPr>
    </w:p>
    <w:p w14:paraId="781D359C" w14:textId="77777777" w:rsidR="00EB5652" w:rsidRPr="00312F58" w:rsidRDefault="00EB5652" w:rsidP="00EB5652">
      <w:pPr>
        <w:spacing w:line="360" w:lineRule="auto"/>
        <w:ind w:firstLine="708"/>
        <w:jc w:val="both"/>
        <w:rPr>
          <w:rFonts w:eastAsia="Times New Roman"/>
          <w:color w:val="FF0000"/>
          <w:lang w:bidi="ar-KW"/>
        </w:rPr>
      </w:pPr>
      <w:r w:rsidRPr="0096408D">
        <w:rPr>
          <w:rFonts w:eastAsia="Times New Roman"/>
        </w:rPr>
        <w:t xml:space="preserve">Les </w:t>
      </w:r>
      <w:r w:rsidRPr="00312F58">
        <w:rPr>
          <w:rFonts w:eastAsia="Times New Roman"/>
        </w:rPr>
        <w:t>commentaires coraniques et les traductions aussi sont complémentaires du texte lui-même du Coran, une sorte d’extension du texte. Ils comblent les vides du texte et font partie du texte to</w:t>
      </w:r>
      <w:r>
        <w:rPr>
          <w:rFonts w:eastAsia="Times New Roman"/>
        </w:rPr>
        <w:t>ut comme les traductions de la B</w:t>
      </w:r>
      <w:r w:rsidRPr="00312F58">
        <w:rPr>
          <w:rFonts w:eastAsia="Times New Roman"/>
        </w:rPr>
        <w:t>ible, comme le souligne à juste titre Christiane Dieterlé</w:t>
      </w:r>
      <w:r w:rsidRPr="00312F58">
        <w:rPr>
          <w:rFonts w:eastAsia="Times New Roman"/>
          <w:vertAlign w:val="superscript"/>
          <w:lang w:bidi="ar-AE"/>
        </w:rPr>
        <w:footnoteReference w:id="171"/>
      </w:r>
      <w:r w:rsidRPr="00312F58">
        <w:rPr>
          <w:rFonts w:eastAsia="Times New Roman"/>
        </w:rPr>
        <w:t xml:space="preserve"> qui dit que la diversification des traductions constitue une complémentarité nécessaire dans la ligne même du pluralisme biblique. </w:t>
      </w:r>
      <w:r w:rsidRPr="00312F58">
        <w:rPr>
          <w:rFonts w:eastAsia="Times New Roman"/>
          <w:lang w:bidi="ar-KW"/>
        </w:rPr>
        <w:t xml:space="preserve">Ainsi, on peut considérer que le Coran est le produit d’une accumulation, l’histoire de ses interprétations par les lecteurs depuis sa parution jusqu’à aujourd’hui. </w:t>
      </w:r>
      <w:r w:rsidRPr="00312F58">
        <w:rPr>
          <w:rFonts w:eastAsia="Times New Roman"/>
        </w:rPr>
        <w:t xml:space="preserve">Les exégèses reflètent en tant que </w:t>
      </w:r>
      <w:r w:rsidRPr="00312F58">
        <w:rPr>
          <w:rFonts w:eastAsia="Times New Roman"/>
          <w:i/>
          <w:iCs/>
        </w:rPr>
        <w:t>magna carta</w:t>
      </w:r>
      <w:r w:rsidRPr="00312F58">
        <w:rPr>
          <w:rFonts w:eastAsia="Times New Roman"/>
        </w:rPr>
        <w:t xml:space="preserve"> la pensée, les conflits et les sous-identités des musulmans.</w:t>
      </w:r>
    </w:p>
    <w:p w14:paraId="139E9B49" w14:textId="77777777" w:rsidR="00EB5652" w:rsidRPr="00312F58" w:rsidRDefault="00EB5652" w:rsidP="00EB5652">
      <w:pPr>
        <w:tabs>
          <w:tab w:val="left" w:pos="7730"/>
        </w:tabs>
        <w:spacing w:line="360" w:lineRule="auto"/>
        <w:jc w:val="both"/>
        <w:rPr>
          <w:rFonts w:eastAsia="Times New Roman"/>
          <w:lang w:bidi="ar-AE"/>
        </w:rPr>
      </w:pPr>
    </w:p>
    <w:p w14:paraId="46B7EB81" w14:textId="77777777" w:rsidR="00EB5652" w:rsidRPr="00E116CD" w:rsidRDefault="00EB5652" w:rsidP="00EB5652">
      <w:pPr>
        <w:shd w:val="clear" w:color="auto" w:fill="FFFFFF"/>
        <w:spacing w:line="360" w:lineRule="auto"/>
        <w:ind w:firstLine="720"/>
        <w:jc w:val="both"/>
        <w:rPr>
          <w:rFonts w:eastAsia="Times New Roman"/>
        </w:rPr>
      </w:pPr>
      <w:r w:rsidRPr="00312F58">
        <w:rPr>
          <w:rFonts w:eastAsia="Times New Roman"/>
        </w:rPr>
        <w:t>Lorsque l’interprétation dépasse ses limites linguistiques (dans le cas de l’</w:t>
      </w:r>
      <w:r w:rsidRPr="00312F58">
        <w:rPr>
          <w:rFonts w:eastAsia="Times New Roman"/>
          <w:i/>
          <w:iCs/>
        </w:rPr>
        <w:t xml:space="preserve">iʿjāz al-ʿilmī </w:t>
      </w:r>
      <w:r w:rsidRPr="00312F58">
        <w:rPr>
          <w:rFonts w:eastAsia="Times New Roman"/>
        </w:rPr>
        <w:t xml:space="preserve">par exemple) et que le discours se fait charger sémantiquement plus qu’il ne supporte, cela peut signifier qu’il existe une relation tendue entre les musulmans et leur Coran. Ce lien tendu reflète l’état dépressif sociétal dû aux refoulements et au manque d’adaptation de l’interprétateur musulman dans son milieu sociopolitique. L’interprétation exagérée et la lecture orale (récitation </w:t>
      </w:r>
      <w:r w:rsidRPr="00312F58">
        <w:rPr>
          <w:rFonts w:eastAsia="Times New Roman"/>
        </w:rPr>
        <w:lastRenderedPageBreak/>
        <w:t xml:space="preserve">psalmodiée) deviennent ainsi une catharsis. Les exégèses reflètent les contradictions et les complications non pas du texte coranique mais de ses lecteurs. L’interprétation ne reflète pas l’image du texte mais l’image de notre relation avec le monde à travers ce texte. On peut citer comme </w:t>
      </w:r>
      <w:r w:rsidRPr="00E116CD">
        <w:rPr>
          <w:rFonts w:eastAsia="Times New Roman"/>
        </w:rPr>
        <w:t>exemple le refus de la laïcité en vertu d’une interprétation du verset 41 alors qu’on ne voit pas dans ses traductions cette idée de refus de l’état laïque.</w:t>
      </w:r>
      <w:r w:rsidRPr="00E116CD">
        <w:rPr>
          <w:rStyle w:val="Appelnotedebasdep"/>
          <w:rFonts w:eastAsia="Times New Roman"/>
        </w:rPr>
        <w:footnoteReference w:id="172"/>
      </w:r>
    </w:p>
    <w:p w14:paraId="18D27F3E" w14:textId="77777777" w:rsidR="00EB5652" w:rsidRPr="00E116CD" w:rsidRDefault="00EB5652" w:rsidP="00EB5652">
      <w:pPr>
        <w:shd w:val="clear" w:color="auto" w:fill="FFFFFF"/>
        <w:spacing w:line="360" w:lineRule="auto"/>
        <w:jc w:val="both"/>
        <w:rPr>
          <w:rFonts w:eastAsia="Times New Roman"/>
        </w:rPr>
      </w:pPr>
    </w:p>
    <w:p w14:paraId="5E683D05" w14:textId="77777777" w:rsidR="00EB5652" w:rsidRPr="00312F58" w:rsidRDefault="00EB5652" w:rsidP="00EB5652">
      <w:pPr>
        <w:shd w:val="clear" w:color="auto" w:fill="FFFFFF"/>
        <w:spacing w:line="360" w:lineRule="auto"/>
        <w:ind w:firstLine="720"/>
        <w:jc w:val="both"/>
        <w:rPr>
          <w:rFonts w:eastAsia="Times New Roman"/>
        </w:rPr>
      </w:pPr>
      <w:r w:rsidRPr="00312F58">
        <w:rPr>
          <w:rFonts w:eastAsia="Times New Roman"/>
        </w:rPr>
        <w:t>La diminution de la polysémie et le rétrécissement de son champ à travers l’histoire (une fossilisation de l’arabe selon Ṭāha Ḥusayn) peut s’explique aussi par le fait que la voix prime sur l’écriture</w:t>
      </w:r>
      <w:r w:rsidRPr="00312F58">
        <w:rPr>
          <w:rFonts w:eastAsia="Times New Roman"/>
          <w:vertAlign w:val="superscript"/>
          <w:lang w:bidi="ar-AE"/>
        </w:rPr>
        <w:footnoteReference w:id="173"/>
      </w:r>
      <w:r w:rsidRPr="00312F58">
        <w:rPr>
          <w:rFonts w:eastAsia="Times New Roman"/>
        </w:rPr>
        <w:t>. La fonction du Coran reste toujours plus orale et incantatoire qu’écrite et herméneutique. Dans ce sens, la richesse sémantique du Coran (chez Ṭabarī par exemple) après l’expansion de l’islam semble être plus exceptionnelle qu’intrinsèque afin de répondre à des besoins sociopolitiques et identitaires émergents à cette époque.</w:t>
      </w:r>
    </w:p>
    <w:p w14:paraId="5FF9DE4D" w14:textId="77777777" w:rsidR="00EB5652" w:rsidRPr="00577478" w:rsidRDefault="00EB5652" w:rsidP="00EB5652">
      <w:pPr>
        <w:shd w:val="clear" w:color="auto" w:fill="FFFFFF"/>
        <w:spacing w:line="360" w:lineRule="auto"/>
        <w:ind w:firstLine="720"/>
        <w:jc w:val="both"/>
        <w:rPr>
          <w:rFonts w:eastAsia="Times New Roman"/>
          <w:lang w:bidi="ar-KW"/>
        </w:rPr>
      </w:pPr>
    </w:p>
    <w:p w14:paraId="0FD228FC" w14:textId="77777777" w:rsidR="00EB5652" w:rsidRDefault="00EB5652" w:rsidP="00EB5652">
      <w:pPr>
        <w:shd w:val="clear" w:color="auto" w:fill="FFFFFF"/>
        <w:spacing w:line="360" w:lineRule="auto"/>
        <w:ind w:firstLine="720"/>
        <w:jc w:val="both"/>
        <w:rPr>
          <w:rFonts w:eastAsia="Times New Roman"/>
        </w:rPr>
      </w:pPr>
      <w:r w:rsidRPr="00577478">
        <w:rPr>
          <w:rFonts w:eastAsia="Times New Roman"/>
        </w:rPr>
        <w:t xml:space="preserve">Bien que le Coran constitue le passage de l’oral à l’écrit dans l’histoire arabe, son impact écrit est resté restreint aux élites religieuses et politiques, alors que son impact oral (où l’aspect herméneutique est à peine présent) domine le grand public. Le Coran lui-même insiste sur la fonction orale du texte (verset 4, LXXIII : « </w:t>
      </w:r>
      <w:r>
        <w:rPr>
          <w:rFonts w:eastAsia="Times New Roman" w:hint="cs"/>
          <w:rtl/>
        </w:rPr>
        <w:t>ورتِّل القرآنَ ترتيلا</w:t>
      </w:r>
      <w:r w:rsidRPr="00577478">
        <w:rPr>
          <w:rFonts w:eastAsia="Times New Roman"/>
        </w:rPr>
        <w:t> » [« Et psalmodie le Coran distinctement »]). Le Prophète lui aussi insiste sur l’aspect vocal : « </w:t>
      </w:r>
      <w:r>
        <w:rPr>
          <w:rFonts w:eastAsia="Times New Roman" w:hint="cs"/>
          <w:rtl/>
        </w:rPr>
        <w:t>زيِّنوا القرآنَ بأصواتكم</w:t>
      </w:r>
      <w:r w:rsidRPr="00577478">
        <w:rPr>
          <w:rFonts w:eastAsia="Times New Roman"/>
        </w:rPr>
        <w:t> » [« Embellissez le Coran par vos voix »]</w:t>
      </w:r>
      <w:r w:rsidRPr="00577478">
        <w:rPr>
          <w:rFonts w:eastAsia="Times New Roman"/>
          <w:vertAlign w:val="superscript"/>
          <w:lang w:bidi="ar-AE"/>
        </w:rPr>
        <w:footnoteReference w:id="174"/>
      </w:r>
      <w:r w:rsidRPr="00577478">
        <w:rPr>
          <w:rFonts w:eastAsia="Times New Roman"/>
        </w:rPr>
        <w:t xml:space="preserve"> ; « </w:t>
      </w:r>
      <w:r w:rsidRPr="00BD6FED">
        <w:rPr>
          <w:rFonts w:eastAsia="Times New Roman" w:hint="cs"/>
          <w:i/>
          <w:rtl/>
        </w:rPr>
        <w:t>والذي يقرأ ال</w:t>
      </w:r>
      <w:r>
        <w:rPr>
          <w:rFonts w:eastAsia="Times New Roman" w:hint="cs"/>
          <w:i/>
          <w:rtl/>
        </w:rPr>
        <w:t>قرآنَ ويت</w:t>
      </w:r>
      <w:r w:rsidRPr="00BD6FED">
        <w:rPr>
          <w:rFonts w:eastAsia="Times New Roman" w:hint="cs"/>
          <w:i/>
          <w:rtl/>
        </w:rPr>
        <w:t>تعتع</w:t>
      </w:r>
      <w:r>
        <w:rPr>
          <w:rFonts w:eastAsia="Times New Roman" w:hint="cs"/>
          <w:i/>
          <w:rtl/>
        </w:rPr>
        <w:t>ُ</w:t>
      </w:r>
      <w:r w:rsidRPr="00BD6FED">
        <w:rPr>
          <w:rFonts w:eastAsia="Times New Roman" w:hint="cs"/>
          <w:i/>
          <w:rtl/>
        </w:rPr>
        <w:t xml:space="preserve"> فيه وهو عليه شاق</w:t>
      </w:r>
      <w:r>
        <w:rPr>
          <w:rFonts w:eastAsia="Times New Roman" w:hint="cs"/>
          <w:i/>
          <w:rtl/>
        </w:rPr>
        <w:t>ٌّ</w:t>
      </w:r>
      <w:r w:rsidRPr="00BD6FED">
        <w:rPr>
          <w:rFonts w:eastAsia="Times New Roman" w:hint="cs"/>
          <w:i/>
          <w:rtl/>
        </w:rPr>
        <w:t xml:space="preserve"> له أجران</w:t>
      </w:r>
      <w:r>
        <w:rPr>
          <w:rFonts w:eastAsia="Times New Roman"/>
        </w:rPr>
        <w:t xml:space="preserve"> » </w:t>
      </w:r>
      <w:r w:rsidRPr="00D526CA">
        <w:rPr>
          <w:rFonts w:eastAsia="Times New Roman"/>
        </w:rPr>
        <w:t>[« et celui qui récite le Coran péniblement en bégayant aura une double récompense »]</w:t>
      </w:r>
      <w:r w:rsidRPr="00D526CA">
        <w:rPr>
          <w:rFonts w:eastAsia="Times New Roman"/>
          <w:vertAlign w:val="superscript"/>
          <w:lang w:bidi="ar-AE"/>
        </w:rPr>
        <w:footnoteReference w:id="175"/>
      </w:r>
      <w:r w:rsidRPr="00D526CA">
        <w:rPr>
          <w:rFonts w:eastAsia="Times New Roman"/>
        </w:rPr>
        <w:t>.</w:t>
      </w:r>
    </w:p>
    <w:p w14:paraId="0C7B0C70" w14:textId="77777777" w:rsidR="00EB5652" w:rsidRPr="00F44CE0" w:rsidRDefault="00EB5652" w:rsidP="00EB5652">
      <w:pPr>
        <w:shd w:val="clear" w:color="auto" w:fill="FFFFFF"/>
        <w:spacing w:line="360" w:lineRule="auto"/>
        <w:ind w:firstLine="720"/>
        <w:jc w:val="both"/>
        <w:rPr>
          <w:rFonts w:eastAsia="Times New Roman"/>
          <w:rtl/>
        </w:rPr>
      </w:pPr>
    </w:p>
    <w:p w14:paraId="6798E3B3" w14:textId="77777777" w:rsidR="00EB5652" w:rsidRPr="00F44CE0" w:rsidRDefault="00EB5652" w:rsidP="00EB5652">
      <w:pPr>
        <w:shd w:val="clear" w:color="auto" w:fill="FFFFFF"/>
        <w:spacing w:line="360" w:lineRule="auto"/>
        <w:ind w:firstLine="720"/>
        <w:jc w:val="both"/>
        <w:rPr>
          <w:rFonts w:eastAsia="Times New Roman"/>
        </w:rPr>
      </w:pPr>
      <w:r w:rsidRPr="00F44CE0">
        <w:rPr>
          <w:rFonts w:eastAsia="Times New Roman"/>
        </w:rPr>
        <w:t>Cependant, la lecture du Coran ne peut pas passer sans enrichir le texte.</w:t>
      </w:r>
      <w:r>
        <w:rPr>
          <w:rFonts w:eastAsia="Times New Roman"/>
        </w:rPr>
        <w:t xml:space="preserve"> </w:t>
      </w:r>
      <w:r w:rsidRPr="00F44CE0">
        <w:rPr>
          <w:rFonts w:eastAsia="Times New Roman"/>
        </w:rPr>
        <w:t xml:space="preserve">Les lectures, les exégèses, les commentaires, les traductions enrichissent l’œuvre littéraire. Le célèbre musicien et compositeur libanais </w:t>
      </w:r>
      <w:r>
        <w:rPr>
          <w:rFonts w:eastAsia="Times New Roman"/>
        </w:rPr>
        <w:t>Mansour Rahbani [</w:t>
      </w:r>
      <w:r w:rsidRPr="00F44CE0">
        <w:rPr>
          <w:rFonts w:eastAsia="Times New Roman"/>
        </w:rPr>
        <w:t>Man</w:t>
      </w:r>
      <w:r w:rsidRPr="00F44CE0">
        <w:rPr>
          <w:rFonts w:asciiTheme="majorBidi" w:eastAsia="Times New Roman" w:hAnsiTheme="majorBidi" w:cstheme="majorBidi"/>
        </w:rPr>
        <w:t>ṣ</w:t>
      </w:r>
      <w:r w:rsidRPr="00F44CE0">
        <w:rPr>
          <w:rFonts w:eastAsia="Times New Roman"/>
        </w:rPr>
        <w:t>ūr Raḥbānī</w:t>
      </w:r>
      <w:r>
        <w:rPr>
          <w:rFonts w:eastAsia="Times New Roman"/>
        </w:rPr>
        <w:t xml:space="preserve">] </w:t>
      </w:r>
      <w:r w:rsidRPr="00F44CE0">
        <w:rPr>
          <w:rFonts w:eastAsia="Times New Roman"/>
        </w:rPr>
        <w:t xml:space="preserve">(1925-2009) souligne : </w:t>
      </w:r>
      <w:r w:rsidRPr="00F44CE0">
        <w:rPr>
          <w:rFonts w:eastAsia="Times New Roman"/>
        </w:rPr>
        <w:lastRenderedPageBreak/>
        <w:t>« L’interprétation unique enferme l’auditeur ou le spectateur dans le point de vue de l’auteur. Toutes les nuits, il y a 500 interprétations de la pièce du théâtre, au nombre du public qui y assiste. L’auditeur ou le spectateur est un autre créateur qui coopère dans le processus de la création. Il prend la pièce dans un voyage intellectuel. Il découvrira peut-être des interprétations plus belles que celles voulues par l’auteur. Que l’auditeur charge la pièce avec autant d’interprétations qu’il voudrait, cela enrichit la pièce. »</w:t>
      </w:r>
      <w:r w:rsidRPr="00F44CE0">
        <w:rPr>
          <w:rFonts w:eastAsia="Calibri"/>
          <w:vertAlign w:val="superscript"/>
          <w:lang w:bidi="ar-AE"/>
        </w:rPr>
        <w:footnoteReference w:id="176"/>
      </w:r>
    </w:p>
    <w:p w14:paraId="6F644103" w14:textId="77777777" w:rsidR="00EB5652" w:rsidRPr="00E116CD" w:rsidRDefault="00EB5652" w:rsidP="00EB5652">
      <w:pPr>
        <w:shd w:val="clear" w:color="auto" w:fill="FFFFFF"/>
        <w:spacing w:line="360" w:lineRule="auto"/>
        <w:ind w:firstLine="720"/>
        <w:jc w:val="both"/>
        <w:rPr>
          <w:rFonts w:eastAsia="Times New Roman"/>
        </w:rPr>
      </w:pPr>
    </w:p>
    <w:p w14:paraId="741EFB02" w14:textId="77777777" w:rsidR="00EB5652" w:rsidRPr="00E116CD" w:rsidRDefault="00EB5652" w:rsidP="00EB5652">
      <w:pPr>
        <w:shd w:val="clear" w:color="auto" w:fill="FFFFFF"/>
        <w:spacing w:line="360" w:lineRule="auto"/>
        <w:ind w:firstLine="720"/>
        <w:jc w:val="both"/>
        <w:rPr>
          <w:rFonts w:eastAsia="Times New Roman"/>
          <w:lang w:bidi="ar-KW"/>
        </w:rPr>
      </w:pPr>
      <w:r w:rsidRPr="00E116CD">
        <w:rPr>
          <w:rFonts w:eastAsia="Times New Roman"/>
          <w:lang w:bidi="ar-AE"/>
        </w:rPr>
        <w:t xml:space="preserve">Le traducteur ne peut pas se passer de cette tradition exégétique extrêmement riche. D’où l’importance de la consulter. C’est aux exégèses que se réfèrent et doivent se référer les traducteurs du Coran pour pouvoir donner une bonne traduction. La plupart des traducteurs français du Coran soulignent dans leurs introductions avoir consulté les exégèses, et certains précisent les exégèses qu’ils ont consultées, majoritairement sunnites. </w:t>
      </w:r>
      <w:r w:rsidRPr="00E116CD">
        <w:rPr>
          <w:rFonts w:eastAsia="Times New Roman"/>
        </w:rPr>
        <w:t>En guise d’exemple, Régis Blachère s’est référé à quatre exégèses célèbres : celle d’aṭ-Ṭabarī, celle d’ar-Rāzī, celle d’al-Bayḍāwī et celle d’an-Nasafī.</w:t>
      </w:r>
      <w:r w:rsidRPr="00E116CD">
        <w:rPr>
          <w:rFonts w:eastAsia="Times New Roman"/>
          <w:lang w:bidi="ar-AE"/>
        </w:rPr>
        <w:t xml:space="preserve"> Ameur </w:t>
      </w:r>
      <w:r w:rsidRPr="00E116CD">
        <w:rPr>
          <w:rFonts w:eastAsia="Times New Roman"/>
        </w:rPr>
        <w:t>Ghédira souligne que sa traduction essaie de donner une interprétation qui s’appuie « sur l’exégèse la plus orthodoxe ».</w:t>
      </w:r>
      <w:r w:rsidRPr="00E116CD">
        <w:rPr>
          <w:rFonts w:eastAsia="Times New Roman"/>
          <w:lang w:bidi="ar-AE"/>
        </w:rPr>
        <w:t xml:space="preserve"> Jacques </w:t>
      </w:r>
      <w:r w:rsidRPr="00E116CD">
        <w:rPr>
          <w:rFonts w:eastAsia="Times New Roman"/>
        </w:rPr>
        <w:t>Berque, lui aussi, s’est référé aux exégèses sunnites en opérant un choix personnel</w:t>
      </w:r>
      <w:r w:rsidRPr="00E116CD">
        <w:rPr>
          <w:rFonts w:eastAsia="Times New Roman"/>
          <w:lang w:bidi="ar-AE"/>
        </w:rPr>
        <w:t>.</w:t>
      </w:r>
      <w:r w:rsidRPr="00E116CD">
        <w:rPr>
          <w:rFonts w:eastAsia="Times New Roman"/>
          <w:lang w:bidi="ar-KW"/>
        </w:rPr>
        <w:t xml:space="preserve"> </w:t>
      </w:r>
      <w:r w:rsidRPr="00E116CD">
        <w:rPr>
          <w:rFonts w:eastAsia="Times New Roman"/>
        </w:rPr>
        <w:t>René Khawam s’est référé aussi aux exégèses sunnites anciennes d’aṭ-Ṭabarī, d’ar-Rāzī, d’al-Bayḍāwī et d’an-Nasafī.</w:t>
      </w:r>
      <w:r w:rsidRPr="00E116CD">
        <w:rPr>
          <w:rFonts w:eastAsia="Times New Roman"/>
          <w:lang w:bidi="ar-KW"/>
        </w:rPr>
        <w:t xml:space="preserve"> </w:t>
      </w:r>
      <w:r w:rsidRPr="00E116CD">
        <w:rPr>
          <w:rFonts w:eastAsia="Times New Roman"/>
        </w:rPr>
        <w:t xml:space="preserve">Mohammed Chiadmi </w:t>
      </w:r>
      <w:r w:rsidRPr="00E116CD">
        <w:rPr>
          <w:rFonts w:eastAsia="SimSun"/>
          <w:lang w:eastAsia="zh-CN"/>
        </w:rPr>
        <w:t>s’est référé également aux exégèses sunnites anciennes d’aṭ-Ṭabarī, d’al-Qurṭubī et d’Ibn Kathīr</w:t>
      </w:r>
      <w:r w:rsidRPr="00E116CD">
        <w:rPr>
          <w:rFonts w:eastAsia="Times New Roman"/>
          <w:lang w:bidi="ar-AE"/>
        </w:rPr>
        <w:t>.</w:t>
      </w:r>
      <w:r w:rsidRPr="00E116CD">
        <w:rPr>
          <w:rFonts w:eastAsia="Times New Roman"/>
          <w:lang w:bidi="ar-KW"/>
        </w:rPr>
        <w:t xml:space="preserve"> </w:t>
      </w:r>
      <w:r w:rsidRPr="00E116CD">
        <w:rPr>
          <w:rFonts w:eastAsia="Times New Roman"/>
        </w:rPr>
        <w:t>Zeinab Abdelaziz et Hachemi Hafiane</w:t>
      </w:r>
      <w:r w:rsidRPr="00E116CD">
        <w:rPr>
          <w:rFonts w:eastAsia="Times New Roman"/>
          <w:lang w:bidi="ar-AE"/>
        </w:rPr>
        <w:t xml:space="preserve"> se sont</w:t>
      </w:r>
      <w:r w:rsidRPr="00E116CD">
        <w:rPr>
          <w:rFonts w:eastAsia="Times New Roman"/>
        </w:rPr>
        <w:t xml:space="preserve"> inspirés des exégètes sunnites et ont opté souvent pour l’interprétation la plus ancienne et la plus orthodoxe. Dans l’introduction de sa traduction, Abdelaziz souligne : « Pour l’exégèse, nous avons tenu compte de ce qui est fourni par les deux grands exégètes al-Qur</w:t>
      </w:r>
      <w:r w:rsidRPr="00E116CD">
        <w:rPr>
          <w:rFonts w:asciiTheme="majorBidi" w:eastAsia="Times New Roman" w:hAnsiTheme="majorBidi" w:cstheme="majorBidi"/>
        </w:rPr>
        <w:t>ṭ</w:t>
      </w:r>
      <w:r w:rsidRPr="00E116CD">
        <w:rPr>
          <w:rFonts w:eastAsia="Times New Roman"/>
        </w:rPr>
        <w:t>ubî et ar-Rāzi. »</w:t>
      </w:r>
      <w:r w:rsidRPr="00E116CD">
        <w:rPr>
          <w:rStyle w:val="Appelnotedebasdep"/>
          <w:rFonts w:eastAsia="Times New Roman"/>
        </w:rPr>
        <w:footnoteReference w:id="177"/>
      </w:r>
    </w:p>
    <w:p w14:paraId="639083B8" w14:textId="77777777" w:rsidR="00EB5652" w:rsidRPr="00E116CD" w:rsidRDefault="00EB5652" w:rsidP="00EB5652">
      <w:pPr>
        <w:shd w:val="clear" w:color="auto" w:fill="FFFFFF"/>
        <w:spacing w:line="360" w:lineRule="auto"/>
        <w:ind w:firstLine="720"/>
        <w:jc w:val="both"/>
        <w:rPr>
          <w:rFonts w:eastAsia="Calibri"/>
        </w:rPr>
      </w:pPr>
      <w:r w:rsidRPr="00E116CD">
        <w:rPr>
          <w:rFonts w:eastAsia="Calibri"/>
        </w:rPr>
        <w:t>L’exégèse prend toute son importance du fait qu’elle constitue une extension et une actualisation du texte coranique. Ainsi, elle peut être considérée comme complémentaire du texte. Elle comble les vides du texte et fait partie du Coran lui-même.</w:t>
      </w:r>
    </w:p>
    <w:p w14:paraId="3A1A1DC2" w14:textId="77777777" w:rsidR="00EB5652" w:rsidRPr="00E116CD" w:rsidRDefault="00EB5652" w:rsidP="00EB5652">
      <w:pPr>
        <w:shd w:val="clear" w:color="auto" w:fill="FFFFFF"/>
        <w:spacing w:line="360" w:lineRule="auto"/>
        <w:ind w:firstLine="720"/>
        <w:jc w:val="both"/>
        <w:rPr>
          <w:rFonts w:eastAsia="Calibri"/>
        </w:rPr>
      </w:pPr>
    </w:p>
    <w:p w14:paraId="16F4753E" w14:textId="77777777" w:rsidR="00EB5652" w:rsidRPr="00E116CD" w:rsidRDefault="00EB5652" w:rsidP="00EB5652">
      <w:pPr>
        <w:shd w:val="clear" w:color="auto" w:fill="FFFFFF"/>
        <w:spacing w:line="360" w:lineRule="auto"/>
        <w:ind w:firstLine="720"/>
        <w:jc w:val="both"/>
        <w:rPr>
          <w:rFonts w:eastAsia="Calibri"/>
        </w:rPr>
      </w:pPr>
      <w:r w:rsidRPr="00E116CD">
        <w:rPr>
          <w:rFonts w:eastAsia="Calibri"/>
        </w:rPr>
        <w:lastRenderedPageBreak/>
        <w:t>D’après les traductions, on peut dire que les traducteurs ont eu recours à des exégèses sunnites. À titre d’exemple, ils ont tous choisi l’interprétation sunnite des versets 15 et 52.</w:t>
      </w:r>
      <w:r w:rsidRPr="00E116CD">
        <w:rPr>
          <w:rStyle w:val="Appelnotedebasdep"/>
          <w:rFonts w:eastAsia="Calibri"/>
        </w:rPr>
        <w:footnoteReference w:id="178"/>
      </w:r>
      <w:r w:rsidRPr="00E116CD">
        <w:rPr>
          <w:rFonts w:eastAsia="Calibri"/>
        </w:rPr>
        <w:t xml:space="preserve"> On ne trouve dans les traductions aucune allusion à des personnages chiites comme </w:t>
      </w:r>
      <w:r w:rsidRPr="00E116CD">
        <w:rPr>
          <w:rFonts w:asciiTheme="majorBidi" w:eastAsia="Times New Roman" w:hAnsiTheme="majorBidi" w:cstheme="majorBidi"/>
          <w:sz w:val="20"/>
          <w:szCs w:val="20"/>
        </w:rPr>
        <w:t>ʿ</w:t>
      </w:r>
      <w:r w:rsidRPr="00E116CD">
        <w:rPr>
          <w:rFonts w:eastAsia="Calibri"/>
        </w:rPr>
        <w:t xml:space="preserve">Alī ni à des dogmes chiites comme l’imamat, que ce soit dans les traductions ou dans les NDT. En outre, on n’y évoque pas non plus des événements anciens précis que l’exegèse sunnite, au contraire, mentionne. En guise d’exemple, les traductions ne parlent pas de </w:t>
      </w:r>
      <w:r w:rsidRPr="00E116CD">
        <w:rPr>
          <w:rFonts w:eastAsia="Times New Roman"/>
          <w:lang w:bidi="ar-AE"/>
        </w:rPr>
        <w:t xml:space="preserve">la première bataille de Badr qui a opposé musulmans contre non-musulmans vers 624, bataille évoquée par Aṭ-Ṭabarī quand il a interprété le syntagme </w:t>
      </w:r>
      <w:r w:rsidRPr="00E116CD">
        <w:rPr>
          <w:rFonts w:eastAsia="Calibri"/>
          <w:i/>
          <w:iCs/>
        </w:rPr>
        <w:t>y</w:t>
      </w:r>
      <w:r w:rsidRPr="00E116CD">
        <w:rPr>
          <w:rFonts w:eastAsia="Times New Roman"/>
          <w:i/>
          <w:iCs/>
          <w:lang w:bidi="ar-AE"/>
        </w:rPr>
        <w:t>awm ʿaqīm</w:t>
      </w:r>
      <w:r w:rsidRPr="00E116CD">
        <w:rPr>
          <w:rFonts w:eastAsia="Times New Roman"/>
          <w:lang w:bidi="ar-AE"/>
        </w:rPr>
        <w:t xml:space="preserve"> [un jour stérile] (v. 55).</w:t>
      </w:r>
      <w:r w:rsidRPr="00E116CD">
        <w:rPr>
          <w:rStyle w:val="Appelnotedebasdep"/>
          <w:rFonts w:eastAsia="Times New Roman"/>
          <w:lang w:bidi="ar-AE"/>
        </w:rPr>
        <w:footnoteReference w:id="179"/>
      </w:r>
    </w:p>
    <w:p w14:paraId="3B42963A" w14:textId="77777777" w:rsidR="00EB5652" w:rsidRPr="00E116CD" w:rsidRDefault="00EB5652" w:rsidP="00EB5652">
      <w:pPr>
        <w:shd w:val="clear" w:color="auto" w:fill="FFFFFF"/>
        <w:spacing w:line="360" w:lineRule="auto"/>
        <w:ind w:firstLine="720"/>
        <w:jc w:val="both"/>
        <w:rPr>
          <w:rFonts w:eastAsia="Calibri"/>
        </w:rPr>
      </w:pPr>
      <w:r w:rsidRPr="00E116CD">
        <w:rPr>
          <w:rFonts w:eastAsia="Calibri"/>
        </w:rPr>
        <w:t xml:space="preserve">Plus précisément, les traducteurs ont généralement recours à la lecture de </w:t>
      </w:r>
      <w:r w:rsidRPr="00E116CD">
        <w:rPr>
          <w:rFonts w:asciiTheme="majorBidi" w:eastAsia="Times New Roman" w:hAnsiTheme="majorBidi" w:cstheme="majorBidi"/>
        </w:rPr>
        <w:t>Ḥafṣ d’après ʿĀṣim</w:t>
      </w:r>
      <w:r w:rsidRPr="00E116CD">
        <w:rPr>
          <w:rFonts w:eastAsia="Calibri"/>
        </w:rPr>
        <w:t xml:space="preserve"> au sein de l’exégèse sunnite. Zeinab Abdelaziz le dit clairement dans son « Avant-Propos ».</w:t>
      </w:r>
      <w:r w:rsidRPr="00E116CD">
        <w:rPr>
          <w:rStyle w:val="Appelnotedebasdep"/>
          <w:rFonts w:eastAsia="Calibri"/>
        </w:rPr>
        <w:footnoteReference w:id="180"/>
      </w:r>
      <w:r w:rsidRPr="00E116CD">
        <w:rPr>
          <w:rFonts w:eastAsia="Calibri"/>
        </w:rPr>
        <w:t xml:space="preserve"> Cependant, Du Ryer, Blachère, Chouraqui, Berque et Chebel ont eu recours à une autre lecture lors de la traduction du verset 39 quand ils ont traduit le verbe au passif </w:t>
      </w:r>
      <w:r w:rsidRPr="00E116CD">
        <w:rPr>
          <w:rFonts w:eastAsia="Calibri"/>
          <w:i/>
          <w:iCs/>
        </w:rPr>
        <w:t>yuqāt</w:t>
      </w:r>
      <w:r w:rsidRPr="00E116CD">
        <w:rPr>
          <w:rFonts w:eastAsia="Calibri"/>
          <w:b/>
          <w:bCs/>
          <w:i/>
          <w:iCs/>
        </w:rPr>
        <w:t>a</w:t>
      </w:r>
      <w:r w:rsidRPr="00E116CD">
        <w:rPr>
          <w:rFonts w:eastAsia="Calibri"/>
          <w:i/>
          <w:iCs/>
        </w:rPr>
        <w:t>lūna</w:t>
      </w:r>
      <w:r w:rsidRPr="00E116CD">
        <w:rPr>
          <w:rFonts w:eastAsia="Calibri"/>
        </w:rPr>
        <w:t xml:space="preserve"> par un verbe à l’actif </w:t>
      </w:r>
      <w:r w:rsidRPr="00E116CD">
        <w:rPr>
          <w:rFonts w:asciiTheme="majorBidi" w:eastAsia="Calibri" w:hAnsiTheme="majorBidi" w:cstheme="majorBidi"/>
          <w:lang w:bidi="ar-AE"/>
        </w:rPr>
        <w:t>(combattent/</w:t>
      </w:r>
      <w:r w:rsidRPr="00E116CD">
        <w:rPr>
          <w:rFonts w:asciiTheme="majorBidi" w:eastAsia="Times New Roman" w:hAnsiTheme="majorBidi" w:cstheme="majorBidi"/>
        </w:rPr>
        <w:t>ont combattu</w:t>
      </w:r>
      <w:r w:rsidRPr="00E116CD">
        <w:rPr>
          <w:rFonts w:asciiTheme="majorBidi" w:eastAsia="Calibri" w:hAnsiTheme="majorBidi" w:cstheme="majorBidi"/>
          <w:lang w:bidi="ar-AE"/>
        </w:rPr>
        <w:t>).</w:t>
      </w:r>
      <w:r w:rsidRPr="00E116CD">
        <w:rPr>
          <w:rStyle w:val="Appelnotedebasdep"/>
          <w:rFonts w:eastAsia="Calibri"/>
        </w:rPr>
        <w:footnoteReference w:id="181"/>
      </w:r>
      <w:r w:rsidRPr="00E116CD">
        <w:rPr>
          <w:rFonts w:asciiTheme="majorBidi" w:eastAsia="Calibri" w:hAnsiTheme="majorBidi" w:cstheme="majorBidi"/>
          <w:lang w:bidi="ar-AE"/>
        </w:rPr>
        <w:t xml:space="preserve"> D’autres ont essayé de sortir des lectures en traduisant le verbe à l’inaccompli </w:t>
      </w:r>
      <w:r w:rsidRPr="00E116CD">
        <w:rPr>
          <w:rFonts w:eastAsia="Calibri"/>
          <w:i/>
          <w:iCs/>
        </w:rPr>
        <w:t>yuqāt</w:t>
      </w:r>
      <w:r w:rsidRPr="00E116CD">
        <w:rPr>
          <w:rFonts w:eastAsia="Calibri"/>
          <w:b/>
          <w:bCs/>
          <w:i/>
          <w:iCs/>
        </w:rPr>
        <w:t>a</w:t>
      </w:r>
      <w:r w:rsidRPr="00E116CD">
        <w:rPr>
          <w:rFonts w:eastAsia="Calibri"/>
          <w:i/>
          <w:iCs/>
        </w:rPr>
        <w:t xml:space="preserve">lūna </w:t>
      </w:r>
      <w:r w:rsidRPr="00E116CD">
        <w:rPr>
          <w:rFonts w:eastAsia="Calibri"/>
        </w:rPr>
        <w:t>(passif)/</w:t>
      </w:r>
      <w:r w:rsidRPr="00E116CD">
        <w:rPr>
          <w:rFonts w:eastAsia="Calibri"/>
          <w:i/>
          <w:iCs/>
        </w:rPr>
        <w:t>yuqāt</w:t>
      </w:r>
      <w:r w:rsidRPr="00E116CD">
        <w:rPr>
          <w:rFonts w:eastAsia="Calibri"/>
          <w:b/>
          <w:bCs/>
          <w:i/>
          <w:iCs/>
        </w:rPr>
        <w:t>i</w:t>
      </w:r>
      <w:r w:rsidRPr="00E116CD">
        <w:rPr>
          <w:rFonts w:eastAsia="Calibri"/>
          <w:i/>
          <w:iCs/>
        </w:rPr>
        <w:t>lūna</w:t>
      </w:r>
      <w:r w:rsidRPr="00E116CD">
        <w:rPr>
          <w:rFonts w:eastAsia="Calibri"/>
        </w:rPr>
        <w:t xml:space="preserve"> (actif) par un nom. Ghédira a traduit la proposition relative </w:t>
      </w:r>
      <w:r w:rsidRPr="00E116CD">
        <w:rPr>
          <w:rFonts w:eastAsia="Calibri" w:hint="cs"/>
          <w:rtl/>
        </w:rPr>
        <w:t>للذين يقاتلون</w:t>
      </w:r>
      <w:r w:rsidRPr="00E116CD">
        <w:rPr>
          <w:rFonts w:eastAsia="Calibri"/>
        </w:rPr>
        <w:t xml:space="preserve"> [</w:t>
      </w:r>
      <w:r w:rsidRPr="00E116CD">
        <w:rPr>
          <w:rFonts w:eastAsia="Calibri"/>
          <w:i/>
          <w:iCs/>
        </w:rPr>
        <w:t>litt. </w:t>
      </w:r>
      <w:r w:rsidRPr="00E116CD">
        <w:rPr>
          <w:rFonts w:eastAsia="Calibri"/>
        </w:rPr>
        <w:t>: à ceux qui combattent ou qui sont combattus] par : « </w:t>
      </w:r>
      <w:r w:rsidRPr="00E116CD">
        <w:rPr>
          <w:rFonts w:asciiTheme="majorBidi" w:hAnsiTheme="majorBidi" w:cstheme="majorBidi"/>
        </w:rPr>
        <w:t>aux Musulmans</w:t>
      </w:r>
      <w:r w:rsidRPr="00E116CD">
        <w:rPr>
          <w:rFonts w:eastAsia="Calibri"/>
        </w:rPr>
        <w:t> » en réduisant et modifiant ainsi le champ sémantique pour désigner une seule communauté au lieu de désigner « tous ceux qui combattent ou sont combattus ».</w:t>
      </w:r>
    </w:p>
    <w:p w14:paraId="048A0C96" w14:textId="77777777" w:rsidR="00EB5652" w:rsidRPr="00E116CD" w:rsidRDefault="00EB5652" w:rsidP="00EB5652">
      <w:pPr>
        <w:shd w:val="clear" w:color="auto" w:fill="FFFFFF"/>
        <w:spacing w:line="360" w:lineRule="auto"/>
        <w:ind w:firstLine="720"/>
        <w:jc w:val="both"/>
        <w:rPr>
          <w:rFonts w:eastAsia="Calibri"/>
        </w:rPr>
      </w:pPr>
    </w:p>
    <w:p w14:paraId="3F117DFB" w14:textId="77777777" w:rsidR="00EB5652" w:rsidRPr="00E116CD" w:rsidRDefault="00EB5652" w:rsidP="00EB5652">
      <w:pPr>
        <w:shd w:val="clear" w:color="auto" w:fill="FFFFFF"/>
        <w:spacing w:line="360" w:lineRule="auto"/>
        <w:ind w:firstLine="720"/>
        <w:jc w:val="both"/>
        <w:rPr>
          <w:rFonts w:eastAsia="Calibri"/>
        </w:rPr>
      </w:pPr>
      <w:r w:rsidRPr="00E116CD">
        <w:rPr>
          <w:rFonts w:eastAsia="Calibri"/>
        </w:rPr>
        <w:t xml:space="preserve">Normalement, le traducteur part d’une traduction précédente pour y combler des lacunes et répondre à des besoins spécifiques du lectorat. Certains traducteurs critiquent les traductions précédentes et disent qu’ils ont apporté quelque chose de nouveau. Ce qui peut signifier que le rapport entre une traduction donnée et les traductions précédentes semble beaucoup plus fort que </w:t>
      </w:r>
      <w:r w:rsidRPr="00E116CD">
        <w:rPr>
          <w:rFonts w:eastAsia="Calibri"/>
        </w:rPr>
        <w:lastRenderedPageBreak/>
        <w:t xml:space="preserve">le rapport de cette traduction avec les exégèses. Le rapport entre les traductions semble évolutif dans le sens où chaque traduction complète la précédente et que les traductions ont ainsi évolué de manière linéaire indépendamment de l’exégèse. Savary </w:t>
      </w:r>
      <w:r w:rsidRPr="00E116CD">
        <w:rPr>
          <w:rFonts w:asciiTheme="majorBidi" w:eastAsia="Calibri" w:hAnsiTheme="majorBidi" w:cstheme="majorBidi"/>
          <w:lang w:bidi="ar-AE"/>
        </w:rPr>
        <w:t xml:space="preserve">(1782) </w:t>
      </w:r>
      <w:r w:rsidRPr="00E116CD">
        <w:rPr>
          <w:rFonts w:eastAsia="Calibri"/>
        </w:rPr>
        <w:t xml:space="preserve">a critiqué la précédente traduction de Du Ryer </w:t>
      </w:r>
      <w:r w:rsidRPr="00E116CD">
        <w:rPr>
          <w:rFonts w:asciiTheme="majorBidi" w:eastAsia="Calibri" w:hAnsiTheme="majorBidi" w:cstheme="majorBidi"/>
          <w:lang w:bidi="ar-AE"/>
        </w:rPr>
        <w:t xml:space="preserve">(1647) </w:t>
      </w:r>
      <w:r w:rsidRPr="00E116CD">
        <w:rPr>
          <w:rFonts w:eastAsia="Calibri"/>
        </w:rPr>
        <w:t>en disant : « Du Ryer, sans respect pour le texte, a lié les versets les uns aux autres, &amp; en a fait un discours suivi. Pour opérer cet assemblage difforme, il a recours à de froides conjonctions, à des bouts de phrase qui détruisant la noblesse des idées, le charme de la diction, rendent l’original méconnoissable. »</w:t>
      </w:r>
      <w:r w:rsidRPr="00E116CD">
        <w:rPr>
          <w:rStyle w:val="Appelnotedebasdep"/>
          <w:rFonts w:eastAsia="Calibri"/>
        </w:rPr>
        <w:footnoteReference w:id="182"/>
      </w:r>
      <w:r w:rsidRPr="00E116CD">
        <w:rPr>
          <w:rFonts w:eastAsia="Calibri"/>
        </w:rPr>
        <w:t xml:space="preserve"> Il souligne avoir réalisé sa traduction sous les yeux des Arabes en Égypte.</w:t>
      </w:r>
      <w:r w:rsidRPr="00E116CD">
        <w:rPr>
          <w:rStyle w:val="Appelnotedebasdep"/>
          <w:rFonts w:eastAsia="Calibri"/>
        </w:rPr>
        <w:footnoteReference w:id="183"/>
      </w:r>
      <w:r w:rsidRPr="00E116CD">
        <w:rPr>
          <w:rFonts w:eastAsia="Calibri"/>
        </w:rPr>
        <w:t xml:space="preserve"> Ce qui peut laisser entendre qu’il ne s’est peut-être pas pas référé directement aux exégèses. La traduction du Complexe du roi Fahd de Médine (2001) est une amélioration de la traduction précédente de Hamidullah </w:t>
      </w:r>
      <w:r w:rsidRPr="00E116CD">
        <w:rPr>
          <w:rFonts w:asciiTheme="majorBidi" w:eastAsia="Times New Roman" w:hAnsiTheme="majorBidi" w:cstheme="majorBidi"/>
        </w:rPr>
        <w:t>(1959)</w:t>
      </w:r>
      <w:r w:rsidRPr="00E116CD">
        <w:rPr>
          <w:rFonts w:eastAsia="Calibri"/>
        </w:rPr>
        <w:t>. Les commissions de traductions auprès du Complexe du Roi Fahd de Médine ont examiné plusieurs traductions précédentes pour choisir enfin celle de Hamidullah comme point de départ.</w:t>
      </w:r>
      <w:r w:rsidRPr="00E116CD">
        <w:rPr>
          <w:rStyle w:val="Appelnotedebasdep"/>
          <w:rFonts w:eastAsia="Calibri"/>
        </w:rPr>
        <w:footnoteReference w:id="184"/>
      </w:r>
      <w:r w:rsidRPr="00E116CD">
        <w:rPr>
          <w:rFonts w:eastAsia="Calibri"/>
        </w:rPr>
        <w:t xml:space="preserve"> Ensuite, elles ont apporté « les rectifications nécessaires basées sur d’autres traductions »</w:t>
      </w:r>
      <w:r w:rsidRPr="00E116CD">
        <w:rPr>
          <w:rStyle w:val="Appelnotedebasdep"/>
          <w:rFonts w:eastAsia="Calibri"/>
        </w:rPr>
        <w:footnoteReference w:id="185"/>
      </w:r>
      <w:r w:rsidRPr="00E116CD">
        <w:rPr>
          <w:rFonts w:eastAsia="Calibri"/>
        </w:rPr>
        <w:t>.</w:t>
      </w:r>
    </w:p>
    <w:p w14:paraId="1D1AD576" w14:textId="77777777" w:rsidR="00EB5652" w:rsidRPr="00E116CD" w:rsidRDefault="00EB5652" w:rsidP="00EB5652">
      <w:pPr>
        <w:shd w:val="clear" w:color="auto" w:fill="FFFFFF"/>
        <w:spacing w:line="360" w:lineRule="auto"/>
        <w:ind w:firstLine="720"/>
        <w:jc w:val="both"/>
        <w:rPr>
          <w:rFonts w:asciiTheme="majorBidi" w:eastAsia="Calibri" w:hAnsiTheme="majorBidi" w:cstheme="majorBidi"/>
        </w:rPr>
      </w:pPr>
      <w:r w:rsidRPr="00E116CD">
        <w:rPr>
          <w:rFonts w:eastAsia="Calibri"/>
        </w:rPr>
        <w:t>Jaques Berque (1990) s’est référé à la traduction de Si Hamza Boubakeur (1979).</w:t>
      </w:r>
      <w:r w:rsidRPr="00E116CD">
        <w:rPr>
          <w:rStyle w:val="Appelnotedebasdep"/>
          <w:rFonts w:eastAsia="Calibri"/>
        </w:rPr>
        <w:footnoteReference w:id="186"/>
      </w:r>
      <w:r w:rsidRPr="00E116CD">
        <w:rPr>
          <w:rFonts w:eastAsia="Calibri"/>
        </w:rPr>
        <w:t xml:space="preserve"> Berque précise avoir aussi recours à l’éthymologie, donc aux dictionnaires.</w:t>
      </w:r>
      <w:r w:rsidRPr="00E116CD">
        <w:rPr>
          <w:rStyle w:val="Appelnotedebasdep"/>
          <w:rFonts w:eastAsia="Calibri"/>
        </w:rPr>
        <w:footnoteReference w:id="187"/>
      </w:r>
      <w:r w:rsidRPr="00E116CD">
        <w:rPr>
          <w:rFonts w:eastAsia="Calibri"/>
        </w:rPr>
        <w:t xml:space="preserve"> Abdelaziz (2002) précise dans l’Avant-propos (p. 4) que les traducteurs musulmans qui visent à rectifier l’image de l’islam ont eu recours aux travaux de leurs confrères, étant « les possesseurs de la langue, pour s’orienter dans leur propre travail ».</w:t>
      </w:r>
      <w:r w:rsidRPr="00E116CD">
        <w:rPr>
          <w:rStyle w:val="Appelnotedebasdep"/>
          <w:rFonts w:eastAsia="Calibri"/>
        </w:rPr>
        <w:footnoteReference w:id="188"/>
      </w:r>
      <w:r w:rsidRPr="00E116CD">
        <w:rPr>
          <w:rFonts w:eastAsia="Calibri"/>
        </w:rPr>
        <w:t xml:space="preserve"> Ainsi, le recours à l’exégèse semble occasionnel. Il nous semble que certaines traductions ne sont que des variations sur la première traduction ou sur une traduction précédente et que les traducteurs ne se réfèrent à l’exégèse (sunnite en particulier) que pour apporter de légères modifications. Prenons comme exemples :</w:t>
      </w:r>
    </w:p>
    <w:tbl>
      <w:tblPr>
        <w:tblW w:w="87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7232"/>
      </w:tblGrid>
      <w:tr w:rsidR="00EB5652" w:rsidRPr="00E116CD" w14:paraId="02A21F22" w14:textId="77777777" w:rsidTr="002A1516">
        <w:tc>
          <w:tcPr>
            <w:tcW w:w="1559" w:type="dxa"/>
            <w:tcBorders>
              <w:top w:val="single" w:sz="4" w:space="0" w:color="auto"/>
              <w:left w:val="single" w:sz="4" w:space="0" w:color="auto"/>
              <w:bottom w:val="single" w:sz="4" w:space="0" w:color="auto"/>
              <w:right w:val="single" w:sz="4" w:space="0" w:color="auto"/>
            </w:tcBorders>
          </w:tcPr>
          <w:p w14:paraId="297BCA17" w14:textId="77777777" w:rsidR="00EB5652" w:rsidRPr="00E116CD" w:rsidRDefault="00EB5652" w:rsidP="002A1516">
            <w:pPr>
              <w:spacing w:line="360" w:lineRule="auto"/>
              <w:contextualSpacing/>
              <w:jc w:val="both"/>
              <w:rPr>
                <w:rFonts w:asciiTheme="majorBidi" w:eastAsia="Times New Roman" w:hAnsiTheme="majorBidi" w:cstheme="majorBidi"/>
                <w:sz w:val="20"/>
                <w:szCs w:val="20"/>
              </w:rPr>
            </w:pPr>
          </w:p>
        </w:tc>
        <w:tc>
          <w:tcPr>
            <w:tcW w:w="7232" w:type="dxa"/>
            <w:tcBorders>
              <w:top w:val="single" w:sz="4" w:space="0" w:color="auto"/>
              <w:left w:val="single" w:sz="4" w:space="0" w:color="auto"/>
              <w:bottom w:val="single" w:sz="4" w:space="0" w:color="auto"/>
              <w:right w:val="single" w:sz="4" w:space="0" w:color="auto"/>
            </w:tcBorders>
          </w:tcPr>
          <w:p w14:paraId="0D048D01" w14:textId="77777777" w:rsidR="00EB5652" w:rsidRPr="00E116CD" w:rsidRDefault="00EB5652" w:rsidP="002A1516">
            <w:pPr>
              <w:spacing w:line="360" w:lineRule="auto"/>
              <w:contextualSpacing/>
              <w:jc w:val="center"/>
              <w:rPr>
                <w:rFonts w:asciiTheme="majorBidi" w:eastAsia="Times New Roman" w:hAnsiTheme="majorBidi" w:cstheme="majorBidi"/>
                <w:sz w:val="20"/>
                <w:szCs w:val="20"/>
                <w:lang w:bidi="ar-KW"/>
              </w:rPr>
            </w:pPr>
            <w:r w:rsidRPr="00E116CD">
              <w:rPr>
                <w:rFonts w:asciiTheme="majorBidi" w:eastAsia="Times New Roman" w:hAnsiTheme="majorBidi" w:cstheme="majorBidi"/>
                <w:sz w:val="20"/>
                <w:szCs w:val="20"/>
                <w:shd w:val="clear" w:color="auto" w:fill="FFFFFF"/>
                <w:rtl/>
              </w:rPr>
              <w:t>"وإذْ بوَّأْنا لإبراهيمَ مكانَ البيتِ" (الحج، 26)</w:t>
            </w:r>
          </w:p>
        </w:tc>
      </w:tr>
      <w:tr w:rsidR="00EB5652" w:rsidRPr="00E116CD" w14:paraId="3A280A0F" w14:textId="77777777" w:rsidTr="002A1516">
        <w:tc>
          <w:tcPr>
            <w:tcW w:w="1559" w:type="dxa"/>
            <w:tcBorders>
              <w:top w:val="single" w:sz="4" w:space="0" w:color="auto"/>
              <w:left w:val="single" w:sz="4" w:space="0" w:color="auto"/>
              <w:bottom w:val="single" w:sz="4" w:space="0" w:color="auto"/>
              <w:right w:val="single" w:sz="4" w:space="0" w:color="auto"/>
            </w:tcBorders>
          </w:tcPr>
          <w:p w14:paraId="2090FE92"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rPr>
              <w:t xml:space="preserve">D. R. </w:t>
            </w:r>
            <w:r w:rsidRPr="000820DC">
              <w:rPr>
                <w:rFonts w:asciiTheme="majorBidi" w:eastAsia="Calibri" w:hAnsiTheme="majorBidi" w:cstheme="majorBidi"/>
                <w:sz w:val="20"/>
                <w:szCs w:val="20"/>
                <w:lang w:bidi="ar-AE"/>
              </w:rPr>
              <w:t>(1647)</w:t>
            </w:r>
          </w:p>
        </w:tc>
        <w:tc>
          <w:tcPr>
            <w:tcW w:w="7232" w:type="dxa"/>
            <w:tcBorders>
              <w:top w:val="single" w:sz="4" w:space="0" w:color="auto"/>
              <w:left w:val="single" w:sz="4" w:space="0" w:color="auto"/>
              <w:bottom w:val="single" w:sz="4" w:space="0" w:color="auto"/>
              <w:right w:val="single" w:sz="4" w:space="0" w:color="auto"/>
            </w:tcBorders>
          </w:tcPr>
          <w:p w14:paraId="7582E8C0"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shd w:val="clear" w:color="auto" w:fill="FFFFFF"/>
                <w:lang w:bidi="ar-KW"/>
              </w:rPr>
            </w:pPr>
            <w:r w:rsidRPr="000820DC">
              <w:rPr>
                <w:rFonts w:asciiTheme="majorBidi" w:eastAsia="Times New Roman" w:hAnsiTheme="majorBidi" w:cstheme="majorBidi"/>
                <w:sz w:val="20"/>
                <w:szCs w:val="20"/>
              </w:rPr>
              <w:t>Souuiens-toy que nous auons monʃtré à Abraham le lieu pour baʃtir le Temple de la Meque</w:t>
            </w:r>
          </w:p>
        </w:tc>
      </w:tr>
      <w:tr w:rsidR="00EB5652" w:rsidRPr="00E116CD" w14:paraId="76BE40B6" w14:textId="77777777" w:rsidTr="002A1516">
        <w:tc>
          <w:tcPr>
            <w:tcW w:w="1559" w:type="dxa"/>
            <w:tcBorders>
              <w:top w:val="single" w:sz="4" w:space="0" w:color="auto"/>
              <w:left w:val="single" w:sz="4" w:space="0" w:color="auto"/>
              <w:bottom w:val="single" w:sz="4" w:space="0" w:color="auto"/>
              <w:right w:val="single" w:sz="4" w:space="0" w:color="auto"/>
            </w:tcBorders>
          </w:tcPr>
          <w:p w14:paraId="2D16A21D"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lang w:bidi="ar-KW"/>
              </w:rPr>
              <w:t xml:space="preserve">Kaz. </w:t>
            </w:r>
            <w:r w:rsidRPr="000820DC">
              <w:rPr>
                <w:rFonts w:asciiTheme="majorBidi" w:eastAsia="SimSun" w:hAnsiTheme="majorBidi" w:cstheme="majorBidi"/>
                <w:sz w:val="20"/>
                <w:szCs w:val="20"/>
                <w:lang w:eastAsia="zh-CN"/>
              </w:rPr>
              <w:t>(</w:t>
            </w:r>
            <w:r w:rsidRPr="000820DC">
              <w:rPr>
                <w:rFonts w:asciiTheme="majorBidi" w:eastAsia="Times New Roman" w:hAnsiTheme="majorBidi" w:cstheme="majorBidi"/>
                <w:sz w:val="20"/>
                <w:szCs w:val="20"/>
                <w:lang w:eastAsia="en-AU"/>
              </w:rPr>
              <w:t>1840)</w:t>
            </w:r>
          </w:p>
        </w:tc>
        <w:tc>
          <w:tcPr>
            <w:tcW w:w="7232" w:type="dxa"/>
            <w:tcBorders>
              <w:top w:val="single" w:sz="4" w:space="0" w:color="auto"/>
              <w:left w:val="single" w:sz="4" w:space="0" w:color="auto"/>
              <w:bottom w:val="single" w:sz="4" w:space="0" w:color="auto"/>
              <w:right w:val="single" w:sz="4" w:space="0" w:color="auto"/>
            </w:tcBorders>
          </w:tcPr>
          <w:p w14:paraId="58560302" w14:textId="77777777" w:rsidR="00EB5652" w:rsidRPr="000820DC" w:rsidRDefault="00EB5652" w:rsidP="002A1516">
            <w:pPr>
              <w:spacing w:line="360" w:lineRule="auto"/>
              <w:ind w:right="113"/>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rPr>
              <w:t>Souviens-toi que nous avons indiqué à Abraham l’emplacement de la maison sainte</w:t>
            </w:r>
          </w:p>
        </w:tc>
      </w:tr>
      <w:tr w:rsidR="00EB5652" w:rsidRPr="00E116CD" w14:paraId="5D05E006" w14:textId="77777777" w:rsidTr="002A1516">
        <w:tc>
          <w:tcPr>
            <w:tcW w:w="1559" w:type="dxa"/>
            <w:tcBorders>
              <w:top w:val="single" w:sz="4" w:space="0" w:color="auto"/>
              <w:left w:val="single" w:sz="4" w:space="0" w:color="auto"/>
              <w:bottom w:val="single" w:sz="4" w:space="0" w:color="auto"/>
              <w:right w:val="single" w:sz="4" w:space="0" w:color="auto"/>
            </w:tcBorders>
          </w:tcPr>
          <w:p w14:paraId="7BC56FEA"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lang w:bidi="ar-KW"/>
              </w:rPr>
            </w:pPr>
            <w:r w:rsidRPr="000820DC">
              <w:rPr>
                <w:rFonts w:asciiTheme="majorBidi" w:eastAsia="Times New Roman" w:hAnsiTheme="majorBidi" w:cstheme="majorBidi"/>
                <w:sz w:val="20"/>
                <w:szCs w:val="20"/>
              </w:rPr>
              <w:t>Blach. (1949)</w:t>
            </w:r>
          </w:p>
        </w:tc>
        <w:tc>
          <w:tcPr>
            <w:tcW w:w="7232" w:type="dxa"/>
            <w:tcBorders>
              <w:top w:val="single" w:sz="4" w:space="0" w:color="auto"/>
              <w:left w:val="single" w:sz="4" w:space="0" w:color="auto"/>
              <w:bottom w:val="single" w:sz="4" w:space="0" w:color="auto"/>
              <w:right w:val="single" w:sz="4" w:space="0" w:color="auto"/>
            </w:tcBorders>
          </w:tcPr>
          <w:p w14:paraId="60635021"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rPr>
              <w:t>Et [rappelle-leur] quand Nous établîmes, pour Abraham, l’emplacement du Temple</w:t>
            </w:r>
          </w:p>
        </w:tc>
      </w:tr>
      <w:tr w:rsidR="00EB5652" w:rsidRPr="00E116CD" w14:paraId="1375B219" w14:textId="77777777" w:rsidTr="002A1516">
        <w:tc>
          <w:tcPr>
            <w:tcW w:w="1559" w:type="dxa"/>
            <w:tcBorders>
              <w:top w:val="single" w:sz="4" w:space="0" w:color="auto"/>
              <w:left w:val="single" w:sz="4" w:space="0" w:color="auto"/>
              <w:bottom w:val="single" w:sz="4" w:space="0" w:color="auto"/>
              <w:right w:val="single" w:sz="4" w:space="0" w:color="auto"/>
            </w:tcBorders>
          </w:tcPr>
          <w:p w14:paraId="45701E72"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rPr>
              <w:t xml:space="preserve">Ghéd. </w:t>
            </w:r>
            <w:r w:rsidRPr="000820DC">
              <w:rPr>
                <w:rFonts w:asciiTheme="majorBidi" w:eastAsia="SimSun" w:hAnsiTheme="majorBidi" w:cstheme="majorBidi"/>
                <w:sz w:val="20"/>
                <w:szCs w:val="20"/>
                <w:lang w:eastAsia="zh-CN"/>
              </w:rPr>
              <w:t>(1957</w:t>
            </w:r>
            <w:r w:rsidRPr="000820DC">
              <w:rPr>
                <w:rFonts w:asciiTheme="majorBidi" w:eastAsia="Calibri" w:hAnsiTheme="majorBidi" w:cstheme="majorBidi"/>
                <w:sz w:val="20"/>
                <w:szCs w:val="20"/>
                <w:lang w:bidi="ar-AE"/>
              </w:rPr>
              <w:t>)</w:t>
            </w:r>
          </w:p>
        </w:tc>
        <w:tc>
          <w:tcPr>
            <w:tcW w:w="7232" w:type="dxa"/>
            <w:tcBorders>
              <w:top w:val="single" w:sz="4" w:space="0" w:color="auto"/>
              <w:left w:val="single" w:sz="4" w:space="0" w:color="auto"/>
              <w:bottom w:val="single" w:sz="4" w:space="0" w:color="auto"/>
              <w:right w:val="single" w:sz="4" w:space="0" w:color="auto"/>
            </w:tcBorders>
          </w:tcPr>
          <w:p w14:paraId="794CD433"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rPr>
              <w:t xml:space="preserve">Souviens-toi lorsque Nous avons indiqué à Abraham l’emplacement de la Maison de </w:t>
            </w:r>
            <w:r w:rsidRPr="000820DC">
              <w:rPr>
                <w:rFonts w:asciiTheme="majorBidi" w:eastAsia="Times New Roman" w:hAnsiTheme="majorBidi" w:cstheme="majorBidi"/>
                <w:sz w:val="20"/>
                <w:szCs w:val="20"/>
              </w:rPr>
              <w:lastRenderedPageBreak/>
              <w:t>Dieu</w:t>
            </w:r>
          </w:p>
        </w:tc>
      </w:tr>
      <w:tr w:rsidR="00EB5652" w:rsidRPr="00E116CD" w14:paraId="13AF757E" w14:textId="77777777" w:rsidTr="002A1516">
        <w:tc>
          <w:tcPr>
            <w:tcW w:w="1559" w:type="dxa"/>
            <w:tcBorders>
              <w:top w:val="single" w:sz="4" w:space="0" w:color="auto"/>
              <w:left w:val="single" w:sz="4" w:space="0" w:color="auto"/>
              <w:bottom w:val="single" w:sz="4" w:space="0" w:color="auto"/>
              <w:right w:val="single" w:sz="4" w:space="0" w:color="auto"/>
            </w:tcBorders>
          </w:tcPr>
          <w:p w14:paraId="253E2F71"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rPr>
              <w:lastRenderedPageBreak/>
              <w:t>Chiad. (1999)</w:t>
            </w:r>
          </w:p>
        </w:tc>
        <w:tc>
          <w:tcPr>
            <w:tcW w:w="7232" w:type="dxa"/>
            <w:tcBorders>
              <w:top w:val="single" w:sz="4" w:space="0" w:color="auto"/>
              <w:left w:val="single" w:sz="4" w:space="0" w:color="auto"/>
              <w:bottom w:val="single" w:sz="4" w:space="0" w:color="auto"/>
              <w:right w:val="single" w:sz="4" w:space="0" w:color="auto"/>
            </w:tcBorders>
          </w:tcPr>
          <w:p w14:paraId="5DAECB08" w14:textId="77777777" w:rsidR="00EB5652" w:rsidRPr="000820DC" w:rsidRDefault="00EB5652" w:rsidP="002A1516">
            <w:pPr>
              <w:spacing w:line="360" w:lineRule="auto"/>
              <w:contextualSpacing/>
              <w:jc w:val="both"/>
              <w:rPr>
                <w:rFonts w:asciiTheme="majorBidi" w:eastAsia="Calibri" w:hAnsiTheme="majorBidi" w:cstheme="majorBidi"/>
                <w:sz w:val="20"/>
                <w:szCs w:val="20"/>
              </w:rPr>
            </w:pPr>
            <w:r w:rsidRPr="000820DC">
              <w:rPr>
                <w:rFonts w:asciiTheme="majorBidi" w:eastAsia="Calibri" w:hAnsiTheme="majorBidi" w:cstheme="majorBidi"/>
                <w:sz w:val="20"/>
                <w:szCs w:val="20"/>
              </w:rPr>
              <w:t>Rappelle-toi que, lorsque Nous avons installé Abraham sur l’emplacement du Temple*</w:t>
            </w:r>
          </w:p>
          <w:p w14:paraId="15AFC89A"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Calibri" w:hAnsiTheme="majorBidi" w:cstheme="majorBidi"/>
                <w:sz w:val="20"/>
                <w:szCs w:val="20"/>
              </w:rPr>
              <w:t>[*NDT : Le prophète Ibrâhîm (Abraham) est le fondateur de la Ka’ba : voir notamment 14/35-41. Selon la Tradition, la Ka’ba fut construite par les anges pour Adam. Ibrâhîm la reconstruit après qu’elle eut disparu à la suite du déluge.]</w:t>
            </w:r>
          </w:p>
        </w:tc>
      </w:tr>
      <w:tr w:rsidR="00EB5652" w:rsidRPr="00E116CD" w14:paraId="38D02922" w14:textId="77777777" w:rsidTr="002A1516">
        <w:tc>
          <w:tcPr>
            <w:tcW w:w="1559" w:type="dxa"/>
            <w:tcBorders>
              <w:top w:val="single" w:sz="4" w:space="0" w:color="auto"/>
              <w:left w:val="single" w:sz="4" w:space="0" w:color="auto"/>
              <w:bottom w:val="single" w:sz="4" w:space="0" w:color="auto"/>
              <w:right w:val="single" w:sz="4" w:space="0" w:color="auto"/>
            </w:tcBorders>
          </w:tcPr>
          <w:p w14:paraId="4D3B296E"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lang w:bidi="ar-KW"/>
              </w:rPr>
            </w:pPr>
            <w:r w:rsidRPr="000820DC">
              <w:rPr>
                <w:rFonts w:asciiTheme="majorBidi" w:eastAsia="Times New Roman" w:hAnsiTheme="majorBidi" w:cstheme="majorBidi"/>
                <w:sz w:val="20"/>
                <w:szCs w:val="20"/>
              </w:rPr>
              <w:t>Haf. (2010)</w:t>
            </w:r>
          </w:p>
        </w:tc>
        <w:tc>
          <w:tcPr>
            <w:tcW w:w="7232" w:type="dxa"/>
            <w:tcBorders>
              <w:top w:val="single" w:sz="4" w:space="0" w:color="auto"/>
              <w:left w:val="single" w:sz="4" w:space="0" w:color="auto"/>
              <w:bottom w:val="single" w:sz="4" w:space="0" w:color="auto"/>
              <w:right w:val="single" w:sz="4" w:space="0" w:color="auto"/>
            </w:tcBorders>
          </w:tcPr>
          <w:p w14:paraId="71B145D0" w14:textId="77777777" w:rsidR="00EB5652" w:rsidRPr="000820DC" w:rsidRDefault="00EB5652" w:rsidP="002A1516">
            <w:pPr>
              <w:spacing w:line="360" w:lineRule="auto"/>
              <w:contextualSpacing/>
              <w:jc w:val="both"/>
              <w:rPr>
                <w:rFonts w:asciiTheme="majorBidi" w:eastAsia="Times New Roman" w:hAnsiTheme="majorBidi" w:cstheme="majorBidi"/>
                <w:sz w:val="20"/>
                <w:szCs w:val="20"/>
              </w:rPr>
            </w:pPr>
            <w:r w:rsidRPr="000820DC">
              <w:rPr>
                <w:rFonts w:asciiTheme="majorBidi" w:eastAsia="Times New Roman" w:hAnsiTheme="majorBidi" w:cstheme="majorBidi"/>
                <w:sz w:val="20"/>
                <w:szCs w:val="20"/>
              </w:rPr>
              <w:t>Souviens-toi que Nous avons indiqué à Abraham le lieu de la Maison* [*NDT : La Kaâba de La Mecque]</w:t>
            </w:r>
          </w:p>
        </w:tc>
      </w:tr>
    </w:tbl>
    <w:p w14:paraId="24C6DED6" w14:textId="77777777" w:rsidR="00EB5652" w:rsidRPr="00E116CD" w:rsidRDefault="00EB5652" w:rsidP="00EB5652">
      <w:pPr>
        <w:shd w:val="clear" w:color="auto" w:fill="FFFFFF"/>
        <w:spacing w:line="360" w:lineRule="auto"/>
        <w:jc w:val="both"/>
        <w:rPr>
          <w:rFonts w:eastAsia="Calibri"/>
        </w:rPr>
      </w:pP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EB5652" w:rsidRPr="00E116CD" w14:paraId="5FF8AC50" w14:textId="77777777" w:rsidTr="002A1516">
        <w:trPr>
          <w:trHeight w:val="311"/>
          <w:jc w:val="center"/>
        </w:trPr>
        <w:tc>
          <w:tcPr>
            <w:tcW w:w="2024" w:type="dxa"/>
            <w:tcBorders>
              <w:top w:val="single" w:sz="4" w:space="0" w:color="auto"/>
              <w:left w:val="single" w:sz="4" w:space="0" w:color="auto"/>
              <w:bottom w:val="single" w:sz="4" w:space="0" w:color="auto"/>
              <w:right w:val="single" w:sz="4" w:space="0" w:color="auto"/>
            </w:tcBorders>
          </w:tcPr>
          <w:p w14:paraId="7C5F7747" w14:textId="77777777" w:rsidR="00EB5652" w:rsidRPr="00E116CD" w:rsidRDefault="00EB5652" w:rsidP="002A1516">
            <w:pPr>
              <w:spacing w:line="360" w:lineRule="auto"/>
              <w:contextualSpacing/>
              <w:rPr>
                <w:rFonts w:asciiTheme="majorBidi" w:eastAsia="Times New Roman" w:hAnsiTheme="majorBidi" w:cstheme="majorBidi"/>
                <w:b/>
                <w:bCs/>
                <w:sz w:val="20"/>
                <w:szCs w:val="20"/>
              </w:rPr>
            </w:pPr>
          </w:p>
        </w:tc>
        <w:tc>
          <w:tcPr>
            <w:tcW w:w="4580" w:type="dxa"/>
            <w:tcBorders>
              <w:top w:val="single" w:sz="4" w:space="0" w:color="auto"/>
              <w:left w:val="single" w:sz="4" w:space="0" w:color="auto"/>
              <w:bottom w:val="single" w:sz="4" w:space="0" w:color="auto"/>
              <w:right w:val="single" w:sz="4" w:space="0" w:color="auto"/>
            </w:tcBorders>
          </w:tcPr>
          <w:p w14:paraId="756FE031" w14:textId="77777777" w:rsidR="00EB5652" w:rsidRPr="00E116CD" w:rsidRDefault="00EB5652" w:rsidP="002A1516">
            <w:pPr>
              <w:bidi/>
              <w:spacing w:line="360" w:lineRule="auto"/>
              <w:contextualSpacing/>
              <w:jc w:val="center"/>
              <w:rPr>
                <w:rFonts w:asciiTheme="majorBidi" w:eastAsia="Times New Roman" w:hAnsiTheme="majorBidi" w:cstheme="majorBidi"/>
                <w:sz w:val="20"/>
                <w:szCs w:val="20"/>
                <w:shd w:val="clear" w:color="auto" w:fill="FFFFFF"/>
                <w:rtl/>
              </w:rPr>
            </w:pPr>
            <w:r w:rsidRPr="00E116CD">
              <w:rPr>
                <w:rFonts w:asciiTheme="majorBidi" w:eastAsia="Times New Roman" w:hAnsiTheme="majorBidi" w:cstheme="majorBidi"/>
                <w:sz w:val="20"/>
                <w:szCs w:val="20"/>
                <w:shd w:val="clear" w:color="auto" w:fill="FFFFFF"/>
                <w:rtl/>
              </w:rPr>
              <w:t>"فكيف كان نَكيرِ" (الحج، ٤٤)</w:t>
            </w:r>
          </w:p>
        </w:tc>
      </w:tr>
      <w:tr w:rsidR="00EB5652" w:rsidRPr="00E116CD" w14:paraId="266225E1"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61F76448" w14:textId="77777777" w:rsidR="00EB5652" w:rsidRPr="00E116CD" w:rsidRDefault="00EB5652" w:rsidP="002A1516">
            <w:pPr>
              <w:spacing w:line="360" w:lineRule="auto"/>
              <w:contextualSpacing/>
              <w:rPr>
                <w:rFonts w:asciiTheme="majorBidi" w:eastAsia="Times New Roman" w:hAnsiTheme="majorBidi" w:cstheme="majorBidi"/>
                <w:sz w:val="20"/>
                <w:szCs w:val="20"/>
                <w:lang w:bidi="ar-KW"/>
              </w:rPr>
            </w:pPr>
            <w:r w:rsidRPr="00E116CD">
              <w:rPr>
                <w:rFonts w:asciiTheme="majorBidi" w:eastAsia="Times New Roman" w:hAnsiTheme="majorBidi" w:cstheme="majorBidi"/>
                <w:sz w:val="20"/>
                <w:szCs w:val="20"/>
              </w:rPr>
              <w:t>Blach. (1949)</w:t>
            </w:r>
          </w:p>
        </w:tc>
        <w:tc>
          <w:tcPr>
            <w:tcW w:w="4580" w:type="dxa"/>
            <w:tcBorders>
              <w:top w:val="single" w:sz="4" w:space="0" w:color="auto"/>
              <w:left w:val="single" w:sz="4" w:space="0" w:color="auto"/>
              <w:bottom w:val="single" w:sz="4" w:space="0" w:color="auto"/>
              <w:right w:val="single" w:sz="4" w:space="0" w:color="auto"/>
            </w:tcBorders>
          </w:tcPr>
          <w:p w14:paraId="6ACF1B95"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hAnsiTheme="majorBidi" w:cstheme="majorBidi"/>
                <w:sz w:val="20"/>
                <w:szCs w:val="20"/>
              </w:rPr>
              <w:t>Quelle fut Ma réprobation !</w:t>
            </w:r>
          </w:p>
        </w:tc>
      </w:tr>
      <w:tr w:rsidR="00EB5652" w:rsidRPr="00E116CD" w14:paraId="3B2A650C"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1E54013B"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Ghéd. (1957)</w:t>
            </w:r>
          </w:p>
        </w:tc>
        <w:tc>
          <w:tcPr>
            <w:tcW w:w="4580" w:type="dxa"/>
            <w:tcBorders>
              <w:top w:val="single" w:sz="4" w:space="0" w:color="auto"/>
              <w:left w:val="single" w:sz="4" w:space="0" w:color="auto"/>
              <w:bottom w:val="single" w:sz="4" w:space="0" w:color="auto"/>
              <w:right w:val="single" w:sz="4" w:space="0" w:color="auto"/>
            </w:tcBorders>
          </w:tcPr>
          <w:p w14:paraId="17BFFBC5" w14:textId="77777777" w:rsidR="00EB5652" w:rsidRPr="00E116CD" w:rsidRDefault="00EB5652" w:rsidP="002A1516">
            <w:pPr>
              <w:spacing w:line="360" w:lineRule="auto"/>
              <w:contextualSpacing/>
              <w:rPr>
                <w:rFonts w:asciiTheme="majorBidi" w:eastAsia="Times New Roman" w:hAnsiTheme="majorBidi" w:cstheme="majorBidi"/>
                <w:b/>
                <w:bCs/>
                <w:sz w:val="20"/>
                <w:szCs w:val="20"/>
              </w:rPr>
            </w:pPr>
            <w:r w:rsidRPr="00E116CD">
              <w:rPr>
                <w:rFonts w:asciiTheme="majorBidi" w:hAnsiTheme="majorBidi" w:cstheme="majorBidi"/>
                <w:sz w:val="20"/>
                <w:szCs w:val="20"/>
              </w:rPr>
              <w:t>Quelle ne fut pas Ma réprobation !</w:t>
            </w:r>
          </w:p>
        </w:tc>
      </w:tr>
      <w:tr w:rsidR="00EB5652" w:rsidRPr="00E116CD" w14:paraId="606E53B4"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647344D7"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Hamid (1959)</w:t>
            </w:r>
          </w:p>
        </w:tc>
        <w:tc>
          <w:tcPr>
            <w:tcW w:w="4580" w:type="dxa"/>
            <w:tcBorders>
              <w:top w:val="single" w:sz="4" w:space="0" w:color="auto"/>
              <w:left w:val="single" w:sz="4" w:space="0" w:color="auto"/>
              <w:bottom w:val="single" w:sz="4" w:space="0" w:color="auto"/>
              <w:right w:val="single" w:sz="4" w:space="0" w:color="auto"/>
            </w:tcBorders>
          </w:tcPr>
          <w:p w14:paraId="3524D0E3"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hAnsiTheme="majorBidi" w:cstheme="majorBidi"/>
                <w:sz w:val="20"/>
                <w:szCs w:val="20"/>
              </w:rPr>
              <w:t>Et quelle réprobation que la Mienne !</w:t>
            </w:r>
          </w:p>
        </w:tc>
      </w:tr>
      <w:tr w:rsidR="00EB5652" w:rsidRPr="00E116CD" w14:paraId="7DF91B23"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038E05EC"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Mass. (1967)</w:t>
            </w:r>
          </w:p>
        </w:tc>
        <w:tc>
          <w:tcPr>
            <w:tcW w:w="4580" w:type="dxa"/>
            <w:tcBorders>
              <w:top w:val="single" w:sz="4" w:space="0" w:color="auto"/>
              <w:left w:val="single" w:sz="4" w:space="0" w:color="auto"/>
              <w:bottom w:val="single" w:sz="4" w:space="0" w:color="auto"/>
              <w:right w:val="single" w:sz="4" w:space="0" w:color="auto"/>
            </w:tcBorders>
          </w:tcPr>
          <w:p w14:paraId="7A85E6ED"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hAnsiTheme="majorBidi" w:cstheme="majorBidi"/>
                <w:sz w:val="20"/>
                <w:szCs w:val="20"/>
              </w:rPr>
              <w:t>quelle fut ma réprobation !</w:t>
            </w:r>
          </w:p>
        </w:tc>
      </w:tr>
      <w:tr w:rsidR="00EB5652" w:rsidRPr="00E116CD" w14:paraId="074400CC"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58931675" w14:textId="77777777" w:rsidR="00EB5652" w:rsidRPr="00E116CD" w:rsidRDefault="00EB5652" w:rsidP="002A1516">
            <w:pPr>
              <w:spacing w:line="360" w:lineRule="auto"/>
              <w:contextualSpacing/>
              <w:rPr>
                <w:rFonts w:asciiTheme="majorBidi" w:eastAsia="Times New Roman" w:hAnsiTheme="majorBidi" w:cstheme="majorBidi"/>
                <w:sz w:val="20"/>
                <w:szCs w:val="20"/>
                <w:lang w:bidi="ar-KW"/>
              </w:rPr>
            </w:pPr>
            <w:r w:rsidRPr="00E116CD">
              <w:rPr>
                <w:rFonts w:asciiTheme="majorBidi" w:eastAsia="Times New Roman" w:hAnsiTheme="majorBidi" w:cstheme="majorBidi"/>
                <w:sz w:val="20"/>
                <w:szCs w:val="20"/>
              </w:rPr>
              <w:t>Gros. (1972)</w:t>
            </w:r>
          </w:p>
        </w:tc>
        <w:tc>
          <w:tcPr>
            <w:tcW w:w="4580" w:type="dxa"/>
            <w:tcBorders>
              <w:top w:val="single" w:sz="4" w:space="0" w:color="auto"/>
              <w:left w:val="single" w:sz="4" w:space="0" w:color="auto"/>
              <w:bottom w:val="single" w:sz="4" w:space="0" w:color="auto"/>
              <w:right w:val="single" w:sz="4" w:space="0" w:color="auto"/>
            </w:tcBorders>
          </w:tcPr>
          <w:p w14:paraId="1DD17361" w14:textId="77777777" w:rsidR="00EB5652" w:rsidRPr="00E116CD" w:rsidRDefault="00EB5652" w:rsidP="002A1516">
            <w:pPr>
              <w:spacing w:line="360" w:lineRule="auto"/>
              <w:contextualSpacing/>
              <w:rPr>
                <w:rFonts w:asciiTheme="majorBidi" w:hAnsiTheme="majorBidi" w:cstheme="majorBidi"/>
                <w:sz w:val="20"/>
                <w:szCs w:val="20"/>
              </w:rPr>
            </w:pPr>
            <w:r w:rsidRPr="00E116CD">
              <w:rPr>
                <w:rFonts w:asciiTheme="majorBidi" w:hAnsiTheme="majorBidi" w:cstheme="majorBidi"/>
                <w:sz w:val="20"/>
                <w:szCs w:val="20"/>
              </w:rPr>
              <w:t>et quelle réprobation que la mienne !</w:t>
            </w:r>
          </w:p>
        </w:tc>
      </w:tr>
      <w:tr w:rsidR="00EB5652" w:rsidRPr="00E116CD" w14:paraId="409D0E44"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56DF3A32"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Chour. (1990)</w:t>
            </w:r>
          </w:p>
        </w:tc>
        <w:tc>
          <w:tcPr>
            <w:tcW w:w="4580" w:type="dxa"/>
            <w:tcBorders>
              <w:top w:val="single" w:sz="4" w:space="0" w:color="auto"/>
              <w:left w:val="single" w:sz="4" w:space="0" w:color="auto"/>
              <w:bottom w:val="single" w:sz="4" w:space="0" w:color="auto"/>
              <w:right w:val="single" w:sz="4" w:space="0" w:color="auto"/>
            </w:tcBorders>
          </w:tcPr>
          <w:p w14:paraId="4CC870D2" w14:textId="77777777" w:rsidR="00EB5652" w:rsidRPr="00E116CD" w:rsidRDefault="00EB5652" w:rsidP="002A1516">
            <w:pPr>
              <w:spacing w:line="360" w:lineRule="auto"/>
              <w:contextualSpacing/>
              <w:jc w:val="both"/>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ô, quelle est ma réprobation.</w:t>
            </w:r>
          </w:p>
        </w:tc>
      </w:tr>
      <w:tr w:rsidR="00EB5652" w:rsidRPr="00E116CD" w14:paraId="2665CF18" w14:textId="77777777" w:rsidTr="002A1516">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643928B5"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7FDB9811" w14:textId="77777777" w:rsidR="00EB5652" w:rsidRPr="00E116CD" w:rsidRDefault="00EB5652" w:rsidP="002A1516">
            <w:pPr>
              <w:spacing w:line="360" w:lineRule="auto"/>
              <w:contextualSpacing/>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et quel n’était pas Mon courroux !</w:t>
            </w:r>
          </w:p>
        </w:tc>
      </w:tr>
      <w:tr w:rsidR="00EB5652" w:rsidRPr="00E116CD" w14:paraId="33B67A46"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2AC69C91"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Chiad. (1999)</w:t>
            </w:r>
          </w:p>
        </w:tc>
        <w:tc>
          <w:tcPr>
            <w:tcW w:w="4580" w:type="dxa"/>
            <w:tcBorders>
              <w:top w:val="single" w:sz="4" w:space="0" w:color="auto"/>
              <w:left w:val="single" w:sz="4" w:space="0" w:color="auto"/>
              <w:bottom w:val="single" w:sz="4" w:space="0" w:color="auto"/>
              <w:right w:val="single" w:sz="4" w:space="0" w:color="auto"/>
            </w:tcBorders>
          </w:tcPr>
          <w:p w14:paraId="20714024"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hAnsiTheme="majorBidi" w:cstheme="majorBidi"/>
                <w:sz w:val="20"/>
                <w:szCs w:val="20"/>
              </w:rPr>
              <w:t>Et quel ne fut point alors Ma réprobation !</w:t>
            </w:r>
          </w:p>
        </w:tc>
      </w:tr>
      <w:tr w:rsidR="00EB5652" w:rsidRPr="00E116CD" w14:paraId="3F1AE1B2"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7A7D970F"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3F190D2A" w14:textId="77777777" w:rsidR="00EB5652" w:rsidRPr="00E116CD" w:rsidRDefault="00EB5652" w:rsidP="002A1516">
            <w:pPr>
              <w:shd w:val="clear" w:color="auto" w:fill="FFFFFF"/>
              <w:spacing w:line="360" w:lineRule="auto"/>
              <w:contextualSpacing/>
              <w:rPr>
                <w:rFonts w:asciiTheme="majorBidi" w:eastAsia="Times New Roman" w:hAnsiTheme="majorBidi" w:cstheme="majorBidi"/>
                <w:b/>
                <w:bCs/>
                <w:sz w:val="20"/>
                <w:szCs w:val="20"/>
              </w:rPr>
            </w:pPr>
            <w:r w:rsidRPr="00E116CD">
              <w:rPr>
                <w:rFonts w:asciiTheme="majorBidi" w:eastAsia="Times New Roman" w:hAnsiTheme="majorBidi" w:cstheme="majorBidi"/>
                <w:sz w:val="20"/>
                <w:szCs w:val="20"/>
              </w:rPr>
              <w:t>Et quelle fut Ma réprobation !</w:t>
            </w:r>
          </w:p>
        </w:tc>
      </w:tr>
      <w:tr w:rsidR="00EB5652" w:rsidRPr="00E116CD" w14:paraId="682123D2"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0551308D" w14:textId="77777777" w:rsidR="00EB5652" w:rsidRPr="00E116CD" w:rsidRDefault="00EB5652" w:rsidP="002A1516">
            <w:pPr>
              <w:spacing w:line="360" w:lineRule="auto"/>
              <w:contextualSpacing/>
              <w:rPr>
                <w:rFonts w:asciiTheme="majorBidi" w:eastAsia="Times New Roman" w:hAnsiTheme="majorBidi" w:cstheme="majorBidi"/>
                <w:sz w:val="20"/>
                <w:szCs w:val="20"/>
                <w:lang w:bidi="ar-KW"/>
              </w:rPr>
            </w:pPr>
            <w:r w:rsidRPr="00E116CD">
              <w:rPr>
                <w:rFonts w:asciiTheme="majorBidi" w:eastAsia="Times New Roman" w:hAnsiTheme="majorBidi" w:cstheme="majorBidi"/>
                <w:sz w:val="20"/>
                <w:szCs w:val="20"/>
              </w:rPr>
              <w:t>Z. Abdel. (2002)</w:t>
            </w:r>
          </w:p>
        </w:tc>
        <w:tc>
          <w:tcPr>
            <w:tcW w:w="4580" w:type="dxa"/>
            <w:tcBorders>
              <w:top w:val="single" w:sz="4" w:space="0" w:color="auto"/>
              <w:left w:val="single" w:sz="4" w:space="0" w:color="auto"/>
              <w:bottom w:val="single" w:sz="4" w:space="0" w:color="auto"/>
              <w:right w:val="single" w:sz="4" w:space="0" w:color="auto"/>
            </w:tcBorders>
          </w:tcPr>
          <w:p w14:paraId="16C03E42" w14:textId="77777777" w:rsidR="00EB5652" w:rsidRPr="00E116CD" w:rsidRDefault="00EB5652" w:rsidP="002A1516">
            <w:pPr>
              <w:shd w:val="clear" w:color="auto" w:fill="FFFFFF"/>
              <w:spacing w:line="360" w:lineRule="auto"/>
              <w:contextualSpacing/>
              <w:rPr>
                <w:rFonts w:asciiTheme="majorBidi" w:eastAsia="Times New Roman" w:hAnsiTheme="majorBidi" w:cstheme="majorBidi"/>
                <w:sz w:val="20"/>
                <w:szCs w:val="20"/>
              </w:rPr>
            </w:pPr>
            <w:r w:rsidRPr="00E116CD">
              <w:rPr>
                <w:rFonts w:asciiTheme="majorBidi" w:hAnsiTheme="majorBidi" w:cstheme="majorBidi"/>
                <w:sz w:val="20"/>
                <w:szCs w:val="20"/>
              </w:rPr>
              <w:t>Quelle ne fut alors Ma Réprobation ?</w:t>
            </w:r>
          </w:p>
        </w:tc>
      </w:tr>
      <w:tr w:rsidR="00EB5652" w:rsidRPr="00E116CD" w14:paraId="0CC8101B"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5A6811D2"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658079A8" w14:textId="77777777" w:rsidR="00EB5652" w:rsidRPr="00E116CD" w:rsidRDefault="00EB5652" w:rsidP="002A1516">
            <w:pPr>
              <w:spacing w:line="360" w:lineRule="auto"/>
              <w:contextualSpacing/>
              <w:rPr>
                <w:rFonts w:asciiTheme="majorBidi" w:eastAsia="Times New Roman" w:hAnsiTheme="majorBidi" w:cstheme="majorBidi"/>
                <w:b/>
                <w:bCs/>
                <w:sz w:val="20"/>
                <w:szCs w:val="20"/>
                <w:lang w:bidi="ar-KW"/>
              </w:rPr>
            </w:pPr>
            <w:r w:rsidRPr="00E116CD">
              <w:rPr>
                <w:rFonts w:asciiTheme="majorBidi" w:eastAsia="Times New Roman" w:hAnsiTheme="majorBidi" w:cstheme="majorBidi"/>
                <w:sz w:val="20"/>
                <w:szCs w:val="20"/>
                <w:lang w:eastAsia="fr-CH"/>
              </w:rPr>
              <w:t>Quelle fut ma réprobation!</w:t>
            </w:r>
          </w:p>
        </w:tc>
      </w:tr>
      <w:tr w:rsidR="00EB5652" w:rsidRPr="00E116CD" w14:paraId="5A24F5C7" w14:textId="77777777" w:rsidTr="002A1516">
        <w:trPr>
          <w:jc w:val="center"/>
        </w:trPr>
        <w:tc>
          <w:tcPr>
            <w:tcW w:w="2024" w:type="dxa"/>
            <w:tcBorders>
              <w:top w:val="single" w:sz="4" w:space="0" w:color="auto"/>
              <w:left w:val="single" w:sz="4" w:space="0" w:color="auto"/>
              <w:bottom w:val="single" w:sz="4" w:space="0" w:color="auto"/>
              <w:right w:val="single" w:sz="4" w:space="0" w:color="auto"/>
            </w:tcBorders>
          </w:tcPr>
          <w:p w14:paraId="721E88C3" w14:textId="77777777" w:rsidR="00EB5652" w:rsidRPr="00E116CD" w:rsidRDefault="00EB5652" w:rsidP="002A1516">
            <w:pPr>
              <w:spacing w:line="360" w:lineRule="auto"/>
              <w:contextualSpacing/>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Haf. (2010)</w:t>
            </w:r>
          </w:p>
        </w:tc>
        <w:tc>
          <w:tcPr>
            <w:tcW w:w="4580" w:type="dxa"/>
            <w:tcBorders>
              <w:top w:val="single" w:sz="4" w:space="0" w:color="auto"/>
              <w:left w:val="single" w:sz="4" w:space="0" w:color="auto"/>
              <w:bottom w:val="single" w:sz="4" w:space="0" w:color="auto"/>
              <w:right w:val="single" w:sz="4" w:space="0" w:color="auto"/>
            </w:tcBorders>
          </w:tcPr>
          <w:p w14:paraId="1871A072" w14:textId="77777777" w:rsidR="00EB5652" w:rsidRPr="00E116CD" w:rsidRDefault="00EB5652" w:rsidP="002A1516">
            <w:pPr>
              <w:spacing w:line="360" w:lineRule="auto"/>
              <w:contextualSpacing/>
              <w:rPr>
                <w:rFonts w:asciiTheme="majorBidi" w:eastAsia="Times New Roman" w:hAnsiTheme="majorBidi" w:cstheme="majorBidi"/>
                <w:b/>
                <w:bCs/>
                <w:sz w:val="20"/>
                <w:szCs w:val="20"/>
              </w:rPr>
            </w:pPr>
            <w:r w:rsidRPr="00E116CD">
              <w:rPr>
                <w:rFonts w:asciiTheme="majorBidi" w:hAnsiTheme="majorBidi" w:cstheme="majorBidi"/>
                <w:sz w:val="20"/>
                <w:szCs w:val="20"/>
              </w:rPr>
              <w:t>Quelle fut alors Ma réprobation !</w:t>
            </w:r>
          </w:p>
        </w:tc>
      </w:tr>
    </w:tbl>
    <w:p w14:paraId="56F5AE41" w14:textId="77777777" w:rsidR="00EB5652" w:rsidRPr="00E116CD" w:rsidRDefault="00EB5652" w:rsidP="00EB5652">
      <w:pPr>
        <w:shd w:val="clear" w:color="auto" w:fill="FFFFFF"/>
        <w:spacing w:line="360" w:lineRule="auto"/>
        <w:jc w:val="both"/>
        <w:rPr>
          <w:rFonts w:eastAsia="Calibri"/>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930"/>
      </w:tblGrid>
      <w:tr w:rsidR="00EB5652" w:rsidRPr="00E116CD" w14:paraId="74BAE04E" w14:textId="77777777" w:rsidTr="002A1516">
        <w:trPr>
          <w:trHeight w:val="424"/>
        </w:trPr>
        <w:tc>
          <w:tcPr>
            <w:tcW w:w="1418" w:type="dxa"/>
            <w:tcBorders>
              <w:top w:val="single" w:sz="4" w:space="0" w:color="auto"/>
              <w:left w:val="single" w:sz="4" w:space="0" w:color="auto"/>
              <w:bottom w:val="single" w:sz="4" w:space="0" w:color="auto"/>
              <w:right w:val="single" w:sz="4" w:space="0" w:color="auto"/>
            </w:tcBorders>
          </w:tcPr>
          <w:p w14:paraId="2A2AE116" w14:textId="77777777" w:rsidR="00EB5652" w:rsidRPr="00E116CD" w:rsidRDefault="00EB5652" w:rsidP="002A1516">
            <w:pPr>
              <w:tabs>
                <w:tab w:val="right" w:pos="993"/>
              </w:tabs>
              <w:spacing w:line="360" w:lineRule="auto"/>
              <w:contextualSpacing/>
              <w:jc w:val="center"/>
              <w:rPr>
                <w:rFonts w:asciiTheme="majorBidi" w:eastAsia="Calibri" w:hAnsiTheme="majorBidi" w:cstheme="majorBidi"/>
                <w:b/>
                <w:bCs/>
                <w:sz w:val="20"/>
                <w:szCs w:val="20"/>
                <w:lang w:bidi="ar-AE"/>
              </w:rPr>
            </w:pPr>
          </w:p>
        </w:tc>
        <w:tc>
          <w:tcPr>
            <w:tcW w:w="8930" w:type="dxa"/>
            <w:tcBorders>
              <w:top w:val="single" w:sz="4" w:space="0" w:color="auto"/>
              <w:left w:val="single" w:sz="4" w:space="0" w:color="auto"/>
              <w:bottom w:val="single" w:sz="4" w:space="0" w:color="auto"/>
              <w:right w:val="single" w:sz="4" w:space="0" w:color="auto"/>
            </w:tcBorders>
          </w:tcPr>
          <w:p w14:paraId="4A09CAEE" w14:textId="77777777" w:rsidR="00EB5652" w:rsidRPr="00E116CD" w:rsidRDefault="00EB5652" w:rsidP="002A1516">
            <w:pPr>
              <w:tabs>
                <w:tab w:val="right" w:pos="993"/>
              </w:tabs>
              <w:bidi/>
              <w:spacing w:line="360" w:lineRule="auto"/>
              <w:contextualSpacing/>
              <w:jc w:val="center"/>
              <w:rPr>
                <w:rFonts w:asciiTheme="majorBidi" w:eastAsia="Calibri" w:hAnsiTheme="majorBidi" w:cstheme="majorBidi"/>
                <w:b/>
                <w:bCs/>
                <w:sz w:val="20"/>
                <w:szCs w:val="20"/>
                <w:lang w:bidi="ar-AE"/>
              </w:rPr>
            </w:pPr>
            <w:r w:rsidRPr="00E116CD">
              <w:rPr>
                <w:rFonts w:asciiTheme="majorBidi" w:eastAsia="Times New Roman" w:hAnsiTheme="majorBidi" w:cstheme="majorBidi"/>
                <w:sz w:val="20"/>
                <w:szCs w:val="20"/>
                <w:rtl/>
                <w:lang w:bidi="ar-AE"/>
              </w:rPr>
              <w:t>“</w:t>
            </w:r>
            <w:r w:rsidRPr="00E116CD">
              <w:rPr>
                <w:rFonts w:asciiTheme="majorBidi" w:eastAsia="Times New Roman" w:hAnsiTheme="majorBidi" w:cstheme="majorBidi"/>
                <w:sz w:val="20"/>
                <w:szCs w:val="20"/>
                <w:rtl/>
              </w:rPr>
              <w:t>يا أَيُّها النَّاسُ اتَّـــقُوا رَبَّكُمْ إِنَّ زَلْزَلَةَ السَّاعةِ شَيءٌ عَظِيم."</w:t>
            </w:r>
          </w:p>
        </w:tc>
      </w:tr>
      <w:tr w:rsidR="00EB5652" w:rsidRPr="00E116CD" w14:paraId="076392A1" w14:textId="77777777" w:rsidTr="002A1516">
        <w:tc>
          <w:tcPr>
            <w:tcW w:w="1418" w:type="dxa"/>
            <w:tcBorders>
              <w:top w:val="single" w:sz="4" w:space="0" w:color="auto"/>
              <w:left w:val="single" w:sz="4" w:space="0" w:color="auto"/>
              <w:bottom w:val="single" w:sz="4" w:space="0" w:color="auto"/>
              <w:right w:val="single" w:sz="4" w:space="0" w:color="auto"/>
            </w:tcBorders>
          </w:tcPr>
          <w:p w14:paraId="403BF3FE"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Times New Roman" w:hAnsiTheme="majorBidi" w:cstheme="majorBidi"/>
                <w:sz w:val="20"/>
                <w:szCs w:val="20"/>
              </w:rPr>
              <w:t>D.R.</w:t>
            </w:r>
            <w:r w:rsidRPr="00E116CD">
              <w:rPr>
                <w:rFonts w:asciiTheme="majorBidi" w:eastAsia="Calibri" w:hAnsiTheme="majorBidi" w:cstheme="majorBidi"/>
                <w:sz w:val="20"/>
                <w:szCs w:val="20"/>
                <w:lang w:bidi="ar-AE"/>
              </w:rPr>
              <w:t xml:space="preserve"> (1647)</w:t>
            </w:r>
          </w:p>
        </w:tc>
        <w:tc>
          <w:tcPr>
            <w:tcW w:w="8930" w:type="dxa"/>
            <w:tcBorders>
              <w:top w:val="single" w:sz="4" w:space="0" w:color="auto"/>
              <w:left w:val="single" w:sz="4" w:space="0" w:color="auto"/>
              <w:bottom w:val="single" w:sz="4" w:space="0" w:color="auto"/>
              <w:right w:val="single" w:sz="4" w:space="0" w:color="auto"/>
            </w:tcBorders>
          </w:tcPr>
          <w:p w14:paraId="570C213A"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O peuple craignez Dieu, le tremblement de Terre qui arrivera au jour du Jugement sera estrange,</w:t>
            </w:r>
          </w:p>
        </w:tc>
      </w:tr>
      <w:tr w:rsidR="00EB5652" w:rsidRPr="00E116CD" w14:paraId="05F8B826" w14:textId="77777777" w:rsidTr="002A1516">
        <w:tc>
          <w:tcPr>
            <w:tcW w:w="1418" w:type="dxa"/>
            <w:tcBorders>
              <w:top w:val="single" w:sz="4" w:space="0" w:color="auto"/>
              <w:left w:val="single" w:sz="4" w:space="0" w:color="auto"/>
              <w:bottom w:val="single" w:sz="4" w:space="0" w:color="auto"/>
              <w:right w:val="single" w:sz="4" w:space="0" w:color="auto"/>
            </w:tcBorders>
          </w:tcPr>
          <w:p w14:paraId="11FCD4D3"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SimSun" w:hAnsiTheme="majorBidi" w:cstheme="majorBidi"/>
                <w:sz w:val="20"/>
                <w:szCs w:val="20"/>
                <w:lang w:eastAsia="zh-CN"/>
              </w:rPr>
              <w:t xml:space="preserve">Sav. </w:t>
            </w:r>
            <w:r w:rsidRPr="00E116CD">
              <w:rPr>
                <w:rFonts w:asciiTheme="majorBidi" w:eastAsia="Calibri" w:hAnsiTheme="majorBidi" w:cstheme="majorBidi"/>
                <w:sz w:val="20"/>
                <w:szCs w:val="20"/>
                <w:lang w:bidi="ar-AE"/>
              </w:rPr>
              <w:t>(1782)</w:t>
            </w:r>
          </w:p>
        </w:tc>
        <w:tc>
          <w:tcPr>
            <w:tcW w:w="8930" w:type="dxa"/>
            <w:tcBorders>
              <w:top w:val="single" w:sz="4" w:space="0" w:color="auto"/>
              <w:left w:val="single" w:sz="4" w:space="0" w:color="auto"/>
              <w:bottom w:val="single" w:sz="4" w:space="0" w:color="auto"/>
              <w:right w:val="single" w:sz="4" w:space="0" w:color="auto"/>
            </w:tcBorders>
          </w:tcPr>
          <w:p w14:paraId="2B7D6E2F"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Mortels, craignez le Seigneur, parce que le tremblement de terre du grand jour sera épouvantable.</w:t>
            </w:r>
          </w:p>
        </w:tc>
      </w:tr>
      <w:tr w:rsidR="00EB5652" w:rsidRPr="00E116CD" w14:paraId="4B9CF416" w14:textId="77777777" w:rsidTr="002A1516">
        <w:tc>
          <w:tcPr>
            <w:tcW w:w="1418" w:type="dxa"/>
            <w:tcBorders>
              <w:top w:val="single" w:sz="4" w:space="0" w:color="auto"/>
              <w:left w:val="single" w:sz="4" w:space="0" w:color="auto"/>
              <w:bottom w:val="single" w:sz="4" w:space="0" w:color="auto"/>
              <w:right w:val="single" w:sz="4" w:space="0" w:color="auto"/>
            </w:tcBorders>
          </w:tcPr>
          <w:p w14:paraId="31BD50B0"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SimSun" w:hAnsiTheme="majorBidi" w:cstheme="majorBidi"/>
                <w:sz w:val="20"/>
                <w:szCs w:val="20"/>
                <w:lang w:eastAsia="zh-CN"/>
              </w:rPr>
              <w:t>Kaz. (</w:t>
            </w:r>
            <w:r w:rsidRPr="00E116CD">
              <w:rPr>
                <w:rFonts w:asciiTheme="majorBidi" w:eastAsia="Times New Roman" w:hAnsiTheme="majorBidi" w:cstheme="majorBidi"/>
                <w:sz w:val="20"/>
                <w:szCs w:val="20"/>
                <w:lang w:eastAsia="en-AU"/>
              </w:rPr>
              <w:t>1840</w:t>
            </w:r>
            <w:r w:rsidRPr="00E116CD">
              <w:rPr>
                <w:rFonts w:asciiTheme="majorBidi" w:eastAsia="Calibri" w:hAnsiTheme="majorBidi" w:cstheme="majorBidi"/>
                <w:sz w:val="20"/>
                <w:szCs w:val="20"/>
                <w:lang w:bidi="ar-AE"/>
              </w:rPr>
              <w:t>)</w:t>
            </w:r>
          </w:p>
        </w:tc>
        <w:tc>
          <w:tcPr>
            <w:tcW w:w="8930" w:type="dxa"/>
            <w:tcBorders>
              <w:top w:val="single" w:sz="4" w:space="0" w:color="auto"/>
              <w:left w:val="single" w:sz="4" w:space="0" w:color="auto"/>
              <w:bottom w:val="single" w:sz="4" w:space="0" w:color="auto"/>
              <w:right w:val="single" w:sz="4" w:space="0" w:color="auto"/>
            </w:tcBorders>
          </w:tcPr>
          <w:p w14:paraId="46CD4355" w14:textId="77777777" w:rsidR="00EB5652" w:rsidRPr="00E116CD" w:rsidRDefault="00EB5652" w:rsidP="002A1516">
            <w:pPr>
              <w:spacing w:line="360" w:lineRule="auto"/>
              <w:contextualSpacing/>
              <w:jc w:val="both"/>
              <w:rPr>
                <w:rFonts w:asciiTheme="majorBidi" w:eastAsia="Times New Roman" w:hAnsiTheme="majorBidi" w:cstheme="majorBidi"/>
                <w:i/>
                <w:iCs/>
                <w:sz w:val="20"/>
                <w:szCs w:val="20"/>
              </w:rPr>
            </w:pPr>
            <w:r w:rsidRPr="00E116CD">
              <w:rPr>
                <w:rFonts w:asciiTheme="majorBidi" w:eastAsia="Times New Roman" w:hAnsiTheme="majorBidi" w:cstheme="majorBidi"/>
                <w:sz w:val="20"/>
                <w:szCs w:val="20"/>
              </w:rPr>
              <w:t xml:space="preserve">Ô hommes ! craignez votre Seigneur. Le tremblement de terre du grand jour sera terrible. </w:t>
            </w:r>
            <w:r w:rsidRPr="00E116CD">
              <w:rPr>
                <w:rFonts w:asciiTheme="majorBidi" w:eastAsia="Times New Roman" w:hAnsiTheme="majorBidi" w:cstheme="majorBidi"/>
                <w:i/>
                <w:iCs/>
                <w:sz w:val="20"/>
                <w:szCs w:val="20"/>
              </w:rPr>
              <w:t>(NDT : hommes = mecquois, ceux qui écoutent)</w:t>
            </w:r>
          </w:p>
        </w:tc>
      </w:tr>
      <w:tr w:rsidR="00EB5652" w:rsidRPr="00E116CD" w14:paraId="10F4416F" w14:textId="77777777" w:rsidTr="002A1516">
        <w:tc>
          <w:tcPr>
            <w:tcW w:w="1418" w:type="dxa"/>
            <w:tcBorders>
              <w:top w:val="single" w:sz="4" w:space="0" w:color="auto"/>
              <w:left w:val="single" w:sz="4" w:space="0" w:color="auto"/>
              <w:bottom w:val="single" w:sz="4" w:space="0" w:color="auto"/>
              <w:right w:val="single" w:sz="4" w:space="0" w:color="auto"/>
            </w:tcBorders>
          </w:tcPr>
          <w:p w14:paraId="5F4CD285"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SimSun" w:hAnsiTheme="majorBidi" w:cstheme="majorBidi"/>
                <w:sz w:val="20"/>
                <w:szCs w:val="20"/>
                <w:lang w:eastAsia="zh-CN"/>
              </w:rPr>
              <w:t>Ghéd. (1957</w:t>
            </w:r>
            <w:r w:rsidRPr="00E116CD">
              <w:rPr>
                <w:rFonts w:asciiTheme="majorBidi" w:eastAsia="Calibri" w:hAnsiTheme="majorBidi" w:cstheme="majorBidi"/>
                <w:sz w:val="20"/>
                <w:szCs w:val="20"/>
                <w:lang w:bidi="ar-AE"/>
              </w:rPr>
              <w:t>)</w:t>
            </w:r>
          </w:p>
        </w:tc>
        <w:tc>
          <w:tcPr>
            <w:tcW w:w="8930" w:type="dxa"/>
            <w:tcBorders>
              <w:top w:val="single" w:sz="4" w:space="0" w:color="auto"/>
              <w:left w:val="single" w:sz="4" w:space="0" w:color="auto"/>
              <w:bottom w:val="single" w:sz="4" w:space="0" w:color="auto"/>
              <w:right w:val="single" w:sz="4" w:space="0" w:color="auto"/>
            </w:tcBorders>
          </w:tcPr>
          <w:p w14:paraId="2135330D"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Hommes ! craignez votre Seigneur, car le séisme à l’Heure du Jugement sera une chose terrible.</w:t>
            </w:r>
          </w:p>
        </w:tc>
      </w:tr>
      <w:tr w:rsidR="00EB5652" w:rsidRPr="00E116CD" w14:paraId="0DC78C59" w14:textId="77777777" w:rsidTr="002A1516">
        <w:tc>
          <w:tcPr>
            <w:tcW w:w="1418" w:type="dxa"/>
            <w:tcBorders>
              <w:top w:val="single" w:sz="4" w:space="0" w:color="auto"/>
              <w:left w:val="single" w:sz="4" w:space="0" w:color="auto"/>
              <w:bottom w:val="single" w:sz="4" w:space="0" w:color="auto"/>
              <w:right w:val="single" w:sz="4" w:space="0" w:color="auto"/>
            </w:tcBorders>
          </w:tcPr>
          <w:p w14:paraId="057EEC49"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Times New Roman" w:hAnsiTheme="majorBidi" w:cstheme="majorBidi"/>
                <w:sz w:val="20"/>
                <w:szCs w:val="20"/>
              </w:rPr>
              <w:t>Hamid. (1959)</w:t>
            </w:r>
          </w:p>
        </w:tc>
        <w:tc>
          <w:tcPr>
            <w:tcW w:w="8930" w:type="dxa"/>
            <w:tcBorders>
              <w:top w:val="single" w:sz="4" w:space="0" w:color="auto"/>
              <w:left w:val="single" w:sz="4" w:space="0" w:color="auto"/>
              <w:bottom w:val="single" w:sz="4" w:space="0" w:color="auto"/>
              <w:right w:val="single" w:sz="4" w:space="0" w:color="auto"/>
            </w:tcBorders>
          </w:tcPr>
          <w:p w14:paraId="713B5F65"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Ho, les gens ! Craignez votre Seigneur. Oui, c’est une chose énorme que le tremblement de l’Heure !</w:t>
            </w:r>
          </w:p>
        </w:tc>
      </w:tr>
      <w:tr w:rsidR="00EB5652" w:rsidRPr="00E116CD" w14:paraId="04535FB7" w14:textId="77777777" w:rsidTr="002A1516">
        <w:tc>
          <w:tcPr>
            <w:tcW w:w="1418" w:type="dxa"/>
            <w:tcBorders>
              <w:top w:val="single" w:sz="4" w:space="0" w:color="auto"/>
              <w:left w:val="single" w:sz="4" w:space="0" w:color="auto"/>
              <w:bottom w:val="single" w:sz="4" w:space="0" w:color="auto"/>
              <w:right w:val="single" w:sz="4" w:space="0" w:color="auto"/>
            </w:tcBorders>
          </w:tcPr>
          <w:p w14:paraId="3B5FE01D"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Times New Roman" w:hAnsiTheme="majorBidi" w:cstheme="majorBidi"/>
                <w:sz w:val="20"/>
                <w:szCs w:val="20"/>
              </w:rPr>
              <w:t>Mass. (1967)</w:t>
            </w:r>
          </w:p>
        </w:tc>
        <w:tc>
          <w:tcPr>
            <w:tcW w:w="8930" w:type="dxa"/>
            <w:tcBorders>
              <w:top w:val="single" w:sz="4" w:space="0" w:color="auto"/>
              <w:left w:val="single" w:sz="4" w:space="0" w:color="auto"/>
              <w:bottom w:val="single" w:sz="4" w:space="0" w:color="auto"/>
              <w:right w:val="single" w:sz="4" w:space="0" w:color="auto"/>
            </w:tcBorders>
          </w:tcPr>
          <w:p w14:paraId="682591B3"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Ô vous les hommes ! Craignez votre Seigneur ! Le tremblement de terre de l’Heure sera sûrement quelque chose de terrible !</w:t>
            </w:r>
          </w:p>
        </w:tc>
      </w:tr>
      <w:tr w:rsidR="00EB5652" w:rsidRPr="00E116CD" w14:paraId="053DDCC1" w14:textId="77777777" w:rsidTr="002A1516">
        <w:tc>
          <w:tcPr>
            <w:tcW w:w="1418" w:type="dxa"/>
            <w:tcBorders>
              <w:top w:val="single" w:sz="4" w:space="0" w:color="auto"/>
              <w:left w:val="single" w:sz="4" w:space="0" w:color="auto"/>
              <w:bottom w:val="single" w:sz="4" w:space="0" w:color="auto"/>
              <w:right w:val="single" w:sz="4" w:space="0" w:color="auto"/>
            </w:tcBorders>
          </w:tcPr>
          <w:p w14:paraId="0D8BA13C" w14:textId="77777777" w:rsidR="00EB5652" w:rsidRPr="00E116CD" w:rsidRDefault="00EB5652" w:rsidP="002A1516">
            <w:pPr>
              <w:tabs>
                <w:tab w:val="right" w:pos="993"/>
              </w:tabs>
              <w:spacing w:line="360" w:lineRule="auto"/>
              <w:contextualSpacing/>
              <w:jc w:val="both"/>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Méd. (2001)</w:t>
            </w:r>
          </w:p>
        </w:tc>
        <w:tc>
          <w:tcPr>
            <w:tcW w:w="8930" w:type="dxa"/>
            <w:tcBorders>
              <w:top w:val="single" w:sz="4" w:space="0" w:color="auto"/>
              <w:left w:val="single" w:sz="4" w:space="0" w:color="auto"/>
              <w:bottom w:val="single" w:sz="4" w:space="0" w:color="auto"/>
              <w:right w:val="single" w:sz="4" w:space="0" w:color="auto"/>
            </w:tcBorders>
          </w:tcPr>
          <w:p w14:paraId="40B545A7" w14:textId="77777777" w:rsidR="00EB5652" w:rsidRPr="00E116CD" w:rsidRDefault="00EB5652" w:rsidP="002A1516">
            <w:pPr>
              <w:tabs>
                <w:tab w:val="right" w:pos="993"/>
              </w:tabs>
              <w:spacing w:line="360" w:lineRule="auto"/>
              <w:contextualSpacing/>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Ô hommes ! Craignez votre Seigneur. Le séisme [qui précédera] l’Heure est une chose terrible.</w:t>
            </w:r>
          </w:p>
        </w:tc>
      </w:tr>
      <w:tr w:rsidR="00EB5652" w:rsidRPr="00E116CD" w14:paraId="69A3BAF8" w14:textId="77777777" w:rsidTr="002A1516">
        <w:tc>
          <w:tcPr>
            <w:tcW w:w="1418" w:type="dxa"/>
            <w:tcBorders>
              <w:top w:val="single" w:sz="4" w:space="0" w:color="auto"/>
              <w:left w:val="single" w:sz="4" w:space="0" w:color="auto"/>
              <w:bottom w:val="single" w:sz="4" w:space="0" w:color="auto"/>
              <w:right w:val="single" w:sz="4" w:space="0" w:color="auto"/>
            </w:tcBorders>
          </w:tcPr>
          <w:p w14:paraId="314A9DB9" w14:textId="77777777" w:rsidR="00EB5652" w:rsidRPr="00E116CD" w:rsidRDefault="00EB5652" w:rsidP="002A1516">
            <w:pPr>
              <w:tabs>
                <w:tab w:val="right" w:pos="993"/>
              </w:tabs>
              <w:spacing w:line="360" w:lineRule="auto"/>
              <w:contextualSpacing/>
              <w:jc w:val="both"/>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Abdel. (2002)</w:t>
            </w:r>
          </w:p>
        </w:tc>
        <w:tc>
          <w:tcPr>
            <w:tcW w:w="8930" w:type="dxa"/>
            <w:tcBorders>
              <w:top w:val="single" w:sz="4" w:space="0" w:color="auto"/>
              <w:left w:val="single" w:sz="4" w:space="0" w:color="auto"/>
              <w:bottom w:val="single" w:sz="4" w:space="0" w:color="auto"/>
              <w:right w:val="single" w:sz="4" w:space="0" w:color="auto"/>
            </w:tcBorders>
          </w:tcPr>
          <w:p w14:paraId="1691923C" w14:textId="77777777" w:rsidR="00EB5652" w:rsidRPr="00E116CD" w:rsidRDefault="00EB5652" w:rsidP="002A1516">
            <w:pPr>
              <w:tabs>
                <w:tab w:val="right" w:pos="993"/>
              </w:tabs>
              <w:spacing w:line="360" w:lineRule="auto"/>
              <w:contextualSpacing/>
              <w:rPr>
                <w:rFonts w:asciiTheme="majorBidi" w:eastAsia="Calibri" w:hAnsiTheme="majorBidi" w:cstheme="majorBidi"/>
                <w:sz w:val="20"/>
                <w:szCs w:val="20"/>
                <w:lang w:bidi="ar-AE"/>
              </w:rPr>
            </w:pPr>
            <w:r w:rsidRPr="00E116CD">
              <w:rPr>
                <w:rFonts w:asciiTheme="majorBidi" w:eastAsia="Times New Roman" w:hAnsiTheme="majorBidi" w:cstheme="majorBidi"/>
                <w:sz w:val="20"/>
                <w:szCs w:val="20"/>
                <w:lang w:eastAsia="fr-CH"/>
              </w:rPr>
              <w:t>O Hommes ! Craignez votre Seigneur. L’ébranlement de l’Heure est sûrement une chose immense.</w:t>
            </w:r>
          </w:p>
        </w:tc>
      </w:tr>
      <w:tr w:rsidR="00EB5652" w:rsidRPr="00E116CD" w14:paraId="662F5327" w14:textId="77777777" w:rsidTr="002A1516">
        <w:tc>
          <w:tcPr>
            <w:tcW w:w="1418" w:type="dxa"/>
            <w:tcBorders>
              <w:top w:val="single" w:sz="4" w:space="0" w:color="auto"/>
              <w:left w:val="single" w:sz="4" w:space="0" w:color="auto"/>
              <w:bottom w:val="single" w:sz="4" w:space="0" w:color="auto"/>
              <w:right w:val="single" w:sz="4" w:space="0" w:color="auto"/>
            </w:tcBorders>
          </w:tcPr>
          <w:p w14:paraId="4948BE9E" w14:textId="77777777" w:rsidR="00EB5652" w:rsidRPr="00E116CD" w:rsidRDefault="00EB5652" w:rsidP="002A1516">
            <w:pPr>
              <w:tabs>
                <w:tab w:val="right" w:pos="993"/>
              </w:tabs>
              <w:spacing w:line="360" w:lineRule="auto"/>
              <w:contextualSpacing/>
              <w:jc w:val="both"/>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 xml:space="preserve">Chiad. (2004) </w:t>
            </w:r>
          </w:p>
        </w:tc>
        <w:tc>
          <w:tcPr>
            <w:tcW w:w="8930" w:type="dxa"/>
            <w:tcBorders>
              <w:top w:val="single" w:sz="4" w:space="0" w:color="auto"/>
              <w:left w:val="single" w:sz="4" w:space="0" w:color="auto"/>
              <w:bottom w:val="single" w:sz="4" w:space="0" w:color="auto"/>
              <w:right w:val="single" w:sz="4" w:space="0" w:color="auto"/>
            </w:tcBorders>
          </w:tcPr>
          <w:p w14:paraId="06C59D47" w14:textId="77777777" w:rsidR="00EB5652" w:rsidRPr="00E116CD" w:rsidRDefault="00EB5652" w:rsidP="002A1516">
            <w:pPr>
              <w:tabs>
                <w:tab w:val="right" w:pos="993"/>
              </w:tabs>
              <w:spacing w:line="360" w:lineRule="auto"/>
              <w:contextualSpacing/>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Ô hommes ! Craignez votre Seigneur, car le tremblement de l’Heure dernière sera quelque chose de terrifiant !</w:t>
            </w:r>
          </w:p>
        </w:tc>
      </w:tr>
      <w:tr w:rsidR="00EB5652" w:rsidRPr="00E116CD" w14:paraId="2C043177" w14:textId="77777777" w:rsidTr="002A1516">
        <w:tc>
          <w:tcPr>
            <w:tcW w:w="1418" w:type="dxa"/>
            <w:tcBorders>
              <w:top w:val="single" w:sz="4" w:space="0" w:color="auto"/>
              <w:left w:val="single" w:sz="4" w:space="0" w:color="auto"/>
              <w:bottom w:val="single" w:sz="4" w:space="0" w:color="auto"/>
              <w:right w:val="single" w:sz="4" w:space="0" w:color="auto"/>
            </w:tcBorders>
          </w:tcPr>
          <w:p w14:paraId="4095FF5F" w14:textId="77777777" w:rsidR="00EB5652" w:rsidRPr="00E116CD" w:rsidRDefault="00EB5652" w:rsidP="002A1516">
            <w:pPr>
              <w:tabs>
                <w:tab w:val="right" w:pos="993"/>
              </w:tabs>
              <w:spacing w:line="360" w:lineRule="auto"/>
              <w:contextualSpacing/>
              <w:jc w:val="both"/>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lastRenderedPageBreak/>
              <w:t>Cheb. (2009)</w:t>
            </w:r>
          </w:p>
        </w:tc>
        <w:tc>
          <w:tcPr>
            <w:tcW w:w="8930" w:type="dxa"/>
            <w:tcBorders>
              <w:top w:val="single" w:sz="4" w:space="0" w:color="auto"/>
              <w:left w:val="single" w:sz="4" w:space="0" w:color="auto"/>
              <w:bottom w:val="single" w:sz="4" w:space="0" w:color="auto"/>
              <w:right w:val="single" w:sz="4" w:space="0" w:color="auto"/>
            </w:tcBorders>
          </w:tcPr>
          <w:p w14:paraId="5572B12F"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Ô vous les hommes, craignez votre Seigneur, car le jour où le séisme de l’Heure se produira, ce sera quelque chose d’immense.</w:t>
            </w:r>
          </w:p>
        </w:tc>
      </w:tr>
      <w:tr w:rsidR="00EB5652" w:rsidRPr="00E116CD" w14:paraId="015523F5" w14:textId="77777777" w:rsidTr="002A1516">
        <w:tc>
          <w:tcPr>
            <w:tcW w:w="1418" w:type="dxa"/>
            <w:tcBorders>
              <w:top w:val="single" w:sz="4" w:space="0" w:color="auto"/>
              <w:left w:val="single" w:sz="4" w:space="0" w:color="auto"/>
              <w:bottom w:val="single" w:sz="4" w:space="0" w:color="auto"/>
              <w:right w:val="single" w:sz="4" w:space="0" w:color="auto"/>
            </w:tcBorders>
          </w:tcPr>
          <w:p w14:paraId="37EA7075" w14:textId="77777777" w:rsidR="00EB5652" w:rsidRPr="00E116CD" w:rsidRDefault="00EB5652" w:rsidP="002A1516">
            <w:pPr>
              <w:tabs>
                <w:tab w:val="right" w:pos="993"/>
              </w:tabs>
              <w:spacing w:line="360" w:lineRule="auto"/>
              <w:contextualSpacing/>
              <w:jc w:val="both"/>
              <w:rPr>
                <w:rFonts w:asciiTheme="majorBidi" w:eastAsia="Times New Roman" w:hAnsiTheme="majorBidi" w:cstheme="majorBidi"/>
                <w:sz w:val="20"/>
                <w:szCs w:val="20"/>
              </w:rPr>
            </w:pPr>
            <w:r w:rsidRPr="00E116CD">
              <w:rPr>
                <w:rFonts w:asciiTheme="majorBidi" w:eastAsia="Times New Roman" w:hAnsiTheme="majorBidi" w:cstheme="majorBidi"/>
                <w:sz w:val="20"/>
                <w:szCs w:val="20"/>
              </w:rPr>
              <w:t>Haf. (2010)</w:t>
            </w:r>
          </w:p>
        </w:tc>
        <w:tc>
          <w:tcPr>
            <w:tcW w:w="8930" w:type="dxa"/>
            <w:tcBorders>
              <w:top w:val="single" w:sz="4" w:space="0" w:color="auto"/>
              <w:left w:val="single" w:sz="4" w:space="0" w:color="auto"/>
              <w:bottom w:val="single" w:sz="4" w:space="0" w:color="auto"/>
              <w:right w:val="single" w:sz="4" w:space="0" w:color="auto"/>
            </w:tcBorders>
          </w:tcPr>
          <w:p w14:paraId="37E90442" w14:textId="77777777" w:rsidR="00EB5652" w:rsidRPr="00E116CD" w:rsidRDefault="00EB5652" w:rsidP="002A1516">
            <w:pPr>
              <w:tabs>
                <w:tab w:val="right" w:pos="993"/>
              </w:tabs>
              <w:spacing w:line="360" w:lineRule="auto"/>
              <w:contextualSpacing/>
              <w:jc w:val="both"/>
              <w:rPr>
                <w:rFonts w:asciiTheme="majorBidi" w:eastAsia="Calibri" w:hAnsiTheme="majorBidi" w:cstheme="majorBidi"/>
                <w:sz w:val="20"/>
                <w:szCs w:val="20"/>
                <w:lang w:bidi="ar-AE"/>
              </w:rPr>
            </w:pPr>
            <w:r w:rsidRPr="00E116CD">
              <w:rPr>
                <w:rFonts w:asciiTheme="majorBidi" w:eastAsia="Calibri" w:hAnsiTheme="majorBidi" w:cstheme="majorBidi"/>
                <w:sz w:val="20"/>
                <w:szCs w:val="20"/>
                <w:lang w:bidi="ar-AE"/>
              </w:rPr>
              <w:t>Ô hommes ! Craignez votre Seigneur ! En vérité, le séisme de l’Heure sera terrible.</w:t>
            </w:r>
          </w:p>
        </w:tc>
      </w:tr>
    </w:tbl>
    <w:p w14:paraId="3A512886" w14:textId="77777777" w:rsidR="00EB5652" w:rsidRPr="00E116CD" w:rsidRDefault="00EB5652" w:rsidP="00EB5652">
      <w:pPr>
        <w:shd w:val="clear" w:color="auto" w:fill="FFFFFF"/>
        <w:spacing w:line="360" w:lineRule="auto"/>
        <w:jc w:val="both"/>
        <w:rPr>
          <w:rFonts w:eastAsia="Calibri"/>
        </w:rPr>
      </w:pPr>
    </w:p>
    <w:p w14:paraId="568C7133" w14:textId="77777777" w:rsidR="00EB5652" w:rsidRPr="00E116CD" w:rsidRDefault="00EB5652" w:rsidP="00EB5652">
      <w:pPr>
        <w:shd w:val="clear" w:color="auto" w:fill="FFFFFF"/>
        <w:spacing w:line="360" w:lineRule="auto"/>
        <w:ind w:firstLine="720"/>
        <w:jc w:val="both"/>
        <w:rPr>
          <w:rFonts w:asciiTheme="majorBidi" w:eastAsia="Calibri" w:hAnsiTheme="majorBidi" w:cstheme="majorBidi"/>
        </w:rPr>
      </w:pPr>
      <w:r w:rsidRPr="00E116CD">
        <w:rPr>
          <w:rFonts w:eastAsia="Calibri"/>
        </w:rPr>
        <w:t>Ce qui veut dire que les traductions « </w:t>
      </w:r>
      <w:r w:rsidRPr="00E116CD">
        <w:rPr>
          <w:rFonts w:asciiTheme="majorBidi" w:eastAsia="Calibri" w:hAnsiTheme="majorBidi" w:cstheme="majorBidi"/>
        </w:rPr>
        <w:t xml:space="preserve">peuvent </w:t>
      </w:r>
      <w:r w:rsidRPr="00E116CD">
        <w:rPr>
          <w:rFonts w:asciiTheme="majorBidi" w:hAnsiTheme="majorBidi" w:cstheme="majorBidi"/>
        </w:rPr>
        <w:t>diverger dans l’interprétation de tel mot ou tel verset, elles se caractérisent globalement, les unes et les autres, par un souci poussé de fidélité à l’original, que ce soit par scrupule scientifique et/ou éthique chez les premiers ou par piétisme chez les seconds. Ainsi, les traditions de traduction des textes fondateurs du christianisme et de l’islam incarnent remarquablement les deux grands modèles concurrents de traduction : celui qui donne la priorité à la culture de réception (la Bible) et celui qui privilégie la fidélité au texte original (le Coran). »</w:t>
      </w:r>
      <w:r w:rsidRPr="00E116CD">
        <w:rPr>
          <w:rStyle w:val="Appelnotedebasdep"/>
          <w:rFonts w:asciiTheme="majorBidi" w:hAnsiTheme="majorBidi" w:cstheme="majorBidi"/>
        </w:rPr>
        <w:footnoteReference w:id="189"/>
      </w:r>
    </w:p>
    <w:p w14:paraId="64DF92A2" w14:textId="77777777" w:rsidR="00EB5652" w:rsidRPr="00E116CD" w:rsidRDefault="00EB5652" w:rsidP="00EB5652">
      <w:pPr>
        <w:shd w:val="clear" w:color="auto" w:fill="FFFFFF"/>
        <w:spacing w:line="360" w:lineRule="auto"/>
        <w:jc w:val="both"/>
        <w:rPr>
          <w:rFonts w:eastAsia="Calibri"/>
        </w:rPr>
      </w:pPr>
    </w:p>
    <w:p w14:paraId="73B862E9" w14:textId="7E913448" w:rsidR="00936F65" w:rsidRDefault="00EB5652" w:rsidP="00936F65">
      <w:pPr>
        <w:shd w:val="clear" w:color="auto" w:fill="FFFFFF"/>
        <w:spacing w:line="360" w:lineRule="auto"/>
        <w:ind w:firstLine="720"/>
        <w:jc w:val="both"/>
        <w:rPr>
          <w:rFonts w:eastAsia="Calibri"/>
        </w:rPr>
      </w:pPr>
      <w:r w:rsidRPr="00E116CD">
        <w:rPr>
          <w:rFonts w:eastAsia="Calibri"/>
        </w:rPr>
        <w:t>Si on fait le parallèle entre les traductions d’un côté et les commentaires de l’autre, nous pouvons dire que les deux tendent vers l’économie, dans le sens où les commentateurs et les traducteurs se contentent d’un minimum d’explication. La comparaison que nous avons faite plus haut entre les anciennes exégèses longues (</w:t>
      </w:r>
      <w:r w:rsidRPr="00E116CD">
        <w:rPr>
          <w:rFonts w:eastAsia="Times New Roman"/>
          <w:lang w:bidi="ar-AE"/>
        </w:rPr>
        <w:t>Aṭ-Ṭabarī</w:t>
      </w:r>
      <w:r w:rsidRPr="00E116CD">
        <w:rPr>
          <w:rFonts w:eastAsia="Times New Roman"/>
          <w:lang w:bidi="ar-KW"/>
        </w:rPr>
        <w:t xml:space="preserve"> et Ibn Kathīr</w:t>
      </w:r>
      <w:r w:rsidRPr="00E116CD">
        <w:rPr>
          <w:rFonts w:eastAsia="Calibri"/>
        </w:rPr>
        <w:t xml:space="preserve">) et l’exégèse moderne succincte </w:t>
      </w:r>
      <w:r w:rsidRPr="00E116CD">
        <w:rPr>
          <w:rFonts w:eastAsia="Times New Roman"/>
          <w:lang w:bidi="ar-KW"/>
        </w:rPr>
        <w:t>Al-Muntakhab</w:t>
      </w:r>
      <w:r w:rsidRPr="00E116CD">
        <w:rPr>
          <w:rFonts w:eastAsia="Calibri"/>
        </w:rPr>
        <w:t xml:space="preserve"> nous le montrent clairement.</w:t>
      </w:r>
      <w:r w:rsidR="00936F65">
        <w:rPr>
          <w:rFonts w:eastAsia="Calibri"/>
        </w:rPr>
        <w:br w:type="page"/>
      </w:r>
    </w:p>
    <w:p w14:paraId="51277442" w14:textId="77777777" w:rsidR="007214B1" w:rsidRPr="00FA38C4" w:rsidRDefault="007214B1" w:rsidP="007214B1">
      <w:pPr>
        <w:spacing w:line="360" w:lineRule="auto"/>
        <w:jc w:val="center"/>
        <w:outlineLvl w:val="0"/>
        <w:rPr>
          <w:b/>
          <w:bCs/>
          <w:lang w:bidi="ar-AE"/>
        </w:rPr>
      </w:pPr>
      <w:r w:rsidRPr="00FA38C4">
        <w:rPr>
          <w:b/>
          <w:bCs/>
          <w:lang w:bidi="ar-AE"/>
        </w:rPr>
        <w:lastRenderedPageBreak/>
        <w:t>Chapitre III</w:t>
      </w:r>
    </w:p>
    <w:p w14:paraId="71A3E722" w14:textId="5BB69C4F" w:rsidR="007214B1" w:rsidRPr="00FA38C4" w:rsidRDefault="00FA38C4" w:rsidP="007214B1">
      <w:pPr>
        <w:spacing w:line="360" w:lineRule="auto"/>
        <w:jc w:val="center"/>
        <w:rPr>
          <w:b/>
          <w:bCs/>
          <w:lang w:bidi="ar-AE"/>
        </w:rPr>
      </w:pPr>
      <w:r w:rsidRPr="00FA38C4">
        <w:rPr>
          <w:rFonts w:asciiTheme="majorBidi" w:hAnsiTheme="majorBidi" w:cstheme="majorBidi"/>
          <w:b/>
          <w:bCs/>
        </w:rPr>
        <w:t>Polysémie pronominale</w:t>
      </w:r>
    </w:p>
    <w:p w14:paraId="37E6F76B" w14:textId="77777777" w:rsidR="007214B1" w:rsidRPr="0019747A" w:rsidRDefault="007214B1" w:rsidP="007214B1">
      <w:pPr>
        <w:spacing w:line="360" w:lineRule="auto"/>
        <w:jc w:val="center"/>
        <w:rPr>
          <w:lang w:bidi="ar-AE"/>
        </w:rPr>
      </w:pPr>
    </w:p>
    <w:p w14:paraId="32AE8549" w14:textId="4CB041E5" w:rsidR="007214B1" w:rsidRPr="0019747A" w:rsidRDefault="00DD20DA" w:rsidP="00DD20DA">
      <w:pPr>
        <w:spacing w:line="360" w:lineRule="auto"/>
        <w:outlineLvl w:val="0"/>
        <w:rPr>
          <w:rFonts w:eastAsia="Times New Roman"/>
          <w:b/>
          <w:bCs/>
        </w:rPr>
      </w:pPr>
      <w:r>
        <w:rPr>
          <w:rFonts w:eastAsia="Times New Roman"/>
          <w:b/>
          <w:bCs/>
        </w:rPr>
        <w:t xml:space="preserve">3.1. </w:t>
      </w:r>
      <w:r w:rsidR="007214B1" w:rsidRPr="0019747A">
        <w:rPr>
          <w:rFonts w:eastAsia="Times New Roman"/>
          <w:b/>
          <w:bCs/>
        </w:rPr>
        <w:t>Les types de polysémie</w:t>
      </w:r>
      <w:r>
        <w:rPr>
          <w:rFonts w:eastAsia="Times New Roman"/>
          <w:b/>
          <w:bCs/>
        </w:rPr>
        <w:t> :</w:t>
      </w:r>
    </w:p>
    <w:p w14:paraId="6C3C0AF2" w14:textId="77777777" w:rsidR="007214B1" w:rsidRPr="0019747A" w:rsidRDefault="007214B1" w:rsidP="007214B1">
      <w:pPr>
        <w:spacing w:line="360" w:lineRule="auto"/>
        <w:ind w:firstLine="720"/>
        <w:jc w:val="both"/>
        <w:rPr>
          <w:rFonts w:eastAsia="Times New Roman"/>
        </w:rPr>
      </w:pPr>
    </w:p>
    <w:p w14:paraId="567CE66A" w14:textId="77777777" w:rsidR="007214B1" w:rsidRPr="0019747A" w:rsidRDefault="007214B1" w:rsidP="007214B1">
      <w:pPr>
        <w:spacing w:line="360" w:lineRule="auto"/>
        <w:ind w:firstLine="360"/>
        <w:jc w:val="both"/>
        <w:rPr>
          <w:rFonts w:eastAsia="Times New Roman"/>
        </w:rPr>
      </w:pPr>
      <w:r w:rsidRPr="0019747A">
        <w:rPr>
          <w:rFonts w:eastAsia="Times New Roman"/>
        </w:rPr>
        <w:t>Selon les études linguistiques spécialisées</w:t>
      </w:r>
      <w:r w:rsidRPr="0019747A">
        <w:rPr>
          <w:rStyle w:val="Appelnotedebasdep"/>
        </w:rPr>
        <w:footnoteReference w:id="190"/>
      </w:r>
      <w:r w:rsidRPr="0019747A">
        <w:rPr>
          <w:rFonts w:eastAsia="Times New Roman"/>
        </w:rPr>
        <w:t>, il existe un nombre varié de types de polysémie. Nous utiliserons ceux qui peuvent être pertinents pour notre recherche mais aussi les plus accessibles à un public.</w:t>
      </w:r>
    </w:p>
    <w:p w14:paraId="10A05E22" w14:textId="77777777" w:rsidR="007214B1" w:rsidRPr="00861EF5" w:rsidRDefault="007214B1" w:rsidP="007214B1">
      <w:pPr>
        <w:spacing w:line="360" w:lineRule="auto"/>
        <w:ind w:firstLine="360"/>
        <w:jc w:val="both"/>
      </w:pPr>
      <w:r w:rsidRPr="0019747A">
        <w:t>En effet, nous pensons que les typologies issues de ces études, ne mettent pas en exergue les différents types de la polysémie de la sourate en question. Pour ce faire, nous avons distingué</w:t>
      </w:r>
      <w:r w:rsidRPr="00861EF5">
        <w:t xml:space="preserve"> trois types de polysémie dans la sourate Al-Ḥajj :</w:t>
      </w:r>
    </w:p>
    <w:p w14:paraId="7347E7DC" w14:textId="77777777" w:rsidR="007214B1" w:rsidRDefault="007214B1" w:rsidP="007640DC">
      <w:pPr>
        <w:numPr>
          <w:ilvl w:val="0"/>
          <w:numId w:val="12"/>
        </w:numPr>
        <w:spacing w:line="360" w:lineRule="auto"/>
        <w:jc w:val="both"/>
      </w:pPr>
      <w:r w:rsidRPr="00861EF5">
        <w:rPr>
          <w:u w:val="single"/>
        </w:rPr>
        <w:t>Polysémie pronominale :</w:t>
      </w:r>
      <w:r w:rsidRPr="00861EF5">
        <w:t xml:space="preserve"> au niveau des pronoms, des particules, des déictiques (embrayeurs), des clitiques : (ex. : v. 78 : </w:t>
      </w:r>
      <w:r w:rsidRPr="00861EF5">
        <w:rPr>
          <w:i/>
          <w:iCs/>
        </w:rPr>
        <w:t>huwa sammā</w:t>
      </w:r>
      <w:r>
        <w:rPr>
          <w:i/>
          <w:iCs/>
        </w:rPr>
        <w:t>-</w:t>
      </w:r>
      <w:r w:rsidRPr="00861EF5">
        <w:rPr>
          <w:i/>
          <w:iCs/>
        </w:rPr>
        <w:t>kum</w:t>
      </w:r>
      <w:r w:rsidRPr="00861EF5">
        <w:t>) ;</w:t>
      </w:r>
    </w:p>
    <w:p w14:paraId="2896D4E4" w14:textId="77777777" w:rsidR="007214B1" w:rsidRPr="00ED4E99" w:rsidRDefault="007214B1" w:rsidP="007640DC">
      <w:pPr>
        <w:numPr>
          <w:ilvl w:val="0"/>
          <w:numId w:val="12"/>
        </w:numPr>
        <w:spacing w:line="360" w:lineRule="auto"/>
        <w:jc w:val="both"/>
      </w:pPr>
      <w:r w:rsidRPr="00C6479D">
        <w:rPr>
          <w:u w:val="single"/>
        </w:rPr>
        <w:t>Polysémie lexicale :</w:t>
      </w:r>
      <w:r w:rsidRPr="00C6479D">
        <w:t xml:space="preserve"> au niveau des mots : mots génériques, mots équivoques, mots </w:t>
      </w:r>
      <w:r w:rsidRPr="00C6479D">
        <w:rPr>
          <w:i/>
          <w:iCs/>
        </w:rPr>
        <w:t>rara</w:t>
      </w:r>
      <w:r w:rsidRPr="00C6479D">
        <w:t xml:space="preserve"> (</w:t>
      </w:r>
      <w:r w:rsidRPr="00C6479D">
        <w:rPr>
          <w:i/>
          <w:iCs/>
        </w:rPr>
        <w:t>hapax legomenon</w:t>
      </w:r>
      <w:r w:rsidRPr="00C6479D">
        <w:t xml:space="preserve"> ou </w:t>
      </w:r>
      <w:r w:rsidRPr="00C6479D">
        <w:rPr>
          <w:i/>
          <w:iCs/>
        </w:rPr>
        <w:t>gharīb</w:t>
      </w:r>
      <w:r w:rsidRPr="00C6479D">
        <w:t>), signes diacritiques</w:t>
      </w:r>
      <w:r w:rsidRPr="00ED4E99">
        <w:t>, différentes lectures (</w:t>
      </w:r>
      <w:r w:rsidRPr="00ED4E99">
        <w:rPr>
          <w:i/>
          <w:iCs/>
        </w:rPr>
        <w:t>qirāʾāt</w:t>
      </w:r>
      <w:r w:rsidRPr="00ED4E99">
        <w:t>), etc. ;</w:t>
      </w:r>
    </w:p>
    <w:p w14:paraId="3D71ECF2" w14:textId="77777777" w:rsidR="007214B1" w:rsidRPr="00861EF5" w:rsidRDefault="007214B1" w:rsidP="007640DC">
      <w:pPr>
        <w:numPr>
          <w:ilvl w:val="0"/>
          <w:numId w:val="12"/>
        </w:numPr>
        <w:spacing w:line="360" w:lineRule="auto"/>
        <w:jc w:val="both"/>
      </w:pPr>
      <w:r w:rsidRPr="0019747A">
        <w:rPr>
          <w:u w:val="single"/>
        </w:rPr>
        <w:t>Polysémie des énoncés :</w:t>
      </w:r>
      <w:r w:rsidRPr="0019747A">
        <w:t xml:space="preserve"> au niveau</w:t>
      </w:r>
      <w:r w:rsidRPr="00ED4E99">
        <w:t xml:space="preserve"> des phrases : syntaxe, ponctuation, </w:t>
      </w:r>
      <w:r w:rsidRPr="00ED4E99">
        <w:rPr>
          <w:lang w:bidi="ar-AE"/>
        </w:rPr>
        <w:t>anastrophe [</w:t>
      </w:r>
      <w:r w:rsidRPr="00ED4E99">
        <w:rPr>
          <w:i/>
          <w:iCs/>
          <w:lang w:bidi="ar-AE"/>
        </w:rPr>
        <w:t>at-taqdīm wa-t-taʾkhīr</w:t>
      </w:r>
      <w:r w:rsidRPr="00ED4E99">
        <w:rPr>
          <w:lang w:bidi="ar-AE"/>
        </w:rPr>
        <w:t>]</w:t>
      </w:r>
      <w:r w:rsidRPr="00ED4E99">
        <w:t>, suppression ou omission, délétion, vides du texte, aspect idéologique et politique, eschatologie, circonstances de la révélation</w:t>
      </w:r>
      <w:r w:rsidRPr="00861EF5">
        <w:t xml:space="preserve"> (</w:t>
      </w:r>
      <w:r w:rsidRPr="00861EF5">
        <w:rPr>
          <w:i/>
          <w:iCs/>
        </w:rPr>
        <w:t>asbāb an-nuzūl</w:t>
      </w:r>
      <w:r w:rsidRPr="00861EF5">
        <w:t>) (ex. : v.52), schisme musulman, conflit politique et idéologique, idéologie théologique.</w:t>
      </w:r>
    </w:p>
    <w:p w14:paraId="569BC9A4" w14:textId="77777777" w:rsidR="007214B1" w:rsidRPr="00861EF5" w:rsidRDefault="007214B1" w:rsidP="007214B1">
      <w:pPr>
        <w:spacing w:line="360" w:lineRule="auto"/>
        <w:ind w:firstLine="360"/>
        <w:jc w:val="both"/>
      </w:pPr>
    </w:p>
    <w:p w14:paraId="31938E97" w14:textId="77777777" w:rsidR="007214B1" w:rsidRPr="00ED4E99" w:rsidRDefault="007214B1" w:rsidP="007214B1">
      <w:pPr>
        <w:spacing w:line="360" w:lineRule="auto"/>
        <w:ind w:firstLine="360"/>
        <w:jc w:val="both"/>
      </w:pPr>
      <w:r w:rsidRPr="00ED4E99">
        <w:t>Ces trois catégories sont soumises à une super-polysémie qui est historique. Nous allons voir que, pour les raisons exposées dans le chapitre précédent, la polysémie synchronique d’origine tend diachroniquement à se rétrécir.</w:t>
      </w:r>
    </w:p>
    <w:p w14:paraId="04D213EC" w14:textId="77777777" w:rsidR="007214B1" w:rsidRPr="00ED4E99" w:rsidRDefault="007214B1" w:rsidP="007214B1">
      <w:pPr>
        <w:spacing w:line="360" w:lineRule="auto"/>
        <w:ind w:firstLine="360"/>
        <w:jc w:val="both"/>
      </w:pPr>
    </w:p>
    <w:p w14:paraId="0A52E8C7" w14:textId="77777777" w:rsidR="007214B1" w:rsidRPr="00ED4E99" w:rsidRDefault="007214B1" w:rsidP="007214B1">
      <w:pPr>
        <w:spacing w:line="360" w:lineRule="auto"/>
        <w:ind w:firstLine="360"/>
        <w:jc w:val="both"/>
        <w:rPr>
          <w:rFonts w:asciiTheme="majorBidi" w:hAnsiTheme="majorBidi" w:cstheme="majorBidi"/>
        </w:rPr>
      </w:pPr>
      <w:r w:rsidRPr="00ED4E99">
        <w:rPr>
          <w:rFonts w:asciiTheme="majorBidi" w:hAnsiTheme="majorBidi" w:cstheme="majorBidi"/>
        </w:rPr>
        <w:t>Pour étudier la polysémie du texte-source de la sourate Al-</w:t>
      </w:r>
      <w:r w:rsidRPr="00ED4E99">
        <w:rPr>
          <w:rFonts w:asciiTheme="majorBidi" w:eastAsia="Times New Roman" w:hAnsiTheme="majorBidi" w:cstheme="majorBidi"/>
        </w:rPr>
        <w:t>Ḥ</w:t>
      </w:r>
      <w:r w:rsidRPr="00ED4E99">
        <w:rPr>
          <w:rFonts w:asciiTheme="majorBidi" w:hAnsiTheme="majorBidi" w:cstheme="majorBidi"/>
        </w:rPr>
        <w:t>ajj, nous nous sommes référés essentiellement aux ouvrages exégétiques (sunnites, chiites, soufis et ahmadis) suivants (par ordre chronologique) :</w:t>
      </w:r>
    </w:p>
    <w:p w14:paraId="29B8DBEF" w14:textId="77777777" w:rsidR="007214B1" w:rsidRPr="00ED4E99"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ED4E99">
        <w:rPr>
          <w:rFonts w:asciiTheme="majorBidi" w:hAnsiTheme="majorBidi" w:cstheme="majorBidi"/>
          <w:b/>
          <w:bCs/>
          <w:i/>
          <w:iCs/>
          <w:sz w:val="24"/>
          <w:szCs w:val="24"/>
        </w:rPr>
        <w:t>Tanwīr al-Miqbās min Tafsīr Ibn ʿAbbās</w:t>
      </w:r>
      <w:r w:rsidRPr="00ED4E99">
        <w:rPr>
          <w:rFonts w:asciiTheme="majorBidi" w:hAnsiTheme="majorBidi" w:cstheme="majorBidi"/>
          <w:sz w:val="24"/>
          <w:szCs w:val="24"/>
        </w:rPr>
        <w:t>, une exégèse attribuée à ʿAbd Allāh ibn ʿAbbās (</w:t>
      </w:r>
      <w:r w:rsidRPr="00ED4E99">
        <w:rPr>
          <w:rFonts w:asciiTheme="majorBidi" w:hAnsiTheme="majorBidi" w:cstheme="majorBidi"/>
          <w:bCs/>
          <w:sz w:val="24"/>
          <w:szCs w:val="24"/>
        </w:rPr>
        <w:t>mort en 687</w:t>
      </w:r>
      <w:r w:rsidRPr="00ED4E99">
        <w:rPr>
          <w:rFonts w:asciiTheme="majorBidi" w:hAnsiTheme="majorBidi" w:cstheme="majorBidi"/>
          <w:sz w:val="24"/>
          <w:szCs w:val="24"/>
        </w:rPr>
        <w:t>), le cousin paternel du prophète Muḥammad (publiée à Beyrouth en 1992 par Dār al-Kutub al-ʿilmyya) ;</w:t>
      </w:r>
    </w:p>
    <w:p w14:paraId="33DA17CC" w14:textId="77777777" w:rsidR="007214B1" w:rsidRPr="00ED4E99"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ED4E99">
        <w:rPr>
          <w:rFonts w:asciiTheme="majorBidi" w:hAnsiTheme="majorBidi" w:cstheme="majorBidi"/>
          <w:b/>
          <w:bCs/>
          <w:i/>
          <w:iCs/>
          <w:sz w:val="24"/>
          <w:szCs w:val="24"/>
        </w:rPr>
        <w:t>Tafsīr</w:t>
      </w:r>
      <w:r w:rsidRPr="00ED4E99">
        <w:rPr>
          <w:rFonts w:asciiTheme="majorBidi" w:hAnsiTheme="majorBidi" w:cstheme="majorBidi"/>
          <w:b/>
          <w:bCs/>
          <w:sz w:val="24"/>
          <w:szCs w:val="24"/>
        </w:rPr>
        <w:t xml:space="preserve"> </w:t>
      </w:r>
      <w:r w:rsidRPr="00ED4E99">
        <w:rPr>
          <w:rFonts w:asciiTheme="majorBidi" w:hAnsiTheme="majorBidi" w:cstheme="majorBidi"/>
          <w:b/>
          <w:bCs/>
          <w:i/>
          <w:iCs/>
          <w:sz w:val="24"/>
          <w:szCs w:val="24"/>
        </w:rPr>
        <w:t>Muqātil</w:t>
      </w:r>
      <w:r w:rsidRPr="00ED4E99">
        <w:rPr>
          <w:rFonts w:asciiTheme="majorBidi" w:hAnsiTheme="majorBidi" w:cstheme="majorBidi"/>
          <w:sz w:val="24"/>
          <w:szCs w:val="24"/>
        </w:rPr>
        <w:t xml:space="preserve"> une exégèse attribuée à Abū al-Ḥassan Muqātil ibn Sulaymān Al-Balkhī</w:t>
      </w:r>
      <w:r w:rsidRPr="00ED4E99">
        <w:rPr>
          <w:rFonts w:asciiTheme="majorBidi" w:hAnsiTheme="majorBidi" w:cstheme="majorBidi"/>
          <w:sz w:val="24"/>
          <w:szCs w:val="24"/>
          <w:cs/>
        </w:rPr>
        <w:t>‎</w:t>
      </w:r>
      <w:r w:rsidRPr="00ED4E99">
        <w:rPr>
          <w:rFonts w:asciiTheme="majorBidi" w:hAnsiTheme="majorBidi" w:cstheme="majorBidi"/>
          <w:sz w:val="24"/>
          <w:szCs w:val="24"/>
        </w:rPr>
        <w:t xml:space="preserve">, </w:t>
      </w:r>
      <w:r w:rsidRPr="00ED4E99">
        <w:rPr>
          <w:rFonts w:asciiTheme="majorBidi" w:hAnsiTheme="majorBidi" w:cstheme="majorBidi"/>
          <w:b/>
          <w:bCs/>
          <w:sz w:val="24"/>
          <w:szCs w:val="24"/>
        </w:rPr>
        <w:t>mort en 767 J. –C.</w:t>
      </w:r>
      <w:r w:rsidRPr="00ED4E99">
        <w:rPr>
          <w:rFonts w:asciiTheme="majorBidi" w:hAnsiTheme="majorBidi" w:cstheme="majorBidi"/>
          <w:sz w:val="24"/>
          <w:szCs w:val="24"/>
        </w:rPr>
        <w:t>, éditée par Muʾassasat at-Tārīkh al-ʿArabī en 2002 à Beyrouth avec commentaire de ʿAbd Allāh Maḥmūd Shaḥata, ainsi que par Dār al-Kutub al-ʿIlmyya en 2003 à Beyrouth avec commentaire de Aḥmad Farīd ;</w:t>
      </w:r>
    </w:p>
    <w:p w14:paraId="50CFBAE2" w14:textId="77777777" w:rsidR="007214B1" w:rsidRPr="00ED4E99"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ED4E99">
        <w:rPr>
          <w:rFonts w:asciiTheme="majorBidi" w:hAnsiTheme="majorBidi" w:cstheme="majorBidi"/>
          <w:b/>
          <w:bCs/>
          <w:i/>
          <w:iCs/>
          <w:sz w:val="24"/>
          <w:szCs w:val="24"/>
        </w:rPr>
        <w:t>Tafsīr</w:t>
      </w:r>
      <w:r w:rsidRPr="00ED4E99">
        <w:rPr>
          <w:rFonts w:asciiTheme="majorBidi" w:hAnsiTheme="majorBidi" w:cstheme="majorBidi"/>
          <w:b/>
          <w:bCs/>
          <w:sz w:val="24"/>
          <w:szCs w:val="24"/>
        </w:rPr>
        <w:t xml:space="preserve"> </w:t>
      </w:r>
      <w:r w:rsidRPr="00ED4E99">
        <w:rPr>
          <w:rFonts w:asciiTheme="majorBidi" w:hAnsiTheme="majorBidi" w:cstheme="majorBidi"/>
          <w:b/>
          <w:bCs/>
          <w:i/>
          <w:iCs/>
          <w:sz w:val="24"/>
          <w:szCs w:val="24"/>
          <w:lang w:eastAsia="fr-FR" w:bidi="ar-KW"/>
        </w:rPr>
        <w:t>aṭ-Ṭabarī</w:t>
      </w:r>
      <w:r w:rsidRPr="00ED4E99">
        <w:rPr>
          <w:rFonts w:asciiTheme="majorBidi" w:hAnsiTheme="majorBidi" w:cstheme="majorBidi"/>
          <w:sz w:val="24"/>
          <w:szCs w:val="24"/>
          <w:lang w:eastAsia="fr-FR" w:bidi="ar-KW"/>
        </w:rPr>
        <w:t xml:space="preserve"> (</w:t>
      </w:r>
      <w:r w:rsidRPr="00ED4E99">
        <w:rPr>
          <w:rFonts w:asciiTheme="majorBidi" w:hAnsiTheme="majorBidi" w:cstheme="majorBidi"/>
          <w:i/>
          <w:iCs/>
          <w:sz w:val="24"/>
          <w:szCs w:val="24"/>
          <w:lang w:eastAsia="fr-FR" w:bidi="ar-KW"/>
        </w:rPr>
        <w:t xml:space="preserve">Jāmiʿ al-Bayān </w:t>
      </w:r>
      <w:r w:rsidRPr="00ED4E99">
        <w:rPr>
          <w:rFonts w:asciiTheme="majorBidi" w:hAnsiTheme="majorBidi" w:cstheme="majorBidi"/>
          <w:i/>
          <w:iCs/>
          <w:sz w:val="24"/>
          <w:szCs w:val="24"/>
        </w:rPr>
        <w:t>ʿan taʾwīl ʾāy al-Qurʾān</w:t>
      </w:r>
      <w:r w:rsidRPr="00ED4E99">
        <w:rPr>
          <w:rFonts w:asciiTheme="majorBidi" w:hAnsiTheme="majorBidi" w:cstheme="majorBidi"/>
          <w:sz w:val="24"/>
          <w:szCs w:val="24"/>
        </w:rPr>
        <w:t xml:space="preserve">) écrit par Muḥammad ibn Jarīr </w:t>
      </w:r>
      <w:r w:rsidRPr="00ED4E99">
        <w:rPr>
          <w:rFonts w:asciiTheme="majorBidi" w:hAnsiTheme="majorBidi" w:cstheme="majorBidi"/>
          <w:sz w:val="24"/>
          <w:szCs w:val="24"/>
          <w:lang w:eastAsia="fr-FR" w:bidi="ar-KW"/>
        </w:rPr>
        <w:t xml:space="preserve">Aṭ-Ṭabarī </w:t>
      </w:r>
      <w:r w:rsidRPr="00ED4E99">
        <w:rPr>
          <w:rFonts w:asciiTheme="majorBidi" w:hAnsiTheme="majorBidi" w:cstheme="majorBidi"/>
          <w:sz w:val="24"/>
          <w:szCs w:val="24"/>
          <w:lang w:eastAsia="fr-FR"/>
        </w:rPr>
        <w:t>(</w:t>
      </w:r>
      <w:r w:rsidRPr="00ED4E99">
        <w:rPr>
          <w:rFonts w:asciiTheme="majorBidi" w:hAnsiTheme="majorBidi" w:cstheme="majorBidi"/>
          <w:b/>
          <w:bCs/>
          <w:sz w:val="24"/>
          <w:szCs w:val="24"/>
          <w:lang w:eastAsia="fr-FR"/>
        </w:rPr>
        <w:t>mort en 923</w:t>
      </w:r>
      <w:r w:rsidRPr="00ED4E99">
        <w:rPr>
          <w:rFonts w:asciiTheme="majorBidi" w:hAnsiTheme="majorBidi" w:cstheme="majorBidi"/>
          <w:sz w:val="24"/>
          <w:szCs w:val="24"/>
          <w:lang w:eastAsia="fr-FR"/>
        </w:rPr>
        <w:t xml:space="preserve">), une exégèse </w:t>
      </w:r>
      <w:r w:rsidRPr="00ED4E99">
        <w:rPr>
          <w:rFonts w:asciiTheme="majorBidi" w:hAnsiTheme="majorBidi" w:cstheme="majorBidi"/>
          <w:bCs/>
          <w:sz w:val="24"/>
          <w:szCs w:val="24"/>
          <w:lang w:eastAsia="fr-FR"/>
        </w:rPr>
        <w:t>sunnite</w:t>
      </w:r>
      <w:r w:rsidRPr="00ED4E99">
        <w:rPr>
          <w:rFonts w:asciiTheme="majorBidi" w:hAnsiTheme="majorBidi" w:cstheme="majorBidi"/>
          <w:sz w:val="24"/>
          <w:szCs w:val="24"/>
          <w:lang w:eastAsia="fr-FR"/>
        </w:rPr>
        <w:t xml:space="preserve"> (édition du Markaz al-Bu</w:t>
      </w:r>
      <w:r w:rsidRPr="00ED4E99">
        <w:rPr>
          <w:rFonts w:asciiTheme="majorBidi" w:hAnsiTheme="majorBidi" w:cstheme="majorBidi"/>
          <w:sz w:val="24"/>
          <w:szCs w:val="24"/>
        </w:rPr>
        <w:t xml:space="preserve">ḥūth wa-d-Dirāsāt al-Islāmiyya [Centre </w:t>
      </w:r>
      <w:r w:rsidRPr="00ED4E99">
        <w:rPr>
          <w:rFonts w:asciiTheme="majorBidi" w:hAnsiTheme="majorBidi" w:cstheme="majorBidi"/>
          <w:sz w:val="24"/>
          <w:szCs w:val="24"/>
          <w:lang w:eastAsia="fr-FR" w:bidi="ar-AE"/>
        </w:rPr>
        <w:t>de recherches et d’études islamiques</w:t>
      </w:r>
      <w:r w:rsidRPr="00ED4E99">
        <w:rPr>
          <w:rFonts w:asciiTheme="majorBidi" w:hAnsiTheme="majorBidi" w:cstheme="majorBidi"/>
          <w:sz w:val="24"/>
          <w:szCs w:val="24"/>
        </w:rPr>
        <w:t>] aux Éditions Dār Hagar, Le Caire, 2001) ;</w:t>
      </w:r>
    </w:p>
    <w:p w14:paraId="4C415EC5" w14:textId="77777777" w:rsidR="007214B1" w:rsidRPr="00ED4E99"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ED4E99">
        <w:rPr>
          <w:rFonts w:asciiTheme="majorBidi" w:hAnsiTheme="majorBidi" w:cstheme="majorBidi"/>
          <w:b/>
          <w:bCs/>
          <w:i/>
          <w:iCs/>
          <w:sz w:val="24"/>
          <w:szCs w:val="24"/>
          <w:lang w:eastAsia="fr-FR" w:bidi="ar-AE"/>
        </w:rPr>
        <w:t>Tafsīr al-Qummī</w:t>
      </w:r>
      <w:r w:rsidRPr="00ED4E99">
        <w:rPr>
          <w:rFonts w:asciiTheme="majorBidi" w:hAnsiTheme="majorBidi" w:cstheme="majorBidi"/>
          <w:sz w:val="24"/>
          <w:szCs w:val="24"/>
          <w:lang w:eastAsia="fr-FR"/>
        </w:rPr>
        <w:t>, une exégèse</w:t>
      </w:r>
      <w:r w:rsidRPr="00ED4E99">
        <w:rPr>
          <w:rFonts w:asciiTheme="majorBidi" w:hAnsiTheme="majorBidi" w:cstheme="majorBidi"/>
          <w:b/>
          <w:bCs/>
          <w:sz w:val="24"/>
          <w:szCs w:val="24"/>
          <w:lang w:eastAsia="fr-FR"/>
        </w:rPr>
        <w:t xml:space="preserve"> </w:t>
      </w:r>
      <w:r w:rsidRPr="00ED4E99">
        <w:rPr>
          <w:rFonts w:asciiTheme="majorBidi" w:hAnsiTheme="majorBidi" w:cstheme="majorBidi"/>
          <w:bCs/>
          <w:sz w:val="24"/>
          <w:szCs w:val="24"/>
          <w:lang w:eastAsia="fr-FR"/>
        </w:rPr>
        <w:t>chiite</w:t>
      </w:r>
      <w:r w:rsidRPr="00ED4E99">
        <w:rPr>
          <w:rFonts w:asciiTheme="majorBidi" w:hAnsiTheme="majorBidi" w:cstheme="majorBidi"/>
          <w:sz w:val="24"/>
          <w:szCs w:val="24"/>
          <w:lang w:eastAsia="fr-FR"/>
        </w:rPr>
        <w:t xml:space="preserve"> attribuée à </w:t>
      </w:r>
      <w:r w:rsidRPr="00ED4E99">
        <w:rPr>
          <w:rFonts w:asciiTheme="majorBidi" w:hAnsiTheme="majorBidi" w:cstheme="majorBidi"/>
          <w:sz w:val="24"/>
          <w:szCs w:val="24"/>
        </w:rPr>
        <w:t>Abū l-Ḥasan ʿAlī Ibn Ibrāhīm al-Qummī (</w:t>
      </w:r>
      <w:r w:rsidRPr="00ED4E99">
        <w:rPr>
          <w:rFonts w:asciiTheme="majorBidi" w:hAnsiTheme="majorBidi" w:cstheme="majorBidi"/>
          <w:bCs/>
          <w:sz w:val="24"/>
          <w:szCs w:val="24"/>
        </w:rPr>
        <w:t>m. 329 H/941</w:t>
      </w:r>
      <w:r w:rsidRPr="00ED4E99">
        <w:rPr>
          <w:rFonts w:asciiTheme="majorBidi" w:hAnsiTheme="majorBidi" w:cstheme="majorBidi"/>
          <w:sz w:val="24"/>
          <w:szCs w:val="24"/>
        </w:rPr>
        <w:t xml:space="preserve">), revue et commentée par </w:t>
      </w:r>
      <w:r w:rsidRPr="00ED4E99">
        <w:rPr>
          <w:rFonts w:asciiTheme="majorBidi" w:hAnsiTheme="majorBidi" w:cstheme="majorBidi"/>
          <w:sz w:val="24"/>
          <w:szCs w:val="24"/>
          <w:lang w:eastAsia="fr-FR" w:bidi="ar-KW"/>
        </w:rPr>
        <w:t>Ṭayyib al-Mūsawī al-Jazā</w:t>
      </w:r>
      <w:r w:rsidRPr="00ED4E99">
        <w:rPr>
          <w:rFonts w:asciiTheme="majorBidi" w:hAnsiTheme="majorBidi" w:cstheme="majorBidi"/>
          <w:sz w:val="24"/>
          <w:szCs w:val="24"/>
        </w:rPr>
        <w:t>ʾirī, éditée par Muʾassasat Dār al-Kitāb li-ṭ-ṭibāʿa wa-an-nashr, Qum, Iran, 1983, 3</w:t>
      </w:r>
      <w:r w:rsidRPr="00ED4E99">
        <w:rPr>
          <w:rFonts w:asciiTheme="majorBidi" w:hAnsiTheme="majorBidi" w:cstheme="majorBidi"/>
          <w:sz w:val="24"/>
          <w:szCs w:val="24"/>
          <w:vertAlign w:val="superscript"/>
        </w:rPr>
        <w:t>e</w:t>
      </w:r>
      <w:r w:rsidRPr="00ED4E99">
        <w:rPr>
          <w:rFonts w:asciiTheme="majorBidi" w:hAnsiTheme="majorBidi" w:cstheme="majorBidi"/>
          <w:sz w:val="24"/>
          <w:szCs w:val="24"/>
        </w:rPr>
        <w:t xml:space="preserve"> édition ;</w:t>
      </w:r>
    </w:p>
    <w:p w14:paraId="02DD9046" w14:textId="77777777" w:rsidR="007214B1" w:rsidRPr="00ED4E99"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ED4E99">
        <w:rPr>
          <w:rFonts w:asciiTheme="majorBidi" w:hAnsiTheme="majorBidi" w:cstheme="majorBidi"/>
          <w:b/>
          <w:bCs/>
          <w:i/>
          <w:iCs/>
          <w:sz w:val="24"/>
          <w:szCs w:val="24"/>
          <w:lang w:eastAsia="fr-FR" w:bidi="ar-AE"/>
        </w:rPr>
        <w:t>Tafsīr</w:t>
      </w:r>
      <w:r w:rsidRPr="00ED4E99">
        <w:rPr>
          <w:rFonts w:asciiTheme="majorBidi" w:hAnsiTheme="majorBidi" w:cstheme="majorBidi"/>
          <w:b/>
          <w:bCs/>
          <w:sz w:val="24"/>
          <w:szCs w:val="24"/>
        </w:rPr>
        <w:t xml:space="preserve"> al-Qushayrī</w:t>
      </w:r>
      <w:r w:rsidRPr="00ED4E99">
        <w:rPr>
          <w:rFonts w:asciiTheme="majorBidi" w:hAnsiTheme="majorBidi" w:cstheme="majorBidi"/>
          <w:sz w:val="24"/>
          <w:szCs w:val="24"/>
        </w:rPr>
        <w:t xml:space="preserve"> (</w:t>
      </w:r>
      <w:r w:rsidRPr="00ED4E99">
        <w:rPr>
          <w:rFonts w:asciiTheme="majorBidi" w:hAnsiTheme="majorBidi" w:cstheme="majorBidi"/>
          <w:i/>
          <w:iCs/>
          <w:sz w:val="24"/>
          <w:szCs w:val="24"/>
          <w:lang w:eastAsia="fr-FR" w:bidi="ar-EG"/>
        </w:rPr>
        <w:t>La</w:t>
      </w:r>
      <w:r w:rsidRPr="00ED4E99">
        <w:rPr>
          <w:rFonts w:asciiTheme="majorBidi" w:hAnsiTheme="majorBidi" w:cstheme="majorBidi"/>
          <w:i/>
          <w:iCs/>
          <w:sz w:val="24"/>
          <w:szCs w:val="24"/>
        </w:rPr>
        <w:t>ṭ</w:t>
      </w:r>
      <w:r w:rsidRPr="00ED4E99">
        <w:rPr>
          <w:rFonts w:asciiTheme="majorBidi" w:hAnsiTheme="majorBidi" w:cstheme="majorBidi"/>
          <w:i/>
          <w:iCs/>
          <w:sz w:val="24"/>
          <w:szCs w:val="24"/>
          <w:lang w:eastAsia="fr-FR" w:bidi="ar-EG"/>
        </w:rPr>
        <w:t>ā</w:t>
      </w:r>
      <w:r w:rsidRPr="00ED4E99">
        <w:rPr>
          <w:rFonts w:asciiTheme="majorBidi" w:hAnsiTheme="majorBidi" w:cstheme="majorBidi"/>
          <w:i/>
          <w:iCs/>
          <w:sz w:val="24"/>
          <w:szCs w:val="24"/>
        </w:rPr>
        <w:t>ʾ</w:t>
      </w:r>
      <w:r w:rsidRPr="00ED4E99">
        <w:rPr>
          <w:rFonts w:asciiTheme="majorBidi" w:hAnsiTheme="majorBidi" w:cstheme="majorBidi"/>
          <w:i/>
          <w:iCs/>
          <w:sz w:val="24"/>
          <w:szCs w:val="24"/>
          <w:lang w:eastAsia="fr-FR" w:bidi="ar-EG"/>
        </w:rPr>
        <w:t>if al-Ishārāt</w:t>
      </w:r>
      <w:r w:rsidRPr="00ED4E99">
        <w:rPr>
          <w:rFonts w:asciiTheme="majorBidi" w:hAnsiTheme="majorBidi" w:cstheme="majorBidi"/>
          <w:sz w:val="24"/>
          <w:szCs w:val="24"/>
        </w:rPr>
        <w:t xml:space="preserve">), </w:t>
      </w:r>
      <w:r w:rsidRPr="00ED4E99">
        <w:rPr>
          <w:rFonts w:asciiTheme="majorBidi" w:hAnsiTheme="majorBidi" w:cstheme="majorBidi"/>
          <w:sz w:val="24"/>
          <w:szCs w:val="24"/>
          <w:lang w:eastAsia="fr-FR"/>
        </w:rPr>
        <w:t xml:space="preserve">écrit </w:t>
      </w:r>
      <w:r w:rsidRPr="00ED4E99">
        <w:rPr>
          <w:rFonts w:asciiTheme="majorBidi" w:hAnsiTheme="majorBidi" w:cstheme="majorBidi"/>
          <w:sz w:val="24"/>
          <w:szCs w:val="24"/>
        </w:rPr>
        <w:t>par le soufi ʿAbd al-Karīm ibn Hūzān Abū l-Qāsim al-Qushayrī al-Naysābūrī (</w:t>
      </w:r>
      <w:r w:rsidRPr="00ED4E99">
        <w:rPr>
          <w:rFonts w:asciiTheme="majorBidi" w:hAnsiTheme="majorBidi" w:cstheme="majorBidi"/>
          <w:bCs/>
          <w:sz w:val="24"/>
          <w:szCs w:val="24"/>
        </w:rPr>
        <w:t>m. 1072-73</w:t>
      </w:r>
      <w:r w:rsidRPr="00ED4E99">
        <w:rPr>
          <w:rFonts w:asciiTheme="majorBidi" w:hAnsiTheme="majorBidi" w:cstheme="majorBidi"/>
          <w:sz w:val="24"/>
          <w:szCs w:val="24"/>
        </w:rPr>
        <w:t xml:space="preserve">), une exégèse </w:t>
      </w:r>
      <w:r w:rsidRPr="00ED4E99">
        <w:rPr>
          <w:rFonts w:asciiTheme="majorBidi" w:hAnsiTheme="majorBidi" w:cstheme="majorBidi"/>
          <w:bCs/>
          <w:sz w:val="24"/>
          <w:szCs w:val="24"/>
        </w:rPr>
        <w:t>mystique sunnite</w:t>
      </w:r>
      <w:r w:rsidRPr="00ED4E99">
        <w:rPr>
          <w:rFonts w:asciiTheme="majorBidi" w:hAnsiTheme="majorBidi" w:cstheme="majorBidi"/>
          <w:sz w:val="24"/>
          <w:szCs w:val="24"/>
        </w:rPr>
        <w:t xml:space="preserve"> commentée par </w:t>
      </w:r>
      <w:r w:rsidRPr="00ED4E99">
        <w:rPr>
          <w:rFonts w:asciiTheme="majorBidi" w:hAnsiTheme="majorBidi" w:cstheme="majorBidi"/>
          <w:sz w:val="24"/>
          <w:szCs w:val="24"/>
          <w:lang w:eastAsia="fr-FR" w:bidi="ar-EG"/>
        </w:rPr>
        <w:t>Ibrāhīm al-Basyūnī</w:t>
      </w:r>
      <w:r w:rsidRPr="00ED4E99">
        <w:rPr>
          <w:rFonts w:asciiTheme="majorBidi" w:hAnsiTheme="majorBidi" w:cstheme="majorBidi"/>
          <w:sz w:val="24"/>
          <w:szCs w:val="24"/>
        </w:rPr>
        <w:t xml:space="preserve"> (al</w:t>
      </w:r>
      <w:r w:rsidRPr="00ED4E99">
        <w:rPr>
          <w:rFonts w:asciiTheme="majorBidi" w:hAnsiTheme="majorBidi" w:cstheme="majorBidi"/>
          <w:sz w:val="24"/>
          <w:szCs w:val="24"/>
          <w:lang w:eastAsia="fr-FR" w:bidi="ar-EG"/>
        </w:rPr>
        <w:t>-Hay</w:t>
      </w:r>
      <w:r w:rsidRPr="00ED4E99">
        <w:rPr>
          <w:rFonts w:asciiTheme="majorBidi" w:hAnsiTheme="majorBidi" w:cstheme="majorBidi"/>
          <w:sz w:val="24"/>
          <w:szCs w:val="24"/>
        </w:rPr>
        <w:t>ʾa al-miṣriyya al-ʿāmma li-l-kitāb, Le Caire, 2000 [3</w:t>
      </w:r>
      <w:r w:rsidRPr="00ED4E99">
        <w:rPr>
          <w:rFonts w:asciiTheme="majorBidi" w:hAnsiTheme="majorBidi" w:cstheme="majorBidi"/>
          <w:sz w:val="24"/>
          <w:szCs w:val="24"/>
          <w:vertAlign w:val="superscript"/>
        </w:rPr>
        <w:t>e</w:t>
      </w:r>
      <w:r w:rsidRPr="00ED4E99">
        <w:rPr>
          <w:rFonts w:asciiTheme="majorBidi" w:hAnsiTheme="majorBidi" w:cstheme="majorBidi"/>
          <w:sz w:val="24"/>
          <w:szCs w:val="24"/>
        </w:rPr>
        <w:t xml:space="preserve"> éd.], 2 vols) </w:t>
      </w:r>
      <w:r w:rsidRPr="00ED4E99">
        <w:rPr>
          <w:rFonts w:asciiTheme="majorBidi" w:hAnsiTheme="majorBidi" w:cstheme="majorBidi"/>
          <w:sz w:val="24"/>
          <w:szCs w:val="24"/>
          <w:lang w:eastAsia="fr-FR" w:bidi="ar-EG"/>
        </w:rPr>
        <w:t>;</w:t>
      </w:r>
    </w:p>
    <w:p w14:paraId="08F485B4"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rPr>
        <w:t>Tafsīr</w:t>
      </w:r>
      <w:r w:rsidRPr="00861EF5">
        <w:rPr>
          <w:rFonts w:asciiTheme="majorBidi" w:hAnsiTheme="majorBidi" w:cstheme="majorBidi"/>
          <w:b/>
          <w:bCs/>
          <w:sz w:val="24"/>
          <w:szCs w:val="24"/>
        </w:rPr>
        <w:t xml:space="preserve"> </w:t>
      </w:r>
      <w:r w:rsidRPr="00861EF5">
        <w:rPr>
          <w:rFonts w:asciiTheme="majorBidi" w:hAnsiTheme="majorBidi" w:cstheme="majorBidi"/>
          <w:b/>
          <w:bCs/>
          <w:i/>
          <w:iCs/>
          <w:sz w:val="24"/>
          <w:szCs w:val="24"/>
          <w:lang w:eastAsia="fr-FR"/>
        </w:rPr>
        <w:t>al-Baghawī</w:t>
      </w:r>
      <w:r w:rsidRPr="00861EF5">
        <w:rPr>
          <w:rFonts w:asciiTheme="majorBidi" w:hAnsiTheme="majorBidi" w:cstheme="majorBidi"/>
          <w:sz w:val="24"/>
          <w:szCs w:val="24"/>
          <w:lang w:eastAsia="fr-FR"/>
        </w:rPr>
        <w:t xml:space="preserve"> (</w:t>
      </w:r>
      <w:r w:rsidRPr="00861EF5">
        <w:rPr>
          <w:rFonts w:asciiTheme="majorBidi" w:hAnsiTheme="majorBidi" w:cstheme="majorBidi"/>
          <w:i/>
          <w:iCs/>
          <w:sz w:val="24"/>
          <w:szCs w:val="24"/>
          <w:lang w:eastAsia="fr-FR" w:bidi="ar-AE"/>
        </w:rPr>
        <w:t>Maʿālim at-tanzīl</w:t>
      </w:r>
      <w:r w:rsidRPr="00861EF5">
        <w:rPr>
          <w:rFonts w:asciiTheme="majorBidi" w:hAnsiTheme="majorBidi" w:cstheme="majorBidi"/>
          <w:sz w:val="24"/>
          <w:szCs w:val="24"/>
          <w:lang w:eastAsia="fr-FR" w:bidi="ar-AE"/>
        </w:rPr>
        <w:t>)</w:t>
      </w:r>
      <w:r>
        <w:rPr>
          <w:rFonts w:asciiTheme="majorBidi" w:hAnsiTheme="majorBidi" w:cstheme="majorBidi"/>
          <w:sz w:val="24"/>
          <w:szCs w:val="24"/>
          <w:lang w:eastAsia="fr-FR" w:bidi="ar-AE"/>
        </w:rPr>
        <w:t>,</w:t>
      </w:r>
      <w:r w:rsidRPr="00861EF5">
        <w:rPr>
          <w:rFonts w:asciiTheme="majorBidi" w:hAnsiTheme="majorBidi" w:cstheme="majorBidi"/>
          <w:sz w:val="24"/>
          <w:szCs w:val="24"/>
          <w:lang w:eastAsia="fr-FR"/>
        </w:rPr>
        <w:t xml:space="preserve"> écrit par al-</w:t>
      </w:r>
      <w:r w:rsidRPr="00861EF5">
        <w:rPr>
          <w:rFonts w:asciiTheme="majorBidi" w:hAnsiTheme="majorBidi" w:cstheme="majorBidi"/>
          <w:sz w:val="24"/>
          <w:szCs w:val="24"/>
        </w:rPr>
        <w:t xml:space="preserve">Ḥusayn ibn Masʿūd Abū Muḥammad </w:t>
      </w:r>
      <w:r w:rsidRPr="00861EF5">
        <w:rPr>
          <w:rFonts w:asciiTheme="majorBidi" w:hAnsiTheme="majorBidi" w:cstheme="majorBidi"/>
          <w:sz w:val="24"/>
          <w:szCs w:val="24"/>
          <w:lang w:eastAsia="fr-FR"/>
        </w:rPr>
        <w:t xml:space="preserve">al-Baghawī </w:t>
      </w:r>
      <w:r w:rsidRPr="00BB54AB">
        <w:rPr>
          <w:rFonts w:asciiTheme="majorBidi" w:hAnsiTheme="majorBidi" w:cstheme="majorBidi"/>
          <w:sz w:val="24"/>
          <w:szCs w:val="24"/>
          <w:lang w:eastAsia="fr-FR"/>
        </w:rPr>
        <w:t>(</w:t>
      </w:r>
      <w:r w:rsidRPr="00BB54AB">
        <w:rPr>
          <w:rFonts w:asciiTheme="majorBidi" w:hAnsiTheme="majorBidi" w:cstheme="majorBidi"/>
          <w:bCs/>
          <w:sz w:val="24"/>
          <w:szCs w:val="24"/>
          <w:lang w:eastAsia="fr-FR"/>
        </w:rPr>
        <w:t>m. 1116/1122</w:t>
      </w:r>
      <w:r w:rsidRPr="00BB54AB">
        <w:rPr>
          <w:rFonts w:asciiTheme="majorBidi" w:hAnsiTheme="majorBidi" w:cstheme="majorBidi"/>
          <w:sz w:val="24"/>
          <w:szCs w:val="24"/>
          <w:lang w:eastAsia="fr-FR"/>
        </w:rPr>
        <w:t xml:space="preserve">) exégèse </w:t>
      </w:r>
      <w:r w:rsidRPr="00BB54AB">
        <w:rPr>
          <w:rFonts w:asciiTheme="majorBidi" w:hAnsiTheme="majorBidi" w:cstheme="majorBidi"/>
          <w:bCs/>
          <w:sz w:val="24"/>
          <w:szCs w:val="24"/>
          <w:lang w:eastAsia="fr-FR"/>
        </w:rPr>
        <w:t>sunnite</w:t>
      </w:r>
      <w:r>
        <w:rPr>
          <w:rFonts w:asciiTheme="majorBidi" w:hAnsiTheme="majorBidi" w:cstheme="majorBidi"/>
          <w:bCs/>
          <w:sz w:val="24"/>
          <w:szCs w:val="24"/>
          <w:lang w:eastAsia="fr-FR"/>
        </w:rPr>
        <w:t xml:space="preserve"> </w:t>
      </w:r>
      <w:r w:rsidRPr="00861EF5">
        <w:rPr>
          <w:rFonts w:asciiTheme="majorBidi" w:hAnsiTheme="majorBidi" w:cstheme="majorBidi"/>
          <w:sz w:val="24"/>
          <w:szCs w:val="24"/>
          <w:lang w:eastAsia="fr-FR"/>
        </w:rPr>
        <w:t xml:space="preserve">commentée par </w:t>
      </w:r>
      <w:r w:rsidRPr="00861EF5">
        <w:rPr>
          <w:rFonts w:asciiTheme="majorBidi" w:hAnsiTheme="majorBidi" w:cstheme="majorBidi"/>
          <w:sz w:val="24"/>
          <w:szCs w:val="24"/>
        </w:rPr>
        <w:t>Muḥammad ʿAbd Allāh an-Nimr, ʿUthmān Jumʿa Dumayryya et Sulaymān Musallam Al-Ḥirsh</w:t>
      </w:r>
      <w:r w:rsidRPr="00861EF5">
        <w:rPr>
          <w:rFonts w:asciiTheme="majorBidi" w:hAnsiTheme="majorBidi" w:cstheme="majorBidi"/>
          <w:sz w:val="24"/>
          <w:szCs w:val="24"/>
          <w:lang w:eastAsia="fr-FR"/>
        </w:rPr>
        <w:t xml:space="preserve"> (Dār </w:t>
      </w:r>
      <w:r w:rsidRPr="00861EF5">
        <w:rPr>
          <w:rFonts w:asciiTheme="majorBidi" w:hAnsiTheme="majorBidi" w:cstheme="majorBidi"/>
          <w:sz w:val="24"/>
          <w:szCs w:val="24"/>
        </w:rPr>
        <w:t>Ṭayba</w:t>
      </w:r>
      <w:r>
        <w:rPr>
          <w:rFonts w:asciiTheme="majorBidi" w:hAnsiTheme="majorBidi" w:cstheme="majorBidi"/>
          <w:sz w:val="24"/>
          <w:szCs w:val="24"/>
        </w:rPr>
        <w:t>,</w:t>
      </w:r>
      <w:r w:rsidRPr="00861EF5">
        <w:rPr>
          <w:rFonts w:asciiTheme="majorBidi" w:hAnsiTheme="majorBidi" w:cstheme="majorBidi"/>
          <w:sz w:val="24"/>
          <w:szCs w:val="24"/>
          <w:lang w:eastAsia="fr-FR"/>
        </w:rPr>
        <w:t xml:space="preserve"> Riyad, </w:t>
      </w:r>
      <w:r>
        <w:rPr>
          <w:rFonts w:asciiTheme="majorBidi" w:hAnsiTheme="majorBidi" w:cstheme="majorBidi"/>
          <w:sz w:val="24"/>
          <w:szCs w:val="24"/>
          <w:lang w:eastAsia="fr-FR"/>
        </w:rPr>
        <w:t>1989, 8 vols)</w:t>
      </w:r>
      <w:r w:rsidRPr="00861EF5">
        <w:rPr>
          <w:rFonts w:asciiTheme="majorBidi" w:hAnsiTheme="majorBidi" w:cstheme="majorBidi"/>
          <w:sz w:val="24"/>
          <w:szCs w:val="24"/>
        </w:rPr>
        <w:t xml:space="preserve"> ;</w:t>
      </w:r>
    </w:p>
    <w:p w14:paraId="27BA0DAE"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rPr>
        <w:lastRenderedPageBreak/>
        <w:t xml:space="preserve">Tafsīr </w:t>
      </w:r>
      <w:r w:rsidRPr="00861EF5">
        <w:rPr>
          <w:rFonts w:asciiTheme="majorBidi" w:hAnsiTheme="majorBidi" w:cstheme="majorBidi"/>
          <w:b/>
          <w:bCs/>
          <w:i/>
          <w:iCs/>
          <w:sz w:val="24"/>
          <w:szCs w:val="24"/>
          <w:lang w:eastAsia="fr-FR" w:bidi="ar-AE"/>
        </w:rPr>
        <w:t xml:space="preserve">Ibn ʿAṭīya </w:t>
      </w:r>
      <w:r w:rsidRPr="00861EF5">
        <w:rPr>
          <w:rFonts w:asciiTheme="majorBidi" w:hAnsiTheme="majorBidi" w:cstheme="majorBidi"/>
          <w:sz w:val="24"/>
          <w:szCs w:val="24"/>
          <w:lang w:eastAsia="fr-FR" w:bidi="ar-AE"/>
        </w:rPr>
        <w:t>(</w:t>
      </w:r>
      <w:r w:rsidRPr="00861EF5">
        <w:rPr>
          <w:rFonts w:asciiTheme="majorBidi" w:hAnsiTheme="majorBidi" w:cstheme="majorBidi"/>
          <w:i/>
          <w:iCs/>
          <w:sz w:val="24"/>
          <w:szCs w:val="24"/>
          <w:lang w:eastAsia="fr-FR" w:bidi="ar-AE"/>
        </w:rPr>
        <w:t>Al-Muḥarrar al-</w:t>
      </w:r>
      <w:r w:rsidRPr="007F2D31">
        <w:rPr>
          <w:rFonts w:ascii="Times New Roman" w:hAnsi="Times New Roman" w:cstheme="majorBidi"/>
          <w:i/>
          <w:iCs/>
          <w:sz w:val="24"/>
          <w:szCs w:val="24"/>
          <w:lang w:eastAsia="fr-FR" w:bidi="ar-AE"/>
        </w:rPr>
        <w:t>wajīz fī tafsīr al-kitāb al-ʿazīz</w:t>
      </w:r>
      <w:r w:rsidRPr="007F2D31">
        <w:rPr>
          <w:rFonts w:ascii="Times New Roman" w:hAnsi="Times New Roman" w:cstheme="majorBidi"/>
          <w:sz w:val="24"/>
          <w:szCs w:val="24"/>
          <w:lang w:eastAsia="fr-FR" w:bidi="ar-AE"/>
        </w:rPr>
        <w:t>),</w:t>
      </w:r>
      <w:r w:rsidRPr="007F2D31">
        <w:rPr>
          <w:rFonts w:ascii="Times New Roman" w:hAnsi="Times New Roman" w:cstheme="majorBidi"/>
          <w:sz w:val="24"/>
          <w:szCs w:val="24"/>
        </w:rPr>
        <w:t xml:space="preserve"> é</w:t>
      </w:r>
      <w:r w:rsidRPr="007F2D31">
        <w:rPr>
          <w:rFonts w:ascii="Times New Roman" w:hAnsi="Times New Roman" w:cstheme="majorBidi"/>
          <w:sz w:val="24"/>
          <w:szCs w:val="24"/>
          <w:lang w:eastAsia="fr-FR" w:bidi="ar-AE"/>
        </w:rPr>
        <w:t xml:space="preserve">crit par </w:t>
      </w:r>
      <w:r w:rsidRPr="007F2D31">
        <w:rPr>
          <w:rFonts w:ascii="Times New Roman" w:hAnsi="Times New Roman" w:cstheme="majorBidi"/>
          <w:sz w:val="24"/>
          <w:szCs w:val="24"/>
        </w:rPr>
        <w:t>ʿ</w:t>
      </w:r>
      <w:r w:rsidRPr="007F2D31">
        <w:rPr>
          <w:rFonts w:ascii="Times New Roman" w:hAnsi="Times New Roman" w:cstheme="majorBidi"/>
          <w:sz w:val="24"/>
          <w:szCs w:val="24"/>
          <w:lang w:eastAsia="fr-FR" w:bidi="ar-AE"/>
        </w:rPr>
        <w:t>Abd al-</w:t>
      </w:r>
      <w:r w:rsidRPr="007F2D31">
        <w:rPr>
          <w:rFonts w:ascii="Times New Roman" w:hAnsi="Times New Roman" w:cstheme="majorBidi"/>
          <w:sz w:val="24"/>
          <w:szCs w:val="24"/>
        </w:rPr>
        <w:t xml:space="preserve"> Ḥ</w:t>
      </w:r>
      <w:r w:rsidRPr="007F2D31">
        <w:rPr>
          <w:rFonts w:ascii="Times New Roman" w:hAnsi="Times New Roman" w:cstheme="majorBidi"/>
          <w:sz w:val="24"/>
          <w:szCs w:val="24"/>
          <w:lang w:eastAsia="fr-FR" w:bidi="ar-AE"/>
        </w:rPr>
        <w:t>aqq ibn Ghālib Ibn ʿAṭīya Al-Andalusī</w:t>
      </w:r>
      <w:r w:rsidRPr="00861EF5">
        <w:rPr>
          <w:rFonts w:asciiTheme="majorBidi" w:hAnsiTheme="majorBidi" w:cstheme="majorBidi"/>
          <w:sz w:val="24"/>
          <w:szCs w:val="24"/>
          <w:lang w:eastAsia="fr-FR" w:bidi="ar-AE"/>
        </w:rPr>
        <w:t xml:space="preserve"> </w:t>
      </w:r>
      <w:r w:rsidRPr="007F2D31">
        <w:rPr>
          <w:rFonts w:asciiTheme="majorBidi" w:hAnsiTheme="majorBidi" w:cstheme="majorBidi"/>
          <w:sz w:val="24"/>
          <w:szCs w:val="24"/>
          <w:lang w:eastAsia="fr-FR" w:bidi="ar-AE"/>
        </w:rPr>
        <w:t>(</w:t>
      </w:r>
      <w:r w:rsidRPr="007F2D31">
        <w:rPr>
          <w:rFonts w:asciiTheme="majorBidi" w:hAnsiTheme="majorBidi" w:cstheme="majorBidi"/>
          <w:bCs/>
          <w:sz w:val="24"/>
          <w:szCs w:val="24"/>
          <w:lang w:eastAsia="fr-FR" w:bidi="ar-AE"/>
        </w:rPr>
        <w:t>m. 1146</w:t>
      </w:r>
      <w:r w:rsidRPr="007F2D31">
        <w:rPr>
          <w:rFonts w:asciiTheme="majorBidi" w:hAnsiTheme="majorBidi" w:cstheme="majorBidi"/>
          <w:sz w:val="24"/>
          <w:szCs w:val="24"/>
          <w:lang w:eastAsia="fr-FR" w:bidi="ar-AE"/>
        </w:rPr>
        <w:t xml:space="preserve">), une exégèse </w:t>
      </w:r>
      <w:r w:rsidRPr="007F2D31">
        <w:rPr>
          <w:rFonts w:asciiTheme="majorBidi" w:hAnsiTheme="majorBidi" w:cstheme="majorBidi"/>
          <w:bCs/>
          <w:sz w:val="24"/>
          <w:szCs w:val="24"/>
          <w:lang w:eastAsia="fr-FR" w:bidi="ar-AE"/>
        </w:rPr>
        <w:t>sunnite</w:t>
      </w:r>
      <w:r>
        <w:rPr>
          <w:rFonts w:asciiTheme="majorBidi" w:hAnsiTheme="majorBidi" w:cstheme="majorBidi"/>
          <w:bCs/>
          <w:sz w:val="24"/>
          <w:szCs w:val="24"/>
          <w:lang w:eastAsia="fr-FR" w:bidi="ar-AE"/>
        </w:rPr>
        <w:t xml:space="preserve">, </w:t>
      </w:r>
      <w:r w:rsidRPr="00861EF5">
        <w:rPr>
          <w:rFonts w:asciiTheme="majorBidi" w:hAnsiTheme="majorBidi" w:cstheme="majorBidi"/>
          <w:sz w:val="24"/>
          <w:szCs w:val="24"/>
        </w:rPr>
        <w:t>commentée par ʿAbd as-Salām ʿAbd ash-Shāfī Muḥammad </w:t>
      </w:r>
      <w:r>
        <w:rPr>
          <w:rFonts w:asciiTheme="majorBidi" w:hAnsiTheme="majorBidi" w:cstheme="majorBidi"/>
          <w:sz w:val="24"/>
          <w:szCs w:val="24"/>
        </w:rPr>
        <w:t>(Dār al-Kutub al-ʿi</w:t>
      </w:r>
      <w:r w:rsidRPr="00861EF5">
        <w:rPr>
          <w:rFonts w:asciiTheme="majorBidi" w:hAnsiTheme="majorBidi" w:cstheme="majorBidi"/>
          <w:sz w:val="24"/>
          <w:szCs w:val="24"/>
        </w:rPr>
        <w:t>lmyya</w:t>
      </w:r>
      <w:r>
        <w:rPr>
          <w:rFonts w:asciiTheme="majorBidi" w:hAnsiTheme="majorBidi" w:cstheme="majorBidi"/>
          <w:sz w:val="24"/>
          <w:szCs w:val="24"/>
        </w:rPr>
        <w:t>,</w:t>
      </w:r>
      <w:r w:rsidRPr="00861EF5">
        <w:rPr>
          <w:rFonts w:asciiTheme="majorBidi" w:hAnsiTheme="majorBidi" w:cstheme="majorBidi"/>
          <w:sz w:val="24"/>
          <w:szCs w:val="24"/>
          <w:lang w:eastAsia="fr-FR" w:bidi="ar-AE"/>
        </w:rPr>
        <w:t xml:space="preserve"> Beyrouth</w:t>
      </w:r>
      <w:r>
        <w:rPr>
          <w:rFonts w:asciiTheme="majorBidi" w:hAnsiTheme="majorBidi" w:cstheme="majorBidi"/>
          <w:sz w:val="24"/>
          <w:szCs w:val="24"/>
          <w:lang w:eastAsia="fr-FR" w:bidi="ar-AE"/>
        </w:rPr>
        <w:t>, 1993, 5</w:t>
      </w:r>
      <w:r>
        <w:rPr>
          <w:rFonts w:asciiTheme="majorBidi" w:hAnsiTheme="majorBidi" w:cstheme="majorBidi"/>
          <w:sz w:val="24"/>
          <w:szCs w:val="24"/>
        </w:rPr>
        <w:t xml:space="preserve"> vols)</w:t>
      </w:r>
      <w:r w:rsidRPr="00861EF5">
        <w:rPr>
          <w:rFonts w:asciiTheme="majorBidi" w:hAnsiTheme="majorBidi" w:cstheme="majorBidi"/>
          <w:sz w:val="24"/>
          <w:szCs w:val="24"/>
        </w:rPr>
        <w:t xml:space="preserve"> ;</w:t>
      </w:r>
    </w:p>
    <w:p w14:paraId="27AB9B07"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b/>
          <w:bCs/>
          <w:i/>
          <w:iCs/>
          <w:sz w:val="24"/>
          <w:szCs w:val="24"/>
          <w:lang w:eastAsia="fr-FR" w:bidi="ar-AE"/>
        </w:rPr>
      </w:pPr>
      <w:r w:rsidRPr="00861EF5">
        <w:rPr>
          <w:rFonts w:asciiTheme="majorBidi" w:hAnsiTheme="majorBidi" w:cstheme="majorBidi"/>
          <w:b/>
          <w:bCs/>
          <w:i/>
          <w:iCs/>
          <w:sz w:val="24"/>
          <w:szCs w:val="24"/>
          <w:lang w:eastAsia="fr-FR" w:bidi="ar-AE"/>
        </w:rPr>
        <w:t>Tafsīr Ar-Rāzī</w:t>
      </w:r>
      <w:r w:rsidRPr="00861EF5">
        <w:rPr>
          <w:rFonts w:asciiTheme="majorBidi" w:hAnsiTheme="majorBidi" w:cstheme="majorBidi"/>
          <w:sz w:val="24"/>
          <w:szCs w:val="24"/>
          <w:lang w:eastAsia="fr-FR" w:bidi="ar-AE"/>
        </w:rPr>
        <w:t xml:space="preserve"> (</w:t>
      </w:r>
      <w:r>
        <w:rPr>
          <w:rFonts w:asciiTheme="majorBidi" w:hAnsiTheme="majorBidi" w:cstheme="majorBidi"/>
          <w:i/>
          <w:iCs/>
          <w:sz w:val="24"/>
          <w:szCs w:val="24"/>
          <w:lang w:eastAsia="fr-FR" w:bidi="ar-EG"/>
        </w:rPr>
        <w:t>Mafātīḥ a</w:t>
      </w:r>
      <w:r w:rsidRPr="00861EF5">
        <w:rPr>
          <w:rFonts w:asciiTheme="majorBidi" w:hAnsiTheme="majorBidi" w:cstheme="majorBidi"/>
          <w:i/>
          <w:iCs/>
          <w:sz w:val="24"/>
          <w:szCs w:val="24"/>
          <w:lang w:eastAsia="fr-FR" w:bidi="ar-EG"/>
        </w:rPr>
        <w:t>l-Ghayb</w:t>
      </w:r>
      <w:r w:rsidRPr="00861EF5">
        <w:rPr>
          <w:rFonts w:asciiTheme="majorBidi" w:hAnsiTheme="majorBidi" w:cstheme="majorBidi"/>
          <w:sz w:val="24"/>
          <w:szCs w:val="24"/>
          <w:lang w:eastAsia="fr-FR" w:bidi="ar-EG"/>
        </w:rPr>
        <w:t xml:space="preserve"> ou </w:t>
      </w:r>
      <w:r>
        <w:rPr>
          <w:rFonts w:asciiTheme="majorBidi" w:hAnsiTheme="majorBidi" w:cstheme="majorBidi"/>
          <w:i/>
          <w:iCs/>
          <w:sz w:val="24"/>
          <w:szCs w:val="24"/>
          <w:lang w:eastAsia="fr-FR" w:bidi="ar-EG"/>
        </w:rPr>
        <w:t>At-Tafsīr a</w:t>
      </w:r>
      <w:r w:rsidRPr="00861EF5">
        <w:rPr>
          <w:rFonts w:asciiTheme="majorBidi" w:hAnsiTheme="majorBidi" w:cstheme="majorBidi"/>
          <w:i/>
          <w:iCs/>
          <w:sz w:val="24"/>
          <w:szCs w:val="24"/>
          <w:lang w:eastAsia="fr-FR" w:bidi="ar-EG"/>
        </w:rPr>
        <w:t>l-Kabīr</w:t>
      </w:r>
      <w:r>
        <w:rPr>
          <w:rFonts w:asciiTheme="majorBidi" w:hAnsiTheme="majorBidi" w:cstheme="majorBidi"/>
          <w:sz w:val="24"/>
          <w:szCs w:val="24"/>
          <w:lang w:eastAsia="fr-FR" w:bidi="ar-EG"/>
        </w:rPr>
        <w:t>) écrit par Fakhr a</w:t>
      </w:r>
      <w:r w:rsidRPr="00861EF5">
        <w:rPr>
          <w:rFonts w:asciiTheme="majorBidi" w:hAnsiTheme="majorBidi" w:cstheme="majorBidi"/>
          <w:sz w:val="24"/>
          <w:szCs w:val="24"/>
          <w:lang w:eastAsia="fr-FR" w:bidi="ar-EG"/>
        </w:rPr>
        <w:t xml:space="preserve">d-Dīn </w:t>
      </w:r>
      <w:r w:rsidRPr="007F2D31">
        <w:rPr>
          <w:rFonts w:ascii="Times New Roman (Titres de thèm" w:hAnsi="Times New Roman (Titres de thèm" w:cstheme="majorBidi"/>
          <w:sz w:val="24"/>
          <w:szCs w:val="24"/>
          <w:lang w:eastAsia="fr-FR" w:bidi="ar-EG"/>
        </w:rPr>
        <w:t>Ar-Rāzī</w:t>
      </w:r>
      <w:r w:rsidRPr="007F2D31">
        <w:rPr>
          <w:rFonts w:asciiTheme="majorBidi" w:hAnsiTheme="majorBidi" w:cstheme="majorBidi"/>
          <w:sz w:val="24"/>
          <w:szCs w:val="24"/>
          <w:lang w:eastAsia="fr-FR" w:bidi="ar-EG"/>
        </w:rPr>
        <w:t xml:space="preserve"> (</w:t>
      </w:r>
      <w:r w:rsidRPr="007F2D31">
        <w:rPr>
          <w:rFonts w:asciiTheme="majorBidi" w:hAnsiTheme="majorBidi" w:cstheme="majorBidi"/>
          <w:bCs/>
          <w:sz w:val="24"/>
          <w:szCs w:val="24"/>
          <w:lang w:eastAsia="fr-FR" w:bidi="ar-EG"/>
        </w:rPr>
        <w:t>m. 1210</w:t>
      </w:r>
      <w:r w:rsidRPr="007F2D31">
        <w:rPr>
          <w:rFonts w:asciiTheme="majorBidi" w:hAnsiTheme="majorBidi" w:cstheme="majorBidi"/>
          <w:sz w:val="24"/>
          <w:szCs w:val="24"/>
          <w:lang w:eastAsia="fr-FR" w:bidi="ar-EG"/>
        </w:rPr>
        <w:t xml:space="preserve">), une exégèse </w:t>
      </w:r>
      <w:r w:rsidRPr="007F2D31">
        <w:rPr>
          <w:rFonts w:asciiTheme="majorBidi" w:hAnsiTheme="majorBidi" w:cstheme="majorBidi"/>
          <w:bCs/>
          <w:sz w:val="24"/>
          <w:szCs w:val="24"/>
          <w:lang w:eastAsia="fr-FR" w:bidi="ar-EG"/>
        </w:rPr>
        <w:t>sunnite</w:t>
      </w:r>
      <w:r w:rsidRPr="007F2D31">
        <w:rPr>
          <w:rFonts w:asciiTheme="majorBidi" w:hAnsiTheme="majorBidi" w:cstheme="majorBidi"/>
          <w:sz w:val="24"/>
          <w:szCs w:val="24"/>
          <w:lang w:eastAsia="fr-FR" w:bidi="ar-EG"/>
        </w:rPr>
        <w:t xml:space="preserve"> publiée</w:t>
      </w:r>
      <w:r w:rsidRPr="00861EF5">
        <w:rPr>
          <w:rFonts w:asciiTheme="majorBidi" w:hAnsiTheme="majorBidi" w:cstheme="majorBidi"/>
          <w:sz w:val="24"/>
          <w:szCs w:val="24"/>
          <w:lang w:eastAsia="fr-FR" w:bidi="ar-EG"/>
        </w:rPr>
        <w:t xml:space="preserve"> en 2004 par </w:t>
      </w:r>
      <w:r w:rsidRPr="00861EF5">
        <w:rPr>
          <w:rFonts w:asciiTheme="majorBidi" w:hAnsiTheme="majorBidi" w:cstheme="majorBidi"/>
          <w:sz w:val="24"/>
          <w:szCs w:val="24"/>
        </w:rPr>
        <w:t>Dār al-Kutub al-ʿIlmyya à Beyrouth (en 16 volumes) ;</w:t>
      </w:r>
    </w:p>
    <w:p w14:paraId="7D67296D"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lang w:eastAsia="fr-FR" w:bidi="ar-AE"/>
        </w:rPr>
        <w:t xml:space="preserve">Tafsīr Ibn </w:t>
      </w:r>
      <w:r w:rsidRPr="00861EF5">
        <w:rPr>
          <w:rFonts w:asciiTheme="majorBidi" w:hAnsiTheme="majorBidi" w:cstheme="majorBidi"/>
          <w:b/>
          <w:bCs/>
          <w:i/>
          <w:iCs/>
          <w:sz w:val="24"/>
          <w:szCs w:val="24"/>
          <w:lang w:eastAsia="fr-FR"/>
        </w:rPr>
        <w:t>ʿArabī</w:t>
      </w:r>
      <w:r w:rsidRPr="00861EF5">
        <w:rPr>
          <w:rFonts w:asciiTheme="majorBidi" w:hAnsiTheme="majorBidi" w:cstheme="majorBidi"/>
          <w:sz w:val="24"/>
          <w:szCs w:val="24"/>
          <w:lang w:eastAsia="fr-FR"/>
        </w:rPr>
        <w:t xml:space="preserve">, une exégèse </w:t>
      </w:r>
      <w:r w:rsidRPr="007F2D31">
        <w:rPr>
          <w:rFonts w:asciiTheme="majorBidi" w:hAnsiTheme="majorBidi" w:cstheme="majorBidi"/>
          <w:bCs/>
          <w:sz w:val="24"/>
          <w:szCs w:val="24"/>
          <w:lang w:eastAsia="fr-FR"/>
        </w:rPr>
        <w:t>mystique sunnite</w:t>
      </w:r>
      <w:r w:rsidRPr="007F2D31">
        <w:rPr>
          <w:rFonts w:asciiTheme="majorBidi" w:hAnsiTheme="majorBidi" w:cstheme="majorBidi"/>
          <w:sz w:val="24"/>
          <w:szCs w:val="24"/>
          <w:lang w:eastAsia="fr-FR"/>
        </w:rPr>
        <w:t xml:space="preserve"> attribuée à Mu</w:t>
      </w:r>
      <w:r w:rsidRPr="007F2D31">
        <w:rPr>
          <w:rFonts w:asciiTheme="majorBidi" w:hAnsiTheme="majorBidi" w:cstheme="majorBidi"/>
          <w:sz w:val="24"/>
          <w:szCs w:val="24"/>
        </w:rPr>
        <w:t>ḥ</w:t>
      </w:r>
      <w:r w:rsidRPr="007F2D31">
        <w:rPr>
          <w:rFonts w:asciiTheme="majorBidi" w:hAnsiTheme="majorBidi" w:cstheme="majorBidi"/>
          <w:sz w:val="24"/>
          <w:szCs w:val="24"/>
          <w:lang w:eastAsia="fr-FR"/>
        </w:rPr>
        <w:t>yī ad-Dīn Abū ʿAbd Allāh Mu</w:t>
      </w:r>
      <w:r w:rsidRPr="007F2D31">
        <w:rPr>
          <w:rFonts w:asciiTheme="majorBidi" w:hAnsiTheme="majorBidi" w:cstheme="majorBidi"/>
          <w:sz w:val="24"/>
          <w:szCs w:val="24"/>
        </w:rPr>
        <w:t>ḥ</w:t>
      </w:r>
      <w:r w:rsidRPr="007F2D31">
        <w:rPr>
          <w:rFonts w:asciiTheme="majorBidi" w:hAnsiTheme="majorBidi" w:cstheme="majorBidi"/>
          <w:sz w:val="24"/>
          <w:szCs w:val="24"/>
          <w:lang w:eastAsia="fr-FR"/>
        </w:rPr>
        <w:t>ammad ibn ʿAlī Ibn ʿArabī al-</w:t>
      </w:r>
      <w:r w:rsidRPr="007F2D31">
        <w:rPr>
          <w:rFonts w:asciiTheme="majorBidi" w:hAnsiTheme="majorBidi" w:cstheme="majorBidi"/>
          <w:sz w:val="24"/>
          <w:szCs w:val="24"/>
        </w:rPr>
        <w:t xml:space="preserve"> Ḥ</w:t>
      </w:r>
      <w:r w:rsidRPr="007F2D31">
        <w:rPr>
          <w:rFonts w:asciiTheme="majorBidi" w:hAnsiTheme="majorBidi" w:cstheme="majorBidi"/>
          <w:sz w:val="24"/>
          <w:szCs w:val="24"/>
          <w:lang w:eastAsia="fr-FR"/>
        </w:rPr>
        <w:t>ātimī a</w:t>
      </w:r>
      <w:r w:rsidRPr="007F2D31">
        <w:rPr>
          <w:rFonts w:asciiTheme="majorBidi" w:hAnsiTheme="majorBidi" w:cstheme="majorBidi"/>
          <w:sz w:val="24"/>
          <w:szCs w:val="24"/>
        </w:rPr>
        <w:t>ṭ</w:t>
      </w:r>
      <w:r w:rsidRPr="007F2D31">
        <w:rPr>
          <w:rFonts w:asciiTheme="majorBidi" w:hAnsiTheme="majorBidi" w:cstheme="majorBidi"/>
          <w:sz w:val="24"/>
          <w:szCs w:val="24"/>
          <w:lang w:eastAsia="fr-FR"/>
        </w:rPr>
        <w:t>-</w:t>
      </w:r>
      <w:r w:rsidRPr="007F2D31">
        <w:rPr>
          <w:rFonts w:asciiTheme="majorBidi" w:hAnsiTheme="majorBidi" w:cstheme="majorBidi"/>
          <w:sz w:val="24"/>
          <w:szCs w:val="24"/>
        </w:rPr>
        <w:t>Ṭ</w:t>
      </w:r>
      <w:r w:rsidRPr="007F2D31">
        <w:rPr>
          <w:rFonts w:asciiTheme="majorBidi" w:hAnsiTheme="majorBidi" w:cstheme="majorBidi"/>
          <w:sz w:val="24"/>
          <w:szCs w:val="24"/>
          <w:lang w:eastAsia="fr-FR"/>
        </w:rPr>
        <w:t>āʾī (</w:t>
      </w:r>
      <w:r w:rsidRPr="007F2D31">
        <w:rPr>
          <w:rFonts w:asciiTheme="majorBidi" w:hAnsiTheme="majorBidi" w:cstheme="majorBidi"/>
          <w:bCs/>
          <w:sz w:val="24"/>
          <w:szCs w:val="24"/>
          <w:lang w:eastAsia="fr-FR"/>
        </w:rPr>
        <w:t>m. 1240</w:t>
      </w:r>
      <w:r w:rsidRPr="00861EF5">
        <w:rPr>
          <w:rFonts w:asciiTheme="majorBidi" w:hAnsiTheme="majorBidi" w:cstheme="majorBidi"/>
          <w:sz w:val="24"/>
          <w:szCs w:val="24"/>
          <w:lang w:eastAsia="fr-FR"/>
        </w:rPr>
        <w:t>), mais son éventuel auteur serait Al-Qāshānī, selon ad-Dhahabī</w:t>
      </w:r>
      <w:r w:rsidRPr="00861EF5">
        <w:rPr>
          <w:rFonts w:asciiTheme="majorBidi" w:hAnsiTheme="majorBidi" w:cstheme="majorBidi"/>
          <w:sz w:val="24"/>
          <w:szCs w:val="24"/>
        </w:rPr>
        <w:t xml:space="preserve"> dans </w:t>
      </w:r>
      <w:r w:rsidRPr="00861EF5">
        <w:rPr>
          <w:rFonts w:asciiTheme="majorBidi" w:hAnsiTheme="majorBidi" w:cstheme="majorBidi"/>
          <w:i/>
          <w:iCs/>
          <w:sz w:val="24"/>
          <w:szCs w:val="24"/>
        </w:rPr>
        <w:t>At-tafsīr</w:t>
      </w:r>
      <w:r>
        <w:rPr>
          <w:rFonts w:asciiTheme="majorBidi" w:hAnsiTheme="majorBidi" w:cstheme="majorBidi"/>
          <w:i/>
          <w:iCs/>
          <w:sz w:val="24"/>
          <w:szCs w:val="24"/>
        </w:rPr>
        <w:t xml:space="preserve"> wa-</w:t>
      </w:r>
      <w:r w:rsidRPr="00861EF5">
        <w:rPr>
          <w:rFonts w:asciiTheme="majorBidi" w:hAnsiTheme="majorBidi" w:cstheme="majorBidi"/>
          <w:i/>
          <w:iCs/>
          <w:sz w:val="24"/>
          <w:szCs w:val="24"/>
        </w:rPr>
        <w:t>l-mufassirūn</w:t>
      </w:r>
      <w:r w:rsidRPr="00861EF5">
        <w:rPr>
          <w:rFonts w:asciiTheme="majorBidi" w:hAnsiTheme="majorBidi" w:cstheme="majorBidi"/>
          <w:sz w:val="24"/>
          <w:szCs w:val="24"/>
        </w:rPr>
        <w:t>, 2/295)</w:t>
      </w:r>
      <w:r w:rsidRPr="00861EF5">
        <w:rPr>
          <w:rFonts w:asciiTheme="majorBidi" w:hAnsiTheme="majorBidi" w:cstheme="majorBidi"/>
          <w:sz w:val="24"/>
          <w:szCs w:val="24"/>
          <w:lang w:eastAsia="fr-FR"/>
        </w:rPr>
        <w:t xml:space="preserve">, </w:t>
      </w:r>
      <w:r w:rsidRPr="00861EF5">
        <w:rPr>
          <w:rFonts w:asciiTheme="majorBidi" w:hAnsiTheme="majorBidi" w:cstheme="majorBidi"/>
          <w:sz w:val="24"/>
          <w:szCs w:val="24"/>
        </w:rPr>
        <w:t>commentée par ʿAbd al-Wārith Muḥammad ʿAlī </w:t>
      </w:r>
      <w:r>
        <w:rPr>
          <w:rFonts w:asciiTheme="majorBidi" w:hAnsiTheme="majorBidi" w:cstheme="majorBidi"/>
          <w:sz w:val="24"/>
          <w:szCs w:val="24"/>
        </w:rPr>
        <w:t>(</w:t>
      </w:r>
      <w:r w:rsidRPr="00861EF5">
        <w:rPr>
          <w:rFonts w:asciiTheme="majorBidi" w:hAnsiTheme="majorBidi" w:cstheme="majorBidi"/>
          <w:sz w:val="24"/>
          <w:szCs w:val="24"/>
          <w:lang w:eastAsia="fr-FR"/>
        </w:rPr>
        <w:t>Dār al-Kutub al-</w:t>
      </w:r>
      <w:r>
        <w:rPr>
          <w:rFonts w:asciiTheme="majorBidi" w:hAnsiTheme="majorBidi" w:cstheme="majorBidi"/>
          <w:sz w:val="24"/>
          <w:szCs w:val="24"/>
        </w:rPr>
        <w:t>ʿi</w:t>
      </w:r>
      <w:r w:rsidRPr="00861EF5">
        <w:rPr>
          <w:rFonts w:asciiTheme="majorBidi" w:hAnsiTheme="majorBidi" w:cstheme="majorBidi"/>
          <w:sz w:val="24"/>
          <w:szCs w:val="24"/>
        </w:rPr>
        <w:t xml:space="preserve">lmyya, </w:t>
      </w:r>
      <w:r>
        <w:rPr>
          <w:rFonts w:asciiTheme="majorBidi" w:hAnsiTheme="majorBidi" w:cstheme="majorBidi"/>
          <w:sz w:val="24"/>
          <w:szCs w:val="24"/>
          <w:lang w:eastAsia="fr-FR"/>
        </w:rPr>
        <w:t>Beyrouth, 2001, 2 vols) </w:t>
      </w:r>
      <w:r w:rsidRPr="00861EF5">
        <w:rPr>
          <w:rFonts w:asciiTheme="majorBidi" w:hAnsiTheme="majorBidi" w:cstheme="majorBidi"/>
          <w:sz w:val="24"/>
          <w:szCs w:val="24"/>
        </w:rPr>
        <w:t>;</w:t>
      </w:r>
    </w:p>
    <w:p w14:paraId="79AD46E6"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rPr>
        <w:t>Tafsīr</w:t>
      </w:r>
      <w:r w:rsidRPr="00861EF5">
        <w:rPr>
          <w:rFonts w:asciiTheme="majorBidi" w:hAnsiTheme="majorBidi" w:cstheme="majorBidi"/>
          <w:b/>
          <w:bCs/>
          <w:sz w:val="24"/>
          <w:szCs w:val="24"/>
        </w:rPr>
        <w:t xml:space="preserve"> </w:t>
      </w:r>
      <w:r w:rsidRPr="00861EF5">
        <w:rPr>
          <w:rFonts w:asciiTheme="majorBidi" w:hAnsiTheme="majorBidi" w:cstheme="majorBidi"/>
          <w:b/>
          <w:bCs/>
          <w:i/>
          <w:iCs/>
          <w:sz w:val="24"/>
          <w:szCs w:val="24"/>
          <w:lang w:eastAsia="fr-FR"/>
        </w:rPr>
        <w:t>al-Qurṭubī</w:t>
      </w:r>
      <w:r w:rsidRPr="00861EF5">
        <w:rPr>
          <w:rFonts w:asciiTheme="majorBidi" w:hAnsiTheme="majorBidi" w:cstheme="majorBidi"/>
          <w:b/>
          <w:bCs/>
          <w:sz w:val="24"/>
          <w:szCs w:val="24"/>
          <w:lang w:eastAsia="fr-FR"/>
        </w:rPr>
        <w:t xml:space="preserve"> </w:t>
      </w:r>
      <w:r w:rsidRPr="00861EF5">
        <w:rPr>
          <w:rFonts w:asciiTheme="majorBidi" w:hAnsiTheme="majorBidi" w:cstheme="majorBidi"/>
          <w:sz w:val="24"/>
          <w:szCs w:val="24"/>
          <w:lang w:eastAsia="fr-FR" w:bidi="ar-EG"/>
        </w:rPr>
        <w:t>(</w:t>
      </w:r>
      <w:r w:rsidRPr="00861EF5">
        <w:rPr>
          <w:rFonts w:asciiTheme="majorBidi" w:hAnsiTheme="majorBidi" w:cstheme="majorBidi"/>
          <w:i/>
          <w:iCs/>
          <w:sz w:val="24"/>
          <w:szCs w:val="24"/>
          <w:lang w:eastAsia="fr-FR" w:bidi="ar-AE"/>
        </w:rPr>
        <w:t>Al-jāmiʿ li-aḥkām al-Qurʾān</w:t>
      </w:r>
      <w:r w:rsidRPr="00861EF5">
        <w:rPr>
          <w:rFonts w:asciiTheme="majorBidi" w:hAnsiTheme="majorBidi" w:cstheme="majorBidi"/>
          <w:sz w:val="24"/>
          <w:szCs w:val="24"/>
          <w:lang w:eastAsia="fr-FR" w:bidi="ar-AE"/>
        </w:rPr>
        <w:t>)</w:t>
      </w:r>
      <w:r w:rsidRPr="00861EF5">
        <w:rPr>
          <w:rFonts w:asciiTheme="majorBidi" w:hAnsiTheme="majorBidi" w:cstheme="majorBidi"/>
          <w:sz w:val="24"/>
          <w:szCs w:val="24"/>
          <w:lang w:eastAsia="fr-FR" w:bidi="ar-EG"/>
        </w:rPr>
        <w:t xml:space="preserve"> écrit par Abū ʿAbd Allāh Muḥammad ibn Aḥmad ibn Abī Bakr al-Anṣārī al-Khazrajī al-Andalusī Al-Qurṭubī </w:t>
      </w:r>
      <w:r w:rsidRPr="00A1264B">
        <w:rPr>
          <w:rFonts w:asciiTheme="majorBidi" w:hAnsiTheme="majorBidi" w:cstheme="majorBidi"/>
          <w:sz w:val="24"/>
          <w:szCs w:val="24"/>
          <w:lang w:eastAsia="fr-FR" w:bidi="ar-EG"/>
        </w:rPr>
        <w:t>(</w:t>
      </w:r>
      <w:r w:rsidRPr="00A1264B">
        <w:rPr>
          <w:rFonts w:asciiTheme="majorBidi" w:hAnsiTheme="majorBidi" w:cstheme="majorBidi"/>
          <w:bCs/>
          <w:sz w:val="24"/>
          <w:szCs w:val="24"/>
          <w:lang w:eastAsia="fr-FR" w:bidi="ar-EG"/>
        </w:rPr>
        <w:t>m. 1273</w:t>
      </w:r>
      <w:r w:rsidRPr="00A1264B">
        <w:rPr>
          <w:rFonts w:asciiTheme="majorBidi" w:hAnsiTheme="majorBidi" w:cstheme="majorBidi"/>
          <w:sz w:val="24"/>
          <w:szCs w:val="24"/>
          <w:lang w:eastAsia="fr-FR" w:bidi="ar-EG"/>
        </w:rPr>
        <w:t>),</w:t>
      </w:r>
      <w:r w:rsidRPr="00861EF5">
        <w:rPr>
          <w:rFonts w:asciiTheme="majorBidi" w:hAnsiTheme="majorBidi" w:cstheme="majorBidi"/>
          <w:sz w:val="24"/>
          <w:szCs w:val="24"/>
          <w:lang w:eastAsia="fr-FR" w:bidi="ar-EG"/>
        </w:rPr>
        <w:t xml:space="preserve"> une exégèse </w:t>
      </w:r>
      <w:r w:rsidRPr="00A1264B">
        <w:rPr>
          <w:rFonts w:asciiTheme="majorBidi" w:hAnsiTheme="majorBidi" w:cstheme="majorBidi"/>
          <w:bCs/>
          <w:sz w:val="24"/>
          <w:szCs w:val="24"/>
          <w:lang w:eastAsia="fr-FR" w:bidi="ar-EG"/>
        </w:rPr>
        <w:t>sunnite</w:t>
      </w:r>
      <w:r>
        <w:rPr>
          <w:rFonts w:asciiTheme="majorBidi" w:hAnsiTheme="majorBidi" w:cstheme="majorBidi"/>
          <w:sz w:val="24"/>
          <w:szCs w:val="24"/>
          <w:lang w:eastAsia="fr-FR" w:bidi="ar-EG"/>
        </w:rPr>
        <w:t xml:space="preserve"> </w:t>
      </w:r>
      <w:r w:rsidRPr="00861EF5">
        <w:rPr>
          <w:rFonts w:asciiTheme="majorBidi" w:hAnsiTheme="majorBidi" w:cstheme="majorBidi"/>
          <w:sz w:val="24"/>
          <w:szCs w:val="24"/>
          <w:lang w:eastAsia="fr-FR" w:bidi="ar-EG"/>
        </w:rPr>
        <w:t>en 1935 (Dār al-Kutub al-Miṣryya</w:t>
      </w:r>
      <w:r>
        <w:rPr>
          <w:rFonts w:asciiTheme="majorBidi" w:hAnsiTheme="majorBidi" w:cstheme="majorBidi"/>
          <w:sz w:val="24"/>
          <w:szCs w:val="24"/>
          <w:lang w:eastAsia="fr-FR" w:bidi="ar-EG"/>
        </w:rPr>
        <w:t>, Le Caire, 1935 [</w:t>
      </w:r>
      <w:r w:rsidRPr="00861EF5">
        <w:rPr>
          <w:rFonts w:asciiTheme="majorBidi" w:hAnsiTheme="majorBidi" w:cstheme="majorBidi"/>
          <w:sz w:val="24"/>
          <w:szCs w:val="24"/>
          <w:lang w:eastAsia="fr-FR" w:bidi="ar-EG"/>
        </w:rPr>
        <w:t>2</w:t>
      </w:r>
      <w:r w:rsidRPr="00861EF5">
        <w:rPr>
          <w:rFonts w:asciiTheme="majorBidi" w:hAnsiTheme="majorBidi" w:cstheme="majorBidi"/>
          <w:sz w:val="24"/>
          <w:szCs w:val="24"/>
          <w:vertAlign w:val="superscript"/>
          <w:lang w:eastAsia="fr-FR" w:bidi="ar-EG"/>
        </w:rPr>
        <w:t>e</w:t>
      </w:r>
      <w:r>
        <w:rPr>
          <w:rFonts w:asciiTheme="majorBidi" w:hAnsiTheme="majorBidi" w:cstheme="majorBidi"/>
          <w:sz w:val="24"/>
          <w:szCs w:val="24"/>
          <w:lang w:eastAsia="fr-FR" w:bidi="ar-EG"/>
        </w:rPr>
        <w:t xml:space="preserve"> éd.]</w:t>
      </w:r>
      <w:r w:rsidRPr="00861EF5">
        <w:rPr>
          <w:rFonts w:asciiTheme="majorBidi" w:hAnsiTheme="majorBidi" w:cstheme="majorBidi"/>
          <w:sz w:val="24"/>
          <w:szCs w:val="24"/>
          <w:lang w:eastAsia="fr-FR" w:bidi="ar-EG"/>
        </w:rPr>
        <w:t>) ;</w:t>
      </w:r>
    </w:p>
    <w:p w14:paraId="0785D760"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lang w:eastAsia="fr-FR" w:bidi="ar-AE"/>
        </w:rPr>
        <w:t xml:space="preserve">Tafsīr </w:t>
      </w:r>
      <w:r w:rsidRPr="00861EF5">
        <w:rPr>
          <w:rFonts w:asciiTheme="majorBidi" w:hAnsiTheme="majorBidi" w:cstheme="majorBidi"/>
          <w:b/>
          <w:bCs/>
          <w:i/>
          <w:iCs/>
          <w:sz w:val="24"/>
          <w:szCs w:val="24"/>
          <w:lang w:eastAsia="fr-FR"/>
        </w:rPr>
        <w:t xml:space="preserve">Al-Bayḍāwī </w:t>
      </w:r>
      <w:r w:rsidRPr="00861EF5">
        <w:rPr>
          <w:rFonts w:asciiTheme="majorBidi" w:hAnsiTheme="majorBidi" w:cstheme="majorBidi"/>
          <w:sz w:val="24"/>
          <w:szCs w:val="24"/>
          <w:lang w:eastAsia="fr-FR"/>
        </w:rPr>
        <w:t>(</w:t>
      </w:r>
      <w:r w:rsidRPr="00861EF5">
        <w:rPr>
          <w:rFonts w:asciiTheme="majorBidi" w:hAnsiTheme="majorBidi" w:cstheme="majorBidi"/>
          <w:i/>
          <w:iCs/>
          <w:sz w:val="24"/>
          <w:szCs w:val="24"/>
          <w:lang w:eastAsia="fr-FR"/>
        </w:rPr>
        <w:t>Anwār at-tanzīl</w:t>
      </w:r>
      <w:r>
        <w:rPr>
          <w:rFonts w:asciiTheme="majorBidi" w:hAnsiTheme="majorBidi" w:cstheme="majorBidi"/>
          <w:i/>
          <w:iCs/>
          <w:sz w:val="24"/>
          <w:szCs w:val="24"/>
          <w:lang w:eastAsia="fr-FR"/>
        </w:rPr>
        <w:t xml:space="preserve"> wa-</w:t>
      </w:r>
      <w:r w:rsidRPr="00861EF5">
        <w:rPr>
          <w:rFonts w:asciiTheme="majorBidi" w:hAnsiTheme="majorBidi" w:cstheme="majorBidi"/>
          <w:i/>
          <w:iCs/>
          <w:sz w:val="24"/>
          <w:szCs w:val="24"/>
          <w:lang w:eastAsia="fr-FR"/>
        </w:rPr>
        <w:t>asrār at-taʾwīl</w:t>
      </w:r>
      <w:r w:rsidRPr="00861EF5">
        <w:rPr>
          <w:rFonts w:asciiTheme="majorBidi" w:hAnsiTheme="majorBidi" w:cstheme="majorBidi"/>
          <w:sz w:val="24"/>
          <w:szCs w:val="24"/>
          <w:lang w:eastAsia="fr-FR"/>
        </w:rPr>
        <w:t xml:space="preserve"> [</w:t>
      </w:r>
      <w:r w:rsidRPr="00861EF5">
        <w:rPr>
          <w:rFonts w:asciiTheme="majorBidi" w:hAnsiTheme="majorBidi" w:cstheme="majorBidi"/>
          <w:i/>
          <w:iCs/>
          <w:sz w:val="24"/>
          <w:szCs w:val="24"/>
          <w:shd w:val="clear" w:color="auto" w:fill="FFFFFF"/>
        </w:rPr>
        <w:t>Les lumières de la révélation et les arcanes de l’interprétation</w:t>
      </w:r>
      <w:r w:rsidRPr="00861EF5">
        <w:rPr>
          <w:rFonts w:asciiTheme="majorBidi" w:hAnsiTheme="majorBidi" w:cstheme="majorBidi"/>
          <w:sz w:val="24"/>
          <w:szCs w:val="24"/>
          <w:lang w:eastAsia="fr-FR"/>
        </w:rPr>
        <w:t xml:space="preserve">]), écrit par ʿAbdullāh ibn ʿUmar Abū l-Khayr Nāsir ad-Dīn Al-Bayḍāwī </w:t>
      </w:r>
      <w:r w:rsidRPr="00A1264B">
        <w:rPr>
          <w:rFonts w:asciiTheme="majorBidi" w:hAnsiTheme="majorBidi" w:cstheme="majorBidi"/>
          <w:sz w:val="24"/>
          <w:szCs w:val="24"/>
          <w:lang w:eastAsia="fr-FR"/>
        </w:rPr>
        <w:t>(</w:t>
      </w:r>
      <w:r w:rsidRPr="00A1264B">
        <w:rPr>
          <w:rFonts w:asciiTheme="majorBidi" w:hAnsiTheme="majorBidi" w:cstheme="majorBidi"/>
          <w:bCs/>
          <w:sz w:val="24"/>
          <w:szCs w:val="24"/>
          <w:lang w:eastAsia="fr-FR"/>
        </w:rPr>
        <w:t>m. 1286/1291</w:t>
      </w:r>
      <w:r w:rsidRPr="00A1264B">
        <w:rPr>
          <w:rFonts w:asciiTheme="majorBidi" w:hAnsiTheme="majorBidi" w:cstheme="majorBidi"/>
          <w:sz w:val="24"/>
          <w:szCs w:val="24"/>
          <w:lang w:eastAsia="fr-FR"/>
        </w:rPr>
        <w:t xml:space="preserve">), une exégèse </w:t>
      </w:r>
      <w:r w:rsidRPr="00A1264B">
        <w:rPr>
          <w:rFonts w:asciiTheme="majorBidi" w:hAnsiTheme="majorBidi" w:cstheme="majorBidi"/>
          <w:bCs/>
          <w:sz w:val="24"/>
          <w:szCs w:val="24"/>
          <w:lang w:eastAsia="fr-FR"/>
        </w:rPr>
        <w:t>sunnite</w:t>
      </w:r>
      <w:r w:rsidRPr="00861EF5">
        <w:rPr>
          <w:rFonts w:asciiTheme="majorBidi" w:hAnsiTheme="majorBidi" w:cstheme="majorBidi"/>
          <w:sz w:val="24"/>
          <w:szCs w:val="24"/>
          <w:lang w:eastAsia="fr-FR"/>
        </w:rPr>
        <w:t xml:space="preserve"> </w:t>
      </w:r>
      <w:r>
        <w:rPr>
          <w:rFonts w:asciiTheme="majorBidi" w:hAnsiTheme="majorBidi" w:cstheme="majorBidi"/>
          <w:sz w:val="24"/>
          <w:szCs w:val="24"/>
          <w:lang w:eastAsia="fr-FR"/>
        </w:rPr>
        <w:t xml:space="preserve">(Dār ar-Rashīd, </w:t>
      </w:r>
      <w:r w:rsidRPr="00861EF5">
        <w:rPr>
          <w:rFonts w:asciiTheme="majorBidi" w:hAnsiTheme="majorBidi" w:cstheme="majorBidi"/>
          <w:sz w:val="24"/>
          <w:szCs w:val="24"/>
          <w:lang w:eastAsia="fr-FR"/>
        </w:rPr>
        <w:t>Beyrouth</w:t>
      </w:r>
      <w:r>
        <w:rPr>
          <w:rFonts w:asciiTheme="majorBidi" w:hAnsiTheme="majorBidi" w:cstheme="majorBidi"/>
          <w:sz w:val="24"/>
          <w:szCs w:val="24"/>
          <w:lang w:eastAsia="fr-FR"/>
        </w:rPr>
        <w:t>, 2000)</w:t>
      </w:r>
      <w:r w:rsidRPr="00861EF5">
        <w:rPr>
          <w:rFonts w:asciiTheme="majorBidi" w:hAnsiTheme="majorBidi" w:cstheme="majorBidi"/>
          <w:sz w:val="24"/>
          <w:szCs w:val="24"/>
          <w:lang w:eastAsia="fr-FR"/>
        </w:rPr>
        <w:t> ;</w:t>
      </w:r>
    </w:p>
    <w:p w14:paraId="34A42E0E"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rPr>
        <w:t>At-Tafsīr Al-Kabīr</w:t>
      </w:r>
      <w:r w:rsidRPr="00861EF5">
        <w:rPr>
          <w:rFonts w:asciiTheme="majorBidi" w:hAnsiTheme="majorBidi" w:cstheme="majorBidi"/>
          <w:sz w:val="24"/>
          <w:szCs w:val="24"/>
        </w:rPr>
        <w:t xml:space="preserve"> (</w:t>
      </w:r>
      <w:r w:rsidRPr="00861EF5">
        <w:rPr>
          <w:rFonts w:asciiTheme="majorBidi" w:hAnsiTheme="majorBidi" w:cstheme="majorBidi"/>
          <w:i/>
          <w:iCs/>
          <w:sz w:val="24"/>
          <w:szCs w:val="24"/>
        </w:rPr>
        <w:t>Al-Baḥr Al-Muḥīṭ</w:t>
      </w:r>
      <w:r w:rsidRPr="00861EF5">
        <w:rPr>
          <w:rFonts w:asciiTheme="majorBidi" w:hAnsiTheme="majorBidi" w:cstheme="majorBidi"/>
          <w:sz w:val="24"/>
          <w:szCs w:val="24"/>
        </w:rPr>
        <w:t xml:space="preserve">) écrit </w:t>
      </w:r>
      <w:r w:rsidRPr="00861EF5">
        <w:rPr>
          <w:rFonts w:asciiTheme="majorBidi" w:hAnsiTheme="majorBidi" w:cstheme="majorBidi"/>
          <w:sz w:val="24"/>
          <w:szCs w:val="24"/>
          <w:lang w:eastAsia="fr-FR"/>
        </w:rPr>
        <w:t xml:space="preserve">Abū </w:t>
      </w:r>
      <w:r w:rsidRPr="00861EF5">
        <w:rPr>
          <w:rFonts w:asciiTheme="majorBidi" w:hAnsiTheme="majorBidi" w:cstheme="majorBidi"/>
          <w:sz w:val="24"/>
          <w:szCs w:val="24"/>
        </w:rPr>
        <w:t>Ḥ</w:t>
      </w:r>
      <w:r w:rsidRPr="00861EF5">
        <w:rPr>
          <w:rFonts w:asciiTheme="majorBidi" w:hAnsiTheme="majorBidi" w:cstheme="majorBidi"/>
          <w:sz w:val="24"/>
          <w:szCs w:val="24"/>
          <w:lang w:eastAsia="fr-FR"/>
        </w:rPr>
        <w:t xml:space="preserve">ayyān </w:t>
      </w:r>
      <w:r>
        <w:rPr>
          <w:rFonts w:asciiTheme="majorBidi" w:hAnsiTheme="majorBidi" w:cstheme="majorBidi"/>
          <w:sz w:val="24"/>
          <w:szCs w:val="24"/>
        </w:rPr>
        <w:t>Athīr a</w:t>
      </w:r>
      <w:r w:rsidRPr="00861EF5">
        <w:rPr>
          <w:rFonts w:asciiTheme="majorBidi" w:hAnsiTheme="majorBidi" w:cstheme="majorBidi"/>
          <w:sz w:val="24"/>
          <w:szCs w:val="24"/>
        </w:rPr>
        <w:t xml:space="preserve">d-Dīn </w:t>
      </w:r>
      <w:r w:rsidRPr="00861EF5">
        <w:rPr>
          <w:rFonts w:asciiTheme="majorBidi" w:hAnsiTheme="majorBidi" w:cstheme="majorBidi"/>
          <w:sz w:val="24"/>
          <w:szCs w:val="24"/>
          <w:lang w:eastAsia="fr-FR" w:bidi="ar-EG"/>
        </w:rPr>
        <w:t xml:space="preserve">Muḥammad Ibn Yūsuf </w:t>
      </w:r>
      <w:r w:rsidRPr="00861EF5">
        <w:rPr>
          <w:rFonts w:asciiTheme="majorBidi" w:hAnsiTheme="majorBidi" w:cstheme="majorBidi"/>
          <w:sz w:val="24"/>
          <w:szCs w:val="24"/>
        </w:rPr>
        <w:t xml:space="preserve">Al-Ghirnāṭī Al-Andalusī </w:t>
      </w:r>
      <w:r w:rsidRPr="00A1264B">
        <w:rPr>
          <w:rFonts w:asciiTheme="majorBidi" w:hAnsiTheme="majorBidi" w:cstheme="majorBidi"/>
          <w:sz w:val="24"/>
          <w:szCs w:val="24"/>
          <w:lang w:eastAsia="fr-FR" w:bidi="ar-AE"/>
        </w:rPr>
        <w:t>(</w:t>
      </w:r>
      <w:r w:rsidRPr="00A1264B">
        <w:rPr>
          <w:rFonts w:asciiTheme="majorBidi" w:hAnsiTheme="majorBidi" w:cstheme="majorBidi"/>
          <w:bCs/>
          <w:sz w:val="24"/>
          <w:szCs w:val="24"/>
          <w:lang w:eastAsia="fr-FR" w:bidi="ar-AE"/>
        </w:rPr>
        <w:t>m. 1344</w:t>
      </w:r>
      <w:r w:rsidRPr="00A1264B">
        <w:rPr>
          <w:rFonts w:asciiTheme="majorBidi" w:hAnsiTheme="majorBidi" w:cstheme="majorBidi"/>
          <w:sz w:val="24"/>
          <w:szCs w:val="24"/>
          <w:lang w:eastAsia="fr-FR" w:bidi="ar-AE"/>
        </w:rPr>
        <w:t xml:space="preserve">), une </w:t>
      </w:r>
      <w:r w:rsidRPr="00A1264B">
        <w:rPr>
          <w:rFonts w:asciiTheme="majorBidi" w:hAnsiTheme="majorBidi" w:cstheme="majorBidi"/>
          <w:sz w:val="24"/>
          <w:szCs w:val="24"/>
        </w:rPr>
        <w:t xml:space="preserve">exégèse </w:t>
      </w:r>
      <w:r w:rsidRPr="00A1264B">
        <w:rPr>
          <w:rFonts w:asciiTheme="majorBidi" w:hAnsiTheme="majorBidi" w:cstheme="majorBidi"/>
          <w:bCs/>
          <w:sz w:val="24"/>
          <w:szCs w:val="24"/>
        </w:rPr>
        <w:t>sunnite</w:t>
      </w:r>
      <w:r w:rsidRPr="00861EF5">
        <w:rPr>
          <w:rFonts w:asciiTheme="majorBidi" w:hAnsiTheme="majorBidi" w:cstheme="majorBidi"/>
          <w:sz w:val="24"/>
          <w:szCs w:val="24"/>
        </w:rPr>
        <w:t xml:space="preserve"> </w:t>
      </w:r>
      <w:r w:rsidRPr="00861EF5">
        <w:rPr>
          <w:rFonts w:asciiTheme="majorBidi" w:hAnsiTheme="majorBidi" w:cstheme="majorBidi"/>
          <w:sz w:val="24"/>
          <w:szCs w:val="24"/>
          <w:lang w:eastAsia="fr-FR" w:bidi="ar-AE"/>
        </w:rPr>
        <w:t xml:space="preserve">commentée par </w:t>
      </w:r>
      <w:r>
        <w:rPr>
          <w:rFonts w:asciiTheme="majorBidi" w:hAnsiTheme="majorBidi" w:cstheme="majorBidi"/>
          <w:sz w:val="24"/>
          <w:szCs w:val="24"/>
        </w:rPr>
        <w:t>ʿĀdil Aḥmad et</w:t>
      </w:r>
      <w:r w:rsidRPr="00861EF5">
        <w:rPr>
          <w:rFonts w:asciiTheme="majorBidi" w:hAnsiTheme="majorBidi" w:cstheme="majorBidi"/>
          <w:sz w:val="24"/>
          <w:szCs w:val="24"/>
        </w:rPr>
        <w:t xml:space="preserve"> ʿAlī Muʿawwaḍ</w:t>
      </w:r>
      <w:r w:rsidRPr="00861EF5">
        <w:rPr>
          <w:rFonts w:asciiTheme="majorBidi" w:hAnsiTheme="majorBidi" w:cstheme="majorBidi"/>
          <w:sz w:val="24"/>
          <w:szCs w:val="24"/>
          <w:lang w:eastAsia="fr-FR" w:bidi="ar-AE"/>
        </w:rPr>
        <w:t xml:space="preserve"> </w:t>
      </w:r>
      <w:r>
        <w:rPr>
          <w:rFonts w:asciiTheme="majorBidi" w:hAnsiTheme="majorBidi" w:cstheme="majorBidi"/>
          <w:sz w:val="24"/>
          <w:szCs w:val="24"/>
          <w:lang w:eastAsia="fr-FR" w:bidi="ar-AE"/>
        </w:rPr>
        <w:t>(</w:t>
      </w:r>
      <w:r>
        <w:rPr>
          <w:rFonts w:asciiTheme="majorBidi" w:hAnsiTheme="majorBidi" w:cstheme="majorBidi"/>
          <w:sz w:val="24"/>
          <w:szCs w:val="24"/>
        </w:rPr>
        <w:t>Dār al-Kutub al-ʿi</w:t>
      </w:r>
      <w:r w:rsidRPr="00861EF5">
        <w:rPr>
          <w:rFonts w:asciiTheme="majorBidi" w:hAnsiTheme="majorBidi" w:cstheme="majorBidi"/>
          <w:sz w:val="24"/>
          <w:szCs w:val="24"/>
        </w:rPr>
        <w:t>lmyya</w:t>
      </w:r>
      <w:r>
        <w:rPr>
          <w:rFonts w:asciiTheme="majorBidi" w:hAnsiTheme="majorBidi" w:cstheme="majorBidi"/>
          <w:sz w:val="24"/>
          <w:szCs w:val="24"/>
        </w:rPr>
        <w:t>, Beyrouth, 1993, 8 vol</w:t>
      </w:r>
      <w:r w:rsidRPr="00861EF5">
        <w:rPr>
          <w:rFonts w:asciiTheme="majorBidi" w:hAnsiTheme="majorBidi" w:cstheme="majorBidi"/>
          <w:sz w:val="24"/>
          <w:szCs w:val="24"/>
        </w:rPr>
        <w:t>s</w:t>
      </w:r>
      <w:r>
        <w:rPr>
          <w:rFonts w:asciiTheme="majorBidi" w:hAnsiTheme="majorBidi" w:cstheme="majorBidi"/>
          <w:sz w:val="24"/>
          <w:szCs w:val="24"/>
        </w:rPr>
        <w:t>)</w:t>
      </w:r>
      <w:r w:rsidRPr="00861EF5">
        <w:rPr>
          <w:rFonts w:asciiTheme="majorBidi" w:hAnsiTheme="majorBidi" w:cstheme="majorBidi"/>
          <w:sz w:val="24"/>
          <w:szCs w:val="24"/>
        </w:rPr>
        <w:t> ;</w:t>
      </w:r>
    </w:p>
    <w:p w14:paraId="1987A10F"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lang w:eastAsia="fr-FR" w:bidi="ar-AE"/>
        </w:rPr>
        <w:t>Tafsīr</w:t>
      </w:r>
      <w:r w:rsidRPr="00861EF5">
        <w:rPr>
          <w:rFonts w:asciiTheme="majorBidi" w:hAnsiTheme="majorBidi" w:cstheme="majorBidi"/>
          <w:b/>
          <w:bCs/>
          <w:i/>
          <w:iCs/>
          <w:sz w:val="24"/>
          <w:szCs w:val="24"/>
          <w:lang w:bidi="ar-KW"/>
        </w:rPr>
        <w:t xml:space="preserve"> Ibn Kathīr</w:t>
      </w:r>
      <w:r>
        <w:rPr>
          <w:rFonts w:asciiTheme="majorBidi" w:hAnsiTheme="majorBidi" w:cstheme="majorBidi"/>
          <w:b/>
          <w:bCs/>
          <w:i/>
          <w:iCs/>
          <w:sz w:val="24"/>
          <w:szCs w:val="24"/>
          <w:lang w:bidi="ar-KW"/>
        </w:rPr>
        <w:t>,</w:t>
      </w:r>
      <w:r w:rsidRPr="00861EF5">
        <w:rPr>
          <w:rFonts w:asciiTheme="majorBidi" w:hAnsiTheme="majorBidi" w:cstheme="majorBidi"/>
          <w:sz w:val="24"/>
          <w:szCs w:val="24"/>
          <w:lang w:bidi="ar-KW"/>
        </w:rPr>
        <w:t xml:space="preserve"> écrit </w:t>
      </w:r>
      <w:r w:rsidRPr="00861EF5">
        <w:rPr>
          <w:rFonts w:asciiTheme="majorBidi" w:hAnsiTheme="majorBidi" w:cstheme="majorBidi"/>
          <w:sz w:val="24"/>
          <w:szCs w:val="24"/>
          <w:lang w:eastAsia="fr-FR" w:bidi="ar-EG"/>
        </w:rPr>
        <w:t>par Abū al-Fidāʾ Ismāʿīl ibn ʿUmar ibn Kathīr</w:t>
      </w:r>
      <w:r w:rsidRPr="00861EF5">
        <w:rPr>
          <w:rFonts w:asciiTheme="majorBidi" w:hAnsiTheme="majorBidi" w:cstheme="majorBidi"/>
          <w:sz w:val="24"/>
          <w:szCs w:val="24"/>
          <w:lang w:eastAsia="fr-FR" w:bidi="ar-AE"/>
        </w:rPr>
        <w:t xml:space="preserve"> </w:t>
      </w:r>
      <w:r w:rsidRPr="00A1264B">
        <w:rPr>
          <w:rFonts w:asciiTheme="majorBidi" w:hAnsiTheme="majorBidi" w:cstheme="majorBidi"/>
          <w:sz w:val="24"/>
          <w:szCs w:val="24"/>
          <w:lang w:eastAsia="fr-FR" w:bidi="ar-AE"/>
        </w:rPr>
        <w:t>(</w:t>
      </w:r>
      <w:r w:rsidRPr="00A1264B">
        <w:rPr>
          <w:rFonts w:asciiTheme="majorBidi" w:hAnsiTheme="majorBidi" w:cstheme="majorBidi"/>
          <w:bCs/>
          <w:sz w:val="24"/>
          <w:szCs w:val="24"/>
          <w:lang w:eastAsia="fr-FR" w:bidi="ar-AE"/>
        </w:rPr>
        <w:t>m. 1373</w:t>
      </w:r>
      <w:r w:rsidRPr="00A1264B">
        <w:rPr>
          <w:rFonts w:asciiTheme="majorBidi" w:hAnsiTheme="majorBidi" w:cstheme="majorBidi"/>
          <w:sz w:val="24"/>
          <w:szCs w:val="24"/>
          <w:lang w:eastAsia="fr-FR" w:bidi="ar-AE"/>
        </w:rPr>
        <w:t>),</w:t>
      </w:r>
      <w:r w:rsidRPr="00861EF5">
        <w:rPr>
          <w:rFonts w:asciiTheme="majorBidi" w:hAnsiTheme="majorBidi" w:cstheme="majorBidi"/>
          <w:sz w:val="24"/>
          <w:szCs w:val="24"/>
          <w:lang w:eastAsia="fr-FR" w:bidi="ar-AE"/>
        </w:rPr>
        <w:t xml:space="preserve"> une exégèse </w:t>
      </w:r>
      <w:r w:rsidRPr="00861EF5">
        <w:rPr>
          <w:rFonts w:asciiTheme="majorBidi" w:hAnsiTheme="majorBidi" w:cstheme="majorBidi"/>
          <w:b/>
          <w:bCs/>
          <w:sz w:val="24"/>
          <w:szCs w:val="24"/>
          <w:lang w:eastAsia="fr-FR" w:bidi="ar-AE"/>
        </w:rPr>
        <w:t>sunnite</w:t>
      </w:r>
      <w:r w:rsidRPr="00861EF5">
        <w:rPr>
          <w:rFonts w:asciiTheme="majorBidi" w:hAnsiTheme="majorBidi" w:cstheme="majorBidi"/>
          <w:sz w:val="24"/>
          <w:szCs w:val="24"/>
          <w:lang w:eastAsia="fr-FR" w:bidi="ar-AE"/>
        </w:rPr>
        <w:t xml:space="preserve"> </w:t>
      </w:r>
      <w:r>
        <w:rPr>
          <w:rFonts w:asciiTheme="majorBidi" w:hAnsiTheme="majorBidi" w:cstheme="majorBidi"/>
          <w:sz w:val="24"/>
          <w:szCs w:val="24"/>
          <w:lang w:eastAsia="fr-FR" w:bidi="ar-AE"/>
        </w:rPr>
        <w:t>(</w:t>
      </w:r>
      <w:r w:rsidRPr="00861EF5">
        <w:rPr>
          <w:rFonts w:asciiTheme="majorBidi" w:hAnsiTheme="majorBidi" w:cstheme="majorBidi"/>
          <w:sz w:val="24"/>
          <w:szCs w:val="24"/>
          <w:lang w:eastAsia="fr-FR" w:bidi="ar-AE"/>
        </w:rPr>
        <w:t>Dār al-Fikr</w:t>
      </w:r>
      <w:r>
        <w:rPr>
          <w:rFonts w:asciiTheme="majorBidi" w:hAnsiTheme="majorBidi" w:cstheme="majorBidi"/>
          <w:sz w:val="24"/>
          <w:szCs w:val="24"/>
          <w:lang w:eastAsia="fr-FR" w:bidi="ar-AE"/>
        </w:rPr>
        <w:t>,</w:t>
      </w:r>
      <w:r w:rsidRPr="00861EF5">
        <w:rPr>
          <w:rFonts w:asciiTheme="majorBidi" w:hAnsiTheme="majorBidi" w:cstheme="majorBidi"/>
          <w:sz w:val="24"/>
          <w:szCs w:val="24"/>
          <w:lang w:eastAsia="fr-FR" w:bidi="ar-AE"/>
        </w:rPr>
        <w:t xml:space="preserve"> Damas</w:t>
      </w:r>
      <w:r>
        <w:rPr>
          <w:rFonts w:asciiTheme="majorBidi" w:hAnsiTheme="majorBidi" w:cstheme="majorBidi"/>
          <w:sz w:val="24"/>
          <w:szCs w:val="24"/>
          <w:lang w:eastAsia="fr-FR" w:bidi="ar-AE"/>
        </w:rPr>
        <w:t>, 1994)</w:t>
      </w:r>
      <w:r w:rsidRPr="00861EF5">
        <w:rPr>
          <w:rFonts w:asciiTheme="majorBidi" w:hAnsiTheme="majorBidi" w:cstheme="majorBidi"/>
          <w:sz w:val="24"/>
          <w:szCs w:val="24"/>
          <w:lang w:eastAsia="fr-FR" w:bidi="ar-AE"/>
        </w:rPr>
        <w:t> ;</w:t>
      </w:r>
    </w:p>
    <w:p w14:paraId="033A8B5A"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lang w:eastAsia="fr-FR" w:bidi="ar-AE"/>
        </w:rPr>
        <w:t>Tafsīr Ath-Thaʿālibī</w:t>
      </w:r>
      <w:r w:rsidRPr="00861EF5">
        <w:rPr>
          <w:rFonts w:asciiTheme="majorBidi" w:hAnsiTheme="majorBidi" w:cstheme="majorBidi"/>
          <w:sz w:val="24"/>
          <w:szCs w:val="24"/>
          <w:lang w:eastAsia="fr-FR" w:bidi="ar-AE"/>
        </w:rPr>
        <w:t xml:space="preserve"> (</w:t>
      </w:r>
      <w:r w:rsidRPr="00861EF5">
        <w:rPr>
          <w:rFonts w:asciiTheme="majorBidi" w:hAnsiTheme="majorBidi" w:cstheme="majorBidi"/>
          <w:i/>
          <w:iCs/>
          <w:sz w:val="24"/>
          <w:szCs w:val="24"/>
          <w:lang w:eastAsia="fr-FR" w:bidi="ar-AE"/>
        </w:rPr>
        <w:t>Al-jawāhir al</w:t>
      </w:r>
      <w:r w:rsidRPr="00760370">
        <w:rPr>
          <w:rFonts w:ascii="Times New Roman" w:hAnsi="Times New Roman" w:cstheme="majorBidi"/>
          <w:i/>
          <w:iCs/>
          <w:sz w:val="24"/>
          <w:szCs w:val="24"/>
          <w:lang w:eastAsia="fr-FR" w:bidi="ar-AE"/>
        </w:rPr>
        <w:t>-ḥisān fī tafsīr al-Qurʾān</w:t>
      </w:r>
      <w:r w:rsidRPr="00760370">
        <w:rPr>
          <w:rFonts w:ascii="Times New Roman" w:hAnsi="Times New Roman" w:cstheme="majorBidi"/>
          <w:sz w:val="24"/>
          <w:szCs w:val="24"/>
          <w:lang w:eastAsia="fr-FR" w:bidi="ar-AE"/>
        </w:rPr>
        <w:t>) écrit par Abū Zayd ʿ</w:t>
      </w:r>
      <w:r>
        <w:rPr>
          <w:rFonts w:ascii="Times New Roman" w:hAnsi="Times New Roman" w:cstheme="majorBidi"/>
          <w:sz w:val="24"/>
          <w:szCs w:val="24"/>
          <w:lang w:eastAsia="fr-FR" w:bidi="ar-AE"/>
        </w:rPr>
        <w:t>Abd a</w:t>
      </w:r>
      <w:r w:rsidRPr="00760370">
        <w:rPr>
          <w:rFonts w:ascii="Times New Roman" w:hAnsi="Times New Roman" w:cstheme="majorBidi"/>
          <w:sz w:val="24"/>
          <w:szCs w:val="24"/>
          <w:lang w:eastAsia="fr-FR" w:bidi="ar-AE"/>
        </w:rPr>
        <w:t>r-Raḥmān ibn Muḥammad Ath-Thaʿālibī</w:t>
      </w:r>
      <w:r w:rsidRPr="00861EF5">
        <w:rPr>
          <w:rFonts w:asciiTheme="majorBidi" w:hAnsiTheme="majorBidi" w:cstheme="majorBidi"/>
          <w:sz w:val="24"/>
          <w:szCs w:val="24"/>
          <w:lang w:eastAsia="fr-FR" w:bidi="ar-AE"/>
        </w:rPr>
        <w:t xml:space="preserve"> </w:t>
      </w:r>
      <w:r w:rsidRPr="00760370">
        <w:rPr>
          <w:rFonts w:asciiTheme="majorBidi" w:hAnsiTheme="majorBidi" w:cstheme="majorBidi"/>
          <w:sz w:val="24"/>
          <w:szCs w:val="24"/>
          <w:lang w:eastAsia="fr-FR" w:bidi="ar-AE"/>
        </w:rPr>
        <w:t>(</w:t>
      </w:r>
      <w:r w:rsidRPr="00760370">
        <w:rPr>
          <w:rFonts w:asciiTheme="majorBidi" w:hAnsiTheme="majorBidi" w:cstheme="majorBidi"/>
          <w:bCs/>
          <w:sz w:val="24"/>
          <w:szCs w:val="24"/>
          <w:lang w:eastAsia="fr-FR" w:bidi="ar-AE"/>
        </w:rPr>
        <w:t>m. 1471</w:t>
      </w:r>
      <w:r w:rsidRPr="00760370">
        <w:rPr>
          <w:rFonts w:asciiTheme="majorBidi" w:hAnsiTheme="majorBidi" w:cstheme="majorBidi"/>
          <w:sz w:val="24"/>
          <w:szCs w:val="24"/>
          <w:lang w:eastAsia="fr-FR" w:bidi="ar-AE"/>
        </w:rPr>
        <w:t>), une exégèse</w:t>
      </w:r>
      <w:r>
        <w:rPr>
          <w:rFonts w:asciiTheme="majorBidi" w:hAnsiTheme="majorBidi" w:cstheme="majorBidi"/>
          <w:sz w:val="24"/>
          <w:szCs w:val="24"/>
          <w:lang w:eastAsia="fr-FR" w:bidi="ar-AE"/>
        </w:rPr>
        <w:t xml:space="preserve"> sunnite</w:t>
      </w:r>
      <w:r w:rsidRPr="00861EF5">
        <w:rPr>
          <w:rFonts w:asciiTheme="majorBidi" w:hAnsiTheme="majorBidi" w:cstheme="majorBidi"/>
          <w:sz w:val="24"/>
          <w:szCs w:val="24"/>
        </w:rPr>
        <w:t xml:space="preserve"> commentée par </w:t>
      </w:r>
      <w:r w:rsidRPr="00861EF5">
        <w:rPr>
          <w:rFonts w:asciiTheme="majorBidi" w:hAnsiTheme="majorBidi" w:cstheme="majorBidi"/>
          <w:sz w:val="24"/>
          <w:szCs w:val="24"/>
          <w:lang w:eastAsia="fr-FR" w:bidi="ar-AE"/>
        </w:rPr>
        <w:t xml:space="preserve">Muḥammad </w:t>
      </w:r>
      <w:r w:rsidRPr="00861EF5">
        <w:rPr>
          <w:rFonts w:asciiTheme="majorBidi" w:hAnsiTheme="majorBidi" w:cstheme="majorBidi"/>
          <w:sz w:val="24"/>
          <w:szCs w:val="24"/>
        </w:rPr>
        <w:t xml:space="preserve">ʿAlī Muʿawwaḍ </w:t>
      </w:r>
      <w:r>
        <w:rPr>
          <w:rFonts w:asciiTheme="majorBidi" w:hAnsiTheme="majorBidi" w:cstheme="majorBidi"/>
          <w:sz w:val="24"/>
          <w:szCs w:val="24"/>
        </w:rPr>
        <w:t>et ʿĀdil Aḥmad ʿAbd al-Mawjūd (</w:t>
      </w:r>
      <w:r w:rsidRPr="00861EF5">
        <w:rPr>
          <w:rFonts w:asciiTheme="majorBidi" w:hAnsiTheme="majorBidi" w:cstheme="majorBidi"/>
          <w:sz w:val="24"/>
          <w:szCs w:val="24"/>
          <w:lang w:eastAsia="fr-FR" w:bidi="ar-AE"/>
        </w:rPr>
        <w:t xml:space="preserve">Dār </w:t>
      </w:r>
      <w:r>
        <w:rPr>
          <w:rFonts w:asciiTheme="majorBidi" w:hAnsiTheme="majorBidi" w:cstheme="majorBidi"/>
          <w:sz w:val="24"/>
          <w:szCs w:val="24"/>
        </w:rPr>
        <w:t xml:space="preserve">ʾIḥyāʾ at-turāth al-ʿarabī, </w:t>
      </w:r>
      <w:r w:rsidRPr="00861EF5">
        <w:rPr>
          <w:rFonts w:asciiTheme="majorBidi" w:hAnsiTheme="majorBidi" w:cstheme="majorBidi"/>
          <w:sz w:val="24"/>
          <w:szCs w:val="24"/>
        </w:rPr>
        <w:t>Beyrouth</w:t>
      </w:r>
      <w:r>
        <w:rPr>
          <w:rFonts w:asciiTheme="majorBidi" w:hAnsiTheme="majorBidi" w:cstheme="majorBidi"/>
          <w:sz w:val="24"/>
          <w:szCs w:val="24"/>
        </w:rPr>
        <w:t>, 1998 ; publiée également par Muʾassasat al-Aʿlamī,</w:t>
      </w:r>
      <w:r w:rsidRPr="00861EF5">
        <w:rPr>
          <w:rFonts w:asciiTheme="majorBidi" w:hAnsiTheme="majorBidi" w:cstheme="majorBidi"/>
          <w:sz w:val="24"/>
          <w:szCs w:val="24"/>
        </w:rPr>
        <w:t xml:space="preserve"> Beyrouth</w:t>
      </w:r>
      <w:r>
        <w:rPr>
          <w:rFonts w:asciiTheme="majorBidi" w:hAnsiTheme="majorBidi" w:cstheme="majorBidi"/>
          <w:sz w:val="24"/>
          <w:szCs w:val="24"/>
        </w:rPr>
        <w:t>)</w:t>
      </w:r>
      <w:r w:rsidRPr="00861EF5">
        <w:rPr>
          <w:rFonts w:asciiTheme="majorBidi" w:hAnsiTheme="majorBidi" w:cstheme="majorBidi"/>
          <w:sz w:val="24"/>
          <w:szCs w:val="24"/>
        </w:rPr>
        <w:t> ;</w:t>
      </w:r>
    </w:p>
    <w:p w14:paraId="7800B96F"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lang w:eastAsia="fr-FR" w:bidi="ar-AE"/>
        </w:rPr>
        <w:t>Tafsīr</w:t>
      </w:r>
      <w:r w:rsidRPr="00861EF5">
        <w:rPr>
          <w:rFonts w:asciiTheme="majorBidi" w:hAnsiTheme="majorBidi" w:cstheme="majorBidi"/>
          <w:i/>
          <w:iCs/>
          <w:sz w:val="24"/>
          <w:szCs w:val="24"/>
          <w:shd w:val="clear" w:color="auto" w:fill="FFFFFF"/>
        </w:rPr>
        <w:t xml:space="preserve"> </w:t>
      </w:r>
      <w:r w:rsidRPr="00861EF5">
        <w:rPr>
          <w:rFonts w:asciiTheme="majorBidi" w:hAnsiTheme="majorBidi" w:cstheme="majorBidi"/>
          <w:b/>
          <w:bCs/>
          <w:i/>
          <w:iCs/>
          <w:sz w:val="24"/>
          <w:szCs w:val="24"/>
          <w:shd w:val="clear" w:color="auto" w:fill="FFFFFF"/>
        </w:rPr>
        <w:t>as-Suyūṭī</w:t>
      </w:r>
      <w:r w:rsidRPr="00861EF5">
        <w:rPr>
          <w:rFonts w:asciiTheme="majorBidi" w:hAnsiTheme="majorBidi" w:cstheme="majorBidi"/>
          <w:i/>
          <w:iCs/>
          <w:sz w:val="24"/>
          <w:szCs w:val="24"/>
          <w:shd w:val="clear" w:color="auto" w:fill="FFFFFF"/>
        </w:rPr>
        <w:t xml:space="preserve"> </w:t>
      </w:r>
      <w:r w:rsidRPr="00861EF5">
        <w:rPr>
          <w:rFonts w:asciiTheme="majorBidi" w:hAnsiTheme="majorBidi" w:cstheme="majorBidi"/>
          <w:sz w:val="24"/>
          <w:szCs w:val="24"/>
          <w:shd w:val="clear" w:color="auto" w:fill="FFFFFF"/>
        </w:rPr>
        <w:t>(</w:t>
      </w:r>
      <w:r w:rsidRPr="00861EF5">
        <w:rPr>
          <w:rFonts w:asciiTheme="majorBidi" w:hAnsiTheme="majorBidi" w:cstheme="majorBidi"/>
          <w:i/>
          <w:iCs/>
          <w:sz w:val="24"/>
          <w:szCs w:val="24"/>
        </w:rPr>
        <w:t>Ad-durr al-manthūr fī at-tafsīr bi-l-maʾthūr</w:t>
      </w:r>
      <w:r w:rsidRPr="00861EF5">
        <w:rPr>
          <w:rFonts w:asciiTheme="majorBidi" w:hAnsiTheme="majorBidi" w:cstheme="majorBidi"/>
          <w:sz w:val="24"/>
          <w:szCs w:val="24"/>
          <w:shd w:val="clear" w:color="auto" w:fill="FFFFFF"/>
        </w:rPr>
        <w:t xml:space="preserve">) écrit par Abū l-Fadl </w:t>
      </w:r>
      <w:r w:rsidRPr="00861EF5">
        <w:rPr>
          <w:rFonts w:asciiTheme="majorBidi" w:hAnsiTheme="majorBidi" w:cstheme="majorBidi"/>
          <w:sz w:val="24"/>
          <w:szCs w:val="24"/>
        </w:rPr>
        <w:t>ʿ</w:t>
      </w:r>
      <w:r w:rsidRPr="00861EF5">
        <w:rPr>
          <w:rFonts w:asciiTheme="majorBidi" w:hAnsiTheme="majorBidi" w:cstheme="majorBidi"/>
          <w:sz w:val="24"/>
          <w:szCs w:val="24"/>
          <w:shd w:val="clear" w:color="auto" w:fill="FFFFFF"/>
        </w:rPr>
        <w:t>Abd al-Raḥmān ibn Abī Bakr ibn Muḥammad Jalāl ad-Dīn al-Khu</w:t>
      </w:r>
      <w:r w:rsidRPr="00861EF5">
        <w:rPr>
          <w:rFonts w:asciiTheme="majorBidi" w:hAnsiTheme="majorBidi" w:cstheme="majorBidi"/>
          <w:sz w:val="24"/>
          <w:szCs w:val="24"/>
        </w:rPr>
        <w:t>ḍ</w:t>
      </w:r>
      <w:r w:rsidRPr="00861EF5">
        <w:rPr>
          <w:rFonts w:asciiTheme="majorBidi" w:hAnsiTheme="majorBidi" w:cstheme="majorBidi"/>
          <w:sz w:val="24"/>
          <w:szCs w:val="24"/>
          <w:shd w:val="clear" w:color="auto" w:fill="FFFFFF"/>
        </w:rPr>
        <w:t xml:space="preserve">ayrī as-Suyūṭī </w:t>
      </w:r>
      <w:r w:rsidRPr="003649D7">
        <w:rPr>
          <w:rFonts w:asciiTheme="majorBidi" w:hAnsiTheme="majorBidi" w:cstheme="majorBidi"/>
          <w:sz w:val="24"/>
          <w:szCs w:val="24"/>
          <w:shd w:val="clear" w:color="auto" w:fill="FFFFFF"/>
        </w:rPr>
        <w:t>(</w:t>
      </w:r>
      <w:r w:rsidRPr="003649D7">
        <w:rPr>
          <w:rFonts w:asciiTheme="majorBidi" w:hAnsiTheme="majorBidi" w:cstheme="majorBidi"/>
          <w:bCs/>
          <w:sz w:val="24"/>
          <w:szCs w:val="24"/>
          <w:shd w:val="clear" w:color="auto" w:fill="FFFFFF"/>
        </w:rPr>
        <w:t>m. 1505</w:t>
      </w:r>
      <w:r w:rsidRPr="003649D7">
        <w:rPr>
          <w:rFonts w:asciiTheme="majorBidi" w:hAnsiTheme="majorBidi" w:cstheme="majorBidi"/>
          <w:sz w:val="24"/>
          <w:szCs w:val="24"/>
          <w:shd w:val="clear" w:color="auto" w:fill="FFFFFF"/>
        </w:rPr>
        <w:t xml:space="preserve">), une exégèse </w:t>
      </w:r>
      <w:r w:rsidRPr="003649D7">
        <w:rPr>
          <w:rFonts w:asciiTheme="majorBidi" w:hAnsiTheme="majorBidi" w:cstheme="majorBidi"/>
          <w:bCs/>
          <w:sz w:val="24"/>
          <w:szCs w:val="24"/>
          <w:shd w:val="clear" w:color="auto" w:fill="FFFFFF"/>
        </w:rPr>
        <w:t>sunnite</w:t>
      </w:r>
      <w:r w:rsidRPr="00861EF5">
        <w:rPr>
          <w:rFonts w:asciiTheme="majorBidi" w:hAnsiTheme="majorBidi" w:cstheme="majorBidi"/>
          <w:sz w:val="24"/>
          <w:szCs w:val="24"/>
          <w:shd w:val="clear" w:color="auto" w:fill="FFFFFF"/>
        </w:rPr>
        <w:t xml:space="preserve"> </w:t>
      </w:r>
      <w:r w:rsidRPr="00861EF5">
        <w:rPr>
          <w:rFonts w:asciiTheme="majorBidi" w:hAnsiTheme="majorBidi" w:cstheme="majorBidi"/>
          <w:sz w:val="24"/>
          <w:szCs w:val="24"/>
        </w:rPr>
        <w:t>commentée par ʿAbd Allāh ibn ʿAbd al-Muḥsin at-Turkī </w:t>
      </w:r>
      <w:r>
        <w:rPr>
          <w:rFonts w:asciiTheme="majorBidi" w:hAnsiTheme="majorBidi" w:cstheme="majorBidi"/>
          <w:sz w:val="24"/>
          <w:szCs w:val="24"/>
        </w:rPr>
        <w:t xml:space="preserve">(Markaz </w:t>
      </w:r>
      <w:r w:rsidRPr="00861EF5">
        <w:rPr>
          <w:rFonts w:asciiTheme="majorBidi" w:hAnsiTheme="majorBidi" w:cstheme="majorBidi"/>
          <w:sz w:val="24"/>
          <w:szCs w:val="24"/>
          <w:lang w:eastAsia="fr-FR"/>
        </w:rPr>
        <w:t>al-Bu</w:t>
      </w:r>
      <w:r w:rsidRPr="00861EF5">
        <w:rPr>
          <w:rFonts w:asciiTheme="majorBidi" w:hAnsiTheme="majorBidi" w:cstheme="majorBidi"/>
          <w:sz w:val="24"/>
          <w:szCs w:val="24"/>
        </w:rPr>
        <w:t>ḥūth</w:t>
      </w:r>
      <w:r>
        <w:rPr>
          <w:rFonts w:asciiTheme="majorBidi" w:hAnsiTheme="majorBidi" w:cstheme="majorBidi"/>
          <w:sz w:val="24"/>
          <w:szCs w:val="24"/>
        </w:rPr>
        <w:t xml:space="preserve"> wa-d-dirāsāt al-islāmyya et </w:t>
      </w:r>
      <w:r w:rsidRPr="00861EF5">
        <w:rPr>
          <w:rFonts w:asciiTheme="majorBidi" w:hAnsiTheme="majorBidi" w:cstheme="majorBidi"/>
          <w:sz w:val="24"/>
          <w:szCs w:val="24"/>
        </w:rPr>
        <w:t>Dār Hagar</w:t>
      </w:r>
      <w:r>
        <w:rPr>
          <w:rFonts w:asciiTheme="majorBidi" w:hAnsiTheme="majorBidi" w:cstheme="majorBidi"/>
          <w:sz w:val="24"/>
          <w:szCs w:val="24"/>
        </w:rPr>
        <w:t xml:space="preserve">, </w:t>
      </w:r>
      <w:r>
        <w:rPr>
          <w:rFonts w:asciiTheme="majorBidi" w:hAnsiTheme="majorBidi" w:cstheme="majorBidi"/>
          <w:sz w:val="24"/>
          <w:szCs w:val="24"/>
          <w:shd w:val="clear" w:color="auto" w:fill="FFFFFF"/>
        </w:rPr>
        <w:t>Le</w:t>
      </w:r>
      <w:r w:rsidRPr="00861EF5">
        <w:rPr>
          <w:rFonts w:asciiTheme="majorBidi" w:hAnsiTheme="majorBidi" w:cstheme="majorBidi"/>
          <w:sz w:val="24"/>
          <w:szCs w:val="24"/>
          <w:lang w:eastAsia="fr-FR"/>
        </w:rPr>
        <w:t xml:space="preserve"> Caire</w:t>
      </w:r>
      <w:r>
        <w:rPr>
          <w:rFonts w:asciiTheme="majorBidi" w:hAnsiTheme="majorBidi" w:cstheme="majorBidi"/>
          <w:sz w:val="24"/>
          <w:szCs w:val="24"/>
          <w:lang w:eastAsia="fr-FR"/>
        </w:rPr>
        <w:t>, 2003)</w:t>
      </w:r>
      <w:r w:rsidRPr="00861EF5">
        <w:rPr>
          <w:rFonts w:asciiTheme="majorBidi" w:hAnsiTheme="majorBidi" w:cstheme="majorBidi"/>
          <w:sz w:val="24"/>
          <w:szCs w:val="24"/>
        </w:rPr>
        <w:t xml:space="preserve"> ;</w:t>
      </w:r>
    </w:p>
    <w:p w14:paraId="4ED6CAF1" w14:textId="77777777" w:rsidR="007214B1" w:rsidRPr="00ED4E99"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861EF5">
        <w:rPr>
          <w:rFonts w:asciiTheme="majorBidi" w:hAnsiTheme="majorBidi" w:cstheme="majorBidi"/>
          <w:b/>
          <w:bCs/>
          <w:i/>
          <w:iCs/>
          <w:sz w:val="24"/>
          <w:szCs w:val="24"/>
          <w:lang w:eastAsia="fr-FR" w:bidi="ar-AE"/>
        </w:rPr>
        <w:lastRenderedPageBreak/>
        <w:t xml:space="preserve">Tafsīr </w:t>
      </w:r>
      <w:r>
        <w:rPr>
          <w:rFonts w:asciiTheme="majorBidi" w:hAnsiTheme="majorBidi" w:cstheme="majorBidi"/>
          <w:b/>
          <w:bCs/>
          <w:i/>
          <w:iCs/>
          <w:sz w:val="24"/>
          <w:szCs w:val="24"/>
          <w:shd w:val="clear" w:color="auto" w:fill="FFFFFF"/>
        </w:rPr>
        <w:t>a</w:t>
      </w:r>
      <w:r w:rsidRPr="00861EF5">
        <w:rPr>
          <w:rFonts w:asciiTheme="majorBidi" w:hAnsiTheme="majorBidi" w:cstheme="majorBidi"/>
          <w:b/>
          <w:bCs/>
          <w:i/>
          <w:iCs/>
          <w:sz w:val="24"/>
          <w:szCs w:val="24"/>
          <w:shd w:val="clear" w:color="auto" w:fill="FFFFFF"/>
        </w:rPr>
        <w:t>l-Jalālayn</w:t>
      </w:r>
      <w:r w:rsidRPr="00861EF5">
        <w:rPr>
          <w:rFonts w:asciiTheme="majorBidi" w:hAnsiTheme="majorBidi" w:cstheme="majorBidi"/>
          <w:sz w:val="24"/>
          <w:szCs w:val="24"/>
          <w:shd w:val="clear" w:color="auto" w:fill="FFFFFF"/>
        </w:rPr>
        <w:t xml:space="preserve"> </w:t>
      </w:r>
      <w:r w:rsidRPr="00564353">
        <w:rPr>
          <w:rFonts w:asciiTheme="majorBidi" w:hAnsiTheme="majorBidi" w:cstheme="majorBidi"/>
          <w:sz w:val="24"/>
          <w:szCs w:val="24"/>
          <w:lang w:eastAsia="fr-FR"/>
        </w:rPr>
        <w:t xml:space="preserve">écrit par les deux </w:t>
      </w:r>
      <w:r w:rsidRPr="00564353">
        <w:rPr>
          <w:rFonts w:asciiTheme="majorBidi" w:hAnsiTheme="majorBidi" w:cstheme="majorBidi"/>
          <w:i/>
          <w:iCs/>
          <w:sz w:val="24"/>
          <w:szCs w:val="24"/>
          <w:lang w:eastAsia="fr-FR"/>
        </w:rPr>
        <w:t>Jalāl </w:t>
      </w:r>
      <w:r w:rsidRPr="00564353">
        <w:rPr>
          <w:rFonts w:asciiTheme="majorBidi" w:hAnsiTheme="majorBidi" w:cstheme="majorBidi"/>
          <w:sz w:val="24"/>
          <w:szCs w:val="24"/>
          <w:lang w:eastAsia="fr-FR"/>
        </w:rPr>
        <w:t>: As-Suyūṭī </w:t>
      </w:r>
      <w:r w:rsidRPr="00564353">
        <w:rPr>
          <w:rFonts w:asciiTheme="majorBidi" w:hAnsiTheme="majorBidi" w:cstheme="majorBidi"/>
          <w:sz w:val="24"/>
          <w:szCs w:val="24"/>
          <w:shd w:val="clear" w:color="auto" w:fill="FFFFFF"/>
        </w:rPr>
        <w:t>(</w:t>
      </w:r>
      <w:r w:rsidRPr="00564353">
        <w:rPr>
          <w:rFonts w:asciiTheme="majorBidi" w:hAnsiTheme="majorBidi" w:cstheme="majorBidi"/>
          <w:bCs/>
          <w:sz w:val="24"/>
          <w:szCs w:val="24"/>
          <w:shd w:val="clear" w:color="auto" w:fill="FFFFFF"/>
        </w:rPr>
        <w:t>m. 1505</w:t>
      </w:r>
      <w:r w:rsidRPr="00564353">
        <w:rPr>
          <w:rFonts w:asciiTheme="majorBidi" w:hAnsiTheme="majorBidi" w:cstheme="majorBidi"/>
          <w:sz w:val="24"/>
          <w:szCs w:val="24"/>
          <w:shd w:val="clear" w:color="auto" w:fill="FFFFFF"/>
        </w:rPr>
        <w:t xml:space="preserve">), </w:t>
      </w:r>
      <w:r w:rsidRPr="00564353">
        <w:rPr>
          <w:rFonts w:asciiTheme="majorBidi" w:hAnsiTheme="majorBidi" w:cstheme="majorBidi"/>
          <w:sz w:val="24"/>
          <w:szCs w:val="24"/>
          <w:lang w:eastAsia="fr-FR"/>
        </w:rPr>
        <w:t>et Al-Maḥallī (</w:t>
      </w:r>
      <w:r w:rsidRPr="00564353">
        <w:rPr>
          <w:rFonts w:asciiTheme="majorBidi" w:hAnsiTheme="majorBidi" w:cstheme="majorBidi"/>
          <w:bCs/>
          <w:sz w:val="24"/>
          <w:szCs w:val="24"/>
          <w:lang w:eastAsia="fr-FR"/>
        </w:rPr>
        <w:t>m. 1459</w:t>
      </w:r>
      <w:r w:rsidRPr="00564353">
        <w:rPr>
          <w:rFonts w:asciiTheme="majorBidi" w:hAnsiTheme="majorBidi" w:cstheme="majorBidi"/>
          <w:sz w:val="24"/>
          <w:szCs w:val="24"/>
          <w:lang w:eastAsia="fr-FR"/>
        </w:rPr>
        <w:t>)</w:t>
      </w:r>
      <w:r w:rsidRPr="00564353">
        <w:rPr>
          <w:rFonts w:asciiTheme="majorBidi" w:hAnsiTheme="majorBidi" w:cstheme="majorBidi"/>
          <w:sz w:val="24"/>
          <w:szCs w:val="24"/>
          <w:shd w:val="clear" w:color="auto" w:fill="FFFFFF"/>
        </w:rPr>
        <w:t xml:space="preserve">, une exégèse </w:t>
      </w:r>
      <w:r w:rsidRPr="00564353">
        <w:rPr>
          <w:rFonts w:asciiTheme="majorBidi" w:hAnsiTheme="majorBidi" w:cstheme="majorBidi"/>
          <w:bCs/>
          <w:sz w:val="24"/>
          <w:szCs w:val="24"/>
          <w:shd w:val="clear" w:color="auto" w:fill="FFFFFF"/>
        </w:rPr>
        <w:t>sunnite</w:t>
      </w:r>
      <w:r w:rsidRPr="00564353">
        <w:rPr>
          <w:rFonts w:asciiTheme="majorBidi" w:hAnsiTheme="majorBidi" w:cstheme="majorBidi"/>
          <w:sz w:val="24"/>
          <w:szCs w:val="24"/>
          <w:shd w:val="clear" w:color="auto" w:fill="FFFFFF"/>
        </w:rPr>
        <w:t xml:space="preserve"> </w:t>
      </w:r>
      <w:r>
        <w:rPr>
          <w:rFonts w:asciiTheme="majorBidi" w:hAnsiTheme="majorBidi" w:cstheme="majorBidi"/>
          <w:sz w:val="24"/>
          <w:szCs w:val="24"/>
        </w:rPr>
        <w:t xml:space="preserve">(Markaz </w:t>
      </w:r>
      <w:r w:rsidRPr="00861EF5">
        <w:rPr>
          <w:rFonts w:asciiTheme="majorBidi" w:hAnsiTheme="majorBidi" w:cstheme="majorBidi"/>
          <w:sz w:val="24"/>
          <w:szCs w:val="24"/>
          <w:lang w:eastAsia="fr-FR"/>
        </w:rPr>
        <w:t>al-Bu</w:t>
      </w:r>
      <w:r w:rsidRPr="00861EF5">
        <w:rPr>
          <w:rFonts w:asciiTheme="majorBidi" w:hAnsiTheme="majorBidi" w:cstheme="majorBidi"/>
          <w:sz w:val="24"/>
          <w:szCs w:val="24"/>
        </w:rPr>
        <w:t>ḥūth</w:t>
      </w:r>
      <w:r>
        <w:rPr>
          <w:rFonts w:asciiTheme="majorBidi" w:hAnsiTheme="majorBidi" w:cstheme="majorBidi"/>
          <w:sz w:val="24"/>
          <w:szCs w:val="24"/>
        </w:rPr>
        <w:t xml:space="preserve"> wa-d-dirāsāt al-islāmyya et </w:t>
      </w:r>
      <w:r w:rsidRPr="00861EF5">
        <w:rPr>
          <w:rFonts w:asciiTheme="majorBidi" w:hAnsiTheme="majorBidi" w:cstheme="majorBidi"/>
          <w:sz w:val="24"/>
          <w:szCs w:val="24"/>
        </w:rPr>
        <w:t>Dār Hagar</w:t>
      </w:r>
      <w:r>
        <w:rPr>
          <w:rFonts w:asciiTheme="majorBidi" w:hAnsiTheme="majorBidi" w:cstheme="majorBidi"/>
          <w:sz w:val="24"/>
          <w:szCs w:val="24"/>
        </w:rPr>
        <w:t xml:space="preserve">, </w:t>
      </w:r>
      <w:r>
        <w:rPr>
          <w:rFonts w:asciiTheme="majorBidi" w:hAnsiTheme="majorBidi" w:cstheme="majorBidi"/>
          <w:sz w:val="24"/>
          <w:szCs w:val="24"/>
          <w:shd w:val="clear" w:color="auto" w:fill="FFFFFF"/>
        </w:rPr>
        <w:t>Le</w:t>
      </w:r>
      <w:r w:rsidRPr="00861EF5">
        <w:rPr>
          <w:rFonts w:asciiTheme="majorBidi" w:hAnsiTheme="majorBidi" w:cstheme="majorBidi"/>
          <w:sz w:val="24"/>
          <w:szCs w:val="24"/>
          <w:lang w:eastAsia="fr-FR"/>
        </w:rPr>
        <w:t xml:space="preserve"> Caire</w:t>
      </w:r>
      <w:r>
        <w:rPr>
          <w:rFonts w:asciiTheme="majorBidi" w:hAnsiTheme="majorBidi" w:cstheme="majorBidi"/>
          <w:sz w:val="24"/>
          <w:szCs w:val="24"/>
          <w:lang w:eastAsia="fr-FR"/>
        </w:rPr>
        <w:t>, 2003</w:t>
      </w:r>
      <w:r w:rsidRPr="00ED4E99">
        <w:rPr>
          <w:rFonts w:asciiTheme="majorBidi" w:hAnsiTheme="majorBidi" w:cstheme="majorBidi"/>
          <w:sz w:val="24"/>
          <w:szCs w:val="24"/>
          <w:lang w:eastAsia="fr-FR"/>
        </w:rPr>
        <w:t>) </w:t>
      </w:r>
      <w:r w:rsidRPr="00ED4E99">
        <w:rPr>
          <w:rFonts w:asciiTheme="majorBidi" w:hAnsiTheme="majorBidi" w:cstheme="majorBidi"/>
          <w:sz w:val="24"/>
          <w:szCs w:val="24"/>
        </w:rPr>
        <w:t>;</w:t>
      </w:r>
    </w:p>
    <w:p w14:paraId="21345472"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Pr>
      </w:pPr>
      <w:r w:rsidRPr="00ED4E99">
        <w:rPr>
          <w:rFonts w:asciiTheme="majorBidi" w:hAnsiTheme="majorBidi" w:cstheme="majorBidi"/>
          <w:b/>
          <w:bCs/>
          <w:i/>
          <w:iCs/>
          <w:sz w:val="24"/>
          <w:szCs w:val="24"/>
          <w:lang w:eastAsia="fr-FR" w:bidi="ar-AE"/>
        </w:rPr>
        <w:t>Fatḥ al-qadīr. Al-jāmiʿ bayna fannay ar-riwāya wa-ad-dirāya min ʿilm at-tafsīr</w:t>
      </w:r>
      <w:r w:rsidRPr="00ED4E99">
        <w:rPr>
          <w:rFonts w:asciiTheme="majorBidi" w:hAnsiTheme="majorBidi" w:cstheme="majorBidi"/>
          <w:sz w:val="24"/>
          <w:szCs w:val="24"/>
          <w:lang w:eastAsia="fr-FR" w:bidi="ar-AE"/>
        </w:rPr>
        <w:t xml:space="preserve"> </w:t>
      </w:r>
      <w:r w:rsidRPr="00ED4E99">
        <w:rPr>
          <w:rFonts w:asciiTheme="majorBidi" w:hAnsiTheme="majorBidi" w:cstheme="majorBidi"/>
          <w:sz w:val="24"/>
          <w:szCs w:val="24"/>
        </w:rPr>
        <w:t>[L’illumination du Tout-Puissant. La fusion entre les arts de la transmission et la compréhension personnelle dans la science de l’exégèse]</w:t>
      </w:r>
      <w:r w:rsidRPr="00ED4E99">
        <w:rPr>
          <w:rFonts w:asciiTheme="majorBidi" w:hAnsiTheme="majorBidi" w:cstheme="majorBidi"/>
          <w:sz w:val="24"/>
          <w:szCs w:val="24"/>
          <w:lang w:eastAsia="fr-FR" w:bidi="ar-AE"/>
        </w:rPr>
        <w:t xml:space="preserve">, une exégèse </w:t>
      </w:r>
      <w:r w:rsidRPr="00ED4E99">
        <w:rPr>
          <w:rFonts w:asciiTheme="majorBidi" w:hAnsiTheme="majorBidi" w:cstheme="majorBidi"/>
          <w:bCs/>
          <w:sz w:val="24"/>
          <w:szCs w:val="24"/>
          <w:lang w:eastAsia="fr-FR" w:bidi="ar-AE"/>
        </w:rPr>
        <w:t>sunnite</w:t>
      </w:r>
      <w:r w:rsidRPr="00ED4E99">
        <w:rPr>
          <w:rFonts w:asciiTheme="majorBidi" w:hAnsiTheme="majorBidi" w:cstheme="majorBidi"/>
          <w:sz w:val="24"/>
          <w:szCs w:val="24"/>
          <w:lang w:eastAsia="fr-FR" w:bidi="ar-AE"/>
        </w:rPr>
        <w:t xml:space="preserve"> écrite par </w:t>
      </w:r>
      <w:r w:rsidRPr="00ED4E99">
        <w:rPr>
          <w:rFonts w:asciiTheme="majorBidi" w:hAnsiTheme="majorBidi" w:cstheme="majorBidi"/>
          <w:sz w:val="24"/>
          <w:szCs w:val="24"/>
          <w:shd w:val="clear" w:color="auto" w:fill="FFFFFF"/>
        </w:rPr>
        <w:t>Mu</w:t>
      </w:r>
      <w:r w:rsidRPr="00ED4E99">
        <w:rPr>
          <w:rFonts w:asciiTheme="majorBidi" w:hAnsiTheme="majorBidi" w:cstheme="majorBidi"/>
          <w:sz w:val="24"/>
          <w:szCs w:val="24"/>
        </w:rPr>
        <w:t>ḥ</w:t>
      </w:r>
      <w:r w:rsidRPr="00ED4E99">
        <w:rPr>
          <w:rFonts w:asciiTheme="majorBidi" w:hAnsiTheme="majorBidi" w:cstheme="majorBidi"/>
          <w:sz w:val="24"/>
          <w:szCs w:val="24"/>
          <w:shd w:val="clear" w:color="auto" w:fill="FFFFFF"/>
        </w:rPr>
        <w:t xml:space="preserve">ammad ibn </w:t>
      </w:r>
      <w:r w:rsidRPr="00ED4E99">
        <w:rPr>
          <w:rFonts w:asciiTheme="majorBidi" w:hAnsiTheme="majorBidi" w:cstheme="majorBidi"/>
          <w:sz w:val="24"/>
          <w:szCs w:val="24"/>
        </w:rPr>
        <w:t xml:space="preserve">ʿAlī ibn </w:t>
      </w:r>
      <w:r w:rsidRPr="00ED4E99">
        <w:rPr>
          <w:rFonts w:asciiTheme="majorBidi" w:hAnsiTheme="majorBidi" w:cstheme="majorBidi"/>
          <w:sz w:val="24"/>
          <w:szCs w:val="24"/>
          <w:shd w:val="clear" w:color="auto" w:fill="FFFFFF"/>
        </w:rPr>
        <w:t>Mu</w:t>
      </w:r>
      <w:r w:rsidRPr="00ED4E99">
        <w:rPr>
          <w:rFonts w:asciiTheme="majorBidi" w:hAnsiTheme="majorBidi" w:cstheme="majorBidi"/>
          <w:sz w:val="24"/>
          <w:szCs w:val="24"/>
        </w:rPr>
        <w:t>ḥ</w:t>
      </w:r>
      <w:r w:rsidRPr="00ED4E99">
        <w:rPr>
          <w:rFonts w:asciiTheme="majorBidi" w:hAnsiTheme="majorBidi" w:cstheme="majorBidi"/>
          <w:sz w:val="24"/>
          <w:szCs w:val="24"/>
          <w:shd w:val="clear" w:color="auto" w:fill="FFFFFF"/>
        </w:rPr>
        <w:t>ammad Ash-Shawkānī, (</w:t>
      </w:r>
      <w:r w:rsidRPr="00ED4E99">
        <w:rPr>
          <w:rFonts w:asciiTheme="majorBidi" w:hAnsiTheme="majorBidi" w:cstheme="majorBidi"/>
          <w:bCs/>
          <w:sz w:val="24"/>
          <w:szCs w:val="24"/>
          <w:shd w:val="clear" w:color="auto" w:fill="FFFFFF"/>
        </w:rPr>
        <w:t>m. 1839</w:t>
      </w:r>
      <w:r w:rsidRPr="00ED4E99">
        <w:rPr>
          <w:rFonts w:asciiTheme="majorBidi" w:hAnsiTheme="majorBidi" w:cstheme="majorBidi"/>
          <w:sz w:val="24"/>
          <w:szCs w:val="24"/>
          <w:shd w:val="clear" w:color="auto" w:fill="FFFFFF"/>
        </w:rPr>
        <w:t xml:space="preserve">) </w:t>
      </w:r>
      <w:r w:rsidRPr="00ED4E99">
        <w:rPr>
          <w:rFonts w:asciiTheme="majorBidi" w:hAnsiTheme="majorBidi" w:cstheme="majorBidi"/>
          <w:sz w:val="24"/>
          <w:szCs w:val="24"/>
          <w:lang w:eastAsia="fr-FR" w:bidi="ar-AE"/>
        </w:rPr>
        <w:t xml:space="preserve">qui a tenté une synthèse entre </w:t>
      </w:r>
      <w:r w:rsidRPr="00ED4E99">
        <w:rPr>
          <w:rFonts w:asciiTheme="majorBidi" w:hAnsiTheme="majorBidi" w:cstheme="majorBidi"/>
          <w:i/>
          <w:iCs/>
          <w:sz w:val="24"/>
          <w:szCs w:val="24"/>
          <w:lang w:eastAsia="fr-FR" w:bidi="ar-AE"/>
        </w:rPr>
        <w:t>dirāya</w:t>
      </w:r>
      <w:r w:rsidRPr="00ED4E99">
        <w:rPr>
          <w:rFonts w:asciiTheme="majorBidi" w:hAnsiTheme="majorBidi" w:cstheme="majorBidi"/>
          <w:sz w:val="24"/>
          <w:szCs w:val="24"/>
          <w:lang w:eastAsia="fr-FR" w:bidi="ar-AE"/>
        </w:rPr>
        <w:t xml:space="preserve"> (tentative personnelle de compréhension) et </w:t>
      </w:r>
      <w:r w:rsidRPr="00ED4E99">
        <w:rPr>
          <w:rFonts w:asciiTheme="majorBidi" w:hAnsiTheme="majorBidi" w:cstheme="majorBidi"/>
          <w:i/>
          <w:iCs/>
          <w:sz w:val="24"/>
          <w:szCs w:val="24"/>
          <w:lang w:eastAsia="fr-FR" w:bidi="ar-AE"/>
        </w:rPr>
        <w:t>riwāya</w:t>
      </w:r>
      <w:r w:rsidRPr="00ED4E99">
        <w:rPr>
          <w:rFonts w:asciiTheme="majorBidi" w:hAnsiTheme="majorBidi" w:cstheme="majorBidi"/>
          <w:sz w:val="24"/>
          <w:szCs w:val="24"/>
          <w:lang w:eastAsia="fr-FR" w:bidi="ar-AE"/>
        </w:rPr>
        <w:t xml:space="preserve"> (transmission</w:t>
      </w:r>
      <w:r w:rsidRPr="00861EF5">
        <w:rPr>
          <w:rFonts w:asciiTheme="majorBidi" w:hAnsiTheme="majorBidi" w:cstheme="majorBidi"/>
          <w:sz w:val="24"/>
          <w:szCs w:val="24"/>
          <w:lang w:eastAsia="fr-FR" w:bidi="ar-AE"/>
        </w:rPr>
        <w:t>, tradition)</w:t>
      </w:r>
      <w:r w:rsidRPr="00861EF5">
        <w:rPr>
          <w:rFonts w:asciiTheme="majorBidi" w:hAnsiTheme="majorBidi" w:cstheme="majorBidi"/>
          <w:sz w:val="24"/>
          <w:szCs w:val="24"/>
          <w:shd w:val="clear" w:color="auto" w:fill="FFFFFF"/>
        </w:rPr>
        <w:t xml:space="preserve">, commentée par </w:t>
      </w:r>
      <w:r>
        <w:rPr>
          <w:rFonts w:asciiTheme="majorBidi" w:hAnsiTheme="majorBidi" w:cstheme="majorBidi"/>
          <w:sz w:val="24"/>
          <w:szCs w:val="24"/>
        </w:rPr>
        <w:t>ʿAbd ar-Raḥmān ʿUmayra (Dār al-Wafāʾ, Alexandrie,</w:t>
      </w:r>
      <w:r w:rsidRPr="00861EF5">
        <w:rPr>
          <w:rFonts w:asciiTheme="majorBidi" w:hAnsiTheme="majorBidi" w:cstheme="majorBidi"/>
          <w:sz w:val="24"/>
          <w:szCs w:val="24"/>
        </w:rPr>
        <w:t xml:space="preserve"> 1994</w:t>
      </w:r>
      <w:r>
        <w:rPr>
          <w:rFonts w:asciiTheme="majorBidi" w:hAnsiTheme="majorBidi" w:cstheme="majorBidi"/>
          <w:sz w:val="24"/>
          <w:szCs w:val="24"/>
        </w:rPr>
        <w:t>, 5 vol</w:t>
      </w:r>
      <w:r w:rsidRPr="00861EF5">
        <w:rPr>
          <w:rFonts w:asciiTheme="majorBidi" w:hAnsiTheme="majorBidi" w:cstheme="majorBidi"/>
          <w:sz w:val="24"/>
          <w:szCs w:val="24"/>
        </w:rPr>
        <w:t>s</w:t>
      </w:r>
      <w:r>
        <w:rPr>
          <w:rFonts w:asciiTheme="majorBidi" w:hAnsiTheme="majorBidi" w:cstheme="majorBidi"/>
          <w:sz w:val="24"/>
          <w:szCs w:val="24"/>
        </w:rPr>
        <w:t>)</w:t>
      </w:r>
      <w:r w:rsidRPr="00861EF5">
        <w:rPr>
          <w:rFonts w:asciiTheme="majorBidi" w:hAnsiTheme="majorBidi" w:cstheme="majorBidi"/>
          <w:sz w:val="24"/>
          <w:szCs w:val="24"/>
        </w:rPr>
        <w:t> ;</w:t>
      </w:r>
    </w:p>
    <w:p w14:paraId="6F986B88" w14:textId="77777777" w:rsidR="007214B1" w:rsidRPr="00861EF5" w:rsidRDefault="007214B1" w:rsidP="007640DC">
      <w:pPr>
        <w:pStyle w:val="Paragraphedeliste"/>
        <w:numPr>
          <w:ilvl w:val="0"/>
          <w:numId w:val="20"/>
        </w:numPr>
        <w:bidi w:val="0"/>
        <w:spacing w:after="0" w:line="360" w:lineRule="auto"/>
        <w:contextualSpacing/>
        <w:jc w:val="both"/>
        <w:rPr>
          <w:rFonts w:asciiTheme="majorBidi" w:hAnsiTheme="majorBidi" w:cstheme="majorBidi"/>
          <w:sz w:val="24"/>
          <w:szCs w:val="24"/>
          <w:rtl/>
        </w:rPr>
      </w:pPr>
      <w:r w:rsidRPr="00861EF5">
        <w:rPr>
          <w:rFonts w:asciiTheme="majorBidi" w:hAnsiTheme="majorBidi" w:cstheme="majorBidi"/>
          <w:b/>
          <w:bCs/>
          <w:i/>
          <w:iCs/>
          <w:sz w:val="24"/>
          <w:szCs w:val="24"/>
          <w:lang w:eastAsia="fr-FR" w:bidi="ar-AE"/>
        </w:rPr>
        <w:t>Tafsīr</w:t>
      </w:r>
      <w:r w:rsidRPr="00861EF5">
        <w:rPr>
          <w:rFonts w:asciiTheme="majorBidi" w:hAnsiTheme="majorBidi" w:cstheme="majorBidi"/>
          <w:b/>
          <w:bCs/>
          <w:i/>
          <w:iCs/>
          <w:sz w:val="24"/>
          <w:szCs w:val="24"/>
        </w:rPr>
        <w:t xml:space="preserve"> Amīn Shaykhū</w:t>
      </w:r>
      <w:r w:rsidRPr="00861EF5">
        <w:rPr>
          <w:rFonts w:asciiTheme="majorBidi" w:hAnsiTheme="majorBidi" w:cstheme="majorBidi"/>
          <w:sz w:val="24"/>
          <w:szCs w:val="24"/>
        </w:rPr>
        <w:t xml:space="preserve"> (</w:t>
      </w:r>
      <w:r w:rsidRPr="00861EF5">
        <w:rPr>
          <w:rFonts w:asciiTheme="majorBidi" w:hAnsiTheme="majorBidi" w:cstheme="majorBidi"/>
          <w:i/>
          <w:iCs/>
          <w:sz w:val="24"/>
          <w:szCs w:val="24"/>
        </w:rPr>
        <w:t>Taʾwīl al-Qurʾān al-ʿaẓīm. ʾAnwār at-tanzīl</w:t>
      </w:r>
      <w:r>
        <w:rPr>
          <w:rFonts w:asciiTheme="majorBidi" w:hAnsiTheme="majorBidi" w:cstheme="majorBidi"/>
          <w:i/>
          <w:iCs/>
          <w:sz w:val="24"/>
          <w:szCs w:val="24"/>
        </w:rPr>
        <w:t xml:space="preserve"> wa-</w:t>
      </w:r>
      <w:r w:rsidRPr="00861EF5">
        <w:rPr>
          <w:rFonts w:asciiTheme="majorBidi" w:hAnsiTheme="majorBidi" w:cstheme="majorBidi"/>
          <w:i/>
          <w:iCs/>
          <w:sz w:val="24"/>
          <w:szCs w:val="24"/>
        </w:rPr>
        <w:t>ḥaqāʾiq at-taʾwīl</w:t>
      </w:r>
      <w:r w:rsidRPr="00861EF5">
        <w:rPr>
          <w:rFonts w:asciiTheme="majorBidi" w:hAnsiTheme="majorBidi" w:cstheme="majorBidi"/>
          <w:sz w:val="24"/>
          <w:szCs w:val="24"/>
        </w:rPr>
        <w:t xml:space="preserve"> [</w:t>
      </w:r>
      <w:r w:rsidRPr="00861EF5">
        <w:rPr>
          <w:rFonts w:asciiTheme="majorBidi" w:hAnsiTheme="majorBidi" w:cstheme="majorBidi"/>
          <w:i/>
          <w:iCs/>
          <w:sz w:val="24"/>
          <w:szCs w:val="24"/>
        </w:rPr>
        <w:t>L’interprétation du sublime Coran. Les lumières de la révélation et les vérités de l’interprétation</w:t>
      </w:r>
      <w:r w:rsidRPr="00861EF5">
        <w:rPr>
          <w:rFonts w:asciiTheme="majorBidi" w:hAnsiTheme="majorBidi" w:cstheme="majorBidi"/>
          <w:sz w:val="24"/>
          <w:szCs w:val="24"/>
        </w:rPr>
        <w:t xml:space="preserve">]), une exégèse </w:t>
      </w:r>
      <w:r w:rsidRPr="008B2E1B">
        <w:rPr>
          <w:rFonts w:asciiTheme="majorBidi" w:hAnsiTheme="majorBidi" w:cstheme="majorBidi"/>
          <w:bCs/>
          <w:sz w:val="24"/>
          <w:szCs w:val="24"/>
        </w:rPr>
        <w:t xml:space="preserve">mystique </w:t>
      </w:r>
      <w:r w:rsidRPr="008B2E1B">
        <w:rPr>
          <w:rFonts w:asciiTheme="majorBidi" w:hAnsiTheme="majorBidi" w:cstheme="majorBidi"/>
          <w:sz w:val="24"/>
          <w:szCs w:val="24"/>
        </w:rPr>
        <w:t xml:space="preserve">naqshbandite </w:t>
      </w:r>
      <w:r w:rsidRPr="008B2E1B">
        <w:rPr>
          <w:rFonts w:asciiTheme="majorBidi" w:hAnsiTheme="majorBidi" w:cstheme="majorBidi"/>
          <w:bCs/>
          <w:sz w:val="24"/>
          <w:szCs w:val="24"/>
        </w:rPr>
        <w:t>sunnite</w:t>
      </w:r>
      <w:r w:rsidRPr="00861EF5">
        <w:rPr>
          <w:rFonts w:asciiTheme="majorBidi" w:hAnsiTheme="majorBidi" w:cstheme="majorBidi"/>
          <w:b/>
          <w:bCs/>
          <w:sz w:val="24"/>
          <w:szCs w:val="24"/>
        </w:rPr>
        <w:t xml:space="preserve"> </w:t>
      </w:r>
      <w:r w:rsidRPr="00861EF5">
        <w:rPr>
          <w:rFonts w:asciiTheme="majorBidi" w:hAnsiTheme="majorBidi" w:cstheme="majorBidi"/>
          <w:sz w:val="24"/>
          <w:szCs w:val="24"/>
        </w:rPr>
        <w:t xml:space="preserve">écrite par </w:t>
      </w:r>
      <w:r w:rsidRPr="003F7E46">
        <w:rPr>
          <w:rFonts w:ascii="Times New Roman" w:hAnsi="Times New Roman" w:cstheme="majorBidi"/>
          <w:sz w:val="24"/>
          <w:szCs w:val="24"/>
        </w:rPr>
        <w:t>Muḥammad Amīn Shaykhū (</w:t>
      </w:r>
      <w:r w:rsidRPr="003F7E46">
        <w:rPr>
          <w:rFonts w:ascii="Times New Roman" w:hAnsi="Times New Roman" w:cstheme="majorBidi"/>
          <w:bCs/>
          <w:sz w:val="24"/>
          <w:szCs w:val="24"/>
        </w:rPr>
        <w:t>m. 1964</w:t>
      </w:r>
      <w:r w:rsidRPr="003F7E46">
        <w:rPr>
          <w:rFonts w:ascii="Times New Roman" w:hAnsi="Times New Roman" w:cstheme="majorBidi"/>
          <w:sz w:val="24"/>
          <w:szCs w:val="24"/>
        </w:rPr>
        <w:t xml:space="preserve">), révisée par ʿAbd al-Qādir Yaḥyā ad-Dīrānī </w:t>
      </w:r>
      <w:r>
        <w:rPr>
          <w:rFonts w:asciiTheme="majorBidi" w:hAnsiTheme="majorBidi" w:cstheme="majorBidi"/>
          <w:sz w:val="24"/>
          <w:szCs w:val="24"/>
        </w:rPr>
        <w:t>(Dār Nūr al-Bachīr, Damas,</w:t>
      </w:r>
      <w:r w:rsidRPr="00861EF5">
        <w:rPr>
          <w:rFonts w:asciiTheme="majorBidi" w:hAnsiTheme="majorBidi" w:cstheme="majorBidi"/>
          <w:sz w:val="24"/>
          <w:szCs w:val="24"/>
        </w:rPr>
        <w:t xml:space="preserve"> 1997</w:t>
      </w:r>
      <w:r>
        <w:rPr>
          <w:rFonts w:asciiTheme="majorBidi" w:hAnsiTheme="majorBidi" w:cstheme="majorBidi"/>
          <w:sz w:val="24"/>
          <w:szCs w:val="24"/>
        </w:rPr>
        <w:t>)</w:t>
      </w:r>
      <w:r w:rsidRPr="00861EF5">
        <w:rPr>
          <w:rFonts w:asciiTheme="majorBidi" w:hAnsiTheme="majorBidi" w:cstheme="majorBidi"/>
          <w:sz w:val="24"/>
          <w:szCs w:val="24"/>
        </w:rPr>
        <w:t> ;</w:t>
      </w:r>
    </w:p>
    <w:p w14:paraId="4562439B" w14:textId="77777777" w:rsidR="007214B1" w:rsidRPr="00A619FC" w:rsidRDefault="007214B1" w:rsidP="007640DC">
      <w:pPr>
        <w:pStyle w:val="Paragraphedeliste"/>
        <w:numPr>
          <w:ilvl w:val="0"/>
          <w:numId w:val="20"/>
        </w:numPr>
        <w:bidi w:val="0"/>
        <w:spacing w:after="0" w:line="360" w:lineRule="auto"/>
        <w:contextualSpacing/>
        <w:jc w:val="both"/>
        <w:rPr>
          <w:rFonts w:ascii="Times New Roman" w:hAnsi="Times New Roman" w:cstheme="majorBidi"/>
          <w:sz w:val="24"/>
          <w:szCs w:val="24"/>
        </w:rPr>
      </w:pPr>
      <w:r w:rsidRPr="00861EF5">
        <w:rPr>
          <w:rFonts w:asciiTheme="majorBidi" w:hAnsiTheme="majorBidi" w:cstheme="majorBidi"/>
          <w:b/>
          <w:bCs/>
          <w:i/>
          <w:iCs/>
          <w:sz w:val="24"/>
          <w:szCs w:val="24"/>
        </w:rPr>
        <w:t>At-tafsīr al-kabīr</w:t>
      </w:r>
      <w:r>
        <w:rPr>
          <w:rFonts w:asciiTheme="majorBidi" w:hAnsiTheme="majorBidi" w:cstheme="majorBidi"/>
          <w:sz w:val="24"/>
          <w:szCs w:val="24"/>
        </w:rPr>
        <w:t xml:space="preserve"> écrit par Mirzā Bashīr a</w:t>
      </w:r>
      <w:r w:rsidRPr="00861EF5">
        <w:rPr>
          <w:rFonts w:asciiTheme="majorBidi" w:hAnsiTheme="majorBidi" w:cstheme="majorBidi"/>
          <w:sz w:val="24"/>
          <w:szCs w:val="24"/>
        </w:rPr>
        <w:t xml:space="preserve">d-Dīn Maḥmūd Aḥmad </w:t>
      </w:r>
      <w:r w:rsidRPr="003F7E46">
        <w:rPr>
          <w:rFonts w:asciiTheme="majorBidi" w:hAnsiTheme="majorBidi" w:cstheme="majorBidi"/>
          <w:sz w:val="24"/>
          <w:szCs w:val="24"/>
        </w:rPr>
        <w:t>(</w:t>
      </w:r>
      <w:r w:rsidRPr="003F7E46">
        <w:rPr>
          <w:rFonts w:asciiTheme="majorBidi" w:hAnsiTheme="majorBidi" w:cstheme="majorBidi"/>
          <w:bCs/>
          <w:sz w:val="24"/>
          <w:szCs w:val="24"/>
        </w:rPr>
        <w:t>m. 1965</w:t>
      </w:r>
      <w:r w:rsidRPr="003F7E46">
        <w:rPr>
          <w:rFonts w:asciiTheme="majorBidi" w:hAnsiTheme="majorBidi" w:cstheme="majorBidi"/>
          <w:sz w:val="24"/>
          <w:szCs w:val="24"/>
        </w:rPr>
        <w:t xml:space="preserve">), l’exégèse de la communauté </w:t>
      </w:r>
      <w:r w:rsidRPr="003F7E46">
        <w:rPr>
          <w:rFonts w:asciiTheme="majorBidi" w:hAnsiTheme="majorBidi" w:cstheme="majorBidi"/>
          <w:bCs/>
          <w:sz w:val="24"/>
          <w:szCs w:val="24"/>
        </w:rPr>
        <w:t>ahmadie</w:t>
      </w:r>
      <w:r w:rsidRPr="003F7E46">
        <w:rPr>
          <w:rFonts w:asciiTheme="majorBidi" w:hAnsiTheme="majorBidi" w:cstheme="majorBidi"/>
          <w:sz w:val="24"/>
          <w:szCs w:val="24"/>
        </w:rPr>
        <w:t> ;</w:t>
      </w:r>
    </w:p>
    <w:p w14:paraId="65C86D3E" w14:textId="77777777" w:rsidR="007214B1" w:rsidRPr="00A619FC" w:rsidRDefault="007214B1" w:rsidP="007640DC">
      <w:pPr>
        <w:pStyle w:val="Paragraphedeliste"/>
        <w:numPr>
          <w:ilvl w:val="0"/>
          <w:numId w:val="20"/>
        </w:numPr>
        <w:bidi w:val="0"/>
        <w:spacing w:after="0" w:line="360" w:lineRule="auto"/>
        <w:contextualSpacing/>
        <w:jc w:val="both"/>
        <w:rPr>
          <w:rFonts w:ascii="Times New Roman" w:hAnsi="Times New Roman" w:cstheme="majorBidi"/>
          <w:sz w:val="24"/>
          <w:szCs w:val="24"/>
        </w:rPr>
      </w:pPr>
      <w:r w:rsidRPr="00A619FC">
        <w:rPr>
          <w:rFonts w:ascii="Times New Roman" w:hAnsi="Times New Roman" w:cstheme="majorBidi"/>
          <w:b/>
          <w:bCs/>
          <w:i/>
          <w:iCs/>
          <w:sz w:val="24"/>
          <w:szCs w:val="24"/>
          <w:lang w:eastAsia="fr-FR" w:bidi="ar-AE"/>
        </w:rPr>
        <w:t xml:space="preserve">Tafsīr At-Taḥrīr wa-at-Tanwīr </w:t>
      </w:r>
      <w:r w:rsidRPr="00A619FC">
        <w:rPr>
          <w:rFonts w:ascii="Times New Roman" w:hAnsi="Times New Roman" w:cstheme="majorBidi"/>
          <w:sz w:val="24"/>
          <w:szCs w:val="24"/>
          <w:lang w:eastAsia="fr-FR" w:bidi="ar-AE"/>
        </w:rPr>
        <w:t>écrit par Muḥammad Aṭ-</w:t>
      </w:r>
      <w:r w:rsidRPr="00A619FC">
        <w:rPr>
          <w:rFonts w:ascii="Times New Roman" w:hAnsi="Times New Roman" w:cstheme="majorBidi"/>
          <w:sz w:val="24"/>
          <w:szCs w:val="24"/>
        </w:rPr>
        <w:t>Ṭāhir</w:t>
      </w:r>
      <w:r w:rsidRPr="00A619FC">
        <w:rPr>
          <w:rFonts w:ascii="Times New Roman" w:hAnsi="Times New Roman" w:cstheme="majorBidi"/>
          <w:smallCaps/>
          <w:sz w:val="24"/>
          <w:szCs w:val="24"/>
          <w:lang w:eastAsia="fr-FR" w:bidi="ar-AE"/>
        </w:rPr>
        <w:t xml:space="preserve"> </w:t>
      </w:r>
      <w:r w:rsidRPr="00A619FC">
        <w:rPr>
          <w:rFonts w:ascii="Times New Roman" w:hAnsi="Times New Roman" w:cstheme="majorBidi"/>
          <w:sz w:val="24"/>
          <w:szCs w:val="24"/>
          <w:lang w:eastAsia="fr-FR" w:bidi="ar-AE"/>
        </w:rPr>
        <w:t>Ibn ʿĀshūr</w:t>
      </w:r>
      <w:r w:rsidRPr="00A619FC">
        <w:rPr>
          <w:rFonts w:ascii="Times New Roman" w:hAnsi="Times New Roman" w:cstheme="majorBidi"/>
          <w:smallCaps/>
          <w:sz w:val="24"/>
          <w:szCs w:val="24"/>
          <w:lang w:eastAsia="fr-FR" w:bidi="ar-AE"/>
        </w:rPr>
        <w:t xml:space="preserve"> </w:t>
      </w:r>
      <w:r w:rsidRPr="00A619FC">
        <w:rPr>
          <w:rFonts w:ascii="Times New Roman" w:hAnsi="Times New Roman" w:cstheme="majorBidi"/>
          <w:sz w:val="24"/>
          <w:szCs w:val="24"/>
        </w:rPr>
        <w:t>(</w:t>
      </w:r>
      <w:r w:rsidRPr="00A619FC">
        <w:rPr>
          <w:rFonts w:ascii="Times New Roman" w:hAnsi="Times New Roman" w:cstheme="majorBidi"/>
          <w:bCs/>
          <w:sz w:val="24"/>
          <w:szCs w:val="24"/>
        </w:rPr>
        <w:t>m. 1973</w:t>
      </w:r>
      <w:r w:rsidRPr="00A619FC">
        <w:rPr>
          <w:rFonts w:ascii="Times New Roman" w:hAnsi="Times New Roman" w:cstheme="majorBidi"/>
          <w:sz w:val="24"/>
          <w:szCs w:val="24"/>
        </w:rPr>
        <w:t xml:space="preserve">), exégèse </w:t>
      </w:r>
      <w:r w:rsidRPr="00A619FC">
        <w:rPr>
          <w:rFonts w:ascii="Times New Roman" w:hAnsi="Times New Roman" w:cstheme="majorBidi"/>
          <w:bCs/>
          <w:sz w:val="24"/>
          <w:szCs w:val="24"/>
        </w:rPr>
        <w:t>sunnite</w:t>
      </w:r>
      <w:r w:rsidRPr="00A619FC">
        <w:rPr>
          <w:rFonts w:ascii="Times New Roman" w:hAnsi="Times New Roman" w:cstheme="majorBidi"/>
          <w:b/>
          <w:bCs/>
          <w:sz w:val="24"/>
          <w:szCs w:val="24"/>
        </w:rPr>
        <w:t xml:space="preserve"> </w:t>
      </w:r>
      <w:r>
        <w:rPr>
          <w:rFonts w:ascii="Times New Roman" w:hAnsi="Times New Roman" w:cstheme="majorBidi"/>
          <w:sz w:val="24"/>
          <w:szCs w:val="24"/>
        </w:rPr>
        <w:t>(</w:t>
      </w:r>
      <w:r w:rsidRPr="00A619FC">
        <w:rPr>
          <w:rFonts w:ascii="Times New Roman" w:hAnsi="Times New Roman" w:cstheme="majorBidi"/>
          <w:sz w:val="24"/>
          <w:szCs w:val="24"/>
        </w:rPr>
        <w:t xml:space="preserve"> ad-Dār at-Tūnis</w:t>
      </w:r>
      <w:r>
        <w:rPr>
          <w:rFonts w:ascii="Times New Roman" w:hAnsi="Times New Roman" w:cstheme="majorBidi"/>
          <w:sz w:val="24"/>
          <w:szCs w:val="24"/>
        </w:rPr>
        <w:t>i</w:t>
      </w:r>
      <w:r w:rsidRPr="00A619FC">
        <w:rPr>
          <w:rFonts w:ascii="Times New Roman" w:hAnsi="Times New Roman" w:cstheme="majorBidi"/>
          <w:sz w:val="24"/>
          <w:szCs w:val="24"/>
        </w:rPr>
        <w:t>yya li-n-nashr,</w:t>
      </w:r>
      <w:r>
        <w:rPr>
          <w:rFonts w:ascii="Times New Roman" w:hAnsi="Times New Roman" w:cstheme="majorBidi"/>
          <w:sz w:val="24"/>
          <w:szCs w:val="24"/>
        </w:rPr>
        <w:t xml:space="preserve"> Tunis, 1984, 30 vol</w:t>
      </w:r>
      <w:r w:rsidRPr="00A619FC">
        <w:rPr>
          <w:rFonts w:ascii="Times New Roman" w:hAnsi="Times New Roman" w:cstheme="majorBidi"/>
          <w:sz w:val="24"/>
          <w:szCs w:val="24"/>
        </w:rPr>
        <w:t>s ;</w:t>
      </w:r>
    </w:p>
    <w:p w14:paraId="5513DEDB" w14:textId="77777777" w:rsidR="007214B1" w:rsidRPr="00A619FC" w:rsidRDefault="007214B1" w:rsidP="007640DC">
      <w:pPr>
        <w:pStyle w:val="Paragraphedeliste"/>
        <w:numPr>
          <w:ilvl w:val="0"/>
          <w:numId w:val="20"/>
        </w:numPr>
        <w:bidi w:val="0"/>
        <w:spacing w:after="0" w:line="360" w:lineRule="auto"/>
        <w:contextualSpacing/>
        <w:jc w:val="both"/>
        <w:rPr>
          <w:rFonts w:ascii="Times New Roman" w:hAnsi="Times New Roman" w:cstheme="majorBidi"/>
          <w:sz w:val="24"/>
          <w:szCs w:val="24"/>
          <w:rtl/>
        </w:rPr>
      </w:pPr>
      <w:r w:rsidRPr="00A619FC">
        <w:rPr>
          <w:rFonts w:ascii="Times New Roman" w:hAnsi="Times New Roman" w:cstheme="majorBidi"/>
          <w:b/>
          <w:bCs/>
          <w:i/>
          <w:iCs/>
          <w:sz w:val="24"/>
          <w:szCs w:val="24"/>
        </w:rPr>
        <w:t>Tafsīr Ash-Shanqītī (</w:t>
      </w:r>
      <w:r w:rsidRPr="00A619FC">
        <w:rPr>
          <w:rFonts w:ascii="Times New Roman" w:hAnsi="Times New Roman" w:cstheme="majorBidi"/>
          <w:i/>
          <w:iCs/>
          <w:sz w:val="24"/>
          <w:szCs w:val="24"/>
          <w:lang w:eastAsia="fr-FR"/>
        </w:rPr>
        <w:t>Aḍw</w:t>
      </w:r>
      <w:r>
        <w:rPr>
          <w:rFonts w:ascii="Times New Roman" w:hAnsi="Times New Roman" w:cstheme="majorBidi"/>
          <w:i/>
          <w:iCs/>
          <w:sz w:val="24"/>
          <w:szCs w:val="24"/>
          <w:lang w:eastAsia="fr-FR"/>
        </w:rPr>
        <w:t>ā’</w:t>
      </w:r>
      <w:r w:rsidRPr="00A619FC">
        <w:rPr>
          <w:rFonts w:ascii="Times New Roman" w:hAnsi="Times New Roman" w:cstheme="majorBidi"/>
          <w:i/>
          <w:iCs/>
          <w:sz w:val="24"/>
          <w:szCs w:val="24"/>
          <w:lang w:eastAsia="fr-FR"/>
        </w:rPr>
        <w:t xml:space="preserve"> al-bayān fī īḍāḥ al-Qurʾān bi-l-Qurʾān</w:t>
      </w:r>
      <w:r w:rsidRPr="00A619FC">
        <w:rPr>
          <w:rFonts w:ascii="Times New Roman" w:hAnsi="Times New Roman" w:cstheme="majorBidi"/>
          <w:i/>
          <w:iCs/>
          <w:sz w:val="24"/>
          <w:szCs w:val="24"/>
          <w:rtl/>
          <w:lang w:eastAsia="fr-FR"/>
        </w:rPr>
        <w:t xml:space="preserve"> </w:t>
      </w:r>
      <w:r w:rsidRPr="00A619FC">
        <w:rPr>
          <w:rFonts w:ascii="Times New Roman" w:hAnsi="Times New Roman" w:cstheme="majorBidi"/>
          <w:sz w:val="24"/>
          <w:szCs w:val="24"/>
        </w:rPr>
        <w:t>[Les lumières de l’explication dans l’exégèse du Coran par le biais du Coran]</w:t>
      </w:r>
      <w:r w:rsidRPr="00A619FC">
        <w:rPr>
          <w:rFonts w:ascii="Times New Roman" w:hAnsi="Times New Roman" w:cstheme="majorBidi"/>
          <w:sz w:val="24"/>
          <w:szCs w:val="24"/>
          <w:lang w:eastAsia="fr-FR"/>
        </w:rPr>
        <w:t>)</w:t>
      </w:r>
      <w:r w:rsidRPr="00A619FC">
        <w:rPr>
          <w:rFonts w:ascii="Times New Roman" w:hAnsi="Times New Roman" w:cstheme="majorBidi"/>
          <w:smallCaps/>
          <w:sz w:val="24"/>
          <w:szCs w:val="24"/>
          <w:lang w:eastAsia="fr-FR" w:bidi="ar-EG"/>
        </w:rPr>
        <w:t xml:space="preserve">, </w:t>
      </w:r>
      <w:r w:rsidRPr="00A619FC">
        <w:rPr>
          <w:rFonts w:ascii="Times New Roman" w:hAnsi="Times New Roman" w:cstheme="majorBidi"/>
          <w:sz w:val="24"/>
          <w:szCs w:val="24"/>
        </w:rPr>
        <w:t xml:space="preserve">écrit par Muḥammad al-Amīn ibn Muḥammad ibn al-Mukhtār al-Jaknī </w:t>
      </w:r>
      <w:r w:rsidRPr="00A619FC">
        <w:rPr>
          <w:rFonts w:ascii="Times New Roman" w:hAnsi="Times New Roman" w:cstheme="majorBidi"/>
          <w:sz w:val="24"/>
          <w:szCs w:val="24"/>
          <w:lang w:eastAsia="fr-FR" w:bidi="ar-EG"/>
        </w:rPr>
        <w:t>Ash-Shanqītī</w:t>
      </w:r>
      <w:r w:rsidRPr="00A619FC">
        <w:rPr>
          <w:rFonts w:ascii="Times New Roman" w:hAnsi="Times New Roman" w:cstheme="majorBidi"/>
          <w:smallCaps/>
          <w:sz w:val="24"/>
          <w:szCs w:val="24"/>
          <w:lang w:eastAsia="fr-FR" w:bidi="ar-EG"/>
        </w:rPr>
        <w:t xml:space="preserve"> </w:t>
      </w:r>
      <w:r w:rsidRPr="00A619FC">
        <w:rPr>
          <w:rFonts w:ascii="Times New Roman" w:hAnsi="Times New Roman" w:cstheme="majorBidi"/>
          <w:sz w:val="24"/>
          <w:szCs w:val="24"/>
        </w:rPr>
        <w:t>(</w:t>
      </w:r>
      <w:r w:rsidRPr="00A619FC">
        <w:rPr>
          <w:rFonts w:ascii="Times New Roman" w:hAnsi="Times New Roman" w:cstheme="majorBidi"/>
          <w:bCs/>
          <w:sz w:val="24"/>
          <w:szCs w:val="24"/>
        </w:rPr>
        <w:t>m. 1974</w:t>
      </w:r>
      <w:r w:rsidRPr="00A619FC">
        <w:rPr>
          <w:rFonts w:ascii="Times New Roman" w:hAnsi="Times New Roman" w:cstheme="majorBidi"/>
          <w:sz w:val="24"/>
          <w:szCs w:val="24"/>
        </w:rPr>
        <w:t>)</w:t>
      </w:r>
      <w:r>
        <w:rPr>
          <w:rFonts w:ascii="Times New Roman" w:hAnsi="Times New Roman" w:cstheme="majorBidi"/>
          <w:sz w:val="24"/>
          <w:szCs w:val="24"/>
        </w:rPr>
        <w:t>,</w:t>
      </w:r>
      <w:r w:rsidRPr="00A619FC">
        <w:rPr>
          <w:rFonts w:ascii="Times New Roman" w:hAnsi="Times New Roman" w:cstheme="majorBidi"/>
          <w:sz w:val="24"/>
          <w:szCs w:val="24"/>
        </w:rPr>
        <w:t xml:space="preserve"> exégèse </w:t>
      </w:r>
      <w:r w:rsidRPr="00A619FC">
        <w:rPr>
          <w:rFonts w:ascii="Times New Roman" w:hAnsi="Times New Roman" w:cstheme="majorBidi"/>
          <w:bCs/>
          <w:sz w:val="24"/>
          <w:szCs w:val="24"/>
        </w:rPr>
        <w:t>sunnite</w:t>
      </w:r>
      <w:r w:rsidRPr="00A619FC">
        <w:rPr>
          <w:rFonts w:ascii="Times New Roman" w:hAnsi="Times New Roman" w:cstheme="majorBidi"/>
          <w:sz w:val="24"/>
          <w:szCs w:val="24"/>
        </w:rPr>
        <w:t xml:space="preserve"> (Dār al-Fikr, 1995, 9 vols) ;</w:t>
      </w:r>
    </w:p>
    <w:p w14:paraId="765950A5" w14:textId="77777777" w:rsidR="007214B1" w:rsidRPr="00A619FC" w:rsidRDefault="007214B1" w:rsidP="007640DC">
      <w:pPr>
        <w:pStyle w:val="Paragraphedeliste"/>
        <w:numPr>
          <w:ilvl w:val="0"/>
          <w:numId w:val="20"/>
        </w:numPr>
        <w:bidi w:val="0"/>
        <w:spacing w:after="0" w:line="360" w:lineRule="auto"/>
        <w:contextualSpacing/>
        <w:jc w:val="both"/>
        <w:rPr>
          <w:rFonts w:ascii="Times New Roman" w:hAnsi="Times New Roman" w:cstheme="majorBidi"/>
          <w:sz w:val="24"/>
          <w:szCs w:val="24"/>
        </w:rPr>
      </w:pPr>
      <w:r w:rsidRPr="00A619FC">
        <w:rPr>
          <w:rFonts w:ascii="Times New Roman" w:hAnsi="Times New Roman" w:cstheme="majorBidi"/>
          <w:b/>
          <w:bCs/>
          <w:i/>
          <w:iCs/>
          <w:sz w:val="24"/>
          <w:szCs w:val="24"/>
          <w:lang w:eastAsia="fr-FR" w:bidi="ar-AE"/>
        </w:rPr>
        <w:t>Tafsīr Aṭ-Ṭabāṭabāʾī</w:t>
      </w:r>
      <w:r w:rsidRPr="00A619FC">
        <w:rPr>
          <w:rFonts w:ascii="Times New Roman" w:hAnsi="Times New Roman" w:cstheme="majorBidi"/>
          <w:sz w:val="24"/>
          <w:szCs w:val="24"/>
          <w:lang w:eastAsia="fr-FR" w:bidi="ar-AE"/>
        </w:rPr>
        <w:t xml:space="preserve"> (</w:t>
      </w:r>
      <w:r w:rsidRPr="00A619FC">
        <w:rPr>
          <w:rFonts w:ascii="Times New Roman" w:hAnsi="Times New Roman" w:cstheme="majorBidi"/>
          <w:i/>
          <w:iCs/>
          <w:sz w:val="24"/>
          <w:szCs w:val="24"/>
          <w:lang w:eastAsia="fr-FR" w:bidi="ar-AE"/>
        </w:rPr>
        <w:t xml:space="preserve">al-Mīzān fī tafsīr al-Qurʾān </w:t>
      </w:r>
      <w:r w:rsidRPr="00A619FC">
        <w:rPr>
          <w:rFonts w:ascii="Times New Roman" w:hAnsi="Times New Roman" w:cstheme="majorBidi"/>
          <w:sz w:val="24"/>
          <w:szCs w:val="24"/>
        </w:rPr>
        <w:t>[L’équilibre dans l’exégèse du Coran]</w:t>
      </w:r>
      <w:r w:rsidRPr="00A619FC">
        <w:rPr>
          <w:rFonts w:ascii="Times New Roman" w:hAnsi="Times New Roman" w:cstheme="majorBidi"/>
          <w:sz w:val="24"/>
          <w:szCs w:val="24"/>
          <w:lang w:eastAsia="fr-FR" w:bidi="ar-AE"/>
        </w:rPr>
        <w:t>), écrit par</w:t>
      </w:r>
      <w:r w:rsidRPr="00A619FC">
        <w:rPr>
          <w:rFonts w:ascii="Times New Roman" w:hAnsi="Times New Roman" w:cstheme="majorBidi"/>
          <w:smallCaps/>
          <w:sz w:val="24"/>
          <w:szCs w:val="24"/>
          <w:lang w:eastAsia="fr-FR" w:bidi="ar-EG"/>
        </w:rPr>
        <w:t xml:space="preserve"> </w:t>
      </w:r>
      <w:r w:rsidRPr="00A619FC">
        <w:rPr>
          <w:rFonts w:ascii="Times New Roman" w:hAnsi="Times New Roman" w:cstheme="majorBidi"/>
          <w:sz w:val="24"/>
          <w:szCs w:val="24"/>
          <w:lang w:eastAsia="fr-FR" w:bidi="ar-AE"/>
        </w:rPr>
        <w:t>Muḥammad Ḥusayn</w:t>
      </w:r>
      <w:r w:rsidRPr="00A619FC">
        <w:rPr>
          <w:rFonts w:ascii="Times New Roman" w:eastAsiaTheme="minorHAnsi" w:hAnsi="Times New Roman" w:cstheme="majorBidi"/>
          <w:sz w:val="24"/>
          <w:szCs w:val="24"/>
        </w:rPr>
        <w:t xml:space="preserve"> </w:t>
      </w:r>
      <w:r w:rsidRPr="00A619FC">
        <w:rPr>
          <w:rFonts w:ascii="Times New Roman" w:hAnsi="Times New Roman" w:cstheme="majorBidi"/>
          <w:sz w:val="24"/>
          <w:szCs w:val="24"/>
          <w:lang w:eastAsia="fr-FR" w:bidi="ar-EG"/>
        </w:rPr>
        <w:t>Aṭ-Ṭabāṭabāʾī</w:t>
      </w:r>
      <w:r w:rsidRPr="00A619FC">
        <w:rPr>
          <w:rFonts w:ascii="Times New Roman" w:hAnsi="Times New Roman" w:cstheme="majorBidi"/>
          <w:smallCaps/>
          <w:sz w:val="24"/>
          <w:szCs w:val="24"/>
          <w:lang w:eastAsia="fr-FR"/>
        </w:rPr>
        <w:t xml:space="preserve"> </w:t>
      </w:r>
      <w:r w:rsidRPr="00744D72">
        <w:rPr>
          <w:rFonts w:ascii="Times New Roman" w:hAnsi="Times New Roman" w:cstheme="majorBidi"/>
          <w:sz w:val="24"/>
          <w:szCs w:val="24"/>
        </w:rPr>
        <w:t>(</w:t>
      </w:r>
      <w:r w:rsidRPr="00744D72">
        <w:rPr>
          <w:rFonts w:ascii="Times New Roman" w:hAnsi="Times New Roman" w:cstheme="majorBidi"/>
          <w:bCs/>
          <w:sz w:val="24"/>
          <w:szCs w:val="24"/>
        </w:rPr>
        <w:t>m. 1981</w:t>
      </w:r>
      <w:r w:rsidRPr="00744D72">
        <w:rPr>
          <w:rFonts w:ascii="Times New Roman" w:hAnsi="Times New Roman" w:cstheme="majorBidi"/>
          <w:sz w:val="24"/>
          <w:szCs w:val="24"/>
        </w:rPr>
        <w:t>),</w:t>
      </w:r>
      <w:r w:rsidRPr="00A619FC">
        <w:rPr>
          <w:rFonts w:ascii="Times New Roman" w:hAnsi="Times New Roman" w:cstheme="majorBidi"/>
          <w:sz w:val="24"/>
          <w:szCs w:val="24"/>
          <w:lang w:eastAsia="fr-FR" w:bidi="ar-AE"/>
        </w:rPr>
        <w:t xml:space="preserve"> une exégèse </w:t>
      </w:r>
      <w:r w:rsidRPr="00744D72">
        <w:rPr>
          <w:rFonts w:ascii="Times New Roman" w:hAnsi="Times New Roman" w:cstheme="majorBidi"/>
          <w:bCs/>
          <w:iCs/>
          <w:sz w:val="24"/>
          <w:szCs w:val="24"/>
          <w:lang w:eastAsia="fr-FR" w:bidi="ar-AE"/>
        </w:rPr>
        <w:t>chiite</w:t>
      </w:r>
      <w:r w:rsidRPr="00A619FC">
        <w:rPr>
          <w:rFonts w:ascii="Times New Roman" w:hAnsi="Times New Roman" w:cstheme="majorBidi"/>
          <w:sz w:val="24"/>
          <w:szCs w:val="24"/>
          <w:lang w:eastAsia="fr-FR" w:bidi="ar-AE"/>
        </w:rPr>
        <w:t xml:space="preserve"> revue et commentée par Ḥusayn </w:t>
      </w:r>
      <w:r w:rsidRPr="00A619FC">
        <w:rPr>
          <w:rFonts w:ascii="Times New Roman" w:hAnsi="Times New Roman" w:cstheme="majorBidi"/>
          <w:sz w:val="24"/>
          <w:szCs w:val="24"/>
        </w:rPr>
        <w:t>Aʿlamī</w:t>
      </w:r>
      <w:r>
        <w:rPr>
          <w:rFonts w:ascii="Times New Roman" w:hAnsi="Times New Roman" w:cstheme="majorBidi"/>
          <w:sz w:val="24"/>
          <w:szCs w:val="24"/>
        </w:rPr>
        <w:t xml:space="preserve"> (</w:t>
      </w:r>
      <w:r w:rsidRPr="00A619FC">
        <w:rPr>
          <w:rFonts w:ascii="Times New Roman" w:hAnsi="Times New Roman" w:cstheme="majorBidi"/>
          <w:sz w:val="24"/>
          <w:szCs w:val="24"/>
        </w:rPr>
        <w:t>Muʾassasat al-Aʿlamī</w:t>
      </w:r>
      <w:r>
        <w:rPr>
          <w:rFonts w:ascii="Times New Roman" w:hAnsi="Times New Roman" w:cstheme="majorBidi"/>
          <w:sz w:val="24"/>
          <w:szCs w:val="24"/>
        </w:rPr>
        <w:t>,</w:t>
      </w:r>
      <w:r w:rsidRPr="00A619FC">
        <w:rPr>
          <w:rFonts w:ascii="Times New Roman" w:hAnsi="Times New Roman" w:cstheme="majorBidi"/>
          <w:sz w:val="24"/>
          <w:szCs w:val="24"/>
        </w:rPr>
        <w:t xml:space="preserve"> Beyrouth</w:t>
      </w:r>
      <w:r>
        <w:rPr>
          <w:rFonts w:ascii="Times New Roman" w:hAnsi="Times New Roman" w:cstheme="majorBidi"/>
          <w:sz w:val="24"/>
          <w:szCs w:val="24"/>
        </w:rPr>
        <w:t>, 1997)</w:t>
      </w:r>
      <w:r w:rsidRPr="00A619FC">
        <w:rPr>
          <w:rFonts w:ascii="Times New Roman" w:hAnsi="Times New Roman" w:cstheme="majorBidi"/>
          <w:sz w:val="24"/>
          <w:szCs w:val="24"/>
        </w:rPr>
        <w:t> ;</w:t>
      </w:r>
    </w:p>
    <w:p w14:paraId="5B77C905" w14:textId="77777777" w:rsidR="007214B1" w:rsidRPr="00A619FC" w:rsidRDefault="007214B1" w:rsidP="007640DC">
      <w:pPr>
        <w:pStyle w:val="Paragraphedeliste"/>
        <w:numPr>
          <w:ilvl w:val="0"/>
          <w:numId w:val="20"/>
        </w:numPr>
        <w:bidi w:val="0"/>
        <w:spacing w:after="0" w:line="360" w:lineRule="auto"/>
        <w:contextualSpacing/>
        <w:jc w:val="both"/>
        <w:rPr>
          <w:rFonts w:ascii="Times New Roman" w:hAnsi="Times New Roman" w:cstheme="majorBidi"/>
          <w:sz w:val="24"/>
          <w:szCs w:val="24"/>
          <w:lang w:bidi="ar-KW"/>
        </w:rPr>
      </w:pPr>
      <w:r w:rsidRPr="00A619FC">
        <w:rPr>
          <w:rFonts w:ascii="Times New Roman" w:hAnsi="Times New Roman" w:cstheme="majorBidi"/>
          <w:b/>
          <w:bCs/>
          <w:i/>
          <w:iCs/>
          <w:sz w:val="24"/>
          <w:szCs w:val="24"/>
          <w:lang w:bidi="ar-KW"/>
        </w:rPr>
        <w:t xml:space="preserve">Al-Muntakhab fī Tafsīr al-Qurʾān al-karīm </w:t>
      </w:r>
      <w:r w:rsidRPr="00A619FC">
        <w:rPr>
          <w:rFonts w:ascii="Times New Roman" w:hAnsi="Times New Roman" w:cstheme="majorBidi"/>
          <w:sz w:val="24"/>
          <w:szCs w:val="24"/>
        </w:rPr>
        <w:t>[Le florilège de l’exégèse du Coran Sublime]</w:t>
      </w:r>
      <w:r w:rsidRPr="00A619FC">
        <w:rPr>
          <w:rFonts w:ascii="Times New Roman" w:hAnsi="Times New Roman" w:cstheme="majorBidi"/>
          <w:sz w:val="24"/>
          <w:szCs w:val="24"/>
          <w:lang w:bidi="ar-KW"/>
        </w:rPr>
        <w:t>, une exégèse</w:t>
      </w:r>
      <w:r w:rsidRPr="00A619FC">
        <w:rPr>
          <w:rFonts w:ascii="Times New Roman" w:hAnsi="Times New Roman" w:cstheme="majorBidi"/>
          <w:b/>
          <w:bCs/>
          <w:sz w:val="24"/>
          <w:szCs w:val="24"/>
          <w:lang w:bidi="ar-KW"/>
        </w:rPr>
        <w:t xml:space="preserve"> </w:t>
      </w:r>
      <w:r w:rsidRPr="00DB46D0">
        <w:rPr>
          <w:rFonts w:ascii="Times New Roman" w:hAnsi="Times New Roman" w:cstheme="majorBidi"/>
          <w:bCs/>
          <w:sz w:val="24"/>
          <w:szCs w:val="24"/>
          <w:lang w:bidi="ar-KW"/>
        </w:rPr>
        <w:t>sunnite</w:t>
      </w:r>
      <w:r w:rsidRPr="00A619FC">
        <w:rPr>
          <w:rFonts w:ascii="Times New Roman" w:hAnsi="Times New Roman" w:cstheme="majorBidi"/>
          <w:b/>
          <w:bCs/>
          <w:sz w:val="24"/>
          <w:szCs w:val="24"/>
          <w:lang w:bidi="ar-KW"/>
        </w:rPr>
        <w:t xml:space="preserve"> </w:t>
      </w:r>
      <w:r w:rsidRPr="00A619FC">
        <w:rPr>
          <w:rFonts w:ascii="Times New Roman" w:hAnsi="Times New Roman" w:cstheme="majorBidi"/>
          <w:sz w:val="24"/>
          <w:szCs w:val="24"/>
          <w:lang w:bidi="ar-KW"/>
        </w:rPr>
        <w:t>écrite par un comité d’</w:t>
      </w:r>
      <w:r>
        <w:rPr>
          <w:rFonts w:ascii="Times New Roman" w:hAnsi="Times New Roman" w:cstheme="majorBidi"/>
          <w:sz w:val="24"/>
          <w:szCs w:val="24"/>
          <w:lang w:bidi="ar-KW"/>
        </w:rPr>
        <w:t>oulémas d’al-Azhar (</w:t>
      </w:r>
      <w:r w:rsidRPr="00A619FC">
        <w:rPr>
          <w:rFonts w:ascii="Times New Roman" w:hAnsi="Times New Roman" w:cstheme="majorBidi"/>
          <w:sz w:val="24"/>
          <w:szCs w:val="24"/>
          <w:lang w:bidi="ar-KW"/>
        </w:rPr>
        <w:t>al-Majlis al-</w:t>
      </w:r>
      <w:r w:rsidRPr="00A619FC">
        <w:rPr>
          <w:rFonts w:ascii="Times New Roman" w:hAnsi="Times New Roman" w:cstheme="majorBidi"/>
          <w:sz w:val="24"/>
          <w:szCs w:val="24"/>
        </w:rPr>
        <w:t>Aʿlā li-sh-shuʾūn al-islām</w:t>
      </w:r>
      <w:r>
        <w:rPr>
          <w:rFonts w:ascii="Times New Roman" w:hAnsi="Times New Roman" w:cstheme="majorBidi"/>
          <w:sz w:val="24"/>
          <w:szCs w:val="24"/>
        </w:rPr>
        <w:t>iyya [C</w:t>
      </w:r>
      <w:r w:rsidRPr="00A619FC">
        <w:rPr>
          <w:rFonts w:ascii="Times New Roman" w:hAnsi="Times New Roman" w:cstheme="majorBidi"/>
          <w:sz w:val="24"/>
          <w:szCs w:val="24"/>
        </w:rPr>
        <w:t xml:space="preserve">onseil </w:t>
      </w:r>
      <w:r>
        <w:rPr>
          <w:rFonts w:ascii="Times New Roman" w:hAnsi="Times New Roman" w:cstheme="majorBidi"/>
          <w:sz w:val="24"/>
          <w:szCs w:val="24"/>
        </w:rPr>
        <w:t xml:space="preserve">supérieur des affaires islamiques] et </w:t>
      </w:r>
      <w:r w:rsidRPr="00A619FC">
        <w:rPr>
          <w:rFonts w:ascii="Times New Roman" w:hAnsi="Times New Roman" w:cstheme="majorBidi"/>
          <w:sz w:val="24"/>
          <w:szCs w:val="24"/>
        </w:rPr>
        <w:t>Muʾassasat al-Ahrām,</w:t>
      </w:r>
      <w:r w:rsidRPr="00A619FC">
        <w:rPr>
          <w:rFonts w:ascii="Times New Roman" w:hAnsi="Times New Roman" w:cstheme="majorBidi"/>
          <w:sz w:val="24"/>
          <w:szCs w:val="24"/>
          <w:lang w:bidi="ar-KW"/>
        </w:rPr>
        <w:t xml:space="preserve"> </w:t>
      </w:r>
      <w:r>
        <w:rPr>
          <w:rFonts w:ascii="Times New Roman" w:hAnsi="Times New Roman" w:cstheme="majorBidi"/>
          <w:sz w:val="24"/>
          <w:szCs w:val="24"/>
          <w:lang w:bidi="ar-KW"/>
        </w:rPr>
        <w:t xml:space="preserve">Le Caire, </w:t>
      </w:r>
      <w:r w:rsidRPr="00DB46D0">
        <w:rPr>
          <w:rFonts w:ascii="Times New Roman" w:hAnsi="Times New Roman" w:cstheme="majorBidi"/>
          <w:bCs/>
          <w:sz w:val="24"/>
          <w:szCs w:val="24"/>
          <w:lang w:bidi="ar-KW"/>
        </w:rPr>
        <w:t>1995</w:t>
      </w:r>
      <w:r>
        <w:rPr>
          <w:rFonts w:ascii="Times New Roman" w:hAnsi="Times New Roman" w:cstheme="majorBidi"/>
          <w:bCs/>
          <w:sz w:val="24"/>
          <w:szCs w:val="24"/>
          <w:lang w:bidi="ar-KW"/>
        </w:rPr>
        <w:t xml:space="preserve"> [</w:t>
      </w:r>
      <w:r w:rsidRPr="00A619FC">
        <w:rPr>
          <w:rFonts w:ascii="Times New Roman" w:hAnsi="Times New Roman" w:cstheme="majorBidi"/>
          <w:sz w:val="24"/>
          <w:szCs w:val="24"/>
          <w:lang w:bidi="ar-KW"/>
        </w:rPr>
        <w:t>18</w:t>
      </w:r>
      <w:r w:rsidRPr="00A619FC">
        <w:rPr>
          <w:rFonts w:ascii="Times New Roman" w:hAnsi="Times New Roman" w:cstheme="majorBidi"/>
          <w:sz w:val="24"/>
          <w:szCs w:val="24"/>
          <w:vertAlign w:val="superscript"/>
          <w:lang w:bidi="ar-KW"/>
        </w:rPr>
        <w:t>e</w:t>
      </w:r>
      <w:r w:rsidRPr="00A619FC">
        <w:rPr>
          <w:rFonts w:ascii="Times New Roman" w:hAnsi="Times New Roman" w:cstheme="majorBidi"/>
          <w:sz w:val="24"/>
          <w:szCs w:val="24"/>
          <w:lang w:bidi="ar-KW"/>
        </w:rPr>
        <w:t xml:space="preserve"> é</w:t>
      </w:r>
      <w:r>
        <w:rPr>
          <w:rFonts w:ascii="Times New Roman" w:hAnsi="Times New Roman" w:cstheme="majorBidi"/>
          <w:sz w:val="24"/>
          <w:szCs w:val="24"/>
          <w:lang w:bidi="ar-KW"/>
        </w:rPr>
        <w:t>d.]</w:t>
      </w:r>
      <w:r>
        <w:rPr>
          <w:rFonts w:ascii="Times New Roman" w:hAnsi="Times New Roman" w:cstheme="majorBidi"/>
          <w:b/>
          <w:bCs/>
          <w:sz w:val="24"/>
          <w:szCs w:val="24"/>
          <w:lang w:bidi="ar-KW"/>
        </w:rPr>
        <w:t>)</w:t>
      </w:r>
      <w:r w:rsidRPr="00A619FC">
        <w:rPr>
          <w:rFonts w:ascii="Times New Roman" w:hAnsi="Times New Roman" w:cstheme="majorBidi"/>
          <w:sz w:val="24"/>
          <w:szCs w:val="24"/>
          <w:lang w:bidi="ar-KW"/>
        </w:rPr>
        <w:t> ;</w:t>
      </w:r>
    </w:p>
    <w:p w14:paraId="1D67A10E" w14:textId="77777777" w:rsidR="007214B1" w:rsidRPr="00A619FC" w:rsidRDefault="007214B1" w:rsidP="007640DC">
      <w:pPr>
        <w:pStyle w:val="Paragraphedeliste"/>
        <w:numPr>
          <w:ilvl w:val="0"/>
          <w:numId w:val="20"/>
        </w:numPr>
        <w:bidi w:val="0"/>
        <w:spacing w:after="0" w:line="360" w:lineRule="auto"/>
        <w:contextualSpacing/>
        <w:jc w:val="both"/>
        <w:rPr>
          <w:rFonts w:ascii="Times New Roman" w:hAnsi="Times New Roman" w:cstheme="majorBidi"/>
          <w:sz w:val="24"/>
          <w:szCs w:val="24"/>
        </w:rPr>
      </w:pPr>
      <w:r w:rsidRPr="00A619FC">
        <w:rPr>
          <w:rFonts w:ascii="Times New Roman" w:hAnsi="Times New Roman" w:cstheme="majorBidi"/>
          <w:b/>
          <w:bCs/>
          <w:i/>
          <w:iCs/>
          <w:sz w:val="24"/>
          <w:szCs w:val="24"/>
        </w:rPr>
        <w:t>Tafsīr Ash-Shaʿrāwī</w:t>
      </w:r>
      <w:r w:rsidRPr="00A619FC">
        <w:rPr>
          <w:rFonts w:ascii="Times New Roman" w:hAnsi="Times New Roman" w:cstheme="majorBidi"/>
          <w:sz w:val="24"/>
          <w:szCs w:val="24"/>
        </w:rPr>
        <w:t xml:space="preserve"> (</w:t>
      </w:r>
      <w:r w:rsidRPr="00A619FC">
        <w:rPr>
          <w:rFonts w:ascii="Times New Roman" w:hAnsi="Times New Roman" w:cstheme="majorBidi"/>
          <w:i/>
          <w:iCs/>
          <w:sz w:val="24"/>
          <w:szCs w:val="24"/>
        </w:rPr>
        <w:t>Khawāṭir fī tafsīr al-Qurʾān al-karīm</w:t>
      </w:r>
      <w:r w:rsidRPr="00A619FC">
        <w:rPr>
          <w:rFonts w:ascii="Times New Roman" w:hAnsi="Times New Roman" w:cstheme="majorBidi"/>
          <w:sz w:val="24"/>
          <w:szCs w:val="24"/>
        </w:rPr>
        <w:t xml:space="preserve"> [</w:t>
      </w:r>
      <w:r w:rsidRPr="00A619FC">
        <w:rPr>
          <w:rFonts w:ascii="Times New Roman" w:hAnsi="Times New Roman" w:cstheme="majorBidi"/>
          <w:i/>
          <w:iCs/>
          <w:sz w:val="24"/>
          <w:szCs w:val="24"/>
        </w:rPr>
        <w:t>Pensées sur l’exégèse du Coran Sublime</w:t>
      </w:r>
      <w:r w:rsidRPr="00A619FC">
        <w:rPr>
          <w:rFonts w:ascii="Times New Roman" w:hAnsi="Times New Roman" w:cstheme="majorBidi"/>
          <w:sz w:val="24"/>
          <w:szCs w:val="24"/>
        </w:rPr>
        <w:t>]), conférences données par Muḥammad Mutawallī Ash-Shaʿrāwī (</w:t>
      </w:r>
      <w:r w:rsidRPr="00DB46D0">
        <w:rPr>
          <w:rFonts w:ascii="Times New Roman" w:hAnsi="Times New Roman" w:cstheme="majorBidi"/>
          <w:bCs/>
          <w:sz w:val="24"/>
          <w:szCs w:val="24"/>
        </w:rPr>
        <w:t xml:space="preserve">m. </w:t>
      </w:r>
      <w:r w:rsidRPr="00DB46D0">
        <w:rPr>
          <w:rFonts w:ascii="Times New Roman" w:hAnsi="Times New Roman" w:cstheme="majorBidi"/>
          <w:bCs/>
          <w:sz w:val="24"/>
          <w:szCs w:val="24"/>
        </w:rPr>
        <w:lastRenderedPageBreak/>
        <w:t>1998</w:t>
      </w:r>
      <w:r w:rsidRPr="00A619FC">
        <w:rPr>
          <w:rFonts w:ascii="Times New Roman" w:hAnsi="Times New Roman" w:cstheme="majorBidi"/>
          <w:sz w:val="24"/>
          <w:szCs w:val="24"/>
        </w:rPr>
        <w:t xml:space="preserve">), une exégèse </w:t>
      </w:r>
      <w:r w:rsidRPr="00DB46D0">
        <w:rPr>
          <w:rFonts w:ascii="Times New Roman" w:hAnsi="Times New Roman" w:cstheme="majorBidi"/>
          <w:bCs/>
          <w:sz w:val="24"/>
          <w:szCs w:val="24"/>
        </w:rPr>
        <w:t>sunnite</w:t>
      </w:r>
      <w:r w:rsidRPr="00A619FC">
        <w:rPr>
          <w:rFonts w:ascii="Times New Roman" w:hAnsi="Times New Roman" w:cstheme="majorBidi"/>
          <w:sz w:val="24"/>
          <w:szCs w:val="24"/>
        </w:rPr>
        <w:t xml:space="preserve"> </w:t>
      </w:r>
      <w:r>
        <w:rPr>
          <w:rFonts w:ascii="Times New Roman" w:hAnsi="Times New Roman" w:cstheme="majorBidi"/>
          <w:sz w:val="24"/>
          <w:szCs w:val="24"/>
        </w:rPr>
        <w:t>(</w:t>
      </w:r>
      <w:r w:rsidRPr="00A619FC">
        <w:rPr>
          <w:rFonts w:ascii="Times New Roman" w:hAnsi="Times New Roman" w:cstheme="majorBidi"/>
          <w:sz w:val="24"/>
          <w:szCs w:val="24"/>
        </w:rPr>
        <w:t>Maṭābiʿ Akhbār al-Yawm</w:t>
      </w:r>
      <w:r>
        <w:rPr>
          <w:rFonts w:ascii="Times New Roman" w:hAnsi="Times New Roman" w:cstheme="majorBidi"/>
          <w:sz w:val="24"/>
          <w:szCs w:val="24"/>
        </w:rPr>
        <w:t>, Le Caire,</w:t>
      </w:r>
      <w:r w:rsidRPr="00A619FC">
        <w:rPr>
          <w:rFonts w:ascii="Times New Roman" w:hAnsi="Times New Roman" w:cstheme="majorBidi"/>
          <w:sz w:val="24"/>
          <w:szCs w:val="24"/>
        </w:rPr>
        <w:t xml:space="preserve"> </w:t>
      </w:r>
      <w:r w:rsidRPr="00DB46D0">
        <w:rPr>
          <w:rFonts w:ascii="Times New Roman" w:hAnsi="Times New Roman" w:cstheme="majorBidi"/>
          <w:sz w:val="24"/>
          <w:szCs w:val="24"/>
        </w:rPr>
        <w:t>1</w:t>
      </w:r>
      <w:r w:rsidRPr="00DB46D0">
        <w:rPr>
          <w:rFonts w:ascii="Times New Roman" w:hAnsi="Times New Roman" w:cstheme="majorBidi"/>
          <w:bCs/>
          <w:sz w:val="24"/>
          <w:szCs w:val="24"/>
        </w:rPr>
        <w:t>997</w:t>
      </w:r>
      <w:r>
        <w:rPr>
          <w:rFonts w:ascii="Times New Roman" w:hAnsi="Times New Roman" w:cstheme="majorBidi"/>
          <w:bCs/>
          <w:sz w:val="24"/>
          <w:szCs w:val="24"/>
        </w:rPr>
        <w:t> ;</w:t>
      </w:r>
      <w:r>
        <w:rPr>
          <w:rFonts w:ascii="Times New Roman" w:hAnsi="Times New Roman" w:cstheme="majorBidi"/>
          <w:sz w:val="24"/>
          <w:szCs w:val="24"/>
        </w:rPr>
        <w:t xml:space="preserve"> mise en ligne en 20 volumes</w:t>
      </w:r>
      <w:r w:rsidRPr="00A619FC">
        <w:rPr>
          <w:rFonts w:ascii="Times New Roman" w:hAnsi="Times New Roman" w:cstheme="majorBidi"/>
          <w:sz w:val="24"/>
          <w:szCs w:val="24"/>
        </w:rPr>
        <w:t xml:space="preserve"> al-Maktaba ash-Shāmila</w:t>
      </w:r>
      <w:r>
        <w:rPr>
          <w:rFonts w:ascii="Times New Roman" w:hAnsi="Times New Roman" w:cstheme="majorBidi"/>
          <w:sz w:val="24"/>
          <w:szCs w:val="24"/>
        </w:rPr>
        <w:t>)</w:t>
      </w:r>
      <w:r w:rsidRPr="00A619FC">
        <w:rPr>
          <w:rFonts w:ascii="Times New Roman" w:hAnsi="Times New Roman" w:cstheme="majorBidi"/>
          <w:sz w:val="24"/>
          <w:szCs w:val="24"/>
        </w:rPr>
        <w:t>.</w:t>
      </w:r>
      <w:r>
        <w:rPr>
          <w:rStyle w:val="Appelnotedebasdep"/>
          <w:sz w:val="24"/>
          <w:szCs w:val="24"/>
        </w:rPr>
        <w:footnoteReference w:id="191"/>
      </w:r>
    </w:p>
    <w:p w14:paraId="2B9A6091" w14:textId="77777777" w:rsidR="007214B1" w:rsidRPr="00A619FC" w:rsidRDefault="007214B1" w:rsidP="007640DC">
      <w:pPr>
        <w:pStyle w:val="Paragraphedeliste"/>
        <w:numPr>
          <w:ilvl w:val="0"/>
          <w:numId w:val="20"/>
        </w:numPr>
        <w:bidi w:val="0"/>
        <w:spacing w:after="0" w:line="360" w:lineRule="auto"/>
        <w:contextualSpacing/>
        <w:jc w:val="both"/>
        <w:rPr>
          <w:rFonts w:ascii="Times New Roman" w:hAnsi="Times New Roman" w:cstheme="majorBidi"/>
          <w:sz w:val="24"/>
          <w:szCs w:val="24"/>
        </w:rPr>
      </w:pPr>
      <w:r w:rsidRPr="00A619FC">
        <w:rPr>
          <w:rFonts w:ascii="Times New Roman" w:hAnsi="Times New Roman" w:cstheme="majorBidi"/>
          <w:b/>
          <w:bCs/>
          <w:i/>
          <w:iCs/>
          <w:sz w:val="24"/>
          <w:szCs w:val="24"/>
          <w:lang w:bidi="ar-AE"/>
        </w:rPr>
        <w:t>At-tafsīr al-munīr fī</w:t>
      </w:r>
      <w:r>
        <w:rPr>
          <w:rFonts w:ascii="Times New Roman" w:hAnsi="Times New Roman" w:cstheme="majorBidi"/>
          <w:b/>
          <w:bCs/>
          <w:i/>
          <w:iCs/>
          <w:sz w:val="24"/>
          <w:szCs w:val="24"/>
          <w:lang w:bidi="ar-AE"/>
        </w:rPr>
        <w:t xml:space="preserve"> </w:t>
      </w:r>
      <w:r w:rsidRPr="00A619FC">
        <w:rPr>
          <w:rFonts w:ascii="Times New Roman" w:hAnsi="Times New Roman" w:cstheme="majorBidi"/>
          <w:b/>
          <w:bCs/>
          <w:i/>
          <w:iCs/>
          <w:sz w:val="24"/>
          <w:szCs w:val="24"/>
          <w:lang w:bidi="ar-AE"/>
        </w:rPr>
        <w:t>l-</w:t>
      </w:r>
      <w:r w:rsidRPr="00A619FC">
        <w:rPr>
          <w:rFonts w:ascii="Times New Roman" w:hAnsi="Times New Roman" w:cstheme="majorBidi"/>
          <w:b/>
          <w:bCs/>
          <w:i/>
          <w:iCs/>
          <w:sz w:val="24"/>
          <w:szCs w:val="24"/>
        </w:rPr>
        <w:t xml:space="preserve">ʿaqīda wa-sh-sharīʿa wa-l-manhaj </w:t>
      </w:r>
      <w:r w:rsidRPr="00A619FC">
        <w:rPr>
          <w:rFonts w:ascii="Times New Roman" w:hAnsi="Times New Roman" w:cstheme="majorBidi"/>
          <w:sz w:val="24"/>
          <w:szCs w:val="24"/>
        </w:rPr>
        <w:t xml:space="preserve">[L’exégèse éclairante dans le dogme, la charia et les règles de vie], une exégèse </w:t>
      </w:r>
      <w:r w:rsidRPr="00DB46D0">
        <w:rPr>
          <w:rFonts w:ascii="Times New Roman" w:hAnsi="Times New Roman" w:cstheme="majorBidi"/>
          <w:bCs/>
          <w:sz w:val="24"/>
          <w:szCs w:val="24"/>
        </w:rPr>
        <w:t>sunnite</w:t>
      </w:r>
      <w:r w:rsidRPr="00A619FC">
        <w:rPr>
          <w:rFonts w:ascii="Times New Roman" w:hAnsi="Times New Roman" w:cstheme="majorBidi"/>
          <w:sz w:val="24"/>
          <w:szCs w:val="24"/>
        </w:rPr>
        <w:t xml:space="preserve"> écrite</w:t>
      </w:r>
      <w:r>
        <w:rPr>
          <w:rFonts w:ascii="Times New Roman" w:hAnsi="Times New Roman" w:cstheme="majorBidi"/>
          <w:sz w:val="24"/>
          <w:szCs w:val="24"/>
        </w:rPr>
        <w:t xml:space="preserve"> par</w:t>
      </w:r>
      <w:r w:rsidRPr="00A619FC">
        <w:rPr>
          <w:rFonts w:ascii="Times New Roman" w:hAnsi="Times New Roman" w:cstheme="majorBidi"/>
          <w:sz w:val="24"/>
          <w:szCs w:val="24"/>
        </w:rPr>
        <w:t xml:space="preserve"> Wahba </w:t>
      </w:r>
      <w:r w:rsidRPr="00A619FC">
        <w:rPr>
          <w:rFonts w:ascii="Times New Roman" w:hAnsi="Times New Roman" w:cstheme="majorBidi"/>
          <w:sz w:val="24"/>
          <w:szCs w:val="24"/>
          <w:lang w:bidi="ar-AE"/>
        </w:rPr>
        <w:t>az-Zuḥaylī (</w:t>
      </w:r>
      <w:r w:rsidRPr="00DB46D0">
        <w:rPr>
          <w:rFonts w:ascii="Times New Roman" w:hAnsi="Times New Roman" w:cstheme="majorBidi"/>
          <w:bCs/>
          <w:sz w:val="24"/>
          <w:szCs w:val="24"/>
          <w:lang w:bidi="ar-AE"/>
        </w:rPr>
        <w:t>m. 2015</w:t>
      </w:r>
      <w:r w:rsidRPr="00A619FC">
        <w:rPr>
          <w:rFonts w:ascii="Times New Roman" w:hAnsi="Times New Roman" w:cstheme="majorBidi"/>
          <w:sz w:val="24"/>
          <w:szCs w:val="24"/>
          <w:lang w:bidi="ar-AE"/>
        </w:rPr>
        <w:t>)</w:t>
      </w:r>
      <w:r>
        <w:rPr>
          <w:rFonts w:ascii="Times New Roman" w:hAnsi="Times New Roman" w:cstheme="majorBidi"/>
          <w:sz w:val="24"/>
          <w:szCs w:val="24"/>
          <w:lang w:bidi="ar-AE"/>
        </w:rPr>
        <w:t xml:space="preserve"> (</w:t>
      </w:r>
      <w:r w:rsidRPr="00A619FC">
        <w:rPr>
          <w:rFonts w:ascii="Times New Roman" w:hAnsi="Times New Roman" w:cstheme="majorBidi"/>
          <w:sz w:val="24"/>
          <w:szCs w:val="24"/>
          <w:lang w:bidi="ar-AE"/>
        </w:rPr>
        <w:t>Dār al-Fikr al-Mu</w:t>
      </w:r>
      <w:r w:rsidRPr="00A619FC">
        <w:rPr>
          <w:rFonts w:ascii="Times New Roman" w:hAnsi="Times New Roman" w:cstheme="majorBidi"/>
          <w:sz w:val="24"/>
          <w:szCs w:val="24"/>
        </w:rPr>
        <w:t>ʿāṣir,</w:t>
      </w:r>
      <w:r>
        <w:rPr>
          <w:rFonts w:ascii="Times New Roman" w:hAnsi="Times New Roman" w:cstheme="majorBidi"/>
          <w:sz w:val="24"/>
          <w:szCs w:val="24"/>
        </w:rPr>
        <w:t xml:space="preserve"> Damas, 1997 [</w:t>
      </w:r>
      <w:r w:rsidRPr="00A619FC">
        <w:rPr>
          <w:rFonts w:ascii="Times New Roman" w:hAnsi="Times New Roman" w:cstheme="majorBidi"/>
          <w:sz w:val="24"/>
          <w:szCs w:val="24"/>
        </w:rPr>
        <w:t>2</w:t>
      </w:r>
      <w:r w:rsidRPr="00A619FC">
        <w:rPr>
          <w:rFonts w:ascii="Times New Roman" w:hAnsi="Times New Roman" w:cstheme="majorBidi"/>
          <w:sz w:val="24"/>
          <w:szCs w:val="24"/>
          <w:vertAlign w:val="superscript"/>
        </w:rPr>
        <w:t>e</w:t>
      </w:r>
      <w:r w:rsidRPr="00A619FC">
        <w:rPr>
          <w:rFonts w:ascii="Times New Roman" w:hAnsi="Times New Roman" w:cstheme="majorBidi"/>
          <w:sz w:val="24"/>
          <w:szCs w:val="24"/>
        </w:rPr>
        <w:t xml:space="preserve"> é</w:t>
      </w:r>
      <w:r>
        <w:rPr>
          <w:rFonts w:ascii="Times New Roman" w:hAnsi="Times New Roman" w:cstheme="majorBidi"/>
          <w:sz w:val="24"/>
          <w:szCs w:val="24"/>
        </w:rPr>
        <w:t>d.])</w:t>
      </w:r>
      <w:r w:rsidRPr="00A619FC">
        <w:rPr>
          <w:rFonts w:ascii="Times New Roman" w:hAnsi="Times New Roman" w:cstheme="majorBidi"/>
          <w:sz w:val="24"/>
          <w:szCs w:val="24"/>
        </w:rPr>
        <w:t>.</w:t>
      </w:r>
    </w:p>
    <w:p w14:paraId="5C776348" w14:textId="77777777" w:rsidR="007214B1" w:rsidRPr="00861EF5" w:rsidRDefault="007214B1" w:rsidP="007214B1">
      <w:pPr>
        <w:spacing w:line="360" w:lineRule="auto"/>
        <w:jc w:val="both"/>
        <w:rPr>
          <w:rFonts w:asciiTheme="majorBidi" w:eastAsia="Times New Roman" w:hAnsiTheme="majorBidi" w:cstheme="majorBidi"/>
          <w:rtl/>
        </w:rPr>
      </w:pPr>
    </w:p>
    <w:p w14:paraId="6B289B5E" w14:textId="77777777" w:rsidR="007214B1" w:rsidRPr="00861EF5" w:rsidRDefault="007214B1" w:rsidP="007214B1">
      <w:pPr>
        <w:spacing w:line="360" w:lineRule="auto"/>
        <w:ind w:firstLine="360"/>
        <w:jc w:val="both"/>
        <w:rPr>
          <w:rFonts w:asciiTheme="majorBidi" w:eastAsia="Times New Roman" w:hAnsiTheme="majorBidi" w:cstheme="majorBidi"/>
        </w:rPr>
      </w:pPr>
      <w:r w:rsidRPr="00861EF5">
        <w:rPr>
          <w:rFonts w:asciiTheme="majorBidi" w:eastAsia="Times New Roman" w:hAnsiTheme="majorBidi" w:cstheme="majorBidi"/>
        </w:rPr>
        <w:t>Quant à l’exégèse alaouite et druze, puisqu’il n’existe pas d’ouvrages qui y sont consacrés, nous nous sommes référés essentiellement aux ouvrages suivants dont certains sont écrits par non alaouites et non druzes :</w:t>
      </w:r>
    </w:p>
    <w:p w14:paraId="0FDD59AA" w14:textId="77777777" w:rsidR="007214B1" w:rsidRPr="006B7B9B" w:rsidRDefault="007214B1" w:rsidP="007640DC">
      <w:pPr>
        <w:pStyle w:val="Paragraphedeliste"/>
        <w:numPr>
          <w:ilvl w:val="0"/>
          <w:numId w:val="22"/>
        </w:numPr>
        <w:bidi w:val="0"/>
        <w:spacing w:after="0" w:line="360" w:lineRule="auto"/>
        <w:contextualSpacing/>
        <w:jc w:val="both"/>
        <w:rPr>
          <w:rFonts w:ascii="Times New Roman" w:hAnsi="Times New Roman" w:cstheme="majorBidi"/>
          <w:sz w:val="24"/>
          <w:szCs w:val="24"/>
        </w:rPr>
      </w:pPr>
      <w:r w:rsidRPr="006B7B9B">
        <w:rPr>
          <w:rFonts w:ascii="Times New Roman" w:hAnsi="Times New Roman" w:cstheme="majorBidi"/>
          <w:i/>
          <w:iCs/>
          <w:sz w:val="24"/>
          <w:szCs w:val="24"/>
          <w:lang w:bidi="ar-AE"/>
        </w:rPr>
        <w:t>Majmūʿ fatāwā Ibn Taymiyya</w:t>
      </w:r>
      <w:r w:rsidRPr="006B7B9B">
        <w:rPr>
          <w:rFonts w:ascii="Times New Roman" w:hAnsi="Times New Roman" w:cstheme="majorBidi"/>
          <w:sz w:val="24"/>
          <w:szCs w:val="24"/>
          <w:lang w:bidi="ar-AE"/>
        </w:rPr>
        <w:t>, Taqī ad-Dīn Ibn Taymīya, Complexe du Roi Fahd, 1995 (37 tomes) ;</w:t>
      </w:r>
    </w:p>
    <w:p w14:paraId="39C5939E" w14:textId="77777777" w:rsidR="007214B1" w:rsidRPr="006B7B9B" w:rsidRDefault="007214B1" w:rsidP="007640DC">
      <w:pPr>
        <w:pStyle w:val="Paragraphedeliste"/>
        <w:numPr>
          <w:ilvl w:val="0"/>
          <w:numId w:val="22"/>
        </w:numPr>
        <w:bidi w:val="0"/>
        <w:spacing w:after="0" w:line="360" w:lineRule="auto"/>
        <w:contextualSpacing/>
        <w:jc w:val="both"/>
        <w:rPr>
          <w:rFonts w:ascii="Times New Roman" w:hAnsi="Times New Roman" w:cstheme="majorBidi"/>
          <w:sz w:val="24"/>
          <w:szCs w:val="24"/>
        </w:rPr>
      </w:pPr>
      <w:r w:rsidRPr="006B7B9B">
        <w:rPr>
          <w:rFonts w:ascii="Times New Roman" w:hAnsi="Times New Roman" w:cstheme="majorBidi"/>
          <w:i/>
          <w:iCs/>
          <w:sz w:val="24"/>
          <w:szCs w:val="24"/>
          <w:lang w:bidi="ar-AE"/>
        </w:rPr>
        <w:t>Kitāb Al-Milal wa-an-Niḥal</w:t>
      </w:r>
      <w:r w:rsidRPr="006B7B9B">
        <w:rPr>
          <w:rFonts w:ascii="Times New Roman" w:hAnsi="Times New Roman" w:cstheme="majorBidi"/>
          <w:sz w:val="24"/>
          <w:szCs w:val="24"/>
          <w:lang w:bidi="ar-AE"/>
        </w:rPr>
        <w:t xml:space="preserve"> [</w:t>
      </w:r>
      <w:r w:rsidRPr="006B7B9B">
        <w:rPr>
          <w:rFonts w:ascii="Times New Roman" w:hAnsi="Times New Roman" w:cstheme="majorBidi"/>
          <w:i/>
          <w:iCs/>
          <w:sz w:val="24"/>
          <w:szCs w:val="24"/>
          <w:lang w:bidi="ar-AE"/>
        </w:rPr>
        <w:t>Livre des religions et des sectes</w:t>
      </w:r>
      <w:r w:rsidRPr="006B7B9B">
        <w:rPr>
          <w:rFonts w:ascii="Times New Roman" w:hAnsi="Times New Roman" w:cstheme="majorBidi"/>
          <w:sz w:val="24"/>
          <w:szCs w:val="24"/>
          <w:lang w:bidi="ar-AE"/>
        </w:rPr>
        <w:t>], Abū al-Fatḥ Muḥammad ibn ʿAbd al-Karīm Ash-Shahrastānī, Dā</w:t>
      </w:r>
      <w:r>
        <w:rPr>
          <w:rFonts w:ascii="Times New Roman" w:hAnsi="Times New Roman" w:cstheme="majorBidi"/>
          <w:sz w:val="24"/>
          <w:szCs w:val="24"/>
          <w:lang w:bidi="ar-AE"/>
        </w:rPr>
        <w:t>r al-kutub a</w:t>
      </w:r>
      <w:r w:rsidRPr="006B7B9B">
        <w:rPr>
          <w:rFonts w:ascii="Times New Roman" w:hAnsi="Times New Roman" w:cstheme="majorBidi"/>
          <w:sz w:val="24"/>
          <w:szCs w:val="24"/>
          <w:lang w:bidi="ar-AE"/>
        </w:rPr>
        <w:t>l-ʿ</w:t>
      </w:r>
      <w:r>
        <w:rPr>
          <w:rFonts w:ascii="Times New Roman" w:hAnsi="Times New Roman" w:cstheme="majorBidi"/>
          <w:sz w:val="24"/>
          <w:szCs w:val="24"/>
          <w:lang w:bidi="ar-AE"/>
        </w:rPr>
        <w:t>i</w:t>
      </w:r>
      <w:r w:rsidRPr="006B7B9B">
        <w:rPr>
          <w:rFonts w:ascii="Times New Roman" w:hAnsi="Times New Roman" w:cstheme="majorBidi"/>
          <w:sz w:val="24"/>
          <w:szCs w:val="24"/>
          <w:lang w:bidi="ar-AE"/>
        </w:rPr>
        <w:t>lmiyya, Beyrouth, 2</w:t>
      </w:r>
      <w:r w:rsidRPr="006B7B9B">
        <w:rPr>
          <w:rFonts w:ascii="Times New Roman" w:hAnsi="Times New Roman" w:cstheme="majorBidi"/>
          <w:sz w:val="24"/>
          <w:szCs w:val="24"/>
          <w:vertAlign w:val="superscript"/>
          <w:lang w:bidi="ar-AE"/>
        </w:rPr>
        <w:t>e</w:t>
      </w:r>
      <w:r w:rsidRPr="006B7B9B">
        <w:rPr>
          <w:rFonts w:ascii="Times New Roman" w:hAnsi="Times New Roman" w:cstheme="majorBidi"/>
          <w:sz w:val="24"/>
          <w:szCs w:val="24"/>
          <w:lang w:bidi="ar-AE"/>
        </w:rPr>
        <w:t xml:space="preserve"> é</w:t>
      </w:r>
      <w:r>
        <w:rPr>
          <w:rFonts w:ascii="Times New Roman" w:hAnsi="Times New Roman" w:cstheme="majorBidi"/>
          <w:sz w:val="24"/>
          <w:szCs w:val="24"/>
          <w:lang w:bidi="ar-AE"/>
        </w:rPr>
        <w:t>d.</w:t>
      </w:r>
      <w:r w:rsidRPr="006B7B9B">
        <w:rPr>
          <w:rFonts w:ascii="Times New Roman" w:hAnsi="Times New Roman" w:cstheme="majorBidi"/>
          <w:sz w:val="24"/>
          <w:szCs w:val="24"/>
          <w:lang w:bidi="ar-AE"/>
        </w:rPr>
        <w:t> ;</w:t>
      </w:r>
    </w:p>
    <w:p w14:paraId="6BBCEB76" w14:textId="577C0F6A" w:rsidR="007214B1" w:rsidRPr="006B7B9B" w:rsidRDefault="007214B1" w:rsidP="008144FA">
      <w:pPr>
        <w:pStyle w:val="Paragraphedeliste"/>
        <w:numPr>
          <w:ilvl w:val="0"/>
          <w:numId w:val="22"/>
        </w:numPr>
        <w:bidi w:val="0"/>
        <w:spacing w:after="0" w:line="360" w:lineRule="auto"/>
        <w:contextualSpacing/>
        <w:jc w:val="both"/>
        <w:rPr>
          <w:rFonts w:ascii="Times New Roman" w:hAnsi="Times New Roman" w:cstheme="majorBidi"/>
          <w:sz w:val="24"/>
          <w:szCs w:val="24"/>
        </w:rPr>
      </w:pPr>
      <w:r w:rsidRPr="006B7B9B">
        <w:rPr>
          <w:rFonts w:ascii="Times New Roman" w:hAnsi="Times New Roman" w:cstheme="majorBidi"/>
          <w:i/>
          <w:iCs/>
          <w:sz w:val="24"/>
          <w:szCs w:val="24"/>
          <w:lang w:eastAsia="fr-FR" w:bidi="ar-AE"/>
        </w:rPr>
        <w:t>ʾAl-ʿAlawyīūn an-Nuṣayryīūn. Baḥth fī</w:t>
      </w:r>
      <w:r>
        <w:rPr>
          <w:rFonts w:ascii="Times New Roman" w:hAnsi="Times New Roman" w:cstheme="majorBidi"/>
          <w:i/>
          <w:iCs/>
          <w:sz w:val="24"/>
          <w:szCs w:val="24"/>
          <w:lang w:eastAsia="fr-FR" w:bidi="ar-AE"/>
        </w:rPr>
        <w:t xml:space="preserve"> </w:t>
      </w:r>
      <w:r w:rsidRPr="006B7B9B">
        <w:rPr>
          <w:rFonts w:ascii="Times New Roman" w:hAnsi="Times New Roman" w:cstheme="majorBidi"/>
          <w:i/>
          <w:iCs/>
          <w:sz w:val="24"/>
          <w:szCs w:val="24"/>
          <w:lang w:eastAsia="fr-FR" w:bidi="ar-AE"/>
        </w:rPr>
        <w:t xml:space="preserve">l-ʿaqīda wa-t-tārīkh </w:t>
      </w:r>
      <w:r w:rsidRPr="006B7B9B">
        <w:rPr>
          <w:rFonts w:ascii="Times New Roman" w:hAnsi="Times New Roman" w:cstheme="majorBidi"/>
          <w:sz w:val="24"/>
          <w:szCs w:val="24"/>
          <w:lang w:eastAsia="fr-FR" w:bidi="ar-AE"/>
        </w:rPr>
        <w:t>[Les alaouites nusayrites. Un traité dans le dogme et l’histoire], Abū Mūsā Al-Ḥarīrī [Joseph Azzi], série :</w:t>
      </w:r>
      <w:r w:rsidRPr="006B7B9B">
        <w:rPr>
          <w:rFonts w:ascii="Times New Roman" w:hAnsi="Times New Roman" w:cstheme="majorBidi"/>
          <w:sz w:val="24"/>
          <w:szCs w:val="24"/>
        </w:rPr>
        <w:t xml:space="preserve"> </w:t>
      </w:r>
      <w:r w:rsidRPr="006B7B9B">
        <w:rPr>
          <w:rFonts w:ascii="Times New Roman" w:hAnsi="Times New Roman" w:cstheme="majorBidi"/>
          <w:i/>
          <w:iCs/>
          <w:sz w:val="24"/>
          <w:szCs w:val="24"/>
          <w:lang w:eastAsia="fr-FR" w:bidi="ar-AE"/>
        </w:rPr>
        <w:t>Al-</w:t>
      </w:r>
      <w:r>
        <w:rPr>
          <w:rFonts w:ascii="Times New Roman" w:hAnsi="Times New Roman" w:cstheme="majorBidi"/>
          <w:i/>
          <w:iCs/>
          <w:sz w:val="24"/>
          <w:szCs w:val="24"/>
          <w:lang w:eastAsia="fr-FR" w:bidi="ar-AE"/>
        </w:rPr>
        <w:t>Ḥ</w:t>
      </w:r>
      <w:r w:rsidRPr="006B7B9B">
        <w:rPr>
          <w:rFonts w:ascii="Times New Roman" w:hAnsi="Times New Roman" w:cstheme="majorBidi"/>
          <w:i/>
          <w:iCs/>
          <w:sz w:val="24"/>
          <w:szCs w:val="24"/>
          <w:lang w:eastAsia="fr-FR" w:bidi="ar-AE"/>
        </w:rPr>
        <w:t xml:space="preserve">aqīqa </w:t>
      </w:r>
      <w:r>
        <w:rPr>
          <w:rFonts w:ascii="Times New Roman" w:hAnsi="Times New Roman" w:cstheme="majorBidi"/>
          <w:i/>
          <w:iCs/>
          <w:sz w:val="24"/>
          <w:szCs w:val="24"/>
          <w:lang w:eastAsia="fr-FR" w:bidi="ar-AE"/>
        </w:rPr>
        <w:t>a</w:t>
      </w:r>
      <w:r w:rsidRPr="006B7B9B">
        <w:rPr>
          <w:rFonts w:ascii="Times New Roman" w:hAnsi="Times New Roman" w:cstheme="majorBidi"/>
          <w:i/>
          <w:iCs/>
          <w:sz w:val="24"/>
          <w:szCs w:val="24"/>
          <w:lang w:eastAsia="fr-FR" w:bidi="ar-AE"/>
        </w:rPr>
        <w:t>ṣ-</w:t>
      </w:r>
      <w:r>
        <w:rPr>
          <w:rFonts w:ascii="Times New Roman" w:hAnsi="Times New Roman" w:cstheme="majorBidi"/>
          <w:i/>
          <w:iCs/>
          <w:sz w:val="24"/>
          <w:szCs w:val="24"/>
          <w:lang w:eastAsia="fr-FR" w:bidi="ar-AE"/>
        </w:rPr>
        <w:t>s</w:t>
      </w:r>
      <w:r w:rsidRPr="006B7B9B">
        <w:rPr>
          <w:rFonts w:ascii="Times New Roman" w:hAnsi="Times New Roman" w:cstheme="majorBidi"/>
          <w:i/>
          <w:iCs/>
          <w:sz w:val="24"/>
          <w:szCs w:val="24"/>
          <w:lang w:eastAsia="fr-FR" w:bidi="ar-AE"/>
        </w:rPr>
        <w:t xml:space="preserve">aʿba </w:t>
      </w:r>
      <w:r w:rsidRPr="006B7B9B">
        <w:rPr>
          <w:rFonts w:ascii="Times New Roman" w:hAnsi="Times New Roman" w:cstheme="majorBidi"/>
          <w:sz w:val="24"/>
          <w:szCs w:val="24"/>
          <w:lang w:eastAsia="fr-FR" w:bidi="ar-AE"/>
        </w:rPr>
        <w:t>[la vérité difficile à trouver]</w:t>
      </w:r>
      <w:r>
        <w:rPr>
          <w:rFonts w:ascii="Times New Roman" w:hAnsi="Times New Roman" w:cstheme="majorBidi"/>
          <w:sz w:val="24"/>
          <w:szCs w:val="24"/>
          <w:lang w:eastAsia="fr-FR" w:bidi="ar-AE"/>
        </w:rPr>
        <w:t xml:space="preserve">, Dār Li-Ajl al-Maʿrifa, </w:t>
      </w:r>
      <w:r w:rsidRPr="006B7B9B">
        <w:rPr>
          <w:rFonts w:ascii="Times New Roman" w:hAnsi="Times New Roman" w:cstheme="majorBidi"/>
          <w:sz w:val="24"/>
          <w:szCs w:val="24"/>
          <w:lang w:eastAsia="fr-FR" w:bidi="ar-AE"/>
        </w:rPr>
        <w:t>Beyrouth, 1984</w:t>
      </w:r>
      <w:r>
        <w:rPr>
          <w:rFonts w:ascii="Times New Roman" w:hAnsi="Times New Roman" w:cstheme="majorBidi"/>
          <w:sz w:val="24"/>
          <w:szCs w:val="24"/>
          <w:lang w:eastAsia="fr-FR" w:bidi="ar-AE"/>
        </w:rPr>
        <w:t xml:space="preserve"> (2</w:t>
      </w:r>
      <w:r w:rsidRPr="006B7B9B">
        <w:rPr>
          <w:rFonts w:ascii="Times New Roman" w:hAnsi="Times New Roman" w:cstheme="majorBidi"/>
          <w:sz w:val="24"/>
          <w:szCs w:val="24"/>
          <w:vertAlign w:val="superscript"/>
          <w:lang w:eastAsia="fr-FR" w:bidi="ar-AE"/>
        </w:rPr>
        <w:t>e</w:t>
      </w:r>
      <w:r>
        <w:rPr>
          <w:rFonts w:ascii="Times New Roman" w:hAnsi="Times New Roman" w:cstheme="majorBidi"/>
          <w:sz w:val="24"/>
          <w:szCs w:val="24"/>
          <w:lang w:eastAsia="fr-FR" w:bidi="ar-AE"/>
        </w:rPr>
        <w:t xml:space="preserve"> éd.)</w:t>
      </w:r>
      <w:r w:rsidRPr="006B7B9B">
        <w:rPr>
          <w:rFonts w:ascii="Times New Roman" w:hAnsi="Times New Roman" w:cstheme="majorBidi"/>
          <w:sz w:val="24"/>
          <w:szCs w:val="24"/>
          <w:lang w:eastAsia="fr-FR" w:bidi="ar-AE"/>
        </w:rPr>
        <w:t> </w:t>
      </w:r>
      <w:r w:rsidRPr="006B7B9B">
        <w:rPr>
          <w:rFonts w:ascii="Times New Roman" w:hAnsi="Times New Roman" w:cstheme="majorBidi"/>
          <w:sz w:val="24"/>
          <w:szCs w:val="24"/>
        </w:rPr>
        <w:t>;</w:t>
      </w:r>
    </w:p>
    <w:p w14:paraId="49A2109E" w14:textId="77777777" w:rsidR="007214B1" w:rsidRPr="00ED4E99" w:rsidRDefault="007214B1" w:rsidP="007640DC">
      <w:pPr>
        <w:pStyle w:val="Paragraphedeliste"/>
        <w:numPr>
          <w:ilvl w:val="0"/>
          <w:numId w:val="22"/>
        </w:numPr>
        <w:bidi w:val="0"/>
        <w:spacing w:after="0" w:line="360" w:lineRule="auto"/>
        <w:contextualSpacing/>
        <w:jc w:val="both"/>
        <w:rPr>
          <w:rFonts w:ascii="Times New Roman" w:hAnsi="Times New Roman" w:cstheme="majorBidi"/>
          <w:sz w:val="24"/>
          <w:szCs w:val="24"/>
        </w:rPr>
      </w:pPr>
      <w:r>
        <w:rPr>
          <w:rFonts w:ascii="Times New Roman" w:hAnsi="Times New Roman" w:cstheme="majorBidi"/>
          <w:i/>
          <w:iCs/>
          <w:sz w:val="24"/>
          <w:szCs w:val="24"/>
          <w:lang w:eastAsia="fr-FR" w:bidi="ar-AE"/>
        </w:rPr>
        <w:t>Al-ʿAlawiyyūn bayn al-</w:t>
      </w:r>
      <w:r w:rsidRPr="006B7B9B">
        <w:rPr>
          <w:rFonts w:ascii="Times New Roman" w:hAnsi="Times New Roman" w:cstheme="majorBidi"/>
          <w:i/>
          <w:iCs/>
          <w:sz w:val="24"/>
          <w:szCs w:val="24"/>
          <w:lang w:eastAsia="fr-FR" w:bidi="ar-AE"/>
        </w:rPr>
        <w:t xml:space="preserve">usṭūra wa-l-ḥaqīqa </w:t>
      </w:r>
      <w:r w:rsidRPr="006B7B9B">
        <w:rPr>
          <w:rFonts w:ascii="Times New Roman" w:hAnsi="Times New Roman" w:cstheme="majorBidi"/>
          <w:sz w:val="24"/>
          <w:szCs w:val="24"/>
          <w:lang w:eastAsia="fr-FR" w:bidi="ar-AE"/>
        </w:rPr>
        <w:t>[</w:t>
      </w:r>
      <w:r>
        <w:rPr>
          <w:rFonts w:ascii="Times New Roman" w:hAnsi="Times New Roman" w:cstheme="majorBidi"/>
          <w:sz w:val="24"/>
          <w:szCs w:val="24"/>
          <w:lang w:eastAsia="fr-FR" w:bidi="ar-AE"/>
        </w:rPr>
        <w:t>Les alaouites entre</w:t>
      </w:r>
      <w:r w:rsidRPr="006B7B9B">
        <w:rPr>
          <w:rFonts w:ascii="Times New Roman" w:hAnsi="Times New Roman" w:cstheme="majorBidi"/>
          <w:sz w:val="24"/>
          <w:szCs w:val="24"/>
          <w:lang w:eastAsia="fr-FR" w:bidi="ar-AE"/>
        </w:rPr>
        <w:t xml:space="preserve"> mythe e</w:t>
      </w:r>
      <w:r>
        <w:rPr>
          <w:rFonts w:ascii="Times New Roman" w:hAnsi="Times New Roman" w:cstheme="majorBidi"/>
          <w:sz w:val="24"/>
          <w:szCs w:val="24"/>
          <w:lang w:eastAsia="fr-FR" w:bidi="ar-AE"/>
        </w:rPr>
        <w:t xml:space="preserve">t </w:t>
      </w:r>
      <w:r w:rsidRPr="006B7B9B">
        <w:rPr>
          <w:rFonts w:ascii="Times New Roman" w:hAnsi="Times New Roman" w:cstheme="majorBidi"/>
          <w:sz w:val="24"/>
          <w:szCs w:val="24"/>
          <w:lang w:eastAsia="fr-FR" w:bidi="ar-AE"/>
        </w:rPr>
        <w:t>vérité], Hāshim ʿUthmān,</w:t>
      </w:r>
      <w:r>
        <w:rPr>
          <w:rFonts w:ascii="Times New Roman" w:hAnsi="Times New Roman" w:cstheme="majorBidi"/>
          <w:sz w:val="24"/>
          <w:szCs w:val="24"/>
          <w:lang w:eastAsia="fr-FR" w:bidi="ar-AE"/>
        </w:rPr>
        <w:t xml:space="preserve"> Muʾassasat al-</w:t>
      </w:r>
      <w:r w:rsidRPr="006B7B9B">
        <w:rPr>
          <w:rFonts w:ascii="Times New Roman" w:hAnsi="Times New Roman" w:cstheme="majorBidi"/>
          <w:sz w:val="24"/>
          <w:szCs w:val="24"/>
          <w:lang w:eastAsia="fr-FR" w:bidi="ar-AE"/>
        </w:rPr>
        <w:t xml:space="preserve">Aʿlamī, </w:t>
      </w:r>
      <w:r w:rsidRPr="00ED4E99">
        <w:rPr>
          <w:rFonts w:ascii="Times New Roman" w:hAnsi="Times New Roman" w:cstheme="majorBidi"/>
          <w:sz w:val="24"/>
          <w:szCs w:val="24"/>
          <w:lang w:eastAsia="fr-FR" w:bidi="ar-AE"/>
        </w:rPr>
        <w:t>Beyrouth, 1985 (2</w:t>
      </w:r>
      <w:r w:rsidRPr="00ED4E99">
        <w:rPr>
          <w:rFonts w:ascii="Times New Roman" w:hAnsi="Times New Roman" w:cstheme="majorBidi"/>
          <w:sz w:val="24"/>
          <w:szCs w:val="24"/>
          <w:vertAlign w:val="superscript"/>
          <w:lang w:eastAsia="fr-FR" w:bidi="ar-AE"/>
        </w:rPr>
        <w:t>e</w:t>
      </w:r>
      <w:r w:rsidRPr="00ED4E99">
        <w:rPr>
          <w:rFonts w:ascii="Times New Roman" w:hAnsi="Times New Roman" w:cstheme="majorBidi"/>
          <w:sz w:val="24"/>
          <w:szCs w:val="24"/>
          <w:lang w:eastAsia="fr-FR" w:bidi="ar-AE"/>
        </w:rPr>
        <w:t xml:space="preserve"> éd.) </w:t>
      </w:r>
      <w:r w:rsidRPr="00ED4E99">
        <w:rPr>
          <w:rFonts w:ascii="Times New Roman" w:hAnsi="Times New Roman" w:cstheme="majorBidi"/>
          <w:sz w:val="24"/>
          <w:szCs w:val="24"/>
        </w:rPr>
        <w:t>;</w:t>
      </w:r>
    </w:p>
    <w:p w14:paraId="696455E3" w14:textId="4D682B86" w:rsidR="007214B1" w:rsidRPr="00ED4E99" w:rsidRDefault="007214B1" w:rsidP="008144FA">
      <w:pPr>
        <w:pStyle w:val="Paragraphedeliste"/>
        <w:numPr>
          <w:ilvl w:val="0"/>
          <w:numId w:val="22"/>
        </w:numPr>
        <w:bidi w:val="0"/>
        <w:spacing w:after="0" w:line="360" w:lineRule="auto"/>
        <w:contextualSpacing/>
        <w:jc w:val="both"/>
        <w:rPr>
          <w:rFonts w:ascii="Times New Roman" w:hAnsi="Times New Roman" w:cstheme="majorBidi"/>
          <w:sz w:val="24"/>
          <w:szCs w:val="24"/>
        </w:rPr>
      </w:pPr>
      <w:r w:rsidRPr="00ED4E99">
        <w:rPr>
          <w:rFonts w:ascii="Times New Roman" w:hAnsi="Times New Roman" w:cstheme="majorBidi"/>
          <w:i/>
          <w:iCs/>
          <w:sz w:val="24"/>
          <w:szCs w:val="24"/>
          <w:lang w:eastAsia="fr-FR" w:bidi="ar-AE"/>
        </w:rPr>
        <w:t>An-Nuṣayrīya</w:t>
      </w:r>
      <w:r w:rsidRPr="00ED4E99">
        <w:rPr>
          <w:rFonts w:ascii="Times New Roman" w:hAnsi="Times New Roman" w:cstheme="majorBidi"/>
          <w:sz w:val="24"/>
          <w:szCs w:val="24"/>
          <w:lang w:eastAsia="fr-FR" w:bidi="ar-AE"/>
        </w:rPr>
        <w:t>, ʿAbd ar-Raḥmān Badawī, Dār al-ʿilm li-l-malāyīn, Beyrouth, 1973 </w:t>
      </w:r>
      <w:r w:rsidRPr="00ED4E99">
        <w:rPr>
          <w:rFonts w:ascii="Times New Roman" w:hAnsi="Times New Roman" w:cstheme="majorBidi"/>
          <w:sz w:val="24"/>
          <w:szCs w:val="24"/>
        </w:rPr>
        <w:t>;</w:t>
      </w:r>
    </w:p>
    <w:p w14:paraId="493FD329" w14:textId="77777777" w:rsidR="007214B1" w:rsidRPr="00ED4E99" w:rsidRDefault="007214B1" w:rsidP="007640DC">
      <w:pPr>
        <w:pStyle w:val="Paragraphedeliste"/>
        <w:numPr>
          <w:ilvl w:val="0"/>
          <w:numId w:val="22"/>
        </w:numPr>
        <w:bidi w:val="0"/>
        <w:spacing w:after="0" w:line="360" w:lineRule="auto"/>
        <w:contextualSpacing/>
        <w:jc w:val="both"/>
        <w:rPr>
          <w:rFonts w:ascii="Times New Roman" w:hAnsi="Times New Roman" w:cstheme="majorBidi"/>
          <w:sz w:val="24"/>
          <w:szCs w:val="24"/>
        </w:rPr>
      </w:pPr>
      <w:r w:rsidRPr="00ED4E99">
        <w:rPr>
          <w:rFonts w:ascii="Times New Roman" w:hAnsi="Times New Roman" w:cstheme="majorBidi"/>
          <w:i/>
          <w:iCs/>
          <w:sz w:val="24"/>
          <w:szCs w:val="24"/>
          <w:lang w:bidi="ar-AE"/>
        </w:rPr>
        <w:t>At-taqammuṣ wa-asrār al-ḥayāt wa-l-mawt</w:t>
      </w:r>
      <w:r w:rsidRPr="00ED4E99">
        <w:rPr>
          <w:rFonts w:ascii="Times New Roman" w:hAnsi="Times New Roman" w:cstheme="majorBidi"/>
          <w:sz w:val="24"/>
          <w:szCs w:val="24"/>
        </w:rPr>
        <w:t xml:space="preserve"> [</w:t>
      </w:r>
      <w:r w:rsidRPr="00ED4E99">
        <w:rPr>
          <w:rFonts w:ascii="Times New Roman" w:hAnsi="Times New Roman" w:cstheme="majorBidi"/>
          <w:i/>
          <w:iCs/>
          <w:sz w:val="24"/>
          <w:szCs w:val="24"/>
        </w:rPr>
        <w:t>La réincarnation et les secrets de la vie et de la mort</w:t>
      </w:r>
      <w:r w:rsidRPr="00ED4E99">
        <w:rPr>
          <w:rFonts w:ascii="Times New Roman" w:hAnsi="Times New Roman" w:cstheme="majorBidi"/>
          <w:sz w:val="24"/>
          <w:szCs w:val="24"/>
        </w:rPr>
        <w:t xml:space="preserve">], </w:t>
      </w:r>
      <w:r w:rsidRPr="00ED4E99">
        <w:rPr>
          <w:rFonts w:ascii="Times New Roman" w:hAnsi="Times New Roman" w:cstheme="majorBidi"/>
          <w:sz w:val="24"/>
          <w:szCs w:val="24"/>
          <w:lang w:bidi="ar-AE"/>
        </w:rPr>
        <w:t>Muḥammad Khalīl</w:t>
      </w:r>
      <w:r w:rsidRPr="00ED4E99">
        <w:rPr>
          <w:rFonts w:ascii="Times New Roman" w:hAnsi="Times New Roman" w:cstheme="majorBidi"/>
          <w:sz w:val="24"/>
          <w:szCs w:val="24"/>
        </w:rPr>
        <w:t xml:space="preserve"> </w:t>
      </w:r>
      <w:r w:rsidRPr="00ED4E99">
        <w:rPr>
          <w:rFonts w:ascii="Times New Roman" w:hAnsi="Times New Roman" w:cstheme="majorBidi"/>
          <w:sz w:val="24"/>
          <w:szCs w:val="24"/>
          <w:lang w:bidi="ar-AE"/>
        </w:rPr>
        <w:t xml:space="preserve">Al-Bāshā, </w:t>
      </w:r>
      <w:r w:rsidRPr="00ED4E99">
        <w:rPr>
          <w:rFonts w:ascii="Times New Roman" w:hAnsi="Times New Roman" w:cstheme="majorBidi"/>
          <w:sz w:val="24"/>
          <w:szCs w:val="24"/>
        </w:rPr>
        <w:t>Muʾassasat Nawfal, Beyrouth, 1982 ;</w:t>
      </w:r>
    </w:p>
    <w:p w14:paraId="3094A2BD" w14:textId="77777777" w:rsidR="007214B1" w:rsidRPr="006B7B9B" w:rsidRDefault="007214B1" w:rsidP="007640DC">
      <w:pPr>
        <w:pStyle w:val="Paragraphedeliste"/>
        <w:numPr>
          <w:ilvl w:val="0"/>
          <w:numId w:val="22"/>
        </w:numPr>
        <w:bidi w:val="0"/>
        <w:spacing w:after="0" w:line="360" w:lineRule="auto"/>
        <w:contextualSpacing/>
        <w:jc w:val="both"/>
        <w:rPr>
          <w:rFonts w:ascii="Times New Roman" w:hAnsi="Times New Roman" w:cstheme="majorBidi"/>
          <w:sz w:val="24"/>
          <w:szCs w:val="24"/>
        </w:rPr>
      </w:pPr>
      <w:r w:rsidRPr="00ED4E99">
        <w:rPr>
          <w:rFonts w:ascii="Times New Roman" w:hAnsi="Times New Roman" w:cstheme="majorBidi"/>
          <w:i/>
          <w:iCs/>
          <w:sz w:val="24"/>
          <w:szCs w:val="24"/>
        </w:rPr>
        <w:t>Al-insān wa-taqallubātu-hu fi l-āfāq</w:t>
      </w:r>
      <w:r w:rsidRPr="00ED4E99">
        <w:rPr>
          <w:rFonts w:ascii="Times New Roman" w:hAnsi="Times New Roman" w:cstheme="majorBidi"/>
          <w:sz w:val="24"/>
          <w:szCs w:val="24"/>
        </w:rPr>
        <w:t xml:space="preserve"> [</w:t>
      </w:r>
      <w:r w:rsidRPr="00ED4E99">
        <w:rPr>
          <w:rFonts w:ascii="Times New Roman" w:hAnsi="Times New Roman" w:cstheme="majorBidi"/>
          <w:i/>
          <w:iCs/>
          <w:sz w:val="24"/>
          <w:szCs w:val="24"/>
        </w:rPr>
        <w:t>L’être humain et ses mutabilités</w:t>
      </w:r>
      <w:r w:rsidRPr="006B7B9B">
        <w:rPr>
          <w:rFonts w:ascii="Times New Roman" w:hAnsi="Times New Roman" w:cstheme="majorBidi"/>
          <w:i/>
          <w:iCs/>
          <w:sz w:val="24"/>
          <w:szCs w:val="24"/>
        </w:rPr>
        <w:t xml:space="preserve"> dans les horizons</w:t>
      </w:r>
      <w:r w:rsidRPr="006B7B9B">
        <w:rPr>
          <w:rFonts w:ascii="Times New Roman" w:hAnsi="Times New Roman" w:cstheme="majorBidi"/>
          <w:sz w:val="24"/>
          <w:szCs w:val="24"/>
        </w:rPr>
        <w:t xml:space="preserve"> [</w:t>
      </w:r>
      <w:r w:rsidRPr="006B7B9B">
        <w:rPr>
          <w:rFonts w:ascii="Times New Roman" w:hAnsi="Times New Roman" w:cstheme="majorBidi"/>
          <w:i/>
          <w:iCs/>
          <w:sz w:val="24"/>
          <w:szCs w:val="24"/>
        </w:rPr>
        <w:t>les lieux</w:t>
      </w:r>
      <w:r w:rsidRPr="006B7B9B">
        <w:rPr>
          <w:rFonts w:ascii="Times New Roman" w:hAnsi="Times New Roman" w:cstheme="majorBidi"/>
          <w:sz w:val="24"/>
          <w:szCs w:val="24"/>
        </w:rPr>
        <w:t xml:space="preserve">]], Muḥammad Khalīl Al-Bāshā, Dār </w:t>
      </w:r>
      <w:r>
        <w:rPr>
          <w:rFonts w:ascii="Times New Roman" w:hAnsi="Times New Roman" w:cstheme="majorBidi"/>
          <w:sz w:val="24"/>
          <w:szCs w:val="24"/>
        </w:rPr>
        <w:t>Naw</w:t>
      </w:r>
      <w:r w:rsidRPr="006B7B9B">
        <w:rPr>
          <w:rFonts w:ascii="Times New Roman" w:hAnsi="Times New Roman" w:cstheme="majorBidi"/>
          <w:sz w:val="24"/>
          <w:szCs w:val="24"/>
        </w:rPr>
        <w:t>fal, Beyrouth, 1994 ;</w:t>
      </w:r>
    </w:p>
    <w:p w14:paraId="5133F424" w14:textId="77777777" w:rsidR="007214B1" w:rsidRPr="003D3D80" w:rsidRDefault="007214B1" w:rsidP="007640DC">
      <w:pPr>
        <w:pStyle w:val="Paragraphedeliste"/>
        <w:numPr>
          <w:ilvl w:val="0"/>
          <w:numId w:val="22"/>
        </w:numPr>
        <w:bidi w:val="0"/>
        <w:spacing w:after="0" w:line="360" w:lineRule="auto"/>
        <w:contextualSpacing/>
        <w:jc w:val="both"/>
        <w:rPr>
          <w:rFonts w:ascii="Times New Roman" w:hAnsi="Times New Roman" w:cstheme="majorBidi"/>
          <w:sz w:val="24"/>
          <w:szCs w:val="24"/>
        </w:rPr>
      </w:pPr>
      <w:r>
        <w:rPr>
          <w:rFonts w:ascii="Times New Roman" w:hAnsi="Times New Roman" w:cstheme="majorBidi"/>
          <w:i/>
          <w:iCs/>
          <w:sz w:val="24"/>
          <w:szCs w:val="24"/>
        </w:rPr>
        <w:t>Islām a</w:t>
      </w:r>
      <w:r w:rsidRPr="006B7B9B">
        <w:rPr>
          <w:rFonts w:ascii="Times New Roman" w:hAnsi="Times New Roman" w:cstheme="majorBidi"/>
          <w:i/>
          <w:iCs/>
          <w:sz w:val="24"/>
          <w:szCs w:val="24"/>
        </w:rPr>
        <w:t>l-M</w:t>
      </w:r>
      <w:r>
        <w:rPr>
          <w:rFonts w:ascii="Times New Roman" w:hAnsi="Times New Roman" w:cstheme="majorBidi"/>
          <w:i/>
          <w:iCs/>
          <w:sz w:val="24"/>
          <w:szCs w:val="24"/>
        </w:rPr>
        <w:t>u</w:t>
      </w:r>
      <w:r w:rsidRPr="006B7B9B">
        <w:rPr>
          <w:rFonts w:ascii="Times New Roman" w:hAnsi="Times New Roman" w:cstheme="majorBidi"/>
          <w:i/>
          <w:iCs/>
          <w:sz w:val="24"/>
          <w:szCs w:val="24"/>
        </w:rPr>
        <w:t xml:space="preserve">waḥḥidīn </w:t>
      </w:r>
      <w:r w:rsidRPr="006B7B9B">
        <w:rPr>
          <w:rFonts w:ascii="Times New Roman" w:hAnsi="Times New Roman" w:cstheme="majorBidi"/>
          <w:sz w:val="24"/>
          <w:szCs w:val="24"/>
        </w:rPr>
        <w:t>[</w:t>
      </w:r>
      <w:r w:rsidRPr="006B7B9B">
        <w:rPr>
          <w:rFonts w:ascii="Times New Roman" w:hAnsi="Times New Roman" w:cstheme="majorBidi"/>
          <w:i/>
          <w:iCs/>
          <w:sz w:val="24"/>
          <w:szCs w:val="24"/>
        </w:rPr>
        <w:t xml:space="preserve">L’islam des Monothéistes </w:t>
      </w:r>
      <w:r w:rsidRPr="006B7B9B">
        <w:rPr>
          <w:rFonts w:ascii="Times New Roman" w:hAnsi="Times New Roman" w:cstheme="majorBidi"/>
          <w:sz w:val="24"/>
          <w:szCs w:val="24"/>
        </w:rPr>
        <w:t>(=</w:t>
      </w:r>
      <w:r w:rsidRPr="006B7B9B">
        <w:rPr>
          <w:rFonts w:ascii="Times New Roman" w:hAnsi="Times New Roman" w:cstheme="majorBidi"/>
          <w:i/>
          <w:iCs/>
          <w:sz w:val="24"/>
          <w:szCs w:val="24"/>
        </w:rPr>
        <w:t>Druzes</w:t>
      </w:r>
      <w:r w:rsidRPr="006B7B9B">
        <w:rPr>
          <w:rFonts w:ascii="Times New Roman" w:hAnsi="Times New Roman" w:cstheme="majorBidi"/>
          <w:sz w:val="24"/>
          <w:szCs w:val="24"/>
        </w:rPr>
        <w:t>)]</w:t>
      </w:r>
      <w:r>
        <w:rPr>
          <w:rFonts w:ascii="Times New Roman" w:hAnsi="Times New Roman" w:cstheme="majorBidi"/>
          <w:sz w:val="24"/>
          <w:szCs w:val="24"/>
        </w:rPr>
        <w:t>, Anwar Fu</w:t>
      </w:r>
      <w:r w:rsidRPr="006B7B9B">
        <w:rPr>
          <w:rFonts w:ascii="Times New Roman" w:hAnsi="Times New Roman" w:cstheme="majorBidi"/>
          <w:sz w:val="24"/>
          <w:szCs w:val="24"/>
        </w:rPr>
        <w:t>ʾād Abū Kh</w:t>
      </w:r>
      <w:r>
        <w:rPr>
          <w:rFonts w:ascii="Times New Roman" w:hAnsi="Times New Roman" w:cstheme="majorBidi"/>
          <w:sz w:val="24"/>
          <w:szCs w:val="24"/>
        </w:rPr>
        <w:t>u</w:t>
      </w:r>
      <w:r w:rsidRPr="006B7B9B">
        <w:rPr>
          <w:rFonts w:ascii="Times New Roman" w:hAnsi="Times New Roman" w:cstheme="majorBidi"/>
          <w:sz w:val="24"/>
          <w:szCs w:val="24"/>
        </w:rPr>
        <w:t>zām, Dār al-Yamāma, Beyrouth, 1995.</w:t>
      </w:r>
    </w:p>
    <w:p w14:paraId="5129EDDB" w14:textId="77777777" w:rsidR="007214B1" w:rsidRPr="00861EF5" w:rsidRDefault="007214B1" w:rsidP="007214B1">
      <w:pPr>
        <w:spacing w:line="360" w:lineRule="auto"/>
        <w:jc w:val="both"/>
      </w:pPr>
      <w:r w:rsidRPr="006B7B9B">
        <w:br w:type="page"/>
      </w:r>
    </w:p>
    <w:p w14:paraId="5096D029" w14:textId="33A1D781" w:rsidR="007214B1" w:rsidRPr="00B20FFE" w:rsidRDefault="00B20FFE" w:rsidP="00B20FFE">
      <w:pPr>
        <w:spacing w:line="360" w:lineRule="auto"/>
        <w:contextualSpacing/>
        <w:jc w:val="both"/>
        <w:rPr>
          <w:b/>
          <w:bCs/>
          <w:lang w:bidi="ar-AE"/>
        </w:rPr>
      </w:pPr>
      <w:r w:rsidRPr="00B20FFE">
        <w:rPr>
          <w:rFonts w:asciiTheme="majorBidi" w:hAnsiTheme="majorBidi" w:cstheme="majorBidi"/>
          <w:b/>
          <w:bCs/>
        </w:rPr>
        <w:lastRenderedPageBreak/>
        <w:t>3.2. La polysémie pronominale</w:t>
      </w:r>
      <w:r w:rsidR="00D0716B">
        <w:rPr>
          <w:rFonts w:asciiTheme="majorBidi" w:hAnsiTheme="majorBidi" w:cstheme="majorBidi"/>
          <w:b/>
          <w:bCs/>
        </w:rPr>
        <w:t xml:space="preserve"> du texte arabe</w:t>
      </w:r>
      <w:r w:rsidRPr="00B20FFE">
        <w:rPr>
          <w:rFonts w:asciiTheme="majorBidi" w:hAnsiTheme="majorBidi" w:cstheme="majorBidi"/>
          <w:b/>
          <w:bCs/>
        </w:rPr>
        <w:t> :</w:t>
      </w:r>
    </w:p>
    <w:p w14:paraId="44BC9A6C" w14:textId="77777777" w:rsidR="007214B1" w:rsidRPr="00861EF5" w:rsidRDefault="007214B1" w:rsidP="007214B1">
      <w:pPr>
        <w:spacing w:line="360" w:lineRule="auto"/>
        <w:jc w:val="both"/>
        <w:rPr>
          <w:lang w:bidi="ar-AE"/>
        </w:rPr>
      </w:pPr>
    </w:p>
    <w:p w14:paraId="127CFFCC" w14:textId="77777777" w:rsidR="007214B1" w:rsidRPr="00861EF5" w:rsidRDefault="007214B1" w:rsidP="007214B1">
      <w:pPr>
        <w:spacing w:line="360" w:lineRule="auto"/>
        <w:ind w:firstLine="426"/>
        <w:jc w:val="both"/>
        <w:outlineLvl w:val="0"/>
        <w:rPr>
          <w:lang w:bidi="ar-AE"/>
        </w:rPr>
      </w:pPr>
      <w:r w:rsidRPr="00861EF5">
        <w:rPr>
          <w:lang w:bidi="ar-AE"/>
        </w:rPr>
        <w:t>Nous allons voir quelques exemples sur des pronoms vagues et polysémiques.</w:t>
      </w:r>
    </w:p>
    <w:p w14:paraId="606DF16D" w14:textId="77777777" w:rsidR="007214B1" w:rsidRPr="0019747A" w:rsidRDefault="007214B1" w:rsidP="007214B1">
      <w:pPr>
        <w:spacing w:line="360" w:lineRule="auto"/>
        <w:ind w:firstLine="426"/>
        <w:jc w:val="both"/>
        <w:rPr>
          <w:lang w:bidi="ar-AE"/>
        </w:rPr>
      </w:pPr>
    </w:p>
    <w:p w14:paraId="74D3C4E7" w14:textId="77777777" w:rsidR="007214B1" w:rsidRPr="0019747A" w:rsidRDefault="007214B1" w:rsidP="007214B1">
      <w:pPr>
        <w:spacing w:line="360" w:lineRule="auto"/>
        <w:ind w:firstLine="426"/>
        <w:jc w:val="both"/>
        <w:rPr>
          <w:rFonts w:eastAsia="Times New Roman"/>
          <w:lang w:bidi="ar-EG"/>
        </w:rPr>
      </w:pPr>
      <w:r w:rsidRPr="0019747A">
        <w:rPr>
          <w:rFonts w:eastAsia="Times New Roman"/>
          <w:lang w:bidi="ar-EG"/>
        </w:rPr>
        <w:t xml:space="preserve">Dans le verbe </w:t>
      </w:r>
      <w:r w:rsidRPr="0019747A">
        <w:rPr>
          <w:rFonts w:eastAsia="Times New Roman"/>
          <w:i/>
          <w:iCs/>
          <w:lang w:bidi="ar-EG"/>
        </w:rPr>
        <w:t>tarawna-</w:t>
      </w:r>
      <w:r w:rsidRPr="0019747A">
        <w:rPr>
          <w:rFonts w:eastAsia="Times New Roman"/>
          <w:b/>
          <w:bCs/>
          <w:i/>
          <w:iCs/>
          <w:lang w:bidi="ar-EG"/>
        </w:rPr>
        <w:t>hā</w:t>
      </w:r>
      <w:r w:rsidRPr="0019747A">
        <w:rPr>
          <w:rFonts w:eastAsia="Times New Roman"/>
          <w:lang w:bidi="ar-EG"/>
        </w:rPr>
        <w:t xml:space="preserve"> [vous </w:t>
      </w:r>
      <w:r w:rsidRPr="0019747A">
        <w:rPr>
          <w:rFonts w:eastAsia="Times New Roman"/>
          <w:b/>
          <w:bCs/>
          <w:i/>
          <w:iCs/>
          <w:lang w:bidi="ar-EG"/>
        </w:rPr>
        <w:t>la</w:t>
      </w:r>
      <w:r w:rsidRPr="0019747A">
        <w:rPr>
          <w:rFonts w:eastAsia="Times New Roman"/>
          <w:lang w:bidi="ar-EG"/>
        </w:rPr>
        <w:t xml:space="preserve"> verrez] (verset 2), Ibn Kathīr souligne que le pronom </w:t>
      </w:r>
      <w:r w:rsidRPr="0019747A">
        <w:rPr>
          <w:rFonts w:eastAsia="Times New Roman"/>
          <w:i/>
          <w:iCs/>
          <w:lang w:bidi="ar-EG"/>
        </w:rPr>
        <w:t>clitique</w:t>
      </w:r>
      <w:r w:rsidRPr="0019747A">
        <w:rPr>
          <w:rFonts w:eastAsia="Times New Roman"/>
          <w:lang w:bidi="ar-EG"/>
        </w:rPr>
        <w:t xml:space="preserve"> (C.O.D.) -</w:t>
      </w:r>
      <w:r w:rsidRPr="0019747A">
        <w:rPr>
          <w:rFonts w:eastAsia="Times New Roman"/>
          <w:b/>
          <w:bCs/>
          <w:i/>
          <w:iCs/>
          <w:lang w:bidi="ar-EG"/>
        </w:rPr>
        <w:t>hā</w:t>
      </w:r>
      <w:r w:rsidRPr="0019747A">
        <w:rPr>
          <w:rFonts w:eastAsia="Times New Roman"/>
          <w:lang w:bidi="ar-EG"/>
        </w:rPr>
        <w:t xml:space="preserve"> est un pronom </w:t>
      </w:r>
      <w:r w:rsidRPr="0019747A">
        <w:rPr>
          <w:rFonts w:eastAsia="Times New Roman"/>
          <w:i/>
          <w:iCs/>
          <w:lang w:bidi="ar-EG"/>
        </w:rPr>
        <w:t>impersonnel</w:t>
      </w:r>
      <w:r w:rsidRPr="0019747A">
        <w:rPr>
          <w:rFonts w:eastAsia="Times New Roman"/>
          <w:lang w:bidi="ar-EG"/>
        </w:rPr>
        <w:t xml:space="preserve"> (appelé </w:t>
      </w:r>
      <w:r w:rsidRPr="0019747A">
        <w:rPr>
          <w:rFonts w:eastAsia="Times New Roman"/>
          <w:i/>
          <w:iCs/>
          <w:lang w:bidi="ar-EG"/>
        </w:rPr>
        <w:t>ḍamīr ash-shaʾn</w:t>
      </w:r>
      <w:r w:rsidRPr="0019747A">
        <w:rPr>
          <w:rFonts w:eastAsia="Times New Roman"/>
          <w:lang w:bidi="ar-EG"/>
        </w:rPr>
        <w:t xml:space="preserve"> [s’il est masculin] et </w:t>
      </w:r>
      <w:r w:rsidRPr="0019747A">
        <w:rPr>
          <w:rFonts w:eastAsia="Times New Roman"/>
          <w:i/>
          <w:iCs/>
          <w:lang w:bidi="ar-EG"/>
        </w:rPr>
        <w:t>ḍamīr al-qiṣṣa</w:t>
      </w:r>
      <w:r w:rsidRPr="0019747A">
        <w:rPr>
          <w:rFonts w:eastAsia="Times New Roman"/>
          <w:lang w:bidi="ar-EG"/>
        </w:rPr>
        <w:t xml:space="preserve"> [s’il est féminin]) ayant pour fonction d’emphatiser, d’exagérer</w:t>
      </w:r>
      <w:r w:rsidRPr="0019747A">
        <w:rPr>
          <w:rStyle w:val="Appelnotedebasdep"/>
          <w:lang w:bidi="ar-EG"/>
        </w:rPr>
        <w:footnoteReference w:id="192"/>
      </w:r>
      <w:r w:rsidRPr="0019747A">
        <w:rPr>
          <w:rFonts w:eastAsia="Times New Roman"/>
          <w:lang w:bidi="ar-EG"/>
        </w:rPr>
        <w:t xml:space="preserve">. Cependant, des grammairiens et théologiens comme az-Zamakhsharī (1074-1143) et Ibn Al-Ḥājib (570H/1174-646H/1248) considèrent en général ce pronom dont le texte coranique abonde comme </w:t>
      </w:r>
      <w:r w:rsidRPr="0019747A">
        <w:rPr>
          <w:rFonts w:eastAsia="Times New Roman"/>
          <w:i/>
          <w:iCs/>
          <w:lang w:bidi="ar-EG"/>
        </w:rPr>
        <w:t>vague</w:t>
      </w:r>
      <w:r w:rsidRPr="0019747A">
        <w:rPr>
          <w:rFonts w:eastAsia="Times New Roman"/>
          <w:lang w:bidi="ar-EG"/>
        </w:rPr>
        <w:t xml:space="preserve"> (</w:t>
      </w:r>
      <w:r w:rsidRPr="0019747A">
        <w:rPr>
          <w:rFonts w:eastAsia="Times New Roman"/>
          <w:i/>
          <w:iCs/>
          <w:lang w:bidi="ar-EG"/>
        </w:rPr>
        <w:t>mubham</w:t>
      </w:r>
      <w:r w:rsidRPr="0019747A">
        <w:rPr>
          <w:rFonts w:eastAsia="Times New Roman"/>
          <w:lang w:bidi="ar-EG"/>
        </w:rPr>
        <w:t xml:space="preserve"> ou </w:t>
      </w:r>
      <w:r w:rsidRPr="0019747A">
        <w:rPr>
          <w:rFonts w:eastAsia="Times New Roman"/>
          <w:i/>
          <w:iCs/>
          <w:lang w:bidi="ar-EG"/>
        </w:rPr>
        <w:t>majhūl</w:t>
      </w:r>
      <w:r w:rsidRPr="0019747A">
        <w:rPr>
          <w:rFonts w:eastAsia="Times New Roman"/>
          <w:lang w:bidi="ar-EG"/>
        </w:rPr>
        <w:t xml:space="preserve"> selon la dénomination de l’école coufique)</w:t>
      </w:r>
      <w:r w:rsidRPr="0019747A">
        <w:rPr>
          <w:vertAlign w:val="superscript"/>
          <w:lang w:bidi="ar-AE"/>
        </w:rPr>
        <w:footnoteReference w:id="193"/>
      </w:r>
      <w:r w:rsidRPr="0019747A">
        <w:rPr>
          <w:rFonts w:eastAsia="Times New Roman"/>
          <w:lang w:bidi="ar-EG"/>
        </w:rPr>
        <w:t>. Néanmoins, Al-Qurṭubī rapporte que l’antécédent de -</w:t>
      </w:r>
      <w:r w:rsidRPr="0019747A">
        <w:rPr>
          <w:rFonts w:eastAsia="Times New Roman"/>
          <w:b/>
          <w:bCs/>
          <w:i/>
          <w:iCs/>
          <w:lang w:bidi="ar-EG"/>
        </w:rPr>
        <w:t>hā</w:t>
      </w:r>
      <w:r w:rsidRPr="0019747A">
        <w:rPr>
          <w:rFonts w:eastAsia="Times New Roman"/>
          <w:lang w:bidi="ar-EG"/>
        </w:rPr>
        <w:t xml:space="preserve"> est </w:t>
      </w:r>
      <w:r w:rsidRPr="0019747A">
        <w:rPr>
          <w:i/>
          <w:iCs/>
          <w:lang w:bidi="ar-AE"/>
        </w:rPr>
        <w:t>zalzala</w:t>
      </w:r>
      <w:r w:rsidRPr="0019747A">
        <w:rPr>
          <w:lang w:bidi="ar-AE"/>
        </w:rPr>
        <w:t xml:space="preserve"> [tremblement], alors que Al-Ḥusayn Ibn Masʿūd Al-Baghawī souligne que l’antécédent est soit </w:t>
      </w:r>
      <w:r w:rsidRPr="0019747A">
        <w:rPr>
          <w:i/>
          <w:iCs/>
          <w:lang w:bidi="ar-AE"/>
        </w:rPr>
        <w:t>as-sāʿa</w:t>
      </w:r>
      <w:r w:rsidRPr="0019747A">
        <w:rPr>
          <w:lang w:bidi="ar-AE"/>
        </w:rPr>
        <w:t xml:space="preserve"> [l’heure] soit </w:t>
      </w:r>
      <w:r w:rsidRPr="0019747A">
        <w:rPr>
          <w:i/>
          <w:iCs/>
          <w:lang w:bidi="ar-AE"/>
        </w:rPr>
        <w:t>az-zalzala</w:t>
      </w:r>
      <w:r w:rsidRPr="0019747A">
        <w:rPr>
          <w:rFonts w:eastAsia="Times New Roman"/>
          <w:lang w:bidi="ar-EG"/>
        </w:rPr>
        <w:t>.</w:t>
      </w:r>
    </w:p>
    <w:p w14:paraId="7B35B7BE" w14:textId="77777777" w:rsidR="007214B1" w:rsidRPr="0019747A" w:rsidRDefault="007214B1" w:rsidP="007214B1">
      <w:pPr>
        <w:spacing w:line="360" w:lineRule="auto"/>
        <w:ind w:firstLine="426"/>
        <w:jc w:val="both"/>
        <w:rPr>
          <w:rtl/>
        </w:rPr>
      </w:pPr>
    </w:p>
    <w:p w14:paraId="56D6EE88" w14:textId="77777777" w:rsidR="007214B1" w:rsidRPr="00861EF5" w:rsidRDefault="007214B1" w:rsidP="007214B1">
      <w:pPr>
        <w:spacing w:line="360" w:lineRule="auto"/>
        <w:ind w:firstLine="426"/>
        <w:jc w:val="both"/>
        <w:rPr>
          <w:rFonts w:eastAsia="Times New Roman"/>
          <w:lang w:bidi="ar-AE"/>
        </w:rPr>
      </w:pPr>
      <w:r w:rsidRPr="001133C6">
        <w:rPr>
          <w:rFonts w:eastAsia="Times New Roman"/>
          <w:lang w:bidi="ar-AE"/>
        </w:rPr>
        <w:t xml:space="preserve">Quant à l’antécédent du pronom clitique </w:t>
      </w:r>
      <w:r w:rsidRPr="001133C6">
        <w:rPr>
          <w:rFonts w:eastAsia="Times New Roman"/>
          <w:b/>
          <w:bCs/>
          <w:i/>
          <w:iCs/>
          <w:lang w:bidi="ar-AE"/>
        </w:rPr>
        <w:t>-hi</w:t>
      </w:r>
      <w:r w:rsidRPr="001133C6">
        <w:rPr>
          <w:rFonts w:eastAsia="Times New Roman"/>
          <w:lang w:bidi="ar-AE"/>
        </w:rPr>
        <w:t xml:space="preserve"> dans le segment </w:t>
      </w:r>
      <w:r w:rsidRPr="001133C6">
        <w:rPr>
          <w:rFonts w:eastAsia="Times New Roman"/>
          <w:i/>
          <w:iCs/>
          <w:lang w:bidi="ar-AE"/>
        </w:rPr>
        <w:t>kutiba ʿalay-</w:t>
      </w:r>
      <w:r w:rsidRPr="001133C6">
        <w:rPr>
          <w:rFonts w:eastAsia="Times New Roman"/>
          <w:b/>
          <w:bCs/>
          <w:i/>
          <w:iCs/>
          <w:lang w:bidi="ar-AE"/>
        </w:rPr>
        <w:t>hi</w:t>
      </w:r>
      <w:r w:rsidRPr="001133C6">
        <w:rPr>
          <w:rFonts w:eastAsia="Times New Roman"/>
          <w:i/>
          <w:iCs/>
          <w:lang w:bidi="ar-AE"/>
        </w:rPr>
        <w:t xml:space="preserve"> </w:t>
      </w:r>
      <w:r w:rsidRPr="001133C6">
        <w:rPr>
          <w:rFonts w:eastAsia="Times New Roman"/>
          <w:lang w:bidi="ar-AE"/>
        </w:rPr>
        <w:t>[</w:t>
      </w:r>
      <w:r w:rsidRPr="001133C6">
        <w:rPr>
          <w:rFonts w:eastAsia="Times New Roman"/>
          <w:i/>
          <w:iCs/>
          <w:lang w:bidi="ar-AE"/>
        </w:rPr>
        <w:t>litt. </w:t>
      </w:r>
      <w:r w:rsidRPr="001133C6">
        <w:rPr>
          <w:rFonts w:eastAsia="Times New Roman"/>
          <w:lang w:bidi="ar-AE"/>
        </w:rPr>
        <w:t xml:space="preserve">: il est écrit sur </w:t>
      </w:r>
      <w:r w:rsidRPr="001133C6">
        <w:rPr>
          <w:rFonts w:eastAsia="Times New Roman"/>
          <w:b/>
          <w:bCs/>
          <w:i/>
          <w:iCs/>
          <w:lang w:bidi="ar-AE"/>
        </w:rPr>
        <w:t>lui</w:t>
      </w:r>
      <w:r w:rsidRPr="001133C6">
        <w:rPr>
          <w:rFonts w:eastAsia="Times New Roman"/>
          <w:lang w:bidi="ar-AE"/>
        </w:rPr>
        <w:t>] (verset 4), les exégètes se sont divisés. S’agit-il de Satan, d’un démon quelconque ou de l’être humain qui dispute ? Le sens de ce pronom est étroitement lié</w:t>
      </w:r>
      <w:r w:rsidRPr="00861EF5">
        <w:rPr>
          <w:rFonts w:eastAsia="Times New Roman"/>
          <w:lang w:bidi="ar-AE"/>
        </w:rPr>
        <w:t xml:space="preserve"> au sens du verbe au passif </w:t>
      </w:r>
      <w:r w:rsidRPr="00861EF5">
        <w:rPr>
          <w:rFonts w:eastAsia="Times New Roman"/>
          <w:i/>
          <w:iCs/>
          <w:lang w:bidi="ar-AE"/>
        </w:rPr>
        <w:t>kutiba</w:t>
      </w:r>
      <w:r>
        <w:rPr>
          <w:rFonts w:eastAsia="Times New Roman"/>
          <w:iCs/>
          <w:lang w:bidi="ar-AE"/>
        </w:rPr>
        <w:t>,</w:t>
      </w:r>
      <w:r w:rsidRPr="00861EF5">
        <w:rPr>
          <w:rFonts w:eastAsia="Times New Roman"/>
          <w:lang w:bidi="ar-AE"/>
        </w:rPr>
        <w:t xml:space="preserve"> dont le sens est lié aux considérations idéologiques et sociopolitiques (désignant une loi divine, une prédétermination, un rapport de cause à effet, etc.).</w:t>
      </w:r>
    </w:p>
    <w:p w14:paraId="0E89B0A6" w14:textId="77777777" w:rsidR="007214B1" w:rsidRPr="001133C6" w:rsidRDefault="007214B1" w:rsidP="007214B1">
      <w:pPr>
        <w:spacing w:line="360" w:lineRule="auto"/>
        <w:ind w:firstLine="426"/>
        <w:jc w:val="both"/>
        <w:rPr>
          <w:lang w:bidi="ar-AE"/>
        </w:rPr>
      </w:pPr>
    </w:p>
    <w:p w14:paraId="534A9098" w14:textId="77777777" w:rsidR="007214B1" w:rsidRPr="00861EF5" w:rsidRDefault="007214B1" w:rsidP="007214B1">
      <w:pPr>
        <w:spacing w:line="360" w:lineRule="auto"/>
        <w:ind w:firstLine="426"/>
        <w:jc w:val="both"/>
        <w:rPr>
          <w:rFonts w:eastAsia="Times New Roman"/>
        </w:rPr>
      </w:pPr>
      <w:r w:rsidRPr="001133C6">
        <w:rPr>
          <w:rFonts w:eastAsia="Times New Roman"/>
          <w:lang w:bidi="ar-AE"/>
        </w:rPr>
        <w:t xml:space="preserve">Le verset 5, après avoir présenté une preuve de la création, explique l’objectif d’une telle preuve : </w:t>
      </w:r>
      <w:r w:rsidRPr="001133C6">
        <w:rPr>
          <w:rFonts w:eastAsia="Times New Roman"/>
          <w:i/>
          <w:iCs/>
          <w:lang w:bidi="ar-AE"/>
        </w:rPr>
        <w:t>li-</w:t>
      </w:r>
      <w:r w:rsidRPr="001133C6">
        <w:rPr>
          <w:rFonts w:eastAsia="Times New Roman"/>
          <w:b/>
          <w:bCs/>
          <w:i/>
          <w:iCs/>
          <w:lang w:bidi="ar-AE"/>
        </w:rPr>
        <w:t>nu</w:t>
      </w:r>
      <w:r w:rsidRPr="001133C6">
        <w:rPr>
          <w:rFonts w:eastAsia="Times New Roman"/>
          <w:i/>
          <w:iCs/>
          <w:lang w:bidi="ar-AE"/>
        </w:rPr>
        <w:t>bayyina</w:t>
      </w:r>
      <w:r w:rsidRPr="001133C6">
        <w:rPr>
          <w:vertAlign w:val="superscript"/>
          <w:lang w:bidi="ar-AE"/>
        </w:rPr>
        <w:footnoteReference w:id="194"/>
      </w:r>
      <w:r w:rsidRPr="001133C6">
        <w:rPr>
          <w:rFonts w:eastAsia="Times New Roman"/>
          <w:i/>
          <w:iCs/>
          <w:lang w:bidi="ar-AE"/>
        </w:rPr>
        <w:t xml:space="preserve"> </w:t>
      </w:r>
      <w:r w:rsidRPr="001133C6">
        <w:rPr>
          <w:rFonts w:eastAsia="Times New Roman"/>
          <w:b/>
          <w:bCs/>
          <w:i/>
          <w:iCs/>
          <w:lang w:bidi="ar-AE"/>
        </w:rPr>
        <w:t>Ø lakum</w:t>
      </w:r>
      <w:r w:rsidRPr="001133C6">
        <w:rPr>
          <w:rFonts w:eastAsia="Times New Roman"/>
          <w:lang w:bidi="ar-AE"/>
        </w:rPr>
        <w:t xml:space="preserve"> [pour que </w:t>
      </w:r>
      <w:r w:rsidRPr="001133C6">
        <w:rPr>
          <w:rFonts w:eastAsia="Times New Roman"/>
          <w:b/>
          <w:bCs/>
          <w:i/>
          <w:iCs/>
          <w:lang w:bidi="ar-AE"/>
        </w:rPr>
        <w:t>Nous</w:t>
      </w:r>
      <w:r w:rsidRPr="001133C6">
        <w:rPr>
          <w:rFonts w:eastAsia="Times New Roman"/>
          <w:lang w:bidi="ar-AE"/>
        </w:rPr>
        <w:t xml:space="preserve"> </w:t>
      </w:r>
      <w:r w:rsidRPr="001133C6">
        <w:rPr>
          <w:rFonts w:eastAsia="Times New Roman"/>
          <w:b/>
          <w:bCs/>
          <w:lang w:bidi="ar-AE"/>
        </w:rPr>
        <w:t>vous</w:t>
      </w:r>
      <w:r w:rsidRPr="001133C6">
        <w:rPr>
          <w:rFonts w:eastAsia="Times New Roman"/>
          <w:lang w:bidi="ar-AE"/>
        </w:rPr>
        <w:t xml:space="preserve"> démontrions </w:t>
      </w:r>
      <w:r w:rsidRPr="001133C6">
        <w:rPr>
          <w:rFonts w:eastAsia="Times New Roman"/>
          <w:b/>
          <w:bCs/>
          <w:i/>
          <w:iCs/>
          <w:lang w:bidi="ar-AE"/>
        </w:rPr>
        <w:t>Ø</w:t>
      </w:r>
      <w:r w:rsidRPr="001133C6">
        <w:rPr>
          <w:rFonts w:eastAsia="Times New Roman"/>
          <w:lang w:bidi="ar-AE"/>
        </w:rPr>
        <w:t>]. Dans ce verbe transitif direct (</w:t>
      </w:r>
      <w:r w:rsidRPr="001133C6">
        <w:rPr>
          <w:rFonts w:eastAsia="Times New Roman"/>
          <w:i/>
          <w:iCs/>
          <w:lang w:bidi="ar-AE"/>
        </w:rPr>
        <w:t>nubayyin</w:t>
      </w:r>
      <w:r w:rsidRPr="001133C6">
        <w:rPr>
          <w:rFonts w:eastAsia="Times New Roman"/>
          <w:lang w:bidi="ar-AE"/>
        </w:rPr>
        <w:t xml:space="preserve">), il y a deux, voire trois ambiguïtés pronominales : </w:t>
      </w:r>
      <w:r w:rsidRPr="001133C6">
        <w:rPr>
          <w:rFonts w:eastAsia="Times New Roman"/>
          <w:i/>
          <w:iCs/>
          <w:lang w:bidi="ar-AE"/>
        </w:rPr>
        <w:t>Qui</w:t>
      </w:r>
      <w:r w:rsidRPr="001133C6">
        <w:rPr>
          <w:rFonts w:eastAsia="Times New Roman"/>
          <w:lang w:bidi="ar-AE"/>
        </w:rPr>
        <w:t xml:space="preserve"> démontre </w:t>
      </w:r>
      <w:r w:rsidRPr="001133C6">
        <w:rPr>
          <w:rFonts w:eastAsia="Times New Roman"/>
          <w:i/>
          <w:iCs/>
          <w:lang w:bidi="ar-AE"/>
        </w:rPr>
        <w:t>quoi</w:t>
      </w:r>
      <w:r w:rsidRPr="001133C6">
        <w:rPr>
          <w:rFonts w:eastAsia="Times New Roman"/>
          <w:lang w:bidi="ar-AE"/>
        </w:rPr>
        <w:t xml:space="preserve"> à </w:t>
      </w:r>
      <w:r w:rsidRPr="001133C6">
        <w:rPr>
          <w:rFonts w:eastAsia="Times New Roman"/>
          <w:i/>
          <w:iCs/>
          <w:lang w:bidi="ar-AE"/>
        </w:rPr>
        <w:t>qui </w:t>
      </w:r>
      <w:r w:rsidRPr="001133C6">
        <w:rPr>
          <w:rFonts w:eastAsia="Times New Roman"/>
          <w:lang w:bidi="ar-AE"/>
        </w:rPr>
        <w:t xml:space="preserve">? </w:t>
      </w:r>
      <w:r w:rsidRPr="001133C6">
        <w:rPr>
          <w:rFonts w:eastAsia="Times New Roman"/>
          <w:lang w:bidi="ar-AE"/>
        </w:rPr>
        <w:lastRenderedPageBreak/>
        <w:t xml:space="preserve">1) À qui le pronom sujet </w:t>
      </w:r>
      <w:r w:rsidRPr="001133C6">
        <w:rPr>
          <w:rFonts w:eastAsia="Times New Roman"/>
          <w:i/>
          <w:iCs/>
          <w:lang w:bidi="ar-AE"/>
        </w:rPr>
        <w:t>Nous</w:t>
      </w:r>
      <w:r w:rsidRPr="001133C6">
        <w:rPr>
          <w:rFonts w:eastAsia="Times New Roman"/>
          <w:lang w:bidi="ar-AE"/>
        </w:rPr>
        <w:t xml:space="preserve"> renvoie-t-il ? 2) Quel est le COD du verbe ? 3) Qui est</w:t>
      </w:r>
      <w:r w:rsidRPr="00861EF5">
        <w:rPr>
          <w:rFonts w:eastAsia="Times New Roman"/>
          <w:lang w:bidi="ar-AE"/>
        </w:rPr>
        <w:t xml:space="preserve"> le public concerné ?</w:t>
      </w:r>
    </w:p>
    <w:p w14:paraId="6E99EB36" w14:textId="77777777" w:rsidR="007214B1" w:rsidRPr="00861EF5" w:rsidRDefault="007214B1" w:rsidP="007214B1">
      <w:pPr>
        <w:spacing w:line="360" w:lineRule="auto"/>
        <w:ind w:firstLine="426"/>
        <w:jc w:val="both"/>
        <w:rPr>
          <w:rFonts w:eastAsia="Times New Roman"/>
          <w:lang w:bidi="ar-AE"/>
        </w:rPr>
      </w:pPr>
    </w:p>
    <w:p w14:paraId="21E16836" w14:textId="77777777" w:rsidR="007214B1" w:rsidRPr="00861EF5" w:rsidRDefault="007214B1" w:rsidP="007214B1">
      <w:pPr>
        <w:spacing w:line="360" w:lineRule="auto"/>
        <w:ind w:firstLine="426"/>
        <w:jc w:val="both"/>
        <w:rPr>
          <w:rFonts w:eastAsia="Times New Roman"/>
          <w:lang w:bidi="ar-AE"/>
        </w:rPr>
      </w:pPr>
      <w:r w:rsidRPr="00861EF5">
        <w:rPr>
          <w:rFonts w:eastAsia="Times New Roman"/>
          <w:b/>
          <w:bCs/>
          <w:lang w:bidi="ar-AE"/>
        </w:rPr>
        <w:t>En premier lieu,</w:t>
      </w:r>
      <w:r w:rsidRPr="00861EF5">
        <w:rPr>
          <w:rFonts w:eastAsia="Times New Roman"/>
          <w:lang w:bidi="ar-AE"/>
        </w:rPr>
        <w:t xml:space="preserve"> le Coran u</w:t>
      </w:r>
      <w:r>
        <w:rPr>
          <w:rFonts w:eastAsia="Times New Roman"/>
          <w:lang w:bidi="ar-AE"/>
        </w:rPr>
        <w:t>tilise en effet, dans ce verset</w:t>
      </w:r>
      <w:r w:rsidRPr="00861EF5">
        <w:rPr>
          <w:rFonts w:eastAsia="Times New Roman"/>
          <w:lang w:bidi="ar-AE"/>
        </w:rPr>
        <w:t xml:space="preserve"> comme dans beaucoup d’autres, la</w:t>
      </w:r>
      <w:r w:rsidRPr="00861EF5">
        <w:rPr>
          <w:rFonts w:eastAsia="Times New Roman"/>
        </w:rPr>
        <w:t xml:space="preserve"> </w:t>
      </w:r>
      <w:r w:rsidRPr="00861EF5">
        <w:rPr>
          <w:rFonts w:eastAsia="Times New Roman"/>
          <w:lang w:bidi="ar-AE"/>
        </w:rPr>
        <w:t xml:space="preserve">première personne du </w:t>
      </w:r>
      <w:r w:rsidRPr="00861EF5">
        <w:rPr>
          <w:rFonts w:eastAsia="Times New Roman"/>
          <w:i/>
          <w:iCs/>
          <w:lang w:bidi="ar-AE"/>
        </w:rPr>
        <w:t>pluriel</w:t>
      </w:r>
      <w:r w:rsidRPr="00861EF5">
        <w:rPr>
          <w:rFonts w:eastAsia="Times New Roman"/>
          <w:lang w:bidi="ar-AE"/>
        </w:rPr>
        <w:t xml:space="preserve"> (incluant le locuteur ainsi que d’autres personnes au nom de qui il parle) pour indiquer Dieu </w:t>
      </w:r>
      <w:r>
        <w:rPr>
          <w:rFonts w:eastAsia="Times New Roman"/>
          <w:lang w:bidi="ar-AE"/>
        </w:rPr>
        <w:t>l’Unique, alors que</w:t>
      </w:r>
      <w:r w:rsidRPr="00861EF5">
        <w:rPr>
          <w:rFonts w:eastAsia="Times New Roman"/>
          <w:lang w:bidi="ar-AE"/>
        </w:rPr>
        <w:t xml:space="preserve"> dans d’autres versets (surtout ceux qui commandent la crainte, la peur, l’adoration et l’unicité de Dieu), il utilise la première personne du </w:t>
      </w:r>
      <w:r w:rsidRPr="00861EF5">
        <w:rPr>
          <w:rFonts w:eastAsia="Times New Roman"/>
          <w:i/>
          <w:iCs/>
          <w:lang w:bidi="ar-AE"/>
        </w:rPr>
        <w:t>singulier</w:t>
      </w:r>
      <w:r w:rsidRPr="00861EF5">
        <w:rPr>
          <w:rFonts w:eastAsia="Times New Roman"/>
          <w:lang w:bidi="ar-AE"/>
        </w:rPr>
        <w:t xml:space="preserve">. Qui plus est, nous remarquons dans </w:t>
      </w:r>
      <w:r>
        <w:rPr>
          <w:rFonts w:eastAsia="Times New Roman"/>
          <w:lang w:bidi="ar-AE"/>
        </w:rPr>
        <w:t>certains</w:t>
      </w:r>
      <w:r w:rsidRPr="00861EF5">
        <w:rPr>
          <w:rFonts w:eastAsia="Times New Roman"/>
          <w:lang w:bidi="ar-AE"/>
        </w:rPr>
        <w:t xml:space="preserve"> versets le passage soudain, dans un même verset et parfois dans une même phrase, de la première personne du pluriel à la première personne du singulier et inversement (ex. : XXXII, 13 ; VII, 156 ; XXI, 105 ; XVIII, 102 et </w:t>
      </w:r>
      <w:r w:rsidRPr="00861EF5">
        <w:rPr>
          <w:rFonts w:eastAsia="Times New Roman"/>
          <w:i/>
          <w:iCs/>
          <w:lang w:bidi="ar-AE"/>
        </w:rPr>
        <w:t>sq. </w:t>
      </w:r>
      <w:r w:rsidRPr="00861EF5">
        <w:rPr>
          <w:rFonts w:eastAsia="Times New Roman"/>
          <w:lang w:bidi="ar-AE"/>
        </w:rPr>
        <w:t>; XXI, 25 ; XIV, 14 ; XI, 37 ; XX, 124 ; etc.). Dans le verset 26 de la sourate Al-Ḥajj, on lit :</w:t>
      </w:r>
      <w:r>
        <w:rPr>
          <w:rFonts w:eastAsia="Times New Roman"/>
          <w:lang w:bidi="ar-AE"/>
        </w:rPr>
        <w:t xml:space="preserve"> </w:t>
      </w:r>
      <w:r w:rsidRPr="00722FCB">
        <w:rPr>
          <w:rFonts w:eastAsia="Times New Roman"/>
          <w:i/>
          <w:lang w:bidi="ar-AE"/>
        </w:rPr>
        <w:t>wa</w:t>
      </w:r>
      <w:r>
        <w:rPr>
          <w:rFonts w:eastAsia="Times New Roman"/>
          <w:lang w:bidi="ar-AE"/>
        </w:rPr>
        <w:t>-</w:t>
      </w:r>
      <w:r w:rsidRPr="00861EF5">
        <w:rPr>
          <w:rFonts w:eastAsia="Times New Roman"/>
          <w:i/>
          <w:iCs/>
          <w:lang w:bidi="ar-AE"/>
        </w:rPr>
        <w:t>idh bawwaʾ</w:t>
      </w:r>
      <w:r w:rsidRPr="00861EF5">
        <w:rPr>
          <w:rFonts w:eastAsia="Times New Roman"/>
          <w:b/>
          <w:bCs/>
          <w:i/>
          <w:iCs/>
          <w:lang w:bidi="ar-AE"/>
        </w:rPr>
        <w:t>nā</w:t>
      </w:r>
      <w:r w:rsidRPr="00861EF5">
        <w:rPr>
          <w:rFonts w:eastAsia="Times New Roman"/>
          <w:i/>
          <w:iCs/>
          <w:lang w:bidi="ar-AE"/>
        </w:rPr>
        <w:t xml:space="preserve"> </w:t>
      </w:r>
      <w:r w:rsidRPr="00861EF5">
        <w:rPr>
          <w:rFonts w:eastAsia="Times New Roman"/>
          <w:b/>
          <w:bCs/>
          <w:i/>
          <w:iCs/>
          <w:lang w:bidi="ar-AE"/>
        </w:rPr>
        <w:t>li-</w:t>
      </w:r>
      <w:r>
        <w:rPr>
          <w:rFonts w:eastAsia="Times New Roman"/>
          <w:i/>
          <w:iCs/>
          <w:lang w:bidi="ar-AE"/>
        </w:rPr>
        <w:t>Ibrāh</w:t>
      </w:r>
      <w:r w:rsidRPr="00722FCB">
        <w:rPr>
          <w:rFonts w:eastAsia="Times New Roman"/>
          <w:bCs/>
          <w:i/>
          <w:iCs/>
          <w:lang w:bidi="ar-AE"/>
        </w:rPr>
        <w:t>ī</w:t>
      </w:r>
      <w:r>
        <w:rPr>
          <w:rFonts w:eastAsia="Times New Roman"/>
          <w:i/>
          <w:iCs/>
          <w:lang w:bidi="ar-AE"/>
        </w:rPr>
        <w:t xml:space="preserve">ma makāna l-bayti </w:t>
      </w:r>
      <w:r w:rsidRPr="00861EF5">
        <w:rPr>
          <w:rFonts w:eastAsia="Times New Roman"/>
          <w:i/>
          <w:iCs/>
          <w:lang w:bidi="ar-AE"/>
        </w:rPr>
        <w:t>an lā tushrika b</w:t>
      </w:r>
      <w:r w:rsidRPr="00861EF5">
        <w:rPr>
          <w:rFonts w:eastAsia="Times New Roman"/>
          <w:b/>
          <w:bCs/>
          <w:i/>
          <w:iCs/>
          <w:lang w:bidi="ar-AE"/>
        </w:rPr>
        <w:t>ī</w:t>
      </w:r>
      <w:r w:rsidRPr="00861EF5">
        <w:rPr>
          <w:rFonts w:eastAsia="Times New Roman"/>
          <w:i/>
          <w:iCs/>
          <w:lang w:bidi="ar-AE"/>
        </w:rPr>
        <w:t xml:space="preserve"> shayʾan</w:t>
      </w:r>
      <w:r>
        <w:rPr>
          <w:rFonts w:eastAsia="Times New Roman"/>
          <w:i/>
          <w:iCs/>
          <w:lang w:bidi="ar-AE"/>
        </w:rPr>
        <w:t xml:space="preserve"> wa-</w:t>
      </w:r>
      <w:r w:rsidRPr="00861EF5">
        <w:rPr>
          <w:rFonts w:eastAsia="Times New Roman"/>
          <w:i/>
          <w:iCs/>
          <w:lang w:bidi="ar-AE"/>
        </w:rPr>
        <w:t>ṭahhir bayt</w:t>
      </w:r>
      <w:r w:rsidRPr="00861EF5">
        <w:rPr>
          <w:rFonts w:eastAsia="Times New Roman"/>
          <w:b/>
          <w:bCs/>
          <w:i/>
          <w:iCs/>
          <w:lang w:bidi="ar-AE"/>
        </w:rPr>
        <w:t>ī</w:t>
      </w:r>
      <w:r w:rsidRPr="00861EF5">
        <w:rPr>
          <w:rFonts w:eastAsia="Times New Roman"/>
          <w:i/>
          <w:iCs/>
          <w:lang w:bidi="ar-AE"/>
        </w:rPr>
        <w:t>…</w:t>
      </w:r>
      <w:r w:rsidRPr="00861EF5">
        <w:rPr>
          <w:rFonts w:eastAsia="Times New Roman"/>
          <w:lang w:bidi="ar-AE"/>
        </w:rPr>
        <w:t xml:space="preserve"> [Lors </w:t>
      </w:r>
      <w:r w:rsidRPr="00861EF5">
        <w:rPr>
          <w:rFonts w:eastAsia="Times New Roman"/>
          <w:b/>
          <w:bCs/>
          <w:lang w:bidi="ar-AE"/>
        </w:rPr>
        <w:t>Nous</w:t>
      </w:r>
      <w:r w:rsidRPr="00861EF5">
        <w:rPr>
          <w:rFonts w:eastAsia="Times New Roman"/>
          <w:lang w:bidi="ar-AE"/>
        </w:rPr>
        <w:t xml:space="preserve"> assignâmes à Abraham l’emplacement de la Maison : « Ne </w:t>
      </w:r>
      <w:r w:rsidRPr="00861EF5">
        <w:rPr>
          <w:rFonts w:eastAsia="Times New Roman"/>
          <w:b/>
          <w:bCs/>
          <w:lang w:bidi="ar-AE"/>
        </w:rPr>
        <w:t>M</w:t>
      </w:r>
      <w:r w:rsidRPr="00861EF5">
        <w:rPr>
          <w:rFonts w:eastAsia="Times New Roman"/>
          <w:lang w:bidi="ar-AE"/>
        </w:rPr>
        <w:t xml:space="preserve">’associe personne, purifie </w:t>
      </w:r>
      <w:r w:rsidRPr="00861EF5">
        <w:rPr>
          <w:rFonts w:eastAsia="Times New Roman"/>
          <w:b/>
          <w:bCs/>
          <w:lang w:bidi="ar-AE"/>
        </w:rPr>
        <w:t>Ma</w:t>
      </w:r>
      <w:r w:rsidRPr="00861EF5">
        <w:rPr>
          <w:rFonts w:eastAsia="Times New Roman"/>
          <w:lang w:bidi="ar-AE"/>
        </w:rPr>
        <w:t xml:space="preserve"> Maison…</w:t>
      </w:r>
      <w:r w:rsidRPr="00861EF5">
        <w:rPr>
          <w:lang w:bidi="ar-AE"/>
        </w:rPr>
        <w:t xml:space="preserve"> »</w:t>
      </w:r>
      <w:r w:rsidRPr="00861EF5">
        <w:rPr>
          <w:rFonts w:eastAsia="Times New Roman"/>
          <w:lang w:bidi="ar-AE"/>
        </w:rPr>
        <w:t xml:space="preserve">]. L’antécédent du pronom </w:t>
      </w:r>
      <w:r w:rsidRPr="00861EF5">
        <w:rPr>
          <w:rFonts w:eastAsia="Times New Roman"/>
          <w:i/>
          <w:iCs/>
          <w:lang w:bidi="ar-AE"/>
        </w:rPr>
        <w:t>Nous</w:t>
      </w:r>
      <w:r w:rsidRPr="00861EF5">
        <w:rPr>
          <w:rFonts w:eastAsia="Times New Roman"/>
          <w:lang w:bidi="ar-AE"/>
        </w:rPr>
        <w:t xml:space="preserve"> est confus. Renvoie-t-il à Dieu </w:t>
      </w:r>
      <w:r w:rsidRPr="00861EF5">
        <w:rPr>
          <w:rFonts w:eastAsia="Times New Roman"/>
          <w:i/>
          <w:iCs/>
          <w:lang w:bidi="ar-AE"/>
        </w:rPr>
        <w:t>seul</w:t>
      </w:r>
      <w:r w:rsidRPr="00861EF5">
        <w:rPr>
          <w:rFonts w:eastAsia="Times New Roman"/>
          <w:lang w:bidi="ar-AE"/>
        </w:rPr>
        <w:t>, à Dieu avec Ses Noms, à Dieu avec Ses anges, aux manifestations (épiphanies) de Dieu, ou à Dieu avec les causes et les éléments qui participent à la réalisation de l’événement ?</w:t>
      </w:r>
    </w:p>
    <w:p w14:paraId="5F67A12E" w14:textId="77777777" w:rsidR="007214B1" w:rsidRPr="00861EF5" w:rsidRDefault="007214B1" w:rsidP="007214B1">
      <w:pPr>
        <w:spacing w:line="360" w:lineRule="auto"/>
        <w:ind w:firstLine="426"/>
        <w:jc w:val="both"/>
        <w:rPr>
          <w:rFonts w:eastAsia="Times New Roman"/>
          <w:lang w:bidi="ar-AE"/>
        </w:rPr>
      </w:pPr>
    </w:p>
    <w:p w14:paraId="259F3914" w14:textId="53461966" w:rsidR="007214B1" w:rsidRPr="00861EF5" w:rsidRDefault="007214B1" w:rsidP="007214B1">
      <w:pPr>
        <w:spacing w:line="360" w:lineRule="auto"/>
        <w:ind w:firstLine="426"/>
        <w:jc w:val="both"/>
        <w:rPr>
          <w:rFonts w:eastAsia="Times New Roman"/>
          <w:lang w:bidi="ar-EG"/>
        </w:rPr>
      </w:pPr>
      <w:r w:rsidRPr="00861EF5">
        <w:rPr>
          <w:rFonts w:eastAsia="Times New Roman"/>
          <w:lang w:bidi="ar-EG"/>
        </w:rPr>
        <w:t>Le verset 5 change de ton et de personne. Au début du verset, la parole est adressée à un groupe (</w:t>
      </w:r>
      <w:r w:rsidRPr="00861EF5">
        <w:rPr>
          <w:rFonts w:eastAsia="Times New Roman"/>
          <w:i/>
          <w:iCs/>
          <w:lang w:bidi="ar-EG"/>
        </w:rPr>
        <w:t>Vous</w:t>
      </w:r>
      <w:r w:rsidRPr="00861EF5">
        <w:rPr>
          <w:rFonts w:eastAsia="Times New Roman"/>
          <w:lang w:bidi="ar-EG"/>
        </w:rPr>
        <w:t xml:space="preserve">, </w:t>
      </w:r>
      <w:r w:rsidRPr="00861EF5">
        <w:rPr>
          <w:rFonts w:eastAsia="Times New Roman"/>
          <w:i/>
          <w:iCs/>
          <w:lang w:bidi="ar-EG"/>
        </w:rPr>
        <w:t>an-nās</w:t>
      </w:r>
      <w:r w:rsidRPr="00861EF5">
        <w:rPr>
          <w:rFonts w:eastAsia="Times New Roman"/>
          <w:lang w:bidi="ar-EG"/>
        </w:rPr>
        <w:t xml:space="preserve">) (deuxième personne </w:t>
      </w:r>
      <w:r w:rsidRPr="00861EF5">
        <w:rPr>
          <w:rFonts w:eastAsia="Times New Roman"/>
          <w:i/>
          <w:iCs/>
          <w:lang w:bidi="ar-EG"/>
        </w:rPr>
        <w:t>du pluriel</w:t>
      </w:r>
      <w:r w:rsidRPr="00861EF5">
        <w:rPr>
          <w:rFonts w:eastAsia="Times New Roman"/>
          <w:lang w:bidi="ar-EG"/>
        </w:rPr>
        <w:t>) et porte sur la première preuve d’</w:t>
      </w:r>
      <w:r w:rsidRPr="00861EF5">
        <w:rPr>
          <w:rFonts w:eastAsia="Times New Roman"/>
          <w:i/>
          <w:iCs/>
          <w:lang w:bidi="ar-EG"/>
        </w:rPr>
        <w:t>al-baʿth</w:t>
      </w:r>
      <w:r w:rsidRPr="00861EF5">
        <w:rPr>
          <w:rFonts w:eastAsia="Times New Roman"/>
          <w:lang w:bidi="ar-EG"/>
        </w:rPr>
        <w:t xml:space="preserve"> (preuve de la naissance de l’être humain), alors qu’à la fin du verset, la parole est adressée à la deuxième personne </w:t>
      </w:r>
      <w:r w:rsidRPr="00861EF5">
        <w:rPr>
          <w:rFonts w:eastAsia="Times New Roman"/>
          <w:i/>
          <w:iCs/>
          <w:lang w:bidi="ar-EG"/>
        </w:rPr>
        <w:t>du singulier</w:t>
      </w:r>
      <w:r w:rsidRPr="00861EF5">
        <w:rPr>
          <w:rFonts w:eastAsia="Times New Roman"/>
          <w:lang w:bidi="ar-EG"/>
        </w:rPr>
        <w:t xml:space="preserve"> (</w:t>
      </w:r>
      <w:r w:rsidRPr="00861EF5">
        <w:rPr>
          <w:rFonts w:eastAsia="Times New Roman"/>
          <w:i/>
          <w:iCs/>
          <w:lang w:bidi="ar-EG"/>
        </w:rPr>
        <w:t>toi</w:t>
      </w:r>
      <w:r w:rsidRPr="00861EF5">
        <w:rPr>
          <w:rFonts w:eastAsia="Times New Roman"/>
          <w:lang w:bidi="ar-EG"/>
        </w:rPr>
        <w:t xml:space="preserve">) et porte sur une seconde preuve, c’est la renaissance cyclique de la nature. Ce glissement de la deuxième personne du </w:t>
      </w:r>
      <w:r w:rsidRPr="00861EF5">
        <w:rPr>
          <w:rFonts w:eastAsia="Times New Roman"/>
          <w:i/>
          <w:iCs/>
          <w:lang w:bidi="ar-EG"/>
        </w:rPr>
        <w:t>pluriel</w:t>
      </w:r>
      <w:r w:rsidRPr="00861EF5">
        <w:rPr>
          <w:rFonts w:eastAsia="Times New Roman"/>
          <w:lang w:bidi="ar-EG"/>
        </w:rPr>
        <w:t xml:space="preserve"> à la deuxième personne du </w:t>
      </w:r>
      <w:r w:rsidRPr="00861EF5">
        <w:rPr>
          <w:rFonts w:eastAsia="Times New Roman"/>
          <w:i/>
          <w:iCs/>
          <w:lang w:bidi="ar-EG"/>
        </w:rPr>
        <w:t>singulier</w:t>
      </w:r>
      <w:r w:rsidRPr="00861EF5">
        <w:rPr>
          <w:rFonts w:eastAsia="Times New Roman"/>
          <w:lang w:bidi="ar-EG"/>
        </w:rPr>
        <w:t xml:space="preserve"> ou inversement (appelé </w:t>
      </w:r>
      <w:r w:rsidRPr="00861EF5">
        <w:rPr>
          <w:rFonts w:eastAsia="Times New Roman"/>
          <w:shd w:val="clear" w:color="auto" w:fill="FFFFFF"/>
          <w:lang w:bidi="ar-KW"/>
        </w:rPr>
        <w:t>l’</w:t>
      </w:r>
      <w:r w:rsidRPr="00861EF5">
        <w:rPr>
          <w:rFonts w:eastAsia="Times New Roman"/>
          <w:i/>
          <w:iCs/>
          <w:shd w:val="clear" w:color="auto" w:fill="FFFFFF"/>
          <w:lang w:bidi="ar-KW"/>
        </w:rPr>
        <w:t>iltifāt</w:t>
      </w:r>
      <w:r w:rsidRPr="00861EF5">
        <w:rPr>
          <w:rFonts w:eastAsia="Times New Roman"/>
          <w:shd w:val="clear" w:color="auto" w:fill="FFFFFF"/>
          <w:lang w:bidi="ar-KW"/>
        </w:rPr>
        <w:t xml:space="preserve"> </w:t>
      </w:r>
      <w:r w:rsidRPr="00861EF5">
        <w:rPr>
          <w:rFonts w:ascii="Simplified Arabic" w:eastAsia="Times New Roman" w:hAnsi="Simplified Arabic" w:cs="Simplified Arabic"/>
          <w:rtl/>
          <w:lang w:bidi="ar-KW"/>
        </w:rPr>
        <w:t>الالتفات</w:t>
      </w:r>
      <w:r w:rsidRPr="00861EF5">
        <w:rPr>
          <w:rFonts w:eastAsia="Times New Roman"/>
          <w:lang w:bidi="ar-KW"/>
        </w:rPr>
        <w:t>, l’</w:t>
      </w:r>
      <w:r w:rsidRPr="00861EF5">
        <w:rPr>
          <w:rFonts w:eastAsia="Times New Roman"/>
          <w:i/>
          <w:iCs/>
          <w:shd w:val="clear" w:color="auto" w:fill="FFFFFF"/>
          <w:lang w:bidi="ar-KW"/>
        </w:rPr>
        <w:t>énallage</w:t>
      </w:r>
      <w:r w:rsidRPr="00861EF5">
        <w:rPr>
          <w:rFonts w:eastAsia="Times New Roman"/>
          <w:vertAlign w:val="superscript"/>
          <w:lang w:bidi="ar-AE"/>
        </w:rPr>
        <w:footnoteReference w:id="195"/>
      </w:r>
      <w:r w:rsidRPr="00861EF5">
        <w:rPr>
          <w:rFonts w:eastAsia="Times New Roman"/>
          <w:lang w:bidi="ar-EG"/>
        </w:rPr>
        <w:t>) dont regorge le Coran et que soulignent en tant que</w:t>
      </w:r>
      <w:r>
        <w:rPr>
          <w:rFonts w:eastAsia="Times New Roman"/>
          <w:lang w:bidi="ar-EG"/>
        </w:rPr>
        <w:t xml:space="preserve"> problème</w:t>
      </w:r>
      <w:r w:rsidRPr="00861EF5">
        <w:rPr>
          <w:rFonts w:eastAsia="Times New Roman"/>
          <w:lang w:bidi="ar-EG"/>
        </w:rPr>
        <w:t xml:space="preserve"> de traduction certains traducteurs comme </w:t>
      </w:r>
      <w:r w:rsidRPr="007E61EE">
        <w:rPr>
          <w:rFonts w:eastAsia="Times New Roman"/>
          <w:lang w:bidi="ar-EG"/>
        </w:rPr>
        <w:t xml:space="preserve">Berque </w:t>
      </w:r>
      <w:r w:rsidRPr="00861EF5">
        <w:rPr>
          <w:rFonts w:eastAsia="Times New Roman"/>
          <w:lang w:bidi="ar-EG"/>
        </w:rPr>
        <w:t xml:space="preserve">(p. 14) et </w:t>
      </w:r>
      <w:r w:rsidRPr="007E61EE">
        <w:rPr>
          <w:rFonts w:eastAsia="Times New Roman"/>
          <w:lang w:bidi="ar-EG"/>
        </w:rPr>
        <w:t>Chebel</w:t>
      </w:r>
      <w:r w:rsidRPr="00861EF5">
        <w:rPr>
          <w:rFonts w:eastAsia="Times New Roman"/>
          <w:lang w:bidi="ar-EG"/>
        </w:rPr>
        <w:t xml:space="preserve"> (p. 12) peut indiquer que le style est oratoire, style d’un prédicateur, ce qui signifie que la sourate Al-Ḥajj a été compilée et réunie à partir de plusieurs sermons ou harangues</w:t>
      </w:r>
      <w:r>
        <w:rPr>
          <w:rFonts w:eastAsia="Times New Roman"/>
          <w:lang w:bidi="ar-EG"/>
        </w:rPr>
        <w:t xml:space="preserve"> différents qui renvoient à</w:t>
      </w:r>
      <w:r w:rsidRPr="00861EF5">
        <w:rPr>
          <w:rFonts w:eastAsia="Times New Roman"/>
          <w:lang w:bidi="ar-EG"/>
        </w:rPr>
        <w:t xml:space="preserve"> différents contextes</w:t>
      </w:r>
      <w:r>
        <w:rPr>
          <w:rFonts w:eastAsia="Times New Roman"/>
          <w:lang w:bidi="ar-EG"/>
        </w:rPr>
        <w:t xml:space="preserve"> et discours</w:t>
      </w:r>
      <w:r w:rsidRPr="00861EF5">
        <w:rPr>
          <w:rFonts w:eastAsia="Times New Roman"/>
          <w:lang w:bidi="ar-EG"/>
        </w:rPr>
        <w:t>. Il peut aussi indiquer que</w:t>
      </w:r>
      <w:r w:rsidRPr="00861EF5">
        <w:rPr>
          <w:rFonts w:eastAsia="Times New Roman"/>
          <w:shd w:val="clear" w:color="auto" w:fill="FFFFFF"/>
          <w:lang w:bidi="ar-KW"/>
        </w:rPr>
        <w:t xml:space="preserve"> les auteurs du Coran ne connaissaient pas les référents des pronoms dans les textes-sources.</w:t>
      </w:r>
    </w:p>
    <w:p w14:paraId="685D8629" w14:textId="77777777" w:rsidR="007214B1" w:rsidRPr="003A2F8C" w:rsidRDefault="007214B1" w:rsidP="007214B1">
      <w:pPr>
        <w:spacing w:line="360" w:lineRule="auto"/>
        <w:ind w:firstLine="426"/>
        <w:jc w:val="both"/>
        <w:rPr>
          <w:rFonts w:eastAsia="Times New Roman"/>
          <w:lang w:bidi="ar-AE"/>
        </w:rPr>
      </w:pPr>
    </w:p>
    <w:p w14:paraId="66F0C130" w14:textId="77777777" w:rsidR="007214B1" w:rsidRPr="003A2F8C" w:rsidRDefault="007214B1" w:rsidP="007214B1">
      <w:pPr>
        <w:spacing w:line="360" w:lineRule="auto"/>
        <w:ind w:firstLine="426"/>
        <w:jc w:val="both"/>
        <w:rPr>
          <w:rFonts w:eastAsia="Times New Roman"/>
          <w:lang w:bidi="ar-EG"/>
        </w:rPr>
      </w:pPr>
      <w:r w:rsidRPr="003A2F8C">
        <w:rPr>
          <w:rFonts w:eastAsia="Times New Roman"/>
          <w:b/>
          <w:bCs/>
          <w:lang w:bidi="ar-AE"/>
        </w:rPr>
        <w:lastRenderedPageBreak/>
        <w:t>En deuxième lieu,</w:t>
      </w:r>
      <w:r w:rsidRPr="003A2F8C">
        <w:rPr>
          <w:rFonts w:eastAsia="Times New Roman"/>
          <w:lang w:bidi="ar-AE"/>
        </w:rPr>
        <w:t xml:space="preserve"> le COD du verbe </w:t>
      </w:r>
      <w:r w:rsidRPr="003A2F8C">
        <w:rPr>
          <w:rFonts w:eastAsia="Times New Roman"/>
          <w:i/>
          <w:iCs/>
          <w:lang w:bidi="ar-AE"/>
        </w:rPr>
        <w:t>nubayyin</w:t>
      </w:r>
      <w:r w:rsidRPr="003A2F8C">
        <w:rPr>
          <w:rFonts w:eastAsia="Times New Roman"/>
          <w:lang w:bidi="ar-AE"/>
        </w:rPr>
        <w:t xml:space="preserve"> est implicite et pourrait renvoyer: 1) à la puissance ou à l’omnipotence de Dieu au sujet la création (Aṭ-Ṭabarī, Al-Qurṭubī et Al-Baghawī) ; 2) à ce dont vous avez besoin pour adorer Dieu (Al-Baghawī) ; 3) à la preuve de la résurrection (Ibn ʿĀshūr, </w:t>
      </w:r>
      <w:r w:rsidRPr="003A2F8C">
        <w:rPr>
          <w:rFonts w:eastAsia="Times New Roman"/>
          <w:i/>
          <w:iCs/>
          <w:lang w:bidi="ar-AE"/>
        </w:rPr>
        <w:t>At-Taḥrīr wa-t-Tanwīr</w:t>
      </w:r>
      <w:r w:rsidRPr="003A2F8C">
        <w:rPr>
          <w:rFonts w:eastAsia="Times New Roman"/>
          <w:lang w:bidi="ar-AE"/>
        </w:rPr>
        <w:t>) ; 4) à la résurrection, à votre guidance et à votre égarement, ou au fait que la création est soumise à la volonté du créateur (sperme formé ou non) (</w:t>
      </w:r>
      <w:r w:rsidRPr="003A2F8C">
        <w:rPr>
          <w:rFonts w:eastAsia="Times New Roman"/>
          <w:lang w:bidi="ar-EG"/>
        </w:rPr>
        <w:t>Al-Ghirnāṭī Al-Andalusī</w:t>
      </w:r>
      <w:r w:rsidRPr="003A2F8C">
        <w:rPr>
          <w:rFonts w:eastAsia="Times New Roman"/>
          <w:lang w:bidi="ar-AE"/>
        </w:rPr>
        <w:t xml:space="preserve">, </w:t>
      </w:r>
      <w:r w:rsidRPr="003A2F8C">
        <w:rPr>
          <w:rFonts w:eastAsia="Times New Roman"/>
          <w:i/>
          <w:iCs/>
          <w:lang w:bidi="ar-EG"/>
        </w:rPr>
        <w:t>At-Tafsīr Al-Kabīr</w:t>
      </w:r>
      <w:r w:rsidRPr="003A2F8C">
        <w:rPr>
          <w:rFonts w:eastAsia="Times New Roman"/>
          <w:lang w:bidi="ar-EG"/>
        </w:rPr>
        <w:t xml:space="preserve"> ou </w:t>
      </w:r>
      <w:r w:rsidRPr="003A2F8C">
        <w:rPr>
          <w:rFonts w:eastAsia="Times New Roman"/>
          <w:i/>
          <w:iCs/>
          <w:lang w:bidi="ar-EG"/>
        </w:rPr>
        <w:t>Al-Baḥr Al-Muḥīṭ</w:t>
      </w:r>
      <w:r w:rsidRPr="003A2F8C">
        <w:rPr>
          <w:rFonts w:eastAsia="Times New Roman"/>
          <w:lang w:bidi="ar-EG"/>
        </w:rPr>
        <w:t>).</w:t>
      </w:r>
    </w:p>
    <w:p w14:paraId="3D3036AA" w14:textId="77777777" w:rsidR="007214B1" w:rsidRPr="00861EF5" w:rsidRDefault="007214B1" w:rsidP="007214B1">
      <w:pPr>
        <w:spacing w:line="360" w:lineRule="auto"/>
        <w:ind w:firstLine="426"/>
        <w:jc w:val="both"/>
        <w:rPr>
          <w:rFonts w:eastAsia="Times New Roman"/>
          <w:lang w:bidi="ar-EG"/>
        </w:rPr>
      </w:pPr>
    </w:p>
    <w:p w14:paraId="7DADE4A1" w14:textId="19FCAD73" w:rsidR="007214B1" w:rsidRPr="00861EF5" w:rsidRDefault="007214B1" w:rsidP="007214B1">
      <w:pPr>
        <w:spacing w:line="360" w:lineRule="auto"/>
        <w:ind w:firstLine="426"/>
        <w:jc w:val="both"/>
        <w:rPr>
          <w:rFonts w:eastAsia="Times New Roman"/>
          <w:lang w:bidi="ar-EG"/>
        </w:rPr>
      </w:pPr>
      <w:r w:rsidRPr="00861EF5">
        <w:rPr>
          <w:rFonts w:eastAsia="Times New Roman"/>
          <w:b/>
          <w:bCs/>
          <w:lang w:bidi="ar-EG"/>
        </w:rPr>
        <w:t>En troisième lieu,</w:t>
      </w:r>
      <w:r w:rsidRPr="00861EF5">
        <w:rPr>
          <w:rFonts w:eastAsia="Times New Roman"/>
          <w:lang w:bidi="ar-EG"/>
        </w:rPr>
        <w:t xml:space="preserve"> à propos d</w:t>
      </w:r>
      <w:r w:rsidR="000602BA">
        <w:rPr>
          <w:rFonts w:eastAsia="Times New Roman"/>
          <w:lang w:bidi="ar-EG"/>
        </w:rPr>
        <w:t xml:space="preserve">u public concerné du syntagme </w:t>
      </w:r>
      <w:r w:rsidRPr="00861EF5">
        <w:rPr>
          <w:rFonts w:eastAsia="Times New Roman"/>
          <w:i/>
          <w:iCs/>
          <w:lang w:bidi="ar-EG"/>
        </w:rPr>
        <w:t>-lakum</w:t>
      </w:r>
      <w:r>
        <w:rPr>
          <w:rFonts w:eastAsia="Times New Roman"/>
          <w:lang w:bidi="ar-EG"/>
        </w:rPr>
        <w:t xml:space="preserve"> [à vous], il peut être les M</w:t>
      </w:r>
      <w:r w:rsidRPr="00861EF5">
        <w:rPr>
          <w:rFonts w:eastAsia="Times New Roman"/>
          <w:lang w:bidi="ar-EG"/>
        </w:rPr>
        <w:t>ecquois dénégateurs de la résurrection, les athées, tout le monde.</w:t>
      </w:r>
    </w:p>
    <w:p w14:paraId="132902A1" w14:textId="77777777" w:rsidR="007214B1" w:rsidRPr="00861EF5" w:rsidRDefault="007214B1" w:rsidP="007214B1">
      <w:pPr>
        <w:tabs>
          <w:tab w:val="left" w:pos="1200"/>
        </w:tabs>
        <w:spacing w:line="360" w:lineRule="auto"/>
        <w:ind w:firstLine="426"/>
        <w:jc w:val="both"/>
        <w:rPr>
          <w:rFonts w:eastAsia="Times New Roman"/>
          <w:lang w:bidi="ar-EG"/>
        </w:rPr>
      </w:pPr>
    </w:p>
    <w:p w14:paraId="2756A3FF" w14:textId="4CF14183" w:rsidR="007214B1" w:rsidRPr="00861EF5" w:rsidRDefault="007214B1" w:rsidP="007214B1">
      <w:pPr>
        <w:spacing w:line="360" w:lineRule="auto"/>
        <w:ind w:firstLine="426"/>
        <w:jc w:val="both"/>
        <w:rPr>
          <w:rFonts w:eastAsia="Times New Roman"/>
          <w:lang w:bidi="ar-EG"/>
        </w:rPr>
      </w:pPr>
      <w:r w:rsidRPr="00861EF5">
        <w:rPr>
          <w:rFonts w:eastAsia="Times New Roman"/>
          <w:lang w:bidi="ar-AE"/>
        </w:rPr>
        <w:t>Dans la phrase « </w:t>
      </w:r>
      <w:r w:rsidRPr="00861EF5">
        <w:rPr>
          <w:rFonts w:eastAsia="Times New Roman"/>
          <w:i/>
          <w:iCs/>
          <w:lang w:bidi="ar-AE"/>
        </w:rPr>
        <w:t>Yadʿū min dūni l-Lāhi mā lā yaḍurru</w:t>
      </w:r>
      <w:r>
        <w:rPr>
          <w:rFonts w:eastAsia="Times New Roman"/>
          <w:i/>
          <w:iCs/>
          <w:lang w:bidi="ar-AE"/>
        </w:rPr>
        <w:t>-</w:t>
      </w:r>
      <w:r w:rsidRPr="00861EF5">
        <w:rPr>
          <w:rFonts w:eastAsia="Times New Roman"/>
          <w:i/>
          <w:iCs/>
          <w:lang w:bidi="ar-AE"/>
        </w:rPr>
        <w:t>hū</w:t>
      </w:r>
      <w:r>
        <w:rPr>
          <w:rFonts w:eastAsia="Times New Roman"/>
          <w:i/>
          <w:iCs/>
          <w:lang w:bidi="ar-AE"/>
        </w:rPr>
        <w:t xml:space="preserve"> wa-</w:t>
      </w:r>
      <w:r w:rsidRPr="00861EF5">
        <w:rPr>
          <w:rFonts w:eastAsia="Times New Roman"/>
          <w:i/>
          <w:iCs/>
          <w:lang w:bidi="ar-AE"/>
        </w:rPr>
        <w:t>lā yanfaʿ</w:t>
      </w:r>
      <w:r>
        <w:rPr>
          <w:rFonts w:eastAsia="Times New Roman"/>
          <w:i/>
          <w:iCs/>
          <w:lang w:bidi="ar-AE"/>
        </w:rPr>
        <w:t>u-</w:t>
      </w:r>
      <w:r w:rsidRPr="00861EF5">
        <w:rPr>
          <w:rFonts w:eastAsia="Times New Roman"/>
          <w:i/>
          <w:iCs/>
          <w:lang w:bidi="ar-AE"/>
        </w:rPr>
        <w:t>hu</w:t>
      </w:r>
      <w:r w:rsidRPr="00861EF5">
        <w:rPr>
          <w:rFonts w:eastAsia="Times New Roman"/>
          <w:lang w:bidi="ar-AE"/>
        </w:rPr>
        <w:t xml:space="preserve"> [Il appelle hors de Dieu ce qui ne lui nuit ni lui profit</w:t>
      </w:r>
      <w:r w:rsidR="000602BA">
        <w:rPr>
          <w:rFonts w:eastAsia="Times New Roman"/>
          <w:lang w:bidi="ar-AE"/>
        </w:rPr>
        <w:t xml:space="preserve">e] (v. 12), le sujet du verbe </w:t>
      </w:r>
      <w:r w:rsidRPr="00861EF5">
        <w:rPr>
          <w:rFonts w:eastAsia="Times New Roman"/>
          <w:i/>
          <w:iCs/>
          <w:lang w:bidi="ar-AE"/>
        </w:rPr>
        <w:t>yadʿū</w:t>
      </w:r>
      <w:r w:rsidRPr="00861EF5">
        <w:rPr>
          <w:rFonts w:eastAsia="Times New Roman"/>
          <w:lang w:bidi="ar-AE"/>
        </w:rPr>
        <w:t xml:space="preserve"> [(il) appelle] est un pronom caché (</w:t>
      </w:r>
      <w:r w:rsidRPr="00861EF5">
        <w:rPr>
          <w:rFonts w:eastAsia="Times New Roman"/>
          <w:i/>
          <w:iCs/>
          <w:lang w:bidi="ar-AE"/>
        </w:rPr>
        <w:t>ḍamīr mustatir</w:t>
      </w:r>
      <w:r w:rsidRPr="00861EF5">
        <w:rPr>
          <w:rFonts w:eastAsia="Times New Roman"/>
          <w:lang w:bidi="ar-AE"/>
        </w:rPr>
        <w:t>) dont on ne connait pas l’antécédent exact. On ne sait pas à qui renvoient exactement ce sujet ? Grammaticalement parlant, le pronom caché doit renvoyer a</w:t>
      </w:r>
      <w:r w:rsidR="004144C5">
        <w:rPr>
          <w:rFonts w:eastAsia="Times New Roman"/>
          <w:lang w:bidi="ar-AE"/>
        </w:rPr>
        <w:t xml:space="preserve">u précédent syntagme partitif </w:t>
      </w:r>
      <w:r w:rsidRPr="00861EF5">
        <w:rPr>
          <w:rFonts w:eastAsia="Times New Roman"/>
          <w:i/>
          <w:iCs/>
          <w:lang w:bidi="ar-AE"/>
        </w:rPr>
        <w:t>mina n-nās</w:t>
      </w:r>
      <w:r w:rsidRPr="00861EF5">
        <w:rPr>
          <w:rFonts w:eastAsia="Times New Roman"/>
          <w:lang w:bidi="ar-AE"/>
        </w:rPr>
        <w:t xml:space="preserve"> [parmi les hommes] évoqué dans le verset 11, mais ce syntagme est polysémique et peut désigner : les Arabes nomades ; un hypocrite ; un Juif qui s’est converti à l’islam et qui voulait apostasier ; </w:t>
      </w:r>
      <w:r w:rsidRPr="00861EF5">
        <w:rPr>
          <w:rFonts w:eastAsia="Times New Roman"/>
          <w:i/>
          <w:iCs/>
          <w:lang w:bidi="ar-AE"/>
        </w:rPr>
        <w:t>al-muʾallafa qulūbu</w:t>
      </w:r>
      <w:r>
        <w:rPr>
          <w:rFonts w:eastAsia="Times New Roman"/>
          <w:i/>
          <w:iCs/>
          <w:lang w:bidi="ar-AE"/>
        </w:rPr>
        <w:t>-</w:t>
      </w:r>
      <w:r w:rsidRPr="00861EF5">
        <w:rPr>
          <w:rFonts w:eastAsia="Times New Roman"/>
          <w:i/>
          <w:iCs/>
          <w:lang w:bidi="ar-AE"/>
        </w:rPr>
        <w:t>hum</w:t>
      </w:r>
      <w:r w:rsidRPr="00861EF5">
        <w:rPr>
          <w:rFonts w:eastAsia="Times New Roman"/>
          <w:lang w:bidi="ar-AE"/>
        </w:rPr>
        <w:t xml:space="preserve"> [ceux dont les cœurs sont ralliés ou à gagner] ; les païens ou les Gentils ; celui qui suit un dogme sans avoir une foi (</w:t>
      </w:r>
      <w:r w:rsidRPr="00861EF5">
        <w:t xml:space="preserve">Amīn </w:t>
      </w:r>
      <w:r w:rsidRPr="003A2F8C">
        <w:t>Shaykhū</w:t>
      </w:r>
      <w:r w:rsidRPr="00861EF5">
        <w:rPr>
          <w:rFonts w:eastAsia="Times New Roman"/>
          <w:lang w:bidi="ar-AE"/>
        </w:rPr>
        <w:t>).</w:t>
      </w:r>
    </w:p>
    <w:p w14:paraId="41DE2861" w14:textId="77777777" w:rsidR="007214B1" w:rsidRPr="00861EF5" w:rsidRDefault="007214B1" w:rsidP="007214B1">
      <w:pPr>
        <w:spacing w:line="360" w:lineRule="auto"/>
        <w:ind w:firstLine="426"/>
        <w:jc w:val="both"/>
        <w:rPr>
          <w:rFonts w:eastAsia="Times New Roman"/>
          <w:lang w:bidi="ar-AE"/>
        </w:rPr>
      </w:pPr>
    </w:p>
    <w:p w14:paraId="02BFFAAB" w14:textId="73FC379D" w:rsidR="007214B1" w:rsidRPr="00861EF5" w:rsidRDefault="001843FD" w:rsidP="007214B1">
      <w:pPr>
        <w:spacing w:line="360" w:lineRule="auto"/>
        <w:ind w:firstLine="426"/>
        <w:jc w:val="both"/>
        <w:rPr>
          <w:rFonts w:eastAsia="Times New Roman"/>
          <w:lang w:bidi="ar-EG"/>
        </w:rPr>
      </w:pPr>
      <w:r>
        <w:rPr>
          <w:rFonts w:eastAsia="Times New Roman"/>
        </w:rPr>
        <w:t xml:space="preserve">Le pronom clitique COD </w:t>
      </w:r>
      <w:r w:rsidR="007214B1" w:rsidRPr="00861EF5">
        <w:rPr>
          <w:rFonts w:eastAsia="Times New Roman"/>
        </w:rPr>
        <w:t>-</w:t>
      </w:r>
      <w:r w:rsidR="007214B1" w:rsidRPr="00861EF5">
        <w:rPr>
          <w:rFonts w:eastAsia="Times New Roman"/>
          <w:i/>
          <w:iCs/>
        </w:rPr>
        <w:t>hu</w:t>
      </w:r>
      <w:r>
        <w:rPr>
          <w:rFonts w:eastAsia="Times New Roman"/>
        </w:rPr>
        <w:t xml:space="preserve"> dans </w:t>
      </w:r>
      <w:r w:rsidR="007214B1" w:rsidRPr="00861EF5">
        <w:rPr>
          <w:rFonts w:eastAsia="Times New Roman"/>
          <w:i/>
          <w:iCs/>
        </w:rPr>
        <w:t>yanṣura</w:t>
      </w:r>
      <w:r w:rsidR="007214B1">
        <w:rPr>
          <w:rFonts w:eastAsia="Times New Roman"/>
          <w:i/>
          <w:iCs/>
        </w:rPr>
        <w:t>-</w:t>
      </w:r>
      <w:r w:rsidR="007214B1" w:rsidRPr="00722FCB">
        <w:rPr>
          <w:rFonts w:eastAsia="Times New Roman"/>
          <w:b/>
          <w:bCs/>
          <w:i/>
        </w:rPr>
        <w:t>hu</w:t>
      </w:r>
      <w:r w:rsidR="007214B1" w:rsidRPr="00861EF5">
        <w:rPr>
          <w:rFonts w:eastAsia="Times New Roman"/>
        </w:rPr>
        <w:t xml:space="preserve"> [</w:t>
      </w:r>
      <w:r w:rsidR="007214B1" w:rsidRPr="00861EF5">
        <w:rPr>
          <w:rFonts w:eastAsia="Times New Roman"/>
          <w:b/>
          <w:bCs/>
          <w:i/>
          <w:iCs/>
        </w:rPr>
        <w:t>le</w:t>
      </w:r>
      <w:r w:rsidR="007214B1" w:rsidRPr="00861EF5">
        <w:rPr>
          <w:rFonts w:eastAsia="Times New Roman"/>
        </w:rPr>
        <w:t xml:space="preserve"> secourra] dans la phrase « </w:t>
      </w:r>
      <w:r w:rsidR="007214B1" w:rsidRPr="00861EF5">
        <w:rPr>
          <w:rFonts w:eastAsia="Times New Roman"/>
          <w:i/>
          <w:iCs/>
        </w:rPr>
        <w:t>Man kāna yaẓunnu ʾan lan yanṣura</w:t>
      </w:r>
      <w:r w:rsidR="007214B1">
        <w:rPr>
          <w:rFonts w:eastAsia="Times New Roman"/>
          <w:i/>
          <w:iCs/>
        </w:rPr>
        <w:t>-</w:t>
      </w:r>
      <w:r w:rsidR="007214B1" w:rsidRPr="00861EF5">
        <w:rPr>
          <w:rFonts w:eastAsia="Times New Roman"/>
          <w:i/>
          <w:iCs/>
        </w:rPr>
        <w:t>hu Llāhu</w:t>
      </w:r>
      <w:r w:rsidR="007214B1">
        <w:rPr>
          <w:rFonts w:eastAsia="Times New Roman"/>
        </w:rPr>
        <w:t> » (</w:t>
      </w:r>
      <w:r w:rsidR="007214B1" w:rsidRPr="00861EF5">
        <w:rPr>
          <w:rFonts w:eastAsia="Times New Roman"/>
        </w:rPr>
        <w:t>« </w:t>
      </w:r>
      <w:r w:rsidR="007214B1" w:rsidRPr="00861EF5">
        <w:rPr>
          <w:rFonts w:eastAsia="Times New Roman"/>
          <w:color w:val="000000"/>
        </w:rPr>
        <w:t>Celui qui pense qu’Allah</w:t>
      </w:r>
      <w:r w:rsidR="007214B1" w:rsidRPr="00861EF5">
        <w:rPr>
          <w:rFonts w:eastAsia="Times New Roman"/>
        </w:rPr>
        <w:t xml:space="preserve"> ne le </w:t>
      </w:r>
      <w:r w:rsidR="007214B1" w:rsidRPr="00861EF5">
        <w:rPr>
          <w:rFonts w:eastAsia="Times New Roman"/>
          <w:color w:val="000000"/>
        </w:rPr>
        <w:t>secourra pas</w:t>
      </w:r>
      <w:r w:rsidR="007214B1" w:rsidRPr="00861EF5">
        <w:rPr>
          <w:rFonts w:eastAsia="Times New Roman"/>
          <w:lang w:eastAsia="fr-CH"/>
        </w:rPr>
        <w:t> » [trad. Complexe de Médine]</w:t>
      </w:r>
      <w:r w:rsidR="007214B1">
        <w:rPr>
          <w:rFonts w:eastAsia="Times New Roman"/>
          <w:lang w:eastAsia="fr-CH"/>
        </w:rPr>
        <w:t>)</w:t>
      </w:r>
      <w:r w:rsidR="007214B1" w:rsidRPr="00861EF5">
        <w:rPr>
          <w:rFonts w:eastAsia="Times New Roman"/>
        </w:rPr>
        <w:t xml:space="preserve"> </w:t>
      </w:r>
      <w:r w:rsidR="007214B1">
        <w:rPr>
          <w:rFonts w:eastAsia="Times New Roman"/>
        </w:rPr>
        <w:t>(</w:t>
      </w:r>
      <w:r w:rsidR="007214B1" w:rsidRPr="00861EF5">
        <w:rPr>
          <w:rFonts w:eastAsia="Times New Roman"/>
        </w:rPr>
        <w:t>v. 15) est problématique. Il peut renvoyer au Prophète Muḥammad</w:t>
      </w:r>
      <w:r w:rsidR="007214B1" w:rsidRPr="00861EF5">
        <w:rPr>
          <w:rFonts w:eastAsia="Times New Roman"/>
          <w:lang w:bidi="ar-EG"/>
        </w:rPr>
        <w:t xml:space="preserve"> selon la plupart des exégètes, bien que l’antécédent </w:t>
      </w:r>
      <w:r w:rsidR="007214B1" w:rsidRPr="00861EF5">
        <w:rPr>
          <w:rFonts w:eastAsia="Times New Roman"/>
          <w:i/>
          <w:iCs/>
        </w:rPr>
        <w:t>Muḥammad</w:t>
      </w:r>
      <w:r w:rsidR="007214B1" w:rsidRPr="00861EF5">
        <w:rPr>
          <w:rFonts w:eastAsia="Times New Roman"/>
          <w:lang w:bidi="ar-EG"/>
        </w:rPr>
        <w:t xml:space="preserve"> ne soit jamais précité explicitement. Le pronom peut également renvoyer </w:t>
      </w:r>
      <w:r>
        <w:rPr>
          <w:rFonts w:eastAsia="Times New Roman"/>
          <w:lang w:bidi="ar-EG"/>
        </w:rPr>
        <w:t xml:space="preserve">au pronom tonique indéterminé </w:t>
      </w:r>
      <w:r w:rsidR="007214B1" w:rsidRPr="00861EF5">
        <w:rPr>
          <w:rFonts w:eastAsia="Times New Roman"/>
          <w:i/>
          <w:iCs/>
          <w:lang w:bidi="ar-EG"/>
        </w:rPr>
        <w:t>man</w:t>
      </w:r>
      <w:r w:rsidR="007214B1" w:rsidRPr="00861EF5">
        <w:rPr>
          <w:rFonts w:eastAsia="Times New Roman"/>
          <w:lang w:bidi="ar-EG"/>
        </w:rPr>
        <w:t xml:space="preserve"> [quiconque] précité. Le sens du verset dépend principalement du sens de ce pronom.</w:t>
      </w:r>
    </w:p>
    <w:p w14:paraId="1A00150A" w14:textId="77777777" w:rsidR="007214B1" w:rsidRPr="00861EF5" w:rsidRDefault="007214B1" w:rsidP="007214B1">
      <w:pPr>
        <w:spacing w:line="360" w:lineRule="auto"/>
        <w:ind w:firstLine="426"/>
        <w:rPr>
          <w:rFonts w:eastAsia="Times New Roman"/>
        </w:rPr>
      </w:pPr>
    </w:p>
    <w:p w14:paraId="1033ECD7" w14:textId="28F2986B" w:rsidR="007214B1" w:rsidRPr="00861EF5" w:rsidRDefault="007214B1" w:rsidP="007214B1">
      <w:pPr>
        <w:spacing w:line="360" w:lineRule="auto"/>
        <w:ind w:firstLine="426"/>
        <w:jc w:val="both"/>
      </w:pPr>
      <w:r>
        <w:rPr>
          <w:rFonts w:eastAsia="Times New Roman"/>
          <w:lang w:bidi="ar-AE"/>
        </w:rPr>
        <w:t>Parfois l’omission</w:t>
      </w:r>
      <w:r w:rsidRPr="00861EF5">
        <w:rPr>
          <w:rFonts w:eastAsia="Times New Roman"/>
          <w:lang w:bidi="ar-AE"/>
        </w:rPr>
        <w:t xml:space="preserve"> du sujet augmente l’ambigüité et donne lieu à la polysémie ; et le pronom sous-entendu (</w:t>
      </w:r>
      <w:r w:rsidRPr="00861EF5">
        <w:rPr>
          <w:rFonts w:eastAsia="Times New Roman"/>
          <w:i/>
          <w:iCs/>
          <w:lang w:bidi="ar-AE"/>
        </w:rPr>
        <w:t xml:space="preserve">ḍamīr mustatir </w:t>
      </w:r>
      <w:r w:rsidRPr="00861EF5">
        <w:rPr>
          <w:rFonts w:eastAsia="Times New Roman"/>
          <w:lang w:bidi="ar-AE"/>
        </w:rPr>
        <w:t xml:space="preserve">[pronom caché]) sujet </w:t>
      </w:r>
      <w:r>
        <w:rPr>
          <w:rFonts w:eastAsia="Times New Roman"/>
          <w:lang w:bidi="ar-AE"/>
        </w:rPr>
        <w:t>du verbe est cen</w:t>
      </w:r>
      <w:r w:rsidRPr="00861EF5">
        <w:rPr>
          <w:rFonts w:eastAsia="Times New Roman"/>
          <w:lang w:bidi="ar-AE"/>
        </w:rPr>
        <w:t>sé être [</w:t>
      </w:r>
      <w:r w:rsidRPr="00861EF5">
        <w:rPr>
          <w:rFonts w:eastAsia="Times New Roman"/>
          <w:i/>
          <w:iCs/>
          <w:lang w:bidi="ar-AE"/>
        </w:rPr>
        <w:t>taqdīru</w:t>
      </w:r>
      <w:r>
        <w:rPr>
          <w:rFonts w:eastAsia="Times New Roman"/>
          <w:i/>
          <w:iCs/>
          <w:lang w:bidi="ar-AE"/>
        </w:rPr>
        <w:t>-</w:t>
      </w:r>
      <w:r w:rsidRPr="00861EF5">
        <w:rPr>
          <w:rFonts w:eastAsia="Times New Roman"/>
          <w:i/>
          <w:iCs/>
          <w:lang w:bidi="ar-AE"/>
        </w:rPr>
        <w:t>hu</w:t>
      </w:r>
      <w:r w:rsidRPr="00861EF5">
        <w:rPr>
          <w:rFonts w:eastAsia="Times New Roman"/>
          <w:lang w:bidi="ar-AE"/>
        </w:rPr>
        <w:t xml:space="preserve">] </w:t>
      </w:r>
      <w:r>
        <w:rPr>
          <w:rFonts w:eastAsia="Times New Roman"/>
          <w:lang w:bidi="ar-AE"/>
        </w:rPr>
        <w:t>un</w:t>
      </w:r>
      <w:r w:rsidRPr="00861EF5">
        <w:rPr>
          <w:rFonts w:eastAsia="Times New Roman"/>
          <w:lang w:bidi="ar-AE"/>
        </w:rPr>
        <w:t xml:space="preserve"> pronom </w:t>
      </w:r>
      <w:r w:rsidRPr="00861EF5">
        <w:rPr>
          <w:rFonts w:eastAsia="Times New Roman"/>
          <w:i/>
          <w:iCs/>
          <w:lang w:bidi="ar-AE"/>
        </w:rPr>
        <w:t>huwa</w:t>
      </w:r>
      <w:r w:rsidRPr="00861EF5">
        <w:rPr>
          <w:rFonts w:eastAsia="Times New Roman"/>
          <w:lang w:bidi="ar-AE"/>
        </w:rPr>
        <w:t xml:space="preserve"> [il] dont on ne connait pas l’antécéden</w:t>
      </w:r>
      <w:r w:rsidR="0032222E">
        <w:rPr>
          <w:rFonts w:eastAsia="Times New Roman"/>
          <w:lang w:bidi="ar-AE"/>
        </w:rPr>
        <w:t xml:space="preserve">t. Prenons l’exemple du verbe </w:t>
      </w:r>
      <w:r w:rsidRPr="00861EF5">
        <w:rPr>
          <w:i/>
          <w:iCs/>
        </w:rPr>
        <w:t>yurīd</w:t>
      </w:r>
      <w:r w:rsidRPr="00861EF5">
        <w:t xml:space="preserve"> [</w:t>
      </w:r>
      <w:r w:rsidRPr="00861EF5">
        <w:rPr>
          <w:i/>
          <w:iCs/>
        </w:rPr>
        <w:t>il</w:t>
      </w:r>
      <w:r w:rsidRPr="00861EF5">
        <w:t xml:space="preserve"> veut] dans la phrase «</w:t>
      </w:r>
      <w:r>
        <w:t xml:space="preserve"> </w:t>
      </w:r>
      <w:r w:rsidRPr="00F90101">
        <w:rPr>
          <w:i/>
        </w:rPr>
        <w:t>wa</w:t>
      </w:r>
      <w:r>
        <w:t>-</w:t>
      </w:r>
      <w:r w:rsidRPr="00861EF5">
        <w:rPr>
          <w:i/>
          <w:iCs/>
        </w:rPr>
        <w:t>inna llāha yahdī man yurīd</w:t>
      </w:r>
      <w:r w:rsidRPr="00861EF5">
        <w:t> » [</w:t>
      </w:r>
      <w:r w:rsidRPr="00861EF5">
        <w:rPr>
          <w:rFonts w:eastAsia="Times New Roman"/>
          <w:lang w:bidi="ar-AE"/>
        </w:rPr>
        <w:t>Dieu guide celui qu’Il veut</w:t>
      </w:r>
      <w:r w:rsidRPr="00861EF5">
        <w:t xml:space="preserve">] (verset 16), </w:t>
      </w:r>
      <w:r w:rsidRPr="00861EF5">
        <w:rPr>
          <w:rFonts w:eastAsia="Times New Roman"/>
          <w:lang w:bidi="ar-AE"/>
        </w:rPr>
        <w:lastRenderedPageBreak/>
        <w:t>phrase précédée d’une autre phrase qui affirme, selon les exégètes, la parfaite clarté lexicale et sémantique des versets coraniques (« Ainsi faisons-Nous descendre des signes explicites »).</w:t>
      </w:r>
    </w:p>
    <w:p w14:paraId="3311B42C" w14:textId="77777777" w:rsidR="007214B1" w:rsidRPr="00861EF5" w:rsidRDefault="007214B1" w:rsidP="007214B1">
      <w:pPr>
        <w:spacing w:line="360" w:lineRule="auto"/>
        <w:ind w:firstLine="426"/>
        <w:jc w:val="both"/>
      </w:pPr>
    </w:p>
    <w:p w14:paraId="4939BB13" w14:textId="77777777" w:rsidR="007214B1" w:rsidRPr="00861EF5" w:rsidRDefault="007214B1" w:rsidP="007214B1">
      <w:pPr>
        <w:spacing w:line="360" w:lineRule="auto"/>
        <w:ind w:firstLine="426"/>
        <w:jc w:val="both"/>
        <w:rPr>
          <w:rFonts w:eastAsia="Times New Roman"/>
          <w:lang w:bidi="ar-AE"/>
        </w:rPr>
      </w:pPr>
      <w:r w:rsidRPr="00861EF5">
        <w:t xml:space="preserve">Le pronom personnel sujet sous-entendu du verbe </w:t>
      </w:r>
      <w:r w:rsidRPr="00861EF5">
        <w:rPr>
          <w:i/>
          <w:iCs/>
        </w:rPr>
        <w:t>yurīdu</w:t>
      </w:r>
      <w:r w:rsidRPr="00861EF5">
        <w:t xml:space="preserve"> est ambigu. </w:t>
      </w:r>
      <w:r>
        <w:rPr>
          <w:rFonts w:eastAsia="Times New Roman"/>
          <w:lang w:bidi="ar-AE"/>
        </w:rPr>
        <w:t>Du</w:t>
      </w:r>
      <w:r w:rsidRPr="00861EF5">
        <w:rPr>
          <w:rFonts w:eastAsia="Times New Roman"/>
          <w:lang w:bidi="ar-AE"/>
        </w:rPr>
        <w:t xml:space="preserve"> point de vue grammatical</w:t>
      </w:r>
      <w:r w:rsidRPr="00861EF5">
        <w:t xml:space="preserve">, il </w:t>
      </w:r>
      <w:r w:rsidRPr="00861EF5">
        <w:rPr>
          <w:rFonts w:eastAsia="Times New Roman"/>
          <w:lang w:bidi="ar-AE"/>
        </w:rPr>
        <w:t>peut renvoyer à deux sujets différents :</w:t>
      </w:r>
      <w:r w:rsidRPr="00861EF5">
        <w:t xml:space="preserve"> ou bien à </w:t>
      </w:r>
      <w:r w:rsidRPr="00861EF5">
        <w:rPr>
          <w:i/>
          <w:iCs/>
        </w:rPr>
        <w:t>Allāh</w:t>
      </w:r>
      <w:r w:rsidRPr="00861EF5">
        <w:t xml:space="preserve"> [Dieu] ou bien au pronom </w:t>
      </w:r>
      <w:r w:rsidRPr="00861EF5">
        <w:rPr>
          <w:i/>
          <w:iCs/>
        </w:rPr>
        <w:t>man</w:t>
      </w:r>
      <w:r w:rsidRPr="00861EF5">
        <w:t xml:space="preserve"> [quiconque].</w:t>
      </w:r>
      <w:r w:rsidRPr="00861EF5">
        <w:rPr>
          <w:rFonts w:eastAsia="Times New Roman"/>
          <w:lang w:bidi="ar-AE"/>
        </w:rPr>
        <w:t xml:space="preserve"> Autrement dit, le sujet peut être Dieu ou l’être humain.</w:t>
      </w:r>
    </w:p>
    <w:p w14:paraId="46CA9F7E" w14:textId="77777777" w:rsidR="007214B1" w:rsidRPr="00861EF5" w:rsidRDefault="007214B1" w:rsidP="007214B1">
      <w:pPr>
        <w:spacing w:line="360" w:lineRule="auto"/>
        <w:ind w:firstLine="426"/>
        <w:jc w:val="both"/>
        <w:rPr>
          <w:rFonts w:eastAsia="Times New Roman"/>
          <w:lang w:bidi="ar-AE"/>
        </w:rPr>
      </w:pPr>
    </w:p>
    <w:p w14:paraId="66558B93" w14:textId="77777777" w:rsidR="007214B1" w:rsidRPr="00861EF5" w:rsidRDefault="007214B1" w:rsidP="007214B1">
      <w:pPr>
        <w:spacing w:line="360" w:lineRule="auto"/>
        <w:ind w:firstLine="426"/>
        <w:jc w:val="both"/>
        <w:rPr>
          <w:rFonts w:eastAsia="Times New Roman"/>
          <w:lang w:bidi="ar-AE"/>
        </w:rPr>
      </w:pPr>
      <w:r w:rsidRPr="00861EF5">
        <w:rPr>
          <w:rFonts w:eastAsia="Times New Roman"/>
          <w:lang w:bidi="ar-AE"/>
        </w:rPr>
        <w:t xml:space="preserve">Cependant, presque tous les exégètes soulignent que l’antécédent est incontestablement </w:t>
      </w:r>
      <w:r w:rsidRPr="00861EF5">
        <w:rPr>
          <w:rFonts w:eastAsia="Times New Roman"/>
          <w:i/>
          <w:iCs/>
          <w:lang w:bidi="ar-AE"/>
        </w:rPr>
        <w:t>Allāh</w:t>
      </w:r>
      <w:r w:rsidRPr="00861EF5">
        <w:rPr>
          <w:rFonts w:eastAsia="Times New Roman"/>
          <w:lang w:bidi="ar-AE"/>
        </w:rPr>
        <w:t xml:space="preserve"> (bien que le mot </w:t>
      </w:r>
      <w:r w:rsidRPr="00861EF5">
        <w:rPr>
          <w:rFonts w:eastAsia="Times New Roman"/>
          <w:i/>
          <w:iCs/>
          <w:lang w:bidi="ar-AE"/>
        </w:rPr>
        <w:t>Allāh</w:t>
      </w:r>
      <w:r w:rsidRPr="00861EF5">
        <w:rPr>
          <w:rFonts w:eastAsia="Times New Roman"/>
          <w:lang w:bidi="ar-AE"/>
        </w:rPr>
        <w:t xml:space="preserve"> soit plus loin du verbe que le pronom </w:t>
      </w:r>
      <w:r w:rsidRPr="00861EF5">
        <w:rPr>
          <w:rFonts w:eastAsia="Times New Roman"/>
          <w:i/>
          <w:iCs/>
          <w:lang w:bidi="ar-AE"/>
        </w:rPr>
        <w:t>man</w:t>
      </w:r>
      <w:r w:rsidRPr="00861EF5">
        <w:rPr>
          <w:rFonts w:eastAsia="Times New Roman"/>
          <w:lang w:bidi="ar-AE"/>
        </w:rPr>
        <w:t xml:space="preserve"> et que l’antécédent renvoie normalement au nom ou au pronom le plus proche).</w:t>
      </w:r>
    </w:p>
    <w:p w14:paraId="7AD86855" w14:textId="77777777" w:rsidR="007214B1" w:rsidRPr="00861EF5" w:rsidRDefault="007214B1" w:rsidP="007214B1">
      <w:pPr>
        <w:spacing w:line="360" w:lineRule="auto"/>
        <w:ind w:firstLine="426"/>
        <w:jc w:val="both"/>
        <w:rPr>
          <w:rFonts w:eastAsia="Times New Roman"/>
          <w:lang w:bidi="ar-AE"/>
        </w:rPr>
      </w:pPr>
    </w:p>
    <w:p w14:paraId="5B276E3A" w14:textId="77777777" w:rsidR="007214B1" w:rsidRPr="00861EF5" w:rsidRDefault="007214B1" w:rsidP="007214B1">
      <w:pPr>
        <w:spacing w:line="360" w:lineRule="auto"/>
        <w:ind w:firstLine="426"/>
        <w:jc w:val="both"/>
        <w:rPr>
          <w:rFonts w:eastAsia="Times New Roman"/>
          <w:lang w:bidi="ar-AE"/>
        </w:rPr>
      </w:pPr>
      <w:r w:rsidRPr="00861EF5">
        <w:rPr>
          <w:rFonts w:eastAsia="Times New Roman"/>
          <w:lang w:bidi="ar-AE"/>
        </w:rPr>
        <w:t xml:space="preserve">L’exégète le plus ancien </w:t>
      </w:r>
      <w:r w:rsidRPr="007F3D09">
        <w:rPr>
          <w:rFonts w:eastAsia="Times New Roman"/>
          <w:lang w:bidi="ar-AE"/>
        </w:rPr>
        <w:t>Aṭ-Ṭabarī</w:t>
      </w:r>
      <w:r w:rsidRPr="00861EF5">
        <w:rPr>
          <w:rFonts w:eastAsia="Times New Roman"/>
          <w:lang w:bidi="ar-AE"/>
        </w:rPr>
        <w:t xml:space="preserve"> affirme que c’est </w:t>
      </w:r>
      <w:r w:rsidRPr="00861EF5">
        <w:rPr>
          <w:rFonts w:eastAsia="Times New Roman"/>
          <w:i/>
          <w:iCs/>
          <w:lang w:bidi="ar-AE"/>
        </w:rPr>
        <w:t>Allāh</w:t>
      </w:r>
      <w:r w:rsidRPr="00861EF5">
        <w:rPr>
          <w:rFonts w:eastAsia="Times New Roman"/>
          <w:lang w:bidi="ar-AE"/>
        </w:rPr>
        <w:t xml:space="preserve"> qui guide celui qu’</w:t>
      </w:r>
      <w:r w:rsidRPr="00861EF5">
        <w:rPr>
          <w:rFonts w:eastAsia="Times New Roman"/>
          <w:i/>
          <w:iCs/>
          <w:lang w:bidi="ar-AE"/>
        </w:rPr>
        <w:t>Il</w:t>
      </w:r>
      <w:r w:rsidRPr="00861EF5">
        <w:rPr>
          <w:rFonts w:eastAsia="Times New Roman"/>
          <w:lang w:bidi="ar-AE"/>
        </w:rPr>
        <w:t xml:space="preserve"> veut et non celui qui veut</w:t>
      </w:r>
      <w:r>
        <w:rPr>
          <w:rFonts w:eastAsia="Times New Roman"/>
          <w:lang w:bidi="ar-AE"/>
        </w:rPr>
        <w:t xml:space="preserve"> être guidé</w:t>
      </w:r>
      <w:r w:rsidRPr="00861EF5">
        <w:rPr>
          <w:rFonts w:eastAsia="Times New Roman"/>
          <w:lang w:bidi="ar-AE"/>
        </w:rPr>
        <w:t> :</w:t>
      </w:r>
    </w:p>
    <w:p w14:paraId="12BC8FE6" w14:textId="77777777" w:rsidR="007214B1" w:rsidRPr="00861EF5" w:rsidRDefault="007214B1" w:rsidP="007214B1">
      <w:pPr>
        <w:bidi/>
        <w:spacing w:line="360" w:lineRule="auto"/>
        <w:ind w:firstLine="426"/>
        <w:jc w:val="both"/>
        <w:rPr>
          <w:rFonts w:ascii="Simplified Arabic" w:eastAsia="Times New Roman" w:hAnsi="Simplified Arabic" w:cs="Simplified Arabic"/>
          <w:lang w:bidi="ar-AE"/>
        </w:rPr>
      </w:pPr>
      <w:r w:rsidRPr="00861EF5">
        <w:rPr>
          <w:rFonts w:ascii="Simplified Arabic" w:eastAsia="Times New Roman" w:hAnsi="Simplified Arabic" w:cs="Simplified Arabic"/>
          <w:rtl/>
          <w:lang w:bidi="ar-AE"/>
        </w:rPr>
        <w:t>"آيات بي</w:t>
      </w:r>
      <w:r w:rsidRPr="00861EF5">
        <w:rPr>
          <w:rFonts w:ascii="Simplified Arabic" w:eastAsia="Times New Roman" w:hAnsi="Simplified Arabic" w:cs="Simplified Arabic" w:hint="cs"/>
          <w:rtl/>
          <w:lang w:bidi="ar-AE"/>
        </w:rPr>
        <w:t>ّ</w:t>
      </w:r>
      <w:r w:rsidRPr="00861EF5">
        <w:rPr>
          <w:rFonts w:ascii="Simplified Arabic" w:eastAsia="Times New Roman" w:hAnsi="Simplified Arabic" w:cs="Simplified Arabic"/>
          <w:rtl/>
          <w:lang w:bidi="ar-AE"/>
        </w:rPr>
        <w:t>نات، يعني دلالات واضحات، يهدين من أراد اللهُ هدايتَه إلى الحق".</w:t>
      </w:r>
    </w:p>
    <w:p w14:paraId="66E92273" w14:textId="77777777" w:rsidR="007214B1" w:rsidRPr="00861EF5" w:rsidRDefault="007214B1" w:rsidP="007214B1">
      <w:pPr>
        <w:spacing w:line="360" w:lineRule="auto"/>
        <w:ind w:firstLine="426"/>
        <w:jc w:val="both"/>
        <w:rPr>
          <w:rFonts w:eastAsia="Times New Roman"/>
          <w:rtl/>
          <w:lang w:bidi="ar-AE"/>
        </w:rPr>
      </w:pPr>
      <w:r w:rsidRPr="007F3D09">
        <w:rPr>
          <w:rFonts w:eastAsia="Times New Roman"/>
        </w:rPr>
        <w:t>al-Qurṭubī</w:t>
      </w:r>
      <w:r w:rsidRPr="00861EF5">
        <w:rPr>
          <w:rFonts w:eastAsia="Times New Roman"/>
        </w:rPr>
        <w:t xml:space="preserve"> précise plus clairement</w:t>
      </w:r>
      <w:r w:rsidRPr="00861EF5">
        <w:rPr>
          <w:rFonts w:eastAsia="Times New Roman"/>
          <w:lang w:bidi="ar-AE"/>
        </w:rPr>
        <w:t xml:space="preserve"> que c’est Dieu qui est le sujet et non l’humain :</w:t>
      </w:r>
    </w:p>
    <w:p w14:paraId="18DB82F3" w14:textId="77777777" w:rsidR="007214B1" w:rsidRPr="00861EF5" w:rsidRDefault="007214B1" w:rsidP="007214B1">
      <w:pPr>
        <w:bidi/>
        <w:spacing w:line="360" w:lineRule="auto"/>
        <w:ind w:firstLine="426"/>
        <w:jc w:val="both"/>
        <w:rPr>
          <w:rFonts w:ascii="Simplified Arabic" w:eastAsia="Times New Roman" w:hAnsi="Simplified Arabic" w:cs="Simplified Arabic"/>
          <w:lang w:bidi="ar-AE"/>
        </w:rPr>
      </w:pPr>
      <w:r w:rsidRPr="00861EF5">
        <w:rPr>
          <w:rFonts w:ascii="Simplified Arabic" w:eastAsia="Times New Roman" w:hAnsi="Simplified Arabic" w:cs="Simplified Arabic"/>
          <w:rtl/>
          <w:lang w:bidi="ar-AE"/>
        </w:rPr>
        <w:t>"وأنَّ اللهَ، أي: وكذلك أنَّ الله. يهدي من يريد: علَّقَ وجودَ الهداية بإرادته؛ فهو الهادي لا هادي سواه".</w:t>
      </w:r>
    </w:p>
    <w:p w14:paraId="383B70B4" w14:textId="77777777" w:rsidR="007214B1" w:rsidRPr="000F65B0" w:rsidRDefault="007214B1" w:rsidP="007214B1">
      <w:pPr>
        <w:spacing w:line="360" w:lineRule="auto"/>
        <w:ind w:firstLine="426"/>
        <w:jc w:val="both"/>
        <w:rPr>
          <w:rFonts w:eastAsia="Times New Roman"/>
          <w:rtl/>
          <w:lang w:bidi="ar-AE"/>
        </w:rPr>
      </w:pPr>
      <w:r w:rsidRPr="007F3D09">
        <w:rPr>
          <w:rFonts w:eastAsia="Times New Roman"/>
          <w:lang w:bidi="ar-EG"/>
        </w:rPr>
        <w:t>Ibn Kathīr</w:t>
      </w:r>
      <w:r w:rsidRPr="00861EF5">
        <w:rPr>
          <w:rFonts w:eastAsia="Times New Roman"/>
          <w:lang w:bidi="ar-AE"/>
        </w:rPr>
        <w:t xml:space="preserve"> affirme la même </w:t>
      </w:r>
      <w:r w:rsidRPr="000F65B0">
        <w:rPr>
          <w:rFonts w:eastAsia="Times New Roman"/>
          <w:lang w:bidi="ar-AE"/>
        </w:rPr>
        <w:t>interprétation en s’appuyant sur un autre verset :</w:t>
      </w:r>
    </w:p>
    <w:p w14:paraId="5B5F8DB8" w14:textId="77777777" w:rsidR="007214B1" w:rsidRPr="000F65B0" w:rsidRDefault="007214B1" w:rsidP="007214B1">
      <w:pPr>
        <w:bidi/>
        <w:spacing w:line="360" w:lineRule="auto"/>
        <w:ind w:firstLine="426"/>
        <w:jc w:val="both"/>
        <w:rPr>
          <w:rFonts w:ascii="Simplified Arabic" w:eastAsia="Times New Roman" w:hAnsi="Simplified Arabic" w:cs="Simplified Arabic"/>
          <w:lang w:bidi="ar-KW"/>
        </w:rPr>
      </w:pPr>
      <w:r w:rsidRPr="000F65B0">
        <w:rPr>
          <w:rFonts w:ascii="Simplified Arabic" w:eastAsia="Times New Roman" w:hAnsi="Simplified Arabic" w:cs="Simplified Arabic"/>
          <w:rtl/>
          <w:lang w:bidi="ar-AE"/>
        </w:rPr>
        <w:t>"وأن الله يهدي من يريد، أي: يضل من يشاء ويهدي من يشاء، وله الحكمة التامة والحجة القاطعة في ذلك، "لا يُسأل عما يفعل وهم يُسألون" (الأنبياء، 23)."</w:t>
      </w:r>
    </w:p>
    <w:p w14:paraId="7BCCADFF" w14:textId="77777777" w:rsidR="007214B1" w:rsidRPr="000F65B0" w:rsidRDefault="007214B1" w:rsidP="007214B1">
      <w:pPr>
        <w:spacing w:line="360" w:lineRule="auto"/>
        <w:ind w:firstLine="426"/>
        <w:jc w:val="both"/>
        <w:rPr>
          <w:rFonts w:eastAsia="Times New Roman"/>
          <w:rtl/>
          <w:lang w:bidi="ar-AE"/>
        </w:rPr>
      </w:pPr>
    </w:p>
    <w:p w14:paraId="763C0DE3" w14:textId="77777777" w:rsidR="007214B1" w:rsidRPr="00861EF5" w:rsidRDefault="007214B1" w:rsidP="007214B1">
      <w:pPr>
        <w:spacing w:line="360" w:lineRule="auto"/>
        <w:ind w:firstLine="426"/>
        <w:jc w:val="both"/>
        <w:rPr>
          <w:rFonts w:eastAsia="Times New Roman"/>
          <w:lang w:bidi="ar-AE"/>
        </w:rPr>
      </w:pPr>
      <w:r w:rsidRPr="000F65B0">
        <w:rPr>
          <w:rFonts w:eastAsia="Times New Roman"/>
          <w:lang w:bidi="ar-AE"/>
        </w:rPr>
        <w:t>Ce qui veut dire que la majorité des théologiens musulmans et surtout</w:t>
      </w:r>
      <w:r w:rsidRPr="00861EF5">
        <w:rPr>
          <w:rFonts w:eastAsia="Times New Roman"/>
          <w:lang w:bidi="ar-AE"/>
        </w:rPr>
        <w:t xml:space="preserve"> sunnites sont partisans du prédéterminisme, à l’exception de quelques courants minoritaires comme les mutazilites (VIII</w:t>
      </w:r>
      <w:r w:rsidRPr="00861EF5">
        <w:rPr>
          <w:rFonts w:eastAsia="Times New Roman"/>
          <w:vertAlign w:val="superscript"/>
          <w:lang w:bidi="ar-AE"/>
        </w:rPr>
        <w:t>e</w:t>
      </w:r>
      <w:r w:rsidRPr="00861EF5">
        <w:rPr>
          <w:rFonts w:eastAsia="Times New Roman"/>
          <w:lang w:bidi="ar-AE"/>
        </w:rPr>
        <w:t xml:space="preserve"> siècle) et </w:t>
      </w:r>
      <w:r w:rsidRPr="00861EF5">
        <w:t>ʿAbd al-Hādī</w:t>
      </w:r>
      <w:r w:rsidRPr="00861EF5">
        <w:rPr>
          <w:rFonts w:eastAsia="Times New Roman"/>
        </w:rPr>
        <w:t xml:space="preserve"> </w:t>
      </w:r>
      <w:r w:rsidRPr="006C5241">
        <w:t>Al-Bānī</w:t>
      </w:r>
      <w:r w:rsidRPr="006C5241">
        <w:rPr>
          <w:rFonts w:eastAsia="Times New Roman"/>
          <w:lang w:bidi="ar-AE"/>
        </w:rPr>
        <w:t xml:space="preserve"> </w:t>
      </w:r>
      <w:r w:rsidRPr="00861EF5">
        <w:rPr>
          <w:rFonts w:eastAsia="Times New Roman"/>
          <w:lang w:bidi="ar-AE"/>
        </w:rPr>
        <w:t>(syrien contemporain, m. 2011).</w:t>
      </w:r>
      <w:r>
        <w:rPr>
          <w:rFonts w:eastAsia="Times New Roman"/>
          <w:lang w:bidi="ar-AE"/>
        </w:rPr>
        <w:t xml:space="preserve"> Or cette exégèse prédéterminist</w:t>
      </w:r>
      <w:r w:rsidRPr="00861EF5">
        <w:rPr>
          <w:rFonts w:eastAsia="Times New Roman"/>
          <w:lang w:bidi="ar-AE"/>
        </w:rPr>
        <w:t>e est contradictoire avec le principe des arguments et des preuves adoptées par le Coran lui-même. Si c’est Dieu qui choisit celui qu’</w:t>
      </w:r>
      <w:r w:rsidRPr="00861EF5">
        <w:rPr>
          <w:rFonts w:eastAsia="Times New Roman"/>
          <w:i/>
          <w:iCs/>
          <w:lang w:bidi="ar-AE"/>
        </w:rPr>
        <w:t>Il</w:t>
      </w:r>
      <w:r w:rsidRPr="00861EF5">
        <w:rPr>
          <w:rFonts w:eastAsia="Times New Roman"/>
          <w:lang w:bidi="ar-AE"/>
        </w:rPr>
        <w:t xml:space="preserve"> veut guider et si l’homme n’a pas de liberté de choix, alors pourquoi Dieu présente</w:t>
      </w:r>
      <w:r>
        <w:rPr>
          <w:rFonts w:eastAsia="Times New Roman"/>
          <w:lang w:bidi="ar-AE"/>
        </w:rPr>
        <w:t>-t-il</w:t>
      </w:r>
      <w:r w:rsidRPr="00861EF5">
        <w:rPr>
          <w:rFonts w:eastAsia="Times New Roman"/>
          <w:lang w:bidi="ar-AE"/>
        </w:rPr>
        <w:t xml:space="preserve"> au début de la sourate, et ailleurs dans le Coran, des arguments (sur Sa capacité) dans le but de convaincre l’être humain ?</w:t>
      </w:r>
    </w:p>
    <w:p w14:paraId="78EDC036" w14:textId="77777777" w:rsidR="007214B1" w:rsidRPr="00861EF5" w:rsidRDefault="007214B1" w:rsidP="007214B1">
      <w:pPr>
        <w:spacing w:line="360" w:lineRule="auto"/>
        <w:ind w:firstLine="426"/>
        <w:jc w:val="both"/>
        <w:rPr>
          <w:rFonts w:eastAsia="Times New Roman"/>
          <w:lang w:bidi="ar-AE"/>
        </w:rPr>
      </w:pPr>
    </w:p>
    <w:p w14:paraId="53F3D678" w14:textId="77777777" w:rsidR="007214B1" w:rsidRPr="00861EF5" w:rsidRDefault="007214B1" w:rsidP="007214B1">
      <w:pPr>
        <w:spacing w:line="360" w:lineRule="auto"/>
        <w:ind w:firstLine="426"/>
        <w:jc w:val="both"/>
        <w:rPr>
          <w:rFonts w:eastAsia="Times New Roman"/>
          <w:lang w:bidi="ar-AE"/>
        </w:rPr>
      </w:pPr>
      <w:r w:rsidRPr="00861EF5">
        <w:rPr>
          <w:rFonts w:eastAsia="Times New Roman"/>
          <w:lang w:bidi="ar-AE"/>
        </w:rPr>
        <w:lastRenderedPageBreak/>
        <w:t xml:space="preserve">Seule la confrérie naqshbandite syrienne contemporaine (Muḥammad Amīn </w:t>
      </w:r>
      <w:r w:rsidRPr="00861EF5">
        <w:rPr>
          <w:rFonts w:eastAsia="Times New Roman"/>
          <w:smallCaps/>
          <w:lang w:bidi="ar-AE"/>
        </w:rPr>
        <w:t>Shaykhū</w:t>
      </w:r>
      <w:r w:rsidRPr="00861EF5">
        <w:rPr>
          <w:rFonts w:eastAsia="Times New Roman"/>
          <w:lang w:bidi="ar-AE"/>
        </w:rPr>
        <w:t xml:space="preserve"> </w:t>
      </w:r>
      <w:r w:rsidRPr="00861EF5">
        <w:t>(1890-1964)</w:t>
      </w:r>
      <w:r w:rsidRPr="00861EF5">
        <w:rPr>
          <w:rFonts w:eastAsia="Times New Roman"/>
          <w:lang w:bidi="ar-AE"/>
        </w:rPr>
        <w:t xml:space="preserve"> et ses élèves </w:t>
      </w:r>
      <w:r w:rsidRPr="00861EF5">
        <w:t>ʿAbd al-Hādī</w:t>
      </w:r>
      <w:r w:rsidRPr="00861EF5">
        <w:rPr>
          <w:rFonts w:eastAsia="Times New Roman"/>
        </w:rPr>
        <w:t xml:space="preserve"> </w:t>
      </w:r>
      <w:r w:rsidRPr="00951D85">
        <w:t>Al-Bānī</w:t>
      </w:r>
      <w:r w:rsidRPr="00861EF5">
        <w:rPr>
          <w:rFonts w:eastAsia="Times New Roman"/>
          <w:lang w:bidi="ar-AE"/>
        </w:rPr>
        <w:t xml:space="preserve"> </w:t>
      </w:r>
      <w:r w:rsidRPr="00861EF5">
        <w:t xml:space="preserve">(1916-2011) </w:t>
      </w:r>
      <w:r w:rsidRPr="00861EF5">
        <w:rPr>
          <w:rFonts w:eastAsia="Times New Roman"/>
          <w:lang w:bidi="ar-AE"/>
        </w:rPr>
        <w:t xml:space="preserve">et </w:t>
      </w:r>
      <w:r w:rsidRPr="00861EF5">
        <w:t xml:space="preserve">Muḥammad Rātib </w:t>
      </w:r>
      <w:r w:rsidRPr="00951D85">
        <w:t>An-Nābulsī</w:t>
      </w:r>
      <w:r w:rsidRPr="00861EF5">
        <w:rPr>
          <w:rFonts w:eastAsia="Times New Roman"/>
          <w:lang w:bidi="ar-AE"/>
        </w:rPr>
        <w:t xml:space="preserve"> (né en 1938)) a dit que le sujet de </w:t>
      </w:r>
      <w:r w:rsidRPr="00861EF5">
        <w:rPr>
          <w:rFonts w:eastAsia="Times New Roman"/>
          <w:i/>
          <w:iCs/>
          <w:lang w:bidi="ar-AE"/>
        </w:rPr>
        <w:t>yurīdu</w:t>
      </w:r>
      <w:r w:rsidRPr="00861EF5">
        <w:rPr>
          <w:rFonts w:eastAsia="Times New Roman"/>
          <w:lang w:bidi="ar-AE"/>
        </w:rPr>
        <w:t xml:space="preserve"> [(il) veut] n’est pas du tout </w:t>
      </w:r>
      <w:r w:rsidRPr="00861EF5">
        <w:rPr>
          <w:rFonts w:eastAsia="Times New Roman"/>
          <w:i/>
          <w:iCs/>
          <w:lang w:bidi="ar-AE"/>
        </w:rPr>
        <w:t>Allāh</w:t>
      </w:r>
      <w:r w:rsidRPr="00861EF5">
        <w:rPr>
          <w:rFonts w:eastAsia="Times New Roman"/>
          <w:lang w:bidi="ar-AE"/>
        </w:rPr>
        <w:t>, mais l’être humain (</w:t>
      </w:r>
      <w:r w:rsidRPr="00861EF5">
        <w:rPr>
          <w:rFonts w:eastAsia="Times New Roman"/>
          <w:i/>
          <w:iCs/>
          <w:lang w:bidi="ar-AE"/>
        </w:rPr>
        <w:t>man</w:t>
      </w:r>
      <w:r w:rsidRPr="00861EF5">
        <w:rPr>
          <w:rFonts w:eastAsia="Times New Roman"/>
          <w:lang w:bidi="ar-AE"/>
        </w:rPr>
        <w:t xml:space="preserve"> [quiconque]). Dans son exégèse,</w:t>
      </w:r>
      <w:r w:rsidRPr="00861EF5">
        <w:rPr>
          <w:smallCaps/>
        </w:rPr>
        <w:t xml:space="preserve"> </w:t>
      </w:r>
      <w:r w:rsidRPr="00951D85">
        <w:t>Shaykhū</w:t>
      </w:r>
      <w:r w:rsidRPr="00861EF5">
        <w:rPr>
          <w:rFonts w:eastAsia="Times New Roman"/>
          <w:lang w:bidi="ar-AE"/>
        </w:rPr>
        <w:t xml:space="preserve"> souligne que le Coran contient des lois évidentes (</w:t>
      </w:r>
      <w:r w:rsidRPr="00861EF5">
        <w:rPr>
          <w:rFonts w:eastAsia="Times New Roman"/>
          <w:i/>
          <w:iCs/>
          <w:lang w:bidi="ar-AE"/>
        </w:rPr>
        <w:t>āyāt bayyināt</w:t>
      </w:r>
      <w:r w:rsidRPr="00861EF5">
        <w:rPr>
          <w:rFonts w:eastAsia="Times New Roman"/>
          <w:lang w:bidi="ar-AE"/>
        </w:rPr>
        <w:t xml:space="preserve">) et que Dieu guide celui </w:t>
      </w:r>
      <w:r w:rsidRPr="00861EF5">
        <w:rPr>
          <w:rFonts w:eastAsia="Times New Roman"/>
          <w:i/>
          <w:iCs/>
          <w:lang w:bidi="ar-AE"/>
        </w:rPr>
        <w:t>qui</w:t>
      </w:r>
      <w:r w:rsidRPr="00861EF5">
        <w:rPr>
          <w:rFonts w:eastAsia="Times New Roman"/>
          <w:lang w:bidi="ar-AE"/>
        </w:rPr>
        <w:t xml:space="preserve"> choisit la guidance. En d’autres termes, c’est l’être humain qui veut (</w:t>
      </w:r>
      <w:r w:rsidRPr="00861EF5">
        <w:rPr>
          <w:rFonts w:eastAsia="Times New Roman"/>
          <w:i/>
          <w:iCs/>
          <w:lang w:bidi="ar-AE"/>
        </w:rPr>
        <w:t>yurīdu</w:t>
      </w:r>
      <w:r w:rsidRPr="00861EF5">
        <w:rPr>
          <w:rFonts w:eastAsia="Times New Roman"/>
          <w:lang w:bidi="ar-AE"/>
        </w:rPr>
        <w:t>) et Dieu agit selon le choix de l’humain. C’est pourquoi les musulmans sunnites Syriens considèrent les élèves d</w:t>
      </w:r>
      <w:r w:rsidRPr="00861EF5">
        <w:rPr>
          <w:smallCaps/>
        </w:rPr>
        <w:t>’Al-Bānī</w:t>
      </w:r>
      <w:r w:rsidRPr="00861EF5">
        <w:rPr>
          <w:rFonts w:eastAsia="Times New Roman"/>
          <w:lang w:bidi="ar-AE"/>
        </w:rPr>
        <w:t xml:space="preserve"> comme des mutazilites, parce qu’ils sont partisans du libre arbitre.</w:t>
      </w:r>
    </w:p>
    <w:p w14:paraId="4C77A75D" w14:textId="77777777" w:rsidR="007214B1" w:rsidRPr="00861EF5" w:rsidRDefault="007214B1" w:rsidP="007214B1">
      <w:pPr>
        <w:spacing w:line="360" w:lineRule="auto"/>
        <w:ind w:firstLine="426"/>
        <w:jc w:val="both"/>
        <w:rPr>
          <w:rFonts w:eastAsia="Times New Roman"/>
          <w:lang w:bidi="ar-AE"/>
        </w:rPr>
      </w:pPr>
    </w:p>
    <w:p w14:paraId="255C7899" w14:textId="77777777" w:rsidR="007214B1" w:rsidRPr="00861EF5" w:rsidRDefault="007214B1" w:rsidP="007214B1">
      <w:pPr>
        <w:spacing w:line="360" w:lineRule="auto"/>
        <w:ind w:firstLine="426"/>
        <w:jc w:val="both"/>
        <w:rPr>
          <w:rFonts w:eastAsia="Times New Roman"/>
          <w:lang w:bidi="ar-AE"/>
        </w:rPr>
      </w:pPr>
      <w:r w:rsidRPr="00861EF5">
        <w:rPr>
          <w:rFonts w:eastAsia="Times New Roman"/>
          <w:lang w:bidi="ar-AE"/>
        </w:rPr>
        <w:t>Ainsi, nous avons vu comment ce verset dénote deux idées contradictoires : 1</w:t>
      </w:r>
      <w:r>
        <w:rPr>
          <w:rFonts w:eastAsia="Times New Roman"/>
          <w:lang w:bidi="ar-AE"/>
        </w:rPr>
        <w:t>) </w:t>
      </w:r>
      <w:r w:rsidRPr="00861EF5">
        <w:rPr>
          <w:rFonts w:eastAsia="Times New Roman"/>
          <w:lang w:bidi="ar-AE"/>
        </w:rPr>
        <w:t>la liberté de choix (le libre arbitre), et 2</w:t>
      </w:r>
      <w:r>
        <w:rPr>
          <w:rFonts w:eastAsia="Times New Roman"/>
          <w:lang w:bidi="ar-AE"/>
        </w:rPr>
        <w:t>) </w:t>
      </w:r>
      <w:r w:rsidRPr="00861EF5">
        <w:rPr>
          <w:rFonts w:eastAsia="Times New Roman"/>
          <w:lang w:bidi="ar-AE"/>
        </w:rPr>
        <w:t>le prédéterminisme. Grâce à la polysémie du pronom personnel sujet sous-entendu (</w:t>
      </w:r>
      <w:r w:rsidRPr="00861EF5">
        <w:rPr>
          <w:rFonts w:eastAsia="Times New Roman"/>
          <w:i/>
          <w:iCs/>
          <w:lang w:bidi="ar-AE"/>
        </w:rPr>
        <w:t xml:space="preserve">ḍamīr mustatir </w:t>
      </w:r>
      <w:r w:rsidRPr="00861EF5">
        <w:rPr>
          <w:rFonts w:eastAsia="Times New Roman"/>
          <w:lang w:bidi="ar-AE"/>
        </w:rPr>
        <w:t xml:space="preserve">[pronom caché]), ce verset qualifié de </w:t>
      </w:r>
      <w:r w:rsidRPr="00861EF5">
        <w:rPr>
          <w:rFonts w:eastAsia="Times New Roman"/>
          <w:i/>
          <w:iCs/>
          <w:lang w:bidi="ar-AE"/>
        </w:rPr>
        <w:t>bayyina</w:t>
      </w:r>
      <w:r w:rsidRPr="00861EF5">
        <w:rPr>
          <w:rFonts w:eastAsia="Times New Roman"/>
          <w:lang w:bidi="ar-AE"/>
        </w:rPr>
        <w:t xml:space="preserve"> (clair, précis, évident) est si équivoque qu’il a donné lieu à deux écoles théologiques divergentes : 1</w:t>
      </w:r>
      <w:r>
        <w:rPr>
          <w:rFonts w:eastAsia="Times New Roman"/>
          <w:lang w:bidi="ar-AE"/>
        </w:rPr>
        <w:t>) </w:t>
      </w:r>
      <w:r>
        <w:rPr>
          <w:rFonts w:eastAsia="Times New Roman"/>
          <w:i/>
          <w:iCs/>
          <w:lang w:bidi="ar-AE"/>
        </w:rPr>
        <w:t>al-qadari</w:t>
      </w:r>
      <w:r w:rsidRPr="00861EF5">
        <w:rPr>
          <w:rFonts w:eastAsia="Times New Roman"/>
          <w:i/>
          <w:iCs/>
          <w:lang w:bidi="ar-AE"/>
        </w:rPr>
        <w:t>yya</w:t>
      </w:r>
      <w:r w:rsidRPr="00861EF5">
        <w:rPr>
          <w:rFonts w:eastAsia="Times New Roman"/>
          <w:lang w:bidi="ar-AE"/>
        </w:rPr>
        <w:t xml:space="preserve"> (les partisans du libre arbitre, comme les mutazilites) qui affirme la volonté de l’homme, et 2</w:t>
      </w:r>
      <w:r>
        <w:rPr>
          <w:rFonts w:eastAsia="Times New Roman"/>
          <w:lang w:bidi="ar-AE"/>
        </w:rPr>
        <w:t>) </w:t>
      </w:r>
      <w:r>
        <w:rPr>
          <w:rFonts w:eastAsia="Times New Roman"/>
          <w:i/>
          <w:iCs/>
          <w:lang w:bidi="ar-AE"/>
        </w:rPr>
        <w:t>al-jabri</w:t>
      </w:r>
      <w:r w:rsidRPr="00861EF5">
        <w:rPr>
          <w:rFonts w:eastAsia="Times New Roman"/>
          <w:i/>
          <w:iCs/>
          <w:lang w:bidi="ar-AE"/>
        </w:rPr>
        <w:t>yya</w:t>
      </w:r>
      <w:r w:rsidRPr="00861EF5">
        <w:rPr>
          <w:rFonts w:eastAsia="Times New Roman"/>
          <w:lang w:bidi="ar-AE"/>
        </w:rPr>
        <w:t xml:space="preserve"> (les partisans du prédéterminisme, de la prédestination, comme les jahmites) qui affirme la seule volonté de Dieu et l’incapacité de l’homme. Selon le dogme de l’islam, le musulman doit croire en même temps à la prédestination et au libre arbitre (</w:t>
      </w:r>
      <w:r w:rsidRPr="00861EF5">
        <w:rPr>
          <w:rFonts w:eastAsia="Times New Roman"/>
          <w:i/>
          <w:iCs/>
          <w:lang w:bidi="ar-AE"/>
        </w:rPr>
        <w:t>al-qaḍāʾ</w:t>
      </w:r>
      <w:r>
        <w:rPr>
          <w:rFonts w:eastAsia="Times New Roman"/>
          <w:i/>
          <w:iCs/>
          <w:lang w:bidi="ar-AE"/>
        </w:rPr>
        <w:t xml:space="preserve"> wa-</w:t>
      </w:r>
      <w:r w:rsidRPr="00861EF5">
        <w:rPr>
          <w:rFonts w:eastAsia="Times New Roman"/>
          <w:i/>
          <w:iCs/>
          <w:lang w:bidi="ar-AE"/>
        </w:rPr>
        <w:t>l-qadar</w:t>
      </w:r>
      <w:r w:rsidRPr="00861EF5">
        <w:rPr>
          <w:rFonts w:eastAsia="Times New Roman"/>
          <w:lang w:bidi="ar-AE"/>
        </w:rPr>
        <w:t>), deux notions qui semblent complémentaires. La croyance en la prédestination et au libre arbitre est le sixième pilier de la foi musulmane.</w:t>
      </w:r>
    </w:p>
    <w:p w14:paraId="678B48F1" w14:textId="77777777" w:rsidR="007214B1" w:rsidRPr="00281754" w:rsidRDefault="007214B1" w:rsidP="007214B1">
      <w:pPr>
        <w:spacing w:line="360" w:lineRule="auto"/>
        <w:ind w:firstLine="426"/>
        <w:jc w:val="both"/>
        <w:rPr>
          <w:rFonts w:eastAsia="Times New Roman"/>
          <w:lang w:bidi="ar-AE"/>
        </w:rPr>
      </w:pPr>
    </w:p>
    <w:p w14:paraId="657A2AB4" w14:textId="77777777" w:rsidR="007214B1" w:rsidRPr="00281754" w:rsidRDefault="007214B1" w:rsidP="007214B1">
      <w:pPr>
        <w:spacing w:line="360" w:lineRule="auto"/>
        <w:ind w:firstLine="426"/>
        <w:jc w:val="both"/>
        <w:outlineLvl w:val="0"/>
        <w:rPr>
          <w:rFonts w:eastAsia="Times New Roman"/>
          <w:b/>
          <w:bCs/>
        </w:rPr>
      </w:pPr>
      <w:r w:rsidRPr="00281754">
        <w:rPr>
          <w:rFonts w:eastAsia="Times New Roman"/>
          <w:b/>
          <w:bCs/>
        </w:rPr>
        <w:t xml:space="preserve">Le COD omis du </w:t>
      </w:r>
      <w:r w:rsidRPr="00281754">
        <w:rPr>
          <w:rFonts w:eastAsia="Times New Roman"/>
          <w:b/>
          <w:bCs/>
          <w:i/>
          <w:iCs/>
        </w:rPr>
        <w:t>yaqṭaʿ</w:t>
      </w:r>
      <w:r w:rsidRPr="00281754">
        <w:rPr>
          <w:rFonts w:eastAsia="Times New Roman"/>
          <w:b/>
          <w:bCs/>
        </w:rPr>
        <w:t xml:space="preserve"> (v. 15) :</w:t>
      </w:r>
    </w:p>
    <w:p w14:paraId="1AC51D79" w14:textId="77777777" w:rsidR="007214B1" w:rsidRPr="00281754" w:rsidRDefault="007214B1" w:rsidP="007214B1">
      <w:pPr>
        <w:spacing w:line="360" w:lineRule="auto"/>
        <w:ind w:firstLine="426"/>
        <w:jc w:val="both"/>
        <w:rPr>
          <w:rFonts w:eastAsia="Times New Roman"/>
          <w:lang w:bidi="ar-AE"/>
        </w:rPr>
      </w:pPr>
      <w:r>
        <w:rPr>
          <w:rFonts w:eastAsia="Times New Roman"/>
          <w:lang w:bidi="ar-AE"/>
        </w:rPr>
        <w:tab/>
        <w:t xml:space="preserve">Le COD du verbe </w:t>
      </w:r>
      <w:r w:rsidRPr="00281754">
        <w:rPr>
          <w:rFonts w:eastAsia="Times New Roman"/>
          <w:i/>
          <w:iCs/>
        </w:rPr>
        <w:t>yaqṭaʿ</w:t>
      </w:r>
      <w:r w:rsidRPr="00281754">
        <w:rPr>
          <w:rFonts w:eastAsia="Times New Roman"/>
        </w:rPr>
        <w:t xml:space="preserve"> est omis. Les exégètes soulignent que ce COD omis peut désigner : la victoire donnée au prophète Muḥammad, l’origine de la révélation,</w:t>
      </w:r>
      <w:r>
        <w:rPr>
          <w:rFonts w:eastAsia="Times New Roman"/>
        </w:rPr>
        <w:t xml:space="preserve"> la révélation,</w:t>
      </w:r>
      <w:r w:rsidRPr="00281754">
        <w:rPr>
          <w:rFonts w:eastAsia="Times New Roman"/>
        </w:rPr>
        <w:t xml:space="preserve"> la respiration, le </w:t>
      </w:r>
      <w:r w:rsidRPr="00281754">
        <w:rPr>
          <w:rFonts w:eastAsia="Times New Roman"/>
          <w:i/>
          <w:iCs/>
        </w:rPr>
        <w:t>rizq</w:t>
      </w:r>
      <w:r w:rsidRPr="00281754">
        <w:rPr>
          <w:rFonts w:eastAsia="Times New Roman"/>
        </w:rPr>
        <w:t xml:space="preserve"> (les vivres ou les moyens de subsistance), les actes condamnables (</w:t>
      </w:r>
      <w:r w:rsidRPr="00281754">
        <w:rPr>
          <w:rFonts w:eastAsia="Times New Roman"/>
          <w:i/>
          <w:iCs/>
        </w:rPr>
        <w:t>munkar</w:t>
      </w:r>
      <w:r w:rsidRPr="00281754">
        <w:rPr>
          <w:rFonts w:eastAsia="Times New Roman"/>
        </w:rPr>
        <w:t>) ou le passé, etc.</w:t>
      </w:r>
    </w:p>
    <w:p w14:paraId="17087BE2" w14:textId="77777777" w:rsidR="007214B1" w:rsidRDefault="007214B1" w:rsidP="007214B1">
      <w:pPr>
        <w:spacing w:line="360" w:lineRule="auto"/>
        <w:ind w:firstLine="426"/>
        <w:jc w:val="both"/>
        <w:rPr>
          <w:rFonts w:eastAsia="Times New Roman"/>
          <w:lang w:bidi="ar-AE"/>
        </w:rPr>
      </w:pPr>
    </w:p>
    <w:p w14:paraId="7BBF33B6" w14:textId="77777777" w:rsidR="007236A4" w:rsidRPr="00281754" w:rsidRDefault="007236A4" w:rsidP="007214B1">
      <w:pPr>
        <w:spacing w:line="360" w:lineRule="auto"/>
        <w:ind w:firstLine="426"/>
        <w:jc w:val="both"/>
        <w:rPr>
          <w:rFonts w:eastAsia="Times New Roman"/>
          <w:lang w:bidi="ar-AE"/>
        </w:rPr>
      </w:pPr>
    </w:p>
    <w:p w14:paraId="3B85472C" w14:textId="77777777" w:rsidR="007214B1" w:rsidRPr="00861EF5" w:rsidRDefault="007214B1" w:rsidP="007214B1">
      <w:pPr>
        <w:spacing w:line="360" w:lineRule="auto"/>
        <w:ind w:firstLine="426"/>
        <w:contextualSpacing/>
        <w:jc w:val="both"/>
        <w:outlineLvl w:val="0"/>
        <w:rPr>
          <w:rFonts w:asciiTheme="majorBidi" w:hAnsiTheme="majorBidi" w:cstheme="majorBidi"/>
          <w:b/>
          <w:bCs/>
          <w:lang w:bidi="ar-AE"/>
        </w:rPr>
      </w:pPr>
      <w:r w:rsidRPr="00861EF5">
        <w:rPr>
          <w:rFonts w:asciiTheme="majorBidi" w:hAnsiTheme="majorBidi" w:cstheme="majorBidi"/>
          <w:b/>
          <w:bCs/>
          <w:lang w:bidi="ar-AE"/>
        </w:rPr>
        <w:t>Le pronom sujet du verbe</w:t>
      </w:r>
      <w:r w:rsidRPr="00861EF5">
        <w:rPr>
          <w:rFonts w:asciiTheme="majorBidi" w:hAnsiTheme="majorBidi" w:cstheme="majorBidi"/>
          <w:b/>
          <w:bCs/>
          <w:i/>
          <w:iCs/>
          <w:lang w:bidi="ar-AE"/>
        </w:rPr>
        <w:t xml:space="preserve"> tushrik</w:t>
      </w:r>
      <w:r w:rsidRPr="00861EF5">
        <w:rPr>
          <w:rFonts w:asciiTheme="majorBidi" w:hAnsiTheme="majorBidi" w:cstheme="majorBidi"/>
          <w:b/>
          <w:bCs/>
          <w:lang w:bidi="ar-AE"/>
        </w:rPr>
        <w:t xml:space="preserve"> (v. 26) :</w:t>
      </w:r>
    </w:p>
    <w:p w14:paraId="03083410" w14:textId="77777777" w:rsidR="007214B1" w:rsidRPr="00861EF5" w:rsidRDefault="007214B1" w:rsidP="007214B1">
      <w:pPr>
        <w:spacing w:line="360" w:lineRule="auto"/>
        <w:ind w:firstLine="426"/>
        <w:contextualSpacing/>
        <w:jc w:val="both"/>
        <w:rPr>
          <w:rFonts w:asciiTheme="majorBidi" w:hAnsiTheme="majorBidi" w:cstheme="majorBidi"/>
          <w:lang w:bidi="ar-AE"/>
        </w:rPr>
      </w:pPr>
      <w:r w:rsidRPr="00861EF5">
        <w:rPr>
          <w:rFonts w:asciiTheme="majorBidi" w:hAnsiTheme="majorBidi" w:cstheme="majorBidi"/>
          <w:lang w:bidi="ar-AE"/>
        </w:rPr>
        <w:t xml:space="preserve">Concernant le sujet du verbe </w:t>
      </w:r>
      <w:r w:rsidRPr="00861EF5">
        <w:rPr>
          <w:rFonts w:asciiTheme="majorBidi" w:hAnsiTheme="majorBidi" w:cstheme="majorBidi"/>
          <w:b/>
          <w:bCs/>
          <w:i/>
          <w:iCs/>
          <w:lang w:bidi="ar-AE"/>
        </w:rPr>
        <w:t>t</w:t>
      </w:r>
      <w:r w:rsidRPr="00861EF5">
        <w:rPr>
          <w:rFonts w:asciiTheme="majorBidi" w:hAnsiTheme="majorBidi" w:cstheme="majorBidi"/>
          <w:i/>
          <w:iCs/>
          <w:lang w:bidi="ar-AE"/>
        </w:rPr>
        <w:t>ushrik</w:t>
      </w:r>
      <w:r w:rsidRPr="00861EF5">
        <w:rPr>
          <w:rFonts w:asciiTheme="majorBidi" w:hAnsiTheme="majorBidi" w:cstheme="majorBidi"/>
          <w:lang w:bidi="ar-AE"/>
        </w:rPr>
        <w:t xml:space="preserve"> [</w:t>
      </w:r>
      <w:r w:rsidRPr="00861EF5">
        <w:rPr>
          <w:rFonts w:asciiTheme="majorBidi" w:hAnsiTheme="majorBidi" w:cstheme="majorBidi"/>
          <w:b/>
          <w:bCs/>
          <w:lang w:bidi="ar-AE"/>
        </w:rPr>
        <w:t>tu</w:t>
      </w:r>
      <w:r w:rsidRPr="00861EF5">
        <w:rPr>
          <w:rFonts w:asciiTheme="majorBidi" w:hAnsiTheme="majorBidi" w:cstheme="majorBidi"/>
          <w:lang w:bidi="ar-AE"/>
        </w:rPr>
        <w:t xml:space="preserve"> attribues des associés à Dieu] qui est un pronom caché </w:t>
      </w:r>
      <w:r w:rsidRPr="00861EF5">
        <w:rPr>
          <w:rFonts w:asciiTheme="majorBidi" w:hAnsiTheme="majorBidi" w:cstheme="majorBidi"/>
        </w:rPr>
        <w:t>[</w:t>
      </w:r>
      <w:r w:rsidRPr="00861EF5">
        <w:rPr>
          <w:rFonts w:asciiTheme="majorBidi" w:eastAsia="Times New Roman" w:hAnsiTheme="majorBidi" w:cstheme="majorBidi"/>
          <w:i/>
          <w:iCs/>
        </w:rPr>
        <w:t>ḍamīr mustatir</w:t>
      </w:r>
      <w:r w:rsidRPr="00861EF5">
        <w:rPr>
          <w:rFonts w:asciiTheme="majorBidi" w:hAnsiTheme="majorBidi" w:cstheme="majorBidi"/>
        </w:rPr>
        <w:t>]</w:t>
      </w:r>
      <w:r w:rsidRPr="00861EF5">
        <w:rPr>
          <w:rFonts w:asciiTheme="majorBidi" w:hAnsiTheme="majorBidi" w:cstheme="majorBidi"/>
          <w:lang w:bidi="ar-AE"/>
        </w:rPr>
        <w:t xml:space="preserve">, les exégètes </w:t>
      </w:r>
      <w:r>
        <w:rPr>
          <w:rFonts w:asciiTheme="majorBidi" w:hAnsiTheme="majorBidi" w:cstheme="majorBidi"/>
          <w:lang w:bidi="ar-AE"/>
        </w:rPr>
        <w:t>divergent</w:t>
      </w:r>
      <w:r w:rsidRPr="00861EF5">
        <w:rPr>
          <w:rFonts w:asciiTheme="majorBidi" w:hAnsiTheme="majorBidi" w:cstheme="majorBidi"/>
          <w:lang w:bidi="ar-AE"/>
        </w:rPr>
        <w:t xml:space="preserve"> à propos </w:t>
      </w:r>
      <w:r>
        <w:rPr>
          <w:rFonts w:asciiTheme="majorBidi" w:hAnsiTheme="majorBidi" w:cstheme="majorBidi"/>
          <w:lang w:bidi="ar-AE"/>
        </w:rPr>
        <w:t>du destinataire de cette injonction</w:t>
      </w:r>
      <w:r w:rsidRPr="00861EF5">
        <w:rPr>
          <w:rFonts w:asciiTheme="majorBidi" w:hAnsiTheme="majorBidi" w:cstheme="majorBidi"/>
          <w:lang w:bidi="ar-AE"/>
        </w:rPr>
        <w:t> : « </w:t>
      </w:r>
      <w:r w:rsidRPr="00861EF5">
        <w:rPr>
          <w:rFonts w:asciiTheme="majorBidi" w:hAnsiTheme="majorBidi" w:cstheme="majorBidi"/>
          <w:i/>
          <w:iCs/>
          <w:lang w:bidi="ar-AE"/>
        </w:rPr>
        <w:t xml:space="preserve">Lā </w:t>
      </w:r>
      <w:r w:rsidRPr="00861EF5">
        <w:rPr>
          <w:rFonts w:asciiTheme="majorBidi" w:hAnsiTheme="majorBidi" w:cstheme="majorBidi"/>
          <w:b/>
          <w:bCs/>
          <w:i/>
          <w:iCs/>
          <w:lang w:bidi="ar-AE"/>
        </w:rPr>
        <w:t>t</w:t>
      </w:r>
      <w:r w:rsidRPr="00861EF5">
        <w:rPr>
          <w:rFonts w:asciiTheme="majorBidi" w:hAnsiTheme="majorBidi" w:cstheme="majorBidi"/>
          <w:i/>
          <w:iCs/>
          <w:lang w:bidi="ar-AE"/>
        </w:rPr>
        <w:t>ushrik bī shayʾan… </w:t>
      </w:r>
      <w:r w:rsidRPr="00861EF5">
        <w:rPr>
          <w:rFonts w:asciiTheme="majorBidi" w:hAnsiTheme="majorBidi" w:cstheme="majorBidi"/>
          <w:lang w:bidi="ar-AE"/>
        </w:rPr>
        <w:t xml:space="preserve">» [« Ne M’associe personne… »]. Certains disent que la personne concernée </w:t>
      </w:r>
      <w:r w:rsidRPr="00861EF5">
        <w:rPr>
          <w:rFonts w:asciiTheme="majorBidi" w:hAnsiTheme="majorBidi" w:cstheme="majorBidi"/>
          <w:lang w:bidi="ar-AE"/>
        </w:rPr>
        <w:lastRenderedPageBreak/>
        <w:t xml:space="preserve">est Abraham. </w:t>
      </w:r>
      <w:r>
        <w:rPr>
          <w:rFonts w:asciiTheme="majorBidi" w:eastAsia="Times New Roman" w:hAnsiTheme="majorBidi" w:cstheme="majorBidi"/>
        </w:rPr>
        <w:t>A</w:t>
      </w:r>
      <w:r w:rsidRPr="00951D85">
        <w:rPr>
          <w:rFonts w:asciiTheme="majorBidi" w:eastAsia="Times New Roman" w:hAnsiTheme="majorBidi" w:cstheme="majorBidi"/>
        </w:rPr>
        <w:t>l-Qurṭubī</w:t>
      </w:r>
      <w:r w:rsidRPr="00861EF5">
        <w:rPr>
          <w:rFonts w:asciiTheme="majorBidi" w:hAnsiTheme="majorBidi" w:cstheme="majorBidi"/>
          <w:lang w:bidi="ar-AE"/>
        </w:rPr>
        <w:t xml:space="preserve"> souligne que le discours est adressé à Abraham, c’est pourquoi ʿIkrima a lu le verbe comme conjugué à la troisième personne du singulier : « </w:t>
      </w:r>
      <w:r w:rsidRPr="00861EF5">
        <w:rPr>
          <w:rFonts w:asciiTheme="majorBidi" w:hAnsiTheme="majorBidi" w:cstheme="majorBidi"/>
          <w:i/>
          <w:iCs/>
          <w:lang w:bidi="ar-AE"/>
        </w:rPr>
        <w:t xml:space="preserve">Lā </w:t>
      </w:r>
      <w:r w:rsidRPr="00861EF5">
        <w:rPr>
          <w:rFonts w:asciiTheme="majorBidi" w:hAnsiTheme="majorBidi" w:cstheme="majorBidi"/>
          <w:b/>
          <w:bCs/>
          <w:i/>
          <w:iCs/>
          <w:lang w:bidi="ar-AE"/>
        </w:rPr>
        <w:t>y</w:t>
      </w:r>
      <w:r w:rsidRPr="00861EF5">
        <w:rPr>
          <w:rFonts w:asciiTheme="majorBidi" w:hAnsiTheme="majorBidi" w:cstheme="majorBidi"/>
          <w:i/>
          <w:iCs/>
          <w:lang w:bidi="ar-AE"/>
        </w:rPr>
        <w:t>ushrik bī</w:t>
      </w:r>
      <w:r w:rsidRPr="00861EF5">
        <w:rPr>
          <w:rFonts w:asciiTheme="majorBidi" w:hAnsiTheme="majorBidi" w:cstheme="majorBidi"/>
          <w:lang w:bidi="ar-AE"/>
        </w:rPr>
        <w:t> » au lieu de « </w:t>
      </w:r>
      <w:r w:rsidRPr="00861EF5">
        <w:rPr>
          <w:rFonts w:asciiTheme="majorBidi" w:hAnsiTheme="majorBidi" w:cstheme="majorBidi"/>
          <w:i/>
          <w:iCs/>
          <w:lang w:bidi="ar-AE"/>
        </w:rPr>
        <w:t xml:space="preserve">Lā </w:t>
      </w:r>
      <w:r w:rsidRPr="00861EF5">
        <w:rPr>
          <w:rFonts w:asciiTheme="majorBidi" w:hAnsiTheme="majorBidi" w:cstheme="majorBidi"/>
          <w:b/>
          <w:bCs/>
          <w:i/>
          <w:iCs/>
          <w:lang w:bidi="ar-AE"/>
        </w:rPr>
        <w:t>t</w:t>
      </w:r>
      <w:r w:rsidRPr="00861EF5">
        <w:rPr>
          <w:rFonts w:asciiTheme="majorBidi" w:hAnsiTheme="majorBidi" w:cstheme="majorBidi"/>
          <w:i/>
          <w:iCs/>
          <w:lang w:bidi="ar-AE"/>
        </w:rPr>
        <w:t>ushrik bī</w:t>
      </w:r>
      <w:r w:rsidRPr="00861EF5">
        <w:rPr>
          <w:rFonts w:asciiTheme="majorBidi" w:hAnsiTheme="majorBidi" w:cstheme="majorBidi"/>
          <w:lang w:bidi="ar-AE"/>
        </w:rPr>
        <w:t xml:space="preserve"> », et c’est l’avis de la majorité des exégètes. </w:t>
      </w:r>
      <w:r>
        <w:rPr>
          <w:rFonts w:asciiTheme="majorBidi" w:hAnsiTheme="majorBidi" w:cstheme="majorBidi"/>
          <w:lang w:bidi="ar-AE"/>
        </w:rPr>
        <w:t>Pour d’autres,</w:t>
      </w:r>
      <w:r w:rsidRPr="00861EF5">
        <w:rPr>
          <w:rFonts w:asciiTheme="majorBidi" w:hAnsiTheme="majorBidi" w:cstheme="majorBidi"/>
          <w:lang w:bidi="ar-AE"/>
        </w:rPr>
        <w:t xml:space="preserve"> c’est Muḥammad qui est concerné (ex. : </w:t>
      </w:r>
      <w:r w:rsidRPr="00861EF5">
        <w:rPr>
          <w:rFonts w:asciiTheme="majorBidi" w:hAnsiTheme="majorBidi" w:cstheme="majorBidi"/>
          <w:i/>
          <w:iCs/>
          <w:lang w:bidi="ar-AE"/>
        </w:rPr>
        <w:t>Tafsīr Ash-Shawkānī</w:t>
      </w:r>
      <w:r w:rsidRPr="00861EF5">
        <w:rPr>
          <w:rFonts w:asciiTheme="majorBidi" w:hAnsiTheme="majorBidi" w:cstheme="majorBidi"/>
          <w:lang w:bidi="ar-AE"/>
        </w:rPr>
        <w:t>).</w:t>
      </w:r>
    </w:p>
    <w:p w14:paraId="6CC1EB74" w14:textId="77777777" w:rsidR="007214B1" w:rsidRPr="00861EF5" w:rsidRDefault="007214B1" w:rsidP="007214B1">
      <w:pPr>
        <w:spacing w:line="360" w:lineRule="auto"/>
        <w:ind w:firstLine="426"/>
        <w:contextualSpacing/>
        <w:jc w:val="both"/>
        <w:rPr>
          <w:rFonts w:asciiTheme="majorBidi" w:eastAsia="Times New Roman" w:hAnsiTheme="majorBidi" w:cstheme="majorBidi"/>
          <w:lang w:bidi="ar-AE"/>
        </w:rPr>
      </w:pPr>
    </w:p>
    <w:p w14:paraId="6672B056" w14:textId="05A760C6" w:rsidR="007214B1" w:rsidRPr="00861EF5" w:rsidRDefault="007214B1" w:rsidP="007214B1">
      <w:pPr>
        <w:spacing w:line="360" w:lineRule="auto"/>
        <w:ind w:firstLine="426"/>
        <w:contextualSpacing/>
        <w:jc w:val="both"/>
        <w:rPr>
          <w:rFonts w:eastAsia="Times New Roman"/>
          <w:lang w:bidi="ar-KW"/>
        </w:rPr>
      </w:pPr>
      <w:r w:rsidRPr="00861EF5">
        <w:rPr>
          <w:rFonts w:eastAsia="Times New Roman"/>
          <w:lang w:bidi="ar-AE"/>
        </w:rPr>
        <w:t>À propos de la personne à qui s’adresse le verset 27 (</w:t>
      </w:r>
      <w:r w:rsidRPr="00861EF5">
        <w:rPr>
          <w:rFonts w:ascii="Simplified Arabic" w:eastAsia="Times New Roman" w:hAnsi="Simplified Arabic" w:cs="Simplified Arabic"/>
          <w:rtl/>
          <w:lang w:bidi="ar-AE"/>
        </w:rPr>
        <w:t>و</w:t>
      </w:r>
      <w:r w:rsidRPr="00861EF5">
        <w:rPr>
          <w:rFonts w:ascii="Simplified Arabic" w:eastAsia="Times New Roman" w:hAnsi="Simplified Arabic" w:cs="Simplified Arabic"/>
          <w:b/>
          <w:bCs/>
          <w:rtl/>
          <w:lang w:bidi="ar-AE"/>
        </w:rPr>
        <w:t>أذِّنْ</w:t>
      </w:r>
      <w:r w:rsidRPr="00861EF5">
        <w:rPr>
          <w:rFonts w:ascii="Simplified Arabic" w:eastAsia="Times New Roman" w:hAnsi="Simplified Arabic" w:cs="Simplified Arabic"/>
          <w:rtl/>
          <w:lang w:bidi="ar-AE"/>
        </w:rPr>
        <w:t xml:space="preserve"> في الناس بالحجِّ </w:t>
      </w:r>
      <w:r w:rsidRPr="00861EF5">
        <w:rPr>
          <w:rFonts w:ascii="Simplified Arabic" w:eastAsia="Times New Roman" w:hAnsi="Simplified Arabic" w:cs="Simplified Arabic"/>
          <w:b/>
          <w:bCs/>
          <w:rtl/>
          <w:lang w:bidi="ar-AE"/>
        </w:rPr>
        <w:t>يأتوك</w:t>
      </w:r>
      <w:r w:rsidRPr="00861EF5">
        <w:rPr>
          <w:rFonts w:ascii="Simplified Arabic" w:eastAsia="Times New Roman" w:hAnsi="Simplified Arabic" w:cs="Simplified Arabic"/>
          <w:rtl/>
          <w:lang w:bidi="ar-AE"/>
        </w:rPr>
        <w:t xml:space="preserve"> رجالاً</w:t>
      </w:r>
      <w:r w:rsidRPr="00861EF5">
        <w:rPr>
          <w:rFonts w:eastAsia="Times New Roman"/>
          <w:lang w:bidi="ar-AE"/>
        </w:rPr>
        <w:t xml:space="preserve"> [</w:t>
      </w:r>
      <w:r w:rsidRPr="00861EF5">
        <w:rPr>
          <w:rFonts w:eastAsia="Times New Roman"/>
          <w:b/>
          <w:bCs/>
          <w:lang w:bidi="ar-AE"/>
        </w:rPr>
        <w:t>lance</w:t>
      </w:r>
      <w:r w:rsidRPr="00861EF5">
        <w:rPr>
          <w:rFonts w:eastAsia="Times New Roman"/>
          <w:lang w:bidi="ar-AE"/>
        </w:rPr>
        <w:t xml:space="preserve"> parmi les hommes l’appel au pèlerinage : qu’ils </w:t>
      </w:r>
      <w:r w:rsidRPr="00861EF5">
        <w:rPr>
          <w:rFonts w:eastAsia="Times New Roman"/>
          <w:b/>
          <w:bCs/>
          <w:i/>
          <w:iCs/>
          <w:lang w:bidi="ar-AE"/>
        </w:rPr>
        <w:t>te</w:t>
      </w:r>
      <w:r w:rsidRPr="00861EF5">
        <w:rPr>
          <w:rFonts w:eastAsia="Times New Roman"/>
          <w:lang w:bidi="ar-AE"/>
        </w:rPr>
        <w:t xml:space="preserve"> </w:t>
      </w:r>
      <w:r w:rsidRPr="00861EF5">
        <w:rPr>
          <w:rFonts w:eastAsia="Times New Roman"/>
          <w:b/>
          <w:bCs/>
          <w:lang w:bidi="ar-AE"/>
        </w:rPr>
        <w:t>viennent</w:t>
      </w:r>
      <w:r w:rsidRPr="00861EF5">
        <w:rPr>
          <w:rFonts w:eastAsia="Times New Roman"/>
          <w:lang w:bidi="ar-AE"/>
        </w:rPr>
        <w:t xml:space="preserve"> à pied]), les exégètes sont en désaccord. </w:t>
      </w:r>
      <w:r w:rsidRPr="00861EF5">
        <w:rPr>
          <w:rFonts w:eastAsia="Times New Roman"/>
          <w:lang w:bidi="ar-KW"/>
        </w:rPr>
        <w:t>Aṭ-Ṭabarī (m. 923) dit que le</w:t>
      </w:r>
      <w:r w:rsidR="0032222E">
        <w:rPr>
          <w:rFonts w:eastAsia="Times New Roman"/>
          <w:lang w:bidi="ar-KW"/>
        </w:rPr>
        <w:t xml:space="preserve"> sujet du verbe à l’impératif </w:t>
      </w:r>
      <w:r w:rsidRPr="00861EF5">
        <w:rPr>
          <w:rFonts w:eastAsia="Times New Roman"/>
          <w:i/>
          <w:iCs/>
          <w:lang w:bidi="ar-KW"/>
        </w:rPr>
        <w:t>ʾadhdhin</w:t>
      </w:r>
      <w:r w:rsidRPr="00861EF5">
        <w:rPr>
          <w:rFonts w:eastAsia="Times New Roman"/>
          <w:lang w:bidi="ar-KW"/>
        </w:rPr>
        <w:t xml:space="preserve"> [annonce/appelle] </w:t>
      </w:r>
      <w:r w:rsidRPr="00861EF5">
        <w:rPr>
          <w:rFonts w:eastAsia="Times New Roman"/>
          <w:lang w:bidi="ar-AE"/>
        </w:rPr>
        <w:t xml:space="preserve">(étant un </w:t>
      </w:r>
      <w:r w:rsidRPr="00861EF5">
        <w:rPr>
          <w:rFonts w:eastAsia="Times New Roman"/>
          <w:i/>
          <w:iCs/>
          <w:lang w:bidi="ar-AE"/>
        </w:rPr>
        <w:t>ḍamīr mustatir ujūb</w:t>
      </w:r>
      <w:r w:rsidRPr="00861EF5">
        <w:rPr>
          <w:rFonts w:eastAsia="Times New Roman"/>
          <w:i/>
          <w:iCs/>
          <w:vertAlign w:val="superscript"/>
          <w:lang w:bidi="ar-AE"/>
        </w:rPr>
        <w:t>an</w:t>
      </w:r>
      <w:r w:rsidRPr="00861EF5">
        <w:rPr>
          <w:rFonts w:eastAsia="Times New Roman"/>
          <w:i/>
          <w:iCs/>
          <w:lang w:bidi="ar-AE"/>
        </w:rPr>
        <w:t xml:space="preserve"> </w:t>
      </w:r>
      <w:r w:rsidRPr="00861EF5">
        <w:rPr>
          <w:rFonts w:eastAsia="Times New Roman"/>
          <w:lang w:bidi="ar-AE"/>
        </w:rPr>
        <w:t xml:space="preserve">[un pronom obligatoirement caché]) </w:t>
      </w:r>
      <w:r w:rsidRPr="00861EF5">
        <w:rPr>
          <w:rFonts w:eastAsia="Times New Roman"/>
          <w:lang w:bidi="ar-KW"/>
        </w:rPr>
        <w:t xml:space="preserve">et le pronom explicite </w:t>
      </w:r>
      <w:r w:rsidR="0032222E">
        <w:rPr>
          <w:rFonts w:eastAsia="Times New Roman"/>
          <w:lang w:bidi="ar-AE"/>
        </w:rPr>
        <w:t xml:space="preserve">COD </w:t>
      </w:r>
      <w:r w:rsidRPr="00861EF5">
        <w:rPr>
          <w:rFonts w:eastAsia="Times New Roman"/>
          <w:i/>
          <w:iCs/>
          <w:lang w:bidi="ar-AE"/>
        </w:rPr>
        <w:t>-ka</w:t>
      </w:r>
      <w:r w:rsidR="0032222E">
        <w:rPr>
          <w:rFonts w:eastAsia="Times New Roman"/>
          <w:lang w:bidi="ar-AE"/>
        </w:rPr>
        <w:t xml:space="preserve"> du verbe à l’inaccompli </w:t>
      </w:r>
      <w:r w:rsidRPr="00861EF5">
        <w:rPr>
          <w:rFonts w:eastAsia="Times New Roman"/>
          <w:i/>
          <w:iCs/>
          <w:lang w:bidi="ar-AE"/>
        </w:rPr>
        <w:t>yaʾtūka</w:t>
      </w:r>
      <w:r w:rsidRPr="00861EF5">
        <w:rPr>
          <w:rFonts w:eastAsia="Times New Roman"/>
          <w:lang w:bidi="ar-AE"/>
        </w:rPr>
        <w:t xml:space="preserve"> [ils te viennent])</w:t>
      </w:r>
      <w:r w:rsidRPr="00861EF5">
        <w:rPr>
          <w:rFonts w:eastAsia="Times New Roman"/>
          <w:lang w:bidi="ar-KW"/>
        </w:rPr>
        <w:t xml:space="preserve"> renvoient à Abraham. Al-Qurṭubī </w:t>
      </w:r>
      <w:r w:rsidRPr="00861EF5">
        <w:rPr>
          <w:lang w:bidi="ar-EG"/>
        </w:rPr>
        <w:t>(m. 1273)</w:t>
      </w:r>
      <w:r w:rsidRPr="00861EF5">
        <w:rPr>
          <w:b/>
          <w:bCs/>
          <w:lang w:bidi="ar-EG"/>
        </w:rPr>
        <w:t xml:space="preserve"> </w:t>
      </w:r>
      <w:r w:rsidRPr="00861EF5">
        <w:rPr>
          <w:rFonts w:eastAsia="Times New Roman"/>
          <w:lang w:bidi="ar-KW"/>
        </w:rPr>
        <w:t>souligne cependant qu’il s’agit plutôt du prophète Muḥammad.</w:t>
      </w:r>
    </w:p>
    <w:p w14:paraId="58E3B313" w14:textId="77777777" w:rsidR="007214B1" w:rsidRPr="00861EF5" w:rsidRDefault="007214B1" w:rsidP="007214B1">
      <w:pPr>
        <w:spacing w:line="360" w:lineRule="auto"/>
        <w:ind w:firstLine="426"/>
        <w:jc w:val="both"/>
        <w:rPr>
          <w:rFonts w:eastAsia="Times New Roman"/>
          <w:lang w:bidi="ar-AE"/>
        </w:rPr>
      </w:pPr>
    </w:p>
    <w:p w14:paraId="3259C5F5" w14:textId="0D0F92A9" w:rsidR="007214B1" w:rsidRPr="00861EF5" w:rsidRDefault="007214B1" w:rsidP="007214B1">
      <w:pPr>
        <w:spacing w:line="360" w:lineRule="auto"/>
        <w:ind w:firstLine="426"/>
        <w:jc w:val="both"/>
        <w:rPr>
          <w:rFonts w:eastAsia="Times New Roman"/>
          <w:lang w:bidi="ar-AE"/>
        </w:rPr>
      </w:pPr>
      <w:r w:rsidRPr="00861EF5">
        <w:rPr>
          <w:rFonts w:eastAsia="Times New Roman"/>
          <w:lang w:bidi="ar-AE"/>
        </w:rPr>
        <w:t>Examinons les significations du pronom affixe féminin singulier complément d’une préposition</w:t>
      </w:r>
      <w:r w:rsidRPr="00861EF5">
        <w:rPr>
          <w:b/>
          <w:bCs/>
          <w:i/>
          <w:iCs/>
        </w:rPr>
        <w:t xml:space="preserve"> </w:t>
      </w:r>
      <w:r w:rsidRPr="00861EF5">
        <w:rPr>
          <w:i/>
          <w:iCs/>
        </w:rPr>
        <w:t>fī</w:t>
      </w:r>
      <w:r>
        <w:rPr>
          <w:i/>
          <w:iCs/>
        </w:rPr>
        <w:t>-</w:t>
      </w:r>
      <w:r w:rsidRPr="00861EF5">
        <w:rPr>
          <w:i/>
          <w:iCs/>
        </w:rPr>
        <w:t>hā</w:t>
      </w:r>
      <w:r w:rsidRPr="00861EF5">
        <w:rPr>
          <w:rFonts w:eastAsia="Times New Roman"/>
          <w:lang w:bidi="ar-AE"/>
        </w:rPr>
        <w:t xml:space="preserve"> dans la proposition </w:t>
      </w:r>
      <w:r w:rsidRPr="00861EF5">
        <w:rPr>
          <w:rFonts w:eastAsia="Times New Roman"/>
          <w:lang w:bidi="ar-EG"/>
        </w:rPr>
        <w:t>« </w:t>
      </w:r>
      <w:r>
        <w:rPr>
          <w:rFonts w:eastAsia="Times New Roman" w:hint="cs"/>
          <w:rtl/>
          <w:lang w:bidi="ar-EG"/>
        </w:rPr>
        <w:t>يُذكَرُ فيــ</w:t>
      </w:r>
      <w:r w:rsidRPr="000015FB">
        <w:rPr>
          <w:rFonts w:eastAsia="Times New Roman" w:hint="cs"/>
          <w:b/>
          <w:bCs/>
          <w:rtl/>
          <w:lang w:bidi="ar-EG"/>
        </w:rPr>
        <w:t xml:space="preserve">ـها </w:t>
      </w:r>
      <w:r>
        <w:rPr>
          <w:rFonts w:eastAsia="Times New Roman" w:hint="cs"/>
          <w:rtl/>
          <w:lang w:bidi="ar-EG"/>
        </w:rPr>
        <w:t>اسمُ الله كثيراً</w:t>
      </w:r>
      <w:r w:rsidRPr="00861EF5">
        <w:rPr>
          <w:rFonts w:eastAsia="Times New Roman"/>
          <w:lang w:bidi="ar-EG"/>
        </w:rPr>
        <w:t> » [</w:t>
      </w:r>
      <w:r w:rsidRPr="00861EF5">
        <w:rPr>
          <w:rFonts w:eastAsia="Times New Roman"/>
          <w:i/>
          <w:iCs/>
          <w:lang w:bidi="ar-EG"/>
        </w:rPr>
        <w:t>où</w:t>
      </w:r>
      <w:r w:rsidRPr="00861EF5">
        <w:rPr>
          <w:rFonts w:eastAsia="Times New Roman"/>
          <w:lang w:bidi="ar-EG"/>
        </w:rPr>
        <w:t xml:space="preserve"> le nom de Dieu est invoqué sans cesse]</w:t>
      </w:r>
      <w:r w:rsidRPr="00861EF5">
        <w:rPr>
          <w:rFonts w:eastAsia="Times New Roman"/>
          <w:lang w:bidi="ar-AE"/>
        </w:rPr>
        <w:t xml:space="preserve"> (verset 40). </w:t>
      </w:r>
      <w:r w:rsidRPr="00861EF5">
        <w:rPr>
          <w:rFonts w:eastAsia="Times New Roman"/>
        </w:rPr>
        <w:t xml:space="preserve">L’antécédent </w:t>
      </w:r>
      <w:r w:rsidR="00A5013E">
        <w:rPr>
          <w:rFonts w:eastAsia="Times New Roman"/>
          <w:lang w:bidi="ar-EG"/>
        </w:rPr>
        <w:t xml:space="preserve">de ce pronom clitique </w:t>
      </w:r>
      <w:r w:rsidRPr="00861EF5">
        <w:rPr>
          <w:rFonts w:eastAsia="Times New Roman"/>
          <w:lang w:bidi="ar-EG"/>
        </w:rPr>
        <w:t>-</w:t>
      </w:r>
      <w:r w:rsidRPr="00861EF5">
        <w:rPr>
          <w:rFonts w:eastAsia="Times New Roman"/>
          <w:i/>
          <w:iCs/>
          <w:lang w:bidi="ar-EG"/>
        </w:rPr>
        <w:t>hā</w:t>
      </w:r>
      <w:r w:rsidRPr="00861EF5">
        <w:rPr>
          <w:rFonts w:eastAsia="Times New Roman"/>
          <w:lang w:bidi="ar-EG"/>
        </w:rPr>
        <w:t xml:space="preserve"> peut renvoyer à </w:t>
      </w:r>
      <w:r w:rsidRPr="00861EF5">
        <w:rPr>
          <w:rFonts w:eastAsia="Times New Roman"/>
          <w:i/>
          <w:iCs/>
        </w:rPr>
        <w:t>masājid</w:t>
      </w:r>
      <w:r w:rsidRPr="00861EF5">
        <w:rPr>
          <w:rFonts w:eastAsia="Times New Roman"/>
        </w:rPr>
        <w:t xml:space="preserve"> des musulmans seulement ou bien à toute sorte de lieux de cultes précités</w:t>
      </w:r>
      <w:r w:rsidRPr="00861EF5">
        <w:rPr>
          <w:rFonts w:eastAsia="Times New Roman"/>
          <w:lang w:bidi="ar-AE"/>
        </w:rPr>
        <w:t xml:space="preserve"> (</w:t>
      </w:r>
      <w:r w:rsidRPr="00AD01E9">
        <w:rPr>
          <w:rFonts w:eastAsia="Times New Roman"/>
          <w:i/>
        </w:rPr>
        <w:t>ṣawāmiʿ,</w:t>
      </w:r>
      <w:r w:rsidRPr="00AD01E9">
        <w:rPr>
          <w:rFonts w:eastAsia="Times New Roman"/>
          <w:i/>
          <w:iCs/>
        </w:rPr>
        <w:t xml:space="preserve"> wa-</w:t>
      </w:r>
      <w:r w:rsidRPr="00AD01E9">
        <w:rPr>
          <w:rFonts w:eastAsia="Times New Roman"/>
          <w:i/>
        </w:rPr>
        <w:t>biyaʿ,</w:t>
      </w:r>
      <w:r w:rsidRPr="00AD01E9">
        <w:rPr>
          <w:rFonts w:eastAsia="Times New Roman"/>
          <w:i/>
          <w:iCs/>
        </w:rPr>
        <w:t xml:space="preserve"> wa-</w:t>
      </w:r>
      <w:r w:rsidRPr="00AD01E9">
        <w:rPr>
          <w:rFonts w:eastAsia="Times New Roman"/>
          <w:i/>
        </w:rPr>
        <w:t>ṣalawāt,</w:t>
      </w:r>
      <w:r w:rsidRPr="00AD01E9">
        <w:rPr>
          <w:rFonts w:eastAsia="Times New Roman"/>
          <w:i/>
          <w:iCs/>
        </w:rPr>
        <w:t xml:space="preserve"> wa-</w:t>
      </w:r>
      <w:r w:rsidRPr="00AD01E9">
        <w:rPr>
          <w:rFonts w:eastAsia="Times New Roman"/>
          <w:i/>
        </w:rPr>
        <w:t xml:space="preserve">masājid </w:t>
      </w:r>
      <w:r w:rsidRPr="00861EF5">
        <w:rPr>
          <w:rFonts w:eastAsia="Times New Roman"/>
        </w:rPr>
        <w:t>[des monastères, des églises, des synagogues et des mosquées]</w:t>
      </w:r>
      <w:r w:rsidRPr="00861EF5">
        <w:rPr>
          <w:rFonts w:eastAsia="Times New Roman"/>
          <w:lang w:bidi="ar-AE"/>
        </w:rPr>
        <w:t>).</w:t>
      </w:r>
    </w:p>
    <w:p w14:paraId="390C0A9E" w14:textId="77777777" w:rsidR="007214B1" w:rsidRPr="00861EF5" w:rsidRDefault="007214B1" w:rsidP="007214B1">
      <w:pPr>
        <w:spacing w:line="360" w:lineRule="auto"/>
        <w:ind w:firstLine="426"/>
        <w:jc w:val="both"/>
        <w:rPr>
          <w:rFonts w:eastAsia="Times New Roman"/>
          <w:lang w:bidi="ar-AE"/>
        </w:rPr>
      </w:pPr>
    </w:p>
    <w:p w14:paraId="1E00153C" w14:textId="77777777" w:rsidR="007214B1" w:rsidRPr="000F65B0" w:rsidRDefault="007214B1" w:rsidP="007214B1">
      <w:pPr>
        <w:spacing w:line="360" w:lineRule="auto"/>
        <w:ind w:firstLine="426"/>
        <w:jc w:val="both"/>
        <w:rPr>
          <w:rFonts w:eastAsia="Times New Roman"/>
        </w:rPr>
      </w:pPr>
      <w:r w:rsidRPr="00861EF5">
        <w:rPr>
          <w:rFonts w:eastAsia="Times New Roman"/>
        </w:rPr>
        <w:t xml:space="preserve">Le pronom personnel pluriel affixe COD </w:t>
      </w:r>
      <w:r w:rsidRPr="00861EF5">
        <w:rPr>
          <w:rFonts w:eastAsia="Times New Roman"/>
          <w:i/>
          <w:iCs/>
        </w:rPr>
        <w:t>-hum</w:t>
      </w:r>
      <w:r w:rsidRPr="00861EF5">
        <w:rPr>
          <w:rFonts w:eastAsia="Times New Roman"/>
        </w:rPr>
        <w:t xml:space="preserve"> (3</w:t>
      </w:r>
      <w:r w:rsidRPr="00861EF5">
        <w:rPr>
          <w:rFonts w:eastAsia="Times New Roman"/>
          <w:vertAlign w:val="superscript"/>
        </w:rPr>
        <w:t>ème</w:t>
      </w:r>
      <w:r w:rsidRPr="00861EF5">
        <w:rPr>
          <w:rFonts w:eastAsia="Times New Roman"/>
        </w:rPr>
        <w:t xml:space="preserve"> personne du pluriel) dans la proposition « </w:t>
      </w:r>
      <w:r>
        <w:rPr>
          <w:rFonts w:hint="cs"/>
          <w:rtl/>
        </w:rPr>
        <w:t>مَكَّنّا</w:t>
      </w:r>
      <w:r w:rsidRPr="000015FB">
        <w:rPr>
          <w:rFonts w:hint="cs"/>
          <w:b/>
          <w:bCs/>
          <w:rtl/>
        </w:rPr>
        <w:t>هم</w:t>
      </w:r>
      <w:r>
        <w:rPr>
          <w:rFonts w:hint="cs"/>
          <w:rtl/>
        </w:rPr>
        <w:t xml:space="preserve"> في الأرض</w:t>
      </w:r>
      <w:r w:rsidRPr="00861EF5">
        <w:t> » (verset 41)</w:t>
      </w:r>
      <w:r w:rsidRPr="00861EF5">
        <w:rPr>
          <w:rFonts w:eastAsia="Times New Roman"/>
          <w:lang w:bidi="ar-EG"/>
        </w:rPr>
        <w:t xml:space="preserve"> [Nous </w:t>
      </w:r>
      <w:r w:rsidRPr="00861EF5">
        <w:rPr>
          <w:rFonts w:eastAsia="Times New Roman"/>
          <w:i/>
          <w:iCs/>
          <w:lang w:bidi="ar-EG"/>
        </w:rPr>
        <w:t>leur</w:t>
      </w:r>
      <w:r w:rsidRPr="00861EF5">
        <w:rPr>
          <w:rFonts w:eastAsia="Times New Roman"/>
          <w:lang w:bidi="ar-EG"/>
        </w:rPr>
        <w:t xml:space="preserve"> avons donné capacité sur la terre]) peut renvoyer</w:t>
      </w:r>
      <w:r>
        <w:rPr>
          <w:rFonts w:eastAsia="Times New Roman"/>
          <w:lang w:bidi="ar-EG"/>
        </w:rPr>
        <w:t> : 1) </w:t>
      </w:r>
      <w:r w:rsidRPr="00861EF5">
        <w:rPr>
          <w:rFonts w:eastAsia="Times New Roman"/>
          <w:lang w:bidi="ar-EG"/>
        </w:rPr>
        <w:t>aux compagnons de Muḥammad ; 2</w:t>
      </w:r>
      <w:r>
        <w:rPr>
          <w:rFonts w:eastAsia="Times New Roman"/>
          <w:lang w:bidi="ar-EG"/>
        </w:rPr>
        <w:t xml:space="preserve">) </w:t>
      </w:r>
      <w:r w:rsidRPr="00861EF5">
        <w:rPr>
          <w:rFonts w:eastAsia="Times New Roman"/>
          <w:lang w:bidi="ar-EG"/>
        </w:rPr>
        <w:t>aux quatre califes seulement ; 3</w:t>
      </w:r>
      <w:r>
        <w:rPr>
          <w:rFonts w:eastAsia="Times New Roman"/>
          <w:lang w:bidi="ar-EG"/>
        </w:rPr>
        <w:t>) </w:t>
      </w:r>
      <w:r w:rsidRPr="00861EF5">
        <w:rPr>
          <w:rFonts w:eastAsia="Times New Roman"/>
          <w:lang w:bidi="ar-EG"/>
        </w:rPr>
        <w:t xml:space="preserve">à la famille de Muḥammad et au </w:t>
      </w:r>
      <w:r w:rsidRPr="00861EF5">
        <w:rPr>
          <w:rFonts w:eastAsia="Times New Roman"/>
        </w:rPr>
        <w:t>Mahdī </w:t>
      </w:r>
      <w:r w:rsidRPr="00861EF5">
        <w:rPr>
          <w:rFonts w:eastAsia="Times New Roman"/>
          <w:lang w:bidi="ar-EG"/>
        </w:rPr>
        <w:t>; 4</w:t>
      </w:r>
      <w:r>
        <w:rPr>
          <w:rFonts w:eastAsia="Times New Roman"/>
          <w:lang w:bidi="ar-EG"/>
        </w:rPr>
        <w:t>) </w:t>
      </w:r>
      <w:r w:rsidRPr="00861EF5">
        <w:rPr>
          <w:rFonts w:eastAsia="Times New Roman"/>
          <w:lang w:bidi="ar-EG"/>
        </w:rPr>
        <w:t>aux musulmans croyants ; 5</w:t>
      </w:r>
      <w:r>
        <w:rPr>
          <w:rFonts w:eastAsia="Times New Roman"/>
          <w:lang w:bidi="ar-EG"/>
        </w:rPr>
        <w:t>) </w:t>
      </w:r>
      <w:r w:rsidRPr="00861EF5">
        <w:rPr>
          <w:rFonts w:eastAsia="Times New Roman"/>
          <w:lang w:bidi="ar-EG"/>
        </w:rPr>
        <w:t>à toute la communauté des musulmans ; ou 6</w:t>
      </w:r>
      <w:r>
        <w:rPr>
          <w:rFonts w:eastAsia="Times New Roman"/>
          <w:lang w:bidi="ar-EG"/>
        </w:rPr>
        <w:t xml:space="preserve">) </w:t>
      </w:r>
      <w:r w:rsidRPr="00861EF5">
        <w:rPr>
          <w:rFonts w:eastAsia="Times New Roman"/>
          <w:lang w:bidi="ar-EG"/>
        </w:rPr>
        <w:t xml:space="preserve">aux seuls dirigeants politiques. </w:t>
      </w:r>
      <w:r w:rsidRPr="00861EF5">
        <w:rPr>
          <w:rFonts w:eastAsia="Times New Roman"/>
        </w:rPr>
        <w:t xml:space="preserve">Ainsi le cercle des responsables de l’application de la charia s’élargit en fonction de la signification donnée au pronom personnel complément </w:t>
      </w:r>
      <w:r w:rsidRPr="00861EF5">
        <w:rPr>
          <w:rFonts w:eastAsia="Times New Roman"/>
          <w:i/>
          <w:iCs/>
        </w:rPr>
        <w:t>-hum</w:t>
      </w:r>
      <w:r w:rsidRPr="00861EF5">
        <w:rPr>
          <w:rFonts w:eastAsia="Times New Roman"/>
        </w:rPr>
        <w:t xml:space="preserve"> allant du simple </w:t>
      </w:r>
      <w:r w:rsidRPr="000F65B0">
        <w:rPr>
          <w:rFonts w:eastAsia="Times New Roman"/>
        </w:rPr>
        <w:t>musulman au plus haut responsable politique. De cette polysémie du pronom découle la divergence des juristes (</w:t>
      </w:r>
      <w:r w:rsidRPr="000F65B0">
        <w:rPr>
          <w:rFonts w:eastAsia="Times New Roman"/>
          <w:i/>
          <w:iCs/>
        </w:rPr>
        <w:t>fuqahāʾ</w:t>
      </w:r>
      <w:r w:rsidRPr="000F65B0">
        <w:rPr>
          <w:rFonts w:eastAsia="Times New Roman"/>
        </w:rPr>
        <w:t xml:space="preserve">, pl. de </w:t>
      </w:r>
      <w:r w:rsidRPr="000F65B0">
        <w:rPr>
          <w:rFonts w:eastAsia="Times New Roman"/>
          <w:i/>
          <w:iCs/>
        </w:rPr>
        <w:t>faqīh</w:t>
      </w:r>
      <w:r w:rsidRPr="000F65B0">
        <w:rPr>
          <w:rFonts w:eastAsia="Times New Roman"/>
        </w:rPr>
        <w:t>) sur la personne compétente pour appliquer les peines légales (</w:t>
      </w:r>
      <w:r w:rsidRPr="000F65B0">
        <w:rPr>
          <w:rFonts w:eastAsia="Times New Roman"/>
          <w:i/>
          <w:iCs/>
        </w:rPr>
        <w:t xml:space="preserve">ḥadd, </w:t>
      </w:r>
      <w:r w:rsidRPr="000F65B0">
        <w:rPr>
          <w:rFonts w:eastAsia="Times New Roman"/>
          <w:iCs/>
        </w:rPr>
        <w:t xml:space="preserve">pl. </w:t>
      </w:r>
      <w:r w:rsidRPr="000F65B0">
        <w:rPr>
          <w:rFonts w:eastAsia="Times New Roman"/>
          <w:i/>
          <w:iCs/>
        </w:rPr>
        <w:t>ḥudūd</w:t>
      </w:r>
      <w:r w:rsidRPr="000F65B0">
        <w:rPr>
          <w:rFonts w:eastAsia="Times New Roman"/>
        </w:rPr>
        <w:t>), et sur l’autorisation donnée à tout musulman d’appliquer la peine si l’autorité compétente y manque.</w:t>
      </w:r>
    </w:p>
    <w:p w14:paraId="043B5D5E" w14:textId="77777777" w:rsidR="007214B1" w:rsidRPr="000F65B0" w:rsidRDefault="007214B1" w:rsidP="007214B1">
      <w:pPr>
        <w:spacing w:line="360" w:lineRule="auto"/>
        <w:ind w:firstLine="426"/>
        <w:jc w:val="both"/>
        <w:rPr>
          <w:rFonts w:eastAsia="Times New Roman"/>
        </w:rPr>
      </w:pPr>
    </w:p>
    <w:p w14:paraId="747985F5" w14:textId="77777777" w:rsidR="007214B1" w:rsidRPr="00861EF5" w:rsidRDefault="007214B1" w:rsidP="007214B1">
      <w:pPr>
        <w:spacing w:line="360" w:lineRule="auto"/>
        <w:ind w:firstLine="426"/>
        <w:contextualSpacing/>
        <w:jc w:val="both"/>
        <w:rPr>
          <w:rFonts w:eastAsia="Times New Roman"/>
          <w:lang w:bidi="ar-AE"/>
        </w:rPr>
      </w:pPr>
      <w:r w:rsidRPr="00861EF5">
        <w:rPr>
          <w:rFonts w:eastAsia="Times New Roman"/>
          <w:lang w:bidi="ar-AE"/>
        </w:rPr>
        <w:t>Dans la phrase «</w:t>
      </w:r>
      <w:r>
        <w:rPr>
          <w:rFonts w:eastAsia="Times New Roman"/>
          <w:lang w:bidi="ar-AE"/>
        </w:rPr>
        <w:t xml:space="preserve"> </w:t>
      </w:r>
      <w:r w:rsidRPr="000015FB">
        <w:rPr>
          <w:rFonts w:eastAsia="Times New Roman" w:hint="cs"/>
          <w:i/>
          <w:rtl/>
          <w:lang w:bidi="ar-AE"/>
        </w:rPr>
        <w:t>ولا يزال الذين كفروا في مِريةٍ مِــنــ</w:t>
      </w:r>
      <w:r w:rsidRPr="000015FB">
        <w:rPr>
          <w:rFonts w:eastAsia="Times New Roman" w:hint="cs"/>
          <w:b/>
          <w:bCs/>
          <w:i/>
          <w:rtl/>
          <w:lang w:bidi="ar-AE"/>
        </w:rPr>
        <w:t>ـــه</w:t>
      </w:r>
      <w:r w:rsidRPr="00B81594">
        <w:rPr>
          <w:rFonts w:eastAsia="Times New Roman"/>
          <w:b/>
          <w:i/>
          <w:lang w:bidi="ar-AE"/>
        </w:rPr>
        <w:t> </w:t>
      </w:r>
      <w:r w:rsidRPr="00861EF5">
        <w:rPr>
          <w:rFonts w:eastAsia="Times New Roman"/>
          <w:lang w:bidi="ar-AE"/>
        </w:rPr>
        <w:t xml:space="preserve">» [Il est vrai que les dénégateurs resteront en chicane sur </w:t>
      </w:r>
      <w:r w:rsidRPr="00861EF5">
        <w:rPr>
          <w:rFonts w:eastAsia="Times New Roman"/>
          <w:i/>
          <w:iCs/>
          <w:lang w:bidi="ar-AE"/>
        </w:rPr>
        <w:t>lui</w:t>
      </w:r>
      <w:r w:rsidRPr="00861EF5">
        <w:rPr>
          <w:rFonts w:eastAsia="Times New Roman"/>
          <w:lang w:bidi="ar-AE"/>
        </w:rPr>
        <w:t>] (v. 55), l’an</w:t>
      </w:r>
      <w:r>
        <w:rPr>
          <w:rFonts w:eastAsia="Times New Roman"/>
          <w:lang w:bidi="ar-AE"/>
        </w:rPr>
        <w:t xml:space="preserve">técédent du pronom complément </w:t>
      </w:r>
      <w:r w:rsidRPr="00861EF5">
        <w:rPr>
          <w:rFonts w:eastAsia="Times New Roman"/>
          <w:i/>
          <w:iCs/>
          <w:lang w:bidi="ar-AE"/>
        </w:rPr>
        <w:t>-hu</w:t>
      </w:r>
      <w:r w:rsidRPr="00861EF5">
        <w:rPr>
          <w:rFonts w:eastAsia="Times New Roman"/>
          <w:lang w:bidi="ar-AE"/>
        </w:rPr>
        <w:t xml:space="preserve"> dans « </w:t>
      </w:r>
      <w:r w:rsidRPr="00861EF5">
        <w:rPr>
          <w:rFonts w:eastAsia="Times New Roman"/>
          <w:i/>
          <w:iCs/>
          <w:lang w:bidi="ar-AE"/>
        </w:rPr>
        <w:t xml:space="preserve">fī miryatin </w:t>
      </w:r>
      <w:r w:rsidRPr="00861EF5">
        <w:rPr>
          <w:rFonts w:eastAsia="Times New Roman"/>
          <w:lang w:bidi="ar-AE"/>
        </w:rPr>
        <w:t xml:space="preserve">min-hu » [en </w:t>
      </w:r>
      <w:r w:rsidRPr="00861EF5">
        <w:rPr>
          <w:rFonts w:eastAsia="Times New Roman"/>
          <w:lang w:bidi="ar-AE"/>
        </w:rPr>
        <w:lastRenderedPageBreak/>
        <w:t xml:space="preserve">doute sur </w:t>
      </w:r>
      <w:r w:rsidRPr="00861EF5">
        <w:rPr>
          <w:rFonts w:eastAsia="Times New Roman"/>
          <w:i/>
          <w:iCs/>
          <w:lang w:bidi="ar-AE"/>
        </w:rPr>
        <w:t>lui</w:t>
      </w:r>
      <w:r w:rsidRPr="00861EF5">
        <w:rPr>
          <w:rFonts w:eastAsia="Times New Roman"/>
          <w:lang w:bidi="ar-AE"/>
        </w:rPr>
        <w:t xml:space="preserve">] est flou. Le contexte </w:t>
      </w:r>
      <w:r>
        <w:rPr>
          <w:rFonts w:eastAsia="Times New Roman"/>
          <w:lang w:bidi="ar-AE"/>
        </w:rPr>
        <w:t>n’indiquant</w:t>
      </w:r>
      <w:r w:rsidRPr="00861EF5">
        <w:rPr>
          <w:rFonts w:eastAsia="Times New Roman"/>
          <w:lang w:bidi="ar-AE"/>
        </w:rPr>
        <w:t xml:space="preserve"> presque rien </w:t>
      </w:r>
      <w:r>
        <w:rPr>
          <w:rFonts w:eastAsia="Times New Roman"/>
          <w:lang w:bidi="ar-AE"/>
        </w:rPr>
        <w:t>qui permette de</w:t>
      </w:r>
      <w:r w:rsidRPr="00861EF5">
        <w:rPr>
          <w:rFonts w:eastAsia="Times New Roman"/>
          <w:lang w:bidi="ar-AE"/>
        </w:rPr>
        <w:t xml:space="preserve"> </w:t>
      </w:r>
      <w:r>
        <w:rPr>
          <w:rFonts w:eastAsia="Times New Roman"/>
          <w:lang w:bidi="ar-AE"/>
        </w:rPr>
        <w:t>l’identifier, les exégètes</w:t>
      </w:r>
      <w:r w:rsidRPr="00861EF5">
        <w:rPr>
          <w:rFonts w:eastAsia="Times New Roman"/>
          <w:lang w:bidi="ar-AE"/>
        </w:rPr>
        <w:t xml:space="preserve"> ont </w:t>
      </w:r>
      <w:r>
        <w:rPr>
          <w:rFonts w:eastAsia="Times New Roman"/>
          <w:lang w:bidi="ar-AE"/>
        </w:rPr>
        <w:t>proposé</w:t>
      </w:r>
      <w:r w:rsidRPr="00861EF5">
        <w:rPr>
          <w:rFonts w:eastAsia="Times New Roman"/>
          <w:lang w:bidi="ar-AE"/>
        </w:rPr>
        <w:t xml:space="preserve"> les possibilités suivantes :</w:t>
      </w:r>
    </w:p>
    <w:p w14:paraId="75150BA6"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 xml:space="preserve">la prosternation du prophète, </w:t>
      </w:r>
      <w:r w:rsidRPr="00CD0FB2">
        <w:rPr>
          <w:rFonts w:eastAsia="Times New Roman"/>
          <w:lang w:bidi="ar-KW"/>
        </w:rPr>
        <w:t>allusion au récit des versets sataniques</w:t>
      </w:r>
      <w:r>
        <w:rPr>
          <w:rFonts w:eastAsia="Times New Roman"/>
          <w:lang w:bidi="ar-KW"/>
        </w:rPr>
        <w:t>, i.</w:t>
      </w:r>
      <w:r w:rsidRPr="00861EF5">
        <w:rPr>
          <w:rFonts w:eastAsia="Times New Roman"/>
          <w:lang w:bidi="ar-KW"/>
        </w:rPr>
        <w:t xml:space="preserve">e. l’histoire des </w:t>
      </w:r>
      <w:r w:rsidRPr="00861EF5">
        <w:rPr>
          <w:rFonts w:eastAsia="Times New Roman"/>
          <w:i/>
          <w:iCs/>
          <w:lang w:bidi="ar-KW"/>
        </w:rPr>
        <w:t>gharānīq</w:t>
      </w:r>
      <w:r w:rsidRPr="00861EF5">
        <w:rPr>
          <w:rFonts w:eastAsia="Times New Roman"/>
          <w:lang w:bidi="ar-KW"/>
        </w:rPr>
        <w:t xml:space="preserve"> (pl. de </w:t>
      </w:r>
      <w:r w:rsidRPr="00861EF5">
        <w:rPr>
          <w:rFonts w:eastAsia="Times New Roman"/>
          <w:i/>
          <w:iCs/>
          <w:lang w:bidi="ar-KW"/>
        </w:rPr>
        <w:t>ghurnūq</w:t>
      </w:r>
      <w:r w:rsidRPr="00861EF5">
        <w:rPr>
          <w:rFonts w:eastAsia="Times New Roman"/>
          <w:lang w:bidi="ar-KW"/>
        </w:rPr>
        <w:t>, échassier, grue [oiseau], ou géranium [plante], désignant Allāt, Al-ʿUzzā et Manāt, les trois déesses sublimes qui sont les filles d’Allāh [le dieu suprême] et dont l’intercession était souhaitable par les Quraychites</w:t>
      </w:r>
      <w:r w:rsidRPr="00861EF5">
        <w:rPr>
          <w:rFonts w:eastAsia="Times New Roman"/>
          <w:lang w:bidi="ar-AE"/>
        </w:rPr>
        <w:t>)</w:t>
      </w:r>
      <w:r w:rsidRPr="00861EF5">
        <w:rPr>
          <w:rFonts w:eastAsia="Times New Roman"/>
          <w:vertAlign w:val="superscript"/>
          <w:lang w:bidi="ar-AE"/>
        </w:rPr>
        <w:footnoteReference w:id="196"/>
      </w:r>
      <w:r w:rsidRPr="00861EF5">
        <w:rPr>
          <w:rFonts w:eastAsia="Times New Roman"/>
          <w:lang w:bidi="ar-AE"/>
        </w:rPr>
        <w:t>,</w:t>
      </w:r>
    </w:p>
    <w:p w14:paraId="436CE50D"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Satan,</w:t>
      </w:r>
    </w:p>
    <w:p w14:paraId="439C0667"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ce que Satan a projeté (à la parole de Satan, aux versets sataniques),</w:t>
      </w:r>
    </w:p>
    <w:p w14:paraId="53AE7FB9"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le Jugement dernier,</w:t>
      </w:r>
    </w:p>
    <w:p w14:paraId="6866C208"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l’évocation du jour du Jugement dernier par le Coran,</w:t>
      </w:r>
    </w:p>
    <w:p w14:paraId="492EA757"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la mort,</w:t>
      </w:r>
    </w:p>
    <w:p w14:paraId="1DD686CE"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le Coran,</w:t>
      </w:r>
    </w:p>
    <w:p w14:paraId="49FE4A47"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le messager de Dieu,</w:t>
      </w:r>
    </w:p>
    <w:p w14:paraId="3B745D89" w14:textId="77777777" w:rsidR="007214B1" w:rsidRPr="00861EF5" w:rsidRDefault="007214B1" w:rsidP="007640DC">
      <w:pPr>
        <w:numPr>
          <w:ilvl w:val="0"/>
          <w:numId w:val="18"/>
        </w:numPr>
        <w:spacing w:line="360" w:lineRule="auto"/>
        <w:ind w:left="0" w:firstLine="426"/>
        <w:contextualSpacing/>
        <w:jc w:val="both"/>
        <w:rPr>
          <w:rFonts w:eastAsia="Times New Roman"/>
          <w:lang w:bidi="ar-AE"/>
        </w:rPr>
      </w:pPr>
      <w:r w:rsidRPr="00861EF5">
        <w:rPr>
          <w:rFonts w:eastAsia="Times New Roman"/>
          <w:lang w:bidi="ar-AE"/>
        </w:rPr>
        <w:t>la religion musulmane,</w:t>
      </w:r>
    </w:p>
    <w:p w14:paraId="7A351F24" w14:textId="77777777" w:rsidR="007214B1" w:rsidRPr="004B34D6" w:rsidRDefault="007214B1" w:rsidP="007640DC">
      <w:pPr>
        <w:pStyle w:val="Paragraphedeliste"/>
        <w:numPr>
          <w:ilvl w:val="0"/>
          <w:numId w:val="18"/>
        </w:numPr>
        <w:bidi w:val="0"/>
        <w:spacing w:after="0" w:line="360" w:lineRule="auto"/>
        <w:contextualSpacing/>
        <w:jc w:val="both"/>
        <w:rPr>
          <w:rFonts w:ascii="Times New Roman" w:hAnsi="Times New Roman" w:cs="Times New Roman"/>
          <w:sz w:val="24"/>
          <w:szCs w:val="24"/>
          <w:lang w:eastAsia="fr-FR" w:bidi="ar-AE"/>
        </w:rPr>
      </w:pPr>
      <w:r w:rsidRPr="00271D75">
        <w:rPr>
          <w:rFonts w:ascii="Times New Roman" w:hAnsi="Times New Roman" w:cs="Times New Roman"/>
          <w:sz w:val="24"/>
          <w:szCs w:val="24"/>
        </w:rPr>
        <w:t>le commandeur des croyants</w:t>
      </w:r>
      <w:r w:rsidRPr="00271D75">
        <w:rPr>
          <w:rFonts w:ascii="Times New Roman" w:hAnsi="Times New Roman" w:cs="Times New Roman"/>
          <w:sz w:val="24"/>
          <w:szCs w:val="24"/>
          <w:lang w:eastAsia="fr-FR" w:bidi="ar-AE"/>
        </w:rPr>
        <w:t xml:space="preserve"> </w:t>
      </w:r>
      <w:r w:rsidRPr="004B34D6">
        <w:rPr>
          <w:rFonts w:ascii="Times New Roman" w:hAnsi="Times New Roman" w:cs="Times New Roman"/>
          <w:sz w:val="24"/>
          <w:szCs w:val="24"/>
        </w:rPr>
        <w:t>ʿAlī ibn Abī Ṭālib</w:t>
      </w:r>
      <w:r w:rsidRPr="004B34D6">
        <w:rPr>
          <w:rFonts w:ascii="Times New Roman" w:hAnsi="Times New Roman" w:cs="Times New Roman"/>
          <w:sz w:val="24"/>
          <w:szCs w:val="24"/>
          <w:lang w:eastAsia="fr-FR" w:bidi="ar-EG"/>
        </w:rPr>
        <w:t xml:space="preserve"> (Al-Qummī),</w:t>
      </w:r>
    </w:p>
    <w:p w14:paraId="62F8A821" w14:textId="77777777" w:rsidR="007214B1" w:rsidRPr="00271D75" w:rsidRDefault="007214B1" w:rsidP="007640DC">
      <w:pPr>
        <w:pStyle w:val="Paragraphedeliste"/>
        <w:numPr>
          <w:ilvl w:val="0"/>
          <w:numId w:val="18"/>
        </w:numPr>
        <w:bidi w:val="0"/>
        <w:spacing w:after="0" w:line="360" w:lineRule="auto"/>
        <w:contextualSpacing/>
        <w:jc w:val="both"/>
        <w:rPr>
          <w:rFonts w:ascii="Times New Roman" w:hAnsi="Times New Roman" w:cs="Times New Roman"/>
          <w:sz w:val="24"/>
          <w:szCs w:val="24"/>
          <w:lang w:eastAsia="fr-FR" w:bidi="ar-AE"/>
        </w:rPr>
      </w:pPr>
      <w:r w:rsidRPr="00271D75">
        <w:rPr>
          <w:rFonts w:ascii="Times New Roman" w:hAnsi="Times New Roman" w:cs="Times New Roman"/>
          <w:sz w:val="24"/>
          <w:szCs w:val="24"/>
          <w:lang w:eastAsia="fr-FR" w:bidi="ar-AE"/>
        </w:rPr>
        <w:t>la fin des temps.</w:t>
      </w:r>
    </w:p>
    <w:p w14:paraId="7856E429" w14:textId="77777777" w:rsidR="007214B1" w:rsidRPr="00861EF5" w:rsidRDefault="007214B1" w:rsidP="007214B1">
      <w:pPr>
        <w:spacing w:line="360" w:lineRule="auto"/>
        <w:ind w:firstLine="426"/>
        <w:jc w:val="both"/>
        <w:rPr>
          <w:rFonts w:eastAsia="Times New Roman"/>
        </w:rPr>
      </w:pPr>
    </w:p>
    <w:p w14:paraId="387BE17F" w14:textId="290F3FDA" w:rsidR="007214B1" w:rsidRPr="00861EF5" w:rsidRDefault="007214B1" w:rsidP="007214B1">
      <w:pPr>
        <w:spacing w:line="360" w:lineRule="auto"/>
        <w:ind w:firstLine="426"/>
        <w:jc w:val="both"/>
        <w:rPr>
          <w:rFonts w:eastAsia="Times New Roman"/>
          <w:lang w:bidi="ar-EG"/>
        </w:rPr>
      </w:pPr>
      <w:r w:rsidRPr="00861EF5">
        <w:rPr>
          <w:rFonts w:eastAsia="Times New Roman"/>
          <w:lang w:bidi="ar-EG"/>
        </w:rPr>
        <w:t xml:space="preserve">Le </w:t>
      </w:r>
      <w:r w:rsidRPr="00861EF5">
        <w:rPr>
          <w:rFonts w:eastAsia="Times New Roman"/>
          <w:lang w:bidi="ar-KW"/>
        </w:rPr>
        <w:t xml:space="preserve">pronom démonstratif </w:t>
      </w:r>
      <w:r w:rsidR="00A5013E">
        <w:rPr>
          <w:rFonts w:eastAsia="Times New Roman"/>
          <w:lang w:bidi="ar-EG"/>
        </w:rPr>
        <w:t xml:space="preserve">et connecteur logique </w:t>
      </w:r>
      <w:r w:rsidRPr="00861EF5">
        <w:rPr>
          <w:rFonts w:eastAsia="Times New Roman"/>
          <w:i/>
          <w:iCs/>
          <w:lang w:bidi="ar-EG"/>
        </w:rPr>
        <w:t>dhālika</w:t>
      </w:r>
      <w:r w:rsidRPr="00861EF5">
        <w:rPr>
          <w:rFonts w:eastAsia="Times New Roman"/>
          <w:lang w:bidi="ar-KW"/>
        </w:rPr>
        <w:t xml:space="preserve"> [cela]</w:t>
      </w:r>
      <w:r w:rsidRPr="00861EF5">
        <w:rPr>
          <w:rFonts w:eastAsia="Times New Roman"/>
          <w:lang w:bidi="ar-EG"/>
        </w:rPr>
        <w:t xml:space="preserve"> utilisé dans les </w:t>
      </w:r>
      <w:r w:rsidRPr="00861EF5">
        <w:t>versets 6, 10, 30, 32, 60, 61, 62, 70</w:t>
      </w:r>
      <w:r w:rsidRPr="00861EF5">
        <w:rPr>
          <w:rFonts w:eastAsia="Times New Roman"/>
          <w:lang w:bidi="ar-EG"/>
        </w:rPr>
        <w:t xml:space="preserve"> est équivoque. Cette particule de liaison prend plusieurs sens selon le contexte :</w:t>
      </w:r>
      <w:r>
        <w:rPr>
          <w:rFonts w:eastAsia="Times New Roman"/>
          <w:lang w:bidi="ar-EG"/>
        </w:rPr>
        <w:t xml:space="preserve"> 1) </w:t>
      </w:r>
      <w:r w:rsidRPr="00861EF5">
        <w:rPr>
          <w:rFonts w:eastAsia="Times New Roman"/>
          <w:lang w:bidi="ar-EG"/>
        </w:rPr>
        <w:t xml:space="preserve">une simple </w:t>
      </w:r>
      <w:r>
        <w:rPr>
          <w:rFonts w:eastAsia="Times New Roman"/>
          <w:lang w:bidi="ar-EG"/>
        </w:rPr>
        <w:t>allusion à l’idée précédente ; 2) c’est pour ; 3) cela ; 4) cette preuve ; 5) la Connaissance divine ; 6) </w:t>
      </w:r>
      <w:r w:rsidRPr="00861EF5">
        <w:rPr>
          <w:rFonts w:eastAsia="Times New Roman"/>
          <w:lang w:bidi="ar-EG"/>
        </w:rPr>
        <w:t xml:space="preserve">cette </w:t>
      </w:r>
      <w:r>
        <w:rPr>
          <w:rFonts w:eastAsia="Times New Roman"/>
          <w:lang w:bidi="ar-EG"/>
        </w:rPr>
        <w:t>raison ; 7) voilà ; 8) ainsi, ainsi en est-il ; 9) de la même façon que ; 10) </w:t>
      </w:r>
      <w:r w:rsidRPr="00861EF5">
        <w:rPr>
          <w:rFonts w:eastAsia="Times New Roman"/>
          <w:lang w:bidi="ar-EG"/>
        </w:rPr>
        <w:t>du fait que, parce que, il en est ainsi parce que ; etc.</w:t>
      </w:r>
    </w:p>
    <w:p w14:paraId="03868E7F" w14:textId="77777777" w:rsidR="007214B1" w:rsidRPr="00861EF5" w:rsidRDefault="007214B1" w:rsidP="007214B1">
      <w:pPr>
        <w:spacing w:line="360" w:lineRule="auto"/>
        <w:ind w:firstLine="426"/>
        <w:jc w:val="both"/>
        <w:rPr>
          <w:rFonts w:eastAsia="Times New Roman"/>
          <w:lang w:bidi="ar-EG"/>
        </w:rPr>
      </w:pPr>
    </w:p>
    <w:p w14:paraId="5C154AF1" w14:textId="77777777" w:rsidR="007214B1" w:rsidRPr="0019747A" w:rsidRDefault="007214B1" w:rsidP="007214B1">
      <w:pPr>
        <w:spacing w:line="360" w:lineRule="auto"/>
        <w:ind w:firstLine="426"/>
        <w:jc w:val="both"/>
        <w:rPr>
          <w:rFonts w:eastAsia="Times New Roman"/>
          <w:lang w:bidi="ar-EG"/>
        </w:rPr>
      </w:pPr>
      <w:r w:rsidRPr="0019747A">
        <w:rPr>
          <w:rFonts w:eastAsia="Times New Roman"/>
          <w:lang w:bidi="ar-KW"/>
        </w:rPr>
        <w:lastRenderedPageBreak/>
        <w:t xml:space="preserve">Voyons par exemple le pronom démonstratif </w:t>
      </w:r>
      <w:r w:rsidRPr="0019747A">
        <w:rPr>
          <w:rFonts w:eastAsia="Times New Roman"/>
          <w:i/>
          <w:iCs/>
          <w:lang w:bidi="ar-KW"/>
        </w:rPr>
        <w:t>dhālika</w:t>
      </w:r>
      <w:r w:rsidRPr="0019747A">
        <w:rPr>
          <w:rFonts w:eastAsia="Times New Roman"/>
          <w:lang w:bidi="ar-KW"/>
        </w:rPr>
        <w:t xml:space="preserve"> dans la séquence « </w:t>
      </w:r>
      <w:r w:rsidRPr="0019747A">
        <w:rPr>
          <w:rFonts w:eastAsia="Times New Roman"/>
          <w:i/>
          <w:iCs/>
          <w:lang w:bidi="ar-KW"/>
        </w:rPr>
        <w:t>dhālika bi-anna llāha huwa l-ḥaqq</w:t>
      </w:r>
      <w:r w:rsidRPr="0019747A">
        <w:rPr>
          <w:rFonts w:eastAsia="Times New Roman"/>
          <w:lang w:bidi="ar-KW"/>
        </w:rPr>
        <w:t> » [</w:t>
      </w:r>
      <w:r w:rsidRPr="0019747A">
        <w:rPr>
          <w:rFonts w:eastAsia="Times New Roman"/>
          <w:lang w:bidi="ar-AE"/>
        </w:rPr>
        <w:t>Et cela du fait que Dieu est le Vrai</w:t>
      </w:r>
      <w:r w:rsidRPr="0019747A">
        <w:rPr>
          <w:rFonts w:eastAsia="Times New Roman"/>
          <w:lang w:bidi="ar-KW"/>
        </w:rPr>
        <w:t xml:space="preserve">] (verset 62). Selon </w:t>
      </w:r>
      <w:r w:rsidRPr="0019747A">
        <w:rPr>
          <w:rFonts w:eastAsia="Times New Roman"/>
          <w:lang w:bidi="ar-AE"/>
        </w:rPr>
        <w:t>Aṭ-Ṭabarī</w:t>
      </w:r>
      <w:r w:rsidRPr="0019747A">
        <w:rPr>
          <w:rFonts w:eastAsia="Times New Roman"/>
          <w:lang w:bidi="ar-KW"/>
        </w:rPr>
        <w:t xml:space="preserve">, le pronom désigne la puissance de Dieu qui consiste à introduire la nuit dans le jour et inversement (verset 61 : </w:t>
      </w:r>
      <w:r w:rsidRPr="0019747A">
        <w:rPr>
          <w:rFonts w:asciiTheme="majorBidi" w:hAnsiTheme="majorBidi" w:cstheme="majorBidi"/>
          <w:rtl/>
        </w:rPr>
        <w:t>"ذلك بأن الله يُولِجُ الليلَ في النهار ويُولجُ النهارَ في الليل"</w:t>
      </w:r>
      <w:r w:rsidRPr="0019747A">
        <w:rPr>
          <w:rFonts w:asciiTheme="majorBidi" w:hAnsiTheme="majorBidi" w:cstheme="majorBidi"/>
        </w:rPr>
        <w:t xml:space="preserve"> [« </w:t>
      </w:r>
      <w:r w:rsidRPr="0019747A">
        <w:rPr>
          <w:rFonts w:asciiTheme="majorBidi" w:eastAsia="Calibri" w:hAnsiTheme="majorBidi" w:cstheme="majorBidi"/>
          <w:lang w:bidi="ar-AE"/>
        </w:rPr>
        <w:t>et cela de la même façon que Dieu, qui fait entrer la nuit dans le jour, fait entrer le jour dans la nuit »</w:t>
      </w:r>
      <w:r w:rsidRPr="0019747A">
        <w:rPr>
          <w:rFonts w:asciiTheme="majorBidi" w:hAnsiTheme="majorBidi" w:cstheme="majorBidi"/>
        </w:rPr>
        <w:t>]</w:t>
      </w:r>
      <w:r w:rsidRPr="0019747A">
        <w:rPr>
          <w:rFonts w:eastAsia="Times New Roman"/>
          <w:lang w:bidi="ar-KW"/>
        </w:rPr>
        <w:t>). Mais selon Al-Baghawī, il indique la victoire (</w:t>
      </w:r>
      <w:r w:rsidRPr="0019747A">
        <w:rPr>
          <w:rFonts w:eastAsia="Times New Roman"/>
          <w:i/>
          <w:iCs/>
          <w:lang w:bidi="ar-KW"/>
        </w:rPr>
        <w:t>an-naṣr</w:t>
      </w:r>
      <w:r w:rsidRPr="0019747A">
        <w:rPr>
          <w:rFonts w:eastAsia="Times New Roman"/>
          <w:lang w:bidi="ar-KW"/>
        </w:rPr>
        <w:t xml:space="preserve">). Par contre, selon </w:t>
      </w:r>
      <w:r w:rsidRPr="0019747A">
        <w:rPr>
          <w:rFonts w:eastAsia="Times New Roman"/>
          <w:lang w:bidi="ar-EG"/>
        </w:rPr>
        <w:t xml:space="preserve">Muḥammad al-Amīn Ash-Shanqītī (m. 1973) (dans son exégèse </w:t>
      </w:r>
      <w:r w:rsidRPr="0019747A">
        <w:rPr>
          <w:rFonts w:eastAsia="Times New Roman"/>
          <w:i/>
          <w:iCs/>
          <w:lang w:bidi="ar-EG"/>
        </w:rPr>
        <w:t>Aḍwāʾ al-bayān fī ʾīḍāḥ al-qurʾān bi-l-qurʾān</w:t>
      </w:r>
      <w:r w:rsidRPr="0019747A">
        <w:rPr>
          <w:rFonts w:eastAsia="Times New Roman"/>
          <w:lang w:bidi="ar-EG"/>
        </w:rPr>
        <w:t>), le même pronom renvoie à l’idée que</w:t>
      </w:r>
      <w:r w:rsidRPr="0019747A">
        <w:rPr>
          <w:rFonts w:eastAsia="Times New Roman"/>
          <w:lang w:bidi="ar-KW"/>
        </w:rPr>
        <w:t xml:space="preserve"> « le royaume revient à Dieu ». Selon Shaykhū (m. 1964), le pronom </w:t>
      </w:r>
      <w:r w:rsidRPr="0019747A">
        <w:rPr>
          <w:rFonts w:eastAsia="Times New Roman"/>
          <w:i/>
          <w:iCs/>
          <w:lang w:bidi="ar-KW"/>
        </w:rPr>
        <w:t>dhālika</w:t>
      </w:r>
      <w:r w:rsidRPr="0019747A">
        <w:rPr>
          <w:rFonts w:eastAsia="Times New Roman"/>
          <w:lang w:bidi="ar-KW"/>
        </w:rPr>
        <w:t xml:space="preserve"> fait allusion à la </w:t>
      </w:r>
      <w:r w:rsidRPr="0019747A">
        <w:rPr>
          <w:rFonts w:eastAsia="Times New Roman"/>
          <w:i/>
          <w:iCs/>
          <w:lang w:bidi="ar-KW"/>
        </w:rPr>
        <w:t>réflexion</w:t>
      </w:r>
      <w:r w:rsidRPr="0019747A">
        <w:rPr>
          <w:rFonts w:eastAsia="Times New Roman"/>
          <w:lang w:bidi="ar-KW"/>
        </w:rPr>
        <w:t xml:space="preserve"> [si tu réfléchis à la succession des jours et des nuits, cela te fait connaître que Dieu est le Vrai].</w:t>
      </w:r>
    </w:p>
    <w:p w14:paraId="37E8F138" w14:textId="77777777" w:rsidR="007214B1" w:rsidRPr="00861EF5" w:rsidRDefault="007214B1" w:rsidP="007214B1">
      <w:pPr>
        <w:spacing w:line="360" w:lineRule="auto"/>
        <w:ind w:firstLine="426"/>
        <w:jc w:val="both"/>
        <w:rPr>
          <w:rFonts w:eastAsia="Times New Roman"/>
          <w:lang w:bidi="ar-EG"/>
        </w:rPr>
      </w:pPr>
    </w:p>
    <w:p w14:paraId="7E7AB9DF" w14:textId="77777777" w:rsidR="007214B1" w:rsidRPr="00861EF5" w:rsidRDefault="007214B1" w:rsidP="007214B1">
      <w:pPr>
        <w:tabs>
          <w:tab w:val="left" w:pos="851"/>
        </w:tabs>
        <w:spacing w:line="360" w:lineRule="auto"/>
        <w:ind w:firstLine="426"/>
        <w:jc w:val="both"/>
        <w:rPr>
          <w:rFonts w:eastAsia="Times New Roman"/>
        </w:rPr>
      </w:pPr>
      <w:r w:rsidRPr="00861EF5">
        <w:rPr>
          <w:rFonts w:eastAsia="Times New Roman"/>
        </w:rPr>
        <w:tab/>
      </w:r>
      <w:r>
        <w:rPr>
          <w:rFonts w:eastAsia="Times New Roman"/>
        </w:rPr>
        <w:t xml:space="preserve">Le sujet du verbe </w:t>
      </w:r>
      <w:r w:rsidRPr="00861EF5">
        <w:rPr>
          <w:rFonts w:eastAsia="Times New Roman"/>
          <w:i/>
          <w:iCs/>
        </w:rPr>
        <w:t>yasīr-</w:t>
      </w:r>
      <w:r w:rsidRPr="00861EF5">
        <w:rPr>
          <w:rFonts w:eastAsia="Times New Roman"/>
          <w:b/>
          <w:bCs/>
        </w:rPr>
        <w:t>ū</w:t>
      </w:r>
      <w:r w:rsidRPr="00861EF5">
        <w:rPr>
          <w:rFonts w:eastAsia="Times New Roman"/>
        </w:rPr>
        <w:t xml:space="preserve"> [</w:t>
      </w:r>
      <w:r w:rsidRPr="00861EF5">
        <w:rPr>
          <w:rFonts w:eastAsia="Times New Roman"/>
          <w:b/>
          <w:bCs/>
          <w:i/>
          <w:iCs/>
        </w:rPr>
        <w:t>ils</w:t>
      </w:r>
      <w:r w:rsidRPr="00861EF5">
        <w:rPr>
          <w:rFonts w:eastAsia="Times New Roman"/>
        </w:rPr>
        <w:t xml:space="preserve"> marchent] (qui es</w:t>
      </w:r>
      <w:r>
        <w:rPr>
          <w:rFonts w:eastAsia="Times New Roman"/>
        </w:rPr>
        <w:t xml:space="preserve">t le pronom clitique suffixal </w:t>
      </w:r>
      <w:r w:rsidRPr="00861EF5">
        <w:rPr>
          <w:rFonts w:eastAsia="Times New Roman"/>
          <w:b/>
          <w:bCs/>
          <w:i/>
          <w:iCs/>
        </w:rPr>
        <w:t>-ū</w:t>
      </w:r>
      <w:r w:rsidRPr="00861EF5">
        <w:rPr>
          <w:rFonts w:eastAsia="Times New Roman"/>
        </w:rPr>
        <w:t>) dans la phrase « </w:t>
      </w:r>
      <w:r>
        <w:rPr>
          <w:rFonts w:eastAsia="Times New Roman"/>
          <w:i/>
          <w:iCs/>
        </w:rPr>
        <w:t>A-fa-lam yasīrū fi l-</w:t>
      </w:r>
      <w:r w:rsidRPr="00861EF5">
        <w:rPr>
          <w:rFonts w:eastAsia="Times New Roman"/>
          <w:i/>
          <w:iCs/>
        </w:rPr>
        <w:t>arḍ</w:t>
      </w:r>
      <w:r w:rsidRPr="00861EF5">
        <w:rPr>
          <w:rFonts w:eastAsia="Times New Roman"/>
        </w:rPr>
        <w:t> » [n’ont-ils pas cheminé sur</w:t>
      </w:r>
      <w:r w:rsidRPr="00861EF5">
        <w:rPr>
          <w:rFonts w:eastAsia="Times New Roman"/>
          <w:b/>
          <w:bCs/>
          <w:lang w:bidi="ar-AE"/>
        </w:rPr>
        <w:t xml:space="preserve"> </w:t>
      </w:r>
      <w:r w:rsidRPr="00861EF5">
        <w:rPr>
          <w:rFonts w:eastAsia="Times New Roman"/>
        </w:rPr>
        <w:t>la terre] (v. 46) peut</w:t>
      </w:r>
      <w:r>
        <w:rPr>
          <w:rFonts w:eastAsia="Times New Roman"/>
        </w:rPr>
        <w:t xml:space="preserve"> désigner les dénégateurs, les M</w:t>
      </w:r>
      <w:r w:rsidRPr="00861EF5">
        <w:rPr>
          <w:rFonts w:eastAsia="Times New Roman"/>
        </w:rPr>
        <w:t>ecquois païens ou tout le monde.</w:t>
      </w:r>
    </w:p>
    <w:p w14:paraId="4539999F" w14:textId="77777777" w:rsidR="007214B1" w:rsidRPr="00861EF5" w:rsidRDefault="007214B1" w:rsidP="007214B1">
      <w:pPr>
        <w:spacing w:line="360" w:lineRule="auto"/>
        <w:ind w:firstLine="426"/>
        <w:jc w:val="both"/>
        <w:rPr>
          <w:rFonts w:eastAsia="Times New Roman"/>
          <w:lang w:bidi="ar-KW"/>
        </w:rPr>
      </w:pPr>
    </w:p>
    <w:p w14:paraId="4DC73B1B" w14:textId="7C302664" w:rsidR="007214B1" w:rsidRPr="00861EF5" w:rsidRDefault="007214B1" w:rsidP="007214B1">
      <w:pPr>
        <w:tabs>
          <w:tab w:val="left" w:pos="851"/>
        </w:tabs>
        <w:spacing w:line="360" w:lineRule="auto"/>
        <w:ind w:firstLine="426"/>
        <w:jc w:val="both"/>
        <w:rPr>
          <w:rFonts w:eastAsia="Times New Roman"/>
        </w:rPr>
      </w:pPr>
      <w:r w:rsidRPr="00861EF5">
        <w:rPr>
          <w:rFonts w:eastAsia="Times New Roman"/>
        </w:rPr>
        <w:tab/>
        <w:t xml:space="preserve">De même, dans le verset </w:t>
      </w:r>
      <w:r>
        <w:rPr>
          <w:rFonts w:eastAsia="Times New Roman"/>
        </w:rPr>
        <w:t xml:space="preserve">47, le pronom morphème sujet </w:t>
      </w:r>
      <w:r w:rsidRPr="00E91962">
        <w:rPr>
          <w:rFonts w:eastAsia="Times New Roman"/>
          <w:b/>
          <w:bCs/>
          <w:i/>
          <w:iCs/>
        </w:rPr>
        <w:t>-ūna</w:t>
      </w:r>
      <w:r w:rsidR="005220FB">
        <w:rPr>
          <w:rFonts w:eastAsia="Times New Roman"/>
        </w:rPr>
        <w:t xml:space="preserve"> du verbe </w:t>
      </w:r>
      <w:r w:rsidRPr="00E91962">
        <w:rPr>
          <w:rFonts w:eastAsia="Times New Roman"/>
          <w:i/>
          <w:iCs/>
        </w:rPr>
        <w:t>yastaʿjil</w:t>
      </w:r>
      <w:r w:rsidRPr="00E91962">
        <w:rPr>
          <w:rFonts w:eastAsia="Times New Roman"/>
          <w:b/>
          <w:bCs/>
          <w:i/>
          <w:iCs/>
        </w:rPr>
        <w:t>ū</w:t>
      </w:r>
      <w:r w:rsidRPr="00E91962">
        <w:rPr>
          <w:rFonts w:eastAsia="Times New Roman"/>
          <w:b/>
          <w:i/>
          <w:iCs/>
        </w:rPr>
        <w:t>na</w:t>
      </w:r>
      <w:r w:rsidRPr="00E91962">
        <w:rPr>
          <w:rFonts w:eastAsia="Times New Roman"/>
          <w:i/>
          <w:iCs/>
        </w:rPr>
        <w:t>-ka</w:t>
      </w:r>
      <w:r w:rsidRPr="00E91962">
        <w:rPr>
          <w:rFonts w:eastAsia="Times New Roman"/>
        </w:rPr>
        <w:t xml:space="preserve"> (</w:t>
      </w:r>
      <w:r w:rsidRPr="00E91962">
        <w:rPr>
          <w:rFonts w:eastAsia="Times New Roman"/>
          <w:i/>
          <w:iCs/>
        </w:rPr>
        <w:t>bi-lʿadhāb</w:t>
      </w:r>
      <w:r w:rsidRPr="00E91962">
        <w:rPr>
          <w:rFonts w:eastAsia="Times New Roman"/>
        </w:rPr>
        <w:t>) [</w:t>
      </w:r>
      <w:r w:rsidRPr="00E91962">
        <w:rPr>
          <w:rFonts w:eastAsia="Times New Roman"/>
          <w:b/>
          <w:bCs/>
          <w:i/>
          <w:iCs/>
        </w:rPr>
        <w:t>ils</w:t>
      </w:r>
      <w:r w:rsidRPr="00E91962">
        <w:rPr>
          <w:rFonts w:eastAsia="Times New Roman"/>
          <w:b/>
          <w:bCs/>
        </w:rPr>
        <w:t xml:space="preserve"> </w:t>
      </w:r>
      <w:r w:rsidRPr="00E91962">
        <w:rPr>
          <w:rFonts w:eastAsia="Times New Roman"/>
        </w:rPr>
        <w:t>te pressent (</w:t>
      </w:r>
      <w:r>
        <w:rPr>
          <w:rFonts w:eastAsia="Times New Roman"/>
        </w:rPr>
        <w:t>[</w:t>
      </w:r>
      <w:r w:rsidRPr="00E91962">
        <w:rPr>
          <w:rFonts w:eastAsia="Calibri"/>
          <w:lang w:bidi="ar-AE"/>
        </w:rPr>
        <w:t>d’</w:t>
      </w:r>
      <w:r>
        <w:rPr>
          <w:rFonts w:eastAsia="Calibri"/>
          <w:lang w:bidi="ar-AE"/>
        </w:rPr>
        <w:t xml:space="preserve">avancer] </w:t>
      </w:r>
      <w:r w:rsidRPr="00E91962">
        <w:rPr>
          <w:rFonts w:eastAsia="Times New Roman"/>
        </w:rPr>
        <w:t xml:space="preserve">le châtiment)] peut renvoyer : aux païens mecquois, aux dénégateurs en général ou bien aux deux grands adversaires de l’islam, </w:t>
      </w:r>
      <w:r w:rsidRPr="00E91962">
        <w:rPr>
          <w:rFonts w:eastAsia="Times New Roman"/>
          <w:lang w:bidi="ar-AE"/>
        </w:rPr>
        <w:t>An-Naḍr ibn Al-Ḥārith et ʿAmr ibn Hishām</w:t>
      </w:r>
      <w:r w:rsidRPr="00861EF5">
        <w:rPr>
          <w:rFonts w:eastAsia="Times New Roman"/>
          <w:lang w:bidi="ar-AE"/>
        </w:rPr>
        <w:t xml:space="preserve"> ibn al-Mughīra [Abū Jahl]</w:t>
      </w:r>
      <w:r w:rsidRPr="00861EF5">
        <w:rPr>
          <w:rFonts w:eastAsia="Times New Roman"/>
        </w:rPr>
        <w:t>.</w:t>
      </w:r>
    </w:p>
    <w:p w14:paraId="6F336C8C" w14:textId="77777777" w:rsidR="007214B1" w:rsidRPr="00861EF5" w:rsidRDefault="007214B1" w:rsidP="00CC6E7C">
      <w:pPr>
        <w:spacing w:line="360" w:lineRule="auto"/>
        <w:ind w:firstLine="426"/>
        <w:jc w:val="both"/>
        <w:rPr>
          <w:rFonts w:eastAsia="Times New Roman"/>
        </w:rPr>
      </w:pPr>
    </w:p>
    <w:p w14:paraId="22D82CB9" w14:textId="7FD6CE69" w:rsidR="007214B1" w:rsidRPr="00861EF5" w:rsidRDefault="007214B1" w:rsidP="003903BB">
      <w:pPr>
        <w:spacing w:line="360" w:lineRule="auto"/>
        <w:ind w:firstLine="426"/>
        <w:jc w:val="both"/>
        <w:rPr>
          <w:rFonts w:eastAsia="Times New Roman"/>
        </w:rPr>
      </w:pPr>
      <w:r w:rsidRPr="00861EF5">
        <w:rPr>
          <w:rFonts w:eastAsia="Times New Roman"/>
        </w:rPr>
        <w:t xml:space="preserve">Examinons le début du verset 54 </w:t>
      </w:r>
      <w:r w:rsidR="003903BB">
        <w:rPr>
          <w:rFonts w:eastAsia="Times New Roman"/>
        </w:rPr>
        <w:t>« </w:t>
      </w:r>
      <w:r w:rsidR="00CC6E7C" w:rsidRPr="00CC6E7C">
        <w:rPr>
          <w:rFonts w:eastAsia="Times New Roman"/>
          <w:i/>
          <w:rtl/>
        </w:rPr>
        <w:t>ولِيَعلَمَ الذين أُوتوا العِلمَ أنه الحَقُّ من رَبِكَ</w:t>
      </w:r>
      <w:r w:rsidRPr="00861EF5">
        <w:rPr>
          <w:rFonts w:eastAsia="Times New Roman"/>
        </w:rPr>
        <w:t> » [</w:t>
      </w:r>
      <w:r w:rsidRPr="00861EF5">
        <w:rPr>
          <w:rFonts w:eastAsia="Times New Roman"/>
          <w:lang w:bidi="ar-AE"/>
        </w:rPr>
        <w:t xml:space="preserve">et pour qu’ils sachent bien, ceux dotés de science, que </w:t>
      </w:r>
      <w:r w:rsidRPr="00861EF5">
        <w:rPr>
          <w:rFonts w:eastAsia="Times New Roman"/>
          <w:b/>
          <w:bCs/>
          <w:i/>
          <w:iCs/>
          <w:lang w:bidi="ar-AE"/>
        </w:rPr>
        <w:t>ceci</w:t>
      </w:r>
      <w:r w:rsidRPr="00861EF5">
        <w:rPr>
          <w:rFonts w:eastAsia="Times New Roman"/>
          <w:lang w:bidi="ar-AE"/>
        </w:rPr>
        <w:t xml:space="preserve"> est bien le Vrai, venu de ton Seigneur</w:t>
      </w:r>
      <w:r w:rsidRPr="00861EF5">
        <w:rPr>
          <w:rFonts w:eastAsia="Times New Roman"/>
        </w:rPr>
        <w:t>]. La phrase ne dit pas qui est cette chose dont ces derniers vont savoir la véracité. Autrement dit, on ne sait pas à quel</w:t>
      </w:r>
      <w:r w:rsidR="00B43EC8">
        <w:rPr>
          <w:rFonts w:eastAsia="Times New Roman"/>
        </w:rPr>
        <w:t xml:space="preserve"> antécédent renvoie le pronom </w:t>
      </w:r>
      <w:r w:rsidRPr="00861EF5">
        <w:rPr>
          <w:rFonts w:eastAsia="Times New Roman"/>
          <w:b/>
          <w:bCs/>
          <w:i/>
          <w:iCs/>
        </w:rPr>
        <w:t>-hu</w:t>
      </w:r>
      <w:r w:rsidR="00B43EC8">
        <w:rPr>
          <w:rFonts w:eastAsia="Times New Roman"/>
        </w:rPr>
        <w:t xml:space="preserve"> dans la proposition </w:t>
      </w:r>
      <w:r w:rsidRPr="00861EF5">
        <w:rPr>
          <w:rFonts w:eastAsia="Times New Roman"/>
          <w:i/>
          <w:iCs/>
        </w:rPr>
        <w:t>anna-</w:t>
      </w:r>
      <w:r w:rsidRPr="003A4901">
        <w:rPr>
          <w:rFonts w:eastAsia="Times New Roman"/>
          <w:b/>
          <w:bCs/>
          <w:i/>
        </w:rPr>
        <w:t>hu</w:t>
      </w:r>
      <w:r w:rsidRPr="00861EF5">
        <w:rPr>
          <w:rFonts w:eastAsia="Times New Roman"/>
          <w:i/>
          <w:iCs/>
        </w:rPr>
        <w:t xml:space="preserve"> l-ḥaqq</w:t>
      </w:r>
      <w:r w:rsidRPr="00861EF5">
        <w:rPr>
          <w:rFonts w:eastAsia="Times New Roman"/>
        </w:rPr>
        <w:t xml:space="preserve"> [que </w:t>
      </w:r>
      <w:r w:rsidRPr="00861EF5">
        <w:rPr>
          <w:rFonts w:eastAsia="Times New Roman"/>
          <w:b/>
          <w:bCs/>
          <w:i/>
          <w:iCs/>
        </w:rPr>
        <w:t>ceci</w:t>
      </w:r>
      <w:r w:rsidRPr="00861EF5">
        <w:rPr>
          <w:rFonts w:eastAsia="Times New Roman"/>
        </w:rPr>
        <w:t xml:space="preserve"> est le Vrai]. Les exégètes ont essayé de combler ces vides.</w:t>
      </w:r>
      <w:r w:rsidRPr="00861EF5">
        <w:rPr>
          <w:rFonts w:eastAsia="Times New Roman"/>
          <w:lang w:bidi="ar-EG"/>
        </w:rPr>
        <w:t xml:space="preserve"> </w:t>
      </w:r>
      <w:r w:rsidRPr="00861EF5">
        <w:rPr>
          <w:rFonts w:eastAsia="Times New Roman"/>
        </w:rPr>
        <w:t>Il s’agirait :</w:t>
      </w:r>
      <w:r>
        <w:rPr>
          <w:rFonts w:eastAsia="Times New Roman"/>
        </w:rPr>
        <w:t xml:space="preserve"> 1) </w:t>
      </w:r>
      <w:r w:rsidRPr="00861EF5">
        <w:rPr>
          <w:rFonts w:eastAsia="Times New Roman"/>
          <w:lang w:bidi="ar-EG"/>
        </w:rPr>
        <w:t>des versets venus de Dieu pour abroger les paroles de Satan ;</w:t>
      </w:r>
      <w:r>
        <w:rPr>
          <w:rFonts w:eastAsia="Times New Roman"/>
        </w:rPr>
        <w:t xml:space="preserve"> 2) </w:t>
      </w:r>
      <w:r w:rsidRPr="00861EF5">
        <w:rPr>
          <w:rFonts w:eastAsia="Times New Roman"/>
          <w:lang w:bidi="ar-EG"/>
        </w:rPr>
        <w:t>de tout le Coran ;</w:t>
      </w:r>
      <w:r>
        <w:rPr>
          <w:rFonts w:eastAsia="Times New Roman"/>
        </w:rPr>
        <w:t xml:space="preserve"> 3) </w:t>
      </w:r>
      <w:r w:rsidRPr="00861EF5">
        <w:rPr>
          <w:rFonts w:eastAsia="Times New Roman"/>
          <w:lang w:bidi="ar-EG"/>
        </w:rPr>
        <w:t xml:space="preserve">des versets </w:t>
      </w:r>
      <w:r w:rsidRPr="00861EF5">
        <w:rPr>
          <w:rFonts w:eastAsia="Times New Roman"/>
          <w:i/>
          <w:iCs/>
          <w:lang w:bidi="ar-EG"/>
        </w:rPr>
        <w:t>muḥkamāt</w:t>
      </w:r>
      <w:r w:rsidRPr="00861EF5">
        <w:rPr>
          <w:rFonts w:eastAsia="Times New Roman"/>
          <w:lang w:bidi="ar-EG"/>
        </w:rPr>
        <w:t xml:space="preserve"> [</w:t>
      </w:r>
      <w:r w:rsidRPr="00861EF5">
        <w:rPr>
          <w:rFonts w:eastAsia="Times New Roman"/>
        </w:rPr>
        <w:t>clairs, précis, monosémiques</w:t>
      </w:r>
      <w:r w:rsidRPr="00861EF5">
        <w:rPr>
          <w:rFonts w:eastAsia="Times New Roman"/>
          <w:lang w:bidi="ar-EG"/>
        </w:rPr>
        <w:t>] ;</w:t>
      </w:r>
      <w:r>
        <w:rPr>
          <w:rFonts w:eastAsia="Times New Roman"/>
        </w:rPr>
        <w:t xml:space="preserve"> 4) </w:t>
      </w:r>
      <w:r w:rsidRPr="00861EF5">
        <w:rPr>
          <w:rFonts w:eastAsia="Times New Roman"/>
          <w:lang w:bidi="ar-EG"/>
        </w:rPr>
        <w:t>de l’arrivée de Satan (</w:t>
      </w:r>
      <w:r w:rsidRPr="00861EF5">
        <w:rPr>
          <w:rFonts w:eastAsia="Times New Roman"/>
          <w:i/>
          <w:iCs/>
          <w:lang w:bidi="ar-EG"/>
        </w:rPr>
        <w:t>majīʾ ash-shayṭān</w:t>
      </w:r>
      <w:r w:rsidRPr="00861EF5">
        <w:rPr>
          <w:rFonts w:eastAsia="Times New Roman"/>
          <w:lang w:bidi="ar-EG"/>
        </w:rPr>
        <w:t xml:space="preserve">) en tant qu’une bonne chose et une miséricorde de Dieu, car Satan éveille le croyant et enlève la malveillance de l’âme du désobéissant </w:t>
      </w:r>
      <w:r w:rsidRPr="00861EF5">
        <w:rPr>
          <w:rFonts w:eastAsia="Times New Roman"/>
        </w:rPr>
        <w:t>(</w:t>
      </w:r>
      <w:r w:rsidRPr="00C55B4E">
        <w:rPr>
          <w:rFonts w:eastAsia="Times New Roman"/>
        </w:rPr>
        <w:t>Shaykhū</w:t>
      </w:r>
      <w:r w:rsidRPr="00861EF5">
        <w:rPr>
          <w:rFonts w:eastAsia="Times New Roman"/>
        </w:rPr>
        <w:t>).</w:t>
      </w:r>
    </w:p>
    <w:p w14:paraId="5A388468" w14:textId="77777777" w:rsidR="007214B1" w:rsidRPr="00861EF5" w:rsidRDefault="007214B1" w:rsidP="007214B1">
      <w:pPr>
        <w:spacing w:line="360" w:lineRule="auto"/>
        <w:ind w:firstLine="426"/>
        <w:jc w:val="both"/>
        <w:rPr>
          <w:rFonts w:eastAsia="Times New Roman"/>
          <w:lang w:bidi="ar-KW"/>
        </w:rPr>
      </w:pPr>
    </w:p>
    <w:p w14:paraId="453C6365" w14:textId="5B34337F" w:rsidR="007214B1" w:rsidRDefault="007214B1" w:rsidP="00E105C6">
      <w:pPr>
        <w:spacing w:line="360" w:lineRule="auto"/>
        <w:ind w:firstLine="426"/>
        <w:jc w:val="both"/>
      </w:pPr>
      <w:r w:rsidRPr="00861EF5">
        <w:rPr>
          <w:lang w:bidi="ar-AE"/>
        </w:rPr>
        <w:lastRenderedPageBreak/>
        <w:t>Dans le verset 78, phrase</w:t>
      </w:r>
      <w:r w:rsidR="005C31D0" w:rsidRPr="00861EF5">
        <w:rPr>
          <w:lang w:bidi="ar-AE"/>
        </w:rPr>
        <w:t xml:space="preserve"> «</w:t>
      </w:r>
      <w:r w:rsidR="005C31D0" w:rsidRPr="00E105C6">
        <w:rPr>
          <w:rFonts w:hint="cs"/>
          <w:i/>
          <w:rtl/>
          <w:lang w:bidi="ar-AE"/>
        </w:rPr>
        <w:t xml:space="preserve"> وما</w:t>
      </w:r>
      <w:r w:rsidR="00E105C6" w:rsidRPr="00E105C6">
        <w:rPr>
          <w:i/>
          <w:rtl/>
          <w:lang w:bidi="ar-AE"/>
        </w:rPr>
        <w:t xml:space="preserve"> جَعَلَ عليكم في الدين من حَرَجٍ مِلَّةَ أبيكم إبراهيم</w:t>
      </w:r>
      <w:r w:rsidR="00E105C6" w:rsidRPr="00E105C6">
        <w:rPr>
          <w:b/>
          <w:bCs/>
          <w:i/>
          <w:rtl/>
          <w:lang w:bidi="ar-AE"/>
        </w:rPr>
        <w:t xml:space="preserve"> هو </w:t>
      </w:r>
      <w:r w:rsidR="00E105C6" w:rsidRPr="00E105C6">
        <w:rPr>
          <w:i/>
          <w:rtl/>
          <w:lang w:bidi="ar-AE"/>
        </w:rPr>
        <w:t xml:space="preserve">سَماكم المُسْلمين من قَبْلُ وفي </w:t>
      </w:r>
      <w:r w:rsidR="00E105C6" w:rsidRPr="00E105C6">
        <w:rPr>
          <w:b/>
          <w:bCs/>
          <w:i/>
          <w:rtl/>
          <w:lang w:bidi="ar-AE"/>
        </w:rPr>
        <w:t>هذا</w:t>
      </w:r>
      <w:r w:rsidRPr="003A4901">
        <w:rPr>
          <w:i/>
          <w:lang w:bidi="ar-AE"/>
        </w:rPr>
        <w:t> </w:t>
      </w:r>
      <w:r w:rsidRPr="00861EF5">
        <w:rPr>
          <w:lang w:bidi="ar-AE"/>
        </w:rPr>
        <w:t xml:space="preserve">» </w:t>
      </w:r>
      <w:r w:rsidRPr="00861EF5">
        <w:t>[« </w:t>
      </w:r>
      <w:r w:rsidRPr="00861EF5">
        <w:rPr>
          <w:lang w:bidi="ar-AE"/>
        </w:rPr>
        <w:t xml:space="preserve">Il ne met aucune gêne pour vous dans la religion, en tant que fidèles à la communauté de votre père Abraham. C’est </w:t>
      </w:r>
      <w:r w:rsidRPr="00861EF5">
        <w:rPr>
          <w:b/>
          <w:bCs/>
          <w:i/>
          <w:iCs/>
          <w:lang w:bidi="ar-AE"/>
        </w:rPr>
        <w:t>lui</w:t>
      </w:r>
      <w:r w:rsidRPr="00861EF5">
        <w:rPr>
          <w:lang w:bidi="ar-AE"/>
        </w:rPr>
        <w:t xml:space="preserve"> qui jadis vous a nommés Ceux-qui-se-soumettent. Qu’en </w:t>
      </w:r>
      <w:r w:rsidRPr="00861EF5">
        <w:rPr>
          <w:b/>
          <w:bCs/>
          <w:i/>
          <w:iCs/>
          <w:lang w:bidi="ar-AE"/>
        </w:rPr>
        <w:t>cela</w:t>
      </w:r>
      <w:r w:rsidRPr="00861EF5">
        <w:t> »],</w:t>
      </w:r>
      <w:r w:rsidR="00E13FDA">
        <w:rPr>
          <w:lang w:bidi="ar-AE"/>
        </w:rPr>
        <w:t xml:space="preserve"> les antécédents du pronom </w:t>
      </w:r>
      <w:r w:rsidRPr="00861EF5">
        <w:rPr>
          <w:i/>
          <w:iCs/>
          <w:lang w:bidi="ar-AE"/>
        </w:rPr>
        <w:t>huwa</w:t>
      </w:r>
      <w:r w:rsidR="007F222F">
        <w:rPr>
          <w:lang w:bidi="ar-AE"/>
        </w:rPr>
        <w:t xml:space="preserve"> [lui] et du démonstratif </w:t>
      </w:r>
      <w:r w:rsidRPr="00861EF5">
        <w:rPr>
          <w:i/>
          <w:iCs/>
          <w:lang w:bidi="ar-AE"/>
        </w:rPr>
        <w:t>hādhā</w:t>
      </w:r>
      <w:r w:rsidRPr="00861EF5">
        <w:rPr>
          <w:lang w:bidi="ar-AE"/>
        </w:rPr>
        <w:t xml:space="preserve"> [cela] ne sont pas clair</w:t>
      </w:r>
      <w:r w:rsidR="00E13FDA">
        <w:t xml:space="preserve">s. Le </w:t>
      </w:r>
      <w:r w:rsidRPr="00861EF5">
        <w:rPr>
          <w:i/>
          <w:iCs/>
        </w:rPr>
        <w:t>huwa</w:t>
      </w:r>
      <w:r w:rsidRPr="00861EF5">
        <w:t xml:space="preserve"> peut renvoyer à A</w:t>
      </w:r>
      <w:r w:rsidR="007F222F">
        <w:t xml:space="preserve">braham ou à Dieu. Par contre, </w:t>
      </w:r>
      <w:r w:rsidRPr="00861EF5">
        <w:rPr>
          <w:i/>
          <w:iCs/>
          <w:lang w:bidi="ar-AE"/>
        </w:rPr>
        <w:t>hādhā</w:t>
      </w:r>
      <w:r>
        <w:t xml:space="preserve"> peut désigner : 1) </w:t>
      </w:r>
      <w:r w:rsidRPr="00861EF5">
        <w:t>le Coran (selon la plupart des exégète</w:t>
      </w:r>
      <w:r>
        <w:t>s) ; 2) </w:t>
      </w:r>
      <w:r w:rsidRPr="00FF3EDB">
        <w:t>par conséquent («</w:t>
      </w:r>
      <w:r>
        <w:t xml:space="preserve"> wa-</w:t>
      </w:r>
      <w:r w:rsidRPr="00861EF5">
        <w:rPr>
          <w:i/>
          <w:iCs/>
        </w:rPr>
        <w:t xml:space="preserve">fī </w:t>
      </w:r>
      <w:r w:rsidRPr="00861EF5">
        <w:rPr>
          <w:i/>
          <w:iCs/>
          <w:lang w:bidi="ar-AE"/>
        </w:rPr>
        <w:t>hādhā, ay :</w:t>
      </w:r>
      <w:r>
        <w:rPr>
          <w:i/>
          <w:iCs/>
          <w:lang w:bidi="ar-AE"/>
        </w:rPr>
        <w:t xml:space="preserve"> wa-</w:t>
      </w:r>
      <w:r w:rsidRPr="00861EF5">
        <w:rPr>
          <w:i/>
          <w:iCs/>
        </w:rPr>
        <w:t>fī ḥukmihi</w:t>
      </w:r>
      <w:r w:rsidRPr="00861EF5">
        <w:t> », selon An-Naḥḥās dans</w:t>
      </w:r>
      <w:r w:rsidRPr="00861EF5">
        <w:rPr>
          <w:i/>
          <w:iCs/>
        </w:rPr>
        <w:t xml:space="preserve"> ʾIʿrāb al-qurʾān</w:t>
      </w:r>
      <w:r>
        <w:t>) ; 3) </w:t>
      </w:r>
      <w:r w:rsidRPr="00861EF5">
        <w:t>le chemin et la méthode (Shaykhū</w:t>
      </w:r>
      <w:r>
        <w:t>) ; 4) </w:t>
      </w:r>
      <w:r w:rsidRPr="00861EF5">
        <w:t>le temps, le monde ou le Coran (</w:t>
      </w:r>
      <w:r w:rsidRPr="00861EF5">
        <w:rPr>
          <w:i/>
          <w:iCs/>
        </w:rPr>
        <w:t>Tafsīr Bayān as-Saʿāda</w:t>
      </w:r>
      <w:r>
        <w:t xml:space="preserve"> du chiite Al-Janābidhī, XIV</w:t>
      </w:r>
      <w:r w:rsidRPr="00861EF5">
        <w:rPr>
          <w:vertAlign w:val="superscript"/>
        </w:rPr>
        <w:t>e</w:t>
      </w:r>
      <w:r>
        <w:t xml:space="preserve"> s. H.) ; 5) voilà pourquoi il vous a nommé </w:t>
      </w:r>
      <w:r w:rsidRPr="00151D85">
        <w:rPr>
          <w:i/>
          <w:iCs/>
        </w:rPr>
        <w:t>muslimī</w:t>
      </w:r>
      <w:r>
        <w:rPr>
          <w:i/>
          <w:iCs/>
        </w:rPr>
        <w:t>n</w:t>
      </w:r>
      <w:r>
        <w:t xml:space="preserve"> (« </w:t>
      </w:r>
      <w:r w:rsidRPr="00401C05">
        <w:rPr>
          <w:i/>
        </w:rPr>
        <w:t>wa</w:t>
      </w:r>
      <w:r>
        <w:t>-</w:t>
      </w:r>
      <w:r w:rsidRPr="00861EF5">
        <w:rPr>
          <w:i/>
          <w:iCs/>
        </w:rPr>
        <w:t xml:space="preserve">fī </w:t>
      </w:r>
      <w:r w:rsidRPr="00861EF5">
        <w:rPr>
          <w:i/>
          <w:iCs/>
          <w:lang w:bidi="ar-AE"/>
        </w:rPr>
        <w:t>hādhā</w:t>
      </w:r>
      <w:r>
        <w:rPr>
          <w:i/>
          <w:iCs/>
          <w:lang w:bidi="ar-AE"/>
        </w:rPr>
        <w:t xml:space="preserve"> bayān tasmyati-hi iyyā-kum </w:t>
      </w:r>
      <w:r w:rsidRPr="00151D85">
        <w:rPr>
          <w:i/>
          <w:iCs/>
        </w:rPr>
        <w:t>muslimī</w:t>
      </w:r>
      <w:r>
        <w:rPr>
          <w:i/>
          <w:iCs/>
        </w:rPr>
        <w:t>n</w:t>
      </w:r>
      <w:r>
        <w:t> », selon Bayḍāwī) ; 6) dans ce sens, celui qui suit le prophète Muḥammad est musulman (ellipse) (al-Qurṭubī).</w:t>
      </w:r>
    </w:p>
    <w:p w14:paraId="38BDFCD3" w14:textId="77777777" w:rsidR="007214B1" w:rsidRDefault="007214B1" w:rsidP="007214B1">
      <w:pPr>
        <w:spacing w:line="360" w:lineRule="auto"/>
        <w:jc w:val="both"/>
      </w:pPr>
    </w:p>
    <w:p w14:paraId="6B98EA0A" w14:textId="77777777" w:rsidR="007214B1" w:rsidRPr="000C70AB" w:rsidRDefault="007214B1" w:rsidP="007214B1">
      <w:pPr>
        <w:spacing w:line="360" w:lineRule="auto"/>
        <w:jc w:val="both"/>
        <w:outlineLvl w:val="0"/>
        <w:rPr>
          <w:b/>
          <w:bCs/>
        </w:rPr>
      </w:pPr>
      <w:r>
        <w:rPr>
          <w:b/>
          <w:bCs/>
        </w:rPr>
        <w:t>Signification de l’omission</w:t>
      </w:r>
      <w:r w:rsidRPr="000C70AB">
        <w:rPr>
          <w:b/>
          <w:bCs/>
        </w:rPr>
        <w:t xml:space="preserve"> d’un pronom :</w:t>
      </w:r>
    </w:p>
    <w:p w14:paraId="64577518" w14:textId="77777777" w:rsidR="007214B1" w:rsidRPr="00861EF5" w:rsidRDefault="007214B1" w:rsidP="007214B1">
      <w:pPr>
        <w:spacing w:line="360" w:lineRule="auto"/>
        <w:ind w:firstLine="360"/>
        <w:jc w:val="both"/>
        <w:rPr>
          <w:rFonts w:eastAsia="Times New Roman"/>
        </w:rPr>
      </w:pPr>
      <w:r w:rsidRPr="00861EF5">
        <w:rPr>
          <w:rFonts w:eastAsia="Times New Roman"/>
        </w:rPr>
        <w:t>Non seulement le pronom a plusieurs s</w:t>
      </w:r>
      <w:r>
        <w:rPr>
          <w:rFonts w:eastAsia="Times New Roman"/>
        </w:rPr>
        <w:t>ens, mais parfois l’omission</w:t>
      </w:r>
      <w:r w:rsidRPr="00861EF5">
        <w:rPr>
          <w:rFonts w:eastAsia="Times New Roman"/>
        </w:rPr>
        <w:t xml:space="preserve"> du pronom ou du déterminant prend une signification. Prenons pour illustration</w:t>
      </w:r>
      <w:r>
        <w:rPr>
          <w:rFonts w:eastAsia="Times New Roman"/>
        </w:rPr>
        <w:t xml:space="preserve"> le mot </w:t>
      </w:r>
      <w:r w:rsidRPr="00861EF5">
        <w:rPr>
          <w:rFonts w:eastAsia="Times New Roman"/>
          <w:i/>
          <w:iCs/>
        </w:rPr>
        <w:t>nakīr</w:t>
      </w:r>
      <w:r w:rsidRPr="00861EF5">
        <w:rPr>
          <w:rFonts w:eastAsia="Times New Roman"/>
        </w:rPr>
        <w:t xml:space="preserve"> [dénégation, châtiment dissuasif]</w:t>
      </w:r>
      <w:r>
        <w:rPr>
          <w:rFonts w:eastAsia="Times New Roman"/>
        </w:rPr>
        <w:t xml:space="preserve"> (v. 44), mot allégé de </w:t>
      </w:r>
      <w:r w:rsidRPr="00861EF5">
        <w:rPr>
          <w:rFonts w:eastAsia="Times New Roman"/>
          <w:i/>
          <w:iCs/>
        </w:rPr>
        <w:t>nakī</w:t>
      </w:r>
      <w:r w:rsidRPr="001E5299">
        <w:rPr>
          <w:rFonts w:eastAsia="Times New Roman"/>
          <w:i/>
          <w:iCs/>
        </w:rPr>
        <w:t>r</w:t>
      </w:r>
      <w:r w:rsidRPr="001E5299">
        <w:rPr>
          <w:rFonts w:eastAsia="Times New Roman"/>
          <w:b/>
          <w:bCs/>
          <w:i/>
        </w:rPr>
        <w:t>ī</w:t>
      </w:r>
      <w:r w:rsidRPr="00861EF5">
        <w:rPr>
          <w:rFonts w:eastAsia="Times New Roman"/>
        </w:rPr>
        <w:t xml:space="preserve"> [</w:t>
      </w:r>
      <w:r w:rsidRPr="00861EF5">
        <w:rPr>
          <w:rFonts w:eastAsia="Times New Roman"/>
          <w:b/>
          <w:bCs/>
          <w:i/>
          <w:iCs/>
        </w:rPr>
        <w:t>Mon</w:t>
      </w:r>
      <w:r w:rsidRPr="00861EF5">
        <w:rPr>
          <w:rFonts w:eastAsia="Times New Roman"/>
        </w:rPr>
        <w:t xml:space="preserve"> châtiment]. </w:t>
      </w:r>
      <w:r w:rsidRPr="00CD0FB2">
        <w:rPr>
          <w:rFonts w:eastAsia="Times New Roman"/>
        </w:rPr>
        <w:t>Pourquoi l’adjectif possessif suffixal [</w:t>
      </w:r>
      <w:r w:rsidRPr="00CD0FB2">
        <w:rPr>
          <w:rFonts w:asciiTheme="majorBidi" w:eastAsia="Times New Roman" w:hAnsiTheme="majorBidi" w:cstheme="majorBidi"/>
          <w:i/>
          <w:iCs/>
        </w:rPr>
        <w:t>aḍ-ḍamīr al-muttaṣil</w:t>
      </w:r>
      <w:r w:rsidRPr="00CD0FB2">
        <w:rPr>
          <w:rFonts w:eastAsia="Times New Roman"/>
        </w:rPr>
        <w:t>]</w:t>
      </w:r>
      <w:r>
        <w:rPr>
          <w:rFonts w:eastAsia="Times New Roman"/>
        </w:rPr>
        <w:t xml:space="preserve"> </w:t>
      </w:r>
      <w:r w:rsidRPr="00CD0FB2">
        <w:rPr>
          <w:rFonts w:eastAsia="Times New Roman"/>
          <w:i/>
          <w:iCs/>
        </w:rPr>
        <w:t>-ī</w:t>
      </w:r>
      <w:r>
        <w:rPr>
          <w:rFonts w:eastAsia="Times New Roman"/>
        </w:rPr>
        <w:t xml:space="preserve"> [mon/ma/mes] du mot </w:t>
      </w:r>
      <w:r w:rsidRPr="00CD0FB2">
        <w:rPr>
          <w:rFonts w:eastAsia="Times New Roman"/>
          <w:i/>
          <w:iCs/>
        </w:rPr>
        <w:t>nakīr</w:t>
      </w:r>
      <w:r w:rsidRPr="00CD0FB2">
        <w:rPr>
          <w:rFonts w:eastAsia="Times New Roman"/>
          <w:b/>
          <w:bCs/>
          <w:i/>
          <w:iCs/>
        </w:rPr>
        <w:t>ī</w:t>
      </w:r>
      <w:r w:rsidRPr="00CD0FB2">
        <w:rPr>
          <w:rFonts w:eastAsia="Times New Roman"/>
        </w:rPr>
        <w:t xml:space="preserve"> est-il omis ? L’omission même de cette p</w:t>
      </w:r>
      <w:r>
        <w:rPr>
          <w:rFonts w:eastAsia="Times New Roman"/>
        </w:rPr>
        <w:t xml:space="preserve">articule possessive suffixale </w:t>
      </w:r>
      <w:r w:rsidRPr="00CD0FB2">
        <w:rPr>
          <w:rFonts w:eastAsia="Times New Roman"/>
          <w:i/>
          <w:iCs/>
        </w:rPr>
        <w:t>-ī</w:t>
      </w:r>
      <w:r w:rsidRPr="00CD0FB2">
        <w:rPr>
          <w:rFonts w:eastAsia="Times New Roman"/>
        </w:rPr>
        <w:t xml:space="preserve"> a pris le sens de la perpétuité ou de la pérennité (</w:t>
      </w:r>
      <w:r w:rsidRPr="00CD0FB2">
        <w:rPr>
          <w:rFonts w:eastAsia="Times New Roman"/>
          <w:i/>
          <w:iCs/>
        </w:rPr>
        <w:t>al-istimrār</w:t>
      </w:r>
      <w:r w:rsidRPr="00CD0FB2">
        <w:rPr>
          <w:rFonts w:eastAsia="Times New Roman"/>
        </w:rPr>
        <w:t>)</w:t>
      </w:r>
      <w:r w:rsidRPr="00CD0FB2">
        <w:rPr>
          <w:rFonts w:eastAsia="Times New Roman"/>
          <w:vertAlign w:val="superscript"/>
        </w:rPr>
        <w:footnoteReference w:id="197"/>
      </w:r>
      <w:r w:rsidRPr="00CD0FB2">
        <w:rPr>
          <w:rFonts w:eastAsia="Times New Roman"/>
        </w:rPr>
        <w:t>. Mais la question qui se pose est pourquoi ce pronom suffixal n’est</w:t>
      </w:r>
      <w:r w:rsidRPr="00861EF5">
        <w:rPr>
          <w:rFonts w:eastAsia="Times New Roman"/>
        </w:rPr>
        <w:t xml:space="preserve"> généralement supprimé que du substantif qui vient à la fin du verset ? La seule raison d’élider le déterminant possessif du locuteur (</w:t>
      </w:r>
      <w:r w:rsidRPr="00861EF5">
        <w:rPr>
          <w:rFonts w:eastAsia="Times New Roman"/>
          <w:i/>
          <w:iCs/>
        </w:rPr>
        <w:t>yāʾ al-mutakallim</w:t>
      </w:r>
      <w:r w:rsidRPr="00861EF5">
        <w:rPr>
          <w:rFonts w:eastAsia="Times New Roman"/>
        </w:rPr>
        <w:t>) dans le Coran est, semble-t-il, le respect de l’assonance du verset.</w:t>
      </w:r>
    </w:p>
    <w:p w14:paraId="0A34167A" w14:textId="77777777" w:rsidR="007214B1" w:rsidRPr="00861EF5" w:rsidRDefault="007214B1" w:rsidP="007214B1">
      <w:pPr>
        <w:spacing w:line="360" w:lineRule="auto"/>
        <w:ind w:firstLine="360"/>
        <w:jc w:val="both"/>
        <w:rPr>
          <w:rFonts w:eastAsia="Times New Roman"/>
        </w:rPr>
      </w:pPr>
    </w:p>
    <w:p w14:paraId="0B4F0A5C" w14:textId="77777777" w:rsidR="007214B1" w:rsidRPr="00861EF5" w:rsidRDefault="007214B1" w:rsidP="007214B1">
      <w:pPr>
        <w:spacing w:line="360" w:lineRule="auto"/>
        <w:ind w:firstLine="360"/>
        <w:jc w:val="both"/>
        <w:rPr>
          <w:rFonts w:eastAsia="Times New Roman"/>
        </w:rPr>
      </w:pPr>
      <w:r>
        <w:rPr>
          <w:rFonts w:eastAsia="Times New Roman"/>
        </w:rPr>
        <w:t xml:space="preserve">Dans le Coran, le mot </w:t>
      </w:r>
      <w:r w:rsidRPr="00861EF5">
        <w:rPr>
          <w:rFonts w:eastAsia="Times New Roman"/>
          <w:i/>
          <w:iCs/>
        </w:rPr>
        <w:t>nakīrī</w:t>
      </w:r>
      <w:r>
        <w:rPr>
          <w:rFonts w:eastAsia="Times New Roman"/>
        </w:rPr>
        <w:t xml:space="preserve"> est toujours utilisé sans </w:t>
      </w:r>
      <w:r w:rsidRPr="00861EF5">
        <w:rPr>
          <w:rFonts w:eastAsia="Times New Roman"/>
          <w:i/>
          <w:iCs/>
        </w:rPr>
        <w:t>-ī</w:t>
      </w:r>
      <w:r w:rsidRPr="00861EF5">
        <w:rPr>
          <w:rFonts w:eastAsia="Times New Roman"/>
        </w:rPr>
        <w:t xml:space="preserve"> dans la clausule « </w:t>
      </w:r>
      <w:r>
        <w:rPr>
          <w:rFonts w:eastAsia="Times New Roman" w:hint="cs"/>
          <w:rtl/>
        </w:rPr>
        <w:t>فكيف كان نكير</w:t>
      </w:r>
      <w:r w:rsidRPr="00861EF5">
        <w:rPr>
          <w:rFonts w:eastAsia="Times New Roman"/>
        </w:rPr>
        <w:t xml:space="preserve"> » [comment fut donc dur Mon châtiment], clausule qui </w:t>
      </w:r>
      <w:r w:rsidRPr="00861EF5">
        <w:rPr>
          <w:rFonts w:eastAsia="Times New Roman"/>
          <w:i/>
          <w:iCs/>
        </w:rPr>
        <w:t>termine</w:t>
      </w:r>
      <w:r w:rsidRPr="00861EF5">
        <w:rPr>
          <w:rFonts w:eastAsia="Times New Roman"/>
        </w:rPr>
        <w:t xml:space="preserve"> les versets : XXII, 44 ; XXXIV, 45 ; XXXV, 26 et LXVII, 18.</w:t>
      </w:r>
    </w:p>
    <w:p w14:paraId="724D1C33" w14:textId="77777777" w:rsidR="007214B1" w:rsidRPr="00861EF5" w:rsidRDefault="007214B1" w:rsidP="007214B1">
      <w:pPr>
        <w:spacing w:line="360" w:lineRule="auto"/>
        <w:ind w:firstLine="360"/>
        <w:jc w:val="both"/>
        <w:rPr>
          <w:rFonts w:eastAsia="Times New Roman"/>
        </w:rPr>
      </w:pPr>
    </w:p>
    <w:p w14:paraId="133FB3E3" w14:textId="77777777" w:rsidR="007214B1" w:rsidRPr="00861EF5" w:rsidRDefault="007214B1" w:rsidP="007214B1">
      <w:pPr>
        <w:spacing w:line="360" w:lineRule="auto"/>
        <w:ind w:firstLine="360"/>
        <w:jc w:val="both"/>
        <w:rPr>
          <w:rFonts w:eastAsia="Times New Roman"/>
        </w:rPr>
      </w:pPr>
      <w:r w:rsidRPr="00861EF5">
        <w:rPr>
          <w:rFonts w:eastAsia="Times New Roman"/>
        </w:rPr>
        <w:t>Dans 11 occurrences dans le Coran, le pronom possessif de l’énonciateur (</w:t>
      </w:r>
      <w:r w:rsidRPr="00861EF5">
        <w:rPr>
          <w:rFonts w:eastAsia="Times New Roman"/>
          <w:i/>
          <w:iCs/>
        </w:rPr>
        <w:t>-ī</w:t>
      </w:r>
      <w:r w:rsidRPr="00861EF5">
        <w:rPr>
          <w:rFonts w:eastAsia="Times New Roman"/>
        </w:rPr>
        <w:t xml:space="preserve">) a été </w:t>
      </w:r>
      <w:r>
        <w:rPr>
          <w:rFonts w:eastAsia="Times New Roman"/>
        </w:rPr>
        <w:t>omis</w:t>
      </w:r>
      <w:r w:rsidRPr="00861EF5">
        <w:rPr>
          <w:rFonts w:eastAsia="Times New Roman"/>
        </w:rPr>
        <w:t xml:space="preserve"> des substantifs suivants qui viennent </w:t>
      </w:r>
      <w:r w:rsidRPr="00861EF5">
        <w:rPr>
          <w:rFonts w:eastAsia="Times New Roman"/>
          <w:u w:val="single"/>
        </w:rPr>
        <w:t>à la fin des versets</w:t>
      </w:r>
      <w:r w:rsidRPr="00861EF5">
        <w:rPr>
          <w:rFonts w:eastAsia="Times New Roman"/>
        </w:rPr>
        <w:t>.</w:t>
      </w:r>
    </w:p>
    <w:p w14:paraId="0DE4B98D"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matāb</w:t>
      </w:r>
      <w:r w:rsidRPr="00861EF5">
        <w:rPr>
          <w:rFonts w:eastAsia="Times New Roman"/>
        </w:rPr>
        <w:t>[</w:t>
      </w:r>
      <w:r w:rsidRPr="00861EF5">
        <w:rPr>
          <w:rFonts w:eastAsia="Times New Roman"/>
          <w:i/>
          <w:iCs/>
        </w:rPr>
        <w:t>ī</w:t>
      </w:r>
      <w:r w:rsidRPr="00861EF5">
        <w:rPr>
          <w:rFonts w:eastAsia="Times New Roman"/>
        </w:rPr>
        <w:t>] (mon repentir) (XIII, 30) ;</w:t>
      </w:r>
    </w:p>
    <w:p w14:paraId="1AAEFE89"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lastRenderedPageBreak/>
        <w:t>maʾāb</w:t>
      </w:r>
      <w:r w:rsidRPr="00861EF5">
        <w:rPr>
          <w:rFonts w:eastAsia="Times New Roman"/>
        </w:rPr>
        <w:t>[</w:t>
      </w:r>
      <w:r w:rsidRPr="00861EF5">
        <w:rPr>
          <w:rFonts w:eastAsia="Times New Roman"/>
          <w:i/>
          <w:iCs/>
        </w:rPr>
        <w:t>ī</w:t>
      </w:r>
      <w:r w:rsidRPr="00861EF5">
        <w:rPr>
          <w:rFonts w:eastAsia="Times New Roman"/>
        </w:rPr>
        <w:t>] (Mon retour) (XIII, 36) ;</w:t>
      </w:r>
    </w:p>
    <w:p w14:paraId="46679CF8"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duʿāʾ</w:t>
      </w:r>
      <w:r w:rsidRPr="00861EF5">
        <w:rPr>
          <w:rFonts w:eastAsia="Times New Roman"/>
        </w:rPr>
        <w:t>[</w:t>
      </w:r>
      <w:r w:rsidRPr="00861EF5">
        <w:rPr>
          <w:rFonts w:eastAsia="Times New Roman"/>
          <w:i/>
          <w:iCs/>
        </w:rPr>
        <w:t>ī</w:t>
      </w:r>
      <w:r w:rsidRPr="00861EF5">
        <w:rPr>
          <w:rFonts w:eastAsia="Times New Roman"/>
        </w:rPr>
        <w:t xml:space="preserve">] (ma prière) (XIV, 40) (par contre, le pronom possessif </w:t>
      </w:r>
      <w:r w:rsidRPr="00861EF5">
        <w:rPr>
          <w:rFonts w:eastAsia="Times New Roman"/>
          <w:i/>
          <w:iCs/>
        </w:rPr>
        <w:t>-ī</w:t>
      </w:r>
      <w:r w:rsidRPr="00861EF5">
        <w:rPr>
          <w:rFonts w:eastAsia="Times New Roman"/>
        </w:rPr>
        <w:t xml:space="preserve"> apparaît dans ce même mot (</w:t>
      </w:r>
      <w:r w:rsidRPr="00861EF5">
        <w:rPr>
          <w:rFonts w:eastAsia="Times New Roman"/>
          <w:i/>
          <w:iCs/>
        </w:rPr>
        <w:t>duʿāʾī</w:t>
      </w:r>
      <w:r w:rsidRPr="00861EF5">
        <w:rPr>
          <w:rFonts w:eastAsia="Times New Roman"/>
        </w:rPr>
        <w:t>) lorsque ce dernier vient au milieu du verset (LXXI, 6)) ;</w:t>
      </w:r>
    </w:p>
    <w:p w14:paraId="0FFDAFB6"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dīn</w:t>
      </w:r>
      <w:r w:rsidRPr="00861EF5">
        <w:rPr>
          <w:rFonts w:eastAsia="Times New Roman"/>
        </w:rPr>
        <w:t>[</w:t>
      </w:r>
      <w:r w:rsidRPr="00861EF5">
        <w:rPr>
          <w:rFonts w:eastAsia="Times New Roman"/>
          <w:i/>
          <w:iCs/>
        </w:rPr>
        <w:t>ī</w:t>
      </w:r>
      <w:r w:rsidRPr="00861EF5">
        <w:rPr>
          <w:rFonts w:eastAsia="Times New Roman"/>
        </w:rPr>
        <w:t xml:space="preserve">] (ma religion) (CIX, 6) (alors que ce même mot apparaît au milieu du verset X, 104 avec le pronom </w:t>
      </w:r>
      <w:r w:rsidRPr="00861EF5">
        <w:rPr>
          <w:rFonts w:eastAsia="Times New Roman"/>
          <w:i/>
          <w:iCs/>
        </w:rPr>
        <w:t>-ī</w:t>
      </w:r>
      <w:r w:rsidRPr="00861EF5">
        <w:rPr>
          <w:rFonts w:eastAsia="Times New Roman"/>
        </w:rPr>
        <w:t xml:space="preserve"> ainsi </w:t>
      </w:r>
      <w:r w:rsidRPr="00861EF5">
        <w:rPr>
          <w:rFonts w:eastAsia="Times New Roman"/>
          <w:i/>
          <w:iCs/>
        </w:rPr>
        <w:t>dīnī</w:t>
      </w:r>
      <w:r w:rsidRPr="00861EF5">
        <w:rPr>
          <w:rFonts w:eastAsia="Times New Roman"/>
        </w:rPr>
        <w:t>)</w:t>
      </w:r>
      <w:r w:rsidRPr="00861EF5">
        <w:rPr>
          <w:rFonts w:eastAsia="Times New Roman"/>
          <w:vertAlign w:val="superscript"/>
        </w:rPr>
        <w:footnoteReference w:id="198"/>
      </w:r>
      <w:r w:rsidRPr="00861EF5">
        <w:rPr>
          <w:rFonts w:eastAsia="Times New Roman"/>
          <w:vertAlign w:val="superscript"/>
        </w:rPr>
        <w:t> </w:t>
      </w:r>
      <w:r w:rsidRPr="00861EF5">
        <w:rPr>
          <w:rFonts w:eastAsia="Times New Roman"/>
        </w:rPr>
        <w:t>;</w:t>
      </w:r>
    </w:p>
    <w:p w14:paraId="124A95E3"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ʿibād</w:t>
      </w:r>
      <w:r w:rsidRPr="00861EF5">
        <w:rPr>
          <w:rFonts w:eastAsia="Times New Roman"/>
        </w:rPr>
        <w:t>[</w:t>
      </w:r>
      <w:r w:rsidRPr="00861EF5">
        <w:rPr>
          <w:rFonts w:eastAsia="Times New Roman"/>
          <w:i/>
          <w:iCs/>
        </w:rPr>
        <w:t>ī</w:t>
      </w:r>
      <w:r w:rsidRPr="00861EF5">
        <w:rPr>
          <w:rFonts w:eastAsia="Times New Roman"/>
        </w:rPr>
        <w:t>] (Mes serviteurs) (XXXIX, 17)</w:t>
      </w:r>
      <w:r w:rsidRPr="00861EF5">
        <w:rPr>
          <w:rFonts w:eastAsia="Times New Roman"/>
          <w:vertAlign w:val="superscript"/>
        </w:rPr>
        <w:footnoteReference w:id="199"/>
      </w:r>
      <w:r w:rsidRPr="00861EF5">
        <w:rPr>
          <w:rFonts w:eastAsia="Times New Roman"/>
        </w:rPr>
        <w:t xml:space="preserve"> (tandis que ce même mot apparaît 17 fois toujours au milieu des versets avec le pronom </w:t>
      </w:r>
      <w:r w:rsidRPr="00861EF5">
        <w:rPr>
          <w:rFonts w:eastAsia="Times New Roman"/>
          <w:i/>
          <w:iCs/>
        </w:rPr>
        <w:t>-ī</w:t>
      </w:r>
      <w:r w:rsidRPr="00861EF5">
        <w:rPr>
          <w:rFonts w:eastAsia="Times New Roman"/>
        </w:rPr>
        <w:t xml:space="preserve"> (</w:t>
      </w:r>
      <w:r w:rsidRPr="00861EF5">
        <w:rPr>
          <w:rFonts w:eastAsia="Times New Roman"/>
          <w:i/>
          <w:iCs/>
        </w:rPr>
        <w:t>ʿibādī</w:t>
      </w:r>
      <w:r w:rsidRPr="00861EF5">
        <w:rPr>
          <w:rFonts w:eastAsia="Times New Roman"/>
        </w:rPr>
        <w:t>)) ;</w:t>
      </w:r>
    </w:p>
    <w:p w14:paraId="5264E4DA"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ʿadhāb</w:t>
      </w:r>
      <w:r w:rsidRPr="00861EF5">
        <w:rPr>
          <w:rFonts w:eastAsia="Times New Roman"/>
        </w:rPr>
        <w:t>[</w:t>
      </w:r>
      <w:r w:rsidRPr="00861EF5">
        <w:rPr>
          <w:rFonts w:eastAsia="Times New Roman"/>
          <w:i/>
          <w:iCs/>
        </w:rPr>
        <w:t>ī</w:t>
      </w:r>
      <w:r w:rsidRPr="00861EF5">
        <w:rPr>
          <w:rFonts w:eastAsia="Times New Roman"/>
        </w:rPr>
        <w:t xml:space="preserve">] (Mon tourment) (XXXVIII, 8). Cependant, le </w:t>
      </w:r>
      <w:r w:rsidRPr="00861EF5">
        <w:rPr>
          <w:rFonts w:eastAsia="Times New Roman"/>
          <w:i/>
          <w:iCs/>
        </w:rPr>
        <w:t>-ī</w:t>
      </w:r>
      <w:r w:rsidRPr="00861EF5">
        <w:rPr>
          <w:rFonts w:eastAsia="Times New Roman"/>
        </w:rPr>
        <w:t xml:space="preserve"> apparaît toujours dans ce même mot quand ce dernier vient au milieu (ainsi : </w:t>
      </w:r>
      <w:r w:rsidRPr="00861EF5">
        <w:rPr>
          <w:rFonts w:eastAsia="Times New Roman"/>
          <w:i/>
          <w:iCs/>
        </w:rPr>
        <w:t>ʿadhābī</w:t>
      </w:r>
      <w:r w:rsidRPr="00861EF5">
        <w:rPr>
          <w:rFonts w:eastAsia="Times New Roman"/>
        </w:rPr>
        <w:t>), dans les versets : VII, 156 ; XIV, 7 ; XV, 50 ; LIV, 16, 18, 21, 30, 37, 39. Remarquons ici dans les six derniers versets que dans le mot médian</w:t>
      </w:r>
      <w:r w:rsidRPr="00861EF5">
        <w:rPr>
          <w:rFonts w:eastAsia="Times New Roman"/>
          <w:i/>
          <w:iCs/>
        </w:rPr>
        <w:t>ʿadhābī</w:t>
      </w:r>
      <w:r w:rsidRPr="00861EF5">
        <w:rPr>
          <w:rFonts w:eastAsia="Times New Roman"/>
        </w:rPr>
        <w:t xml:space="preserve"> le </w:t>
      </w:r>
      <w:r w:rsidRPr="00861EF5">
        <w:rPr>
          <w:rFonts w:eastAsia="Times New Roman"/>
          <w:i/>
          <w:iCs/>
        </w:rPr>
        <w:t>-ī</w:t>
      </w:r>
      <w:r w:rsidRPr="00861EF5">
        <w:rPr>
          <w:rFonts w:eastAsia="Times New Roman"/>
        </w:rPr>
        <w:t xml:space="preserve"> est fixé mais il est </w:t>
      </w:r>
      <w:r>
        <w:rPr>
          <w:rFonts w:eastAsia="Times New Roman"/>
        </w:rPr>
        <w:t>omis</w:t>
      </w:r>
      <w:r w:rsidRPr="00861EF5">
        <w:rPr>
          <w:rFonts w:eastAsia="Times New Roman"/>
        </w:rPr>
        <w:t xml:space="preserve"> du mot suivant final (</w:t>
      </w:r>
      <w:r w:rsidRPr="00861EF5">
        <w:rPr>
          <w:rFonts w:eastAsia="Times New Roman"/>
          <w:i/>
          <w:iCs/>
        </w:rPr>
        <w:t>nudhur</w:t>
      </w:r>
      <w:r w:rsidRPr="00861EF5">
        <w:rPr>
          <w:rFonts w:eastAsia="Times New Roman"/>
        </w:rPr>
        <w:t>) qui termine les versets (</w:t>
      </w:r>
      <w:r w:rsidRPr="00861EF5">
        <w:rPr>
          <w:rFonts w:eastAsia="Times New Roman"/>
          <w:i/>
          <w:iCs/>
        </w:rPr>
        <w:t>fa-kayfa kāna ʿadhāb</w:t>
      </w:r>
      <w:r w:rsidRPr="00861EF5">
        <w:rPr>
          <w:rFonts w:eastAsia="Times New Roman"/>
          <w:b/>
          <w:bCs/>
          <w:i/>
          <w:iCs/>
        </w:rPr>
        <w:t>ī</w:t>
      </w:r>
      <w:r>
        <w:rPr>
          <w:rFonts w:eastAsia="Times New Roman"/>
          <w:i/>
          <w:iCs/>
        </w:rPr>
        <w:t xml:space="preserve"> wa-</w:t>
      </w:r>
      <w:r w:rsidRPr="00861EF5">
        <w:rPr>
          <w:rFonts w:eastAsia="Times New Roman"/>
          <w:i/>
          <w:iCs/>
        </w:rPr>
        <w:t>nudhur</w:t>
      </w:r>
      <w:r w:rsidRPr="00861EF5">
        <w:rPr>
          <w:rFonts w:eastAsia="Times New Roman"/>
        </w:rPr>
        <w:t>[</w:t>
      </w:r>
      <w:r w:rsidRPr="00861EF5">
        <w:rPr>
          <w:rFonts w:eastAsia="Times New Roman"/>
          <w:i/>
          <w:iCs/>
        </w:rPr>
        <w:t>ī</w:t>
      </w:r>
      <w:r w:rsidRPr="00861EF5">
        <w:rPr>
          <w:rFonts w:eastAsia="Times New Roman"/>
        </w:rPr>
        <w:t>] [combien furent donc durs Mon châtiment et Mes avertissements].</w:t>
      </w:r>
    </w:p>
    <w:p w14:paraId="03AC72AA"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ʿiqāb</w:t>
      </w:r>
      <w:r w:rsidRPr="00861EF5">
        <w:rPr>
          <w:rFonts w:eastAsia="Times New Roman"/>
        </w:rPr>
        <w:t>[</w:t>
      </w:r>
      <w:r w:rsidRPr="00861EF5">
        <w:rPr>
          <w:rFonts w:eastAsia="Times New Roman"/>
          <w:i/>
          <w:iCs/>
        </w:rPr>
        <w:t>ī</w:t>
      </w:r>
      <w:r w:rsidRPr="00861EF5">
        <w:rPr>
          <w:rFonts w:eastAsia="Times New Roman"/>
        </w:rPr>
        <w:t>] (punition) (XIII, 32 ; XXXVIII, 14 ; XL, 5) ;</w:t>
      </w:r>
    </w:p>
    <w:p w14:paraId="09B793B7"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nudhur</w:t>
      </w:r>
      <w:r w:rsidRPr="00861EF5">
        <w:rPr>
          <w:rFonts w:eastAsia="Times New Roman"/>
        </w:rPr>
        <w:t>[</w:t>
      </w:r>
      <w:r w:rsidRPr="00861EF5">
        <w:rPr>
          <w:rFonts w:eastAsia="Times New Roman"/>
          <w:i/>
          <w:iCs/>
        </w:rPr>
        <w:t>ī</w:t>
      </w:r>
      <w:r w:rsidRPr="00861EF5">
        <w:rPr>
          <w:rFonts w:eastAsia="Times New Roman"/>
        </w:rPr>
        <w:t>] (Mes avertissements) (LIV, 16, 18, 21, 30, 37, 39) ;</w:t>
      </w:r>
    </w:p>
    <w:p w14:paraId="62AA908C" w14:textId="77777777" w:rsidR="007214B1" w:rsidRPr="00861EF5" w:rsidRDefault="007214B1" w:rsidP="007640DC">
      <w:pPr>
        <w:numPr>
          <w:ilvl w:val="0"/>
          <w:numId w:val="19"/>
        </w:numPr>
        <w:spacing w:line="360" w:lineRule="auto"/>
        <w:jc w:val="both"/>
        <w:rPr>
          <w:rFonts w:eastAsia="Times New Roman"/>
        </w:rPr>
      </w:pPr>
      <w:r w:rsidRPr="00861EF5">
        <w:rPr>
          <w:rFonts w:eastAsia="Times New Roman"/>
          <w:i/>
          <w:iCs/>
        </w:rPr>
        <w:t>nadhīr</w:t>
      </w:r>
      <w:r w:rsidRPr="00861EF5">
        <w:rPr>
          <w:rFonts w:eastAsia="Times New Roman"/>
        </w:rPr>
        <w:t>[</w:t>
      </w:r>
      <w:r w:rsidRPr="00861EF5">
        <w:rPr>
          <w:rFonts w:eastAsia="Times New Roman"/>
          <w:i/>
          <w:iCs/>
        </w:rPr>
        <w:t>ī</w:t>
      </w:r>
      <w:r w:rsidRPr="00861EF5">
        <w:rPr>
          <w:rFonts w:eastAsia="Times New Roman"/>
        </w:rPr>
        <w:t>] (Mon avertissement) (LXVII, 17) ;</w:t>
      </w:r>
    </w:p>
    <w:p w14:paraId="4478261F" w14:textId="77777777" w:rsidR="007214B1" w:rsidRPr="00861EF5" w:rsidRDefault="007214B1" w:rsidP="007640DC">
      <w:pPr>
        <w:numPr>
          <w:ilvl w:val="0"/>
          <w:numId w:val="19"/>
        </w:numPr>
        <w:tabs>
          <w:tab w:val="left" w:pos="851"/>
        </w:tabs>
        <w:spacing w:line="360" w:lineRule="auto"/>
        <w:jc w:val="both"/>
        <w:rPr>
          <w:rFonts w:eastAsia="Times New Roman"/>
        </w:rPr>
      </w:pPr>
      <w:r w:rsidRPr="00861EF5">
        <w:rPr>
          <w:rFonts w:eastAsia="Times New Roman"/>
          <w:i/>
          <w:iCs/>
        </w:rPr>
        <w:t>nakīr</w:t>
      </w:r>
      <w:r w:rsidRPr="00861EF5">
        <w:rPr>
          <w:rFonts w:eastAsia="Times New Roman"/>
        </w:rPr>
        <w:t>[</w:t>
      </w:r>
      <w:r w:rsidRPr="00861EF5">
        <w:rPr>
          <w:rFonts w:eastAsia="Times New Roman"/>
          <w:i/>
          <w:iCs/>
        </w:rPr>
        <w:t>ī</w:t>
      </w:r>
      <w:r w:rsidRPr="00861EF5">
        <w:rPr>
          <w:rFonts w:eastAsia="Times New Roman"/>
        </w:rPr>
        <w:t>] (Mon châtiment) (XXII, 44 ; XXXIV, 45 ; XXXV, 26 et LXVII, 18) ;</w:t>
      </w:r>
    </w:p>
    <w:p w14:paraId="505B563E" w14:textId="77777777" w:rsidR="007214B1" w:rsidRPr="00861EF5" w:rsidRDefault="007214B1" w:rsidP="007640DC">
      <w:pPr>
        <w:numPr>
          <w:ilvl w:val="0"/>
          <w:numId w:val="19"/>
        </w:numPr>
        <w:tabs>
          <w:tab w:val="left" w:pos="851"/>
        </w:tabs>
        <w:spacing w:line="360" w:lineRule="auto"/>
        <w:jc w:val="both"/>
        <w:rPr>
          <w:rFonts w:eastAsia="Times New Roman"/>
        </w:rPr>
      </w:pPr>
      <w:r w:rsidRPr="00861EF5">
        <w:rPr>
          <w:rFonts w:eastAsia="Times New Roman"/>
          <w:i/>
          <w:iCs/>
        </w:rPr>
        <w:t>waʿīd</w:t>
      </w:r>
      <w:r w:rsidRPr="00861EF5">
        <w:rPr>
          <w:rFonts w:eastAsia="Times New Roman"/>
        </w:rPr>
        <w:t>[</w:t>
      </w:r>
      <w:r w:rsidRPr="00861EF5">
        <w:rPr>
          <w:rFonts w:eastAsia="Times New Roman"/>
          <w:i/>
          <w:iCs/>
        </w:rPr>
        <w:t>ī</w:t>
      </w:r>
      <w:r w:rsidRPr="00861EF5">
        <w:rPr>
          <w:rFonts w:eastAsia="Times New Roman"/>
        </w:rPr>
        <w:t>] (Ma menace) (XIV, 14 ; L, 14, 45).</w:t>
      </w:r>
    </w:p>
    <w:p w14:paraId="5B086057" w14:textId="77777777" w:rsidR="007214B1" w:rsidRPr="00861EF5" w:rsidRDefault="007214B1" w:rsidP="007214B1">
      <w:pPr>
        <w:tabs>
          <w:tab w:val="left" w:pos="851"/>
        </w:tabs>
        <w:spacing w:line="360" w:lineRule="auto"/>
        <w:jc w:val="both"/>
        <w:rPr>
          <w:rFonts w:eastAsia="Times New Roman"/>
        </w:rPr>
      </w:pPr>
    </w:p>
    <w:p w14:paraId="6B64BEF2" w14:textId="77777777" w:rsidR="007214B1" w:rsidRPr="00861EF5" w:rsidRDefault="007214B1" w:rsidP="007214B1">
      <w:pPr>
        <w:spacing w:line="360" w:lineRule="auto"/>
        <w:ind w:firstLine="360"/>
        <w:jc w:val="both"/>
        <w:rPr>
          <w:rFonts w:eastAsia="Times New Roman"/>
        </w:rPr>
      </w:pPr>
      <w:r w:rsidRPr="00861EF5">
        <w:rPr>
          <w:rFonts w:eastAsia="Times New Roman"/>
        </w:rPr>
        <w:t xml:space="preserve">Que ce déterminant possessif soit </w:t>
      </w:r>
      <w:r>
        <w:rPr>
          <w:rFonts w:eastAsia="Times New Roman"/>
        </w:rPr>
        <w:t>omis</w:t>
      </w:r>
      <w:r w:rsidRPr="00861EF5">
        <w:rPr>
          <w:rFonts w:eastAsia="Times New Roman"/>
        </w:rPr>
        <w:t xml:space="preserve"> pour indiquer la pérennité ou pour la nécessité de </w:t>
      </w:r>
      <w:r>
        <w:rPr>
          <w:rFonts w:eastAsia="Times New Roman"/>
        </w:rPr>
        <w:t>l’assonance, cela va</w:t>
      </w:r>
      <w:r w:rsidRPr="00861EF5">
        <w:rPr>
          <w:rFonts w:eastAsia="Times New Roman"/>
        </w:rPr>
        <w:t xml:space="preserve"> se perdre à la traduction.</w:t>
      </w:r>
    </w:p>
    <w:p w14:paraId="12FE45D9" w14:textId="77777777" w:rsidR="007214B1" w:rsidRPr="00861EF5" w:rsidRDefault="007214B1" w:rsidP="007214B1">
      <w:pPr>
        <w:tabs>
          <w:tab w:val="left" w:pos="851"/>
        </w:tabs>
        <w:spacing w:line="360" w:lineRule="auto"/>
        <w:ind w:firstLine="426"/>
        <w:jc w:val="both"/>
        <w:rPr>
          <w:rFonts w:eastAsia="Times New Roman"/>
        </w:rPr>
      </w:pPr>
      <w:r>
        <w:rPr>
          <w:rFonts w:eastAsia="Times New Roman"/>
        </w:rPr>
        <w:t>Il est à souligner que cet adjectif possessif n’est pas omis dans la lecture de Warsh.</w:t>
      </w:r>
    </w:p>
    <w:p w14:paraId="3FCA5A18" w14:textId="51947B86" w:rsidR="007214B1" w:rsidRPr="00861EF5" w:rsidRDefault="007214B1" w:rsidP="007214B1">
      <w:pPr>
        <w:spacing w:line="360" w:lineRule="auto"/>
        <w:ind w:firstLine="426"/>
        <w:jc w:val="both"/>
        <w:rPr>
          <w:rFonts w:eastAsia="Times New Roman"/>
          <w:lang w:bidi="ar-EG"/>
        </w:rPr>
      </w:pPr>
      <w:r w:rsidRPr="00861EF5">
        <w:rPr>
          <w:rFonts w:eastAsia="Times New Roman"/>
          <w:lang w:bidi="ar-EG"/>
        </w:rPr>
        <w:t>Il serait important de souligner que le pronom peut faire allusion à d’autres choses que celles indiquées par les antécédents, comme le type oral du discours ou l’insistance sur l’identité. En guise d’exemple, le fait d’utiliser le pronom possessif de la</w:t>
      </w:r>
      <w:r w:rsidR="009979E8">
        <w:rPr>
          <w:rFonts w:eastAsia="Times New Roman"/>
          <w:lang w:bidi="ar-EG"/>
        </w:rPr>
        <w:t xml:space="preserve"> deuxième personne du pluriel </w:t>
      </w:r>
      <w:r w:rsidRPr="00861EF5">
        <w:rPr>
          <w:rFonts w:eastAsia="Times New Roman"/>
          <w:i/>
          <w:iCs/>
          <w:lang w:bidi="ar-EG"/>
        </w:rPr>
        <w:t>-kum</w:t>
      </w:r>
      <w:r>
        <w:rPr>
          <w:rFonts w:eastAsia="Times New Roman"/>
          <w:lang w:bidi="ar-EG"/>
        </w:rPr>
        <w:t xml:space="preserve"> </w:t>
      </w:r>
      <w:r>
        <w:rPr>
          <w:rFonts w:eastAsia="Times New Roman"/>
          <w:lang w:bidi="ar-EG"/>
        </w:rPr>
        <w:lastRenderedPageBreak/>
        <w:t xml:space="preserve">[votre] dans l’injonction </w:t>
      </w:r>
      <w:r w:rsidRPr="00861EF5">
        <w:rPr>
          <w:i/>
          <w:iCs/>
        </w:rPr>
        <w:t>ittaqū rabba-</w:t>
      </w:r>
      <w:r w:rsidRPr="005B100D">
        <w:rPr>
          <w:b/>
          <w:bCs/>
          <w:i/>
        </w:rPr>
        <w:t>kum</w:t>
      </w:r>
      <w:r w:rsidRPr="00861EF5">
        <w:rPr>
          <w:rFonts w:eastAsia="Times New Roman"/>
          <w:lang w:bidi="ar-EG"/>
        </w:rPr>
        <w:t xml:space="preserve"> [craignez </w:t>
      </w:r>
      <w:r w:rsidRPr="00861EF5">
        <w:rPr>
          <w:rFonts w:eastAsia="Times New Roman"/>
          <w:b/>
          <w:bCs/>
          <w:i/>
          <w:iCs/>
          <w:lang w:bidi="ar-EG"/>
        </w:rPr>
        <w:t>votre</w:t>
      </w:r>
      <w:r w:rsidRPr="00861EF5">
        <w:rPr>
          <w:rFonts w:eastAsia="Times New Roman"/>
          <w:lang w:bidi="ar-EG"/>
        </w:rPr>
        <w:t xml:space="preserve"> Seigneur] indiquerait que le texte était est une harangue, un discours oral, </w:t>
      </w:r>
      <w:r>
        <w:rPr>
          <w:rFonts w:eastAsia="Times New Roman"/>
          <w:lang w:bidi="ar-EG"/>
        </w:rPr>
        <w:t xml:space="preserve">avec un style déclamatoire, </w:t>
      </w:r>
      <w:r w:rsidRPr="00861EF5">
        <w:rPr>
          <w:rFonts w:eastAsia="Times New Roman"/>
          <w:lang w:bidi="ar-EG"/>
        </w:rPr>
        <w:t>et mettrait en exergue la possessivité et l’appartenance.</w:t>
      </w:r>
    </w:p>
    <w:p w14:paraId="50EF1067" w14:textId="77777777" w:rsidR="007214B1" w:rsidRPr="00861EF5" w:rsidRDefault="007214B1" w:rsidP="007214B1">
      <w:pPr>
        <w:spacing w:line="360" w:lineRule="auto"/>
        <w:ind w:firstLine="426"/>
        <w:jc w:val="both"/>
        <w:rPr>
          <w:rFonts w:eastAsia="Times New Roman"/>
          <w:lang w:bidi="ar-EG"/>
        </w:rPr>
      </w:pPr>
    </w:p>
    <w:p w14:paraId="7E551668" w14:textId="77777777" w:rsidR="007214B1" w:rsidRPr="00861EF5" w:rsidRDefault="007214B1" w:rsidP="007214B1">
      <w:pPr>
        <w:spacing w:line="360" w:lineRule="auto"/>
        <w:ind w:firstLine="426"/>
        <w:jc w:val="both"/>
        <w:rPr>
          <w:rFonts w:eastAsia="Times New Roman"/>
          <w:lang w:bidi="ar-EG"/>
        </w:rPr>
      </w:pPr>
      <w:r w:rsidRPr="00861EF5">
        <w:rPr>
          <w:rFonts w:eastAsia="Times New Roman"/>
          <w:lang w:bidi="ar-EG"/>
        </w:rPr>
        <w:t>Ce pronom, renvoyant</w:t>
      </w:r>
      <w:r>
        <w:rPr>
          <w:rFonts w:eastAsia="Times New Roman"/>
          <w:lang w:bidi="ar-EG"/>
        </w:rPr>
        <w:t xml:space="preserve"> à un nom explicite indécis (</w:t>
      </w:r>
      <w:r w:rsidRPr="00861EF5">
        <w:rPr>
          <w:rFonts w:eastAsia="Times New Roman"/>
          <w:i/>
          <w:iCs/>
          <w:lang w:bidi="ar-EG"/>
        </w:rPr>
        <w:t>an-nās</w:t>
      </w:r>
      <w:r w:rsidRPr="00861EF5">
        <w:rPr>
          <w:rFonts w:eastAsia="Times New Roman"/>
          <w:lang w:bidi="ar-EG"/>
        </w:rPr>
        <w:t xml:space="preserve"> [les gens]), peut désigner : </w:t>
      </w:r>
      <w:r>
        <w:rPr>
          <w:lang w:bidi="ar-AE"/>
        </w:rPr>
        <w:t>1) </w:t>
      </w:r>
      <w:r w:rsidRPr="00861EF5">
        <w:rPr>
          <w:lang w:bidi="ar-AE"/>
        </w:rPr>
        <w:t>ceux qui écoutaient la harangue</w:t>
      </w:r>
      <w:r>
        <w:rPr>
          <w:lang w:bidi="ar-AE"/>
        </w:rPr>
        <w:t xml:space="preserve">, </w:t>
      </w:r>
      <w:r w:rsidRPr="00861EF5">
        <w:rPr>
          <w:lang w:bidi="ar-AE"/>
        </w:rPr>
        <w:t>2</w:t>
      </w:r>
      <w:r>
        <w:rPr>
          <w:lang w:bidi="ar-AE"/>
        </w:rPr>
        <w:t>) les M</w:t>
      </w:r>
      <w:r w:rsidRPr="00861EF5">
        <w:rPr>
          <w:lang w:bidi="ar-AE"/>
        </w:rPr>
        <w:t>ecquois non-croyants</w:t>
      </w:r>
      <w:r w:rsidRPr="00861EF5">
        <w:rPr>
          <w:vertAlign w:val="superscript"/>
          <w:lang w:bidi="ar-AE"/>
        </w:rPr>
        <w:footnoteReference w:id="200"/>
      </w:r>
      <w:r w:rsidRPr="00861EF5">
        <w:rPr>
          <w:lang w:bidi="ar-AE"/>
        </w:rPr>
        <w:t>, 3</w:t>
      </w:r>
      <w:r>
        <w:rPr>
          <w:lang w:bidi="ar-AE"/>
        </w:rPr>
        <w:t>) tous les M</w:t>
      </w:r>
      <w:r w:rsidRPr="00861EF5">
        <w:rPr>
          <w:lang w:bidi="ar-AE"/>
        </w:rPr>
        <w:t xml:space="preserve">ecquois, </w:t>
      </w:r>
      <w:r>
        <w:rPr>
          <w:lang w:bidi="ar-AE"/>
        </w:rPr>
        <w:t xml:space="preserve">croyants ou non, ou </w:t>
      </w:r>
      <w:r w:rsidRPr="00861EF5">
        <w:rPr>
          <w:lang w:bidi="ar-AE"/>
        </w:rPr>
        <w:t>4</w:t>
      </w:r>
      <w:r>
        <w:rPr>
          <w:lang w:bidi="ar-AE"/>
        </w:rPr>
        <w:t xml:space="preserve">) </w:t>
      </w:r>
      <w:r w:rsidRPr="00861EF5">
        <w:rPr>
          <w:lang w:bidi="ar-AE"/>
        </w:rPr>
        <w:t xml:space="preserve">tous les mortels. Sa signification s’élargit de l’auditoire qui assistait au discours jusqu’à toute l’humanité. </w:t>
      </w:r>
      <w:r w:rsidRPr="00861EF5">
        <w:rPr>
          <w:rFonts w:eastAsia="Times New Roman"/>
          <w:lang w:bidi="ar-EG"/>
        </w:rPr>
        <w:t xml:space="preserve">Le verset voudrait dire aux musulmans qu’ils doivent respecter </w:t>
      </w:r>
      <w:r w:rsidRPr="00861EF5">
        <w:rPr>
          <w:rFonts w:eastAsia="Times New Roman"/>
          <w:i/>
          <w:iCs/>
          <w:lang w:bidi="ar-EG"/>
        </w:rPr>
        <w:t>leur propre</w:t>
      </w:r>
      <w:r>
        <w:rPr>
          <w:rFonts w:eastAsia="Times New Roman"/>
          <w:lang w:bidi="ar-EG"/>
        </w:rPr>
        <w:t xml:space="preserve"> </w:t>
      </w:r>
      <w:r w:rsidRPr="005E6AC5">
        <w:rPr>
          <w:rFonts w:eastAsia="Times New Roman"/>
          <w:i/>
          <w:lang w:bidi="ar-EG"/>
        </w:rPr>
        <w:t>rabb</w:t>
      </w:r>
      <w:r w:rsidRPr="00861EF5">
        <w:rPr>
          <w:rFonts w:eastAsia="Times New Roman"/>
          <w:lang w:bidi="ar-EG"/>
        </w:rPr>
        <w:t xml:space="preserve"> [maître, chef, patron, possesseur, seigneur]. Il voudrait donc implicitement dire aux musulmans qu’ils doivent respecter </w:t>
      </w:r>
      <w:r w:rsidRPr="00861EF5">
        <w:rPr>
          <w:rFonts w:eastAsia="Times New Roman"/>
          <w:i/>
          <w:iCs/>
          <w:lang w:bidi="ar-EG"/>
        </w:rPr>
        <w:t>leurs propres</w:t>
      </w:r>
      <w:r w:rsidRPr="00861EF5">
        <w:rPr>
          <w:rFonts w:eastAsia="Times New Roman"/>
          <w:lang w:bidi="ar-EG"/>
        </w:rPr>
        <w:t xml:space="preserve"> dirigeants (et par la suite l’image de Dieu imposée par leurs chefs) et craindre leur punition. Cela veut dire aussi que le respect d’un autre chef et d’une autre image de la divinité n’est pas obligatoire. L’utilisation de ce pronom met donc l’accent sur l’idée que le musulman est un être plus conflictuel que relationnel. Le commandement </w:t>
      </w:r>
      <w:r w:rsidRPr="00861EF5">
        <w:rPr>
          <w:i/>
          <w:iCs/>
        </w:rPr>
        <w:t>ittaqū rabba</w:t>
      </w:r>
      <w:r w:rsidRPr="00861EF5">
        <w:rPr>
          <w:b/>
          <w:bCs/>
        </w:rPr>
        <w:t>-</w:t>
      </w:r>
      <w:r w:rsidRPr="005B100D">
        <w:rPr>
          <w:b/>
          <w:bCs/>
          <w:i/>
        </w:rPr>
        <w:t>kum</w:t>
      </w:r>
      <w:r w:rsidRPr="00861EF5">
        <w:rPr>
          <w:rFonts w:eastAsia="Times New Roman"/>
          <w:lang w:bidi="ar-EG"/>
        </w:rPr>
        <w:t xml:space="preserve"> tracerait les frontières de la religion musulmane et diviserait le monde entre le nôtre et le vôtre, entre le vôtre et le leur. Ce qui créerait une identité conflictuelle et montrerait que l’un des buts de la rédaction du Coran est de se différencier.</w:t>
      </w:r>
    </w:p>
    <w:p w14:paraId="21498F91" w14:textId="77777777" w:rsidR="007214B1" w:rsidRPr="00861EF5" w:rsidRDefault="007214B1" w:rsidP="007214B1">
      <w:pPr>
        <w:spacing w:line="360" w:lineRule="auto"/>
        <w:ind w:firstLine="708"/>
        <w:jc w:val="both"/>
        <w:rPr>
          <w:rFonts w:eastAsia="Times New Roman"/>
          <w:lang w:bidi="ar-EG"/>
        </w:rPr>
      </w:pPr>
    </w:p>
    <w:p w14:paraId="1E1563DA" w14:textId="77777777" w:rsidR="007214B1" w:rsidRPr="00AF53A9" w:rsidRDefault="007214B1" w:rsidP="007214B1">
      <w:pPr>
        <w:spacing w:line="360" w:lineRule="auto"/>
        <w:ind w:firstLine="708"/>
        <w:jc w:val="both"/>
        <w:rPr>
          <w:rFonts w:eastAsia="Times New Roman"/>
          <w:lang w:bidi="ar-EG"/>
        </w:rPr>
      </w:pPr>
      <w:r w:rsidRPr="00861EF5">
        <w:rPr>
          <w:rFonts w:eastAsia="Times New Roman"/>
          <w:lang w:bidi="ar-EG"/>
        </w:rPr>
        <w:t xml:space="preserve">Les particules et les prépositions peuvent avoir plusieurs </w:t>
      </w:r>
      <w:r w:rsidRPr="00AF53A9">
        <w:rPr>
          <w:rFonts w:eastAsia="Times New Roman"/>
          <w:lang w:bidi="ar-EG"/>
        </w:rPr>
        <w:t>sens. En voici des exemples.</w:t>
      </w:r>
    </w:p>
    <w:p w14:paraId="35A4622F" w14:textId="77777777" w:rsidR="007214B1" w:rsidRPr="00861EF5" w:rsidRDefault="007214B1" w:rsidP="007214B1">
      <w:pPr>
        <w:bidi/>
        <w:spacing w:line="360" w:lineRule="auto"/>
        <w:ind w:firstLine="708"/>
        <w:jc w:val="both"/>
        <w:rPr>
          <w:rFonts w:eastAsia="Times New Roman"/>
          <w:rtl/>
        </w:rPr>
      </w:pPr>
    </w:p>
    <w:p w14:paraId="7E57838E" w14:textId="77777777" w:rsidR="007214B1" w:rsidRPr="00861EF5" w:rsidRDefault="007214B1" w:rsidP="007214B1">
      <w:pPr>
        <w:spacing w:line="360" w:lineRule="auto"/>
        <w:jc w:val="both"/>
        <w:outlineLvl w:val="0"/>
        <w:rPr>
          <w:b/>
          <w:bCs/>
          <w:lang w:bidi="ar-AE"/>
        </w:rPr>
      </w:pPr>
      <w:r w:rsidRPr="00861EF5">
        <w:rPr>
          <w:b/>
          <w:bCs/>
          <w:lang w:bidi="ar-AE"/>
        </w:rPr>
        <w:t xml:space="preserve">La particule </w:t>
      </w:r>
      <w:r w:rsidRPr="00861EF5">
        <w:rPr>
          <w:b/>
          <w:bCs/>
          <w:i/>
          <w:iCs/>
          <w:lang w:bidi="ar-AE"/>
        </w:rPr>
        <w:t>inna</w:t>
      </w:r>
      <w:r w:rsidRPr="00861EF5">
        <w:rPr>
          <w:b/>
          <w:bCs/>
          <w:lang w:bidi="ar-AE"/>
        </w:rPr>
        <w:t xml:space="preserve"> (l’exemple de la clausule du verset 17) :</w:t>
      </w:r>
    </w:p>
    <w:p w14:paraId="7E5EE0A8" w14:textId="77777777" w:rsidR="007214B1" w:rsidRPr="00861EF5" w:rsidRDefault="007214B1" w:rsidP="007214B1">
      <w:pPr>
        <w:spacing w:line="360" w:lineRule="auto"/>
        <w:ind w:firstLine="708"/>
        <w:jc w:val="both"/>
        <w:rPr>
          <w:rFonts w:eastAsia="Times New Roman"/>
        </w:rPr>
      </w:pPr>
      <w:r w:rsidRPr="00861EF5">
        <w:rPr>
          <w:lang w:bidi="ar-AE"/>
        </w:rPr>
        <w:t>La particule adverbiale</w:t>
      </w:r>
      <w:r>
        <w:rPr>
          <w:lang w:bidi="ar-AE"/>
        </w:rPr>
        <w:t xml:space="preserve"> </w:t>
      </w:r>
      <w:r w:rsidRPr="00861EF5">
        <w:rPr>
          <w:i/>
          <w:iCs/>
          <w:lang w:bidi="ar-AE"/>
        </w:rPr>
        <w:t>inna</w:t>
      </w:r>
      <w:r w:rsidRPr="00861EF5">
        <w:rPr>
          <w:lang w:bidi="ar-AE"/>
        </w:rPr>
        <w:t xml:space="preserve"> est un </w:t>
      </w:r>
      <w:r w:rsidRPr="00861EF5">
        <w:rPr>
          <w:rFonts w:eastAsia="Times New Roman"/>
          <w:i/>
          <w:iCs/>
        </w:rPr>
        <w:t>ḥarf nāsikh</w:t>
      </w:r>
      <w:r w:rsidRPr="00861EF5">
        <w:rPr>
          <w:rFonts w:eastAsia="Times New Roman"/>
        </w:rPr>
        <w:t xml:space="preserve"> (particule accusative qui change le cas du thème et de l’information de la phrase nominale), un morphème qui peut avoir trois rôles essentiels :</w:t>
      </w:r>
    </w:p>
    <w:p w14:paraId="18DD99D3" w14:textId="77777777" w:rsidR="007214B1" w:rsidRPr="00861EF5" w:rsidRDefault="007214B1" w:rsidP="007640DC">
      <w:pPr>
        <w:pStyle w:val="Paragraphedeliste"/>
        <w:numPr>
          <w:ilvl w:val="0"/>
          <w:numId w:val="23"/>
        </w:numPr>
        <w:bidi w:val="0"/>
        <w:spacing w:after="0" w:line="360" w:lineRule="auto"/>
        <w:contextualSpacing/>
        <w:jc w:val="both"/>
        <w:rPr>
          <w:rFonts w:ascii="Times New Roman" w:hAnsi="Times New Roman" w:cs="Times New Roman"/>
          <w:sz w:val="24"/>
          <w:szCs w:val="24"/>
          <w:lang w:bidi="ar-AE"/>
        </w:rPr>
      </w:pPr>
      <w:r w:rsidRPr="00861EF5">
        <w:rPr>
          <w:rFonts w:ascii="Times New Roman" w:hAnsi="Times New Roman" w:cs="Times New Roman"/>
          <w:sz w:val="24"/>
          <w:szCs w:val="24"/>
          <w:lang w:bidi="ar-AE"/>
        </w:rPr>
        <w:t>elle affirme en général le sens de la phrase nominale</w:t>
      </w:r>
      <w:r w:rsidRPr="00861EF5">
        <w:rPr>
          <w:rStyle w:val="Appelnotedebasdep"/>
          <w:sz w:val="24"/>
          <w:szCs w:val="24"/>
        </w:rPr>
        <w:footnoteReference w:id="201"/>
      </w:r>
      <w:r w:rsidRPr="00861EF5">
        <w:rPr>
          <w:rFonts w:ascii="Times New Roman" w:hAnsi="Times New Roman" w:cs="Times New Roman"/>
          <w:sz w:val="24"/>
          <w:szCs w:val="24"/>
          <w:lang w:bidi="ar-AE"/>
        </w:rPr>
        <w:t> ;</w:t>
      </w:r>
    </w:p>
    <w:p w14:paraId="0862F2D2" w14:textId="77777777" w:rsidR="007214B1" w:rsidRPr="00861EF5" w:rsidRDefault="007214B1" w:rsidP="007640DC">
      <w:pPr>
        <w:pStyle w:val="Paragraphedeliste"/>
        <w:numPr>
          <w:ilvl w:val="0"/>
          <w:numId w:val="23"/>
        </w:numPr>
        <w:bidi w:val="0"/>
        <w:spacing w:after="0" w:line="360" w:lineRule="auto"/>
        <w:contextualSpacing/>
        <w:jc w:val="both"/>
        <w:rPr>
          <w:rFonts w:ascii="Times New Roman" w:hAnsi="Times New Roman" w:cs="Times New Roman"/>
          <w:sz w:val="24"/>
          <w:szCs w:val="24"/>
          <w:lang w:bidi="ar-AE"/>
        </w:rPr>
      </w:pPr>
      <w:r w:rsidRPr="00861EF5">
        <w:rPr>
          <w:rFonts w:ascii="Times New Roman" w:hAnsi="Times New Roman" w:cs="Times New Roman"/>
          <w:sz w:val="24"/>
          <w:szCs w:val="24"/>
          <w:lang w:bidi="ar-AE"/>
        </w:rPr>
        <w:t xml:space="preserve">conventionnellement parlant, elle peut être utilisée pour commencer une phrase nominale et n’a donc pas souvent de rôle sémantique. Elle fait partie des </w:t>
      </w:r>
      <w:r w:rsidRPr="00861EF5">
        <w:rPr>
          <w:rFonts w:ascii="Times New Roman" w:hAnsi="Times New Roman" w:cs="Times New Roman"/>
          <w:i/>
          <w:iCs/>
          <w:sz w:val="24"/>
          <w:szCs w:val="24"/>
        </w:rPr>
        <w:t>ḥurūf al-ibtidāʾ</w:t>
      </w:r>
      <w:r w:rsidRPr="00861EF5">
        <w:rPr>
          <w:rFonts w:ascii="Times New Roman" w:hAnsi="Times New Roman" w:cs="Times New Roman"/>
          <w:sz w:val="24"/>
          <w:szCs w:val="24"/>
        </w:rPr>
        <w:t xml:space="preserve"> </w:t>
      </w:r>
      <w:r w:rsidRPr="00861EF5">
        <w:rPr>
          <w:rFonts w:ascii="Times New Roman" w:hAnsi="Times New Roman" w:cs="Times New Roman"/>
          <w:sz w:val="24"/>
          <w:szCs w:val="24"/>
          <w:lang w:eastAsia="fr-FR"/>
        </w:rPr>
        <w:t>[</w:t>
      </w:r>
      <w:r w:rsidRPr="00861EF5">
        <w:rPr>
          <w:rFonts w:ascii="Times New Roman" w:hAnsi="Times New Roman" w:cs="Times New Roman"/>
          <w:i/>
          <w:iCs/>
          <w:sz w:val="24"/>
          <w:szCs w:val="24"/>
          <w:lang w:eastAsia="fr-FR"/>
        </w:rPr>
        <w:t>les particules du commencement</w:t>
      </w:r>
      <w:r w:rsidRPr="00861EF5">
        <w:rPr>
          <w:rFonts w:ascii="Times New Roman" w:hAnsi="Times New Roman" w:cs="Times New Roman"/>
          <w:sz w:val="24"/>
          <w:szCs w:val="24"/>
          <w:lang w:eastAsia="fr-FR"/>
        </w:rPr>
        <w:t>]</w:t>
      </w:r>
      <w:r w:rsidRPr="00861EF5">
        <w:rPr>
          <w:rStyle w:val="Appelnotedebasdep"/>
          <w:sz w:val="24"/>
          <w:szCs w:val="24"/>
          <w:lang w:eastAsia="fr-FR"/>
        </w:rPr>
        <w:footnoteReference w:id="202"/>
      </w:r>
      <w:r w:rsidRPr="00861EF5">
        <w:rPr>
          <w:rFonts w:ascii="Times New Roman" w:hAnsi="Times New Roman" w:cs="Times New Roman"/>
          <w:sz w:val="24"/>
          <w:szCs w:val="24"/>
          <w:lang w:eastAsia="fr-FR"/>
        </w:rPr>
        <w:t> ;</w:t>
      </w:r>
    </w:p>
    <w:p w14:paraId="570A1A7C" w14:textId="77777777" w:rsidR="007214B1" w:rsidRPr="00861EF5" w:rsidRDefault="007214B1" w:rsidP="007640DC">
      <w:pPr>
        <w:pStyle w:val="Paragraphedeliste"/>
        <w:numPr>
          <w:ilvl w:val="0"/>
          <w:numId w:val="23"/>
        </w:numPr>
        <w:bidi w:val="0"/>
        <w:spacing w:after="0" w:line="360" w:lineRule="auto"/>
        <w:contextualSpacing/>
        <w:jc w:val="both"/>
        <w:rPr>
          <w:rFonts w:ascii="Times New Roman" w:hAnsi="Times New Roman" w:cs="Times New Roman"/>
          <w:sz w:val="24"/>
          <w:szCs w:val="24"/>
          <w:lang w:bidi="ar-AE"/>
        </w:rPr>
      </w:pPr>
      <w:r w:rsidRPr="00861EF5">
        <w:rPr>
          <w:rFonts w:ascii="Times New Roman" w:hAnsi="Times New Roman" w:cs="Times New Roman"/>
          <w:sz w:val="24"/>
          <w:szCs w:val="24"/>
          <w:lang w:bidi="ar-AE"/>
        </w:rPr>
        <w:lastRenderedPageBreak/>
        <w:t xml:space="preserve">elle peut être un complémenteur (conjonction de subordination) pour nominaliser la proposition subordonnée qui suit le verbe </w:t>
      </w:r>
      <w:r w:rsidRPr="00861EF5">
        <w:rPr>
          <w:rFonts w:ascii="Times New Roman" w:hAnsi="Times New Roman" w:cs="Times New Roman"/>
          <w:i/>
          <w:iCs/>
          <w:sz w:val="24"/>
          <w:szCs w:val="24"/>
          <w:lang w:bidi="ar-AE"/>
        </w:rPr>
        <w:t>qāl</w:t>
      </w:r>
      <w:r w:rsidRPr="00861EF5">
        <w:rPr>
          <w:rFonts w:ascii="Times New Roman" w:hAnsi="Times New Roman" w:cs="Times New Roman"/>
          <w:i/>
          <w:iCs/>
          <w:sz w:val="24"/>
          <w:szCs w:val="24"/>
          <w:vertAlign w:val="superscript"/>
          <w:lang w:bidi="ar-AE"/>
        </w:rPr>
        <w:t>a</w:t>
      </w:r>
      <w:r w:rsidRPr="00861EF5">
        <w:rPr>
          <w:rFonts w:ascii="Times New Roman" w:hAnsi="Times New Roman" w:cs="Times New Roman"/>
          <w:sz w:val="24"/>
          <w:szCs w:val="24"/>
          <w:lang w:bidi="ar-AE"/>
        </w:rPr>
        <w:t>/</w:t>
      </w:r>
      <w:r w:rsidRPr="00861EF5">
        <w:rPr>
          <w:rFonts w:ascii="Times New Roman" w:hAnsi="Times New Roman" w:cs="Times New Roman"/>
          <w:i/>
          <w:iCs/>
          <w:sz w:val="24"/>
          <w:szCs w:val="24"/>
          <w:lang w:bidi="ar-AE"/>
        </w:rPr>
        <w:t>yaqūl</w:t>
      </w:r>
      <w:r w:rsidRPr="00861EF5">
        <w:rPr>
          <w:rFonts w:ascii="Times New Roman" w:hAnsi="Times New Roman" w:cs="Times New Roman"/>
          <w:i/>
          <w:iCs/>
          <w:sz w:val="24"/>
          <w:szCs w:val="24"/>
          <w:vertAlign w:val="superscript"/>
          <w:lang w:bidi="ar-AE"/>
        </w:rPr>
        <w:t>u</w:t>
      </w:r>
      <w:r w:rsidRPr="00861EF5">
        <w:rPr>
          <w:rFonts w:ascii="Times New Roman" w:hAnsi="Times New Roman" w:cs="Times New Roman"/>
          <w:sz w:val="24"/>
          <w:szCs w:val="24"/>
          <w:lang w:bidi="ar-AE"/>
        </w:rPr>
        <w:t xml:space="preserve"> </w:t>
      </w:r>
      <w:r w:rsidRPr="00861EF5">
        <w:rPr>
          <w:rFonts w:ascii="Times New Roman" w:hAnsi="Times New Roman" w:cs="Times New Roman"/>
          <w:sz w:val="24"/>
          <w:szCs w:val="24"/>
          <w:lang w:eastAsia="fr-FR"/>
        </w:rPr>
        <w:t>[</w:t>
      </w:r>
      <w:r w:rsidRPr="00861EF5">
        <w:rPr>
          <w:rFonts w:ascii="Times New Roman" w:hAnsi="Times New Roman" w:cs="Times New Roman"/>
          <w:i/>
          <w:iCs/>
          <w:sz w:val="24"/>
          <w:szCs w:val="24"/>
          <w:lang w:eastAsia="fr-FR"/>
        </w:rPr>
        <w:t>dire</w:t>
      </w:r>
      <w:r w:rsidRPr="00861EF5">
        <w:rPr>
          <w:rFonts w:ascii="Times New Roman" w:hAnsi="Times New Roman" w:cs="Times New Roman"/>
          <w:sz w:val="24"/>
          <w:szCs w:val="24"/>
          <w:lang w:eastAsia="fr-FR"/>
        </w:rPr>
        <w:t>]</w:t>
      </w:r>
      <w:r w:rsidRPr="00861EF5">
        <w:rPr>
          <w:rFonts w:ascii="Times New Roman" w:hAnsi="Times New Roman" w:cs="Times New Roman"/>
          <w:sz w:val="24"/>
          <w:szCs w:val="24"/>
          <w:lang w:bidi="ar-AE"/>
        </w:rPr>
        <w:t>.</w:t>
      </w:r>
    </w:p>
    <w:p w14:paraId="39A6E9BA" w14:textId="77777777" w:rsidR="007214B1" w:rsidRPr="00861EF5" w:rsidRDefault="007214B1" w:rsidP="007214B1">
      <w:pPr>
        <w:spacing w:line="360" w:lineRule="auto"/>
        <w:ind w:firstLine="708"/>
        <w:jc w:val="both"/>
        <w:rPr>
          <w:rtl/>
          <w:lang w:bidi="ar-AE"/>
        </w:rPr>
      </w:pPr>
    </w:p>
    <w:p w14:paraId="536166E0" w14:textId="77777777" w:rsidR="007214B1" w:rsidRPr="00861EF5" w:rsidRDefault="007214B1" w:rsidP="007214B1">
      <w:pPr>
        <w:spacing w:line="360" w:lineRule="auto"/>
        <w:ind w:firstLine="708"/>
        <w:jc w:val="both"/>
        <w:rPr>
          <w:lang w:bidi="ar-AE"/>
        </w:rPr>
      </w:pPr>
      <w:r w:rsidRPr="00861EF5">
        <w:rPr>
          <w:lang w:bidi="ar-AE"/>
        </w:rPr>
        <w:t xml:space="preserve">En plus des rôles affirmatif, stylistique et grammaticale de </w:t>
      </w:r>
      <w:r w:rsidRPr="00861EF5">
        <w:rPr>
          <w:i/>
          <w:iCs/>
          <w:lang w:bidi="ar-AE"/>
        </w:rPr>
        <w:t>inna</w:t>
      </w:r>
      <w:r w:rsidRPr="00861EF5">
        <w:rPr>
          <w:lang w:bidi="ar-AE"/>
        </w:rPr>
        <w:t xml:space="preserve">, ce mot-outil (foncteur) peut avoir dans le Coran un rôle musical (assonantique). Le Coran l’utilise parfois pour des raisons assonantes, comme nous l’avons vu dans l’introduction. Il utilise la même phrase tantôt avec </w:t>
      </w:r>
      <w:r w:rsidRPr="00861EF5">
        <w:rPr>
          <w:i/>
          <w:iCs/>
          <w:lang w:bidi="ar-AE"/>
        </w:rPr>
        <w:t>inna</w:t>
      </w:r>
      <w:r w:rsidRPr="00861EF5">
        <w:rPr>
          <w:lang w:bidi="ar-AE"/>
        </w:rPr>
        <w:t xml:space="preserve"> tantôt avec </w:t>
      </w:r>
      <w:r w:rsidRPr="00861EF5">
        <w:rPr>
          <w:i/>
          <w:iCs/>
          <w:lang w:bidi="ar-AE"/>
        </w:rPr>
        <w:t>kāna</w:t>
      </w:r>
      <w:r w:rsidRPr="00861EF5">
        <w:rPr>
          <w:lang w:bidi="ar-AE"/>
        </w:rPr>
        <w:t xml:space="preserve">, selon le besoin non sémantique mais assonantique et prosodique. Nous avons évoqué l’exemple </w:t>
      </w:r>
      <w:r w:rsidRPr="00861EF5">
        <w:rPr>
          <w:b/>
          <w:bCs/>
          <w:i/>
          <w:iCs/>
          <w:lang w:bidi="ar-AE"/>
        </w:rPr>
        <w:t>inna</w:t>
      </w:r>
      <w:r>
        <w:rPr>
          <w:i/>
          <w:iCs/>
          <w:lang w:bidi="ar-AE"/>
        </w:rPr>
        <w:t xml:space="preserve"> dhālika ʿala </w:t>
      </w:r>
      <w:r w:rsidRPr="00861EF5">
        <w:rPr>
          <w:i/>
          <w:iCs/>
          <w:lang w:bidi="ar-AE"/>
        </w:rPr>
        <w:t xml:space="preserve">llāhi </w:t>
      </w:r>
      <w:r w:rsidRPr="00861EF5">
        <w:rPr>
          <w:i/>
          <w:iCs/>
          <w:u w:val="single"/>
          <w:lang w:bidi="ar-AE"/>
        </w:rPr>
        <w:t>yasīr</w:t>
      </w:r>
      <w:r w:rsidRPr="00861EF5">
        <w:rPr>
          <w:lang w:bidi="ar-AE"/>
        </w:rPr>
        <w:t xml:space="preserve"> (XXII, 70) et </w:t>
      </w:r>
      <w:r w:rsidRPr="00861EF5">
        <w:rPr>
          <w:b/>
          <w:bCs/>
          <w:i/>
          <w:iCs/>
          <w:lang w:bidi="ar-AE"/>
        </w:rPr>
        <w:t>kāna</w:t>
      </w:r>
      <w:r>
        <w:rPr>
          <w:i/>
          <w:iCs/>
          <w:lang w:bidi="ar-AE"/>
        </w:rPr>
        <w:t xml:space="preserve"> dhālika ʿala </w:t>
      </w:r>
      <w:r w:rsidRPr="00861EF5">
        <w:rPr>
          <w:i/>
          <w:iCs/>
          <w:lang w:bidi="ar-AE"/>
        </w:rPr>
        <w:t xml:space="preserve">llāhi </w:t>
      </w:r>
      <w:r w:rsidRPr="00861EF5">
        <w:rPr>
          <w:i/>
          <w:iCs/>
          <w:u w:val="single"/>
          <w:lang w:bidi="ar-AE"/>
        </w:rPr>
        <w:t>yasīr</w:t>
      </w:r>
      <w:r w:rsidRPr="00861EF5">
        <w:rPr>
          <w:b/>
          <w:bCs/>
          <w:i/>
          <w:iCs/>
          <w:u w:val="single"/>
          <w:lang w:bidi="ar-AE"/>
        </w:rPr>
        <w:t>ā</w:t>
      </w:r>
      <w:r w:rsidRPr="00861EF5">
        <w:rPr>
          <w:lang w:bidi="ar-AE"/>
        </w:rPr>
        <w:t xml:space="preserve"> (IV, 169). La clausule du verset 17 est un autre exemple qui consolide notre idée :</w:t>
      </w:r>
      <w:r w:rsidRPr="00861EF5">
        <w:rPr>
          <w:rFonts w:eastAsia="Times New Roman"/>
        </w:rPr>
        <w:t xml:space="preserve"> </w:t>
      </w:r>
      <w:r w:rsidRPr="00861EF5">
        <w:rPr>
          <w:b/>
          <w:bCs/>
          <w:i/>
          <w:iCs/>
          <w:lang w:bidi="ar-AE"/>
        </w:rPr>
        <w:t>inna</w:t>
      </w:r>
      <w:r>
        <w:rPr>
          <w:i/>
          <w:iCs/>
          <w:lang w:bidi="ar-AE"/>
        </w:rPr>
        <w:t xml:space="preserve"> l</w:t>
      </w:r>
      <w:r w:rsidRPr="00861EF5">
        <w:rPr>
          <w:i/>
          <w:iCs/>
          <w:lang w:bidi="ar-AE"/>
        </w:rPr>
        <w:t>lāha ʿalā kulli shayʾin shahīd</w:t>
      </w:r>
      <w:r w:rsidRPr="00861EF5">
        <w:rPr>
          <w:lang w:bidi="ar-AE"/>
        </w:rPr>
        <w:t xml:space="preserve"> [Dieu de toute chose est Témoin]. Comparons-la avec la même phrase d’un autre verset à rime accusatif :</w:t>
      </w:r>
    </w:p>
    <w:p w14:paraId="5AB48534" w14:textId="77777777" w:rsidR="007214B1" w:rsidRPr="00861EF5" w:rsidRDefault="007214B1" w:rsidP="007214B1">
      <w:pPr>
        <w:bidi/>
        <w:spacing w:line="360" w:lineRule="auto"/>
        <w:jc w:val="both"/>
        <w:rPr>
          <w:rFonts w:ascii="Simplified Arabic" w:eastAsia="Times New Roman" w:hAnsi="Simplified Arabic" w:cs="Simplified Arabic"/>
          <w:lang w:bidi="ar-AE"/>
        </w:rPr>
      </w:pPr>
      <w:r w:rsidRPr="00861EF5">
        <w:rPr>
          <w:rFonts w:ascii="Simplified Arabic" w:eastAsia="Times New Roman" w:hAnsi="Simplified Arabic" w:cs="Simplified Arabic"/>
          <w:rtl/>
          <w:lang w:bidi="ar-AE"/>
        </w:rPr>
        <w:t>"إنَّ اللهَ على كُلِّ شيءٍ شهِيدٌ." (الحج، 17)</w:t>
      </w:r>
    </w:p>
    <w:p w14:paraId="5A66EFF5" w14:textId="77777777" w:rsidR="007214B1" w:rsidRPr="00861EF5" w:rsidRDefault="007214B1" w:rsidP="007214B1">
      <w:pPr>
        <w:bidi/>
        <w:spacing w:line="360" w:lineRule="auto"/>
        <w:jc w:val="both"/>
        <w:rPr>
          <w:rFonts w:ascii="Simplified Arabic" w:eastAsia="Times New Roman" w:hAnsi="Simplified Arabic" w:cs="Simplified Arabic"/>
          <w:rtl/>
          <w:lang w:bidi="ar-AE"/>
        </w:rPr>
      </w:pPr>
      <w:r w:rsidRPr="00861EF5">
        <w:rPr>
          <w:rFonts w:ascii="Simplified Arabic" w:eastAsia="Times New Roman" w:hAnsi="Simplified Arabic" w:cs="Simplified Arabic"/>
          <w:rtl/>
          <w:lang w:bidi="ar-AE"/>
        </w:rPr>
        <w:t xml:space="preserve">"إنَّ اللهَ </w:t>
      </w:r>
      <w:r w:rsidRPr="00861EF5">
        <w:rPr>
          <w:rFonts w:ascii="Simplified Arabic" w:eastAsia="Times New Roman" w:hAnsi="Simplified Arabic" w:cs="Simplified Arabic"/>
          <w:i/>
          <w:iCs/>
          <w:rtl/>
          <w:lang w:bidi="ar-AE"/>
        </w:rPr>
        <w:t>كانَ</w:t>
      </w:r>
      <w:r w:rsidRPr="00861EF5">
        <w:rPr>
          <w:rFonts w:ascii="Simplified Arabic" w:eastAsia="Times New Roman" w:hAnsi="Simplified Arabic" w:cs="Simplified Arabic"/>
          <w:rtl/>
          <w:lang w:bidi="ar-AE"/>
        </w:rPr>
        <w:t xml:space="preserve"> على كُلِّ شيءٍ شهيداً".</w:t>
      </w:r>
      <w:r w:rsidRPr="00861EF5">
        <w:rPr>
          <w:rFonts w:ascii="Simplified Arabic" w:eastAsia="Times New Roman" w:hAnsi="Simplified Arabic" w:cs="Simplified Arabic"/>
          <w:lang w:bidi="ar-AE"/>
        </w:rPr>
        <w:t xml:space="preserve"> </w:t>
      </w:r>
      <w:r w:rsidRPr="00861EF5">
        <w:rPr>
          <w:rFonts w:ascii="Simplified Arabic" w:eastAsia="Times New Roman" w:hAnsi="Simplified Arabic" w:cs="Simplified Arabic"/>
          <w:rtl/>
          <w:lang w:bidi="ar-AE"/>
        </w:rPr>
        <w:t>(الأحزاب، 55)</w:t>
      </w:r>
    </w:p>
    <w:p w14:paraId="3A108290" w14:textId="77777777" w:rsidR="007214B1" w:rsidRPr="00861EF5" w:rsidRDefault="007214B1" w:rsidP="007214B1">
      <w:pPr>
        <w:bidi/>
        <w:spacing w:line="360" w:lineRule="auto"/>
        <w:ind w:firstLine="708"/>
        <w:jc w:val="both"/>
        <w:rPr>
          <w:rFonts w:eastAsia="Times New Roman"/>
          <w:rtl/>
        </w:rPr>
      </w:pPr>
    </w:p>
    <w:p w14:paraId="266DB21E" w14:textId="77777777" w:rsidR="007214B1" w:rsidRPr="00861EF5" w:rsidRDefault="007214B1" w:rsidP="007214B1">
      <w:pPr>
        <w:spacing w:line="360" w:lineRule="auto"/>
        <w:ind w:firstLine="708"/>
        <w:jc w:val="both"/>
        <w:rPr>
          <w:rFonts w:eastAsia="Times New Roman"/>
          <w:lang w:bidi="ar-AE"/>
        </w:rPr>
      </w:pPr>
      <w:r w:rsidRPr="00861EF5">
        <w:rPr>
          <w:rFonts w:eastAsia="Times New Roman"/>
          <w:lang w:bidi="ar-AE"/>
        </w:rPr>
        <w:t xml:space="preserve">Dans le second verset, </w:t>
      </w:r>
      <w:r w:rsidRPr="00861EF5">
        <w:rPr>
          <w:lang w:bidi="ar-AE"/>
        </w:rPr>
        <w:t xml:space="preserve">le semi-verbe </w:t>
      </w:r>
      <w:r w:rsidRPr="00861EF5">
        <w:rPr>
          <w:i/>
          <w:iCs/>
          <w:lang w:bidi="ar-AE"/>
        </w:rPr>
        <w:t>kāna</w:t>
      </w:r>
      <w:r w:rsidRPr="00861EF5">
        <w:rPr>
          <w:rFonts w:eastAsia="Times New Roman"/>
          <w:lang w:bidi="ar-AE"/>
        </w:rPr>
        <w:t xml:space="preserve"> que les exégètes considèrent comme marquant l’éternité n’indique pas le temps en réalité. Il a pour</w:t>
      </w:r>
      <w:r>
        <w:rPr>
          <w:rFonts w:eastAsia="Times New Roman"/>
          <w:lang w:bidi="ar-AE"/>
        </w:rPr>
        <w:t xml:space="preserve"> seul</w:t>
      </w:r>
      <w:r w:rsidRPr="00861EF5">
        <w:rPr>
          <w:rFonts w:eastAsia="Times New Roman"/>
          <w:lang w:bidi="ar-AE"/>
        </w:rPr>
        <w:t xml:space="preserve"> rôle d’obtenir une assonance à cas accusatif pour que ce verset soit compatible avec l’ensemble de la sourate. Ainsi, </w:t>
      </w:r>
      <w:r w:rsidRPr="00861EF5">
        <w:rPr>
          <w:i/>
          <w:iCs/>
          <w:lang w:bidi="ar-AE"/>
        </w:rPr>
        <w:t>inna</w:t>
      </w:r>
      <w:r w:rsidRPr="00861EF5">
        <w:rPr>
          <w:rFonts w:eastAsia="Times New Roman"/>
          <w:lang w:bidi="ar-AE"/>
        </w:rPr>
        <w:t xml:space="preserve"> a ici un rôle plus stylistique que sémantique. L’assonance a forcé l’auteur (fictif) ou les compilateurs du Coran à utiliser </w:t>
      </w:r>
      <w:r w:rsidRPr="00861EF5">
        <w:rPr>
          <w:i/>
          <w:iCs/>
          <w:lang w:bidi="ar-AE"/>
        </w:rPr>
        <w:t>kāna</w:t>
      </w:r>
      <w:r w:rsidRPr="00861EF5">
        <w:rPr>
          <w:rFonts w:eastAsia="Times New Roman"/>
          <w:lang w:bidi="ar-AE"/>
        </w:rPr>
        <w:t xml:space="preserve"> pour avoir un effet musical sur les lecteurs. </w:t>
      </w:r>
      <w:r w:rsidRPr="00861EF5">
        <w:rPr>
          <w:lang w:bidi="ar-AE"/>
        </w:rPr>
        <w:t>Les rimes coraniques (</w:t>
      </w:r>
      <w:r w:rsidRPr="00861EF5">
        <w:rPr>
          <w:i/>
          <w:iCs/>
          <w:lang w:bidi="ar-AE"/>
        </w:rPr>
        <w:t>fawāṣil</w:t>
      </w:r>
      <w:r w:rsidRPr="00861EF5">
        <w:rPr>
          <w:lang w:bidi="ar-AE"/>
        </w:rPr>
        <w:t xml:space="preserve">, pl. de </w:t>
      </w:r>
      <w:r w:rsidRPr="00861EF5">
        <w:rPr>
          <w:i/>
          <w:iCs/>
          <w:lang w:bidi="ar-AE"/>
        </w:rPr>
        <w:t>fāṣila</w:t>
      </w:r>
      <w:r w:rsidRPr="00861EF5">
        <w:rPr>
          <w:lang w:bidi="ar-AE"/>
        </w:rPr>
        <w:t>) ont pour objectifs d’embellir le texte et de cacher les incohérences, comme le souligne Claude Gilliot à vrai dire : « Seuls le style incantatoire et les rimes peuvent faire oublier ces négligences ou ces fautes de langue ! »</w:t>
      </w:r>
      <w:r w:rsidRPr="00861EF5">
        <w:rPr>
          <w:vertAlign w:val="superscript"/>
          <w:lang w:bidi="ar-AE"/>
        </w:rPr>
        <w:footnoteReference w:id="203"/>
      </w:r>
    </w:p>
    <w:p w14:paraId="595700A3" w14:textId="77777777" w:rsidR="007214B1" w:rsidRPr="00861EF5" w:rsidRDefault="007214B1" w:rsidP="007214B1">
      <w:pPr>
        <w:spacing w:line="360" w:lineRule="auto"/>
        <w:jc w:val="both"/>
        <w:rPr>
          <w:rFonts w:eastAsia="Times New Roman"/>
          <w:lang w:bidi="ar-EG"/>
        </w:rPr>
      </w:pPr>
    </w:p>
    <w:p w14:paraId="79C061F3" w14:textId="77777777" w:rsidR="007214B1" w:rsidRPr="00861EF5" w:rsidRDefault="007214B1" w:rsidP="007214B1">
      <w:pPr>
        <w:tabs>
          <w:tab w:val="left" w:pos="851"/>
        </w:tabs>
        <w:spacing w:line="360" w:lineRule="auto"/>
        <w:jc w:val="both"/>
        <w:rPr>
          <w:rFonts w:eastAsia="Times New Roman"/>
        </w:rPr>
      </w:pPr>
      <w:r w:rsidRPr="00861EF5">
        <w:rPr>
          <w:rFonts w:eastAsia="Times New Roman"/>
        </w:rPr>
        <w:tab/>
        <w:t xml:space="preserve">La particule </w:t>
      </w:r>
      <w:r w:rsidRPr="00861EF5">
        <w:rPr>
          <w:rFonts w:eastAsia="Times New Roman"/>
          <w:i/>
          <w:iCs/>
        </w:rPr>
        <w:t>kaʾayyin</w:t>
      </w:r>
      <w:r w:rsidRPr="00861EF5">
        <w:rPr>
          <w:rFonts w:eastAsia="Times New Roman"/>
        </w:rPr>
        <w:t xml:space="preserve"> (v. 45 &amp; 48) est polysémique. Elle peut indiquer la multiplication, la répétition (combien, souvent) ou la possibilité (peut-être).</w:t>
      </w:r>
    </w:p>
    <w:p w14:paraId="647AA754" w14:textId="77777777" w:rsidR="007214B1" w:rsidRDefault="007214B1" w:rsidP="007214B1">
      <w:pPr>
        <w:spacing w:line="360" w:lineRule="auto"/>
        <w:jc w:val="both"/>
        <w:rPr>
          <w:rFonts w:eastAsia="Times New Roman"/>
          <w:lang w:bidi="ar-EG"/>
        </w:rPr>
      </w:pPr>
    </w:p>
    <w:p w14:paraId="50722BB0" w14:textId="77777777" w:rsidR="007214B1" w:rsidRPr="009B36C3" w:rsidRDefault="007214B1" w:rsidP="007214B1">
      <w:pPr>
        <w:spacing w:line="360" w:lineRule="auto"/>
        <w:contextualSpacing/>
        <w:jc w:val="both"/>
        <w:outlineLvl w:val="0"/>
        <w:rPr>
          <w:rFonts w:eastAsia="Times New Roman"/>
          <w:b/>
          <w:bCs/>
          <w:shd w:val="clear" w:color="auto" w:fill="FFFFFF"/>
          <w:lang w:bidi="ar-KW"/>
        </w:rPr>
      </w:pPr>
      <w:r w:rsidRPr="009B36C3">
        <w:rPr>
          <w:rFonts w:eastAsia="Times New Roman"/>
          <w:b/>
          <w:bCs/>
          <w:shd w:val="clear" w:color="auto" w:fill="FFFFFF"/>
          <w:lang w:bidi="ar-KW"/>
        </w:rPr>
        <w:t>Signification</w:t>
      </w:r>
      <w:r>
        <w:rPr>
          <w:rFonts w:eastAsia="Times New Roman"/>
          <w:b/>
          <w:bCs/>
          <w:shd w:val="clear" w:color="auto" w:fill="FFFFFF"/>
          <w:lang w:bidi="ar-KW"/>
        </w:rPr>
        <w:t>s</w:t>
      </w:r>
      <w:r w:rsidRPr="009B36C3">
        <w:rPr>
          <w:rFonts w:eastAsia="Times New Roman"/>
          <w:b/>
          <w:bCs/>
          <w:shd w:val="clear" w:color="auto" w:fill="FFFFFF"/>
          <w:lang w:bidi="ar-KW"/>
        </w:rPr>
        <w:t xml:space="preserve"> de </w:t>
      </w:r>
      <w:r>
        <w:rPr>
          <w:rFonts w:eastAsia="Times New Roman"/>
          <w:b/>
          <w:bCs/>
          <w:i/>
          <w:iCs/>
          <w:shd w:val="clear" w:color="auto" w:fill="FFFFFF"/>
          <w:lang w:bidi="ar-KW"/>
        </w:rPr>
        <w:t>wa-</w:t>
      </w:r>
      <w:r w:rsidRPr="009B36C3">
        <w:rPr>
          <w:rFonts w:eastAsia="Times New Roman"/>
          <w:b/>
          <w:bCs/>
          <w:i/>
          <w:iCs/>
          <w:shd w:val="clear" w:color="auto" w:fill="FFFFFF"/>
          <w:lang w:bidi="ar-KW"/>
        </w:rPr>
        <w:t>hiya</w:t>
      </w:r>
      <w:r w:rsidRPr="009B36C3">
        <w:rPr>
          <w:rFonts w:eastAsia="Times New Roman"/>
          <w:b/>
          <w:bCs/>
          <w:shd w:val="clear" w:color="auto" w:fill="FFFFFF"/>
          <w:lang w:bidi="ar-KW"/>
        </w:rPr>
        <w:t xml:space="preserve"> (v. 45 &amp; 48) :</w:t>
      </w:r>
    </w:p>
    <w:p w14:paraId="4702E78A" w14:textId="77777777" w:rsidR="007214B1" w:rsidRDefault="007214B1" w:rsidP="007214B1">
      <w:pPr>
        <w:spacing w:line="360" w:lineRule="auto"/>
        <w:ind w:firstLine="708"/>
        <w:jc w:val="both"/>
        <w:rPr>
          <w:rFonts w:eastAsia="Times New Roman"/>
          <w:shd w:val="clear" w:color="auto" w:fill="FFFFFF"/>
          <w:lang w:bidi="ar-KW"/>
        </w:rPr>
      </w:pPr>
      <w:r w:rsidRPr="009B36C3">
        <w:rPr>
          <w:rFonts w:eastAsia="Times New Roman"/>
          <w:shd w:val="clear" w:color="auto" w:fill="FFFFFF"/>
          <w:lang w:bidi="ar-KW"/>
        </w:rPr>
        <w:lastRenderedPageBreak/>
        <w:t>La conjonction de coordination utilisée avec le pronom personnel sujet (</w:t>
      </w:r>
      <w:r w:rsidRPr="009B36C3">
        <w:rPr>
          <w:rFonts w:eastAsia="Times New Roman"/>
          <w:i/>
          <w:iCs/>
          <w:shd w:val="clear" w:color="auto" w:fill="FFFFFF"/>
          <w:lang w:bidi="ar-KW"/>
        </w:rPr>
        <w:t>wāw al-ḥāl</w:t>
      </w:r>
      <w:r w:rsidRPr="009B36C3">
        <w:rPr>
          <w:rFonts w:eastAsia="Times New Roman"/>
          <w:shd w:val="clear" w:color="auto" w:fill="FFFFFF"/>
          <w:lang w:bidi="ar-KW"/>
        </w:rPr>
        <w:t xml:space="preserve">) sert généralement en arabe à exprimer le complément circonstanciel d’état. Certains exégètes (Ṭabarī, Zamakhsharī, </w:t>
      </w:r>
      <w:r>
        <w:rPr>
          <w:rFonts w:eastAsia="Times New Roman"/>
          <w:shd w:val="clear" w:color="auto" w:fill="FFFFFF"/>
          <w:lang w:bidi="ar-KW"/>
        </w:rPr>
        <w:t xml:space="preserve">Shanqītī, Shawkānī, Alūsī, Abū </w:t>
      </w:r>
      <w:r w:rsidRPr="009B36C3">
        <w:rPr>
          <w:rFonts w:eastAsia="Times New Roman"/>
          <w:shd w:val="clear" w:color="auto" w:fill="FFFFFF"/>
          <w:lang w:bidi="ar-KW"/>
        </w:rPr>
        <w:t xml:space="preserve">s-Suʿūd, Bayḍāwī, Nasafī, etc.) donnent le même sens à la même phrase </w:t>
      </w:r>
      <w:r w:rsidRPr="009B36C3">
        <w:rPr>
          <w:rFonts w:asciiTheme="majorBidi" w:eastAsia="Times New Roman" w:hAnsiTheme="majorBidi" w:cstheme="majorBidi"/>
          <w:shd w:val="clear" w:color="auto" w:fill="FFFFFF"/>
          <w:lang w:bidi="ar-KW"/>
        </w:rPr>
        <w:t>« </w:t>
      </w:r>
      <w:r>
        <w:rPr>
          <w:rFonts w:asciiTheme="majorBidi" w:eastAsia="Times New Roman" w:hAnsiTheme="majorBidi" w:cstheme="majorBidi"/>
          <w:i/>
          <w:iCs/>
          <w:shd w:val="clear" w:color="auto" w:fill="FFFFFF"/>
          <w:lang w:bidi="ar-KW"/>
        </w:rPr>
        <w:t>wa-</w:t>
      </w:r>
      <w:r w:rsidRPr="009B36C3">
        <w:rPr>
          <w:rFonts w:asciiTheme="majorBidi" w:eastAsia="Times New Roman" w:hAnsiTheme="majorBidi" w:cstheme="majorBidi"/>
          <w:i/>
          <w:iCs/>
          <w:shd w:val="clear" w:color="auto" w:fill="FFFFFF"/>
          <w:lang w:bidi="ar-KW"/>
        </w:rPr>
        <w:t>hiya</w:t>
      </w:r>
      <w:r w:rsidRPr="009B36C3">
        <w:rPr>
          <w:rFonts w:asciiTheme="majorBidi" w:eastAsia="Times New Roman" w:hAnsiTheme="majorBidi" w:cstheme="majorBidi"/>
        </w:rPr>
        <w:t xml:space="preserve"> </w:t>
      </w:r>
      <w:r w:rsidRPr="009B36C3">
        <w:rPr>
          <w:rFonts w:asciiTheme="majorBidi" w:eastAsia="Times New Roman" w:hAnsiTheme="majorBidi" w:cstheme="majorBidi"/>
          <w:i/>
          <w:iCs/>
        </w:rPr>
        <w:t>ẓālima</w:t>
      </w:r>
      <w:r w:rsidRPr="009B36C3">
        <w:rPr>
          <w:rFonts w:asciiTheme="majorBidi" w:eastAsia="Times New Roman" w:hAnsiTheme="majorBidi" w:cstheme="majorBidi"/>
        </w:rPr>
        <w:t xml:space="preserve"> » </w:t>
      </w:r>
      <w:r w:rsidRPr="009B36C3">
        <w:rPr>
          <w:rFonts w:asciiTheme="majorBidi" w:hAnsiTheme="majorBidi" w:cstheme="majorBidi"/>
        </w:rPr>
        <w:t>[</w:t>
      </w:r>
      <w:r w:rsidRPr="009B36C3">
        <w:rPr>
          <w:rFonts w:asciiTheme="majorBidi" w:eastAsia="Times New Roman" w:hAnsiTheme="majorBidi" w:cstheme="majorBidi"/>
          <w:i/>
          <w:iCs/>
        </w:rPr>
        <w:t>litt.</w:t>
      </w:r>
      <w:r w:rsidRPr="009B36C3">
        <w:rPr>
          <w:rFonts w:asciiTheme="majorBidi" w:eastAsia="Times New Roman" w:hAnsiTheme="majorBidi" w:cstheme="majorBidi"/>
        </w:rPr>
        <w:t> : alors qu’elle est injuste</w:t>
      </w:r>
      <w:r w:rsidRPr="009B36C3">
        <w:rPr>
          <w:rFonts w:asciiTheme="majorBidi" w:hAnsiTheme="majorBidi" w:cstheme="majorBidi"/>
        </w:rPr>
        <w:t>]</w:t>
      </w:r>
      <w:r w:rsidRPr="009B36C3">
        <w:rPr>
          <w:rFonts w:asciiTheme="majorBidi" w:hAnsiTheme="majorBidi" w:cstheme="majorBidi"/>
          <w:sz w:val="20"/>
          <w:szCs w:val="20"/>
        </w:rPr>
        <w:t xml:space="preserve"> </w:t>
      </w:r>
      <w:r w:rsidRPr="009B36C3">
        <w:rPr>
          <w:rFonts w:asciiTheme="majorBidi" w:eastAsia="Times New Roman" w:hAnsiTheme="majorBidi" w:cstheme="majorBidi"/>
        </w:rPr>
        <w:t>évoqu</w:t>
      </w:r>
      <w:r>
        <w:rPr>
          <w:rFonts w:asciiTheme="majorBidi" w:eastAsia="Times New Roman" w:hAnsiTheme="majorBidi" w:cstheme="majorBidi"/>
        </w:rPr>
        <w:t>ées deux fois dans la sourate A</w:t>
      </w:r>
      <w:r w:rsidRPr="009B36C3">
        <w:rPr>
          <w:rFonts w:asciiTheme="majorBidi" w:eastAsia="Times New Roman" w:hAnsiTheme="majorBidi" w:cstheme="majorBidi"/>
        </w:rPr>
        <w:t>l-Ḥajj aux versets 45 &amp; 48. Ash-</w:t>
      </w:r>
      <w:r w:rsidRPr="009B36C3">
        <w:rPr>
          <w:rFonts w:eastAsia="Times New Roman"/>
          <w:shd w:val="clear" w:color="auto" w:fill="FFFFFF"/>
          <w:lang w:bidi="ar-KW"/>
        </w:rPr>
        <w:t xml:space="preserve">Shawkānī souligne que la répétition a pour objet d’affirmer le sens. </w:t>
      </w:r>
    </w:p>
    <w:p w14:paraId="5579627D" w14:textId="77777777" w:rsidR="007214B1" w:rsidRPr="009B36C3" w:rsidRDefault="007214B1" w:rsidP="007214B1">
      <w:pPr>
        <w:spacing w:line="360" w:lineRule="auto"/>
        <w:ind w:firstLine="708"/>
        <w:jc w:val="both"/>
        <w:rPr>
          <w:rFonts w:eastAsia="Times New Roman"/>
          <w:shd w:val="clear" w:color="auto" w:fill="FFFFFF"/>
          <w:lang w:bidi="ar-KW"/>
        </w:rPr>
      </w:pPr>
    </w:p>
    <w:p w14:paraId="2CC42895" w14:textId="77777777" w:rsidR="007214B1" w:rsidRPr="009B36C3" w:rsidRDefault="007214B1" w:rsidP="007214B1">
      <w:pPr>
        <w:spacing w:line="360" w:lineRule="auto"/>
        <w:ind w:firstLine="708"/>
        <w:jc w:val="both"/>
        <w:rPr>
          <w:rFonts w:eastAsia="Times New Roman"/>
          <w:shd w:val="clear" w:color="auto" w:fill="FFFFFF"/>
          <w:lang w:bidi="ar-KW"/>
        </w:rPr>
      </w:pPr>
      <w:r w:rsidRPr="009B36C3">
        <w:rPr>
          <w:rFonts w:eastAsia="Times New Roman"/>
          <w:shd w:val="clear" w:color="auto" w:fill="FFFFFF"/>
          <w:lang w:bidi="ar-KW"/>
        </w:rPr>
        <w:t xml:space="preserve">Ash-Shanqītī dit que </w:t>
      </w:r>
      <w:r w:rsidRPr="009B36C3">
        <w:rPr>
          <w:rFonts w:asciiTheme="majorBidi" w:eastAsia="Times New Roman" w:hAnsiTheme="majorBidi" w:cstheme="majorBidi"/>
        </w:rPr>
        <w:t>la première proposition</w:t>
      </w:r>
      <w:r w:rsidRPr="009B36C3">
        <w:rPr>
          <w:rFonts w:eastAsia="Times New Roman"/>
          <w:shd w:val="clear" w:color="auto" w:fill="FFFFFF"/>
          <w:lang w:bidi="ar-KW"/>
        </w:rPr>
        <w:t xml:space="preserve"> </w:t>
      </w:r>
      <w:r w:rsidRPr="009B36C3">
        <w:rPr>
          <w:rFonts w:asciiTheme="majorBidi" w:eastAsia="Times New Roman" w:hAnsiTheme="majorBidi" w:cstheme="majorBidi"/>
          <w:shd w:val="clear" w:color="auto" w:fill="FFFFFF"/>
          <w:lang w:bidi="ar-KW"/>
        </w:rPr>
        <w:t>« </w:t>
      </w:r>
      <w:r>
        <w:rPr>
          <w:rFonts w:asciiTheme="majorBidi" w:eastAsia="Times New Roman" w:hAnsiTheme="majorBidi" w:cstheme="majorBidi"/>
          <w:i/>
          <w:iCs/>
          <w:shd w:val="clear" w:color="auto" w:fill="FFFFFF"/>
          <w:lang w:bidi="ar-KW"/>
        </w:rPr>
        <w:t>wa-</w:t>
      </w:r>
      <w:r w:rsidRPr="009B36C3">
        <w:rPr>
          <w:rFonts w:asciiTheme="majorBidi" w:eastAsia="Times New Roman" w:hAnsiTheme="majorBidi" w:cstheme="majorBidi"/>
          <w:i/>
          <w:iCs/>
          <w:shd w:val="clear" w:color="auto" w:fill="FFFFFF"/>
          <w:lang w:bidi="ar-KW"/>
        </w:rPr>
        <w:t>hiya</w:t>
      </w:r>
      <w:r w:rsidRPr="009B36C3">
        <w:rPr>
          <w:rFonts w:asciiTheme="majorBidi" w:eastAsia="Times New Roman" w:hAnsiTheme="majorBidi" w:cstheme="majorBidi"/>
        </w:rPr>
        <w:t xml:space="preserve"> </w:t>
      </w:r>
      <w:r w:rsidRPr="009B36C3">
        <w:rPr>
          <w:rFonts w:asciiTheme="majorBidi" w:eastAsia="Times New Roman" w:hAnsiTheme="majorBidi" w:cstheme="majorBidi"/>
          <w:i/>
          <w:iCs/>
        </w:rPr>
        <w:t>ẓālima</w:t>
      </w:r>
      <w:r w:rsidRPr="009B36C3">
        <w:rPr>
          <w:rFonts w:asciiTheme="majorBidi" w:eastAsia="Times New Roman" w:hAnsiTheme="majorBidi" w:cstheme="majorBidi"/>
        </w:rPr>
        <w:t> » (v. 45) veut dire : « à cause de leur injustice ». Al-Jalalayn signale qu’elle signifie : « par leur infidélité ».</w:t>
      </w:r>
    </w:p>
    <w:p w14:paraId="7C55A76E" w14:textId="77777777" w:rsidR="007214B1" w:rsidRPr="009B36C3" w:rsidRDefault="007214B1" w:rsidP="007214B1">
      <w:pPr>
        <w:spacing w:line="360" w:lineRule="auto"/>
        <w:ind w:firstLine="708"/>
        <w:jc w:val="both"/>
        <w:rPr>
          <w:rFonts w:asciiTheme="majorBidi" w:hAnsiTheme="majorBidi" w:cstheme="majorBidi"/>
        </w:rPr>
      </w:pPr>
      <w:r>
        <w:rPr>
          <w:rFonts w:eastAsia="Times New Roman"/>
          <w:shd w:val="clear" w:color="auto" w:fill="FFFFFF"/>
          <w:lang w:bidi="ar-KW"/>
        </w:rPr>
        <w:t xml:space="preserve">Al-Alūsī et Abū </w:t>
      </w:r>
      <w:r w:rsidRPr="009B36C3">
        <w:rPr>
          <w:rFonts w:eastAsia="Times New Roman"/>
          <w:shd w:val="clear" w:color="auto" w:fill="FFFFFF"/>
          <w:lang w:bidi="ar-KW"/>
        </w:rPr>
        <w:t>s-Suʿūd indiquent que la seconde proposition circonstanciel</w:t>
      </w:r>
      <w:r>
        <w:rPr>
          <w:rFonts w:eastAsia="Times New Roman"/>
          <w:shd w:val="clear" w:color="auto" w:fill="FFFFFF"/>
          <w:lang w:bidi="ar-KW"/>
        </w:rPr>
        <w:t>le</w:t>
      </w:r>
      <w:r w:rsidRPr="009B36C3">
        <w:rPr>
          <w:rFonts w:eastAsia="Times New Roman"/>
          <w:shd w:val="clear" w:color="auto" w:fill="FFFFFF"/>
          <w:lang w:bidi="ar-KW"/>
        </w:rPr>
        <w:t xml:space="preserve"> d’état (</w:t>
      </w:r>
      <w:r w:rsidRPr="009B36C3">
        <w:rPr>
          <w:rFonts w:eastAsia="Times New Roman"/>
          <w:i/>
          <w:iCs/>
          <w:shd w:val="clear" w:color="auto" w:fill="FFFFFF"/>
          <w:lang w:bidi="ar-KW"/>
        </w:rPr>
        <w:t>jumla ḥāl</w:t>
      </w:r>
      <w:r>
        <w:rPr>
          <w:rFonts w:eastAsia="Times New Roman"/>
          <w:i/>
          <w:iCs/>
          <w:shd w:val="clear" w:color="auto" w:fill="FFFFFF"/>
          <w:lang w:bidi="ar-KW"/>
        </w:rPr>
        <w:t>i</w:t>
      </w:r>
      <w:r w:rsidRPr="009B36C3">
        <w:rPr>
          <w:rFonts w:eastAsia="Times New Roman"/>
          <w:i/>
          <w:iCs/>
          <w:shd w:val="clear" w:color="auto" w:fill="FFFFFF"/>
          <w:lang w:bidi="ar-KW"/>
        </w:rPr>
        <w:t>yya</w:t>
      </w:r>
      <w:r w:rsidRPr="009B36C3">
        <w:rPr>
          <w:rFonts w:eastAsia="Times New Roman"/>
          <w:shd w:val="clear" w:color="auto" w:fill="FFFFFF"/>
          <w:lang w:bidi="ar-KW"/>
        </w:rPr>
        <w:t xml:space="preserve">) sert aussi à montrer la clémence parfaite de Dieu qui diffère la punition alors que les cités vivent encore dans un état d’injustice </w:t>
      </w:r>
      <w:r w:rsidRPr="009B36C3">
        <w:rPr>
          <w:rFonts w:eastAsia="Times New Roman"/>
          <w:shd w:val="clear" w:color="auto" w:fill="FFFFFF"/>
        </w:rPr>
        <w:t>exigeant un châtiment rapide. Al-</w:t>
      </w:r>
      <w:r w:rsidRPr="009B36C3">
        <w:rPr>
          <w:rFonts w:eastAsia="Times New Roman"/>
          <w:shd w:val="clear" w:color="auto" w:fill="FFFFFF"/>
          <w:lang w:bidi="ar-KW"/>
        </w:rPr>
        <w:t xml:space="preserve">Bayḍāwī et an-Nasafī ajoutent que la seconde phrase veut dire également que les cités étaient comme vous injustes. Cependant, As-Saʿdī et al-Qurṭubī donnent une autre signification à la seconde proposition : l’opposition et la concession. As-Saʿdī souligne que </w:t>
      </w:r>
      <w:r>
        <w:rPr>
          <w:rFonts w:asciiTheme="majorBidi" w:eastAsia="Times New Roman" w:hAnsiTheme="majorBidi" w:cstheme="majorBidi"/>
          <w:i/>
          <w:iCs/>
          <w:shd w:val="clear" w:color="auto" w:fill="FFFFFF"/>
          <w:lang w:bidi="ar-KW"/>
        </w:rPr>
        <w:t>wa-</w:t>
      </w:r>
      <w:r w:rsidRPr="009B36C3">
        <w:rPr>
          <w:rFonts w:asciiTheme="majorBidi" w:eastAsia="Times New Roman" w:hAnsiTheme="majorBidi" w:cstheme="majorBidi"/>
          <w:i/>
          <w:iCs/>
          <w:shd w:val="clear" w:color="auto" w:fill="FFFFFF"/>
          <w:lang w:bidi="ar-KW"/>
        </w:rPr>
        <w:t>hiya</w:t>
      </w:r>
      <w:r w:rsidRPr="009B36C3">
        <w:rPr>
          <w:rFonts w:asciiTheme="majorBidi" w:eastAsia="Times New Roman" w:hAnsiTheme="majorBidi" w:cstheme="majorBidi"/>
        </w:rPr>
        <w:t xml:space="preserve"> </w:t>
      </w:r>
      <w:r w:rsidRPr="009B36C3">
        <w:rPr>
          <w:rFonts w:asciiTheme="majorBidi" w:eastAsia="Times New Roman" w:hAnsiTheme="majorBidi" w:cstheme="majorBidi"/>
          <w:i/>
          <w:iCs/>
        </w:rPr>
        <w:t>ẓālima</w:t>
      </w:r>
      <w:r w:rsidRPr="009B36C3">
        <w:rPr>
          <w:rFonts w:asciiTheme="majorBidi" w:eastAsia="Times New Roman" w:hAnsiTheme="majorBidi" w:cstheme="majorBidi"/>
        </w:rPr>
        <w:t xml:space="preserve"> (v. 48) signifie : </w:t>
      </w:r>
      <w:r w:rsidRPr="009B36C3">
        <w:rPr>
          <w:rFonts w:asciiTheme="majorBidi" w:eastAsia="Times New Roman" w:hAnsiTheme="majorBidi" w:cstheme="majorBidi"/>
          <w:i/>
          <w:iCs/>
        </w:rPr>
        <w:t>maʿa ẓulmi</w:t>
      </w:r>
      <w:r>
        <w:rPr>
          <w:rFonts w:asciiTheme="majorBidi" w:eastAsia="Times New Roman" w:hAnsiTheme="majorBidi" w:cstheme="majorBidi"/>
          <w:i/>
          <w:iCs/>
        </w:rPr>
        <w:t>-</w:t>
      </w:r>
      <w:r w:rsidRPr="009B36C3">
        <w:rPr>
          <w:rFonts w:asciiTheme="majorBidi" w:eastAsia="Times New Roman" w:hAnsiTheme="majorBidi" w:cstheme="majorBidi"/>
          <w:i/>
          <w:iCs/>
        </w:rPr>
        <w:t>him</w:t>
      </w:r>
      <w:r w:rsidRPr="009B36C3">
        <w:rPr>
          <w:rFonts w:asciiTheme="majorBidi" w:eastAsia="Times New Roman" w:hAnsiTheme="majorBidi" w:cstheme="majorBidi"/>
        </w:rPr>
        <w:t xml:space="preserve"> </w:t>
      </w:r>
      <w:r w:rsidRPr="009B36C3">
        <w:rPr>
          <w:rFonts w:asciiTheme="majorBidi" w:hAnsiTheme="majorBidi" w:cstheme="majorBidi"/>
        </w:rPr>
        <w:t>[malgré leur iniquité].</w:t>
      </w:r>
      <w:r w:rsidRPr="009B36C3">
        <w:rPr>
          <w:rFonts w:eastAsia="Times New Roman"/>
          <w:shd w:val="clear" w:color="auto" w:fill="FFFFFF"/>
          <w:lang w:bidi="ar-KW"/>
        </w:rPr>
        <w:t xml:space="preserve"> Al-Qurṭubī dit que cette même proposition signifie : </w:t>
      </w:r>
      <w:r w:rsidRPr="009B36C3">
        <w:rPr>
          <w:rFonts w:eastAsia="Times New Roman"/>
          <w:i/>
          <w:iCs/>
          <w:shd w:val="clear" w:color="auto" w:fill="FFFFFF"/>
          <w:lang w:bidi="ar-KW"/>
        </w:rPr>
        <w:t>ma</w:t>
      </w:r>
      <w:r w:rsidRPr="009B36C3">
        <w:rPr>
          <w:rFonts w:asciiTheme="majorBidi" w:eastAsia="Times New Roman" w:hAnsiTheme="majorBidi" w:cstheme="majorBidi"/>
          <w:i/>
          <w:iCs/>
        </w:rPr>
        <w:t>ʿ</w:t>
      </w:r>
      <w:r w:rsidRPr="009B36C3">
        <w:rPr>
          <w:rFonts w:eastAsia="Times New Roman"/>
          <w:i/>
          <w:iCs/>
          <w:shd w:val="clear" w:color="auto" w:fill="FFFFFF"/>
          <w:lang w:bidi="ar-KW"/>
        </w:rPr>
        <w:t xml:space="preserve">a </w:t>
      </w:r>
      <w:r w:rsidRPr="009B36C3">
        <w:rPr>
          <w:rFonts w:asciiTheme="majorBidi" w:eastAsia="Times New Roman" w:hAnsiTheme="majorBidi" w:cstheme="majorBidi"/>
          <w:i/>
          <w:iCs/>
        </w:rPr>
        <w:t>ʿ</w:t>
      </w:r>
      <w:r w:rsidRPr="009B36C3">
        <w:rPr>
          <w:rFonts w:eastAsia="Times New Roman"/>
          <w:i/>
          <w:iCs/>
          <w:shd w:val="clear" w:color="auto" w:fill="FFFFFF"/>
          <w:lang w:bidi="ar-KW"/>
        </w:rPr>
        <w:t>utūwy</w:t>
      </w:r>
      <w:r>
        <w:rPr>
          <w:rFonts w:eastAsia="Times New Roman"/>
          <w:i/>
          <w:iCs/>
          <w:shd w:val="clear" w:color="auto" w:fill="FFFFFF"/>
          <w:lang w:bidi="ar-KW"/>
        </w:rPr>
        <w:t>-</w:t>
      </w:r>
      <w:r w:rsidRPr="009B36C3">
        <w:rPr>
          <w:rFonts w:eastAsia="Times New Roman"/>
          <w:i/>
          <w:iCs/>
          <w:shd w:val="clear" w:color="auto" w:fill="FFFFFF"/>
          <w:lang w:bidi="ar-KW"/>
        </w:rPr>
        <w:t>hā</w:t>
      </w:r>
      <w:r w:rsidRPr="009B36C3">
        <w:rPr>
          <w:rFonts w:eastAsia="Times New Roman"/>
          <w:shd w:val="clear" w:color="auto" w:fill="FFFFFF"/>
          <w:lang w:bidi="ar-KW"/>
        </w:rPr>
        <w:t xml:space="preserve"> </w:t>
      </w:r>
      <w:r w:rsidRPr="009B36C3">
        <w:rPr>
          <w:rFonts w:asciiTheme="majorBidi" w:hAnsiTheme="majorBidi" w:cstheme="majorBidi"/>
        </w:rPr>
        <w:t>[malgré sa tyrannie].</w:t>
      </w:r>
    </w:p>
    <w:p w14:paraId="7D0515DA" w14:textId="77777777" w:rsidR="007214B1" w:rsidRPr="009B36C3" w:rsidRDefault="007214B1" w:rsidP="007214B1">
      <w:pPr>
        <w:spacing w:line="360" w:lineRule="auto"/>
        <w:ind w:firstLine="708"/>
        <w:jc w:val="both"/>
        <w:rPr>
          <w:rFonts w:asciiTheme="majorBidi" w:hAnsiTheme="majorBidi" w:cstheme="majorBidi"/>
        </w:rPr>
      </w:pPr>
      <w:r w:rsidRPr="009B36C3">
        <w:rPr>
          <w:rFonts w:asciiTheme="majorBidi" w:hAnsiTheme="majorBidi" w:cstheme="majorBidi"/>
        </w:rPr>
        <w:t>Nous voyons que l’exégèse a pris en considération le contexte et montré la nuance entre les mêmes expressions répétées plus qu’une fois.</w:t>
      </w:r>
    </w:p>
    <w:p w14:paraId="472445CE" w14:textId="77777777" w:rsidR="007214B1" w:rsidRPr="009B36C3" w:rsidRDefault="007214B1" w:rsidP="007214B1">
      <w:pPr>
        <w:spacing w:line="360" w:lineRule="auto"/>
        <w:ind w:firstLine="708"/>
        <w:jc w:val="both"/>
        <w:rPr>
          <w:rFonts w:asciiTheme="majorBidi" w:eastAsia="Times New Roman" w:hAnsiTheme="majorBidi" w:cstheme="majorBidi"/>
        </w:rPr>
      </w:pPr>
      <w:r w:rsidRPr="009B36C3">
        <w:rPr>
          <w:rFonts w:asciiTheme="majorBidi" w:hAnsiTheme="majorBidi" w:cstheme="majorBidi"/>
        </w:rPr>
        <w:t xml:space="preserve">Pour récapituler, </w:t>
      </w:r>
      <w:r>
        <w:rPr>
          <w:rFonts w:eastAsia="Times New Roman"/>
          <w:i/>
          <w:iCs/>
          <w:shd w:val="clear" w:color="auto" w:fill="FFFFFF"/>
          <w:lang w:bidi="ar-KW"/>
        </w:rPr>
        <w:t>wa-</w:t>
      </w:r>
      <w:r w:rsidRPr="009B36C3">
        <w:rPr>
          <w:rFonts w:eastAsia="Times New Roman"/>
          <w:i/>
          <w:iCs/>
          <w:shd w:val="clear" w:color="auto" w:fill="FFFFFF"/>
          <w:lang w:bidi="ar-KW"/>
        </w:rPr>
        <w:t>hiya</w:t>
      </w:r>
      <w:r w:rsidRPr="009B36C3">
        <w:rPr>
          <w:rFonts w:eastAsia="Times New Roman"/>
          <w:shd w:val="clear" w:color="auto" w:fill="FFFFFF"/>
          <w:lang w:bidi="ar-KW"/>
        </w:rPr>
        <w:t xml:space="preserve"> peut signifier : </w:t>
      </w:r>
      <w:r w:rsidRPr="009B36C3">
        <w:rPr>
          <w:rFonts w:eastAsia="Times New Roman"/>
          <w:i/>
          <w:iCs/>
          <w:shd w:val="clear" w:color="auto" w:fill="FFFFFF"/>
          <w:lang w:bidi="ar-KW"/>
        </w:rPr>
        <w:t>alors que/lorsque </w:t>
      </w:r>
      <w:r w:rsidRPr="009B36C3">
        <w:rPr>
          <w:rFonts w:eastAsia="Times New Roman"/>
          <w:shd w:val="clear" w:color="auto" w:fill="FFFFFF"/>
          <w:lang w:bidi="ar-KW"/>
        </w:rPr>
        <w:t xml:space="preserve">; </w:t>
      </w:r>
      <w:r w:rsidRPr="009B36C3">
        <w:rPr>
          <w:rFonts w:eastAsia="Times New Roman"/>
          <w:i/>
          <w:iCs/>
          <w:shd w:val="clear" w:color="auto" w:fill="FFFFFF"/>
          <w:lang w:bidi="ar-KW"/>
        </w:rPr>
        <w:t>à cause de </w:t>
      </w:r>
      <w:r w:rsidRPr="009B36C3">
        <w:rPr>
          <w:rFonts w:eastAsia="Times New Roman"/>
          <w:shd w:val="clear" w:color="auto" w:fill="FFFFFF"/>
          <w:lang w:bidi="ar-KW"/>
        </w:rPr>
        <w:t xml:space="preserve">; </w:t>
      </w:r>
      <w:r w:rsidRPr="009B36C3">
        <w:rPr>
          <w:rFonts w:eastAsia="Times New Roman"/>
          <w:i/>
          <w:iCs/>
          <w:shd w:val="clear" w:color="auto" w:fill="FFFFFF"/>
          <w:lang w:bidi="ar-KW"/>
        </w:rPr>
        <w:t>parce que </w:t>
      </w:r>
      <w:r w:rsidRPr="009B36C3">
        <w:rPr>
          <w:rFonts w:eastAsia="Times New Roman"/>
          <w:shd w:val="clear" w:color="auto" w:fill="FFFFFF"/>
          <w:lang w:bidi="ar-KW"/>
        </w:rPr>
        <w:t xml:space="preserve">; </w:t>
      </w:r>
      <w:r w:rsidRPr="009B36C3">
        <w:rPr>
          <w:rFonts w:eastAsia="Times New Roman"/>
          <w:i/>
          <w:iCs/>
          <w:shd w:val="clear" w:color="auto" w:fill="FFFFFF"/>
          <w:lang w:bidi="ar-KW"/>
        </w:rPr>
        <w:t>par/pour </w:t>
      </w:r>
      <w:r w:rsidRPr="009B36C3">
        <w:rPr>
          <w:rFonts w:eastAsia="Times New Roman"/>
          <w:shd w:val="clear" w:color="auto" w:fill="FFFFFF"/>
          <w:lang w:bidi="ar-KW"/>
        </w:rPr>
        <w:t xml:space="preserve">; </w:t>
      </w:r>
      <w:r w:rsidRPr="009B36C3">
        <w:rPr>
          <w:rFonts w:eastAsia="Times New Roman"/>
          <w:i/>
          <w:iCs/>
          <w:shd w:val="clear" w:color="auto" w:fill="FFFFFF"/>
          <w:lang w:bidi="ar-KW"/>
        </w:rPr>
        <w:t>malgré/bien que</w:t>
      </w:r>
      <w:r w:rsidRPr="009B36C3">
        <w:rPr>
          <w:rFonts w:eastAsia="Times New Roman"/>
          <w:shd w:val="clear" w:color="auto" w:fill="FFFFFF"/>
          <w:lang w:bidi="ar-KW"/>
        </w:rPr>
        <w:t>.</w:t>
      </w:r>
    </w:p>
    <w:p w14:paraId="5596C22E" w14:textId="77777777" w:rsidR="007214B1" w:rsidRPr="009B36C3" w:rsidRDefault="007214B1" w:rsidP="007214B1">
      <w:pPr>
        <w:spacing w:line="360" w:lineRule="auto"/>
        <w:jc w:val="both"/>
        <w:rPr>
          <w:rFonts w:eastAsia="Times New Roman"/>
          <w:lang w:bidi="ar-EG"/>
        </w:rPr>
      </w:pPr>
    </w:p>
    <w:p w14:paraId="13A45075" w14:textId="77777777" w:rsidR="007214B1" w:rsidRPr="00861EF5" w:rsidRDefault="007214B1" w:rsidP="007214B1">
      <w:pPr>
        <w:spacing w:line="360" w:lineRule="auto"/>
        <w:jc w:val="both"/>
        <w:outlineLvl w:val="0"/>
        <w:rPr>
          <w:rFonts w:eastAsia="Times New Roman"/>
          <w:b/>
          <w:bCs/>
          <w:lang w:bidi="ar-EG"/>
        </w:rPr>
      </w:pPr>
      <w:r w:rsidRPr="00861EF5">
        <w:rPr>
          <w:rFonts w:eastAsia="Times New Roman"/>
          <w:b/>
          <w:bCs/>
          <w:lang w:bidi="ar-EG"/>
        </w:rPr>
        <w:t>Significations des prépositions :</w:t>
      </w:r>
    </w:p>
    <w:p w14:paraId="21AF41A4" w14:textId="77777777" w:rsidR="007214B1" w:rsidRPr="00861EF5" w:rsidRDefault="007214B1" w:rsidP="007214B1">
      <w:pPr>
        <w:spacing w:line="360" w:lineRule="auto"/>
        <w:ind w:firstLine="708"/>
        <w:contextualSpacing/>
        <w:jc w:val="both"/>
        <w:rPr>
          <w:lang w:bidi="ar-AE"/>
        </w:rPr>
      </w:pPr>
      <w:r w:rsidRPr="00861EF5">
        <w:rPr>
          <w:lang w:bidi="ar-AE"/>
        </w:rPr>
        <w:t>Le syntagme verbal « </w:t>
      </w:r>
      <w:r w:rsidRPr="00861EF5">
        <w:rPr>
          <w:i/>
          <w:iCs/>
          <w:lang w:bidi="ar-AE"/>
        </w:rPr>
        <w:t xml:space="preserve">bawwaʾnā </w:t>
      </w:r>
      <w:r w:rsidRPr="00861EF5">
        <w:rPr>
          <w:b/>
          <w:bCs/>
          <w:i/>
          <w:iCs/>
          <w:lang w:bidi="ar-AE"/>
        </w:rPr>
        <w:t>li-</w:t>
      </w:r>
      <w:r w:rsidRPr="00861EF5">
        <w:rPr>
          <w:i/>
          <w:iCs/>
          <w:lang w:bidi="ar-AE"/>
        </w:rPr>
        <w:t xml:space="preserve">ʾIbrāhīma makāna l-bayti </w:t>
      </w:r>
      <w:r w:rsidRPr="00861EF5">
        <w:rPr>
          <w:lang w:bidi="ar-AE"/>
        </w:rPr>
        <w:t>[Nous assignâmes à Abraham l’emplacement de la Maison] (v. 26) est équivoque.</w:t>
      </w:r>
    </w:p>
    <w:p w14:paraId="5B75FFB3" w14:textId="77777777" w:rsidR="007214B1" w:rsidRPr="00861EF5" w:rsidRDefault="007214B1" w:rsidP="007214B1">
      <w:pPr>
        <w:spacing w:line="360" w:lineRule="auto"/>
        <w:ind w:firstLine="708"/>
        <w:contextualSpacing/>
        <w:jc w:val="both"/>
        <w:rPr>
          <w:lang w:bidi="ar-AE"/>
        </w:rPr>
      </w:pPr>
    </w:p>
    <w:p w14:paraId="58DF6F09" w14:textId="77777777" w:rsidR="007214B1" w:rsidRPr="00E7614F" w:rsidRDefault="007214B1" w:rsidP="007214B1">
      <w:pPr>
        <w:spacing w:line="360" w:lineRule="auto"/>
        <w:ind w:firstLine="708"/>
        <w:contextualSpacing/>
        <w:jc w:val="both"/>
        <w:rPr>
          <w:lang w:bidi="ar-AE"/>
        </w:rPr>
      </w:pPr>
      <w:r w:rsidRPr="00861EF5">
        <w:rPr>
          <w:lang w:bidi="ar-AE"/>
        </w:rPr>
        <w:t>D’abord, nous rencontrons ici</w:t>
      </w:r>
      <w:r>
        <w:rPr>
          <w:lang w:bidi="ar-AE"/>
        </w:rPr>
        <w:t xml:space="preserve"> une "exception"</w:t>
      </w:r>
      <w:r w:rsidRPr="00861EF5">
        <w:rPr>
          <w:lang w:bidi="ar-AE"/>
        </w:rPr>
        <w:t xml:space="preserve"> grammaticale dans l</w:t>
      </w:r>
      <w:r>
        <w:rPr>
          <w:lang w:bidi="ar-AE"/>
        </w:rPr>
        <w:t xml:space="preserve">’utilisation de la préposition </w:t>
      </w:r>
      <w:r w:rsidRPr="00861EF5">
        <w:rPr>
          <w:b/>
          <w:bCs/>
          <w:i/>
          <w:iCs/>
          <w:lang w:bidi="ar-AE"/>
        </w:rPr>
        <w:t>li-</w:t>
      </w:r>
      <w:r w:rsidRPr="00861EF5">
        <w:rPr>
          <w:lang w:bidi="ar-AE"/>
        </w:rPr>
        <w:t xml:space="preserve"> car le verbe </w:t>
      </w:r>
      <w:r w:rsidRPr="00861EF5">
        <w:rPr>
          <w:i/>
          <w:iCs/>
          <w:lang w:bidi="ar-AE"/>
        </w:rPr>
        <w:t>bawwaʾa</w:t>
      </w:r>
      <w:r w:rsidRPr="00861EF5">
        <w:rPr>
          <w:lang w:bidi="ar-AE"/>
        </w:rPr>
        <w:t xml:space="preserve"> exige un COD, comme dans</w:t>
      </w:r>
      <w:r>
        <w:rPr>
          <w:lang w:bidi="ar-AE"/>
        </w:rPr>
        <w:t xml:space="preserve"> X, 93</w:t>
      </w:r>
      <w:r w:rsidRPr="00861EF5">
        <w:rPr>
          <w:lang w:bidi="ar-AE"/>
        </w:rPr>
        <w:t xml:space="preserve"> (</w:t>
      </w:r>
      <w:r w:rsidRPr="00861EF5">
        <w:rPr>
          <w:rFonts w:ascii="Simplified Arabic" w:eastAsia="Times New Roman" w:hAnsi="Simplified Arabic" w:cs="Simplified Arabic"/>
          <w:shd w:val="clear" w:color="auto" w:fill="FFFFFF"/>
          <w:rtl/>
        </w:rPr>
        <w:t>ولقدْ بَوَّأْنا بَني إسرائيلَ مُبَوَّأَ صِدْقٍ</w:t>
      </w:r>
      <w:r w:rsidRPr="00861EF5">
        <w:rPr>
          <w:lang w:bidi="ar-AE"/>
        </w:rPr>
        <w:t xml:space="preserve">). </w:t>
      </w:r>
      <w:r w:rsidRPr="00861EF5">
        <w:rPr>
          <w:rFonts w:eastAsia="Times New Roman"/>
        </w:rPr>
        <w:t xml:space="preserve">Dans la phrase </w:t>
      </w:r>
      <w:r w:rsidRPr="00861EF5">
        <w:rPr>
          <w:rFonts w:eastAsia="Times New Roman"/>
          <w:i/>
          <w:iCs/>
        </w:rPr>
        <w:t xml:space="preserve">bawwaʾnā </w:t>
      </w:r>
      <w:r w:rsidRPr="007607D6">
        <w:rPr>
          <w:rFonts w:eastAsia="Times New Roman"/>
          <w:b/>
          <w:bCs/>
          <w:i/>
        </w:rPr>
        <w:t>li</w:t>
      </w:r>
      <w:r w:rsidRPr="00861EF5">
        <w:rPr>
          <w:rFonts w:eastAsia="Times New Roman"/>
          <w:b/>
          <w:bCs/>
        </w:rPr>
        <w:t>-</w:t>
      </w:r>
      <w:r w:rsidRPr="00861EF5">
        <w:rPr>
          <w:rFonts w:eastAsia="Times New Roman"/>
          <w:i/>
          <w:iCs/>
        </w:rPr>
        <w:t>Ibrāhīm</w:t>
      </w:r>
      <w:r>
        <w:rPr>
          <w:rFonts w:eastAsia="Times New Roman"/>
        </w:rPr>
        <w:t>, l</w:t>
      </w:r>
      <w:r w:rsidRPr="00861EF5">
        <w:rPr>
          <w:rFonts w:eastAsia="Times New Roman"/>
        </w:rPr>
        <w:t xml:space="preserve">a transitivité </w:t>
      </w:r>
      <w:r w:rsidRPr="00861EF5">
        <w:rPr>
          <w:rFonts w:eastAsia="Times New Roman"/>
          <w:i/>
          <w:iCs/>
        </w:rPr>
        <w:t>indirecte</w:t>
      </w:r>
      <w:r w:rsidRPr="00861EF5">
        <w:rPr>
          <w:rFonts w:eastAsia="Times New Roman"/>
        </w:rPr>
        <w:t xml:space="preserve"> du verbe transitif </w:t>
      </w:r>
      <w:r w:rsidRPr="00861EF5">
        <w:rPr>
          <w:rFonts w:eastAsia="Times New Roman"/>
          <w:i/>
          <w:iCs/>
        </w:rPr>
        <w:t>direct</w:t>
      </w:r>
      <w:r>
        <w:rPr>
          <w:rFonts w:eastAsia="Times New Roman"/>
        </w:rPr>
        <w:t xml:space="preserve"> </w:t>
      </w:r>
      <w:r w:rsidRPr="00861EF5">
        <w:rPr>
          <w:rFonts w:eastAsia="Times New Roman"/>
          <w:i/>
          <w:iCs/>
        </w:rPr>
        <w:t>bawwaʾa</w:t>
      </w:r>
      <w:r w:rsidRPr="00861EF5">
        <w:rPr>
          <w:rFonts w:eastAsia="Times New Roman"/>
        </w:rPr>
        <w:t xml:space="preserve"> [</w:t>
      </w:r>
      <w:r w:rsidRPr="00E7614F">
        <w:rPr>
          <w:rFonts w:eastAsia="Times New Roman"/>
        </w:rPr>
        <w:t xml:space="preserve">loger, établir] est donc une utilisation exceptionnelle qui doit avoir une signification. </w:t>
      </w:r>
      <w:r w:rsidRPr="00E7614F">
        <w:rPr>
          <w:rFonts w:eastAsia="Times New Roman"/>
        </w:rPr>
        <w:lastRenderedPageBreak/>
        <w:t>Les exégètes ont remarqué cette préposition impropre </w:t>
      </w:r>
      <w:r w:rsidRPr="00E7614F">
        <w:rPr>
          <w:rFonts w:eastAsia="Times New Roman"/>
          <w:i/>
          <w:iCs/>
        </w:rPr>
        <w:t>li-</w:t>
      </w:r>
      <w:r w:rsidRPr="00E7614F">
        <w:rPr>
          <w:rFonts w:eastAsia="Times New Roman"/>
        </w:rPr>
        <w:t xml:space="preserve"> précédant le nom propre </w:t>
      </w:r>
      <w:r w:rsidRPr="00E7614F">
        <w:rPr>
          <w:rFonts w:eastAsia="Times New Roman"/>
          <w:iCs/>
        </w:rPr>
        <w:t>Ibrāhīm</w:t>
      </w:r>
      <w:r w:rsidRPr="00E7614F">
        <w:rPr>
          <w:rFonts w:eastAsia="Times New Roman"/>
        </w:rPr>
        <w:t xml:space="preserve"> et se sont interrogés sur son sens. </w:t>
      </w:r>
    </w:p>
    <w:p w14:paraId="0EB39386" w14:textId="77777777" w:rsidR="007214B1" w:rsidRPr="00E7614F" w:rsidRDefault="007214B1" w:rsidP="007214B1">
      <w:pPr>
        <w:spacing w:line="360" w:lineRule="auto"/>
        <w:jc w:val="both"/>
        <w:rPr>
          <w:rFonts w:eastAsia="Times New Roman"/>
        </w:rPr>
      </w:pPr>
    </w:p>
    <w:p w14:paraId="1A2F3AB2" w14:textId="16DC1A02" w:rsidR="007214B1" w:rsidRPr="00E7614F" w:rsidRDefault="007214B1" w:rsidP="007214B1">
      <w:pPr>
        <w:spacing w:line="360" w:lineRule="auto"/>
        <w:ind w:firstLine="720"/>
        <w:jc w:val="both"/>
        <w:rPr>
          <w:rFonts w:eastAsia="Times New Roman"/>
        </w:rPr>
      </w:pPr>
      <w:r w:rsidRPr="00E7614F">
        <w:rPr>
          <w:rFonts w:eastAsia="Times New Roman"/>
        </w:rPr>
        <w:t xml:space="preserve">Cette utilisation de </w:t>
      </w:r>
      <w:r w:rsidRPr="00E7614F">
        <w:rPr>
          <w:rFonts w:eastAsia="Times New Roman"/>
          <w:i/>
          <w:iCs/>
        </w:rPr>
        <w:t>li-</w:t>
      </w:r>
      <w:r w:rsidRPr="00E7614F">
        <w:rPr>
          <w:rFonts w:eastAsia="Times New Roman"/>
        </w:rPr>
        <w:t xml:space="preserve"> semble délibérément voulue. Désignant entre autres la relation de possession, d’appartenance, ainsi que la désignation, la spécification ou la dét</w:t>
      </w:r>
      <w:r w:rsidR="00994CD6">
        <w:rPr>
          <w:rFonts w:eastAsia="Times New Roman"/>
        </w:rPr>
        <w:t xml:space="preserve">ermination, cette préposition </w:t>
      </w:r>
      <w:r w:rsidRPr="00E7614F">
        <w:rPr>
          <w:rFonts w:eastAsia="Times New Roman"/>
          <w:i/>
          <w:iCs/>
        </w:rPr>
        <w:t>li-</w:t>
      </w:r>
      <w:r w:rsidRPr="00E7614F">
        <w:rPr>
          <w:rFonts w:eastAsia="Times New Roman"/>
        </w:rPr>
        <w:t xml:space="preserve"> souligne l’idée de faire appartenir la Ka</w:t>
      </w:r>
      <w:r w:rsidRPr="00E7614F">
        <w:rPr>
          <w:rFonts w:asciiTheme="majorBidi" w:eastAsia="Times New Roman" w:hAnsiTheme="majorBidi" w:cstheme="majorBidi"/>
        </w:rPr>
        <w:t>ʿ</w:t>
      </w:r>
      <w:r w:rsidRPr="00E7614F">
        <w:rPr>
          <w:rFonts w:eastAsia="Times New Roman"/>
        </w:rPr>
        <w:t>ba à Abraham, en tant que patriarche des religions monothéistes (comme le confirme le dernier verset d’Al-</w:t>
      </w:r>
      <w:r w:rsidRPr="00E7614F">
        <w:rPr>
          <w:rFonts w:eastAsia="Times New Roman"/>
          <w:lang w:bidi="ar-KW"/>
        </w:rPr>
        <w:t>Ḥ</w:t>
      </w:r>
      <w:r w:rsidRPr="00E7614F">
        <w:rPr>
          <w:rFonts w:eastAsia="Times New Roman"/>
        </w:rPr>
        <w:t xml:space="preserve">ajj, d’où l’importance de la sourate) dans le but de légitimer les cultes du pèlerinage polythéiste et de légitimer la religion émergente qu’était l’islam en la </w:t>
      </w:r>
      <w:r w:rsidRPr="00E7614F">
        <w:rPr>
          <w:rFonts w:eastAsia="Times New Roman"/>
          <w:shd w:val="clear" w:color="auto" w:fill="FFFFFF"/>
          <w:lang w:bidi="ar-KW"/>
        </w:rPr>
        <w:t>mettant dans la lignée des autres religions abrahamiques et par la suite en lui attribuant le statut d’une véritable religion monothéiste indépendante et non pas d’une secte.</w:t>
      </w:r>
      <w:r w:rsidRPr="00E7614F">
        <w:rPr>
          <w:rFonts w:eastAsia="Times New Roman"/>
        </w:rPr>
        <w:t xml:space="preserve"> En effet, c’était probablement cela l’objectif et le projet du Coran (cette signification de la préposition va se perdre dans la traduction).</w:t>
      </w:r>
    </w:p>
    <w:p w14:paraId="20EB8F4A" w14:textId="77777777" w:rsidR="007214B1" w:rsidRPr="00E7614F" w:rsidRDefault="007214B1" w:rsidP="007214B1">
      <w:pPr>
        <w:spacing w:line="360" w:lineRule="auto"/>
        <w:ind w:firstLine="720"/>
        <w:jc w:val="both"/>
        <w:rPr>
          <w:rFonts w:eastAsia="Times New Roman"/>
        </w:rPr>
      </w:pPr>
    </w:p>
    <w:p w14:paraId="07E4CE72" w14:textId="77777777" w:rsidR="007214B1" w:rsidRPr="0019747A" w:rsidRDefault="007214B1" w:rsidP="007214B1">
      <w:pPr>
        <w:spacing w:line="360" w:lineRule="auto"/>
        <w:ind w:firstLine="720"/>
        <w:jc w:val="both"/>
        <w:rPr>
          <w:rFonts w:eastAsia="Times New Roman"/>
          <w:shd w:val="clear" w:color="auto" w:fill="FFFFFF"/>
          <w:lang w:bidi="ar-KW"/>
        </w:rPr>
      </w:pPr>
      <w:r w:rsidRPr="00E7614F">
        <w:rPr>
          <w:rFonts w:eastAsia="Times New Roman"/>
        </w:rPr>
        <w:t xml:space="preserve">C’est peut-être pour cela que </w:t>
      </w:r>
      <w:r w:rsidRPr="00E7614F">
        <w:rPr>
          <w:rFonts w:eastAsia="Times New Roman"/>
          <w:shd w:val="clear" w:color="auto" w:fill="FFFFFF"/>
          <w:lang w:bidi="ar-KW"/>
        </w:rPr>
        <w:t>le Coran ne nomme pas le fils « sacrifié » de façon explicite dans la sourate XXXVII (Aṣ-</w:t>
      </w:r>
      <w:r w:rsidRPr="00E7614F">
        <w:rPr>
          <w:rFonts w:eastAsia="Times New Roman"/>
          <w:lang w:bidi="ar-AE"/>
        </w:rPr>
        <w:t>Ṣ</w:t>
      </w:r>
      <w:r w:rsidRPr="00E7614F">
        <w:rPr>
          <w:rFonts w:eastAsia="Times New Roman"/>
          <w:shd w:val="clear" w:color="auto" w:fill="FFFFFF"/>
          <w:lang w:bidi="ar-KW"/>
        </w:rPr>
        <w:t>āffāt [les Rangés], versets 101-107)</w:t>
      </w:r>
      <w:r w:rsidRPr="00E7614F">
        <w:rPr>
          <w:rFonts w:eastAsia="Times New Roman"/>
          <w:vertAlign w:val="superscript"/>
        </w:rPr>
        <w:footnoteReference w:id="204"/>
      </w:r>
      <w:r w:rsidRPr="00E7614F">
        <w:rPr>
          <w:rFonts w:eastAsia="Times New Roman"/>
          <w:shd w:val="clear" w:color="auto" w:fill="FFFFFF"/>
          <w:lang w:bidi="ar-KW"/>
        </w:rPr>
        <w:t xml:space="preserve"> qui rapporte l’histoire du sacrifice d’Abraham, contrairement à la Bible (Genèse, 22 : 6-7 et Épître aux Hébreux, 11 : 17-18)</w:t>
      </w:r>
      <w:r w:rsidRPr="00E7614F">
        <w:rPr>
          <w:rFonts w:eastAsia="Times New Roman"/>
          <w:vertAlign w:val="superscript"/>
        </w:rPr>
        <w:footnoteReference w:id="205"/>
      </w:r>
      <w:r w:rsidRPr="00E7614F">
        <w:rPr>
          <w:rFonts w:eastAsia="Times New Roman"/>
          <w:shd w:val="clear" w:color="auto" w:fill="FFFFFF"/>
          <w:lang w:bidi="ar-KW"/>
        </w:rPr>
        <w:t xml:space="preserve">. L’omission du nom d’Isaac semble délibérée en vue de préparer le terrain à l’interprétation </w:t>
      </w:r>
      <w:r w:rsidRPr="0019747A">
        <w:rPr>
          <w:rFonts w:eastAsia="Times New Roman"/>
          <w:shd w:val="clear" w:color="auto" w:fill="FFFFFF"/>
          <w:lang w:bidi="ar-KW"/>
        </w:rPr>
        <w:t xml:space="preserve">permettant de substituer Ismaël, l’ancêtre des Arabes, à Isaac, l’un des ancêtres des Juifs. Les musulmans considèrent qu’Ismaël a reconstruit la </w:t>
      </w:r>
      <w:r w:rsidRPr="0019747A">
        <w:rPr>
          <w:rFonts w:eastAsia="Times New Roman"/>
          <w:i/>
          <w:iCs/>
          <w:shd w:val="clear" w:color="auto" w:fill="FFFFFF"/>
          <w:lang w:bidi="ar-KW"/>
        </w:rPr>
        <w:t>Ka</w:t>
      </w:r>
      <w:r w:rsidRPr="0019747A">
        <w:rPr>
          <w:rFonts w:asciiTheme="majorBidi" w:eastAsia="Times New Roman" w:hAnsiTheme="majorBidi" w:cstheme="majorBidi"/>
          <w:i/>
          <w:iCs/>
        </w:rPr>
        <w:t>ʿ</w:t>
      </w:r>
      <w:r w:rsidRPr="0019747A">
        <w:rPr>
          <w:rFonts w:eastAsia="Times New Roman"/>
          <w:i/>
          <w:iCs/>
          <w:shd w:val="clear" w:color="auto" w:fill="FFFFFF"/>
          <w:lang w:bidi="ar-KW"/>
        </w:rPr>
        <w:t xml:space="preserve">ba </w:t>
      </w:r>
      <w:r w:rsidRPr="0019747A">
        <w:rPr>
          <w:rFonts w:eastAsia="Times New Roman"/>
          <w:shd w:val="clear" w:color="auto" w:fill="FFFFFF"/>
          <w:lang w:bidi="ar-KW"/>
        </w:rPr>
        <w:t>avec son père Abraham.</w:t>
      </w:r>
    </w:p>
    <w:p w14:paraId="6FD0A69B" w14:textId="77777777" w:rsidR="007214B1" w:rsidRPr="0019747A" w:rsidRDefault="007214B1" w:rsidP="007214B1">
      <w:pPr>
        <w:spacing w:line="360" w:lineRule="auto"/>
        <w:ind w:firstLine="720"/>
        <w:jc w:val="both"/>
        <w:rPr>
          <w:rFonts w:eastAsia="Times New Roman"/>
          <w:shd w:val="clear" w:color="auto" w:fill="FFFFFF"/>
          <w:lang w:bidi="ar-KW"/>
        </w:rPr>
      </w:pPr>
    </w:p>
    <w:p w14:paraId="3294752E" w14:textId="77777777" w:rsidR="007214B1" w:rsidRPr="0019747A" w:rsidRDefault="007214B1" w:rsidP="007214B1">
      <w:pPr>
        <w:spacing w:line="360" w:lineRule="auto"/>
        <w:ind w:firstLine="720"/>
        <w:jc w:val="both"/>
        <w:rPr>
          <w:rFonts w:asciiTheme="majorBidi" w:eastAsia="Times New Roman" w:hAnsiTheme="majorBidi" w:cstheme="majorBidi"/>
        </w:rPr>
      </w:pPr>
      <w:r w:rsidRPr="0019747A">
        <w:rPr>
          <w:rFonts w:asciiTheme="majorBidi" w:eastAsia="Times New Roman" w:hAnsiTheme="majorBidi" w:cstheme="majorBidi"/>
          <w:shd w:val="clear" w:color="auto" w:fill="FFFFFF"/>
          <w:lang w:bidi="ar-KW"/>
        </w:rPr>
        <w:lastRenderedPageBreak/>
        <w:t xml:space="preserve">En plus de la signification de l’appartenance, </w:t>
      </w:r>
      <w:r w:rsidRPr="0019747A">
        <w:rPr>
          <w:rFonts w:asciiTheme="majorBidi" w:eastAsia="Times New Roman" w:hAnsiTheme="majorBidi" w:cstheme="majorBidi"/>
          <w:lang w:bidi="ar-AE"/>
        </w:rPr>
        <w:t>Ibn ʿĀshūr</w:t>
      </w:r>
      <w:r w:rsidRPr="0019747A">
        <w:rPr>
          <w:rFonts w:asciiTheme="majorBidi" w:eastAsia="Times New Roman" w:hAnsiTheme="majorBidi" w:cstheme="majorBidi"/>
          <w:smallCaps/>
          <w:lang w:bidi="ar-AE"/>
        </w:rPr>
        <w:t xml:space="preserve"> </w:t>
      </w:r>
      <w:r w:rsidRPr="0019747A">
        <w:rPr>
          <w:rFonts w:asciiTheme="majorBidi" w:eastAsia="Times New Roman" w:hAnsiTheme="majorBidi" w:cstheme="majorBidi"/>
        </w:rPr>
        <w:t xml:space="preserve">(m. 1973), dans </w:t>
      </w:r>
      <w:r w:rsidRPr="0019747A">
        <w:rPr>
          <w:rFonts w:asciiTheme="majorBidi" w:eastAsia="Times New Roman" w:hAnsiTheme="majorBidi" w:cstheme="majorBidi"/>
          <w:i/>
          <w:iCs/>
          <w:lang w:bidi="ar-AE"/>
        </w:rPr>
        <w:t>At-Taḥrīr wa-at-Tanwīr</w:t>
      </w:r>
      <w:r w:rsidRPr="0019747A">
        <w:rPr>
          <w:rFonts w:asciiTheme="majorBidi" w:eastAsia="Times New Roman" w:hAnsiTheme="majorBidi" w:cstheme="majorBidi"/>
          <w:lang w:bidi="ar-AE"/>
        </w:rPr>
        <w:t>,</w:t>
      </w:r>
      <w:r w:rsidRPr="0019747A">
        <w:rPr>
          <w:rFonts w:asciiTheme="majorBidi" w:eastAsia="Times New Roman" w:hAnsiTheme="majorBidi" w:cstheme="majorBidi"/>
        </w:rPr>
        <w:t xml:space="preserve"> donne une autre interprétation. Il s’agit du but, de la considération (</w:t>
      </w:r>
      <w:r w:rsidRPr="0019747A">
        <w:rPr>
          <w:rFonts w:eastAsia="Times New Roman"/>
          <w:i/>
          <w:iCs/>
        </w:rPr>
        <w:t>ʿināya</w:t>
      </w:r>
      <w:r w:rsidRPr="0019747A">
        <w:rPr>
          <w:rFonts w:eastAsia="Times New Roman"/>
        </w:rPr>
        <w:t>) et du respect (</w:t>
      </w:r>
      <w:r w:rsidRPr="0019747A">
        <w:rPr>
          <w:rFonts w:eastAsia="Times New Roman"/>
          <w:i/>
          <w:iCs/>
        </w:rPr>
        <w:t>takrima</w:t>
      </w:r>
      <w:r w:rsidRPr="0019747A">
        <w:rPr>
          <w:rFonts w:eastAsia="Times New Roman"/>
        </w:rPr>
        <w:t>).</w:t>
      </w:r>
      <w:r w:rsidRPr="0019747A">
        <w:rPr>
          <w:rFonts w:asciiTheme="majorBidi" w:eastAsia="Times New Roman" w:hAnsiTheme="majorBidi" w:cstheme="majorBidi"/>
        </w:rPr>
        <w:t xml:space="preserve"> Il souligne :</w:t>
      </w:r>
    </w:p>
    <w:p w14:paraId="04603CB5" w14:textId="77777777" w:rsidR="007214B1" w:rsidRPr="0019747A" w:rsidRDefault="007214B1" w:rsidP="007214B1">
      <w:pPr>
        <w:spacing w:line="360" w:lineRule="auto"/>
        <w:jc w:val="both"/>
        <w:rPr>
          <w:rFonts w:asciiTheme="majorBidi" w:eastAsia="Times New Roman" w:hAnsiTheme="majorBidi" w:cstheme="majorBidi"/>
        </w:rPr>
      </w:pPr>
    </w:p>
    <w:p w14:paraId="7B059ACE" w14:textId="1582A0D3" w:rsidR="007214B1" w:rsidRPr="0019747A" w:rsidRDefault="007214B1" w:rsidP="007214B1">
      <w:pPr>
        <w:spacing w:line="360" w:lineRule="auto"/>
        <w:ind w:left="720"/>
        <w:jc w:val="both"/>
        <w:rPr>
          <w:rFonts w:asciiTheme="majorBidi" w:eastAsia="Times New Roman" w:hAnsiTheme="majorBidi" w:cstheme="majorBidi"/>
          <w:lang w:bidi="ar-AE"/>
        </w:rPr>
      </w:pPr>
      <w:r w:rsidRPr="0019747A">
        <w:rPr>
          <w:rFonts w:asciiTheme="majorBidi" w:eastAsia="Times New Roman" w:hAnsiTheme="majorBidi" w:cstheme="majorBidi"/>
        </w:rPr>
        <w:t xml:space="preserve">La préposition </w:t>
      </w:r>
      <w:r w:rsidRPr="0019747A">
        <w:rPr>
          <w:rFonts w:asciiTheme="majorBidi" w:eastAsia="Times New Roman" w:hAnsiTheme="majorBidi" w:cstheme="majorBidi"/>
          <w:i/>
          <w:iCs/>
        </w:rPr>
        <w:t>lām</w:t>
      </w:r>
      <w:r w:rsidRPr="0019747A">
        <w:rPr>
          <w:rFonts w:asciiTheme="majorBidi" w:eastAsia="Times New Roman" w:hAnsiTheme="majorBidi" w:cstheme="majorBidi"/>
        </w:rPr>
        <w:t xml:space="preserve"> dans </w:t>
      </w:r>
      <w:r w:rsidRPr="0019747A">
        <w:rPr>
          <w:b/>
          <w:bCs/>
          <w:i/>
          <w:iCs/>
          <w:lang w:bidi="ar-AE"/>
        </w:rPr>
        <w:t>li-</w:t>
      </w:r>
      <w:r w:rsidRPr="0019747A">
        <w:rPr>
          <w:i/>
          <w:iCs/>
          <w:lang w:bidi="ar-AE"/>
        </w:rPr>
        <w:t>ʾIbrāhīma</w:t>
      </w:r>
      <w:r w:rsidRPr="0019747A">
        <w:rPr>
          <w:lang w:bidi="ar-AE"/>
        </w:rPr>
        <w:t xml:space="preserve"> est un </w:t>
      </w:r>
      <w:r w:rsidRPr="0019747A">
        <w:rPr>
          <w:i/>
          <w:iCs/>
          <w:lang w:bidi="ar-AE"/>
        </w:rPr>
        <w:t>lām al-</w:t>
      </w:r>
      <w:r w:rsidRPr="0019747A">
        <w:rPr>
          <w:rFonts w:eastAsia="Times New Roman"/>
          <w:i/>
          <w:iCs/>
        </w:rPr>
        <w:t>ʿilla</w:t>
      </w:r>
      <w:r w:rsidRPr="0019747A">
        <w:rPr>
          <w:rFonts w:eastAsia="Times New Roman"/>
        </w:rPr>
        <w:t xml:space="preserve"> </w:t>
      </w:r>
      <w:r w:rsidRPr="0019747A">
        <w:rPr>
          <w:rFonts w:eastAsia="Times New Roman"/>
          <w:shd w:val="clear" w:color="auto" w:fill="FFFFFF"/>
          <w:lang w:bidi="ar-KW"/>
        </w:rPr>
        <w:t xml:space="preserve">[préposition causale], car Ibrāhīm est le premier COD du verbe </w:t>
      </w:r>
      <w:r w:rsidRPr="0019747A">
        <w:rPr>
          <w:i/>
          <w:iCs/>
          <w:lang w:bidi="ar-AE"/>
        </w:rPr>
        <w:t>bawwaʾnā</w:t>
      </w:r>
      <w:r w:rsidRPr="0019747A">
        <w:rPr>
          <w:lang w:bidi="ar-AE"/>
        </w:rPr>
        <w:t xml:space="preserve"> qui a le régime du verbe </w:t>
      </w:r>
      <w:r w:rsidRPr="0019747A">
        <w:rPr>
          <w:i/>
          <w:iCs/>
          <w:lang w:bidi="ar-AE"/>
        </w:rPr>
        <w:t>a</w:t>
      </w:r>
      <w:r w:rsidRPr="0019747A">
        <w:rPr>
          <w:rFonts w:eastAsia="Times New Roman"/>
          <w:i/>
          <w:iCs/>
        </w:rPr>
        <w:t>ʿṭā</w:t>
      </w:r>
      <w:r w:rsidRPr="0019747A">
        <w:rPr>
          <w:rFonts w:eastAsia="Times New Roman"/>
        </w:rPr>
        <w:t xml:space="preserve"> </w:t>
      </w:r>
      <w:r w:rsidRPr="0019747A">
        <w:rPr>
          <w:rFonts w:eastAsia="Times New Roman"/>
          <w:shd w:val="clear" w:color="auto" w:fill="FFFFFF"/>
          <w:lang w:bidi="ar-KW"/>
        </w:rPr>
        <w:t xml:space="preserve">[donner] [i.e. doublement transitif direct] ; ainsi, ce </w:t>
      </w:r>
      <w:r w:rsidRPr="0019747A">
        <w:rPr>
          <w:rFonts w:asciiTheme="majorBidi" w:eastAsia="Times New Roman" w:hAnsiTheme="majorBidi" w:cstheme="majorBidi"/>
          <w:i/>
          <w:iCs/>
        </w:rPr>
        <w:t>lām</w:t>
      </w:r>
      <w:r w:rsidRPr="0019747A">
        <w:rPr>
          <w:rFonts w:eastAsia="Times New Roman"/>
          <w:shd w:val="clear" w:color="auto" w:fill="FFFFFF"/>
          <w:lang w:bidi="ar-KW"/>
        </w:rPr>
        <w:t xml:space="preserve"> ressemble à celui de la phrase : </w:t>
      </w:r>
      <w:r w:rsidRPr="0019747A">
        <w:rPr>
          <w:rFonts w:eastAsia="Times New Roman"/>
          <w:i/>
          <w:iCs/>
          <w:shd w:val="clear" w:color="auto" w:fill="FFFFFF"/>
          <w:lang w:bidi="ar-KW"/>
        </w:rPr>
        <w:t xml:space="preserve">Shakartu </w:t>
      </w:r>
      <w:r w:rsidRPr="0019747A">
        <w:rPr>
          <w:rFonts w:eastAsia="Times New Roman"/>
          <w:b/>
          <w:bCs/>
          <w:i/>
          <w:iCs/>
          <w:shd w:val="clear" w:color="auto" w:fill="FFFFFF"/>
          <w:lang w:bidi="ar-KW"/>
        </w:rPr>
        <w:t>la</w:t>
      </w:r>
      <w:r w:rsidRPr="0019747A">
        <w:rPr>
          <w:rFonts w:eastAsia="Times New Roman"/>
          <w:i/>
          <w:iCs/>
          <w:shd w:val="clear" w:color="auto" w:fill="FFFFFF"/>
          <w:lang w:bidi="ar-KW"/>
        </w:rPr>
        <w:t>-ka</w:t>
      </w:r>
      <w:r w:rsidRPr="0019747A">
        <w:rPr>
          <w:rFonts w:eastAsia="Times New Roman"/>
          <w:shd w:val="clear" w:color="auto" w:fill="FFFFFF"/>
          <w:lang w:bidi="ar-KW"/>
        </w:rPr>
        <w:t xml:space="preserve"> [</w:t>
      </w:r>
      <w:r w:rsidRPr="0019747A">
        <w:rPr>
          <w:rFonts w:eastAsia="Times New Roman"/>
          <w:i/>
          <w:iCs/>
          <w:shd w:val="clear" w:color="auto" w:fill="FFFFFF"/>
          <w:lang w:bidi="ar-KW"/>
        </w:rPr>
        <w:t>litt.</w:t>
      </w:r>
      <w:r w:rsidRPr="0019747A">
        <w:rPr>
          <w:rFonts w:eastAsia="Times New Roman"/>
          <w:shd w:val="clear" w:color="auto" w:fill="FFFFFF"/>
          <w:lang w:bidi="ar-KW"/>
        </w:rPr>
        <w:t xml:space="preserve"> J’ai remercié </w:t>
      </w:r>
      <w:r w:rsidRPr="0019747A">
        <w:rPr>
          <w:rFonts w:eastAsia="Times New Roman"/>
          <w:b/>
          <w:bCs/>
          <w:i/>
          <w:iCs/>
          <w:shd w:val="clear" w:color="auto" w:fill="FFFFFF"/>
          <w:lang w:bidi="ar-KW"/>
        </w:rPr>
        <w:t>pour</w:t>
      </w:r>
      <w:r w:rsidR="005B48AA">
        <w:rPr>
          <w:rFonts w:eastAsia="Times New Roman"/>
          <w:shd w:val="clear" w:color="auto" w:fill="FFFFFF"/>
          <w:lang w:bidi="ar-KW"/>
        </w:rPr>
        <w:t xml:space="preserve"> toi], c.à.d. </w:t>
      </w:r>
      <w:r w:rsidRPr="005B48AA">
        <w:rPr>
          <w:rFonts w:eastAsia="Times New Roman"/>
          <w:i/>
          <w:iCs/>
          <w:shd w:val="clear" w:color="auto" w:fill="FFFFFF"/>
          <w:lang w:bidi="ar-KW"/>
        </w:rPr>
        <w:t xml:space="preserve">Shakartuka </w:t>
      </w:r>
      <w:r w:rsidRPr="0019747A">
        <w:rPr>
          <w:rFonts w:eastAsia="Times New Roman"/>
          <w:b/>
          <w:bCs/>
          <w:i/>
          <w:iCs/>
          <w:shd w:val="clear" w:color="auto" w:fill="FFFFFF"/>
          <w:lang w:bidi="ar-KW"/>
        </w:rPr>
        <w:t>li-ajlika</w:t>
      </w:r>
      <w:r w:rsidRPr="0019747A">
        <w:rPr>
          <w:rFonts w:eastAsia="Times New Roman"/>
          <w:shd w:val="clear" w:color="auto" w:fill="FFFFFF"/>
          <w:lang w:bidi="ar-KW"/>
        </w:rPr>
        <w:t xml:space="preserve"> [</w:t>
      </w:r>
      <w:r w:rsidRPr="0019747A">
        <w:rPr>
          <w:rFonts w:eastAsia="Times New Roman"/>
          <w:i/>
          <w:iCs/>
          <w:shd w:val="clear" w:color="auto" w:fill="FFFFFF"/>
          <w:lang w:bidi="ar-KW"/>
        </w:rPr>
        <w:t>litt.</w:t>
      </w:r>
      <w:r w:rsidRPr="0019747A">
        <w:rPr>
          <w:rFonts w:eastAsia="Times New Roman"/>
          <w:shd w:val="clear" w:color="auto" w:fill="FFFFFF"/>
          <w:lang w:bidi="ar-KW"/>
        </w:rPr>
        <w:t xml:space="preserve"> Je t’ai remercié </w:t>
      </w:r>
      <w:r w:rsidRPr="0019747A">
        <w:rPr>
          <w:rFonts w:eastAsia="Times New Roman"/>
          <w:b/>
          <w:bCs/>
          <w:i/>
          <w:iCs/>
          <w:shd w:val="clear" w:color="auto" w:fill="FFFFFF"/>
          <w:lang w:bidi="ar-KW"/>
        </w:rPr>
        <w:t>pour toi</w:t>
      </w:r>
      <w:r w:rsidR="005B48AA">
        <w:rPr>
          <w:rFonts w:eastAsia="Times New Roman"/>
          <w:shd w:val="clear" w:color="auto" w:fill="FFFFFF"/>
          <w:lang w:bidi="ar-KW"/>
        </w:rPr>
        <w:t>]</w:t>
      </w:r>
      <w:r w:rsidRPr="0019747A">
        <w:rPr>
          <w:rFonts w:eastAsia="Times New Roman"/>
          <w:shd w:val="clear" w:color="auto" w:fill="FFFFFF"/>
          <w:lang w:bidi="ar-KW"/>
        </w:rPr>
        <w:t xml:space="preserve">. L’usage de ce type de </w:t>
      </w:r>
      <w:r w:rsidRPr="0019747A">
        <w:rPr>
          <w:rFonts w:asciiTheme="majorBidi" w:eastAsia="Times New Roman" w:hAnsiTheme="majorBidi" w:cstheme="majorBidi"/>
          <w:i/>
          <w:iCs/>
        </w:rPr>
        <w:t>lām</w:t>
      </w:r>
      <w:r w:rsidRPr="0019747A">
        <w:rPr>
          <w:rFonts w:asciiTheme="majorBidi" w:eastAsia="Times New Roman" w:hAnsiTheme="majorBidi" w:cstheme="majorBidi"/>
        </w:rPr>
        <w:t xml:space="preserve"> est une sorte de considération et de respect.</w:t>
      </w:r>
      <w:r w:rsidRPr="0019747A">
        <w:rPr>
          <w:rStyle w:val="Appelnotedebasdep"/>
        </w:rPr>
        <w:footnoteReference w:id="206"/>
      </w:r>
    </w:p>
    <w:p w14:paraId="2110D3BD" w14:textId="77777777" w:rsidR="007214B1" w:rsidRPr="0019747A" w:rsidRDefault="007214B1" w:rsidP="007214B1">
      <w:pPr>
        <w:spacing w:line="360" w:lineRule="auto"/>
        <w:ind w:left="720"/>
        <w:jc w:val="both"/>
        <w:rPr>
          <w:rFonts w:asciiTheme="majorBidi" w:eastAsia="Times New Roman" w:hAnsiTheme="majorBidi" w:cstheme="majorBidi"/>
          <w:lang w:bidi="ar-AE"/>
        </w:rPr>
      </w:pPr>
    </w:p>
    <w:p w14:paraId="1D97B9BA" w14:textId="77777777" w:rsidR="007214B1" w:rsidRPr="0019747A" w:rsidRDefault="007214B1" w:rsidP="007214B1">
      <w:pPr>
        <w:spacing w:line="360" w:lineRule="auto"/>
        <w:ind w:left="720" w:firstLine="720"/>
        <w:jc w:val="both"/>
        <w:rPr>
          <w:rFonts w:asciiTheme="majorBidi" w:eastAsia="Times New Roman" w:hAnsiTheme="majorBidi" w:cstheme="majorBidi"/>
          <w:lang w:bidi="ar-AE"/>
        </w:rPr>
      </w:pPr>
      <w:r w:rsidRPr="0019747A">
        <w:rPr>
          <w:rFonts w:asciiTheme="majorBidi" w:eastAsia="Times New Roman" w:hAnsiTheme="majorBidi" w:cstheme="majorBidi"/>
          <w:lang w:bidi="ar-AE"/>
        </w:rPr>
        <w:t>Ibn ʿĀshūr voulait pousser plus loin l’explication de cette préposition en insistant sur l’aspect de l’inimitabilité linguistique dont les musulmans modernes ont besoin. En effet, l’une des caractéristiques de l’exégèse d’Ibn ʿĀshūr</w:t>
      </w:r>
      <w:r w:rsidRPr="0019747A">
        <w:rPr>
          <w:rStyle w:val="Appelnotedebasdep"/>
          <w:lang w:bidi="ar-AE"/>
        </w:rPr>
        <w:t xml:space="preserve"> </w:t>
      </w:r>
      <w:r w:rsidRPr="0019747A">
        <w:rPr>
          <w:rFonts w:eastAsia="Times New Roman"/>
          <w:lang w:bidi="ar-AE"/>
        </w:rPr>
        <w:t xml:space="preserve"> est de s’intéresser aux anecdotes de la rhétorique arabe, à l’analyse sémantiques des mots, aux figures de style, aux aspects de l’inimitabilité.</w:t>
      </w:r>
      <w:r w:rsidRPr="0019747A">
        <w:rPr>
          <w:rStyle w:val="Appelnotedebasdep"/>
          <w:lang w:bidi="ar-AE"/>
        </w:rPr>
        <w:footnoteReference w:id="207"/>
      </w:r>
    </w:p>
    <w:p w14:paraId="60BCD3A9" w14:textId="77777777" w:rsidR="007214B1" w:rsidRPr="0019747A" w:rsidRDefault="007214B1" w:rsidP="007214B1">
      <w:pPr>
        <w:spacing w:line="360" w:lineRule="auto"/>
        <w:ind w:left="720" w:firstLine="720"/>
        <w:jc w:val="both"/>
        <w:rPr>
          <w:rFonts w:eastAsia="Times New Roman"/>
          <w:rtl/>
        </w:rPr>
      </w:pPr>
    </w:p>
    <w:p w14:paraId="4710D1FC" w14:textId="6F96EB02" w:rsidR="007214B1" w:rsidRPr="0019747A" w:rsidRDefault="007214B1" w:rsidP="007214B1">
      <w:pPr>
        <w:spacing w:line="360" w:lineRule="auto"/>
        <w:ind w:firstLine="720"/>
        <w:jc w:val="both"/>
        <w:rPr>
          <w:rFonts w:eastAsia="Times New Roman"/>
          <w:lang w:bidi="ar-EG"/>
        </w:rPr>
      </w:pPr>
      <w:r w:rsidRPr="0019747A">
        <w:rPr>
          <w:rFonts w:eastAsia="Times New Roman"/>
          <w:lang w:bidi="ar-EG"/>
        </w:rPr>
        <w:t>En effet, nous pouvons dire que la polysémie pronominale est due en général : 1) à l’ambiguïté de l’antécédent du pronom (vu que le Coran a été compilé à partir de plusieurs textes), ce qui donne un champ sémantique large (com</w:t>
      </w:r>
      <w:r w:rsidR="00847CE9">
        <w:rPr>
          <w:rFonts w:eastAsia="Times New Roman"/>
          <w:lang w:bidi="ar-EG"/>
        </w:rPr>
        <w:t xml:space="preserve">me dans </w:t>
      </w:r>
      <w:r w:rsidRPr="0019747A">
        <w:rPr>
          <w:rFonts w:eastAsia="Times New Roman"/>
          <w:i/>
          <w:iCs/>
          <w:lang w:bidi="ar-AE"/>
        </w:rPr>
        <w:t>miryatin minhu</w:t>
      </w:r>
      <w:r w:rsidRPr="0019747A">
        <w:rPr>
          <w:rFonts w:eastAsia="Times New Roman"/>
          <w:lang w:bidi="ar-AE"/>
        </w:rPr>
        <w:t xml:space="preserve"> [en chicane sur lui] (v. 55)) ou un champ sémantique limité (comme dans </w:t>
      </w:r>
      <w:r w:rsidRPr="0019747A">
        <w:rPr>
          <w:rFonts w:eastAsia="Times New Roman"/>
          <w:i/>
          <w:iCs/>
        </w:rPr>
        <w:t>yanṣura-hu</w:t>
      </w:r>
      <w:r w:rsidRPr="0019747A">
        <w:rPr>
          <w:rFonts w:eastAsia="Times New Roman"/>
        </w:rPr>
        <w:t xml:space="preserve"> [le secourra] (v. 15)) ;</w:t>
      </w:r>
      <w:r w:rsidRPr="0019747A">
        <w:rPr>
          <w:rFonts w:eastAsia="Times New Roman"/>
          <w:lang w:bidi="ar-EG"/>
        </w:rPr>
        <w:t xml:space="preserve"> 2) à l’omission du COD ; 3) à l’ajout d’une préposition. </w:t>
      </w:r>
    </w:p>
    <w:p w14:paraId="6B549759" w14:textId="77777777" w:rsidR="007214B1" w:rsidRPr="0019747A" w:rsidRDefault="007214B1" w:rsidP="007214B1">
      <w:pPr>
        <w:spacing w:line="360" w:lineRule="auto"/>
        <w:ind w:firstLine="360"/>
        <w:jc w:val="both"/>
        <w:rPr>
          <w:rFonts w:eastAsia="Times New Roman"/>
        </w:rPr>
      </w:pPr>
    </w:p>
    <w:p w14:paraId="273F1344" w14:textId="77777777" w:rsidR="007214B1" w:rsidRDefault="007214B1" w:rsidP="007214B1">
      <w:pPr>
        <w:spacing w:line="360" w:lineRule="auto"/>
        <w:ind w:firstLine="360"/>
        <w:jc w:val="both"/>
        <w:rPr>
          <w:rFonts w:eastAsia="Times New Roman"/>
        </w:rPr>
      </w:pPr>
      <w:r w:rsidRPr="0019747A">
        <w:rPr>
          <w:rFonts w:eastAsia="Times New Roman"/>
        </w:rPr>
        <w:t xml:space="preserve">À vrai dire, la polysémie pronominale n’est pas inhérente au pronom (qui est </w:t>
      </w:r>
      <w:r w:rsidRPr="0019747A">
        <w:rPr>
          <w:rFonts w:eastAsia="Times New Roman"/>
          <w:i/>
          <w:iCs/>
        </w:rPr>
        <w:t>mubham</w:t>
      </w:r>
      <w:r w:rsidRPr="0019747A">
        <w:rPr>
          <w:rFonts w:eastAsia="Times New Roman"/>
        </w:rPr>
        <w:t>, [ambigu], de point de vue grammatical), dans le sens où la richesse polysémique du pronom dépend notamment de la polysémie du nom auquel il renvoie. D’où la nécessité d’étudier la polysémie lexicale. Cette dernière constitue à son tour la base de la polysémie des énoncés. Dans ce sens, les trois types de polysémie (pronominale, lexicale et celle des énoncés) sont</w:t>
      </w:r>
      <w:r w:rsidRPr="003816AD">
        <w:rPr>
          <w:rFonts w:eastAsia="Times New Roman"/>
          <w:color w:val="C00000"/>
        </w:rPr>
        <w:t xml:space="preserve"> </w:t>
      </w:r>
      <w:r w:rsidRPr="0019747A">
        <w:rPr>
          <w:rFonts w:eastAsia="Times New Roman"/>
        </w:rPr>
        <w:lastRenderedPageBreak/>
        <w:t>interdépendants. Il convient de dire que les pronoms polysémiques dans le texte arabe peuvent ne pas l’être dans les traductions. Mais le traducteur ajoute parfois un terme entre parenthèse pour expliquer le pronom. Ce qui réduit le sens et donne à la traduction le rôle de l’exégèse.</w:t>
      </w:r>
    </w:p>
    <w:p w14:paraId="39D2DAC4" w14:textId="77777777" w:rsidR="007214B1" w:rsidRPr="0019747A" w:rsidRDefault="007214B1" w:rsidP="007214B1">
      <w:pPr>
        <w:spacing w:line="360" w:lineRule="auto"/>
        <w:ind w:firstLine="360"/>
        <w:jc w:val="both"/>
        <w:rPr>
          <w:rFonts w:eastAsia="Times New Roman"/>
        </w:rPr>
      </w:pPr>
    </w:p>
    <w:p w14:paraId="238F98EE" w14:textId="5B8D00C4" w:rsidR="007214B1" w:rsidRDefault="007214B1" w:rsidP="00936F65">
      <w:pPr>
        <w:shd w:val="clear" w:color="auto" w:fill="FFFFFF"/>
        <w:spacing w:line="360" w:lineRule="auto"/>
        <w:ind w:firstLine="720"/>
        <w:jc w:val="both"/>
        <w:rPr>
          <w:rFonts w:eastAsia="Calibri"/>
        </w:rPr>
      </w:pPr>
      <w:r>
        <w:rPr>
          <w:rFonts w:eastAsia="Calibri"/>
        </w:rPr>
        <w:br w:type="page"/>
      </w:r>
    </w:p>
    <w:p w14:paraId="7E6112D7" w14:textId="77777777" w:rsidR="00296288" w:rsidRPr="007D13CC" w:rsidRDefault="00296288" w:rsidP="00296288">
      <w:pPr>
        <w:spacing w:line="360" w:lineRule="auto"/>
        <w:jc w:val="center"/>
        <w:rPr>
          <w:b/>
          <w:bCs/>
        </w:rPr>
      </w:pPr>
      <w:r w:rsidRPr="007D13CC">
        <w:rPr>
          <w:b/>
          <w:bCs/>
        </w:rPr>
        <w:lastRenderedPageBreak/>
        <w:t>Chapitre IV</w:t>
      </w:r>
    </w:p>
    <w:p w14:paraId="6D1CC707" w14:textId="2239BE5E" w:rsidR="00296288" w:rsidRPr="007D13CC" w:rsidRDefault="00296288" w:rsidP="00296288">
      <w:pPr>
        <w:spacing w:line="360" w:lineRule="auto"/>
        <w:jc w:val="center"/>
        <w:rPr>
          <w:b/>
          <w:bCs/>
        </w:rPr>
      </w:pPr>
      <w:r w:rsidRPr="007D13CC">
        <w:rPr>
          <w:b/>
          <w:bCs/>
        </w:rPr>
        <w:t>La polysémie lexicale</w:t>
      </w:r>
      <w:r w:rsidR="00D0716B">
        <w:rPr>
          <w:b/>
          <w:bCs/>
        </w:rPr>
        <w:t xml:space="preserve"> du texte arabe</w:t>
      </w:r>
    </w:p>
    <w:p w14:paraId="040C3A61" w14:textId="77777777" w:rsidR="00296288" w:rsidRPr="007D13CC" w:rsidRDefault="00296288" w:rsidP="00296288">
      <w:pPr>
        <w:spacing w:line="360" w:lineRule="auto"/>
        <w:jc w:val="both"/>
      </w:pPr>
    </w:p>
    <w:p w14:paraId="64283ED4" w14:textId="77777777" w:rsidR="00296288" w:rsidRPr="007D13CC" w:rsidRDefault="00296288" w:rsidP="00296288">
      <w:pPr>
        <w:spacing w:line="360" w:lineRule="auto"/>
        <w:ind w:firstLine="708"/>
        <w:jc w:val="both"/>
      </w:pPr>
      <w:r w:rsidRPr="007D13CC">
        <w:t xml:space="preserve">Les exégètes </w:t>
      </w:r>
      <w:r w:rsidRPr="007D13CC">
        <w:rPr>
          <w:rFonts w:asciiTheme="majorBidi" w:eastAsia="Times New Roman" w:hAnsiTheme="majorBidi" w:cstheme="majorBidi"/>
        </w:rPr>
        <w:t xml:space="preserve">divergent à propos des significations des mots. Ils donnent ainsi plusieurs possibilités. </w:t>
      </w:r>
      <w:r w:rsidRPr="007D13CC">
        <w:t xml:space="preserve">Nous allons voir quelques exemples significatifs sur la polysémie des mots génériques, mots </w:t>
      </w:r>
      <w:r w:rsidRPr="007D13CC">
        <w:rPr>
          <w:i/>
          <w:iCs/>
        </w:rPr>
        <w:t>rara</w:t>
      </w:r>
      <w:r w:rsidRPr="007D13CC">
        <w:t xml:space="preserve"> (</w:t>
      </w:r>
      <w:r w:rsidRPr="007D13CC">
        <w:rPr>
          <w:i/>
          <w:iCs/>
        </w:rPr>
        <w:t>hapax legomenon</w:t>
      </w:r>
      <w:r w:rsidRPr="007D13CC">
        <w:t xml:space="preserve"> ou </w:t>
      </w:r>
      <w:r w:rsidRPr="007D13CC">
        <w:rPr>
          <w:i/>
          <w:iCs/>
        </w:rPr>
        <w:t>gharīb</w:t>
      </w:r>
      <w:r w:rsidRPr="007D13CC">
        <w:t>), différentes lectures (</w:t>
      </w:r>
      <w:r w:rsidRPr="007D13CC">
        <w:rPr>
          <w:i/>
          <w:iCs/>
        </w:rPr>
        <w:t>qirāʾāt</w:t>
      </w:r>
      <w:r w:rsidRPr="007D13CC">
        <w:t>), etc.</w:t>
      </w:r>
    </w:p>
    <w:p w14:paraId="014D5A76" w14:textId="77777777" w:rsidR="008A1845" w:rsidRDefault="008A1845" w:rsidP="008A1845">
      <w:pPr>
        <w:spacing w:line="360" w:lineRule="auto"/>
      </w:pPr>
    </w:p>
    <w:p w14:paraId="36D0C4BD" w14:textId="3E33AD46" w:rsidR="00296288" w:rsidRPr="008A1845" w:rsidRDefault="00296288" w:rsidP="00876BB0">
      <w:pPr>
        <w:pStyle w:val="Paragraphedeliste"/>
        <w:numPr>
          <w:ilvl w:val="1"/>
          <w:numId w:val="122"/>
        </w:numPr>
        <w:bidi w:val="0"/>
        <w:spacing w:line="360" w:lineRule="auto"/>
        <w:rPr>
          <w:rFonts w:asciiTheme="majorBidi" w:hAnsiTheme="majorBidi" w:cstheme="majorBidi"/>
          <w:b/>
          <w:bCs/>
          <w:sz w:val="24"/>
          <w:szCs w:val="24"/>
        </w:rPr>
      </w:pPr>
      <w:r w:rsidRPr="008A1845">
        <w:rPr>
          <w:rFonts w:asciiTheme="majorBidi" w:hAnsiTheme="majorBidi" w:cstheme="majorBidi"/>
          <w:b/>
          <w:bCs/>
          <w:sz w:val="24"/>
          <w:szCs w:val="24"/>
        </w:rPr>
        <w:t>Polysémie des mots génériques :</w:t>
      </w:r>
    </w:p>
    <w:p w14:paraId="02185244" w14:textId="77777777" w:rsidR="00296288" w:rsidRPr="0072451F"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rPr>
      </w:pPr>
      <w:r w:rsidRPr="0072451F">
        <w:rPr>
          <w:rFonts w:ascii="Times New Roman" w:hAnsi="Times New Roman" w:cs="Times New Roman"/>
          <w:b/>
          <w:bCs/>
          <w:sz w:val="24"/>
          <w:szCs w:val="24"/>
        </w:rPr>
        <w:t xml:space="preserve">Le </w:t>
      </w:r>
      <w:r w:rsidRPr="0072451F">
        <w:rPr>
          <w:rFonts w:ascii="Times New Roman" w:hAnsi="Times New Roman" w:cs="Times New Roman"/>
          <w:b/>
          <w:bCs/>
          <w:i/>
          <w:iCs/>
          <w:sz w:val="24"/>
          <w:szCs w:val="24"/>
        </w:rPr>
        <w:t>rabb</w:t>
      </w:r>
      <w:r w:rsidRPr="0072451F">
        <w:rPr>
          <w:rFonts w:ascii="Times New Roman" w:hAnsi="Times New Roman" w:cs="Times New Roman"/>
          <w:b/>
          <w:bCs/>
          <w:sz w:val="24"/>
          <w:szCs w:val="24"/>
        </w:rPr>
        <w:t> :</w:t>
      </w:r>
    </w:p>
    <w:p w14:paraId="7A18B8BE" w14:textId="77777777" w:rsidR="00296288" w:rsidRPr="00B867DF" w:rsidRDefault="00296288" w:rsidP="00296288">
      <w:pPr>
        <w:spacing w:line="360" w:lineRule="auto"/>
        <w:ind w:firstLine="708"/>
        <w:jc w:val="both"/>
        <w:rPr>
          <w:rFonts w:eastAsia="Calibri"/>
        </w:rPr>
      </w:pPr>
      <w:r w:rsidRPr="00B867DF">
        <w:rPr>
          <w:rFonts w:eastAsia="Times New Roman"/>
          <w:lang w:bidi="ar-EG"/>
        </w:rPr>
        <w:t xml:space="preserve">Le mot </w:t>
      </w:r>
      <w:r w:rsidRPr="00B867DF">
        <w:rPr>
          <w:rFonts w:eastAsia="Times New Roman"/>
          <w:i/>
          <w:iCs/>
          <w:lang w:bidi="ar-EG"/>
        </w:rPr>
        <w:t>rabb</w:t>
      </w:r>
      <w:r w:rsidRPr="00B867DF">
        <w:rPr>
          <w:rFonts w:eastAsia="Times New Roman"/>
          <w:lang w:bidi="ar-EG"/>
        </w:rPr>
        <w:t xml:space="preserve"> (verset 1) a connu plusieurs acceptions. </w:t>
      </w:r>
      <w:r w:rsidRPr="00B867DF">
        <w:rPr>
          <w:rFonts w:eastAsia="Times New Roman"/>
          <w:lang w:bidi="ar-KW"/>
        </w:rPr>
        <w:t>Dans le commentaire de la 1</w:t>
      </w:r>
      <w:r w:rsidRPr="00B867DF">
        <w:rPr>
          <w:rFonts w:eastAsia="Times New Roman"/>
          <w:vertAlign w:val="superscript"/>
          <w:lang w:bidi="ar-KW"/>
        </w:rPr>
        <w:t>ère</w:t>
      </w:r>
      <w:r w:rsidRPr="00B867DF">
        <w:rPr>
          <w:rFonts w:eastAsia="Times New Roman"/>
          <w:lang w:bidi="ar-KW"/>
        </w:rPr>
        <w:t xml:space="preserve"> sourate </w:t>
      </w:r>
      <w:r w:rsidRPr="00B867DF">
        <w:rPr>
          <w:rFonts w:eastAsia="Times New Roman"/>
          <w:i/>
          <w:iCs/>
          <w:lang w:bidi="ar-KW"/>
        </w:rPr>
        <w:t>Al-Fātiḥa</w:t>
      </w:r>
      <w:r w:rsidRPr="00B867DF">
        <w:rPr>
          <w:rFonts w:eastAsia="Times New Roman"/>
          <w:lang w:bidi="ar-KW"/>
        </w:rPr>
        <w:t xml:space="preserve"> [l’Ouverture], Aṭ-Ṭabarī</w:t>
      </w:r>
      <w:r w:rsidRPr="00B867DF">
        <w:rPr>
          <w:rFonts w:eastAsia="Times New Roman"/>
          <w:lang w:bidi="ar-EG"/>
        </w:rPr>
        <w:t xml:space="preserve"> en a donné deux : </w:t>
      </w:r>
      <w:r w:rsidRPr="00B867DF">
        <w:rPr>
          <w:rFonts w:eastAsia="Times New Roman"/>
          <w:i/>
          <w:iCs/>
          <w:lang w:bidi="ar-EG"/>
        </w:rPr>
        <w:t>le maître obéi</w:t>
      </w:r>
      <w:r w:rsidRPr="00B867DF">
        <w:rPr>
          <w:rFonts w:eastAsia="Times New Roman"/>
          <w:lang w:bidi="ar-EG"/>
        </w:rPr>
        <w:t xml:space="preserve"> [</w:t>
      </w:r>
      <w:r w:rsidRPr="00B867DF">
        <w:rPr>
          <w:rFonts w:eastAsia="Times New Roman"/>
          <w:i/>
          <w:iCs/>
          <w:lang w:bidi="ar-EG"/>
        </w:rPr>
        <w:t>as-sayyid al-muṭāʿ</w:t>
      </w:r>
      <w:r w:rsidRPr="00B867DF">
        <w:rPr>
          <w:rFonts w:eastAsia="Times New Roman"/>
          <w:lang w:bidi="ar-EG"/>
        </w:rPr>
        <w:t xml:space="preserve">] et </w:t>
      </w:r>
      <w:r w:rsidRPr="00B867DF">
        <w:rPr>
          <w:rFonts w:eastAsia="Times New Roman"/>
          <w:i/>
          <w:iCs/>
          <w:lang w:bidi="ar-EG"/>
        </w:rPr>
        <w:t>le réformateur</w:t>
      </w:r>
      <w:r w:rsidRPr="00B867DF">
        <w:rPr>
          <w:rFonts w:eastAsia="Times New Roman"/>
          <w:lang w:bidi="ar-EG"/>
        </w:rPr>
        <w:t xml:space="preserve"> [</w:t>
      </w:r>
      <w:r w:rsidRPr="00B867DF">
        <w:rPr>
          <w:rFonts w:eastAsia="Times New Roman"/>
          <w:i/>
          <w:iCs/>
          <w:lang w:bidi="ar-EG"/>
        </w:rPr>
        <w:t>al-muṣliḥ</w:t>
      </w:r>
      <w:r w:rsidRPr="00B867DF">
        <w:rPr>
          <w:rFonts w:eastAsia="Times New Roman"/>
          <w:lang w:bidi="ar-EG"/>
        </w:rPr>
        <w:t xml:space="preserve">]. </w:t>
      </w:r>
      <w:r w:rsidRPr="00B867DF">
        <w:rPr>
          <w:rFonts w:eastAsia="Times New Roman"/>
        </w:rPr>
        <w:t xml:space="preserve">Al-Baghawī </w:t>
      </w:r>
      <w:r w:rsidRPr="00B867DF">
        <w:rPr>
          <w:rFonts w:eastAsia="Calibri"/>
        </w:rPr>
        <w:t>(m. 1116/1122)</w:t>
      </w:r>
      <w:r w:rsidRPr="00B867DF">
        <w:rPr>
          <w:rFonts w:eastAsia="Times New Roman"/>
          <w:lang w:bidi="ar-EG"/>
        </w:rPr>
        <w:t xml:space="preserve"> a donné le sens de : propriétaire, éducateur et réformateur. Dans</w:t>
      </w:r>
      <w:r w:rsidRPr="00B867DF">
        <w:rPr>
          <w:rFonts w:eastAsia="Times New Roman"/>
          <w:i/>
          <w:iCs/>
          <w:lang w:bidi="ar-EG"/>
        </w:rPr>
        <w:t xml:space="preserve"> At-Tafsīr Al-Kabīr </w:t>
      </w:r>
      <w:r w:rsidRPr="00B867DF">
        <w:rPr>
          <w:rFonts w:eastAsia="Times New Roman"/>
          <w:lang w:bidi="ar-EG"/>
        </w:rPr>
        <w:t>ou</w:t>
      </w:r>
      <w:r w:rsidRPr="00B867DF">
        <w:rPr>
          <w:rFonts w:eastAsia="Times New Roman"/>
          <w:i/>
          <w:iCs/>
          <w:lang w:bidi="ar-EG"/>
        </w:rPr>
        <w:t xml:space="preserve"> Al-Baḥr Al-Muḥīṭ</w:t>
      </w:r>
      <w:r w:rsidRPr="00B867DF">
        <w:rPr>
          <w:rFonts w:eastAsia="Times New Roman"/>
          <w:lang w:bidi="ar-AE"/>
        </w:rPr>
        <w:t>, « Sourate 1 »,</w:t>
      </w:r>
      <w:r w:rsidRPr="00B867DF">
        <w:rPr>
          <w:rFonts w:eastAsia="Times New Roman"/>
          <w:lang w:bidi="ar-EG"/>
        </w:rPr>
        <w:t xml:space="preserve"> Athīr Ad-Dīn Al-Andalusī (m. 1344) donne les significations suivantes : </w:t>
      </w:r>
      <w:r w:rsidRPr="00B867DF">
        <w:rPr>
          <w:rFonts w:eastAsia="Times New Roman"/>
          <w:i/>
          <w:iCs/>
          <w:lang w:bidi="ar-EG"/>
        </w:rPr>
        <w:t>maître</w:t>
      </w:r>
      <w:r w:rsidRPr="00B867DF">
        <w:rPr>
          <w:rFonts w:eastAsia="Times New Roman"/>
          <w:lang w:bidi="ar-EG"/>
        </w:rPr>
        <w:t xml:space="preserve">, </w:t>
      </w:r>
      <w:r w:rsidRPr="00B867DF">
        <w:rPr>
          <w:rFonts w:eastAsia="Times New Roman"/>
          <w:i/>
          <w:iCs/>
          <w:lang w:bidi="ar-EG"/>
        </w:rPr>
        <w:t>possesseur</w:t>
      </w:r>
      <w:r w:rsidRPr="00B867DF">
        <w:rPr>
          <w:rFonts w:eastAsia="Times New Roman"/>
          <w:lang w:bidi="ar-EG"/>
        </w:rPr>
        <w:t xml:space="preserve">, </w:t>
      </w:r>
      <w:r w:rsidRPr="00B867DF">
        <w:rPr>
          <w:rFonts w:eastAsia="Times New Roman"/>
          <w:i/>
          <w:iCs/>
          <w:lang w:bidi="ar-EG"/>
        </w:rPr>
        <w:t>immuable</w:t>
      </w:r>
      <w:r w:rsidRPr="00B867DF">
        <w:rPr>
          <w:rFonts w:eastAsia="Times New Roman"/>
          <w:lang w:bidi="ar-EG"/>
        </w:rPr>
        <w:t xml:space="preserve">, </w:t>
      </w:r>
      <w:r w:rsidRPr="00B867DF">
        <w:rPr>
          <w:rFonts w:eastAsia="Times New Roman"/>
          <w:i/>
          <w:iCs/>
          <w:lang w:bidi="ar-EG"/>
        </w:rPr>
        <w:t>adoré</w:t>
      </w:r>
      <w:r w:rsidRPr="00B867DF">
        <w:rPr>
          <w:rFonts w:eastAsia="Times New Roman"/>
          <w:lang w:bidi="ar-EG"/>
        </w:rPr>
        <w:t xml:space="preserve"> et </w:t>
      </w:r>
      <w:r w:rsidRPr="00B867DF">
        <w:rPr>
          <w:rFonts w:eastAsia="Times New Roman"/>
          <w:i/>
          <w:iCs/>
          <w:lang w:bidi="ar-EG"/>
        </w:rPr>
        <w:t>réformateur</w:t>
      </w:r>
      <w:r w:rsidRPr="00B867DF">
        <w:rPr>
          <w:rFonts w:eastAsia="Times New Roman"/>
          <w:lang w:bidi="ar-EG"/>
        </w:rPr>
        <w:t xml:space="preserve">. Dans son exégèse inachevée </w:t>
      </w:r>
      <w:r w:rsidRPr="00B867DF">
        <w:rPr>
          <w:rFonts w:eastAsia="Times New Roman"/>
          <w:i/>
          <w:iCs/>
          <w:lang w:bidi="ar-EG"/>
        </w:rPr>
        <w:t>At-Tafsīr al-Kabīr</w:t>
      </w:r>
      <w:r w:rsidRPr="00B867DF">
        <w:rPr>
          <w:rFonts w:eastAsia="Times New Roman"/>
          <w:lang w:bidi="ar-EG"/>
        </w:rPr>
        <w:t xml:space="preserve"> (commentaire de la 1</w:t>
      </w:r>
      <w:r w:rsidRPr="00B867DF">
        <w:rPr>
          <w:rFonts w:eastAsia="Times New Roman"/>
          <w:vertAlign w:val="superscript"/>
          <w:lang w:bidi="ar-EG"/>
        </w:rPr>
        <w:t>ère</w:t>
      </w:r>
      <w:r w:rsidRPr="00B867DF">
        <w:rPr>
          <w:rFonts w:eastAsia="Times New Roman"/>
          <w:lang w:bidi="ar-EG"/>
        </w:rPr>
        <w:t xml:space="preserve"> sourate), le théologien chiite Mullā Ṣadrā Shīrāzī [Ṣadr al-Mutaʾallihīn] (m. 1640), a ajouté aussi la signification d’« un nom dérivé de "l’éducation", dans le sens d’amener quelque chose à sa perfection progressivement » [« </w:t>
      </w:r>
      <w:r>
        <w:rPr>
          <w:rFonts w:eastAsia="Times New Roman" w:hint="cs"/>
          <w:rtl/>
          <w:lang w:bidi="ar-EG"/>
        </w:rPr>
        <w:t>اسم مشتق من "التربية" بمعنى: تبليغ الشيء إلى كماله تدريجياً</w:t>
      </w:r>
      <w:r w:rsidRPr="00B867DF">
        <w:rPr>
          <w:rFonts w:eastAsia="Times New Roman"/>
          <w:lang w:bidi="ar-EG"/>
        </w:rPr>
        <w:t xml:space="preserve"> »], l’un des noms de Dieu. </w:t>
      </w:r>
      <w:r w:rsidRPr="00B867DF">
        <w:rPr>
          <w:rFonts w:eastAsia="Times New Roman"/>
        </w:rPr>
        <w:t xml:space="preserve">L’exégèse d’Al-Jalālayn a choisi une seule acception : </w:t>
      </w:r>
      <w:r w:rsidRPr="00B867DF">
        <w:rPr>
          <w:rFonts w:eastAsia="Times New Roman"/>
          <w:i/>
          <w:iCs/>
        </w:rPr>
        <w:t>le propriétaire</w:t>
      </w:r>
      <w:r w:rsidRPr="00B867DF">
        <w:rPr>
          <w:rFonts w:eastAsia="Times New Roman"/>
        </w:rPr>
        <w:t xml:space="preserve">. </w:t>
      </w:r>
      <w:r w:rsidRPr="00B867DF">
        <w:rPr>
          <w:rFonts w:eastAsia="Times New Roman"/>
          <w:lang w:bidi="ar-AE"/>
        </w:rPr>
        <w:t xml:space="preserve">Dans son exégèse </w:t>
      </w:r>
      <w:r w:rsidRPr="00B867DF">
        <w:rPr>
          <w:rFonts w:eastAsia="Times New Roman"/>
          <w:i/>
          <w:iCs/>
          <w:lang w:bidi="ar-AE"/>
        </w:rPr>
        <w:t>Al-Manār</w:t>
      </w:r>
      <w:r w:rsidRPr="00B867DF">
        <w:rPr>
          <w:rFonts w:eastAsia="Times New Roman"/>
          <w:lang w:bidi="ar-AE"/>
        </w:rPr>
        <w:t xml:space="preserve"> (sourate </w:t>
      </w:r>
      <w:r>
        <w:rPr>
          <w:rFonts w:eastAsia="Times New Roman"/>
          <w:i/>
          <w:iCs/>
          <w:lang w:bidi="ar-AE"/>
        </w:rPr>
        <w:t>a</w:t>
      </w:r>
      <w:r w:rsidRPr="00B867DF">
        <w:rPr>
          <w:rFonts w:eastAsia="Times New Roman"/>
          <w:i/>
          <w:iCs/>
          <w:lang w:bidi="ar-AE"/>
        </w:rPr>
        <w:t>l-Fātiḥa</w:t>
      </w:r>
      <w:r w:rsidRPr="00B867DF">
        <w:rPr>
          <w:rFonts w:eastAsia="Times New Roman"/>
          <w:lang w:bidi="ar-AE"/>
        </w:rPr>
        <w:t>), Muḥammad Rashīd Riḍā (m. 1935)</w:t>
      </w:r>
      <w:r w:rsidRPr="00B867DF">
        <w:rPr>
          <w:rFonts w:eastAsia="Times New Roman"/>
          <w:lang w:bidi="ar-EG"/>
        </w:rPr>
        <w:t xml:space="preserve"> précise que le </w:t>
      </w:r>
      <w:r w:rsidRPr="00F45460">
        <w:rPr>
          <w:rFonts w:eastAsia="Times New Roman"/>
          <w:lang w:bidi="ar-EG"/>
        </w:rPr>
        <w:t xml:space="preserve">nom </w:t>
      </w:r>
      <w:r w:rsidRPr="00F45460">
        <w:rPr>
          <w:rFonts w:eastAsia="Times New Roman"/>
          <w:i/>
          <w:iCs/>
          <w:lang w:bidi="ar-EG"/>
        </w:rPr>
        <w:t>rabb</w:t>
      </w:r>
      <w:r w:rsidRPr="00F45460">
        <w:rPr>
          <w:rFonts w:eastAsia="Times New Roman"/>
          <w:lang w:bidi="ar-EG"/>
        </w:rPr>
        <w:t xml:space="preserve"> connote</w:t>
      </w:r>
      <w:r w:rsidRPr="00B867DF">
        <w:rPr>
          <w:rFonts w:eastAsia="Times New Roman"/>
          <w:lang w:bidi="ar-EG"/>
        </w:rPr>
        <w:t xml:space="preserve"> la résurrection et la rétribution [</w:t>
      </w:r>
      <w:r w:rsidRPr="00B867DF">
        <w:rPr>
          <w:rFonts w:eastAsia="Times New Roman"/>
          <w:i/>
          <w:iCs/>
          <w:lang w:bidi="ar-EG"/>
        </w:rPr>
        <w:t>al-baʿth wa-l-jazāʾ</w:t>
      </w:r>
      <w:r w:rsidRPr="00B867DF">
        <w:rPr>
          <w:rFonts w:eastAsia="Times New Roman"/>
          <w:lang w:bidi="ar-EG"/>
        </w:rPr>
        <w:t>]</w:t>
      </w:r>
      <w:r w:rsidRPr="00B867DF">
        <w:rPr>
          <w:rFonts w:eastAsia="Calibri"/>
        </w:rPr>
        <w:t xml:space="preserve">. </w:t>
      </w:r>
      <w:r w:rsidRPr="00B867DF">
        <w:rPr>
          <w:rFonts w:eastAsia="Times New Roman"/>
          <w:lang w:bidi="ar-AE"/>
        </w:rPr>
        <w:t>Muḥammad</w:t>
      </w:r>
      <w:r w:rsidRPr="00B867DF">
        <w:rPr>
          <w:rFonts w:eastAsia="Calibri"/>
        </w:rPr>
        <w:t xml:space="preserve"> Amīn Shaykhū (m. 1964)</w:t>
      </w:r>
      <w:r w:rsidRPr="00B867DF">
        <w:rPr>
          <w:rFonts w:eastAsia="Times New Roman"/>
          <w:lang w:bidi="ar-EG"/>
        </w:rPr>
        <w:t xml:space="preserve"> a choisi la signification de « l’éducateur ». </w:t>
      </w:r>
      <w:r w:rsidRPr="00B867DF">
        <w:rPr>
          <w:rFonts w:eastAsia="Calibri"/>
        </w:rPr>
        <w:t xml:space="preserve">Cependant, dès le début de l’islam, des courantes hétérodoxes considèrent que le </w:t>
      </w:r>
      <w:r w:rsidRPr="00B867DF">
        <w:rPr>
          <w:rFonts w:eastAsia="Calibri"/>
          <w:i/>
          <w:iCs/>
        </w:rPr>
        <w:t>rabb</w:t>
      </w:r>
      <w:r w:rsidRPr="00B867DF">
        <w:rPr>
          <w:rFonts w:eastAsia="Calibri"/>
        </w:rPr>
        <w:t xml:space="preserve"> est le quatrième calife ʿAlī ibn Abī Ṭālib (m. 661)</w:t>
      </w:r>
      <w:r w:rsidRPr="00B867DF">
        <w:rPr>
          <w:rFonts w:eastAsia="Calibri"/>
          <w:vertAlign w:val="superscript"/>
          <w:lang w:bidi="ar-AE"/>
        </w:rPr>
        <w:footnoteReference w:id="208"/>
      </w:r>
      <w:r w:rsidRPr="00B867DF">
        <w:rPr>
          <w:rFonts w:eastAsia="Calibri"/>
        </w:rPr>
        <w:t>. Les alaouites nusayrites (apparus au IX</w:t>
      </w:r>
      <w:r w:rsidRPr="00B867DF">
        <w:rPr>
          <w:rFonts w:eastAsia="Calibri"/>
          <w:vertAlign w:val="superscript"/>
        </w:rPr>
        <w:t>e</w:t>
      </w:r>
      <w:r w:rsidRPr="00B867DF">
        <w:rPr>
          <w:rFonts w:eastAsia="Calibri"/>
        </w:rPr>
        <w:t xml:space="preserve"> siècle) confirment dans une prière (</w:t>
      </w:r>
      <w:r w:rsidRPr="00B867DF">
        <w:rPr>
          <w:rFonts w:eastAsia="Calibri"/>
          <w:i/>
          <w:iCs/>
        </w:rPr>
        <w:t>Quddās at-Turābīya</w:t>
      </w:r>
      <w:r w:rsidRPr="00B867DF">
        <w:rPr>
          <w:rFonts w:eastAsia="Calibri"/>
        </w:rPr>
        <w:t xml:space="preserve">) que ʿAlī ibn Abī Ṭālib est leur </w:t>
      </w:r>
      <w:r w:rsidRPr="00B867DF">
        <w:rPr>
          <w:rFonts w:eastAsia="Calibri"/>
          <w:i/>
          <w:iCs/>
        </w:rPr>
        <w:t>rabb</w:t>
      </w:r>
      <w:r w:rsidRPr="00B867DF">
        <w:rPr>
          <w:rFonts w:eastAsia="Calibri"/>
        </w:rPr>
        <w:t>.</w:t>
      </w:r>
      <w:r w:rsidRPr="00B867DF">
        <w:rPr>
          <w:rFonts w:eastAsia="Calibri"/>
          <w:vertAlign w:val="superscript"/>
          <w:lang w:bidi="ar-AE"/>
        </w:rPr>
        <w:footnoteReference w:id="209"/>
      </w:r>
      <w:r w:rsidRPr="00B867DF">
        <w:rPr>
          <w:rFonts w:eastAsia="Calibri"/>
        </w:rPr>
        <w:t xml:space="preserve"> </w:t>
      </w:r>
      <w:r w:rsidRPr="00B867DF">
        <w:rPr>
          <w:rFonts w:eastAsia="Times New Roman"/>
          <w:lang w:bidi="ar-EG"/>
        </w:rPr>
        <w:t xml:space="preserve">Récemment, dans une vidéo qui a suscité des débats, une référence chiite révèle que </w:t>
      </w:r>
      <w:r w:rsidRPr="00B867DF">
        <w:rPr>
          <w:rFonts w:eastAsia="Calibri"/>
        </w:rPr>
        <w:t>ʿAlī ibn Abī Ṭālib</w:t>
      </w:r>
      <w:r w:rsidRPr="00B867DF">
        <w:rPr>
          <w:rFonts w:eastAsia="Times New Roman"/>
          <w:lang w:bidi="ar-EG"/>
        </w:rPr>
        <w:t xml:space="preserve"> est leur </w:t>
      </w:r>
      <w:r w:rsidRPr="00B867DF">
        <w:rPr>
          <w:rFonts w:eastAsia="Times New Roman"/>
          <w:i/>
          <w:iCs/>
          <w:lang w:bidi="ar-EG"/>
        </w:rPr>
        <w:t>rabb</w:t>
      </w:r>
      <w:r w:rsidRPr="00B867DF">
        <w:rPr>
          <w:rFonts w:eastAsia="Times New Roman"/>
          <w:lang w:bidi="ar-EG"/>
        </w:rPr>
        <w:t>.</w:t>
      </w:r>
      <w:r w:rsidRPr="00B867DF">
        <w:rPr>
          <w:rFonts w:eastAsia="Calibri"/>
          <w:vertAlign w:val="superscript"/>
          <w:lang w:bidi="ar-AE"/>
        </w:rPr>
        <w:footnoteReference w:id="210"/>
      </w:r>
    </w:p>
    <w:p w14:paraId="21743A27" w14:textId="77777777" w:rsidR="00296288" w:rsidRPr="002B5C8E" w:rsidRDefault="00296288" w:rsidP="00296288">
      <w:pPr>
        <w:spacing w:line="360" w:lineRule="auto"/>
        <w:ind w:firstLine="708"/>
        <w:jc w:val="both"/>
        <w:rPr>
          <w:rFonts w:eastAsia="Times New Roman"/>
        </w:rPr>
      </w:pPr>
    </w:p>
    <w:p w14:paraId="02E7AE95" w14:textId="77777777" w:rsidR="00296288" w:rsidRPr="002B5C8E" w:rsidRDefault="00296288" w:rsidP="00296288">
      <w:pPr>
        <w:spacing w:line="360" w:lineRule="auto"/>
        <w:ind w:firstLine="708"/>
        <w:jc w:val="both"/>
        <w:rPr>
          <w:rFonts w:eastAsia="Times New Roman"/>
          <w:lang w:bidi="ar-KW"/>
        </w:rPr>
      </w:pPr>
      <w:r w:rsidRPr="002B5C8E">
        <w:rPr>
          <w:rFonts w:eastAsia="Times New Roman"/>
        </w:rPr>
        <w:t xml:space="preserve">Il est à souligner que le mot </w:t>
      </w:r>
      <w:r w:rsidRPr="002B5C8E">
        <w:rPr>
          <w:rFonts w:eastAsia="Times New Roman"/>
          <w:i/>
          <w:iCs/>
        </w:rPr>
        <w:t>rabb</w:t>
      </w:r>
      <w:r w:rsidRPr="002B5C8E">
        <w:rPr>
          <w:rFonts w:eastAsia="Times New Roman"/>
        </w:rPr>
        <w:t xml:space="preserve"> [seigneur] (v. 1</w:t>
      </w:r>
      <w:r w:rsidRPr="002B5C8E">
        <w:rPr>
          <w:rFonts w:eastAsia="Times New Roman"/>
          <w:vertAlign w:val="superscript"/>
        </w:rPr>
        <w:t>er</w:t>
      </w:r>
      <w:r w:rsidRPr="002B5C8E">
        <w:rPr>
          <w:rFonts w:eastAsia="Times New Roman"/>
        </w:rPr>
        <w:t>) n’est jamais utilisé dans le Coran comme défini neutre ar</w:t>
      </w:r>
      <w:r w:rsidRPr="002B5C8E">
        <w:rPr>
          <w:rFonts w:eastAsia="Times New Roman"/>
          <w:i/>
          <w:iCs/>
        </w:rPr>
        <w:t>-rabb</w:t>
      </w:r>
      <w:r w:rsidRPr="002B5C8E">
        <w:rPr>
          <w:rFonts w:eastAsia="Times New Roman"/>
        </w:rPr>
        <w:t xml:space="preserve"> [</w:t>
      </w:r>
      <w:r w:rsidRPr="002B5C8E">
        <w:rPr>
          <w:rFonts w:eastAsia="Times New Roman"/>
          <w:i/>
          <w:iCs/>
        </w:rPr>
        <w:t>le</w:t>
      </w:r>
      <w:r w:rsidRPr="002B5C8E">
        <w:rPr>
          <w:rFonts w:eastAsia="Times New Roman"/>
        </w:rPr>
        <w:t xml:space="preserve"> Seigneur], mais il est utilisé environ 752 fois toujours en annexion sous la formule possessive (</w:t>
      </w:r>
      <w:r w:rsidRPr="002B5C8E">
        <w:rPr>
          <w:rFonts w:eastAsia="Times New Roman"/>
          <w:i/>
          <w:iCs/>
        </w:rPr>
        <w:t>rabb</w:t>
      </w:r>
      <w:r w:rsidRPr="002B5C8E">
        <w:rPr>
          <w:rFonts w:eastAsia="Times New Roman"/>
        </w:rPr>
        <w:t xml:space="preserve"> + un suffixe possessif : </w:t>
      </w:r>
      <w:r w:rsidRPr="002B5C8E">
        <w:rPr>
          <w:rFonts w:eastAsia="Times New Roman"/>
          <w:i/>
          <w:iCs/>
        </w:rPr>
        <w:t>-ī</w:t>
      </w:r>
      <w:r w:rsidRPr="002B5C8E">
        <w:rPr>
          <w:rFonts w:eastAsia="Times New Roman"/>
        </w:rPr>
        <w:t xml:space="preserve"> [97 fois] / </w:t>
      </w:r>
      <w:r w:rsidRPr="002B5C8E">
        <w:rPr>
          <w:rFonts w:eastAsia="Times New Roman"/>
          <w:i/>
          <w:iCs/>
        </w:rPr>
        <w:t>-ka</w:t>
      </w:r>
      <w:r w:rsidRPr="002B5C8E">
        <w:rPr>
          <w:rFonts w:eastAsia="Times New Roman"/>
        </w:rPr>
        <w:t xml:space="preserve"> [217 fois] / </w:t>
      </w:r>
      <w:r w:rsidRPr="002B5C8E">
        <w:rPr>
          <w:rFonts w:eastAsia="Times New Roman"/>
          <w:i/>
          <w:iCs/>
        </w:rPr>
        <w:t>-kum</w:t>
      </w:r>
      <w:r w:rsidRPr="002B5C8E">
        <w:rPr>
          <w:rFonts w:eastAsia="Times New Roman"/>
        </w:rPr>
        <w:t xml:space="preserve"> [111 fois] / </w:t>
      </w:r>
      <w:r w:rsidRPr="002B5C8E">
        <w:rPr>
          <w:rFonts w:eastAsia="Times New Roman"/>
          <w:i/>
          <w:iCs/>
        </w:rPr>
        <w:t>-kumā</w:t>
      </w:r>
      <w:r w:rsidRPr="002B5C8E">
        <w:rPr>
          <w:rFonts w:eastAsia="Times New Roman"/>
        </w:rPr>
        <w:t xml:space="preserve"> [33 fois] / </w:t>
      </w:r>
      <w:r w:rsidRPr="002B5C8E">
        <w:rPr>
          <w:rFonts w:eastAsia="Times New Roman"/>
          <w:i/>
          <w:iCs/>
        </w:rPr>
        <w:t>-nā</w:t>
      </w:r>
      <w:r w:rsidRPr="002B5C8E">
        <w:rPr>
          <w:rFonts w:eastAsia="Times New Roman"/>
        </w:rPr>
        <w:t xml:space="preserve"> [108 fois] / </w:t>
      </w:r>
      <w:r w:rsidRPr="002B5C8E">
        <w:rPr>
          <w:rFonts w:eastAsia="Times New Roman"/>
          <w:i/>
          <w:iCs/>
        </w:rPr>
        <w:t>-hu</w:t>
      </w:r>
      <w:r w:rsidRPr="002B5C8E">
        <w:rPr>
          <w:rFonts w:eastAsia="Times New Roman"/>
        </w:rPr>
        <w:t xml:space="preserve"> [73 fois] / </w:t>
      </w:r>
      <w:r w:rsidRPr="002B5C8E">
        <w:rPr>
          <w:rFonts w:eastAsia="Times New Roman"/>
          <w:i/>
          <w:iCs/>
        </w:rPr>
        <w:t>-hum</w:t>
      </w:r>
      <w:r w:rsidRPr="002B5C8E">
        <w:rPr>
          <w:rFonts w:eastAsia="Times New Roman"/>
        </w:rPr>
        <w:t xml:space="preserve"> [110 fois] / </w:t>
      </w:r>
      <w:r w:rsidRPr="002B5C8E">
        <w:rPr>
          <w:rFonts w:eastAsia="Times New Roman"/>
          <w:i/>
          <w:iCs/>
        </w:rPr>
        <w:t>-humā</w:t>
      </w:r>
      <w:r w:rsidRPr="002B5C8E">
        <w:rPr>
          <w:rFonts w:eastAsia="Times New Roman"/>
        </w:rPr>
        <w:t> [3 fois]) ou en l’ajoutant à un autre mot. Cependant, la Bible (traduction de Louis Segond, celle de David Martin et celle de John Nelson Darby) l’utilise sans possessif 796 fois (577 fois pour « le Seigneur », 33 fois pour « au Seigneur » et 186 fois pour « du Seigneur »</w:t>
      </w:r>
      <w:r w:rsidRPr="002B5C8E">
        <w:rPr>
          <w:rFonts w:asciiTheme="majorBidi" w:eastAsia="Times New Roman" w:hAnsiTheme="majorBidi" w:cstheme="majorBidi"/>
        </w:rPr>
        <w:t>). L</w:t>
      </w:r>
      <w:r w:rsidRPr="002B5C8E">
        <w:rPr>
          <w:rFonts w:eastAsia="Times New Roman"/>
        </w:rPr>
        <w:t xml:space="preserve">e Coran distingue entre </w:t>
      </w:r>
      <w:r w:rsidRPr="002B5C8E">
        <w:rPr>
          <w:rFonts w:eastAsia="Times New Roman"/>
          <w:i/>
          <w:iCs/>
        </w:rPr>
        <w:t>votre</w:t>
      </w:r>
      <w:r w:rsidRPr="002B5C8E">
        <w:rPr>
          <w:rFonts w:eastAsia="Times New Roman"/>
        </w:rPr>
        <w:t xml:space="preserve">, </w:t>
      </w:r>
      <w:r w:rsidRPr="002B5C8E">
        <w:rPr>
          <w:rFonts w:eastAsia="Times New Roman"/>
          <w:i/>
          <w:iCs/>
        </w:rPr>
        <w:t>notre</w:t>
      </w:r>
      <w:r w:rsidRPr="002B5C8E">
        <w:rPr>
          <w:rFonts w:eastAsia="Times New Roman"/>
        </w:rPr>
        <w:t xml:space="preserve">, </w:t>
      </w:r>
      <w:r w:rsidRPr="002B5C8E">
        <w:rPr>
          <w:rFonts w:eastAsia="Times New Roman"/>
          <w:i/>
          <w:iCs/>
        </w:rPr>
        <w:t>mon</w:t>
      </w:r>
      <w:r w:rsidRPr="002B5C8E">
        <w:rPr>
          <w:rFonts w:eastAsia="Times New Roman"/>
        </w:rPr>
        <w:t xml:space="preserve"> et </w:t>
      </w:r>
      <w:r w:rsidRPr="002B5C8E">
        <w:rPr>
          <w:rFonts w:eastAsia="Times New Roman"/>
          <w:i/>
          <w:iCs/>
        </w:rPr>
        <w:t>leur</w:t>
      </w:r>
      <w:r w:rsidRPr="002B5C8E">
        <w:rPr>
          <w:rFonts w:eastAsia="Times New Roman"/>
        </w:rPr>
        <w:t xml:space="preserve"> Seigneur, cela met en exergue le caractère identitaire et conflictuel du langage coranique. Il est à noter que le mot arabe </w:t>
      </w:r>
      <w:r w:rsidRPr="002B5C8E">
        <w:rPr>
          <w:rFonts w:eastAsia="Times New Roman"/>
          <w:i/>
          <w:iCs/>
        </w:rPr>
        <w:t>rabb</w:t>
      </w:r>
      <w:r w:rsidRPr="002B5C8E">
        <w:rPr>
          <w:rFonts w:eastAsia="Times New Roman"/>
        </w:rPr>
        <w:t xml:space="preserve"> ne désigne pas le même concept religieux du mot français « seigneur ».</w:t>
      </w:r>
    </w:p>
    <w:p w14:paraId="0D213764" w14:textId="77777777" w:rsidR="00296288" w:rsidRPr="002B5C8E" w:rsidRDefault="00296288" w:rsidP="00296288">
      <w:pPr>
        <w:spacing w:line="360" w:lineRule="auto"/>
        <w:ind w:firstLine="708"/>
        <w:contextualSpacing/>
        <w:jc w:val="both"/>
        <w:rPr>
          <w:rFonts w:asciiTheme="majorBidi" w:eastAsia="Times New Roman" w:hAnsiTheme="majorBidi" w:cstheme="majorBidi"/>
          <w:lang w:bidi="ar-KW"/>
        </w:rPr>
      </w:pPr>
    </w:p>
    <w:p w14:paraId="4E569FB7" w14:textId="77777777" w:rsidR="00296288" w:rsidRPr="002B5C8E" w:rsidRDefault="00296288" w:rsidP="00296288">
      <w:pPr>
        <w:pStyle w:val="Commentaire"/>
        <w:spacing w:line="360" w:lineRule="auto"/>
        <w:contextualSpacing/>
        <w:jc w:val="both"/>
        <w:rPr>
          <w:rFonts w:asciiTheme="majorBidi" w:hAnsiTheme="majorBidi" w:cstheme="majorBidi"/>
        </w:rPr>
      </w:pPr>
      <w:r w:rsidRPr="002B5C8E">
        <w:rPr>
          <w:rFonts w:asciiTheme="majorBidi" w:hAnsiTheme="majorBidi" w:cstheme="majorBidi"/>
        </w:rPr>
        <w:tab/>
        <w:t xml:space="preserve">Mais la question qui peut se poser ici est la suivante : Qu’est-ce qui nous dit que le « seigneur » de la traduction française de la Bible a pour original hébreu un équivalent de l’arabe </w:t>
      </w:r>
      <w:r w:rsidRPr="002B5C8E">
        <w:rPr>
          <w:rFonts w:asciiTheme="majorBidi" w:hAnsiTheme="majorBidi" w:cstheme="majorBidi"/>
          <w:i/>
        </w:rPr>
        <w:t>rabb </w:t>
      </w:r>
      <w:r w:rsidRPr="002B5C8E">
        <w:rPr>
          <w:rFonts w:asciiTheme="majorBidi" w:hAnsiTheme="majorBidi" w:cstheme="majorBidi"/>
        </w:rPr>
        <w:t>?</w:t>
      </w:r>
    </w:p>
    <w:p w14:paraId="6C3A1CA4" w14:textId="77777777" w:rsidR="00296288" w:rsidRPr="002B5C8E" w:rsidRDefault="00296288" w:rsidP="00296288">
      <w:pPr>
        <w:spacing w:line="360" w:lineRule="auto"/>
        <w:ind w:firstLine="708"/>
        <w:contextualSpacing/>
        <w:jc w:val="both"/>
        <w:rPr>
          <w:rFonts w:asciiTheme="majorBidi" w:eastAsia="Times New Roman" w:hAnsiTheme="majorBidi" w:cstheme="majorBidi"/>
          <w:lang w:bidi="ar-KW"/>
        </w:rPr>
      </w:pPr>
      <w:r w:rsidRPr="002B5C8E">
        <w:rPr>
          <w:rFonts w:asciiTheme="majorBidi" w:hAnsiTheme="majorBidi" w:cstheme="majorBidi"/>
        </w:rPr>
        <w:t xml:space="preserve">En effet, dans </w:t>
      </w:r>
      <w:r w:rsidRPr="002B5C8E">
        <w:rPr>
          <w:rFonts w:asciiTheme="majorBidi" w:hAnsiTheme="majorBidi" w:cstheme="majorBidi"/>
          <w:i/>
          <w:iCs/>
        </w:rPr>
        <w:t>Quran Dictionary</w:t>
      </w:r>
      <w:r w:rsidRPr="002B5C8E">
        <w:rPr>
          <w:rFonts w:asciiTheme="majorBidi" w:hAnsiTheme="majorBidi" w:cstheme="majorBidi"/>
        </w:rPr>
        <w:t xml:space="preserve"> en ligne, le mot </w:t>
      </w:r>
      <w:r w:rsidRPr="002B5C8E">
        <w:rPr>
          <w:rFonts w:asciiTheme="majorBidi" w:hAnsiTheme="majorBidi" w:cstheme="majorBidi"/>
          <w:i/>
          <w:iCs/>
        </w:rPr>
        <w:t>rabb</w:t>
      </w:r>
      <w:r w:rsidRPr="002B5C8E">
        <w:rPr>
          <w:rFonts w:asciiTheme="majorBidi" w:hAnsiTheme="majorBidi" w:cstheme="majorBidi"/>
        </w:rPr>
        <w:t xml:space="preserve"> est traduit en anglais par « Lord ».</w:t>
      </w:r>
      <w:r w:rsidRPr="002B5C8E">
        <w:rPr>
          <w:rStyle w:val="Appelnotedebasdep"/>
        </w:rPr>
        <w:footnoteReference w:id="211"/>
      </w:r>
      <w:r w:rsidRPr="002B5C8E">
        <w:rPr>
          <w:rFonts w:asciiTheme="majorBidi" w:hAnsiTheme="majorBidi" w:cstheme="majorBidi"/>
        </w:rPr>
        <w:t xml:space="preserve"> En plus, dans le </w:t>
      </w:r>
      <w:r w:rsidRPr="002B5C8E">
        <w:rPr>
          <w:rFonts w:asciiTheme="majorBidi" w:hAnsiTheme="majorBidi" w:cstheme="majorBidi"/>
          <w:i/>
          <w:iCs/>
        </w:rPr>
        <w:t>Dictionary and Glossary of th Quran</w:t>
      </w:r>
      <w:r w:rsidRPr="002B5C8E">
        <w:rPr>
          <w:rFonts w:asciiTheme="majorBidi" w:hAnsiTheme="majorBidi" w:cstheme="majorBidi"/>
        </w:rPr>
        <w:t xml:space="preserve"> de John Penrice, </w:t>
      </w:r>
      <w:r w:rsidRPr="002B5C8E">
        <w:rPr>
          <w:rFonts w:asciiTheme="majorBidi" w:hAnsiTheme="majorBidi" w:cstheme="majorBidi"/>
          <w:i/>
          <w:iCs/>
        </w:rPr>
        <w:t>rabb</w:t>
      </w:r>
      <w:r w:rsidRPr="002B5C8E">
        <w:rPr>
          <w:rFonts w:asciiTheme="majorBidi" w:hAnsiTheme="majorBidi" w:cstheme="majorBidi"/>
        </w:rPr>
        <w:t xml:space="preserve"> est traduit aussi par « Lord ».</w:t>
      </w:r>
      <w:r w:rsidRPr="002B5C8E">
        <w:rPr>
          <w:rStyle w:val="Appelnotedebasdep"/>
        </w:rPr>
        <w:footnoteReference w:id="212"/>
      </w:r>
      <w:r w:rsidRPr="002B5C8E">
        <w:rPr>
          <w:rFonts w:asciiTheme="majorBidi" w:hAnsiTheme="majorBidi" w:cstheme="majorBidi"/>
        </w:rPr>
        <w:t xml:space="preserve"> D’ailleurs, la plupart des traducteurs du Coran (16 traducteurs [Savary, Kazimirski, Blachère, Ghédira, Hamidullah, Masson, Grosjean, Ben Mahmoud, Berque, Guessous, Complexe de Médine, Chiadmi, Aldeeb, Chebel, Hafiane et Abdelaziz] sur les 18 traducteurs de notre corpus) ont rendu le mot </w:t>
      </w:r>
      <w:r w:rsidRPr="002B5C8E">
        <w:rPr>
          <w:rFonts w:asciiTheme="majorBidi" w:hAnsiTheme="majorBidi" w:cstheme="majorBidi"/>
          <w:i/>
          <w:iCs/>
        </w:rPr>
        <w:t>rabb</w:t>
      </w:r>
      <w:r w:rsidRPr="002B5C8E">
        <w:rPr>
          <w:rFonts w:asciiTheme="majorBidi" w:hAnsiTheme="majorBidi" w:cstheme="majorBidi"/>
        </w:rPr>
        <w:t xml:space="preserve"> (v. XXII, 1) par « Seigneur ». Seuls Du Ryer et Chourqui ont donné une traduction différente : « Dieu » (Du Ryer) et « votre </w:t>
      </w:r>
      <w:r w:rsidRPr="002B5C8E">
        <w:rPr>
          <w:rFonts w:asciiTheme="majorBidi" w:hAnsiTheme="majorBidi" w:cstheme="majorBidi"/>
          <w:i/>
          <w:iCs/>
        </w:rPr>
        <w:t>Rabb</w:t>
      </w:r>
      <w:r w:rsidRPr="002B5C8E">
        <w:rPr>
          <w:rFonts w:asciiTheme="majorBidi" w:hAnsiTheme="majorBidi" w:cstheme="majorBidi"/>
        </w:rPr>
        <w:t> » (Chourqui). En fait, le mot arabe</w:t>
      </w:r>
      <w:r w:rsidRPr="002B5C8E">
        <w:rPr>
          <w:rFonts w:asciiTheme="majorBidi" w:hAnsiTheme="majorBidi" w:cstheme="majorBidi"/>
          <w:i/>
          <w:iCs/>
        </w:rPr>
        <w:t xml:space="preserve"> ar-rabb</w:t>
      </w:r>
      <w:r w:rsidRPr="002B5C8E">
        <w:rPr>
          <w:rFonts w:asciiTheme="majorBidi" w:hAnsiTheme="majorBidi" w:cstheme="majorBidi"/>
        </w:rPr>
        <w:t xml:space="preserve"> (de la racine </w:t>
      </w:r>
      <w:r w:rsidRPr="002B5C8E">
        <w:rPr>
          <w:rFonts w:asciiTheme="majorBidi" w:hAnsiTheme="majorBidi" w:cstheme="majorBidi"/>
          <w:i/>
          <w:iCs/>
        </w:rPr>
        <w:t>r.b.b</w:t>
      </w:r>
      <w:r w:rsidRPr="002B5C8E">
        <w:rPr>
          <w:rFonts w:asciiTheme="majorBidi" w:hAnsiTheme="majorBidi" w:cstheme="majorBidi"/>
        </w:rPr>
        <w:t xml:space="preserve">) désigne étymologiquement : 1) </w:t>
      </w:r>
      <w:r w:rsidRPr="002B5C8E">
        <w:rPr>
          <w:rFonts w:asciiTheme="majorBidi" w:hAnsiTheme="majorBidi" w:cstheme="majorBidi"/>
          <w:i/>
          <w:iCs/>
        </w:rPr>
        <w:t>al-mālik</w:t>
      </w:r>
      <w:r w:rsidRPr="002B5C8E">
        <w:rPr>
          <w:rFonts w:asciiTheme="majorBidi" w:hAnsiTheme="majorBidi" w:cstheme="majorBidi"/>
        </w:rPr>
        <w:t xml:space="preserve"> [le possesseur] ; 2) </w:t>
      </w:r>
      <w:r w:rsidRPr="002B5C8E">
        <w:rPr>
          <w:rFonts w:asciiTheme="majorBidi" w:hAnsiTheme="majorBidi" w:cstheme="majorBidi"/>
          <w:i/>
          <w:iCs/>
        </w:rPr>
        <w:t>as-sayyid</w:t>
      </w:r>
      <w:r w:rsidRPr="002B5C8E">
        <w:rPr>
          <w:rFonts w:asciiTheme="majorBidi" w:hAnsiTheme="majorBidi" w:cstheme="majorBidi"/>
        </w:rPr>
        <w:t xml:space="preserve"> [le maître/le seigneur] ; 3) </w:t>
      </w:r>
      <w:r w:rsidRPr="002B5C8E">
        <w:rPr>
          <w:rFonts w:asciiTheme="majorBidi" w:hAnsiTheme="majorBidi" w:cstheme="majorBidi"/>
          <w:i/>
          <w:iCs/>
        </w:rPr>
        <w:t xml:space="preserve">al-mudabbir </w:t>
      </w:r>
      <w:r w:rsidRPr="002B5C8E">
        <w:rPr>
          <w:rFonts w:asciiTheme="majorBidi" w:hAnsiTheme="majorBidi" w:cstheme="majorBidi"/>
        </w:rPr>
        <w:t xml:space="preserve">[l’organisateur/le </w:t>
      </w:r>
      <w:r w:rsidRPr="002B5C8E">
        <w:rPr>
          <w:rFonts w:asciiTheme="majorBidi" w:hAnsiTheme="majorBidi" w:cstheme="majorBidi"/>
        </w:rPr>
        <w:lastRenderedPageBreak/>
        <w:t xml:space="preserve">gérant] ; 4) </w:t>
      </w:r>
      <w:r w:rsidRPr="002B5C8E">
        <w:rPr>
          <w:rFonts w:asciiTheme="majorBidi" w:hAnsiTheme="majorBidi" w:cstheme="majorBidi"/>
          <w:i/>
          <w:iCs/>
        </w:rPr>
        <w:t>al-murabbī</w:t>
      </w:r>
      <w:r w:rsidRPr="002B5C8E">
        <w:rPr>
          <w:rFonts w:asciiTheme="majorBidi" w:hAnsiTheme="majorBidi" w:cstheme="majorBidi"/>
        </w:rPr>
        <w:t xml:space="preserve"> [l’éducateur] ; 5) et </w:t>
      </w:r>
      <w:r w:rsidRPr="002B5C8E">
        <w:rPr>
          <w:rFonts w:asciiTheme="majorBidi" w:hAnsiTheme="majorBidi" w:cstheme="majorBidi"/>
          <w:i/>
          <w:iCs/>
        </w:rPr>
        <w:t>al-mutammim</w:t>
      </w:r>
      <w:r w:rsidRPr="002B5C8E">
        <w:rPr>
          <w:rFonts w:asciiTheme="majorBidi" w:hAnsiTheme="majorBidi" w:cstheme="majorBidi"/>
        </w:rPr>
        <w:t xml:space="preserve"> [celui qui achève].</w:t>
      </w:r>
      <w:r w:rsidRPr="002B5C8E">
        <w:rPr>
          <w:rStyle w:val="Appelnotedebasdep"/>
        </w:rPr>
        <w:footnoteReference w:id="213"/>
      </w:r>
      <w:r w:rsidRPr="002B5C8E">
        <w:rPr>
          <w:rFonts w:asciiTheme="majorBidi" w:hAnsiTheme="majorBidi" w:cstheme="majorBidi"/>
        </w:rPr>
        <w:t xml:space="preserve"> Le terme </w:t>
      </w:r>
      <w:r w:rsidRPr="002B5C8E">
        <w:rPr>
          <w:rFonts w:asciiTheme="majorBidi" w:hAnsiTheme="majorBidi" w:cstheme="majorBidi"/>
          <w:i/>
          <w:iCs/>
        </w:rPr>
        <w:t>rabb</w:t>
      </w:r>
      <w:r w:rsidRPr="002B5C8E">
        <w:rPr>
          <w:rFonts w:asciiTheme="majorBidi" w:hAnsiTheme="majorBidi" w:cstheme="majorBidi"/>
        </w:rPr>
        <w:t xml:space="preserve"> contient trois concepts principaux : 1) </w:t>
      </w:r>
      <w:r w:rsidRPr="002B5C8E">
        <w:rPr>
          <w:rFonts w:asciiTheme="majorBidi" w:hAnsiTheme="majorBidi" w:cstheme="majorBidi"/>
          <w:i/>
          <w:iCs/>
        </w:rPr>
        <w:t>al-mālik</w:t>
      </w:r>
      <w:r w:rsidRPr="002B5C8E">
        <w:rPr>
          <w:rFonts w:asciiTheme="majorBidi" w:hAnsiTheme="majorBidi" w:cstheme="majorBidi"/>
        </w:rPr>
        <w:t xml:space="preserve"> [le possesseur] ; 2) </w:t>
      </w:r>
      <w:r w:rsidRPr="002B5C8E">
        <w:rPr>
          <w:rFonts w:asciiTheme="majorBidi" w:hAnsiTheme="majorBidi" w:cstheme="majorBidi"/>
          <w:i/>
          <w:iCs/>
        </w:rPr>
        <w:t>as-sayyid al-mu</w:t>
      </w:r>
      <w:r w:rsidRPr="002B5C8E">
        <w:rPr>
          <w:rFonts w:asciiTheme="majorBidi" w:eastAsia="Times New Roman" w:hAnsiTheme="majorBidi" w:cstheme="majorBidi"/>
          <w:i/>
          <w:iCs/>
        </w:rPr>
        <w:t>ṭāʿ</w:t>
      </w:r>
      <w:r w:rsidRPr="002B5C8E">
        <w:rPr>
          <w:rFonts w:asciiTheme="majorBidi" w:hAnsiTheme="majorBidi" w:cstheme="majorBidi"/>
        </w:rPr>
        <w:t xml:space="preserve"> [le maître auquel on obéit] ; 3) et </w:t>
      </w:r>
      <w:r w:rsidRPr="002B5C8E">
        <w:rPr>
          <w:rFonts w:asciiTheme="majorBidi" w:hAnsiTheme="majorBidi" w:cstheme="majorBidi"/>
          <w:i/>
          <w:iCs/>
        </w:rPr>
        <w:t>al-mu</w:t>
      </w:r>
      <w:r w:rsidRPr="002B5C8E">
        <w:rPr>
          <w:rFonts w:asciiTheme="majorBidi" w:eastAsia="Times New Roman" w:hAnsiTheme="majorBidi" w:cstheme="majorBidi"/>
          <w:i/>
          <w:iCs/>
        </w:rPr>
        <w:t xml:space="preserve">ṣliḥ </w:t>
      </w:r>
      <w:r w:rsidRPr="002B5C8E">
        <w:rPr>
          <w:rFonts w:asciiTheme="majorBidi" w:eastAsia="Times New Roman" w:hAnsiTheme="majorBidi" w:cstheme="majorBidi"/>
        </w:rPr>
        <w:t>[le réparateur/le réconciliateur].</w:t>
      </w:r>
      <w:r w:rsidRPr="002B5C8E">
        <w:rPr>
          <w:rStyle w:val="Appelnotedebasdep"/>
        </w:rPr>
        <w:footnoteReference w:id="214"/>
      </w:r>
      <w:r w:rsidRPr="002B5C8E">
        <w:rPr>
          <w:rFonts w:asciiTheme="majorBidi" w:eastAsia="Times New Roman" w:hAnsiTheme="majorBidi" w:cstheme="majorBidi"/>
        </w:rPr>
        <w:t xml:space="preserve"> Ce terme </w:t>
      </w:r>
      <w:r w:rsidRPr="002B5C8E">
        <w:rPr>
          <w:rFonts w:asciiTheme="majorBidi" w:eastAsia="Times New Roman" w:hAnsiTheme="majorBidi" w:cstheme="majorBidi"/>
          <w:i/>
          <w:iCs/>
        </w:rPr>
        <w:t>rabb</w:t>
      </w:r>
      <w:r w:rsidRPr="002B5C8E">
        <w:rPr>
          <w:rFonts w:asciiTheme="majorBidi" w:eastAsia="Times New Roman" w:hAnsiTheme="majorBidi" w:cstheme="majorBidi"/>
        </w:rPr>
        <w:t xml:space="preserve"> correspond donc en hébreu au mot </w:t>
      </w:r>
      <w:r w:rsidRPr="002B5C8E">
        <w:rPr>
          <w:rFonts w:asciiTheme="majorBidi" w:eastAsia="Times New Roman" w:hAnsiTheme="majorBidi" w:cstheme="majorBidi"/>
          <w:shd w:val="clear" w:color="auto" w:fill="FDFEFF"/>
          <w:rtl/>
          <w:lang w:bidi="he-IL"/>
        </w:rPr>
        <w:t>אָדוֹן</w:t>
      </w:r>
      <w:r w:rsidRPr="002B5C8E">
        <w:rPr>
          <w:rFonts w:asciiTheme="majorBidi" w:eastAsia="Times New Roman" w:hAnsiTheme="majorBidi" w:cstheme="majorBidi"/>
        </w:rPr>
        <w:t xml:space="preserve"> [adon ≈ maître/seigneur, </w:t>
      </w:r>
      <w:r w:rsidRPr="002B5C8E">
        <w:rPr>
          <w:rFonts w:asciiTheme="majorBidi" w:eastAsia="Times New Roman" w:hAnsiTheme="majorBidi" w:cstheme="majorBidi"/>
          <w:i/>
          <w:iCs/>
        </w:rPr>
        <w:t>sayyid</w:t>
      </w:r>
      <w:r w:rsidRPr="002B5C8E">
        <w:rPr>
          <w:rFonts w:asciiTheme="majorBidi" w:eastAsia="Times New Roman" w:hAnsiTheme="majorBidi" w:cstheme="majorBidi"/>
        </w:rPr>
        <w:t xml:space="preserve"> en arabe] qui est utilisé dans la Bible.</w:t>
      </w:r>
      <w:r w:rsidRPr="002B5C8E">
        <w:rPr>
          <w:rStyle w:val="Appelnotedebasdep"/>
        </w:rPr>
        <w:footnoteReference w:id="215"/>
      </w:r>
      <w:r w:rsidRPr="002B5C8E">
        <w:rPr>
          <w:rFonts w:asciiTheme="majorBidi" w:eastAsia="Times New Roman" w:hAnsiTheme="majorBidi" w:cstheme="majorBidi"/>
        </w:rPr>
        <w:t xml:space="preserve"> Il semble que le champ sémantique du mot arabe </w:t>
      </w:r>
      <w:r w:rsidRPr="002B5C8E">
        <w:rPr>
          <w:rFonts w:asciiTheme="majorBidi" w:eastAsia="Times New Roman" w:hAnsiTheme="majorBidi" w:cstheme="majorBidi"/>
          <w:i/>
          <w:iCs/>
        </w:rPr>
        <w:t>rabb</w:t>
      </w:r>
      <w:r w:rsidRPr="002B5C8E">
        <w:rPr>
          <w:rFonts w:asciiTheme="majorBidi" w:eastAsia="Times New Roman" w:hAnsiTheme="majorBidi" w:cstheme="majorBidi"/>
        </w:rPr>
        <w:t xml:space="preserve"> soit plus large que les champs sémantiques de ses équivalents hébreu [</w:t>
      </w:r>
      <w:r w:rsidRPr="002B5C8E">
        <w:rPr>
          <w:rFonts w:asciiTheme="majorBidi" w:eastAsia="Times New Roman" w:hAnsiTheme="majorBidi" w:cstheme="majorBidi"/>
          <w:rtl/>
          <w:lang w:bidi="he-IL"/>
        </w:rPr>
        <w:t>אָדוֹן</w:t>
      </w:r>
      <w:r w:rsidRPr="002B5C8E">
        <w:rPr>
          <w:rFonts w:asciiTheme="majorBidi" w:eastAsia="Times New Roman" w:hAnsiTheme="majorBidi" w:cstheme="majorBidi"/>
        </w:rPr>
        <w:t xml:space="preserve"> [adon]], anglais [lord] et français [seigneur]. C’est peut-être la raison pour laquelle Chouraqui a conservé le mot arabe</w:t>
      </w:r>
      <w:r w:rsidRPr="002B5C8E">
        <w:rPr>
          <w:rFonts w:asciiTheme="majorBidi" w:eastAsia="Times New Roman" w:hAnsiTheme="majorBidi" w:cstheme="majorBidi"/>
          <w:i/>
          <w:iCs/>
        </w:rPr>
        <w:t xml:space="preserve"> rabb </w:t>
      </w:r>
      <w:r w:rsidRPr="002B5C8E">
        <w:rPr>
          <w:rFonts w:asciiTheme="majorBidi" w:eastAsia="Times New Roman" w:hAnsiTheme="majorBidi" w:cstheme="majorBidi"/>
        </w:rPr>
        <w:t>dans sa traduction.</w:t>
      </w:r>
    </w:p>
    <w:p w14:paraId="0C69A316" w14:textId="77777777" w:rsidR="00296288" w:rsidRPr="002B5C8E" w:rsidRDefault="00296288" w:rsidP="00296288">
      <w:pPr>
        <w:spacing w:line="360" w:lineRule="auto"/>
        <w:contextualSpacing/>
        <w:jc w:val="both"/>
        <w:rPr>
          <w:rFonts w:asciiTheme="majorBidi" w:hAnsiTheme="majorBidi" w:cstheme="majorBidi"/>
        </w:rPr>
      </w:pPr>
    </w:p>
    <w:p w14:paraId="4BA23EDC" w14:textId="77777777" w:rsidR="00296288" w:rsidRPr="002B5C8E"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rPr>
      </w:pPr>
      <w:r w:rsidRPr="002B5C8E">
        <w:rPr>
          <w:rFonts w:ascii="Times New Roman" w:hAnsi="Times New Roman" w:cs="Times New Roman"/>
          <w:b/>
          <w:bCs/>
          <w:sz w:val="24"/>
          <w:szCs w:val="24"/>
        </w:rPr>
        <w:t xml:space="preserve">Le verbe </w:t>
      </w:r>
      <w:r w:rsidRPr="002B5C8E">
        <w:rPr>
          <w:rFonts w:ascii="Times New Roman" w:hAnsi="Times New Roman" w:cs="Times New Roman"/>
          <w:b/>
          <w:bCs/>
          <w:i/>
          <w:iCs/>
          <w:sz w:val="24"/>
          <w:szCs w:val="24"/>
          <w:lang w:eastAsia="fr-FR" w:bidi="ar-AE"/>
        </w:rPr>
        <w:t>kutiba</w:t>
      </w:r>
      <w:r w:rsidRPr="002B5C8E">
        <w:rPr>
          <w:rFonts w:ascii="Times New Roman" w:hAnsi="Times New Roman" w:cs="Times New Roman"/>
          <w:b/>
          <w:bCs/>
          <w:sz w:val="24"/>
          <w:szCs w:val="24"/>
          <w:lang w:eastAsia="fr-FR" w:bidi="ar-AE"/>
        </w:rPr>
        <w:t> :</w:t>
      </w:r>
    </w:p>
    <w:p w14:paraId="34BE3CD9" w14:textId="02BABFBA" w:rsidR="00296288" w:rsidRPr="00B867DF" w:rsidRDefault="00296288" w:rsidP="006C7199">
      <w:pPr>
        <w:spacing w:line="360" w:lineRule="auto"/>
        <w:ind w:firstLine="708"/>
        <w:jc w:val="both"/>
        <w:rPr>
          <w:rFonts w:eastAsia="Times New Roman"/>
          <w:lang w:bidi="ar-AE"/>
        </w:rPr>
      </w:pPr>
      <w:r w:rsidRPr="00EE1AC9">
        <w:rPr>
          <w:rFonts w:eastAsia="Times New Roman"/>
          <w:lang w:bidi="ar-AE"/>
        </w:rPr>
        <w:t>Concernant le</w:t>
      </w:r>
      <w:r w:rsidR="004E6C66">
        <w:rPr>
          <w:rFonts w:eastAsia="Times New Roman"/>
          <w:lang w:bidi="ar-AE"/>
        </w:rPr>
        <w:t xml:space="preserve"> verbe au passif à l’accompli </w:t>
      </w:r>
      <w:r w:rsidRPr="00EE1AC9">
        <w:rPr>
          <w:rFonts w:eastAsia="Times New Roman"/>
          <w:i/>
          <w:iCs/>
          <w:lang w:bidi="ar-AE"/>
        </w:rPr>
        <w:t>kutiba</w:t>
      </w:r>
      <w:r w:rsidR="004E6C66">
        <w:rPr>
          <w:rFonts w:eastAsia="Times New Roman"/>
          <w:lang w:bidi="ar-AE"/>
        </w:rPr>
        <w:t xml:space="preserve"> dans le segment </w:t>
      </w:r>
      <w:r w:rsidRPr="00EE1AC9">
        <w:rPr>
          <w:rFonts w:eastAsia="Times New Roman"/>
          <w:i/>
          <w:iCs/>
          <w:lang w:bidi="ar-AE"/>
        </w:rPr>
        <w:t>kutiba ʿalayhi</w:t>
      </w:r>
      <w:r w:rsidRPr="00EE1AC9">
        <w:rPr>
          <w:rFonts w:eastAsia="Times New Roman"/>
          <w:lang w:bidi="ar-AE"/>
        </w:rPr>
        <w:t xml:space="preserve"> [</w:t>
      </w:r>
      <w:r w:rsidRPr="00EE1AC9">
        <w:rPr>
          <w:rFonts w:eastAsia="Times New Roman"/>
          <w:i/>
          <w:iCs/>
          <w:lang w:bidi="ar-AE"/>
        </w:rPr>
        <w:t>litt. </w:t>
      </w:r>
      <w:r w:rsidRPr="00EE1AC9">
        <w:rPr>
          <w:rFonts w:eastAsia="Times New Roman"/>
          <w:lang w:bidi="ar-AE"/>
        </w:rPr>
        <w:t xml:space="preserve">: il a été écrit sur </w:t>
      </w:r>
      <w:r w:rsidRPr="00EE1AC9">
        <w:rPr>
          <w:rFonts w:eastAsia="Times New Roman"/>
          <w:i/>
          <w:iCs/>
          <w:lang w:bidi="ar-AE"/>
        </w:rPr>
        <w:t>lui</w:t>
      </w:r>
      <w:r w:rsidRPr="00EE1AC9">
        <w:rPr>
          <w:rFonts w:eastAsia="Times New Roman"/>
          <w:lang w:bidi="ar-AE"/>
        </w:rPr>
        <w:t>] (verset 4), s’agit-il d’une loi divine (</w:t>
      </w:r>
      <w:r w:rsidRPr="00EE1AC9">
        <w:rPr>
          <w:rFonts w:eastAsia="Times New Roman"/>
          <w:i/>
          <w:iCs/>
        </w:rPr>
        <w:t>qānūn</w:t>
      </w:r>
      <w:r w:rsidRPr="00EE1AC9">
        <w:rPr>
          <w:rFonts w:eastAsia="Times New Roman"/>
          <w:lang w:bidi="ar-AE"/>
        </w:rPr>
        <w:t>), d’une prédétermination (</w:t>
      </w:r>
      <w:r w:rsidRPr="00EE1AC9">
        <w:rPr>
          <w:rFonts w:eastAsia="Times New Roman"/>
          <w:i/>
          <w:iCs/>
          <w:lang w:bidi="ar-AE"/>
        </w:rPr>
        <w:t>qa</w:t>
      </w:r>
      <w:r w:rsidRPr="00EE1AC9">
        <w:rPr>
          <w:rFonts w:asciiTheme="majorBidi" w:hAnsiTheme="majorBidi" w:cstheme="majorBidi"/>
          <w:i/>
          <w:iCs/>
        </w:rPr>
        <w:t>ḍāʾ wa-qadar</w:t>
      </w:r>
      <w:r w:rsidRPr="00EE1AC9">
        <w:rPr>
          <w:rFonts w:asciiTheme="majorBidi" w:hAnsiTheme="majorBidi" w:cstheme="majorBidi"/>
        </w:rPr>
        <w:t>)</w:t>
      </w:r>
      <w:r w:rsidRPr="00EE1AC9">
        <w:rPr>
          <w:rFonts w:eastAsia="Times New Roman"/>
          <w:lang w:bidi="ar-AE"/>
        </w:rPr>
        <w:t xml:space="preserve"> ou d’un rapport de cause à effet tout simplement ? </w:t>
      </w:r>
      <w:r w:rsidRPr="00EE1AC9">
        <w:rPr>
          <w:rFonts w:eastAsia="Times New Roman"/>
        </w:rPr>
        <w:t xml:space="preserve">Ṭabarī et Baghawī (anciens) explique le verbe </w:t>
      </w:r>
      <w:r w:rsidRPr="00EE1AC9">
        <w:rPr>
          <w:rFonts w:eastAsia="Times New Roman"/>
          <w:i/>
          <w:iCs/>
          <w:lang w:bidi="ar-AE"/>
        </w:rPr>
        <w:t>kutiba</w:t>
      </w:r>
      <w:r w:rsidRPr="00EE1AC9">
        <w:rPr>
          <w:rFonts w:eastAsia="Times New Roman"/>
          <w:lang w:bidi="ar-AE"/>
        </w:rPr>
        <w:t xml:space="preserve"> par</w:t>
      </w:r>
      <w:r w:rsidRPr="00EE1AC9">
        <w:rPr>
          <w:rFonts w:eastAsia="Times New Roman"/>
        </w:rPr>
        <w:t xml:space="preserve"> </w:t>
      </w:r>
      <w:r w:rsidRPr="00EE1AC9">
        <w:rPr>
          <w:rFonts w:eastAsia="Times New Roman"/>
          <w:i/>
          <w:iCs/>
        </w:rPr>
        <w:t>qu</w:t>
      </w:r>
      <w:r w:rsidRPr="00EE1AC9">
        <w:rPr>
          <w:rFonts w:asciiTheme="majorBidi" w:hAnsiTheme="majorBidi" w:cstheme="majorBidi"/>
          <w:i/>
          <w:iCs/>
        </w:rPr>
        <w:t>ḍ</w:t>
      </w:r>
      <w:r w:rsidRPr="00EE1AC9">
        <w:rPr>
          <w:rFonts w:eastAsia="Times New Roman"/>
          <w:i/>
          <w:iCs/>
        </w:rPr>
        <w:t>ya</w:t>
      </w:r>
      <w:r w:rsidRPr="00EE1AC9">
        <w:rPr>
          <w:rFonts w:eastAsia="Times New Roman"/>
        </w:rPr>
        <w:t xml:space="preserve"> </w:t>
      </w:r>
      <w:r w:rsidRPr="00EE1AC9">
        <w:rPr>
          <w:rFonts w:asciiTheme="majorBidi" w:hAnsiTheme="majorBidi" w:cstheme="majorBidi"/>
        </w:rPr>
        <w:t xml:space="preserve">[il a été prédestiné]. </w:t>
      </w:r>
      <w:r w:rsidRPr="00EE1AC9">
        <w:rPr>
          <w:rFonts w:eastAsia="Times New Roman"/>
        </w:rPr>
        <w:t>Amīn Shaykhū (moderne) précise qu’il s’agit d’une loi écrite (</w:t>
      </w:r>
      <w:r w:rsidRPr="00EE1AC9">
        <w:rPr>
          <w:rFonts w:eastAsia="Times New Roman"/>
          <w:i/>
          <w:iCs/>
        </w:rPr>
        <w:t>qānūn musa</w:t>
      </w:r>
      <w:r w:rsidRPr="00EE1AC9">
        <w:rPr>
          <w:rFonts w:asciiTheme="majorBidi" w:hAnsiTheme="majorBidi" w:cstheme="majorBidi"/>
          <w:i/>
          <w:iCs/>
        </w:rPr>
        <w:t>ṭṭ</w:t>
      </w:r>
      <w:r w:rsidRPr="00EE1AC9">
        <w:rPr>
          <w:rFonts w:eastAsia="Times New Roman"/>
          <w:i/>
          <w:iCs/>
        </w:rPr>
        <w:t>ar</w:t>
      </w:r>
      <w:r w:rsidRPr="00EE1AC9">
        <w:rPr>
          <w:rFonts w:eastAsia="Times New Roman"/>
        </w:rPr>
        <w:t>) et que c’est Satan qui l’a écrit dans son esprit (l’esprit de Satan). Les autres exégètes n’ont pas expliqué ce verbe comme si sa signification était évidente.</w:t>
      </w:r>
    </w:p>
    <w:p w14:paraId="013122A8"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Ce Satan, une fois suivi, guide l’être humain au tourment de </w:t>
      </w:r>
      <w:r w:rsidRPr="00B867DF">
        <w:rPr>
          <w:rFonts w:eastAsia="Times New Roman"/>
          <w:i/>
          <w:iCs/>
          <w:lang w:bidi="ar-AE"/>
        </w:rPr>
        <w:t>saʿīr</w:t>
      </w:r>
      <w:r w:rsidRPr="00B867DF">
        <w:rPr>
          <w:rFonts w:eastAsia="Times New Roman"/>
          <w:lang w:bidi="ar-AE"/>
        </w:rPr>
        <w:t xml:space="preserve"> [feu]. Ce dernier adjectif (</w:t>
      </w:r>
      <w:r w:rsidRPr="00B867DF">
        <w:rPr>
          <w:rFonts w:eastAsia="Times New Roman"/>
          <w:i/>
          <w:iCs/>
          <w:lang w:bidi="ar-AE"/>
        </w:rPr>
        <w:t>saʿīr</w:t>
      </w:r>
      <w:r w:rsidRPr="00B867DF">
        <w:rPr>
          <w:rFonts w:eastAsia="Times New Roman"/>
          <w:lang w:bidi="ar-AE"/>
        </w:rPr>
        <w:t>) a plusieurs significations : chaud, gênant, douloureux, inquiétant, les flammes, un degré de tourment selon les actes de la personne, une strate ou un degré de l’Enfer.</w:t>
      </w:r>
    </w:p>
    <w:p w14:paraId="550B47FE" w14:textId="77777777" w:rsidR="00296288" w:rsidRPr="00B867DF" w:rsidRDefault="00296288" w:rsidP="00296288">
      <w:pPr>
        <w:spacing w:line="360" w:lineRule="auto"/>
        <w:jc w:val="both"/>
        <w:rPr>
          <w:rFonts w:eastAsia="Calibri"/>
          <w:lang w:bidi="ar-AE"/>
        </w:rPr>
      </w:pPr>
    </w:p>
    <w:p w14:paraId="2CD5C79F" w14:textId="77777777" w:rsidR="00296288" w:rsidRPr="0058121D" w:rsidRDefault="00296288" w:rsidP="007640DC">
      <w:pPr>
        <w:pStyle w:val="Paragraphedeliste"/>
        <w:numPr>
          <w:ilvl w:val="0"/>
          <w:numId w:val="62"/>
        </w:numPr>
        <w:bidi w:val="0"/>
        <w:spacing w:after="0" w:line="360" w:lineRule="auto"/>
        <w:contextualSpacing/>
        <w:jc w:val="both"/>
        <w:rPr>
          <w:rFonts w:ascii="Times New Roman" w:eastAsia="Calibri" w:hAnsi="Times New Roman" w:cs="Times New Roman"/>
          <w:b/>
          <w:bCs/>
          <w:sz w:val="24"/>
          <w:szCs w:val="24"/>
          <w:lang w:bidi="ar-AE"/>
        </w:rPr>
      </w:pPr>
      <w:r w:rsidRPr="0058121D">
        <w:rPr>
          <w:rFonts w:ascii="Times New Roman" w:eastAsia="Calibri" w:hAnsi="Times New Roman" w:cs="Times New Roman"/>
          <w:b/>
          <w:bCs/>
          <w:i/>
          <w:iCs/>
          <w:sz w:val="24"/>
          <w:szCs w:val="24"/>
          <w:lang w:bidi="ar-AE"/>
        </w:rPr>
        <w:t>Zalzalat as-sāʿa</w:t>
      </w:r>
      <w:r w:rsidRPr="0058121D">
        <w:rPr>
          <w:rFonts w:ascii="Times New Roman" w:eastAsia="Calibri" w:hAnsi="Times New Roman" w:cs="Times New Roman"/>
          <w:b/>
          <w:bCs/>
          <w:sz w:val="24"/>
          <w:szCs w:val="24"/>
          <w:lang w:bidi="ar-AE"/>
        </w:rPr>
        <w:t> :</w:t>
      </w:r>
    </w:p>
    <w:p w14:paraId="2057F6BB" w14:textId="136B2C7C" w:rsidR="00296288" w:rsidRPr="00B867DF" w:rsidRDefault="00296288" w:rsidP="00296288">
      <w:pPr>
        <w:spacing w:line="360" w:lineRule="auto"/>
        <w:ind w:firstLine="708"/>
        <w:jc w:val="both"/>
        <w:rPr>
          <w:rFonts w:eastAsia="Times New Roman"/>
          <w:lang w:bidi="ar-EG"/>
        </w:rPr>
      </w:pPr>
      <w:r w:rsidRPr="00B867DF">
        <w:rPr>
          <w:rFonts w:eastAsia="Calibri"/>
          <w:lang w:bidi="ar-AE"/>
        </w:rPr>
        <w:t>L’incipit de la sourate Al-</w:t>
      </w:r>
      <w:r w:rsidRPr="00B867DF">
        <w:rPr>
          <w:rFonts w:eastAsia="Calibri"/>
        </w:rPr>
        <w:t>Ḥajj</w:t>
      </w:r>
      <w:r w:rsidR="00437FE0">
        <w:rPr>
          <w:rFonts w:eastAsia="Calibri"/>
          <w:lang w:bidi="ar-AE"/>
        </w:rPr>
        <w:t xml:space="preserve"> évoque la </w:t>
      </w:r>
      <w:r w:rsidRPr="00B867DF">
        <w:rPr>
          <w:rFonts w:eastAsia="Calibri"/>
          <w:i/>
          <w:iCs/>
          <w:lang w:bidi="ar-AE"/>
        </w:rPr>
        <w:t>zalzalat as-sāʿa</w:t>
      </w:r>
      <w:r w:rsidRPr="00B867DF">
        <w:rPr>
          <w:rFonts w:eastAsia="Calibri"/>
          <w:lang w:bidi="ar-AE"/>
        </w:rPr>
        <w:t xml:space="preserve"> (</w:t>
      </w:r>
      <w:r w:rsidRPr="00B867DF">
        <w:rPr>
          <w:rFonts w:eastAsia="Calibri"/>
          <w:i/>
          <w:iCs/>
          <w:lang w:bidi="ar-AE"/>
        </w:rPr>
        <w:t>litt.</w:t>
      </w:r>
      <w:r w:rsidRPr="00B867DF">
        <w:rPr>
          <w:rFonts w:eastAsia="Calibri"/>
          <w:lang w:bidi="ar-AE"/>
        </w:rPr>
        <w:t xml:space="preserve"> la secousse de l’heure) sans donner des détails sur le temps, le lieu et la nature même de cet événement grave. Aussi les exégètes orthodoxes sont-ils divisés</w:t>
      </w:r>
      <w:r w:rsidRPr="00B867DF">
        <w:rPr>
          <w:rFonts w:eastAsia="Calibri"/>
          <w:vertAlign w:val="superscript"/>
          <w:lang w:bidi="ar-AE"/>
        </w:rPr>
        <w:footnoteReference w:id="216"/>
      </w:r>
      <w:r w:rsidRPr="00B867DF">
        <w:rPr>
          <w:rFonts w:eastAsia="Calibri"/>
          <w:lang w:bidi="ar-AE"/>
        </w:rPr>
        <w:t xml:space="preserve"> en deux parties. </w:t>
      </w:r>
      <w:r w:rsidRPr="00B867DF">
        <w:rPr>
          <w:rFonts w:eastAsia="Times New Roman"/>
          <w:lang w:bidi="ar-EG"/>
        </w:rPr>
        <w:t xml:space="preserve">La première soutient l’idée qu’il s’agit d’un prologue qui présente les préliminaires du Jour dernier et que cette secousse arrivera </w:t>
      </w:r>
      <w:r w:rsidRPr="00B867DF">
        <w:rPr>
          <w:rFonts w:eastAsia="Times New Roman"/>
          <w:i/>
          <w:iCs/>
          <w:lang w:bidi="ar-EG"/>
        </w:rPr>
        <w:t>dans le monde d’ici-bas</w:t>
      </w:r>
      <w:r w:rsidRPr="00B867DF">
        <w:rPr>
          <w:rFonts w:eastAsia="Times New Roman"/>
          <w:lang w:bidi="ar-EG"/>
        </w:rPr>
        <w:t xml:space="preserve">. La seconde partie défend l’idée qu’il s’agit d’un événement qui se déroulera pendant le Jugement dernier </w:t>
      </w:r>
      <w:r w:rsidRPr="00B867DF">
        <w:rPr>
          <w:rFonts w:eastAsia="Times New Roman"/>
          <w:i/>
          <w:iCs/>
          <w:lang w:bidi="ar-EG"/>
        </w:rPr>
        <w:t>dans l’autre monde</w:t>
      </w:r>
      <w:r w:rsidRPr="00B867DF">
        <w:rPr>
          <w:rFonts w:eastAsia="Times New Roman"/>
          <w:lang w:bidi="ar-EG"/>
        </w:rPr>
        <w:t>. D’autres théologiens hétérodoxes</w:t>
      </w:r>
      <w:r w:rsidRPr="00B867DF">
        <w:rPr>
          <w:rFonts w:eastAsia="Times New Roman"/>
          <w:color w:val="FF0000"/>
          <w:lang w:bidi="ar-EG"/>
        </w:rPr>
        <w:t xml:space="preserve"> </w:t>
      </w:r>
      <w:r w:rsidRPr="00B867DF">
        <w:rPr>
          <w:rFonts w:eastAsia="Times New Roman"/>
          <w:lang w:bidi="ar-EG"/>
        </w:rPr>
        <w:t xml:space="preserve">ou mystiques </w:t>
      </w:r>
      <w:r w:rsidRPr="00B867DF">
        <w:rPr>
          <w:rFonts w:eastAsia="Times New Roman"/>
          <w:lang w:bidi="ar-EG"/>
        </w:rPr>
        <w:lastRenderedPageBreak/>
        <w:t xml:space="preserve">comme Ibn ʿArabī </w:t>
      </w:r>
      <w:r w:rsidRPr="00B867DF">
        <w:t>(m. 1240)</w:t>
      </w:r>
      <w:r w:rsidRPr="00B867DF">
        <w:rPr>
          <w:rFonts w:eastAsia="Times New Roman"/>
          <w:lang w:bidi="ar-EG"/>
        </w:rPr>
        <w:t xml:space="preserve"> et </w:t>
      </w:r>
      <w:r w:rsidRPr="00B867DF">
        <w:rPr>
          <w:rFonts w:eastAsia="Calibri"/>
          <w:lang w:bidi="ar-AE"/>
        </w:rPr>
        <w:t xml:space="preserve">Amīn Shaykhū </w:t>
      </w:r>
      <w:r w:rsidRPr="00B867DF">
        <w:rPr>
          <w:rFonts w:eastAsia="Calibri"/>
        </w:rPr>
        <w:t>(m. 1964)</w:t>
      </w:r>
      <w:r w:rsidRPr="00B867DF">
        <w:rPr>
          <w:rFonts w:eastAsia="Times New Roman"/>
          <w:lang w:bidi="ar-EG"/>
        </w:rPr>
        <w:t xml:space="preserve"> disent que la secousse de l’heure n’est qu’une allusion à la mort individuelle et à l’agonie et n’a rien à voir avec l’apocalypse universelle</w:t>
      </w:r>
      <w:r w:rsidRPr="00B867DF">
        <w:rPr>
          <w:rFonts w:eastAsia="Calibri"/>
          <w:vertAlign w:val="superscript"/>
          <w:lang w:bidi="ar-AE"/>
        </w:rPr>
        <w:footnoteReference w:id="217"/>
      </w:r>
      <w:r w:rsidRPr="00B867DF">
        <w:rPr>
          <w:rFonts w:eastAsia="Times New Roman"/>
          <w:lang w:bidi="ar-EG"/>
        </w:rPr>
        <w:t xml:space="preserve">. Selon les druzes, il s’agit du mouvement cosmique qui mettra fin au Jour Cosmique (Cycle, Temps, Âge ou Période </w:t>
      </w:r>
      <w:r w:rsidRPr="009E17CF">
        <w:rPr>
          <w:rFonts w:eastAsia="Times New Roman"/>
          <w:lang w:bidi="ar-EG"/>
        </w:rPr>
        <w:t>Cosmique)</w:t>
      </w:r>
      <w:r w:rsidRPr="009E17CF">
        <w:rPr>
          <w:rFonts w:eastAsia="Calibri"/>
          <w:vertAlign w:val="superscript"/>
          <w:lang w:bidi="ar-AE"/>
        </w:rPr>
        <w:footnoteReference w:id="218"/>
      </w:r>
      <w:r w:rsidRPr="009E17CF">
        <w:rPr>
          <w:rFonts w:eastAsia="Times New Roman"/>
          <w:lang w:bidi="ar-EG"/>
        </w:rPr>
        <w:t>. Cependant, selon les ésotéristes, cette même expression signifie : l’étape où l’âme atteindra sa perfection</w:t>
      </w:r>
      <w:r w:rsidRPr="00B867DF">
        <w:rPr>
          <w:rFonts w:eastAsia="Times New Roman"/>
          <w:lang w:bidi="ar-EG"/>
        </w:rPr>
        <w:t xml:space="preserve"> [son épanouissement], c’est-à-dire l’étape de la Raison et de la Sagesse, alors que les structures de l’Univers, des éléments et des composants dégénèrent et se décomposent</w:t>
      </w:r>
      <w:r w:rsidRPr="00B867DF">
        <w:rPr>
          <w:rFonts w:eastAsia="Calibri"/>
          <w:vertAlign w:val="superscript"/>
          <w:lang w:bidi="ar-AE"/>
        </w:rPr>
        <w:footnoteReference w:id="219"/>
      </w:r>
      <w:r w:rsidRPr="00B867DF">
        <w:rPr>
          <w:rFonts w:eastAsia="Times New Roman"/>
          <w:lang w:bidi="ar-EG"/>
        </w:rPr>
        <w:t xml:space="preserve">. Mais pour les alaouites, le Jour dernier, c’est </w:t>
      </w:r>
      <w:r w:rsidRPr="00884B03">
        <w:rPr>
          <w:rFonts w:eastAsia="Times New Roman"/>
          <w:lang w:bidi="ar-EG"/>
        </w:rPr>
        <w:t>lorsqu’apparaîtra ʿAlī en tant que Seigneur et Maître des mondes pour libérer les âmes des croyants de leurs chemises de chair et d’os</w:t>
      </w:r>
      <w:r w:rsidRPr="00884B03">
        <w:rPr>
          <w:rFonts w:eastAsia="Calibri"/>
          <w:vertAlign w:val="superscript"/>
          <w:lang w:bidi="ar-AE"/>
        </w:rPr>
        <w:footnoteReference w:id="220"/>
      </w:r>
      <w:r w:rsidRPr="00884B03">
        <w:rPr>
          <w:rFonts w:eastAsia="Times New Roman"/>
          <w:lang w:bidi="ar-EG"/>
        </w:rPr>
        <w:t>. On remarque que cette locution (</w:t>
      </w:r>
      <w:r w:rsidRPr="00884B03">
        <w:rPr>
          <w:rFonts w:eastAsia="Calibri"/>
          <w:i/>
          <w:iCs/>
          <w:lang w:bidi="ar-AE"/>
        </w:rPr>
        <w:t>zalzalat as-sāʿa</w:t>
      </w:r>
      <w:r w:rsidRPr="00884B03">
        <w:rPr>
          <w:rFonts w:eastAsia="Times New Roman"/>
          <w:lang w:bidi="ar-EG"/>
        </w:rPr>
        <w:t xml:space="preserve">) est si large qu’elle accepte des significations différentes, voire contradictoires : la fin du monde, des événements terribles avant </w:t>
      </w:r>
      <w:r w:rsidRPr="00884B03">
        <w:rPr>
          <w:rFonts w:eastAsia="Times New Roman"/>
          <w:i/>
          <w:iCs/>
          <w:lang w:bidi="ar-EG"/>
        </w:rPr>
        <w:t>ou</w:t>
      </w:r>
      <w:r w:rsidRPr="00884B03">
        <w:rPr>
          <w:rFonts w:eastAsia="Times New Roman"/>
          <w:lang w:bidi="ar-EG"/>
        </w:rPr>
        <w:t xml:space="preserve"> après la Résurrection, la mort individuelle, la Perfection de </w:t>
      </w:r>
      <w:r w:rsidRPr="00884B03">
        <w:rPr>
          <w:rFonts w:eastAsia="Times New Roman"/>
          <w:lang w:bidi="ar-EG"/>
        </w:rPr>
        <w:lastRenderedPageBreak/>
        <w:t>l’âme, l’apparition de ʿAlī. Mais Fakhr Ad-Dīn Ar-Rāzī</w:t>
      </w:r>
      <w:r w:rsidRPr="00884B03">
        <w:rPr>
          <w:rFonts w:eastAsia="Calibri"/>
          <w:vertAlign w:val="superscript"/>
          <w:lang w:bidi="ar-AE"/>
        </w:rPr>
        <w:footnoteReference w:id="221"/>
      </w:r>
      <w:r w:rsidRPr="00884B03">
        <w:rPr>
          <w:rFonts w:eastAsia="Times New Roman"/>
          <w:lang w:bidi="ar-EG"/>
        </w:rPr>
        <w:t xml:space="preserve"> souligne également que l’objectif de l’évocation de cette locution est de dire qu’il faut </w:t>
      </w:r>
      <w:r w:rsidRPr="00884B03">
        <w:rPr>
          <w:rFonts w:eastAsia="Times New Roman"/>
          <w:i/>
          <w:iCs/>
          <w:lang w:bidi="ar-EG"/>
        </w:rPr>
        <w:t xml:space="preserve">obligatoirement </w:t>
      </w:r>
      <w:r w:rsidRPr="00884B03">
        <w:rPr>
          <w:rFonts w:eastAsia="Times New Roman"/>
          <w:lang w:bidi="ar-EG"/>
        </w:rPr>
        <w:t>se prémunir envers le Seigneur et craindre Dieu. Il ajoute que ces deux premiers versets ont été révélés pendant un voyage nocturne et qu’une fois Muḥammad les a récités, tout l’auditoire a pleuré. À ce moment, le Prophète a saisi l’occasion pour inviter les gens à sa nouvelle religion et consolider la foi des nouveaux convertis en utilisant comme appât les mots suivants : « Soixante-dix mille membres de ma communauté entreront au Paradis sans jugement [sans aucun compte à rendre] ». « [Seulement] soixante-dix mille ? », s’exclame alors ʿUmar ibn al-Khaṭṭāb. Et Muḥammad de répondre : « Oui ! Et avec chacun soixante-dix mille ».</w:t>
      </w:r>
      <w:r w:rsidRPr="00884B03">
        <w:rPr>
          <w:rFonts w:eastAsia="Calibri"/>
          <w:vertAlign w:val="superscript"/>
          <w:lang w:bidi="ar-AE"/>
        </w:rPr>
        <w:footnoteReference w:id="222"/>
      </w:r>
      <w:r w:rsidRPr="00884B03">
        <w:rPr>
          <w:rFonts w:eastAsia="Times New Roman"/>
          <w:lang w:bidi="ar-EG"/>
        </w:rPr>
        <w:t xml:space="preserve"> En d’autres termes, le sens de cette locution n’est pas litté</w:t>
      </w:r>
      <w:r w:rsidR="00437FE0">
        <w:rPr>
          <w:rFonts w:eastAsia="Times New Roman"/>
          <w:lang w:bidi="ar-EG"/>
        </w:rPr>
        <w:t xml:space="preserve">ral mais indiciel (le sens de </w:t>
      </w:r>
      <w:r w:rsidRPr="00884B03">
        <w:rPr>
          <w:rFonts w:eastAsia="Times New Roman"/>
          <w:i/>
          <w:iCs/>
          <w:lang w:bidi="ar-EG"/>
        </w:rPr>
        <w:t>tarhīb</w:t>
      </w:r>
      <w:r w:rsidRPr="00884B03">
        <w:rPr>
          <w:rFonts w:eastAsia="Times New Roman"/>
          <w:lang w:bidi="ar-EG"/>
        </w:rPr>
        <w:t xml:space="preserve"> [intimidation]) et vise à introduire dans l’esprit des croyants la peur et l’idée que s’ils n’obéissent pas, le châtiment sera</w:t>
      </w:r>
      <w:r w:rsidRPr="00B867DF">
        <w:rPr>
          <w:rFonts w:eastAsia="Times New Roman"/>
          <w:lang w:bidi="ar-EG"/>
        </w:rPr>
        <w:t xml:space="preserve"> terrible.</w:t>
      </w:r>
    </w:p>
    <w:p w14:paraId="69A120D9" w14:textId="77777777" w:rsidR="00296288" w:rsidRDefault="00296288" w:rsidP="00296288">
      <w:pPr>
        <w:spacing w:line="360" w:lineRule="auto"/>
        <w:jc w:val="both"/>
        <w:rPr>
          <w:rFonts w:eastAsia="Times New Roman"/>
          <w:lang w:bidi="ar-EG"/>
        </w:rPr>
      </w:pPr>
    </w:p>
    <w:p w14:paraId="260BF8FA" w14:textId="77777777" w:rsidR="00EE1AC9" w:rsidRPr="00B867DF" w:rsidRDefault="00EE1AC9" w:rsidP="00296288">
      <w:pPr>
        <w:spacing w:line="360" w:lineRule="auto"/>
        <w:jc w:val="both"/>
        <w:rPr>
          <w:rFonts w:eastAsia="Times New Roman"/>
          <w:lang w:bidi="ar-EG"/>
        </w:rPr>
      </w:pPr>
    </w:p>
    <w:p w14:paraId="65761885" w14:textId="77777777" w:rsidR="00296288" w:rsidRPr="0072451F"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EG"/>
        </w:rPr>
      </w:pPr>
      <w:r w:rsidRPr="0072451F">
        <w:rPr>
          <w:rFonts w:ascii="Times New Roman" w:hAnsi="Times New Roman" w:cs="Times New Roman"/>
          <w:b/>
          <w:bCs/>
          <w:sz w:val="24"/>
          <w:szCs w:val="24"/>
          <w:lang w:eastAsia="fr-FR" w:bidi="ar-EG"/>
        </w:rPr>
        <w:t xml:space="preserve">Le verbe </w:t>
      </w:r>
      <w:r w:rsidRPr="0072451F">
        <w:rPr>
          <w:rFonts w:ascii="Times New Roman" w:hAnsi="Times New Roman" w:cs="Times New Roman"/>
          <w:b/>
          <w:bCs/>
          <w:i/>
          <w:iCs/>
          <w:sz w:val="24"/>
          <w:szCs w:val="24"/>
          <w:lang w:eastAsia="fr-FR" w:bidi="ar-EG"/>
        </w:rPr>
        <w:t>tarawna-hā</w:t>
      </w:r>
      <w:r w:rsidRPr="0072451F">
        <w:rPr>
          <w:rFonts w:ascii="Times New Roman" w:hAnsi="Times New Roman" w:cs="Times New Roman"/>
          <w:b/>
          <w:bCs/>
          <w:sz w:val="24"/>
          <w:szCs w:val="24"/>
          <w:lang w:eastAsia="fr-FR" w:bidi="ar-EG"/>
        </w:rPr>
        <w:t> :</w:t>
      </w:r>
    </w:p>
    <w:p w14:paraId="7E979189" w14:textId="77777777" w:rsidR="00296288" w:rsidRPr="00B867DF" w:rsidRDefault="00296288" w:rsidP="00296288">
      <w:pPr>
        <w:spacing w:line="360" w:lineRule="auto"/>
        <w:ind w:firstLine="708"/>
        <w:jc w:val="both"/>
        <w:rPr>
          <w:rFonts w:eastAsia="Times New Roman"/>
          <w:lang w:bidi="ar-EG"/>
        </w:rPr>
      </w:pPr>
      <w:r w:rsidRPr="00884B03">
        <w:rPr>
          <w:rFonts w:eastAsia="Times New Roman"/>
          <w:lang w:bidi="ar-EG"/>
        </w:rPr>
        <w:t xml:space="preserve">La plupart des exégètes ne donnent pas le sens du verbe </w:t>
      </w:r>
      <w:r w:rsidRPr="00884B03">
        <w:rPr>
          <w:rFonts w:eastAsia="Times New Roman"/>
          <w:i/>
          <w:iCs/>
          <w:lang w:bidi="ar-EG"/>
        </w:rPr>
        <w:t>tarawnahā</w:t>
      </w:r>
      <w:r w:rsidRPr="00884B03">
        <w:rPr>
          <w:rFonts w:eastAsia="Times New Roman"/>
          <w:lang w:bidi="ar-EG"/>
        </w:rPr>
        <w:t xml:space="preserve"> [vous </w:t>
      </w:r>
      <w:r w:rsidRPr="00884B03">
        <w:rPr>
          <w:rFonts w:eastAsia="Times New Roman"/>
          <w:i/>
          <w:iCs/>
          <w:lang w:bidi="ar-EG"/>
        </w:rPr>
        <w:t>la</w:t>
      </w:r>
      <w:r w:rsidRPr="00884B03">
        <w:rPr>
          <w:rFonts w:eastAsia="Times New Roman"/>
          <w:lang w:bidi="ar-EG"/>
        </w:rPr>
        <w:t xml:space="preserve"> verrez] qui semble évident. Mais s’agit-il d’une vision</w:t>
      </w:r>
      <w:r w:rsidRPr="00B867DF">
        <w:rPr>
          <w:rFonts w:eastAsia="Times New Roman"/>
          <w:lang w:bidi="ar-EG"/>
        </w:rPr>
        <w:t xml:space="preserve"> réelle ou psychologique, d’un sens propre ou figuré ? Comment ? Dans son </w:t>
      </w:r>
      <w:r w:rsidRPr="00B867DF">
        <w:rPr>
          <w:rFonts w:eastAsia="Times New Roman"/>
          <w:i/>
          <w:iCs/>
          <w:lang w:bidi="ar-EG"/>
        </w:rPr>
        <w:t>At-Tafsīr Al-Kabīr</w:t>
      </w:r>
      <w:r w:rsidRPr="00B867DF">
        <w:rPr>
          <w:rFonts w:eastAsia="Times New Roman"/>
          <w:lang w:bidi="ar-EG"/>
        </w:rPr>
        <w:t xml:space="preserve"> (connu sous le nom </w:t>
      </w:r>
      <w:r w:rsidRPr="00B867DF">
        <w:rPr>
          <w:rFonts w:eastAsia="Times New Roman"/>
          <w:i/>
          <w:iCs/>
          <w:lang w:bidi="ar-EG"/>
        </w:rPr>
        <w:t>Al-Baḥr Al-Muḥīṭ</w:t>
      </w:r>
      <w:r w:rsidRPr="00B867DF">
        <w:rPr>
          <w:rFonts w:eastAsia="Times New Roman"/>
          <w:lang w:bidi="ar-EG"/>
        </w:rPr>
        <w:t>), Al-Andalusī (XIII</w:t>
      </w:r>
      <w:r w:rsidRPr="00B867DF">
        <w:rPr>
          <w:rFonts w:eastAsia="Times New Roman"/>
          <w:vertAlign w:val="superscript"/>
          <w:lang w:bidi="ar-EG"/>
        </w:rPr>
        <w:t>e</w:t>
      </w:r>
      <w:r w:rsidRPr="00B867DF">
        <w:rPr>
          <w:rFonts w:eastAsia="Times New Roman"/>
          <w:lang w:bidi="ar-EG"/>
        </w:rPr>
        <w:t xml:space="preserve"> siècle) souligne qu’il s’agit d’une vision intuitive, intellectuelle et imaginaire (pour inciter les croyants à craindre Dieu). Par contre, Muḥammad al-Amīn Ash-Shanqītī (1905/7-1973/4), dans son exégèse </w:t>
      </w:r>
      <w:r w:rsidRPr="00B867DF">
        <w:rPr>
          <w:rFonts w:eastAsia="Times New Roman"/>
          <w:i/>
          <w:iCs/>
          <w:lang w:bidi="ar-EG"/>
        </w:rPr>
        <w:t>Aḍwāʾ al-bayān fī ʾīḍāḥ al-qurʾān bi-l-qurʾān</w:t>
      </w:r>
      <w:r w:rsidRPr="00B867DF">
        <w:rPr>
          <w:rFonts w:eastAsia="Times New Roman"/>
          <w:lang w:bidi="ar-EG"/>
        </w:rPr>
        <w:t xml:space="preserve">, soutient l’idée que la vision est réelle (action visuelle et non pas intellectuelle). Il est à souligner que l’utilisation de ce verbe </w:t>
      </w:r>
      <w:r w:rsidRPr="00B867DF">
        <w:rPr>
          <w:rFonts w:eastAsia="Times New Roman"/>
          <w:i/>
          <w:iCs/>
          <w:lang w:bidi="ar-EG"/>
        </w:rPr>
        <w:t>tarawnahā</w:t>
      </w:r>
      <w:r w:rsidRPr="00B867DF">
        <w:rPr>
          <w:rFonts w:eastAsia="Times New Roman"/>
          <w:lang w:bidi="ar-EG"/>
        </w:rPr>
        <w:t xml:space="preserve"> à la seconde personne du pluriel indiquerait que le style de l’incipit est oratoire,</w:t>
      </w:r>
      <w:r w:rsidRPr="00B867DF">
        <w:rPr>
          <w:rFonts w:ascii="Calibri" w:eastAsia="Times New Roman" w:hAnsi="Calibri" w:cs="Arial"/>
        </w:rPr>
        <w:t xml:space="preserve"> </w:t>
      </w:r>
      <w:r w:rsidRPr="00B867DF">
        <w:rPr>
          <w:rFonts w:eastAsia="Times New Roman"/>
          <w:lang w:bidi="ar-EG"/>
        </w:rPr>
        <w:t>style d’un orateur ou d’un prédicateur qui harangue les croyants.</w:t>
      </w:r>
    </w:p>
    <w:p w14:paraId="17B73234" w14:textId="77777777" w:rsidR="00296288" w:rsidRPr="00B867DF" w:rsidRDefault="00296288" w:rsidP="00296288">
      <w:pPr>
        <w:spacing w:line="360" w:lineRule="auto"/>
        <w:jc w:val="both"/>
        <w:rPr>
          <w:rFonts w:eastAsia="Times New Roman"/>
          <w:lang w:bidi="ar-EG"/>
        </w:rPr>
      </w:pPr>
    </w:p>
    <w:p w14:paraId="6A0DAB10" w14:textId="77777777" w:rsidR="00296288" w:rsidRPr="0072451F"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EG"/>
        </w:rPr>
      </w:pPr>
      <w:r w:rsidRPr="0072451F">
        <w:rPr>
          <w:rFonts w:ascii="Times New Roman" w:hAnsi="Times New Roman" w:cs="Times New Roman"/>
          <w:b/>
          <w:bCs/>
          <w:sz w:val="24"/>
          <w:szCs w:val="24"/>
          <w:lang w:eastAsia="fr-FR" w:bidi="ar-EG"/>
        </w:rPr>
        <w:t xml:space="preserve">Le verbe </w:t>
      </w:r>
      <w:r w:rsidRPr="0072451F">
        <w:rPr>
          <w:rFonts w:ascii="Times New Roman" w:hAnsi="Times New Roman" w:cs="Times New Roman"/>
          <w:b/>
          <w:bCs/>
          <w:i/>
          <w:iCs/>
          <w:sz w:val="24"/>
          <w:szCs w:val="24"/>
          <w:lang w:eastAsia="fr-FR" w:bidi="ar-EG"/>
        </w:rPr>
        <w:t>tadhhal</w:t>
      </w:r>
      <w:r w:rsidRPr="0072451F">
        <w:rPr>
          <w:rFonts w:ascii="Times New Roman" w:hAnsi="Times New Roman" w:cs="Times New Roman"/>
          <w:b/>
          <w:bCs/>
          <w:sz w:val="24"/>
          <w:szCs w:val="24"/>
          <w:lang w:eastAsia="fr-FR" w:bidi="ar-EG"/>
        </w:rPr>
        <w:t> :</w:t>
      </w:r>
    </w:p>
    <w:p w14:paraId="29686B2B" w14:textId="77777777" w:rsidR="00296288" w:rsidRPr="00B867DF" w:rsidRDefault="00296288" w:rsidP="00296288">
      <w:pPr>
        <w:spacing w:line="360" w:lineRule="auto"/>
        <w:ind w:firstLine="708"/>
        <w:jc w:val="both"/>
        <w:rPr>
          <w:rFonts w:eastAsia="Times New Roman"/>
          <w:lang w:bidi="ar-EG"/>
        </w:rPr>
      </w:pPr>
      <w:r w:rsidRPr="00B867DF">
        <w:rPr>
          <w:rFonts w:eastAsia="Times New Roman"/>
          <w:lang w:bidi="ar-EG"/>
        </w:rPr>
        <w:t xml:space="preserve">Voyons les significations que les exégètes ont données au verbe </w:t>
      </w:r>
      <w:r w:rsidRPr="00B867DF">
        <w:rPr>
          <w:rFonts w:eastAsia="Times New Roman"/>
          <w:i/>
          <w:iCs/>
          <w:lang w:bidi="ar-EG"/>
        </w:rPr>
        <w:t>tadhhalu</w:t>
      </w:r>
      <w:r w:rsidRPr="00B867DF">
        <w:rPr>
          <w:rFonts w:eastAsia="Times New Roman"/>
          <w:lang w:bidi="ar-EG"/>
        </w:rPr>
        <w:t xml:space="preserve"> [elle s’é</w:t>
      </w:r>
      <w:r>
        <w:rPr>
          <w:rFonts w:eastAsia="Times New Roman"/>
          <w:lang w:bidi="ar-EG"/>
        </w:rPr>
        <w:t>tonne fortement] :</w:t>
      </w:r>
    </w:p>
    <w:p w14:paraId="25E408BF"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i/>
          <w:iCs/>
          <w:sz w:val="24"/>
          <w:szCs w:val="24"/>
          <w:lang w:eastAsia="fr-FR" w:bidi="ar-EG"/>
        </w:rPr>
        <w:t>tansā</w:t>
      </w:r>
      <w:r w:rsidRPr="00B867DF">
        <w:rPr>
          <w:rFonts w:ascii="Times New Roman" w:hAnsi="Times New Roman" w:cs="Times New Roman"/>
          <w:sz w:val="24"/>
          <w:szCs w:val="24"/>
          <w:lang w:eastAsia="fr-FR" w:bidi="ar-EG"/>
        </w:rPr>
        <w:t xml:space="preserve"> [elle oubliera] ;</w:t>
      </w:r>
    </w:p>
    <w:p w14:paraId="38303CBD"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i/>
          <w:iCs/>
          <w:sz w:val="24"/>
          <w:szCs w:val="24"/>
          <w:lang w:eastAsia="fr-FR" w:bidi="ar-EG"/>
        </w:rPr>
        <w:t>tatriku</w:t>
      </w:r>
      <w:r w:rsidRPr="00B867DF">
        <w:rPr>
          <w:rFonts w:ascii="Times New Roman" w:hAnsi="Times New Roman" w:cs="Times New Roman"/>
          <w:sz w:val="24"/>
          <w:szCs w:val="24"/>
          <w:lang w:eastAsia="fr-FR" w:bidi="ar-EG"/>
        </w:rPr>
        <w:t xml:space="preserve"> [elle laissera, abandonnera] ;</w:t>
      </w:r>
    </w:p>
    <w:p w14:paraId="2D96DEBA"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i/>
          <w:iCs/>
          <w:sz w:val="24"/>
          <w:szCs w:val="24"/>
          <w:lang w:eastAsia="fr-FR" w:bidi="ar-EG"/>
        </w:rPr>
        <w:lastRenderedPageBreak/>
        <w:t>tashtaghilu ʿan</w:t>
      </w:r>
      <w:r w:rsidRPr="00B867DF">
        <w:rPr>
          <w:rFonts w:ascii="Times New Roman" w:hAnsi="Times New Roman" w:cs="Times New Roman"/>
          <w:sz w:val="24"/>
          <w:szCs w:val="24"/>
          <w:lang w:eastAsia="fr-FR" w:bidi="ar-EG"/>
        </w:rPr>
        <w:t xml:space="preserve"> ou </w:t>
      </w:r>
      <w:r w:rsidRPr="00B867DF">
        <w:rPr>
          <w:rFonts w:ascii="Times New Roman" w:hAnsi="Times New Roman" w:cs="Times New Roman"/>
          <w:i/>
          <w:iCs/>
          <w:sz w:val="24"/>
          <w:szCs w:val="24"/>
          <w:lang w:eastAsia="fr-FR" w:bidi="ar-EG"/>
        </w:rPr>
        <w:t>talhū ʿan</w:t>
      </w:r>
      <w:r w:rsidRPr="00B867DF">
        <w:rPr>
          <w:rFonts w:ascii="Times New Roman" w:hAnsi="Times New Roman" w:cs="Times New Roman"/>
          <w:sz w:val="24"/>
          <w:szCs w:val="24"/>
          <w:lang w:eastAsia="fr-FR" w:bidi="ar-EG"/>
        </w:rPr>
        <w:t xml:space="preserve"> [elle se distraira] ;</w:t>
      </w:r>
    </w:p>
    <w:p w14:paraId="0FEB44AA"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i/>
          <w:iCs/>
          <w:sz w:val="24"/>
          <w:szCs w:val="24"/>
          <w:lang w:eastAsia="fr-FR" w:bidi="ar-EG"/>
        </w:rPr>
        <w:t>tadhashu</w:t>
      </w:r>
      <w:r w:rsidRPr="00B867DF">
        <w:rPr>
          <w:rFonts w:ascii="Times New Roman" w:hAnsi="Times New Roman" w:cs="Times New Roman"/>
          <w:sz w:val="24"/>
          <w:szCs w:val="24"/>
          <w:lang w:eastAsia="fr-FR" w:bidi="ar-EG"/>
        </w:rPr>
        <w:t xml:space="preserve"> [elle s’étonnera] ;</w:t>
      </w:r>
    </w:p>
    <w:p w14:paraId="4FB5DEFC"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i/>
          <w:iCs/>
          <w:sz w:val="24"/>
          <w:szCs w:val="24"/>
          <w:lang w:eastAsia="fr-FR" w:bidi="ar-EG"/>
        </w:rPr>
        <w:t>tataḥayyaru</w:t>
      </w:r>
      <w:r w:rsidRPr="00B867DF">
        <w:rPr>
          <w:rFonts w:ascii="Times New Roman" w:hAnsi="Times New Roman" w:cs="Times New Roman"/>
          <w:sz w:val="24"/>
          <w:szCs w:val="24"/>
          <w:lang w:eastAsia="fr-FR" w:bidi="ar-EG"/>
        </w:rPr>
        <w:t xml:space="preserve"> [elle hésitera, elle sera interloquée] ;</w:t>
      </w:r>
    </w:p>
    <w:p w14:paraId="0F38505A"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hint="cs"/>
          <w:sz w:val="24"/>
          <w:szCs w:val="24"/>
          <w:rtl/>
          <w:lang w:eastAsia="fr-FR" w:bidi="ar-EG"/>
        </w:rPr>
        <w:t>تدع البنين قبل النفخة الأولى</w:t>
      </w:r>
      <w:r w:rsidRPr="00B867DF">
        <w:rPr>
          <w:rFonts w:ascii="Times New Roman" w:hAnsi="Times New Roman" w:cs="Times New Roman"/>
          <w:sz w:val="24"/>
          <w:szCs w:val="24"/>
          <w:lang w:eastAsia="fr-FR" w:bidi="ar-EG"/>
        </w:rPr>
        <w:t xml:space="preserve"> [elle abandonnera les enfants avant le premier souffle (dans la Trompe par l’archange </w:t>
      </w:r>
      <w:r w:rsidRPr="00B867DF">
        <w:rPr>
          <w:rFonts w:ascii="Times New Roman" w:hAnsi="Times New Roman" w:cs="Times New Roman"/>
          <w:iCs/>
          <w:sz w:val="24"/>
          <w:szCs w:val="24"/>
          <w:lang w:eastAsia="fr-FR" w:bidi="ar-EG"/>
        </w:rPr>
        <w:t>Israfīl</w:t>
      </w:r>
      <w:r w:rsidRPr="00B867DF">
        <w:rPr>
          <w:rFonts w:ascii="Times New Roman" w:hAnsi="Times New Roman" w:cs="Times New Roman"/>
          <w:sz w:val="24"/>
          <w:szCs w:val="24"/>
          <w:lang w:eastAsia="fr-FR" w:bidi="ar-EG"/>
        </w:rPr>
        <w:t>)] ;</w:t>
      </w:r>
    </w:p>
    <w:p w14:paraId="7E6F4843"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hint="cs"/>
          <w:sz w:val="24"/>
          <w:szCs w:val="24"/>
          <w:rtl/>
          <w:lang w:eastAsia="fr-FR" w:bidi="ar-EG"/>
        </w:rPr>
        <w:t>تنصرف عن مهمتها لهول رأته</w:t>
      </w:r>
      <w:r w:rsidRPr="00B867DF">
        <w:rPr>
          <w:rFonts w:ascii="Times New Roman" w:hAnsi="Times New Roman" w:cs="Times New Roman"/>
          <w:sz w:val="24"/>
          <w:szCs w:val="24"/>
          <w:lang w:eastAsia="fr-FR" w:bidi="ar-EG"/>
        </w:rPr>
        <w:t xml:space="preserve"> [elle se détournera de sa tâche à cause d’une terreur quelle éprouvera] ;</w:t>
      </w:r>
    </w:p>
    <w:p w14:paraId="0E341BB1" w14:textId="77777777" w:rsidR="00296288" w:rsidRPr="00B867DF" w:rsidRDefault="00296288" w:rsidP="007640DC">
      <w:pPr>
        <w:pStyle w:val="Paragraphedeliste"/>
        <w:numPr>
          <w:ilvl w:val="0"/>
          <w:numId w:val="24"/>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i/>
          <w:iCs/>
          <w:sz w:val="24"/>
          <w:szCs w:val="24"/>
          <w:lang w:eastAsia="fr-FR" w:bidi="ar-EG"/>
        </w:rPr>
        <w:t>tanziʿu thadya-hā min fī waladi-hā</w:t>
      </w:r>
      <w:r w:rsidRPr="00B867DF">
        <w:rPr>
          <w:rFonts w:ascii="Times New Roman" w:hAnsi="Times New Roman" w:cs="Times New Roman"/>
          <w:sz w:val="24"/>
          <w:szCs w:val="24"/>
          <w:lang w:eastAsia="fr-FR" w:bidi="ar-EG"/>
        </w:rPr>
        <w:t xml:space="preserve"> [elle retirera son mamelon de la bouche de son bébé].</w:t>
      </w:r>
    </w:p>
    <w:p w14:paraId="001717C4" w14:textId="77777777" w:rsidR="00296288" w:rsidRPr="00B867DF" w:rsidRDefault="00296288" w:rsidP="00296288">
      <w:pPr>
        <w:spacing w:line="360" w:lineRule="auto"/>
        <w:ind w:firstLine="708"/>
        <w:jc w:val="both"/>
        <w:rPr>
          <w:rFonts w:eastAsia="Times New Roman"/>
          <w:lang w:bidi="ar-EG"/>
        </w:rPr>
      </w:pPr>
      <w:r w:rsidRPr="00B867DF">
        <w:rPr>
          <w:rFonts w:eastAsia="Times New Roman"/>
          <w:lang w:bidi="ar-EG"/>
        </w:rPr>
        <w:t>Toutes ces significations essayent d’expliquer la nature de l’action ou de la réaction de celle qui allaitera un nourrisson.</w:t>
      </w:r>
    </w:p>
    <w:p w14:paraId="10F7721A" w14:textId="77777777" w:rsidR="00296288" w:rsidRPr="00884B03" w:rsidRDefault="00296288" w:rsidP="00296288">
      <w:pPr>
        <w:spacing w:line="360" w:lineRule="auto"/>
        <w:ind w:firstLine="708"/>
        <w:jc w:val="both"/>
        <w:rPr>
          <w:rFonts w:eastAsia="Times New Roman"/>
          <w:lang w:bidi="ar-EG"/>
        </w:rPr>
      </w:pPr>
    </w:p>
    <w:p w14:paraId="7FE11640" w14:textId="77777777" w:rsidR="00296288" w:rsidRPr="00884B03" w:rsidRDefault="00296288" w:rsidP="00296288">
      <w:pPr>
        <w:spacing w:line="360" w:lineRule="auto"/>
        <w:ind w:firstLine="708"/>
        <w:jc w:val="both"/>
        <w:rPr>
          <w:rFonts w:eastAsia="Times New Roman"/>
          <w:lang w:bidi="ar-EG"/>
        </w:rPr>
      </w:pPr>
      <w:r w:rsidRPr="00884B03">
        <w:rPr>
          <w:rFonts w:eastAsia="Times New Roman"/>
          <w:lang w:bidi="ar-EG"/>
        </w:rPr>
        <w:t xml:space="preserve">Quant au mot </w:t>
      </w:r>
      <w:r w:rsidRPr="00884B03">
        <w:rPr>
          <w:rFonts w:eastAsia="Times New Roman"/>
          <w:i/>
          <w:iCs/>
          <w:lang w:bidi="ar-EG"/>
        </w:rPr>
        <w:t>al-murḍiʿa</w:t>
      </w:r>
      <w:r w:rsidRPr="00884B03">
        <w:rPr>
          <w:rFonts w:eastAsia="Times New Roman"/>
          <w:lang w:bidi="ar-EG"/>
        </w:rPr>
        <w:t xml:space="preserve">, signifie-t-il la mère ou la nourrice ? Les exégètes soulignent qu’il s’agit de </w:t>
      </w:r>
      <w:r w:rsidRPr="00884B03">
        <w:rPr>
          <w:rFonts w:eastAsia="Times New Roman"/>
          <w:i/>
          <w:iCs/>
          <w:lang w:bidi="ar-EG"/>
        </w:rPr>
        <w:t>celle qui sera en train d’allaiter</w:t>
      </w:r>
      <w:r w:rsidRPr="00884B03">
        <w:rPr>
          <w:rFonts w:eastAsia="Times New Roman"/>
          <w:lang w:bidi="ar-EG"/>
        </w:rPr>
        <w:t>.</w:t>
      </w:r>
    </w:p>
    <w:p w14:paraId="791F95B1" w14:textId="77777777" w:rsidR="00296288" w:rsidRPr="00884B03" w:rsidRDefault="00296288" w:rsidP="00296288">
      <w:pPr>
        <w:spacing w:line="360" w:lineRule="auto"/>
        <w:jc w:val="both"/>
        <w:rPr>
          <w:rFonts w:eastAsia="Calibri"/>
          <w:lang w:bidi="ar-AE"/>
        </w:rPr>
      </w:pPr>
    </w:p>
    <w:p w14:paraId="4BBEAC73" w14:textId="52F419A4" w:rsidR="00296288" w:rsidRPr="00B867DF" w:rsidRDefault="00437FE0" w:rsidP="00296288">
      <w:pPr>
        <w:spacing w:line="360" w:lineRule="auto"/>
        <w:ind w:firstLine="708"/>
        <w:jc w:val="both"/>
        <w:rPr>
          <w:rFonts w:eastAsia="Times New Roman"/>
          <w:lang w:bidi="ar-AE"/>
        </w:rPr>
      </w:pPr>
      <w:r>
        <w:rPr>
          <w:rFonts w:eastAsia="Times New Roman"/>
          <w:lang w:bidi="ar-AE"/>
        </w:rPr>
        <w:t xml:space="preserve">À propos du segment </w:t>
      </w:r>
      <w:r w:rsidR="00296288" w:rsidRPr="00884B03">
        <w:rPr>
          <w:rFonts w:eastAsia="Times New Roman"/>
          <w:i/>
          <w:iCs/>
          <w:lang w:bidi="ar-AE"/>
        </w:rPr>
        <w:t>wa-mina n-nās</w:t>
      </w:r>
      <w:r w:rsidR="00296288" w:rsidRPr="00884B03">
        <w:rPr>
          <w:rFonts w:eastAsia="Times New Roman"/>
          <w:lang w:bidi="ar-AE"/>
        </w:rPr>
        <w:t xml:space="preserve"> [et parmi les hommes] (v. 3 et 8), bien qu’il semble évident, les exégètes disent qu’il s’agit : 1) </w:t>
      </w:r>
      <w:r w:rsidR="00296288" w:rsidRPr="00B867DF">
        <w:rPr>
          <w:rFonts w:eastAsia="Times New Roman"/>
          <w:lang w:bidi="ar-AE"/>
        </w:rPr>
        <w:t>de l’un des adversaires de Muḥammad : an-Naḍr ibn al-Ḥārith tout seul ou avec sa mère, ʾUbayy ibn Khalaf, Al-Walīd et ʿUtba (les fils de Rabīʿa) ou Abū Jahl ; 2) d’un groupe : les dénégateurs de la résurrection (v. 3), ou ceux qui disputent (v. 8). Ainsi, en l’absence de connaissance précise du contexte, on ne sait pas de quoi il s’agit.</w:t>
      </w:r>
    </w:p>
    <w:p w14:paraId="6CEA8912" w14:textId="77777777" w:rsidR="00296288" w:rsidRPr="00B867DF" w:rsidRDefault="00296288" w:rsidP="00296288">
      <w:pPr>
        <w:spacing w:line="360" w:lineRule="auto"/>
        <w:ind w:firstLine="708"/>
        <w:jc w:val="right"/>
        <w:rPr>
          <w:rFonts w:eastAsia="Times New Roman"/>
          <w:lang w:bidi="ar-AE"/>
        </w:rPr>
      </w:pPr>
    </w:p>
    <w:p w14:paraId="7C997ACF" w14:textId="77777777" w:rsidR="00296288" w:rsidRPr="002B5C8E" w:rsidRDefault="00296288" w:rsidP="00296288">
      <w:pPr>
        <w:spacing w:line="360" w:lineRule="auto"/>
        <w:ind w:firstLine="708"/>
        <w:jc w:val="both"/>
        <w:rPr>
          <w:rFonts w:eastAsia="Times New Roman"/>
          <w:lang w:bidi="ar-AE"/>
        </w:rPr>
      </w:pPr>
      <w:r w:rsidRPr="00B867DF">
        <w:rPr>
          <w:rFonts w:eastAsia="Times New Roman"/>
          <w:lang w:bidi="ar-AE"/>
        </w:rPr>
        <w:t xml:space="preserve">La plupart des exégètes, et surtout anciens, affirment que les </w:t>
      </w:r>
      <w:r w:rsidRPr="00884B03">
        <w:rPr>
          <w:rFonts w:eastAsia="Times New Roman"/>
          <w:lang w:bidi="ar-AE"/>
        </w:rPr>
        <w:t>versets 3 et 8 de la sourate</w:t>
      </w:r>
      <w:r w:rsidRPr="00B867DF">
        <w:rPr>
          <w:rFonts w:eastAsia="Times New Roman"/>
          <w:lang w:bidi="ar-AE"/>
        </w:rPr>
        <w:t xml:space="preserve"> Al-Ḥajj, ainsi que beaucoup de versets d’autres sourates, font allusion à An-Naḍr ibn Al-Ḥārith</w:t>
      </w:r>
      <w:r w:rsidRPr="00B867DF">
        <w:rPr>
          <w:rStyle w:val="Appelnotedebasdep"/>
          <w:lang w:bidi="ar-AE"/>
        </w:rPr>
        <w:footnoteReference w:id="223"/>
      </w:r>
      <w:r w:rsidRPr="00B867DF">
        <w:rPr>
          <w:rFonts w:eastAsia="Times New Roman"/>
          <w:lang w:bidi="ar-AE"/>
        </w:rPr>
        <w:t xml:space="preserve">. Mais qui est cet homme ? Et quel est le sujet et le contenu de sa dispute ou de ses objections ? Les sources (notamment </w:t>
      </w:r>
      <w:r w:rsidRPr="00B867DF">
        <w:rPr>
          <w:rFonts w:eastAsia="Times New Roman"/>
          <w:i/>
          <w:iCs/>
          <w:lang w:bidi="ar-AE"/>
        </w:rPr>
        <w:t>Sīrat ibn Hishām</w:t>
      </w:r>
      <w:r w:rsidRPr="008B0850">
        <w:rPr>
          <w:rStyle w:val="Appelnotedebasdep"/>
          <w:lang w:bidi="ar-AE"/>
        </w:rPr>
        <w:footnoteReference w:id="224"/>
      </w:r>
      <w:r w:rsidRPr="00B867DF">
        <w:rPr>
          <w:rFonts w:eastAsia="Times New Roman"/>
          <w:lang w:bidi="ar-AE"/>
        </w:rPr>
        <w:t xml:space="preserve">) soulignent qu’il a étudié à al-Ḥīra, une importante ville en Irak, et qu’il avait beaucoup de connaissances. Il a fait face au projet de Muḥammad en raillant son Coran et en racontant des histoires persanes et des légendes, c.à.d. en </w:t>
      </w:r>
      <w:r w:rsidRPr="00B867DF">
        <w:rPr>
          <w:rFonts w:eastAsia="Times New Roman"/>
          <w:lang w:bidi="ar-AE"/>
        </w:rPr>
        <w:lastRenderedPageBreak/>
        <w:t xml:space="preserve">montrant les sources du texte coranique. Dans une joute d’éloquence entre les deux adversaires, An-Naḍr a réduit au silence, a mis à quia Muḥammad, ce qui a poussé ce dernier à tuer An-Naḍr en le privant de manger et de boire. En plus, le fondateur de l’islam a attaqué An-Naḍr dans le Coran sans le nommer. Le contexte historique et conflictuel des versets 3 et 8 </w:t>
      </w:r>
      <w:r w:rsidRPr="000D31A5">
        <w:rPr>
          <w:rFonts w:eastAsia="Times New Roman"/>
          <w:lang w:bidi="ar-AE"/>
        </w:rPr>
        <w:t xml:space="preserve">indiquerait que </w:t>
      </w:r>
      <w:r w:rsidRPr="002B5C8E">
        <w:rPr>
          <w:rFonts w:eastAsia="Times New Roman"/>
          <w:lang w:bidi="ar-AE"/>
        </w:rPr>
        <w:t>l’objectif principal du Coran est peut-être plus de combattre l’autre pour s’affirmer soi-même que de transmettre un message. Quand Muḥammad n’a pas pu affronter par l’arme du Coran un adversaire érudit comme An-Naḍr, il n’avait qu’à recourir à une autre arme, la liquidation physique. Ce contexte est absent des traductions françaises de la sourate.</w:t>
      </w:r>
    </w:p>
    <w:p w14:paraId="27096065" w14:textId="77777777" w:rsidR="00296288" w:rsidRPr="001A3044" w:rsidRDefault="00296288" w:rsidP="00296288">
      <w:pPr>
        <w:spacing w:line="360" w:lineRule="auto"/>
        <w:jc w:val="both"/>
        <w:rPr>
          <w:rFonts w:eastAsia="Times New Roman"/>
        </w:rPr>
      </w:pPr>
    </w:p>
    <w:p w14:paraId="2DC3CCA6" w14:textId="77777777" w:rsidR="00296288" w:rsidRPr="00B867DF" w:rsidRDefault="00296288" w:rsidP="00296288">
      <w:pPr>
        <w:spacing w:line="360" w:lineRule="auto"/>
        <w:ind w:firstLine="708"/>
        <w:jc w:val="both"/>
        <w:rPr>
          <w:rFonts w:eastAsia="Times New Roman"/>
          <w:lang w:bidi="ar-AE"/>
        </w:rPr>
      </w:pPr>
      <w:r w:rsidRPr="001A3044">
        <w:rPr>
          <w:rFonts w:eastAsia="Times New Roman"/>
          <w:lang w:bidi="ar-AE"/>
        </w:rPr>
        <w:t xml:space="preserve">Le mot </w:t>
      </w:r>
      <w:r w:rsidRPr="001A3044">
        <w:rPr>
          <w:rFonts w:eastAsia="Times New Roman"/>
          <w:i/>
          <w:iCs/>
          <w:lang w:bidi="ar-AE"/>
        </w:rPr>
        <w:t>shayṭān</w:t>
      </w:r>
      <w:r w:rsidRPr="001A3044">
        <w:rPr>
          <w:rFonts w:eastAsia="Times New Roman"/>
          <w:lang w:bidi="ar-AE"/>
        </w:rPr>
        <w:t xml:space="preserve"> [Satan] dénote : 1) une créature</w:t>
      </w:r>
      <w:r w:rsidRPr="00B867DF">
        <w:rPr>
          <w:rFonts w:eastAsia="Times New Roman"/>
          <w:lang w:bidi="ar-AE"/>
        </w:rPr>
        <w:t xml:space="preserve"> des djinns ; 2) un être humain mauvais ; 3) </w:t>
      </w:r>
      <w:r w:rsidRPr="00B867DF">
        <w:rPr>
          <w:rFonts w:eastAsia="Times New Roman"/>
          <w:i/>
          <w:iCs/>
          <w:lang w:bidi="ar-AE"/>
        </w:rPr>
        <w:t>Iblīs</w:t>
      </w:r>
      <w:r w:rsidRPr="00B867DF">
        <w:rPr>
          <w:rFonts w:eastAsia="Times New Roman"/>
          <w:lang w:bidi="ar-AE"/>
        </w:rPr>
        <w:t xml:space="preserve"> (un djinn fait de feu sans fumée, qui vivait au Paradis avec les anges) ; 4) les chefs des non-croyants ; 5) tout séducteur ou tentateur humain ou djinn. Ce mot polysémique (</w:t>
      </w:r>
      <w:r w:rsidRPr="00B867DF">
        <w:rPr>
          <w:rFonts w:eastAsia="Times New Roman"/>
          <w:i/>
          <w:iCs/>
          <w:lang w:bidi="ar-AE"/>
        </w:rPr>
        <w:t>shayṭān</w:t>
      </w:r>
      <w:r w:rsidRPr="00B867DF">
        <w:rPr>
          <w:rFonts w:eastAsia="Times New Roman"/>
          <w:lang w:bidi="ar-AE"/>
        </w:rPr>
        <w:t xml:space="preserve">) est accompagné d’un autre mot polysémique aussi. Il s’agit de l’adjectif </w:t>
      </w:r>
      <w:r w:rsidRPr="00B867DF">
        <w:rPr>
          <w:rFonts w:eastAsia="Times New Roman"/>
          <w:i/>
          <w:iCs/>
          <w:lang w:bidi="ar-AE"/>
        </w:rPr>
        <w:t>marīd</w:t>
      </w:r>
      <w:r w:rsidRPr="00B867DF">
        <w:rPr>
          <w:rFonts w:eastAsia="Times New Roman"/>
          <w:lang w:bidi="ar-AE"/>
        </w:rPr>
        <w:t xml:space="preserve"> qui peut signifier : 1) rebelle contre Dieu ; 2) dépourvu du bien ; 3) arrogant ; 4) malin ; 5) tyran ; 6) veillant à égarer quiconque le suit (Amīn Shaykhū).</w:t>
      </w:r>
    </w:p>
    <w:p w14:paraId="4B8EBA7F" w14:textId="77777777" w:rsidR="00296288" w:rsidRPr="00B867DF" w:rsidRDefault="00296288" w:rsidP="00296288">
      <w:pPr>
        <w:spacing w:line="360" w:lineRule="auto"/>
        <w:ind w:firstLine="708"/>
        <w:jc w:val="both"/>
        <w:rPr>
          <w:rFonts w:eastAsia="Times New Roman"/>
          <w:lang w:bidi="ar-AE"/>
        </w:rPr>
      </w:pPr>
    </w:p>
    <w:p w14:paraId="3D956AD6" w14:textId="77777777" w:rsidR="00296288" w:rsidRPr="0072451F"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EG"/>
        </w:rPr>
      </w:pPr>
      <w:r w:rsidRPr="0072451F">
        <w:rPr>
          <w:rFonts w:ascii="Times New Roman" w:hAnsi="Times New Roman" w:cs="Times New Roman"/>
          <w:b/>
          <w:bCs/>
          <w:sz w:val="24"/>
          <w:szCs w:val="24"/>
          <w:lang w:eastAsia="fr-FR" w:bidi="ar-EG"/>
        </w:rPr>
        <w:t xml:space="preserve">Qu’entend-on par </w:t>
      </w:r>
      <w:r w:rsidRPr="0072451F">
        <w:rPr>
          <w:rFonts w:ascii="Times New Roman" w:hAnsi="Times New Roman" w:cs="Times New Roman"/>
          <w:b/>
          <w:bCs/>
          <w:i/>
          <w:iCs/>
          <w:sz w:val="24"/>
          <w:szCs w:val="24"/>
          <w:lang w:eastAsia="fr-FR" w:bidi="ar-EG"/>
        </w:rPr>
        <w:t>ʿilm</w:t>
      </w:r>
      <w:r w:rsidRPr="0072451F">
        <w:rPr>
          <w:rFonts w:ascii="Times New Roman" w:hAnsi="Times New Roman" w:cs="Times New Roman"/>
          <w:b/>
          <w:bCs/>
          <w:sz w:val="24"/>
          <w:szCs w:val="24"/>
          <w:lang w:eastAsia="fr-FR" w:bidi="ar-EG"/>
        </w:rPr>
        <w:t> ?</w:t>
      </w:r>
    </w:p>
    <w:p w14:paraId="28305F46" w14:textId="77777777" w:rsidR="00296288" w:rsidRPr="00884B03" w:rsidRDefault="00296288" w:rsidP="00296288">
      <w:pPr>
        <w:spacing w:line="360" w:lineRule="auto"/>
        <w:ind w:firstLine="708"/>
        <w:jc w:val="both"/>
        <w:rPr>
          <w:rFonts w:eastAsia="Times New Roman"/>
          <w:lang w:bidi="ar-EG"/>
        </w:rPr>
      </w:pPr>
      <w:r w:rsidRPr="00B867DF">
        <w:rPr>
          <w:rFonts w:eastAsia="Times New Roman"/>
          <w:lang w:bidi="ar-EG"/>
        </w:rPr>
        <w:t xml:space="preserve">En effet, contrairement à la signification du mot </w:t>
      </w:r>
      <w:r w:rsidRPr="00B867DF">
        <w:rPr>
          <w:rFonts w:eastAsia="Times New Roman"/>
          <w:i/>
          <w:iCs/>
          <w:lang w:bidi="ar-EG"/>
        </w:rPr>
        <w:t>ʿilm</w:t>
      </w:r>
      <w:r w:rsidRPr="00B867DF">
        <w:rPr>
          <w:rFonts w:eastAsia="Times New Roman"/>
          <w:lang w:bidi="ar-EG"/>
        </w:rPr>
        <w:t xml:space="preserve"> fournie par les musulmans contemporains, abstraction faite de tout contexte, pour tous les occurrences du mot</w:t>
      </w:r>
      <w:r>
        <w:rPr>
          <w:rFonts w:eastAsia="Times New Roman"/>
          <w:lang w:bidi="ar-EG"/>
        </w:rPr>
        <w:t xml:space="preserve"> </w:t>
      </w:r>
      <w:r w:rsidRPr="00B867DF">
        <w:rPr>
          <w:rFonts w:eastAsia="Times New Roman"/>
          <w:i/>
          <w:iCs/>
          <w:lang w:bidi="ar-EG"/>
        </w:rPr>
        <w:t>ʿilm</w:t>
      </w:r>
      <w:r w:rsidRPr="00B867DF">
        <w:rPr>
          <w:rFonts w:eastAsia="Times New Roman"/>
          <w:lang w:bidi="ar-EG"/>
        </w:rPr>
        <w:t xml:space="preserve"> (et ses dérivés) évoqués dans le Coran (sens absolu :</w:t>
      </w:r>
      <w:r>
        <w:rPr>
          <w:rFonts w:eastAsia="Times New Roman"/>
          <w:lang w:bidi="ar-EG"/>
        </w:rPr>
        <w:t xml:space="preserve"> </w:t>
      </w:r>
      <w:r w:rsidRPr="00B867DF">
        <w:rPr>
          <w:rFonts w:eastAsia="Times New Roman"/>
          <w:i/>
          <w:iCs/>
          <w:lang w:bidi="ar-EG"/>
        </w:rPr>
        <w:t>ʿilm</w:t>
      </w:r>
      <w:r w:rsidRPr="00B867DF">
        <w:rPr>
          <w:rFonts w:eastAsia="Times New Roman"/>
          <w:lang w:bidi="ar-EG"/>
        </w:rPr>
        <w:t xml:space="preserve"> = science), ce mot désigne dans le langage </w:t>
      </w:r>
      <w:r w:rsidRPr="00884B03">
        <w:rPr>
          <w:rFonts w:eastAsia="Times New Roman"/>
          <w:lang w:bidi="ar-EG"/>
        </w:rPr>
        <w:t>coranique la foi solide en les Écritures.</w:t>
      </w:r>
      <w:r w:rsidRPr="00884B03">
        <w:rPr>
          <w:rFonts w:eastAsia="Calibri"/>
          <w:vertAlign w:val="superscript"/>
          <w:lang w:bidi="ar-AE"/>
        </w:rPr>
        <w:footnoteReference w:id="225"/>
      </w:r>
      <w:r w:rsidRPr="00884B03">
        <w:rPr>
          <w:rFonts w:eastAsia="Times New Roman"/>
          <w:lang w:bidi="ar-EG"/>
        </w:rPr>
        <w:t xml:space="preserve"> En général, le Coran établit un lien étroit entre </w:t>
      </w:r>
      <w:r w:rsidRPr="00884B03">
        <w:rPr>
          <w:rFonts w:eastAsia="Times New Roman"/>
          <w:i/>
          <w:iCs/>
          <w:lang w:bidi="ar-EG"/>
        </w:rPr>
        <w:t>ʿilm</w:t>
      </w:r>
      <w:r w:rsidRPr="00884B03">
        <w:rPr>
          <w:rFonts w:eastAsia="Times New Roman"/>
          <w:lang w:bidi="ar-EG"/>
        </w:rPr>
        <w:t xml:space="preserve"> d’un côté et </w:t>
      </w:r>
      <w:r w:rsidRPr="00884B03">
        <w:rPr>
          <w:rFonts w:eastAsia="Times New Roman"/>
          <w:i/>
          <w:iCs/>
          <w:lang w:bidi="ar-EG"/>
        </w:rPr>
        <w:t>kitāb</w:t>
      </w:r>
      <w:r w:rsidRPr="00884B03">
        <w:rPr>
          <w:rFonts w:eastAsia="Times New Roman"/>
          <w:lang w:bidi="ar-EG"/>
        </w:rPr>
        <w:t xml:space="preserve"> [Écritures], </w:t>
      </w:r>
      <w:r w:rsidRPr="00884B03">
        <w:rPr>
          <w:rFonts w:eastAsia="Times New Roman"/>
          <w:i/>
          <w:iCs/>
          <w:lang w:bidi="ar-EG"/>
        </w:rPr>
        <w:t>Allāh</w:t>
      </w:r>
      <w:r w:rsidRPr="00884B03">
        <w:rPr>
          <w:rFonts w:eastAsia="Times New Roman"/>
          <w:lang w:bidi="ar-EG"/>
        </w:rPr>
        <w:t xml:space="preserve"> et </w:t>
      </w:r>
      <w:r w:rsidRPr="00884B03">
        <w:rPr>
          <w:rFonts w:eastAsia="Times New Roman"/>
          <w:i/>
          <w:iCs/>
          <w:lang w:bidi="ar-EG"/>
        </w:rPr>
        <w:t>ummī</w:t>
      </w:r>
      <w:r w:rsidRPr="00884B03">
        <w:rPr>
          <w:rFonts w:eastAsia="Times New Roman"/>
          <w:lang w:bidi="ar-EG"/>
        </w:rPr>
        <w:t xml:space="preserve"> [qui appartient aux </w:t>
      </w:r>
      <w:r w:rsidRPr="00884B03">
        <w:rPr>
          <w:rFonts w:eastAsia="Times New Roman"/>
          <w:i/>
          <w:iCs/>
          <w:lang w:bidi="ar-EG"/>
        </w:rPr>
        <w:t>umam</w:t>
      </w:r>
      <w:r w:rsidRPr="00884B03">
        <w:rPr>
          <w:rFonts w:eastAsia="Times New Roman"/>
          <w:lang w:bidi="ar-EG"/>
        </w:rPr>
        <w:t xml:space="preserve"> [Nations], c.à.d. aux </w:t>
      </w:r>
      <w:r w:rsidRPr="00884B03">
        <w:rPr>
          <w:rFonts w:eastAsia="Times New Roman"/>
          <w:i/>
          <w:iCs/>
          <w:lang w:bidi="ar-EG"/>
        </w:rPr>
        <w:t>Goyim</w:t>
      </w:r>
      <w:r w:rsidRPr="00884B03">
        <w:rPr>
          <w:rFonts w:eastAsia="Times New Roman"/>
          <w:lang w:bidi="ar-EG"/>
        </w:rPr>
        <w:t xml:space="preserve"> (non-juifs), aux </w:t>
      </w:r>
      <w:r w:rsidRPr="00884B03">
        <w:rPr>
          <w:rFonts w:eastAsia="Times New Roman"/>
          <w:i/>
          <w:iCs/>
          <w:lang w:bidi="ar-EG"/>
        </w:rPr>
        <w:t>Gentils</w:t>
      </w:r>
      <w:r w:rsidRPr="00884B03">
        <w:rPr>
          <w:rFonts w:eastAsia="Times New Roman"/>
          <w:lang w:bidi="ar-EG"/>
        </w:rPr>
        <w:t>, (païens, non-chrétiens)] d’un autre côté (ex. : LXII, 2)</w:t>
      </w:r>
      <w:r w:rsidRPr="00884B03">
        <w:rPr>
          <w:rFonts w:eastAsia="Calibri"/>
          <w:vertAlign w:val="superscript"/>
          <w:lang w:bidi="ar-AE"/>
        </w:rPr>
        <w:footnoteReference w:id="226"/>
      </w:r>
      <w:r w:rsidRPr="00884B03">
        <w:rPr>
          <w:rFonts w:eastAsia="Times New Roman"/>
          <w:lang w:bidi="ar-EG"/>
        </w:rPr>
        <w:t xml:space="preserve">. Le Coran oppose les </w:t>
      </w:r>
      <w:r w:rsidRPr="00884B03">
        <w:rPr>
          <w:rFonts w:eastAsia="Times New Roman"/>
          <w:i/>
          <w:iCs/>
          <w:lang w:bidi="ar-EG"/>
        </w:rPr>
        <w:t>ummīyūn</w:t>
      </w:r>
      <w:r w:rsidRPr="00884B03">
        <w:rPr>
          <w:rFonts w:eastAsia="Times New Roman"/>
          <w:lang w:bidi="ar-EG"/>
        </w:rPr>
        <w:t xml:space="preserve"> [sens moderne : analphabètes] à ceux qui ont reçu les Écritures (ex. : III, 20)</w:t>
      </w:r>
      <w:r w:rsidRPr="00884B03">
        <w:rPr>
          <w:rFonts w:eastAsia="Calibri"/>
          <w:vertAlign w:val="superscript"/>
          <w:lang w:bidi="ar-AE"/>
        </w:rPr>
        <w:footnoteReference w:id="227"/>
      </w:r>
      <w:r w:rsidRPr="00884B03">
        <w:rPr>
          <w:rFonts w:eastAsia="Times New Roman"/>
          <w:lang w:bidi="ar-EG"/>
        </w:rPr>
        <w:t xml:space="preserve">. Ce qui veut dire que les </w:t>
      </w:r>
      <w:r w:rsidRPr="00884B03">
        <w:rPr>
          <w:rFonts w:eastAsia="Times New Roman"/>
          <w:i/>
          <w:iCs/>
          <w:lang w:bidi="ar-EG"/>
        </w:rPr>
        <w:t>ummīyūn</w:t>
      </w:r>
      <w:r w:rsidRPr="00884B03">
        <w:rPr>
          <w:rFonts w:eastAsia="Times New Roman"/>
          <w:lang w:bidi="ar-EG"/>
        </w:rPr>
        <w:t xml:space="preserve"> ne sont pas ceux qui ne savent ni lire ni écrire, mais ceux qui ne croient pas en les Écritures, c.à.d. les païens. Ce qui signifie que le verbe </w:t>
      </w:r>
      <w:r w:rsidRPr="00884B03">
        <w:rPr>
          <w:rFonts w:eastAsia="Times New Roman"/>
          <w:i/>
          <w:iCs/>
          <w:lang w:bidi="ar-EG"/>
        </w:rPr>
        <w:t>yuʿallim</w:t>
      </w:r>
      <w:r w:rsidRPr="00884B03">
        <w:rPr>
          <w:rFonts w:eastAsia="Times New Roman"/>
          <w:lang w:bidi="ar-EG"/>
        </w:rPr>
        <w:t xml:space="preserve"> [</w:t>
      </w:r>
      <w:r w:rsidRPr="00884B03">
        <w:rPr>
          <w:rFonts w:eastAsia="Times New Roman"/>
          <w:i/>
          <w:iCs/>
          <w:lang w:bidi="ar-EG"/>
        </w:rPr>
        <w:t>litt</w:t>
      </w:r>
      <w:r w:rsidRPr="00884B03">
        <w:rPr>
          <w:rFonts w:eastAsia="Times New Roman"/>
          <w:lang w:bidi="ar-EG"/>
        </w:rPr>
        <w:t xml:space="preserve">. : apprendre] prend le sens de : convertir (à une religion abrahamique). Ainsi, au plan </w:t>
      </w:r>
      <w:r w:rsidRPr="00884B03">
        <w:rPr>
          <w:rFonts w:eastAsia="Times New Roman"/>
          <w:lang w:bidi="ar-EG"/>
        </w:rPr>
        <w:lastRenderedPageBreak/>
        <w:t xml:space="preserve">synchronique, le </w:t>
      </w:r>
      <w:r w:rsidRPr="00884B03">
        <w:rPr>
          <w:rFonts w:eastAsia="Times New Roman"/>
          <w:i/>
          <w:iCs/>
          <w:lang w:bidi="ar-EG"/>
        </w:rPr>
        <w:t>ʿilm</w:t>
      </w:r>
      <w:r w:rsidRPr="00884B03">
        <w:rPr>
          <w:rFonts w:eastAsia="Times New Roman"/>
          <w:lang w:bidi="ar-EG"/>
        </w:rPr>
        <w:t xml:space="preserve"> signifie la croyance certaine, la certitude, la connaissance avec foi d’un Livre sacré monothéiste. Au plan diachronique, il signifie : foi, connaissance, savoir, science. La signification du terme </w:t>
      </w:r>
      <w:r w:rsidRPr="00884B03">
        <w:rPr>
          <w:rFonts w:eastAsia="Times New Roman"/>
          <w:i/>
          <w:iCs/>
          <w:lang w:bidi="ar-EG"/>
        </w:rPr>
        <w:t>ʿilm</w:t>
      </w:r>
      <w:r w:rsidRPr="00884B03">
        <w:rPr>
          <w:rFonts w:eastAsia="Times New Roman"/>
          <w:lang w:bidi="ar-EG"/>
        </w:rPr>
        <w:t xml:space="preserve"> a donc évolué de « la connaissance des Écritures » à la science. Et la signification du terme </w:t>
      </w:r>
      <w:r w:rsidRPr="00884B03">
        <w:rPr>
          <w:rFonts w:eastAsia="Times New Roman"/>
          <w:i/>
          <w:iCs/>
          <w:lang w:bidi="ar-EG"/>
        </w:rPr>
        <w:t>ummī</w:t>
      </w:r>
      <w:r w:rsidRPr="00884B03">
        <w:rPr>
          <w:rFonts w:eastAsia="Times New Roman"/>
          <w:lang w:bidi="ar-EG"/>
        </w:rPr>
        <w:t xml:space="preserve"> a évolué du « non-monothéiste » au « analphabète ».</w:t>
      </w:r>
    </w:p>
    <w:p w14:paraId="62C3B780" w14:textId="77777777" w:rsidR="00296288" w:rsidRPr="00884B03" w:rsidRDefault="00296288" w:rsidP="00296288">
      <w:pPr>
        <w:spacing w:line="360" w:lineRule="auto"/>
        <w:jc w:val="both"/>
        <w:rPr>
          <w:rFonts w:eastAsia="Times New Roman"/>
          <w:lang w:bidi="ar-EG"/>
        </w:rPr>
      </w:pPr>
    </w:p>
    <w:p w14:paraId="096396C0" w14:textId="0EFFA789" w:rsidR="00296288" w:rsidRPr="00B867DF" w:rsidRDefault="00296288" w:rsidP="00296288">
      <w:pPr>
        <w:spacing w:line="360" w:lineRule="auto"/>
        <w:ind w:firstLine="708"/>
        <w:jc w:val="both"/>
        <w:rPr>
          <w:rFonts w:eastAsia="Times New Roman"/>
          <w:lang w:bidi="ar-EG"/>
        </w:rPr>
      </w:pPr>
      <w:r w:rsidRPr="00B867DF">
        <w:rPr>
          <w:rFonts w:eastAsia="Times New Roman"/>
          <w:lang w:bidi="ar-EG"/>
        </w:rPr>
        <w:t xml:space="preserve">Examinons les significations du substantif </w:t>
      </w:r>
      <w:r w:rsidRPr="00B867DF">
        <w:rPr>
          <w:rFonts w:eastAsia="Times New Roman"/>
          <w:i/>
          <w:iCs/>
          <w:lang w:bidi="ar-EG"/>
        </w:rPr>
        <w:t>ʿilm</w:t>
      </w:r>
      <w:r w:rsidRPr="00B867DF">
        <w:rPr>
          <w:rFonts w:eastAsia="Times New Roman"/>
          <w:lang w:bidi="ar-EG"/>
        </w:rPr>
        <w:t xml:space="preserve"> et de ses dérivés dans le verset 3 (« </w:t>
      </w:r>
      <w:r>
        <w:rPr>
          <w:rFonts w:eastAsia="Times New Roman" w:hint="cs"/>
          <w:rtl/>
          <w:lang w:bidi="ar-EG"/>
        </w:rPr>
        <w:t xml:space="preserve">يجادلُ في الله بغير </w:t>
      </w:r>
      <w:r w:rsidRPr="009966F2">
        <w:rPr>
          <w:rFonts w:eastAsia="Times New Roman" w:hint="cs"/>
          <w:b/>
          <w:bCs/>
          <w:rtl/>
          <w:lang w:bidi="ar-EG"/>
        </w:rPr>
        <w:t>عِلمٍ</w:t>
      </w:r>
      <w:r>
        <w:rPr>
          <w:rFonts w:eastAsia="Times New Roman" w:hint="cs"/>
          <w:rtl/>
          <w:lang w:bidi="ar-EG"/>
        </w:rPr>
        <w:t xml:space="preserve"> ويتَّبع كلَّ شيطانٍ مَريد</w:t>
      </w:r>
      <w:r w:rsidRPr="00B867DF">
        <w:rPr>
          <w:rFonts w:eastAsia="Times New Roman"/>
          <w:lang w:bidi="ar-EG"/>
        </w:rPr>
        <w:t xml:space="preserve"> » [pour disputer sur Dieu sans la moindre </w:t>
      </w:r>
      <w:r w:rsidRPr="00B867DF">
        <w:rPr>
          <w:rFonts w:eastAsia="Times New Roman"/>
          <w:b/>
          <w:bCs/>
          <w:i/>
          <w:iCs/>
          <w:lang w:bidi="ar-EG"/>
        </w:rPr>
        <w:t>science</w:t>
      </w:r>
      <w:r w:rsidRPr="00B867DF">
        <w:rPr>
          <w:rFonts w:eastAsia="Times New Roman"/>
          <w:lang w:bidi="ar-EG"/>
        </w:rPr>
        <w:t>, et suivre tout Satan de rébellion]). Il s’agit d’une connaissance des Écritures et non pas de la science proprement dite, comme Berque l’a traduit. Il en est de mêm</w:t>
      </w:r>
      <w:r w:rsidR="00437FE0">
        <w:rPr>
          <w:rFonts w:eastAsia="Times New Roman"/>
          <w:lang w:bidi="ar-EG"/>
        </w:rPr>
        <w:t xml:space="preserve">e pour le mot </w:t>
      </w:r>
      <w:r w:rsidRPr="00B867DF">
        <w:rPr>
          <w:rFonts w:eastAsia="Times New Roman"/>
          <w:i/>
          <w:iCs/>
          <w:lang w:bidi="ar-EG"/>
        </w:rPr>
        <w:t>ʿilm</w:t>
      </w:r>
      <w:r w:rsidRPr="00B867DF">
        <w:rPr>
          <w:rFonts w:eastAsia="Times New Roman"/>
          <w:lang w:bidi="ar-EG"/>
        </w:rPr>
        <w:t xml:space="preserve"> mentionné dans les versets 8 (« </w:t>
      </w:r>
      <w:r>
        <w:rPr>
          <w:rFonts w:eastAsia="Times New Roman" w:hint="cs"/>
          <w:rtl/>
          <w:lang w:bidi="ar-EG"/>
        </w:rPr>
        <w:t xml:space="preserve">يجادل في الله بغير </w:t>
      </w:r>
      <w:r w:rsidRPr="009966F2">
        <w:rPr>
          <w:rFonts w:eastAsia="Times New Roman" w:hint="cs"/>
          <w:b/>
          <w:bCs/>
          <w:rtl/>
          <w:lang w:bidi="ar-EG"/>
        </w:rPr>
        <w:t>ع</w:t>
      </w:r>
      <w:r>
        <w:rPr>
          <w:rFonts w:eastAsia="Times New Roman" w:hint="cs"/>
          <w:b/>
          <w:bCs/>
          <w:rtl/>
          <w:lang w:bidi="ar-EG"/>
        </w:rPr>
        <w:t>ِ</w:t>
      </w:r>
      <w:r w:rsidRPr="009966F2">
        <w:rPr>
          <w:rFonts w:eastAsia="Times New Roman" w:hint="cs"/>
          <w:b/>
          <w:bCs/>
          <w:rtl/>
          <w:lang w:bidi="ar-EG"/>
        </w:rPr>
        <w:t>لم</w:t>
      </w:r>
      <w:r>
        <w:rPr>
          <w:rFonts w:eastAsia="Times New Roman" w:hint="cs"/>
          <w:b/>
          <w:bCs/>
          <w:rtl/>
          <w:lang w:bidi="ar-EG"/>
        </w:rPr>
        <w:t>ٍ</w:t>
      </w:r>
      <w:r>
        <w:rPr>
          <w:rFonts w:eastAsia="Times New Roman" w:hint="cs"/>
          <w:rtl/>
          <w:lang w:bidi="ar-EG"/>
        </w:rPr>
        <w:t xml:space="preserve"> ولا هدىً ولا كتابٍ مُنير</w:t>
      </w:r>
      <w:r w:rsidRPr="00B867DF">
        <w:rPr>
          <w:rFonts w:eastAsia="Times New Roman"/>
          <w:lang w:bidi="ar-EG"/>
        </w:rPr>
        <w:t xml:space="preserve"> » [pour disputer sur Dieu sans la moindre </w:t>
      </w:r>
      <w:r w:rsidRPr="00B867DF">
        <w:rPr>
          <w:rFonts w:eastAsia="Times New Roman"/>
          <w:b/>
          <w:bCs/>
          <w:i/>
          <w:iCs/>
          <w:lang w:bidi="ar-EG"/>
        </w:rPr>
        <w:t>science</w:t>
      </w:r>
      <w:r w:rsidRPr="00B867DF">
        <w:rPr>
          <w:rFonts w:eastAsia="Times New Roman"/>
          <w:lang w:bidi="ar-EG"/>
        </w:rPr>
        <w:t xml:space="preserve">, sans guidance, sans </w:t>
      </w:r>
      <w:r w:rsidRPr="00B867DF">
        <w:rPr>
          <w:rFonts w:eastAsia="Times New Roman"/>
          <w:i/>
          <w:iCs/>
          <w:lang w:bidi="ar-EG"/>
        </w:rPr>
        <w:t>écrit</w:t>
      </w:r>
      <w:r w:rsidRPr="00B867DF">
        <w:rPr>
          <w:rFonts w:eastAsia="Times New Roman"/>
          <w:lang w:bidi="ar-EG"/>
        </w:rPr>
        <w:t xml:space="preserve"> de lumière]), 54 (« </w:t>
      </w:r>
      <w:r>
        <w:rPr>
          <w:rFonts w:eastAsia="Times New Roman" w:hint="cs"/>
          <w:rtl/>
          <w:lang w:bidi="ar-EG"/>
        </w:rPr>
        <w:t>وليَعْل</w:t>
      </w:r>
      <w:r w:rsidRPr="008C4B94">
        <w:rPr>
          <w:rFonts w:eastAsia="Times New Roman" w:hint="cs"/>
          <w:rtl/>
          <w:lang w:bidi="ar-EG"/>
        </w:rPr>
        <w:t>مَ</w:t>
      </w:r>
      <w:r w:rsidRPr="008C4B94">
        <w:rPr>
          <w:rFonts w:eastAsia="Times New Roman"/>
          <w:rtl/>
          <w:lang w:bidi="ar-EG"/>
        </w:rPr>
        <w:t xml:space="preserve"> </w:t>
      </w:r>
      <w:r>
        <w:rPr>
          <w:rFonts w:eastAsia="Times New Roman" w:hint="cs"/>
          <w:rtl/>
          <w:lang w:bidi="ar-EG"/>
        </w:rPr>
        <w:t>الَذين</w:t>
      </w:r>
      <w:r w:rsidRPr="008C4B94">
        <w:rPr>
          <w:rFonts w:eastAsia="Times New Roman"/>
          <w:rtl/>
          <w:lang w:bidi="ar-EG"/>
        </w:rPr>
        <w:t xml:space="preserve"> </w:t>
      </w:r>
      <w:r>
        <w:rPr>
          <w:rFonts w:eastAsia="Times New Roman" w:hint="cs"/>
          <w:rtl/>
          <w:lang w:bidi="ar-EG"/>
        </w:rPr>
        <w:t>أ</w:t>
      </w:r>
      <w:r w:rsidRPr="008C4B94">
        <w:rPr>
          <w:rFonts w:eastAsia="Times New Roman" w:hint="cs"/>
          <w:rtl/>
          <w:lang w:bidi="ar-EG"/>
        </w:rPr>
        <w:t>وتُوا</w:t>
      </w:r>
      <w:r w:rsidRPr="008C4B94">
        <w:rPr>
          <w:rFonts w:eastAsia="Times New Roman"/>
          <w:rtl/>
          <w:lang w:bidi="ar-EG"/>
        </w:rPr>
        <w:t xml:space="preserve"> </w:t>
      </w:r>
      <w:r w:rsidRPr="006773BA">
        <w:rPr>
          <w:rFonts w:eastAsia="Times New Roman" w:hint="cs"/>
          <w:b/>
          <w:bCs/>
          <w:rtl/>
          <w:lang w:bidi="ar-EG"/>
        </w:rPr>
        <w:t>العِلْمَ</w:t>
      </w:r>
      <w:r w:rsidRPr="008C4B94">
        <w:rPr>
          <w:rFonts w:eastAsia="Times New Roman"/>
          <w:rtl/>
          <w:lang w:bidi="ar-EG"/>
        </w:rPr>
        <w:t xml:space="preserve"> </w:t>
      </w:r>
      <w:r>
        <w:rPr>
          <w:rFonts w:eastAsia="Times New Roman" w:hint="cs"/>
          <w:rtl/>
          <w:lang w:bidi="ar-EG"/>
        </w:rPr>
        <w:t>أنه</w:t>
      </w:r>
      <w:r w:rsidRPr="008C4B94">
        <w:rPr>
          <w:rFonts w:eastAsia="Times New Roman"/>
          <w:rtl/>
          <w:lang w:bidi="ar-EG"/>
        </w:rPr>
        <w:t xml:space="preserve"> </w:t>
      </w:r>
      <w:r>
        <w:rPr>
          <w:rFonts w:eastAsia="Times New Roman" w:hint="cs"/>
          <w:rtl/>
          <w:lang w:bidi="ar-EG"/>
        </w:rPr>
        <w:t>الح</w:t>
      </w:r>
      <w:r w:rsidRPr="008C4B94">
        <w:rPr>
          <w:rFonts w:eastAsia="Times New Roman" w:hint="cs"/>
          <w:rtl/>
          <w:lang w:bidi="ar-EG"/>
        </w:rPr>
        <w:t>قُّ</w:t>
      </w:r>
      <w:r w:rsidRPr="008C4B94">
        <w:rPr>
          <w:rFonts w:eastAsia="Times New Roman"/>
          <w:rtl/>
          <w:lang w:bidi="ar-EG"/>
        </w:rPr>
        <w:t xml:space="preserve"> </w:t>
      </w:r>
      <w:r w:rsidRPr="008C4B94">
        <w:rPr>
          <w:rFonts w:eastAsia="Times New Roman" w:hint="cs"/>
          <w:rtl/>
          <w:lang w:bidi="ar-EG"/>
        </w:rPr>
        <w:t>مِن</w:t>
      </w:r>
      <w:r w:rsidRPr="008C4B94">
        <w:rPr>
          <w:rFonts w:eastAsia="Times New Roman"/>
          <w:rtl/>
          <w:lang w:bidi="ar-EG"/>
        </w:rPr>
        <w:t xml:space="preserve"> </w:t>
      </w:r>
      <w:r>
        <w:rPr>
          <w:rFonts w:eastAsia="Times New Roman" w:hint="cs"/>
          <w:rtl/>
          <w:lang w:bidi="ar-EG"/>
        </w:rPr>
        <w:t>ربِ</w:t>
      </w:r>
      <w:r w:rsidRPr="008C4B94">
        <w:rPr>
          <w:rFonts w:eastAsia="Times New Roman" w:hint="cs"/>
          <w:rtl/>
          <w:lang w:bidi="ar-EG"/>
        </w:rPr>
        <w:t>كَ</w:t>
      </w:r>
      <w:r w:rsidRPr="008C4B94">
        <w:rPr>
          <w:rFonts w:eastAsia="Times New Roman"/>
          <w:rtl/>
          <w:lang w:bidi="ar-EG"/>
        </w:rPr>
        <w:t xml:space="preserve"> </w:t>
      </w:r>
      <w:r>
        <w:rPr>
          <w:rFonts w:eastAsia="Times New Roman" w:hint="cs"/>
          <w:rtl/>
          <w:lang w:bidi="ar-EG"/>
        </w:rPr>
        <w:t>فيؤمِن</w:t>
      </w:r>
      <w:r w:rsidRPr="008C4B94">
        <w:rPr>
          <w:rFonts w:eastAsia="Times New Roman" w:hint="cs"/>
          <w:rtl/>
          <w:lang w:bidi="ar-EG"/>
        </w:rPr>
        <w:t>وا</w:t>
      </w:r>
      <w:r w:rsidRPr="008C4B94">
        <w:rPr>
          <w:rFonts w:eastAsia="Times New Roman"/>
          <w:rtl/>
          <w:lang w:bidi="ar-EG"/>
        </w:rPr>
        <w:t xml:space="preserve"> </w:t>
      </w:r>
      <w:r>
        <w:rPr>
          <w:rFonts w:eastAsia="Times New Roman" w:hint="cs"/>
          <w:rtl/>
          <w:lang w:bidi="ar-EG"/>
        </w:rPr>
        <w:t>به</w:t>
      </w:r>
      <w:r w:rsidRPr="00B867DF">
        <w:rPr>
          <w:rFonts w:eastAsia="Times New Roman"/>
          <w:lang w:bidi="ar-EG"/>
        </w:rPr>
        <w:t xml:space="preserve"> » [et pour qu’ils </w:t>
      </w:r>
      <w:r w:rsidRPr="00B867DF">
        <w:rPr>
          <w:rFonts w:eastAsia="Times New Roman"/>
          <w:b/>
          <w:bCs/>
          <w:i/>
          <w:iCs/>
          <w:lang w:bidi="ar-EG"/>
        </w:rPr>
        <w:t>sachent</w:t>
      </w:r>
      <w:r w:rsidRPr="00B867DF">
        <w:rPr>
          <w:rFonts w:eastAsia="Times New Roman"/>
          <w:lang w:bidi="ar-EG"/>
        </w:rPr>
        <w:t xml:space="preserve"> bien, ceux dotés de </w:t>
      </w:r>
      <w:r w:rsidRPr="00B867DF">
        <w:rPr>
          <w:rFonts w:eastAsia="Times New Roman"/>
          <w:b/>
          <w:bCs/>
          <w:i/>
          <w:iCs/>
          <w:lang w:bidi="ar-EG"/>
        </w:rPr>
        <w:t>science</w:t>
      </w:r>
      <w:r w:rsidRPr="00B867DF">
        <w:rPr>
          <w:rFonts w:eastAsia="Times New Roman"/>
          <w:lang w:bidi="ar-EG"/>
        </w:rPr>
        <w:t>, que ceci est bien le Vrai, venu de ton Seigneur; qu’ils croient donc en Lui]) et 71 (« </w:t>
      </w:r>
      <w:r>
        <w:rPr>
          <w:rFonts w:eastAsia="Times New Roman" w:hint="cs"/>
          <w:rtl/>
          <w:lang w:bidi="ar-EG"/>
        </w:rPr>
        <w:t>ويَعبدون</w:t>
      </w:r>
      <w:r w:rsidRPr="006773BA">
        <w:rPr>
          <w:rFonts w:eastAsia="Times New Roman"/>
          <w:rtl/>
          <w:lang w:bidi="ar-EG"/>
        </w:rPr>
        <w:t xml:space="preserve"> </w:t>
      </w:r>
      <w:r w:rsidRPr="006773BA">
        <w:rPr>
          <w:rFonts w:eastAsia="Times New Roman" w:hint="cs"/>
          <w:rtl/>
          <w:lang w:bidi="ar-EG"/>
        </w:rPr>
        <w:t>مِن</w:t>
      </w:r>
      <w:r w:rsidRPr="006773BA">
        <w:rPr>
          <w:rFonts w:eastAsia="Times New Roman"/>
          <w:rtl/>
          <w:lang w:bidi="ar-EG"/>
        </w:rPr>
        <w:t xml:space="preserve"> </w:t>
      </w:r>
      <w:r w:rsidRPr="006773BA">
        <w:rPr>
          <w:rFonts w:eastAsia="Times New Roman" w:hint="cs"/>
          <w:rtl/>
          <w:lang w:bidi="ar-EG"/>
        </w:rPr>
        <w:t>دُونِ</w:t>
      </w:r>
      <w:r w:rsidRPr="006773BA">
        <w:rPr>
          <w:rFonts w:eastAsia="Times New Roman"/>
          <w:rtl/>
          <w:lang w:bidi="ar-EG"/>
        </w:rPr>
        <w:t xml:space="preserve"> </w:t>
      </w:r>
      <w:r w:rsidRPr="006773BA">
        <w:rPr>
          <w:rFonts w:eastAsia="Times New Roman" w:hint="cs"/>
          <w:rtl/>
          <w:lang w:bidi="ar-EG"/>
        </w:rPr>
        <w:t>اللَّهِ</w:t>
      </w:r>
      <w:r w:rsidRPr="006773BA">
        <w:rPr>
          <w:rFonts w:eastAsia="Times New Roman"/>
          <w:rtl/>
          <w:lang w:bidi="ar-EG"/>
        </w:rPr>
        <w:t xml:space="preserve"> </w:t>
      </w:r>
      <w:r>
        <w:rPr>
          <w:rFonts w:eastAsia="Times New Roman" w:hint="cs"/>
          <w:rtl/>
          <w:lang w:bidi="ar-EG"/>
        </w:rPr>
        <w:t>م</w:t>
      </w:r>
      <w:r w:rsidRPr="006773BA">
        <w:rPr>
          <w:rFonts w:eastAsia="Times New Roman" w:hint="cs"/>
          <w:rtl/>
          <w:lang w:bidi="ar-EG"/>
        </w:rPr>
        <w:t>ا</w:t>
      </w:r>
      <w:r w:rsidRPr="006773BA">
        <w:rPr>
          <w:rFonts w:eastAsia="Times New Roman"/>
          <w:rtl/>
          <w:lang w:bidi="ar-EG"/>
        </w:rPr>
        <w:t xml:space="preserve"> </w:t>
      </w:r>
      <w:r>
        <w:rPr>
          <w:rFonts w:eastAsia="Times New Roman" w:hint="cs"/>
          <w:rtl/>
          <w:lang w:bidi="ar-EG"/>
        </w:rPr>
        <w:t>لم</w:t>
      </w:r>
      <w:r w:rsidRPr="006773BA">
        <w:rPr>
          <w:rFonts w:eastAsia="Times New Roman"/>
          <w:rtl/>
          <w:lang w:bidi="ar-EG"/>
        </w:rPr>
        <w:t xml:space="preserve"> </w:t>
      </w:r>
      <w:r w:rsidRPr="006773BA">
        <w:rPr>
          <w:rFonts w:eastAsia="Times New Roman" w:hint="cs"/>
          <w:rtl/>
          <w:lang w:bidi="ar-EG"/>
        </w:rPr>
        <w:t>يُنَزِّلْ</w:t>
      </w:r>
      <w:r w:rsidRPr="006773BA">
        <w:rPr>
          <w:rFonts w:eastAsia="Times New Roman"/>
          <w:rtl/>
          <w:lang w:bidi="ar-EG"/>
        </w:rPr>
        <w:t xml:space="preserve"> </w:t>
      </w:r>
      <w:r>
        <w:rPr>
          <w:rFonts w:eastAsia="Times New Roman" w:hint="cs"/>
          <w:rtl/>
          <w:lang w:bidi="ar-EG"/>
        </w:rPr>
        <w:t>به</w:t>
      </w:r>
      <w:r w:rsidRPr="006773BA">
        <w:rPr>
          <w:rFonts w:eastAsia="Times New Roman"/>
          <w:rtl/>
          <w:lang w:bidi="ar-EG"/>
        </w:rPr>
        <w:t xml:space="preserve"> </w:t>
      </w:r>
      <w:r>
        <w:rPr>
          <w:rFonts w:eastAsia="Times New Roman" w:hint="cs"/>
          <w:rtl/>
          <w:lang w:bidi="ar-EG"/>
        </w:rPr>
        <w:t>سُلطان</w:t>
      </w:r>
      <w:r w:rsidRPr="006773BA">
        <w:rPr>
          <w:rFonts w:eastAsia="Times New Roman" w:hint="cs"/>
          <w:rtl/>
          <w:lang w:bidi="ar-EG"/>
        </w:rPr>
        <w:t>ا</w:t>
      </w:r>
      <w:r>
        <w:rPr>
          <w:rFonts w:eastAsia="Times New Roman" w:hint="cs"/>
          <w:rtl/>
          <w:lang w:bidi="ar-EG"/>
        </w:rPr>
        <w:t>ً</w:t>
      </w:r>
      <w:r w:rsidRPr="006773BA">
        <w:rPr>
          <w:rFonts w:eastAsia="Times New Roman"/>
          <w:rtl/>
          <w:lang w:bidi="ar-EG"/>
        </w:rPr>
        <w:t xml:space="preserve"> </w:t>
      </w:r>
      <w:r>
        <w:rPr>
          <w:rFonts w:eastAsia="Times New Roman" w:hint="cs"/>
          <w:rtl/>
          <w:lang w:bidi="ar-EG"/>
        </w:rPr>
        <w:t>وم</w:t>
      </w:r>
      <w:r w:rsidRPr="006773BA">
        <w:rPr>
          <w:rFonts w:eastAsia="Times New Roman" w:hint="cs"/>
          <w:rtl/>
          <w:lang w:bidi="ar-EG"/>
        </w:rPr>
        <w:t>ا</w:t>
      </w:r>
      <w:r w:rsidRPr="006773BA">
        <w:rPr>
          <w:rFonts w:eastAsia="Times New Roman"/>
          <w:rtl/>
          <w:lang w:bidi="ar-EG"/>
        </w:rPr>
        <w:t xml:space="preserve"> </w:t>
      </w:r>
      <w:r>
        <w:rPr>
          <w:rFonts w:eastAsia="Times New Roman" w:hint="cs"/>
          <w:rtl/>
          <w:lang w:bidi="ar-EG"/>
        </w:rPr>
        <w:t>ليس</w:t>
      </w:r>
      <w:r w:rsidRPr="006773BA">
        <w:rPr>
          <w:rFonts w:eastAsia="Times New Roman"/>
          <w:rtl/>
          <w:lang w:bidi="ar-EG"/>
        </w:rPr>
        <w:t xml:space="preserve"> </w:t>
      </w:r>
      <w:r>
        <w:rPr>
          <w:rFonts w:eastAsia="Times New Roman" w:hint="cs"/>
          <w:rtl/>
          <w:lang w:bidi="ar-EG"/>
        </w:rPr>
        <w:t>له</w:t>
      </w:r>
      <w:r w:rsidRPr="006773BA">
        <w:rPr>
          <w:rFonts w:eastAsia="Times New Roman" w:hint="cs"/>
          <w:rtl/>
          <w:lang w:bidi="ar-EG"/>
        </w:rPr>
        <w:t>م</w:t>
      </w:r>
      <w:r w:rsidRPr="006773BA">
        <w:rPr>
          <w:rFonts w:eastAsia="Times New Roman"/>
          <w:rtl/>
          <w:lang w:bidi="ar-EG"/>
        </w:rPr>
        <w:t xml:space="preserve"> </w:t>
      </w:r>
      <w:r w:rsidRPr="006773BA">
        <w:rPr>
          <w:rFonts w:eastAsia="Times New Roman" w:hint="cs"/>
          <w:rtl/>
          <w:lang w:bidi="ar-EG"/>
        </w:rPr>
        <w:t>بِهِ</w:t>
      </w:r>
      <w:r w:rsidRPr="006773BA">
        <w:rPr>
          <w:rFonts w:eastAsia="Times New Roman"/>
          <w:rtl/>
          <w:lang w:bidi="ar-EG"/>
        </w:rPr>
        <w:t xml:space="preserve"> </w:t>
      </w:r>
      <w:r w:rsidRPr="006773BA">
        <w:rPr>
          <w:rFonts w:eastAsia="Times New Roman" w:hint="cs"/>
          <w:b/>
          <w:bCs/>
          <w:rtl/>
          <w:lang w:bidi="ar-EG"/>
        </w:rPr>
        <w:t>علمٌ</w:t>
      </w:r>
      <w:r w:rsidRPr="006773BA">
        <w:rPr>
          <w:rFonts w:eastAsia="Times New Roman"/>
          <w:b/>
          <w:bCs/>
          <w:lang w:bidi="ar-EG"/>
        </w:rPr>
        <w:t> </w:t>
      </w:r>
      <w:r w:rsidRPr="00B867DF">
        <w:rPr>
          <w:rFonts w:eastAsia="Times New Roman"/>
          <w:lang w:bidi="ar-EG"/>
        </w:rPr>
        <w:t xml:space="preserve">» [Ils adorent en place de Dieu cela qu’aucune justification n’escorte, dont ils n’ont pas la moindre </w:t>
      </w:r>
      <w:r w:rsidRPr="00B867DF">
        <w:rPr>
          <w:rFonts w:eastAsia="Times New Roman"/>
          <w:b/>
          <w:bCs/>
          <w:i/>
          <w:iCs/>
          <w:lang w:bidi="ar-EG"/>
        </w:rPr>
        <w:t>science</w:t>
      </w:r>
      <w:r w:rsidRPr="00B867DF">
        <w:rPr>
          <w:rFonts w:eastAsia="Times New Roman"/>
          <w:lang w:bidi="ar-EG"/>
        </w:rPr>
        <w:t>]).</w:t>
      </w:r>
    </w:p>
    <w:p w14:paraId="4C9AF0C8" w14:textId="77777777" w:rsidR="00296288" w:rsidRPr="00B867DF" w:rsidRDefault="00296288" w:rsidP="00296288">
      <w:pPr>
        <w:spacing w:line="360" w:lineRule="auto"/>
        <w:ind w:firstLine="708"/>
        <w:jc w:val="both"/>
        <w:rPr>
          <w:rFonts w:eastAsia="Times New Roman"/>
          <w:lang w:bidi="ar-EG"/>
        </w:rPr>
      </w:pPr>
    </w:p>
    <w:p w14:paraId="6F1408DD" w14:textId="77777777" w:rsidR="00296288" w:rsidRPr="00832DB5" w:rsidRDefault="00296288" w:rsidP="00296288">
      <w:pPr>
        <w:spacing w:line="360" w:lineRule="auto"/>
        <w:ind w:firstLine="708"/>
        <w:jc w:val="both"/>
        <w:rPr>
          <w:rFonts w:eastAsia="Times New Roman"/>
          <w:lang w:bidi="ar-EG"/>
        </w:rPr>
      </w:pPr>
      <w:r w:rsidRPr="00B867DF">
        <w:rPr>
          <w:rFonts w:eastAsia="Times New Roman"/>
          <w:lang w:bidi="ar-EG"/>
        </w:rPr>
        <w:t>Cependant, il s’agit d’un sens absolu dans les versets 5 (« </w:t>
      </w:r>
      <w:r>
        <w:rPr>
          <w:rFonts w:eastAsia="Times New Roman" w:hint="cs"/>
          <w:rtl/>
          <w:lang w:bidi="ar-EG"/>
        </w:rPr>
        <w:t xml:space="preserve">لكي لا </w:t>
      </w:r>
      <w:r w:rsidRPr="00E17C8F">
        <w:rPr>
          <w:rFonts w:eastAsia="Times New Roman" w:hint="cs"/>
          <w:b/>
          <w:bCs/>
          <w:rtl/>
          <w:lang w:bidi="ar-EG"/>
        </w:rPr>
        <w:t>يعلمَ</w:t>
      </w:r>
      <w:r>
        <w:rPr>
          <w:rFonts w:eastAsia="Times New Roman" w:hint="cs"/>
          <w:rtl/>
          <w:lang w:bidi="ar-EG"/>
        </w:rPr>
        <w:t xml:space="preserve"> مِن بعد</w:t>
      </w:r>
      <w:r w:rsidRPr="00E17C8F">
        <w:rPr>
          <w:rFonts w:eastAsia="Times New Roman" w:hint="cs"/>
          <w:b/>
          <w:bCs/>
          <w:rtl/>
          <w:lang w:bidi="ar-EG"/>
        </w:rPr>
        <w:t xml:space="preserve"> عِلمٍ</w:t>
      </w:r>
      <w:r>
        <w:rPr>
          <w:rFonts w:eastAsia="Times New Roman" w:hint="cs"/>
          <w:rtl/>
          <w:lang w:bidi="ar-EG"/>
        </w:rPr>
        <w:t xml:space="preserve"> شيئاً</w:t>
      </w:r>
      <w:r w:rsidRPr="00B867DF">
        <w:rPr>
          <w:rFonts w:eastAsia="Times New Roman"/>
          <w:lang w:bidi="ar-EG"/>
        </w:rPr>
        <w:t xml:space="preserve"> » [au point de ne rien </w:t>
      </w:r>
      <w:r w:rsidRPr="00B867DF">
        <w:rPr>
          <w:rFonts w:eastAsia="Times New Roman"/>
          <w:b/>
          <w:bCs/>
          <w:i/>
          <w:iCs/>
          <w:lang w:bidi="ar-EG"/>
        </w:rPr>
        <w:t>connaître</w:t>
      </w:r>
      <w:r w:rsidRPr="00B867DF">
        <w:rPr>
          <w:rFonts w:eastAsia="Times New Roman"/>
          <w:lang w:bidi="ar-EG"/>
        </w:rPr>
        <w:t xml:space="preserve"> après avoir </w:t>
      </w:r>
      <w:r w:rsidRPr="00B867DF">
        <w:rPr>
          <w:rFonts w:eastAsia="Times New Roman"/>
          <w:b/>
          <w:bCs/>
          <w:i/>
          <w:iCs/>
          <w:lang w:bidi="ar-EG"/>
        </w:rPr>
        <w:t>connu</w:t>
      </w:r>
      <w:r w:rsidRPr="00B867DF">
        <w:rPr>
          <w:rFonts w:eastAsia="Times New Roman"/>
          <w:lang w:bidi="ar-EG"/>
        </w:rPr>
        <w:t>]), 68 (« </w:t>
      </w:r>
      <w:r>
        <w:rPr>
          <w:rFonts w:eastAsia="Times New Roman" w:hint="cs"/>
          <w:rtl/>
          <w:lang w:bidi="ar-EG"/>
        </w:rPr>
        <w:t>وأن جادلوكَ فقُلِ اللهُ</w:t>
      </w:r>
      <w:r w:rsidRPr="00E17C8F">
        <w:rPr>
          <w:rFonts w:eastAsia="Times New Roman" w:hint="cs"/>
          <w:b/>
          <w:bCs/>
          <w:rtl/>
          <w:lang w:bidi="ar-EG"/>
        </w:rPr>
        <w:t xml:space="preserve"> أعلمُ</w:t>
      </w:r>
      <w:r>
        <w:rPr>
          <w:rFonts w:eastAsia="Times New Roman" w:hint="cs"/>
          <w:rtl/>
          <w:lang w:bidi="ar-EG"/>
        </w:rPr>
        <w:t xml:space="preserve"> بما تعملون</w:t>
      </w:r>
      <w:r w:rsidRPr="00B867DF">
        <w:rPr>
          <w:rFonts w:eastAsia="Times New Roman"/>
          <w:lang w:bidi="ar-EG"/>
        </w:rPr>
        <w:t xml:space="preserve"> » [s’ils te contestent, dis: Dieu est seul </w:t>
      </w:r>
      <w:r w:rsidRPr="00B867DF">
        <w:rPr>
          <w:rFonts w:eastAsia="Times New Roman"/>
          <w:b/>
          <w:bCs/>
          <w:i/>
          <w:iCs/>
          <w:lang w:bidi="ar-EG"/>
        </w:rPr>
        <w:t>à même de connaître</w:t>
      </w:r>
      <w:r w:rsidRPr="00B867DF">
        <w:rPr>
          <w:rFonts w:eastAsia="Times New Roman"/>
          <w:lang w:bidi="ar-EG"/>
        </w:rPr>
        <w:t xml:space="preserve"> vos agissements]), 70 (« </w:t>
      </w:r>
      <w:r>
        <w:rPr>
          <w:rFonts w:eastAsia="Times New Roman" w:hint="cs"/>
          <w:rtl/>
          <w:lang w:bidi="ar-EG"/>
        </w:rPr>
        <w:t xml:space="preserve">إلم </w:t>
      </w:r>
      <w:r w:rsidRPr="00E17C8F">
        <w:rPr>
          <w:rFonts w:eastAsia="Times New Roman" w:hint="cs"/>
          <w:b/>
          <w:bCs/>
          <w:rtl/>
          <w:lang w:bidi="ar-EG"/>
        </w:rPr>
        <w:t>تعلمْ</w:t>
      </w:r>
      <w:r>
        <w:rPr>
          <w:rFonts w:eastAsia="Times New Roman" w:hint="cs"/>
          <w:rtl/>
          <w:lang w:bidi="ar-EG"/>
        </w:rPr>
        <w:t xml:space="preserve"> أنَّ اللهَ </w:t>
      </w:r>
      <w:r w:rsidRPr="00E17C8F">
        <w:rPr>
          <w:rFonts w:eastAsia="Times New Roman" w:hint="cs"/>
          <w:b/>
          <w:bCs/>
          <w:rtl/>
          <w:lang w:bidi="ar-EG"/>
        </w:rPr>
        <w:t xml:space="preserve">يَعلمُ </w:t>
      </w:r>
      <w:r>
        <w:rPr>
          <w:rFonts w:eastAsia="Times New Roman" w:hint="cs"/>
          <w:rtl/>
          <w:lang w:bidi="ar-EG"/>
        </w:rPr>
        <w:t>ما في السماواتِ وما في الأرض</w:t>
      </w:r>
      <w:r w:rsidRPr="00B867DF">
        <w:rPr>
          <w:rFonts w:eastAsia="Times New Roman"/>
          <w:lang w:bidi="ar-EG"/>
        </w:rPr>
        <w:t xml:space="preserve"> » [Ne </w:t>
      </w:r>
      <w:r w:rsidRPr="00B867DF">
        <w:rPr>
          <w:rFonts w:eastAsia="Times New Roman"/>
          <w:b/>
          <w:bCs/>
          <w:i/>
          <w:iCs/>
          <w:lang w:bidi="ar-EG"/>
        </w:rPr>
        <w:t>sais</w:t>
      </w:r>
      <w:r w:rsidRPr="00B867DF">
        <w:rPr>
          <w:rFonts w:eastAsia="Times New Roman"/>
          <w:lang w:bidi="ar-EG"/>
        </w:rPr>
        <w:t xml:space="preserve">-tu pas que Dieu </w:t>
      </w:r>
      <w:r w:rsidRPr="00B867DF">
        <w:rPr>
          <w:rFonts w:eastAsia="Times New Roman"/>
          <w:b/>
          <w:bCs/>
          <w:i/>
          <w:iCs/>
          <w:lang w:bidi="ar-EG"/>
        </w:rPr>
        <w:t>sait</w:t>
      </w:r>
      <w:r w:rsidRPr="00B867DF">
        <w:rPr>
          <w:rFonts w:eastAsia="Times New Roman"/>
          <w:lang w:bidi="ar-EG"/>
        </w:rPr>
        <w:t xml:space="preserve"> tout ce qu’il y a dans les cieux et sur la terre]) et 76 (« </w:t>
      </w:r>
      <w:r>
        <w:rPr>
          <w:rFonts w:eastAsia="Times New Roman" w:hint="cs"/>
          <w:b/>
          <w:bCs/>
          <w:rtl/>
          <w:lang w:bidi="ar-EG"/>
        </w:rPr>
        <w:t>يَعلمُ</w:t>
      </w:r>
      <w:r w:rsidRPr="00E17C8F">
        <w:rPr>
          <w:rFonts w:eastAsia="Times New Roman" w:hint="cs"/>
          <w:rtl/>
          <w:lang w:bidi="ar-EG"/>
        </w:rPr>
        <w:t xml:space="preserve"> ما بين أيديهم وما خَلفَهم</w:t>
      </w:r>
      <w:r w:rsidRPr="00B867DF">
        <w:rPr>
          <w:rFonts w:eastAsia="Times New Roman"/>
          <w:lang w:bidi="ar-EG"/>
        </w:rPr>
        <w:t xml:space="preserve"> » [Il </w:t>
      </w:r>
      <w:r w:rsidRPr="00B867DF">
        <w:rPr>
          <w:rFonts w:eastAsia="Times New Roman"/>
          <w:b/>
          <w:bCs/>
          <w:i/>
          <w:iCs/>
          <w:lang w:bidi="ar-EG"/>
        </w:rPr>
        <w:t>sait</w:t>
      </w:r>
      <w:r w:rsidRPr="00B867DF">
        <w:rPr>
          <w:rFonts w:eastAsia="Times New Roman"/>
          <w:lang w:bidi="ar-EG"/>
        </w:rPr>
        <w:t xml:space="preserve"> ce qu’ils ont devant eux et ce qui leur vient derrière]).</w:t>
      </w:r>
    </w:p>
    <w:p w14:paraId="6EA4E8D0" w14:textId="77777777" w:rsidR="00296288" w:rsidRDefault="00296288" w:rsidP="00296288">
      <w:pPr>
        <w:spacing w:line="360" w:lineRule="auto"/>
        <w:ind w:firstLine="708"/>
        <w:jc w:val="both"/>
        <w:rPr>
          <w:rFonts w:eastAsia="Times New Roman"/>
          <w:lang w:bidi="ar-AE"/>
        </w:rPr>
      </w:pPr>
      <w:r w:rsidRPr="00B867DF">
        <w:rPr>
          <w:rFonts w:eastAsia="Times New Roman"/>
          <w:lang w:bidi="ar-AE"/>
        </w:rPr>
        <w:t>Dans le verset 8 (</w:t>
      </w:r>
      <w:r w:rsidRPr="00B867DF">
        <w:rPr>
          <w:rFonts w:ascii="Simplified Arabic" w:eastAsia="Times New Roman" w:hAnsi="Simplified Arabic" w:cs="Simplified Arabic"/>
          <w:rtl/>
          <w:lang w:bidi="ar-AE"/>
        </w:rPr>
        <w:t xml:space="preserve">ومِنَ النَّاسِ مَنْ يُجادِلُ في اللهِ بِغَيْرِ </w:t>
      </w:r>
      <w:r w:rsidRPr="00B867DF">
        <w:rPr>
          <w:rFonts w:ascii="Simplified Arabic" w:eastAsia="Times New Roman" w:hAnsi="Simplified Arabic" w:cs="Simplified Arabic"/>
          <w:i/>
          <w:iCs/>
          <w:rtl/>
          <w:lang w:bidi="ar-AE"/>
        </w:rPr>
        <w:t>عِلْمٍ</w:t>
      </w:r>
      <w:r w:rsidRPr="00B867DF">
        <w:rPr>
          <w:rFonts w:ascii="Simplified Arabic" w:eastAsia="Times New Roman" w:hAnsi="Simplified Arabic" w:cs="Simplified Arabic"/>
          <w:lang w:bidi="ar-AE"/>
        </w:rPr>
        <w:t xml:space="preserve"> [</w:t>
      </w:r>
      <w:r w:rsidRPr="00B867DF">
        <w:rPr>
          <w:rFonts w:eastAsia="Times New Roman"/>
          <w:lang w:bidi="ar-AE"/>
        </w:rPr>
        <w:t xml:space="preserve">Et cependant il en est parmi les hommes pour disputer sur Dieu sans la moindre </w:t>
      </w:r>
      <w:r w:rsidRPr="00B867DF">
        <w:rPr>
          <w:rFonts w:eastAsia="Times New Roman"/>
          <w:i/>
          <w:iCs/>
          <w:lang w:bidi="ar-AE"/>
        </w:rPr>
        <w:t>science</w:t>
      </w:r>
      <w:r w:rsidRPr="00B867DF">
        <w:rPr>
          <w:rFonts w:eastAsia="Times New Roman"/>
          <w:lang w:bidi="ar-AE"/>
        </w:rPr>
        <w:t xml:space="preserve">]), les exégètes ont donné au mot </w:t>
      </w:r>
      <w:r w:rsidRPr="00B867DF">
        <w:rPr>
          <w:rFonts w:eastAsia="Times New Roman"/>
          <w:i/>
          <w:iCs/>
          <w:lang w:bidi="ar-AE"/>
        </w:rPr>
        <w:t>ʿilm</w:t>
      </w:r>
      <w:r w:rsidRPr="00B867DF">
        <w:rPr>
          <w:rFonts w:eastAsia="Times New Roman"/>
          <w:lang w:bidi="ar-AE"/>
        </w:rPr>
        <w:t xml:space="preserve"> d’autres interprétations : </w:t>
      </w:r>
      <w:r w:rsidRPr="00B867DF">
        <w:rPr>
          <w:rFonts w:eastAsia="Times New Roman"/>
          <w:i/>
          <w:iCs/>
          <w:lang w:bidi="ar-AE"/>
        </w:rPr>
        <w:t>istidlāl</w:t>
      </w:r>
      <w:r w:rsidRPr="00B867DF">
        <w:rPr>
          <w:rFonts w:eastAsia="Times New Roman"/>
          <w:lang w:bidi="ar-AE"/>
        </w:rPr>
        <w:t xml:space="preserve"> [raisonnement], </w:t>
      </w:r>
      <w:r w:rsidRPr="00B867DF">
        <w:rPr>
          <w:rFonts w:eastAsia="Times New Roman"/>
          <w:i/>
          <w:iCs/>
          <w:lang w:bidi="ar-AE"/>
        </w:rPr>
        <w:t>ʿilm ḍarūrī</w:t>
      </w:r>
      <w:r w:rsidRPr="00B867DF">
        <w:rPr>
          <w:rFonts w:eastAsia="Times New Roman"/>
          <w:lang w:bidi="ar-AE"/>
        </w:rPr>
        <w:t xml:space="preserve"> [connaissance indispensable], </w:t>
      </w:r>
      <w:r w:rsidRPr="00B867DF">
        <w:rPr>
          <w:rFonts w:eastAsia="Times New Roman"/>
          <w:i/>
          <w:iCs/>
          <w:lang w:bidi="ar-AE"/>
        </w:rPr>
        <w:t>ʿilm badahī</w:t>
      </w:r>
      <w:r w:rsidRPr="00B867DF">
        <w:rPr>
          <w:rFonts w:eastAsia="Times New Roman"/>
          <w:lang w:bidi="ar-AE"/>
        </w:rPr>
        <w:t xml:space="preserve"> [connaissance incontestable] et </w:t>
      </w:r>
      <w:r w:rsidRPr="00B867DF">
        <w:rPr>
          <w:rFonts w:eastAsia="Times New Roman"/>
          <w:i/>
          <w:iCs/>
          <w:lang w:bidi="ar-AE"/>
        </w:rPr>
        <w:t>taʾammul</w:t>
      </w:r>
      <w:r w:rsidRPr="00B867DF">
        <w:rPr>
          <w:rFonts w:eastAsia="Times New Roman"/>
          <w:lang w:bidi="ar-AE"/>
        </w:rPr>
        <w:t xml:space="preserve"> [méditation].</w:t>
      </w:r>
    </w:p>
    <w:p w14:paraId="47846E5F" w14:textId="77777777" w:rsidR="00296288" w:rsidRPr="00B867DF" w:rsidRDefault="00296288" w:rsidP="00296288">
      <w:pPr>
        <w:spacing w:line="360" w:lineRule="auto"/>
        <w:ind w:firstLine="708"/>
        <w:jc w:val="both"/>
        <w:rPr>
          <w:rFonts w:eastAsia="Calibri"/>
          <w:lang w:bidi="ar-AE"/>
        </w:rPr>
      </w:pPr>
    </w:p>
    <w:p w14:paraId="3E8B0143" w14:textId="77777777" w:rsidR="00296288" w:rsidRPr="0072451F" w:rsidRDefault="00296288" w:rsidP="007640DC">
      <w:pPr>
        <w:pStyle w:val="Paragraphedeliste"/>
        <w:numPr>
          <w:ilvl w:val="0"/>
          <w:numId w:val="62"/>
        </w:numPr>
        <w:bidi w:val="0"/>
        <w:spacing w:after="0" w:line="360" w:lineRule="auto"/>
        <w:contextualSpacing/>
        <w:jc w:val="both"/>
        <w:rPr>
          <w:rFonts w:ascii="Times New Roman" w:eastAsia="Calibri" w:hAnsi="Times New Roman" w:cs="Times New Roman"/>
          <w:b/>
          <w:bCs/>
          <w:sz w:val="24"/>
          <w:szCs w:val="24"/>
          <w:lang w:bidi="ar-AE"/>
        </w:rPr>
      </w:pPr>
      <w:r w:rsidRPr="0072451F">
        <w:rPr>
          <w:rFonts w:ascii="Times New Roman" w:eastAsia="Calibri" w:hAnsi="Times New Roman" w:cs="Times New Roman"/>
          <w:b/>
          <w:bCs/>
          <w:sz w:val="24"/>
          <w:szCs w:val="24"/>
          <w:lang w:bidi="ar-AE"/>
        </w:rPr>
        <w:t xml:space="preserve">Le terme </w:t>
      </w:r>
      <w:r w:rsidRPr="0072451F">
        <w:rPr>
          <w:rFonts w:ascii="Times New Roman" w:hAnsi="Times New Roman" w:cs="Times New Roman"/>
          <w:b/>
          <w:bCs/>
          <w:i/>
          <w:iCs/>
          <w:sz w:val="24"/>
          <w:szCs w:val="24"/>
          <w:lang w:eastAsia="fr-FR" w:bidi="ar-AE"/>
        </w:rPr>
        <w:t>rayb</w:t>
      </w:r>
      <w:r w:rsidRPr="0072451F">
        <w:rPr>
          <w:rFonts w:ascii="Times New Roman" w:hAnsi="Times New Roman" w:cs="Times New Roman"/>
          <w:b/>
          <w:bCs/>
          <w:sz w:val="24"/>
          <w:szCs w:val="24"/>
          <w:lang w:eastAsia="fr-FR" w:bidi="ar-AE"/>
        </w:rPr>
        <w:t> :</w:t>
      </w:r>
    </w:p>
    <w:p w14:paraId="75BC3D81"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Tous les exégètes ont interprété le substantif </w:t>
      </w:r>
      <w:r w:rsidRPr="00B867DF">
        <w:rPr>
          <w:rFonts w:eastAsia="Times New Roman"/>
          <w:i/>
          <w:iCs/>
          <w:lang w:bidi="ar-AE"/>
        </w:rPr>
        <w:t>rayb</w:t>
      </w:r>
      <w:r w:rsidRPr="00B867DF">
        <w:rPr>
          <w:rFonts w:eastAsia="Times New Roman"/>
          <w:lang w:bidi="ar-AE"/>
        </w:rPr>
        <w:t xml:space="preserve"> (verset 5) par : doute, sauf </w:t>
      </w:r>
      <w:r w:rsidRPr="00B867DF">
        <w:rPr>
          <w:rFonts w:eastAsia="Times New Roman" w:cs="Arial"/>
        </w:rPr>
        <w:t>Amīn Shaykhū</w:t>
      </w:r>
      <w:r w:rsidRPr="00B867DF">
        <w:rPr>
          <w:rFonts w:eastAsia="Times New Roman"/>
          <w:lang w:bidi="ar-AE"/>
        </w:rPr>
        <w:t xml:space="preserve"> qui a ajouté une autre signification, c’est le passage d’un état ou d’une situation à une autre, et il cite le verbe </w:t>
      </w:r>
      <w:r w:rsidRPr="00B867DF">
        <w:rPr>
          <w:rFonts w:eastAsia="Times New Roman"/>
          <w:i/>
          <w:iCs/>
          <w:lang w:bidi="ar-AE"/>
        </w:rPr>
        <w:t>rawwaba</w:t>
      </w:r>
      <w:r w:rsidRPr="00B867DF">
        <w:rPr>
          <w:rFonts w:eastAsia="Times New Roman"/>
          <w:lang w:bidi="ar-AE"/>
        </w:rPr>
        <w:t xml:space="preserve"> [</w:t>
      </w:r>
      <w:r w:rsidRPr="00B867DF">
        <w:rPr>
          <w:rFonts w:eastAsia="Times New Roman"/>
          <w:i/>
          <w:iCs/>
          <w:lang w:bidi="ar-AE"/>
        </w:rPr>
        <w:t>cailler</w:t>
      </w:r>
      <w:r w:rsidRPr="00B867DF">
        <w:rPr>
          <w:rFonts w:eastAsia="Times New Roman"/>
          <w:lang w:bidi="ar-AE"/>
        </w:rPr>
        <w:t xml:space="preserve">, </w:t>
      </w:r>
      <w:r w:rsidRPr="00B867DF">
        <w:rPr>
          <w:rFonts w:eastAsia="Times New Roman"/>
          <w:i/>
          <w:iCs/>
          <w:lang w:bidi="ar-AE"/>
        </w:rPr>
        <w:t>présurer</w:t>
      </w:r>
      <w:r w:rsidRPr="00B867DF">
        <w:rPr>
          <w:rFonts w:eastAsia="Times New Roman"/>
          <w:lang w:bidi="ar-AE"/>
        </w:rPr>
        <w:t xml:space="preserve">, en parlant du lait], c’est-à-dire rendre solide </w:t>
      </w:r>
      <w:r w:rsidRPr="00B867DF">
        <w:rPr>
          <w:rFonts w:eastAsia="Times New Roman"/>
          <w:lang w:bidi="ar-AE"/>
        </w:rPr>
        <w:lastRenderedPageBreak/>
        <w:t xml:space="preserve">ou plus solide ce qui était liquide, à savoir passer d’un état à un autre. Ce </w:t>
      </w:r>
      <w:r w:rsidRPr="00B867DF">
        <w:rPr>
          <w:rFonts w:eastAsia="Times New Roman"/>
          <w:i/>
          <w:iCs/>
          <w:lang w:bidi="ar-AE"/>
        </w:rPr>
        <w:t>rayb</w:t>
      </w:r>
      <w:r w:rsidRPr="00B867DF">
        <w:rPr>
          <w:rFonts w:eastAsia="Times New Roman"/>
          <w:lang w:bidi="ar-AE"/>
        </w:rPr>
        <w:t xml:space="preserve"> [doute] concerne la croyance appelée </w:t>
      </w:r>
      <w:r w:rsidRPr="00B867DF">
        <w:rPr>
          <w:rFonts w:eastAsia="Times New Roman"/>
          <w:i/>
          <w:iCs/>
          <w:lang w:bidi="ar-AE"/>
        </w:rPr>
        <w:t>al-baʿth</w:t>
      </w:r>
      <w:r w:rsidRPr="00B867DF">
        <w:rPr>
          <w:rFonts w:eastAsia="Times New Roman"/>
          <w:lang w:bidi="ar-AE"/>
        </w:rPr>
        <w:t xml:space="preserve"> [le retour, la renaissance ou la résurrection], un concept qui désigne le fait de revenir à la vie et qui prend ses racines dans la naissance et la renaissance du cycle de la vie à travers le déroulement des saisons, à travers la renaissance cyclique de la nature. Le verset veut dire que notre naissance à partir du sperme créé à son tour à partir des éléments de la terre constitue une preuve d’</w:t>
      </w:r>
      <w:r w:rsidRPr="00B867DF">
        <w:rPr>
          <w:rFonts w:eastAsia="Times New Roman"/>
          <w:i/>
          <w:iCs/>
          <w:lang w:bidi="ar-AE"/>
        </w:rPr>
        <w:t>al-baʿth</w:t>
      </w:r>
      <w:r w:rsidRPr="00B867DF">
        <w:rPr>
          <w:rFonts w:eastAsia="Times New Roman"/>
          <w:lang w:bidi="ar-AE"/>
        </w:rPr>
        <w:t xml:space="preserve">. Puisque Dieu nous a créés une fois, il est logiquement en mesure de répéter cette création de la même manière. Cela signifie logiquement et linguistiquement que le vocable </w:t>
      </w:r>
      <w:r w:rsidRPr="00B867DF">
        <w:rPr>
          <w:rFonts w:eastAsia="Times New Roman"/>
          <w:i/>
          <w:iCs/>
          <w:lang w:bidi="ar-AE"/>
        </w:rPr>
        <w:t>al-baʿth</w:t>
      </w:r>
      <w:r w:rsidRPr="00B867DF">
        <w:rPr>
          <w:rFonts w:eastAsia="Times New Roman"/>
          <w:lang w:bidi="ar-AE"/>
        </w:rPr>
        <w:t xml:space="preserve"> [</w:t>
      </w:r>
      <w:r w:rsidRPr="00B867DF">
        <w:rPr>
          <w:rFonts w:eastAsia="Times New Roman"/>
          <w:i/>
          <w:iCs/>
          <w:lang w:bidi="ar-AE"/>
        </w:rPr>
        <w:t>litt. </w:t>
      </w:r>
      <w:r w:rsidRPr="00B867DF">
        <w:rPr>
          <w:rFonts w:eastAsia="Times New Roman"/>
          <w:lang w:bidi="ar-AE"/>
        </w:rPr>
        <w:t xml:space="preserve">: le retour] dénote un cycle et fait allusion plus à la renaissance qu’à la résurrection collective. Ce terme désigne, selon l’exégèse sunnite et chiite, le retour des morts à la vie à la fin du monde pour le jugement dernier. Désignant un événement qui se déroulera dans </w:t>
      </w:r>
      <w:r w:rsidRPr="00B867DF">
        <w:rPr>
          <w:rFonts w:eastAsia="Times New Roman"/>
          <w:i/>
          <w:iCs/>
          <w:lang w:bidi="ar-AE"/>
        </w:rPr>
        <w:t>l’autre monde</w:t>
      </w:r>
      <w:r w:rsidRPr="00B867DF">
        <w:rPr>
          <w:rFonts w:eastAsia="Times New Roman"/>
          <w:lang w:bidi="ar-AE"/>
        </w:rPr>
        <w:t xml:space="preserve">, </w:t>
      </w:r>
      <w:r w:rsidRPr="00B867DF">
        <w:rPr>
          <w:rFonts w:eastAsia="Times New Roman"/>
          <w:i/>
          <w:iCs/>
          <w:lang w:bidi="ar-AE"/>
        </w:rPr>
        <w:t>l’au-delà</w:t>
      </w:r>
      <w:r w:rsidRPr="00B867DF">
        <w:rPr>
          <w:rFonts w:eastAsia="Times New Roman"/>
          <w:lang w:bidi="ar-AE"/>
        </w:rPr>
        <w:t>, selon les courants orthodoxes, ce même concept d’</w:t>
      </w:r>
      <w:r w:rsidRPr="00B867DF">
        <w:rPr>
          <w:rFonts w:eastAsia="Times New Roman"/>
          <w:i/>
          <w:iCs/>
          <w:lang w:bidi="ar-AE"/>
        </w:rPr>
        <w:t>al-baʿth</w:t>
      </w:r>
      <w:r w:rsidRPr="00B867DF">
        <w:rPr>
          <w:rFonts w:eastAsia="Times New Roman"/>
          <w:lang w:bidi="ar-AE"/>
        </w:rPr>
        <w:t xml:space="preserve"> désigne, cependant, selon les courants hétérodoxes un événement qui s’est déroulé, se déroule et se déroulera dans </w:t>
      </w:r>
      <w:r w:rsidRPr="00B867DF">
        <w:rPr>
          <w:rFonts w:eastAsia="Times New Roman"/>
          <w:i/>
          <w:iCs/>
          <w:lang w:bidi="ar-AE"/>
        </w:rPr>
        <w:t>ce bas monde</w:t>
      </w:r>
      <w:r w:rsidRPr="00B867DF">
        <w:rPr>
          <w:rFonts w:eastAsia="Calibri"/>
          <w:vertAlign w:val="superscript"/>
          <w:lang w:bidi="ar-AE"/>
        </w:rPr>
        <w:footnoteReference w:id="228"/>
      </w:r>
      <w:r w:rsidRPr="00B867DF">
        <w:rPr>
          <w:rFonts w:eastAsia="Times New Roman"/>
          <w:lang w:bidi="ar-AE"/>
        </w:rPr>
        <w:t xml:space="preserve">, à savoir : la renaissance, la réincarnation. Cependant, Al-Qurṭubī </w:t>
      </w:r>
      <w:r w:rsidRPr="00B867DF">
        <w:rPr>
          <w:rFonts w:eastAsia="Calibri" w:cs="Arial"/>
          <w:lang w:bidi="ar-EG"/>
        </w:rPr>
        <w:t>(</w:t>
      </w:r>
      <w:r w:rsidRPr="00B867DF">
        <w:rPr>
          <w:lang w:bidi="ar-EG"/>
        </w:rPr>
        <w:t xml:space="preserve">m. </w:t>
      </w:r>
      <w:r w:rsidRPr="00B867DF">
        <w:rPr>
          <w:rFonts w:eastAsia="Calibri" w:cs="Arial"/>
          <w:lang w:bidi="ar-EG"/>
        </w:rPr>
        <w:t>1273)</w:t>
      </w:r>
      <w:r w:rsidRPr="00B867DF">
        <w:rPr>
          <w:rFonts w:eastAsia="Times New Roman"/>
          <w:lang w:bidi="ar-AE"/>
        </w:rPr>
        <w:t xml:space="preserve">, un exégète sunnite, fait allusion à un recommencement, à un cycle, en expliquant le terme </w:t>
      </w:r>
      <w:r w:rsidRPr="00B867DF">
        <w:rPr>
          <w:rFonts w:eastAsia="Times New Roman"/>
          <w:i/>
          <w:iCs/>
          <w:lang w:bidi="ar-AE"/>
        </w:rPr>
        <w:t>al-baʿth</w:t>
      </w:r>
      <w:r w:rsidRPr="00B867DF">
        <w:rPr>
          <w:rFonts w:eastAsia="Times New Roman"/>
          <w:lang w:bidi="ar-AE"/>
        </w:rPr>
        <w:t xml:space="preserve"> par le terme </w:t>
      </w:r>
      <w:r w:rsidRPr="00B867DF">
        <w:rPr>
          <w:rFonts w:eastAsia="Times New Roman"/>
          <w:i/>
          <w:iCs/>
          <w:lang w:bidi="ar-AE"/>
        </w:rPr>
        <w:t>al-iʿāda</w:t>
      </w:r>
      <w:r w:rsidRPr="00B867DF">
        <w:rPr>
          <w:rFonts w:eastAsia="Times New Roman"/>
          <w:lang w:bidi="ar-AE"/>
        </w:rPr>
        <w:t xml:space="preserve"> (la répétition, la reprise) bien que la réincarnation ne figure pas dans l’islam orthodoxe qui lui préfère, comme les autres religions monothéistes, la doctrine de la résurrection.</w:t>
      </w:r>
    </w:p>
    <w:p w14:paraId="519079B8" w14:textId="77777777" w:rsidR="00296288" w:rsidRPr="00B867DF" w:rsidRDefault="00296288" w:rsidP="00296288">
      <w:pPr>
        <w:spacing w:line="360" w:lineRule="auto"/>
        <w:jc w:val="both"/>
        <w:rPr>
          <w:rFonts w:eastAsia="Times New Roman"/>
          <w:lang w:bidi="ar-AE"/>
        </w:rPr>
      </w:pPr>
    </w:p>
    <w:p w14:paraId="2E9A6B6D" w14:textId="77777777" w:rsidR="00296288" w:rsidRPr="0072451F"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AE"/>
        </w:rPr>
      </w:pPr>
      <w:r w:rsidRPr="0072451F">
        <w:rPr>
          <w:rFonts w:ascii="Times New Roman" w:hAnsi="Times New Roman" w:cs="Times New Roman"/>
          <w:b/>
          <w:bCs/>
          <w:sz w:val="24"/>
          <w:szCs w:val="24"/>
          <w:lang w:eastAsia="fr-FR" w:bidi="ar-AE"/>
        </w:rPr>
        <w:t xml:space="preserve">De quel </w:t>
      </w:r>
      <w:r w:rsidRPr="0072451F">
        <w:rPr>
          <w:rFonts w:ascii="Times New Roman" w:hAnsi="Times New Roman" w:cs="Times New Roman"/>
          <w:b/>
          <w:bCs/>
          <w:i/>
          <w:iCs/>
          <w:sz w:val="24"/>
          <w:szCs w:val="24"/>
          <w:lang w:eastAsia="fr-FR" w:bidi="ar-AE"/>
        </w:rPr>
        <w:t>baʿth</w:t>
      </w:r>
      <w:r w:rsidRPr="0072451F">
        <w:rPr>
          <w:rFonts w:ascii="Times New Roman" w:hAnsi="Times New Roman" w:cs="Times New Roman"/>
          <w:b/>
          <w:bCs/>
          <w:sz w:val="24"/>
          <w:szCs w:val="24"/>
          <w:lang w:eastAsia="fr-FR" w:bidi="ar-AE"/>
        </w:rPr>
        <w:t xml:space="preserve"> s’agit-il ?</w:t>
      </w:r>
    </w:p>
    <w:p w14:paraId="7517F76E"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L’ambigüité du vocable </w:t>
      </w:r>
      <w:r w:rsidRPr="00B867DF">
        <w:rPr>
          <w:rFonts w:eastAsia="Times New Roman"/>
          <w:i/>
          <w:iCs/>
          <w:lang w:bidi="ar-AE"/>
        </w:rPr>
        <w:t>al-baʿth</w:t>
      </w:r>
      <w:r w:rsidRPr="00B867DF">
        <w:rPr>
          <w:rFonts w:eastAsia="Times New Roman"/>
          <w:lang w:bidi="ar-AE"/>
        </w:rPr>
        <w:t xml:space="preserve"> (v. 5) est due à l’existence de deux vides : </w:t>
      </w:r>
      <w:r w:rsidRPr="00B867DF">
        <w:rPr>
          <w:rFonts w:eastAsia="Times New Roman"/>
          <w:i/>
          <w:iCs/>
          <w:lang w:bidi="ar-AE"/>
        </w:rPr>
        <w:t>quand</w:t>
      </w:r>
      <w:r w:rsidRPr="00B867DF">
        <w:rPr>
          <w:rFonts w:eastAsia="Times New Roman"/>
          <w:lang w:bidi="ar-AE"/>
        </w:rPr>
        <w:t xml:space="preserve"> et </w:t>
      </w:r>
      <w:r w:rsidRPr="00B867DF">
        <w:rPr>
          <w:rFonts w:eastAsia="Times New Roman"/>
          <w:i/>
          <w:iCs/>
          <w:lang w:bidi="ar-AE"/>
        </w:rPr>
        <w:t>comment</w:t>
      </w:r>
      <w:r w:rsidRPr="00B867DF">
        <w:rPr>
          <w:rFonts w:eastAsia="Times New Roman"/>
          <w:lang w:bidi="ar-AE"/>
        </w:rPr>
        <w:t xml:space="preserve"> se déroule </w:t>
      </w:r>
      <w:r w:rsidRPr="00B867DF">
        <w:rPr>
          <w:rFonts w:eastAsia="Times New Roman"/>
          <w:i/>
          <w:iCs/>
          <w:lang w:bidi="ar-AE"/>
        </w:rPr>
        <w:t>al-baʿth </w:t>
      </w:r>
      <w:r w:rsidRPr="00B867DF">
        <w:rPr>
          <w:rFonts w:eastAsia="Times New Roman"/>
          <w:lang w:bidi="ar-AE"/>
        </w:rPr>
        <w:t>? C’est pourquoi nous en avons deux interprétations : la réincarnation (événement périodique et perpétuel) et la résurrection (événement unique). Cependant, le quand et le comment se trouvent disséminés dans d’autres versets et dans les hadiths. Puisque les Arabes préislamiques ne croyaient pas, semble-t-il, à la réincarnation, le Coran en a fourni plusieurs preuves logiques</w:t>
      </w:r>
      <w:r w:rsidRPr="00B867DF">
        <w:rPr>
          <w:rFonts w:eastAsia="Times New Roman"/>
        </w:rPr>
        <w:t>, des raisonnements, des syllogismes</w:t>
      </w:r>
      <w:r w:rsidRPr="00B867DF">
        <w:rPr>
          <w:rFonts w:eastAsia="Times New Roman"/>
          <w:lang w:bidi="ar-AE"/>
        </w:rPr>
        <w:t xml:space="preserve"> dont le verset XXII, 5. Al-Alūsī (1803-1854) souligne dans son </w:t>
      </w:r>
      <w:r w:rsidRPr="00B867DF">
        <w:rPr>
          <w:rFonts w:eastAsia="Times New Roman"/>
          <w:i/>
          <w:iCs/>
          <w:lang w:bidi="ar-AE"/>
        </w:rPr>
        <w:t>Tafsīr</w:t>
      </w:r>
      <w:r w:rsidRPr="00B867DF">
        <w:rPr>
          <w:rFonts w:eastAsia="Times New Roman"/>
          <w:lang w:bidi="ar-AE"/>
        </w:rPr>
        <w:t> : « </w:t>
      </w:r>
      <w:r>
        <w:rPr>
          <w:rFonts w:eastAsia="Times New Roman" w:hint="cs"/>
          <w:rtl/>
          <w:lang w:bidi="ar-AE"/>
        </w:rPr>
        <w:t>ولم يخطُرْ ببالِهم التناسخُ أصلاً</w:t>
      </w:r>
      <w:r w:rsidRPr="00B867DF">
        <w:rPr>
          <w:rFonts w:eastAsia="Times New Roman"/>
          <w:lang w:bidi="ar-AE"/>
        </w:rPr>
        <w:t xml:space="preserve"> » [« La </w:t>
      </w:r>
      <w:r w:rsidRPr="00B867DF">
        <w:rPr>
          <w:rFonts w:eastAsia="Times New Roman"/>
          <w:lang w:bidi="ar-AE"/>
        </w:rPr>
        <w:lastRenderedPageBreak/>
        <w:t xml:space="preserve">réincarnation n’était pas pensable pour eux »] (17/327). Le Coran, lui aussi, souligne que les Arabes préislamiques, qui croyaient d’ailleurs en un Allah unique, ne déniaient pas le jugement dernier de Dieu, mais plutôt l’idée de </w:t>
      </w:r>
      <w:r w:rsidRPr="00B867DF">
        <w:rPr>
          <w:rFonts w:eastAsia="Times New Roman"/>
          <w:i/>
          <w:iCs/>
          <w:lang w:bidi="ar-AE"/>
        </w:rPr>
        <w:t>karra</w:t>
      </w:r>
      <w:r w:rsidRPr="00B867DF">
        <w:rPr>
          <w:rFonts w:eastAsia="Times New Roman"/>
          <w:lang w:bidi="ar-AE"/>
        </w:rPr>
        <w:t xml:space="preserve"> [retour répétitif] (vue comme absurde) après la décomposition des os, i.e. l’idée de </w:t>
      </w:r>
      <w:r w:rsidRPr="00B867DF">
        <w:rPr>
          <w:rFonts w:eastAsia="Times New Roman"/>
          <w:i/>
          <w:iCs/>
          <w:lang w:bidi="ar-AE"/>
        </w:rPr>
        <w:t>khalq jadīd</w:t>
      </w:r>
      <w:r w:rsidRPr="00B867DF">
        <w:rPr>
          <w:rFonts w:eastAsia="Times New Roman"/>
          <w:lang w:bidi="ar-AE"/>
        </w:rPr>
        <w:t xml:space="preserve"> [nouvelle création] :</w:t>
      </w:r>
    </w:p>
    <w:p w14:paraId="337C3810" w14:textId="77777777" w:rsidR="00296288" w:rsidRPr="00B867DF" w:rsidRDefault="00296288" w:rsidP="00296288">
      <w:pPr>
        <w:shd w:val="clear" w:color="auto" w:fill="FFFFFF"/>
        <w:bidi/>
        <w:spacing w:line="360" w:lineRule="auto"/>
        <w:rPr>
          <w:rFonts w:ascii="Simplified Arabic" w:eastAsia="Times New Roman" w:hAnsi="Simplified Arabic" w:cs="Simplified Arabic"/>
          <w:lang w:bidi="ar-KW"/>
        </w:rPr>
      </w:pPr>
      <w:r w:rsidRPr="00B867DF">
        <w:rPr>
          <w:rFonts w:ascii="Simplified Arabic" w:eastAsia="Times New Roman" w:hAnsi="Simplified Arabic" w:cs="Simplified Arabic"/>
          <w:rtl/>
        </w:rPr>
        <w:t>"يقولون</w:t>
      </w:r>
      <w:r w:rsidRPr="00B867DF">
        <w:rPr>
          <w:rFonts w:ascii="Simplified Arabic" w:eastAsia="Times New Roman" w:hAnsi="Simplified Arabic" w:cs="Simplified Arabic" w:hint="cs"/>
          <w:rtl/>
        </w:rPr>
        <w:t>:</w:t>
      </w:r>
      <w:r w:rsidRPr="00B867DF">
        <w:rPr>
          <w:rFonts w:ascii="Simplified Arabic" w:eastAsia="Times New Roman" w:hAnsi="Simplified Arabic" w:cs="Simplified Arabic"/>
          <w:rtl/>
        </w:rPr>
        <w:t xml:space="preserve"> </w:t>
      </w:r>
      <w:r w:rsidRPr="00B867DF">
        <w:rPr>
          <w:rFonts w:ascii="Simplified Arabic" w:eastAsia="Times New Roman" w:hAnsi="Simplified Arabic" w:cs="Simplified Arabic" w:hint="cs"/>
          <w:rtl/>
        </w:rPr>
        <w:t>"</w:t>
      </w:r>
      <w:r w:rsidRPr="00B867DF">
        <w:rPr>
          <w:rFonts w:ascii="Simplified Arabic" w:eastAsia="Times New Roman" w:hAnsi="Simplified Arabic" w:cs="Simplified Arabic"/>
          <w:rtl/>
        </w:rPr>
        <w:t>أئِنَّا لَمردودون في الحافِرة</w:t>
      </w:r>
      <w:r w:rsidRPr="00B867DF">
        <w:rPr>
          <w:rFonts w:ascii="Simplified Arabic" w:eastAsia="Times New Roman" w:hAnsi="Simplified Arabic" w:cs="Simplified Arabic" w:hint="cs"/>
          <w:rtl/>
        </w:rPr>
        <w:t>،</w:t>
      </w:r>
      <w:r w:rsidRPr="00B867DF">
        <w:rPr>
          <w:rFonts w:ascii="Simplified Arabic" w:eastAsia="Times New Roman" w:hAnsi="Simplified Arabic" w:cs="Simplified Arabic"/>
          <w:rtl/>
        </w:rPr>
        <w:t xml:space="preserve"> </w:t>
      </w:r>
      <w:r w:rsidRPr="00B867DF">
        <w:rPr>
          <w:rFonts w:ascii="Simplified Arabic" w:eastAsia="Times New Roman" w:hAnsi="Simplified Arabic" w:cs="Simplified Arabic"/>
          <w:i/>
          <w:iCs/>
          <w:rtl/>
        </w:rPr>
        <w:t>[لمبعوثون خَـلْقاً جديداً (الطبري)]</w:t>
      </w:r>
      <w:r w:rsidRPr="00B867DF">
        <w:rPr>
          <w:rFonts w:ascii="Simplified Arabic" w:eastAsia="Times New Roman" w:hAnsi="Simplified Arabic" w:cs="Simplified Arabic" w:hint="cs"/>
          <w:rtl/>
        </w:rPr>
        <w:t xml:space="preserve"> </w:t>
      </w:r>
      <w:r w:rsidRPr="00B867DF">
        <w:rPr>
          <w:rFonts w:ascii="Simplified Arabic" w:eastAsia="Times New Roman" w:hAnsi="Simplified Arabic" w:cs="Simplified Arabic"/>
          <w:rtl/>
        </w:rPr>
        <w:t>أئذا كُنَّا عِظامًا نخِرةً</w:t>
      </w:r>
      <w:r w:rsidRPr="00B867DF">
        <w:rPr>
          <w:rFonts w:ascii="Simplified Arabic" w:eastAsia="Times New Roman" w:hAnsi="Simplified Arabic" w:cs="Simplified Arabic" w:hint="cs"/>
          <w:rtl/>
        </w:rPr>
        <w:t>؟!"</w:t>
      </w:r>
      <w:r w:rsidRPr="00B867DF">
        <w:rPr>
          <w:rFonts w:ascii="Simplified Arabic" w:eastAsia="Times New Roman" w:hAnsi="Simplified Arabic" w:cs="Simplified Arabic"/>
          <w:rtl/>
        </w:rPr>
        <w:t xml:space="preserve"> قالوا</w:t>
      </w:r>
      <w:r w:rsidRPr="00B867DF">
        <w:rPr>
          <w:rFonts w:ascii="Simplified Arabic" w:eastAsia="Times New Roman" w:hAnsi="Simplified Arabic" w:cs="Simplified Arabic" w:hint="cs"/>
          <w:rtl/>
        </w:rPr>
        <w:t>:</w:t>
      </w:r>
      <w:r w:rsidRPr="00B867DF">
        <w:rPr>
          <w:rFonts w:ascii="Simplified Arabic" w:eastAsia="Times New Roman" w:hAnsi="Simplified Arabic" w:cs="Simplified Arabic"/>
          <w:rtl/>
        </w:rPr>
        <w:t xml:space="preserve"> </w:t>
      </w:r>
      <w:r w:rsidRPr="00B867DF">
        <w:rPr>
          <w:rFonts w:ascii="Simplified Arabic" w:eastAsia="Times New Roman" w:hAnsi="Simplified Arabic" w:cs="Simplified Arabic" w:hint="cs"/>
          <w:rtl/>
        </w:rPr>
        <w:t>"</w:t>
      </w:r>
      <w:r w:rsidRPr="00B867DF">
        <w:rPr>
          <w:rFonts w:ascii="Simplified Arabic" w:eastAsia="Times New Roman" w:hAnsi="Simplified Arabic" w:cs="Simplified Arabic"/>
          <w:rtl/>
        </w:rPr>
        <w:t xml:space="preserve">تلك إذًا </w:t>
      </w:r>
      <w:r w:rsidRPr="00B867DF">
        <w:rPr>
          <w:rFonts w:ascii="Simplified Arabic" w:eastAsia="Times New Roman" w:hAnsi="Simplified Arabic" w:cs="Simplified Arabic"/>
          <w:b/>
          <w:bCs/>
          <w:rtl/>
        </w:rPr>
        <w:t>كَرَّةٌ</w:t>
      </w:r>
      <w:r w:rsidRPr="00B867DF">
        <w:rPr>
          <w:rFonts w:ascii="Simplified Arabic" w:eastAsia="Times New Roman" w:hAnsi="Simplified Arabic" w:cs="Simplified Arabic"/>
          <w:rtl/>
        </w:rPr>
        <w:t xml:space="preserve"> خاسرة</w:t>
      </w:r>
      <w:r w:rsidRPr="00B867DF">
        <w:rPr>
          <w:rFonts w:ascii="Simplified Arabic" w:eastAsia="Times New Roman" w:hAnsi="Simplified Arabic" w:cs="Simplified Arabic" w:hint="cs"/>
          <w:rtl/>
        </w:rPr>
        <w:t>!"</w:t>
      </w:r>
      <w:r w:rsidRPr="00B867DF">
        <w:rPr>
          <w:rFonts w:ascii="Simplified Arabic" w:eastAsia="Times New Roman" w:hAnsi="Simplified Arabic" w:cs="Simplified Arabic"/>
          <w:rtl/>
        </w:rPr>
        <w:t xml:space="preserve"> (النازعات، 10-12)</w:t>
      </w:r>
    </w:p>
    <w:p w14:paraId="3F7F9674" w14:textId="77777777" w:rsidR="00296288" w:rsidRPr="00B867DF" w:rsidRDefault="00296288" w:rsidP="00296288">
      <w:pPr>
        <w:shd w:val="clear" w:color="auto" w:fill="FFFFFF"/>
        <w:spacing w:line="360" w:lineRule="auto"/>
        <w:jc w:val="both"/>
        <w:rPr>
          <w:rFonts w:eastAsia="Times New Roman"/>
          <w:lang w:bidi="ar-KW"/>
        </w:rPr>
      </w:pPr>
      <w:r w:rsidRPr="00B867DF">
        <w:rPr>
          <w:rFonts w:eastAsia="Times New Roman"/>
          <w:lang w:bidi="ar-KW"/>
        </w:rPr>
        <w:t xml:space="preserve">« Ils disent : "Serons-nous ramenés dans la fosse </w:t>
      </w:r>
      <w:r w:rsidRPr="00B867DF">
        <w:rPr>
          <w:rFonts w:eastAsia="Times New Roman"/>
          <w:i/>
          <w:iCs/>
          <w:lang w:bidi="ar-KW"/>
        </w:rPr>
        <w:t>[ressusc</w:t>
      </w:r>
      <w:r>
        <w:rPr>
          <w:rFonts w:eastAsia="Times New Roman"/>
          <w:i/>
          <w:iCs/>
          <w:lang w:bidi="ar-KW"/>
        </w:rPr>
        <w:t>ités en une création nouvelle (a</w:t>
      </w:r>
      <w:r w:rsidRPr="00B867DF">
        <w:rPr>
          <w:rFonts w:eastAsia="Times New Roman"/>
          <w:i/>
          <w:iCs/>
          <w:lang w:bidi="ar-KW"/>
        </w:rPr>
        <w:t>ṭ-Ṭabarī)]</w:t>
      </w:r>
      <w:r w:rsidRPr="00B867DF">
        <w:rPr>
          <w:rFonts w:eastAsia="Times New Roman"/>
          <w:lang w:bidi="ar-KW"/>
        </w:rPr>
        <w:t xml:space="preserve">, lorsque nous serons os corrodés ?" Ils disent : "Voilà alors un </w:t>
      </w:r>
      <w:r w:rsidRPr="00B867DF">
        <w:rPr>
          <w:rFonts w:eastAsia="Times New Roman"/>
          <w:b/>
          <w:bCs/>
          <w:lang w:bidi="ar-KW"/>
        </w:rPr>
        <w:t>retour</w:t>
      </w:r>
      <w:r w:rsidRPr="00B867DF">
        <w:rPr>
          <w:rFonts w:eastAsia="Times New Roman"/>
          <w:lang w:bidi="ar-KW"/>
        </w:rPr>
        <w:t xml:space="preserve"> perdant !" » (LXXIX, 10-12)</w:t>
      </w:r>
    </w:p>
    <w:p w14:paraId="1CBBB569" w14:textId="77777777" w:rsidR="00296288" w:rsidRPr="00B867DF" w:rsidRDefault="00296288" w:rsidP="00296288">
      <w:pPr>
        <w:shd w:val="clear" w:color="auto" w:fill="FFFFFF"/>
        <w:bidi/>
        <w:spacing w:line="360" w:lineRule="auto"/>
        <w:rPr>
          <w:rFonts w:ascii="Simplified Arabic" w:eastAsia="Times New Roman" w:hAnsi="Simplified Arabic" w:cs="Simplified Arabic"/>
          <w:rtl/>
          <w:lang w:bidi="ar-KW"/>
        </w:rPr>
      </w:pPr>
      <w:r w:rsidRPr="00B867DF">
        <w:rPr>
          <w:rFonts w:ascii="Simplified Arabic" w:eastAsia="Times New Roman" w:hAnsi="Simplified Arabic" w:cs="Simplified Arabic"/>
          <w:rtl/>
          <w:lang w:bidi="ar-KW"/>
        </w:rPr>
        <w:t>"</w:t>
      </w:r>
      <w:r w:rsidRPr="00B867DF">
        <w:rPr>
          <w:rFonts w:ascii="Simplified Arabic" w:eastAsia="Times New Roman" w:hAnsi="Simplified Arabic" w:cs="Simplified Arabic"/>
          <w:rtl/>
        </w:rPr>
        <w:t xml:space="preserve">وقالوا أئذا كُنَّا عِظامًا ورُفاتًا أإنَّا لمبعوثون </w:t>
      </w:r>
      <w:r w:rsidRPr="00B867DF">
        <w:rPr>
          <w:rFonts w:ascii="Simplified Arabic" w:eastAsia="Times New Roman" w:hAnsi="Simplified Arabic" w:cs="Simplified Arabic"/>
          <w:b/>
          <w:bCs/>
          <w:rtl/>
        </w:rPr>
        <w:t>خَلْقًا جديدًا</w:t>
      </w:r>
      <w:r w:rsidRPr="00B867DF">
        <w:rPr>
          <w:rFonts w:ascii="Simplified Arabic" w:eastAsia="Times New Roman" w:hAnsi="Simplified Arabic" w:cs="Simplified Arabic"/>
          <w:rtl/>
        </w:rPr>
        <w:t>" (الإسراء، 49)</w:t>
      </w:r>
    </w:p>
    <w:p w14:paraId="682B4BBE" w14:textId="77777777" w:rsidR="00296288" w:rsidRPr="00B867DF" w:rsidRDefault="00296288" w:rsidP="00296288">
      <w:pPr>
        <w:spacing w:line="360" w:lineRule="auto"/>
        <w:jc w:val="both"/>
        <w:rPr>
          <w:rFonts w:eastAsia="Times New Roman"/>
          <w:lang w:bidi="ar-KW"/>
        </w:rPr>
      </w:pPr>
      <w:r w:rsidRPr="00B867DF">
        <w:rPr>
          <w:rFonts w:eastAsia="Times New Roman"/>
          <w:lang w:bidi="ar-KW"/>
        </w:rPr>
        <w:t xml:space="preserve">« Ils disent : "Lorsque nous serons os et poussière, serons-nous ressuscités en une </w:t>
      </w:r>
      <w:r w:rsidRPr="00B867DF">
        <w:rPr>
          <w:rFonts w:eastAsia="Times New Roman"/>
          <w:b/>
          <w:bCs/>
          <w:lang w:bidi="ar-KW"/>
        </w:rPr>
        <w:t>création nouvelle </w:t>
      </w:r>
      <w:r w:rsidRPr="00B867DF">
        <w:rPr>
          <w:rFonts w:eastAsia="Times New Roman"/>
          <w:lang w:bidi="ar-KW"/>
        </w:rPr>
        <w:t>?" » (XVII, 49)</w:t>
      </w:r>
    </w:p>
    <w:p w14:paraId="6005A69E" w14:textId="77777777" w:rsidR="00296288" w:rsidRPr="00B867DF" w:rsidRDefault="00296288" w:rsidP="00296288">
      <w:pPr>
        <w:spacing w:line="360" w:lineRule="auto"/>
        <w:jc w:val="both"/>
        <w:rPr>
          <w:rFonts w:eastAsia="Times New Roman"/>
        </w:rPr>
      </w:pPr>
    </w:p>
    <w:p w14:paraId="53D5D922" w14:textId="77777777" w:rsidR="00296288" w:rsidRPr="00C76B54" w:rsidRDefault="00296288" w:rsidP="00296288">
      <w:pPr>
        <w:spacing w:line="360" w:lineRule="auto"/>
        <w:ind w:firstLine="708"/>
        <w:jc w:val="both"/>
        <w:rPr>
          <w:rFonts w:eastAsia="Times New Roman"/>
          <w:rtl/>
          <w:lang w:bidi="ar-AE"/>
        </w:rPr>
      </w:pPr>
      <w:r w:rsidRPr="00B867DF">
        <w:rPr>
          <w:rFonts w:eastAsia="Times New Roman"/>
        </w:rPr>
        <w:t>Selon ces versets</w:t>
      </w:r>
      <w:r w:rsidRPr="00B867DF">
        <w:rPr>
          <w:rFonts w:eastAsia="Times New Roman"/>
          <w:lang w:bidi="ar-AE"/>
        </w:rPr>
        <w:t>, les Arabes refusaient le retour dans la chair, i.e. la réincarnation, et non pas la résurrection du jour dernier.</w:t>
      </w:r>
      <w:r w:rsidRPr="00B867DF">
        <w:rPr>
          <w:rFonts w:eastAsia="Times New Roman"/>
          <w:lang w:bidi="ar-SY"/>
        </w:rPr>
        <w:t xml:space="preserve"> Les contemporains de Muḥammad ont dénigré l’idée d’être créés une nouvelles fois dans leur nouveaux corps, ou, pour reprendre les termes de l’évangile selon Matthieu, l’idée qu’« on met le vin nouveau dans des outres neuves » (Matthieu 9 : 17). Il semble ainsi que </w:t>
      </w:r>
      <w:r w:rsidRPr="00B867DF">
        <w:rPr>
          <w:rFonts w:eastAsia="Times New Roman"/>
          <w:i/>
          <w:iCs/>
          <w:lang w:bidi="ar-AE"/>
        </w:rPr>
        <w:t>al-baʿth</w:t>
      </w:r>
      <w:r w:rsidRPr="00B867DF">
        <w:rPr>
          <w:rFonts w:eastAsia="Times New Roman"/>
          <w:lang w:bidi="ar-AE"/>
        </w:rPr>
        <w:t xml:space="preserve"> désignerait</w:t>
      </w:r>
      <w:r>
        <w:rPr>
          <w:rFonts w:eastAsia="Times New Roman"/>
          <w:lang w:bidi="ar-AE"/>
        </w:rPr>
        <w:t xml:space="preserve"> plus la réincarnation que le jugement dernier</w:t>
      </w:r>
      <w:r w:rsidRPr="00B867DF">
        <w:rPr>
          <w:rFonts w:eastAsia="Times New Roman"/>
          <w:lang w:bidi="ar-AE"/>
        </w:rPr>
        <w:t xml:space="preserve">, c’est </w:t>
      </w:r>
      <w:r w:rsidRPr="00C76B54">
        <w:rPr>
          <w:rFonts w:eastAsia="Times New Roman"/>
          <w:lang w:bidi="ar-AE"/>
        </w:rPr>
        <w:t>pourquoi les Arabes la désapprouvaient du fait qu’elle ne faisait pas partie de leur culture. S’il s’était agi du Jugement dernier (ou de la résurrection), les Arabes l’auraient accepté sans aucun problème, car ils connaissaient l’idée et y croyaient. L’on rapporte d’an-Naḍr ibn al-</w:t>
      </w:r>
      <w:r w:rsidRPr="00C76B54">
        <w:rPr>
          <w:rFonts w:eastAsia="Times New Roman"/>
        </w:rPr>
        <w:t xml:space="preserve">Ḥārith </w:t>
      </w:r>
      <w:r w:rsidRPr="00C76B54">
        <w:rPr>
          <w:rFonts w:eastAsia="Times New Roman"/>
          <w:lang w:bidi="ar-SY"/>
        </w:rPr>
        <w:t>(polythéiste arabe et adversaire acharné de Mu</w:t>
      </w:r>
      <w:r w:rsidRPr="00C76B54">
        <w:rPr>
          <w:rFonts w:eastAsia="Times New Roman"/>
        </w:rPr>
        <w:t xml:space="preserve">ḥammad) </w:t>
      </w:r>
      <w:r w:rsidRPr="00C76B54">
        <w:rPr>
          <w:rFonts w:eastAsia="Times New Roman"/>
          <w:lang w:bidi="ar-SY"/>
        </w:rPr>
        <w:t>qu’il a dit : « </w:t>
      </w:r>
      <w:r w:rsidRPr="00C76B54">
        <w:rPr>
          <w:rFonts w:eastAsia="Times New Roman" w:hint="cs"/>
          <w:rtl/>
          <w:lang w:bidi="ar-SY"/>
        </w:rPr>
        <w:t>إذا كان يومُ القيامة شفَعت لي اللاتُ والعُزَّى</w:t>
      </w:r>
      <w:r w:rsidRPr="00C76B54">
        <w:rPr>
          <w:rFonts w:eastAsia="Times New Roman"/>
          <w:lang w:bidi="ar-SY"/>
        </w:rPr>
        <w:t> » [« Lorsque le jour du Jugement dernier se produira, Allāt et Al-</w:t>
      </w:r>
      <w:r w:rsidRPr="00C76B54">
        <w:rPr>
          <w:rFonts w:eastAsia="Times New Roman"/>
        </w:rPr>
        <w:t xml:space="preserve">ʿUzzā </w:t>
      </w:r>
      <w:r w:rsidRPr="00C76B54">
        <w:rPr>
          <w:rFonts w:eastAsia="Times New Roman"/>
          <w:lang w:bidi="ar-SY"/>
        </w:rPr>
        <w:t>intercéderont en ma faveur. »]</w:t>
      </w:r>
      <w:r w:rsidRPr="00C76B54">
        <w:rPr>
          <w:rStyle w:val="Appelnotedebasdep"/>
          <w:lang w:bidi="ar-SY"/>
        </w:rPr>
        <w:footnoteReference w:id="229"/>
      </w:r>
    </w:p>
    <w:p w14:paraId="4DF7D01B" w14:textId="77777777" w:rsidR="00296288" w:rsidRPr="00C76B54" w:rsidRDefault="00296288" w:rsidP="00296288">
      <w:pPr>
        <w:spacing w:line="360" w:lineRule="auto"/>
        <w:ind w:firstLine="708"/>
        <w:jc w:val="both"/>
        <w:rPr>
          <w:rFonts w:eastAsia="Times New Roman"/>
          <w:lang w:bidi="ar-AE"/>
        </w:rPr>
      </w:pPr>
    </w:p>
    <w:p w14:paraId="36F78515" w14:textId="77777777" w:rsidR="00296288" w:rsidRPr="00C76B54" w:rsidRDefault="00296288" w:rsidP="00296288">
      <w:pPr>
        <w:spacing w:line="360" w:lineRule="auto"/>
        <w:ind w:firstLine="708"/>
        <w:jc w:val="both"/>
        <w:rPr>
          <w:rFonts w:eastAsia="Times New Roman"/>
          <w:lang w:bidi="ar-AE"/>
        </w:rPr>
      </w:pPr>
      <w:r w:rsidRPr="00C76B54">
        <w:rPr>
          <w:rFonts w:eastAsia="Times New Roman"/>
          <w:lang w:bidi="ar-AE"/>
        </w:rPr>
        <w:t xml:space="preserve">Cette doctrine de réincarnation enfouie dans les couches profondes du texte montrerait que les premiers </w:t>
      </w:r>
      <w:r w:rsidRPr="00C76B54">
        <w:rPr>
          <w:rFonts w:eastAsia="Times New Roman"/>
          <w:i/>
          <w:iCs/>
          <w:lang w:bidi="ar-AE"/>
        </w:rPr>
        <w:t>muʾminūn</w:t>
      </w:r>
      <w:r w:rsidRPr="00C76B54">
        <w:rPr>
          <w:rFonts w:eastAsia="Times New Roman"/>
          <w:lang w:bidi="ar-AE"/>
        </w:rPr>
        <w:t xml:space="preserve"> [croyants], ceux qui seront appelés plus tard Musulmans, acceptaient probablement la réincarnation, concept qui n’a pas pu résister devant le dogme de la résurrection </w:t>
      </w:r>
      <w:r w:rsidRPr="00C76B54">
        <w:rPr>
          <w:rFonts w:eastAsia="Times New Roman"/>
          <w:lang w:bidi="ar-AE"/>
        </w:rPr>
        <w:lastRenderedPageBreak/>
        <w:t xml:space="preserve">du Jugement dernier et dont on trouve des traces dans les courants musulmans hétérodoxes (alaouites et druzes). Ainsi, l’interprétation </w:t>
      </w:r>
      <w:r w:rsidRPr="00C76B54">
        <w:rPr>
          <w:rFonts w:eastAsia="Times New Roman"/>
          <w:lang w:bidi="ar-SY"/>
        </w:rPr>
        <w:t>de</w:t>
      </w:r>
      <w:r w:rsidRPr="00C76B54">
        <w:rPr>
          <w:rFonts w:eastAsia="Times New Roman"/>
          <w:lang w:bidi="ar-AE"/>
        </w:rPr>
        <w:t> </w:t>
      </w:r>
      <w:r w:rsidRPr="00C76B54">
        <w:rPr>
          <w:rFonts w:eastAsia="Times New Roman"/>
          <w:i/>
          <w:iCs/>
          <w:lang w:bidi="ar-AE"/>
        </w:rPr>
        <w:t>baʿth</w:t>
      </w:r>
      <w:r w:rsidRPr="00C76B54">
        <w:rPr>
          <w:rFonts w:eastAsia="Times New Roman"/>
          <w:lang w:bidi="ar-AE"/>
        </w:rPr>
        <w:t xml:space="preserve"> comme Jugement dernier a pris le dessus et s’est imposée non pas dans le texte coranique polysémique mais dans ses extensions, i.e. les exégèses et les traductions, bien que </w:t>
      </w:r>
      <w:r w:rsidRPr="00C76B54">
        <w:rPr>
          <w:rFonts w:eastAsia="Times New Roman"/>
          <w:lang w:bidi="ar-SY"/>
        </w:rPr>
        <w:t>l’interprétation hétérodoxe de</w:t>
      </w:r>
      <w:r w:rsidRPr="00C76B54">
        <w:rPr>
          <w:rFonts w:eastAsia="Times New Roman"/>
          <w:lang w:bidi="ar-AE"/>
        </w:rPr>
        <w:t> </w:t>
      </w:r>
      <w:r w:rsidRPr="00C76B54">
        <w:rPr>
          <w:rFonts w:eastAsia="Times New Roman"/>
          <w:i/>
          <w:iCs/>
          <w:lang w:bidi="ar-AE"/>
        </w:rPr>
        <w:t>baʿth</w:t>
      </w:r>
      <w:r w:rsidRPr="00C76B54">
        <w:rPr>
          <w:rFonts w:eastAsia="Times New Roman"/>
          <w:lang w:bidi="ar-AE"/>
        </w:rPr>
        <w:t xml:space="preserve"> comme réincarnation soit plus cohérente et plus pertinente.</w:t>
      </w:r>
    </w:p>
    <w:p w14:paraId="50B95856" w14:textId="77777777" w:rsidR="00296288" w:rsidRPr="00C76B54" w:rsidRDefault="00296288" w:rsidP="00296288">
      <w:pPr>
        <w:spacing w:line="360" w:lineRule="auto"/>
        <w:jc w:val="both"/>
        <w:rPr>
          <w:rFonts w:eastAsia="Times New Roman"/>
          <w:lang w:bidi="ar-AE"/>
        </w:rPr>
      </w:pPr>
    </w:p>
    <w:p w14:paraId="717EAFAF" w14:textId="77777777" w:rsidR="00296288" w:rsidRPr="00B867DF" w:rsidRDefault="00296288" w:rsidP="00296288">
      <w:pPr>
        <w:spacing w:line="360" w:lineRule="auto"/>
        <w:ind w:firstLine="708"/>
        <w:jc w:val="both"/>
        <w:rPr>
          <w:rStyle w:val="textexposedshow"/>
        </w:rPr>
      </w:pPr>
      <w:r w:rsidRPr="00C76B54">
        <w:rPr>
          <w:rFonts w:eastAsia="Times New Roman"/>
          <w:lang w:bidi="ar-AE"/>
        </w:rPr>
        <w:t xml:space="preserve">Pour utiliser le concept derridéen de dissémination, nous pouvons dire que le sens de </w:t>
      </w:r>
      <w:r w:rsidRPr="00C76B54">
        <w:rPr>
          <w:rFonts w:eastAsia="Times New Roman"/>
          <w:i/>
          <w:iCs/>
          <w:lang w:bidi="ar-AE"/>
        </w:rPr>
        <w:t>baʿth</w:t>
      </w:r>
      <w:r w:rsidRPr="00C76B54">
        <w:rPr>
          <w:rFonts w:eastAsia="Times New Roman"/>
          <w:lang w:bidi="ar-AE"/>
        </w:rPr>
        <w:t xml:space="preserve"> est disséminé, dispersé dans la sourate XXII en particulier et dans le Coran en général. En guise d’exemple, il se dissémine dans les versets susmentionnés XXII, 5 &amp; 66 ; </w:t>
      </w:r>
      <w:r w:rsidRPr="00C76B54">
        <w:rPr>
          <w:rFonts w:eastAsia="Times New Roman"/>
          <w:lang w:bidi="ar-KW"/>
        </w:rPr>
        <w:t xml:space="preserve">LXXIX, 10-12 ; XVII, 49 ; dans le verset LXXI, 17-18 </w:t>
      </w:r>
      <w:r w:rsidRPr="00C76B54">
        <w:rPr>
          <w:rFonts w:eastAsia="Times New Roman"/>
          <w:lang w:bidi="ar-AE"/>
        </w:rPr>
        <w:t>(</w:t>
      </w:r>
      <w:r w:rsidRPr="00C76B54">
        <w:rPr>
          <w:rStyle w:val="textexposedshow"/>
          <w:rFonts w:ascii="Simplified Arabic" w:hAnsi="Simplified Arabic" w:cs="Simplified Arabic"/>
          <w:rtl/>
        </w:rPr>
        <w:t xml:space="preserve">"واللهُ أنبتكم مِن الأرض نباتًا، ثمَّ يُعيدكم فيها ويُخرجكم إخراجًا" </w:t>
      </w:r>
      <w:r w:rsidRPr="00C76B54">
        <w:rPr>
          <w:rStyle w:val="textexposedshow"/>
          <w:rFonts w:ascii="Simplified Arabic" w:hAnsi="Simplified Arabic" w:cs="Simplified Arabic" w:hint="cs"/>
          <w:rtl/>
        </w:rPr>
        <w:t>[</w:t>
      </w:r>
      <w:r w:rsidRPr="00C76B54">
        <w:rPr>
          <w:rStyle w:val="textexposedshow"/>
          <w:rFonts w:ascii="Simplified Arabic" w:hAnsi="Simplified Arabic" w:cs="Simplified Arabic"/>
          <w:rtl/>
        </w:rPr>
        <w:t>نوح، 17 و18</w:t>
      </w:r>
      <w:r w:rsidRPr="00C76B54">
        <w:rPr>
          <w:rStyle w:val="textexposedshow"/>
          <w:rFonts w:ascii="Simplified Arabic" w:hAnsi="Simplified Arabic" w:cs="Simplified Arabic" w:hint="cs"/>
          <w:rtl/>
        </w:rPr>
        <w:t>]</w:t>
      </w:r>
      <w:r w:rsidRPr="00C76B54">
        <w:rPr>
          <w:rFonts w:eastAsia="Times New Roman"/>
          <w:lang w:bidi="ar-AE"/>
        </w:rPr>
        <w:t xml:space="preserve"> [Dieu qui de la terre vous fait pousser comme des plantes puis y vous fera revenir, et vous en fera sortir pour toujours]) ; dans le</w:t>
      </w:r>
      <w:r w:rsidRPr="00B867DF">
        <w:rPr>
          <w:rFonts w:eastAsia="Times New Roman"/>
          <w:lang w:bidi="ar-AE"/>
        </w:rPr>
        <w:t xml:space="preserve"> verset XX, 55 (</w:t>
      </w:r>
      <w:r w:rsidRPr="00B867DF">
        <w:rPr>
          <w:rStyle w:val="textexposedshow"/>
          <w:rFonts w:ascii="Simplified Arabic" w:hAnsi="Simplified Arabic" w:cs="Simplified Arabic" w:hint="cs"/>
          <w:rtl/>
        </w:rPr>
        <w:t>"</w:t>
      </w:r>
      <w:r w:rsidRPr="00B867DF">
        <w:rPr>
          <w:rStyle w:val="textexposedshow"/>
          <w:rFonts w:ascii="Simplified Arabic" w:hAnsi="Simplified Arabic" w:cs="Simplified Arabic"/>
          <w:rtl/>
        </w:rPr>
        <w:t>مِنها خَلَقْناكم وفيها نُعِيدُكم ومِنها نُخْرِجُكم تارةً أُخْرى</w:t>
      </w:r>
      <w:r w:rsidRPr="00B867DF">
        <w:rPr>
          <w:rStyle w:val="textexposedshow"/>
          <w:rFonts w:ascii="Simplified Arabic" w:hAnsi="Simplified Arabic" w:cs="Simplified Arabic" w:hint="cs"/>
          <w:rtl/>
        </w:rPr>
        <w:t>"</w:t>
      </w:r>
      <w:r w:rsidRPr="00B867DF">
        <w:rPr>
          <w:rStyle w:val="textexposedshow"/>
          <w:rFonts w:eastAsia="Times New Roman"/>
          <w:lang w:bidi="ar-AE"/>
        </w:rPr>
        <w:t xml:space="preserve"> </w:t>
      </w:r>
      <w:r w:rsidRPr="00B867DF">
        <w:rPr>
          <w:rFonts w:eastAsia="Times New Roman"/>
          <w:lang w:bidi="ar-AE"/>
        </w:rPr>
        <w:t>[« D’elle Nous vous avons créés, à elle Nous vous ferons revenir, et d’elle une seconde fois vous ferons ressortir »]) </w:t>
      </w:r>
      <w:r w:rsidRPr="00B867DF">
        <w:rPr>
          <w:rStyle w:val="textexposedshow"/>
          <w:rFonts w:eastAsia="Times New Roman"/>
          <w:lang w:bidi="ar-AE"/>
        </w:rPr>
        <w:t>; etc.</w:t>
      </w:r>
    </w:p>
    <w:p w14:paraId="2426C19D" w14:textId="77777777" w:rsidR="00296288" w:rsidRPr="00B867DF" w:rsidRDefault="00296288" w:rsidP="00296288">
      <w:pPr>
        <w:spacing w:line="360" w:lineRule="auto"/>
        <w:ind w:firstLine="708"/>
        <w:jc w:val="both"/>
        <w:rPr>
          <w:rFonts w:eastAsia="Times New Roman"/>
          <w:lang w:bidi="ar-AE"/>
        </w:rPr>
      </w:pPr>
    </w:p>
    <w:p w14:paraId="7DDE7361"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Cette idée de la réincarnation disséminée aussi bien dans la sourate XXII que dans tout le Coran a été présentée par les exégèses et les traductions comme s’il s’agissait de la résurrection du Jugement dernier. </w:t>
      </w:r>
    </w:p>
    <w:p w14:paraId="59FD5E27" w14:textId="77777777" w:rsidR="00296288" w:rsidRPr="00B867DF" w:rsidRDefault="00296288" w:rsidP="00296288">
      <w:pPr>
        <w:spacing w:line="360" w:lineRule="auto"/>
        <w:jc w:val="both"/>
        <w:rPr>
          <w:rFonts w:eastAsia="Times New Roman"/>
          <w:lang w:bidi="ar-AE"/>
        </w:rPr>
      </w:pPr>
    </w:p>
    <w:p w14:paraId="6811D934" w14:textId="77777777" w:rsidR="00296288" w:rsidRPr="00C76B54" w:rsidRDefault="00296288" w:rsidP="00296288">
      <w:pPr>
        <w:spacing w:line="360" w:lineRule="auto"/>
        <w:ind w:firstLine="708"/>
        <w:jc w:val="both"/>
        <w:rPr>
          <w:rFonts w:eastAsia="Calibri"/>
        </w:rPr>
      </w:pPr>
      <w:r w:rsidRPr="00B867DF">
        <w:rPr>
          <w:rFonts w:eastAsia="Calibri"/>
          <w:lang w:bidi="ar-AE"/>
        </w:rPr>
        <w:t>La différ</w:t>
      </w:r>
      <w:r w:rsidRPr="00B867DF">
        <w:rPr>
          <w:rFonts w:eastAsia="Calibri"/>
          <w:i/>
          <w:iCs/>
          <w:lang w:bidi="ar-AE"/>
        </w:rPr>
        <w:t>a</w:t>
      </w:r>
      <w:r w:rsidRPr="00B867DF">
        <w:rPr>
          <w:rFonts w:eastAsia="Calibri"/>
          <w:lang w:bidi="ar-AE"/>
        </w:rPr>
        <w:t>nce derridienne peut être utile pour étudier les différ</w:t>
      </w:r>
      <w:r w:rsidRPr="00B867DF">
        <w:rPr>
          <w:rFonts w:eastAsia="Calibri"/>
          <w:i/>
          <w:iCs/>
          <w:lang w:bidi="ar-AE"/>
        </w:rPr>
        <w:t>e</w:t>
      </w:r>
      <w:r w:rsidRPr="00B867DF">
        <w:rPr>
          <w:rFonts w:eastAsia="Calibri"/>
          <w:lang w:bidi="ar-AE"/>
        </w:rPr>
        <w:t xml:space="preserve">nces des interprétations vues sous un aspect dynamique, évolutif et pour analyser certains termes ou versets ambigus. Par exemple, le terme </w:t>
      </w:r>
      <w:r w:rsidRPr="00B867DF">
        <w:rPr>
          <w:rFonts w:eastAsia="Calibri"/>
          <w:i/>
          <w:iCs/>
          <w:lang w:bidi="ar-AE"/>
        </w:rPr>
        <w:t>baʿth</w:t>
      </w:r>
      <w:r w:rsidRPr="00B867DF">
        <w:rPr>
          <w:rFonts w:eastAsia="Calibri"/>
          <w:lang w:bidi="ar-AE"/>
        </w:rPr>
        <w:t xml:space="preserve"> dans la protase de la phrase conditionnelle (</w:t>
      </w:r>
      <w:r w:rsidRPr="00B867DF">
        <w:rPr>
          <w:rStyle w:val="hps"/>
          <w:rFonts w:ascii="Simplified Arabic" w:hAnsi="Simplified Arabic" w:cs="Simplified Arabic" w:hint="cs"/>
          <w:rtl/>
          <w:lang w:bidi="ar-KW"/>
        </w:rPr>
        <w:t>"</w:t>
      </w:r>
      <w:r w:rsidRPr="00B867DF">
        <w:rPr>
          <w:rStyle w:val="hps"/>
          <w:rFonts w:ascii="Simplified Arabic" w:hAnsi="Simplified Arabic" w:cs="Simplified Arabic"/>
          <w:rtl/>
        </w:rPr>
        <w:t xml:space="preserve">إن كنتم في ريب من </w:t>
      </w:r>
      <w:r w:rsidRPr="00B867DF">
        <w:rPr>
          <w:rStyle w:val="hps"/>
          <w:rFonts w:ascii="Simplified Arabic" w:hAnsi="Simplified Arabic" w:cs="Simplified Arabic"/>
          <w:i/>
          <w:iCs/>
          <w:rtl/>
        </w:rPr>
        <w:t>البعث</w:t>
      </w:r>
      <w:r w:rsidRPr="00B867DF">
        <w:rPr>
          <w:rStyle w:val="hps"/>
          <w:rFonts w:ascii="Simplified Arabic" w:hAnsi="Simplified Arabic" w:cs="Simplified Arabic"/>
          <w:rtl/>
        </w:rPr>
        <w:t xml:space="preserve"> فإنّا خلقناكم من تراب ثم من نطفة...</w:t>
      </w:r>
      <w:r w:rsidRPr="00B867DF">
        <w:rPr>
          <w:rStyle w:val="hps"/>
          <w:rFonts w:ascii="Simplified Arabic" w:hAnsi="Simplified Arabic" w:cs="Simplified Arabic" w:hint="cs"/>
          <w:rtl/>
        </w:rPr>
        <w:t>"</w:t>
      </w:r>
      <w:r w:rsidRPr="00B867DF">
        <w:rPr>
          <w:rFonts w:eastAsia="Calibri"/>
          <w:lang w:bidi="ar-AE"/>
        </w:rPr>
        <w:t xml:space="preserve"> [« </w:t>
      </w:r>
      <w:r w:rsidRPr="00B867DF">
        <w:rPr>
          <w:rFonts w:eastAsia="Calibri"/>
        </w:rPr>
        <w:t xml:space="preserve">Si vous êtes dans le doute à propos de </w:t>
      </w:r>
      <w:r w:rsidRPr="00B867DF">
        <w:rPr>
          <w:rFonts w:eastAsia="Calibri"/>
          <w:i/>
          <w:iCs/>
        </w:rPr>
        <w:t>la Résurrection</w:t>
      </w:r>
      <w:r w:rsidRPr="00B867DF">
        <w:rPr>
          <w:rFonts w:eastAsia="Calibri"/>
        </w:rPr>
        <w:t xml:space="preserve">, c’est Nous qui vous Créâmes de poussière, puis d’une </w:t>
      </w:r>
      <w:r w:rsidRPr="00B867DF">
        <w:rPr>
          <w:rFonts w:eastAsia="Calibri"/>
          <w:i/>
        </w:rPr>
        <w:t>nutfah</w:t>
      </w:r>
      <w:r w:rsidRPr="00B867DF">
        <w:rPr>
          <w:rFonts w:eastAsia="Calibri"/>
        </w:rPr>
        <w:t xml:space="preserve"> (gouttelette)… »] [trad. Zeinab Abdelaziz]) (v. XXII, 5) diffère sa signification à la fin du même verset 5 (</w:t>
      </w:r>
      <w:r w:rsidRPr="00B867DF">
        <w:rPr>
          <w:rFonts w:ascii="Simplified Arabic" w:eastAsia="Calibri" w:hAnsi="Simplified Arabic" w:cs="Simplified Arabic" w:hint="cs"/>
          <w:rtl/>
          <w:lang w:bidi="ar-KW"/>
        </w:rPr>
        <w:t>"</w:t>
      </w:r>
      <w:r w:rsidRPr="00B867DF">
        <w:rPr>
          <w:rFonts w:ascii="Simplified Arabic" w:eastAsia="Calibri" w:hAnsi="Simplified Arabic" w:cs="Simplified Arabic"/>
          <w:rtl/>
        </w:rPr>
        <w:t>وتَرى الأرضَ هامدةً فإذا أنزلنا عليها الماء</w:t>
      </w:r>
      <w:r w:rsidRPr="00B867DF">
        <w:rPr>
          <w:rFonts w:ascii="Simplified Arabic" w:eastAsia="Calibri" w:hAnsi="Simplified Arabic" w:cs="Simplified Arabic" w:hint="cs"/>
          <w:rtl/>
        </w:rPr>
        <w:t>َ</w:t>
      </w:r>
      <w:r w:rsidRPr="00B867DF">
        <w:rPr>
          <w:rFonts w:ascii="Simplified Arabic" w:eastAsia="Calibri" w:hAnsi="Simplified Arabic" w:cs="Simplified Arabic"/>
          <w:rtl/>
        </w:rPr>
        <w:t xml:space="preserve"> اهتزَّت ورَبَتْ وأنبتَت مِن كُلِّ زوْجٍ بهيج</w:t>
      </w:r>
      <w:r w:rsidRPr="00B867DF">
        <w:rPr>
          <w:rFonts w:ascii="Simplified Arabic" w:eastAsia="Calibri" w:hAnsi="Simplified Arabic" w:cs="Simplified Arabic" w:hint="cs"/>
          <w:rtl/>
        </w:rPr>
        <w:t>"</w:t>
      </w:r>
      <w:r w:rsidRPr="00B867DF">
        <w:rPr>
          <w:rFonts w:eastAsia="Calibri" w:hint="cs"/>
          <w:rtl/>
        </w:rPr>
        <w:t xml:space="preserve"> </w:t>
      </w:r>
      <w:r w:rsidRPr="00B867DF">
        <w:rPr>
          <w:rFonts w:eastAsia="Calibri"/>
        </w:rPr>
        <w:t xml:space="preserve"> [« Et tu vois la terre inerte ; si alors Nous y Déversons de l’eau, elle s’émeut, s’accroît, et fait pousser de chaque sorte resplendissante »] [trad. Z. A.]). Et tout le </w:t>
      </w:r>
      <w:r w:rsidRPr="00C76B54">
        <w:rPr>
          <w:rFonts w:eastAsia="Calibri"/>
        </w:rPr>
        <w:lastRenderedPageBreak/>
        <w:t>verset 5 diffère sa signification au verset 66 (</w:t>
      </w:r>
      <w:r w:rsidRPr="00C76B54">
        <w:rPr>
          <w:rFonts w:ascii="Simplified Arabic" w:eastAsia="Calibri" w:hAnsi="Simplified Arabic" w:cs="Simplified Arabic" w:hint="cs"/>
          <w:rtl/>
        </w:rPr>
        <w:t>"</w:t>
      </w:r>
      <w:r w:rsidRPr="00C76B54">
        <w:rPr>
          <w:rFonts w:ascii="Simplified Arabic" w:eastAsia="Calibri" w:hAnsi="Simplified Arabic" w:cs="Simplified Arabic"/>
          <w:rtl/>
        </w:rPr>
        <w:t>وهو الذي أحياكم ثم يميتكم ثم يحْييكم</w:t>
      </w:r>
      <w:r w:rsidRPr="00C76B54">
        <w:rPr>
          <w:rFonts w:ascii="Simplified Arabic" w:eastAsia="Calibri" w:hAnsi="Simplified Arabic" w:cs="Simplified Arabic" w:hint="cs"/>
          <w:rtl/>
        </w:rPr>
        <w:t>"</w:t>
      </w:r>
      <w:r w:rsidRPr="00C76B54">
        <w:rPr>
          <w:rFonts w:eastAsia="Calibri"/>
        </w:rPr>
        <w:t xml:space="preserve"> [« Et c’est Lui qui vous A Fait vivre, puis Il vous Fait mourir, puis, Il vous Fera vivre »] [trad. Z. A.]). La clausule du verset 5 et le verset 66 indiquent que le sens du mot </w:t>
      </w:r>
      <w:r w:rsidRPr="00C76B54">
        <w:rPr>
          <w:rFonts w:eastAsia="Calibri"/>
          <w:i/>
          <w:iCs/>
          <w:lang w:bidi="ar-AE"/>
        </w:rPr>
        <w:t>baʿth</w:t>
      </w:r>
      <w:r w:rsidRPr="00C76B54">
        <w:rPr>
          <w:rFonts w:eastAsia="Calibri"/>
        </w:rPr>
        <w:t xml:space="preserve"> est plus celui de réincarnation que celui de résurrection (interprétation hétérodoxe). Il semble que le terme </w:t>
      </w:r>
      <w:r w:rsidRPr="00C76B54">
        <w:rPr>
          <w:rFonts w:eastAsia="Calibri"/>
          <w:i/>
          <w:iCs/>
          <w:lang w:bidi="ar-AE"/>
        </w:rPr>
        <w:t>baʿth</w:t>
      </w:r>
      <w:r w:rsidRPr="00C76B54">
        <w:rPr>
          <w:rFonts w:eastAsia="Calibri"/>
          <w:lang w:bidi="ar-AE"/>
        </w:rPr>
        <w:t xml:space="preserve"> </w:t>
      </w:r>
      <w:r w:rsidRPr="00C76B54">
        <w:rPr>
          <w:rFonts w:eastAsia="Calibri"/>
        </w:rPr>
        <w:t>qui désignait au VII</w:t>
      </w:r>
      <w:r w:rsidRPr="00C76B54">
        <w:rPr>
          <w:rFonts w:eastAsia="Calibri"/>
          <w:vertAlign w:val="superscript"/>
        </w:rPr>
        <w:t>e</w:t>
      </w:r>
      <w:r w:rsidRPr="00C76B54">
        <w:rPr>
          <w:rFonts w:eastAsia="Calibri"/>
        </w:rPr>
        <w:t xml:space="preserve"> s. la résurrection (retour </w:t>
      </w:r>
      <w:r w:rsidRPr="00C76B54">
        <w:rPr>
          <w:rFonts w:eastAsia="Calibri"/>
          <w:i/>
          <w:iCs/>
        </w:rPr>
        <w:t>unique</w:t>
      </w:r>
      <w:r w:rsidRPr="00C76B54">
        <w:rPr>
          <w:rFonts w:eastAsia="Calibri"/>
        </w:rPr>
        <w:t xml:space="preserve"> dans la chair) ait évolué à partir du IX</w:t>
      </w:r>
      <w:r w:rsidRPr="00C76B54">
        <w:rPr>
          <w:rFonts w:eastAsia="Calibri"/>
          <w:vertAlign w:val="superscript"/>
        </w:rPr>
        <w:t>e</w:t>
      </w:r>
      <w:r w:rsidRPr="00C76B54">
        <w:rPr>
          <w:rFonts w:eastAsia="Calibri"/>
        </w:rPr>
        <w:t xml:space="preserve"> s. avec les alaouites et les druzes pour désigner « la réincarnation » (retour </w:t>
      </w:r>
      <w:r w:rsidRPr="00C76B54">
        <w:rPr>
          <w:rFonts w:eastAsia="Calibri"/>
          <w:i/>
          <w:iCs/>
        </w:rPr>
        <w:t>périodique</w:t>
      </w:r>
      <w:r w:rsidRPr="00C76B54">
        <w:rPr>
          <w:rFonts w:eastAsia="Calibri"/>
        </w:rPr>
        <w:t xml:space="preserve"> et </w:t>
      </w:r>
      <w:r w:rsidRPr="00C76B54">
        <w:rPr>
          <w:rFonts w:eastAsia="Calibri"/>
          <w:i/>
          <w:iCs/>
        </w:rPr>
        <w:t>cyclique</w:t>
      </w:r>
      <w:r w:rsidRPr="00C76B54">
        <w:rPr>
          <w:rFonts w:eastAsia="Calibri"/>
        </w:rPr>
        <w:t xml:space="preserve"> dans la chair).</w:t>
      </w:r>
    </w:p>
    <w:p w14:paraId="0FC69455" w14:textId="77777777" w:rsidR="00296288" w:rsidRPr="00C76B54" w:rsidRDefault="00296288" w:rsidP="00296288">
      <w:pPr>
        <w:spacing w:line="360" w:lineRule="auto"/>
        <w:ind w:firstLine="708"/>
        <w:jc w:val="both"/>
        <w:rPr>
          <w:rFonts w:eastAsia="Times New Roman"/>
          <w:lang w:bidi="ar-AE"/>
        </w:rPr>
      </w:pPr>
    </w:p>
    <w:p w14:paraId="50353EB2" w14:textId="77777777" w:rsidR="00296288" w:rsidRPr="00C76B54" w:rsidRDefault="00296288" w:rsidP="00296288">
      <w:pPr>
        <w:spacing w:line="360" w:lineRule="auto"/>
        <w:ind w:firstLine="708"/>
        <w:jc w:val="both"/>
        <w:rPr>
          <w:rFonts w:eastAsia="Times New Roman"/>
        </w:rPr>
      </w:pPr>
      <w:r w:rsidRPr="00C76B54">
        <w:t xml:space="preserve">On peut dire que les exégètes ont détruit le réseau signifiant sous-jacent qui désigne la réincarnation dans ce verset, dans cette sourate et dans d’autres. Nous empruntons cette notion de réseaux signifiants sous-jacents à Antoine Berman : « Tout œuvre comporte un texte ‘sous-jacent’, où certains signifiants clefs se répondent et s’enchaînent, forment des réseaux sous la ‘surface’ du texte, </w:t>
      </w:r>
      <w:r w:rsidRPr="00C76B54">
        <w:rPr>
          <w:rFonts w:asciiTheme="majorBidi" w:hAnsiTheme="majorBidi" w:cstheme="majorBidi"/>
        </w:rPr>
        <w:t>[…] du texte manifeste, donné à la simple lecture. »</w:t>
      </w:r>
      <w:r w:rsidRPr="00C76B54">
        <w:rPr>
          <w:rStyle w:val="Appelnotedebasdep"/>
          <w:rFonts w:eastAsia="Calibri"/>
          <w:lang w:bidi="ar-AE"/>
        </w:rPr>
        <w:footnoteReference w:id="230"/>
      </w:r>
    </w:p>
    <w:p w14:paraId="25B306E3" w14:textId="77777777" w:rsidR="00296288" w:rsidRPr="00C76B54" w:rsidRDefault="00296288" w:rsidP="00296288">
      <w:pPr>
        <w:spacing w:line="360" w:lineRule="auto"/>
        <w:jc w:val="both"/>
        <w:rPr>
          <w:rFonts w:eastAsia="Times New Roman"/>
          <w:rtl/>
        </w:rPr>
      </w:pPr>
    </w:p>
    <w:p w14:paraId="601BEC3C"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Pour prouver l’authenticité du</w:t>
      </w:r>
      <w:r w:rsidRPr="00B867DF">
        <w:rPr>
          <w:rFonts w:eastAsia="Times New Roman"/>
          <w:i/>
          <w:iCs/>
          <w:lang w:bidi="ar-AE"/>
        </w:rPr>
        <w:t xml:space="preserve"> baʿth</w:t>
      </w:r>
      <w:r w:rsidRPr="00B867DF">
        <w:rPr>
          <w:rFonts w:eastAsia="Times New Roman"/>
          <w:lang w:bidi="ar-AE"/>
        </w:rPr>
        <w:t xml:space="preserve">, le verset 5 cite la compétence de Dieu à créer l’être humain à partir de </w:t>
      </w:r>
      <w:r w:rsidRPr="00B867DF">
        <w:rPr>
          <w:rFonts w:eastAsia="Times New Roman"/>
          <w:i/>
          <w:iCs/>
          <w:lang w:bidi="ar-AE"/>
        </w:rPr>
        <w:t>turāb</w:t>
      </w:r>
      <w:r w:rsidRPr="00B867DF">
        <w:rPr>
          <w:rFonts w:eastAsia="Times New Roman"/>
          <w:lang w:bidi="ar-AE"/>
        </w:rPr>
        <w:t xml:space="preserve"> [poussière, terre], puis de </w:t>
      </w:r>
      <w:r w:rsidRPr="00B867DF">
        <w:rPr>
          <w:rFonts w:eastAsia="Times New Roman"/>
          <w:i/>
          <w:iCs/>
          <w:lang w:bidi="ar-AE"/>
        </w:rPr>
        <w:t>nuṭfa</w:t>
      </w:r>
      <w:r w:rsidRPr="00B867DF">
        <w:rPr>
          <w:rFonts w:eastAsia="Times New Roman"/>
          <w:lang w:bidi="ar-AE"/>
        </w:rPr>
        <w:t xml:space="preserve"> [goutte d’eau, sperme, semence], puis de </w:t>
      </w:r>
      <w:r w:rsidRPr="00B867DF">
        <w:rPr>
          <w:rFonts w:eastAsia="Times New Roman"/>
          <w:i/>
          <w:iCs/>
          <w:lang w:bidi="ar-AE"/>
        </w:rPr>
        <w:t>ʿalaqa</w:t>
      </w:r>
      <w:r w:rsidRPr="00B867DF">
        <w:rPr>
          <w:rFonts w:eastAsia="Times New Roman"/>
          <w:lang w:bidi="ar-AE"/>
        </w:rPr>
        <w:t xml:space="preserve"> [grumeau de sang], puis de </w:t>
      </w:r>
      <w:r w:rsidRPr="00B867DF">
        <w:rPr>
          <w:rFonts w:eastAsia="Times New Roman"/>
          <w:i/>
          <w:iCs/>
          <w:lang w:bidi="ar-AE"/>
        </w:rPr>
        <w:t>muḍgha</w:t>
      </w:r>
      <w:r w:rsidRPr="00B867DF">
        <w:rPr>
          <w:rFonts w:eastAsia="Times New Roman"/>
          <w:lang w:bidi="ar-AE"/>
        </w:rPr>
        <w:t xml:space="preserve"> [morceau que l’on mâche, bouchée]. Concernant le mot </w:t>
      </w:r>
      <w:r w:rsidRPr="00B867DF">
        <w:rPr>
          <w:rFonts w:eastAsia="Times New Roman"/>
          <w:i/>
          <w:iCs/>
          <w:lang w:bidi="ar-AE"/>
        </w:rPr>
        <w:t>turāb</w:t>
      </w:r>
      <w:r w:rsidRPr="00B867DF">
        <w:rPr>
          <w:rFonts w:eastAsia="Times New Roman"/>
          <w:lang w:bidi="ar-AE"/>
        </w:rPr>
        <w:t xml:space="preserve">, les commentateurs disent qu’il s’agit d’Adam, du sperme ou des aliments qui produisent le sperme. Pour le mot </w:t>
      </w:r>
      <w:r w:rsidRPr="00B867DF">
        <w:rPr>
          <w:rFonts w:eastAsia="Times New Roman"/>
          <w:i/>
          <w:iCs/>
          <w:lang w:bidi="ar-AE"/>
        </w:rPr>
        <w:t>nuṭfa</w:t>
      </w:r>
      <w:r w:rsidRPr="00B867DF">
        <w:rPr>
          <w:rFonts w:eastAsia="Times New Roman"/>
          <w:lang w:bidi="ar-AE"/>
        </w:rPr>
        <w:t>, ils soulignent que le sens met l’accent sur : 1-l’avilissement et l’abjection (</w:t>
      </w:r>
      <w:r w:rsidRPr="00B867DF">
        <w:rPr>
          <w:rFonts w:eastAsia="Times New Roman"/>
          <w:i/>
          <w:iCs/>
          <w:lang w:bidi="ar-AE"/>
        </w:rPr>
        <w:t>māʾ mahīn</w:t>
      </w:r>
      <w:r w:rsidRPr="00B867DF">
        <w:rPr>
          <w:rFonts w:eastAsia="Times New Roman"/>
          <w:lang w:bidi="ar-AE"/>
        </w:rPr>
        <w:t xml:space="preserve"> [une giclée d’eau vile] ; 2-la petite quantité ; 3-ou la manière de sortir le sperme (éjaculation). Quant au mot </w:t>
      </w:r>
      <w:r w:rsidRPr="00B867DF">
        <w:rPr>
          <w:rFonts w:eastAsia="Times New Roman"/>
          <w:i/>
          <w:iCs/>
          <w:lang w:bidi="ar-AE"/>
        </w:rPr>
        <w:t>ʿalaqa</w:t>
      </w:r>
      <w:r w:rsidRPr="00B867DF">
        <w:rPr>
          <w:rFonts w:eastAsia="Times New Roman"/>
          <w:lang w:bidi="ar-AE"/>
        </w:rPr>
        <w:t>, ils se sont divisés en ce qui concerne sa nature et sa forme : s’agit-il d’un caillot de sang rouge, d’un peu de sang rouge foncé et vif (carmin), du sang coagulé, ou d’un morceau de sang.</w:t>
      </w:r>
    </w:p>
    <w:p w14:paraId="2A42955C" w14:textId="77777777" w:rsidR="00296288" w:rsidRPr="00C76B54" w:rsidRDefault="00296288" w:rsidP="00296288">
      <w:pPr>
        <w:spacing w:line="360" w:lineRule="auto"/>
        <w:ind w:firstLine="708"/>
        <w:jc w:val="both"/>
        <w:rPr>
          <w:rFonts w:eastAsia="Times New Roman"/>
          <w:lang w:bidi="ar-AE"/>
        </w:rPr>
      </w:pPr>
    </w:p>
    <w:p w14:paraId="5768C2E9" w14:textId="421FA6E4" w:rsidR="00296288" w:rsidRPr="00B867DF" w:rsidRDefault="00296288" w:rsidP="00296288">
      <w:pPr>
        <w:spacing w:line="360" w:lineRule="auto"/>
        <w:ind w:firstLine="708"/>
        <w:jc w:val="both"/>
        <w:rPr>
          <w:rFonts w:eastAsia="Times New Roman"/>
          <w:lang w:bidi="ar-AE"/>
        </w:rPr>
      </w:pPr>
      <w:r w:rsidRPr="00C76B54">
        <w:rPr>
          <w:rFonts w:eastAsia="Times New Roman"/>
          <w:lang w:bidi="ar-AE"/>
        </w:rPr>
        <w:t>Ensuite, le verset 5 utilise deux participes passifs antonymes (une sorte d’antithèse [parallélisme et opposition] ou d’oxymore) et de sens ambigu, employés comme adjectifs (</w:t>
      </w:r>
      <w:r w:rsidRPr="00C76B54">
        <w:rPr>
          <w:rFonts w:eastAsia="Times New Roman"/>
          <w:i/>
          <w:iCs/>
          <w:lang w:bidi="ar-AE"/>
        </w:rPr>
        <w:t xml:space="preserve">mukhallaqa </w:t>
      </w:r>
      <w:r w:rsidRPr="00C76B54">
        <w:rPr>
          <w:rFonts w:eastAsia="Times New Roman"/>
          <w:b/>
          <w:bCs/>
          <w:i/>
          <w:iCs/>
          <w:lang w:bidi="ar-AE"/>
        </w:rPr>
        <w:t>wa</w:t>
      </w:r>
      <w:r w:rsidRPr="00C76B54">
        <w:rPr>
          <w:rFonts w:eastAsia="Times New Roman"/>
          <w:i/>
          <w:iCs/>
          <w:lang w:bidi="ar-AE"/>
        </w:rPr>
        <w:t>-ghayr mukhallaqa</w:t>
      </w:r>
      <w:r w:rsidRPr="00C76B54">
        <w:rPr>
          <w:rFonts w:eastAsia="Times New Roman"/>
          <w:lang w:bidi="ar-AE"/>
        </w:rPr>
        <w:t xml:space="preserve"> [bien formé </w:t>
      </w:r>
      <w:r w:rsidRPr="00C76B54">
        <w:rPr>
          <w:rFonts w:eastAsia="Times New Roman"/>
          <w:b/>
          <w:bCs/>
          <w:lang w:bidi="ar-AE"/>
        </w:rPr>
        <w:t>et</w:t>
      </w:r>
      <w:r w:rsidRPr="00C76B54">
        <w:rPr>
          <w:rFonts w:eastAsia="Times New Roman"/>
          <w:lang w:bidi="ar-AE"/>
        </w:rPr>
        <w:t xml:space="preserve"> informe]). En premier lieu, les exégètes ne savent pas s’ils sont des épithètes de </w:t>
      </w:r>
      <w:r w:rsidRPr="00C76B54">
        <w:rPr>
          <w:rFonts w:eastAsia="Times New Roman"/>
          <w:i/>
          <w:iCs/>
          <w:lang w:bidi="ar-AE"/>
        </w:rPr>
        <w:t>nuṭfa</w:t>
      </w:r>
      <w:r w:rsidRPr="00C76B54">
        <w:rPr>
          <w:rFonts w:eastAsia="Times New Roman"/>
          <w:lang w:bidi="ar-AE"/>
        </w:rPr>
        <w:t xml:space="preserve"> ou de </w:t>
      </w:r>
      <w:r w:rsidRPr="00C76B54">
        <w:rPr>
          <w:rFonts w:eastAsia="Times New Roman"/>
          <w:i/>
          <w:iCs/>
          <w:lang w:bidi="ar-AE"/>
        </w:rPr>
        <w:t>muḍgha</w:t>
      </w:r>
      <w:r w:rsidRPr="00C76B54">
        <w:rPr>
          <w:rFonts w:eastAsia="Times New Roman"/>
          <w:lang w:bidi="ar-AE"/>
        </w:rPr>
        <w:t xml:space="preserve">. En second lieu, ils se sont divisés à propos de leur sens exact. Est-ce qu’ils signifient : créé </w:t>
      </w:r>
      <w:r w:rsidRPr="00C76B54">
        <w:rPr>
          <w:rFonts w:eastAsia="Times New Roman"/>
          <w:i/>
          <w:iCs/>
          <w:lang w:bidi="ar-AE"/>
        </w:rPr>
        <w:t>et</w:t>
      </w:r>
      <w:r w:rsidRPr="00C76B54">
        <w:rPr>
          <w:rFonts w:eastAsia="Times New Roman"/>
          <w:lang w:bidi="ar-AE"/>
        </w:rPr>
        <w:t xml:space="preserve"> non créé ; créé complètement </w:t>
      </w:r>
      <w:r w:rsidRPr="00C76B54">
        <w:rPr>
          <w:rFonts w:eastAsia="Times New Roman"/>
          <w:i/>
          <w:iCs/>
          <w:lang w:bidi="ar-AE"/>
        </w:rPr>
        <w:t>et</w:t>
      </w:r>
      <w:r w:rsidRPr="00C76B54">
        <w:rPr>
          <w:rFonts w:eastAsia="Times New Roman"/>
          <w:lang w:bidi="ar-AE"/>
        </w:rPr>
        <w:t xml:space="preserve"> incomplètement ; formé </w:t>
      </w:r>
      <w:r w:rsidRPr="00C76B54">
        <w:rPr>
          <w:rFonts w:eastAsia="Times New Roman"/>
          <w:i/>
          <w:iCs/>
          <w:lang w:bidi="ar-AE"/>
        </w:rPr>
        <w:t>et</w:t>
      </w:r>
      <w:r w:rsidRPr="00C76B54">
        <w:rPr>
          <w:rFonts w:eastAsia="Times New Roman"/>
          <w:lang w:bidi="ar-AE"/>
        </w:rPr>
        <w:t xml:space="preserve"> non formé ; normal </w:t>
      </w:r>
      <w:r w:rsidRPr="00C76B54">
        <w:rPr>
          <w:rFonts w:eastAsia="Times New Roman"/>
          <w:i/>
          <w:iCs/>
          <w:lang w:bidi="ar-AE"/>
        </w:rPr>
        <w:t>et</w:t>
      </w:r>
      <w:r w:rsidRPr="00C76B54">
        <w:rPr>
          <w:rFonts w:eastAsia="Times New Roman"/>
          <w:lang w:bidi="ar-AE"/>
        </w:rPr>
        <w:t xml:space="preserve"> déformé ; ou fœtus </w:t>
      </w:r>
      <w:r w:rsidRPr="00C76B54">
        <w:rPr>
          <w:rFonts w:eastAsia="Times New Roman"/>
          <w:i/>
          <w:iCs/>
          <w:lang w:bidi="ar-AE"/>
        </w:rPr>
        <w:t>et</w:t>
      </w:r>
      <w:r w:rsidRPr="00C76B54">
        <w:rPr>
          <w:rFonts w:eastAsia="Times New Roman"/>
          <w:lang w:bidi="ar-AE"/>
        </w:rPr>
        <w:t xml:space="preserve"> avorton ? Pourquoi le </w:t>
      </w:r>
      <w:r w:rsidRPr="00C76B54">
        <w:rPr>
          <w:rFonts w:eastAsia="Times New Roman"/>
          <w:lang w:bidi="ar-AE"/>
        </w:rPr>
        <w:lastRenderedPageBreak/>
        <w:t>Coran utilise-t-il la conjonction</w:t>
      </w:r>
      <w:r w:rsidRPr="00B867DF">
        <w:rPr>
          <w:rFonts w:eastAsia="Times New Roman"/>
          <w:lang w:bidi="ar-AE"/>
        </w:rPr>
        <w:t xml:space="preserve"> de coordination </w:t>
      </w:r>
      <w:r w:rsidRPr="00B867DF">
        <w:rPr>
          <w:rFonts w:eastAsia="Times New Roman"/>
          <w:i/>
          <w:iCs/>
          <w:lang w:bidi="ar-AE"/>
        </w:rPr>
        <w:t>wa-</w:t>
      </w:r>
      <w:r w:rsidRPr="00B867DF">
        <w:rPr>
          <w:rFonts w:eastAsia="Times New Roman"/>
          <w:lang w:bidi="ar-AE"/>
        </w:rPr>
        <w:t xml:space="preserve"> [et] (qui concatène deux concepts au moins) et non pas la conjonction de coordination </w:t>
      </w:r>
      <w:r w:rsidRPr="00B867DF">
        <w:rPr>
          <w:rFonts w:eastAsia="Times New Roman"/>
          <w:i/>
          <w:iCs/>
          <w:lang w:bidi="ar-AE"/>
        </w:rPr>
        <w:t>aw</w:t>
      </w:r>
      <w:r w:rsidRPr="00B867DF">
        <w:rPr>
          <w:rFonts w:eastAsia="Times New Roman"/>
          <w:lang w:bidi="ar-AE"/>
        </w:rPr>
        <w:t xml:space="preserve"> [ou] (qui indique une disjonction inclusive ou exclusive) ? Ces adjectifs vagues (que Régis Blachère (1956) a traduits par : « </w:t>
      </w:r>
      <w:r w:rsidRPr="00B867DF">
        <w:rPr>
          <w:rFonts w:eastAsia="Times New Roman"/>
          <w:i/>
          <w:iCs/>
          <w:lang w:bidi="ar-AE"/>
        </w:rPr>
        <w:t>élaborée (?) ou non élaborée ( ?)</w:t>
      </w:r>
      <w:r w:rsidRPr="00B867DF">
        <w:rPr>
          <w:rFonts w:eastAsia="Times New Roman"/>
          <w:lang w:bidi="ar-AE"/>
        </w:rPr>
        <w:t xml:space="preserve"> » en mettant un point d’interrogation à la fin de chaque adjectif) ont été récemment utilisés par le sectateur de l’inimitabilité scientifique du Coran </w:t>
      </w:r>
      <w:r w:rsidRPr="00B867DF">
        <w:rPr>
          <w:rFonts w:eastAsia="Calibri"/>
          <w:lang w:bidi="ar-AE"/>
        </w:rPr>
        <w:t>Zaghlūl An-Najjār</w:t>
      </w:r>
      <w:r w:rsidRPr="00B867DF">
        <w:rPr>
          <w:rFonts w:eastAsia="Times New Roman"/>
          <w:lang w:bidi="ar-AE"/>
        </w:rPr>
        <w:t xml:space="preserve"> dans son exégèse concordiste</w:t>
      </w:r>
      <w:r w:rsidRPr="001D72C7">
        <w:rPr>
          <w:rFonts w:eastAsia="Calibri"/>
          <w:vertAlign w:val="superscript"/>
          <w:lang w:bidi="ar-AE"/>
        </w:rPr>
        <w:footnoteReference w:id="231"/>
      </w:r>
      <w:r w:rsidRPr="001D72C7">
        <w:rPr>
          <w:rFonts w:eastAsia="Times New Roman"/>
          <w:lang w:bidi="ar-AE"/>
        </w:rPr>
        <w:t xml:space="preserve"> pour souligner que leur sens a été prouvé par la science moderne et qu’il s’agit ici de la transition de la </w:t>
      </w:r>
      <w:r w:rsidRPr="001D72C7">
        <w:rPr>
          <w:rFonts w:eastAsia="Times New Roman"/>
          <w:i/>
          <w:iCs/>
          <w:lang w:bidi="ar-AE"/>
        </w:rPr>
        <w:t>ʿalaqa</w:t>
      </w:r>
      <w:r w:rsidRPr="001D72C7">
        <w:rPr>
          <w:rFonts w:eastAsia="Times New Roman"/>
          <w:lang w:bidi="ar-AE"/>
        </w:rPr>
        <w:t xml:space="preserve"> vers une nouvelle</w:t>
      </w:r>
      <w:r w:rsidRPr="00B867DF">
        <w:rPr>
          <w:rFonts w:eastAsia="Times New Roman"/>
          <w:lang w:bidi="ar-AE"/>
        </w:rPr>
        <w:t xml:space="preserve"> phase (</w:t>
      </w:r>
      <w:r w:rsidRPr="00B867DF">
        <w:rPr>
          <w:rFonts w:eastAsia="Times New Roman"/>
          <w:i/>
          <w:iCs/>
          <w:lang w:bidi="ar-AE"/>
        </w:rPr>
        <w:t>al-muḍgha</w:t>
      </w:r>
      <w:r w:rsidRPr="00B867DF">
        <w:rPr>
          <w:rFonts w:eastAsia="Times New Roman"/>
          <w:lang w:bidi="ar-AE"/>
        </w:rPr>
        <w:t xml:space="preserve">) au milieu de la quatrième semaine de la </w:t>
      </w:r>
      <w:r w:rsidRPr="002B5C8E">
        <w:rPr>
          <w:rFonts w:eastAsia="Times New Roman"/>
          <w:lang w:bidi="ar-AE"/>
        </w:rPr>
        <w:t xml:space="preserve">fécondation ! Puis </w:t>
      </w:r>
      <w:r w:rsidRPr="002B5C8E">
        <w:rPr>
          <w:rFonts w:eastAsia="Calibri"/>
          <w:lang w:bidi="ar-AE"/>
        </w:rPr>
        <w:t xml:space="preserve">An-Najjār passe en revue </w:t>
      </w:r>
      <w:r w:rsidRPr="002B5C8E">
        <w:rPr>
          <w:rFonts w:eastAsia="Times New Roman"/>
          <w:lang w:bidi="ar-AE"/>
        </w:rPr>
        <w:t xml:space="preserve">quelques interprétations de ces adjectifs en disant : « Le sperme deviendra </w:t>
      </w:r>
      <w:r w:rsidRPr="002B5C8E">
        <w:rPr>
          <w:rFonts w:eastAsia="Times New Roman"/>
          <w:i/>
          <w:iCs/>
          <w:lang w:bidi="ar-AE"/>
        </w:rPr>
        <w:t>mukhallaqa</w:t>
      </w:r>
      <w:r w:rsidRPr="00B867DF">
        <w:rPr>
          <w:rFonts w:eastAsia="Times New Roman"/>
          <w:lang w:bidi="ar-AE"/>
        </w:rPr>
        <w:t xml:space="preserve"> quand les organes commencent à se former, alors qu’il est </w:t>
      </w:r>
      <w:r w:rsidRPr="00B867DF">
        <w:rPr>
          <w:rFonts w:eastAsia="Times New Roman"/>
          <w:i/>
          <w:iCs/>
          <w:lang w:bidi="ar-AE"/>
        </w:rPr>
        <w:t>ghayr mukhallaqa</w:t>
      </w:r>
      <w:r w:rsidRPr="00B867DF">
        <w:rPr>
          <w:rFonts w:eastAsia="Times New Roman"/>
          <w:lang w:bidi="ar-AE"/>
        </w:rPr>
        <w:t xml:space="preserve"> quand c’est un avorton ou un fœtus qui souffre d’une malformation congénitale. […] D’autres ont interprété </w:t>
      </w:r>
      <w:r w:rsidRPr="00B867DF">
        <w:rPr>
          <w:rFonts w:eastAsia="Times New Roman"/>
          <w:i/>
          <w:iCs/>
          <w:lang w:bidi="ar-AE"/>
        </w:rPr>
        <w:t>ghayr mukhallaqa</w:t>
      </w:r>
      <w:r w:rsidRPr="00B867DF">
        <w:rPr>
          <w:rFonts w:eastAsia="Times New Roman"/>
          <w:lang w:bidi="ar-AE"/>
        </w:rPr>
        <w:t xml:space="preserve"> par les cellules externes entourant l’embryon. D’autres ont précisé que </w:t>
      </w:r>
      <w:r w:rsidRPr="00B867DF">
        <w:rPr>
          <w:rFonts w:eastAsia="Times New Roman"/>
          <w:i/>
          <w:iCs/>
          <w:lang w:bidi="ar-AE"/>
        </w:rPr>
        <w:t>ghayr mukhallaqa</w:t>
      </w:r>
      <w:r w:rsidRPr="00B867DF">
        <w:rPr>
          <w:rFonts w:eastAsia="Times New Roman"/>
          <w:lang w:bidi="ar-AE"/>
        </w:rPr>
        <w:t xml:space="preserve"> est </w:t>
      </w:r>
      <w:r w:rsidRPr="00B867DF">
        <w:rPr>
          <w:rFonts w:eastAsia="Times New Roman"/>
          <w:i/>
          <w:iCs/>
          <w:lang w:bidi="ar-AE"/>
        </w:rPr>
        <w:t>al-ḥaml al-lā-janīnī</w:t>
      </w:r>
      <w:r w:rsidRPr="00B867DF">
        <w:rPr>
          <w:rFonts w:eastAsia="Times New Roman"/>
          <w:lang w:bidi="ar-AE"/>
        </w:rPr>
        <w:t xml:space="preserve"> [la conception sans embryon] (le sac gestationnel vide) »</w:t>
      </w:r>
      <w:r>
        <w:rPr>
          <w:rStyle w:val="Appelnotedebasdep"/>
          <w:lang w:bidi="ar-AE"/>
        </w:rPr>
        <w:footnoteReference w:id="232"/>
      </w:r>
      <w:r w:rsidRPr="00B867DF">
        <w:rPr>
          <w:rFonts w:eastAsia="Times New Roman"/>
          <w:lang w:bidi="ar-AE"/>
        </w:rPr>
        <w:t>. Mais Ash-Shaʿrāwī donne une aut</w:t>
      </w:r>
      <w:r w:rsidR="008B2FF9">
        <w:rPr>
          <w:rFonts w:eastAsia="Times New Roman"/>
          <w:lang w:bidi="ar-AE"/>
        </w:rPr>
        <w:t xml:space="preserve">re signification : selon lui, </w:t>
      </w:r>
      <w:r w:rsidRPr="00B867DF">
        <w:rPr>
          <w:rFonts w:eastAsia="Times New Roman"/>
          <w:i/>
          <w:iCs/>
          <w:lang w:bidi="ar-AE"/>
        </w:rPr>
        <w:t>al-mukhallaqa</w:t>
      </w:r>
      <w:r w:rsidRPr="00B867DF">
        <w:rPr>
          <w:rFonts w:eastAsia="Times New Roman"/>
          <w:lang w:bidi="ar-AE"/>
        </w:rPr>
        <w:t xml:space="preserve"> est celle qui est formée sel</w:t>
      </w:r>
      <w:r w:rsidR="008B2FF9">
        <w:rPr>
          <w:rFonts w:eastAsia="Times New Roman"/>
          <w:lang w:bidi="ar-AE"/>
        </w:rPr>
        <w:t xml:space="preserve">on la forme humaine alors que </w:t>
      </w:r>
      <w:r w:rsidRPr="00B867DF">
        <w:rPr>
          <w:rFonts w:eastAsia="Times New Roman"/>
          <w:i/>
          <w:iCs/>
          <w:lang w:bidi="ar-AE"/>
        </w:rPr>
        <w:t>ghayr al-mukhallaqa</w:t>
      </w:r>
      <w:r w:rsidRPr="00B867DF">
        <w:rPr>
          <w:rFonts w:eastAsia="Times New Roman"/>
          <w:lang w:bidi="ar-AE"/>
        </w:rPr>
        <w:t xml:space="preserve"> est « la pharmacie » [le système biologique] qui répare et reconstruit ce qui est endommagé dans le corps humain.</w:t>
      </w:r>
    </w:p>
    <w:p w14:paraId="690A5256" w14:textId="77777777" w:rsidR="00296288" w:rsidRPr="00B867DF" w:rsidRDefault="00296288" w:rsidP="00296288">
      <w:pPr>
        <w:spacing w:line="360" w:lineRule="auto"/>
        <w:ind w:firstLine="708"/>
        <w:jc w:val="both"/>
        <w:rPr>
          <w:rFonts w:eastAsia="Times New Roman"/>
          <w:lang w:bidi="ar-AE"/>
        </w:rPr>
      </w:pPr>
    </w:p>
    <w:p w14:paraId="4C05AA72" w14:textId="23D0721B"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Voilà les significations de ces deux adjectifs selon les exégètes musulmans. Mais pour mieux comprendre le sens des adjectifs </w:t>
      </w:r>
      <w:r w:rsidRPr="00B867DF">
        <w:rPr>
          <w:rFonts w:eastAsia="Times New Roman"/>
          <w:i/>
          <w:iCs/>
          <w:lang w:bidi="ar-AE"/>
        </w:rPr>
        <w:t>mukhallaqa</w:t>
      </w:r>
      <w:r w:rsidRPr="00B867DF">
        <w:rPr>
          <w:rFonts w:eastAsia="Times New Roman"/>
          <w:lang w:bidi="ar-AE"/>
        </w:rPr>
        <w:t xml:space="preserve"> et </w:t>
      </w:r>
      <w:r w:rsidRPr="00B867DF">
        <w:rPr>
          <w:rFonts w:eastAsia="Times New Roman"/>
          <w:i/>
          <w:iCs/>
          <w:lang w:bidi="ar-AE"/>
        </w:rPr>
        <w:t>ghayr mukhallaqa</w:t>
      </w:r>
      <w:r w:rsidRPr="00B867DF">
        <w:rPr>
          <w:rFonts w:eastAsia="Times New Roman"/>
          <w:lang w:bidi="ar-AE"/>
        </w:rPr>
        <w:t>, il vaut mieux peut-être se référer aux textes védiques hindouistes (composés à partir du XV</w:t>
      </w:r>
      <w:r w:rsidRPr="00B867DF">
        <w:rPr>
          <w:rFonts w:eastAsia="Times New Roman"/>
          <w:vertAlign w:val="superscript"/>
          <w:lang w:bidi="ar-AE"/>
        </w:rPr>
        <w:t>e</w:t>
      </w:r>
      <w:r w:rsidRPr="00B867DF">
        <w:rPr>
          <w:rFonts w:eastAsia="Times New Roman"/>
          <w:lang w:bidi="ar-AE"/>
        </w:rPr>
        <w:t xml:space="preserve"> siècle av. J.- C.) qui parlent presque du même concept. L’on ne sait pas si les auteurs du Coran connaissaient la tradition védique. Cependant, la similitude est surprenante. Il y a en effet deux aspects [</w:t>
      </w:r>
      <w:r w:rsidRPr="00B867DF">
        <w:rPr>
          <w:rFonts w:eastAsia="Times New Roman"/>
          <w:i/>
          <w:iCs/>
          <w:lang w:bidi="ar-AE"/>
        </w:rPr>
        <w:t>rūpe</w:t>
      </w:r>
      <w:r w:rsidRPr="00B867DF">
        <w:rPr>
          <w:rFonts w:eastAsia="Times New Roman"/>
          <w:lang w:bidi="ar-AE"/>
        </w:rPr>
        <w:t xml:space="preserve">] du </w:t>
      </w:r>
      <w:r w:rsidRPr="00B867DF">
        <w:rPr>
          <w:rFonts w:eastAsia="Times New Roman"/>
          <w:i/>
          <w:iCs/>
          <w:lang w:bidi="ar-AE"/>
        </w:rPr>
        <w:t>brahman</w:t>
      </w:r>
      <w:r w:rsidRPr="00B867DF">
        <w:rPr>
          <w:rFonts w:eastAsia="Times New Roman"/>
          <w:lang w:bidi="ar-AE"/>
        </w:rPr>
        <w:t> : le solide [</w:t>
      </w:r>
      <w:r w:rsidRPr="00B867DF">
        <w:rPr>
          <w:rFonts w:eastAsia="Times New Roman"/>
          <w:i/>
          <w:iCs/>
          <w:lang w:bidi="ar-AE"/>
        </w:rPr>
        <w:t>mūrta</w:t>
      </w:r>
      <w:r w:rsidRPr="00B867DF">
        <w:rPr>
          <w:rFonts w:eastAsia="Times New Roman"/>
          <w:lang w:bidi="ar-AE"/>
        </w:rPr>
        <w:t>] et l’informe, c.à.d. le mortel et l’immortel, le fixe et le mobile, l’étant [</w:t>
      </w:r>
      <w:r w:rsidRPr="00B867DF">
        <w:rPr>
          <w:rFonts w:eastAsia="Times New Roman"/>
          <w:i/>
          <w:iCs/>
          <w:lang w:bidi="ar-AE"/>
        </w:rPr>
        <w:t>sat</w:t>
      </w:r>
      <w:r w:rsidRPr="00B867DF">
        <w:rPr>
          <w:rFonts w:eastAsia="Times New Roman"/>
          <w:lang w:bidi="ar-AE"/>
        </w:rPr>
        <w:t>] et le cela [</w:t>
      </w:r>
      <w:r w:rsidRPr="00B867DF">
        <w:rPr>
          <w:rFonts w:eastAsia="Times New Roman"/>
          <w:i/>
          <w:iCs/>
          <w:lang w:bidi="ar-AE"/>
        </w:rPr>
        <w:t>tyam</w:t>
      </w:r>
      <w:r w:rsidRPr="00B867DF">
        <w:rPr>
          <w:rFonts w:eastAsia="Times New Roman"/>
          <w:lang w:bidi="ar-AE"/>
        </w:rPr>
        <w:t>]. Le solide est ce qui n’est ni l’air ni l’atmosphère : c’est le mortel, le fixe, l’étant (</w:t>
      </w:r>
      <w:r w:rsidRPr="00B867DF">
        <w:rPr>
          <w:rFonts w:eastAsia="Times New Roman"/>
          <w:i/>
          <w:iCs/>
          <w:lang w:bidi="ar-AE"/>
        </w:rPr>
        <w:t>sat</w:t>
      </w:r>
      <w:r w:rsidRPr="00B867DF">
        <w:rPr>
          <w:rFonts w:eastAsia="Times New Roman"/>
          <w:lang w:bidi="ar-AE"/>
        </w:rPr>
        <w:t xml:space="preserve">, vivant individuel). Par contre, l’informe est air et atmosphère : c’est l’immortel, c’est le cela. Par rapport à notre individualité, le solide est ce qui est autre que le souffle et que l’espace à l’intérieur de soi : c’est le mortel, le fixe, l’étant. Quant à l’informe, il est le souffle et </w:t>
      </w:r>
      <w:r w:rsidRPr="00B867DF">
        <w:rPr>
          <w:rFonts w:eastAsia="Times New Roman"/>
          <w:lang w:bidi="ar-AE"/>
        </w:rPr>
        <w:lastRenderedPageBreak/>
        <w:t>cet espace qui est à l’intérieur de soi, c’est l’immortel, le mobile, le cela.</w:t>
      </w:r>
      <w:r w:rsidRPr="00B867DF">
        <w:rPr>
          <w:rFonts w:eastAsia="Calibri"/>
          <w:vertAlign w:val="superscript"/>
          <w:lang w:bidi="ar-AE"/>
        </w:rPr>
        <w:footnoteReference w:id="233"/>
      </w:r>
      <w:r w:rsidRPr="00B867DF">
        <w:rPr>
          <w:rFonts w:eastAsia="Times New Roman"/>
          <w:lang w:bidi="ar-AE"/>
        </w:rPr>
        <w:t xml:space="preserve"> « </w:t>
      </w:r>
      <w:r w:rsidRPr="00B867DF">
        <w:rPr>
          <w:rFonts w:eastAsia="Times New Roman"/>
          <w:i/>
          <w:iCs/>
          <w:lang w:bidi="ar-AE"/>
        </w:rPr>
        <w:t>Le solide et l’informe</w:t>
      </w:r>
      <w:r w:rsidRPr="00B867DF">
        <w:rPr>
          <w:rFonts w:eastAsia="Times New Roman"/>
          <w:lang w:bidi="ar-AE"/>
        </w:rPr>
        <w:t> » correspondra</w:t>
      </w:r>
      <w:r w:rsidR="00D40D86">
        <w:rPr>
          <w:rFonts w:eastAsia="Times New Roman"/>
          <w:lang w:bidi="ar-AE"/>
        </w:rPr>
        <w:t xml:space="preserve">ient, en langage coranique, à </w:t>
      </w:r>
      <w:r w:rsidRPr="00B867DF">
        <w:rPr>
          <w:rFonts w:eastAsia="Times New Roman"/>
          <w:i/>
          <w:iCs/>
          <w:lang w:bidi="ar-AE"/>
        </w:rPr>
        <w:t>mukhallaq wa-qhayr mukhallaq</w:t>
      </w:r>
      <w:r w:rsidRPr="00B867DF">
        <w:rPr>
          <w:rFonts w:eastAsia="Times New Roman"/>
          <w:lang w:bidi="ar-AE"/>
        </w:rPr>
        <w:t xml:space="preserve">. Ainsi, cette dernière </w:t>
      </w:r>
      <w:r w:rsidRPr="001D72C7">
        <w:rPr>
          <w:rFonts w:eastAsia="Times New Roman"/>
          <w:lang w:bidi="ar-AE"/>
        </w:rPr>
        <w:t>expression désignerait l’être humain dans son intégralité, dans ses deux aspects : solide (</w:t>
      </w:r>
      <w:r w:rsidRPr="001D72C7">
        <w:rPr>
          <w:rFonts w:eastAsia="Times New Roman"/>
          <w:i/>
          <w:iCs/>
          <w:lang w:bidi="ar-AE"/>
        </w:rPr>
        <w:t>mukhallaq</w:t>
      </w:r>
      <w:r w:rsidRPr="001D72C7">
        <w:rPr>
          <w:rFonts w:eastAsia="Times New Roman"/>
          <w:lang w:bidi="ar-AE"/>
        </w:rPr>
        <w:t xml:space="preserve"> [créé sous une forme]) et informe (</w:t>
      </w:r>
      <w:r w:rsidRPr="001D72C7">
        <w:rPr>
          <w:rFonts w:eastAsia="Times New Roman"/>
          <w:i/>
          <w:iCs/>
          <w:lang w:bidi="ar-AE"/>
        </w:rPr>
        <w:t>ghayr mukhallaq</w:t>
      </w:r>
      <w:r w:rsidRPr="001D72C7">
        <w:rPr>
          <w:rFonts w:eastAsia="Times New Roman"/>
          <w:lang w:bidi="ar-AE"/>
        </w:rPr>
        <w:t xml:space="preserve"> [non créé sous une forme]), mortel et immortel, c.à.d. un embryon vivant qui a à la fois l’aspect mortel (le corps physique) et l’aspect immortel (l’âme). Ce qui soutient cette interprétation c’est : 1) d’abord l’utilisation de la conjonction de coordination </w:t>
      </w:r>
      <w:r w:rsidRPr="001D72C7">
        <w:rPr>
          <w:rFonts w:eastAsia="Times New Roman"/>
          <w:i/>
          <w:iCs/>
          <w:lang w:bidi="ar-AE"/>
        </w:rPr>
        <w:t>wa-</w:t>
      </w:r>
      <w:r w:rsidRPr="001D72C7">
        <w:rPr>
          <w:rFonts w:eastAsia="Times New Roman"/>
          <w:lang w:bidi="ar-AE"/>
        </w:rPr>
        <w:t xml:space="preserve"> (qui signifie que la </w:t>
      </w:r>
      <w:r w:rsidRPr="001D72C7">
        <w:rPr>
          <w:rFonts w:eastAsia="Times New Roman"/>
          <w:i/>
          <w:iCs/>
          <w:lang w:bidi="ar-AE"/>
        </w:rPr>
        <w:t>muḍgha</w:t>
      </w:r>
      <w:r w:rsidRPr="001D72C7">
        <w:rPr>
          <w:rFonts w:eastAsia="Times New Roman"/>
          <w:lang w:bidi="ar-AE"/>
        </w:rPr>
        <w:t xml:space="preserve"> [l’embryon] est à la fois </w:t>
      </w:r>
      <w:r w:rsidRPr="001D72C7">
        <w:rPr>
          <w:rFonts w:eastAsia="Times New Roman"/>
          <w:i/>
          <w:iCs/>
          <w:lang w:bidi="ar-AE"/>
        </w:rPr>
        <w:t>mukhallaqa</w:t>
      </w:r>
      <w:r w:rsidRPr="001D72C7">
        <w:rPr>
          <w:rFonts w:eastAsia="Times New Roman"/>
          <w:lang w:bidi="ar-AE"/>
        </w:rPr>
        <w:t xml:space="preserve"> </w:t>
      </w:r>
      <w:r w:rsidRPr="001D72C7">
        <w:rPr>
          <w:rFonts w:eastAsia="Times New Roman"/>
          <w:b/>
          <w:bCs/>
          <w:lang w:bidi="ar-AE"/>
        </w:rPr>
        <w:t>et</w:t>
      </w:r>
      <w:r w:rsidRPr="001D72C7">
        <w:rPr>
          <w:rFonts w:eastAsia="Times New Roman"/>
          <w:lang w:bidi="ar-AE"/>
        </w:rPr>
        <w:t xml:space="preserve"> </w:t>
      </w:r>
      <w:r w:rsidRPr="001D72C7">
        <w:rPr>
          <w:rFonts w:eastAsia="Times New Roman"/>
          <w:i/>
          <w:iCs/>
          <w:lang w:bidi="ar-AE"/>
        </w:rPr>
        <w:t>ghayr mukhallaqa</w:t>
      </w:r>
      <w:r w:rsidRPr="001D72C7">
        <w:rPr>
          <w:rFonts w:eastAsia="Times New Roman"/>
          <w:lang w:bidi="ar-AE"/>
        </w:rPr>
        <w:t>, i. e. corps et âme) et non pas la conjonction de coordination </w:t>
      </w:r>
      <w:r w:rsidRPr="001D72C7">
        <w:rPr>
          <w:rFonts w:eastAsia="Times New Roman"/>
          <w:i/>
          <w:iCs/>
          <w:lang w:bidi="ar-AE"/>
        </w:rPr>
        <w:t>aw</w:t>
      </w:r>
      <w:r w:rsidRPr="001D72C7">
        <w:rPr>
          <w:rFonts w:eastAsia="Times New Roman"/>
          <w:lang w:bidi="ar-AE"/>
        </w:rPr>
        <w:t xml:space="preserve"> [ou] (qui indique l’un des deux adjectifs en question) ; 2-puis l’utilisation d’une antithèse. Du point de vue rhétorique, l’expression </w:t>
      </w:r>
      <w:r w:rsidRPr="001D72C7">
        <w:rPr>
          <w:rFonts w:eastAsia="Times New Roman"/>
          <w:i/>
          <w:iCs/>
          <w:lang w:bidi="ar-AE"/>
        </w:rPr>
        <w:t>mukhallaqa wa-ghayr mukhallaqa</w:t>
      </w:r>
      <w:r w:rsidRPr="001D72C7">
        <w:rPr>
          <w:rFonts w:eastAsia="Times New Roman"/>
          <w:lang w:bidi="ar-AE"/>
        </w:rPr>
        <w:t xml:space="preserve"> est une sorte de </w:t>
      </w:r>
      <w:r w:rsidRPr="001D72C7">
        <w:rPr>
          <w:rFonts w:eastAsia="Times New Roman"/>
          <w:i/>
          <w:iCs/>
          <w:lang w:bidi="ar-AE"/>
        </w:rPr>
        <w:t>ṭibāq</w:t>
      </w:r>
      <w:r w:rsidRPr="001D72C7">
        <w:rPr>
          <w:rFonts w:eastAsia="Times New Roman"/>
          <w:lang w:bidi="ar-AE"/>
        </w:rPr>
        <w:t xml:space="preserve"> (antithèse) appelé </w:t>
      </w:r>
      <w:r w:rsidRPr="001D72C7">
        <w:rPr>
          <w:rFonts w:eastAsia="Times New Roman"/>
          <w:i/>
          <w:iCs/>
          <w:lang w:bidi="ar-AE"/>
        </w:rPr>
        <w:t>ṭibāq as-salb</w:t>
      </w:r>
      <w:r w:rsidRPr="001D72C7">
        <w:rPr>
          <w:rFonts w:eastAsia="Times New Roman"/>
          <w:lang w:bidi="ar-AE"/>
        </w:rPr>
        <w:t xml:space="preserve"> (antithèse négative)</w:t>
      </w:r>
      <w:r w:rsidRPr="001D72C7">
        <w:rPr>
          <w:rFonts w:eastAsia="Calibri"/>
          <w:vertAlign w:val="superscript"/>
          <w:lang w:bidi="ar-AE"/>
        </w:rPr>
        <w:footnoteReference w:id="234"/>
      </w:r>
      <w:r w:rsidRPr="001D72C7">
        <w:rPr>
          <w:rFonts w:eastAsia="Times New Roman"/>
          <w:lang w:bidi="ar-AE"/>
        </w:rPr>
        <w:t xml:space="preserve"> pour illustrer l’image d’un embryon qui, quoique formé [dont on peut distinguer les</w:t>
      </w:r>
      <w:r w:rsidRPr="00B867DF">
        <w:rPr>
          <w:rFonts w:eastAsia="Times New Roman"/>
          <w:lang w:bidi="ar-AE"/>
        </w:rPr>
        <w:t xml:space="preserve"> organes et la tête], n’est pas encore complètement formé, ou bien pour montrer qu’il est formé et informe en même temps, c.à.d. qu’il est constitué des </w:t>
      </w:r>
      <w:r w:rsidRPr="0058121D">
        <w:rPr>
          <w:rFonts w:eastAsia="Times New Roman"/>
          <w:lang w:bidi="ar-AE"/>
        </w:rPr>
        <w:t>éléments physiques (formés) et non physiques (informes). On ne sait pas comment cette idée a pénétré le texte coranique. Est-ce</w:t>
      </w:r>
      <w:r w:rsidRPr="00B867DF">
        <w:rPr>
          <w:rFonts w:eastAsia="Times New Roman"/>
          <w:lang w:bidi="ar-AE"/>
        </w:rPr>
        <w:t xml:space="preserve"> par le moyen de la traduction ?</w:t>
      </w:r>
    </w:p>
    <w:p w14:paraId="1068C543" w14:textId="77777777" w:rsidR="00296288" w:rsidRPr="002B5C8E" w:rsidRDefault="00296288" w:rsidP="00296288">
      <w:pPr>
        <w:spacing w:line="360" w:lineRule="auto"/>
        <w:jc w:val="both"/>
        <w:rPr>
          <w:rFonts w:eastAsia="Times New Roman"/>
          <w:lang w:bidi="ar-AE"/>
        </w:rPr>
      </w:pPr>
    </w:p>
    <w:p w14:paraId="1E6459C2" w14:textId="77777777" w:rsidR="00296288" w:rsidRPr="002B5C8E" w:rsidRDefault="00296288" w:rsidP="00296288">
      <w:pPr>
        <w:spacing w:line="360" w:lineRule="auto"/>
        <w:ind w:firstLine="708"/>
        <w:jc w:val="both"/>
        <w:rPr>
          <w:rFonts w:eastAsia="Times New Roman"/>
        </w:rPr>
      </w:pPr>
      <w:r w:rsidRPr="002B5C8E">
        <w:rPr>
          <w:rFonts w:eastAsia="Times New Roman"/>
        </w:rPr>
        <w:t>Bāsim Musallam, directeur du centre des études du Moyen-Orient à l’université de Cambridge indique : « les étapes du développement établis par le Coran et le Hadith pour les croyants étaient parfaitement conformes au compte scientifique de Galien. Il n’y a aucun doute que la pensée médiévale a apprécié cet accord entre le Coran et Galien, parce que la science arabe a utilisé les termes du Coran pour décrire les étapes galéniques »</w:t>
      </w:r>
      <w:r w:rsidRPr="002B5C8E">
        <w:rPr>
          <w:rStyle w:val="Appelnotedebasdep"/>
        </w:rPr>
        <w:footnoteReference w:id="235"/>
      </w:r>
    </w:p>
    <w:p w14:paraId="0AD426B8" w14:textId="77777777" w:rsidR="00296288" w:rsidRPr="002B5C8E" w:rsidRDefault="00296288" w:rsidP="00296288">
      <w:pPr>
        <w:spacing w:line="360" w:lineRule="auto"/>
        <w:ind w:firstLine="708"/>
        <w:jc w:val="both"/>
        <w:rPr>
          <w:rFonts w:eastAsia="Times New Roman"/>
        </w:rPr>
      </w:pPr>
      <w:r w:rsidRPr="002B5C8E">
        <w:rPr>
          <w:rFonts w:eastAsia="Times New Roman"/>
        </w:rPr>
        <w:lastRenderedPageBreak/>
        <w:t>Un article intitulé : « Holy Quran, New Sciences and Development of Human Embryo » écrit en 2011 par le médecin iranien Mahdi Esmaeilzadeh et ses deux collègues</w:t>
      </w:r>
      <w:r w:rsidRPr="002B5C8E">
        <w:rPr>
          <w:rStyle w:val="Appelnotedebasdep"/>
        </w:rPr>
        <w:footnoteReference w:id="236"/>
      </w:r>
      <w:r w:rsidRPr="002B5C8E">
        <w:rPr>
          <w:rFonts w:eastAsia="Times New Roman"/>
        </w:rPr>
        <w:t xml:space="preserve"> montre les similitudes entre les étapes galénique et coranique.</w:t>
      </w:r>
    </w:p>
    <w:p w14:paraId="07DE2003" w14:textId="77777777" w:rsidR="00296288" w:rsidRPr="002B5C8E" w:rsidRDefault="00296288" w:rsidP="00296288">
      <w:pPr>
        <w:spacing w:line="360" w:lineRule="auto"/>
        <w:ind w:firstLine="709"/>
        <w:contextualSpacing/>
        <w:jc w:val="both"/>
        <w:rPr>
          <w:rFonts w:asciiTheme="majorBidi" w:eastAsia="Times New Roman" w:hAnsiTheme="majorBidi" w:cstheme="majorBidi"/>
          <w:lang w:bidi="ar-AE"/>
        </w:rPr>
      </w:pPr>
      <w:r w:rsidRPr="002B5C8E">
        <w:rPr>
          <w:rFonts w:asciiTheme="majorBidi" w:hAnsiTheme="majorBidi" w:cstheme="majorBidi"/>
        </w:rPr>
        <w:t xml:space="preserve">Nous pourrions émettre l’hypothèse que les auteurs de l’article ci-dessus aient voulu indiqué la manière par laquelle l’idée grecque est parvenue jusqu’à </w:t>
      </w:r>
      <w:r w:rsidRPr="002B5C8E">
        <w:rPr>
          <w:rFonts w:asciiTheme="majorBidi" w:eastAsia="Times New Roman" w:hAnsiTheme="majorBidi" w:cstheme="majorBidi"/>
        </w:rPr>
        <w:t>Muḥammad</w:t>
      </w:r>
      <w:r w:rsidRPr="002B5C8E">
        <w:rPr>
          <w:rFonts w:asciiTheme="majorBidi" w:hAnsiTheme="majorBidi" w:cstheme="majorBidi"/>
        </w:rPr>
        <w:t xml:space="preserve">, par le biais de la traduction, et cela si l’on pense que ce serait </w:t>
      </w:r>
      <w:r w:rsidRPr="002B5C8E">
        <w:rPr>
          <w:rFonts w:asciiTheme="majorBidi" w:eastAsia="Times New Roman" w:hAnsiTheme="majorBidi" w:cstheme="majorBidi"/>
        </w:rPr>
        <w:t xml:space="preserve">grâce à un certain </w:t>
      </w:r>
      <w:r w:rsidRPr="002B5C8E">
        <w:rPr>
          <w:rFonts w:asciiTheme="majorBidi" w:eastAsia="Times New Roman" w:hAnsiTheme="majorBidi" w:cstheme="majorBidi"/>
          <w:lang w:bidi="ar-AE"/>
        </w:rPr>
        <w:t xml:space="preserve">An-Naḍr ibn Al-Ḥārith que les exégètes définissent comme un adversaire du Prophète </w:t>
      </w:r>
      <w:r w:rsidRPr="002B5C8E">
        <w:rPr>
          <w:rFonts w:asciiTheme="majorBidi" w:eastAsia="Times New Roman" w:hAnsiTheme="majorBidi" w:cstheme="majorBidi"/>
        </w:rPr>
        <w:t xml:space="preserve">dans leur interprétation des versets 3 et 8 de la sourate Al-Ḥajj. </w:t>
      </w:r>
    </w:p>
    <w:p w14:paraId="6F7ECB49" w14:textId="77777777" w:rsidR="00296288" w:rsidRPr="002B5C8E" w:rsidRDefault="00296288" w:rsidP="00296288">
      <w:pPr>
        <w:spacing w:line="360" w:lineRule="auto"/>
        <w:jc w:val="both"/>
        <w:rPr>
          <w:rFonts w:eastAsia="Times New Roman"/>
          <w:rtl/>
        </w:rPr>
      </w:pPr>
    </w:p>
    <w:p w14:paraId="6E499233" w14:textId="7ACEA8EC" w:rsidR="00296288" w:rsidRPr="002B5C8E" w:rsidRDefault="00296288" w:rsidP="00296288">
      <w:pPr>
        <w:spacing w:line="360" w:lineRule="auto"/>
        <w:ind w:firstLine="708"/>
        <w:jc w:val="both"/>
        <w:rPr>
          <w:rFonts w:eastAsia="Times New Roman"/>
          <w:lang w:bidi="ar-EG"/>
        </w:rPr>
      </w:pPr>
      <w:r w:rsidRPr="002B5C8E">
        <w:rPr>
          <w:rFonts w:eastAsia="Times New Roman"/>
          <w:lang w:bidi="ar-EG"/>
        </w:rPr>
        <w:t xml:space="preserve">Le verset 5 passe en revue les étapes du développement de l’être humain en montrant que Dieu (exprimé par </w:t>
      </w:r>
      <w:r w:rsidRPr="002B5C8E">
        <w:rPr>
          <w:rFonts w:eastAsia="Times New Roman"/>
          <w:i/>
          <w:iCs/>
          <w:lang w:bidi="ar-EG"/>
        </w:rPr>
        <w:t>Nous</w:t>
      </w:r>
      <w:r w:rsidRPr="002B5C8E">
        <w:rPr>
          <w:rFonts w:eastAsia="Times New Roman"/>
          <w:lang w:bidi="ar-EG"/>
        </w:rPr>
        <w:t>) fixe dans les matrices ce que bon Lui semble jusqu’à un terme déterminé (</w:t>
      </w:r>
      <w:r w:rsidRPr="002B5C8E">
        <w:rPr>
          <w:rFonts w:eastAsia="Times New Roman"/>
          <w:i/>
          <w:iCs/>
          <w:lang w:bidi="ar-EG"/>
        </w:rPr>
        <w:t>ʾajal musammā</w:t>
      </w:r>
      <w:r w:rsidRPr="002B5C8E">
        <w:rPr>
          <w:rFonts w:eastAsia="Times New Roman"/>
          <w:lang w:bidi="ar-EG"/>
        </w:rPr>
        <w:t>). Les exégètes so</w:t>
      </w:r>
      <w:r w:rsidR="00B90594">
        <w:rPr>
          <w:rFonts w:eastAsia="Times New Roman"/>
          <w:lang w:bidi="ar-EG"/>
        </w:rPr>
        <w:t xml:space="preserve">ulignent que la locution </w:t>
      </w:r>
      <w:r w:rsidRPr="002B5C8E">
        <w:rPr>
          <w:rFonts w:eastAsia="Times New Roman"/>
          <w:i/>
          <w:iCs/>
          <w:lang w:bidi="ar-EG"/>
        </w:rPr>
        <w:t>ajal musammā</w:t>
      </w:r>
      <w:r w:rsidRPr="002B5C8E">
        <w:rPr>
          <w:rFonts w:eastAsia="Times New Roman"/>
          <w:lang w:bidi="ar-EG"/>
        </w:rPr>
        <w:t xml:space="preserve"> exprime la durée du séjour dans l’utérus (6 mois, 9 mois ou même 4 ans [!] (Ar-Rāzī et Al-Bayhaqī</w:t>
      </w:r>
      <w:r w:rsidRPr="002B5C8E">
        <w:rPr>
          <w:rFonts w:eastAsia="Calibri"/>
          <w:vertAlign w:val="superscript"/>
          <w:lang w:bidi="ar-AE"/>
        </w:rPr>
        <w:footnoteReference w:id="237"/>
      </w:r>
      <w:r w:rsidR="00B90594">
        <w:rPr>
          <w:rFonts w:eastAsia="Times New Roman"/>
          <w:lang w:bidi="ar-EG"/>
        </w:rPr>
        <w:t xml:space="preserve">)). Le mot </w:t>
      </w:r>
      <w:r w:rsidRPr="002B5C8E">
        <w:rPr>
          <w:rFonts w:eastAsia="Times New Roman"/>
          <w:i/>
          <w:iCs/>
          <w:lang w:bidi="ar-EG"/>
        </w:rPr>
        <w:t>ashudda-kum</w:t>
      </w:r>
      <w:r w:rsidRPr="002B5C8E">
        <w:rPr>
          <w:rFonts w:eastAsia="Times New Roman"/>
          <w:lang w:bidi="ar-EG"/>
        </w:rPr>
        <w:t xml:space="preserve"> [votre force adulte] (v. 5) peut signifier selon les exégètes : 1-la fleur de la jeunesse, 2-l’âge de discernement et de force, 3-la raison, 4-l’âge adulte, 5-l’âge entre 30 et 40 ou entre 18 et 40.</w:t>
      </w:r>
    </w:p>
    <w:p w14:paraId="177A90E9" w14:textId="77777777" w:rsidR="00296288" w:rsidRPr="002B5C8E" w:rsidRDefault="00296288" w:rsidP="00296288">
      <w:pPr>
        <w:spacing w:line="360" w:lineRule="auto"/>
        <w:jc w:val="both"/>
        <w:rPr>
          <w:rFonts w:eastAsia="Times New Roman"/>
          <w:lang w:bidi="ar-EG"/>
        </w:rPr>
      </w:pPr>
    </w:p>
    <w:p w14:paraId="54160127" w14:textId="6185ED7B" w:rsidR="00296288" w:rsidRPr="00B867DF" w:rsidRDefault="00296288" w:rsidP="00296288">
      <w:pPr>
        <w:spacing w:line="360" w:lineRule="auto"/>
        <w:ind w:firstLine="708"/>
        <w:jc w:val="both"/>
        <w:rPr>
          <w:rFonts w:eastAsia="Times New Roman"/>
        </w:rPr>
      </w:pPr>
      <w:r w:rsidRPr="00B867DF">
        <w:rPr>
          <w:rFonts w:eastAsia="Times New Roman"/>
          <w:lang w:bidi="ar-EG"/>
        </w:rPr>
        <w:t>La seconde argumentation d’</w:t>
      </w:r>
      <w:r w:rsidRPr="00B867DF">
        <w:rPr>
          <w:rFonts w:eastAsia="Times New Roman"/>
          <w:i/>
          <w:iCs/>
          <w:lang w:bidi="ar-EG"/>
        </w:rPr>
        <w:t>al-baʿth</w:t>
      </w:r>
      <w:r w:rsidRPr="00B867DF">
        <w:rPr>
          <w:rFonts w:eastAsia="Times New Roman"/>
          <w:lang w:bidi="ar-EG"/>
        </w:rPr>
        <w:t xml:space="preserve"> consiste dans l’idée que « tu vois la terre </w:t>
      </w:r>
      <w:r w:rsidRPr="00B867DF">
        <w:rPr>
          <w:rFonts w:eastAsia="Times New Roman"/>
          <w:i/>
          <w:iCs/>
          <w:lang w:bidi="ar-EG"/>
        </w:rPr>
        <w:t>hāmida</w:t>
      </w:r>
      <w:r w:rsidRPr="00B867DF">
        <w:rPr>
          <w:rFonts w:eastAsia="Times New Roman"/>
          <w:lang w:bidi="ar-EG"/>
        </w:rPr>
        <w:t xml:space="preserve"> [calme, éteinte, inerte] » et qu’elle « s’émeut ensuite, gonfle et fait pousser des espèces merveilleuses » dès que « </w:t>
      </w:r>
      <w:r w:rsidRPr="00B867DF">
        <w:rPr>
          <w:rFonts w:eastAsia="Times New Roman"/>
          <w:i/>
          <w:iCs/>
          <w:lang w:bidi="ar-EG"/>
        </w:rPr>
        <w:t>Nous</w:t>
      </w:r>
      <w:r w:rsidRPr="00B867DF">
        <w:rPr>
          <w:rFonts w:eastAsia="Times New Roman"/>
          <w:lang w:bidi="ar-EG"/>
        </w:rPr>
        <w:t> » [Dieu] faisons descendre de l’eau sur elle (v. 5). Voici ce que les exégètes ont donn</w:t>
      </w:r>
      <w:r w:rsidR="00BD093D">
        <w:rPr>
          <w:rFonts w:eastAsia="Times New Roman"/>
          <w:lang w:bidi="ar-EG"/>
        </w:rPr>
        <w:t xml:space="preserve">é comme significations au mot </w:t>
      </w:r>
      <w:r w:rsidRPr="00B867DF">
        <w:rPr>
          <w:rFonts w:eastAsia="Times New Roman"/>
          <w:i/>
          <w:iCs/>
          <w:lang w:bidi="ar-EG"/>
        </w:rPr>
        <w:t>hāmida</w:t>
      </w:r>
      <w:r w:rsidRPr="00B867DF">
        <w:rPr>
          <w:rFonts w:eastAsia="Times New Roman"/>
          <w:lang w:bidi="ar-EG"/>
        </w:rPr>
        <w:t xml:space="preserve"> : </w:t>
      </w:r>
      <w:r w:rsidRPr="00B867DF">
        <w:rPr>
          <w:rFonts w:eastAsia="Times New Roman"/>
          <w:i/>
          <w:iCs/>
          <w:lang w:bidi="ar-EG"/>
        </w:rPr>
        <w:t>qāḥila</w:t>
      </w:r>
      <w:r w:rsidRPr="00B867DF">
        <w:rPr>
          <w:rFonts w:eastAsia="Times New Roman"/>
          <w:lang w:bidi="ar-EG"/>
        </w:rPr>
        <w:t xml:space="preserve"> [aride], </w:t>
      </w:r>
      <w:r w:rsidRPr="00B867DF">
        <w:rPr>
          <w:rFonts w:eastAsia="Times New Roman"/>
          <w:i/>
          <w:iCs/>
          <w:lang w:bidi="ar-EG"/>
        </w:rPr>
        <w:t>ghabrā</w:t>
      </w:r>
      <w:r w:rsidRPr="00B867DF">
        <w:rPr>
          <w:rFonts w:eastAsia="Times New Roman"/>
        </w:rPr>
        <w:t>ʾ</w:t>
      </w:r>
      <w:r w:rsidRPr="00B867DF">
        <w:rPr>
          <w:rFonts w:eastAsia="Times New Roman"/>
          <w:lang w:bidi="ar-EG"/>
        </w:rPr>
        <w:t xml:space="preserve"> [cendrée], </w:t>
      </w:r>
      <w:r w:rsidRPr="00B867DF">
        <w:rPr>
          <w:rFonts w:eastAsia="Times New Roman"/>
          <w:i/>
          <w:iCs/>
          <w:lang w:bidi="ar-EG"/>
        </w:rPr>
        <w:t>mutahashshima</w:t>
      </w:r>
      <w:r w:rsidRPr="00B867DF">
        <w:rPr>
          <w:rFonts w:eastAsia="Times New Roman"/>
          <w:lang w:bidi="ar-EG"/>
        </w:rPr>
        <w:t xml:space="preserve"> [dont les plantes sont brisées, réduites en miettes], </w:t>
      </w:r>
      <w:r w:rsidRPr="00B867DF">
        <w:rPr>
          <w:rFonts w:eastAsia="Times New Roman"/>
          <w:i/>
          <w:iCs/>
          <w:lang w:bidi="ar-EG"/>
        </w:rPr>
        <w:t>yābisa</w:t>
      </w:r>
      <w:r w:rsidRPr="00B867DF">
        <w:rPr>
          <w:rFonts w:eastAsia="Times New Roman"/>
          <w:lang w:bidi="ar-EG"/>
        </w:rPr>
        <w:t xml:space="preserve"> [desséchée], « </w:t>
      </w:r>
      <w:r>
        <w:rPr>
          <w:rFonts w:eastAsia="Times New Roman" w:hint="cs"/>
          <w:rtl/>
          <w:lang w:bidi="ar-EG"/>
        </w:rPr>
        <w:t>لا نبات فيها</w:t>
      </w:r>
      <w:r>
        <w:rPr>
          <w:rFonts w:eastAsia="Times New Roman"/>
          <w:lang w:bidi="ar-EG"/>
        </w:rPr>
        <w:t> »</w:t>
      </w:r>
      <w:r w:rsidRPr="00B867DF">
        <w:rPr>
          <w:rFonts w:eastAsia="Times New Roman"/>
          <w:lang w:bidi="ar-EG"/>
        </w:rPr>
        <w:t xml:space="preserve"> [terre où rien ne pousse], </w:t>
      </w:r>
      <w:r w:rsidRPr="00B867DF">
        <w:rPr>
          <w:rFonts w:eastAsia="Times New Roman"/>
          <w:i/>
          <w:iCs/>
          <w:lang w:bidi="ar-EG"/>
        </w:rPr>
        <w:t>mayyita</w:t>
      </w:r>
      <w:r w:rsidRPr="00B867DF">
        <w:rPr>
          <w:rFonts w:eastAsia="Times New Roman"/>
          <w:lang w:bidi="ar-EG"/>
        </w:rPr>
        <w:t xml:space="preserve"> [morte], </w:t>
      </w:r>
      <w:r w:rsidRPr="00B867DF">
        <w:rPr>
          <w:rFonts w:eastAsia="Times New Roman"/>
          <w:i/>
          <w:iCs/>
          <w:lang w:bidi="ar-EG"/>
        </w:rPr>
        <w:t>arḍ an-nafs mayyita bi-l-jahl</w:t>
      </w:r>
      <w:r w:rsidRPr="00B867DF">
        <w:rPr>
          <w:rFonts w:eastAsia="Times New Roman"/>
          <w:lang w:bidi="ar-EG"/>
        </w:rPr>
        <w:t xml:space="preserve"> [la terre de la </w:t>
      </w:r>
      <w:r w:rsidRPr="00B867DF">
        <w:rPr>
          <w:rFonts w:eastAsia="Times New Roman"/>
          <w:i/>
          <w:iCs/>
          <w:lang w:bidi="ar-EG"/>
        </w:rPr>
        <w:t xml:space="preserve">nafs </w:t>
      </w:r>
      <w:r w:rsidRPr="00B867DF">
        <w:rPr>
          <w:rFonts w:eastAsia="Times New Roman"/>
          <w:lang w:bidi="ar-EG"/>
        </w:rPr>
        <w:t xml:space="preserve">(la psyché) est morte à cause de l’ignorance] (Ibn ʿArabī), </w:t>
      </w:r>
      <w:r w:rsidRPr="00B867DF">
        <w:rPr>
          <w:rFonts w:eastAsia="Times New Roman"/>
          <w:i/>
          <w:iCs/>
          <w:lang w:bidi="ar-EG"/>
        </w:rPr>
        <w:t>sākina</w:t>
      </w:r>
      <w:r w:rsidRPr="00B867DF">
        <w:rPr>
          <w:rFonts w:eastAsia="Times New Roman"/>
          <w:lang w:bidi="ar-EG"/>
        </w:rPr>
        <w:t xml:space="preserve"> [calme] (Ash-Shaʿrāwī). Ainsi, </w:t>
      </w:r>
      <w:r w:rsidRPr="00B867DF">
        <w:rPr>
          <w:rFonts w:eastAsia="Times New Roman"/>
          <w:lang w:bidi="ar-EG"/>
        </w:rPr>
        <w:lastRenderedPageBreak/>
        <w:t>pour l’adjectif </w:t>
      </w:r>
      <w:r w:rsidRPr="00B867DF">
        <w:rPr>
          <w:rFonts w:eastAsia="Times New Roman"/>
          <w:i/>
          <w:iCs/>
          <w:lang w:bidi="ar-EG"/>
        </w:rPr>
        <w:t>hāmida</w:t>
      </w:r>
      <w:r w:rsidRPr="00B867DF">
        <w:rPr>
          <w:rFonts w:eastAsia="Times New Roman"/>
          <w:lang w:bidi="ar-EG"/>
        </w:rPr>
        <w:t>, nous avons au moins trois significations différentes : 1) la terre où poussent des plantes mais ces plantes sont flétries à cause d’un manque d’eau</w:t>
      </w:r>
      <w:r>
        <w:rPr>
          <w:rFonts w:eastAsia="Times New Roman"/>
          <w:lang w:bidi="ar-EG"/>
        </w:rPr>
        <w:t xml:space="preserve"> ; 2) </w:t>
      </w:r>
      <w:r w:rsidRPr="00B867DF">
        <w:rPr>
          <w:rFonts w:eastAsia="Times New Roman"/>
          <w:lang w:bidi="ar-EG"/>
        </w:rPr>
        <w:t>la terre ne pousse aucune espèce de plantes ; 3) la mort de l’âme à cause de l’ignorance (sens mystique marginal).</w:t>
      </w:r>
    </w:p>
    <w:p w14:paraId="6B370C15" w14:textId="77777777" w:rsidR="00296288" w:rsidRPr="00B867DF" w:rsidRDefault="00296288" w:rsidP="00296288">
      <w:pPr>
        <w:spacing w:line="360" w:lineRule="auto"/>
        <w:ind w:firstLine="708"/>
        <w:jc w:val="both"/>
        <w:rPr>
          <w:rFonts w:eastAsia="Times New Roman"/>
          <w:lang w:bidi="ar-EG"/>
        </w:rPr>
      </w:pPr>
    </w:p>
    <w:p w14:paraId="39D77671" w14:textId="1E66F725" w:rsidR="00296288" w:rsidRPr="00B867DF" w:rsidRDefault="00296288" w:rsidP="00296288">
      <w:pPr>
        <w:spacing w:line="360" w:lineRule="auto"/>
        <w:ind w:firstLine="708"/>
        <w:jc w:val="both"/>
        <w:rPr>
          <w:rFonts w:eastAsia="Times New Roman"/>
          <w:lang w:bidi="ar-EG"/>
        </w:rPr>
      </w:pPr>
      <w:r w:rsidRPr="00B867DF">
        <w:rPr>
          <w:rFonts w:eastAsia="Times New Roman"/>
          <w:lang w:bidi="ar-EG"/>
        </w:rPr>
        <w:t xml:space="preserve">Le terme générique </w:t>
      </w:r>
      <w:r w:rsidRPr="00B867DF">
        <w:rPr>
          <w:rFonts w:eastAsia="Times New Roman"/>
          <w:i/>
          <w:iCs/>
          <w:lang w:bidi="ar-EG"/>
        </w:rPr>
        <w:t>mā</w:t>
      </w:r>
      <w:r w:rsidRPr="00B867DF">
        <w:rPr>
          <w:rFonts w:eastAsia="Times New Roman"/>
          <w:i/>
          <w:iCs/>
        </w:rPr>
        <w:t>ʾ</w:t>
      </w:r>
      <w:r w:rsidRPr="00B867DF">
        <w:rPr>
          <w:rFonts w:eastAsia="Times New Roman"/>
          <w:lang w:bidi="ar-EG"/>
        </w:rPr>
        <w:t xml:space="preserve"> [eau] (que Dieu fait descendre sur la terre) (v. 5) a été expliqué par tous les exégètes par la pluie, à l’exception d’Ibn ʿArabī qui lui a donné la signification de la science émanant de l’Âme universelle ou du Saint-Esprit, signification très proche de celle fournie par Ibn ʿAbbās, l’érudit et le cousin paternel du</w:t>
      </w:r>
      <w:r w:rsidR="00D66085">
        <w:rPr>
          <w:rFonts w:eastAsia="Times New Roman"/>
          <w:lang w:bidi="ar-EG"/>
        </w:rPr>
        <w:t xml:space="preserve"> prophète, pour le même terme </w:t>
      </w:r>
      <w:r w:rsidRPr="00B867DF">
        <w:rPr>
          <w:rFonts w:eastAsia="Times New Roman"/>
          <w:i/>
          <w:iCs/>
          <w:lang w:bidi="ar-EG"/>
        </w:rPr>
        <w:t>mā</w:t>
      </w:r>
      <w:r w:rsidRPr="00B867DF">
        <w:rPr>
          <w:rFonts w:eastAsia="Times New Roman"/>
          <w:i/>
          <w:iCs/>
        </w:rPr>
        <w:t>ʾ</w:t>
      </w:r>
      <w:r w:rsidRPr="00B867DF">
        <w:rPr>
          <w:rFonts w:eastAsia="Times New Roman"/>
          <w:lang w:bidi="ar-EG"/>
        </w:rPr>
        <w:t xml:space="preserve"> mentionné dans un autre verset (XIII, 17). Selon Al-Qurṭubī </w:t>
      </w:r>
      <w:r w:rsidRPr="00B867DF">
        <w:rPr>
          <w:rFonts w:eastAsia="Calibri" w:cs="Arial"/>
          <w:lang w:bidi="ar-EG"/>
        </w:rPr>
        <w:t>(</w:t>
      </w:r>
      <w:r w:rsidRPr="00B867DF">
        <w:rPr>
          <w:lang w:bidi="ar-EG"/>
        </w:rPr>
        <w:t xml:space="preserve">m. </w:t>
      </w:r>
      <w:r w:rsidRPr="00B867DF">
        <w:rPr>
          <w:rFonts w:eastAsia="Calibri" w:cs="Arial"/>
          <w:lang w:bidi="ar-EG"/>
        </w:rPr>
        <w:t>1273)</w:t>
      </w:r>
      <w:r w:rsidRPr="00B867DF">
        <w:rPr>
          <w:rFonts w:eastAsia="Times New Roman"/>
          <w:lang w:bidi="ar-EG"/>
        </w:rPr>
        <w:t>, Ibn ʿAbbās souligne que ce mot est utilisé au sens figuré et qu’il signifie non pas la pluie mais le Coran. L’eau qui descend du Ciel sur des vallées à la mesure de leur capacité n’est donc, selon Ibn ʿAbbās, que le Coran qui descend sur les cœurs des croyants chacun selon sa capacité.</w:t>
      </w:r>
    </w:p>
    <w:p w14:paraId="19E7ADC9" w14:textId="77777777" w:rsidR="00296288" w:rsidRPr="00B867DF" w:rsidRDefault="00296288" w:rsidP="00296288">
      <w:pPr>
        <w:spacing w:line="360" w:lineRule="auto"/>
        <w:ind w:firstLine="708"/>
        <w:jc w:val="both"/>
        <w:rPr>
          <w:rFonts w:eastAsia="Times New Roman"/>
          <w:lang w:bidi="ar-EG"/>
        </w:rPr>
      </w:pPr>
    </w:p>
    <w:p w14:paraId="6802BE9A" w14:textId="77777777" w:rsidR="00296288" w:rsidRPr="00B867DF" w:rsidRDefault="00296288" w:rsidP="00296288">
      <w:pPr>
        <w:spacing w:line="360" w:lineRule="auto"/>
        <w:ind w:firstLine="708"/>
        <w:jc w:val="both"/>
        <w:rPr>
          <w:rFonts w:eastAsia="Times New Roman"/>
          <w:lang w:bidi="ar-EG"/>
        </w:rPr>
      </w:pPr>
      <w:r w:rsidRPr="00B867DF">
        <w:rPr>
          <w:rFonts w:eastAsia="Times New Roman"/>
          <w:lang w:bidi="ar-EG"/>
        </w:rPr>
        <w:t>Dans l’exégèse</w:t>
      </w:r>
      <w:r w:rsidRPr="00B867DF">
        <w:rPr>
          <w:rFonts w:eastAsia="Calibri"/>
          <w:i/>
          <w:iCs/>
          <w:lang w:bidi="ar-AE"/>
        </w:rPr>
        <w:t xml:space="preserve"> ishārī</w:t>
      </w:r>
      <w:r w:rsidRPr="00B867DF">
        <w:rPr>
          <w:rFonts w:eastAsia="Times New Roman"/>
          <w:lang w:bidi="ar-EG"/>
        </w:rPr>
        <w:t xml:space="preserve"> </w:t>
      </w:r>
      <w:r w:rsidRPr="00B867DF">
        <w:rPr>
          <w:rFonts w:eastAsia="Calibri"/>
          <w:lang w:bidi="ar-AE"/>
        </w:rPr>
        <w:t xml:space="preserve">[allusif], </w:t>
      </w:r>
      <w:r w:rsidRPr="00B867DF">
        <w:rPr>
          <w:rFonts w:eastAsia="Calibri"/>
          <w:i/>
          <w:iCs/>
          <w:lang w:bidi="ar-AE"/>
        </w:rPr>
        <w:t>dhawqī</w:t>
      </w:r>
      <w:r w:rsidRPr="00B867DF">
        <w:rPr>
          <w:rFonts w:eastAsia="Calibri"/>
          <w:lang w:bidi="ar-AE"/>
        </w:rPr>
        <w:t xml:space="preserve"> [gustatif] ou </w:t>
      </w:r>
      <w:r w:rsidRPr="00B867DF">
        <w:rPr>
          <w:rFonts w:eastAsia="Calibri"/>
          <w:i/>
          <w:iCs/>
          <w:lang w:bidi="ar-AE"/>
        </w:rPr>
        <w:t>fayḍī</w:t>
      </w:r>
      <w:r w:rsidRPr="00B867DF">
        <w:rPr>
          <w:rFonts w:eastAsia="Calibri"/>
          <w:lang w:bidi="ar-AE"/>
        </w:rPr>
        <w:t xml:space="preserve"> [émanatif] intitulée </w:t>
      </w:r>
      <w:r w:rsidRPr="00B867DF">
        <w:rPr>
          <w:rFonts w:eastAsia="Times New Roman"/>
          <w:i/>
          <w:iCs/>
          <w:lang w:bidi="ar-EG"/>
        </w:rPr>
        <w:t>La</w:t>
      </w:r>
      <w:r w:rsidRPr="00B867DF">
        <w:rPr>
          <w:rFonts w:eastAsia="Times New Roman"/>
          <w:i/>
          <w:iCs/>
        </w:rPr>
        <w:t>ṭ</w:t>
      </w:r>
      <w:r w:rsidRPr="00B867DF">
        <w:rPr>
          <w:rFonts w:eastAsia="Times New Roman"/>
          <w:i/>
          <w:iCs/>
          <w:lang w:bidi="ar-EG"/>
        </w:rPr>
        <w:t>ā</w:t>
      </w:r>
      <w:r w:rsidRPr="00B867DF">
        <w:rPr>
          <w:rFonts w:eastAsia="Times New Roman"/>
          <w:i/>
          <w:iCs/>
        </w:rPr>
        <w:t>ʾ</w:t>
      </w:r>
      <w:r w:rsidRPr="00B867DF">
        <w:rPr>
          <w:rFonts w:eastAsia="Times New Roman"/>
          <w:i/>
          <w:iCs/>
          <w:lang w:bidi="ar-EG"/>
        </w:rPr>
        <w:t>if al-Ishārārt</w:t>
      </w:r>
      <w:r w:rsidRPr="00B867DF">
        <w:rPr>
          <w:rFonts w:eastAsia="Times New Roman"/>
          <w:lang w:bidi="ar-EG"/>
        </w:rPr>
        <w:t xml:space="preserve">, al-Qushayrī (986-1072/73) souligne que le terme </w:t>
      </w:r>
      <w:r w:rsidRPr="00B867DF">
        <w:rPr>
          <w:rFonts w:eastAsia="Times New Roman"/>
          <w:i/>
          <w:iCs/>
          <w:lang w:bidi="ar-EG"/>
        </w:rPr>
        <w:t>mā</w:t>
      </w:r>
      <w:r w:rsidRPr="00B867DF">
        <w:rPr>
          <w:rFonts w:eastAsia="Times New Roman"/>
          <w:i/>
          <w:iCs/>
        </w:rPr>
        <w:t>ʾ</w:t>
      </w:r>
      <w:r w:rsidRPr="00B867DF">
        <w:rPr>
          <w:rFonts w:eastAsia="Times New Roman"/>
          <w:lang w:bidi="ar-EG"/>
        </w:rPr>
        <w:t xml:space="preserve"> désigne plusieurs niveaux : l’eau du ciel (</w:t>
      </w:r>
      <w:r w:rsidRPr="00B867DF">
        <w:rPr>
          <w:rFonts w:eastAsia="Times New Roman"/>
          <w:i/>
          <w:iCs/>
          <w:lang w:bidi="ar-EG"/>
        </w:rPr>
        <w:t>mā</w:t>
      </w:r>
      <w:r w:rsidRPr="00B867DF">
        <w:rPr>
          <w:rFonts w:eastAsia="Times New Roman"/>
          <w:i/>
          <w:iCs/>
        </w:rPr>
        <w:t>ʾ</w:t>
      </w:r>
      <w:r w:rsidRPr="00B867DF">
        <w:rPr>
          <w:rFonts w:eastAsia="Times New Roman"/>
          <w:lang w:bidi="ar-EG"/>
        </w:rPr>
        <w:t xml:space="preserve"> </w:t>
      </w:r>
      <w:r w:rsidRPr="00B867DF">
        <w:rPr>
          <w:rFonts w:eastAsia="Times New Roman"/>
          <w:i/>
          <w:iCs/>
          <w:lang w:bidi="ar-EG"/>
        </w:rPr>
        <w:t>as-samā</w:t>
      </w:r>
      <w:r w:rsidRPr="00B867DF">
        <w:rPr>
          <w:rFonts w:eastAsia="Times New Roman"/>
          <w:i/>
          <w:iCs/>
        </w:rPr>
        <w:t>ʾ</w:t>
      </w:r>
      <w:r w:rsidRPr="00B867DF">
        <w:rPr>
          <w:rFonts w:eastAsia="Times New Roman"/>
          <w:lang w:bidi="ar-EG"/>
        </w:rPr>
        <w:t>), l’eau de la Miséricorde (</w:t>
      </w:r>
      <w:r w:rsidRPr="00B867DF">
        <w:rPr>
          <w:rFonts w:eastAsia="Times New Roman"/>
          <w:i/>
          <w:iCs/>
          <w:lang w:bidi="ar-EG"/>
        </w:rPr>
        <w:t>mā</w:t>
      </w:r>
      <w:r w:rsidRPr="00B867DF">
        <w:rPr>
          <w:rFonts w:eastAsia="Times New Roman"/>
          <w:i/>
          <w:iCs/>
        </w:rPr>
        <w:t>ʾ</w:t>
      </w:r>
      <w:r w:rsidRPr="00B867DF">
        <w:rPr>
          <w:rFonts w:eastAsia="Times New Roman"/>
          <w:lang w:bidi="ar-EG"/>
        </w:rPr>
        <w:t xml:space="preserve"> </w:t>
      </w:r>
      <w:r w:rsidRPr="00B867DF">
        <w:rPr>
          <w:rFonts w:eastAsia="Times New Roman"/>
          <w:i/>
          <w:iCs/>
          <w:lang w:bidi="ar-EG"/>
        </w:rPr>
        <w:t>ar-ra</w:t>
      </w:r>
      <w:r w:rsidRPr="00B867DF">
        <w:rPr>
          <w:rFonts w:eastAsia="Times New Roman"/>
          <w:i/>
          <w:iCs/>
        </w:rPr>
        <w:t>ḥma</w:t>
      </w:r>
      <w:r w:rsidRPr="00B867DF">
        <w:rPr>
          <w:rFonts w:eastAsia="Times New Roman"/>
          <w:lang w:bidi="ar-EG"/>
        </w:rPr>
        <w:t>), l’eau de la Providence (</w:t>
      </w:r>
      <w:r w:rsidRPr="00B867DF">
        <w:rPr>
          <w:rFonts w:eastAsia="Times New Roman"/>
          <w:i/>
          <w:iCs/>
          <w:lang w:bidi="ar-EG"/>
        </w:rPr>
        <w:t>mā</w:t>
      </w:r>
      <w:r w:rsidRPr="00B867DF">
        <w:rPr>
          <w:rFonts w:eastAsia="Times New Roman"/>
          <w:i/>
          <w:iCs/>
        </w:rPr>
        <w:t>ʾ</w:t>
      </w:r>
      <w:r w:rsidRPr="00B867DF">
        <w:rPr>
          <w:rFonts w:eastAsia="Times New Roman"/>
          <w:lang w:bidi="ar-EG"/>
        </w:rPr>
        <w:t xml:space="preserve"> </w:t>
      </w:r>
      <w:r w:rsidRPr="00B867DF">
        <w:rPr>
          <w:rFonts w:eastAsia="Times New Roman"/>
          <w:i/>
          <w:iCs/>
          <w:lang w:bidi="ar-EG"/>
        </w:rPr>
        <w:t>al-</w:t>
      </w:r>
      <w:r w:rsidRPr="00B867DF">
        <w:rPr>
          <w:rFonts w:eastAsia="Times New Roman"/>
          <w:i/>
          <w:iCs/>
        </w:rPr>
        <w:t>ʿ</w:t>
      </w:r>
      <w:r w:rsidRPr="00B867DF">
        <w:rPr>
          <w:rFonts w:eastAsia="Times New Roman"/>
          <w:i/>
          <w:iCs/>
          <w:lang w:bidi="ar-EG"/>
        </w:rPr>
        <w:t>ināya</w:t>
      </w:r>
      <w:r w:rsidRPr="00B867DF">
        <w:rPr>
          <w:rFonts w:eastAsia="Times New Roman"/>
          <w:lang w:bidi="ar-EG"/>
        </w:rPr>
        <w:t>).</w:t>
      </w:r>
      <w:r w:rsidRPr="00B867DF">
        <w:rPr>
          <w:rStyle w:val="Appelnotedebasdep"/>
          <w:lang w:bidi="ar-EG"/>
        </w:rPr>
        <w:footnoteReference w:id="238"/>
      </w:r>
    </w:p>
    <w:p w14:paraId="4C56F7D4" w14:textId="77777777" w:rsidR="00296288" w:rsidRPr="00B867DF" w:rsidRDefault="00296288" w:rsidP="00296288">
      <w:pPr>
        <w:spacing w:line="360" w:lineRule="auto"/>
        <w:ind w:firstLine="708"/>
        <w:jc w:val="both"/>
        <w:rPr>
          <w:rFonts w:eastAsia="Times New Roman"/>
          <w:lang w:bidi="ar-EG"/>
        </w:rPr>
      </w:pPr>
    </w:p>
    <w:p w14:paraId="3F6E70B5" w14:textId="77777777" w:rsidR="00296288" w:rsidRDefault="00296288" w:rsidP="00296288">
      <w:pPr>
        <w:spacing w:line="360" w:lineRule="auto"/>
        <w:ind w:firstLine="708"/>
        <w:jc w:val="both"/>
        <w:rPr>
          <w:rFonts w:eastAsia="Times New Roman"/>
          <w:lang w:bidi="ar-EG"/>
        </w:rPr>
      </w:pPr>
      <w:r w:rsidRPr="00B867DF">
        <w:rPr>
          <w:rFonts w:eastAsia="Times New Roman"/>
          <w:lang w:bidi="ar-EG"/>
        </w:rPr>
        <w:t xml:space="preserve">Le verset 5 utilise les deux verbes à l’accompli </w:t>
      </w:r>
      <w:r w:rsidRPr="00B867DF">
        <w:rPr>
          <w:rFonts w:eastAsia="Times New Roman"/>
          <w:i/>
          <w:iCs/>
          <w:lang w:bidi="ar-EG"/>
        </w:rPr>
        <w:t>ihtazza</w:t>
      </w:r>
      <w:r w:rsidRPr="00B867DF">
        <w:rPr>
          <w:rFonts w:eastAsia="Times New Roman"/>
          <w:lang w:bidi="ar-EG"/>
        </w:rPr>
        <w:t xml:space="preserve"> [remuer, s’agiter] et </w:t>
      </w:r>
      <w:r w:rsidRPr="00B867DF">
        <w:rPr>
          <w:rFonts w:eastAsia="Times New Roman"/>
          <w:i/>
          <w:iCs/>
          <w:lang w:bidi="ar-EG"/>
        </w:rPr>
        <w:t>rabā</w:t>
      </w:r>
      <w:r>
        <w:rPr>
          <w:rFonts w:eastAsia="Times New Roman"/>
          <w:lang w:bidi="ar-EG"/>
        </w:rPr>
        <w:t> </w:t>
      </w:r>
      <w:r w:rsidRPr="00B867DF">
        <w:rPr>
          <w:rFonts w:eastAsia="Times New Roman"/>
          <w:lang w:bidi="ar-EG"/>
        </w:rPr>
        <w:t xml:space="preserve">[pousser, croître] pour exprimer la réaction de la terre à la pluie. On a donné au verbe </w:t>
      </w:r>
      <w:r w:rsidRPr="00B867DF">
        <w:rPr>
          <w:rFonts w:eastAsia="Times New Roman"/>
          <w:i/>
          <w:iCs/>
          <w:lang w:bidi="ar-EG"/>
        </w:rPr>
        <w:t>ihtazzat</w:t>
      </w:r>
      <w:r w:rsidRPr="00B867DF">
        <w:rPr>
          <w:rFonts w:eastAsia="Times New Roman"/>
          <w:lang w:bidi="ar-EG"/>
        </w:rPr>
        <w:t xml:space="preserve"> les significations suivantes : 1</w:t>
      </w:r>
      <w:r>
        <w:rPr>
          <w:rFonts w:eastAsia="Times New Roman"/>
          <w:lang w:bidi="ar-EG"/>
        </w:rPr>
        <w:t xml:space="preserve">) </w:t>
      </w:r>
      <w:r w:rsidRPr="00B867DF">
        <w:rPr>
          <w:rFonts w:eastAsia="Times New Roman"/>
          <w:i/>
          <w:iCs/>
          <w:lang w:bidi="ar-EG"/>
        </w:rPr>
        <w:t>taḥarrakat</w:t>
      </w:r>
      <w:r w:rsidRPr="00B867DF">
        <w:rPr>
          <w:rFonts w:eastAsia="Times New Roman"/>
          <w:lang w:bidi="ar-EG"/>
        </w:rPr>
        <w:t xml:space="preserve"> [elle a remué] ; 2</w:t>
      </w:r>
      <w:r>
        <w:rPr>
          <w:rFonts w:eastAsia="Times New Roman"/>
          <w:lang w:bidi="ar-EG"/>
        </w:rPr>
        <w:t xml:space="preserve">) </w:t>
      </w:r>
      <w:r w:rsidRPr="00B867DF">
        <w:rPr>
          <w:rFonts w:eastAsia="Times New Roman"/>
          <w:i/>
          <w:iCs/>
          <w:lang w:bidi="ar-EG"/>
        </w:rPr>
        <w:t>ḥayiyat</w:t>
      </w:r>
      <w:r w:rsidRPr="00B867DF">
        <w:rPr>
          <w:rFonts w:eastAsia="Times New Roman"/>
          <w:lang w:bidi="ar-EG"/>
        </w:rPr>
        <w:t xml:space="preserve"> [elle est désormais en vie, elle reprend vie] ; </w:t>
      </w:r>
      <w:r>
        <w:rPr>
          <w:rFonts w:eastAsia="Times New Roman"/>
          <w:lang w:bidi="ar-EG"/>
        </w:rPr>
        <w:t xml:space="preserve">3) </w:t>
      </w:r>
      <w:r w:rsidRPr="00B867DF">
        <w:rPr>
          <w:rFonts w:eastAsia="Times New Roman"/>
          <w:lang w:bidi="ar-EG"/>
        </w:rPr>
        <w:t>« </w:t>
      </w:r>
      <w:r w:rsidRPr="0008454B">
        <w:rPr>
          <w:rFonts w:eastAsia="Times New Roman" w:hint="cs"/>
          <w:rtl/>
          <w:lang w:bidi="ar-EG"/>
        </w:rPr>
        <w:t>نفرِّق الغيثَ في سبختها وربوها</w:t>
      </w:r>
      <w:r w:rsidRPr="00B867DF">
        <w:rPr>
          <w:rFonts w:eastAsia="Times New Roman"/>
          <w:lang w:bidi="ar-EG"/>
        </w:rPr>
        <w:t> »</w:t>
      </w:r>
      <w:r w:rsidRPr="00B867DF">
        <w:rPr>
          <w:rFonts w:eastAsia="Times New Roman"/>
          <w:i/>
          <w:iCs/>
          <w:lang w:bidi="ar-EG"/>
        </w:rPr>
        <w:t xml:space="preserve"> </w:t>
      </w:r>
      <w:r w:rsidRPr="00B867DF">
        <w:rPr>
          <w:rFonts w:eastAsia="Times New Roman"/>
          <w:lang w:bidi="ar-EG"/>
        </w:rPr>
        <w:t xml:space="preserve">[Nous dispersons ou répartissons la pluie partout aussi bien dans les terres incultivables que dans les terres arables] (As-Suyūṭī) ; </w:t>
      </w:r>
      <w:r>
        <w:rPr>
          <w:rFonts w:eastAsia="Times New Roman"/>
          <w:lang w:bidi="ar-EG"/>
        </w:rPr>
        <w:t xml:space="preserve">4) </w:t>
      </w:r>
      <w:r w:rsidRPr="00B867DF">
        <w:rPr>
          <w:rFonts w:eastAsia="Times New Roman"/>
          <w:lang w:bidi="ar-EG"/>
        </w:rPr>
        <w:t>« </w:t>
      </w:r>
      <w:r>
        <w:rPr>
          <w:rFonts w:eastAsia="Times New Roman" w:hint="cs"/>
          <w:rtl/>
          <w:lang w:bidi="ar-EG"/>
        </w:rPr>
        <w:t>اهتزَّت بالنبات</w:t>
      </w:r>
      <w:r w:rsidRPr="00B867DF">
        <w:rPr>
          <w:rFonts w:eastAsia="Times New Roman"/>
          <w:lang w:bidi="ar-EG"/>
        </w:rPr>
        <w:t xml:space="preserve"> » [elle s’est agitée par les plantes] ; </w:t>
      </w:r>
      <w:r>
        <w:rPr>
          <w:rFonts w:eastAsia="Times New Roman"/>
          <w:lang w:bidi="ar-EG"/>
        </w:rPr>
        <w:t xml:space="preserve">5) </w:t>
      </w:r>
      <w:r w:rsidRPr="00B867DF">
        <w:rPr>
          <w:rFonts w:eastAsia="Times New Roman"/>
          <w:i/>
          <w:iCs/>
          <w:lang w:bidi="ar-EG"/>
        </w:rPr>
        <w:t>zādat</w:t>
      </w:r>
      <w:r w:rsidRPr="00B867DF">
        <w:rPr>
          <w:rFonts w:eastAsia="Times New Roman"/>
          <w:lang w:bidi="ar-EG"/>
        </w:rPr>
        <w:t xml:space="preserve"> [elle a augmenté] (Aṭ-Ṭabāṭabāʾī, chiite) ; </w:t>
      </w:r>
      <w:r>
        <w:rPr>
          <w:rFonts w:eastAsia="Times New Roman"/>
          <w:lang w:bidi="ar-EG"/>
        </w:rPr>
        <w:t xml:space="preserve">6) </w:t>
      </w:r>
      <w:r w:rsidRPr="00B867DF">
        <w:rPr>
          <w:rFonts w:eastAsia="Times New Roman"/>
          <w:lang w:bidi="ar-EG"/>
        </w:rPr>
        <w:t>« </w:t>
      </w:r>
      <w:r>
        <w:rPr>
          <w:rFonts w:eastAsia="Times New Roman" w:hint="cs"/>
          <w:rtl/>
          <w:lang w:bidi="ar-EG"/>
        </w:rPr>
        <w:t>تحرَّكَت ذرَّاتُها بالنبات بعد سكونها</w:t>
      </w:r>
      <w:r w:rsidRPr="00B867DF">
        <w:rPr>
          <w:rFonts w:eastAsia="Times New Roman"/>
          <w:lang w:bidi="ar-EG"/>
        </w:rPr>
        <w:t xml:space="preserve"> » [les grains de sable ont bougé par les plantes après avoir été calmes] (Ash-Shaʿrāwī). De même, le verbe </w:t>
      </w:r>
      <w:r w:rsidRPr="00B867DF">
        <w:rPr>
          <w:rFonts w:eastAsia="Times New Roman"/>
          <w:i/>
          <w:iCs/>
          <w:lang w:bidi="ar-EG"/>
        </w:rPr>
        <w:t>rabat</w:t>
      </w:r>
      <w:r w:rsidRPr="00B867DF">
        <w:rPr>
          <w:rFonts w:eastAsia="Times New Roman"/>
          <w:lang w:bidi="ar-EG"/>
        </w:rPr>
        <w:t xml:space="preserve"> a pris plusieurs significations : 1</w:t>
      </w:r>
      <w:r>
        <w:rPr>
          <w:rFonts w:eastAsia="Times New Roman"/>
          <w:lang w:bidi="ar-EG"/>
        </w:rPr>
        <w:t xml:space="preserve">) </w:t>
      </w:r>
      <w:r w:rsidRPr="00B867DF">
        <w:rPr>
          <w:rFonts w:eastAsia="Times New Roman"/>
          <w:i/>
          <w:iCs/>
          <w:lang w:bidi="ar-EG"/>
        </w:rPr>
        <w:t>irtafaʿat</w:t>
      </w:r>
      <w:r w:rsidRPr="00B867DF">
        <w:rPr>
          <w:rFonts w:eastAsia="Times New Roman"/>
          <w:lang w:bidi="ar-EG"/>
        </w:rPr>
        <w:t xml:space="preserve"> [elle s’est élevé] ; </w:t>
      </w:r>
      <w:r>
        <w:rPr>
          <w:rFonts w:eastAsia="Times New Roman"/>
          <w:lang w:bidi="ar-EG"/>
        </w:rPr>
        <w:t xml:space="preserve">2) </w:t>
      </w:r>
      <w:r w:rsidRPr="00B867DF">
        <w:rPr>
          <w:rFonts w:eastAsia="Times New Roman"/>
          <w:lang w:bidi="ar-EG"/>
        </w:rPr>
        <w:t>« </w:t>
      </w:r>
      <w:r>
        <w:rPr>
          <w:rFonts w:eastAsia="Times New Roman" w:hint="cs"/>
          <w:rtl/>
          <w:lang w:bidi="ar-EG"/>
        </w:rPr>
        <w:t>أضعفَت بالنبات</w:t>
      </w:r>
      <w:r w:rsidRPr="00B867DF">
        <w:rPr>
          <w:rFonts w:eastAsia="Times New Roman"/>
          <w:lang w:bidi="ar-EG"/>
        </w:rPr>
        <w:t> » [elle a accru les plantes] ; 3</w:t>
      </w:r>
      <w:r>
        <w:rPr>
          <w:rFonts w:eastAsia="Times New Roman"/>
          <w:lang w:bidi="ar-EG"/>
        </w:rPr>
        <w:t xml:space="preserve">) </w:t>
      </w:r>
      <w:r w:rsidRPr="00B867DF">
        <w:rPr>
          <w:rFonts w:eastAsia="Times New Roman"/>
          <w:i/>
          <w:iCs/>
          <w:lang w:bidi="ar-EG"/>
        </w:rPr>
        <w:t>izdādat</w:t>
      </w:r>
      <w:r w:rsidRPr="00B867DF">
        <w:rPr>
          <w:rFonts w:eastAsia="Times New Roman"/>
          <w:lang w:bidi="ar-EG"/>
        </w:rPr>
        <w:t xml:space="preserve"> [elle a augmenté] ; </w:t>
      </w:r>
      <w:r>
        <w:rPr>
          <w:rFonts w:eastAsia="Times New Roman"/>
          <w:lang w:bidi="ar-EG"/>
        </w:rPr>
        <w:t xml:space="preserve">4) </w:t>
      </w:r>
      <w:r w:rsidRPr="00B867DF">
        <w:rPr>
          <w:rFonts w:eastAsia="Times New Roman"/>
          <w:lang w:bidi="ar-EG"/>
        </w:rPr>
        <w:t>« </w:t>
      </w:r>
      <w:r>
        <w:rPr>
          <w:rFonts w:eastAsia="Times New Roman" w:hint="cs"/>
          <w:rtl/>
          <w:lang w:bidi="ar-EG"/>
        </w:rPr>
        <w:t>انتفخَت بالماء والنبات</w:t>
      </w:r>
      <w:r w:rsidRPr="00B867DF">
        <w:rPr>
          <w:rFonts w:eastAsia="Times New Roman"/>
          <w:lang w:bidi="ar-EG"/>
        </w:rPr>
        <w:t xml:space="preserve"> » [elle s’est gonflé de l’eau et des plantes] ; </w:t>
      </w:r>
      <w:r>
        <w:rPr>
          <w:rFonts w:eastAsia="Times New Roman"/>
          <w:lang w:bidi="ar-EG"/>
        </w:rPr>
        <w:t xml:space="preserve">5) </w:t>
      </w:r>
      <w:r w:rsidRPr="00B867DF">
        <w:rPr>
          <w:rFonts w:eastAsia="Times New Roman"/>
          <w:lang w:bidi="ar-EG"/>
        </w:rPr>
        <w:t>« </w:t>
      </w:r>
      <w:r>
        <w:rPr>
          <w:rFonts w:eastAsia="Times New Roman" w:hint="cs"/>
          <w:rtl/>
          <w:lang w:bidi="ar-EG"/>
        </w:rPr>
        <w:t xml:space="preserve">زادت عن </w:t>
      </w:r>
      <w:r>
        <w:rPr>
          <w:rFonts w:eastAsia="Times New Roman" w:hint="cs"/>
          <w:rtl/>
          <w:lang w:bidi="ar-EG"/>
        </w:rPr>
        <w:lastRenderedPageBreak/>
        <w:t>حجمها</w:t>
      </w:r>
      <w:r w:rsidRPr="00B867DF">
        <w:rPr>
          <w:rFonts w:eastAsia="Times New Roman"/>
          <w:lang w:bidi="ar-EG"/>
        </w:rPr>
        <w:t xml:space="preserve"> » [elle a augmenté de volume] (Ash-Shaʿrāwī) ; </w:t>
      </w:r>
      <w:r>
        <w:rPr>
          <w:rFonts w:eastAsia="Times New Roman"/>
          <w:lang w:bidi="ar-EG"/>
        </w:rPr>
        <w:t xml:space="preserve">6) </w:t>
      </w:r>
      <w:r w:rsidRPr="00B867DF">
        <w:rPr>
          <w:rFonts w:eastAsia="Times New Roman"/>
          <w:lang w:bidi="ar-EG"/>
        </w:rPr>
        <w:t>« </w:t>
      </w:r>
      <w:r>
        <w:rPr>
          <w:rFonts w:eastAsia="Times New Roman" w:hint="cs"/>
          <w:rtl/>
          <w:lang w:bidi="ar-EG"/>
        </w:rPr>
        <w:t>ترقَّت في المقامات والمراتب</w:t>
      </w:r>
      <w:r>
        <w:rPr>
          <w:rFonts w:eastAsia="Times New Roman"/>
          <w:lang w:bidi="ar-EG"/>
        </w:rPr>
        <w:t> »</w:t>
      </w:r>
      <w:r w:rsidRPr="00B867DF">
        <w:rPr>
          <w:rFonts w:eastAsia="Times New Roman"/>
          <w:lang w:bidi="ar-EG"/>
        </w:rPr>
        <w:t xml:space="preserve"> [elle [l’âme] s’est élevée en grades et rangs] (Ibn ʿArabī).</w:t>
      </w:r>
    </w:p>
    <w:p w14:paraId="0AE6B0CA" w14:textId="77777777" w:rsidR="00296288" w:rsidRPr="00832DB5" w:rsidRDefault="00296288" w:rsidP="00296288">
      <w:pPr>
        <w:spacing w:line="360" w:lineRule="auto"/>
        <w:ind w:firstLine="708"/>
        <w:jc w:val="both"/>
        <w:rPr>
          <w:rFonts w:eastAsia="Times New Roman"/>
          <w:lang w:bidi="ar-EG"/>
        </w:rPr>
      </w:pPr>
    </w:p>
    <w:p w14:paraId="4F18F17A" w14:textId="77777777" w:rsidR="00296288" w:rsidRPr="00832DB5" w:rsidRDefault="00296288" w:rsidP="007640DC">
      <w:pPr>
        <w:pStyle w:val="Paragraphedeliste"/>
        <w:numPr>
          <w:ilvl w:val="0"/>
          <w:numId w:val="62"/>
        </w:numPr>
        <w:bidi w:val="0"/>
        <w:spacing w:after="0" w:line="360" w:lineRule="auto"/>
        <w:contextualSpacing/>
        <w:jc w:val="both"/>
        <w:rPr>
          <w:rFonts w:asciiTheme="majorBidi" w:hAnsiTheme="majorBidi" w:cstheme="majorBidi"/>
          <w:sz w:val="24"/>
          <w:szCs w:val="24"/>
          <w:lang w:eastAsia="fr-FR" w:bidi="ar-EG"/>
        </w:rPr>
      </w:pPr>
      <w:r>
        <w:rPr>
          <w:rFonts w:asciiTheme="majorBidi" w:hAnsiTheme="majorBidi" w:cstheme="majorBidi"/>
          <w:b/>
          <w:bCs/>
          <w:sz w:val="24"/>
          <w:szCs w:val="24"/>
          <w:lang w:eastAsia="fr-FR" w:bidi="ar-EG"/>
        </w:rPr>
        <w:t xml:space="preserve">Les mots </w:t>
      </w:r>
      <w:r w:rsidRPr="00832DB5">
        <w:rPr>
          <w:rFonts w:asciiTheme="majorBidi" w:hAnsiTheme="majorBidi" w:cstheme="majorBidi"/>
          <w:b/>
          <w:bCs/>
          <w:i/>
          <w:iCs/>
          <w:sz w:val="24"/>
          <w:szCs w:val="24"/>
          <w:lang w:eastAsia="fr-FR" w:bidi="ar-EG"/>
        </w:rPr>
        <w:t>As-</w:t>
      </w:r>
      <w:r w:rsidRPr="00DB5EDB">
        <w:rPr>
          <w:rFonts w:asciiTheme="majorBidi" w:hAnsiTheme="majorBidi" w:cstheme="majorBidi"/>
          <w:b/>
          <w:bCs/>
          <w:i/>
          <w:iCs/>
          <w:sz w:val="24"/>
          <w:szCs w:val="24"/>
          <w:lang w:eastAsia="fr-FR" w:bidi="ar-EG"/>
        </w:rPr>
        <w:t>sāʿa</w:t>
      </w:r>
      <w:r w:rsidRPr="00DB5EDB">
        <w:rPr>
          <w:rFonts w:asciiTheme="majorBidi" w:hAnsiTheme="majorBidi" w:cstheme="majorBidi"/>
          <w:b/>
          <w:bCs/>
          <w:sz w:val="24"/>
          <w:szCs w:val="24"/>
          <w:lang w:eastAsia="fr-FR" w:bidi="ar-EG"/>
        </w:rPr>
        <w:t xml:space="preserve">, </w:t>
      </w:r>
      <w:r w:rsidRPr="00DB5EDB">
        <w:rPr>
          <w:rFonts w:ascii="Times New Roman" w:hAnsi="Times New Roman" w:cs="Times New Roman"/>
          <w:b/>
          <w:bCs/>
          <w:i/>
          <w:iCs/>
          <w:sz w:val="24"/>
          <w:szCs w:val="24"/>
          <w:lang w:eastAsia="fr-FR" w:bidi="ar-AE"/>
        </w:rPr>
        <w:t>hudā</w:t>
      </w:r>
      <w:r>
        <w:rPr>
          <w:rFonts w:asciiTheme="majorBidi" w:hAnsiTheme="majorBidi" w:cstheme="majorBidi"/>
          <w:b/>
          <w:bCs/>
          <w:sz w:val="24"/>
          <w:szCs w:val="24"/>
          <w:lang w:eastAsia="fr-FR" w:bidi="ar-EG"/>
        </w:rPr>
        <w:t>,</w:t>
      </w:r>
      <w:r w:rsidRPr="00DB5EDB">
        <w:rPr>
          <w:rFonts w:asciiTheme="majorBidi" w:hAnsiTheme="majorBidi" w:cstheme="majorBidi"/>
          <w:b/>
          <w:bCs/>
          <w:sz w:val="24"/>
          <w:szCs w:val="24"/>
          <w:lang w:eastAsia="fr-FR" w:bidi="ar-EG"/>
        </w:rPr>
        <w:t xml:space="preserve"> </w:t>
      </w:r>
      <w:r w:rsidRPr="00DB5EDB">
        <w:rPr>
          <w:rFonts w:ascii="Times New Roman" w:hAnsi="Times New Roman" w:cs="Times New Roman"/>
          <w:b/>
          <w:bCs/>
          <w:i/>
          <w:iCs/>
          <w:sz w:val="24"/>
          <w:szCs w:val="24"/>
          <w:lang w:eastAsia="fr-FR" w:bidi="ar-AE"/>
        </w:rPr>
        <w:t>kitāb munīr</w:t>
      </w:r>
      <w:r>
        <w:rPr>
          <w:rFonts w:ascii="Times New Roman" w:hAnsi="Times New Roman" w:cs="Times New Roman"/>
          <w:b/>
          <w:bCs/>
          <w:sz w:val="24"/>
          <w:szCs w:val="24"/>
          <w:lang w:eastAsia="fr-FR" w:bidi="ar-AE"/>
        </w:rPr>
        <w:t xml:space="preserve"> et</w:t>
      </w:r>
      <w:r w:rsidRPr="00DB5EDB">
        <w:rPr>
          <w:rFonts w:ascii="Times New Roman" w:hAnsi="Times New Roman" w:cs="Times New Roman"/>
          <w:b/>
          <w:bCs/>
          <w:sz w:val="24"/>
          <w:szCs w:val="24"/>
          <w:lang w:eastAsia="fr-FR" w:bidi="ar-AE"/>
        </w:rPr>
        <w:t xml:space="preserve"> </w:t>
      </w:r>
      <w:r w:rsidRPr="00DB5EDB">
        <w:rPr>
          <w:rFonts w:ascii="Times New Roman" w:hAnsi="Times New Roman" w:cs="Times New Roman"/>
          <w:b/>
          <w:bCs/>
          <w:i/>
          <w:iCs/>
          <w:sz w:val="24"/>
          <w:szCs w:val="24"/>
          <w:lang w:eastAsia="fr-FR" w:bidi="ar-AE"/>
        </w:rPr>
        <w:t>khizy</w:t>
      </w:r>
      <w:r w:rsidRPr="00DB5EDB">
        <w:rPr>
          <w:rFonts w:ascii="Times New Roman" w:hAnsi="Times New Roman" w:cs="Times New Roman"/>
          <w:b/>
          <w:bCs/>
          <w:sz w:val="24"/>
          <w:szCs w:val="24"/>
          <w:lang w:eastAsia="fr-FR" w:bidi="ar-AE"/>
        </w:rPr>
        <w:t>,</w:t>
      </w:r>
      <w:r w:rsidRPr="00DB5EDB">
        <w:rPr>
          <w:rFonts w:asciiTheme="majorBidi" w:hAnsiTheme="majorBidi" w:cstheme="majorBidi"/>
          <w:b/>
          <w:bCs/>
          <w:sz w:val="24"/>
          <w:szCs w:val="24"/>
          <w:lang w:eastAsia="fr-FR" w:bidi="ar-EG"/>
        </w:rPr>
        <w:t xml:space="preserve"> de quoi</w:t>
      </w:r>
      <w:r w:rsidRPr="00832DB5">
        <w:rPr>
          <w:rFonts w:asciiTheme="majorBidi" w:hAnsiTheme="majorBidi" w:cstheme="majorBidi"/>
          <w:b/>
          <w:bCs/>
          <w:sz w:val="24"/>
          <w:szCs w:val="24"/>
          <w:lang w:eastAsia="fr-FR" w:bidi="ar-EG"/>
        </w:rPr>
        <w:t xml:space="preserve"> s’agit-il ?</w:t>
      </w:r>
    </w:p>
    <w:p w14:paraId="0AF4A2BA" w14:textId="77777777" w:rsidR="00296288" w:rsidRPr="00B867DF" w:rsidRDefault="00296288" w:rsidP="00296288">
      <w:pPr>
        <w:spacing w:line="360" w:lineRule="auto"/>
        <w:ind w:firstLine="708"/>
        <w:contextualSpacing/>
        <w:jc w:val="both"/>
        <w:rPr>
          <w:rFonts w:asciiTheme="majorBidi" w:eastAsia="Times New Roman" w:hAnsiTheme="majorBidi" w:cstheme="majorBidi"/>
          <w:lang w:bidi="ar-EG"/>
        </w:rPr>
      </w:pPr>
      <w:r w:rsidRPr="00B867DF">
        <w:rPr>
          <w:rFonts w:asciiTheme="majorBidi" w:eastAsia="Times New Roman" w:hAnsiTheme="majorBidi" w:cstheme="majorBidi"/>
          <w:lang w:bidi="ar-EG"/>
        </w:rPr>
        <w:t xml:space="preserve">Dans le verset 7 </w:t>
      </w:r>
      <w:r w:rsidRPr="00B867DF">
        <w:rPr>
          <w:rFonts w:asciiTheme="majorBidi" w:eastAsia="Times New Roman" w:hAnsiTheme="majorBidi" w:cstheme="majorBidi"/>
          <w:rtl/>
          <w:lang w:bidi="ar-AE"/>
        </w:rPr>
        <w:t xml:space="preserve">"وأنَّ </w:t>
      </w:r>
      <w:r w:rsidRPr="00B867DF">
        <w:rPr>
          <w:rFonts w:asciiTheme="majorBidi" w:eastAsia="Times New Roman" w:hAnsiTheme="majorBidi" w:cstheme="majorBidi"/>
          <w:b/>
          <w:bCs/>
          <w:rtl/>
          <w:lang w:bidi="ar-AE"/>
        </w:rPr>
        <w:t>الساعةَ</w:t>
      </w:r>
      <w:r w:rsidRPr="00B867DF">
        <w:rPr>
          <w:rFonts w:asciiTheme="majorBidi" w:eastAsia="Times New Roman" w:hAnsiTheme="majorBidi" w:cstheme="majorBidi"/>
          <w:rtl/>
          <w:lang w:bidi="ar-AE"/>
        </w:rPr>
        <w:t xml:space="preserve"> آتيةٌ لا ريبَ فيها وأنَّ اللهَ </w:t>
      </w:r>
      <w:r w:rsidRPr="00B867DF">
        <w:rPr>
          <w:rFonts w:asciiTheme="majorBidi" w:eastAsia="Times New Roman" w:hAnsiTheme="majorBidi" w:cstheme="majorBidi"/>
          <w:b/>
          <w:bCs/>
          <w:rtl/>
          <w:lang w:bidi="ar-AE"/>
        </w:rPr>
        <w:t>يبعثُ</w:t>
      </w:r>
      <w:r w:rsidRPr="00B867DF">
        <w:rPr>
          <w:rFonts w:asciiTheme="majorBidi" w:eastAsia="Times New Roman" w:hAnsiTheme="majorBidi" w:cstheme="majorBidi"/>
          <w:rtl/>
          <w:lang w:bidi="ar-AE"/>
        </w:rPr>
        <w:t xml:space="preserve"> من في القبور"</w:t>
      </w:r>
      <w:r w:rsidRPr="00B867DF">
        <w:rPr>
          <w:rFonts w:asciiTheme="majorBidi" w:eastAsia="Times New Roman" w:hAnsiTheme="majorBidi" w:cstheme="majorBidi"/>
          <w:lang w:bidi="ar-AE"/>
        </w:rPr>
        <w:t xml:space="preserve"> [</w:t>
      </w:r>
      <w:r w:rsidRPr="00B867DF">
        <w:rPr>
          <w:rFonts w:asciiTheme="majorBidi" w:eastAsia="Calibri" w:hAnsiTheme="majorBidi" w:cstheme="majorBidi"/>
          <w:lang w:bidi="ar-AE"/>
        </w:rPr>
        <w:t>et que l’Heure vient, sans le moindre doute, et que Dieu ressuscitera les hôtes des tombeaux</w:t>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 xml:space="preserve">, </w:t>
      </w:r>
      <w:r w:rsidRPr="00E70E79">
        <w:rPr>
          <w:rFonts w:asciiTheme="majorBidi" w:eastAsia="Times New Roman" w:hAnsiTheme="majorBidi" w:cstheme="majorBidi"/>
          <w:lang w:bidi="ar-EG"/>
        </w:rPr>
        <w:t>le mot</w:t>
      </w:r>
      <w:r w:rsidRPr="00B867DF">
        <w:rPr>
          <w:rFonts w:asciiTheme="majorBidi" w:eastAsia="Times New Roman" w:hAnsiTheme="majorBidi" w:cstheme="majorBidi"/>
          <w:b/>
          <w:bCs/>
          <w:lang w:bidi="ar-EG"/>
        </w:rPr>
        <w:t xml:space="preserve"> </w:t>
      </w:r>
      <w:r w:rsidRPr="00E70E79">
        <w:rPr>
          <w:rFonts w:asciiTheme="majorBidi" w:eastAsia="Times New Roman" w:hAnsiTheme="majorBidi" w:cstheme="majorBidi"/>
          <w:i/>
          <w:iCs/>
          <w:lang w:bidi="ar-EG"/>
        </w:rPr>
        <w:t>as-sāʿa</w:t>
      </w:r>
      <w:r w:rsidRPr="00B867DF">
        <w:rPr>
          <w:rFonts w:asciiTheme="majorBidi" w:eastAsia="Times New Roman" w:hAnsiTheme="majorBidi" w:cstheme="majorBidi"/>
          <w:lang w:bidi="ar-EG"/>
        </w:rPr>
        <w:t xml:space="preserve"> peut désigner : 1</w:t>
      </w:r>
      <w:r>
        <w:rPr>
          <w:rFonts w:asciiTheme="majorBidi" w:eastAsia="Times New Roman" w:hAnsiTheme="majorBidi" w:cstheme="majorBidi"/>
          <w:lang w:bidi="ar-EG"/>
        </w:rPr>
        <w:t xml:space="preserve">) </w:t>
      </w:r>
      <w:r w:rsidRPr="00B867DF">
        <w:rPr>
          <w:rFonts w:asciiTheme="majorBidi" w:eastAsia="Times New Roman" w:hAnsiTheme="majorBidi" w:cstheme="majorBidi"/>
          <w:iCs/>
          <w:lang w:bidi="ar-EG"/>
        </w:rPr>
        <w:t>le jour de la résurrection </w:t>
      </w:r>
      <w:r w:rsidRPr="00B867DF">
        <w:rPr>
          <w:rFonts w:asciiTheme="majorBidi" w:eastAsia="Times New Roman" w:hAnsiTheme="majorBidi" w:cstheme="majorBidi"/>
          <w:lang w:bidi="ar-EG"/>
        </w:rPr>
        <w:t>; 2</w:t>
      </w:r>
      <w:r>
        <w:rPr>
          <w:rFonts w:asciiTheme="majorBidi" w:eastAsia="Times New Roman" w:hAnsiTheme="majorBidi" w:cstheme="majorBidi"/>
          <w:lang w:bidi="ar-EG"/>
        </w:rPr>
        <w:t xml:space="preserve">) </w:t>
      </w:r>
      <w:r w:rsidRPr="00B867DF">
        <w:rPr>
          <w:rFonts w:asciiTheme="majorBidi" w:eastAsia="Times New Roman" w:hAnsiTheme="majorBidi" w:cstheme="majorBidi"/>
          <w:iCs/>
          <w:lang w:bidi="ar-EG"/>
        </w:rPr>
        <w:t xml:space="preserve">l’heure de la souffrance </w:t>
      </w:r>
      <w:r w:rsidRPr="00B867DF">
        <w:rPr>
          <w:rFonts w:asciiTheme="majorBidi" w:eastAsia="Times New Roman" w:hAnsiTheme="majorBidi" w:cstheme="majorBidi"/>
          <w:lang w:bidi="ar-EG"/>
        </w:rPr>
        <w:t>(Ibn ʿArabī) ; 3</w:t>
      </w:r>
      <w:r>
        <w:rPr>
          <w:rFonts w:asciiTheme="majorBidi" w:eastAsia="Times New Roman" w:hAnsiTheme="majorBidi" w:cstheme="majorBidi"/>
          <w:lang w:bidi="ar-EG"/>
        </w:rPr>
        <w:t xml:space="preserve">) </w:t>
      </w:r>
      <w:r w:rsidRPr="00B867DF">
        <w:rPr>
          <w:rFonts w:asciiTheme="majorBidi" w:eastAsia="Times New Roman" w:hAnsiTheme="majorBidi" w:cstheme="majorBidi"/>
          <w:iCs/>
          <w:lang w:bidi="ar-EG"/>
        </w:rPr>
        <w:t>le retour et la domination du vrai, du bien, de la justice</w:t>
      </w:r>
      <w:r w:rsidRPr="00B867DF">
        <w:rPr>
          <w:rFonts w:asciiTheme="majorBidi" w:eastAsia="Times New Roman" w:hAnsiTheme="majorBidi" w:cstheme="majorBidi"/>
          <w:lang w:bidi="ar-EG"/>
        </w:rPr>
        <w:t xml:space="preserve"> (ou </w:t>
      </w:r>
      <w:r w:rsidRPr="00B867DF">
        <w:rPr>
          <w:rFonts w:asciiTheme="majorBidi" w:eastAsia="Times New Roman" w:hAnsiTheme="majorBidi" w:cstheme="majorBidi"/>
          <w:iCs/>
          <w:lang w:bidi="ar-EG"/>
        </w:rPr>
        <w:t>le mouvement cosmique qui mettra fin à ce monde</w:t>
      </w:r>
      <w:r w:rsidRPr="00B867DF">
        <w:rPr>
          <w:rFonts w:asciiTheme="majorBidi" w:eastAsia="Times New Roman" w:hAnsiTheme="majorBidi" w:cstheme="majorBidi"/>
          <w:lang w:bidi="ar-EG"/>
        </w:rPr>
        <w:t>) (exégèse druze)</w:t>
      </w:r>
      <w:r w:rsidRPr="00B867DF">
        <w:rPr>
          <w:rFonts w:asciiTheme="majorBidi" w:eastAsia="Times New Roman" w:hAnsiTheme="majorBidi" w:cstheme="majorBidi"/>
          <w:vertAlign w:val="superscript"/>
          <w:lang w:bidi="ar-AE"/>
        </w:rPr>
        <w:footnoteReference w:id="239"/>
      </w:r>
      <w:r w:rsidRPr="00B867DF">
        <w:rPr>
          <w:rFonts w:asciiTheme="majorBidi" w:eastAsia="Times New Roman" w:hAnsiTheme="majorBidi" w:cstheme="majorBidi"/>
          <w:lang w:bidi="ar-EG"/>
        </w:rPr>
        <w:t xml:space="preserve">. Et le verbe </w:t>
      </w:r>
      <w:r w:rsidRPr="00B867DF">
        <w:rPr>
          <w:rFonts w:asciiTheme="majorBidi" w:eastAsia="Times New Roman" w:hAnsiTheme="majorBidi" w:cstheme="majorBidi"/>
          <w:i/>
          <w:iCs/>
          <w:lang w:bidi="ar-EG"/>
        </w:rPr>
        <w:t>yabʿath</w:t>
      </w:r>
      <w:r w:rsidRPr="00B867DF">
        <w:rPr>
          <w:rFonts w:asciiTheme="majorBidi" w:eastAsia="Times New Roman" w:hAnsiTheme="majorBidi" w:cstheme="majorBidi"/>
          <w:lang w:bidi="ar-EG"/>
        </w:rPr>
        <w:t xml:space="preserve"> signifie : 1</w:t>
      </w:r>
      <w:r>
        <w:rPr>
          <w:rFonts w:asciiTheme="majorBidi" w:eastAsia="Times New Roman" w:hAnsiTheme="majorBidi" w:cstheme="majorBidi"/>
          <w:lang w:bidi="ar-EG"/>
        </w:rPr>
        <w:t xml:space="preserve">) </w:t>
      </w:r>
      <w:r w:rsidRPr="00B867DF">
        <w:rPr>
          <w:rFonts w:asciiTheme="majorBidi" w:eastAsia="Times New Roman" w:hAnsiTheme="majorBidi" w:cstheme="majorBidi"/>
          <w:iCs/>
          <w:lang w:bidi="ar-EG"/>
        </w:rPr>
        <w:t>il ressuscitera </w:t>
      </w:r>
      <w:r w:rsidRPr="00B867DF">
        <w:rPr>
          <w:rFonts w:asciiTheme="majorBidi" w:eastAsia="Times New Roman" w:hAnsiTheme="majorBidi" w:cstheme="majorBidi"/>
          <w:lang w:bidi="ar-EG"/>
        </w:rPr>
        <w:t>; 2</w:t>
      </w:r>
      <w:r>
        <w:rPr>
          <w:rFonts w:asciiTheme="majorBidi" w:eastAsia="Times New Roman" w:hAnsiTheme="majorBidi" w:cstheme="majorBidi"/>
          <w:lang w:bidi="ar-EG"/>
        </w:rPr>
        <w:t xml:space="preserve">) </w:t>
      </w:r>
      <w:r w:rsidRPr="00B867DF">
        <w:rPr>
          <w:rFonts w:asciiTheme="majorBidi" w:eastAsia="Times New Roman" w:hAnsiTheme="majorBidi" w:cstheme="majorBidi"/>
          <w:iCs/>
          <w:lang w:bidi="ar-EG"/>
        </w:rPr>
        <w:t>il ressuscite les morts de l’ignorance de leurs tombes corporelles</w:t>
      </w:r>
      <w:r w:rsidRPr="00B867DF">
        <w:rPr>
          <w:rFonts w:asciiTheme="majorBidi" w:eastAsia="Times New Roman" w:hAnsiTheme="majorBidi" w:cstheme="majorBidi"/>
          <w:lang w:bidi="ar-EG"/>
        </w:rPr>
        <w:t xml:space="preserve"> (Ibn ʿArabī) ; 3</w:t>
      </w:r>
      <w:r>
        <w:rPr>
          <w:rFonts w:asciiTheme="majorBidi" w:eastAsia="Times New Roman" w:hAnsiTheme="majorBidi" w:cstheme="majorBidi"/>
          <w:lang w:bidi="ar-EG"/>
        </w:rPr>
        <w:t xml:space="preserve">) </w:t>
      </w:r>
      <w:r w:rsidRPr="00B867DF">
        <w:rPr>
          <w:rFonts w:asciiTheme="majorBidi" w:eastAsia="Times New Roman" w:hAnsiTheme="majorBidi" w:cstheme="majorBidi"/>
          <w:iCs/>
          <w:lang w:bidi="ar-EG"/>
        </w:rPr>
        <w:t>la renaissance des morts dans ce monde d’ici-bas pour consumer leur karma</w:t>
      </w:r>
      <w:r w:rsidRPr="00B867DF">
        <w:rPr>
          <w:rFonts w:asciiTheme="majorBidi" w:eastAsia="Times New Roman" w:hAnsiTheme="majorBidi" w:cstheme="majorBidi"/>
          <w:lang w:bidi="ar-EG"/>
        </w:rPr>
        <w:t xml:space="preserve"> (exégèse druze)</w:t>
      </w:r>
      <w:r w:rsidRPr="00B867DF">
        <w:rPr>
          <w:rFonts w:asciiTheme="majorBidi" w:eastAsia="Times New Roman" w:hAnsiTheme="majorBidi" w:cstheme="majorBidi"/>
          <w:vertAlign w:val="superscript"/>
          <w:lang w:bidi="ar-AE"/>
        </w:rPr>
        <w:footnoteReference w:id="240"/>
      </w:r>
      <w:r w:rsidRPr="00B867DF">
        <w:rPr>
          <w:rFonts w:asciiTheme="majorBidi" w:eastAsia="Times New Roman" w:hAnsiTheme="majorBidi" w:cstheme="majorBidi"/>
          <w:lang w:bidi="ar-EG"/>
        </w:rPr>
        <w:t>.</w:t>
      </w:r>
    </w:p>
    <w:p w14:paraId="66135F08" w14:textId="77777777" w:rsidR="00296288" w:rsidRPr="00B867DF" w:rsidRDefault="00296288" w:rsidP="00296288">
      <w:pPr>
        <w:spacing w:line="360" w:lineRule="auto"/>
        <w:ind w:firstLine="708"/>
        <w:contextualSpacing/>
        <w:jc w:val="both"/>
        <w:rPr>
          <w:rFonts w:asciiTheme="majorBidi" w:eastAsia="Times New Roman" w:hAnsiTheme="majorBidi" w:cstheme="majorBidi"/>
          <w:lang w:bidi="ar-EG"/>
        </w:rPr>
      </w:pPr>
    </w:p>
    <w:p w14:paraId="1031AF38"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 xml:space="preserve">Dans le verset 55, le même mot </w:t>
      </w:r>
      <w:r w:rsidRPr="00B867DF">
        <w:rPr>
          <w:rFonts w:eastAsia="Times New Roman"/>
          <w:i/>
          <w:iCs/>
          <w:lang w:bidi="ar-AE"/>
        </w:rPr>
        <w:t>as-sāʿa</w:t>
      </w:r>
      <w:r w:rsidRPr="00B867DF">
        <w:rPr>
          <w:rFonts w:eastAsia="Times New Roman"/>
          <w:lang w:bidi="ar-AE"/>
        </w:rPr>
        <w:t xml:space="preserve"> [l’heure] peut désigner selon les exégètes : 1</w:t>
      </w:r>
      <w:r>
        <w:rPr>
          <w:rFonts w:eastAsia="Times New Roman"/>
          <w:lang w:bidi="ar-AE"/>
        </w:rPr>
        <w:t xml:space="preserve">) </w:t>
      </w:r>
      <w:r w:rsidRPr="00B867DF">
        <w:rPr>
          <w:rFonts w:eastAsia="Times New Roman"/>
          <w:i/>
          <w:iCs/>
          <w:lang w:bidi="ar-AE"/>
        </w:rPr>
        <w:t xml:space="preserve">al-ḥashr </w:t>
      </w:r>
      <w:r w:rsidRPr="00B867DF">
        <w:rPr>
          <w:rFonts w:eastAsia="Times New Roman"/>
          <w:lang w:bidi="ar-AE"/>
        </w:rPr>
        <w:t>(l’heure du rassemblement des humain</w:t>
      </w:r>
      <w:r>
        <w:rPr>
          <w:rFonts w:eastAsia="Times New Roman"/>
          <w:lang w:bidi="ar-AE"/>
        </w:rPr>
        <w:t xml:space="preserve">s pour le Jugement dernier) ; 2) le jour de Jugement dernier ; 3) </w:t>
      </w:r>
      <w:r w:rsidRPr="00B867DF">
        <w:rPr>
          <w:rFonts w:eastAsia="Times New Roman"/>
          <w:lang w:bidi="ar-AE"/>
        </w:rPr>
        <w:t xml:space="preserve">les débuts de la fin du monde, </w:t>
      </w:r>
      <w:r w:rsidRPr="00B867DF">
        <w:rPr>
          <w:rFonts w:eastAsia="Times New Roman" w:cs="Arial"/>
          <w:i/>
          <w:iCs/>
          <w:lang w:bidi="ar-AE"/>
        </w:rPr>
        <w:t>ashr</w:t>
      </w:r>
      <w:r w:rsidRPr="00B867DF">
        <w:rPr>
          <w:rFonts w:eastAsia="Times New Roman"/>
          <w:i/>
          <w:iCs/>
          <w:lang w:bidi="ar-AE"/>
        </w:rPr>
        <w:t>āṭ</w:t>
      </w:r>
      <w:r w:rsidRPr="00B867DF">
        <w:rPr>
          <w:rFonts w:eastAsia="Times New Roman" w:cs="Arial"/>
          <w:i/>
          <w:iCs/>
          <w:lang w:bidi="ar-AE"/>
        </w:rPr>
        <w:t xml:space="preserve"> </w:t>
      </w:r>
      <w:r>
        <w:rPr>
          <w:rFonts w:eastAsia="Times New Roman" w:cs="Arial"/>
          <w:lang w:bidi="ar-AE"/>
        </w:rPr>
        <w:t>[</w:t>
      </w:r>
      <w:r w:rsidRPr="00B867DF">
        <w:rPr>
          <w:rFonts w:eastAsia="Times New Roman"/>
          <w:i/>
          <w:iCs/>
          <w:lang w:bidi="ar-AE"/>
        </w:rPr>
        <w:t>ʿ</w:t>
      </w:r>
      <w:r>
        <w:rPr>
          <w:rFonts w:eastAsia="Times New Roman"/>
          <w:i/>
          <w:iCs/>
          <w:lang w:bidi="ar-AE"/>
        </w:rPr>
        <w:t>alāmāt</w:t>
      </w:r>
      <w:r>
        <w:rPr>
          <w:rFonts w:eastAsia="Times New Roman" w:cs="Arial"/>
          <w:lang w:bidi="ar-AE"/>
        </w:rPr>
        <w:t xml:space="preserve">] </w:t>
      </w:r>
      <w:r w:rsidRPr="00B867DF">
        <w:rPr>
          <w:rFonts w:eastAsia="Times New Roman" w:cs="Arial"/>
          <w:i/>
          <w:iCs/>
          <w:lang w:bidi="ar-AE"/>
        </w:rPr>
        <w:t>as-s</w:t>
      </w:r>
      <w:r w:rsidRPr="00B867DF">
        <w:rPr>
          <w:rFonts w:eastAsia="Times New Roman"/>
          <w:i/>
          <w:iCs/>
          <w:lang w:bidi="ar-AE"/>
        </w:rPr>
        <w:t>āʿ</w:t>
      </w:r>
      <w:r w:rsidRPr="00B867DF">
        <w:rPr>
          <w:rFonts w:eastAsia="Times New Roman" w:cs="Arial"/>
          <w:i/>
          <w:iCs/>
          <w:lang w:bidi="ar-AE"/>
        </w:rPr>
        <w:t>a</w:t>
      </w:r>
      <w:r w:rsidRPr="00B867DF">
        <w:rPr>
          <w:rFonts w:eastAsia="Times New Roman" w:cs="Arial"/>
          <w:lang w:bidi="ar-AE"/>
        </w:rPr>
        <w:t xml:space="preserve"> (l</w:t>
      </w:r>
      <w:r w:rsidRPr="00B867DF">
        <w:rPr>
          <w:rFonts w:eastAsia="Times New Roman"/>
          <w:lang w:bidi="ar-AE"/>
        </w:rPr>
        <w:t>es</w:t>
      </w:r>
      <w:r>
        <w:rPr>
          <w:rFonts w:eastAsia="Times New Roman"/>
          <w:lang w:bidi="ar-AE"/>
        </w:rPr>
        <w:t xml:space="preserve"> signes de la fin du monde) ; 4) </w:t>
      </w:r>
      <w:r w:rsidRPr="00B867DF">
        <w:rPr>
          <w:rFonts w:eastAsia="Times New Roman"/>
          <w:lang w:bidi="ar-AE"/>
        </w:rPr>
        <w:t xml:space="preserve">la </w:t>
      </w:r>
      <w:r>
        <w:rPr>
          <w:rFonts w:eastAsia="Times New Roman"/>
          <w:lang w:bidi="ar-AE"/>
        </w:rPr>
        <w:t xml:space="preserve">mort de chacun d’entre nous ; 5) la mort subite ; 6) </w:t>
      </w:r>
      <w:r w:rsidRPr="00B867DF">
        <w:rPr>
          <w:rFonts w:eastAsia="Times New Roman"/>
          <w:lang w:bidi="ar-AE"/>
        </w:rPr>
        <w:t>ou l’heure promise.</w:t>
      </w:r>
    </w:p>
    <w:p w14:paraId="5D1BADBE" w14:textId="77777777" w:rsidR="00296288" w:rsidRPr="00B867DF" w:rsidRDefault="00296288" w:rsidP="00296288">
      <w:pPr>
        <w:spacing w:line="360" w:lineRule="auto"/>
        <w:jc w:val="both"/>
        <w:rPr>
          <w:rFonts w:asciiTheme="majorBidi" w:eastAsia="Calibri" w:hAnsiTheme="majorBidi" w:cstheme="majorBidi"/>
          <w:lang w:bidi="ar-AE"/>
        </w:rPr>
      </w:pPr>
    </w:p>
    <w:p w14:paraId="09E526EC" w14:textId="77777777" w:rsidR="00296288" w:rsidRPr="00B867DF" w:rsidRDefault="00296288" w:rsidP="00296288">
      <w:pPr>
        <w:spacing w:line="360" w:lineRule="auto"/>
        <w:ind w:firstLine="708"/>
        <w:jc w:val="both"/>
        <w:rPr>
          <w:rFonts w:eastAsia="Times New Roman"/>
          <w:color w:val="FF0000"/>
          <w:lang w:bidi="ar-AE"/>
        </w:rPr>
      </w:pPr>
      <w:r w:rsidRPr="00B867DF">
        <w:rPr>
          <w:rFonts w:eastAsia="Times New Roman"/>
          <w:lang w:bidi="ar-AE"/>
        </w:rPr>
        <w:t xml:space="preserve">Le mot </w:t>
      </w:r>
      <w:r w:rsidRPr="00B867DF">
        <w:rPr>
          <w:rFonts w:eastAsia="Times New Roman"/>
          <w:i/>
          <w:iCs/>
          <w:lang w:bidi="ar-AE"/>
        </w:rPr>
        <w:t>hudā</w:t>
      </w:r>
      <w:r w:rsidRPr="00B867DF">
        <w:rPr>
          <w:rFonts w:eastAsia="Times New Roman"/>
          <w:lang w:bidi="ar-AE"/>
        </w:rPr>
        <w:t xml:space="preserve"> [bonne voie] (v. 8) désigne un processus spirituel (cœur), mental (raison) ou physique (œil) et peut indiquer : 1</w:t>
      </w:r>
      <w:r>
        <w:rPr>
          <w:rFonts w:eastAsia="Times New Roman"/>
          <w:lang w:bidi="ar-AE"/>
        </w:rPr>
        <w:t xml:space="preserve">) </w:t>
      </w:r>
      <w:r w:rsidRPr="00B867DF">
        <w:rPr>
          <w:rFonts w:eastAsia="Times New Roman"/>
          <w:i/>
          <w:iCs/>
          <w:lang w:bidi="ar-AE"/>
        </w:rPr>
        <w:t>kashf</w:t>
      </w:r>
      <w:r w:rsidRPr="00B867DF">
        <w:rPr>
          <w:rFonts w:eastAsia="Times New Roman"/>
          <w:lang w:bidi="ar-AE"/>
        </w:rPr>
        <w:t xml:space="preserve"> [dévoilement] et </w:t>
      </w:r>
      <w:r w:rsidRPr="00B867DF">
        <w:rPr>
          <w:rFonts w:eastAsia="Times New Roman"/>
          <w:i/>
          <w:iCs/>
          <w:lang w:bidi="ar-AE"/>
        </w:rPr>
        <w:t>wijdān</w:t>
      </w:r>
      <w:r w:rsidRPr="00B867DF">
        <w:rPr>
          <w:rFonts w:eastAsia="Times New Roman"/>
          <w:lang w:bidi="ar-AE"/>
        </w:rPr>
        <w:t xml:space="preserve"> [conscience, expérience mystique]</w:t>
      </w:r>
      <w:r w:rsidRPr="00B867DF">
        <w:rPr>
          <w:rFonts w:eastAsia="Times New Roman"/>
          <w:vertAlign w:val="superscript"/>
          <w:lang w:bidi="ar-AE"/>
        </w:rPr>
        <w:footnoteReference w:id="241"/>
      </w:r>
      <w:r w:rsidRPr="00B867DF">
        <w:rPr>
          <w:rFonts w:eastAsia="Times New Roman"/>
          <w:lang w:bidi="ar-AE"/>
        </w:rPr>
        <w:t xml:space="preserve"> (</w:t>
      </w:r>
      <w:r w:rsidRPr="00B867DF">
        <w:rPr>
          <w:rFonts w:eastAsia="Times New Roman"/>
          <w:lang w:bidi="ar-EG"/>
        </w:rPr>
        <w:t>Ibn ʿArabī) </w:t>
      </w:r>
      <w:r w:rsidRPr="00B867DF">
        <w:rPr>
          <w:rFonts w:eastAsia="Times New Roman"/>
          <w:lang w:bidi="ar-AE"/>
        </w:rPr>
        <w:t>; 2</w:t>
      </w:r>
      <w:r>
        <w:rPr>
          <w:rFonts w:eastAsia="Times New Roman"/>
          <w:lang w:bidi="ar-AE"/>
        </w:rPr>
        <w:t xml:space="preserve">) </w:t>
      </w:r>
      <w:r w:rsidRPr="00B867DF">
        <w:rPr>
          <w:rFonts w:eastAsia="Times New Roman"/>
          <w:i/>
          <w:iCs/>
          <w:lang w:bidi="ar-AE"/>
        </w:rPr>
        <w:t>naẓar ṣaḥīḥ</w:t>
      </w:r>
      <w:r w:rsidRPr="00B867DF">
        <w:rPr>
          <w:rFonts w:eastAsia="Times New Roman"/>
          <w:lang w:bidi="ar-AE"/>
        </w:rPr>
        <w:t xml:space="preserve"> [vue juste</w:t>
      </w:r>
      <w:r w:rsidRPr="00B867DF">
        <w:rPr>
          <w:rFonts w:eastAsia="Times New Roman"/>
          <w:vertAlign w:val="superscript"/>
          <w:lang w:bidi="ar-AE"/>
        </w:rPr>
        <w:footnoteReference w:id="242"/>
      </w:r>
      <w:r w:rsidRPr="00B867DF">
        <w:rPr>
          <w:rFonts w:eastAsia="Times New Roman"/>
          <w:lang w:bidi="ar-AE"/>
        </w:rPr>
        <w:t xml:space="preserve">] </w:t>
      </w:r>
      <w:r w:rsidRPr="00B867DF">
        <w:rPr>
          <w:rFonts w:eastAsia="Times New Roman"/>
          <w:lang w:bidi="ar-EG"/>
        </w:rPr>
        <w:t>(Aṭ-Ṭabāṭabāʾī) ;</w:t>
      </w:r>
      <w:r w:rsidRPr="00B867DF">
        <w:rPr>
          <w:rFonts w:eastAsia="Times New Roman"/>
          <w:lang w:bidi="ar-AE"/>
        </w:rPr>
        <w:t xml:space="preserve"> 3</w:t>
      </w:r>
      <w:r>
        <w:rPr>
          <w:rFonts w:eastAsia="Times New Roman"/>
          <w:lang w:bidi="ar-AE"/>
        </w:rPr>
        <w:t xml:space="preserve">) </w:t>
      </w:r>
      <w:r w:rsidRPr="00B867DF">
        <w:rPr>
          <w:rFonts w:eastAsia="Times New Roman"/>
          <w:i/>
          <w:iCs/>
          <w:lang w:bidi="ar-AE"/>
        </w:rPr>
        <w:t>istidlāl ʿaqlī</w:t>
      </w:r>
      <w:r w:rsidRPr="00B867DF">
        <w:rPr>
          <w:rFonts w:eastAsia="Times New Roman"/>
          <w:lang w:bidi="ar-AE"/>
        </w:rPr>
        <w:t xml:space="preserve"> [raisonnement spéculatif].</w:t>
      </w:r>
    </w:p>
    <w:p w14:paraId="3712D77E" w14:textId="77777777" w:rsidR="00296288" w:rsidRPr="00B867DF" w:rsidRDefault="00296288" w:rsidP="00296288">
      <w:pPr>
        <w:spacing w:line="360" w:lineRule="auto"/>
        <w:ind w:firstLine="708"/>
        <w:jc w:val="both"/>
        <w:rPr>
          <w:rFonts w:eastAsia="Times New Roman"/>
          <w:lang w:bidi="ar-AE"/>
        </w:rPr>
      </w:pPr>
    </w:p>
    <w:p w14:paraId="68E1D99B" w14:textId="49081F90"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Les significations de </w:t>
      </w:r>
      <w:r w:rsidRPr="00B867DF">
        <w:rPr>
          <w:rFonts w:eastAsia="Times New Roman"/>
          <w:i/>
          <w:iCs/>
          <w:lang w:bidi="ar-AE"/>
        </w:rPr>
        <w:t>kitāb munīr</w:t>
      </w:r>
      <w:r w:rsidRPr="00B867DF">
        <w:rPr>
          <w:rFonts w:eastAsia="Times New Roman"/>
          <w:lang w:bidi="ar-AE"/>
        </w:rPr>
        <w:t xml:space="preserve"> [livre éclairant] sont : 1</w:t>
      </w:r>
      <w:r>
        <w:rPr>
          <w:rFonts w:eastAsia="Times New Roman"/>
          <w:lang w:bidi="ar-AE"/>
        </w:rPr>
        <w:t xml:space="preserve">) </w:t>
      </w:r>
      <w:r w:rsidRPr="00B867DF">
        <w:rPr>
          <w:rFonts w:eastAsia="Times New Roman"/>
          <w:lang w:bidi="ar-AE"/>
        </w:rPr>
        <w:t>un livr</w:t>
      </w:r>
      <w:r>
        <w:rPr>
          <w:rFonts w:eastAsia="Times New Roman"/>
          <w:lang w:bidi="ar-AE"/>
        </w:rPr>
        <w:t xml:space="preserve">e éloquent ; 2) </w:t>
      </w:r>
      <w:r w:rsidRPr="00B867DF">
        <w:rPr>
          <w:rFonts w:eastAsia="Times New Roman"/>
          <w:lang w:bidi="ar-AE"/>
        </w:rPr>
        <w:t>un livre de lumière ; 3</w:t>
      </w:r>
      <w:r>
        <w:rPr>
          <w:rFonts w:eastAsia="Times New Roman"/>
          <w:lang w:bidi="ar-AE"/>
        </w:rPr>
        <w:t xml:space="preserve">) </w:t>
      </w:r>
      <w:r w:rsidRPr="00B867DF">
        <w:rPr>
          <w:rFonts w:eastAsia="Times New Roman"/>
          <w:lang w:bidi="ar-AE"/>
        </w:rPr>
        <w:t>une révélation ; 4</w:t>
      </w:r>
      <w:r>
        <w:rPr>
          <w:rFonts w:eastAsia="Times New Roman"/>
          <w:lang w:bidi="ar-AE"/>
        </w:rPr>
        <w:t xml:space="preserve">) </w:t>
      </w:r>
      <w:r w:rsidRPr="00B867DF">
        <w:rPr>
          <w:rFonts w:eastAsia="Times New Roman"/>
          <w:lang w:bidi="ar-AE"/>
        </w:rPr>
        <w:t xml:space="preserve">le lien entre une âme et une autre âme illuminée des lumières </w:t>
      </w:r>
      <w:r w:rsidRPr="00B867DF">
        <w:rPr>
          <w:rFonts w:eastAsia="Times New Roman"/>
          <w:lang w:bidi="ar-AE"/>
        </w:rPr>
        <w:lastRenderedPageBreak/>
        <w:t>de son Seigneur (Amīn Shaykhū), 5-une allusion à an-Na</w:t>
      </w:r>
      <w:r w:rsidRPr="00B867DF">
        <w:rPr>
          <w:rFonts w:eastAsia="Times New Roman"/>
        </w:rPr>
        <w:t>ḍ</w:t>
      </w:r>
      <w:r w:rsidRPr="00B867DF">
        <w:rPr>
          <w:rFonts w:eastAsia="Times New Roman"/>
          <w:lang w:bidi="ar-AE"/>
        </w:rPr>
        <w:t>r ibn al-</w:t>
      </w:r>
      <w:r w:rsidRPr="00B867DF">
        <w:rPr>
          <w:rFonts w:eastAsia="Times New Roman"/>
        </w:rPr>
        <w:t xml:space="preserve"> Ḥ</w:t>
      </w:r>
      <w:r w:rsidRPr="00B867DF">
        <w:rPr>
          <w:rFonts w:eastAsia="Times New Roman"/>
          <w:lang w:bidi="ar-AE"/>
        </w:rPr>
        <w:t>ārith, l’adversaire de Mu</w:t>
      </w:r>
      <w:r w:rsidRPr="00B867DF">
        <w:rPr>
          <w:rFonts w:eastAsia="Times New Roman"/>
        </w:rPr>
        <w:t xml:space="preserve">ḥammad, qui disputait sur le Coran en le comparant avec les livres fictifs et mythiques persans </w:t>
      </w:r>
      <w:r w:rsidRPr="00B867DF">
        <w:rPr>
          <w:rFonts w:eastAsia="Times New Roman"/>
          <w:i/>
          <w:iCs/>
        </w:rPr>
        <w:t>Akhbār</w:t>
      </w:r>
      <w:r w:rsidRPr="00B867DF">
        <w:rPr>
          <w:rFonts w:eastAsia="Times New Roman"/>
        </w:rPr>
        <w:t xml:space="preserve"> </w:t>
      </w:r>
      <w:r w:rsidRPr="00B867DF">
        <w:rPr>
          <w:rFonts w:eastAsia="Times New Roman"/>
          <w:i/>
          <w:iCs/>
          <w:lang w:bidi="ar-AE"/>
        </w:rPr>
        <w:t>Rostam</w:t>
      </w:r>
      <w:r w:rsidRPr="00B867DF">
        <w:rPr>
          <w:rFonts w:eastAsia="Times New Roman"/>
          <w:lang w:bidi="ar-AE"/>
        </w:rPr>
        <w:t xml:space="preserve"> et </w:t>
      </w:r>
      <w:r w:rsidRPr="00B867DF">
        <w:rPr>
          <w:rFonts w:eastAsia="Times New Roman"/>
          <w:i/>
          <w:iCs/>
        </w:rPr>
        <w:t>Akhbār</w:t>
      </w:r>
      <w:r w:rsidRPr="00B867DF">
        <w:rPr>
          <w:rFonts w:eastAsia="Times New Roman"/>
          <w:i/>
          <w:iCs/>
          <w:lang w:bidi="ar-AE"/>
        </w:rPr>
        <w:t xml:space="preserve"> Esfandiyār</w:t>
      </w:r>
      <w:r w:rsidRPr="00B867DF">
        <w:rPr>
          <w:rFonts w:eastAsia="Times New Roman"/>
        </w:rPr>
        <w:t>, le</w:t>
      </w:r>
      <w:r w:rsidRPr="00B867DF">
        <w:rPr>
          <w:rFonts w:eastAsia="Times New Roman"/>
          <w:lang w:bidi="ar-AE"/>
        </w:rPr>
        <w:t xml:space="preserve"> </w:t>
      </w:r>
      <w:r w:rsidRPr="00B867DF">
        <w:rPr>
          <w:rFonts w:eastAsia="Times New Roman"/>
          <w:i/>
          <w:iCs/>
          <w:lang w:bidi="ar-AE"/>
        </w:rPr>
        <w:t>kitāb munīr</w:t>
      </w:r>
      <w:r w:rsidRPr="00B867DF">
        <w:rPr>
          <w:rFonts w:eastAsia="Times New Roman"/>
          <w:lang w:bidi="ar-AE"/>
        </w:rPr>
        <w:t xml:space="preserve"> étant ainsi utilisé par opposition aux livres mensongers : </w:t>
      </w:r>
      <w:r w:rsidRPr="00B867DF">
        <w:rPr>
          <w:rFonts w:eastAsia="Times New Roman"/>
          <w:i/>
          <w:iCs/>
          <w:lang w:bidi="ar-AE"/>
        </w:rPr>
        <w:t>Épisode de Rostam</w:t>
      </w:r>
      <w:r w:rsidRPr="00B867DF">
        <w:rPr>
          <w:rFonts w:eastAsia="Times New Roman"/>
          <w:lang w:bidi="ar-AE"/>
        </w:rPr>
        <w:t xml:space="preserve"> et </w:t>
      </w:r>
      <w:r w:rsidRPr="00B867DF">
        <w:rPr>
          <w:rFonts w:eastAsia="Times New Roman"/>
          <w:i/>
          <w:iCs/>
          <w:lang w:bidi="ar-AE"/>
        </w:rPr>
        <w:t>Épisode d’Esfandiyār</w:t>
      </w:r>
      <w:r w:rsidRPr="00B867DF">
        <w:rPr>
          <w:rFonts w:eastAsia="Times New Roman"/>
          <w:lang w:bidi="ar-AE"/>
        </w:rPr>
        <w:t xml:space="preserve"> (Ibn </w:t>
      </w:r>
      <w:r w:rsidRPr="00B867DF">
        <w:rPr>
          <w:rFonts w:eastAsia="Times New Roman"/>
        </w:rPr>
        <w:t>ʿĀshūr,</w:t>
      </w:r>
      <w:r w:rsidRPr="00B867DF">
        <w:rPr>
          <w:rFonts w:eastAsia="Times New Roman"/>
          <w:i/>
          <w:iCs/>
        </w:rPr>
        <w:t xml:space="preserve"> </w:t>
      </w:r>
      <w:r w:rsidRPr="00B867DF">
        <w:rPr>
          <w:rFonts w:eastAsia="Times New Roman"/>
          <w:i/>
          <w:iCs/>
          <w:lang w:bidi="ar-AE"/>
        </w:rPr>
        <w:t>Tafsīr</w:t>
      </w:r>
      <w:r w:rsidRPr="00B867DF">
        <w:rPr>
          <w:rFonts w:eastAsia="Times New Roman"/>
          <w:lang w:bidi="ar-AE"/>
        </w:rPr>
        <w:t>) ; 6-un livre qui montre la vérité. Selon la litté</w:t>
      </w:r>
      <w:r w:rsidR="00642702">
        <w:rPr>
          <w:rFonts w:eastAsia="Times New Roman"/>
          <w:lang w:bidi="ar-AE"/>
        </w:rPr>
        <w:t xml:space="preserve">rature exégétique, l’adjectif </w:t>
      </w:r>
      <w:r w:rsidRPr="00B867DF">
        <w:rPr>
          <w:rFonts w:eastAsia="Times New Roman"/>
          <w:i/>
          <w:iCs/>
          <w:lang w:bidi="ar-AE"/>
        </w:rPr>
        <w:t>munīr</w:t>
      </w:r>
      <w:r w:rsidRPr="00B867DF">
        <w:rPr>
          <w:rFonts w:eastAsia="Times New Roman"/>
          <w:lang w:bidi="ar-AE"/>
        </w:rPr>
        <w:t xml:space="preserve"> a donc une dimension théologique (révélation), sociologique (guide sociétale), historique (allusion au conflit entre le prophète de l’islam et son milieu), spirituelle (mystique), philosophique (raisonnement) et linguistique (rhétorique).</w:t>
      </w:r>
    </w:p>
    <w:p w14:paraId="3B661189" w14:textId="77777777" w:rsidR="00296288" w:rsidRPr="00A519F9" w:rsidRDefault="00296288" w:rsidP="00296288">
      <w:pPr>
        <w:spacing w:line="360" w:lineRule="auto"/>
        <w:jc w:val="both"/>
        <w:rPr>
          <w:rFonts w:eastAsia="Times New Roman"/>
          <w:lang w:bidi="ar-AE"/>
        </w:rPr>
      </w:pPr>
    </w:p>
    <w:p w14:paraId="55BB82C5" w14:textId="77777777" w:rsidR="00296288" w:rsidRPr="00B867DF" w:rsidRDefault="00296288" w:rsidP="00296288">
      <w:pPr>
        <w:spacing w:line="360" w:lineRule="auto"/>
        <w:ind w:firstLine="708"/>
        <w:jc w:val="both"/>
        <w:rPr>
          <w:rFonts w:eastAsia="Times New Roman"/>
          <w:lang w:bidi="ar-AE"/>
        </w:rPr>
      </w:pPr>
      <w:r w:rsidRPr="00A519F9">
        <w:rPr>
          <w:rFonts w:eastAsia="Times New Roman"/>
          <w:lang w:bidi="ar-AE"/>
        </w:rPr>
        <w:t xml:space="preserve">La personne qui s’oppose à Dieu de l’islam par le biais de la dispute pour égarer les gens mérite selon le Coran deux types de punition : </w:t>
      </w:r>
      <w:r w:rsidRPr="00A519F9">
        <w:rPr>
          <w:rFonts w:eastAsia="Times New Roman"/>
          <w:i/>
          <w:iCs/>
          <w:lang w:bidi="ar-AE"/>
        </w:rPr>
        <w:t xml:space="preserve">khizy </w:t>
      </w:r>
      <w:r w:rsidRPr="00A519F9">
        <w:rPr>
          <w:rFonts w:eastAsia="Times New Roman"/>
          <w:lang w:bidi="ar-AE"/>
        </w:rPr>
        <w:t xml:space="preserve">[humiliation] dans ce monde et </w:t>
      </w:r>
      <w:r w:rsidRPr="00A519F9">
        <w:rPr>
          <w:rFonts w:eastAsia="Times New Roman"/>
          <w:i/>
          <w:iCs/>
          <w:lang w:bidi="ar-AE"/>
        </w:rPr>
        <w:t>ʿadhāb al-ḥarīq</w:t>
      </w:r>
      <w:r w:rsidRPr="00A519F9">
        <w:rPr>
          <w:rFonts w:eastAsia="Times New Roman"/>
          <w:lang w:bidi="ar-AE"/>
        </w:rPr>
        <w:t xml:space="preserve"> [tourment de l’embrasement] dans l’autre monde (v. 10). Il s’agit ici d’une intimidation qui servait et sert l’expansion de l’islam. Le terme </w:t>
      </w:r>
      <w:r w:rsidRPr="00A519F9">
        <w:rPr>
          <w:rFonts w:eastAsia="Times New Roman"/>
          <w:i/>
          <w:iCs/>
          <w:lang w:bidi="ar-AE"/>
        </w:rPr>
        <w:t xml:space="preserve">khizy </w:t>
      </w:r>
      <w:r w:rsidRPr="00A519F9">
        <w:rPr>
          <w:rFonts w:eastAsia="Times New Roman"/>
          <w:lang w:bidi="ar-AE"/>
        </w:rPr>
        <w:t xml:space="preserve">qui souligne le châtiment dans ce monde fait allusion en effet au conflit militaire entre l’islam émergent et son environnement et à la légitimité de tuer ses adversaires. Ce terme </w:t>
      </w:r>
      <w:r w:rsidRPr="00A519F9">
        <w:rPr>
          <w:rFonts w:eastAsia="Times New Roman"/>
          <w:i/>
          <w:iCs/>
          <w:lang w:bidi="ar-AE"/>
        </w:rPr>
        <w:t xml:space="preserve">khizy </w:t>
      </w:r>
      <w:r w:rsidRPr="00A519F9">
        <w:rPr>
          <w:rFonts w:eastAsia="Times New Roman"/>
          <w:lang w:bidi="ar-AE"/>
        </w:rPr>
        <w:t>fait référence à des notions telles que : l’humiliation ; la peine de mort ; le carnage lors de la bataille de Badr (la première bataille victorieuse des musulmans contre le clan quraychite vers 624) ; la défaite qu’a subie l’ennemi de Muḥammad pendant la bataille de Badr ; le châtiment ; démasquer l’autre (le faire connaître pour ce qu’il est) (</w:t>
      </w:r>
      <w:r w:rsidRPr="00A519F9">
        <w:rPr>
          <w:rFonts w:eastAsia="Calibri"/>
        </w:rPr>
        <w:t>Amīn Shaykhū</w:t>
      </w:r>
      <w:r w:rsidRPr="00A519F9">
        <w:rPr>
          <w:rFonts w:eastAsia="Times New Roman"/>
          <w:lang w:bidi="ar-AE"/>
        </w:rPr>
        <w:t>). Ainsi, toutes les significations fournies par les exégètes (sauf la dernière) soulignent plus la défaite de l’adversaire que la victoire</w:t>
      </w:r>
      <w:r w:rsidRPr="00B867DF">
        <w:rPr>
          <w:rFonts w:eastAsia="Times New Roman"/>
          <w:lang w:bidi="ar-AE"/>
        </w:rPr>
        <w:t xml:space="preserve"> des musulmans.</w:t>
      </w:r>
    </w:p>
    <w:p w14:paraId="15949CC8" w14:textId="77777777" w:rsidR="00296288" w:rsidRPr="00832DB5" w:rsidRDefault="00296288" w:rsidP="00296288">
      <w:pPr>
        <w:spacing w:line="360" w:lineRule="auto"/>
        <w:jc w:val="both"/>
        <w:rPr>
          <w:rFonts w:eastAsia="Times New Roman"/>
          <w:lang w:bidi="ar-AE"/>
        </w:rPr>
      </w:pPr>
    </w:p>
    <w:p w14:paraId="014F56A3" w14:textId="77777777" w:rsidR="00296288" w:rsidRPr="00832DB5"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AE"/>
        </w:rPr>
      </w:pPr>
      <w:r w:rsidRPr="00832DB5">
        <w:rPr>
          <w:rFonts w:ascii="Times New Roman" w:hAnsi="Times New Roman" w:cs="Times New Roman"/>
          <w:b/>
          <w:bCs/>
          <w:sz w:val="24"/>
          <w:szCs w:val="24"/>
          <w:lang w:eastAsia="fr-FR" w:bidi="ar-AE"/>
        </w:rPr>
        <w:t xml:space="preserve">Le sens du pluriel </w:t>
      </w:r>
      <w:r w:rsidRPr="00832DB5">
        <w:rPr>
          <w:rFonts w:ascii="Times New Roman" w:hAnsi="Times New Roman" w:cs="Times New Roman"/>
          <w:b/>
          <w:bCs/>
          <w:i/>
          <w:iCs/>
          <w:sz w:val="24"/>
          <w:szCs w:val="24"/>
          <w:lang w:eastAsia="fr-FR" w:bidi="ar-AE"/>
        </w:rPr>
        <w:t>ʿabīd </w:t>
      </w:r>
      <w:r w:rsidRPr="00832DB5">
        <w:rPr>
          <w:rFonts w:ascii="Times New Roman" w:hAnsi="Times New Roman" w:cs="Times New Roman"/>
          <w:b/>
          <w:bCs/>
          <w:sz w:val="24"/>
          <w:szCs w:val="24"/>
          <w:lang w:eastAsia="fr-FR" w:bidi="ar-AE"/>
        </w:rPr>
        <w:t>:</w:t>
      </w:r>
    </w:p>
    <w:p w14:paraId="5BBB649C" w14:textId="38A7E00F" w:rsidR="00296288" w:rsidRPr="00B867DF" w:rsidRDefault="00296288" w:rsidP="00296288">
      <w:pPr>
        <w:spacing w:line="360" w:lineRule="auto"/>
        <w:ind w:firstLine="708"/>
        <w:jc w:val="both"/>
        <w:rPr>
          <w:rFonts w:eastAsia="Times New Roman"/>
        </w:rPr>
      </w:pPr>
      <w:r w:rsidRPr="00A519F9">
        <w:rPr>
          <w:rFonts w:eastAsia="Times New Roman"/>
          <w:lang w:bidi="ar-AE"/>
        </w:rPr>
        <w:t>Le langage coranique fait la distinction entre les deux plurie</w:t>
      </w:r>
      <w:r w:rsidR="00642702">
        <w:rPr>
          <w:rFonts w:eastAsia="Times New Roman"/>
          <w:lang w:bidi="ar-AE"/>
        </w:rPr>
        <w:t xml:space="preserve">ls brisés [internes] du terme </w:t>
      </w:r>
      <w:r w:rsidRPr="00A519F9">
        <w:rPr>
          <w:rFonts w:eastAsia="Times New Roman"/>
          <w:i/>
          <w:iCs/>
          <w:lang w:bidi="ar-AE"/>
        </w:rPr>
        <w:t>ʿabd</w:t>
      </w:r>
      <w:r w:rsidRPr="00A519F9">
        <w:rPr>
          <w:rFonts w:eastAsia="Times New Roman"/>
          <w:lang w:bidi="ar-AE"/>
        </w:rPr>
        <w:t xml:space="preserve"> [esclave, adorateur, individu, homme], à savoir : </w:t>
      </w:r>
      <w:r w:rsidRPr="00A519F9">
        <w:rPr>
          <w:rFonts w:eastAsia="Times New Roman"/>
          <w:i/>
          <w:iCs/>
          <w:lang w:bidi="ar-AE"/>
        </w:rPr>
        <w:t>ʿabīd</w:t>
      </w:r>
      <w:r w:rsidRPr="00A519F9">
        <w:rPr>
          <w:rFonts w:eastAsia="Times New Roman"/>
          <w:lang w:bidi="ar-AE"/>
        </w:rPr>
        <w:t xml:space="preserve"> et </w:t>
      </w:r>
      <w:r w:rsidRPr="00A519F9">
        <w:rPr>
          <w:rFonts w:eastAsia="Times New Roman"/>
          <w:i/>
          <w:iCs/>
          <w:lang w:bidi="ar-AE"/>
        </w:rPr>
        <w:t>ʿibād</w:t>
      </w:r>
      <w:r w:rsidRPr="00A519F9">
        <w:rPr>
          <w:rFonts w:eastAsia="Times New Roman"/>
          <w:lang w:bidi="ar-AE"/>
        </w:rPr>
        <w:t xml:space="preserve">. Il utilise le premier dans cinq versets (III, 182 ; VIII, 51 ; </w:t>
      </w:r>
      <w:r w:rsidRPr="00A519F9">
        <w:rPr>
          <w:rFonts w:eastAsia="Times New Roman"/>
        </w:rPr>
        <w:t>XXII,</w:t>
      </w:r>
      <w:r w:rsidRPr="00A519F9">
        <w:rPr>
          <w:rFonts w:eastAsia="Times New Roman"/>
          <w:lang w:bidi="ar-AE"/>
        </w:rPr>
        <w:t xml:space="preserve"> 10 ; XLI, 46 et L, 29) quand il s’agit du châtiment de Dieu lors du Jour de la Rétribution où toute âme sera </w:t>
      </w:r>
      <w:r w:rsidRPr="00A519F9">
        <w:rPr>
          <w:rFonts w:eastAsia="Times New Roman"/>
          <w:i/>
          <w:iCs/>
          <w:lang w:bidi="ar-AE"/>
        </w:rPr>
        <w:t>punie</w:t>
      </w:r>
      <w:r w:rsidRPr="00A519F9">
        <w:rPr>
          <w:rFonts w:eastAsia="Times New Roman"/>
          <w:lang w:bidi="ar-AE"/>
        </w:rPr>
        <w:t xml:space="preserve"> suivant les actes qu’elle aura faits par ses propres mains (idée proche de </w:t>
      </w:r>
      <w:r w:rsidRPr="00A519F9">
        <w:rPr>
          <w:rFonts w:eastAsia="Times New Roman"/>
          <w:i/>
          <w:iCs/>
          <w:lang w:bidi="ar-AE"/>
        </w:rPr>
        <w:t>la loi du karma</w:t>
      </w:r>
      <w:r w:rsidRPr="00A519F9">
        <w:rPr>
          <w:rFonts w:eastAsia="Times New Roman"/>
          <w:lang w:bidi="ar-AE"/>
        </w:rPr>
        <w:t xml:space="preserve"> dans l’hindouisme, le bouddhisme et le jaïnisme). Le pluriel </w:t>
      </w:r>
      <w:r w:rsidRPr="00A519F9">
        <w:rPr>
          <w:rFonts w:eastAsia="Times New Roman"/>
          <w:i/>
          <w:iCs/>
          <w:lang w:bidi="ar-AE"/>
        </w:rPr>
        <w:t>ʿabīd</w:t>
      </w:r>
      <w:r w:rsidRPr="00A519F9">
        <w:rPr>
          <w:rFonts w:eastAsia="Times New Roman"/>
          <w:lang w:bidi="ar-AE"/>
        </w:rPr>
        <w:t xml:space="preserve"> est ainsi lié au Jugement dernier, à la justice divine, alors que l’âme n’aura pas le libre arbitre et qu’elle sera </w:t>
      </w:r>
      <w:r w:rsidRPr="00A519F9">
        <w:rPr>
          <w:rFonts w:eastAsia="Times New Roman"/>
          <w:i/>
          <w:iCs/>
          <w:lang w:bidi="ar-AE"/>
        </w:rPr>
        <w:t>esclave</w:t>
      </w:r>
      <w:r w:rsidRPr="00A519F9">
        <w:rPr>
          <w:rFonts w:eastAsia="Times New Roman"/>
          <w:lang w:bidi="ar-AE"/>
        </w:rPr>
        <w:t xml:space="preserve"> de ses actes. Il désigne les êtres humains dans l’autre monde qui seront des esclaves dépourvus de la volonté ou bien des humains dans l’ici-bas qui n’ont pas soumis à Dieu mais qui sont obligés de se soumettre aux lois divines (physiques). </w:t>
      </w:r>
      <w:r w:rsidRPr="00A519F9">
        <w:rPr>
          <w:rFonts w:eastAsia="Times New Roman"/>
          <w:lang w:bidi="ar-AE"/>
        </w:rPr>
        <w:lastRenderedPageBreak/>
        <w:t>Cependant, le pluriel </w:t>
      </w:r>
      <w:r w:rsidRPr="00A519F9">
        <w:rPr>
          <w:rFonts w:eastAsia="Times New Roman"/>
          <w:i/>
          <w:iCs/>
          <w:lang w:bidi="ar-AE"/>
        </w:rPr>
        <w:t>ʿibād</w:t>
      </w:r>
      <w:r w:rsidRPr="00A519F9">
        <w:rPr>
          <w:rFonts w:eastAsia="Times New Roman"/>
          <w:lang w:bidi="ar-AE"/>
        </w:rPr>
        <w:t xml:space="preserve"> (qui par ailleurs désigne en général les êtres humains ou les mortels) est utilisé dans le Coran pour désigner les croyants qui ont accepté d’adorer Dieu, comme dans les syntagmes : </w:t>
      </w:r>
      <w:r w:rsidRPr="00A519F9">
        <w:rPr>
          <w:rFonts w:eastAsia="Times New Roman"/>
          <w:i/>
          <w:iCs/>
          <w:lang w:bidi="ar-AE"/>
        </w:rPr>
        <w:t>ʿibād Allāh al-mukhla</w:t>
      </w:r>
      <w:r w:rsidRPr="00A519F9">
        <w:rPr>
          <w:rFonts w:eastAsia="Times New Roman"/>
          <w:i/>
          <w:iCs/>
        </w:rPr>
        <w:t>ṣīn</w:t>
      </w:r>
      <w:r w:rsidRPr="00A519F9">
        <w:rPr>
          <w:rFonts w:eastAsia="Times New Roman"/>
          <w:lang w:bidi="ar-AE"/>
        </w:rPr>
        <w:t xml:space="preserve"> [fonciers adorateurs</w:t>
      </w:r>
      <w:r w:rsidRPr="00B867DF">
        <w:rPr>
          <w:rFonts w:eastAsia="Times New Roman"/>
          <w:lang w:bidi="ar-AE"/>
        </w:rPr>
        <w:t xml:space="preserve"> de Dieu/les plus stricts des adorateurs d</w:t>
      </w:r>
      <w:r w:rsidR="00F262F7">
        <w:rPr>
          <w:rFonts w:eastAsia="Times New Roman"/>
          <w:lang w:bidi="ar-AE"/>
        </w:rPr>
        <w:t xml:space="preserve">e Dieu] (XXXVII, 160 &amp; 169) ; </w:t>
      </w:r>
      <w:r w:rsidRPr="00B867DF">
        <w:rPr>
          <w:rFonts w:eastAsia="Times New Roman"/>
          <w:i/>
          <w:iCs/>
          <w:lang w:bidi="ar-AE"/>
        </w:rPr>
        <w:t>ʿibād ar-Raḥmān</w:t>
      </w:r>
      <w:r w:rsidRPr="00B867DF">
        <w:rPr>
          <w:rFonts w:eastAsia="Times New Roman"/>
          <w:lang w:bidi="ar-AE"/>
        </w:rPr>
        <w:t xml:space="preserve"> [les adorateurs du Tout miséricorde] </w:t>
      </w:r>
      <w:r w:rsidRPr="00A519F9">
        <w:rPr>
          <w:rFonts w:eastAsia="Times New Roman"/>
          <w:lang w:bidi="ar-AE"/>
        </w:rPr>
        <w:t xml:space="preserve">(XLIII, 19 ; XXV, 63). Ainsi, dans une logique conflictuelle, le Coran fait la </w:t>
      </w:r>
      <w:r w:rsidR="00F262F7">
        <w:rPr>
          <w:rFonts w:eastAsia="Times New Roman"/>
          <w:lang w:bidi="ar-AE"/>
        </w:rPr>
        <w:t xml:space="preserve">dichotomie entre non-croyants </w:t>
      </w:r>
      <w:r w:rsidRPr="00A519F9">
        <w:rPr>
          <w:rFonts w:eastAsia="Times New Roman"/>
          <w:i/>
          <w:iCs/>
          <w:lang w:bidi="ar-AE"/>
        </w:rPr>
        <w:t>ʿabīd</w:t>
      </w:r>
      <w:r w:rsidRPr="00A519F9">
        <w:rPr>
          <w:rFonts w:eastAsia="Times New Roman"/>
          <w:lang w:bidi="ar-AE"/>
        </w:rPr>
        <w:t xml:space="preserve"> et</w:t>
      </w:r>
      <w:r w:rsidR="00F262F7">
        <w:rPr>
          <w:rFonts w:eastAsia="Times New Roman"/>
          <w:lang w:bidi="ar-AE"/>
        </w:rPr>
        <w:t xml:space="preserve"> croyants </w:t>
      </w:r>
      <w:r w:rsidRPr="00B867DF">
        <w:rPr>
          <w:rFonts w:eastAsia="Times New Roman"/>
          <w:i/>
          <w:iCs/>
          <w:lang w:bidi="ar-AE"/>
        </w:rPr>
        <w:t>ʿibād</w:t>
      </w:r>
      <w:r w:rsidRPr="00B867DF">
        <w:rPr>
          <w:rFonts w:eastAsia="Times New Roman"/>
          <w:lang w:bidi="ar-AE"/>
        </w:rPr>
        <w:t xml:space="preserve"> (en l’occurrence musulmans).</w:t>
      </w:r>
    </w:p>
    <w:p w14:paraId="3F0F93C2" w14:textId="77777777" w:rsidR="00296288" w:rsidRPr="00B867DF" w:rsidRDefault="00296288" w:rsidP="00296288">
      <w:pPr>
        <w:spacing w:line="360" w:lineRule="auto"/>
        <w:ind w:firstLine="708"/>
        <w:jc w:val="both"/>
        <w:rPr>
          <w:rFonts w:eastAsia="Times New Roman"/>
          <w:lang w:bidi="ar-AE"/>
        </w:rPr>
      </w:pPr>
    </w:p>
    <w:p w14:paraId="53A44BAC"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Le verset 11 attaque celui (</w:t>
      </w:r>
      <w:r w:rsidRPr="00B867DF">
        <w:rPr>
          <w:rFonts w:eastAsia="Times New Roman"/>
          <w:i/>
          <w:iCs/>
          <w:lang w:bidi="ar-AE"/>
        </w:rPr>
        <w:t>mina n-nās</w:t>
      </w:r>
      <w:r w:rsidRPr="00B867DF">
        <w:rPr>
          <w:rFonts w:eastAsia="Times New Roman"/>
          <w:lang w:bidi="ar-AE"/>
        </w:rPr>
        <w:t xml:space="preserve">) qui adore Dieu, mais de manière appelée </w:t>
      </w:r>
      <w:r w:rsidRPr="00B867DF">
        <w:rPr>
          <w:rFonts w:eastAsia="Times New Roman"/>
          <w:i/>
          <w:iCs/>
          <w:lang w:bidi="ar-AE"/>
        </w:rPr>
        <w:t xml:space="preserve">ʿalā ḥarf </w:t>
      </w:r>
      <w:r w:rsidRPr="00B867DF">
        <w:rPr>
          <w:rFonts w:eastAsia="Times New Roman"/>
          <w:lang w:bidi="ar-AE"/>
        </w:rPr>
        <w:t>[</w:t>
      </w:r>
      <w:r w:rsidRPr="00B867DF">
        <w:rPr>
          <w:rFonts w:eastAsia="Times New Roman"/>
          <w:i/>
          <w:iCs/>
          <w:lang w:bidi="ar-AE"/>
        </w:rPr>
        <w:t>litt. </w:t>
      </w:r>
      <w:r w:rsidRPr="00B867DF">
        <w:rPr>
          <w:rFonts w:eastAsia="Times New Roman"/>
          <w:lang w:bidi="ar-AE"/>
        </w:rPr>
        <w:t xml:space="preserve">: sur un bord]. D’abord, le partitif </w:t>
      </w:r>
      <w:r w:rsidRPr="00B867DF">
        <w:rPr>
          <w:rFonts w:eastAsia="Times New Roman"/>
          <w:i/>
          <w:iCs/>
          <w:lang w:bidi="ar-AE"/>
        </w:rPr>
        <w:t>mina n-nās</w:t>
      </w:r>
      <w:r w:rsidRPr="00B867DF">
        <w:rPr>
          <w:rFonts w:eastAsia="Times New Roman"/>
          <w:lang w:bidi="ar-AE"/>
        </w:rPr>
        <w:t xml:space="preserve"> [parmi les hommes] (comme nous l’avons dit ci-dessus) indique, selon les exégèses, l’un des sens suivants : les Arabes nomades ; un hypocrite ; un Juif qui s’est converti à l’islam et qui voulait apostasier ; </w:t>
      </w:r>
      <w:r w:rsidRPr="00B867DF">
        <w:rPr>
          <w:rFonts w:eastAsia="Times New Roman"/>
          <w:i/>
          <w:iCs/>
          <w:lang w:bidi="ar-AE"/>
        </w:rPr>
        <w:t>al-muʾallafa qulūbu-hum</w:t>
      </w:r>
      <w:r w:rsidRPr="00B867DF">
        <w:rPr>
          <w:rFonts w:eastAsia="Times New Roman"/>
          <w:lang w:bidi="ar-AE"/>
        </w:rPr>
        <w:t xml:space="preserve"> [ceux dont les cœurs sont ralliés, à gagner] ; les païens ou les Gentils ; celui qui suit un dogme sans avoir une foi (</w:t>
      </w:r>
      <w:r w:rsidRPr="00B867DF">
        <w:rPr>
          <w:rFonts w:eastAsia="Calibri"/>
        </w:rPr>
        <w:t>Amīn Shaykhū</w:t>
      </w:r>
      <w:r w:rsidRPr="00B867DF">
        <w:rPr>
          <w:rFonts w:eastAsia="Times New Roman"/>
          <w:lang w:bidi="ar-AE"/>
        </w:rPr>
        <w:t>). En général, le sens englobe tous ceux qui ont embrassé l’islam pour leurs intérêts matériels. L’islam les a attaqués sous prétexte qu’ils adoraient Dieu pour des intérêts matériels</w:t>
      </w:r>
      <w:r w:rsidRPr="00B867DF">
        <w:rPr>
          <w:rStyle w:val="Appelnotedebasdep"/>
          <w:lang w:bidi="ar-AE"/>
        </w:rPr>
        <w:footnoteReference w:id="243"/>
      </w:r>
      <w:r w:rsidRPr="00B867DF">
        <w:rPr>
          <w:rFonts w:eastAsia="Times New Roman"/>
          <w:lang w:bidi="ar-AE"/>
        </w:rPr>
        <w:t>.</w:t>
      </w:r>
    </w:p>
    <w:p w14:paraId="60F7E94A" w14:textId="77777777" w:rsidR="00296288" w:rsidRPr="00B867DF" w:rsidRDefault="00296288" w:rsidP="00296288">
      <w:pPr>
        <w:spacing w:line="360" w:lineRule="auto"/>
        <w:jc w:val="both"/>
        <w:rPr>
          <w:rFonts w:eastAsia="Times New Roman"/>
          <w:lang w:bidi="ar-AE"/>
        </w:rPr>
      </w:pPr>
    </w:p>
    <w:p w14:paraId="21BD93A0" w14:textId="77612DC8"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Les exégètes ont donné plusieurs interprétations à l’</w:t>
      </w:r>
      <w:r w:rsidR="00F262F7">
        <w:rPr>
          <w:rFonts w:eastAsia="Times New Roman"/>
          <w:lang w:bidi="ar-AE"/>
        </w:rPr>
        <w:t xml:space="preserve">expression </w:t>
      </w:r>
      <w:r w:rsidRPr="00B867DF">
        <w:rPr>
          <w:rFonts w:eastAsia="Times New Roman"/>
          <w:i/>
          <w:iCs/>
          <w:lang w:bidi="ar-AE"/>
        </w:rPr>
        <w:t>ʿalā ḥarf</w:t>
      </w:r>
      <w:r w:rsidRPr="00B867DF">
        <w:rPr>
          <w:rFonts w:eastAsia="Times New Roman"/>
          <w:lang w:bidi="ar-AE"/>
        </w:rPr>
        <w:t> : dans un doute ; en marge de la religion et non pas au milieu ; comme un hypocrite ; de manière instable ; à condition que ; dans un trouble et une anxiété ; basé sur une croyance sans foi ni crainte. Si du bien (</w:t>
      </w:r>
      <w:r w:rsidRPr="00B867DF">
        <w:rPr>
          <w:rFonts w:eastAsia="Times New Roman"/>
          <w:i/>
          <w:iCs/>
          <w:lang w:bidi="ar-AE"/>
        </w:rPr>
        <w:t>khayr</w:t>
      </w:r>
      <w:r w:rsidRPr="00B867DF">
        <w:rPr>
          <w:rFonts w:eastAsia="Times New Roman"/>
          <w:lang w:bidi="ar-AE"/>
        </w:rPr>
        <w:t>) atteint cette personne de foi faible, il s’en rassure (</w:t>
      </w:r>
      <w:r w:rsidRPr="00B867DF">
        <w:rPr>
          <w:rFonts w:eastAsia="Times New Roman"/>
          <w:i/>
          <w:iCs/>
          <w:lang w:bidi="ar-AE"/>
        </w:rPr>
        <w:t>iṭmaʾanna</w:t>
      </w:r>
      <w:r w:rsidRPr="00B867DF">
        <w:rPr>
          <w:rFonts w:eastAsia="Times New Roman"/>
          <w:lang w:bidi="ar-AE"/>
        </w:rPr>
        <w:t>) ; mais si c’est une épreuve (</w:t>
      </w:r>
      <w:r w:rsidRPr="00B867DF">
        <w:rPr>
          <w:rFonts w:eastAsia="Times New Roman"/>
          <w:i/>
          <w:iCs/>
          <w:lang w:bidi="ar-AE"/>
        </w:rPr>
        <w:t>fitna</w:t>
      </w:r>
      <w:r w:rsidRPr="00B867DF">
        <w:rPr>
          <w:rFonts w:eastAsia="Times New Roman"/>
          <w:lang w:bidi="ar-AE"/>
        </w:rPr>
        <w:t>), il fait volte-face (</w:t>
      </w:r>
      <w:r w:rsidRPr="00B867DF">
        <w:rPr>
          <w:rFonts w:eastAsia="Times New Roman"/>
          <w:i/>
          <w:iCs/>
          <w:lang w:bidi="ar-AE"/>
        </w:rPr>
        <w:t>inqalaba ʿalā wajhihi</w:t>
      </w:r>
      <w:r w:rsidRPr="00B867DF">
        <w:rPr>
          <w:rFonts w:eastAsia="Times New Roman"/>
          <w:lang w:bidi="ar-AE"/>
        </w:rPr>
        <w:t>).</w:t>
      </w:r>
    </w:p>
    <w:p w14:paraId="00D52F81" w14:textId="77777777" w:rsidR="00296288" w:rsidRPr="00B867DF" w:rsidRDefault="00296288" w:rsidP="00296288">
      <w:pPr>
        <w:spacing w:line="360" w:lineRule="auto"/>
        <w:ind w:firstLine="708"/>
        <w:jc w:val="both"/>
        <w:rPr>
          <w:rFonts w:eastAsia="Times New Roman"/>
          <w:lang w:bidi="ar-AE"/>
        </w:rPr>
      </w:pPr>
    </w:p>
    <w:p w14:paraId="0D8C1B31" w14:textId="52CEDA10"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Selon l</w:t>
      </w:r>
      <w:r w:rsidR="003930FA">
        <w:rPr>
          <w:rFonts w:eastAsia="Times New Roman"/>
          <w:lang w:bidi="ar-AE"/>
        </w:rPr>
        <w:t xml:space="preserve">es exégètes, le mot générique </w:t>
      </w:r>
      <w:r w:rsidRPr="00B867DF">
        <w:rPr>
          <w:rFonts w:eastAsia="Times New Roman"/>
          <w:i/>
          <w:iCs/>
          <w:lang w:bidi="ar-AE"/>
        </w:rPr>
        <w:t>khayr</w:t>
      </w:r>
      <w:r w:rsidR="00F262F7">
        <w:rPr>
          <w:rFonts w:eastAsia="Times New Roman"/>
          <w:lang w:bidi="ar-AE"/>
        </w:rPr>
        <w:t xml:space="preserve"> [bien] (l’antonyme de </w:t>
      </w:r>
      <w:r w:rsidRPr="00B867DF">
        <w:rPr>
          <w:rFonts w:eastAsia="Times New Roman"/>
          <w:i/>
          <w:iCs/>
          <w:lang w:bidi="ar-AE"/>
        </w:rPr>
        <w:t>sharr</w:t>
      </w:r>
      <w:r w:rsidRPr="00B867DF">
        <w:rPr>
          <w:rFonts w:eastAsia="Times New Roman"/>
          <w:lang w:bidi="ar-AE"/>
        </w:rPr>
        <w:t xml:space="preserve"> [mal]) peut dénoter :</w:t>
      </w:r>
    </w:p>
    <w:p w14:paraId="52FBEA89" w14:textId="77777777" w:rsidR="00296288" w:rsidRPr="00B867DF" w:rsidRDefault="00296288" w:rsidP="007640DC">
      <w:pPr>
        <w:pStyle w:val="Paragraphedeliste"/>
        <w:numPr>
          <w:ilvl w:val="0"/>
          <w:numId w:val="27"/>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aisance, fortune, prospérité, bonheur, bien-être, opulence ;</w:t>
      </w:r>
    </w:p>
    <w:p w14:paraId="256176E8" w14:textId="77777777" w:rsidR="00296288" w:rsidRPr="00B867DF" w:rsidRDefault="00296288" w:rsidP="007640DC">
      <w:pPr>
        <w:pStyle w:val="Paragraphedeliste"/>
        <w:numPr>
          <w:ilvl w:val="0"/>
          <w:numId w:val="27"/>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bonne santé ;</w:t>
      </w:r>
    </w:p>
    <w:p w14:paraId="271B5815" w14:textId="77777777" w:rsidR="00296288" w:rsidRPr="00B867DF" w:rsidRDefault="00296288" w:rsidP="007640DC">
      <w:pPr>
        <w:pStyle w:val="Paragraphedeliste"/>
        <w:numPr>
          <w:ilvl w:val="0"/>
          <w:numId w:val="27"/>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avoir beaucoup d’enfants ;</w:t>
      </w:r>
    </w:p>
    <w:p w14:paraId="5F0EE123" w14:textId="77777777" w:rsidR="00296288" w:rsidRPr="00B867DF" w:rsidRDefault="00296288" w:rsidP="007640DC">
      <w:pPr>
        <w:pStyle w:val="Paragraphedeliste"/>
        <w:numPr>
          <w:ilvl w:val="0"/>
          <w:numId w:val="27"/>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richesse de la terre (</w:t>
      </w:r>
      <w:r w:rsidRPr="00B867DF">
        <w:rPr>
          <w:rFonts w:ascii="Times New Roman" w:hAnsi="Times New Roman" w:cs="Times New Roman"/>
          <w:i/>
          <w:iCs/>
          <w:sz w:val="24"/>
          <w:szCs w:val="24"/>
          <w:lang w:eastAsia="fr-FR" w:bidi="ar-AE"/>
        </w:rPr>
        <w:t>khi</w:t>
      </w:r>
      <w:r w:rsidRPr="00B867DF">
        <w:rPr>
          <w:rFonts w:ascii="Times New Roman" w:hAnsi="Times New Roman" w:cs="Times New Roman"/>
          <w:i/>
          <w:iCs/>
          <w:sz w:val="24"/>
          <w:szCs w:val="24"/>
        </w:rPr>
        <w:t>ṣ</w:t>
      </w:r>
      <w:r w:rsidRPr="00B867DF">
        <w:rPr>
          <w:rFonts w:ascii="Times New Roman" w:hAnsi="Times New Roman" w:cs="Times New Roman"/>
          <w:i/>
          <w:iCs/>
          <w:sz w:val="24"/>
          <w:szCs w:val="24"/>
          <w:lang w:eastAsia="fr-FR" w:bidi="ar-AE"/>
        </w:rPr>
        <w:t>b</w:t>
      </w:r>
      <w:r w:rsidRPr="00B867DF">
        <w:rPr>
          <w:rFonts w:ascii="Times New Roman" w:hAnsi="Times New Roman" w:cs="Times New Roman"/>
          <w:sz w:val="24"/>
          <w:szCs w:val="24"/>
          <w:lang w:eastAsia="fr-FR" w:bidi="ar-AE"/>
        </w:rPr>
        <w:t>) ;</w:t>
      </w:r>
    </w:p>
    <w:p w14:paraId="58DFEECE" w14:textId="77777777" w:rsidR="00296288" w:rsidRPr="00B867DF" w:rsidRDefault="00296288" w:rsidP="007640DC">
      <w:pPr>
        <w:pStyle w:val="Paragraphedeliste"/>
        <w:numPr>
          <w:ilvl w:val="0"/>
          <w:numId w:val="27"/>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lastRenderedPageBreak/>
        <w:t>le fait de mener une vie vertueuse dans l’ici-bas (</w:t>
      </w:r>
      <w:r w:rsidRPr="00B867DF">
        <w:rPr>
          <w:rFonts w:ascii="Times New Roman" w:hAnsi="Times New Roman" w:cs="Times New Roman"/>
          <w:sz w:val="24"/>
          <w:szCs w:val="24"/>
        </w:rPr>
        <w:t>ṣa</w:t>
      </w:r>
      <w:r w:rsidRPr="00B867DF">
        <w:rPr>
          <w:rFonts w:ascii="Times New Roman" w:hAnsi="Times New Roman" w:cs="Times New Roman"/>
          <w:i/>
          <w:iCs/>
          <w:sz w:val="24"/>
          <w:szCs w:val="24"/>
        </w:rPr>
        <w:t xml:space="preserve">luḥat dunyā-hu </w:t>
      </w:r>
      <w:r w:rsidRPr="00B867DF">
        <w:rPr>
          <w:rFonts w:ascii="Times New Roman" w:hAnsi="Times New Roman" w:cs="Times New Roman"/>
          <w:sz w:val="24"/>
          <w:szCs w:val="24"/>
          <w:lang w:eastAsia="fr-FR" w:bidi="ar-AE"/>
        </w:rPr>
        <w:t>[celui dont la vie d’ici-bas est probe]</w:t>
      </w:r>
      <w:r w:rsidRPr="00B867DF">
        <w:rPr>
          <w:rFonts w:ascii="Times New Roman" w:hAnsi="Times New Roman" w:cs="Times New Roman"/>
          <w:sz w:val="24"/>
          <w:szCs w:val="24"/>
        </w:rPr>
        <w:t>).</w:t>
      </w:r>
    </w:p>
    <w:p w14:paraId="21D92EAD" w14:textId="77777777" w:rsidR="00296288" w:rsidRPr="00B867DF" w:rsidRDefault="00296288" w:rsidP="00296288">
      <w:pPr>
        <w:spacing w:line="360" w:lineRule="auto"/>
        <w:ind w:firstLine="360"/>
        <w:jc w:val="both"/>
        <w:rPr>
          <w:rFonts w:eastAsia="Times New Roman"/>
          <w:lang w:bidi="ar-AE"/>
        </w:rPr>
      </w:pPr>
    </w:p>
    <w:p w14:paraId="23E07486" w14:textId="77777777" w:rsidR="00296288" w:rsidRPr="00B867DF" w:rsidRDefault="00296288" w:rsidP="00296288">
      <w:pPr>
        <w:spacing w:line="360" w:lineRule="auto"/>
        <w:ind w:firstLine="360"/>
        <w:jc w:val="both"/>
        <w:rPr>
          <w:rFonts w:eastAsia="Times New Roman"/>
          <w:lang w:bidi="ar-AE"/>
        </w:rPr>
      </w:pPr>
      <w:r w:rsidRPr="00B867DF">
        <w:rPr>
          <w:rFonts w:eastAsia="Times New Roman"/>
          <w:lang w:bidi="ar-AE"/>
        </w:rPr>
        <w:t xml:space="preserve">Le verbe </w:t>
      </w:r>
      <w:r w:rsidRPr="00B867DF">
        <w:rPr>
          <w:rFonts w:eastAsia="Times New Roman"/>
          <w:i/>
          <w:iCs/>
          <w:lang w:bidi="ar-AE"/>
        </w:rPr>
        <w:t>iṭmaʾanna</w:t>
      </w:r>
      <w:r w:rsidRPr="00B867DF">
        <w:rPr>
          <w:rFonts w:eastAsia="Times New Roman"/>
          <w:lang w:bidi="ar-AE"/>
        </w:rPr>
        <w:t xml:space="preserve"> [être tranquille] a été interprété par :</w:t>
      </w:r>
    </w:p>
    <w:p w14:paraId="74E2EBB4" w14:textId="77777777" w:rsidR="00296288" w:rsidRPr="00B867DF" w:rsidRDefault="00296288" w:rsidP="007640DC">
      <w:pPr>
        <w:pStyle w:val="Paragraphedeliste"/>
        <w:numPr>
          <w:ilvl w:val="0"/>
          <w:numId w:val="28"/>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l’idée de s’enraciner, se raffermir dans l’islam, ou</w:t>
      </w:r>
    </w:p>
    <w:p w14:paraId="40794CFB" w14:textId="77777777" w:rsidR="00296288" w:rsidRPr="00B867DF" w:rsidRDefault="00296288" w:rsidP="007640DC">
      <w:pPr>
        <w:pStyle w:val="Paragraphedeliste"/>
        <w:numPr>
          <w:ilvl w:val="0"/>
          <w:numId w:val="28"/>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l’idée d’avoir le cœur rassuré par le bien qui l’atteint.</w:t>
      </w:r>
    </w:p>
    <w:p w14:paraId="088B04F1" w14:textId="77777777" w:rsidR="00296288" w:rsidRPr="00B867DF" w:rsidRDefault="00296288" w:rsidP="00296288">
      <w:pPr>
        <w:spacing w:line="360" w:lineRule="auto"/>
        <w:ind w:firstLine="360"/>
        <w:jc w:val="both"/>
        <w:rPr>
          <w:rFonts w:eastAsia="Times New Roman"/>
          <w:lang w:bidi="ar-AE"/>
        </w:rPr>
      </w:pPr>
      <w:r w:rsidRPr="00B867DF">
        <w:rPr>
          <w:rFonts w:eastAsia="Times New Roman"/>
          <w:lang w:bidi="ar-AE"/>
        </w:rPr>
        <w:t xml:space="preserve">Par contre, le mot </w:t>
      </w:r>
      <w:r w:rsidRPr="00B867DF">
        <w:rPr>
          <w:rFonts w:eastAsia="Times New Roman"/>
          <w:i/>
          <w:iCs/>
          <w:lang w:bidi="ar-AE"/>
        </w:rPr>
        <w:t>fitna</w:t>
      </w:r>
      <w:r w:rsidRPr="00B867DF">
        <w:rPr>
          <w:rFonts w:eastAsia="Times New Roman"/>
          <w:lang w:bidi="ar-AE"/>
        </w:rPr>
        <w:t xml:space="preserve"> [séduction] (qui n’est pas l’antonyme du mot </w:t>
      </w:r>
      <w:r w:rsidRPr="00B867DF">
        <w:rPr>
          <w:rFonts w:eastAsia="Times New Roman"/>
          <w:i/>
          <w:iCs/>
          <w:lang w:bidi="ar-AE"/>
        </w:rPr>
        <w:t>khayr</w:t>
      </w:r>
      <w:r w:rsidRPr="00B867DF">
        <w:rPr>
          <w:rFonts w:eastAsia="Times New Roman"/>
          <w:lang w:bidi="ar-AE"/>
        </w:rPr>
        <w:t>, mais qui est d’ailleurs utilisé ici c</w:t>
      </w:r>
      <w:r>
        <w:rPr>
          <w:rFonts w:eastAsia="Times New Roman"/>
          <w:lang w:bidi="ar-AE"/>
        </w:rPr>
        <w:t xml:space="preserve">omme antonyme) signifierait : 1) </w:t>
      </w:r>
      <w:r w:rsidRPr="00B867DF">
        <w:rPr>
          <w:rFonts w:eastAsia="Times New Roman"/>
          <w:lang w:bidi="ar-AE"/>
        </w:rPr>
        <w:t>le malheur ; 2</w:t>
      </w:r>
      <w:r>
        <w:rPr>
          <w:rFonts w:eastAsia="Times New Roman"/>
          <w:lang w:bidi="ar-AE"/>
        </w:rPr>
        <w:t xml:space="preserve">) </w:t>
      </w:r>
      <w:r w:rsidRPr="00B867DF">
        <w:rPr>
          <w:rFonts w:eastAsia="Times New Roman"/>
          <w:lang w:bidi="ar-AE"/>
        </w:rPr>
        <w:t>la douleur physique ou psychologique ; 3</w:t>
      </w:r>
      <w:r>
        <w:rPr>
          <w:rFonts w:eastAsia="Times New Roman"/>
          <w:lang w:bidi="ar-AE"/>
        </w:rPr>
        <w:t xml:space="preserve">) </w:t>
      </w:r>
      <w:r w:rsidRPr="00B867DF">
        <w:rPr>
          <w:rFonts w:eastAsia="Times New Roman"/>
          <w:lang w:bidi="ar-AE"/>
        </w:rPr>
        <w:t>le fait d’endurer des privations (</w:t>
      </w:r>
      <w:r w:rsidRPr="00B867DF">
        <w:rPr>
          <w:rFonts w:eastAsia="Times New Roman"/>
          <w:i/>
          <w:iCs/>
          <w:lang w:bidi="ar-AE"/>
        </w:rPr>
        <w:t>ḍīq al-ʿaysh</w:t>
      </w:r>
      <w:r>
        <w:rPr>
          <w:rFonts w:eastAsia="Times New Roman"/>
          <w:lang w:bidi="ar-AE"/>
        </w:rPr>
        <w:t xml:space="preserve">) ; 4) la maladie ; 5) </w:t>
      </w:r>
      <w:r w:rsidRPr="00B867DF">
        <w:rPr>
          <w:rFonts w:eastAsia="Times New Roman"/>
          <w:lang w:bidi="ar-AE"/>
        </w:rPr>
        <w:t>le mal.</w:t>
      </w:r>
    </w:p>
    <w:p w14:paraId="5849372A" w14:textId="77777777" w:rsidR="00296288" w:rsidRPr="00B867DF" w:rsidRDefault="00296288" w:rsidP="00296288">
      <w:pPr>
        <w:spacing w:line="360" w:lineRule="auto"/>
        <w:ind w:firstLine="360"/>
        <w:jc w:val="both"/>
        <w:rPr>
          <w:rFonts w:eastAsia="Times New Roman"/>
          <w:lang w:bidi="ar-AE"/>
        </w:rPr>
      </w:pPr>
    </w:p>
    <w:p w14:paraId="0BD62725" w14:textId="35B4F343" w:rsidR="00296288" w:rsidRPr="00B867DF" w:rsidRDefault="00F262F7" w:rsidP="00296288">
      <w:pPr>
        <w:spacing w:line="360" w:lineRule="auto"/>
        <w:ind w:firstLine="360"/>
        <w:jc w:val="both"/>
        <w:rPr>
          <w:rFonts w:eastAsia="Times New Roman"/>
          <w:lang w:bidi="ar-AE"/>
        </w:rPr>
      </w:pPr>
      <w:r>
        <w:rPr>
          <w:rFonts w:eastAsia="Times New Roman"/>
          <w:lang w:bidi="ar-AE"/>
        </w:rPr>
        <w:t xml:space="preserve">Le verbe intransitif </w:t>
      </w:r>
      <w:r w:rsidR="00296288" w:rsidRPr="00B867DF">
        <w:rPr>
          <w:rFonts w:eastAsia="Times New Roman"/>
          <w:i/>
          <w:iCs/>
          <w:lang w:bidi="ar-AE"/>
        </w:rPr>
        <w:t xml:space="preserve">inqalaba </w:t>
      </w:r>
      <w:r w:rsidR="00296288" w:rsidRPr="00B867DF">
        <w:rPr>
          <w:rFonts w:eastAsia="Times New Roman"/>
          <w:lang w:bidi="ar-AE"/>
        </w:rPr>
        <w:t>[</w:t>
      </w:r>
      <w:r w:rsidR="00296288" w:rsidRPr="00B867DF">
        <w:rPr>
          <w:rFonts w:eastAsia="Times New Roman"/>
          <w:i/>
          <w:iCs/>
          <w:lang w:bidi="ar-AE"/>
        </w:rPr>
        <w:t>ʿalā wajhi-hi</w:t>
      </w:r>
      <w:r w:rsidR="00296288" w:rsidRPr="00B867DF">
        <w:rPr>
          <w:rFonts w:eastAsia="Times New Roman"/>
          <w:lang w:bidi="ar-AE"/>
        </w:rPr>
        <w:t xml:space="preserve">] signifie : 1-apostasier ; 2-passer d’un état à un autre ; 3-détracter la religion après l’avoir exaltée. </w:t>
      </w:r>
    </w:p>
    <w:p w14:paraId="31A86499" w14:textId="77777777" w:rsidR="00296288" w:rsidRPr="00B867DF" w:rsidRDefault="00296288" w:rsidP="00296288">
      <w:pPr>
        <w:spacing w:line="360" w:lineRule="auto"/>
        <w:ind w:firstLine="360"/>
        <w:jc w:val="both"/>
        <w:rPr>
          <w:rFonts w:eastAsia="Times New Roman"/>
          <w:lang w:bidi="ar-AE"/>
        </w:rPr>
      </w:pPr>
    </w:p>
    <w:p w14:paraId="2428173A" w14:textId="77777777" w:rsidR="00296288" w:rsidRPr="00B867DF" w:rsidRDefault="00296288" w:rsidP="00296288">
      <w:pPr>
        <w:spacing w:line="360" w:lineRule="auto"/>
        <w:ind w:firstLine="360"/>
        <w:jc w:val="both"/>
        <w:rPr>
          <w:rFonts w:eastAsia="Times New Roman"/>
          <w:lang w:bidi="ar-AE"/>
        </w:rPr>
      </w:pPr>
      <w:r w:rsidRPr="00B867DF">
        <w:rPr>
          <w:rFonts w:eastAsia="Times New Roman"/>
          <w:lang w:bidi="ar-AE"/>
        </w:rPr>
        <w:t>Dans la phrase « </w:t>
      </w:r>
      <w:r>
        <w:rPr>
          <w:rFonts w:eastAsia="Times New Roman" w:hint="cs"/>
          <w:rtl/>
          <w:lang w:bidi="ar-AE"/>
        </w:rPr>
        <w:t>يدعو من دون الله ما لا يضره ولا ينفعه</w:t>
      </w:r>
      <w:r>
        <w:rPr>
          <w:rFonts w:eastAsia="Times New Roman"/>
          <w:lang w:bidi="ar-AE"/>
        </w:rPr>
        <w:t> »</w:t>
      </w:r>
      <w:r w:rsidRPr="00B867DF">
        <w:rPr>
          <w:rFonts w:eastAsia="Times New Roman"/>
          <w:lang w:bidi="ar-AE"/>
        </w:rPr>
        <w:t xml:space="preserve"> [Il appelle hors de Dieu ce qui ne lui nuit ni lui profite] (v. 12), on ne sait pas à qui renvoient exactement le sujet et le COD. On ne sait pas </w:t>
      </w:r>
      <w:r w:rsidRPr="00B867DF">
        <w:rPr>
          <w:rFonts w:eastAsia="Times New Roman"/>
          <w:i/>
          <w:iCs/>
          <w:lang w:bidi="ar-AE"/>
        </w:rPr>
        <w:t>qui</w:t>
      </w:r>
      <w:r w:rsidRPr="00B867DF">
        <w:rPr>
          <w:rFonts w:eastAsia="Times New Roman"/>
          <w:lang w:bidi="ar-AE"/>
        </w:rPr>
        <w:t xml:space="preserve"> appelle </w:t>
      </w:r>
      <w:r w:rsidRPr="00B867DF">
        <w:rPr>
          <w:rFonts w:eastAsia="Times New Roman"/>
          <w:i/>
          <w:iCs/>
          <w:lang w:bidi="ar-AE"/>
        </w:rPr>
        <w:t>qui </w:t>
      </w:r>
      <w:r w:rsidRPr="00B867DF">
        <w:rPr>
          <w:rFonts w:eastAsia="Times New Roman"/>
          <w:lang w:bidi="ar-AE"/>
        </w:rPr>
        <w:t xml:space="preserve">? </w:t>
      </w:r>
      <w:r w:rsidRPr="00B867DF">
        <w:rPr>
          <w:rFonts w:eastAsia="Times New Roman"/>
          <w:i/>
          <w:iCs/>
          <w:lang w:bidi="ar-AE"/>
        </w:rPr>
        <w:t>Quelqu’un parmi les hommes</w:t>
      </w:r>
      <w:r w:rsidRPr="00B867DF">
        <w:rPr>
          <w:rFonts w:eastAsia="Times New Roman"/>
          <w:lang w:bidi="ar-AE"/>
        </w:rPr>
        <w:t xml:space="preserve"> appelle hors de Dieu </w:t>
      </w:r>
      <w:r>
        <w:rPr>
          <w:rFonts w:eastAsia="Times New Roman"/>
          <w:i/>
          <w:iCs/>
          <w:lang w:bidi="ar-AE"/>
        </w:rPr>
        <w:t>ce</w:t>
      </w:r>
      <w:r w:rsidRPr="00B867DF">
        <w:rPr>
          <w:rFonts w:eastAsia="Times New Roman"/>
          <w:i/>
          <w:iCs/>
          <w:lang w:bidi="ar-AE"/>
        </w:rPr>
        <w:t xml:space="preserve"> qui ne peut ni lui nuire ni lui profiter</w:t>
      </w:r>
      <w:r w:rsidRPr="00B867DF">
        <w:rPr>
          <w:rFonts w:eastAsia="Times New Roman"/>
          <w:lang w:bidi="ar-AE"/>
        </w:rPr>
        <w:t>. Mais qui est cet autre ? Les exégètes pré</w:t>
      </w:r>
      <w:r>
        <w:rPr>
          <w:rFonts w:eastAsia="Times New Roman"/>
          <w:lang w:bidi="ar-AE"/>
        </w:rPr>
        <w:t xml:space="preserve">cisent que le COD peut être : 1) les idoles ; 2) </w:t>
      </w:r>
      <w:r w:rsidRPr="00B867DF">
        <w:rPr>
          <w:rFonts w:eastAsia="Times New Roman"/>
          <w:lang w:bidi="ar-AE"/>
        </w:rPr>
        <w:t>les chefs païens ; 3</w:t>
      </w:r>
      <w:r>
        <w:rPr>
          <w:rFonts w:eastAsia="Times New Roman"/>
          <w:lang w:bidi="ar-AE"/>
        </w:rPr>
        <w:t xml:space="preserve">) </w:t>
      </w:r>
      <w:r w:rsidRPr="00B867DF">
        <w:rPr>
          <w:rFonts w:eastAsia="Times New Roman"/>
          <w:lang w:bidi="ar-AE"/>
        </w:rPr>
        <w:t>n’importe quelle créature (il faut donc appeler ou invoquer le créateur seulement) ; 4</w:t>
      </w:r>
      <w:r>
        <w:rPr>
          <w:rFonts w:eastAsia="Times New Roman"/>
          <w:lang w:bidi="ar-AE"/>
        </w:rPr>
        <w:t xml:space="preserve">) </w:t>
      </w:r>
      <w:r w:rsidRPr="00B867DF">
        <w:rPr>
          <w:rFonts w:eastAsia="Times New Roman"/>
          <w:lang w:bidi="ar-AE"/>
        </w:rPr>
        <w:t>le globe terrestre (en tant que gigantesque idole) (</w:t>
      </w:r>
      <w:r w:rsidRPr="00B867DF">
        <w:rPr>
          <w:rFonts w:eastAsia="Calibri"/>
        </w:rPr>
        <w:t>Amīn Shaykhū</w:t>
      </w:r>
      <w:r w:rsidRPr="00B867DF">
        <w:rPr>
          <w:rFonts w:eastAsia="Times New Roman"/>
          <w:lang w:bidi="ar-AE"/>
        </w:rPr>
        <w:t>).</w:t>
      </w:r>
    </w:p>
    <w:p w14:paraId="310FD726" w14:textId="77777777" w:rsidR="00296288" w:rsidRPr="00B867DF" w:rsidRDefault="00296288" w:rsidP="00296288">
      <w:pPr>
        <w:spacing w:line="360" w:lineRule="auto"/>
        <w:jc w:val="both"/>
        <w:rPr>
          <w:rFonts w:eastAsia="Times New Roman"/>
          <w:lang w:bidi="ar-AE"/>
        </w:rPr>
      </w:pPr>
    </w:p>
    <w:p w14:paraId="47BDA6CB" w14:textId="116AD09D" w:rsidR="00296288" w:rsidRPr="00B867DF" w:rsidRDefault="00296288" w:rsidP="00296288">
      <w:pPr>
        <w:spacing w:line="360" w:lineRule="auto"/>
        <w:ind w:firstLine="708"/>
        <w:jc w:val="both"/>
        <w:rPr>
          <w:rFonts w:eastAsia="Times New Roman"/>
        </w:rPr>
      </w:pPr>
      <w:r w:rsidRPr="00B867DF">
        <w:rPr>
          <w:rFonts w:eastAsia="Times New Roman"/>
          <w:lang w:bidi="ar-AE"/>
        </w:rPr>
        <w:t xml:space="preserve">La plupart des exégètes n’expliquent </w:t>
      </w:r>
      <w:r w:rsidR="00F262F7">
        <w:rPr>
          <w:rFonts w:eastAsia="Times New Roman"/>
          <w:lang w:bidi="ar-AE"/>
        </w:rPr>
        <w:t xml:space="preserve">pas la signification du verbe </w:t>
      </w:r>
      <w:r w:rsidRPr="00B867DF">
        <w:rPr>
          <w:rFonts w:eastAsia="Times New Roman"/>
          <w:i/>
          <w:iCs/>
          <w:lang w:bidi="ar-AE"/>
        </w:rPr>
        <w:t>yadʿū</w:t>
      </w:r>
      <w:r w:rsidRPr="00B867DF">
        <w:rPr>
          <w:rFonts w:eastAsia="Times New Roman"/>
          <w:lang w:bidi="ar-AE"/>
        </w:rPr>
        <w:t xml:space="preserve"> (v. 12 &amp; 13) comme s’il était évident. Ibn Kathīr souligne qu’il s’agit de </w:t>
      </w:r>
      <w:r w:rsidRPr="00B867DF">
        <w:rPr>
          <w:rFonts w:eastAsia="Times New Roman"/>
          <w:i/>
          <w:iCs/>
          <w:lang w:bidi="ar-AE"/>
        </w:rPr>
        <w:t>yastaghīth</w:t>
      </w:r>
      <w:r w:rsidRPr="00B867DF">
        <w:rPr>
          <w:rFonts w:eastAsia="Times New Roman"/>
          <w:lang w:bidi="ar-AE"/>
        </w:rPr>
        <w:t xml:space="preserve"> (appeler au secours), </w:t>
      </w:r>
      <w:r w:rsidRPr="00B867DF">
        <w:rPr>
          <w:rFonts w:eastAsia="Times New Roman"/>
          <w:i/>
          <w:iCs/>
          <w:lang w:bidi="ar-AE"/>
        </w:rPr>
        <w:t>yastan</w:t>
      </w:r>
      <w:r w:rsidRPr="00B867DF">
        <w:rPr>
          <w:rFonts w:eastAsia="Times New Roman"/>
          <w:i/>
          <w:iCs/>
        </w:rPr>
        <w:t>ṣir</w:t>
      </w:r>
      <w:r w:rsidRPr="00B867DF">
        <w:rPr>
          <w:rFonts w:eastAsia="Times New Roman"/>
        </w:rPr>
        <w:t xml:space="preserve"> (prendre pour défenseur) et </w:t>
      </w:r>
      <w:r w:rsidRPr="00B867DF">
        <w:rPr>
          <w:rFonts w:eastAsia="Times New Roman"/>
          <w:i/>
          <w:iCs/>
        </w:rPr>
        <w:t>yastarziq</w:t>
      </w:r>
      <w:r w:rsidRPr="00B867DF">
        <w:rPr>
          <w:rFonts w:eastAsia="Times New Roman"/>
        </w:rPr>
        <w:t xml:space="preserve"> (demander des moyens d’existence). Cependant, al-Qurṭubī dit que </w:t>
      </w:r>
      <w:r w:rsidRPr="00B867DF">
        <w:rPr>
          <w:rFonts w:eastAsia="Times New Roman"/>
          <w:i/>
          <w:iCs/>
          <w:lang w:bidi="ar-AE"/>
        </w:rPr>
        <w:t>yadʿū</w:t>
      </w:r>
      <w:r w:rsidRPr="00B867DF">
        <w:rPr>
          <w:rFonts w:eastAsia="Times New Roman"/>
          <w:lang w:bidi="ar-AE"/>
        </w:rPr>
        <w:t xml:space="preserve"> signifie : « revenir à la mécréance et adorer l’idole » (« </w:t>
      </w:r>
      <w:r>
        <w:rPr>
          <w:rFonts w:eastAsia="Times New Roman" w:hint="cs"/>
          <w:rtl/>
          <w:lang w:bidi="ar-AE"/>
        </w:rPr>
        <w:t>يرجع إلى الكفر ويعبد الأصنام</w:t>
      </w:r>
      <w:r w:rsidRPr="00B867DF">
        <w:rPr>
          <w:rFonts w:eastAsia="Times New Roman"/>
        </w:rPr>
        <w:t> »).</w:t>
      </w:r>
    </w:p>
    <w:p w14:paraId="51B4995B" w14:textId="77777777" w:rsidR="00296288" w:rsidRPr="00AF4FEA" w:rsidRDefault="00296288" w:rsidP="00296288">
      <w:pPr>
        <w:spacing w:line="360" w:lineRule="auto"/>
        <w:ind w:firstLine="708"/>
        <w:jc w:val="both"/>
        <w:rPr>
          <w:rFonts w:eastAsia="Times New Roman"/>
          <w:lang w:bidi="ar-AE"/>
        </w:rPr>
      </w:pPr>
    </w:p>
    <w:p w14:paraId="186C0935" w14:textId="77777777" w:rsidR="00296288" w:rsidRPr="0058121D" w:rsidRDefault="00296288" w:rsidP="00296288">
      <w:pPr>
        <w:spacing w:line="360" w:lineRule="auto"/>
        <w:ind w:firstLine="708"/>
        <w:jc w:val="both"/>
        <w:rPr>
          <w:rFonts w:eastAsia="Times New Roman"/>
          <w:lang w:bidi="ar-AE"/>
        </w:rPr>
      </w:pPr>
      <w:r w:rsidRPr="00AF4FEA">
        <w:rPr>
          <w:rFonts w:eastAsia="Times New Roman"/>
          <w:lang w:bidi="ar-AE"/>
        </w:rPr>
        <w:t>Le verset 13 dit que cet individu n’appelle pas (ou n’adore pas) seulement ce qui ne lui nuit ni lui profite, mais il appelle ce dont la nuisance est plus proche que le profit. Mais comment et pourquoi cette chose que cette personne appelle est-elle plus nuisible que bénéfique ? Quel type de préjudice, de mal apporte cette chose que le Coran ne nomme pas ?</w:t>
      </w:r>
      <w:r w:rsidRPr="00AF4FEA">
        <w:rPr>
          <w:rFonts w:ascii="Calibri" w:eastAsia="Times New Roman" w:hAnsi="Calibri" w:cs="Arial"/>
        </w:rPr>
        <w:t xml:space="preserve"> </w:t>
      </w:r>
      <w:r w:rsidRPr="00AF4FEA">
        <w:rPr>
          <w:rFonts w:eastAsia="Times New Roman"/>
          <w:lang w:bidi="ar-AE"/>
        </w:rPr>
        <w:t xml:space="preserve">Si les exégètes disent qu’il s’agit des idoles, des chefs païens, de n’importe quelle créature ou du globe terrestre, ils </w:t>
      </w:r>
      <w:r w:rsidRPr="00AF4FEA">
        <w:rPr>
          <w:rFonts w:eastAsia="Times New Roman"/>
          <w:lang w:bidi="ar-AE"/>
        </w:rPr>
        <w:lastRenderedPageBreak/>
        <w:t xml:space="preserve">n’expliquent pas comment une idole, un être humain ou la terre peuvent être nuisible. S’ils répondent que la nuisance consiste dans le fait qu’invoquer quelqu’un d’autre que Dieu conduira à l’Enfer, cette réponse est d’un côté contraire au sens même du verset qui insiste sur l’idée que la nuisance est plus </w:t>
      </w:r>
      <w:r w:rsidRPr="00AF4FEA">
        <w:rPr>
          <w:rFonts w:eastAsia="Times New Roman"/>
          <w:i/>
          <w:iCs/>
          <w:lang w:bidi="ar-AE"/>
        </w:rPr>
        <w:t>proche</w:t>
      </w:r>
      <w:r w:rsidRPr="00AF4FEA">
        <w:rPr>
          <w:rFonts w:eastAsia="Times New Roman"/>
          <w:lang w:bidi="ar-AE"/>
        </w:rPr>
        <w:t xml:space="preserve"> que le profit, c.à.d. dans </w:t>
      </w:r>
      <w:r w:rsidRPr="00AF4FEA">
        <w:rPr>
          <w:rFonts w:eastAsia="Times New Roman"/>
          <w:i/>
          <w:iCs/>
          <w:lang w:bidi="ar-AE"/>
        </w:rPr>
        <w:t>l’ici-bas</w:t>
      </w:r>
      <w:r w:rsidRPr="00AF4FEA">
        <w:rPr>
          <w:rFonts w:eastAsia="Times New Roman"/>
          <w:lang w:bidi="ar-AE"/>
        </w:rPr>
        <w:t>. D’un autre</w:t>
      </w:r>
      <w:r w:rsidRPr="00B867DF">
        <w:rPr>
          <w:rFonts w:eastAsia="Times New Roman"/>
          <w:lang w:bidi="ar-AE"/>
        </w:rPr>
        <w:t xml:space="preserve"> côté, si un croyant a besoin d’aide, il est tout à fait normal et logique qu’il invoque </w:t>
      </w:r>
      <w:r w:rsidRPr="0058121D">
        <w:rPr>
          <w:rFonts w:eastAsia="Times New Roman"/>
          <w:lang w:bidi="ar-AE"/>
        </w:rPr>
        <w:t>un être humain en chair et en os non pas Dieu.</w:t>
      </w:r>
    </w:p>
    <w:p w14:paraId="03AA053B" w14:textId="77777777" w:rsidR="00296288" w:rsidRPr="002B5C8E" w:rsidRDefault="00296288" w:rsidP="00296288">
      <w:pPr>
        <w:spacing w:line="360" w:lineRule="auto"/>
        <w:ind w:firstLine="708"/>
        <w:jc w:val="both"/>
        <w:rPr>
          <w:rFonts w:eastAsia="Times New Roman"/>
          <w:lang w:bidi="ar-AE"/>
        </w:rPr>
      </w:pPr>
    </w:p>
    <w:p w14:paraId="2C976D25" w14:textId="77777777" w:rsidR="00296288" w:rsidRPr="00B867DF" w:rsidRDefault="00296288" w:rsidP="00296288">
      <w:pPr>
        <w:spacing w:line="360" w:lineRule="auto"/>
        <w:ind w:firstLine="708"/>
        <w:jc w:val="both"/>
        <w:rPr>
          <w:rFonts w:eastAsia="Times New Roman"/>
          <w:lang w:bidi="ar-AE"/>
        </w:rPr>
      </w:pPr>
      <w:r w:rsidRPr="002B5C8E">
        <w:rPr>
          <w:rFonts w:eastAsia="Times New Roman"/>
          <w:lang w:bidi="ar-AE"/>
        </w:rPr>
        <w:t>Il semble que l’explication la plus logique serait que le Coran voulait changer l’équilibre des pouvoirs. Aussi a-t-il demandé à la communauté linguistique arabe, pour unifier la culture et la religion, d’arrêter leur allégeance au panthéon mecquois polythéiste</w:t>
      </w:r>
      <w:r w:rsidRPr="00B867DF">
        <w:rPr>
          <w:rFonts w:eastAsia="Times New Roman"/>
          <w:lang w:bidi="ar-AE"/>
        </w:rPr>
        <w:t xml:space="preserve"> afin de se diriger et se réunir autour d’une seule divinité universelle et générale (καθολικός, </w:t>
      </w:r>
      <w:r w:rsidRPr="00B867DF">
        <w:rPr>
          <w:rFonts w:eastAsia="Times New Roman"/>
          <w:i/>
          <w:iCs/>
          <w:lang w:bidi="ar-AE"/>
        </w:rPr>
        <w:t>katholikós</w:t>
      </w:r>
      <w:r w:rsidRPr="00B867DF">
        <w:rPr>
          <w:rFonts w:eastAsia="Times New Roman"/>
          <w:lang w:bidi="ar-AE"/>
        </w:rPr>
        <w:t>), étape préliminaire à l’unification des clans arabes et la fondation de l’État.</w:t>
      </w:r>
    </w:p>
    <w:p w14:paraId="4842ED92" w14:textId="77777777" w:rsidR="00296288" w:rsidRPr="00AF4FEA" w:rsidRDefault="00296288" w:rsidP="00296288">
      <w:pPr>
        <w:spacing w:line="360" w:lineRule="auto"/>
        <w:ind w:firstLine="708"/>
        <w:jc w:val="both"/>
        <w:rPr>
          <w:rFonts w:eastAsia="Times New Roman"/>
          <w:lang w:bidi="ar-AE"/>
        </w:rPr>
      </w:pPr>
    </w:p>
    <w:p w14:paraId="4AA0DEAB" w14:textId="77777777" w:rsidR="00296288" w:rsidRPr="00B867DF" w:rsidRDefault="00296288" w:rsidP="00296288">
      <w:pPr>
        <w:spacing w:line="360" w:lineRule="auto"/>
        <w:ind w:firstLine="708"/>
        <w:jc w:val="both"/>
        <w:rPr>
          <w:rFonts w:asciiTheme="majorBidi" w:eastAsia="Times New Roman" w:hAnsiTheme="majorBidi" w:cstheme="majorBidi"/>
        </w:rPr>
      </w:pPr>
      <w:r w:rsidRPr="00AF4FEA">
        <w:rPr>
          <w:rFonts w:asciiTheme="majorBidi" w:eastAsia="Times New Roman" w:hAnsiTheme="majorBidi" w:cstheme="majorBidi"/>
          <w:lang w:bidi="ar-AE"/>
        </w:rPr>
        <w:t>C’est peut-être la raison pour la quelle le Prophète Mu</w:t>
      </w:r>
      <w:r w:rsidRPr="00AF4FEA">
        <w:rPr>
          <w:rFonts w:asciiTheme="majorBidi" w:eastAsia="Times New Roman" w:hAnsiTheme="majorBidi" w:cstheme="majorBidi"/>
        </w:rPr>
        <w:t xml:space="preserve">ḥammad a essayé de persuader les Arabes d’adopter la </w:t>
      </w:r>
      <w:r w:rsidRPr="00AF4FEA">
        <w:rPr>
          <w:rFonts w:asciiTheme="majorBidi" w:eastAsia="Times New Roman" w:hAnsiTheme="majorBidi" w:cstheme="majorBidi"/>
          <w:i/>
          <w:iCs/>
        </w:rPr>
        <w:t>kalimat at-tawḥīd</w:t>
      </w:r>
      <w:r w:rsidRPr="00AF4FEA">
        <w:rPr>
          <w:rFonts w:asciiTheme="majorBidi" w:eastAsia="Times New Roman" w:hAnsiTheme="majorBidi" w:cstheme="majorBidi"/>
        </w:rPr>
        <w:t xml:space="preserve"> </w:t>
      </w:r>
      <w:r w:rsidRPr="00AF4FEA">
        <w:rPr>
          <w:rFonts w:asciiTheme="majorBidi" w:eastAsia="Times New Roman" w:hAnsiTheme="majorBidi" w:cstheme="majorBidi"/>
          <w:lang w:bidi="ar-AE"/>
        </w:rPr>
        <w:t>(la parole de l’Unicité </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 xml:space="preserve">Lā </w:t>
      </w:r>
      <w:r w:rsidRPr="00B867DF">
        <w:rPr>
          <w:rFonts w:asciiTheme="majorBidi" w:eastAsia="Times New Roman" w:hAnsiTheme="majorBidi" w:cstheme="majorBidi"/>
          <w:i/>
          <w:iCs/>
        </w:rPr>
        <w:t>ilāha illa llāh</w:t>
      </w:r>
      <w:r w:rsidRPr="00B867DF">
        <w:rPr>
          <w:rFonts w:asciiTheme="majorBidi" w:eastAsia="Times New Roman" w:hAnsiTheme="majorBidi" w:cstheme="majorBidi"/>
        </w:rPr>
        <w:t xml:space="preserve"> [il n’y a de divinité qu’Allah]</w:t>
      </w:r>
      <w:r w:rsidRPr="00B867DF">
        <w:rPr>
          <w:rFonts w:asciiTheme="majorBidi" w:eastAsia="Times New Roman" w:hAnsiTheme="majorBidi" w:cstheme="majorBidi"/>
          <w:lang w:bidi="ar-AE"/>
        </w:rPr>
        <w:t>)</w:t>
      </w:r>
      <w:r w:rsidRPr="00B867DF">
        <w:rPr>
          <w:rFonts w:asciiTheme="majorBidi" w:eastAsia="Times New Roman" w:hAnsiTheme="majorBidi" w:cstheme="majorBidi"/>
        </w:rPr>
        <w:t xml:space="preserve"> et de renoncer à leur polythéisme, leur promettant la suprématie aussi bien sur l’Arabie que sur la Perse, en disant : « Ô mon oncle, je voudrais qu’ils me donneront un seul mot : par ce mot, ils posséderont l’Arabie et, par lui, la Perse leur payera la </w:t>
      </w:r>
      <w:r w:rsidRPr="00B867DF">
        <w:rPr>
          <w:rFonts w:asciiTheme="majorBidi" w:eastAsia="Times New Roman" w:hAnsiTheme="majorBidi" w:cstheme="majorBidi"/>
          <w:i/>
          <w:iCs/>
        </w:rPr>
        <w:t>jizya</w:t>
      </w:r>
      <w:r w:rsidRPr="00B867DF">
        <w:rPr>
          <w:rFonts w:asciiTheme="majorBidi" w:eastAsia="Times New Roman" w:hAnsiTheme="majorBidi" w:cstheme="majorBidi"/>
        </w:rPr>
        <w:t xml:space="preserve"> [capitation/tribut] [la Perse se soumettra à eux] »</w:t>
      </w:r>
      <w:r w:rsidRPr="00B867DF">
        <w:rPr>
          <w:rFonts w:asciiTheme="majorBidi" w:eastAsia="Times New Roman" w:hAnsiTheme="majorBidi" w:cstheme="majorBidi"/>
          <w:vertAlign w:val="superscript"/>
        </w:rPr>
        <w:footnoteReference w:id="244"/>
      </w:r>
      <w:r w:rsidRPr="00B867DF">
        <w:rPr>
          <w:rFonts w:asciiTheme="majorBidi" w:eastAsia="Times New Roman" w:hAnsiTheme="majorBidi" w:cstheme="majorBidi"/>
        </w:rPr>
        <w:t>.</w:t>
      </w:r>
    </w:p>
    <w:p w14:paraId="188B1DCA" w14:textId="77777777" w:rsidR="00296288" w:rsidRPr="00B867DF" w:rsidRDefault="00296288" w:rsidP="00296288">
      <w:pPr>
        <w:spacing w:line="360" w:lineRule="auto"/>
        <w:ind w:firstLine="708"/>
        <w:jc w:val="both"/>
        <w:rPr>
          <w:rFonts w:asciiTheme="majorBidi" w:eastAsia="Times New Roman" w:hAnsiTheme="majorBidi" w:cstheme="majorBidi"/>
        </w:rPr>
      </w:pPr>
    </w:p>
    <w:p w14:paraId="2C0295CB" w14:textId="77777777" w:rsidR="00296288" w:rsidRPr="00B867DF" w:rsidRDefault="00296288" w:rsidP="00296288">
      <w:pPr>
        <w:spacing w:line="360" w:lineRule="auto"/>
        <w:ind w:firstLine="708"/>
        <w:jc w:val="both"/>
        <w:rPr>
          <w:rFonts w:asciiTheme="majorBidi" w:eastAsia="Times New Roman" w:hAnsiTheme="majorBidi" w:cstheme="majorBidi"/>
        </w:rPr>
      </w:pPr>
      <w:r w:rsidRPr="00B867DF">
        <w:rPr>
          <w:rFonts w:asciiTheme="majorBidi" w:eastAsia="Times New Roman" w:hAnsiTheme="majorBidi" w:cstheme="majorBidi"/>
        </w:rPr>
        <w:t xml:space="preserve">Cette signification sociopolitique se trouve disséminée dans le Coran et la tradition des hadith et de la </w:t>
      </w:r>
      <w:r w:rsidRPr="00B867DF">
        <w:rPr>
          <w:rFonts w:asciiTheme="majorBidi" w:eastAsia="Times New Roman" w:hAnsiTheme="majorBidi" w:cstheme="majorBidi"/>
          <w:i/>
        </w:rPr>
        <w:t>Sīra</w:t>
      </w:r>
      <w:r w:rsidRPr="00B867DF">
        <w:rPr>
          <w:rFonts w:asciiTheme="majorBidi" w:eastAsia="Times New Roman" w:hAnsiTheme="majorBidi" w:cstheme="majorBidi"/>
        </w:rPr>
        <w:t xml:space="preserve"> (biographie du Prophète).</w:t>
      </w:r>
    </w:p>
    <w:p w14:paraId="7A394431" w14:textId="77777777" w:rsidR="00296288" w:rsidRPr="00B867DF" w:rsidRDefault="00296288" w:rsidP="00296288">
      <w:pPr>
        <w:spacing w:line="360" w:lineRule="auto"/>
        <w:jc w:val="both"/>
        <w:rPr>
          <w:rFonts w:asciiTheme="majorBidi" w:eastAsia="Times New Roman" w:hAnsiTheme="majorBidi" w:cstheme="majorBidi"/>
          <w:lang w:bidi="ar-AE"/>
        </w:rPr>
      </w:pPr>
    </w:p>
    <w:p w14:paraId="01F9F587" w14:textId="77777777" w:rsidR="00296288" w:rsidRPr="00B867DF" w:rsidRDefault="00296288" w:rsidP="00296288">
      <w:pPr>
        <w:spacing w:line="360" w:lineRule="auto"/>
        <w:ind w:firstLine="708"/>
        <w:jc w:val="both"/>
        <w:rPr>
          <w:rFonts w:asciiTheme="majorBidi" w:eastAsia="Times New Roman" w:hAnsiTheme="majorBidi" w:cstheme="majorBidi"/>
          <w:rtl/>
        </w:rPr>
      </w:pPr>
      <w:r w:rsidRPr="00B867DF">
        <w:rPr>
          <w:rFonts w:eastAsia="Times New Roman"/>
          <w:lang w:bidi="ar-AE"/>
        </w:rPr>
        <w:t>Le verset 13 voulait dire aux nouveaux convertis : “Vous devez ne pas avoir désormais d’autre seigneur, d’autre maître (</w:t>
      </w:r>
      <w:r w:rsidRPr="00B867DF">
        <w:rPr>
          <w:rFonts w:eastAsia="Times New Roman"/>
          <w:i/>
          <w:iCs/>
          <w:lang w:bidi="ar-AE"/>
        </w:rPr>
        <w:t>mawlā</w:t>
      </w:r>
      <w:r w:rsidRPr="00B867DF">
        <w:rPr>
          <w:rFonts w:eastAsia="Times New Roman"/>
          <w:lang w:bidi="ar-AE"/>
        </w:rPr>
        <w:t xml:space="preserve">) qu’Allāh”. C’est pourquoi le Coran a attaqué tous les chefs des païens et leurs divinités parce qu’ils s’opposaient à de telles démarches unificatrices, en disant : “Quel détestable </w:t>
      </w:r>
      <w:r w:rsidRPr="00B867DF">
        <w:rPr>
          <w:rFonts w:eastAsia="Times New Roman"/>
          <w:i/>
          <w:iCs/>
          <w:lang w:bidi="ar-AE"/>
        </w:rPr>
        <w:t>mawlā</w:t>
      </w:r>
      <w:r w:rsidRPr="00B867DF">
        <w:rPr>
          <w:rFonts w:eastAsia="Times New Roman"/>
          <w:lang w:bidi="ar-AE"/>
        </w:rPr>
        <w:t xml:space="preserve"> [seigneur, allié], et quel détestable </w:t>
      </w:r>
      <w:r w:rsidRPr="00B867DF">
        <w:rPr>
          <w:rFonts w:eastAsia="Times New Roman"/>
          <w:i/>
          <w:iCs/>
          <w:lang w:bidi="ar-AE"/>
        </w:rPr>
        <w:t>ʿashīr</w:t>
      </w:r>
      <w:r w:rsidRPr="00B867DF">
        <w:rPr>
          <w:rFonts w:eastAsia="Times New Roman"/>
          <w:lang w:bidi="ar-AE"/>
        </w:rPr>
        <w:t xml:space="preserve"> [compagnon] !”). Le terme </w:t>
      </w:r>
      <w:r w:rsidRPr="00B867DF">
        <w:rPr>
          <w:rFonts w:eastAsia="Times New Roman"/>
          <w:i/>
          <w:iCs/>
          <w:lang w:bidi="ar-AE"/>
        </w:rPr>
        <w:t>mawlā</w:t>
      </w:r>
      <w:r w:rsidRPr="00B867DF">
        <w:rPr>
          <w:rFonts w:eastAsia="Times New Roman"/>
          <w:lang w:bidi="ar-AE"/>
        </w:rPr>
        <w:t xml:space="preserve">, </w:t>
      </w:r>
      <w:r>
        <w:rPr>
          <w:rFonts w:eastAsia="Times New Roman"/>
          <w:lang w:bidi="ar-AE"/>
        </w:rPr>
        <w:t xml:space="preserve">un mot contronyme ou </w:t>
      </w:r>
      <w:r w:rsidRPr="000E33A1">
        <w:rPr>
          <w:rFonts w:eastAsia="Times New Roman"/>
          <w:lang w:bidi="ar-AE"/>
        </w:rPr>
        <w:t>énantiosémique</w:t>
      </w:r>
      <w:r>
        <w:rPr>
          <w:rFonts w:eastAsia="Times New Roman"/>
          <w:lang w:bidi="ar-AE"/>
        </w:rPr>
        <w:t>,</w:t>
      </w:r>
      <w:r w:rsidRPr="00B867DF">
        <w:rPr>
          <w:rFonts w:eastAsia="Times New Roman"/>
          <w:lang w:bidi="ar-AE"/>
        </w:rPr>
        <w:t xml:space="preserve"> désigne à la fois une chose et son </w:t>
      </w:r>
      <w:r w:rsidRPr="00B867DF">
        <w:rPr>
          <w:rFonts w:eastAsia="Times New Roman"/>
          <w:lang w:bidi="ar-AE"/>
        </w:rPr>
        <w:lastRenderedPageBreak/>
        <w:t xml:space="preserve">contraire (le maître et l’esclave). Dans le verset 13, il désigne selon les exégètes plusieurs choses : le protecteur, le </w:t>
      </w:r>
      <w:r w:rsidRPr="00B867DF">
        <w:rPr>
          <w:rFonts w:asciiTheme="majorBidi" w:eastAsia="Times New Roman" w:hAnsiTheme="majorBidi" w:cstheme="majorBidi"/>
          <w:lang w:bidi="ar-AE"/>
        </w:rPr>
        <w:t>patron, le défenseur, le partisan, l’idole, le cousin.</w:t>
      </w:r>
    </w:p>
    <w:p w14:paraId="6D4CFAE8" w14:textId="77777777" w:rsidR="00296288" w:rsidRPr="00B867DF" w:rsidRDefault="00296288" w:rsidP="00296288">
      <w:pPr>
        <w:spacing w:line="360" w:lineRule="auto"/>
        <w:jc w:val="both"/>
        <w:rPr>
          <w:rFonts w:asciiTheme="majorBidi" w:eastAsia="Times New Roman" w:hAnsiTheme="majorBidi" w:cstheme="majorBidi"/>
          <w:lang w:bidi="ar-AE"/>
        </w:rPr>
      </w:pPr>
    </w:p>
    <w:p w14:paraId="3D427F55" w14:textId="77777777" w:rsidR="00296288" w:rsidRPr="0072451F" w:rsidRDefault="00296288" w:rsidP="007640DC">
      <w:pPr>
        <w:pStyle w:val="Paragraphedeliste"/>
        <w:numPr>
          <w:ilvl w:val="0"/>
          <w:numId w:val="62"/>
        </w:numPr>
        <w:bidi w:val="0"/>
        <w:spacing w:after="0" w:line="360" w:lineRule="auto"/>
        <w:contextualSpacing/>
        <w:jc w:val="both"/>
        <w:rPr>
          <w:rFonts w:asciiTheme="majorBidi" w:hAnsiTheme="majorBidi" w:cstheme="majorBidi"/>
          <w:sz w:val="24"/>
          <w:szCs w:val="24"/>
          <w:lang w:eastAsia="fr-FR" w:bidi="ar-KW"/>
        </w:rPr>
      </w:pPr>
      <w:r w:rsidRPr="0072451F">
        <w:rPr>
          <w:rFonts w:asciiTheme="majorBidi" w:hAnsiTheme="majorBidi" w:cstheme="majorBidi"/>
          <w:b/>
          <w:bCs/>
          <w:sz w:val="24"/>
          <w:szCs w:val="24"/>
          <w:lang w:eastAsia="fr-FR" w:bidi="ar-KW"/>
        </w:rPr>
        <w:t xml:space="preserve">Les </w:t>
      </w:r>
      <w:r w:rsidRPr="0072451F">
        <w:rPr>
          <w:rFonts w:asciiTheme="majorBidi" w:hAnsiTheme="majorBidi" w:cstheme="majorBidi"/>
          <w:b/>
          <w:bCs/>
          <w:i/>
          <w:iCs/>
          <w:sz w:val="24"/>
          <w:szCs w:val="24"/>
          <w:lang w:eastAsia="fr-FR" w:bidi="ar-KW"/>
        </w:rPr>
        <w:t xml:space="preserve">jannāt </w:t>
      </w:r>
      <w:r w:rsidRPr="0072451F">
        <w:rPr>
          <w:rFonts w:asciiTheme="majorBidi" w:hAnsiTheme="majorBidi" w:cstheme="majorBidi"/>
          <w:b/>
          <w:bCs/>
          <w:sz w:val="24"/>
          <w:szCs w:val="24"/>
          <w:lang w:eastAsia="fr-FR" w:bidi="ar-KW"/>
        </w:rPr>
        <w:t>(v. 14) :</w:t>
      </w:r>
    </w:p>
    <w:p w14:paraId="3B1BC3C2" w14:textId="46811D4C" w:rsidR="00296288" w:rsidRPr="0058121D" w:rsidRDefault="00296288" w:rsidP="00296288">
      <w:pPr>
        <w:spacing w:line="360" w:lineRule="auto"/>
        <w:ind w:firstLine="360"/>
        <w:jc w:val="both"/>
        <w:rPr>
          <w:rFonts w:asciiTheme="majorBidi" w:hAnsiTheme="majorBidi" w:cstheme="majorBidi"/>
        </w:rPr>
      </w:pPr>
      <w:r w:rsidRPr="00B867DF">
        <w:rPr>
          <w:rFonts w:asciiTheme="majorBidi" w:eastAsia="Times New Roman" w:hAnsiTheme="majorBidi" w:cstheme="majorBidi"/>
          <w:lang w:bidi="ar-KW"/>
        </w:rPr>
        <w:t xml:space="preserve">Pluriel de </w:t>
      </w:r>
      <w:r w:rsidRPr="00B867DF">
        <w:rPr>
          <w:rFonts w:asciiTheme="majorBidi" w:eastAsia="Times New Roman" w:hAnsiTheme="majorBidi" w:cstheme="majorBidi"/>
          <w:i/>
          <w:iCs/>
          <w:lang w:bidi="ar-KW"/>
        </w:rPr>
        <w:t>janna</w:t>
      </w:r>
      <w:r w:rsidRPr="00B867DF">
        <w:rPr>
          <w:rFonts w:asciiTheme="majorBidi" w:eastAsia="Times New Roman" w:hAnsiTheme="majorBidi" w:cstheme="majorBidi"/>
          <w:lang w:bidi="ar-KW"/>
        </w:rPr>
        <w:t xml:space="preserve"> </w:t>
      </w:r>
      <w:r w:rsidRPr="00B867DF">
        <w:rPr>
          <w:rFonts w:asciiTheme="majorBidi" w:hAnsiTheme="majorBidi" w:cstheme="majorBidi"/>
        </w:rPr>
        <w:t>[</w:t>
      </w:r>
      <w:r w:rsidRPr="00B867DF">
        <w:rPr>
          <w:rFonts w:asciiTheme="majorBidi" w:eastAsia="Times New Roman" w:hAnsiTheme="majorBidi" w:cstheme="majorBidi"/>
        </w:rPr>
        <w:t>jardin, paradis, ciel</w:t>
      </w:r>
      <w:r w:rsidRPr="00B867DF">
        <w:rPr>
          <w:rFonts w:asciiTheme="majorBidi" w:hAnsiTheme="majorBidi" w:cstheme="majorBidi"/>
        </w:rPr>
        <w:t xml:space="preserve">], ce mot est monosémique chez les hétérodoxes (sunnites et chiites) et désigne le Paradis promis aux bons musulmans après la mort. La plupart des exégètes ne parlent pas des significations de ce terme et ne disent pas pourquoi le Coran l’utilise souvent au pluriel (69 occurrences). Aṭ-Ṭabarī dit que ce sont des </w:t>
      </w:r>
      <w:r w:rsidRPr="00B867DF">
        <w:rPr>
          <w:rFonts w:asciiTheme="majorBidi" w:hAnsiTheme="majorBidi" w:cstheme="majorBidi"/>
          <w:i/>
          <w:iCs/>
        </w:rPr>
        <w:t>basātīn</w:t>
      </w:r>
      <w:r w:rsidRPr="00B867DF">
        <w:rPr>
          <w:rFonts w:asciiTheme="majorBidi" w:hAnsiTheme="majorBidi" w:cstheme="majorBidi"/>
        </w:rPr>
        <w:t xml:space="preserve"> [</w:t>
      </w:r>
      <w:r w:rsidRPr="00B867DF">
        <w:rPr>
          <w:rFonts w:asciiTheme="majorBidi" w:eastAsia="Times New Roman" w:hAnsiTheme="majorBidi" w:cstheme="majorBidi"/>
        </w:rPr>
        <w:t>vergers</w:t>
      </w:r>
      <w:r w:rsidRPr="00B867DF">
        <w:rPr>
          <w:rFonts w:asciiTheme="majorBidi" w:hAnsiTheme="majorBidi" w:cstheme="majorBidi"/>
        </w:rPr>
        <w:t>] (dans le Paradis après la mort). Le naqshbandī contemporain Amīn Shaykhū souligne que le pluriel est utilisé pour parler d’une succession de paradis (</w:t>
      </w:r>
      <w:r w:rsidRPr="00B867DF">
        <w:rPr>
          <w:rFonts w:asciiTheme="majorBidi" w:hAnsiTheme="majorBidi" w:cstheme="majorBidi"/>
          <w:i/>
          <w:iCs/>
        </w:rPr>
        <w:t>min janna li-janna mutatālya</w:t>
      </w:r>
      <w:r w:rsidRPr="00B867DF">
        <w:rPr>
          <w:rFonts w:asciiTheme="majorBidi" w:hAnsiTheme="majorBidi" w:cstheme="majorBidi"/>
        </w:rPr>
        <w:t xml:space="preserve"> [</w:t>
      </w:r>
      <w:r w:rsidRPr="00B867DF">
        <w:rPr>
          <w:rFonts w:asciiTheme="majorBidi" w:eastAsia="Times New Roman" w:hAnsiTheme="majorBidi" w:cstheme="majorBidi"/>
        </w:rPr>
        <w:t>d’un paradis à un autre consécutivement</w:t>
      </w:r>
      <w:r w:rsidRPr="00B867DF">
        <w:rPr>
          <w:rFonts w:asciiTheme="majorBidi" w:hAnsiTheme="majorBidi" w:cstheme="majorBidi"/>
        </w:rPr>
        <w:t xml:space="preserve">]). Ibn </w:t>
      </w:r>
      <w:r w:rsidRPr="00B867DF">
        <w:rPr>
          <w:rFonts w:asciiTheme="majorBidi" w:eastAsia="Times New Roman" w:hAnsiTheme="majorBidi" w:cstheme="majorBidi"/>
        </w:rPr>
        <w:t>ʿ</w:t>
      </w:r>
      <w:r w:rsidRPr="00B867DF">
        <w:rPr>
          <w:rFonts w:asciiTheme="majorBidi" w:hAnsiTheme="majorBidi" w:cstheme="majorBidi"/>
        </w:rPr>
        <w:t xml:space="preserve">Arabī précise qu’il s’agit des cœurs. L’interprétation mystique dissidente d’Ibn </w:t>
      </w:r>
      <w:r w:rsidRPr="00B867DF">
        <w:rPr>
          <w:rFonts w:asciiTheme="majorBidi" w:eastAsia="Times New Roman" w:hAnsiTheme="majorBidi" w:cstheme="majorBidi"/>
        </w:rPr>
        <w:t>ʿ</w:t>
      </w:r>
      <w:r w:rsidRPr="00B867DF">
        <w:rPr>
          <w:rFonts w:asciiTheme="majorBidi" w:hAnsiTheme="majorBidi" w:cstheme="majorBidi"/>
        </w:rPr>
        <w:t>Arabī est proche de l’interprétation ésotérique et en particulier de celle des Qarmates (</w:t>
      </w:r>
      <w:r w:rsidRPr="00B867DF">
        <w:rPr>
          <w:rFonts w:asciiTheme="majorBidi" w:hAnsiTheme="majorBidi" w:cstheme="majorBidi"/>
          <w:i/>
          <w:iCs/>
        </w:rPr>
        <w:t>al-qarāmiṭa</w:t>
      </w:r>
      <w:r w:rsidRPr="00B867DF">
        <w:rPr>
          <w:rFonts w:asciiTheme="majorBidi" w:hAnsiTheme="majorBidi" w:cstheme="majorBidi"/>
        </w:rPr>
        <w:t>) au X</w:t>
      </w:r>
      <w:r w:rsidRPr="00B867DF">
        <w:rPr>
          <w:rFonts w:asciiTheme="majorBidi" w:hAnsiTheme="majorBidi" w:cstheme="majorBidi"/>
          <w:vertAlign w:val="superscript"/>
        </w:rPr>
        <w:t>e</w:t>
      </w:r>
      <w:r w:rsidRPr="00B867DF">
        <w:rPr>
          <w:rFonts w:asciiTheme="majorBidi" w:hAnsiTheme="majorBidi" w:cstheme="majorBidi"/>
        </w:rPr>
        <w:t xml:space="preserve"> siècle, un courant dissident du chiisme ismaélien. Pour eux, se référant au sens étymologique du mot (dérivé du verbe </w:t>
      </w:r>
      <w:r w:rsidRPr="00B867DF">
        <w:rPr>
          <w:rFonts w:asciiTheme="majorBidi" w:hAnsiTheme="majorBidi" w:cstheme="majorBidi"/>
          <w:i/>
          <w:iCs/>
        </w:rPr>
        <w:t>janna/yajinnu</w:t>
      </w:r>
      <w:r w:rsidRPr="00B867DF">
        <w:rPr>
          <w:rFonts w:asciiTheme="majorBidi" w:hAnsiTheme="majorBidi" w:cstheme="majorBidi"/>
        </w:rPr>
        <w:t xml:space="preserve">, se cacher, se dérober aux regards), </w:t>
      </w:r>
      <w:r w:rsidRPr="00B867DF">
        <w:rPr>
          <w:rFonts w:asciiTheme="majorBidi" w:hAnsiTheme="majorBidi" w:cstheme="majorBidi"/>
          <w:i/>
          <w:iCs/>
        </w:rPr>
        <w:t>al-janna</w:t>
      </w:r>
      <w:r w:rsidRPr="00B867DF">
        <w:rPr>
          <w:rFonts w:asciiTheme="majorBidi" w:hAnsiTheme="majorBidi" w:cstheme="majorBidi"/>
        </w:rPr>
        <w:t xml:space="preserve"> désigne tout ce qui est caché aux yeux des gens qui sont à l’envers, qui souffrent d’une rechute (</w:t>
      </w:r>
      <w:r w:rsidRPr="00B867DF">
        <w:rPr>
          <w:rFonts w:asciiTheme="majorBidi" w:hAnsiTheme="majorBidi" w:cstheme="majorBidi"/>
          <w:i/>
          <w:iCs/>
        </w:rPr>
        <w:t>al-khalq al-mankūs</w:t>
      </w:r>
      <w:r w:rsidRPr="00B867DF">
        <w:rPr>
          <w:rFonts w:asciiTheme="majorBidi" w:hAnsiTheme="majorBidi" w:cstheme="majorBidi"/>
        </w:rPr>
        <w:t>) et qui n’ont pas de connaissance ni d’intelligence (</w:t>
      </w:r>
      <w:r w:rsidRPr="00B867DF">
        <w:rPr>
          <w:rFonts w:asciiTheme="majorBidi" w:hAnsiTheme="majorBidi" w:cstheme="majorBidi"/>
          <w:i/>
          <w:iCs/>
        </w:rPr>
        <w:t xml:space="preserve">lā </w:t>
      </w:r>
      <w:r w:rsidRPr="00B867DF">
        <w:rPr>
          <w:rFonts w:asciiTheme="majorBidi" w:eastAsia="Times New Roman" w:hAnsiTheme="majorBidi" w:cstheme="majorBidi"/>
          <w:i/>
          <w:iCs/>
        </w:rPr>
        <w:t>ʿilm la-hum wa-lā ʿuqūl</w:t>
      </w:r>
      <w:r w:rsidRPr="00B867DF">
        <w:rPr>
          <w:rFonts w:asciiTheme="majorBidi" w:eastAsia="Times New Roman" w:hAnsiTheme="majorBidi" w:cstheme="majorBidi"/>
        </w:rPr>
        <w:t>)</w:t>
      </w:r>
      <w:r w:rsidRPr="00B867DF">
        <w:rPr>
          <w:rStyle w:val="Appelnotedebasdep"/>
          <w:rFonts w:asciiTheme="majorBidi" w:hAnsiTheme="majorBidi" w:cstheme="majorBidi"/>
        </w:rPr>
        <w:footnoteReference w:id="245"/>
      </w:r>
      <w:r w:rsidRPr="00B867DF">
        <w:rPr>
          <w:rFonts w:asciiTheme="majorBidi" w:eastAsia="Times New Roman" w:hAnsiTheme="majorBidi" w:cstheme="majorBidi"/>
        </w:rPr>
        <w:t>. Ainsi, le terme « </w:t>
      </w:r>
      <w:r w:rsidRPr="00B867DF">
        <w:rPr>
          <w:rFonts w:asciiTheme="majorBidi" w:eastAsia="Times New Roman" w:hAnsiTheme="majorBidi" w:cstheme="majorBidi"/>
          <w:i/>
          <w:iCs/>
          <w:lang w:bidi="ar-KW"/>
        </w:rPr>
        <w:t>jannāt</w:t>
      </w:r>
      <w:r w:rsidRPr="00B867DF">
        <w:rPr>
          <w:rFonts w:asciiTheme="majorBidi" w:eastAsia="Times New Roman" w:hAnsiTheme="majorBidi" w:cstheme="majorBidi"/>
          <w:lang w:bidi="ar-KW"/>
        </w:rPr>
        <w:t> » désigne trois idées : 1-le Paradis après la mort ; 2-les cœurs, 3-les mystères.</w:t>
      </w:r>
    </w:p>
    <w:p w14:paraId="3331C830" w14:textId="77777777" w:rsidR="00296288" w:rsidRPr="00B7108A" w:rsidRDefault="00296288" w:rsidP="00296288">
      <w:pPr>
        <w:spacing w:line="360" w:lineRule="auto"/>
        <w:jc w:val="both"/>
        <w:rPr>
          <w:rFonts w:asciiTheme="majorBidi" w:eastAsia="Times New Roman" w:hAnsiTheme="majorBidi" w:cstheme="majorBidi"/>
          <w:lang w:bidi="ar-AE"/>
        </w:rPr>
      </w:pPr>
    </w:p>
    <w:p w14:paraId="17D9A3B2" w14:textId="77777777" w:rsidR="00296288" w:rsidRPr="00B7108A"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lang w:eastAsia="fr-FR" w:bidi="ar-AE"/>
        </w:rPr>
      </w:pPr>
      <w:r w:rsidRPr="00B7108A">
        <w:rPr>
          <w:rFonts w:asciiTheme="majorBidi" w:hAnsiTheme="majorBidi" w:cstheme="majorBidi"/>
          <w:b/>
          <w:bCs/>
          <w:sz w:val="24"/>
          <w:szCs w:val="24"/>
          <w:lang w:eastAsia="fr-FR" w:bidi="ar-AE"/>
        </w:rPr>
        <w:t>La polysémie des mots du verset 15 :</w:t>
      </w:r>
    </w:p>
    <w:p w14:paraId="1369975E" w14:textId="77777777" w:rsidR="00296288" w:rsidRPr="00B867DF" w:rsidRDefault="00296288" w:rsidP="00296288">
      <w:pPr>
        <w:spacing w:line="360" w:lineRule="auto"/>
        <w:ind w:firstLine="708"/>
        <w:jc w:val="both"/>
        <w:rPr>
          <w:rFonts w:asciiTheme="majorBidi" w:eastAsia="Times New Roman" w:hAnsiTheme="majorBidi" w:cstheme="majorBidi"/>
        </w:rPr>
      </w:pPr>
      <w:r w:rsidRPr="00B7108A">
        <w:rPr>
          <w:rFonts w:asciiTheme="majorBidi" w:eastAsia="Times New Roman" w:hAnsiTheme="majorBidi" w:cstheme="majorBidi"/>
        </w:rPr>
        <w:t>Le verset 15 est plein de mots polysémiques</w:t>
      </w:r>
      <w:r w:rsidRPr="00B867DF">
        <w:rPr>
          <w:rFonts w:asciiTheme="majorBidi" w:eastAsia="Times New Roman" w:hAnsiTheme="majorBidi" w:cstheme="majorBidi"/>
        </w:rPr>
        <w:t>. Nous passons en revue la polysémie des mots clés :</w:t>
      </w:r>
    </w:p>
    <w:p w14:paraId="54E0B15C" w14:textId="77777777" w:rsidR="00296288" w:rsidRPr="00B867DF" w:rsidRDefault="00296288" w:rsidP="007640DC">
      <w:pPr>
        <w:numPr>
          <w:ilvl w:val="0"/>
          <w:numId w:val="29"/>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i/>
          <w:iCs/>
        </w:rPr>
        <w:t>Yanṣura-hu </w:t>
      </w:r>
      <w:r w:rsidRPr="00B867DF">
        <w:rPr>
          <w:rFonts w:asciiTheme="majorBidi" w:eastAsia="Times New Roman" w:hAnsiTheme="majorBidi" w:cstheme="majorBidi"/>
        </w:rPr>
        <w:t xml:space="preserve">: Il [Dieu] lui donnera la victoire ; Il le secourra ; Il lui procurera des moyens de subsistances </w:t>
      </w:r>
      <w:r w:rsidRPr="00B867DF">
        <w:rPr>
          <w:rFonts w:asciiTheme="majorBidi" w:eastAsia="Times New Roman" w:hAnsiTheme="majorBidi" w:cstheme="majorBidi"/>
          <w:lang w:bidi="ar-AE"/>
        </w:rPr>
        <w:t>(Amīn Shaykhū) </w:t>
      </w:r>
      <w:r w:rsidRPr="00B867DF">
        <w:rPr>
          <w:rFonts w:asciiTheme="majorBidi" w:eastAsia="Times New Roman" w:hAnsiTheme="majorBidi" w:cstheme="majorBidi"/>
        </w:rPr>
        <w:t>; Il le guidera.</w:t>
      </w:r>
    </w:p>
    <w:p w14:paraId="4B0109D0" w14:textId="77777777" w:rsidR="00296288" w:rsidRPr="00B867DF" w:rsidRDefault="00296288" w:rsidP="007640DC">
      <w:pPr>
        <w:numPr>
          <w:ilvl w:val="0"/>
          <w:numId w:val="29"/>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i/>
          <w:iCs/>
        </w:rPr>
        <w:t>Sabab </w:t>
      </w:r>
      <w:r w:rsidRPr="00B867DF">
        <w:rPr>
          <w:rFonts w:asciiTheme="majorBidi" w:eastAsia="Times New Roman" w:hAnsiTheme="majorBidi" w:cstheme="majorBidi"/>
        </w:rPr>
        <w:t xml:space="preserve">: une corde ; une astuce ; un chemin ; un moyen ; une bonne action </w:t>
      </w:r>
      <w:r w:rsidRPr="00B867DF">
        <w:rPr>
          <w:rFonts w:asciiTheme="majorBidi" w:eastAsia="Times New Roman" w:hAnsiTheme="majorBidi" w:cstheme="majorBidi"/>
          <w:lang w:bidi="ar-AE"/>
        </w:rPr>
        <w:t>(Amīn Shaykhū) ;</w:t>
      </w:r>
      <w:r w:rsidRPr="00B867DF">
        <w:rPr>
          <w:rFonts w:asciiTheme="majorBidi" w:eastAsia="Times New Roman" w:hAnsiTheme="majorBidi" w:cstheme="majorBidi"/>
        </w:rPr>
        <w:t xml:space="preserve"> le bien ; une invocation ou une prière ; un guide (</w:t>
      </w:r>
      <w:r w:rsidRPr="00B867DF">
        <w:rPr>
          <w:rFonts w:asciiTheme="majorBidi" w:eastAsia="Calibri" w:hAnsiTheme="majorBidi" w:cstheme="majorBidi"/>
        </w:rPr>
        <w:t>Al-Qummī)</w:t>
      </w:r>
      <w:r w:rsidRPr="00B867DF">
        <w:rPr>
          <w:rFonts w:asciiTheme="majorBidi" w:eastAsia="Times New Roman" w:hAnsiTheme="majorBidi" w:cstheme="majorBidi"/>
        </w:rPr>
        <w:t>.</w:t>
      </w:r>
    </w:p>
    <w:p w14:paraId="01E23FEA" w14:textId="77777777" w:rsidR="00296288" w:rsidRPr="00B867DF" w:rsidRDefault="00296288" w:rsidP="007640DC">
      <w:pPr>
        <w:numPr>
          <w:ilvl w:val="0"/>
          <w:numId w:val="29"/>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i/>
          <w:iCs/>
        </w:rPr>
        <w:t>As-samāʾ </w:t>
      </w:r>
      <w:r w:rsidRPr="00B867DF">
        <w:rPr>
          <w:rFonts w:asciiTheme="majorBidi" w:eastAsia="Times New Roman" w:hAnsiTheme="majorBidi" w:cstheme="majorBidi"/>
        </w:rPr>
        <w:t>: le plafond de la maison ; un arbre ; tout ce qui est élevé ; le ciel ; Dieu ; les actions sublimes</w:t>
      </w:r>
      <w:r w:rsidRPr="00B867DF">
        <w:rPr>
          <w:rFonts w:asciiTheme="majorBidi" w:eastAsia="Times New Roman" w:hAnsiTheme="majorBidi" w:cstheme="majorBidi"/>
          <w:lang w:bidi="ar-AE"/>
        </w:rPr>
        <w:t xml:space="preserve"> (Amīn Shaykhū)</w:t>
      </w:r>
      <w:r w:rsidRPr="00B867DF">
        <w:rPr>
          <w:rFonts w:asciiTheme="majorBidi" w:eastAsia="Times New Roman" w:hAnsiTheme="majorBidi" w:cstheme="majorBidi"/>
        </w:rPr>
        <w:t>.</w:t>
      </w:r>
    </w:p>
    <w:p w14:paraId="5FBAB532" w14:textId="77777777" w:rsidR="00296288" w:rsidRPr="00B867DF" w:rsidRDefault="00296288" w:rsidP="007640DC">
      <w:pPr>
        <w:numPr>
          <w:ilvl w:val="0"/>
          <w:numId w:val="29"/>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i/>
          <w:iCs/>
        </w:rPr>
        <w:lastRenderedPageBreak/>
        <w:t>Li-yaqṭaʿa </w:t>
      </w:r>
      <w:r w:rsidRPr="00B867DF">
        <w:rPr>
          <w:rFonts w:asciiTheme="majorBidi" w:eastAsia="Times New Roman" w:hAnsiTheme="majorBidi" w:cstheme="majorBidi"/>
        </w:rPr>
        <w:t>: qu’il coupe la corde ; qu’il se pende (s’étrangle en se suspendant par le cou, se suicide par pendaison) ; qu’il coupe l’origine de la révélation ; qu’il empêche la victoire du Prophète ; qu’il coupe les vivres à soi-même ; qu’il coupe les vivres au Prophète Muḥammad ; qu’il s’arrête de faire des actions illicites et condamnables [</w:t>
      </w:r>
      <w:r w:rsidRPr="00B867DF">
        <w:rPr>
          <w:rFonts w:asciiTheme="majorBidi" w:eastAsia="Times New Roman" w:hAnsiTheme="majorBidi" w:cstheme="majorBidi"/>
          <w:i/>
          <w:iCs/>
        </w:rPr>
        <w:t>munkarāt</w:t>
      </w:r>
      <w:r w:rsidRPr="00B867DF">
        <w:rPr>
          <w:rFonts w:asciiTheme="majorBidi" w:eastAsia="Times New Roman" w:hAnsiTheme="majorBidi" w:cstheme="majorBidi"/>
        </w:rPr>
        <w:t xml:space="preserve">] (qu’il rompe avec le mal) ; qu’il fasse une rupture avec son passé ; qu’il se repente </w:t>
      </w:r>
      <w:r w:rsidRPr="00B867DF">
        <w:rPr>
          <w:rFonts w:asciiTheme="majorBidi" w:eastAsia="Times New Roman" w:hAnsiTheme="majorBidi" w:cstheme="majorBidi"/>
          <w:lang w:bidi="ar-AE"/>
        </w:rPr>
        <w:t>(Amīn Shaykhū) </w:t>
      </w:r>
      <w:r w:rsidRPr="00B867DF">
        <w:rPr>
          <w:rFonts w:asciiTheme="majorBidi" w:eastAsia="Times New Roman" w:hAnsiTheme="majorBidi" w:cstheme="majorBidi"/>
        </w:rPr>
        <w:t>; qu’il discerne (</w:t>
      </w:r>
      <w:r w:rsidRPr="00B867DF">
        <w:rPr>
          <w:rFonts w:asciiTheme="majorBidi" w:eastAsia="Calibri" w:hAnsiTheme="majorBidi" w:cstheme="majorBidi"/>
        </w:rPr>
        <w:t>Al-Qummī).</w:t>
      </w:r>
      <w:r w:rsidRPr="00B867DF">
        <w:rPr>
          <w:rFonts w:asciiTheme="majorBidi" w:eastAsia="Times New Roman" w:hAnsiTheme="majorBidi" w:cstheme="majorBidi"/>
        </w:rPr>
        <w:t xml:space="preserve"> </w:t>
      </w:r>
      <w:r w:rsidRPr="00B867DF">
        <w:rPr>
          <w:rFonts w:asciiTheme="majorBidi" w:eastAsia="Calibri" w:hAnsiTheme="majorBidi" w:cstheme="majorBidi"/>
        </w:rPr>
        <w:t xml:space="preserve">Le verbe </w:t>
      </w:r>
      <w:r>
        <w:rPr>
          <w:rFonts w:asciiTheme="majorBidi" w:eastAsia="Times New Roman" w:hAnsiTheme="majorBidi" w:cstheme="majorBidi"/>
          <w:i/>
          <w:iCs/>
        </w:rPr>
        <w:t>l</w:t>
      </w:r>
      <w:r w:rsidRPr="00B867DF">
        <w:rPr>
          <w:rFonts w:asciiTheme="majorBidi" w:eastAsia="Times New Roman" w:hAnsiTheme="majorBidi" w:cstheme="majorBidi"/>
          <w:i/>
          <w:iCs/>
        </w:rPr>
        <w:t>i-yaqṭaʿa</w:t>
      </w:r>
      <w:r w:rsidRPr="00B867DF">
        <w:rPr>
          <w:rFonts w:asciiTheme="majorBidi" w:eastAsia="Calibri" w:hAnsiTheme="majorBidi" w:cstheme="majorBidi"/>
        </w:rPr>
        <w:t xml:space="preserve"> [qu’il coupe] diffère sa signification au verbe suivant </w:t>
      </w:r>
      <w:r w:rsidRPr="00B867DF">
        <w:rPr>
          <w:rFonts w:asciiTheme="majorBidi" w:eastAsia="Calibri" w:hAnsiTheme="majorBidi" w:cstheme="majorBidi"/>
          <w:i/>
          <w:iCs/>
        </w:rPr>
        <w:t>li-yan</w:t>
      </w:r>
      <w:r w:rsidRPr="00B867DF">
        <w:rPr>
          <w:rFonts w:eastAsia="Times New Roman"/>
          <w:i/>
          <w:iCs/>
        </w:rPr>
        <w:t>ẓur</w:t>
      </w:r>
      <w:r w:rsidRPr="00B867DF">
        <w:rPr>
          <w:rFonts w:asciiTheme="majorBidi" w:eastAsia="Calibri" w:hAnsiTheme="majorBidi" w:cstheme="majorBidi"/>
        </w:rPr>
        <w:t xml:space="preserve"> [qu’il voie].</w:t>
      </w:r>
    </w:p>
    <w:p w14:paraId="18C61A0F" w14:textId="77777777" w:rsidR="00296288" w:rsidRPr="00B867DF" w:rsidRDefault="00296288" w:rsidP="007640DC">
      <w:pPr>
        <w:numPr>
          <w:ilvl w:val="0"/>
          <w:numId w:val="29"/>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i/>
          <w:iCs/>
        </w:rPr>
        <w:t>Kaydu-hu </w:t>
      </w:r>
      <w:r w:rsidRPr="00B867DF">
        <w:rPr>
          <w:rFonts w:asciiTheme="majorBidi" w:eastAsia="Times New Roman" w:hAnsiTheme="majorBidi" w:cstheme="majorBidi"/>
        </w:rPr>
        <w:t>: son astuce ; son action ; son effort ; son habilité ; son moyen ; sa mesure ; le gain et le profit.</w:t>
      </w:r>
    </w:p>
    <w:p w14:paraId="02E2623B" w14:textId="77777777" w:rsidR="00296288" w:rsidRPr="00B867DF" w:rsidRDefault="00296288" w:rsidP="007640DC">
      <w:pPr>
        <w:numPr>
          <w:ilvl w:val="0"/>
          <w:numId w:val="29"/>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i/>
          <w:iCs/>
        </w:rPr>
        <w:t>Mā yaghīẓ</w:t>
      </w:r>
      <w:r w:rsidRPr="00B867DF">
        <w:rPr>
          <w:rFonts w:asciiTheme="majorBidi" w:eastAsia="Calibri" w:hAnsiTheme="majorBidi" w:cstheme="majorBidi"/>
        </w:rPr>
        <w:t xml:space="preserve"> [</w:t>
      </w:r>
      <w:r w:rsidRPr="00B867DF">
        <w:rPr>
          <w:rFonts w:asciiTheme="majorBidi" w:eastAsia="Times New Roman" w:hAnsiTheme="majorBidi" w:cstheme="majorBidi"/>
        </w:rPr>
        <w:t>ce qui [l’] irrite] : le chagrin ; le malheur ; le douloureux.</w:t>
      </w:r>
    </w:p>
    <w:p w14:paraId="41DF2E6D" w14:textId="77777777" w:rsidR="00296288" w:rsidRPr="00AF4FEA" w:rsidRDefault="00296288" w:rsidP="00296288">
      <w:pPr>
        <w:spacing w:line="360" w:lineRule="auto"/>
        <w:jc w:val="both"/>
        <w:rPr>
          <w:rFonts w:asciiTheme="majorBidi" w:eastAsia="Calibri" w:hAnsiTheme="majorBidi" w:cstheme="majorBidi"/>
          <w:lang w:bidi="ar-AE"/>
        </w:rPr>
      </w:pPr>
    </w:p>
    <w:p w14:paraId="2A04DFE5" w14:textId="4F542130" w:rsidR="00296288" w:rsidRPr="00AF4FEA" w:rsidRDefault="00296288" w:rsidP="00296288">
      <w:pPr>
        <w:spacing w:line="360" w:lineRule="auto"/>
        <w:ind w:firstLine="708"/>
        <w:jc w:val="both"/>
        <w:rPr>
          <w:rFonts w:asciiTheme="majorBidi" w:eastAsia="Calibri" w:hAnsiTheme="majorBidi" w:cstheme="majorBidi"/>
        </w:rPr>
      </w:pPr>
      <w:r w:rsidRPr="00AF4FEA">
        <w:rPr>
          <w:rFonts w:asciiTheme="majorBidi" w:eastAsia="Times New Roman" w:hAnsiTheme="majorBidi" w:cstheme="majorBidi"/>
          <w:lang w:bidi="ar-AE"/>
        </w:rPr>
        <w:t xml:space="preserve">La richesse polysémique a apparu dès le début de l’exégèse mais il semble qu’elle a pris un tournant plus ou moins politique. Toutefois, le champ sémantique d’un mot ou d’une phrase s’est nettement élargi avec le courant mystique (Ibn </w:t>
      </w:r>
      <w:r w:rsidRPr="00AF4FEA">
        <w:rPr>
          <w:rFonts w:asciiTheme="majorBidi" w:eastAsia="Times New Roman" w:hAnsiTheme="majorBidi" w:cstheme="majorBidi"/>
        </w:rPr>
        <w:t>ʿ</w:t>
      </w:r>
      <w:r w:rsidRPr="00AF4FEA">
        <w:rPr>
          <w:rFonts w:asciiTheme="majorBidi" w:eastAsia="Times New Roman" w:hAnsiTheme="majorBidi" w:cstheme="majorBidi"/>
          <w:lang w:bidi="ar-AE"/>
        </w:rPr>
        <w:t xml:space="preserve">Arabī et </w:t>
      </w:r>
      <w:r w:rsidRPr="00AF4FEA">
        <w:rPr>
          <w:rFonts w:asciiTheme="majorBidi" w:eastAsia="Calibri" w:hAnsiTheme="majorBidi" w:cstheme="majorBidi"/>
        </w:rPr>
        <w:t>Amīn</w:t>
      </w:r>
      <w:r w:rsidRPr="00AF4FEA">
        <w:rPr>
          <w:rFonts w:asciiTheme="majorBidi" w:eastAsia="Times New Roman" w:hAnsiTheme="majorBidi" w:cstheme="majorBidi"/>
          <w:lang w:bidi="ar-AE"/>
        </w:rPr>
        <w:t xml:space="preserve"> </w:t>
      </w:r>
      <w:r w:rsidRPr="00AF4FEA">
        <w:rPr>
          <w:rFonts w:asciiTheme="majorBidi" w:eastAsia="Calibri" w:hAnsiTheme="majorBidi" w:cstheme="majorBidi"/>
        </w:rPr>
        <w:t xml:space="preserve">Shaykhū, </w:t>
      </w:r>
      <w:r w:rsidRPr="00AF4FEA">
        <w:rPr>
          <w:rFonts w:asciiTheme="majorBidi" w:eastAsia="Times New Roman" w:hAnsiTheme="majorBidi" w:cstheme="majorBidi"/>
          <w:lang w:bidi="ar-AE"/>
        </w:rPr>
        <w:t>entre autres)</w:t>
      </w:r>
      <w:r w:rsidRPr="00AF4FEA">
        <w:rPr>
          <w:rFonts w:asciiTheme="majorBidi" w:eastAsia="Calibri" w:hAnsiTheme="majorBidi" w:cstheme="majorBidi"/>
        </w:rPr>
        <w:t xml:space="preserve">. En guise d’exemple, </w:t>
      </w:r>
      <w:r w:rsidRPr="00AF4FEA">
        <w:rPr>
          <w:rFonts w:asciiTheme="majorBidi" w:eastAsia="Times New Roman" w:hAnsiTheme="majorBidi" w:cstheme="majorBidi"/>
          <w:lang w:bidi="ar-AE"/>
        </w:rPr>
        <w:t xml:space="preserve">le théologien contemporain syrien </w:t>
      </w:r>
      <w:r w:rsidRPr="00AF4FEA">
        <w:rPr>
          <w:rFonts w:asciiTheme="majorBidi" w:eastAsia="Calibri" w:hAnsiTheme="majorBidi" w:cstheme="majorBidi"/>
        </w:rPr>
        <w:t>Muḥammad Amīn Shaykhū (1890-1964)</w:t>
      </w:r>
      <w:r w:rsidRPr="00AF4FEA">
        <w:rPr>
          <w:rFonts w:asciiTheme="majorBidi" w:eastAsia="Calibri" w:hAnsiTheme="majorBidi" w:cstheme="majorBidi"/>
          <w:vertAlign w:val="superscript"/>
          <w:lang w:bidi="ar-AE"/>
        </w:rPr>
        <w:footnoteReference w:id="246"/>
      </w:r>
      <w:r w:rsidRPr="00AF4FEA">
        <w:rPr>
          <w:rFonts w:asciiTheme="majorBidi" w:eastAsia="Calibri" w:hAnsiTheme="majorBidi" w:cstheme="majorBidi"/>
        </w:rPr>
        <w:t xml:space="preserve"> et ses élèves Al-Bānī et An-Nābulsī</w:t>
      </w:r>
      <w:r w:rsidRPr="00AF4FEA">
        <w:rPr>
          <w:rFonts w:asciiTheme="majorBidi" w:eastAsia="Times New Roman" w:hAnsiTheme="majorBidi" w:cstheme="majorBidi"/>
          <w:lang w:bidi="ar-AE"/>
        </w:rPr>
        <w:t xml:space="preserve"> ont élargi le champ sémantique de l’expression </w:t>
      </w:r>
      <w:r w:rsidRPr="00AF4FEA">
        <w:rPr>
          <w:rFonts w:asciiTheme="majorBidi" w:eastAsia="Times New Roman" w:hAnsiTheme="majorBidi" w:cstheme="majorBidi"/>
          <w:i/>
          <w:iCs/>
          <w:lang w:bidi="ar-AE"/>
        </w:rPr>
        <w:t>al-ladhīna āmanū</w:t>
      </w:r>
      <w:r w:rsidRPr="00AF4FEA">
        <w:rPr>
          <w:rFonts w:asciiTheme="majorBidi" w:eastAsia="Times New Roman" w:hAnsiTheme="majorBidi" w:cstheme="majorBidi"/>
        </w:rPr>
        <w:t xml:space="preserve"> [ceux qui ont cru]</w:t>
      </w:r>
      <w:r w:rsidRPr="00AF4FEA">
        <w:rPr>
          <w:rFonts w:asciiTheme="majorBidi" w:eastAsia="Times New Roman" w:hAnsiTheme="majorBidi" w:cstheme="majorBidi"/>
          <w:lang w:bidi="ar-AE"/>
        </w:rPr>
        <w:t xml:space="preserve"> (v. 17) pour qu’elle désigne tous ceux qui croient à l’existence d’un créateur, alors qu’elle désigne selon les autres exégètes les seuls musulmans. </w:t>
      </w:r>
      <w:r w:rsidRPr="00AF4FEA">
        <w:rPr>
          <w:rFonts w:asciiTheme="majorBidi" w:eastAsia="Times New Roman" w:hAnsiTheme="majorBidi" w:cstheme="majorBidi"/>
        </w:rPr>
        <w:t xml:space="preserve">Dans ce cas, un déiste fait partie de </w:t>
      </w:r>
      <w:r>
        <w:rPr>
          <w:rFonts w:asciiTheme="majorBidi" w:eastAsia="Times New Roman" w:hAnsiTheme="majorBidi" w:cstheme="majorBidi"/>
          <w:i/>
          <w:iCs/>
          <w:lang w:bidi="ar-AE"/>
        </w:rPr>
        <w:t xml:space="preserve">al-ladhīna </w:t>
      </w:r>
      <w:r w:rsidRPr="00AF4FEA">
        <w:rPr>
          <w:rFonts w:asciiTheme="majorBidi" w:eastAsia="Times New Roman" w:hAnsiTheme="majorBidi" w:cstheme="majorBidi"/>
          <w:i/>
          <w:iCs/>
          <w:lang w:bidi="ar-AE"/>
        </w:rPr>
        <w:t>āmanū</w:t>
      </w:r>
      <w:r w:rsidRPr="00AF4FEA">
        <w:rPr>
          <w:rFonts w:asciiTheme="majorBidi" w:eastAsia="Times New Roman" w:hAnsiTheme="majorBidi" w:cstheme="majorBidi"/>
          <w:lang w:bidi="ar-AE"/>
        </w:rPr>
        <w:t xml:space="preserve"> selon Shaykhū, alors que selon d’autres théologiens, un chrétien, voire un musulman alaouite ne font certainement pas partie d’</w:t>
      </w:r>
      <w:r w:rsidRPr="00AF4FEA">
        <w:rPr>
          <w:rFonts w:asciiTheme="majorBidi" w:eastAsia="Times New Roman" w:hAnsiTheme="majorBidi" w:cstheme="majorBidi"/>
          <w:i/>
          <w:iCs/>
          <w:lang w:bidi="ar-AE"/>
        </w:rPr>
        <w:t>al-ladhīna ʾāmanū</w:t>
      </w:r>
      <w:r w:rsidRPr="00AF4FEA">
        <w:rPr>
          <w:rFonts w:asciiTheme="majorBidi" w:eastAsia="Times New Roman" w:hAnsiTheme="majorBidi" w:cstheme="majorBidi"/>
          <w:lang w:bidi="ar-AE"/>
        </w:rPr>
        <w:t>. Avec Shaykhū et les autres mystiques, la catégorie d’</w:t>
      </w:r>
      <w:r w:rsidRPr="00AF4FEA">
        <w:rPr>
          <w:rFonts w:asciiTheme="majorBidi" w:eastAsia="Times New Roman" w:hAnsiTheme="majorBidi" w:cstheme="majorBidi"/>
          <w:i/>
          <w:iCs/>
          <w:lang w:bidi="ar-AE"/>
        </w:rPr>
        <w:t>al-ladhīna ʾāmanū</w:t>
      </w:r>
      <w:r w:rsidRPr="00AF4FEA">
        <w:rPr>
          <w:rFonts w:asciiTheme="majorBidi" w:eastAsia="Times New Roman" w:hAnsiTheme="majorBidi" w:cstheme="majorBidi"/>
          <w:lang w:bidi="ar-AE"/>
        </w:rPr>
        <w:t xml:space="preserve"> est nettement moins schismatique qu’avec les autres exégètes.</w:t>
      </w:r>
    </w:p>
    <w:p w14:paraId="180E2BEF" w14:textId="77777777" w:rsidR="00296288" w:rsidRPr="00B867DF" w:rsidRDefault="00296288" w:rsidP="00296288">
      <w:pPr>
        <w:spacing w:line="360" w:lineRule="auto"/>
        <w:jc w:val="both"/>
        <w:rPr>
          <w:rFonts w:asciiTheme="majorBidi" w:eastAsia="Times New Roman" w:hAnsiTheme="majorBidi" w:cstheme="majorBidi"/>
          <w:lang w:bidi="ar-AE"/>
        </w:rPr>
      </w:pPr>
    </w:p>
    <w:p w14:paraId="72B83E32" w14:textId="77777777" w:rsidR="00296288" w:rsidRPr="00B867DF" w:rsidRDefault="00296288" w:rsidP="00296288">
      <w:pPr>
        <w:spacing w:line="360" w:lineRule="auto"/>
        <w:jc w:val="both"/>
        <w:rPr>
          <w:rFonts w:eastAsia="Times New Roman"/>
          <w:lang w:bidi="ar-AE"/>
        </w:rPr>
      </w:pPr>
      <w:r w:rsidRPr="00B867DF">
        <w:rPr>
          <w:rFonts w:eastAsia="Times New Roman"/>
          <w:lang w:bidi="ar-AE"/>
        </w:rPr>
        <w:tab/>
        <w:t xml:space="preserve">Il est à souligner que l’expression </w:t>
      </w:r>
      <w:r w:rsidRPr="00B867DF">
        <w:rPr>
          <w:rFonts w:eastAsia="Times New Roman"/>
          <w:i/>
          <w:iCs/>
          <w:lang w:bidi="ar-AE"/>
        </w:rPr>
        <w:t>al-ladhīna ashrakū</w:t>
      </w:r>
      <w:r w:rsidRPr="00B867DF">
        <w:rPr>
          <w:rFonts w:eastAsia="Times New Roman"/>
          <w:lang w:bidi="ar-AE"/>
        </w:rPr>
        <w:t xml:space="preserve"> </w:t>
      </w:r>
      <w:r w:rsidRPr="00B867DF">
        <w:rPr>
          <w:rFonts w:asciiTheme="majorBidi" w:eastAsia="Times New Roman" w:hAnsiTheme="majorBidi" w:cstheme="majorBidi"/>
        </w:rPr>
        <w:t>[ceux qui ont associé une divinité avec Dieu]</w:t>
      </w:r>
      <w:r w:rsidRPr="00B867DF">
        <w:rPr>
          <w:rFonts w:eastAsia="Times New Roman"/>
          <w:lang w:bidi="ar-AE"/>
        </w:rPr>
        <w:t xml:space="preserve"> (v. 17) a des significations limitées aux adversaires du Prophètes ou à ceux qui dénient sa prophétie. Cette expression peut désigner selon les exégètes : les idolâtres en général ; les polythéistes Arabes ; les chrétiens arabes (</w:t>
      </w:r>
      <w:r w:rsidRPr="00B867DF">
        <w:rPr>
          <w:rFonts w:eastAsia="Times New Roman"/>
          <w:i/>
          <w:iCs/>
          <w:lang w:bidi="ar-AE"/>
        </w:rPr>
        <w:t>naṣārā l-ʿarab</w:t>
      </w:r>
      <w:r w:rsidRPr="00B867DF">
        <w:rPr>
          <w:rFonts w:eastAsia="Times New Roman"/>
          <w:lang w:bidi="ar-AE"/>
        </w:rPr>
        <w:t xml:space="preserve">, ou peut-être les nazaréens arabes) ; les dénégateurs de la prophétie de Muḥammad. Dans cette même catégorie, on peut voir des polythéistes et des chrétiens, i.e. des non-monothéistes et des monothéistes. Cependant, on </w:t>
      </w:r>
      <w:r w:rsidRPr="00B867DF">
        <w:rPr>
          <w:rFonts w:eastAsia="Times New Roman"/>
          <w:lang w:bidi="ar-AE"/>
        </w:rPr>
        <w:lastRenderedPageBreak/>
        <w:t xml:space="preserve">remarque que le verset 17 fait la distinction entre les </w:t>
      </w:r>
      <w:r w:rsidRPr="00B867DF">
        <w:rPr>
          <w:rFonts w:eastAsia="Times New Roman"/>
          <w:i/>
          <w:iCs/>
          <w:lang w:bidi="ar-AE"/>
        </w:rPr>
        <w:t>Naṣārā</w:t>
      </w:r>
      <w:r w:rsidRPr="00B867DF">
        <w:rPr>
          <w:rFonts w:eastAsia="Times New Roman"/>
          <w:lang w:bidi="ar-AE"/>
        </w:rPr>
        <w:t xml:space="preserve"> (les chrétiens selon les exégètes) et </w:t>
      </w:r>
      <w:r w:rsidRPr="00B867DF">
        <w:rPr>
          <w:rFonts w:eastAsia="Times New Roman"/>
          <w:i/>
          <w:iCs/>
          <w:lang w:bidi="ar-AE"/>
        </w:rPr>
        <w:t>alladhīna</w:t>
      </w:r>
      <w:r w:rsidRPr="00B867DF">
        <w:rPr>
          <w:rFonts w:eastAsia="Times New Roman"/>
          <w:lang w:bidi="ar-AE"/>
        </w:rPr>
        <w:t xml:space="preserve"> </w:t>
      </w:r>
      <w:r w:rsidRPr="00B867DF">
        <w:rPr>
          <w:rFonts w:eastAsia="Times New Roman"/>
          <w:i/>
          <w:iCs/>
          <w:lang w:bidi="ar-AE"/>
        </w:rPr>
        <w:t>ashrakū</w:t>
      </w:r>
      <w:r w:rsidRPr="00B867DF">
        <w:rPr>
          <w:rFonts w:eastAsia="Times New Roman"/>
          <w:lang w:bidi="ar-AE"/>
        </w:rPr>
        <w:t> (les polythéistes) en les considérant comme deux catégories différentes :</w:t>
      </w:r>
    </w:p>
    <w:p w14:paraId="21370438" w14:textId="77777777" w:rsidR="00296288" w:rsidRPr="002B5C8E" w:rsidRDefault="00296288" w:rsidP="00296288">
      <w:pPr>
        <w:bidi/>
        <w:spacing w:line="360" w:lineRule="auto"/>
        <w:jc w:val="both"/>
        <w:rPr>
          <w:rFonts w:ascii="Simplified Arabic" w:eastAsia="Times New Roman" w:hAnsi="Simplified Arabic" w:cs="Simplified Arabic"/>
          <w:lang w:bidi="ar-AE"/>
        </w:rPr>
      </w:pPr>
      <w:r w:rsidRPr="00B867DF">
        <w:rPr>
          <w:rFonts w:ascii="Simplified Arabic" w:eastAsia="Times New Roman" w:hAnsi="Simplified Arabic" w:cs="Simplified Arabic"/>
          <w:rtl/>
          <w:lang w:bidi="ar-AE"/>
        </w:rPr>
        <w:t>إنَّ [1]الذين آمَنُوا و[2]الذين هادوا و[3]الصابئين و[4]</w:t>
      </w:r>
      <w:r w:rsidRPr="00B867DF">
        <w:rPr>
          <w:rFonts w:ascii="Simplified Arabic" w:eastAsia="Times New Roman" w:hAnsi="Simplified Arabic" w:cs="Simplified Arabic"/>
          <w:i/>
          <w:iCs/>
          <w:rtl/>
          <w:lang w:bidi="ar-AE"/>
        </w:rPr>
        <w:t>النصارى</w:t>
      </w:r>
      <w:r w:rsidRPr="00B867DF">
        <w:rPr>
          <w:rFonts w:ascii="Simplified Arabic" w:eastAsia="Times New Roman" w:hAnsi="Simplified Arabic" w:cs="Simplified Arabic"/>
          <w:rtl/>
          <w:lang w:bidi="ar-AE"/>
        </w:rPr>
        <w:t xml:space="preserve"> و[5]المجوسَ و[6]</w:t>
      </w:r>
      <w:r w:rsidRPr="00B867DF">
        <w:rPr>
          <w:rFonts w:ascii="Simplified Arabic" w:eastAsia="Times New Roman" w:hAnsi="Simplified Arabic" w:cs="Simplified Arabic"/>
          <w:i/>
          <w:iCs/>
          <w:rtl/>
          <w:lang w:bidi="ar-AE"/>
        </w:rPr>
        <w:t>الذين أشركوا</w:t>
      </w:r>
      <w:r w:rsidRPr="00B867DF">
        <w:rPr>
          <w:rFonts w:ascii="Simplified Arabic" w:eastAsia="Times New Roman" w:hAnsi="Simplified Arabic" w:cs="Simplified Arabic"/>
          <w:rtl/>
          <w:lang w:bidi="ar-AE"/>
        </w:rPr>
        <w:t xml:space="preserve"> إنَّ اللهَ يَفْصِلُ بينهم يومَ </w:t>
      </w:r>
      <w:r w:rsidRPr="002B5C8E">
        <w:rPr>
          <w:rFonts w:ascii="Simplified Arabic" w:eastAsia="Times New Roman" w:hAnsi="Simplified Arabic" w:cs="Simplified Arabic"/>
          <w:rtl/>
          <w:lang w:bidi="ar-AE"/>
        </w:rPr>
        <w:t>القيامة.</w:t>
      </w:r>
    </w:p>
    <w:p w14:paraId="56A99C27" w14:textId="77777777" w:rsidR="00296288" w:rsidRPr="002B5C8E" w:rsidRDefault="00296288" w:rsidP="00296288">
      <w:pPr>
        <w:spacing w:line="360" w:lineRule="auto"/>
        <w:jc w:val="both"/>
        <w:rPr>
          <w:rFonts w:ascii="Simplified Arabic" w:eastAsia="Times New Roman" w:hAnsi="Simplified Arabic" w:cs="Simplified Arabic"/>
        </w:rPr>
      </w:pPr>
      <w:r w:rsidRPr="002B5C8E">
        <w:rPr>
          <w:rFonts w:asciiTheme="majorBidi" w:eastAsia="Calibri" w:hAnsiTheme="majorBidi" w:cstheme="majorBidi"/>
          <w:lang w:bidi="ar-AE"/>
        </w:rPr>
        <w:t>([1]Ceux qui croient, [2]les adeptes du Judaïsme, [3]les Mandéens, [4]les Chrétiens, [4]les Zoroastriens, [6]les associants : entre tous Dieu tranchera au Jour de la résurrection.)</w:t>
      </w:r>
    </w:p>
    <w:p w14:paraId="43D86CC5" w14:textId="77777777" w:rsidR="00296288" w:rsidRPr="00B867DF" w:rsidRDefault="00296288" w:rsidP="00296288">
      <w:pPr>
        <w:spacing w:line="360" w:lineRule="auto"/>
        <w:ind w:firstLine="708"/>
        <w:jc w:val="both"/>
        <w:rPr>
          <w:rFonts w:eastAsia="Times New Roman"/>
          <w:lang w:bidi="ar-AE"/>
        </w:rPr>
      </w:pPr>
      <w:r w:rsidRPr="002B5C8E">
        <w:rPr>
          <w:rFonts w:eastAsia="Times New Roman"/>
          <w:lang w:bidi="ar-AE"/>
        </w:rPr>
        <w:t>Malgré cela, la plupart des exégètes, pour ne pas dire tous, insistent sur l’idée que les</w:t>
      </w:r>
      <w:r w:rsidRPr="00B867DF">
        <w:rPr>
          <w:rFonts w:eastAsia="Times New Roman"/>
          <w:lang w:bidi="ar-AE"/>
        </w:rPr>
        <w:t xml:space="preserve"> chrétiens sont comptés parmi </w:t>
      </w:r>
      <w:r w:rsidRPr="00B867DF">
        <w:rPr>
          <w:rFonts w:eastAsia="Times New Roman"/>
          <w:i/>
          <w:iCs/>
          <w:lang w:bidi="ar-AE"/>
        </w:rPr>
        <w:t>alladhīna ʾashrakū</w:t>
      </w:r>
      <w:r w:rsidRPr="00B867DF">
        <w:rPr>
          <w:rFonts w:eastAsia="Times New Roman"/>
          <w:lang w:bidi="ar-AE"/>
        </w:rPr>
        <w:t xml:space="preserve"> (les polythéistes) pour des raisons dogmatiques et sociopolitiques qui n’entrent pas dans le domaine de notre recherche.</w:t>
      </w:r>
    </w:p>
    <w:p w14:paraId="60D18AEB" w14:textId="77777777" w:rsidR="00296288" w:rsidRPr="00B867DF" w:rsidRDefault="00296288" w:rsidP="00296288">
      <w:pPr>
        <w:spacing w:line="360" w:lineRule="auto"/>
        <w:jc w:val="both"/>
        <w:rPr>
          <w:rFonts w:eastAsia="Times New Roman"/>
          <w:color w:val="FF0000"/>
          <w:lang w:bidi="ar-AE"/>
        </w:rPr>
      </w:pPr>
    </w:p>
    <w:p w14:paraId="61CB52E7" w14:textId="6603C386"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Les exégètes ont donné au verb</w:t>
      </w:r>
      <w:r w:rsidR="007D2DD6">
        <w:rPr>
          <w:rFonts w:eastAsia="Times New Roman"/>
          <w:lang w:bidi="ar-AE"/>
        </w:rPr>
        <w:t xml:space="preserve">e </w:t>
      </w:r>
      <w:r w:rsidRPr="00B867DF">
        <w:rPr>
          <w:rFonts w:eastAsia="Times New Roman"/>
          <w:i/>
          <w:iCs/>
          <w:lang w:bidi="ar-AE"/>
        </w:rPr>
        <w:t>yafṣil</w:t>
      </w:r>
      <w:r w:rsidRPr="00B867DF">
        <w:rPr>
          <w:rFonts w:eastAsia="Times New Roman"/>
          <w:lang w:bidi="ar-AE"/>
        </w:rPr>
        <w:t xml:space="preserve"> [</w:t>
      </w:r>
      <w:r w:rsidRPr="00B867DF">
        <w:rPr>
          <w:rFonts w:eastAsia="Times New Roman"/>
          <w:i/>
          <w:iCs/>
          <w:lang w:bidi="ar-AE"/>
        </w:rPr>
        <w:t>bayna-hum</w:t>
      </w:r>
      <w:r w:rsidR="007D2DD6">
        <w:rPr>
          <w:rFonts w:eastAsia="Times New Roman"/>
          <w:lang w:bidi="ar-AE"/>
        </w:rPr>
        <w:t>]</w:t>
      </w:r>
      <w:r w:rsidRPr="00B867DF">
        <w:rPr>
          <w:rFonts w:eastAsia="Times New Roman"/>
          <w:lang w:bidi="ar-AE"/>
        </w:rPr>
        <w:t xml:space="preserve"> [il tranchera [entre eux]] (v. 1</w:t>
      </w:r>
      <w:r>
        <w:rPr>
          <w:rFonts w:eastAsia="Times New Roman"/>
          <w:lang w:bidi="ar-AE"/>
        </w:rPr>
        <w:t xml:space="preserve">7) plusieurs significations : 1) </w:t>
      </w:r>
      <w:r w:rsidRPr="00B867DF">
        <w:rPr>
          <w:rFonts w:eastAsia="Times New Roman"/>
          <w:lang w:bidi="ar-AE"/>
        </w:rPr>
        <w:t>les rémunérer ; 2</w:t>
      </w:r>
      <w:r>
        <w:rPr>
          <w:rFonts w:eastAsia="Times New Roman"/>
          <w:lang w:bidi="ar-AE"/>
        </w:rPr>
        <w:t xml:space="preserve">) leur donner raison ; 3) leur rendre justice ; 4) </w:t>
      </w:r>
      <w:r w:rsidRPr="00B867DF">
        <w:rPr>
          <w:rFonts w:eastAsia="Times New Roman"/>
          <w:lang w:bidi="ar-AE"/>
        </w:rPr>
        <w:t>arbitrer leur litige ; 5</w:t>
      </w:r>
      <w:r>
        <w:rPr>
          <w:rFonts w:eastAsia="Times New Roman"/>
          <w:lang w:bidi="ar-AE"/>
        </w:rPr>
        <w:t xml:space="preserve">) </w:t>
      </w:r>
      <w:r w:rsidRPr="00B867DF">
        <w:rPr>
          <w:rFonts w:eastAsia="Times New Roman"/>
          <w:lang w:bidi="ar-AE"/>
        </w:rPr>
        <w:t>prononcer une sentence sur l’objet de leurs divergences ; 6</w:t>
      </w:r>
      <w:r>
        <w:rPr>
          <w:rFonts w:eastAsia="Times New Roman"/>
          <w:lang w:bidi="ar-AE"/>
        </w:rPr>
        <w:t xml:space="preserve">) </w:t>
      </w:r>
      <w:r w:rsidRPr="00B867DF">
        <w:rPr>
          <w:rFonts w:eastAsia="Times New Roman"/>
          <w:lang w:bidi="ar-AE"/>
        </w:rPr>
        <w:t xml:space="preserve">distinguer parmi eux ceux qui ont raison et ceux qui ont tort. Cependant, les exégètes ne disent pas </w:t>
      </w:r>
      <w:r w:rsidRPr="00B867DF">
        <w:rPr>
          <w:rFonts w:eastAsia="Times New Roman"/>
          <w:i/>
          <w:iCs/>
          <w:lang w:bidi="ar-AE"/>
        </w:rPr>
        <w:t>comment</w:t>
      </w:r>
      <w:r w:rsidRPr="00B867DF">
        <w:rPr>
          <w:rFonts w:eastAsia="Times New Roman"/>
          <w:lang w:bidi="ar-AE"/>
        </w:rPr>
        <w:t xml:space="preserve"> Dieu tranchera entre toutes ces religions </w:t>
      </w:r>
      <w:r w:rsidRPr="00B867DF">
        <w:rPr>
          <w:rFonts w:eastAsia="Times New Roman"/>
          <w:i/>
          <w:iCs/>
          <w:lang w:bidi="ar-AE"/>
        </w:rPr>
        <w:t>dans l’autre monde</w:t>
      </w:r>
      <w:r w:rsidRPr="00B867DF">
        <w:rPr>
          <w:rFonts w:eastAsia="Times New Roman"/>
          <w:lang w:bidi="ar-AE"/>
        </w:rPr>
        <w:t xml:space="preserve"> et à quoi cela servira si leurs différends exigent une solution ici et maintenant et non pas dans l’autre monde. Dans ce verset, la suspension du jugement (l’épochè) doit être due à des considérations sociopolitiques. Jacques Berque commente sa traduction du verset en disant que « Dieu tranchera » est un épochè métaphysique et une tolérance de principe et que ce trait reviendra plusieurs fois. Le discours de ce verset semble être mecquois (conformément à ce que dit Mujāhid</w:t>
      </w:r>
      <w:r w:rsidRPr="00B867DF">
        <w:rPr>
          <w:rFonts w:eastAsia="Times New Roman" w:hint="cs"/>
          <w:rtl/>
          <w:lang w:bidi="ar-AE"/>
        </w:rPr>
        <w:t xml:space="preserve"> </w:t>
      </w:r>
      <w:r w:rsidRPr="00B867DF">
        <w:rPr>
          <w:rFonts w:eastAsia="Times New Roman"/>
          <w:lang w:bidi="ar-AE"/>
        </w:rPr>
        <w:t>(m. 722)), c’est-à-dire avant que les musulmans aient été puissants et qu’ils aient fondé leur État.</w:t>
      </w:r>
    </w:p>
    <w:p w14:paraId="50385995" w14:textId="77777777" w:rsidR="00296288" w:rsidRPr="00B7108A" w:rsidRDefault="00296288" w:rsidP="00296288">
      <w:pPr>
        <w:spacing w:line="360" w:lineRule="auto"/>
        <w:jc w:val="both"/>
        <w:rPr>
          <w:rFonts w:eastAsia="Times New Roman"/>
          <w:lang w:bidi="ar-AE"/>
        </w:rPr>
      </w:pPr>
    </w:p>
    <w:p w14:paraId="1CD19806" w14:textId="77777777" w:rsidR="00296288" w:rsidRPr="00B7108A"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AE"/>
        </w:rPr>
      </w:pPr>
      <w:r w:rsidRPr="00B7108A">
        <w:rPr>
          <w:rFonts w:ascii="Times New Roman" w:hAnsi="Times New Roman" w:cs="Times New Roman"/>
          <w:b/>
          <w:bCs/>
          <w:sz w:val="24"/>
          <w:szCs w:val="24"/>
          <w:lang w:eastAsia="fr-FR" w:bidi="ar-AE"/>
        </w:rPr>
        <w:t xml:space="preserve">Le </w:t>
      </w:r>
      <w:r w:rsidRPr="00B7108A">
        <w:rPr>
          <w:rFonts w:ascii="Times New Roman" w:hAnsi="Times New Roman" w:cs="Times New Roman"/>
          <w:b/>
          <w:bCs/>
          <w:i/>
          <w:iCs/>
          <w:sz w:val="24"/>
          <w:szCs w:val="24"/>
          <w:lang w:eastAsia="fr-FR" w:bidi="ar-AE"/>
        </w:rPr>
        <w:t>sujūd</w:t>
      </w:r>
      <w:r w:rsidRPr="00B7108A">
        <w:rPr>
          <w:rFonts w:ascii="Times New Roman" w:hAnsi="Times New Roman" w:cs="Times New Roman"/>
          <w:b/>
          <w:bCs/>
          <w:sz w:val="24"/>
          <w:szCs w:val="24"/>
          <w:lang w:eastAsia="fr-FR" w:bidi="ar-AE"/>
        </w:rPr>
        <w:t>, de quoi s’agit-il (v. 18) ?</w:t>
      </w:r>
    </w:p>
    <w:p w14:paraId="2FC1F16D" w14:textId="178494A8" w:rsidR="00296288" w:rsidRPr="00B867DF" w:rsidRDefault="00296288" w:rsidP="00F32586">
      <w:pPr>
        <w:spacing w:line="360" w:lineRule="auto"/>
        <w:ind w:firstLine="360"/>
        <w:jc w:val="both"/>
        <w:rPr>
          <w:rFonts w:eastAsia="Times New Roman"/>
          <w:lang w:bidi="ar-AE"/>
        </w:rPr>
      </w:pPr>
      <w:r w:rsidRPr="00F32586">
        <w:rPr>
          <w:rFonts w:asciiTheme="majorBidi" w:eastAsia="Times New Roman" w:hAnsiTheme="majorBidi" w:cstheme="majorBidi"/>
          <w:lang w:bidi="ar-AE"/>
        </w:rPr>
        <w:t>Le verset 18 s’adresse à Muḥammad en lui demandant avec une phrase à la forme interronégative qui exprime une certaine affirmation : « </w:t>
      </w:r>
      <w:r w:rsidRPr="00F32586">
        <w:rPr>
          <w:rFonts w:asciiTheme="majorBidi" w:eastAsia="Times New Roman" w:hAnsiTheme="majorBidi" w:cstheme="majorBidi"/>
          <w:rtl/>
          <w:lang w:bidi="ar-AE"/>
        </w:rPr>
        <w:t>ألم ترَ أن الله</w:t>
      </w:r>
      <w:r w:rsidR="00F32586" w:rsidRPr="00F32586">
        <w:rPr>
          <w:rFonts w:asciiTheme="majorBidi" w:eastAsia="Times New Roman" w:hAnsiTheme="majorBidi" w:cstheme="majorBidi"/>
          <w:b/>
          <w:bCs/>
          <w:rtl/>
          <w:lang w:bidi="ar-AE"/>
        </w:rPr>
        <w:t xml:space="preserve"> يسجد</w:t>
      </w:r>
      <w:r w:rsidRPr="00F32586">
        <w:rPr>
          <w:rFonts w:asciiTheme="majorBidi" w:eastAsia="Times New Roman" w:hAnsiTheme="majorBidi" w:cstheme="majorBidi"/>
          <w:b/>
          <w:bCs/>
          <w:rtl/>
          <w:lang w:bidi="ar-AE"/>
        </w:rPr>
        <w:t xml:space="preserve"> </w:t>
      </w:r>
      <w:r w:rsidRPr="00F32586">
        <w:rPr>
          <w:rFonts w:asciiTheme="majorBidi" w:eastAsia="Times New Roman" w:hAnsiTheme="majorBidi" w:cstheme="majorBidi"/>
          <w:rtl/>
          <w:lang w:bidi="ar-AE"/>
        </w:rPr>
        <w:t>له ما في السماوات وما في الأرض...؟</w:t>
      </w:r>
      <w:r w:rsidRPr="00F32586">
        <w:rPr>
          <w:rFonts w:asciiTheme="majorBidi" w:eastAsia="Times New Roman" w:hAnsiTheme="majorBidi" w:cstheme="majorBidi"/>
          <w:lang w:bidi="ar-AE"/>
        </w:rPr>
        <w:t> » [</w:t>
      </w:r>
      <w:r w:rsidRPr="00F32586">
        <w:rPr>
          <w:rFonts w:asciiTheme="majorBidi" w:eastAsia="Calibri" w:hAnsiTheme="majorBidi" w:cstheme="majorBidi"/>
          <w:lang w:bidi="ar-AE"/>
        </w:rPr>
        <w:t xml:space="preserve">Dieu : ne vois-tu pas vers Lui </w:t>
      </w:r>
      <w:r w:rsidRPr="00F32586">
        <w:rPr>
          <w:rFonts w:asciiTheme="majorBidi" w:eastAsia="Calibri" w:hAnsiTheme="majorBidi" w:cstheme="majorBidi"/>
          <w:b/>
          <w:bCs/>
          <w:i/>
          <w:iCs/>
          <w:lang w:bidi="ar-AE"/>
        </w:rPr>
        <w:t>se prosterner</w:t>
      </w:r>
      <w:r w:rsidRPr="00F32586">
        <w:rPr>
          <w:rFonts w:asciiTheme="majorBidi" w:eastAsia="Calibri" w:hAnsiTheme="majorBidi" w:cstheme="majorBidi"/>
          <w:lang w:bidi="ar-AE"/>
        </w:rPr>
        <w:t xml:space="preserve"> les hôtes des cieux, les hôtes de la</w:t>
      </w:r>
      <w:r w:rsidRPr="00B867DF">
        <w:rPr>
          <w:rFonts w:eastAsia="Calibri"/>
          <w:lang w:bidi="ar-AE"/>
        </w:rPr>
        <w:t xml:space="preserve"> terre… ?</w:t>
      </w:r>
      <w:r w:rsidRPr="00B867DF">
        <w:rPr>
          <w:rFonts w:eastAsia="Times New Roman"/>
          <w:lang w:bidi="ar-AE"/>
        </w:rPr>
        <w:t>], comme si cette vision était évidente. Presque toutes les exégèses concordent sur la signification du verbe</w:t>
      </w:r>
      <w:r w:rsidRPr="00B867DF">
        <w:rPr>
          <w:rFonts w:eastAsia="Times New Roman"/>
          <w:i/>
          <w:iCs/>
          <w:lang w:bidi="ar-AE"/>
        </w:rPr>
        <w:t xml:space="preserve"> tara</w:t>
      </w:r>
      <w:r w:rsidRPr="00B867DF">
        <w:rPr>
          <w:rFonts w:eastAsia="Times New Roman"/>
          <w:lang w:bidi="ar-AE"/>
        </w:rPr>
        <w:t xml:space="preserve"> [tu vois] : vision psychologique, intellectuelle, spirituelle, par le cœur et l’intellect et non les yeux. Amīn Shaykhū ajoute qu’il s’agit également de regarder et d’observer le secours divin (</w:t>
      </w:r>
      <w:r w:rsidRPr="00B867DF">
        <w:rPr>
          <w:rFonts w:eastAsia="Times New Roman"/>
          <w:i/>
          <w:iCs/>
          <w:lang w:bidi="ar-AE"/>
        </w:rPr>
        <w:t>madad</w:t>
      </w:r>
      <w:r w:rsidRPr="00B867DF">
        <w:rPr>
          <w:rFonts w:eastAsia="Times New Roman"/>
          <w:lang w:bidi="ar-AE"/>
        </w:rPr>
        <w:t xml:space="preserve">), une sorte de </w:t>
      </w:r>
      <w:r w:rsidRPr="00B867DF">
        <w:rPr>
          <w:rFonts w:eastAsia="Times New Roman"/>
          <w:i/>
          <w:iCs/>
          <w:lang w:bidi="ar-AE"/>
        </w:rPr>
        <w:t>Deus ex machina</w:t>
      </w:r>
      <w:r w:rsidRPr="00B867DF">
        <w:rPr>
          <w:rFonts w:eastAsia="Times New Roman"/>
          <w:lang w:bidi="ar-AE"/>
        </w:rPr>
        <w:t xml:space="preserve">. En revanche, les exégètes </w:t>
      </w:r>
      <w:r w:rsidRPr="00B867DF">
        <w:rPr>
          <w:rFonts w:eastAsia="Times New Roman"/>
          <w:lang w:bidi="ar-AE"/>
        </w:rPr>
        <w:lastRenderedPageBreak/>
        <w:t xml:space="preserve">ont fourni plusieurs significations du verbe </w:t>
      </w:r>
      <w:r w:rsidRPr="00B867DF">
        <w:rPr>
          <w:rFonts w:eastAsia="Times New Roman"/>
          <w:i/>
          <w:iCs/>
          <w:lang w:bidi="ar-AE"/>
        </w:rPr>
        <w:t>yasjud</w:t>
      </w:r>
      <w:r w:rsidRPr="00B867DF">
        <w:rPr>
          <w:rFonts w:eastAsia="Times New Roman"/>
          <w:lang w:bidi="ar-AE"/>
        </w:rPr>
        <w:t xml:space="preserve"> [se prosterner], un verbe monosémique quand il s’agit du domaine rituel, mais polysémique quand le sujet est un nom inanimé ou non humain. Comment le soleil, l’arbre, l’animal se prosternent ? </w:t>
      </w:r>
      <w:r w:rsidRPr="00B867DF">
        <w:rPr>
          <w:rFonts w:eastAsia="Times New Roman"/>
        </w:rPr>
        <w:t xml:space="preserve">Le verbe </w:t>
      </w:r>
      <w:r w:rsidRPr="00B867DF">
        <w:rPr>
          <w:rFonts w:eastAsia="Times New Roman"/>
          <w:i/>
          <w:iCs/>
          <w:lang w:bidi="ar-AE"/>
        </w:rPr>
        <w:t>yasjud</w:t>
      </w:r>
      <w:r w:rsidRPr="00B867DF">
        <w:rPr>
          <w:rFonts w:eastAsia="Times New Roman"/>
          <w:lang w:bidi="ar-AE"/>
        </w:rPr>
        <w:t xml:space="preserve"> peut être pris au sens propre ou au sens figuré, et peut désigner un acte, une parole ou une idée. Les exégètes disent que le verbe </w:t>
      </w:r>
      <w:r w:rsidRPr="00B867DF">
        <w:rPr>
          <w:rFonts w:eastAsia="Times New Roman"/>
          <w:i/>
          <w:iCs/>
          <w:lang w:bidi="ar-AE"/>
        </w:rPr>
        <w:t>yasjud</w:t>
      </w:r>
      <w:r w:rsidRPr="00B867DF">
        <w:rPr>
          <w:rFonts w:eastAsia="Times New Roman"/>
          <w:lang w:bidi="ar-AE"/>
        </w:rPr>
        <w:t xml:space="preserve"> peut signifier :</w:t>
      </w:r>
    </w:p>
    <w:p w14:paraId="3E57B4DF" w14:textId="2D49381D" w:rsidR="00296288" w:rsidRPr="00B867DF" w:rsidRDefault="00296288" w:rsidP="007640DC">
      <w:pPr>
        <w:numPr>
          <w:ilvl w:val="0"/>
          <w:numId w:val="30"/>
        </w:numPr>
        <w:spacing w:line="360" w:lineRule="auto"/>
        <w:jc w:val="both"/>
        <w:rPr>
          <w:rFonts w:eastAsia="Times New Roman"/>
          <w:lang w:bidi="ar-AE"/>
        </w:rPr>
      </w:pPr>
      <w:r w:rsidRPr="00B867DF">
        <w:rPr>
          <w:rFonts w:eastAsia="Times New Roman"/>
          <w:lang w:bidi="ar-AE"/>
        </w:rPr>
        <w:t xml:space="preserve">La prosternation des ombres des créatures. Les créatures se prosternent seulement </w:t>
      </w:r>
      <w:r w:rsidRPr="00B867DF">
        <w:rPr>
          <w:rFonts w:eastAsia="Times New Roman"/>
          <w:i/>
          <w:iCs/>
          <w:lang w:bidi="ar-AE"/>
        </w:rPr>
        <w:t>par leurs ombres </w:t>
      </w:r>
      <w:r w:rsidRPr="00B867DF">
        <w:rPr>
          <w:rFonts w:eastAsia="Times New Roman"/>
          <w:lang w:bidi="ar-AE"/>
        </w:rPr>
        <w:t>; d’ailleurs le verset XIII, 15 le dit expl</w:t>
      </w:r>
      <w:r w:rsidR="00B32021">
        <w:rPr>
          <w:rFonts w:eastAsia="Times New Roman"/>
          <w:lang w:bidi="ar-AE"/>
        </w:rPr>
        <w:t xml:space="preserve">icitement en utilisant le mot </w:t>
      </w:r>
      <w:r w:rsidRPr="00B867DF">
        <w:rPr>
          <w:rFonts w:eastAsia="Times New Roman"/>
          <w:i/>
          <w:iCs/>
        </w:rPr>
        <w:t>ẓilālu-hum</w:t>
      </w:r>
      <w:r w:rsidRPr="00B867DF">
        <w:rPr>
          <w:rFonts w:eastAsia="Times New Roman"/>
        </w:rPr>
        <w:t xml:space="preserve"> </w:t>
      </w:r>
      <w:r w:rsidRPr="00B867DF">
        <w:rPr>
          <w:rFonts w:eastAsia="Times New Roman"/>
          <w:lang w:bidi="ar-AE"/>
        </w:rPr>
        <w:t>[leur ombre]. Mais s’ils ne se prosternent pas en réalité, comment leurs ombres peuvent-elles se prosterner ? Pour répondre à cette question, les musulmans n’ont probablement qu’à recourir au concordisme ;</w:t>
      </w:r>
    </w:p>
    <w:p w14:paraId="45C2936C" w14:textId="77777777" w:rsidR="00296288" w:rsidRPr="00B867DF" w:rsidRDefault="00296288" w:rsidP="007640DC">
      <w:pPr>
        <w:numPr>
          <w:ilvl w:val="0"/>
          <w:numId w:val="30"/>
        </w:numPr>
        <w:spacing w:line="360" w:lineRule="auto"/>
        <w:jc w:val="both"/>
        <w:rPr>
          <w:rFonts w:eastAsia="Times New Roman"/>
          <w:lang w:bidi="ar-AE"/>
        </w:rPr>
      </w:pPr>
      <w:r w:rsidRPr="00B867DF">
        <w:rPr>
          <w:rFonts w:eastAsia="Times New Roman"/>
          <w:lang w:bidi="ar-AE"/>
        </w:rPr>
        <w:t>La prosternation réelle et physique du soleil, de la lune et des astres, lors du coucher du soleil, et la prosternation des ombres des arbres, des montagnes et des animaux. Un hadith rapporté par al-Bukhārī et Muslim souligne la prosternation du soleil : Le Prophète aurait dit à Abū Dharr : « Sais-tu où se couche ce soleil ? Il part se prosterner sous le Trône ». Il s’agit d’une vraie prosternation physique de tout ce qui existe, comme nous nous prosternons (</w:t>
      </w:r>
      <w:r w:rsidRPr="00B867DF">
        <w:rPr>
          <w:rFonts w:eastAsia="Calibri"/>
        </w:rPr>
        <w:t>Ash-Shaʿrāwī</w:t>
      </w:r>
      <w:r w:rsidRPr="00B867DF">
        <w:rPr>
          <w:rFonts w:eastAsia="Times New Roman"/>
          <w:lang w:bidi="ar-AE"/>
        </w:rPr>
        <w:t>) ;</w:t>
      </w:r>
    </w:p>
    <w:p w14:paraId="549E69DA" w14:textId="77777777" w:rsidR="00296288" w:rsidRPr="00B867DF" w:rsidRDefault="00296288" w:rsidP="007640DC">
      <w:pPr>
        <w:numPr>
          <w:ilvl w:val="0"/>
          <w:numId w:val="30"/>
        </w:numPr>
        <w:spacing w:line="360" w:lineRule="auto"/>
        <w:jc w:val="both"/>
        <w:rPr>
          <w:rFonts w:eastAsia="Times New Roman"/>
          <w:lang w:bidi="ar-AE"/>
        </w:rPr>
      </w:pPr>
      <w:r w:rsidRPr="00B867DF">
        <w:rPr>
          <w:rFonts w:eastAsia="Times New Roman"/>
          <w:lang w:bidi="ar-AE"/>
        </w:rPr>
        <w:t>Une prosternation comme un signe d’obéissance ;</w:t>
      </w:r>
    </w:p>
    <w:p w14:paraId="5C4FC54F" w14:textId="77777777" w:rsidR="00296288" w:rsidRPr="00B867DF" w:rsidRDefault="00296288" w:rsidP="007640DC">
      <w:pPr>
        <w:numPr>
          <w:ilvl w:val="0"/>
          <w:numId w:val="30"/>
        </w:numPr>
        <w:spacing w:line="360" w:lineRule="auto"/>
        <w:jc w:val="both"/>
        <w:rPr>
          <w:rFonts w:eastAsia="Times New Roman"/>
          <w:lang w:bidi="ar-AE"/>
        </w:rPr>
      </w:pPr>
      <w:r w:rsidRPr="00B867DF">
        <w:rPr>
          <w:rFonts w:eastAsia="Times New Roman"/>
          <w:lang w:bidi="ar-AE"/>
        </w:rPr>
        <w:t>Se soumettre totalement à Dieu ;</w:t>
      </w:r>
    </w:p>
    <w:p w14:paraId="7B513DDD" w14:textId="77777777" w:rsidR="00296288" w:rsidRPr="00B867DF" w:rsidRDefault="00296288" w:rsidP="007640DC">
      <w:pPr>
        <w:numPr>
          <w:ilvl w:val="0"/>
          <w:numId w:val="30"/>
        </w:numPr>
        <w:spacing w:line="360" w:lineRule="auto"/>
        <w:jc w:val="both"/>
        <w:rPr>
          <w:rFonts w:eastAsia="Times New Roman"/>
          <w:lang w:bidi="ar-AE"/>
        </w:rPr>
      </w:pPr>
      <w:r w:rsidRPr="00B867DF">
        <w:rPr>
          <w:rFonts w:eastAsia="Times New Roman"/>
          <w:lang w:bidi="ar-AE"/>
        </w:rPr>
        <w:t>S’humilier ;</w:t>
      </w:r>
    </w:p>
    <w:p w14:paraId="76BF4323" w14:textId="77777777" w:rsidR="00296288" w:rsidRPr="00B867DF" w:rsidRDefault="00296288" w:rsidP="007640DC">
      <w:pPr>
        <w:numPr>
          <w:ilvl w:val="0"/>
          <w:numId w:val="30"/>
        </w:numPr>
        <w:spacing w:line="360" w:lineRule="auto"/>
        <w:jc w:val="both"/>
        <w:rPr>
          <w:rFonts w:eastAsia="Times New Roman"/>
          <w:lang w:bidi="ar-AE"/>
        </w:rPr>
      </w:pPr>
      <w:r w:rsidRPr="00B867DF">
        <w:rPr>
          <w:rFonts w:eastAsia="Times New Roman"/>
          <w:lang w:bidi="ar-AE"/>
        </w:rPr>
        <w:t>La glorification et les louanges de Dieu par les créatures ;</w:t>
      </w:r>
    </w:p>
    <w:p w14:paraId="227F9FA9" w14:textId="77777777" w:rsidR="00296288" w:rsidRPr="00B867DF" w:rsidRDefault="00296288" w:rsidP="007640DC">
      <w:pPr>
        <w:numPr>
          <w:ilvl w:val="0"/>
          <w:numId w:val="30"/>
        </w:numPr>
        <w:spacing w:line="360" w:lineRule="auto"/>
        <w:jc w:val="both"/>
        <w:rPr>
          <w:rFonts w:eastAsia="Times New Roman"/>
          <w:lang w:bidi="ar-AE"/>
        </w:rPr>
      </w:pPr>
      <w:r w:rsidRPr="00B867DF">
        <w:rPr>
          <w:rFonts w:eastAsia="Times New Roman"/>
          <w:lang w:bidi="ar-AE"/>
        </w:rPr>
        <w:t>La prosternation vaut l’existence. L’univers tire son existence de l’existence de Dieu (Shaykhū).</w:t>
      </w:r>
    </w:p>
    <w:p w14:paraId="151CD94F" w14:textId="77777777" w:rsidR="00296288" w:rsidRPr="00B867DF" w:rsidRDefault="00296288" w:rsidP="00296288">
      <w:pPr>
        <w:spacing w:line="360" w:lineRule="auto"/>
        <w:jc w:val="both"/>
        <w:rPr>
          <w:rFonts w:eastAsia="Times New Roman"/>
          <w:lang w:bidi="ar-AE"/>
        </w:rPr>
      </w:pPr>
    </w:p>
    <w:p w14:paraId="0EC9670C" w14:textId="77777777" w:rsidR="00296288" w:rsidRPr="00B867DF" w:rsidRDefault="00296288" w:rsidP="00296288">
      <w:pPr>
        <w:spacing w:line="360" w:lineRule="auto"/>
        <w:ind w:firstLine="360"/>
        <w:jc w:val="both"/>
        <w:rPr>
          <w:rFonts w:eastAsia="Times New Roman"/>
          <w:lang w:bidi="ar-AE"/>
        </w:rPr>
      </w:pPr>
      <w:r w:rsidRPr="00B867DF">
        <w:rPr>
          <w:rFonts w:eastAsia="Times New Roman"/>
          <w:lang w:bidi="ar-AE"/>
        </w:rPr>
        <w:t xml:space="preserve">À propos des deux groupes d’humains évoqués dans le verset 18 (i.e. </w:t>
      </w:r>
      <w:r w:rsidRPr="00B867DF">
        <w:rPr>
          <w:rFonts w:eastAsia="Times New Roman"/>
          <w:i/>
          <w:lang w:bidi="ar-AE"/>
        </w:rPr>
        <w:t>1</w:t>
      </w:r>
      <w:r w:rsidRPr="00B867DF">
        <w:rPr>
          <w:rFonts w:eastAsia="Times New Roman"/>
          <w:lang w:bidi="ar-AE"/>
        </w:rPr>
        <w:t>-</w:t>
      </w:r>
      <w:r w:rsidRPr="00B867DF">
        <w:rPr>
          <w:rFonts w:eastAsia="Times New Roman"/>
          <w:i/>
          <w:iCs/>
          <w:lang w:bidi="ar-AE"/>
        </w:rPr>
        <w:t>kathīrun mina n-nās</w:t>
      </w:r>
      <w:r w:rsidRPr="00B867DF">
        <w:rPr>
          <w:rFonts w:eastAsia="Times New Roman"/>
          <w:lang w:bidi="ar-AE"/>
        </w:rPr>
        <w:t xml:space="preserve"> [beaucoup parmi les hommes] (qui se prosternent), et 2-</w:t>
      </w:r>
      <w:r w:rsidRPr="00B867DF">
        <w:rPr>
          <w:rFonts w:eastAsia="Times New Roman"/>
          <w:i/>
          <w:iCs/>
          <w:lang w:bidi="ar-AE"/>
        </w:rPr>
        <w:t xml:space="preserve">kathīrun ḥaqqa ʿalay-hi l-ʿadhāb </w:t>
      </w:r>
      <w:r w:rsidRPr="00B867DF">
        <w:rPr>
          <w:rFonts w:eastAsia="Times New Roman"/>
          <w:lang w:bidi="ar-AE"/>
        </w:rPr>
        <w:t>[beaucoup</w:t>
      </w:r>
      <w:r w:rsidRPr="00B867DF">
        <w:rPr>
          <w:rFonts w:ascii="Calibri" w:eastAsia="Times New Roman" w:hAnsi="Calibri" w:cs="Arial"/>
        </w:rPr>
        <w:t xml:space="preserve"> </w:t>
      </w:r>
      <w:r w:rsidRPr="00B867DF">
        <w:rPr>
          <w:rFonts w:eastAsia="Times New Roman"/>
          <w:lang w:bidi="ar-AE"/>
        </w:rPr>
        <w:t xml:space="preserve">d’autres méritent le châtiment]), le premier groupe peut désigner : les croyants ; les monothéistes ; ceux qui se prosternent de leur plein gré ; ceux qui sont soumis à Dieu ; les êtres humains au Paradis ; ceux qui raisonnent (et trouvent les vérités de l’islam) (Shaykhū). Quant au second groupe, il peut désigner : ceux qui refusent de se prosterner ; les arrogants ; les non croyants parmi les djinns [créatures surnaturelles invisibles] et les humains ; les polythéistes ; les non croyants dont les ombres se prosternent à contrecœur et qui ne se prosterne pas ; les humains </w:t>
      </w:r>
      <w:r w:rsidRPr="00B867DF">
        <w:rPr>
          <w:rFonts w:eastAsia="Times New Roman"/>
          <w:lang w:bidi="ar-AE"/>
        </w:rPr>
        <w:lastRenderedPageBreak/>
        <w:t>à l’Enfer. Ce verset s’inscrit dans une logique dualiste et manichéenne de conflit entre deux adversaires. Aussi le Coran a-t-il divisé le monde en deux parties contradictoires : croyants et mécréants, soumis et rebelles, Paradis et Enfer, Dieu et Satan, humain et djinn, blanc et noir, alliés et ennemis. « </w:t>
      </w:r>
      <w:r w:rsidRPr="00B867DF">
        <w:rPr>
          <w:rFonts w:eastAsia="Times New Roman"/>
          <w:i/>
          <w:iCs/>
          <w:lang w:bidi="ar-AE"/>
        </w:rPr>
        <w:t>You’re either with us, or against us</w:t>
      </w:r>
      <w:r w:rsidRPr="00B867DF">
        <w:rPr>
          <w:rFonts w:eastAsia="Times New Roman"/>
          <w:lang w:bidi="ar-AE"/>
        </w:rPr>
        <w:t> » [« Ou vous êtes avec nous, ou vous êtes contre nous »].</w:t>
      </w:r>
    </w:p>
    <w:p w14:paraId="5F82E570" w14:textId="77777777" w:rsidR="00296288" w:rsidRPr="00786E42" w:rsidRDefault="00296288" w:rsidP="00296288">
      <w:pPr>
        <w:spacing w:line="360" w:lineRule="auto"/>
        <w:ind w:firstLine="360"/>
        <w:jc w:val="both"/>
        <w:rPr>
          <w:rFonts w:eastAsia="Times New Roman"/>
          <w:lang w:bidi="ar-AE"/>
        </w:rPr>
      </w:pPr>
    </w:p>
    <w:p w14:paraId="3BA8EEBA" w14:textId="77777777" w:rsidR="00296288" w:rsidRPr="00786E42"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AE"/>
        </w:rPr>
      </w:pPr>
      <w:r w:rsidRPr="00786E42">
        <w:rPr>
          <w:rFonts w:ascii="Times New Roman" w:hAnsi="Times New Roman" w:cs="Times New Roman"/>
          <w:b/>
          <w:bCs/>
          <w:sz w:val="24"/>
          <w:szCs w:val="24"/>
          <w:lang w:eastAsia="fr-FR" w:bidi="ar-AE"/>
        </w:rPr>
        <w:t xml:space="preserve">Le mot </w:t>
      </w:r>
      <w:r w:rsidRPr="00786E42">
        <w:rPr>
          <w:rFonts w:ascii="Times New Roman" w:hAnsi="Times New Roman" w:cs="Times New Roman"/>
          <w:b/>
          <w:bCs/>
          <w:i/>
          <w:iCs/>
          <w:sz w:val="24"/>
          <w:szCs w:val="24"/>
          <w:lang w:eastAsia="fr-FR" w:bidi="ar-AE"/>
        </w:rPr>
        <w:t>khaṣmān</w:t>
      </w:r>
      <w:r w:rsidRPr="00786E42">
        <w:rPr>
          <w:rFonts w:ascii="Times New Roman" w:hAnsi="Times New Roman" w:cs="Times New Roman"/>
          <w:b/>
          <w:bCs/>
          <w:sz w:val="24"/>
          <w:szCs w:val="24"/>
          <w:lang w:eastAsia="fr-FR" w:bidi="ar-AE"/>
        </w:rPr>
        <w:t xml:space="preserve"> et les vêtements de feu (v. 19) :</w:t>
      </w:r>
    </w:p>
    <w:p w14:paraId="5ADB24C5" w14:textId="77777777" w:rsidR="00296288" w:rsidRPr="00B867DF" w:rsidRDefault="00296288" w:rsidP="00296288">
      <w:pPr>
        <w:spacing w:line="360" w:lineRule="auto"/>
        <w:ind w:firstLine="708"/>
        <w:jc w:val="both"/>
        <w:rPr>
          <w:rFonts w:eastAsia="Times New Roman"/>
          <w:lang w:bidi="ar-AE"/>
        </w:rPr>
      </w:pPr>
      <w:r w:rsidRPr="00786E42">
        <w:rPr>
          <w:rFonts w:eastAsia="Times New Roman"/>
          <w:lang w:bidi="ar-AE"/>
        </w:rPr>
        <w:t>Selon les « circonstances de la révélation » (</w:t>
      </w:r>
      <w:r w:rsidRPr="00786E42">
        <w:rPr>
          <w:rFonts w:eastAsia="Times New Roman"/>
          <w:i/>
          <w:iCs/>
          <w:lang w:bidi="ar-AE"/>
        </w:rPr>
        <w:t>asbāb an-nuzūl</w:t>
      </w:r>
      <w:r w:rsidRPr="00786E42">
        <w:rPr>
          <w:rFonts w:eastAsia="Times New Roman"/>
          <w:lang w:bidi="ar-AE"/>
        </w:rPr>
        <w:t xml:space="preserve">), d’après les </w:t>
      </w:r>
      <w:r w:rsidRPr="00786E42">
        <w:rPr>
          <w:rFonts w:eastAsia="Times New Roman"/>
          <w:i/>
          <w:iCs/>
          <w:lang w:bidi="ar-AE"/>
        </w:rPr>
        <w:t>Ṣaḥīḥ</w:t>
      </w:r>
      <w:r w:rsidRPr="00786E42">
        <w:rPr>
          <w:rFonts w:eastAsia="Times New Roman"/>
          <w:lang w:bidi="ar-AE"/>
        </w:rPr>
        <w:t xml:space="preserve"> d’al-Bukhārī et Muslim</w:t>
      </w:r>
      <w:r w:rsidRPr="00CF064F">
        <w:rPr>
          <w:rFonts w:eastAsia="Times New Roman"/>
          <w:lang w:bidi="ar-AE"/>
        </w:rPr>
        <w:t xml:space="preserve"> et l’exégèse d’Ibn Kathīr, les deux adversaires sont Al-Ḥamza</w:t>
      </w:r>
      <w:r w:rsidRPr="00B867DF">
        <w:rPr>
          <w:rFonts w:eastAsia="Times New Roman"/>
          <w:lang w:bidi="ar-AE"/>
        </w:rPr>
        <w:t xml:space="preserve"> et ses deux amis [partisans du Prophète Muḥammad] d’un côté et 2-ʿUtba et ses deux amis [adversaires de Muḥammad] d’un autre côté, lors de la bataille de Badr (624). Mais les exégètes ne se sont pas contentés de cette signification circonstancielle. Ils ont élargi le sens du mot pour prendre les connotations suivantes :</w:t>
      </w:r>
    </w:p>
    <w:p w14:paraId="241E732F"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tous les belligérants de la bataille de Badr et non seulement Ḥamza et ʿUtba ;</w:t>
      </w:r>
    </w:p>
    <w:p w14:paraId="3F358ED7"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les croyants et les non croyants ;</w:t>
      </w:r>
    </w:p>
    <w:p w14:paraId="04B5B3DD"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 xml:space="preserve">les musulmans et les gens du Livre ; </w:t>
      </w:r>
    </w:p>
    <w:p w14:paraId="49C1CC06"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les gens du Paradis et les gens de l’Enfer ;</w:t>
      </w:r>
    </w:p>
    <w:p w14:paraId="2ABCD880"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le Paradis et l’Enfer (selon Ibn Kathīr d’après ʿIkrima : « Il s’agit du Paradis et de l’Enfer, le premier dit : ‘Fais-moi pour la miséricorde’, tandis que l’autre dit : ‘Fais-moi pour le châtiment’ ») ;</w:t>
      </w:r>
    </w:p>
    <w:p w14:paraId="29CA6391"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l’approbateur et le dénégateur de la religion ;</w:t>
      </w:r>
    </w:p>
    <w:p w14:paraId="545A8CF0"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deux groupes en conflit (en général) ;</w:t>
      </w:r>
    </w:p>
    <w:p w14:paraId="30DDB62B" w14:textId="77777777" w:rsidR="00296288" w:rsidRPr="00B867DF" w:rsidRDefault="00296288" w:rsidP="007640DC">
      <w:pPr>
        <w:numPr>
          <w:ilvl w:val="0"/>
          <w:numId w:val="31"/>
        </w:numPr>
        <w:spacing w:line="360" w:lineRule="auto"/>
        <w:jc w:val="both"/>
        <w:rPr>
          <w:rFonts w:eastAsia="Times New Roman"/>
          <w:lang w:bidi="ar-AE"/>
        </w:rPr>
      </w:pPr>
      <w:r w:rsidRPr="00B867DF">
        <w:rPr>
          <w:rFonts w:eastAsia="Times New Roman"/>
          <w:lang w:bidi="ar-AE"/>
        </w:rPr>
        <w:t xml:space="preserve">Ahl al-Bayt et les Omeyyades : « les adversaires sont : nous, </w:t>
      </w:r>
      <w:r w:rsidRPr="00B867DF">
        <w:rPr>
          <w:rFonts w:eastAsia="Times New Roman"/>
          <w:i/>
          <w:iCs/>
          <w:lang w:bidi="ar-AE"/>
        </w:rPr>
        <w:t>Āl al-Bayt</w:t>
      </w:r>
      <w:r w:rsidRPr="00B867DF">
        <w:rPr>
          <w:rFonts w:eastAsia="Times New Roman"/>
          <w:lang w:bidi="ar-AE"/>
        </w:rPr>
        <w:t xml:space="preserve"> [la famille du Prophète] et les Omeyyades ; nous disons : « Dieu et son Messager ont dit la vérité », alors que les Omeyyades disent : « Dieu et son Messager ont menti ». » (l’exégète chiite Al-Qummī).</w:t>
      </w:r>
    </w:p>
    <w:p w14:paraId="44A26770" w14:textId="77777777" w:rsidR="00296288" w:rsidRPr="00305E74" w:rsidRDefault="00296288" w:rsidP="007640DC">
      <w:pPr>
        <w:numPr>
          <w:ilvl w:val="0"/>
          <w:numId w:val="31"/>
        </w:numPr>
        <w:spacing w:line="360" w:lineRule="auto"/>
        <w:jc w:val="both"/>
        <w:rPr>
          <w:rFonts w:eastAsia="Times New Roman"/>
          <w:lang w:bidi="ar-AE"/>
        </w:rPr>
      </w:pPr>
      <w:r w:rsidRPr="00305E74">
        <w:rPr>
          <w:rFonts w:eastAsia="Times New Roman"/>
          <w:lang w:bidi="ar-AE"/>
        </w:rPr>
        <w:t xml:space="preserve">celui qui croit au Vrai et celui qui dément le Vrai </w:t>
      </w:r>
      <w:r w:rsidRPr="00305E74">
        <w:rPr>
          <w:rFonts w:eastAsia="Times New Roman"/>
          <w:lang w:bidi="ar-EG"/>
        </w:rPr>
        <w:t>(Aṭ-Ṭabāṭabāʾī, chiite) </w:t>
      </w:r>
      <w:r w:rsidRPr="00305E74">
        <w:rPr>
          <w:rFonts w:eastAsia="Times New Roman"/>
          <w:lang w:bidi="ar-AE"/>
        </w:rPr>
        <w:t>;</w:t>
      </w:r>
    </w:p>
    <w:p w14:paraId="25670908" w14:textId="77777777" w:rsidR="00296288" w:rsidRPr="00305E74" w:rsidRDefault="00296288" w:rsidP="007640DC">
      <w:pPr>
        <w:numPr>
          <w:ilvl w:val="0"/>
          <w:numId w:val="31"/>
        </w:numPr>
        <w:spacing w:line="360" w:lineRule="auto"/>
        <w:jc w:val="both"/>
        <w:rPr>
          <w:rFonts w:eastAsia="Times New Roman"/>
          <w:lang w:bidi="ar-AE"/>
        </w:rPr>
      </w:pPr>
      <w:r w:rsidRPr="00305E74">
        <w:rPr>
          <w:rFonts w:eastAsia="Times New Roman"/>
          <w:i/>
          <w:iCs/>
          <w:lang w:bidi="ar-AE"/>
        </w:rPr>
        <w:t>kathīrun mina n-nās</w:t>
      </w:r>
      <w:r w:rsidRPr="00305E74">
        <w:rPr>
          <w:rFonts w:eastAsia="Times New Roman"/>
          <w:lang w:bidi="ar-AE"/>
        </w:rPr>
        <w:t xml:space="preserve"> (beaucoup parmi les hommes qui se prosternent) et </w:t>
      </w:r>
      <w:r w:rsidRPr="00305E74">
        <w:rPr>
          <w:rFonts w:eastAsia="Times New Roman"/>
          <w:i/>
          <w:iCs/>
          <w:lang w:bidi="ar-AE"/>
        </w:rPr>
        <w:t xml:space="preserve">kathīrun ḥaqqa ʿalayhi l-ʿadhāb </w:t>
      </w:r>
      <w:r w:rsidRPr="00305E74">
        <w:rPr>
          <w:rFonts w:eastAsia="Times New Roman"/>
          <w:lang w:bidi="ar-AE"/>
        </w:rPr>
        <w:t>(beaucoup</w:t>
      </w:r>
      <w:r w:rsidRPr="00305E74">
        <w:rPr>
          <w:rFonts w:ascii="Calibri" w:eastAsia="Times New Roman" w:hAnsi="Calibri" w:cs="Arial"/>
        </w:rPr>
        <w:t xml:space="preserve"> </w:t>
      </w:r>
      <w:r w:rsidRPr="00305E74">
        <w:rPr>
          <w:rFonts w:eastAsia="Times New Roman"/>
          <w:lang w:bidi="ar-AE"/>
        </w:rPr>
        <w:t>d’autres qui méritent le châtiment) (</w:t>
      </w:r>
      <w:r w:rsidRPr="00305E74">
        <w:rPr>
          <w:rFonts w:eastAsia="Calibri"/>
        </w:rPr>
        <w:t>Ash-Shaʿrāwī).</w:t>
      </w:r>
    </w:p>
    <w:p w14:paraId="7CD24D79" w14:textId="77777777" w:rsidR="00296288" w:rsidRPr="00305E74" w:rsidRDefault="00296288" w:rsidP="007640DC">
      <w:pPr>
        <w:numPr>
          <w:ilvl w:val="0"/>
          <w:numId w:val="31"/>
        </w:numPr>
        <w:tabs>
          <w:tab w:val="left" w:pos="851"/>
        </w:tabs>
        <w:spacing w:line="360" w:lineRule="auto"/>
        <w:jc w:val="both"/>
        <w:rPr>
          <w:rFonts w:eastAsia="Times New Roman"/>
          <w:lang w:bidi="ar-AE"/>
        </w:rPr>
      </w:pPr>
      <w:r w:rsidRPr="00305E74">
        <w:rPr>
          <w:rFonts w:eastAsia="Times New Roman"/>
          <w:lang w:bidi="ar-AE"/>
        </w:rPr>
        <w:lastRenderedPageBreak/>
        <w:t>Ceux qui respectent la loi de la nature et ceux qui veulent la violer (</w:t>
      </w:r>
      <w:r w:rsidRPr="00305E74">
        <w:rPr>
          <w:rFonts w:eastAsia="Times New Roman"/>
        </w:rPr>
        <w:t xml:space="preserve">Mirzā Bashīr Ad-Dīn Maḥmūd Aḥmad, </w:t>
      </w:r>
      <w:r w:rsidRPr="00305E74">
        <w:rPr>
          <w:rFonts w:eastAsia="Times New Roman"/>
          <w:i/>
          <w:iCs/>
        </w:rPr>
        <w:t>At-tafsīr al-kabīr</w:t>
      </w:r>
      <w:r w:rsidRPr="00305E74">
        <w:rPr>
          <w:rFonts w:eastAsia="Times New Roman"/>
        </w:rPr>
        <w:t xml:space="preserve"> [la grande exégèse], exégèse ahmadie</w:t>
      </w:r>
      <w:r w:rsidRPr="00305E74">
        <w:rPr>
          <w:rFonts w:eastAsia="Times New Roman"/>
          <w:vertAlign w:val="superscript"/>
          <w:lang w:bidi="ar-AE"/>
        </w:rPr>
        <w:footnoteReference w:id="247"/>
      </w:r>
      <w:r w:rsidRPr="00305E74">
        <w:rPr>
          <w:rFonts w:eastAsia="Times New Roman"/>
        </w:rPr>
        <w:t>).</w:t>
      </w:r>
    </w:p>
    <w:p w14:paraId="2AF3056F" w14:textId="77777777" w:rsidR="00296288" w:rsidRPr="00305E74" w:rsidRDefault="00296288" w:rsidP="00296288">
      <w:pPr>
        <w:spacing w:line="360" w:lineRule="auto"/>
        <w:jc w:val="both"/>
        <w:rPr>
          <w:rFonts w:eastAsia="Times New Roman"/>
          <w:lang w:bidi="ar-AE"/>
        </w:rPr>
      </w:pPr>
    </w:p>
    <w:p w14:paraId="48242B25" w14:textId="77777777" w:rsidR="00296288" w:rsidRPr="00B867DF" w:rsidRDefault="00296288" w:rsidP="00296288">
      <w:pPr>
        <w:spacing w:line="360" w:lineRule="auto"/>
        <w:ind w:firstLine="360"/>
        <w:jc w:val="both"/>
        <w:rPr>
          <w:rFonts w:eastAsia="Times New Roman"/>
          <w:lang w:bidi="ar-AE"/>
        </w:rPr>
      </w:pPr>
      <w:r w:rsidRPr="00305E74">
        <w:rPr>
          <w:rFonts w:eastAsia="Times New Roman"/>
          <w:lang w:bidi="ar-AE"/>
        </w:rPr>
        <w:t>Ces interprétations sont tellement diverses que nous</w:t>
      </w:r>
      <w:r w:rsidRPr="00B867DF">
        <w:rPr>
          <w:rFonts w:eastAsia="Times New Roman"/>
          <w:lang w:bidi="ar-AE"/>
        </w:rPr>
        <w:t xml:space="preserve"> ne savons vraiment pas de quoi il s’agit.</w:t>
      </w:r>
    </w:p>
    <w:p w14:paraId="2E9810A5" w14:textId="77777777" w:rsidR="00296288" w:rsidRPr="00B867DF" w:rsidRDefault="00296288" w:rsidP="00296288">
      <w:pPr>
        <w:spacing w:line="360" w:lineRule="auto"/>
        <w:ind w:firstLine="360"/>
        <w:jc w:val="both"/>
        <w:rPr>
          <w:rFonts w:eastAsia="Times New Roman"/>
          <w:lang w:bidi="ar-AE"/>
        </w:rPr>
      </w:pPr>
    </w:p>
    <w:p w14:paraId="1AC35A7E" w14:textId="77777777" w:rsidR="00296288" w:rsidRPr="00B867DF" w:rsidRDefault="00296288" w:rsidP="00296288">
      <w:pPr>
        <w:spacing w:line="360" w:lineRule="auto"/>
        <w:ind w:firstLine="360"/>
        <w:jc w:val="both"/>
        <w:rPr>
          <w:rFonts w:eastAsia="Times New Roman"/>
          <w:lang w:bidi="ar-AE"/>
        </w:rPr>
      </w:pPr>
      <w:r w:rsidRPr="00B867DF">
        <w:rPr>
          <w:rFonts w:eastAsia="Calibri"/>
          <w:lang w:bidi="ar-AE"/>
        </w:rPr>
        <w:t xml:space="preserve">Le mot </w:t>
      </w:r>
      <w:r w:rsidRPr="00B867DF">
        <w:rPr>
          <w:rFonts w:eastAsia="Calibri"/>
          <w:i/>
          <w:iCs/>
          <w:lang w:bidi="ar-AE"/>
        </w:rPr>
        <w:t>khaṣmān</w:t>
      </w:r>
      <w:r w:rsidRPr="00B867DF">
        <w:rPr>
          <w:rFonts w:eastAsia="Calibri"/>
          <w:lang w:bidi="ar-AE"/>
        </w:rPr>
        <w:t xml:space="preserve"> [deux adversaires] (v. 19) qui avait au moins dix significations en a actuellement une seule, i.e. les croyants et les non croyants, selon l’exégèse contemporaine saoudienne du Complexe du roi Fahd de Médine </w:t>
      </w:r>
      <w:r w:rsidRPr="00B867DF">
        <w:rPr>
          <w:rFonts w:eastAsia="Calibri"/>
          <w:i/>
          <w:iCs/>
          <w:lang w:bidi="ar-AE"/>
        </w:rPr>
        <w:t>Al-Muyassar</w:t>
      </w:r>
      <w:r w:rsidRPr="00B867DF">
        <w:rPr>
          <w:rFonts w:eastAsia="Calibri"/>
          <w:lang w:bidi="ar-AE"/>
        </w:rPr>
        <w:t>.</w:t>
      </w:r>
    </w:p>
    <w:p w14:paraId="5373515D" w14:textId="77777777" w:rsidR="00296288" w:rsidRPr="00B867DF" w:rsidRDefault="00296288" w:rsidP="00296288">
      <w:pPr>
        <w:spacing w:line="360" w:lineRule="auto"/>
        <w:jc w:val="both"/>
        <w:rPr>
          <w:rFonts w:eastAsia="Times New Roman"/>
          <w:lang w:bidi="ar-AE"/>
        </w:rPr>
      </w:pPr>
    </w:p>
    <w:p w14:paraId="0A054277" w14:textId="77777777" w:rsidR="00296288" w:rsidRPr="00B867DF" w:rsidRDefault="00296288" w:rsidP="00296288">
      <w:pPr>
        <w:spacing w:line="360" w:lineRule="auto"/>
        <w:ind w:firstLine="360"/>
        <w:jc w:val="both"/>
        <w:rPr>
          <w:rFonts w:eastAsia="Times New Roman"/>
          <w:lang w:bidi="ar-AE"/>
        </w:rPr>
      </w:pPr>
      <w:r w:rsidRPr="00B867DF">
        <w:rPr>
          <w:rFonts w:eastAsia="Times New Roman"/>
          <w:lang w:bidi="ar-AE"/>
        </w:rPr>
        <w:t xml:space="preserve">L’objet de la dispute de ces deux adversaires (v. 19) est désigné par le syntagme prépositionnel </w:t>
      </w:r>
      <w:r w:rsidRPr="00B867DF">
        <w:rPr>
          <w:rFonts w:eastAsia="Times New Roman"/>
          <w:i/>
          <w:iCs/>
          <w:lang w:bidi="ar-AE"/>
        </w:rPr>
        <w:t>fī rabbi-him</w:t>
      </w:r>
      <w:r w:rsidRPr="00B867DF">
        <w:rPr>
          <w:rFonts w:ascii="Calibri" w:eastAsia="Times New Roman" w:hAnsi="Calibri" w:cs="Arial"/>
        </w:rPr>
        <w:t xml:space="preserve"> </w:t>
      </w:r>
      <w:r w:rsidRPr="00B867DF">
        <w:rPr>
          <w:rFonts w:eastAsia="Times New Roman"/>
          <w:lang w:bidi="ar-AE"/>
        </w:rPr>
        <w:t>[à propos de leur Seigneur]. Mais on ne sait pas exactement à propos de quel sujet. Les exégètes complètent ce vide en donnant plusieurs thèmes de dispute : la satisfaction de leur Seigneur (plaire à leur Seigneur) ; les attributs et les noms de leur Seigneur ; l’unicité de leur Seigneur (</w:t>
      </w:r>
      <w:r w:rsidRPr="00B867DF">
        <w:rPr>
          <w:rFonts w:eastAsia="Times New Roman"/>
          <w:i/>
          <w:iCs/>
          <w:lang w:bidi="ar-AE"/>
        </w:rPr>
        <w:t>at-tawḥīd</w:t>
      </w:r>
      <w:r w:rsidRPr="00B867DF">
        <w:rPr>
          <w:rFonts w:eastAsia="Times New Roman"/>
          <w:lang w:bidi="ar-AE"/>
        </w:rPr>
        <w:t xml:space="preserve">) ; l’essence de leur Seigneur ; la religion de leur Seigneur (i.e. l’islam) ; les rites pour adorer leur Seigneur ; la charia ou la loi de leur Seigneur. Le sujet de leur débat peut donc être philosophique, mystique, religieux, dogmatique, politique ou sociologique. Ce sens général du verset peut servir pour condamner n’importe quelle critique de la tradition musulmane ou de ses figures et peut donc amener le détracteur à être considéré comme un ennemi non seulement de la communauté mais de Dieu lui-même. C’est l’un des mécanismes de défense identitaire de la communauté musulmane à travers l’histoire. Dans ce sens, la polysémie peut servir la politique pour légitimer l’élimination de toute opposition. </w:t>
      </w:r>
    </w:p>
    <w:p w14:paraId="06D3955E" w14:textId="77777777" w:rsidR="00296288" w:rsidRPr="00B867DF" w:rsidRDefault="00296288" w:rsidP="00296288">
      <w:pPr>
        <w:tabs>
          <w:tab w:val="left" w:pos="3779"/>
        </w:tabs>
        <w:spacing w:line="360" w:lineRule="auto"/>
        <w:jc w:val="both"/>
        <w:rPr>
          <w:rFonts w:eastAsia="Times New Roman"/>
          <w:noProof/>
          <w:lang w:bidi="ar-AE"/>
        </w:rPr>
      </w:pPr>
    </w:p>
    <w:p w14:paraId="7E15EB38" w14:textId="77777777" w:rsidR="00296288" w:rsidRPr="009E3D92" w:rsidRDefault="00296288" w:rsidP="007640DC">
      <w:pPr>
        <w:pStyle w:val="Paragraphedeliste"/>
        <w:numPr>
          <w:ilvl w:val="0"/>
          <w:numId w:val="62"/>
        </w:numPr>
        <w:tabs>
          <w:tab w:val="left" w:pos="3779"/>
        </w:tabs>
        <w:bidi w:val="0"/>
        <w:spacing w:after="0" w:line="360" w:lineRule="auto"/>
        <w:contextualSpacing/>
        <w:jc w:val="both"/>
        <w:rPr>
          <w:rFonts w:asciiTheme="majorBidi" w:hAnsiTheme="majorBidi" w:cstheme="majorBidi"/>
          <w:b/>
          <w:bCs/>
          <w:noProof/>
          <w:sz w:val="24"/>
          <w:szCs w:val="24"/>
          <w:lang w:eastAsia="fr-FR" w:bidi="ar-AE"/>
        </w:rPr>
      </w:pPr>
      <w:r w:rsidRPr="009E3D92">
        <w:rPr>
          <w:rFonts w:asciiTheme="majorBidi" w:hAnsiTheme="majorBidi" w:cstheme="majorBidi"/>
          <w:b/>
          <w:bCs/>
          <w:noProof/>
          <w:sz w:val="24"/>
          <w:szCs w:val="24"/>
          <w:lang w:eastAsia="fr-FR" w:bidi="ar-AE"/>
        </w:rPr>
        <w:t xml:space="preserve">Les signification de </w:t>
      </w:r>
      <w:r w:rsidRPr="009E3D92">
        <w:rPr>
          <w:rFonts w:asciiTheme="majorBidi" w:hAnsiTheme="majorBidi" w:cstheme="majorBidi"/>
          <w:b/>
          <w:bCs/>
          <w:i/>
          <w:iCs/>
          <w:sz w:val="24"/>
          <w:szCs w:val="24"/>
          <w:lang w:eastAsia="fr-FR" w:bidi="ar-AE"/>
        </w:rPr>
        <w:t>kafarū</w:t>
      </w:r>
      <w:r w:rsidRPr="009E3D92">
        <w:rPr>
          <w:rFonts w:asciiTheme="majorBidi" w:hAnsiTheme="majorBidi" w:cstheme="majorBidi"/>
          <w:b/>
          <w:bCs/>
          <w:sz w:val="24"/>
          <w:szCs w:val="24"/>
          <w:lang w:eastAsia="fr-FR" w:bidi="ar-AE"/>
        </w:rPr>
        <w:t> :</w:t>
      </w:r>
    </w:p>
    <w:p w14:paraId="29EDCCC4" w14:textId="106B9408" w:rsidR="00296288" w:rsidRPr="00731467" w:rsidRDefault="00296288" w:rsidP="00296288">
      <w:pPr>
        <w:spacing w:line="360" w:lineRule="auto"/>
        <w:ind w:firstLine="360"/>
        <w:jc w:val="both"/>
        <w:rPr>
          <w:rFonts w:eastAsia="Times New Roman"/>
          <w:lang w:bidi="ar-AE"/>
        </w:rPr>
      </w:pPr>
      <w:r w:rsidRPr="00731467">
        <w:rPr>
          <w:rFonts w:eastAsia="Times New Roman"/>
          <w:noProof/>
          <w:lang w:bidi="ar-AE"/>
        </w:rPr>
        <w:t xml:space="preserve">Dans la séquence </w:t>
      </w:r>
      <w:r w:rsidRPr="00731467">
        <w:rPr>
          <w:rFonts w:eastAsia="Times New Roman"/>
          <w:i/>
          <w:iCs/>
          <w:noProof/>
          <w:lang w:bidi="ar-AE"/>
        </w:rPr>
        <w:t>fa-lladhīna kafarū</w:t>
      </w:r>
      <w:r w:rsidRPr="00731467">
        <w:rPr>
          <w:rFonts w:eastAsia="Times New Roman"/>
          <w:noProof/>
          <w:lang w:bidi="ar-AE"/>
        </w:rPr>
        <w:t xml:space="preserve"> [ceux qui deviennent dénégateurs] (v. 19)</w:t>
      </w:r>
      <w:r w:rsidRPr="00731467">
        <w:rPr>
          <w:rFonts w:eastAsia="Times New Roman"/>
          <w:lang w:bidi="ar-AE"/>
        </w:rPr>
        <w:t xml:space="preserve">, il existe un vide, c’est la suppression du complément du verbe </w:t>
      </w:r>
      <w:r w:rsidRPr="00731467">
        <w:rPr>
          <w:rFonts w:eastAsia="Times New Roman"/>
          <w:i/>
          <w:iCs/>
          <w:noProof/>
          <w:lang w:bidi="ar-AE"/>
        </w:rPr>
        <w:t>kafarū</w:t>
      </w:r>
      <w:r w:rsidRPr="00731467">
        <w:rPr>
          <w:rFonts w:eastAsia="Times New Roman"/>
          <w:lang w:bidi="ar-AE"/>
        </w:rPr>
        <w:t xml:space="preserve"> [la racine </w:t>
      </w:r>
      <w:r w:rsidRPr="00731467">
        <w:rPr>
          <w:rFonts w:eastAsia="Times New Roman"/>
          <w:i/>
          <w:iCs/>
          <w:lang w:bidi="ar-AE"/>
        </w:rPr>
        <w:t>kfr</w:t>
      </w:r>
      <w:r w:rsidRPr="00731467">
        <w:rPr>
          <w:rFonts w:eastAsia="Times New Roman"/>
          <w:lang w:bidi="ar-AE"/>
        </w:rPr>
        <w:t xml:space="preserve"> signifie : couvrir, effacer, nier]. On ne sait pas ce que nient et refusent ces personnes dont le verset parle. Bien que la séquence </w:t>
      </w:r>
      <w:r w:rsidRPr="00731467">
        <w:rPr>
          <w:rFonts w:eastAsia="Times New Roman"/>
          <w:i/>
          <w:iCs/>
          <w:noProof/>
          <w:lang w:bidi="ar-AE"/>
        </w:rPr>
        <w:t>alladhīna kafarū</w:t>
      </w:r>
      <w:r w:rsidRPr="00731467">
        <w:rPr>
          <w:rFonts w:eastAsia="Times New Roman"/>
          <w:lang w:bidi="ar-AE"/>
        </w:rPr>
        <w:t xml:space="preserve"> soit utilisée dans le Coran selon les sunnites pour désigner en général ceux qui ne sont pas musulmans, la signification reste équivoque en l’absence du complément du verbe</w:t>
      </w:r>
      <w:r w:rsidRPr="00731467">
        <w:rPr>
          <w:rFonts w:eastAsia="Times New Roman"/>
          <w:i/>
          <w:iCs/>
          <w:noProof/>
          <w:lang w:bidi="ar-AE"/>
        </w:rPr>
        <w:t xml:space="preserve"> kafarū</w:t>
      </w:r>
      <w:r w:rsidRPr="00731467">
        <w:rPr>
          <w:rFonts w:eastAsia="Times New Roman"/>
          <w:lang w:bidi="ar-AE"/>
        </w:rPr>
        <w:t xml:space="preserve">, et par la suite la phrase peut désigner n’importe quel groupe. Selon des exégètes </w:t>
      </w:r>
      <w:r w:rsidRPr="00731467">
        <w:rPr>
          <w:rFonts w:eastAsia="Times New Roman"/>
          <w:lang w:bidi="ar-AE"/>
        </w:rPr>
        <w:lastRenderedPageBreak/>
        <w:t xml:space="preserve">chiites (Al-Qummī, Al-Kulaynī dans </w:t>
      </w:r>
      <w:r w:rsidRPr="00731467">
        <w:rPr>
          <w:rFonts w:eastAsia="Times New Roman"/>
          <w:i/>
          <w:iCs/>
          <w:lang w:bidi="ar-AE"/>
        </w:rPr>
        <w:t>Al-Kāfī</w:t>
      </w:r>
      <w:r w:rsidRPr="00731467">
        <w:rPr>
          <w:rFonts w:eastAsia="Times New Roman"/>
          <w:lang w:bidi="ar-AE"/>
        </w:rPr>
        <w:t xml:space="preserve"> et </w:t>
      </w:r>
      <w:r w:rsidRPr="00731467">
        <w:rPr>
          <w:rFonts w:eastAsia="Times New Roman"/>
          <w:lang w:bidi="ar-EG"/>
        </w:rPr>
        <w:t>Aṭ-Ṭabāṭabāʾī</w:t>
      </w:r>
      <w:r w:rsidR="009E7601">
        <w:rPr>
          <w:rFonts w:eastAsia="Times New Roman"/>
          <w:lang w:bidi="ar-AE"/>
        </w:rPr>
        <w:t xml:space="preserve">), l’expression </w:t>
      </w:r>
      <w:r w:rsidRPr="00731467">
        <w:rPr>
          <w:rFonts w:eastAsia="Times New Roman"/>
          <w:i/>
          <w:iCs/>
          <w:noProof/>
          <w:lang w:bidi="ar-AE"/>
        </w:rPr>
        <w:t>fa-lladhīna kafarū</w:t>
      </w:r>
      <w:r w:rsidRPr="00731467">
        <w:rPr>
          <w:rFonts w:eastAsia="Times New Roman"/>
          <w:lang w:bidi="ar-AE"/>
        </w:rPr>
        <w:t xml:space="preserve"> désigne ceux qui refusent la </w:t>
      </w:r>
      <w:r w:rsidRPr="00731467">
        <w:rPr>
          <w:rFonts w:eastAsia="Times New Roman"/>
          <w:i/>
          <w:iCs/>
          <w:lang w:bidi="ar-AE"/>
        </w:rPr>
        <w:t>walāya</w:t>
      </w:r>
      <w:r w:rsidRPr="00731467">
        <w:rPr>
          <w:rFonts w:eastAsia="Times New Roman"/>
          <w:lang w:bidi="ar-AE"/>
        </w:rPr>
        <w:t xml:space="preserve"> [l’alliance, l’allégeance, l’autorité ou la souveraineté] de </w:t>
      </w:r>
      <w:r w:rsidRPr="00731467">
        <w:rPr>
          <w:rFonts w:eastAsia="Times New Roman"/>
        </w:rPr>
        <w:t>ʿAlī ibn Abī Ṭālib</w:t>
      </w:r>
      <w:r w:rsidRPr="00731467">
        <w:rPr>
          <w:rFonts w:eastAsia="Times New Roman"/>
          <w:lang w:bidi="ar-AE"/>
        </w:rPr>
        <w:t xml:space="preserve">, c.à.d. ceux qui ne sont pas chiites. Le concept de </w:t>
      </w:r>
      <w:r w:rsidRPr="00731467">
        <w:rPr>
          <w:rFonts w:eastAsia="Times New Roman"/>
          <w:i/>
          <w:iCs/>
          <w:noProof/>
          <w:lang w:bidi="ar-AE"/>
        </w:rPr>
        <w:t>alladhīna kafarū</w:t>
      </w:r>
      <w:r w:rsidRPr="00731467">
        <w:rPr>
          <w:rFonts w:eastAsia="Times New Roman"/>
          <w:noProof/>
          <w:lang w:bidi="ar-AE"/>
        </w:rPr>
        <w:t xml:space="preserve"> </w:t>
      </w:r>
      <w:r w:rsidRPr="00731467">
        <w:rPr>
          <w:rFonts w:eastAsia="Times New Roman"/>
          <w:lang w:bidi="ar-AE"/>
        </w:rPr>
        <w:t xml:space="preserve">est très vaste et très vague, car les critères du </w:t>
      </w:r>
      <w:r w:rsidRPr="00731467">
        <w:rPr>
          <w:rFonts w:eastAsia="Times New Roman"/>
          <w:i/>
          <w:iCs/>
          <w:lang w:bidi="ar-AE"/>
        </w:rPr>
        <w:t>kufr</w:t>
      </w:r>
      <w:r w:rsidRPr="00731467">
        <w:rPr>
          <w:rFonts w:eastAsia="Times New Roman"/>
          <w:lang w:bidi="ar-AE"/>
        </w:rPr>
        <w:t xml:space="preserve"> (incroyance) diffèrent en fonction de la société, du temps et du lieu. Cette appellation </w:t>
      </w:r>
      <w:r w:rsidRPr="00731467">
        <w:rPr>
          <w:rFonts w:eastAsia="Times New Roman"/>
          <w:noProof/>
          <w:lang w:bidi="ar-AE"/>
        </w:rPr>
        <w:t xml:space="preserve">inclut </w:t>
      </w:r>
      <w:r w:rsidRPr="00731467">
        <w:rPr>
          <w:rFonts w:eastAsia="Times New Roman"/>
          <w:lang w:bidi="ar-AE"/>
        </w:rPr>
        <w:t>au moins les athées, les païens, les polythéistes et les gens du Livre [</w:t>
      </w:r>
      <w:r w:rsidRPr="00731467">
        <w:rPr>
          <w:rFonts w:eastAsia="Times New Roman"/>
          <w:i/>
          <w:iCs/>
          <w:lang w:bidi="ar-AE"/>
        </w:rPr>
        <w:t>ahl al-kitāb</w:t>
      </w:r>
      <w:r w:rsidRPr="00731467">
        <w:rPr>
          <w:rFonts w:eastAsia="Times New Roman"/>
          <w:lang w:bidi="ar-AE"/>
        </w:rPr>
        <w:t xml:space="preserve">] (chrétiens, juifs, sabéens [mandéens] et zoroastriens) ; et le concept s’étend même aux musulmans qui nient l’un des cinq piliers de l’islam (à savoir : la </w:t>
      </w:r>
      <w:r w:rsidRPr="00731467">
        <w:rPr>
          <w:rFonts w:eastAsia="Times New Roman"/>
          <w:i/>
          <w:iCs/>
          <w:lang w:bidi="ar-AE"/>
        </w:rPr>
        <w:t>shahāda</w:t>
      </w:r>
      <w:r w:rsidRPr="00731467">
        <w:rPr>
          <w:rFonts w:eastAsia="Times New Roman"/>
          <w:lang w:bidi="ar-AE"/>
        </w:rPr>
        <w:t xml:space="preserve">, les cinq prières, la </w:t>
      </w:r>
      <w:r w:rsidRPr="00731467">
        <w:rPr>
          <w:rFonts w:eastAsia="Times New Roman"/>
          <w:i/>
          <w:iCs/>
          <w:lang w:bidi="ar-AE"/>
        </w:rPr>
        <w:t>zakāt</w:t>
      </w:r>
      <w:r w:rsidRPr="00731467">
        <w:rPr>
          <w:rFonts w:eastAsia="Times New Roman"/>
          <w:lang w:bidi="ar-AE"/>
        </w:rPr>
        <w:t xml:space="preserve"> [impôt légal], le jeûne de Ramadan et le </w:t>
      </w:r>
      <w:r w:rsidRPr="00731467">
        <w:rPr>
          <w:rFonts w:eastAsia="Times New Roman"/>
          <w:i/>
          <w:iCs/>
          <w:lang w:bidi="ar-AE"/>
        </w:rPr>
        <w:t>ḥajj</w:t>
      </w:r>
      <w:r w:rsidRPr="00731467">
        <w:rPr>
          <w:rFonts w:eastAsia="Times New Roman"/>
          <w:lang w:bidi="ar-AE"/>
        </w:rPr>
        <w:t xml:space="preserve"> [pèlerinage à la Mecque]). Cette appellation peut inclure également le musulman qui refuse le djihad, la promotion de la vertu et la prévention du vice, la </w:t>
      </w:r>
      <w:r w:rsidRPr="00731467">
        <w:rPr>
          <w:rFonts w:eastAsia="Times New Roman"/>
          <w:i/>
          <w:iCs/>
          <w:lang w:bidi="ar-AE"/>
        </w:rPr>
        <w:t>walāya</w:t>
      </w:r>
      <w:r w:rsidRPr="00731467">
        <w:rPr>
          <w:rFonts w:eastAsia="Times New Roman"/>
          <w:lang w:bidi="ar-AE"/>
        </w:rPr>
        <w:t xml:space="preserve"> de </w:t>
      </w:r>
      <w:r w:rsidRPr="00731467">
        <w:rPr>
          <w:rFonts w:eastAsia="Times New Roman"/>
        </w:rPr>
        <w:t>ʿAlī (selon les chiites)</w:t>
      </w:r>
      <w:r w:rsidRPr="00731467">
        <w:rPr>
          <w:rFonts w:eastAsia="Calibri"/>
          <w:vertAlign w:val="superscript"/>
          <w:lang w:bidi="ar-AE"/>
        </w:rPr>
        <w:footnoteReference w:id="248"/>
      </w:r>
      <w:r w:rsidRPr="00731467">
        <w:rPr>
          <w:rFonts w:eastAsia="Times New Roman"/>
          <w:lang w:bidi="ar-AE"/>
        </w:rPr>
        <w:t>, ou le Jugement dernier, etc. Elle inclut aussi le musulman qui jure par un autre qu’Allāh, qui néglige les prières par paresse, qui nie un verset ou même un hadith authentique (selon les sunnites)</w:t>
      </w:r>
      <w:r w:rsidRPr="00731467">
        <w:rPr>
          <w:rFonts w:eastAsia="Calibri"/>
          <w:vertAlign w:val="superscript"/>
          <w:lang w:bidi="ar-AE"/>
        </w:rPr>
        <w:footnoteReference w:id="249"/>
      </w:r>
      <w:r w:rsidRPr="00731467">
        <w:rPr>
          <w:rFonts w:eastAsia="Times New Roman"/>
          <w:lang w:bidi="ar-AE"/>
        </w:rPr>
        <w:t>, qui nie les Attributs de Dieu (</w:t>
      </w:r>
      <w:r w:rsidRPr="00731467">
        <w:rPr>
          <w:rFonts w:eastAsia="Times New Roman"/>
          <w:i/>
          <w:iCs/>
          <w:lang w:bidi="ar-AE"/>
        </w:rPr>
        <w:t>muʿaṭṭil</w:t>
      </w:r>
      <w:r w:rsidRPr="00731467">
        <w:rPr>
          <w:rFonts w:eastAsia="Times New Roman"/>
          <w:lang w:bidi="ar-AE"/>
        </w:rPr>
        <w:t>), qui croit à l’anthropomorphisme (</w:t>
      </w:r>
      <w:r w:rsidRPr="00731467">
        <w:rPr>
          <w:rFonts w:eastAsia="Times New Roman"/>
          <w:i/>
          <w:iCs/>
          <w:lang w:bidi="ar-AE"/>
        </w:rPr>
        <w:t>mushabbih</w:t>
      </w:r>
      <w:r w:rsidRPr="00731467">
        <w:rPr>
          <w:rFonts w:eastAsia="Times New Roman"/>
          <w:lang w:bidi="ar-AE"/>
        </w:rPr>
        <w:t>), qui croit à la réincarnation</w:t>
      </w:r>
      <w:r w:rsidRPr="00731467">
        <w:rPr>
          <w:rFonts w:eastAsia="Calibri"/>
          <w:vertAlign w:val="superscript"/>
          <w:lang w:bidi="ar-AE"/>
        </w:rPr>
        <w:footnoteReference w:id="250"/>
      </w:r>
      <w:r w:rsidRPr="00731467">
        <w:rPr>
          <w:rFonts w:eastAsia="Times New Roman"/>
          <w:lang w:bidi="ar-AE"/>
        </w:rPr>
        <w:t xml:space="preserve">, qui ne croit pas à l’existence des anges et des djinns, etc.  Ainsi, selon ces interprétations, les druzes et les alaouites sont considérés parmi </w:t>
      </w:r>
      <w:r w:rsidRPr="00731467">
        <w:rPr>
          <w:rFonts w:eastAsia="Times New Roman"/>
          <w:i/>
          <w:iCs/>
          <w:noProof/>
          <w:lang w:bidi="ar-AE"/>
        </w:rPr>
        <w:t>alladhīna kafarū</w:t>
      </w:r>
      <w:r w:rsidRPr="00731467">
        <w:rPr>
          <w:rFonts w:eastAsia="Times New Roman"/>
          <w:lang w:bidi="ar-AE"/>
        </w:rPr>
        <w:t xml:space="preserve"> aux yeux des sunnites et des chiites. Les chiites sont considérés parmi </w:t>
      </w:r>
      <w:r w:rsidRPr="00731467">
        <w:rPr>
          <w:rFonts w:eastAsia="Times New Roman"/>
          <w:i/>
          <w:iCs/>
          <w:noProof/>
          <w:lang w:bidi="ar-AE"/>
        </w:rPr>
        <w:t>alladhīna kafarū</w:t>
      </w:r>
      <w:r w:rsidRPr="00731467">
        <w:rPr>
          <w:rFonts w:eastAsia="Times New Roman"/>
          <w:lang w:bidi="ar-AE"/>
        </w:rPr>
        <w:t xml:space="preserve"> aux yeux des sunnites (surtout fondamentalistes) et vice versa. Bref, </w:t>
      </w:r>
      <w:r w:rsidRPr="00731467">
        <w:rPr>
          <w:rFonts w:eastAsia="Times New Roman"/>
          <w:i/>
          <w:iCs/>
          <w:noProof/>
          <w:lang w:bidi="ar-AE"/>
        </w:rPr>
        <w:t>alladhīna kafarū</w:t>
      </w:r>
      <w:r w:rsidRPr="00731467">
        <w:rPr>
          <w:rFonts w:eastAsia="Times New Roman"/>
          <w:lang w:bidi="ar-AE"/>
        </w:rPr>
        <w:t xml:space="preserve"> peut désigner pour une communauté musulmane donnée tous ceux qui n’adoptent pas son propre dogme.</w:t>
      </w:r>
    </w:p>
    <w:p w14:paraId="22D533C7" w14:textId="77777777" w:rsidR="00296288" w:rsidRPr="00731467" w:rsidRDefault="00296288" w:rsidP="00296288">
      <w:pPr>
        <w:spacing w:line="360" w:lineRule="auto"/>
        <w:ind w:firstLine="360"/>
        <w:jc w:val="both"/>
        <w:rPr>
          <w:rFonts w:asciiTheme="majorBidi" w:eastAsia="Times New Roman" w:hAnsiTheme="majorBidi" w:cstheme="majorBidi"/>
          <w:lang w:bidi="ar-AE"/>
        </w:rPr>
      </w:pPr>
    </w:p>
    <w:p w14:paraId="68301216" w14:textId="77777777" w:rsidR="00296288" w:rsidRPr="00731467" w:rsidRDefault="00296288" w:rsidP="00296288">
      <w:pPr>
        <w:spacing w:line="360" w:lineRule="auto"/>
        <w:ind w:firstLine="708"/>
        <w:jc w:val="both"/>
        <w:rPr>
          <w:rFonts w:asciiTheme="majorBidi" w:eastAsia="Times New Roman" w:hAnsiTheme="majorBidi" w:cstheme="majorBidi"/>
          <w:lang w:bidi="ar-AE"/>
        </w:rPr>
      </w:pPr>
      <w:r w:rsidRPr="00731467">
        <w:rPr>
          <w:rFonts w:asciiTheme="majorBidi" w:eastAsia="Times New Roman" w:hAnsiTheme="majorBidi" w:cstheme="majorBidi"/>
          <w:lang w:bidi="ar-AE"/>
        </w:rPr>
        <w:t xml:space="preserve">Le verbe </w:t>
      </w:r>
      <w:r w:rsidRPr="00731467">
        <w:rPr>
          <w:rFonts w:asciiTheme="majorBidi" w:eastAsia="Times New Roman" w:hAnsiTheme="majorBidi" w:cstheme="majorBidi"/>
          <w:i/>
          <w:iCs/>
          <w:lang w:bidi="ar-AE"/>
        </w:rPr>
        <w:t>kafarū</w:t>
      </w:r>
      <w:r w:rsidRPr="00731467">
        <w:rPr>
          <w:rFonts w:asciiTheme="majorBidi" w:eastAsia="Times New Roman" w:hAnsiTheme="majorBidi" w:cstheme="majorBidi"/>
          <w:lang w:bidi="ar-AE"/>
        </w:rPr>
        <w:t xml:space="preserve"> lui-même [ils ne croient pas] qui est censé être monosémique a plusieurs sens : 1-ils renient l</w:t>
      </w:r>
      <w:r w:rsidRPr="00731467">
        <w:rPr>
          <w:rFonts w:asciiTheme="majorBidi" w:hAnsiTheme="majorBidi" w:cstheme="majorBidi"/>
        </w:rPr>
        <w:t>’unicité d’Allah (</w:t>
      </w:r>
      <w:r w:rsidRPr="00731467">
        <w:rPr>
          <w:rFonts w:asciiTheme="majorBidi" w:hAnsiTheme="majorBidi" w:cstheme="majorBidi"/>
          <w:i/>
          <w:iCs/>
        </w:rPr>
        <w:t>at-taw</w:t>
      </w:r>
      <w:r w:rsidRPr="00731467">
        <w:rPr>
          <w:rFonts w:asciiTheme="majorBidi" w:eastAsia="Times New Roman" w:hAnsiTheme="majorBidi" w:cstheme="majorBidi"/>
          <w:i/>
          <w:iCs/>
        </w:rPr>
        <w:t>ḥīd</w:t>
      </w:r>
      <w:r w:rsidRPr="00731467">
        <w:rPr>
          <w:rFonts w:asciiTheme="majorBidi" w:eastAsia="Times New Roman" w:hAnsiTheme="majorBidi" w:cstheme="majorBidi"/>
        </w:rPr>
        <w:t>)</w:t>
      </w:r>
      <w:r w:rsidRPr="00731467">
        <w:rPr>
          <w:rFonts w:asciiTheme="majorBidi" w:eastAsia="Times New Roman" w:hAnsiTheme="majorBidi" w:cstheme="majorBidi"/>
          <w:lang w:bidi="ar-AE"/>
        </w:rPr>
        <w:t xml:space="preserve"> (par conséquent, les chrétiens ne sont pas monothéistes car ils adoptent la Trinité) ; 2-ils démentent les messagers de Dieu ; 3-ils ne reconnaissent pas la grandeur et la grâce de Dieu ; 4-les voiles physiques (</w:t>
      </w:r>
      <w:r w:rsidRPr="00731467">
        <w:rPr>
          <w:rFonts w:asciiTheme="majorBidi" w:eastAsia="Times New Roman" w:hAnsiTheme="majorBidi" w:cstheme="majorBidi"/>
          <w:i/>
          <w:iCs/>
          <w:lang w:bidi="ar-AE"/>
        </w:rPr>
        <w:t>al-ghawāshī aṭ-ṭabīʿīya</w:t>
      </w:r>
      <w:r w:rsidRPr="00731467">
        <w:rPr>
          <w:rFonts w:asciiTheme="majorBidi" w:eastAsia="Times New Roman" w:hAnsiTheme="majorBidi" w:cstheme="majorBidi"/>
          <w:lang w:bidi="ar-AE"/>
        </w:rPr>
        <w:t xml:space="preserve">) les empêchent de voir (Ibn ʿArabī). Si le sens étymologique de la racine </w:t>
      </w:r>
      <w:r w:rsidRPr="00731467">
        <w:rPr>
          <w:rFonts w:asciiTheme="majorBidi" w:eastAsia="Times New Roman" w:hAnsiTheme="majorBidi" w:cstheme="majorBidi"/>
          <w:i/>
          <w:iCs/>
          <w:lang w:bidi="ar-AE"/>
        </w:rPr>
        <w:t>kfr</w:t>
      </w:r>
      <w:r w:rsidRPr="00731467">
        <w:rPr>
          <w:rFonts w:asciiTheme="majorBidi" w:eastAsia="Times New Roman" w:hAnsiTheme="majorBidi" w:cstheme="majorBidi"/>
          <w:lang w:bidi="ar-AE"/>
        </w:rPr>
        <w:t xml:space="preserve"> signifie </w:t>
      </w:r>
      <w:r w:rsidRPr="00731467">
        <w:rPr>
          <w:rFonts w:asciiTheme="majorBidi" w:eastAsia="Times New Roman" w:hAnsiTheme="majorBidi" w:cstheme="majorBidi"/>
          <w:i/>
          <w:iCs/>
          <w:lang w:bidi="ar-AE"/>
        </w:rPr>
        <w:lastRenderedPageBreak/>
        <w:t>couvrir</w:t>
      </w:r>
      <w:r w:rsidRPr="00731467">
        <w:rPr>
          <w:rFonts w:asciiTheme="majorBidi" w:eastAsia="Times New Roman" w:hAnsiTheme="majorBidi" w:cstheme="majorBidi"/>
          <w:vertAlign w:val="superscript"/>
          <w:lang w:bidi="ar-AE"/>
        </w:rPr>
        <w:footnoteReference w:id="251"/>
      </w:r>
      <w:r w:rsidRPr="00731467">
        <w:rPr>
          <w:rFonts w:asciiTheme="majorBidi" w:eastAsia="Times New Roman" w:hAnsiTheme="majorBidi" w:cstheme="majorBidi"/>
          <w:lang w:bidi="ar-AE"/>
        </w:rPr>
        <w:t>, les exégètes ont donc limité le champ sémantique du verbe pour désigner péjorativement les non-musulmans, alors qu’Ibn ʿArabī l’a absolutisé.</w:t>
      </w:r>
    </w:p>
    <w:p w14:paraId="1732CA0F" w14:textId="77777777" w:rsidR="00296288" w:rsidRPr="00731467" w:rsidRDefault="00296288" w:rsidP="00296288">
      <w:pPr>
        <w:spacing w:line="360" w:lineRule="auto"/>
        <w:ind w:firstLine="708"/>
        <w:jc w:val="both"/>
        <w:rPr>
          <w:rFonts w:asciiTheme="majorBidi" w:eastAsia="Times New Roman" w:hAnsiTheme="majorBidi" w:cstheme="majorBidi"/>
          <w:lang w:bidi="ar-AE"/>
        </w:rPr>
      </w:pPr>
    </w:p>
    <w:p w14:paraId="127E62CA" w14:textId="031D9DA1" w:rsidR="00296288" w:rsidRPr="00B867DF" w:rsidRDefault="00296288" w:rsidP="00296288">
      <w:pPr>
        <w:keepNext/>
        <w:shd w:val="clear" w:color="auto" w:fill="FFFFFF"/>
        <w:spacing w:line="360" w:lineRule="auto"/>
        <w:ind w:firstLine="708"/>
        <w:jc w:val="both"/>
        <w:outlineLvl w:val="2"/>
        <w:rPr>
          <w:rFonts w:eastAsia="Times New Roman"/>
          <w:shd w:val="clear" w:color="auto" w:fill="FFFFFF"/>
        </w:rPr>
      </w:pPr>
      <w:r w:rsidRPr="00B867DF">
        <w:rPr>
          <w:rFonts w:eastAsia="Times New Roman"/>
        </w:rPr>
        <w:t xml:space="preserve">Il est à noter qu’il existe dans la sourate Al-Ḥajj neuf occurrences de la racine </w:t>
      </w:r>
      <w:r w:rsidRPr="00B867DF">
        <w:rPr>
          <w:rFonts w:eastAsia="Times New Roman"/>
          <w:i/>
          <w:iCs/>
        </w:rPr>
        <w:t>kfr</w:t>
      </w:r>
      <w:r w:rsidRPr="00B867DF">
        <w:rPr>
          <w:rFonts w:eastAsia="Times New Roman"/>
        </w:rPr>
        <w:t> (</w:t>
      </w:r>
      <w:r w:rsidRPr="00B867DF">
        <w:rPr>
          <w:rFonts w:eastAsia="Times New Roman"/>
          <w:i/>
          <w:iCs/>
        </w:rPr>
        <w:t>être mécréant</w:t>
      </w:r>
      <w:r w:rsidRPr="00B867DF">
        <w:rPr>
          <w:rFonts w:eastAsia="Times New Roman"/>
        </w:rPr>
        <w:t xml:space="preserve"> (Ḥamidullāh), </w:t>
      </w:r>
      <w:r w:rsidRPr="00B867DF">
        <w:rPr>
          <w:rFonts w:eastAsia="Times New Roman"/>
          <w:i/>
          <w:iCs/>
        </w:rPr>
        <w:t>être impie</w:t>
      </w:r>
      <w:r w:rsidRPr="00B867DF">
        <w:rPr>
          <w:rFonts w:eastAsia="Times New Roman"/>
        </w:rPr>
        <w:t xml:space="preserve"> (Blachère), ou </w:t>
      </w:r>
      <w:r w:rsidRPr="00B867DF">
        <w:rPr>
          <w:rFonts w:eastAsia="Times New Roman"/>
          <w:i/>
          <w:iCs/>
        </w:rPr>
        <w:t>être dénégateur</w:t>
      </w:r>
      <w:r w:rsidRPr="00B867DF">
        <w:rPr>
          <w:rFonts w:eastAsia="Times New Roman"/>
        </w:rPr>
        <w:t xml:space="preserve"> (Berque)) : le verbe </w:t>
      </w:r>
      <w:r w:rsidRPr="00B867DF">
        <w:rPr>
          <w:rFonts w:eastAsia="Times New Roman"/>
          <w:i/>
          <w:iCs/>
        </w:rPr>
        <w:t>kafarū</w:t>
      </w:r>
      <w:r w:rsidRPr="00B867DF">
        <w:rPr>
          <w:rFonts w:eastAsia="Times New Roman"/>
        </w:rPr>
        <w:t xml:space="preserve"> (v. 19, 25, 55, 57 et 72 (2 fois)) ; le participe actif au pl. </w:t>
      </w:r>
      <w:r w:rsidRPr="00B867DF">
        <w:rPr>
          <w:rFonts w:eastAsia="Times New Roman"/>
          <w:i/>
          <w:iCs/>
        </w:rPr>
        <w:t>kāfirīn</w:t>
      </w:r>
      <w:r w:rsidRPr="00B867DF">
        <w:rPr>
          <w:rFonts w:eastAsia="Times New Roman"/>
        </w:rPr>
        <w:t xml:space="preserve"> (verset 44,) ; l’adjectif </w:t>
      </w:r>
      <w:r w:rsidRPr="00B867DF">
        <w:rPr>
          <w:rFonts w:eastAsia="Times New Roman"/>
          <w:i/>
          <w:iCs/>
        </w:rPr>
        <w:t>kafūr</w:t>
      </w:r>
      <w:r w:rsidRPr="00B867DF">
        <w:rPr>
          <w:rFonts w:eastAsia="Times New Roman"/>
        </w:rPr>
        <w:t xml:space="preserve"> (v. 38 et 66). </w:t>
      </w:r>
      <w:r w:rsidRPr="00B867DF">
        <w:rPr>
          <w:rFonts w:eastAsia="Times New Roman"/>
          <w:shd w:val="clear" w:color="auto" w:fill="FFFFFF"/>
        </w:rPr>
        <w:t xml:space="preserve">Cette fréquence de la racine </w:t>
      </w:r>
      <w:r w:rsidRPr="00B867DF">
        <w:rPr>
          <w:rFonts w:eastAsia="Times New Roman"/>
          <w:i/>
          <w:iCs/>
          <w:shd w:val="clear" w:color="auto" w:fill="FFFFFF"/>
        </w:rPr>
        <w:t>kfr</w:t>
      </w:r>
      <w:r w:rsidRPr="00B867DF">
        <w:rPr>
          <w:rFonts w:eastAsia="Times New Roman"/>
          <w:shd w:val="clear" w:color="auto" w:fill="FFFFFF"/>
        </w:rPr>
        <w:t xml:space="preserve"> montre que le discours de la sourate est plus mecquois que médinois, d’autant plus que la sourate commence </w:t>
      </w:r>
      <w:r w:rsidRPr="00B867DF">
        <w:rPr>
          <w:rFonts w:eastAsia="Times New Roman"/>
          <w:lang w:bidi="ar-EG"/>
        </w:rPr>
        <w:t xml:space="preserve">(versets 1 et 5, ainsi que 49 et 73) </w:t>
      </w:r>
      <w:r w:rsidRPr="00B867DF">
        <w:rPr>
          <w:rFonts w:eastAsia="Times New Roman"/>
          <w:shd w:val="clear" w:color="auto" w:fill="FFFFFF"/>
        </w:rPr>
        <w:t xml:space="preserve">par </w:t>
      </w:r>
      <w:r w:rsidRPr="00B867DF">
        <w:rPr>
          <w:rFonts w:eastAsia="Times New Roman"/>
          <w:i/>
          <w:iCs/>
          <w:lang w:bidi="ar-EG"/>
        </w:rPr>
        <w:t>Yā</w:t>
      </w:r>
      <w:r w:rsidRPr="00B867DF">
        <w:rPr>
          <w:rFonts w:ascii="Cambria" w:eastAsia="Times New Roman" w:hAnsi="Cambria"/>
          <w:i/>
          <w:iCs/>
        </w:rPr>
        <w:t xml:space="preserve"> </w:t>
      </w:r>
      <w:r w:rsidRPr="00B867DF">
        <w:rPr>
          <w:rFonts w:eastAsia="Times New Roman"/>
          <w:i/>
          <w:iCs/>
          <w:lang w:bidi="ar-EG"/>
        </w:rPr>
        <w:t>ayyuha n-nās</w:t>
      </w:r>
      <w:r w:rsidRPr="00B867DF">
        <w:rPr>
          <w:rFonts w:eastAsia="Times New Roman"/>
          <w:lang w:bidi="ar-EG"/>
        </w:rPr>
        <w:t xml:space="preserve"> [</w:t>
      </w:r>
      <w:r w:rsidRPr="00B867DF">
        <w:rPr>
          <w:rFonts w:eastAsia="Times New Roman"/>
          <w:i/>
          <w:iCs/>
        </w:rPr>
        <w:t>Ô hommes !</w:t>
      </w:r>
      <w:r w:rsidRPr="00B867DF">
        <w:rPr>
          <w:rFonts w:eastAsia="Times New Roman"/>
          <w:lang w:bidi="ar-EG"/>
        </w:rPr>
        <w:t xml:space="preserve"> = </w:t>
      </w:r>
      <w:r w:rsidRPr="00B867DF">
        <w:rPr>
          <w:rFonts w:eastAsia="Times New Roman"/>
          <w:i/>
          <w:iCs/>
          <w:lang w:bidi="ar-EG"/>
        </w:rPr>
        <w:t>les Mecquois !</w:t>
      </w:r>
      <w:r w:rsidRPr="00B867DF">
        <w:rPr>
          <w:rFonts w:eastAsia="Times New Roman"/>
          <w:lang w:bidi="ar-EG"/>
        </w:rPr>
        <w:t xml:space="preserve">], bien qu’il y existe d’autres caractéristiques qui soulignent le discours médinois de la sourate (l’évocation du cinquième pilier </w:t>
      </w:r>
      <w:r w:rsidRPr="00B867DF">
        <w:rPr>
          <w:rFonts w:eastAsia="Times New Roman"/>
          <w:shd w:val="clear" w:color="auto" w:fill="FFFFFF"/>
        </w:rPr>
        <w:t>de l’islam [le pèlerinage] et la déclaration de la permission de combattre les non musulmans). Ainsi, cette sourate est un mélange de discours mecquois et médinois.</w:t>
      </w:r>
    </w:p>
    <w:p w14:paraId="15A0A1D9" w14:textId="77777777" w:rsidR="00296288" w:rsidRPr="00B867DF" w:rsidRDefault="00296288" w:rsidP="00296288">
      <w:pPr>
        <w:spacing w:line="360" w:lineRule="auto"/>
        <w:ind w:firstLine="708"/>
        <w:jc w:val="both"/>
        <w:rPr>
          <w:rFonts w:eastAsia="Times New Roman"/>
          <w:lang w:bidi="ar-AE"/>
        </w:rPr>
      </w:pPr>
    </w:p>
    <w:p w14:paraId="4E6DB9BA" w14:textId="77777777" w:rsidR="00296288" w:rsidRPr="00B867DF" w:rsidRDefault="00296288" w:rsidP="00296288">
      <w:pPr>
        <w:spacing w:line="360" w:lineRule="auto"/>
        <w:ind w:firstLine="360"/>
        <w:jc w:val="both"/>
        <w:rPr>
          <w:rFonts w:eastAsia="Times New Roman"/>
          <w:rtl/>
          <w:lang w:bidi="ar-AE"/>
        </w:rPr>
      </w:pPr>
      <w:r w:rsidRPr="00B867DF">
        <w:rPr>
          <w:rFonts w:eastAsia="Times New Roman"/>
          <w:lang w:bidi="ar-AE"/>
        </w:rPr>
        <w:t xml:space="preserve">Le mot </w:t>
      </w:r>
      <w:r w:rsidRPr="00B867DF">
        <w:rPr>
          <w:rFonts w:eastAsia="Times New Roman"/>
          <w:i/>
          <w:iCs/>
          <w:lang w:bidi="ar-AE"/>
        </w:rPr>
        <w:t>ḥamīm</w:t>
      </w:r>
      <w:r w:rsidRPr="00B867DF">
        <w:rPr>
          <w:rFonts w:eastAsia="Times New Roman"/>
          <w:lang w:bidi="ar-AE"/>
        </w:rPr>
        <w:t xml:space="preserve"> [</w:t>
      </w:r>
      <w:r w:rsidRPr="00B867DF">
        <w:rPr>
          <w:rFonts w:eastAsia="Times New Roman"/>
          <w:i/>
          <w:iCs/>
          <w:lang w:bidi="ar-AE"/>
        </w:rPr>
        <w:t>litt.</w:t>
      </w:r>
      <w:r w:rsidRPr="00B867DF">
        <w:rPr>
          <w:rFonts w:eastAsia="Times New Roman"/>
          <w:lang w:bidi="ar-AE"/>
        </w:rPr>
        <w:t> : intime, canicule, eau chaude] (v. 19) qui se déverse sur les têtes des non-croyants a plusieurs dénotations touj</w:t>
      </w:r>
      <w:r>
        <w:rPr>
          <w:rFonts w:eastAsia="Times New Roman"/>
          <w:lang w:bidi="ar-AE"/>
        </w:rPr>
        <w:t xml:space="preserve">ours selon les exégèses : 1) </w:t>
      </w:r>
      <w:r w:rsidRPr="00B867DF">
        <w:rPr>
          <w:rFonts w:eastAsia="Times New Roman"/>
          <w:lang w:bidi="ar-AE"/>
        </w:rPr>
        <w:t>l’eau bouillante ; 2</w:t>
      </w:r>
      <w:r>
        <w:rPr>
          <w:rFonts w:eastAsia="Times New Roman"/>
          <w:lang w:bidi="ar-AE"/>
        </w:rPr>
        <w:t xml:space="preserve">) </w:t>
      </w:r>
      <w:r w:rsidRPr="00B867DF">
        <w:rPr>
          <w:rFonts w:eastAsia="Times New Roman"/>
          <w:lang w:bidi="ar-AE"/>
        </w:rPr>
        <w:t>l’eau chaude ; 3</w:t>
      </w:r>
      <w:r>
        <w:rPr>
          <w:rFonts w:eastAsia="Times New Roman"/>
          <w:lang w:bidi="ar-AE"/>
        </w:rPr>
        <w:t xml:space="preserve">) </w:t>
      </w:r>
      <w:r w:rsidRPr="00B867DF">
        <w:rPr>
          <w:rFonts w:eastAsia="Times New Roman"/>
          <w:lang w:bidi="ar-AE"/>
        </w:rPr>
        <w:t>le cuivre fondu et versé sur leurs têtes dans l’Enfer ; 4</w:t>
      </w:r>
      <w:r>
        <w:rPr>
          <w:rFonts w:eastAsia="Times New Roman"/>
          <w:lang w:bidi="ar-AE"/>
        </w:rPr>
        <w:t xml:space="preserve">) </w:t>
      </w:r>
      <w:r w:rsidRPr="00B867DF">
        <w:rPr>
          <w:rFonts w:eastAsia="Times New Roman"/>
          <w:lang w:bidi="ar-AE"/>
        </w:rPr>
        <w:t>le bitume bouillant [</w:t>
      </w:r>
      <w:r w:rsidRPr="00B867DF">
        <w:rPr>
          <w:rFonts w:eastAsia="Times New Roman"/>
          <w:i/>
          <w:iCs/>
          <w:lang w:bidi="ar-AE"/>
        </w:rPr>
        <w:t>az-zift al-maghlī</w:t>
      </w:r>
      <w:r w:rsidRPr="00B867DF">
        <w:rPr>
          <w:rFonts w:eastAsia="Times New Roman"/>
          <w:lang w:bidi="ar-AE"/>
        </w:rPr>
        <w:t>] (Amīn Shaykhū) ; 5</w:t>
      </w:r>
      <w:r>
        <w:rPr>
          <w:rFonts w:eastAsia="Times New Roman"/>
          <w:lang w:bidi="ar-AE"/>
        </w:rPr>
        <w:t xml:space="preserve">) </w:t>
      </w:r>
      <w:r w:rsidRPr="00B867DF">
        <w:rPr>
          <w:rFonts w:eastAsia="Times New Roman"/>
          <w:lang w:bidi="ar-AE"/>
        </w:rPr>
        <w:t xml:space="preserve">le </w:t>
      </w:r>
      <w:r w:rsidRPr="00B867DF">
        <w:rPr>
          <w:rFonts w:eastAsia="Times New Roman"/>
          <w:i/>
          <w:iCs/>
          <w:lang w:bidi="ar-AE"/>
        </w:rPr>
        <w:t>ḥamīm</w:t>
      </w:r>
      <w:r w:rsidRPr="00B867DF">
        <w:rPr>
          <w:rFonts w:eastAsia="Times New Roman"/>
          <w:lang w:bidi="ar-AE"/>
        </w:rPr>
        <w:t xml:space="preserve"> de la passion et de l’amour pour ce bas monde ou bien le </w:t>
      </w:r>
      <w:r w:rsidRPr="00B867DF">
        <w:rPr>
          <w:rFonts w:eastAsia="Times New Roman"/>
          <w:i/>
          <w:iCs/>
          <w:lang w:bidi="ar-AE"/>
        </w:rPr>
        <w:t>ḥamīm</w:t>
      </w:r>
      <w:r w:rsidRPr="00B867DF">
        <w:rPr>
          <w:rFonts w:eastAsia="Times New Roman"/>
          <w:lang w:bidi="ar-AE"/>
        </w:rPr>
        <w:t xml:space="preserve"> de l’ignorance du sot [</w:t>
      </w:r>
      <w:r w:rsidRPr="00B867DF">
        <w:rPr>
          <w:rFonts w:eastAsia="Times New Roman"/>
          <w:i/>
          <w:iCs/>
          <w:lang w:bidi="ar-AE"/>
        </w:rPr>
        <w:t>jahl murakkab</w:t>
      </w:r>
      <w:r w:rsidRPr="00B867DF">
        <w:rPr>
          <w:rFonts w:eastAsia="Times New Roman"/>
          <w:lang w:bidi="ar-AE"/>
        </w:rPr>
        <w:t xml:space="preserve">] et de la fausse croyance (Ibn ʿArabī). Les points communs entre ces explications sont la chaleur et la souffrance. Les différences entre elles consistent dans la nature du </w:t>
      </w:r>
      <w:r w:rsidRPr="00B867DF">
        <w:rPr>
          <w:rFonts w:eastAsia="Times New Roman"/>
          <w:i/>
          <w:iCs/>
          <w:lang w:bidi="ar-AE"/>
        </w:rPr>
        <w:t>ḥamīm</w:t>
      </w:r>
      <w:r w:rsidRPr="00B867DF">
        <w:rPr>
          <w:rFonts w:eastAsia="Times New Roman"/>
          <w:lang w:bidi="ar-AE"/>
        </w:rPr>
        <w:t xml:space="preserve">, sa température (oscillant entre la chaleur des passions et le point d’ébullition) et le temps du déversement de la liquide </w:t>
      </w:r>
      <w:r w:rsidRPr="00B867DF">
        <w:rPr>
          <w:rFonts w:eastAsia="Times New Roman"/>
          <w:i/>
          <w:iCs/>
          <w:lang w:bidi="ar-AE"/>
        </w:rPr>
        <w:t>ḥamīm</w:t>
      </w:r>
      <w:r w:rsidRPr="00B867DF">
        <w:rPr>
          <w:rFonts w:eastAsia="Times New Roman"/>
          <w:lang w:bidi="ar-AE"/>
        </w:rPr>
        <w:t xml:space="preserve"> (dans ce monde d’ici-bas ou après la mort).</w:t>
      </w:r>
    </w:p>
    <w:p w14:paraId="627B01BD" w14:textId="77777777" w:rsidR="00296288" w:rsidRPr="00B867DF" w:rsidRDefault="00296288" w:rsidP="00296288">
      <w:pPr>
        <w:spacing w:line="360" w:lineRule="auto"/>
        <w:jc w:val="both"/>
        <w:rPr>
          <w:rFonts w:eastAsia="Times New Roman"/>
          <w:lang w:bidi="ar-AE"/>
        </w:rPr>
      </w:pPr>
    </w:p>
    <w:p w14:paraId="23FEA274"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Le verset 20 utilise le verbe au passif </w:t>
      </w:r>
      <w:r w:rsidRPr="00B867DF">
        <w:rPr>
          <w:rFonts w:eastAsia="Times New Roman"/>
          <w:i/>
          <w:iCs/>
          <w:lang w:bidi="ar-AE"/>
        </w:rPr>
        <w:t>yuṣharu</w:t>
      </w:r>
      <w:r w:rsidRPr="00B867DF">
        <w:rPr>
          <w:rFonts w:eastAsia="Times New Roman"/>
          <w:lang w:bidi="ar-AE"/>
        </w:rPr>
        <w:t xml:space="preserve"> [</w:t>
      </w:r>
      <w:r w:rsidRPr="00B867DF">
        <w:rPr>
          <w:rFonts w:eastAsia="Times New Roman"/>
          <w:i/>
          <w:iCs/>
          <w:lang w:bidi="ar-AE"/>
        </w:rPr>
        <w:t>fondre</w:t>
      </w:r>
      <w:r w:rsidRPr="00B867DF">
        <w:rPr>
          <w:rFonts w:eastAsia="Times New Roman"/>
          <w:lang w:bidi="ar-AE"/>
        </w:rPr>
        <w:t xml:space="preserve">] qui signifie selon les exégètes : faire fondre ; fondre ; dissoudre ; </w:t>
      </w:r>
      <w:r w:rsidRPr="00B867DF">
        <w:rPr>
          <w:rFonts w:eastAsia="Times New Roman"/>
          <w:i/>
          <w:iCs/>
          <w:lang w:bidi="ar-AE"/>
        </w:rPr>
        <w:t>iḍmaḥalla</w:t>
      </w:r>
      <w:r w:rsidRPr="00B867DF">
        <w:rPr>
          <w:rFonts w:eastAsia="Times New Roman"/>
          <w:lang w:bidi="ar-AE"/>
        </w:rPr>
        <w:t xml:space="preserve"> [disparaître, faiblir] (Ibn ʿArabī) ; </w:t>
      </w:r>
      <w:r w:rsidRPr="00B867DF">
        <w:rPr>
          <w:rFonts w:eastAsia="Times New Roman"/>
          <w:i/>
          <w:iCs/>
          <w:lang w:bidi="ar-AE"/>
        </w:rPr>
        <w:t>yunḍij</w:t>
      </w:r>
      <w:r w:rsidRPr="00B867DF">
        <w:rPr>
          <w:rFonts w:eastAsia="Times New Roman"/>
          <w:lang w:bidi="ar-AE"/>
        </w:rPr>
        <w:t xml:space="preserve"> [mûrir, </w:t>
      </w:r>
      <w:r w:rsidRPr="00B867DF">
        <w:rPr>
          <w:rFonts w:eastAsia="Times New Roman"/>
          <w:lang w:bidi="ar-AE"/>
        </w:rPr>
        <w:lastRenderedPageBreak/>
        <w:t xml:space="preserve">faire cuire] ; adoucir ou tranquilliser (leurs âmes en faisant fondre les désirs et la honte) (Amīn Shaykhū). Contrairement aux exégètes, Ibn ʿArabī explique les </w:t>
      </w:r>
      <w:r w:rsidRPr="00B867DF">
        <w:rPr>
          <w:rFonts w:eastAsia="Times New Roman"/>
          <w:i/>
          <w:iCs/>
          <w:lang w:bidi="ar-AE"/>
        </w:rPr>
        <w:t xml:space="preserve">buṭūn </w:t>
      </w:r>
      <w:r w:rsidRPr="00B867DF">
        <w:rPr>
          <w:rFonts w:eastAsia="Times New Roman"/>
          <w:lang w:bidi="ar-AE"/>
        </w:rPr>
        <w:t xml:space="preserve">[ventres] par le fond, l’intérieur, les compétences et les dispositions, et il explique les </w:t>
      </w:r>
      <w:r w:rsidRPr="00B867DF">
        <w:rPr>
          <w:rFonts w:eastAsia="Times New Roman"/>
          <w:i/>
          <w:iCs/>
          <w:lang w:bidi="ar-AE"/>
        </w:rPr>
        <w:t>julūd</w:t>
      </w:r>
      <w:r w:rsidRPr="00B867DF">
        <w:rPr>
          <w:rFonts w:eastAsia="Times New Roman"/>
          <w:lang w:bidi="ar-AE"/>
        </w:rPr>
        <w:t xml:space="preserve"> [peaux] par la forme, les caractéristiques humaines externes. Ainsi, ces deux mots qui désignent les ventres [</w:t>
      </w:r>
      <w:r w:rsidRPr="00B867DF">
        <w:rPr>
          <w:rFonts w:eastAsia="Times New Roman"/>
          <w:i/>
          <w:iCs/>
          <w:lang w:bidi="ar-AE"/>
        </w:rPr>
        <w:t>buṭūn</w:t>
      </w:r>
      <w:r w:rsidRPr="00B867DF">
        <w:rPr>
          <w:rFonts w:eastAsia="Times New Roman"/>
          <w:lang w:bidi="ar-AE"/>
        </w:rPr>
        <w:t>] et les peaux [</w:t>
      </w:r>
      <w:r w:rsidRPr="00B867DF">
        <w:rPr>
          <w:rFonts w:eastAsia="Times New Roman"/>
          <w:i/>
          <w:iCs/>
          <w:lang w:bidi="ar-AE"/>
        </w:rPr>
        <w:t>julūd</w:t>
      </w:r>
      <w:r w:rsidRPr="00B867DF">
        <w:rPr>
          <w:rFonts w:eastAsia="Times New Roman"/>
          <w:lang w:bidi="ar-AE"/>
        </w:rPr>
        <w:t>] peuvent être compris au sens propre ou au sens figuré.</w:t>
      </w:r>
    </w:p>
    <w:p w14:paraId="7AAAFA1A" w14:textId="77777777" w:rsidR="00296288" w:rsidRPr="00B867DF" w:rsidRDefault="00296288" w:rsidP="00296288">
      <w:pPr>
        <w:spacing w:line="360" w:lineRule="auto"/>
        <w:jc w:val="both"/>
        <w:rPr>
          <w:rFonts w:eastAsia="Times New Roman"/>
          <w:lang w:bidi="ar-AE"/>
        </w:rPr>
      </w:pPr>
    </w:p>
    <w:p w14:paraId="0C49BFF8"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Il est à souligner que le verset ne dit pas que leurs ventres ou leurs entrailles dissolvent ou fondent, mais c’est ce qui se trouve dans leurs ventres qui dissout.</w:t>
      </w:r>
    </w:p>
    <w:p w14:paraId="04563EC6" w14:textId="77777777" w:rsidR="00296288" w:rsidRPr="00B867DF" w:rsidRDefault="00296288" w:rsidP="00296288">
      <w:pPr>
        <w:spacing w:line="360" w:lineRule="auto"/>
        <w:jc w:val="both"/>
        <w:rPr>
          <w:rFonts w:eastAsia="Calibri"/>
          <w:lang w:bidi="ar-AE"/>
        </w:rPr>
      </w:pPr>
    </w:p>
    <w:p w14:paraId="7BB2F5D0" w14:textId="77777777" w:rsidR="00296288" w:rsidRPr="00B867DF" w:rsidRDefault="00296288" w:rsidP="00296288">
      <w:pPr>
        <w:spacing w:line="360" w:lineRule="auto"/>
        <w:ind w:firstLine="360"/>
        <w:jc w:val="both"/>
        <w:rPr>
          <w:rFonts w:eastAsia="Times New Roman"/>
        </w:rPr>
      </w:pPr>
      <w:r w:rsidRPr="00B867DF">
        <w:rPr>
          <w:rFonts w:eastAsia="Times New Roman"/>
          <w:lang w:bidi="ar-AE"/>
        </w:rPr>
        <w:t xml:space="preserve">Dans le verset 22, le terme </w:t>
      </w:r>
      <w:r w:rsidRPr="00B867DF">
        <w:rPr>
          <w:rFonts w:eastAsia="Times New Roman"/>
          <w:i/>
          <w:iCs/>
          <w:lang w:bidi="ar-AE"/>
        </w:rPr>
        <w:t>ghamm</w:t>
      </w:r>
      <w:r w:rsidRPr="00B867DF">
        <w:rPr>
          <w:rFonts w:eastAsia="Times New Roman"/>
          <w:lang w:bidi="ar-AE"/>
        </w:rPr>
        <w:t xml:space="preserve">, qui signifie selon les dictionnaires </w:t>
      </w:r>
      <w:r w:rsidRPr="00B867DF">
        <w:rPr>
          <w:rFonts w:eastAsia="Times New Roman"/>
          <w:i/>
          <w:iCs/>
          <w:lang w:bidi="ar-AE"/>
        </w:rPr>
        <w:t>le chagrin</w:t>
      </w:r>
      <w:r w:rsidRPr="00B867DF">
        <w:rPr>
          <w:rFonts w:eastAsia="Times New Roman"/>
          <w:lang w:bidi="ar-AE"/>
        </w:rPr>
        <w:t>, a pris un autre sens selon certains exégètes ; il s’agit du</w:t>
      </w:r>
      <w:r w:rsidRPr="00B867DF">
        <w:rPr>
          <w:rFonts w:eastAsia="Times New Roman"/>
          <w:i/>
          <w:iCs/>
          <w:lang w:bidi="ar-AE"/>
        </w:rPr>
        <w:t xml:space="preserve"> feu</w:t>
      </w:r>
      <w:r w:rsidRPr="00B867DF">
        <w:rPr>
          <w:rFonts w:eastAsia="Times New Roman"/>
          <w:lang w:bidi="ar-AE"/>
        </w:rPr>
        <w:t xml:space="preserve"> ou de </w:t>
      </w:r>
      <w:r w:rsidRPr="00B867DF">
        <w:rPr>
          <w:rFonts w:eastAsia="Times New Roman"/>
          <w:i/>
          <w:iCs/>
          <w:lang w:bidi="ar-AE"/>
        </w:rPr>
        <w:t>l’Enfer</w:t>
      </w:r>
      <w:r w:rsidRPr="00B867DF">
        <w:rPr>
          <w:rFonts w:eastAsia="Times New Roman"/>
          <w:lang w:bidi="ar-AE"/>
        </w:rPr>
        <w:t xml:space="preserve"> selon Al-Qurṭubī et </w:t>
      </w:r>
      <w:r w:rsidRPr="00B867DF">
        <w:rPr>
          <w:rFonts w:eastAsia="Times New Roman"/>
        </w:rPr>
        <w:t>Ibn Kathīr :</w:t>
      </w:r>
      <w:r w:rsidRPr="00B867DF">
        <w:rPr>
          <w:rFonts w:eastAsia="Times New Roman"/>
          <w:lang w:bidi="ar-AE"/>
        </w:rPr>
        <w:t xml:space="preserve"> « </w:t>
      </w:r>
      <w:r>
        <w:rPr>
          <w:rFonts w:eastAsia="Times New Roman" w:hint="cs"/>
          <w:rtl/>
          <w:lang w:bidi="ar-AE"/>
        </w:rPr>
        <w:t>النار سوداء مظلمة لا يضيء لهبُها ولا جمرُها</w:t>
      </w:r>
      <w:r w:rsidRPr="00B867DF">
        <w:rPr>
          <w:rFonts w:eastAsia="Times New Roman"/>
        </w:rPr>
        <w:t xml:space="preserve"> » </w:t>
      </w:r>
      <w:r w:rsidRPr="00B867DF">
        <w:rPr>
          <w:rFonts w:eastAsia="Times New Roman"/>
          <w:lang w:bidi="ar-AE"/>
        </w:rPr>
        <w:t xml:space="preserve">[« L’Enfer est noir et sombre, dont </w:t>
      </w:r>
      <w:r w:rsidRPr="00B867DF">
        <w:rPr>
          <w:rFonts w:eastAsia="Times New Roman"/>
        </w:rPr>
        <w:t>la flamme et la braise ne donnent pas de lumière »]).</w:t>
      </w:r>
      <w:r w:rsidRPr="00B867DF">
        <w:rPr>
          <w:rFonts w:eastAsia="Times New Roman"/>
          <w:lang w:bidi="ar-AE"/>
        </w:rPr>
        <w:t xml:space="preserve"> </w:t>
      </w:r>
      <w:r w:rsidRPr="00B867DF">
        <w:rPr>
          <w:rFonts w:eastAsia="Times New Roman"/>
        </w:rPr>
        <w:t>Ils ont ainsi créé un nouveau sens pour ce mot afin qu’il soit compatible avec l’ensemble du verset.</w:t>
      </w:r>
    </w:p>
    <w:p w14:paraId="1B8D1C22" w14:textId="77777777" w:rsidR="00296288" w:rsidRPr="00B867DF" w:rsidRDefault="00296288" w:rsidP="00296288">
      <w:pPr>
        <w:spacing w:line="360" w:lineRule="auto"/>
        <w:jc w:val="both"/>
        <w:rPr>
          <w:rFonts w:asciiTheme="majorBidi" w:eastAsia="Times New Roman" w:hAnsiTheme="majorBidi" w:cstheme="majorBidi"/>
          <w:lang w:bidi="ar-AE"/>
        </w:rPr>
      </w:pPr>
    </w:p>
    <w:p w14:paraId="0F7D09AA"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Les adversaires de l’Islam qui veulent sortir de l’Enfer à cause du chagrin ou du feu doivent, selon le verset 22, savourer </w:t>
      </w:r>
      <w:r w:rsidRPr="00B867DF">
        <w:rPr>
          <w:rFonts w:asciiTheme="majorBidi" w:eastAsia="Times New Roman" w:hAnsiTheme="majorBidi" w:cstheme="majorBidi"/>
          <w:i/>
          <w:iCs/>
          <w:lang w:bidi="ar-AE"/>
        </w:rPr>
        <w:t>ʿadhāb al-ḥarīq</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litt.</w:t>
      </w:r>
      <w:r w:rsidRPr="00B867DF">
        <w:rPr>
          <w:rFonts w:asciiTheme="majorBidi" w:eastAsia="Times New Roman" w:hAnsiTheme="majorBidi" w:cstheme="majorBidi"/>
          <w:lang w:bidi="ar-AE"/>
        </w:rPr>
        <w:t> : le tourment de</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AE"/>
        </w:rPr>
        <w:t xml:space="preserve">l’embrasement). Mais il semble que ce type de tourment n’est pas le même que celui de l’Enfer ou de Géhenne dans le langage coranique, car le Coran distingue entre les </w:t>
      </w:r>
      <w:r w:rsidRPr="0026748E">
        <w:rPr>
          <w:rFonts w:asciiTheme="majorBidi" w:eastAsia="Times New Roman" w:hAnsiTheme="majorBidi" w:cstheme="majorBidi"/>
          <w:lang w:bidi="ar-AE"/>
        </w:rPr>
        <w:t xml:space="preserve">deux ailleurs (LXXXV, 10 : </w:t>
      </w:r>
      <w:r w:rsidRPr="00B867DF">
        <w:rPr>
          <w:rFonts w:asciiTheme="majorBidi" w:eastAsia="Times New Roman" w:hAnsiTheme="majorBidi" w:cstheme="majorBidi"/>
          <w:lang w:bidi="ar-AE"/>
        </w:rPr>
        <w:t>« </w:t>
      </w:r>
      <w:r>
        <w:rPr>
          <w:rFonts w:asciiTheme="majorBidi" w:eastAsia="Times New Roman" w:hAnsiTheme="majorBidi" w:cstheme="majorBidi" w:hint="cs"/>
          <w:rtl/>
          <w:lang w:bidi="ar-AE"/>
        </w:rPr>
        <w:t xml:space="preserve">فلهم </w:t>
      </w:r>
      <w:r w:rsidRPr="00244073">
        <w:rPr>
          <w:rFonts w:asciiTheme="majorBidi" w:eastAsia="Times New Roman" w:hAnsiTheme="majorBidi" w:cstheme="majorBidi" w:hint="cs"/>
          <w:b/>
          <w:bCs/>
          <w:rtl/>
          <w:lang w:bidi="ar-AE"/>
        </w:rPr>
        <w:t>عذابُ جهنّمَ</w:t>
      </w:r>
      <w:r>
        <w:rPr>
          <w:rFonts w:asciiTheme="majorBidi" w:eastAsia="Times New Roman" w:hAnsiTheme="majorBidi" w:cstheme="majorBidi" w:hint="cs"/>
          <w:rtl/>
          <w:lang w:bidi="ar-AE"/>
        </w:rPr>
        <w:t xml:space="preserve"> ولهم </w:t>
      </w:r>
      <w:r w:rsidRPr="00244073">
        <w:rPr>
          <w:rFonts w:asciiTheme="majorBidi" w:eastAsia="Times New Roman" w:hAnsiTheme="majorBidi" w:cstheme="majorBidi" w:hint="cs"/>
          <w:b/>
          <w:bCs/>
          <w:rtl/>
          <w:lang w:bidi="ar-AE"/>
        </w:rPr>
        <w:t>عذابُ الحريق</w:t>
      </w:r>
      <w:r w:rsidRPr="00B867DF">
        <w:rPr>
          <w:rFonts w:asciiTheme="majorBidi" w:eastAsia="Times New Roman" w:hAnsiTheme="majorBidi" w:cstheme="majorBidi"/>
          <w:b/>
          <w:i/>
          <w:lang w:bidi="ar-AE"/>
        </w:rPr>
        <w:t> </w:t>
      </w:r>
      <w:r w:rsidRPr="00B867DF">
        <w:rPr>
          <w:rFonts w:asciiTheme="majorBidi" w:eastAsia="Times New Roman" w:hAnsiTheme="majorBidi" w:cstheme="majorBidi"/>
          <w:lang w:bidi="ar-AE"/>
        </w:rPr>
        <w:t>»</w:t>
      </w:r>
      <w:r w:rsidRPr="00B867DF">
        <w:rPr>
          <w:rFonts w:asciiTheme="majorBidi" w:eastAsia="Times New Roman" w:hAnsiTheme="majorBidi" w:cstheme="majorBidi"/>
          <w:i/>
          <w:iCs/>
          <w:lang w:bidi="ar-AE"/>
        </w:rPr>
        <w:t xml:space="preserve"> </w:t>
      </w:r>
      <w:r w:rsidRPr="00B867DF">
        <w:rPr>
          <w:rFonts w:asciiTheme="majorBidi" w:eastAsia="Times New Roman" w:hAnsiTheme="majorBidi" w:cstheme="majorBidi"/>
          <w:lang w:bidi="ar-AE"/>
        </w:rPr>
        <w:t xml:space="preserve">[litt. : à eux </w:t>
      </w:r>
      <w:r w:rsidRPr="006F15A4">
        <w:rPr>
          <w:rFonts w:asciiTheme="majorBidi" w:eastAsia="Times New Roman" w:hAnsiTheme="majorBidi" w:cstheme="majorBidi"/>
          <w:b/>
          <w:bCs/>
          <w:lang w:bidi="ar-AE"/>
        </w:rPr>
        <w:t xml:space="preserve">le </w:t>
      </w:r>
      <w:r w:rsidRPr="00957F98">
        <w:rPr>
          <w:rFonts w:asciiTheme="majorBidi" w:eastAsia="Times New Roman" w:hAnsiTheme="majorBidi" w:cstheme="majorBidi"/>
          <w:b/>
          <w:bCs/>
          <w:lang w:bidi="ar-AE"/>
        </w:rPr>
        <w:t>tourment de Géhenne</w:t>
      </w:r>
      <w:r w:rsidRPr="00B867DF">
        <w:rPr>
          <w:rFonts w:asciiTheme="majorBidi" w:eastAsia="Times New Roman" w:hAnsiTheme="majorBidi" w:cstheme="majorBidi"/>
          <w:lang w:bidi="ar-AE"/>
        </w:rPr>
        <w:t xml:space="preserve"> et à eux </w:t>
      </w:r>
      <w:r w:rsidRPr="006F15A4">
        <w:rPr>
          <w:rFonts w:asciiTheme="majorBidi" w:eastAsia="Times New Roman" w:hAnsiTheme="majorBidi" w:cstheme="majorBidi"/>
          <w:b/>
          <w:bCs/>
          <w:lang w:bidi="ar-AE"/>
        </w:rPr>
        <w:t>le tourment de l’embrasement</w:t>
      </w:r>
      <w:r w:rsidRPr="00B867DF">
        <w:rPr>
          <w:rFonts w:asciiTheme="majorBidi" w:eastAsia="Times New Roman" w:hAnsiTheme="majorBidi" w:cstheme="majorBidi"/>
          <w:lang w:bidi="ar-AE"/>
        </w:rPr>
        <w:t xml:space="preserve">]). Ce dernier verset dit clairement qu’ils subissent deux types de tourment : celui de </w:t>
      </w:r>
      <w:r w:rsidRPr="00B867DF">
        <w:rPr>
          <w:rFonts w:asciiTheme="majorBidi" w:eastAsia="Times New Roman" w:hAnsiTheme="majorBidi" w:cstheme="majorBidi"/>
          <w:i/>
          <w:iCs/>
          <w:lang w:bidi="ar-AE"/>
        </w:rPr>
        <w:t>jahannam</w:t>
      </w:r>
      <w:r w:rsidRPr="00B867DF">
        <w:rPr>
          <w:rFonts w:asciiTheme="majorBidi" w:eastAsia="Times New Roman" w:hAnsiTheme="majorBidi" w:cstheme="majorBidi"/>
          <w:lang w:bidi="ar-AE"/>
        </w:rPr>
        <w:t xml:space="preserve"> [Géhenne] et celui de </w:t>
      </w:r>
      <w:r w:rsidRPr="00B867DF">
        <w:rPr>
          <w:rFonts w:asciiTheme="majorBidi" w:eastAsia="Times New Roman" w:hAnsiTheme="majorBidi" w:cstheme="majorBidi"/>
          <w:i/>
          <w:iCs/>
          <w:lang w:bidi="ar-AE"/>
        </w:rPr>
        <w:t xml:space="preserve">ḥarīq </w:t>
      </w:r>
      <w:r w:rsidRPr="00B867DF">
        <w:rPr>
          <w:rFonts w:asciiTheme="majorBidi" w:eastAsia="Times New Roman" w:hAnsiTheme="majorBidi" w:cstheme="majorBidi"/>
          <w:lang w:bidi="ar-AE"/>
        </w:rPr>
        <w:t>[embrasement]. A</w:t>
      </w:r>
      <w:r w:rsidRPr="00B867DF">
        <w:rPr>
          <w:rFonts w:asciiTheme="majorBidi" w:eastAsia="Calibri" w:hAnsiTheme="majorBidi" w:cstheme="majorBidi"/>
          <w:lang w:bidi="ar-AE"/>
        </w:rPr>
        <w:t>ṭ</w:t>
      </w:r>
      <w:r w:rsidRPr="00B867DF">
        <w:rPr>
          <w:rFonts w:asciiTheme="majorBidi" w:eastAsia="Times New Roman" w:hAnsiTheme="majorBidi" w:cstheme="majorBidi"/>
          <w:lang w:bidi="ar-AE"/>
        </w:rPr>
        <w:t xml:space="preserve">-Ṭabarī note que le substantif </w:t>
      </w:r>
      <w:r w:rsidRPr="00B867DF">
        <w:rPr>
          <w:rFonts w:asciiTheme="majorBidi" w:eastAsia="Times New Roman" w:hAnsiTheme="majorBidi" w:cstheme="majorBidi"/>
          <w:i/>
          <w:iCs/>
          <w:lang w:bidi="ar-AE"/>
        </w:rPr>
        <w:t>ḥarīq</w:t>
      </w:r>
      <w:r w:rsidRPr="00B867DF">
        <w:rPr>
          <w:rFonts w:asciiTheme="majorBidi" w:eastAsia="Times New Roman" w:hAnsiTheme="majorBidi" w:cstheme="majorBidi"/>
          <w:lang w:bidi="ar-AE"/>
        </w:rPr>
        <w:t xml:space="preserve"> veut dire « brûlant » [</w:t>
      </w:r>
      <w:r w:rsidRPr="00B867DF">
        <w:rPr>
          <w:rFonts w:asciiTheme="majorBidi" w:eastAsia="Times New Roman" w:hAnsiTheme="majorBidi" w:cstheme="majorBidi"/>
          <w:i/>
          <w:iCs/>
          <w:lang w:bidi="ar-AE"/>
        </w:rPr>
        <w:t>al-muḥriq</w:t>
      </w:r>
      <w:r w:rsidRPr="00B867DF">
        <w:rPr>
          <w:rFonts w:asciiTheme="majorBidi" w:eastAsia="Times New Roman" w:hAnsiTheme="majorBidi" w:cstheme="majorBidi"/>
          <w:lang w:bidi="ar-AE"/>
        </w:rPr>
        <w:t xml:space="preserve">], sans trop s’attarder sur ce mot. </w:t>
      </w:r>
      <w:r w:rsidRPr="00B867DF">
        <w:rPr>
          <w:rFonts w:asciiTheme="majorBidi" w:eastAsia="Times New Roman" w:hAnsiTheme="majorBidi" w:cstheme="majorBidi"/>
          <w:i/>
          <w:iCs/>
          <w:lang w:bidi="ar-AE"/>
        </w:rPr>
        <w:t xml:space="preserve">Tafsīr </w:t>
      </w:r>
      <w:r w:rsidRPr="00B867DF">
        <w:rPr>
          <w:rFonts w:asciiTheme="majorBidi" w:eastAsia="Times New Roman" w:hAnsiTheme="majorBidi" w:cstheme="majorBidi"/>
          <w:i/>
          <w:iCs/>
          <w:shd w:val="clear" w:color="auto" w:fill="FFFFFF"/>
        </w:rPr>
        <w:t>Al-Jalālayn</w:t>
      </w:r>
      <w:r w:rsidRPr="00B867DF">
        <w:rPr>
          <w:rFonts w:asciiTheme="majorBidi" w:eastAsia="Times New Roman" w:hAnsiTheme="majorBidi" w:cstheme="majorBidi"/>
          <w:shd w:val="clear" w:color="auto" w:fill="FFFFFF"/>
        </w:rPr>
        <w:t xml:space="preserve"> souligne qu’il s’agit d’un extrême degré de brûlage </w:t>
      </w:r>
      <w:r w:rsidRPr="00B867DF">
        <w:rPr>
          <w:rFonts w:asciiTheme="majorBidi" w:eastAsia="Times New Roman" w:hAnsiTheme="majorBidi" w:cstheme="majorBidi"/>
          <w:lang w:bidi="ar-AE"/>
        </w:rPr>
        <w:t>[</w:t>
      </w:r>
      <w:r w:rsidRPr="00B867DF">
        <w:rPr>
          <w:rFonts w:asciiTheme="majorBidi" w:eastAsia="Times New Roman" w:hAnsiTheme="majorBidi" w:cstheme="majorBidi"/>
          <w:i/>
          <w:iCs/>
          <w:lang w:bidi="ar-AE"/>
        </w:rPr>
        <w:t>al-bāligh nihāyat al-iḥrāq</w:t>
      </w:r>
      <w:r w:rsidRPr="00B867DF">
        <w:rPr>
          <w:rFonts w:asciiTheme="majorBidi" w:eastAsia="Times New Roman" w:hAnsiTheme="majorBidi" w:cstheme="majorBidi"/>
          <w:lang w:bidi="ar-AE"/>
        </w:rPr>
        <w:t>].</w:t>
      </w:r>
    </w:p>
    <w:p w14:paraId="4AE872E8"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p>
    <w:p w14:paraId="528D184E"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En revanche, dans le sunnisme orthodoxe lui-même, on trouve une explication hétérodoxe du terme </w:t>
      </w:r>
      <w:r w:rsidRPr="00B867DF">
        <w:rPr>
          <w:rFonts w:asciiTheme="majorBidi" w:eastAsia="Times New Roman" w:hAnsiTheme="majorBidi" w:cstheme="majorBidi"/>
          <w:i/>
          <w:iCs/>
          <w:lang w:bidi="ar-AE"/>
        </w:rPr>
        <w:t>ḥarīq</w:t>
      </w:r>
      <w:r w:rsidRPr="00B867DF">
        <w:rPr>
          <w:rFonts w:asciiTheme="majorBidi" w:eastAsia="Times New Roman" w:hAnsiTheme="majorBidi" w:cstheme="majorBidi"/>
          <w:lang w:bidi="ar-AE"/>
        </w:rPr>
        <w:t xml:space="preserve"> plus ou moins proche de l’approche théosophique moderne (un syncrétisme à base de traditions de l’hindouisme et du bouddhisme) révélée par Helena Blavatsky (1831-1891).</w:t>
      </w:r>
    </w:p>
    <w:p w14:paraId="09EA4301"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p>
    <w:p w14:paraId="7B192898"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r w:rsidRPr="00B867DF">
        <w:rPr>
          <w:rFonts w:asciiTheme="majorBidi" w:eastAsia="Times New Roman" w:hAnsiTheme="majorBidi" w:cstheme="majorBidi"/>
          <w:lang w:bidi="ar-AE"/>
        </w:rPr>
        <w:t>Partant du hadith (« </w:t>
      </w:r>
      <w:r w:rsidRPr="00933694">
        <w:rPr>
          <w:rFonts w:asciiTheme="majorBidi" w:eastAsia="Times New Roman" w:hAnsiTheme="majorBidi" w:hint="cs"/>
          <w:rtl/>
          <w:lang w:bidi="ar-AE"/>
        </w:rPr>
        <w:t>إن</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الرجل</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ليلجمه</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العرق</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يوم</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القيامة</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فيقول</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يا</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رب</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أرحني</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ولو</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إلى</w:t>
      </w:r>
      <w:r w:rsidRPr="00933694">
        <w:rPr>
          <w:rFonts w:asciiTheme="majorBidi" w:eastAsia="Times New Roman" w:hAnsiTheme="majorBidi"/>
          <w:rtl/>
          <w:lang w:bidi="ar-AE"/>
        </w:rPr>
        <w:t xml:space="preserve"> </w:t>
      </w:r>
      <w:r w:rsidRPr="00933694">
        <w:rPr>
          <w:rFonts w:asciiTheme="majorBidi" w:eastAsia="Times New Roman" w:hAnsiTheme="majorBidi" w:hint="cs"/>
          <w:rtl/>
          <w:lang w:bidi="ar-AE"/>
        </w:rPr>
        <w:t>النار</w:t>
      </w:r>
      <w:r w:rsidRPr="00B867DF">
        <w:rPr>
          <w:rFonts w:asciiTheme="majorBidi" w:hAnsiTheme="majorBidi" w:cstheme="majorBidi"/>
          <w:i/>
          <w:iCs/>
        </w:rPr>
        <w:t> </w:t>
      </w:r>
      <w:r w:rsidRPr="00B867DF">
        <w:rPr>
          <w:rFonts w:asciiTheme="majorBidi" w:hAnsiTheme="majorBidi" w:cstheme="majorBidi"/>
        </w:rPr>
        <w:t xml:space="preserve">» [Certes, </w:t>
      </w:r>
      <w:r w:rsidRPr="00B867DF">
        <w:rPr>
          <w:rFonts w:asciiTheme="majorBidi" w:eastAsia="Times New Roman" w:hAnsiTheme="majorBidi" w:cstheme="majorBidi"/>
        </w:rPr>
        <w:t xml:space="preserve">l’homme sera tellement accablé par la sueur le jour du Jugement dernier qu’il dira : Mon </w:t>
      </w:r>
      <w:r w:rsidRPr="00B867DF">
        <w:rPr>
          <w:rFonts w:asciiTheme="majorBidi" w:eastAsia="Times New Roman" w:hAnsiTheme="majorBidi" w:cstheme="majorBidi"/>
        </w:rPr>
        <w:lastRenderedPageBreak/>
        <w:t>Seigneur ! Soulage-moi même en m’amenant à l’Enfer</w:t>
      </w:r>
      <w:r w:rsidRPr="00B867DF">
        <w:rPr>
          <w:rFonts w:asciiTheme="majorBidi" w:hAnsiTheme="majorBidi" w:cstheme="majorBidi"/>
        </w:rPr>
        <w:t>] </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al-Jāmi</w:t>
      </w:r>
      <w:r w:rsidRPr="00B867DF">
        <w:rPr>
          <w:rFonts w:asciiTheme="majorBidi" w:eastAsia="Times New Roman" w:hAnsiTheme="majorBidi" w:cstheme="majorBidi"/>
          <w:i/>
          <w:iCs/>
        </w:rPr>
        <w:t>ʿ</w:t>
      </w:r>
      <w:r w:rsidRPr="00B867DF">
        <w:rPr>
          <w:rFonts w:asciiTheme="majorBidi" w:eastAsia="Times New Roman" w:hAnsiTheme="majorBidi" w:cstheme="majorBidi"/>
          <w:i/>
          <w:iCs/>
          <w:lang w:bidi="ar-AE"/>
        </w:rPr>
        <w:t xml:space="preserve"> a</w:t>
      </w:r>
      <w:r w:rsidRPr="00B867DF">
        <w:rPr>
          <w:rFonts w:asciiTheme="majorBidi" w:eastAsia="Times New Roman" w:hAnsiTheme="majorBidi" w:cstheme="majorBidi"/>
          <w:i/>
          <w:iCs/>
        </w:rPr>
        <w:t>ṣ-Ṣaghīr</w:t>
      </w:r>
      <w:r w:rsidRPr="00B867DF">
        <w:rPr>
          <w:rFonts w:asciiTheme="majorBidi" w:eastAsia="Times New Roman" w:hAnsiTheme="majorBidi" w:cstheme="majorBidi"/>
        </w:rPr>
        <w:t>)</w:t>
      </w:r>
      <w:r w:rsidRPr="00B867DF">
        <w:rPr>
          <w:rFonts w:asciiTheme="majorBidi" w:eastAsia="Times New Roman" w:hAnsiTheme="majorBidi" w:cstheme="majorBidi"/>
          <w:lang w:bidi="ar-AE"/>
        </w:rPr>
        <w:t xml:space="preserve"> et conformément à une interprétation mystique des versets « </w:t>
      </w:r>
      <w:r>
        <w:rPr>
          <w:rFonts w:asciiTheme="majorBidi" w:eastAsia="Times New Roman" w:hAnsiTheme="majorBidi" w:cstheme="majorBidi" w:hint="cs"/>
          <w:rtl/>
          <w:lang w:bidi="ar-AE"/>
        </w:rPr>
        <w:t>بما قدَّمَت أيديهم</w:t>
      </w:r>
      <w:r w:rsidRPr="00933694">
        <w:rPr>
          <w:rFonts w:asciiTheme="majorBidi" w:eastAsia="Times New Roman" w:hAnsiTheme="majorBidi" w:cstheme="majorBidi"/>
          <w:lang w:bidi="ar-AE"/>
        </w:rPr>
        <w:t> </w:t>
      </w:r>
      <w:r w:rsidRPr="00B867DF">
        <w:rPr>
          <w:rFonts w:asciiTheme="majorBidi" w:hAnsiTheme="majorBidi" w:cstheme="majorBidi"/>
        </w:rPr>
        <w:t>[</w:t>
      </w:r>
      <w:r w:rsidRPr="00B867DF">
        <w:rPr>
          <w:rFonts w:asciiTheme="majorBidi" w:eastAsia="Times New Roman" w:hAnsiTheme="majorBidi" w:cstheme="majorBidi"/>
        </w:rPr>
        <w:t>du fait de ce qu’ont avancé leurs mains</w:t>
      </w:r>
      <w:r w:rsidRPr="00B867DF">
        <w:rPr>
          <w:rFonts w:asciiTheme="majorBidi" w:hAnsiTheme="majorBidi" w:cstheme="majorBidi"/>
        </w:rPr>
        <w:t>]</w:t>
      </w:r>
      <w:r w:rsidRPr="00B867DF">
        <w:rPr>
          <w:rFonts w:asciiTheme="majorBidi" w:eastAsia="Times New Roman" w:hAnsiTheme="majorBidi" w:cstheme="majorBidi"/>
          <w:lang w:bidi="ar-AE"/>
        </w:rPr>
        <w:t> » (II, 95 ; IV, 62 ; XXVIII, 47 ; XXX, 36 ; XLII, 48 et LXII, 7) et « </w:t>
      </w:r>
      <w:r>
        <w:rPr>
          <w:rFonts w:asciiTheme="majorBidi" w:eastAsia="Times New Roman" w:hAnsiTheme="majorBidi" w:cstheme="majorBidi" w:hint="cs"/>
          <w:rtl/>
          <w:lang w:bidi="ar-AE"/>
        </w:rPr>
        <w:t>نار الله الموقَدة التي تطَّلع على الأفئدة</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rPr>
        <w:t>un feu de Dieu qui flambe et pénètre jusqu’au cœur</w:t>
      </w:r>
      <w:r w:rsidRPr="00B867DF">
        <w:rPr>
          <w:rFonts w:asciiTheme="majorBidi" w:hAnsiTheme="majorBidi" w:cstheme="majorBidi"/>
        </w:rPr>
        <w:t>] »</w:t>
      </w:r>
      <w:r w:rsidRPr="00B867DF">
        <w:rPr>
          <w:rFonts w:asciiTheme="majorBidi" w:eastAsia="Times New Roman" w:hAnsiTheme="majorBidi" w:cstheme="majorBidi"/>
          <w:lang w:bidi="ar-AE"/>
        </w:rPr>
        <w:t xml:space="preserve"> (</w:t>
      </w:r>
      <w:r w:rsidRPr="00B867DF">
        <w:rPr>
          <w:rFonts w:asciiTheme="majorBidi" w:hAnsiTheme="majorBidi" w:cstheme="majorBidi"/>
        </w:rPr>
        <w:t>CIV, 6 &amp; 7</w:t>
      </w:r>
      <w:r w:rsidRPr="00B867DF">
        <w:rPr>
          <w:rFonts w:asciiTheme="majorBidi" w:eastAsia="Times New Roman" w:hAnsiTheme="majorBidi" w:cstheme="majorBidi"/>
          <w:lang w:bidi="ar-AE"/>
        </w:rPr>
        <w:t>), ainsi que du hadith « </w:t>
      </w:r>
      <w:r>
        <w:rPr>
          <w:rFonts w:asciiTheme="majorBidi" w:eastAsia="Times New Roman" w:hAnsiTheme="majorBidi" w:cstheme="majorBidi" w:hint="cs"/>
          <w:rtl/>
        </w:rPr>
        <w:t>حُفَّت النارُ بالشهوات</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L’Enfer est entouré de désirs</w:t>
      </w:r>
      <w:r w:rsidRPr="00B867DF">
        <w:rPr>
          <w:rFonts w:asciiTheme="majorBidi" w:hAnsiTheme="majorBidi" w:cstheme="majorBidi"/>
        </w:rPr>
        <w:t xml:space="preserve">] », </w:t>
      </w:r>
      <w:r w:rsidRPr="00B867DF">
        <w:rPr>
          <w:rFonts w:asciiTheme="majorBidi" w:eastAsia="Times New Roman" w:hAnsiTheme="majorBidi" w:cstheme="majorBidi"/>
          <w:lang w:bidi="ar-AE"/>
        </w:rPr>
        <w:t xml:space="preserve">le soufi naqshbandite syrien </w:t>
      </w:r>
      <w:r w:rsidRPr="00B867DF">
        <w:rPr>
          <w:rFonts w:asciiTheme="majorBidi" w:eastAsia="Calibri" w:hAnsiTheme="majorBidi" w:cstheme="majorBidi"/>
        </w:rPr>
        <w:t xml:space="preserve">Muḥammad Amīn Shaykhū et son disciple </w:t>
      </w:r>
      <w:r w:rsidRPr="00B867DF">
        <w:rPr>
          <w:rFonts w:asciiTheme="majorBidi" w:eastAsia="Times New Roman" w:hAnsiTheme="majorBidi" w:cstheme="majorBidi"/>
        </w:rPr>
        <w:t>ʿAbd al-Hādī</w:t>
      </w:r>
      <w:r w:rsidRPr="00B867DF">
        <w:rPr>
          <w:rFonts w:asciiTheme="majorBidi" w:eastAsia="Calibri" w:hAnsiTheme="majorBidi" w:cstheme="majorBidi"/>
        </w:rPr>
        <w:t xml:space="preserve"> Al-Bānī </w:t>
      </w:r>
      <w:r w:rsidRPr="00B867DF">
        <w:rPr>
          <w:rFonts w:asciiTheme="majorBidi" w:eastAsia="Times New Roman" w:hAnsiTheme="majorBidi" w:cstheme="majorBidi"/>
          <w:lang w:bidi="ar-AE"/>
        </w:rPr>
        <w:t xml:space="preserve">défendent l’idée que le </w:t>
      </w:r>
      <w:r w:rsidRPr="00B867DF">
        <w:rPr>
          <w:rFonts w:asciiTheme="majorBidi" w:eastAsia="Times New Roman" w:hAnsiTheme="majorBidi" w:cstheme="majorBidi"/>
          <w:i/>
          <w:iCs/>
          <w:lang w:bidi="ar-AE"/>
        </w:rPr>
        <w:t>ḥarīq</w:t>
      </w:r>
      <w:r w:rsidRPr="00B867DF">
        <w:rPr>
          <w:rFonts w:asciiTheme="majorBidi" w:eastAsia="Times New Roman" w:hAnsiTheme="majorBidi" w:cstheme="majorBidi"/>
          <w:lang w:bidi="ar-AE"/>
        </w:rPr>
        <w:t xml:space="preserve"> est un tourment psychique causé par les passions et les désirs charnels mal vécus</w:t>
      </w:r>
      <w:r w:rsidRPr="00B867DF">
        <w:rPr>
          <w:rFonts w:asciiTheme="majorBidi" w:eastAsia="Times New Roman" w:hAnsiTheme="majorBidi" w:cstheme="majorBidi"/>
        </w:rPr>
        <w:t xml:space="preserve"> ou mal déchargés. </w:t>
      </w:r>
      <w:r w:rsidRPr="00B867DF">
        <w:rPr>
          <w:rFonts w:asciiTheme="majorBidi" w:eastAsia="Calibri" w:hAnsiTheme="majorBidi" w:cstheme="majorBidi"/>
        </w:rPr>
        <w:t>Shaykhū</w:t>
      </w:r>
      <w:r w:rsidRPr="00B867DF">
        <w:rPr>
          <w:rFonts w:asciiTheme="majorBidi" w:eastAsia="Times New Roman" w:hAnsiTheme="majorBidi" w:cstheme="majorBidi"/>
        </w:rPr>
        <w:t xml:space="preserve"> souligne également que la souffrance psychologique sera si forte que l’âme, honteuse de ses mauvais actes après la mort, ne trouvera que l’Enfer pour s’y jeter afin de se soulager de l’embrasement de ses péchés par l’embrasement de l’Enfer. Cette interprétation est proche de celle de la théosophie qui dit que </w:t>
      </w:r>
      <w:r w:rsidRPr="00B867DF">
        <w:rPr>
          <w:rFonts w:asciiTheme="majorBidi" w:hAnsiTheme="majorBidi" w:cstheme="majorBidi"/>
        </w:rPr>
        <w:t>les morts dont les désirs et les passions (le kamarupa (4</w:t>
      </w:r>
      <w:r w:rsidRPr="00B867DF">
        <w:rPr>
          <w:rFonts w:asciiTheme="majorBidi" w:hAnsiTheme="majorBidi" w:cstheme="majorBidi"/>
          <w:vertAlign w:val="superscript"/>
        </w:rPr>
        <w:t>ème</w:t>
      </w:r>
      <w:r w:rsidRPr="00B867DF">
        <w:rPr>
          <w:rFonts w:asciiTheme="majorBidi" w:hAnsiTheme="majorBidi" w:cstheme="majorBidi"/>
        </w:rPr>
        <w:t xml:space="preserve"> principe) composé du corps astral et de kama [</w:t>
      </w:r>
      <w:r w:rsidRPr="00B867DF">
        <w:rPr>
          <w:rFonts w:asciiTheme="majorBidi" w:eastAsia="Times New Roman" w:hAnsiTheme="majorBidi" w:cstheme="majorBidi"/>
        </w:rPr>
        <w:t>désir</w:t>
      </w:r>
      <w:r w:rsidRPr="00B867DF">
        <w:rPr>
          <w:rFonts w:asciiTheme="majorBidi" w:hAnsiTheme="majorBidi" w:cstheme="majorBidi"/>
        </w:rPr>
        <w:t xml:space="preserve">]) ne sont pas satisfaits souffrent du brûlage dans </w:t>
      </w:r>
      <w:r w:rsidRPr="00B867DF">
        <w:rPr>
          <w:rFonts w:asciiTheme="majorBidi" w:hAnsiTheme="majorBidi" w:cstheme="majorBidi"/>
          <w:i/>
          <w:iCs/>
        </w:rPr>
        <w:t>kama loka</w:t>
      </w:r>
      <w:r w:rsidRPr="00B867DF">
        <w:rPr>
          <w:rFonts w:asciiTheme="majorBidi" w:hAnsiTheme="majorBidi" w:cstheme="majorBidi"/>
        </w:rPr>
        <w:t xml:space="preserve"> [</w:t>
      </w:r>
      <w:r w:rsidRPr="00B867DF">
        <w:rPr>
          <w:rFonts w:asciiTheme="majorBidi" w:hAnsiTheme="majorBidi" w:cstheme="majorBidi"/>
          <w:i/>
          <w:iCs/>
        </w:rPr>
        <w:t>kāmaloka</w:t>
      </w:r>
      <w:r w:rsidRPr="00B867DF">
        <w:rPr>
          <w:rFonts w:asciiTheme="majorBidi" w:hAnsiTheme="majorBidi" w:cstheme="majorBidi"/>
        </w:rPr>
        <w:t>] ([</w:t>
      </w:r>
      <w:r w:rsidRPr="00B867DF">
        <w:rPr>
          <w:rFonts w:asciiTheme="majorBidi" w:eastAsia="Times New Roman" w:hAnsiTheme="majorBidi" w:cstheme="majorBidi"/>
        </w:rPr>
        <w:t>lieu ou monde du désir inassouvi</w:t>
      </w:r>
      <w:r w:rsidRPr="00B867DF">
        <w:rPr>
          <w:rFonts w:asciiTheme="majorBidi" w:hAnsiTheme="majorBidi" w:cstheme="majorBidi"/>
        </w:rPr>
        <w:t>], une purification correspondant au concept catholique du purgatoire).</w:t>
      </w:r>
    </w:p>
    <w:p w14:paraId="0F374802" w14:textId="77777777" w:rsidR="00296288" w:rsidRPr="00B867DF" w:rsidRDefault="00296288" w:rsidP="00296288">
      <w:pPr>
        <w:spacing w:line="360" w:lineRule="auto"/>
        <w:ind w:firstLine="360"/>
        <w:jc w:val="both"/>
        <w:rPr>
          <w:rFonts w:asciiTheme="majorBidi" w:hAnsiTheme="majorBidi" w:cstheme="majorBidi"/>
        </w:rPr>
      </w:pPr>
    </w:p>
    <w:p w14:paraId="56D220B5" w14:textId="77777777" w:rsidR="00296288" w:rsidRPr="00B867DF" w:rsidRDefault="00296288" w:rsidP="00296288">
      <w:pPr>
        <w:spacing w:line="360" w:lineRule="auto"/>
        <w:ind w:firstLine="360"/>
        <w:jc w:val="both"/>
        <w:rPr>
          <w:rFonts w:asciiTheme="majorBidi" w:hAnsiTheme="majorBidi" w:cstheme="majorBidi"/>
        </w:rPr>
      </w:pPr>
      <w:r w:rsidRPr="00B867DF">
        <w:rPr>
          <w:rFonts w:asciiTheme="majorBidi" w:hAnsiTheme="majorBidi" w:cstheme="majorBidi"/>
        </w:rPr>
        <w:t xml:space="preserve">Chez les druzes, le Paradis et </w:t>
      </w:r>
      <w:r w:rsidRPr="00B867DF">
        <w:rPr>
          <w:rFonts w:asciiTheme="majorBidi" w:eastAsia="Times New Roman" w:hAnsiTheme="majorBidi" w:cstheme="majorBidi"/>
          <w:lang w:bidi="ar-AE"/>
        </w:rPr>
        <w:t xml:space="preserve">Géhenne qui brûle </w:t>
      </w:r>
      <w:r w:rsidRPr="00B867DF">
        <w:rPr>
          <w:rFonts w:asciiTheme="majorBidi" w:hAnsiTheme="majorBidi" w:cstheme="majorBidi"/>
        </w:rPr>
        <w:t>[</w:t>
      </w:r>
      <w:r w:rsidRPr="00B867DF">
        <w:rPr>
          <w:rFonts w:asciiTheme="majorBidi" w:eastAsia="Times New Roman" w:hAnsiTheme="majorBidi" w:cstheme="majorBidi"/>
          <w:i/>
          <w:iCs/>
        </w:rPr>
        <w:t>taḥriq</w:t>
      </w:r>
      <w:r w:rsidRPr="00B867DF">
        <w:rPr>
          <w:rFonts w:asciiTheme="majorBidi" w:hAnsiTheme="majorBidi" w:cstheme="majorBidi"/>
        </w:rPr>
        <w:t>] ont une existence abstraite (morale) en puissance [</w:t>
      </w:r>
      <w:r w:rsidRPr="00B867DF">
        <w:rPr>
          <w:rFonts w:asciiTheme="majorBidi" w:hAnsiTheme="majorBidi" w:cstheme="majorBidi"/>
          <w:i/>
          <w:iCs/>
        </w:rPr>
        <w:t>mawjūdatān bi-l-qūwa wujūdan ma</w:t>
      </w:r>
      <w:r w:rsidRPr="00B867DF">
        <w:rPr>
          <w:rFonts w:asciiTheme="majorBidi" w:eastAsia="Times New Roman" w:hAnsiTheme="majorBidi" w:cstheme="majorBidi"/>
          <w:i/>
          <w:iCs/>
        </w:rPr>
        <w:t>ʿnawīyan</w:t>
      </w:r>
      <w:r w:rsidRPr="00B867DF">
        <w:rPr>
          <w:rFonts w:asciiTheme="majorBidi" w:hAnsiTheme="majorBidi" w:cstheme="majorBidi"/>
        </w:rPr>
        <w:t>] pour que le mental (la raison) puisse assimiler l’idée des douleurs causées par le péché.</w:t>
      </w:r>
      <w:r w:rsidRPr="00B867DF">
        <w:rPr>
          <w:rStyle w:val="Appelnotedebasdep"/>
          <w:rFonts w:asciiTheme="majorBidi" w:hAnsiTheme="majorBidi" w:cstheme="majorBidi"/>
        </w:rPr>
        <w:footnoteReference w:id="252"/>
      </w:r>
    </w:p>
    <w:p w14:paraId="563DB17E" w14:textId="77777777" w:rsidR="00296288" w:rsidRPr="002B5C8E" w:rsidRDefault="00296288" w:rsidP="00296288">
      <w:pPr>
        <w:spacing w:line="360" w:lineRule="auto"/>
        <w:jc w:val="both"/>
        <w:rPr>
          <w:rFonts w:eastAsia="Calibri"/>
          <w:lang w:bidi="ar-AE"/>
        </w:rPr>
      </w:pPr>
    </w:p>
    <w:p w14:paraId="17CF24A3" w14:textId="77777777" w:rsidR="00296288" w:rsidRPr="002B5C8E"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AE"/>
        </w:rPr>
      </w:pPr>
      <w:r w:rsidRPr="002B5C8E">
        <w:rPr>
          <w:rFonts w:ascii="Times New Roman" w:hAnsi="Times New Roman" w:cs="Times New Roman"/>
          <w:b/>
          <w:bCs/>
          <w:sz w:val="24"/>
          <w:szCs w:val="24"/>
          <w:lang w:eastAsia="fr-FR" w:bidi="ar-AE"/>
        </w:rPr>
        <w:t xml:space="preserve">Que signifient-ils les </w:t>
      </w:r>
      <w:r w:rsidRPr="002B5C8E">
        <w:rPr>
          <w:rFonts w:ascii="Times New Roman" w:hAnsi="Times New Roman" w:cs="Times New Roman"/>
          <w:b/>
          <w:bCs/>
          <w:i/>
          <w:iCs/>
          <w:sz w:val="24"/>
          <w:szCs w:val="24"/>
          <w:lang w:eastAsia="fr-FR" w:bidi="ar-AE"/>
        </w:rPr>
        <w:t>asāwir</w:t>
      </w:r>
      <w:r w:rsidRPr="002B5C8E">
        <w:rPr>
          <w:rFonts w:ascii="Times New Roman" w:hAnsi="Times New Roman" w:cs="Times New Roman"/>
          <w:b/>
          <w:bCs/>
          <w:sz w:val="24"/>
          <w:szCs w:val="24"/>
          <w:lang w:eastAsia="fr-FR" w:bidi="ar-AE"/>
        </w:rPr>
        <w:t xml:space="preserve">, le </w:t>
      </w:r>
      <w:r w:rsidRPr="002B5C8E">
        <w:rPr>
          <w:rFonts w:ascii="Times New Roman" w:hAnsi="Times New Roman" w:cs="Times New Roman"/>
          <w:b/>
          <w:bCs/>
          <w:i/>
          <w:iCs/>
          <w:sz w:val="24"/>
          <w:szCs w:val="24"/>
          <w:lang w:eastAsia="fr-FR" w:bidi="ar-AE"/>
        </w:rPr>
        <w:t>dhahab</w:t>
      </w:r>
      <w:r w:rsidRPr="002B5C8E">
        <w:rPr>
          <w:rFonts w:ascii="Times New Roman" w:hAnsi="Times New Roman" w:cs="Times New Roman"/>
          <w:b/>
          <w:bCs/>
          <w:sz w:val="24"/>
          <w:szCs w:val="24"/>
          <w:lang w:eastAsia="fr-FR" w:bidi="ar-AE"/>
        </w:rPr>
        <w:t>, le</w:t>
      </w:r>
      <w:r w:rsidRPr="002B5C8E">
        <w:rPr>
          <w:rFonts w:ascii="Times New Roman" w:hAnsi="Times New Roman" w:cs="Times New Roman"/>
          <w:b/>
          <w:bCs/>
          <w:i/>
          <w:iCs/>
          <w:sz w:val="24"/>
          <w:szCs w:val="24"/>
          <w:lang w:eastAsia="fr-FR" w:bidi="ar-AE"/>
        </w:rPr>
        <w:t xml:space="preserve"> luʾluʾ</w:t>
      </w:r>
      <w:r w:rsidRPr="002B5C8E">
        <w:rPr>
          <w:rFonts w:ascii="Times New Roman" w:hAnsi="Times New Roman" w:cs="Times New Roman"/>
          <w:b/>
          <w:bCs/>
          <w:sz w:val="24"/>
          <w:szCs w:val="24"/>
          <w:lang w:eastAsia="fr-FR" w:bidi="ar-AE"/>
        </w:rPr>
        <w:t xml:space="preserve"> et le </w:t>
      </w:r>
      <w:r w:rsidRPr="002B5C8E">
        <w:rPr>
          <w:rFonts w:ascii="Times New Roman" w:hAnsi="Times New Roman" w:cs="Times New Roman"/>
          <w:b/>
          <w:bCs/>
          <w:i/>
          <w:iCs/>
          <w:sz w:val="24"/>
          <w:szCs w:val="24"/>
          <w:lang w:eastAsia="fr-FR" w:bidi="ar-AE"/>
        </w:rPr>
        <w:t>ḥarīr</w:t>
      </w:r>
      <w:r w:rsidRPr="002B5C8E">
        <w:rPr>
          <w:rFonts w:ascii="Times New Roman" w:hAnsi="Times New Roman" w:cs="Times New Roman"/>
          <w:b/>
          <w:bCs/>
          <w:sz w:val="24"/>
          <w:szCs w:val="24"/>
          <w:lang w:eastAsia="fr-FR" w:bidi="ar-AE"/>
        </w:rPr>
        <w:t> ? (v. 23)</w:t>
      </w:r>
    </w:p>
    <w:p w14:paraId="00BD5058" w14:textId="77777777" w:rsidR="00296288" w:rsidRPr="00B867DF" w:rsidRDefault="00296288" w:rsidP="00296288">
      <w:pPr>
        <w:spacing w:line="360" w:lineRule="auto"/>
        <w:ind w:firstLine="708"/>
        <w:jc w:val="both"/>
        <w:rPr>
          <w:rFonts w:eastAsia="Calibri"/>
        </w:rPr>
      </w:pPr>
      <w:r w:rsidRPr="002B5C8E">
        <w:rPr>
          <w:rFonts w:eastAsia="Times New Roman"/>
          <w:lang w:bidi="ar-AE"/>
        </w:rPr>
        <w:t xml:space="preserve">Avant de passer en revue les apports des exégètes pour expliquer ces termes, il faut préciser que plusieurs recherches ont mis en exergue la similitude entre la description coranique du Paradis et l’hymne d’Éphrem le Syrien (306-373) intitulé </w:t>
      </w:r>
      <w:r w:rsidRPr="002B5C8E">
        <w:rPr>
          <w:rFonts w:eastAsia="Calibri"/>
          <w:i/>
          <w:iCs/>
        </w:rPr>
        <w:t>Hymns On Paradise</w:t>
      </w:r>
      <w:r w:rsidRPr="002B5C8E">
        <w:rPr>
          <w:rFonts w:eastAsia="Calibri"/>
        </w:rPr>
        <w:t xml:space="preserve"> (</w:t>
      </w:r>
      <w:r w:rsidRPr="002B5C8E">
        <w:rPr>
          <w:rFonts w:eastAsia="Calibri"/>
          <w:noProof/>
        </w:rPr>
        <w:drawing>
          <wp:inline distT="0" distB="0" distL="0" distR="0" wp14:anchorId="0BF60F2E" wp14:editId="79B10530">
            <wp:extent cx="563668" cy="20567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373" cy="222348"/>
                    </a:xfrm>
                    <a:prstGeom prst="rect">
                      <a:avLst/>
                    </a:prstGeom>
                  </pic:spPr>
                </pic:pic>
              </a:graphicData>
            </a:graphic>
          </wp:inline>
        </w:drawing>
      </w:r>
      <w:r w:rsidRPr="002B5C8E">
        <w:rPr>
          <w:rFonts w:eastAsia="Calibri"/>
        </w:rPr>
        <w:t>madrāshê)</w:t>
      </w:r>
      <w:r w:rsidRPr="002B5C8E">
        <w:rPr>
          <w:rStyle w:val="Appelnotedebasdep"/>
          <w:rFonts w:eastAsia="Calibri"/>
        </w:rPr>
        <w:footnoteReference w:id="253"/>
      </w:r>
      <w:r w:rsidRPr="002B5C8E">
        <w:rPr>
          <w:rFonts w:eastAsia="Calibri"/>
        </w:rPr>
        <w:t xml:space="preserve">. </w:t>
      </w:r>
      <w:r w:rsidRPr="002B5C8E">
        <w:rPr>
          <w:rFonts w:eastAsia="Times New Roman"/>
          <w:lang w:bidi="ar-AE"/>
        </w:rPr>
        <w:t xml:space="preserve">Nous citons comme exemple les deux célèbres études : </w:t>
      </w:r>
      <w:r w:rsidRPr="002B5C8E">
        <w:rPr>
          <w:rFonts w:eastAsia="Calibri"/>
          <w:i/>
          <w:iCs/>
        </w:rPr>
        <w:t>Le Prêtre et le Prophète</w:t>
      </w:r>
      <w:r w:rsidRPr="002B5C8E">
        <w:rPr>
          <w:rFonts w:eastAsia="Calibri"/>
        </w:rPr>
        <w:t xml:space="preserve"> de Joseph Azzi</w:t>
      </w:r>
      <w:r w:rsidRPr="002B5C8E">
        <w:rPr>
          <w:rStyle w:val="Appelnotedebasdep"/>
          <w:rFonts w:eastAsia="Calibri"/>
        </w:rPr>
        <w:footnoteReference w:id="254"/>
      </w:r>
      <w:r w:rsidRPr="002B5C8E">
        <w:rPr>
          <w:rFonts w:eastAsia="Calibri"/>
        </w:rPr>
        <w:t xml:space="preserve"> et </w:t>
      </w:r>
      <w:r w:rsidRPr="002B5C8E">
        <w:rPr>
          <w:rFonts w:eastAsia="Calibri"/>
          <w:i/>
          <w:iCs/>
        </w:rPr>
        <w:t>The Syro-Aramaic Reading of the Koran</w:t>
      </w:r>
      <w:r w:rsidRPr="002B5C8E">
        <w:rPr>
          <w:rFonts w:eastAsia="Calibri"/>
        </w:rPr>
        <w:t xml:space="preserve"> de Christoph</w:t>
      </w:r>
      <w:r w:rsidRPr="002B5C8E">
        <w:rPr>
          <w:rFonts w:eastAsia="Times New Roman"/>
        </w:rPr>
        <w:t xml:space="preserve"> Luxenberg</w:t>
      </w:r>
      <w:r w:rsidRPr="002B5C8E">
        <w:rPr>
          <w:rStyle w:val="Appelnotedebasdep"/>
        </w:rPr>
        <w:footnoteReference w:id="255"/>
      </w:r>
      <w:r w:rsidRPr="002B5C8E">
        <w:rPr>
          <w:rFonts w:eastAsia="Calibri"/>
        </w:rPr>
        <w:t xml:space="preserve">. Bien que certains chercheurs reprochent la partialité de telles études (comme Michel Orcel, Patricia Crone </w:t>
      </w:r>
      <w:r w:rsidRPr="002B5C8E">
        <w:rPr>
          <w:rFonts w:eastAsia="Calibri"/>
        </w:rPr>
        <w:lastRenderedPageBreak/>
        <w:t>et Pierre Lory</w:t>
      </w:r>
      <w:r w:rsidRPr="002B5C8E">
        <w:rPr>
          <w:rFonts w:eastAsia="Times New Roman"/>
          <w:vertAlign w:val="superscript"/>
          <w:lang w:bidi="ar-AE"/>
        </w:rPr>
        <w:footnoteReference w:id="256"/>
      </w:r>
      <w:r w:rsidRPr="002B5C8E">
        <w:rPr>
          <w:rFonts w:eastAsia="Calibri"/>
        </w:rPr>
        <w:t>), il est à noter que ces études ont adopté une méthodologie qui ne contredit pas celle des écoles exégétiques</w:t>
      </w:r>
      <w:r w:rsidRPr="000818A7">
        <w:rPr>
          <w:rFonts w:eastAsia="Calibri"/>
        </w:rPr>
        <w:t xml:space="preserve"> musulmanes (à l’exception des exégèses mystiques qui se réfèrent à l’expérience spirituelle), en ce sens que les deux méthodologies se basent sur la grammaire et la morphologie de la langue arabe. Il est également à</w:t>
      </w:r>
      <w:r w:rsidRPr="00B867DF">
        <w:rPr>
          <w:rFonts w:eastAsia="Calibri"/>
        </w:rPr>
        <w:t xml:space="preserve"> noter que les exégètes musulmans se sont référés à des dictionnaires dont le premier </w:t>
      </w:r>
      <w:r w:rsidRPr="00B867DF">
        <w:rPr>
          <w:rFonts w:eastAsia="Calibri"/>
          <w:i/>
          <w:iCs/>
        </w:rPr>
        <w:t>Kitāb al-ʿAyn</w:t>
      </w:r>
      <w:r w:rsidRPr="00B867DF">
        <w:rPr>
          <w:rFonts w:ascii="Calibri" w:eastAsia="Times New Roman" w:hAnsi="Calibri" w:cs="Arial"/>
        </w:rPr>
        <w:t xml:space="preserve"> </w:t>
      </w:r>
      <w:r w:rsidRPr="00B867DF">
        <w:rPr>
          <w:rFonts w:eastAsia="Calibri"/>
        </w:rPr>
        <w:t>d’Al-Khalīl ibn Aḥmad Al-Farāhīdī (718-791) a été élaboré un siècle après l’élaboration du Coran et qui ont justifié les écarts linguistiques du Coran.</w:t>
      </w:r>
    </w:p>
    <w:p w14:paraId="79BFEC40" w14:textId="77777777" w:rsidR="00296288" w:rsidRPr="00B867DF" w:rsidRDefault="00296288" w:rsidP="00296288">
      <w:pPr>
        <w:spacing w:line="360" w:lineRule="auto"/>
        <w:jc w:val="both"/>
        <w:rPr>
          <w:rFonts w:eastAsia="Calibri"/>
        </w:rPr>
      </w:pPr>
    </w:p>
    <w:p w14:paraId="52D73A80" w14:textId="77777777" w:rsidR="00296288" w:rsidRPr="00B867DF" w:rsidRDefault="00296288" w:rsidP="00296288">
      <w:pPr>
        <w:spacing w:line="360" w:lineRule="auto"/>
        <w:jc w:val="both"/>
        <w:rPr>
          <w:rFonts w:eastAsia="Times New Roman"/>
          <w:lang w:bidi="ar-AE"/>
        </w:rPr>
      </w:pPr>
      <w:r w:rsidRPr="00B867DF">
        <w:rPr>
          <w:rFonts w:eastAsia="Times New Roman"/>
          <w:lang w:bidi="ar-AE"/>
        </w:rPr>
        <w:t>Voici les significations de ces mots selon les exégètes :</w:t>
      </w:r>
    </w:p>
    <w:p w14:paraId="25EC316B" w14:textId="77777777" w:rsidR="00296288" w:rsidRPr="00B867DF" w:rsidRDefault="00296288" w:rsidP="007640DC">
      <w:pPr>
        <w:numPr>
          <w:ilvl w:val="0"/>
          <w:numId w:val="33"/>
        </w:numPr>
        <w:spacing w:line="360" w:lineRule="auto"/>
        <w:jc w:val="both"/>
        <w:rPr>
          <w:rFonts w:eastAsia="Calibri"/>
        </w:rPr>
      </w:pPr>
      <w:r w:rsidRPr="00B867DF">
        <w:rPr>
          <w:rFonts w:eastAsia="Times New Roman"/>
          <w:i/>
          <w:iCs/>
          <w:lang w:bidi="ar-AE"/>
        </w:rPr>
        <w:t>Asāwir</w:t>
      </w:r>
      <w:r w:rsidRPr="00B867DF">
        <w:rPr>
          <w:rFonts w:eastAsia="Times New Roman"/>
          <w:lang w:bidi="ar-AE"/>
        </w:rPr>
        <w:t xml:space="preserve"> (pl. de </w:t>
      </w:r>
      <w:r w:rsidRPr="00B867DF">
        <w:rPr>
          <w:rFonts w:eastAsia="Times New Roman"/>
          <w:i/>
          <w:iCs/>
          <w:lang w:bidi="ar-AE"/>
        </w:rPr>
        <w:t>siwār</w:t>
      </w:r>
      <w:r w:rsidRPr="00B867DF">
        <w:rPr>
          <w:rFonts w:eastAsia="Times New Roman"/>
          <w:lang w:bidi="ar-AE"/>
        </w:rPr>
        <w:t>, bracelet) :</w:t>
      </w:r>
      <w:r w:rsidRPr="00B867DF">
        <w:rPr>
          <w:rFonts w:eastAsia="Calibri"/>
        </w:rPr>
        <w:t xml:space="preserve"> a)</w:t>
      </w:r>
      <w:r>
        <w:rPr>
          <w:rFonts w:eastAsia="Calibri"/>
        </w:rPr>
        <w:t xml:space="preserve"> </w:t>
      </w:r>
      <w:r w:rsidRPr="00B867DF">
        <w:rPr>
          <w:rFonts w:eastAsia="Calibri"/>
        </w:rPr>
        <w:t>des bracelets réels, tangibles, faits d’or et de perles, ressemblant à ces ornements que la femme porte au bras ou autour du poignet (ce qui veut dire, selon cette exégèse orthodoxe, que le concept musulman du Paradis est sensuel et physique) ; b)</w:t>
      </w:r>
      <w:r>
        <w:rPr>
          <w:rFonts w:eastAsia="Calibri"/>
        </w:rPr>
        <w:t xml:space="preserve"> </w:t>
      </w:r>
      <w:r w:rsidRPr="00B867DF">
        <w:rPr>
          <w:rFonts w:eastAsia="Calibri"/>
        </w:rPr>
        <w:t>les bonnes actions que font les croyants et qui par la suite leur font plaisir [</w:t>
      </w:r>
      <w:r w:rsidRPr="00B867DF">
        <w:rPr>
          <w:rFonts w:eastAsia="Calibri"/>
          <w:i/>
          <w:iCs/>
        </w:rPr>
        <w:t>tasurru-hum</w:t>
      </w:r>
      <w:r w:rsidRPr="00B867DF">
        <w:rPr>
          <w:rFonts w:eastAsia="Calibri"/>
        </w:rPr>
        <w:t>], qui le rendent heureux (cette exégèse fournie par Amīn Shaykhū et Al-Bānī repose sur la ressemblance phonétique ou la quasi paronymie entre le terme</w:t>
      </w:r>
      <w:r w:rsidRPr="00B867DF">
        <w:rPr>
          <w:rFonts w:eastAsia="Times New Roman"/>
          <w:i/>
          <w:iCs/>
          <w:lang w:bidi="ar-AE"/>
        </w:rPr>
        <w:t xml:space="preserve"> siwār</w:t>
      </w:r>
      <w:r w:rsidRPr="00B867DF">
        <w:rPr>
          <w:rFonts w:eastAsia="Calibri"/>
        </w:rPr>
        <w:t xml:space="preserve"> (très probablement d’origine persane</w:t>
      </w:r>
      <w:r w:rsidRPr="00B867DF">
        <w:rPr>
          <w:rFonts w:eastAsia="Times New Roman"/>
          <w:vertAlign w:val="superscript"/>
          <w:lang w:bidi="ar-AE"/>
        </w:rPr>
        <w:footnoteReference w:id="257"/>
      </w:r>
      <w:r w:rsidRPr="00B867DF">
        <w:rPr>
          <w:rFonts w:eastAsia="Calibri"/>
        </w:rPr>
        <w:t xml:space="preserve">) et le verbe </w:t>
      </w:r>
      <w:r w:rsidRPr="00B867DF">
        <w:rPr>
          <w:rFonts w:eastAsia="Calibri"/>
          <w:i/>
          <w:iCs/>
        </w:rPr>
        <w:t>sarra</w:t>
      </w:r>
      <w:r w:rsidRPr="00B867DF">
        <w:rPr>
          <w:rFonts w:eastAsia="Calibri"/>
        </w:rPr>
        <w:t xml:space="preserve"> [réjouir, faire plaisir] ; cette méthode qui consiste sur la paronymie est appliquée par ces trois théologiens pour expliquer les trois autres mots : </w:t>
      </w:r>
      <w:r w:rsidRPr="00B867DF">
        <w:rPr>
          <w:rFonts w:eastAsia="Times New Roman"/>
          <w:i/>
          <w:iCs/>
          <w:lang w:bidi="ar-AE"/>
        </w:rPr>
        <w:t>dhahab</w:t>
      </w:r>
      <w:r w:rsidRPr="00B867DF">
        <w:rPr>
          <w:rFonts w:eastAsia="Times New Roman"/>
          <w:lang w:bidi="ar-AE"/>
        </w:rPr>
        <w:t xml:space="preserve">, </w:t>
      </w:r>
      <w:r w:rsidRPr="00B867DF">
        <w:rPr>
          <w:rFonts w:eastAsia="Times New Roman"/>
          <w:i/>
          <w:iCs/>
          <w:lang w:bidi="ar-AE"/>
        </w:rPr>
        <w:t>luʾluʾ</w:t>
      </w:r>
      <w:r w:rsidRPr="00B867DF">
        <w:rPr>
          <w:rFonts w:eastAsia="Times New Roman"/>
          <w:lang w:bidi="ar-AE"/>
        </w:rPr>
        <w:t xml:space="preserve"> et </w:t>
      </w:r>
      <w:r w:rsidRPr="00B867DF">
        <w:rPr>
          <w:rFonts w:eastAsia="Times New Roman"/>
          <w:i/>
          <w:iCs/>
          <w:lang w:bidi="ar-AE"/>
        </w:rPr>
        <w:t>ḥarīr</w:t>
      </w:r>
      <w:r w:rsidRPr="00B867DF">
        <w:rPr>
          <w:rFonts w:eastAsia="Times New Roman"/>
          <w:lang w:bidi="ar-AE"/>
        </w:rPr>
        <w:t>) ; c</w:t>
      </w:r>
      <w:r>
        <w:rPr>
          <w:rFonts w:eastAsia="Times New Roman"/>
          <w:lang w:bidi="ar-AE"/>
        </w:rPr>
        <w:t xml:space="preserve">) </w:t>
      </w:r>
      <w:r w:rsidRPr="00B867DF">
        <w:rPr>
          <w:rFonts w:eastAsia="Times New Roman"/>
          <w:lang w:bidi="ar-AE"/>
        </w:rPr>
        <w:t>la morale et les vertus (Ibn ʿArabī).</w:t>
      </w:r>
    </w:p>
    <w:p w14:paraId="7130A571" w14:textId="77777777" w:rsidR="00296288" w:rsidRPr="00B867DF" w:rsidRDefault="00296288" w:rsidP="007640DC">
      <w:pPr>
        <w:numPr>
          <w:ilvl w:val="0"/>
          <w:numId w:val="33"/>
        </w:numPr>
        <w:spacing w:line="360" w:lineRule="auto"/>
        <w:jc w:val="both"/>
        <w:rPr>
          <w:rFonts w:asciiTheme="majorBidi" w:eastAsia="Calibri" w:hAnsiTheme="majorBidi" w:cstheme="majorBidi"/>
        </w:rPr>
      </w:pPr>
      <w:r w:rsidRPr="00B867DF">
        <w:rPr>
          <w:rFonts w:asciiTheme="majorBidi" w:eastAsia="Times New Roman" w:hAnsiTheme="majorBidi" w:cstheme="majorBidi"/>
          <w:i/>
          <w:iCs/>
          <w:lang w:bidi="ar-AE"/>
        </w:rPr>
        <w:t>Dhahab</w:t>
      </w:r>
      <w:r w:rsidRPr="00B867DF">
        <w:rPr>
          <w:rFonts w:asciiTheme="majorBidi" w:eastAsia="Times New Roman" w:hAnsiTheme="majorBidi" w:cstheme="majorBidi"/>
          <w:lang w:bidi="ar-AE"/>
        </w:rPr>
        <w:t xml:space="preserve"> [or] : </w:t>
      </w:r>
      <w:r w:rsidRPr="00B867DF">
        <w:rPr>
          <w:rFonts w:asciiTheme="majorBidi" w:eastAsia="Calibri" w:hAnsiTheme="majorBidi" w:cstheme="majorBidi"/>
        </w:rPr>
        <w:t>a)</w:t>
      </w:r>
      <w:r>
        <w:rPr>
          <w:rFonts w:asciiTheme="majorBidi" w:eastAsia="Calibri" w:hAnsiTheme="majorBidi" w:cstheme="majorBidi"/>
        </w:rPr>
        <w:t xml:space="preserve"> </w:t>
      </w:r>
      <w:r w:rsidRPr="00B867DF">
        <w:rPr>
          <w:rFonts w:asciiTheme="majorBidi" w:eastAsia="Calibri" w:hAnsiTheme="majorBidi" w:cstheme="majorBidi"/>
        </w:rPr>
        <w:t>le métal authentique de l’or ; b</w:t>
      </w:r>
      <w:r>
        <w:rPr>
          <w:rFonts w:asciiTheme="majorBidi" w:eastAsia="Calibri" w:hAnsiTheme="majorBidi" w:cstheme="majorBidi"/>
        </w:rPr>
        <w:t xml:space="preserve">) </w:t>
      </w:r>
      <w:r w:rsidRPr="00B867DF">
        <w:rPr>
          <w:rFonts w:asciiTheme="majorBidi" w:eastAsia="Calibri" w:hAnsiTheme="majorBidi" w:cstheme="majorBidi"/>
        </w:rPr>
        <w:t xml:space="preserve">toutes les actions exécutées dans l’ici-bas ; cela veut dire qu’ils reçoivent les récompenses de leurs actions qui se sont écoulées, qui sont terminés. Ici, Shaykhū explique le terme </w:t>
      </w:r>
      <w:r w:rsidRPr="00B867DF">
        <w:rPr>
          <w:rFonts w:asciiTheme="majorBidi" w:eastAsia="Calibri" w:hAnsiTheme="majorBidi" w:cstheme="majorBidi"/>
          <w:i/>
          <w:iCs/>
        </w:rPr>
        <w:t>dhahab</w:t>
      </w:r>
      <w:r w:rsidRPr="00B867DF">
        <w:rPr>
          <w:rFonts w:asciiTheme="majorBidi" w:eastAsia="Calibri" w:hAnsiTheme="majorBidi" w:cstheme="majorBidi"/>
        </w:rPr>
        <w:t xml:space="preserve"> qui désigne le métal précieux en se référant au verbe </w:t>
      </w:r>
      <w:r w:rsidRPr="00B867DF">
        <w:rPr>
          <w:rFonts w:asciiTheme="majorBidi" w:eastAsia="Calibri" w:hAnsiTheme="majorBidi" w:cstheme="majorBidi"/>
          <w:i/>
          <w:iCs/>
        </w:rPr>
        <w:t>dhahaba</w:t>
      </w:r>
      <w:r w:rsidRPr="00B867DF">
        <w:rPr>
          <w:rFonts w:asciiTheme="majorBidi" w:eastAsia="Calibri" w:hAnsiTheme="majorBidi" w:cstheme="majorBidi"/>
        </w:rPr>
        <w:t xml:space="preserve"> [s’en aller, se dérouler]. c</w:t>
      </w:r>
      <w:r>
        <w:rPr>
          <w:rFonts w:asciiTheme="majorBidi" w:eastAsia="Calibri" w:hAnsiTheme="majorBidi" w:cstheme="majorBidi"/>
        </w:rPr>
        <w:t xml:space="preserve">) </w:t>
      </w:r>
      <w:r w:rsidRPr="00B867DF">
        <w:rPr>
          <w:rFonts w:asciiTheme="majorBidi" w:eastAsia="Calibri" w:hAnsiTheme="majorBidi" w:cstheme="majorBidi"/>
        </w:rPr>
        <w:t xml:space="preserve">les connaissances intellectuelles et la sagesse pratique </w:t>
      </w:r>
      <w:r w:rsidRPr="00B867DF">
        <w:rPr>
          <w:rFonts w:asciiTheme="majorBidi" w:eastAsia="Times New Roman" w:hAnsiTheme="majorBidi" w:cstheme="majorBidi"/>
          <w:lang w:bidi="ar-AE"/>
        </w:rPr>
        <w:t>(Ibn ʿArabī).</w:t>
      </w:r>
    </w:p>
    <w:p w14:paraId="7247DC81" w14:textId="77777777" w:rsidR="00296288" w:rsidRPr="00B867DF" w:rsidRDefault="00296288" w:rsidP="007640DC">
      <w:pPr>
        <w:numPr>
          <w:ilvl w:val="0"/>
          <w:numId w:val="33"/>
        </w:numPr>
        <w:spacing w:line="360" w:lineRule="auto"/>
        <w:jc w:val="both"/>
        <w:rPr>
          <w:rFonts w:asciiTheme="majorBidi" w:eastAsia="Calibri" w:hAnsiTheme="majorBidi" w:cstheme="majorBidi"/>
        </w:rPr>
      </w:pPr>
      <w:r w:rsidRPr="00B867DF">
        <w:rPr>
          <w:rFonts w:asciiTheme="majorBidi" w:eastAsia="Times New Roman" w:hAnsiTheme="majorBidi" w:cstheme="majorBidi"/>
          <w:i/>
          <w:iCs/>
          <w:lang w:bidi="ar-AE"/>
        </w:rPr>
        <w:t>Luʾluʾ</w:t>
      </w:r>
      <w:r w:rsidRPr="00B867DF">
        <w:rPr>
          <w:rFonts w:asciiTheme="majorBidi" w:eastAsia="Times New Roman" w:hAnsiTheme="majorBidi" w:cstheme="majorBidi"/>
          <w:lang w:bidi="ar-AE"/>
        </w:rPr>
        <w:t xml:space="preserve"> [perle] : a</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des vraies perles (des globules ou petites billes, généralement de couleur blanche argentine, créées par certains mollusques par une extravasation de la nacre</w:t>
      </w:r>
      <w:r w:rsidRPr="00B867DF">
        <w:rPr>
          <w:rFonts w:asciiTheme="majorBidi" w:eastAsia="Calibri" w:hAnsiTheme="majorBidi" w:cstheme="majorBidi"/>
        </w:rPr>
        <w:t>) ; b</w:t>
      </w:r>
      <w:r>
        <w:rPr>
          <w:rFonts w:asciiTheme="majorBidi" w:eastAsia="Calibri" w:hAnsiTheme="majorBidi" w:cstheme="majorBidi"/>
        </w:rPr>
        <w:t xml:space="preserve">) </w:t>
      </w:r>
      <w:r w:rsidRPr="00B867DF">
        <w:rPr>
          <w:rFonts w:asciiTheme="majorBidi" w:eastAsia="Calibri" w:hAnsiTheme="majorBidi" w:cstheme="majorBidi"/>
        </w:rPr>
        <w:t>des pierres précieuses en général ; c</w:t>
      </w:r>
      <w:r>
        <w:rPr>
          <w:rFonts w:asciiTheme="majorBidi" w:eastAsia="Calibri" w:hAnsiTheme="majorBidi" w:cstheme="majorBidi"/>
        </w:rPr>
        <w:t xml:space="preserve">) </w:t>
      </w:r>
      <w:r w:rsidRPr="00B867DF">
        <w:rPr>
          <w:rFonts w:asciiTheme="majorBidi" w:eastAsia="Calibri" w:hAnsiTheme="majorBidi" w:cstheme="majorBidi"/>
        </w:rPr>
        <w:t xml:space="preserve">les actions qui brillent devant les croyants et qui font rayonner leurs esprits. Shaykhū explique ici le terme </w:t>
      </w:r>
      <w:r w:rsidRPr="00B867DF">
        <w:rPr>
          <w:rFonts w:asciiTheme="majorBidi" w:eastAsia="Times New Roman" w:hAnsiTheme="majorBidi" w:cstheme="majorBidi"/>
          <w:i/>
          <w:iCs/>
          <w:lang w:bidi="ar-AE"/>
        </w:rPr>
        <w:t>luʾluʾ</w:t>
      </w:r>
      <w:r w:rsidRPr="00B867DF">
        <w:rPr>
          <w:rFonts w:asciiTheme="majorBidi" w:eastAsia="Calibri" w:hAnsiTheme="majorBidi" w:cstheme="majorBidi"/>
        </w:rPr>
        <w:t xml:space="preserve"> par le </w:t>
      </w:r>
      <w:r w:rsidRPr="00B867DF">
        <w:rPr>
          <w:rFonts w:asciiTheme="majorBidi" w:eastAsia="Calibri" w:hAnsiTheme="majorBidi" w:cstheme="majorBidi"/>
        </w:rPr>
        <w:lastRenderedPageBreak/>
        <w:t xml:space="preserve">verbe paronymique </w:t>
      </w:r>
      <w:r w:rsidRPr="00B867DF">
        <w:rPr>
          <w:rFonts w:asciiTheme="majorBidi" w:eastAsia="Calibri" w:hAnsiTheme="majorBidi" w:cstheme="majorBidi"/>
          <w:i/>
          <w:iCs/>
        </w:rPr>
        <w:t>talaʾlaʾa</w:t>
      </w:r>
      <w:r w:rsidRPr="00B867DF">
        <w:rPr>
          <w:rFonts w:asciiTheme="majorBidi" w:eastAsia="Calibri" w:hAnsiTheme="majorBidi" w:cstheme="majorBidi"/>
        </w:rPr>
        <w:t xml:space="preserve"> [briller, étinceler, rayonner]. d</w:t>
      </w:r>
      <w:r>
        <w:rPr>
          <w:rFonts w:asciiTheme="majorBidi" w:eastAsia="Calibri" w:hAnsiTheme="majorBidi" w:cstheme="majorBidi"/>
        </w:rPr>
        <w:t xml:space="preserve">) </w:t>
      </w:r>
      <w:r w:rsidRPr="00B867DF">
        <w:rPr>
          <w:rFonts w:asciiTheme="majorBidi" w:eastAsia="Calibri" w:hAnsiTheme="majorBidi" w:cstheme="majorBidi"/>
        </w:rPr>
        <w:t>les connaissances spirituelles et les vérités mystiques (</w:t>
      </w:r>
      <w:r w:rsidRPr="00B867DF">
        <w:rPr>
          <w:rFonts w:asciiTheme="majorBidi" w:eastAsia="Calibri" w:hAnsiTheme="majorBidi" w:cstheme="majorBidi"/>
          <w:i/>
          <w:iCs/>
        </w:rPr>
        <w:t>kashf</w:t>
      </w:r>
      <w:r w:rsidRPr="00B867DF">
        <w:rPr>
          <w:rFonts w:asciiTheme="majorBidi" w:eastAsia="Calibri" w:hAnsiTheme="majorBidi" w:cstheme="majorBidi"/>
        </w:rPr>
        <w:t>, dévoilement) (Ibn ʿArabī).</w:t>
      </w:r>
    </w:p>
    <w:p w14:paraId="49E335D3" w14:textId="77777777" w:rsidR="00296288" w:rsidRPr="00B867DF" w:rsidRDefault="00296288" w:rsidP="007640DC">
      <w:pPr>
        <w:numPr>
          <w:ilvl w:val="0"/>
          <w:numId w:val="33"/>
        </w:numPr>
        <w:spacing w:line="360" w:lineRule="auto"/>
        <w:jc w:val="both"/>
        <w:rPr>
          <w:rFonts w:asciiTheme="majorBidi" w:eastAsia="Calibri" w:hAnsiTheme="majorBidi" w:cstheme="majorBidi"/>
        </w:rPr>
      </w:pPr>
      <w:r w:rsidRPr="00B867DF">
        <w:rPr>
          <w:rFonts w:asciiTheme="majorBidi" w:eastAsia="Times New Roman" w:hAnsiTheme="majorBidi" w:cstheme="majorBidi"/>
          <w:i/>
          <w:iCs/>
          <w:lang w:bidi="ar-AE"/>
        </w:rPr>
        <w:t>Ḥarīr</w:t>
      </w:r>
      <w:r w:rsidRPr="00B867DF">
        <w:rPr>
          <w:rFonts w:asciiTheme="majorBidi" w:eastAsia="Times New Roman" w:hAnsiTheme="majorBidi" w:cstheme="majorBidi"/>
          <w:lang w:bidi="ar-AE"/>
        </w:rPr>
        <w:t xml:space="preserve"> [soie] :</w:t>
      </w:r>
      <w:r>
        <w:rPr>
          <w:rFonts w:asciiTheme="majorBidi" w:eastAsia="Calibri" w:hAnsiTheme="majorBidi" w:cstheme="majorBidi"/>
        </w:rPr>
        <w:t xml:space="preserve"> a) </w:t>
      </w:r>
      <w:r w:rsidRPr="00B867DF">
        <w:rPr>
          <w:rFonts w:asciiTheme="majorBidi" w:eastAsia="Calibri" w:hAnsiTheme="majorBidi" w:cstheme="majorBidi"/>
        </w:rPr>
        <w:t>des vêtements en soie ; b)</w:t>
      </w:r>
      <w:r>
        <w:rPr>
          <w:rFonts w:asciiTheme="majorBidi" w:eastAsia="Calibri" w:hAnsiTheme="majorBidi" w:cstheme="majorBidi"/>
        </w:rPr>
        <w:t xml:space="preserve"> </w:t>
      </w:r>
      <w:r w:rsidRPr="00B867DF">
        <w:rPr>
          <w:rFonts w:asciiTheme="majorBidi" w:eastAsia="Calibri" w:hAnsiTheme="majorBidi" w:cstheme="majorBidi"/>
        </w:rPr>
        <w:t xml:space="preserve">toute sorte de vêtement </w:t>
      </w:r>
      <w:r w:rsidRPr="00B867DF">
        <w:rPr>
          <w:rFonts w:asciiTheme="majorBidi" w:eastAsia="Calibri" w:hAnsiTheme="majorBidi" w:cstheme="majorBidi"/>
          <w:i/>
          <w:iCs/>
        </w:rPr>
        <w:t xml:space="preserve">interdit </w:t>
      </w:r>
      <w:r w:rsidRPr="00B867DF">
        <w:rPr>
          <w:rFonts w:asciiTheme="majorBidi" w:eastAsia="Calibri" w:hAnsiTheme="majorBidi" w:cstheme="majorBidi"/>
        </w:rPr>
        <w:t>aux hommes dans l’ici-bas et</w:t>
      </w:r>
      <w:r w:rsidRPr="00B867DF">
        <w:rPr>
          <w:rFonts w:asciiTheme="majorBidi" w:eastAsia="Calibri" w:hAnsiTheme="majorBidi" w:cstheme="majorBidi"/>
          <w:i/>
          <w:iCs/>
        </w:rPr>
        <w:t xml:space="preserve"> licite</w:t>
      </w:r>
      <w:r w:rsidRPr="00B867DF">
        <w:rPr>
          <w:rFonts w:asciiTheme="majorBidi" w:eastAsia="Calibri" w:hAnsiTheme="majorBidi" w:cstheme="majorBidi"/>
        </w:rPr>
        <w:t xml:space="preserve"> au Paradis ; c</w:t>
      </w:r>
      <w:r>
        <w:rPr>
          <w:rFonts w:asciiTheme="majorBidi" w:eastAsia="Calibri" w:hAnsiTheme="majorBidi" w:cstheme="majorBidi"/>
        </w:rPr>
        <w:t xml:space="preserve">) </w:t>
      </w:r>
      <w:r w:rsidRPr="00B867DF">
        <w:rPr>
          <w:rFonts w:asciiTheme="majorBidi" w:eastAsia="Calibri" w:hAnsiTheme="majorBidi" w:cstheme="majorBidi"/>
        </w:rPr>
        <w:t xml:space="preserve">des robes tissées de </w:t>
      </w:r>
      <w:r w:rsidRPr="00B867DF">
        <w:rPr>
          <w:rFonts w:asciiTheme="majorBidi" w:eastAsia="Calibri" w:hAnsiTheme="majorBidi" w:cstheme="majorBidi"/>
          <w:i/>
          <w:iCs/>
        </w:rPr>
        <w:t>sundus</w:t>
      </w:r>
      <w:r w:rsidRPr="00B867DF">
        <w:rPr>
          <w:rFonts w:asciiTheme="majorBidi" w:eastAsia="Calibri" w:hAnsiTheme="majorBidi" w:cstheme="majorBidi"/>
        </w:rPr>
        <w:t xml:space="preserve"> [type de soie légère ou d’étoffe fine de soie] et d’</w:t>
      </w:r>
      <w:r w:rsidRPr="00B867DF">
        <w:rPr>
          <w:rFonts w:asciiTheme="majorBidi" w:eastAsia="Calibri" w:hAnsiTheme="majorBidi" w:cstheme="majorBidi"/>
          <w:i/>
          <w:iCs/>
        </w:rPr>
        <w:t>istabraq</w:t>
      </w:r>
      <w:r w:rsidRPr="00B867DF">
        <w:rPr>
          <w:rFonts w:asciiTheme="majorBidi" w:eastAsia="Calibri" w:hAnsiTheme="majorBidi" w:cstheme="majorBidi"/>
        </w:rPr>
        <w:t xml:space="preserve"> [vêtement de soie brodé] ; d</w:t>
      </w:r>
      <w:r>
        <w:rPr>
          <w:rFonts w:asciiTheme="majorBidi" w:eastAsia="Calibri" w:hAnsiTheme="majorBidi" w:cstheme="majorBidi"/>
        </w:rPr>
        <w:t xml:space="preserve">) </w:t>
      </w:r>
      <w:r w:rsidRPr="00B867DF">
        <w:rPr>
          <w:rFonts w:asciiTheme="majorBidi" w:eastAsia="Calibri" w:hAnsiTheme="majorBidi" w:cstheme="majorBidi"/>
        </w:rPr>
        <w:t xml:space="preserve">libérés de tout chagrin. Shaykhū interprète le mot </w:t>
      </w:r>
      <w:r w:rsidRPr="00B867DF">
        <w:rPr>
          <w:rFonts w:asciiTheme="majorBidi" w:eastAsia="Times New Roman" w:hAnsiTheme="majorBidi" w:cstheme="majorBidi"/>
          <w:i/>
          <w:iCs/>
          <w:lang w:bidi="ar-AE"/>
        </w:rPr>
        <w:t>ḥarīr</w:t>
      </w:r>
      <w:r w:rsidRPr="00B867DF">
        <w:rPr>
          <w:rFonts w:asciiTheme="majorBidi" w:eastAsia="Calibri" w:hAnsiTheme="majorBidi" w:cstheme="majorBidi"/>
        </w:rPr>
        <w:t xml:space="preserve"> en le comparant avec le verbe </w:t>
      </w:r>
      <w:r w:rsidRPr="00B867DF">
        <w:rPr>
          <w:rFonts w:asciiTheme="majorBidi" w:eastAsia="Times New Roman" w:hAnsiTheme="majorBidi" w:cstheme="majorBidi"/>
          <w:i/>
          <w:iCs/>
          <w:lang w:bidi="ar-AE"/>
        </w:rPr>
        <w:t>ḥarrara</w:t>
      </w:r>
      <w:r w:rsidRPr="00B867DF">
        <w:rPr>
          <w:rFonts w:asciiTheme="majorBidi" w:eastAsia="Calibri" w:hAnsiTheme="majorBidi" w:cstheme="majorBidi"/>
        </w:rPr>
        <w:t xml:space="preserve"> [libérer] ; e</w:t>
      </w:r>
      <w:r>
        <w:rPr>
          <w:rFonts w:asciiTheme="majorBidi" w:eastAsia="Calibri" w:hAnsiTheme="majorBidi" w:cstheme="majorBidi"/>
        </w:rPr>
        <w:t xml:space="preserve">) </w:t>
      </w:r>
      <w:r w:rsidRPr="00B867DF">
        <w:rPr>
          <w:rFonts w:asciiTheme="majorBidi" w:eastAsia="Calibri" w:hAnsiTheme="majorBidi" w:cstheme="majorBidi"/>
        </w:rPr>
        <w:t>une lueur des attributs divins et des manifestations subtiles (Ibn ʿArabī).</w:t>
      </w:r>
    </w:p>
    <w:p w14:paraId="2C94CE53" w14:textId="77777777" w:rsidR="00296288" w:rsidRPr="00B867DF" w:rsidRDefault="00296288" w:rsidP="00296288">
      <w:pPr>
        <w:spacing w:line="360" w:lineRule="auto"/>
        <w:jc w:val="both"/>
        <w:rPr>
          <w:rFonts w:asciiTheme="majorBidi" w:eastAsia="Calibri" w:hAnsiTheme="majorBidi" w:cstheme="majorBidi"/>
        </w:rPr>
      </w:pPr>
    </w:p>
    <w:p w14:paraId="63BC047E" w14:textId="77777777" w:rsidR="00296288" w:rsidRPr="00B867DF" w:rsidRDefault="00296288" w:rsidP="00296288">
      <w:pPr>
        <w:spacing w:line="360" w:lineRule="auto"/>
        <w:ind w:firstLine="360"/>
        <w:jc w:val="both"/>
        <w:rPr>
          <w:rFonts w:asciiTheme="majorBidi" w:eastAsia="Calibri" w:hAnsiTheme="majorBidi" w:cstheme="majorBidi"/>
        </w:rPr>
      </w:pPr>
      <w:r w:rsidRPr="00B867DF">
        <w:rPr>
          <w:rFonts w:asciiTheme="majorBidi" w:eastAsia="Calibri" w:hAnsiTheme="majorBidi" w:cstheme="majorBidi"/>
        </w:rPr>
        <w:t>Nous remarquons qu’il y a trois niveaux d’exégèses pour la description du Paradis coranique : niveau physique, niveau psychologique et niveau spirituel. La signification sensuelle est dominante dans l’islam et représente ce qui manque à la société musulmane primitive. Le recours à la ressemblance phonétique (paronymie) est fréquent chez le soufi Amīn Shaykhū.</w:t>
      </w:r>
    </w:p>
    <w:p w14:paraId="3F053469" w14:textId="77777777" w:rsidR="00296288" w:rsidRDefault="00296288" w:rsidP="00296288">
      <w:pPr>
        <w:spacing w:line="360" w:lineRule="auto"/>
        <w:jc w:val="both"/>
        <w:rPr>
          <w:rFonts w:asciiTheme="majorBidi" w:eastAsia="Calibri" w:hAnsiTheme="majorBidi" w:cstheme="majorBidi"/>
        </w:rPr>
      </w:pPr>
    </w:p>
    <w:p w14:paraId="45B8636E" w14:textId="77777777" w:rsidR="00296288" w:rsidRPr="00C74297" w:rsidRDefault="00296288" w:rsidP="007640DC">
      <w:pPr>
        <w:pStyle w:val="Paragraphedeliste"/>
        <w:numPr>
          <w:ilvl w:val="0"/>
          <w:numId w:val="62"/>
        </w:numPr>
        <w:bidi w:val="0"/>
        <w:spacing w:after="0" w:line="360" w:lineRule="auto"/>
        <w:contextualSpacing/>
        <w:jc w:val="both"/>
        <w:rPr>
          <w:rFonts w:asciiTheme="majorBidi" w:eastAsia="Calibri" w:hAnsiTheme="majorBidi" w:cstheme="majorBidi"/>
          <w:b/>
          <w:bCs/>
          <w:sz w:val="24"/>
          <w:szCs w:val="24"/>
        </w:rPr>
      </w:pPr>
      <w:r w:rsidRPr="00C74297">
        <w:rPr>
          <w:rFonts w:asciiTheme="majorBidi" w:eastAsia="Calibri" w:hAnsiTheme="majorBidi" w:cstheme="majorBidi"/>
          <w:b/>
          <w:bCs/>
          <w:sz w:val="24"/>
          <w:szCs w:val="24"/>
        </w:rPr>
        <w:t xml:space="preserve">Le syntagme </w:t>
      </w:r>
      <w:r w:rsidRPr="00C74297">
        <w:rPr>
          <w:rFonts w:asciiTheme="majorBidi" w:eastAsia="Calibri" w:hAnsiTheme="majorBidi" w:cstheme="majorBidi"/>
          <w:b/>
          <w:bCs/>
          <w:i/>
          <w:iCs/>
          <w:sz w:val="24"/>
          <w:szCs w:val="24"/>
        </w:rPr>
        <w:t>aṭ-ṭayyib mina l-qawl </w:t>
      </w:r>
      <w:r w:rsidRPr="00C74297">
        <w:rPr>
          <w:rFonts w:asciiTheme="majorBidi" w:eastAsia="Calibri" w:hAnsiTheme="majorBidi" w:cstheme="majorBidi"/>
          <w:b/>
          <w:bCs/>
          <w:sz w:val="24"/>
          <w:szCs w:val="24"/>
        </w:rPr>
        <w:t>:</w:t>
      </w:r>
    </w:p>
    <w:p w14:paraId="4DCB5125" w14:textId="77777777" w:rsidR="00296288" w:rsidRPr="00B867DF" w:rsidRDefault="00296288" w:rsidP="00296288">
      <w:pPr>
        <w:spacing w:line="360" w:lineRule="auto"/>
        <w:ind w:firstLine="360"/>
        <w:jc w:val="both"/>
        <w:rPr>
          <w:rFonts w:asciiTheme="majorBidi" w:eastAsia="Calibri" w:hAnsiTheme="majorBidi" w:cstheme="majorBidi"/>
        </w:rPr>
      </w:pPr>
      <w:r w:rsidRPr="00B867DF">
        <w:rPr>
          <w:rFonts w:asciiTheme="majorBidi" w:eastAsia="Calibri" w:hAnsiTheme="majorBidi" w:cstheme="majorBidi"/>
        </w:rPr>
        <w:t xml:space="preserve">Le syntagme nominal </w:t>
      </w:r>
      <w:r w:rsidRPr="00B867DF">
        <w:rPr>
          <w:rFonts w:asciiTheme="majorBidi" w:eastAsia="Calibri" w:hAnsiTheme="majorBidi" w:cstheme="majorBidi"/>
          <w:i/>
          <w:iCs/>
        </w:rPr>
        <w:t>aṭ-ṭayyib mina l-qawl</w:t>
      </w:r>
      <w:r w:rsidRPr="00B867DF">
        <w:rPr>
          <w:rFonts w:asciiTheme="majorBidi" w:eastAsia="Calibri" w:hAnsiTheme="majorBidi" w:cstheme="majorBidi"/>
        </w:rPr>
        <w:t xml:space="preserve"> [la bonne parole] (v. 24) peut désigner les idées suivantes :</w:t>
      </w:r>
    </w:p>
    <w:p w14:paraId="0BF4DEA6" w14:textId="77777777" w:rsidR="00296288" w:rsidRPr="00B867DF" w:rsidRDefault="00296288" w:rsidP="007640DC">
      <w:pPr>
        <w:numPr>
          <w:ilvl w:val="0"/>
          <w:numId w:val="34"/>
        </w:numPr>
        <w:spacing w:line="360" w:lineRule="auto"/>
        <w:jc w:val="both"/>
        <w:rPr>
          <w:rFonts w:eastAsia="Calibri"/>
        </w:rPr>
      </w:pPr>
      <w:r w:rsidRPr="00B867DF">
        <w:rPr>
          <w:rFonts w:eastAsia="Times New Roman"/>
        </w:rPr>
        <w:t>dire la </w:t>
      </w:r>
      <w:r w:rsidRPr="00B867DF">
        <w:rPr>
          <w:rFonts w:eastAsia="Times New Roman"/>
          <w:i/>
          <w:iCs/>
        </w:rPr>
        <w:t>shahāda</w:t>
      </w:r>
      <w:r w:rsidRPr="00B867DF">
        <w:rPr>
          <w:rFonts w:eastAsia="Times New Roman"/>
        </w:rPr>
        <w:t xml:space="preserve"> (l’attestation, le témoignage de foi ou la profession de foi de l’islam : </w:t>
      </w:r>
      <w:r>
        <w:rPr>
          <w:rFonts w:eastAsia="Times New Roman" w:hint="cs"/>
          <w:rtl/>
        </w:rPr>
        <w:t>أشهد أنْ لا إله إلا الله وأشهد أنّ محمداً رسول الله</w:t>
      </w:r>
      <w:r w:rsidRPr="00B867DF">
        <w:rPr>
          <w:rFonts w:eastAsia="Times New Roman"/>
        </w:rPr>
        <w:t> [Je témoigne qu’il n’y a pas d’autre dieu qu’Allah et je témoigne que Muḥammad est son messager]) ;</w:t>
      </w:r>
    </w:p>
    <w:p w14:paraId="4C0E307D" w14:textId="77777777" w:rsidR="00296288" w:rsidRPr="00B867DF" w:rsidRDefault="00296288" w:rsidP="007640DC">
      <w:pPr>
        <w:numPr>
          <w:ilvl w:val="0"/>
          <w:numId w:val="34"/>
        </w:numPr>
        <w:spacing w:line="360" w:lineRule="auto"/>
        <w:jc w:val="both"/>
        <w:rPr>
          <w:rFonts w:eastAsia="Calibri"/>
        </w:rPr>
      </w:pPr>
      <w:r w:rsidRPr="00B867DF">
        <w:rPr>
          <w:rFonts w:eastAsia="Calibri"/>
        </w:rPr>
        <w:t>dire : « </w:t>
      </w:r>
      <w:r>
        <w:rPr>
          <w:rFonts w:eastAsia="Calibri" w:hint="cs"/>
          <w:rtl/>
        </w:rPr>
        <w:t>الله أكبر ولله الحمد</w:t>
      </w:r>
      <w:r w:rsidRPr="00B867DF">
        <w:rPr>
          <w:rFonts w:eastAsia="Calibri"/>
        </w:rPr>
        <w:t> » [Dieu est le plus grand et louange à Dieu] ;</w:t>
      </w:r>
    </w:p>
    <w:p w14:paraId="57670F5D" w14:textId="77777777" w:rsidR="00296288" w:rsidRPr="00B867DF" w:rsidRDefault="00296288" w:rsidP="007640DC">
      <w:pPr>
        <w:numPr>
          <w:ilvl w:val="0"/>
          <w:numId w:val="34"/>
        </w:numPr>
        <w:spacing w:line="360" w:lineRule="auto"/>
        <w:jc w:val="both"/>
        <w:rPr>
          <w:rFonts w:eastAsia="Calibri"/>
        </w:rPr>
      </w:pPr>
      <w:r w:rsidRPr="00B867DF">
        <w:rPr>
          <w:rFonts w:eastAsia="Calibri"/>
        </w:rPr>
        <w:t>dire : « </w:t>
      </w:r>
      <w:r>
        <w:rPr>
          <w:rFonts w:eastAsia="Calibri" w:hint="cs"/>
          <w:rtl/>
        </w:rPr>
        <w:t>سبحان الله والحمد لله</w:t>
      </w:r>
      <w:r w:rsidRPr="00B867DF">
        <w:rPr>
          <w:rFonts w:eastAsia="Calibri"/>
        </w:rPr>
        <w:t> » [Gloire à Dieu et louange à Dieu] ;</w:t>
      </w:r>
    </w:p>
    <w:p w14:paraId="27C54877" w14:textId="77777777" w:rsidR="00296288" w:rsidRPr="00B867DF" w:rsidRDefault="00296288" w:rsidP="007640DC">
      <w:pPr>
        <w:numPr>
          <w:ilvl w:val="0"/>
          <w:numId w:val="34"/>
        </w:numPr>
        <w:spacing w:line="360" w:lineRule="auto"/>
        <w:jc w:val="both"/>
        <w:rPr>
          <w:rFonts w:eastAsia="Calibri"/>
        </w:rPr>
      </w:pPr>
      <w:r w:rsidRPr="00B867DF">
        <w:rPr>
          <w:rFonts w:eastAsia="Calibri"/>
        </w:rPr>
        <w:t>les formules d’invocation de Dieu ;</w:t>
      </w:r>
    </w:p>
    <w:p w14:paraId="5679C35D" w14:textId="77777777" w:rsidR="00296288" w:rsidRPr="00B867DF" w:rsidRDefault="00296288" w:rsidP="007640DC">
      <w:pPr>
        <w:numPr>
          <w:ilvl w:val="0"/>
          <w:numId w:val="34"/>
        </w:numPr>
        <w:spacing w:line="360" w:lineRule="auto"/>
        <w:jc w:val="both"/>
        <w:rPr>
          <w:rFonts w:eastAsia="Calibri"/>
        </w:rPr>
      </w:pPr>
      <w:r w:rsidRPr="00B867DF">
        <w:rPr>
          <w:rFonts w:eastAsia="Calibri"/>
        </w:rPr>
        <w:t>le dévouement et la fidélité ;</w:t>
      </w:r>
    </w:p>
    <w:p w14:paraId="1848A13A" w14:textId="77777777" w:rsidR="00296288" w:rsidRPr="00B867DF" w:rsidRDefault="00296288" w:rsidP="007640DC">
      <w:pPr>
        <w:numPr>
          <w:ilvl w:val="0"/>
          <w:numId w:val="34"/>
        </w:numPr>
        <w:spacing w:line="360" w:lineRule="auto"/>
        <w:jc w:val="both"/>
        <w:rPr>
          <w:rFonts w:eastAsia="Calibri"/>
        </w:rPr>
      </w:pPr>
      <w:r w:rsidRPr="00B867DF">
        <w:rPr>
          <w:rFonts w:eastAsia="Calibri"/>
        </w:rPr>
        <w:t>le Coran ;</w:t>
      </w:r>
    </w:p>
    <w:p w14:paraId="355DEAC3" w14:textId="77777777" w:rsidR="00296288" w:rsidRPr="00B867DF" w:rsidRDefault="00296288" w:rsidP="007640DC">
      <w:pPr>
        <w:numPr>
          <w:ilvl w:val="0"/>
          <w:numId w:val="34"/>
        </w:numPr>
        <w:spacing w:line="360" w:lineRule="auto"/>
        <w:jc w:val="both"/>
        <w:rPr>
          <w:rFonts w:eastAsia="Calibri"/>
        </w:rPr>
      </w:pPr>
      <w:r w:rsidRPr="00B867DF">
        <w:rPr>
          <w:rFonts w:eastAsia="Calibri"/>
        </w:rPr>
        <w:t>les bonnes nouvelles de Dieu aux croyants dans le Paradis ;</w:t>
      </w:r>
    </w:p>
    <w:p w14:paraId="6F04199F" w14:textId="77777777" w:rsidR="00296288" w:rsidRPr="00B867DF" w:rsidRDefault="00296288" w:rsidP="007640DC">
      <w:pPr>
        <w:numPr>
          <w:ilvl w:val="0"/>
          <w:numId w:val="34"/>
        </w:numPr>
        <w:spacing w:line="360" w:lineRule="auto"/>
        <w:jc w:val="both"/>
        <w:rPr>
          <w:rFonts w:eastAsia="Calibri"/>
        </w:rPr>
      </w:pPr>
      <w:r w:rsidRPr="00B867DF">
        <w:rPr>
          <w:rFonts w:eastAsia="Calibri"/>
        </w:rPr>
        <w:t>la manifestation des lumières divines ;</w:t>
      </w:r>
    </w:p>
    <w:p w14:paraId="0B57E05A" w14:textId="77777777" w:rsidR="00296288" w:rsidRPr="00B867DF" w:rsidRDefault="00296288" w:rsidP="007640DC">
      <w:pPr>
        <w:numPr>
          <w:ilvl w:val="0"/>
          <w:numId w:val="34"/>
        </w:numPr>
        <w:spacing w:line="360" w:lineRule="auto"/>
        <w:jc w:val="both"/>
        <w:rPr>
          <w:rFonts w:eastAsia="Calibri"/>
        </w:rPr>
      </w:pPr>
      <w:r w:rsidRPr="00B867DF">
        <w:rPr>
          <w:rFonts w:eastAsia="Calibri"/>
        </w:rPr>
        <w:t>le monothéisme ;</w:t>
      </w:r>
    </w:p>
    <w:p w14:paraId="45468C46" w14:textId="77777777" w:rsidR="00296288" w:rsidRPr="00B867DF" w:rsidRDefault="00296288" w:rsidP="007640DC">
      <w:pPr>
        <w:numPr>
          <w:ilvl w:val="0"/>
          <w:numId w:val="34"/>
        </w:numPr>
        <w:tabs>
          <w:tab w:val="left" w:pos="709"/>
          <w:tab w:val="left" w:pos="851"/>
        </w:tabs>
        <w:spacing w:line="360" w:lineRule="auto"/>
        <w:jc w:val="both"/>
        <w:rPr>
          <w:rFonts w:eastAsia="Calibri"/>
        </w:rPr>
      </w:pPr>
      <w:r w:rsidRPr="00B867DF">
        <w:rPr>
          <w:rFonts w:eastAsia="Calibri"/>
        </w:rPr>
        <w:t>la parole des gens du Paradis entre eux ;</w:t>
      </w:r>
    </w:p>
    <w:p w14:paraId="3E804062" w14:textId="77777777" w:rsidR="00296288" w:rsidRPr="00B867DF" w:rsidRDefault="00296288" w:rsidP="007640DC">
      <w:pPr>
        <w:numPr>
          <w:ilvl w:val="0"/>
          <w:numId w:val="34"/>
        </w:numPr>
        <w:tabs>
          <w:tab w:val="left" w:pos="709"/>
          <w:tab w:val="left" w:pos="851"/>
        </w:tabs>
        <w:spacing w:line="360" w:lineRule="auto"/>
        <w:jc w:val="both"/>
        <w:rPr>
          <w:rFonts w:eastAsia="Calibri"/>
        </w:rPr>
      </w:pPr>
      <w:r w:rsidRPr="00B867DF">
        <w:rPr>
          <w:rFonts w:eastAsia="Calibri"/>
        </w:rPr>
        <w:t>dire : « </w:t>
      </w:r>
      <w:r>
        <w:rPr>
          <w:rFonts w:asciiTheme="majorBidi" w:eastAsia="Calibri" w:hAnsiTheme="majorBidi" w:cstheme="majorBidi" w:hint="cs"/>
          <w:rtl/>
        </w:rPr>
        <w:t>الحمد لله الذي صدقَنا وعدَه</w:t>
      </w:r>
      <w:r>
        <w:rPr>
          <w:rFonts w:asciiTheme="majorBidi" w:eastAsia="Calibri" w:hAnsiTheme="majorBidi" w:cstheme="majorBidi"/>
        </w:rPr>
        <w:t> »</w:t>
      </w:r>
      <w:r w:rsidRPr="00B867DF">
        <w:rPr>
          <w:rFonts w:eastAsia="Calibri"/>
        </w:rPr>
        <w:t xml:space="preserve"> [</w:t>
      </w:r>
      <w:r>
        <w:rPr>
          <w:rFonts w:eastAsia="Calibri"/>
        </w:rPr>
        <w:t>« Gloire à Allah qui nous A Tenu Sa promesse » [trad. Abdelaziz]</w:t>
      </w:r>
      <w:r w:rsidRPr="00B867DF">
        <w:rPr>
          <w:rFonts w:eastAsia="Calibri"/>
        </w:rPr>
        <w:t>] ;</w:t>
      </w:r>
    </w:p>
    <w:p w14:paraId="5932B91B" w14:textId="77777777" w:rsidR="00296288" w:rsidRPr="00B867DF" w:rsidRDefault="00296288" w:rsidP="007640DC">
      <w:pPr>
        <w:numPr>
          <w:ilvl w:val="0"/>
          <w:numId w:val="34"/>
        </w:numPr>
        <w:tabs>
          <w:tab w:val="left" w:pos="709"/>
          <w:tab w:val="left" w:pos="851"/>
        </w:tabs>
        <w:spacing w:line="360" w:lineRule="auto"/>
        <w:jc w:val="both"/>
        <w:rPr>
          <w:rFonts w:eastAsia="Calibri"/>
        </w:rPr>
      </w:pPr>
      <w:r w:rsidRPr="00B867DF">
        <w:rPr>
          <w:rFonts w:eastAsia="Calibri"/>
        </w:rPr>
        <w:t>la parole du Vrai ;</w:t>
      </w:r>
    </w:p>
    <w:p w14:paraId="09F421EB" w14:textId="77777777" w:rsidR="00296288" w:rsidRPr="00B867DF" w:rsidRDefault="00296288" w:rsidP="007640DC">
      <w:pPr>
        <w:numPr>
          <w:ilvl w:val="0"/>
          <w:numId w:val="34"/>
        </w:numPr>
        <w:tabs>
          <w:tab w:val="left" w:pos="709"/>
          <w:tab w:val="left" w:pos="851"/>
        </w:tabs>
        <w:spacing w:line="360" w:lineRule="auto"/>
        <w:jc w:val="both"/>
        <w:rPr>
          <w:rFonts w:eastAsia="Calibri"/>
        </w:rPr>
      </w:pPr>
      <w:r w:rsidRPr="00B867DF">
        <w:rPr>
          <w:rFonts w:eastAsia="Calibri"/>
        </w:rPr>
        <w:lastRenderedPageBreak/>
        <w:t>la parole de Dieu et ses commandements dans l’ici-bas ;</w:t>
      </w:r>
    </w:p>
    <w:p w14:paraId="75C5F76E" w14:textId="77777777" w:rsidR="00296288" w:rsidRPr="00B867DF" w:rsidRDefault="00296288" w:rsidP="007640DC">
      <w:pPr>
        <w:numPr>
          <w:ilvl w:val="0"/>
          <w:numId w:val="34"/>
        </w:numPr>
        <w:tabs>
          <w:tab w:val="left" w:pos="709"/>
          <w:tab w:val="left" w:pos="851"/>
        </w:tabs>
        <w:spacing w:line="360" w:lineRule="auto"/>
        <w:jc w:val="both"/>
        <w:rPr>
          <w:rFonts w:eastAsia="Calibri"/>
        </w:rPr>
      </w:pPr>
      <w:r w:rsidRPr="00B867DF">
        <w:rPr>
          <w:rFonts w:eastAsia="Calibri"/>
        </w:rPr>
        <w:t>toute parole qui calme l’âme ;</w:t>
      </w:r>
    </w:p>
    <w:p w14:paraId="46B2269B" w14:textId="77777777" w:rsidR="00296288" w:rsidRPr="00B867DF" w:rsidRDefault="00296288" w:rsidP="007640DC">
      <w:pPr>
        <w:numPr>
          <w:ilvl w:val="0"/>
          <w:numId w:val="34"/>
        </w:numPr>
        <w:tabs>
          <w:tab w:val="left" w:pos="709"/>
          <w:tab w:val="left" w:pos="851"/>
        </w:tabs>
        <w:spacing w:line="360" w:lineRule="auto"/>
        <w:jc w:val="both"/>
        <w:rPr>
          <w:rFonts w:eastAsia="Calibri"/>
        </w:rPr>
      </w:pPr>
      <w:r w:rsidRPr="00B867DF">
        <w:rPr>
          <w:rFonts w:eastAsia="Calibri"/>
        </w:rPr>
        <w:t>évoquer les attributs de Dieu au niveau du cœur (Ibn ʿArabī) ;</w:t>
      </w:r>
    </w:p>
    <w:p w14:paraId="3B7FD4A9" w14:textId="77777777" w:rsidR="00296288" w:rsidRPr="00B867DF" w:rsidRDefault="00296288" w:rsidP="007640DC">
      <w:pPr>
        <w:numPr>
          <w:ilvl w:val="0"/>
          <w:numId w:val="34"/>
        </w:numPr>
        <w:tabs>
          <w:tab w:val="left" w:pos="709"/>
          <w:tab w:val="left" w:pos="851"/>
        </w:tabs>
        <w:spacing w:line="360" w:lineRule="auto"/>
        <w:jc w:val="both"/>
        <w:rPr>
          <w:rFonts w:eastAsia="Calibri"/>
        </w:rPr>
      </w:pPr>
      <w:r w:rsidRPr="00B867DF">
        <w:rPr>
          <w:rFonts w:eastAsia="Calibri"/>
        </w:rPr>
        <w:t xml:space="preserve">tout ce qui est pur </w:t>
      </w:r>
      <w:r w:rsidRPr="00B867DF">
        <w:rPr>
          <w:rFonts w:eastAsia="Times New Roman"/>
          <w:lang w:bidi="ar-EG"/>
        </w:rPr>
        <w:t>(A</w:t>
      </w:r>
      <w:r w:rsidRPr="00B867DF">
        <w:rPr>
          <w:rFonts w:eastAsia="Calibri"/>
          <w:lang w:bidi="ar-AE"/>
        </w:rPr>
        <w:t>Ṭ</w:t>
      </w:r>
      <w:r w:rsidRPr="00B867DF">
        <w:rPr>
          <w:rFonts w:eastAsia="Times New Roman"/>
          <w:lang w:bidi="ar-EG"/>
        </w:rPr>
        <w:t>-Ṭabāṭabāʾī)</w:t>
      </w:r>
      <w:r w:rsidRPr="00B867DF">
        <w:rPr>
          <w:rFonts w:eastAsia="Times New Roman"/>
          <w:lang w:bidi="ar-AE"/>
        </w:rPr>
        <w:t>.</w:t>
      </w:r>
    </w:p>
    <w:p w14:paraId="320E34C2" w14:textId="77777777" w:rsidR="00296288" w:rsidRPr="00B867DF" w:rsidRDefault="00296288" w:rsidP="00296288">
      <w:pPr>
        <w:spacing w:line="360" w:lineRule="auto"/>
        <w:ind w:firstLine="360"/>
        <w:jc w:val="both"/>
        <w:rPr>
          <w:rFonts w:eastAsia="Calibri"/>
        </w:rPr>
      </w:pPr>
    </w:p>
    <w:p w14:paraId="660AB663" w14:textId="77777777" w:rsidR="00296288" w:rsidRPr="00B867DF" w:rsidRDefault="00296288" w:rsidP="00296288">
      <w:pPr>
        <w:spacing w:line="360" w:lineRule="auto"/>
        <w:ind w:firstLine="360"/>
        <w:contextualSpacing/>
        <w:jc w:val="both"/>
        <w:rPr>
          <w:rFonts w:eastAsia="Calibri"/>
          <w:lang w:bidi="ar-AE"/>
        </w:rPr>
      </w:pPr>
      <w:r w:rsidRPr="00B867DF">
        <w:rPr>
          <w:rFonts w:eastAsia="Calibri"/>
          <w:lang w:bidi="ar-AE"/>
        </w:rPr>
        <w:t xml:space="preserve">L’exégèse contemporaine saoudienne du Complexe du roi Fahd de Médine </w:t>
      </w:r>
      <w:r w:rsidRPr="00B867DF">
        <w:rPr>
          <w:rFonts w:eastAsia="Calibri"/>
          <w:i/>
          <w:iCs/>
          <w:lang w:bidi="ar-AE"/>
        </w:rPr>
        <w:t>Al-Muyassar</w:t>
      </w:r>
      <w:r w:rsidRPr="00B867DF">
        <w:rPr>
          <w:rFonts w:eastAsia="Calibri"/>
          <w:lang w:bidi="ar-AE"/>
        </w:rPr>
        <w:t xml:space="preserve"> a choisi « </w:t>
      </w:r>
      <w:r w:rsidRPr="00B867DF">
        <w:rPr>
          <w:rFonts w:eastAsia="Calibri"/>
          <w:i/>
          <w:iCs/>
          <w:lang w:bidi="ar-AE"/>
        </w:rPr>
        <w:t>kalimat at-tawḥīd wa-ḥamd Allāh</w:t>
      </w:r>
      <w:r w:rsidRPr="00B867DF">
        <w:rPr>
          <w:rFonts w:eastAsia="Calibri"/>
          <w:lang w:bidi="ar-AE"/>
        </w:rPr>
        <w:t> » [le mot d’unicité et le remerciement d’Allah].</w:t>
      </w:r>
    </w:p>
    <w:p w14:paraId="4403F1D8" w14:textId="77777777" w:rsidR="00296288" w:rsidRPr="00B867DF" w:rsidRDefault="00296288" w:rsidP="00296288">
      <w:pPr>
        <w:spacing w:line="360" w:lineRule="auto"/>
        <w:jc w:val="both"/>
        <w:rPr>
          <w:rFonts w:eastAsia="Calibri"/>
          <w:rtl/>
        </w:rPr>
      </w:pPr>
    </w:p>
    <w:p w14:paraId="6661CB4D" w14:textId="77777777" w:rsidR="00296288" w:rsidRPr="00B867DF" w:rsidRDefault="00296288" w:rsidP="00296288">
      <w:pPr>
        <w:spacing w:line="360" w:lineRule="auto"/>
        <w:ind w:firstLine="360"/>
        <w:jc w:val="both"/>
        <w:rPr>
          <w:rFonts w:eastAsia="Calibri"/>
        </w:rPr>
      </w:pPr>
      <w:r w:rsidRPr="00B867DF">
        <w:rPr>
          <w:rFonts w:eastAsia="Calibri"/>
        </w:rPr>
        <w:t xml:space="preserve">Selon les exégèses, le syntagme </w:t>
      </w:r>
      <w:r w:rsidRPr="00B867DF">
        <w:rPr>
          <w:rFonts w:eastAsia="Calibri"/>
          <w:i/>
          <w:iCs/>
        </w:rPr>
        <w:t>aṭ-ṭayyib mina l-qawl</w:t>
      </w:r>
      <w:r w:rsidRPr="00B867DF">
        <w:rPr>
          <w:rFonts w:eastAsia="Calibri"/>
        </w:rPr>
        <w:t>, qui désigne un sens générique, porte des connotations limitées essentiellement à l’islam.</w:t>
      </w:r>
    </w:p>
    <w:p w14:paraId="50C12F06" w14:textId="77777777" w:rsidR="00296288" w:rsidRDefault="00296288" w:rsidP="00296288">
      <w:pPr>
        <w:spacing w:line="360" w:lineRule="auto"/>
        <w:jc w:val="both"/>
        <w:rPr>
          <w:rFonts w:eastAsia="Calibri"/>
        </w:rPr>
      </w:pPr>
    </w:p>
    <w:p w14:paraId="1E35E228" w14:textId="77777777" w:rsidR="00296288" w:rsidRPr="00C74297" w:rsidRDefault="00296288" w:rsidP="007640DC">
      <w:pPr>
        <w:pStyle w:val="Paragraphedeliste"/>
        <w:numPr>
          <w:ilvl w:val="0"/>
          <w:numId w:val="62"/>
        </w:numPr>
        <w:bidi w:val="0"/>
        <w:spacing w:after="0" w:line="360" w:lineRule="auto"/>
        <w:contextualSpacing/>
        <w:jc w:val="both"/>
        <w:rPr>
          <w:rFonts w:ascii="Times New Roman" w:eastAsia="Calibri" w:hAnsi="Times New Roman" w:cs="Times New Roman"/>
          <w:b/>
          <w:bCs/>
          <w:sz w:val="24"/>
          <w:szCs w:val="24"/>
        </w:rPr>
      </w:pPr>
      <w:r w:rsidRPr="00C74297">
        <w:rPr>
          <w:rFonts w:ascii="Times New Roman" w:eastAsia="Calibri" w:hAnsi="Times New Roman" w:cs="Times New Roman"/>
          <w:b/>
          <w:bCs/>
          <w:sz w:val="24"/>
          <w:szCs w:val="24"/>
        </w:rPr>
        <w:t xml:space="preserve">Le </w:t>
      </w:r>
      <w:r w:rsidRPr="00C74297">
        <w:rPr>
          <w:rFonts w:ascii="Times New Roman" w:eastAsia="Calibri" w:hAnsi="Times New Roman" w:cs="Times New Roman"/>
          <w:b/>
          <w:bCs/>
          <w:i/>
          <w:iCs/>
          <w:sz w:val="24"/>
          <w:szCs w:val="24"/>
        </w:rPr>
        <w:t>ṣirāṭ al-ḥamīd </w:t>
      </w:r>
      <w:r w:rsidRPr="00C74297">
        <w:rPr>
          <w:rFonts w:ascii="Times New Roman" w:eastAsia="Calibri" w:hAnsi="Times New Roman" w:cs="Times New Roman"/>
          <w:b/>
          <w:bCs/>
          <w:sz w:val="24"/>
          <w:szCs w:val="24"/>
        </w:rPr>
        <w:t>:</w:t>
      </w:r>
    </w:p>
    <w:p w14:paraId="1431DE5E" w14:textId="77777777" w:rsidR="00296288" w:rsidRPr="00B867DF" w:rsidRDefault="00296288" w:rsidP="00296288">
      <w:pPr>
        <w:spacing w:line="360" w:lineRule="auto"/>
        <w:ind w:firstLine="708"/>
        <w:jc w:val="both"/>
        <w:rPr>
          <w:rFonts w:eastAsia="Calibri"/>
        </w:rPr>
      </w:pPr>
      <w:r w:rsidRPr="00B867DF">
        <w:rPr>
          <w:rFonts w:eastAsia="Calibri"/>
        </w:rPr>
        <w:t xml:space="preserve">Les exégètes ont également donné à </w:t>
      </w:r>
      <w:r w:rsidRPr="00B867DF">
        <w:rPr>
          <w:rFonts w:eastAsia="Calibri"/>
          <w:i/>
          <w:iCs/>
        </w:rPr>
        <w:t>ṣirāṭ al-ḥamīd</w:t>
      </w:r>
      <w:r w:rsidRPr="00B867DF">
        <w:rPr>
          <w:rFonts w:eastAsia="Calibri"/>
        </w:rPr>
        <w:t xml:space="preserve"> [la voie du louangé] plusieurs significations dont certaines révèlent leur appartenance religieuse et politique : </w:t>
      </w:r>
    </w:p>
    <w:p w14:paraId="582C7AB6" w14:textId="77777777" w:rsidR="00296288" w:rsidRPr="00B867DF" w:rsidRDefault="00296288" w:rsidP="007640DC">
      <w:pPr>
        <w:numPr>
          <w:ilvl w:val="0"/>
          <w:numId w:val="35"/>
        </w:numPr>
        <w:spacing w:line="360" w:lineRule="auto"/>
        <w:jc w:val="both"/>
        <w:rPr>
          <w:rFonts w:eastAsia="Calibri"/>
        </w:rPr>
      </w:pPr>
      <w:r w:rsidRPr="00B867DF">
        <w:rPr>
          <w:rFonts w:eastAsia="Calibri"/>
        </w:rPr>
        <w:t>le chemin du Seigneur louangé ;</w:t>
      </w:r>
    </w:p>
    <w:p w14:paraId="3D6C8BA8" w14:textId="77777777" w:rsidR="00296288" w:rsidRPr="00B867DF" w:rsidRDefault="00296288" w:rsidP="007640DC">
      <w:pPr>
        <w:numPr>
          <w:ilvl w:val="0"/>
          <w:numId w:val="35"/>
        </w:numPr>
        <w:spacing w:line="360" w:lineRule="auto"/>
        <w:jc w:val="both"/>
        <w:rPr>
          <w:rFonts w:eastAsia="Calibri"/>
        </w:rPr>
      </w:pPr>
      <w:r w:rsidRPr="00B867DF">
        <w:rPr>
          <w:rFonts w:eastAsia="Calibri"/>
        </w:rPr>
        <w:t>la voie de l’islam louable ;</w:t>
      </w:r>
    </w:p>
    <w:p w14:paraId="08368952" w14:textId="77777777" w:rsidR="00296288" w:rsidRPr="00B867DF" w:rsidRDefault="00296288" w:rsidP="007640DC">
      <w:pPr>
        <w:numPr>
          <w:ilvl w:val="0"/>
          <w:numId w:val="35"/>
        </w:numPr>
        <w:spacing w:line="360" w:lineRule="auto"/>
        <w:jc w:val="both"/>
        <w:rPr>
          <w:rFonts w:eastAsia="Calibri"/>
        </w:rPr>
      </w:pPr>
      <w:r w:rsidRPr="00B867DF">
        <w:rPr>
          <w:rFonts w:eastAsia="Calibri"/>
        </w:rPr>
        <w:t>la voie droite dans le monde d’ici-bas ;</w:t>
      </w:r>
    </w:p>
    <w:p w14:paraId="2F3EC7BC" w14:textId="77777777" w:rsidR="00296288" w:rsidRPr="00B867DF" w:rsidRDefault="00296288" w:rsidP="007640DC">
      <w:pPr>
        <w:numPr>
          <w:ilvl w:val="0"/>
          <w:numId w:val="35"/>
        </w:numPr>
        <w:spacing w:line="360" w:lineRule="auto"/>
        <w:jc w:val="both"/>
        <w:rPr>
          <w:rFonts w:eastAsia="Calibri"/>
        </w:rPr>
      </w:pPr>
      <w:r w:rsidRPr="00B867DF">
        <w:rPr>
          <w:rFonts w:eastAsia="Calibri"/>
        </w:rPr>
        <w:t>la voie du Paradis ;</w:t>
      </w:r>
    </w:p>
    <w:p w14:paraId="168152F0" w14:textId="77777777" w:rsidR="00296288" w:rsidRPr="00B867DF" w:rsidRDefault="00296288" w:rsidP="007640DC">
      <w:pPr>
        <w:numPr>
          <w:ilvl w:val="0"/>
          <w:numId w:val="35"/>
        </w:numPr>
        <w:spacing w:line="360" w:lineRule="auto"/>
        <w:jc w:val="both"/>
        <w:rPr>
          <w:rFonts w:eastAsia="Calibri"/>
        </w:rPr>
      </w:pPr>
      <w:r w:rsidRPr="00B867DF">
        <w:rPr>
          <w:rFonts w:eastAsia="Calibri"/>
        </w:rPr>
        <w:t>le Paradis (Ash-Shaʿrāwī) ;</w:t>
      </w:r>
    </w:p>
    <w:p w14:paraId="7A577A48" w14:textId="77777777" w:rsidR="00296288" w:rsidRPr="00B867DF" w:rsidRDefault="00296288" w:rsidP="007640DC">
      <w:pPr>
        <w:numPr>
          <w:ilvl w:val="0"/>
          <w:numId w:val="35"/>
        </w:numPr>
        <w:spacing w:line="360" w:lineRule="auto"/>
        <w:jc w:val="both"/>
        <w:rPr>
          <w:rFonts w:eastAsia="Calibri"/>
        </w:rPr>
      </w:pPr>
      <w:r w:rsidRPr="00B867DF">
        <w:rPr>
          <w:rFonts w:eastAsia="Calibri"/>
        </w:rPr>
        <w:t xml:space="preserve"> le Louangé (Dieu) ;</w:t>
      </w:r>
    </w:p>
    <w:p w14:paraId="08FB05BC" w14:textId="77777777" w:rsidR="00296288" w:rsidRPr="00B867DF" w:rsidRDefault="00296288" w:rsidP="007640DC">
      <w:pPr>
        <w:numPr>
          <w:ilvl w:val="0"/>
          <w:numId w:val="35"/>
        </w:numPr>
        <w:spacing w:line="360" w:lineRule="auto"/>
        <w:jc w:val="both"/>
        <w:rPr>
          <w:rFonts w:eastAsia="Calibri"/>
        </w:rPr>
      </w:pPr>
      <w:r w:rsidRPr="00B867DF">
        <w:rPr>
          <w:rFonts w:eastAsia="Calibri"/>
        </w:rPr>
        <w:t>tout chemin qui mène à Dieu ;</w:t>
      </w:r>
    </w:p>
    <w:p w14:paraId="2117AE3A" w14:textId="77777777" w:rsidR="00296288" w:rsidRPr="00B867DF" w:rsidRDefault="00296288" w:rsidP="007640DC">
      <w:pPr>
        <w:numPr>
          <w:ilvl w:val="0"/>
          <w:numId w:val="35"/>
        </w:numPr>
        <w:spacing w:line="360" w:lineRule="auto"/>
        <w:jc w:val="both"/>
        <w:rPr>
          <w:rFonts w:eastAsia="Calibri"/>
        </w:rPr>
      </w:pPr>
      <w:r w:rsidRPr="00B867DF">
        <w:rPr>
          <w:rFonts w:eastAsia="Calibri"/>
        </w:rPr>
        <w:t>les bonnes actions louables (Shaykhū) ;</w:t>
      </w:r>
    </w:p>
    <w:p w14:paraId="2483B200" w14:textId="77777777" w:rsidR="00296288" w:rsidRPr="00B867DF" w:rsidRDefault="00296288" w:rsidP="007640DC">
      <w:pPr>
        <w:numPr>
          <w:ilvl w:val="0"/>
          <w:numId w:val="35"/>
        </w:numPr>
        <w:spacing w:line="360" w:lineRule="auto"/>
        <w:jc w:val="both"/>
        <w:rPr>
          <w:rFonts w:eastAsia="Calibri"/>
        </w:rPr>
      </w:pPr>
      <w:r w:rsidRPr="00B867DF">
        <w:rPr>
          <w:rFonts w:eastAsia="Calibri"/>
        </w:rPr>
        <w:t>l’unicité de l’essence de Dieu (Ibn ʿArabī) ;</w:t>
      </w:r>
    </w:p>
    <w:p w14:paraId="6B50760D" w14:textId="77777777" w:rsidR="00296288" w:rsidRPr="00B867DF" w:rsidRDefault="00296288" w:rsidP="007640DC">
      <w:pPr>
        <w:numPr>
          <w:ilvl w:val="0"/>
          <w:numId w:val="35"/>
        </w:numPr>
        <w:tabs>
          <w:tab w:val="left" w:pos="851"/>
        </w:tabs>
        <w:spacing w:line="360" w:lineRule="auto"/>
        <w:jc w:val="both"/>
        <w:rPr>
          <w:rFonts w:eastAsia="Calibri"/>
        </w:rPr>
      </w:pPr>
      <w:r w:rsidRPr="00B867DF">
        <w:rPr>
          <w:rFonts w:eastAsia="Calibri"/>
        </w:rPr>
        <w:t xml:space="preserve">la </w:t>
      </w:r>
      <w:r w:rsidRPr="00B867DF">
        <w:rPr>
          <w:rFonts w:eastAsia="Calibri"/>
          <w:i/>
          <w:iCs/>
        </w:rPr>
        <w:t>walāya</w:t>
      </w:r>
      <w:r w:rsidRPr="00B867DF">
        <w:rPr>
          <w:rFonts w:eastAsia="Calibri"/>
        </w:rPr>
        <w:t xml:space="preserve"> [l’autorité religieuse de ʿAlī Ibn Abī </w:t>
      </w:r>
      <w:r w:rsidRPr="00B867DF">
        <w:rPr>
          <w:rFonts w:eastAsia="Calibri"/>
          <w:lang w:bidi="ar-AE"/>
        </w:rPr>
        <w:t>Ṭālib</w:t>
      </w:r>
      <w:r w:rsidRPr="00B867DF">
        <w:rPr>
          <w:rFonts w:eastAsia="Calibri"/>
        </w:rPr>
        <w:t xml:space="preserve">]  (Al-Qummī et </w:t>
      </w:r>
      <w:r w:rsidRPr="00B867DF">
        <w:rPr>
          <w:rFonts w:eastAsia="Times New Roman"/>
          <w:lang w:bidi="ar-EG"/>
        </w:rPr>
        <w:t>A</w:t>
      </w:r>
      <w:r w:rsidRPr="00B867DF">
        <w:rPr>
          <w:rFonts w:eastAsia="Calibri"/>
          <w:lang w:bidi="ar-AE"/>
        </w:rPr>
        <w:t>Ṭ</w:t>
      </w:r>
      <w:r w:rsidRPr="00B867DF">
        <w:rPr>
          <w:rFonts w:eastAsia="Times New Roman"/>
          <w:lang w:bidi="ar-EG"/>
        </w:rPr>
        <w:t>-Ṭabāṭabāʾī).</w:t>
      </w:r>
    </w:p>
    <w:p w14:paraId="08CDB894" w14:textId="77777777" w:rsidR="00296288" w:rsidRPr="00E63AD0" w:rsidRDefault="00296288" w:rsidP="00296288">
      <w:pPr>
        <w:spacing w:line="360" w:lineRule="auto"/>
        <w:jc w:val="both"/>
        <w:rPr>
          <w:rFonts w:eastAsia="Times New Roman"/>
          <w:lang w:bidi="ar-AE"/>
        </w:rPr>
      </w:pPr>
    </w:p>
    <w:p w14:paraId="572EAFF3" w14:textId="77777777" w:rsidR="00296288" w:rsidRPr="00B867DF" w:rsidRDefault="00296288" w:rsidP="00296288">
      <w:pPr>
        <w:spacing w:line="360" w:lineRule="auto"/>
        <w:ind w:firstLine="360"/>
        <w:jc w:val="both"/>
        <w:rPr>
          <w:rFonts w:eastAsia="Times New Roman"/>
          <w:lang w:bidi="ar-AE"/>
        </w:rPr>
      </w:pPr>
      <w:r w:rsidRPr="00E63AD0">
        <w:rPr>
          <w:rFonts w:eastAsia="Times New Roman"/>
          <w:lang w:bidi="ar-AE"/>
        </w:rPr>
        <w:t>Les significations ci-dessus mettent en évidence l’islam en tant que chemin de Dieu qui mène au Paradis. La dernière signification est plus politique que religieuse et fait allusion</w:t>
      </w:r>
      <w:r w:rsidRPr="00B867DF">
        <w:rPr>
          <w:rFonts w:eastAsia="Times New Roman"/>
          <w:lang w:bidi="ar-AE"/>
        </w:rPr>
        <w:t xml:space="preserve"> aux relations tendues entre sunnites et chiites.</w:t>
      </w:r>
    </w:p>
    <w:p w14:paraId="3520E13C" w14:textId="77777777" w:rsidR="00296288" w:rsidRPr="00B867DF" w:rsidRDefault="00296288" w:rsidP="00296288">
      <w:pPr>
        <w:spacing w:line="360" w:lineRule="auto"/>
        <w:ind w:firstLine="360"/>
        <w:jc w:val="both"/>
        <w:rPr>
          <w:rFonts w:eastAsia="Times New Roman"/>
        </w:rPr>
      </w:pPr>
    </w:p>
    <w:p w14:paraId="496D7A1C" w14:textId="77777777" w:rsidR="00296288" w:rsidRPr="00B867DF" w:rsidRDefault="00296288" w:rsidP="00296288">
      <w:pPr>
        <w:spacing w:line="360" w:lineRule="auto"/>
        <w:ind w:firstLine="708"/>
        <w:jc w:val="both"/>
        <w:rPr>
          <w:rFonts w:eastAsia="Times New Roman"/>
          <w:lang w:bidi="ar-AE"/>
        </w:rPr>
      </w:pPr>
      <w:r w:rsidRPr="00B867DF">
        <w:rPr>
          <w:rFonts w:asciiTheme="majorBidi" w:eastAsia="Times New Roman" w:hAnsiTheme="majorBidi" w:cstheme="majorBidi"/>
          <w:i/>
          <w:iCs/>
          <w:lang w:bidi="ar-AE"/>
        </w:rPr>
        <w:lastRenderedPageBreak/>
        <w:t>Al-Masjid al-Ḥarām</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lang w:bidi="ar-AE"/>
        </w:rPr>
        <w:t>sanctuaire sacré] (v. 25) peut désigner : 1-seulement la Mosquée sacrée elle-même qui se trouve à</w:t>
      </w:r>
      <w:r w:rsidRPr="00B867DF">
        <w:rPr>
          <w:rFonts w:eastAsia="Times New Roman"/>
          <w:lang w:bidi="ar-AE"/>
        </w:rPr>
        <w:t xml:space="preserve"> La Mecque ; 2-toute l’enceinte sacrée du temple de la Mecque ; 3-toute la ville de La Mecque ; 4-la </w:t>
      </w:r>
      <w:r w:rsidRPr="00B867DF">
        <w:rPr>
          <w:rFonts w:eastAsia="Times New Roman"/>
          <w:i/>
          <w:iCs/>
          <w:lang w:bidi="ar-AE"/>
        </w:rPr>
        <w:t>kaʿba</w:t>
      </w:r>
      <w:r w:rsidRPr="00B867DF">
        <w:rPr>
          <w:rFonts w:eastAsia="Times New Roman"/>
          <w:lang w:bidi="ar-AE"/>
        </w:rPr>
        <w:t xml:space="preserve"> du cœur (Ibn ʿArabī)</w:t>
      </w:r>
      <w:r w:rsidRPr="00B867DF">
        <w:rPr>
          <w:rFonts w:eastAsia="Times New Roman"/>
          <w:vertAlign w:val="superscript"/>
          <w:lang w:bidi="ar-AE"/>
        </w:rPr>
        <w:footnoteReference w:id="258"/>
      </w:r>
      <w:r w:rsidRPr="00B867DF">
        <w:rPr>
          <w:rFonts w:eastAsia="Times New Roman"/>
          <w:lang w:bidi="ar-AE"/>
        </w:rPr>
        <w:t>.</w:t>
      </w:r>
    </w:p>
    <w:p w14:paraId="07F270AC" w14:textId="77777777" w:rsidR="00296288" w:rsidRPr="00B867DF" w:rsidRDefault="00296288" w:rsidP="00296288">
      <w:pPr>
        <w:spacing w:line="360" w:lineRule="auto"/>
        <w:ind w:firstLine="708"/>
        <w:jc w:val="both"/>
        <w:rPr>
          <w:rFonts w:eastAsia="Times New Roman"/>
          <w:lang w:bidi="ar-AE"/>
        </w:rPr>
      </w:pPr>
    </w:p>
    <w:p w14:paraId="7AD92A8E" w14:textId="77777777" w:rsidR="00296288" w:rsidRPr="000E3326"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rtl/>
          <w:lang w:eastAsia="fr-FR" w:bidi="ar-AE"/>
        </w:rPr>
      </w:pPr>
      <w:r w:rsidRPr="000E3326">
        <w:rPr>
          <w:rFonts w:ascii="Times New Roman" w:hAnsi="Times New Roman" w:cs="Times New Roman"/>
          <w:b/>
          <w:bCs/>
          <w:sz w:val="24"/>
          <w:szCs w:val="24"/>
          <w:lang w:eastAsia="fr-FR" w:bidi="ar-AE"/>
        </w:rPr>
        <w:t xml:space="preserve">Polémique juridique autour des mots </w:t>
      </w:r>
      <w:r w:rsidRPr="000E3326">
        <w:rPr>
          <w:rFonts w:ascii="Times New Roman" w:hAnsi="Times New Roman" w:cs="Times New Roman"/>
          <w:b/>
          <w:bCs/>
          <w:i/>
          <w:iCs/>
          <w:sz w:val="24"/>
          <w:szCs w:val="24"/>
          <w:lang w:eastAsia="fr-FR" w:bidi="ar-AE"/>
        </w:rPr>
        <w:t>ʿākif</w:t>
      </w:r>
      <w:r w:rsidRPr="000E3326">
        <w:rPr>
          <w:rFonts w:ascii="Times New Roman" w:hAnsi="Times New Roman" w:cs="Times New Roman"/>
          <w:b/>
          <w:bCs/>
          <w:sz w:val="24"/>
          <w:szCs w:val="24"/>
          <w:lang w:eastAsia="fr-FR" w:bidi="ar-AE"/>
        </w:rPr>
        <w:t xml:space="preserve"> et </w:t>
      </w:r>
      <w:r w:rsidRPr="000E3326">
        <w:rPr>
          <w:rFonts w:ascii="Times New Roman" w:hAnsi="Times New Roman" w:cs="Times New Roman"/>
          <w:b/>
          <w:bCs/>
          <w:i/>
          <w:iCs/>
          <w:sz w:val="24"/>
          <w:szCs w:val="24"/>
          <w:lang w:eastAsia="fr-FR" w:bidi="ar-AE"/>
        </w:rPr>
        <w:t>bādī</w:t>
      </w:r>
      <w:r w:rsidRPr="000E3326">
        <w:rPr>
          <w:rFonts w:ascii="Times New Roman" w:hAnsi="Times New Roman" w:cs="Times New Roman"/>
          <w:b/>
          <w:bCs/>
          <w:sz w:val="24"/>
          <w:szCs w:val="24"/>
          <w:lang w:eastAsia="fr-FR" w:bidi="ar-AE"/>
        </w:rPr>
        <w:t xml:space="preserve"> (v. 25) :</w:t>
      </w:r>
    </w:p>
    <w:p w14:paraId="78429300"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Ces deux termes sont sujets à de nombreuses interprétations. Les significations exégétiques du terme</w:t>
      </w:r>
      <w:r>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ʿākif</w:t>
      </w:r>
      <w:r w:rsidRPr="00B867DF">
        <w:rPr>
          <w:rFonts w:asciiTheme="majorBidi" w:eastAsia="Times New Roman" w:hAnsiTheme="majorBidi" w:cstheme="majorBidi"/>
          <w:lang w:bidi="ar-AE"/>
        </w:rPr>
        <w:t xml:space="preserve"> [résidant] sont :</w:t>
      </w:r>
      <w:r>
        <w:rPr>
          <w:rFonts w:asciiTheme="majorBidi" w:eastAsia="Times New Roman" w:hAnsiTheme="majorBidi" w:cstheme="majorBidi"/>
          <w:lang w:bidi="ar-AE"/>
        </w:rPr>
        <w:t xml:space="preserve"> 1) </w:t>
      </w:r>
      <w:r w:rsidRPr="00B867DF">
        <w:rPr>
          <w:rFonts w:asciiTheme="majorBidi" w:eastAsia="Times New Roman" w:hAnsiTheme="majorBidi" w:cstheme="majorBidi"/>
          <w:lang w:bidi="ar-AE"/>
        </w:rPr>
        <w:t>habitant à La Mecque</w:t>
      </w:r>
      <w:r>
        <w:rPr>
          <w:rFonts w:asciiTheme="majorBidi" w:eastAsia="Times New Roman" w:hAnsiTheme="majorBidi" w:cstheme="majorBidi"/>
          <w:lang w:bidi="ar-AE"/>
        </w:rPr>
        <w:t xml:space="preserve"> ; 2) </w:t>
      </w:r>
      <w:r w:rsidRPr="00B867DF">
        <w:rPr>
          <w:rFonts w:asciiTheme="majorBidi" w:eastAsia="Times New Roman" w:hAnsiTheme="majorBidi" w:cstheme="majorBidi"/>
          <w:lang w:bidi="ar-AE"/>
        </w:rPr>
        <w:t>aborigène de La Mecque ; 3</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celui qui se trouve à La Mecque ; 4</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 xml:space="preserve">celui qui est proche du </w:t>
      </w:r>
      <w:r w:rsidRPr="00B867DF">
        <w:rPr>
          <w:rFonts w:asciiTheme="majorBidi" w:eastAsia="Times New Roman" w:hAnsiTheme="majorBidi" w:cstheme="majorBidi"/>
          <w:i/>
          <w:iCs/>
          <w:lang w:bidi="ar-AE"/>
        </w:rPr>
        <w:t>Masjid al-Ḥarām </w:t>
      </w:r>
      <w:r w:rsidRPr="00B867DF">
        <w:rPr>
          <w:rFonts w:asciiTheme="majorBidi" w:eastAsia="Times New Roman" w:hAnsiTheme="majorBidi" w:cstheme="majorBidi"/>
          <w:lang w:bidi="ar-AE"/>
        </w:rPr>
        <w:t>à La Mecque ; 5</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les forces intellectuelles et spirituelles qui y résident (Ibn ʿArabī).</w:t>
      </w:r>
    </w:p>
    <w:p w14:paraId="2D0E6C4D"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1D5D7ED8"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Les significations exégétiques du vocable </w:t>
      </w:r>
      <w:r w:rsidRPr="00B867DF">
        <w:rPr>
          <w:rFonts w:asciiTheme="majorBidi" w:eastAsia="Times New Roman" w:hAnsiTheme="majorBidi" w:cstheme="majorBidi"/>
          <w:i/>
          <w:iCs/>
          <w:lang w:bidi="ar-AE"/>
        </w:rPr>
        <w:t>bād[ī]</w:t>
      </w:r>
      <w:r w:rsidRPr="00B867DF">
        <w:rPr>
          <w:rFonts w:asciiTheme="majorBidi" w:eastAsia="Times New Roman" w:hAnsiTheme="majorBidi" w:cstheme="majorBidi"/>
          <w:lang w:bidi="ar-AE"/>
        </w:rPr>
        <w:t xml:space="preserve"> [itinérant] : 1</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 xml:space="preserve">celui qui visite le </w:t>
      </w:r>
      <w:r w:rsidRPr="00B867DF">
        <w:rPr>
          <w:rFonts w:asciiTheme="majorBidi" w:eastAsia="Times New Roman" w:hAnsiTheme="majorBidi" w:cstheme="majorBidi"/>
          <w:i/>
          <w:iCs/>
          <w:lang w:bidi="ar-AE"/>
        </w:rPr>
        <w:t>Masjid al-Ḥarām</w:t>
      </w:r>
      <w:r w:rsidRPr="00B867DF">
        <w:rPr>
          <w:rFonts w:asciiTheme="majorBidi" w:eastAsia="Times New Roman" w:hAnsiTheme="majorBidi" w:cstheme="majorBidi"/>
          <w:lang w:bidi="ar-AE"/>
        </w:rPr>
        <w:t xml:space="preserve"> sans être citoyen de La Mecque ; 2</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celui qui entre dans La M</w:t>
      </w:r>
      <w:r>
        <w:rPr>
          <w:rFonts w:asciiTheme="majorBidi" w:eastAsia="Times New Roman" w:hAnsiTheme="majorBidi" w:cstheme="majorBidi"/>
          <w:lang w:bidi="ar-AE"/>
        </w:rPr>
        <w:t xml:space="preserve">ecque sans en être habitant ; 3) le bédouin ; 4) </w:t>
      </w:r>
      <w:r w:rsidRPr="00B867DF">
        <w:rPr>
          <w:rFonts w:asciiTheme="majorBidi" w:eastAsia="Times New Roman" w:hAnsiTheme="majorBidi" w:cstheme="majorBidi"/>
          <w:lang w:bidi="ar-AE"/>
        </w:rPr>
        <w:t>celui qui arrive du désert ; 5</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celui qui hab</w:t>
      </w:r>
      <w:r>
        <w:rPr>
          <w:rFonts w:asciiTheme="majorBidi" w:eastAsia="Times New Roman" w:hAnsiTheme="majorBidi" w:cstheme="majorBidi"/>
          <w:lang w:bidi="ar-AE"/>
        </w:rPr>
        <w:t xml:space="preserve">ite loin dans d’autres pays ; 6) </w:t>
      </w:r>
      <w:r w:rsidRPr="00B867DF">
        <w:rPr>
          <w:rFonts w:asciiTheme="majorBidi" w:eastAsia="Times New Roman" w:hAnsiTheme="majorBidi" w:cstheme="majorBidi"/>
          <w:lang w:bidi="ar-AE"/>
        </w:rPr>
        <w:t>le lointain ; 7</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les forces psychologiques manifestes (Ibn ʿArabī).</w:t>
      </w:r>
    </w:p>
    <w:p w14:paraId="26D7F924"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467D974B"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Mais selon </w:t>
      </w:r>
      <w:r w:rsidRPr="00B867DF">
        <w:rPr>
          <w:rFonts w:asciiTheme="majorBidi" w:eastAsia="Times New Roman" w:hAnsiTheme="majorBidi" w:cstheme="majorBidi"/>
          <w:lang w:bidi="ar-EG"/>
        </w:rPr>
        <w:t>Ar-Rāzī, dans</w:t>
      </w:r>
      <w:r w:rsidRPr="00B867DF">
        <w:rPr>
          <w:rFonts w:asciiTheme="majorBidi" w:eastAsia="Times New Roman" w:hAnsiTheme="majorBidi" w:cstheme="majorBidi"/>
          <w:i/>
          <w:iCs/>
          <w:lang w:bidi="ar-EG"/>
        </w:rPr>
        <w:t xml:space="preserve"> At-Tafsīr Al-Kabīr</w:t>
      </w:r>
      <w:r w:rsidRPr="00B867DF">
        <w:rPr>
          <w:rFonts w:asciiTheme="majorBidi" w:eastAsia="Times New Roman" w:hAnsiTheme="majorBidi" w:cstheme="majorBidi"/>
          <w:lang w:bidi="ar-EG"/>
        </w:rPr>
        <w:t>,</w:t>
      </w:r>
      <w:r w:rsidRPr="00B867DF">
        <w:rPr>
          <w:rFonts w:asciiTheme="majorBidi" w:eastAsia="Times New Roman" w:hAnsiTheme="majorBidi" w:cstheme="majorBidi"/>
          <w:lang w:bidi="ar-AE"/>
        </w:rPr>
        <w:t xml:space="preserve"> Abū ʿAlī Al-Fārisī souligne que les deux mots (</w:t>
      </w:r>
      <w:r w:rsidRPr="00B867DF">
        <w:rPr>
          <w:rFonts w:asciiTheme="majorBidi" w:eastAsia="Times New Roman" w:hAnsiTheme="majorBidi" w:cstheme="majorBidi"/>
          <w:i/>
          <w:iCs/>
          <w:lang w:bidi="ar-AE"/>
        </w:rPr>
        <w:t>al-ʿākif</w:t>
      </w:r>
      <w:r w:rsidRPr="00B867DF">
        <w:rPr>
          <w:rFonts w:asciiTheme="majorBidi" w:eastAsia="Times New Roman" w:hAnsiTheme="majorBidi" w:cstheme="majorBidi"/>
          <w:lang w:bidi="ar-AE"/>
        </w:rPr>
        <w:t xml:space="preserve"> et </w:t>
      </w:r>
      <w:r w:rsidRPr="00B867DF">
        <w:rPr>
          <w:rFonts w:asciiTheme="majorBidi" w:eastAsia="Times New Roman" w:hAnsiTheme="majorBidi" w:cstheme="majorBidi"/>
          <w:i/>
          <w:iCs/>
          <w:lang w:bidi="ar-AE"/>
        </w:rPr>
        <w:t>al-bādī</w:t>
      </w:r>
      <w:r w:rsidRPr="00B867DF">
        <w:rPr>
          <w:rFonts w:asciiTheme="majorBidi" w:eastAsia="Times New Roman" w:hAnsiTheme="majorBidi" w:cstheme="majorBidi"/>
          <w:lang w:bidi="ar-AE"/>
        </w:rPr>
        <w:t>) désignent tous les hommes en général.</w:t>
      </w:r>
    </w:p>
    <w:p w14:paraId="5B220172"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429E4D27" w14:textId="77777777" w:rsidR="00296288"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Cependant, ces deux substantifs </w:t>
      </w:r>
      <w:r w:rsidRPr="00B867DF">
        <w:rPr>
          <w:rFonts w:asciiTheme="majorBidi" w:eastAsia="Times New Roman" w:hAnsiTheme="majorBidi" w:cstheme="majorBidi"/>
          <w:i/>
          <w:iCs/>
          <w:lang w:bidi="ar-AE"/>
        </w:rPr>
        <w:t>ʿākif</w:t>
      </w:r>
      <w:r w:rsidRPr="00B867DF">
        <w:rPr>
          <w:rFonts w:asciiTheme="majorBidi" w:eastAsia="Times New Roman" w:hAnsiTheme="majorBidi" w:cstheme="majorBidi"/>
          <w:lang w:bidi="ar-AE"/>
        </w:rPr>
        <w:t xml:space="preserve"> [résidant] et </w:t>
      </w:r>
      <w:r w:rsidRPr="00B867DF">
        <w:rPr>
          <w:rFonts w:asciiTheme="majorBidi" w:eastAsia="Times New Roman" w:hAnsiTheme="majorBidi" w:cstheme="majorBidi"/>
          <w:i/>
          <w:iCs/>
          <w:lang w:bidi="ar-AE"/>
        </w:rPr>
        <w:t>bād[ī]</w:t>
      </w:r>
      <w:r w:rsidRPr="00B867DF">
        <w:rPr>
          <w:rFonts w:asciiTheme="majorBidi" w:eastAsia="Times New Roman" w:hAnsiTheme="majorBidi" w:cstheme="majorBidi"/>
          <w:lang w:bidi="ar-AE"/>
        </w:rPr>
        <w:t xml:space="preserve"> [itinérant] ont conduit à une longue polémique à propos de la légalité de la propriété immobilière à La Mecque pour un non-mecquois. L’exégète Ibn Kathīr (m. 1373) rapporte que le juriste Ash-Shāfiʿī tolère le droit à la propriété, à l’héritage et à la location (« </w:t>
      </w:r>
      <w:r>
        <w:rPr>
          <w:rFonts w:asciiTheme="majorBidi" w:eastAsia="Times New Roman" w:hAnsiTheme="majorBidi" w:cstheme="majorBidi" w:hint="cs"/>
          <w:rtl/>
          <w:lang w:bidi="ar-AE"/>
        </w:rPr>
        <w:t>رِباع مكّة تُمَلَّك وتورَّث وتؤجَّر</w:t>
      </w:r>
      <w:r w:rsidRPr="00B867DF">
        <w:rPr>
          <w:rFonts w:asciiTheme="majorBidi" w:eastAsia="Times New Roman" w:hAnsiTheme="majorBidi" w:cstheme="majorBidi"/>
        </w:rPr>
        <w:t xml:space="preserve"> » </w:t>
      </w:r>
      <w:r w:rsidRPr="00B867DF">
        <w:rPr>
          <w:rFonts w:asciiTheme="majorBidi" w:hAnsiTheme="majorBidi" w:cstheme="majorBidi"/>
        </w:rPr>
        <w:t>[</w:t>
      </w:r>
      <w:r w:rsidRPr="00B867DF">
        <w:rPr>
          <w:rFonts w:asciiTheme="majorBidi" w:eastAsia="Times New Roman" w:hAnsiTheme="majorBidi" w:cstheme="majorBidi"/>
        </w:rPr>
        <w:t>Les biens immobiliers de la Mecque s’acquièrent, sont objet d’héritage et se louent</w:t>
      </w:r>
      <w:r w:rsidRPr="00B867DF">
        <w:rPr>
          <w:rFonts w:asciiTheme="majorBidi" w:hAnsiTheme="majorBidi" w:cstheme="majorBidi"/>
        </w:rPr>
        <w:t>]</w:t>
      </w:r>
      <w:r w:rsidRPr="00B867DF">
        <w:rPr>
          <w:rFonts w:asciiTheme="majorBidi" w:eastAsia="Times New Roman" w:hAnsiTheme="majorBidi" w:cstheme="majorBidi"/>
          <w:lang w:bidi="ar-AE"/>
        </w:rPr>
        <w:t xml:space="preserve">, qu’Isḥāq Ibn Rāhawayh interdit seulement le droit à la location et que </w:t>
      </w:r>
      <w:r w:rsidRPr="00B867DF">
        <w:rPr>
          <w:rFonts w:asciiTheme="majorBidi" w:eastAsia="Times New Roman" w:hAnsiTheme="majorBidi" w:cstheme="majorBidi"/>
        </w:rPr>
        <w:t>ʿAbdallāh ibn ʿAmr interdit la vente et la location des biens immobiliers mecquois.</w:t>
      </w:r>
    </w:p>
    <w:p w14:paraId="4E02A9BC"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57365F99" w14:textId="77777777" w:rsidR="00296288" w:rsidRPr="00B867DF" w:rsidRDefault="00296288" w:rsidP="00296288">
      <w:pPr>
        <w:spacing w:line="360" w:lineRule="auto"/>
        <w:contextualSpacing/>
        <w:jc w:val="both"/>
        <w:rPr>
          <w:rFonts w:asciiTheme="majorBidi" w:eastAsia="Calibri" w:hAnsiTheme="majorBidi" w:cstheme="majorBidi"/>
          <w:lang w:bidi="ar-AE"/>
        </w:rPr>
      </w:pPr>
    </w:p>
    <w:p w14:paraId="5BFE434D" w14:textId="77777777" w:rsidR="00296288" w:rsidRPr="00C74297" w:rsidRDefault="00296288" w:rsidP="007640DC">
      <w:pPr>
        <w:pStyle w:val="Paragraphedeliste"/>
        <w:numPr>
          <w:ilvl w:val="0"/>
          <w:numId w:val="62"/>
        </w:numPr>
        <w:bidi w:val="0"/>
        <w:spacing w:after="0" w:line="360" w:lineRule="auto"/>
        <w:contextualSpacing/>
        <w:jc w:val="both"/>
        <w:rPr>
          <w:rFonts w:asciiTheme="majorBidi" w:eastAsia="Calibri" w:hAnsiTheme="majorBidi" w:cstheme="majorBidi"/>
          <w:b/>
          <w:bCs/>
          <w:sz w:val="24"/>
          <w:szCs w:val="24"/>
          <w:lang w:bidi="ar-AE"/>
        </w:rPr>
      </w:pPr>
      <w:r w:rsidRPr="00C74297">
        <w:rPr>
          <w:rFonts w:asciiTheme="majorBidi" w:eastAsia="Calibri" w:hAnsiTheme="majorBidi" w:cstheme="majorBidi"/>
          <w:b/>
          <w:bCs/>
          <w:sz w:val="24"/>
          <w:szCs w:val="24"/>
          <w:lang w:bidi="ar-AE"/>
        </w:rPr>
        <w:t>Le sens du verbe</w:t>
      </w:r>
      <w:r w:rsidRPr="00C74297">
        <w:rPr>
          <w:rFonts w:asciiTheme="majorBidi" w:eastAsia="Calibri" w:hAnsiTheme="majorBidi" w:cstheme="majorBidi"/>
          <w:b/>
          <w:bCs/>
          <w:i/>
          <w:iCs/>
          <w:sz w:val="24"/>
          <w:szCs w:val="24"/>
          <w:lang w:bidi="ar-AE"/>
        </w:rPr>
        <w:t xml:space="preserve"> tushrik</w:t>
      </w:r>
      <w:r w:rsidRPr="00C74297">
        <w:rPr>
          <w:rFonts w:asciiTheme="majorBidi" w:eastAsia="Calibri" w:hAnsiTheme="majorBidi" w:cstheme="majorBidi"/>
          <w:b/>
          <w:bCs/>
          <w:sz w:val="24"/>
          <w:szCs w:val="24"/>
          <w:lang w:bidi="ar-AE"/>
        </w:rPr>
        <w:t xml:space="preserve"> (v. 26) :</w:t>
      </w:r>
    </w:p>
    <w:p w14:paraId="4468CF31" w14:textId="77777777" w:rsidR="00296288" w:rsidRPr="00B867DF" w:rsidRDefault="00296288" w:rsidP="00296288">
      <w:pPr>
        <w:spacing w:line="360" w:lineRule="auto"/>
        <w:ind w:firstLine="360"/>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Sans tenir compte du sujet de ce verbe (le prophète Abraham ou le prophète Muḥammad), la question qui se pose ici est comment la suivante : Dieu dit à un prophète qui est censé l’exemple du monothéisme : « Ne M’attribue pas des associés » ? Les exégètes ont donc donné plusieurs significations au verbe à l’impératif négatif (</w:t>
      </w:r>
      <w:r w:rsidRPr="00B867DF">
        <w:rPr>
          <w:rFonts w:asciiTheme="majorBidi" w:eastAsia="Calibri" w:hAnsiTheme="majorBidi" w:cstheme="majorBidi"/>
          <w:i/>
          <w:iCs/>
          <w:lang w:bidi="ar-AE"/>
        </w:rPr>
        <w:t xml:space="preserve">lā </w:t>
      </w:r>
      <w:r w:rsidRPr="00B867DF">
        <w:rPr>
          <w:rFonts w:asciiTheme="majorBidi" w:eastAsia="Calibri" w:hAnsiTheme="majorBidi" w:cstheme="majorBidi"/>
          <w:b/>
          <w:bCs/>
          <w:i/>
          <w:iCs/>
          <w:lang w:bidi="ar-AE"/>
        </w:rPr>
        <w:t>t</w:t>
      </w:r>
      <w:r w:rsidRPr="00B867DF">
        <w:rPr>
          <w:rFonts w:asciiTheme="majorBidi" w:eastAsia="Calibri" w:hAnsiTheme="majorBidi" w:cstheme="majorBidi"/>
          <w:i/>
          <w:iCs/>
          <w:lang w:bidi="ar-AE"/>
        </w:rPr>
        <w:t>ushrik bī</w:t>
      </w:r>
      <w:r w:rsidRPr="00B867DF">
        <w:rPr>
          <w:rFonts w:asciiTheme="majorBidi" w:eastAsia="Calibri" w:hAnsiTheme="majorBidi" w:cstheme="majorBidi"/>
          <w:lang w:bidi="ar-AE"/>
        </w:rPr>
        <w:t>) [« ne M’associe personne »] :</w:t>
      </w:r>
    </w:p>
    <w:p w14:paraId="03E16C10" w14:textId="77777777" w:rsidR="00296288" w:rsidRPr="00B867DF" w:rsidRDefault="00296288" w:rsidP="007640DC">
      <w:pPr>
        <w:numPr>
          <w:ilvl w:val="0"/>
          <w:numId w:val="37"/>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ne prends pas des associés quand tu M’adores ;</w:t>
      </w:r>
    </w:p>
    <w:p w14:paraId="79FB4C72" w14:textId="77777777" w:rsidR="00296288" w:rsidRPr="00B867DF" w:rsidRDefault="00296288" w:rsidP="007640DC">
      <w:pPr>
        <w:numPr>
          <w:ilvl w:val="0"/>
          <w:numId w:val="37"/>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construits la Maison sacrée en mon seul nom ;</w:t>
      </w:r>
    </w:p>
    <w:p w14:paraId="38B098D1" w14:textId="77777777" w:rsidR="00296288" w:rsidRPr="00B867DF" w:rsidRDefault="00296288" w:rsidP="007640DC">
      <w:pPr>
        <w:numPr>
          <w:ilvl w:val="0"/>
          <w:numId w:val="37"/>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crois en Moi comme le dieu unique (</w:t>
      </w:r>
      <w:r w:rsidRPr="00B867DF">
        <w:rPr>
          <w:rFonts w:asciiTheme="majorBidi" w:eastAsia="Calibri" w:hAnsiTheme="majorBidi" w:cstheme="majorBidi"/>
          <w:i/>
          <w:iCs/>
          <w:lang w:bidi="ar-AE"/>
        </w:rPr>
        <w:t>waḥḥid-nī</w:t>
      </w:r>
      <w:r w:rsidRPr="00B867DF">
        <w:rPr>
          <w:rFonts w:asciiTheme="majorBidi" w:eastAsia="Calibri" w:hAnsiTheme="majorBidi" w:cstheme="majorBidi"/>
          <w:lang w:bidi="ar-AE"/>
        </w:rPr>
        <w:t>) ;</w:t>
      </w:r>
    </w:p>
    <w:p w14:paraId="69E356E0" w14:textId="77777777" w:rsidR="00296288" w:rsidRPr="00B867DF" w:rsidRDefault="00296288" w:rsidP="007640DC">
      <w:pPr>
        <w:numPr>
          <w:ilvl w:val="0"/>
          <w:numId w:val="37"/>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n’aime pas d’autre que Moi (n’associe pas ton amour pour ton fils Ismaïl à ton amour pour Moi).</w:t>
      </w:r>
    </w:p>
    <w:p w14:paraId="5188BE1E" w14:textId="77777777" w:rsidR="00296288" w:rsidRPr="00B867DF" w:rsidRDefault="00296288" w:rsidP="00296288">
      <w:pPr>
        <w:spacing w:line="360" w:lineRule="auto"/>
        <w:contextualSpacing/>
        <w:jc w:val="both"/>
        <w:rPr>
          <w:rFonts w:asciiTheme="majorBidi" w:eastAsia="Calibri" w:hAnsiTheme="majorBidi" w:cstheme="majorBidi"/>
          <w:lang w:bidi="ar-AE"/>
        </w:rPr>
      </w:pPr>
    </w:p>
    <w:p w14:paraId="05F27093" w14:textId="77777777" w:rsidR="00296288" w:rsidRPr="00B867DF" w:rsidRDefault="00296288" w:rsidP="00296288">
      <w:pPr>
        <w:spacing w:line="360" w:lineRule="auto"/>
        <w:ind w:firstLine="360"/>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Quant à l’injonction </w:t>
      </w:r>
      <w:r w:rsidRPr="00B867DF">
        <w:rPr>
          <w:rFonts w:asciiTheme="majorBidi" w:eastAsia="Calibri" w:hAnsiTheme="majorBidi" w:cstheme="majorBidi"/>
          <w:i/>
          <w:iCs/>
          <w:lang w:bidi="ar-AE"/>
        </w:rPr>
        <w:t>ṭahhir baytī</w:t>
      </w:r>
      <w:r w:rsidRPr="00B867DF">
        <w:rPr>
          <w:rFonts w:asciiTheme="majorBidi" w:eastAsia="Calibri" w:hAnsiTheme="majorBidi" w:cstheme="majorBidi"/>
          <w:lang w:bidi="ar-AE"/>
        </w:rPr>
        <w:t xml:space="preserve"> [purifie Ma Maison], les exégètes ont fourni deux niveaux de signification :</w:t>
      </w:r>
    </w:p>
    <w:p w14:paraId="40D56B8D" w14:textId="77777777" w:rsidR="00296288" w:rsidRPr="00B867DF" w:rsidRDefault="00296288" w:rsidP="007640DC">
      <w:pPr>
        <w:pStyle w:val="Paragraphedeliste"/>
        <w:numPr>
          <w:ilvl w:val="0"/>
          <w:numId w:val="42"/>
        </w:numPr>
        <w:bidi w:val="0"/>
        <w:spacing w:after="0" w:line="360" w:lineRule="auto"/>
        <w:contextualSpacing/>
        <w:jc w:val="both"/>
        <w:rPr>
          <w:rFonts w:asciiTheme="majorBidi" w:eastAsia="Calibri" w:hAnsiTheme="majorBidi" w:cstheme="majorBidi"/>
          <w:sz w:val="24"/>
          <w:szCs w:val="24"/>
          <w:lang w:bidi="ar-AE"/>
        </w:rPr>
      </w:pPr>
      <w:r w:rsidRPr="00B867DF">
        <w:rPr>
          <w:rFonts w:asciiTheme="majorBidi" w:eastAsia="Calibri" w:hAnsiTheme="majorBidi" w:cstheme="majorBidi"/>
          <w:sz w:val="24"/>
          <w:szCs w:val="24"/>
          <w:lang w:bidi="ar-AE"/>
        </w:rPr>
        <w:t xml:space="preserve">niveau concret : nettoyer la </w:t>
      </w:r>
      <w:r w:rsidRPr="00B867DF">
        <w:rPr>
          <w:rFonts w:asciiTheme="majorBidi" w:eastAsia="Calibri" w:hAnsiTheme="majorBidi" w:cstheme="majorBidi"/>
          <w:i/>
          <w:iCs/>
          <w:sz w:val="24"/>
          <w:szCs w:val="24"/>
          <w:lang w:bidi="ar-AE"/>
        </w:rPr>
        <w:t>Kaʿba</w:t>
      </w:r>
      <w:r w:rsidRPr="00B867DF">
        <w:rPr>
          <w:rFonts w:asciiTheme="majorBidi" w:eastAsia="Calibri" w:hAnsiTheme="majorBidi" w:cstheme="majorBidi"/>
          <w:sz w:val="24"/>
          <w:szCs w:val="24"/>
          <w:lang w:bidi="ar-AE"/>
        </w:rPr>
        <w:t xml:space="preserve"> en évacuant les ordures et le sang des sacrifices ;</w:t>
      </w:r>
    </w:p>
    <w:p w14:paraId="568BEA3F" w14:textId="77777777" w:rsidR="00296288" w:rsidRPr="00425751" w:rsidRDefault="00296288" w:rsidP="007640DC">
      <w:pPr>
        <w:pStyle w:val="Paragraphedeliste"/>
        <w:numPr>
          <w:ilvl w:val="0"/>
          <w:numId w:val="42"/>
        </w:numPr>
        <w:bidi w:val="0"/>
        <w:spacing w:after="0" w:line="360" w:lineRule="auto"/>
        <w:contextualSpacing/>
        <w:jc w:val="both"/>
        <w:rPr>
          <w:rFonts w:asciiTheme="majorBidi" w:eastAsia="Calibri" w:hAnsiTheme="majorBidi" w:cstheme="majorBidi"/>
          <w:sz w:val="24"/>
          <w:szCs w:val="24"/>
          <w:lang w:bidi="ar-AE"/>
        </w:rPr>
      </w:pPr>
      <w:r w:rsidRPr="00B867DF">
        <w:rPr>
          <w:rFonts w:asciiTheme="majorBidi" w:eastAsia="Calibri" w:hAnsiTheme="majorBidi" w:cstheme="majorBidi"/>
          <w:sz w:val="24"/>
          <w:szCs w:val="24"/>
          <w:lang w:bidi="ar-AE"/>
        </w:rPr>
        <w:t xml:space="preserve">niveau abstrait : purger la </w:t>
      </w:r>
      <w:r w:rsidRPr="00B867DF">
        <w:rPr>
          <w:rFonts w:asciiTheme="majorBidi" w:eastAsia="Calibri" w:hAnsiTheme="majorBidi" w:cstheme="majorBidi"/>
          <w:i/>
          <w:iCs/>
          <w:sz w:val="24"/>
          <w:szCs w:val="24"/>
          <w:lang w:bidi="ar-AE"/>
        </w:rPr>
        <w:t>Kaʿba</w:t>
      </w:r>
      <w:r w:rsidRPr="00B867DF">
        <w:rPr>
          <w:rFonts w:asciiTheme="majorBidi" w:eastAsia="Calibri" w:hAnsiTheme="majorBidi" w:cstheme="majorBidi"/>
          <w:sz w:val="24"/>
          <w:szCs w:val="24"/>
          <w:lang w:bidi="ar-AE"/>
        </w:rPr>
        <w:t xml:space="preserve"> des idoles et du paganisme. Parmi les connotations abstraites, nous trouvons : 1-une interprétation </w:t>
      </w:r>
      <w:r w:rsidRPr="00425751">
        <w:rPr>
          <w:rFonts w:asciiTheme="majorBidi" w:eastAsia="Calibri" w:hAnsiTheme="majorBidi" w:cstheme="majorBidi"/>
          <w:sz w:val="24"/>
          <w:szCs w:val="24"/>
          <w:lang w:bidi="ar-AE"/>
        </w:rPr>
        <w:t>sociopolitique collective : l’idée de purger l’endroit de la Maison sacrée de toute sorte de d’hérésie</w:t>
      </w:r>
      <w:r w:rsidRPr="00425751">
        <w:rPr>
          <w:rFonts w:asciiTheme="majorBidi" w:hAnsiTheme="majorBidi" w:cstheme="majorBidi"/>
          <w:sz w:val="24"/>
          <w:szCs w:val="24"/>
          <w:vertAlign w:val="superscript"/>
          <w:lang w:bidi="ar-AE"/>
        </w:rPr>
        <w:footnoteReference w:id="259"/>
      </w:r>
      <w:r w:rsidRPr="00425751">
        <w:rPr>
          <w:rFonts w:asciiTheme="majorBidi" w:eastAsia="Calibri" w:hAnsiTheme="majorBidi" w:cstheme="majorBidi"/>
          <w:sz w:val="24"/>
          <w:szCs w:val="24"/>
          <w:lang w:bidi="ar-AE"/>
        </w:rPr>
        <w:t xml:space="preserve"> ; et 2-une interprétation individuelle mystique : l’idée de purifier le cœur et l’esprit (Shaykhū et Ibn ʿArabī). Selon le sens mystique, le mot </w:t>
      </w:r>
      <w:r w:rsidRPr="00425751">
        <w:rPr>
          <w:rFonts w:asciiTheme="majorBidi" w:eastAsia="Calibri" w:hAnsiTheme="majorBidi" w:cstheme="majorBidi"/>
          <w:i/>
          <w:iCs/>
          <w:sz w:val="24"/>
          <w:szCs w:val="24"/>
          <w:lang w:bidi="ar-AE"/>
        </w:rPr>
        <w:t>baytī</w:t>
      </w:r>
      <w:r w:rsidRPr="00425751">
        <w:rPr>
          <w:rFonts w:asciiTheme="majorBidi" w:eastAsia="Calibri" w:hAnsiTheme="majorBidi" w:cstheme="majorBidi"/>
          <w:sz w:val="24"/>
          <w:szCs w:val="24"/>
          <w:lang w:bidi="ar-AE"/>
        </w:rPr>
        <w:t xml:space="preserve"> [Ma Maison] désigne le cœur du croyant, se référant à un hadith</w:t>
      </w:r>
      <w:r w:rsidRPr="00425751">
        <w:rPr>
          <w:rStyle w:val="Appelnotedebasdep"/>
          <w:rFonts w:asciiTheme="majorBidi" w:eastAsia="Calibri" w:hAnsiTheme="majorBidi" w:cstheme="majorBidi"/>
          <w:lang w:bidi="ar-AE"/>
        </w:rPr>
        <w:footnoteReference w:id="260"/>
      </w:r>
      <w:r w:rsidRPr="00425751">
        <w:rPr>
          <w:rFonts w:asciiTheme="majorBidi" w:eastAsia="Calibri" w:hAnsiTheme="majorBidi" w:cstheme="majorBidi"/>
          <w:sz w:val="24"/>
          <w:szCs w:val="24"/>
          <w:lang w:bidi="ar-AE"/>
        </w:rPr>
        <w:t xml:space="preserve"> disant : « Le cœur est la maison du Seigneur » </w:t>
      </w:r>
      <w:r w:rsidRPr="00425751">
        <w:rPr>
          <w:rFonts w:asciiTheme="majorBidi" w:hAnsiTheme="majorBidi" w:cstheme="majorBidi"/>
          <w:sz w:val="24"/>
          <w:szCs w:val="24"/>
        </w:rPr>
        <w:t>[</w:t>
      </w:r>
      <w:r w:rsidRPr="00425751">
        <w:rPr>
          <w:rFonts w:asciiTheme="majorBidi" w:eastAsia="Calibri" w:hAnsiTheme="majorBidi" w:cstheme="majorBidi"/>
          <w:sz w:val="24"/>
          <w:szCs w:val="24"/>
          <w:lang w:bidi="ar-AE"/>
        </w:rPr>
        <w:t>« </w:t>
      </w:r>
      <w:r w:rsidRPr="00425751">
        <w:rPr>
          <w:rFonts w:asciiTheme="majorBidi" w:eastAsia="Calibri" w:hAnsiTheme="majorBidi" w:cstheme="majorBidi"/>
          <w:i/>
          <w:iCs/>
          <w:sz w:val="24"/>
          <w:szCs w:val="24"/>
          <w:lang w:bidi="ar-AE"/>
        </w:rPr>
        <w:t>Al-qalb bayt ar-rabb</w:t>
      </w:r>
      <w:r w:rsidRPr="00425751">
        <w:rPr>
          <w:rFonts w:asciiTheme="majorBidi" w:eastAsia="Calibri" w:hAnsiTheme="majorBidi" w:cstheme="majorBidi"/>
          <w:sz w:val="24"/>
          <w:szCs w:val="24"/>
          <w:lang w:bidi="ar-AE"/>
        </w:rPr>
        <w:t> »</w:t>
      </w:r>
      <w:r w:rsidRPr="00425751">
        <w:rPr>
          <w:rFonts w:asciiTheme="majorBidi" w:hAnsiTheme="majorBidi" w:cstheme="majorBidi"/>
          <w:sz w:val="24"/>
          <w:szCs w:val="24"/>
        </w:rPr>
        <w:t>]</w:t>
      </w:r>
      <w:r w:rsidRPr="00425751">
        <w:rPr>
          <w:rFonts w:asciiTheme="majorBidi" w:eastAsia="Calibri" w:hAnsiTheme="majorBidi" w:cstheme="majorBidi"/>
          <w:sz w:val="24"/>
          <w:szCs w:val="24"/>
          <w:lang w:bidi="ar-AE"/>
        </w:rPr>
        <w:t>.</w:t>
      </w:r>
    </w:p>
    <w:p w14:paraId="50A64D8D" w14:textId="77777777" w:rsidR="00296288" w:rsidRPr="00425751" w:rsidRDefault="00296288" w:rsidP="00296288">
      <w:pPr>
        <w:spacing w:line="360" w:lineRule="auto"/>
        <w:contextualSpacing/>
        <w:jc w:val="both"/>
        <w:rPr>
          <w:rFonts w:asciiTheme="majorBidi" w:eastAsia="Calibri" w:hAnsiTheme="majorBidi" w:cstheme="majorBidi"/>
          <w:lang w:bidi="ar-KW"/>
        </w:rPr>
      </w:pPr>
    </w:p>
    <w:p w14:paraId="16F9EBD3" w14:textId="41628FBE" w:rsidR="00296288" w:rsidRPr="00B867DF" w:rsidRDefault="00296288" w:rsidP="00296288">
      <w:pPr>
        <w:spacing w:line="360" w:lineRule="auto"/>
        <w:ind w:firstLine="360"/>
        <w:contextualSpacing/>
        <w:jc w:val="both"/>
        <w:rPr>
          <w:rFonts w:asciiTheme="majorBidi" w:eastAsia="Times New Roman" w:hAnsiTheme="majorBidi" w:cstheme="majorBidi"/>
        </w:rPr>
      </w:pPr>
      <w:r w:rsidRPr="00B867DF">
        <w:rPr>
          <w:rFonts w:asciiTheme="majorBidi" w:eastAsia="Calibri" w:hAnsiTheme="majorBidi" w:cstheme="majorBidi"/>
          <w:lang w:bidi="ar-KW"/>
        </w:rPr>
        <w:t>L’idée de « purifier Ma Maison » (</w:t>
      </w:r>
      <w:r w:rsidRPr="00B867DF">
        <w:rPr>
          <w:rFonts w:asciiTheme="majorBidi" w:eastAsia="Calibri" w:hAnsiTheme="majorBidi" w:cstheme="majorBidi"/>
          <w:i/>
          <w:iCs/>
          <w:lang w:bidi="ar-AE"/>
        </w:rPr>
        <w:t>ṭahhir baytī</w:t>
      </w:r>
      <w:r w:rsidRPr="00B867DF">
        <w:rPr>
          <w:rFonts w:asciiTheme="majorBidi" w:eastAsia="Calibri" w:hAnsiTheme="majorBidi" w:cstheme="majorBidi"/>
          <w:lang w:bidi="ar-AE"/>
        </w:rPr>
        <w:t xml:space="preserve">) </w:t>
      </w:r>
      <w:r w:rsidRPr="00B867DF">
        <w:rPr>
          <w:rFonts w:asciiTheme="majorBidi" w:eastAsia="Calibri" w:hAnsiTheme="majorBidi" w:cstheme="majorBidi"/>
          <w:lang w:bidi="ar-KW"/>
        </w:rPr>
        <w:t xml:space="preserve">s’est élargie après la victoire de Muḥammad et avec l’expansion de l’islam pour signifier l’épuration ethnique. Juste avant sa mort, Muḥammad a ordonné non seulement de purger la </w:t>
      </w:r>
      <w:r w:rsidRPr="00B867DF">
        <w:rPr>
          <w:rFonts w:asciiTheme="majorBidi" w:eastAsia="Calibri" w:hAnsiTheme="majorBidi" w:cstheme="majorBidi"/>
          <w:i/>
          <w:iCs/>
          <w:lang w:bidi="ar-KW"/>
        </w:rPr>
        <w:t>Kaʿba</w:t>
      </w:r>
      <w:r w:rsidRPr="00B867DF">
        <w:rPr>
          <w:rFonts w:asciiTheme="majorBidi" w:eastAsia="Calibri" w:hAnsiTheme="majorBidi" w:cstheme="majorBidi"/>
          <w:lang w:bidi="ar-KW"/>
        </w:rPr>
        <w:t xml:space="preserve">, mais aussi de purger toute la péninsule Arabique qui abrite la </w:t>
      </w:r>
      <w:r w:rsidRPr="00B867DF">
        <w:rPr>
          <w:rFonts w:asciiTheme="majorBidi" w:eastAsia="Calibri" w:hAnsiTheme="majorBidi" w:cstheme="majorBidi"/>
          <w:i/>
          <w:iCs/>
          <w:lang w:bidi="ar-KW"/>
        </w:rPr>
        <w:t>Kaʿba</w:t>
      </w:r>
      <w:r w:rsidRPr="00B867DF">
        <w:rPr>
          <w:rFonts w:asciiTheme="majorBidi" w:eastAsia="Calibri" w:hAnsiTheme="majorBidi" w:cstheme="majorBidi"/>
          <w:lang w:bidi="ar-KW"/>
        </w:rPr>
        <w:t xml:space="preserve"> et l’islam et par la suite d’expulser tous les non-musulmans de l’Arabie. </w:t>
      </w:r>
      <w:r w:rsidRPr="00B867DF">
        <w:rPr>
          <w:rFonts w:asciiTheme="majorBidi" w:eastAsia="Times New Roman" w:hAnsiTheme="majorBidi" w:cstheme="majorBidi"/>
          <w:shd w:val="clear" w:color="auto" w:fill="FFFFFF"/>
        </w:rPr>
        <w:t>Les dernières paroles de Muḥammad sur son lit de mort furent : «</w:t>
      </w:r>
      <w:r w:rsidRPr="00B867DF">
        <w:rPr>
          <w:rFonts w:asciiTheme="majorBidi" w:eastAsia="Times New Roman" w:hAnsiTheme="majorBidi" w:cstheme="majorBidi"/>
        </w:rPr>
        <w:t> Expulsez les païens </w:t>
      </w:r>
      <w:r w:rsidRPr="00B867DF">
        <w:rPr>
          <w:rFonts w:asciiTheme="majorBidi" w:eastAsia="Times New Roman" w:hAnsiTheme="majorBidi" w:cstheme="majorBidi"/>
          <w:shd w:val="clear" w:color="auto" w:fill="FFFFFF"/>
        </w:rPr>
        <w:t>(</w:t>
      </w:r>
      <w:r w:rsidRPr="00B867DF">
        <w:rPr>
          <w:rFonts w:asciiTheme="majorBidi" w:eastAsia="Times New Roman" w:hAnsiTheme="majorBidi" w:cstheme="majorBidi"/>
          <w:i/>
          <w:iCs/>
          <w:shd w:val="clear" w:color="auto" w:fill="FFFFFF"/>
        </w:rPr>
        <w:t>al-mushrikīn</w:t>
      </w:r>
      <w:r w:rsidRPr="00B867DF">
        <w:rPr>
          <w:rFonts w:asciiTheme="majorBidi" w:eastAsia="Times New Roman" w:hAnsiTheme="majorBidi" w:cstheme="majorBidi"/>
          <w:shd w:val="clear" w:color="auto" w:fill="FFFFFF"/>
        </w:rPr>
        <w:t>) de la</w:t>
      </w:r>
      <w:r w:rsidRPr="00B867DF">
        <w:rPr>
          <w:rFonts w:asciiTheme="majorBidi" w:eastAsia="Times New Roman" w:hAnsiTheme="majorBidi" w:cstheme="majorBidi"/>
        </w:rPr>
        <w:t> péninsule Arabique</w:t>
      </w:r>
      <w:r w:rsidRPr="00B867DF">
        <w:rPr>
          <w:rFonts w:asciiTheme="majorBidi" w:eastAsia="Times New Roman" w:hAnsiTheme="majorBidi" w:cstheme="majorBidi"/>
          <w:shd w:val="clear" w:color="auto" w:fill="FFFFFF"/>
        </w:rPr>
        <w:t>. » (Al-Bukhārī et Muslim)</w:t>
      </w:r>
      <w:r w:rsidRPr="00B867DF">
        <w:rPr>
          <w:rFonts w:asciiTheme="majorBidi" w:eastAsia="Times New Roman" w:hAnsiTheme="majorBidi" w:cstheme="majorBidi"/>
        </w:rPr>
        <w:t xml:space="preserve">. Actuellement, </w:t>
      </w:r>
      <w:r w:rsidRPr="00B867DF">
        <w:rPr>
          <w:lang w:bidi="ar-AE"/>
        </w:rPr>
        <w:lastRenderedPageBreak/>
        <w:t xml:space="preserve">s’inspirant d’une interprétation de </w:t>
      </w:r>
      <w:r w:rsidRPr="00B867DF">
        <w:rPr>
          <w:rFonts w:asciiTheme="majorBidi" w:eastAsia="Calibri" w:hAnsiTheme="majorBidi" w:cstheme="majorBidi"/>
          <w:i/>
          <w:iCs/>
          <w:lang w:bidi="ar-AE"/>
        </w:rPr>
        <w:t>ṭahhir baytī</w:t>
      </w:r>
      <w:r w:rsidRPr="00B867DF">
        <w:rPr>
          <w:rFonts w:asciiTheme="majorBidi" w:eastAsia="Calibri" w:hAnsiTheme="majorBidi" w:cstheme="majorBidi"/>
          <w:lang w:bidi="ar-AE"/>
        </w:rPr>
        <w:t xml:space="preserve">, </w:t>
      </w:r>
      <w:r w:rsidRPr="00B867DF">
        <w:rPr>
          <w:lang w:bidi="ar-AE"/>
        </w:rPr>
        <w:t>les autorités saoudiennes</w:t>
      </w:r>
      <w:r w:rsidRPr="00B867DF">
        <w:rPr>
          <w:rFonts w:asciiTheme="majorBidi" w:eastAsia="Calibri" w:hAnsiTheme="majorBidi" w:cstheme="majorBidi"/>
          <w:lang w:bidi="ar-AE"/>
        </w:rPr>
        <w:t xml:space="preserve"> </w:t>
      </w:r>
      <w:r w:rsidRPr="00B867DF">
        <w:rPr>
          <w:lang w:bidi="ar-AE"/>
        </w:rPr>
        <w:t xml:space="preserve">ont nommé des guides religieux pour empêcher toute pratique considérée comme hérétique (chiite, soufi, etc.) au sein du </w:t>
      </w:r>
      <w:r w:rsidRPr="00B867DF">
        <w:rPr>
          <w:i/>
          <w:iCs/>
          <w:lang w:bidi="ar-AE"/>
        </w:rPr>
        <w:t>Maqām Ibrahīm</w:t>
      </w:r>
      <w:r w:rsidRPr="00B867DF">
        <w:rPr>
          <w:lang w:bidi="ar-AE"/>
        </w:rPr>
        <w:t xml:space="preserve"> [la station d’Abraham].</w:t>
      </w:r>
      <w:r w:rsidRPr="00B867DF">
        <w:rPr>
          <w:rStyle w:val="Appelnotedebasdep"/>
          <w:lang w:bidi="ar-AE"/>
        </w:rPr>
        <w:footnoteReference w:id="261"/>
      </w:r>
    </w:p>
    <w:p w14:paraId="0CD8A9B7" w14:textId="77777777" w:rsidR="00296288" w:rsidRPr="00B867DF" w:rsidRDefault="00296288" w:rsidP="00296288">
      <w:pPr>
        <w:spacing w:line="360" w:lineRule="auto"/>
        <w:contextualSpacing/>
        <w:jc w:val="both"/>
        <w:rPr>
          <w:rFonts w:asciiTheme="majorBidi" w:eastAsia="Calibri" w:hAnsiTheme="majorBidi" w:cstheme="majorBidi"/>
          <w:lang w:bidi="ar-KW"/>
        </w:rPr>
      </w:pPr>
    </w:p>
    <w:p w14:paraId="6EF37D76" w14:textId="77777777" w:rsidR="00296288" w:rsidRPr="00B867DF" w:rsidRDefault="00296288" w:rsidP="00296288">
      <w:pPr>
        <w:spacing w:line="360" w:lineRule="auto"/>
        <w:ind w:firstLine="708"/>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Selon le verset 26, la Maison de Dieu doit être purifiée pour plusieurs groupes de gens : </w:t>
      </w:r>
      <w:r w:rsidRPr="00B867DF">
        <w:rPr>
          <w:rFonts w:asciiTheme="majorBidi" w:eastAsia="Calibri" w:hAnsiTheme="majorBidi" w:cstheme="majorBidi"/>
          <w:i/>
          <w:iCs/>
          <w:lang w:bidi="ar-AE"/>
        </w:rPr>
        <w:t>aṭ-ṭāʾifīn</w:t>
      </w:r>
      <w:r w:rsidRPr="00B867DF">
        <w:rPr>
          <w:rFonts w:asciiTheme="majorBidi" w:eastAsia="Calibri" w:hAnsiTheme="majorBidi" w:cstheme="majorBidi"/>
          <w:lang w:bidi="ar-AE"/>
        </w:rPr>
        <w:t xml:space="preserve"> [</w:t>
      </w:r>
      <w:r w:rsidRPr="00B867DF">
        <w:rPr>
          <w:rFonts w:asciiTheme="majorBidi" w:eastAsia="Times New Roman" w:hAnsiTheme="majorBidi" w:cstheme="majorBidi"/>
          <w:lang w:bidi="ar-AE"/>
        </w:rPr>
        <w:t xml:space="preserve">ceux </w:t>
      </w:r>
      <w:r w:rsidRPr="00B867DF">
        <w:rPr>
          <w:rFonts w:asciiTheme="majorBidi" w:eastAsia="Calibri" w:hAnsiTheme="majorBidi" w:cstheme="majorBidi"/>
          <w:lang w:bidi="ar-AE"/>
        </w:rPr>
        <w:t xml:space="preserve">qui </w:t>
      </w:r>
      <w:r w:rsidRPr="00B867DF">
        <w:rPr>
          <w:rFonts w:asciiTheme="majorBidi" w:eastAsia="Times New Roman" w:hAnsiTheme="majorBidi" w:cstheme="majorBidi"/>
        </w:rPr>
        <w:t>accomplissent les tours rituels</w:t>
      </w:r>
      <w:r w:rsidRPr="00B867DF">
        <w:rPr>
          <w:rFonts w:asciiTheme="majorBidi" w:eastAsia="Calibri" w:hAnsiTheme="majorBidi" w:cstheme="majorBidi"/>
          <w:lang w:bidi="ar-AE"/>
        </w:rPr>
        <w:t xml:space="preserve">], </w:t>
      </w:r>
      <w:r w:rsidRPr="00B867DF">
        <w:rPr>
          <w:rFonts w:asciiTheme="majorBidi" w:eastAsia="Calibri" w:hAnsiTheme="majorBidi" w:cstheme="majorBidi"/>
          <w:i/>
          <w:iCs/>
          <w:lang w:bidi="ar-AE"/>
        </w:rPr>
        <w:t>al-qāʾimīn</w:t>
      </w:r>
      <w:r w:rsidRPr="00B867DF">
        <w:rPr>
          <w:rFonts w:asciiTheme="majorBidi" w:eastAsia="Calibri" w:hAnsiTheme="majorBidi" w:cstheme="majorBidi"/>
          <w:lang w:bidi="ar-AE"/>
        </w:rPr>
        <w:t xml:space="preserve"> [</w:t>
      </w:r>
      <w:r w:rsidRPr="00B867DF">
        <w:rPr>
          <w:rFonts w:asciiTheme="majorBidi" w:eastAsia="Times New Roman" w:hAnsiTheme="majorBidi" w:cstheme="majorBidi"/>
        </w:rPr>
        <w:t>ceux qui se mettent debout</w:t>
      </w:r>
      <w:r w:rsidRPr="00B867DF">
        <w:rPr>
          <w:rFonts w:asciiTheme="majorBidi" w:eastAsia="Calibri" w:hAnsiTheme="majorBidi" w:cstheme="majorBidi"/>
          <w:lang w:bidi="ar-AE"/>
        </w:rPr>
        <w:t xml:space="preserve">], et </w:t>
      </w:r>
      <w:r w:rsidRPr="00B867DF">
        <w:rPr>
          <w:rFonts w:asciiTheme="majorBidi" w:eastAsia="Calibri" w:hAnsiTheme="majorBidi" w:cstheme="majorBidi"/>
          <w:i/>
          <w:iCs/>
          <w:lang w:bidi="ar-AE"/>
        </w:rPr>
        <w:t>ar-rukkaʿ as-sujūd</w:t>
      </w:r>
      <w:r w:rsidRPr="00B867DF">
        <w:rPr>
          <w:rFonts w:asciiTheme="majorBidi" w:eastAsia="Calibri" w:hAnsiTheme="majorBidi" w:cstheme="majorBidi"/>
          <w:lang w:bidi="ar-AE"/>
        </w:rPr>
        <w:t xml:space="preserve"> [ceux qui </w:t>
      </w:r>
      <w:r w:rsidRPr="00B867DF">
        <w:rPr>
          <w:rFonts w:asciiTheme="majorBidi" w:eastAsia="Times New Roman" w:hAnsiTheme="majorBidi" w:cstheme="majorBidi"/>
        </w:rPr>
        <w:t>sont agenouillés et prosternés</w:t>
      </w:r>
      <w:r w:rsidRPr="00B867DF">
        <w:rPr>
          <w:rFonts w:asciiTheme="majorBidi" w:eastAsia="Calibri" w:hAnsiTheme="majorBidi" w:cstheme="majorBidi"/>
          <w:lang w:bidi="ar-AE"/>
        </w:rPr>
        <w:t>]. Mais qui sont ces groupes selon les exégètes ?</w:t>
      </w:r>
    </w:p>
    <w:p w14:paraId="0E21099D" w14:textId="77777777" w:rsidR="00296288" w:rsidRPr="00B867DF" w:rsidRDefault="00296288" w:rsidP="007640DC">
      <w:pPr>
        <w:numPr>
          <w:ilvl w:val="0"/>
          <w:numId w:val="38"/>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i/>
          <w:iCs/>
          <w:lang w:bidi="ar-AE"/>
        </w:rPr>
        <w:t>Aṭ-ṭāʾifīn</w:t>
      </w:r>
      <w:r w:rsidRPr="00B867DF">
        <w:rPr>
          <w:rFonts w:asciiTheme="majorBidi" w:eastAsia="Calibri" w:hAnsiTheme="majorBidi" w:cstheme="majorBidi"/>
          <w:lang w:bidi="ar-AE"/>
        </w:rPr>
        <w:t xml:space="preserve"> (pl. de </w:t>
      </w:r>
      <w:r w:rsidRPr="00B867DF">
        <w:rPr>
          <w:rFonts w:asciiTheme="majorBidi" w:eastAsia="Calibri" w:hAnsiTheme="majorBidi" w:cstheme="majorBidi"/>
          <w:i/>
          <w:iCs/>
          <w:lang w:bidi="ar-AE"/>
        </w:rPr>
        <w:t>ṭāʾif</w:t>
      </w:r>
      <w:r w:rsidRPr="00B867DF">
        <w:rPr>
          <w:rFonts w:asciiTheme="majorBidi" w:eastAsia="Calibri" w:hAnsiTheme="majorBidi" w:cstheme="majorBidi"/>
          <w:lang w:bidi="ar-AE"/>
        </w:rPr>
        <w:t xml:space="preserve">) peuvent être : 1-ceux qui accomplissent les tours rituels autour de la </w:t>
      </w:r>
      <w:r w:rsidRPr="00B867DF">
        <w:rPr>
          <w:rFonts w:asciiTheme="majorBidi" w:eastAsia="Calibri" w:hAnsiTheme="majorBidi" w:cstheme="majorBidi"/>
          <w:i/>
          <w:iCs/>
          <w:lang w:bidi="ar-AE"/>
        </w:rPr>
        <w:t>Kaʿba</w:t>
      </w:r>
      <w:r w:rsidRPr="00B867DF">
        <w:rPr>
          <w:rFonts w:asciiTheme="majorBidi" w:eastAsia="Calibri" w:hAnsiTheme="majorBidi" w:cstheme="majorBidi"/>
          <w:lang w:bidi="ar-AE"/>
        </w:rPr>
        <w:t> ; 2-ceux qui ne sont pas des Mecquois ; 3-ceux qui viennent de loin ; 4-les nouveaux convertis ou les croyants débutants qui tournent autour de l’imam pour entrer avec lui (Shaykhū) ; 5-les forces psychologiques qui tournent autour de la Maison du cœur pour s’illuminer et acquérir les vertus morales (Ibn ʿArabī).</w:t>
      </w:r>
    </w:p>
    <w:p w14:paraId="247A7553" w14:textId="77777777" w:rsidR="00296288" w:rsidRPr="00B867DF" w:rsidRDefault="00296288" w:rsidP="007640DC">
      <w:pPr>
        <w:numPr>
          <w:ilvl w:val="0"/>
          <w:numId w:val="38"/>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i/>
          <w:iCs/>
          <w:lang w:bidi="ar-AE"/>
        </w:rPr>
        <w:t>Al-qāʾimīn</w:t>
      </w:r>
      <w:r w:rsidRPr="00B867DF">
        <w:rPr>
          <w:rFonts w:asciiTheme="majorBidi" w:eastAsia="Calibri" w:hAnsiTheme="majorBidi" w:cstheme="majorBidi"/>
          <w:lang w:bidi="ar-AE"/>
        </w:rPr>
        <w:t xml:space="preserve"> (pl. de </w:t>
      </w:r>
      <w:r w:rsidRPr="00B867DF">
        <w:rPr>
          <w:rFonts w:asciiTheme="majorBidi" w:eastAsia="Calibri" w:hAnsiTheme="majorBidi" w:cstheme="majorBidi"/>
          <w:i/>
          <w:iCs/>
          <w:lang w:bidi="ar-AE"/>
        </w:rPr>
        <w:t>qāʾim</w:t>
      </w:r>
      <w:r w:rsidRPr="00B867DF">
        <w:rPr>
          <w:rFonts w:asciiTheme="majorBidi" w:eastAsia="Calibri" w:hAnsiTheme="majorBidi" w:cstheme="majorBidi"/>
          <w:lang w:bidi="ar-AE"/>
        </w:rPr>
        <w:t>) peuvent désigner : 1-ceux qui font la prière en général ; 2-ceux qui font la prière au sein ou auprès de la Maison de Dieu à La Mecque ; 3-les résidants près de la Maison sacrée ; 4-les croyants qui habitaient près de la Maison de Dieu ; 5-ceux qui sont entrés avec l’imam et qui sont devenus des guides spirituels conduisant les gens à Dieu (Shaykhū) ; 6-les forces spirituelles (Ibn ʿArabī).</w:t>
      </w:r>
    </w:p>
    <w:p w14:paraId="08F3A7DB" w14:textId="77777777" w:rsidR="00296288" w:rsidRPr="00B867DF" w:rsidRDefault="00296288" w:rsidP="007640DC">
      <w:pPr>
        <w:numPr>
          <w:ilvl w:val="0"/>
          <w:numId w:val="38"/>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i/>
          <w:iCs/>
          <w:lang w:bidi="ar-AE"/>
        </w:rPr>
        <w:t>Ar-rukkaʿ as-sujūd</w:t>
      </w:r>
      <w:r w:rsidRPr="00B867DF">
        <w:rPr>
          <w:rFonts w:asciiTheme="majorBidi" w:eastAsia="Calibri" w:hAnsiTheme="majorBidi" w:cstheme="majorBidi"/>
          <w:lang w:bidi="ar-AE"/>
        </w:rPr>
        <w:t xml:space="preserve"> (sg. </w:t>
      </w:r>
      <w:r w:rsidRPr="00B867DF">
        <w:rPr>
          <w:rFonts w:asciiTheme="majorBidi" w:eastAsia="Calibri" w:hAnsiTheme="majorBidi" w:cstheme="majorBidi"/>
          <w:i/>
          <w:iCs/>
          <w:lang w:bidi="ar-AE"/>
        </w:rPr>
        <w:t>ar-rākiʿ as-sājid</w:t>
      </w:r>
      <w:r w:rsidRPr="00B867DF">
        <w:rPr>
          <w:rFonts w:asciiTheme="majorBidi" w:eastAsia="Calibri" w:hAnsiTheme="majorBidi" w:cstheme="majorBidi"/>
          <w:lang w:bidi="ar-AE"/>
        </w:rPr>
        <w:t>) : 1-ceux qui prient Dieu ; 2-les obéissants et les soumis à Dieu (Shaykhū) ; 3-les forces physiques (Ibn ʿArabī).</w:t>
      </w:r>
    </w:p>
    <w:p w14:paraId="067B209A"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p>
    <w:p w14:paraId="3C9E7595"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Ces mots peuvent ainsi désigner une pratiques religieuse, une domiciliation, une affiliation ou initiation mystique, ou une force psychique.</w:t>
      </w:r>
    </w:p>
    <w:p w14:paraId="2611B377" w14:textId="77777777" w:rsidR="00296288" w:rsidRPr="00C74297" w:rsidRDefault="00296288" w:rsidP="00296288">
      <w:pPr>
        <w:spacing w:line="360" w:lineRule="auto"/>
        <w:contextualSpacing/>
        <w:jc w:val="both"/>
        <w:rPr>
          <w:rFonts w:asciiTheme="majorBidi" w:eastAsia="Times New Roman" w:hAnsiTheme="majorBidi" w:cstheme="majorBidi"/>
          <w:lang w:bidi="ar-AE"/>
        </w:rPr>
      </w:pPr>
    </w:p>
    <w:p w14:paraId="101EAA02" w14:textId="77777777" w:rsidR="00296288" w:rsidRPr="00C74297"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lang w:eastAsia="fr-FR" w:bidi="ar-AE"/>
        </w:rPr>
      </w:pPr>
      <w:r w:rsidRPr="00C74297">
        <w:rPr>
          <w:rFonts w:asciiTheme="majorBidi" w:hAnsiTheme="majorBidi" w:cstheme="majorBidi"/>
          <w:b/>
          <w:bCs/>
          <w:sz w:val="24"/>
          <w:szCs w:val="24"/>
          <w:lang w:eastAsia="fr-FR" w:bidi="ar-AE"/>
        </w:rPr>
        <w:t xml:space="preserve">Le verbe </w:t>
      </w:r>
      <w:r w:rsidRPr="00C74297">
        <w:rPr>
          <w:rFonts w:asciiTheme="majorBidi" w:hAnsiTheme="majorBidi" w:cstheme="majorBidi"/>
          <w:b/>
          <w:bCs/>
          <w:i/>
          <w:iCs/>
          <w:sz w:val="24"/>
          <w:szCs w:val="24"/>
          <w:lang w:eastAsia="fr-FR" w:bidi="ar-AE"/>
        </w:rPr>
        <w:t>adhdhin</w:t>
      </w:r>
      <w:r w:rsidRPr="00C74297">
        <w:rPr>
          <w:rFonts w:asciiTheme="majorBidi" w:hAnsiTheme="majorBidi" w:cstheme="majorBidi"/>
          <w:b/>
          <w:bCs/>
          <w:sz w:val="24"/>
          <w:szCs w:val="24"/>
          <w:lang w:eastAsia="fr-FR" w:bidi="ar-AE"/>
        </w:rPr>
        <w:t xml:space="preserve"> (v. 27) :</w:t>
      </w:r>
    </w:p>
    <w:p w14:paraId="036CD709" w14:textId="4F238ADF"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Que veut dire le verbe à l’impératif </w:t>
      </w:r>
      <w:r w:rsidRPr="00B867DF">
        <w:rPr>
          <w:rFonts w:asciiTheme="majorBidi" w:eastAsia="Times New Roman" w:hAnsiTheme="majorBidi" w:cstheme="majorBidi"/>
          <w:i/>
          <w:iCs/>
          <w:lang w:bidi="ar-AE"/>
        </w:rPr>
        <w:t>ʾadhdhin</w:t>
      </w:r>
      <w:r w:rsidRPr="00B867DF">
        <w:rPr>
          <w:rFonts w:asciiTheme="majorBidi" w:eastAsia="Times New Roman" w:hAnsiTheme="majorBidi" w:cstheme="majorBidi"/>
          <w:lang w:bidi="ar-AE"/>
        </w:rPr>
        <w:t xml:space="preserve"> (v. 27) ? Le sens lexical de ce verbe est : appeler, appeler en se servant de ses mains comme porte-voix, faire venir en se servant de la voix, héler, crier (ex. : verset XII, 70). Mais comment « Dieu » demande à Abraham ou à Muḥammad d’utiliser ce moyen si primitif pour informer un si large public ? L’exégèse a donné un autre sens au verbe </w:t>
      </w:r>
      <w:r w:rsidRPr="00B867DF">
        <w:rPr>
          <w:rFonts w:asciiTheme="majorBidi" w:eastAsia="Times New Roman" w:hAnsiTheme="majorBidi" w:cstheme="majorBidi"/>
          <w:i/>
          <w:iCs/>
          <w:lang w:bidi="ar-AE"/>
        </w:rPr>
        <w:t>adhdhana </w:t>
      </w:r>
      <w:r w:rsidRPr="00B867DF">
        <w:rPr>
          <w:rFonts w:asciiTheme="majorBidi" w:eastAsia="Times New Roman" w:hAnsiTheme="majorBidi" w:cstheme="majorBidi"/>
          <w:lang w:bidi="ar-AE"/>
        </w:rPr>
        <w:t xml:space="preserve">: informer, enseigner, déclarer. Il s’agit donc d’apprendre aux </w:t>
      </w:r>
      <w:r w:rsidRPr="00B867DF">
        <w:rPr>
          <w:rFonts w:asciiTheme="majorBidi" w:eastAsia="Times New Roman" w:hAnsiTheme="majorBidi" w:cstheme="majorBidi"/>
          <w:lang w:bidi="ar-AE"/>
        </w:rPr>
        <w:lastRenderedPageBreak/>
        <w:t xml:space="preserve">croyants les règles du pèlerinage, et par la suite de définir ces règles. Ibn ʿArabī souligne qu’il s’agit ici d’appeler à ce qu’on appelle </w:t>
      </w:r>
      <w:r w:rsidRPr="00B867DF">
        <w:rPr>
          <w:rFonts w:asciiTheme="majorBidi" w:eastAsia="Times New Roman" w:hAnsiTheme="majorBidi" w:cstheme="majorBidi"/>
          <w:i/>
          <w:iCs/>
          <w:lang w:bidi="ar-AE"/>
        </w:rPr>
        <w:t>maqām al-qalb</w:t>
      </w:r>
      <w:r w:rsidRPr="00B867DF">
        <w:rPr>
          <w:rFonts w:asciiTheme="majorBidi" w:eastAsia="Times New Roman" w:hAnsiTheme="majorBidi" w:cstheme="majorBidi"/>
          <w:lang w:bidi="ar-AE"/>
        </w:rPr>
        <w:t xml:space="preserve"> [la demeure du cœur]. Cependant, selon les druzes qui ne partagent pas la même notion orthodoxe du pèlerinage et qui ne vont pas en pèlerinage à la Mecque, il s’agit de la soumission à la volonté de Dieu.</w:t>
      </w:r>
      <w:r w:rsidRPr="00B867DF">
        <w:rPr>
          <w:rFonts w:asciiTheme="majorBidi" w:eastAsia="Times New Roman" w:hAnsiTheme="majorBidi" w:cstheme="majorBidi"/>
          <w:vertAlign w:val="superscript"/>
          <w:lang w:bidi="ar-AE"/>
        </w:rPr>
        <w:footnoteReference w:id="262"/>
      </w:r>
    </w:p>
    <w:p w14:paraId="0182329D" w14:textId="77777777" w:rsidR="00296288" w:rsidRPr="0075755B" w:rsidRDefault="00296288" w:rsidP="00296288">
      <w:pPr>
        <w:spacing w:line="360" w:lineRule="auto"/>
        <w:ind w:firstLine="360"/>
        <w:contextualSpacing/>
        <w:jc w:val="both"/>
        <w:rPr>
          <w:rFonts w:asciiTheme="majorBidi" w:eastAsia="Times New Roman" w:hAnsiTheme="majorBidi" w:cstheme="majorBidi"/>
        </w:rPr>
      </w:pPr>
    </w:p>
    <w:p w14:paraId="7ADC694E" w14:textId="77777777" w:rsidR="00296288" w:rsidRPr="0075755B" w:rsidRDefault="00296288" w:rsidP="00296288">
      <w:pPr>
        <w:spacing w:line="360" w:lineRule="auto"/>
        <w:ind w:firstLine="360"/>
        <w:jc w:val="both"/>
        <w:rPr>
          <w:rFonts w:asciiTheme="majorBidi" w:eastAsia="Times New Roman" w:hAnsiTheme="majorBidi" w:cstheme="majorBidi"/>
        </w:rPr>
      </w:pPr>
      <w:r w:rsidRPr="0075755B">
        <w:rPr>
          <w:rFonts w:asciiTheme="majorBidi" w:eastAsia="Times New Roman" w:hAnsiTheme="majorBidi" w:cstheme="majorBidi"/>
        </w:rPr>
        <w:t xml:space="preserve">Ainsi, le verbe </w:t>
      </w:r>
      <w:r w:rsidRPr="0075755B">
        <w:rPr>
          <w:rFonts w:asciiTheme="majorBidi" w:eastAsia="Times New Roman" w:hAnsiTheme="majorBidi" w:cstheme="majorBidi"/>
          <w:i/>
          <w:iCs/>
          <w:lang w:bidi="ar-AE"/>
        </w:rPr>
        <w:t>adhdhana</w:t>
      </w:r>
      <w:r w:rsidRPr="0075755B">
        <w:rPr>
          <w:rFonts w:asciiTheme="majorBidi" w:eastAsia="Times New Roman" w:hAnsiTheme="majorBidi" w:cstheme="majorBidi"/>
          <w:lang w:bidi="ar-AE"/>
        </w:rPr>
        <w:t>,</w:t>
      </w:r>
      <w:r w:rsidRPr="0075755B">
        <w:rPr>
          <w:rFonts w:asciiTheme="majorBidi" w:eastAsia="Times New Roman" w:hAnsiTheme="majorBidi" w:cstheme="majorBidi"/>
          <w:i/>
          <w:iCs/>
          <w:lang w:bidi="ar-AE"/>
        </w:rPr>
        <w:t> </w:t>
      </w:r>
      <w:r w:rsidRPr="0075755B">
        <w:rPr>
          <w:rFonts w:asciiTheme="majorBidi" w:eastAsia="Times New Roman" w:hAnsiTheme="majorBidi" w:cstheme="majorBidi"/>
          <w:lang w:bidi="ar-AE"/>
        </w:rPr>
        <w:t xml:space="preserve">qui désigne dans le rituel musulman le métier du </w:t>
      </w:r>
      <w:r w:rsidRPr="0075755B">
        <w:rPr>
          <w:rFonts w:asciiTheme="majorBidi" w:eastAsia="Times New Roman" w:hAnsiTheme="majorBidi" w:cstheme="majorBidi"/>
        </w:rPr>
        <w:t>muezzin (</w:t>
      </w:r>
      <w:r w:rsidRPr="0075755B">
        <w:rPr>
          <w:rFonts w:asciiTheme="majorBidi" w:hAnsiTheme="majorBidi" w:cstheme="majorBidi"/>
          <w:i/>
          <w:iCs/>
        </w:rPr>
        <w:t>mu</w:t>
      </w:r>
      <w:r w:rsidRPr="0075755B">
        <w:rPr>
          <w:rFonts w:asciiTheme="majorBidi" w:eastAsia="Times New Roman" w:hAnsiTheme="majorBidi" w:cstheme="majorBidi"/>
          <w:i/>
          <w:iCs/>
        </w:rPr>
        <w:t>ʾadhdhin </w:t>
      </w:r>
      <w:r w:rsidRPr="0075755B">
        <w:rPr>
          <w:rFonts w:asciiTheme="majorBidi" w:eastAsia="Times New Roman" w:hAnsiTheme="majorBidi" w:cstheme="majorBidi"/>
          <w:iCs/>
        </w:rPr>
        <w:t xml:space="preserve">: </w:t>
      </w:r>
      <w:r w:rsidRPr="0075755B">
        <w:rPr>
          <w:rFonts w:asciiTheme="majorBidi" w:eastAsia="Times New Roman" w:hAnsiTheme="majorBidi" w:cstheme="majorBidi"/>
        </w:rPr>
        <w:t xml:space="preserve">celui qui lance l’appel à la prière </w:t>
      </w:r>
      <w:r w:rsidRPr="0075755B">
        <w:rPr>
          <w:rFonts w:asciiTheme="majorBidi" w:hAnsiTheme="majorBidi" w:cstheme="majorBidi"/>
        </w:rPr>
        <w:t>[</w:t>
      </w:r>
      <w:r w:rsidRPr="0075755B">
        <w:rPr>
          <w:rFonts w:asciiTheme="majorBidi" w:eastAsia="Times New Roman" w:hAnsiTheme="majorBidi" w:cstheme="majorBidi"/>
          <w:i/>
        </w:rPr>
        <w:t>adhān</w:t>
      </w:r>
      <w:r w:rsidRPr="0075755B">
        <w:rPr>
          <w:rFonts w:asciiTheme="majorBidi" w:hAnsiTheme="majorBidi" w:cstheme="majorBidi"/>
        </w:rPr>
        <w:t>])</w:t>
      </w:r>
      <w:r w:rsidRPr="0075755B">
        <w:rPr>
          <w:rFonts w:asciiTheme="majorBidi" w:eastAsia="Times New Roman" w:hAnsiTheme="majorBidi" w:cstheme="majorBidi"/>
        </w:rPr>
        <w:t>, peut également vouloir dire : déclarer le message divin du pèlerinage, enseigner les rites du pèlerinage, appeler aux valeurs spirituelles, se soumettre à la volonté divine.</w:t>
      </w:r>
    </w:p>
    <w:p w14:paraId="74C0BEFC" w14:textId="77777777" w:rsidR="00296288" w:rsidRPr="0075755B" w:rsidRDefault="00296288" w:rsidP="00296288">
      <w:pPr>
        <w:spacing w:line="360" w:lineRule="auto"/>
        <w:ind w:firstLine="360"/>
        <w:contextualSpacing/>
        <w:jc w:val="both"/>
        <w:rPr>
          <w:rFonts w:asciiTheme="majorBidi" w:eastAsia="Times New Roman" w:hAnsiTheme="majorBidi" w:cstheme="majorBidi"/>
          <w:rtl/>
        </w:rPr>
      </w:pPr>
    </w:p>
    <w:p w14:paraId="216BB346" w14:textId="77777777" w:rsidR="00296288" w:rsidRPr="0075755B" w:rsidRDefault="00296288" w:rsidP="00296288">
      <w:pPr>
        <w:spacing w:line="360" w:lineRule="auto"/>
        <w:ind w:firstLine="360"/>
        <w:contextualSpacing/>
        <w:jc w:val="both"/>
        <w:rPr>
          <w:rFonts w:asciiTheme="majorBidi" w:eastAsia="Times New Roman" w:hAnsiTheme="majorBidi" w:cstheme="majorBidi"/>
          <w:lang w:bidi="ar-AE"/>
        </w:rPr>
      </w:pPr>
      <w:r w:rsidRPr="0075755B">
        <w:rPr>
          <w:rFonts w:asciiTheme="majorBidi" w:eastAsia="Times New Roman" w:hAnsiTheme="majorBidi" w:cstheme="majorBidi"/>
          <w:lang w:bidi="ar-AE"/>
        </w:rPr>
        <w:t>Selon le verset 27, Dieu demande à Abraham (ou à Muḥammad) de lancer parmi les hommes (</w:t>
      </w:r>
      <w:r w:rsidRPr="0075755B">
        <w:rPr>
          <w:rFonts w:asciiTheme="majorBidi" w:eastAsia="Times New Roman" w:hAnsiTheme="majorBidi" w:cstheme="majorBidi"/>
          <w:i/>
          <w:iCs/>
          <w:lang w:bidi="ar-AE"/>
        </w:rPr>
        <w:t>an-nās</w:t>
      </w:r>
      <w:r w:rsidRPr="0075755B">
        <w:rPr>
          <w:rFonts w:asciiTheme="majorBidi" w:eastAsia="Times New Roman" w:hAnsiTheme="majorBidi" w:cstheme="majorBidi"/>
          <w:lang w:bidi="ar-AE"/>
        </w:rPr>
        <w:t xml:space="preserve">) l’appel au pèlerinage. Selon Aṭ-Ṭabarī, Ibn ʿAbbās souligne que le mot </w:t>
      </w:r>
      <w:r w:rsidRPr="0075755B">
        <w:rPr>
          <w:rFonts w:asciiTheme="majorBidi" w:eastAsia="Times New Roman" w:hAnsiTheme="majorBidi" w:cstheme="majorBidi"/>
          <w:i/>
          <w:iCs/>
          <w:lang w:bidi="ar-AE"/>
        </w:rPr>
        <w:t>an-nās</w:t>
      </w:r>
      <w:r w:rsidRPr="0075755B">
        <w:rPr>
          <w:rFonts w:asciiTheme="majorBidi" w:eastAsia="Times New Roman" w:hAnsiTheme="majorBidi" w:cstheme="majorBidi"/>
          <w:lang w:bidi="ar-AE"/>
        </w:rPr>
        <w:t xml:space="preserve"> ne désigne ici que les musulmans (</w:t>
      </w:r>
      <w:r w:rsidRPr="0075755B">
        <w:rPr>
          <w:rFonts w:asciiTheme="majorBidi" w:eastAsia="Times New Roman" w:hAnsiTheme="majorBidi" w:cstheme="majorBidi"/>
          <w:i/>
          <w:iCs/>
          <w:lang w:bidi="ar-AE"/>
        </w:rPr>
        <w:t>Ahl al-qibla</w:t>
      </w:r>
      <w:r w:rsidRPr="0075755B">
        <w:rPr>
          <w:rFonts w:asciiTheme="majorBidi" w:eastAsia="Times New Roman" w:hAnsiTheme="majorBidi" w:cstheme="majorBidi"/>
          <w:lang w:bidi="ar-AE"/>
        </w:rPr>
        <w:t xml:space="preserve"> [les gens qui se tournent vers la </w:t>
      </w:r>
      <w:r w:rsidRPr="0075755B">
        <w:rPr>
          <w:rFonts w:asciiTheme="majorBidi" w:eastAsia="Times New Roman" w:hAnsiTheme="majorBidi" w:cstheme="majorBidi"/>
          <w:i/>
          <w:iCs/>
          <w:lang w:bidi="ar-AE"/>
        </w:rPr>
        <w:t>Kaʿba</w:t>
      </w:r>
      <w:r w:rsidRPr="0075755B">
        <w:rPr>
          <w:rFonts w:asciiTheme="majorBidi" w:eastAsia="Times New Roman" w:hAnsiTheme="majorBidi" w:cstheme="majorBidi"/>
          <w:lang w:bidi="ar-AE"/>
        </w:rPr>
        <w:t xml:space="preserve"> au moment de la prière]). En revanche, d’autres exégètes soutiennent l’idée qu’il s’agit de tous les êtres humains. Il est à noter que les occurrences du mot </w:t>
      </w:r>
      <w:r w:rsidRPr="0075755B">
        <w:rPr>
          <w:rFonts w:asciiTheme="majorBidi" w:eastAsia="Times New Roman" w:hAnsiTheme="majorBidi" w:cstheme="majorBidi"/>
          <w:i/>
          <w:iCs/>
          <w:lang w:bidi="ar-AE"/>
        </w:rPr>
        <w:t>an-nās</w:t>
      </w:r>
      <w:r w:rsidRPr="0075755B">
        <w:rPr>
          <w:rFonts w:asciiTheme="majorBidi" w:eastAsia="Times New Roman" w:hAnsiTheme="majorBidi" w:cstheme="majorBidi"/>
          <w:lang w:bidi="ar-AE"/>
        </w:rPr>
        <w:t xml:space="preserve"> dans le Coran</w:t>
      </w:r>
      <w:r w:rsidRPr="0075755B">
        <w:rPr>
          <w:rFonts w:asciiTheme="majorBidi" w:eastAsia="Times New Roman" w:hAnsiTheme="majorBidi" w:cstheme="majorBidi"/>
          <w:vertAlign w:val="superscript"/>
          <w:lang w:bidi="ar-AE"/>
        </w:rPr>
        <w:footnoteReference w:id="263"/>
      </w:r>
      <w:r w:rsidRPr="0075755B">
        <w:rPr>
          <w:rFonts w:asciiTheme="majorBidi" w:eastAsia="Times New Roman" w:hAnsiTheme="majorBidi" w:cstheme="majorBidi"/>
          <w:lang w:bidi="ar-AE"/>
        </w:rPr>
        <w:t xml:space="preserve"> ainsi que certains exégètes anciens (</w:t>
      </w:r>
      <w:r w:rsidRPr="0075755B">
        <w:rPr>
          <w:rFonts w:asciiTheme="majorBidi" w:eastAsia="Times New Roman" w:hAnsiTheme="majorBidi" w:cstheme="majorBidi"/>
          <w:lang w:bidi="ar-EG"/>
        </w:rPr>
        <w:t xml:space="preserve">comme Ibn Masʿūd et ʿAlqama </w:t>
      </w:r>
      <w:r w:rsidRPr="0075755B">
        <w:rPr>
          <w:rFonts w:asciiTheme="majorBidi" w:eastAsia="Times New Roman" w:hAnsiTheme="majorBidi" w:cstheme="majorBidi"/>
          <w:lang w:bidi="ar-AE"/>
        </w:rPr>
        <w:t>selon d’</w:t>
      </w:r>
      <w:r w:rsidRPr="0075755B">
        <w:rPr>
          <w:rFonts w:asciiTheme="majorBidi" w:eastAsia="Times New Roman" w:hAnsiTheme="majorBidi" w:cstheme="majorBidi"/>
        </w:rPr>
        <w:t>Az-Zarkashī dans</w:t>
      </w:r>
      <w:r w:rsidRPr="0075755B">
        <w:rPr>
          <w:rFonts w:asciiTheme="majorBidi" w:eastAsia="Times New Roman" w:hAnsiTheme="majorBidi" w:cstheme="majorBidi"/>
          <w:lang w:bidi="ar-AE"/>
        </w:rPr>
        <w:t xml:space="preserve"> </w:t>
      </w:r>
      <w:r w:rsidRPr="0075755B">
        <w:rPr>
          <w:rFonts w:asciiTheme="majorBidi" w:eastAsia="Times New Roman" w:hAnsiTheme="majorBidi" w:cstheme="majorBidi"/>
          <w:i/>
          <w:iCs/>
          <w:lang w:bidi="ar-AE"/>
        </w:rPr>
        <w:t>Al-Burhān</w:t>
      </w:r>
      <w:r w:rsidRPr="0075755B">
        <w:rPr>
          <w:rFonts w:asciiTheme="majorBidi" w:eastAsia="Times New Roman" w:hAnsiTheme="majorBidi" w:cstheme="majorBidi"/>
          <w:vertAlign w:val="superscript"/>
          <w:lang w:bidi="ar-AE"/>
        </w:rPr>
        <w:footnoteReference w:id="264"/>
      </w:r>
      <w:r w:rsidRPr="0075755B">
        <w:rPr>
          <w:rFonts w:asciiTheme="majorBidi" w:eastAsia="Times New Roman" w:hAnsiTheme="majorBidi" w:cstheme="majorBidi"/>
          <w:lang w:bidi="ar-AE"/>
        </w:rPr>
        <w:t>) montrent que le Coran utilise ce mot pour désigner seulement les non-musulmans. Cela peut signifier probablement que ce verset fait partie du Coran ultérieur à la version orale, i.e. qu’il fait partie de la version recomposée ou de la recension de ʿUthmān, pour reprendre les termes de Frédéric Imbert</w:t>
      </w:r>
      <w:r w:rsidRPr="0075755B">
        <w:rPr>
          <w:rFonts w:asciiTheme="majorBidi" w:eastAsia="Times New Roman" w:hAnsiTheme="majorBidi" w:cstheme="majorBidi"/>
          <w:vertAlign w:val="superscript"/>
          <w:lang w:bidi="ar-AE"/>
        </w:rPr>
        <w:footnoteReference w:id="265"/>
      </w:r>
      <w:r w:rsidRPr="0075755B">
        <w:rPr>
          <w:rFonts w:asciiTheme="majorBidi" w:eastAsia="Times New Roman" w:hAnsiTheme="majorBidi" w:cstheme="majorBidi"/>
          <w:lang w:bidi="ar-AE"/>
        </w:rPr>
        <w:t xml:space="preserve">. En d’autres termes, ce verset a été ajouté dans une époque ultérieure où le champ sémantique du mot </w:t>
      </w:r>
      <w:r w:rsidRPr="0075755B">
        <w:rPr>
          <w:rFonts w:asciiTheme="majorBidi" w:eastAsia="Times New Roman" w:hAnsiTheme="majorBidi" w:cstheme="majorBidi"/>
          <w:i/>
          <w:iCs/>
          <w:lang w:bidi="ar-AE"/>
        </w:rPr>
        <w:t>an-nās</w:t>
      </w:r>
      <w:r w:rsidRPr="0075755B">
        <w:rPr>
          <w:rFonts w:asciiTheme="majorBidi" w:eastAsia="Times New Roman" w:hAnsiTheme="majorBidi" w:cstheme="majorBidi"/>
          <w:lang w:bidi="ar-AE"/>
        </w:rPr>
        <w:t xml:space="preserve"> s’est étendu pour contenir les musulmans aussi.</w:t>
      </w:r>
    </w:p>
    <w:p w14:paraId="3BC9434C" w14:textId="77777777" w:rsidR="00296288" w:rsidRPr="00B867DF" w:rsidRDefault="00296288" w:rsidP="00296288">
      <w:pPr>
        <w:spacing w:line="360" w:lineRule="auto"/>
        <w:contextualSpacing/>
        <w:jc w:val="both"/>
        <w:rPr>
          <w:rFonts w:asciiTheme="majorBidi" w:eastAsia="Times New Roman" w:hAnsiTheme="majorBidi" w:cstheme="majorBidi"/>
        </w:rPr>
      </w:pPr>
    </w:p>
    <w:p w14:paraId="33277D4C" w14:textId="77777777" w:rsidR="00296288" w:rsidRPr="00B867DF" w:rsidRDefault="00296288" w:rsidP="00296288">
      <w:pPr>
        <w:spacing w:line="360" w:lineRule="auto"/>
        <w:ind w:firstLine="360"/>
        <w:contextualSpacing/>
        <w:jc w:val="both"/>
        <w:rPr>
          <w:rFonts w:asciiTheme="majorBidi" w:eastAsia="Times New Roman" w:hAnsiTheme="majorBidi" w:cstheme="majorBidi"/>
        </w:rPr>
      </w:pPr>
      <w:r w:rsidRPr="00B867DF">
        <w:rPr>
          <w:rFonts w:asciiTheme="majorBidi" w:eastAsia="Times New Roman" w:hAnsiTheme="majorBidi" w:cstheme="majorBidi"/>
          <w:lang w:bidi="ar-AE"/>
        </w:rPr>
        <w:t xml:space="preserve">Les hommes vont répondre à cet appel au pèlerinage de deux manières : </w:t>
      </w:r>
      <w:r w:rsidRPr="00B867DF">
        <w:rPr>
          <w:rFonts w:asciiTheme="majorBidi" w:eastAsia="Times New Roman" w:hAnsiTheme="majorBidi" w:cstheme="majorBidi"/>
          <w:i/>
          <w:iCs/>
          <w:lang w:bidi="ar-AE"/>
        </w:rPr>
        <w:t>rijāl</w:t>
      </w:r>
      <w:r w:rsidRPr="00B867DF">
        <w:rPr>
          <w:rFonts w:asciiTheme="majorBidi" w:eastAsia="Times New Roman" w:hAnsiTheme="majorBidi" w:cstheme="majorBidi"/>
          <w:i/>
          <w:iCs/>
          <w:vertAlign w:val="superscript"/>
          <w:lang w:bidi="ar-AE"/>
        </w:rPr>
        <w:t>an</w:t>
      </w:r>
      <w:r w:rsidRPr="00B867DF">
        <w:rPr>
          <w:rFonts w:asciiTheme="majorBidi" w:eastAsia="Times New Roman" w:hAnsiTheme="majorBidi" w:cstheme="majorBidi"/>
          <w:lang w:bidi="ar-AE"/>
        </w:rPr>
        <w:t xml:space="preserve"> [à pied] ou </w:t>
      </w:r>
      <w:r w:rsidRPr="00B867DF">
        <w:rPr>
          <w:rFonts w:asciiTheme="majorBidi" w:eastAsia="Times New Roman" w:hAnsiTheme="majorBidi" w:cstheme="majorBidi"/>
          <w:i/>
          <w:iCs/>
          <w:lang w:bidi="ar-AE"/>
        </w:rPr>
        <w:t>ʿalā kulli ḍāmir</w:t>
      </w:r>
      <w:r w:rsidRPr="00B867DF">
        <w:rPr>
          <w:rFonts w:asciiTheme="majorBidi" w:eastAsia="Times New Roman" w:hAnsiTheme="majorBidi" w:cstheme="majorBidi"/>
          <w:lang w:bidi="ar-AE"/>
        </w:rPr>
        <w:t xml:space="preserve"> [sur quelque bête amaigri] (v. 27). Al-Qurṭubī rapporte que certains disent que le pluriel au cas direct </w:t>
      </w:r>
      <w:r w:rsidRPr="00B867DF">
        <w:rPr>
          <w:rFonts w:asciiTheme="majorBidi" w:eastAsia="Times New Roman" w:hAnsiTheme="majorBidi" w:cstheme="majorBidi"/>
          <w:i/>
          <w:iCs/>
          <w:lang w:bidi="ar-AE"/>
        </w:rPr>
        <w:t>rijāl</w:t>
      </w:r>
      <w:r w:rsidRPr="00B867DF">
        <w:rPr>
          <w:rFonts w:asciiTheme="majorBidi" w:eastAsia="Times New Roman" w:hAnsiTheme="majorBidi" w:cstheme="majorBidi"/>
          <w:i/>
          <w:iCs/>
          <w:vertAlign w:val="superscript"/>
          <w:lang w:bidi="ar-AE"/>
        </w:rPr>
        <w:t>an</w:t>
      </w:r>
      <w:r w:rsidRPr="00B867DF">
        <w:rPr>
          <w:rFonts w:asciiTheme="majorBidi" w:eastAsia="Times New Roman" w:hAnsiTheme="majorBidi" w:cstheme="majorBidi"/>
          <w:lang w:bidi="ar-AE"/>
        </w:rPr>
        <w:t xml:space="preserve"> signifie non pas « les pèlerins à pied » mais les hommes sans les femmes, car ce sont les hommes qui font souvent le pèlerinage. En fait, de point de vue lexical, </w:t>
      </w:r>
      <w:r w:rsidRPr="00B867DF">
        <w:rPr>
          <w:rFonts w:asciiTheme="majorBidi" w:eastAsia="Times New Roman" w:hAnsiTheme="majorBidi" w:cstheme="majorBidi"/>
          <w:i/>
          <w:iCs/>
          <w:lang w:bidi="ar-AE"/>
        </w:rPr>
        <w:t>rijāl</w:t>
      </w:r>
      <w:r w:rsidRPr="00B867DF">
        <w:rPr>
          <w:rFonts w:asciiTheme="majorBidi" w:eastAsia="Times New Roman" w:hAnsiTheme="majorBidi" w:cstheme="majorBidi"/>
          <w:lang w:bidi="ar-AE"/>
        </w:rPr>
        <w:t xml:space="preserve"> peut être le pluriel </w:t>
      </w:r>
      <w:r w:rsidRPr="00B867DF">
        <w:rPr>
          <w:rFonts w:asciiTheme="majorBidi" w:eastAsia="Times New Roman" w:hAnsiTheme="majorBidi" w:cstheme="majorBidi"/>
        </w:rPr>
        <w:t xml:space="preserve">du </w:t>
      </w:r>
      <w:r w:rsidRPr="00B867DF">
        <w:rPr>
          <w:rFonts w:asciiTheme="majorBidi" w:hAnsiTheme="majorBidi" w:cstheme="majorBidi"/>
        </w:rPr>
        <w:t>substantif</w:t>
      </w:r>
      <w:r w:rsidRPr="00B867DF">
        <w:rPr>
          <w:rFonts w:asciiTheme="majorBidi" w:eastAsia="Times New Roman" w:hAnsiTheme="majorBidi" w:cstheme="majorBidi"/>
        </w:rPr>
        <w:t xml:space="preserve"> </w:t>
      </w:r>
      <w:r w:rsidRPr="00B867DF">
        <w:rPr>
          <w:rFonts w:asciiTheme="majorBidi" w:eastAsia="Times New Roman" w:hAnsiTheme="majorBidi" w:cstheme="majorBidi"/>
          <w:i/>
          <w:iCs/>
        </w:rPr>
        <w:t>rajul</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être humain mâle</w:t>
      </w:r>
      <w:r w:rsidRPr="00B867DF">
        <w:rPr>
          <w:rFonts w:asciiTheme="majorBidi" w:hAnsiTheme="majorBidi" w:cstheme="majorBidi"/>
        </w:rPr>
        <w:t xml:space="preserve">] ou du participe actif </w:t>
      </w:r>
      <w:r w:rsidRPr="00B867DF">
        <w:rPr>
          <w:rFonts w:asciiTheme="majorBidi" w:hAnsiTheme="majorBidi" w:cstheme="majorBidi"/>
          <w:i/>
          <w:iCs/>
        </w:rPr>
        <w:t>rājil</w:t>
      </w:r>
      <w:r w:rsidRPr="00B867DF">
        <w:rPr>
          <w:rFonts w:asciiTheme="majorBidi" w:hAnsiTheme="majorBidi" w:cstheme="majorBidi"/>
        </w:rPr>
        <w:t xml:space="preserve"> [</w:t>
      </w:r>
      <w:r w:rsidRPr="00B867DF">
        <w:rPr>
          <w:rFonts w:asciiTheme="majorBidi" w:eastAsia="Times New Roman" w:hAnsiTheme="majorBidi" w:cstheme="majorBidi"/>
        </w:rPr>
        <w:t xml:space="preserve">qui marche à pied </w:t>
      </w:r>
      <w:r w:rsidRPr="00B867DF">
        <w:rPr>
          <w:rFonts w:asciiTheme="majorBidi" w:hAnsiTheme="majorBidi" w:cstheme="majorBidi"/>
        </w:rPr>
        <w:t>[</w:t>
      </w:r>
      <w:r w:rsidRPr="00B867DF">
        <w:rPr>
          <w:rFonts w:asciiTheme="majorBidi" w:eastAsia="Times New Roman" w:hAnsiTheme="majorBidi" w:cstheme="majorBidi"/>
          <w:i/>
          <w:iCs/>
        </w:rPr>
        <w:t>rijl</w:t>
      </w:r>
      <w:r w:rsidRPr="00B867DF">
        <w:rPr>
          <w:rFonts w:asciiTheme="majorBidi" w:hAnsiTheme="majorBidi" w:cstheme="majorBidi"/>
        </w:rPr>
        <w:t>]</w:t>
      </w:r>
      <w:r w:rsidRPr="00B867DF">
        <w:rPr>
          <w:rFonts w:asciiTheme="majorBidi" w:eastAsia="Times New Roman" w:hAnsiTheme="majorBidi" w:cstheme="majorBidi"/>
        </w:rPr>
        <w:t xml:space="preserve"> (piéton) par opposition à </w:t>
      </w:r>
      <w:r w:rsidRPr="00B867DF">
        <w:rPr>
          <w:rFonts w:asciiTheme="majorBidi" w:eastAsia="Times New Roman" w:hAnsiTheme="majorBidi" w:cstheme="majorBidi"/>
          <w:i/>
          <w:iCs/>
        </w:rPr>
        <w:t>fāris</w:t>
      </w:r>
      <w:r w:rsidRPr="00B867DF">
        <w:rPr>
          <w:rFonts w:asciiTheme="majorBidi" w:eastAsia="Times New Roman" w:hAnsiTheme="majorBidi" w:cstheme="majorBidi"/>
        </w:rPr>
        <w:t xml:space="preserve"> (cavalier)</w:t>
      </w:r>
      <w:r w:rsidRPr="00B867DF">
        <w:rPr>
          <w:rFonts w:asciiTheme="majorBidi" w:hAnsiTheme="majorBidi" w:cstheme="majorBidi"/>
        </w:rPr>
        <w:t>].</w:t>
      </w:r>
    </w:p>
    <w:p w14:paraId="0CFE996A"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p>
    <w:p w14:paraId="1E5031F4"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Cependant, ces deux derniers syntagmes ont été expliqués par Ibn ʿArabī comme suit :</w:t>
      </w:r>
    </w:p>
    <w:p w14:paraId="05992B32" w14:textId="77777777" w:rsidR="00296288" w:rsidRPr="00B867DF" w:rsidRDefault="00296288" w:rsidP="007640DC">
      <w:pPr>
        <w:numPr>
          <w:ilvl w:val="0"/>
          <w:numId w:val="39"/>
        </w:numPr>
        <w:spacing w:line="360" w:lineRule="auto"/>
        <w:contextualSpacing/>
        <w:jc w:val="both"/>
        <w:rPr>
          <w:rFonts w:asciiTheme="majorBidi" w:eastAsia="Times New Roman" w:hAnsiTheme="majorBidi" w:cstheme="majorBidi"/>
          <w:lang w:bidi="ar-AE"/>
        </w:rPr>
      </w:pPr>
      <w:r w:rsidRPr="00B867DF">
        <w:rPr>
          <w:rFonts w:asciiTheme="majorBidi" w:eastAsia="Times New Roman" w:hAnsiTheme="majorBidi" w:cstheme="majorBidi"/>
          <w:i/>
          <w:iCs/>
          <w:lang w:bidi="ar-AE"/>
        </w:rPr>
        <w:t>rijāl</w:t>
      </w:r>
      <w:r w:rsidRPr="00B867DF">
        <w:rPr>
          <w:rFonts w:asciiTheme="majorBidi" w:eastAsia="Times New Roman" w:hAnsiTheme="majorBidi" w:cstheme="majorBidi"/>
          <w:i/>
          <w:iCs/>
          <w:vertAlign w:val="superscript"/>
          <w:lang w:bidi="ar-AE"/>
        </w:rPr>
        <w:t>an</w:t>
      </w:r>
      <w:r w:rsidRPr="00B867DF">
        <w:rPr>
          <w:rFonts w:asciiTheme="majorBidi" w:eastAsia="Times New Roman" w:hAnsiTheme="majorBidi" w:cstheme="majorBidi"/>
          <w:lang w:bidi="ar-AE"/>
        </w:rPr>
        <w:t> : dépourvus des caractères et des qualités psychologiques ;</w:t>
      </w:r>
    </w:p>
    <w:p w14:paraId="601AD090" w14:textId="77777777" w:rsidR="00296288" w:rsidRPr="00B867DF" w:rsidRDefault="00296288" w:rsidP="007640DC">
      <w:pPr>
        <w:numPr>
          <w:ilvl w:val="0"/>
          <w:numId w:val="39"/>
        </w:numPr>
        <w:spacing w:line="360" w:lineRule="auto"/>
        <w:contextualSpacing/>
        <w:jc w:val="both"/>
        <w:rPr>
          <w:rFonts w:asciiTheme="majorBidi" w:eastAsia="Times New Roman" w:hAnsiTheme="majorBidi" w:cstheme="majorBidi"/>
          <w:lang w:bidi="ar-AE"/>
        </w:rPr>
      </w:pPr>
      <w:r w:rsidRPr="00B867DF">
        <w:rPr>
          <w:rFonts w:asciiTheme="majorBidi" w:eastAsia="Times New Roman" w:hAnsiTheme="majorBidi" w:cstheme="majorBidi"/>
          <w:i/>
          <w:iCs/>
          <w:lang w:bidi="ar-AE"/>
        </w:rPr>
        <w:t>ʿalā kulli ḍāmir </w:t>
      </w:r>
      <w:r w:rsidRPr="00B867DF">
        <w:rPr>
          <w:rFonts w:asciiTheme="majorBidi" w:eastAsia="Times New Roman" w:hAnsiTheme="majorBidi" w:cstheme="majorBidi"/>
          <w:lang w:bidi="ar-AE"/>
        </w:rPr>
        <w:t xml:space="preserve">: sur une </w:t>
      </w:r>
      <w:r w:rsidRPr="00B867DF">
        <w:rPr>
          <w:rFonts w:asciiTheme="majorBidi" w:eastAsia="Times New Roman" w:hAnsiTheme="majorBidi" w:cstheme="majorBidi"/>
          <w:i/>
          <w:iCs/>
          <w:lang w:bidi="ar-AE"/>
        </w:rPr>
        <w:t>nafs</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lang w:bidi="ar-AE"/>
        </w:rPr>
        <w:t>âme, esprit, psyché</w:t>
      </w:r>
      <w:r w:rsidRPr="00B867DF">
        <w:rPr>
          <w:rFonts w:asciiTheme="majorBidi" w:hAnsiTheme="majorBidi" w:cstheme="majorBidi"/>
        </w:rPr>
        <w:t>]</w:t>
      </w:r>
      <w:r w:rsidRPr="00B867DF">
        <w:rPr>
          <w:rFonts w:asciiTheme="majorBidi" w:eastAsia="Times New Roman" w:hAnsiTheme="majorBidi" w:cstheme="majorBidi"/>
          <w:lang w:bidi="ar-AE"/>
        </w:rPr>
        <w:t xml:space="preserve"> amaigrie à cause de la </w:t>
      </w:r>
      <w:r w:rsidRPr="00B867DF">
        <w:rPr>
          <w:rFonts w:asciiTheme="majorBidi" w:eastAsia="Times New Roman" w:hAnsiTheme="majorBidi" w:cstheme="majorBidi"/>
          <w:i/>
          <w:iCs/>
          <w:lang w:bidi="ar-AE"/>
        </w:rPr>
        <w:t>mujāhada</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lang w:bidi="ar-AE"/>
        </w:rPr>
        <w:t xml:space="preserve">exercice spirituel pour la purification de la </w:t>
      </w:r>
      <w:r w:rsidRPr="00B867DF">
        <w:rPr>
          <w:rFonts w:asciiTheme="majorBidi" w:eastAsia="Times New Roman" w:hAnsiTheme="majorBidi" w:cstheme="majorBidi"/>
          <w:i/>
          <w:iCs/>
          <w:lang w:bidi="ar-AE"/>
        </w:rPr>
        <w:t>nafs</w:t>
      </w:r>
      <w:r w:rsidRPr="00B867DF">
        <w:rPr>
          <w:rFonts w:asciiTheme="majorBidi" w:hAnsiTheme="majorBidi" w:cstheme="majorBidi"/>
        </w:rPr>
        <w:t>]</w:t>
      </w:r>
      <w:r w:rsidRPr="00B867DF">
        <w:rPr>
          <w:rFonts w:asciiTheme="majorBidi" w:eastAsia="Times New Roman" w:hAnsiTheme="majorBidi" w:cstheme="majorBidi"/>
          <w:lang w:bidi="ar-AE"/>
        </w:rPr>
        <w:t>.</w:t>
      </w:r>
    </w:p>
    <w:p w14:paraId="7FC01560" w14:textId="77777777" w:rsidR="00296288" w:rsidRPr="00B867DF" w:rsidRDefault="00296288" w:rsidP="00296288">
      <w:pPr>
        <w:spacing w:line="360" w:lineRule="auto"/>
        <w:contextualSpacing/>
        <w:jc w:val="both"/>
        <w:rPr>
          <w:rFonts w:asciiTheme="majorBidi" w:eastAsia="Times New Roman" w:hAnsiTheme="majorBidi" w:cstheme="majorBidi"/>
          <w:lang w:bidi="ar-AE"/>
        </w:rPr>
      </w:pPr>
    </w:p>
    <w:p w14:paraId="070107C1"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Il est à signaler que certains exégètes (comme </w:t>
      </w:r>
      <w:r w:rsidRPr="00B867DF">
        <w:rPr>
          <w:rFonts w:asciiTheme="majorBidi" w:eastAsia="Times New Roman" w:hAnsiTheme="majorBidi" w:cstheme="majorBidi"/>
          <w:lang w:bidi="ar-EG"/>
        </w:rPr>
        <w:t>Athīr Ad-Dīn Al-Andalusī dans</w:t>
      </w:r>
      <w:r w:rsidRPr="00B867DF">
        <w:rPr>
          <w:rFonts w:asciiTheme="majorBidi" w:eastAsia="Times New Roman" w:hAnsiTheme="majorBidi" w:cstheme="majorBidi"/>
          <w:i/>
          <w:iCs/>
          <w:lang w:bidi="ar-EG"/>
        </w:rPr>
        <w:t xml:space="preserve"> Al-Baḥr Al-Muḥīṭ</w:t>
      </w:r>
      <w:r w:rsidRPr="00B867DF">
        <w:rPr>
          <w:rFonts w:asciiTheme="majorBidi" w:eastAsia="Times New Roman" w:hAnsiTheme="majorBidi" w:cstheme="majorBidi"/>
          <w:lang w:bidi="ar-AE"/>
        </w:rPr>
        <w:t xml:space="preserve">) ont donné une interprétation à l’ordre des mots. Ils ont dit que le pèlerinage à pied est préféré au pèlerinage sur une monture, parce que Dieu a évoqué le mot </w:t>
      </w:r>
      <w:r w:rsidRPr="00B867DF">
        <w:rPr>
          <w:rFonts w:asciiTheme="majorBidi" w:eastAsia="Times New Roman" w:hAnsiTheme="majorBidi" w:cstheme="majorBidi"/>
          <w:i/>
          <w:iCs/>
          <w:lang w:bidi="ar-AE"/>
        </w:rPr>
        <w:t>rijālan</w:t>
      </w:r>
      <w:r w:rsidRPr="00B867DF">
        <w:rPr>
          <w:rFonts w:asciiTheme="majorBidi" w:eastAsia="Times New Roman" w:hAnsiTheme="majorBidi" w:cstheme="majorBidi"/>
          <w:lang w:bidi="ar-AE"/>
        </w:rPr>
        <w:t xml:space="preserve"> avant le syntagme prépositionnel </w:t>
      </w:r>
      <w:r w:rsidRPr="00B867DF">
        <w:rPr>
          <w:rFonts w:asciiTheme="majorBidi" w:eastAsia="Times New Roman" w:hAnsiTheme="majorBidi" w:cstheme="majorBidi"/>
          <w:i/>
          <w:iCs/>
          <w:lang w:bidi="ar-AE"/>
        </w:rPr>
        <w:t>ʿalā kulli ḍāmir</w:t>
      </w:r>
      <w:r w:rsidRPr="00B867DF">
        <w:rPr>
          <w:rFonts w:asciiTheme="majorBidi" w:eastAsia="Times New Roman" w:hAnsiTheme="majorBidi" w:cstheme="majorBidi"/>
          <w:lang w:bidi="ar-AE"/>
        </w:rPr>
        <w:t>.</w:t>
      </w:r>
    </w:p>
    <w:p w14:paraId="4D931E9A" w14:textId="77777777" w:rsidR="00296288" w:rsidRPr="00B867DF" w:rsidRDefault="00296288" w:rsidP="00296288">
      <w:pPr>
        <w:spacing w:line="360" w:lineRule="auto"/>
        <w:jc w:val="both"/>
        <w:rPr>
          <w:rFonts w:asciiTheme="majorBidi" w:eastAsia="Calibri" w:hAnsiTheme="majorBidi" w:cstheme="majorBidi"/>
          <w:lang w:bidi="ar-AE"/>
        </w:rPr>
      </w:pPr>
    </w:p>
    <w:p w14:paraId="2009C939"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 verset 27 a utilisé l’adjectif </w:t>
      </w:r>
      <w:r w:rsidRPr="00B867DF">
        <w:rPr>
          <w:rFonts w:asciiTheme="majorBidi" w:eastAsia="Times New Roman" w:hAnsiTheme="majorBidi" w:cstheme="majorBidi"/>
          <w:i/>
          <w:iCs/>
          <w:lang w:bidi="ar-AE"/>
        </w:rPr>
        <w:t>ʿamīq</w:t>
      </w:r>
      <w:r w:rsidRPr="00B867DF">
        <w:rPr>
          <w:rFonts w:asciiTheme="majorBidi" w:eastAsia="Times New Roman" w:hAnsiTheme="majorBidi" w:cstheme="majorBidi"/>
          <w:lang w:bidi="ar-AE"/>
        </w:rPr>
        <w:t xml:space="preserve"> [profond] pour qualifier le </w:t>
      </w:r>
      <w:r w:rsidRPr="00B867DF">
        <w:rPr>
          <w:rFonts w:asciiTheme="majorBidi" w:eastAsia="Times New Roman" w:hAnsiTheme="majorBidi" w:cstheme="majorBidi"/>
          <w:i/>
          <w:iCs/>
          <w:lang w:bidi="ar-AE"/>
        </w:rPr>
        <w:t>fajj</w:t>
      </w:r>
      <w:r w:rsidRPr="00B867DF">
        <w:rPr>
          <w:rFonts w:asciiTheme="majorBidi" w:eastAsia="Times New Roman" w:hAnsiTheme="majorBidi" w:cstheme="majorBidi"/>
          <w:lang w:bidi="ar-AE"/>
        </w:rPr>
        <w:t xml:space="preserve"> [défilé, col, gorge d’une montagne] d’où viennent les pèlerins. Les exégètes ont donné à cet adject</w:t>
      </w:r>
      <w:r>
        <w:rPr>
          <w:rFonts w:asciiTheme="majorBidi" w:eastAsia="Times New Roman" w:hAnsiTheme="majorBidi" w:cstheme="majorBidi"/>
          <w:lang w:bidi="ar-AE"/>
        </w:rPr>
        <w:t xml:space="preserve">if plusieurs significations : 1) lointain ; 2) </w:t>
      </w:r>
      <w:r w:rsidRPr="00B867DF">
        <w:rPr>
          <w:rFonts w:asciiTheme="majorBidi" w:eastAsia="Times New Roman" w:hAnsiTheme="majorBidi" w:cstheme="majorBidi"/>
          <w:lang w:bidi="ar-AE"/>
        </w:rPr>
        <w:t>large ; 3</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en compagnie de l’imam, avec l’accompagnement spirituel de l’imam (Shaykhū) ; 4</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 xml:space="preserve">très lointain au fond de la nature </w:t>
      </w:r>
      <w:r w:rsidRPr="00B867DF">
        <w:rPr>
          <w:rFonts w:asciiTheme="majorBidi" w:hAnsiTheme="majorBidi" w:cstheme="majorBidi"/>
        </w:rPr>
        <w:t>[</w:t>
      </w:r>
      <w:r w:rsidRPr="00B867DF">
        <w:rPr>
          <w:rFonts w:asciiTheme="majorBidi" w:eastAsia="Times New Roman" w:hAnsiTheme="majorBidi" w:cstheme="majorBidi"/>
        </w:rPr>
        <w:t>de l’âme</w:t>
      </w:r>
      <w:r w:rsidRPr="00B867DF">
        <w:rPr>
          <w:rFonts w:asciiTheme="majorBidi" w:hAnsiTheme="majorBidi" w:cstheme="majorBidi"/>
        </w:rPr>
        <w:t>]</w:t>
      </w:r>
      <w:r w:rsidRPr="00B867DF">
        <w:rPr>
          <w:rFonts w:asciiTheme="majorBidi" w:eastAsia="Times New Roman" w:hAnsiTheme="majorBidi" w:cstheme="majorBidi"/>
          <w:lang w:bidi="ar-AE"/>
        </w:rPr>
        <w:t xml:space="preserve"> (Ibn ʿArabī) ; 5</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une allusion à la sphéricité de la terre (</w:t>
      </w:r>
      <w:r w:rsidRPr="00B867DF">
        <w:rPr>
          <w:rFonts w:asciiTheme="majorBidi" w:eastAsia="Calibri" w:hAnsiTheme="majorBidi" w:cstheme="majorBidi"/>
          <w:lang w:bidi="ar-AE"/>
        </w:rPr>
        <w:t>Zaghlūl An-Najjār</w:t>
      </w:r>
      <w:r w:rsidRPr="00B867DF">
        <w:rPr>
          <w:rFonts w:asciiTheme="majorBidi" w:eastAsia="Times New Roman" w:hAnsiTheme="majorBidi" w:cstheme="majorBidi"/>
          <w:lang w:bidi="ar-AE"/>
        </w:rPr>
        <w:t>).</w:t>
      </w:r>
    </w:p>
    <w:p w14:paraId="327949ED" w14:textId="77777777" w:rsidR="00296288" w:rsidRPr="00B867DF" w:rsidRDefault="00296288" w:rsidP="00296288">
      <w:pPr>
        <w:spacing w:line="360" w:lineRule="auto"/>
        <w:contextualSpacing/>
        <w:jc w:val="both"/>
        <w:rPr>
          <w:rFonts w:asciiTheme="majorBidi" w:eastAsia="Times New Roman" w:hAnsiTheme="majorBidi" w:cstheme="majorBidi"/>
          <w:lang w:bidi="ar-AE"/>
        </w:rPr>
      </w:pPr>
    </w:p>
    <w:p w14:paraId="7215E81B" w14:textId="77777777" w:rsidR="00296288" w:rsidRPr="00957BC3" w:rsidRDefault="00296288" w:rsidP="00296288">
      <w:pPr>
        <w:spacing w:line="360" w:lineRule="auto"/>
        <w:ind w:firstLine="360"/>
        <w:contextualSpacing/>
        <w:jc w:val="both"/>
        <w:rPr>
          <w:rFonts w:asciiTheme="majorBidi" w:eastAsia="Calibri" w:hAnsiTheme="majorBidi" w:cstheme="majorBidi"/>
          <w:lang w:bidi="ar-AE"/>
        </w:rPr>
      </w:pPr>
      <w:r w:rsidRPr="00B867DF">
        <w:rPr>
          <w:rFonts w:asciiTheme="majorBidi" w:eastAsia="Times New Roman" w:hAnsiTheme="majorBidi" w:cstheme="majorBidi"/>
          <w:lang w:bidi="ar-AE"/>
        </w:rPr>
        <w:t xml:space="preserve">Le verset 28 évoque deux objectifs du pèlerinage : avoir des avantages </w:t>
      </w:r>
      <w:r w:rsidRPr="00B867DF">
        <w:rPr>
          <w:rFonts w:asciiTheme="majorBidi" w:hAnsiTheme="majorBidi" w:cstheme="majorBidi"/>
        </w:rPr>
        <w:t>[</w:t>
      </w:r>
      <w:r w:rsidRPr="00B867DF">
        <w:rPr>
          <w:rFonts w:asciiTheme="majorBidi" w:eastAsia="Times New Roman" w:hAnsiTheme="majorBidi" w:cstheme="majorBidi"/>
          <w:i/>
          <w:iCs/>
          <w:lang w:bidi="ar-AE"/>
        </w:rPr>
        <w:t>manāfiʿ</w:t>
      </w:r>
      <w:r w:rsidRPr="00B867DF">
        <w:rPr>
          <w:rFonts w:asciiTheme="majorBidi" w:hAnsiTheme="majorBidi" w:cstheme="majorBidi"/>
        </w:rPr>
        <w:t>]</w:t>
      </w:r>
      <w:r w:rsidRPr="00B867DF">
        <w:rPr>
          <w:rFonts w:asciiTheme="majorBidi" w:eastAsia="Times New Roman" w:hAnsiTheme="majorBidi" w:cstheme="majorBidi"/>
          <w:lang w:bidi="ar-AE"/>
        </w:rPr>
        <w:t xml:space="preserve"> et évoquer le nom de Dieu comme signe de reconnaissance. Les </w:t>
      </w:r>
      <w:r w:rsidRPr="00B867DF">
        <w:rPr>
          <w:rFonts w:asciiTheme="majorBidi" w:eastAsia="Times New Roman" w:hAnsiTheme="majorBidi" w:cstheme="majorBidi"/>
          <w:i/>
          <w:iCs/>
          <w:lang w:bidi="ar-AE"/>
        </w:rPr>
        <w:t>manāfiʿ</w:t>
      </w:r>
      <w:r w:rsidRPr="00B867DF">
        <w:rPr>
          <w:rFonts w:asciiTheme="majorBidi" w:eastAsia="Times New Roman" w:hAnsiTheme="majorBidi" w:cstheme="majorBidi"/>
          <w:lang w:bidi="ar-AE"/>
        </w:rPr>
        <w:t xml:space="preserve"> [pl. de </w:t>
      </w:r>
      <w:r w:rsidRPr="00B867DF">
        <w:rPr>
          <w:rFonts w:asciiTheme="majorBidi" w:eastAsia="Times New Roman" w:hAnsiTheme="majorBidi" w:cstheme="majorBidi"/>
          <w:i/>
          <w:iCs/>
          <w:lang w:bidi="ar-AE"/>
        </w:rPr>
        <w:t>manfaʿa</w:t>
      </w:r>
      <w:r w:rsidRPr="00B867DF">
        <w:rPr>
          <w:rFonts w:asciiTheme="majorBidi" w:eastAsia="Times New Roman" w:hAnsiTheme="majorBidi" w:cstheme="majorBidi"/>
          <w:lang w:bidi="ar-AE"/>
        </w:rPr>
        <w:t xml:space="preserve">, bénéfice] désignent selon les exégètes </w:t>
      </w:r>
      <w:r>
        <w:rPr>
          <w:rFonts w:asciiTheme="majorBidi" w:eastAsia="Times New Roman" w:hAnsiTheme="majorBidi" w:cstheme="majorBidi"/>
          <w:lang w:bidi="ar-AE"/>
        </w:rPr>
        <w:t xml:space="preserve">un large champ sémantique : 1) le commerce ; 2) </w:t>
      </w:r>
      <w:r w:rsidRPr="00B867DF">
        <w:rPr>
          <w:rFonts w:asciiTheme="majorBidi" w:eastAsia="Times New Roman" w:hAnsiTheme="majorBidi" w:cstheme="majorBidi"/>
          <w:lang w:bidi="ar-AE"/>
        </w:rPr>
        <w:t>des marchés ; 3</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lastRenderedPageBreak/>
        <w:t>toute sorte de profits terrestres ; 4</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une récompense et un pardon dans la vie après la mort ; 5</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des bénéfices dans l’ici-bas et dans l’autre monde ; 6</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le chemin qui mène au bonheur (Shaykhū) ; 7</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des avantages dans l’au-delà seulement, le salut de l’âme, et non pas des avantages terrestres (Shaykhū</w:t>
      </w:r>
      <w:r>
        <w:rPr>
          <w:rFonts w:asciiTheme="majorBidi" w:eastAsia="Times New Roman" w:hAnsiTheme="majorBidi" w:cstheme="majorBidi"/>
          <w:lang w:bidi="ar-AE"/>
        </w:rPr>
        <w:t xml:space="preserve">) ; 8) </w:t>
      </w:r>
      <w:r w:rsidRPr="00B867DF">
        <w:rPr>
          <w:rFonts w:asciiTheme="majorBidi" w:eastAsia="Times New Roman" w:hAnsiTheme="majorBidi" w:cstheme="majorBidi"/>
          <w:lang w:bidi="ar-AE"/>
        </w:rPr>
        <w:t xml:space="preserve">les intérêts intellectuels et pratiques que procure le </w:t>
      </w:r>
      <w:r w:rsidRPr="00B867DF">
        <w:rPr>
          <w:rFonts w:asciiTheme="majorBidi" w:eastAsia="Times New Roman" w:hAnsiTheme="majorBidi" w:cstheme="majorBidi"/>
          <w:i/>
          <w:iCs/>
          <w:lang w:bidi="ar-AE"/>
        </w:rPr>
        <w:t>maqām al-qalb</w:t>
      </w:r>
      <w:r w:rsidRPr="00B867DF">
        <w:rPr>
          <w:rFonts w:asciiTheme="majorBidi" w:eastAsia="Times New Roman" w:hAnsiTheme="majorBidi" w:cstheme="majorBidi"/>
          <w:lang w:bidi="ar-AE"/>
        </w:rPr>
        <w:t xml:space="preserve"> [la demeure du cœur]</w:t>
      </w:r>
      <w:r>
        <w:rPr>
          <w:rFonts w:asciiTheme="majorBidi" w:eastAsia="Calibri" w:hAnsiTheme="majorBidi" w:cstheme="majorBidi"/>
          <w:lang w:bidi="ar-AE"/>
        </w:rPr>
        <w:t xml:space="preserve"> (Ibn ʿArabī) ; 9) </w:t>
      </w:r>
      <w:r w:rsidRPr="00B867DF">
        <w:rPr>
          <w:rFonts w:asciiTheme="majorBidi" w:eastAsia="Times New Roman" w:hAnsiTheme="majorBidi" w:cstheme="majorBidi"/>
          <w:lang w:bidi="ar-AE"/>
        </w:rPr>
        <w:t>la fortification du système immunitaire (à travers les efforts physiques, psychologiques et spirituels)</w:t>
      </w:r>
      <w:r w:rsidRPr="00B867DF">
        <w:rPr>
          <w:rFonts w:asciiTheme="majorBidi" w:eastAsia="Times New Roman" w:hAnsiTheme="majorBidi" w:cstheme="majorBidi"/>
          <w:vertAlign w:val="superscript"/>
          <w:lang w:bidi="ar-AE"/>
        </w:rPr>
        <w:footnoteReference w:id="266"/>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 xml:space="preserve"> En bref, les avantages sont matériels et moraux, économiques et psychologiques. En réalité, un coup d’œil rapide sur le côté économique du pèlerinage nous révèle combien il </w:t>
      </w:r>
      <w:r w:rsidRPr="00957BC3">
        <w:rPr>
          <w:rFonts w:asciiTheme="majorBidi" w:eastAsia="Calibri" w:hAnsiTheme="majorBidi" w:cstheme="majorBidi"/>
          <w:lang w:bidi="ar-AE"/>
        </w:rPr>
        <w:t>rapporte à l’Arabie saoudite (17,6 milliards de dollars en 2010)</w:t>
      </w:r>
      <w:r w:rsidRPr="00957BC3">
        <w:rPr>
          <w:rFonts w:asciiTheme="majorBidi" w:eastAsia="Times New Roman" w:hAnsiTheme="majorBidi" w:cstheme="majorBidi"/>
          <w:vertAlign w:val="superscript"/>
          <w:lang w:bidi="ar-AE"/>
        </w:rPr>
        <w:footnoteReference w:id="267"/>
      </w:r>
      <w:r w:rsidRPr="00957BC3">
        <w:rPr>
          <w:rFonts w:asciiTheme="majorBidi" w:eastAsia="Calibri" w:hAnsiTheme="majorBidi" w:cstheme="majorBidi"/>
          <w:lang w:bidi="ar-AE"/>
        </w:rPr>
        <w:t>. Le tourisme religieux est un marché extrêmement rentable.</w:t>
      </w:r>
    </w:p>
    <w:p w14:paraId="4D7639EF" w14:textId="77777777" w:rsidR="00296288" w:rsidRPr="00957BC3" w:rsidRDefault="00296288" w:rsidP="00296288">
      <w:pPr>
        <w:spacing w:line="360" w:lineRule="auto"/>
        <w:contextualSpacing/>
        <w:jc w:val="both"/>
        <w:rPr>
          <w:rFonts w:asciiTheme="majorBidi" w:eastAsia="Calibri" w:hAnsiTheme="majorBidi" w:cstheme="majorBidi"/>
          <w:lang w:bidi="ar-AE"/>
        </w:rPr>
      </w:pPr>
    </w:p>
    <w:p w14:paraId="4B9975D7" w14:textId="77777777" w:rsidR="00296288" w:rsidRPr="00B867DF" w:rsidRDefault="00296288" w:rsidP="00296288">
      <w:pPr>
        <w:spacing w:line="360" w:lineRule="auto"/>
        <w:ind w:firstLine="360"/>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Le verset 28 souligne que le premier but du pèlerinage est d’avoir des avantages et que le second est de rappeler le nom d’Allah en « des jours bien connus » </w:t>
      </w:r>
      <w:r w:rsidRPr="00B867DF">
        <w:rPr>
          <w:rFonts w:asciiTheme="majorBidi" w:hAnsiTheme="majorBidi" w:cstheme="majorBidi"/>
        </w:rPr>
        <w:t>[</w:t>
      </w:r>
      <w:r w:rsidRPr="00B867DF">
        <w:rPr>
          <w:rFonts w:asciiTheme="majorBidi" w:eastAsia="Calibri" w:hAnsiTheme="majorBidi" w:cstheme="majorBidi"/>
          <w:i/>
          <w:iCs/>
          <w:lang w:bidi="ar-AE"/>
        </w:rPr>
        <w:t>ayyām maʿlūmāt</w:t>
      </w:r>
      <w:r w:rsidRPr="00B867DF">
        <w:rPr>
          <w:rFonts w:asciiTheme="majorBidi" w:hAnsiTheme="majorBidi" w:cstheme="majorBidi"/>
        </w:rPr>
        <w:t>],</w:t>
      </w:r>
      <w:r w:rsidRPr="00B867DF">
        <w:rPr>
          <w:rFonts w:asciiTheme="majorBidi" w:eastAsia="Calibri" w:hAnsiTheme="majorBidi" w:cstheme="majorBidi"/>
          <w:lang w:bidi="ar-AE"/>
        </w:rPr>
        <w:t xml:space="preserve"> mais le verset n’a pas précisé ces jours. Les exégètes soulignent qu’il s’agit :</w:t>
      </w:r>
    </w:p>
    <w:p w14:paraId="594AA826" w14:textId="77777777" w:rsidR="00296288" w:rsidRPr="00B867DF" w:rsidRDefault="00296288" w:rsidP="007640DC">
      <w:pPr>
        <w:numPr>
          <w:ilvl w:val="0"/>
          <w:numId w:val="40"/>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des </w:t>
      </w:r>
      <w:r w:rsidRPr="00B867DF">
        <w:rPr>
          <w:rFonts w:asciiTheme="majorBidi" w:eastAsia="Calibri" w:hAnsiTheme="majorBidi" w:cstheme="majorBidi"/>
          <w:i/>
          <w:iCs/>
          <w:lang w:bidi="ar-AE"/>
        </w:rPr>
        <w:t>trois</w:t>
      </w:r>
      <w:r w:rsidRPr="00B867DF">
        <w:rPr>
          <w:rFonts w:asciiTheme="majorBidi" w:eastAsia="Calibri" w:hAnsiTheme="majorBidi" w:cstheme="majorBidi"/>
          <w:lang w:bidi="ar-AE"/>
        </w:rPr>
        <w:t xml:space="preserve"> jours de </w:t>
      </w:r>
      <w:r w:rsidRPr="00B867DF">
        <w:rPr>
          <w:rFonts w:asciiTheme="majorBidi" w:eastAsia="Calibri" w:hAnsiTheme="majorBidi" w:cstheme="majorBidi"/>
          <w:i/>
          <w:iCs/>
          <w:lang w:bidi="ar-AE"/>
        </w:rPr>
        <w:t>tashrīq</w:t>
      </w:r>
      <w:r w:rsidRPr="00B867DF">
        <w:rPr>
          <w:rFonts w:asciiTheme="majorBidi" w:eastAsia="Calibri" w:hAnsiTheme="majorBidi" w:cstheme="majorBidi"/>
          <w:lang w:bidi="ar-AE"/>
        </w:rPr>
        <w:t xml:space="preserve"> (les trois jours qui suivent le jour du sacrifice </w:t>
      </w:r>
      <w:r w:rsidRPr="00B867DF">
        <w:rPr>
          <w:rFonts w:asciiTheme="majorBidi" w:hAnsiTheme="majorBidi" w:cstheme="majorBidi"/>
        </w:rPr>
        <w:t>[</w:t>
      </w:r>
      <w:r w:rsidRPr="00B867DF">
        <w:rPr>
          <w:rFonts w:asciiTheme="majorBidi" w:eastAsia="Calibri" w:hAnsiTheme="majorBidi" w:cstheme="majorBidi"/>
          <w:i/>
          <w:iCs/>
          <w:lang w:bidi="ar-AE"/>
        </w:rPr>
        <w:t>al-ʾaḍḥā</w:t>
      </w:r>
      <w:r w:rsidRPr="00B867DF">
        <w:rPr>
          <w:rFonts w:asciiTheme="majorBidi" w:hAnsiTheme="majorBidi" w:cstheme="majorBidi"/>
        </w:rPr>
        <w:t>]</w:t>
      </w:r>
      <w:r w:rsidRPr="00B867DF">
        <w:rPr>
          <w:rFonts w:asciiTheme="majorBidi" w:eastAsia="Calibri" w:hAnsiTheme="majorBidi" w:cstheme="majorBidi"/>
          <w:lang w:bidi="ar-AE"/>
        </w:rPr>
        <w:t>) ;</w:t>
      </w:r>
    </w:p>
    <w:p w14:paraId="20219AFD" w14:textId="77777777" w:rsidR="00296288" w:rsidRPr="00B867DF" w:rsidRDefault="00296288" w:rsidP="007640DC">
      <w:pPr>
        <w:numPr>
          <w:ilvl w:val="0"/>
          <w:numId w:val="40"/>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des </w:t>
      </w:r>
      <w:r w:rsidRPr="00B867DF">
        <w:rPr>
          <w:rFonts w:asciiTheme="majorBidi" w:eastAsia="Calibri" w:hAnsiTheme="majorBidi" w:cstheme="majorBidi"/>
          <w:i/>
          <w:iCs/>
          <w:lang w:bidi="ar-AE"/>
        </w:rPr>
        <w:t>dix</w:t>
      </w:r>
      <w:r w:rsidRPr="00B867DF">
        <w:rPr>
          <w:rFonts w:asciiTheme="majorBidi" w:eastAsia="Calibri" w:hAnsiTheme="majorBidi" w:cstheme="majorBidi"/>
          <w:lang w:bidi="ar-AE"/>
        </w:rPr>
        <w:t xml:space="preserve"> premiers jours du 12</w:t>
      </w:r>
      <w:r w:rsidRPr="00B867DF">
        <w:rPr>
          <w:rFonts w:asciiTheme="majorBidi" w:eastAsia="Calibri" w:hAnsiTheme="majorBidi" w:cstheme="majorBidi"/>
          <w:vertAlign w:val="superscript"/>
          <w:lang w:bidi="ar-AE"/>
        </w:rPr>
        <w:t>e</w:t>
      </w:r>
      <w:r w:rsidRPr="00B867DF">
        <w:rPr>
          <w:rFonts w:asciiTheme="majorBidi" w:eastAsia="Calibri" w:hAnsiTheme="majorBidi" w:cstheme="majorBidi"/>
          <w:lang w:bidi="ar-AE"/>
        </w:rPr>
        <w:t xml:space="preserve"> mois du calendrier hégirien (le mois de </w:t>
      </w:r>
      <w:r w:rsidRPr="00B867DF">
        <w:rPr>
          <w:rFonts w:asciiTheme="majorBidi" w:eastAsia="Calibri" w:hAnsiTheme="majorBidi" w:cstheme="majorBidi"/>
          <w:i/>
          <w:iCs/>
          <w:lang w:bidi="ar-AE"/>
        </w:rPr>
        <w:t>dhu l-ḥijja</w:t>
      </w:r>
      <w:r w:rsidRPr="00B867DF">
        <w:rPr>
          <w:rFonts w:asciiTheme="majorBidi" w:eastAsia="Calibri" w:hAnsiTheme="majorBidi" w:cstheme="majorBidi"/>
          <w:lang w:bidi="ar-AE"/>
        </w:rPr>
        <w:t>) (selon Ibn Kathīr d’après Ibn ʿAbbās) ;</w:t>
      </w:r>
    </w:p>
    <w:p w14:paraId="4443A5F0" w14:textId="77777777" w:rsidR="00296288" w:rsidRPr="00B867DF" w:rsidRDefault="00296288" w:rsidP="007640DC">
      <w:pPr>
        <w:numPr>
          <w:ilvl w:val="0"/>
          <w:numId w:val="40"/>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du jour du sacrifice et des </w:t>
      </w:r>
      <w:r w:rsidRPr="00B867DF">
        <w:rPr>
          <w:rFonts w:asciiTheme="majorBidi" w:eastAsia="Calibri" w:hAnsiTheme="majorBidi" w:cstheme="majorBidi"/>
          <w:i/>
          <w:iCs/>
          <w:lang w:bidi="ar-AE"/>
        </w:rPr>
        <w:t>trois</w:t>
      </w:r>
      <w:r w:rsidRPr="00B867DF">
        <w:rPr>
          <w:rFonts w:asciiTheme="majorBidi" w:eastAsia="Calibri" w:hAnsiTheme="majorBidi" w:cstheme="majorBidi"/>
          <w:lang w:bidi="ar-AE"/>
        </w:rPr>
        <w:t xml:space="preserve"> jours qui le suivent ;</w:t>
      </w:r>
    </w:p>
    <w:p w14:paraId="7241D3B5" w14:textId="77777777" w:rsidR="00296288" w:rsidRPr="00B867DF" w:rsidRDefault="00296288" w:rsidP="007640DC">
      <w:pPr>
        <w:numPr>
          <w:ilvl w:val="0"/>
          <w:numId w:val="40"/>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du jour du sacrifice et des </w:t>
      </w:r>
      <w:r w:rsidRPr="00B867DF">
        <w:rPr>
          <w:rFonts w:asciiTheme="majorBidi" w:eastAsia="Calibri" w:hAnsiTheme="majorBidi" w:cstheme="majorBidi"/>
          <w:i/>
          <w:iCs/>
          <w:lang w:bidi="ar-AE"/>
        </w:rPr>
        <w:t>deux</w:t>
      </w:r>
      <w:r w:rsidRPr="00B867DF">
        <w:rPr>
          <w:rFonts w:asciiTheme="majorBidi" w:eastAsia="Calibri" w:hAnsiTheme="majorBidi" w:cstheme="majorBidi"/>
          <w:lang w:bidi="ar-AE"/>
        </w:rPr>
        <w:t xml:space="preserve"> jours suivants ;</w:t>
      </w:r>
    </w:p>
    <w:p w14:paraId="6263B9B1" w14:textId="77777777" w:rsidR="00296288" w:rsidRPr="00B867DF" w:rsidRDefault="00296288" w:rsidP="007640DC">
      <w:pPr>
        <w:numPr>
          <w:ilvl w:val="0"/>
          <w:numId w:val="40"/>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des </w:t>
      </w:r>
      <w:r w:rsidRPr="00B867DF">
        <w:rPr>
          <w:rFonts w:asciiTheme="majorBidi" w:eastAsia="Calibri" w:hAnsiTheme="majorBidi" w:cstheme="majorBidi"/>
          <w:i/>
          <w:iCs/>
          <w:lang w:bidi="ar-AE"/>
        </w:rPr>
        <w:t>trois</w:t>
      </w:r>
      <w:r w:rsidRPr="00B867DF">
        <w:rPr>
          <w:rFonts w:asciiTheme="majorBidi" w:eastAsia="Calibri" w:hAnsiTheme="majorBidi" w:cstheme="majorBidi"/>
          <w:lang w:bidi="ar-AE"/>
        </w:rPr>
        <w:t xml:space="preserve"> jours de </w:t>
      </w:r>
      <w:r w:rsidRPr="00B867DF">
        <w:rPr>
          <w:rFonts w:asciiTheme="majorBidi" w:eastAsia="Calibri" w:hAnsiTheme="majorBidi" w:cstheme="majorBidi"/>
          <w:i/>
          <w:iCs/>
          <w:lang w:bidi="ar-AE"/>
        </w:rPr>
        <w:t>tashrīq</w:t>
      </w:r>
      <w:r w:rsidRPr="00B867DF">
        <w:rPr>
          <w:rFonts w:asciiTheme="majorBidi" w:eastAsia="Calibri" w:hAnsiTheme="majorBidi" w:cstheme="majorBidi"/>
          <w:lang w:bidi="ar-AE"/>
        </w:rPr>
        <w:t xml:space="preserve">, du jour de </w:t>
      </w:r>
      <w:r w:rsidRPr="00B867DF">
        <w:rPr>
          <w:rFonts w:asciiTheme="majorBidi" w:eastAsia="Calibri" w:hAnsiTheme="majorBidi" w:cstheme="majorBidi"/>
          <w:i/>
          <w:iCs/>
          <w:lang w:bidi="ar-AE"/>
        </w:rPr>
        <w:t>tarwiya</w:t>
      </w:r>
      <w:r w:rsidRPr="00B867DF">
        <w:rPr>
          <w:rFonts w:asciiTheme="majorBidi" w:eastAsia="Calibri" w:hAnsiTheme="majorBidi" w:cstheme="majorBidi"/>
          <w:lang w:bidi="ar-AE"/>
        </w:rPr>
        <w:t xml:space="preserve"> (le huitième jour du mois de </w:t>
      </w:r>
      <w:r w:rsidRPr="00B867DF">
        <w:rPr>
          <w:rFonts w:asciiTheme="majorBidi" w:eastAsia="Calibri" w:hAnsiTheme="majorBidi" w:cstheme="majorBidi"/>
          <w:i/>
          <w:iCs/>
          <w:lang w:bidi="ar-AE"/>
        </w:rPr>
        <w:t>dhu l-ḥijja</w:t>
      </w:r>
      <w:r w:rsidRPr="00B867DF">
        <w:rPr>
          <w:rFonts w:asciiTheme="majorBidi" w:eastAsia="Calibri" w:hAnsiTheme="majorBidi" w:cstheme="majorBidi"/>
          <w:lang w:bidi="ar-AE"/>
        </w:rPr>
        <w:t xml:space="preserve">) et du jour de </w:t>
      </w:r>
      <w:r w:rsidRPr="00B867DF">
        <w:rPr>
          <w:rFonts w:asciiTheme="majorBidi" w:eastAsia="Calibri" w:hAnsiTheme="majorBidi" w:cstheme="majorBidi"/>
          <w:i/>
          <w:iCs/>
          <w:lang w:bidi="ar-AE"/>
        </w:rPr>
        <w:t>ʿarafa</w:t>
      </w:r>
      <w:r w:rsidRPr="00B867DF">
        <w:rPr>
          <w:rFonts w:asciiTheme="majorBidi" w:eastAsia="Calibri" w:hAnsiTheme="majorBidi" w:cstheme="majorBidi"/>
          <w:lang w:bidi="ar-AE"/>
        </w:rPr>
        <w:t> (le 9</w:t>
      </w:r>
      <w:r w:rsidRPr="00B867DF">
        <w:rPr>
          <w:rFonts w:asciiTheme="majorBidi" w:eastAsia="Calibri" w:hAnsiTheme="majorBidi" w:cstheme="majorBidi"/>
          <w:vertAlign w:val="superscript"/>
          <w:lang w:bidi="ar-AE"/>
        </w:rPr>
        <w:t>ème</w:t>
      </w:r>
      <w:r w:rsidRPr="00B867DF">
        <w:rPr>
          <w:rFonts w:asciiTheme="majorBidi" w:eastAsia="Calibri" w:hAnsiTheme="majorBidi" w:cstheme="majorBidi"/>
          <w:lang w:bidi="ar-AE"/>
        </w:rPr>
        <w:t xml:space="preserve"> jour du mois de </w:t>
      </w:r>
      <w:r w:rsidRPr="00B867DF">
        <w:rPr>
          <w:rFonts w:asciiTheme="majorBidi" w:eastAsia="Calibri" w:hAnsiTheme="majorBidi" w:cstheme="majorBidi"/>
          <w:i/>
          <w:iCs/>
          <w:lang w:bidi="ar-AE"/>
        </w:rPr>
        <w:t>dhu l-ḥijja</w:t>
      </w:r>
      <w:r w:rsidRPr="00B867DF">
        <w:rPr>
          <w:rFonts w:asciiTheme="majorBidi" w:eastAsia="Calibri" w:hAnsiTheme="majorBidi" w:cstheme="majorBidi"/>
          <w:lang w:bidi="ar-AE"/>
        </w:rPr>
        <w:t>) ;</w:t>
      </w:r>
    </w:p>
    <w:p w14:paraId="26D7ADB8" w14:textId="77777777" w:rsidR="00296288" w:rsidRPr="00B867DF" w:rsidRDefault="00296288" w:rsidP="007640DC">
      <w:pPr>
        <w:numPr>
          <w:ilvl w:val="0"/>
          <w:numId w:val="40"/>
        </w:numPr>
        <w:spacing w:line="360" w:lineRule="auto"/>
        <w:contextualSpacing/>
        <w:jc w:val="both"/>
        <w:rPr>
          <w:rFonts w:asciiTheme="majorBidi" w:eastAsia="Calibri" w:hAnsiTheme="majorBidi" w:cstheme="majorBidi"/>
          <w:lang w:bidi="ar-AE"/>
        </w:rPr>
      </w:pPr>
      <w:r w:rsidRPr="00B867DF">
        <w:rPr>
          <w:rFonts w:asciiTheme="majorBidi" w:eastAsia="Calibri" w:hAnsiTheme="majorBidi" w:cstheme="majorBidi"/>
          <w:lang w:bidi="ar-AE"/>
        </w:rPr>
        <w:t>des lumières des manifestations et de l’extase [</w:t>
      </w:r>
      <w:r w:rsidRPr="00B867DF">
        <w:rPr>
          <w:rFonts w:asciiTheme="majorBidi" w:eastAsia="Calibri" w:hAnsiTheme="majorBidi" w:cstheme="majorBidi"/>
          <w:i/>
          <w:iCs/>
          <w:lang w:bidi="ar-AE"/>
        </w:rPr>
        <w:t>anwār at-tajallyāt wa-l-mukāshafāt</w:t>
      </w:r>
      <w:r w:rsidRPr="00B867DF">
        <w:rPr>
          <w:rFonts w:asciiTheme="majorBidi" w:eastAsia="Calibri" w:hAnsiTheme="majorBidi" w:cstheme="majorBidi"/>
          <w:lang w:bidi="ar-AE"/>
        </w:rPr>
        <w:t>] (Ibn ʿArabī).</w:t>
      </w:r>
    </w:p>
    <w:p w14:paraId="3B302D55" w14:textId="77777777" w:rsidR="00296288" w:rsidRPr="00B867DF" w:rsidRDefault="00296288" w:rsidP="00296288">
      <w:pPr>
        <w:spacing w:line="360" w:lineRule="auto"/>
        <w:jc w:val="both"/>
        <w:rPr>
          <w:rFonts w:asciiTheme="majorBidi" w:eastAsia="Calibri" w:hAnsiTheme="majorBidi" w:cstheme="majorBidi"/>
          <w:lang w:bidi="ar-AE"/>
        </w:rPr>
      </w:pPr>
    </w:p>
    <w:p w14:paraId="4247E647"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 verset 28 demande de donner à manger du sacrifice à </w:t>
      </w:r>
      <w:r w:rsidRPr="00B867DF">
        <w:rPr>
          <w:rFonts w:asciiTheme="majorBidi" w:eastAsia="Times New Roman" w:hAnsiTheme="majorBidi" w:cstheme="majorBidi"/>
          <w:i/>
          <w:iCs/>
          <w:lang w:bidi="ar-AE"/>
        </w:rPr>
        <w:t>al-bāʾis</w:t>
      </w:r>
      <w:r w:rsidRPr="00B867DF">
        <w:rPr>
          <w:rFonts w:asciiTheme="majorBidi" w:eastAsia="Times New Roman" w:hAnsiTheme="majorBidi" w:cstheme="majorBidi"/>
          <w:lang w:bidi="ar-AE"/>
        </w:rPr>
        <w:t xml:space="preserve"> et </w:t>
      </w:r>
      <w:r w:rsidRPr="00B867DF">
        <w:rPr>
          <w:rFonts w:asciiTheme="majorBidi" w:eastAsia="Times New Roman" w:hAnsiTheme="majorBidi" w:cstheme="majorBidi"/>
          <w:i/>
          <w:iCs/>
          <w:lang w:bidi="ar-AE"/>
        </w:rPr>
        <w:t>al-faqīr</w:t>
      </w:r>
      <w:r w:rsidRPr="00B867DF">
        <w:rPr>
          <w:rFonts w:asciiTheme="majorBidi" w:eastAsia="Times New Roman" w:hAnsiTheme="majorBidi" w:cstheme="majorBidi"/>
          <w:lang w:bidi="ar-AE"/>
        </w:rPr>
        <w:t> ; ces deux derniers mots sont aussi polysémiques.</w:t>
      </w:r>
    </w:p>
    <w:p w14:paraId="5B5A07CF" w14:textId="77777777" w:rsidR="00296288" w:rsidRPr="00B867DF" w:rsidRDefault="00296288" w:rsidP="007640DC">
      <w:pPr>
        <w:numPr>
          <w:ilvl w:val="0"/>
          <w:numId w:val="41"/>
        </w:numPr>
        <w:spacing w:line="360" w:lineRule="auto"/>
        <w:contextualSpacing/>
        <w:jc w:val="both"/>
        <w:rPr>
          <w:rFonts w:asciiTheme="majorBidi" w:eastAsia="Times New Roman" w:hAnsiTheme="majorBidi" w:cstheme="majorBidi"/>
          <w:lang w:bidi="ar-AE"/>
        </w:rPr>
      </w:pPr>
      <w:r w:rsidRPr="00B867DF">
        <w:rPr>
          <w:rFonts w:asciiTheme="majorBidi" w:eastAsia="Times New Roman" w:hAnsiTheme="majorBidi" w:cstheme="majorBidi"/>
          <w:i/>
          <w:iCs/>
          <w:lang w:bidi="ar-AE"/>
        </w:rPr>
        <w:t>Al-bāʾis</w:t>
      </w:r>
      <w:r>
        <w:rPr>
          <w:rFonts w:asciiTheme="majorBidi" w:eastAsia="Times New Roman" w:hAnsiTheme="majorBidi" w:cstheme="majorBidi"/>
          <w:lang w:bidi="ar-AE"/>
        </w:rPr>
        <w:t xml:space="preserve"> : 1) </w:t>
      </w:r>
      <w:r w:rsidRPr="00B867DF">
        <w:rPr>
          <w:rFonts w:asciiTheme="majorBidi" w:eastAsia="Times New Roman" w:hAnsiTheme="majorBidi" w:cstheme="majorBidi"/>
          <w:lang w:bidi="ar-AE"/>
        </w:rPr>
        <w:t>celui qui a faim ; 2</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celui qu</w:t>
      </w:r>
      <w:r>
        <w:rPr>
          <w:rFonts w:asciiTheme="majorBidi" w:eastAsia="Times New Roman" w:hAnsiTheme="majorBidi" w:cstheme="majorBidi"/>
          <w:lang w:bidi="ar-AE"/>
        </w:rPr>
        <w:t xml:space="preserve">i a besoin de quelque chose ; 3) celui qui est nécessiteux ; 4) celui qui demande l’aumône ; 5) </w:t>
      </w:r>
      <w:r w:rsidRPr="00B867DF">
        <w:rPr>
          <w:rFonts w:asciiTheme="majorBidi" w:eastAsia="Times New Roman" w:hAnsiTheme="majorBidi" w:cstheme="majorBidi"/>
          <w:lang w:bidi="ar-AE"/>
        </w:rPr>
        <w:t>celui qui est pauvre ; 6</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celui qui a l’apparence d’être pauvre (</w:t>
      </w:r>
      <w:r w:rsidRPr="00B867DF">
        <w:rPr>
          <w:rFonts w:asciiTheme="majorBidi" w:eastAsia="Calibri" w:hAnsiTheme="majorBidi" w:cstheme="majorBidi"/>
        </w:rPr>
        <w:t>Ash-Shaʿrāwī</w:t>
      </w:r>
      <w:r w:rsidRPr="00B867DF">
        <w:rPr>
          <w:rFonts w:asciiTheme="majorBidi" w:eastAsia="Times New Roman" w:hAnsiTheme="majorBidi" w:cstheme="majorBidi"/>
          <w:lang w:bidi="ar-AE"/>
        </w:rPr>
        <w:t>) ; 7</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celui qui est atteint par un malheur ; 8</w:t>
      </w:r>
      <w:r>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aḍ-</w:t>
      </w:r>
      <w:r w:rsidRPr="00B867DF">
        <w:rPr>
          <w:rFonts w:asciiTheme="majorBidi" w:eastAsia="Times New Roman" w:hAnsiTheme="majorBidi" w:cstheme="majorBidi"/>
          <w:i/>
          <w:iCs/>
          <w:lang w:bidi="ar-AE"/>
        </w:rPr>
        <w:lastRenderedPageBreak/>
        <w:t>ḍarīr az-zamin</w:t>
      </w:r>
      <w:r w:rsidRPr="00B867DF">
        <w:rPr>
          <w:rFonts w:asciiTheme="majorBidi" w:eastAsia="Times New Roman" w:hAnsiTheme="majorBidi" w:cstheme="majorBidi"/>
          <w:lang w:bidi="ar-AE"/>
        </w:rPr>
        <w:t xml:space="preserve"> [l’handicapé chronique] (</w:t>
      </w:r>
      <w:r w:rsidRPr="00B867DF">
        <w:rPr>
          <w:rFonts w:asciiTheme="majorBidi" w:eastAsia="Times New Roman" w:hAnsiTheme="majorBidi" w:cstheme="majorBidi"/>
          <w:i/>
          <w:iCs/>
          <w:lang w:bidi="ar-AE"/>
        </w:rPr>
        <w:t>Tafsīr Muqātil</w:t>
      </w:r>
      <w:r w:rsidRPr="00B867DF">
        <w:rPr>
          <w:rFonts w:asciiTheme="majorBidi" w:eastAsia="Times New Roman" w:hAnsiTheme="majorBidi" w:cstheme="majorBidi"/>
          <w:lang w:bidi="ar-AE"/>
        </w:rPr>
        <w:t xml:space="preserve">) ; </w:t>
      </w:r>
      <w:r>
        <w:rPr>
          <w:rFonts w:asciiTheme="majorBidi" w:eastAsia="Times New Roman" w:hAnsiTheme="majorBidi" w:cstheme="majorBidi"/>
          <w:lang w:bidi="ar-AE"/>
        </w:rPr>
        <w:t xml:space="preserve">9) </w:t>
      </w:r>
      <w:r w:rsidRPr="00B867DF">
        <w:rPr>
          <w:rFonts w:asciiTheme="majorBidi" w:eastAsia="Times New Roman" w:hAnsiTheme="majorBidi" w:cstheme="majorBidi"/>
          <w:lang w:bidi="ar-AE"/>
        </w:rPr>
        <w:t>l’initié (</w:t>
      </w:r>
      <w:r w:rsidRPr="00B867DF">
        <w:rPr>
          <w:rFonts w:asciiTheme="majorBidi" w:eastAsia="Times New Roman" w:hAnsiTheme="majorBidi" w:cstheme="majorBidi"/>
          <w:i/>
          <w:iCs/>
          <w:lang w:bidi="ar-AE"/>
        </w:rPr>
        <w:t>aṭ-ṭālib</w:t>
      </w:r>
      <w:r w:rsidRPr="00B867DF">
        <w:rPr>
          <w:rFonts w:asciiTheme="majorBidi" w:eastAsia="Times New Roman" w:hAnsiTheme="majorBidi" w:cstheme="majorBidi"/>
          <w:lang w:bidi="ar-AE"/>
        </w:rPr>
        <w:t xml:space="preserve">) qui a une forte </w:t>
      </w:r>
      <w:r w:rsidRPr="00B867DF">
        <w:rPr>
          <w:rFonts w:asciiTheme="majorBidi" w:eastAsia="Times New Roman" w:hAnsiTheme="majorBidi" w:cstheme="majorBidi"/>
          <w:i/>
          <w:iCs/>
          <w:lang w:bidi="ar-AE"/>
        </w:rPr>
        <w:t>nafs</w:t>
      </w:r>
      <w:r w:rsidRPr="00B867DF">
        <w:rPr>
          <w:rFonts w:asciiTheme="majorBidi" w:eastAsia="Times New Roman" w:hAnsiTheme="majorBidi" w:cstheme="majorBidi"/>
          <w:lang w:bidi="ar-AE"/>
        </w:rPr>
        <w:t xml:space="preserve"> [esprit,</w:t>
      </w:r>
      <w:r w:rsidRPr="00B867DF">
        <w:rPr>
          <w:rFonts w:asciiTheme="majorBidi" w:eastAsia="Times New Roman" w:hAnsiTheme="majorBidi" w:cstheme="majorBidi" w:hint="cs"/>
          <w:rtl/>
          <w:lang w:bidi="ar-AE"/>
        </w:rPr>
        <w:t xml:space="preserve"> </w:t>
      </w:r>
      <w:r w:rsidRPr="00B867DF">
        <w:rPr>
          <w:rFonts w:asciiTheme="majorBidi" w:eastAsia="Times New Roman" w:hAnsiTheme="majorBidi" w:cstheme="majorBidi"/>
          <w:lang w:bidi="ar-AE"/>
        </w:rPr>
        <w:t>psyché] (Ibn ʿArabī).</w:t>
      </w:r>
    </w:p>
    <w:p w14:paraId="27EA7E1F" w14:textId="77777777" w:rsidR="00296288" w:rsidRPr="00B867DF" w:rsidRDefault="00296288" w:rsidP="007640DC">
      <w:pPr>
        <w:numPr>
          <w:ilvl w:val="0"/>
          <w:numId w:val="41"/>
        </w:numPr>
        <w:spacing w:line="360" w:lineRule="auto"/>
        <w:contextualSpacing/>
        <w:jc w:val="both"/>
        <w:rPr>
          <w:rFonts w:asciiTheme="majorBidi" w:eastAsia="Times New Roman" w:hAnsiTheme="majorBidi" w:cstheme="majorBidi"/>
          <w:lang w:bidi="ar-AE"/>
        </w:rPr>
      </w:pPr>
      <w:r w:rsidRPr="00B867DF">
        <w:rPr>
          <w:rFonts w:asciiTheme="majorBidi" w:eastAsia="Times New Roman" w:hAnsiTheme="majorBidi" w:cstheme="majorBidi"/>
          <w:i/>
          <w:iCs/>
          <w:lang w:bidi="ar-AE"/>
        </w:rPr>
        <w:t>Al-faqīr</w:t>
      </w:r>
      <w:r>
        <w:rPr>
          <w:rFonts w:asciiTheme="majorBidi" w:eastAsia="Times New Roman" w:hAnsiTheme="majorBidi" w:cstheme="majorBidi"/>
          <w:lang w:bidi="ar-AE"/>
        </w:rPr>
        <w:t xml:space="preserve"> : 1) </w:t>
      </w:r>
      <w:r w:rsidRPr="00B867DF">
        <w:rPr>
          <w:rFonts w:asciiTheme="majorBidi" w:eastAsia="Times New Roman" w:hAnsiTheme="majorBidi" w:cstheme="majorBidi"/>
          <w:lang w:bidi="ar-AE"/>
        </w:rPr>
        <w:t>celui qui ne possède rien ; 2</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 xml:space="preserve">celui qui est continent </w:t>
      </w:r>
      <w:r w:rsidRPr="00B867DF">
        <w:rPr>
          <w:rFonts w:asciiTheme="majorBidi" w:hAnsiTheme="majorBidi" w:cstheme="majorBidi"/>
        </w:rPr>
        <w:t>[</w:t>
      </w:r>
      <w:r w:rsidRPr="00B867DF">
        <w:rPr>
          <w:rFonts w:asciiTheme="majorBidi" w:eastAsia="Times New Roman" w:hAnsiTheme="majorBidi" w:cstheme="majorBidi"/>
          <w:i/>
          <w:iCs/>
          <w:lang w:bidi="ar-AE"/>
        </w:rPr>
        <w:t>mutaʿaffif</w:t>
      </w:r>
      <w:r w:rsidRPr="00B867DF">
        <w:rPr>
          <w:rFonts w:asciiTheme="majorBidi" w:hAnsiTheme="majorBidi" w:cstheme="majorBidi"/>
        </w:rPr>
        <w:t>]</w:t>
      </w:r>
      <w:r w:rsidRPr="00B867DF">
        <w:rPr>
          <w:rFonts w:asciiTheme="majorBidi" w:eastAsia="Times New Roman" w:hAnsiTheme="majorBidi" w:cstheme="majorBidi"/>
          <w:lang w:bidi="ar-AE"/>
        </w:rPr>
        <w:t> ; 3</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le pauvre qui ne demande pas d</w:t>
      </w:r>
      <w:r>
        <w:rPr>
          <w:rFonts w:asciiTheme="majorBidi" w:eastAsia="Times New Roman" w:hAnsiTheme="majorBidi" w:cstheme="majorBidi"/>
          <w:lang w:bidi="ar-AE"/>
        </w:rPr>
        <w:t xml:space="preserve">’aumône ; 4) l’aveugle ; 5) celui qui est faible ; 6) </w:t>
      </w:r>
      <w:r w:rsidRPr="00B867DF">
        <w:rPr>
          <w:rFonts w:asciiTheme="majorBidi" w:eastAsia="Times New Roman" w:hAnsiTheme="majorBidi" w:cstheme="majorBidi"/>
          <w:lang w:bidi="ar-AE"/>
        </w:rPr>
        <w:t>celui qui est indigent ; 7</w:t>
      </w:r>
      <w:r>
        <w:rPr>
          <w:rFonts w:asciiTheme="majorBidi" w:eastAsia="Times New Roman" w:hAnsiTheme="majorBidi" w:cstheme="majorBidi"/>
          <w:lang w:bidi="ar-AE"/>
        </w:rPr>
        <w:t xml:space="preserve">) </w:t>
      </w:r>
      <w:r w:rsidRPr="00B867DF">
        <w:rPr>
          <w:rFonts w:asciiTheme="majorBidi" w:eastAsia="Times New Roman" w:hAnsiTheme="majorBidi" w:cstheme="majorBidi"/>
          <w:lang w:bidi="ar-AE"/>
        </w:rPr>
        <w:t xml:space="preserve">celui qui est pauvre à cause de la sécheresse de son pays, comme les Mecquois qui n’avaient pas d’agriculture et qui n’avaient pas d’autres ressources que la saison du pèlerinage (Shaykhū) ; 8-celui qui a une </w:t>
      </w:r>
      <w:r w:rsidRPr="00B867DF">
        <w:rPr>
          <w:rFonts w:asciiTheme="majorBidi" w:eastAsia="Times New Roman" w:hAnsiTheme="majorBidi" w:cstheme="majorBidi"/>
          <w:i/>
          <w:iCs/>
          <w:lang w:bidi="ar-AE"/>
        </w:rPr>
        <w:t>nafs</w:t>
      </w:r>
      <w:r w:rsidRPr="00B867DF">
        <w:rPr>
          <w:rFonts w:asciiTheme="majorBidi" w:eastAsia="Times New Roman" w:hAnsiTheme="majorBidi" w:cstheme="majorBidi"/>
          <w:lang w:bidi="ar-AE"/>
        </w:rPr>
        <w:t xml:space="preserve"> faible (Ibn ʿArabī) ; 9-celui dont l’apparence est riche mais qui est en réalité nécessiteux (</w:t>
      </w:r>
      <w:r w:rsidRPr="00B867DF">
        <w:rPr>
          <w:rFonts w:asciiTheme="majorBidi" w:eastAsia="Calibri" w:hAnsiTheme="majorBidi" w:cstheme="majorBidi"/>
        </w:rPr>
        <w:t>Ash-Shaʿrāwī</w:t>
      </w:r>
      <w:r w:rsidRPr="00B867DF">
        <w:rPr>
          <w:rFonts w:asciiTheme="majorBidi" w:eastAsia="Times New Roman" w:hAnsiTheme="majorBidi" w:cstheme="majorBidi"/>
          <w:lang w:bidi="ar-AE"/>
        </w:rPr>
        <w:t>).</w:t>
      </w:r>
    </w:p>
    <w:p w14:paraId="69F530A5" w14:textId="77777777" w:rsidR="00296288" w:rsidRPr="00B867DF" w:rsidRDefault="00296288" w:rsidP="00296288">
      <w:pPr>
        <w:spacing w:line="360" w:lineRule="auto"/>
        <w:jc w:val="both"/>
        <w:rPr>
          <w:rFonts w:asciiTheme="majorBidi" w:eastAsia="Calibri" w:hAnsiTheme="majorBidi" w:cstheme="majorBidi"/>
          <w:lang w:bidi="ar-AE"/>
        </w:rPr>
      </w:pPr>
    </w:p>
    <w:p w14:paraId="7E580B6B"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Dans le verset 28, on demande aux pèlerins de manger de leurs sacrifices. Les exégètes se sont divisés à propos du sens de l’impératif du verbe </w:t>
      </w:r>
      <w:r w:rsidRPr="00B867DF">
        <w:rPr>
          <w:rFonts w:asciiTheme="majorBidi" w:eastAsia="Times New Roman" w:hAnsiTheme="majorBidi" w:cstheme="majorBidi"/>
          <w:i/>
          <w:iCs/>
          <w:lang w:bidi="ar-AE"/>
        </w:rPr>
        <w:t>kulū</w:t>
      </w:r>
      <w:r w:rsidRPr="00B867DF">
        <w:rPr>
          <w:rFonts w:asciiTheme="majorBidi" w:eastAsia="Times New Roman" w:hAnsiTheme="majorBidi" w:cstheme="majorBidi"/>
          <w:lang w:bidi="ar-AE"/>
        </w:rPr>
        <w:t xml:space="preserve"> [mangez] : il peut s’agir d’une obligation (avis d’Abū ṭ-Ṭayyib ibn Abī Thaʿlaba, selon Ibn al-ʿArabī Al-Mālikī dans </w:t>
      </w:r>
      <w:r w:rsidRPr="00B867DF">
        <w:rPr>
          <w:rFonts w:asciiTheme="majorBidi" w:eastAsia="Times New Roman" w:hAnsiTheme="majorBidi" w:cstheme="majorBidi"/>
          <w:i/>
          <w:iCs/>
          <w:lang w:bidi="ar-AE"/>
        </w:rPr>
        <w:t>Aḥkām Al-qurʾān</w:t>
      </w:r>
      <w:r w:rsidRPr="00B867DF">
        <w:rPr>
          <w:rFonts w:asciiTheme="majorBidi" w:eastAsia="Times New Roman" w:hAnsiTheme="majorBidi" w:cstheme="majorBidi"/>
          <w:lang w:bidi="ar-AE"/>
        </w:rPr>
        <w:t>), d’une recommandation ou d’une tolérance (avis d’Aṭ-Ṭabarī).</w:t>
      </w:r>
    </w:p>
    <w:p w14:paraId="12BB1424" w14:textId="77777777" w:rsidR="00296288" w:rsidRPr="00B867DF" w:rsidRDefault="00296288" w:rsidP="00296288">
      <w:pPr>
        <w:spacing w:line="360" w:lineRule="auto"/>
        <w:jc w:val="both"/>
        <w:rPr>
          <w:rFonts w:asciiTheme="majorBidi" w:eastAsia="Calibri" w:hAnsiTheme="majorBidi" w:cstheme="majorBidi"/>
          <w:lang w:bidi="ar-AE"/>
        </w:rPr>
      </w:pPr>
    </w:p>
    <w:p w14:paraId="2E005DC1" w14:textId="77777777" w:rsidR="00296288" w:rsidRPr="00355767"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L’un des buts du pèlerinage est de s’acquitter des vœux. Mais quels sont ces vœux </w:t>
      </w:r>
      <w:r w:rsidRPr="00B867DF">
        <w:rPr>
          <w:rFonts w:asciiTheme="majorBidi" w:hAnsiTheme="majorBidi" w:cstheme="majorBidi"/>
        </w:rPr>
        <w:t>[</w:t>
      </w:r>
      <w:r w:rsidRPr="00B867DF">
        <w:rPr>
          <w:rFonts w:asciiTheme="majorBidi" w:eastAsia="Times New Roman" w:hAnsiTheme="majorBidi" w:cstheme="majorBidi"/>
          <w:i/>
          <w:iCs/>
          <w:lang w:bidi="ar-AE"/>
        </w:rPr>
        <w:t>nudhūr</w:t>
      </w:r>
      <w:r w:rsidRPr="00B867DF">
        <w:rPr>
          <w:rFonts w:asciiTheme="majorBidi" w:hAnsiTheme="majorBidi" w:cstheme="majorBidi"/>
        </w:rPr>
        <w:t>]</w:t>
      </w:r>
      <w:r w:rsidRPr="00B867DF">
        <w:rPr>
          <w:rFonts w:asciiTheme="majorBidi" w:eastAsia="Times New Roman" w:hAnsiTheme="majorBidi" w:cstheme="majorBidi"/>
          <w:lang w:bidi="ar-AE"/>
        </w:rPr>
        <w:t xml:space="preserve"> (v. 29) ? Les exégètes </w:t>
      </w:r>
      <w:r w:rsidRPr="00355767">
        <w:rPr>
          <w:rFonts w:asciiTheme="majorBidi" w:eastAsia="Times New Roman" w:hAnsiTheme="majorBidi" w:cstheme="majorBidi"/>
          <w:lang w:bidi="ar-AE"/>
        </w:rPr>
        <w:t xml:space="preserve">disent qu’il s’agit de : 1-l’abattage des </w:t>
      </w:r>
      <w:r w:rsidRPr="00355767">
        <w:rPr>
          <w:rFonts w:asciiTheme="majorBidi" w:eastAsia="Times New Roman" w:hAnsiTheme="majorBidi" w:cstheme="majorBidi"/>
          <w:i/>
          <w:iCs/>
          <w:lang w:bidi="ar-AE"/>
        </w:rPr>
        <w:t>budn</w:t>
      </w:r>
      <w:r w:rsidRPr="00355767">
        <w:rPr>
          <w:rFonts w:asciiTheme="majorBidi" w:eastAsia="Times New Roman" w:hAnsiTheme="majorBidi" w:cstheme="majorBidi"/>
          <w:lang w:bidi="ar-AE"/>
        </w:rPr>
        <w:t xml:space="preserve"> </w:t>
      </w:r>
      <w:r w:rsidRPr="00355767">
        <w:rPr>
          <w:rFonts w:asciiTheme="majorBidi" w:hAnsiTheme="majorBidi" w:cstheme="majorBidi"/>
        </w:rPr>
        <w:t>[</w:t>
      </w:r>
      <w:r w:rsidRPr="00355767">
        <w:rPr>
          <w:rFonts w:asciiTheme="majorBidi" w:eastAsia="Calibri" w:hAnsiTheme="majorBidi" w:cstheme="majorBidi"/>
          <w:lang w:bidi="ar-AE"/>
        </w:rPr>
        <w:t>chamelles ventrues</w:t>
      </w:r>
      <w:r w:rsidRPr="00355767">
        <w:rPr>
          <w:rFonts w:asciiTheme="majorBidi" w:hAnsiTheme="majorBidi" w:cstheme="majorBidi"/>
        </w:rPr>
        <w:t>]</w:t>
      </w:r>
      <w:r w:rsidRPr="00355767">
        <w:rPr>
          <w:rFonts w:asciiTheme="majorBidi" w:eastAsia="Calibri" w:hAnsiTheme="majorBidi" w:cstheme="majorBidi"/>
          <w:lang w:bidi="ar-AE"/>
        </w:rPr>
        <w:t> </w:t>
      </w:r>
      <w:r w:rsidRPr="00355767">
        <w:rPr>
          <w:rFonts w:asciiTheme="majorBidi" w:eastAsia="Times New Roman" w:hAnsiTheme="majorBidi" w:cstheme="majorBidi"/>
          <w:lang w:bidi="ar-AE"/>
        </w:rPr>
        <w:t xml:space="preserve">; 2-l’immolation des </w:t>
      </w:r>
      <w:r w:rsidRPr="00355767">
        <w:rPr>
          <w:rFonts w:asciiTheme="majorBidi" w:eastAsia="Calibri" w:hAnsiTheme="majorBidi" w:cstheme="majorBidi"/>
          <w:lang w:bidi="ar-AE"/>
        </w:rPr>
        <w:t>chamelles ventrues consacrées</w:t>
      </w:r>
      <w:r w:rsidRPr="00355767">
        <w:rPr>
          <w:rFonts w:asciiTheme="majorBidi" w:eastAsia="Times New Roman" w:hAnsiTheme="majorBidi" w:cstheme="majorBidi"/>
          <w:lang w:bidi="ar-AE"/>
        </w:rPr>
        <w:t xml:space="preserve"> seulement ; 3-toute sorte de vœux ; 4-désobéir à Satan (Shaykhū) ; 5-faire valoir les engagements conclus lors de la première Alliance </w:t>
      </w:r>
      <w:r w:rsidRPr="00355767">
        <w:rPr>
          <w:rFonts w:asciiTheme="majorBidi" w:hAnsiTheme="majorBidi" w:cstheme="majorBidi"/>
        </w:rPr>
        <w:t>[</w:t>
      </w:r>
      <w:r w:rsidRPr="00355767">
        <w:rPr>
          <w:rFonts w:asciiTheme="majorBidi" w:hAnsiTheme="majorBidi" w:cstheme="majorBidi"/>
          <w:i/>
          <w:iCs/>
        </w:rPr>
        <w:t>al-qiyām bi-ibrāz mā qabilū-hu f</w:t>
      </w:r>
      <w:r w:rsidRPr="00355767">
        <w:rPr>
          <w:rFonts w:asciiTheme="majorBidi" w:eastAsia="Times New Roman" w:hAnsiTheme="majorBidi" w:cstheme="majorBidi"/>
          <w:i/>
          <w:lang w:bidi="ar-AE"/>
        </w:rPr>
        <w:t>ī</w:t>
      </w:r>
      <w:r w:rsidRPr="00355767">
        <w:rPr>
          <w:rFonts w:asciiTheme="majorBidi" w:hAnsiTheme="majorBidi" w:cstheme="majorBidi"/>
          <w:i/>
          <w:iCs/>
        </w:rPr>
        <w:t xml:space="preserve"> l-</w:t>
      </w:r>
      <w:r w:rsidRPr="00355767">
        <w:rPr>
          <w:rFonts w:asciiTheme="majorBidi" w:eastAsia="Times New Roman" w:hAnsiTheme="majorBidi" w:cstheme="majorBidi"/>
          <w:i/>
          <w:iCs/>
        </w:rPr>
        <w:t>ʿahd al-awwal</w:t>
      </w:r>
      <w:r w:rsidRPr="00355767">
        <w:rPr>
          <w:rFonts w:asciiTheme="majorBidi" w:hAnsiTheme="majorBidi" w:cstheme="majorBidi"/>
        </w:rPr>
        <w:t>]</w:t>
      </w:r>
      <w:r w:rsidRPr="00355767">
        <w:rPr>
          <w:rFonts w:asciiTheme="majorBidi" w:eastAsia="Times New Roman" w:hAnsiTheme="majorBidi" w:cstheme="majorBidi"/>
        </w:rPr>
        <w:t xml:space="preserve"> </w:t>
      </w:r>
      <w:r w:rsidRPr="00355767">
        <w:rPr>
          <w:rFonts w:asciiTheme="majorBidi" w:eastAsia="Times New Roman" w:hAnsiTheme="majorBidi" w:cstheme="majorBidi"/>
          <w:lang w:bidi="ar-AE"/>
        </w:rPr>
        <w:t>(Ibn ʿArabī).</w:t>
      </w:r>
    </w:p>
    <w:p w14:paraId="5F198330" w14:textId="77777777" w:rsidR="00296288" w:rsidRPr="00355767" w:rsidRDefault="00296288" w:rsidP="00296288">
      <w:pPr>
        <w:spacing w:line="360" w:lineRule="auto"/>
        <w:ind w:firstLine="360"/>
        <w:contextualSpacing/>
        <w:jc w:val="both"/>
        <w:rPr>
          <w:rFonts w:asciiTheme="majorBidi" w:eastAsia="Times New Roman" w:hAnsiTheme="majorBidi" w:cstheme="majorBidi"/>
          <w:lang w:bidi="ar-AE"/>
        </w:rPr>
      </w:pPr>
      <w:r w:rsidRPr="00355767">
        <w:rPr>
          <w:rFonts w:asciiTheme="majorBidi" w:eastAsia="Times New Roman" w:hAnsiTheme="majorBidi" w:cstheme="majorBidi"/>
          <w:lang w:bidi="ar-AE"/>
        </w:rPr>
        <w:t xml:space="preserve">Le verset 29 demande enfin aux pèlerins de faire le </w:t>
      </w:r>
      <w:r w:rsidRPr="00355767">
        <w:rPr>
          <w:rFonts w:asciiTheme="majorBidi" w:eastAsia="Times New Roman" w:hAnsiTheme="majorBidi" w:cstheme="majorBidi"/>
          <w:i/>
          <w:iCs/>
          <w:lang w:bidi="ar-AE"/>
        </w:rPr>
        <w:t>Ṭawāf</w:t>
      </w:r>
      <w:r w:rsidRPr="00355767">
        <w:rPr>
          <w:rFonts w:asciiTheme="majorBidi" w:eastAsia="Times New Roman" w:hAnsiTheme="majorBidi" w:cstheme="majorBidi"/>
          <w:lang w:bidi="ar-AE"/>
        </w:rPr>
        <w:t xml:space="preserve"> </w:t>
      </w:r>
      <w:r w:rsidRPr="00355767">
        <w:rPr>
          <w:rFonts w:asciiTheme="majorBidi" w:hAnsiTheme="majorBidi" w:cstheme="majorBidi"/>
        </w:rPr>
        <w:t>[</w:t>
      </w:r>
      <w:r w:rsidRPr="00355767">
        <w:rPr>
          <w:rFonts w:asciiTheme="majorBidi" w:eastAsia="Times New Roman" w:hAnsiTheme="majorBidi" w:cstheme="majorBidi"/>
          <w:lang w:bidi="ar-AE"/>
        </w:rPr>
        <w:t xml:space="preserve">des tours rituels autour de la </w:t>
      </w:r>
      <w:r w:rsidRPr="00355767">
        <w:rPr>
          <w:rFonts w:asciiTheme="majorBidi" w:eastAsia="Times New Roman" w:hAnsiTheme="majorBidi" w:cstheme="majorBidi"/>
          <w:i/>
          <w:iCs/>
          <w:lang w:bidi="ar-AE"/>
        </w:rPr>
        <w:t>Kaʿba</w:t>
      </w:r>
      <w:r w:rsidRPr="00355767">
        <w:rPr>
          <w:rFonts w:asciiTheme="majorBidi" w:hAnsiTheme="majorBidi" w:cstheme="majorBidi"/>
        </w:rPr>
        <w:t>]</w:t>
      </w:r>
      <w:r w:rsidRPr="00355767">
        <w:rPr>
          <w:rFonts w:asciiTheme="majorBidi" w:eastAsia="Times New Roman" w:hAnsiTheme="majorBidi" w:cstheme="majorBidi"/>
          <w:lang w:bidi="ar-AE"/>
        </w:rPr>
        <w:t xml:space="preserve">. Mais quel type de </w:t>
      </w:r>
      <w:r w:rsidRPr="00355767">
        <w:rPr>
          <w:rFonts w:asciiTheme="majorBidi" w:eastAsia="Times New Roman" w:hAnsiTheme="majorBidi" w:cstheme="majorBidi"/>
          <w:i/>
          <w:iCs/>
          <w:lang w:bidi="ar-AE"/>
        </w:rPr>
        <w:t>Ṭawāf</w:t>
      </w:r>
      <w:r w:rsidRPr="00355767">
        <w:rPr>
          <w:rFonts w:asciiTheme="majorBidi" w:eastAsia="Times New Roman" w:hAnsiTheme="majorBidi" w:cstheme="majorBidi"/>
          <w:lang w:bidi="ar-AE"/>
        </w:rPr>
        <w:t xml:space="preserve"> ? Selon les exégètes, le verset peut désigner l’un des </w:t>
      </w:r>
      <w:r w:rsidRPr="00355767">
        <w:rPr>
          <w:rFonts w:asciiTheme="majorBidi" w:eastAsia="Times New Roman" w:hAnsiTheme="majorBidi" w:cstheme="majorBidi"/>
          <w:i/>
          <w:iCs/>
          <w:lang w:bidi="ar-AE"/>
        </w:rPr>
        <w:t>ṭawāf</w:t>
      </w:r>
      <w:r w:rsidRPr="00355767">
        <w:rPr>
          <w:rFonts w:asciiTheme="majorBidi" w:eastAsia="Times New Roman" w:hAnsiTheme="majorBidi" w:cstheme="majorBidi"/>
          <w:lang w:bidi="ar-AE"/>
        </w:rPr>
        <w:t xml:space="preserve"> suivants : 1</w:t>
      </w:r>
      <w:r>
        <w:rPr>
          <w:rFonts w:asciiTheme="majorBidi" w:eastAsia="Times New Roman" w:hAnsiTheme="majorBidi" w:cstheme="majorBidi"/>
          <w:lang w:bidi="ar-AE"/>
        </w:rPr>
        <w:t xml:space="preserve">) </w:t>
      </w:r>
      <w:r w:rsidRPr="00355767">
        <w:rPr>
          <w:rFonts w:asciiTheme="majorBidi" w:eastAsia="Times New Roman" w:hAnsiTheme="majorBidi" w:cstheme="majorBidi"/>
          <w:i/>
          <w:iCs/>
          <w:lang w:bidi="ar-AE"/>
        </w:rPr>
        <w:t>ṭawāf</w:t>
      </w:r>
      <w:r w:rsidRPr="00355767">
        <w:rPr>
          <w:rFonts w:asciiTheme="majorBidi" w:eastAsia="Times New Roman" w:hAnsiTheme="majorBidi" w:cstheme="majorBidi"/>
          <w:lang w:bidi="ar-AE"/>
        </w:rPr>
        <w:t xml:space="preserve"> </w:t>
      </w:r>
      <w:r w:rsidRPr="00355767">
        <w:rPr>
          <w:rFonts w:asciiTheme="majorBidi" w:eastAsia="Times New Roman" w:hAnsiTheme="majorBidi" w:cstheme="majorBidi"/>
          <w:i/>
          <w:iCs/>
          <w:lang w:bidi="ar-AE"/>
        </w:rPr>
        <w:t>al-wājib</w:t>
      </w:r>
      <w:r w:rsidRPr="00355767">
        <w:rPr>
          <w:rFonts w:asciiTheme="majorBidi" w:eastAsia="Times New Roman" w:hAnsiTheme="majorBidi" w:cstheme="majorBidi"/>
          <w:lang w:bidi="ar-AE"/>
        </w:rPr>
        <w:t xml:space="preserve"> </w:t>
      </w:r>
      <w:r w:rsidRPr="00355767">
        <w:rPr>
          <w:rFonts w:asciiTheme="majorBidi" w:hAnsiTheme="majorBidi" w:cstheme="majorBidi"/>
        </w:rPr>
        <w:t>[</w:t>
      </w:r>
      <w:r w:rsidRPr="00355767">
        <w:rPr>
          <w:rFonts w:asciiTheme="majorBidi" w:eastAsia="Times New Roman" w:hAnsiTheme="majorBidi" w:cstheme="majorBidi"/>
          <w:lang w:bidi="ar-AE"/>
        </w:rPr>
        <w:t>les tours obligatoires</w:t>
      </w:r>
      <w:r w:rsidRPr="00355767">
        <w:rPr>
          <w:rFonts w:asciiTheme="majorBidi" w:hAnsiTheme="majorBidi" w:cstheme="majorBidi"/>
        </w:rPr>
        <w:t>]</w:t>
      </w:r>
      <w:r w:rsidRPr="00355767">
        <w:rPr>
          <w:rFonts w:asciiTheme="majorBidi" w:eastAsia="Times New Roman" w:hAnsiTheme="majorBidi" w:cstheme="majorBidi"/>
          <w:lang w:bidi="ar-AE"/>
        </w:rPr>
        <w:t> ; 2</w:t>
      </w:r>
      <w:r>
        <w:rPr>
          <w:rFonts w:asciiTheme="majorBidi" w:eastAsia="Times New Roman" w:hAnsiTheme="majorBidi" w:cstheme="majorBidi"/>
          <w:lang w:bidi="ar-AE"/>
        </w:rPr>
        <w:t xml:space="preserve">) </w:t>
      </w:r>
      <w:r w:rsidRPr="00355767">
        <w:rPr>
          <w:rFonts w:asciiTheme="majorBidi" w:eastAsia="Times New Roman" w:hAnsiTheme="majorBidi" w:cstheme="majorBidi"/>
          <w:i/>
          <w:iCs/>
          <w:lang w:bidi="ar-AE"/>
        </w:rPr>
        <w:t>ṭawāf</w:t>
      </w:r>
      <w:r w:rsidRPr="00355767">
        <w:rPr>
          <w:rFonts w:asciiTheme="majorBidi" w:eastAsia="Times New Roman" w:hAnsiTheme="majorBidi" w:cstheme="majorBidi"/>
          <w:lang w:bidi="ar-AE"/>
        </w:rPr>
        <w:t xml:space="preserve"> </w:t>
      </w:r>
      <w:r w:rsidRPr="00355767">
        <w:rPr>
          <w:rFonts w:asciiTheme="majorBidi" w:eastAsia="Times New Roman" w:hAnsiTheme="majorBidi" w:cstheme="majorBidi"/>
          <w:i/>
          <w:iCs/>
          <w:lang w:bidi="ar-AE"/>
        </w:rPr>
        <w:t>al-wadāʿ</w:t>
      </w:r>
      <w:r w:rsidRPr="00355767">
        <w:rPr>
          <w:rFonts w:asciiTheme="majorBidi" w:eastAsia="Times New Roman" w:hAnsiTheme="majorBidi" w:cstheme="majorBidi"/>
          <w:lang w:bidi="ar-AE"/>
        </w:rPr>
        <w:t xml:space="preserve"> </w:t>
      </w:r>
      <w:r w:rsidRPr="00355767">
        <w:rPr>
          <w:rFonts w:asciiTheme="majorBidi" w:hAnsiTheme="majorBidi" w:cstheme="majorBidi"/>
        </w:rPr>
        <w:t>[</w:t>
      </w:r>
      <w:r w:rsidRPr="00355767">
        <w:rPr>
          <w:rFonts w:asciiTheme="majorBidi" w:eastAsia="Times New Roman" w:hAnsiTheme="majorBidi" w:cstheme="majorBidi"/>
          <w:lang w:bidi="ar-AE"/>
        </w:rPr>
        <w:t>les tours d’au-revoir</w:t>
      </w:r>
      <w:r w:rsidRPr="00355767">
        <w:rPr>
          <w:rFonts w:asciiTheme="majorBidi" w:hAnsiTheme="majorBidi" w:cstheme="majorBidi"/>
        </w:rPr>
        <w:t>]</w:t>
      </w:r>
      <w:r w:rsidRPr="00355767">
        <w:rPr>
          <w:rFonts w:asciiTheme="majorBidi" w:eastAsia="Times New Roman" w:hAnsiTheme="majorBidi" w:cstheme="majorBidi"/>
          <w:lang w:bidi="ar-AE"/>
        </w:rPr>
        <w:t> ; 3</w:t>
      </w:r>
      <w:r>
        <w:rPr>
          <w:rFonts w:asciiTheme="majorBidi" w:eastAsia="Times New Roman" w:hAnsiTheme="majorBidi" w:cstheme="majorBidi"/>
          <w:lang w:bidi="ar-AE"/>
        </w:rPr>
        <w:t xml:space="preserve">) </w:t>
      </w:r>
      <w:r w:rsidRPr="00355767">
        <w:rPr>
          <w:rFonts w:asciiTheme="majorBidi" w:eastAsia="Times New Roman" w:hAnsiTheme="majorBidi" w:cstheme="majorBidi"/>
          <w:i/>
          <w:iCs/>
          <w:lang w:bidi="ar-AE"/>
        </w:rPr>
        <w:t>ṭawāf</w:t>
      </w:r>
      <w:r w:rsidRPr="00355767">
        <w:rPr>
          <w:rFonts w:asciiTheme="majorBidi" w:eastAsia="Times New Roman" w:hAnsiTheme="majorBidi" w:cstheme="majorBidi"/>
          <w:lang w:bidi="ar-AE"/>
        </w:rPr>
        <w:t xml:space="preserve"> </w:t>
      </w:r>
      <w:r w:rsidRPr="00355767">
        <w:rPr>
          <w:rFonts w:asciiTheme="majorBidi" w:eastAsia="Times New Roman" w:hAnsiTheme="majorBidi" w:cstheme="majorBidi"/>
          <w:i/>
          <w:iCs/>
          <w:lang w:bidi="ar-AE"/>
        </w:rPr>
        <w:t xml:space="preserve">al-ʾifāḍa </w:t>
      </w:r>
      <w:r w:rsidRPr="00355767">
        <w:rPr>
          <w:rFonts w:asciiTheme="majorBidi" w:eastAsia="Times New Roman" w:hAnsiTheme="majorBidi" w:cstheme="majorBidi"/>
          <w:lang w:bidi="ar-AE"/>
        </w:rPr>
        <w:t xml:space="preserve">(ou </w:t>
      </w:r>
      <w:r w:rsidRPr="00355767">
        <w:rPr>
          <w:rFonts w:asciiTheme="majorBidi" w:eastAsia="Times New Roman" w:hAnsiTheme="majorBidi" w:cstheme="majorBidi"/>
          <w:i/>
          <w:iCs/>
          <w:lang w:bidi="ar-AE"/>
        </w:rPr>
        <w:t>ṭawāf</w:t>
      </w:r>
      <w:r w:rsidRPr="00355767">
        <w:rPr>
          <w:rFonts w:asciiTheme="majorBidi" w:eastAsia="Times New Roman" w:hAnsiTheme="majorBidi" w:cstheme="majorBidi"/>
          <w:lang w:bidi="ar-AE"/>
        </w:rPr>
        <w:t xml:space="preserve"> </w:t>
      </w:r>
      <w:r w:rsidRPr="00355767">
        <w:rPr>
          <w:rFonts w:asciiTheme="majorBidi" w:eastAsia="Times New Roman" w:hAnsiTheme="majorBidi" w:cstheme="majorBidi"/>
          <w:i/>
          <w:iCs/>
          <w:lang w:bidi="ar-AE"/>
        </w:rPr>
        <w:t>ar-rukn</w:t>
      </w:r>
      <w:r w:rsidRPr="00355767">
        <w:rPr>
          <w:rFonts w:asciiTheme="majorBidi" w:eastAsia="Times New Roman" w:hAnsiTheme="majorBidi" w:cstheme="majorBidi"/>
          <w:lang w:bidi="ar-AE"/>
        </w:rPr>
        <w:t xml:space="preserve">) </w:t>
      </w:r>
      <w:r w:rsidRPr="00355767">
        <w:rPr>
          <w:rFonts w:asciiTheme="majorBidi" w:hAnsiTheme="majorBidi" w:cstheme="majorBidi"/>
        </w:rPr>
        <w:t>[</w:t>
      </w:r>
      <w:r w:rsidRPr="00355767">
        <w:rPr>
          <w:rFonts w:asciiTheme="majorBidi" w:eastAsia="Times New Roman" w:hAnsiTheme="majorBidi" w:cstheme="majorBidi"/>
          <w:lang w:bidi="ar-AE"/>
        </w:rPr>
        <w:t>les tours essentiels</w:t>
      </w:r>
      <w:r w:rsidRPr="00355767">
        <w:rPr>
          <w:rFonts w:asciiTheme="majorBidi" w:hAnsiTheme="majorBidi" w:cstheme="majorBidi"/>
        </w:rPr>
        <w:t>]</w:t>
      </w:r>
      <w:r w:rsidRPr="00355767">
        <w:rPr>
          <w:rFonts w:asciiTheme="majorBidi" w:eastAsia="Times New Roman" w:hAnsiTheme="majorBidi" w:cstheme="majorBidi"/>
          <w:lang w:bidi="ar-AE"/>
        </w:rPr>
        <w:t> ; 4</w:t>
      </w:r>
      <w:r>
        <w:rPr>
          <w:rFonts w:asciiTheme="majorBidi" w:eastAsia="Times New Roman" w:hAnsiTheme="majorBidi" w:cstheme="majorBidi"/>
          <w:lang w:bidi="ar-AE"/>
        </w:rPr>
        <w:t xml:space="preserve">) </w:t>
      </w:r>
      <w:r w:rsidRPr="00355767">
        <w:rPr>
          <w:rFonts w:asciiTheme="majorBidi" w:eastAsia="Times New Roman" w:hAnsiTheme="majorBidi" w:cstheme="majorBidi"/>
          <w:lang w:bidi="ar-AE"/>
        </w:rPr>
        <w:t>des tours de reconnaissance et de grâce à Dieu (Shaykhū) ; 5</w:t>
      </w:r>
      <w:r>
        <w:rPr>
          <w:rFonts w:asciiTheme="majorBidi" w:eastAsia="Times New Roman" w:hAnsiTheme="majorBidi" w:cstheme="majorBidi"/>
          <w:lang w:bidi="ar-AE"/>
        </w:rPr>
        <w:t xml:space="preserve">) </w:t>
      </w:r>
      <w:r w:rsidRPr="00355767">
        <w:rPr>
          <w:rFonts w:asciiTheme="majorBidi" w:eastAsia="Times New Roman" w:hAnsiTheme="majorBidi" w:cstheme="majorBidi"/>
          <w:lang w:bidi="ar-AE"/>
        </w:rPr>
        <w:t xml:space="preserve">l’adhésion au monde supérieur du </w:t>
      </w:r>
      <w:r w:rsidRPr="00355767">
        <w:rPr>
          <w:rFonts w:asciiTheme="majorBidi" w:eastAsia="Times New Roman" w:hAnsiTheme="majorBidi" w:cstheme="majorBidi"/>
          <w:i/>
          <w:iCs/>
          <w:lang w:bidi="ar-AE"/>
        </w:rPr>
        <w:t>Malakūt</w:t>
      </w:r>
      <w:r w:rsidRPr="00355767">
        <w:rPr>
          <w:rFonts w:asciiTheme="majorBidi" w:eastAsia="Times New Roman" w:hAnsiTheme="majorBidi" w:cstheme="majorBidi"/>
          <w:lang w:bidi="ar-AE"/>
        </w:rPr>
        <w:t xml:space="preserve"> [la Souveraineté permanente, le Règne céleste et angélique] autour du Trône de Dieu (Ibn ʿArabī).</w:t>
      </w:r>
    </w:p>
    <w:p w14:paraId="70CAAC9D" w14:textId="77777777" w:rsidR="00296288" w:rsidRPr="000F6511" w:rsidRDefault="00296288" w:rsidP="00296288">
      <w:pPr>
        <w:spacing w:line="360" w:lineRule="auto"/>
        <w:jc w:val="both"/>
        <w:rPr>
          <w:rFonts w:asciiTheme="majorBidi" w:eastAsia="Calibri" w:hAnsiTheme="majorBidi" w:cstheme="majorBidi"/>
          <w:lang w:bidi="ar-AE"/>
        </w:rPr>
      </w:pPr>
    </w:p>
    <w:p w14:paraId="2A4CFD9F" w14:textId="77777777"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rPr>
      </w:pPr>
      <w:r w:rsidRPr="000F6511">
        <w:rPr>
          <w:rFonts w:ascii="Times New Roman" w:hAnsi="Times New Roman" w:cs="Times New Roman"/>
          <w:b/>
          <w:bCs/>
          <w:sz w:val="24"/>
          <w:szCs w:val="24"/>
          <w:lang w:eastAsia="fr-FR"/>
        </w:rPr>
        <w:t xml:space="preserve">Les </w:t>
      </w:r>
      <w:r w:rsidRPr="000F6511">
        <w:rPr>
          <w:rFonts w:ascii="Times New Roman" w:hAnsi="Times New Roman" w:cs="Times New Roman"/>
          <w:b/>
          <w:bCs/>
          <w:i/>
          <w:iCs/>
          <w:sz w:val="24"/>
          <w:szCs w:val="24"/>
          <w:lang w:eastAsia="fr-FR"/>
        </w:rPr>
        <w:t>Masājid</w:t>
      </w:r>
      <w:r w:rsidRPr="000F6511">
        <w:rPr>
          <w:rFonts w:ascii="Times New Roman" w:hAnsi="Times New Roman" w:cs="Times New Roman"/>
          <w:b/>
          <w:bCs/>
          <w:sz w:val="24"/>
          <w:szCs w:val="24"/>
          <w:lang w:eastAsia="fr-FR"/>
        </w:rPr>
        <w:t xml:space="preserve"> (v. 40) :</w:t>
      </w:r>
    </w:p>
    <w:p w14:paraId="66AA7688" w14:textId="77777777" w:rsidR="00296288" w:rsidRPr="000F6511" w:rsidRDefault="00296288" w:rsidP="00296288">
      <w:pPr>
        <w:spacing w:line="360" w:lineRule="auto"/>
        <w:ind w:firstLine="360"/>
        <w:jc w:val="both"/>
        <w:rPr>
          <w:rFonts w:eastAsia="Times New Roman"/>
        </w:rPr>
      </w:pPr>
      <w:r w:rsidRPr="000F6511">
        <w:rPr>
          <w:rFonts w:eastAsia="Times New Roman"/>
        </w:rPr>
        <w:t xml:space="preserve">Nous savons tous que le terme </w:t>
      </w:r>
      <w:r w:rsidRPr="000F6511">
        <w:rPr>
          <w:rFonts w:eastAsia="Times New Roman"/>
          <w:i/>
          <w:iCs/>
        </w:rPr>
        <w:t>masājid</w:t>
      </w:r>
      <w:r w:rsidRPr="000F6511">
        <w:rPr>
          <w:rFonts w:eastAsia="Times New Roman"/>
        </w:rPr>
        <w:t xml:space="preserve"> (pl. de </w:t>
      </w:r>
      <w:r w:rsidRPr="000F6511">
        <w:rPr>
          <w:rFonts w:eastAsia="Times New Roman"/>
          <w:i/>
          <w:iCs/>
        </w:rPr>
        <w:t>masjid</w:t>
      </w:r>
      <w:r w:rsidRPr="000F6511">
        <w:rPr>
          <w:rFonts w:eastAsia="Times New Roman"/>
        </w:rPr>
        <w:t xml:space="preserve">, lieu de prière) désigne les mosquées de l’Islam. En revanche, aṭ-Ṭabarī rapporte qu’il peut s’agir également de tous les autres lieux de culte susmentionnés dans le verset, à savoir : </w:t>
      </w:r>
      <w:r w:rsidRPr="000F6511">
        <w:rPr>
          <w:rFonts w:eastAsia="Times New Roman"/>
          <w:i/>
          <w:iCs/>
        </w:rPr>
        <w:t>ṣawāmiʿ</w:t>
      </w:r>
      <w:r w:rsidRPr="000F6511">
        <w:rPr>
          <w:rFonts w:eastAsia="Times New Roman"/>
        </w:rPr>
        <w:t>,</w:t>
      </w:r>
      <w:r w:rsidRPr="000F6511">
        <w:rPr>
          <w:rFonts w:eastAsia="Times New Roman"/>
          <w:i/>
          <w:iCs/>
        </w:rPr>
        <w:t xml:space="preserve"> biyaʿ</w:t>
      </w:r>
      <w:r w:rsidRPr="000F6511">
        <w:rPr>
          <w:rFonts w:eastAsia="Times New Roman"/>
        </w:rPr>
        <w:t xml:space="preserve"> et</w:t>
      </w:r>
      <w:r w:rsidRPr="000F6511">
        <w:rPr>
          <w:rFonts w:eastAsia="Times New Roman"/>
          <w:i/>
          <w:iCs/>
        </w:rPr>
        <w:t xml:space="preserve"> ṣalawāt</w:t>
      </w:r>
      <w:r w:rsidRPr="000F6511">
        <w:rPr>
          <w:rFonts w:eastAsia="Times New Roman"/>
        </w:rPr>
        <w:t>. Les exégèses modernes consacrent ce mot pour les mosquées.</w:t>
      </w:r>
    </w:p>
    <w:p w14:paraId="34921AF8" w14:textId="77777777" w:rsidR="00296288" w:rsidRPr="000F6511" w:rsidRDefault="00296288" w:rsidP="00296288">
      <w:pPr>
        <w:spacing w:line="360" w:lineRule="auto"/>
        <w:jc w:val="both"/>
        <w:rPr>
          <w:rFonts w:asciiTheme="majorBidi" w:eastAsia="Calibri" w:hAnsiTheme="majorBidi" w:cstheme="majorBidi"/>
          <w:lang w:bidi="ar-AE"/>
        </w:rPr>
      </w:pPr>
    </w:p>
    <w:p w14:paraId="64217495" w14:textId="77777777"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AE"/>
        </w:rPr>
      </w:pPr>
      <w:r w:rsidRPr="000F6511">
        <w:rPr>
          <w:rFonts w:ascii="Times New Roman" w:hAnsi="Times New Roman" w:cs="Times New Roman"/>
          <w:b/>
          <w:bCs/>
          <w:sz w:val="24"/>
          <w:szCs w:val="24"/>
          <w:lang w:eastAsia="fr-FR" w:bidi="ar-AE"/>
        </w:rPr>
        <w:t xml:space="preserve">Les significations de </w:t>
      </w:r>
      <w:r w:rsidRPr="000F6511">
        <w:rPr>
          <w:rFonts w:ascii="Times New Roman" w:hAnsi="Times New Roman" w:cs="Times New Roman"/>
          <w:b/>
          <w:bCs/>
          <w:i/>
          <w:iCs/>
          <w:sz w:val="24"/>
          <w:szCs w:val="24"/>
          <w:lang w:eastAsia="fr-FR" w:bidi="ar-AE"/>
        </w:rPr>
        <w:t>rijs</w:t>
      </w:r>
      <w:r w:rsidRPr="000F6511">
        <w:rPr>
          <w:rFonts w:ascii="Times New Roman" w:hAnsi="Times New Roman" w:cs="Times New Roman"/>
          <w:b/>
          <w:bCs/>
          <w:sz w:val="24"/>
          <w:szCs w:val="24"/>
          <w:lang w:eastAsia="fr-FR" w:bidi="ar-AE"/>
        </w:rPr>
        <w:t xml:space="preserve">, </w:t>
      </w:r>
      <w:r w:rsidRPr="000F6511">
        <w:rPr>
          <w:rFonts w:ascii="Times New Roman" w:hAnsi="Times New Roman" w:cs="Times New Roman"/>
          <w:b/>
          <w:bCs/>
          <w:i/>
          <w:iCs/>
          <w:sz w:val="24"/>
          <w:szCs w:val="24"/>
          <w:lang w:eastAsia="fr-FR" w:bidi="ar-AE"/>
        </w:rPr>
        <w:t>zūr</w:t>
      </w:r>
      <w:r w:rsidRPr="000F6511">
        <w:rPr>
          <w:rFonts w:ascii="Times New Roman" w:hAnsi="Times New Roman" w:cs="Times New Roman"/>
          <w:b/>
          <w:bCs/>
          <w:sz w:val="24"/>
          <w:szCs w:val="24"/>
          <w:lang w:eastAsia="fr-FR" w:bidi="ar-AE"/>
        </w:rPr>
        <w:t xml:space="preserve"> (v. 30) et </w:t>
      </w:r>
      <w:r w:rsidRPr="000F6511">
        <w:rPr>
          <w:rFonts w:ascii="Times New Roman" w:hAnsi="Times New Roman" w:cs="Times New Roman"/>
          <w:b/>
          <w:bCs/>
          <w:i/>
          <w:iCs/>
          <w:sz w:val="24"/>
          <w:szCs w:val="24"/>
          <w:lang w:eastAsia="fr-FR" w:bidi="ar-AE"/>
        </w:rPr>
        <w:t>ḥunafāʾ</w:t>
      </w:r>
      <w:r w:rsidRPr="000F6511">
        <w:rPr>
          <w:rFonts w:ascii="Times New Roman" w:hAnsi="Times New Roman" w:cs="Times New Roman"/>
          <w:b/>
          <w:bCs/>
          <w:sz w:val="24"/>
          <w:szCs w:val="24"/>
          <w:lang w:eastAsia="fr-FR" w:bidi="ar-AE"/>
        </w:rPr>
        <w:t xml:space="preserve"> (v. 31) :</w:t>
      </w:r>
    </w:p>
    <w:p w14:paraId="728265D2"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Le verset 30 demande d’éviter le </w:t>
      </w:r>
      <w:r w:rsidRPr="00B867DF">
        <w:rPr>
          <w:rFonts w:eastAsia="Times New Roman"/>
          <w:i/>
          <w:iCs/>
        </w:rPr>
        <w:t>rijs</w:t>
      </w:r>
      <w:r w:rsidRPr="00B867DF">
        <w:rPr>
          <w:rFonts w:eastAsia="Times New Roman"/>
        </w:rPr>
        <w:t xml:space="preserve"> des idoles et la parole de </w:t>
      </w:r>
      <w:r w:rsidRPr="00B867DF">
        <w:rPr>
          <w:rFonts w:eastAsia="Times New Roman"/>
          <w:i/>
          <w:iCs/>
        </w:rPr>
        <w:t>zūr</w:t>
      </w:r>
      <w:r w:rsidRPr="00B867DF">
        <w:rPr>
          <w:rFonts w:eastAsia="Times New Roman"/>
        </w:rPr>
        <w:t xml:space="preserve">. Le </w:t>
      </w:r>
      <w:r w:rsidRPr="00B867DF">
        <w:rPr>
          <w:rFonts w:eastAsia="Times New Roman"/>
          <w:i/>
          <w:iCs/>
        </w:rPr>
        <w:t>rijs</w:t>
      </w:r>
      <w:r w:rsidRPr="00B867DF">
        <w:rPr>
          <w:rFonts w:eastAsia="Times New Roman"/>
        </w:rPr>
        <w:t xml:space="preserve"> peut désigner l’une des significations suivantes :</w:t>
      </w:r>
    </w:p>
    <w:p w14:paraId="0F89267F"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l’idolâtrie ;</w:t>
      </w:r>
    </w:p>
    <w:p w14:paraId="1B969DB2"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l’obéissance à Satan ;</w:t>
      </w:r>
    </w:p>
    <w:p w14:paraId="7C2C7B0B"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offenser Dieu ;</w:t>
      </w:r>
    </w:p>
    <w:p w14:paraId="51795CD7"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ne pas croire à ce que les prophètes ont dit ;</w:t>
      </w:r>
    </w:p>
    <w:p w14:paraId="37EB8A15"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la souillure et la saleté ;</w:t>
      </w:r>
    </w:p>
    <w:p w14:paraId="621D29A2"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 xml:space="preserve">les deux déesses préislamiques mecquoises </w:t>
      </w:r>
      <w:r w:rsidRPr="00B867DF">
        <w:rPr>
          <w:rFonts w:eastAsia="Times New Roman"/>
          <w:i/>
          <w:iCs/>
        </w:rPr>
        <w:t>al-Lāt</w:t>
      </w:r>
      <w:r w:rsidRPr="00B867DF">
        <w:rPr>
          <w:rFonts w:eastAsia="Times New Roman"/>
        </w:rPr>
        <w:t xml:space="preserve"> et </w:t>
      </w:r>
      <w:r w:rsidRPr="00B867DF">
        <w:rPr>
          <w:rFonts w:eastAsia="Times New Roman"/>
          <w:i/>
          <w:iCs/>
        </w:rPr>
        <w:t>ʿUzzā</w:t>
      </w:r>
      <w:r w:rsidRPr="00B867DF">
        <w:rPr>
          <w:rStyle w:val="Appelnotedebasdep"/>
        </w:rPr>
        <w:footnoteReference w:id="268"/>
      </w:r>
      <w:r w:rsidRPr="00B867DF">
        <w:rPr>
          <w:rFonts w:eastAsia="Times New Roman"/>
          <w:i/>
          <w:iCs/>
        </w:rPr>
        <w:t> </w:t>
      </w:r>
      <w:r w:rsidRPr="00B867DF">
        <w:rPr>
          <w:rFonts w:eastAsia="Times New Roman"/>
        </w:rPr>
        <w:t>;</w:t>
      </w:r>
    </w:p>
    <w:p w14:paraId="13D31C2C"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ne pas distinguer le hadith authentique du hadith fabriqué (Shaykhū) ;</w:t>
      </w:r>
    </w:p>
    <w:p w14:paraId="24EC822D"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les idoles des désirs que l’on adore (Ibn ʿArabī) ;</w:t>
      </w:r>
    </w:p>
    <w:p w14:paraId="204AC90C" w14:textId="77777777" w:rsidR="00296288" w:rsidRPr="00B867DF" w:rsidRDefault="00296288" w:rsidP="007640DC">
      <w:pPr>
        <w:numPr>
          <w:ilvl w:val="0"/>
          <w:numId w:val="48"/>
        </w:numPr>
        <w:spacing w:line="360" w:lineRule="auto"/>
        <w:jc w:val="both"/>
        <w:rPr>
          <w:rFonts w:eastAsia="Times New Roman"/>
        </w:rPr>
      </w:pPr>
      <w:r w:rsidRPr="00B867DF">
        <w:rPr>
          <w:rFonts w:eastAsia="Times New Roman"/>
        </w:rPr>
        <w:t>le jeu d’échecs (Al-Qummī) ;</w:t>
      </w:r>
    </w:p>
    <w:p w14:paraId="700F9CE2" w14:textId="77777777" w:rsidR="00296288" w:rsidRPr="00B867DF" w:rsidRDefault="00296288" w:rsidP="007640DC">
      <w:pPr>
        <w:numPr>
          <w:ilvl w:val="0"/>
          <w:numId w:val="48"/>
        </w:numPr>
        <w:tabs>
          <w:tab w:val="left" w:pos="851"/>
        </w:tabs>
        <w:spacing w:line="360" w:lineRule="auto"/>
        <w:jc w:val="both"/>
        <w:rPr>
          <w:rFonts w:eastAsia="Times New Roman"/>
        </w:rPr>
      </w:pPr>
      <w:r w:rsidRPr="00B867DF">
        <w:rPr>
          <w:rFonts w:eastAsia="Times New Roman"/>
        </w:rPr>
        <w:t>l’impureté intrinsèque d’une chose (</w:t>
      </w:r>
      <w:r w:rsidRPr="00B867DF">
        <w:rPr>
          <w:rFonts w:eastAsia="Calibri"/>
        </w:rPr>
        <w:t>Ash-Shaʿrāwī)</w:t>
      </w:r>
    </w:p>
    <w:p w14:paraId="22028DE7" w14:textId="77777777" w:rsidR="00296288" w:rsidRPr="00B867DF" w:rsidRDefault="00296288" w:rsidP="00296288">
      <w:pPr>
        <w:spacing w:line="360" w:lineRule="auto"/>
        <w:jc w:val="both"/>
        <w:rPr>
          <w:rFonts w:eastAsia="Times New Roman"/>
        </w:rPr>
      </w:pPr>
    </w:p>
    <w:p w14:paraId="570A9DE0" w14:textId="77777777" w:rsidR="00296288" w:rsidRPr="00B867DF" w:rsidRDefault="00296288" w:rsidP="00296288">
      <w:pPr>
        <w:spacing w:line="360" w:lineRule="auto"/>
        <w:ind w:firstLine="360"/>
        <w:jc w:val="both"/>
        <w:rPr>
          <w:rFonts w:eastAsia="Times New Roman"/>
          <w:rtl/>
        </w:rPr>
      </w:pPr>
      <w:r w:rsidRPr="00B867DF">
        <w:rPr>
          <w:rFonts w:eastAsia="Times New Roman"/>
        </w:rPr>
        <w:t xml:space="preserve">Ainsi, toucher une bouteille de vin, appartenir à une religion autre que l’islam, croire à une idée non musulmane, ou vivre ses désirs peuvent être considérés comme </w:t>
      </w:r>
      <w:r w:rsidRPr="00B867DF">
        <w:rPr>
          <w:rFonts w:eastAsia="Times New Roman"/>
          <w:i/>
          <w:iCs/>
        </w:rPr>
        <w:t>rijs</w:t>
      </w:r>
      <w:r w:rsidRPr="00B867DF">
        <w:rPr>
          <w:rFonts w:eastAsia="Times New Roman"/>
        </w:rPr>
        <w:t xml:space="preserve">. Le </w:t>
      </w:r>
      <w:r w:rsidRPr="00B867DF">
        <w:rPr>
          <w:rFonts w:eastAsia="Times New Roman"/>
          <w:i/>
          <w:iCs/>
        </w:rPr>
        <w:t>rijs</w:t>
      </w:r>
      <w:r w:rsidRPr="00B867DF">
        <w:rPr>
          <w:rFonts w:eastAsia="Times New Roman"/>
        </w:rPr>
        <w:t xml:space="preserve"> désigne donc tout ce que l’autorité religieuse et politique musulmane refuse. Ainsi, selon les exégètes, le rijs désigne en général une impureté morale, i. e. faire des choses défendues par l’islam.</w:t>
      </w:r>
    </w:p>
    <w:p w14:paraId="4D5774BD" w14:textId="77777777" w:rsidR="00296288" w:rsidRPr="00B867DF" w:rsidRDefault="00296288" w:rsidP="00296288">
      <w:pPr>
        <w:spacing w:line="360" w:lineRule="auto"/>
        <w:jc w:val="both"/>
        <w:rPr>
          <w:rFonts w:eastAsia="Times New Roman"/>
        </w:rPr>
      </w:pPr>
    </w:p>
    <w:p w14:paraId="2F2652C0"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Le mot </w:t>
      </w:r>
      <w:r w:rsidRPr="00B867DF">
        <w:rPr>
          <w:rFonts w:eastAsia="Times New Roman"/>
          <w:i/>
          <w:iCs/>
        </w:rPr>
        <w:t>zūr</w:t>
      </w:r>
      <w:r w:rsidRPr="00B867DF">
        <w:rPr>
          <w:rFonts w:eastAsia="Times New Roman"/>
        </w:rPr>
        <w:t>, qui désigne selon le dictionnaire ce qui est faux, couvre un champ sémantique très vaste selon les exégètes : faux témoignage ; mensonge ; calomnie ; interdiction de l’abattage de quelques chamelles ; paganisme ; connaissance trompeuse ; chanson, etc.</w:t>
      </w:r>
    </w:p>
    <w:p w14:paraId="6C414C4A" w14:textId="77777777" w:rsidR="00296288" w:rsidRPr="00B867DF" w:rsidRDefault="00296288" w:rsidP="00296288">
      <w:pPr>
        <w:spacing w:line="360" w:lineRule="auto"/>
        <w:ind w:firstLine="360"/>
        <w:jc w:val="both"/>
        <w:rPr>
          <w:rFonts w:eastAsia="Times New Roman"/>
        </w:rPr>
      </w:pPr>
    </w:p>
    <w:p w14:paraId="2018AA19"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Ce mot </w:t>
      </w:r>
      <w:r w:rsidRPr="00B867DF">
        <w:rPr>
          <w:rFonts w:eastAsia="Times New Roman"/>
          <w:i/>
          <w:iCs/>
        </w:rPr>
        <w:t>zūr</w:t>
      </w:r>
      <w:r w:rsidRPr="00B867DF">
        <w:rPr>
          <w:rFonts w:eastAsia="Times New Roman"/>
        </w:rPr>
        <w:t xml:space="preserve"> a ainsi plusieurs significations à la fois. C’est le lecteur qui mettra en avant l’une de ces significations plutôt qu’une autre, à l’instar de l’intervention, dans l’expérience imaginée du chat de Schrödinger, d’un observateur extérieur qui ouvre la boîte et voit le chat dans l’un des deux états : vivant ou mort, et qui ne peut pas le voir dans les deux états simultanément. Lorsqu’il intervient dans le texte ouvert à d’innombrables probabilités de significations, le </w:t>
      </w:r>
      <w:r w:rsidRPr="00B867DF">
        <w:rPr>
          <w:rFonts w:eastAsia="Times New Roman"/>
        </w:rPr>
        <w:lastRenderedPageBreak/>
        <w:t>lecteur en choisit une, ce qui fait disparaître les autres significations et apparaître celle qui reflète la position intellectuelle, politique, religieuse et philosophique du lecteur.</w:t>
      </w:r>
    </w:p>
    <w:p w14:paraId="6D423441" w14:textId="77777777" w:rsidR="00296288" w:rsidRPr="00B867DF" w:rsidRDefault="00296288" w:rsidP="00296288">
      <w:pPr>
        <w:spacing w:line="360" w:lineRule="auto"/>
        <w:ind w:firstLine="360"/>
        <w:jc w:val="both"/>
        <w:rPr>
          <w:rFonts w:eastAsia="Times New Roman"/>
        </w:rPr>
      </w:pPr>
    </w:p>
    <w:p w14:paraId="1FDBA424"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Le texte coranique n’est donc qu’un miroir qui reflète l’image intellectuelle et psychologique des lecteurs, image dessinée par l’environnement du lecteur. Dès qu’il regarde dans le texte, le lecteur voit sa personne et sa </w:t>
      </w:r>
      <w:r w:rsidRPr="00B867DF">
        <w:rPr>
          <w:rFonts w:eastAsia="Times New Roman" w:cs="Arial"/>
          <w:i/>
          <w:iCs/>
        </w:rPr>
        <w:t>persona</w:t>
      </w:r>
      <w:r w:rsidRPr="00B867DF">
        <w:rPr>
          <w:rFonts w:eastAsia="Times New Roman"/>
        </w:rPr>
        <w:t> (« son masque ») que la société lui fait porter avec sa complicité. L’autorité politique et religieuse force parfois le texte coranique à travers l’exégèse pour servir ses fins et ses intérêts.</w:t>
      </w:r>
    </w:p>
    <w:p w14:paraId="4834BCBD" w14:textId="77777777" w:rsidR="00296288" w:rsidRPr="00B867DF" w:rsidRDefault="00296288" w:rsidP="00296288">
      <w:pPr>
        <w:spacing w:line="360" w:lineRule="auto"/>
        <w:ind w:firstLine="360"/>
        <w:jc w:val="both"/>
        <w:rPr>
          <w:rFonts w:asciiTheme="majorBidi" w:eastAsia="Times New Roman" w:hAnsiTheme="majorBidi" w:cstheme="majorBidi"/>
        </w:rPr>
      </w:pPr>
    </w:p>
    <w:p w14:paraId="2A397953" w14:textId="77777777" w:rsidR="00296288" w:rsidRPr="00B867DF" w:rsidRDefault="00296288" w:rsidP="00296288">
      <w:pPr>
        <w:spacing w:line="360" w:lineRule="auto"/>
        <w:ind w:firstLine="360"/>
        <w:jc w:val="both"/>
        <w:rPr>
          <w:rFonts w:asciiTheme="majorBidi" w:eastAsia="Times New Roman" w:hAnsiTheme="majorBidi" w:cstheme="majorBidi"/>
          <w:lang w:bidi="ar-KW"/>
        </w:rPr>
      </w:pPr>
      <w:r w:rsidRPr="00B867DF">
        <w:rPr>
          <w:rFonts w:asciiTheme="majorBidi" w:eastAsia="Times New Roman" w:hAnsiTheme="majorBidi" w:cstheme="majorBidi"/>
        </w:rPr>
        <w:t xml:space="preserve">Le terme </w:t>
      </w:r>
      <w:r w:rsidRPr="00B867DF">
        <w:rPr>
          <w:rFonts w:asciiTheme="majorBidi" w:eastAsia="Times New Roman" w:hAnsiTheme="majorBidi" w:cstheme="majorBidi"/>
          <w:i/>
          <w:iCs/>
        </w:rPr>
        <w:t>ḥunafāʾ</w:t>
      </w:r>
      <w:r w:rsidRPr="00B867DF">
        <w:rPr>
          <w:rFonts w:asciiTheme="majorBidi" w:eastAsia="Times New Roman" w:hAnsiTheme="majorBidi" w:cstheme="majorBidi"/>
        </w:rPr>
        <w:t xml:space="preserve"> (pl. de </w:t>
      </w:r>
      <w:r w:rsidRPr="00B867DF">
        <w:rPr>
          <w:rFonts w:asciiTheme="majorBidi" w:eastAsia="Times New Roman" w:hAnsiTheme="majorBidi" w:cstheme="majorBidi"/>
          <w:i/>
          <w:iCs/>
          <w:lang w:bidi="ar-KW"/>
        </w:rPr>
        <w:t>ḥanīf</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rPr>
        <w:t>celui qui s’écarte vers quelque chose</w:t>
      </w:r>
      <w:r w:rsidRPr="00B867DF">
        <w:rPr>
          <w:rFonts w:asciiTheme="majorBidi" w:eastAsia="Times New Roman" w:hAnsiTheme="majorBidi" w:cstheme="majorBidi"/>
          <w:lang w:bidi="ar-KW"/>
        </w:rPr>
        <w:t>) accepte les dénotations suivantes :</w:t>
      </w:r>
    </w:p>
    <w:p w14:paraId="79F036BF"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ceux qui vont droit vers Dieu ;</w:t>
      </w:r>
    </w:p>
    <w:p w14:paraId="0F71362D"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ceux qui voue à Dieu un culte exclusif ;</w:t>
      </w:r>
    </w:p>
    <w:p w14:paraId="05380856"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pèlerins qui n’attribuent aucun associé à Dieu ;</w:t>
      </w:r>
    </w:p>
    <w:p w14:paraId="51A47042"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des musulmans ;</w:t>
      </w:r>
    </w:p>
    <w:p w14:paraId="2C73637A"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des fidèles à Dieu (</w:t>
      </w:r>
      <w:r w:rsidRPr="00B867DF">
        <w:rPr>
          <w:rFonts w:asciiTheme="majorBidi" w:eastAsia="Times New Roman" w:hAnsiTheme="majorBidi" w:cstheme="majorBidi"/>
          <w:i/>
          <w:iCs/>
          <w:lang w:bidi="ar-KW"/>
        </w:rPr>
        <w:t>mukhli</w:t>
      </w:r>
      <w:r w:rsidRPr="00B867DF">
        <w:rPr>
          <w:rFonts w:asciiTheme="majorBidi" w:eastAsia="Times New Roman" w:hAnsiTheme="majorBidi" w:cstheme="majorBidi"/>
          <w:i/>
          <w:iCs/>
        </w:rPr>
        <w:t>ṣīna li-llāh</w:t>
      </w:r>
      <w:r w:rsidRPr="00B867DF">
        <w:rPr>
          <w:rFonts w:asciiTheme="majorBidi" w:eastAsia="Times New Roman" w:hAnsiTheme="majorBidi" w:cstheme="majorBidi"/>
          <w:lang w:bidi="ar-KW"/>
        </w:rPr>
        <w:t>) ;</w:t>
      </w:r>
    </w:p>
    <w:p w14:paraId="61BC0E71"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des adorateurs ;</w:t>
      </w:r>
    </w:p>
    <w:p w14:paraId="0682FE10"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ceux qui s’écartent vers le Vrai ;</w:t>
      </w:r>
    </w:p>
    <w:p w14:paraId="6A596CB3"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ceux qui s’écartent vers Dieu par l’amour et le désir ardent ;</w:t>
      </w:r>
    </w:p>
    <w:p w14:paraId="03ABF469" w14:textId="77777777" w:rsidR="00296288" w:rsidRPr="00B867DF" w:rsidRDefault="00296288" w:rsidP="007640DC">
      <w:pPr>
        <w:numPr>
          <w:ilvl w:val="0"/>
          <w:numId w:val="49"/>
        </w:numPr>
        <w:spacing w:line="360" w:lineRule="auto"/>
        <w:jc w:val="both"/>
        <w:rPr>
          <w:rFonts w:asciiTheme="majorBidi" w:eastAsia="Times New Roman" w:hAnsiTheme="majorBidi" w:cstheme="majorBidi"/>
          <w:lang w:bidi="ar-KW"/>
        </w:rPr>
      </w:pPr>
      <w:r w:rsidRPr="00B867DF">
        <w:rPr>
          <w:rFonts w:asciiTheme="majorBidi" w:eastAsia="Times New Roman" w:hAnsiTheme="majorBidi" w:cstheme="majorBidi"/>
          <w:lang w:bidi="ar-KW"/>
        </w:rPr>
        <w:t xml:space="preserve">des purs </w:t>
      </w:r>
      <w:r w:rsidRPr="00B867DF">
        <w:rPr>
          <w:rFonts w:asciiTheme="majorBidi" w:eastAsia="Times New Roman" w:hAnsiTheme="majorBidi" w:cstheme="majorBidi"/>
        </w:rPr>
        <w:t>(Al-Qummī).</w:t>
      </w:r>
    </w:p>
    <w:p w14:paraId="76CC0A67" w14:textId="77777777" w:rsidR="00296288" w:rsidRPr="00B867DF" w:rsidRDefault="00296288" w:rsidP="007640DC">
      <w:pPr>
        <w:numPr>
          <w:ilvl w:val="0"/>
          <w:numId w:val="49"/>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s’écartent des fausses connaissances et des mauvais moyens (Ibn ʿArabī) ;</w:t>
      </w:r>
    </w:p>
    <w:p w14:paraId="0CB7FC58" w14:textId="77777777" w:rsidR="00296288" w:rsidRPr="00B867DF" w:rsidRDefault="00296288" w:rsidP="007640DC">
      <w:pPr>
        <w:numPr>
          <w:ilvl w:val="0"/>
          <w:numId w:val="49"/>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s’écartent de l’idolâtrie (</w:t>
      </w:r>
      <w:r w:rsidRPr="00B867DF">
        <w:rPr>
          <w:rFonts w:asciiTheme="majorBidi" w:eastAsia="Calibri" w:hAnsiTheme="majorBidi" w:cstheme="majorBidi"/>
        </w:rPr>
        <w:t>Ash-Shaʿrāwī)</w:t>
      </w:r>
      <w:r w:rsidRPr="00B867DF">
        <w:rPr>
          <w:rFonts w:asciiTheme="majorBidi" w:eastAsia="Times New Roman" w:hAnsiTheme="majorBidi" w:cstheme="majorBidi"/>
        </w:rPr>
        <w:t>.</w:t>
      </w:r>
    </w:p>
    <w:p w14:paraId="0958773E" w14:textId="77777777" w:rsidR="00296288" w:rsidRPr="00BD2F01" w:rsidRDefault="00296288" w:rsidP="00296288">
      <w:pPr>
        <w:spacing w:line="360" w:lineRule="auto"/>
        <w:jc w:val="both"/>
        <w:rPr>
          <w:rFonts w:asciiTheme="majorBidi" w:eastAsia="Calibri" w:hAnsiTheme="majorBidi" w:cstheme="majorBidi"/>
          <w:lang w:bidi="ar-AE"/>
        </w:rPr>
      </w:pPr>
    </w:p>
    <w:p w14:paraId="21E32CA3" w14:textId="77777777" w:rsidR="00296288" w:rsidRPr="00BD2F01" w:rsidRDefault="00296288" w:rsidP="00296288">
      <w:pPr>
        <w:tabs>
          <w:tab w:val="left" w:pos="851"/>
        </w:tabs>
        <w:spacing w:line="360" w:lineRule="auto"/>
        <w:jc w:val="both"/>
        <w:rPr>
          <w:rFonts w:asciiTheme="majorBidi" w:eastAsia="Times New Roman" w:hAnsiTheme="majorBidi" w:cstheme="majorBidi"/>
        </w:rPr>
      </w:pPr>
      <w:r w:rsidRPr="00BD2F01">
        <w:rPr>
          <w:rFonts w:asciiTheme="majorBidi" w:eastAsia="Times New Roman" w:hAnsiTheme="majorBidi" w:cstheme="majorBidi"/>
        </w:rPr>
        <w:tab/>
        <w:t xml:space="preserve">Il semble que le mot </w:t>
      </w:r>
      <w:r w:rsidRPr="00BD2F01">
        <w:rPr>
          <w:rFonts w:asciiTheme="majorBidi" w:eastAsia="Times New Roman" w:hAnsiTheme="majorBidi" w:cstheme="majorBidi"/>
          <w:i/>
          <w:iCs/>
        </w:rPr>
        <w:t>ḥunafāʾ</w:t>
      </w:r>
      <w:r w:rsidRPr="00BD2F01">
        <w:rPr>
          <w:rFonts w:asciiTheme="majorBidi" w:eastAsia="Times New Roman" w:hAnsiTheme="majorBidi" w:cstheme="majorBidi"/>
        </w:rPr>
        <w:t xml:space="preserve"> ait essentiellement un sens identitaire et désigne une appartenance à un groupe, un instrument de différenciation, en faisant valoir les différences, en disant : « Je suis </w:t>
      </w:r>
      <w:r w:rsidRPr="00BD2F01">
        <w:rPr>
          <w:rFonts w:asciiTheme="majorBidi" w:eastAsia="Times New Roman" w:hAnsiTheme="majorBidi" w:cstheme="majorBidi"/>
          <w:i/>
          <w:iCs/>
        </w:rPr>
        <w:t>ḥanīf</w:t>
      </w:r>
      <w:r w:rsidRPr="00BD2F01">
        <w:rPr>
          <w:rFonts w:asciiTheme="majorBidi" w:eastAsia="Times New Roman" w:hAnsiTheme="majorBidi" w:cstheme="majorBidi"/>
        </w:rPr>
        <w:t xml:space="preserve">, c’est-à-dire : je m’écarte de vous, car je ne suis pas vous mais moi ». Les </w:t>
      </w:r>
      <w:r w:rsidRPr="00BD2F01">
        <w:rPr>
          <w:rFonts w:asciiTheme="majorBidi" w:eastAsia="Times New Roman" w:hAnsiTheme="majorBidi" w:cstheme="majorBidi"/>
          <w:i/>
          <w:iCs/>
        </w:rPr>
        <w:t>ḥunafāʾ</w:t>
      </w:r>
      <w:r w:rsidRPr="00BD2F01">
        <w:rPr>
          <w:rFonts w:asciiTheme="majorBidi" w:eastAsia="Times New Roman" w:hAnsiTheme="majorBidi" w:cstheme="majorBidi"/>
        </w:rPr>
        <w:t xml:space="preserve"> antéislamiques (les </w:t>
      </w:r>
      <w:r w:rsidRPr="00BD2F01">
        <w:rPr>
          <w:rFonts w:asciiTheme="majorBidi" w:eastAsia="Times New Roman" w:hAnsiTheme="majorBidi" w:cstheme="majorBidi"/>
          <w:i/>
          <w:iCs/>
        </w:rPr>
        <w:t>ḥanīf</w:t>
      </w:r>
      <w:r w:rsidRPr="00BD2F01">
        <w:rPr>
          <w:rFonts w:asciiTheme="majorBidi" w:eastAsia="Times New Roman" w:hAnsiTheme="majorBidi" w:cstheme="majorBidi"/>
        </w:rPr>
        <w:t>) étaient des monothéistes arabes qui se distinguaient des païens, des juifs et des chrétiens.</w:t>
      </w:r>
    </w:p>
    <w:p w14:paraId="23343C03" w14:textId="77777777" w:rsidR="00296288" w:rsidRPr="00BD2F01" w:rsidRDefault="00296288" w:rsidP="00296288">
      <w:pPr>
        <w:tabs>
          <w:tab w:val="left" w:pos="851"/>
        </w:tabs>
        <w:spacing w:line="360" w:lineRule="auto"/>
        <w:jc w:val="both"/>
        <w:rPr>
          <w:rFonts w:asciiTheme="majorBidi" w:eastAsia="Times New Roman" w:hAnsiTheme="majorBidi" w:cstheme="majorBidi"/>
        </w:rPr>
      </w:pPr>
    </w:p>
    <w:p w14:paraId="25EF0DEB" w14:textId="77777777" w:rsidR="00296288" w:rsidRPr="00B867DF" w:rsidRDefault="00296288" w:rsidP="00296288">
      <w:pPr>
        <w:tabs>
          <w:tab w:val="left" w:pos="851"/>
        </w:tabs>
        <w:spacing w:line="360" w:lineRule="auto"/>
        <w:jc w:val="both"/>
        <w:rPr>
          <w:rFonts w:asciiTheme="majorBidi" w:eastAsia="Times New Roman" w:hAnsiTheme="majorBidi" w:cstheme="majorBidi"/>
          <w:rtl/>
        </w:rPr>
      </w:pPr>
      <w:r w:rsidRPr="00B867DF">
        <w:rPr>
          <w:rFonts w:asciiTheme="majorBidi" w:eastAsia="Times New Roman" w:hAnsiTheme="majorBidi" w:cstheme="majorBidi"/>
        </w:rPr>
        <w:tab/>
        <w:t xml:space="preserve">Le verset 31 qualifie les </w:t>
      </w:r>
      <w:r w:rsidRPr="00B867DF">
        <w:rPr>
          <w:rFonts w:asciiTheme="majorBidi" w:eastAsia="Times New Roman" w:hAnsiTheme="majorBidi" w:cstheme="majorBidi"/>
          <w:i/>
          <w:iCs/>
        </w:rPr>
        <w:t>ḥanīf</w:t>
      </w:r>
      <w:r w:rsidRPr="00B867DF">
        <w:rPr>
          <w:rFonts w:asciiTheme="majorBidi" w:eastAsia="Times New Roman" w:hAnsiTheme="majorBidi" w:cstheme="majorBidi"/>
        </w:rPr>
        <w:t xml:space="preserve"> de ne pas être des associateurs (</w:t>
      </w:r>
      <w:r w:rsidRPr="00B867DF">
        <w:rPr>
          <w:rFonts w:asciiTheme="majorBidi" w:eastAsia="Times New Roman" w:hAnsiTheme="majorBidi" w:cstheme="majorBidi"/>
          <w:i/>
          <w:iCs/>
        </w:rPr>
        <w:t>ghyar mushrikīn</w:t>
      </w:r>
      <w:r w:rsidRPr="00B867DF">
        <w:rPr>
          <w:rFonts w:asciiTheme="majorBidi" w:eastAsia="Times New Roman" w:hAnsiTheme="majorBidi" w:cstheme="majorBidi"/>
        </w:rPr>
        <w:t>). Ibn ʿArabī et Amīn Shaykhū ont donné à ce dernier mot une signification un peu différente : 1</w:t>
      </w:r>
      <w:r>
        <w:rPr>
          <w:rFonts w:asciiTheme="majorBidi" w:eastAsia="Times New Roman" w:hAnsiTheme="majorBidi" w:cstheme="majorBidi"/>
        </w:rPr>
        <w:t xml:space="preserve">) </w:t>
      </w:r>
      <w:r w:rsidRPr="00B867DF">
        <w:rPr>
          <w:rFonts w:asciiTheme="majorBidi" w:eastAsia="Times New Roman" w:hAnsiTheme="majorBidi" w:cstheme="majorBidi"/>
        </w:rPr>
        <w:t xml:space="preserve">ceux </w:t>
      </w:r>
      <w:r w:rsidRPr="00B867DF">
        <w:rPr>
          <w:rFonts w:asciiTheme="majorBidi" w:eastAsia="Times New Roman" w:hAnsiTheme="majorBidi" w:cstheme="majorBidi"/>
        </w:rPr>
        <w:lastRenderedPageBreak/>
        <w:t>qui n’attribuent pas de force ni de puissance à quelqu’un d’autre que Dieu (Shaykhū) ; ou 2</w:t>
      </w:r>
      <w:r>
        <w:rPr>
          <w:rFonts w:asciiTheme="majorBidi" w:eastAsia="Times New Roman" w:hAnsiTheme="majorBidi" w:cstheme="majorBidi"/>
        </w:rPr>
        <w:t xml:space="preserve">) </w:t>
      </w:r>
      <w:r w:rsidRPr="00B867DF">
        <w:rPr>
          <w:rFonts w:asciiTheme="majorBidi" w:eastAsia="Times New Roman" w:hAnsiTheme="majorBidi" w:cstheme="majorBidi"/>
        </w:rPr>
        <w:t>ceux qui ne voient que Dieu (notion mystique, plutôt panthéiste, panenthéiste) (Ibn ʿArabī).</w:t>
      </w:r>
    </w:p>
    <w:p w14:paraId="5EF5A724" w14:textId="77777777" w:rsidR="00296288" w:rsidRPr="00BD2F01" w:rsidRDefault="00296288" w:rsidP="00296288">
      <w:pPr>
        <w:tabs>
          <w:tab w:val="left" w:pos="851"/>
        </w:tabs>
        <w:spacing w:line="360" w:lineRule="auto"/>
        <w:jc w:val="both"/>
        <w:rPr>
          <w:rFonts w:asciiTheme="majorBidi" w:eastAsia="Times New Roman" w:hAnsiTheme="majorBidi" w:cstheme="majorBidi"/>
        </w:rPr>
      </w:pPr>
    </w:p>
    <w:p w14:paraId="111A07D1" w14:textId="77777777" w:rsidR="00296288" w:rsidRPr="00BD2F01" w:rsidRDefault="00296288" w:rsidP="00296288">
      <w:pPr>
        <w:tabs>
          <w:tab w:val="left" w:pos="851"/>
        </w:tabs>
        <w:spacing w:line="360" w:lineRule="auto"/>
        <w:jc w:val="both"/>
        <w:rPr>
          <w:rFonts w:asciiTheme="majorBidi" w:eastAsia="Times New Roman" w:hAnsiTheme="majorBidi" w:cstheme="majorBidi"/>
        </w:rPr>
      </w:pPr>
      <w:r w:rsidRPr="00BD2F01">
        <w:rPr>
          <w:rFonts w:asciiTheme="majorBidi" w:eastAsia="Times New Roman" w:hAnsiTheme="majorBidi" w:cstheme="majorBidi"/>
        </w:rPr>
        <w:tab/>
        <w:t xml:space="preserve">Les </w:t>
      </w:r>
      <w:r w:rsidRPr="00BD2F01">
        <w:rPr>
          <w:rFonts w:asciiTheme="majorBidi" w:eastAsia="Times New Roman" w:hAnsiTheme="majorBidi" w:cstheme="majorBidi"/>
          <w:i/>
          <w:iCs/>
        </w:rPr>
        <w:t>shaʿāʾir Allāh</w:t>
      </w:r>
      <w:r w:rsidRPr="00BD2F01">
        <w:rPr>
          <w:rFonts w:asciiTheme="majorBidi" w:eastAsia="Times New Roman" w:hAnsiTheme="majorBidi" w:cstheme="majorBidi"/>
        </w:rPr>
        <w:t xml:space="preserve"> [les observances de Dieu] (v. 32) que le verset demande d’exalter sont équivoques. Le Coran </w:t>
      </w:r>
      <w:r w:rsidRPr="00BD2F01">
        <w:rPr>
          <w:rFonts w:asciiTheme="majorBidi" w:hAnsiTheme="majorBidi" w:cstheme="majorBidi"/>
        </w:rPr>
        <w:t>n’en donne pas la définition.</w:t>
      </w:r>
      <w:r w:rsidRPr="00BD2F01">
        <w:rPr>
          <w:rFonts w:asciiTheme="majorBidi" w:eastAsia="Times New Roman" w:hAnsiTheme="majorBidi" w:cstheme="majorBidi"/>
        </w:rPr>
        <w:t xml:space="preserve"> Le terme signifierait :</w:t>
      </w:r>
    </w:p>
    <w:p w14:paraId="2EAA9A71" w14:textId="77777777" w:rsidR="00296288" w:rsidRPr="00B867DF" w:rsidRDefault="00296288" w:rsidP="007640DC">
      <w:pPr>
        <w:pStyle w:val="Paragraphedeliste"/>
        <w:numPr>
          <w:ilvl w:val="0"/>
          <w:numId w:val="55"/>
        </w:numPr>
        <w:tabs>
          <w:tab w:val="left" w:pos="851"/>
        </w:tabs>
        <w:bidi w:val="0"/>
        <w:spacing w:after="0" w:line="360" w:lineRule="auto"/>
        <w:contextualSpacing/>
        <w:jc w:val="both"/>
        <w:rPr>
          <w:rFonts w:ascii="Times New Roman" w:hAnsi="Times New Roman" w:cs="Times New Roman"/>
          <w:sz w:val="24"/>
          <w:szCs w:val="24"/>
          <w:lang w:eastAsia="fr-FR"/>
        </w:rPr>
      </w:pPr>
      <w:r w:rsidRPr="00BD2F01">
        <w:rPr>
          <w:rFonts w:asciiTheme="majorBidi" w:hAnsiTheme="majorBidi" w:cstheme="majorBidi"/>
          <w:sz w:val="24"/>
          <w:szCs w:val="24"/>
          <w:lang w:eastAsia="fr-FR"/>
        </w:rPr>
        <w:t>l’immolation</w:t>
      </w:r>
      <w:r w:rsidRPr="00B867DF">
        <w:rPr>
          <w:rFonts w:asciiTheme="majorBidi" w:hAnsiTheme="majorBidi" w:cstheme="majorBidi"/>
          <w:sz w:val="24"/>
          <w:szCs w:val="24"/>
          <w:lang w:eastAsia="fr-FR"/>
        </w:rPr>
        <w:t xml:space="preserve"> des </w:t>
      </w:r>
      <w:r w:rsidRPr="00B867DF">
        <w:rPr>
          <w:rFonts w:asciiTheme="majorBidi" w:hAnsiTheme="majorBidi" w:cstheme="majorBidi"/>
          <w:i/>
          <w:iCs/>
          <w:sz w:val="24"/>
          <w:szCs w:val="24"/>
          <w:lang w:eastAsia="fr-FR"/>
        </w:rPr>
        <w:t>budn</w:t>
      </w:r>
      <w:r w:rsidRPr="00B867DF">
        <w:rPr>
          <w:rFonts w:asciiTheme="majorBidi" w:hAnsiTheme="majorBidi" w:cstheme="majorBidi"/>
          <w:sz w:val="24"/>
          <w:szCs w:val="24"/>
          <w:lang w:eastAsia="fr-FR"/>
        </w:rPr>
        <w:t xml:space="preserve"> </w:t>
      </w:r>
      <w:r w:rsidRPr="00B867DF">
        <w:rPr>
          <w:rFonts w:asciiTheme="majorBidi" w:hAnsiTheme="majorBidi" w:cstheme="majorBidi"/>
          <w:sz w:val="24"/>
          <w:szCs w:val="24"/>
        </w:rPr>
        <w:t>[</w:t>
      </w:r>
      <w:r w:rsidRPr="00B867DF">
        <w:rPr>
          <w:rFonts w:asciiTheme="majorBidi" w:eastAsia="Calibri" w:hAnsiTheme="majorBidi" w:cstheme="majorBidi"/>
          <w:sz w:val="24"/>
          <w:szCs w:val="24"/>
          <w:lang w:bidi="ar-AE"/>
        </w:rPr>
        <w:t>chamelles ventrues</w:t>
      </w:r>
      <w:r w:rsidRPr="00B867DF">
        <w:rPr>
          <w:rFonts w:asciiTheme="majorBidi" w:hAnsiTheme="majorBidi" w:cstheme="majorBidi"/>
          <w:sz w:val="24"/>
          <w:szCs w:val="24"/>
        </w:rPr>
        <w:t>]</w:t>
      </w:r>
      <w:r w:rsidRPr="00B867DF">
        <w:rPr>
          <w:rFonts w:asciiTheme="majorBidi" w:eastAsia="Calibri" w:hAnsiTheme="majorBidi" w:cstheme="majorBidi"/>
          <w:sz w:val="24"/>
          <w:szCs w:val="24"/>
          <w:lang w:bidi="ar-AE"/>
        </w:rPr>
        <w:t> </w:t>
      </w:r>
      <w:r w:rsidRPr="00B867DF">
        <w:rPr>
          <w:rFonts w:asciiTheme="majorBidi" w:hAnsiTheme="majorBidi" w:cstheme="majorBidi"/>
          <w:sz w:val="24"/>
          <w:szCs w:val="24"/>
          <w:lang w:eastAsia="fr-FR"/>
        </w:rPr>
        <w:t>;</w:t>
      </w:r>
    </w:p>
    <w:p w14:paraId="61F3BFC2" w14:textId="77777777" w:rsidR="00296288" w:rsidRPr="00B867DF" w:rsidRDefault="00296288" w:rsidP="007640DC">
      <w:pPr>
        <w:pStyle w:val="Paragraphedeliste"/>
        <w:numPr>
          <w:ilvl w:val="0"/>
          <w:numId w:val="55"/>
        </w:numPr>
        <w:tabs>
          <w:tab w:val="left" w:pos="851"/>
        </w:tabs>
        <w:bidi w:val="0"/>
        <w:spacing w:after="0" w:line="360" w:lineRule="auto"/>
        <w:contextualSpacing/>
        <w:jc w:val="both"/>
        <w:rPr>
          <w:rFonts w:ascii="Times New Roman" w:hAnsi="Times New Roman" w:cs="Times New Roman"/>
          <w:sz w:val="24"/>
          <w:szCs w:val="24"/>
          <w:lang w:eastAsia="fr-FR"/>
        </w:rPr>
      </w:pPr>
      <w:r w:rsidRPr="00B867DF">
        <w:rPr>
          <w:rFonts w:asciiTheme="majorBidi" w:hAnsiTheme="majorBidi" w:cstheme="majorBidi"/>
          <w:sz w:val="24"/>
          <w:szCs w:val="24"/>
          <w:lang w:eastAsia="fr-FR" w:bidi="ar-AE"/>
        </w:rPr>
        <w:t>la</w:t>
      </w:r>
      <w:r w:rsidRPr="00B867DF">
        <w:rPr>
          <w:rFonts w:ascii="Times New Roman" w:hAnsi="Times New Roman" w:cs="Times New Roman"/>
          <w:sz w:val="24"/>
          <w:szCs w:val="24"/>
          <w:lang w:eastAsia="fr-FR" w:bidi="ar-AE"/>
        </w:rPr>
        <w:t xml:space="preserve"> lapidation de Satan (</w:t>
      </w:r>
      <w:r w:rsidRPr="00B867DF">
        <w:rPr>
          <w:rFonts w:ascii="Times New Roman" w:hAnsi="Times New Roman" w:cs="Times New Roman"/>
          <w:i/>
          <w:iCs/>
          <w:sz w:val="24"/>
          <w:szCs w:val="24"/>
          <w:lang w:eastAsia="fr-FR" w:bidi="ar-AE"/>
        </w:rPr>
        <w:t>ramy al-jamarāt</w:t>
      </w:r>
      <w:r w:rsidRPr="00B867DF">
        <w:rPr>
          <w:rFonts w:ascii="Times New Roman" w:hAnsi="Times New Roman" w:cs="Times New Roman"/>
          <w:sz w:val="24"/>
          <w:szCs w:val="24"/>
          <w:lang w:eastAsia="fr-FR" w:bidi="ar-AE"/>
        </w:rPr>
        <w:t xml:space="preserve">) </w:t>
      </w:r>
      <w:r w:rsidRPr="00B867DF">
        <w:rPr>
          <w:rFonts w:ascii="Times New Roman" w:eastAsia="Calibri" w:hAnsi="Times New Roman" w:cs="Times New Roman"/>
          <w:sz w:val="24"/>
          <w:szCs w:val="24"/>
          <w:lang w:bidi="ar-AE"/>
        </w:rPr>
        <w:t xml:space="preserve">et le parcourt du trajet entre les deux collines </w:t>
      </w:r>
      <w:r w:rsidRPr="00B867DF">
        <w:rPr>
          <w:rFonts w:ascii="Times New Roman" w:eastAsia="Calibri" w:hAnsi="Times New Roman" w:cs="Times New Roman"/>
          <w:i/>
          <w:iCs/>
          <w:sz w:val="24"/>
          <w:szCs w:val="24"/>
          <w:lang w:bidi="ar-AE"/>
        </w:rPr>
        <w:t>Safā</w:t>
      </w:r>
      <w:r w:rsidRPr="00B867DF">
        <w:rPr>
          <w:rFonts w:ascii="Times New Roman" w:eastAsia="Calibri" w:hAnsi="Times New Roman" w:cs="Times New Roman"/>
          <w:sz w:val="24"/>
          <w:szCs w:val="24"/>
          <w:lang w:bidi="ar-AE"/>
        </w:rPr>
        <w:t xml:space="preserve">, </w:t>
      </w:r>
      <w:r w:rsidRPr="00B867DF">
        <w:rPr>
          <w:rFonts w:ascii="Times New Roman" w:eastAsia="Calibri" w:hAnsi="Times New Roman" w:cs="Times New Roman"/>
          <w:i/>
          <w:iCs/>
          <w:sz w:val="24"/>
          <w:szCs w:val="24"/>
          <w:lang w:bidi="ar-AE"/>
        </w:rPr>
        <w:t>Marwah</w:t>
      </w:r>
      <w:r w:rsidRPr="00B867DF">
        <w:rPr>
          <w:rFonts w:ascii="Times New Roman" w:eastAsia="Calibri" w:hAnsi="Times New Roman" w:cs="Times New Roman"/>
          <w:sz w:val="24"/>
          <w:szCs w:val="24"/>
          <w:lang w:bidi="ar-AE"/>
        </w:rPr>
        <w:t> </w:t>
      </w:r>
      <w:r w:rsidRPr="00B867DF">
        <w:rPr>
          <w:rFonts w:ascii="Times New Roman" w:hAnsi="Times New Roman" w:cs="Times New Roman"/>
          <w:sz w:val="24"/>
          <w:szCs w:val="24"/>
          <w:lang w:eastAsia="fr-FR"/>
        </w:rPr>
        <w:t xml:space="preserve">et le point </w:t>
      </w:r>
      <w:r w:rsidRPr="00B867DF">
        <w:rPr>
          <w:rFonts w:ascii="Times New Roman" w:hAnsi="Times New Roman" w:cs="Times New Roman"/>
          <w:i/>
          <w:iCs/>
          <w:sz w:val="24"/>
          <w:szCs w:val="24"/>
          <w:lang w:eastAsia="fr-FR"/>
        </w:rPr>
        <w:t>Muzdalifa</w:t>
      </w:r>
      <w:r w:rsidRPr="00B867DF">
        <w:rPr>
          <w:rFonts w:ascii="Times New Roman" w:hAnsi="Times New Roman" w:cs="Times New Roman"/>
          <w:sz w:val="24"/>
          <w:szCs w:val="24"/>
          <w:lang w:eastAsia="fr-FR"/>
        </w:rPr>
        <w:t xml:space="preserve"> </w:t>
      </w:r>
      <w:r w:rsidRPr="00B867DF">
        <w:rPr>
          <w:rFonts w:ascii="Times New Roman" w:eastAsia="Calibri" w:hAnsi="Times New Roman" w:cs="Times New Roman"/>
          <w:sz w:val="24"/>
          <w:szCs w:val="24"/>
          <w:lang w:bidi="ar-AE"/>
        </w:rPr>
        <w:t>sept fois </w:t>
      </w:r>
      <w:r w:rsidRPr="00B867DF">
        <w:rPr>
          <w:rFonts w:ascii="Times New Roman" w:hAnsi="Times New Roman" w:cs="Times New Roman"/>
          <w:sz w:val="24"/>
          <w:szCs w:val="24"/>
          <w:lang w:eastAsia="fr-FR"/>
        </w:rPr>
        <w:t>;</w:t>
      </w:r>
    </w:p>
    <w:p w14:paraId="5F106618" w14:textId="77777777" w:rsidR="00296288" w:rsidRPr="00B867DF" w:rsidRDefault="00296288" w:rsidP="007640DC">
      <w:pPr>
        <w:pStyle w:val="Paragraphedeliste"/>
        <w:numPr>
          <w:ilvl w:val="0"/>
          <w:numId w:val="55"/>
        </w:numPr>
        <w:tabs>
          <w:tab w:val="left" w:pos="851"/>
        </w:tabs>
        <w:bidi w:val="0"/>
        <w:spacing w:after="0" w:line="360" w:lineRule="auto"/>
        <w:contextualSpacing/>
        <w:jc w:val="both"/>
        <w:rPr>
          <w:rFonts w:ascii="Times New Roman" w:hAnsi="Times New Roman" w:cs="Times New Roman"/>
          <w:sz w:val="24"/>
          <w:szCs w:val="24"/>
          <w:lang w:eastAsia="fr-FR"/>
        </w:rPr>
      </w:pPr>
      <w:r w:rsidRPr="00B867DF">
        <w:rPr>
          <w:rFonts w:ascii="Times New Roman" w:eastAsia="Calibri" w:hAnsi="Times New Roman" w:cs="Times New Roman"/>
          <w:sz w:val="24"/>
          <w:szCs w:val="24"/>
          <w:lang w:bidi="ar-AE"/>
        </w:rPr>
        <w:t xml:space="preserve">les </w:t>
      </w:r>
      <w:r w:rsidRPr="00B867DF">
        <w:rPr>
          <w:rFonts w:ascii="Times New Roman" w:eastAsia="Calibri" w:hAnsi="Times New Roman" w:cs="Times New Roman"/>
          <w:i/>
          <w:iCs/>
          <w:sz w:val="24"/>
          <w:szCs w:val="24"/>
          <w:lang w:bidi="ar-AE"/>
        </w:rPr>
        <w:t>hady</w:t>
      </w:r>
      <w:r w:rsidRPr="00B867DF">
        <w:rPr>
          <w:rFonts w:ascii="Times New Roman" w:eastAsia="Calibri" w:hAnsi="Times New Roman" w:cs="Times New Roman"/>
          <w:sz w:val="24"/>
          <w:szCs w:val="24"/>
          <w:lang w:bidi="ar-AE"/>
        </w:rPr>
        <w:t xml:space="preserve"> (les sacrifices dédiés à la </w:t>
      </w:r>
      <w:r w:rsidRPr="00B867DF">
        <w:rPr>
          <w:rFonts w:ascii="Times New Roman" w:eastAsia="Calibri" w:hAnsi="Times New Roman" w:cs="Times New Roman"/>
          <w:i/>
          <w:iCs/>
          <w:sz w:val="24"/>
          <w:szCs w:val="24"/>
          <w:lang w:bidi="ar-AE"/>
        </w:rPr>
        <w:t>Kaʿba</w:t>
      </w:r>
      <w:r w:rsidRPr="00B867DF">
        <w:rPr>
          <w:rFonts w:ascii="Times New Roman" w:eastAsia="Calibri" w:hAnsi="Times New Roman" w:cs="Times New Roman"/>
          <w:sz w:val="24"/>
          <w:szCs w:val="24"/>
          <w:lang w:bidi="ar-AE"/>
        </w:rPr>
        <w:t xml:space="preserve"> dans le cadre des rites du pèlerinage) ;</w:t>
      </w:r>
    </w:p>
    <w:p w14:paraId="132980C9" w14:textId="77777777" w:rsidR="00296288" w:rsidRPr="00B867DF" w:rsidRDefault="00296288" w:rsidP="007640DC">
      <w:pPr>
        <w:pStyle w:val="Paragraphedeliste"/>
        <w:numPr>
          <w:ilvl w:val="0"/>
          <w:numId w:val="55"/>
        </w:numPr>
        <w:tabs>
          <w:tab w:val="left" w:pos="851"/>
        </w:tabs>
        <w:bidi w:val="0"/>
        <w:spacing w:after="0" w:line="360" w:lineRule="auto"/>
        <w:contextualSpacing/>
        <w:jc w:val="both"/>
        <w:rPr>
          <w:rFonts w:ascii="Times New Roman" w:hAnsi="Times New Roman" w:cs="Times New Roman"/>
          <w:sz w:val="24"/>
          <w:szCs w:val="24"/>
          <w:lang w:eastAsia="fr-FR"/>
        </w:rPr>
      </w:pPr>
      <w:r w:rsidRPr="00B867DF">
        <w:rPr>
          <w:rFonts w:ascii="Times New Roman" w:eastAsia="Calibri" w:hAnsi="Times New Roman" w:cs="Times New Roman"/>
          <w:sz w:val="24"/>
          <w:szCs w:val="24"/>
          <w:lang w:bidi="ar-AE"/>
        </w:rPr>
        <w:t>toute sorte de culte ;</w:t>
      </w:r>
    </w:p>
    <w:p w14:paraId="3A3E5F3C" w14:textId="77777777" w:rsidR="00296288" w:rsidRPr="00B867DF" w:rsidRDefault="00296288" w:rsidP="007640DC">
      <w:pPr>
        <w:pStyle w:val="Paragraphedeliste"/>
        <w:numPr>
          <w:ilvl w:val="0"/>
          <w:numId w:val="55"/>
        </w:numPr>
        <w:tabs>
          <w:tab w:val="left" w:pos="851"/>
        </w:tabs>
        <w:bidi w:val="0"/>
        <w:spacing w:after="0" w:line="360" w:lineRule="auto"/>
        <w:contextualSpacing/>
        <w:jc w:val="both"/>
        <w:rPr>
          <w:rFonts w:ascii="Times New Roman" w:hAnsi="Times New Roman" w:cs="Times New Roman"/>
          <w:sz w:val="24"/>
          <w:szCs w:val="24"/>
          <w:lang w:eastAsia="fr-FR"/>
        </w:rPr>
      </w:pPr>
      <w:r w:rsidRPr="00B867DF">
        <w:rPr>
          <w:rFonts w:ascii="Times New Roman" w:eastAsia="Calibri" w:hAnsi="Times New Roman" w:cs="Times New Roman"/>
          <w:sz w:val="24"/>
          <w:szCs w:val="24"/>
          <w:lang w:bidi="ar-AE"/>
        </w:rPr>
        <w:t>les rites du pèlerinage ;</w:t>
      </w:r>
    </w:p>
    <w:p w14:paraId="05D84DD4" w14:textId="77777777" w:rsidR="00296288" w:rsidRPr="00B867DF" w:rsidRDefault="00296288" w:rsidP="007640DC">
      <w:pPr>
        <w:pStyle w:val="Paragraphedeliste"/>
        <w:numPr>
          <w:ilvl w:val="0"/>
          <w:numId w:val="55"/>
        </w:numPr>
        <w:tabs>
          <w:tab w:val="left" w:pos="851"/>
        </w:tabs>
        <w:bidi w:val="0"/>
        <w:spacing w:after="0" w:line="360" w:lineRule="auto"/>
        <w:contextualSpacing/>
        <w:jc w:val="both"/>
        <w:rPr>
          <w:rFonts w:ascii="Times New Roman" w:hAnsi="Times New Roman" w:cs="Times New Roman"/>
          <w:sz w:val="24"/>
          <w:szCs w:val="24"/>
          <w:lang w:eastAsia="fr-FR"/>
        </w:rPr>
      </w:pPr>
      <w:r w:rsidRPr="00B867DF">
        <w:rPr>
          <w:rFonts w:ascii="Times New Roman" w:eastAsia="Calibri" w:hAnsi="Times New Roman" w:cs="Times New Roman"/>
          <w:sz w:val="24"/>
          <w:szCs w:val="24"/>
          <w:lang w:bidi="ar-AE"/>
        </w:rPr>
        <w:t>la religion de Dieu ;</w:t>
      </w:r>
    </w:p>
    <w:p w14:paraId="562E6700" w14:textId="77777777" w:rsidR="00296288" w:rsidRPr="00B867DF" w:rsidRDefault="00296288" w:rsidP="007640DC">
      <w:pPr>
        <w:pStyle w:val="Paragraphedeliste"/>
        <w:numPr>
          <w:ilvl w:val="0"/>
          <w:numId w:val="55"/>
        </w:numPr>
        <w:tabs>
          <w:tab w:val="left" w:pos="851"/>
        </w:tabs>
        <w:bidi w:val="0"/>
        <w:spacing w:after="0" w:line="360" w:lineRule="auto"/>
        <w:contextualSpacing/>
        <w:jc w:val="both"/>
        <w:rPr>
          <w:rFonts w:ascii="Times New Roman" w:hAnsi="Times New Roman" w:cs="Times New Roman"/>
          <w:sz w:val="24"/>
          <w:szCs w:val="24"/>
          <w:lang w:eastAsia="fr-FR"/>
        </w:rPr>
      </w:pPr>
      <w:r w:rsidRPr="00B867DF">
        <w:rPr>
          <w:rFonts w:ascii="Times New Roman" w:eastAsia="Calibri" w:hAnsi="Times New Roman" w:cs="Times New Roman"/>
          <w:sz w:val="24"/>
          <w:szCs w:val="24"/>
          <w:lang w:bidi="ar-AE"/>
        </w:rPr>
        <w:t>les états spirituels et tout ce qui fait sentir la présence et la satisfaction de Dieu (comme la méditation dans les signes de Dieu) (Shaykhū).</w:t>
      </w:r>
    </w:p>
    <w:p w14:paraId="4D32528D" w14:textId="77777777" w:rsidR="00296288" w:rsidRPr="00B867DF" w:rsidRDefault="00296288" w:rsidP="00296288">
      <w:pPr>
        <w:tabs>
          <w:tab w:val="left" w:pos="851"/>
        </w:tabs>
        <w:spacing w:line="360" w:lineRule="auto"/>
        <w:jc w:val="both"/>
        <w:rPr>
          <w:rFonts w:eastAsia="Calibri"/>
          <w:lang w:bidi="ar-AE"/>
        </w:rPr>
      </w:pPr>
    </w:p>
    <w:p w14:paraId="1E95C61D" w14:textId="77777777" w:rsidR="00296288" w:rsidRPr="00B867DF" w:rsidRDefault="00296288" w:rsidP="00296288">
      <w:pPr>
        <w:tabs>
          <w:tab w:val="left" w:pos="851"/>
        </w:tabs>
        <w:spacing w:line="360" w:lineRule="auto"/>
        <w:jc w:val="both"/>
        <w:rPr>
          <w:rFonts w:eastAsia="Calibri"/>
          <w:lang w:bidi="ar-AE"/>
        </w:rPr>
      </w:pPr>
      <w:r w:rsidRPr="00B867DF">
        <w:rPr>
          <w:rFonts w:eastAsia="Calibri"/>
          <w:lang w:bidi="ar-AE"/>
        </w:rPr>
        <w:tab/>
        <w:t xml:space="preserve">Les </w:t>
      </w:r>
      <w:r w:rsidRPr="00B867DF">
        <w:rPr>
          <w:rFonts w:eastAsia="Times New Roman"/>
          <w:i/>
          <w:iCs/>
        </w:rPr>
        <w:t>shaʿāʾir</w:t>
      </w:r>
      <w:r w:rsidRPr="00B867DF">
        <w:rPr>
          <w:rFonts w:eastAsia="Times New Roman"/>
        </w:rPr>
        <w:t xml:space="preserve"> (pl. de </w:t>
      </w:r>
      <w:r w:rsidRPr="00B867DF">
        <w:rPr>
          <w:rFonts w:eastAsia="Times New Roman"/>
          <w:i/>
          <w:iCs/>
        </w:rPr>
        <w:t>sha</w:t>
      </w:r>
      <w:r w:rsidRPr="00B867DF">
        <w:rPr>
          <w:rFonts w:asciiTheme="majorBidi" w:eastAsia="Times New Roman" w:hAnsiTheme="majorBidi" w:cstheme="majorBidi"/>
          <w:i/>
          <w:iCs/>
        </w:rPr>
        <w:t>ʿ</w:t>
      </w:r>
      <w:r w:rsidRPr="00B867DF">
        <w:rPr>
          <w:rFonts w:eastAsia="Times New Roman"/>
          <w:i/>
          <w:iCs/>
        </w:rPr>
        <w:t>īra</w:t>
      </w:r>
      <w:r w:rsidRPr="00B867DF">
        <w:rPr>
          <w:rFonts w:eastAsia="Times New Roman"/>
        </w:rPr>
        <w:t>, rite, signe, liturgie) peuvent</w:t>
      </w:r>
      <w:r w:rsidRPr="00B867DF">
        <w:rPr>
          <w:rFonts w:eastAsia="Calibri"/>
          <w:lang w:bidi="ar-AE"/>
        </w:rPr>
        <w:t xml:space="preserve"> donc dénoter une chose concrète (l’abattage des animaux) ou une chose abstraite (la méditation dans les signes de Dieu).</w:t>
      </w:r>
    </w:p>
    <w:p w14:paraId="72DE06AC" w14:textId="77777777" w:rsidR="00296288" w:rsidRPr="00B867DF" w:rsidRDefault="00296288" w:rsidP="00296288">
      <w:pPr>
        <w:tabs>
          <w:tab w:val="left" w:pos="851"/>
        </w:tabs>
        <w:spacing w:line="360" w:lineRule="auto"/>
        <w:jc w:val="both"/>
        <w:rPr>
          <w:rFonts w:eastAsia="Calibri"/>
          <w:lang w:bidi="ar-AE"/>
        </w:rPr>
      </w:pPr>
    </w:p>
    <w:p w14:paraId="4AB2E0E8" w14:textId="77777777" w:rsidR="00296288" w:rsidRPr="00B867DF" w:rsidRDefault="00296288" w:rsidP="00296288">
      <w:pPr>
        <w:tabs>
          <w:tab w:val="left" w:pos="851"/>
        </w:tabs>
        <w:spacing w:line="360" w:lineRule="auto"/>
        <w:jc w:val="both"/>
        <w:rPr>
          <w:rFonts w:eastAsia="Times New Roman"/>
        </w:rPr>
      </w:pPr>
      <w:r w:rsidRPr="00B867DF">
        <w:rPr>
          <w:rFonts w:eastAsia="Calibri"/>
          <w:lang w:bidi="ar-AE"/>
        </w:rPr>
        <w:tab/>
        <w:t xml:space="preserve">La glorification des </w:t>
      </w:r>
      <w:r w:rsidRPr="00B867DF">
        <w:rPr>
          <w:rFonts w:eastAsia="Times New Roman"/>
          <w:i/>
          <w:iCs/>
        </w:rPr>
        <w:t>shaʿāʾir</w:t>
      </w:r>
      <w:r w:rsidRPr="00B867DF">
        <w:rPr>
          <w:rFonts w:eastAsia="Times New Roman"/>
        </w:rPr>
        <w:t xml:space="preserve"> relève de la </w:t>
      </w:r>
      <w:r w:rsidRPr="00B867DF">
        <w:rPr>
          <w:rFonts w:eastAsia="Times New Roman"/>
          <w:i/>
          <w:iCs/>
        </w:rPr>
        <w:t>taqwā</w:t>
      </w:r>
      <w:r w:rsidRPr="00B867DF">
        <w:rPr>
          <w:rFonts w:eastAsia="Times New Roman"/>
        </w:rPr>
        <w:t xml:space="preserve"> des cœurs. Ce dernier terme peut signifier : la crainte des cœurs ; les actions des cœurs ; la sincérité des cœurs ; la perfection [</w:t>
      </w:r>
      <w:r w:rsidRPr="00B867DF">
        <w:rPr>
          <w:rFonts w:eastAsia="Times New Roman"/>
          <w:i/>
          <w:iCs/>
        </w:rPr>
        <w:t>wuṣūl</w:t>
      </w:r>
      <w:r w:rsidRPr="00B867DF">
        <w:rPr>
          <w:rFonts w:eastAsia="Times New Roman"/>
        </w:rPr>
        <w:t xml:space="preserve">] de l’âme </w:t>
      </w:r>
      <w:r w:rsidRPr="00B867DF">
        <w:rPr>
          <w:rFonts w:eastAsia="Calibri"/>
          <w:lang w:bidi="ar-AE"/>
        </w:rPr>
        <w:t>(Shaykhū).</w:t>
      </w:r>
    </w:p>
    <w:p w14:paraId="4B6AF7D3" w14:textId="77777777" w:rsidR="00296288" w:rsidRPr="00B867DF" w:rsidRDefault="00296288" w:rsidP="00296288">
      <w:pPr>
        <w:tabs>
          <w:tab w:val="left" w:pos="851"/>
        </w:tabs>
        <w:spacing w:line="360" w:lineRule="auto"/>
        <w:jc w:val="both"/>
        <w:rPr>
          <w:rFonts w:eastAsia="Times New Roman"/>
        </w:rPr>
      </w:pPr>
    </w:p>
    <w:p w14:paraId="61B247CC" w14:textId="77777777" w:rsidR="00296288" w:rsidRPr="00B867DF" w:rsidRDefault="00296288" w:rsidP="00296288">
      <w:pPr>
        <w:tabs>
          <w:tab w:val="left" w:pos="851"/>
        </w:tabs>
        <w:spacing w:line="360" w:lineRule="auto"/>
        <w:jc w:val="both"/>
        <w:rPr>
          <w:rFonts w:eastAsia="Times New Roman"/>
        </w:rPr>
      </w:pPr>
      <w:r w:rsidRPr="00B867DF">
        <w:rPr>
          <w:rFonts w:eastAsia="Times New Roman"/>
        </w:rPr>
        <w:tab/>
        <w:t xml:space="preserve">Les </w:t>
      </w:r>
      <w:r w:rsidRPr="00B867DF">
        <w:rPr>
          <w:rFonts w:eastAsia="Times New Roman"/>
          <w:i/>
          <w:iCs/>
        </w:rPr>
        <w:t>manāfiʿ</w:t>
      </w:r>
      <w:r w:rsidRPr="00B867DF">
        <w:rPr>
          <w:rFonts w:eastAsia="Times New Roman"/>
        </w:rPr>
        <w:t xml:space="preserve"> [bénéfices] (v. 28) que le croyant peut tirer des observances de Dieu désignent des avantages matériels (profits des animaux : lait, laine, viande), des avantages spirituels (perfection de l’âme) ou des avantages aussi matériels que spirituels.</w:t>
      </w:r>
    </w:p>
    <w:p w14:paraId="0F793767" w14:textId="77777777" w:rsidR="00296288" w:rsidRPr="00B867DF" w:rsidRDefault="00296288" w:rsidP="00296288">
      <w:pPr>
        <w:tabs>
          <w:tab w:val="left" w:pos="851"/>
        </w:tabs>
        <w:spacing w:line="360" w:lineRule="auto"/>
        <w:jc w:val="both"/>
        <w:rPr>
          <w:rFonts w:asciiTheme="majorBidi" w:eastAsia="Times New Roman" w:hAnsiTheme="majorBidi" w:cstheme="majorBidi"/>
        </w:rPr>
      </w:pPr>
    </w:p>
    <w:p w14:paraId="384F192D" w14:textId="77777777" w:rsidR="00296288" w:rsidRPr="00B867DF" w:rsidRDefault="00296288" w:rsidP="00296288">
      <w:p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rPr>
        <w:tab/>
        <w:t xml:space="preserve">Le verset 33 parle d’un </w:t>
      </w:r>
      <w:r w:rsidRPr="00B867DF">
        <w:rPr>
          <w:rFonts w:asciiTheme="majorBidi" w:eastAsia="Times New Roman" w:hAnsiTheme="majorBidi" w:cstheme="majorBidi"/>
          <w:i/>
          <w:iCs/>
        </w:rPr>
        <w:t>ʾajal musammā</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terme fixé</w:t>
      </w:r>
      <w:r w:rsidRPr="00B867DF">
        <w:rPr>
          <w:rFonts w:asciiTheme="majorBidi" w:hAnsiTheme="majorBidi" w:cstheme="majorBidi"/>
        </w:rPr>
        <w:t>]</w:t>
      </w:r>
      <w:r w:rsidRPr="00B867DF">
        <w:rPr>
          <w:rFonts w:asciiTheme="majorBidi" w:eastAsia="Times New Roman" w:hAnsiTheme="majorBidi" w:cstheme="majorBidi"/>
        </w:rPr>
        <w:t xml:space="preserve"> pour tirer les avantages. Pour expliquer ce « terme fixé », les exégètes parlent : 1-du moment de l’abattage des animaux lors du pèlerinage ; 2-de la fin du pèlerinage ; 3-du retour à La Mecque pour faire le </w:t>
      </w:r>
      <w:r w:rsidRPr="00B867DF">
        <w:rPr>
          <w:rFonts w:asciiTheme="majorBidi" w:eastAsia="Times New Roman" w:hAnsiTheme="majorBidi" w:cstheme="majorBidi"/>
          <w:i/>
          <w:iCs/>
        </w:rPr>
        <w:t>ṭawāf al-ifāḍa</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lang w:bidi="ar-AE"/>
        </w:rPr>
        <w:t xml:space="preserve">les </w:t>
      </w:r>
      <w:r w:rsidRPr="00B867DF">
        <w:rPr>
          <w:rFonts w:asciiTheme="majorBidi" w:eastAsia="Times New Roman" w:hAnsiTheme="majorBidi" w:cstheme="majorBidi"/>
        </w:rPr>
        <w:t>tours essentiels</w:t>
      </w:r>
      <w:r w:rsidRPr="00B867DF">
        <w:rPr>
          <w:rFonts w:asciiTheme="majorBidi" w:hAnsiTheme="majorBidi" w:cstheme="majorBidi"/>
        </w:rPr>
        <w:t>]</w:t>
      </w:r>
      <w:r w:rsidRPr="00B867DF">
        <w:rPr>
          <w:rFonts w:asciiTheme="majorBidi" w:eastAsia="Times New Roman" w:hAnsiTheme="majorBidi" w:cstheme="majorBidi"/>
        </w:rPr>
        <w:t xml:space="preserve"> ; 4-quand tu cherches les </w:t>
      </w:r>
      <w:r w:rsidRPr="00B867DF">
        <w:rPr>
          <w:rFonts w:asciiTheme="majorBidi" w:eastAsia="Times New Roman" w:hAnsiTheme="majorBidi" w:cstheme="majorBidi"/>
          <w:i/>
          <w:iCs/>
        </w:rPr>
        <w:t>Ahl al-kamāl</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parfaits purs (</w:t>
      </w:r>
      <w:r w:rsidRPr="00B867DF">
        <w:rPr>
          <w:rFonts w:asciiTheme="majorBidi" w:eastAsia="Times New Roman" w:hAnsiTheme="majorBidi" w:cstheme="majorBidi"/>
          <w:i/>
          <w:iCs/>
        </w:rPr>
        <w:t>katharós</w:t>
      </w:r>
      <w:r w:rsidRPr="00B867DF">
        <w:rPr>
          <w:rFonts w:asciiTheme="majorBidi" w:eastAsia="Times New Roman" w:hAnsiTheme="majorBidi" w:cstheme="majorBidi"/>
        </w:rPr>
        <w:t>)</w:t>
      </w:r>
      <w:r w:rsidRPr="00B867DF">
        <w:rPr>
          <w:rFonts w:asciiTheme="majorBidi" w:hAnsiTheme="majorBidi" w:cstheme="majorBidi"/>
        </w:rPr>
        <w:t>]</w:t>
      </w:r>
      <w:r w:rsidRPr="00B867DF">
        <w:rPr>
          <w:rFonts w:asciiTheme="majorBidi" w:eastAsia="Times New Roman" w:hAnsiTheme="majorBidi" w:cstheme="majorBidi"/>
        </w:rPr>
        <w:t xml:space="preserve"> et tu les trouves </w:t>
      </w:r>
      <w:r w:rsidRPr="00B867DF">
        <w:rPr>
          <w:rFonts w:asciiTheme="majorBidi" w:eastAsia="Times New Roman" w:hAnsiTheme="majorBidi" w:cstheme="majorBidi"/>
        </w:rPr>
        <w:lastRenderedPageBreak/>
        <w:t xml:space="preserve">dans la Maison de Dieu (Shaykhū) ; 5-de l’anéantissement en Dieu de la créature (Ibn ʿArabī) ; 6-d’un moment fixé </w:t>
      </w:r>
      <w:r w:rsidRPr="00B867DF">
        <w:rPr>
          <w:rFonts w:asciiTheme="majorBidi" w:eastAsia="Times New Roman" w:hAnsiTheme="majorBidi" w:cstheme="majorBidi"/>
          <w:lang w:bidi="ar-AE"/>
        </w:rPr>
        <w:t>(Ash-Shaʿrāwī).</w:t>
      </w:r>
    </w:p>
    <w:p w14:paraId="4D859403" w14:textId="77777777" w:rsidR="00296288" w:rsidRPr="00B867DF" w:rsidRDefault="00296288" w:rsidP="00296288">
      <w:pPr>
        <w:tabs>
          <w:tab w:val="left" w:pos="851"/>
        </w:tabs>
        <w:spacing w:line="360" w:lineRule="auto"/>
        <w:jc w:val="both"/>
        <w:rPr>
          <w:rFonts w:asciiTheme="majorBidi" w:eastAsia="Times New Roman" w:hAnsiTheme="majorBidi" w:cstheme="majorBidi"/>
        </w:rPr>
      </w:pPr>
    </w:p>
    <w:p w14:paraId="188C0791" w14:textId="77777777" w:rsidR="00296288" w:rsidRPr="00B867DF" w:rsidRDefault="00296288" w:rsidP="00296288">
      <w:pPr>
        <w:spacing w:line="360" w:lineRule="auto"/>
        <w:ind w:firstLine="708"/>
        <w:jc w:val="both"/>
        <w:rPr>
          <w:rFonts w:asciiTheme="majorBidi" w:eastAsia="Times New Roman" w:hAnsiTheme="majorBidi" w:cstheme="majorBidi"/>
        </w:rPr>
      </w:pPr>
      <w:r w:rsidRPr="00B867DF">
        <w:rPr>
          <w:rFonts w:asciiTheme="majorBidi" w:eastAsia="Times New Roman" w:hAnsiTheme="majorBidi" w:cstheme="majorBidi"/>
        </w:rPr>
        <w:t xml:space="preserve">À propos du terme </w:t>
      </w:r>
      <w:r w:rsidRPr="00B867DF">
        <w:rPr>
          <w:rFonts w:asciiTheme="majorBidi" w:eastAsia="Times New Roman" w:hAnsiTheme="majorBidi" w:cstheme="majorBidi"/>
          <w:i/>
          <w:iCs/>
        </w:rPr>
        <w:t>ʾumma</w:t>
      </w:r>
      <w:r w:rsidRPr="00B867DF">
        <w:rPr>
          <w:rFonts w:asciiTheme="majorBidi" w:eastAsia="Times New Roman" w:hAnsiTheme="majorBidi" w:cstheme="majorBidi"/>
        </w:rPr>
        <w:t xml:space="preserve"> [communauté, peuple, nation] (v. 34), les exégètes soulignent qu’il s’agit d’une communauté croyante. Ce que le verset ne dit pas clairement. Ce qui veut dire, selon ces exégèses, que Dieu n’a pas établi un </w:t>
      </w:r>
      <w:r w:rsidRPr="00B867DF">
        <w:rPr>
          <w:rFonts w:asciiTheme="majorBidi" w:eastAsia="Times New Roman" w:hAnsiTheme="majorBidi" w:cstheme="majorBidi"/>
          <w:i/>
          <w:iCs/>
        </w:rPr>
        <w:t>mansaq</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rite</w:t>
      </w:r>
      <w:r w:rsidRPr="00B867DF">
        <w:rPr>
          <w:rFonts w:asciiTheme="majorBidi" w:hAnsiTheme="majorBidi" w:cstheme="majorBidi"/>
        </w:rPr>
        <w:t>]</w:t>
      </w:r>
      <w:r w:rsidRPr="00B867DF">
        <w:rPr>
          <w:rFonts w:asciiTheme="majorBidi" w:eastAsia="Times New Roman" w:hAnsiTheme="majorBidi" w:cstheme="majorBidi"/>
        </w:rPr>
        <w:t xml:space="preserve"> pour les communautés non-croyantes. Par contre, les exégètes ont donné des significations diverses au terme </w:t>
      </w:r>
      <w:r w:rsidRPr="00B867DF">
        <w:rPr>
          <w:rFonts w:asciiTheme="majorBidi" w:eastAsia="Times New Roman" w:hAnsiTheme="majorBidi" w:cstheme="majorBidi"/>
          <w:i/>
          <w:iCs/>
        </w:rPr>
        <w:t>mansaq</w:t>
      </w:r>
      <w:r w:rsidRPr="00B867DF">
        <w:rPr>
          <w:rFonts w:asciiTheme="majorBidi" w:eastAsia="Times New Roman" w:hAnsiTheme="majorBidi" w:cstheme="majorBidi"/>
        </w:rPr>
        <w:t>, dont certaines peuvent s’adapter à toute communauté, croyante ou non. Ce mot peut désigner une action, une méthode ou un lieu. Son champ sémantique peut couvrir les significations suivantes :</w:t>
      </w:r>
    </w:p>
    <w:p w14:paraId="4F0AFC4C"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l’abattage des animaux ;</w:t>
      </w:r>
    </w:p>
    <w:p w14:paraId="737DD968"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l’abattage des animaux à La Mecque (</w:t>
      </w:r>
      <w:r w:rsidRPr="00B867DF">
        <w:rPr>
          <w:rFonts w:asciiTheme="majorBidi" w:hAnsiTheme="majorBidi" w:cstheme="majorBidi"/>
          <w:sz w:val="24"/>
          <w:szCs w:val="24"/>
          <w:lang w:eastAsia="fr-FR" w:bidi="ar-AE"/>
        </w:rPr>
        <w:t>Aṭ-Ṭabarī</w:t>
      </w:r>
      <w:r w:rsidRPr="00B867DF">
        <w:rPr>
          <w:rFonts w:asciiTheme="majorBidi" w:hAnsiTheme="majorBidi" w:cstheme="majorBidi"/>
          <w:sz w:val="24"/>
          <w:szCs w:val="24"/>
          <w:lang w:eastAsia="fr-FR"/>
        </w:rPr>
        <w:t>) ;</w:t>
      </w:r>
    </w:p>
    <w:p w14:paraId="3E0A56E7"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une fête (Ibn Kathīr d’après Ibn ʿAbbās) ;</w:t>
      </w:r>
    </w:p>
    <w:p w14:paraId="2DB4B9F4"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un lieu rituel ;</w:t>
      </w:r>
    </w:p>
    <w:p w14:paraId="094E9DE9"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la tradition des sacrifices ;</w:t>
      </w:r>
    </w:p>
    <w:p w14:paraId="280CA613"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l’obéissance à Dieu ;</w:t>
      </w:r>
    </w:p>
    <w:p w14:paraId="084BE3BF"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un pèlerinage ;</w:t>
      </w:r>
    </w:p>
    <w:p w14:paraId="626CDCBE"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un culte ;</w:t>
      </w:r>
    </w:p>
    <w:p w14:paraId="055D545F" w14:textId="77777777" w:rsidR="00296288" w:rsidRPr="00B867DF" w:rsidRDefault="00296288" w:rsidP="007640DC">
      <w:pPr>
        <w:pStyle w:val="Paragraphedeliste"/>
        <w:numPr>
          <w:ilvl w:val="0"/>
          <w:numId w:val="56"/>
        </w:numPr>
        <w:bidi w:val="0"/>
        <w:spacing w:after="0" w:line="360" w:lineRule="auto"/>
        <w:contextualSpacing/>
        <w:jc w:val="both"/>
        <w:rPr>
          <w:rFonts w:asciiTheme="majorBidi" w:hAnsiTheme="majorBidi" w:cstheme="majorBidi"/>
          <w:sz w:val="24"/>
          <w:szCs w:val="24"/>
          <w:lang w:eastAsia="fr-FR"/>
        </w:rPr>
      </w:pPr>
      <w:r w:rsidRPr="00B867DF">
        <w:rPr>
          <w:rFonts w:asciiTheme="majorBidi" w:hAnsiTheme="majorBidi" w:cstheme="majorBidi"/>
          <w:sz w:val="24"/>
          <w:szCs w:val="24"/>
          <w:lang w:eastAsia="fr-FR"/>
        </w:rPr>
        <w:t>un chemin bien tracé.</w:t>
      </w:r>
    </w:p>
    <w:p w14:paraId="687A70D7" w14:textId="77777777" w:rsidR="00296288" w:rsidRPr="00B867DF" w:rsidRDefault="00296288" w:rsidP="00296288">
      <w:pPr>
        <w:tabs>
          <w:tab w:val="left" w:pos="851"/>
        </w:tabs>
        <w:spacing w:line="360" w:lineRule="auto"/>
        <w:jc w:val="both"/>
        <w:rPr>
          <w:rFonts w:asciiTheme="majorBidi" w:eastAsia="Times New Roman" w:hAnsiTheme="majorBidi" w:cstheme="majorBidi"/>
        </w:rPr>
      </w:pPr>
    </w:p>
    <w:p w14:paraId="3C47C804" w14:textId="77777777" w:rsidR="00296288" w:rsidRPr="00B867DF" w:rsidRDefault="00296288" w:rsidP="00296288">
      <w:p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ab/>
        <w:t xml:space="preserve">Bien qu’il soit en général monosémique chez les musulmans contemporains, le syntagme </w:t>
      </w:r>
      <w:r w:rsidRPr="00B867DF">
        <w:rPr>
          <w:rFonts w:asciiTheme="majorBidi" w:eastAsia="Times New Roman" w:hAnsiTheme="majorBidi" w:cstheme="majorBidi"/>
          <w:i/>
          <w:iCs/>
        </w:rPr>
        <w:t>al-muqīmī aṣ-ṣalāt</w:t>
      </w:r>
      <w:r w:rsidRPr="00B867DF">
        <w:rPr>
          <w:rFonts w:asciiTheme="majorBidi" w:eastAsia="Times New Roman" w:hAnsiTheme="majorBidi" w:cstheme="majorBidi"/>
        </w:rPr>
        <w:t xml:space="preserve"> [ceux qui accomplissent la prière] (v. 35) a plusieurs significations selon les exégètes : 1</w:t>
      </w:r>
      <w:r>
        <w:rPr>
          <w:rFonts w:asciiTheme="majorBidi" w:eastAsia="Times New Roman" w:hAnsiTheme="majorBidi" w:cstheme="majorBidi"/>
        </w:rPr>
        <w:t xml:space="preserve">) </w:t>
      </w:r>
      <w:r w:rsidRPr="00B867DF">
        <w:rPr>
          <w:rFonts w:asciiTheme="majorBidi" w:eastAsia="Times New Roman" w:hAnsiTheme="majorBidi" w:cstheme="majorBidi"/>
        </w:rPr>
        <w:t>ceux qui font les prières obligatoires ; 2</w:t>
      </w:r>
      <w:r>
        <w:rPr>
          <w:rFonts w:asciiTheme="majorBidi" w:eastAsia="Times New Roman" w:hAnsiTheme="majorBidi" w:cstheme="majorBidi"/>
        </w:rPr>
        <w:t xml:space="preserve">) </w:t>
      </w:r>
      <w:r w:rsidRPr="00B867DF">
        <w:rPr>
          <w:rFonts w:asciiTheme="majorBidi" w:eastAsia="Times New Roman" w:hAnsiTheme="majorBidi" w:cstheme="majorBidi"/>
        </w:rPr>
        <w:t>ceux qui font au mieux les prières à leurs temps fixes ; 3</w:t>
      </w:r>
      <w:r>
        <w:rPr>
          <w:rFonts w:asciiTheme="majorBidi" w:eastAsia="Times New Roman" w:hAnsiTheme="majorBidi" w:cstheme="majorBidi"/>
        </w:rPr>
        <w:t xml:space="preserve">) </w:t>
      </w:r>
      <w:r w:rsidRPr="00B867DF">
        <w:rPr>
          <w:rFonts w:asciiTheme="majorBidi" w:eastAsia="Times New Roman" w:hAnsiTheme="majorBidi" w:cstheme="majorBidi"/>
        </w:rPr>
        <w:t>ceux qui s’acquittent des droits auprès Dieu ; 4</w:t>
      </w:r>
      <w:r>
        <w:rPr>
          <w:rFonts w:asciiTheme="majorBidi" w:eastAsia="Times New Roman" w:hAnsiTheme="majorBidi" w:cstheme="majorBidi"/>
        </w:rPr>
        <w:t xml:space="preserve">) </w:t>
      </w:r>
      <w:r w:rsidRPr="00B867DF">
        <w:rPr>
          <w:rFonts w:asciiTheme="majorBidi" w:eastAsia="Times New Roman" w:hAnsiTheme="majorBidi" w:cstheme="majorBidi"/>
        </w:rPr>
        <w:t>ceux qui font le bien pour établir un lien (</w:t>
      </w:r>
      <w:r w:rsidRPr="00B867DF">
        <w:rPr>
          <w:rFonts w:asciiTheme="majorBidi" w:eastAsia="Times New Roman" w:hAnsiTheme="majorBidi" w:cstheme="majorBidi"/>
          <w:i/>
          <w:iCs/>
        </w:rPr>
        <w:t>ṣila</w:t>
      </w:r>
      <w:r w:rsidRPr="00B867DF">
        <w:rPr>
          <w:rFonts w:asciiTheme="majorBidi" w:eastAsia="Times New Roman" w:hAnsiTheme="majorBidi" w:cstheme="majorBidi"/>
        </w:rPr>
        <w:t xml:space="preserve">, la racine du terme </w:t>
      </w:r>
      <w:r w:rsidRPr="00B867DF">
        <w:rPr>
          <w:rFonts w:asciiTheme="majorBidi" w:eastAsia="Times New Roman" w:hAnsiTheme="majorBidi" w:cstheme="majorBidi"/>
          <w:i/>
          <w:iCs/>
        </w:rPr>
        <w:t>ṣalāt</w:t>
      </w:r>
      <w:r w:rsidRPr="00B867DF">
        <w:rPr>
          <w:rFonts w:asciiTheme="majorBidi" w:eastAsia="Times New Roman" w:hAnsiTheme="majorBidi" w:cstheme="majorBidi"/>
        </w:rPr>
        <w:t>) avec Dieu (Shaykhū). Ainsi, ce terme peut désigner deux extrémités : un sens fondamentaliste (faire les cinq prières) et un sens mystique (faire le bien).</w:t>
      </w:r>
    </w:p>
    <w:p w14:paraId="28D1081D" w14:textId="77777777" w:rsidR="00296288" w:rsidRPr="00B867DF" w:rsidRDefault="00296288" w:rsidP="00296288">
      <w:pPr>
        <w:spacing w:line="360" w:lineRule="auto"/>
        <w:jc w:val="both"/>
        <w:rPr>
          <w:rFonts w:asciiTheme="majorBidi" w:eastAsia="Calibri" w:hAnsiTheme="majorBidi" w:cstheme="majorBidi"/>
          <w:lang w:bidi="ar-AE"/>
        </w:rPr>
      </w:pPr>
    </w:p>
    <w:p w14:paraId="7630FF06"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Que signifie le mot </w:t>
      </w:r>
      <w:r w:rsidRPr="00B867DF">
        <w:rPr>
          <w:rFonts w:eastAsia="Times New Roman"/>
          <w:i/>
          <w:iCs/>
          <w:lang w:bidi="ar-AE"/>
        </w:rPr>
        <w:t>budn</w:t>
      </w:r>
      <w:r w:rsidRPr="00B867DF">
        <w:rPr>
          <w:rFonts w:eastAsia="Times New Roman"/>
          <w:lang w:bidi="ar-AE"/>
        </w:rPr>
        <w:t xml:space="preserve"> (v. 36) qui vient de la racine </w:t>
      </w:r>
      <w:r w:rsidRPr="00B867DF">
        <w:rPr>
          <w:rFonts w:eastAsia="Times New Roman"/>
          <w:i/>
          <w:iCs/>
          <w:lang w:bidi="ar-AE"/>
        </w:rPr>
        <w:t>bdn</w:t>
      </w:r>
      <w:r w:rsidRPr="00B867DF">
        <w:rPr>
          <w:rFonts w:eastAsia="Times New Roman"/>
          <w:lang w:bidi="ar-AE"/>
        </w:rPr>
        <w:t xml:space="preserve"> (corps, gros) ? Pluriel de </w:t>
      </w:r>
      <w:r w:rsidRPr="00B867DF">
        <w:rPr>
          <w:rFonts w:eastAsia="Times New Roman"/>
          <w:i/>
          <w:iCs/>
          <w:lang w:bidi="ar-AE"/>
        </w:rPr>
        <w:t>badana</w:t>
      </w:r>
      <w:r w:rsidRPr="00B867DF">
        <w:rPr>
          <w:rFonts w:eastAsia="Times New Roman"/>
          <w:lang w:bidi="ar-AE"/>
        </w:rPr>
        <w:t>, il peut désigner au sens étymologique tout ce qui est gr</w:t>
      </w:r>
      <w:r>
        <w:rPr>
          <w:rFonts w:eastAsia="Times New Roman"/>
          <w:lang w:bidi="ar-AE"/>
        </w:rPr>
        <w:t xml:space="preserve">os, mais au sens exégétique : 1) </w:t>
      </w:r>
      <w:r w:rsidRPr="00B867DF">
        <w:rPr>
          <w:rFonts w:eastAsia="Times New Roman"/>
          <w:lang w:bidi="ar-AE"/>
        </w:rPr>
        <w:t>les dromadaires seulement ; 2</w:t>
      </w:r>
      <w:r>
        <w:rPr>
          <w:rFonts w:eastAsia="Times New Roman"/>
          <w:lang w:bidi="ar-AE"/>
        </w:rPr>
        <w:t xml:space="preserve">) </w:t>
      </w:r>
      <w:r w:rsidRPr="00B867DF">
        <w:rPr>
          <w:rFonts w:eastAsia="Times New Roman"/>
          <w:lang w:bidi="ar-AE"/>
        </w:rPr>
        <w:t>le</w:t>
      </w:r>
      <w:r>
        <w:rPr>
          <w:rFonts w:eastAsia="Times New Roman"/>
          <w:lang w:bidi="ar-AE"/>
        </w:rPr>
        <w:t xml:space="preserve">s dromadaires et les vaches ; 3) </w:t>
      </w:r>
      <w:r w:rsidRPr="00B867DF">
        <w:rPr>
          <w:rFonts w:eastAsia="Times New Roman"/>
          <w:lang w:bidi="ar-AE"/>
        </w:rPr>
        <w:t>le</w:t>
      </w:r>
      <w:r>
        <w:rPr>
          <w:rFonts w:eastAsia="Times New Roman"/>
          <w:lang w:bidi="ar-AE"/>
        </w:rPr>
        <w:t xml:space="preserve">s brebis ventrues ; 4) </w:t>
      </w:r>
      <w:r w:rsidRPr="00B867DF">
        <w:rPr>
          <w:rFonts w:eastAsia="Times New Roman"/>
          <w:lang w:bidi="ar-AE"/>
        </w:rPr>
        <w:t xml:space="preserve">les </w:t>
      </w:r>
      <w:r>
        <w:rPr>
          <w:rFonts w:eastAsia="Times New Roman"/>
          <w:lang w:bidi="ar-AE"/>
        </w:rPr>
        <w:lastRenderedPageBreak/>
        <w:t xml:space="preserve">animaux sacrifiés ; 5) </w:t>
      </w:r>
      <w:r w:rsidRPr="00B867DF">
        <w:rPr>
          <w:rFonts w:eastAsia="Times New Roman"/>
          <w:lang w:bidi="ar-AE"/>
        </w:rPr>
        <w:t>les grandes aumônes ; 6</w:t>
      </w:r>
      <w:r>
        <w:rPr>
          <w:rFonts w:eastAsia="Times New Roman"/>
          <w:lang w:bidi="ar-AE"/>
        </w:rPr>
        <w:t xml:space="preserve">) </w:t>
      </w:r>
      <w:r w:rsidRPr="00B867DF">
        <w:rPr>
          <w:rFonts w:eastAsia="Times New Roman"/>
          <w:lang w:bidi="ar-AE"/>
        </w:rPr>
        <w:t>toute action grande qui donne la confiance en soi ou toute chose précieuse pour l’âme (Shaykhū) ; 7</w:t>
      </w:r>
      <w:r>
        <w:rPr>
          <w:rFonts w:eastAsia="Times New Roman"/>
          <w:lang w:bidi="ar-AE"/>
        </w:rPr>
        <w:t xml:space="preserve">) </w:t>
      </w:r>
      <w:r w:rsidRPr="00B867DF">
        <w:rPr>
          <w:rFonts w:eastAsia="Times New Roman"/>
          <w:lang w:bidi="ar-AE"/>
        </w:rPr>
        <w:t xml:space="preserve">les grandes âmes vertueuses </w:t>
      </w:r>
      <w:r w:rsidRPr="00B867DF">
        <w:rPr>
          <w:rFonts w:eastAsia="Times New Roman"/>
        </w:rPr>
        <w:t>(Ibn ʿArabī).</w:t>
      </w:r>
    </w:p>
    <w:p w14:paraId="50B475C0" w14:textId="77777777" w:rsidR="00296288" w:rsidRPr="00B867DF" w:rsidRDefault="00296288" w:rsidP="00296288">
      <w:pPr>
        <w:spacing w:line="360" w:lineRule="auto"/>
        <w:ind w:firstLine="708"/>
        <w:jc w:val="both"/>
        <w:rPr>
          <w:rFonts w:eastAsia="Times New Roman"/>
          <w:lang w:bidi="ar-AE"/>
        </w:rPr>
      </w:pPr>
    </w:p>
    <w:p w14:paraId="3616283C"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Le substantif </w:t>
      </w:r>
      <w:r w:rsidRPr="00B867DF">
        <w:rPr>
          <w:rFonts w:eastAsia="Times New Roman"/>
          <w:i/>
          <w:iCs/>
          <w:lang w:bidi="ar-AE"/>
        </w:rPr>
        <w:t>khayr</w:t>
      </w:r>
      <w:r w:rsidRPr="00B867DF">
        <w:rPr>
          <w:rFonts w:eastAsia="Times New Roman"/>
          <w:lang w:bidi="ar-AE"/>
        </w:rPr>
        <w:t xml:space="preserve"> [tout ce qui est bien] peut désigner le fait d’utiliser l’animal comme monture, le lait, la récompense dans l’au-delà, toute action qui amène à la </w:t>
      </w:r>
      <w:r w:rsidRPr="00B867DF">
        <w:rPr>
          <w:rFonts w:eastAsia="Times New Roman"/>
          <w:i/>
          <w:iCs/>
          <w:lang w:bidi="ar-AE"/>
        </w:rPr>
        <w:t>taqwā</w:t>
      </w:r>
      <w:r w:rsidRPr="00B867DF">
        <w:rPr>
          <w:rFonts w:eastAsia="Times New Roman"/>
          <w:lang w:bidi="ar-AE"/>
        </w:rPr>
        <w:t xml:space="preserve"> [la crainte de Dieu] (Shaykhū) ou le bonheur et la perfection </w:t>
      </w:r>
      <w:r w:rsidRPr="00B867DF">
        <w:rPr>
          <w:rFonts w:eastAsia="Times New Roman"/>
        </w:rPr>
        <w:t xml:space="preserve">(Ibn ʿArabī). Ainsi, les exégètes ont réduit le champ sémantique du terme </w:t>
      </w:r>
      <w:r w:rsidRPr="00B867DF">
        <w:rPr>
          <w:rFonts w:eastAsia="Times New Roman"/>
          <w:i/>
          <w:iCs/>
          <w:lang w:bidi="ar-AE"/>
        </w:rPr>
        <w:t>khayr</w:t>
      </w:r>
      <w:r w:rsidRPr="00B867DF">
        <w:rPr>
          <w:rFonts w:eastAsia="Times New Roman"/>
          <w:lang w:bidi="ar-AE"/>
        </w:rPr>
        <w:t>.</w:t>
      </w:r>
    </w:p>
    <w:p w14:paraId="0B124557" w14:textId="77777777" w:rsidR="00296288" w:rsidRPr="00B867DF" w:rsidRDefault="00296288" w:rsidP="00296288">
      <w:pPr>
        <w:spacing w:line="360" w:lineRule="auto"/>
        <w:jc w:val="both"/>
        <w:rPr>
          <w:rFonts w:asciiTheme="majorBidi" w:eastAsia="Calibri" w:hAnsiTheme="majorBidi" w:cstheme="majorBidi"/>
          <w:lang w:bidi="ar-AE"/>
        </w:rPr>
      </w:pPr>
    </w:p>
    <w:p w14:paraId="56FACF47" w14:textId="77777777" w:rsidR="00296288" w:rsidRPr="00B867DF" w:rsidRDefault="00296288" w:rsidP="00296288">
      <w:pPr>
        <w:spacing w:line="360" w:lineRule="auto"/>
        <w:ind w:firstLine="360"/>
        <w:contextualSpacing/>
        <w:jc w:val="both"/>
        <w:rPr>
          <w:rFonts w:asciiTheme="majorBidi" w:eastAsia="Times New Roman" w:hAnsiTheme="majorBidi" w:cstheme="majorBidi"/>
        </w:rPr>
      </w:pPr>
      <w:r w:rsidRPr="00B867DF">
        <w:rPr>
          <w:rFonts w:asciiTheme="majorBidi" w:eastAsia="Calibri" w:hAnsiTheme="majorBidi" w:cstheme="majorBidi"/>
          <w:lang w:bidi="ar-AE"/>
        </w:rPr>
        <w:t xml:space="preserve">Le pluriel au cas direct </w:t>
      </w:r>
      <w:r w:rsidRPr="00B867DF">
        <w:rPr>
          <w:rFonts w:asciiTheme="majorBidi" w:eastAsia="Calibri" w:hAnsiTheme="majorBidi" w:cstheme="majorBidi"/>
          <w:i/>
          <w:iCs/>
          <w:lang w:bidi="ar-AE"/>
        </w:rPr>
        <w:t>muḥsinīn</w:t>
      </w:r>
      <w:r w:rsidRPr="00B867DF">
        <w:rPr>
          <w:rFonts w:asciiTheme="majorBidi" w:eastAsia="Calibri" w:hAnsiTheme="majorBidi" w:cstheme="majorBidi"/>
          <w:lang w:bidi="ar-AE"/>
        </w:rPr>
        <w:t xml:space="preserve"> (pl. de </w:t>
      </w:r>
      <w:r w:rsidRPr="00B867DF">
        <w:rPr>
          <w:rFonts w:asciiTheme="majorBidi" w:eastAsia="Calibri" w:hAnsiTheme="majorBidi" w:cstheme="majorBidi"/>
          <w:i/>
          <w:iCs/>
          <w:lang w:bidi="ar-AE"/>
        </w:rPr>
        <w:t>muḥsin</w:t>
      </w:r>
      <w:r w:rsidRPr="00B867DF">
        <w:rPr>
          <w:rFonts w:asciiTheme="majorBidi" w:eastAsia="Calibri" w:hAnsiTheme="majorBidi" w:cstheme="majorBidi"/>
          <w:lang w:bidi="ar-AE"/>
        </w:rPr>
        <w:t>, bienfaiteur) (v. 37) à qui le verset demande d’annoncer une bonne nouvelle désigne : 1</w:t>
      </w:r>
      <w:r>
        <w:rPr>
          <w:rFonts w:asciiTheme="majorBidi" w:eastAsia="Calibri" w:hAnsiTheme="majorBidi" w:cstheme="majorBidi"/>
          <w:lang w:bidi="ar-AE"/>
        </w:rPr>
        <w:t xml:space="preserve">) </w:t>
      </w:r>
      <w:r w:rsidRPr="00B867DF">
        <w:rPr>
          <w:rFonts w:asciiTheme="majorBidi" w:eastAsia="Calibri" w:hAnsiTheme="majorBidi" w:cstheme="majorBidi"/>
          <w:lang w:bidi="ar-AE"/>
        </w:rPr>
        <w:t>ceux qui obéissent parfaitement à Dieu ; 2</w:t>
      </w:r>
      <w:r>
        <w:rPr>
          <w:rFonts w:asciiTheme="majorBidi" w:eastAsia="Calibri" w:hAnsiTheme="majorBidi" w:cstheme="majorBidi"/>
          <w:lang w:bidi="ar-AE"/>
        </w:rPr>
        <w:t xml:space="preserve">) </w:t>
      </w:r>
      <w:r w:rsidRPr="00B867DF">
        <w:rPr>
          <w:rFonts w:asciiTheme="majorBidi" w:eastAsia="Calibri" w:hAnsiTheme="majorBidi" w:cstheme="majorBidi"/>
          <w:lang w:bidi="ar-AE"/>
        </w:rPr>
        <w:t>ceux qui respectent la loi de Dieu ; 3</w:t>
      </w:r>
      <w:r>
        <w:rPr>
          <w:rFonts w:asciiTheme="majorBidi" w:eastAsia="Calibri" w:hAnsiTheme="majorBidi" w:cstheme="majorBidi"/>
          <w:lang w:bidi="ar-AE"/>
        </w:rPr>
        <w:t xml:space="preserve">) </w:t>
      </w:r>
      <w:r w:rsidRPr="00B867DF">
        <w:rPr>
          <w:rFonts w:asciiTheme="majorBidi" w:eastAsia="Calibri" w:hAnsiTheme="majorBidi" w:cstheme="majorBidi"/>
          <w:lang w:bidi="ar-AE"/>
        </w:rPr>
        <w:t>ceux qui croient au Messager de Dieu ; 4</w:t>
      </w:r>
      <w:r>
        <w:rPr>
          <w:rFonts w:asciiTheme="majorBidi" w:eastAsia="Calibri" w:hAnsiTheme="majorBidi" w:cstheme="majorBidi"/>
          <w:lang w:bidi="ar-AE"/>
        </w:rPr>
        <w:t xml:space="preserve">) </w:t>
      </w:r>
      <w:r w:rsidRPr="00B867DF">
        <w:rPr>
          <w:rFonts w:asciiTheme="majorBidi" w:eastAsia="Calibri" w:hAnsiTheme="majorBidi" w:cstheme="majorBidi"/>
          <w:lang w:bidi="ar-AE"/>
        </w:rPr>
        <w:t xml:space="preserve">les quatre califes </w:t>
      </w:r>
      <w:r w:rsidRPr="00B867DF">
        <w:rPr>
          <w:rFonts w:asciiTheme="majorBidi" w:eastAsia="Calibri" w:hAnsiTheme="majorBidi" w:cstheme="majorBidi"/>
          <w:i/>
          <w:iCs/>
          <w:lang w:bidi="ar-AE"/>
        </w:rPr>
        <w:t>rāshidūn</w:t>
      </w:r>
      <w:r w:rsidRPr="00B867DF">
        <w:rPr>
          <w:rFonts w:asciiTheme="majorBidi" w:eastAsia="Calibri" w:hAnsiTheme="majorBidi" w:cstheme="majorBidi"/>
          <w:lang w:bidi="ar-AE"/>
        </w:rPr>
        <w:t xml:space="preserve"> [bien guidés] : Abū Bakr, ʿUmar, ʿUthmān et ʿAlī</w:t>
      </w:r>
      <w:r>
        <w:rPr>
          <w:rFonts w:asciiTheme="majorBidi" w:eastAsia="Calibri" w:hAnsiTheme="majorBidi" w:cstheme="majorBidi"/>
          <w:lang w:bidi="ar-AE"/>
        </w:rPr>
        <w:t xml:space="preserve"> ; 5) tout bienfaiteur ; 6) les fidèles ; 7) </w:t>
      </w:r>
      <w:r w:rsidRPr="00B867DF">
        <w:rPr>
          <w:rFonts w:asciiTheme="majorBidi" w:eastAsia="Calibri" w:hAnsiTheme="majorBidi" w:cstheme="majorBidi"/>
          <w:lang w:bidi="ar-AE"/>
        </w:rPr>
        <w:t>les monothéistes ; 8</w:t>
      </w:r>
      <w:r>
        <w:rPr>
          <w:rFonts w:asciiTheme="majorBidi" w:eastAsia="Calibri" w:hAnsiTheme="majorBidi" w:cstheme="majorBidi"/>
          <w:lang w:bidi="ar-AE"/>
        </w:rPr>
        <w:t xml:space="preserve">) </w:t>
      </w:r>
      <w:r w:rsidRPr="00B867DF">
        <w:rPr>
          <w:rFonts w:asciiTheme="majorBidi" w:eastAsia="Calibri" w:hAnsiTheme="majorBidi" w:cstheme="majorBidi"/>
          <w:lang w:bidi="ar-AE"/>
        </w:rPr>
        <w:t>les témoins, dans la servitude (à Dieu), de l’immortalité et de l’anéantissement (</w:t>
      </w:r>
      <w:r w:rsidRPr="00B867DF">
        <w:rPr>
          <w:rFonts w:asciiTheme="majorBidi" w:eastAsia="Calibri" w:hAnsiTheme="majorBidi" w:cstheme="majorBidi"/>
          <w:i/>
          <w:iCs/>
          <w:lang w:bidi="ar-AE"/>
        </w:rPr>
        <w:t>ash-shāhidīna fī l-</w:t>
      </w:r>
      <w:r w:rsidRPr="00B867DF">
        <w:rPr>
          <w:rFonts w:asciiTheme="majorBidi" w:eastAsia="Times New Roman" w:hAnsiTheme="majorBidi" w:cstheme="majorBidi"/>
          <w:i/>
          <w:iCs/>
        </w:rPr>
        <w:t>ʿubūdīya ʿan al-baqāʾ wa-l-fanāʾ</w:t>
      </w:r>
      <w:r w:rsidRPr="00B867DF">
        <w:rPr>
          <w:rFonts w:asciiTheme="majorBidi" w:eastAsia="Calibri" w:hAnsiTheme="majorBidi" w:cstheme="majorBidi"/>
          <w:lang w:bidi="ar-AE"/>
        </w:rPr>
        <w:t xml:space="preserve">) </w:t>
      </w:r>
      <w:r>
        <w:rPr>
          <w:rFonts w:asciiTheme="majorBidi" w:eastAsia="Calibri" w:hAnsiTheme="majorBidi" w:cstheme="majorBidi"/>
          <w:lang w:bidi="ar-AE"/>
        </w:rPr>
        <w:t xml:space="preserve">(Ibn ʿArabī) ; 9) </w:t>
      </w:r>
      <w:r w:rsidRPr="00B867DF">
        <w:rPr>
          <w:rFonts w:asciiTheme="majorBidi" w:eastAsia="Calibri" w:hAnsiTheme="majorBidi" w:cstheme="majorBidi"/>
          <w:lang w:bidi="ar-AE"/>
        </w:rPr>
        <w:t xml:space="preserve">celui qui s’engage à effectuer des rites surérogatoires </w:t>
      </w:r>
      <w:r w:rsidRPr="00B867DF">
        <w:rPr>
          <w:rFonts w:asciiTheme="majorBidi" w:eastAsia="Times New Roman" w:hAnsiTheme="majorBidi" w:cstheme="majorBidi"/>
          <w:lang w:bidi="ar-AE"/>
        </w:rPr>
        <w:t>(</w:t>
      </w:r>
      <w:r w:rsidRPr="00B867DF">
        <w:rPr>
          <w:rFonts w:asciiTheme="majorBidi" w:eastAsia="Calibri" w:hAnsiTheme="majorBidi" w:cstheme="majorBidi"/>
        </w:rPr>
        <w:t>Ash-Shaʿrāwī)</w:t>
      </w:r>
      <w:r w:rsidRPr="00B867DF">
        <w:rPr>
          <w:rFonts w:asciiTheme="majorBidi" w:eastAsia="Calibri" w:hAnsiTheme="majorBidi" w:cstheme="majorBidi"/>
          <w:lang w:bidi="ar-AE"/>
        </w:rPr>
        <w:t>. La plupart des exégètes ont donné à ce mot des significations à vocation sociopolitique (les califes, l’obéissance, les monothéistes, les fidèles).</w:t>
      </w:r>
    </w:p>
    <w:p w14:paraId="6EEECB3B" w14:textId="77777777" w:rsidR="00296288" w:rsidRPr="00B867DF" w:rsidRDefault="00296288" w:rsidP="00296288">
      <w:pPr>
        <w:spacing w:line="360" w:lineRule="auto"/>
        <w:jc w:val="both"/>
        <w:rPr>
          <w:rFonts w:asciiTheme="majorBidi" w:eastAsia="Calibri" w:hAnsiTheme="majorBidi" w:cstheme="majorBidi"/>
          <w:lang w:bidi="ar-AE"/>
        </w:rPr>
      </w:pPr>
    </w:p>
    <w:p w14:paraId="59F77A9D" w14:textId="77777777" w:rsidR="00296288" w:rsidRPr="00F073C7"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lang w:eastAsia="fr-FR"/>
        </w:rPr>
      </w:pPr>
      <w:r w:rsidRPr="00F073C7">
        <w:rPr>
          <w:rFonts w:asciiTheme="majorBidi" w:hAnsiTheme="majorBidi" w:cstheme="majorBidi"/>
          <w:b/>
          <w:bCs/>
          <w:i/>
          <w:iCs/>
          <w:sz w:val="24"/>
          <w:szCs w:val="24"/>
          <w:lang w:eastAsia="fr-FR"/>
        </w:rPr>
        <w:t>Khawwān</w:t>
      </w:r>
      <w:r w:rsidRPr="00F073C7">
        <w:rPr>
          <w:rFonts w:asciiTheme="majorBidi" w:hAnsiTheme="majorBidi" w:cstheme="majorBidi"/>
          <w:b/>
          <w:bCs/>
          <w:sz w:val="24"/>
          <w:szCs w:val="24"/>
          <w:lang w:eastAsia="fr-FR"/>
        </w:rPr>
        <w:t xml:space="preserve"> et </w:t>
      </w:r>
      <w:r w:rsidRPr="00F073C7">
        <w:rPr>
          <w:rFonts w:asciiTheme="majorBidi" w:hAnsiTheme="majorBidi" w:cstheme="majorBidi"/>
          <w:b/>
          <w:bCs/>
          <w:i/>
          <w:iCs/>
          <w:sz w:val="24"/>
          <w:szCs w:val="24"/>
          <w:lang w:eastAsia="fr-FR"/>
        </w:rPr>
        <w:t>kafūr</w:t>
      </w:r>
      <w:r w:rsidRPr="00F073C7">
        <w:rPr>
          <w:rFonts w:asciiTheme="majorBidi" w:hAnsiTheme="majorBidi" w:cstheme="majorBidi"/>
          <w:b/>
          <w:bCs/>
          <w:sz w:val="24"/>
          <w:szCs w:val="24"/>
          <w:lang w:eastAsia="fr-FR"/>
        </w:rPr>
        <w:t xml:space="preserve"> (v. 38) ?</w:t>
      </w:r>
    </w:p>
    <w:p w14:paraId="0627AD55"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Le </w:t>
      </w:r>
      <w:r w:rsidRPr="00B867DF">
        <w:rPr>
          <w:rFonts w:eastAsia="Times New Roman"/>
          <w:i/>
          <w:iCs/>
        </w:rPr>
        <w:t>khawwān</w:t>
      </w:r>
      <w:r w:rsidRPr="00B867DF">
        <w:rPr>
          <w:rFonts w:eastAsia="Times New Roman"/>
        </w:rPr>
        <w:t xml:space="preserve"> [traître, déloyal] (forme intensive du participe actif </w:t>
      </w:r>
      <w:r w:rsidRPr="00B867DF">
        <w:rPr>
          <w:rFonts w:eastAsia="Times New Roman"/>
          <w:i/>
          <w:iCs/>
        </w:rPr>
        <w:t>khāʾin</w:t>
      </w:r>
      <w:r w:rsidRPr="00B867DF">
        <w:rPr>
          <w:rFonts w:eastAsia="Times New Roman"/>
        </w:rPr>
        <w:t xml:space="preserve">, dérivé du verbe </w:t>
      </w:r>
      <w:r w:rsidRPr="00B867DF">
        <w:rPr>
          <w:rFonts w:eastAsia="Times New Roman"/>
          <w:i/>
          <w:iCs/>
        </w:rPr>
        <w:t>khāna</w:t>
      </w:r>
      <w:r w:rsidRPr="00B867DF">
        <w:rPr>
          <w:rFonts w:eastAsia="Times New Roman"/>
        </w:rPr>
        <w:t xml:space="preserve"> [trahir]) désigne un champ plus large :</w:t>
      </w:r>
    </w:p>
    <w:p w14:paraId="3B31569E" w14:textId="77777777" w:rsidR="00296288" w:rsidRPr="00B867DF" w:rsidRDefault="00296288" w:rsidP="007640DC">
      <w:pPr>
        <w:pStyle w:val="Paragraphedeliste"/>
        <w:numPr>
          <w:ilvl w:val="0"/>
          <w:numId w:val="57"/>
        </w:numPr>
        <w:bidi w:val="0"/>
        <w:spacing w:after="0" w:line="360" w:lineRule="auto"/>
        <w:ind w:firstLine="360"/>
        <w:contextualSpacing/>
        <w:jc w:val="both"/>
        <w:rPr>
          <w:rFonts w:ascii="Times New Roman" w:hAnsi="Times New Roman" w:cs="Times New Roman"/>
          <w:sz w:val="24"/>
          <w:szCs w:val="24"/>
          <w:lang w:eastAsia="fr-FR"/>
        </w:rPr>
      </w:pPr>
      <w:r w:rsidRPr="00B867DF">
        <w:rPr>
          <w:rFonts w:ascii="Times New Roman" w:hAnsi="Times New Roman" w:cs="Times New Roman"/>
          <w:sz w:val="24"/>
          <w:szCs w:val="24"/>
          <w:lang w:eastAsia="fr-FR"/>
        </w:rPr>
        <w:t>celui qui désobéit au Dieu musulman ;</w:t>
      </w:r>
    </w:p>
    <w:p w14:paraId="6ED4C2D6" w14:textId="77777777" w:rsidR="00296288" w:rsidRPr="00B867DF" w:rsidRDefault="00296288" w:rsidP="007640DC">
      <w:pPr>
        <w:pStyle w:val="Paragraphedeliste"/>
        <w:numPr>
          <w:ilvl w:val="0"/>
          <w:numId w:val="57"/>
        </w:numPr>
        <w:bidi w:val="0"/>
        <w:spacing w:after="0" w:line="360" w:lineRule="auto"/>
        <w:ind w:firstLine="360"/>
        <w:contextualSpacing/>
        <w:jc w:val="both"/>
        <w:rPr>
          <w:rFonts w:ascii="Times New Roman" w:hAnsi="Times New Roman" w:cs="Times New Roman"/>
          <w:sz w:val="24"/>
          <w:szCs w:val="24"/>
          <w:lang w:eastAsia="fr-FR"/>
        </w:rPr>
      </w:pPr>
      <w:r w:rsidRPr="00B867DF">
        <w:rPr>
          <w:rFonts w:ascii="Times New Roman" w:hAnsi="Times New Roman" w:cs="Times New Roman"/>
          <w:sz w:val="24"/>
          <w:szCs w:val="24"/>
          <w:lang w:eastAsia="fr-FR"/>
        </w:rPr>
        <w:t>celui qui manque à sa promesse, qui viole un pacte ;</w:t>
      </w:r>
    </w:p>
    <w:p w14:paraId="73438AF8" w14:textId="77777777" w:rsidR="00296288" w:rsidRPr="00B867DF" w:rsidRDefault="00296288" w:rsidP="007640DC">
      <w:pPr>
        <w:pStyle w:val="Paragraphedeliste"/>
        <w:numPr>
          <w:ilvl w:val="0"/>
          <w:numId w:val="57"/>
        </w:numPr>
        <w:bidi w:val="0"/>
        <w:spacing w:after="0" w:line="360" w:lineRule="auto"/>
        <w:ind w:firstLine="360"/>
        <w:contextualSpacing/>
        <w:jc w:val="both"/>
        <w:rPr>
          <w:rFonts w:ascii="Times New Roman" w:hAnsi="Times New Roman" w:cs="Times New Roman"/>
          <w:sz w:val="24"/>
          <w:szCs w:val="24"/>
          <w:lang w:eastAsia="fr-FR"/>
        </w:rPr>
      </w:pPr>
      <w:r w:rsidRPr="00B867DF">
        <w:rPr>
          <w:rFonts w:ascii="Times New Roman" w:hAnsi="Times New Roman" w:cs="Times New Roman"/>
          <w:sz w:val="24"/>
          <w:szCs w:val="24"/>
          <w:lang w:eastAsia="fr-FR"/>
        </w:rPr>
        <w:t>celui qui immole une victime aux idoles ;</w:t>
      </w:r>
    </w:p>
    <w:p w14:paraId="0137366C" w14:textId="77777777" w:rsidR="00296288" w:rsidRPr="00B867DF" w:rsidRDefault="00296288" w:rsidP="007640DC">
      <w:pPr>
        <w:pStyle w:val="Paragraphedeliste"/>
        <w:numPr>
          <w:ilvl w:val="0"/>
          <w:numId w:val="57"/>
        </w:numPr>
        <w:bidi w:val="0"/>
        <w:spacing w:after="0" w:line="360" w:lineRule="auto"/>
        <w:ind w:firstLine="360"/>
        <w:contextualSpacing/>
        <w:jc w:val="both"/>
        <w:rPr>
          <w:rFonts w:ascii="Times New Roman" w:hAnsi="Times New Roman" w:cs="Times New Roman"/>
          <w:sz w:val="24"/>
          <w:szCs w:val="24"/>
          <w:lang w:eastAsia="fr-FR"/>
        </w:rPr>
      </w:pPr>
      <w:r w:rsidRPr="00B867DF">
        <w:rPr>
          <w:rFonts w:ascii="Times New Roman" w:hAnsi="Times New Roman" w:cs="Times New Roman"/>
          <w:sz w:val="24"/>
          <w:szCs w:val="24"/>
          <w:lang w:eastAsia="fr-FR"/>
        </w:rPr>
        <w:t>celui qui trahit Dieu ;</w:t>
      </w:r>
    </w:p>
    <w:p w14:paraId="3E2F771F" w14:textId="77777777" w:rsidR="00296288" w:rsidRPr="00B867DF" w:rsidRDefault="00296288" w:rsidP="007640DC">
      <w:pPr>
        <w:pStyle w:val="Paragraphedeliste"/>
        <w:numPr>
          <w:ilvl w:val="0"/>
          <w:numId w:val="57"/>
        </w:numPr>
        <w:bidi w:val="0"/>
        <w:spacing w:after="0" w:line="360" w:lineRule="auto"/>
        <w:ind w:firstLine="360"/>
        <w:contextualSpacing/>
        <w:jc w:val="both"/>
        <w:rPr>
          <w:rFonts w:ascii="Times New Roman" w:hAnsi="Times New Roman" w:cs="Times New Roman"/>
          <w:sz w:val="24"/>
          <w:szCs w:val="24"/>
          <w:lang w:eastAsia="fr-FR"/>
        </w:rPr>
      </w:pPr>
      <w:r w:rsidRPr="00B867DF">
        <w:rPr>
          <w:rFonts w:ascii="Times New Roman" w:hAnsi="Times New Roman" w:cs="Times New Roman"/>
          <w:sz w:val="24"/>
          <w:szCs w:val="24"/>
          <w:lang w:eastAsia="fr-FR"/>
        </w:rPr>
        <w:t>celui qui trahit soi-même (Shaykhū) ;</w:t>
      </w:r>
    </w:p>
    <w:p w14:paraId="3DF9A858" w14:textId="77777777" w:rsidR="00296288" w:rsidRPr="00B867DF" w:rsidRDefault="00296288" w:rsidP="007640DC">
      <w:pPr>
        <w:pStyle w:val="Paragraphedeliste"/>
        <w:numPr>
          <w:ilvl w:val="0"/>
          <w:numId w:val="57"/>
        </w:numPr>
        <w:bidi w:val="0"/>
        <w:spacing w:after="0" w:line="360" w:lineRule="auto"/>
        <w:ind w:firstLine="360"/>
        <w:contextualSpacing/>
        <w:jc w:val="both"/>
        <w:rPr>
          <w:rFonts w:ascii="Times New Roman" w:hAnsi="Times New Roman" w:cs="Times New Roman"/>
          <w:sz w:val="24"/>
          <w:szCs w:val="24"/>
          <w:lang w:eastAsia="fr-FR"/>
        </w:rPr>
      </w:pPr>
      <w:r w:rsidRPr="00B867DF">
        <w:rPr>
          <w:rFonts w:ascii="Times New Roman" w:hAnsi="Times New Roman" w:cs="Times New Roman"/>
          <w:sz w:val="24"/>
          <w:szCs w:val="24"/>
          <w:lang w:eastAsia="fr-FR"/>
        </w:rPr>
        <w:t>celui qui a conclu une alliance avec Dieu avant de venir au monde pour vivre dans la piété (</w:t>
      </w:r>
      <w:r w:rsidRPr="00B867DF">
        <w:rPr>
          <w:rFonts w:ascii="Times New Roman" w:hAnsi="Times New Roman" w:cs="Times New Roman"/>
          <w:i/>
          <w:iCs/>
          <w:sz w:val="24"/>
          <w:szCs w:val="24"/>
          <w:lang w:eastAsia="fr-FR"/>
        </w:rPr>
        <w:t>taqwā</w:t>
      </w:r>
      <w:r w:rsidRPr="00B867DF">
        <w:rPr>
          <w:rFonts w:ascii="Times New Roman" w:hAnsi="Times New Roman" w:cs="Times New Roman"/>
          <w:sz w:val="24"/>
          <w:szCs w:val="24"/>
          <w:lang w:eastAsia="fr-FR"/>
        </w:rPr>
        <w:t>) puis il trahit et manque l’alliance avec Dieu (Shaykhū) ;</w:t>
      </w:r>
    </w:p>
    <w:p w14:paraId="2DBC133C" w14:textId="77777777" w:rsidR="00296288" w:rsidRPr="00B867DF" w:rsidRDefault="00296288" w:rsidP="007640DC">
      <w:pPr>
        <w:pStyle w:val="Paragraphedeliste"/>
        <w:numPr>
          <w:ilvl w:val="0"/>
          <w:numId w:val="57"/>
        </w:numPr>
        <w:bidi w:val="0"/>
        <w:spacing w:after="0" w:line="360" w:lineRule="auto"/>
        <w:ind w:firstLine="360"/>
        <w:contextualSpacing/>
        <w:jc w:val="both"/>
        <w:rPr>
          <w:rFonts w:ascii="Times New Roman" w:hAnsi="Times New Roman" w:cs="Times New Roman"/>
          <w:sz w:val="24"/>
          <w:szCs w:val="24"/>
          <w:lang w:eastAsia="fr-FR"/>
        </w:rPr>
      </w:pPr>
      <w:r w:rsidRPr="00B867DF">
        <w:rPr>
          <w:rFonts w:ascii="Times New Roman" w:hAnsi="Times New Roman" w:cs="Times New Roman"/>
          <w:sz w:val="24"/>
          <w:szCs w:val="24"/>
          <w:lang w:eastAsia="fr-FR"/>
        </w:rPr>
        <w:t>celui qui n’a pas de piété.</w:t>
      </w:r>
    </w:p>
    <w:p w14:paraId="233AA16A" w14:textId="77777777" w:rsidR="00296288" w:rsidRPr="00B867DF" w:rsidRDefault="00296288" w:rsidP="00296288">
      <w:pPr>
        <w:spacing w:line="360" w:lineRule="auto"/>
        <w:ind w:firstLine="360"/>
        <w:jc w:val="both"/>
        <w:rPr>
          <w:rFonts w:eastAsia="Times New Roman"/>
        </w:rPr>
      </w:pPr>
    </w:p>
    <w:p w14:paraId="1B4F3754" w14:textId="77777777" w:rsidR="00296288" w:rsidRPr="008B7F80"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lastRenderedPageBreak/>
        <w:t>Le champ sémantique dessiné par les exégètes pour </w:t>
      </w:r>
      <w:r w:rsidRPr="00B867DF">
        <w:rPr>
          <w:rFonts w:asciiTheme="majorBidi" w:eastAsia="Times New Roman" w:hAnsiTheme="majorBidi" w:cstheme="majorBidi"/>
          <w:i/>
          <w:iCs/>
        </w:rPr>
        <w:t>khawwān</w:t>
      </w:r>
      <w:r w:rsidRPr="00B867DF">
        <w:rPr>
          <w:rFonts w:asciiTheme="majorBidi" w:eastAsia="Times New Roman" w:hAnsiTheme="majorBidi" w:cstheme="majorBidi"/>
        </w:rPr>
        <w:t xml:space="preserve"> est si large qu’il peut englober tous les mortels. En plus, certains exégètes font comme dit le proverbe arabe, à savoir « ils expliquent, </w:t>
      </w:r>
      <w:r w:rsidRPr="008B7F80">
        <w:rPr>
          <w:rFonts w:asciiTheme="majorBidi" w:eastAsia="Times New Roman" w:hAnsiTheme="majorBidi" w:cstheme="majorBidi"/>
        </w:rPr>
        <w:t>après beaucoup d’efforts, que l’eau est de l’eau » (« </w:t>
      </w:r>
      <w:r>
        <w:rPr>
          <w:rFonts w:asciiTheme="majorBidi" w:eastAsia="Times New Roman" w:hAnsiTheme="majorBidi" w:cstheme="majorBidi" w:hint="cs"/>
          <w:rtl/>
        </w:rPr>
        <w:t>يفسّرون الماءَ بعدَ الجهدِ بالماءِ</w:t>
      </w:r>
      <w:r w:rsidRPr="008B7F80">
        <w:rPr>
          <w:rFonts w:asciiTheme="majorBidi" w:eastAsia="Times New Roman" w:hAnsiTheme="majorBidi" w:cstheme="majorBidi"/>
        </w:rPr>
        <w:t xml:space="preserve"> »), autrement dit, par des lapalissades qui n’expliquent rien. À titre d’exemple, quand ils expliquent le mot </w:t>
      </w:r>
      <w:r w:rsidRPr="008B7F80">
        <w:rPr>
          <w:rFonts w:asciiTheme="majorBidi" w:eastAsia="Times New Roman" w:hAnsiTheme="majorBidi" w:cstheme="majorBidi"/>
          <w:i/>
          <w:iCs/>
        </w:rPr>
        <w:t>khawwān</w:t>
      </w:r>
      <w:r w:rsidRPr="008B7F80">
        <w:rPr>
          <w:rFonts w:asciiTheme="majorBidi" w:eastAsia="Times New Roman" w:hAnsiTheme="majorBidi" w:cstheme="majorBidi"/>
        </w:rPr>
        <w:t xml:space="preserve"> par celui qui trahit Dieu ou celui qui trahit soi-même, on ne sait vraiment pas comment on trahit Dieu ni comment on trahit soi-même.</w:t>
      </w:r>
    </w:p>
    <w:p w14:paraId="490A407F" w14:textId="77777777" w:rsidR="00296288" w:rsidRPr="008B7F80" w:rsidRDefault="00296288" w:rsidP="00296288">
      <w:pPr>
        <w:spacing w:line="360" w:lineRule="auto"/>
        <w:ind w:firstLine="360"/>
        <w:jc w:val="both"/>
        <w:rPr>
          <w:rFonts w:eastAsia="Times New Roman"/>
        </w:rPr>
      </w:pPr>
    </w:p>
    <w:p w14:paraId="29591DB5" w14:textId="77777777" w:rsidR="00296288" w:rsidRPr="00B867DF" w:rsidRDefault="00296288" w:rsidP="00296288">
      <w:pPr>
        <w:spacing w:line="360" w:lineRule="auto"/>
        <w:ind w:firstLine="360"/>
        <w:jc w:val="both"/>
        <w:rPr>
          <w:rFonts w:asciiTheme="majorBidi" w:eastAsia="Calibri" w:hAnsiTheme="majorBidi" w:cstheme="majorBidi"/>
          <w:rtl/>
          <w:lang w:bidi="ar-AE"/>
        </w:rPr>
      </w:pPr>
      <w:r w:rsidRPr="00B867DF">
        <w:rPr>
          <w:rFonts w:asciiTheme="majorBidi" w:eastAsia="Times New Roman" w:hAnsiTheme="majorBidi" w:cstheme="majorBidi"/>
        </w:rPr>
        <w:t xml:space="preserve">Le </w:t>
      </w:r>
      <w:r w:rsidRPr="00B867DF">
        <w:rPr>
          <w:rFonts w:asciiTheme="majorBidi" w:eastAsia="Times New Roman" w:hAnsiTheme="majorBidi" w:cstheme="majorBidi"/>
          <w:i/>
          <w:iCs/>
        </w:rPr>
        <w:t>kafūr</w:t>
      </w:r>
      <w:r w:rsidRPr="00B867DF">
        <w:rPr>
          <w:rFonts w:asciiTheme="majorBidi" w:eastAsia="Times New Roman" w:hAnsiTheme="majorBidi" w:cstheme="majorBidi"/>
        </w:rPr>
        <w:t> [ingrat, infidèle]</w:t>
      </w:r>
      <w:r w:rsidRPr="00B867DF">
        <w:rPr>
          <w:rFonts w:asciiTheme="majorBidi" w:eastAsia="Times New Roman" w:hAnsiTheme="majorBidi" w:cstheme="majorBidi"/>
          <w:vertAlign w:val="superscript"/>
        </w:rPr>
        <w:footnoteReference w:id="269"/>
      </w:r>
      <w:r w:rsidRPr="00B867DF">
        <w:rPr>
          <w:rFonts w:asciiTheme="majorBidi" w:eastAsia="Times New Roman" w:hAnsiTheme="majorBidi" w:cstheme="majorBidi"/>
        </w:rPr>
        <w:t xml:space="preserve"> (forme intensive du participe actif </w:t>
      </w:r>
      <w:r w:rsidRPr="00B867DF">
        <w:rPr>
          <w:rFonts w:asciiTheme="majorBidi" w:eastAsia="Times New Roman" w:hAnsiTheme="majorBidi" w:cstheme="majorBidi"/>
          <w:i/>
          <w:iCs/>
        </w:rPr>
        <w:t>kāfir</w:t>
      </w:r>
      <w:r w:rsidRPr="00B867DF">
        <w:rPr>
          <w:rFonts w:asciiTheme="majorBidi" w:eastAsia="Times New Roman" w:hAnsiTheme="majorBidi" w:cstheme="majorBidi"/>
        </w:rPr>
        <w:t xml:space="preserve"> dérivé du verbe </w:t>
      </w:r>
      <w:r w:rsidRPr="00B867DF">
        <w:rPr>
          <w:rFonts w:asciiTheme="majorBidi" w:eastAsia="Times New Roman" w:hAnsiTheme="majorBidi" w:cstheme="majorBidi"/>
          <w:i/>
          <w:iCs/>
        </w:rPr>
        <w:t>kafara</w:t>
      </w:r>
      <w:r w:rsidRPr="00B867DF">
        <w:rPr>
          <w:rFonts w:asciiTheme="majorBidi" w:eastAsia="Times New Roman" w:hAnsiTheme="majorBidi" w:cstheme="majorBidi"/>
        </w:rPr>
        <w:t xml:space="preserve"> [couvrir, être infidèle]) signifierait</w:t>
      </w:r>
      <w:r>
        <w:rPr>
          <w:rFonts w:asciiTheme="majorBidi" w:eastAsia="Times New Roman" w:hAnsiTheme="majorBidi" w:cstheme="majorBidi"/>
        </w:rPr>
        <w:t xml:space="preserve"> : 1) </w:t>
      </w:r>
      <w:r w:rsidRPr="00B867DF">
        <w:rPr>
          <w:rFonts w:asciiTheme="majorBidi" w:eastAsia="Times New Roman" w:hAnsiTheme="majorBidi" w:cstheme="majorBidi"/>
        </w:rPr>
        <w:t>ingrat, oublieux ; 2</w:t>
      </w:r>
      <w:r>
        <w:rPr>
          <w:rFonts w:asciiTheme="majorBidi" w:eastAsia="Times New Roman" w:hAnsiTheme="majorBidi" w:cstheme="majorBidi"/>
        </w:rPr>
        <w:t xml:space="preserve">) </w:t>
      </w:r>
      <w:r w:rsidRPr="00B867DF">
        <w:rPr>
          <w:rFonts w:asciiTheme="majorBidi" w:eastAsia="Times New Roman" w:hAnsiTheme="majorBidi" w:cstheme="majorBidi"/>
        </w:rPr>
        <w:t>celui qui ne croit pas à l’unicité [</w:t>
      </w:r>
      <w:r w:rsidRPr="00B867DF">
        <w:rPr>
          <w:rFonts w:asciiTheme="majorBidi" w:eastAsia="Times New Roman" w:hAnsiTheme="majorBidi" w:cstheme="majorBidi"/>
          <w:i/>
          <w:iCs/>
        </w:rPr>
        <w:t>tawḥīd</w:t>
      </w:r>
      <w:r>
        <w:rPr>
          <w:rFonts w:asciiTheme="majorBidi" w:eastAsia="Times New Roman" w:hAnsiTheme="majorBidi" w:cstheme="majorBidi"/>
        </w:rPr>
        <w:t xml:space="preserve">] de Dieu ; 3) les païens de La Mecque ; 4) </w:t>
      </w:r>
      <w:r w:rsidRPr="00B867DF">
        <w:rPr>
          <w:rFonts w:asciiTheme="majorBidi" w:eastAsia="Times New Roman" w:hAnsiTheme="majorBidi" w:cstheme="majorBidi"/>
        </w:rPr>
        <w:t>tout polythéiste ; 5</w:t>
      </w:r>
      <w:r>
        <w:rPr>
          <w:rFonts w:asciiTheme="majorBidi" w:eastAsia="Times New Roman" w:hAnsiTheme="majorBidi" w:cstheme="majorBidi"/>
        </w:rPr>
        <w:t xml:space="preserve">) </w:t>
      </w:r>
      <w:r w:rsidRPr="00B867DF">
        <w:rPr>
          <w:rFonts w:asciiTheme="majorBidi" w:eastAsia="Times New Roman" w:hAnsiTheme="majorBidi" w:cstheme="majorBidi"/>
        </w:rPr>
        <w:t>celui qui renie la grâce de Dieu, qui ne tient pas compte des bienfaits qu’il a reçus de la part d’Allah ; 6</w:t>
      </w:r>
      <w:r>
        <w:rPr>
          <w:rFonts w:asciiTheme="majorBidi" w:eastAsia="Times New Roman" w:hAnsiTheme="majorBidi" w:cstheme="majorBidi"/>
        </w:rPr>
        <w:t xml:space="preserve">) </w:t>
      </w:r>
      <w:r w:rsidRPr="00B867DF">
        <w:rPr>
          <w:rFonts w:asciiTheme="majorBidi" w:eastAsia="Times New Roman" w:hAnsiTheme="majorBidi" w:cstheme="majorBidi"/>
        </w:rPr>
        <w:t xml:space="preserve">celui qui exagère dans sa mécréance </w:t>
      </w:r>
      <w:r w:rsidRPr="00B867DF">
        <w:rPr>
          <w:rFonts w:asciiTheme="majorBidi" w:eastAsia="Times New Roman" w:hAnsiTheme="majorBidi" w:cstheme="majorBidi"/>
          <w:lang w:bidi="ar-AE"/>
        </w:rPr>
        <w:t>(</w:t>
      </w:r>
      <w:r w:rsidRPr="00B867DF">
        <w:rPr>
          <w:rFonts w:asciiTheme="majorBidi" w:eastAsia="Calibri" w:hAnsiTheme="majorBidi" w:cstheme="majorBidi"/>
        </w:rPr>
        <w:t>Ash-Shaʿrāwī) </w:t>
      </w:r>
      <w:r w:rsidRPr="00B867DF">
        <w:rPr>
          <w:rFonts w:asciiTheme="majorBidi" w:eastAsia="Calibri" w:hAnsiTheme="majorBidi" w:cstheme="majorBidi"/>
          <w:lang w:bidi="ar-AE"/>
        </w:rPr>
        <w:t>; 7</w:t>
      </w:r>
      <w:r>
        <w:rPr>
          <w:rFonts w:asciiTheme="majorBidi" w:eastAsia="Calibri" w:hAnsiTheme="majorBidi" w:cstheme="majorBidi"/>
          <w:lang w:bidi="ar-AE"/>
        </w:rPr>
        <w:t xml:space="preserve">) </w:t>
      </w:r>
      <w:r w:rsidRPr="00B867DF">
        <w:rPr>
          <w:rFonts w:asciiTheme="majorBidi" w:eastAsia="Calibri" w:hAnsiTheme="majorBidi" w:cstheme="majorBidi"/>
          <w:lang w:bidi="ar-AE"/>
        </w:rPr>
        <w:t xml:space="preserve">celui qui utilise la grâce de Dieu pour faire le péché (Ibn ʿArabī). </w:t>
      </w:r>
      <w:r w:rsidRPr="00B867DF">
        <w:rPr>
          <w:rFonts w:asciiTheme="majorBidi" w:eastAsia="Calibri" w:hAnsiTheme="majorBidi" w:cstheme="majorBidi"/>
        </w:rPr>
        <w:t xml:space="preserve">Dans le verset 38, l’adjectif </w:t>
      </w:r>
      <w:r w:rsidRPr="00B867DF">
        <w:rPr>
          <w:rFonts w:asciiTheme="majorBidi" w:eastAsia="Times New Roman" w:hAnsiTheme="majorBidi" w:cstheme="majorBidi"/>
          <w:i/>
          <w:iCs/>
        </w:rPr>
        <w:t>kafūr</w:t>
      </w:r>
      <w:r w:rsidRPr="00B867DF">
        <w:rPr>
          <w:rFonts w:asciiTheme="majorBidi" w:eastAsia="Times New Roman" w:hAnsiTheme="majorBidi" w:cstheme="majorBidi"/>
        </w:rPr>
        <w:t> </w:t>
      </w:r>
      <w:r w:rsidRPr="00B867DF">
        <w:rPr>
          <w:rFonts w:asciiTheme="majorBidi" w:eastAsia="Calibri" w:hAnsiTheme="majorBidi" w:cstheme="majorBidi"/>
        </w:rPr>
        <w:t>décrit donc généralement un non-musulman. En revanche, le verset 66 utilise le même terme pour qualifier l’être humain (</w:t>
      </w:r>
      <w:r w:rsidRPr="00B867DF">
        <w:rPr>
          <w:rFonts w:asciiTheme="majorBidi" w:eastAsia="Calibri" w:hAnsiTheme="majorBidi" w:cstheme="majorBidi"/>
          <w:i/>
          <w:iCs/>
        </w:rPr>
        <w:t>al-</w:t>
      </w:r>
      <w:r w:rsidRPr="00B867DF">
        <w:rPr>
          <w:rFonts w:asciiTheme="majorBidi" w:eastAsia="Times New Roman" w:hAnsiTheme="majorBidi" w:cstheme="majorBidi"/>
          <w:i/>
          <w:iCs/>
        </w:rPr>
        <w:t>ʾ</w:t>
      </w:r>
      <w:r w:rsidRPr="00B867DF">
        <w:rPr>
          <w:rFonts w:asciiTheme="majorBidi" w:eastAsia="Calibri" w:hAnsiTheme="majorBidi" w:cstheme="majorBidi"/>
          <w:i/>
          <w:iCs/>
        </w:rPr>
        <w:t>insān</w:t>
      </w:r>
      <w:r w:rsidRPr="00B867DF">
        <w:rPr>
          <w:rFonts w:asciiTheme="majorBidi" w:eastAsia="Calibri" w:hAnsiTheme="majorBidi" w:cstheme="majorBidi"/>
        </w:rPr>
        <w:t>) de façon globale (« </w:t>
      </w:r>
      <w:r>
        <w:rPr>
          <w:rFonts w:asciiTheme="majorBidi" w:eastAsia="Times New Roman" w:hAnsiTheme="majorBidi" w:cstheme="majorBidi" w:hint="cs"/>
          <w:rtl/>
        </w:rPr>
        <w:t>إن الإنسان لكفور</w:t>
      </w:r>
      <w:r w:rsidRPr="00B867DF">
        <w:rPr>
          <w:rFonts w:asciiTheme="majorBidi" w:eastAsia="Calibri" w:hAnsiTheme="majorBidi" w:cstheme="majorBidi"/>
        </w:rPr>
        <w:t xml:space="preserve"> » </w:t>
      </w:r>
      <w:r w:rsidRPr="00B867DF">
        <w:rPr>
          <w:rFonts w:asciiTheme="majorBidi" w:hAnsiTheme="majorBidi" w:cstheme="majorBidi"/>
        </w:rPr>
        <w:t>[</w:t>
      </w:r>
      <w:r w:rsidRPr="00B867DF">
        <w:rPr>
          <w:rFonts w:asciiTheme="majorBidi" w:eastAsia="Calibri" w:hAnsiTheme="majorBidi" w:cstheme="majorBidi"/>
          <w:lang w:bidi="ar-AE"/>
        </w:rPr>
        <w:t>Mais l’homme est plein d’ingratitude</w:t>
      </w:r>
      <w:r w:rsidRPr="00B867DF">
        <w:rPr>
          <w:rFonts w:asciiTheme="majorBidi" w:hAnsiTheme="majorBidi" w:cstheme="majorBidi"/>
        </w:rPr>
        <w:t>]</w:t>
      </w:r>
      <w:r w:rsidRPr="00B867DF">
        <w:rPr>
          <w:rFonts w:asciiTheme="majorBidi" w:eastAsia="Calibri" w:hAnsiTheme="majorBidi" w:cstheme="majorBidi"/>
        </w:rPr>
        <w:t xml:space="preserve">). Il y a ici une contradiction. Pour sortir de cette contradiction, et contrairement à aṭ-Ṭabarī qui affirme que « certes, le fils d’Adam </w:t>
      </w:r>
      <w:r w:rsidRPr="00B867DF">
        <w:rPr>
          <w:rFonts w:asciiTheme="majorBidi" w:hAnsiTheme="majorBidi" w:cstheme="majorBidi"/>
        </w:rPr>
        <w:t>[</w:t>
      </w:r>
      <w:r w:rsidRPr="00B867DF">
        <w:rPr>
          <w:rFonts w:asciiTheme="majorBidi" w:eastAsia="Times New Roman" w:hAnsiTheme="majorBidi" w:cstheme="majorBidi"/>
        </w:rPr>
        <w:t>l’être humain</w:t>
      </w:r>
      <w:r w:rsidRPr="00B867DF">
        <w:rPr>
          <w:rFonts w:asciiTheme="majorBidi" w:hAnsiTheme="majorBidi" w:cstheme="majorBidi"/>
        </w:rPr>
        <w:t>]</w:t>
      </w:r>
      <w:r w:rsidRPr="00B867DF">
        <w:rPr>
          <w:rFonts w:asciiTheme="majorBidi" w:eastAsia="Calibri" w:hAnsiTheme="majorBidi" w:cstheme="majorBidi"/>
        </w:rPr>
        <w:t xml:space="preserve"> est ingrat envers les bienfaits qu’il reçoit d’Allah », Ibn Kathīr souligne qu’il s’agit d’une phrase exclamative et non pas déclarative, exactement comme la phrase « </w:t>
      </w:r>
      <w:r w:rsidRPr="00B867DF">
        <w:rPr>
          <w:rFonts w:asciiTheme="majorBidi" w:eastAsia="Calibri" w:hAnsiTheme="majorBidi" w:cstheme="majorBidi"/>
          <w:i/>
          <w:iCs/>
        </w:rPr>
        <w:t>Kayfa takfurūna bi-llāhi wa-kuntum amwātan fa-a</w:t>
      </w:r>
      <w:r w:rsidRPr="00B867DF">
        <w:rPr>
          <w:rFonts w:asciiTheme="majorBidi" w:eastAsia="Times New Roman" w:hAnsiTheme="majorBidi" w:cstheme="majorBidi"/>
          <w:i/>
          <w:iCs/>
        </w:rPr>
        <w:t>ḥyā-kum…</w:t>
      </w:r>
      <w:r w:rsidRPr="00B867DF">
        <w:rPr>
          <w:rFonts w:asciiTheme="majorBidi" w:eastAsia="Times New Roman" w:hAnsiTheme="majorBidi" w:cstheme="majorBidi"/>
        </w:rPr>
        <w:t xml:space="preserve"> » </w:t>
      </w:r>
      <w:r w:rsidRPr="00B867DF">
        <w:rPr>
          <w:rFonts w:asciiTheme="majorBidi" w:hAnsiTheme="majorBidi" w:cstheme="majorBidi"/>
        </w:rPr>
        <w:t>[</w:t>
      </w:r>
      <w:r w:rsidRPr="00B867DF">
        <w:rPr>
          <w:rFonts w:asciiTheme="majorBidi" w:eastAsia="Times New Roman" w:hAnsiTheme="majorBidi" w:cstheme="majorBidi"/>
        </w:rPr>
        <w:t>Comment opposez-vous un déni à Dieu, quand une fois morts Il vous a fait vivre, …</w:t>
      </w:r>
      <w:r w:rsidRPr="00B867DF">
        <w:rPr>
          <w:rFonts w:asciiTheme="majorBidi" w:hAnsiTheme="majorBidi" w:cstheme="majorBidi"/>
        </w:rPr>
        <w:t xml:space="preserve">] (II, 28). Ainsi dit Shaykhū : « Avec tous ces bienfaits manifestes, l’être humain renie-t-il donc les grâces d’Allah et se détourne-t-il donc de Lui ? » L’exégèse al-Jalalayn précise que </w:t>
      </w:r>
      <w:r w:rsidRPr="00B867DF">
        <w:rPr>
          <w:rFonts w:asciiTheme="majorBidi" w:eastAsia="Calibri" w:hAnsiTheme="majorBidi" w:cstheme="majorBidi"/>
          <w:i/>
          <w:iCs/>
        </w:rPr>
        <w:t>al-insān</w:t>
      </w:r>
      <w:r w:rsidRPr="00B867DF">
        <w:rPr>
          <w:rFonts w:asciiTheme="majorBidi" w:eastAsia="Calibri" w:hAnsiTheme="majorBidi" w:cstheme="majorBidi"/>
        </w:rPr>
        <w:t xml:space="preserve"> désigne ici l’associateur (</w:t>
      </w:r>
      <w:r w:rsidRPr="00B867DF">
        <w:rPr>
          <w:rFonts w:asciiTheme="majorBidi" w:eastAsia="Calibri" w:hAnsiTheme="majorBidi" w:cstheme="majorBidi"/>
          <w:i/>
          <w:iCs/>
        </w:rPr>
        <w:t>al-mushrik</w:t>
      </w:r>
      <w:r w:rsidRPr="00B867DF">
        <w:rPr>
          <w:rFonts w:asciiTheme="majorBidi" w:eastAsia="Calibri" w:hAnsiTheme="majorBidi" w:cstheme="majorBidi"/>
        </w:rPr>
        <w:t>) qui renonce à l’unicité d’Allah.</w:t>
      </w:r>
    </w:p>
    <w:p w14:paraId="5AD56CDD" w14:textId="77777777" w:rsidR="00296288" w:rsidRPr="00B867DF" w:rsidRDefault="00296288" w:rsidP="00296288">
      <w:pPr>
        <w:spacing w:line="360" w:lineRule="auto"/>
        <w:ind w:firstLine="360"/>
        <w:jc w:val="both"/>
        <w:rPr>
          <w:rFonts w:asciiTheme="majorBidi" w:eastAsia="Times New Roman" w:hAnsiTheme="majorBidi" w:cstheme="majorBidi"/>
        </w:rPr>
      </w:pPr>
    </w:p>
    <w:p w14:paraId="48BE3865" w14:textId="163C29B4" w:rsidR="00296288" w:rsidRPr="006B6037" w:rsidRDefault="00296288" w:rsidP="00296288">
      <w:pPr>
        <w:spacing w:line="360" w:lineRule="auto"/>
        <w:ind w:firstLine="360"/>
        <w:jc w:val="both"/>
        <w:rPr>
          <w:rFonts w:eastAsia="Times New Roman"/>
          <w:rtl/>
          <w:lang w:bidi="ar-KW"/>
        </w:rPr>
      </w:pPr>
      <w:r w:rsidRPr="00B867DF">
        <w:rPr>
          <w:rFonts w:eastAsia="Times New Roman"/>
          <w:lang w:bidi="ar-AE"/>
        </w:rPr>
        <w:t>Cependant, en plus des significations fournies par les e</w:t>
      </w:r>
      <w:r w:rsidR="00425EBF">
        <w:rPr>
          <w:rFonts w:eastAsia="Times New Roman"/>
          <w:lang w:bidi="ar-AE"/>
        </w:rPr>
        <w:t xml:space="preserve">xégètes pour expliquer le mot </w:t>
      </w:r>
      <w:r w:rsidRPr="00B867DF">
        <w:rPr>
          <w:rFonts w:eastAsia="Times New Roman"/>
          <w:i/>
          <w:iCs/>
          <w:lang w:bidi="ar-AE"/>
        </w:rPr>
        <w:t>kafūr</w:t>
      </w:r>
      <w:r w:rsidRPr="00B867DF">
        <w:rPr>
          <w:rFonts w:eastAsia="Times New Roman"/>
          <w:lang w:bidi="ar-AE"/>
        </w:rPr>
        <w:t xml:space="preserve"> dans le verset 38, ce même mot dans le verset 66 a encore d’autres significations :</w:t>
      </w:r>
      <w:r w:rsidRPr="00B867DF">
        <w:rPr>
          <w:rFonts w:eastAsia="Times New Roman"/>
          <w:b/>
          <w:bCs/>
          <w:lang w:bidi="ar-AE"/>
        </w:rPr>
        <w:t xml:space="preserve"> </w:t>
      </w:r>
      <w:r w:rsidRPr="00B867DF">
        <w:rPr>
          <w:rFonts w:eastAsia="Times New Roman"/>
          <w:lang w:bidi="ar-KW"/>
        </w:rPr>
        <w:t xml:space="preserve">1-certaines des opposants du prophète Muḥammad comme al-Aswad ibn ʿAbd al-Asad, Abū Jahl et al-ʿĀṣ ibn Hishām (selon Ibn ʿAbbās, dans le commentaire d’al-Qurṭubī) ; 2-celui qui dément le fait </w:t>
      </w:r>
      <w:r w:rsidRPr="006B6037">
        <w:rPr>
          <w:rFonts w:eastAsia="Times New Roman"/>
          <w:lang w:bidi="ar-KW"/>
        </w:rPr>
        <w:t xml:space="preserve">d’être </w:t>
      </w:r>
      <w:r w:rsidRPr="006B6037">
        <w:rPr>
          <w:rFonts w:eastAsia="Times New Roman"/>
          <w:lang w:bidi="ar-KW"/>
        </w:rPr>
        <w:lastRenderedPageBreak/>
        <w:t>mort et revivifié deux fois ; 3-celui qui oublie Dieu (an-Nabulsī, exégète naqshbandī). Alors que l’interprétation orthodoxe interprète</w:t>
      </w:r>
      <w:r w:rsidRPr="006B6037">
        <w:rPr>
          <w:rFonts w:eastAsia="Times New Roman"/>
          <w:lang w:bidi="ar-AE"/>
        </w:rPr>
        <w:t xml:space="preserve"> le participe hyperbolique </w:t>
      </w:r>
      <w:r w:rsidRPr="006B6037">
        <w:rPr>
          <w:rFonts w:eastAsia="Times New Roman"/>
          <w:i/>
          <w:iCs/>
          <w:lang w:bidi="ar-AE"/>
        </w:rPr>
        <w:t>kafūr</w:t>
      </w:r>
      <w:r w:rsidRPr="006B6037">
        <w:rPr>
          <w:rFonts w:eastAsia="Times New Roman"/>
          <w:lang w:bidi="ar-KW"/>
        </w:rPr>
        <w:t xml:space="preserve"> par celui qui oublie ou dément la grâce divine d’être créé et né, l’interprétation hétérodoxe fait référence à l’interprétation « réincarnative » du verset : le </w:t>
      </w:r>
      <w:r w:rsidRPr="006B6037">
        <w:rPr>
          <w:rFonts w:eastAsia="Times New Roman"/>
          <w:i/>
          <w:iCs/>
          <w:lang w:bidi="ar-AE"/>
        </w:rPr>
        <w:t>kafūr</w:t>
      </w:r>
      <w:r w:rsidRPr="006B6037">
        <w:rPr>
          <w:rFonts w:eastAsia="Times New Roman"/>
          <w:lang w:bidi="ar-KW"/>
        </w:rPr>
        <w:t xml:space="preserve"> est celui qui oublie ses vies antérieures.</w:t>
      </w:r>
    </w:p>
    <w:p w14:paraId="448659ED" w14:textId="77777777" w:rsidR="00296288" w:rsidRPr="006B6037" w:rsidRDefault="00296288" w:rsidP="00296288">
      <w:pPr>
        <w:spacing w:line="360" w:lineRule="auto"/>
        <w:ind w:firstLine="360"/>
        <w:jc w:val="both"/>
        <w:rPr>
          <w:rFonts w:asciiTheme="majorBidi" w:eastAsia="Times New Roman" w:hAnsiTheme="majorBidi" w:cstheme="majorBidi"/>
        </w:rPr>
      </w:pPr>
    </w:p>
    <w:p w14:paraId="7134ADC4" w14:textId="77777777"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t xml:space="preserve">De manière générale, les adjectifs </w:t>
      </w:r>
      <w:r w:rsidRPr="00B867DF">
        <w:rPr>
          <w:rFonts w:asciiTheme="majorBidi" w:eastAsia="Times New Roman" w:hAnsiTheme="majorBidi" w:cstheme="majorBidi"/>
          <w:i/>
          <w:iCs/>
        </w:rPr>
        <w:t>khawwān</w:t>
      </w:r>
      <w:r w:rsidRPr="00B867DF">
        <w:rPr>
          <w:rFonts w:asciiTheme="majorBidi" w:eastAsia="Times New Roman" w:hAnsiTheme="majorBidi" w:cstheme="majorBidi"/>
        </w:rPr>
        <w:t xml:space="preserve"> et </w:t>
      </w:r>
      <w:r w:rsidRPr="00B867DF">
        <w:rPr>
          <w:rFonts w:asciiTheme="majorBidi" w:eastAsia="Times New Roman" w:hAnsiTheme="majorBidi" w:cstheme="majorBidi"/>
          <w:i/>
          <w:iCs/>
        </w:rPr>
        <w:t>kafūr</w:t>
      </w:r>
      <w:r w:rsidRPr="00B867DF">
        <w:rPr>
          <w:rFonts w:asciiTheme="majorBidi" w:eastAsia="Times New Roman" w:hAnsiTheme="majorBidi" w:cstheme="majorBidi"/>
        </w:rPr>
        <w:t xml:space="preserve"> sont utilisés pour désigner le non-musulman dans le but de l’avilir.</w:t>
      </w:r>
    </w:p>
    <w:p w14:paraId="0CFB1BC9" w14:textId="77777777" w:rsidR="00296288" w:rsidRPr="000F6511" w:rsidRDefault="00296288" w:rsidP="00296288">
      <w:pPr>
        <w:spacing w:line="360" w:lineRule="auto"/>
        <w:ind w:left="360" w:firstLine="348"/>
        <w:jc w:val="both"/>
        <w:rPr>
          <w:rFonts w:asciiTheme="majorBidi" w:eastAsia="Times New Roman" w:hAnsiTheme="majorBidi" w:cstheme="majorBidi"/>
        </w:rPr>
      </w:pPr>
    </w:p>
    <w:p w14:paraId="1865B0EF"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lang w:eastAsia="fr-FR" w:bidi="ar-EG"/>
        </w:rPr>
      </w:pPr>
      <w:r w:rsidRPr="000F6511">
        <w:rPr>
          <w:rFonts w:asciiTheme="majorBidi" w:hAnsiTheme="majorBidi" w:cstheme="majorBidi"/>
          <w:b/>
          <w:bCs/>
          <w:sz w:val="24"/>
          <w:szCs w:val="24"/>
          <w:lang w:eastAsia="fr-FR" w:bidi="ar-EG"/>
        </w:rPr>
        <w:t xml:space="preserve">Le mot féminin </w:t>
      </w:r>
      <w:r w:rsidRPr="000F6511">
        <w:rPr>
          <w:rFonts w:asciiTheme="majorBidi" w:hAnsiTheme="majorBidi" w:cstheme="majorBidi"/>
          <w:b/>
          <w:bCs/>
          <w:i/>
          <w:iCs/>
          <w:sz w:val="24"/>
          <w:szCs w:val="24"/>
          <w:lang w:eastAsia="fr-FR" w:bidi="ar-EG"/>
        </w:rPr>
        <w:t>ʿāqiba</w:t>
      </w:r>
      <w:r w:rsidRPr="000F6511">
        <w:rPr>
          <w:rFonts w:asciiTheme="majorBidi" w:hAnsiTheme="majorBidi" w:cstheme="majorBidi"/>
          <w:b/>
          <w:bCs/>
          <w:sz w:val="24"/>
          <w:szCs w:val="24"/>
          <w:lang w:eastAsia="fr-FR" w:bidi="ar-EG"/>
        </w:rPr>
        <w:t xml:space="preserve"> (v. 41) : </w:t>
      </w:r>
    </w:p>
    <w:p w14:paraId="10417C2C" w14:textId="77777777" w:rsidR="00296288" w:rsidRPr="00F073C7" w:rsidRDefault="00296288" w:rsidP="00296288">
      <w:pPr>
        <w:spacing w:line="360" w:lineRule="auto"/>
        <w:ind w:left="360" w:firstLine="360"/>
        <w:jc w:val="both"/>
        <w:rPr>
          <w:rFonts w:asciiTheme="majorBidi" w:eastAsia="Times New Roman" w:hAnsiTheme="majorBidi" w:cstheme="majorBidi"/>
          <w:lang w:bidi="ar-EG"/>
        </w:rPr>
      </w:pPr>
      <w:r w:rsidRPr="00F073C7">
        <w:rPr>
          <w:rFonts w:asciiTheme="majorBidi" w:eastAsia="Times New Roman" w:hAnsiTheme="majorBidi" w:cstheme="majorBidi"/>
          <w:lang w:bidi="ar-EG"/>
        </w:rPr>
        <w:t>Il peut signifier :</w:t>
      </w:r>
    </w:p>
    <w:p w14:paraId="3B455211" w14:textId="77777777" w:rsidR="00296288" w:rsidRPr="00B867DF" w:rsidRDefault="00296288" w:rsidP="007640DC">
      <w:pPr>
        <w:numPr>
          <w:ilvl w:val="0"/>
          <w:numId w:val="50"/>
        </w:numPr>
        <w:spacing w:line="360" w:lineRule="auto"/>
        <w:jc w:val="both"/>
        <w:rPr>
          <w:rFonts w:eastAsia="Times New Roman"/>
          <w:lang w:bidi="ar-EG"/>
        </w:rPr>
      </w:pPr>
      <w:r w:rsidRPr="00B867DF">
        <w:rPr>
          <w:rFonts w:eastAsia="Times New Roman"/>
          <w:lang w:bidi="ar-EG"/>
        </w:rPr>
        <w:t>La destinée, qu’elle soit récompense ou châtiment, dans l’autre vie (Aṭ-Ṭabarī) ;</w:t>
      </w:r>
    </w:p>
    <w:p w14:paraId="6D6A24D9" w14:textId="77777777" w:rsidR="00296288" w:rsidRPr="00B867DF" w:rsidRDefault="00296288" w:rsidP="007640DC">
      <w:pPr>
        <w:numPr>
          <w:ilvl w:val="0"/>
          <w:numId w:val="50"/>
        </w:numPr>
        <w:spacing w:line="360" w:lineRule="auto"/>
        <w:jc w:val="both"/>
        <w:rPr>
          <w:rFonts w:eastAsia="Times New Roman"/>
          <w:lang w:bidi="ar-EG"/>
        </w:rPr>
      </w:pPr>
      <w:r w:rsidRPr="00B867DF">
        <w:rPr>
          <w:rFonts w:eastAsia="Times New Roman"/>
          <w:lang w:bidi="ar-EG"/>
        </w:rPr>
        <w:t>La récompense pour ce qu’on fait (Ibn Kathīr) ;</w:t>
      </w:r>
    </w:p>
    <w:p w14:paraId="1C148E66" w14:textId="77777777" w:rsidR="00296288" w:rsidRPr="00B867DF" w:rsidRDefault="00296288" w:rsidP="007640DC">
      <w:pPr>
        <w:numPr>
          <w:ilvl w:val="0"/>
          <w:numId w:val="50"/>
        </w:numPr>
        <w:spacing w:line="360" w:lineRule="auto"/>
        <w:jc w:val="both"/>
        <w:rPr>
          <w:rFonts w:eastAsia="Times New Roman"/>
          <w:lang w:bidi="ar-EG"/>
        </w:rPr>
      </w:pPr>
      <w:r w:rsidRPr="00B867DF">
        <w:rPr>
          <w:rFonts w:eastAsia="Times New Roman"/>
          <w:lang w:bidi="ar-EG"/>
        </w:rPr>
        <w:t>Une intimidation et une menace à l’encontre du désobéissant (Ath-Thaʿālibī) ;</w:t>
      </w:r>
    </w:p>
    <w:p w14:paraId="5BA79261" w14:textId="77777777" w:rsidR="00296288" w:rsidRPr="00B867DF" w:rsidRDefault="00296288" w:rsidP="007640DC">
      <w:pPr>
        <w:numPr>
          <w:ilvl w:val="0"/>
          <w:numId w:val="50"/>
        </w:numPr>
        <w:spacing w:line="360" w:lineRule="auto"/>
        <w:jc w:val="both"/>
        <w:rPr>
          <w:rFonts w:eastAsia="Times New Roman"/>
          <w:lang w:bidi="ar-EG"/>
        </w:rPr>
      </w:pPr>
      <w:r w:rsidRPr="00B867DF">
        <w:rPr>
          <w:rFonts w:eastAsia="Times New Roman"/>
          <w:lang w:bidi="ar-EG"/>
        </w:rPr>
        <w:t>Une confirmation de la victoire déjà promise (Aṭ-Ṭabāṭabāʾī) ;</w:t>
      </w:r>
    </w:p>
    <w:p w14:paraId="46A77D56" w14:textId="77777777" w:rsidR="00296288" w:rsidRPr="00B867DF" w:rsidRDefault="00296288" w:rsidP="007640DC">
      <w:pPr>
        <w:numPr>
          <w:ilvl w:val="0"/>
          <w:numId w:val="50"/>
        </w:numPr>
        <w:spacing w:line="360" w:lineRule="auto"/>
        <w:jc w:val="both"/>
        <w:rPr>
          <w:rFonts w:eastAsia="Times New Roman"/>
          <w:lang w:bidi="ar-EG"/>
        </w:rPr>
      </w:pPr>
      <w:r w:rsidRPr="00B867DF">
        <w:rPr>
          <w:rFonts w:eastAsia="Times New Roman"/>
          <w:lang w:bidi="ar-EG"/>
        </w:rPr>
        <w:t xml:space="preserve">La fin (Shaykhū et Ash-Shaʿrāwī). </w:t>
      </w:r>
    </w:p>
    <w:p w14:paraId="22802DE0" w14:textId="77777777" w:rsidR="00296288" w:rsidRPr="00B867DF" w:rsidRDefault="00296288" w:rsidP="00296288">
      <w:pPr>
        <w:spacing w:line="360" w:lineRule="auto"/>
        <w:rPr>
          <w:rFonts w:eastAsia="Times New Roman"/>
        </w:rPr>
      </w:pPr>
    </w:p>
    <w:p w14:paraId="2A6CB7DA" w14:textId="5CCFB602" w:rsidR="00296288" w:rsidRPr="00B867DF" w:rsidRDefault="00296288" w:rsidP="00296288">
      <w:pPr>
        <w:spacing w:line="360" w:lineRule="auto"/>
        <w:ind w:firstLine="360"/>
        <w:jc w:val="both"/>
        <w:rPr>
          <w:rFonts w:eastAsia="Times New Roman"/>
        </w:rPr>
      </w:pPr>
      <w:r w:rsidRPr="00B867DF">
        <w:rPr>
          <w:rFonts w:eastAsia="Times New Roman"/>
        </w:rPr>
        <w:t xml:space="preserve">La forte polysémie de ce mot nous contraint à en examiner toutes les occurrences dans le Coran </w:t>
      </w:r>
      <w:r w:rsidRPr="00B867DF">
        <w:rPr>
          <w:rFonts w:eastAsia="Times New Roman"/>
          <w:lang w:bidi="ar-EG"/>
        </w:rPr>
        <w:t>(23 occurrences en tant que masculin, 2 en tant que féminin et 6 où le genre n’est pas visible)</w:t>
      </w:r>
      <w:r w:rsidRPr="00B867DF">
        <w:rPr>
          <w:rFonts w:eastAsia="Times New Roman"/>
        </w:rPr>
        <w:t>. Ce qui attire l’attention, c’est l’ut</w:t>
      </w:r>
      <w:r w:rsidR="00CC3544">
        <w:rPr>
          <w:rFonts w:eastAsia="Times New Roman"/>
        </w:rPr>
        <w:t xml:space="preserve">ilisation par le Coran du mot </w:t>
      </w:r>
      <w:r w:rsidRPr="00B867DF">
        <w:rPr>
          <w:rFonts w:eastAsia="Times New Roman"/>
          <w:i/>
          <w:iCs/>
          <w:lang w:bidi="ar-EG"/>
        </w:rPr>
        <w:t>ʿāqiba</w:t>
      </w:r>
      <w:r w:rsidRPr="00B867DF">
        <w:rPr>
          <w:rFonts w:eastAsia="Times New Roman"/>
        </w:rPr>
        <w:t xml:space="preserve"> 23 fois comme masculin alors qu’il est féminin selon l’usage et la morphologie. Il ne s’agit évidemment pas d’une erreur commise par inadvertance. Puisqu’elle se répète 23 fois, cette « erreur » semble intentionnelle, probablement pour répondre à un besoin traductologique. Partant de l’hypothèse que le Coran est un texte traduit en arabe à partir d’autres langues dominantes à l’époque dont l’araméen et l’hébreu, notre étonnement disparaîtrait quand nous découvrons que la racine hébraïque qui co</w:t>
      </w:r>
      <w:r w:rsidR="00854593">
        <w:rPr>
          <w:rFonts w:eastAsia="Times New Roman"/>
        </w:rPr>
        <w:t xml:space="preserve">rrespond au mot féminin arabe </w:t>
      </w:r>
      <w:r w:rsidRPr="00B867DF">
        <w:rPr>
          <w:rFonts w:eastAsia="Times New Roman"/>
          <w:i/>
          <w:iCs/>
          <w:lang w:bidi="ar-EG"/>
        </w:rPr>
        <w:t>ʿāqiba</w:t>
      </w:r>
      <w:r w:rsidRPr="00B867DF">
        <w:rPr>
          <w:rFonts w:eastAsia="Times New Roman"/>
        </w:rPr>
        <w:t xml:space="preserve"> est un nom masculin</w:t>
      </w:r>
      <w:r w:rsidRPr="00B867DF">
        <w:rPr>
          <w:rFonts w:eastAsia="Times New Roman"/>
          <w:i/>
          <w:iCs/>
        </w:rPr>
        <w:t xml:space="preserve"> eqev</w:t>
      </w:r>
      <w:r w:rsidRPr="00B867DF">
        <w:rPr>
          <w:rFonts w:eastAsia="Times New Roman"/>
        </w:rPr>
        <w:t xml:space="preserve"> [</w:t>
      </w:r>
      <w:r w:rsidRPr="00B867DF">
        <w:rPr>
          <w:rFonts w:ascii="Segoe UI" w:eastAsia="Times New Roman" w:hAnsi="Segoe UI"/>
          <w:shd w:val="clear" w:color="auto" w:fill="FFFFFF"/>
          <w:rtl/>
          <w:lang w:bidi="he-IL"/>
        </w:rPr>
        <w:t>עקב</w:t>
      </w:r>
      <w:r w:rsidRPr="00B867DF">
        <w:rPr>
          <w:rFonts w:eastAsia="Times New Roman"/>
        </w:rPr>
        <w:t>], qui se réfère à l’idée de « </w:t>
      </w:r>
      <w:r w:rsidRPr="00B867DF">
        <w:rPr>
          <w:rFonts w:eastAsia="Times New Roman"/>
          <w:i/>
          <w:iCs/>
        </w:rPr>
        <w:t>talon</w:t>
      </w:r>
      <w:r w:rsidRPr="00B867DF">
        <w:rPr>
          <w:rFonts w:eastAsia="Times New Roman"/>
        </w:rPr>
        <w:t xml:space="preserve">, </w:t>
      </w:r>
      <w:r w:rsidRPr="00B867DF">
        <w:rPr>
          <w:rFonts w:eastAsia="Times New Roman"/>
          <w:i/>
          <w:iCs/>
        </w:rPr>
        <w:t>talonner</w:t>
      </w:r>
      <w:r w:rsidRPr="00B867DF">
        <w:rPr>
          <w:rFonts w:eastAsia="Times New Roman"/>
        </w:rPr>
        <w:t xml:space="preserve">, </w:t>
      </w:r>
      <w:r w:rsidRPr="00B867DF">
        <w:rPr>
          <w:rFonts w:eastAsia="Times New Roman"/>
          <w:i/>
          <w:iCs/>
        </w:rPr>
        <w:t>suite</w:t>
      </w:r>
      <w:r w:rsidRPr="00B867DF">
        <w:rPr>
          <w:rFonts w:eastAsia="Times New Roman"/>
        </w:rPr>
        <w:t xml:space="preserve">, </w:t>
      </w:r>
      <w:r w:rsidRPr="00B867DF">
        <w:rPr>
          <w:rFonts w:eastAsia="Times New Roman"/>
          <w:i/>
          <w:iCs/>
        </w:rPr>
        <w:t>trace</w:t>
      </w:r>
      <w:r w:rsidRPr="00B867DF">
        <w:rPr>
          <w:rFonts w:eastAsia="Times New Roman"/>
        </w:rPr>
        <w:t xml:space="preserve">, </w:t>
      </w:r>
      <w:r w:rsidRPr="00B867DF">
        <w:rPr>
          <w:rFonts w:eastAsia="Times New Roman"/>
          <w:i/>
          <w:iCs/>
        </w:rPr>
        <w:t>conséquence</w:t>
      </w:r>
      <w:r w:rsidRPr="00B867DF">
        <w:rPr>
          <w:rFonts w:eastAsia="Times New Roman"/>
        </w:rPr>
        <w:t xml:space="preserve">, </w:t>
      </w:r>
      <w:r w:rsidRPr="00B867DF">
        <w:rPr>
          <w:rFonts w:eastAsia="Times New Roman"/>
          <w:i/>
          <w:iCs/>
        </w:rPr>
        <w:t>récompense</w:t>
      </w:r>
      <w:r w:rsidRPr="00B867DF">
        <w:rPr>
          <w:rFonts w:eastAsia="Times New Roman"/>
        </w:rPr>
        <w:t> » mais aussi quelque chose de « </w:t>
      </w:r>
      <w:r w:rsidRPr="00B867DF">
        <w:rPr>
          <w:rFonts w:eastAsia="Times New Roman"/>
          <w:i/>
          <w:iCs/>
        </w:rPr>
        <w:t>tortueux</w:t>
      </w:r>
      <w:r w:rsidRPr="00B867DF">
        <w:rPr>
          <w:rFonts w:eastAsia="Times New Roman"/>
        </w:rPr>
        <w:t xml:space="preserve"> ». </w:t>
      </w:r>
      <w:r w:rsidRPr="00B867DF">
        <w:rPr>
          <w:rFonts w:eastAsia="Times New Roman"/>
          <w:lang w:bidi="ar-KW"/>
        </w:rPr>
        <w:t>Il semble que les compilateurs du Coran ont utilisé ce terme féminin en tant que masculin pour ajouter une autre dimension sémantique au mot.</w:t>
      </w:r>
      <w:r w:rsidRPr="00B867DF">
        <w:rPr>
          <w:rFonts w:eastAsia="Times New Roman"/>
        </w:rPr>
        <w:t xml:space="preserve"> Le mot arabe (toujours au féminin) désigne primitivement : d</w:t>
      </w:r>
      <w:r w:rsidRPr="00B867DF">
        <w:rPr>
          <w:rFonts w:eastAsia="Times New Roman"/>
          <w:i/>
          <w:iCs/>
        </w:rPr>
        <w:t>escendant</w:t>
      </w:r>
      <w:r w:rsidRPr="00B867DF">
        <w:rPr>
          <w:rFonts w:eastAsia="Times New Roman"/>
        </w:rPr>
        <w:t xml:space="preserve">, </w:t>
      </w:r>
      <w:r w:rsidRPr="00B867DF">
        <w:rPr>
          <w:rFonts w:eastAsia="Times New Roman"/>
          <w:i/>
          <w:iCs/>
        </w:rPr>
        <w:t>enfant</w:t>
      </w:r>
      <w:r w:rsidRPr="00B867DF">
        <w:rPr>
          <w:rFonts w:eastAsia="Times New Roman"/>
        </w:rPr>
        <w:t xml:space="preserve">, </w:t>
      </w:r>
      <w:r w:rsidRPr="00B867DF">
        <w:rPr>
          <w:rFonts w:eastAsia="Times New Roman"/>
          <w:i/>
          <w:iCs/>
        </w:rPr>
        <w:t>suite</w:t>
      </w:r>
      <w:r w:rsidRPr="00B867DF">
        <w:rPr>
          <w:rFonts w:eastAsia="Times New Roman"/>
          <w:vertAlign w:val="superscript"/>
        </w:rPr>
        <w:footnoteReference w:id="270"/>
      </w:r>
      <w:r w:rsidRPr="00B867DF">
        <w:rPr>
          <w:rFonts w:eastAsia="Times New Roman"/>
        </w:rPr>
        <w:t xml:space="preserve">. Ainsi, le sens de la sanction </w:t>
      </w:r>
      <w:r w:rsidRPr="00B867DF">
        <w:rPr>
          <w:rFonts w:eastAsia="Times New Roman"/>
        </w:rPr>
        <w:lastRenderedPageBreak/>
        <w:t>peut être rendu par l’utilisation du même mot féminin mais au masculin conformément au genre grammatical du mot d’origine en hébreu.</w:t>
      </w:r>
    </w:p>
    <w:p w14:paraId="27D5F8FE" w14:textId="77777777" w:rsidR="00296288" w:rsidRPr="00B867DF" w:rsidRDefault="00296288" w:rsidP="00296288">
      <w:pPr>
        <w:spacing w:line="360" w:lineRule="auto"/>
        <w:jc w:val="both"/>
        <w:rPr>
          <w:rFonts w:eastAsia="Times New Roman"/>
        </w:rPr>
      </w:pPr>
    </w:p>
    <w:p w14:paraId="56BDF719" w14:textId="77777777" w:rsidR="00296288" w:rsidRDefault="00296288" w:rsidP="00296288">
      <w:pPr>
        <w:spacing w:line="360" w:lineRule="auto"/>
        <w:ind w:firstLine="360"/>
        <w:jc w:val="both"/>
        <w:rPr>
          <w:rFonts w:eastAsia="Times New Roman"/>
        </w:rPr>
      </w:pPr>
      <w:r w:rsidRPr="00B867DF">
        <w:rPr>
          <w:rFonts w:eastAsia="Times New Roman"/>
        </w:rPr>
        <w:t>Dans ces deux versets bibliques :</w:t>
      </w:r>
      <w:r w:rsidRPr="00B867DF">
        <w:rPr>
          <w:rFonts w:ascii="Verdana" w:eastAsia="Times New Roman" w:hAnsi="Verdana"/>
        </w:rPr>
        <w:t> </w:t>
      </w:r>
      <w:r w:rsidRPr="00B867DF">
        <w:rPr>
          <w:rFonts w:ascii="Verdana" w:eastAsia="Times New Roman" w:hAnsi="Verdana"/>
          <w:rtl/>
          <w:lang w:bidi="he-IL"/>
        </w:rPr>
        <w:t>ל</w:t>
      </w:r>
      <w:r w:rsidRPr="00B867DF">
        <w:rPr>
          <w:rFonts w:ascii="Tahoma" w:eastAsia="Times New Roman" w:hAnsi="Tahoma" w:cs="Tahoma"/>
          <w:rtl/>
          <w:lang w:bidi="he-IL"/>
        </w:rPr>
        <w:t>ָמָּה אִירָא</w:t>
      </w:r>
      <w:r w:rsidRPr="00B867DF">
        <w:rPr>
          <w:rFonts w:ascii="Verdana" w:eastAsia="Times New Roman" w:hAnsi="Verdana"/>
        </w:rPr>
        <w:t>, </w:t>
      </w:r>
      <w:r w:rsidRPr="00B867DF">
        <w:rPr>
          <w:rFonts w:ascii="Tahoma" w:eastAsia="Times New Roman" w:hAnsi="Tahoma" w:cs="Tahoma"/>
          <w:rtl/>
          <w:lang w:bidi="he-IL"/>
        </w:rPr>
        <w:t>בִּימֵי רָע</w:t>
      </w:r>
      <w:r w:rsidRPr="00B867DF">
        <w:rPr>
          <w:rFonts w:ascii="Verdana" w:eastAsia="Times New Roman" w:hAnsi="Verdana"/>
        </w:rPr>
        <w:t>--    </w:t>
      </w:r>
      <w:r w:rsidRPr="00B867DF">
        <w:rPr>
          <w:rFonts w:ascii="Tahoma" w:eastAsia="Times New Roman" w:hAnsi="Tahoma" w:cs="Tahoma"/>
          <w:rtl/>
          <w:lang w:bidi="he-IL"/>
        </w:rPr>
        <w:t>עֲו‍ֹן</w:t>
      </w:r>
      <w:r w:rsidRPr="00B867DF">
        <w:rPr>
          <w:rFonts w:ascii="Tahoma" w:eastAsia="Times New Roman" w:hAnsi="Tahoma" w:cs="Tahoma"/>
        </w:rPr>
        <w:t> </w:t>
      </w:r>
      <w:r w:rsidRPr="00B867DF">
        <w:rPr>
          <w:rFonts w:ascii="Tahoma" w:eastAsia="Times New Roman" w:hAnsi="Tahoma" w:cs="Tahoma"/>
          <w:b/>
          <w:bCs/>
          <w:rtl/>
          <w:lang w:bidi="he-IL"/>
        </w:rPr>
        <w:t>עֲקֵבַי</w:t>
      </w:r>
      <w:r w:rsidRPr="00B867DF">
        <w:rPr>
          <w:rFonts w:ascii="Tahoma" w:eastAsia="Times New Roman" w:hAnsi="Tahoma" w:cs="Tahoma"/>
        </w:rPr>
        <w:t> </w:t>
      </w:r>
      <w:r w:rsidRPr="00B867DF">
        <w:rPr>
          <w:rFonts w:ascii="Tahoma" w:eastAsia="Times New Roman" w:hAnsi="Tahoma" w:cs="Tahoma"/>
          <w:rtl/>
          <w:lang w:bidi="he-IL"/>
        </w:rPr>
        <w:t>יְסוּבֵּנִי</w:t>
      </w:r>
      <w:r w:rsidRPr="00B867DF">
        <w:rPr>
          <w:rFonts w:ascii="Verdana" w:eastAsia="Times New Roman" w:hAnsi="Verdana"/>
        </w:rPr>
        <w:t xml:space="preserve">. </w:t>
      </w:r>
      <w:r w:rsidRPr="00B867DF">
        <w:rPr>
          <w:rFonts w:eastAsia="Times New Roman"/>
        </w:rPr>
        <w:t xml:space="preserve">[« Pourquoi craindrais-je aux jours du malheur, lorsque l’iniquité de </w:t>
      </w:r>
      <w:r w:rsidRPr="00B867DF">
        <w:rPr>
          <w:rFonts w:eastAsia="Times New Roman"/>
          <w:b/>
          <w:bCs/>
        </w:rPr>
        <w:t>mes persécuteurs</w:t>
      </w:r>
      <w:r w:rsidRPr="00B867DF">
        <w:rPr>
          <w:rFonts w:eastAsia="Times New Roman"/>
        </w:rPr>
        <w:t xml:space="preserve"> m’assiège ? »] (Psaume 49 : 6), et </w:t>
      </w:r>
      <w:r w:rsidRPr="00B867DF">
        <w:rPr>
          <w:rFonts w:ascii="Tahoma" w:eastAsia="Times New Roman" w:hAnsi="Tahoma" w:cs="Tahoma"/>
          <w:rtl/>
          <w:lang w:bidi="he-IL"/>
        </w:rPr>
        <w:t>יָגוּרוּ</w:t>
      </w:r>
      <w:r w:rsidRPr="00B867DF">
        <w:rPr>
          <w:rFonts w:ascii="Tahoma" w:eastAsia="Times New Roman" w:hAnsi="Tahoma" w:cs="Tahoma"/>
          <w:lang w:bidi="he-IL"/>
        </w:rPr>
        <w:t>, </w:t>
      </w:r>
      <w:r w:rsidRPr="00B867DF">
        <w:rPr>
          <w:rFonts w:ascii="Tahoma" w:eastAsia="Times New Roman" w:hAnsi="Tahoma" w:cs="Tahoma"/>
          <w:rtl/>
          <w:lang w:bidi="he-IL"/>
        </w:rPr>
        <w:t>יצפינו</w:t>
      </w:r>
      <w:r w:rsidRPr="00B867DF">
        <w:rPr>
          <w:rFonts w:ascii="Calibri" w:eastAsia="Times New Roman" w:hAnsi="Calibri" w:cs="Arial"/>
          <w:lang w:bidi="he-IL"/>
        </w:rPr>
        <w:t> </w:t>
      </w:r>
      <w:r w:rsidRPr="00B867DF">
        <w:rPr>
          <w:rFonts w:ascii="Tahoma" w:eastAsia="Times New Roman" w:hAnsi="Tahoma" w:cs="Tahoma"/>
          <w:lang w:bidi="he-IL"/>
        </w:rPr>
        <w:t>(</w:t>
      </w:r>
      <w:r w:rsidRPr="00B867DF">
        <w:rPr>
          <w:rFonts w:ascii="Tahoma" w:eastAsia="Times New Roman" w:hAnsi="Tahoma" w:cs="Tahoma"/>
          <w:rtl/>
          <w:lang w:bidi="he-IL"/>
        </w:rPr>
        <w:t>יִצְפּוֹנוּ</w:t>
      </w:r>
      <w:r w:rsidRPr="00B867DF">
        <w:rPr>
          <w:rFonts w:ascii="Tahoma" w:eastAsia="Times New Roman" w:hAnsi="Tahoma" w:cs="Tahoma"/>
          <w:lang w:bidi="he-IL"/>
        </w:rPr>
        <w:t>) --</w:t>
      </w:r>
      <w:r w:rsidRPr="00B867DF">
        <w:rPr>
          <w:rFonts w:ascii="Tahoma" w:eastAsia="Times New Roman" w:hAnsi="Tahoma" w:cs="Tahoma"/>
          <w:rtl/>
          <w:lang w:bidi="he-IL"/>
        </w:rPr>
        <w:t>הֵמָּה</w:t>
      </w:r>
      <w:r w:rsidRPr="00B867DF">
        <w:rPr>
          <w:rFonts w:ascii="Tahoma" w:eastAsia="Times New Roman" w:hAnsi="Tahoma" w:cs="Tahoma"/>
          <w:lang w:bidi="he-IL"/>
        </w:rPr>
        <w:t>, </w:t>
      </w:r>
      <w:r w:rsidRPr="00B867DF">
        <w:rPr>
          <w:rFonts w:ascii="Tahoma" w:eastAsia="Times New Roman" w:hAnsi="Tahoma" w:cs="Tahoma"/>
          <w:b/>
          <w:bCs/>
          <w:rtl/>
          <w:lang w:bidi="he-IL"/>
        </w:rPr>
        <w:t>עֲקֵבַי</w:t>
      </w:r>
      <w:r w:rsidRPr="00B867DF">
        <w:rPr>
          <w:rFonts w:ascii="Tahoma" w:eastAsia="Times New Roman" w:hAnsi="Tahoma" w:cs="Tahoma"/>
          <w:lang w:bidi="he-IL"/>
        </w:rPr>
        <w:t> </w:t>
      </w:r>
      <w:r w:rsidRPr="00B867DF">
        <w:rPr>
          <w:rFonts w:ascii="Tahoma" w:eastAsia="Times New Roman" w:hAnsi="Tahoma" w:cs="Tahoma" w:hint="cs"/>
          <w:rtl/>
          <w:lang w:bidi="he-IL"/>
        </w:rPr>
        <w:t>יִשְׁמֹרוּ</w:t>
      </w:r>
      <w:r w:rsidRPr="00B867DF">
        <w:rPr>
          <w:rFonts w:ascii="Tahoma" w:eastAsia="Times New Roman" w:hAnsi="Tahoma" w:cs="Tahoma"/>
          <w:lang w:bidi="he-IL"/>
        </w:rPr>
        <w:t xml:space="preserve"> :</w:t>
      </w:r>
      <w:r w:rsidRPr="00B867DF">
        <w:rPr>
          <w:rFonts w:ascii="Verdana" w:eastAsia="Times New Roman" w:hAnsi="Verdana" w:cs="Arial"/>
          <w:shd w:val="clear" w:color="auto" w:fill="FFFFFF"/>
        </w:rPr>
        <w:t xml:space="preserve">    </w:t>
      </w:r>
      <w:r w:rsidRPr="00B867DF">
        <w:rPr>
          <w:rFonts w:ascii="Tahoma" w:eastAsia="Times New Roman" w:hAnsi="Tahoma" w:cs="Tahoma"/>
          <w:rtl/>
          <w:lang w:bidi="he-IL"/>
        </w:rPr>
        <w:t>כַּאֲשֶׁר</w:t>
      </w:r>
      <w:r w:rsidRPr="00B867DF">
        <w:rPr>
          <w:rFonts w:ascii="Tahoma" w:eastAsia="Times New Roman" w:hAnsi="Tahoma" w:cs="Tahoma"/>
          <w:lang w:bidi="he-IL"/>
        </w:rPr>
        <w:t>, </w:t>
      </w:r>
      <w:r w:rsidRPr="00B867DF">
        <w:rPr>
          <w:rFonts w:ascii="Tahoma" w:eastAsia="Times New Roman" w:hAnsi="Tahoma" w:cs="Tahoma"/>
          <w:rtl/>
          <w:lang w:bidi="he-IL"/>
        </w:rPr>
        <w:t>קִוּוּ נַפְשִׁי</w:t>
      </w:r>
      <w:r w:rsidRPr="00B867DF">
        <w:rPr>
          <w:rFonts w:ascii="Verdana" w:eastAsia="Times New Roman" w:hAnsi="Verdana" w:cs="Arial"/>
          <w:shd w:val="clear" w:color="auto" w:fill="FFFFFF"/>
        </w:rPr>
        <w:t xml:space="preserve">. </w:t>
      </w:r>
      <w:r w:rsidRPr="00B867DF">
        <w:rPr>
          <w:rFonts w:eastAsia="Times New Roman"/>
        </w:rPr>
        <w:t xml:space="preserve">[Ils complotent, ils épient, ils observent </w:t>
      </w:r>
      <w:r w:rsidRPr="00B867DF">
        <w:rPr>
          <w:rFonts w:eastAsia="Times New Roman"/>
          <w:b/>
          <w:bCs/>
        </w:rPr>
        <w:t>mes traces</w:t>
      </w:r>
      <w:r w:rsidRPr="00B867DF">
        <w:rPr>
          <w:rFonts w:eastAsia="Times New Roman"/>
        </w:rPr>
        <w:t>, Parce qu’ils en veulent à ma vie.] (Psaumes 56 : 7), le mot hébraïque (</w:t>
      </w:r>
      <w:r w:rsidRPr="00B867DF">
        <w:rPr>
          <w:rFonts w:ascii="Tahoma" w:eastAsia="Times New Roman" w:hAnsi="Tahoma" w:cs="Tahoma"/>
          <w:b/>
          <w:bCs/>
          <w:rtl/>
          <w:lang w:bidi="he-IL"/>
        </w:rPr>
        <w:t>עֲקֵבַי</w:t>
      </w:r>
      <w:r w:rsidRPr="00B867DF">
        <w:rPr>
          <w:rFonts w:eastAsia="Times New Roman"/>
        </w:rPr>
        <w:t>) (</w:t>
      </w:r>
      <w:r w:rsidRPr="00B867DF">
        <w:rPr>
          <w:rFonts w:eastAsia="Times New Roman"/>
          <w:i/>
          <w:iCs/>
        </w:rPr>
        <w:t>mes traces</w:t>
      </w:r>
      <w:r w:rsidRPr="00B867DF">
        <w:rPr>
          <w:rFonts w:eastAsia="Times New Roman"/>
        </w:rPr>
        <w:t xml:space="preserve">), qui a la même racine que le mot arabe </w:t>
      </w:r>
      <w:r w:rsidRPr="00B867DF">
        <w:rPr>
          <w:rFonts w:eastAsia="Times New Roman"/>
          <w:b/>
          <w:bCs/>
        </w:rPr>
        <w:t xml:space="preserve">féminin </w:t>
      </w:r>
      <w:r w:rsidRPr="00B867DF">
        <w:rPr>
          <w:rFonts w:eastAsia="Times New Roman"/>
          <w:i/>
          <w:iCs/>
          <w:lang w:bidi="ar-EG"/>
        </w:rPr>
        <w:t>ʿāqiba</w:t>
      </w:r>
      <w:r w:rsidRPr="00B867DF">
        <w:rPr>
          <w:rFonts w:eastAsia="Times New Roman"/>
        </w:rPr>
        <w:t xml:space="preserve"> (</w:t>
      </w:r>
      <w:r w:rsidRPr="00B867DF">
        <w:rPr>
          <w:rFonts w:ascii="Simplified Arabic" w:eastAsia="Times New Roman" w:hAnsi="Simplified Arabic" w:cs="Simplified Arabic"/>
          <w:rtl/>
          <w:lang w:bidi="ar-KW"/>
        </w:rPr>
        <w:t>عاقبة</w:t>
      </w:r>
      <w:r w:rsidRPr="00B867DF">
        <w:rPr>
          <w:rFonts w:asciiTheme="majorBidi" w:eastAsia="Times New Roman" w:hAnsiTheme="majorBidi" w:cstheme="majorBidi"/>
          <w:lang w:bidi="ar-KW"/>
        </w:rPr>
        <w:t>)</w:t>
      </w:r>
      <w:r w:rsidRPr="00B867DF">
        <w:rPr>
          <w:rFonts w:eastAsia="Times New Roman"/>
          <w:lang w:bidi="ar-KW"/>
        </w:rPr>
        <w:t xml:space="preserve">, </w:t>
      </w:r>
      <w:r w:rsidRPr="00B867DF">
        <w:rPr>
          <w:rFonts w:eastAsia="Times New Roman"/>
        </w:rPr>
        <w:t xml:space="preserve">est un mot pluriel </w:t>
      </w:r>
      <w:r w:rsidRPr="00B867DF">
        <w:rPr>
          <w:rFonts w:eastAsia="Times New Roman"/>
          <w:b/>
          <w:bCs/>
        </w:rPr>
        <w:t>masculin</w:t>
      </w:r>
      <w:r w:rsidRPr="00B867DF">
        <w:rPr>
          <w:rFonts w:eastAsia="Times New Roman"/>
        </w:rPr>
        <w:t xml:space="preserve"> avec un suffixe possessif.</w:t>
      </w:r>
    </w:p>
    <w:p w14:paraId="50BD5738" w14:textId="77777777" w:rsidR="00296288" w:rsidRPr="000F6511" w:rsidRDefault="00296288" w:rsidP="00296288">
      <w:pPr>
        <w:spacing w:line="360" w:lineRule="auto"/>
        <w:ind w:firstLine="360"/>
        <w:jc w:val="both"/>
        <w:rPr>
          <w:rFonts w:eastAsia="Times New Roman"/>
        </w:rPr>
      </w:pPr>
    </w:p>
    <w:p w14:paraId="0AC7D0B8" w14:textId="77777777"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EG"/>
        </w:rPr>
      </w:pPr>
      <w:r w:rsidRPr="000F6511">
        <w:rPr>
          <w:rFonts w:ascii="Times New Roman" w:hAnsi="Times New Roman" w:cs="Times New Roman"/>
          <w:b/>
          <w:bCs/>
          <w:sz w:val="24"/>
          <w:szCs w:val="24"/>
          <w:lang w:eastAsia="fr-FR" w:bidi="ar-EG"/>
        </w:rPr>
        <w:t xml:space="preserve">Le </w:t>
      </w:r>
      <w:r w:rsidRPr="000F6511">
        <w:rPr>
          <w:rFonts w:ascii="Times New Roman" w:hAnsi="Times New Roman" w:cs="Times New Roman"/>
          <w:b/>
          <w:bCs/>
          <w:i/>
          <w:iCs/>
          <w:sz w:val="24"/>
          <w:szCs w:val="24"/>
          <w:lang w:eastAsia="fr-FR" w:bidi="ar-EG"/>
        </w:rPr>
        <w:t>munkar</w:t>
      </w:r>
      <w:r w:rsidRPr="000F6511">
        <w:rPr>
          <w:rFonts w:ascii="Times New Roman" w:hAnsi="Times New Roman" w:cs="Times New Roman"/>
          <w:b/>
          <w:bCs/>
          <w:sz w:val="24"/>
          <w:szCs w:val="24"/>
          <w:lang w:eastAsia="fr-FR" w:bidi="ar-EG"/>
        </w:rPr>
        <w:t xml:space="preserve"> (v. 41) :</w:t>
      </w:r>
    </w:p>
    <w:p w14:paraId="2E9EE05C" w14:textId="77777777" w:rsidR="00296288" w:rsidRPr="00545093" w:rsidRDefault="00296288" w:rsidP="00296288">
      <w:pPr>
        <w:spacing w:line="360" w:lineRule="auto"/>
        <w:ind w:firstLine="360"/>
        <w:jc w:val="both"/>
        <w:rPr>
          <w:rFonts w:eastAsia="Times New Roman"/>
          <w:lang w:bidi="ar-EG"/>
        </w:rPr>
      </w:pPr>
      <w:r w:rsidRPr="00B867DF">
        <w:rPr>
          <w:rFonts w:eastAsia="Times New Roman"/>
          <w:lang w:bidi="ar-EG"/>
        </w:rPr>
        <w:t xml:space="preserve">Le </w:t>
      </w:r>
      <w:r w:rsidRPr="00B867DF">
        <w:rPr>
          <w:rFonts w:eastAsia="Times New Roman"/>
          <w:i/>
          <w:iCs/>
          <w:lang w:bidi="ar-EG"/>
        </w:rPr>
        <w:t>munkar</w:t>
      </w:r>
      <w:r w:rsidRPr="00B867DF">
        <w:rPr>
          <w:rFonts w:eastAsia="Times New Roman"/>
          <w:lang w:bidi="ar-EG"/>
        </w:rPr>
        <w:t xml:space="preserve"> (participe passif du verbe </w:t>
      </w:r>
      <w:r w:rsidRPr="00B867DF">
        <w:rPr>
          <w:rFonts w:eastAsia="Times New Roman"/>
          <w:i/>
          <w:iCs/>
          <w:lang w:bidi="ar-EG"/>
        </w:rPr>
        <w:t>ankara</w:t>
      </w:r>
      <w:r w:rsidRPr="00B867DF">
        <w:rPr>
          <w:rFonts w:eastAsia="Times New Roman"/>
          <w:lang w:bidi="ar-EG"/>
        </w:rPr>
        <w:t xml:space="preserve">, nier, démentir) (v. 41) ne désigne pas seulement le mal, mais tout ce qui contredit la foi musulmane en général ou même la foi d’une confrérie ou d’une branche dans </w:t>
      </w:r>
      <w:r w:rsidRPr="00545093">
        <w:rPr>
          <w:rFonts w:eastAsia="Times New Roman"/>
          <w:lang w:bidi="ar-EG"/>
        </w:rPr>
        <w:t xml:space="preserve">l’islam. En ce sens, la Trinité est considérée par les musulmans non pas comme un dogme différent, mais comme un </w:t>
      </w:r>
      <w:r w:rsidRPr="00545093">
        <w:rPr>
          <w:rFonts w:eastAsia="Times New Roman"/>
          <w:i/>
          <w:iCs/>
          <w:lang w:bidi="ar-EG"/>
        </w:rPr>
        <w:t>munkar</w:t>
      </w:r>
      <w:r w:rsidRPr="00545093">
        <w:rPr>
          <w:rFonts w:eastAsia="Times New Roman"/>
          <w:lang w:bidi="ar-EG"/>
        </w:rPr>
        <w:t xml:space="preserve"> (une chose reniée, illicite). Plus encore, aimer les califes Abū Bakr et ʿUmar est selon les chiites </w:t>
      </w:r>
      <w:r w:rsidRPr="00545093">
        <w:rPr>
          <w:rFonts w:eastAsia="Times New Roman"/>
          <w:i/>
          <w:iCs/>
          <w:lang w:bidi="ar-EG"/>
        </w:rPr>
        <w:t>munkar</w:t>
      </w:r>
      <w:r w:rsidRPr="00545093">
        <w:rPr>
          <w:rFonts w:eastAsia="Times New Roman"/>
          <w:lang w:bidi="ar-EG"/>
        </w:rPr>
        <w:t xml:space="preserve">, voire </w:t>
      </w:r>
      <w:r w:rsidRPr="00545093">
        <w:rPr>
          <w:rFonts w:eastAsia="Times New Roman"/>
          <w:i/>
          <w:iCs/>
          <w:lang w:bidi="ar-EG"/>
        </w:rPr>
        <w:t>kufr</w:t>
      </w:r>
      <w:r w:rsidRPr="00545093">
        <w:rPr>
          <w:rFonts w:eastAsia="Times New Roman"/>
          <w:lang w:bidi="ar-EG"/>
        </w:rPr>
        <w:t xml:space="preserve"> [mécréance, incroyance, apostasie].</w:t>
      </w:r>
      <w:r w:rsidRPr="00545093">
        <w:rPr>
          <w:rFonts w:eastAsia="Times New Roman"/>
          <w:vertAlign w:val="superscript"/>
        </w:rPr>
        <w:footnoteReference w:id="271"/>
      </w:r>
    </w:p>
    <w:p w14:paraId="20120822" w14:textId="77777777" w:rsidR="00296288" w:rsidRDefault="00296288" w:rsidP="00296288">
      <w:pPr>
        <w:spacing w:line="360" w:lineRule="auto"/>
        <w:jc w:val="both"/>
        <w:rPr>
          <w:rFonts w:asciiTheme="majorBidi" w:eastAsia="Times New Roman" w:hAnsiTheme="majorBidi" w:cstheme="majorBidi"/>
        </w:rPr>
      </w:pPr>
    </w:p>
    <w:p w14:paraId="6ECECA9A" w14:textId="77777777" w:rsidR="00296288" w:rsidRPr="00F073C7" w:rsidRDefault="00296288" w:rsidP="007640DC">
      <w:pPr>
        <w:pStyle w:val="Paragraphedeliste"/>
        <w:numPr>
          <w:ilvl w:val="0"/>
          <w:numId w:val="62"/>
        </w:numPr>
        <w:bidi w:val="0"/>
        <w:spacing w:after="0" w:line="360" w:lineRule="auto"/>
        <w:contextualSpacing/>
        <w:jc w:val="both"/>
        <w:rPr>
          <w:rFonts w:asciiTheme="majorBidi" w:hAnsiTheme="majorBidi" w:cstheme="majorBidi"/>
          <w:sz w:val="24"/>
          <w:szCs w:val="24"/>
          <w:rtl/>
          <w:lang w:eastAsia="fr-FR"/>
        </w:rPr>
      </w:pPr>
      <w:r w:rsidRPr="00F073C7">
        <w:rPr>
          <w:rFonts w:asciiTheme="majorBidi" w:hAnsiTheme="majorBidi" w:cstheme="majorBidi"/>
          <w:b/>
          <w:bCs/>
          <w:sz w:val="24"/>
          <w:szCs w:val="24"/>
          <w:lang w:eastAsia="fr-FR"/>
        </w:rPr>
        <w:t xml:space="preserve">Le mot </w:t>
      </w:r>
      <w:r w:rsidRPr="00F073C7">
        <w:rPr>
          <w:rFonts w:asciiTheme="majorBidi" w:hAnsiTheme="majorBidi" w:cstheme="majorBidi"/>
          <w:b/>
          <w:bCs/>
          <w:i/>
          <w:iCs/>
          <w:sz w:val="24"/>
          <w:szCs w:val="24"/>
          <w:lang w:eastAsia="fr-FR"/>
        </w:rPr>
        <w:t>nakīr</w:t>
      </w:r>
      <w:r w:rsidRPr="00F073C7">
        <w:rPr>
          <w:rFonts w:asciiTheme="majorBidi" w:hAnsiTheme="majorBidi" w:cstheme="majorBidi"/>
          <w:b/>
          <w:bCs/>
          <w:sz w:val="24"/>
          <w:szCs w:val="24"/>
          <w:lang w:eastAsia="fr-FR"/>
        </w:rPr>
        <w:t xml:space="preserve"> (v. 44) :</w:t>
      </w:r>
    </w:p>
    <w:p w14:paraId="0E3F7660" w14:textId="77777777" w:rsidR="00296288" w:rsidRPr="00B867DF" w:rsidRDefault="00296288" w:rsidP="00296288">
      <w:pPr>
        <w:spacing w:line="360" w:lineRule="auto"/>
        <w:ind w:firstLine="360"/>
        <w:jc w:val="both"/>
        <w:rPr>
          <w:rFonts w:asciiTheme="majorBidi" w:eastAsia="Times New Roman" w:hAnsiTheme="majorBidi" w:cstheme="majorBidi"/>
        </w:rPr>
      </w:pPr>
      <w:r w:rsidRPr="00F073C7">
        <w:rPr>
          <w:rFonts w:asciiTheme="majorBidi" w:eastAsia="Times New Roman" w:hAnsiTheme="majorBidi" w:cstheme="majorBidi"/>
        </w:rPr>
        <w:t xml:space="preserve">Le mot </w:t>
      </w:r>
      <w:r w:rsidRPr="00F073C7">
        <w:rPr>
          <w:rFonts w:asciiTheme="majorBidi" w:eastAsia="Times New Roman" w:hAnsiTheme="majorBidi" w:cstheme="majorBidi"/>
          <w:i/>
          <w:iCs/>
        </w:rPr>
        <w:t>nakīr</w:t>
      </w:r>
      <w:r w:rsidRPr="00F073C7">
        <w:rPr>
          <w:rFonts w:asciiTheme="majorBidi" w:eastAsia="Times New Roman" w:hAnsiTheme="majorBidi" w:cstheme="majorBidi"/>
        </w:rPr>
        <w:t xml:space="preserve"> (v. 44) désigne</w:t>
      </w:r>
      <w:r w:rsidRPr="00B867DF">
        <w:rPr>
          <w:rFonts w:asciiTheme="majorBidi" w:eastAsia="Times New Roman" w:hAnsiTheme="majorBidi" w:cstheme="majorBidi"/>
        </w:rPr>
        <w:t xml:space="preserve"> plusieurs sens : 1-le fait que Je supprime les bienfaits dans lesquels vivent les non-croyants (« </w:t>
      </w:r>
      <w:r w:rsidRPr="00B867DF">
        <w:rPr>
          <w:rFonts w:asciiTheme="majorBidi" w:eastAsia="Times New Roman" w:hAnsiTheme="majorBidi" w:cstheme="majorBidi"/>
          <w:i/>
          <w:iCs/>
        </w:rPr>
        <w:t>taghyīrī mā kāna bi-him min niʿma</w:t>
      </w:r>
      <w:r w:rsidRPr="00B867DF">
        <w:rPr>
          <w:rFonts w:asciiTheme="majorBidi" w:eastAsia="Times New Roman" w:hAnsiTheme="majorBidi" w:cstheme="majorBidi"/>
        </w:rPr>
        <w:t xml:space="preserve"> ») </w:t>
      </w:r>
      <w:r w:rsidRPr="00B867DF">
        <w:rPr>
          <w:rFonts w:asciiTheme="majorBidi" w:eastAsia="Times New Roman" w:hAnsiTheme="majorBidi" w:cstheme="majorBidi"/>
          <w:lang w:bidi="ar-EG"/>
        </w:rPr>
        <w:t>(</w:t>
      </w:r>
      <w:r w:rsidRPr="00B867DF">
        <w:rPr>
          <w:rFonts w:asciiTheme="majorBidi" w:eastAsia="Times New Roman" w:hAnsiTheme="majorBidi" w:cstheme="majorBidi"/>
          <w:lang w:bidi="ar-AE"/>
        </w:rPr>
        <w:t>Aṭ-Ṭabarī</w:t>
      </w:r>
      <w:r w:rsidRPr="00B867DF">
        <w:rPr>
          <w:rFonts w:asciiTheme="majorBidi" w:eastAsia="Times New Roman" w:hAnsiTheme="majorBidi" w:cstheme="majorBidi"/>
          <w:lang w:bidi="ar-EG"/>
        </w:rPr>
        <w:t xml:space="preserve">) ; 2-Ma </w:t>
      </w:r>
      <w:r w:rsidRPr="00B867DF">
        <w:rPr>
          <w:rFonts w:asciiTheme="majorBidi" w:eastAsia="Times New Roman" w:hAnsiTheme="majorBidi" w:cstheme="majorBidi"/>
        </w:rPr>
        <w:t xml:space="preserve">dénégation ; 3-et Mon châtiment dissuasif. Il est à souligner que le déterminant possessif de la première personne est supprimé probablement pour une contrainte d’assonance ; le mot avant la suppression est : </w:t>
      </w:r>
      <w:r w:rsidRPr="00B867DF">
        <w:rPr>
          <w:rFonts w:asciiTheme="majorBidi" w:eastAsia="Times New Roman" w:hAnsiTheme="majorBidi" w:cstheme="majorBidi"/>
          <w:i/>
          <w:iCs/>
        </w:rPr>
        <w:t>nakīr</w:t>
      </w:r>
      <w:r w:rsidRPr="00B867DF">
        <w:rPr>
          <w:rFonts w:asciiTheme="majorBidi" w:eastAsia="Times New Roman" w:hAnsiTheme="majorBidi" w:cstheme="majorBidi"/>
          <w:b/>
          <w:bCs/>
          <w:i/>
        </w:rPr>
        <w:t>ī</w:t>
      </w:r>
      <w:r w:rsidRPr="00B867DF">
        <w:rPr>
          <w:rFonts w:asciiTheme="majorBidi" w:eastAsia="Times New Roman" w:hAnsiTheme="majorBidi" w:cstheme="majorBidi"/>
        </w:rPr>
        <w:t xml:space="preserve"> [</w:t>
      </w:r>
      <w:r w:rsidRPr="00B867DF">
        <w:rPr>
          <w:rFonts w:asciiTheme="majorBidi" w:eastAsia="Times New Roman" w:hAnsiTheme="majorBidi" w:cstheme="majorBidi"/>
          <w:b/>
          <w:bCs/>
          <w:i/>
          <w:iCs/>
        </w:rPr>
        <w:t>Mon</w:t>
      </w:r>
      <w:r w:rsidRPr="00B867DF">
        <w:rPr>
          <w:rFonts w:asciiTheme="majorBidi" w:eastAsia="Times New Roman" w:hAnsiTheme="majorBidi" w:cstheme="majorBidi"/>
        </w:rPr>
        <w:t xml:space="preserve"> châtiment].</w:t>
      </w:r>
    </w:p>
    <w:p w14:paraId="33AD013D" w14:textId="77777777" w:rsidR="00296288" w:rsidRPr="000F6511" w:rsidRDefault="00296288" w:rsidP="00296288">
      <w:pPr>
        <w:tabs>
          <w:tab w:val="left" w:pos="851"/>
        </w:tabs>
        <w:spacing w:line="360" w:lineRule="auto"/>
        <w:jc w:val="both"/>
        <w:rPr>
          <w:rFonts w:asciiTheme="majorBidi" w:eastAsia="Times New Roman" w:hAnsiTheme="majorBidi" w:cstheme="majorBidi"/>
        </w:rPr>
      </w:pPr>
    </w:p>
    <w:p w14:paraId="0F155C20" w14:textId="77777777" w:rsidR="00296288" w:rsidRPr="000F6511" w:rsidRDefault="00296288" w:rsidP="007640DC">
      <w:pPr>
        <w:pStyle w:val="Paragraphedeliste"/>
        <w:numPr>
          <w:ilvl w:val="0"/>
          <w:numId w:val="62"/>
        </w:numPr>
        <w:tabs>
          <w:tab w:val="left" w:pos="851"/>
        </w:tabs>
        <w:bidi w:val="0"/>
        <w:spacing w:after="0" w:line="360" w:lineRule="auto"/>
        <w:contextualSpacing/>
        <w:jc w:val="both"/>
        <w:rPr>
          <w:rFonts w:asciiTheme="majorBidi" w:hAnsiTheme="majorBidi" w:cstheme="majorBidi"/>
          <w:b/>
          <w:bCs/>
          <w:sz w:val="24"/>
          <w:szCs w:val="24"/>
          <w:rtl/>
          <w:lang w:eastAsia="fr-FR"/>
        </w:rPr>
      </w:pPr>
      <w:r w:rsidRPr="000F6511">
        <w:rPr>
          <w:rFonts w:asciiTheme="majorBidi" w:hAnsiTheme="majorBidi" w:cstheme="majorBidi"/>
          <w:b/>
          <w:bCs/>
          <w:sz w:val="24"/>
          <w:szCs w:val="24"/>
          <w:lang w:eastAsia="fr-FR"/>
        </w:rPr>
        <w:t xml:space="preserve">Le mot </w:t>
      </w:r>
      <w:r w:rsidRPr="000F6511">
        <w:rPr>
          <w:rFonts w:ascii="Times New Roman" w:hAnsi="Times New Roman" w:cs="Times New Roman"/>
          <w:b/>
          <w:bCs/>
          <w:i/>
          <w:iCs/>
          <w:sz w:val="24"/>
          <w:szCs w:val="24"/>
          <w:lang w:eastAsia="fr-FR"/>
        </w:rPr>
        <w:t>ẓālima</w:t>
      </w:r>
      <w:r w:rsidRPr="000F6511">
        <w:rPr>
          <w:rFonts w:ascii="Times New Roman" w:hAnsi="Times New Roman" w:cs="Times New Roman"/>
          <w:b/>
          <w:bCs/>
          <w:sz w:val="24"/>
          <w:szCs w:val="24"/>
          <w:lang w:eastAsia="fr-FR"/>
        </w:rPr>
        <w:t xml:space="preserve"> (v. 45 &amp; 48) :</w:t>
      </w:r>
    </w:p>
    <w:p w14:paraId="417BFEBB" w14:textId="4CCE65AE" w:rsidR="00296288" w:rsidRPr="00B867DF" w:rsidRDefault="00296288" w:rsidP="00296288">
      <w:pPr>
        <w:tabs>
          <w:tab w:val="left" w:pos="851"/>
        </w:tabs>
        <w:spacing w:line="360" w:lineRule="auto"/>
        <w:ind w:firstLine="284"/>
        <w:jc w:val="both"/>
        <w:rPr>
          <w:rFonts w:eastAsia="Times New Roman"/>
        </w:rPr>
      </w:pPr>
      <w:r w:rsidRPr="00B867DF">
        <w:rPr>
          <w:rFonts w:eastAsia="Times New Roman"/>
        </w:rPr>
        <w:t>Le verset 45 parle de la destruction d</w:t>
      </w:r>
      <w:r w:rsidR="00CC3544">
        <w:rPr>
          <w:rFonts w:eastAsia="Times New Roman"/>
        </w:rPr>
        <w:t xml:space="preserve">es cités parce qu’ils étaient </w:t>
      </w:r>
      <w:r w:rsidRPr="00B867DF">
        <w:rPr>
          <w:rFonts w:eastAsia="Times New Roman"/>
          <w:i/>
          <w:iCs/>
        </w:rPr>
        <w:t>ẓālima</w:t>
      </w:r>
      <w:r w:rsidRPr="00B867DF">
        <w:rPr>
          <w:rFonts w:eastAsia="Times New Roman"/>
        </w:rPr>
        <w:t xml:space="preserve"> [injustes]. Ce dernier adjectif au pluriel féminin ne signifie pas seulement : </w:t>
      </w:r>
      <w:r w:rsidRPr="00B867DF">
        <w:rPr>
          <w:rFonts w:eastAsia="Times New Roman"/>
          <w:i/>
          <w:iCs/>
        </w:rPr>
        <w:t>inéquitables</w:t>
      </w:r>
      <w:r w:rsidRPr="00B867DF">
        <w:rPr>
          <w:rFonts w:eastAsia="Times New Roman"/>
        </w:rPr>
        <w:t xml:space="preserve">, mais aussi : </w:t>
      </w:r>
      <w:r w:rsidRPr="00B867DF">
        <w:rPr>
          <w:rFonts w:eastAsia="Times New Roman"/>
          <w:i/>
          <w:iCs/>
        </w:rPr>
        <w:t>pécheresses</w:t>
      </w:r>
      <w:r w:rsidRPr="00B867DF">
        <w:rPr>
          <w:rFonts w:eastAsia="Times New Roman"/>
        </w:rPr>
        <w:t xml:space="preserve">, </w:t>
      </w:r>
      <w:r w:rsidRPr="00B867DF">
        <w:rPr>
          <w:rFonts w:eastAsia="Times New Roman"/>
          <w:i/>
          <w:iCs/>
        </w:rPr>
        <w:t>païennes</w:t>
      </w:r>
      <w:r w:rsidRPr="00B867DF">
        <w:rPr>
          <w:rFonts w:eastAsia="Times New Roman"/>
        </w:rPr>
        <w:t xml:space="preserve">, </w:t>
      </w:r>
      <w:r w:rsidRPr="00B867DF">
        <w:rPr>
          <w:rFonts w:eastAsia="Times New Roman"/>
          <w:i/>
          <w:iCs/>
        </w:rPr>
        <w:t>hypocrites</w:t>
      </w:r>
      <w:r w:rsidRPr="00B867DF">
        <w:rPr>
          <w:rFonts w:eastAsia="Times New Roman"/>
        </w:rPr>
        <w:t xml:space="preserve"> (selon </w:t>
      </w:r>
      <w:r w:rsidRPr="00B867DF">
        <w:rPr>
          <w:rFonts w:eastAsia="Times New Roman"/>
          <w:i/>
          <w:iCs/>
        </w:rPr>
        <w:t>al-Kashshāf</w:t>
      </w:r>
      <w:r w:rsidRPr="00B867DF">
        <w:rPr>
          <w:rFonts w:eastAsia="Times New Roman"/>
        </w:rPr>
        <w:t xml:space="preserve"> d’az-Zamakhsharī) ou </w:t>
      </w:r>
      <w:r w:rsidRPr="00B867DF">
        <w:rPr>
          <w:rFonts w:eastAsia="Times New Roman"/>
          <w:i/>
          <w:iCs/>
        </w:rPr>
        <w:t xml:space="preserve">celles qui démentaient les </w:t>
      </w:r>
      <w:r w:rsidRPr="00B867DF">
        <w:rPr>
          <w:rFonts w:eastAsia="Times New Roman"/>
          <w:i/>
          <w:iCs/>
        </w:rPr>
        <w:lastRenderedPageBreak/>
        <w:t>messagers de Dieu</w:t>
      </w:r>
      <w:r w:rsidRPr="00B867DF">
        <w:rPr>
          <w:rFonts w:eastAsia="Times New Roman"/>
        </w:rPr>
        <w:t>. Ainsi, le Coran ne nous dit pas quelle était la vraie raison de la destruction de ces cités : est-ce les mauvaises actions de ses habitants, ou bien leurs convictions religieuses, ou encore leur attitude vis-à-vis des prophètes ?</w:t>
      </w:r>
    </w:p>
    <w:p w14:paraId="4CE8343C" w14:textId="77777777" w:rsidR="00296288" w:rsidRPr="00B867DF" w:rsidRDefault="00296288" w:rsidP="00296288">
      <w:pPr>
        <w:tabs>
          <w:tab w:val="left" w:pos="851"/>
        </w:tabs>
        <w:spacing w:line="360" w:lineRule="auto"/>
        <w:jc w:val="both"/>
        <w:rPr>
          <w:rFonts w:eastAsia="Times New Roman"/>
        </w:rPr>
      </w:pPr>
      <w:r w:rsidRPr="00B867DF">
        <w:rPr>
          <w:rFonts w:eastAsia="Times New Roman"/>
        </w:rPr>
        <w:tab/>
      </w:r>
    </w:p>
    <w:p w14:paraId="0328B5A5" w14:textId="5707F483" w:rsidR="00296288" w:rsidRPr="00B867DF" w:rsidRDefault="00296288" w:rsidP="00296288">
      <w:pPr>
        <w:tabs>
          <w:tab w:val="left" w:pos="851"/>
        </w:tabs>
        <w:spacing w:line="360" w:lineRule="auto"/>
        <w:ind w:firstLine="284"/>
        <w:jc w:val="both"/>
        <w:rPr>
          <w:rFonts w:eastAsia="Times New Roman"/>
        </w:rPr>
      </w:pPr>
      <w:r w:rsidRPr="00B867DF">
        <w:rPr>
          <w:rFonts w:eastAsia="Times New Roman"/>
        </w:rPr>
        <w:t>On ne sait pas non p</w:t>
      </w:r>
      <w:r w:rsidR="00CC3544">
        <w:rPr>
          <w:rFonts w:eastAsia="Times New Roman"/>
        </w:rPr>
        <w:t xml:space="preserve">lus si le syntagme adjectival </w:t>
      </w:r>
      <w:r w:rsidRPr="00B867DF">
        <w:rPr>
          <w:rFonts w:eastAsia="Times New Roman"/>
          <w:i/>
          <w:iCs/>
        </w:rPr>
        <w:t>khāwya ʿalā ʿurūshi-hā</w:t>
      </w:r>
      <w:r w:rsidRPr="00B867DF">
        <w:rPr>
          <w:rFonts w:eastAsia="Times New Roman"/>
        </w:rPr>
        <w:t xml:space="preserve"> (v. 45) signifie : complètement (ou partiellement) détruites, ou bien seulement inhabitées. Ce syntagme peut désigner la destruction ou l’abandon.</w:t>
      </w:r>
    </w:p>
    <w:p w14:paraId="4BCD383B" w14:textId="77777777" w:rsidR="00296288" w:rsidRPr="00B867DF" w:rsidRDefault="00296288" w:rsidP="00CC3544">
      <w:pPr>
        <w:tabs>
          <w:tab w:val="left" w:pos="851"/>
        </w:tabs>
        <w:spacing w:line="360" w:lineRule="auto"/>
        <w:jc w:val="both"/>
        <w:rPr>
          <w:rFonts w:eastAsia="Times New Roman"/>
          <w:rtl/>
        </w:rPr>
      </w:pPr>
    </w:p>
    <w:p w14:paraId="1AF31F9B" w14:textId="77777777" w:rsidR="00296288" w:rsidRPr="00F073C7" w:rsidRDefault="00296288" w:rsidP="007640DC">
      <w:pPr>
        <w:pStyle w:val="Paragraphedeliste"/>
        <w:numPr>
          <w:ilvl w:val="0"/>
          <w:numId w:val="62"/>
        </w:numPr>
        <w:tabs>
          <w:tab w:val="left" w:pos="851"/>
        </w:tabs>
        <w:bidi w:val="0"/>
        <w:spacing w:after="0" w:line="360" w:lineRule="auto"/>
        <w:contextualSpacing/>
        <w:jc w:val="both"/>
        <w:rPr>
          <w:rFonts w:ascii="Times New Roman" w:hAnsi="Times New Roman" w:cs="Times New Roman"/>
          <w:b/>
          <w:bCs/>
          <w:sz w:val="24"/>
          <w:szCs w:val="24"/>
          <w:lang w:eastAsia="fr-FR"/>
        </w:rPr>
      </w:pPr>
      <w:r w:rsidRPr="00F073C7">
        <w:rPr>
          <w:rFonts w:ascii="Times New Roman" w:hAnsi="Times New Roman" w:cs="Times New Roman"/>
          <w:b/>
          <w:bCs/>
          <w:sz w:val="24"/>
          <w:szCs w:val="24"/>
          <w:lang w:eastAsia="fr-FR"/>
        </w:rPr>
        <w:t xml:space="preserve">L’adjectif </w:t>
      </w:r>
      <w:r w:rsidRPr="00F073C7">
        <w:rPr>
          <w:rFonts w:ascii="Times New Roman" w:hAnsi="Times New Roman" w:cs="Times New Roman"/>
          <w:b/>
          <w:bCs/>
          <w:i/>
          <w:iCs/>
          <w:sz w:val="24"/>
          <w:szCs w:val="24"/>
          <w:lang w:eastAsia="fr-FR"/>
        </w:rPr>
        <w:t>mashīd</w:t>
      </w:r>
      <w:r w:rsidRPr="00F073C7">
        <w:rPr>
          <w:rFonts w:ascii="Times New Roman" w:hAnsi="Times New Roman" w:cs="Times New Roman"/>
          <w:b/>
          <w:bCs/>
          <w:sz w:val="24"/>
          <w:szCs w:val="24"/>
          <w:lang w:eastAsia="fr-FR"/>
        </w:rPr>
        <w:t> :</w:t>
      </w:r>
    </w:p>
    <w:p w14:paraId="7C104490" w14:textId="77777777" w:rsidR="00296288" w:rsidRPr="00351A3B" w:rsidRDefault="00296288" w:rsidP="00296288">
      <w:pPr>
        <w:tabs>
          <w:tab w:val="left" w:pos="851"/>
        </w:tabs>
        <w:spacing w:line="360" w:lineRule="auto"/>
        <w:jc w:val="both"/>
        <w:rPr>
          <w:rFonts w:eastAsia="Times New Roman"/>
        </w:rPr>
      </w:pPr>
      <w:r w:rsidRPr="00B867DF">
        <w:rPr>
          <w:rFonts w:eastAsia="Times New Roman"/>
        </w:rPr>
        <w:tab/>
        <w:t xml:space="preserve">Le participe passif </w:t>
      </w:r>
      <w:r w:rsidRPr="00B867DF">
        <w:rPr>
          <w:rFonts w:eastAsia="Times New Roman"/>
          <w:i/>
          <w:iCs/>
        </w:rPr>
        <w:t xml:space="preserve">mashīd </w:t>
      </w:r>
      <w:r w:rsidRPr="00B867DF">
        <w:rPr>
          <w:rFonts w:eastAsia="Times New Roman"/>
        </w:rPr>
        <w:t>[construit, érigé] (v. 45) utilisé comme adjectif décriva</w:t>
      </w:r>
      <w:r>
        <w:rPr>
          <w:rFonts w:eastAsia="Times New Roman"/>
        </w:rPr>
        <w:t xml:space="preserve">nt leurs châteaux veut dire : 1) </w:t>
      </w:r>
      <w:r w:rsidRPr="00B867DF">
        <w:rPr>
          <w:rFonts w:eastAsia="Times New Roman"/>
        </w:rPr>
        <w:t>enduit (ou couvert) de plâtre </w:t>
      </w:r>
      <w:r>
        <w:rPr>
          <w:rFonts w:eastAsia="Times New Roman"/>
        </w:rPr>
        <w:t xml:space="preserve">; 2) </w:t>
      </w:r>
      <w:r w:rsidRPr="00B867DF">
        <w:rPr>
          <w:rFonts w:eastAsia="Times New Roman"/>
        </w:rPr>
        <w:t>élevé, ou 3</w:t>
      </w:r>
      <w:r>
        <w:rPr>
          <w:rFonts w:eastAsia="Times New Roman"/>
        </w:rPr>
        <w:t xml:space="preserve">) </w:t>
      </w:r>
      <w:r w:rsidRPr="00B867DF">
        <w:rPr>
          <w:rFonts w:eastAsia="Times New Roman"/>
        </w:rPr>
        <w:t xml:space="preserve">forteresse imprenable. Le fait qu’un mot comme </w:t>
      </w:r>
      <w:r w:rsidRPr="00B867DF">
        <w:rPr>
          <w:rFonts w:eastAsia="Times New Roman"/>
          <w:i/>
          <w:iCs/>
        </w:rPr>
        <w:t>mashīd</w:t>
      </w:r>
      <w:r w:rsidRPr="00B867DF">
        <w:rPr>
          <w:rFonts w:eastAsia="Times New Roman"/>
        </w:rPr>
        <w:t xml:space="preserve"> veut dire : plâtré, élevé ou imprenable peut indiquer que ce n’est pas le sens littéral mais c’est le message global qui importe. En d’autres termes, peu importe si </w:t>
      </w:r>
      <w:r w:rsidRPr="00B867DF">
        <w:rPr>
          <w:rFonts w:eastAsia="Times New Roman"/>
          <w:i/>
          <w:iCs/>
        </w:rPr>
        <w:t>mashīd</w:t>
      </w:r>
      <w:r w:rsidRPr="00B867DF">
        <w:rPr>
          <w:rFonts w:eastAsia="Times New Roman"/>
        </w:rPr>
        <w:t xml:space="preserve"> signifie : construit, grand, superbe, inaccessible, etc. Ce qui importe c’est de transmettre le message que Dieu le Tout-Puissant (à plus forte raison le dirigeant politique) peut à tout moment punir les désobéissants comme il le fait d’habitude quelque puissants que ces récalcitrants soient et que par la suite l’insoumission est formellement condamnée. Ce qui importe c’est d’exiger l’obéissance et peu importe les mots que l’on utilise. Cela rejoint l’idée de la liberté quasi totale de choisir les mots à la seule condition que l’on ne commette pas de contresens, idée évoquée par des contemporains de Muḥammad (tels qu’Ubayy et le calife ʿUmar), comme nous l’avons vu dans l’introduction</w:t>
      </w:r>
      <w:r w:rsidRPr="00B867DF">
        <w:rPr>
          <w:rFonts w:eastAsia="Times New Roman"/>
          <w:vertAlign w:val="superscript"/>
          <w:lang w:bidi="ar-AE"/>
        </w:rPr>
        <w:footnoteReference w:id="272"/>
      </w:r>
      <w:r w:rsidRPr="00B867DF">
        <w:rPr>
          <w:rFonts w:eastAsia="Times New Roman"/>
        </w:rPr>
        <w:t xml:space="preserve">. Avant d’être compilé par le calife ʿUthmān, c.à.d. avant de passer à l’écrit, le Coran oral était polysémique par excellence. Ce qu’a probablement fait ʿUthmān, comme le souligne à juste titre </w:t>
      </w:r>
      <w:r w:rsidRPr="00B867DF">
        <w:rPr>
          <w:rFonts w:eastAsia="Times New Roman"/>
          <w:lang w:bidi="ar-EG"/>
        </w:rPr>
        <w:t>Soufian Al Karjousli</w:t>
      </w:r>
      <w:r w:rsidRPr="00B867DF">
        <w:rPr>
          <w:rFonts w:eastAsia="Times New Roman"/>
          <w:vertAlign w:val="superscript"/>
        </w:rPr>
        <w:footnoteReference w:id="273"/>
      </w:r>
      <w:r w:rsidRPr="00B867DF">
        <w:rPr>
          <w:rFonts w:eastAsia="Times New Roman"/>
        </w:rPr>
        <w:t xml:space="preserve">, c’est qu’il a limité la polysémie en imposant un texte fixe et en négligeant les multiples récitations orales et variantes locales. Par contre, les </w:t>
      </w:r>
      <w:r w:rsidRPr="00351A3B">
        <w:rPr>
          <w:rFonts w:eastAsia="Times New Roman"/>
        </w:rPr>
        <w:t xml:space="preserve">exégèses ont essayé et essayent de reprendre un peu de cette polysémie perdue de façon à servir l’autorité politique. Dans l’exemple de </w:t>
      </w:r>
      <w:r w:rsidRPr="00351A3B">
        <w:rPr>
          <w:rFonts w:eastAsia="Times New Roman"/>
          <w:i/>
          <w:iCs/>
        </w:rPr>
        <w:t>mashīd</w:t>
      </w:r>
      <w:r w:rsidRPr="00351A3B">
        <w:rPr>
          <w:rFonts w:eastAsia="Times New Roman"/>
        </w:rPr>
        <w:t>, bien que ʿUthmān ait fixé le mot, le sens reste relativement élastique.</w:t>
      </w:r>
    </w:p>
    <w:p w14:paraId="17233E8D" w14:textId="77777777" w:rsidR="00296288" w:rsidRPr="00351A3B" w:rsidRDefault="00296288" w:rsidP="00296288">
      <w:pPr>
        <w:tabs>
          <w:tab w:val="left" w:pos="851"/>
        </w:tabs>
        <w:spacing w:line="360" w:lineRule="auto"/>
        <w:jc w:val="both"/>
        <w:rPr>
          <w:rFonts w:eastAsia="Times New Roman"/>
        </w:rPr>
      </w:pPr>
    </w:p>
    <w:p w14:paraId="3E2372FA" w14:textId="5274332D" w:rsidR="00296288" w:rsidRPr="00B867DF" w:rsidRDefault="00296288" w:rsidP="00296288">
      <w:pPr>
        <w:tabs>
          <w:tab w:val="left" w:pos="851"/>
        </w:tabs>
        <w:spacing w:line="360" w:lineRule="auto"/>
        <w:ind w:firstLine="284"/>
        <w:jc w:val="both"/>
        <w:rPr>
          <w:rFonts w:eastAsia="Times New Roman"/>
        </w:rPr>
      </w:pPr>
      <w:r w:rsidRPr="00351A3B">
        <w:rPr>
          <w:rFonts w:eastAsia="Times New Roman"/>
        </w:rPr>
        <w:lastRenderedPageBreak/>
        <w:t>La liberté de la récitation du Coran était plus grande à</w:t>
      </w:r>
      <w:r w:rsidRPr="00B867DF">
        <w:rPr>
          <w:rFonts w:eastAsia="Times New Roman"/>
        </w:rPr>
        <w:t xml:space="preserve"> l’époque de Muḥammad. Lorsque le Coran a pris une forme fixe à travers le projet de ʿUthmān, cette liberté s’est transposée, quoique sous une forme réduite, dans l’exégèse. Regardons la li</w:t>
      </w:r>
      <w:r w:rsidR="00B26566">
        <w:rPr>
          <w:rFonts w:eastAsia="Times New Roman"/>
        </w:rPr>
        <w:t xml:space="preserve">berté dans l’exégèse du verbe </w:t>
      </w:r>
      <w:r w:rsidRPr="00B867DF">
        <w:rPr>
          <w:rFonts w:eastAsia="Times New Roman"/>
          <w:i/>
          <w:iCs/>
        </w:rPr>
        <w:t>yasīrū</w:t>
      </w:r>
      <w:r w:rsidRPr="00B867DF">
        <w:rPr>
          <w:rFonts w:eastAsia="Times New Roman"/>
        </w:rPr>
        <w:t xml:space="preserve"> [ils marchent] dans le verset 46. Il peut signifier : 1-marcher ; 2-voyager ; 3-contempler ; 4-tirer une leçon.</w:t>
      </w:r>
    </w:p>
    <w:p w14:paraId="70FEACCC" w14:textId="77777777" w:rsidR="00296288" w:rsidRPr="000F6511" w:rsidRDefault="00296288" w:rsidP="00296288">
      <w:pPr>
        <w:spacing w:line="360" w:lineRule="auto"/>
        <w:jc w:val="both"/>
        <w:rPr>
          <w:rFonts w:eastAsia="Times New Roman"/>
        </w:rPr>
      </w:pPr>
    </w:p>
    <w:p w14:paraId="7537EEFD" w14:textId="77777777"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rPr>
      </w:pPr>
      <w:r w:rsidRPr="000F6511">
        <w:rPr>
          <w:rFonts w:ascii="Times New Roman" w:hAnsi="Times New Roman" w:cs="Times New Roman"/>
          <w:b/>
          <w:bCs/>
          <w:sz w:val="24"/>
          <w:szCs w:val="24"/>
          <w:lang w:eastAsia="fr-FR"/>
        </w:rPr>
        <w:t xml:space="preserve">Significations de </w:t>
      </w:r>
      <w:r w:rsidRPr="000F6511">
        <w:rPr>
          <w:rFonts w:ascii="Times New Roman" w:hAnsi="Times New Roman" w:cs="Times New Roman"/>
          <w:b/>
          <w:bCs/>
          <w:i/>
          <w:iCs/>
          <w:sz w:val="24"/>
          <w:szCs w:val="24"/>
          <w:lang w:eastAsia="fr-FR"/>
        </w:rPr>
        <w:t>qulūb</w:t>
      </w:r>
      <w:r w:rsidRPr="000F6511">
        <w:rPr>
          <w:rFonts w:ascii="Times New Roman" w:hAnsi="Times New Roman" w:cs="Times New Roman"/>
          <w:b/>
          <w:bCs/>
          <w:sz w:val="24"/>
          <w:szCs w:val="24"/>
          <w:lang w:eastAsia="fr-FR"/>
        </w:rPr>
        <w:t> :</w:t>
      </w:r>
    </w:p>
    <w:p w14:paraId="7DD85ADD" w14:textId="581B8307" w:rsidR="00296288" w:rsidRPr="000F6511" w:rsidRDefault="00296288" w:rsidP="00296288">
      <w:pPr>
        <w:tabs>
          <w:tab w:val="left" w:pos="851"/>
        </w:tabs>
        <w:spacing w:line="360" w:lineRule="auto"/>
        <w:ind w:firstLine="284"/>
        <w:jc w:val="both"/>
        <w:rPr>
          <w:rFonts w:eastAsia="Times New Roman"/>
        </w:rPr>
      </w:pPr>
      <w:r w:rsidRPr="000F6511">
        <w:rPr>
          <w:rFonts w:eastAsia="Times New Roman"/>
        </w:rPr>
        <w:t xml:space="preserve">Les exégètes ont essayé de justifier pourquoi le Coran a utilisé le terme </w:t>
      </w:r>
      <w:r w:rsidRPr="000F6511">
        <w:rPr>
          <w:rFonts w:eastAsia="Times New Roman"/>
          <w:i/>
          <w:iCs/>
        </w:rPr>
        <w:t>qulūb</w:t>
      </w:r>
      <w:r w:rsidRPr="000F6511">
        <w:rPr>
          <w:rFonts w:eastAsia="Times New Roman"/>
        </w:rPr>
        <w:t xml:space="preserve"> (pl. de </w:t>
      </w:r>
      <w:r w:rsidRPr="000F6511">
        <w:rPr>
          <w:rFonts w:eastAsia="Times New Roman"/>
          <w:i/>
          <w:iCs/>
        </w:rPr>
        <w:t>qalb</w:t>
      </w:r>
      <w:r w:rsidRPr="000F6511">
        <w:rPr>
          <w:rFonts w:eastAsia="Times New Roman"/>
        </w:rPr>
        <w:t xml:space="preserve"> [cœur]) (v. 46) pour désigner l’organe de réflexion, de pensée et de raisonnement, au lieu du cerveau. Certains disent que le mot </w:t>
      </w:r>
      <w:r w:rsidRPr="000F6511">
        <w:rPr>
          <w:rFonts w:eastAsia="Times New Roman"/>
          <w:i/>
          <w:iCs/>
        </w:rPr>
        <w:t>qalb</w:t>
      </w:r>
      <w:r w:rsidRPr="000F6511">
        <w:rPr>
          <w:rFonts w:eastAsia="Times New Roman"/>
        </w:rPr>
        <w:t xml:space="preserve"> [</w:t>
      </w:r>
      <w:r w:rsidRPr="000F6511">
        <w:rPr>
          <w:rFonts w:eastAsia="Times New Roman"/>
          <w:i/>
          <w:iCs/>
        </w:rPr>
        <w:t>litt.</w:t>
      </w:r>
      <w:r w:rsidRPr="000F6511">
        <w:rPr>
          <w:rFonts w:eastAsia="Times New Roman"/>
        </w:rPr>
        <w:t xml:space="preserve"> : centre, noyau, intérieur, fond] peut désigner l’organe central du raisonnement, à savoir : le cerveau. D’autres soulignent qu’il s’agit du vrai cœur qui est d’ailleurs lié au cerveau l’organe du raisonnement. D’autres affirment que l’organe de la compréhension et de la conscience est vraiment le cœur et non le cerveau. Il est clair ici que le Coran adopte le point de vue de son époque concernant le rôle du cœur. Le Coran a été influencé par la pensée antique gréco-romaine à propos de l’embryologie et du cœur, cette pensée qui considérait le cœur comme le siège des émotions, de la volonté, de la pensée, de l’intelligence et même de </w:t>
      </w:r>
      <w:r w:rsidR="00B26566">
        <w:rPr>
          <w:rFonts w:eastAsia="Times New Roman"/>
        </w:rPr>
        <w:t xml:space="preserve">la mémoire (d’où l’expression </w:t>
      </w:r>
      <w:r w:rsidRPr="000F6511">
        <w:rPr>
          <w:rFonts w:eastAsia="Times New Roman"/>
          <w:i/>
          <w:iCs/>
        </w:rPr>
        <w:t>ḥafiẓa ʿan ẓahr qalb</w:t>
      </w:r>
      <w:r w:rsidRPr="000F6511">
        <w:rPr>
          <w:rFonts w:eastAsia="Times New Roman"/>
        </w:rPr>
        <w:t xml:space="preserve"> [Apprendre par cœur]). Aristote (384-322 av. J.-C.) et plus tard le Coran lui ont attribué ce rôle</w:t>
      </w:r>
      <w:r w:rsidRPr="000F6511">
        <w:rPr>
          <w:rFonts w:eastAsia="Times New Roman"/>
          <w:vertAlign w:val="superscript"/>
        </w:rPr>
        <w:footnoteReference w:id="274"/>
      </w:r>
      <w:r w:rsidRPr="000F6511">
        <w:rPr>
          <w:rFonts w:eastAsia="Times New Roman"/>
        </w:rPr>
        <w:t>.</w:t>
      </w:r>
    </w:p>
    <w:p w14:paraId="7022D355" w14:textId="77777777" w:rsidR="00296288" w:rsidRPr="000F6511" w:rsidRDefault="00296288" w:rsidP="00296288">
      <w:pPr>
        <w:tabs>
          <w:tab w:val="left" w:pos="851"/>
        </w:tabs>
        <w:spacing w:line="360" w:lineRule="auto"/>
        <w:jc w:val="both"/>
        <w:rPr>
          <w:rFonts w:eastAsia="Times New Roman"/>
        </w:rPr>
      </w:pPr>
    </w:p>
    <w:p w14:paraId="0312583F" w14:textId="77777777" w:rsidR="00296288" w:rsidRPr="000F6511" w:rsidRDefault="00296288" w:rsidP="007640DC">
      <w:pPr>
        <w:pStyle w:val="Paragraphedeliste"/>
        <w:numPr>
          <w:ilvl w:val="0"/>
          <w:numId w:val="62"/>
        </w:numPr>
        <w:tabs>
          <w:tab w:val="left" w:pos="851"/>
        </w:tabs>
        <w:bidi w:val="0"/>
        <w:spacing w:after="0" w:line="360" w:lineRule="auto"/>
        <w:contextualSpacing/>
        <w:jc w:val="both"/>
        <w:rPr>
          <w:rFonts w:asciiTheme="majorBidi" w:hAnsiTheme="majorBidi" w:cstheme="majorBidi"/>
          <w:b/>
          <w:bCs/>
          <w:sz w:val="24"/>
          <w:szCs w:val="24"/>
          <w:lang w:eastAsia="fr-FR"/>
        </w:rPr>
      </w:pPr>
      <w:r w:rsidRPr="000F6511">
        <w:rPr>
          <w:rFonts w:asciiTheme="majorBidi" w:hAnsiTheme="majorBidi" w:cstheme="majorBidi"/>
          <w:b/>
          <w:bCs/>
          <w:sz w:val="24"/>
          <w:szCs w:val="24"/>
          <w:lang w:eastAsia="fr-FR"/>
        </w:rPr>
        <w:t xml:space="preserve">Qui est le </w:t>
      </w:r>
      <w:r w:rsidRPr="000F6511">
        <w:rPr>
          <w:rFonts w:asciiTheme="majorBidi" w:hAnsiTheme="majorBidi" w:cstheme="majorBidi"/>
          <w:b/>
          <w:bCs/>
          <w:i/>
          <w:iCs/>
          <w:sz w:val="24"/>
          <w:szCs w:val="24"/>
          <w:lang w:eastAsia="fr-FR"/>
        </w:rPr>
        <w:t>nadhīr mubīn</w:t>
      </w:r>
      <w:r w:rsidRPr="000F6511">
        <w:rPr>
          <w:rFonts w:asciiTheme="majorBidi" w:hAnsiTheme="majorBidi" w:cstheme="majorBidi"/>
          <w:b/>
          <w:bCs/>
          <w:sz w:val="24"/>
          <w:szCs w:val="24"/>
          <w:lang w:eastAsia="fr-FR"/>
        </w:rPr>
        <w:t> ?</w:t>
      </w:r>
    </w:p>
    <w:p w14:paraId="71D01FCE" w14:textId="77777777" w:rsidR="00296288" w:rsidRPr="000F6511" w:rsidRDefault="00296288" w:rsidP="00296288">
      <w:pPr>
        <w:spacing w:line="360" w:lineRule="auto"/>
        <w:ind w:firstLine="360"/>
        <w:jc w:val="both"/>
        <w:rPr>
          <w:rFonts w:asciiTheme="majorBidi" w:eastAsia="Times New Roman" w:hAnsiTheme="majorBidi" w:cstheme="majorBidi"/>
        </w:rPr>
      </w:pPr>
      <w:r w:rsidRPr="000F6511">
        <w:rPr>
          <w:rFonts w:asciiTheme="majorBidi" w:eastAsia="Times New Roman" w:hAnsiTheme="majorBidi" w:cstheme="majorBidi"/>
        </w:rPr>
        <w:t xml:space="preserve">Les deux adjectifs </w:t>
      </w:r>
      <w:r w:rsidRPr="000F6511">
        <w:rPr>
          <w:rFonts w:asciiTheme="majorBidi" w:eastAsia="Times New Roman" w:hAnsiTheme="majorBidi" w:cstheme="majorBidi"/>
          <w:i/>
          <w:iCs/>
        </w:rPr>
        <w:t>nadhīr mubīn</w:t>
      </w:r>
      <w:r w:rsidRPr="000F6511">
        <w:rPr>
          <w:rFonts w:asciiTheme="majorBidi" w:eastAsia="Times New Roman" w:hAnsiTheme="majorBidi" w:cstheme="majorBidi"/>
        </w:rPr>
        <w:t xml:space="preserve"> [</w:t>
      </w:r>
      <w:r w:rsidRPr="000F6511">
        <w:rPr>
          <w:rFonts w:asciiTheme="majorBidi" w:eastAsia="Calibri" w:hAnsiTheme="majorBidi" w:cstheme="majorBidi"/>
          <w:lang w:bidi="ar-AE"/>
        </w:rPr>
        <w:t>un donneur d’alarme explicite</w:t>
      </w:r>
      <w:r w:rsidRPr="000F6511">
        <w:rPr>
          <w:rFonts w:asciiTheme="majorBidi" w:eastAsia="Times New Roman" w:hAnsiTheme="majorBidi" w:cstheme="majorBidi"/>
        </w:rPr>
        <w:t>] (v. 49) désignent le rôle du prophète Muḥammad :</w:t>
      </w:r>
    </w:p>
    <w:p w14:paraId="58612782" w14:textId="77777777" w:rsidR="00296288" w:rsidRPr="000F6511" w:rsidRDefault="00296288" w:rsidP="007640DC">
      <w:pPr>
        <w:numPr>
          <w:ilvl w:val="0"/>
          <w:numId w:val="51"/>
        </w:numPr>
        <w:spacing w:line="360" w:lineRule="auto"/>
        <w:jc w:val="both"/>
        <w:rPr>
          <w:rFonts w:asciiTheme="majorBidi" w:eastAsia="Times New Roman" w:hAnsiTheme="majorBidi" w:cstheme="majorBidi"/>
        </w:rPr>
      </w:pPr>
      <w:r w:rsidRPr="000F6511">
        <w:rPr>
          <w:rFonts w:asciiTheme="majorBidi" w:eastAsia="Times New Roman" w:hAnsiTheme="majorBidi" w:cstheme="majorBidi"/>
        </w:rPr>
        <w:t>un simple avertisseur : sa mission est limité à l’avertissement et non pas à la punition ;</w:t>
      </w:r>
    </w:p>
    <w:p w14:paraId="223598F2" w14:textId="77777777" w:rsidR="00296288" w:rsidRPr="00B867DF" w:rsidRDefault="00296288" w:rsidP="007640DC">
      <w:pPr>
        <w:numPr>
          <w:ilvl w:val="0"/>
          <w:numId w:val="51"/>
        </w:numPr>
        <w:spacing w:line="360" w:lineRule="auto"/>
        <w:jc w:val="both"/>
        <w:rPr>
          <w:rFonts w:asciiTheme="majorBidi" w:eastAsia="Times New Roman" w:hAnsiTheme="majorBidi" w:cstheme="majorBidi"/>
        </w:rPr>
      </w:pPr>
      <w:r w:rsidRPr="000F6511">
        <w:rPr>
          <w:rFonts w:asciiTheme="majorBidi" w:eastAsia="Times New Roman" w:hAnsiTheme="majorBidi" w:cstheme="majorBidi"/>
        </w:rPr>
        <w:t>porteur d’un message divin : sa mission</w:t>
      </w:r>
      <w:r w:rsidRPr="00B867DF">
        <w:rPr>
          <w:rFonts w:asciiTheme="majorBidi" w:eastAsia="Times New Roman" w:hAnsiTheme="majorBidi" w:cstheme="majorBidi"/>
        </w:rPr>
        <w:t xml:space="preserve"> est d’éclaircir et d’expliquer ce que Dieu a révélé ;</w:t>
      </w:r>
    </w:p>
    <w:p w14:paraId="7D3932E8" w14:textId="77777777" w:rsidR="00296288" w:rsidRPr="00B867DF" w:rsidRDefault="00296288" w:rsidP="007640DC">
      <w:pPr>
        <w:numPr>
          <w:ilvl w:val="0"/>
          <w:numId w:val="51"/>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intimidateur : sa mission est d’intimider et de montrer ce dont on a besoin ;</w:t>
      </w:r>
    </w:p>
    <w:p w14:paraId="1662FAED" w14:textId="77777777" w:rsidR="00296288" w:rsidRPr="00B867DF" w:rsidRDefault="00296288" w:rsidP="007640DC">
      <w:pPr>
        <w:numPr>
          <w:ilvl w:val="0"/>
          <w:numId w:val="51"/>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guide : sa mission est de guider en montrant le chemin du Vrai et celui du Faux ;</w:t>
      </w:r>
    </w:p>
    <w:p w14:paraId="6E410753" w14:textId="77777777" w:rsidR="00296288" w:rsidRPr="00B867DF" w:rsidRDefault="00296288" w:rsidP="007640DC">
      <w:pPr>
        <w:numPr>
          <w:ilvl w:val="0"/>
          <w:numId w:val="51"/>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prévoyant : sa mission est d’annoncer les malheurs futurs que nous allons subir si nous désobéissons.</w:t>
      </w:r>
    </w:p>
    <w:p w14:paraId="4FC2E1F4" w14:textId="77777777" w:rsidR="00296288" w:rsidRPr="00B867DF" w:rsidRDefault="00296288" w:rsidP="00296288">
      <w:pPr>
        <w:spacing w:line="360" w:lineRule="auto"/>
        <w:jc w:val="both"/>
        <w:rPr>
          <w:rFonts w:asciiTheme="majorBidi" w:eastAsia="Times New Roman" w:hAnsiTheme="majorBidi" w:cstheme="majorBidi"/>
        </w:rPr>
      </w:pPr>
    </w:p>
    <w:p w14:paraId="02632F93" w14:textId="77777777"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lastRenderedPageBreak/>
        <w:t>Ceux qui croient et effectuent les œuvres salutaires (</w:t>
      </w:r>
      <w:r w:rsidRPr="00B867DF">
        <w:rPr>
          <w:rFonts w:asciiTheme="majorBidi" w:eastAsia="Times New Roman" w:hAnsiTheme="majorBidi" w:cstheme="majorBidi"/>
          <w:i/>
          <w:iCs/>
        </w:rPr>
        <w:t>aṣ-ṣāliḥāt</w:t>
      </w:r>
      <w:r w:rsidRPr="00B867DF">
        <w:rPr>
          <w:rFonts w:asciiTheme="majorBidi" w:eastAsia="Times New Roman" w:hAnsiTheme="majorBidi" w:cstheme="majorBidi"/>
        </w:rPr>
        <w:t xml:space="preserve">) (v. 50) peuvent s’attendre à deux choses : </w:t>
      </w:r>
      <w:r w:rsidRPr="00B867DF">
        <w:rPr>
          <w:rFonts w:asciiTheme="majorBidi" w:eastAsia="Times New Roman" w:hAnsiTheme="majorBidi" w:cstheme="majorBidi"/>
          <w:i/>
          <w:iCs/>
        </w:rPr>
        <w:t>maghfira</w:t>
      </w:r>
      <w:r w:rsidRPr="00B867DF">
        <w:rPr>
          <w:rFonts w:asciiTheme="majorBidi" w:eastAsia="Times New Roman" w:hAnsiTheme="majorBidi" w:cstheme="majorBidi"/>
        </w:rPr>
        <w:t xml:space="preserve"> et </w:t>
      </w:r>
      <w:r w:rsidRPr="00B867DF">
        <w:rPr>
          <w:rFonts w:asciiTheme="majorBidi" w:eastAsia="Times New Roman" w:hAnsiTheme="majorBidi" w:cstheme="majorBidi"/>
          <w:i/>
          <w:iCs/>
        </w:rPr>
        <w:t>rizq karīm</w:t>
      </w:r>
      <w:r w:rsidRPr="00B867DF">
        <w:rPr>
          <w:rFonts w:asciiTheme="majorBidi" w:eastAsia="Times New Roman" w:hAnsiTheme="majorBidi" w:cstheme="majorBidi"/>
        </w:rPr>
        <w:t>. Le premier mot peut avoir deux significations différentes : le pardon (couvrir les péchés) et la guérison. Le second mot désigne plusieurs concepts : 1-un moyen de vivre (</w:t>
      </w:r>
      <w:r w:rsidRPr="00B867DF">
        <w:rPr>
          <w:rFonts w:asciiTheme="majorBidi" w:eastAsia="Times New Roman" w:hAnsiTheme="majorBidi" w:cstheme="majorBidi"/>
          <w:i/>
          <w:iCs/>
        </w:rPr>
        <w:t>rizq</w:t>
      </w:r>
      <w:r w:rsidRPr="00B867DF">
        <w:rPr>
          <w:rFonts w:asciiTheme="majorBidi" w:eastAsia="Times New Roman" w:hAnsiTheme="majorBidi" w:cstheme="majorBidi"/>
        </w:rPr>
        <w:t xml:space="preserve">) honnête dans ce monde ; 2-le Paradis (dans l’autre monde) ; 3-une bonne vie sans troubles ; 4-ou la purification de l’âme à travers sa relation avec Dieu. L’adjectif </w:t>
      </w:r>
      <w:r w:rsidRPr="00B867DF">
        <w:rPr>
          <w:rFonts w:asciiTheme="majorBidi" w:eastAsia="Times New Roman" w:hAnsiTheme="majorBidi" w:cstheme="majorBidi"/>
          <w:i/>
          <w:iCs/>
        </w:rPr>
        <w:t>karīm</w:t>
      </w:r>
      <w:r w:rsidRPr="00B867DF">
        <w:rPr>
          <w:rFonts w:asciiTheme="majorBidi" w:eastAsia="Times New Roman" w:hAnsiTheme="majorBidi" w:cstheme="majorBidi"/>
        </w:rPr>
        <w:t xml:space="preserve"> [généreux] peut vouloir dire : 1-bon ; 2-honnête ; 3-perpétuel (Al-Baghawī) ; 4-pure ; 5-abondant (Ibn ʿĀshūr).</w:t>
      </w:r>
    </w:p>
    <w:p w14:paraId="3224DD64" w14:textId="77777777" w:rsidR="00296288" w:rsidRPr="000F6511" w:rsidRDefault="00296288" w:rsidP="00296288">
      <w:pPr>
        <w:spacing w:line="360" w:lineRule="auto"/>
        <w:jc w:val="both"/>
        <w:rPr>
          <w:rFonts w:asciiTheme="majorBidi" w:eastAsia="Calibri" w:hAnsiTheme="majorBidi" w:cstheme="majorBidi"/>
          <w:lang w:bidi="ar-AE"/>
        </w:rPr>
      </w:pPr>
    </w:p>
    <w:p w14:paraId="4B4E07A4"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eastAsia="Calibri" w:hAnsiTheme="majorBidi" w:cstheme="majorBidi"/>
          <w:sz w:val="24"/>
          <w:szCs w:val="24"/>
          <w:lang w:bidi="ar-AE"/>
        </w:rPr>
      </w:pPr>
      <w:r w:rsidRPr="000F6511">
        <w:rPr>
          <w:rFonts w:asciiTheme="majorBidi" w:hAnsiTheme="majorBidi" w:cstheme="majorBidi"/>
          <w:b/>
          <w:bCs/>
          <w:sz w:val="24"/>
          <w:szCs w:val="24"/>
          <w:lang w:eastAsia="fr-FR"/>
        </w:rPr>
        <w:t xml:space="preserve">Le pluriel </w:t>
      </w:r>
      <w:r w:rsidRPr="000F6511">
        <w:rPr>
          <w:rFonts w:asciiTheme="majorBidi" w:hAnsiTheme="majorBidi" w:cstheme="majorBidi"/>
          <w:b/>
          <w:bCs/>
          <w:i/>
          <w:iCs/>
          <w:sz w:val="24"/>
          <w:szCs w:val="24"/>
          <w:lang w:eastAsia="fr-FR"/>
        </w:rPr>
        <w:t>muʿājizīna</w:t>
      </w:r>
      <w:r w:rsidRPr="000F6511">
        <w:rPr>
          <w:rFonts w:asciiTheme="majorBidi" w:hAnsiTheme="majorBidi" w:cstheme="majorBidi"/>
          <w:b/>
          <w:bCs/>
          <w:sz w:val="24"/>
          <w:szCs w:val="24"/>
          <w:lang w:eastAsia="fr-FR"/>
        </w:rPr>
        <w:t xml:space="preserve"> (v. 51) :</w:t>
      </w:r>
    </w:p>
    <w:p w14:paraId="0B8805E8" w14:textId="03DCCA67" w:rsidR="00296288" w:rsidRPr="00B867DF" w:rsidRDefault="00296288" w:rsidP="00296288">
      <w:pPr>
        <w:spacing w:line="360" w:lineRule="auto"/>
        <w:ind w:firstLine="360"/>
        <w:jc w:val="both"/>
        <w:rPr>
          <w:rFonts w:asciiTheme="majorBidi" w:eastAsia="Times New Roman" w:hAnsiTheme="majorBidi" w:cstheme="majorBidi"/>
          <w:lang w:bidi="ar-KW"/>
        </w:rPr>
      </w:pPr>
      <w:r w:rsidRPr="00B867DF">
        <w:rPr>
          <w:rFonts w:asciiTheme="majorBidi" w:eastAsia="Times New Roman" w:hAnsiTheme="majorBidi" w:cstheme="majorBidi"/>
        </w:rPr>
        <w:t xml:space="preserve">Le mot </w:t>
      </w:r>
      <w:r w:rsidRPr="00B867DF">
        <w:rPr>
          <w:rFonts w:asciiTheme="majorBidi" w:eastAsia="Times New Roman" w:hAnsiTheme="majorBidi" w:cstheme="majorBidi"/>
          <w:i/>
          <w:iCs/>
        </w:rPr>
        <w:t>muʿājizīna</w:t>
      </w:r>
      <w:r w:rsidRPr="00B867DF">
        <w:rPr>
          <w:rFonts w:asciiTheme="majorBidi" w:eastAsia="Times New Roman" w:hAnsiTheme="majorBidi" w:cstheme="majorBidi"/>
        </w:rPr>
        <w:t xml:space="preserve"> (autre lecture : </w:t>
      </w:r>
      <w:r w:rsidRPr="00B867DF">
        <w:rPr>
          <w:rFonts w:asciiTheme="majorBidi" w:eastAsia="Times New Roman" w:hAnsiTheme="majorBidi" w:cstheme="majorBidi"/>
          <w:i/>
          <w:iCs/>
        </w:rPr>
        <w:t>muʿajjizīna</w:t>
      </w:r>
      <w:r w:rsidRPr="00B867DF">
        <w:rPr>
          <w:rFonts w:asciiTheme="majorBidi" w:eastAsia="Times New Roman" w:hAnsiTheme="majorBidi" w:cstheme="majorBidi"/>
        </w:rPr>
        <w:t xml:space="preserve">) (un participe actif pluriel du verbe : </w:t>
      </w:r>
      <w:r w:rsidRPr="00B867DF">
        <w:rPr>
          <w:rFonts w:asciiTheme="majorBidi" w:eastAsia="Times New Roman" w:hAnsiTheme="majorBidi" w:cstheme="majorBidi"/>
          <w:i/>
          <w:iCs/>
        </w:rPr>
        <w:t>yuʿājiz</w:t>
      </w:r>
      <w:r w:rsidRPr="00B867DF">
        <w:rPr>
          <w:rFonts w:asciiTheme="majorBidi" w:eastAsia="Times New Roman" w:hAnsiTheme="majorBidi" w:cstheme="majorBidi"/>
        </w:rPr>
        <w:t xml:space="preserve"> ou </w:t>
      </w:r>
      <w:r w:rsidRPr="00B867DF">
        <w:rPr>
          <w:rFonts w:asciiTheme="majorBidi" w:eastAsia="Times New Roman" w:hAnsiTheme="majorBidi" w:cstheme="majorBidi"/>
          <w:i/>
          <w:iCs/>
        </w:rPr>
        <w:t>yuʿajjiz</w:t>
      </w:r>
      <w:r w:rsidRPr="00B867DF">
        <w:rPr>
          <w:rFonts w:asciiTheme="majorBidi" w:eastAsia="Times New Roman" w:hAnsiTheme="majorBidi" w:cstheme="majorBidi"/>
        </w:rPr>
        <w:t xml:space="preserve">, empêcher qqn d’accomplir qqc) utilisé comme </w:t>
      </w:r>
      <w:r w:rsidRPr="00B867DF">
        <w:rPr>
          <w:rFonts w:asciiTheme="majorBidi" w:eastAsia="Times New Roman" w:hAnsiTheme="majorBidi" w:cstheme="majorBidi"/>
          <w:i/>
          <w:iCs/>
        </w:rPr>
        <w:t>ḥāl</w:t>
      </w:r>
      <w:r w:rsidRPr="00B867DF">
        <w:rPr>
          <w:rFonts w:asciiTheme="majorBidi" w:eastAsia="Times New Roman" w:hAnsiTheme="majorBidi" w:cstheme="majorBidi"/>
        </w:rPr>
        <w:t xml:space="preserve"> (complément circonstanciel d’état) fait l’objet de controverses exégétiques. « </w:t>
      </w:r>
      <w:r w:rsidRPr="00B867DF">
        <w:rPr>
          <w:rFonts w:asciiTheme="majorBidi" w:eastAsia="Times New Roman" w:hAnsiTheme="majorBidi" w:cstheme="majorBidi"/>
          <w:i/>
          <w:iCs/>
        </w:rPr>
        <w:t xml:space="preserve">Wa-khtalafa ahl at-taʾwīl fī taʾwīl qawli-hi </w:t>
      </w:r>
      <w:r w:rsidRPr="00B867DF">
        <w:rPr>
          <w:rFonts w:asciiTheme="majorBidi" w:eastAsia="Times New Roman" w:hAnsiTheme="majorBidi" w:cstheme="majorBidi"/>
        </w:rPr>
        <w:t xml:space="preserve">“muʿājizīna” </w:t>
      </w:r>
      <w:r w:rsidRPr="00B867DF">
        <w:rPr>
          <w:rFonts w:asciiTheme="majorBidi" w:hAnsiTheme="majorBidi" w:cstheme="majorBidi"/>
        </w:rPr>
        <w:t>[</w:t>
      </w:r>
      <w:r w:rsidRPr="00B867DF">
        <w:rPr>
          <w:rFonts w:asciiTheme="majorBidi" w:eastAsia="Times New Roman" w:hAnsiTheme="majorBidi" w:cstheme="majorBidi"/>
        </w:rPr>
        <w:t>Les exégètes ont controversé à propos du mot “</w:t>
      </w:r>
      <w:r w:rsidRPr="00B867DF">
        <w:rPr>
          <w:rFonts w:asciiTheme="majorBidi" w:eastAsia="Times New Roman" w:hAnsiTheme="majorBidi" w:cstheme="majorBidi"/>
          <w:i/>
          <w:iCs/>
        </w:rPr>
        <w:t>muʿājizīna</w:t>
      </w:r>
      <w:r w:rsidRPr="00B867DF">
        <w:rPr>
          <w:rFonts w:asciiTheme="majorBidi" w:eastAsia="Times New Roman" w:hAnsiTheme="majorBidi" w:cstheme="majorBidi"/>
        </w:rPr>
        <w:t>”</w:t>
      </w:r>
      <w:r w:rsidRPr="00B867DF">
        <w:rPr>
          <w:rFonts w:asciiTheme="majorBidi" w:hAnsiTheme="majorBidi" w:cstheme="majorBidi"/>
        </w:rPr>
        <w:t xml:space="preserve">] », souligne </w:t>
      </w:r>
      <w:r w:rsidRPr="00B867DF">
        <w:rPr>
          <w:rFonts w:asciiTheme="majorBidi" w:eastAsia="Times New Roman" w:hAnsiTheme="majorBidi" w:cstheme="majorBidi"/>
        </w:rPr>
        <w:t xml:space="preserve">Aṭ-Ṭabarī. </w:t>
      </w:r>
      <w:r w:rsidRPr="00B867DF">
        <w:rPr>
          <w:rFonts w:asciiTheme="majorBidi" w:eastAsia="Times New Roman" w:hAnsiTheme="majorBidi" w:cstheme="majorBidi"/>
          <w:lang w:bidi="ar-KW"/>
        </w:rPr>
        <w:t>Il a pl</w:t>
      </w:r>
      <w:r w:rsidR="00D80817">
        <w:rPr>
          <w:rFonts w:asciiTheme="majorBidi" w:eastAsia="Times New Roman" w:hAnsiTheme="majorBidi" w:cstheme="majorBidi"/>
          <w:lang w:bidi="ar-KW"/>
        </w:rPr>
        <w:t xml:space="preserve">usieurs significations dont : 1) désobéissants ; 2) </w:t>
      </w:r>
      <w:r w:rsidRPr="00B867DF">
        <w:rPr>
          <w:rFonts w:asciiTheme="majorBidi" w:eastAsia="Times New Roman" w:hAnsiTheme="majorBidi" w:cstheme="majorBidi"/>
          <w:lang w:bidi="ar-KW"/>
        </w:rPr>
        <w:t>ennemi</w:t>
      </w:r>
      <w:r w:rsidR="00D80817">
        <w:rPr>
          <w:rFonts w:asciiTheme="majorBidi" w:eastAsia="Times New Roman" w:hAnsiTheme="majorBidi" w:cstheme="majorBidi"/>
          <w:lang w:bidi="ar-KW"/>
        </w:rPr>
        <w:t xml:space="preserve">s ou opposants ; 3) ceux qui ralentissent qqc ; 4) </w:t>
      </w:r>
      <w:r w:rsidRPr="00B867DF">
        <w:rPr>
          <w:rFonts w:asciiTheme="majorBidi" w:eastAsia="Times New Roman" w:hAnsiTheme="majorBidi" w:cstheme="majorBidi"/>
          <w:lang w:bidi="ar-KW"/>
        </w:rPr>
        <w:t>ceux qui croient qu’ils réd</w:t>
      </w:r>
      <w:r w:rsidR="00D80817">
        <w:rPr>
          <w:rFonts w:asciiTheme="majorBidi" w:eastAsia="Times New Roman" w:hAnsiTheme="majorBidi" w:cstheme="majorBidi"/>
          <w:lang w:bidi="ar-KW"/>
        </w:rPr>
        <w:t xml:space="preserve">uisent Dieu à l’impuissance ; 5) </w:t>
      </w:r>
      <w:r w:rsidRPr="00B867DF">
        <w:rPr>
          <w:rFonts w:asciiTheme="majorBidi" w:eastAsia="Times New Roman" w:hAnsiTheme="majorBidi" w:cstheme="majorBidi"/>
          <w:lang w:bidi="ar-KW"/>
        </w:rPr>
        <w:t>ceux qui découragent les gens à de</w:t>
      </w:r>
      <w:r w:rsidR="00D80817">
        <w:rPr>
          <w:rFonts w:asciiTheme="majorBidi" w:eastAsia="Times New Roman" w:hAnsiTheme="majorBidi" w:cstheme="majorBidi"/>
          <w:lang w:bidi="ar-KW"/>
        </w:rPr>
        <w:t xml:space="preserve">venir croyants ou musulmans ; 6) </w:t>
      </w:r>
      <w:r w:rsidRPr="00B867DF">
        <w:rPr>
          <w:rFonts w:asciiTheme="majorBidi" w:eastAsia="Times New Roman" w:hAnsiTheme="majorBidi" w:cstheme="majorBidi"/>
          <w:lang w:bidi="ar-KW"/>
        </w:rPr>
        <w:t xml:space="preserve">ceux qui combattent Dieu, </w:t>
      </w:r>
      <w:r w:rsidR="00D80817">
        <w:rPr>
          <w:rFonts w:asciiTheme="majorBidi" w:eastAsia="Times New Roman" w:hAnsiTheme="majorBidi" w:cstheme="majorBidi"/>
          <w:lang w:bidi="ar-KW"/>
        </w:rPr>
        <w:t xml:space="preserve">le Prophète et les croyants ; 7) </w:t>
      </w:r>
      <w:r w:rsidRPr="00B867DF">
        <w:rPr>
          <w:rFonts w:asciiTheme="majorBidi" w:eastAsia="Times New Roman" w:hAnsiTheme="majorBidi" w:cstheme="majorBidi"/>
          <w:lang w:bidi="ar-KW"/>
        </w:rPr>
        <w:t xml:space="preserve">concurrents ou rivaux ; </w:t>
      </w:r>
      <w:r w:rsidR="00D80817">
        <w:rPr>
          <w:rFonts w:asciiTheme="majorBidi" w:eastAsia="Times New Roman" w:hAnsiTheme="majorBidi" w:cstheme="majorBidi"/>
          <w:lang w:bidi="ar-KW"/>
        </w:rPr>
        <w:t xml:space="preserve">8) récalcitrants ou obstinés ; 9) non-croyants ; 10) </w:t>
      </w:r>
      <w:r w:rsidRPr="00B867DF">
        <w:rPr>
          <w:rFonts w:asciiTheme="majorBidi" w:eastAsia="Times New Roman" w:hAnsiTheme="majorBidi" w:cstheme="majorBidi"/>
          <w:lang w:bidi="ar-KW"/>
        </w:rPr>
        <w:t>ceux qui veulent mettre fin à la Vérité et éteindre la lumière de Dieu. Toutes ces significations s’appliquent aux adversaires, ceux qui refusent l’islam. Elles s’inscrivent dans un esprit de conflit entre deux camps.</w:t>
      </w:r>
    </w:p>
    <w:p w14:paraId="7C575B43" w14:textId="77777777" w:rsidR="00296288" w:rsidRPr="000F6511" w:rsidRDefault="00296288" w:rsidP="00296288">
      <w:pPr>
        <w:spacing w:line="360" w:lineRule="auto"/>
        <w:jc w:val="both"/>
        <w:rPr>
          <w:rFonts w:asciiTheme="majorBidi" w:eastAsia="Times New Roman" w:hAnsiTheme="majorBidi" w:cstheme="majorBidi"/>
          <w:lang w:bidi="ar-KW"/>
        </w:rPr>
      </w:pPr>
    </w:p>
    <w:p w14:paraId="3E550C35"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lang w:eastAsia="fr-FR" w:bidi="ar-KW"/>
        </w:rPr>
      </w:pPr>
      <w:r w:rsidRPr="000F6511">
        <w:rPr>
          <w:rFonts w:asciiTheme="majorBidi" w:hAnsiTheme="majorBidi" w:cstheme="majorBidi"/>
          <w:b/>
          <w:bCs/>
          <w:sz w:val="24"/>
          <w:szCs w:val="24"/>
          <w:lang w:eastAsia="fr-FR" w:bidi="ar-KW"/>
        </w:rPr>
        <w:t xml:space="preserve">Le </w:t>
      </w:r>
      <w:r w:rsidRPr="000F6511">
        <w:rPr>
          <w:rFonts w:asciiTheme="majorBidi" w:hAnsiTheme="majorBidi" w:cstheme="majorBidi"/>
          <w:b/>
          <w:bCs/>
          <w:i/>
          <w:iCs/>
          <w:sz w:val="24"/>
          <w:szCs w:val="24"/>
          <w:lang w:eastAsia="fr-FR" w:bidi="ar-KW"/>
        </w:rPr>
        <w:t>jaḥīm</w:t>
      </w:r>
      <w:r w:rsidRPr="000F6511">
        <w:rPr>
          <w:rFonts w:asciiTheme="majorBidi" w:hAnsiTheme="majorBidi" w:cstheme="majorBidi"/>
          <w:b/>
          <w:bCs/>
          <w:sz w:val="24"/>
          <w:szCs w:val="24"/>
          <w:lang w:eastAsia="fr-FR" w:bidi="ar-KW"/>
        </w:rPr>
        <w:t> :</w:t>
      </w:r>
    </w:p>
    <w:p w14:paraId="5FC21243" w14:textId="3E0105B9" w:rsidR="00296288" w:rsidRPr="00B867DF" w:rsidRDefault="00296288" w:rsidP="00296288">
      <w:pPr>
        <w:spacing w:line="360" w:lineRule="auto"/>
        <w:ind w:firstLine="360"/>
        <w:jc w:val="both"/>
        <w:rPr>
          <w:rFonts w:asciiTheme="majorBidi" w:eastAsia="Times New Roman" w:hAnsiTheme="majorBidi" w:cstheme="majorBidi"/>
          <w:lang w:bidi="ar-KW"/>
        </w:rPr>
      </w:pPr>
      <w:r w:rsidRPr="000F6511">
        <w:rPr>
          <w:rFonts w:asciiTheme="majorBidi" w:eastAsia="Times New Roman" w:hAnsiTheme="majorBidi" w:cstheme="majorBidi"/>
          <w:lang w:bidi="ar-KW"/>
        </w:rPr>
        <w:t>Ces individus que le</w:t>
      </w:r>
      <w:r w:rsidRPr="00B867DF">
        <w:rPr>
          <w:rFonts w:asciiTheme="majorBidi" w:eastAsia="Times New Roman" w:hAnsiTheme="majorBidi" w:cstheme="majorBidi"/>
          <w:lang w:bidi="ar-KW"/>
        </w:rPr>
        <w:t xml:space="preserve"> terme </w:t>
      </w:r>
      <w:r w:rsidRPr="00B867DF">
        <w:rPr>
          <w:rFonts w:asciiTheme="majorBidi" w:eastAsia="Times New Roman" w:hAnsiTheme="majorBidi" w:cstheme="majorBidi"/>
          <w:i/>
          <w:iCs/>
        </w:rPr>
        <w:t>muʿājizīna</w:t>
      </w:r>
      <w:r w:rsidRPr="00B867DF">
        <w:rPr>
          <w:rFonts w:asciiTheme="majorBidi" w:eastAsia="Times New Roman" w:hAnsiTheme="majorBidi" w:cstheme="majorBidi"/>
        </w:rPr>
        <w:t xml:space="preserve"> décrit </w:t>
      </w:r>
      <w:r w:rsidRPr="00B867DF">
        <w:rPr>
          <w:rFonts w:asciiTheme="majorBidi" w:eastAsia="Times New Roman" w:hAnsiTheme="majorBidi" w:cstheme="majorBidi"/>
          <w:lang w:bidi="ar-KW"/>
        </w:rPr>
        <w:t xml:space="preserve">auront l’Enfer comme punition. Selon les exégèses musulmanes, les autres qui font face à l’islam méritent l’Enfer. L’enfer, ce n’est pas les autres, mais la punition subie par les autres. Pour désigner l’Enfer, le Coran utilise dans le verset 51 le terme </w:t>
      </w:r>
      <w:r w:rsidRPr="00B867DF">
        <w:rPr>
          <w:rFonts w:asciiTheme="majorBidi" w:eastAsia="Times New Roman" w:hAnsiTheme="majorBidi" w:cstheme="majorBidi"/>
          <w:i/>
          <w:iCs/>
          <w:lang w:bidi="ar-KW"/>
        </w:rPr>
        <w:t>jaḥīm</w:t>
      </w:r>
      <w:r w:rsidRPr="00B867DF">
        <w:rPr>
          <w:rFonts w:asciiTheme="majorBidi" w:eastAsia="Times New Roman" w:hAnsiTheme="majorBidi" w:cstheme="majorBidi"/>
          <w:lang w:bidi="ar-KW"/>
        </w:rPr>
        <w:t xml:space="preserve">. Dans tout le Coran, il existe onze mots pour désigner l’Enfer : </w:t>
      </w:r>
      <w:r w:rsidRPr="00B867DF">
        <w:rPr>
          <w:rFonts w:asciiTheme="majorBidi" w:eastAsia="Times New Roman" w:hAnsiTheme="majorBidi" w:cstheme="majorBidi"/>
          <w:i/>
          <w:iCs/>
          <w:lang w:bidi="ar-KW"/>
        </w:rPr>
        <w:t>jahannam</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i/>
          <w:iCs/>
          <w:lang w:bidi="ar-KW"/>
        </w:rPr>
        <w:t>as-saʿīr</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i/>
          <w:iCs/>
          <w:lang w:bidi="ar-KW"/>
        </w:rPr>
        <w:t>laẓā</w:t>
      </w:r>
      <w:r w:rsidRPr="00B867DF">
        <w:rPr>
          <w:rFonts w:asciiTheme="majorBidi" w:eastAsia="Times New Roman" w:hAnsiTheme="majorBidi" w:cstheme="majorBidi"/>
          <w:lang w:bidi="ar-KW"/>
        </w:rPr>
        <w:t>,</w:t>
      </w:r>
      <w:r>
        <w:rPr>
          <w:rFonts w:asciiTheme="majorBidi" w:eastAsia="Times New Roman" w:hAnsiTheme="majorBidi" w:cstheme="majorBidi"/>
          <w:lang w:bidi="ar-KW"/>
        </w:rPr>
        <w:t xml:space="preserve"> </w:t>
      </w:r>
      <w:r w:rsidRPr="00B867DF">
        <w:rPr>
          <w:rFonts w:asciiTheme="majorBidi" w:eastAsia="Times New Roman" w:hAnsiTheme="majorBidi" w:cstheme="majorBidi"/>
          <w:i/>
          <w:iCs/>
          <w:lang w:bidi="ar-KW"/>
        </w:rPr>
        <w:t>al-ḥuṭama</w:t>
      </w:r>
      <w:r w:rsidRPr="00B867DF">
        <w:rPr>
          <w:rFonts w:asciiTheme="majorBidi" w:eastAsia="Times New Roman" w:hAnsiTheme="majorBidi" w:cstheme="majorBidi"/>
          <w:lang w:bidi="ar-KW"/>
        </w:rPr>
        <w:t>,</w:t>
      </w:r>
      <w:r w:rsidRPr="00B867DF">
        <w:rPr>
          <w:rFonts w:asciiTheme="majorBidi" w:eastAsia="Times New Roman" w:hAnsiTheme="majorBidi" w:cstheme="majorBidi"/>
          <w:i/>
          <w:iCs/>
          <w:lang w:bidi="ar-KW"/>
        </w:rPr>
        <w:t xml:space="preserve"> saqar</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i/>
          <w:iCs/>
          <w:lang w:bidi="ar-KW"/>
        </w:rPr>
        <w:t>al-jaḥīm</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i/>
          <w:iCs/>
          <w:lang w:bidi="ar-KW"/>
        </w:rPr>
        <w:t>hāwya</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i/>
          <w:iCs/>
          <w:lang w:bidi="ar-KW"/>
        </w:rPr>
        <w:t>as-samūm</w:t>
      </w:r>
      <w:r w:rsidRPr="00B867DF">
        <w:rPr>
          <w:rFonts w:asciiTheme="majorBidi" w:eastAsia="Times New Roman" w:hAnsiTheme="majorBidi" w:cstheme="majorBidi"/>
          <w:lang w:bidi="ar-KW"/>
        </w:rPr>
        <w:t>, s</w:t>
      </w:r>
      <w:r w:rsidRPr="00B867DF">
        <w:rPr>
          <w:rFonts w:asciiTheme="majorBidi" w:eastAsia="Times New Roman" w:hAnsiTheme="majorBidi" w:cstheme="majorBidi"/>
          <w:i/>
          <w:iCs/>
          <w:lang w:bidi="ar-KW"/>
        </w:rPr>
        <w:t>ijjīn</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i/>
          <w:iCs/>
          <w:lang w:bidi="ar-KW"/>
        </w:rPr>
        <w:t>al-ḥarīq</w:t>
      </w:r>
      <w:r w:rsidRPr="00B867DF">
        <w:rPr>
          <w:rFonts w:asciiTheme="majorBidi" w:eastAsia="Times New Roman" w:hAnsiTheme="majorBidi" w:cstheme="majorBidi"/>
          <w:lang w:bidi="ar-KW"/>
        </w:rPr>
        <w:t xml:space="preserve"> et </w:t>
      </w:r>
      <w:r w:rsidRPr="00B867DF">
        <w:rPr>
          <w:rFonts w:asciiTheme="majorBidi" w:eastAsia="Times New Roman" w:hAnsiTheme="majorBidi" w:cstheme="majorBidi"/>
          <w:i/>
          <w:iCs/>
          <w:lang w:bidi="ar-KW"/>
        </w:rPr>
        <w:t>an-nār</w:t>
      </w:r>
      <w:r w:rsidRPr="00B867DF">
        <w:rPr>
          <w:rFonts w:asciiTheme="majorBidi" w:eastAsia="Times New Roman" w:hAnsiTheme="majorBidi" w:cstheme="majorBidi"/>
          <w:lang w:bidi="ar-KW"/>
        </w:rPr>
        <w:t xml:space="preserve">. On ne sait pas s’il s’agit de degrés, de niveaux, ou bien de caractères distinctifs et de descriptions de la souffrance ou de l’Enfer. Aṭ-Ṭabarī, dans </w:t>
      </w:r>
      <w:r w:rsidRPr="00B867DF">
        <w:rPr>
          <w:rFonts w:asciiTheme="majorBidi" w:eastAsia="Times New Roman" w:hAnsiTheme="majorBidi" w:cstheme="majorBidi"/>
          <w:i/>
          <w:iCs/>
          <w:lang w:bidi="ar-KW"/>
        </w:rPr>
        <w:t>Jāmiʿ al-Bayān</w:t>
      </w:r>
      <w:r w:rsidRPr="00B867DF">
        <w:rPr>
          <w:rFonts w:asciiTheme="majorBidi" w:eastAsia="Times New Roman" w:hAnsiTheme="majorBidi" w:cstheme="majorBidi"/>
          <w:lang w:bidi="ar-KW"/>
        </w:rPr>
        <w:t xml:space="preserve">, et As-Suyūṭī, dans </w:t>
      </w:r>
      <w:r w:rsidRPr="00B867DF">
        <w:rPr>
          <w:rFonts w:asciiTheme="majorBidi" w:eastAsia="Times New Roman" w:hAnsiTheme="majorBidi" w:cstheme="majorBidi"/>
          <w:i/>
          <w:iCs/>
          <w:lang w:bidi="ar-KW"/>
        </w:rPr>
        <w:t>Ad-Durr al-manthūr</w:t>
      </w:r>
      <w:r w:rsidRPr="00B867DF">
        <w:rPr>
          <w:rFonts w:asciiTheme="majorBidi" w:eastAsia="Times New Roman" w:hAnsiTheme="majorBidi" w:cstheme="majorBidi"/>
          <w:lang w:bidi="ar-KW"/>
        </w:rPr>
        <w:t xml:space="preserve">, soulignent que </w:t>
      </w:r>
      <w:r w:rsidRPr="00B867DF">
        <w:rPr>
          <w:rFonts w:asciiTheme="majorBidi" w:eastAsia="Times New Roman" w:hAnsiTheme="majorBidi" w:cstheme="majorBidi"/>
          <w:i/>
          <w:iCs/>
          <w:lang w:bidi="ar-KW"/>
        </w:rPr>
        <w:t>jaḥīm</w:t>
      </w:r>
      <w:r w:rsidRPr="00B867DF">
        <w:rPr>
          <w:rFonts w:asciiTheme="majorBidi" w:eastAsia="Times New Roman" w:hAnsiTheme="majorBidi" w:cstheme="majorBidi"/>
          <w:lang w:bidi="ar-KW"/>
        </w:rPr>
        <w:t xml:space="preserve"> désigne l’endroit de l’Enfer où la chaleur est la plus intense. Shaykhū dit que le </w:t>
      </w:r>
      <w:r w:rsidRPr="00B867DF">
        <w:rPr>
          <w:rFonts w:asciiTheme="majorBidi" w:eastAsia="Times New Roman" w:hAnsiTheme="majorBidi" w:cstheme="majorBidi"/>
          <w:i/>
          <w:iCs/>
          <w:lang w:bidi="ar-KW"/>
        </w:rPr>
        <w:t>jaḥīm</w:t>
      </w:r>
      <w:r w:rsidRPr="00B867DF">
        <w:rPr>
          <w:rFonts w:asciiTheme="majorBidi" w:eastAsia="Times New Roman" w:hAnsiTheme="majorBidi" w:cstheme="majorBidi"/>
          <w:lang w:bidi="ar-KW"/>
        </w:rPr>
        <w:t xml:space="preserve"> désigne le fond de l’Enfer (</w:t>
      </w:r>
      <w:r w:rsidRPr="00B867DF">
        <w:rPr>
          <w:rFonts w:asciiTheme="majorBidi" w:eastAsia="Times New Roman" w:hAnsiTheme="majorBidi" w:cstheme="majorBidi"/>
          <w:i/>
          <w:iCs/>
          <w:lang w:bidi="ar-KW"/>
        </w:rPr>
        <w:t>lubb an-nār</w:t>
      </w:r>
      <w:r w:rsidRPr="00B867DF">
        <w:rPr>
          <w:rFonts w:asciiTheme="majorBidi" w:eastAsia="Times New Roman" w:hAnsiTheme="majorBidi" w:cstheme="majorBidi"/>
          <w:lang w:bidi="ar-KW"/>
        </w:rPr>
        <w:t xml:space="preserve">). Ibn Kathīr rapporte </w:t>
      </w:r>
      <w:r w:rsidRPr="00B867DF">
        <w:rPr>
          <w:rFonts w:asciiTheme="majorBidi" w:eastAsia="Times New Roman" w:hAnsiTheme="majorBidi" w:cstheme="majorBidi"/>
          <w:lang w:bidi="ar-KW"/>
        </w:rPr>
        <w:lastRenderedPageBreak/>
        <w:t>que c’est le feu extrêmement chaud et douloureux. Az-Zuḥaylī et al-Bayḍāwī soulignent qu’il s’agit précisément d’</w:t>
      </w:r>
      <w:r w:rsidRPr="00B867DF">
        <w:rPr>
          <w:rFonts w:asciiTheme="majorBidi" w:eastAsia="Times New Roman" w:hAnsiTheme="majorBidi" w:cstheme="majorBidi"/>
          <w:i/>
          <w:iCs/>
          <w:lang w:bidi="ar-KW"/>
        </w:rPr>
        <w:t xml:space="preserve">an-nār mūqada </w:t>
      </w:r>
      <w:r w:rsidRPr="00B867DF">
        <w:rPr>
          <w:rFonts w:asciiTheme="majorBidi" w:hAnsiTheme="majorBidi" w:cstheme="majorBidi"/>
        </w:rPr>
        <w:t>[</w:t>
      </w:r>
      <w:r w:rsidRPr="00B867DF">
        <w:rPr>
          <w:rFonts w:asciiTheme="majorBidi" w:eastAsia="Times New Roman" w:hAnsiTheme="majorBidi" w:cstheme="majorBidi"/>
        </w:rPr>
        <w:t>le feu qui flambe</w:t>
      </w:r>
      <w:r w:rsidRPr="00B867DF">
        <w:rPr>
          <w:rFonts w:asciiTheme="majorBidi" w:hAnsiTheme="majorBidi" w:cstheme="majorBidi"/>
        </w:rPr>
        <w:t xml:space="preserve">] (évoqué dans le verset CIV, 6). Il semble que le premier </w:t>
      </w:r>
      <w:r w:rsidRPr="00B867DF">
        <w:rPr>
          <w:rFonts w:asciiTheme="majorBidi" w:eastAsia="Times New Roman" w:hAnsiTheme="majorBidi" w:cstheme="majorBidi"/>
          <w:lang w:bidi="ar-KW"/>
        </w:rPr>
        <w:t xml:space="preserve">sens étymologique </w:t>
      </w:r>
      <w:r w:rsidRPr="00B867DF">
        <w:rPr>
          <w:rFonts w:asciiTheme="majorBidi" w:hAnsiTheme="majorBidi" w:cstheme="majorBidi"/>
        </w:rPr>
        <w:t xml:space="preserve">du substantif </w:t>
      </w:r>
      <w:r w:rsidRPr="00B867DF">
        <w:rPr>
          <w:rFonts w:asciiTheme="majorBidi" w:eastAsia="Times New Roman" w:hAnsiTheme="majorBidi" w:cstheme="majorBidi"/>
          <w:i/>
          <w:iCs/>
          <w:lang w:bidi="ar-KW"/>
        </w:rPr>
        <w:t>al-jaḥīm</w:t>
      </w:r>
      <w:r w:rsidRPr="00B867DF">
        <w:rPr>
          <w:rFonts w:asciiTheme="majorBidi" w:eastAsia="Times New Roman" w:hAnsiTheme="majorBidi" w:cstheme="majorBidi"/>
          <w:lang w:bidi="ar-KW"/>
        </w:rPr>
        <w:t xml:space="preserve"> a suffi tout seul comme signification dissuasive sans qu’il soit besoin d’attribuer au mot de nouvelles significations, ce qui diminue considérablement sa polysémie.</w:t>
      </w:r>
    </w:p>
    <w:p w14:paraId="33437958" w14:textId="77777777" w:rsidR="00296288" w:rsidRPr="000F6511" w:rsidRDefault="00296288" w:rsidP="00296288">
      <w:pPr>
        <w:spacing w:line="360" w:lineRule="auto"/>
        <w:ind w:firstLine="360"/>
        <w:jc w:val="both"/>
        <w:rPr>
          <w:rFonts w:asciiTheme="majorBidi" w:eastAsia="Times New Roman" w:hAnsiTheme="majorBidi" w:cstheme="majorBidi"/>
          <w:lang w:bidi="ar-KW"/>
        </w:rPr>
      </w:pPr>
    </w:p>
    <w:p w14:paraId="3E92F91D" w14:textId="77777777"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rPr>
      </w:pPr>
      <w:r w:rsidRPr="000F6511">
        <w:rPr>
          <w:rFonts w:ascii="Times New Roman" w:hAnsi="Times New Roman" w:cs="Times New Roman"/>
          <w:b/>
          <w:bCs/>
          <w:sz w:val="24"/>
          <w:szCs w:val="24"/>
        </w:rPr>
        <w:t xml:space="preserve">Le verbe </w:t>
      </w:r>
      <w:r w:rsidRPr="000F6511">
        <w:rPr>
          <w:rFonts w:ascii="Times New Roman" w:hAnsi="Times New Roman" w:cs="Times New Roman"/>
          <w:b/>
          <w:bCs/>
          <w:i/>
          <w:iCs/>
          <w:sz w:val="24"/>
          <w:szCs w:val="24"/>
        </w:rPr>
        <w:t xml:space="preserve">tamannā </w:t>
      </w:r>
      <w:r w:rsidRPr="000F6511">
        <w:rPr>
          <w:rFonts w:ascii="Times New Roman" w:hAnsi="Times New Roman" w:cs="Times New Roman"/>
          <w:b/>
          <w:bCs/>
          <w:sz w:val="24"/>
          <w:szCs w:val="24"/>
        </w:rPr>
        <w:t>(v. 52) :</w:t>
      </w:r>
    </w:p>
    <w:p w14:paraId="276BA6B4" w14:textId="77777777" w:rsidR="00296288" w:rsidRPr="000F6511" w:rsidRDefault="00296288" w:rsidP="00296288">
      <w:pPr>
        <w:spacing w:line="360" w:lineRule="auto"/>
        <w:ind w:firstLine="360"/>
        <w:jc w:val="both"/>
        <w:rPr>
          <w:rFonts w:asciiTheme="majorBidi" w:eastAsia="Times New Roman" w:hAnsiTheme="majorBidi" w:cstheme="majorBidi"/>
        </w:rPr>
      </w:pPr>
      <w:r w:rsidRPr="000F6511">
        <w:rPr>
          <w:rFonts w:eastAsia="Times New Roman"/>
        </w:rPr>
        <w:t xml:space="preserve">Concernant le verbe </w:t>
      </w:r>
      <w:r w:rsidRPr="000F6511">
        <w:rPr>
          <w:rFonts w:eastAsia="Times New Roman"/>
          <w:i/>
          <w:iCs/>
        </w:rPr>
        <w:t>tamannā</w:t>
      </w:r>
      <w:r w:rsidRPr="000F6511">
        <w:rPr>
          <w:rFonts w:eastAsia="Times New Roman"/>
        </w:rPr>
        <w:t xml:space="preserve"> [il a souhaité, désiré], les exégètes l’ont interprété de plusieurs façons : 1) il a désiré ; 2) il a monologué ; 3) il a raconté ; 4) il a lu ; 5) il a récité ; 6) son âme s’est manifestée à travers le souhait dans la demeure [</w:t>
      </w:r>
      <w:r w:rsidRPr="000F6511">
        <w:rPr>
          <w:rFonts w:eastAsia="Times New Roman"/>
          <w:i/>
          <w:iCs/>
        </w:rPr>
        <w:t>maqām</w:t>
      </w:r>
      <w:r w:rsidRPr="000F6511">
        <w:rPr>
          <w:rFonts w:eastAsia="Times New Roman"/>
        </w:rPr>
        <w:t xml:space="preserve">] des couleurs et des changements (Ibn ʿArabī) ; 7-il a aimé être accompagné de ʿAlī, Fāṭima, Al-Ḥasan et Al-Ḥusayn (Al-Qummī). Ainsi le mot </w:t>
      </w:r>
      <w:r w:rsidRPr="000F6511">
        <w:rPr>
          <w:rFonts w:eastAsia="Times New Roman"/>
          <w:i/>
          <w:iCs/>
        </w:rPr>
        <w:t xml:space="preserve">umnīyati-hi </w:t>
      </w:r>
      <w:r w:rsidRPr="000F6511">
        <w:rPr>
          <w:rFonts w:eastAsia="Times New Roman"/>
        </w:rPr>
        <w:t>peut signifier : son désir, sa récitation, sa lecture, le cœur de celui que le prophète voulait guider (Shaykhū), ou enfin le souhait du prophète d’être accompagné par sa fille, son gendre et leurs deux enfants (Al-</w:t>
      </w:r>
      <w:r w:rsidRPr="000F6511">
        <w:rPr>
          <w:rFonts w:asciiTheme="majorBidi" w:eastAsia="Times New Roman" w:hAnsiTheme="majorBidi" w:cstheme="majorBidi"/>
        </w:rPr>
        <w:t xml:space="preserve">Qummī). </w:t>
      </w:r>
      <w:r w:rsidRPr="000F6511">
        <w:rPr>
          <w:rFonts w:asciiTheme="majorBidi" w:eastAsia="Times New Roman" w:hAnsiTheme="majorBidi" w:cstheme="majorBidi"/>
          <w:shd w:val="clear" w:color="auto" w:fill="FFFFFF"/>
          <w:lang w:bidi="ar-KW"/>
        </w:rPr>
        <w:t xml:space="preserve">Cependant, l’exégèse </w:t>
      </w:r>
      <w:r w:rsidRPr="000F6511">
        <w:rPr>
          <w:rFonts w:asciiTheme="majorBidi" w:eastAsia="Times New Roman" w:hAnsiTheme="majorBidi" w:cstheme="majorBidi"/>
          <w:i/>
          <w:iCs/>
          <w:shd w:val="clear" w:color="auto" w:fill="FFFFFF"/>
          <w:lang w:bidi="ar-KW"/>
        </w:rPr>
        <w:t>Al-Muntakhab fī tafsīr al-Qurʾān</w:t>
      </w:r>
      <w:r w:rsidRPr="000F6511">
        <w:rPr>
          <w:rFonts w:asciiTheme="majorBidi" w:eastAsia="Times New Roman" w:hAnsiTheme="majorBidi" w:cstheme="majorBidi"/>
          <w:shd w:val="clear" w:color="auto" w:fill="FFFFFF"/>
          <w:lang w:bidi="ar-KW"/>
        </w:rPr>
        <w:t xml:space="preserve"> d’Al-Azhar, une exégèse officielle moderne (18</w:t>
      </w:r>
      <w:r w:rsidRPr="000F6511">
        <w:rPr>
          <w:rFonts w:asciiTheme="majorBidi" w:eastAsia="Times New Roman" w:hAnsiTheme="majorBidi" w:cstheme="majorBidi"/>
          <w:shd w:val="clear" w:color="auto" w:fill="FFFFFF"/>
          <w:vertAlign w:val="superscript"/>
          <w:lang w:bidi="ar-KW"/>
        </w:rPr>
        <w:t>e</w:t>
      </w:r>
      <w:r w:rsidRPr="000F6511">
        <w:rPr>
          <w:rFonts w:asciiTheme="majorBidi" w:eastAsia="Times New Roman" w:hAnsiTheme="majorBidi" w:cstheme="majorBidi"/>
          <w:shd w:val="clear" w:color="auto" w:fill="FFFFFF"/>
          <w:lang w:bidi="ar-KW"/>
        </w:rPr>
        <w:t xml:space="preserve"> éd., 1995) a adopté le sens de « lire » sans mentionner l’histoire de </w:t>
      </w:r>
      <w:r w:rsidRPr="000F6511">
        <w:rPr>
          <w:rFonts w:asciiTheme="majorBidi" w:eastAsia="Times New Roman" w:hAnsiTheme="majorBidi" w:cstheme="majorBidi"/>
          <w:i/>
          <w:iCs/>
          <w:shd w:val="clear" w:color="auto" w:fill="FFFFFF"/>
          <w:lang w:bidi="ar-KW"/>
        </w:rPr>
        <w:t>qharānīq</w:t>
      </w:r>
      <w:r w:rsidRPr="000F6511">
        <w:rPr>
          <w:rFonts w:asciiTheme="majorBidi" w:eastAsia="Times New Roman" w:hAnsiTheme="majorBidi" w:cstheme="majorBidi"/>
          <w:shd w:val="clear" w:color="auto" w:fill="FFFFFF"/>
          <w:lang w:bidi="ar-KW"/>
        </w:rPr>
        <w:t>.</w:t>
      </w:r>
    </w:p>
    <w:p w14:paraId="67E700B5" w14:textId="77777777" w:rsidR="00296288" w:rsidRPr="000F6511" w:rsidRDefault="00296288" w:rsidP="00296288">
      <w:pPr>
        <w:spacing w:line="360" w:lineRule="auto"/>
        <w:jc w:val="both"/>
        <w:rPr>
          <w:rFonts w:asciiTheme="majorBidi" w:eastAsia="Calibri" w:hAnsiTheme="majorBidi" w:cstheme="majorBidi"/>
          <w:lang w:bidi="ar-AE"/>
        </w:rPr>
      </w:pPr>
    </w:p>
    <w:p w14:paraId="24131E3C" w14:textId="77777777"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rtl/>
        </w:rPr>
      </w:pPr>
      <w:r w:rsidRPr="000F6511">
        <w:rPr>
          <w:rFonts w:ascii="Times New Roman" w:hAnsi="Times New Roman" w:cs="Times New Roman"/>
          <w:b/>
          <w:bCs/>
          <w:i/>
          <w:iCs/>
          <w:sz w:val="24"/>
          <w:szCs w:val="24"/>
        </w:rPr>
        <w:t>Yansakh</w:t>
      </w:r>
      <w:r w:rsidRPr="000F6511">
        <w:rPr>
          <w:rFonts w:ascii="Times New Roman" w:hAnsi="Times New Roman" w:cs="Times New Roman"/>
          <w:b/>
          <w:bCs/>
          <w:sz w:val="24"/>
          <w:szCs w:val="24"/>
        </w:rPr>
        <w:t> : écrire ou effacer ? (v. 52)</w:t>
      </w:r>
    </w:p>
    <w:p w14:paraId="0C7BAEA7" w14:textId="77777777" w:rsidR="00296288" w:rsidRPr="00B867DF" w:rsidRDefault="00296288" w:rsidP="00296288">
      <w:pPr>
        <w:spacing w:line="360" w:lineRule="auto"/>
        <w:ind w:firstLine="360"/>
        <w:jc w:val="both"/>
        <w:rPr>
          <w:rFonts w:eastAsia="Times New Roman"/>
        </w:rPr>
      </w:pPr>
      <w:r w:rsidRPr="000F6511">
        <w:rPr>
          <w:rFonts w:eastAsia="Times New Roman"/>
        </w:rPr>
        <w:t>Examinons les significations du verbe contronyme</w:t>
      </w:r>
      <w:r w:rsidRPr="000F6511">
        <w:rPr>
          <w:rFonts w:eastAsia="Times New Roman"/>
          <w:i/>
          <w:iCs/>
        </w:rPr>
        <w:t xml:space="preserve"> yansakh</w:t>
      </w:r>
      <w:r w:rsidRPr="000F6511">
        <w:rPr>
          <w:rFonts w:eastAsia="Times New Roman"/>
        </w:rPr>
        <w:t xml:space="preserve"> [écrire et effacer]. Il désigne une chose et son contraire : annuler ; supprimer ; confirmer ; enregistrer ; écrire ; faire venir l’imam ʿAlī pour annuler l’effet de l’arrivée des deux califes</w:t>
      </w:r>
      <w:r w:rsidRPr="00B867DF">
        <w:rPr>
          <w:rFonts w:eastAsia="Times New Roman"/>
        </w:rPr>
        <w:t xml:space="preserve"> hypocrites Abū Bakr et </w:t>
      </w:r>
      <w:r w:rsidRPr="00B867DF">
        <w:rPr>
          <w:rFonts w:asciiTheme="majorBidi" w:eastAsia="Times New Roman" w:hAnsiTheme="majorBidi" w:cstheme="majorBidi"/>
        </w:rPr>
        <w:t>ʿ</w:t>
      </w:r>
      <w:r w:rsidRPr="00B867DF">
        <w:rPr>
          <w:rFonts w:eastAsia="Times New Roman"/>
        </w:rPr>
        <w:t>Umar.</w:t>
      </w:r>
    </w:p>
    <w:p w14:paraId="7FE801C0" w14:textId="77777777" w:rsidR="00296288" w:rsidRPr="00B867DF" w:rsidRDefault="00296288" w:rsidP="00296288">
      <w:pPr>
        <w:spacing w:line="360" w:lineRule="auto"/>
        <w:jc w:val="both"/>
        <w:rPr>
          <w:rFonts w:asciiTheme="majorBidi" w:eastAsia="Calibri" w:hAnsiTheme="majorBidi" w:cstheme="majorBidi"/>
          <w:lang w:bidi="ar-AE"/>
        </w:rPr>
      </w:pPr>
    </w:p>
    <w:p w14:paraId="02980EBA" w14:textId="71563952"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eastAsia="Times New Roman"/>
        </w:rPr>
        <w:t>À</w:t>
      </w:r>
      <w:r w:rsidR="004429BC">
        <w:rPr>
          <w:rFonts w:eastAsia="Times New Roman"/>
        </w:rPr>
        <w:t xml:space="preserve"> propos de l’exégèse du verbe </w:t>
      </w:r>
      <w:r w:rsidRPr="00B867DF">
        <w:rPr>
          <w:rFonts w:eastAsia="Times New Roman"/>
          <w:i/>
          <w:iCs/>
        </w:rPr>
        <w:t>yansakh</w:t>
      </w:r>
      <w:r w:rsidRPr="00B867DF">
        <w:rPr>
          <w:rFonts w:eastAsia="Times New Roman"/>
        </w:rPr>
        <w:t xml:space="preserve">, </w:t>
      </w:r>
      <w:r w:rsidRPr="00B867DF">
        <w:rPr>
          <w:rFonts w:eastAsia="Times New Roman"/>
          <w:lang w:bidi="ar-EG"/>
        </w:rPr>
        <w:t>Fakhr Ad-Dīn Ar-Rāzī (m. 1210)</w:t>
      </w:r>
      <w:r w:rsidRPr="00B867DF">
        <w:rPr>
          <w:rFonts w:eastAsia="Times New Roman"/>
        </w:rPr>
        <w:t xml:space="preserve"> consacre une dizaine de pages pour expliquer ce terme et fait allusion à la réincarnation (</w:t>
      </w:r>
      <w:r w:rsidRPr="00B867DF">
        <w:rPr>
          <w:rFonts w:eastAsia="Times New Roman"/>
          <w:i/>
          <w:iCs/>
        </w:rPr>
        <w:t>tanāsukh</w:t>
      </w:r>
      <w:r w:rsidRPr="00B867DF">
        <w:rPr>
          <w:rFonts w:eastAsia="Times New Roman"/>
        </w:rPr>
        <w:t xml:space="preserve">, un mot dérivé du même verbe </w:t>
      </w:r>
      <w:r w:rsidRPr="00B867DF">
        <w:rPr>
          <w:rFonts w:eastAsia="Times New Roman"/>
          <w:i/>
          <w:iCs/>
        </w:rPr>
        <w:t>yansakh</w:t>
      </w:r>
      <w:r w:rsidRPr="00B867DF">
        <w:rPr>
          <w:rFonts w:eastAsia="Times New Roman"/>
        </w:rPr>
        <w:t>) en disant : « </w:t>
      </w:r>
      <w:r w:rsidRPr="00B867DF">
        <w:rPr>
          <w:rFonts w:eastAsia="Times New Roman"/>
          <w:i/>
          <w:iCs/>
        </w:rPr>
        <w:t>wa-min-hu tanāsukh al-arwāḥ</w:t>
      </w:r>
      <w:r w:rsidR="004429BC">
        <w:rPr>
          <w:rFonts w:eastAsia="Times New Roman"/>
        </w:rPr>
        <w:t xml:space="preserve"> » [d’où vient le terme </w:t>
      </w:r>
      <w:r w:rsidRPr="00B867DF">
        <w:rPr>
          <w:rFonts w:eastAsia="Times New Roman"/>
          <w:i/>
          <w:iCs/>
        </w:rPr>
        <w:t>tanāsukh al-arwāḥ</w:t>
      </w:r>
      <w:r w:rsidRPr="00B867DF">
        <w:rPr>
          <w:rFonts w:eastAsia="Times New Roman"/>
        </w:rPr>
        <w:t xml:space="preserve"> (transmigration des âmes)]. Six siècles après, </w:t>
      </w:r>
      <w:r w:rsidRPr="00B867DF">
        <w:rPr>
          <w:rFonts w:eastAsia="Times New Roman"/>
          <w:lang w:bidi="ar-KW"/>
        </w:rPr>
        <w:t>Ash-Shawkānī</w:t>
      </w:r>
      <w:r w:rsidRPr="00B867DF">
        <w:rPr>
          <w:rFonts w:eastAsia="Times New Roman"/>
        </w:rPr>
        <w:t xml:space="preserve"> (1759-1834), dans </w:t>
      </w:r>
      <w:r w:rsidRPr="00B867DF">
        <w:rPr>
          <w:rFonts w:eastAsia="Times New Roman"/>
          <w:i/>
          <w:iCs/>
        </w:rPr>
        <w:t>Fatḥ al-Qadīr</w:t>
      </w:r>
      <w:r w:rsidRPr="00B867DF">
        <w:rPr>
          <w:rFonts w:eastAsia="Times New Roman"/>
        </w:rPr>
        <w:t xml:space="preserve">, résume ce commentaire et supprime notamment la phrase qui parle de la réincarnation. Récemment, l’exégèse </w:t>
      </w:r>
      <w:r w:rsidRPr="00B867DF">
        <w:rPr>
          <w:rFonts w:eastAsia="Times New Roman"/>
          <w:i/>
          <w:iCs/>
        </w:rPr>
        <w:t>Al-Muntakhab</w:t>
      </w:r>
      <w:r w:rsidRPr="00B867DF">
        <w:rPr>
          <w:rFonts w:eastAsia="Times New Roman"/>
        </w:rPr>
        <w:t xml:space="preserve"> d’Al-Azhar réduit laconiquement l’interprétation à quelques lignes seulement sans mentionner ni la réincarnation, ni l’histoire controversée des </w:t>
      </w:r>
      <w:r w:rsidRPr="00B867DF">
        <w:rPr>
          <w:rFonts w:eastAsia="Times New Roman"/>
          <w:i/>
          <w:iCs/>
        </w:rPr>
        <w:t>gharānīq</w:t>
      </w:r>
      <w:r w:rsidRPr="00B867DF">
        <w:rPr>
          <w:rFonts w:eastAsia="Times New Roman"/>
        </w:rPr>
        <w:t xml:space="preserve"> (les versets sataniques), ni rien d’autre qui puisse perturber la foi du musulman contemporain. Ell</w:t>
      </w:r>
      <w:r w:rsidR="004429BC">
        <w:rPr>
          <w:rFonts w:eastAsia="Times New Roman"/>
        </w:rPr>
        <w:t xml:space="preserve">e dit pour expliquer le verbe </w:t>
      </w:r>
      <w:r w:rsidRPr="00B867DF">
        <w:rPr>
          <w:rFonts w:eastAsia="Times New Roman"/>
          <w:i/>
          <w:iCs/>
        </w:rPr>
        <w:t>yansakh</w:t>
      </w:r>
      <w:r w:rsidRPr="00B867DF">
        <w:rPr>
          <w:rFonts w:eastAsia="Times New Roman"/>
        </w:rPr>
        <w:t> : (</w:t>
      </w:r>
      <w:r w:rsidRPr="00B867DF">
        <w:rPr>
          <w:rFonts w:ascii="Simplified Arabic" w:eastAsia="Times New Roman" w:hAnsi="Simplified Arabic" w:cs="Simplified Arabic"/>
          <w:rtl/>
        </w:rPr>
        <w:t xml:space="preserve">فيزيل الله ما يدبِّرون، ثم تكون الغلبةُ </w:t>
      </w:r>
      <w:r w:rsidRPr="00B867DF">
        <w:rPr>
          <w:rFonts w:ascii="Simplified Arabic" w:eastAsia="Times New Roman" w:hAnsi="Simplified Arabic" w:cs="Simplified Arabic" w:hint="cs"/>
          <w:rtl/>
        </w:rPr>
        <w:lastRenderedPageBreak/>
        <w:t>في</w:t>
      </w:r>
      <w:r w:rsidRPr="00B867DF">
        <w:rPr>
          <w:rFonts w:ascii="Simplified Arabic" w:eastAsia="Times New Roman" w:hAnsi="Simplified Arabic" w:cs="Simplified Arabic"/>
          <w:rtl/>
        </w:rPr>
        <w:t xml:space="preserve"> النهاية للحق. حيث يُــثْــبِت اللهُ شريعته، وينصر رسولَه</w:t>
      </w:r>
      <w:r w:rsidRPr="00B867DF">
        <w:rPr>
          <w:rFonts w:eastAsia="Times New Roman"/>
        </w:rPr>
        <w:t xml:space="preserve">) [Dieu efface donc ce qu’ils machinent, puis le </w:t>
      </w:r>
      <w:r w:rsidRPr="00B867DF">
        <w:rPr>
          <w:rFonts w:asciiTheme="majorBidi" w:eastAsia="Times New Roman" w:hAnsiTheme="majorBidi" w:cstheme="majorBidi"/>
        </w:rPr>
        <w:t xml:space="preserve">Vrai prend le dessus enfin. Dieu affirme sa loi et donne la victoire à son Messager]. Le verbe </w:t>
      </w:r>
      <w:r w:rsidRPr="00B867DF">
        <w:rPr>
          <w:rFonts w:asciiTheme="majorBidi" w:eastAsia="Times New Roman" w:hAnsiTheme="majorBidi" w:cstheme="majorBidi"/>
          <w:i/>
          <w:iCs/>
        </w:rPr>
        <w:t>yansakh</w:t>
      </w:r>
      <w:r w:rsidRPr="00B867DF">
        <w:rPr>
          <w:rFonts w:asciiTheme="majorBidi" w:eastAsia="Times New Roman" w:hAnsiTheme="majorBidi" w:cstheme="majorBidi"/>
        </w:rPr>
        <w:t xml:space="preserve"> est à l’origine de l’idée exégétique juridique d’</w:t>
      </w:r>
      <w:r w:rsidRPr="00B867DF">
        <w:rPr>
          <w:rFonts w:asciiTheme="majorBidi" w:eastAsia="Times New Roman" w:hAnsiTheme="majorBidi" w:cstheme="majorBidi"/>
          <w:i/>
          <w:iCs/>
        </w:rPr>
        <w:t>an-nāsikh wa-al-mansūkh</w:t>
      </w:r>
      <w:r w:rsidRPr="00B867DF">
        <w:rPr>
          <w:rFonts w:asciiTheme="majorBidi" w:eastAsia="Times New Roman" w:hAnsiTheme="majorBidi" w:cstheme="majorBidi"/>
        </w:rPr>
        <w:t xml:space="preserve"> </w:t>
      </w:r>
      <w:r w:rsidRPr="00B867DF">
        <w:rPr>
          <w:rFonts w:asciiTheme="majorBidi" w:hAnsiTheme="majorBidi" w:cstheme="majorBidi"/>
        </w:rPr>
        <w:t xml:space="preserve">[les </w:t>
      </w:r>
      <w:r w:rsidRPr="00B867DF">
        <w:rPr>
          <w:rFonts w:asciiTheme="majorBidi" w:eastAsia="Times New Roman" w:hAnsiTheme="majorBidi" w:cstheme="majorBidi"/>
        </w:rPr>
        <w:t>versets abrogeants et des versets abrogés</w:t>
      </w:r>
      <w:r w:rsidRPr="00B867DF">
        <w:rPr>
          <w:rFonts w:asciiTheme="majorBidi" w:hAnsiTheme="majorBidi" w:cstheme="majorBidi"/>
        </w:rPr>
        <w:t>] que nous allons aborder plus tard et qui a pour objectif d’harmoniser les contradictions</w:t>
      </w:r>
      <w:r w:rsidRPr="00B867DF">
        <w:rPr>
          <w:rFonts w:asciiTheme="majorBidi" w:eastAsia="Times New Roman" w:hAnsiTheme="majorBidi" w:cstheme="majorBidi"/>
        </w:rPr>
        <w:t>.</w:t>
      </w:r>
    </w:p>
    <w:p w14:paraId="1E799F4F" w14:textId="77777777" w:rsidR="00296288" w:rsidRPr="000F6511" w:rsidRDefault="00296288" w:rsidP="00296288">
      <w:pPr>
        <w:spacing w:line="360" w:lineRule="auto"/>
        <w:jc w:val="both"/>
        <w:rPr>
          <w:rFonts w:asciiTheme="majorBidi" w:eastAsia="Calibri" w:hAnsiTheme="majorBidi" w:cstheme="majorBidi"/>
          <w:lang w:bidi="ar-AE"/>
        </w:rPr>
      </w:pPr>
    </w:p>
    <w:p w14:paraId="3AE153D9" w14:textId="77777777"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rPr>
      </w:pPr>
      <w:r w:rsidRPr="000F6511">
        <w:rPr>
          <w:rFonts w:ascii="Times New Roman" w:hAnsi="Times New Roman" w:cs="Times New Roman"/>
          <w:b/>
          <w:bCs/>
          <w:sz w:val="24"/>
          <w:szCs w:val="24"/>
        </w:rPr>
        <w:t xml:space="preserve">La </w:t>
      </w:r>
      <w:r w:rsidRPr="000F6511">
        <w:rPr>
          <w:rFonts w:ascii="Times New Roman" w:hAnsi="Times New Roman" w:cs="Times New Roman"/>
          <w:b/>
          <w:bCs/>
          <w:i/>
          <w:iCs/>
          <w:sz w:val="24"/>
          <w:szCs w:val="24"/>
        </w:rPr>
        <w:t>fitna</w:t>
      </w:r>
      <w:r w:rsidRPr="000F6511">
        <w:rPr>
          <w:rFonts w:ascii="Times New Roman" w:hAnsi="Times New Roman" w:cs="Times New Roman"/>
          <w:b/>
          <w:bCs/>
          <w:sz w:val="24"/>
          <w:szCs w:val="24"/>
        </w:rPr>
        <w:t xml:space="preserve"> (v. 53) :</w:t>
      </w:r>
    </w:p>
    <w:p w14:paraId="715A7483" w14:textId="48DBD34D" w:rsidR="00296288" w:rsidRPr="00B867DF" w:rsidRDefault="00296288" w:rsidP="00296288">
      <w:pPr>
        <w:spacing w:line="360" w:lineRule="auto"/>
        <w:ind w:firstLine="360"/>
        <w:jc w:val="both"/>
        <w:rPr>
          <w:rFonts w:eastAsia="Times New Roman"/>
        </w:rPr>
      </w:pPr>
      <w:r w:rsidRPr="00B867DF">
        <w:rPr>
          <w:rFonts w:eastAsia="Times New Roman"/>
        </w:rPr>
        <w:t xml:space="preserve">Selon les exégèses, Dieu voulait, à travers l’histoire des </w:t>
      </w:r>
      <w:r w:rsidRPr="00B867DF">
        <w:rPr>
          <w:rFonts w:eastAsia="Times New Roman"/>
          <w:i/>
          <w:iCs/>
        </w:rPr>
        <w:t>gharānīq</w:t>
      </w:r>
      <w:r w:rsidRPr="00B867DF">
        <w:rPr>
          <w:rFonts w:eastAsia="Times New Roman"/>
        </w:rPr>
        <w:t>, réduire ce qu’a introduit Satan à une tentation (</w:t>
      </w:r>
      <w:r w:rsidRPr="00B867DF">
        <w:rPr>
          <w:rFonts w:eastAsia="Times New Roman"/>
          <w:i/>
          <w:iCs/>
        </w:rPr>
        <w:t>fitna</w:t>
      </w:r>
      <w:r w:rsidRPr="00B867DF">
        <w:rPr>
          <w:rFonts w:eastAsia="Times New Roman"/>
        </w:rPr>
        <w:t>) pour ceux au cœur malade (</w:t>
      </w:r>
      <w:r w:rsidRPr="00B867DF">
        <w:rPr>
          <w:rFonts w:eastAsia="Times New Roman"/>
          <w:i/>
          <w:iCs/>
        </w:rPr>
        <w:t>alladhīna fī qulūbi-him maraḍ</w:t>
      </w:r>
      <w:r w:rsidRPr="00B867DF">
        <w:rPr>
          <w:rFonts w:eastAsia="Times New Roman"/>
        </w:rPr>
        <w:t>) et ceux au cœur de pierre (</w:t>
      </w:r>
      <w:r w:rsidRPr="00B867DF">
        <w:rPr>
          <w:rFonts w:eastAsia="Times New Roman"/>
          <w:i/>
          <w:iCs/>
        </w:rPr>
        <w:t>al-qāsyati qulūbu-hum</w:t>
      </w:r>
      <w:r w:rsidR="004429BC">
        <w:rPr>
          <w:rFonts w:eastAsia="Times New Roman"/>
        </w:rPr>
        <w:t xml:space="preserve">). Qu’entend-on par </w:t>
      </w:r>
      <w:r w:rsidRPr="00B867DF">
        <w:rPr>
          <w:rFonts w:eastAsia="Times New Roman"/>
          <w:i/>
          <w:iCs/>
        </w:rPr>
        <w:t>fitna</w:t>
      </w:r>
      <w:r w:rsidRPr="00B867DF">
        <w:rPr>
          <w:rFonts w:eastAsia="Times New Roman"/>
        </w:rPr>
        <w:t xml:space="preserve"> (nom d’action [</w:t>
      </w:r>
      <w:r w:rsidRPr="00B867DF">
        <w:rPr>
          <w:rFonts w:eastAsia="Times New Roman"/>
          <w:i/>
          <w:iCs/>
        </w:rPr>
        <w:t>maṣdar</w:t>
      </w:r>
      <w:r w:rsidR="004429BC">
        <w:rPr>
          <w:rFonts w:eastAsia="Times New Roman"/>
        </w:rPr>
        <w:t xml:space="preserve">] du verbe </w:t>
      </w:r>
      <w:r w:rsidRPr="00B867DF">
        <w:rPr>
          <w:rFonts w:eastAsia="Times New Roman"/>
          <w:i/>
          <w:iCs/>
        </w:rPr>
        <w:t>fatana</w:t>
      </w:r>
      <w:r w:rsidRPr="00B867DF">
        <w:rPr>
          <w:rFonts w:eastAsia="Times New Roman"/>
        </w:rPr>
        <w:t>, séduire) ? Il peut désigner selon les exégètes : perdition, égarement, impiété, incroyance, doute, hypocrisie, malveillance, association ou polythéisme (</w:t>
      </w:r>
      <w:r w:rsidRPr="00B867DF">
        <w:rPr>
          <w:rFonts w:eastAsia="Times New Roman"/>
          <w:i/>
          <w:iCs/>
        </w:rPr>
        <w:t>shirk</w:t>
      </w:r>
      <w:r w:rsidRPr="00B867DF">
        <w:rPr>
          <w:rFonts w:eastAsia="Times New Roman"/>
        </w:rPr>
        <w:t>), épreuve et tentation.</w:t>
      </w:r>
    </w:p>
    <w:p w14:paraId="3634A6C6" w14:textId="77777777" w:rsidR="00296288" w:rsidRPr="000F6511" w:rsidRDefault="00296288" w:rsidP="00296288">
      <w:pPr>
        <w:spacing w:line="360" w:lineRule="auto"/>
        <w:jc w:val="both"/>
        <w:rPr>
          <w:rFonts w:asciiTheme="majorBidi" w:eastAsia="Calibri" w:hAnsiTheme="majorBidi" w:cstheme="majorBidi"/>
          <w:lang w:bidi="ar-AE"/>
        </w:rPr>
      </w:pPr>
    </w:p>
    <w:p w14:paraId="1CEEC409"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eastAsia="Calibri" w:hAnsiTheme="majorBidi" w:cstheme="majorBidi"/>
          <w:b/>
          <w:bCs/>
          <w:sz w:val="24"/>
          <w:szCs w:val="24"/>
          <w:lang w:bidi="ar-AE"/>
        </w:rPr>
      </w:pPr>
      <w:r w:rsidRPr="000F6511">
        <w:rPr>
          <w:rFonts w:asciiTheme="majorBidi" w:eastAsia="Calibri" w:hAnsiTheme="majorBidi" w:cstheme="majorBidi"/>
          <w:b/>
          <w:bCs/>
          <w:sz w:val="24"/>
          <w:szCs w:val="24"/>
          <w:lang w:bidi="ar-AE"/>
        </w:rPr>
        <w:t xml:space="preserve">Les adjectifs </w:t>
      </w:r>
      <w:r w:rsidRPr="000F6511">
        <w:rPr>
          <w:rFonts w:ascii="Times New Roman" w:hAnsi="Times New Roman" w:cs="Times New Roman"/>
          <w:b/>
          <w:bCs/>
          <w:i/>
          <w:iCs/>
          <w:sz w:val="24"/>
          <w:szCs w:val="24"/>
        </w:rPr>
        <w:t>Alladhīna fī qulūbi-him maraḍ</w:t>
      </w:r>
      <w:r w:rsidRPr="000F6511">
        <w:rPr>
          <w:rFonts w:ascii="Times New Roman" w:hAnsi="Times New Roman" w:cs="Times New Roman"/>
          <w:b/>
          <w:bCs/>
          <w:sz w:val="24"/>
          <w:szCs w:val="24"/>
        </w:rPr>
        <w:t xml:space="preserve"> et </w:t>
      </w:r>
      <w:r w:rsidRPr="000F6511">
        <w:rPr>
          <w:rFonts w:ascii="Times New Roman" w:hAnsi="Times New Roman" w:cs="Times New Roman"/>
          <w:b/>
          <w:bCs/>
          <w:i/>
          <w:iCs/>
          <w:sz w:val="24"/>
          <w:szCs w:val="24"/>
        </w:rPr>
        <w:t>al-qāsyati qulūbu-hum</w:t>
      </w:r>
      <w:r w:rsidRPr="000F6511">
        <w:rPr>
          <w:rFonts w:ascii="Times New Roman" w:hAnsi="Times New Roman" w:cs="Times New Roman"/>
          <w:b/>
          <w:bCs/>
          <w:sz w:val="24"/>
          <w:szCs w:val="24"/>
        </w:rPr>
        <w:t xml:space="preserve"> (v. 53) :</w:t>
      </w:r>
    </w:p>
    <w:p w14:paraId="0EE35966" w14:textId="6C310A84" w:rsidR="00296288" w:rsidRPr="00B867DF" w:rsidRDefault="00296288" w:rsidP="00296288">
      <w:pPr>
        <w:spacing w:line="360" w:lineRule="auto"/>
        <w:ind w:firstLine="360"/>
        <w:jc w:val="both"/>
        <w:rPr>
          <w:rFonts w:eastAsia="Times New Roman"/>
        </w:rPr>
      </w:pPr>
      <w:r w:rsidRPr="00B867DF">
        <w:rPr>
          <w:rFonts w:eastAsia="Times New Roman"/>
        </w:rPr>
        <w:t>L’appellation « </w:t>
      </w:r>
      <w:r w:rsidRPr="00B867DF">
        <w:rPr>
          <w:rFonts w:eastAsia="Times New Roman"/>
          <w:i/>
          <w:iCs/>
        </w:rPr>
        <w:t>Alladhīna fī qulūbi-him maraḍ</w:t>
      </w:r>
      <w:r w:rsidRPr="00B867DF">
        <w:rPr>
          <w:rFonts w:eastAsia="Times New Roman"/>
        </w:rPr>
        <w:t> » désign</w:t>
      </w:r>
      <w:r w:rsidR="004429BC">
        <w:rPr>
          <w:rFonts w:eastAsia="Times New Roman"/>
        </w:rPr>
        <w:t xml:space="preserve">e l’un des groupes suivants : 1) les polythéistes ; 2) les hypocrites ; 3) les incroyants en général ; 4) </w:t>
      </w:r>
      <w:r w:rsidRPr="00B867DF">
        <w:rPr>
          <w:rFonts w:eastAsia="Times New Roman"/>
        </w:rPr>
        <w:t xml:space="preserve">ceux qui ont des </w:t>
      </w:r>
      <w:r w:rsidR="004429BC">
        <w:rPr>
          <w:rFonts w:eastAsia="Times New Roman"/>
        </w:rPr>
        <w:t xml:space="preserve">doutes à l’égard de l’islam ; 5) </w:t>
      </w:r>
      <w:r w:rsidRPr="00B867DF">
        <w:rPr>
          <w:rFonts w:eastAsia="Times New Roman"/>
        </w:rPr>
        <w:t xml:space="preserve">ceux qui sont malade de l’amour du bas monde (c’est pourquoi Dieu envoie Satan pour enlever cet amour terrestre) (Shaykhū). Malgré toutes ces interprétations, l’expression reste floue. Celui qui aime n’importe quoi dans ce monde, celui qui a n’importe quel doute à l’égard de l’islam, celui qui ne croit pas à la globalité de l’islam ou à une idée musulmane, etc., toutes ces personnes sont malades selon les exégètes </w:t>
      </w:r>
      <w:r w:rsidR="00E77349">
        <w:rPr>
          <w:rFonts w:eastAsia="Times New Roman"/>
        </w:rPr>
        <w:t xml:space="preserve">et figurent dans la liste des </w:t>
      </w:r>
      <w:r w:rsidRPr="00B867DF">
        <w:rPr>
          <w:rFonts w:eastAsia="Times New Roman"/>
          <w:i/>
          <w:iCs/>
        </w:rPr>
        <w:t>Alladhīna fī qulūbi-him maraḍ</w:t>
      </w:r>
      <w:r w:rsidRPr="00B867DF">
        <w:rPr>
          <w:rFonts w:eastAsia="Times New Roman"/>
        </w:rPr>
        <w:t>. Cependant, le Coran ne précise pas les symptômes de « la maladie du cœur » pour reconnaître ceux qui en sont atteints.</w:t>
      </w:r>
    </w:p>
    <w:p w14:paraId="42E96683" w14:textId="77777777" w:rsidR="00296288" w:rsidRPr="00B867DF" w:rsidRDefault="00296288" w:rsidP="00296288">
      <w:pPr>
        <w:spacing w:line="360" w:lineRule="auto"/>
        <w:ind w:firstLine="360"/>
        <w:jc w:val="both"/>
        <w:rPr>
          <w:rFonts w:eastAsia="Times New Roman"/>
        </w:rPr>
      </w:pPr>
    </w:p>
    <w:p w14:paraId="0F0E7BDF"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Quant à l’expression </w:t>
      </w:r>
      <w:r w:rsidRPr="00B867DF">
        <w:rPr>
          <w:rFonts w:eastAsia="Times New Roman"/>
          <w:i/>
          <w:iCs/>
        </w:rPr>
        <w:t>al-qāsyati qulūbu-hum</w:t>
      </w:r>
      <w:r w:rsidRPr="00B867DF">
        <w:rPr>
          <w:rFonts w:eastAsia="Times New Roman"/>
        </w:rPr>
        <w:t xml:space="preserve"> [ceux dont le cœur est endurci], elle peut signifier :</w:t>
      </w:r>
    </w:p>
    <w:p w14:paraId="39B2CA0B" w14:textId="77777777" w:rsidR="00296288" w:rsidRPr="00B867DF" w:rsidRDefault="00296288" w:rsidP="007640DC">
      <w:pPr>
        <w:numPr>
          <w:ilvl w:val="0"/>
          <w:numId w:val="52"/>
        </w:numPr>
        <w:spacing w:line="360" w:lineRule="auto"/>
        <w:jc w:val="both"/>
        <w:rPr>
          <w:rFonts w:eastAsia="Times New Roman"/>
        </w:rPr>
      </w:pPr>
      <w:r w:rsidRPr="00B867DF">
        <w:rPr>
          <w:rFonts w:eastAsia="Times New Roman"/>
        </w:rPr>
        <w:t>ceux dont le cœur est trop dur pour avoir la foi en l’islam,</w:t>
      </w:r>
    </w:p>
    <w:p w14:paraId="1AFDCC09" w14:textId="77777777" w:rsidR="00296288" w:rsidRPr="00B867DF" w:rsidRDefault="00296288" w:rsidP="007640DC">
      <w:pPr>
        <w:numPr>
          <w:ilvl w:val="0"/>
          <w:numId w:val="52"/>
        </w:numPr>
        <w:spacing w:line="360" w:lineRule="auto"/>
        <w:jc w:val="both"/>
        <w:rPr>
          <w:rFonts w:eastAsia="Times New Roman"/>
        </w:rPr>
      </w:pPr>
      <w:r w:rsidRPr="00B867DF">
        <w:rPr>
          <w:rFonts w:eastAsia="Times New Roman"/>
        </w:rPr>
        <w:t>les polythéistes,</w:t>
      </w:r>
    </w:p>
    <w:p w14:paraId="1589260D" w14:textId="77777777" w:rsidR="00296288" w:rsidRPr="00B867DF" w:rsidRDefault="00296288" w:rsidP="007640DC">
      <w:pPr>
        <w:numPr>
          <w:ilvl w:val="0"/>
          <w:numId w:val="52"/>
        </w:numPr>
        <w:spacing w:line="360" w:lineRule="auto"/>
        <w:jc w:val="both"/>
        <w:rPr>
          <w:rFonts w:eastAsia="Times New Roman"/>
        </w:rPr>
      </w:pPr>
      <w:r w:rsidRPr="00B867DF">
        <w:rPr>
          <w:rFonts w:eastAsia="Times New Roman"/>
        </w:rPr>
        <w:t>les juifs,</w:t>
      </w:r>
    </w:p>
    <w:p w14:paraId="49857DB7" w14:textId="77777777" w:rsidR="00296288" w:rsidRPr="00B867DF" w:rsidRDefault="00296288" w:rsidP="007640DC">
      <w:pPr>
        <w:numPr>
          <w:ilvl w:val="0"/>
          <w:numId w:val="52"/>
        </w:numPr>
        <w:spacing w:line="360" w:lineRule="auto"/>
        <w:jc w:val="both"/>
        <w:rPr>
          <w:rFonts w:eastAsia="Times New Roman"/>
        </w:rPr>
      </w:pPr>
      <w:r w:rsidRPr="00B867DF">
        <w:rPr>
          <w:rFonts w:eastAsia="Times New Roman"/>
        </w:rPr>
        <w:t>les mécréants arrogants,</w:t>
      </w:r>
    </w:p>
    <w:p w14:paraId="2134A9C7" w14:textId="77777777" w:rsidR="00296288" w:rsidRPr="00B867DF" w:rsidRDefault="00296288" w:rsidP="007640DC">
      <w:pPr>
        <w:numPr>
          <w:ilvl w:val="0"/>
          <w:numId w:val="52"/>
        </w:numPr>
        <w:spacing w:line="360" w:lineRule="auto"/>
        <w:jc w:val="both"/>
        <w:rPr>
          <w:rFonts w:eastAsia="Times New Roman"/>
        </w:rPr>
      </w:pPr>
      <w:r w:rsidRPr="00B867DF">
        <w:rPr>
          <w:rFonts w:eastAsia="Times New Roman"/>
        </w:rPr>
        <w:lastRenderedPageBreak/>
        <w:t>ceux dont les âmes ne deviennent pas tendres par le rappel de Dieu (Shaykhū).</w:t>
      </w:r>
    </w:p>
    <w:p w14:paraId="7C61F807" w14:textId="77777777" w:rsidR="00296288" w:rsidRPr="00B867DF" w:rsidRDefault="00296288" w:rsidP="00296288">
      <w:pPr>
        <w:spacing w:line="360" w:lineRule="auto"/>
        <w:jc w:val="both"/>
        <w:rPr>
          <w:rFonts w:eastAsia="Times New Roman"/>
        </w:rPr>
      </w:pPr>
    </w:p>
    <w:p w14:paraId="55752259" w14:textId="26DEF1E6" w:rsidR="00296288" w:rsidRPr="00B867DF" w:rsidRDefault="00E77349" w:rsidP="00296288">
      <w:pPr>
        <w:spacing w:line="360" w:lineRule="auto"/>
        <w:ind w:firstLine="360"/>
        <w:jc w:val="both"/>
        <w:rPr>
          <w:rFonts w:eastAsia="Times New Roman"/>
        </w:rPr>
      </w:pPr>
      <w:r>
        <w:rPr>
          <w:rFonts w:eastAsia="Times New Roman"/>
        </w:rPr>
        <w:t xml:space="preserve">Parmi </w:t>
      </w:r>
      <w:r w:rsidR="00296288" w:rsidRPr="00B867DF">
        <w:rPr>
          <w:rFonts w:eastAsia="Times New Roman"/>
          <w:i/>
          <w:iCs/>
        </w:rPr>
        <w:t>al-qāsyati qulūbuhum</w:t>
      </w:r>
      <w:r w:rsidR="00296288" w:rsidRPr="00B867DF">
        <w:rPr>
          <w:rFonts w:eastAsia="Times New Roman"/>
        </w:rPr>
        <w:t xml:space="preserve"> peuvent figurer un musulman, un chrétien, un juif, un athée, etc. Cette description peut marcher pour décrire n’importe quel opposant à l’autorité politique.</w:t>
      </w:r>
    </w:p>
    <w:p w14:paraId="09B38947" w14:textId="77777777" w:rsidR="00296288" w:rsidRPr="00B867DF" w:rsidRDefault="00296288" w:rsidP="00296288">
      <w:pPr>
        <w:spacing w:line="360" w:lineRule="auto"/>
        <w:ind w:firstLine="360"/>
        <w:jc w:val="both"/>
        <w:rPr>
          <w:rFonts w:eastAsia="Times New Roman"/>
        </w:rPr>
      </w:pPr>
    </w:p>
    <w:p w14:paraId="47A60D35" w14:textId="77777777" w:rsidR="00296288" w:rsidRPr="00B867DF" w:rsidRDefault="00296288" w:rsidP="00296288">
      <w:pPr>
        <w:spacing w:line="360" w:lineRule="auto"/>
        <w:ind w:firstLine="360"/>
        <w:jc w:val="both"/>
        <w:rPr>
          <w:rFonts w:eastAsia="Times New Roman"/>
        </w:rPr>
      </w:pPr>
      <w:r w:rsidRPr="00B867DF">
        <w:rPr>
          <w:rFonts w:eastAsia="Times New Roman"/>
        </w:rPr>
        <w:t>On voit bien que le Coran veut avilir tous ceux qui n’acceptent pas son message. Vous devez être musulman, sinon vous serez en proie à la tentation de Satan, vous serez considéré comme malade et dur, vous deviendrez un ennemi, car vous serez l’allié de Satan, et cela vous coûtera cher. C’est là, semble-t-il, l’une des techniques de la propagation de l’islam.</w:t>
      </w:r>
    </w:p>
    <w:p w14:paraId="48558EBC" w14:textId="77777777" w:rsidR="00296288" w:rsidRPr="00B867DF" w:rsidRDefault="00296288" w:rsidP="00296288">
      <w:pPr>
        <w:spacing w:line="360" w:lineRule="auto"/>
        <w:jc w:val="both"/>
        <w:rPr>
          <w:rFonts w:asciiTheme="majorBidi" w:eastAsia="Times New Roman" w:hAnsiTheme="majorBidi" w:cstheme="majorBidi"/>
        </w:rPr>
      </w:pPr>
    </w:p>
    <w:p w14:paraId="15518C07" w14:textId="77777777" w:rsidR="00296288" w:rsidRPr="00F5321A"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rPr>
      </w:pPr>
      <w:r w:rsidRPr="00F5321A">
        <w:rPr>
          <w:rFonts w:asciiTheme="majorBidi" w:hAnsiTheme="majorBidi" w:cstheme="majorBidi"/>
          <w:b/>
          <w:bCs/>
          <w:sz w:val="24"/>
          <w:szCs w:val="24"/>
        </w:rPr>
        <w:t xml:space="preserve">Qui sont </w:t>
      </w:r>
      <w:r w:rsidRPr="00F5321A">
        <w:rPr>
          <w:rFonts w:asciiTheme="majorBidi" w:hAnsiTheme="majorBidi" w:cstheme="majorBidi"/>
          <w:b/>
          <w:bCs/>
          <w:i/>
          <w:iCs/>
          <w:sz w:val="24"/>
          <w:szCs w:val="24"/>
        </w:rPr>
        <w:t>aẓ-ẓālimīn</w:t>
      </w:r>
      <w:r w:rsidRPr="00F5321A">
        <w:rPr>
          <w:rFonts w:asciiTheme="majorBidi" w:hAnsiTheme="majorBidi" w:cstheme="majorBidi"/>
          <w:b/>
          <w:bCs/>
          <w:sz w:val="24"/>
          <w:szCs w:val="24"/>
        </w:rPr>
        <w:t xml:space="preserve"> (v. 53) ?</w:t>
      </w:r>
    </w:p>
    <w:p w14:paraId="7475B830" w14:textId="77777777"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t xml:space="preserve">Ces personnes soumises à la tentation de Satan ont été considérées par le Coran comme </w:t>
      </w:r>
      <w:r w:rsidRPr="00B867DF">
        <w:rPr>
          <w:rFonts w:asciiTheme="majorBidi" w:eastAsia="Times New Roman" w:hAnsiTheme="majorBidi" w:cstheme="majorBidi"/>
          <w:i/>
          <w:iCs/>
        </w:rPr>
        <w:t>ẓālimīn</w:t>
      </w:r>
      <w:r w:rsidRPr="00B867DF">
        <w:rPr>
          <w:rFonts w:asciiTheme="majorBidi" w:eastAsia="Times New Roman" w:hAnsiTheme="majorBidi" w:cstheme="majorBidi"/>
        </w:rPr>
        <w:t xml:space="preserve"> [iniques] même s’ils étaient très justes de point de vue juridique et moral. Aṭ-Ṭabarī affirme que le terme au pluriel </w:t>
      </w:r>
      <w:r w:rsidRPr="00B867DF">
        <w:rPr>
          <w:rFonts w:asciiTheme="majorBidi" w:eastAsia="Times New Roman" w:hAnsiTheme="majorBidi" w:cstheme="majorBidi"/>
          <w:i/>
          <w:iCs/>
        </w:rPr>
        <w:t>aẓ-ẓālimīn</w:t>
      </w:r>
      <w:r w:rsidRPr="00B867DF">
        <w:rPr>
          <w:rFonts w:asciiTheme="majorBidi" w:eastAsia="Times New Roman" w:hAnsiTheme="majorBidi" w:cstheme="majorBidi"/>
        </w:rPr>
        <w:t xml:space="preserve"> désigne précisément les païens de la tribu du prophète (« </w:t>
      </w:r>
      <w:r w:rsidRPr="00B867DF">
        <w:rPr>
          <w:rFonts w:asciiTheme="majorBidi" w:eastAsia="Times New Roman" w:hAnsiTheme="majorBidi" w:cstheme="majorBidi"/>
          <w:i/>
          <w:iCs/>
        </w:rPr>
        <w:t>mushrikī qawmi-ka ya Muḥammad </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les polythéistes de ton peuple, Ô Muḥammad !</w:t>
      </w:r>
      <w:r w:rsidRPr="00B867DF">
        <w:rPr>
          <w:rFonts w:asciiTheme="majorBidi" w:hAnsiTheme="majorBidi" w:cstheme="majorBidi"/>
        </w:rPr>
        <w:t>]</w:t>
      </w:r>
      <w:r w:rsidRPr="00B867DF">
        <w:rPr>
          <w:rFonts w:asciiTheme="majorBidi" w:eastAsia="Times New Roman" w:hAnsiTheme="majorBidi" w:cstheme="majorBidi"/>
        </w:rPr>
        <w:t xml:space="preserve">). En effet, le verset II, 229 souligne que ceux qui transgressent les limites établies par Dieu (à savoir les </w:t>
      </w:r>
      <w:r w:rsidRPr="00B867DF">
        <w:rPr>
          <w:rFonts w:asciiTheme="majorBidi" w:eastAsia="Times New Roman" w:hAnsiTheme="majorBidi" w:cstheme="majorBidi"/>
          <w:i/>
          <w:iCs/>
        </w:rPr>
        <w:t>aḥkām</w:t>
      </w:r>
      <w:r w:rsidRPr="00B867DF">
        <w:rPr>
          <w:rFonts w:asciiTheme="majorBidi" w:eastAsia="Times New Roman" w:hAnsiTheme="majorBidi" w:cstheme="majorBidi"/>
        </w:rPr>
        <w:t xml:space="preserve"> du droit musulman) sont les injustes (</w:t>
      </w:r>
      <w:r w:rsidRPr="00B867DF">
        <w:rPr>
          <w:rFonts w:asciiTheme="majorBidi" w:eastAsia="Times New Roman" w:hAnsiTheme="majorBidi" w:cstheme="majorBidi"/>
          <w:i/>
          <w:iCs/>
        </w:rPr>
        <w:t>aẓ-ẓālimūn</w:t>
      </w:r>
      <w:r w:rsidRPr="00B867DF">
        <w:rPr>
          <w:rFonts w:asciiTheme="majorBidi" w:eastAsia="Times New Roman" w:hAnsiTheme="majorBidi" w:cstheme="majorBidi"/>
        </w:rPr>
        <w:t>). Ceux qui n’observent pas la loi musulmane sont considérés comme injustes. Plus encore, le verset II, 254 dit clairement que ce sont les dénégateurs qui sont les injustes (« </w:t>
      </w:r>
      <w:r w:rsidRPr="00B867DF">
        <w:rPr>
          <w:rFonts w:asciiTheme="majorBidi" w:eastAsia="Times New Roman" w:hAnsiTheme="majorBidi" w:cstheme="majorBidi"/>
          <w:i/>
          <w:iCs/>
        </w:rPr>
        <w:t>wa-l-kāfirūna humu ẓ-ẓālimūn</w:t>
      </w:r>
      <w:r w:rsidRPr="00B867DF">
        <w:rPr>
          <w:rFonts w:asciiTheme="majorBidi" w:eastAsia="Times New Roman" w:hAnsiTheme="majorBidi" w:cstheme="majorBidi"/>
        </w:rPr>
        <w:t> »). L’un des critères essentiels de l’injustice selon le Coran est donc de ne pas embrasser l’islam. Ce qui veut dire que l’islam est la justice. Ainsi, nous concluons que la justice qui est un concept philosophique, juridique et moral est devenue avec le Coran un concept confessionnel, nationaliste.</w:t>
      </w:r>
    </w:p>
    <w:p w14:paraId="63280CDC" w14:textId="77777777" w:rsidR="00296288" w:rsidRPr="00B867DF" w:rsidRDefault="00296288" w:rsidP="00296288">
      <w:pPr>
        <w:spacing w:line="360" w:lineRule="auto"/>
        <w:ind w:firstLine="360"/>
        <w:jc w:val="both"/>
        <w:rPr>
          <w:rFonts w:asciiTheme="majorBidi" w:eastAsia="Times New Roman" w:hAnsiTheme="majorBidi" w:cstheme="majorBidi"/>
        </w:rPr>
      </w:pPr>
    </w:p>
    <w:p w14:paraId="128244D8" w14:textId="77777777" w:rsidR="00296288" w:rsidRPr="00B867DF" w:rsidRDefault="00296288" w:rsidP="00296288">
      <w:pPr>
        <w:spacing w:line="360" w:lineRule="auto"/>
        <w:ind w:firstLine="360"/>
        <w:jc w:val="both"/>
        <w:rPr>
          <w:rFonts w:asciiTheme="majorBidi" w:hAnsiTheme="majorBidi" w:cstheme="majorBidi"/>
        </w:rPr>
      </w:pPr>
      <w:r w:rsidRPr="00B867DF">
        <w:rPr>
          <w:rFonts w:asciiTheme="majorBidi" w:eastAsia="Times New Roman" w:hAnsiTheme="majorBidi" w:cstheme="majorBidi"/>
        </w:rPr>
        <w:t xml:space="preserve">Les anciens exégètes ont limité le champ sémantique des </w:t>
      </w:r>
      <w:r w:rsidRPr="00B867DF">
        <w:rPr>
          <w:rFonts w:asciiTheme="majorBidi" w:eastAsia="Times New Roman" w:hAnsiTheme="majorBidi" w:cstheme="majorBidi"/>
          <w:i/>
          <w:iCs/>
        </w:rPr>
        <w:t>ẓālimīn</w:t>
      </w:r>
      <w:r w:rsidRPr="00B867DF">
        <w:rPr>
          <w:rFonts w:asciiTheme="majorBidi" w:eastAsia="Times New Roman" w:hAnsiTheme="majorBidi" w:cstheme="majorBidi"/>
        </w:rPr>
        <w:t xml:space="preserve"> dans les polythéistes et les mécréants, s’inspirant du verset « </w:t>
      </w:r>
      <w:r w:rsidRPr="00B867DF">
        <w:rPr>
          <w:rFonts w:asciiTheme="majorBidi" w:eastAsia="Times New Roman" w:hAnsiTheme="majorBidi" w:cstheme="majorBidi"/>
          <w:i/>
          <w:iCs/>
        </w:rPr>
        <w:t>inna ash-shirka la-ẓulmun ʿaẓīm </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Lui associer quiconque est iniquité</w:t>
      </w:r>
      <w:r w:rsidRPr="00B867DF">
        <w:rPr>
          <w:rFonts w:asciiTheme="majorBidi" w:hAnsiTheme="majorBidi" w:cstheme="majorBidi"/>
        </w:rPr>
        <w:t xml:space="preserve">] (XXX1, 13), alors que l’exégèse moderne </w:t>
      </w:r>
      <w:r w:rsidRPr="00B867DF">
        <w:rPr>
          <w:rFonts w:asciiTheme="majorBidi" w:hAnsiTheme="majorBidi" w:cstheme="majorBidi"/>
          <w:i/>
          <w:iCs/>
        </w:rPr>
        <w:t xml:space="preserve">Zahrat at-Tafāsīr </w:t>
      </w:r>
      <w:r w:rsidRPr="00B867DF">
        <w:rPr>
          <w:rFonts w:asciiTheme="majorBidi" w:hAnsiTheme="majorBidi" w:cstheme="majorBidi"/>
        </w:rPr>
        <w:t>du théologien égyptien Muḥammad Abū Zahra (1898-1974) en élargit le champ sémantique pour englober le polythéisme (</w:t>
      </w:r>
      <w:r w:rsidRPr="00B867DF">
        <w:rPr>
          <w:rFonts w:asciiTheme="majorBidi" w:hAnsiTheme="majorBidi" w:cstheme="majorBidi"/>
          <w:i/>
          <w:iCs/>
        </w:rPr>
        <w:t>shirk</w:t>
      </w:r>
      <w:r w:rsidRPr="00B867DF">
        <w:rPr>
          <w:rFonts w:asciiTheme="majorBidi" w:hAnsiTheme="majorBidi" w:cstheme="majorBidi"/>
        </w:rPr>
        <w:t>), la trahison (</w:t>
      </w:r>
      <w:r w:rsidRPr="00B867DF">
        <w:rPr>
          <w:rFonts w:asciiTheme="majorBidi" w:hAnsiTheme="majorBidi" w:cstheme="majorBidi"/>
          <w:i/>
          <w:iCs/>
        </w:rPr>
        <w:t>khyāna</w:t>
      </w:r>
      <w:r w:rsidRPr="00B867DF">
        <w:rPr>
          <w:rFonts w:asciiTheme="majorBidi" w:hAnsiTheme="majorBidi" w:cstheme="majorBidi"/>
        </w:rPr>
        <w:t>), la médisance (</w:t>
      </w:r>
      <w:r w:rsidRPr="00B867DF">
        <w:rPr>
          <w:rFonts w:asciiTheme="majorBidi" w:hAnsiTheme="majorBidi" w:cstheme="majorBidi"/>
          <w:i/>
          <w:iCs/>
        </w:rPr>
        <w:t>namīma</w:t>
      </w:r>
      <w:r w:rsidRPr="00B867DF">
        <w:rPr>
          <w:rFonts w:asciiTheme="majorBidi" w:hAnsiTheme="majorBidi" w:cstheme="majorBidi"/>
        </w:rPr>
        <w:t>) et l’injustice commise à l’encontre des humains (</w:t>
      </w:r>
      <w:r w:rsidRPr="00B867DF">
        <w:rPr>
          <w:rFonts w:asciiTheme="majorBidi" w:eastAsia="Times New Roman" w:hAnsiTheme="majorBidi" w:cstheme="majorBidi"/>
          <w:i/>
          <w:iCs/>
        </w:rPr>
        <w:t>ẓulm al-ʿibād</w:t>
      </w:r>
      <w:r w:rsidRPr="00B867DF">
        <w:rPr>
          <w:rFonts w:asciiTheme="majorBidi" w:hAnsiTheme="majorBidi" w:cstheme="majorBidi"/>
        </w:rPr>
        <w:t>).</w:t>
      </w:r>
    </w:p>
    <w:p w14:paraId="2A97BBAE" w14:textId="77777777" w:rsidR="00296288" w:rsidRPr="000F6511" w:rsidRDefault="00296288" w:rsidP="00296288">
      <w:pPr>
        <w:spacing w:line="360" w:lineRule="auto"/>
        <w:ind w:firstLine="360"/>
        <w:jc w:val="both"/>
        <w:rPr>
          <w:rFonts w:asciiTheme="majorBidi" w:hAnsiTheme="majorBidi" w:cstheme="majorBidi"/>
          <w:rtl/>
        </w:rPr>
      </w:pPr>
    </w:p>
    <w:p w14:paraId="1A07D84E"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rPr>
      </w:pPr>
      <w:r w:rsidRPr="000F6511">
        <w:rPr>
          <w:rFonts w:asciiTheme="majorBidi" w:hAnsiTheme="majorBidi" w:cstheme="majorBidi"/>
          <w:b/>
          <w:bCs/>
          <w:sz w:val="24"/>
          <w:szCs w:val="24"/>
        </w:rPr>
        <w:t xml:space="preserve">Le </w:t>
      </w:r>
      <w:r w:rsidRPr="000F6511">
        <w:rPr>
          <w:rFonts w:asciiTheme="majorBidi" w:hAnsiTheme="majorBidi" w:cstheme="majorBidi"/>
          <w:b/>
          <w:bCs/>
          <w:i/>
          <w:iCs/>
          <w:sz w:val="24"/>
          <w:szCs w:val="24"/>
        </w:rPr>
        <w:t>shiqāq baʿīd </w:t>
      </w:r>
      <w:r w:rsidRPr="000F6511">
        <w:rPr>
          <w:rFonts w:asciiTheme="majorBidi" w:hAnsiTheme="majorBidi" w:cstheme="majorBidi"/>
          <w:b/>
          <w:bCs/>
          <w:sz w:val="24"/>
          <w:szCs w:val="24"/>
        </w:rPr>
        <w:t>?</w:t>
      </w:r>
    </w:p>
    <w:p w14:paraId="3A01F6DD" w14:textId="77204C4D" w:rsidR="00296288" w:rsidRPr="00B867DF" w:rsidRDefault="00296288" w:rsidP="00296288">
      <w:pPr>
        <w:spacing w:line="360" w:lineRule="auto"/>
        <w:ind w:firstLine="360"/>
        <w:jc w:val="both"/>
        <w:rPr>
          <w:rFonts w:eastAsia="Times New Roman"/>
        </w:rPr>
      </w:pPr>
      <w:r w:rsidRPr="00B867DF">
        <w:rPr>
          <w:rFonts w:eastAsia="Times New Roman"/>
        </w:rPr>
        <w:lastRenderedPageBreak/>
        <w:t xml:space="preserve">Le verset 53 souligne </w:t>
      </w:r>
      <w:r w:rsidR="00E77349">
        <w:rPr>
          <w:rFonts w:eastAsia="Times New Roman"/>
        </w:rPr>
        <w:t xml:space="preserve">que les injustes sont dans un </w:t>
      </w:r>
      <w:r w:rsidRPr="00B867DF">
        <w:rPr>
          <w:rFonts w:eastAsia="Times New Roman"/>
          <w:i/>
          <w:iCs/>
        </w:rPr>
        <w:t>shiqāq baʿīd</w:t>
      </w:r>
      <w:r w:rsidRPr="00B867DF">
        <w:rPr>
          <w:rFonts w:eastAsia="Times New Roman"/>
        </w:rPr>
        <w:t xml:space="preserve"> [dissension lointaine]. Les exégètes expliquent le terme </w:t>
      </w:r>
      <w:r w:rsidRPr="00B867DF">
        <w:rPr>
          <w:rFonts w:eastAsia="Times New Roman"/>
          <w:i/>
          <w:iCs/>
        </w:rPr>
        <w:t>shiqāq</w:t>
      </w:r>
      <w:r w:rsidRPr="00B867DF">
        <w:rPr>
          <w:rFonts w:eastAsia="Times New Roman"/>
        </w:rPr>
        <w:t xml:space="preserve"> par : l’éloignement de la vérité, l’erreur, l’égarement, la violation de la loi musulmane, l’obstination, l’éloignement du bien, l’injustice, l’animosité, la haine contre le prophète, la haine contre les musulmans, une discorde illogique. En général, beaucoup d’exégèses insistent sur l’hostilité des injustes envers l’islam.</w:t>
      </w:r>
    </w:p>
    <w:p w14:paraId="78683D8B" w14:textId="77777777" w:rsidR="00296288" w:rsidRDefault="00296288" w:rsidP="00296288">
      <w:pPr>
        <w:spacing w:line="360" w:lineRule="auto"/>
        <w:jc w:val="both"/>
        <w:rPr>
          <w:rFonts w:eastAsia="Times New Roman"/>
        </w:rPr>
      </w:pPr>
    </w:p>
    <w:p w14:paraId="48AA874F" w14:textId="77777777" w:rsidR="00EE1AC9" w:rsidRDefault="00EE1AC9" w:rsidP="00296288">
      <w:pPr>
        <w:spacing w:line="360" w:lineRule="auto"/>
        <w:jc w:val="both"/>
        <w:rPr>
          <w:rFonts w:eastAsia="Times New Roman"/>
        </w:rPr>
      </w:pPr>
    </w:p>
    <w:p w14:paraId="5115BDC9" w14:textId="77777777" w:rsidR="00EE1AC9" w:rsidRPr="000F6511" w:rsidRDefault="00EE1AC9" w:rsidP="00296288">
      <w:pPr>
        <w:spacing w:line="360" w:lineRule="auto"/>
        <w:jc w:val="both"/>
        <w:rPr>
          <w:rFonts w:eastAsia="Times New Roman"/>
        </w:rPr>
      </w:pPr>
    </w:p>
    <w:p w14:paraId="520E05B7"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rPr>
      </w:pPr>
      <w:r w:rsidRPr="000F6511">
        <w:rPr>
          <w:rFonts w:asciiTheme="majorBidi" w:hAnsiTheme="majorBidi" w:cstheme="majorBidi"/>
          <w:b/>
          <w:bCs/>
          <w:sz w:val="24"/>
          <w:szCs w:val="24"/>
        </w:rPr>
        <w:t xml:space="preserve">Qui sont </w:t>
      </w:r>
      <w:r w:rsidRPr="000F6511">
        <w:rPr>
          <w:rFonts w:asciiTheme="majorBidi" w:hAnsiTheme="majorBidi" w:cstheme="majorBidi"/>
          <w:b/>
          <w:bCs/>
          <w:i/>
          <w:iCs/>
          <w:sz w:val="24"/>
          <w:szCs w:val="24"/>
        </w:rPr>
        <w:t>alladhīna ūtu l-ʿilma</w:t>
      </w:r>
      <w:r w:rsidRPr="000F6511">
        <w:rPr>
          <w:rFonts w:asciiTheme="majorBidi" w:hAnsiTheme="majorBidi" w:cstheme="majorBidi"/>
          <w:b/>
          <w:bCs/>
          <w:sz w:val="24"/>
          <w:szCs w:val="24"/>
        </w:rPr>
        <w:t xml:space="preserve"> (v. 54) ?</w:t>
      </w:r>
    </w:p>
    <w:p w14:paraId="7EFE2002" w14:textId="77777777"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t xml:space="preserve">Ni le verset ni la sourate n’explique qui sont ces </w:t>
      </w:r>
      <w:r w:rsidRPr="00B867DF">
        <w:rPr>
          <w:rFonts w:asciiTheme="majorBidi" w:eastAsia="Times New Roman" w:hAnsiTheme="majorBidi" w:cstheme="majorBidi"/>
          <w:i/>
          <w:iCs/>
        </w:rPr>
        <w:t>alladhīna ūtu l-ʿilma</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ceux dotés de science</w:t>
      </w:r>
      <w:r w:rsidRPr="00B867DF">
        <w:rPr>
          <w:rFonts w:asciiTheme="majorBidi" w:hAnsiTheme="majorBidi" w:cstheme="majorBidi"/>
        </w:rPr>
        <w:t>]</w:t>
      </w:r>
      <w:r w:rsidRPr="00B867DF">
        <w:rPr>
          <w:rFonts w:asciiTheme="majorBidi" w:eastAsia="Times New Roman" w:hAnsiTheme="majorBidi" w:cstheme="majorBidi"/>
        </w:rPr>
        <w:t>. Cependant, les exégètes proposent les significations suivantes :</w:t>
      </w:r>
    </w:p>
    <w:p w14:paraId="761EE775"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ont une connaissance en Dieu,</w:t>
      </w:r>
    </w:p>
    <w:p w14:paraId="1AA261BA"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savent bien ce qui est bon et utile et qui distingue entre la vérité et l’erreur,</w:t>
      </w:r>
    </w:p>
    <w:p w14:paraId="628BD789"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compagnons du prophète Muḥammad,</w:t>
      </w:r>
    </w:p>
    <w:p w14:paraId="29D8A11A"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croyants musulmans,</w:t>
      </w:r>
    </w:p>
    <w:p w14:paraId="76A91F5C"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croyants qui ont reçu plus de connaissance,</w:t>
      </w:r>
    </w:p>
    <w:p w14:paraId="5125001C"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 xml:space="preserve">les gens du </w:t>
      </w:r>
      <w:r w:rsidRPr="00B867DF">
        <w:rPr>
          <w:rFonts w:asciiTheme="majorBidi" w:eastAsia="Times New Roman" w:hAnsiTheme="majorBidi" w:cstheme="majorBidi"/>
          <w:i/>
          <w:iCs/>
        </w:rPr>
        <w:t>tawḥīd</w:t>
      </w:r>
      <w:r w:rsidRPr="00B867DF">
        <w:rPr>
          <w:rFonts w:asciiTheme="majorBidi" w:eastAsia="Times New Roman" w:hAnsiTheme="majorBidi" w:cstheme="majorBidi"/>
        </w:rPr>
        <w:t xml:space="preserve"> (les monothéistes),</w:t>
      </w:r>
    </w:p>
    <w:p w14:paraId="13821D66"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gens du Livre (</w:t>
      </w:r>
      <w:r w:rsidRPr="00B867DF">
        <w:rPr>
          <w:rFonts w:asciiTheme="majorBidi" w:eastAsia="Times New Roman" w:hAnsiTheme="majorBidi" w:cstheme="majorBidi"/>
          <w:i/>
          <w:iCs/>
        </w:rPr>
        <w:t>Ahl al-kitāb</w:t>
      </w:r>
      <w:r w:rsidRPr="00B867DF">
        <w:rPr>
          <w:rFonts w:asciiTheme="majorBidi" w:eastAsia="Times New Roman" w:hAnsiTheme="majorBidi" w:cstheme="majorBidi"/>
        </w:rPr>
        <w:t>),</w:t>
      </w:r>
    </w:p>
    <w:p w14:paraId="01AE82C3"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ne sont pas fanatiques,</w:t>
      </w:r>
    </w:p>
    <w:p w14:paraId="1EDB28DE" w14:textId="77777777" w:rsidR="00296288" w:rsidRPr="00B867DF" w:rsidRDefault="00296288" w:rsidP="007640DC">
      <w:pPr>
        <w:numPr>
          <w:ilvl w:val="0"/>
          <w:numId w:val="53"/>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se dirigent vers Dieu et qui connaissent par la suite Sa miséricorde et Sa clémence (Shaykhū).</w:t>
      </w:r>
    </w:p>
    <w:p w14:paraId="58BB7EB4" w14:textId="77777777" w:rsidR="00296288" w:rsidRPr="00B867DF" w:rsidRDefault="00296288" w:rsidP="00296288">
      <w:pPr>
        <w:spacing w:line="360" w:lineRule="auto"/>
        <w:jc w:val="both"/>
        <w:rPr>
          <w:rFonts w:eastAsia="Times New Roman"/>
          <w:lang w:bidi="ar-EG"/>
        </w:rPr>
      </w:pPr>
    </w:p>
    <w:p w14:paraId="2BF896C2" w14:textId="43A4A251" w:rsidR="00296288" w:rsidRPr="00B867DF" w:rsidRDefault="00296288" w:rsidP="00296288">
      <w:pPr>
        <w:spacing w:line="360" w:lineRule="auto"/>
        <w:ind w:firstLine="360"/>
        <w:jc w:val="both"/>
        <w:rPr>
          <w:rFonts w:eastAsia="Times New Roman"/>
        </w:rPr>
      </w:pPr>
      <w:r w:rsidRPr="00B867DF">
        <w:rPr>
          <w:rFonts w:eastAsia="Times New Roman"/>
          <w:lang w:bidi="ar-EG"/>
        </w:rPr>
        <w:t xml:space="preserve">Nous avons vu dans l’analyse du verset 3 que le Coran voulait dire par </w:t>
      </w:r>
      <w:r w:rsidRPr="00B867DF">
        <w:rPr>
          <w:rFonts w:eastAsia="Times New Roman"/>
          <w:i/>
          <w:iCs/>
          <w:lang w:bidi="ar-EG"/>
        </w:rPr>
        <w:t>ʿilm</w:t>
      </w:r>
      <w:r w:rsidRPr="00B867DF">
        <w:rPr>
          <w:rFonts w:eastAsia="Times New Roman"/>
          <w:lang w:bidi="ar-EG"/>
        </w:rPr>
        <w:t xml:space="preserve"> : les Écritures. Ainsi, </w:t>
      </w:r>
      <w:r w:rsidRPr="00B867DF">
        <w:rPr>
          <w:rFonts w:eastAsia="Times New Roman"/>
          <w:i/>
          <w:iCs/>
        </w:rPr>
        <w:t>alladhīna ʾūtu l-ʿilm</w:t>
      </w:r>
      <w:r w:rsidRPr="00B867DF">
        <w:rPr>
          <w:rFonts w:eastAsia="Times New Roman"/>
          <w:lang w:bidi="ar-EG"/>
        </w:rPr>
        <w:t xml:space="preserve"> désigne ceux qui ont reçu les Écritures, à savoir les gens du Livre, comme l’indique Al-Qurṭubī d’après Muqātil (dans son interprétation de ce verset et du verset XXXIV, 6). Le Coran utilise l’appellation </w:t>
      </w:r>
      <w:r w:rsidRPr="00B867DF">
        <w:rPr>
          <w:rFonts w:eastAsia="Times New Roman"/>
          <w:i/>
          <w:iCs/>
        </w:rPr>
        <w:t>alladhīna ūtu l-ʿilm</w:t>
      </w:r>
      <w:r w:rsidRPr="00B867DF">
        <w:rPr>
          <w:rFonts w:eastAsia="Times New Roman"/>
          <w:lang w:bidi="ar-EG"/>
        </w:rPr>
        <w:t xml:space="preserve"> comme antonyme de </w:t>
      </w:r>
      <w:r w:rsidRPr="00B867DF">
        <w:rPr>
          <w:rFonts w:eastAsia="Times New Roman"/>
          <w:i/>
          <w:iCs/>
          <w:lang w:bidi="ar-EG"/>
        </w:rPr>
        <w:t xml:space="preserve">ummīyūn </w:t>
      </w:r>
      <w:r w:rsidRPr="00B867DF">
        <w:rPr>
          <w:rFonts w:eastAsia="Times New Roman"/>
          <w:lang w:bidi="ar-EG"/>
        </w:rPr>
        <w:t xml:space="preserve">(qui correspond à </w:t>
      </w:r>
      <w:r w:rsidRPr="00B867DF">
        <w:rPr>
          <w:rFonts w:eastAsia="Times New Roman"/>
          <w:i/>
          <w:iCs/>
          <w:lang w:bidi="ar-EG"/>
        </w:rPr>
        <w:t>Goyim</w:t>
      </w:r>
      <w:r w:rsidRPr="00B867DF">
        <w:rPr>
          <w:rFonts w:eastAsia="Times New Roman"/>
          <w:lang w:bidi="ar-EG"/>
        </w:rPr>
        <w:t xml:space="preserve">, aux </w:t>
      </w:r>
      <w:r w:rsidRPr="00B867DF">
        <w:rPr>
          <w:rFonts w:eastAsia="Times New Roman"/>
          <w:i/>
          <w:iCs/>
          <w:lang w:bidi="ar-EG"/>
        </w:rPr>
        <w:t>Gentils</w:t>
      </w:r>
      <w:r w:rsidRPr="00B867DF">
        <w:rPr>
          <w:rFonts w:eastAsia="Times New Roman"/>
          <w:lang w:bidi="ar-EG"/>
        </w:rPr>
        <w:t xml:space="preserve">). Par contre, l’exégèse moderne a élargi le champ sémantique aussi bien de </w:t>
      </w:r>
      <w:r w:rsidRPr="00B867DF">
        <w:rPr>
          <w:rFonts w:eastAsia="Times New Roman"/>
          <w:i/>
          <w:iCs/>
          <w:lang w:bidi="ar-EG"/>
        </w:rPr>
        <w:t>ʿilm</w:t>
      </w:r>
      <w:r w:rsidR="00E77349">
        <w:rPr>
          <w:rFonts w:eastAsia="Times New Roman"/>
          <w:lang w:bidi="ar-EG"/>
        </w:rPr>
        <w:t xml:space="preserve"> que de </w:t>
      </w:r>
      <w:r w:rsidRPr="00B867DF">
        <w:rPr>
          <w:rFonts w:eastAsia="Times New Roman"/>
          <w:i/>
          <w:iCs/>
        </w:rPr>
        <w:t>alladhīna ūtu l-ʿilm</w:t>
      </w:r>
      <w:r w:rsidRPr="00B867DF">
        <w:rPr>
          <w:rFonts w:eastAsia="Times New Roman"/>
        </w:rPr>
        <w:t xml:space="preserve"> pour désigner tout type de science.</w:t>
      </w:r>
    </w:p>
    <w:p w14:paraId="7ABC625F" w14:textId="77777777" w:rsidR="00296288" w:rsidRPr="00F5321A" w:rsidRDefault="00296288" w:rsidP="00296288">
      <w:pPr>
        <w:spacing w:line="360" w:lineRule="auto"/>
        <w:ind w:firstLine="360"/>
        <w:jc w:val="both"/>
        <w:rPr>
          <w:rFonts w:eastAsia="Times New Roman"/>
          <w:lang w:bidi="ar-EG"/>
        </w:rPr>
      </w:pPr>
    </w:p>
    <w:p w14:paraId="0C88FB11" w14:textId="61FBC2F4" w:rsidR="00296288" w:rsidRDefault="00296288" w:rsidP="00EE1AC9">
      <w:pPr>
        <w:spacing w:line="360" w:lineRule="auto"/>
        <w:ind w:firstLine="360"/>
        <w:jc w:val="both"/>
        <w:rPr>
          <w:rFonts w:eastAsia="Times New Roman"/>
          <w:lang w:bidi="ar-EG"/>
        </w:rPr>
      </w:pPr>
      <w:r w:rsidRPr="00F5321A">
        <w:rPr>
          <w:rFonts w:eastAsia="Times New Roman"/>
          <w:lang w:bidi="ar-EG"/>
        </w:rPr>
        <w:t>Habituellement, les exégèses modernes réduisent la polysémie du Coran en supprimant les significations controversées, les faits</w:t>
      </w:r>
      <w:r w:rsidRPr="00B867DF">
        <w:rPr>
          <w:rFonts w:eastAsia="Times New Roman"/>
          <w:lang w:bidi="ar-EG"/>
        </w:rPr>
        <w:t xml:space="preserve"> historiques, et les interprétations qui sèment le doute ; mais </w:t>
      </w:r>
      <w:r w:rsidRPr="00B867DF">
        <w:rPr>
          <w:rFonts w:eastAsia="Times New Roman"/>
          <w:lang w:bidi="ar-EG"/>
        </w:rPr>
        <w:lastRenderedPageBreak/>
        <w:t xml:space="preserve">quand il s’agit de rendre le Coran conforme à la connaissance scientifique moderne (concordisme), ils ne s’empêchent pas d’inventer une nouvelle signification ou d’élargir le sens. </w:t>
      </w:r>
    </w:p>
    <w:p w14:paraId="7E1461AF" w14:textId="77777777" w:rsidR="00296288" w:rsidRPr="00B867DF" w:rsidRDefault="00296288" w:rsidP="00296288">
      <w:pPr>
        <w:spacing w:line="360" w:lineRule="auto"/>
        <w:ind w:firstLine="360"/>
        <w:jc w:val="both"/>
        <w:rPr>
          <w:rFonts w:eastAsia="Times New Roman"/>
          <w:lang w:bidi="ar-EG"/>
        </w:rPr>
      </w:pPr>
    </w:p>
    <w:p w14:paraId="6EF484B6" w14:textId="77777777" w:rsidR="00296288" w:rsidRPr="00F5321A"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bidi="ar-EG"/>
        </w:rPr>
      </w:pPr>
      <w:r w:rsidRPr="00F5321A">
        <w:rPr>
          <w:rFonts w:ascii="Times New Roman" w:hAnsi="Times New Roman" w:cs="Times New Roman"/>
          <w:b/>
          <w:bCs/>
          <w:sz w:val="24"/>
          <w:szCs w:val="24"/>
        </w:rPr>
        <w:t xml:space="preserve">Le verbe </w:t>
      </w:r>
      <w:r w:rsidRPr="00F5321A">
        <w:rPr>
          <w:rFonts w:ascii="Times New Roman" w:hAnsi="Times New Roman" w:cs="Times New Roman"/>
          <w:b/>
          <w:bCs/>
          <w:i/>
          <w:iCs/>
          <w:sz w:val="24"/>
          <w:szCs w:val="24"/>
        </w:rPr>
        <w:t>tukhbit</w:t>
      </w:r>
      <w:r w:rsidRPr="00F5321A">
        <w:rPr>
          <w:rFonts w:ascii="Times New Roman" w:hAnsi="Times New Roman" w:cs="Times New Roman"/>
          <w:b/>
          <w:bCs/>
          <w:sz w:val="24"/>
          <w:szCs w:val="24"/>
        </w:rPr>
        <w:t> :</w:t>
      </w:r>
    </w:p>
    <w:p w14:paraId="359429FC" w14:textId="6F299D49" w:rsidR="00296288" w:rsidRPr="00B867DF" w:rsidRDefault="00E77349" w:rsidP="00296288">
      <w:pPr>
        <w:spacing w:line="360" w:lineRule="auto"/>
        <w:ind w:firstLine="360"/>
        <w:jc w:val="both"/>
        <w:rPr>
          <w:rFonts w:eastAsia="Times New Roman"/>
        </w:rPr>
      </w:pPr>
      <w:r>
        <w:rPr>
          <w:rFonts w:eastAsia="Times New Roman"/>
        </w:rPr>
        <w:t xml:space="preserve">Le verbe au subjonctif </w:t>
      </w:r>
      <w:r w:rsidR="00296288" w:rsidRPr="00B867DF">
        <w:rPr>
          <w:rFonts w:eastAsia="Times New Roman"/>
          <w:i/>
          <w:iCs/>
        </w:rPr>
        <w:t>tukhbit</w:t>
      </w:r>
      <w:r w:rsidR="00296288" w:rsidRPr="00E77349">
        <w:rPr>
          <w:rFonts w:eastAsia="Times New Roman"/>
          <w:i/>
          <w:iCs/>
        </w:rPr>
        <w:t>a</w:t>
      </w:r>
      <w:r w:rsidR="00296288" w:rsidRPr="00B867DF">
        <w:rPr>
          <w:rFonts w:eastAsia="Times New Roman"/>
        </w:rPr>
        <w:t xml:space="preserve"> (utilisé dans la proposition subordonnée consécutive « </w:t>
      </w:r>
      <w:r w:rsidR="00296288" w:rsidRPr="00B867DF">
        <w:rPr>
          <w:rFonts w:eastAsia="Times New Roman"/>
          <w:i/>
          <w:iCs/>
        </w:rPr>
        <w:t>fa-tukhbita la-hu qulūbu-hum</w:t>
      </w:r>
      <w:r w:rsidR="00296288" w:rsidRPr="00B867DF">
        <w:rPr>
          <w:rFonts w:eastAsia="Times New Roman"/>
        </w:rPr>
        <w:t> »</w:t>
      </w:r>
      <w:r w:rsidR="00296288" w:rsidRPr="00B867DF">
        <w:rPr>
          <w:rFonts w:eastAsia="Times New Roman"/>
          <w:i/>
          <w:iCs/>
        </w:rPr>
        <w:t xml:space="preserve"> </w:t>
      </w:r>
      <w:r w:rsidR="00296288" w:rsidRPr="00B867DF">
        <w:rPr>
          <w:rFonts w:eastAsia="Times New Roman"/>
        </w:rPr>
        <w:t>[que leur cœur s’humilie devant Lui]) (v. 54) a les signific</w:t>
      </w:r>
      <w:r w:rsidR="00296288" w:rsidRPr="00B867DF">
        <w:rPr>
          <w:rFonts w:eastAsia="Times New Roman"/>
          <w:lang w:bidi="ar-KW"/>
        </w:rPr>
        <w:t>a</w:t>
      </w:r>
      <w:r w:rsidR="00296288" w:rsidRPr="00B867DF">
        <w:rPr>
          <w:rFonts w:eastAsia="Times New Roman"/>
        </w:rPr>
        <w:t>tions de : se soumettre, s’humilier, être sincère, se tranquilliser, se rassurer, voir comme bien toute chose qui vient de Dieu (Shaykhū). Le champ sémantique de ce verbe contient les concepts suivants : soumission, humiliation, sincérité et tranquillité. Il semble que le verbe désigne un troc : une obligation de se soumettre avec humiliation et sincérité pour avoir une récompense : la paix.</w:t>
      </w:r>
    </w:p>
    <w:p w14:paraId="101B89BB" w14:textId="77777777" w:rsidR="00296288" w:rsidRPr="000F6511" w:rsidRDefault="00296288" w:rsidP="00296288">
      <w:pPr>
        <w:spacing w:line="360" w:lineRule="auto"/>
        <w:jc w:val="both"/>
        <w:rPr>
          <w:rFonts w:asciiTheme="majorBidi" w:eastAsia="Calibri" w:hAnsiTheme="majorBidi" w:cstheme="majorBidi"/>
          <w:lang w:bidi="ar-AE"/>
        </w:rPr>
      </w:pPr>
    </w:p>
    <w:p w14:paraId="0B7F94F7"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eastAsia="Calibri" w:hAnsiTheme="majorBidi" w:cstheme="majorBidi"/>
          <w:b/>
          <w:bCs/>
          <w:sz w:val="24"/>
          <w:szCs w:val="24"/>
          <w:lang w:bidi="ar-AE"/>
        </w:rPr>
      </w:pPr>
      <w:r w:rsidRPr="000F6511">
        <w:rPr>
          <w:rFonts w:asciiTheme="majorBidi" w:hAnsiTheme="majorBidi" w:cstheme="majorBidi"/>
          <w:b/>
          <w:bCs/>
          <w:i/>
          <w:iCs/>
          <w:sz w:val="24"/>
          <w:szCs w:val="24"/>
        </w:rPr>
        <w:t>Ṣirāṭ mustaqīm </w:t>
      </w:r>
      <w:r w:rsidRPr="000F6511">
        <w:rPr>
          <w:rFonts w:asciiTheme="majorBidi" w:hAnsiTheme="majorBidi" w:cstheme="majorBidi"/>
          <w:b/>
          <w:bCs/>
          <w:sz w:val="24"/>
          <w:szCs w:val="24"/>
        </w:rPr>
        <w:t>:</w:t>
      </w:r>
    </w:p>
    <w:p w14:paraId="38828CE4" w14:textId="191AF470"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t xml:space="preserve">Quant à </w:t>
      </w:r>
      <w:r w:rsidRPr="00B867DF">
        <w:rPr>
          <w:rFonts w:asciiTheme="majorBidi" w:eastAsia="Times New Roman" w:hAnsiTheme="majorBidi" w:cstheme="majorBidi"/>
          <w:i/>
          <w:iCs/>
        </w:rPr>
        <w:t>ṣirāṭ mustaqīm</w:t>
      </w:r>
      <w:r w:rsidRPr="00B867DF">
        <w:rPr>
          <w:rFonts w:asciiTheme="majorBidi" w:eastAsia="Times New Roman" w:hAnsiTheme="majorBidi" w:cstheme="majorBidi"/>
        </w:rPr>
        <w:t xml:space="preserve"> [un droit chemin] (v. 54), il désigne :</w:t>
      </w:r>
    </w:p>
    <w:p w14:paraId="0363D369"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 xml:space="preserve">le chemin qui mène au paradis ; </w:t>
      </w:r>
    </w:p>
    <w:p w14:paraId="27B208AF"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le chemin qui n’est pas oblique ni courbe ;</w:t>
      </w:r>
    </w:p>
    <w:p w14:paraId="7403FB7C"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la religion droite et juste ;</w:t>
      </w:r>
    </w:p>
    <w:p w14:paraId="57D3C30D"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le chemin qui aboutit à Dieu ;</w:t>
      </w:r>
    </w:p>
    <w:p w14:paraId="71EE9F10"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 xml:space="preserve">l’islam (d’après </w:t>
      </w:r>
      <w:r w:rsidRPr="00B867DF">
        <w:rPr>
          <w:rFonts w:asciiTheme="majorBidi" w:eastAsia="Calibri" w:hAnsiTheme="majorBidi" w:cstheme="majorBidi"/>
          <w:sz w:val="24"/>
          <w:szCs w:val="24"/>
          <w:lang w:bidi="ar-AE"/>
        </w:rPr>
        <w:t xml:space="preserve">az-Zuḥaylī dans </w:t>
      </w:r>
      <w:r w:rsidRPr="00B867DF">
        <w:rPr>
          <w:rFonts w:asciiTheme="majorBidi" w:eastAsia="Calibri" w:hAnsiTheme="majorBidi" w:cstheme="majorBidi"/>
          <w:i/>
          <w:iCs/>
          <w:sz w:val="24"/>
          <w:szCs w:val="24"/>
          <w:lang w:bidi="ar-AE"/>
        </w:rPr>
        <w:t>At-tafsīr al-munīr</w:t>
      </w:r>
      <w:r w:rsidRPr="00B867DF">
        <w:rPr>
          <w:rFonts w:asciiTheme="majorBidi" w:hAnsiTheme="majorBidi" w:cstheme="majorBidi"/>
          <w:sz w:val="24"/>
          <w:szCs w:val="24"/>
        </w:rPr>
        <w:t>) ;</w:t>
      </w:r>
    </w:p>
    <w:p w14:paraId="6A5924BE"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la vision juste ;</w:t>
      </w:r>
    </w:p>
    <w:p w14:paraId="78E377A5"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le chemin de la Vérité ;</w:t>
      </w:r>
    </w:p>
    <w:p w14:paraId="4971E0FD" w14:textId="77777777" w:rsidR="00296288" w:rsidRPr="00B867DF" w:rsidRDefault="00296288" w:rsidP="007640DC">
      <w:pPr>
        <w:pStyle w:val="Paragraphedeliste"/>
        <w:numPr>
          <w:ilvl w:val="0"/>
          <w:numId w:val="58"/>
        </w:numPr>
        <w:bidi w:val="0"/>
        <w:spacing w:after="0" w:line="360" w:lineRule="auto"/>
        <w:contextualSpacing/>
        <w:jc w:val="both"/>
        <w:rPr>
          <w:rFonts w:asciiTheme="majorBidi" w:hAnsiTheme="majorBidi" w:cstheme="majorBidi"/>
          <w:sz w:val="24"/>
          <w:szCs w:val="24"/>
        </w:rPr>
      </w:pPr>
      <w:r w:rsidRPr="00B867DF">
        <w:rPr>
          <w:rFonts w:asciiTheme="majorBidi" w:hAnsiTheme="majorBidi" w:cstheme="majorBidi"/>
          <w:sz w:val="24"/>
          <w:szCs w:val="24"/>
        </w:rPr>
        <w:t>l’imam droit (Al-Qummī).</w:t>
      </w:r>
    </w:p>
    <w:p w14:paraId="30D1210E" w14:textId="77777777"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t xml:space="preserve">Ces interprétations indiquent des significations plus larges que le mot en question. Ce terme peut indiquer un dogme religieux, une pratique mystique (la vision juste) ou une personne. Quand il s’agit d’un dogme, il peut désigner toute religion monothéiste ou seulement l’islam. Quand il s’agit d’une expérience mystique, la « </w:t>
      </w:r>
      <w:r w:rsidRPr="00B867DF">
        <w:rPr>
          <w:rFonts w:asciiTheme="majorBidi" w:eastAsia="Times New Roman" w:hAnsiTheme="majorBidi" w:cstheme="majorBidi"/>
          <w:i/>
          <w:iCs/>
        </w:rPr>
        <w:t>samyag-dṛṣṭi</w:t>
      </w:r>
      <w:r w:rsidRPr="00B867DF">
        <w:rPr>
          <w:rFonts w:asciiTheme="majorBidi" w:eastAsia="Times New Roman" w:hAnsiTheme="majorBidi" w:cstheme="majorBidi"/>
        </w:rPr>
        <w:t xml:space="preserve"> ; </w:t>
      </w:r>
      <w:r w:rsidRPr="00B867DF">
        <w:rPr>
          <w:rFonts w:asciiTheme="majorBidi" w:eastAsia="Times New Roman" w:hAnsiTheme="majorBidi" w:cstheme="majorBidi"/>
          <w:i/>
          <w:iCs/>
        </w:rPr>
        <w:t>sammā-diṭṭhi</w:t>
      </w:r>
      <w:r w:rsidRPr="00B867DF">
        <w:rPr>
          <w:rFonts w:asciiTheme="majorBidi" w:eastAsia="Times New Roman" w:hAnsiTheme="majorBidi" w:cstheme="majorBidi"/>
        </w:rPr>
        <w:t xml:space="preserve"> » </w:t>
      </w:r>
      <w:r w:rsidRPr="00B867DF">
        <w:rPr>
          <w:rFonts w:asciiTheme="majorBidi" w:hAnsiTheme="majorBidi" w:cstheme="majorBidi"/>
        </w:rPr>
        <w:t>[</w:t>
      </w:r>
      <w:r w:rsidRPr="00B867DF">
        <w:rPr>
          <w:rFonts w:asciiTheme="majorBidi" w:eastAsia="Times New Roman" w:hAnsiTheme="majorBidi" w:cstheme="majorBidi"/>
        </w:rPr>
        <w:t>vision juste ou compréhension juste (de la réalité, des quatre nobles vérités bouddhistes)</w:t>
      </w:r>
      <w:r w:rsidRPr="00B867DF">
        <w:rPr>
          <w:rFonts w:asciiTheme="majorBidi" w:hAnsiTheme="majorBidi" w:cstheme="majorBidi"/>
        </w:rPr>
        <w:t xml:space="preserve">] peut faire partie du champ sémantique de ce syntagme. </w:t>
      </w:r>
      <w:r w:rsidRPr="00B867DF">
        <w:rPr>
          <w:rFonts w:asciiTheme="majorBidi" w:eastAsia="Times New Roman" w:hAnsiTheme="majorBidi" w:cstheme="majorBidi"/>
        </w:rPr>
        <w:t xml:space="preserve">Quand il s’agit d’une personne, il ne désigne qu’un maître religieux chiite. </w:t>
      </w:r>
    </w:p>
    <w:p w14:paraId="61EDD313" w14:textId="77777777" w:rsidR="00296288" w:rsidRPr="000F6511" w:rsidRDefault="00296288" w:rsidP="00296288">
      <w:pPr>
        <w:spacing w:line="360" w:lineRule="auto"/>
        <w:ind w:firstLine="360"/>
        <w:jc w:val="both"/>
        <w:rPr>
          <w:rFonts w:asciiTheme="majorBidi" w:eastAsia="Times New Roman" w:hAnsiTheme="majorBidi" w:cstheme="majorBidi"/>
        </w:rPr>
      </w:pPr>
    </w:p>
    <w:p w14:paraId="7BC77A8E"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eastAsia="Calibri" w:hAnsiTheme="majorBidi" w:cstheme="majorBidi"/>
          <w:b/>
          <w:bCs/>
          <w:sz w:val="24"/>
          <w:szCs w:val="24"/>
          <w:lang w:bidi="ar-AE"/>
        </w:rPr>
      </w:pPr>
      <w:r w:rsidRPr="000F6511">
        <w:rPr>
          <w:rFonts w:ascii="Times New Roman" w:hAnsi="Times New Roman" w:cs="Times New Roman"/>
          <w:b/>
          <w:bCs/>
          <w:sz w:val="24"/>
          <w:szCs w:val="24"/>
          <w:lang w:eastAsia="fr-FR" w:bidi="ar-AE"/>
        </w:rPr>
        <w:t xml:space="preserve">La </w:t>
      </w:r>
      <w:r w:rsidRPr="000F6511">
        <w:rPr>
          <w:rFonts w:ascii="Times New Roman" w:hAnsi="Times New Roman" w:cs="Times New Roman"/>
          <w:b/>
          <w:bCs/>
          <w:i/>
          <w:iCs/>
          <w:sz w:val="24"/>
          <w:szCs w:val="24"/>
          <w:lang w:eastAsia="fr-FR" w:bidi="ar-AE"/>
        </w:rPr>
        <w:t>mirya</w:t>
      </w:r>
      <w:r w:rsidRPr="000F6511">
        <w:rPr>
          <w:rFonts w:ascii="Times New Roman" w:hAnsi="Times New Roman" w:cs="Times New Roman"/>
          <w:b/>
          <w:bCs/>
          <w:sz w:val="24"/>
          <w:szCs w:val="24"/>
          <w:lang w:eastAsia="fr-FR" w:bidi="ar-AE"/>
        </w:rPr>
        <w:t> :</w:t>
      </w:r>
    </w:p>
    <w:p w14:paraId="2EB5A70D" w14:textId="77777777" w:rsidR="00296288" w:rsidRPr="00B867DF" w:rsidRDefault="00296288" w:rsidP="00296288">
      <w:pPr>
        <w:spacing w:line="360" w:lineRule="auto"/>
        <w:ind w:firstLine="708"/>
        <w:contextualSpacing/>
        <w:jc w:val="both"/>
        <w:rPr>
          <w:rFonts w:eastAsia="Times New Roman"/>
          <w:lang w:bidi="ar-AE"/>
        </w:rPr>
      </w:pPr>
      <w:r w:rsidRPr="000F6511">
        <w:rPr>
          <w:rFonts w:eastAsia="Times New Roman"/>
          <w:lang w:bidi="ar-AE"/>
        </w:rPr>
        <w:lastRenderedPageBreak/>
        <w:t xml:space="preserve">Le terme </w:t>
      </w:r>
      <w:r w:rsidRPr="000F6511">
        <w:rPr>
          <w:rFonts w:eastAsia="Times New Roman"/>
          <w:i/>
          <w:iCs/>
          <w:lang w:bidi="ar-AE"/>
        </w:rPr>
        <w:t>m</w:t>
      </w:r>
      <w:r w:rsidRPr="000F6511">
        <w:rPr>
          <w:rFonts w:eastAsia="Times New Roman"/>
          <w:bCs/>
          <w:i/>
          <w:iCs/>
          <w:lang w:bidi="ar-AE"/>
        </w:rPr>
        <w:t>i</w:t>
      </w:r>
      <w:r w:rsidRPr="000F6511">
        <w:rPr>
          <w:rFonts w:eastAsia="Times New Roman"/>
          <w:i/>
          <w:iCs/>
          <w:lang w:bidi="ar-AE"/>
        </w:rPr>
        <w:t>rya</w:t>
      </w:r>
      <w:r w:rsidRPr="000F6511">
        <w:rPr>
          <w:rFonts w:eastAsia="Times New Roman"/>
          <w:lang w:bidi="ar-AE"/>
        </w:rPr>
        <w:t xml:space="preserve"> [doute</w:t>
      </w:r>
      <w:r w:rsidRPr="00B867DF">
        <w:rPr>
          <w:rFonts w:eastAsia="Times New Roman"/>
          <w:lang w:bidi="ar-AE"/>
        </w:rPr>
        <w:t xml:space="preserve">, querelle] (v. 55) (autre lecture : </w:t>
      </w:r>
      <w:r w:rsidRPr="00B867DF">
        <w:rPr>
          <w:rFonts w:eastAsia="Times New Roman"/>
          <w:i/>
          <w:iCs/>
          <w:lang w:bidi="ar-AE"/>
        </w:rPr>
        <w:t>m</w:t>
      </w:r>
      <w:r w:rsidRPr="00B867DF">
        <w:rPr>
          <w:rFonts w:eastAsia="Times New Roman"/>
          <w:b/>
          <w:bCs/>
          <w:i/>
          <w:iCs/>
          <w:lang w:bidi="ar-AE"/>
        </w:rPr>
        <w:t>u</w:t>
      </w:r>
      <w:r w:rsidRPr="00B867DF">
        <w:rPr>
          <w:rFonts w:eastAsia="Times New Roman"/>
          <w:i/>
          <w:iCs/>
          <w:lang w:bidi="ar-AE"/>
        </w:rPr>
        <w:t>rya</w:t>
      </w:r>
      <w:r w:rsidRPr="00B867DF">
        <w:rPr>
          <w:rFonts w:eastAsia="Times New Roman"/>
          <w:lang w:bidi="ar-AE"/>
        </w:rPr>
        <w:t>, selon Al-Qurṭubī, d’après Abū ʿAbd ar-Raḥmān As-Sulamī) désignerait :</w:t>
      </w:r>
    </w:p>
    <w:p w14:paraId="09D6752B" w14:textId="77777777" w:rsidR="00296288" w:rsidRPr="00B867DF" w:rsidRDefault="00296288" w:rsidP="007640DC">
      <w:pPr>
        <w:pStyle w:val="Paragraphedeliste"/>
        <w:numPr>
          <w:ilvl w:val="0"/>
          <w:numId w:val="59"/>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le doute ;</w:t>
      </w:r>
    </w:p>
    <w:p w14:paraId="0359A520" w14:textId="77777777" w:rsidR="00296288" w:rsidRPr="00B867DF" w:rsidRDefault="00296288" w:rsidP="007640DC">
      <w:pPr>
        <w:pStyle w:val="Paragraphedeliste"/>
        <w:numPr>
          <w:ilvl w:val="0"/>
          <w:numId w:val="59"/>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la querelle ;</w:t>
      </w:r>
    </w:p>
    <w:p w14:paraId="21208070" w14:textId="77777777" w:rsidR="00296288" w:rsidRPr="00B867DF" w:rsidRDefault="00296288" w:rsidP="007640DC">
      <w:pPr>
        <w:pStyle w:val="Paragraphedeliste"/>
        <w:numPr>
          <w:ilvl w:val="0"/>
          <w:numId w:val="59"/>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le conflit ;</w:t>
      </w:r>
    </w:p>
    <w:p w14:paraId="76EC0AEC" w14:textId="77777777" w:rsidR="00296288" w:rsidRPr="00B867DF" w:rsidRDefault="00296288" w:rsidP="007640DC">
      <w:pPr>
        <w:pStyle w:val="Paragraphedeliste"/>
        <w:numPr>
          <w:ilvl w:val="0"/>
          <w:numId w:val="59"/>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l’inquiétude ;</w:t>
      </w:r>
    </w:p>
    <w:p w14:paraId="586BEF74" w14:textId="77777777" w:rsidR="00296288" w:rsidRPr="00B867DF" w:rsidRDefault="00296288" w:rsidP="007640DC">
      <w:pPr>
        <w:pStyle w:val="Paragraphedeliste"/>
        <w:numPr>
          <w:ilvl w:val="0"/>
          <w:numId w:val="59"/>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le manque de vision ;</w:t>
      </w:r>
    </w:p>
    <w:p w14:paraId="3FCE0863" w14:textId="77777777" w:rsidR="00296288" w:rsidRPr="00B867DF" w:rsidRDefault="00296288" w:rsidP="007640DC">
      <w:pPr>
        <w:pStyle w:val="Paragraphedeliste"/>
        <w:numPr>
          <w:ilvl w:val="0"/>
          <w:numId w:val="59"/>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 xml:space="preserve">l’hésitation à suivre le </w:t>
      </w:r>
      <w:r w:rsidRPr="00B867DF">
        <w:rPr>
          <w:rFonts w:ascii="Times New Roman" w:hAnsi="Times New Roman" w:cs="Times New Roman"/>
          <w:sz w:val="24"/>
          <w:szCs w:val="24"/>
        </w:rPr>
        <w:t>commandeur des croyants</w:t>
      </w:r>
      <w:r w:rsidRPr="00B867DF">
        <w:rPr>
          <w:rFonts w:ascii="Times New Roman" w:hAnsi="Times New Roman" w:cs="Times New Roman"/>
          <w:sz w:val="24"/>
          <w:szCs w:val="24"/>
          <w:lang w:eastAsia="fr-FR" w:bidi="ar-AE"/>
        </w:rPr>
        <w:t xml:space="preserve"> </w:t>
      </w:r>
      <w:r w:rsidRPr="00B867DF">
        <w:rPr>
          <w:rFonts w:ascii="Times New Roman" w:hAnsi="Times New Roman" w:cs="Times New Roman"/>
          <w:sz w:val="24"/>
          <w:szCs w:val="24"/>
        </w:rPr>
        <w:t>ʿAlī ibn Abī Ṭālib</w:t>
      </w:r>
      <w:r w:rsidRPr="00B867DF">
        <w:rPr>
          <w:rFonts w:ascii="Times New Roman" w:hAnsi="Times New Roman" w:cs="Times New Roman"/>
          <w:sz w:val="24"/>
          <w:szCs w:val="24"/>
          <w:lang w:eastAsia="fr-FR" w:bidi="ar-EG"/>
        </w:rPr>
        <w:t xml:space="preserve"> (Al-Qummī).</w:t>
      </w:r>
      <w:r w:rsidRPr="00B867DF">
        <w:rPr>
          <w:rFonts w:ascii="Times New Roman" w:hAnsi="Times New Roman" w:cs="Times New Roman"/>
          <w:sz w:val="24"/>
          <w:szCs w:val="24"/>
          <w:lang w:eastAsia="fr-FR" w:bidi="ar-AE"/>
        </w:rPr>
        <w:t xml:space="preserve"> Il s’agit ici d’une surinterprétation (interprétation exagérée). </w:t>
      </w:r>
    </w:p>
    <w:p w14:paraId="5E24903C" w14:textId="77777777" w:rsidR="00296288" w:rsidRPr="00B867DF" w:rsidRDefault="00296288" w:rsidP="00296288">
      <w:pPr>
        <w:spacing w:line="360" w:lineRule="auto"/>
        <w:contextualSpacing/>
        <w:jc w:val="both"/>
        <w:rPr>
          <w:rFonts w:eastAsia="Times New Roman"/>
          <w:lang w:bidi="ar-AE"/>
        </w:rPr>
      </w:pPr>
    </w:p>
    <w:p w14:paraId="3BBE3892" w14:textId="77777777" w:rsidR="00296288" w:rsidRPr="00F5321A"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rPr>
      </w:pPr>
      <w:r w:rsidRPr="00F5321A">
        <w:rPr>
          <w:rFonts w:ascii="Times New Roman" w:hAnsi="Times New Roman" w:cs="Times New Roman"/>
          <w:b/>
          <w:bCs/>
          <w:sz w:val="24"/>
          <w:szCs w:val="24"/>
          <w:lang w:eastAsia="fr-FR"/>
        </w:rPr>
        <w:t xml:space="preserve">Significations de </w:t>
      </w:r>
      <w:r w:rsidRPr="00F5321A">
        <w:rPr>
          <w:rFonts w:ascii="Times New Roman" w:hAnsi="Times New Roman" w:cs="Times New Roman"/>
          <w:b/>
          <w:bCs/>
          <w:i/>
          <w:iCs/>
          <w:sz w:val="24"/>
          <w:szCs w:val="24"/>
          <w:lang w:eastAsia="fr-FR" w:bidi="ar-AE"/>
        </w:rPr>
        <w:t>ʿaqīm</w:t>
      </w:r>
      <w:r w:rsidRPr="00F5321A">
        <w:rPr>
          <w:rFonts w:ascii="Times New Roman" w:hAnsi="Times New Roman" w:cs="Times New Roman"/>
          <w:b/>
          <w:bCs/>
          <w:sz w:val="24"/>
          <w:szCs w:val="24"/>
          <w:lang w:eastAsia="fr-FR" w:bidi="ar-AE"/>
        </w:rPr>
        <w:t> :</w:t>
      </w:r>
    </w:p>
    <w:p w14:paraId="0B8D0CAA"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 xml:space="preserve">Le syntagme </w:t>
      </w:r>
      <w:r w:rsidRPr="00B867DF">
        <w:rPr>
          <w:rFonts w:eastAsia="Times New Roman"/>
          <w:i/>
          <w:iCs/>
          <w:lang w:bidi="ar-AE"/>
        </w:rPr>
        <w:t>yawm ʿaqīm</w:t>
      </w:r>
      <w:r w:rsidRPr="00B867DF">
        <w:rPr>
          <w:rFonts w:eastAsia="Times New Roman"/>
          <w:lang w:bidi="ar-AE"/>
        </w:rPr>
        <w:t xml:space="preserve"> [un jour stérile] fait allusion à plusieurs concepts :</w:t>
      </w:r>
    </w:p>
    <w:p w14:paraId="3D2B7E25" w14:textId="77777777" w:rsidR="00296288" w:rsidRPr="00B867DF" w:rsidRDefault="00296288" w:rsidP="007640DC">
      <w:pPr>
        <w:numPr>
          <w:ilvl w:val="0"/>
          <w:numId w:val="17"/>
        </w:numPr>
        <w:spacing w:line="360" w:lineRule="auto"/>
        <w:contextualSpacing/>
        <w:jc w:val="both"/>
        <w:rPr>
          <w:rFonts w:eastAsia="Times New Roman"/>
          <w:lang w:bidi="ar-AE"/>
        </w:rPr>
      </w:pPr>
      <w:r w:rsidRPr="00B867DF">
        <w:rPr>
          <w:rFonts w:eastAsia="Times New Roman"/>
          <w:lang w:bidi="ar-AE"/>
        </w:rPr>
        <w:t>le jour de la fin du monde ;</w:t>
      </w:r>
    </w:p>
    <w:p w14:paraId="4893279C" w14:textId="77777777" w:rsidR="00296288" w:rsidRPr="00B867DF" w:rsidRDefault="00296288" w:rsidP="007640DC">
      <w:pPr>
        <w:numPr>
          <w:ilvl w:val="0"/>
          <w:numId w:val="17"/>
        </w:numPr>
        <w:spacing w:line="360" w:lineRule="auto"/>
        <w:contextualSpacing/>
        <w:jc w:val="both"/>
        <w:rPr>
          <w:rFonts w:eastAsia="Times New Roman"/>
          <w:lang w:bidi="ar-AE"/>
        </w:rPr>
      </w:pPr>
      <w:r w:rsidRPr="00B867DF">
        <w:rPr>
          <w:rFonts w:eastAsia="Times New Roman"/>
          <w:lang w:bidi="ar-AE"/>
        </w:rPr>
        <w:t>le jour de la bataille de Badr (la première bataille victorieuse des musulmans contre les Quraychites, vers 624) (selon Aṭ-Ṭabarī d’après Mujāhid) ;</w:t>
      </w:r>
    </w:p>
    <w:p w14:paraId="5063612A" w14:textId="77777777" w:rsidR="00296288" w:rsidRPr="00B867DF" w:rsidRDefault="00296288" w:rsidP="007640DC">
      <w:pPr>
        <w:numPr>
          <w:ilvl w:val="0"/>
          <w:numId w:val="17"/>
        </w:numPr>
        <w:spacing w:line="360" w:lineRule="auto"/>
        <w:contextualSpacing/>
        <w:jc w:val="both"/>
        <w:rPr>
          <w:rFonts w:eastAsia="Times New Roman"/>
          <w:lang w:bidi="ar-AE"/>
        </w:rPr>
      </w:pPr>
      <w:r w:rsidRPr="00B867DF">
        <w:rPr>
          <w:rFonts w:eastAsia="Times New Roman"/>
          <w:lang w:bidi="ar-AE"/>
        </w:rPr>
        <w:t>un jour sans nuit (selon Aṭ-Ṭabarī d’après Ibn Jurayj) ou un jour qui n’est pas suivi de nuit (Aṭ-Ṭabarī d’après Aḍ-Ḍaḥḥāk) ;</w:t>
      </w:r>
    </w:p>
    <w:p w14:paraId="0F936BC4" w14:textId="77777777" w:rsidR="00296288" w:rsidRPr="00B867DF" w:rsidRDefault="00296288" w:rsidP="007640DC">
      <w:pPr>
        <w:numPr>
          <w:ilvl w:val="0"/>
          <w:numId w:val="17"/>
        </w:numPr>
        <w:spacing w:line="360" w:lineRule="auto"/>
        <w:contextualSpacing/>
        <w:jc w:val="both"/>
        <w:rPr>
          <w:rFonts w:eastAsia="Times New Roman"/>
          <w:lang w:bidi="ar-AE"/>
        </w:rPr>
      </w:pPr>
      <w:r w:rsidRPr="00B867DF">
        <w:rPr>
          <w:rFonts w:eastAsia="Times New Roman"/>
          <w:lang w:bidi="ar-AE"/>
        </w:rPr>
        <w:t>la mort sans retour à ce monde (Shaykhū) ;</w:t>
      </w:r>
    </w:p>
    <w:p w14:paraId="2599FA13" w14:textId="77777777" w:rsidR="00296288" w:rsidRPr="00B867DF" w:rsidRDefault="00296288" w:rsidP="007640DC">
      <w:pPr>
        <w:numPr>
          <w:ilvl w:val="0"/>
          <w:numId w:val="17"/>
        </w:numPr>
        <w:spacing w:line="360" w:lineRule="auto"/>
        <w:contextualSpacing/>
        <w:jc w:val="both"/>
        <w:rPr>
          <w:rFonts w:eastAsia="Times New Roman"/>
          <w:lang w:bidi="ar-AE"/>
        </w:rPr>
      </w:pPr>
      <w:r w:rsidRPr="00B867DF">
        <w:rPr>
          <w:rFonts w:eastAsia="Times New Roman"/>
          <w:lang w:bidi="ar-AE"/>
        </w:rPr>
        <w:t>une souffrance incomparablement intense dans l’enfer de la nature ou une souffrance sans aucune pitié (Ibn ʿArabī) ;</w:t>
      </w:r>
    </w:p>
    <w:p w14:paraId="1F1B6367" w14:textId="77777777" w:rsidR="00296288" w:rsidRPr="00B867DF" w:rsidRDefault="00296288" w:rsidP="007640DC">
      <w:pPr>
        <w:numPr>
          <w:ilvl w:val="0"/>
          <w:numId w:val="17"/>
        </w:numPr>
        <w:spacing w:line="360" w:lineRule="auto"/>
        <w:contextualSpacing/>
        <w:jc w:val="both"/>
        <w:rPr>
          <w:rFonts w:eastAsia="Times New Roman"/>
          <w:lang w:bidi="ar-AE"/>
        </w:rPr>
      </w:pPr>
      <w:r w:rsidRPr="00B867DF">
        <w:rPr>
          <w:rFonts w:eastAsia="Times New Roman"/>
          <w:lang w:bidi="ar-AE"/>
        </w:rPr>
        <w:t>un jour sans pareil (qui n’est pas suivi de jour comparable) (Al-Qurṭubī d’après Aḍ-Ḍaḥḥāk).</w:t>
      </w:r>
    </w:p>
    <w:p w14:paraId="78C1183E"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p>
    <w:p w14:paraId="22CBFAB6"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Bien des significations semblent arbitraires dans le sens où il n’y a pas de lien sémantique logique entre la signification donnée et le sens étymologique du terme. Il n’y a pas apparemment de lien logique entre le concept « stérile » et les concepts : « intense », « bataille », « sans retour », « sans fin », « incomparable ». </w:t>
      </w:r>
    </w:p>
    <w:p w14:paraId="065DD915" w14:textId="77777777" w:rsidR="00296288" w:rsidRPr="00B867DF" w:rsidRDefault="00296288" w:rsidP="00296288">
      <w:pPr>
        <w:spacing w:line="360" w:lineRule="auto"/>
        <w:contextualSpacing/>
        <w:jc w:val="both"/>
        <w:rPr>
          <w:rFonts w:asciiTheme="majorBidi" w:eastAsia="Times New Roman" w:hAnsiTheme="majorBidi" w:cstheme="majorBidi"/>
          <w:lang w:bidi="ar-AE"/>
        </w:rPr>
      </w:pPr>
    </w:p>
    <w:p w14:paraId="595DC09C" w14:textId="1C1E3D10"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Cependant, il est à souligner que le Coran a utilisé maintes fois l’adjectif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ẓ</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[grand/terrible] (au lieu de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q</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[stérile]) pour décrire </w:t>
      </w:r>
      <w:r w:rsidRPr="00B867DF">
        <w:rPr>
          <w:rFonts w:asciiTheme="majorBidi" w:eastAsia="Times New Roman" w:hAnsiTheme="majorBidi" w:cstheme="majorBidi"/>
          <w:i/>
          <w:iCs/>
          <w:lang w:bidi="ar-AE"/>
        </w:rPr>
        <w:t>yawm</w:t>
      </w:r>
      <w:r w:rsidRPr="00B867DF">
        <w:rPr>
          <w:rFonts w:asciiTheme="majorBidi" w:eastAsia="Times New Roman" w:hAnsiTheme="majorBidi" w:cstheme="majorBidi"/>
          <w:lang w:bidi="ar-AE"/>
        </w:rPr>
        <w:t xml:space="preserve"> [jour] dans environs 9 occurrences (versets : VI, 15 ; VII, 59 ; XIX, 37 ; X, 15 ; XXVI, 135, 156 et 189 ; XXXIX, 13 ; XLVI, 21). </w:t>
      </w:r>
    </w:p>
    <w:p w14:paraId="7CB31389"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p>
    <w:p w14:paraId="7D015A10" w14:textId="77777777" w:rsidR="00296288" w:rsidRPr="00B867DF" w:rsidRDefault="00296288" w:rsidP="00296288">
      <w:pPr>
        <w:spacing w:line="360" w:lineRule="auto"/>
        <w:ind w:firstLine="360"/>
        <w:contextualSpacing/>
        <w:jc w:val="both"/>
        <w:rPr>
          <w:rFonts w:asciiTheme="majorBidi" w:eastAsia="Times New Roman" w:hAnsiTheme="majorBidi" w:cstheme="majorBidi"/>
        </w:rPr>
      </w:pPr>
      <w:r w:rsidRPr="00B867DF">
        <w:rPr>
          <w:rFonts w:asciiTheme="majorBidi" w:eastAsia="Times New Roman" w:hAnsiTheme="majorBidi" w:cstheme="majorBidi"/>
          <w:lang w:bidi="ar-AE"/>
        </w:rPr>
        <w:t xml:space="preserve">En plus, le langage coranique a utilisé l’adjectif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q</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[stérile] pour décrire : </w:t>
      </w:r>
      <w:r>
        <w:rPr>
          <w:rFonts w:asciiTheme="majorBidi" w:eastAsia="Times New Roman" w:hAnsiTheme="majorBidi" w:cstheme="majorBidi"/>
          <w:lang w:bidi="ar-AE"/>
        </w:rPr>
        <w:t xml:space="preserve">1) </w:t>
      </w:r>
      <w:r w:rsidRPr="00B867DF">
        <w:rPr>
          <w:rFonts w:asciiTheme="majorBidi" w:eastAsia="Times New Roman" w:hAnsiTheme="majorBidi" w:cstheme="majorBidi"/>
          <w:lang w:bidi="ar-AE"/>
        </w:rPr>
        <w:t>une vielle femme (</w:t>
      </w:r>
      <w:r w:rsidRPr="00B867DF">
        <w:rPr>
          <w:rFonts w:asciiTheme="majorBidi" w:eastAsia="Times New Roman" w:hAnsiTheme="majorBidi" w:cstheme="majorBidi"/>
          <w:i/>
          <w:iCs/>
        </w:rPr>
        <w:t>ʿajūz</w:t>
      </w:r>
      <w:r w:rsidRPr="00B867DF">
        <w:rPr>
          <w:rFonts w:asciiTheme="majorBidi" w:eastAsia="Times New Roman" w:hAnsiTheme="majorBidi" w:cstheme="majorBidi"/>
        </w:rPr>
        <w:t>) (</w:t>
      </w:r>
      <w:r w:rsidRPr="00B867DF">
        <w:rPr>
          <w:rFonts w:asciiTheme="majorBidi" w:eastAsia="Times New Roman" w:hAnsiTheme="majorBidi" w:cstheme="majorBidi"/>
          <w:i/>
          <w:iCs/>
        </w:rPr>
        <w:t>ʿajūz</w:t>
      </w:r>
      <w:r w:rsidRPr="00B867DF">
        <w:rPr>
          <w:rFonts w:asciiTheme="majorBidi" w:eastAsia="Times New Roman" w:hAnsiTheme="majorBidi" w:cstheme="majorBidi"/>
          <w:i/>
          <w:iCs/>
          <w:vertAlign w:val="superscript"/>
        </w:rPr>
        <w:t>un</w:t>
      </w:r>
      <w:r w:rsidRPr="00B867DF">
        <w:rPr>
          <w:rFonts w:asciiTheme="majorBidi" w:eastAsia="Times New Roman" w:hAnsiTheme="majorBidi" w:cstheme="majorBidi"/>
          <w:i/>
          <w:iCs/>
        </w:rPr>
        <w:t xml:space="preserve"> ʿaqīm !</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une vieille femme stérile !</w:t>
      </w:r>
      <w:r w:rsidRPr="00B867DF">
        <w:rPr>
          <w:rFonts w:asciiTheme="majorBidi" w:hAnsiTheme="majorBidi" w:cstheme="majorBidi"/>
        </w:rPr>
        <w:t>]</w:t>
      </w:r>
      <w:r w:rsidRPr="00B867DF">
        <w:rPr>
          <w:rFonts w:asciiTheme="majorBidi" w:eastAsia="Times New Roman" w:hAnsiTheme="majorBidi" w:cstheme="majorBidi"/>
        </w:rPr>
        <w:t xml:space="preserve"> (LI, 29)) ; </w:t>
      </w:r>
      <w:r>
        <w:rPr>
          <w:rFonts w:asciiTheme="majorBidi" w:eastAsia="Times New Roman" w:hAnsiTheme="majorBidi" w:cstheme="majorBidi"/>
        </w:rPr>
        <w:t xml:space="preserve">2) </w:t>
      </w:r>
      <w:r w:rsidRPr="00B867DF">
        <w:rPr>
          <w:rFonts w:asciiTheme="majorBidi" w:eastAsia="Times New Roman" w:hAnsiTheme="majorBidi" w:cstheme="majorBidi"/>
        </w:rPr>
        <w:t>les mâles et les femelles (</w:t>
      </w:r>
      <w:r w:rsidRPr="00B867DF">
        <w:rPr>
          <w:rFonts w:asciiTheme="majorBidi" w:eastAsia="Times New Roman" w:hAnsiTheme="majorBidi" w:cstheme="majorBidi"/>
          <w:i/>
          <w:iCs/>
        </w:rPr>
        <w:t>wa-yajʿal</w:t>
      </w:r>
      <w:r w:rsidRPr="00B867DF">
        <w:rPr>
          <w:rFonts w:asciiTheme="majorBidi" w:eastAsia="Times New Roman" w:hAnsiTheme="majorBidi" w:cstheme="majorBidi"/>
          <w:i/>
          <w:iCs/>
          <w:vertAlign w:val="superscript"/>
        </w:rPr>
        <w:t>u</w:t>
      </w:r>
      <w:r w:rsidRPr="00B867DF">
        <w:rPr>
          <w:rFonts w:asciiTheme="majorBidi" w:eastAsia="Times New Roman" w:hAnsiTheme="majorBidi" w:cstheme="majorBidi"/>
          <w:i/>
          <w:iCs/>
        </w:rPr>
        <w:t xml:space="preserve"> man yashāʾ</w:t>
      </w:r>
      <w:r w:rsidRPr="00B867DF">
        <w:rPr>
          <w:rFonts w:asciiTheme="majorBidi" w:eastAsia="Times New Roman" w:hAnsiTheme="majorBidi" w:cstheme="majorBidi"/>
          <w:i/>
          <w:iCs/>
          <w:vertAlign w:val="superscript"/>
        </w:rPr>
        <w:t>u</w:t>
      </w:r>
      <w:r w:rsidRPr="00B867DF">
        <w:rPr>
          <w:rFonts w:asciiTheme="majorBidi" w:eastAsia="Times New Roman" w:hAnsiTheme="majorBidi" w:cstheme="majorBidi"/>
          <w:i/>
          <w:iCs/>
        </w:rPr>
        <w:t xml:space="preserve"> ʿaqīm</w:t>
      </w:r>
      <w:r w:rsidRPr="00B867DF">
        <w:rPr>
          <w:rFonts w:asciiTheme="majorBidi" w:eastAsia="Times New Roman" w:hAnsiTheme="majorBidi" w:cstheme="majorBidi"/>
          <w:i/>
          <w:iCs/>
          <w:vertAlign w:val="superscript"/>
        </w:rPr>
        <w:t>ā</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ou encore rend stérile qui Il veut</w:t>
      </w:r>
      <w:r w:rsidRPr="00B867DF">
        <w:rPr>
          <w:rFonts w:asciiTheme="majorBidi" w:hAnsiTheme="majorBidi" w:cstheme="majorBidi"/>
        </w:rPr>
        <w:t>]</w:t>
      </w:r>
      <w:r w:rsidRPr="00B867DF">
        <w:rPr>
          <w:rFonts w:asciiTheme="majorBidi" w:eastAsia="Times New Roman" w:hAnsiTheme="majorBidi" w:cstheme="majorBidi"/>
        </w:rPr>
        <w:t xml:space="preserve"> (XLII, 50)) ; </w:t>
      </w:r>
      <w:r>
        <w:rPr>
          <w:rFonts w:asciiTheme="majorBidi" w:eastAsia="Times New Roman" w:hAnsiTheme="majorBidi" w:cstheme="majorBidi"/>
        </w:rPr>
        <w:t xml:space="preserve">3) </w:t>
      </w:r>
      <w:r w:rsidRPr="00B867DF">
        <w:rPr>
          <w:rFonts w:asciiTheme="majorBidi" w:eastAsia="Times New Roman" w:hAnsiTheme="majorBidi" w:cstheme="majorBidi"/>
        </w:rPr>
        <w:t>et le vent (</w:t>
      </w:r>
      <w:r w:rsidRPr="00B867DF">
        <w:rPr>
          <w:rFonts w:asciiTheme="majorBidi" w:eastAsia="Times New Roman" w:hAnsiTheme="majorBidi" w:cstheme="majorBidi"/>
          <w:i/>
          <w:iCs/>
        </w:rPr>
        <w:t>ar-rīḥ</w:t>
      </w:r>
      <w:r w:rsidRPr="00B867DF">
        <w:rPr>
          <w:rFonts w:asciiTheme="majorBidi" w:eastAsia="Times New Roman" w:hAnsiTheme="majorBidi" w:cstheme="majorBidi"/>
          <w:i/>
          <w:iCs/>
          <w:vertAlign w:val="superscript"/>
        </w:rPr>
        <w:t>a</w:t>
      </w:r>
      <w:r w:rsidRPr="00B867DF">
        <w:rPr>
          <w:rFonts w:asciiTheme="majorBidi" w:eastAsia="Times New Roman" w:hAnsiTheme="majorBidi" w:cstheme="majorBidi"/>
          <w:i/>
          <w:iCs/>
        </w:rPr>
        <w:t xml:space="preserve"> l-ʿaqīm</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le vent stérile</w:t>
      </w:r>
      <w:r w:rsidRPr="00B867DF">
        <w:rPr>
          <w:rFonts w:asciiTheme="majorBidi" w:hAnsiTheme="majorBidi" w:cstheme="majorBidi"/>
        </w:rPr>
        <w:t>]</w:t>
      </w:r>
      <w:r w:rsidRPr="00B867DF">
        <w:rPr>
          <w:rFonts w:asciiTheme="majorBidi" w:eastAsia="Times New Roman" w:hAnsiTheme="majorBidi" w:cstheme="majorBidi"/>
        </w:rPr>
        <w:t xml:space="preserve"> (LI, 41)).</w:t>
      </w:r>
    </w:p>
    <w:p w14:paraId="37E91C36" w14:textId="77777777" w:rsidR="00296288" w:rsidRPr="00B867DF" w:rsidRDefault="00296288" w:rsidP="00296288">
      <w:pPr>
        <w:spacing w:line="360" w:lineRule="auto"/>
        <w:ind w:firstLine="360"/>
        <w:contextualSpacing/>
        <w:jc w:val="both"/>
        <w:rPr>
          <w:rFonts w:asciiTheme="majorBidi" w:eastAsia="Times New Roman" w:hAnsiTheme="majorBidi" w:cstheme="majorBidi"/>
        </w:rPr>
      </w:pPr>
    </w:p>
    <w:p w14:paraId="04EC1BF6" w14:textId="29AD95E5" w:rsidR="00296288" w:rsidRPr="00B867DF" w:rsidRDefault="00296288" w:rsidP="00296288">
      <w:pPr>
        <w:spacing w:line="360" w:lineRule="auto"/>
        <w:ind w:firstLine="360"/>
        <w:contextualSpacing/>
        <w:jc w:val="both"/>
        <w:rPr>
          <w:rFonts w:asciiTheme="majorBidi" w:eastAsia="Times New Roman" w:hAnsiTheme="majorBidi" w:cstheme="majorBidi"/>
        </w:rPr>
      </w:pPr>
      <w:r w:rsidRPr="00B867DF">
        <w:rPr>
          <w:rFonts w:asciiTheme="majorBidi" w:eastAsia="Times New Roman" w:hAnsiTheme="majorBidi" w:cstheme="majorBidi"/>
        </w:rPr>
        <w:t xml:space="preserve">Dans un seul verset, le verset </w:t>
      </w:r>
      <w:r w:rsidRPr="00B867DF">
        <w:rPr>
          <w:rFonts w:asciiTheme="majorBidi" w:eastAsia="Times New Roman" w:hAnsiTheme="majorBidi" w:cstheme="majorBidi"/>
          <w:lang w:bidi="ar-AE"/>
        </w:rPr>
        <w:t xml:space="preserve">XXII, 55 en question, le Coran utilise l’adjectif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q</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au lieu de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ẓ</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pour décrire le « jour ».</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AE"/>
        </w:rPr>
        <w:t xml:space="preserve">S’agit-il donc d’une erreur d’orthographe ou d’une omission ? D’autant plus que le </w:t>
      </w:r>
      <w:r w:rsidRPr="00B867DF">
        <w:rPr>
          <w:rFonts w:asciiTheme="majorBidi" w:eastAsia="Times New Roman" w:hAnsiTheme="majorBidi" w:cstheme="majorBidi"/>
          <w:i/>
          <w:iCs/>
          <w:lang w:bidi="ar-AE"/>
        </w:rPr>
        <w:t>rasm</w:t>
      </w:r>
      <w:r w:rsidRPr="00B867DF">
        <w:rPr>
          <w:rFonts w:asciiTheme="majorBidi" w:eastAsia="Times New Roman" w:hAnsiTheme="majorBidi" w:cstheme="majorBidi"/>
          <w:vertAlign w:val="superscript"/>
          <w:lang w:bidi="ar-AE"/>
        </w:rPr>
        <w:footnoteReference w:id="275"/>
      </w:r>
      <w:r w:rsidRPr="00B867DF">
        <w:rPr>
          <w:rFonts w:asciiTheme="majorBidi" w:eastAsia="Times New Roman" w:hAnsiTheme="majorBidi" w:cstheme="majorBidi"/>
          <w:lang w:bidi="ar-AE"/>
        </w:rPr>
        <w:t xml:space="preserve"> du Coran sans points diacritiques ne distinguait entre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ẓ</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w:t>
      </w:r>
      <w:r w:rsidRPr="00B867DF">
        <w:rPr>
          <w:rFonts w:asciiTheme="majorBidi" w:eastAsia="Times New Roman" w:hAnsiTheme="majorBidi" w:cstheme="majorBidi"/>
          <w:rtl/>
          <w:lang w:bidi="ar-KW"/>
        </w:rPr>
        <w:t>عطىم</w:t>
      </w:r>
      <w:r w:rsidRPr="00B867DF">
        <w:rPr>
          <w:rFonts w:asciiTheme="majorBidi" w:eastAsia="Times New Roman" w:hAnsiTheme="majorBidi" w:cstheme="majorBidi"/>
          <w:lang w:bidi="ar-AE"/>
        </w:rPr>
        <w:t xml:space="preserve">) et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q</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rtl/>
          <w:lang w:bidi="ar-KW"/>
        </w:rPr>
        <w:t>عمىم</w:t>
      </w:r>
      <w:r w:rsidRPr="00B867DF">
        <w:rPr>
          <w:rFonts w:asciiTheme="majorBidi" w:eastAsia="Times New Roman" w:hAnsiTheme="majorBidi" w:cstheme="majorBidi"/>
          <w:lang w:bidi="ar-AE"/>
        </w:rPr>
        <w:t xml:space="preserve">) que par un petit bâton sur la lettre </w:t>
      </w:r>
      <w:r w:rsidRPr="00B867DF">
        <w:rPr>
          <w:rFonts w:asciiTheme="majorBidi" w:eastAsia="Times New Roman" w:hAnsiTheme="majorBidi" w:cstheme="majorBidi"/>
          <w:i/>
          <w:iCs/>
          <w:lang w:bidi="ar-AE"/>
        </w:rPr>
        <w:t>ẓāʾ</w:t>
      </w:r>
      <w:r w:rsidRPr="00B867DF">
        <w:rPr>
          <w:rFonts w:asciiTheme="majorBidi" w:eastAsia="Times New Roman" w:hAnsiTheme="majorBidi" w:cstheme="majorBidi"/>
          <w:lang w:bidi="ar-AE"/>
        </w:rPr>
        <w:t xml:space="preserve"> de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ẓ</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lang w:bidi="ar-KW"/>
        </w:rPr>
        <w:t xml:space="preserve">Plusieurs exemples montrent l’ajout d’un </w:t>
      </w:r>
      <w:r w:rsidRPr="00B867DF">
        <w:rPr>
          <w:rFonts w:asciiTheme="majorBidi" w:eastAsia="Times New Roman" w:hAnsiTheme="majorBidi" w:cstheme="majorBidi"/>
          <w:i/>
          <w:iCs/>
          <w:lang w:bidi="ar-KW"/>
        </w:rPr>
        <w:t>alif</w:t>
      </w:r>
      <w:r w:rsidRPr="00B867DF">
        <w:rPr>
          <w:rFonts w:asciiTheme="majorBidi" w:eastAsia="Times New Roman" w:hAnsiTheme="majorBidi" w:cstheme="majorBidi"/>
          <w:lang w:bidi="ar-KW"/>
        </w:rPr>
        <w:t xml:space="preserve"> (bâton) que les lectures suppriment, comme dans : </w:t>
      </w:r>
      <w:r w:rsidRPr="00B867DF">
        <w:rPr>
          <w:rFonts w:asciiTheme="majorBidi" w:eastAsia="Times New Roman" w:hAnsiTheme="majorBidi" w:cstheme="majorBidi"/>
          <w:i/>
          <w:iCs/>
          <w:lang w:bidi="ar-KW"/>
        </w:rPr>
        <w:t>q</w:t>
      </w:r>
      <w:r w:rsidRPr="00B867DF">
        <w:rPr>
          <w:rFonts w:asciiTheme="majorBidi" w:eastAsia="Times New Roman" w:hAnsiTheme="majorBidi" w:cstheme="majorBidi"/>
          <w:b/>
          <w:bCs/>
          <w:i/>
          <w:iCs/>
          <w:lang w:bidi="ar-KW"/>
        </w:rPr>
        <w:t>ā</w:t>
      </w:r>
      <w:r w:rsidRPr="00B867DF">
        <w:rPr>
          <w:rFonts w:asciiTheme="majorBidi" w:eastAsia="Times New Roman" w:hAnsiTheme="majorBidi" w:cstheme="majorBidi"/>
          <w:i/>
          <w:iCs/>
          <w:lang w:bidi="ar-KW"/>
        </w:rPr>
        <w:t>la</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rtl/>
          <w:lang w:bidi="ar-KW"/>
        </w:rPr>
        <w:t>قالَ</w:t>
      </w:r>
      <w:r w:rsidRPr="00B867DF">
        <w:rPr>
          <w:rFonts w:asciiTheme="majorBidi" w:eastAsia="Times New Roman" w:hAnsiTheme="majorBidi" w:cstheme="majorBidi"/>
          <w:lang w:bidi="ar-KW"/>
        </w:rPr>
        <w:t xml:space="preserve">) [il a dit] (lu également sans </w:t>
      </w:r>
      <w:r w:rsidRPr="00B867DF">
        <w:rPr>
          <w:rFonts w:asciiTheme="majorBidi" w:eastAsia="Times New Roman" w:hAnsiTheme="majorBidi" w:cstheme="majorBidi"/>
          <w:i/>
          <w:iCs/>
          <w:lang w:bidi="ar-KW"/>
        </w:rPr>
        <w:t>alif</w:t>
      </w:r>
      <w:r w:rsidRPr="00B867DF">
        <w:rPr>
          <w:rFonts w:asciiTheme="majorBidi" w:eastAsia="Times New Roman" w:hAnsiTheme="majorBidi" w:cstheme="majorBidi"/>
          <w:lang w:bidi="ar-KW"/>
        </w:rPr>
        <w:t xml:space="preserve"> : </w:t>
      </w:r>
      <w:r w:rsidRPr="00B867DF">
        <w:rPr>
          <w:rFonts w:asciiTheme="majorBidi" w:eastAsia="Times New Roman" w:hAnsiTheme="majorBidi" w:cstheme="majorBidi"/>
          <w:i/>
          <w:iCs/>
          <w:lang w:bidi="ar-KW"/>
        </w:rPr>
        <w:t>qul</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rtl/>
          <w:lang w:bidi="ar-KW"/>
        </w:rPr>
        <w:t>قُــلْ</w:t>
      </w:r>
      <w:r w:rsidRPr="00B867DF">
        <w:rPr>
          <w:rFonts w:asciiTheme="majorBidi" w:eastAsia="Times New Roman" w:hAnsiTheme="majorBidi" w:cstheme="majorBidi"/>
          <w:lang w:bidi="ar-KW"/>
        </w:rPr>
        <w:t xml:space="preserve">) [dis !]) (XXI, 4) et </w:t>
      </w:r>
      <w:r w:rsidRPr="00B867DF">
        <w:rPr>
          <w:rFonts w:asciiTheme="majorBidi" w:eastAsia="Times New Roman" w:hAnsiTheme="majorBidi" w:cstheme="majorBidi"/>
          <w:b/>
          <w:bCs/>
          <w:i/>
          <w:iCs/>
          <w:lang w:bidi="ar-KW"/>
        </w:rPr>
        <w:t>ʾ</w:t>
      </w:r>
      <w:r w:rsidRPr="00B867DF">
        <w:rPr>
          <w:rFonts w:asciiTheme="majorBidi" w:eastAsia="Times New Roman" w:hAnsiTheme="majorBidi" w:cstheme="majorBidi"/>
          <w:i/>
          <w:iCs/>
          <w:lang w:bidi="ar-KW"/>
        </w:rPr>
        <w:t>iḥs</w:t>
      </w:r>
      <w:r w:rsidRPr="00B867DF">
        <w:rPr>
          <w:rFonts w:asciiTheme="majorBidi" w:eastAsia="Times New Roman" w:hAnsiTheme="majorBidi" w:cstheme="majorBidi"/>
          <w:b/>
          <w:bCs/>
          <w:i/>
          <w:iCs/>
          <w:lang w:bidi="ar-KW"/>
        </w:rPr>
        <w:t>ā</w:t>
      </w:r>
      <w:r w:rsidRPr="00B867DF">
        <w:rPr>
          <w:rFonts w:asciiTheme="majorBidi" w:eastAsia="Times New Roman" w:hAnsiTheme="majorBidi" w:cstheme="majorBidi"/>
          <w:i/>
          <w:iCs/>
          <w:lang w:bidi="ar-KW"/>
        </w:rPr>
        <w:t>nā</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rtl/>
          <w:lang w:bidi="ar-KW"/>
        </w:rPr>
        <w:t>إحساناً</w:t>
      </w:r>
      <w:r w:rsidRPr="00B867DF">
        <w:rPr>
          <w:rFonts w:asciiTheme="majorBidi" w:eastAsia="Times New Roman" w:hAnsiTheme="majorBidi" w:cstheme="majorBidi"/>
          <w:lang w:bidi="ar-KW"/>
        </w:rPr>
        <w:t xml:space="preserve">) [bienfaisance] (lu également sans les deux </w:t>
      </w:r>
      <w:r w:rsidRPr="00B867DF">
        <w:rPr>
          <w:rFonts w:asciiTheme="majorBidi" w:eastAsia="Times New Roman" w:hAnsiTheme="majorBidi" w:cstheme="majorBidi"/>
          <w:i/>
          <w:iCs/>
          <w:lang w:bidi="ar-KW"/>
        </w:rPr>
        <w:t>alif</w:t>
      </w:r>
      <w:r w:rsidRPr="00B867DF">
        <w:rPr>
          <w:rFonts w:asciiTheme="majorBidi" w:eastAsia="Times New Roman" w:hAnsiTheme="majorBidi" w:cstheme="majorBidi"/>
          <w:lang w:bidi="ar-KW"/>
        </w:rPr>
        <w:t xml:space="preserve"> : </w:t>
      </w:r>
      <w:r w:rsidRPr="00B867DF">
        <w:rPr>
          <w:rFonts w:asciiTheme="majorBidi" w:eastAsia="Times New Roman" w:hAnsiTheme="majorBidi" w:cstheme="majorBidi"/>
          <w:i/>
          <w:iCs/>
          <w:lang w:bidi="ar-KW"/>
        </w:rPr>
        <w:t>ḥusnā</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rtl/>
          <w:lang w:bidi="ar-KW"/>
        </w:rPr>
        <w:t>حُسناً</w:t>
      </w:r>
      <w:r w:rsidRPr="00B867DF">
        <w:rPr>
          <w:rFonts w:asciiTheme="majorBidi" w:eastAsia="Times New Roman" w:hAnsiTheme="majorBidi" w:cstheme="majorBidi"/>
          <w:lang w:bidi="ar-KW"/>
        </w:rPr>
        <w:t xml:space="preserve">) [bonté]) (XLVI, 15) ; ou bien ils montrent la suppression d’un </w:t>
      </w:r>
      <w:r w:rsidRPr="00B867DF">
        <w:rPr>
          <w:rFonts w:asciiTheme="majorBidi" w:eastAsia="Times New Roman" w:hAnsiTheme="majorBidi" w:cstheme="majorBidi"/>
          <w:i/>
          <w:iCs/>
          <w:lang w:bidi="ar-KW"/>
        </w:rPr>
        <w:t xml:space="preserve">alif </w:t>
      </w:r>
      <w:r w:rsidRPr="00B867DF">
        <w:rPr>
          <w:rFonts w:asciiTheme="majorBidi" w:eastAsia="Times New Roman" w:hAnsiTheme="majorBidi" w:cstheme="majorBidi"/>
          <w:lang w:bidi="ar-KW"/>
        </w:rPr>
        <w:t xml:space="preserve">que les lectures ajoutent comme dans : </w:t>
      </w:r>
      <w:r w:rsidRPr="00B867DF">
        <w:rPr>
          <w:rFonts w:asciiTheme="majorBidi" w:eastAsia="Times New Roman" w:hAnsiTheme="majorBidi" w:cstheme="majorBidi"/>
          <w:i/>
          <w:iCs/>
          <w:lang w:bidi="ar-KW"/>
        </w:rPr>
        <w:t>qul</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rtl/>
          <w:lang w:bidi="ar-KW"/>
        </w:rPr>
        <w:t>قُــلْ</w:t>
      </w:r>
      <w:r w:rsidRPr="00B867DF">
        <w:rPr>
          <w:rFonts w:asciiTheme="majorBidi" w:eastAsia="Times New Roman" w:hAnsiTheme="majorBidi" w:cstheme="majorBidi"/>
          <w:lang w:bidi="ar-KW"/>
        </w:rPr>
        <w:t>) (autre lecture :</w:t>
      </w:r>
      <w:r w:rsidRPr="00B867DF">
        <w:rPr>
          <w:rFonts w:asciiTheme="majorBidi" w:eastAsia="Times New Roman" w:hAnsiTheme="majorBidi" w:cstheme="majorBidi"/>
          <w:i/>
          <w:iCs/>
          <w:lang w:bidi="ar-KW"/>
        </w:rPr>
        <w:t xml:space="preserve"> q</w:t>
      </w:r>
      <w:r w:rsidRPr="00B867DF">
        <w:rPr>
          <w:rFonts w:asciiTheme="majorBidi" w:eastAsia="Times New Roman" w:hAnsiTheme="majorBidi" w:cstheme="majorBidi"/>
          <w:b/>
          <w:bCs/>
          <w:i/>
          <w:iCs/>
          <w:lang w:bidi="ar-KW"/>
        </w:rPr>
        <w:t>ā</w:t>
      </w:r>
      <w:r w:rsidRPr="00B867DF">
        <w:rPr>
          <w:rFonts w:asciiTheme="majorBidi" w:eastAsia="Times New Roman" w:hAnsiTheme="majorBidi" w:cstheme="majorBidi"/>
          <w:i/>
          <w:iCs/>
          <w:lang w:bidi="ar-KW"/>
        </w:rPr>
        <w:t>la</w:t>
      </w:r>
      <w:r w:rsidRPr="00B867DF">
        <w:rPr>
          <w:rFonts w:asciiTheme="majorBidi" w:eastAsia="Times New Roman" w:hAnsiTheme="majorBidi" w:cstheme="majorBidi"/>
          <w:lang w:bidi="ar-KW"/>
        </w:rPr>
        <w:t xml:space="preserve"> (</w:t>
      </w:r>
      <w:r w:rsidRPr="00B867DF">
        <w:rPr>
          <w:rFonts w:asciiTheme="majorBidi" w:eastAsia="Times New Roman" w:hAnsiTheme="majorBidi" w:cstheme="majorBidi"/>
          <w:rtl/>
          <w:lang w:bidi="ar-KW"/>
        </w:rPr>
        <w:t>قالَ</w:t>
      </w:r>
      <w:r w:rsidRPr="00B867DF">
        <w:rPr>
          <w:rFonts w:asciiTheme="majorBidi" w:eastAsia="Times New Roman" w:hAnsiTheme="majorBidi" w:cstheme="majorBidi"/>
          <w:lang w:bidi="ar-KW"/>
        </w:rPr>
        <w:t>)) (LXXII, 20).</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KW"/>
        </w:rPr>
        <w:t xml:space="preserve">Mais il est tout à fait normal que le texte coranique, en tant que grande œuvre en prose arabe, contient des incohérences, des erreurs linguistiques. Antoine Berman souligne : « Les grandes œuvres en prose se caractérisent par un certain ‘mal écrire’, un certain ‘non-contrôle’ de leur écriture. </w:t>
      </w:r>
      <w:r w:rsidRPr="00B867DF">
        <w:rPr>
          <w:rFonts w:eastAsia="Calibri"/>
          <w:lang w:bidi="ar-AE"/>
        </w:rPr>
        <w:t>[…] Son ‘mal écrire’ est aussi sa richesse ».</w:t>
      </w:r>
      <w:r w:rsidRPr="00B867DF">
        <w:rPr>
          <w:rStyle w:val="Appelnotedebasdep"/>
          <w:rFonts w:eastAsia="Calibri"/>
          <w:lang w:bidi="ar-AE"/>
        </w:rPr>
        <w:footnoteReference w:id="276"/>
      </w:r>
    </w:p>
    <w:p w14:paraId="70F965C2"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KW"/>
        </w:rPr>
        <w:t>Cependant, Antoine Compagnon</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KW"/>
        </w:rPr>
        <w:t xml:space="preserve">souligne : </w:t>
      </w:r>
      <w:r w:rsidRPr="00B867DF">
        <w:rPr>
          <w:rFonts w:asciiTheme="majorBidi" w:eastAsia="Times New Roman" w:hAnsiTheme="majorBidi" w:cstheme="majorBidi"/>
        </w:rPr>
        <w:t>« Le parallélisme de deux passages sera pertinent si et seulement s’ils renvoient à une intention cohérente : le mot « solitude » dans</w:t>
      </w:r>
      <w:r w:rsidRPr="00B867DF">
        <w:rPr>
          <w:rFonts w:asciiTheme="majorBidi" w:eastAsia="Times New Roman" w:hAnsiTheme="majorBidi" w:cstheme="majorBidi"/>
          <w:i/>
          <w:iCs/>
        </w:rPr>
        <w:t xml:space="preserve"> Le Spleen de Paris </w:t>
      </w:r>
      <w:r w:rsidRPr="00B867DF">
        <w:rPr>
          <w:rFonts w:asciiTheme="majorBidi" w:eastAsia="Times New Roman" w:hAnsiTheme="majorBidi" w:cstheme="majorBidi"/>
        </w:rPr>
        <w:t xml:space="preserve">n’éclaire pas nécessairement le mot « solitude » dans </w:t>
      </w:r>
      <w:r w:rsidRPr="00B867DF">
        <w:rPr>
          <w:rFonts w:asciiTheme="majorBidi" w:eastAsia="Times New Roman" w:hAnsiTheme="majorBidi" w:cstheme="majorBidi"/>
          <w:i/>
          <w:iCs/>
        </w:rPr>
        <w:t>Les fleurs du mal</w:t>
      </w:r>
      <w:r w:rsidRPr="00B867DF">
        <w:rPr>
          <w:rFonts w:asciiTheme="majorBidi" w:eastAsia="Times New Roman" w:hAnsiTheme="majorBidi" w:cstheme="majorBidi"/>
        </w:rPr>
        <w:t> ; Baudelaire, qui réclamait le droit de se contredire, a pu changer d’avis entre-temps. »</w:t>
      </w:r>
      <w:r w:rsidRPr="00B867DF">
        <w:rPr>
          <w:rStyle w:val="Appelnotedebasdep"/>
          <w:rFonts w:asciiTheme="majorBidi" w:hAnsiTheme="majorBidi" w:cstheme="majorBidi"/>
        </w:rPr>
        <w:footnoteReference w:id="277"/>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rPr>
        <w:t>N’ayant pas, semble-t-il, un seul auteur, le Coran avait cependant un seul compilateur (le calife ʿUthmān ou l’autorité de compilation), ce qui pourrait contribuer à normaliser sa terminologie.</w:t>
      </w:r>
    </w:p>
    <w:p w14:paraId="2AC1C8ED"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p>
    <w:p w14:paraId="6745F2E7" w14:textId="77777777" w:rsidR="00296288" w:rsidRPr="00B867DF" w:rsidRDefault="00296288" w:rsidP="00296288">
      <w:pPr>
        <w:spacing w:line="360" w:lineRule="auto"/>
        <w:ind w:firstLine="360"/>
        <w:contextualSpacing/>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Les exégètes ont donné une signification à cet éventuel écart. Nous allons voir que certains traducteurs l’ont corrigé en traduisant le mot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ẓ</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(terrible/terrifiant) et non pas le mot </w:t>
      </w:r>
      <w:r w:rsidRPr="00B867DF">
        <w:rPr>
          <w:rFonts w:asciiTheme="majorBidi" w:eastAsia="Times New Roman" w:hAnsiTheme="majorBidi" w:cstheme="majorBidi"/>
          <w:i/>
          <w:iCs/>
          <w:lang w:bidi="ar-AE"/>
        </w:rPr>
        <w:t>ʿa</w:t>
      </w:r>
      <w:r w:rsidRPr="00B867DF">
        <w:rPr>
          <w:rFonts w:asciiTheme="majorBidi" w:eastAsia="Times New Roman" w:hAnsiTheme="majorBidi" w:cstheme="majorBidi"/>
          <w:b/>
          <w:bCs/>
          <w:i/>
          <w:iCs/>
          <w:lang w:bidi="ar-AE"/>
        </w:rPr>
        <w:t>q</w:t>
      </w:r>
      <w:r w:rsidRPr="00B867DF">
        <w:rPr>
          <w:rFonts w:asciiTheme="majorBidi" w:eastAsia="Times New Roman" w:hAnsiTheme="majorBidi" w:cstheme="majorBidi"/>
          <w:i/>
          <w:iCs/>
          <w:lang w:bidi="ar-AE"/>
        </w:rPr>
        <w:t>īm</w:t>
      </w:r>
      <w:r w:rsidRPr="00B867DF">
        <w:rPr>
          <w:rFonts w:asciiTheme="majorBidi" w:eastAsia="Times New Roman" w:hAnsiTheme="majorBidi" w:cstheme="majorBidi"/>
          <w:lang w:bidi="ar-AE"/>
        </w:rPr>
        <w:t xml:space="preserve"> (stérile).</w:t>
      </w:r>
    </w:p>
    <w:p w14:paraId="01847AB6" w14:textId="77777777" w:rsidR="00296288" w:rsidRDefault="00296288" w:rsidP="00296288">
      <w:pPr>
        <w:spacing w:line="360" w:lineRule="auto"/>
        <w:jc w:val="both"/>
        <w:rPr>
          <w:rFonts w:asciiTheme="majorBidi" w:eastAsia="Calibri" w:hAnsiTheme="majorBidi" w:cstheme="majorBidi"/>
        </w:rPr>
      </w:pPr>
    </w:p>
    <w:p w14:paraId="52645615" w14:textId="77777777" w:rsidR="00296288" w:rsidRPr="00B867DF" w:rsidRDefault="00296288" w:rsidP="00296288">
      <w:pPr>
        <w:spacing w:line="360" w:lineRule="auto"/>
        <w:jc w:val="both"/>
        <w:rPr>
          <w:rFonts w:asciiTheme="majorBidi" w:eastAsia="Calibri" w:hAnsiTheme="majorBidi" w:cstheme="majorBidi"/>
        </w:rPr>
      </w:pPr>
    </w:p>
    <w:p w14:paraId="6E4745C9"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eastAsia="Calibri" w:hAnsiTheme="majorBidi" w:cstheme="majorBidi"/>
          <w:b/>
          <w:bCs/>
          <w:sz w:val="24"/>
          <w:szCs w:val="24"/>
          <w:lang w:bidi="ar-AE"/>
        </w:rPr>
      </w:pPr>
      <w:r w:rsidRPr="000F6511">
        <w:rPr>
          <w:rFonts w:asciiTheme="majorBidi" w:hAnsiTheme="majorBidi" w:cstheme="majorBidi"/>
          <w:b/>
          <w:bCs/>
          <w:sz w:val="24"/>
          <w:szCs w:val="24"/>
          <w:lang w:eastAsia="fr-FR" w:bidi="ar-EG"/>
        </w:rPr>
        <w:t xml:space="preserve">Le </w:t>
      </w:r>
      <w:r w:rsidRPr="000F6511">
        <w:rPr>
          <w:rFonts w:asciiTheme="majorBidi" w:hAnsiTheme="majorBidi" w:cstheme="majorBidi"/>
          <w:b/>
          <w:bCs/>
          <w:i/>
          <w:iCs/>
          <w:sz w:val="24"/>
          <w:szCs w:val="24"/>
          <w:lang w:eastAsia="fr-FR" w:bidi="ar-EG"/>
        </w:rPr>
        <w:t>rizq ḥasan </w:t>
      </w:r>
      <w:r w:rsidRPr="000F6511">
        <w:rPr>
          <w:rFonts w:asciiTheme="majorBidi" w:hAnsiTheme="majorBidi" w:cstheme="majorBidi"/>
          <w:b/>
          <w:bCs/>
          <w:sz w:val="24"/>
          <w:szCs w:val="24"/>
          <w:lang w:eastAsia="fr-FR" w:bidi="ar-EG"/>
        </w:rPr>
        <w:t>:</w:t>
      </w:r>
    </w:p>
    <w:p w14:paraId="3F4D1360" w14:textId="55CD9E03" w:rsidR="00296288" w:rsidRPr="00B867DF" w:rsidRDefault="00296288" w:rsidP="00296288">
      <w:pPr>
        <w:spacing w:line="360" w:lineRule="auto"/>
        <w:ind w:firstLine="360"/>
        <w:contextualSpacing/>
        <w:jc w:val="both"/>
        <w:rPr>
          <w:rFonts w:asciiTheme="majorBidi" w:eastAsia="Times New Roman" w:hAnsiTheme="majorBidi" w:cstheme="majorBidi"/>
          <w:lang w:bidi="ar-EG"/>
        </w:rPr>
      </w:pPr>
      <w:r w:rsidRPr="00B867DF">
        <w:rPr>
          <w:rFonts w:asciiTheme="majorBidi" w:eastAsia="Times New Roman" w:hAnsiTheme="majorBidi" w:cstheme="majorBidi"/>
          <w:lang w:bidi="ar-EG"/>
        </w:rPr>
        <w:t xml:space="preserve">Le </w:t>
      </w:r>
      <w:r w:rsidRPr="00B867DF">
        <w:rPr>
          <w:rFonts w:asciiTheme="majorBidi" w:eastAsia="Times New Roman" w:hAnsiTheme="majorBidi" w:cstheme="majorBidi"/>
          <w:i/>
          <w:iCs/>
          <w:lang w:bidi="ar-EG"/>
        </w:rPr>
        <w:t>rizq ḥasan</w:t>
      </w:r>
      <w:r w:rsidRPr="00B867DF">
        <w:rPr>
          <w:rFonts w:asciiTheme="majorBidi" w:eastAsia="Times New Roman" w:hAnsiTheme="majorBidi" w:cstheme="majorBidi"/>
          <w:lang w:bidi="ar-EG"/>
        </w:rPr>
        <w:t xml:space="preserve"> [un bon moyen de vivre] attribué aux morts veut dire :</w:t>
      </w:r>
    </w:p>
    <w:p w14:paraId="0AED1E53" w14:textId="77777777" w:rsidR="00296288" w:rsidRPr="00B867DF" w:rsidRDefault="00296288" w:rsidP="007640DC">
      <w:pPr>
        <w:numPr>
          <w:ilvl w:val="0"/>
          <w:numId w:val="54"/>
        </w:numPr>
        <w:spacing w:line="360" w:lineRule="auto"/>
        <w:contextualSpacing/>
        <w:jc w:val="both"/>
        <w:rPr>
          <w:rFonts w:eastAsia="Times New Roman"/>
          <w:lang w:bidi="ar-EG"/>
        </w:rPr>
      </w:pPr>
      <w:r w:rsidRPr="00B867DF">
        <w:rPr>
          <w:rFonts w:eastAsia="Times New Roman"/>
          <w:lang w:bidi="ar-EG"/>
        </w:rPr>
        <w:t>une rémunération considérable,</w:t>
      </w:r>
    </w:p>
    <w:p w14:paraId="45B0FE77" w14:textId="77777777" w:rsidR="00296288" w:rsidRPr="00B867DF" w:rsidRDefault="00296288" w:rsidP="007640DC">
      <w:pPr>
        <w:numPr>
          <w:ilvl w:val="0"/>
          <w:numId w:val="54"/>
        </w:numPr>
        <w:spacing w:line="360" w:lineRule="auto"/>
        <w:contextualSpacing/>
        <w:jc w:val="both"/>
        <w:rPr>
          <w:rFonts w:eastAsia="Times New Roman"/>
          <w:lang w:bidi="ar-EG"/>
        </w:rPr>
      </w:pPr>
      <w:r w:rsidRPr="00B867DF">
        <w:rPr>
          <w:rFonts w:eastAsia="Times New Roman"/>
          <w:lang w:bidi="ar-EG"/>
        </w:rPr>
        <w:t xml:space="preserve">les moyens de vivre des martyrs dans la vie de </w:t>
      </w:r>
      <w:r w:rsidRPr="00B867DF">
        <w:rPr>
          <w:rFonts w:eastAsia="Times New Roman"/>
          <w:i/>
          <w:iCs/>
          <w:lang w:bidi="ar-EG"/>
        </w:rPr>
        <w:t>barzakh</w:t>
      </w:r>
      <w:r w:rsidRPr="00B867DF">
        <w:rPr>
          <w:rFonts w:eastAsia="Times New Roman"/>
        </w:rPr>
        <w:t xml:space="preserve"> [le monde transitoire]</w:t>
      </w:r>
      <w:r w:rsidRPr="00B867DF">
        <w:rPr>
          <w:rFonts w:eastAsia="Times New Roman"/>
          <w:lang w:bidi="ar-EG"/>
        </w:rPr>
        <w:t>,</w:t>
      </w:r>
    </w:p>
    <w:p w14:paraId="321EEA6E" w14:textId="77777777" w:rsidR="00296288" w:rsidRPr="00B867DF" w:rsidRDefault="00296288" w:rsidP="007640DC">
      <w:pPr>
        <w:numPr>
          <w:ilvl w:val="0"/>
          <w:numId w:val="54"/>
        </w:numPr>
        <w:spacing w:line="360" w:lineRule="auto"/>
        <w:contextualSpacing/>
        <w:jc w:val="both"/>
        <w:rPr>
          <w:rFonts w:eastAsia="Times New Roman"/>
          <w:lang w:bidi="ar-EG"/>
        </w:rPr>
      </w:pPr>
      <w:r w:rsidRPr="00B867DF">
        <w:rPr>
          <w:rFonts w:eastAsia="Times New Roman"/>
          <w:lang w:bidi="ar-EG"/>
        </w:rPr>
        <w:t>une bonne rétribution dans l’au-delà,</w:t>
      </w:r>
    </w:p>
    <w:p w14:paraId="67145793" w14:textId="77777777" w:rsidR="00296288" w:rsidRPr="00B867DF" w:rsidRDefault="00296288" w:rsidP="007640DC">
      <w:pPr>
        <w:numPr>
          <w:ilvl w:val="0"/>
          <w:numId w:val="54"/>
        </w:numPr>
        <w:spacing w:line="360" w:lineRule="auto"/>
        <w:contextualSpacing/>
        <w:jc w:val="both"/>
        <w:rPr>
          <w:rFonts w:eastAsia="Times New Roman"/>
          <w:lang w:bidi="ar-EG"/>
        </w:rPr>
      </w:pPr>
      <w:r w:rsidRPr="00B867DF">
        <w:rPr>
          <w:rFonts w:eastAsia="Times New Roman"/>
          <w:lang w:bidi="ar-EG"/>
        </w:rPr>
        <w:t>les récompenses sur les bonnes actions et les aumônes qu’ils ont faites au bas monde,</w:t>
      </w:r>
    </w:p>
    <w:p w14:paraId="12708589" w14:textId="77777777" w:rsidR="00296288" w:rsidRPr="00B867DF" w:rsidRDefault="00296288" w:rsidP="007640DC">
      <w:pPr>
        <w:numPr>
          <w:ilvl w:val="0"/>
          <w:numId w:val="54"/>
        </w:numPr>
        <w:spacing w:line="360" w:lineRule="auto"/>
        <w:contextualSpacing/>
        <w:jc w:val="both"/>
        <w:rPr>
          <w:rFonts w:eastAsia="Times New Roman"/>
          <w:lang w:bidi="ar-EG"/>
        </w:rPr>
      </w:pPr>
      <w:r w:rsidRPr="00B867DF">
        <w:rPr>
          <w:rFonts w:eastAsia="Times New Roman"/>
          <w:lang w:bidi="ar-EG"/>
        </w:rPr>
        <w:t xml:space="preserve">les fruits du </w:t>
      </w:r>
      <w:r w:rsidRPr="00B867DF">
        <w:rPr>
          <w:rFonts w:eastAsia="Times New Roman"/>
          <w:i/>
          <w:iCs/>
          <w:lang w:bidi="ar-EG"/>
        </w:rPr>
        <w:t>kashf</w:t>
      </w:r>
      <w:r w:rsidRPr="00B867DF">
        <w:rPr>
          <w:rFonts w:eastAsia="Times New Roman"/>
          <w:lang w:bidi="ar-EG"/>
        </w:rPr>
        <w:t xml:space="preserve"> </w:t>
      </w:r>
      <w:r w:rsidRPr="00B867DF">
        <w:rPr>
          <w:rFonts w:asciiTheme="majorBidi" w:hAnsiTheme="majorBidi" w:cstheme="majorBidi"/>
        </w:rPr>
        <w:t>[</w:t>
      </w:r>
      <w:r w:rsidRPr="00B867DF">
        <w:rPr>
          <w:rFonts w:eastAsia="Times New Roman"/>
          <w:lang w:bidi="ar-EG"/>
        </w:rPr>
        <w:t>dévoilement</w:t>
      </w:r>
      <w:r w:rsidRPr="00B867DF">
        <w:rPr>
          <w:rFonts w:asciiTheme="majorBidi" w:hAnsiTheme="majorBidi" w:cstheme="majorBidi"/>
        </w:rPr>
        <w:t>]</w:t>
      </w:r>
      <w:r w:rsidRPr="00B867DF">
        <w:rPr>
          <w:rFonts w:eastAsia="Times New Roman"/>
          <w:lang w:bidi="ar-EG"/>
        </w:rPr>
        <w:t xml:space="preserve"> et des révélations (Ibn ʿArabī),</w:t>
      </w:r>
    </w:p>
    <w:p w14:paraId="01BF982A" w14:textId="77777777" w:rsidR="00296288" w:rsidRPr="00B867DF" w:rsidRDefault="00296288" w:rsidP="007640DC">
      <w:pPr>
        <w:numPr>
          <w:ilvl w:val="0"/>
          <w:numId w:val="54"/>
        </w:numPr>
        <w:spacing w:line="360" w:lineRule="auto"/>
        <w:contextualSpacing/>
        <w:jc w:val="both"/>
        <w:rPr>
          <w:rFonts w:eastAsia="Times New Roman"/>
          <w:lang w:bidi="ar-EG"/>
        </w:rPr>
      </w:pPr>
      <w:r w:rsidRPr="00B867DF">
        <w:rPr>
          <w:rFonts w:eastAsia="Times New Roman"/>
          <w:lang w:bidi="ar-EG"/>
        </w:rPr>
        <w:t>une compensation des biens et des parents qu’ils ont perdus dans leur pays (</w:t>
      </w:r>
      <w:r w:rsidRPr="00B867DF">
        <w:rPr>
          <w:rFonts w:eastAsia="Calibri"/>
        </w:rPr>
        <w:t>Ash-Shaʿrāwī)</w:t>
      </w:r>
      <w:r w:rsidRPr="00B867DF">
        <w:rPr>
          <w:rFonts w:eastAsia="Times New Roman"/>
          <w:lang w:bidi="ar-EG"/>
        </w:rPr>
        <w:t>,</w:t>
      </w:r>
    </w:p>
    <w:p w14:paraId="2E3D29FF" w14:textId="77777777" w:rsidR="00296288" w:rsidRPr="00B867DF" w:rsidRDefault="00296288" w:rsidP="007640DC">
      <w:pPr>
        <w:numPr>
          <w:ilvl w:val="0"/>
          <w:numId w:val="54"/>
        </w:numPr>
        <w:spacing w:line="360" w:lineRule="auto"/>
        <w:contextualSpacing/>
        <w:jc w:val="both"/>
        <w:rPr>
          <w:rFonts w:eastAsia="Times New Roman"/>
          <w:lang w:bidi="ar-EG"/>
        </w:rPr>
      </w:pPr>
      <w:r w:rsidRPr="00B867DF">
        <w:rPr>
          <w:rFonts w:eastAsia="Times New Roman"/>
          <w:lang w:bidi="ar-EG"/>
        </w:rPr>
        <w:t>les bienfaits et les avantages que les morts et leur peuple vont recevoir au bas monde (règne et pouvoir) et dans l’autre monde (une augmentation de la foi) (</w:t>
      </w:r>
      <w:r w:rsidRPr="00B867DF">
        <w:rPr>
          <w:rFonts w:eastAsia="Times New Roman"/>
        </w:rPr>
        <w:t>exégèse ahmadie, Mirzā Bashīr Ad-Dīn).</w:t>
      </w:r>
    </w:p>
    <w:p w14:paraId="7B80F1F4" w14:textId="77777777" w:rsidR="00296288" w:rsidRPr="000F6511" w:rsidRDefault="00296288" w:rsidP="00296288">
      <w:pPr>
        <w:spacing w:line="360" w:lineRule="auto"/>
        <w:contextualSpacing/>
        <w:jc w:val="both"/>
        <w:rPr>
          <w:rFonts w:eastAsia="Times New Roman"/>
          <w:lang w:bidi="ar-EG"/>
        </w:rPr>
      </w:pPr>
    </w:p>
    <w:p w14:paraId="1CCF1813" w14:textId="59C3E228" w:rsidR="00296288" w:rsidRPr="000F6511" w:rsidRDefault="00296288" w:rsidP="007640DC">
      <w:pPr>
        <w:pStyle w:val="Paragraphedeliste"/>
        <w:numPr>
          <w:ilvl w:val="0"/>
          <w:numId w:val="62"/>
        </w:numPr>
        <w:bidi w:val="0"/>
        <w:spacing w:after="0" w:line="360" w:lineRule="auto"/>
        <w:contextualSpacing/>
        <w:jc w:val="both"/>
        <w:rPr>
          <w:rFonts w:ascii="Times New Roman" w:hAnsi="Times New Roman" w:cs="Times New Roman"/>
          <w:b/>
          <w:bCs/>
          <w:sz w:val="24"/>
          <w:szCs w:val="24"/>
          <w:lang w:eastAsia="fr-FR"/>
        </w:rPr>
      </w:pPr>
      <w:r w:rsidRPr="000F6511">
        <w:rPr>
          <w:rFonts w:ascii="Times New Roman" w:hAnsi="Times New Roman" w:cs="Times New Roman"/>
          <w:b/>
          <w:bCs/>
          <w:sz w:val="24"/>
          <w:szCs w:val="24"/>
          <w:lang w:eastAsia="fr-FR" w:bidi="ar-EG"/>
        </w:rPr>
        <w:t xml:space="preserve">La viande </w:t>
      </w:r>
      <w:r w:rsidR="00973DA6" w:rsidRPr="000F6511">
        <w:rPr>
          <w:rFonts w:ascii="Times New Roman" w:hAnsi="Times New Roman" w:cs="Times New Roman"/>
          <w:b/>
          <w:bCs/>
          <w:i/>
          <w:iCs/>
          <w:sz w:val="24"/>
          <w:szCs w:val="24"/>
          <w:lang w:eastAsia="fr-FR" w:bidi="ar-EG"/>
        </w:rPr>
        <w:t>hal</w:t>
      </w:r>
      <w:r w:rsidR="00973DA6" w:rsidRPr="000F6511">
        <w:rPr>
          <w:rFonts w:ascii="Times New Roman" w:hAnsi="Times New Roman" w:cs="Times New Roman"/>
          <w:b/>
          <w:i/>
          <w:iCs/>
          <w:sz w:val="24"/>
          <w:szCs w:val="24"/>
          <w:lang w:eastAsia="fr-FR" w:bidi="ar-EG"/>
        </w:rPr>
        <w:t>a</w:t>
      </w:r>
      <w:r w:rsidR="00973DA6" w:rsidRPr="000F6511">
        <w:rPr>
          <w:rFonts w:ascii="Times New Roman" w:hAnsi="Times New Roman" w:cs="Times New Roman"/>
          <w:b/>
          <w:bCs/>
          <w:i/>
          <w:iCs/>
          <w:sz w:val="24"/>
          <w:szCs w:val="24"/>
          <w:lang w:eastAsia="fr-FR" w:bidi="ar-EG"/>
        </w:rPr>
        <w:t>l</w:t>
      </w:r>
      <w:r w:rsidRPr="000F6511">
        <w:rPr>
          <w:rFonts w:ascii="Times New Roman" w:hAnsi="Times New Roman" w:cs="Times New Roman"/>
          <w:b/>
          <w:bCs/>
          <w:i/>
          <w:iCs/>
          <w:sz w:val="24"/>
          <w:szCs w:val="24"/>
          <w:lang w:eastAsia="fr-FR" w:bidi="ar-EG"/>
        </w:rPr>
        <w:t> </w:t>
      </w:r>
      <w:r w:rsidRPr="000F6511">
        <w:rPr>
          <w:rFonts w:ascii="Times New Roman" w:hAnsi="Times New Roman" w:cs="Times New Roman"/>
          <w:b/>
          <w:bCs/>
          <w:sz w:val="24"/>
          <w:szCs w:val="24"/>
          <w:lang w:eastAsia="fr-FR" w:bidi="ar-EG"/>
        </w:rPr>
        <w:t>:</w:t>
      </w:r>
    </w:p>
    <w:p w14:paraId="4FDB633F" w14:textId="77777777" w:rsidR="00296288" w:rsidRPr="00B867DF" w:rsidRDefault="00296288" w:rsidP="00296288">
      <w:pPr>
        <w:spacing w:line="360" w:lineRule="auto"/>
        <w:ind w:firstLine="360"/>
        <w:contextualSpacing/>
        <w:jc w:val="both"/>
        <w:rPr>
          <w:rFonts w:eastAsia="Times New Roman"/>
          <w:lang w:bidi="ar-EG"/>
        </w:rPr>
      </w:pPr>
      <w:r w:rsidRPr="00B867DF">
        <w:rPr>
          <w:rFonts w:eastAsia="Times New Roman"/>
          <w:lang w:bidi="ar-EG"/>
        </w:rPr>
        <w:t xml:space="preserve">Le mot </w:t>
      </w:r>
      <w:r w:rsidRPr="00B867DF">
        <w:rPr>
          <w:rFonts w:eastAsia="Times New Roman"/>
          <w:i/>
          <w:iCs/>
          <w:lang w:bidi="ar-EG"/>
        </w:rPr>
        <w:t>al-amr</w:t>
      </w:r>
      <w:r w:rsidRPr="00B867DF">
        <w:rPr>
          <w:rFonts w:eastAsia="Times New Roman"/>
          <w:lang w:bidi="ar-EG"/>
        </w:rPr>
        <w:t xml:space="preserve"> [cet article/l’ordre reçu/ce sujet] dans la phrase « </w:t>
      </w:r>
      <w:r w:rsidRPr="00B867DF">
        <w:rPr>
          <w:rFonts w:eastAsia="Times New Roman"/>
          <w:i/>
          <w:iCs/>
          <w:lang w:bidi="ar-EG"/>
        </w:rPr>
        <w:t>fa-lā yunāziʿunna</w:t>
      </w:r>
      <w:r w:rsidRPr="00973DA6">
        <w:rPr>
          <w:rFonts w:eastAsia="Times New Roman"/>
          <w:i/>
          <w:iCs/>
          <w:lang w:bidi="ar-EG"/>
        </w:rPr>
        <w:t>-ka f</w:t>
      </w:r>
      <w:r w:rsidRPr="00973DA6">
        <w:rPr>
          <w:rFonts w:asciiTheme="majorBidi" w:eastAsia="Times New Roman" w:hAnsiTheme="majorBidi" w:cstheme="majorBidi"/>
          <w:i/>
          <w:iCs/>
          <w:lang w:bidi="ar-AE"/>
        </w:rPr>
        <w:t>ī</w:t>
      </w:r>
      <w:r w:rsidRPr="00973DA6">
        <w:rPr>
          <w:rFonts w:eastAsia="Times New Roman"/>
          <w:i/>
          <w:iCs/>
          <w:lang w:bidi="ar-EG"/>
        </w:rPr>
        <w:t xml:space="preserve"> l-</w:t>
      </w:r>
      <w:r w:rsidRPr="00B867DF">
        <w:rPr>
          <w:rFonts w:eastAsia="Times New Roman"/>
          <w:i/>
          <w:iCs/>
          <w:lang w:bidi="ar-EG"/>
        </w:rPr>
        <w:t>amr </w:t>
      </w:r>
      <w:r w:rsidRPr="00B867DF">
        <w:rPr>
          <w:rFonts w:eastAsia="Times New Roman"/>
          <w:lang w:bidi="ar-EG"/>
        </w:rPr>
        <w:t>» [</w:t>
      </w:r>
      <w:r w:rsidRPr="00B867DF">
        <w:rPr>
          <w:rFonts w:eastAsia="Calibri"/>
          <w:lang w:bidi="ar-AE"/>
        </w:rPr>
        <w:t>Ne te laisse pas, non ! contester sur cet article</w:t>
      </w:r>
      <w:r w:rsidRPr="00B867DF">
        <w:rPr>
          <w:rFonts w:eastAsia="Times New Roman"/>
          <w:lang w:bidi="ar-EG"/>
        </w:rPr>
        <w:t>] (v. 67) peut signifier :</w:t>
      </w:r>
    </w:p>
    <w:p w14:paraId="2E7B59A1" w14:textId="26A12025" w:rsidR="00296288" w:rsidRPr="00B867DF" w:rsidRDefault="00296288" w:rsidP="007640DC">
      <w:pPr>
        <w:pStyle w:val="Paragraphedeliste"/>
        <w:numPr>
          <w:ilvl w:val="0"/>
          <w:numId w:val="61"/>
        </w:numPr>
        <w:bidi w:val="0"/>
        <w:spacing w:after="0" w:line="360" w:lineRule="auto"/>
        <w:contextualSpacing/>
        <w:jc w:val="both"/>
        <w:rPr>
          <w:rFonts w:asciiTheme="majorBidi" w:hAnsiTheme="majorBidi" w:cstheme="majorBidi"/>
          <w:sz w:val="24"/>
          <w:szCs w:val="24"/>
          <w:lang w:eastAsia="fr-FR" w:bidi="ar-EG"/>
        </w:rPr>
      </w:pPr>
      <w:r w:rsidRPr="00B867DF">
        <w:rPr>
          <w:rFonts w:ascii="Times New Roman" w:hAnsi="Times New Roman" w:cs="Times New Roman"/>
          <w:sz w:val="24"/>
          <w:szCs w:val="24"/>
          <w:lang w:eastAsia="fr-FR" w:bidi="ar-EG"/>
        </w:rPr>
        <w:t xml:space="preserve">l’action d’égorger les sacrifices, ou l’animal sacrifié lui-même ; il s’agit ici de la viande </w:t>
      </w:r>
      <w:r w:rsidR="00973DA6" w:rsidRPr="00973DA6">
        <w:rPr>
          <w:rFonts w:asciiTheme="majorBidi" w:hAnsiTheme="majorBidi" w:cstheme="majorBidi"/>
          <w:i/>
          <w:iCs/>
          <w:sz w:val="24"/>
          <w:szCs w:val="24"/>
        </w:rPr>
        <w:t>ḥ</w:t>
      </w:r>
      <w:r w:rsidRPr="00973DA6">
        <w:rPr>
          <w:rFonts w:ascii="Times New Roman" w:hAnsi="Times New Roman" w:cs="Times New Roman"/>
          <w:i/>
          <w:iCs/>
          <w:sz w:val="24"/>
          <w:szCs w:val="24"/>
          <w:lang w:eastAsia="fr-FR" w:bidi="ar-EG"/>
        </w:rPr>
        <w:t>alāl</w:t>
      </w:r>
      <w:r w:rsidRPr="00B867DF">
        <w:rPr>
          <w:rFonts w:ascii="Times New Roman" w:hAnsi="Times New Roman" w:cs="Times New Roman"/>
          <w:sz w:val="24"/>
          <w:szCs w:val="24"/>
          <w:lang w:eastAsia="fr-FR" w:bidi="ar-EG"/>
        </w:rPr>
        <w:t xml:space="preserve"> et de l’interdiction de manger l’animal mort de mort naturelle (aṭ-Ṭabarī, ath-Thaʿlabī et al-Jalālayn) ; Ṭabarī et Thaʿlabī insistent sur l’obligation de manger de la viande </w:t>
      </w:r>
      <w:r w:rsidR="00973DA6" w:rsidRPr="00B867DF">
        <w:rPr>
          <w:rFonts w:ascii="Times New Roman" w:hAnsi="Times New Roman" w:cs="Times New Roman"/>
          <w:i/>
          <w:iCs/>
          <w:sz w:val="24"/>
          <w:szCs w:val="24"/>
          <w:lang w:eastAsia="fr-FR" w:bidi="ar-EG"/>
        </w:rPr>
        <w:t>ḥalāl</w:t>
      </w:r>
      <w:r w:rsidRPr="00B867DF">
        <w:rPr>
          <w:rFonts w:ascii="Times New Roman" w:hAnsi="Times New Roman" w:cs="Times New Roman"/>
          <w:sz w:val="24"/>
          <w:szCs w:val="24"/>
          <w:lang w:eastAsia="fr-FR" w:bidi="ar-EG"/>
        </w:rPr>
        <w:t xml:space="preserve">. Selon Thaʿlabī, on a dit aux compagnons du prophète : « Comment vous mangez ce que vous égorgez par vos propres mains et vous ne mangez pas ce que Dieu a fait mourir d’une mort naturelle ?! » Ce verset leur dit de ne pas discuter avec les non-croyants à propos de ce sujet, ce qui veut dire que seul l’abattage </w:t>
      </w:r>
      <w:r w:rsidRPr="00B867DF">
        <w:rPr>
          <w:rFonts w:ascii="Times New Roman" w:hAnsi="Times New Roman" w:cs="Times New Roman"/>
          <w:i/>
          <w:iCs/>
          <w:sz w:val="24"/>
          <w:szCs w:val="24"/>
          <w:lang w:eastAsia="fr-FR" w:bidi="ar-EG"/>
        </w:rPr>
        <w:t>halāl</w:t>
      </w:r>
      <w:r w:rsidRPr="00B867DF">
        <w:rPr>
          <w:rFonts w:ascii="Times New Roman" w:hAnsi="Times New Roman" w:cs="Times New Roman"/>
          <w:sz w:val="24"/>
          <w:szCs w:val="24"/>
          <w:lang w:eastAsia="fr-FR" w:bidi="ar-EG"/>
        </w:rPr>
        <w:t xml:space="preserve"> est incontestablement recommandé et qu’il est formellement interdit de manger la bête trouvée morte (</w:t>
      </w:r>
      <w:r w:rsidRPr="00B867DF">
        <w:rPr>
          <w:rFonts w:ascii="Times New Roman" w:hAnsi="Times New Roman" w:cs="Times New Roman"/>
          <w:i/>
          <w:iCs/>
          <w:sz w:val="24"/>
          <w:szCs w:val="24"/>
          <w:lang w:eastAsia="fr-FR" w:bidi="ar-EG"/>
        </w:rPr>
        <w:t>mayta</w:t>
      </w:r>
      <w:r w:rsidRPr="00B867DF">
        <w:rPr>
          <w:rFonts w:ascii="Times New Roman" w:hAnsi="Times New Roman" w:cs="Times New Roman"/>
          <w:sz w:val="24"/>
          <w:szCs w:val="24"/>
          <w:lang w:eastAsia="fr-FR" w:bidi="ar-EG"/>
        </w:rPr>
        <w:t xml:space="preserve">), </w:t>
      </w:r>
      <w:r w:rsidRPr="00B867DF">
        <w:rPr>
          <w:rFonts w:asciiTheme="majorBidi" w:hAnsiTheme="majorBidi" w:cstheme="majorBidi"/>
          <w:sz w:val="24"/>
          <w:szCs w:val="24"/>
          <w:lang w:eastAsia="fr-FR" w:bidi="ar-EG"/>
        </w:rPr>
        <w:t>ou celle</w:t>
      </w:r>
      <w:r w:rsidRPr="00B867DF">
        <w:rPr>
          <w:rFonts w:asciiTheme="majorBidi" w:hAnsiTheme="majorBidi" w:cstheme="majorBidi"/>
          <w:sz w:val="24"/>
          <w:szCs w:val="24"/>
        </w:rPr>
        <w:t xml:space="preserve"> sur quoi on a invoqué un autre nom que celui d’Allah, ainsi que la bête étouffée, la bête assommée ou morte d’une chute ou d’un coup de corne</w:t>
      </w:r>
      <w:r w:rsidRPr="00B867DF">
        <w:rPr>
          <w:rFonts w:asciiTheme="majorBidi" w:hAnsiTheme="majorBidi" w:cstheme="majorBidi"/>
          <w:sz w:val="24"/>
          <w:szCs w:val="24"/>
          <w:lang w:eastAsia="fr-FR" w:bidi="ar-EG"/>
        </w:rPr>
        <w:t>. Cette interprétation prévaut sur les autres.</w:t>
      </w:r>
    </w:p>
    <w:p w14:paraId="4D2A44FD" w14:textId="77777777" w:rsidR="00296288" w:rsidRPr="00B867DF" w:rsidRDefault="00296288" w:rsidP="007640DC">
      <w:pPr>
        <w:pStyle w:val="Paragraphedeliste"/>
        <w:numPr>
          <w:ilvl w:val="0"/>
          <w:numId w:val="61"/>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sz w:val="24"/>
          <w:szCs w:val="24"/>
          <w:lang w:eastAsia="fr-FR" w:bidi="ar-EG"/>
        </w:rPr>
        <w:t>toute affaire (généralisation) (al-Baghawī) ;</w:t>
      </w:r>
    </w:p>
    <w:p w14:paraId="69A56D08" w14:textId="77777777" w:rsidR="00296288" w:rsidRPr="00B867DF" w:rsidRDefault="00296288" w:rsidP="007640DC">
      <w:pPr>
        <w:pStyle w:val="Paragraphedeliste"/>
        <w:numPr>
          <w:ilvl w:val="0"/>
          <w:numId w:val="61"/>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sz w:val="24"/>
          <w:szCs w:val="24"/>
          <w:lang w:eastAsia="fr-FR" w:bidi="ar-EG"/>
        </w:rPr>
        <w:t xml:space="preserve">le pèlerinage (ibn ʿĀshūr, </w:t>
      </w:r>
      <w:r w:rsidRPr="00B867DF">
        <w:rPr>
          <w:rFonts w:ascii="Times New Roman" w:hAnsi="Times New Roman" w:cs="Times New Roman"/>
          <w:i/>
          <w:iCs/>
          <w:sz w:val="24"/>
          <w:szCs w:val="24"/>
          <w:lang w:eastAsia="fr-FR" w:bidi="ar-EG"/>
        </w:rPr>
        <w:t>at-Taḥrīr wa-at-Tanwīr</w:t>
      </w:r>
      <w:r w:rsidRPr="00B867DF">
        <w:rPr>
          <w:rFonts w:ascii="Times New Roman" w:hAnsi="Times New Roman" w:cs="Times New Roman"/>
          <w:sz w:val="24"/>
          <w:szCs w:val="24"/>
          <w:lang w:eastAsia="fr-FR" w:bidi="ar-EG"/>
        </w:rPr>
        <w:t>) ;</w:t>
      </w:r>
    </w:p>
    <w:p w14:paraId="0A54C4EB" w14:textId="77777777" w:rsidR="00296288" w:rsidRPr="00B867DF" w:rsidRDefault="00296288" w:rsidP="007640DC">
      <w:pPr>
        <w:pStyle w:val="Paragraphedeliste"/>
        <w:numPr>
          <w:ilvl w:val="0"/>
          <w:numId w:val="61"/>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sz w:val="24"/>
          <w:szCs w:val="24"/>
          <w:lang w:eastAsia="fr-FR" w:bidi="ar-EG"/>
        </w:rPr>
        <w:lastRenderedPageBreak/>
        <w:t>l’unicité de Dieu (ibn ʿĀshūr) ;</w:t>
      </w:r>
    </w:p>
    <w:p w14:paraId="71132C42" w14:textId="77777777" w:rsidR="00296288" w:rsidRPr="00B867DF" w:rsidRDefault="00296288" w:rsidP="007640DC">
      <w:pPr>
        <w:pStyle w:val="Paragraphedeliste"/>
        <w:numPr>
          <w:ilvl w:val="0"/>
          <w:numId w:val="61"/>
        </w:numPr>
        <w:bidi w:val="0"/>
        <w:spacing w:after="0" w:line="360" w:lineRule="auto"/>
        <w:contextualSpacing/>
        <w:jc w:val="both"/>
        <w:rPr>
          <w:rFonts w:ascii="Times New Roman" w:hAnsi="Times New Roman" w:cs="Times New Roman"/>
          <w:sz w:val="24"/>
          <w:szCs w:val="24"/>
          <w:lang w:eastAsia="fr-FR" w:bidi="ar-EG"/>
        </w:rPr>
      </w:pPr>
      <w:r w:rsidRPr="00B867DF">
        <w:rPr>
          <w:rFonts w:ascii="Times New Roman" w:hAnsi="Times New Roman" w:cs="Times New Roman"/>
          <w:sz w:val="24"/>
          <w:szCs w:val="24"/>
          <w:lang w:eastAsia="fr-FR" w:bidi="ar-EG"/>
        </w:rPr>
        <w:t>tout type de culte [</w:t>
      </w:r>
      <w:r w:rsidRPr="00B867DF">
        <w:rPr>
          <w:rFonts w:ascii="Times New Roman" w:hAnsi="Times New Roman" w:cs="Times New Roman"/>
          <w:i/>
          <w:iCs/>
          <w:sz w:val="24"/>
          <w:szCs w:val="24"/>
          <w:lang w:eastAsia="fr-FR" w:bidi="ar-EG"/>
        </w:rPr>
        <w:t>anwāʿ al-ʿibādāt kulla-hā</w:t>
      </w:r>
      <w:r w:rsidRPr="00B867DF">
        <w:rPr>
          <w:rFonts w:ascii="Times New Roman" w:hAnsi="Times New Roman" w:cs="Times New Roman"/>
          <w:sz w:val="24"/>
          <w:szCs w:val="24"/>
          <w:lang w:eastAsia="fr-FR" w:bidi="ar-EG"/>
        </w:rPr>
        <w:t>] (Al-Muyassar, moderne).</w:t>
      </w:r>
    </w:p>
    <w:p w14:paraId="0795C55C" w14:textId="77777777" w:rsidR="00296288" w:rsidRPr="00B867DF" w:rsidRDefault="00296288" w:rsidP="00296288">
      <w:pPr>
        <w:spacing w:line="360" w:lineRule="auto"/>
        <w:jc w:val="both"/>
        <w:rPr>
          <w:rFonts w:asciiTheme="majorBidi" w:eastAsia="Times New Roman" w:hAnsiTheme="majorBidi" w:cstheme="majorBidi"/>
          <w:lang w:bidi="ar-AE"/>
        </w:rPr>
      </w:pPr>
    </w:p>
    <w:p w14:paraId="17C104C2"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hAnsiTheme="majorBidi" w:cstheme="majorBidi"/>
          <w:b/>
          <w:bCs/>
          <w:sz w:val="24"/>
          <w:szCs w:val="24"/>
          <w:lang w:eastAsia="fr-FR" w:bidi="ar-AE"/>
        </w:rPr>
      </w:pPr>
      <w:r w:rsidRPr="000F6511">
        <w:rPr>
          <w:rFonts w:asciiTheme="majorBidi" w:hAnsiTheme="majorBidi" w:cstheme="majorBidi"/>
          <w:b/>
          <w:bCs/>
          <w:sz w:val="24"/>
          <w:szCs w:val="24"/>
          <w:lang w:eastAsia="fr-FR" w:bidi="ar-AE"/>
        </w:rPr>
        <w:t xml:space="preserve">Polysémie du verbe </w:t>
      </w:r>
      <w:r w:rsidRPr="000F6511">
        <w:rPr>
          <w:rFonts w:asciiTheme="majorBidi" w:hAnsiTheme="majorBidi" w:cstheme="majorBidi"/>
          <w:b/>
          <w:bCs/>
          <w:i/>
          <w:iCs/>
          <w:sz w:val="24"/>
          <w:szCs w:val="24"/>
          <w:lang w:eastAsia="fr-FR" w:bidi="ar-AE"/>
        </w:rPr>
        <w:t>jāhada</w:t>
      </w:r>
      <w:r w:rsidRPr="000F6511">
        <w:rPr>
          <w:rFonts w:asciiTheme="majorBidi" w:hAnsiTheme="majorBidi" w:cstheme="majorBidi"/>
          <w:b/>
          <w:bCs/>
          <w:sz w:val="24"/>
          <w:szCs w:val="24"/>
          <w:lang w:eastAsia="fr-FR" w:bidi="ar-AE"/>
        </w:rPr>
        <w:t xml:space="preserve"> (v. 78) :</w:t>
      </w:r>
    </w:p>
    <w:p w14:paraId="62E05201" w14:textId="77777777" w:rsidR="00296288" w:rsidRPr="00B867DF" w:rsidRDefault="00296288" w:rsidP="00296288">
      <w:pPr>
        <w:spacing w:line="360" w:lineRule="auto"/>
        <w:ind w:firstLine="284"/>
        <w:jc w:val="both"/>
        <w:rPr>
          <w:rFonts w:asciiTheme="majorBidi" w:eastAsia="Times New Roman" w:hAnsiTheme="majorBidi" w:cstheme="majorBidi"/>
        </w:rPr>
      </w:pPr>
      <w:r w:rsidRPr="00B867DF">
        <w:rPr>
          <w:rFonts w:asciiTheme="majorBidi" w:eastAsia="Times New Roman" w:hAnsiTheme="majorBidi" w:cstheme="majorBidi"/>
          <w:lang w:bidi="ar-AE"/>
        </w:rPr>
        <w:t xml:space="preserve">Le langage coranique fait la différence entre </w:t>
      </w:r>
      <w:r w:rsidRPr="00B867DF">
        <w:rPr>
          <w:rFonts w:asciiTheme="majorBidi" w:eastAsia="Times New Roman" w:hAnsiTheme="majorBidi" w:cstheme="majorBidi"/>
          <w:i/>
          <w:iCs/>
          <w:lang w:bidi="ar-AE"/>
        </w:rPr>
        <w:t>qitāl</w:t>
      </w:r>
      <w:r w:rsidRPr="00B867DF">
        <w:rPr>
          <w:rFonts w:asciiTheme="majorBidi" w:eastAsia="Times New Roman" w:hAnsiTheme="majorBidi" w:cstheme="majorBidi"/>
          <w:lang w:bidi="ar-AE"/>
        </w:rPr>
        <w:t xml:space="preserve"> [</w:t>
      </w:r>
      <w:r>
        <w:rPr>
          <w:rFonts w:asciiTheme="majorBidi" w:eastAsia="Times New Roman" w:hAnsiTheme="majorBidi" w:cstheme="majorBidi"/>
          <w:lang w:bidi="ar-AE"/>
        </w:rPr>
        <w:t>ma</w:t>
      </w:r>
      <w:r w:rsidRPr="0046078C">
        <w:rPr>
          <w:rFonts w:asciiTheme="majorBidi" w:eastAsia="Times New Roman" w:hAnsiTheme="majorBidi" w:cstheme="majorBidi"/>
        </w:rPr>
        <w:t>ṣ</w:t>
      </w:r>
      <w:r>
        <w:rPr>
          <w:rFonts w:asciiTheme="majorBidi" w:eastAsia="Times New Roman" w:hAnsiTheme="majorBidi" w:cstheme="majorBidi"/>
          <w:lang w:bidi="ar-AE"/>
        </w:rPr>
        <w:t xml:space="preserve">dar </w:t>
      </w:r>
      <w:r w:rsidRPr="00B867DF">
        <w:rPr>
          <w:rFonts w:asciiTheme="majorBidi" w:eastAsia="Times New Roman" w:hAnsiTheme="majorBidi" w:cstheme="majorBidi"/>
          <w:lang w:bidi="ar-AE"/>
        </w:rPr>
        <w:t xml:space="preserve">du verbe </w:t>
      </w:r>
      <w:r>
        <w:rPr>
          <w:rFonts w:asciiTheme="majorBidi" w:eastAsia="Times New Roman" w:hAnsiTheme="majorBidi" w:cstheme="majorBidi"/>
          <w:i/>
          <w:iCs/>
          <w:lang w:bidi="ar-AE"/>
        </w:rPr>
        <w:t>qā</w:t>
      </w:r>
      <w:r w:rsidRPr="00B867DF">
        <w:rPr>
          <w:rFonts w:asciiTheme="majorBidi" w:eastAsia="Times New Roman" w:hAnsiTheme="majorBidi" w:cstheme="majorBidi"/>
          <w:i/>
          <w:iCs/>
          <w:lang w:bidi="ar-AE"/>
        </w:rPr>
        <w:t>tala</w:t>
      </w:r>
      <w:r>
        <w:rPr>
          <w:rFonts w:asciiTheme="majorBidi" w:eastAsia="Times New Roman" w:hAnsiTheme="majorBidi" w:cstheme="majorBidi"/>
          <w:lang w:bidi="ar-AE"/>
        </w:rPr>
        <w:t>, combattre</w:t>
      </w:r>
      <w:r w:rsidRPr="00B867DF">
        <w:rPr>
          <w:rFonts w:asciiTheme="majorBidi" w:eastAsia="Times New Roman" w:hAnsiTheme="majorBidi" w:cstheme="majorBidi"/>
          <w:lang w:bidi="ar-AE"/>
        </w:rPr>
        <w:t xml:space="preserve">] et </w:t>
      </w:r>
      <w:r w:rsidRPr="00B867DF">
        <w:rPr>
          <w:rFonts w:asciiTheme="majorBidi" w:eastAsia="Times New Roman" w:hAnsiTheme="majorBidi" w:cstheme="majorBidi"/>
          <w:i/>
          <w:iCs/>
          <w:lang w:bidi="ar-AE"/>
        </w:rPr>
        <w:t>jihād</w:t>
      </w:r>
      <w:r w:rsidRPr="00B867DF">
        <w:rPr>
          <w:rFonts w:asciiTheme="majorBidi" w:eastAsia="Times New Roman" w:hAnsiTheme="majorBidi" w:cstheme="majorBidi"/>
          <w:lang w:bidi="ar-AE"/>
        </w:rPr>
        <w:t xml:space="preserve"> [</w:t>
      </w:r>
      <w:r>
        <w:rPr>
          <w:rFonts w:asciiTheme="majorBidi" w:eastAsia="Times New Roman" w:hAnsiTheme="majorBidi" w:cstheme="majorBidi"/>
          <w:lang w:bidi="ar-AE"/>
        </w:rPr>
        <w:t>ma</w:t>
      </w:r>
      <w:r w:rsidRPr="0046078C">
        <w:rPr>
          <w:rFonts w:asciiTheme="majorBidi" w:eastAsia="Times New Roman" w:hAnsiTheme="majorBidi" w:cstheme="majorBidi"/>
        </w:rPr>
        <w:t>ṣ</w:t>
      </w:r>
      <w:r>
        <w:rPr>
          <w:rFonts w:asciiTheme="majorBidi" w:eastAsia="Times New Roman" w:hAnsiTheme="majorBidi" w:cstheme="majorBidi"/>
          <w:lang w:bidi="ar-AE"/>
        </w:rPr>
        <w:t>dar</w:t>
      </w:r>
      <w:r w:rsidRPr="00B867DF">
        <w:rPr>
          <w:rFonts w:asciiTheme="majorBidi" w:eastAsia="Times New Roman" w:hAnsiTheme="majorBidi" w:cstheme="majorBidi"/>
          <w:lang w:bidi="ar-AE"/>
        </w:rPr>
        <w:t xml:space="preserve"> du verbe </w:t>
      </w:r>
      <w:r>
        <w:rPr>
          <w:rFonts w:asciiTheme="majorBidi" w:eastAsia="Times New Roman" w:hAnsiTheme="majorBidi" w:cstheme="majorBidi"/>
          <w:i/>
          <w:iCs/>
          <w:lang w:bidi="ar-AE"/>
        </w:rPr>
        <w:t>jā</w:t>
      </w:r>
      <w:r w:rsidRPr="00B867DF">
        <w:rPr>
          <w:rFonts w:asciiTheme="majorBidi" w:eastAsia="Times New Roman" w:hAnsiTheme="majorBidi" w:cstheme="majorBidi"/>
          <w:i/>
          <w:iCs/>
          <w:lang w:bidi="ar-AE"/>
        </w:rPr>
        <w:t>hada</w:t>
      </w:r>
      <w:r>
        <w:rPr>
          <w:rFonts w:asciiTheme="majorBidi" w:eastAsia="Times New Roman" w:hAnsiTheme="majorBidi" w:cstheme="majorBidi"/>
          <w:lang w:bidi="ar-AE"/>
        </w:rPr>
        <w:t>,</w:t>
      </w:r>
      <w:r w:rsidRPr="00B867DF">
        <w:rPr>
          <w:rFonts w:asciiTheme="majorBidi" w:eastAsia="Times New Roman" w:hAnsiTheme="majorBidi" w:cstheme="majorBidi"/>
          <w:lang w:bidi="ar-AE"/>
        </w:rPr>
        <w:t xml:space="preserve"> faire un effort</w:t>
      </w:r>
      <w:r>
        <w:rPr>
          <w:rFonts w:asciiTheme="majorBidi" w:eastAsia="Times New Roman" w:hAnsiTheme="majorBidi" w:cstheme="majorBidi"/>
          <w:lang w:bidi="ar-AE"/>
        </w:rPr>
        <w:t xml:space="preserve"> pour résister</w:t>
      </w:r>
      <w:r w:rsidRPr="00B867DF">
        <w:rPr>
          <w:rFonts w:asciiTheme="majorBidi" w:eastAsia="Times New Roman" w:hAnsiTheme="majorBidi" w:cstheme="majorBidi"/>
          <w:lang w:bidi="ar-AE"/>
        </w:rPr>
        <w:t xml:space="preserve">]. À cet effet, le Coran utilise le mot </w:t>
      </w:r>
      <w:r w:rsidRPr="00B867DF">
        <w:rPr>
          <w:rFonts w:asciiTheme="majorBidi" w:eastAsia="Times New Roman" w:hAnsiTheme="majorBidi" w:cstheme="majorBidi"/>
          <w:i/>
          <w:iCs/>
          <w:lang w:bidi="ar-AE"/>
        </w:rPr>
        <w:t>qitāl</w:t>
      </w:r>
      <w:r w:rsidRPr="00B867DF">
        <w:rPr>
          <w:rFonts w:asciiTheme="majorBidi" w:eastAsia="Times New Roman" w:hAnsiTheme="majorBidi" w:cstheme="majorBidi"/>
          <w:lang w:bidi="ar-AE"/>
        </w:rPr>
        <w:t xml:space="preserve"> pour désigner un combat militaire [guerre] contre un ennemi, un effort majeur, collectif, mais moins important et occasionnel, pour propager la foi de l’islam par un moyen militaire. Par contre, il utilise le mot </w:t>
      </w:r>
      <w:r w:rsidRPr="00B867DF">
        <w:rPr>
          <w:rFonts w:asciiTheme="majorBidi" w:eastAsia="Times New Roman" w:hAnsiTheme="majorBidi" w:cstheme="majorBidi"/>
          <w:i/>
          <w:iCs/>
          <w:lang w:bidi="ar-AE"/>
        </w:rPr>
        <w:t>jihād</w:t>
      </w:r>
      <w:r w:rsidRPr="00B867DF">
        <w:rPr>
          <w:rFonts w:asciiTheme="majorBidi" w:eastAsia="Times New Roman" w:hAnsiTheme="majorBidi" w:cstheme="majorBidi"/>
          <w:lang w:bidi="ar-AE"/>
        </w:rPr>
        <w:t xml:space="preserve"> pour désigner un effort mineur, individuel, mais plus important et permanent, pour propager la religion de manière persuasive et pacifique ou pour lutter contre ses désirs. La langue arabe utilise même le verbe </w:t>
      </w:r>
      <w:r w:rsidRPr="00B867DF">
        <w:rPr>
          <w:rFonts w:asciiTheme="majorBidi" w:eastAsia="Times New Roman" w:hAnsiTheme="majorBidi" w:cstheme="majorBidi"/>
          <w:i/>
          <w:iCs/>
          <w:lang w:bidi="ar-AE"/>
        </w:rPr>
        <w:t>jahada</w:t>
      </w:r>
      <w:r w:rsidRPr="00B867DF">
        <w:rPr>
          <w:rFonts w:asciiTheme="majorBidi" w:eastAsia="Times New Roman" w:hAnsiTheme="majorBidi" w:cstheme="majorBidi"/>
          <w:lang w:bidi="ar-AE"/>
        </w:rPr>
        <w:t xml:space="preserve"> [faire un effort] pour désigner le rapport sexuel</w:t>
      </w:r>
      <w:r w:rsidRPr="00B867DF">
        <w:rPr>
          <w:rFonts w:asciiTheme="majorBidi" w:eastAsia="Calibri" w:hAnsiTheme="majorBidi" w:cstheme="majorBidi"/>
          <w:vertAlign w:val="superscript"/>
          <w:lang w:bidi="ar-AE"/>
        </w:rPr>
        <w:footnoteReference w:id="278"/>
      </w:r>
      <w:r w:rsidRPr="00B867DF">
        <w:rPr>
          <w:rFonts w:asciiTheme="majorBidi" w:eastAsia="Times New Roman" w:hAnsiTheme="majorBidi" w:cstheme="majorBidi"/>
          <w:lang w:bidi="ar-AE"/>
        </w:rPr>
        <w:t>.</w:t>
      </w:r>
    </w:p>
    <w:p w14:paraId="52B6CDCC"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4A01F85B" w14:textId="77777777" w:rsidR="00296288" w:rsidRPr="00B867DF" w:rsidRDefault="00296288" w:rsidP="00296288">
      <w:pPr>
        <w:spacing w:line="360" w:lineRule="auto"/>
        <w:ind w:firstLine="284"/>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Il existe deux types de </w:t>
      </w:r>
      <w:r w:rsidRPr="00B867DF">
        <w:rPr>
          <w:rFonts w:asciiTheme="majorBidi" w:eastAsia="Times New Roman" w:hAnsiTheme="majorBidi" w:cstheme="majorBidi"/>
          <w:i/>
          <w:iCs/>
          <w:lang w:bidi="ar-AE"/>
        </w:rPr>
        <w:t>jihād</w:t>
      </w:r>
      <w:r w:rsidRPr="00B867DF">
        <w:rPr>
          <w:rFonts w:asciiTheme="majorBidi" w:eastAsia="Times New Roman" w:hAnsiTheme="majorBidi" w:cstheme="majorBidi"/>
          <w:lang w:bidi="ar-AE"/>
        </w:rPr>
        <w:t xml:space="preserve"> en islam : le </w:t>
      </w:r>
      <w:r w:rsidRPr="00B867DF">
        <w:rPr>
          <w:rFonts w:asciiTheme="majorBidi" w:eastAsia="Times New Roman" w:hAnsiTheme="majorBidi" w:cstheme="majorBidi"/>
          <w:i/>
          <w:iCs/>
          <w:lang w:bidi="ar-AE"/>
        </w:rPr>
        <w:t>jihād</w:t>
      </w:r>
      <w:r w:rsidRPr="00B867DF">
        <w:rPr>
          <w:rFonts w:asciiTheme="majorBidi" w:eastAsia="Times New Roman" w:hAnsiTheme="majorBidi" w:cstheme="majorBidi"/>
          <w:lang w:bidi="ar-AE"/>
        </w:rPr>
        <w:t xml:space="preserve"> physique et le </w:t>
      </w:r>
      <w:r w:rsidRPr="00B867DF">
        <w:rPr>
          <w:rFonts w:asciiTheme="majorBidi" w:eastAsia="Times New Roman" w:hAnsiTheme="majorBidi" w:cstheme="majorBidi"/>
          <w:i/>
          <w:iCs/>
          <w:lang w:bidi="ar-AE"/>
        </w:rPr>
        <w:t>jihād</w:t>
      </w:r>
      <w:r w:rsidRPr="00B867DF">
        <w:rPr>
          <w:rFonts w:asciiTheme="majorBidi" w:eastAsia="Times New Roman" w:hAnsiTheme="majorBidi" w:cstheme="majorBidi"/>
          <w:lang w:bidi="ar-AE"/>
        </w:rPr>
        <w:t xml:space="preserve"> intellectuel (</w:t>
      </w:r>
      <w:r w:rsidRPr="00B867DF">
        <w:rPr>
          <w:rFonts w:asciiTheme="majorBidi" w:eastAsia="Times New Roman" w:hAnsiTheme="majorBidi" w:cstheme="majorBidi"/>
          <w:i/>
          <w:iCs/>
          <w:lang w:bidi="ar-AE"/>
        </w:rPr>
        <w:t>ijtihād</w:t>
      </w:r>
      <w:r w:rsidRPr="00B867DF">
        <w:rPr>
          <w:rFonts w:asciiTheme="majorBidi" w:eastAsia="Times New Roman" w:hAnsiTheme="majorBidi" w:cstheme="majorBidi"/>
          <w:lang w:bidi="ar-AE"/>
        </w:rPr>
        <w:t xml:space="preserve">). Le </w:t>
      </w:r>
      <w:r w:rsidRPr="00B867DF">
        <w:rPr>
          <w:rFonts w:asciiTheme="majorBidi" w:eastAsia="Times New Roman" w:hAnsiTheme="majorBidi" w:cstheme="majorBidi"/>
          <w:i/>
          <w:iCs/>
          <w:lang w:bidi="ar-AE"/>
        </w:rPr>
        <w:t>jihād</w:t>
      </w:r>
      <w:r w:rsidRPr="00B867DF">
        <w:rPr>
          <w:rFonts w:asciiTheme="majorBidi" w:eastAsia="Times New Roman" w:hAnsiTheme="majorBidi" w:cstheme="majorBidi"/>
          <w:lang w:bidi="ar-AE"/>
        </w:rPr>
        <w:t xml:space="preserve"> et l’</w:t>
      </w:r>
      <w:r w:rsidRPr="00B867DF">
        <w:rPr>
          <w:rFonts w:asciiTheme="majorBidi" w:eastAsia="Times New Roman" w:hAnsiTheme="majorBidi" w:cstheme="majorBidi"/>
          <w:i/>
          <w:iCs/>
          <w:lang w:bidi="ar-AE"/>
        </w:rPr>
        <w:t>ijtihād</w:t>
      </w:r>
      <w:r w:rsidRPr="00B867DF">
        <w:rPr>
          <w:rFonts w:asciiTheme="majorBidi" w:eastAsia="Times New Roman" w:hAnsiTheme="majorBidi" w:cstheme="majorBidi"/>
          <w:lang w:bidi="ar-AE"/>
        </w:rPr>
        <w:t xml:space="preserve"> sont le résultat du libre arbitre de l’être humain. L’un l’emporte sur l’autre selon la situation sociopolitique.</w:t>
      </w:r>
    </w:p>
    <w:p w14:paraId="48A18E74"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78E2D858"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 verbe à l’impératif </w:t>
      </w:r>
      <w:r w:rsidRPr="00B867DF">
        <w:rPr>
          <w:rFonts w:asciiTheme="majorBidi" w:eastAsia="Times New Roman" w:hAnsiTheme="majorBidi" w:cstheme="majorBidi"/>
          <w:i/>
          <w:iCs/>
          <w:lang w:bidi="ar-AE"/>
        </w:rPr>
        <w:t>jāhidū</w:t>
      </w:r>
      <w:r w:rsidRPr="00B867DF">
        <w:rPr>
          <w:rFonts w:asciiTheme="majorBidi" w:eastAsia="Times New Roman" w:hAnsiTheme="majorBidi" w:cstheme="majorBidi"/>
          <w:lang w:bidi="ar-AE"/>
        </w:rPr>
        <w:t xml:space="preserve"> dans le verset 78 peut désigner : 1-le combat militaire (la conquête), 2-le prosélytisme religieux (</w:t>
      </w:r>
      <w:r w:rsidRPr="00B867DF">
        <w:rPr>
          <w:rFonts w:asciiTheme="majorBidi" w:eastAsia="Times New Roman" w:hAnsiTheme="majorBidi" w:cstheme="majorBidi"/>
          <w:i/>
          <w:iCs/>
          <w:lang w:bidi="ar-AE"/>
        </w:rPr>
        <w:t>ad-daʿwa</w:t>
      </w:r>
      <w:r w:rsidRPr="00B867DF">
        <w:rPr>
          <w:rFonts w:asciiTheme="majorBidi" w:eastAsia="Times New Roman" w:hAnsiTheme="majorBidi" w:cstheme="majorBidi"/>
          <w:lang w:bidi="ar-AE"/>
        </w:rPr>
        <w:t>), 3-</w:t>
      </w:r>
      <w:r w:rsidRPr="00B867DF">
        <w:rPr>
          <w:rStyle w:val="Titre1Car"/>
          <w:rFonts w:asciiTheme="majorBidi" w:eastAsiaTheme="minorHAnsi" w:hAnsiTheme="majorBidi"/>
        </w:rPr>
        <w:t xml:space="preserve"> </w:t>
      </w:r>
      <w:r w:rsidRPr="00B867DF">
        <w:rPr>
          <w:rStyle w:val="st"/>
          <w:rFonts w:asciiTheme="majorBidi" w:hAnsiTheme="majorBidi" w:cstheme="majorBidi"/>
        </w:rPr>
        <w:t>le combat pour la purification spirituelle (Al-</w:t>
      </w:r>
      <w:r w:rsidRPr="00B867DF">
        <w:rPr>
          <w:rStyle w:val="Accentuation"/>
          <w:rFonts w:asciiTheme="majorBidi" w:hAnsiTheme="majorBidi" w:cstheme="majorBidi"/>
        </w:rPr>
        <w:t>Mujāhada</w:t>
      </w:r>
      <w:r w:rsidRPr="00B867DF">
        <w:rPr>
          <w:rFonts w:asciiTheme="majorBidi" w:eastAsia="Times New Roman" w:hAnsiTheme="majorBidi" w:cstheme="majorBidi"/>
          <w:lang w:bidi="ar-AE"/>
        </w:rPr>
        <w:t xml:space="preserve">), 4-la soumission à Dieu, 5-l’exagération de servitude à Dieu (ibn ʿArabī). Il est à noter que le sens du djihad (guerre sainte) est très présent dans les exégèses. </w:t>
      </w:r>
      <w:r w:rsidRPr="00B867DF">
        <w:rPr>
          <w:rFonts w:asciiTheme="majorBidi" w:eastAsia="Times New Roman" w:hAnsiTheme="majorBidi" w:cstheme="majorBidi"/>
        </w:rPr>
        <w:t xml:space="preserve">Aṭ-Ṭabarī souligne : </w:t>
      </w:r>
      <w:r w:rsidRPr="00B867DF">
        <w:rPr>
          <w:rFonts w:asciiTheme="majorBidi" w:eastAsia="Times New Roman" w:hAnsiTheme="majorBidi" w:cstheme="majorBidi" w:hint="cs"/>
          <w:rtl/>
        </w:rPr>
        <w:t>"</w:t>
      </w:r>
      <w:r w:rsidRPr="00B867DF">
        <w:rPr>
          <w:rFonts w:asciiTheme="majorBidi" w:hAnsiTheme="majorBidi" w:cstheme="majorBidi"/>
          <w:rtl/>
        </w:rPr>
        <w:t>وجاه</w:t>
      </w:r>
      <w:r w:rsidRPr="00B867DF">
        <w:rPr>
          <w:rFonts w:asciiTheme="majorBidi" w:hAnsiTheme="majorBidi" w:cstheme="majorBidi" w:hint="cs"/>
          <w:rtl/>
        </w:rPr>
        <w:t>ِ</w:t>
      </w:r>
      <w:r w:rsidRPr="00B867DF">
        <w:rPr>
          <w:rFonts w:asciiTheme="majorBidi" w:hAnsiTheme="majorBidi" w:cstheme="majorBidi"/>
          <w:rtl/>
        </w:rPr>
        <w:t>دوا المشركين في سبيل الله</w:t>
      </w:r>
      <w:r w:rsidRPr="00B867DF">
        <w:rPr>
          <w:rFonts w:asciiTheme="majorBidi" w:hAnsiTheme="majorBidi" w:cstheme="majorBidi" w:hint="cs"/>
          <w:rtl/>
        </w:rPr>
        <w:t>"</w:t>
      </w:r>
      <w:r w:rsidRPr="00B867DF">
        <w:rPr>
          <w:rFonts w:asciiTheme="majorBidi" w:hAnsiTheme="majorBidi" w:cstheme="majorBidi"/>
        </w:rPr>
        <w:t xml:space="preserve"> [≈ « faites le djihad contre les polythéistes pour la cause d’Allah »]</w:t>
      </w:r>
      <w:r w:rsidRPr="00B867DF">
        <w:rPr>
          <w:rFonts w:asciiTheme="majorBidi" w:eastAsia="Times New Roman" w:hAnsiTheme="majorBidi" w:cstheme="majorBidi"/>
        </w:rPr>
        <w:t xml:space="preserve">. Al-Baghawī dit : </w:t>
      </w:r>
      <w:r w:rsidRPr="00B867DF">
        <w:rPr>
          <w:rFonts w:asciiTheme="majorBidi" w:eastAsia="Times New Roman" w:hAnsiTheme="majorBidi" w:cstheme="majorBidi" w:hint="cs"/>
          <w:rtl/>
        </w:rPr>
        <w:t>"</w:t>
      </w:r>
      <w:r w:rsidRPr="00B867DF">
        <w:rPr>
          <w:rFonts w:asciiTheme="majorBidi" w:hAnsiTheme="majorBidi" w:cstheme="majorBidi"/>
          <w:rtl/>
        </w:rPr>
        <w:t>جاه</w:t>
      </w:r>
      <w:r w:rsidRPr="00B867DF">
        <w:rPr>
          <w:rFonts w:asciiTheme="majorBidi" w:hAnsiTheme="majorBidi" w:cstheme="majorBidi" w:hint="cs"/>
          <w:rtl/>
        </w:rPr>
        <w:t>ِ</w:t>
      </w:r>
      <w:r w:rsidRPr="00B867DF">
        <w:rPr>
          <w:rFonts w:asciiTheme="majorBidi" w:hAnsiTheme="majorBidi" w:cstheme="majorBidi"/>
          <w:rtl/>
        </w:rPr>
        <w:t>دوا في سبيل الله أعداء</w:t>
      </w:r>
      <w:r w:rsidRPr="00B867DF">
        <w:rPr>
          <w:rFonts w:asciiTheme="majorBidi" w:hAnsiTheme="majorBidi" w:cstheme="majorBidi" w:hint="cs"/>
          <w:rtl/>
        </w:rPr>
        <w:t>َ</w:t>
      </w:r>
      <w:r w:rsidRPr="00B867DF">
        <w:rPr>
          <w:rFonts w:asciiTheme="majorBidi" w:hAnsiTheme="majorBidi" w:cstheme="majorBidi"/>
          <w:rtl/>
        </w:rPr>
        <w:t xml:space="preserve"> الله</w:t>
      </w:r>
      <w:r w:rsidRPr="00B867DF">
        <w:rPr>
          <w:rFonts w:asciiTheme="majorBidi" w:hAnsiTheme="majorBidi" w:cstheme="majorBidi" w:hint="cs"/>
          <w:rtl/>
        </w:rPr>
        <w:t>"</w:t>
      </w:r>
      <w:r w:rsidRPr="00B867DF">
        <w:rPr>
          <w:rFonts w:asciiTheme="majorBidi" w:hAnsiTheme="majorBidi" w:cstheme="majorBidi"/>
        </w:rPr>
        <w:t xml:space="preserve"> [≈ « faites le djihad pour la cause d’Allah contre les ennemis d’Allah »]. An-Nasafī précise : </w:t>
      </w:r>
      <w:r w:rsidRPr="00B867DF">
        <w:rPr>
          <w:rFonts w:asciiTheme="majorBidi" w:hAnsiTheme="majorBidi" w:cstheme="majorBidi" w:hint="cs"/>
          <w:rtl/>
        </w:rPr>
        <w:t xml:space="preserve">"وجاهِدوا </w:t>
      </w:r>
      <w:r w:rsidRPr="00B867DF">
        <w:rPr>
          <w:rFonts w:asciiTheme="majorBidi" w:hAnsiTheme="majorBidi" w:cstheme="majorBidi"/>
          <w:rtl/>
        </w:rPr>
        <w:t>: أمر</w:t>
      </w:r>
      <w:r w:rsidRPr="00B867DF">
        <w:rPr>
          <w:rFonts w:asciiTheme="majorBidi" w:hAnsiTheme="majorBidi" w:cstheme="majorBidi" w:hint="cs"/>
          <w:rtl/>
        </w:rPr>
        <w:t>ٌ</w:t>
      </w:r>
      <w:r w:rsidRPr="00B867DF">
        <w:rPr>
          <w:rFonts w:asciiTheme="majorBidi" w:hAnsiTheme="majorBidi" w:cstheme="majorBidi"/>
          <w:rtl/>
        </w:rPr>
        <w:t xml:space="preserve"> بالغزو</w:t>
      </w:r>
      <w:r w:rsidRPr="00B867DF">
        <w:rPr>
          <w:rFonts w:asciiTheme="majorBidi" w:hAnsiTheme="majorBidi" w:cstheme="majorBidi" w:hint="cs"/>
          <w:rtl/>
        </w:rPr>
        <w:t>"</w:t>
      </w:r>
      <w:r w:rsidRPr="00B867DF">
        <w:rPr>
          <w:rFonts w:asciiTheme="majorBidi" w:hAnsiTheme="majorBidi" w:cstheme="majorBidi"/>
        </w:rPr>
        <w:t xml:space="preserve"> [≈ « </w:t>
      </w:r>
      <w:r w:rsidRPr="00B867DF">
        <w:rPr>
          <w:rFonts w:asciiTheme="majorBidi" w:hAnsiTheme="majorBidi" w:cstheme="majorBidi"/>
          <w:i/>
          <w:iCs/>
        </w:rPr>
        <w:t>Jāhidū</w:t>
      </w:r>
      <w:r w:rsidRPr="00B867DF">
        <w:rPr>
          <w:rFonts w:asciiTheme="majorBidi" w:hAnsiTheme="majorBidi" w:cstheme="majorBidi"/>
        </w:rPr>
        <w:t xml:space="preserve"> veut dire un ordre pour faire la conquête »], et ajoute : </w:t>
      </w:r>
      <w:r w:rsidRPr="00B867DF">
        <w:rPr>
          <w:rFonts w:asciiTheme="majorBidi" w:hAnsiTheme="majorBidi" w:cstheme="majorBidi" w:hint="cs"/>
          <w:rtl/>
        </w:rPr>
        <w:t>"</w:t>
      </w:r>
      <w:r w:rsidRPr="00B867DF">
        <w:rPr>
          <w:rFonts w:asciiTheme="majorBidi" w:hAnsiTheme="majorBidi" w:cstheme="majorBidi"/>
          <w:rtl/>
        </w:rPr>
        <w:t>أو مجاه</w:t>
      </w:r>
      <w:r w:rsidRPr="00B867DF">
        <w:rPr>
          <w:rFonts w:asciiTheme="majorBidi" w:hAnsiTheme="majorBidi" w:cstheme="majorBidi" w:hint="cs"/>
          <w:rtl/>
        </w:rPr>
        <w:t>َ</w:t>
      </w:r>
      <w:r w:rsidRPr="00B867DF">
        <w:rPr>
          <w:rFonts w:asciiTheme="majorBidi" w:hAnsiTheme="majorBidi" w:cstheme="majorBidi"/>
          <w:rtl/>
        </w:rPr>
        <w:t>دة النفس والهوى</w:t>
      </w:r>
      <w:r w:rsidRPr="00B867DF">
        <w:rPr>
          <w:rFonts w:asciiTheme="majorBidi" w:hAnsiTheme="majorBidi" w:cstheme="majorBidi" w:hint="cs"/>
          <w:rtl/>
        </w:rPr>
        <w:t>"</w:t>
      </w:r>
      <w:r w:rsidRPr="00B867DF">
        <w:rPr>
          <w:rFonts w:asciiTheme="majorBidi" w:hAnsiTheme="majorBidi" w:cstheme="majorBidi"/>
        </w:rPr>
        <w:t xml:space="preserve"> [≈ « ou bien le combat contre le soi et les passions »]. Al-Jalālayn explique : </w:t>
      </w:r>
      <w:r w:rsidRPr="00B867DF">
        <w:rPr>
          <w:rFonts w:asciiTheme="majorBidi" w:hAnsiTheme="majorBidi" w:cstheme="majorBidi" w:hint="cs"/>
          <w:rtl/>
        </w:rPr>
        <w:t>"</w:t>
      </w:r>
      <w:r w:rsidRPr="00B867DF">
        <w:rPr>
          <w:rFonts w:asciiTheme="majorBidi" w:hAnsiTheme="majorBidi" w:cstheme="majorBidi"/>
          <w:rtl/>
        </w:rPr>
        <w:t>وجاه</w:t>
      </w:r>
      <w:r w:rsidRPr="00B867DF">
        <w:rPr>
          <w:rFonts w:asciiTheme="majorBidi" w:hAnsiTheme="majorBidi" w:cstheme="majorBidi" w:hint="cs"/>
          <w:rtl/>
        </w:rPr>
        <w:t>ِ</w:t>
      </w:r>
      <w:r w:rsidRPr="00B867DF">
        <w:rPr>
          <w:rFonts w:asciiTheme="majorBidi" w:hAnsiTheme="majorBidi" w:cstheme="majorBidi"/>
          <w:rtl/>
        </w:rPr>
        <w:t>دوا في الله لإقامة دينه</w:t>
      </w:r>
      <w:r w:rsidRPr="00B867DF">
        <w:rPr>
          <w:rFonts w:asciiTheme="majorBidi" w:hAnsiTheme="majorBidi" w:cstheme="majorBidi" w:hint="cs"/>
          <w:rtl/>
        </w:rPr>
        <w:t>"</w:t>
      </w:r>
      <w:r w:rsidRPr="00B867DF">
        <w:rPr>
          <w:rFonts w:asciiTheme="majorBidi" w:hAnsiTheme="majorBidi" w:cstheme="majorBidi"/>
        </w:rPr>
        <w:t xml:space="preserve"> [≈ « faites le djihad pour Allah afin d’établir sa religion]. Cependant, l’exégèse contemporaine </w:t>
      </w:r>
      <w:r w:rsidRPr="00B867DF">
        <w:rPr>
          <w:rFonts w:asciiTheme="majorBidi" w:eastAsia="Calibri" w:hAnsiTheme="majorBidi" w:cstheme="majorBidi"/>
          <w:lang w:bidi="ar-AE"/>
        </w:rPr>
        <w:t xml:space="preserve">du Complexe du roi Fahd de Médine </w:t>
      </w:r>
      <w:r w:rsidRPr="00B867DF">
        <w:rPr>
          <w:rFonts w:asciiTheme="majorBidi" w:hAnsiTheme="majorBidi" w:cstheme="majorBidi"/>
          <w:i/>
          <w:iCs/>
        </w:rPr>
        <w:lastRenderedPageBreak/>
        <w:t>Al-Muyassar</w:t>
      </w:r>
      <w:r w:rsidRPr="00B867DF">
        <w:rPr>
          <w:rFonts w:asciiTheme="majorBidi" w:hAnsiTheme="majorBidi" w:cstheme="majorBidi"/>
        </w:rPr>
        <w:t xml:space="preserve"> insiste sur le sens de la lutte contre les passions et du prosélytisme : </w:t>
      </w:r>
      <w:r w:rsidRPr="00B867DF">
        <w:rPr>
          <w:rFonts w:asciiTheme="majorBidi" w:hAnsiTheme="majorBidi" w:cstheme="majorBidi" w:hint="cs"/>
          <w:rtl/>
        </w:rPr>
        <w:t>"</w:t>
      </w:r>
      <w:r w:rsidRPr="00B867DF">
        <w:rPr>
          <w:rFonts w:asciiTheme="majorBidi" w:hAnsiTheme="majorBidi" w:cstheme="majorBidi"/>
          <w:rtl/>
        </w:rPr>
        <w:t>وجاه</w:t>
      </w:r>
      <w:r w:rsidRPr="00B867DF">
        <w:rPr>
          <w:rFonts w:asciiTheme="majorBidi" w:hAnsiTheme="majorBidi" w:cstheme="majorBidi" w:hint="cs"/>
          <w:rtl/>
        </w:rPr>
        <w:t>ِ</w:t>
      </w:r>
      <w:r w:rsidRPr="00B867DF">
        <w:rPr>
          <w:rFonts w:asciiTheme="majorBidi" w:hAnsiTheme="majorBidi" w:cstheme="majorBidi"/>
          <w:rtl/>
        </w:rPr>
        <w:t>دوا أنفس</w:t>
      </w:r>
      <w:r w:rsidRPr="00B867DF">
        <w:rPr>
          <w:rFonts w:asciiTheme="majorBidi" w:hAnsiTheme="majorBidi" w:cstheme="majorBidi" w:hint="cs"/>
          <w:rtl/>
        </w:rPr>
        <w:t>َ</w:t>
      </w:r>
      <w:r w:rsidRPr="00B867DF">
        <w:rPr>
          <w:rFonts w:asciiTheme="majorBidi" w:hAnsiTheme="majorBidi" w:cstheme="majorBidi"/>
          <w:rtl/>
        </w:rPr>
        <w:t>كم وادعوا الخ</w:t>
      </w:r>
      <w:r w:rsidRPr="00B867DF">
        <w:rPr>
          <w:rFonts w:asciiTheme="majorBidi" w:hAnsiTheme="majorBidi" w:cstheme="majorBidi" w:hint="cs"/>
          <w:rtl/>
        </w:rPr>
        <w:t>َ</w:t>
      </w:r>
      <w:r w:rsidRPr="00B867DF">
        <w:rPr>
          <w:rFonts w:asciiTheme="majorBidi" w:hAnsiTheme="majorBidi" w:cstheme="majorBidi"/>
          <w:rtl/>
        </w:rPr>
        <w:t>لق إلى سبيله، وجاهدوا بأموالكم وألسنتكم وأنفسكم</w:t>
      </w:r>
      <w:r w:rsidRPr="00B867DF">
        <w:rPr>
          <w:rFonts w:asciiTheme="majorBidi" w:hAnsiTheme="majorBidi" w:cstheme="majorBidi" w:hint="cs"/>
          <w:rtl/>
        </w:rPr>
        <w:t>"</w:t>
      </w:r>
      <w:r w:rsidRPr="00B867DF">
        <w:rPr>
          <w:rFonts w:asciiTheme="majorBidi" w:hAnsiTheme="majorBidi" w:cstheme="majorBidi"/>
        </w:rPr>
        <w:t xml:space="preserve"> [≈ « luttez contre vos passions et appelez les créatures au chemin d’Allah, et luttez avec vos biens, par vos langues et vos personnes].</w:t>
      </w:r>
    </w:p>
    <w:p w14:paraId="3192B0DD" w14:textId="77777777" w:rsidR="00296288" w:rsidRPr="000F6511" w:rsidRDefault="00296288" w:rsidP="00296288">
      <w:pPr>
        <w:spacing w:line="360" w:lineRule="auto"/>
        <w:jc w:val="both"/>
        <w:rPr>
          <w:rFonts w:asciiTheme="majorBidi" w:eastAsia="Times New Roman" w:hAnsiTheme="majorBidi" w:cstheme="majorBidi"/>
          <w:lang w:bidi="ar-AE"/>
        </w:rPr>
      </w:pPr>
    </w:p>
    <w:p w14:paraId="6397E2BA" w14:textId="77777777" w:rsidR="00296288" w:rsidRPr="000F6511" w:rsidRDefault="00296288" w:rsidP="007640DC">
      <w:pPr>
        <w:pStyle w:val="Paragraphedeliste"/>
        <w:numPr>
          <w:ilvl w:val="0"/>
          <w:numId w:val="62"/>
        </w:numPr>
        <w:bidi w:val="0"/>
        <w:spacing w:after="0" w:line="360" w:lineRule="auto"/>
        <w:contextualSpacing/>
        <w:jc w:val="both"/>
        <w:rPr>
          <w:rFonts w:asciiTheme="majorBidi" w:hAnsiTheme="majorBidi" w:cstheme="majorBidi"/>
          <w:sz w:val="24"/>
          <w:szCs w:val="24"/>
          <w:lang w:eastAsia="fr-FR" w:bidi="ar-AE"/>
        </w:rPr>
      </w:pPr>
      <w:r w:rsidRPr="000F6511">
        <w:rPr>
          <w:rFonts w:asciiTheme="majorBidi" w:hAnsiTheme="majorBidi" w:cstheme="majorBidi"/>
          <w:b/>
          <w:bCs/>
          <w:sz w:val="24"/>
          <w:szCs w:val="24"/>
          <w:lang w:eastAsia="fr-FR" w:bidi="ar-AE"/>
        </w:rPr>
        <w:t xml:space="preserve">Que désigne le </w:t>
      </w:r>
      <w:r w:rsidRPr="000F6511">
        <w:rPr>
          <w:rFonts w:asciiTheme="majorBidi" w:hAnsiTheme="majorBidi" w:cstheme="majorBidi"/>
          <w:b/>
          <w:bCs/>
          <w:i/>
          <w:iCs/>
          <w:sz w:val="24"/>
          <w:szCs w:val="24"/>
          <w:lang w:eastAsia="fr-FR" w:bidi="ar-AE"/>
        </w:rPr>
        <w:t>ḥaraj</w:t>
      </w:r>
      <w:r w:rsidRPr="000F6511">
        <w:rPr>
          <w:rFonts w:asciiTheme="majorBidi" w:hAnsiTheme="majorBidi" w:cstheme="majorBidi"/>
          <w:b/>
          <w:bCs/>
          <w:sz w:val="24"/>
          <w:szCs w:val="24"/>
          <w:lang w:eastAsia="fr-FR" w:bidi="ar-AE"/>
        </w:rPr>
        <w:t> (v. 78) ?</w:t>
      </w:r>
    </w:p>
    <w:p w14:paraId="54E1EE9B"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Concernant le </w:t>
      </w:r>
      <w:r w:rsidRPr="00B867DF">
        <w:rPr>
          <w:rFonts w:asciiTheme="majorBidi" w:eastAsia="Times New Roman" w:hAnsiTheme="majorBidi" w:cstheme="majorBidi"/>
          <w:i/>
          <w:iCs/>
          <w:lang w:bidi="ar-AE"/>
        </w:rPr>
        <w:t>ḥaraj</w:t>
      </w:r>
      <w:r w:rsidRPr="00B867DF">
        <w:rPr>
          <w:rFonts w:asciiTheme="majorBidi" w:eastAsia="Times New Roman" w:hAnsiTheme="majorBidi" w:cstheme="majorBidi"/>
          <w:lang w:bidi="ar-AE"/>
        </w:rPr>
        <w:t xml:space="preserve"> [gêne] que Dieu n’a pas imposée, l’exégète al-Qurṭubī souligne que les oulémas se sont divisés à ce propos (« </w:t>
      </w:r>
      <w:r w:rsidRPr="00B867DF">
        <w:rPr>
          <w:rFonts w:asciiTheme="majorBidi" w:eastAsia="Times New Roman" w:hAnsiTheme="majorBidi" w:cstheme="majorBidi"/>
          <w:i/>
          <w:iCs/>
          <w:lang w:bidi="ar-AE"/>
        </w:rPr>
        <w:t>wa-khtalafa l-ʿulamāʾ fī hādhā l-ḥaraj</w:t>
      </w:r>
      <w:r w:rsidRPr="00B867DF">
        <w:rPr>
          <w:rFonts w:asciiTheme="majorBidi" w:eastAsia="Times New Roman" w:hAnsiTheme="majorBidi" w:cstheme="majorBidi"/>
          <w:lang w:bidi="ar-AE"/>
        </w:rPr>
        <w:t> »). Selon les exégètes, la</w:t>
      </w:r>
      <w:r>
        <w:rPr>
          <w:rFonts w:asciiTheme="majorBidi" w:eastAsia="Times New Roman" w:hAnsiTheme="majorBidi" w:cstheme="majorBidi"/>
          <w:lang w:bidi="ar-AE"/>
        </w:rPr>
        <w:t xml:space="preserve"> gêne en question peut être : 1) la monogamie ; 2) </w:t>
      </w:r>
      <w:r w:rsidRPr="00B867DF">
        <w:rPr>
          <w:rFonts w:asciiTheme="majorBidi" w:eastAsia="Times New Roman" w:hAnsiTheme="majorBidi" w:cstheme="majorBidi"/>
          <w:lang w:bidi="ar-AE"/>
        </w:rPr>
        <w:t xml:space="preserve">l’accomplissement par le voyageur de la prière complète composée de quatre </w:t>
      </w:r>
      <w:r w:rsidRPr="00B867DF">
        <w:rPr>
          <w:rFonts w:asciiTheme="majorBidi" w:eastAsia="Times New Roman" w:hAnsiTheme="majorBidi" w:cstheme="majorBidi"/>
          <w:i/>
          <w:iCs/>
          <w:lang w:bidi="ar-AE"/>
        </w:rPr>
        <w:t>rakʿa-</w:t>
      </w:r>
      <w:r w:rsidRPr="00B867DF">
        <w:rPr>
          <w:rFonts w:asciiTheme="majorBidi" w:eastAsia="Times New Roman" w:hAnsiTheme="majorBidi" w:cstheme="majorBidi"/>
          <w:iCs/>
          <w:lang w:bidi="ar-AE"/>
        </w:rPr>
        <w:t>s</w:t>
      </w:r>
      <w:r w:rsidRPr="00B867DF">
        <w:rPr>
          <w:rStyle w:val="Titre1Car"/>
          <w:rFonts w:asciiTheme="majorBidi" w:eastAsiaTheme="minorHAnsi" w:hAnsiTheme="majorBidi"/>
        </w:rPr>
        <w:t xml:space="preserve"> </w:t>
      </w:r>
      <w:r w:rsidRPr="00B867DF">
        <w:rPr>
          <w:rStyle w:val="st"/>
          <w:rFonts w:asciiTheme="majorBidi" w:hAnsiTheme="majorBidi" w:cstheme="majorBidi"/>
        </w:rPr>
        <w:t>[unité de base de la prière islamique</w:t>
      </w:r>
      <w:r>
        <w:rPr>
          <w:rFonts w:asciiTheme="majorBidi" w:eastAsia="Times New Roman" w:hAnsiTheme="majorBidi" w:cstheme="majorBidi"/>
          <w:lang w:bidi="ar-AE"/>
        </w:rPr>
        <w:t xml:space="preserve">] ; 3) le ramadan pour un voyageur ; 4) </w:t>
      </w:r>
      <w:r w:rsidRPr="00B867DF">
        <w:rPr>
          <w:rFonts w:asciiTheme="majorBidi" w:eastAsia="Times New Roman" w:hAnsiTheme="majorBidi" w:cstheme="majorBidi"/>
          <w:lang w:bidi="ar-AE"/>
        </w:rPr>
        <w:t>ou le djihad pour les personnes qui ne peuvent pas. Ici l’exégèse répond à un besoin sociologique.</w:t>
      </w:r>
    </w:p>
    <w:p w14:paraId="7A8BA5DE"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5A6735A0" w14:textId="77777777" w:rsidR="00296288" w:rsidRPr="00B867DF" w:rsidRDefault="00296288" w:rsidP="00296288">
      <w:pPr>
        <w:spacing w:line="360" w:lineRule="auto"/>
        <w:ind w:firstLine="708"/>
        <w:jc w:val="both"/>
        <w:rPr>
          <w:rFonts w:asciiTheme="majorBidi" w:eastAsia="Times New Roman" w:hAnsiTheme="majorBidi" w:cstheme="majorBidi"/>
          <w:color w:val="FF0000"/>
          <w:lang w:bidi="ar-AE"/>
        </w:rPr>
      </w:pPr>
      <w:r w:rsidRPr="00B867DF">
        <w:rPr>
          <w:rFonts w:asciiTheme="majorBidi" w:eastAsia="Times New Roman" w:hAnsiTheme="majorBidi" w:cstheme="majorBidi"/>
          <w:lang w:bidi="ar-AE"/>
        </w:rPr>
        <w:t xml:space="preserve">Ainsi, certains disent qu’il s’agit dans le verset 78 de l’autorisation de la polygamie. D’autres précisent qu’il s’agit de réduire les prières de quatre à deux </w:t>
      </w:r>
      <w:r w:rsidRPr="00B867DF">
        <w:rPr>
          <w:rFonts w:asciiTheme="majorBidi" w:eastAsia="Times New Roman" w:hAnsiTheme="majorBidi" w:cstheme="majorBidi"/>
          <w:i/>
          <w:iCs/>
          <w:lang w:bidi="ar-AE"/>
        </w:rPr>
        <w:t>rakʿa-</w:t>
      </w:r>
      <w:r w:rsidRPr="00B867DF">
        <w:rPr>
          <w:rFonts w:asciiTheme="majorBidi" w:eastAsia="Times New Roman" w:hAnsiTheme="majorBidi" w:cstheme="majorBidi"/>
          <w:iCs/>
          <w:lang w:bidi="ar-AE"/>
        </w:rPr>
        <w:t>s</w:t>
      </w:r>
      <w:r w:rsidRPr="00B867DF">
        <w:rPr>
          <w:rStyle w:val="Titre1Car"/>
          <w:rFonts w:asciiTheme="majorBidi" w:eastAsiaTheme="minorHAnsi" w:hAnsiTheme="majorBidi"/>
        </w:rPr>
        <w:t xml:space="preserve"> </w:t>
      </w:r>
      <w:r w:rsidRPr="00B867DF">
        <w:rPr>
          <w:rFonts w:asciiTheme="majorBidi" w:eastAsia="Times New Roman" w:hAnsiTheme="majorBidi" w:cstheme="majorBidi"/>
          <w:lang w:bidi="ar-AE"/>
        </w:rPr>
        <w:t>pour le voyageur. D’autres parlent de la possibilité de ne pas faire le</w:t>
      </w:r>
      <w:r w:rsidRPr="00B867DF">
        <w:rPr>
          <w:rFonts w:asciiTheme="majorBidi" w:eastAsia="Times New Roman" w:hAnsiTheme="majorBidi" w:cstheme="majorBidi"/>
          <w:color w:val="FF0000"/>
          <w:lang w:bidi="ar-AE"/>
        </w:rPr>
        <w:t xml:space="preserve"> </w:t>
      </w:r>
      <w:r w:rsidRPr="00B867DF">
        <w:rPr>
          <w:rFonts w:asciiTheme="majorBidi" w:eastAsia="Times New Roman" w:hAnsiTheme="majorBidi" w:cstheme="majorBidi"/>
          <w:lang w:bidi="ar-AE"/>
        </w:rPr>
        <w:t>ramadan pour un voyageur. Des théologiens l’interprètent comme une autorisation de ne pas participer au djihad pour les personnes incapables.</w:t>
      </w:r>
    </w:p>
    <w:p w14:paraId="44811E41" w14:textId="77777777" w:rsidR="00296288" w:rsidRPr="00B867DF" w:rsidRDefault="00296288" w:rsidP="00296288">
      <w:pPr>
        <w:spacing w:line="360" w:lineRule="auto"/>
        <w:jc w:val="both"/>
        <w:rPr>
          <w:rFonts w:asciiTheme="majorBidi" w:eastAsia="Calibri" w:hAnsiTheme="majorBidi" w:cstheme="majorBidi"/>
          <w:lang w:bidi="ar-AE"/>
        </w:rPr>
      </w:pPr>
    </w:p>
    <w:p w14:paraId="2872895E" w14:textId="77777777" w:rsidR="00296288" w:rsidRPr="00B867DF" w:rsidRDefault="00296288" w:rsidP="00296288">
      <w:pPr>
        <w:spacing w:line="360" w:lineRule="auto"/>
        <w:jc w:val="both"/>
        <w:rPr>
          <w:rFonts w:asciiTheme="majorBidi" w:eastAsia="Calibri" w:hAnsiTheme="majorBidi" w:cstheme="majorBidi"/>
          <w:lang w:bidi="ar-AE"/>
        </w:rPr>
      </w:pPr>
    </w:p>
    <w:p w14:paraId="4D0CA840" w14:textId="77777777" w:rsidR="00296288" w:rsidRPr="00B867DF" w:rsidRDefault="00296288" w:rsidP="00296288">
      <w:pPr>
        <w:spacing w:line="360" w:lineRule="auto"/>
        <w:jc w:val="both"/>
        <w:rPr>
          <w:rFonts w:asciiTheme="majorBidi" w:eastAsia="Calibri" w:hAnsiTheme="majorBidi" w:cstheme="majorBidi"/>
          <w:lang w:bidi="ar-AE"/>
        </w:rPr>
      </w:pPr>
      <w:r w:rsidRPr="00B867DF">
        <w:rPr>
          <w:rFonts w:asciiTheme="majorBidi" w:eastAsia="Calibri" w:hAnsiTheme="majorBidi" w:cstheme="majorBidi"/>
          <w:lang w:bidi="ar-AE"/>
        </w:rPr>
        <w:br w:type="page"/>
      </w:r>
    </w:p>
    <w:p w14:paraId="799F7590" w14:textId="77777777" w:rsidR="00296288" w:rsidRPr="002B5C8E" w:rsidRDefault="00296288" w:rsidP="00296288">
      <w:pPr>
        <w:spacing w:line="360" w:lineRule="auto"/>
        <w:jc w:val="both"/>
        <w:rPr>
          <w:rFonts w:asciiTheme="majorBidi" w:eastAsia="Calibri" w:hAnsiTheme="majorBidi" w:cstheme="majorBidi"/>
          <w:lang w:bidi="ar-AE"/>
        </w:rPr>
      </w:pPr>
    </w:p>
    <w:p w14:paraId="1CAC2A26" w14:textId="5B57F0DA" w:rsidR="00296288" w:rsidRPr="0073577C" w:rsidRDefault="00296288" w:rsidP="00876BB0">
      <w:pPr>
        <w:pStyle w:val="Paragraphedeliste"/>
        <w:numPr>
          <w:ilvl w:val="1"/>
          <w:numId w:val="122"/>
        </w:numPr>
        <w:bidi w:val="0"/>
        <w:spacing w:line="360" w:lineRule="auto"/>
        <w:rPr>
          <w:rFonts w:asciiTheme="majorBidi" w:eastAsia="Calibri" w:hAnsiTheme="majorBidi" w:cstheme="majorBidi"/>
          <w:b/>
          <w:bCs/>
          <w:sz w:val="24"/>
          <w:szCs w:val="24"/>
          <w:lang w:bidi="ar-AE"/>
        </w:rPr>
      </w:pPr>
      <w:r w:rsidRPr="0073577C">
        <w:rPr>
          <w:rFonts w:asciiTheme="majorBidi" w:hAnsiTheme="majorBidi" w:cstheme="majorBidi"/>
          <w:b/>
          <w:bCs/>
          <w:sz w:val="24"/>
          <w:szCs w:val="24"/>
        </w:rPr>
        <w:t xml:space="preserve">Polysémie des mots </w:t>
      </w:r>
      <w:r w:rsidRPr="0073577C">
        <w:rPr>
          <w:rFonts w:asciiTheme="majorBidi" w:hAnsiTheme="majorBidi" w:cstheme="majorBidi"/>
          <w:b/>
          <w:bCs/>
          <w:i/>
          <w:iCs/>
          <w:sz w:val="24"/>
          <w:szCs w:val="24"/>
        </w:rPr>
        <w:t>hapax </w:t>
      </w:r>
      <w:r w:rsidRPr="0073577C">
        <w:rPr>
          <w:rFonts w:asciiTheme="majorBidi" w:hAnsiTheme="majorBidi" w:cstheme="majorBidi"/>
          <w:b/>
          <w:bCs/>
          <w:sz w:val="24"/>
          <w:szCs w:val="24"/>
        </w:rPr>
        <w:t>:</w:t>
      </w:r>
    </w:p>
    <w:p w14:paraId="13D9B778"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 </w:t>
      </w:r>
      <w:r w:rsidRPr="00B867DF">
        <w:rPr>
          <w:rFonts w:asciiTheme="majorBidi" w:hAnsiTheme="majorBidi" w:cstheme="majorBidi"/>
          <w:i/>
          <w:iCs/>
        </w:rPr>
        <w:t>hapax legomenon</w:t>
      </w:r>
      <w:r w:rsidRPr="00B867DF">
        <w:rPr>
          <w:rFonts w:asciiTheme="majorBidi" w:eastAsia="Times New Roman" w:hAnsiTheme="majorBidi" w:cstheme="majorBidi"/>
          <w:lang w:bidi="ar-AE"/>
        </w:rPr>
        <w:t xml:space="preserve"> ou </w:t>
      </w:r>
      <w:r w:rsidRPr="00B867DF">
        <w:rPr>
          <w:rFonts w:asciiTheme="majorBidi" w:eastAsia="Times New Roman" w:hAnsiTheme="majorBidi" w:cstheme="majorBidi"/>
          <w:i/>
          <w:iCs/>
          <w:lang w:bidi="ar-AE"/>
        </w:rPr>
        <w:t>apax</w:t>
      </w:r>
      <w:r w:rsidRPr="00B867DF">
        <w:rPr>
          <w:rFonts w:asciiTheme="majorBidi" w:eastAsia="Times New Roman" w:hAnsiTheme="majorBidi" w:cstheme="majorBidi"/>
          <w:lang w:bidi="ar-AE"/>
        </w:rPr>
        <w:t xml:space="preserve"> (</w:t>
      </w:r>
      <w:r w:rsidRPr="00B867DF">
        <w:rPr>
          <w:rFonts w:asciiTheme="majorBidi" w:hAnsiTheme="majorBidi" w:cstheme="majorBidi"/>
          <w:i/>
          <w:iCs/>
        </w:rPr>
        <w:t>mufrada</w:t>
      </w:r>
      <w:r w:rsidRPr="00B867DF">
        <w:rPr>
          <w:rFonts w:asciiTheme="majorBidi" w:hAnsiTheme="majorBidi" w:cstheme="majorBidi"/>
        </w:rPr>
        <w:t xml:space="preserve"> </w:t>
      </w:r>
      <w:r w:rsidRPr="00B867DF">
        <w:rPr>
          <w:rFonts w:asciiTheme="majorBidi" w:hAnsiTheme="majorBidi" w:cstheme="majorBidi"/>
          <w:i/>
          <w:iCs/>
        </w:rPr>
        <w:t>gharība</w:t>
      </w:r>
      <w:r w:rsidRPr="00B867DF">
        <w:rPr>
          <w:rFonts w:asciiTheme="majorBidi" w:hAnsiTheme="majorBidi" w:cstheme="majorBidi"/>
        </w:rPr>
        <w:t>) désigne un mot qui n’a qu’</w:t>
      </w:r>
      <w:r w:rsidRPr="00B867DF">
        <w:rPr>
          <w:rFonts w:asciiTheme="majorBidi" w:eastAsia="Times New Roman" w:hAnsiTheme="majorBidi" w:cstheme="majorBidi"/>
          <w:lang w:bidi="ar-AE"/>
        </w:rPr>
        <w:t>une seule occurrence dans le corpus d’une langue donnée. Nous allons voir des exemples sur l’interprétation de ce type des mots dans la sourate.</w:t>
      </w:r>
    </w:p>
    <w:p w14:paraId="22602AE5" w14:textId="77777777" w:rsidR="00296288" w:rsidRPr="00B867DF" w:rsidRDefault="00296288" w:rsidP="00296288">
      <w:pPr>
        <w:spacing w:line="360" w:lineRule="auto"/>
        <w:jc w:val="both"/>
        <w:rPr>
          <w:rFonts w:eastAsia="Times New Roman"/>
        </w:rPr>
      </w:pPr>
    </w:p>
    <w:p w14:paraId="5E5A64C9" w14:textId="77777777" w:rsidR="00296288" w:rsidRPr="00B867DF" w:rsidRDefault="00296288" w:rsidP="007640DC">
      <w:pPr>
        <w:pStyle w:val="Paragraphedeliste"/>
        <w:numPr>
          <w:ilvl w:val="0"/>
          <w:numId w:val="26"/>
        </w:numPr>
        <w:bidi w:val="0"/>
        <w:spacing w:after="0" w:line="360" w:lineRule="auto"/>
        <w:contextualSpacing/>
        <w:jc w:val="both"/>
        <w:rPr>
          <w:rFonts w:ascii="Times New Roman" w:hAnsi="Times New Roman" w:cs="Times New Roman"/>
          <w:b/>
          <w:bCs/>
          <w:sz w:val="24"/>
          <w:szCs w:val="24"/>
          <w:lang w:eastAsia="fr-FR" w:bidi="ar-AE"/>
        </w:rPr>
      </w:pPr>
      <w:r w:rsidRPr="00B867DF">
        <w:rPr>
          <w:rFonts w:ascii="Times New Roman" w:hAnsi="Times New Roman" w:cs="Times New Roman"/>
          <w:b/>
          <w:bCs/>
          <w:sz w:val="24"/>
          <w:szCs w:val="24"/>
          <w:lang w:eastAsia="fr-FR" w:bidi="ar-AE"/>
        </w:rPr>
        <w:t xml:space="preserve">L’adjectif construit en annexion </w:t>
      </w:r>
      <w:r w:rsidRPr="00B867DF">
        <w:rPr>
          <w:rFonts w:ascii="Times New Roman" w:hAnsi="Times New Roman" w:cs="Times New Roman"/>
          <w:b/>
          <w:bCs/>
          <w:i/>
          <w:iCs/>
          <w:sz w:val="24"/>
          <w:szCs w:val="24"/>
          <w:lang w:eastAsia="fr-FR" w:bidi="ar-AE"/>
        </w:rPr>
        <w:t>thānī ʿiṭfihi</w:t>
      </w:r>
      <w:r w:rsidRPr="00B867DF">
        <w:rPr>
          <w:rFonts w:ascii="Times New Roman" w:hAnsi="Times New Roman" w:cs="Times New Roman"/>
          <w:b/>
          <w:bCs/>
          <w:sz w:val="24"/>
          <w:szCs w:val="24"/>
          <w:lang w:eastAsia="fr-FR" w:bidi="ar-AE"/>
        </w:rPr>
        <w:t xml:space="preserve"> (v. 9) :</w:t>
      </w:r>
    </w:p>
    <w:p w14:paraId="4CD96BCE" w14:textId="1586831E" w:rsidR="00296288" w:rsidRPr="00351A3B" w:rsidRDefault="00296288" w:rsidP="00296288">
      <w:pPr>
        <w:spacing w:line="360" w:lineRule="auto"/>
        <w:ind w:firstLine="360"/>
        <w:jc w:val="both"/>
      </w:pPr>
      <w:r w:rsidRPr="00B867DF">
        <w:rPr>
          <w:rFonts w:eastAsia="Times New Roman"/>
          <w:lang w:bidi="ar-AE"/>
        </w:rPr>
        <w:t>Le verset 9 qualifie celui qui dispute (sans respecter les</w:t>
      </w:r>
      <w:r w:rsidR="0045422A">
        <w:rPr>
          <w:rFonts w:eastAsia="Times New Roman"/>
          <w:lang w:bidi="ar-AE"/>
        </w:rPr>
        <w:t xml:space="preserve"> conditions de la dispute) de </w:t>
      </w:r>
      <w:r w:rsidRPr="00B867DF">
        <w:rPr>
          <w:rFonts w:eastAsia="Times New Roman"/>
          <w:i/>
          <w:iCs/>
          <w:lang w:bidi="ar-AE"/>
        </w:rPr>
        <w:t>thānī ʿiṭfihi</w:t>
      </w:r>
      <w:r w:rsidRPr="00B867DF">
        <w:rPr>
          <w:rFonts w:eastAsia="Times New Roman"/>
          <w:lang w:bidi="ar-AE"/>
        </w:rPr>
        <w:t>, un état construit (</w:t>
      </w:r>
      <w:r w:rsidRPr="00B867DF">
        <w:rPr>
          <w:rFonts w:eastAsia="Times New Roman"/>
          <w:i/>
          <w:iCs/>
          <w:lang w:bidi="ar-AE"/>
        </w:rPr>
        <w:t>ʾiḍāfa</w:t>
      </w:r>
      <w:r w:rsidRPr="00B867DF">
        <w:rPr>
          <w:rFonts w:eastAsia="Times New Roman"/>
          <w:lang w:bidi="ar-AE"/>
        </w:rPr>
        <w:t>, une annexion) qui a une seule occurrence dans le Coran.</w:t>
      </w:r>
      <w:r w:rsidRPr="00B867DF">
        <w:rPr>
          <w:lang w:bidi="ar-AE"/>
        </w:rPr>
        <w:t xml:space="preserve"> Aṭ-Ṭabarī commence son interprétation par l</w:t>
      </w:r>
      <w:r w:rsidRPr="00B867DF">
        <w:rPr>
          <w:rFonts w:eastAsia="Times New Roman"/>
          <w:lang w:bidi="ar-AE"/>
        </w:rPr>
        <w:t xml:space="preserve">a </w:t>
      </w:r>
      <w:r w:rsidRPr="00351A3B">
        <w:rPr>
          <w:rFonts w:eastAsia="Times New Roman"/>
          <w:lang w:bidi="ar-AE"/>
        </w:rPr>
        <w:t xml:space="preserve">phrase : </w:t>
      </w:r>
      <w:r w:rsidRPr="00351A3B">
        <w:rPr>
          <w:lang w:bidi="ar-AE"/>
        </w:rPr>
        <w:t>« </w:t>
      </w:r>
      <w:r w:rsidRPr="00351A3B">
        <w:rPr>
          <w:rFonts w:eastAsia="Times New Roman" w:hint="cs"/>
          <w:rtl/>
          <w:lang w:bidi="ar-AE"/>
        </w:rPr>
        <w:t>واختلفَ أهلُ التأويل</w:t>
      </w:r>
      <w:r w:rsidRPr="00351A3B">
        <w:rPr>
          <w:lang w:bidi="ar-AE"/>
        </w:rPr>
        <w:t xml:space="preserve"> » </w:t>
      </w:r>
      <w:r w:rsidRPr="00351A3B">
        <w:rPr>
          <w:rFonts w:eastAsia="Times New Roman"/>
          <w:lang w:bidi="ar-AE"/>
        </w:rPr>
        <w:t>[les exégètes se sont divisés] abondamment utilisée dans son exégèse</w:t>
      </w:r>
      <w:r w:rsidRPr="00351A3B">
        <w:rPr>
          <w:lang w:bidi="ar-AE"/>
        </w:rPr>
        <w:t xml:space="preserve"> (environ 737 occurrences)</w:t>
      </w:r>
      <w:r w:rsidRPr="00351A3B">
        <w:rPr>
          <w:rFonts w:eastAsia="Times New Roman"/>
          <w:lang w:bidi="ar-AE"/>
        </w:rPr>
        <w:t>. Les exégètes ne savent pas la signification exacte du syntagme ni pourquoi il est utilisé. Ce syntagme en annexion pourrait dénoter :</w:t>
      </w:r>
    </w:p>
    <w:p w14:paraId="4C09902F" w14:textId="77777777" w:rsidR="00296288" w:rsidRPr="00B867DF" w:rsidRDefault="00296288" w:rsidP="007640DC">
      <w:pPr>
        <w:pStyle w:val="Paragraphedeliste"/>
        <w:numPr>
          <w:ilvl w:val="0"/>
          <w:numId w:val="43"/>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 xml:space="preserve"> </w:t>
      </w:r>
      <w:r w:rsidRPr="00B867DF">
        <w:rPr>
          <w:rFonts w:ascii="Times New Roman" w:hAnsi="Times New Roman" w:cs="Times New Roman"/>
          <w:i/>
          <w:iCs/>
          <w:sz w:val="24"/>
          <w:szCs w:val="24"/>
          <w:lang w:eastAsia="fr-FR" w:bidi="ar-AE"/>
        </w:rPr>
        <w:t>mutabakhtir</w:t>
      </w:r>
      <w:r w:rsidRPr="00B867DF">
        <w:rPr>
          <w:rFonts w:ascii="Times New Roman" w:hAnsi="Times New Roman" w:cs="Times New Roman"/>
          <w:sz w:val="24"/>
          <w:szCs w:val="24"/>
          <w:lang w:eastAsia="fr-FR" w:bidi="ar-AE"/>
        </w:rPr>
        <w:t xml:space="preserve"> [celui qui tourne la tête ou le dos, arrogant ou hautain, celui qui affecte de grands airs, qui fait l’important] ;</w:t>
      </w:r>
    </w:p>
    <w:p w14:paraId="25ED2674" w14:textId="77777777" w:rsidR="00296288" w:rsidRPr="00B867DF" w:rsidRDefault="00296288" w:rsidP="007640DC">
      <w:pPr>
        <w:pStyle w:val="Paragraphedeliste"/>
        <w:numPr>
          <w:ilvl w:val="0"/>
          <w:numId w:val="43"/>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i/>
          <w:iCs/>
          <w:sz w:val="24"/>
          <w:szCs w:val="24"/>
          <w:lang w:eastAsia="fr-FR" w:bidi="ar-AE"/>
        </w:rPr>
        <w:t>lāwī ʿunuqi-hi</w:t>
      </w:r>
      <w:r w:rsidRPr="00B867DF">
        <w:rPr>
          <w:rFonts w:ascii="Times New Roman" w:hAnsi="Times New Roman" w:cs="Times New Roman"/>
          <w:sz w:val="24"/>
          <w:szCs w:val="24"/>
          <w:lang w:eastAsia="fr-FR" w:bidi="ar-AE"/>
        </w:rPr>
        <w:t xml:space="preserve"> [celui qui penche ou incline la tête sur le côté] ;</w:t>
      </w:r>
    </w:p>
    <w:p w14:paraId="15E8FFA4" w14:textId="77777777" w:rsidR="00296288" w:rsidRPr="00B867DF" w:rsidRDefault="00296288" w:rsidP="007640DC">
      <w:pPr>
        <w:pStyle w:val="Paragraphedeliste"/>
        <w:numPr>
          <w:ilvl w:val="0"/>
          <w:numId w:val="43"/>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i/>
          <w:iCs/>
          <w:sz w:val="24"/>
          <w:szCs w:val="24"/>
          <w:lang w:eastAsia="fr-FR" w:bidi="ar-AE"/>
        </w:rPr>
        <w:t>lāwī janbi-hi</w:t>
      </w:r>
      <w:r w:rsidRPr="00B867DF">
        <w:rPr>
          <w:rFonts w:ascii="Times New Roman" w:hAnsi="Times New Roman" w:cs="Times New Roman"/>
          <w:sz w:val="24"/>
          <w:szCs w:val="24"/>
          <w:lang w:eastAsia="fr-FR" w:bidi="ar-AE"/>
        </w:rPr>
        <w:t xml:space="preserve"> [celui qui incline le flanc su le côté] ;</w:t>
      </w:r>
    </w:p>
    <w:p w14:paraId="26A405B4" w14:textId="77777777" w:rsidR="00296288" w:rsidRPr="00B867DF" w:rsidRDefault="00296288" w:rsidP="007640DC">
      <w:pPr>
        <w:pStyle w:val="Paragraphedeliste"/>
        <w:numPr>
          <w:ilvl w:val="0"/>
          <w:numId w:val="43"/>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i/>
          <w:iCs/>
          <w:sz w:val="24"/>
          <w:szCs w:val="24"/>
          <w:lang w:eastAsia="fr-FR" w:bidi="ar-AE"/>
        </w:rPr>
        <w:t>muʿriḍ</w:t>
      </w:r>
      <w:r w:rsidRPr="00B867DF">
        <w:rPr>
          <w:rFonts w:ascii="Times New Roman" w:hAnsi="Times New Roman" w:cs="Times New Roman"/>
          <w:sz w:val="24"/>
          <w:szCs w:val="24"/>
          <w:lang w:eastAsia="fr-FR" w:bidi="ar-AE"/>
        </w:rPr>
        <w:t xml:space="preserve"> [celui qui s’éloigne de Dieu, qui abandonne Sa parole] ;</w:t>
      </w:r>
    </w:p>
    <w:p w14:paraId="7D7B9D08" w14:textId="77777777" w:rsidR="00296288" w:rsidRPr="00B867DF" w:rsidRDefault="00296288" w:rsidP="007640DC">
      <w:pPr>
        <w:pStyle w:val="Paragraphedeliste"/>
        <w:numPr>
          <w:ilvl w:val="0"/>
          <w:numId w:val="43"/>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i/>
          <w:iCs/>
          <w:sz w:val="24"/>
          <w:szCs w:val="24"/>
          <w:lang w:eastAsia="fr-FR" w:bidi="ar-AE"/>
        </w:rPr>
        <w:t>māniʿ taʿaṭṭufa-hu</w:t>
      </w:r>
      <w:r w:rsidRPr="00B867DF">
        <w:rPr>
          <w:rFonts w:ascii="Times New Roman" w:hAnsi="Times New Roman" w:cs="Times New Roman"/>
          <w:sz w:val="24"/>
          <w:szCs w:val="24"/>
          <w:lang w:eastAsia="fr-FR" w:bidi="ar-AE"/>
        </w:rPr>
        <w:t xml:space="preserve"> [celui qui refuse d’être bienveillant] ;</w:t>
      </w:r>
    </w:p>
    <w:p w14:paraId="0A444986" w14:textId="77777777" w:rsidR="00296288" w:rsidRPr="00B867DF" w:rsidRDefault="00296288" w:rsidP="007640DC">
      <w:pPr>
        <w:pStyle w:val="Paragraphedeliste"/>
        <w:numPr>
          <w:ilvl w:val="0"/>
          <w:numId w:val="43"/>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i/>
          <w:iCs/>
          <w:sz w:val="24"/>
          <w:szCs w:val="24"/>
          <w:lang w:eastAsia="fr-FR" w:bidi="ar-AE"/>
        </w:rPr>
        <w:t>munʿaṭif thāniyatan</w:t>
      </w:r>
      <w:r w:rsidRPr="00B867DF">
        <w:rPr>
          <w:rFonts w:ascii="Times New Roman" w:hAnsi="Times New Roman" w:cs="Times New Roman"/>
          <w:sz w:val="24"/>
          <w:szCs w:val="24"/>
          <w:lang w:eastAsia="fr-FR" w:bidi="ar-AE"/>
        </w:rPr>
        <w:t xml:space="preserve"> [celui qui est à nouveau incliné, porté à qqc.] (</w:t>
      </w:r>
      <w:r w:rsidRPr="00B867DF">
        <w:rPr>
          <w:rFonts w:ascii="Times New Roman" w:eastAsia="Calibri" w:hAnsi="Times New Roman" w:cs="Times New Roman"/>
          <w:sz w:val="24"/>
          <w:szCs w:val="24"/>
        </w:rPr>
        <w:t>Amīn Shaykhū</w:t>
      </w:r>
      <w:r w:rsidRPr="00B867DF">
        <w:rPr>
          <w:rFonts w:ascii="Times New Roman" w:hAnsi="Times New Roman" w:cs="Times New Roman"/>
          <w:sz w:val="24"/>
          <w:szCs w:val="24"/>
          <w:lang w:eastAsia="fr-FR" w:bidi="ar-AE"/>
        </w:rPr>
        <w:t>), c.à.d. celui qui ne se contente pas d’être égaré, mais essaie en plus d’égarer les autres ;</w:t>
      </w:r>
    </w:p>
    <w:p w14:paraId="78C558D7" w14:textId="77777777" w:rsidR="00296288" w:rsidRPr="00B867DF" w:rsidRDefault="00296288" w:rsidP="007640DC">
      <w:pPr>
        <w:pStyle w:val="Paragraphedeliste"/>
        <w:numPr>
          <w:ilvl w:val="0"/>
          <w:numId w:val="43"/>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i/>
          <w:iCs/>
          <w:sz w:val="24"/>
          <w:szCs w:val="24"/>
          <w:lang w:eastAsia="fr-FR" w:bidi="ar-AE"/>
        </w:rPr>
        <w:t>mutawallī ʿan al-ḥaqq</w:t>
      </w:r>
      <w:r w:rsidRPr="00B867DF">
        <w:rPr>
          <w:rFonts w:ascii="Times New Roman" w:hAnsi="Times New Roman" w:cs="Times New Roman"/>
          <w:sz w:val="24"/>
          <w:szCs w:val="24"/>
          <w:lang w:eastAsia="fr-FR" w:bidi="ar-AE"/>
        </w:rPr>
        <w:t xml:space="preserve"> [celui qui se détourne du vrai] (Al-Qummī).</w:t>
      </w:r>
    </w:p>
    <w:p w14:paraId="45EE3507" w14:textId="77777777" w:rsidR="00296288" w:rsidRPr="00B867DF" w:rsidRDefault="00296288" w:rsidP="00296288">
      <w:pPr>
        <w:spacing w:line="360" w:lineRule="auto"/>
        <w:ind w:firstLine="708"/>
        <w:jc w:val="both"/>
        <w:rPr>
          <w:rFonts w:eastAsia="Times New Roman"/>
          <w:lang w:bidi="ar-AE"/>
        </w:rPr>
      </w:pPr>
    </w:p>
    <w:p w14:paraId="5E75305F" w14:textId="77777777" w:rsidR="00296288" w:rsidRPr="00B867DF" w:rsidRDefault="00296288" w:rsidP="00296288">
      <w:pPr>
        <w:spacing w:line="360" w:lineRule="auto"/>
        <w:ind w:firstLine="284"/>
        <w:jc w:val="both"/>
        <w:rPr>
          <w:rFonts w:eastAsia="Times New Roman"/>
          <w:lang w:bidi="ar-AE"/>
        </w:rPr>
      </w:pPr>
      <w:r w:rsidRPr="00B867DF">
        <w:rPr>
          <w:rFonts w:eastAsia="Times New Roman"/>
          <w:lang w:bidi="ar-AE"/>
        </w:rPr>
        <w:t xml:space="preserve">Ainsi, l’expression </w:t>
      </w:r>
      <w:r w:rsidRPr="00B867DF">
        <w:rPr>
          <w:rFonts w:eastAsia="Times New Roman"/>
          <w:i/>
          <w:iCs/>
          <w:lang w:bidi="ar-AE"/>
        </w:rPr>
        <w:t>thānī ʿiṭfihi</w:t>
      </w:r>
      <w:r w:rsidRPr="00B867DF">
        <w:rPr>
          <w:rFonts w:eastAsia="Times New Roman"/>
          <w:b/>
          <w:bCs/>
          <w:lang w:bidi="ar-AE"/>
        </w:rPr>
        <w:t xml:space="preserve"> </w:t>
      </w:r>
      <w:r w:rsidRPr="00B867DF">
        <w:rPr>
          <w:rFonts w:eastAsia="Times New Roman"/>
          <w:lang w:bidi="ar-AE"/>
        </w:rPr>
        <w:t>a des significations diverses : hautain, non-croyant, malveillant, etc. Mais toutes ces connotations peuvent s’utiliser pour qualifier celui qui refuse l’islam.</w:t>
      </w:r>
    </w:p>
    <w:p w14:paraId="50CD9CC1" w14:textId="77777777" w:rsidR="00296288" w:rsidRDefault="00296288" w:rsidP="00296288">
      <w:pPr>
        <w:spacing w:line="360" w:lineRule="auto"/>
        <w:jc w:val="both"/>
        <w:rPr>
          <w:rFonts w:eastAsia="Calibri"/>
          <w:lang w:bidi="ar-AE"/>
        </w:rPr>
      </w:pPr>
    </w:p>
    <w:p w14:paraId="5C0DF209" w14:textId="77777777" w:rsidR="00EE1AC9" w:rsidRDefault="00EE1AC9" w:rsidP="00296288">
      <w:pPr>
        <w:spacing w:line="360" w:lineRule="auto"/>
        <w:jc w:val="both"/>
        <w:rPr>
          <w:rFonts w:eastAsia="Calibri"/>
          <w:lang w:bidi="ar-AE"/>
        </w:rPr>
      </w:pPr>
    </w:p>
    <w:p w14:paraId="1E0B3769" w14:textId="77777777" w:rsidR="00EE1AC9" w:rsidRPr="00B867DF" w:rsidRDefault="00EE1AC9" w:rsidP="00296288">
      <w:pPr>
        <w:spacing w:line="360" w:lineRule="auto"/>
        <w:jc w:val="both"/>
        <w:rPr>
          <w:rFonts w:eastAsia="Calibri"/>
          <w:lang w:bidi="ar-AE"/>
        </w:rPr>
      </w:pPr>
    </w:p>
    <w:p w14:paraId="7B0375B2"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hAnsiTheme="majorBidi" w:cstheme="majorBidi"/>
          <w:b/>
          <w:bCs/>
          <w:sz w:val="24"/>
          <w:szCs w:val="24"/>
          <w:lang w:eastAsia="fr-FR" w:bidi="ar-AE"/>
        </w:rPr>
      </w:pPr>
      <w:r w:rsidRPr="00B867DF">
        <w:rPr>
          <w:rFonts w:asciiTheme="majorBidi" w:hAnsiTheme="majorBidi" w:cstheme="majorBidi"/>
          <w:b/>
          <w:bCs/>
          <w:sz w:val="24"/>
          <w:szCs w:val="24"/>
          <w:lang w:eastAsia="fr-FR" w:bidi="ar-AE"/>
        </w:rPr>
        <w:t xml:space="preserve">Les significations de </w:t>
      </w:r>
      <w:r w:rsidRPr="00B867DF">
        <w:rPr>
          <w:rFonts w:asciiTheme="majorBidi" w:hAnsiTheme="majorBidi" w:cstheme="majorBidi"/>
          <w:b/>
          <w:bCs/>
          <w:i/>
          <w:iCs/>
          <w:sz w:val="24"/>
          <w:szCs w:val="24"/>
          <w:lang w:eastAsia="fr-FR" w:bidi="ar-AE"/>
        </w:rPr>
        <w:t>ʾilḥād</w:t>
      </w:r>
      <w:r w:rsidRPr="00B867DF">
        <w:rPr>
          <w:rFonts w:asciiTheme="majorBidi" w:hAnsiTheme="majorBidi" w:cstheme="majorBidi"/>
          <w:b/>
          <w:bCs/>
          <w:sz w:val="24"/>
          <w:szCs w:val="24"/>
          <w:lang w:eastAsia="fr-FR" w:bidi="ar-AE"/>
        </w:rPr>
        <w:t xml:space="preserve"> (v. 25) :</w:t>
      </w:r>
    </w:p>
    <w:p w14:paraId="4EC728D8"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r w:rsidRPr="00B867DF">
        <w:rPr>
          <w:rFonts w:asciiTheme="majorBidi" w:eastAsia="Times New Roman" w:hAnsiTheme="majorBidi" w:cstheme="majorBidi"/>
          <w:lang w:bidi="ar-AE"/>
        </w:rPr>
        <w:lastRenderedPageBreak/>
        <w:t xml:space="preserve">Dérivé du verbe à la forme IV </w:t>
      </w:r>
      <w:r w:rsidRPr="00B867DF">
        <w:rPr>
          <w:rFonts w:asciiTheme="majorBidi" w:eastAsia="Times New Roman" w:hAnsiTheme="majorBidi" w:cstheme="majorBidi"/>
          <w:i/>
          <w:iCs/>
          <w:lang w:bidi="ar-AE"/>
        </w:rPr>
        <w:t>alḥada</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rPr>
        <w:t>être injuste</w:t>
      </w:r>
      <w:r w:rsidRPr="00B867DF">
        <w:rPr>
          <w:rFonts w:asciiTheme="majorBidi" w:hAnsiTheme="majorBidi" w:cstheme="majorBidi"/>
        </w:rPr>
        <w:t xml:space="preserve">] </w:t>
      </w:r>
      <w:r w:rsidRPr="00B867DF">
        <w:rPr>
          <w:rFonts w:asciiTheme="majorBidi" w:eastAsia="Times New Roman" w:hAnsiTheme="majorBidi" w:cstheme="majorBidi"/>
          <w:lang w:bidi="ar-AE"/>
        </w:rPr>
        <w:t xml:space="preserve">qui vient de la racine </w:t>
      </w:r>
      <w:r>
        <w:rPr>
          <w:rFonts w:asciiTheme="majorBidi" w:eastAsia="Times New Roman" w:hAnsiTheme="majorBidi" w:cstheme="majorBidi"/>
          <w:i/>
          <w:iCs/>
          <w:lang w:bidi="ar-AE"/>
        </w:rPr>
        <w:t>l.ḥ.</w:t>
      </w:r>
      <w:r w:rsidRPr="00B867DF">
        <w:rPr>
          <w:rFonts w:asciiTheme="majorBidi" w:eastAsia="Times New Roman" w:hAnsiTheme="majorBidi" w:cstheme="majorBidi"/>
          <w:i/>
          <w:iCs/>
          <w:lang w:bidi="ar-AE"/>
        </w:rPr>
        <w:t>d</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rPr>
        <w:t>dévier</w:t>
      </w:r>
      <w:r w:rsidRPr="00B867DF">
        <w:rPr>
          <w:rFonts w:asciiTheme="majorBidi" w:hAnsiTheme="majorBidi" w:cstheme="majorBidi"/>
        </w:rPr>
        <w:t>]</w:t>
      </w:r>
      <w:r w:rsidRPr="00B867DF">
        <w:rPr>
          <w:rFonts w:asciiTheme="majorBidi" w:eastAsia="Times New Roman" w:hAnsiTheme="majorBidi" w:cstheme="majorBidi"/>
          <w:lang w:bidi="ar-AE"/>
        </w:rPr>
        <w:t xml:space="preserve">, le mot </w:t>
      </w:r>
      <w:r w:rsidRPr="00B867DF">
        <w:rPr>
          <w:rFonts w:asciiTheme="majorBidi" w:eastAsia="Times New Roman" w:hAnsiTheme="majorBidi" w:cstheme="majorBidi"/>
          <w:i/>
          <w:iCs/>
          <w:lang w:bidi="ar-AE"/>
        </w:rPr>
        <w:t>ilḥād</w:t>
      </w:r>
      <w:r w:rsidRPr="00B867DF">
        <w:rPr>
          <w:rFonts w:asciiTheme="majorBidi" w:eastAsia="Times New Roman" w:hAnsiTheme="majorBidi" w:cstheme="majorBidi"/>
          <w:lang w:bidi="ar-AE"/>
        </w:rPr>
        <w:t> désigne actuellement l’athéisme. Cependant, ce mot signifie autre chose selon les exégètes :</w:t>
      </w:r>
    </w:p>
    <w:p w14:paraId="4976D7FC"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le polythéisme (adorer plusieurs divinités) ;</w:t>
      </w:r>
    </w:p>
    <w:p w14:paraId="6F48BF80"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l’adoration d’un autre dieu qu’Allah ;</w:t>
      </w:r>
    </w:p>
    <w:p w14:paraId="54E7935A"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rendre licite ce qui est illicite ;</w:t>
      </w:r>
    </w:p>
    <w:p w14:paraId="530CB54B"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la mauvaise action ;</w:t>
      </w:r>
    </w:p>
    <w:p w14:paraId="2993D0AB"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l’injustice commise au sein de la grande Mosquée de La Mecque ;</w:t>
      </w:r>
    </w:p>
    <w:p w14:paraId="26B90278"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le monopole de l’alimentation ;</w:t>
      </w:r>
    </w:p>
    <w:p w14:paraId="22A080F9"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toute sorte de monopole ;</w:t>
      </w:r>
    </w:p>
    <w:p w14:paraId="02809FF6"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tout péché (aussi véniel que mortel) ;</w:t>
      </w:r>
    </w:p>
    <w:p w14:paraId="1B854921"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toute désobéissance ;</w:t>
      </w:r>
    </w:p>
    <w:p w14:paraId="635349A2" w14:textId="77777777" w:rsidR="00296288" w:rsidRPr="00B867DF" w:rsidRDefault="00296288" w:rsidP="007640DC">
      <w:pPr>
        <w:numPr>
          <w:ilvl w:val="0"/>
          <w:numId w:val="36"/>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les péchés mortels ;</w:t>
      </w:r>
    </w:p>
    <w:p w14:paraId="0D3CCA1C"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préméditer l’injustice ;</w:t>
      </w:r>
    </w:p>
    <w:p w14:paraId="70224A1E"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dévier du chemin de l’islam ;</w:t>
      </w:r>
    </w:p>
    <w:p w14:paraId="6E8258B5"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dévier de la droiture et de la probité ;</w:t>
      </w:r>
    </w:p>
    <w:p w14:paraId="199202AE"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dévier de la voie juste ;</w:t>
      </w:r>
    </w:p>
    <w:p w14:paraId="117D887B"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avoir du penchant pour le paganisme ;</w:t>
      </w:r>
    </w:p>
    <w:p w14:paraId="17E9A42A"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l’apostasie : faire comme a fait ʿAbdullāh ibn Khaṭal qui s’est converti à l’islam, puis a apostasié, a tué un </w:t>
      </w:r>
      <w:r w:rsidRPr="00B867DF">
        <w:rPr>
          <w:rFonts w:asciiTheme="majorBidi" w:eastAsia="Times New Roman" w:hAnsiTheme="majorBidi" w:cstheme="majorBidi"/>
          <w:i/>
          <w:iCs/>
          <w:lang w:bidi="ar-AE"/>
        </w:rPr>
        <w:t>anṣārī</w:t>
      </w:r>
      <w:r w:rsidRPr="00B867DF">
        <w:rPr>
          <w:rFonts w:asciiTheme="majorBidi" w:eastAsia="Times New Roman" w:hAnsiTheme="majorBidi" w:cstheme="majorBidi"/>
          <w:vertAlign w:val="superscript"/>
          <w:lang w:bidi="ar-AE"/>
        </w:rPr>
        <w:footnoteReference w:id="279"/>
      </w:r>
      <w:r w:rsidRPr="00B867DF">
        <w:rPr>
          <w:rFonts w:asciiTheme="majorBidi" w:eastAsia="Times New Roman" w:hAnsiTheme="majorBidi" w:cstheme="majorBidi"/>
          <w:lang w:bidi="ar-AE"/>
        </w:rPr>
        <w:t xml:space="preserve"> et a fui à La Mecque. Muḥammad a ordonné de le tuer ;</w:t>
      </w:r>
    </w:p>
    <w:p w14:paraId="794B8BB0"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tuer les gibiers interdits dans l’islam ;</w:t>
      </w:r>
    </w:p>
    <w:p w14:paraId="623AD420"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entrer dans La Mecque sans </w:t>
      </w:r>
      <w:r w:rsidRPr="00B867DF">
        <w:rPr>
          <w:rFonts w:asciiTheme="majorBidi" w:eastAsia="Times New Roman" w:hAnsiTheme="majorBidi" w:cstheme="majorBidi"/>
          <w:i/>
          <w:iCs/>
          <w:lang w:bidi="ar-AE"/>
        </w:rPr>
        <w:t>iḥrām</w:t>
      </w:r>
      <w:r w:rsidRPr="00B867DF">
        <w:rPr>
          <w:rFonts w:asciiTheme="majorBidi" w:eastAsia="Times New Roman" w:hAnsiTheme="majorBidi" w:cstheme="majorBidi"/>
          <w:lang w:bidi="ar-AE"/>
        </w:rPr>
        <w:t xml:space="preserve"> [le </w:t>
      </w:r>
      <w:r w:rsidRPr="00B867DF">
        <w:rPr>
          <w:rFonts w:asciiTheme="majorBidi" w:eastAsia="Times New Roman" w:hAnsiTheme="majorBidi" w:cstheme="majorBidi"/>
          <w:i/>
          <w:iCs/>
          <w:lang w:bidi="ar-AE"/>
        </w:rPr>
        <w:t>iḥrām </w:t>
      </w:r>
      <w:r w:rsidRPr="00B867DF">
        <w:rPr>
          <w:rFonts w:asciiTheme="majorBidi" w:eastAsia="Times New Roman" w:hAnsiTheme="majorBidi" w:cstheme="majorBidi"/>
          <w:lang w:bidi="ar-AE"/>
        </w:rPr>
        <w:t>: l’entrée dans l’univers sacré, l’état de consécration rituelle, la sacralisation, le vêtement de pèlerinage] ;</w:t>
      </w:r>
    </w:p>
    <w:p w14:paraId="05E8ACC4"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empêcher l’entretien de la Maison sacrée de la Mecque (la </w:t>
      </w:r>
      <w:r w:rsidRPr="00B867DF">
        <w:rPr>
          <w:rFonts w:asciiTheme="majorBidi" w:eastAsia="Times New Roman" w:hAnsiTheme="majorBidi" w:cstheme="majorBidi"/>
          <w:i/>
          <w:iCs/>
          <w:lang w:bidi="ar-AE"/>
        </w:rPr>
        <w:t>Kaʿba</w:t>
      </w:r>
      <w:r w:rsidRPr="00B867DF">
        <w:rPr>
          <w:rFonts w:asciiTheme="majorBidi" w:eastAsia="Times New Roman" w:hAnsiTheme="majorBidi" w:cstheme="majorBidi"/>
          <w:lang w:bidi="ar-AE"/>
        </w:rPr>
        <w:t>) ;</w:t>
      </w:r>
    </w:p>
    <w:p w14:paraId="4A388636"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changer le but de la Mosquée sacrée (i. e. l’adoration de Dieu) (Shaykhū) ;</w:t>
      </w:r>
    </w:p>
    <w:p w14:paraId="7581A97E"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s’écarter de la ligne droite du </w:t>
      </w:r>
      <w:r w:rsidRPr="00B867DF">
        <w:rPr>
          <w:rFonts w:asciiTheme="majorBidi" w:eastAsia="Times New Roman" w:hAnsiTheme="majorBidi" w:cstheme="majorBidi"/>
        </w:rPr>
        <w:t>commandeur des croyants (</w:t>
      </w:r>
      <w:r w:rsidRPr="00B867DF">
        <w:rPr>
          <w:rFonts w:asciiTheme="majorBidi" w:eastAsia="Times New Roman" w:hAnsiTheme="majorBidi" w:cstheme="majorBidi"/>
          <w:i/>
          <w:iCs/>
        </w:rPr>
        <w:t>amīr al-muʾminīn</w:t>
      </w:r>
      <w:r w:rsidRPr="00B867DF">
        <w:rPr>
          <w:rFonts w:asciiTheme="majorBidi" w:eastAsia="Times New Roman" w:hAnsiTheme="majorBidi" w:cstheme="majorBidi"/>
        </w:rPr>
        <w:t>, le miramolin)</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rPr>
        <w:t>ʿAlī ibn Abī Ṭālib</w:t>
      </w:r>
      <w:r w:rsidRPr="00B867DF">
        <w:rPr>
          <w:rFonts w:asciiTheme="majorBidi" w:eastAsia="Times New Roman" w:hAnsiTheme="majorBidi" w:cstheme="majorBidi"/>
          <w:lang w:bidi="ar-EG"/>
        </w:rPr>
        <w:t xml:space="preserve"> (l’exégète chiite Al-Qummī) ;</w:t>
      </w:r>
    </w:p>
    <w:p w14:paraId="0A504BDA" w14:textId="77777777" w:rsidR="00296288" w:rsidRPr="00B867DF" w:rsidRDefault="00296288" w:rsidP="007640DC">
      <w:pPr>
        <w:numPr>
          <w:ilvl w:val="0"/>
          <w:numId w:val="36"/>
        </w:numPr>
        <w:tabs>
          <w:tab w:val="left" w:pos="851"/>
        </w:tabs>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avoir une inclination pour les désirs et la passion (Ibn ʿArabī).</w:t>
      </w:r>
    </w:p>
    <w:p w14:paraId="457A8E16" w14:textId="77777777" w:rsidR="00296288" w:rsidRPr="00B867DF" w:rsidRDefault="00296288" w:rsidP="00296288">
      <w:pPr>
        <w:spacing w:line="360" w:lineRule="auto"/>
        <w:contextualSpacing/>
        <w:jc w:val="both"/>
        <w:rPr>
          <w:rFonts w:asciiTheme="majorBidi" w:eastAsia="Times New Roman" w:hAnsiTheme="majorBidi" w:cstheme="majorBidi"/>
          <w:lang w:bidi="ar-AE"/>
        </w:rPr>
      </w:pPr>
    </w:p>
    <w:p w14:paraId="09A9BC0F" w14:textId="77777777" w:rsidR="00296288" w:rsidRPr="00B867DF" w:rsidRDefault="00296288" w:rsidP="00296288">
      <w:pPr>
        <w:spacing w:line="360" w:lineRule="auto"/>
        <w:ind w:firstLine="360"/>
        <w:contextualSpacing/>
        <w:jc w:val="both"/>
        <w:rPr>
          <w:rFonts w:asciiTheme="majorBidi" w:eastAsia="Calibri" w:hAnsiTheme="majorBidi" w:cstheme="majorBidi"/>
          <w:lang w:bidi="ar-AE"/>
        </w:rPr>
      </w:pPr>
      <w:r w:rsidRPr="00B867DF">
        <w:rPr>
          <w:rFonts w:asciiTheme="majorBidi" w:eastAsia="Times New Roman" w:hAnsiTheme="majorBidi" w:cstheme="majorBidi"/>
          <w:lang w:bidi="ar-AE"/>
        </w:rPr>
        <w:lastRenderedPageBreak/>
        <w:t>Le mot</w:t>
      </w:r>
      <w:r w:rsidRPr="00B867DF">
        <w:rPr>
          <w:rFonts w:asciiTheme="majorBidi" w:eastAsia="Times New Roman" w:hAnsiTheme="majorBidi" w:cstheme="majorBidi"/>
          <w:i/>
          <w:iCs/>
          <w:lang w:bidi="ar-AE"/>
        </w:rPr>
        <w:t xml:space="preserve"> ilḥād</w:t>
      </w:r>
      <w:r w:rsidRPr="00B867DF">
        <w:rPr>
          <w:rFonts w:asciiTheme="majorBidi" w:eastAsia="Times New Roman" w:hAnsiTheme="majorBidi" w:cstheme="majorBidi"/>
          <w:lang w:bidi="ar-AE"/>
        </w:rPr>
        <w:t xml:space="preserve"> est un terme général qui accepte d’innombrables dénotations. Aussi a-t-il été utilisé à des fins politiques, conflictuelles, voire économiques. Le sens 16 fait allusion au conflit entre Muḥammad et ses adversaires. Le sens 21 fait allusion au conflit chiite-sunnite. Les sens 6 et 7 font allusion au conflit économique entre les tribus arabes. Dans une </w:t>
      </w:r>
      <w:r w:rsidRPr="00B867DF">
        <w:rPr>
          <w:rFonts w:asciiTheme="majorBidi" w:eastAsia="Calibri" w:hAnsiTheme="majorBidi" w:cstheme="majorBidi"/>
          <w:lang w:bidi="ar-AE"/>
        </w:rPr>
        <w:t>note de bas de page</w:t>
      </w:r>
      <w:r>
        <w:rPr>
          <w:rStyle w:val="Appelnotedebasdep"/>
          <w:rFonts w:eastAsia="Calibri"/>
          <w:lang w:bidi="ar-AE"/>
        </w:rPr>
        <w:footnoteReference w:id="280"/>
      </w:r>
      <w:r w:rsidRPr="00B867DF">
        <w:rPr>
          <w:rFonts w:asciiTheme="majorBidi" w:eastAsia="Times New Roman" w:hAnsiTheme="majorBidi" w:cstheme="majorBidi"/>
          <w:lang w:bidi="ar-AE"/>
        </w:rPr>
        <w:t>, Jacques Berque relève qu’</w:t>
      </w:r>
      <w:r w:rsidRPr="00B867DF">
        <w:rPr>
          <w:rFonts w:asciiTheme="majorBidi" w:eastAsia="Calibri" w:hAnsiTheme="majorBidi" w:cstheme="majorBidi"/>
          <w:i/>
          <w:iCs/>
          <w:lang w:bidi="ar-AE"/>
        </w:rPr>
        <w:t>ilḥād</w:t>
      </w:r>
      <w:r w:rsidRPr="00B867DF">
        <w:rPr>
          <w:rFonts w:asciiTheme="majorBidi" w:eastAsia="Calibri" w:hAnsiTheme="majorBidi" w:cstheme="majorBidi"/>
          <w:lang w:bidi="ar-AE"/>
        </w:rPr>
        <w:t>, « déviation », a été souvent compris comme signifiant l’exclusive exercée par les Mecquois sur le périmètre rituel, et l’exploitation qui en découlait.</w:t>
      </w:r>
    </w:p>
    <w:p w14:paraId="4FA04BAA" w14:textId="77777777" w:rsidR="00296288" w:rsidRPr="00B867DF" w:rsidRDefault="00296288" w:rsidP="00296288">
      <w:pPr>
        <w:spacing w:line="360" w:lineRule="auto"/>
        <w:jc w:val="both"/>
        <w:rPr>
          <w:rFonts w:eastAsia="Calibri"/>
          <w:lang w:bidi="ar-AE"/>
        </w:rPr>
      </w:pPr>
    </w:p>
    <w:p w14:paraId="538385C9" w14:textId="77777777" w:rsidR="00296288" w:rsidRPr="00B867DF" w:rsidRDefault="00296288" w:rsidP="007640DC">
      <w:pPr>
        <w:pStyle w:val="Paragraphedeliste"/>
        <w:numPr>
          <w:ilvl w:val="0"/>
          <w:numId w:val="26"/>
        </w:numPr>
        <w:bidi w:val="0"/>
        <w:spacing w:after="0" w:line="360" w:lineRule="auto"/>
        <w:contextualSpacing/>
        <w:jc w:val="both"/>
        <w:rPr>
          <w:rFonts w:ascii="Times New Roman" w:hAnsi="Times New Roman" w:cs="Times New Roman"/>
          <w:b/>
          <w:bCs/>
          <w:sz w:val="24"/>
          <w:szCs w:val="24"/>
          <w:lang w:eastAsia="fr-FR" w:bidi="ar-AE"/>
        </w:rPr>
      </w:pPr>
      <w:r w:rsidRPr="00B867DF">
        <w:rPr>
          <w:rFonts w:ascii="Times New Roman" w:hAnsi="Times New Roman" w:cs="Times New Roman"/>
          <w:b/>
          <w:bCs/>
          <w:sz w:val="24"/>
          <w:szCs w:val="24"/>
          <w:lang w:eastAsia="fr-FR" w:bidi="ar-AE"/>
        </w:rPr>
        <w:t xml:space="preserve">Les interprétations de </w:t>
      </w:r>
      <w:r w:rsidRPr="00B867DF">
        <w:rPr>
          <w:rFonts w:ascii="Times New Roman" w:hAnsi="Times New Roman" w:cs="Times New Roman"/>
          <w:b/>
          <w:bCs/>
          <w:i/>
          <w:iCs/>
          <w:sz w:val="24"/>
          <w:szCs w:val="24"/>
          <w:lang w:eastAsia="fr-FR" w:bidi="ar-AE"/>
        </w:rPr>
        <w:t>tafath</w:t>
      </w:r>
      <w:r w:rsidRPr="00B867DF">
        <w:rPr>
          <w:rFonts w:ascii="Times New Roman" w:hAnsi="Times New Roman" w:cs="Times New Roman"/>
          <w:b/>
          <w:bCs/>
          <w:sz w:val="24"/>
          <w:szCs w:val="24"/>
          <w:lang w:eastAsia="fr-FR" w:bidi="ar-AE"/>
        </w:rPr>
        <w:t xml:space="preserve"> (v. 29) :</w:t>
      </w:r>
    </w:p>
    <w:p w14:paraId="77B03F5E" w14:textId="795AF144" w:rsidR="00296288" w:rsidRPr="00A76C5D" w:rsidRDefault="00296288" w:rsidP="00296288">
      <w:pPr>
        <w:spacing w:line="360" w:lineRule="auto"/>
        <w:ind w:firstLine="360"/>
        <w:contextualSpacing/>
        <w:jc w:val="both"/>
        <w:rPr>
          <w:rFonts w:eastAsia="Times New Roman"/>
          <w:lang w:bidi="ar-AE"/>
        </w:rPr>
      </w:pPr>
      <w:r w:rsidRPr="00B867DF">
        <w:rPr>
          <w:rFonts w:eastAsia="Times New Roman"/>
          <w:lang w:bidi="ar-AE"/>
        </w:rPr>
        <w:t xml:space="preserve">À propos du terme </w:t>
      </w:r>
      <w:r w:rsidRPr="00B867DF">
        <w:rPr>
          <w:rFonts w:eastAsia="Times New Roman"/>
          <w:i/>
          <w:iCs/>
          <w:lang w:bidi="ar-AE"/>
        </w:rPr>
        <w:t>tafath</w:t>
      </w:r>
      <w:r w:rsidRPr="00B867DF">
        <w:rPr>
          <w:rFonts w:eastAsia="Times New Roman"/>
          <w:lang w:bidi="ar-AE"/>
        </w:rPr>
        <w:t xml:space="preserve"> utilisé dans la phrase « </w:t>
      </w:r>
      <w:r w:rsidRPr="00B867DF">
        <w:rPr>
          <w:rFonts w:eastAsia="Times New Roman"/>
          <w:i/>
          <w:iCs/>
          <w:lang w:bidi="ar-AE"/>
        </w:rPr>
        <w:t>thumma li-yaqḍū tafatha-hum wa-l-yūfū nudhūra-hum</w:t>
      </w:r>
      <w:r w:rsidRPr="00B867DF">
        <w:rPr>
          <w:rFonts w:eastAsia="Times New Roman"/>
          <w:lang w:bidi="ar-AE"/>
        </w:rPr>
        <w:t> » [et puis qu’ils éliminent leurs excroissances, qu’ils s’acquittent de leurs vœux</w:t>
      </w:r>
      <w:r w:rsidRPr="00B867DF">
        <w:rPr>
          <w:rFonts w:eastAsia="Calibri"/>
          <w:lang w:bidi="ar-AE"/>
        </w:rPr>
        <w:t>]</w:t>
      </w:r>
      <w:r w:rsidRPr="00B867DF">
        <w:rPr>
          <w:rFonts w:eastAsia="Times New Roman"/>
          <w:lang w:bidi="ar-AE"/>
        </w:rPr>
        <w:t xml:space="preserve">, il est à souligner que beaucoup de linguistes arabes ont affirmé que ce mot n’était pas connu auparavant et que ce sont </w:t>
      </w:r>
      <w:r w:rsidRPr="00A76C5D">
        <w:rPr>
          <w:rFonts w:eastAsia="Times New Roman"/>
          <w:lang w:bidi="ar-AE"/>
        </w:rPr>
        <w:t>les exégètes qui ont donné sa signification. En d’autres termes, ce mot est probablement un néologisme ou un emprunt lexical. Parmi ces linguistes, citons : 1-Abū ʿUbayda (m. 210/825) qui dit : « [Ce terme] n’est mentionné dans aucune poésie à citer »</w:t>
      </w:r>
      <w:r w:rsidRPr="00A76C5D">
        <w:rPr>
          <w:rStyle w:val="Appelnotedebasdep"/>
          <w:lang w:bidi="ar-AE"/>
        </w:rPr>
        <w:footnoteReference w:id="281"/>
      </w:r>
      <w:r w:rsidRPr="00A76C5D">
        <w:rPr>
          <w:rFonts w:eastAsia="Times New Roman"/>
          <w:lang w:bidi="ar-AE"/>
        </w:rPr>
        <w:t xml:space="preserve"> ; 2-Az-Zajjāj (m. 311/923) qui souligne que les linguistes ne connaissent le mot </w:t>
      </w:r>
      <w:r w:rsidRPr="00A76C5D">
        <w:rPr>
          <w:rFonts w:eastAsia="Times New Roman"/>
          <w:i/>
          <w:iCs/>
          <w:lang w:bidi="ar-AE"/>
        </w:rPr>
        <w:t>at-tafath</w:t>
      </w:r>
      <w:r w:rsidRPr="00A76C5D">
        <w:rPr>
          <w:rFonts w:eastAsia="Times New Roman"/>
          <w:lang w:bidi="ar-AE"/>
        </w:rPr>
        <w:t xml:space="preserve"> que par l’intermédiaire des exégètes</w:t>
      </w:r>
      <w:r w:rsidRPr="00A76C5D">
        <w:rPr>
          <w:rStyle w:val="Appelnotedebasdep"/>
          <w:lang w:bidi="ar-AE"/>
        </w:rPr>
        <w:footnoteReference w:id="282"/>
      </w:r>
      <w:r w:rsidRPr="00A76C5D">
        <w:rPr>
          <w:rFonts w:eastAsia="Times New Roman"/>
          <w:lang w:bidi="ar-AE"/>
        </w:rPr>
        <w:t> ; 3-An-Naḥḥās (m. 338/949) qu</w:t>
      </w:r>
      <w:r w:rsidR="0045422A">
        <w:rPr>
          <w:rFonts w:eastAsia="Times New Roman"/>
          <w:lang w:bidi="ar-AE"/>
        </w:rPr>
        <w:t xml:space="preserve">i dit que la signification de </w:t>
      </w:r>
      <w:r w:rsidRPr="00A76C5D">
        <w:rPr>
          <w:rFonts w:eastAsia="Times New Roman"/>
          <w:i/>
          <w:iCs/>
          <w:lang w:bidi="ar-AE"/>
        </w:rPr>
        <w:t>tafath</w:t>
      </w:r>
      <w:r w:rsidRPr="00A76C5D">
        <w:rPr>
          <w:rFonts w:eastAsia="Times New Roman"/>
          <w:lang w:bidi="ar-AE"/>
        </w:rPr>
        <w:t xml:space="preserve"> a été fournie par les exégètes et qu’elle n’a pas été connue par les linguistes</w:t>
      </w:r>
      <w:r w:rsidRPr="00A76C5D">
        <w:rPr>
          <w:rStyle w:val="Appelnotedebasdep"/>
          <w:lang w:bidi="ar-AE"/>
        </w:rPr>
        <w:footnoteReference w:id="283"/>
      </w:r>
      <w:r w:rsidRPr="00A76C5D">
        <w:rPr>
          <w:rFonts w:eastAsia="Times New Roman"/>
          <w:lang w:bidi="ar-AE"/>
        </w:rPr>
        <w:t> ; 4-le cadi imam Abū aṭ-Ṭayyib Aṭ-Ṭabarī (m. 450/1058) qui précise que ce terme est un mot étrange que les érudits ne connaissent ni dans la poésie ni dans la prose</w:t>
      </w:r>
      <w:r w:rsidRPr="00A76C5D">
        <w:rPr>
          <w:rStyle w:val="Appelnotedebasdep"/>
          <w:lang w:bidi="ar-AE"/>
        </w:rPr>
        <w:footnoteReference w:id="284"/>
      </w:r>
      <w:r w:rsidRPr="00A76C5D">
        <w:rPr>
          <w:rFonts w:eastAsia="Times New Roman"/>
          <w:lang w:bidi="ar-AE"/>
        </w:rPr>
        <w:t> ; 5-Ibn Fāris (m. 395/1004)</w:t>
      </w:r>
      <w:r w:rsidRPr="00A76C5D">
        <w:rPr>
          <w:rStyle w:val="Appelnotedebasdep"/>
          <w:lang w:bidi="ar-AE"/>
        </w:rPr>
        <w:footnoteReference w:id="285"/>
      </w:r>
      <w:r w:rsidRPr="00A76C5D">
        <w:rPr>
          <w:rFonts w:eastAsia="Times New Roman"/>
          <w:lang w:bidi="ar-AE"/>
        </w:rPr>
        <w:t> ; 6-</w:t>
      </w:r>
      <w:r w:rsidRPr="00A76C5D">
        <w:rPr>
          <w:rFonts w:eastAsia="Times New Roman"/>
        </w:rPr>
        <w:t>As-Suyūṭī</w:t>
      </w:r>
      <w:r w:rsidRPr="00A76C5D">
        <w:rPr>
          <w:rFonts w:eastAsia="Times New Roman"/>
          <w:lang w:bidi="ar-AE"/>
        </w:rPr>
        <w:t xml:space="preserve"> qui classe le terme</w:t>
      </w:r>
      <w:r w:rsidRPr="00A76C5D">
        <w:rPr>
          <w:rFonts w:eastAsia="Times New Roman"/>
          <w:i/>
          <w:iCs/>
          <w:lang w:bidi="ar-AE"/>
        </w:rPr>
        <w:t xml:space="preserve"> tafath</w:t>
      </w:r>
      <w:r w:rsidRPr="00A76C5D">
        <w:rPr>
          <w:rFonts w:eastAsia="Times New Roman"/>
          <w:lang w:bidi="ar-AE"/>
        </w:rPr>
        <w:t xml:space="preserve"> parmi les termes arabes non connus avant l’islam.</w:t>
      </w:r>
      <w:r w:rsidRPr="00A76C5D">
        <w:rPr>
          <w:rFonts w:eastAsia="Times New Roman"/>
          <w:vertAlign w:val="superscript"/>
          <w:lang w:bidi="ar-AE"/>
        </w:rPr>
        <w:footnoteReference w:id="286"/>
      </w:r>
    </w:p>
    <w:p w14:paraId="3F7BE0B3" w14:textId="77777777" w:rsidR="00296288" w:rsidRPr="00A76C5D" w:rsidRDefault="00296288" w:rsidP="00296288">
      <w:pPr>
        <w:tabs>
          <w:tab w:val="left" w:pos="6015"/>
        </w:tabs>
        <w:spacing w:line="360" w:lineRule="auto"/>
        <w:contextualSpacing/>
        <w:jc w:val="both"/>
        <w:rPr>
          <w:rFonts w:eastAsia="Times New Roman"/>
          <w:lang w:bidi="ar-AE"/>
        </w:rPr>
      </w:pPr>
    </w:p>
    <w:p w14:paraId="0E680E12"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 xml:space="preserve">Le fait que ce nouveau mot ainsi que beaucoup d’autres n’étaient pas utilisés par les Arabes préislamiques ni par les Arabes contemporains du Coran peut signifier que c’est le Coran qui les a empruntés ou les a mis en utilisation, c’est-à-dire c’est lui qui les a utilisés le premier en langue </w:t>
      </w:r>
      <w:r w:rsidRPr="00B867DF">
        <w:rPr>
          <w:rFonts w:eastAsia="Times New Roman"/>
          <w:lang w:bidi="ar-AE"/>
        </w:rPr>
        <w:lastRenderedPageBreak/>
        <w:t>arabe, et par la suite cela peut signifier, entre autres, que le Coran est probablement un texte traduit en arabe à partir d’autres langues.</w:t>
      </w:r>
    </w:p>
    <w:p w14:paraId="48F07040" w14:textId="77777777" w:rsidR="00296288" w:rsidRPr="00B867DF" w:rsidRDefault="00296288" w:rsidP="00296288">
      <w:pPr>
        <w:spacing w:line="360" w:lineRule="auto"/>
        <w:ind w:firstLine="360"/>
        <w:contextualSpacing/>
        <w:jc w:val="both"/>
        <w:rPr>
          <w:rFonts w:eastAsia="Times New Roman"/>
          <w:lang w:bidi="ar-AE"/>
        </w:rPr>
      </w:pPr>
    </w:p>
    <w:p w14:paraId="4B0F2B6E"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 xml:space="preserve">Par contre, d’autres théologiens et linguistes expliquent le mot </w:t>
      </w:r>
      <w:r w:rsidRPr="00B867DF">
        <w:rPr>
          <w:rFonts w:eastAsia="Times New Roman"/>
          <w:i/>
          <w:iCs/>
          <w:lang w:bidi="ar-AE"/>
        </w:rPr>
        <w:t>tafath</w:t>
      </w:r>
      <w:r w:rsidRPr="00B867DF">
        <w:rPr>
          <w:rFonts w:eastAsia="Times New Roman"/>
          <w:lang w:bidi="ar-AE"/>
        </w:rPr>
        <w:t xml:space="preserve"> comme s’il était connu et utilisé dans leur langue. Parmi ce groupe, nous citons : 1</w:t>
      </w:r>
      <w:r>
        <w:rPr>
          <w:rFonts w:eastAsia="Times New Roman"/>
          <w:lang w:bidi="ar-AE"/>
        </w:rPr>
        <w:t xml:space="preserve">) </w:t>
      </w:r>
      <w:r w:rsidRPr="00B867DF">
        <w:rPr>
          <w:rFonts w:eastAsia="Times New Roman"/>
          <w:lang w:bidi="ar-AE"/>
        </w:rPr>
        <w:t xml:space="preserve">Ath-Thaʿlabī (m. 427/1035) qui précise que le </w:t>
      </w:r>
      <w:r w:rsidRPr="00B867DF">
        <w:rPr>
          <w:rFonts w:eastAsia="Times New Roman"/>
          <w:i/>
          <w:iCs/>
          <w:lang w:bidi="ar-AE"/>
        </w:rPr>
        <w:t>tafath</w:t>
      </w:r>
      <w:r w:rsidRPr="00B867DF">
        <w:rPr>
          <w:rFonts w:eastAsia="Times New Roman"/>
          <w:lang w:bidi="ar-AE"/>
        </w:rPr>
        <w:t xml:space="preserve"> est à l’origine l’ordure ; 2</w:t>
      </w:r>
      <w:r>
        <w:rPr>
          <w:rFonts w:eastAsia="Times New Roman"/>
          <w:lang w:bidi="ar-AE"/>
        </w:rPr>
        <w:t xml:space="preserve">) </w:t>
      </w:r>
      <w:r w:rsidRPr="00B867DF">
        <w:rPr>
          <w:rFonts w:eastAsia="Times New Roman"/>
          <w:lang w:bidi="ar-AE"/>
        </w:rPr>
        <w:t>Quṭrub (m. 206/821)</w:t>
      </w:r>
      <w:r>
        <w:rPr>
          <w:rFonts w:eastAsia="Times New Roman"/>
          <w:lang w:bidi="ar-AE"/>
        </w:rPr>
        <w:t xml:space="preserve"> ; 3) </w:t>
      </w:r>
      <w:r w:rsidRPr="00B867DF">
        <w:rPr>
          <w:rFonts w:eastAsia="Times New Roman"/>
          <w:lang w:bidi="ar-AE"/>
        </w:rPr>
        <w:t>An-Naḍr ibn Shumayl (m. 203/818) ; 4</w:t>
      </w:r>
      <w:r>
        <w:rPr>
          <w:rFonts w:eastAsia="Times New Roman"/>
          <w:lang w:bidi="ar-AE"/>
        </w:rPr>
        <w:t xml:space="preserve">) </w:t>
      </w:r>
      <w:r w:rsidRPr="00B867DF">
        <w:rPr>
          <w:rFonts w:eastAsia="Times New Roman"/>
          <w:lang w:bidi="ar-AE"/>
        </w:rPr>
        <w:t>Al-Mubarrid (m. 285/898) ; 5</w:t>
      </w:r>
      <w:r>
        <w:rPr>
          <w:rFonts w:eastAsia="Times New Roman"/>
          <w:lang w:bidi="ar-AE"/>
        </w:rPr>
        <w:t xml:space="preserve">) </w:t>
      </w:r>
      <w:r w:rsidRPr="00B867DF">
        <w:rPr>
          <w:rFonts w:eastAsia="Times New Roman"/>
          <w:lang w:bidi="ar-AE"/>
        </w:rPr>
        <w:t xml:space="preserve">Nifṭawayh (m. 323/935). Certains citent le seul vers attribué au poète préislamique </w:t>
      </w:r>
      <w:r w:rsidRPr="00B867DF">
        <w:rPr>
          <w:rFonts w:eastAsia="Times New Roman"/>
        </w:rPr>
        <w:t>ʾ</w:t>
      </w:r>
      <w:r w:rsidRPr="00B867DF">
        <w:rPr>
          <w:rFonts w:eastAsia="Times New Roman"/>
          <w:lang w:bidi="ar-AE"/>
        </w:rPr>
        <w:t>Umayya ibn Abī Aṣ-</w:t>
      </w:r>
      <w:r w:rsidRPr="00B867DF">
        <w:rPr>
          <w:rFonts w:eastAsia="Times New Roman"/>
          <w:shd w:val="clear" w:color="auto" w:fill="FFFFFF"/>
        </w:rPr>
        <w:t>Ṣ</w:t>
      </w:r>
      <w:r w:rsidRPr="00B867DF">
        <w:rPr>
          <w:rFonts w:eastAsia="Times New Roman"/>
          <w:lang w:bidi="ar-AE"/>
        </w:rPr>
        <w:t>alt</w:t>
      </w:r>
      <w:r w:rsidRPr="00B867DF">
        <w:rPr>
          <w:rFonts w:eastAsia="Times New Roman"/>
          <w:vertAlign w:val="superscript"/>
          <w:lang w:bidi="ar-AE"/>
        </w:rPr>
        <w:footnoteReference w:id="287"/>
      </w:r>
      <w:r w:rsidRPr="00B867DF">
        <w:rPr>
          <w:rFonts w:eastAsia="Times New Roman"/>
          <w:lang w:bidi="ar-AE"/>
        </w:rPr>
        <w:t xml:space="preserve"> pour prouver que le mot a été utilisé à la période préislamique.</w:t>
      </w:r>
      <w:r w:rsidRPr="00B867DF">
        <w:rPr>
          <w:rFonts w:eastAsia="Times New Roman"/>
          <w:color w:val="FF0000"/>
          <w:lang w:bidi="ar-AE"/>
        </w:rPr>
        <w:t xml:space="preserve"> </w:t>
      </w:r>
      <w:r w:rsidRPr="00B867DF">
        <w:rPr>
          <w:rFonts w:eastAsia="Times New Roman"/>
          <w:lang w:bidi="ar-AE"/>
        </w:rPr>
        <w:t>Cependant, seuls les exégètes en ont donné des significations qui sont souvent opposées :</w:t>
      </w:r>
    </w:p>
    <w:p w14:paraId="2001EF2F"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1-la crasse, les excroissances, l’ordure ;</w:t>
      </w:r>
    </w:p>
    <w:p w14:paraId="054197D9"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2-le rituel d’éliminer la crasse et les excroissances après le pèlerinage et le sacrifice ;</w:t>
      </w:r>
    </w:p>
    <w:p w14:paraId="406B1508"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3-se faire couper les cheveux ;</w:t>
      </w:r>
    </w:p>
    <w:p w14:paraId="6712AC65"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4-les rites du pèlerinage : la coupe des cheveux et des ongles, le sacrifice, et la lapidation de Satan (</w:t>
      </w:r>
      <w:r w:rsidRPr="00B867DF">
        <w:rPr>
          <w:rFonts w:eastAsia="Times New Roman"/>
          <w:i/>
          <w:iCs/>
          <w:lang w:bidi="ar-AE"/>
        </w:rPr>
        <w:t>ramy al-jamarāt</w:t>
      </w:r>
      <w:r w:rsidRPr="00B867DF">
        <w:rPr>
          <w:rFonts w:eastAsia="Times New Roman"/>
          <w:lang w:bidi="ar-AE"/>
        </w:rPr>
        <w:t xml:space="preserve"> [lancer des pierres sur des cibles]) ;</w:t>
      </w:r>
    </w:p>
    <w:p w14:paraId="526C8C63" w14:textId="514EEB7A"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5-le passage de l’état de l’</w:t>
      </w:r>
      <w:r w:rsidRPr="00B867DF">
        <w:rPr>
          <w:rFonts w:eastAsia="Times New Roman"/>
          <w:i/>
          <w:iCs/>
          <w:lang w:bidi="ar-AE"/>
        </w:rPr>
        <w:t>iḥrām</w:t>
      </w:r>
      <w:r w:rsidRPr="00B867DF">
        <w:rPr>
          <w:rFonts w:eastAsia="Times New Roman"/>
          <w:lang w:bidi="ar-AE"/>
        </w:rPr>
        <w:t xml:space="preserve"> [l’entrée dans l’univers sacré, l’état de consécration rituelle] à l’état de l’</w:t>
      </w:r>
      <w:r w:rsidRPr="00B867DF">
        <w:rPr>
          <w:rFonts w:eastAsia="Times New Roman"/>
          <w:i/>
          <w:iCs/>
          <w:lang w:bidi="ar-AE"/>
        </w:rPr>
        <w:t>iḥlāl</w:t>
      </w:r>
      <w:r w:rsidRPr="00B867DF">
        <w:rPr>
          <w:rFonts w:eastAsia="Times New Roman"/>
          <w:lang w:bidi="ar-AE"/>
        </w:rPr>
        <w:t> [l’état profane] (Az-Za</w:t>
      </w:r>
      <w:r w:rsidR="0045422A">
        <w:rPr>
          <w:rFonts w:eastAsia="Times New Roman"/>
          <w:lang w:bidi="ar-AE"/>
        </w:rPr>
        <w:t xml:space="preserve">jjāj souligne que le syntagme </w:t>
      </w:r>
      <w:r w:rsidRPr="00B867DF">
        <w:rPr>
          <w:rFonts w:eastAsia="Times New Roman"/>
          <w:i/>
          <w:iCs/>
          <w:lang w:bidi="ar-AE"/>
        </w:rPr>
        <w:t>qaḍāʾ at-tafath</w:t>
      </w:r>
      <w:r w:rsidRPr="00B867DF">
        <w:rPr>
          <w:rFonts w:eastAsia="Times New Roman"/>
          <w:lang w:bidi="ar-AE"/>
        </w:rPr>
        <w:t xml:space="preserve"> est une allusion à la sortie de l’</w:t>
      </w:r>
      <w:r w:rsidRPr="00B867DF">
        <w:rPr>
          <w:rFonts w:eastAsia="Times New Roman"/>
          <w:i/>
          <w:iCs/>
          <w:lang w:bidi="ar-AE"/>
        </w:rPr>
        <w:t>iḥrām</w:t>
      </w:r>
      <w:r w:rsidRPr="00B867DF">
        <w:rPr>
          <w:rFonts w:eastAsia="Times New Roman"/>
          <w:vertAlign w:val="superscript"/>
          <w:lang w:bidi="ar-AE"/>
        </w:rPr>
        <w:footnoteReference w:id="288"/>
      </w:r>
      <w:r w:rsidRPr="00B867DF">
        <w:rPr>
          <w:rFonts w:eastAsia="Times New Roman"/>
          <w:lang w:bidi="ar-AE"/>
        </w:rPr>
        <w:t>) ;</w:t>
      </w:r>
    </w:p>
    <w:p w14:paraId="295288CF"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6-« </w:t>
      </w:r>
      <w:r w:rsidRPr="00B867DF">
        <w:rPr>
          <w:rFonts w:eastAsia="Times New Roman"/>
          <w:i/>
          <w:iCs/>
          <w:lang w:bidi="ar-AE"/>
        </w:rPr>
        <w:t>baqāyā talwīnāt an-nafs</w:t>
      </w:r>
      <w:r w:rsidRPr="00B867DF">
        <w:rPr>
          <w:rFonts w:eastAsia="Times New Roman"/>
          <w:lang w:bidi="ar-AE"/>
        </w:rPr>
        <w:t> » [les traces des bigarrures ou des diaprures (instabilités internes) de la psyché] (Ibn ʿArabī) ;</w:t>
      </w:r>
    </w:p>
    <w:p w14:paraId="5E5734AE"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7-« </w:t>
      </w:r>
      <w:r w:rsidRPr="00B867DF">
        <w:rPr>
          <w:rFonts w:eastAsia="Times New Roman"/>
          <w:i/>
          <w:iCs/>
          <w:lang w:bidi="ar-AE"/>
        </w:rPr>
        <w:t xml:space="preserve">ḥufūf </w:t>
      </w:r>
      <w:r w:rsidRPr="00B867DF">
        <w:rPr>
          <w:rFonts w:eastAsia="Times New Roman"/>
          <w:lang w:bidi="ar-AE"/>
        </w:rPr>
        <w:t xml:space="preserve">(ou </w:t>
      </w:r>
      <w:r w:rsidRPr="00B867DF">
        <w:rPr>
          <w:rFonts w:eastAsia="Times New Roman"/>
          <w:i/>
          <w:iCs/>
          <w:lang w:bidi="ar-AE"/>
        </w:rPr>
        <w:t>ḥuqūq</w:t>
      </w:r>
      <w:r w:rsidRPr="00B867DF">
        <w:rPr>
          <w:rFonts w:eastAsia="Times New Roman"/>
          <w:lang w:bidi="ar-AE"/>
        </w:rPr>
        <w:t xml:space="preserve"> ?) </w:t>
      </w:r>
      <w:r w:rsidRPr="00B867DF">
        <w:rPr>
          <w:rFonts w:eastAsia="Times New Roman"/>
          <w:i/>
          <w:iCs/>
          <w:lang w:bidi="ar-AE"/>
        </w:rPr>
        <w:t>ar-rajul min aṭ-ṭīb</w:t>
      </w:r>
      <w:r w:rsidRPr="00B867DF">
        <w:rPr>
          <w:rFonts w:eastAsia="Times New Roman"/>
          <w:lang w:bidi="ar-KW"/>
        </w:rPr>
        <w:t> » [le droit de l’homme à mettre du parfum] (exégèse chiite)</w:t>
      </w:r>
      <w:r w:rsidRPr="00B867DF">
        <w:rPr>
          <w:rStyle w:val="Appelnotedebasdep"/>
          <w:lang w:bidi="ar-KW"/>
        </w:rPr>
        <w:footnoteReference w:id="289"/>
      </w:r>
      <w:r w:rsidRPr="00B867DF">
        <w:rPr>
          <w:rFonts w:eastAsia="Times New Roman"/>
          <w:lang w:bidi="ar-KW"/>
        </w:rPr>
        <w:t> ;</w:t>
      </w:r>
    </w:p>
    <w:p w14:paraId="528CDBFD" w14:textId="77777777" w:rsidR="00296288" w:rsidRPr="00B867DF" w:rsidRDefault="00296288" w:rsidP="00296288">
      <w:pPr>
        <w:spacing w:line="360" w:lineRule="auto"/>
        <w:ind w:firstLine="360"/>
        <w:contextualSpacing/>
        <w:jc w:val="both"/>
        <w:rPr>
          <w:rFonts w:eastAsia="Times New Roman"/>
          <w:lang w:bidi="ar-KW"/>
        </w:rPr>
      </w:pPr>
      <w:r w:rsidRPr="00B867DF">
        <w:rPr>
          <w:rFonts w:eastAsia="Times New Roman"/>
          <w:lang w:bidi="ar-KW"/>
        </w:rPr>
        <w:t>8-le fait de prononcer de mauvaise parole pendant le pèlerinage (exégèse chiite)</w:t>
      </w:r>
      <w:r w:rsidRPr="00B867DF">
        <w:rPr>
          <w:rStyle w:val="Appelnotedebasdep"/>
          <w:lang w:bidi="ar-KW"/>
        </w:rPr>
        <w:footnoteReference w:id="290"/>
      </w:r>
      <w:r w:rsidRPr="00B867DF">
        <w:rPr>
          <w:rFonts w:eastAsia="Times New Roman"/>
          <w:lang w:bidi="ar-KW"/>
        </w:rPr>
        <w:t>.</w:t>
      </w:r>
    </w:p>
    <w:p w14:paraId="00E05E84" w14:textId="77777777" w:rsidR="00296288" w:rsidRPr="00B867DF" w:rsidRDefault="00296288" w:rsidP="00296288">
      <w:pPr>
        <w:spacing w:line="360" w:lineRule="auto"/>
        <w:ind w:firstLine="360"/>
        <w:contextualSpacing/>
        <w:jc w:val="both"/>
        <w:rPr>
          <w:rFonts w:eastAsia="Times New Roman"/>
          <w:lang w:bidi="ar-AE"/>
        </w:rPr>
      </w:pPr>
    </w:p>
    <w:p w14:paraId="3A96AD1E" w14:textId="54386305" w:rsidR="00296288" w:rsidRPr="00B867DF" w:rsidRDefault="0045422A" w:rsidP="00296288">
      <w:pPr>
        <w:spacing w:line="360" w:lineRule="auto"/>
        <w:ind w:firstLine="360"/>
        <w:contextualSpacing/>
        <w:jc w:val="both"/>
        <w:rPr>
          <w:rFonts w:eastAsia="Times New Roman"/>
          <w:lang w:bidi="ar-KW"/>
        </w:rPr>
      </w:pPr>
      <w:r>
        <w:rPr>
          <w:rFonts w:eastAsia="Times New Roman"/>
          <w:lang w:bidi="ar-AE"/>
        </w:rPr>
        <w:t xml:space="preserve">Le sens arabe du mot </w:t>
      </w:r>
      <w:r w:rsidR="00296288" w:rsidRPr="00B867DF">
        <w:rPr>
          <w:rFonts w:eastAsia="Times New Roman"/>
          <w:i/>
          <w:iCs/>
          <w:lang w:bidi="ar-AE"/>
        </w:rPr>
        <w:t>tafath</w:t>
      </w:r>
      <w:r w:rsidR="00296288" w:rsidRPr="00B867DF">
        <w:rPr>
          <w:rFonts w:eastAsia="Times New Roman"/>
          <w:lang w:bidi="ar-AE"/>
        </w:rPr>
        <w:t xml:space="preserve"> ondule entre l’ordure et le rituel et passe du concret (crasse, cheveux, etc.) à l’abstrait (rite sacré, instabilité interne, ne pas prononcer de mauvaise parole).</w:t>
      </w:r>
    </w:p>
    <w:p w14:paraId="417C3676" w14:textId="77777777" w:rsidR="00296288" w:rsidRPr="00B867DF" w:rsidRDefault="00296288" w:rsidP="00296288">
      <w:pPr>
        <w:spacing w:line="360" w:lineRule="auto"/>
        <w:contextualSpacing/>
        <w:jc w:val="both"/>
        <w:rPr>
          <w:rFonts w:eastAsia="Times New Roman"/>
          <w:lang w:bidi="ar-AE"/>
        </w:rPr>
      </w:pPr>
    </w:p>
    <w:p w14:paraId="554214A6" w14:textId="4E10F635" w:rsidR="00296288" w:rsidRPr="00A76C5D" w:rsidRDefault="0045422A" w:rsidP="00296288">
      <w:pPr>
        <w:spacing w:line="360" w:lineRule="auto"/>
        <w:ind w:firstLine="360"/>
        <w:contextualSpacing/>
        <w:jc w:val="both"/>
        <w:rPr>
          <w:rFonts w:eastAsia="Times New Roman"/>
          <w:lang w:bidi="ar-AE"/>
        </w:rPr>
      </w:pPr>
      <w:r>
        <w:rPr>
          <w:rFonts w:eastAsia="Times New Roman"/>
          <w:lang w:bidi="ar-AE"/>
        </w:rPr>
        <w:t xml:space="preserve">L’utilisation du verbe </w:t>
      </w:r>
      <w:r w:rsidR="00296288" w:rsidRPr="00B867DF">
        <w:rPr>
          <w:rFonts w:eastAsia="Times New Roman"/>
          <w:i/>
          <w:iCs/>
          <w:lang w:bidi="ar-AE"/>
        </w:rPr>
        <w:t>yaqḍū</w:t>
      </w:r>
      <w:r w:rsidR="00296288" w:rsidRPr="00B867DF">
        <w:rPr>
          <w:rFonts w:eastAsia="Times New Roman"/>
          <w:lang w:bidi="ar-AE"/>
        </w:rPr>
        <w:t xml:space="preserve"> [ils accomplissent] montrerai</w:t>
      </w:r>
      <w:r>
        <w:rPr>
          <w:rFonts w:eastAsia="Times New Roman"/>
          <w:lang w:bidi="ar-AE"/>
        </w:rPr>
        <w:t xml:space="preserve">t que son COD le terme ambigu </w:t>
      </w:r>
      <w:r w:rsidR="00296288" w:rsidRPr="00B867DF">
        <w:rPr>
          <w:rFonts w:eastAsia="Times New Roman"/>
          <w:i/>
          <w:iCs/>
          <w:lang w:bidi="ar-AE"/>
        </w:rPr>
        <w:t>tafath</w:t>
      </w:r>
      <w:r w:rsidR="00296288" w:rsidRPr="00B867DF">
        <w:rPr>
          <w:rFonts w:eastAsia="Times New Roman"/>
          <w:lang w:bidi="ar-AE"/>
        </w:rPr>
        <w:t xml:space="preserve"> désigne plus un rituel qu’une crasse. Ainsi, ce verbe dessine vaguement les frontières sémantiques du mot</w:t>
      </w:r>
      <w:r w:rsidR="00296288" w:rsidRPr="00B867DF">
        <w:rPr>
          <w:rFonts w:eastAsia="Times New Roman"/>
          <w:i/>
          <w:iCs/>
          <w:lang w:bidi="ar-AE"/>
        </w:rPr>
        <w:t xml:space="preserve"> tafath</w:t>
      </w:r>
      <w:r w:rsidR="00296288" w:rsidRPr="00B867DF">
        <w:rPr>
          <w:rFonts w:eastAsia="Times New Roman"/>
          <w:lang w:bidi="ar-AE"/>
        </w:rPr>
        <w:t xml:space="preserve"> et réduit son sens aux rites. Il est donc peu probable que le sens soit la négligence physique, car dans ce cas, le verbe </w:t>
      </w:r>
      <w:r w:rsidR="00296288" w:rsidRPr="00B867DF">
        <w:rPr>
          <w:rFonts w:eastAsia="Times New Roman"/>
          <w:i/>
          <w:iCs/>
          <w:lang w:bidi="ar-AE"/>
        </w:rPr>
        <w:t>yaqḍū</w:t>
      </w:r>
      <w:r w:rsidR="00296288" w:rsidRPr="00B867DF">
        <w:rPr>
          <w:rFonts w:eastAsia="Times New Roman"/>
          <w:lang w:bidi="ar-AE"/>
        </w:rPr>
        <w:t xml:space="preserve"> </w:t>
      </w:r>
      <w:r w:rsidR="00296288" w:rsidRPr="00B867DF">
        <w:rPr>
          <w:rFonts w:eastAsia="Times New Roman"/>
          <w:noProof/>
        </w:rPr>
        <w:drawing>
          <wp:inline distT="0" distB="0" distL="0" distR="0" wp14:anchorId="17210C75" wp14:editId="69E7AE75">
            <wp:extent cx="551815" cy="19812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51815" cy="198120"/>
                    </a:xfrm>
                    <a:prstGeom prst="rect">
                      <a:avLst/>
                    </a:prstGeom>
                    <a:noFill/>
                    <a:ln w="9525">
                      <a:noFill/>
                      <a:miter lim="800000"/>
                      <a:headEnd/>
                      <a:tailEnd/>
                    </a:ln>
                  </pic:spPr>
                </pic:pic>
              </a:graphicData>
            </a:graphic>
          </wp:inline>
        </w:drawing>
      </w:r>
      <w:r w:rsidR="00296288" w:rsidRPr="00B867DF">
        <w:rPr>
          <w:rFonts w:eastAsia="Times New Roman"/>
          <w:lang w:bidi="ar-AE"/>
        </w:rPr>
        <w:t xml:space="preserve"> (</w:t>
      </w:r>
      <w:r w:rsidR="00296288" w:rsidRPr="00B867DF">
        <w:rPr>
          <w:rFonts w:eastAsia="Times New Roman" w:hint="cs"/>
          <w:rtl/>
          <w:lang w:bidi="ar-KW"/>
        </w:rPr>
        <w:t>يقضوا</w:t>
      </w:r>
      <w:r w:rsidR="00296288" w:rsidRPr="00B867DF">
        <w:rPr>
          <w:rFonts w:eastAsia="Times New Roman"/>
          <w:lang w:bidi="ar-AE"/>
        </w:rPr>
        <w:t xml:space="preserve">) aurait dû être son homographe </w:t>
      </w:r>
      <w:r w:rsidR="00296288" w:rsidRPr="00B867DF">
        <w:rPr>
          <w:rFonts w:eastAsia="Times New Roman"/>
          <w:i/>
          <w:iCs/>
          <w:lang w:bidi="ar-AE"/>
        </w:rPr>
        <w:t>yaquṣṣū</w:t>
      </w:r>
      <w:r w:rsidR="00296288" w:rsidRPr="00B867DF">
        <w:rPr>
          <w:rFonts w:eastAsia="Times New Roman"/>
          <w:lang w:bidi="ar-AE"/>
        </w:rPr>
        <w:t xml:space="preserve"> </w:t>
      </w:r>
      <w:r w:rsidR="00296288" w:rsidRPr="00B867DF">
        <w:rPr>
          <w:rFonts w:eastAsia="Times New Roman"/>
          <w:noProof/>
        </w:rPr>
        <w:drawing>
          <wp:inline distT="0" distB="0" distL="0" distR="0" wp14:anchorId="781CA30E" wp14:editId="7DA84725">
            <wp:extent cx="517525" cy="20701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7525" cy="207010"/>
                    </a:xfrm>
                    <a:prstGeom prst="rect">
                      <a:avLst/>
                    </a:prstGeom>
                    <a:noFill/>
                    <a:ln w="9525">
                      <a:noFill/>
                      <a:miter lim="800000"/>
                      <a:headEnd/>
                      <a:tailEnd/>
                    </a:ln>
                  </pic:spPr>
                </pic:pic>
              </a:graphicData>
            </a:graphic>
          </wp:inline>
        </w:drawing>
      </w:r>
      <w:r w:rsidR="00296288" w:rsidRPr="00B867DF">
        <w:rPr>
          <w:rFonts w:eastAsia="Times New Roman"/>
          <w:lang w:bidi="ar-AE"/>
        </w:rPr>
        <w:t xml:space="preserve"> (</w:t>
      </w:r>
      <w:r w:rsidR="00296288" w:rsidRPr="00B867DF">
        <w:rPr>
          <w:rFonts w:eastAsia="Times New Roman" w:hint="cs"/>
          <w:rtl/>
          <w:lang w:bidi="ar-KW"/>
        </w:rPr>
        <w:t>يقصوا</w:t>
      </w:r>
      <w:r w:rsidR="00296288" w:rsidRPr="00B867DF">
        <w:rPr>
          <w:rFonts w:eastAsia="Times New Roman"/>
          <w:lang w:bidi="ar-AE"/>
        </w:rPr>
        <w:t xml:space="preserve">) [coupent], c’est-à-dire qu’ils coupent leurs cheveux et leurs ongles. En d’autres termes, si on interprète le terme </w:t>
      </w:r>
      <w:r w:rsidR="00296288" w:rsidRPr="00B867DF">
        <w:rPr>
          <w:rFonts w:eastAsia="Times New Roman"/>
          <w:i/>
          <w:iCs/>
          <w:lang w:bidi="ar-AE"/>
        </w:rPr>
        <w:t>tafath</w:t>
      </w:r>
      <w:r w:rsidR="00296288" w:rsidRPr="00B867DF">
        <w:rPr>
          <w:rFonts w:eastAsia="Times New Roman"/>
          <w:lang w:bidi="ar-AE"/>
        </w:rPr>
        <w:t xml:space="preserve"> par la négligence physique, le verbe</w:t>
      </w:r>
      <w:r w:rsidR="00296288" w:rsidRPr="00B867DF">
        <w:rPr>
          <w:rFonts w:eastAsia="Times New Roman"/>
          <w:i/>
          <w:iCs/>
          <w:lang w:bidi="ar-AE"/>
        </w:rPr>
        <w:t xml:space="preserve"> </w:t>
      </w:r>
      <w:r>
        <w:rPr>
          <w:rFonts w:eastAsia="Times New Roman"/>
          <w:lang w:bidi="ar-AE"/>
        </w:rPr>
        <w:t xml:space="preserve">doit être </w:t>
      </w:r>
      <w:r w:rsidR="00296288" w:rsidRPr="00B867DF">
        <w:rPr>
          <w:rFonts w:eastAsia="Times New Roman"/>
          <w:i/>
          <w:iCs/>
          <w:lang w:bidi="ar-AE"/>
        </w:rPr>
        <w:t>yaquṣṣū</w:t>
      </w:r>
      <w:r w:rsidR="00296288" w:rsidRPr="00B867DF">
        <w:rPr>
          <w:rFonts w:eastAsia="Times New Roman"/>
          <w:lang w:bidi="ar-AE"/>
        </w:rPr>
        <w:t xml:space="preserve"> et non pas </w:t>
      </w:r>
      <w:r w:rsidR="00296288" w:rsidRPr="00B867DF">
        <w:rPr>
          <w:rFonts w:eastAsia="Times New Roman"/>
          <w:i/>
          <w:iCs/>
          <w:lang w:bidi="ar-AE"/>
        </w:rPr>
        <w:t>yaqḍū</w:t>
      </w:r>
      <w:r w:rsidR="00296288" w:rsidRPr="00B867DF">
        <w:rPr>
          <w:rFonts w:eastAsia="Times New Roman"/>
          <w:lang w:bidi="ar-AE"/>
        </w:rPr>
        <w:t xml:space="preserve">, d’autant plus que </w:t>
      </w:r>
      <w:r w:rsidR="00296288" w:rsidRPr="00B867DF">
        <w:rPr>
          <w:rFonts w:eastAsia="Times New Roman"/>
          <w:i/>
          <w:iCs/>
          <w:lang w:bidi="ar-AE"/>
        </w:rPr>
        <w:t>tafath</w:t>
      </w:r>
      <w:r w:rsidR="00296288" w:rsidRPr="00B867DF">
        <w:rPr>
          <w:rFonts w:eastAsia="Times New Roman"/>
          <w:lang w:bidi="ar-AE"/>
        </w:rPr>
        <w:t xml:space="preserve"> peut être une déformation du syriaque </w:t>
      </w:r>
      <w:r w:rsidR="00296288" w:rsidRPr="00B867DF">
        <w:rPr>
          <w:rFonts w:eastAsia="Times New Roman"/>
          <w:i/>
          <w:iCs/>
          <w:lang w:bidi="ar-AE"/>
        </w:rPr>
        <w:t>zafath</w:t>
      </w:r>
      <w:r w:rsidR="00296288" w:rsidRPr="00B867DF">
        <w:rPr>
          <w:rFonts w:eastAsia="Times New Roman"/>
          <w:lang w:bidi="ar-AE"/>
        </w:rPr>
        <w:t xml:space="preserve"> </w:t>
      </w:r>
      <w:r w:rsidR="00296288" w:rsidRPr="00B867DF">
        <w:rPr>
          <w:rFonts w:eastAsia="Times New Roman"/>
          <w:noProof/>
        </w:rPr>
        <w:drawing>
          <wp:inline distT="0" distB="0" distL="0" distR="0" wp14:anchorId="3BBE4868" wp14:editId="0DECA243">
            <wp:extent cx="259080" cy="129540"/>
            <wp:effectExtent l="19050" t="0" r="762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59080" cy="129540"/>
                    </a:xfrm>
                    <a:prstGeom prst="rect">
                      <a:avLst/>
                    </a:prstGeom>
                    <a:noFill/>
                    <a:ln w="9525">
                      <a:noFill/>
                      <a:miter lim="800000"/>
                      <a:headEnd/>
                      <a:tailEnd/>
                    </a:ln>
                  </pic:spPr>
                </pic:pic>
              </a:graphicData>
            </a:graphic>
          </wp:inline>
        </w:drawing>
      </w:r>
      <w:r w:rsidR="00296288" w:rsidRPr="00B867DF">
        <w:rPr>
          <w:rFonts w:eastAsia="Times New Roman"/>
          <w:lang w:bidi="ar-AE"/>
        </w:rPr>
        <w:t xml:space="preserve"> (cheveux, moustaches)</w:t>
      </w:r>
      <w:r w:rsidR="00296288" w:rsidRPr="00B867DF">
        <w:rPr>
          <w:rFonts w:eastAsia="Times New Roman"/>
          <w:vertAlign w:val="superscript"/>
          <w:lang w:bidi="ar-AE"/>
        </w:rPr>
        <w:footnoteReference w:id="291"/>
      </w:r>
      <w:r w:rsidR="00296288" w:rsidRPr="00B867DF">
        <w:rPr>
          <w:rFonts w:eastAsia="Times New Roman"/>
          <w:lang w:bidi="ar-AE"/>
        </w:rPr>
        <w:t xml:space="preserve">. Si en revanche on interprète ce terme par « rites », alors le verbe doit être </w:t>
      </w:r>
      <w:r w:rsidR="00296288" w:rsidRPr="00B867DF">
        <w:rPr>
          <w:rFonts w:eastAsia="Times New Roman"/>
          <w:i/>
          <w:iCs/>
          <w:lang w:bidi="ar-AE"/>
        </w:rPr>
        <w:t>yaqḍū</w:t>
      </w:r>
      <w:r w:rsidR="00296288" w:rsidRPr="00B867DF">
        <w:rPr>
          <w:rFonts w:eastAsia="Times New Roman"/>
          <w:lang w:bidi="ar-AE"/>
        </w:rPr>
        <w:t xml:space="preserve"> et non pas </w:t>
      </w:r>
      <w:r w:rsidR="00296288" w:rsidRPr="00B867DF">
        <w:rPr>
          <w:rFonts w:eastAsia="Times New Roman"/>
          <w:i/>
          <w:iCs/>
          <w:lang w:bidi="ar-AE"/>
        </w:rPr>
        <w:t>yaquṣṣū</w:t>
      </w:r>
      <w:r w:rsidR="00296288" w:rsidRPr="00B867DF">
        <w:rPr>
          <w:rFonts w:eastAsia="Times New Roman"/>
          <w:lang w:bidi="ar-AE"/>
        </w:rPr>
        <w:t xml:space="preserve">. Selon le sens du mot </w:t>
      </w:r>
      <w:r w:rsidR="00296288" w:rsidRPr="00B867DF">
        <w:rPr>
          <w:rFonts w:eastAsia="Times New Roman"/>
          <w:i/>
          <w:iCs/>
          <w:lang w:bidi="ar-AE"/>
        </w:rPr>
        <w:t>tafath</w:t>
      </w:r>
      <w:r w:rsidR="00296288" w:rsidRPr="00B867DF">
        <w:rPr>
          <w:rFonts w:eastAsia="Times New Roman"/>
          <w:lang w:bidi="ar-AE"/>
        </w:rPr>
        <w:t xml:space="preserve"> évoqué dans le vers de poésie attribué au poète préislamique ʾUmayya ibn Abī ṣ-</w:t>
      </w:r>
      <w:r w:rsidR="00296288" w:rsidRPr="00B867DF">
        <w:rPr>
          <w:rFonts w:eastAsia="Times New Roman"/>
          <w:shd w:val="clear" w:color="auto" w:fill="FFFFFF"/>
        </w:rPr>
        <w:t>Ṣ</w:t>
      </w:r>
      <w:r w:rsidR="00296288" w:rsidRPr="00B867DF">
        <w:rPr>
          <w:rFonts w:eastAsia="Times New Roman"/>
          <w:lang w:bidi="ar-AE"/>
        </w:rPr>
        <w:t>alt (</w:t>
      </w:r>
      <w:r w:rsidR="00296288" w:rsidRPr="00B867DF">
        <w:rPr>
          <w:rFonts w:eastAsia="Times New Roman"/>
        </w:rPr>
        <w:t>« </w:t>
      </w:r>
      <w:r w:rsidR="00296288" w:rsidRPr="00B867DF">
        <w:rPr>
          <w:rFonts w:eastAsia="Times New Roman"/>
          <w:i/>
          <w:iCs/>
        </w:rPr>
        <w:t>Ḥalaqū ruʾūsa-humū. Lam yaḥliqū tafath</w:t>
      </w:r>
      <w:r w:rsidR="00296288" w:rsidRPr="00B867DF">
        <w:rPr>
          <w:rFonts w:eastAsia="Times New Roman"/>
          <w:i/>
          <w:iCs/>
          <w:vertAlign w:val="superscript"/>
        </w:rPr>
        <w:t>an</w:t>
      </w:r>
      <w:r w:rsidR="00296288" w:rsidRPr="00B867DF">
        <w:rPr>
          <w:rFonts w:eastAsia="Times New Roman"/>
          <w:i/>
          <w:iCs/>
        </w:rPr>
        <w:t>…</w:t>
      </w:r>
      <w:r w:rsidR="00296288" w:rsidRPr="00B867DF">
        <w:rPr>
          <w:rFonts w:eastAsia="Times New Roman"/>
        </w:rPr>
        <w:t> »</w:t>
      </w:r>
      <w:r w:rsidR="00296288" w:rsidRPr="00B867DF">
        <w:rPr>
          <w:rFonts w:eastAsia="Times New Roman"/>
          <w:lang w:bidi="ar-AE"/>
        </w:rPr>
        <w:t xml:space="preserve"> [Ils se sont fait couper les cheveux. Ils ne se sont pas coupé d’ongle (ou de moustache ?) …]), il est probable que le verbe est </w:t>
      </w:r>
      <w:r w:rsidR="00296288" w:rsidRPr="00B867DF">
        <w:rPr>
          <w:rFonts w:eastAsia="Times New Roman"/>
          <w:i/>
          <w:iCs/>
          <w:lang w:bidi="ar-AE"/>
        </w:rPr>
        <w:t>yaquṣṣū</w:t>
      </w:r>
      <w:r w:rsidR="00296288" w:rsidRPr="00B867DF">
        <w:rPr>
          <w:rFonts w:eastAsia="Times New Roman"/>
          <w:lang w:bidi="ar-AE"/>
        </w:rPr>
        <w:t xml:space="preserve"> [coupent]. Cependant, selon le sens du mot </w:t>
      </w:r>
      <w:r w:rsidR="00296288" w:rsidRPr="00B867DF">
        <w:rPr>
          <w:rFonts w:eastAsia="Times New Roman"/>
          <w:i/>
          <w:iCs/>
          <w:lang w:bidi="ar-AE"/>
        </w:rPr>
        <w:t>tafath</w:t>
      </w:r>
      <w:r w:rsidR="00296288" w:rsidRPr="00B867DF">
        <w:rPr>
          <w:rFonts w:eastAsia="Times New Roman"/>
          <w:lang w:bidi="ar-AE"/>
        </w:rPr>
        <w:t xml:space="preserve"> (i. e. la prière de l’aube à Muzdalifa) évoqué dans le hadith du Prophète (« </w:t>
      </w:r>
      <w:r w:rsidR="00296288" w:rsidRPr="00B867DF">
        <w:rPr>
          <w:rFonts w:eastAsia="Times New Roman"/>
          <w:i/>
          <w:iCs/>
          <w:lang w:bidi="ar-AE"/>
        </w:rPr>
        <w:t xml:space="preserve">fa-qad tamma ḥajju-hu wa-qaḍā </w:t>
      </w:r>
      <w:r w:rsidR="00296288" w:rsidRPr="00B867DF">
        <w:rPr>
          <w:rFonts w:eastAsia="Times New Roman"/>
          <w:b/>
          <w:i/>
          <w:lang w:bidi="ar-AE"/>
        </w:rPr>
        <w:t>tafatha-hu</w:t>
      </w:r>
      <w:r w:rsidR="00296288" w:rsidRPr="00B867DF">
        <w:rPr>
          <w:rFonts w:eastAsia="Times New Roman"/>
          <w:lang w:bidi="ar-AE"/>
        </w:rPr>
        <w:t xml:space="preserve"> » [son pèlerinage est complet et il a accompli </w:t>
      </w:r>
      <w:r w:rsidR="00296288" w:rsidRPr="00B867DF">
        <w:rPr>
          <w:rFonts w:eastAsia="Times New Roman"/>
          <w:i/>
          <w:iCs/>
          <w:lang w:bidi="ar-AE"/>
        </w:rPr>
        <w:t>sa prière de l’aube à Muzdalifa</w:t>
      </w:r>
      <w:r w:rsidR="00296288" w:rsidRPr="00B867DF">
        <w:rPr>
          <w:rFonts w:eastAsia="Times New Roman"/>
          <w:lang w:bidi="ar-AE"/>
        </w:rPr>
        <w:t xml:space="preserve"> (?)])</w:t>
      </w:r>
      <w:r w:rsidR="00296288" w:rsidRPr="00B867DF">
        <w:rPr>
          <w:rStyle w:val="Appelnotedebasdep"/>
          <w:lang w:bidi="ar-AE"/>
        </w:rPr>
        <w:footnoteReference w:id="292"/>
      </w:r>
      <w:r>
        <w:rPr>
          <w:rFonts w:eastAsia="Times New Roman"/>
          <w:lang w:bidi="ar-AE"/>
        </w:rPr>
        <w:t xml:space="preserve">, le verbe devient </w:t>
      </w:r>
      <w:r w:rsidR="00296288" w:rsidRPr="00B867DF">
        <w:rPr>
          <w:rFonts w:eastAsia="Times New Roman"/>
          <w:i/>
          <w:iCs/>
          <w:lang w:bidi="ar-AE"/>
        </w:rPr>
        <w:t>yaqḍū</w:t>
      </w:r>
      <w:r w:rsidR="00296288" w:rsidRPr="00B867DF">
        <w:rPr>
          <w:rFonts w:eastAsia="Times New Roman"/>
          <w:lang w:bidi="ar-AE"/>
        </w:rPr>
        <w:t xml:space="preserve">, comme il est écrit dans le Coran actuel. Ainsi, le Coran ressemble à la boîte de </w:t>
      </w:r>
      <w:r w:rsidR="00296288" w:rsidRPr="00A76C5D">
        <w:rPr>
          <w:rFonts w:eastAsia="Times New Roman"/>
          <w:lang w:bidi="ar-AE"/>
        </w:rPr>
        <w:t>l’expérience imaginée par le physicien Erwin Schrödinger.</w:t>
      </w:r>
      <w:r w:rsidR="00296288" w:rsidRPr="00A76C5D">
        <w:rPr>
          <w:rFonts w:eastAsia="Times New Roman"/>
          <w:vertAlign w:val="superscript"/>
          <w:lang w:bidi="ar-AE"/>
        </w:rPr>
        <w:footnoteReference w:id="293"/>
      </w:r>
      <w:r w:rsidR="00296288" w:rsidRPr="00A76C5D">
        <w:rPr>
          <w:rFonts w:eastAsia="Times New Roman"/>
          <w:lang w:bidi="ar-AE"/>
        </w:rPr>
        <w:t xml:space="preserve"> C’est l’exégète en tant que lecteur et autorité qui détermine un sens et exclut un autre.</w:t>
      </w:r>
    </w:p>
    <w:p w14:paraId="631EFE97" w14:textId="77777777" w:rsidR="00296288" w:rsidRPr="00B867DF" w:rsidRDefault="00296288" w:rsidP="00296288">
      <w:pPr>
        <w:spacing w:line="360" w:lineRule="auto"/>
        <w:contextualSpacing/>
        <w:jc w:val="both"/>
        <w:rPr>
          <w:rFonts w:eastAsia="Times New Roman"/>
          <w:lang w:bidi="ar-AE"/>
        </w:rPr>
      </w:pPr>
    </w:p>
    <w:p w14:paraId="3719E257" w14:textId="77777777" w:rsidR="00296288" w:rsidRPr="00B867DF" w:rsidRDefault="00296288" w:rsidP="007640DC">
      <w:pPr>
        <w:pStyle w:val="Paragraphedeliste"/>
        <w:numPr>
          <w:ilvl w:val="0"/>
          <w:numId w:val="26"/>
        </w:numPr>
        <w:bidi w:val="0"/>
        <w:spacing w:after="0" w:line="360" w:lineRule="auto"/>
        <w:contextualSpacing/>
        <w:jc w:val="both"/>
        <w:rPr>
          <w:rFonts w:ascii="Times New Roman" w:eastAsia="Calibri" w:hAnsi="Times New Roman" w:cs="Times New Roman"/>
          <w:sz w:val="24"/>
          <w:szCs w:val="24"/>
          <w:lang w:bidi="ar-AE"/>
        </w:rPr>
      </w:pPr>
      <w:r w:rsidRPr="00B867DF">
        <w:rPr>
          <w:rFonts w:ascii="Times New Roman" w:hAnsi="Times New Roman" w:cs="Times New Roman"/>
          <w:b/>
          <w:bCs/>
          <w:sz w:val="24"/>
          <w:szCs w:val="24"/>
          <w:lang w:eastAsia="fr-FR" w:bidi="ar-AE"/>
        </w:rPr>
        <w:t xml:space="preserve">Les sens de l’adjectif </w:t>
      </w:r>
      <w:r w:rsidRPr="00B867DF">
        <w:rPr>
          <w:rFonts w:ascii="Times New Roman" w:hAnsi="Times New Roman" w:cs="Times New Roman"/>
          <w:b/>
          <w:bCs/>
          <w:i/>
          <w:iCs/>
          <w:sz w:val="24"/>
          <w:szCs w:val="24"/>
          <w:lang w:eastAsia="fr-FR" w:bidi="ar-AE"/>
        </w:rPr>
        <w:t>ʿatīq</w:t>
      </w:r>
      <w:r w:rsidRPr="00B867DF">
        <w:rPr>
          <w:rFonts w:ascii="Times New Roman" w:hAnsi="Times New Roman" w:cs="Times New Roman"/>
          <w:sz w:val="24"/>
          <w:szCs w:val="24"/>
          <w:vertAlign w:val="superscript"/>
          <w:lang w:bidi="ar-AE"/>
        </w:rPr>
        <w:footnoteReference w:id="294"/>
      </w:r>
      <w:r w:rsidRPr="00B867DF">
        <w:rPr>
          <w:rFonts w:ascii="Times New Roman" w:eastAsia="Calibri" w:hAnsi="Times New Roman" w:cs="Times New Roman"/>
          <w:sz w:val="24"/>
          <w:szCs w:val="24"/>
          <w:lang w:bidi="ar-AE"/>
        </w:rPr>
        <w:t xml:space="preserve"> </w:t>
      </w:r>
      <w:r w:rsidRPr="00B867DF">
        <w:rPr>
          <w:rFonts w:ascii="Times New Roman" w:eastAsia="Calibri" w:hAnsi="Times New Roman" w:cs="Times New Roman"/>
          <w:b/>
          <w:bCs/>
          <w:sz w:val="24"/>
          <w:szCs w:val="24"/>
          <w:lang w:bidi="ar-AE"/>
        </w:rPr>
        <w:t>(v. 29) :</w:t>
      </w:r>
    </w:p>
    <w:p w14:paraId="770CE444" w14:textId="77777777" w:rsidR="00296288" w:rsidRPr="00B867DF" w:rsidRDefault="00296288" w:rsidP="00296288">
      <w:pPr>
        <w:spacing w:line="360" w:lineRule="auto"/>
        <w:ind w:firstLine="360"/>
        <w:contextualSpacing/>
        <w:jc w:val="both"/>
        <w:rPr>
          <w:rFonts w:eastAsia="Times New Roman"/>
          <w:lang w:bidi="ar-AE"/>
        </w:rPr>
      </w:pPr>
      <w:r w:rsidRPr="00B867DF">
        <w:rPr>
          <w:rFonts w:eastAsia="Times New Roman"/>
          <w:lang w:bidi="ar-AE"/>
        </w:rPr>
        <w:t xml:space="preserve">Le verset 29 utilise l’adjectif </w:t>
      </w:r>
      <w:r w:rsidRPr="00B867DF">
        <w:rPr>
          <w:rFonts w:eastAsia="Times New Roman"/>
          <w:i/>
          <w:iCs/>
          <w:lang w:bidi="ar-AE"/>
        </w:rPr>
        <w:t>ʿatīq</w:t>
      </w:r>
      <w:r w:rsidRPr="00B867DF">
        <w:rPr>
          <w:rFonts w:eastAsia="Times New Roman"/>
          <w:lang w:bidi="ar-AE"/>
        </w:rPr>
        <w:t xml:space="preserve"> pour qualifier la Maison sacrée autour de laquelle le pèlerin doit faire le tour rituel. Cet adjectif est polysémique. Il peut signifier :</w:t>
      </w:r>
    </w:p>
    <w:p w14:paraId="449DFB8A"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 xml:space="preserve">la Maison sacrée (la </w:t>
      </w:r>
      <w:r w:rsidRPr="00B867DF">
        <w:rPr>
          <w:rFonts w:ascii="Times New Roman" w:hAnsi="Times New Roman" w:cs="Times New Roman"/>
          <w:i/>
          <w:iCs/>
          <w:sz w:val="24"/>
          <w:szCs w:val="24"/>
          <w:lang w:eastAsia="fr-FR" w:bidi="ar-AE"/>
        </w:rPr>
        <w:t>Kaʿba</w:t>
      </w:r>
      <w:r w:rsidRPr="00B867DF">
        <w:rPr>
          <w:rFonts w:ascii="Times New Roman" w:hAnsi="Times New Roman" w:cs="Times New Roman"/>
          <w:sz w:val="24"/>
          <w:szCs w:val="24"/>
          <w:lang w:eastAsia="fr-FR" w:bidi="ar-AE"/>
        </w:rPr>
        <w:t>) ;</w:t>
      </w:r>
    </w:p>
    <w:p w14:paraId="7BC7BA44"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la Maison que Dieu a affranchie des tyrans ;</w:t>
      </w:r>
    </w:p>
    <w:p w14:paraId="3841BA70"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la Maison ancienne ;</w:t>
      </w:r>
    </w:p>
    <w:p w14:paraId="4C9A3EB7"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la première Maison ;</w:t>
      </w:r>
    </w:p>
    <w:p w14:paraId="5464DF20"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lastRenderedPageBreak/>
        <w:t>la Maison qui a été affranchie du Déluge de Noé ;</w:t>
      </w:r>
    </w:p>
    <w:p w14:paraId="3CD0B700"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la Maison dans laquelle les pécheurs sont pardonnés et exempts du châtiment ;</w:t>
      </w:r>
    </w:p>
    <w:p w14:paraId="2E0955D1"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 xml:space="preserve">la Maison qui a échappé à la destruction pendant la période préislamique de la </w:t>
      </w:r>
      <w:r w:rsidRPr="00B867DF">
        <w:rPr>
          <w:rFonts w:ascii="Times New Roman" w:hAnsi="Times New Roman" w:cs="Times New Roman"/>
          <w:i/>
          <w:iCs/>
          <w:sz w:val="24"/>
          <w:szCs w:val="24"/>
          <w:lang w:eastAsia="fr-FR" w:bidi="ar-AE"/>
        </w:rPr>
        <w:t>Jāhilīya</w:t>
      </w:r>
      <w:r w:rsidRPr="00B867DF">
        <w:rPr>
          <w:rFonts w:ascii="Times New Roman" w:hAnsi="Times New Roman" w:cs="Times New Roman"/>
          <w:sz w:val="24"/>
          <w:szCs w:val="24"/>
          <w:lang w:eastAsia="fr-FR" w:bidi="ar-AE"/>
        </w:rPr>
        <w:t xml:space="preserve"> [ignorance, paganisme] ;</w:t>
      </w:r>
    </w:p>
    <w:p w14:paraId="372DEC19" w14:textId="77777777" w:rsidR="00296288" w:rsidRPr="00B867DF" w:rsidRDefault="00296288" w:rsidP="007640DC">
      <w:pPr>
        <w:pStyle w:val="Paragraphedeliste"/>
        <w:numPr>
          <w:ilvl w:val="0"/>
          <w:numId w:val="44"/>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la Maison dans laquelle l’âme du pèlerin a été affranchie de l’Enfer et de Satan.</w:t>
      </w:r>
    </w:p>
    <w:p w14:paraId="77C74542" w14:textId="77777777" w:rsidR="00296288" w:rsidRPr="00B867DF" w:rsidRDefault="00296288" w:rsidP="00296288">
      <w:pPr>
        <w:spacing w:line="360" w:lineRule="auto"/>
        <w:ind w:firstLine="360"/>
        <w:jc w:val="both"/>
        <w:rPr>
          <w:rFonts w:eastAsia="Times New Roman"/>
          <w:lang w:bidi="ar-AE"/>
        </w:rPr>
      </w:pPr>
    </w:p>
    <w:p w14:paraId="32B8EE70" w14:textId="5E7BFFE2" w:rsidR="00296288" w:rsidRPr="00B867DF" w:rsidRDefault="00296288" w:rsidP="00296288">
      <w:pPr>
        <w:spacing w:line="360" w:lineRule="auto"/>
        <w:ind w:firstLine="360"/>
        <w:jc w:val="both"/>
        <w:rPr>
          <w:rFonts w:eastAsia="Times New Roman"/>
        </w:rPr>
      </w:pPr>
      <w:r w:rsidRPr="00B867DF">
        <w:rPr>
          <w:rFonts w:eastAsia="Times New Roman"/>
          <w:lang w:bidi="ar-AE"/>
        </w:rPr>
        <w:t>La plupart des exégèses parlent ici d’un affranchissement et d’une émancipation plutôt que d’une vétusté et d’une ancienneté. Il est probable que le c</w:t>
      </w:r>
      <w:r w:rsidR="0045422A">
        <w:rPr>
          <w:rFonts w:eastAsia="Times New Roman"/>
          <w:lang w:bidi="ar-AE"/>
        </w:rPr>
        <w:t xml:space="preserve">aractère polysémique du terme </w:t>
      </w:r>
      <w:r w:rsidRPr="00B867DF">
        <w:rPr>
          <w:rFonts w:eastAsia="Times New Roman"/>
          <w:i/>
          <w:iCs/>
          <w:lang w:bidi="ar-AE"/>
        </w:rPr>
        <w:t>ʿatīq</w:t>
      </w:r>
      <w:r w:rsidRPr="00B867DF">
        <w:rPr>
          <w:rFonts w:eastAsia="Times New Roman"/>
          <w:lang w:bidi="ar-AE"/>
        </w:rPr>
        <w:t xml:space="preserve"> (sacré, ancien, premier, affranchi, affranchissant, survécu, etc.) vient du fait que sa racine « </w:t>
      </w:r>
      <w:r w:rsidRPr="00B867DF">
        <w:rPr>
          <w:rFonts w:eastAsia="Times New Roman"/>
          <w:i/>
          <w:iCs/>
          <w:lang w:bidi="ar-AE"/>
        </w:rPr>
        <w:t>ʿ t q</w:t>
      </w:r>
      <w:r w:rsidRPr="00B867DF">
        <w:rPr>
          <w:rFonts w:eastAsia="Times New Roman"/>
          <w:lang w:bidi="ar-AE"/>
        </w:rPr>
        <w:t> » (</w:t>
      </w:r>
      <w:r w:rsidRPr="00B867DF">
        <w:rPr>
          <w:rFonts w:eastAsia="Times New Roman" w:hint="cs"/>
          <w:rtl/>
        </w:rPr>
        <w:t>ع ت ق</w:t>
      </w:r>
      <w:r w:rsidRPr="00B867DF">
        <w:rPr>
          <w:rFonts w:eastAsia="Times New Roman"/>
          <w:lang w:bidi="ar-AE"/>
        </w:rPr>
        <w:t xml:space="preserve">) est polysémique : libérer/se libérer, être ancien, être sacré, </w:t>
      </w:r>
      <w:r w:rsidRPr="00B867DF">
        <w:rPr>
          <w:rFonts w:eastAsia="Times New Roman"/>
        </w:rPr>
        <w:t>être bon, etc.</w:t>
      </w:r>
    </w:p>
    <w:p w14:paraId="7BA00318" w14:textId="77777777" w:rsidR="00296288" w:rsidRPr="00B867DF" w:rsidRDefault="00296288" w:rsidP="00296288">
      <w:pPr>
        <w:spacing w:line="360" w:lineRule="auto"/>
        <w:jc w:val="both"/>
        <w:rPr>
          <w:rFonts w:eastAsia="Calibri"/>
          <w:lang w:bidi="ar-AE"/>
        </w:rPr>
      </w:pPr>
    </w:p>
    <w:p w14:paraId="44A3A9B4" w14:textId="77777777" w:rsidR="00296288" w:rsidRPr="00B867DF" w:rsidRDefault="00296288" w:rsidP="007640DC">
      <w:pPr>
        <w:pStyle w:val="Paragraphedeliste"/>
        <w:numPr>
          <w:ilvl w:val="0"/>
          <w:numId w:val="26"/>
        </w:numPr>
        <w:bidi w:val="0"/>
        <w:spacing w:after="0" w:line="360" w:lineRule="auto"/>
        <w:contextualSpacing/>
        <w:jc w:val="both"/>
        <w:rPr>
          <w:rFonts w:ascii="Times New Roman" w:eastAsia="Calibri" w:hAnsi="Times New Roman" w:cs="Times New Roman"/>
          <w:b/>
          <w:bCs/>
          <w:sz w:val="24"/>
          <w:szCs w:val="24"/>
          <w:lang w:bidi="ar-AE"/>
        </w:rPr>
      </w:pPr>
      <w:r w:rsidRPr="00B867DF">
        <w:rPr>
          <w:rFonts w:ascii="Times New Roman" w:hAnsi="Times New Roman" w:cs="Times New Roman"/>
          <w:b/>
          <w:bCs/>
          <w:sz w:val="24"/>
          <w:szCs w:val="24"/>
          <w:lang w:eastAsia="fr-FR" w:bidi="ar-AE"/>
        </w:rPr>
        <w:t xml:space="preserve">Les significations du mot hapax </w:t>
      </w:r>
      <w:r w:rsidRPr="00B867DF">
        <w:rPr>
          <w:rFonts w:ascii="Times New Roman" w:hAnsi="Times New Roman" w:cs="Times New Roman"/>
          <w:b/>
          <w:bCs/>
          <w:i/>
          <w:iCs/>
          <w:sz w:val="24"/>
          <w:szCs w:val="24"/>
          <w:lang w:eastAsia="fr-FR" w:bidi="ar-AE"/>
        </w:rPr>
        <w:t>ṣawāff</w:t>
      </w:r>
      <w:r w:rsidRPr="00B867DF">
        <w:rPr>
          <w:rFonts w:ascii="Times New Roman" w:hAnsi="Times New Roman" w:cs="Times New Roman"/>
          <w:b/>
          <w:bCs/>
          <w:sz w:val="24"/>
          <w:szCs w:val="24"/>
          <w:lang w:eastAsia="fr-FR" w:bidi="ar-AE"/>
        </w:rPr>
        <w:t xml:space="preserve"> (v. 36) :</w:t>
      </w:r>
    </w:p>
    <w:p w14:paraId="55B22D24" w14:textId="77777777" w:rsidR="00296288" w:rsidRPr="00B867DF" w:rsidRDefault="00296288" w:rsidP="00296288">
      <w:pPr>
        <w:spacing w:line="360" w:lineRule="auto"/>
        <w:ind w:firstLine="708"/>
        <w:jc w:val="both"/>
        <w:rPr>
          <w:rFonts w:eastAsia="Times New Roman"/>
          <w:lang w:bidi="ar-AE"/>
        </w:rPr>
      </w:pPr>
      <w:r w:rsidRPr="00B867DF">
        <w:rPr>
          <w:rFonts w:eastAsia="Times New Roman"/>
          <w:lang w:bidi="ar-AE"/>
        </w:rPr>
        <w:t xml:space="preserve">Voyons maintenant le mot </w:t>
      </w:r>
      <w:r w:rsidRPr="00B867DF">
        <w:rPr>
          <w:rFonts w:eastAsia="Times New Roman"/>
          <w:i/>
          <w:iCs/>
          <w:lang w:bidi="ar-AE"/>
        </w:rPr>
        <w:t>ṣawāff</w:t>
      </w:r>
      <w:r w:rsidRPr="00B867DF">
        <w:rPr>
          <w:rFonts w:eastAsia="Times New Roman"/>
          <w:lang w:bidi="ar-AE"/>
        </w:rPr>
        <w:t xml:space="preserve"> (v. 36) (pluriel brisé signifiant peut-être : </w:t>
      </w:r>
      <w:r w:rsidRPr="00B867DF">
        <w:rPr>
          <w:rFonts w:eastAsia="Times New Roman"/>
          <w:i/>
          <w:iCs/>
          <w:lang w:bidi="ar-AE"/>
        </w:rPr>
        <w:t>rangés en ligne</w:t>
      </w:r>
      <w:r w:rsidRPr="00B867DF">
        <w:rPr>
          <w:rFonts w:eastAsia="Times New Roman"/>
          <w:lang w:bidi="ar-AE"/>
        </w:rPr>
        <w:t xml:space="preserve">, </w:t>
      </w:r>
      <w:r w:rsidRPr="00B867DF">
        <w:rPr>
          <w:rFonts w:eastAsia="Times New Roman"/>
          <w:i/>
          <w:iCs/>
          <w:lang w:bidi="ar-AE"/>
        </w:rPr>
        <w:t>alignés en rangs</w:t>
      </w:r>
      <w:r w:rsidRPr="00B867DF">
        <w:rPr>
          <w:rFonts w:eastAsia="Times New Roman"/>
          <w:lang w:bidi="ar-AE"/>
        </w:rPr>
        <w:t xml:space="preserve"> et probablement dérivé du verbe </w:t>
      </w:r>
      <w:r w:rsidRPr="00B867DF">
        <w:rPr>
          <w:rFonts w:eastAsia="Times New Roman"/>
          <w:i/>
          <w:iCs/>
          <w:lang w:bidi="ar-AE"/>
        </w:rPr>
        <w:t>ṣaffa</w:t>
      </w:r>
      <w:r w:rsidRPr="00B867DF">
        <w:rPr>
          <w:rFonts w:eastAsia="Times New Roman"/>
          <w:lang w:bidi="ar-AE"/>
        </w:rPr>
        <w:t>). Il peut signifier :</w:t>
      </w:r>
    </w:p>
    <w:p w14:paraId="2F7A943F" w14:textId="77777777" w:rsidR="00296288" w:rsidRPr="00B867DF" w:rsidRDefault="00296288" w:rsidP="007640DC">
      <w:pPr>
        <w:pStyle w:val="Paragraphedeliste"/>
        <w:numPr>
          <w:ilvl w:val="0"/>
          <w:numId w:val="45"/>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être en rangs ;</w:t>
      </w:r>
    </w:p>
    <w:p w14:paraId="0C960A62" w14:textId="77777777" w:rsidR="00296288" w:rsidRPr="00B867DF" w:rsidRDefault="00296288" w:rsidP="007640DC">
      <w:pPr>
        <w:pStyle w:val="Paragraphedeliste"/>
        <w:numPr>
          <w:ilvl w:val="0"/>
          <w:numId w:val="45"/>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 xml:space="preserve">consacrées pour l’amour de Dieu (selon la lecture </w:t>
      </w:r>
      <w:r w:rsidRPr="00B867DF">
        <w:rPr>
          <w:rFonts w:ascii="Times New Roman" w:hAnsi="Times New Roman" w:cs="Times New Roman"/>
          <w:i/>
          <w:iCs/>
          <w:sz w:val="24"/>
          <w:szCs w:val="24"/>
          <w:lang w:eastAsia="fr-FR" w:bidi="ar-AE"/>
        </w:rPr>
        <w:t>ṣawāfī</w:t>
      </w:r>
      <w:r w:rsidRPr="00B867DF">
        <w:rPr>
          <w:rFonts w:ascii="Times New Roman" w:hAnsi="Times New Roman" w:cs="Times New Roman"/>
          <w:sz w:val="24"/>
          <w:szCs w:val="24"/>
          <w:lang w:eastAsia="fr-FR" w:bidi="ar-AE"/>
        </w:rPr>
        <w:t xml:space="preserve">, de la racine </w:t>
      </w:r>
      <w:r w:rsidRPr="00B867DF">
        <w:rPr>
          <w:rFonts w:ascii="Times New Roman" w:hAnsi="Times New Roman" w:cs="Times New Roman"/>
          <w:i/>
          <w:iCs/>
          <w:sz w:val="24"/>
          <w:szCs w:val="24"/>
          <w:lang w:eastAsia="fr-FR" w:bidi="ar-AE"/>
        </w:rPr>
        <w:t>ṣafā</w:t>
      </w:r>
      <w:r w:rsidRPr="00B867DF">
        <w:rPr>
          <w:rFonts w:ascii="Times New Roman" w:hAnsi="Times New Roman" w:cs="Times New Roman"/>
          <w:sz w:val="24"/>
          <w:szCs w:val="24"/>
          <w:lang w:eastAsia="fr-FR" w:bidi="ar-AE"/>
        </w:rPr>
        <w:t>, être pur) ;</w:t>
      </w:r>
    </w:p>
    <w:p w14:paraId="73190EBE" w14:textId="77777777" w:rsidR="00296288" w:rsidRPr="00B867DF" w:rsidRDefault="00296288" w:rsidP="007640DC">
      <w:pPr>
        <w:pStyle w:val="Paragraphedeliste"/>
        <w:numPr>
          <w:ilvl w:val="0"/>
          <w:numId w:val="45"/>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debout sur trois pattes ;</w:t>
      </w:r>
    </w:p>
    <w:p w14:paraId="23577142" w14:textId="77777777" w:rsidR="00296288" w:rsidRPr="00B867DF" w:rsidRDefault="00296288" w:rsidP="007640DC">
      <w:pPr>
        <w:pStyle w:val="Paragraphedeliste"/>
        <w:numPr>
          <w:ilvl w:val="0"/>
          <w:numId w:val="45"/>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debout, une jambe repliée et entravée ;</w:t>
      </w:r>
    </w:p>
    <w:p w14:paraId="6CA0A98C" w14:textId="77777777" w:rsidR="00296288" w:rsidRPr="00B867DF" w:rsidRDefault="00296288" w:rsidP="007640DC">
      <w:pPr>
        <w:pStyle w:val="Paragraphedeliste"/>
        <w:numPr>
          <w:ilvl w:val="0"/>
          <w:numId w:val="45"/>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qui peuvent se mettre debout sans être ni faibles ni maigres (</w:t>
      </w:r>
      <w:r w:rsidRPr="00B867DF">
        <w:rPr>
          <w:rFonts w:ascii="Times New Roman" w:eastAsia="Calibri" w:hAnsi="Times New Roman" w:cs="Times New Roman"/>
          <w:sz w:val="24"/>
          <w:szCs w:val="24"/>
        </w:rPr>
        <w:t>Ash-Shaʿrāwī) </w:t>
      </w:r>
      <w:r w:rsidRPr="00B867DF">
        <w:rPr>
          <w:rFonts w:ascii="Times New Roman" w:hAnsi="Times New Roman" w:cs="Times New Roman"/>
          <w:sz w:val="24"/>
          <w:szCs w:val="24"/>
          <w:lang w:eastAsia="fr-FR" w:bidi="ar-AE"/>
        </w:rPr>
        <w:t>;</w:t>
      </w:r>
    </w:p>
    <w:p w14:paraId="6A953F04" w14:textId="77777777" w:rsidR="00296288" w:rsidRPr="00B867DF" w:rsidRDefault="00296288" w:rsidP="007640DC">
      <w:pPr>
        <w:pStyle w:val="Paragraphedeliste"/>
        <w:numPr>
          <w:ilvl w:val="0"/>
          <w:numId w:val="45"/>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assises, les pattes attachées, puis égorgées au rappel de Dieu afin que le sang coule et purifie le sacrifice de tout microbe pour que l’âme du croyant et l’âme de l’animal se mettent en rang et se dirige vers Dieu (Shaykhū) ;</w:t>
      </w:r>
    </w:p>
    <w:p w14:paraId="7A9F70AA" w14:textId="77777777" w:rsidR="00296288" w:rsidRPr="00B867DF" w:rsidRDefault="00296288" w:rsidP="007640DC">
      <w:pPr>
        <w:pStyle w:val="Paragraphedeliste"/>
        <w:numPr>
          <w:ilvl w:val="0"/>
          <w:numId w:val="45"/>
        </w:numPr>
        <w:bidi w:val="0"/>
        <w:spacing w:after="0" w:line="360" w:lineRule="auto"/>
        <w:contextualSpacing/>
        <w:jc w:val="both"/>
        <w:rPr>
          <w:rFonts w:ascii="Times New Roman" w:hAnsi="Times New Roman" w:cs="Times New Roman"/>
          <w:sz w:val="24"/>
          <w:szCs w:val="24"/>
          <w:lang w:eastAsia="fr-FR" w:bidi="ar-AE"/>
        </w:rPr>
      </w:pPr>
      <w:r w:rsidRPr="00B867DF">
        <w:rPr>
          <w:rFonts w:ascii="Times New Roman" w:hAnsi="Times New Roman" w:cs="Times New Roman"/>
          <w:sz w:val="24"/>
          <w:szCs w:val="24"/>
          <w:lang w:eastAsia="fr-FR" w:bidi="ar-AE"/>
        </w:rPr>
        <w:t xml:space="preserve">le fait que les âmes sont redressées par les obligations de Dieu et enchaînées par la charia </w:t>
      </w:r>
      <w:r w:rsidRPr="00B867DF">
        <w:rPr>
          <w:rFonts w:ascii="Times New Roman" w:hAnsi="Times New Roman" w:cs="Times New Roman"/>
          <w:sz w:val="24"/>
          <w:szCs w:val="24"/>
          <w:lang w:eastAsia="fr-FR"/>
        </w:rPr>
        <w:t>(Ibn ʿArabī).</w:t>
      </w:r>
    </w:p>
    <w:p w14:paraId="51B21F65" w14:textId="77777777" w:rsidR="00296288" w:rsidRPr="00B867DF" w:rsidRDefault="00296288" w:rsidP="00296288">
      <w:pPr>
        <w:spacing w:line="360" w:lineRule="auto"/>
        <w:ind w:firstLine="708"/>
        <w:jc w:val="both"/>
        <w:rPr>
          <w:rFonts w:eastAsia="Times New Roman"/>
          <w:lang w:bidi="ar-AE"/>
        </w:rPr>
      </w:pPr>
    </w:p>
    <w:p w14:paraId="396B466D" w14:textId="7DABC130" w:rsidR="00296288" w:rsidRPr="00B867DF" w:rsidRDefault="00296288" w:rsidP="00296288">
      <w:pPr>
        <w:spacing w:line="360" w:lineRule="auto"/>
        <w:ind w:firstLine="708"/>
        <w:jc w:val="both"/>
        <w:rPr>
          <w:rFonts w:eastAsia="Times New Roman"/>
          <w:rtl/>
        </w:rPr>
      </w:pPr>
      <w:r w:rsidRPr="00B867DF">
        <w:rPr>
          <w:rFonts w:eastAsia="Times New Roman"/>
          <w:lang w:bidi="ar-AE"/>
        </w:rPr>
        <w:t xml:space="preserve">Il est à noter qu’aṭ-Ṭabarī souligne la divergence des </w:t>
      </w:r>
      <w:r w:rsidRPr="00B867DF">
        <w:rPr>
          <w:rFonts w:eastAsia="Times New Roman"/>
          <w:i/>
          <w:iCs/>
          <w:lang w:bidi="ar-AE"/>
        </w:rPr>
        <w:t>qurrāʾ</w:t>
      </w:r>
      <w:r w:rsidR="0045422A">
        <w:rPr>
          <w:rFonts w:eastAsia="Times New Roman"/>
          <w:lang w:bidi="ar-AE"/>
        </w:rPr>
        <w:t xml:space="preserve"> [pl. de </w:t>
      </w:r>
      <w:r w:rsidRPr="00B867DF">
        <w:rPr>
          <w:rFonts w:eastAsia="Times New Roman"/>
          <w:i/>
          <w:iCs/>
          <w:lang w:bidi="ar-AE"/>
        </w:rPr>
        <w:t>qāriʾ</w:t>
      </w:r>
      <w:r w:rsidRPr="00B867DF">
        <w:rPr>
          <w:rFonts w:eastAsia="Times New Roman"/>
          <w:lang w:bidi="ar-AE"/>
        </w:rPr>
        <w:t xml:space="preserve">] (les lecteurs-récitateurs) à propos de la lecture de l’hapax </w:t>
      </w:r>
      <w:r w:rsidRPr="00B867DF">
        <w:rPr>
          <w:rFonts w:eastAsia="Times New Roman"/>
          <w:noProof/>
        </w:rPr>
        <w:drawing>
          <wp:inline distT="0" distB="0" distL="0" distR="0" wp14:anchorId="4A19AE12" wp14:editId="5637B830">
            <wp:extent cx="457200" cy="18986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57200" cy="189865"/>
                    </a:xfrm>
                    <a:prstGeom prst="rect">
                      <a:avLst/>
                    </a:prstGeom>
                    <a:noFill/>
                    <a:ln w="9525">
                      <a:noFill/>
                      <a:miter lim="800000"/>
                      <a:headEnd/>
                      <a:tailEnd/>
                    </a:ln>
                  </pic:spPr>
                </pic:pic>
              </a:graphicData>
            </a:graphic>
          </wp:inline>
        </w:drawing>
      </w:r>
      <w:r w:rsidRPr="00B867DF">
        <w:rPr>
          <w:rFonts w:eastAsia="Times New Roman"/>
          <w:lang w:bidi="ar-AE"/>
        </w:rPr>
        <w:t xml:space="preserve"> (</w:t>
      </w:r>
      <w:r w:rsidRPr="00B867DF">
        <w:rPr>
          <w:rFonts w:eastAsia="Times New Roman" w:hint="cs"/>
          <w:rtl/>
          <w:lang w:bidi="ar-KW"/>
        </w:rPr>
        <w:t>صواف</w:t>
      </w:r>
      <w:r w:rsidRPr="00B867DF">
        <w:rPr>
          <w:rFonts w:eastAsia="Times New Roman"/>
          <w:lang w:bidi="ar-AE"/>
        </w:rPr>
        <w:t>) [</w:t>
      </w:r>
      <w:r w:rsidRPr="00B867DF">
        <w:rPr>
          <w:rFonts w:eastAsia="Times New Roman"/>
          <w:i/>
          <w:iCs/>
          <w:lang w:bidi="ar-AE"/>
        </w:rPr>
        <w:t>ṣawāff</w:t>
      </w:r>
      <w:r w:rsidRPr="00B867DF">
        <w:rPr>
          <w:rFonts w:eastAsia="Times New Roman"/>
          <w:lang w:bidi="ar-AE"/>
        </w:rPr>
        <w:t xml:space="preserve">]. Il existe plusieurs variantes de lecture : </w:t>
      </w:r>
      <w:r w:rsidRPr="00B867DF">
        <w:rPr>
          <w:rFonts w:eastAsia="Times New Roman"/>
          <w:i/>
          <w:iCs/>
          <w:lang w:bidi="ar-AE"/>
        </w:rPr>
        <w:t>ṣawāffa</w:t>
      </w:r>
      <w:r w:rsidRPr="00B867DF">
        <w:rPr>
          <w:rFonts w:eastAsia="Times New Roman"/>
          <w:lang w:bidi="ar-AE"/>
        </w:rPr>
        <w:t xml:space="preserve"> [alignées], </w:t>
      </w:r>
      <w:r w:rsidRPr="00B867DF">
        <w:rPr>
          <w:rFonts w:eastAsia="Times New Roman"/>
          <w:i/>
          <w:iCs/>
          <w:lang w:bidi="ar-AE"/>
        </w:rPr>
        <w:t>ṣawāfya</w:t>
      </w:r>
      <w:r w:rsidRPr="00B867DF">
        <w:rPr>
          <w:rFonts w:eastAsia="Times New Roman"/>
          <w:lang w:bidi="ar-AE"/>
        </w:rPr>
        <w:t xml:space="preserve"> [pures],</w:t>
      </w:r>
      <w:r w:rsidRPr="00B867DF">
        <w:rPr>
          <w:rFonts w:eastAsia="Times New Roman"/>
          <w:i/>
          <w:iCs/>
          <w:lang w:bidi="ar-AE"/>
        </w:rPr>
        <w:t xml:space="preserve"> ṣawāfi</w:t>
      </w:r>
      <w:r w:rsidRPr="00B867DF">
        <w:rPr>
          <w:rFonts w:eastAsia="Times New Roman"/>
          <w:lang w:bidi="ar-AE"/>
        </w:rPr>
        <w:t xml:space="preserve"> [pures ?], </w:t>
      </w:r>
      <w:r w:rsidRPr="00B867DF">
        <w:rPr>
          <w:rFonts w:eastAsia="Times New Roman"/>
          <w:i/>
          <w:iCs/>
          <w:lang w:bidi="ar-AE"/>
        </w:rPr>
        <w:t>ṣawāfin</w:t>
      </w:r>
      <w:r w:rsidRPr="00B867DF">
        <w:rPr>
          <w:rFonts w:eastAsia="Times New Roman"/>
          <w:lang w:bidi="ar-AE"/>
        </w:rPr>
        <w:t xml:space="preserve"> [pures ?], et </w:t>
      </w:r>
      <w:r w:rsidRPr="00B867DF">
        <w:rPr>
          <w:rFonts w:eastAsia="Times New Roman"/>
          <w:i/>
          <w:iCs/>
          <w:lang w:bidi="ar-AE"/>
        </w:rPr>
        <w:t>ṣawāfina</w:t>
      </w:r>
      <w:r w:rsidRPr="00B867DF">
        <w:rPr>
          <w:rFonts w:eastAsia="Times New Roman"/>
          <w:lang w:bidi="ar-AE"/>
        </w:rPr>
        <w:t xml:space="preserve"> [suspendues].</w:t>
      </w:r>
    </w:p>
    <w:p w14:paraId="63798A2E" w14:textId="77777777" w:rsidR="00296288" w:rsidRPr="00B867DF" w:rsidRDefault="00296288" w:rsidP="00296288">
      <w:pPr>
        <w:spacing w:line="360" w:lineRule="auto"/>
        <w:jc w:val="both"/>
        <w:rPr>
          <w:rFonts w:eastAsia="Calibri"/>
          <w:color w:val="FF0000"/>
          <w:lang w:bidi="ar-AE"/>
        </w:rPr>
      </w:pPr>
    </w:p>
    <w:p w14:paraId="48B6E499" w14:textId="77777777" w:rsidR="00296288" w:rsidRPr="00B867DF" w:rsidRDefault="00296288" w:rsidP="007640DC">
      <w:pPr>
        <w:pStyle w:val="Paragraphedeliste"/>
        <w:numPr>
          <w:ilvl w:val="0"/>
          <w:numId w:val="26"/>
        </w:numPr>
        <w:bidi w:val="0"/>
        <w:spacing w:after="0" w:line="360" w:lineRule="auto"/>
        <w:contextualSpacing/>
        <w:jc w:val="both"/>
        <w:rPr>
          <w:rFonts w:ascii="Times New Roman" w:hAnsi="Times New Roman" w:cs="Times New Roman"/>
          <w:sz w:val="24"/>
          <w:szCs w:val="24"/>
          <w:lang w:eastAsia="fr-FR"/>
        </w:rPr>
      </w:pPr>
      <w:r w:rsidRPr="00B867DF">
        <w:rPr>
          <w:rFonts w:ascii="Times New Roman" w:hAnsi="Times New Roman" w:cs="Times New Roman"/>
          <w:b/>
          <w:bCs/>
          <w:sz w:val="24"/>
          <w:szCs w:val="24"/>
          <w:lang w:eastAsia="fr-FR" w:bidi="ar-AE"/>
        </w:rPr>
        <w:t>Polysémie du mot hapax</w:t>
      </w:r>
      <w:r>
        <w:rPr>
          <w:rFonts w:ascii="Times New Roman" w:hAnsi="Times New Roman" w:cs="Times New Roman"/>
          <w:b/>
          <w:bCs/>
          <w:sz w:val="24"/>
          <w:szCs w:val="24"/>
          <w:lang w:eastAsia="fr-FR" w:bidi="ar-AE"/>
        </w:rPr>
        <w:t xml:space="preserve"> </w:t>
      </w:r>
      <w:r w:rsidRPr="00B867DF">
        <w:rPr>
          <w:rFonts w:ascii="Times New Roman" w:eastAsia="Calibri" w:hAnsi="Times New Roman" w:cs="Times New Roman"/>
          <w:b/>
          <w:bCs/>
          <w:i/>
          <w:iCs/>
          <w:sz w:val="24"/>
          <w:szCs w:val="24"/>
          <w:lang w:bidi="ar-AE"/>
        </w:rPr>
        <w:t>yas</w:t>
      </w:r>
      <w:r w:rsidRPr="00B867DF">
        <w:rPr>
          <w:rFonts w:ascii="Times New Roman" w:hAnsi="Times New Roman" w:cs="Times New Roman"/>
          <w:b/>
          <w:bCs/>
          <w:i/>
          <w:iCs/>
          <w:sz w:val="24"/>
          <w:szCs w:val="24"/>
        </w:rPr>
        <w:t>ṭ</w:t>
      </w:r>
      <w:r w:rsidRPr="00B867DF">
        <w:rPr>
          <w:rFonts w:ascii="Times New Roman" w:eastAsia="Calibri" w:hAnsi="Times New Roman" w:cs="Times New Roman"/>
          <w:b/>
          <w:bCs/>
          <w:i/>
          <w:iCs/>
          <w:sz w:val="24"/>
          <w:szCs w:val="24"/>
          <w:lang w:bidi="ar-AE"/>
        </w:rPr>
        <w:t>una</w:t>
      </w:r>
      <w:r w:rsidRPr="00B867DF">
        <w:rPr>
          <w:rFonts w:ascii="Times New Roman" w:hAnsi="Times New Roman" w:cs="Times New Roman"/>
          <w:b/>
          <w:bCs/>
          <w:sz w:val="24"/>
          <w:szCs w:val="24"/>
          <w:lang w:eastAsia="fr-FR" w:bidi="ar-AE"/>
        </w:rPr>
        <w:t xml:space="preserve"> </w:t>
      </w:r>
      <w:r w:rsidRPr="00B867DF">
        <w:rPr>
          <w:rFonts w:ascii="Times New Roman" w:hAnsi="Times New Roman" w:cs="Times New Roman"/>
          <w:b/>
          <w:bCs/>
          <w:sz w:val="24"/>
          <w:szCs w:val="24"/>
          <w:lang w:eastAsia="fr-FR"/>
        </w:rPr>
        <w:t>(v. 72) :</w:t>
      </w:r>
    </w:p>
    <w:p w14:paraId="2B6C8BEA" w14:textId="77777777" w:rsidR="00296288" w:rsidRPr="00B867DF" w:rsidRDefault="00296288" w:rsidP="00296288">
      <w:pPr>
        <w:spacing w:line="360" w:lineRule="auto"/>
        <w:ind w:firstLine="360"/>
        <w:jc w:val="both"/>
        <w:rPr>
          <w:rFonts w:asciiTheme="majorBidi" w:eastAsia="Times New Roman" w:hAnsiTheme="majorBidi" w:cstheme="majorBidi"/>
        </w:rPr>
      </w:pPr>
      <w:r w:rsidRPr="00B867DF">
        <w:rPr>
          <w:rFonts w:asciiTheme="majorBidi" w:eastAsia="Times New Roman" w:hAnsiTheme="majorBidi" w:cstheme="majorBidi"/>
        </w:rPr>
        <w:lastRenderedPageBreak/>
        <w:t>Aṭ-Ṭabarī souligne que le verbe « </w:t>
      </w:r>
      <w:r w:rsidRPr="00B867DF">
        <w:rPr>
          <w:rFonts w:asciiTheme="majorBidi" w:eastAsia="Calibri" w:hAnsiTheme="majorBidi" w:cstheme="majorBidi"/>
          <w:i/>
          <w:iCs/>
          <w:lang w:bidi="ar-AE"/>
        </w:rPr>
        <w:t>yas</w:t>
      </w:r>
      <w:r w:rsidRPr="00B867DF">
        <w:rPr>
          <w:rFonts w:asciiTheme="majorBidi" w:eastAsia="Times New Roman" w:hAnsiTheme="majorBidi" w:cstheme="majorBidi"/>
          <w:i/>
          <w:iCs/>
        </w:rPr>
        <w:t>ṭ</w:t>
      </w:r>
      <w:r w:rsidRPr="00B867DF">
        <w:rPr>
          <w:rFonts w:asciiTheme="majorBidi" w:eastAsia="Calibri" w:hAnsiTheme="majorBidi" w:cstheme="majorBidi"/>
          <w:i/>
          <w:iCs/>
          <w:lang w:bidi="ar-AE"/>
        </w:rPr>
        <w:t>una</w:t>
      </w:r>
      <w:r w:rsidRPr="00B867DF">
        <w:rPr>
          <w:rFonts w:asciiTheme="majorBidi" w:eastAsia="Calibri" w:hAnsiTheme="majorBidi" w:cstheme="majorBidi"/>
          <w:lang w:bidi="ar-AE"/>
        </w:rPr>
        <w:t> »</w:t>
      </w:r>
      <w:r w:rsidRPr="00B867DF">
        <w:rPr>
          <w:rFonts w:asciiTheme="majorBidi" w:eastAsia="Times New Roman" w:hAnsiTheme="majorBidi" w:cstheme="majorBidi"/>
        </w:rPr>
        <w:t xml:space="preserve"> veut dire « </w:t>
      </w:r>
      <w:r w:rsidRPr="00B867DF">
        <w:rPr>
          <w:rFonts w:asciiTheme="majorBidi" w:eastAsia="Times New Roman" w:hAnsiTheme="majorBidi" w:cstheme="majorBidi"/>
          <w:i/>
          <w:iCs/>
        </w:rPr>
        <w:t>yabṭishūna</w:t>
      </w:r>
      <w:r w:rsidRPr="00B867DF">
        <w:rPr>
          <w:rFonts w:asciiTheme="majorBidi" w:eastAsia="Times New Roman" w:hAnsiTheme="majorBidi" w:cstheme="majorBidi"/>
        </w:rPr>
        <w:t> » [ils assomment, attaquent, se saisissent de qqn par force]. Ibn Kathīr explique ainsi : « </w:t>
      </w:r>
      <w:r w:rsidRPr="00B867DF">
        <w:rPr>
          <w:rFonts w:asciiTheme="majorBidi" w:eastAsia="Times New Roman" w:hAnsiTheme="majorBidi" w:cstheme="majorBidi"/>
          <w:i/>
          <w:iCs/>
        </w:rPr>
        <w:t>yabsiṭūna aydīhim wa-alsinatahum bi-s-sūʾ</w:t>
      </w:r>
      <w:r w:rsidRPr="00B867DF">
        <w:rPr>
          <w:rFonts w:asciiTheme="majorBidi" w:eastAsia="Times New Roman" w:hAnsiTheme="majorBidi" w:cstheme="majorBidi"/>
        </w:rPr>
        <w:t> » [ils maltraitent en actions et en paroles, ils molestent]. Amīn Shaykhū va plus loin en disant : « </w:t>
      </w:r>
      <w:r w:rsidRPr="00B867DF">
        <w:rPr>
          <w:rFonts w:asciiTheme="majorBidi" w:eastAsia="Times New Roman" w:hAnsiTheme="majorBidi" w:cstheme="majorBidi"/>
          <w:i/>
          <w:iCs/>
        </w:rPr>
        <w:t>yahummūna bi-l-qatl</w:t>
      </w:r>
      <w:r w:rsidRPr="00B867DF">
        <w:rPr>
          <w:rFonts w:asciiTheme="majorBidi" w:eastAsia="Times New Roman" w:hAnsiTheme="majorBidi" w:cstheme="majorBidi"/>
        </w:rPr>
        <w:t xml:space="preserve"> » [ils entreprennent de tuer]. Mais </w:t>
      </w:r>
      <w:r w:rsidRPr="00B867DF">
        <w:rPr>
          <w:rFonts w:asciiTheme="majorBidi" w:eastAsia="Times New Roman" w:hAnsiTheme="majorBidi" w:cstheme="majorBidi"/>
          <w:lang w:bidi="ar-EG"/>
        </w:rPr>
        <w:t xml:space="preserve">Aṭ-Ṭabāṭabāʾī </w:t>
      </w:r>
      <w:r w:rsidRPr="00B867DF">
        <w:rPr>
          <w:rFonts w:asciiTheme="majorBidi" w:eastAsia="Times New Roman" w:hAnsiTheme="majorBidi" w:cstheme="majorBidi"/>
        </w:rPr>
        <w:t xml:space="preserve">souligne qu’il s’agit de montrer l’extrême état d’intimidation </w:t>
      </w:r>
      <w:r w:rsidRPr="00B867DF">
        <w:rPr>
          <w:rFonts w:asciiTheme="majorBidi" w:hAnsiTheme="majorBidi" w:cstheme="majorBidi"/>
        </w:rPr>
        <w:t>[« </w:t>
      </w:r>
      <w:r w:rsidRPr="00B867DF">
        <w:rPr>
          <w:rFonts w:asciiTheme="majorBidi" w:eastAsia="Times New Roman" w:hAnsiTheme="majorBidi" w:cstheme="majorBidi"/>
          <w:i/>
          <w:iCs/>
        </w:rPr>
        <w:t>ʾiẓhār al-ḥāla al-haʾila li-l-ʾikhāfa</w:t>
      </w:r>
      <w:r w:rsidRPr="00B867DF">
        <w:rPr>
          <w:rFonts w:asciiTheme="majorBidi" w:eastAsia="Times New Roman" w:hAnsiTheme="majorBidi" w:cstheme="majorBidi"/>
        </w:rPr>
        <w:t> »</w:t>
      </w:r>
      <w:r w:rsidRPr="00B867DF">
        <w:rPr>
          <w:rFonts w:asciiTheme="majorBidi" w:hAnsiTheme="majorBidi" w:cstheme="majorBidi"/>
        </w:rPr>
        <w:t>].</w:t>
      </w:r>
    </w:p>
    <w:p w14:paraId="7E404AAC" w14:textId="77777777" w:rsidR="00296288" w:rsidRPr="00B867DF" w:rsidRDefault="00296288" w:rsidP="00296288">
      <w:pPr>
        <w:spacing w:line="360" w:lineRule="auto"/>
        <w:jc w:val="both"/>
        <w:rPr>
          <w:rFonts w:asciiTheme="majorBidi" w:eastAsia="Times New Roman" w:hAnsiTheme="majorBidi" w:cstheme="majorBidi"/>
        </w:rPr>
      </w:pPr>
    </w:p>
    <w:p w14:paraId="037DB14F"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AE"/>
        </w:rPr>
      </w:pPr>
      <w:r w:rsidRPr="00B867DF">
        <w:rPr>
          <w:rFonts w:asciiTheme="majorBidi" w:eastAsia="Calibri" w:hAnsiTheme="majorBidi" w:cstheme="majorBidi"/>
          <w:b/>
          <w:bCs/>
          <w:i/>
          <w:iCs/>
          <w:sz w:val="24"/>
          <w:szCs w:val="24"/>
          <w:lang w:bidi="ar-AE"/>
        </w:rPr>
        <w:t>al-ʿashīr</w:t>
      </w:r>
      <w:r w:rsidRPr="00B867DF">
        <w:rPr>
          <w:rFonts w:asciiTheme="majorBidi" w:eastAsia="Calibri" w:hAnsiTheme="majorBidi" w:cstheme="majorBidi"/>
          <w:b/>
          <w:bCs/>
          <w:sz w:val="24"/>
          <w:szCs w:val="24"/>
          <w:lang w:bidi="ar-AE"/>
        </w:rPr>
        <w:t xml:space="preserve"> (v. 13) :</w:t>
      </w:r>
    </w:p>
    <w:p w14:paraId="0807CAE4" w14:textId="407DD2C6" w:rsidR="00296288" w:rsidRPr="00B867DF" w:rsidRDefault="00296288" w:rsidP="00296288">
      <w:pPr>
        <w:spacing w:line="360" w:lineRule="auto"/>
        <w:ind w:firstLine="360"/>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Lexicalement parlant, le mot </w:t>
      </w:r>
      <w:r w:rsidRPr="00B867DF">
        <w:rPr>
          <w:rFonts w:asciiTheme="majorBidi" w:eastAsia="Times New Roman" w:hAnsiTheme="majorBidi" w:cstheme="majorBidi"/>
          <w:i/>
          <w:iCs/>
          <w:lang w:bidi="ar-AE"/>
        </w:rPr>
        <w:t>ʿashīr</w:t>
      </w:r>
      <w:r w:rsidRPr="00B867DF">
        <w:rPr>
          <w:rFonts w:asciiTheme="majorBidi" w:eastAsia="Times New Roman" w:hAnsiTheme="majorBidi" w:cstheme="majorBidi"/>
          <w:lang w:bidi="ar-AE"/>
        </w:rPr>
        <w:t xml:space="preserve">, un </w:t>
      </w:r>
      <w:r w:rsidRPr="00B867DF">
        <w:rPr>
          <w:rFonts w:asciiTheme="majorBidi" w:eastAsia="Times New Roman" w:hAnsiTheme="majorBidi" w:cstheme="majorBidi"/>
          <w:i/>
          <w:iCs/>
          <w:lang w:bidi="ar-AE"/>
        </w:rPr>
        <w:t>ṣifa mushabbaha bi-ism al-fāʿil</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lang w:bidi="ar-KW"/>
        </w:rPr>
        <w:t>[adjectif morphologiquement assimilable au participe actif, ressemblant participe</w:t>
      </w:r>
      <w:r w:rsidRPr="00B867DF">
        <w:rPr>
          <w:rFonts w:asciiTheme="majorBidi" w:eastAsia="Times New Roman" w:hAnsiTheme="majorBidi" w:cstheme="majorBidi"/>
          <w:lang w:bidi="ar-AE"/>
        </w:rPr>
        <w:t>, adjectif intensif, ou participe hyperbolique, une forme de l’exagération] dérivé de la racine « </w:t>
      </w:r>
      <w:r w:rsidRPr="00B867DF">
        <w:rPr>
          <w:rFonts w:asciiTheme="majorBidi" w:eastAsia="Times New Roman" w:hAnsiTheme="majorBidi" w:cstheme="majorBidi"/>
          <w:i/>
          <w:iCs/>
          <w:lang w:bidi="ar-AE"/>
        </w:rPr>
        <w:t>ʿ sh r</w:t>
      </w:r>
      <w:r w:rsidRPr="00B867DF">
        <w:rPr>
          <w:rFonts w:asciiTheme="majorBidi" w:eastAsia="Times New Roman" w:hAnsiTheme="majorBidi" w:cstheme="majorBidi"/>
          <w:lang w:bidi="ar-AE"/>
        </w:rPr>
        <w:t> » (</w:t>
      </w:r>
      <w:r w:rsidRPr="00B867DF">
        <w:rPr>
          <w:rFonts w:asciiTheme="majorBidi" w:eastAsia="Times New Roman" w:hAnsiTheme="majorBidi" w:cstheme="majorBidi"/>
          <w:rtl/>
        </w:rPr>
        <w:t>ع ش ر</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rPr>
        <w:t>fréquenter</w:t>
      </w:r>
      <w:r w:rsidRPr="00B867DF">
        <w:rPr>
          <w:rFonts w:asciiTheme="majorBidi" w:hAnsiTheme="majorBidi" w:cstheme="majorBidi"/>
        </w:rPr>
        <w:t>],</w:t>
      </w:r>
      <w:r w:rsidRPr="00B867DF">
        <w:rPr>
          <w:rFonts w:asciiTheme="majorBidi" w:eastAsia="Times New Roman" w:hAnsiTheme="majorBidi" w:cstheme="majorBidi"/>
          <w:lang w:bidi="ar-AE"/>
        </w:rPr>
        <w:t xml:space="preserve"> désigne un être humain que l’on fréquente (compagnon, ami, époux, etc.). Dans le Coran, ce mot apax désigne : le compagnon ou l’idole (aṭ-Ṭabarī et al-Qurṭubī). Les exégètes ont donc ajouté le concept de l’idole à son champ sémantique.</w:t>
      </w:r>
    </w:p>
    <w:p w14:paraId="2DFF403B" w14:textId="77777777" w:rsidR="00296288" w:rsidRPr="00B867DF" w:rsidRDefault="00296288" w:rsidP="00296288">
      <w:pPr>
        <w:spacing w:line="360" w:lineRule="auto"/>
        <w:jc w:val="both"/>
        <w:rPr>
          <w:rFonts w:asciiTheme="majorBidi" w:eastAsia="Calibri" w:hAnsiTheme="majorBidi" w:cstheme="majorBidi"/>
          <w:b/>
          <w:bCs/>
          <w:lang w:bidi="ar-AE"/>
        </w:rPr>
      </w:pPr>
    </w:p>
    <w:p w14:paraId="344FE223"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AE"/>
        </w:rPr>
      </w:pPr>
      <w:r w:rsidRPr="00B867DF">
        <w:rPr>
          <w:rFonts w:asciiTheme="majorBidi" w:eastAsia="Calibri" w:hAnsiTheme="majorBidi" w:cstheme="majorBidi"/>
          <w:b/>
          <w:bCs/>
          <w:i/>
          <w:iCs/>
          <w:sz w:val="24"/>
          <w:szCs w:val="24"/>
          <w:lang w:bidi="ar-AE"/>
        </w:rPr>
        <w:t>maqāmiʿ</w:t>
      </w:r>
      <w:r w:rsidRPr="00B867DF">
        <w:rPr>
          <w:rFonts w:asciiTheme="majorBidi" w:eastAsia="Calibri" w:hAnsiTheme="majorBidi" w:cstheme="majorBidi"/>
          <w:b/>
          <w:bCs/>
          <w:sz w:val="24"/>
          <w:szCs w:val="24"/>
          <w:lang w:bidi="ar-AE"/>
        </w:rPr>
        <w:t xml:space="preserve"> (v. 21) :</w:t>
      </w:r>
    </w:p>
    <w:p w14:paraId="77A33639" w14:textId="15023EB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Le verset 21 parle de </w:t>
      </w:r>
      <w:r w:rsidRPr="00B867DF">
        <w:rPr>
          <w:rFonts w:asciiTheme="majorBidi" w:eastAsia="Times New Roman" w:hAnsiTheme="majorBidi" w:cstheme="majorBidi"/>
          <w:i/>
          <w:iCs/>
          <w:lang w:bidi="ar-AE"/>
        </w:rPr>
        <w:t>maqāmiʿ</w:t>
      </w:r>
      <w:r w:rsidRPr="00B867DF">
        <w:rPr>
          <w:rFonts w:asciiTheme="majorBidi" w:eastAsia="Times New Roman" w:hAnsiTheme="majorBidi" w:cstheme="majorBidi"/>
          <w:lang w:bidi="ar-AE"/>
        </w:rPr>
        <w:t xml:space="preserve"> (pl. de </w:t>
      </w:r>
      <w:r w:rsidRPr="00B867DF">
        <w:rPr>
          <w:rFonts w:asciiTheme="majorBidi" w:eastAsia="Times New Roman" w:hAnsiTheme="majorBidi" w:cstheme="majorBidi"/>
          <w:i/>
          <w:iCs/>
          <w:lang w:bidi="ar-AE"/>
        </w:rPr>
        <w:t>miqmaʿa</w:t>
      </w:r>
      <w:r w:rsidRPr="00B867DF">
        <w:rPr>
          <w:rFonts w:asciiTheme="majorBidi" w:eastAsia="Times New Roman" w:hAnsiTheme="majorBidi" w:cstheme="majorBidi"/>
          <w:lang w:bidi="ar-AE"/>
        </w:rPr>
        <w:t>, une sorte de matraque pour frapper la tête d’un éléphant) de fer pour</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AE"/>
        </w:rPr>
        <w:t>les dénégateurs. Pour expliquer ce terme, les exégètes parlent :</w:t>
      </w:r>
    </w:p>
    <w:p w14:paraId="4B641CEC" w14:textId="77777777" w:rsidR="00296288" w:rsidRPr="00B867DF" w:rsidRDefault="00296288" w:rsidP="007640DC">
      <w:pPr>
        <w:numPr>
          <w:ilvl w:val="0"/>
          <w:numId w:val="32"/>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des marteaux ;</w:t>
      </w:r>
    </w:p>
    <w:p w14:paraId="5AB65915" w14:textId="77777777" w:rsidR="00296288" w:rsidRPr="00B867DF" w:rsidRDefault="00296288" w:rsidP="007640DC">
      <w:pPr>
        <w:numPr>
          <w:ilvl w:val="0"/>
          <w:numId w:val="32"/>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des fouets ;</w:t>
      </w:r>
    </w:p>
    <w:p w14:paraId="2084622F" w14:textId="77777777" w:rsidR="00296288" w:rsidRPr="00B867DF" w:rsidRDefault="00296288" w:rsidP="007640DC">
      <w:pPr>
        <w:numPr>
          <w:ilvl w:val="0"/>
          <w:numId w:val="32"/>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de quelque chose dans l’âme qui l’attache et l’empêche de sortir de l’Enfer (des chaînes, des entraves et des fortes menottes psychologiques) (Shaykhū) ;</w:t>
      </w:r>
    </w:p>
    <w:p w14:paraId="11B7599A" w14:textId="77777777" w:rsidR="00296288" w:rsidRPr="00B867DF" w:rsidRDefault="00296288" w:rsidP="007640DC">
      <w:pPr>
        <w:numPr>
          <w:ilvl w:val="0"/>
          <w:numId w:val="32"/>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des colonnes ou des poteaux qui servent à les frapper (Al-Qummī) ;</w:t>
      </w:r>
    </w:p>
    <w:p w14:paraId="41F52916" w14:textId="77777777" w:rsidR="00296288" w:rsidRPr="00B867DF" w:rsidRDefault="00296288" w:rsidP="007640DC">
      <w:pPr>
        <w:numPr>
          <w:ilvl w:val="0"/>
          <w:numId w:val="32"/>
        </w:numPr>
        <w:spacing w:line="360" w:lineRule="auto"/>
        <w:jc w:val="both"/>
        <w:rPr>
          <w:rFonts w:asciiTheme="majorBidi" w:eastAsia="Times New Roman" w:hAnsiTheme="majorBidi" w:cstheme="majorBidi"/>
          <w:lang w:bidi="ar-AE"/>
        </w:rPr>
      </w:pPr>
      <w:r w:rsidRPr="00B867DF">
        <w:rPr>
          <w:rFonts w:asciiTheme="majorBidi" w:eastAsia="Times New Roman" w:hAnsiTheme="majorBidi" w:cstheme="majorBidi"/>
          <w:lang w:bidi="ar-AE"/>
        </w:rPr>
        <w:t>des fouets des «</w:t>
      </w:r>
      <w:r w:rsidRPr="00B867DF">
        <w:rPr>
          <w:rFonts w:asciiTheme="majorBidi" w:eastAsia="Times New Roman" w:hAnsiTheme="majorBidi" w:cstheme="majorBidi"/>
          <w:i/>
          <w:iCs/>
          <w:lang w:bidi="ar-AE"/>
        </w:rPr>
        <w:t> éthers</w:t>
      </w:r>
      <w:r w:rsidRPr="00B867DF">
        <w:rPr>
          <w:rFonts w:asciiTheme="majorBidi" w:eastAsia="Times New Roman" w:hAnsiTheme="majorBidi" w:cstheme="majorBidi"/>
          <w:lang w:bidi="ar-AE"/>
        </w:rPr>
        <w:t> » [</w:t>
      </w:r>
      <w:r w:rsidRPr="00B867DF">
        <w:rPr>
          <w:rFonts w:asciiTheme="majorBidi" w:eastAsia="Times New Roman" w:hAnsiTheme="majorBidi" w:cstheme="majorBidi"/>
          <w:i/>
          <w:iCs/>
          <w:lang w:bidi="ar-AE"/>
        </w:rPr>
        <w:t>al-ʾathīrāt</w:t>
      </w:r>
      <w:r w:rsidRPr="00B867DF">
        <w:rPr>
          <w:rFonts w:asciiTheme="majorBidi" w:eastAsia="Times New Roman" w:hAnsiTheme="majorBidi" w:cstheme="majorBidi"/>
          <w:lang w:bidi="ar-AE"/>
        </w:rPr>
        <w:t>] du monde supérieur [</w:t>
      </w:r>
      <w:r w:rsidRPr="00B867DF">
        <w:rPr>
          <w:rFonts w:asciiTheme="majorBidi" w:eastAsia="Times New Roman" w:hAnsiTheme="majorBidi" w:cstheme="majorBidi"/>
          <w:i/>
          <w:iCs/>
          <w:lang w:bidi="ar-AE"/>
        </w:rPr>
        <w:t>malakūt</w:t>
      </w:r>
      <w:r w:rsidRPr="00B867DF">
        <w:rPr>
          <w:rFonts w:asciiTheme="majorBidi" w:eastAsia="Times New Roman" w:hAnsiTheme="majorBidi" w:cstheme="majorBidi"/>
          <w:lang w:bidi="ar-AE"/>
        </w:rPr>
        <w:t xml:space="preserve">] aux mains des </w:t>
      </w:r>
      <w:r w:rsidRPr="00B867DF">
        <w:rPr>
          <w:rFonts w:asciiTheme="majorBidi" w:eastAsia="Times New Roman" w:hAnsiTheme="majorBidi" w:cstheme="majorBidi"/>
          <w:i/>
          <w:iCs/>
          <w:lang w:bidi="ar-AE"/>
        </w:rPr>
        <w:t>zabānya</w:t>
      </w:r>
      <w:r w:rsidRPr="00B867DF">
        <w:rPr>
          <w:rFonts w:asciiTheme="majorBidi" w:eastAsia="Times New Roman" w:hAnsiTheme="majorBidi" w:cstheme="majorBidi"/>
          <w:lang w:bidi="ar-AE"/>
        </w:rPr>
        <w:t xml:space="preserve"> [anges de la justice divine] des corps célestes qui exercent un ascendant sur les esprits matérialistes (Ibn ʿArabī).</w:t>
      </w:r>
    </w:p>
    <w:p w14:paraId="7535F70C" w14:textId="77777777" w:rsidR="00296288" w:rsidRPr="00B867DF" w:rsidRDefault="00296288" w:rsidP="00296288">
      <w:pPr>
        <w:spacing w:line="360" w:lineRule="auto"/>
        <w:jc w:val="both"/>
        <w:rPr>
          <w:rFonts w:asciiTheme="majorBidi" w:eastAsia="Calibri" w:hAnsiTheme="majorBidi" w:cstheme="majorBidi"/>
          <w:lang w:bidi="ar-AE"/>
        </w:rPr>
      </w:pPr>
    </w:p>
    <w:p w14:paraId="32538132" w14:textId="77777777" w:rsidR="00296288" w:rsidRPr="00B867DF" w:rsidRDefault="00296288" w:rsidP="00296288">
      <w:pPr>
        <w:spacing w:line="360" w:lineRule="auto"/>
        <w:ind w:firstLine="360"/>
        <w:jc w:val="both"/>
        <w:rPr>
          <w:rFonts w:asciiTheme="majorBidi" w:eastAsia="Calibri" w:hAnsiTheme="majorBidi" w:cstheme="majorBidi"/>
          <w:lang w:bidi="ar-AE"/>
        </w:rPr>
      </w:pPr>
      <w:r w:rsidRPr="00B867DF">
        <w:rPr>
          <w:rFonts w:asciiTheme="majorBidi" w:eastAsia="Calibri" w:hAnsiTheme="majorBidi" w:cstheme="majorBidi"/>
          <w:lang w:bidi="ar-AE"/>
        </w:rPr>
        <w:t xml:space="preserve">La plupart des exégètes parlent d’une description </w:t>
      </w:r>
      <w:r w:rsidRPr="00B867DF">
        <w:rPr>
          <w:rFonts w:asciiTheme="majorBidi" w:eastAsia="Calibri" w:hAnsiTheme="majorBidi" w:cstheme="majorBidi"/>
        </w:rPr>
        <w:t xml:space="preserve">de l’apparence extérieure </w:t>
      </w:r>
      <w:r w:rsidRPr="00B867DF">
        <w:rPr>
          <w:rFonts w:asciiTheme="majorBidi" w:eastAsia="Calibri" w:hAnsiTheme="majorBidi" w:cstheme="majorBidi"/>
          <w:lang w:bidi="ar-AE"/>
        </w:rPr>
        <w:t xml:space="preserve">d’un outil de torture dans l’autre monde à l’Enfer, à l’exception d’Amīn Shaykhū (qui parle d’un handicap ou obstacle psychique dans l’ici-bas) et d’Ibn </w:t>
      </w:r>
      <w:r w:rsidRPr="00B867DF">
        <w:rPr>
          <w:rFonts w:asciiTheme="majorBidi" w:eastAsia="Times New Roman" w:hAnsiTheme="majorBidi" w:cstheme="majorBidi"/>
          <w:lang w:bidi="ar-AE"/>
        </w:rPr>
        <w:t>ʿArabī</w:t>
      </w:r>
      <w:r w:rsidRPr="00B867DF">
        <w:rPr>
          <w:rFonts w:asciiTheme="majorBidi" w:eastAsia="Calibri" w:hAnsiTheme="majorBidi" w:cstheme="majorBidi"/>
          <w:lang w:bidi="ar-AE"/>
        </w:rPr>
        <w:t xml:space="preserve"> (qui parle d’une emprise ou une influence surnaturelle sur les esprits matérialistes sur cette terre).</w:t>
      </w:r>
    </w:p>
    <w:p w14:paraId="48901C20" w14:textId="77777777" w:rsidR="00296288" w:rsidRPr="00B867DF" w:rsidRDefault="00296288" w:rsidP="00296288">
      <w:pPr>
        <w:spacing w:line="360" w:lineRule="auto"/>
        <w:jc w:val="both"/>
        <w:rPr>
          <w:rFonts w:asciiTheme="majorBidi" w:eastAsia="Calibri" w:hAnsiTheme="majorBidi" w:cstheme="majorBidi"/>
          <w:lang w:bidi="ar-AE"/>
        </w:rPr>
      </w:pPr>
    </w:p>
    <w:p w14:paraId="5B93E3F8"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AE"/>
        </w:rPr>
      </w:pPr>
      <w:r w:rsidRPr="00B867DF">
        <w:rPr>
          <w:rFonts w:asciiTheme="majorBidi" w:eastAsia="Calibri" w:hAnsiTheme="majorBidi" w:cstheme="majorBidi"/>
          <w:b/>
          <w:bCs/>
          <w:i/>
          <w:iCs/>
          <w:sz w:val="24"/>
          <w:szCs w:val="24"/>
          <w:lang w:bidi="ar-AE"/>
        </w:rPr>
        <w:t xml:space="preserve">ḍāmir </w:t>
      </w:r>
      <w:r w:rsidRPr="00B867DF">
        <w:rPr>
          <w:rFonts w:asciiTheme="majorBidi" w:eastAsia="Calibri" w:hAnsiTheme="majorBidi" w:cstheme="majorBidi"/>
          <w:b/>
          <w:bCs/>
          <w:sz w:val="24"/>
          <w:szCs w:val="24"/>
          <w:lang w:bidi="ar-AE"/>
        </w:rPr>
        <w:t>(v. 27) :</w:t>
      </w:r>
    </w:p>
    <w:p w14:paraId="539D93F5" w14:textId="73FC8B8C" w:rsidR="00296288" w:rsidRPr="00B867DF" w:rsidRDefault="00296288" w:rsidP="00296288">
      <w:pPr>
        <w:spacing w:line="360" w:lineRule="auto"/>
        <w:ind w:firstLine="360"/>
        <w:jc w:val="both"/>
        <w:rPr>
          <w:rFonts w:asciiTheme="majorBidi" w:eastAsia="Times New Roman" w:hAnsiTheme="majorBidi" w:cstheme="majorBidi"/>
          <w:rtl/>
        </w:rPr>
      </w:pPr>
      <w:r w:rsidRPr="00B867DF">
        <w:rPr>
          <w:rFonts w:asciiTheme="majorBidi" w:eastAsia="Calibri" w:hAnsiTheme="majorBidi" w:cstheme="majorBidi"/>
          <w:lang w:bidi="ar-AE"/>
        </w:rPr>
        <w:t xml:space="preserve">Le participe actif </w:t>
      </w:r>
      <w:r w:rsidRPr="00B867DF">
        <w:rPr>
          <w:rFonts w:asciiTheme="majorBidi" w:eastAsia="Calibri" w:hAnsiTheme="majorBidi" w:cstheme="majorBidi"/>
          <w:i/>
          <w:iCs/>
          <w:lang w:bidi="ar-AE"/>
        </w:rPr>
        <w:t>ḍāmir</w:t>
      </w:r>
      <w:r w:rsidRPr="00B867DF">
        <w:rPr>
          <w:rFonts w:asciiTheme="majorBidi" w:eastAsia="Calibri" w:hAnsiTheme="majorBidi" w:cstheme="majorBidi"/>
          <w:lang w:bidi="ar-AE"/>
        </w:rPr>
        <w:t xml:space="preserve"> dérivé du verbe </w:t>
      </w:r>
      <w:r w:rsidRPr="00B867DF">
        <w:rPr>
          <w:rFonts w:asciiTheme="majorBidi" w:eastAsia="Calibri" w:hAnsiTheme="majorBidi" w:cstheme="majorBidi"/>
          <w:i/>
          <w:iCs/>
          <w:lang w:bidi="ar-AE"/>
        </w:rPr>
        <w:t>ḍamura</w:t>
      </w:r>
      <w:r w:rsidRPr="00B867DF">
        <w:rPr>
          <w:rFonts w:asciiTheme="majorBidi" w:eastAsia="Calibri"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rPr>
        <w:t>maigrir</w:t>
      </w:r>
      <w:r w:rsidRPr="00B867DF">
        <w:rPr>
          <w:rFonts w:asciiTheme="majorBidi" w:hAnsiTheme="majorBidi" w:cstheme="majorBidi"/>
        </w:rPr>
        <w:t xml:space="preserve">] signifie : « maigre ». Il est utilisé une seule fois dans le Coran pour connoter un moyen de transport. </w:t>
      </w:r>
      <w:r w:rsidRPr="00B867DF">
        <w:rPr>
          <w:rFonts w:eastAsia="Times New Roman"/>
          <w:lang w:bidi="ar-KW"/>
        </w:rPr>
        <w:t>Aṭ-Ṭabarī</w:t>
      </w:r>
      <w:r w:rsidRPr="00B867DF">
        <w:rPr>
          <w:rFonts w:eastAsia="Times New Roman"/>
          <w:lang w:bidi="ar-EG"/>
        </w:rPr>
        <w:t xml:space="preserve"> souligne qu’il s’agit </w:t>
      </w:r>
      <w:r w:rsidRPr="00B867DF">
        <w:rPr>
          <w:rFonts w:asciiTheme="majorBidi" w:hAnsiTheme="majorBidi" w:cstheme="majorBidi"/>
        </w:rPr>
        <w:t>du dromadaire [</w:t>
      </w:r>
      <w:r w:rsidRPr="00B867DF">
        <w:rPr>
          <w:rFonts w:asciiTheme="majorBidi" w:hAnsiTheme="majorBidi" w:cstheme="majorBidi"/>
          <w:i/>
          <w:iCs/>
        </w:rPr>
        <w:t>al-ibil</w:t>
      </w:r>
      <w:r w:rsidRPr="00B867DF">
        <w:rPr>
          <w:rFonts w:asciiTheme="majorBidi" w:hAnsiTheme="majorBidi" w:cstheme="majorBidi"/>
        </w:rPr>
        <w:t xml:space="preserve">] en général [en tant que seul moyen de voyage à l’époque]. Al-Qurṭubī ajoute qu’il s’agit d’un dromadaire épuisé par le voyage. </w:t>
      </w:r>
      <w:r w:rsidRPr="00B867DF">
        <w:rPr>
          <w:rFonts w:eastAsia="Calibri"/>
          <w:i/>
          <w:iCs/>
          <w:lang w:bidi="ar-AE"/>
        </w:rPr>
        <w:t>Al-Muyassar</w:t>
      </w:r>
      <w:r w:rsidRPr="00B867DF">
        <w:rPr>
          <w:rFonts w:eastAsia="Calibri"/>
          <w:lang w:bidi="ar-AE"/>
        </w:rPr>
        <w:t xml:space="preserve">, un tafsīr contemporain succinct écrit par un groupe de théologien saoudiens et publié par le Complexe du Roi Fahd </w:t>
      </w:r>
      <w:r w:rsidRPr="00B867DF">
        <w:rPr>
          <w:rFonts w:asciiTheme="majorBidi" w:eastAsia="Calibri" w:hAnsiTheme="majorBidi" w:cstheme="majorBidi"/>
          <w:lang w:bidi="ar-AE"/>
        </w:rPr>
        <w:t>de Médine, explique encore plus en disant que c’est un dromadaire amaigri à cause de la marche et des travaux et non pas à cause de la cachexie (</w:t>
      </w:r>
      <w:r w:rsidRPr="00B867DF">
        <w:rPr>
          <w:rFonts w:asciiTheme="majorBidi" w:eastAsia="Calibri" w:hAnsiTheme="majorBidi" w:cstheme="majorBidi"/>
          <w:i/>
          <w:iCs/>
          <w:lang w:bidi="ar-AE"/>
        </w:rPr>
        <w:t>al-huzāl</w:t>
      </w:r>
      <w:r w:rsidRPr="00B867DF">
        <w:rPr>
          <w:rFonts w:asciiTheme="majorBidi" w:eastAsia="Calibri" w:hAnsiTheme="majorBidi" w:cstheme="majorBidi"/>
          <w:lang w:bidi="ar-AE"/>
        </w:rPr>
        <w:t>).</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AE"/>
        </w:rPr>
        <w:t xml:space="preserve">Ibn ʿArabī précise que le </w:t>
      </w:r>
      <w:r w:rsidRPr="00B867DF">
        <w:rPr>
          <w:rFonts w:asciiTheme="majorBidi" w:eastAsia="Times New Roman" w:hAnsiTheme="majorBidi" w:cstheme="majorBidi"/>
          <w:i/>
          <w:iCs/>
          <w:lang w:bidi="ar-AE"/>
        </w:rPr>
        <w:t>ḍāmir </w:t>
      </w:r>
      <w:r w:rsidRPr="00B867DF">
        <w:rPr>
          <w:rFonts w:asciiTheme="majorBidi" w:eastAsia="Times New Roman" w:hAnsiTheme="majorBidi" w:cstheme="majorBidi"/>
          <w:lang w:bidi="ar-AE"/>
        </w:rPr>
        <w:t xml:space="preserve">est la </w:t>
      </w:r>
      <w:r w:rsidRPr="00B867DF">
        <w:rPr>
          <w:rFonts w:asciiTheme="majorBidi" w:eastAsia="Times New Roman" w:hAnsiTheme="majorBidi" w:cstheme="majorBidi"/>
          <w:i/>
          <w:iCs/>
          <w:lang w:bidi="ar-AE"/>
        </w:rPr>
        <w:t>nafs</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lang w:bidi="ar-AE"/>
        </w:rPr>
        <w:t>âme ou esprit</w:t>
      </w:r>
      <w:r w:rsidRPr="00B867DF">
        <w:rPr>
          <w:rFonts w:asciiTheme="majorBidi" w:hAnsiTheme="majorBidi" w:cstheme="majorBidi"/>
        </w:rPr>
        <w:t>]</w:t>
      </w:r>
      <w:r w:rsidRPr="00B867DF">
        <w:rPr>
          <w:rFonts w:asciiTheme="majorBidi" w:eastAsia="Times New Roman" w:hAnsiTheme="majorBidi" w:cstheme="majorBidi"/>
          <w:lang w:bidi="ar-AE"/>
        </w:rPr>
        <w:t xml:space="preserve"> amaigrie à cause de la </w:t>
      </w:r>
      <w:r w:rsidRPr="00B867DF">
        <w:rPr>
          <w:rFonts w:asciiTheme="majorBidi" w:eastAsia="Times New Roman" w:hAnsiTheme="majorBidi" w:cstheme="majorBidi"/>
          <w:i/>
          <w:iCs/>
          <w:lang w:bidi="ar-AE"/>
        </w:rPr>
        <w:t>mujāhada</w:t>
      </w:r>
      <w:r w:rsidRPr="00B867DF">
        <w:rPr>
          <w:rFonts w:asciiTheme="majorBidi" w:eastAsia="Times New Roman"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lang w:bidi="ar-AE"/>
        </w:rPr>
        <w:t xml:space="preserve">exercice spirituel pour la purification de la </w:t>
      </w:r>
      <w:r w:rsidRPr="00B867DF">
        <w:rPr>
          <w:rFonts w:asciiTheme="majorBidi" w:eastAsia="Times New Roman" w:hAnsiTheme="majorBidi" w:cstheme="majorBidi"/>
          <w:i/>
          <w:iCs/>
          <w:lang w:bidi="ar-AE"/>
        </w:rPr>
        <w:t>nafs</w:t>
      </w:r>
      <w:r w:rsidRPr="00B867DF">
        <w:rPr>
          <w:rFonts w:asciiTheme="majorBidi" w:hAnsiTheme="majorBidi" w:cstheme="majorBidi"/>
        </w:rPr>
        <w:t>]</w:t>
      </w:r>
      <w:r w:rsidRPr="00B867DF">
        <w:rPr>
          <w:rFonts w:asciiTheme="majorBidi" w:eastAsia="Times New Roman" w:hAnsiTheme="majorBidi" w:cstheme="majorBidi"/>
          <w:lang w:bidi="ar-AE"/>
        </w:rPr>
        <w:t>.</w:t>
      </w:r>
    </w:p>
    <w:p w14:paraId="5F42094D" w14:textId="77777777" w:rsidR="00296288" w:rsidRPr="00B867DF" w:rsidRDefault="00296288" w:rsidP="00296288">
      <w:pPr>
        <w:spacing w:line="360" w:lineRule="auto"/>
        <w:jc w:val="both"/>
        <w:rPr>
          <w:rFonts w:asciiTheme="majorBidi" w:eastAsia="Calibri" w:hAnsiTheme="majorBidi" w:cstheme="majorBidi"/>
          <w:rtl/>
        </w:rPr>
      </w:pPr>
    </w:p>
    <w:p w14:paraId="036BAD03"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AE"/>
        </w:rPr>
      </w:pPr>
      <w:r w:rsidRPr="00B867DF">
        <w:rPr>
          <w:rFonts w:asciiTheme="majorBidi" w:eastAsia="Calibri" w:hAnsiTheme="majorBidi" w:cstheme="majorBidi"/>
          <w:b/>
          <w:bCs/>
          <w:i/>
          <w:iCs/>
          <w:sz w:val="24"/>
          <w:szCs w:val="24"/>
          <w:lang w:bidi="ar-AE"/>
        </w:rPr>
        <w:t>saḥīq</w:t>
      </w:r>
      <w:r w:rsidRPr="00B867DF">
        <w:rPr>
          <w:rFonts w:asciiTheme="majorBidi" w:eastAsia="Calibri" w:hAnsiTheme="majorBidi" w:cstheme="majorBidi"/>
          <w:b/>
          <w:bCs/>
          <w:sz w:val="24"/>
          <w:szCs w:val="24"/>
          <w:lang w:bidi="ar-AE"/>
        </w:rPr>
        <w:t xml:space="preserve"> (v. 31) :</w:t>
      </w:r>
    </w:p>
    <w:p w14:paraId="54D8FDFE" w14:textId="42676B0F" w:rsidR="00296288" w:rsidRPr="00B867DF" w:rsidRDefault="00296288" w:rsidP="00296288">
      <w:pPr>
        <w:spacing w:line="360" w:lineRule="auto"/>
        <w:ind w:firstLine="360"/>
        <w:jc w:val="both"/>
        <w:rPr>
          <w:rFonts w:asciiTheme="majorBidi" w:hAnsiTheme="majorBidi" w:cstheme="majorBidi"/>
          <w:rtl/>
        </w:rPr>
      </w:pPr>
      <w:r w:rsidRPr="00B867DF">
        <w:rPr>
          <w:rFonts w:asciiTheme="majorBidi" w:eastAsia="Calibri" w:hAnsiTheme="majorBidi" w:cstheme="majorBidi"/>
          <w:lang w:bidi="ar-AE"/>
        </w:rPr>
        <w:t xml:space="preserve">Bien que le mot soit évoqué une seule fois dans le Coran, presque tous les exégètes ont fourni cette signification : « lointain » </w:t>
      </w:r>
      <w:r w:rsidRPr="00B867DF">
        <w:rPr>
          <w:rFonts w:asciiTheme="majorBidi" w:hAnsiTheme="majorBidi" w:cstheme="majorBidi"/>
        </w:rPr>
        <w:t>[</w:t>
      </w:r>
      <w:r w:rsidRPr="00B867DF">
        <w:rPr>
          <w:rFonts w:asciiTheme="majorBidi" w:hAnsiTheme="majorBidi" w:cstheme="majorBidi"/>
          <w:i/>
          <w:iCs/>
        </w:rPr>
        <w:t>ba</w:t>
      </w:r>
      <w:r w:rsidRPr="00B867DF">
        <w:rPr>
          <w:rFonts w:asciiTheme="majorBidi" w:eastAsia="Times New Roman" w:hAnsiTheme="majorBidi" w:cstheme="majorBidi"/>
          <w:i/>
          <w:iCs/>
        </w:rPr>
        <w:t>ʿīd</w:t>
      </w:r>
      <w:r w:rsidRPr="00B867DF">
        <w:rPr>
          <w:rFonts w:asciiTheme="majorBidi" w:hAnsiTheme="majorBidi" w:cstheme="majorBidi"/>
        </w:rPr>
        <w:t xml:space="preserve">]. Ibn Kathir ajoute le sens de </w:t>
      </w:r>
      <w:r w:rsidRPr="00B867DF">
        <w:rPr>
          <w:rFonts w:asciiTheme="majorBidi" w:hAnsiTheme="majorBidi" w:cstheme="majorBidi"/>
          <w:i/>
          <w:iCs/>
        </w:rPr>
        <w:t>muhlik</w:t>
      </w:r>
      <w:r w:rsidRPr="00B867DF">
        <w:rPr>
          <w:rFonts w:asciiTheme="majorBidi" w:hAnsiTheme="majorBidi" w:cstheme="majorBidi"/>
        </w:rPr>
        <w:t xml:space="preserve"> [</w:t>
      </w:r>
      <w:r w:rsidRPr="00B867DF">
        <w:rPr>
          <w:rFonts w:asciiTheme="majorBidi" w:eastAsia="Times New Roman" w:hAnsiTheme="majorBidi" w:cstheme="majorBidi"/>
        </w:rPr>
        <w:t>périlleux</w:t>
      </w:r>
      <w:r w:rsidRPr="00B867DF">
        <w:rPr>
          <w:rFonts w:asciiTheme="majorBidi" w:hAnsiTheme="majorBidi" w:cstheme="majorBidi"/>
        </w:rPr>
        <w:t>]. Al-Jalālayn propose un troisième sens : « </w:t>
      </w:r>
      <w:r w:rsidRPr="00B867DF">
        <w:rPr>
          <w:rFonts w:asciiTheme="majorBidi" w:hAnsiTheme="majorBidi" w:cstheme="majorBidi"/>
          <w:i/>
          <w:iCs/>
        </w:rPr>
        <w:t>lā yurjā khalā</w:t>
      </w:r>
      <w:r w:rsidRPr="00B867DF">
        <w:rPr>
          <w:rFonts w:asciiTheme="majorBidi" w:eastAsia="Times New Roman" w:hAnsiTheme="majorBidi" w:cstheme="majorBidi"/>
          <w:i/>
          <w:iCs/>
        </w:rPr>
        <w:t>ṣuhu </w:t>
      </w:r>
      <w:r w:rsidRPr="00B867DF">
        <w:rPr>
          <w:rFonts w:asciiTheme="majorBidi" w:eastAsia="Times New Roman" w:hAnsiTheme="majorBidi" w:cstheme="majorBidi"/>
        </w:rPr>
        <w:t xml:space="preserve">» </w:t>
      </w:r>
      <w:r w:rsidRPr="00B867DF">
        <w:rPr>
          <w:rFonts w:asciiTheme="majorBidi" w:hAnsiTheme="majorBidi" w:cstheme="majorBidi"/>
        </w:rPr>
        <w:t>[</w:t>
      </w:r>
      <w:r w:rsidRPr="00B867DF">
        <w:rPr>
          <w:rFonts w:asciiTheme="majorBidi" w:eastAsia="Times New Roman" w:hAnsiTheme="majorBidi" w:cstheme="majorBidi"/>
        </w:rPr>
        <w:t>dont la fin est inespérée</w:t>
      </w:r>
      <w:r w:rsidRPr="00B867DF">
        <w:rPr>
          <w:rFonts w:asciiTheme="majorBidi" w:hAnsiTheme="majorBidi" w:cstheme="majorBidi"/>
        </w:rPr>
        <w:t xml:space="preserve">]. </w:t>
      </w:r>
      <w:r w:rsidRPr="00B867DF">
        <w:rPr>
          <w:rFonts w:asciiTheme="majorBidi" w:eastAsia="Times New Roman" w:hAnsiTheme="majorBidi" w:cstheme="majorBidi"/>
          <w:lang w:bidi="ar-AE"/>
        </w:rPr>
        <w:t xml:space="preserve">Ibn ʿArabī précise que c’est « loin du Vrai » </w:t>
      </w:r>
      <w:r w:rsidRPr="00B867DF">
        <w:rPr>
          <w:rFonts w:asciiTheme="majorBidi" w:hAnsiTheme="majorBidi" w:cstheme="majorBidi"/>
        </w:rPr>
        <w:t>[</w:t>
      </w:r>
      <w:r w:rsidRPr="00B867DF">
        <w:rPr>
          <w:rFonts w:asciiTheme="majorBidi" w:eastAsia="Times New Roman" w:hAnsiTheme="majorBidi" w:cstheme="majorBidi"/>
          <w:i/>
          <w:iCs/>
        </w:rPr>
        <w:t>baʿīd min al-ḥaqq</w:t>
      </w:r>
      <w:r w:rsidRPr="00B867DF">
        <w:rPr>
          <w:rFonts w:asciiTheme="majorBidi" w:hAnsiTheme="majorBidi" w:cstheme="majorBidi"/>
        </w:rPr>
        <w:t xml:space="preserve">]. Quant à Shaykhū, se référant à la ressemblance phonétique entre </w:t>
      </w:r>
      <w:r w:rsidRPr="00B867DF">
        <w:rPr>
          <w:rFonts w:asciiTheme="majorBidi" w:eastAsia="Calibri" w:hAnsiTheme="majorBidi" w:cstheme="majorBidi"/>
          <w:i/>
          <w:iCs/>
          <w:lang w:bidi="ar-AE"/>
        </w:rPr>
        <w:t>saḥīq</w:t>
      </w:r>
      <w:r w:rsidRPr="00B867DF">
        <w:rPr>
          <w:rFonts w:asciiTheme="majorBidi" w:eastAsia="Calibri" w:hAnsiTheme="majorBidi" w:cstheme="majorBidi"/>
          <w:lang w:bidi="ar-AE"/>
        </w:rPr>
        <w:t xml:space="preserve"> et le verbe </w:t>
      </w:r>
      <w:r w:rsidRPr="00B867DF">
        <w:rPr>
          <w:rFonts w:asciiTheme="majorBidi" w:eastAsia="Calibri" w:hAnsiTheme="majorBidi" w:cstheme="majorBidi"/>
          <w:i/>
          <w:iCs/>
          <w:lang w:bidi="ar-AE"/>
        </w:rPr>
        <w:t>ya</w:t>
      </w:r>
      <w:r w:rsidR="00C83FFC">
        <w:rPr>
          <w:rFonts w:asciiTheme="majorBidi" w:eastAsia="Calibri" w:hAnsiTheme="majorBidi" w:cstheme="majorBidi"/>
          <w:i/>
          <w:iCs/>
          <w:lang w:bidi="ar-AE"/>
        </w:rPr>
        <w:t>s</w:t>
      </w:r>
      <w:r w:rsidRPr="00B867DF">
        <w:rPr>
          <w:rFonts w:asciiTheme="majorBidi" w:eastAsia="Calibri" w:hAnsiTheme="majorBidi" w:cstheme="majorBidi"/>
          <w:i/>
          <w:iCs/>
          <w:lang w:bidi="ar-AE"/>
        </w:rPr>
        <w:t>ḥaq</w:t>
      </w:r>
      <w:r w:rsidRPr="00B867DF">
        <w:rPr>
          <w:rFonts w:asciiTheme="majorBidi" w:eastAsia="Calibri" w:hAnsiTheme="majorBidi" w:cstheme="majorBidi"/>
          <w:lang w:bidi="ar-AE"/>
        </w:rPr>
        <w:t xml:space="preserve"> </w:t>
      </w:r>
      <w:r w:rsidRPr="00B867DF">
        <w:rPr>
          <w:rFonts w:asciiTheme="majorBidi" w:hAnsiTheme="majorBidi" w:cstheme="majorBidi"/>
        </w:rPr>
        <w:t>[</w:t>
      </w:r>
      <w:r w:rsidRPr="00B867DF">
        <w:rPr>
          <w:rFonts w:asciiTheme="majorBidi" w:eastAsia="Times New Roman" w:hAnsiTheme="majorBidi" w:cstheme="majorBidi"/>
        </w:rPr>
        <w:t>écraser, réduire en poudre</w:t>
      </w:r>
      <w:r w:rsidRPr="00B867DF">
        <w:rPr>
          <w:rFonts w:asciiTheme="majorBidi" w:hAnsiTheme="majorBidi" w:cstheme="majorBidi"/>
        </w:rPr>
        <w:t xml:space="preserve">], il parle de « l’écrasement par la douleur après la mort ». </w:t>
      </w:r>
    </w:p>
    <w:p w14:paraId="2394D211" w14:textId="77777777" w:rsidR="00296288" w:rsidRPr="00B867DF" w:rsidRDefault="00296288" w:rsidP="00296288">
      <w:pPr>
        <w:spacing w:line="360" w:lineRule="auto"/>
        <w:jc w:val="both"/>
        <w:rPr>
          <w:rFonts w:asciiTheme="majorBidi" w:eastAsia="Calibri" w:hAnsiTheme="majorBidi" w:cstheme="majorBidi"/>
          <w:lang w:bidi="ar-AE"/>
        </w:rPr>
      </w:pPr>
    </w:p>
    <w:p w14:paraId="1F4B9305"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sz w:val="24"/>
          <w:szCs w:val="24"/>
          <w:lang w:bidi="ar-AE"/>
        </w:rPr>
      </w:pPr>
      <w:r w:rsidRPr="00B867DF">
        <w:rPr>
          <w:rFonts w:asciiTheme="majorBidi" w:eastAsia="Calibri" w:hAnsiTheme="majorBidi" w:cstheme="majorBidi"/>
          <w:b/>
          <w:bCs/>
          <w:i/>
          <w:iCs/>
          <w:sz w:val="24"/>
          <w:szCs w:val="24"/>
          <w:lang w:bidi="ar-AE"/>
        </w:rPr>
        <w:t>al-mukhbit</w:t>
      </w:r>
      <w:r w:rsidRPr="00B867DF">
        <w:rPr>
          <w:rFonts w:asciiTheme="majorBidi" w:eastAsia="Calibri" w:hAnsiTheme="majorBidi" w:cstheme="majorBidi"/>
          <w:b/>
          <w:bCs/>
          <w:i/>
          <w:iCs/>
          <w:sz w:val="24"/>
          <w:szCs w:val="24"/>
          <w:rtl/>
          <w:lang w:bidi="ar-KW"/>
        </w:rPr>
        <w:t>ī</w:t>
      </w:r>
      <w:r w:rsidRPr="00B867DF">
        <w:rPr>
          <w:rFonts w:asciiTheme="majorBidi" w:eastAsia="Calibri" w:hAnsiTheme="majorBidi" w:cstheme="majorBidi"/>
          <w:b/>
          <w:bCs/>
          <w:i/>
          <w:iCs/>
          <w:sz w:val="24"/>
          <w:szCs w:val="24"/>
          <w:lang w:bidi="ar-SY"/>
        </w:rPr>
        <w:t>na</w:t>
      </w:r>
      <w:r w:rsidRPr="00B867DF">
        <w:rPr>
          <w:rFonts w:asciiTheme="majorBidi" w:eastAsia="Calibri" w:hAnsiTheme="majorBidi" w:cstheme="majorBidi"/>
          <w:b/>
          <w:bCs/>
          <w:sz w:val="24"/>
          <w:szCs w:val="24"/>
          <w:lang w:bidi="ar-SY"/>
        </w:rPr>
        <w:t xml:space="preserve"> (v. 34) :</w:t>
      </w:r>
    </w:p>
    <w:p w14:paraId="3153ED2D" w14:textId="6AF8D690" w:rsidR="00296288" w:rsidRPr="00B867DF" w:rsidRDefault="00296288" w:rsidP="00296288">
      <w:pPr>
        <w:spacing w:line="360" w:lineRule="auto"/>
        <w:ind w:firstLine="284"/>
        <w:jc w:val="both"/>
        <w:rPr>
          <w:rFonts w:asciiTheme="majorBidi" w:eastAsia="Calibri" w:hAnsiTheme="majorBidi" w:cstheme="majorBidi"/>
          <w:rtl/>
          <w:lang w:bidi="ar-AE"/>
        </w:rPr>
      </w:pPr>
      <w:r w:rsidRPr="00B867DF">
        <w:rPr>
          <w:rFonts w:asciiTheme="majorBidi" w:eastAsia="Calibri" w:hAnsiTheme="majorBidi" w:cstheme="majorBidi"/>
          <w:lang w:bidi="ar-SY"/>
        </w:rPr>
        <w:t>Ce mot est un hapax en tant que participe actif, mais la racine verbale est utilisée deux fois dans le Coran, dans : « </w:t>
      </w:r>
      <w:r w:rsidRPr="00B867DF">
        <w:rPr>
          <w:rFonts w:asciiTheme="majorBidi" w:eastAsia="Calibri" w:hAnsiTheme="majorBidi" w:cstheme="majorBidi"/>
          <w:i/>
          <w:iCs/>
          <w:lang w:bidi="ar-SY"/>
        </w:rPr>
        <w:t>fa-</w:t>
      </w:r>
      <w:r w:rsidRPr="00B867DF">
        <w:rPr>
          <w:rFonts w:asciiTheme="majorBidi" w:eastAsia="Calibri" w:hAnsiTheme="majorBidi" w:cstheme="majorBidi"/>
          <w:b/>
          <w:bCs/>
          <w:i/>
          <w:lang w:bidi="ar-SY"/>
        </w:rPr>
        <w:t>tukhbita</w:t>
      </w:r>
      <w:r w:rsidRPr="00B867DF">
        <w:rPr>
          <w:rFonts w:asciiTheme="majorBidi" w:eastAsia="Calibri" w:hAnsiTheme="majorBidi" w:cstheme="majorBidi"/>
          <w:i/>
          <w:iCs/>
          <w:lang w:bidi="ar-SY"/>
        </w:rPr>
        <w:t xml:space="preserve"> lah</w:t>
      </w:r>
      <w:r w:rsidRPr="00B867DF">
        <w:rPr>
          <w:rFonts w:asciiTheme="majorBidi" w:eastAsia="Calibri" w:hAnsiTheme="majorBidi" w:cstheme="majorBidi"/>
          <w:i/>
          <w:iCs/>
          <w:rtl/>
          <w:lang w:bidi="ar-KW"/>
        </w:rPr>
        <w:t>u</w:t>
      </w:r>
      <w:r w:rsidRPr="00B867DF">
        <w:rPr>
          <w:rFonts w:asciiTheme="majorBidi" w:eastAsia="Calibri" w:hAnsiTheme="majorBidi" w:cstheme="majorBidi"/>
          <w:i/>
          <w:iCs/>
          <w:lang w:bidi="ar-SY"/>
        </w:rPr>
        <w:t xml:space="preserve"> qulubu-hum</w:t>
      </w:r>
      <w:r w:rsidRPr="00B867DF">
        <w:rPr>
          <w:rFonts w:asciiTheme="majorBidi" w:eastAsia="Calibri" w:hAnsiTheme="majorBidi" w:cstheme="majorBidi"/>
          <w:lang w:bidi="ar-SY"/>
        </w:rPr>
        <w:t xml:space="preserve"> » </w:t>
      </w:r>
      <w:r w:rsidRPr="00B867DF">
        <w:rPr>
          <w:rFonts w:asciiTheme="majorBidi" w:hAnsiTheme="majorBidi" w:cstheme="majorBidi"/>
        </w:rPr>
        <w:t>[« </w:t>
      </w:r>
      <w:r w:rsidRPr="00B867DF">
        <w:rPr>
          <w:rFonts w:asciiTheme="majorBidi" w:eastAsia="Calibri" w:hAnsiTheme="majorBidi" w:cstheme="majorBidi"/>
          <w:lang w:bidi="ar-AE"/>
        </w:rPr>
        <w:t xml:space="preserve">leur cœur </w:t>
      </w:r>
      <w:r w:rsidRPr="00B867DF">
        <w:rPr>
          <w:rFonts w:asciiTheme="majorBidi" w:eastAsia="Calibri" w:hAnsiTheme="majorBidi" w:cstheme="majorBidi"/>
          <w:b/>
          <w:bCs/>
          <w:iCs/>
          <w:lang w:bidi="ar-AE"/>
        </w:rPr>
        <w:t>s’humilie</w:t>
      </w:r>
      <w:r w:rsidRPr="00B867DF">
        <w:rPr>
          <w:rFonts w:asciiTheme="majorBidi" w:eastAsia="Calibri" w:hAnsiTheme="majorBidi" w:cstheme="majorBidi"/>
          <w:i/>
          <w:iCs/>
          <w:lang w:bidi="ar-AE"/>
        </w:rPr>
        <w:t xml:space="preserve"> </w:t>
      </w:r>
      <w:r w:rsidRPr="00B867DF">
        <w:rPr>
          <w:rFonts w:asciiTheme="majorBidi" w:eastAsia="Calibri" w:hAnsiTheme="majorBidi" w:cstheme="majorBidi"/>
          <w:lang w:bidi="ar-AE"/>
        </w:rPr>
        <w:t>devant Lui »</w:t>
      </w:r>
      <w:r w:rsidRPr="00B867DF">
        <w:rPr>
          <w:rFonts w:asciiTheme="majorBidi" w:hAnsiTheme="majorBidi" w:cstheme="majorBidi"/>
        </w:rPr>
        <w:t>]</w:t>
      </w:r>
      <w:r w:rsidRPr="00B867DF">
        <w:rPr>
          <w:rFonts w:asciiTheme="majorBidi" w:eastAsia="Calibri" w:hAnsiTheme="majorBidi" w:cstheme="majorBidi"/>
          <w:lang w:bidi="ar-SY"/>
        </w:rPr>
        <w:t xml:space="preserve"> (XXII, 54) et « </w:t>
      </w:r>
      <w:r w:rsidRPr="00B867DF">
        <w:rPr>
          <w:rFonts w:asciiTheme="majorBidi" w:eastAsia="Calibri" w:hAnsiTheme="majorBidi" w:cstheme="majorBidi"/>
          <w:i/>
          <w:iCs/>
          <w:lang w:bidi="ar-SY"/>
        </w:rPr>
        <w:t>wa</w:t>
      </w:r>
      <w:r w:rsidRPr="00B867DF">
        <w:rPr>
          <w:rFonts w:asciiTheme="majorBidi" w:eastAsia="Calibri" w:hAnsiTheme="majorBidi" w:cstheme="majorBidi"/>
          <w:b/>
          <w:bCs/>
          <w:i/>
          <w:iCs/>
          <w:lang w:bidi="ar-SY"/>
        </w:rPr>
        <w:t>-</w:t>
      </w:r>
      <w:r w:rsidRPr="00B867DF">
        <w:rPr>
          <w:rFonts w:asciiTheme="majorBidi" w:eastAsia="Calibri" w:hAnsiTheme="majorBidi" w:cstheme="majorBidi"/>
          <w:b/>
          <w:bCs/>
          <w:i/>
          <w:lang w:bidi="ar-SY"/>
        </w:rPr>
        <w:t>akhbatū</w:t>
      </w:r>
      <w:r w:rsidRPr="00B867DF">
        <w:rPr>
          <w:rFonts w:asciiTheme="majorBidi" w:eastAsia="Calibri" w:hAnsiTheme="majorBidi" w:cstheme="majorBidi"/>
          <w:i/>
          <w:iCs/>
          <w:lang w:bidi="ar-SY"/>
        </w:rPr>
        <w:t xml:space="preserve"> ʾilā rabbi-him</w:t>
      </w:r>
      <w:r w:rsidRPr="00B867DF">
        <w:rPr>
          <w:rFonts w:asciiTheme="majorBidi" w:eastAsia="Calibri" w:hAnsiTheme="majorBidi" w:cstheme="majorBidi"/>
          <w:lang w:bidi="ar-SY"/>
        </w:rPr>
        <w:t xml:space="preserve"> » </w:t>
      </w:r>
      <w:r w:rsidRPr="00B867DF">
        <w:rPr>
          <w:rFonts w:asciiTheme="majorBidi" w:hAnsiTheme="majorBidi" w:cstheme="majorBidi"/>
        </w:rPr>
        <w:t>[« </w:t>
      </w:r>
      <w:r w:rsidRPr="00B867DF">
        <w:rPr>
          <w:rFonts w:asciiTheme="majorBidi" w:hAnsiTheme="majorBidi" w:cstheme="majorBidi"/>
          <w:b/>
        </w:rPr>
        <w:t>ont</w:t>
      </w:r>
      <w:r w:rsidRPr="00B867DF">
        <w:rPr>
          <w:rFonts w:asciiTheme="majorBidi" w:hAnsiTheme="majorBidi" w:cstheme="majorBidi"/>
        </w:rPr>
        <w:t xml:space="preserve"> </w:t>
      </w:r>
      <w:r w:rsidRPr="00B867DF">
        <w:rPr>
          <w:rFonts w:asciiTheme="majorBidi" w:eastAsia="Times New Roman" w:hAnsiTheme="majorBidi" w:cstheme="majorBidi"/>
          <w:b/>
          <w:bCs/>
          <w:iCs/>
        </w:rPr>
        <w:t>ressenti contrition</w:t>
      </w:r>
      <w:r w:rsidRPr="00B867DF">
        <w:rPr>
          <w:rFonts w:asciiTheme="majorBidi" w:eastAsia="Times New Roman" w:hAnsiTheme="majorBidi" w:cstheme="majorBidi"/>
        </w:rPr>
        <w:t xml:space="preserve"> devant leur Seigneur » / « </w:t>
      </w:r>
      <w:r w:rsidRPr="00B867DF">
        <w:rPr>
          <w:rFonts w:asciiTheme="majorBidi" w:eastAsia="Calibri" w:hAnsiTheme="majorBidi" w:cstheme="majorBidi"/>
          <w:b/>
          <w:bCs/>
          <w:iCs/>
          <w:lang w:bidi="ar-AE"/>
        </w:rPr>
        <w:t>sont tranquilles</w:t>
      </w:r>
      <w:r w:rsidRPr="00B867DF">
        <w:rPr>
          <w:rFonts w:asciiTheme="majorBidi" w:eastAsia="Calibri" w:hAnsiTheme="majorBidi" w:cstheme="majorBidi"/>
          <w:lang w:bidi="ar-AE"/>
        </w:rPr>
        <w:t xml:space="preserve"> devant leur Seigneur » (Abdelaziz)</w:t>
      </w:r>
      <w:r w:rsidRPr="00B867DF">
        <w:rPr>
          <w:rFonts w:asciiTheme="majorBidi" w:hAnsiTheme="majorBidi" w:cstheme="majorBidi"/>
        </w:rPr>
        <w:t>]</w:t>
      </w:r>
      <w:r w:rsidRPr="00B867DF">
        <w:rPr>
          <w:rFonts w:asciiTheme="majorBidi" w:eastAsia="Calibri" w:hAnsiTheme="majorBidi" w:cstheme="majorBidi"/>
          <w:lang w:bidi="ar-SY"/>
        </w:rPr>
        <w:t xml:space="preserve"> (XI, 23). </w:t>
      </w:r>
      <w:r w:rsidRPr="00B867DF">
        <w:rPr>
          <w:rFonts w:eastAsia="Times New Roman"/>
        </w:rPr>
        <w:t xml:space="preserve">En effet, le verset 35 explique les quatre qualités des </w:t>
      </w:r>
      <w:r w:rsidRPr="00B867DF">
        <w:rPr>
          <w:rFonts w:eastAsia="Times New Roman"/>
          <w:i/>
          <w:iCs/>
          <w:lang w:bidi="ar-AE"/>
        </w:rPr>
        <w:t>mukhbitīn </w:t>
      </w:r>
      <w:r w:rsidR="00935D38">
        <w:rPr>
          <w:rFonts w:eastAsia="Times New Roman"/>
        </w:rPr>
        <w:t xml:space="preserve">: 1) dont les cœurs </w:t>
      </w:r>
      <w:r w:rsidRPr="00B867DF">
        <w:rPr>
          <w:rFonts w:eastAsia="Times New Roman"/>
          <w:i/>
          <w:iCs/>
        </w:rPr>
        <w:t>wajilat</w:t>
      </w:r>
      <w:r w:rsidRPr="00B867DF">
        <w:rPr>
          <w:rFonts w:eastAsia="Times New Roman"/>
        </w:rPr>
        <w:t xml:space="preserve"> (craignent, obéissent, sont sensibles, ou se sont émus de l’émanation de Dieu (Ibn ʿArabī)) lors de l’évocation </w:t>
      </w:r>
      <w:r w:rsidR="00935D38">
        <w:rPr>
          <w:rFonts w:eastAsia="Times New Roman"/>
        </w:rPr>
        <w:t xml:space="preserve">de Dieu ; 2) </w:t>
      </w:r>
      <w:r w:rsidRPr="00B867DF">
        <w:rPr>
          <w:rFonts w:eastAsia="Times New Roman"/>
        </w:rPr>
        <w:t>qui témoignent</w:t>
      </w:r>
      <w:r w:rsidR="00935D38">
        <w:rPr>
          <w:rFonts w:eastAsia="Times New Roman"/>
        </w:rPr>
        <w:t xml:space="preserve"> de la patience à l’épreuve, 3) qui observent la prière, 4) </w:t>
      </w:r>
      <w:r w:rsidRPr="00B867DF">
        <w:rPr>
          <w:rFonts w:eastAsia="Times New Roman"/>
        </w:rPr>
        <w:t>et qui font l’aumône.</w:t>
      </w:r>
    </w:p>
    <w:p w14:paraId="7BBEA053" w14:textId="668186AC" w:rsidR="00296288" w:rsidRPr="00B867DF" w:rsidRDefault="00296288" w:rsidP="00296288">
      <w:pPr>
        <w:spacing w:line="360" w:lineRule="auto"/>
        <w:ind w:firstLine="284"/>
        <w:jc w:val="both"/>
        <w:rPr>
          <w:rFonts w:asciiTheme="majorBidi" w:eastAsia="Times New Roman" w:hAnsiTheme="majorBidi" w:cstheme="majorBidi"/>
        </w:rPr>
      </w:pPr>
      <w:r w:rsidRPr="00B867DF">
        <w:rPr>
          <w:rFonts w:asciiTheme="majorBidi" w:eastAsia="Times New Roman" w:hAnsiTheme="majorBidi" w:cstheme="majorBidi"/>
        </w:rPr>
        <w:t>Cependant, pour expliquer le mot au pluriel et au cas direct (</w:t>
      </w:r>
      <w:r w:rsidRPr="00B867DF">
        <w:rPr>
          <w:rFonts w:asciiTheme="majorBidi" w:eastAsia="Times New Roman" w:hAnsiTheme="majorBidi" w:cstheme="majorBidi"/>
          <w:i/>
          <w:iCs/>
          <w:lang w:bidi="ar-AE"/>
        </w:rPr>
        <w:t>mukhbitīn</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rPr>
        <w:t>les exégètes proposent ces significations :</w:t>
      </w:r>
    </w:p>
    <w:p w14:paraId="5B198D35"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obéissants ;</w:t>
      </w:r>
    </w:p>
    <w:p w14:paraId="7E4B0A3C"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lastRenderedPageBreak/>
        <w:t>ceux qui reviennent à Dieu à travers le repentir (les repentants, les contrits) ;</w:t>
      </w:r>
    </w:p>
    <w:p w14:paraId="1FD493CA"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rassurés par Dieu ;</w:t>
      </w:r>
    </w:p>
    <w:p w14:paraId="393666C1"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modestes ;</w:t>
      </w:r>
    </w:p>
    <w:p w14:paraId="7710C0B1"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ne commettent pas d’injustice ;</w:t>
      </w:r>
    </w:p>
    <w:p w14:paraId="58BD4A8C"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ne se vengent pas ;</w:t>
      </w:r>
    </w:p>
    <w:p w14:paraId="70E1CDA0"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craignent Dieu ;</w:t>
      </w:r>
    </w:p>
    <w:p w14:paraId="219A5B21"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acceptent avec agrément le destin ;</w:t>
      </w:r>
    </w:p>
    <w:p w14:paraId="39A6B8F6" w14:textId="77777777" w:rsidR="00296288" w:rsidRPr="00B867DF" w:rsidRDefault="00296288" w:rsidP="007640DC">
      <w:pPr>
        <w:numPr>
          <w:ilvl w:val="0"/>
          <w:numId w:val="46"/>
        </w:numPr>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croyants en général ;</w:t>
      </w:r>
    </w:p>
    <w:p w14:paraId="4C128324"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fidèles ;</w:t>
      </w:r>
    </w:p>
    <w:p w14:paraId="7D3DEABE"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 xml:space="preserve">dont les esprits se tranquillisent par le </w:t>
      </w:r>
      <w:r w:rsidRPr="00B867DF">
        <w:rPr>
          <w:rFonts w:asciiTheme="majorBidi" w:eastAsia="Times New Roman" w:hAnsiTheme="majorBidi" w:cstheme="majorBidi"/>
          <w:i/>
          <w:iCs/>
        </w:rPr>
        <w:t>dhikr</w:t>
      </w:r>
      <w:r w:rsidRPr="00B867DF">
        <w:rPr>
          <w:rFonts w:asciiTheme="majorBidi" w:eastAsia="Times New Roman" w:hAnsiTheme="majorBidi" w:cstheme="majorBidi"/>
          <w:lang w:bidi="ar-EG"/>
        </w:rPr>
        <w:t xml:space="preserve"> [l’évocation ou le rappel de Dieu] ;</w:t>
      </w:r>
    </w:p>
    <w:p w14:paraId="4B638617"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dont les cœurs sont sensibles (les tendres) (Al-Kalbī) ;</w:t>
      </w:r>
    </w:p>
    <w:p w14:paraId="441BFEFD"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lang w:bidi="ar-EG"/>
        </w:rPr>
        <w:t>dont les cœurs sont pleins de l’amour de Dieu et de son prophète ;</w:t>
      </w:r>
    </w:p>
    <w:p w14:paraId="01121990"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dont les âmes s’imprègnent de la grandeur des noms de Dieu ;</w:t>
      </w:r>
    </w:p>
    <w:p w14:paraId="2E6B6123"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ceux qui rompent avec les actions illicites [</w:t>
      </w:r>
      <w:r w:rsidRPr="00B867DF">
        <w:rPr>
          <w:rFonts w:asciiTheme="majorBidi" w:eastAsia="Times New Roman" w:hAnsiTheme="majorBidi" w:cstheme="majorBidi"/>
          <w:i/>
          <w:iCs/>
        </w:rPr>
        <w:t>al-munkarāt</w:t>
      </w:r>
      <w:r w:rsidRPr="00B867DF">
        <w:rPr>
          <w:rFonts w:asciiTheme="majorBidi" w:eastAsia="Times New Roman" w:hAnsiTheme="majorBidi" w:cstheme="majorBidi"/>
        </w:rPr>
        <w:t xml:space="preserve">] (c.à.d. les véritables </w:t>
      </w:r>
      <w:r w:rsidRPr="00B867DF">
        <w:rPr>
          <w:rFonts w:asciiTheme="majorBidi" w:eastAsia="Times New Roman" w:hAnsiTheme="majorBidi" w:cstheme="majorBidi"/>
          <w:i/>
          <w:iCs/>
        </w:rPr>
        <w:t>muhājirūn</w:t>
      </w:r>
      <w:r w:rsidRPr="00B867DF">
        <w:rPr>
          <w:rFonts w:asciiTheme="majorBidi" w:eastAsia="Times New Roman" w:hAnsiTheme="majorBidi" w:cstheme="majorBidi"/>
        </w:rPr>
        <w:t xml:space="preserve"> [émigrés] qui délaissent ce qu’Allah a interdit) (Shaykhū) ;</w:t>
      </w:r>
    </w:p>
    <w:p w14:paraId="687A3B8E"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humiliés et les soumis (Ibn ʿArabī) ;</w:t>
      </w:r>
    </w:p>
    <w:p w14:paraId="344B92A3"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les adorateurs (Al-Qummī) ;</w:t>
      </w:r>
    </w:p>
    <w:p w14:paraId="5245437E" w14:textId="77777777" w:rsidR="00296288" w:rsidRPr="00B867DF" w:rsidRDefault="00296288" w:rsidP="007640DC">
      <w:pPr>
        <w:numPr>
          <w:ilvl w:val="0"/>
          <w:numId w:val="46"/>
        </w:numPr>
        <w:tabs>
          <w:tab w:val="left" w:pos="851"/>
        </w:tabs>
        <w:spacing w:line="360" w:lineRule="auto"/>
        <w:jc w:val="both"/>
        <w:rPr>
          <w:rFonts w:asciiTheme="majorBidi" w:eastAsia="Times New Roman" w:hAnsiTheme="majorBidi" w:cstheme="majorBidi"/>
        </w:rPr>
      </w:pPr>
      <w:r w:rsidRPr="00B867DF">
        <w:rPr>
          <w:rFonts w:asciiTheme="majorBidi" w:eastAsia="Times New Roman" w:hAnsiTheme="majorBidi" w:cstheme="majorBidi"/>
        </w:rPr>
        <w:t xml:space="preserve">ceux qui, dévoués, se sont résignés à la volonté de Dieu dans leurs raisonnement </w:t>
      </w:r>
      <w:r w:rsidRPr="00B867DF">
        <w:rPr>
          <w:rFonts w:asciiTheme="majorBidi" w:eastAsia="Times New Roman" w:hAnsiTheme="majorBidi" w:cstheme="majorBidi"/>
          <w:lang w:bidi="ar-EG"/>
        </w:rPr>
        <w:t>(Aṭ-Ṭabāṭabāʾī).</w:t>
      </w:r>
    </w:p>
    <w:p w14:paraId="463B0F2A" w14:textId="77777777" w:rsidR="00296288" w:rsidRPr="00B867DF" w:rsidRDefault="00296288" w:rsidP="00296288">
      <w:pPr>
        <w:spacing w:line="360" w:lineRule="auto"/>
        <w:jc w:val="both"/>
        <w:rPr>
          <w:rFonts w:asciiTheme="majorBidi" w:eastAsia="Calibri" w:hAnsiTheme="majorBidi" w:cstheme="majorBidi"/>
          <w:lang w:bidi="ar-AE"/>
        </w:rPr>
      </w:pPr>
    </w:p>
    <w:p w14:paraId="62C1A8A7" w14:textId="77777777" w:rsidR="00296288" w:rsidRPr="00B867DF" w:rsidRDefault="00296288" w:rsidP="00296288">
      <w:pPr>
        <w:spacing w:line="360" w:lineRule="auto"/>
        <w:ind w:firstLine="360"/>
        <w:jc w:val="both"/>
        <w:rPr>
          <w:rFonts w:asciiTheme="majorBidi" w:eastAsia="Calibri" w:hAnsiTheme="majorBidi" w:cstheme="majorBidi"/>
        </w:rPr>
      </w:pPr>
      <w:r w:rsidRPr="00B867DF">
        <w:rPr>
          <w:rFonts w:asciiTheme="majorBidi" w:eastAsia="Calibri" w:hAnsiTheme="majorBidi" w:cstheme="majorBidi"/>
          <w:lang w:bidi="ar-AE"/>
        </w:rPr>
        <w:t xml:space="preserve">Deux significations essentielles priment : les obéissants </w:t>
      </w:r>
      <w:r w:rsidRPr="00B867DF">
        <w:rPr>
          <w:rFonts w:asciiTheme="majorBidi" w:hAnsiTheme="majorBidi" w:cstheme="majorBidi"/>
        </w:rPr>
        <w:t>[</w:t>
      </w:r>
      <w:r w:rsidRPr="00B867DF">
        <w:rPr>
          <w:rFonts w:asciiTheme="majorBidi" w:hAnsiTheme="majorBidi" w:cstheme="majorBidi"/>
          <w:i/>
          <w:iCs/>
        </w:rPr>
        <w:t>al-mu</w:t>
      </w:r>
      <w:r w:rsidRPr="00B867DF">
        <w:rPr>
          <w:rFonts w:asciiTheme="majorBidi" w:eastAsia="Times New Roman" w:hAnsiTheme="majorBidi" w:cstheme="majorBidi"/>
          <w:i/>
          <w:iCs/>
        </w:rPr>
        <w:t>ṭīʿīn</w:t>
      </w:r>
      <w:r w:rsidRPr="00B867DF">
        <w:rPr>
          <w:rFonts w:asciiTheme="majorBidi" w:hAnsiTheme="majorBidi" w:cstheme="majorBidi"/>
        </w:rPr>
        <w:t>]</w:t>
      </w:r>
      <w:r w:rsidRPr="00B867DF">
        <w:rPr>
          <w:rFonts w:asciiTheme="majorBidi" w:eastAsia="Calibri" w:hAnsiTheme="majorBidi" w:cstheme="majorBidi"/>
          <w:lang w:bidi="ar-AE"/>
        </w:rPr>
        <w:t xml:space="preserve"> et </w:t>
      </w:r>
      <w:r w:rsidRPr="00B867DF">
        <w:rPr>
          <w:rFonts w:asciiTheme="majorBidi" w:eastAsia="Calibri" w:hAnsiTheme="majorBidi" w:cstheme="majorBidi"/>
        </w:rPr>
        <w:t xml:space="preserve">les humbles </w:t>
      </w:r>
      <w:r w:rsidRPr="00B867DF">
        <w:rPr>
          <w:rFonts w:asciiTheme="majorBidi" w:hAnsiTheme="majorBidi" w:cstheme="majorBidi"/>
        </w:rPr>
        <w:t>[</w:t>
      </w:r>
      <w:r w:rsidRPr="00B867DF">
        <w:rPr>
          <w:rFonts w:asciiTheme="majorBidi" w:hAnsiTheme="majorBidi" w:cstheme="majorBidi"/>
          <w:i/>
          <w:iCs/>
        </w:rPr>
        <w:t>al-mutawā</w:t>
      </w:r>
      <w:r w:rsidRPr="00B867DF">
        <w:rPr>
          <w:rFonts w:asciiTheme="majorBidi" w:eastAsia="Times New Roman" w:hAnsiTheme="majorBidi" w:cstheme="majorBidi"/>
          <w:i/>
          <w:iCs/>
        </w:rPr>
        <w:t>ḍiʿīn</w:t>
      </w:r>
      <w:r w:rsidRPr="00B867DF">
        <w:rPr>
          <w:rFonts w:asciiTheme="majorBidi" w:hAnsiTheme="majorBidi" w:cstheme="majorBidi"/>
        </w:rPr>
        <w:t>]</w:t>
      </w:r>
      <w:r w:rsidRPr="00B867DF">
        <w:rPr>
          <w:rFonts w:asciiTheme="majorBidi" w:eastAsia="Calibri" w:hAnsiTheme="majorBidi" w:cstheme="majorBidi"/>
        </w:rPr>
        <w:t>, significations compatibles avec l’idéologie de l’islam. L’on sait que l’obéissance est une valeur essentielle dans l’islam.</w:t>
      </w:r>
      <w:r w:rsidRPr="00B867DF">
        <w:rPr>
          <w:rStyle w:val="Appelnotedebasdep"/>
          <w:rFonts w:eastAsia="Calibri"/>
        </w:rPr>
        <w:footnoteReference w:id="295"/>
      </w:r>
    </w:p>
    <w:p w14:paraId="778FD756" w14:textId="77777777" w:rsidR="00296288" w:rsidRPr="00B867DF" w:rsidRDefault="00296288" w:rsidP="00296288">
      <w:pPr>
        <w:spacing w:line="360" w:lineRule="auto"/>
        <w:jc w:val="both"/>
        <w:rPr>
          <w:rFonts w:asciiTheme="majorBidi" w:eastAsia="Calibri" w:hAnsiTheme="majorBidi" w:cstheme="majorBidi"/>
          <w:lang w:bidi="ar-AE"/>
        </w:rPr>
      </w:pPr>
    </w:p>
    <w:p w14:paraId="6444F8E6"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SY"/>
        </w:rPr>
      </w:pPr>
      <w:r w:rsidRPr="00B867DF">
        <w:rPr>
          <w:rFonts w:asciiTheme="majorBidi" w:eastAsia="Calibri" w:hAnsiTheme="majorBidi" w:cstheme="majorBidi"/>
          <w:b/>
          <w:bCs/>
          <w:i/>
          <w:iCs/>
          <w:sz w:val="24"/>
          <w:szCs w:val="24"/>
          <w:lang w:bidi="ar-SY"/>
        </w:rPr>
        <w:t>al-qāniʿ</w:t>
      </w:r>
      <w:r w:rsidRPr="00B867DF">
        <w:rPr>
          <w:rFonts w:asciiTheme="majorBidi" w:eastAsia="Calibri" w:hAnsiTheme="majorBidi" w:cstheme="majorBidi"/>
          <w:b/>
          <w:bCs/>
          <w:sz w:val="24"/>
          <w:szCs w:val="24"/>
          <w:lang w:bidi="ar-SY"/>
        </w:rPr>
        <w:t xml:space="preserve"> (v. 36) : </w:t>
      </w:r>
    </w:p>
    <w:p w14:paraId="450D76BB" w14:textId="5A932EF7" w:rsidR="00296288" w:rsidRPr="00B867DF" w:rsidRDefault="001169E3" w:rsidP="00296288">
      <w:pPr>
        <w:spacing w:line="360" w:lineRule="auto"/>
        <w:ind w:firstLine="360"/>
        <w:jc w:val="both"/>
        <w:rPr>
          <w:rFonts w:asciiTheme="majorBidi" w:eastAsia="Times New Roman" w:hAnsiTheme="majorBidi" w:cstheme="majorBidi"/>
          <w:lang w:bidi="ar-AE"/>
        </w:rPr>
      </w:pPr>
      <w:r>
        <w:rPr>
          <w:rFonts w:eastAsia="Times New Roman"/>
          <w:lang w:bidi="ar-AE"/>
        </w:rPr>
        <w:t xml:space="preserve">Le participe actif </w:t>
      </w:r>
      <w:r>
        <w:rPr>
          <w:rFonts w:eastAsia="Times New Roman"/>
          <w:i/>
          <w:iCs/>
          <w:lang w:bidi="ar-AE"/>
        </w:rPr>
        <w:t>a</w:t>
      </w:r>
      <w:r w:rsidR="00296288" w:rsidRPr="00B867DF">
        <w:rPr>
          <w:rFonts w:eastAsia="Times New Roman"/>
          <w:i/>
          <w:iCs/>
          <w:lang w:bidi="ar-AE"/>
        </w:rPr>
        <w:t>l-qāniʿ</w:t>
      </w:r>
      <w:r>
        <w:rPr>
          <w:rFonts w:eastAsia="Times New Roman"/>
          <w:lang w:bidi="ar-AE"/>
        </w:rPr>
        <w:t xml:space="preserve"> (dérivé du verbe </w:t>
      </w:r>
      <w:r w:rsidR="00296288" w:rsidRPr="00B867DF">
        <w:rPr>
          <w:rFonts w:eastAsia="Times New Roman"/>
          <w:i/>
          <w:iCs/>
          <w:lang w:bidi="ar-AE"/>
        </w:rPr>
        <w:t>qaniʿa</w:t>
      </w:r>
      <w:r w:rsidR="00296288" w:rsidRPr="00B867DF">
        <w:rPr>
          <w:rFonts w:eastAsia="Times New Roman"/>
          <w:lang w:bidi="ar-AE"/>
        </w:rPr>
        <w:t>, se contenter de) peut signifier :</w:t>
      </w:r>
    </w:p>
    <w:p w14:paraId="3090C258"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celui qui se contente de ce qu’on lui donne ;</w:t>
      </w:r>
    </w:p>
    <w:p w14:paraId="3C7C7EB7"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le continent ;</w:t>
      </w:r>
    </w:p>
    <w:p w14:paraId="0F15F6AB"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lastRenderedPageBreak/>
        <w:t xml:space="preserve">le mendiant ; </w:t>
      </w:r>
    </w:p>
    <w:p w14:paraId="58A4BCD6"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le nécessiteux ;</w:t>
      </w:r>
    </w:p>
    <w:p w14:paraId="42ED38DB"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le voisin même s’il est riche ;</w:t>
      </w:r>
    </w:p>
    <w:p w14:paraId="21AAFE9B"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le pauvre ;</w:t>
      </w:r>
    </w:p>
    <w:p w14:paraId="37F63A01"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le riche</w:t>
      </w:r>
      <w:r w:rsidRPr="00B867DF">
        <w:rPr>
          <w:rStyle w:val="Appelnotedebasdep"/>
          <w:rFonts w:asciiTheme="majorBidi" w:hAnsiTheme="majorBidi" w:cstheme="majorBidi"/>
          <w:lang w:eastAsia="fr-FR" w:bidi="ar-AE"/>
        </w:rPr>
        <w:footnoteReference w:id="296"/>
      </w:r>
      <w:r w:rsidRPr="00B867DF">
        <w:rPr>
          <w:rFonts w:asciiTheme="majorBidi" w:hAnsiTheme="majorBidi" w:cstheme="majorBidi"/>
          <w:sz w:val="24"/>
          <w:szCs w:val="24"/>
          <w:lang w:eastAsia="fr-FR" w:bidi="ar-AE"/>
        </w:rPr>
        <w:t> ;</w:t>
      </w:r>
    </w:p>
    <w:p w14:paraId="7C1C0CF4"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l’ami (Amīn Shaykhū en se référant au hadith : « </w:t>
      </w:r>
      <w:r w:rsidRPr="00B867DF">
        <w:rPr>
          <w:rFonts w:asciiTheme="majorBidi" w:hAnsiTheme="majorBidi" w:cstheme="majorBidi"/>
          <w:i/>
          <w:iCs/>
          <w:sz w:val="24"/>
          <w:szCs w:val="24"/>
          <w:lang w:eastAsia="fr-FR" w:bidi="ar-AE"/>
        </w:rPr>
        <w:t>Tahādaū ta</w:t>
      </w:r>
      <w:r w:rsidRPr="00B867DF">
        <w:rPr>
          <w:rFonts w:asciiTheme="majorBidi" w:hAnsiTheme="majorBidi" w:cstheme="majorBidi"/>
          <w:i/>
          <w:iCs/>
          <w:sz w:val="24"/>
          <w:szCs w:val="24"/>
        </w:rPr>
        <w:t>ḥ</w:t>
      </w:r>
      <w:r w:rsidRPr="00B867DF">
        <w:rPr>
          <w:rFonts w:asciiTheme="majorBidi" w:hAnsiTheme="majorBidi" w:cstheme="majorBidi"/>
          <w:i/>
          <w:iCs/>
          <w:sz w:val="24"/>
          <w:szCs w:val="24"/>
          <w:lang w:eastAsia="fr-FR" w:bidi="ar-AE"/>
        </w:rPr>
        <w:t>ābbū </w:t>
      </w:r>
      <w:r w:rsidRPr="00B867DF">
        <w:rPr>
          <w:rFonts w:asciiTheme="majorBidi" w:hAnsiTheme="majorBidi" w:cstheme="majorBidi"/>
          <w:sz w:val="24"/>
          <w:szCs w:val="24"/>
          <w:lang w:eastAsia="fr-FR" w:bidi="ar-AE"/>
        </w:rPr>
        <w:t>» [« Faites-vous des cadeaux, alors vous vous aimerez »]) ;</w:t>
      </w:r>
    </w:p>
    <w:p w14:paraId="5B29EF9D"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eastAsia="Calibri" w:hAnsiTheme="majorBidi" w:cstheme="majorBidi"/>
          <w:sz w:val="24"/>
          <w:szCs w:val="24"/>
        </w:rPr>
      </w:pPr>
      <w:r w:rsidRPr="00B867DF">
        <w:rPr>
          <w:rFonts w:asciiTheme="majorBidi" w:hAnsiTheme="majorBidi" w:cstheme="majorBidi"/>
          <w:sz w:val="24"/>
          <w:szCs w:val="24"/>
          <w:lang w:eastAsia="fr-FR" w:bidi="ar-AE"/>
        </w:rPr>
        <w:t>le pauvre qui vit chastement et qui ne mendie pas (</w:t>
      </w:r>
      <w:r w:rsidRPr="00B867DF">
        <w:rPr>
          <w:rFonts w:asciiTheme="majorBidi" w:eastAsia="Calibri" w:hAnsiTheme="majorBidi" w:cstheme="majorBidi"/>
          <w:sz w:val="24"/>
          <w:szCs w:val="24"/>
        </w:rPr>
        <w:t>Ash-Shaʿrāwī) ;</w:t>
      </w:r>
    </w:p>
    <w:p w14:paraId="72DA475A"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eastAsia="Calibri" w:hAnsiTheme="majorBidi" w:cstheme="majorBidi"/>
          <w:sz w:val="24"/>
          <w:szCs w:val="24"/>
        </w:rPr>
        <w:t>le convoiteur, celui qui t’envie</w:t>
      </w:r>
      <w:r w:rsidRPr="00B867DF">
        <w:rPr>
          <w:rStyle w:val="Appelnotedebasdep"/>
          <w:rFonts w:asciiTheme="majorBidi" w:eastAsia="Calibri" w:hAnsiTheme="majorBidi" w:cstheme="majorBidi"/>
        </w:rPr>
        <w:footnoteReference w:id="297"/>
      </w:r>
      <w:r w:rsidRPr="00B867DF">
        <w:rPr>
          <w:rFonts w:asciiTheme="majorBidi" w:hAnsiTheme="majorBidi" w:cstheme="majorBidi"/>
          <w:sz w:val="24"/>
          <w:szCs w:val="24"/>
          <w:lang w:eastAsia="fr-FR" w:bidi="ar-AE"/>
        </w:rPr>
        <w:t> ;</w:t>
      </w:r>
    </w:p>
    <w:p w14:paraId="3AF0486C" w14:textId="77777777" w:rsidR="00296288" w:rsidRPr="00B867DF" w:rsidRDefault="00296288" w:rsidP="007640DC">
      <w:pPr>
        <w:pStyle w:val="Paragraphedeliste"/>
        <w:numPr>
          <w:ilvl w:val="0"/>
          <w:numId w:val="47"/>
        </w:numPr>
        <w:bidi w:val="0"/>
        <w:spacing w:after="0" w:line="360" w:lineRule="auto"/>
        <w:contextualSpacing/>
        <w:jc w:val="both"/>
        <w:rPr>
          <w:rFonts w:asciiTheme="majorBidi" w:hAnsiTheme="majorBidi" w:cstheme="majorBidi"/>
          <w:sz w:val="24"/>
          <w:szCs w:val="24"/>
          <w:lang w:eastAsia="fr-FR" w:bidi="ar-AE"/>
        </w:rPr>
      </w:pPr>
      <w:r w:rsidRPr="00B867DF">
        <w:rPr>
          <w:rFonts w:asciiTheme="majorBidi" w:hAnsiTheme="majorBidi" w:cstheme="majorBidi"/>
          <w:sz w:val="24"/>
          <w:szCs w:val="24"/>
          <w:lang w:eastAsia="fr-FR" w:bidi="ar-AE"/>
        </w:rPr>
        <w:t>les Mecquois</w:t>
      </w:r>
      <w:r w:rsidRPr="00B867DF">
        <w:rPr>
          <w:rStyle w:val="Appelnotedebasdep"/>
          <w:rFonts w:asciiTheme="majorBidi" w:hAnsiTheme="majorBidi" w:cstheme="majorBidi"/>
          <w:lang w:eastAsia="fr-FR" w:bidi="ar-AE"/>
        </w:rPr>
        <w:footnoteReference w:id="298"/>
      </w:r>
      <w:r w:rsidRPr="00B867DF">
        <w:rPr>
          <w:rFonts w:asciiTheme="majorBidi" w:hAnsiTheme="majorBidi" w:cstheme="majorBidi"/>
          <w:sz w:val="24"/>
          <w:szCs w:val="24"/>
          <w:lang w:eastAsia="fr-FR" w:bidi="ar-AE"/>
        </w:rPr>
        <w:t>.</w:t>
      </w:r>
    </w:p>
    <w:p w14:paraId="2F173379" w14:textId="77777777" w:rsidR="00296288" w:rsidRDefault="00296288" w:rsidP="00296288">
      <w:pPr>
        <w:spacing w:line="360" w:lineRule="auto"/>
        <w:jc w:val="both"/>
        <w:rPr>
          <w:rFonts w:asciiTheme="majorBidi" w:eastAsia="Calibri" w:hAnsiTheme="majorBidi" w:cstheme="majorBidi"/>
          <w:lang w:bidi="ar-SY"/>
        </w:rPr>
      </w:pPr>
    </w:p>
    <w:p w14:paraId="196171AF" w14:textId="77777777" w:rsidR="00295192" w:rsidRDefault="00295192" w:rsidP="00296288">
      <w:pPr>
        <w:spacing w:line="360" w:lineRule="auto"/>
        <w:jc w:val="both"/>
        <w:rPr>
          <w:rFonts w:asciiTheme="majorBidi" w:eastAsia="Calibri" w:hAnsiTheme="majorBidi" w:cstheme="majorBidi"/>
          <w:lang w:bidi="ar-SY"/>
        </w:rPr>
      </w:pPr>
    </w:p>
    <w:p w14:paraId="4A5317A5" w14:textId="77777777" w:rsidR="00295192" w:rsidRPr="00B867DF" w:rsidRDefault="00295192" w:rsidP="00296288">
      <w:pPr>
        <w:spacing w:line="360" w:lineRule="auto"/>
        <w:jc w:val="both"/>
        <w:rPr>
          <w:rFonts w:asciiTheme="majorBidi" w:eastAsia="Calibri" w:hAnsiTheme="majorBidi" w:cstheme="majorBidi"/>
          <w:lang w:bidi="ar-SY"/>
        </w:rPr>
      </w:pPr>
    </w:p>
    <w:p w14:paraId="281E7370"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SY"/>
        </w:rPr>
      </w:pPr>
      <w:r w:rsidRPr="00B867DF">
        <w:rPr>
          <w:rFonts w:asciiTheme="majorBidi" w:eastAsia="Calibri" w:hAnsiTheme="majorBidi" w:cstheme="majorBidi"/>
          <w:b/>
          <w:bCs/>
          <w:i/>
          <w:iCs/>
          <w:sz w:val="24"/>
          <w:szCs w:val="24"/>
          <w:lang w:bidi="ar-SY"/>
        </w:rPr>
        <w:t>al-muʿtarr</w:t>
      </w:r>
      <w:r w:rsidRPr="00B867DF">
        <w:rPr>
          <w:rFonts w:asciiTheme="majorBidi" w:eastAsia="Calibri" w:hAnsiTheme="majorBidi" w:cstheme="majorBidi"/>
          <w:b/>
          <w:bCs/>
          <w:sz w:val="24"/>
          <w:szCs w:val="24"/>
          <w:lang w:bidi="ar-SY"/>
        </w:rPr>
        <w:t xml:space="preserve"> (v. 36) :</w:t>
      </w:r>
    </w:p>
    <w:p w14:paraId="333F584B" w14:textId="77777777" w:rsidR="00296288" w:rsidRPr="00B867DF" w:rsidRDefault="00296288" w:rsidP="00296288">
      <w:pPr>
        <w:spacing w:line="360" w:lineRule="auto"/>
        <w:ind w:firstLine="360"/>
        <w:jc w:val="both"/>
        <w:rPr>
          <w:rFonts w:eastAsia="Times New Roman"/>
          <w:lang w:bidi="ar-AE"/>
        </w:rPr>
      </w:pPr>
      <w:r w:rsidRPr="00B867DF">
        <w:rPr>
          <w:rFonts w:eastAsia="Times New Roman"/>
          <w:lang w:bidi="ar-AE"/>
        </w:rPr>
        <w:t xml:space="preserve">L’adjectif </w:t>
      </w:r>
      <w:r>
        <w:rPr>
          <w:rFonts w:eastAsia="Times New Roman"/>
          <w:i/>
          <w:iCs/>
          <w:lang w:bidi="ar-AE"/>
        </w:rPr>
        <w:t>a</w:t>
      </w:r>
      <w:r w:rsidRPr="00B867DF">
        <w:rPr>
          <w:rFonts w:eastAsia="Times New Roman"/>
          <w:i/>
          <w:iCs/>
          <w:lang w:bidi="ar-AE"/>
        </w:rPr>
        <w:t>l-muʿtarr </w:t>
      </w:r>
      <w:r w:rsidRPr="00B867DF">
        <w:rPr>
          <w:rFonts w:eastAsia="Times New Roman"/>
          <w:lang w:bidi="ar-AE"/>
        </w:rPr>
        <w:t xml:space="preserve">(participe actif du verbe </w:t>
      </w:r>
      <w:r w:rsidRPr="00B867DF">
        <w:rPr>
          <w:rFonts w:eastAsia="Times New Roman"/>
          <w:i/>
          <w:iCs/>
          <w:lang w:bidi="ar-AE"/>
        </w:rPr>
        <w:t>iʿtarra</w:t>
      </w:r>
      <w:r w:rsidRPr="00B867DF">
        <w:rPr>
          <w:rFonts w:eastAsia="Times New Roman"/>
          <w:lang w:bidi="ar-AE"/>
        </w:rPr>
        <w:t xml:space="preserve"> [</w:t>
      </w:r>
      <w:r w:rsidRPr="00B867DF">
        <w:rPr>
          <w:rFonts w:eastAsia="Times New Roman"/>
          <w:i/>
          <w:iCs/>
          <w:lang w:bidi="ar-AE"/>
        </w:rPr>
        <w:t>iʿtaraḍa</w:t>
      </w:r>
      <w:r w:rsidRPr="00B867DF">
        <w:rPr>
          <w:rFonts w:eastAsia="Times New Roman"/>
          <w:lang w:bidi="ar-AE"/>
        </w:rPr>
        <w:t>], se trouver sur le chemin de quelqu’un) peut désigner plusieurs choses : 1-le mendiant ; 2-l’ami ; 3-le visiteur (l’hôte) ; 4-celui qui demande de manger de la viande, qu’il soit pauvre ou riche ; 5-le pauvre ; 6-celui qui s’expose dans la rue pour chercher à manger sans mendier ; 7-le satisfait ; 8-tous les gens sauf les Mecquois</w:t>
      </w:r>
      <w:r w:rsidRPr="00B867DF">
        <w:rPr>
          <w:rStyle w:val="Appelnotedebasdep"/>
          <w:lang w:bidi="ar-AE"/>
        </w:rPr>
        <w:footnoteReference w:id="299"/>
      </w:r>
      <w:r w:rsidRPr="00B867DF">
        <w:rPr>
          <w:rFonts w:eastAsia="Times New Roman"/>
          <w:lang w:bidi="ar-AE"/>
        </w:rPr>
        <w:t xml:space="preserve"> ; 8-le nécessiteux ; 9-le pauvre qui se dirige vers toi pour manger ou qui frappe à ta porte </w:t>
      </w:r>
      <w:r w:rsidRPr="00B867DF">
        <w:rPr>
          <w:rFonts w:eastAsia="Times New Roman"/>
          <w:lang w:bidi="ar-EG"/>
        </w:rPr>
        <w:t>(Aṭ-Ṭabāṭabāʾī)</w:t>
      </w:r>
      <w:r w:rsidRPr="00B867DF">
        <w:rPr>
          <w:rFonts w:eastAsia="Times New Roman"/>
          <w:lang w:bidi="ar-AE"/>
        </w:rPr>
        <w:t> ; 10-le pauvre qui quémande (</w:t>
      </w:r>
      <w:r w:rsidRPr="00B867DF">
        <w:rPr>
          <w:rFonts w:eastAsia="Calibri"/>
        </w:rPr>
        <w:t>Ash-Shaʿrāwī) ; 11-le pauvre qui te croise</w:t>
      </w:r>
      <w:r w:rsidRPr="00B867DF">
        <w:rPr>
          <w:rStyle w:val="Appelnotedebasdep"/>
          <w:rFonts w:eastAsia="Calibri"/>
        </w:rPr>
        <w:footnoteReference w:id="300"/>
      </w:r>
      <w:r w:rsidRPr="00B867DF">
        <w:rPr>
          <w:rFonts w:eastAsia="Times New Roman"/>
          <w:lang w:bidi="ar-AE"/>
        </w:rPr>
        <w:t>.</w:t>
      </w:r>
    </w:p>
    <w:p w14:paraId="202B0F76" w14:textId="77777777" w:rsidR="00296288" w:rsidRPr="00B867DF" w:rsidRDefault="00296288" w:rsidP="00296288">
      <w:pPr>
        <w:spacing w:line="360" w:lineRule="auto"/>
        <w:jc w:val="both"/>
        <w:rPr>
          <w:rFonts w:eastAsia="Times New Roman"/>
          <w:lang w:bidi="ar-AE"/>
        </w:rPr>
      </w:pPr>
    </w:p>
    <w:p w14:paraId="2EFCF005" w14:textId="3422ADDE" w:rsidR="00296288" w:rsidRPr="00B867DF" w:rsidRDefault="00296288" w:rsidP="00296288">
      <w:pPr>
        <w:spacing w:line="360" w:lineRule="auto"/>
        <w:ind w:firstLine="360"/>
        <w:jc w:val="both"/>
        <w:rPr>
          <w:rFonts w:eastAsia="Times New Roman"/>
          <w:lang w:bidi="ar-AE"/>
        </w:rPr>
      </w:pPr>
      <w:r w:rsidRPr="00B867DF">
        <w:rPr>
          <w:rFonts w:eastAsia="Times New Roman"/>
          <w:lang w:bidi="ar-AE"/>
        </w:rPr>
        <w:t>Nous remarquons qu</w:t>
      </w:r>
      <w:r w:rsidR="001169E3">
        <w:rPr>
          <w:rFonts w:eastAsia="Times New Roman"/>
          <w:lang w:bidi="ar-AE"/>
        </w:rPr>
        <w:t>e ces deux mots polysémiques (</w:t>
      </w:r>
      <w:r w:rsidR="001169E3">
        <w:rPr>
          <w:rFonts w:eastAsia="Times New Roman"/>
          <w:i/>
          <w:iCs/>
          <w:lang w:bidi="ar-AE"/>
        </w:rPr>
        <w:t>a</w:t>
      </w:r>
      <w:r w:rsidRPr="00B867DF">
        <w:rPr>
          <w:rFonts w:eastAsia="Times New Roman"/>
          <w:i/>
          <w:iCs/>
          <w:lang w:bidi="ar-AE"/>
        </w:rPr>
        <w:t>l-qāniʿ</w:t>
      </w:r>
      <w:r w:rsidR="001169E3">
        <w:rPr>
          <w:rFonts w:eastAsia="Times New Roman"/>
          <w:lang w:bidi="ar-AE"/>
        </w:rPr>
        <w:t xml:space="preserve"> et </w:t>
      </w:r>
      <w:r w:rsidR="001169E3" w:rsidRPr="001169E3">
        <w:rPr>
          <w:rFonts w:eastAsia="Times New Roman"/>
          <w:i/>
          <w:iCs/>
          <w:lang w:bidi="ar-AE"/>
        </w:rPr>
        <w:t>a</w:t>
      </w:r>
      <w:r w:rsidRPr="00B867DF">
        <w:rPr>
          <w:rFonts w:eastAsia="Times New Roman"/>
          <w:i/>
          <w:iCs/>
          <w:lang w:bidi="ar-AE"/>
        </w:rPr>
        <w:t>l-muʿtarr</w:t>
      </w:r>
      <w:r w:rsidRPr="00B867DF">
        <w:rPr>
          <w:rFonts w:eastAsia="Times New Roman"/>
          <w:lang w:bidi="ar-AE"/>
        </w:rPr>
        <w:t>) peuvent être synonymes ou antonymes.</w:t>
      </w:r>
    </w:p>
    <w:p w14:paraId="3890B49A" w14:textId="77777777" w:rsidR="00296288" w:rsidRPr="00B867DF" w:rsidRDefault="00296288" w:rsidP="00296288">
      <w:pPr>
        <w:spacing w:line="360" w:lineRule="auto"/>
        <w:jc w:val="both"/>
        <w:rPr>
          <w:rFonts w:asciiTheme="majorBidi" w:eastAsia="Calibri" w:hAnsiTheme="majorBidi" w:cstheme="majorBidi"/>
          <w:lang w:bidi="ar-SY"/>
        </w:rPr>
      </w:pPr>
    </w:p>
    <w:p w14:paraId="226D480C"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AE"/>
        </w:rPr>
      </w:pPr>
      <w:r w:rsidRPr="00B867DF">
        <w:rPr>
          <w:rFonts w:asciiTheme="majorBidi" w:eastAsia="Calibri" w:hAnsiTheme="majorBidi" w:cstheme="majorBidi"/>
          <w:b/>
          <w:bCs/>
          <w:i/>
          <w:iCs/>
          <w:sz w:val="24"/>
          <w:szCs w:val="24"/>
          <w:lang w:bidi="ar-AE"/>
        </w:rPr>
        <w:t>ṣawāmiʿ</w:t>
      </w:r>
      <w:r w:rsidRPr="00B867DF">
        <w:rPr>
          <w:rFonts w:asciiTheme="majorBidi" w:eastAsia="Calibri" w:hAnsiTheme="majorBidi" w:cstheme="majorBidi"/>
          <w:b/>
          <w:bCs/>
          <w:sz w:val="24"/>
          <w:szCs w:val="24"/>
          <w:lang w:bidi="ar-AE"/>
        </w:rPr>
        <w:t xml:space="preserve"> (v. 40) :</w:t>
      </w:r>
    </w:p>
    <w:p w14:paraId="5571AE81"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Les exégètes ne savent pas ce que le Coran veut dire par </w:t>
      </w:r>
      <w:r w:rsidRPr="00B867DF">
        <w:rPr>
          <w:rFonts w:eastAsia="Times New Roman"/>
          <w:i/>
          <w:iCs/>
        </w:rPr>
        <w:t>ṣawāmiʿ</w:t>
      </w:r>
      <w:r w:rsidRPr="00B867DF">
        <w:rPr>
          <w:rFonts w:eastAsia="Times New Roman"/>
        </w:rPr>
        <w:t xml:space="preserve"> (pl. de </w:t>
      </w:r>
      <w:r w:rsidRPr="00B867DF">
        <w:rPr>
          <w:rFonts w:eastAsia="Times New Roman"/>
          <w:i/>
          <w:iCs/>
        </w:rPr>
        <w:t>ṣawmaʿa</w:t>
      </w:r>
      <w:r w:rsidRPr="00B867DF">
        <w:rPr>
          <w:rFonts w:eastAsia="Times New Roman"/>
        </w:rPr>
        <w:t>). Ils proposent comme significations : 1</w:t>
      </w:r>
      <w:r>
        <w:rPr>
          <w:rFonts w:eastAsia="Times New Roman"/>
        </w:rPr>
        <w:t xml:space="preserve">) </w:t>
      </w:r>
      <w:r w:rsidRPr="00B867DF">
        <w:rPr>
          <w:rFonts w:eastAsia="Times New Roman"/>
        </w:rPr>
        <w:t>des couvents de moines chrétiens (ou plutôt </w:t>
      </w:r>
      <w:r>
        <w:rPr>
          <w:rFonts w:eastAsia="Times New Roman"/>
        </w:rPr>
        <w:t xml:space="preserve">nazaréens) ; 2) </w:t>
      </w:r>
      <w:r w:rsidRPr="00B867DF">
        <w:rPr>
          <w:rFonts w:eastAsia="Times New Roman"/>
        </w:rPr>
        <w:t>des temples de sabéens ; 3</w:t>
      </w:r>
      <w:r>
        <w:rPr>
          <w:rFonts w:eastAsia="Times New Roman"/>
        </w:rPr>
        <w:t xml:space="preserve">) </w:t>
      </w:r>
      <w:r w:rsidRPr="00B867DF">
        <w:rPr>
          <w:rFonts w:eastAsia="Times New Roman"/>
        </w:rPr>
        <w:t>des petits temples des zoroastriens ; 4</w:t>
      </w:r>
      <w:r>
        <w:rPr>
          <w:rFonts w:eastAsia="Times New Roman"/>
        </w:rPr>
        <w:t xml:space="preserve">) </w:t>
      </w:r>
      <w:r w:rsidRPr="00B867DF">
        <w:rPr>
          <w:rFonts w:eastAsia="Times New Roman"/>
        </w:rPr>
        <w:t xml:space="preserve">des maisons qui donnent sur </w:t>
      </w:r>
      <w:r w:rsidRPr="00B867DF">
        <w:rPr>
          <w:rFonts w:eastAsia="Times New Roman"/>
        </w:rPr>
        <w:lastRenderedPageBreak/>
        <w:t>les routes (Ibn Kathīr d’après Muqātil ibn Ḥ</w:t>
      </w:r>
      <w:r>
        <w:rPr>
          <w:rFonts w:eastAsia="Times New Roman"/>
        </w:rPr>
        <w:t xml:space="preserve">ayyān) ; 5) </w:t>
      </w:r>
      <w:r w:rsidRPr="00B867DF">
        <w:rPr>
          <w:rFonts w:eastAsia="Times New Roman"/>
        </w:rPr>
        <w:t>des lieux de culte juifs ; 6</w:t>
      </w:r>
      <w:r>
        <w:rPr>
          <w:rFonts w:eastAsia="Times New Roman"/>
        </w:rPr>
        <w:t xml:space="preserve">) </w:t>
      </w:r>
      <w:r w:rsidRPr="00B867DF">
        <w:rPr>
          <w:rFonts w:eastAsia="Times New Roman"/>
        </w:rPr>
        <w:t>des minarets musulmans, car ce terme a été utilisé plus tard pour désigner des minarets pour les musulmans (Al-Qurṭubī, d’après Qatāda).</w:t>
      </w:r>
    </w:p>
    <w:p w14:paraId="054062E8" w14:textId="77777777" w:rsidR="00296288" w:rsidRPr="00B867DF" w:rsidRDefault="00296288" w:rsidP="00296288">
      <w:pPr>
        <w:spacing w:line="360" w:lineRule="auto"/>
        <w:jc w:val="both"/>
        <w:rPr>
          <w:rFonts w:asciiTheme="majorBidi" w:eastAsia="Calibri" w:hAnsiTheme="majorBidi" w:cstheme="majorBidi"/>
          <w:lang w:bidi="ar-AE"/>
        </w:rPr>
      </w:pPr>
    </w:p>
    <w:p w14:paraId="121F222B"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AE"/>
        </w:rPr>
      </w:pPr>
      <w:r w:rsidRPr="00B867DF">
        <w:rPr>
          <w:rFonts w:asciiTheme="majorBidi" w:eastAsia="Calibri" w:hAnsiTheme="majorBidi" w:cstheme="majorBidi"/>
          <w:b/>
          <w:bCs/>
          <w:i/>
          <w:iCs/>
          <w:sz w:val="24"/>
          <w:szCs w:val="24"/>
          <w:lang w:bidi="ar-AE"/>
        </w:rPr>
        <w:t>biyaʿ</w:t>
      </w:r>
      <w:r w:rsidRPr="00B867DF">
        <w:rPr>
          <w:rFonts w:asciiTheme="majorBidi" w:eastAsia="Calibri" w:hAnsiTheme="majorBidi" w:cstheme="majorBidi"/>
          <w:b/>
          <w:bCs/>
          <w:sz w:val="24"/>
          <w:szCs w:val="24"/>
          <w:lang w:bidi="ar-AE"/>
        </w:rPr>
        <w:t xml:space="preserve"> (v. 40) :</w:t>
      </w:r>
    </w:p>
    <w:p w14:paraId="4F6E94D3" w14:textId="77777777" w:rsidR="00296288" w:rsidRPr="00B867DF" w:rsidRDefault="00296288" w:rsidP="00296288">
      <w:pPr>
        <w:spacing w:line="360" w:lineRule="auto"/>
        <w:ind w:firstLine="360"/>
        <w:jc w:val="both"/>
        <w:rPr>
          <w:rFonts w:eastAsia="Times New Roman"/>
        </w:rPr>
      </w:pPr>
      <w:r w:rsidRPr="00B867DF">
        <w:rPr>
          <w:rFonts w:eastAsia="Times New Roman"/>
        </w:rPr>
        <w:t xml:space="preserve">Les exégètes ne savent non plus si le mot </w:t>
      </w:r>
      <w:r w:rsidRPr="00B867DF">
        <w:rPr>
          <w:rFonts w:eastAsia="Times New Roman"/>
          <w:i/>
          <w:iCs/>
        </w:rPr>
        <w:t>biyaʿ</w:t>
      </w:r>
      <w:r w:rsidRPr="00B867DF">
        <w:rPr>
          <w:rFonts w:eastAsia="Times New Roman"/>
        </w:rPr>
        <w:t xml:space="preserve"> (pl. de </w:t>
      </w:r>
      <w:r w:rsidRPr="00B867DF">
        <w:rPr>
          <w:rFonts w:eastAsia="Times New Roman"/>
          <w:i/>
          <w:iCs/>
        </w:rPr>
        <w:t>bīʿa</w:t>
      </w:r>
      <w:r w:rsidRPr="00B867DF">
        <w:rPr>
          <w:rFonts w:eastAsia="Times New Roman"/>
        </w:rPr>
        <w:t>) désigne : 1</w:t>
      </w:r>
      <w:r>
        <w:rPr>
          <w:rFonts w:eastAsia="Times New Roman"/>
        </w:rPr>
        <w:t xml:space="preserve">) </w:t>
      </w:r>
      <w:r w:rsidRPr="00B867DF">
        <w:rPr>
          <w:rFonts w:eastAsia="Times New Roman"/>
        </w:rPr>
        <w:t>un lieu de</w:t>
      </w:r>
      <w:r>
        <w:rPr>
          <w:rFonts w:eastAsia="Times New Roman"/>
        </w:rPr>
        <w:t xml:space="preserve"> culte nazaréen ou chrétien ; 2) </w:t>
      </w:r>
      <w:r w:rsidRPr="00B867DF">
        <w:rPr>
          <w:rFonts w:eastAsia="Times New Roman"/>
        </w:rPr>
        <w:t>un lieu de culte juif ; 3</w:t>
      </w:r>
      <w:r>
        <w:rPr>
          <w:rFonts w:eastAsia="Times New Roman"/>
        </w:rPr>
        <w:t xml:space="preserve">) </w:t>
      </w:r>
      <w:r w:rsidRPr="00B867DF">
        <w:rPr>
          <w:rFonts w:eastAsia="Times New Roman"/>
        </w:rPr>
        <w:t>ou tout ermitage où le croyant vend (</w:t>
      </w:r>
      <w:r w:rsidRPr="00B867DF">
        <w:rPr>
          <w:rFonts w:eastAsia="Times New Roman"/>
          <w:i/>
          <w:iCs/>
        </w:rPr>
        <w:t>yabīʿu</w:t>
      </w:r>
      <w:r w:rsidRPr="00B867DF">
        <w:rPr>
          <w:rFonts w:eastAsia="Times New Roman"/>
        </w:rPr>
        <w:t xml:space="preserve">) son âme à Dieu (on a interprété le terme </w:t>
      </w:r>
      <w:r w:rsidRPr="00B867DF">
        <w:rPr>
          <w:rFonts w:eastAsia="Times New Roman"/>
          <w:i/>
          <w:iCs/>
        </w:rPr>
        <w:t>bīʿa</w:t>
      </w:r>
      <w:r w:rsidRPr="00B867DF">
        <w:rPr>
          <w:rFonts w:eastAsia="Times New Roman"/>
        </w:rPr>
        <w:t xml:space="preserve"> à la lumière du verbe </w:t>
      </w:r>
      <w:r w:rsidRPr="00B867DF">
        <w:rPr>
          <w:rFonts w:eastAsia="Times New Roman"/>
          <w:i/>
          <w:iCs/>
        </w:rPr>
        <w:t>bāʿa</w:t>
      </w:r>
      <w:r w:rsidRPr="00B867DF">
        <w:rPr>
          <w:rFonts w:eastAsia="Times New Roman"/>
        </w:rPr>
        <w:t xml:space="preserve"> [vendre], c’est la méthode exégétique d’Amīn Shaykhū).</w:t>
      </w:r>
    </w:p>
    <w:p w14:paraId="60504E3F" w14:textId="77777777" w:rsidR="00296288" w:rsidRPr="00B867DF" w:rsidRDefault="00296288" w:rsidP="00296288">
      <w:pPr>
        <w:spacing w:line="360" w:lineRule="auto"/>
        <w:jc w:val="both"/>
        <w:rPr>
          <w:rFonts w:asciiTheme="majorBidi" w:eastAsia="Calibri" w:hAnsiTheme="majorBidi" w:cstheme="majorBidi"/>
          <w:lang w:bidi="ar-AE"/>
        </w:rPr>
      </w:pPr>
    </w:p>
    <w:p w14:paraId="03D6C0CD"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b/>
          <w:bCs/>
          <w:sz w:val="24"/>
          <w:szCs w:val="24"/>
          <w:lang w:bidi="ar-AE"/>
        </w:rPr>
      </w:pPr>
      <w:r w:rsidRPr="00B867DF">
        <w:rPr>
          <w:rFonts w:asciiTheme="majorBidi" w:eastAsia="Calibri" w:hAnsiTheme="majorBidi" w:cstheme="majorBidi"/>
          <w:b/>
          <w:bCs/>
          <w:i/>
          <w:iCs/>
          <w:sz w:val="24"/>
          <w:szCs w:val="24"/>
          <w:lang w:bidi="ar-AE"/>
        </w:rPr>
        <w:t>ṣalawāt</w:t>
      </w:r>
      <w:r w:rsidRPr="00B867DF">
        <w:rPr>
          <w:rFonts w:asciiTheme="majorBidi" w:eastAsia="Calibri" w:hAnsiTheme="majorBidi" w:cstheme="majorBidi"/>
          <w:b/>
          <w:bCs/>
          <w:sz w:val="24"/>
          <w:szCs w:val="24"/>
          <w:lang w:bidi="ar-AE"/>
        </w:rPr>
        <w:t xml:space="preserve"> (v. 40) :</w:t>
      </w:r>
    </w:p>
    <w:p w14:paraId="60AF19E4" w14:textId="154B171C" w:rsidR="00296288" w:rsidRPr="00B867DF" w:rsidRDefault="00B85662" w:rsidP="00296288">
      <w:pPr>
        <w:spacing w:line="360" w:lineRule="auto"/>
        <w:ind w:firstLine="360"/>
        <w:jc w:val="both"/>
        <w:rPr>
          <w:rFonts w:asciiTheme="majorBidi" w:eastAsia="Times New Roman" w:hAnsiTheme="majorBidi" w:cstheme="majorBidi"/>
          <w:rtl/>
        </w:rPr>
      </w:pPr>
      <w:r>
        <w:rPr>
          <w:rFonts w:eastAsia="Times New Roman"/>
        </w:rPr>
        <w:t xml:space="preserve">Le terme au pluriel </w:t>
      </w:r>
      <w:r w:rsidR="00296288" w:rsidRPr="00B867DF">
        <w:rPr>
          <w:rFonts w:eastAsia="Times New Roman"/>
          <w:i/>
          <w:iCs/>
        </w:rPr>
        <w:t>ṣalawāt</w:t>
      </w:r>
      <w:r w:rsidR="00296288" w:rsidRPr="00B867DF">
        <w:rPr>
          <w:rFonts w:eastAsia="Times New Roman"/>
        </w:rPr>
        <w:t xml:space="preserve"> désigne des lieux de culte juifs, sabéens, chrétiens (notamment dans les déserts) ou même musulmans. </w:t>
      </w:r>
      <w:r w:rsidR="00296288" w:rsidRPr="00B867DF">
        <w:rPr>
          <w:rFonts w:asciiTheme="majorBidi" w:eastAsia="Times New Roman" w:hAnsiTheme="majorBidi" w:cstheme="majorBidi"/>
        </w:rPr>
        <w:t xml:space="preserve">Les </w:t>
      </w:r>
      <w:r w:rsidR="00296288" w:rsidRPr="00B867DF">
        <w:rPr>
          <w:rFonts w:asciiTheme="majorBidi" w:eastAsia="Calibri" w:hAnsiTheme="majorBidi" w:cstheme="majorBidi"/>
          <w:i/>
          <w:iCs/>
          <w:lang w:bidi="ar-AE"/>
        </w:rPr>
        <w:t>ṣalawāt</w:t>
      </w:r>
      <w:r w:rsidR="00296288" w:rsidRPr="00B867DF">
        <w:rPr>
          <w:rFonts w:asciiTheme="majorBidi" w:eastAsia="Calibri" w:hAnsiTheme="majorBidi" w:cstheme="majorBidi"/>
          <w:b/>
          <w:bCs/>
          <w:lang w:bidi="ar-AE"/>
        </w:rPr>
        <w:t xml:space="preserve"> </w:t>
      </w:r>
      <w:r w:rsidR="00296288" w:rsidRPr="00B867DF">
        <w:rPr>
          <w:rFonts w:eastAsia="Times New Roman"/>
        </w:rPr>
        <w:t>peuvent donc désigner des temples mandéens, des synagogues, des églises, des monastères, des mosquées. Ce mot semble être un emprunt étranger du fait qu’elle peut se lire de 17 manières :</w:t>
      </w:r>
      <w:r w:rsidR="00296288" w:rsidRPr="00B867DF">
        <w:rPr>
          <w:rFonts w:eastAsia="Times New Roman"/>
          <w:i/>
          <w:iCs/>
        </w:rPr>
        <w:t xml:space="preserve"> ṣalawāt </w:t>
      </w:r>
      <w:r w:rsidR="00296288" w:rsidRPr="00B867DF">
        <w:rPr>
          <w:rFonts w:eastAsia="Times New Roman"/>
        </w:rPr>
        <w:t xml:space="preserve">; </w:t>
      </w:r>
      <w:r w:rsidR="00296288" w:rsidRPr="00B867DF">
        <w:rPr>
          <w:rFonts w:eastAsia="Times New Roman"/>
          <w:i/>
          <w:iCs/>
          <w:shd w:val="clear" w:color="auto" w:fill="FFFFFF"/>
          <w:lang w:bidi="ar-KW"/>
        </w:rPr>
        <w:t>ṣuluwāt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ṣilawāt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ṣulawāt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ṣalwāt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ṣulūt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ṣulūta </w:t>
      </w:r>
      <w:r w:rsidR="00296288" w:rsidRPr="00B867DF">
        <w:rPr>
          <w:rFonts w:eastAsia="Times New Roman"/>
          <w:shd w:val="clear" w:color="auto" w:fill="FFFFFF"/>
          <w:lang w:bidi="ar-KW"/>
        </w:rPr>
        <w:t>;</w:t>
      </w:r>
      <w:r w:rsidR="00296288" w:rsidRPr="00B867DF">
        <w:rPr>
          <w:rFonts w:eastAsia="Times New Roman"/>
          <w:i/>
          <w:iCs/>
          <w:shd w:val="clear" w:color="auto" w:fill="FFFFFF"/>
          <w:lang w:bidi="ar-KW"/>
        </w:rPr>
        <w:t xml:space="preserve"> ṣalūt</w:t>
      </w:r>
      <w:r w:rsidR="00296288" w:rsidRPr="00B867DF">
        <w:rPr>
          <w:i/>
          <w:iCs/>
          <w:shd w:val="clear" w:color="auto" w:fill="FFFFFF"/>
          <w:lang w:bidi="ar-KW"/>
        </w:rPr>
        <w:t>h </w:t>
      </w:r>
      <w:r w:rsidR="00296288" w:rsidRPr="00B867DF">
        <w:rPr>
          <w:lang w:bidi="ar-AE"/>
        </w:rPr>
        <w:t>;</w:t>
      </w:r>
      <w:r w:rsidR="00296288" w:rsidRPr="00B867DF">
        <w:rPr>
          <w:i/>
          <w:iCs/>
          <w:shd w:val="clear" w:color="auto" w:fill="FFFFFF"/>
          <w:lang w:bidi="ar-KW"/>
        </w:rPr>
        <w:t xml:space="preserve"> </w:t>
      </w:r>
      <w:r w:rsidR="00296288" w:rsidRPr="00B867DF">
        <w:rPr>
          <w:rFonts w:eastAsia="Times New Roman"/>
          <w:i/>
          <w:iCs/>
          <w:shd w:val="clear" w:color="auto" w:fill="FFFFFF"/>
          <w:lang w:bidi="ar-KW"/>
        </w:rPr>
        <w:t>ṣulūt</w:t>
      </w:r>
      <w:r w:rsidR="00296288" w:rsidRPr="00B867DF">
        <w:rPr>
          <w:i/>
          <w:iCs/>
          <w:shd w:val="clear" w:color="auto" w:fill="FFFFFF"/>
          <w:lang w:bidi="ar-KW"/>
        </w:rPr>
        <w:t>h </w:t>
      </w:r>
      <w:r w:rsidR="00296288" w:rsidRPr="00B867DF">
        <w:rPr>
          <w:lang w:bidi="ar-AE"/>
        </w:rPr>
        <w:t>;</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ṣuluwath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ṣulūthā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ṣulawāth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ṣilawāth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ṣulūb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ṣalūt </w:t>
      </w:r>
      <w:r w:rsidR="00296288" w:rsidRPr="00B867DF">
        <w:rPr>
          <w:rFonts w:eastAsia="Times New Roman"/>
          <w:shd w:val="clear" w:color="auto" w:fill="FFFFFF"/>
          <w:lang w:bidi="ar-KW"/>
        </w:rPr>
        <w:t xml:space="preserve">; </w:t>
      </w:r>
      <w:r w:rsidR="00296288" w:rsidRPr="00B867DF">
        <w:rPr>
          <w:rFonts w:eastAsia="Times New Roman"/>
          <w:i/>
          <w:iCs/>
          <w:shd w:val="clear" w:color="auto" w:fill="FFFFFF"/>
          <w:lang w:bidi="ar-KW"/>
        </w:rPr>
        <w:t>ṣulūlā </w:t>
      </w:r>
      <w:r w:rsidR="00296288" w:rsidRPr="00B867DF">
        <w:rPr>
          <w:rFonts w:eastAsia="Times New Roman"/>
          <w:shd w:val="clear" w:color="auto" w:fill="FFFFFF"/>
          <w:lang w:bidi="ar-KW"/>
        </w:rPr>
        <w:t xml:space="preserve">; </w:t>
      </w:r>
      <w:r w:rsidR="00296288" w:rsidRPr="00B867DF">
        <w:rPr>
          <w:rFonts w:eastAsia="Times New Roman"/>
          <w:i/>
          <w:iCs/>
        </w:rPr>
        <w:t>ṣilwīthā</w:t>
      </w:r>
      <w:r w:rsidR="00296288" w:rsidRPr="00B867DF">
        <w:rPr>
          <w:rStyle w:val="Appelnotedebasdep"/>
        </w:rPr>
        <w:footnoteReference w:id="301"/>
      </w:r>
      <w:r w:rsidR="00296288" w:rsidRPr="00B867DF">
        <w:rPr>
          <w:rFonts w:eastAsia="Times New Roman"/>
        </w:rPr>
        <w:t xml:space="preserve">. Ainsi, il est vu par les exégètes anciens </w:t>
      </w:r>
      <w:r w:rsidR="00296288" w:rsidRPr="00B867DF">
        <w:rPr>
          <w:rFonts w:eastAsia="Times New Roman"/>
          <w:lang w:bidi="ar-AE"/>
        </w:rPr>
        <w:t>Aṭ-Ṭabarī</w:t>
      </w:r>
      <w:r w:rsidR="00296288" w:rsidRPr="00B867DF">
        <w:rPr>
          <w:rFonts w:eastAsia="Times New Roman"/>
        </w:rPr>
        <w:t xml:space="preserve"> </w:t>
      </w:r>
      <w:r w:rsidR="00296288" w:rsidRPr="00B867DF">
        <w:rPr>
          <w:rFonts w:eastAsia="Calibri"/>
        </w:rPr>
        <w:t>(m. 923)</w:t>
      </w:r>
      <w:r w:rsidR="00296288" w:rsidRPr="00B867DF">
        <w:rPr>
          <w:rFonts w:eastAsia="Times New Roman"/>
        </w:rPr>
        <w:t xml:space="preserve">, al-Baghawī </w:t>
      </w:r>
      <w:r w:rsidR="00296288" w:rsidRPr="00B867DF">
        <w:rPr>
          <w:rFonts w:eastAsia="Calibri"/>
        </w:rPr>
        <w:t>(m. 1116/1122)</w:t>
      </w:r>
      <w:r w:rsidR="00296288" w:rsidRPr="00B867DF">
        <w:rPr>
          <w:rFonts w:eastAsia="Times New Roman"/>
        </w:rPr>
        <w:t xml:space="preserve"> et al-Qurṭubī </w:t>
      </w:r>
      <w:r w:rsidR="00296288" w:rsidRPr="00B867DF">
        <w:rPr>
          <w:rFonts w:eastAsia="Calibri" w:cs="Arial"/>
          <w:lang w:bidi="ar-EG"/>
        </w:rPr>
        <w:t>(</w:t>
      </w:r>
      <w:r w:rsidR="00296288" w:rsidRPr="00B867DF">
        <w:rPr>
          <w:lang w:bidi="ar-EG"/>
        </w:rPr>
        <w:t xml:space="preserve">m. </w:t>
      </w:r>
      <w:r w:rsidR="00296288" w:rsidRPr="00B867DF">
        <w:rPr>
          <w:rFonts w:eastAsia="Calibri" w:cs="Arial"/>
          <w:lang w:bidi="ar-EG"/>
        </w:rPr>
        <w:t>1273)</w:t>
      </w:r>
      <w:r w:rsidR="00296288" w:rsidRPr="00B867DF">
        <w:rPr>
          <w:rFonts w:eastAsia="Calibri" w:cs="Arial"/>
          <w:b/>
          <w:bCs/>
          <w:lang w:bidi="ar-EG"/>
        </w:rPr>
        <w:t xml:space="preserve"> </w:t>
      </w:r>
      <w:r w:rsidR="00296288" w:rsidRPr="00B867DF">
        <w:rPr>
          <w:rFonts w:eastAsia="Times New Roman"/>
        </w:rPr>
        <w:t xml:space="preserve">comme une transcription d’un mot hébreu. Cette allusion à l’origine hébraïque a disparu des exégèses ultérieures. </w:t>
      </w:r>
      <w:r w:rsidR="00296288" w:rsidRPr="00B867DF">
        <w:rPr>
          <w:rFonts w:asciiTheme="majorBidi" w:eastAsia="Times New Roman" w:hAnsiTheme="majorBidi" w:cstheme="majorBidi"/>
        </w:rPr>
        <w:t xml:space="preserve">Il est à noter que ce mot hapax </w:t>
      </w:r>
      <w:r w:rsidR="00296288">
        <w:rPr>
          <w:rFonts w:asciiTheme="majorBidi" w:eastAsia="Times New Roman" w:hAnsiTheme="majorBidi" w:cstheme="majorBidi"/>
        </w:rPr>
        <w:t xml:space="preserve">est différent de son homonyme </w:t>
      </w:r>
      <w:r w:rsidR="00296288" w:rsidRPr="00381FBF">
        <w:rPr>
          <w:rFonts w:asciiTheme="majorBidi" w:eastAsia="Calibri" w:hAnsiTheme="majorBidi" w:cstheme="majorBidi"/>
          <w:i/>
          <w:iCs/>
          <w:lang w:bidi="ar-AE"/>
        </w:rPr>
        <w:t>ṣalawāt</w:t>
      </w:r>
      <w:r w:rsidR="00296288" w:rsidRPr="00B867DF">
        <w:rPr>
          <w:rFonts w:asciiTheme="majorBidi" w:eastAsia="Calibri" w:hAnsiTheme="majorBidi" w:cstheme="majorBidi"/>
          <w:lang w:bidi="ar-AE"/>
        </w:rPr>
        <w:t xml:space="preserve"> qui signifie : « prières ».</w:t>
      </w:r>
    </w:p>
    <w:p w14:paraId="38811A1E" w14:textId="77777777" w:rsidR="00296288" w:rsidRPr="00B867DF" w:rsidRDefault="00296288" w:rsidP="00296288">
      <w:pPr>
        <w:spacing w:line="360" w:lineRule="auto"/>
        <w:jc w:val="both"/>
        <w:rPr>
          <w:rFonts w:asciiTheme="majorBidi" w:eastAsia="Times New Roman" w:hAnsiTheme="majorBidi" w:cstheme="majorBidi"/>
        </w:rPr>
      </w:pPr>
    </w:p>
    <w:p w14:paraId="4BD3C604" w14:textId="77777777" w:rsidR="00296288" w:rsidRPr="00B867DF" w:rsidRDefault="00296288" w:rsidP="007640DC">
      <w:pPr>
        <w:pStyle w:val="Paragraphedeliste"/>
        <w:numPr>
          <w:ilvl w:val="0"/>
          <w:numId w:val="26"/>
        </w:numPr>
        <w:bidi w:val="0"/>
        <w:spacing w:after="0" w:line="360" w:lineRule="auto"/>
        <w:contextualSpacing/>
        <w:jc w:val="both"/>
        <w:rPr>
          <w:rFonts w:asciiTheme="majorBidi" w:eastAsia="Calibri" w:hAnsiTheme="majorBidi" w:cstheme="majorBidi"/>
          <w:sz w:val="24"/>
          <w:szCs w:val="24"/>
          <w:lang w:bidi="ar-SY"/>
        </w:rPr>
      </w:pPr>
      <w:r w:rsidRPr="00B867DF">
        <w:rPr>
          <w:rFonts w:asciiTheme="majorBidi" w:eastAsia="Calibri" w:hAnsiTheme="majorBidi" w:cstheme="majorBidi"/>
          <w:b/>
          <w:bCs/>
          <w:i/>
          <w:iCs/>
          <w:sz w:val="24"/>
          <w:szCs w:val="24"/>
          <w:lang w:bidi="ar-SY"/>
        </w:rPr>
        <w:t>muʿaṭṭala</w:t>
      </w:r>
      <w:r w:rsidRPr="00B867DF">
        <w:rPr>
          <w:rFonts w:asciiTheme="majorBidi" w:eastAsia="Calibri" w:hAnsiTheme="majorBidi" w:cstheme="majorBidi"/>
          <w:b/>
          <w:bCs/>
          <w:sz w:val="24"/>
          <w:szCs w:val="24"/>
          <w:lang w:bidi="ar-SY"/>
        </w:rPr>
        <w:t xml:space="preserve"> (45) :</w:t>
      </w:r>
    </w:p>
    <w:p w14:paraId="16606E7B" w14:textId="77777777" w:rsidR="00296288" w:rsidRPr="00B867DF" w:rsidRDefault="00296288" w:rsidP="00296288">
      <w:pPr>
        <w:spacing w:line="360" w:lineRule="auto"/>
        <w:ind w:firstLine="360"/>
        <w:jc w:val="both"/>
        <w:rPr>
          <w:rFonts w:eastAsia="Times New Roman"/>
        </w:rPr>
      </w:pPr>
      <w:r w:rsidRPr="00B867DF">
        <w:rPr>
          <w:rFonts w:asciiTheme="majorBidi" w:eastAsia="Calibri" w:hAnsiTheme="majorBidi" w:cstheme="majorBidi"/>
          <w:lang w:bidi="ar-SY"/>
        </w:rPr>
        <w:t>Ce participe passif au féminin est un hapax, mais la racine verbale est utilisée au passif une seule fois dans « </w:t>
      </w:r>
      <w:r>
        <w:rPr>
          <w:rFonts w:asciiTheme="majorBidi" w:eastAsia="Calibri" w:hAnsiTheme="majorBidi" w:cstheme="majorBidi" w:hint="cs"/>
          <w:rtl/>
          <w:lang w:bidi="ar-SY"/>
        </w:rPr>
        <w:t xml:space="preserve">وإذا العِشارُ </w:t>
      </w:r>
      <w:r w:rsidRPr="000C2F01">
        <w:rPr>
          <w:rFonts w:asciiTheme="majorBidi" w:eastAsia="Calibri" w:hAnsiTheme="majorBidi" w:cstheme="majorBidi" w:hint="cs"/>
          <w:b/>
          <w:bCs/>
          <w:rtl/>
          <w:lang w:bidi="ar-SY"/>
        </w:rPr>
        <w:t>عُطّ</w:t>
      </w:r>
      <w:r w:rsidRPr="00896D1B">
        <w:rPr>
          <w:rFonts w:asciiTheme="majorBidi" w:eastAsia="Calibri" w:hAnsiTheme="majorBidi" w:cstheme="majorBidi" w:hint="cs"/>
          <w:b/>
          <w:bCs/>
          <w:rtl/>
          <w:lang w:bidi="ar-SY"/>
        </w:rPr>
        <w:t>ِلَت</w:t>
      </w:r>
      <w:r w:rsidRPr="00B867DF">
        <w:rPr>
          <w:rFonts w:asciiTheme="majorBidi" w:eastAsia="Calibri" w:hAnsiTheme="majorBidi" w:cstheme="majorBidi"/>
          <w:i/>
          <w:lang w:bidi="ar-SY"/>
        </w:rPr>
        <w:t> </w:t>
      </w:r>
      <w:r w:rsidRPr="00B867DF">
        <w:rPr>
          <w:rFonts w:asciiTheme="majorBidi" w:eastAsia="Calibri" w:hAnsiTheme="majorBidi" w:cstheme="majorBidi"/>
          <w:lang w:bidi="ar-SY"/>
        </w:rPr>
        <w:t xml:space="preserve">» </w:t>
      </w:r>
      <w:r w:rsidRPr="00B867DF">
        <w:rPr>
          <w:rFonts w:asciiTheme="majorBidi" w:hAnsiTheme="majorBidi" w:cstheme="majorBidi"/>
        </w:rPr>
        <w:t>[</w:t>
      </w:r>
      <w:r w:rsidRPr="00B867DF">
        <w:rPr>
          <w:rFonts w:asciiTheme="majorBidi" w:eastAsia="Times New Roman" w:hAnsiTheme="majorBidi" w:cstheme="majorBidi"/>
        </w:rPr>
        <w:t xml:space="preserve">que (chamelles) pleines à dix mois </w:t>
      </w:r>
      <w:r w:rsidRPr="00B867DF">
        <w:rPr>
          <w:rFonts w:asciiTheme="majorBidi" w:eastAsia="Times New Roman" w:hAnsiTheme="majorBidi" w:cstheme="majorBidi"/>
          <w:b/>
          <w:bCs/>
          <w:i/>
          <w:iCs/>
        </w:rPr>
        <w:t>seront délaissées</w:t>
      </w:r>
      <w:r w:rsidRPr="00B867DF">
        <w:rPr>
          <w:rFonts w:asciiTheme="majorBidi" w:hAnsiTheme="majorBidi" w:cstheme="majorBidi"/>
        </w:rPr>
        <w:t>]</w:t>
      </w:r>
      <w:r w:rsidRPr="00B867DF">
        <w:rPr>
          <w:rFonts w:asciiTheme="majorBidi" w:eastAsia="Calibri" w:hAnsiTheme="majorBidi" w:cstheme="majorBidi"/>
          <w:lang w:bidi="ar-SY"/>
        </w:rPr>
        <w:t xml:space="preserve"> (LXXXI, 4). </w:t>
      </w:r>
      <w:r w:rsidRPr="00B867DF">
        <w:rPr>
          <w:rFonts w:eastAsia="Times New Roman"/>
        </w:rPr>
        <w:t xml:space="preserve">L’adjectif féminin </w:t>
      </w:r>
      <w:r w:rsidRPr="00B867DF">
        <w:rPr>
          <w:rFonts w:eastAsia="Times New Roman"/>
          <w:i/>
          <w:iCs/>
        </w:rPr>
        <w:t>muʿaṭṭala</w:t>
      </w:r>
      <w:r w:rsidRPr="00B867DF">
        <w:rPr>
          <w:rFonts w:eastAsia="Times New Roman"/>
        </w:rPr>
        <w:t xml:space="preserve"> qui décrit le puits peut signifier : 1</w:t>
      </w:r>
      <w:r>
        <w:rPr>
          <w:rFonts w:eastAsia="Times New Roman"/>
        </w:rPr>
        <w:t xml:space="preserve">) </w:t>
      </w:r>
      <w:r w:rsidRPr="00B867DF">
        <w:rPr>
          <w:rFonts w:eastAsia="Times New Roman"/>
        </w:rPr>
        <w:t>négligée (mais qui contient de l’eau) ; 2</w:t>
      </w:r>
      <w:r>
        <w:rPr>
          <w:rFonts w:eastAsia="Times New Roman"/>
        </w:rPr>
        <w:t xml:space="preserve">) </w:t>
      </w:r>
      <w:r w:rsidRPr="00B867DF">
        <w:rPr>
          <w:rFonts w:eastAsia="Times New Roman"/>
        </w:rPr>
        <w:t>dont l’eau est absorbée par le sol (asséché) ;</w:t>
      </w:r>
      <w:r>
        <w:rPr>
          <w:rFonts w:eastAsia="Times New Roman"/>
        </w:rPr>
        <w:t xml:space="preserve"> 3) </w:t>
      </w:r>
      <w:r w:rsidRPr="00B867DF">
        <w:rPr>
          <w:rFonts w:eastAsia="Times New Roman"/>
        </w:rPr>
        <w:t>négligée parce que les usagers sont morts damnés ; ou 4</w:t>
      </w:r>
      <w:r>
        <w:rPr>
          <w:rFonts w:eastAsia="Times New Roman"/>
        </w:rPr>
        <w:t xml:space="preserve">) </w:t>
      </w:r>
      <w:r w:rsidRPr="00B867DF">
        <w:rPr>
          <w:rFonts w:eastAsia="Times New Roman"/>
        </w:rPr>
        <w:t>l’imam qui s’est occulté et de qui on ne peut plus rien apprendre (Al-Qummī)</w:t>
      </w:r>
      <w:r>
        <w:rPr>
          <w:rFonts w:eastAsia="Times New Roman"/>
        </w:rPr>
        <w:t xml:space="preserve"> ; 5) </w:t>
      </w:r>
      <w:r w:rsidRPr="00B867DF">
        <w:rPr>
          <w:rFonts w:eastAsia="Times New Roman"/>
        </w:rPr>
        <w:t>une allusion au fait que les usagers étaient riches et habitaient les palais (ash-Shaʿrāwī).</w:t>
      </w:r>
    </w:p>
    <w:p w14:paraId="0C7B3529" w14:textId="77777777" w:rsidR="00296288" w:rsidRDefault="00296288" w:rsidP="00296288">
      <w:pPr>
        <w:spacing w:line="360" w:lineRule="auto"/>
        <w:jc w:val="both"/>
        <w:rPr>
          <w:rFonts w:eastAsia="Times New Roman"/>
          <w:lang w:bidi="ar-EG"/>
        </w:rPr>
      </w:pPr>
    </w:p>
    <w:p w14:paraId="5C464693" w14:textId="3361AAEE" w:rsidR="00E819D4" w:rsidRDefault="00E819D4" w:rsidP="00296288">
      <w:pPr>
        <w:spacing w:line="360" w:lineRule="auto"/>
        <w:jc w:val="both"/>
        <w:rPr>
          <w:rFonts w:eastAsia="Times New Roman"/>
          <w:lang w:bidi="ar-EG"/>
        </w:rPr>
      </w:pPr>
      <w:r>
        <w:rPr>
          <w:rFonts w:eastAsia="Times New Roman"/>
          <w:lang w:bidi="ar-EG"/>
        </w:rPr>
        <w:lastRenderedPageBreak/>
        <w:br w:type="page"/>
      </w:r>
    </w:p>
    <w:p w14:paraId="44E730F2" w14:textId="77777777" w:rsidR="00E819D4" w:rsidRPr="002B5C8E" w:rsidRDefault="00E819D4" w:rsidP="00296288">
      <w:pPr>
        <w:spacing w:line="360" w:lineRule="auto"/>
        <w:jc w:val="both"/>
        <w:rPr>
          <w:rFonts w:eastAsia="Times New Roman"/>
          <w:lang w:bidi="ar-EG"/>
        </w:rPr>
      </w:pPr>
    </w:p>
    <w:p w14:paraId="0B59DDC1" w14:textId="2D633DC2" w:rsidR="00296288" w:rsidRPr="006A2BA6" w:rsidRDefault="00296288" w:rsidP="00876BB0">
      <w:pPr>
        <w:pStyle w:val="Paragraphedeliste"/>
        <w:numPr>
          <w:ilvl w:val="1"/>
          <w:numId w:val="122"/>
        </w:numPr>
        <w:bidi w:val="0"/>
        <w:spacing w:line="360" w:lineRule="auto"/>
        <w:rPr>
          <w:rFonts w:asciiTheme="majorBidi" w:eastAsia="Calibri" w:hAnsiTheme="majorBidi" w:cstheme="majorBidi"/>
          <w:b/>
          <w:bCs/>
          <w:sz w:val="24"/>
          <w:szCs w:val="24"/>
          <w:lang w:bidi="ar-AE"/>
        </w:rPr>
      </w:pPr>
      <w:r w:rsidRPr="006A2BA6">
        <w:rPr>
          <w:rFonts w:asciiTheme="majorBidi" w:eastAsia="Calibri" w:hAnsiTheme="majorBidi" w:cstheme="majorBidi"/>
          <w:b/>
          <w:bCs/>
          <w:sz w:val="24"/>
          <w:szCs w:val="24"/>
          <w:lang w:bidi="ar-AE"/>
        </w:rPr>
        <w:t>Polysémie des noms de Dieu :</w:t>
      </w:r>
    </w:p>
    <w:p w14:paraId="119CFAE0" w14:textId="77777777" w:rsidR="00296288" w:rsidRPr="0072451F" w:rsidRDefault="00296288" w:rsidP="007640DC">
      <w:pPr>
        <w:pStyle w:val="Paragraphedeliste"/>
        <w:numPr>
          <w:ilvl w:val="0"/>
          <w:numId w:val="63"/>
        </w:numPr>
        <w:bidi w:val="0"/>
        <w:spacing w:after="0" w:line="360" w:lineRule="auto"/>
        <w:contextualSpacing/>
        <w:jc w:val="both"/>
        <w:rPr>
          <w:rFonts w:asciiTheme="majorBidi" w:hAnsiTheme="majorBidi" w:cstheme="majorBidi"/>
          <w:b/>
          <w:bCs/>
          <w:sz w:val="24"/>
          <w:szCs w:val="24"/>
          <w:lang w:eastAsia="fr-FR" w:bidi="ar-EG"/>
        </w:rPr>
      </w:pPr>
      <w:r w:rsidRPr="002B5C8E">
        <w:rPr>
          <w:rFonts w:asciiTheme="majorBidi" w:hAnsiTheme="majorBidi" w:cstheme="majorBidi"/>
          <w:b/>
          <w:bCs/>
          <w:sz w:val="24"/>
          <w:szCs w:val="24"/>
          <w:lang w:eastAsia="fr-FR" w:bidi="ar-EG"/>
        </w:rPr>
        <w:t>Significations du</w:t>
      </w:r>
      <w:r w:rsidRPr="0072451F">
        <w:rPr>
          <w:rFonts w:asciiTheme="majorBidi" w:hAnsiTheme="majorBidi" w:cstheme="majorBidi"/>
          <w:b/>
          <w:bCs/>
          <w:sz w:val="24"/>
          <w:szCs w:val="24"/>
          <w:lang w:eastAsia="fr-FR" w:bidi="ar-EG"/>
        </w:rPr>
        <w:t xml:space="preserve"> nom de Dieu </w:t>
      </w:r>
      <w:r w:rsidRPr="0072451F">
        <w:rPr>
          <w:rFonts w:asciiTheme="majorBidi" w:hAnsiTheme="majorBidi" w:cstheme="majorBidi"/>
          <w:b/>
          <w:bCs/>
          <w:i/>
          <w:iCs/>
          <w:sz w:val="24"/>
          <w:szCs w:val="24"/>
          <w:lang w:eastAsia="fr-FR" w:bidi="ar-EG"/>
        </w:rPr>
        <w:t>al-ḥaqq</w:t>
      </w:r>
      <w:r w:rsidRPr="0072451F">
        <w:rPr>
          <w:rFonts w:asciiTheme="majorBidi" w:hAnsiTheme="majorBidi" w:cstheme="majorBidi"/>
          <w:b/>
          <w:bCs/>
          <w:sz w:val="24"/>
          <w:szCs w:val="24"/>
          <w:lang w:eastAsia="fr-FR" w:bidi="ar-EG"/>
        </w:rPr>
        <w:t xml:space="preserve"> (v. 6) :</w:t>
      </w:r>
    </w:p>
    <w:p w14:paraId="4E511AF9" w14:textId="04CFC0CD" w:rsidR="00296288" w:rsidRPr="00B867DF" w:rsidRDefault="00296288" w:rsidP="00296288">
      <w:pPr>
        <w:spacing w:line="360" w:lineRule="auto"/>
        <w:ind w:firstLine="708"/>
        <w:jc w:val="both"/>
        <w:rPr>
          <w:rFonts w:asciiTheme="majorBidi" w:eastAsia="Times New Roman" w:hAnsiTheme="majorBidi" w:cstheme="majorBidi"/>
          <w:lang w:bidi="ar-EG"/>
        </w:rPr>
      </w:pPr>
      <w:r w:rsidRPr="00B867DF">
        <w:rPr>
          <w:rFonts w:asciiTheme="majorBidi" w:eastAsia="Times New Roman" w:hAnsiTheme="majorBidi" w:cstheme="majorBidi"/>
          <w:lang w:bidi="ar-AE"/>
        </w:rPr>
        <w:t xml:space="preserve">Les noms de Dieu restent polysémiques. </w:t>
      </w:r>
      <w:r w:rsidRPr="00B867DF">
        <w:rPr>
          <w:rFonts w:asciiTheme="majorBidi" w:eastAsia="Times New Roman" w:hAnsiTheme="majorBidi" w:cstheme="majorBidi"/>
          <w:lang w:bidi="ar-EG"/>
        </w:rPr>
        <w:t xml:space="preserve">Les preuves de la résurrection évoquées dans le verset 5 ont pour objectif de montrer que Dieu est </w:t>
      </w:r>
      <w:r w:rsidRPr="00B867DF">
        <w:rPr>
          <w:rFonts w:asciiTheme="majorBidi" w:eastAsia="Times New Roman" w:hAnsiTheme="majorBidi" w:cstheme="majorBidi"/>
          <w:i/>
          <w:iCs/>
          <w:lang w:bidi="ar-EG"/>
        </w:rPr>
        <w:t>al-</w:t>
      </w:r>
      <w:r w:rsidR="00B85662" w:rsidRPr="00B867DF">
        <w:rPr>
          <w:rFonts w:asciiTheme="majorBidi" w:eastAsia="Times New Roman" w:hAnsiTheme="majorBidi" w:cstheme="majorBidi"/>
          <w:i/>
          <w:iCs/>
          <w:lang w:bidi="ar-EG"/>
        </w:rPr>
        <w:t>ḥ</w:t>
      </w:r>
      <w:r w:rsidRPr="00B867DF">
        <w:rPr>
          <w:rFonts w:asciiTheme="majorBidi" w:eastAsia="Times New Roman" w:hAnsiTheme="majorBidi" w:cstheme="majorBidi"/>
          <w:i/>
          <w:iCs/>
          <w:lang w:bidi="ar-EG"/>
        </w:rPr>
        <w:t>aqq</w:t>
      </w:r>
      <w:r w:rsidRPr="00B867DF">
        <w:rPr>
          <w:rFonts w:asciiTheme="majorBidi" w:eastAsia="Times New Roman" w:hAnsiTheme="majorBidi" w:cstheme="majorBidi"/>
          <w:lang w:bidi="ar-EG"/>
        </w:rPr>
        <w:t xml:space="preserve"> [le Vrai] (v. 6). Ce nom de Dieu peut signifier :</w:t>
      </w:r>
    </w:p>
    <w:p w14:paraId="188493C2"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le contraire du faux, du vain, de l’illusion ;</w:t>
      </w:r>
    </w:p>
    <w:p w14:paraId="31253007"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l’Être nécessaire quant à l’existence [</w:t>
      </w:r>
      <w:r w:rsidRPr="00B867DF">
        <w:rPr>
          <w:rFonts w:asciiTheme="majorBidi" w:hAnsiTheme="majorBidi" w:cstheme="majorBidi"/>
          <w:i/>
          <w:iCs/>
          <w:sz w:val="24"/>
          <w:szCs w:val="24"/>
          <w:lang w:eastAsia="fr-FR" w:bidi="ar-EG"/>
        </w:rPr>
        <w:t>wājib al-wujūd</w:t>
      </w:r>
      <w:r w:rsidRPr="00B867DF">
        <w:rPr>
          <w:rFonts w:asciiTheme="majorBidi" w:hAnsiTheme="majorBidi" w:cstheme="majorBidi"/>
          <w:sz w:val="24"/>
          <w:szCs w:val="24"/>
          <w:lang w:eastAsia="fr-FR" w:bidi="ar-EG"/>
        </w:rPr>
        <w:t>] ;</w:t>
      </w:r>
    </w:p>
    <w:p w14:paraId="7AB03902"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l’Être qui ne change pas ;</w:t>
      </w:r>
    </w:p>
    <w:p w14:paraId="5587F1F8"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 xml:space="preserve">Celui dont la création et le don subsiste </w:t>
      </w:r>
      <w:r w:rsidRPr="00B867DF">
        <w:rPr>
          <w:rFonts w:asciiTheme="majorBidi" w:hAnsiTheme="majorBidi" w:cstheme="majorBidi"/>
          <w:sz w:val="24"/>
          <w:szCs w:val="24"/>
          <w:lang w:eastAsia="fr-FR" w:bidi="ar-AE"/>
        </w:rPr>
        <w:t>(Ash-Shaʿrāwī) </w:t>
      </w:r>
      <w:r w:rsidRPr="00B867DF">
        <w:rPr>
          <w:rFonts w:asciiTheme="majorBidi" w:hAnsiTheme="majorBidi" w:cstheme="majorBidi"/>
          <w:sz w:val="24"/>
          <w:szCs w:val="24"/>
          <w:lang w:eastAsia="fr-FR" w:bidi="ar-EG"/>
        </w:rPr>
        <w:t>;</w:t>
      </w:r>
    </w:p>
    <w:p w14:paraId="5B5A94D4"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Celui qui ne meurt pas ;</w:t>
      </w:r>
    </w:p>
    <w:p w14:paraId="3D0C6BC6"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le Permanent ou l’Éternel</w:t>
      </w:r>
      <w:r w:rsidRPr="00B867DF">
        <w:rPr>
          <w:rFonts w:asciiTheme="majorBidi" w:hAnsiTheme="majorBidi" w:cstheme="majorBidi"/>
          <w:i/>
          <w:iCs/>
          <w:sz w:val="24"/>
          <w:szCs w:val="24"/>
          <w:lang w:eastAsia="fr-FR" w:bidi="ar-EG"/>
        </w:rPr>
        <w:t xml:space="preserve"> </w:t>
      </w:r>
      <w:r w:rsidRPr="00B867DF">
        <w:rPr>
          <w:rFonts w:asciiTheme="majorBidi" w:hAnsiTheme="majorBidi" w:cstheme="majorBidi"/>
          <w:sz w:val="24"/>
          <w:szCs w:val="24"/>
          <w:lang w:eastAsia="fr-FR" w:bidi="ar-EG"/>
        </w:rPr>
        <w:t>[</w:t>
      </w:r>
      <w:r w:rsidRPr="00B867DF">
        <w:rPr>
          <w:rFonts w:asciiTheme="majorBidi" w:hAnsiTheme="majorBidi" w:cstheme="majorBidi"/>
          <w:i/>
          <w:iCs/>
          <w:sz w:val="24"/>
          <w:szCs w:val="24"/>
          <w:lang w:eastAsia="fr-FR" w:bidi="ar-EG"/>
        </w:rPr>
        <w:t>ad-Dāʾim</w:t>
      </w:r>
      <w:r w:rsidRPr="00B867DF">
        <w:rPr>
          <w:rFonts w:asciiTheme="majorBidi" w:hAnsiTheme="majorBidi" w:cstheme="majorBidi"/>
          <w:sz w:val="24"/>
          <w:szCs w:val="24"/>
          <w:lang w:eastAsia="fr-FR" w:bidi="ar-EG"/>
        </w:rPr>
        <w:t>] ;</w:t>
      </w:r>
    </w:p>
    <w:p w14:paraId="208F4DD8"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le Pérenne, Celui dont l’existence exempte d’anéantissement et de changement s’impose à la raison saine qui ne peut prétendre le contraire [</w:t>
      </w:r>
      <w:r w:rsidRPr="00B867DF">
        <w:rPr>
          <w:rFonts w:asciiTheme="majorBidi" w:hAnsiTheme="majorBidi" w:cstheme="majorBidi"/>
          <w:i/>
          <w:iCs/>
          <w:sz w:val="24"/>
          <w:szCs w:val="24"/>
          <w:lang w:eastAsia="fr-FR" w:bidi="ar-EG"/>
        </w:rPr>
        <w:t>Al-Bāqī</w:t>
      </w:r>
      <w:r w:rsidRPr="00B867DF">
        <w:rPr>
          <w:rFonts w:asciiTheme="majorBidi" w:hAnsiTheme="majorBidi" w:cstheme="majorBidi"/>
          <w:sz w:val="24"/>
          <w:szCs w:val="24"/>
          <w:lang w:eastAsia="fr-FR" w:bidi="ar-EG"/>
        </w:rPr>
        <w:t>] ;</w:t>
      </w:r>
    </w:p>
    <w:p w14:paraId="34AA12D0"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 xml:space="preserve"> Celui ayant droit sur ses Serviteurs [</w:t>
      </w:r>
      <w:r w:rsidRPr="00B867DF">
        <w:rPr>
          <w:rFonts w:asciiTheme="majorBidi" w:hAnsiTheme="majorBidi" w:cstheme="majorBidi"/>
          <w:i/>
          <w:iCs/>
          <w:sz w:val="24"/>
          <w:szCs w:val="24"/>
          <w:lang w:eastAsia="fr-FR" w:bidi="ar-EG"/>
        </w:rPr>
        <w:t>Dhu l-ḥaqq ʿalā ʿibādi-hi</w:t>
      </w:r>
      <w:r w:rsidRPr="00B867DF">
        <w:rPr>
          <w:rFonts w:asciiTheme="majorBidi" w:hAnsiTheme="majorBidi" w:cstheme="majorBidi"/>
          <w:sz w:val="24"/>
          <w:szCs w:val="24"/>
          <w:lang w:eastAsia="fr-FR" w:bidi="ar-EG"/>
        </w:rPr>
        <w:t>] ;</w:t>
      </w:r>
    </w:p>
    <w:p w14:paraId="7BA08A01" w14:textId="77777777" w:rsidR="00296288" w:rsidRPr="00B867DF" w:rsidRDefault="00296288" w:rsidP="007640DC">
      <w:pPr>
        <w:pStyle w:val="Paragraphedeliste"/>
        <w:numPr>
          <w:ilvl w:val="0"/>
          <w:numId w:val="25"/>
        </w:numPr>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Celui par qui tout s’actualise ; l’Immuable ;</w:t>
      </w:r>
    </w:p>
    <w:p w14:paraId="58DB3D66" w14:textId="77777777" w:rsidR="00296288" w:rsidRPr="00B867DF" w:rsidRDefault="00296288" w:rsidP="007640DC">
      <w:pPr>
        <w:pStyle w:val="Paragraphedeliste"/>
        <w:numPr>
          <w:ilvl w:val="0"/>
          <w:numId w:val="25"/>
        </w:numPr>
        <w:tabs>
          <w:tab w:val="left" w:pos="851"/>
        </w:tabs>
        <w:bidi w:val="0"/>
        <w:spacing w:after="0" w:line="360" w:lineRule="auto"/>
        <w:contextualSpacing/>
        <w:jc w:val="both"/>
        <w:rPr>
          <w:rFonts w:asciiTheme="majorBidi" w:hAnsiTheme="majorBidi" w:cstheme="majorBidi"/>
          <w:sz w:val="24"/>
          <w:szCs w:val="24"/>
          <w:lang w:eastAsia="fr-FR" w:bidi="ar-EG"/>
        </w:rPr>
      </w:pPr>
      <w:r w:rsidRPr="00B867DF">
        <w:rPr>
          <w:rFonts w:asciiTheme="majorBidi" w:hAnsiTheme="majorBidi" w:cstheme="majorBidi"/>
          <w:sz w:val="24"/>
          <w:szCs w:val="24"/>
          <w:lang w:eastAsia="fr-FR" w:bidi="ar-EG"/>
        </w:rPr>
        <w:t>l’Être dont l’existence est certaine et vraie.</w:t>
      </w:r>
    </w:p>
    <w:p w14:paraId="6DCF67C4" w14:textId="77777777" w:rsidR="00296288" w:rsidRPr="00B867DF" w:rsidRDefault="00296288" w:rsidP="00296288">
      <w:pPr>
        <w:spacing w:line="360" w:lineRule="auto"/>
        <w:jc w:val="both"/>
        <w:rPr>
          <w:rFonts w:asciiTheme="majorBidi" w:eastAsia="Times New Roman" w:hAnsiTheme="majorBidi" w:cstheme="majorBidi"/>
        </w:rPr>
      </w:pPr>
    </w:p>
    <w:p w14:paraId="48CCB1C1" w14:textId="77777777" w:rsidR="00296288" w:rsidRPr="00B867DF" w:rsidRDefault="00296288" w:rsidP="00296288">
      <w:pPr>
        <w:spacing w:line="360" w:lineRule="auto"/>
        <w:ind w:firstLine="708"/>
        <w:jc w:val="both"/>
        <w:rPr>
          <w:rFonts w:eastAsia="Times New Roman"/>
          <w:lang w:bidi="ar-KW"/>
        </w:rPr>
      </w:pPr>
      <w:r w:rsidRPr="00B867DF">
        <w:rPr>
          <w:rFonts w:eastAsia="Times New Roman"/>
          <w:lang w:bidi="ar-KW"/>
        </w:rPr>
        <w:t xml:space="preserve">Cependant, le mot </w:t>
      </w:r>
      <w:r w:rsidRPr="00B867DF">
        <w:rPr>
          <w:rFonts w:eastAsia="Times New Roman"/>
          <w:i/>
          <w:iCs/>
          <w:lang w:bidi="ar-KW"/>
        </w:rPr>
        <w:t>al-ḥaqq</w:t>
      </w:r>
      <w:r w:rsidRPr="00B867DF">
        <w:rPr>
          <w:rFonts w:eastAsia="Times New Roman"/>
          <w:lang w:bidi="ar-KW"/>
        </w:rPr>
        <w:t xml:space="preserve"> utilisé dans le verset 62 peut avoir le sens de : l’incomparable, celui sans associé, l’Être nécessaire, celui qui seul doit être adoré, l’Agissant réel (</w:t>
      </w:r>
      <w:r w:rsidRPr="00B867DF">
        <w:rPr>
          <w:rFonts w:eastAsia="Times New Roman"/>
          <w:i/>
          <w:iCs/>
          <w:lang w:bidi="ar-KW"/>
        </w:rPr>
        <w:t>al-fāʿil al-ḥaqīqī</w:t>
      </w:r>
      <w:r w:rsidRPr="00B867DF">
        <w:rPr>
          <w:rFonts w:eastAsia="Times New Roman"/>
          <w:lang w:bidi="ar-KW"/>
        </w:rPr>
        <w:t>), ou celui dont la religion est vraie.</w:t>
      </w:r>
    </w:p>
    <w:p w14:paraId="6FCC1426" w14:textId="77777777" w:rsidR="00296288" w:rsidRPr="00B867DF" w:rsidRDefault="00296288" w:rsidP="00296288">
      <w:pPr>
        <w:spacing w:line="360" w:lineRule="auto"/>
        <w:ind w:firstLine="708"/>
        <w:jc w:val="both"/>
        <w:rPr>
          <w:rFonts w:eastAsia="Times New Roman"/>
          <w:lang w:bidi="ar-KW"/>
        </w:rPr>
      </w:pPr>
    </w:p>
    <w:p w14:paraId="032DEA3F" w14:textId="77777777" w:rsidR="00296288" w:rsidRPr="0072451F" w:rsidRDefault="00296288" w:rsidP="007640DC">
      <w:pPr>
        <w:pStyle w:val="Paragraphedeliste"/>
        <w:numPr>
          <w:ilvl w:val="0"/>
          <w:numId w:val="63"/>
        </w:numPr>
        <w:bidi w:val="0"/>
        <w:spacing w:after="0" w:line="360" w:lineRule="auto"/>
        <w:contextualSpacing/>
        <w:jc w:val="both"/>
        <w:rPr>
          <w:rFonts w:asciiTheme="majorBidi" w:hAnsiTheme="majorBidi" w:cstheme="majorBidi"/>
          <w:b/>
          <w:bCs/>
          <w:sz w:val="24"/>
          <w:szCs w:val="24"/>
          <w:lang w:eastAsia="fr-FR" w:bidi="ar-AE"/>
        </w:rPr>
      </w:pPr>
      <w:r w:rsidRPr="0072451F">
        <w:rPr>
          <w:rFonts w:asciiTheme="majorBidi" w:hAnsiTheme="majorBidi" w:cstheme="majorBidi"/>
          <w:b/>
          <w:bCs/>
          <w:sz w:val="24"/>
          <w:szCs w:val="24"/>
          <w:lang w:eastAsia="fr-FR" w:bidi="ar-AE"/>
        </w:rPr>
        <w:t xml:space="preserve">Significations du nom de Dieu </w:t>
      </w:r>
      <w:r>
        <w:rPr>
          <w:rFonts w:asciiTheme="majorBidi" w:hAnsiTheme="majorBidi" w:cstheme="majorBidi"/>
          <w:b/>
          <w:bCs/>
          <w:i/>
          <w:iCs/>
          <w:sz w:val="24"/>
          <w:szCs w:val="24"/>
          <w:lang w:eastAsia="fr-FR" w:bidi="ar-AE"/>
        </w:rPr>
        <w:t>s</w:t>
      </w:r>
      <w:r w:rsidRPr="0072451F">
        <w:rPr>
          <w:rFonts w:asciiTheme="majorBidi" w:hAnsiTheme="majorBidi" w:cstheme="majorBidi"/>
          <w:b/>
          <w:bCs/>
          <w:i/>
          <w:iCs/>
          <w:sz w:val="24"/>
          <w:szCs w:val="24"/>
          <w:lang w:eastAsia="fr-FR" w:bidi="ar-AE"/>
        </w:rPr>
        <w:t>hahīd</w:t>
      </w:r>
      <w:r w:rsidRPr="0072451F">
        <w:rPr>
          <w:rFonts w:asciiTheme="majorBidi" w:hAnsiTheme="majorBidi" w:cstheme="majorBidi"/>
          <w:b/>
          <w:bCs/>
          <w:sz w:val="24"/>
          <w:szCs w:val="24"/>
          <w:lang w:eastAsia="fr-FR" w:bidi="ar-AE"/>
        </w:rPr>
        <w:t xml:space="preserve"> (v. 17) :</w:t>
      </w:r>
    </w:p>
    <w:p w14:paraId="138030DB" w14:textId="16190F61" w:rsidR="00296288" w:rsidRPr="00B867DF" w:rsidRDefault="00296288" w:rsidP="00296288">
      <w:pPr>
        <w:spacing w:line="360" w:lineRule="auto"/>
        <w:ind w:firstLine="708"/>
        <w:jc w:val="both"/>
        <w:rPr>
          <w:rFonts w:asciiTheme="majorBidi" w:eastAsia="Times New Roman" w:hAnsiTheme="majorBidi" w:cstheme="majorBidi"/>
        </w:rPr>
      </w:pPr>
      <w:r w:rsidRPr="00B867DF">
        <w:rPr>
          <w:rFonts w:asciiTheme="majorBidi" w:eastAsia="Times New Roman" w:hAnsiTheme="majorBidi" w:cstheme="majorBidi"/>
          <w:lang w:bidi="ar-AE"/>
        </w:rPr>
        <w:t xml:space="preserve">Les exégètes n’expliquent pas </w:t>
      </w:r>
      <w:r w:rsidRPr="00B867DF">
        <w:rPr>
          <w:rFonts w:asciiTheme="majorBidi" w:eastAsia="Times New Roman" w:hAnsiTheme="majorBidi" w:cstheme="majorBidi"/>
          <w:i/>
          <w:iCs/>
          <w:lang w:bidi="ar-AE"/>
        </w:rPr>
        <w:t>comment</w:t>
      </w:r>
      <w:r w:rsidRPr="00B867DF">
        <w:rPr>
          <w:rFonts w:asciiTheme="majorBidi" w:eastAsia="Times New Roman" w:hAnsiTheme="majorBidi" w:cstheme="majorBidi"/>
          <w:lang w:bidi="ar-AE"/>
        </w:rPr>
        <w:t xml:space="preserve"> </w:t>
      </w:r>
      <w:r w:rsidRPr="00A2326D">
        <w:rPr>
          <w:rFonts w:asciiTheme="majorBidi" w:eastAsia="Times New Roman" w:hAnsiTheme="majorBidi" w:cstheme="majorBidi"/>
          <w:lang w:bidi="ar-AE"/>
        </w:rPr>
        <w:t xml:space="preserve">Dieu est </w:t>
      </w:r>
      <w:r w:rsidRPr="00A2326D">
        <w:rPr>
          <w:rFonts w:asciiTheme="majorBidi" w:eastAsia="Times New Roman" w:hAnsiTheme="majorBidi" w:cstheme="majorBidi"/>
          <w:i/>
          <w:iCs/>
          <w:lang w:bidi="ar-AE"/>
        </w:rPr>
        <w:t>shahīd</w:t>
      </w:r>
      <w:r w:rsidRPr="00A2326D">
        <w:rPr>
          <w:rFonts w:asciiTheme="majorBidi" w:eastAsia="Times New Roman" w:hAnsiTheme="majorBidi" w:cstheme="majorBidi"/>
          <w:lang w:bidi="ar-AE"/>
        </w:rPr>
        <w:t>. Lexicalement parlant, ce mot désigne deux concepts : un martyr ou un témoin. De point de vue exégétique, Dieu est à la fois Juge et Témoin. Les explications données à ce nom sont : 1) rien des actes</w:t>
      </w:r>
      <w:r>
        <w:rPr>
          <w:rFonts w:asciiTheme="majorBidi" w:eastAsia="Times New Roman" w:hAnsiTheme="majorBidi" w:cstheme="majorBidi"/>
          <w:lang w:bidi="ar-AE"/>
        </w:rPr>
        <w:t xml:space="preserve"> humains ne Lui échappe ; 2) Omniscient ; 3) Surveillant, 4) </w:t>
      </w:r>
      <w:r w:rsidRPr="00B867DF">
        <w:rPr>
          <w:rFonts w:asciiTheme="majorBidi" w:eastAsia="Times New Roman" w:hAnsiTheme="majorBidi" w:cstheme="majorBidi"/>
          <w:lang w:bidi="ar-AE"/>
        </w:rPr>
        <w:t xml:space="preserve">Il tranche entre les hommes. Selon ces interprétations du terme </w:t>
      </w:r>
      <w:r w:rsidR="008B522C">
        <w:rPr>
          <w:rFonts w:asciiTheme="majorBidi" w:eastAsia="Times New Roman" w:hAnsiTheme="majorBidi" w:cstheme="majorBidi"/>
          <w:i/>
          <w:iCs/>
          <w:lang w:bidi="ar-AE"/>
        </w:rPr>
        <w:t>s</w:t>
      </w:r>
      <w:r w:rsidRPr="00B867DF">
        <w:rPr>
          <w:rFonts w:asciiTheme="majorBidi" w:eastAsia="Times New Roman" w:hAnsiTheme="majorBidi" w:cstheme="majorBidi"/>
          <w:i/>
          <w:iCs/>
          <w:lang w:bidi="ar-AE"/>
        </w:rPr>
        <w:t>hahīd</w:t>
      </w:r>
      <w:r w:rsidRPr="00B867DF">
        <w:rPr>
          <w:rFonts w:asciiTheme="majorBidi" w:eastAsia="Times New Roman" w:hAnsiTheme="majorBidi" w:cstheme="majorBidi"/>
          <w:lang w:bidi="ar-AE"/>
        </w:rPr>
        <w:t xml:space="preserve">, Dieu </w:t>
      </w:r>
      <w:r w:rsidRPr="00B867DF">
        <w:rPr>
          <w:rFonts w:asciiTheme="majorBidi" w:eastAsia="Times New Roman" w:hAnsiTheme="majorBidi" w:cstheme="majorBidi"/>
        </w:rPr>
        <w:t>peut être inactif ou</w:t>
      </w:r>
      <w:r>
        <w:rPr>
          <w:rFonts w:asciiTheme="majorBidi" w:eastAsia="Times New Roman" w:hAnsiTheme="majorBidi" w:cstheme="majorBidi"/>
        </w:rPr>
        <w:t xml:space="preserve"> actif, c.à.d. Il peut être : 1) </w:t>
      </w:r>
      <w:r w:rsidRPr="00B867DF">
        <w:rPr>
          <w:rFonts w:asciiTheme="majorBidi" w:eastAsia="Times New Roman" w:hAnsiTheme="majorBidi" w:cstheme="majorBidi"/>
        </w:rPr>
        <w:t xml:space="preserve">considéré comme un principe d’explication (inactif) : soit </w:t>
      </w:r>
      <w:r w:rsidRPr="00B867DF">
        <w:rPr>
          <w:rFonts w:asciiTheme="majorBidi" w:eastAsia="Times New Roman" w:hAnsiTheme="majorBidi" w:cstheme="majorBidi"/>
          <w:lang w:bidi="ar-AE"/>
        </w:rPr>
        <w:t xml:space="preserve">un principe </w:t>
      </w:r>
      <w:r w:rsidRPr="00B867DF">
        <w:rPr>
          <w:rFonts w:asciiTheme="majorBidi" w:eastAsia="Times New Roman" w:hAnsiTheme="majorBidi" w:cstheme="majorBidi"/>
        </w:rPr>
        <w:t>suprême comme substance immanente ou comme cause transcendante (point de vue ontologique), soit un principe suprême de l’ordre dans le monde, de la raison dans l’homme et de la correspondance entre la pensée et les chose</w:t>
      </w:r>
      <w:r>
        <w:rPr>
          <w:rFonts w:asciiTheme="majorBidi" w:eastAsia="Times New Roman" w:hAnsiTheme="majorBidi" w:cstheme="majorBidi"/>
        </w:rPr>
        <w:t xml:space="preserve">s (point </w:t>
      </w:r>
      <w:r>
        <w:rPr>
          <w:rFonts w:asciiTheme="majorBidi" w:eastAsia="Times New Roman" w:hAnsiTheme="majorBidi" w:cstheme="majorBidi"/>
        </w:rPr>
        <w:lastRenderedPageBreak/>
        <w:t xml:space="preserve">de vue logique) ; ou 2) </w:t>
      </w:r>
      <w:r w:rsidRPr="00B867DF">
        <w:rPr>
          <w:rFonts w:asciiTheme="majorBidi" w:eastAsia="Times New Roman" w:hAnsiTheme="majorBidi" w:cstheme="majorBidi"/>
        </w:rPr>
        <w:t>considéré comme un être actif : un être personnel, supérieur à l’humanité, législateur, juge, comme le Dieu d’Israël (point de vue matériel).</w:t>
      </w:r>
    </w:p>
    <w:p w14:paraId="37DEFD5B"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00AA5498"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La tradition musulmane distingue entre deux types de mondes : le monde d’</w:t>
      </w:r>
      <w:r w:rsidRPr="00B867DF">
        <w:rPr>
          <w:rFonts w:asciiTheme="majorBidi" w:eastAsia="Times New Roman" w:hAnsiTheme="majorBidi" w:cstheme="majorBidi"/>
          <w:i/>
          <w:iCs/>
          <w:lang w:bidi="ar-AE"/>
        </w:rPr>
        <w:t>al-Ghayb</w:t>
      </w:r>
      <w:r w:rsidRPr="00B867DF">
        <w:rPr>
          <w:rFonts w:asciiTheme="majorBidi" w:eastAsia="Times New Roman" w:hAnsiTheme="majorBidi" w:cstheme="majorBidi"/>
          <w:lang w:bidi="ar-AE"/>
        </w:rPr>
        <w:t xml:space="preserve"> (le monde de l’Invisible) et le monde d’</w:t>
      </w:r>
      <w:r w:rsidRPr="00B867DF">
        <w:rPr>
          <w:rFonts w:asciiTheme="majorBidi" w:eastAsia="Times New Roman" w:hAnsiTheme="majorBidi" w:cstheme="majorBidi"/>
          <w:i/>
          <w:iCs/>
          <w:lang w:bidi="ar-AE"/>
        </w:rPr>
        <w:t>ash-shahāda</w:t>
      </w:r>
      <w:r w:rsidRPr="00B867DF">
        <w:rPr>
          <w:rFonts w:asciiTheme="majorBidi" w:eastAsia="Times New Roman" w:hAnsiTheme="majorBidi" w:cstheme="majorBidi"/>
          <w:lang w:bidi="ar-AE"/>
        </w:rPr>
        <w:t xml:space="preserve"> (le monde de la Manifestation). Le nom de Dieu </w:t>
      </w:r>
      <w:r w:rsidRPr="00B867DF">
        <w:rPr>
          <w:rFonts w:asciiTheme="majorBidi" w:eastAsia="Times New Roman" w:hAnsiTheme="majorBidi" w:cstheme="majorBidi"/>
          <w:i/>
          <w:iCs/>
          <w:lang w:bidi="ar-AE"/>
        </w:rPr>
        <w:t>Shahīd</w:t>
      </w:r>
      <w:r w:rsidRPr="00B867DF">
        <w:rPr>
          <w:rFonts w:asciiTheme="majorBidi" w:eastAsia="Times New Roman" w:hAnsiTheme="majorBidi" w:cstheme="majorBidi"/>
          <w:lang w:bidi="ar-AE"/>
        </w:rPr>
        <w:t xml:space="preserve"> veut donc dire : le Connaisseur du monde de </w:t>
      </w:r>
      <w:r>
        <w:rPr>
          <w:rFonts w:asciiTheme="majorBidi" w:eastAsia="Times New Roman" w:hAnsiTheme="majorBidi" w:cstheme="majorBidi"/>
          <w:i/>
          <w:iCs/>
          <w:lang w:bidi="ar-AE"/>
        </w:rPr>
        <w:t>s</w:t>
      </w:r>
      <w:r w:rsidRPr="00B867DF">
        <w:rPr>
          <w:rFonts w:asciiTheme="majorBidi" w:eastAsia="Times New Roman" w:hAnsiTheme="majorBidi" w:cstheme="majorBidi"/>
          <w:i/>
          <w:iCs/>
          <w:lang w:bidi="ar-AE"/>
        </w:rPr>
        <w:t>hahāda</w:t>
      </w:r>
      <w:r w:rsidRPr="00B867DF">
        <w:rPr>
          <w:rFonts w:asciiTheme="majorBidi" w:eastAsia="Times New Roman" w:hAnsiTheme="majorBidi" w:cstheme="majorBidi"/>
          <w:lang w:bidi="ar-AE"/>
        </w:rPr>
        <w:t xml:space="preserve">, en plus du monde de </w:t>
      </w:r>
      <w:r w:rsidRPr="00B867DF">
        <w:rPr>
          <w:rFonts w:asciiTheme="majorBidi" w:eastAsia="Times New Roman" w:hAnsiTheme="majorBidi" w:cstheme="majorBidi"/>
          <w:i/>
          <w:iCs/>
          <w:lang w:bidi="ar-AE"/>
        </w:rPr>
        <w:t>Ghayb</w:t>
      </w:r>
      <w:r w:rsidRPr="00B867DF">
        <w:rPr>
          <w:rFonts w:asciiTheme="majorBidi" w:eastAsia="Times New Roman" w:hAnsiTheme="majorBidi" w:cstheme="majorBidi"/>
          <w:lang w:bidi="ar-AE"/>
        </w:rPr>
        <w:t>. Selon le verset 17, Dieu est-il immanent ou transcendant ? Les exégètes n’entrent pas dans cette question philosophique épineuse.</w:t>
      </w:r>
    </w:p>
    <w:p w14:paraId="217BF81A" w14:textId="77777777" w:rsidR="00296288" w:rsidRPr="00B867DF" w:rsidRDefault="00296288" w:rsidP="00296288">
      <w:pPr>
        <w:spacing w:line="360" w:lineRule="auto"/>
        <w:jc w:val="both"/>
        <w:rPr>
          <w:rFonts w:eastAsia="Times New Roman"/>
          <w:lang w:bidi="ar-KW"/>
        </w:rPr>
      </w:pPr>
    </w:p>
    <w:p w14:paraId="2BE9CFB8" w14:textId="77777777" w:rsidR="00296288" w:rsidRPr="00B867DF" w:rsidRDefault="00296288" w:rsidP="007640DC">
      <w:pPr>
        <w:pStyle w:val="Paragraphedeliste"/>
        <w:numPr>
          <w:ilvl w:val="0"/>
          <w:numId w:val="63"/>
        </w:numPr>
        <w:bidi w:val="0"/>
        <w:spacing w:after="0" w:line="360" w:lineRule="auto"/>
        <w:contextualSpacing/>
        <w:jc w:val="both"/>
        <w:rPr>
          <w:rFonts w:ascii="Times New Roman" w:hAnsi="Times New Roman" w:cs="Times New Roman"/>
          <w:b/>
          <w:bCs/>
          <w:sz w:val="24"/>
          <w:szCs w:val="24"/>
          <w:lang w:eastAsia="fr-FR" w:bidi="ar-KW"/>
        </w:rPr>
      </w:pPr>
      <w:r w:rsidRPr="00B867DF">
        <w:rPr>
          <w:rFonts w:ascii="Times New Roman" w:hAnsi="Times New Roman" w:cs="Times New Roman"/>
          <w:b/>
          <w:bCs/>
          <w:sz w:val="24"/>
          <w:szCs w:val="24"/>
          <w:lang w:eastAsia="fr-FR" w:bidi="ar-KW"/>
        </w:rPr>
        <w:t xml:space="preserve">Le nom </w:t>
      </w:r>
      <w:r w:rsidRPr="00B867DF">
        <w:rPr>
          <w:rFonts w:ascii="Times New Roman" w:hAnsi="Times New Roman" w:cs="Times New Roman"/>
          <w:b/>
          <w:bCs/>
          <w:i/>
          <w:iCs/>
          <w:sz w:val="24"/>
          <w:szCs w:val="24"/>
          <w:lang w:eastAsia="fr-FR" w:bidi="ar-KW"/>
        </w:rPr>
        <w:t>khabīr</w:t>
      </w:r>
      <w:r w:rsidRPr="00B867DF">
        <w:rPr>
          <w:rFonts w:ascii="Times New Roman" w:hAnsi="Times New Roman" w:cs="Times New Roman"/>
          <w:b/>
          <w:bCs/>
          <w:sz w:val="24"/>
          <w:szCs w:val="24"/>
          <w:lang w:eastAsia="fr-FR" w:bidi="ar-KW"/>
        </w:rPr>
        <w:t xml:space="preserve"> (v. 63) :</w:t>
      </w:r>
    </w:p>
    <w:p w14:paraId="43D295C1" w14:textId="77777777" w:rsidR="00296288" w:rsidRPr="00B867DF" w:rsidRDefault="00296288" w:rsidP="00296288">
      <w:pPr>
        <w:spacing w:line="360" w:lineRule="auto"/>
        <w:ind w:firstLine="708"/>
        <w:jc w:val="both"/>
        <w:rPr>
          <w:rFonts w:eastAsia="Times New Roman"/>
          <w:lang w:bidi="ar-KW"/>
        </w:rPr>
      </w:pPr>
      <w:r w:rsidRPr="00B867DF">
        <w:rPr>
          <w:rFonts w:eastAsia="Times New Roman"/>
          <w:lang w:bidi="ar-KW"/>
        </w:rPr>
        <w:t>L’adjectif</w:t>
      </w:r>
      <w:r w:rsidRPr="00B867DF">
        <w:rPr>
          <w:rFonts w:eastAsia="Times New Roman"/>
          <w:i/>
          <w:iCs/>
          <w:lang w:bidi="ar-KW"/>
        </w:rPr>
        <w:t xml:space="preserve"> Khabīr</w:t>
      </w:r>
      <w:r w:rsidRPr="00B867DF">
        <w:rPr>
          <w:rFonts w:eastAsia="Times New Roman"/>
          <w:lang w:bidi="ar-KW"/>
        </w:rPr>
        <w:t xml:space="preserve"> [informé] désigne :</w:t>
      </w:r>
    </w:p>
    <w:p w14:paraId="00C7EF63" w14:textId="77777777" w:rsidR="00296288" w:rsidRPr="00B867DF" w:rsidRDefault="00296288" w:rsidP="007640DC">
      <w:pPr>
        <w:pStyle w:val="Paragraphedeliste"/>
        <w:numPr>
          <w:ilvl w:val="0"/>
          <w:numId w:val="60"/>
        </w:numPr>
        <w:bidi w:val="0"/>
        <w:spacing w:after="0" w:line="360" w:lineRule="auto"/>
        <w:contextualSpacing/>
        <w:jc w:val="both"/>
        <w:rPr>
          <w:rFonts w:ascii="Times New Roman" w:hAnsi="Times New Roman" w:cs="Times New Roman"/>
          <w:sz w:val="24"/>
          <w:szCs w:val="24"/>
          <w:lang w:eastAsia="fr-FR" w:bidi="ar-KW"/>
        </w:rPr>
      </w:pPr>
      <w:r w:rsidRPr="00B867DF">
        <w:rPr>
          <w:rFonts w:ascii="Times New Roman" w:hAnsi="Times New Roman" w:cs="Times New Roman"/>
          <w:sz w:val="24"/>
          <w:szCs w:val="24"/>
          <w:lang w:eastAsia="fr-FR" w:bidi="ar-KW"/>
        </w:rPr>
        <w:t>celui qui connaît tout sur la flore ;</w:t>
      </w:r>
    </w:p>
    <w:p w14:paraId="113751BB" w14:textId="77777777" w:rsidR="00296288" w:rsidRPr="00B867DF" w:rsidRDefault="00296288" w:rsidP="007640DC">
      <w:pPr>
        <w:pStyle w:val="Paragraphedeliste"/>
        <w:numPr>
          <w:ilvl w:val="0"/>
          <w:numId w:val="60"/>
        </w:numPr>
        <w:bidi w:val="0"/>
        <w:spacing w:after="0" w:line="360" w:lineRule="auto"/>
        <w:contextualSpacing/>
        <w:jc w:val="both"/>
        <w:rPr>
          <w:rFonts w:ascii="Times New Roman" w:hAnsi="Times New Roman" w:cs="Times New Roman"/>
          <w:sz w:val="24"/>
          <w:szCs w:val="24"/>
          <w:lang w:eastAsia="fr-FR" w:bidi="ar-KW"/>
        </w:rPr>
      </w:pPr>
      <w:r w:rsidRPr="00B867DF">
        <w:rPr>
          <w:rFonts w:ascii="Times New Roman" w:hAnsi="Times New Roman" w:cs="Times New Roman"/>
          <w:sz w:val="24"/>
          <w:szCs w:val="24"/>
          <w:lang w:eastAsia="fr-FR" w:bidi="ar-KW"/>
        </w:rPr>
        <w:t>celui qui connaît les cœurs des humains et connaît leur désespoir lorsque la pluie retarde ;</w:t>
      </w:r>
    </w:p>
    <w:p w14:paraId="12471F38" w14:textId="77777777" w:rsidR="00296288" w:rsidRPr="00B867DF" w:rsidRDefault="00296288" w:rsidP="007640DC">
      <w:pPr>
        <w:pStyle w:val="Paragraphedeliste"/>
        <w:numPr>
          <w:ilvl w:val="0"/>
          <w:numId w:val="60"/>
        </w:numPr>
        <w:bidi w:val="0"/>
        <w:spacing w:after="0" w:line="360" w:lineRule="auto"/>
        <w:contextualSpacing/>
        <w:jc w:val="both"/>
        <w:rPr>
          <w:rFonts w:ascii="Times New Roman" w:hAnsi="Times New Roman" w:cs="Times New Roman"/>
          <w:sz w:val="24"/>
          <w:szCs w:val="24"/>
          <w:lang w:eastAsia="fr-FR" w:bidi="ar-KW"/>
        </w:rPr>
      </w:pPr>
      <w:r w:rsidRPr="00B867DF">
        <w:rPr>
          <w:rFonts w:ascii="Times New Roman" w:hAnsi="Times New Roman" w:cs="Times New Roman"/>
          <w:sz w:val="24"/>
          <w:szCs w:val="24"/>
          <w:lang w:eastAsia="fr-FR" w:bidi="ar-KW"/>
        </w:rPr>
        <w:t>celui à qui rien ne peut se cacher.</w:t>
      </w:r>
    </w:p>
    <w:p w14:paraId="4D8573BC" w14:textId="77777777" w:rsidR="00296288" w:rsidRPr="00B867DF" w:rsidRDefault="00296288" w:rsidP="00296288">
      <w:pPr>
        <w:spacing w:line="360" w:lineRule="auto"/>
        <w:jc w:val="both"/>
        <w:rPr>
          <w:rFonts w:asciiTheme="majorBidi" w:eastAsia="Times New Roman" w:hAnsiTheme="majorBidi" w:cstheme="majorBidi"/>
          <w:lang w:bidi="ar-KW"/>
        </w:rPr>
      </w:pPr>
    </w:p>
    <w:p w14:paraId="13B5C0F7" w14:textId="77777777" w:rsidR="00296288" w:rsidRPr="00B867DF" w:rsidRDefault="00296288" w:rsidP="00296288">
      <w:pPr>
        <w:spacing w:line="360" w:lineRule="auto"/>
        <w:ind w:firstLine="360"/>
        <w:jc w:val="both"/>
        <w:rPr>
          <w:rFonts w:asciiTheme="majorBidi" w:eastAsia="Times New Roman" w:hAnsiTheme="majorBidi" w:cstheme="majorBidi"/>
          <w:lang w:bidi="ar-AE"/>
        </w:rPr>
      </w:pPr>
      <w:r w:rsidRPr="00B867DF">
        <w:rPr>
          <w:rFonts w:asciiTheme="majorBidi" w:eastAsia="Times New Roman" w:hAnsiTheme="majorBidi" w:cstheme="majorBidi"/>
        </w:rPr>
        <w:t xml:space="preserve">Aussi la traduction des noms de Dieu est-elle difficile, vu que ces noms essayent autant que faire </w:t>
      </w:r>
      <w:r w:rsidRPr="00E70E79">
        <w:rPr>
          <w:rFonts w:asciiTheme="majorBidi" w:eastAsia="Times New Roman" w:hAnsiTheme="majorBidi" w:cstheme="majorBidi"/>
        </w:rPr>
        <w:t>se peut de décrire l’Ineffable, l’Inconnaissable, que leur sens (parfois vague) varie en fonction de l’école théologique, que la langue cible n’a pas découpé ce champ abstrait de la même manière et que par la suite elle n’a pas toujours des équivalents, bien qu’il y ait des ressemblances du fait que l’Islam a développé les concepts théologiques judéo-chrétiens. Les noms bibliques de Dieu sont essentiellement : Pater (notre Père), Élohim (être fort), El-Schaddaï (Dieu Tout-Puissant), El-Elion (Dieu très haut), El-Olam (Dieu de L’Éternité), El-Ganna (Dieu jaloux), El-Haï (Dieu vivant), Yahvé (l’Éternel), Adonaï (Mon Seigneur), Emmanuel (Dieu avec nous), Jésus (l’Éternel est salut</w:t>
      </w:r>
      <w:r w:rsidRPr="00B867DF">
        <w:rPr>
          <w:rFonts w:asciiTheme="majorBidi" w:eastAsia="Times New Roman" w:hAnsiTheme="majorBidi" w:cstheme="majorBidi"/>
        </w:rPr>
        <w:t xml:space="preserve">), etc. Toutefois, l’islam connait des noms divins tels que : </w:t>
      </w:r>
      <w:r w:rsidRPr="00B867DF">
        <w:rPr>
          <w:rFonts w:asciiTheme="majorBidi" w:eastAsia="Times New Roman" w:hAnsiTheme="majorBidi" w:cstheme="majorBidi"/>
          <w:i/>
          <w:iCs/>
        </w:rPr>
        <w:t>Al-Muʾmin</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La Sauvegarde</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 xml:space="preserve">Al-Muhaymin </w:t>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le Préservateur</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 xml:space="preserve">Al-Jabbār </w:t>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l’Imposant</w:t>
      </w:r>
      <w:r w:rsidRPr="00B867DF">
        <w:rPr>
          <w:rFonts w:asciiTheme="majorBidi" w:eastAsia="Times New Roman" w:hAnsiTheme="majorBidi" w:cstheme="majorBidi"/>
          <w:lang w:bidi="ar-AE"/>
        </w:rPr>
        <w:t>],</w:t>
      </w:r>
      <w:r w:rsidRPr="00B867DF">
        <w:rPr>
          <w:rFonts w:asciiTheme="majorBidi" w:eastAsia="Times New Roman" w:hAnsiTheme="majorBidi" w:cstheme="majorBidi"/>
          <w:i/>
          <w:iCs/>
          <w:lang w:bidi="ar-AE"/>
        </w:rPr>
        <w:t xml:space="preserve"> Al-Bāri</w:t>
      </w:r>
      <w:r w:rsidRPr="00B867DF">
        <w:rPr>
          <w:rFonts w:asciiTheme="majorBidi" w:eastAsia="Times New Roman" w:hAnsiTheme="majorBidi" w:cstheme="majorBidi"/>
          <w:i/>
          <w:iCs/>
        </w:rPr>
        <w:t>ʾ</w:t>
      </w:r>
      <w:r w:rsidRPr="00B867DF">
        <w:rPr>
          <w:rFonts w:asciiTheme="majorBidi" w:eastAsia="Times New Roman" w:hAnsiTheme="majorBidi" w:cstheme="majorBidi"/>
          <w:i/>
          <w:iCs/>
          <w:lang w:bidi="ar-AE"/>
        </w:rPr>
        <w:t xml:space="preserve"> </w:t>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le Producteur</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Al-Mu</w:t>
      </w:r>
      <w:r w:rsidRPr="00B867DF">
        <w:rPr>
          <w:rFonts w:asciiTheme="majorBidi" w:eastAsia="Times New Roman" w:hAnsiTheme="majorBidi" w:cstheme="majorBidi"/>
          <w:i/>
          <w:iCs/>
        </w:rPr>
        <w:t>ṣawwir</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le Formateur</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Al-Qābi</w:t>
      </w:r>
      <w:r w:rsidRPr="00B867DF">
        <w:rPr>
          <w:rFonts w:asciiTheme="majorBidi" w:eastAsia="Times New Roman" w:hAnsiTheme="majorBidi" w:cstheme="majorBidi"/>
          <w:i/>
          <w:iCs/>
        </w:rPr>
        <w:t>ḍ</w:t>
      </w:r>
      <w:r w:rsidRPr="00B867DF">
        <w:rPr>
          <w:rFonts w:asciiTheme="majorBidi" w:eastAsia="Times New Roman" w:hAnsiTheme="majorBidi" w:cstheme="majorBidi"/>
        </w:rPr>
        <w:t xml:space="preserve"> </w:t>
      </w:r>
      <w:r w:rsidRPr="00B867DF">
        <w:rPr>
          <w:rFonts w:asciiTheme="majorBidi" w:eastAsia="Times New Roman" w:hAnsiTheme="majorBidi" w:cstheme="majorBidi"/>
          <w:lang w:bidi="ar-AE"/>
        </w:rPr>
        <w:t>[</w:t>
      </w:r>
      <w:r w:rsidRPr="00A2326D">
        <w:rPr>
          <w:rFonts w:asciiTheme="majorBidi" w:eastAsia="Calibri" w:hAnsiTheme="majorBidi" w:cstheme="majorBidi"/>
          <w:lang w:bidi="ar-AE"/>
        </w:rPr>
        <w:t>Celui qui saisit</w:t>
      </w:r>
      <w:r w:rsidRPr="00A2326D">
        <w:rPr>
          <w:rFonts w:asciiTheme="majorBidi" w:eastAsia="Times New Roman" w:hAnsiTheme="majorBidi" w:cstheme="majorBidi"/>
          <w:lang w:bidi="ar-AE"/>
        </w:rPr>
        <w:t xml:space="preserve">], </w:t>
      </w:r>
      <w:r w:rsidRPr="00A2326D">
        <w:rPr>
          <w:rFonts w:asciiTheme="majorBidi" w:eastAsia="Times New Roman" w:hAnsiTheme="majorBidi" w:cstheme="majorBidi"/>
          <w:i/>
          <w:iCs/>
          <w:lang w:bidi="ar-AE"/>
        </w:rPr>
        <w:t>Al-Bāsi</w:t>
      </w:r>
      <w:r w:rsidRPr="00A2326D">
        <w:rPr>
          <w:rFonts w:asciiTheme="majorBidi" w:eastAsia="Times New Roman" w:hAnsiTheme="majorBidi" w:cstheme="majorBidi"/>
          <w:i/>
          <w:iCs/>
        </w:rPr>
        <w:t>ṭ</w:t>
      </w:r>
      <w:r w:rsidRPr="00A2326D">
        <w:rPr>
          <w:rFonts w:asciiTheme="majorBidi" w:eastAsia="Times New Roman" w:hAnsiTheme="majorBidi" w:cstheme="majorBidi"/>
          <w:lang w:bidi="ar-AE"/>
        </w:rPr>
        <w:t xml:space="preserve"> [</w:t>
      </w:r>
      <w:r w:rsidRPr="00A2326D">
        <w:rPr>
          <w:rFonts w:asciiTheme="majorBidi" w:eastAsia="Calibri" w:hAnsiTheme="majorBidi" w:cstheme="majorBidi"/>
          <w:lang w:bidi="ar-AE"/>
        </w:rPr>
        <w:t>Celui qui étend Sa générosité</w:t>
      </w:r>
      <w:r w:rsidRPr="00A2326D">
        <w:rPr>
          <w:rFonts w:asciiTheme="majorBidi" w:eastAsia="Times New Roman" w:hAnsiTheme="majorBidi" w:cstheme="majorBidi"/>
          <w:lang w:bidi="ar-AE"/>
        </w:rPr>
        <w:t xml:space="preserve">], </w:t>
      </w:r>
      <w:r w:rsidRPr="00A2326D">
        <w:rPr>
          <w:rFonts w:asciiTheme="majorBidi" w:hAnsiTheme="majorBidi" w:cstheme="majorBidi"/>
          <w:i/>
          <w:iCs/>
        </w:rPr>
        <w:t>Al-Muqīt</w:t>
      </w:r>
      <w:r w:rsidRPr="00A2326D">
        <w:rPr>
          <w:rFonts w:asciiTheme="majorBidi" w:hAnsiTheme="majorBidi" w:cstheme="majorBidi"/>
        </w:rPr>
        <w:t xml:space="preserve"> </w:t>
      </w:r>
      <w:r w:rsidRPr="00A2326D">
        <w:rPr>
          <w:rFonts w:asciiTheme="majorBidi" w:eastAsia="Times New Roman" w:hAnsiTheme="majorBidi" w:cstheme="majorBidi"/>
          <w:lang w:bidi="ar-AE"/>
        </w:rPr>
        <w:t>[</w:t>
      </w:r>
      <w:r w:rsidRPr="00A2326D">
        <w:rPr>
          <w:rFonts w:asciiTheme="majorBidi" w:eastAsia="Calibri" w:hAnsiTheme="majorBidi" w:cstheme="majorBidi"/>
          <w:lang w:bidi="ar-AE"/>
        </w:rPr>
        <w:t>Celui qui nourrit (?)</w:t>
      </w:r>
      <w:r w:rsidRPr="00A2326D">
        <w:rPr>
          <w:rFonts w:asciiTheme="majorBidi" w:eastAsia="Times New Roman" w:hAnsiTheme="majorBidi" w:cstheme="majorBidi"/>
          <w:lang w:bidi="ar-AE"/>
        </w:rPr>
        <w:t xml:space="preserve">], </w:t>
      </w:r>
      <w:r w:rsidRPr="00A2326D">
        <w:rPr>
          <w:rFonts w:asciiTheme="majorBidi" w:hAnsiTheme="majorBidi" w:cstheme="majorBidi"/>
          <w:i/>
          <w:iCs/>
        </w:rPr>
        <w:t>Ar-Raqīb</w:t>
      </w:r>
      <w:r w:rsidRPr="00A2326D">
        <w:rPr>
          <w:rFonts w:asciiTheme="majorBidi" w:hAnsiTheme="majorBidi" w:cstheme="majorBidi"/>
        </w:rPr>
        <w:t xml:space="preserve"> </w:t>
      </w:r>
      <w:r w:rsidRPr="00A2326D">
        <w:rPr>
          <w:rFonts w:asciiTheme="majorBidi" w:eastAsia="Times New Roman" w:hAnsiTheme="majorBidi" w:cstheme="majorBidi"/>
          <w:lang w:bidi="ar-AE"/>
        </w:rPr>
        <w:t>[</w:t>
      </w:r>
      <w:r w:rsidRPr="00A2326D">
        <w:rPr>
          <w:rFonts w:asciiTheme="majorBidi" w:eastAsia="Calibri" w:hAnsiTheme="majorBidi" w:cstheme="majorBidi"/>
          <w:lang w:bidi="ar-AE"/>
        </w:rPr>
        <w:t>l’Observateur</w:t>
      </w:r>
      <w:r w:rsidRPr="00A2326D">
        <w:rPr>
          <w:rFonts w:asciiTheme="majorBidi" w:eastAsia="Times New Roman" w:hAnsiTheme="majorBidi" w:cstheme="majorBidi"/>
          <w:lang w:bidi="ar-AE"/>
        </w:rPr>
        <w:t xml:space="preserve">], </w:t>
      </w:r>
      <w:r w:rsidRPr="00A2326D">
        <w:rPr>
          <w:rFonts w:asciiTheme="majorBidi" w:eastAsia="Times New Roman" w:hAnsiTheme="majorBidi" w:cstheme="majorBidi"/>
          <w:i/>
          <w:iCs/>
          <w:lang w:bidi="ar-AE"/>
        </w:rPr>
        <w:t>A</w:t>
      </w:r>
      <w:r w:rsidRPr="00A2326D">
        <w:rPr>
          <w:rFonts w:asciiTheme="majorBidi" w:eastAsia="Times New Roman" w:hAnsiTheme="majorBidi" w:cstheme="majorBidi"/>
          <w:i/>
          <w:iCs/>
        </w:rPr>
        <w:t>ḍ-Ḍārr</w:t>
      </w:r>
      <w:r w:rsidRPr="00A2326D">
        <w:rPr>
          <w:rFonts w:asciiTheme="majorBidi" w:eastAsia="Times New Roman" w:hAnsiTheme="majorBidi" w:cstheme="majorBidi"/>
          <w:lang w:bidi="ar-AE"/>
        </w:rPr>
        <w:t xml:space="preserve"> [</w:t>
      </w:r>
      <w:r w:rsidRPr="00A2326D">
        <w:rPr>
          <w:rFonts w:asciiTheme="majorBidi" w:eastAsia="Calibri" w:hAnsiTheme="majorBidi" w:cstheme="majorBidi"/>
          <w:lang w:bidi="ar-AE"/>
        </w:rPr>
        <w:t>Celui</w:t>
      </w:r>
      <w:r w:rsidRPr="00B867DF">
        <w:rPr>
          <w:rFonts w:asciiTheme="majorBidi" w:eastAsia="Calibri" w:hAnsiTheme="majorBidi" w:cstheme="majorBidi"/>
          <w:lang w:bidi="ar-AE"/>
        </w:rPr>
        <w:t xml:space="preserve"> qui peut nuire</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An-Nāfi</w:t>
      </w:r>
      <w:r w:rsidRPr="00B867DF">
        <w:rPr>
          <w:rFonts w:asciiTheme="majorBidi" w:eastAsia="Times New Roman" w:hAnsiTheme="majorBidi" w:cstheme="majorBidi"/>
          <w:i/>
          <w:iCs/>
        </w:rPr>
        <w:t>ʿ</w:t>
      </w:r>
      <w:r w:rsidRPr="00B867DF">
        <w:rPr>
          <w:rFonts w:asciiTheme="majorBidi" w:eastAsia="Times New Roman" w:hAnsiTheme="majorBidi" w:cstheme="majorBidi"/>
          <w:lang w:bidi="ar-AE"/>
        </w:rPr>
        <w:t xml:space="preserve"> [</w:t>
      </w:r>
      <w:r w:rsidRPr="00B867DF">
        <w:rPr>
          <w:rFonts w:asciiTheme="majorBidi" w:eastAsia="Calibri" w:hAnsiTheme="majorBidi" w:cstheme="majorBidi"/>
          <w:lang w:bidi="ar-AE"/>
        </w:rPr>
        <w:t>l’Utile</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Al-Mu</w:t>
      </w:r>
      <w:r w:rsidRPr="00B867DF">
        <w:rPr>
          <w:rFonts w:asciiTheme="majorBidi" w:eastAsia="Times New Roman" w:hAnsiTheme="majorBidi" w:cstheme="majorBidi"/>
          <w:i/>
          <w:iCs/>
        </w:rPr>
        <w:t>ḥṣī</w:t>
      </w:r>
      <w:r w:rsidRPr="00B867DF">
        <w:rPr>
          <w:rFonts w:asciiTheme="majorBidi" w:eastAsia="Times New Roman" w:hAnsiTheme="majorBidi" w:cstheme="majorBidi"/>
          <w:i/>
          <w:iCs/>
          <w:lang w:bidi="ar-AE"/>
        </w:rPr>
        <w:t xml:space="preserve"> </w:t>
      </w:r>
      <w:r w:rsidRPr="00B867DF">
        <w:rPr>
          <w:rFonts w:asciiTheme="majorBidi" w:eastAsia="Times New Roman" w:hAnsiTheme="majorBidi" w:cstheme="majorBidi"/>
          <w:lang w:bidi="ar-AE"/>
        </w:rPr>
        <w:t>[</w:t>
      </w:r>
      <w:r w:rsidRPr="00B867DF">
        <w:rPr>
          <w:rFonts w:asciiTheme="majorBidi" w:eastAsia="Calibri" w:hAnsiTheme="majorBidi" w:cstheme="majorBidi"/>
          <w:lang w:bidi="ar-AE"/>
        </w:rPr>
        <w:t>Celui qui connait les comptes</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Al-Muntaqim</w:t>
      </w:r>
      <w:r w:rsidRPr="00B867DF">
        <w:rPr>
          <w:rFonts w:asciiTheme="majorBidi" w:eastAsia="Times New Roman" w:hAnsiTheme="majorBidi" w:cstheme="majorBidi"/>
          <w:lang w:bidi="ar-AE"/>
        </w:rPr>
        <w:t xml:space="preserve"> [</w:t>
      </w:r>
      <w:r w:rsidRPr="00B867DF">
        <w:rPr>
          <w:rFonts w:asciiTheme="majorBidi" w:eastAsia="Calibri" w:hAnsiTheme="majorBidi" w:cstheme="majorBidi"/>
          <w:lang w:bidi="ar-AE"/>
        </w:rPr>
        <w:t>le Vengeur</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i/>
          <w:iCs/>
          <w:lang w:bidi="ar-AE"/>
        </w:rPr>
        <w:t>Al-Jāmi</w:t>
      </w:r>
      <w:r w:rsidRPr="00B867DF">
        <w:rPr>
          <w:rFonts w:asciiTheme="majorBidi" w:eastAsia="Times New Roman" w:hAnsiTheme="majorBidi" w:cstheme="majorBidi"/>
          <w:i/>
          <w:iCs/>
        </w:rPr>
        <w:t>ʿ</w:t>
      </w:r>
      <w:r w:rsidRPr="00B867DF">
        <w:rPr>
          <w:rFonts w:asciiTheme="majorBidi" w:eastAsia="Times New Roman" w:hAnsiTheme="majorBidi" w:cstheme="majorBidi"/>
          <w:lang w:bidi="ar-AE"/>
        </w:rPr>
        <w:t xml:space="preserve"> [</w:t>
      </w:r>
      <w:r w:rsidRPr="00B867DF">
        <w:rPr>
          <w:rFonts w:asciiTheme="majorBidi" w:eastAsia="Calibri" w:hAnsiTheme="majorBidi" w:cstheme="majorBidi"/>
          <w:lang w:bidi="ar-AE"/>
        </w:rPr>
        <w:t>le Rassembleur</w:t>
      </w:r>
      <w:r w:rsidRPr="00B867DF">
        <w:rPr>
          <w:rFonts w:asciiTheme="majorBidi" w:eastAsia="Times New Roman" w:hAnsiTheme="majorBidi" w:cstheme="majorBidi"/>
          <w:lang w:bidi="ar-AE"/>
        </w:rPr>
        <w:t xml:space="preserve">], etc. Chaque religion (voire chaque communauté) a formé </w:t>
      </w:r>
      <w:r w:rsidRPr="00B867DF">
        <w:rPr>
          <w:rFonts w:asciiTheme="majorBidi" w:eastAsia="Times New Roman" w:hAnsiTheme="majorBidi" w:cstheme="majorBidi"/>
          <w:lang w:bidi="ar-AE"/>
        </w:rPr>
        <w:lastRenderedPageBreak/>
        <w:t>des noms de Dieu propres à elle, au point que le chiisme a pris les noms des imâms comme des noms de Dieu.</w:t>
      </w:r>
      <w:r w:rsidRPr="00B867DF">
        <w:rPr>
          <w:rStyle w:val="Appelnotedebasdep"/>
          <w:rFonts w:asciiTheme="majorBidi" w:hAnsiTheme="majorBidi" w:cstheme="majorBidi"/>
          <w:lang w:bidi="ar-AE"/>
        </w:rPr>
        <w:footnoteReference w:id="302"/>
      </w:r>
    </w:p>
    <w:p w14:paraId="3EB86E71" w14:textId="1712FDE3" w:rsidR="00E819D4" w:rsidRDefault="00296288" w:rsidP="00296288">
      <w:pPr>
        <w:spacing w:line="360" w:lineRule="auto"/>
        <w:jc w:val="both"/>
      </w:pP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rPr>
          <w:rFonts w:asciiTheme="majorBidi" w:hAnsiTheme="majorBidi" w:cstheme="majorBidi"/>
        </w:rPr>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Pr="00B867DF">
        <w:t>‬</w:t>
      </w:r>
      <w:r w:rsidR="00E819D4">
        <w:br w:type="page"/>
      </w:r>
    </w:p>
    <w:p w14:paraId="4EA2A476" w14:textId="77777777" w:rsidR="00296288" w:rsidRPr="00DB475B" w:rsidRDefault="00296288" w:rsidP="00DB475B">
      <w:pPr>
        <w:spacing w:line="360" w:lineRule="auto"/>
        <w:jc w:val="both"/>
      </w:pPr>
    </w:p>
    <w:p w14:paraId="4471AD0F" w14:textId="0DDB5A89" w:rsidR="00296288" w:rsidRPr="00D24177" w:rsidRDefault="00296288" w:rsidP="00876BB0">
      <w:pPr>
        <w:pStyle w:val="Paragraphedeliste"/>
        <w:numPr>
          <w:ilvl w:val="1"/>
          <w:numId w:val="122"/>
        </w:numPr>
        <w:bidi w:val="0"/>
        <w:spacing w:line="360" w:lineRule="auto"/>
        <w:jc w:val="both"/>
        <w:rPr>
          <w:rFonts w:asciiTheme="majorBidi" w:hAnsiTheme="majorBidi" w:cstheme="majorBidi"/>
          <w:sz w:val="24"/>
          <w:szCs w:val="24"/>
          <w:lang w:bidi="ar-AE"/>
        </w:rPr>
      </w:pPr>
      <w:r w:rsidRPr="00D24177">
        <w:rPr>
          <w:rFonts w:asciiTheme="majorBidi" w:hAnsiTheme="majorBidi" w:cstheme="majorBidi"/>
          <w:b/>
          <w:bCs/>
          <w:sz w:val="24"/>
          <w:szCs w:val="24"/>
          <w:lang w:bidi="ar-AE"/>
        </w:rPr>
        <w:t>Différences de lecture :</w:t>
      </w:r>
    </w:p>
    <w:p w14:paraId="5808E147" w14:textId="77777777" w:rsidR="00296288" w:rsidRPr="009505D5" w:rsidRDefault="00296288" w:rsidP="00296288">
      <w:pPr>
        <w:spacing w:line="360" w:lineRule="auto"/>
        <w:ind w:firstLine="708"/>
        <w:jc w:val="both"/>
        <w:rPr>
          <w:rFonts w:asciiTheme="majorBidi" w:eastAsia="Times New Roman" w:hAnsiTheme="majorBidi" w:cstheme="majorBidi"/>
          <w:lang w:bidi="ar-AE"/>
        </w:rPr>
      </w:pPr>
      <w:r w:rsidRPr="009505D5">
        <w:rPr>
          <w:rFonts w:asciiTheme="majorBidi" w:eastAsia="Times New Roman" w:hAnsiTheme="majorBidi" w:cstheme="majorBidi"/>
          <w:lang w:bidi="ar-AE"/>
        </w:rPr>
        <w:t>Puisque le Coran s’écrivait sans points diacritiques (</w:t>
      </w:r>
      <w:r w:rsidRPr="009505D5">
        <w:rPr>
          <w:rFonts w:asciiTheme="majorBidi" w:eastAsia="Times New Roman" w:hAnsiTheme="majorBidi" w:cstheme="majorBidi"/>
          <w:i/>
          <w:iCs/>
          <w:lang w:bidi="ar-AE"/>
        </w:rPr>
        <w:t>tanqī</w:t>
      </w:r>
      <w:r w:rsidRPr="009505D5">
        <w:rPr>
          <w:rFonts w:asciiTheme="majorBidi" w:eastAsia="Times New Roman" w:hAnsiTheme="majorBidi" w:cstheme="majorBidi"/>
          <w:i/>
          <w:iCs/>
        </w:rPr>
        <w:t>ṭ</w:t>
      </w:r>
      <w:r w:rsidRPr="009505D5">
        <w:rPr>
          <w:rFonts w:asciiTheme="majorBidi" w:eastAsia="Times New Roman" w:hAnsiTheme="majorBidi" w:cstheme="majorBidi"/>
          <w:lang w:bidi="ar-AE"/>
        </w:rPr>
        <w:t>) ni vocalisation (</w:t>
      </w:r>
      <w:r w:rsidRPr="009505D5">
        <w:rPr>
          <w:rFonts w:asciiTheme="majorBidi" w:eastAsia="Times New Roman" w:hAnsiTheme="majorBidi" w:cstheme="majorBidi"/>
          <w:i/>
          <w:iCs/>
          <w:lang w:bidi="ar-AE"/>
        </w:rPr>
        <w:t>tashkīl</w:t>
      </w:r>
      <w:r w:rsidRPr="009505D5">
        <w:rPr>
          <w:rFonts w:asciiTheme="majorBidi" w:eastAsia="Times New Roman" w:hAnsiTheme="majorBidi" w:cstheme="majorBidi"/>
          <w:lang w:bidi="ar-AE"/>
        </w:rPr>
        <w:t xml:space="preserve">), il est sujet à de différentes lectures qui peuvent modifier le sens. </w:t>
      </w:r>
      <w:r w:rsidRPr="009505D5">
        <w:rPr>
          <w:rFonts w:asciiTheme="majorBidi" w:hAnsiTheme="majorBidi" w:cstheme="majorBidi"/>
        </w:rPr>
        <w:t>Il s’agit ici d’une polysémie moins marquante et moins claire liée à l’orthographe, aux différentes lectures (</w:t>
      </w:r>
      <w:r w:rsidRPr="009505D5">
        <w:rPr>
          <w:rFonts w:asciiTheme="majorBidi" w:hAnsiTheme="majorBidi" w:cstheme="majorBidi"/>
          <w:i/>
          <w:iCs/>
        </w:rPr>
        <w:t>qirāʾāt</w:t>
      </w:r>
      <w:r w:rsidRPr="009505D5">
        <w:rPr>
          <w:rFonts w:asciiTheme="majorBidi" w:hAnsiTheme="majorBidi" w:cstheme="majorBidi"/>
        </w:rPr>
        <w:t xml:space="preserve">), au </w:t>
      </w:r>
      <w:r w:rsidRPr="009505D5">
        <w:rPr>
          <w:rFonts w:asciiTheme="majorBidi" w:hAnsiTheme="majorBidi" w:cstheme="majorBidi"/>
          <w:i/>
          <w:iCs/>
        </w:rPr>
        <w:t>rasm ʿuthmānī</w:t>
      </w:r>
      <w:r w:rsidRPr="009505D5">
        <w:rPr>
          <w:rFonts w:asciiTheme="majorBidi" w:hAnsiTheme="majorBidi" w:cstheme="majorBidi"/>
        </w:rPr>
        <w:t xml:space="preserve"> (le tracé ou le ductus consonantique du calife ʿUthmān), polysémie due au changement des voyelles ou des signes diacritiques, ce qui peut donner des nuances de signification, car le changement dans la forme (</w:t>
      </w:r>
      <w:r w:rsidRPr="009505D5">
        <w:rPr>
          <w:rFonts w:asciiTheme="majorBidi" w:hAnsiTheme="majorBidi" w:cstheme="majorBidi"/>
          <w:i/>
          <w:iCs/>
        </w:rPr>
        <w:t>mabnā</w:t>
      </w:r>
      <w:r w:rsidRPr="009505D5">
        <w:rPr>
          <w:rFonts w:asciiTheme="majorBidi" w:hAnsiTheme="majorBidi" w:cstheme="majorBidi"/>
        </w:rPr>
        <w:t>) entraîne un changement dans le fond (</w:t>
      </w:r>
      <w:r w:rsidRPr="009505D5">
        <w:rPr>
          <w:rFonts w:asciiTheme="majorBidi" w:hAnsiTheme="majorBidi" w:cstheme="majorBidi"/>
          <w:i/>
          <w:iCs/>
        </w:rPr>
        <w:t>maʿnā</w:t>
      </w:r>
      <w:r w:rsidRPr="009505D5">
        <w:rPr>
          <w:rFonts w:asciiTheme="majorBidi" w:hAnsiTheme="majorBidi" w:cstheme="majorBidi"/>
        </w:rPr>
        <w:t>).</w:t>
      </w:r>
    </w:p>
    <w:p w14:paraId="67B74FE9"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7E8185CB"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 xml:space="preserve">À titre d’exemples, dans son exégèse, Aṭ-Ṭabarī souligne que certains réciteurs </w:t>
      </w:r>
      <w:r w:rsidRPr="00B867DF">
        <w:rPr>
          <w:rFonts w:asciiTheme="majorBidi" w:hAnsiTheme="majorBidi" w:cstheme="majorBidi"/>
        </w:rPr>
        <w:t>[</w:t>
      </w:r>
      <w:r w:rsidRPr="00B867DF">
        <w:rPr>
          <w:rFonts w:asciiTheme="majorBidi" w:eastAsia="Times New Roman" w:hAnsiTheme="majorBidi" w:cstheme="majorBidi"/>
          <w:i/>
          <w:iCs/>
        </w:rPr>
        <w:t>qurrāʾ</w:t>
      </w:r>
      <w:r w:rsidRPr="00B867DF">
        <w:rPr>
          <w:rFonts w:asciiTheme="majorBidi" w:hAnsiTheme="majorBidi" w:cstheme="majorBidi"/>
        </w:rPr>
        <w:t>]</w:t>
      </w:r>
      <w:r w:rsidRPr="00B867DF">
        <w:rPr>
          <w:rFonts w:asciiTheme="majorBidi" w:eastAsia="Times New Roman" w:hAnsiTheme="majorBidi" w:cstheme="majorBidi"/>
          <w:lang w:bidi="ar-AE"/>
        </w:rPr>
        <w:t xml:space="preserve"> (hétérodoxes) du Coran lisent le verbe à l’apocopé </w:t>
      </w:r>
      <w:r w:rsidRPr="00B867DF">
        <w:rPr>
          <w:rFonts w:asciiTheme="majorBidi" w:eastAsia="Times New Roman" w:hAnsiTheme="majorBidi" w:cstheme="majorBidi"/>
          <w:i/>
          <w:iCs/>
          <w:lang w:bidi="ar-AE"/>
        </w:rPr>
        <w:t>y</w:t>
      </w:r>
      <w:r w:rsidRPr="00B867DF">
        <w:rPr>
          <w:rFonts w:asciiTheme="majorBidi" w:eastAsia="Times New Roman" w:hAnsiTheme="majorBidi" w:cstheme="majorBidi"/>
          <w:b/>
          <w:bCs/>
          <w:i/>
          <w:iCs/>
          <w:lang w:bidi="ar-AE"/>
        </w:rPr>
        <w:t>u</w:t>
      </w:r>
      <w:r w:rsidRPr="00B867DF">
        <w:rPr>
          <w:rFonts w:asciiTheme="majorBidi" w:eastAsia="Times New Roman" w:hAnsiTheme="majorBidi" w:cstheme="majorBidi"/>
          <w:i/>
          <w:iCs/>
          <w:lang w:bidi="ar-AE"/>
        </w:rPr>
        <w:t>rid</w:t>
      </w:r>
      <w:r w:rsidRPr="00B867DF">
        <w:rPr>
          <w:rFonts w:asciiTheme="majorBidi" w:eastAsia="Times New Roman" w:hAnsiTheme="majorBidi" w:cstheme="majorBidi"/>
          <w:lang w:bidi="ar-AE"/>
        </w:rPr>
        <w:t xml:space="preserve"> (</w:t>
      </w:r>
      <w:r w:rsidRPr="00B867DF">
        <w:rPr>
          <w:rFonts w:asciiTheme="majorBidi" w:eastAsia="Times New Roman" w:hAnsiTheme="majorBidi" w:cstheme="majorBidi"/>
          <w:rtl/>
          <w:lang w:bidi="ar-KW"/>
        </w:rPr>
        <w:t>يُرِدْ</w:t>
      </w:r>
      <w:r w:rsidRPr="00B867DF">
        <w:rPr>
          <w:rFonts w:asciiTheme="majorBidi" w:eastAsia="Times New Roman" w:hAnsiTheme="majorBidi" w:cstheme="majorBidi"/>
          <w:lang w:bidi="ar-AE"/>
        </w:rPr>
        <w:t xml:space="preserve">) [il voudrait] (v. 25) ainsi : </w:t>
      </w:r>
      <w:r w:rsidRPr="00B867DF">
        <w:rPr>
          <w:rFonts w:asciiTheme="majorBidi" w:eastAsia="Times New Roman" w:hAnsiTheme="majorBidi" w:cstheme="majorBidi"/>
          <w:i/>
          <w:iCs/>
          <w:lang w:bidi="ar-AE"/>
        </w:rPr>
        <w:t>y</w:t>
      </w:r>
      <w:r w:rsidRPr="00B867DF">
        <w:rPr>
          <w:rFonts w:asciiTheme="majorBidi" w:eastAsia="Times New Roman" w:hAnsiTheme="majorBidi" w:cstheme="majorBidi"/>
          <w:b/>
          <w:bCs/>
          <w:i/>
          <w:iCs/>
          <w:lang w:bidi="ar-AE"/>
        </w:rPr>
        <w:t>a</w:t>
      </w:r>
      <w:r w:rsidRPr="00B867DF">
        <w:rPr>
          <w:rFonts w:asciiTheme="majorBidi" w:eastAsia="Times New Roman" w:hAnsiTheme="majorBidi" w:cstheme="majorBidi"/>
          <w:i/>
          <w:iCs/>
          <w:lang w:bidi="ar-AE"/>
        </w:rPr>
        <w:t>rid</w:t>
      </w:r>
      <w:r w:rsidRPr="00B867DF">
        <w:rPr>
          <w:rFonts w:asciiTheme="majorBidi" w:eastAsia="Times New Roman" w:hAnsiTheme="majorBidi" w:cstheme="majorBidi"/>
          <w:lang w:bidi="ar-AE"/>
        </w:rPr>
        <w:t xml:space="preserve"> [il viendrait (à un endroit)], une lecture inadmissible selon Aṭ-Ṭabarī, parce qu’elle n’a pas obtenu l’unanimité. La phrase « celui qui </w:t>
      </w:r>
      <w:r w:rsidRPr="00B867DF">
        <w:rPr>
          <w:rFonts w:asciiTheme="majorBidi" w:eastAsia="Times New Roman" w:hAnsiTheme="majorBidi" w:cstheme="majorBidi"/>
          <w:i/>
          <w:iCs/>
          <w:lang w:bidi="ar-AE"/>
        </w:rPr>
        <w:t>voudrait</w:t>
      </w:r>
      <w:r w:rsidRPr="00B867DF">
        <w:rPr>
          <w:rFonts w:asciiTheme="majorBidi" w:eastAsia="Times New Roman" w:hAnsiTheme="majorBidi" w:cstheme="majorBidi"/>
          <w:lang w:bidi="ar-AE"/>
        </w:rPr>
        <w:t xml:space="preserve"> y faire de l’injustice et de la déviation, Nous lui ferions goûter d’un châtiment douloureux » devient ainsi : « celui qui </w:t>
      </w:r>
      <w:r w:rsidRPr="00B867DF">
        <w:rPr>
          <w:rFonts w:asciiTheme="majorBidi" w:eastAsia="Times New Roman" w:hAnsiTheme="majorBidi" w:cstheme="majorBidi"/>
          <w:i/>
          <w:iCs/>
          <w:lang w:bidi="ar-AE"/>
        </w:rPr>
        <w:t>viendrait</w:t>
      </w:r>
      <w:r w:rsidRPr="00B867DF">
        <w:rPr>
          <w:rFonts w:asciiTheme="majorBidi" w:eastAsia="Times New Roman" w:hAnsiTheme="majorBidi" w:cstheme="majorBidi"/>
          <w:lang w:bidi="ar-AE"/>
        </w:rPr>
        <w:t xml:space="preserve"> y faire de l’injustice et de la déviation… »). Selon la lecture orthodoxe, Dieu punit selon l’intention, alors que selon la lecture hétérodoxe de certains récitateurs, Dieu ne punit que quand on passe à l’acte. L’exégèse orthodoxe semble être dictatoriale, tandis que l’exégèse hétérodoxe serait équitable. Le châtiment douloureux dans l’Enfer est de loin disproportionné par rapport à une simple intention qui n’a pas été réalisée. Cette exégèse a probablement pour objectif d’intimider.</w:t>
      </w:r>
    </w:p>
    <w:p w14:paraId="49F6A904"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p w14:paraId="16BEEA6D" w14:textId="77777777" w:rsidR="00296288" w:rsidRPr="00B867DF" w:rsidRDefault="00296288" w:rsidP="00296288">
      <w:pPr>
        <w:spacing w:line="360" w:lineRule="auto"/>
        <w:ind w:firstLine="708"/>
        <w:jc w:val="both"/>
        <w:rPr>
          <w:rFonts w:asciiTheme="majorBidi" w:hAnsiTheme="majorBidi" w:cstheme="majorBidi"/>
        </w:rPr>
      </w:pPr>
      <w:r w:rsidRPr="00B867DF">
        <w:rPr>
          <w:rFonts w:asciiTheme="majorBidi" w:hAnsiTheme="majorBidi" w:cstheme="majorBidi"/>
        </w:rPr>
        <w:t xml:space="preserve">Le verbe </w:t>
      </w:r>
      <w:r w:rsidRPr="00B867DF">
        <w:rPr>
          <w:rFonts w:asciiTheme="majorBidi" w:hAnsiTheme="majorBidi" w:cstheme="majorBidi"/>
          <w:i/>
          <w:iCs/>
        </w:rPr>
        <w:t>tarā</w:t>
      </w:r>
      <w:r w:rsidRPr="00B867DF">
        <w:rPr>
          <w:rFonts w:asciiTheme="majorBidi" w:hAnsiTheme="majorBidi" w:cstheme="majorBidi"/>
        </w:rPr>
        <w:t xml:space="preserve"> (</w:t>
      </w:r>
      <w:r w:rsidRPr="00B867DF">
        <w:rPr>
          <w:rFonts w:asciiTheme="majorBidi" w:hAnsiTheme="majorBidi" w:cstheme="majorBidi"/>
          <w:i/>
          <w:iCs/>
        </w:rPr>
        <w:t>an-nāsa</w:t>
      </w:r>
      <w:r w:rsidRPr="00B867DF">
        <w:rPr>
          <w:rFonts w:asciiTheme="majorBidi" w:hAnsiTheme="majorBidi" w:cstheme="majorBidi"/>
        </w:rPr>
        <w:t xml:space="preserve">) [tu (m.) vois (les gens)] (v. 2) peut se lire ainsi : </w:t>
      </w:r>
      <w:r w:rsidRPr="00B867DF">
        <w:rPr>
          <w:rFonts w:asciiTheme="majorBidi" w:hAnsiTheme="majorBidi" w:cstheme="majorBidi"/>
          <w:i/>
          <w:iCs/>
        </w:rPr>
        <w:t>turā</w:t>
      </w:r>
      <w:r w:rsidRPr="00B867DF">
        <w:rPr>
          <w:rFonts w:asciiTheme="majorBidi" w:hAnsiTheme="majorBidi" w:cstheme="majorBidi"/>
        </w:rPr>
        <w:t xml:space="preserve"> (</w:t>
      </w:r>
      <w:r w:rsidRPr="00B867DF">
        <w:rPr>
          <w:rFonts w:asciiTheme="majorBidi" w:hAnsiTheme="majorBidi" w:cstheme="majorBidi"/>
          <w:i/>
          <w:iCs/>
        </w:rPr>
        <w:t>an-nāsu</w:t>
      </w:r>
      <w:r w:rsidRPr="00B867DF">
        <w:rPr>
          <w:rFonts w:asciiTheme="majorBidi" w:hAnsiTheme="majorBidi" w:cstheme="majorBidi"/>
        </w:rPr>
        <w:t xml:space="preserve">) (fém. passif) [les gens sont vus] ou </w:t>
      </w:r>
      <w:r w:rsidRPr="00B867DF">
        <w:rPr>
          <w:rFonts w:asciiTheme="majorBidi" w:hAnsiTheme="majorBidi" w:cstheme="majorBidi"/>
          <w:i/>
          <w:iCs/>
        </w:rPr>
        <w:t>yurā</w:t>
      </w:r>
      <w:r w:rsidRPr="00B867DF">
        <w:rPr>
          <w:rFonts w:asciiTheme="majorBidi" w:hAnsiTheme="majorBidi" w:cstheme="majorBidi"/>
        </w:rPr>
        <w:t xml:space="preserve"> (</w:t>
      </w:r>
      <w:r w:rsidRPr="00B867DF">
        <w:rPr>
          <w:rFonts w:asciiTheme="majorBidi" w:hAnsiTheme="majorBidi" w:cstheme="majorBidi"/>
          <w:i/>
          <w:iCs/>
        </w:rPr>
        <w:t>an-nāsu</w:t>
      </w:r>
      <w:r w:rsidRPr="00B867DF">
        <w:rPr>
          <w:rFonts w:asciiTheme="majorBidi" w:hAnsiTheme="majorBidi" w:cstheme="majorBidi"/>
        </w:rPr>
        <w:t>) (masc. passif) [les gens sont vus].</w:t>
      </w:r>
      <w:r w:rsidRPr="00B867DF">
        <w:rPr>
          <w:rFonts w:asciiTheme="majorBidi" w:eastAsia="Times New Roman" w:hAnsiTheme="majorBidi" w:cstheme="majorBidi"/>
          <w:lang w:bidi="ar-AE"/>
        </w:rPr>
        <w:t xml:space="preserve"> </w:t>
      </w:r>
      <w:r w:rsidRPr="00B867DF">
        <w:rPr>
          <w:rFonts w:asciiTheme="majorBidi" w:hAnsiTheme="majorBidi" w:cstheme="majorBidi"/>
        </w:rPr>
        <w:t xml:space="preserve">Le verbe </w:t>
      </w:r>
      <w:r w:rsidRPr="00B867DF">
        <w:rPr>
          <w:rFonts w:asciiTheme="majorBidi" w:hAnsiTheme="majorBidi" w:cstheme="majorBidi"/>
          <w:i/>
          <w:iCs/>
        </w:rPr>
        <w:t>kutiba</w:t>
      </w:r>
      <w:r w:rsidRPr="00B867DF">
        <w:rPr>
          <w:rFonts w:asciiTheme="majorBidi" w:hAnsiTheme="majorBidi" w:cstheme="majorBidi"/>
        </w:rPr>
        <w:t xml:space="preserve"> (</w:t>
      </w:r>
      <w:r w:rsidRPr="00B867DF">
        <w:rPr>
          <w:rFonts w:asciiTheme="majorBidi" w:hAnsiTheme="majorBidi" w:cstheme="majorBidi"/>
          <w:i/>
          <w:iCs/>
        </w:rPr>
        <w:t>ʿalayhi</w:t>
      </w:r>
      <w:r w:rsidRPr="00B867DF">
        <w:rPr>
          <w:rFonts w:asciiTheme="majorBidi" w:hAnsiTheme="majorBidi" w:cstheme="majorBidi"/>
        </w:rPr>
        <w:t xml:space="preserve">) (passif) (v. 4) [il a été écrit sur lui] peut se lire aussi comme : </w:t>
      </w:r>
      <w:r w:rsidRPr="00B867DF">
        <w:rPr>
          <w:rFonts w:asciiTheme="majorBidi" w:hAnsiTheme="majorBidi" w:cstheme="majorBidi"/>
          <w:i/>
          <w:iCs/>
        </w:rPr>
        <w:t>kataba</w:t>
      </w:r>
      <w:r w:rsidRPr="00B867DF">
        <w:rPr>
          <w:rFonts w:asciiTheme="majorBidi" w:hAnsiTheme="majorBidi" w:cstheme="majorBidi"/>
        </w:rPr>
        <w:t xml:space="preserve"> (</w:t>
      </w:r>
      <w:r w:rsidRPr="00B867DF">
        <w:rPr>
          <w:rFonts w:asciiTheme="majorBidi" w:hAnsiTheme="majorBidi" w:cstheme="majorBidi"/>
          <w:i/>
          <w:iCs/>
        </w:rPr>
        <w:t>ʿalayhi</w:t>
      </w:r>
      <w:r w:rsidRPr="00B867DF">
        <w:rPr>
          <w:rFonts w:asciiTheme="majorBidi" w:hAnsiTheme="majorBidi" w:cstheme="majorBidi"/>
        </w:rPr>
        <w:t xml:space="preserve">) (actif) [Il [Dieu] a écrit sur lui]. Le verbe </w:t>
      </w:r>
      <w:r w:rsidRPr="00B867DF">
        <w:rPr>
          <w:rFonts w:asciiTheme="majorBidi" w:hAnsiTheme="majorBidi" w:cstheme="majorBidi"/>
          <w:i/>
          <w:iCs/>
        </w:rPr>
        <w:t>rabat</w:t>
      </w:r>
      <w:r w:rsidRPr="00B867DF">
        <w:rPr>
          <w:rFonts w:asciiTheme="majorBidi" w:hAnsiTheme="majorBidi" w:cstheme="majorBidi"/>
        </w:rPr>
        <w:t xml:space="preserve"> [elle a augmenté] (v. 5) se lit aussi : </w:t>
      </w:r>
      <w:r w:rsidRPr="00B867DF">
        <w:rPr>
          <w:rFonts w:asciiTheme="majorBidi" w:hAnsiTheme="majorBidi" w:cstheme="majorBidi"/>
          <w:i/>
          <w:iCs/>
        </w:rPr>
        <w:t>rabaʾat</w:t>
      </w:r>
      <w:r w:rsidRPr="00B867DF">
        <w:rPr>
          <w:rFonts w:asciiTheme="majorBidi" w:hAnsiTheme="majorBidi" w:cstheme="majorBidi"/>
        </w:rPr>
        <w:t xml:space="preserve"> [elle s’est élevée].</w:t>
      </w:r>
    </w:p>
    <w:p w14:paraId="3534279F" w14:textId="77777777" w:rsidR="00296288" w:rsidRPr="00B867DF" w:rsidRDefault="00296288" w:rsidP="00296288">
      <w:pPr>
        <w:spacing w:line="360" w:lineRule="auto"/>
        <w:jc w:val="both"/>
        <w:rPr>
          <w:rFonts w:asciiTheme="majorBidi" w:eastAsia="Times New Roman" w:hAnsiTheme="majorBidi" w:cstheme="majorBidi"/>
          <w:rtl/>
        </w:rPr>
      </w:pPr>
    </w:p>
    <w:p w14:paraId="2CE0D84D"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r w:rsidRPr="00B867DF">
        <w:rPr>
          <w:rFonts w:asciiTheme="majorBidi" w:eastAsia="Times New Roman" w:hAnsiTheme="majorBidi" w:cstheme="majorBidi"/>
          <w:lang w:bidi="ar-AE"/>
        </w:rPr>
        <w:t>Voici d’autres exemples sur les différences de lecture et de sens dans la sourate al-</w:t>
      </w:r>
      <w:r w:rsidRPr="00B867DF">
        <w:rPr>
          <w:rFonts w:asciiTheme="majorBidi" w:eastAsia="Times New Roman" w:hAnsiTheme="majorBidi" w:cstheme="majorBidi"/>
        </w:rPr>
        <w:t>Ḥ</w:t>
      </w:r>
      <w:r w:rsidRPr="00B867DF">
        <w:rPr>
          <w:rFonts w:asciiTheme="majorBidi" w:eastAsia="Times New Roman" w:hAnsiTheme="majorBidi" w:cstheme="majorBidi"/>
          <w:lang w:bidi="ar-AE"/>
        </w:rPr>
        <w:t>ajj :</w:t>
      </w:r>
      <w:r w:rsidRPr="00B867DF">
        <w:rPr>
          <w:rStyle w:val="Appelnotedebasdep"/>
          <w:lang w:bidi="ar-AE"/>
        </w:rPr>
        <w:footnoteReference w:id="303"/>
      </w:r>
    </w:p>
    <w:p w14:paraId="48D6DE22" w14:textId="77777777" w:rsidR="00296288" w:rsidRPr="00B867DF" w:rsidRDefault="00296288" w:rsidP="00296288">
      <w:pPr>
        <w:spacing w:line="360" w:lineRule="auto"/>
        <w:ind w:firstLine="708"/>
        <w:jc w:val="both"/>
        <w:rPr>
          <w:rFonts w:asciiTheme="majorBidi" w:eastAsia="Times New Roman" w:hAnsiTheme="majorBidi" w:cstheme="majorBidi"/>
          <w:lang w:bidi="ar-AE"/>
        </w:rPr>
      </w:pPr>
    </w:p>
    <w:tbl>
      <w:tblPr>
        <w:tblStyle w:val="Grilledutableau"/>
        <w:tblW w:w="10048" w:type="dxa"/>
        <w:jc w:val="center"/>
        <w:tblLayout w:type="fixed"/>
        <w:tblLook w:val="04A0" w:firstRow="1" w:lastRow="0" w:firstColumn="1" w:lastColumn="0" w:noHBand="0" w:noVBand="1"/>
      </w:tblPr>
      <w:tblGrid>
        <w:gridCol w:w="834"/>
        <w:gridCol w:w="2629"/>
        <w:gridCol w:w="2977"/>
        <w:gridCol w:w="1783"/>
        <w:gridCol w:w="1825"/>
      </w:tblGrid>
      <w:tr w:rsidR="00296288" w:rsidRPr="00B867DF" w14:paraId="36008417" w14:textId="77777777" w:rsidTr="002A1516">
        <w:trPr>
          <w:jc w:val="center"/>
        </w:trPr>
        <w:tc>
          <w:tcPr>
            <w:tcW w:w="834" w:type="dxa"/>
          </w:tcPr>
          <w:p w14:paraId="7614A839" w14:textId="77777777" w:rsidR="00296288" w:rsidRPr="00B867DF" w:rsidRDefault="00296288" w:rsidP="002A1516">
            <w:pPr>
              <w:jc w:val="center"/>
              <w:rPr>
                <w:rFonts w:asciiTheme="majorBidi" w:hAnsiTheme="majorBidi" w:cstheme="majorBidi"/>
                <w:b/>
                <w:bCs/>
                <w:sz w:val="20"/>
                <w:szCs w:val="20"/>
                <w:lang w:bidi="ar-AE"/>
              </w:rPr>
            </w:pPr>
            <w:r w:rsidRPr="00B867DF">
              <w:rPr>
                <w:rFonts w:asciiTheme="majorBidi" w:hAnsiTheme="majorBidi" w:cstheme="majorBidi"/>
                <w:b/>
                <w:bCs/>
                <w:sz w:val="20"/>
                <w:szCs w:val="20"/>
                <w:lang w:bidi="ar-AE"/>
              </w:rPr>
              <w:lastRenderedPageBreak/>
              <w:t>n° du verset</w:t>
            </w:r>
          </w:p>
        </w:tc>
        <w:tc>
          <w:tcPr>
            <w:tcW w:w="2629" w:type="dxa"/>
          </w:tcPr>
          <w:p w14:paraId="118685CD" w14:textId="77777777" w:rsidR="00296288" w:rsidRPr="00B867DF" w:rsidRDefault="00296288" w:rsidP="002A1516">
            <w:pPr>
              <w:jc w:val="center"/>
              <w:rPr>
                <w:rFonts w:asciiTheme="majorBidi" w:hAnsiTheme="majorBidi" w:cstheme="majorBidi"/>
                <w:b/>
                <w:bCs/>
                <w:sz w:val="20"/>
                <w:szCs w:val="20"/>
                <w:lang w:bidi="ar-AE"/>
              </w:rPr>
            </w:pPr>
            <w:r w:rsidRPr="00B867DF">
              <w:rPr>
                <w:rFonts w:asciiTheme="majorBidi" w:hAnsiTheme="majorBidi" w:cstheme="majorBidi"/>
                <w:b/>
                <w:bCs/>
                <w:sz w:val="20"/>
                <w:szCs w:val="20"/>
                <w:lang w:bidi="ar-AE"/>
              </w:rPr>
              <w:t>1</w:t>
            </w:r>
            <w:r w:rsidRPr="00B867DF">
              <w:rPr>
                <w:rFonts w:asciiTheme="majorBidi" w:hAnsiTheme="majorBidi" w:cstheme="majorBidi"/>
                <w:b/>
                <w:bCs/>
                <w:sz w:val="20"/>
                <w:szCs w:val="20"/>
                <w:vertAlign w:val="superscript"/>
                <w:lang w:bidi="ar-AE"/>
              </w:rPr>
              <w:t>ère</w:t>
            </w:r>
            <w:r w:rsidRPr="00B867DF">
              <w:rPr>
                <w:rFonts w:asciiTheme="majorBidi" w:hAnsiTheme="majorBidi" w:cstheme="majorBidi"/>
                <w:b/>
                <w:bCs/>
                <w:sz w:val="20"/>
                <w:szCs w:val="20"/>
                <w:lang w:bidi="ar-AE"/>
              </w:rPr>
              <w:t xml:space="preserve"> lecture</w:t>
            </w:r>
          </w:p>
        </w:tc>
        <w:tc>
          <w:tcPr>
            <w:tcW w:w="2977" w:type="dxa"/>
          </w:tcPr>
          <w:p w14:paraId="70C7BCF2" w14:textId="77777777" w:rsidR="00296288" w:rsidRPr="00B867DF" w:rsidRDefault="00296288" w:rsidP="002A1516">
            <w:pPr>
              <w:jc w:val="center"/>
              <w:rPr>
                <w:rFonts w:asciiTheme="majorBidi" w:hAnsiTheme="majorBidi" w:cstheme="majorBidi"/>
                <w:b/>
                <w:bCs/>
                <w:sz w:val="20"/>
                <w:szCs w:val="20"/>
                <w:lang w:bidi="ar-AE"/>
              </w:rPr>
            </w:pPr>
            <w:r w:rsidRPr="00B867DF">
              <w:rPr>
                <w:rFonts w:asciiTheme="majorBidi" w:hAnsiTheme="majorBidi" w:cstheme="majorBidi"/>
                <w:b/>
                <w:bCs/>
                <w:sz w:val="20"/>
                <w:szCs w:val="20"/>
                <w:lang w:bidi="ar-AE"/>
              </w:rPr>
              <w:t>traduction</w:t>
            </w:r>
          </w:p>
        </w:tc>
        <w:tc>
          <w:tcPr>
            <w:tcW w:w="1783" w:type="dxa"/>
          </w:tcPr>
          <w:p w14:paraId="39A887F3" w14:textId="77777777" w:rsidR="00296288" w:rsidRPr="00B867DF" w:rsidRDefault="00296288" w:rsidP="002A1516">
            <w:pPr>
              <w:jc w:val="center"/>
              <w:rPr>
                <w:rFonts w:asciiTheme="majorBidi" w:hAnsiTheme="majorBidi" w:cstheme="majorBidi"/>
                <w:b/>
                <w:bCs/>
                <w:sz w:val="20"/>
                <w:szCs w:val="20"/>
                <w:lang w:bidi="ar-AE"/>
              </w:rPr>
            </w:pPr>
            <w:r w:rsidRPr="00B867DF">
              <w:rPr>
                <w:rFonts w:asciiTheme="majorBidi" w:hAnsiTheme="majorBidi" w:cstheme="majorBidi"/>
                <w:b/>
                <w:bCs/>
                <w:sz w:val="20"/>
                <w:szCs w:val="20"/>
                <w:lang w:bidi="ar-AE"/>
              </w:rPr>
              <w:t>2</w:t>
            </w:r>
            <w:r w:rsidRPr="00B867DF">
              <w:rPr>
                <w:rFonts w:asciiTheme="majorBidi" w:hAnsiTheme="majorBidi" w:cstheme="majorBidi"/>
                <w:b/>
                <w:bCs/>
                <w:sz w:val="20"/>
                <w:szCs w:val="20"/>
                <w:vertAlign w:val="superscript"/>
                <w:lang w:bidi="ar-AE"/>
              </w:rPr>
              <w:t>e</w:t>
            </w:r>
            <w:r w:rsidRPr="00B867DF">
              <w:rPr>
                <w:rFonts w:asciiTheme="majorBidi" w:hAnsiTheme="majorBidi" w:cstheme="majorBidi"/>
                <w:b/>
                <w:bCs/>
                <w:sz w:val="20"/>
                <w:szCs w:val="20"/>
                <w:lang w:bidi="ar-AE"/>
              </w:rPr>
              <w:t xml:space="preserve"> lecture</w:t>
            </w:r>
          </w:p>
        </w:tc>
        <w:tc>
          <w:tcPr>
            <w:tcW w:w="1825" w:type="dxa"/>
          </w:tcPr>
          <w:p w14:paraId="11744ED2" w14:textId="77777777" w:rsidR="00296288" w:rsidRPr="00B867DF" w:rsidRDefault="00296288" w:rsidP="002A1516">
            <w:pPr>
              <w:jc w:val="center"/>
              <w:rPr>
                <w:rFonts w:asciiTheme="majorBidi" w:hAnsiTheme="majorBidi" w:cstheme="majorBidi"/>
                <w:b/>
                <w:bCs/>
                <w:sz w:val="20"/>
                <w:szCs w:val="20"/>
                <w:lang w:bidi="ar-AE"/>
              </w:rPr>
            </w:pPr>
            <w:r w:rsidRPr="00B867DF">
              <w:rPr>
                <w:rFonts w:asciiTheme="majorBidi" w:hAnsiTheme="majorBidi" w:cstheme="majorBidi"/>
                <w:b/>
                <w:bCs/>
                <w:sz w:val="20"/>
                <w:szCs w:val="20"/>
                <w:lang w:bidi="ar-AE"/>
              </w:rPr>
              <w:t>traduction</w:t>
            </w:r>
          </w:p>
        </w:tc>
      </w:tr>
      <w:tr w:rsidR="00296288" w:rsidRPr="00B867DF" w14:paraId="659D576A" w14:textId="77777777" w:rsidTr="002A1516">
        <w:trPr>
          <w:jc w:val="center"/>
        </w:trPr>
        <w:tc>
          <w:tcPr>
            <w:tcW w:w="834" w:type="dxa"/>
          </w:tcPr>
          <w:p w14:paraId="4CD829DE"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38</w:t>
            </w:r>
          </w:p>
        </w:tc>
        <w:tc>
          <w:tcPr>
            <w:tcW w:w="2629" w:type="dxa"/>
          </w:tcPr>
          <w:p w14:paraId="1BCAF661"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AE"/>
              </w:rPr>
              <w:t>« </w:t>
            </w:r>
            <w:r w:rsidRPr="00B867DF">
              <w:rPr>
                <w:rFonts w:asciiTheme="majorBidi" w:hAnsiTheme="majorBidi" w:cstheme="majorBidi"/>
                <w:i/>
                <w:iCs/>
                <w:sz w:val="20"/>
                <w:szCs w:val="20"/>
                <w:lang w:bidi="ar-AE"/>
              </w:rPr>
              <w:t xml:space="preserve">Inna llāha </w:t>
            </w:r>
            <w:r w:rsidRPr="00B867DF">
              <w:rPr>
                <w:rFonts w:asciiTheme="majorBidi" w:hAnsiTheme="majorBidi" w:cstheme="majorBidi"/>
                <w:b/>
                <w:bCs/>
                <w:i/>
                <w:sz w:val="20"/>
                <w:szCs w:val="20"/>
                <w:lang w:bidi="ar-AE"/>
              </w:rPr>
              <w:t>yudāfi</w:t>
            </w:r>
            <w:r w:rsidRPr="00B867DF">
              <w:rPr>
                <w:rFonts w:asciiTheme="majorBidi" w:hAnsiTheme="majorBidi" w:cstheme="majorBidi"/>
                <w:b/>
                <w:bCs/>
                <w:i/>
                <w:sz w:val="20"/>
                <w:szCs w:val="20"/>
              </w:rPr>
              <w:t>ʿu</w:t>
            </w:r>
            <w:r w:rsidRPr="00B867DF">
              <w:rPr>
                <w:rFonts w:asciiTheme="majorBidi" w:hAnsiTheme="majorBidi" w:cstheme="majorBidi"/>
                <w:i/>
                <w:iCs/>
                <w:sz w:val="20"/>
                <w:szCs w:val="20"/>
              </w:rPr>
              <w:t xml:space="preserve"> ʿan alladhīn āmanū</w:t>
            </w:r>
            <w:r w:rsidRPr="00B867DF">
              <w:rPr>
                <w:rFonts w:asciiTheme="majorBidi" w:hAnsiTheme="majorBidi" w:cstheme="majorBidi"/>
                <w:sz w:val="20"/>
                <w:szCs w:val="20"/>
              </w:rPr>
              <w:t> »</w:t>
            </w:r>
          </w:p>
          <w:p w14:paraId="545A9AB7"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lang w:bidi="ar-AE"/>
              </w:rPr>
              <w:t>yudāfi</w:t>
            </w:r>
            <w:r w:rsidRPr="00B867DF">
              <w:rPr>
                <w:rFonts w:asciiTheme="majorBidi" w:hAnsiTheme="majorBidi" w:cstheme="majorBidi"/>
                <w:i/>
                <w:iCs/>
                <w:sz w:val="20"/>
                <w:szCs w:val="20"/>
              </w:rPr>
              <w:t>ʿu</w:t>
            </w:r>
            <w:r w:rsidRPr="00B867DF">
              <w:rPr>
                <w:rFonts w:asciiTheme="majorBidi" w:hAnsiTheme="majorBidi" w:cstheme="majorBidi"/>
                <w:sz w:val="20"/>
                <w:szCs w:val="20"/>
              </w:rPr>
              <w:t xml:space="preserve"> ≈ défendre (terme politique)]</w:t>
            </w:r>
          </w:p>
        </w:tc>
        <w:tc>
          <w:tcPr>
            <w:tcW w:w="2977" w:type="dxa"/>
          </w:tcPr>
          <w:p w14:paraId="32EE3027"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 xml:space="preserve">« Dieu </w:t>
            </w:r>
            <w:r w:rsidRPr="00B867DF">
              <w:rPr>
                <w:rFonts w:asciiTheme="majorBidi" w:hAnsiTheme="majorBidi" w:cstheme="majorBidi"/>
                <w:b/>
                <w:bCs/>
                <w:i/>
                <w:iCs/>
                <w:sz w:val="20"/>
                <w:szCs w:val="20"/>
                <w:lang w:bidi="ar-AE"/>
              </w:rPr>
              <w:t>prend la défense</w:t>
            </w:r>
            <w:r w:rsidRPr="00B867DF">
              <w:rPr>
                <w:rFonts w:asciiTheme="majorBidi" w:hAnsiTheme="majorBidi" w:cstheme="majorBidi"/>
                <w:sz w:val="20"/>
                <w:szCs w:val="20"/>
                <w:lang w:bidi="ar-AE"/>
              </w:rPr>
              <w:t xml:space="preserve"> de ceux qui croient »</w:t>
            </w:r>
          </w:p>
          <w:p w14:paraId="76BA218E" w14:textId="77777777" w:rsidR="00296288" w:rsidRPr="00B867DF" w:rsidRDefault="00296288" w:rsidP="002A1516">
            <w:pPr>
              <w:jc w:val="both"/>
              <w:rPr>
                <w:rFonts w:asciiTheme="majorBidi" w:hAnsiTheme="majorBidi" w:cstheme="majorBidi"/>
                <w:sz w:val="20"/>
                <w:szCs w:val="20"/>
                <w:lang w:bidi="ar-AE"/>
              </w:rPr>
            </w:pPr>
          </w:p>
        </w:tc>
        <w:tc>
          <w:tcPr>
            <w:tcW w:w="1783" w:type="dxa"/>
          </w:tcPr>
          <w:p w14:paraId="5DA6392C"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 </w:t>
            </w:r>
            <w:r w:rsidRPr="00B867DF">
              <w:rPr>
                <w:rFonts w:asciiTheme="majorBidi" w:hAnsiTheme="majorBidi" w:cstheme="majorBidi"/>
                <w:i/>
                <w:iCs/>
                <w:sz w:val="20"/>
                <w:szCs w:val="20"/>
                <w:lang w:bidi="ar-AE"/>
              </w:rPr>
              <w:t xml:space="preserve">ʾInna llāha </w:t>
            </w:r>
            <w:r w:rsidRPr="00B867DF">
              <w:rPr>
                <w:rFonts w:asciiTheme="majorBidi" w:hAnsiTheme="majorBidi" w:cstheme="majorBidi"/>
                <w:b/>
                <w:bCs/>
                <w:i/>
                <w:sz w:val="20"/>
                <w:szCs w:val="20"/>
                <w:lang w:bidi="ar-AE"/>
              </w:rPr>
              <w:t>yadfa</w:t>
            </w:r>
            <w:r w:rsidRPr="00B867DF">
              <w:rPr>
                <w:rFonts w:asciiTheme="majorBidi" w:hAnsiTheme="majorBidi" w:cstheme="majorBidi"/>
                <w:b/>
                <w:bCs/>
                <w:i/>
                <w:sz w:val="20"/>
                <w:szCs w:val="20"/>
              </w:rPr>
              <w:t>ʿu</w:t>
            </w:r>
            <w:r w:rsidRPr="00B867DF">
              <w:rPr>
                <w:rFonts w:asciiTheme="majorBidi" w:hAnsiTheme="majorBidi" w:cstheme="majorBidi"/>
                <w:i/>
                <w:iCs/>
                <w:sz w:val="20"/>
                <w:szCs w:val="20"/>
              </w:rPr>
              <w:t xml:space="preserve"> ʿan alladhīn āmanū</w:t>
            </w:r>
            <w:r w:rsidRPr="00B867DF">
              <w:rPr>
                <w:rFonts w:asciiTheme="majorBidi" w:hAnsiTheme="majorBidi" w:cstheme="majorBidi"/>
                <w:sz w:val="20"/>
                <w:szCs w:val="20"/>
              </w:rPr>
              <w:t> »</w:t>
            </w:r>
          </w:p>
          <w:p w14:paraId="4CEC3F1A" w14:textId="77777777" w:rsidR="00296288" w:rsidRPr="00B867DF" w:rsidRDefault="00296288" w:rsidP="002A1516">
            <w:pPr>
              <w:jc w:val="both"/>
              <w:rPr>
                <w:rFonts w:asciiTheme="majorBidi" w:hAnsiTheme="majorBidi" w:cstheme="majorBidi"/>
                <w:i/>
                <w:iCs/>
                <w:sz w:val="20"/>
                <w:szCs w:val="20"/>
                <w:lang w:bidi="ar-AE"/>
              </w:rPr>
            </w:pPr>
            <w:r w:rsidRPr="00B867DF">
              <w:rPr>
                <w:rFonts w:asciiTheme="majorBidi" w:hAnsiTheme="majorBidi" w:cstheme="majorBidi"/>
                <w:sz w:val="20"/>
                <w:szCs w:val="20"/>
              </w:rPr>
              <w:t>[</w:t>
            </w:r>
            <w:r w:rsidRPr="00B867DF">
              <w:rPr>
                <w:rFonts w:asciiTheme="majorBidi" w:hAnsiTheme="majorBidi" w:cstheme="majorBidi"/>
                <w:i/>
                <w:iCs/>
                <w:sz w:val="20"/>
                <w:szCs w:val="20"/>
                <w:lang w:bidi="ar-AE"/>
              </w:rPr>
              <w:t>yadfa</w:t>
            </w:r>
            <w:r w:rsidRPr="00B867DF">
              <w:rPr>
                <w:rFonts w:asciiTheme="majorBidi" w:hAnsiTheme="majorBidi" w:cstheme="majorBidi"/>
                <w:i/>
                <w:iCs/>
                <w:sz w:val="20"/>
                <w:szCs w:val="20"/>
              </w:rPr>
              <w:t>ʿu</w:t>
            </w:r>
            <w:r w:rsidRPr="00B867DF">
              <w:rPr>
                <w:rFonts w:asciiTheme="majorBidi" w:hAnsiTheme="majorBidi" w:cstheme="majorBidi"/>
                <w:sz w:val="20"/>
                <w:szCs w:val="20"/>
              </w:rPr>
              <w:t xml:space="preserve"> ≈ </w:t>
            </w:r>
            <w:r w:rsidRPr="00B867DF">
              <w:rPr>
                <w:rFonts w:asciiTheme="majorBidi" w:hAnsiTheme="majorBidi" w:cstheme="majorBidi"/>
                <w:i/>
                <w:iCs/>
                <w:sz w:val="20"/>
                <w:szCs w:val="20"/>
              </w:rPr>
              <w:t>yaruddu</w:t>
            </w:r>
            <w:r w:rsidRPr="00B867DF">
              <w:rPr>
                <w:rFonts w:asciiTheme="majorBidi" w:hAnsiTheme="majorBidi" w:cstheme="majorBidi"/>
                <w:sz w:val="20"/>
                <w:szCs w:val="20"/>
              </w:rPr>
              <w:t xml:space="preserve"> ≈ repousser (terme sociologique et ± mystique)]</w:t>
            </w:r>
          </w:p>
        </w:tc>
        <w:tc>
          <w:tcPr>
            <w:tcW w:w="1825" w:type="dxa"/>
          </w:tcPr>
          <w:p w14:paraId="1E3D946D"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 xml:space="preserve">« Dieu </w:t>
            </w:r>
            <w:r w:rsidRPr="00B867DF">
              <w:rPr>
                <w:rFonts w:asciiTheme="majorBidi" w:hAnsiTheme="majorBidi" w:cstheme="majorBidi"/>
                <w:b/>
                <w:bCs/>
                <w:i/>
                <w:iCs/>
                <w:sz w:val="20"/>
                <w:szCs w:val="20"/>
                <w:lang w:bidi="ar-AE"/>
              </w:rPr>
              <w:t xml:space="preserve">éloigne </w:t>
            </w:r>
            <w:r w:rsidRPr="00B867DF">
              <w:rPr>
                <w:rFonts w:asciiTheme="majorBidi" w:hAnsiTheme="majorBidi" w:cstheme="majorBidi"/>
                <w:sz w:val="20"/>
                <w:szCs w:val="20"/>
              </w:rPr>
              <w:t>[</w:t>
            </w:r>
            <w:r w:rsidRPr="00B867DF">
              <w:rPr>
                <w:rFonts w:asciiTheme="majorBidi" w:hAnsiTheme="majorBidi" w:cstheme="majorBidi"/>
                <w:b/>
                <w:bCs/>
                <w:i/>
                <w:iCs/>
                <w:sz w:val="20"/>
                <w:szCs w:val="20"/>
                <w:lang w:bidi="ar-AE"/>
              </w:rPr>
              <w:t>le mal</w:t>
            </w:r>
            <w:r w:rsidRPr="00B867DF">
              <w:rPr>
                <w:rFonts w:asciiTheme="majorBidi" w:hAnsiTheme="majorBidi" w:cstheme="majorBidi"/>
                <w:sz w:val="20"/>
                <w:szCs w:val="20"/>
              </w:rPr>
              <w:t xml:space="preserve">] </w:t>
            </w:r>
            <w:r w:rsidRPr="00B867DF">
              <w:rPr>
                <w:rFonts w:asciiTheme="majorBidi" w:hAnsiTheme="majorBidi" w:cstheme="majorBidi"/>
                <w:sz w:val="20"/>
                <w:szCs w:val="20"/>
                <w:lang w:bidi="ar-AE"/>
              </w:rPr>
              <w:t>de ceux qui croient »</w:t>
            </w:r>
          </w:p>
          <w:p w14:paraId="3B73D41E" w14:textId="77777777" w:rsidR="00296288" w:rsidRPr="00B867DF" w:rsidRDefault="00296288" w:rsidP="002A1516">
            <w:pPr>
              <w:jc w:val="both"/>
              <w:rPr>
                <w:rFonts w:asciiTheme="majorBidi" w:hAnsiTheme="majorBidi" w:cstheme="majorBidi"/>
                <w:sz w:val="20"/>
                <w:szCs w:val="20"/>
                <w:lang w:bidi="ar-AE"/>
              </w:rPr>
            </w:pPr>
          </w:p>
        </w:tc>
      </w:tr>
      <w:tr w:rsidR="00296288" w:rsidRPr="00B867DF" w14:paraId="1AFA5BBD" w14:textId="77777777" w:rsidTr="002A1516">
        <w:trPr>
          <w:jc w:val="center"/>
        </w:trPr>
        <w:tc>
          <w:tcPr>
            <w:tcW w:w="834" w:type="dxa"/>
          </w:tcPr>
          <w:p w14:paraId="602F7983"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39</w:t>
            </w:r>
          </w:p>
        </w:tc>
        <w:tc>
          <w:tcPr>
            <w:tcW w:w="2629" w:type="dxa"/>
          </w:tcPr>
          <w:p w14:paraId="18558809"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 </w:t>
            </w:r>
            <w:r w:rsidRPr="00B867DF">
              <w:rPr>
                <w:rFonts w:asciiTheme="majorBidi" w:hAnsiTheme="majorBidi" w:cstheme="majorBidi"/>
                <w:i/>
                <w:iCs/>
                <w:sz w:val="20"/>
                <w:szCs w:val="20"/>
              </w:rPr>
              <w:t xml:space="preserve">Udhina li-lladhīna </w:t>
            </w:r>
            <w:r w:rsidRPr="00B867DF">
              <w:rPr>
                <w:rFonts w:asciiTheme="majorBidi" w:hAnsiTheme="majorBidi" w:cstheme="majorBidi"/>
                <w:b/>
                <w:bCs/>
                <w:i/>
                <w:sz w:val="20"/>
                <w:szCs w:val="20"/>
              </w:rPr>
              <w:t>yuqātalūna</w:t>
            </w:r>
            <w:r w:rsidRPr="00B867DF">
              <w:rPr>
                <w:rFonts w:asciiTheme="majorBidi" w:hAnsiTheme="majorBidi" w:cstheme="majorBidi"/>
                <w:i/>
                <w:iCs/>
                <w:sz w:val="20"/>
                <w:szCs w:val="20"/>
              </w:rPr>
              <w:t xml:space="preserve"> </w:t>
            </w:r>
            <w:r w:rsidRPr="00B867DF">
              <w:rPr>
                <w:rFonts w:asciiTheme="majorBidi" w:hAnsiTheme="majorBidi" w:cstheme="majorBidi"/>
                <w:sz w:val="20"/>
                <w:szCs w:val="20"/>
              </w:rPr>
              <w:t>[v. passif] »</w:t>
            </w:r>
          </w:p>
        </w:tc>
        <w:tc>
          <w:tcPr>
            <w:tcW w:w="2977" w:type="dxa"/>
          </w:tcPr>
          <w:p w14:paraId="245074E6"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eastAsia="Calibri" w:hAnsiTheme="majorBidi" w:cstheme="majorBidi"/>
                <w:sz w:val="20"/>
                <w:szCs w:val="20"/>
                <w:lang w:bidi="ar-AE"/>
              </w:rPr>
              <w:t xml:space="preserve">« Permission est donnée à ceux qui </w:t>
            </w:r>
            <w:r w:rsidRPr="00B867DF">
              <w:rPr>
                <w:rFonts w:asciiTheme="majorBidi" w:eastAsia="Calibri" w:hAnsiTheme="majorBidi" w:cstheme="majorBidi"/>
                <w:b/>
                <w:bCs/>
                <w:i/>
                <w:iCs/>
                <w:sz w:val="20"/>
                <w:szCs w:val="20"/>
                <w:lang w:bidi="ar-AE"/>
              </w:rPr>
              <w:t>sont combattus</w:t>
            </w:r>
            <w:r w:rsidRPr="00B867DF">
              <w:rPr>
                <w:rFonts w:asciiTheme="majorBidi" w:eastAsia="Calibri" w:hAnsiTheme="majorBidi" w:cstheme="majorBidi"/>
                <w:b/>
                <w:bCs/>
                <w:sz w:val="20"/>
                <w:szCs w:val="20"/>
                <w:lang w:bidi="ar-AE"/>
              </w:rPr>
              <w:t> </w:t>
            </w:r>
            <w:r w:rsidRPr="00B867DF">
              <w:rPr>
                <w:rFonts w:asciiTheme="majorBidi" w:eastAsia="Calibri" w:hAnsiTheme="majorBidi" w:cstheme="majorBidi"/>
                <w:sz w:val="20"/>
                <w:szCs w:val="20"/>
                <w:lang w:bidi="ar-AE"/>
              </w:rPr>
              <w:t>»</w:t>
            </w:r>
          </w:p>
        </w:tc>
        <w:tc>
          <w:tcPr>
            <w:tcW w:w="1783" w:type="dxa"/>
          </w:tcPr>
          <w:p w14:paraId="3DA154CD" w14:textId="77777777" w:rsidR="00296288" w:rsidRPr="00B867DF" w:rsidRDefault="00296288" w:rsidP="002A1516">
            <w:pPr>
              <w:jc w:val="both"/>
              <w:rPr>
                <w:rFonts w:asciiTheme="majorBidi" w:hAnsiTheme="majorBidi" w:cstheme="majorBidi"/>
                <w:sz w:val="20"/>
                <w:szCs w:val="20"/>
                <w:lang w:bidi="ar-KW"/>
              </w:rPr>
            </w:pPr>
            <w:r w:rsidRPr="00B867DF">
              <w:rPr>
                <w:rFonts w:asciiTheme="majorBidi" w:hAnsiTheme="majorBidi" w:cstheme="majorBidi"/>
                <w:i/>
                <w:iCs/>
                <w:sz w:val="20"/>
                <w:szCs w:val="20"/>
              </w:rPr>
              <w:t xml:space="preserve">Udhina li-lladhīna </w:t>
            </w:r>
            <w:r w:rsidRPr="00B867DF">
              <w:rPr>
                <w:rFonts w:asciiTheme="majorBidi" w:hAnsiTheme="majorBidi" w:cstheme="majorBidi"/>
                <w:b/>
                <w:bCs/>
                <w:i/>
                <w:sz w:val="20"/>
                <w:szCs w:val="20"/>
              </w:rPr>
              <w:t>yuqātilūna</w:t>
            </w:r>
            <w:r w:rsidRPr="00B867DF">
              <w:rPr>
                <w:rFonts w:asciiTheme="majorBidi" w:hAnsiTheme="majorBidi" w:cstheme="majorBidi"/>
                <w:i/>
                <w:iCs/>
                <w:sz w:val="20"/>
                <w:szCs w:val="20"/>
              </w:rPr>
              <w:t xml:space="preserve"> </w:t>
            </w:r>
            <w:r w:rsidRPr="00B867DF">
              <w:rPr>
                <w:rFonts w:asciiTheme="majorBidi" w:hAnsiTheme="majorBidi" w:cstheme="majorBidi"/>
                <w:sz w:val="20"/>
                <w:szCs w:val="20"/>
              </w:rPr>
              <w:t>[v. actif]</w:t>
            </w:r>
          </w:p>
        </w:tc>
        <w:tc>
          <w:tcPr>
            <w:tcW w:w="1825" w:type="dxa"/>
          </w:tcPr>
          <w:p w14:paraId="713F0D9E"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eastAsia="Calibri" w:hAnsiTheme="majorBidi" w:cstheme="majorBidi"/>
                <w:sz w:val="20"/>
                <w:szCs w:val="20"/>
                <w:lang w:bidi="ar-AE"/>
              </w:rPr>
              <w:t xml:space="preserve">« Permission est donnée à ceux qui </w:t>
            </w:r>
            <w:r w:rsidRPr="00B867DF">
              <w:rPr>
                <w:rFonts w:asciiTheme="majorBidi" w:eastAsia="Calibri" w:hAnsiTheme="majorBidi" w:cstheme="majorBidi"/>
                <w:b/>
                <w:bCs/>
                <w:i/>
                <w:iCs/>
                <w:sz w:val="20"/>
                <w:szCs w:val="20"/>
                <w:lang w:bidi="ar-AE"/>
              </w:rPr>
              <w:t>combattent</w:t>
            </w:r>
            <w:r w:rsidRPr="00B867DF">
              <w:rPr>
                <w:rFonts w:asciiTheme="majorBidi" w:eastAsia="Calibri" w:hAnsiTheme="majorBidi" w:cstheme="majorBidi"/>
                <w:sz w:val="20"/>
                <w:szCs w:val="20"/>
                <w:lang w:bidi="ar-AE"/>
              </w:rPr>
              <w:t> »</w:t>
            </w:r>
          </w:p>
        </w:tc>
      </w:tr>
      <w:tr w:rsidR="00296288" w:rsidRPr="00B867DF" w14:paraId="4DC343CE" w14:textId="77777777" w:rsidTr="002A1516">
        <w:trPr>
          <w:trHeight w:val="1541"/>
          <w:jc w:val="center"/>
        </w:trPr>
        <w:tc>
          <w:tcPr>
            <w:tcW w:w="834" w:type="dxa"/>
          </w:tcPr>
          <w:p w14:paraId="119E2686"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40</w:t>
            </w:r>
          </w:p>
        </w:tc>
        <w:tc>
          <w:tcPr>
            <w:tcW w:w="2629" w:type="dxa"/>
          </w:tcPr>
          <w:p w14:paraId="7B389361"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t>« </w:t>
            </w:r>
            <w:r w:rsidRPr="00B867DF">
              <w:rPr>
                <w:rFonts w:asciiTheme="majorBidi" w:hAnsiTheme="majorBidi" w:cstheme="majorBidi"/>
                <w:b/>
                <w:bCs/>
                <w:i/>
                <w:sz w:val="20"/>
                <w:szCs w:val="20"/>
                <w:lang w:bidi="ar-KW"/>
              </w:rPr>
              <w:t>la-huddimat</w:t>
            </w:r>
            <w:r w:rsidRPr="00B867DF">
              <w:rPr>
                <w:rFonts w:asciiTheme="majorBidi" w:hAnsiTheme="majorBidi" w:cstheme="majorBidi"/>
                <w:i/>
                <w:iCs/>
                <w:sz w:val="20"/>
                <w:szCs w:val="20"/>
                <w:lang w:bidi="ar-KW"/>
              </w:rPr>
              <w:t xml:space="preserve"> </w:t>
            </w:r>
            <w:r w:rsidRPr="00B867DF">
              <w:rPr>
                <w:rFonts w:asciiTheme="majorBidi" w:hAnsiTheme="majorBidi" w:cstheme="majorBidi"/>
                <w:i/>
                <w:iCs/>
                <w:sz w:val="20"/>
                <w:szCs w:val="20"/>
              </w:rPr>
              <w:t>ṣawāmiʿu</w:t>
            </w:r>
            <w:r w:rsidRPr="00B867DF">
              <w:rPr>
                <w:rFonts w:asciiTheme="majorBidi" w:hAnsiTheme="majorBidi" w:cstheme="majorBidi"/>
                <w:sz w:val="20"/>
                <w:szCs w:val="20"/>
              </w:rPr>
              <w:t> »</w:t>
            </w:r>
          </w:p>
          <w:p w14:paraId="447AF2FD"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lang w:bidi="ar-KW"/>
              </w:rPr>
              <w:t>huddima </w:t>
            </w:r>
            <w:r w:rsidRPr="00B867DF">
              <w:rPr>
                <w:rFonts w:asciiTheme="majorBidi" w:hAnsiTheme="majorBidi" w:cstheme="majorBidi"/>
                <w:sz w:val="20"/>
                <w:szCs w:val="20"/>
                <w:lang w:bidi="ar-KW"/>
              </w:rPr>
              <w:t xml:space="preserve">: verbe passif </w:t>
            </w:r>
            <w:r w:rsidRPr="00B867DF">
              <w:rPr>
                <w:rFonts w:asciiTheme="majorBidi" w:hAnsiTheme="majorBidi" w:cstheme="majorBidi"/>
                <w:sz w:val="20"/>
                <w:szCs w:val="20"/>
              </w:rPr>
              <w:t xml:space="preserve">avec un </w:t>
            </w:r>
            <w:r w:rsidRPr="00B867DF">
              <w:rPr>
                <w:rFonts w:asciiTheme="majorBidi" w:hAnsiTheme="majorBidi" w:cstheme="majorBidi"/>
                <w:i/>
                <w:iCs/>
                <w:sz w:val="20"/>
                <w:szCs w:val="20"/>
              </w:rPr>
              <w:t>d</w:t>
            </w:r>
            <w:r w:rsidRPr="00B867DF">
              <w:rPr>
                <w:rFonts w:asciiTheme="majorBidi" w:hAnsiTheme="majorBidi" w:cstheme="majorBidi"/>
                <w:sz w:val="20"/>
                <w:szCs w:val="20"/>
              </w:rPr>
              <w:t xml:space="preserve"> redoublé ou géminé pour indiquer l’intensité ≈ démolir complètement, saper]</w:t>
            </w:r>
          </w:p>
        </w:tc>
        <w:tc>
          <w:tcPr>
            <w:tcW w:w="2977" w:type="dxa"/>
          </w:tcPr>
          <w:p w14:paraId="3BC8AC67"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eastAsia="Calibri" w:hAnsiTheme="majorBidi" w:cstheme="majorBidi"/>
                <w:sz w:val="20"/>
                <w:szCs w:val="20"/>
                <w:lang w:bidi="ar-AE"/>
              </w:rPr>
              <w:t xml:space="preserve">« combien ne seraient pas </w:t>
            </w:r>
            <w:r w:rsidRPr="00B867DF">
              <w:rPr>
                <w:rFonts w:asciiTheme="majorBidi" w:eastAsia="Calibri" w:hAnsiTheme="majorBidi" w:cstheme="majorBidi"/>
                <w:b/>
                <w:bCs/>
                <w:i/>
                <w:iCs/>
                <w:sz w:val="20"/>
                <w:szCs w:val="20"/>
                <w:lang w:bidi="ar-AE"/>
              </w:rPr>
              <w:t xml:space="preserve">abattus </w:t>
            </w:r>
            <w:r w:rsidRPr="00B867DF">
              <w:rPr>
                <w:rFonts w:asciiTheme="majorBidi" w:hAnsiTheme="majorBidi" w:cstheme="majorBidi"/>
                <w:sz w:val="20"/>
                <w:szCs w:val="20"/>
              </w:rPr>
              <w:t>[</w:t>
            </w:r>
            <w:r w:rsidRPr="00B867DF">
              <w:rPr>
                <w:rFonts w:asciiTheme="majorBidi" w:hAnsiTheme="majorBidi" w:cstheme="majorBidi"/>
                <w:b/>
                <w:bCs/>
                <w:i/>
                <w:iCs/>
                <w:sz w:val="20"/>
                <w:szCs w:val="20"/>
              </w:rPr>
              <w:t>complètement</w:t>
            </w:r>
            <w:r w:rsidRPr="00B867DF">
              <w:rPr>
                <w:rFonts w:asciiTheme="majorBidi" w:hAnsiTheme="majorBidi" w:cstheme="majorBidi"/>
                <w:sz w:val="20"/>
                <w:szCs w:val="20"/>
              </w:rPr>
              <w:t>]</w:t>
            </w:r>
            <w:r w:rsidRPr="00B867DF">
              <w:rPr>
                <w:rFonts w:asciiTheme="majorBidi" w:eastAsia="Calibri" w:hAnsiTheme="majorBidi" w:cstheme="majorBidi"/>
                <w:sz w:val="20"/>
                <w:szCs w:val="20"/>
                <w:lang w:bidi="ar-AE"/>
              </w:rPr>
              <w:t xml:space="preserve"> de campaniles »</w:t>
            </w:r>
          </w:p>
        </w:tc>
        <w:tc>
          <w:tcPr>
            <w:tcW w:w="1783" w:type="dxa"/>
          </w:tcPr>
          <w:p w14:paraId="1C8AB2C1"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t>«</w:t>
            </w:r>
            <w:r w:rsidRPr="00B867DF">
              <w:rPr>
                <w:rFonts w:asciiTheme="majorBidi" w:hAnsiTheme="majorBidi" w:cstheme="majorBidi"/>
                <w:i/>
                <w:sz w:val="20"/>
                <w:szCs w:val="20"/>
                <w:lang w:bidi="ar-KW"/>
              </w:rPr>
              <w:t> </w:t>
            </w:r>
            <w:r w:rsidRPr="00B867DF">
              <w:rPr>
                <w:rFonts w:asciiTheme="majorBidi" w:hAnsiTheme="majorBidi" w:cstheme="majorBidi"/>
                <w:b/>
                <w:bCs/>
                <w:i/>
                <w:sz w:val="20"/>
                <w:szCs w:val="20"/>
                <w:lang w:bidi="ar-KW"/>
              </w:rPr>
              <w:t>la-hudimat</w:t>
            </w:r>
            <w:r w:rsidRPr="00B867DF">
              <w:rPr>
                <w:rFonts w:asciiTheme="majorBidi" w:hAnsiTheme="majorBidi" w:cstheme="majorBidi"/>
                <w:i/>
                <w:iCs/>
                <w:sz w:val="20"/>
                <w:szCs w:val="20"/>
                <w:lang w:bidi="ar-KW"/>
              </w:rPr>
              <w:t xml:space="preserve"> </w:t>
            </w:r>
            <w:r w:rsidRPr="00B867DF">
              <w:rPr>
                <w:rFonts w:asciiTheme="majorBidi" w:hAnsiTheme="majorBidi" w:cstheme="majorBidi"/>
                <w:i/>
                <w:iCs/>
                <w:sz w:val="20"/>
                <w:szCs w:val="20"/>
              </w:rPr>
              <w:t>ṣawāmiʿu</w:t>
            </w:r>
            <w:r w:rsidRPr="00B867DF">
              <w:rPr>
                <w:rFonts w:asciiTheme="majorBidi" w:hAnsiTheme="majorBidi" w:cstheme="majorBidi"/>
                <w:sz w:val="20"/>
                <w:szCs w:val="20"/>
              </w:rPr>
              <w:t> »</w:t>
            </w:r>
          </w:p>
          <w:p w14:paraId="0FF84698"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rPr>
              <w:t>hudima</w:t>
            </w:r>
            <w:r w:rsidRPr="00B867DF">
              <w:rPr>
                <w:rFonts w:asciiTheme="majorBidi" w:hAnsiTheme="majorBidi" w:cstheme="majorBidi"/>
                <w:sz w:val="20"/>
                <w:szCs w:val="20"/>
              </w:rPr>
              <w:t xml:space="preserve"> : verbe passif avec un seul </w:t>
            </w:r>
            <w:r w:rsidRPr="00B867DF">
              <w:rPr>
                <w:rFonts w:asciiTheme="majorBidi" w:hAnsiTheme="majorBidi" w:cstheme="majorBidi"/>
                <w:i/>
                <w:iCs/>
                <w:sz w:val="20"/>
                <w:szCs w:val="20"/>
              </w:rPr>
              <w:t>d</w:t>
            </w:r>
            <w:r w:rsidRPr="00B867DF">
              <w:rPr>
                <w:rFonts w:asciiTheme="majorBidi" w:hAnsiTheme="majorBidi" w:cstheme="majorBidi"/>
                <w:sz w:val="20"/>
                <w:szCs w:val="20"/>
              </w:rPr>
              <w:t xml:space="preserve"> ≈ être détruit]</w:t>
            </w:r>
          </w:p>
        </w:tc>
        <w:tc>
          <w:tcPr>
            <w:tcW w:w="1825" w:type="dxa"/>
          </w:tcPr>
          <w:p w14:paraId="42B8FCB3"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eastAsia="Calibri" w:hAnsiTheme="majorBidi" w:cstheme="majorBidi"/>
                <w:sz w:val="20"/>
                <w:szCs w:val="20"/>
                <w:lang w:bidi="ar-AE"/>
              </w:rPr>
              <w:t xml:space="preserve">« combien ne seraient pas </w:t>
            </w:r>
            <w:r w:rsidRPr="00B867DF">
              <w:rPr>
                <w:rFonts w:asciiTheme="majorBidi" w:eastAsia="Calibri" w:hAnsiTheme="majorBidi" w:cstheme="majorBidi"/>
                <w:b/>
                <w:bCs/>
                <w:i/>
                <w:iCs/>
                <w:sz w:val="20"/>
                <w:szCs w:val="20"/>
                <w:lang w:bidi="ar-AE"/>
              </w:rPr>
              <w:t>abattus</w:t>
            </w:r>
            <w:r w:rsidRPr="00B867DF">
              <w:rPr>
                <w:rFonts w:asciiTheme="majorBidi" w:eastAsia="Calibri" w:hAnsiTheme="majorBidi" w:cstheme="majorBidi"/>
                <w:sz w:val="20"/>
                <w:szCs w:val="20"/>
                <w:lang w:bidi="ar-AE"/>
              </w:rPr>
              <w:t xml:space="preserve"> de campaniles »</w:t>
            </w:r>
          </w:p>
        </w:tc>
      </w:tr>
      <w:tr w:rsidR="00296288" w:rsidRPr="00B867DF" w14:paraId="19F5E687" w14:textId="77777777" w:rsidTr="002A1516">
        <w:trPr>
          <w:jc w:val="center"/>
        </w:trPr>
        <w:tc>
          <w:tcPr>
            <w:tcW w:w="834" w:type="dxa"/>
          </w:tcPr>
          <w:p w14:paraId="570D1B70"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45</w:t>
            </w:r>
          </w:p>
        </w:tc>
        <w:tc>
          <w:tcPr>
            <w:tcW w:w="2629" w:type="dxa"/>
          </w:tcPr>
          <w:p w14:paraId="2CE27D38"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t>« </w:t>
            </w:r>
            <w:r w:rsidRPr="00B867DF">
              <w:rPr>
                <w:rFonts w:asciiTheme="majorBidi" w:hAnsiTheme="majorBidi" w:cstheme="majorBidi"/>
                <w:i/>
                <w:iCs/>
                <w:sz w:val="20"/>
                <w:szCs w:val="20"/>
                <w:lang w:bidi="ar-KW"/>
              </w:rPr>
              <w:t>fa-ka</w:t>
            </w:r>
            <w:r w:rsidRPr="00B867DF">
              <w:rPr>
                <w:rFonts w:asciiTheme="majorBidi" w:hAnsiTheme="majorBidi" w:cstheme="majorBidi"/>
                <w:i/>
                <w:iCs/>
                <w:sz w:val="20"/>
                <w:szCs w:val="20"/>
              </w:rPr>
              <w:t xml:space="preserve">ʾayyin min qaryatin </w:t>
            </w:r>
            <w:r w:rsidRPr="00B867DF">
              <w:rPr>
                <w:rFonts w:asciiTheme="majorBidi" w:hAnsiTheme="majorBidi" w:cstheme="majorBidi"/>
                <w:b/>
                <w:bCs/>
                <w:i/>
                <w:sz w:val="20"/>
                <w:szCs w:val="20"/>
              </w:rPr>
              <w:t>ahlaknā-hā</w:t>
            </w:r>
            <w:r w:rsidRPr="00B867DF">
              <w:rPr>
                <w:rFonts w:asciiTheme="majorBidi" w:hAnsiTheme="majorBidi" w:cstheme="majorBidi"/>
                <w:i/>
                <w:sz w:val="20"/>
                <w:szCs w:val="20"/>
              </w:rPr>
              <w:t> </w:t>
            </w:r>
            <w:r w:rsidRPr="00B867DF">
              <w:rPr>
                <w:rFonts w:asciiTheme="majorBidi" w:hAnsiTheme="majorBidi" w:cstheme="majorBidi"/>
                <w:sz w:val="20"/>
                <w:szCs w:val="20"/>
              </w:rPr>
              <w:t>»</w:t>
            </w:r>
          </w:p>
          <w:p w14:paraId="07EA858B" w14:textId="77777777" w:rsidR="00296288" w:rsidRPr="00B867DF" w:rsidRDefault="00296288" w:rsidP="002A1516">
            <w:pPr>
              <w:jc w:val="both"/>
              <w:rPr>
                <w:rFonts w:asciiTheme="majorBidi" w:hAnsiTheme="majorBidi" w:cstheme="majorBidi"/>
                <w:b/>
                <w:bCs/>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rPr>
              <w:t>ahlaknā</w:t>
            </w:r>
            <w:r w:rsidRPr="00B867DF">
              <w:rPr>
                <w:rFonts w:asciiTheme="majorBidi" w:hAnsiTheme="majorBidi" w:cstheme="majorBidi"/>
                <w:sz w:val="20"/>
                <w:szCs w:val="20"/>
              </w:rPr>
              <w:t> : verbe conjugué à la 1</w:t>
            </w:r>
            <w:r w:rsidRPr="00B867DF">
              <w:rPr>
                <w:rFonts w:asciiTheme="majorBidi" w:hAnsiTheme="majorBidi" w:cstheme="majorBidi"/>
                <w:sz w:val="20"/>
                <w:szCs w:val="20"/>
                <w:vertAlign w:val="superscript"/>
              </w:rPr>
              <w:t>ère</w:t>
            </w:r>
            <w:r w:rsidRPr="00B867DF">
              <w:rPr>
                <w:rFonts w:asciiTheme="majorBidi" w:hAnsiTheme="majorBidi" w:cstheme="majorBidi"/>
                <w:sz w:val="20"/>
                <w:szCs w:val="20"/>
              </w:rPr>
              <w:t xml:space="preserve"> pers. du pl. pour indiquer la glorification et le respect ≈ nous avons anéanti]</w:t>
            </w:r>
          </w:p>
        </w:tc>
        <w:tc>
          <w:tcPr>
            <w:tcW w:w="2977" w:type="dxa"/>
          </w:tcPr>
          <w:p w14:paraId="4B11E1D0"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eastAsia="Calibri" w:hAnsiTheme="majorBidi" w:cstheme="majorBidi"/>
                <w:sz w:val="20"/>
                <w:szCs w:val="20"/>
                <w:lang w:bidi="ar-AE"/>
              </w:rPr>
              <w:t>« que de cités n’</w:t>
            </w:r>
            <w:r w:rsidRPr="00B867DF">
              <w:rPr>
                <w:rFonts w:asciiTheme="majorBidi" w:eastAsia="Calibri" w:hAnsiTheme="majorBidi" w:cstheme="majorBidi"/>
                <w:b/>
                <w:bCs/>
                <w:i/>
                <w:iCs/>
                <w:sz w:val="20"/>
                <w:szCs w:val="20"/>
                <w:lang w:bidi="ar-AE"/>
              </w:rPr>
              <w:t>avons-Nous</w:t>
            </w:r>
            <w:r w:rsidRPr="00B867DF">
              <w:rPr>
                <w:rFonts w:asciiTheme="majorBidi" w:eastAsia="Calibri" w:hAnsiTheme="majorBidi" w:cstheme="majorBidi"/>
                <w:sz w:val="20"/>
                <w:szCs w:val="20"/>
                <w:lang w:bidi="ar-AE"/>
              </w:rPr>
              <w:t xml:space="preserve"> pas </w:t>
            </w:r>
            <w:r w:rsidRPr="00B867DF">
              <w:rPr>
                <w:rFonts w:asciiTheme="majorBidi" w:eastAsia="Calibri" w:hAnsiTheme="majorBidi" w:cstheme="majorBidi"/>
                <w:b/>
                <w:bCs/>
                <w:i/>
                <w:iCs/>
                <w:sz w:val="20"/>
                <w:szCs w:val="20"/>
                <w:lang w:bidi="ar-AE"/>
              </w:rPr>
              <w:t>détruites</w:t>
            </w:r>
            <w:r w:rsidRPr="00B867DF">
              <w:rPr>
                <w:rFonts w:asciiTheme="majorBidi" w:eastAsia="Calibri" w:hAnsiTheme="majorBidi" w:cstheme="majorBidi"/>
                <w:sz w:val="20"/>
                <w:szCs w:val="20"/>
                <w:lang w:bidi="ar-AE"/>
              </w:rPr>
              <w:t> »</w:t>
            </w:r>
          </w:p>
        </w:tc>
        <w:tc>
          <w:tcPr>
            <w:tcW w:w="1783" w:type="dxa"/>
          </w:tcPr>
          <w:p w14:paraId="0810CADF"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i/>
                <w:iCs/>
                <w:sz w:val="20"/>
                <w:szCs w:val="20"/>
                <w:lang w:bidi="ar-KW"/>
              </w:rPr>
              <w:t>fa-ka</w:t>
            </w:r>
            <w:r w:rsidRPr="00B867DF">
              <w:rPr>
                <w:rFonts w:asciiTheme="majorBidi" w:hAnsiTheme="majorBidi" w:cstheme="majorBidi"/>
                <w:i/>
                <w:iCs/>
                <w:sz w:val="20"/>
                <w:szCs w:val="20"/>
              </w:rPr>
              <w:t xml:space="preserve">ʾayyin min qaryatin </w:t>
            </w:r>
            <w:r w:rsidRPr="00B867DF">
              <w:rPr>
                <w:rFonts w:asciiTheme="majorBidi" w:hAnsiTheme="majorBidi" w:cstheme="majorBidi"/>
                <w:b/>
                <w:bCs/>
                <w:sz w:val="20"/>
                <w:szCs w:val="20"/>
              </w:rPr>
              <w:t>a</w:t>
            </w:r>
            <w:r w:rsidRPr="00E1121E">
              <w:rPr>
                <w:rFonts w:asciiTheme="majorBidi" w:hAnsiTheme="majorBidi" w:cstheme="majorBidi"/>
                <w:b/>
                <w:bCs/>
                <w:i/>
                <w:iCs/>
                <w:sz w:val="20"/>
                <w:szCs w:val="20"/>
              </w:rPr>
              <w:t>hlak-tu-hā</w:t>
            </w:r>
            <w:r w:rsidRPr="00B867DF">
              <w:rPr>
                <w:rFonts w:asciiTheme="majorBidi" w:hAnsiTheme="majorBidi" w:cstheme="majorBidi"/>
                <w:sz w:val="20"/>
                <w:szCs w:val="20"/>
              </w:rPr>
              <w:t> »</w:t>
            </w:r>
          </w:p>
          <w:p w14:paraId="07438C7B"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rPr>
              <w:t>ahlaktu</w:t>
            </w:r>
            <w:r w:rsidRPr="00B867DF">
              <w:rPr>
                <w:rFonts w:asciiTheme="majorBidi" w:hAnsiTheme="majorBidi" w:cstheme="majorBidi"/>
                <w:sz w:val="20"/>
                <w:szCs w:val="20"/>
              </w:rPr>
              <w:t> : verbe conjugué à la 1</w:t>
            </w:r>
            <w:r w:rsidRPr="00B867DF">
              <w:rPr>
                <w:rFonts w:asciiTheme="majorBidi" w:hAnsiTheme="majorBidi" w:cstheme="majorBidi"/>
                <w:sz w:val="20"/>
                <w:szCs w:val="20"/>
                <w:vertAlign w:val="superscript"/>
              </w:rPr>
              <w:t>ère</w:t>
            </w:r>
            <w:r w:rsidRPr="00B867DF">
              <w:rPr>
                <w:rFonts w:asciiTheme="majorBidi" w:hAnsiTheme="majorBidi" w:cstheme="majorBidi"/>
                <w:sz w:val="20"/>
                <w:szCs w:val="20"/>
              </w:rPr>
              <w:t xml:space="preserve"> pers. du s. ≈ j’ai anéanti]</w:t>
            </w:r>
          </w:p>
        </w:tc>
        <w:tc>
          <w:tcPr>
            <w:tcW w:w="1825" w:type="dxa"/>
          </w:tcPr>
          <w:p w14:paraId="4570F864"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eastAsia="Calibri" w:hAnsiTheme="majorBidi" w:cstheme="majorBidi"/>
                <w:sz w:val="20"/>
                <w:szCs w:val="20"/>
                <w:lang w:bidi="ar-AE"/>
              </w:rPr>
              <w:t>que de cités n’</w:t>
            </w:r>
            <w:r w:rsidRPr="00B867DF">
              <w:rPr>
                <w:rFonts w:asciiTheme="majorBidi" w:eastAsia="Calibri" w:hAnsiTheme="majorBidi" w:cstheme="majorBidi"/>
                <w:b/>
                <w:bCs/>
                <w:i/>
                <w:iCs/>
                <w:sz w:val="20"/>
                <w:szCs w:val="20"/>
                <w:lang w:bidi="ar-AE"/>
              </w:rPr>
              <w:t>ai-Je</w:t>
            </w:r>
            <w:r w:rsidRPr="00B867DF">
              <w:rPr>
                <w:rFonts w:asciiTheme="majorBidi" w:eastAsia="Calibri" w:hAnsiTheme="majorBidi" w:cstheme="majorBidi"/>
                <w:sz w:val="20"/>
                <w:szCs w:val="20"/>
                <w:lang w:bidi="ar-AE"/>
              </w:rPr>
              <w:t xml:space="preserve"> pas </w:t>
            </w:r>
            <w:r w:rsidRPr="00B867DF">
              <w:rPr>
                <w:rFonts w:asciiTheme="majorBidi" w:eastAsia="Calibri" w:hAnsiTheme="majorBidi" w:cstheme="majorBidi"/>
                <w:b/>
                <w:bCs/>
                <w:i/>
                <w:iCs/>
                <w:sz w:val="20"/>
                <w:szCs w:val="20"/>
                <w:lang w:bidi="ar-AE"/>
              </w:rPr>
              <w:t>détruites</w:t>
            </w:r>
          </w:p>
        </w:tc>
      </w:tr>
      <w:tr w:rsidR="00296288" w:rsidRPr="00B867DF" w14:paraId="325401A5" w14:textId="77777777" w:rsidTr="002A1516">
        <w:trPr>
          <w:jc w:val="center"/>
        </w:trPr>
        <w:tc>
          <w:tcPr>
            <w:tcW w:w="834" w:type="dxa"/>
          </w:tcPr>
          <w:p w14:paraId="0999867D"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47</w:t>
            </w:r>
          </w:p>
        </w:tc>
        <w:tc>
          <w:tcPr>
            <w:tcW w:w="2629" w:type="dxa"/>
          </w:tcPr>
          <w:p w14:paraId="61C91AC9"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t>« </w:t>
            </w:r>
            <w:r w:rsidRPr="00E1121E">
              <w:rPr>
                <w:rFonts w:asciiTheme="majorBidi" w:hAnsiTheme="majorBidi" w:cstheme="majorBidi"/>
                <w:i/>
                <w:iCs/>
                <w:sz w:val="20"/>
                <w:szCs w:val="20"/>
                <w:lang w:bidi="ar-KW"/>
              </w:rPr>
              <w:t xml:space="preserve">mimmā </w:t>
            </w:r>
            <w:r w:rsidRPr="00E1121E">
              <w:rPr>
                <w:rFonts w:asciiTheme="majorBidi" w:hAnsiTheme="majorBidi" w:cstheme="majorBidi"/>
                <w:b/>
                <w:bCs/>
                <w:i/>
                <w:iCs/>
                <w:sz w:val="20"/>
                <w:szCs w:val="20"/>
                <w:lang w:bidi="ar-KW"/>
              </w:rPr>
              <w:t>ta</w:t>
            </w:r>
            <w:r w:rsidRPr="00E1121E">
              <w:rPr>
                <w:rFonts w:asciiTheme="majorBidi" w:hAnsiTheme="majorBidi" w:cstheme="majorBidi"/>
                <w:b/>
                <w:bCs/>
                <w:i/>
                <w:iCs/>
                <w:sz w:val="20"/>
                <w:szCs w:val="20"/>
              </w:rPr>
              <w:t>ʿuddūn</w:t>
            </w:r>
            <w:r w:rsidRPr="00E1121E">
              <w:rPr>
                <w:rFonts w:asciiTheme="majorBidi" w:hAnsiTheme="majorBidi" w:cstheme="majorBidi"/>
                <w:i/>
                <w:iCs/>
                <w:sz w:val="20"/>
                <w:szCs w:val="20"/>
              </w:rPr>
              <w:t> </w:t>
            </w:r>
            <w:r w:rsidRPr="00B867DF">
              <w:rPr>
                <w:rFonts w:asciiTheme="majorBidi" w:hAnsiTheme="majorBidi" w:cstheme="majorBidi"/>
                <w:sz w:val="20"/>
                <w:szCs w:val="20"/>
              </w:rPr>
              <w:t>»</w:t>
            </w:r>
          </w:p>
          <w:p w14:paraId="7B1585C1"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lang w:bidi="ar-KW"/>
              </w:rPr>
              <w:t>ta</w:t>
            </w:r>
            <w:r w:rsidRPr="00B867DF">
              <w:rPr>
                <w:rFonts w:asciiTheme="majorBidi" w:hAnsiTheme="majorBidi" w:cstheme="majorBidi"/>
                <w:i/>
                <w:iCs/>
                <w:sz w:val="20"/>
                <w:szCs w:val="20"/>
              </w:rPr>
              <w:t>ʿuddūn</w:t>
            </w:r>
            <w:r w:rsidRPr="00B867DF">
              <w:rPr>
                <w:rFonts w:asciiTheme="majorBidi" w:hAnsiTheme="majorBidi" w:cstheme="majorBidi"/>
                <w:sz w:val="20"/>
                <w:szCs w:val="20"/>
              </w:rPr>
              <w:t> : verbe conjugué à la 2</w:t>
            </w:r>
            <w:r w:rsidRPr="00B867DF">
              <w:rPr>
                <w:rFonts w:asciiTheme="majorBidi" w:hAnsiTheme="majorBidi" w:cstheme="majorBidi"/>
                <w:sz w:val="20"/>
                <w:szCs w:val="20"/>
                <w:vertAlign w:val="superscript"/>
              </w:rPr>
              <w:t>ème</w:t>
            </w:r>
            <w:r w:rsidRPr="00B867DF">
              <w:rPr>
                <w:rFonts w:asciiTheme="majorBidi" w:hAnsiTheme="majorBidi" w:cstheme="majorBidi"/>
                <w:sz w:val="20"/>
                <w:szCs w:val="20"/>
              </w:rPr>
              <w:t xml:space="preserve"> pers. du pl. masc. pour élargir le public à qui on s’adresse, pour associer l’interlocuteur dans l’action et l’impliquer dans le discours ≈ vous comptez]. (Le pronom sujet implicite [</w:t>
            </w:r>
            <w:r w:rsidRPr="00B867DF">
              <w:rPr>
                <w:rFonts w:asciiTheme="majorBidi" w:hAnsiTheme="majorBidi" w:cstheme="majorBidi"/>
                <w:i/>
                <w:iCs/>
                <w:sz w:val="20"/>
                <w:szCs w:val="20"/>
                <w:lang w:bidi="ar-AE"/>
              </w:rPr>
              <w:t>ḍamīr mustatir</w:t>
            </w:r>
            <w:r w:rsidRPr="00B867DF">
              <w:rPr>
                <w:rFonts w:asciiTheme="majorBidi" w:hAnsiTheme="majorBidi" w:cstheme="majorBidi"/>
                <w:sz w:val="20"/>
                <w:szCs w:val="20"/>
              </w:rPr>
              <w:t xml:space="preserve">] (vous) dans le verbe </w:t>
            </w:r>
            <w:r w:rsidRPr="00B867DF">
              <w:rPr>
                <w:rFonts w:asciiTheme="majorBidi" w:hAnsiTheme="majorBidi" w:cstheme="majorBidi"/>
                <w:i/>
                <w:iCs/>
                <w:sz w:val="20"/>
                <w:szCs w:val="20"/>
                <w:lang w:bidi="ar-KW"/>
              </w:rPr>
              <w:t>ta</w:t>
            </w:r>
            <w:r w:rsidRPr="00B867DF">
              <w:rPr>
                <w:rFonts w:asciiTheme="majorBidi" w:hAnsiTheme="majorBidi" w:cstheme="majorBidi"/>
                <w:i/>
                <w:iCs/>
                <w:sz w:val="20"/>
                <w:szCs w:val="20"/>
              </w:rPr>
              <w:t>ʿuddūn</w:t>
            </w:r>
            <w:r w:rsidRPr="00B867DF">
              <w:rPr>
                <w:rFonts w:asciiTheme="majorBidi" w:hAnsiTheme="majorBidi" w:cstheme="majorBidi"/>
                <w:sz w:val="20"/>
                <w:szCs w:val="20"/>
              </w:rPr>
              <w:t xml:space="preserve"> semble avoir un rôle proche de celui du pronom déictique explétif datif d’intérêt ou datif éthique qui invite la personne à qui on s’adresse à s’investir dans le discours. Ce type de pronom est fréquent plus à l’oral qu’à l’écrit.)</w:t>
            </w:r>
          </w:p>
          <w:p w14:paraId="03B93D2B" w14:textId="77777777" w:rsidR="00296288" w:rsidRPr="00B867DF" w:rsidRDefault="00296288" w:rsidP="002A1516">
            <w:pPr>
              <w:jc w:val="both"/>
              <w:rPr>
                <w:rFonts w:asciiTheme="majorBidi" w:hAnsiTheme="majorBidi" w:cstheme="majorBidi"/>
                <w:sz w:val="20"/>
                <w:szCs w:val="20"/>
              </w:rPr>
            </w:pPr>
          </w:p>
        </w:tc>
        <w:tc>
          <w:tcPr>
            <w:tcW w:w="2977" w:type="dxa"/>
          </w:tcPr>
          <w:p w14:paraId="746C5E6E"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rPr>
              <w:t xml:space="preserve">« de ce que </w:t>
            </w:r>
            <w:r w:rsidRPr="00B867DF">
              <w:rPr>
                <w:rFonts w:asciiTheme="majorBidi" w:hAnsiTheme="majorBidi" w:cstheme="majorBidi"/>
                <w:b/>
                <w:bCs/>
                <w:i/>
                <w:iCs/>
                <w:sz w:val="20"/>
                <w:szCs w:val="20"/>
              </w:rPr>
              <w:t>vous comptez</w:t>
            </w:r>
            <w:r w:rsidRPr="00B867DF">
              <w:rPr>
                <w:rFonts w:asciiTheme="majorBidi" w:hAnsiTheme="majorBidi" w:cstheme="majorBidi"/>
                <w:sz w:val="20"/>
                <w:szCs w:val="20"/>
              </w:rPr>
              <w:t> » (trad. Abdelaziz)</w:t>
            </w:r>
          </w:p>
        </w:tc>
        <w:tc>
          <w:tcPr>
            <w:tcW w:w="1783" w:type="dxa"/>
          </w:tcPr>
          <w:p w14:paraId="7C6F8A8F"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t>« </w:t>
            </w:r>
            <w:r w:rsidRPr="00E1121E">
              <w:rPr>
                <w:rFonts w:asciiTheme="majorBidi" w:hAnsiTheme="majorBidi" w:cstheme="majorBidi"/>
                <w:i/>
                <w:iCs/>
                <w:sz w:val="20"/>
                <w:szCs w:val="20"/>
                <w:lang w:bidi="ar-KW"/>
              </w:rPr>
              <w:t xml:space="preserve">mimmā </w:t>
            </w:r>
            <w:r w:rsidRPr="00E1121E">
              <w:rPr>
                <w:rFonts w:asciiTheme="majorBidi" w:hAnsiTheme="majorBidi" w:cstheme="majorBidi"/>
                <w:b/>
                <w:bCs/>
                <w:i/>
                <w:iCs/>
                <w:sz w:val="20"/>
                <w:szCs w:val="20"/>
                <w:lang w:bidi="ar-KW"/>
              </w:rPr>
              <w:t>ya</w:t>
            </w:r>
            <w:r w:rsidRPr="00E1121E">
              <w:rPr>
                <w:rFonts w:asciiTheme="majorBidi" w:hAnsiTheme="majorBidi" w:cstheme="majorBidi"/>
                <w:b/>
                <w:bCs/>
                <w:i/>
                <w:iCs/>
                <w:sz w:val="20"/>
                <w:szCs w:val="20"/>
              </w:rPr>
              <w:t>ʿuddūn</w:t>
            </w:r>
            <w:r w:rsidRPr="00E1121E">
              <w:rPr>
                <w:rFonts w:asciiTheme="majorBidi" w:hAnsiTheme="majorBidi" w:cstheme="majorBidi"/>
                <w:i/>
                <w:iCs/>
                <w:sz w:val="20"/>
                <w:szCs w:val="20"/>
              </w:rPr>
              <w:t> </w:t>
            </w:r>
            <w:r w:rsidRPr="00B867DF">
              <w:rPr>
                <w:rFonts w:asciiTheme="majorBidi" w:hAnsiTheme="majorBidi" w:cstheme="majorBidi"/>
                <w:sz w:val="20"/>
                <w:szCs w:val="20"/>
              </w:rPr>
              <w:t>»</w:t>
            </w:r>
          </w:p>
          <w:p w14:paraId="5E237FAA" w14:textId="77777777" w:rsidR="00296288" w:rsidRPr="00B867DF" w:rsidRDefault="00296288" w:rsidP="002A1516">
            <w:pPr>
              <w:jc w:val="both"/>
              <w:rPr>
                <w:rFonts w:asciiTheme="majorBidi" w:hAnsiTheme="majorBidi" w:cstheme="majorBidi"/>
                <w:sz w:val="20"/>
                <w:szCs w:val="20"/>
                <w:rtl/>
                <w:lang w:bidi="ar-KW"/>
              </w:rPr>
            </w:pPr>
            <w:r w:rsidRPr="00B867DF">
              <w:rPr>
                <w:rFonts w:asciiTheme="majorBidi" w:hAnsiTheme="majorBidi" w:cstheme="majorBidi"/>
                <w:sz w:val="20"/>
                <w:szCs w:val="20"/>
              </w:rPr>
              <w:t>[</w:t>
            </w:r>
            <w:r w:rsidRPr="00B867DF">
              <w:rPr>
                <w:rFonts w:asciiTheme="majorBidi" w:hAnsiTheme="majorBidi" w:cstheme="majorBidi"/>
                <w:i/>
                <w:iCs/>
                <w:sz w:val="20"/>
                <w:szCs w:val="20"/>
                <w:lang w:bidi="ar-KW"/>
              </w:rPr>
              <w:t>ya</w:t>
            </w:r>
            <w:r w:rsidRPr="00B867DF">
              <w:rPr>
                <w:rFonts w:asciiTheme="majorBidi" w:hAnsiTheme="majorBidi" w:cstheme="majorBidi"/>
                <w:i/>
                <w:iCs/>
                <w:sz w:val="20"/>
                <w:szCs w:val="20"/>
              </w:rPr>
              <w:t>ʿuddūn</w:t>
            </w:r>
            <w:r w:rsidRPr="00B867DF">
              <w:rPr>
                <w:rFonts w:asciiTheme="majorBidi" w:hAnsiTheme="majorBidi" w:cstheme="majorBidi"/>
                <w:sz w:val="20"/>
                <w:szCs w:val="20"/>
              </w:rPr>
              <w:t> : verbe conjugué à la 3</w:t>
            </w:r>
            <w:r w:rsidRPr="00B867DF">
              <w:rPr>
                <w:rFonts w:asciiTheme="majorBidi" w:hAnsiTheme="majorBidi" w:cstheme="majorBidi"/>
                <w:sz w:val="20"/>
                <w:szCs w:val="20"/>
                <w:vertAlign w:val="superscript"/>
              </w:rPr>
              <w:t>ème</w:t>
            </w:r>
            <w:r w:rsidRPr="00B867DF">
              <w:rPr>
                <w:rFonts w:asciiTheme="majorBidi" w:hAnsiTheme="majorBidi" w:cstheme="majorBidi"/>
                <w:sz w:val="20"/>
                <w:szCs w:val="20"/>
              </w:rPr>
              <w:t xml:space="preserve"> pers. du pl. masc. à l’instar de la conjugaison du verbe précédent </w:t>
            </w:r>
            <w:r w:rsidRPr="00B867DF">
              <w:rPr>
                <w:rFonts w:asciiTheme="majorBidi" w:hAnsiTheme="majorBidi" w:cstheme="majorBidi"/>
                <w:i/>
                <w:iCs/>
                <w:sz w:val="20"/>
                <w:szCs w:val="20"/>
              </w:rPr>
              <w:t>yastaʿjilūnaka</w:t>
            </w:r>
            <w:r w:rsidRPr="00B867DF">
              <w:rPr>
                <w:rFonts w:asciiTheme="majorBidi" w:hAnsiTheme="majorBidi" w:cstheme="majorBidi"/>
                <w:sz w:val="20"/>
                <w:szCs w:val="20"/>
              </w:rPr>
              <w:t xml:space="preserve"> [ils te presse] (v. 47),   ce qui limite et réduit le public à qui on s’adresse ≈ ils comptent (sujet : les adversaires du prophète]</w:t>
            </w:r>
          </w:p>
          <w:p w14:paraId="12E5965F" w14:textId="77777777" w:rsidR="00296288" w:rsidRPr="00B867DF" w:rsidRDefault="00296288" w:rsidP="002A1516">
            <w:pPr>
              <w:jc w:val="both"/>
              <w:rPr>
                <w:rFonts w:asciiTheme="majorBidi" w:hAnsiTheme="majorBidi" w:cstheme="majorBidi"/>
                <w:sz w:val="20"/>
                <w:szCs w:val="20"/>
                <w:lang w:bidi="ar-AE"/>
              </w:rPr>
            </w:pPr>
          </w:p>
        </w:tc>
        <w:tc>
          <w:tcPr>
            <w:tcW w:w="1825" w:type="dxa"/>
          </w:tcPr>
          <w:p w14:paraId="0CC6666C"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rPr>
              <w:t>« de ce qu’</w:t>
            </w:r>
            <w:r w:rsidRPr="00B867DF">
              <w:rPr>
                <w:rFonts w:asciiTheme="majorBidi" w:hAnsiTheme="majorBidi" w:cstheme="majorBidi"/>
                <w:b/>
                <w:bCs/>
                <w:i/>
                <w:iCs/>
                <w:sz w:val="20"/>
                <w:szCs w:val="20"/>
              </w:rPr>
              <w:t>ils comptent</w:t>
            </w:r>
            <w:r w:rsidRPr="00B867DF">
              <w:rPr>
                <w:rFonts w:asciiTheme="majorBidi" w:hAnsiTheme="majorBidi" w:cstheme="majorBidi"/>
                <w:sz w:val="20"/>
                <w:szCs w:val="20"/>
              </w:rPr>
              <w:t> »</w:t>
            </w:r>
          </w:p>
        </w:tc>
      </w:tr>
      <w:tr w:rsidR="00296288" w:rsidRPr="00B867DF" w14:paraId="2BA4C39F" w14:textId="77777777" w:rsidTr="002A1516">
        <w:trPr>
          <w:jc w:val="center"/>
        </w:trPr>
        <w:tc>
          <w:tcPr>
            <w:tcW w:w="834" w:type="dxa"/>
          </w:tcPr>
          <w:p w14:paraId="5BCFEA8F"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51</w:t>
            </w:r>
          </w:p>
        </w:tc>
        <w:tc>
          <w:tcPr>
            <w:tcW w:w="2629" w:type="dxa"/>
          </w:tcPr>
          <w:p w14:paraId="52666510"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t>« </w:t>
            </w:r>
            <w:r w:rsidRPr="00E1121E">
              <w:rPr>
                <w:rFonts w:asciiTheme="majorBidi" w:hAnsiTheme="majorBidi" w:cstheme="majorBidi"/>
                <w:b/>
                <w:bCs/>
                <w:i/>
                <w:iCs/>
                <w:sz w:val="20"/>
                <w:szCs w:val="20"/>
                <w:lang w:bidi="ar-KW"/>
              </w:rPr>
              <w:t>mu</w:t>
            </w:r>
            <w:r w:rsidRPr="00E1121E">
              <w:rPr>
                <w:rFonts w:asciiTheme="majorBidi" w:hAnsiTheme="majorBidi" w:cstheme="majorBidi"/>
                <w:b/>
                <w:bCs/>
                <w:i/>
                <w:iCs/>
                <w:sz w:val="20"/>
                <w:szCs w:val="20"/>
              </w:rPr>
              <w:t>ʿājizīna</w:t>
            </w:r>
            <w:r w:rsidRPr="00B867DF">
              <w:rPr>
                <w:rFonts w:asciiTheme="majorBidi" w:hAnsiTheme="majorBidi" w:cstheme="majorBidi"/>
                <w:sz w:val="20"/>
                <w:szCs w:val="20"/>
              </w:rPr>
              <w:t> » (sens ambigu)</w:t>
            </w:r>
            <w:r w:rsidRPr="00B867DF">
              <w:rPr>
                <w:rStyle w:val="Appelnotedebasdep"/>
                <w:sz w:val="20"/>
                <w:szCs w:val="20"/>
              </w:rPr>
              <w:footnoteReference w:id="304"/>
            </w:r>
          </w:p>
          <w:p w14:paraId="3D3FECFB" w14:textId="77777777" w:rsidR="00296288" w:rsidRPr="00B867DF" w:rsidRDefault="00296288" w:rsidP="002A1516">
            <w:pPr>
              <w:jc w:val="both"/>
              <w:rPr>
                <w:rFonts w:asciiTheme="majorBidi" w:hAnsiTheme="majorBidi" w:cstheme="majorBidi"/>
                <w:b/>
                <w:bCs/>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lang w:bidi="ar-KW"/>
              </w:rPr>
              <w:t>mu</w:t>
            </w:r>
            <w:r w:rsidRPr="00B867DF">
              <w:rPr>
                <w:rFonts w:asciiTheme="majorBidi" w:hAnsiTheme="majorBidi" w:cstheme="majorBidi"/>
                <w:i/>
                <w:iCs/>
                <w:sz w:val="20"/>
                <w:szCs w:val="20"/>
              </w:rPr>
              <w:t>ʿājizīna </w:t>
            </w:r>
            <w:r w:rsidRPr="00B867DF">
              <w:rPr>
                <w:rFonts w:asciiTheme="majorBidi" w:hAnsiTheme="majorBidi" w:cstheme="majorBidi"/>
                <w:sz w:val="20"/>
                <w:szCs w:val="20"/>
              </w:rPr>
              <w:t>: un participe actif (</w:t>
            </w:r>
            <w:r w:rsidRPr="00B867DF">
              <w:rPr>
                <w:rFonts w:asciiTheme="majorBidi" w:hAnsiTheme="majorBidi" w:cstheme="majorBidi"/>
                <w:i/>
                <w:iCs/>
                <w:sz w:val="20"/>
                <w:szCs w:val="20"/>
              </w:rPr>
              <w:t>ism fāʿil</w:t>
            </w:r>
            <w:r w:rsidRPr="00B867DF">
              <w:rPr>
                <w:rFonts w:asciiTheme="majorBidi" w:hAnsiTheme="majorBidi" w:cstheme="majorBidi"/>
                <w:sz w:val="20"/>
                <w:szCs w:val="20"/>
              </w:rPr>
              <w:t xml:space="preserve">) pluriel cas direct du verbe à la forme III </w:t>
            </w:r>
            <w:r w:rsidRPr="00B867DF">
              <w:rPr>
                <w:rFonts w:asciiTheme="majorBidi" w:hAnsiTheme="majorBidi" w:cstheme="majorBidi"/>
                <w:i/>
                <w:iCs/>
                <w:sz w:val="20"/>
                <w:szCs w:val="20"/>
              </w:rPr>
              <w:lastRenderedPageBreak/>
              <w:t>ʿājaza</w:t>
            </w:r>
            <w:r w:rsidRPr="00B867DF">
              <w:rPr>
                <w:rFonts w:asciiTheme="majorBidi" w:hAnsiTheme="majorBidi" w:cstheme="majorBidi"/>
                <w:sz w:val="20"/>
                <w:szCs w:val="20"/>
              </w:rPr>
              <w:t xml:space="preserve"> </w:t>
            </w:r>
            <w:r w:rsidRPr="00B867DF">
              <w:rPr>
                <w:rFonts w:asciiTheme="majorBidi" w:hAnsiTheme="majorBidi" w:cstheme="majorBidi"/>
                <w:sz w:val="20"/>
                <w:szCs w:val="20"/>
                <w:rtl/>
              </w:rPr>
              <w:t>عاجَزَ</w:t>
            </w:r>
            <w:r w:rsidRPr="00B867DF">
              <w:rPr>
                <w:rFonts w:asciiTheme="majorBidi" w:hAnsiTheme="majorBidi" w:cstheme="majorBidi"/>
                <w:b/>
                <w:bCs/>
                <w:sz w:val="20"/>
                <w:szCs w:val="20"/>
              </w:rPr>
              <w:t xml:space="preserve"> </w:t>
            </w:r>
            <w:r w:rsidRPr="00B867DF">
              <w:rPr>
                <w:rFonts w:asciiTheme="majorBidi" w:hAnsiTheme="majorBidi" w:cstheme="majorBidi"/>
                <w:sz w:val="20"/>
                <w:szCs w:val="20"/>
              </w:rPr>
              <w:t>(sens d’émulation) ≈ ceux qui s’efforcent de prévaloir contre… (Kazimirski)]</w:t>
            </w:r>
          </w:p>
          <w:p w14:paraId="58732EAD" w14:textId="77777777" w:rsidR="00296288" w:rsidRPr="00B867DF" w:rsidRDefault="00296288" w:rsidP="002A1516">
            <w:pPr>
              <w:jc w:val="both"/>
              <w:rPr>
                <w:rFonts w:asciiTheme="majorBidi" w:hAnsiTheme="majorBidi" w:cstheme="majorBidi"/>
                <w:sz w:val="20"/>
                <w:szCs w:val="20"/>
                <w:rtl/>
                <w:lang w:bidi="ar-KW"/>
              </w:rPr>
            </w:pPr>
            <w:r w:rsidRPr="00B867DF">
              <w:rPr>
                <w:rFonts w:asciiTheme="majorBidi" w:hAnsiTheme="majorBidi" w:cstheme="majorBidi"/>
                <w:sz w:val="20"/>
                <w:szCs w:val="20"/>
                <w:lang w:bidi="ar-KW"/>
              </w:rPr>
              <w:t>(S</w:t>
            </w:r>
            <w:r w:rsidRPr="00B867DF">
              <w:rPr>
                <w:rFonts w:asciiTheme="majorBidi" w:hAnsiTheme="majorBidi" w:cstheme="majorBidi"/>
                <w:sz w:val="20"/>
                <w:szCs w:val="20"/>
              </w:rPr>
              <w:t>elon le ductus consonantique du calife ʿUthmān [</w:t>
            </w:r>
            <w:r w:rsidRPr="00B867DF">
              <w:rPr>
                <w:rFonts w:asciiTheme="majorBidi" w:hAnsiTheme="majorBidi" w:cstheme="majorBidi"/>
                <w:i/>
                <w:iCs/>
                <w:sz w:val="20"/>
                <w:szCs w:val="20"/>
              </w:rPr>
              <w:t>rasm ʿuthmānī</w:t>
            </w:r>
            <w:r w:rsidRPr="00B867DF">
              <w:rPr>
                <w:rFonts w:asciiTheme="majorBidi" w:hAnsiTheme="majorBidi" w:cstheme="majorBidi"/>
                <w:sz w:val="20"/>
                <w:szCs w:val="20"/>
              </w:rPr>
              <w:t xml:space="preserve">], ce participe est tracé sans </w:t>
            </w:r>
            <w:r w:rsidRPr="00B867DF">
              <w:rPr>
                <w:rFonts w:asciiTheme="majorBidi" w:hAnsiTheme="majorBidi" w:cstheme="majorBidi"/>
                <w:i/>
                <w:iCs/>
                <w:sz w:val="20"/>
                <w:szCs w:val="20"/>
              </w:rPr>
              <w:t>alif</w:t>
            </w:r>
            <w:r w:rsidRPr="00B867DF">
              <w:rPr>
                <w:rFonts w:asciiTheme="majorBidi" w:hAnsiTheme="majorBidi" w:cstheme="majorBidi"/>
                <w:sz w:val="20"/>
                <w:szCs w:val="20"/>
              </w:rPr>
              <w:t xml:space="preserve"> ainsi : </w:t>
            </w:r>
            <w:r w:rsidRPr="00B867DF">
              <w:rPr>
                <w:rFonts w:ascii="Gill Sans Ultra Bold" w:eastAsia="AppleGothic" w:hAnsi="Gill Sans Ultra Bold" w:cstheme="majorBidi"/>
                <w:sz w:val="20"/>
                <w:szCs w:val="20"/>
                <w:rtl/>
              </w:rPr>
              <w:t>معجزين</w:t>
            </w:r>
            <w:r w:rsidRPr="00B867DF">
              <w:rPr>
                <w:rFonts w:asciiTheme="majorBidi" w:hAnsiTheme="majorBidi" w:cstheme="majorBidi"/>
                <w:sz w:val="20"/>
                <w:szCs w:val="20"/>
              </w:rPr>
              <w:t>, ce qui donnent deux possibilités de lecture.)</w:t>
            </w:r>
          </w:p>
        </w:tc>
        <w:tc>
          <w:tcPr>
            <w:tcW w:w="2977" w:type="dxa"/>
          </w:tcPr>
          <w:p w14:paraId="55D2865A" w14:textId="77777777" w:rsidR="00296288" w:rsidRPr="00B867DF" w:rsidRDefault="00296288" w:rsidP="002A1516">
            <w:pPr>
              <w:jc w:val="both"/>
              <w:rPr>
                <w:rFonts w:asciiTheme="majorBidi" w:eastAsia="Calibri" w:hAnsiTheme="majorBidi" w:cstheme="majorBidi"/>
                <w:sz w:val="20"/>
                <w:szCs w:val="20"/>
                <w:lang w:bidi="ar-AE"/>
              </w:rPr>
            </w:pPr>
            <w:r w:rsidRPr="00B867DF">
              <w:rPr>
                <w:rFonts w:asciiTheme="majorBidi" w:eastAsia="Calibri" w:hAnsiTheme="majorBidi" w:cstheme="majorBidi"/>
                <w:sz w:val="20"/>
                <w:szCs w:val="20"/>
                <w:lang w:bidi="ar-AE"/>
              </w:rPr>
              <w:lastRenderedPageBreak/>
              <w:t xml:space="preserve">1.« ceux qui s’acharnent à </w:t>
            </w:r>
            <w:r w:rsidRPr="00B867DF">
              <w:rPr>
                <w:rFonts w:asciiTheme="majorBidi" w:eastAsia="Calibri" w:hAnsiTheme="majorBidi" w:cstheme="majorBidi"/>
                <w:b/>
                <w:bCs/>
                <w:i/>
                <w:iCs/>
                <w:sz w:val="20"/>
                <w:szCs w:val="20"/>
                <w:lang w:bidi="ar-AE"/>
              </w:rPr>
              <w:t>infirmer</w:t>
            </w:r>
            <w:r w:rsidRPr="00B867DF">
              <w:rPr>
                <w:rFonts w:asciiTheme="majorBidi" w:eastAsia="Calibri" w:hAnsiTheme="majorBidi" w:cstheme="majorBidi"/>
                <w:sz w:val="20"/>
                <w:szCs w:val="20"/>
                <w:lang w:bidi="ar-AE"/>
              </w:rPr>
              <w:t> » (Berque) ;</w:t>
            </w:r>
          </w:p>
          <w:p w14:paraId="08790CEE" w14:textId="77777777" w:rsidR="00296288" w:rsidRPr="00B867DF" w:rsidRDefault="00296288" w:rsidP="002A1516">
            <w:pPr>
              <w:jc w:val="both"/>
              <w:rPr>
                <w:rFonts w:asciiTheme="majorBidi" w:eastAsia="Calibri" w:hAnsiTheme="majorBidi" w:cstheme="majorBidi"/>
                <w:sz w:val="20"/>
                <w:szCs w:val="20"/>
                <w:lang w:bidi="ar-AE"/>
              </w:rPr>
            </w:pPr>
            <w:r w:rsidRPr="00B867DF">
              <w:rPr>
                <w:rFonts w:asciiTheme="majorBidi" w:eastAsia="Calibri" w:hAnsiTheme="majorBidi" w:cstheme="majorBidi"/>
                <w:sz w:val="20"/>
                <w:szCs w:val="20"/>
                <w:lang w:bidi="ar-AE"/>
              </w:rPr>
              <w:t>2.</w:t>
            </w:r>
            <w:r w:rsidRPr="00B867DF">
              <w:rPr>
                <w:rFonts w:asciiTheme="majorBidi" w:hAnsiTheme="majorBidi" w:cstheme="majorBidi"/>
                <w:color w:val="000000"/>
                <w:sz w:val="20"/>
                <w:szCs w:val="20"/>
              </w:rPr>
              <w:t xml:space="preserve">« ceux qui s’efforcent à </w:t>
            </w:r>
            <w:r w:rsidRPr="00B867DF">
              <w:rPr>
                <w:rFonts w:asciiTheme="majorBidi" w:hAnsiTheme="majorBidi" w:cstheme="majorBidi"/>
                <w:b/>
                <w:bCs/>
                <w:i/>
                <w:iCs/>
                <w:color w:val="000000"/>
                <w:sz w:val="20"/>
                <w:szCs w:val="20"/>
              </w:rPr>
              <w:t>échapper</w:t>
            </w:r>
            <w:r w:rsidRPr="00B867DF">
              <w:rPr>
                <w:rFonts w:asciiTheme="majorBidi" w:hAnsiTheme="majorBidi" w:cstheme="majorBidi"/>
                <w:color w:val="000000"/>
                <w:sz w:val="20"/>
                <w:szCs w:val="20"/>
              </w:rPr>
              <w:t xml:space="preserve"> (au châtiment mentionné dans) » (complexe de </w:t>
            </w:r>
            <w:r w:rsidRPr="00B867DF">
              <w:rPr>
                <w:rFonts w:asciiTheme="majorBidi" w:hAnsiTheme="majorBidi" w:cstheme="majorBidi"/>
                <w:color w:val="000000"/>
                <w:sz w:val="20"/>
                <w:szCs w:val="20"/>
              </w:rPr>
              <w:lastRenderedPageBreak/>
              <w:t>Médine) ;</w:t>
            </w:r>
          </w:p>
          <w:p w14:paraId="26F1BEF5" w14:textId="77777777" w:rsidR="00296288" w:rsidRPr="00B867DF" w:rsidRDefault="00296288" w:rsidP="002A1516">
            <w:pPr>
              <w:jc w:val="both"/>
              <w:rPr>
                <w:rFonts w:asciiTheme="majorBidi" w:hAnsiTheme="majorBidi" w:cstheme="majorBidi"/>
                <w:color w:val="000000"/>
                <w:sz w:val="20"/>
                <w:szCs w:val="20"/>
              </w:rPr>
            </w:pPr>
            <w:r w:rsidRPr="00B867DF">
              <w:rPr>
                <w:rFonts w:asciiTheme="majorBidi" w:hAnsiTheme="majorBidi" w:cstheme="majorBidi"/>
                <w:color w:val="000000"/>
                <w:sz w:val="20"/>
                <w:szCs w:val="20"/>
              </w:rPr>
              <w:t>3.« Ceux qui s’efforcent d’</w:t>
            </w:r>
            <w:r w:rsidRPr="00B867DF">
              <w:rPr>
                <w:rFonts w:asciiTheme="majorBidi" w:hAnsiTheme="majorBidi" w:cstheme="majorBidi"/>
                <w:b/>
                <w:bCs/>
                <w:i/>
                <w:iCs/>
                <w:color w:val="000000"/>
                <w:sz w:val="20"/>
                <w:szCs w:val="20"/>
              </w:rPr>
              <w:t>empêcher</w:t>
            </w:r>
            <w:r w:rsidRPr="00B867DF">
              <w:rPr>
                <w:rFonts w:asciiTheme="majorBidi" w:hAnsiTheme="majorBidi" w:cstheme="majorBidi"/>
                <w:color w:val="000000"/>
                <w:sz w:val="20"/>
                <w:szCs w:val="20"/>
              </w:rPr>
              <w:t> » (Chouraqui) ;</w:t>
            </w:r>
          </w:p>
          <w:p w14:paraId="23379532"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 xml:space="preserve">4.« Ceux qui s’efforcent de </w:t>
            </w:r>
            <w:r w:rsidRPr="00B867DF">
              <w:rPr>
                <w:rFonts w:asciiTheme="majorBidi" w:hAnsiTheme="majorBidi" w:cstheme="majorBidi"/>
                <w:b/>
                <w:bCs/>
                <w:i/>
                <w:iCs/>
                <w:sz w:val="20"/>
                <w:szCs w:val="20"/>
              </w:rPr>
              <w:t>combattre</w:t>
            </w:r>
            <w:r w:rsidRPr="00B867DF">
              <w:rPr>
                <w:rFonts w:asciiTheme="majorBidi" w:hAnsiTheme="majorBidi" w:cstheme="majorBidi"/>
                <w:sz w:val="20"/>
                <w:szCs w:val="20"/>
              </w:rPr>
              <w:t> » (Guessous) ;</w:t>
            </w:r>
          </w:p>
          <w:p w14:paraId="266370FD"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5.« Ceux qui s’efforcent d’</w:t>
            </w:r>
            <w:r w:rsidRPr="00B867DF">
              <w:rPr>
                <w:rFonts w:asciiTheme="majorBidi" w:hAnsiTheme="majorBidi" w:cstheme="majorBidi"/>
                <w:b/>
                <w:bCs/>
                <w:i/>
                <w:iCs/>
                <w:sz w:val="20"/>
                <w:szCs w:val="20"/>
              </w:rPr>
              <w:t>agir contre</w:t>
            </w:r>
            <w:r w:rsidRPr="00B867DF">
              <w:rPr>
                <w:rFonts w:asciiTheme="majorBidi" w:hAnsiTheme="majorBidi" w:cstheme="majorBidi"/>
                <w:sz w:val="20"/>
                <w:szCs w:val="20"/>
              </w:rPr>
              <w:t> » (Ghédira) ;</w:t>
            </w:r>
          </w:p>
          <w:p w14:paraId="4FF25ADF"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6.« Ceux qui s’efforcent d’</w:t>
            </w:r>
            <w:r w:rsidRPr="00B867DF">
              <w:rPr>
                <w:rFonts w:asciiTheme="majorBidi" w:hAnsiTheme="majorBidi" w:cstheme="majorBidi"/>
                <w:b/>
                <w:bCs/>
                <w:i/>
                <w:iCs/>
                <w:sz w:val="20"/>
                <w:szCs w:val="20"/>
              </w:rPr>
              <w:t>abolir</w:t>
            </w:r>
            <w:r w:rsidRPr="00B867DF">
              <w:rPr>
                <w:rFonts w:asciiTheme="majorBidi" w:hAnsiTheme="majorBidi" w:cstheme="majorBidi"/>
                <w:sz w:val="20"/>
                <w:szCs w:val="20"/>
              </w:rPr>
              <w:t> » (Masson) ;</w:t>
            </w:r>
          </w:p>
          <w:p w14:paraId="1F95095C"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 xml:space="preserve">7.« ceux qui </w:t>
            </w:r>
            <w:r w:rsidRPr="00B867DF">
              <w:rPr>
                <w:rFonts w:asciiTheme="majorBidi" w:hAnsiTheme="majorBidi" w:cstheme="majorBidi"/>
                <w:b/>
                <w:bCs/>
                <w:i/>
                <w:iCs/>
                <w:sz w:val="20"/>
                <w:szCs w:val="20"/>
              </w:rPr>
              <w:t>s’opposent farouchement</w:t>
            </w:r>
            <w:r w:rsidRPr="00B867DF">
              <w:rPr>
                <w:rFonts w:asciiTheme="majorBidi" w:hAnsiTheme="majorBidi" w:cstheme="majorBidi"/>
                <w:sz w:val="20"/>
                <w:szCs w:val="20"/>
              </w:rPr>
              <w:t xml:space="preserve"> à » (Hafiane) ;</w:t>
            </w:r>
          </w:p>
          <w:p w14:paraId="3394DAED"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 xml:space="preserve">8.« ceux qui </w:t>
            </w:r>
            <w:r w:rsidRPr="00B867DF">
              <w:rPr>
                <w:rFonts w:asciiTheme="majorBidi" w:hAnsiTheme="majorBidi" w:cstheme="majorBidi"/>
                <w:b/>
                <w:bCs/>
                <w:i/>
                <w:iCs/>
                <w:sz w:val="20"/>
                <w:szCs w:val="20"/>
              </w:rPr>
              <w:t xml:space="preserve">s’échinent </w:t>
            </w:r>
            <w:r w:rsidRPr="00B867DF">
              <w:rPr>
                <w:rFonts w:asciiTheme="majorBidi" w:hAnsiTheme="majorBidi" w:cstheme="majorBidi"/>
                <w:sz w:val="20"/>
                <w:szCs w:val="20"/>
              </w:rPr>
              <w:t>contre » (Grosjean) ;</w:t>
            </w:r>
          </w:p>
          <w:p w14:paraId="709F7B07"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 xml:space="preserve">9.« ceux qui s’évertuent à </w:t>
            </w:r>
            <w:r w:rsidRPr="00B867DF">
              <w:rPr>
                <w:rFonts w:asciiTheme="majorBidi" w:hAnsiTheme="majorBidi" w:cstheme="majorBidi"/>
                <w:b/>
                <w:bCs/>
                <w:i/>
                <w:iCs/>
                <w:sz w:val="20"/>
                <w:szCs w:val="20"/>
              </w:rPr>
              <w:t>nier</w:t>
            </w:r>
            <w:r w:rsidRPr="00B867DF">
              <w:rPr>
                <w:rFonts w:asciiTheme="majorBidi" w:hAnsiTheme="majorBidi" w:cstheme="majorBidi"/>
                <w:sz w:val="20"/>
                <w:szCs w:val="20"/>
              </w:rPr>
              <w:t> » (Chebel) ;</w:t>
            </w:r>
          </w:p>
          <w:p w14:paraId="313FBFF1"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 xml:space="preserve">10.« ceux qui courent pour </w:t>
            </w:r>
            <w:r w:rsidRPr="00B867DF">
              <w:rPr>
                <w:rFonts w:asciiTheme="majorBidi" w:hAnsiTheme="majorBidi" w:cstheme="majorBidi"/>
                <w:b/>
                <w:bCs/>
                <w:i/>
                <w:iCs/>
                <w:sz w:val="20"/>
                <w:szCs w:val="20"/>
              </w:rPr>
              <w:t>rendre impuissants</w:t>
            </w:r>
            <w:r w:rsidRPr="00B867DF">
              <w:rPr>
                <w:rFonts w:asciiTheme="majorBidi" w:hAnsiTheme="majorBidi" w:cstheme="majorBidi"/>
                <w:sz w:val="20"/>
                <w:szCs w:val="20"/>
              </w:rPr>
              <w:t> » (Hamidullah) ;</w:t>
            </w:r>
          </w:p>
          <w:p w14:paraId="75B358E3"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 xml:space="preserve">11.« Ceux qui cherchent à </w:t>
            </w:r>
            <w:r w:rsidRPr="00B867DF">
              <w:rPr>
                <w:rFonts w:asciiTheme="majorBidi" w:hAnsiTheme="majorBidi" w:cstheme="majorBidi"/>
                <w:b/>
                <w:bCs/>
                <w:i/>
                <w:iCs/>
                <w:sz w:val="20"/>
                <w:szCs w:val="20"/>
              </w:rPr>
              <w:t>rendre caducs </w:t>
            </w:r>
            <w:r w:rsidRPr="00B867DF">
              <w:rPr>
                <w:rFonts w:asciiTheme="majorBidi" w:hAnsiTheme="majorBidi" w:cstheme="majorBidi"/>
                <w:sz w:val="20"/>
                <w:szCs w:val="20"/>
              </w:rPr>
              <w:t>» (Ben Mahmoud) ;</w:t>
            </w:r>
          </w:p>
          <w:p w14:paraId="7C660295"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12.« ceux qui s’efforceront d’</w:t>
            </w:r>
            <w:r w:rsidRPr="00B867DF">
              <w:rPr>
                <w:rFonts w:asciiTheme="majorBidi" w:hAnsiTheme="majorBidi" w:cstheme="majorBidi"/>
                <w:b/>
                <w:bCs/>
                <w:i/>
                <w:iCs/>
                <w:sz w:val="20"/>
                <w:szCs w:val="20"/>
              </w:rPr>
              <w:t>aneantir</w:t>
            </w:r>
            <w:r w:rsidRPr="00B867DF">
              <w:rPr>
                <w:rFonts w:asciiTheme="majorBidi" w:hAnsiTheme="majorBidi" w:cstheme="majorBidi"/>
                <w:sz w:val="20"/>
                <w:szCs w:val="20"/>
              </w:rPr>
              <w:t> » (Du Ruyer).</w:t>
            </w:r>
          </w:p>
        </w:tc>
        <w:tc>
          <w:tcPr>
            <w:tcW w:w="1783" w:type="dxa"/>
          </w:tcPr>
          <w:p w14:paraId="707E13B9"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lastRenderedPageBreak/>
              <w:t>« </w:t>
            </w:r>
            <w:r w:rsidRPr="00E1121E">
              <w:rPr>
                <w:rFonts w:asciiTheme="majorBidi" w:hAnsiTheme="majorBidi" w:cstheme="majorBidi"/>
                <w:b/>
                <w:bCs/>
                <w:i/>
                <w:iCs/>
                <w:sz w:val="20"/>
                <w:szCs w:val="20"/>
                <w:lang w:bidi="ar-KW"/>
              </w:rPr>
              <w:t>mu</w:t>
            </w:r>
            <w:r w:rsidRPr="00E1121E">
              <w:rPr>
                <w:rFonts w:asciiTheme="majorBidi" w:hAnsiTheme="majorBidi" w:cstheme="majorBidi"/>
                <w:b/>
                <w:bCs/>
                <w:i/>
                <w:iCs/>
                <w:sz w:val="20"/>
                <w:szCs w:val="20"/>
              </w:rPr>
              <w:t>ʿajjizīna</w:t>
            </w:r>
            <w:r w:rsidRPr="00B867DF">
              <w:rPr>
                <w:rFonts w:asciiTheme="majorBidi" w:hAnsiTheme="majorBidi" w:cstheme="majorBidi"/>
                <w:sz w:val="20"/>
                <w:szCs w:val="20"/>
              </w:rPr>
              <w:t> »</w:t>
            </w:r>
          </w:p>
          <w:p w14:paraId="2FC79B51"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rPr>
              <w:t>[</w:t>
            </w:r>
            <w:r w:rsidRPr="00B867DF">
              <w:rPr>
                <w:rFonts w:asciiTheme="majorBidi" w:hAnsiTheme="majorBidi" w:cstheme="majorBidi"/>
                <w:i/>
                <w:iCs/>
                <w:sz w:val="20"/>
                <w:szCs w:val="20"/>
                <w:lang w:bidi="ar-KW"/>
              </w:rPr>
              <w:t>mu</w:t>
            </w:r>
            <w:r w:rsidRPr="00B867DF">
              <w:rPr>
                <w:rFonts w:asciiTheme="majorBidi" w:hAnsiTheme="majorBidi" w:cstheme="majorBidi"/>
                <w:i/>
                <w:iCs/>
                <w:sz w:val="20"/>
                <w:szCs w:val="20"/>
              </w:rPr>
              <w:t>ʿajjizīna </w:t>
            </w:r>
            <w:r w:rsidRPr="00B867DF">
              <w:rPr>
                <w:rFonts w:asciiTheme="majorBidi" w:hAnsiTheme="majorBidi" w:cstheme="majorBidi"/>
                <w:sz w:val="20"/>
                <w:szCs w:val="20"/>
              </w:rPr>
              <w:t>: un participe actif (</w:t>
            </w:r>
            <w:r w:rsidRPr="00B867DF">
              <w:rPr>
                <w:rFonts w:asciiTheme="majorBidi" w:hAnsiTheme="majorBidi" w:cstheme="majorBidi"/>
                <w:i/>
                <w:iCs/>
                <w:sz w:val="20"/>
                <w:szCs w:val="20"/>
              </w:rPr>
              <w:t>ism fāʿil</w:t>
            </w:r>
            <w:r w:rsidRPr="00B867DF">
              <w:rPr>
                <w:rFonts w:asciiTheme="majorBidi" w:hAnsiTheme="majorBidi" w:cstheme="majorBidi"/>
                <w:sz w:val="20"/>
                <w:szCs w:val="20"/>
              </w:rPr>
              <w:t xml:space="preserve">) pluriel cas direct du verbe à la </w:t>
            </w:r>
            <w:r w:rsidRPr="00B867DF">
              <w:rPr>
                <w:rFonts w:asciiTheme="majorBidi" w:hAnsiTheme="majorBidi" w:cstheme="majorBidi"/>
                <w:sz w:val="20"/>
                <w:szCs w:val="20"/>
              </w:rPr>
              <w:lastRenderedPageBreak/>
              <w:t xml:space="preserve">forme II </w:t>
            </w:r>
            <w:r w:rsidRPr="00B867DF">
              <w:rPr>
                <w:rFonts w:asciiTheme="majorBidi" w:hAnsiTheme="majorBidi" w:cstheme="majorBidi"/>
                <w:i/>
                <w:iCs/>
                <w:sz w:val="20"/>
                <w:szCs w:val="20"/>
              </w:rPr>
              <w:t>ʿājjaza</w:t>
            </w:r>
            <w:r w:rsidRPr="00B867DF">
              <w:rPr>
                <w:rFonts w:asciiTheme="majorBidi" w:hAnsiTheme="majorBidi" w:cstheme="majorBidi"/>
                <w:sz w:val="20"/>
                <w:szCs w:val="20"/>
              </w:rPr>
              <w:t xml:space="preserve"> </w:t>
            </w:r>
            <w:r w:rsidRPr="00B867DF">
              <w:rPr>
                <w:rFonts w:asciiTheme="majorBidi" w:hAnsiTheme="majorBidi" w:cstheme="majorBidi"/>
                <w:sz w:val="20"/>
                <w:szCs w:val="20"/>
                <w:rtl/>
              </w:rPr>
              <w:t>عَجَّزَ</w:t>
            </w:r>
            <w:r w:rsidRPr="00B867DF">
              <w:rPr>
                <w:rFonts w:asciiTheme="majorBidi" w:hAnsiTheme="majorBidi" w:cstheme="majorBidi"/>
                <w:sz w:val="20"/>
                <w:szCs w:val="20"/>
              </w:rPr>
              <w:t xml:space="preserve"> (sens d’exagération) ≈ ceux qui dissuadent]</w:t>
            </w:r>
          </w:p>
        </w:tc>
        <w:tc>
          <w:tcPr>
            <w:tcW w:w="1825" w:type="dxa"/>
          </w:tcPr>
          <w:p w14:paraId="179E36B0"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lastRenderedPageBreak/>
              <w:t>« </w:t>
            </w:r>
            <w:r w:rsidRPr="00B867DF">
              <w:rPr>
                <w:rFonts w:asciiTheme="majorBidi" w:hAnsiTheme="majorBidi" w:cstheme="majorBidi"/>
                <w:b/>
                <w:bCs/>
                <w:i/>
                <w:iCs/>
                <w:sz w:val="20"/>
                <w:szCs w:val="20"/>
                <w:lang w:bidi="ar-AE"/>
              </w:rPr>
              <w:t>Ceux qui</w:t>
            </w:r>
            <w:r w:rsidRPr="00B867DF">
              <w:rPr>
                <w:rFonts w:asciiTheme="majorBidi" w:hAnsiTheme="majorBidi" w:cstheme="majorBidi"/>
                <w:b/>
                <w:bCs/>
                <w:i/>
                <w:iCs/>
                <w:sz w:val="20"/>
                <w:szCs w:val="20"/>
                <w:rtl/>
                <w:lang w:bidi="ar-AE"/>
              </w:rPr>
              <w:t xml:space="preserve"> </w:t>
            </w:r>
            <w:r w:rsidRPr="00B867DF">
              <w:rPr>
                <w:rFonts w:asciiTheme="majorBidi" w:hAnsiTheme="majorBidi" w:cstheme="majorBidi"/>
                <w:b/>
                <w:bCs/>
                <w:i/>
                <w:iCs/>
                <w:sz w:val="20"/>
                <w:szCs w:val="20"/>
                <w:lang w:bidi="ar-AE"/>
              </w:rPr>
              <w:t xml:space="preserve">découragent </w:t>
            </w:r>
            <w:r w:rsidRPr="00B867DF">
              <w:rPr>
                <w:rFonts w:asciiTheme="majorBidi" w:hAnsiTheme="majorBidi" w:cstheme="majorBidi"/>
                <w:i/>
                <w:iCs/>
                <w:sz w:val="20"/>
                <w:szCs w:val="20"/>
                <w:lang w:bidi="ar-AE"/>
              </w:rPr>
              <w:t>ou</w:t>
            </w:r>
            <w:r w:rsidRPr="00B867DF">
              <w:rPr>
                <w:rFonts w:asciiTheme="majorBidi" w:hAnsiTheme="majorBidi" w:cstheme="majorBidi"/>
                <w:b/>
                <w:bCs/>
                <w:i/>
                <w:iCs/>
                <w:sz w:val="20"/>
                <w:szCs w:val="20"/>
                <w:lang w:bidi="ar-AE"/>
              </w:rPr>
              <w:t xml:space="preserve"> dissuadent</w:t>
            </w:r>
            <w:r w:rsidRPr="00B867DF">
              <w:rPr>
                <w:rFonts w:asciiTheme="majorBidi" w:hAnsiTheme="majorBidi" w:cstheme="majorBidi"/>
                <w:sz w:val="20"/>
                <w:szCs w:val="20"/>
                <w:lang w:bidi="ar-AE"/>
              </w:rPr>
              <w:t xml:space="preserve"> </w:t>
            </w:r>
            <w:r w:rsidRPr="00B867DF">
              <w:rPr>
                <w:rFonts w:asciiTheme="majorBidi" w:hAnsiTheme="majorBidi" w:cstheme="majorBidi"/>
                <w:sz w:val="20"/>
                <w:szCs w:val="20"/>
              </w:rPr>
              <w:t>[</w:t>
            </w:r>
            <w:r w:rsidRPr="00B867DF">
              <w:rPr>
                <w:rFonts w:asciiTheme="majorBidi" w:hAnsiTheme="majorBidi" w:cstheme="majorBidi"/>
                <w:sz w:val="20"/>
                <w:szCs w:val="20"/>
                <w:lang w:bidi="ar-AE"/>
              </w:rPr>
              <w:t>les gens</w:t>
            </w:r>
            <w:r w:rsidRPr="00B867DF">
              <w:rPr>
                <w:rFonts w:asciiTheme="majorBidi" w:hAnsiTheme="majorBidi" w:cstheme="majorBidi"/>
                <w:sz w:val="20"/>
                <w:szCs w:val="20"/>
              </w:rPr>
              <w:t>]</w:t>
            </w:r>
            <w:r w:rsidRPr="00B867DF">
              <w:rPr>
                <w:rFonts w:asciiTheme="majorBidi" w:hAnsiTheme="majorBidi" w:cstheme="majorBidi"/>
                <w:sz w:val="20"/>
                <w:szCs w:val="20"/>
                <w:lang w:bidi="ar-AE"/>
              </w:rPr>
              <w:t> »</w:t>
            </w:r>
          </w:p>
        </w:tc>
      </w:tr>
      <w:tr w:rsidR="00296288" w:rsidRPr="00B867DF" w14:paraId="7A57E8F5" w14:textId="77777777" w:rsidTr="002A1516">
        <w:trPr>
          <w:jc w:val="center"/>
        </w:trPr>
        <w:tc>
          <w:tcPr>
            <w:tcW w:w="834" w:type="dxa"/>
          </w:tcPr>
          <w:p w14:paraId="6AF181C0"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lang w:bidi="ar-AE"/>
              </w:rPr>
              <w:t>62</w:t>
            </w:r>
          </w:p>
        </w:tc>
        <w:tc>
          <w:tcPr>
            <w:tcW w:w="2629" w:type="dxa"/>
          </w:tcPr>
          <w:p w14:paraId="4E0B9E88" w14:textId="77777777" w:rsidR="00296288" w:rsidRPr="00B867DF" w:rsidRDefault="00296288" w:rsidP="002A1516">
            <w:pPr>
              <w:jc w:val="both"/>
              <w:rPr>
                <w:rFonts w:asciiTheme="majorBidi" w:hAnsiTheme="majorBidi" w:cstheme="majorBidi"/>
                <w:sz w:val="20"/>
                <w:szCs w:val="20"/>
              </w:rPr>
            </w:pPr>
            <w:r w:rsidRPr="00B867DF">
              <w:rPr>
                <w:rFonts w:asciiTheme="majorBidi" w:hAnsiTheme="majorBidi" w:cstheme="majorBidi"/>
                <w:sz w:val="20"/>
                <w:szCs w:val="20"/>
                <w:lang w:bidi="ar-KW"/>
              </w:rPr>
              <w:t>« </w:t>
            </w:r>
            <w:r w:rsidRPr="00B867DF">
              <w:rPr>
                <w:rFonts w:asciiTheme="majorBidi" w:hAnsiTheme="majorBidi" w:cstheme="majorBidi"/>
                <w:i/>
                <w:iCs/>
                <w:sz w:val="20"/>
                <w:szCs w:val="20"/>
                <w:lang w:bidi="ar-KW"/>
              </w:rPr>
              <w:t>mā</w:t>
            </w:r>
            <w:r w:rsidRPr="00B867DF">
              <w:rPr>
                <w:rFonts w:asciiTheme="majorBidi" w:hAnsiTheme="majorBidi" w:cstheme="majorBidi"/>
                <w:b/>
                <w:bCs/>
                <w:i/>
                <w:iCs/>
                <w:sz w:val="20"/>
                <w:szCs w:val="20"/>
                <w:lang w:bidi="ar-KW"/>
              </w:rPr>
              <w:t xml:space="preserve"> </w:t>
            </w:r>
            <w:r w:rsidRPr="00E1121E">
              <w:rPr>
                <w:rFonts w:asciiTheme="majorBidi" w:hAnsiTheme="majorBidi" w:cstheme="majorBidi"/>
                <w:b/>
                <w:bCs/>
                <w:i/>
                <w:iCs/>
                <w:sz w:val="20"/>
                <w:szCs w:val="20"/>
                <w:lang w:bidi="ar-KW"/>
              </w:rPr>
              <w:t>yad</w:t>
            </w:r>
            <w:r w:rsidRPr="00E1121E">
              <w:rPr>
                <w:rFonts w:asciiTheme="majorBidi" w:hAnsiTheme="majorBidi" w:cstheme="majorBidi"/>
                <w:b/>
                <w:bCs/>
                <w:i/>
                <w:iCs/>
                <w:sz w:val="20"/>
                <w:szCs w:val="20"/>
              </w:rPr>
              <w:t>ʿūna</w:t>
            </w:r>
            <w:r w:rsidRPr="00B867DF">
              <w:rPr>
                <w:rFonts w:asciiTheme="majorBidi" w:hAnsiTheme="majorBidi" w:cstheme="majorBidi"/>
                <w:sz w:val="20"/>
                <w:szCs w:val="20"/>
              </w:rPr>
              <w:t> »</w:t>
            </w:r>
          </w:p>
          <w:p w14:paraId="2ECDA3F2" w14:textId="77777777" w:rsidR="00296288" w:rsidRPr="00B867DF" w:rsidRDefault="00296288" w:rsidP="002A1516">
            <w:pPr>
              <w:jc w:val="both"/>
              <w:rPr>
                <w:rFonts w:asciiTheme="majorBidi" w:hAnsiTheme="majorBidi" w:cstheme="majorBidi"/>
                <w:sz w:val="20"/>
                <w:szCs w:val="20"/>
                <w:lang w:bidi="ar-KW"/>
              </w:rPr>
            </w:pPr>
            <w:r w:rsidRPr="00B867DF">
              <w:rPr>
                <w:rFonts w:asciiTheme="majorBidi" w:hAnsiTheme="majorBidi" w:cstheme="majorBidi"/>
                <w:sz w:val="20"/>
                <w:szCs w:val="20"/>
              </w:rPr>
              <w:t xml:space="preserve">[Le verbe </w:t>
            </w:r>
            <w:r w:rsidRPr="00B867DF">
              <w:rPr>
                <w:rFonts w:asciiTheme="majorBidi" w:hAnsiTheme="majorBidi" w:cstheme="majorBidi"/>
                <w:i/>
                <w:iCs/>
                <w:sz w:val="20"/>
                <w:szCs w:val="20"/>
                <w:lang w:bidi="ar-KW"/>
              </w:rPr>
              <w:t>yad</w:t>
            </w:r>
            <w:r w:rsidRPr="00B867DF">
              <w:rPr>
                <w:rFonts w:asciiTheme="majorBidi" w:hAnsiTheme="majorBidi" w:cstheme="majorBidi"/>
                <w:i/>
                <w:iCs/>
                <w:sz w:val="20"/>
                <w:szCs w:val="20"/>
              </w:rPr>
              <w:t xml:space="preserve">ʿūna </w:t>
            </w:r>
            <w:r w:rsidRPr="00B867DF">
              <w:rPr>
                <w:rFonts w:asciiTheme="majorBidi" w:hAnsiTheme="majorBidi" w:cstheme="majorBidi"/>
                <w:sz w:val="20"/>
                <w:szCs w:val="20"/>
              </w:rPr>
              <w:t>est conjugué à la 3</w:t>
            </w:r>
            <w:r w:rsidRPr="00B867DF">
              <w:rPr>
                <w:rFonts w:asciiTheme="majorBidi" w:hAnsiTheme="majorBidi" w:cstheme="majorBidi"/>
                <w:sz w:val="20"/>
                <w:szCs w:val="20"/>
                <w:vertAlign w:val="superscript"/>
              </w:rPr>
              <w:t>ème</w:t>
            </w:r>
            <w:r w:rsidRPr="00B867DF">
              <w:rPr>
                <w:rFonts w:asciiTheme="majorBidi" w:hAnsiTheme="majorBidi" w:cstheme="majorBidi"/>
                <w:sz w:val="20"/>
                <w:szCs w:val="20"/>
              </w:rPr>
              <w:t xml:space="preserve"> pers. pl. masc. pour donner un sens d’une information générale.]</w:t>
            </w:r>
          </w:p>
        </w:tc>
        <w:tc>
          <w:tcPr>
            <w:tcW w:w="2977" w:type="dxa"/>
          </w:tcPr>
          <w:p w14:paraId="22173AE8"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hAnsiTheme="majorBidi" w:cstheme="majorBidi"/>
                <w:sz w:val="20"/>
                <w:szCs w:val="20"/>
              </w:rPr>
              <w:t>ce qu’</w:t>
            </w:r>
            <w:r w:rsidRPr="004C11C4">
              <w:rPr>
                <w:rFonts w:asciiTheme="majorBidi" w:hAnsiTheme="majorBidi" w:cstheme="majorBidi"/>
                <w:b/>
                <w:bCs/>
                <w:i/>
                <w:iCs/>
                <w:sz w:val="20"/>
                <w:szCs w:val="20"/>
              </w:rPr>
              <w:t>ils invoquent</w:t>
            </w:r>
            <w:r w:rsidRPr="004C11C4">
              <w:rPr>
                <w:rFonts w:asciiTheme="majorBidi" w:hAnsiTheme="majorBidi" w:cstheme="majorBidi"/>
                <w:i/>
                <w:iCs/>
                <w:sz w:val="20"/>
                <w:szCs w:val="20"/>
              </w:rPr>
              <w:t xml:space="preserve"> </w:t>
            </w:r>
            <w:r w:rsidRPr="00B867DF">
              <w:rPr>
                <w:rFonts w:asciiTheme="majorBidi" w:hAnsiTheme="majorBidi" w:cstheme="majorBidi"/>
                <w:sz w:val="20"/>
                <w:szCs w:val="20"/>
              </w:rPr>
              <w:t>(trad. Abdelaziz)</w:t>
            </w:r>
          </w:p>
        </w:tc>
        <w:tc>
          <w:tcPr>
            <w:tcW w:w="1783" w:type="dxa"/>
          </w:tcPr>
          <w:p w14:paraId="703B8E66" w14:textId="77777777" w:rsidR="00296288" w:rsidRPr="00B867DF" w:rsidRDefault="00296288" w:rsidP="002A1516">
            <w:pPr>
              <w:jc w:val="both"/>
              <w:rPr>
                <w:rFonts w:asciiTheme="majorBidi" w:hAnsiTheme="majorBidi" w:cstheme="majorBidi"/>
                <w:sz w:val="20"/>
                <w:szCs w:val="20"/>
                <w:lang w:bidi="ar-KW"/>
              </w:rPr>
            </w:pPr>
            <w:r w:rsidRPr="00B867DF">
              <w:rPr>
                <w:rFonts w:asciiTheme="majorBidi" w:hAnsiTheme="majorBidi" w:cstheme="majorBidi"/>
                <w:sz w:val="20"/>
                <w:szCs w:val="20"/>
                <w:lang w:bidi="ar-KW"/>
              </w:rPr>
              <w:t>« </w:t>
            </w:r>
            <w:r w:rsidRPr="00B867DF">
              <w:rPr>
                <w:rFonts w:asciiTheme="majorBidi" w:hAnsiTheme="majorBidi" w:cstheme="majorBidi"/>
                <w:i/>
                <w:iCs/>
                <w:sz w:val="20"/>
                <w:szCs w:val="20"/>
                <w:lang w:bidi="ar-KW"/>
              </w:rPr>
              <w:t>mā</w:t>
            </w:r>
            <w:r w:rsidRPr="00B867DF">
              <w:rPr>
                <w:rFonts w:asciiTheme="majorBidi" w:hAnsiTheme="majorBidi" w:cstheme="majorBidi"/>
                <w:b/>
                <w:bCs/>
                <w:i/>
                <w:iCs/>
                <w:sz w:val="20"/>
                <w:szCs w:val="20"/>
                <w:lang w:bidi="ar-KW"/>
              </w:rPr>
              <w:t xml:space="preserve"> </w:t>
            </w:r>
            <w:r w:rsidRPr="00E1121E">
              <w:rPr>
                <w:rFonts w:asciiTheme="majorBidi" w:hAnsiTheme="majorBidi" w:cstheme="majorBidi"/>
                <w:b/>
                <w:bCs/>
                <w:i/>
                <w:iCs/>
                <w:sz w:val="20"/>
                <w:szCs w:val="20"/>
                <w:lang w:bidi="ar-KW"/>
              </w:rPr>
              <w:t>tad</w:t>
            </w:r>
            <w:r w:rsidRPr="00E1121E">
              <w:rPr>
                <w:rFonts w:asciiTheme="majorBidi" w:hAnsiTheme="majorBidi" w:cstheme="majorBidi"/>
                <w:b/>
                <w:bCs/>
                <w:i/>
                <w:iCs/>
                <w:sz w:val="20"/>
                <w:szCs w:val="20"/>
              </w:rPr>
              <w:t>ʿūna</w:t>
            </w:r>
            <w:r w:rsidRPr="00B867DF">
              <w:rPr>
                <w:rFonts w:asciiTheme="majorBidi" w:hAnsiTheme="majorBidi" w:cstheme="majorBidi"/>
                <w:sz w:val="20"/>
                <w:szCs w:val="20"/>
              </w:rPr>
              <w:t> »</w:t>
            </w:r>
          </w:p>
          <w:p w14:paraId="37D2E122" w14:textId="77777777" w:rsidR="00296288" w:rsidRPr="00B867DF" w:rsidRDefault="00296288" w:rsidP="002A1516">
            <w:pPr>
              <w:jc w:val="both"/>
              <w:rPr>
                <w:rFonts w:asciiTheme="majorBidi" w:hAnsiTheme="majorBidi" w:cstheme="majorBidi"/>
                <w:sz w:val="20"/>
                <w:szCs w:val="20"/>
                <w:lang w:bidi="ar-KW"/>
              </w:rPr>
            </w:pPr>
            <w:r w:rsidRPr="00B867DF">
              <w:rPr>
                <w:rFonts w:asciiTheme="majorBidi" w:hAnsiTheme="majorBidi" w:cstheme="majorBidi"/>
                <w:sz w:val="20"/>
                <w:szCs w:val="20"/>
              </w:rPr>
              <w:t xml:space="preserve">[Le verbe </w:t>
            </w:r>
            <w:r w:rsidRPr="00B867DF">
              <w:rPr>
                <w:rFonts w:asciiTheme="majorBidi" w:hAnsiTheme="majorBidi" w:cstheme="majorBidi"/>
                <w:i/>
                <w:iCs/>
                <w:sz w:val="20"/>
                <w:szCs w:val="20"/>
                <w:lang w:bidi="ar-KW"/>
              </w:rPr>
              <w:t>tad</w:t>
            </w:r>
            <w:r w:rsidRPr="00B867DF">
              <w:rPr>
                <w:rFonts w:asciiTheme="majorBidi" w:hAnsiTheme="majorBidi" w:cstheme="majorBidi"/>
                <w:i/>
                <w:iCs/>
                <w:sz w:val="20"/>
                <w:szCs w:val="20"/>
              </w:rPr>
              <w:t xml:space="preserve">ʿūna </w:t>
            </w:r>
            <w:r w:rsidRPr="00B867DF">
              <w:rPr>
                <w:rFonts w:asciiTheme="majorBidi" w:hAnsiTheme="majorBidi" w:cstheme="majorBidi"/>
                <w:sz w:val="20"/>
                <w:szCs w:val="20"/>
              </w:rPr>
              <w:t>est conjugué à la 2</w:t>
            </w:r>
            <w:r w:rsidRPr="00B867DF">
              <w:rPr>
                <w:rFonts w:asciiTheme="majorBidi" w:hAnsiTheme="majorBidi" w:cstheme="majorBidi"/>
                <w:sz w:val="20"/>
                <w:szCs w:val="20"/>
                <w:vertAlign w:val="superscript"/>
              </w:rPr>
              <w:t>ème</w:t>
            </w:r>
            <w:r w:rsidRPr="00B867DF">
              <w:rPr>
                <w:rFonts w:asciiTheme="majorBidi" w:hAnsiTheme="majorBidi" w:cstheme="majorBidi"/>
                <w:sz w:val="20"/>
                <w:szCs w:val="20"/>
              </w:rPr>
              <w:t xml:space="preserve"> pers. pl. masc. pour donner un sens d’une réprimande.]</w:t>
            </w:r>
          </w:p>
        </w:tc>
        <w:tc>
          <w:tcPr>
            <w:tcW w:w="1825" w:type="dxa"/>
          </w:tcPr>
          <w:p w14:paraId="3013956B" w14:textId="77777777" w:rsidR="00296288" w:rsidRPr="00B867DF" w:rsidRDefault="00296288" w:rsidP="002A1516">
            <w:pPr>
              <w:jc w:val="both"/>
              <w:rPr>
                <w:rFonts w:asciiTheme="majorBidi" w:hAnsiTheme="majorBidi" w:cstheme="majorBidi"/>
                <w:sz w:val="20"/>
                <w:szCs w:val="20"/>
                <w:lang w:bidi="ar-AE"/>
              </w:rPr>
            </w:pPr>
            <w:r w:rsidRPr="00B867DF">
              <w:rPr>
                <w:rFonts w:asciiTheme="majorBidi" w:eastAsia="Calibri" w:hAnsiTheme="majorBidi" w:cstheme="majorBidi"/>
                <w:sz w:val="20"/>
                <w:szCs w:val="20"/>
                <w:lang w:bidi="ar-AE"/>
              </w:rPr>
              <w:t xml:space="preserve">ce que </w:t>
            </w:r>
            <w:r w:rsidRPr="00B867DF">
              <w:rPr>
                <w:rFonts w:asciiTheme="majorBidi" w:eastAsia="Calibri" w:hAnsiTheme="majorBidi" w:cstheme="majorBidi"/>
                <w:b/>
                <w:bCs/>
                <w:i/>
                <w:iCs/>
                <w:sz w:val="20"/>
                <w:szCs w:val="20"/>
                <w:lang w:bidi="ar-AE"/>
              </w:rPr>
              <w:t>vous invoquez</w:t>
            </w:r>
            <w:r w:rsidRPr="00B867DF">
              <w:rPr>
                <w:rFonts w:asciiTheme="majorBidi" w:eastAsia="Calibri" w:hAnsiTheme="majorBidi" w:cstheme="majorBidi"/>
                <w:sz w:val="20"/>
                <w:szCs w:val="20"/>
                <w:lang w:bidi="ar-AE"/>
              </w:rPr>
              <w:t xml:space="preserve"> (trad. Berque)</w:t>
            </w:r>
          </w:p>
        </w:tc>
      </w:tr>
    </w:tbl>
    <w:p w14:paraId="1990FCF6" w14:textId="77777777" w:rsidR="00296288" w:rsidRPr="00B867DF" w:rsidRDefault="00296288" w:rsidP="00296288">
      <w:pPr>
        <w:spacing w:line="360" w:lineRule="auto"/>
        <w:jc w:val="both"/>
        <w:rPr>
          <w:rFonts w:eastAsia="Times New Roman"/>
          <w:lang w:bidi="ar-AE"/>
        </w:rPr>
      </w:pPr>
    </w:p>
    <w:p w14:paraId="6A4529E1" w14:textId="77777777" w:rsidR="00296288" w:rsidRPr="007D13CC" w:rsidRDefault="00296288" w:rsidP="00296288">
      <w:pPr>
        <w:spacing w:line="360" w:lineRule="auto"/>
        <w:jc w:val="both"/>
        <w:rPr>
          <w:rFonts w:eastAsia="Times New Roman"/>
        </w:rPr>
      </w:pPr>
    </w:p>
    <w:p w14:paraId="7A6485A2" w14:textId="5CD22287" w:rsidR="00296288" w:rsidRPr="007D13CC" w:rsidRDefault="00296288" w:rsidP="00296288">
      <w:pPr>
        <w:spacing w:line="360" w:lineRule="auto"/>
        <w:ind w:firstLine="360"/>
        <w:jc w:val="both"/>
        <w:rPr>
          <w:rFonts w:asciiTheme="majorBidi" w:hAnsiTheme="majorBidi" w:cstheme="majorBidi"/>
        </w:rPr>
      </w:pPr>
      <w:r w:rsidRPr="007D13CC">
        <w:rPr>
          <w:rFonts w:asciiTheme="majorBidi" w:hAnsiTheme="majorBidi" w:cstheme="majorBidi"/>
        </w:rPr>
        <w:t xml:space="preserve">En général, le mot en arabe semble plus polysémique que le mot en français, dans le sens où un mot arabe peut désigner les significations des mots voisins (quasi synonymes). À titre d’exemple, on peut utiliser facilement le verbe </w:t>
      </w:r>
      <w:r w:rsidRPr="007D13CC">
        <w:rPr>
          <w:rFonts w:asciiTheme="majorBidi" w:hAnsiTheme="majorBidi" w:cstheme="majorBidi"/>
          <w:i/>
          <w:iCs/>
        </w:rPr>
        <w:t>zara</w:t>
      </w:r>
      <w:r w:rsidRPr="007D13CC">
        <w:rPr>
          <w:rFonts w:asciiTheme="majorBidi" w:eastAsia="Times New Roman" w:hAnsiTheme="majorBidi" w:cstheme="majorBidi"/>
          <w:i/>
          <w:iCs/>
        </w:rPr>
        <w:t>ʿ</w:t>
      </w:r>
      <w:r w:rsidRPr="007D13CC">
        <w:rPr>
          <w:rFonts w:asciiTheme="majorBidi" w:hAnsiTheme="majorBidi" w:cstheme="majorBidi"/>
          <w:i/>
          <w:iCs/>
        </w:rPr>
        <w:t>a</w:t>
      </w:r>
      <w:r w:rsidRPr="007D13CC">
        <w:rPr>
          <w:rFonts w:asciiTheme="majorBidi" w:hAnsiTheme="majorBidi" w:cstheme="majorBidi"/>
        </w:rPr>
        <w:t xml:space="preserve"> [planter] à la place de </w:t>
      </w:r>
      <w:r w:rsidRPr="007D13CC">
        <w:rPr>
          <w:rFonts w:asciiTheme="majorBidi" w:hAnsiTheme="majorBidi" w:cstheme="majorBidi"/>
          <w:i/>
          <w:iCs/>
        </w:rPr>
        <w:t>badhara</w:t>
      </w:r>
      <w:r w:rsidRPr="007D13CC">
        <w:rPr>
          <w:rFonts w:asciiTheme="majorBidi" w:hAnsiTheme="majorBidi" w:cstheme="majorBidi"/>
        </w:rPr>
        <w:t xml:space="preserve"> [semer]. Le Coran utilise le mot </w:t>
      </w:r>
      <w:r w:rsidRPr="007D13CC">
        <w:rPr>
          <w:rFonts w:asciiTheme="majorBidi" w:hAnsiTheme="majorBidi" w:cstheme="majorBidi"/>
          <w:i/>
          <w:iCs/>
        </w:rPr>
        <w:t>al-kuffār</w:t>
      </w:r>
      <w:r w:rsidRPr="007D13CC">
        <w:rPr>
          <w:rFonts w:asciiTheme="majorBidi" w:hAnsiTheme="majorBidi" w:cstheme="majorBidi"/>
        </w:rPr>
        <w:t xml:space="preserve"> (pl. de </w:t>
      </w:r>
      <w:r w:rsidRPr="007D13CC">
        <w:rPr>
          <w:rFonts w:asciiTheme="majorBidi" w:hAnsiTheme="majorBidi" w:cstheme="majorBidi"/>
          <w:i/>
          <w:iCs/>
        </w:rPr>
        <w:t>kāfir</w:t>
      </w:r>
      <w:r w:rsidRPr="007D13CC">
        <w:rPr>
          <w:rFonts w:asciiTheme="majorBidi" w:hAnsiTheme="majorBidi" w:cstheme="majorBidi"/>
        </w:rPr>
        <w:t>, signifiant littéralement : « celui qui couvre ») qui désigne généralement « dénégateur » ou « non-croyant » pour désigner les cultivateurs (LVII, 20), selon certains exégètes comme al-Qur</w:t>
      </w:r>
      <w:r w:rsidRPr="007D13CC">
        <w:rPr>
          <w:rFonts w:asciiTheme="majorBidi" w:eastAsia="Times New Roman" w:hAnsiTheme="majorBidi" w:cstheme="majorBidi"/>
        </w:rPr>
        <w:t>ṭ</w:t>
      </w:r>
      <w:r w:rsidRPr="007D13CC">
        <w:rPr>
          <w:rFonts w:asciiTheme="majorBidi" w:hAnsiTheme="majorBidi" w:cstheme="majorBidi"/>
        </w:rPr>
        <w:t xml:space="preserve">ubī, al-Baghawī et Ibn </w:t>
      </w:r>
      <w:r w:rsidR="00E819D4" w:rsidRPr="007D13CC">
        <w:rPr>
          <w:rFonts w:asciiTheme="majorBidi" w:eastAsia="Times New Roman" w:hAnsiTheme="majorBidi" w:cstheme="majorBidi"/>
        </w:rPr>
        <w:t>ʿ</w:t>
      </w:r>
      <w:r w:rsidR="00E819D4" w:rsidRPr="007D13CC">
        <w:rPr>
          <w:rFonts w:asciiTheme="majorBidi" w:hAnsiTheme="majorBidi" w:cstheme="majorBidi"/>
        </w:rPr>
        <w:t>Āshūr</w:t>
      </w:r>
      <w:r w:rsidRPr="007D13CC">
        <w:rPr>
          <w:rFonts w:asciiTheme="majorBidi" w:hAnsiTheme="majorBidi" w:cstheme="majorBidi"/>
        </w:rPr>
        <w:t xml:space="preserve">. Le mot arabe peut être tellement polysémique qu’il devient </w:t>
      </w:r>
      <w:r w:rsidRPr="007D13CC">
        <w:rPr>
          <w:rFonts w:eastAsia="Times New Roman"/>
          <w:lang w:bidi="ar-AE"/>
        </w:rPr>
        <w:t xml:space="preserve">contronyme ou énantiosémique </w:t>
      </w:r>
      <w:r w:rsidRPr="007D13CC">
        <w:rPr>
          <w:rFonts w:asciiTheme="majorBidi" w:hAnsiTheme="majorBidi" w:cstheme="majorBidi"/>
        </w:rPr>
        <w:t>désignant la chose et son</w:t>
      </w:r>
      <w:r>
        <w:rPr>
          <w:rFonts w:asciiTheme="majorBidi" w:hAnsiTheme="majorBidi" w:cstheme="majorBidi"/>
          <w:color w:val="C00000"/>
        </w:rPr>
        <w:t xml:space="preserve"> </w:t>
      </w:r>
      <w:r w:rsidRPr="007D13CC">
        <w:rPr>
          <w:rFonts w:asciiTheme="majorBidi" w:hAnsiTheme="majorBidi" w:cstheme="majorBidi"/>
        </w:rPr>
        <w:t>contraire. La richesse polysémique d’un mot peut affecter le sens de la phrase tout entière. Ce que nous allons voir dans le chapitre suivant.</w:t>
      </w:r>
    </w:p>
    <w:p w14:paraId="7D67A371" w14:textId="77777777" w:rsidR="00296288" w:rsidRPr="007D13CC" w:rsidRDefault="00296288" w:rsidP="00296288">
      <w:pPr>
        <w:spacing w:line="360" w:lineRule="auto"/>
        <w:jc w:val="both"/>
        <w:rPr>
          <w:rFonts w:asciiTheme="majorBidi" w:hAnsiTheme="majorBidi" w:cstheme="majorBidi"/>
        </w:rPr>
      </w:pPr>
    </w:p>
    <w:p w14:paraId="4B633D3D" w14:textId="4B56C0F8" w:rsidR="00296288" w:rsidRDefault="00296288" w:rsidP="00936F65">
      <w:pPr>
        <w:shd w:val="clear" w:color="auto" w:fill="FFFFFF"/>
        <w:spacing w:line="360" w:lineRule="auto"/>
        <w:ind w:firstLine="720"/>
        <w:jc w:val="both"/>
        <w:rPr>
          <w:rFonts w:eastAsia="Calibri"/>
        </w:rPr>
      </w:pPr>
      <w:r>
        <w:rPr>
          <w:rFonts w:eastAsia="Calibri"/>
        </w:rPr>
        <w:br w:type="page"/>
      </w:r>
    </w:p>
    <w:p w14:paraId="59C8301B" w14:textId="77777777" w:rsidR="00296288" w:rsidRPr="00B21A8E" w:rsidRDefault="00296288" w:rsidP="00296288">
      <w:pPr>
        <w:spacing w:line="360" w:lineRule="auto"/>
        <w:jc w:val="center"/>
        <w:outlineLvl w:val="0"/>
        <w:rPr>
          <w:b/>
          <w:bCs/>
          <w:lang w:bidi="ar-AE"/>
        </w:rPr>
      </w:pPr>
      <w:r w:rsidRPr="00B21A8E">
        <w:rPr>
          <w:b/>
          <w:bCs/>
          <w:lang w:bidi="ar-AE"/>
        </w:rPr>
        <w:lastRenderedPageBreak/>
        <w:t>Chapitre V</w:t>
      </w:r>
    </w:p>
    <w:p w14:paraId="6FEA5C17" w14:textId="2E85DF57" w:rsidR="00296288" w:rsidRPr="00B21A8E" w:rsidRDefault="00296288" w:rsidP="00296288">
      <w:pPr>
        <w:spacing w:line="360" w:lineRule="auto"/>
        <w:jc w:val="center"/>
        <w:rPr>
          <w:rFonts w:asciiTheme="majorBidi" w:hAnsiTheme="majorBidi" w:cstheme="majorBidi"/>
          <w:b/>
          <w:bCs/>
        </w:rPr>
      </w:pPr>
      <w:r w:rsidRPr="00B21A8E">
        <w:rPr>
          <w:rFonts w:asciiTheme="majorBidi" w:hAnsiTheme="majorBidi" w:cstheme="majorBidi"/>
          <w:b/>
          <w:bCs/>
        </w:rPr>
        <w:t>La polysémie des énoncés</w:t>
      </w:r>
      <w:r w:rsidR="00D0716B">
        <w:rPr>
          <w:rFonts w:asciiTheme="majorBidi" w:hAnsiTheme="majorBidi" w:cstheme="majorBidi"/>
          <w:b/>
          <w:bCs/>
        </w:rPr>
        <w:t xml:space="preserve"> du texte arabe</w:t>
      </w:r>
    </w:p>
    <w:p w14:paraId="0CDBC7DC" w14:textId="77777777" w:rsidR="00296288" w:rsidRPr="00B21A8E" w:rsidRDefault="00296288" w:rsidP="00296288">
      <w:pPr>
        <w:spacing w:line="360" w:lineRule="auto"/>
        <w:contextualSpacing/>
        <w:jc w:val="both"/>
        <w:rPr>
          <w:rFonts w:asciiTheme="majorBidi" w:eastAsia="Times New Roman" w:hAnsiTheme="majorBidi" w:cstheme="majorBidi"/>
        </w:rPr>
      </w:pPr>
    </w:p>
    <w:p w14:paraId="668EECCE" w14:textId="22CC643C" w:rsidR="00296288" w:rsidRPr="00B21A8E" w:rsidRDefault="00296288" w:rsidP="006C77E3">
      <w:pPr>
        <w:spacing w:line="360" w:lineRule="auto"/>
        <w:ind w:firstLine="720"/>
        <w:contextualSpacing/>
        <w:jc w:val="both"/>
        <w:rPr>
          <w:rFonts w:asciiTheme="majorBidi" w:eastAsia="Times New Roman" w:hAnsiTheme="majorBidi" w:cstheme="majorBidi"/>
        </w:rPr>
      </w:pPr>
      <w:r w:rsidRPr="00B21A8E">
        <w:rPr>
          <w:rFonts w:asciiTheme="majorBidi" w:eastAsia="Times New Roman" w:hAnsiTheme="majorBidi" w:cstheme="majorBidi"/>
        </w:rPr>
        <w:t xml:space="preserve">La polysémie des énoncés, au niveau de la phrase, est due d’abord à la polysémie des noms et des pronoms qui composent cette phrase. Mais elle est due également à l’omission d’un ou plusieurs dans la phrase ou au changement de la ponctuation. La phrase peut être polysémique même si les mots la constituant sont monosémiques, car la signification générale, la leçon ou la morale qu’une phrase peut donner n’est pas l’addition des significations de ses mots séparés, d’où l’intérêt d’étudier ce type de polysémie. En effet, l’omission, l’ellipse, la </w:t>
      </w:r>
      <w:r w:rsidRPr="00B21A8E">
        <w:rPr>
          <w:rFonts w:asciiTheme="majorBidi" w:hAnsiTheme="majorBidi" w:cstheme="majorBidi"/>
        </w:rPr>
        <w:t>ponctuation, l’</w:t>
      </w:r>
      <w:r w:rsidRPr="00B21A8E">
        <w:rPr>
          <w:rFonts w:asciiTheme="majorBidi" w:hAnsiTheme="majorBidi" w:cstheme="majorBidi"/>
          <w:lang w:bidi="ar-AE"/>
        </w:rPr>
        <w:t>anastrophe [</w:t>
      </w:r>
      <w:r w:rsidRPr="00B21A8E">
        <w:rPr>
          <w:rFonts w:asciiTheme="majorBidi" w:hAnsiTheme="majorBidi" w:cstheme="majorBidi"/>
          <w:i/>
          <w:iCs/>
          <w:lang w:bidi="ar-AE"/>
        </w:rPr>
        <w:t>at-taqdīm wa-at-taʾkhīr</w:t>
      </w:r>
      <w:r w:rsidRPr="00B21A8E">
        <w:rPr>
          <w:rFonts w:asciiTheme="majorBidi" w:hAnsiTheme="majorBidi" w:cstheme="majorBidi"/>
          <w:lang w:bidi="ar-AE"/>
        </w:rPr>
        <w:t>]</w:t>
      </w:r>
      <w:r w:rsidRPr="00B21A8E">
        <w:rPr>
          <w:rFonts w:asciiTheme="majorBidi" w:eastAsia="Times New Roman" w:hAnsiTheme="majorBidi" w:cstheme="majorBidi"/>
        </w:rPr>
        <w:t xml:space="preserve"> et l’arrière-plan idéologique du lecteur peuvent aussi rendre la phrase polysémique. Un lecteur imprégné par le mysticisme d’Ibn ʿArabī par exemple tire un message spirituel du verset 15 même si ce lecteur en comprend les termes dans leur signification littérale (i. e. "celui qui pense qu’Allah ne secourra pas le prophète Muḥammad, qu’il aille se suicider"), mais à une seule différence c’est qu’il ne s’agit pas d’un suicide au sens propre, physique, mais d’un suicide concernant les propres passions et pulsions. En ce sens, un verset, dont les termes ne sont pas polysémiques, est comp</w:t>
      </w:r>
      <w:r w:rsidR="006C77E3">
        <w:rPr>
          <w:rFonts w:asciiTheme="majorBidi" w:eastAsia="Times New Roman" w:hAnsiTheme="majorBidi" w:cstheme="majorBidi"/>
        </w:rPr>
        <w:t xml:space="preserve">ris différemment en fonction de l’arrière-plan </w:t>
      </w:r>
      <w:r w:rsidRPr="00B21A8E">
        <w:rPr>
          <w:rFonts w:asciiTheme="majorBidi" w:eastAsia="Times New Roman" w:hAnsiTheme="majorBidi" w:cstheme="majorBidi"/>
        </w:rPr>
        <w:t>du lecteur qu’il soit sunnite ou chiite ; et même à l’intérieur de chaque branche, que ce lecteur soit hanafite, chaféite, etc. (sunnisme) ou qu’il soit duodécimain, ismaélisme, alaouite, druze (chiisme), il en aura une compréhension différente.</w:t>
      </w:r>
    </w:p>
    <w:p w14:paraId="141F8949" w14:textId="77777777" w:rsidR="00296288" w:rsidRPr="00B21A8E" w:rsidRDefault="00296288" w:rsidP="00296288">
      <w:pPr>
        <w:spacing w:line="360" w:lineRule="auto"/>
        <w:jc w:val="both"/>
        <w:rPr>
          <w:rFonts w:asciiTheme="majorBidi" w:hAnsiTheme="majorBidi" w:cstheme="majorBidi"/>
          <w:rtl/>
        </w:rPr>
      </w:pPr>
    </w:p>
    <w:p w14:paraId="18E25EF5" w14:textId="77777777" w:rsidR="00296288" w:rsidRPr="00B21A8E" w:rsidRDefault="00296288" w:rsidP="00296288">
      <w:pPr>
        <w:spacing w:line="360" w:lineRule="auto"/>
        <w:ind w:firstLine="720"/>
        <w:jc w:val="both"/>
        <w:rPr>
          <w:rFonts w:asciiTheme="majorBidi" w:hAnsiTheme="majorBidi" w:cstheme="majorBidi"/>
        </w:rPr>
      </w:pPr>
      <w:r w:rsidRPr="00B21A8E">
        <w:rPr>
          <w:rFonts w:asciiTheme="majorBidi" w:hAnsiTheme="majorBidi" w:cstheme="majorBidi"/>
        </w:rPr>
        <w:t>Nous allons voir quelques exemples révélateurs sur des phrases polysémiques en raison de sa ponctuation, sa segmentation, l’</w:t>
      </w:r>
      <w:r w:rsidRPr="00B21A8E">
        <w:rPr>
          <w:rFonts w:asciiTheme="majorBidi" w:hAnsiTheme="majorBidi" w:cstheme="majorBidi"/>
          <w:lang w:bidi="ar-AE"/>
        </w:rPr>
        <w:t>anastrophe [</w:t>
      </w:r>
      <w:r w:rsidRPr="00B21A8E">
        <w:rPr>
          <w:rFonts w:asciiTheme="majorBidi" w:hAnsiTheme="majorBidi" w:cstheme="majorBidi"/>
          <w:i/>
          <w:iCs/>
          <w:lang w:bidi="ar-AE"/>
        </w:rPr>
        <w:t>at-taqdīm wa-at-taʾkhīr</w:t>
      </w:r>
      <w:r w:rsidRPr="00B21A8E">
        <w:rPr>
          <w:rFonts w:asciiTheme="majorBidi" w:hAnsiTheme="majorBidi" w:cstheme="majorBidi"/>
          <w:lang w:bidi="ar-AE"/>
        </w:rPr>
        <w:t>]</w:t>
      </w:r>
      <w:r w:rsidRPr="00B21A8E">
        <w:rPr>
          <w:rFonts w:asciiTheme="majorBidi" w:hAnsiTheme="majorBidi" w:cstheme="majorBidi"/>
        </w:rPr>
        <w:t>, la suppression, les vides du texte, les aspects idéologiques, politique, les circonstances de rédaction (</w:t>
      </w:r>
      <w:r w:rsidRPr="00B21A8E">
        <w:rPr>
          <w:rFonts w:asciiTheme="majorBidi" w:hAnsiTheme="majorBidi" w:cstheme="majorBidi"/>
          <w:i/>
          <w:iCs/>
        </w:rPr>
        <w:t>asbāb an-nuzūl</w:t>
      </w:r>
      <w:r w:rsidRPr="00B21A8E">
        <w:rPr>
          <w:rFonts w:asciiTheme="majorBidi" w:hAnsiTheme="majorBidi" w:cstheme="majorBidi"/>
        </w:rPr>
        <w:t>), etc.</w:t>
      </w:r>
    </w:p>
    <w:p w14:paraId="3F61A1A3" w14:textId="77777777" w:rsidR="00296288" w:rsidRPr="00B21A8E" w:rsidRDefault="00296288" w:rsidP="00296288">
      <w:pPr>
        <w:spacing w:line="360" w:lineRule="auto"/>
        <w:jc w:val="both"/>
        <w:rPr>
          <w:rFonts w:asciiTheme="majorBidi" w:hAnsiTheme="majorBidi" w:cstheme="majorBidi"/>
          <w:rtl/>
        </w:rPr>
      </w:pPr>
    </w:p>
    <w:p w14:paraId="1F82D2BE" w14:textId="1C33A2ED" w:rsidR="00296288" w:rsidRPr="00B21A8E" w:rsidRDefault="00296288" w:rsidP="00296288">
      <w:pPr>
        <w:spacing w:line="360" w:lineRule="auto"/>
        <w:jc w:val="both"/>
        <w:rPr>
          <w:rFonts w:asciiTheme="majorBidi" w:hAnsiTheme="majorBidi" w:cstheme="majorBidi"/>
          <w:b/>
          <w:bCs/>
        </w:rPr>
      </w:pPr>
      <w:r w:rsidRPr="00B21A8E">
        <w:rPr>
          <w:rFonts w:asciiTheme="majorBidi" w:eastAsia="Times New Roman" w:hAnsiTheme="majorBidi" w:cstheme="majorBidi"/>
          <w:b/>
          <w:bCs/>
          <w:lang w:bidi="ar-AE"/>
        </w:rPr>
        <w:t>La phrase vocative « </w:t>
      </w:r>
      <w:r w:rsidR="008B522C">
        <w:rPr>
          <w:rFonts w:asciiTheme="majorBidi" w:eastAsia="Times New Roman" w:hAnsiTheme="majorBidi" w:cstheme="majorBidi"/>
          <w:b/>
          <w:bCs/>
          <w:i/>
          <w:iCs/>
          <w:lang w:bidi="ar-AE"/>
        </w:rPr>
        <w:t>y</w:t>
      </w:r>
      <w:r w:rsidRPr="00B21A8E">
        <w:rPr>
          <w:rFonts w:asciiTheme="majorBidi" w:eastAsia="Times New Roman" w:hAnsiTheme="majorBidi" w:cstheme="majorBidi"/>
          <w:b/>
          <w:bCs/>
          <w:i/>
          <w:iCs/>
          <w:lang w:bidi="ar-AE"/>
        </w:rPr>
        <w:t>ā ʾayyuha n-nās</w:t>
      </w:r>
      <w:r w:rsidRPr="00B21A8E">
        <w:rPr>
          <w:rFonts w:asciiTheme="majorBidi" w:eastAsia="Times New Roman" w:hAnsiTheme="majorBidi" w:cstheme="majorBidi"/>
          <w:b/>
          <w:bCs/>
          <w:lang w:bidi="ar-AE"/>
        </w:rPr>
        <w:t> » (v. 1 &amp; 5) :</w:t>
      </w:r>
    </w:p>
    <w:p w14:paraId="78DB8568" w14:textId="7A9555A9" w:rsidR="00296288" w:rsidRPr="00B21A8E" w:rsidRDefault="00296288" w:rsidP="00296288">
      <w:pPr>
        <w:spacing w:line="360" w:lineRule="auto"/>
        <w:ind w:firstLine="426"/>
        <w:jc w:val="both"/>
        <w:rPr>
          <w:rFonts w:asciiTheme="majorBidi" w:eastAsia="Calibri" w:hAnsiTheme="majorBidi" w:cstheme="majorBidi"/>
          <w:lang w:bidi="ar-AE"/>
        </w:rPr>
      </w:pPr>
      <w:r w:rsidRPr="00B21A8E">
        <w:rPr>
          <w:rFonts w:asciiTheme="majorBidi" w:eastAsia="Calibri" w:hAnsiTheme="majorBidi" w:cstheme="majorBidi"/>
          <w:lang w:bidi="ar-AE"/>
        </w:rPr>
        <w:t xml:space="preserve">L’incipit de la sourate </w:t>
      </w:r>
      <w:r w:rsidR="008B522C">
        <w:rPr>
          <w:rFonts w:asciiTheme="majorBidi" w:eastAsia="Calibri" w:hAnsiTheme="majorBidi" w:cstheme="majorBidi"/>
          <w:i/>
          <w:iCs/>
          <w:lang w:bidi="ar-AE"/>
        </w:rPr>
        <w:t>a</w:t>
      </w:r>
      <w:r w:rsidRPr="00B21A8E">
        <w:rPr>
          <w:rFonts w:asciiTheme="majorBidi" w:eastAsia="Calibri" w:hAnsiTheme="majorBidi" w:cstheme="majorBidi"/>
          <w:i/>
          <w:iCs/>
          <w:lang w:bidi="ar-AE"/>
        </w:rPr>
        <w:t>l-Ḥajj</w:t>
      </w:r>
      <w:r w:rsidRPr="00B21A8E">
        <w:rPr>
          <w:rFonts w:asciiTheme="majorBidi" w:eastAsia="Calibri" w:hAnsiTheme="majorBidi" w:cstheme="majorBidi"/>
          <w:lang w:bidi="ar-AE"/>
        </w:rPr>
        <w:t xml:space="preserve"> est formé des deux premiers versets commençant par « </w:t>
      </w:r>
      <w:r w:rsidR="008B522C">
        <w:rPr>
          <w:rFonts w:asciiTheme="majorBidi" w:eastAsia="Times New Roman" w:hAnsiTheme="majorBidi" w:cstheme="majorBidi"/>
          <w:i/>
          <w:iCs/>
          <w:lang w:bidi="ar-EG"/>
        </w:rPr>
        <w:t>y</w:t>
      </w:r>
      <w:r w:rsidRPr="00B21A8E">
        <w:rPr>
          <w:rFonts w:asciiTheme="majorBidi" w:eastAsia="Times New Roman" w:hAnsiTheme="majorBidi" w:cstheme="majorBidi"/>
          <w:i/>
          <w:iCs/>
          <w:lang w:bidi="ar-EG"/>
        </w:rPr>
        <w:t>ā</w:t>
      </w:r>
      <w:r w:rsidRPr="00B21A8E">
        <w:rPr>
          <w:rFonts w:asciiTheme="majorBidi" w:eastAsia="Times New Roman" w:hAnsiTheme="majorBidi" w:cstheme="majorBidi"/>
          <w:i/>
          <w:iCs/>
        </w:rPr>
        <w:t xml:space="preserve"> </w:t>
      </w:r>
      <w:r w:rsidRPr="00B21A8E">
        <w:rPr>
          <w:rFonts w:asciiTheme="majorBidi" w:eastAsia="Times New Roman" w:hAnsiTheme="majorBidi" w:cstheme="majorBidi"/>
          <w:i/>
          <w:iCs/>
          <w:lang w:bidi="ar-EG"/>
        </w:rPr>
        <w:t>ʾayyuha n-nās</w:t>
      </w:r>
      <w:r w:rsidRPr="00B21A8E">
        <w:rPr>
          <w:rFonts w:asciiTheme="majorBidi" w:eastAsia="Times New Roman" w:hAnsiTheme="majorBidi" w:cstheme="majorBidi"/>
          <w:lang w:bidi="ar-EG"/>
        </w:rPr>
        <w:t> » [</w:t>
      </w:r>
      <w:r w:rsidRPr="00B21A8E">
        <w:rPr>
          <w:rFonts w:asciiTheme="majorBidi" w:eastAsia="Times New Roman" w:hAnsiTheme="majorBidi" w:cstheme="majorBidi"/>
        </w:rPr>
        <w:t>Ô hommes !</w:t>
      </w:r>
      <w:r w:rsidRPr="00B21A8E">
        <w:rPr>
          <w:rFonts w:asciiTheme="majorBidi" w:eastAsia="Times New Roman" w:hAnsiTheme="majorBidi" w:cstheme="majorBidi"/>
          <w:lang w:bidi="ar-EG"/>
        </w:rPr>
        <w:t>]</w:t>
      </w:r>
      <w:r w:rsidRPr="00B21A8E">
        <w:rPr>
          <w:rFonts w:asciiTheme="majorBidi" w:eastAsia="Calibri" w:hAnsiTheme="majorBidi" w:cstheme="majorBidi"/>
          <w:lang w:bidi="ar-AE"/>
        </w:rPr>
        <w:t>, formule déclamatoire utilisée pour commencer une harangue, dont le sens, en absence du contexte, est ambigu. Les exégètes soulignent que les significations de cette formule peuvent être :</w:t>
      </w:r>
    </w:p>
    <w:p w14:paraId="1899E470" w14:textId="77777777" w:rsidR="00296288" w:rsidRPr="006D4265" w:rsidRDefault="00296288" w:rsidP="007640DC">
      <w:pPr>
        <w:pStyle w:val="Paragraphedeliste"/>
        <w:numPr>
          <w:ilvl w:val="0"/>
          <w:numId w:val="85"/>
        </w:numPr>
        <w:bidi w:val="0"/>
        <w:spacing w:after="0" w:line="360" w:lineRule="auto"/>
        <w:ind w:left="0" w:firstLine="426"/>
        <w:contextualSpacing/>
        <w:jc w:val="both"/>
        <w:rPr>
          <w:rFonts w:asciiTheme="majorBidi" w:eastAsia="Calibri" w:hAnsiTheme="majorBidi" w:cstheme="majorBidi"/>
          <w:sz w:val="24"/>
          <w:szCs w:val="24"/>
        </w:rPr>
      </w:pPr>
      <w:r w:rsidRPr="006D4265">
        <w:rPr>
          <w:rFonts w:asciiTheme="majorBidi" w:eastAsia="Calibri" w:hAnsiTheme="majorBidi" w:cstheme="majorBidi"/>
          <w:sz w:val="24"/>
          <w:szCs w:val="24"/>
          <w:lang w:bidi="ar-AE"/>
        </w:rPr>
        <w:lastRenderedPageBreak/>
        <w:t>tous les mortels (</w:t>
      </w:r>
      <w:r w:rsidRPr="006D4265">
        <w:rPr>
          <w:rFonts w:asciiTheme="majorBidi" w:eastAsia="Calibri" w:hAnsiTheme="majorBidi" w:cstheme="majorBidi"/>
          <w:i/>
          <w:iCs/>
          <w:sz w:val="24"/>
          <w:szCs w:val="24"/>
          <w:lang w:bidi="ar-AE"/>
        </w:rPr>
        <w:t>al-mukallafūn</w:t>
      </w:r>
      <w:r w:rsidRPr="006D4265">
        <w:rPr>
          <w:rFonts w:asciiTheme="majorBidi" w:eastAsia="Calibri" w:hAnsiTheme="majorBidi" w:cstheme="majorBidi"/>
          <w:sz w:val="24"/>
          <w:szCs w:val="24"/>
          <w:lang w:bidi="ar-AE"/>
        </w:rPr>
        <w:t xml:space="preserve"> [les responsables, les raisonnables, les hommes contraints]), selon al-Qurṭubī (XIII</w:t>
      </w:r>
      <w:r w:rsidRPr="006D4265">
        <w:rPr>
          <w:rFonts w:asciiTheme="majorBidi" w:eastAsia="Calibri" w:hAnsiTheme="majorBidi" w:cstheme="majorBidi"/>
          <w:sz w:val="24"/>
          <w:szCs w:val="24"/>
          <w:vertAlign w:val="superscript"/>
          <w:lang w:bidi="ar-AE"/>
        </w:rPr>
        <w:t>e</w:t>
      </w:r>
      <w:r w:rsidRPr="006D4265">
        <w:rPr>
          <w:rFonts w:asciiTheme="majorBidi" w:eastAsia="Calibri" w:hAnsiTheme="majorBidi" w:cstheme="majorBidi"/>
          <w:sz w:val="24"/>
          <w:szCs w:val="24"/>
          <w:lang w:bidi="ar-AE"/>
        </w:rPr>
        <w:t xml:space="preserve"> siècle) et Ash-Shawkānī (XVIII</w:t>
      </w:r>
      <w:r w:rsidRPr="006D4265">
        <w:rPr>
          <w:rFonts w:asciiTheme="majorBidi" w:eastAsia="Calibri" w:hAnsiTheme="majorBidi" w:cstheme="majorBidi"/>
          <w:sz w:val="24"/>
          <w:szCs w:val="24"/>
          <w:vertAlign w:val="superscript"/>
          <w:lang w:bidi="ar-AE"/>
        </w:rPr>
        <w:t>e</w:t>
      </w:r>
      <w:r w:rsidRPr="006D4265">
        <w:rPr>
          <w:rFonts w:asciiTheme="majorBidi" w:eastAsia="Calibri" w:hAnsiTheme="majorBidi" w:cstheme="majorBidi"/>
          <w:sz w:val="24"/>
          <w:szCs w:val="24"/>
          <w:lang w:bidi="ar-AE"/>
        </w:rPr>
        <w:t xml:space="preserve"> siècle) ;</w:t>
      </w:r>
    </w:p>
    <w:p w14:paraId="62DD67B0" w14:textId="77777777" w:rsidR="00296288" w:rsidRPr="006D4265" w:rsidRDefault="00296288" w:rsidP="007640DC">
      <w:pPr>
        <w:pStyle w:val="Paragraphedeliste"/>
        <w:numPr>
          <w:ilvl w:val="0"/>
          <w:numId w:val="85"/>
        </w:numPr>
        <w:bidi w:val="0"/>
        <w:spacing w:after="0" w:line="360" w:lineRule="auto"/>
        <w:ind w:left="0" w:firstLine="426"/>
        <w:contextualSpacing/>
        <w:jc w:val="both"/>
        <w:rPr>
          <w:rFonts w:asciiTheme="majorBidi" w:eastAsia="Calibri" w:hAnsiTheme="majorBidi" w:cstheme="majorBidi"/>
          <w:sz w:val="24"/>
          <w:szCs w:val="24"/>
        </w:rPr>
      </w:pPr>
      <w:r>
        <w:rPr>
          <w:rFonts w:asciiTheme="majorBidi" w:eastAsia="Calibri" w:hAnsiTheme="majorBidi" w:cstheme="majorBidi"/>
          <w:sz w:val="24"/>
          <w:szCs w:val="24"/>
          <w:lang w:bidi="ar-AE"/>
        </w:rPr>
        <w:t>les Me</w:t>
      </w:r>
      <w:r w:rsidRPr="006D4265">
        <w:rPr>
          <w:rFonts w:asciiTheme="majorBidi" w:eastAsia="Calibri" w:hAnsiTheme="majorBidi" w:cstheme="majorBidi"/>
          <w:sz w:val="24"/>
          <w:szCs w:val="24"/>
          <w:lang w:bidi="ar-AE"/>
        </w:rPr>
        <w:t>cquois et autres semblables, selon Wahba az-Zuḥaylī</w:t>
      </w:r>
      <w:r w:rsidRPr="006D4265">
        <w:rPr>
          <w:rStyle w:val="Appelnotedebasdep"/>
          <w:rFonts w:asciiTheme="majorBidi" w:eastAsia="Calibri" w:hAnsiTheme="majorBidi" w:cstheme="majorBidi"/>
          <w:sz w:val="24"/>
          <w:szCs w:val="24"/>
          <w:lang w:bidi="ar-AE"/>
        </w:rPr>
        <w:footnoteReference w:id="305"/>
      </w:r>
      <w:r w:rsidRPr="006D4265">
        <w:rPr>
          <w:rFonts w:asciiTheme="majorBidi" w:eastAsia="Calibri" w:hAnsiTheme="majorBidi" w:cstheme="majorBidi"/>
          <w:sz w:val="24"/>
          <w:szCs w:val="24"/>
          <w:lang w:bidi="ar-AE"/>
        </w:rPr>
        <w:t> ;</w:t>
      </w:r>
    </w:p>
    <w:p w14:paraId="62DFC452" w14:textId="185EB9D1" w:rsidR="00296288" w:rsidRPr="006D4265" w:rsidRDefault="00296288" w:rsidP="007640DC">
      <w:pPr>
        <w:pStyle w:val="Paragraphedeliste"/>
        <w:numPr>
          <w:ilvl w:val="0"/>
          <w:numId w:val="85"/>
        </w:numPr>
        <w:bidi w:val="0"/>
        <w:spacing w:after="0" w:line="360" w:lineRule="auto"/>
        <w:ind w:left="0" w:firstLine="426"/>
        <w:contextualSpacing/>
        <w:jc w:val="both"/>
        <w:rPr>
          <w:rFonts w:asciiTheme="majorBidi" w:eastAsia="Calibri" w:hAnsiTheme="majorBidi" w:cstheme="majorBidi"/>
          <w:sz w:val="24"/>
          <w:szCs w:val="24"/>
        </w:rPr>
      </w:pPr>
      <w:r>
        <w:rPr>
          <w:rFonts w:asciiTheme="majorBidi" w:eastAsia="Calibri" w:hAnsiTheme="majorBidi" w:cstheme="majorBidi"/>
          <w:sz w:val="24"/>
          <w:szCs w:val="24"/>
          <w:lang w:bidi="ar-AE"/>
        </w:rPr>
        <w:t>les M</w:t>
      </w:r>
      <w:r w:rsidRPr="006D4265">
        <w:rPr>
          <w:rFonts w:asciiTheme="majorBidi" w:eastAsia="Calibri" w:hAnsiTheme="majorBidi" w:cstheme="majorBidi"/>
          <w:sz w:val="24"/>
          <w:szCs w:val="24"/>
          <w:lang w:bidi="ar-AE"/>
        </w:rPr>
        <w:t xml:space="preserve">ecquois majoritairement non-croyants selon </w:t>
      </w:r>
      <w:r w:rsidRPr="006D4265">
        <w:rPr>
          <w:rFonts w:asciiTheme="majorBidi" w:hAnsiTheme="majorBidi" w:cstheme="majorBidi"/>
          <w:sz w:val="24"/>
          <w:szCs w:val="24"/>
        </w:rPr>
        <w:t>Az-Zarkashī (m. 1392).</w:t>
      </w:r>
      <w:r w:rsidRPr="006D4265">
        <w:rPr>
          <w:rFonts w:asciiTheme="majorBidi" w:hAnsiTheme="majorBidi" w:cstheme="majorBidi"/>
          <w:sz w:val="24"/>
          <w:szCs w:val="24"/>
          <w:vertAlign w:val="superscript"/>
          <w:lang w:bidi="ar-AE"/>
        </w:rPr>
        <w:footnoteReference w:id="306"/>
      </w:r>
      <w:r w:rsidRPr="006D4265">
        <w:rPr>
          <w:rFonts w:asciiTheme="majorBidi" w:eastAsia="Calibri" w:hAnsiTheme="majorBidi" w:cstheme="majorBidi"/>
          <w:sz w:val="24"/>
          <w:szCs w:val="24"/>
          <w:lang w:bidi="ar-AE"/>
        </w:rPr>
        <w:t xml:space="preserve"> </w:t>
      </w:r>
      <w:r w:rsidRPr="006D4265">
        <w:rPr>
          <w:rFonts w:asciiTheme="majorBidi" w:hAnsiTheme="majorBidi" w:cstheme="majorBidi"/>
          <w:sz w:val="24"/>
          <w:szCs w:val="24"/>
          <w:lang w:bidi="ar-EG"/>
        </w:rPr>
        <w:t>Selon ʿAlqama [ibn Qays an-Nakhaʿī] (681-682)</w:t>
      </w:r>
      <w:r w:rsidRPr="006D4265">
        <w:rPr>
          <w:rFonts w:asciiTheme="majorBidi" w:hAnsiTheme="majorBidi" w:cstheme="majorBidi"/>
          <w:sz w:val="24"/>
          <w:szCs w:val="24"/>
        </w:rPr>
        <w:t xml:space="preserve">, </w:t>
      </w:r>
      <w:r w:rsidRPr="006D4265">
        <w:rPr>
          <w:rFonts w:asciiTheme="majorBidi" w:hAnsiTheme="majorBidi" w:cstheme="majorBidi"/>
          <w:sz w:val="24"/>
          <w:szCs w:val="24"/>
          <w:lang w:bidi="ar-EG"/>
        </w:rPr>
        <w:t>tout ce qui, dans le Coran, contient la locution « </w:t>
      </w:r>
      <w:r w:rsidR="008B522C">
        <w:rPr>
          <w:rFonts w:asciiTheme="majorBidi" w:hAnsiTheme="majorBidi" w:cstheme="majorBidi"/>
          <w:i/>
          <w:iCs/>
          <w:sz w:val="24"/>
          <w:szCs w:val="24"/>
          <w:lang w:bidi="ar-EG"/>
        </w:rPr>
        <w:t>y</w:t>
      </w:r>
      <w:r w:rsidRPr="006D4265">
        <w:rPr>
          <w:rFonts w:asciiTheme="majorBidi" w:hAnsiTheme="majorBidi" w:cstheme="majorBidi"/>
          <w:i/>
          <w:iCs/>
          <w:sz w:val="24"/>
          <w:szCs w:val="24"/>
          <w:lang w:bidi="ar-EG"/>
        </w:rPr>
        <w:t>ā</w:t>
      </w:r>
      <w:r w:rsidRPr="006D4265">
        <w:rPr>
          <w:rFonts w:asciiTheme="majorBidi" w:hAnsiTheme="majorBidi" w:cstheme="majorBidi"/>
          <w:i/>
          <w:iCs/>
          <w:sz w:val="24"/>
          <w:szCs w:val="24"/>
        </w:rPr>
        <w:t xml:space="preserve"> </w:t>
      </w:r>
      <w:r w:rsidRPr="006D4265">
        <w:rPr>
          <w:rFonts w:asciiTheme="majorBidi" w:hAnsiTheme="majorBidi" w:cstheme="majorBidi"/>
          <w:i/>
          <w:iCs/>
          <w:sz w:val="24"/>
          <w:szCs w:val="24"/>
          <w:lang w:bidi="ar-EG"/>
        </w:rPr>
        <w:t>ʾayyuha n-nās</w:t>
      </w:r>
      <w:r w:rsidRPr="006D4265">
        <w:rPr>
          <w:rFonts w:asciiTheme="majorBidi" w:hAnsiTheme="majorBidi" w:cstheme="majorBidi"/>
          <w:sz w:val="24"/>
          <w:szCs w:val="24"/>
          <w:lang w:bidi="ar-EG"/>
        </w:rPr>
        <w:t> » [</w:t>
      </w:r>
      <w:r w:rsidRPr="006D4265">
        <w:rPr>
          <w:rFonts w:asciiTheme="majorBidi" w:hAnsiTheme="majorBidi" w:cstheme="majorBidi"/>
          <w:sz w:val="24"/>
          <w:szCs w:val="24"/>
        </w:rPr>
        <w:t>Ô hommes !</w:t>
      </w:r>
      <w:r w:rsidRPr="006D4265">
        <w:rPr>
          <w:rFonts w:asciiTheme="majorBidi" w:hAnsiTheme="majorBidi" w:cstheme="majorBidi"/>
          <w:sz w:val="24"/>
          <w:szCs w:val="24"/>
          <w:lang w:bidi="ar-EG"/>
        </w:rPr>
        <w:t>] est mecquois, alors que tout ce qui contient la locution</w:t>
      </w:r>
      <w:r w:rsidRPr="006D4265">
        <w:rPr>
          <w:rFonts w:asciiTheme="majorBidi" w:hAnsiTheme="majorBidi" w:cstheme="majorBidi"/>
          <w:i/>
          <w:iCs/>
          <w:sz w:val="24"/>
          <w:szCs w:val="24"/>
          <w:lang w:bidi="ar-EG"/>
        </w:rPr>
        <w:t xml:space="preserve"> </w:t>
      </w:r>
      <w:r w:rsidRPr="006D4265">
        <w:rPr>
          <w:rFonts w:asciiTheme="majorBidi" w:hAnsiTheme="majorBidi" w:cstheme="majorBidi"/>
          <w:sz w:val="24"/>
          <w:szCs w:val="24"/>
          <w:lang w:bidi="ar-EG"/>
        </w:rPr>
        <w:t>« </w:t>
      </w:r>
      <w:r w:rsidR="008B522C">
        <w:rPr>
          <w:rFonts w:asciiTheme="majorBidi" w:hAnsiTheme="majorBidi" w:cstheme="majorBidi"/>
          <w:i/>
          <w:iCs/>
          <w:sz w:val="24"/>
          <w:szCs w:val="24"/>
          <w:lang w:bidi="ar-EG"/>
        </w:rPr>
        <w:t>y</w:t>
      </w:r>
      <w:r w:rsidRPr="006D4265">
        <w:rPr>
          <w:rFonts w:asciiTheme="majorBidi" w:hAnsiTheme="majorBidi" w:cstheme="majorBidi"/>
          <w:i/>
          <w:iCs/>
          <w:sz w:val="24"/>
          <w:szCs w:val="24"/>
          <w:lang w:bidi="ar-EG"/>
        </w:rPr>
        <w:t>ā</w:t>
      </w:r>
      <w:r w:rsidRPr="006D4265">
        <w:rPr>
          <w:rFonts w:asciiTheme="majorBidi" w:hAnsiTheme="majorBidi" w:cstheme="majorBidi"/>
          <w:i/>
          <w:iCs/>
          <w:sz w:val="24"/>
          <w:szCs w:val="24"/>
        </w:rPr>
        <w:t xml:space="preserve"> </w:t>
      </w:r>
      <w:r>
        <w:rPr>
          <w:rFonts w:asciiTheme="majorBidi" w:hAnsiTheme="majorBidi" w:cstheme="majorBidi"/>
          <w:i/>
          <w:iCs/>
          <w:sz w:val="24"/>
          <w:szCs w:val="24"/>
          <w:lang w:bidi="ar-EG"/>
        </w:rPr>
        <w:t xml:space="preserve">ayyuha l-ladhīna </w:t>
      </w:r>
      <w:r w:rsidRPr="006D4265">
        <w:rPr>
          <w:rFonts w:asciiTheme="majorBidi" w:hAnsiTheme="majorBidi" w:cstheme="majorBidi"/>
          <w:i/>
          <w:iCs/>
          <w:sz w:val="24"/>
          <w:szCs w:val="24"/>
          <w:lang w:bidi="ar-EG"/>
        </w:rPr>
        <w:t>āmanū</w:t>
      </w:r>
      <w:r w:rsidRPr="006D4265">
        <w:rPr>
          <w:rFonts w:asciiTheme="majorBidi" w:hAnsiTheme="majorBidi" w:cstheme="majorBidi"/>
          <w:sz w:val="24"/>
          <w:szCs w:val="24"/>
          <w:lang w:bidi="ar-EG"/>
        </w:rPr>
        <w:t> » [</w:t>
      </w:r>
      <w:r w:rsidRPr="006D4265">
        <w:rPr>
          <w:rFonts w:asciiTheme="majorBidi" w:hAnsiTheme="majorBidi" w:cstheme="majorBidi"/>
          <w:i/>
          <w:iCs/>
          <w:sz w:val="24"/>
          <w:szCs w:val="24"/>
        </w:rPr>
        <w:t>Ô vous qui croyez !</w:t>
      </w:r>
      <w:r w:rsidRPr="006D4265">
        <w:rPr>
          <w:rFonts w:asciiTheme="majorBidi" w:hAnsiTheme="majorBidi" w:cstheme="majorBidi"/>
          <w:sz w:val="24"/>
          <w:szCs w:val="24"/>
          <w:lang w:bidi="ar-EG"/>
        </w:rPr>
        <w:t>]</w:t>
      </w:r>
      <w:r w:rsidRPr="006D4265">
        <w:rPr>
          <w:rFonts w:asciiTheme="majorBidi" w:hAnsiTheme="majorBidi" w:cstheme="majorBidi"/>
          <w:sz w:val="24"/>
          <w:szCs w:val="24"/>
        </w:rPr>
        <w:t xml:space="preserve"> est médinois.</w:t>
      </w:r>
      <w:r w:rsidRPr="006D4265">
        <w:rPr>
          <w:rFonts w:asciiTheme="majorBidi" w:hAnsiTheme="majorBidi" w:cstheme="majorBidi"/>
          <w:sz w:val="24"/>
          <w:szCs w:val="24"/>
          <w:vertAlign w:val="superscript"/>
          <w:lang w:bidi="ar-AE"/>
        </w:rPr>
        <w:footnoteReference w:id="307"/>
      </w:r>
      <w:r w:rsidRPr="006D4265">
        <w:rPr>
          <w:rFonts w:asciiTheme="majorBidi" w:eastAsia="Calibri" w:hAnsiTheme="majorBidi" w:cstheme="majorBidi"/>
          <w:sz w:val="24"/>
          <w:szCs w:val="24"/>
        </w:rPr>
        <w:t xml:space="preserve"> </w:t>
      </w:r>
      <w:r w:rsidRPr="006D4265">
        <w:rPr>
          <w:rFonts w:asciiTheme="majorBidi" w:hAnsiTheme="majorBidi" w:cstheme="majorBidi"/>
          <w:sz w:val="24"/>
          <w:szCs w:val="24"/>
        </w:rPr>
        <w:t>Dans un commentaire à la traduction du 1</w:t>
      </w:r>
      <w:r w:rsidRPr="006D4265">
        <w:rPr>
          <w:rFonts w:asciiTheme="majorBidi" w:hAnsiTheme="majorBidi" w:cstheme="majorBidi"/>
          <w:sz w:val="24"/>
          <w:szCs w:val="24"/>
          <w:vertAlign w:val="superscript"/>
        </w:rPr>
        <w:t>er</w:t>
      </w:r>
      <w:r w:rsidRPr="006D4265">
        <w:rPr>
          <w:rFonts w:asciiTheme="majorBidi" w:hAnsiTheme="majorBidi" w:cstheme="majorBidi"/>
          <w:sz w:val="24"/>
          <w:szCs w:val="24"/>
        </w:rPr>
        <w:t xml:space="preserve"> verset de la sourate </w:t>
      </w:r>
      <w:r w:rsidRPr="006D4265">
        <w:rPr>
          <w:rFonts w:asciiTheme="majorBidi" w:hAnsiTheme="majorBidi" w:cstheme="majorBidi"/>
          <w:i/>
          <w:iCs/>
          <w:sz w:val="24"/>
          <w:szCs w:val="24"/>
        </w:rPr>
        <w:t>Al-Ḥajj</w:t>
      </w:r>
      <w:r w:rsidRPr="006D4265">
        <w:rPr>
          <w:rFonts w:asciiTheme="majorBidi" w:hAnsiTheme="majorBidi" w:cstheme="majorBidi"/>
          <w:sz w:val="24"/>
          <w:szCs w:val="24"/>
        </w:rPr>
        <w:t xml:space="preserve">, </w:t>
      </w:r>
      <w:r>
        <w:rPr>
          <w:rFonts w:asciiTheme="majorBidi" w:hAnsiTheme="majorBidi" w:cstheme="majorBidi"/>
          <w:sz w:val="24"/>
          <w:szCs w:val="24"/>
        </w:rPr>
        <w:t xml:space="preserve">Kazimirski </w:t>
      </w:r>
      <w:r w:rsidRPr="006D4265">
        <w:rPr>
          <w:rFonts w:asciiTheme="majorBidi" w:hAnsiTheme="majorBidi" w:cstheme="majorBidi"/>
          <w:sz w:val="24"/>
          <w:szCs w:val="24"/>
        </w:rPr>
        <w:t>souligne que</w:t>
      </w:r>
      <w:r w:rsidRPr="006D4265">
        <w:rPr>
          <w:rFonts w:ascii="Times New Roman" w:hAnsi="Times New Roman" w:cs="Times New Roman"/>
          <w:sz w:val="24"/>
          <w:szCs w:val="24"/>
        </w:rPr>
        <w:t xml:space="preserve"> </w:t>
      </w:r>
      <w:r w:rsidRPr="006D4265">
        <w:rPr>
          <w:rFonts w:asciiTheme="majorBidi" w:hAnsiTheme="majorBidi" w:cstheme="majorBidi"/>
          <w:sz w:val="24"/>
          <w:szCs w:val="24"/>
        </w:rPr>
        <w:t xml:space="preserve">« presque toujours les mots </w:t>
      </w:r>
      <w:r w:rsidRPr="006D4265">
        <w:rPr>
          <w:rFonts w:asciiTheme="majorBidi" w:hAnsiTheme="majorBidi" w:cstheme="majorBidi"/>
          <w:i/>
          <w:iCs/>
          <w:sz w:val="24"/>
          <w:szCs w:val="24"/>
        </w:rPr>
        <w:t xml:space="preserve">O hommes ! </w:t>
      </w:r>
      <w:r w:rsidRPr="006D4265">
        <w:rPr>
          <w:rFonts w:asciiTheme="majorBidi" w:hAnsiTheme="majorBidi" w:cstheme="majorBidi"/>
          <w:sz w:val="24"/>
          <w:szCs w:val="24"/>
        </w:rPr>
        <w:t xml:space="preserve">veulent dire : </w:t>
      </w:r>
      <w:r w:rsidRPr="006D4265">
        <w:rPr>
          <w:rFonts w:asciiTheme="majorBidi" w:hAnsiTheme="majorBidi" w:cstheme="majorBidi"/>
          <w:i/>
          <w:iCs/>
          <w:sz w:val="24"/>
          <w:szCs w:val="24"/>
        </w:rPr>
        <w:t>O Mecquois !</w:t>
      </w:r>
      <w:r w:rsidRPr="006D4265">
        <w:rPr>
          <w:rFonts w:asciiTheme="majorBidi" w:hAnsiTheme="majorBidi" w:cstheme="majorBidi"/>
          <w:sz w:val="24"/>
          <w:szCs w:val="24"/>
        </w:rPr>
        <w:t xml:space="preserve"> ou bien </w:t>
      </w:r>
      <w:r w:rsidRPr="006D4265">
        <w:rPr>
          <w:rFonts w:asciiTheme="majorBidi" w:hAnsiTheme="majorBidi" w:cstheme="majorBidi"/>
          <w:i/>
          <w:iCs/>
          <w:sz w:val="24"/>
          <w:szCs w:val="24"/>
        </w:rPr>
        <w:t>O vous qui m’écoutez !</w:t>
      </w:r>
      <w:r w:rsidRPr="006D4265">
        <w:rPr>
          <w:rFonts w:asciiTheme="majorBidi" w:hAnsiTheme="majorBidi" w:cstheme="majorBidi"/>
          <w:sz w:val="24"/>
          <w:szCs w:val="24"/>
        </w:rPr>
        <w:t xml:space="preserve"> C’est une formule par laquelle un orateur qui harangue le peuple ou un prédicateur de la mosquée commence son discours. »</w:t>
      </w:r>
      <w:r w:rsidRPr="006D4265">
        <w:rPr>
          <w:rFonts w:asciiTheme="majorBidi" w:hAnsiTheme="majorBidi" w:cstheme="majorBidi"/>
          <w:sz w:val="24"/>
          <w:szCs w:val="24"/>
          <w:vertAlign w:val="superscript"/>
          <w:lang w:bidi="ar-AE"/>
        </w:rPr>
        <w:footnoteReference w:id="308"/>
      </w:r>
      <w:r w:rsidRPr="006D4265">
        <w:rPr>
          <w:rFonts w:asciiTheme="majorBidi" w:hAnsiTheme="majorBidi" w:cstheme="majorBidi"/>
          <w:sz w:val="24"/>
          <w:szCs w:val="24"/>
        </w:rPr>
        <w:t xml:space="preserve"> </w:t>
      </w:r>
      <w:r w:rsidRPr="006D4265">
        <w:rPr>
          <w:rFonts w:asciiTheme="majorBidi" w:eastAsia="Calibri" w:hAnsiTheme="majorBidi" w:cstheme="majorBidi"/>
          <w:sz w:val="24"/>
          <w:szCs w:val="24"/>
        </w:rPr>
        <w:t xml:space="preserve">Le cheikh irakien libéral Ahmed Al-Gubbanchi [al-Qubanji] (né en 1958) souligne que ce discours est adressé à l’auditoire, au public qui y assistait. Cependant, la plupart des exégètes sunnites et chiites (comme </w:t>
      </w:r>
      <w:r w:rsidRPr="006D4265">
        <w:rPr>
          <w:rFonts w:asciiTheme="majorBidi" w:eastAsia="Calibri" w:hAnsiTheme="majorBidi" w:cstheme="majorBidi"/>
          <w:sz w:val="24"/>
          <w:szCs w:val="24"/>
          <w:lang w:bidi="ar-AE"/>
        </w:rPr>
        <w:t>al-Qurṭubī, Ash-Shawkānī</w:t>
      </w:r>
      <w:r w:rsidRPr="006D4265">
        <w:rPr>
          <w:rFonts w:asciiTheme="majorBidi" w:eastAsia="Calibri" w:hAnsiTheme="majorBidi" w:cstheme="majorBidi"/>
          <w:sz w:val="24"/>
          <w:szCs w:val="24"/>
        </w:rPr>
        <w:t>, Al-Qummī et Ash-Shaʿrāwī) adoptent le sens universel de ce segment.</w:t>
      </w:r>
    </w:p>
    <w:p w14:paraId="3D7B6185" w14:textId="77777777" w:rsidR="00296288" w:rsidRPr="006D4265" w:rsidRDefault="00296288" w:rsidP="00296288">
      <w:pPr>
        <w:spacing w:line="360" w:lineRule="auto"/>
        <w:ind w:firstLine="708"/>
        <w:jc w:val="both"/>
        <w:rPr>
          <w:rFonts w:asciiTheme="majorBidi" w:eastAsia="Times New Roman" w:hAnsiTheme="majorBidi" w:cstheme="majorBidi"/>
        </w:rPr>
      </w:pPr>
    </w:p>
    <w:p w14:paraId="4158FC17" w14:textId="14093065" w:rsidR="00296288" w:rsidRPr="006D4265" w:rsidRDefault="00296288" w:rsidP="00296288">
      <w:pPr>
        <w:spacing w:line="360" w:lineRule="auto"/>
        <w:ind w:firstLine="426"/>
        <w:jc w:val="both"/>
        <w:rPr>
          <w:rFonts w:asciiTheme="majorBidi" w:eastAsia="Times New Roman" w:hAnsiTheme="majorBidi" w:cstheme="majorBidi"/>
          <w:lang w:bidi="ar-AE"/>
        </w:rPr>
      </w:pPr>
      <w:r w:rsidRPr="006D4265">
        <w:rPr>
          <w:rFonts w:asciiTheme="majorBidi" w:eastAsia="Times New Roman" w:hAnsiTheme="majorBidi" w:cstheme="majorBidi"/>
          <w:lang w:bidi="ar-AE"/>
        </w:rPr>
        <w:t>Concernant le même vocatif « </w:t>
      </w:r>
      <w:r w:rsidR="008B522C">
        <w:rPr>
          <w:rFonts w:asciiTheme="majorBidi" w:eastAsia="Times New Roman" w:hAnsiTheme="majorBidi" w:cstheme="majorBidi"/>
          <w:i/>
          <w:iCs/>
          <w:lang w:bidi="ar-AE"/>
        </w:rPr>
        <w:t>y</w:t>
      </w:r>
      <w:r>
        <w:rPr>
          <w:rFonts w:asciiTheme="majorBidi" w:eastAsia="Times New Roman" w:hAnsiTheme="majorBidi" w:cstheme="majorBidi"/>
          <w:i/>
          <w:iCs/>
          <w:lang w:bidi="ar-AE"/>
        </w:rPr>
        <w:t xml:space="preserve">ā </w:t>
      </w:r>
      <w:r w:rsidRPr="006D4265">
        <w:rPr>
          <w:rFonts w:asciiTheme="majorBidi" w:eastAsia="Times New Roman" w:hAnsiTheme="majorBidi" w:cstheme="majorBidi"/>
          <w:i/>
          <w:iCs/>
          <w:lang w:bidi="ar-AE"/>
        </w:rPr>
        <w:t>ayyuha n-nās</w:t>
      </w:r>
      <w:r w:rsidRPr="006D4265">
        <w:rPr>
          <w:rFonts w:asciiTheme="majorBidi" w:eastAsia="Times New Roman" w:hAnsiTheme="majorBidi" w:cstheme="majorBidi"/>
          <w:lang w:bidi="ar-AE"/>
        </w:rPr>
        <w:t xml:space="preserve"> » </w:t>
      </w:r>
      <w:r w:rsidRPr="006D4265">
        <w:rPr>
          <w:rFonts w:asciiTheme="majorBidi" w:eastAsia="Times New Roman" w:hAnsiTheme="majorBidi" w:cstheme="majorBidi"/>
          <w:lang w:bidi="ar-EG"/>
        </w:rPr>
        <w:t>[</w:t>
      </w:r>
      <w:r w:rsidRPr="006D4265">
        <w:rPr>
          <w:rFonts w:asciiTheme="majorBidi" w:eastAsia="Times New Roman" w:hAnsiTheme="majorBidi" w:cstheme="majorBidi"/>
        </w:rPr>
        <w:t>Ô hommes !</w:t>
      </w:r>
      <w:r w:rsidRPr="006D4265">
        <w:rPr>
          <w:rFonts w:asciiTheme="majorBidi" w:eastAsia="Times New Roman" w:hAnsiTheme="majorBidi" w:cstheme="majorBidi"/>
          <w:lang w:bidi="ar-EG"/>
        </w:rPr>
        <w:t>]</w:t>
      </w:r>
      <w:r w:rsidRPr="006D4265">
        <w:rPr>
          <w:rFonts w:asciiTheme="majorBidi" w:eastAsia="Times New Roman" w:hAnsiTheme="majorBidi" w:cstheme="majorBidi"/>
          <w:lang w:bidi="ar-AE"/>
        </w:rPr>
        <w:t xml:space="preserve">) évoqué dans le verset 5 (qui s’emploie pour s’adresser aussi bien à un groupe déterminé ou indéterminé qu’à toute l’humanité), on ne sait pas exactement à qui la parole est adressée. Qui est le public concerné ? </w:t>
      </w:r>
      <w:r w:rsidRPr="006D4265">
        <w:rPr>
          <w:rFonts w:asciiTheme="majorBidi" w:eastAsia="Calibri" w:hAnsiTheme="majorBidi" w:cstheme="majorBidi"/>
          <w:lang w:bidi="ar-AE"/>
        </w:rPr>
        <w:t xml:space="preserve">L’exégète sunnite Wahba az-Zuḥaylī (1997) </w:t>
      </w:r>
      <w:r w:rsidRPr="006D4265">
        <w:rPr>
          <w:rFonts w:asciiTheme="majorBidi" w:eastAsia="Times New Roman" w:hAnsiTheme="majorBidi" w:cstheme="majorBidi"/>
          <w:lang w:bidi="ar-AE"/>
        </w:rPr>
        <w:t>dit que la par</w:t>
      </w:r>
      <w:r>
        <w:rPr>
          <w:rFonts w:asciiTheme="majorBidi" w:eastAsia="Times New Roman" w:hAnsiTheme="majorBidi" w:cstheme="majorBidi"/>
          <w:lang w:bidi="ar-AE"/>
        </w:rPr>
        <w:t>ole est adressée ici aux seuls M</w:t>
      </w:r>
      <w:r w:rsidRPr="006D4265">
        <w:rPr>
          <w:rFonts w:asciiTheme="majorBidi" w:eastAsia="Times New Roman" w:hAnsiTheme="majorBidi" w:cstheme="majorBidi"/>
          <w:lang w:bidi="ar-AE"/>
        </w:rPr>
        <w:t>ecquois et leurs semblables, alors que le chiite Al-Qummī (IV</w:t>
      </w:r>
      <w:r w:rsidRPr="006D4265">
        <w:rPr>
          <w:rFonts w:asciiTheme="majorBidi" w:eastAsia="Times New Roman" w:hAnsiTheme="majorBidi" w:cstheme="majorBidi"/>
          <w:vertAlign w:val="superscript"/>
          <w:lang w:bidi="ar-AE"/>
        </w:rPr>
        <w:t>e</w:t>
      </w:r>
      <w:r w:rsidRPr="006D4265">
        <w:rPr>
          <w:rFonts w:asciiTheme="majorBidi" w:eastAsia="Times New Roman" w:hAnsiTheme="majorBidi" w:cstheme="majorBidi"/>
          <w:lang w:bidi="ar-AE"/>
        </w:rPr>
        <w:t xml:space="preserve"> siècle de l’Hégire) souligne que la parole </w:t>
      </w:r>
      <w:r w:rsidRPr="006D4265">
        <w:rPr>
          <w:rFonts w:asciiTheme="majorBidi" w:eastAsia="Times New Roman" w:hAnsiTheme="majorBidi" w:cstheme="majorBidi"/>
          <w:lang w:bidi="ar-AE"/>
        </w:rPr>
        <w:lastRenderedPageBreak/>
        <w:t>est adressée seulement aux athées.</w:t>
      </w:r>
      <w:r w:rsidRPr="006D4265">
        <w:rPr>
          <w:rFonts w:asciiTheme="majorBidi" w:eastAsia="Times New Roman" w:hAnsiTheme="majorBidi" w:cstheme="majorBidi"/>
        </w:rPr>
        <w:t xml:space="preserve"> </w:t>
      </w:r>
      <w:r w:rsidRPr="006D4265">
        <w:rPr>
          <w:rFonts w:asciiTheme="majorBidi" w:eastAsia="Times New Roman" w:hAnsiTheme="majorBidi" w:cstheme="majorBidi"/>
          <w:lang w:bidi="ar-AE"/>
        </w:rPr>
        <w:t xml:space="preserve">Ath-Thaʿālibī (1384-1479), dans </w:t>
      </w:r>
      <w:r w:rsidRPr="006D4265">
        <w:rPr>
          <w:rFonts w:asciiTheme="majorBidi" w:eastAsia="Times New Roman" w:hAnsiTheme="majorBidi" w:cstheme="majorBidi"/>
          <w:i/>
          <w:iCs/>
          <w:lang w:bidi="ar-AE"/>
        </w:rPr>
        <w:t>Al-jawāhir al-ḥisān fī tafsīr al-qurʾān</w:t>
      </w:r>
      <w:r w:rsidRPr="006D4265">
        <w:rPr>
          <w:rFonts w:asciiTheme="majorBidi" w:eastAsia="Times New Roman" w:hAnsiTheme="majorBidi" w:cstheme="majorBidi"/>
          <w:lang w:bidi="ar-AE"/>
        </w:rPr>
        <w:t xml:space="preserve">, dit que l’origine, le commencement ou la naissance de l’homme est une preuve </w:t>
      </w:r>
      <w:r w:rsidRPr="006D4265">
        <w:rPr>
          <w:rFonts w:asciiTheme="majorBidi" w:eastAsia="Times New Roman" w:hAnsiTheme="majorBidi" w:cstheme="majorBidi"/>
          <w:i/>
          <w:iCs/>
          <w:lang w:bidi="ar-AE"/>
        </w:rPr>
        <w:t>pour toute l’humanité</w:t>
      </w:r>
      <w:r w:rsidRPr="006D4265">
        <w:rPr>
          <w:rFonts w:asciiTheme="majorBidi" w:eastAsia="Times New Roman" w:hAnsiTheme="majorBidi" w:cstheme="majorBidi"/>
          <w:lang w:bidi="ar-AE"/>
        </w:rPr>
        <w:t xml:space="preserve"> de l’authenticité de la résurrection collective. Dans </w:t>
      </w:r>
      <w:r w:rsidRPr="006D4265">
        <w:rPr>
          <w:rFonts w:asciiTheme="majorBidi" w:eastAsia="Times New Roman" w:hAnsiTheme="majorBidi" w:cstheme="majorBidi"/>
          <w:i/>
          <w:iCs/>
          <w:lang w:bidi="ar-AE"/>
        </w:rPr>
        <w:t>Tafsīr al-baḥr al-muḥīṭ</w:t>
      </w:r>
      <w:r w:rsidRPr="006D4265">
        <w:rPr>
          <w:rFonts w:asciiTheme="majorBidi" w:eastAsia="Times New Roman" w:hAnsiTheme="majorBidi" w:cstheme="majorBidi"/>
          <w:lang w:bidi="ar-AE"/>
        </w:rPr>
        <w:t>, Abū Ḥayyān Al-Andalusī précise que « </w:t>
      </w:r>
      <w:r w:rsidR="008B522C">
        <w:rPr>
          <w:rFonts w:asciiTheme="majorBidi" w:eastAsia="Times New Roman" w:hAnsiTheme="majorBidi" w:cstheme="majorBidi"/>
          <w:i/>
          <w:iCs/>
          <w:lang w:bidi="ar-AE"/>
        </w:rPr>
        <w:t>y</w:t>
      </w:r>
      <w:r>
        <w:rPr>
          <w:rFonts w:asciiTheme="majorBidi" w:eastAsia="Times New Roman" w:hAnsiTheme="majorBidi" w:cstheme="majorBidi"/>
          <w:i/>
          <w:iCs/>
          <w:lang w:bidi="ar-AE"/>
        </w:rPr>
        <w:t xml:space="preserve">ā </w:t>
      </w:r>
      <w:r w:rsidRPr="006D4265">
        <w:rPr>
          <w:rFonts w:asciiTheme="majorBidi" w:eastAsia="Times New Roman" w:hAnsiTheme="majorBidi" w:cstheme="majorBidi"/>
          <w:i/>
          <w:iCs/>
          <w:lang w:bidi="ar-AE"/>
        </w:rPr>
        <w:t>ayyuha n-nās</w:t>
      </w:r>
      <w:r w:rsidRPr="006D4265">
        <w:rPr>
          <w:rFonts w:asciiTheme="majorBidi" w:eastAsia="Times New Roman" w:hAnsiTheme="majorBidi" w:cstheme="majorBidi"/>
          <w:i/>
          <w:iCs/>
          <w:vertAlign w:val="superscript"/>
          <w:lang w:bidi="ar-AE"/>
        </w:rPr>
        <w:t>u</w:t>
      </w:r>
      <w:r w:rsidRPr="006D4265">
        <w:rPr>
          <w:rFonts w:asciiTheme="majorBidi" w:eastAsia="Times New Roman" w:hAnsiTheme="majorBidi" w:cstheme="majorBidi"/>
          <w:lang w:bidi="ar-AE"/>
        </w:rPr>
        <w:t> » est un discours universel adressé à tout le monde.</w:t>
      </w:r>
    </w:p>
    <w:p w14:paraId="0DCBD0DB" w14:textId="77777777" w:rsidR="00296288" w:rsidRPr="006D4265" w:rsidRDefault="00296288" w:rsidP="00296288">
      <w:pPr>
        <w:spacing w:line="360" w:lineRule="auto"/>
        <w:jc w:val="both"/>
        <w:rPr>
          <w:rFonts w:asciiTheme="majorBidi" w:eastAsia="Times New Roman" w:hAnsiTheme="majorBidi" w:cstheme="majorBidi"/>
        </w:rPr>
      </w:pPr>
    </w:p>
    <w:p w14:paraId="5F181482" w14:textId="77777777" w:rsidR="00296288" w:rsidRPr="006D4265" w:rsidRDefault="00296288" w:rsidP="00296288">
      <w:pPr>
        <w:spacing w:line="360" w:lineRule="auto"/>
        <w:ind w:firstLine="426"/>
        <w:jc w:val="both"/>
        <w:rPr>
          <w:rFonts w:asciiTheme="majorBidi" w:eastAsia="Calibri" w:hAnsiTheme="majorBidi" w:cstheme="majorBidi"/>
          <w:lang w:bidi="ar-AE"/>
        </w:rPr>
      </w:pPr>
      <w:r w:rsidRPr="006D4265">
        <w:rPr>
          <w:rFonts w:asciiTheme="majorBidi" w:eastAsia="Times New Roman" w:hAnsiTheme="majorBidi" w:cstheme="majorBidi"/>
        </w:rPr>
        <w:t>On remarque que l’exégèse a tendance à privilégier le sens universel (tous les humains) au lieu du sens particulier (les Mecquois ou l’auditoire) parce que ce sens sert la propagation de la religion musulmane et que le message de l’islam n’est plus nationaliste arabe, mais qu’il est devenu universel.</w:t>
      </w:r>
    </w:p>
    <w:p w14:paraId="39D7ACD9" w14:textId="77777777" w:rsidR="00296288" w:rsidRPr="006D4265" w:rsidRDefault="00296288" w:rsidP="00296288">
      <w:pPr>
        <w:spacing w:line="360" w:lineRule="auto"/>
        <w:jc w:val="both"/>
        <w:rPr>
          <w:rFonts w:asciiTheme="majorBidi" w:eastAsia="Calibri" w:hAnsiTheme="majorBidi" w:cstheme="majorBidi"/>
          <w:lang w:bidi="ar-AE"/>
        </w:rPr>
      </w:pPr>
    </w:p>
    <w:p w14:paraId="220ED0B5" w14:textId="77777777" w:rsidR="00296288" w:rsidRPr="006D4265" w:rsidRDefault="00296288" w:rsidP="00296288">
      <w:pPr>
        <w:spacing w:line="360" w:lineRule="auto"/>
        <w:jc w:val="both"/>
        <w:rPr>
          <w:rFonts w:asciiTheme="majorBidi" w:eastAsia="Calibri" w:hAnsiTheme="majorBidi" w:cstheme="majorBidi"/>
          <w:b/>
          <w:bCs/>
          <w:lang w:bidi="ar-AE"/>
        </w:rPr>
      </w:pPr>
      <w:r w:rsidRPr="006D4265">
        <w:rPr>
          <w:rFonts w:asciiTheme="majorBidi" w:eastAsia="Calibri" w:hAnsiTheme="majorBidi" w:cstheme="majorBidi"/>
          <w:b/>
          <w:bCs/>
        </w:rPr>
        <w:t>La phrase injonctive « </w:t>
      </w:r>
      <w:r w:rsidRPr="006D4265">
        <w:rPr>
          <w:rFonts w:asciiTheme="majorBidi" w:eastAsia="Calibri" w:hAnsiTheme="majorBidi" w:cstheme="majorBidi"/>
          <w:b/>
          <w:bCs/>
          <w:i/>
          <w:iCs/>
        </w:rPr>
        <w:t>ittaqū rabba</w:t>
      </w:r>
      <w:r>
        <w:rPr>
          <w:rFonts w:asciiTheme="majorBidi" w:eastAsia="Calibri" w:hAnsiTheme="majorBidi" w:cstheme="majorBidi"/>
          <w:b/>
          <w:bCs/>
          <w:i/>
          <w:iCs/>
        </w:rPr>
        <w:t>-</w:t>
      </w:r>
      <w:r w:rsidRPr="006D4265">
        <w:rPr>
          <w:rFonts w:asciiTheme="majorBidi" w:eastAsia="Calibri" w:hAnsiTheme="majorBidi" w:cstheme="majorBidi"/>
          <w:b/>
          <w:bCs/>
          <w:i/>
          <w:iCs/>
        </w:rPr>
        <w:t>kum</w:t>
      </w:r>
      <w:r w:rsidRPr="006D4265">
        <w:rPr>
          <w:rFonts w:asciiTheme="majorBidi" w:eastAsia="Calibri" w:hAnsiTheme="majorBidi" w:cstheme="majorBidi"/>
          <w:b/>
          <w:bCs/>
        </w:rPr>
        <w:t> » :</w:t>
      </w:r>
    </w:p>
    <w:p w14:paraId="2D697B5C" w14:textId="322C57B5" w:rsidR="00296288" w:rsidRPr="006D4265" w:rsidRDefault="00296288" w:rsidP="00296288">
      <w:pPr>
        <w:spacing w:line="360" w:lineRule="auto"/>
        <w:ind w:firstLine="708"/>
        <w:jc w:val="both"/>
        <w:rPr>
          <w:rFonts w:asciiTheme="majorBidi" w:eastAsia="Calibri" w:hAnsiTheme="majorBidi" w:cstheme="majorBidi"/>
          <w:lang w:bidi="ar-AE"/>
        </w:rPr>
      </w:pPr>
      <w:r w:rsidRPr="006D4265">
        <w:rPr>
          <w:rFonts w:asciiTheme="majorBidi" w:eastAsia="Calibri" w:hAnsiTheme="majorBidi" w:cstheme="majorBidi"/>
        </w:rPr>
        <w:t>Le commandement «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Calibri" w:hAnsiTheme="majorBidi" w:cstheme="majorBidi"/>
        </w:rPr>
        <w:t> » (v. 1</w:t>
      </w:r>
      <w:r w:rsidRPr="006D4265">
        <w:rPr>
          <w:rFonts w:asciiTheme="majorBidi" w:eastAsia="Calibri" w:hAnsiTheme="majorBidi" w:cstheme="majorBidi"/>
          <w:vertAlign w:val="superscript"/>
        </w:rPr>
        <w:t>er</w:t>
      </w:r>
      <w:r w:rsidRPr="006D4265">
        <w:rPr>
          <w:rFonts w:asciiTheme="majorBidi" w:eastAsia="Calibri" w:hAnsiTheme="majorBidi" w:cstheme="majorBidi"/>
        </w:rPr>
        <w:t>) (composé du verbe générique à l’impératif pluriel</w:t>
      </w:r>
      <w:r w:rsidRPr="006D4265">
        <w:rPr>
          <w:rFonts w:asciiTheme="majorBidi" w:eastAsia="Calibri" w:hAnsiTheme="majorBidi" w:cstheme="majorBidi"/>
          <w:i/>
          <w:iCs/>
        </w:rPr>
        <w:t xml:space="preserve"> </w:t>
      </w:r>
      <w:r w:rsidRPr="006D4265">
        <w:rPr>
          <w:rFonts w:asciiTheme="majorBidi" w:eastAsia="Calibri" w:hAnsiTheme="majorBidi" w:cstheme="majorBidi"/>
        </w:rPr>
        <w:t>« </w:t>
      </w:r>
      <w:r w:rsidRPr="006D4265">
        <w:rPr>
          <w:rFonts w:asciiTheme="majorBidi" w:eastAsia="Calibri" w:hAnsiTheme="majorBidi" w:cstheme="majorBidi"/>
          <w:i/>
          <w:iCs/>
        </w:rPr>
        <w:t>ittaqū</w:t>
      </w:r>
      <w:r w:rsidRPr="006D4265">
        <w:rPr>
          <w:rFonts w:asciiTheme="majorBidi" w:eastAsia="Calibri" w:hAnsiTheme="majorBidi" w:cstheme="majorBidi"/>
        </w:rPr>
        <w:t xml:space="preserve"> » [prémunissez-vous/craignez] et du substantif générique </w:t>
      </w:r>
      <w:r w:rsidRPr="006D4265">
        <w:rPr>
          <w:rFonts w:asciiTheme="majorBidi" w:eastAsia="Calibri" w:hAnsiTheme="majorBidi" w:cstheme="majorBidi"/>
          <w:i/>
          <w:iCs/>
        </w:rPr>
        <w:t>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Calibri" w:hAnsiTheme="majorBidi" w:cstheme="majorBidi"/>
        </w:rPr>
        <w:t xml:space="preserve"> [votre Seigneur]) est un peu vague malgré les quelques courtes explications fournies par certains exégètes. D’autres exégètes ne l’expliquent pas comme si le sens était évident, alors qu’il est très large, équivoque et donne lieu à d’innombrables interprétations. </w:t>
      </w:r>
      <w:r w:rsidRPr="006D4265">
        <w:rPr>
          <w:rFonts w:asciiTheme="majorBidi" w:eastAsia="Times New Roman" w:hAnsiTheme="majorBidi" w:cstheme="majorBidi"/>
          <w:lang w:bidi="ar-EG"/>
        </w:rPr>
        <w:t xml:space="preserve">C’est vrai que le verbe « se prémunir » peut traduire le sens du verbe-source </w:t>
      </w:r>
      <w:r w:rsidRPr="006D4265">
        <w:rPr>
          <w:rFonts w:asciiTheme="majorBidi" w:eastAsia="Calibri" w:hAnsiTheme="majorBidi" w:cstheme="majorBidi"/>
          <w:i/>
          <w:iCs/>
        </w:rPr>
        <w:t>ittaqā</w:t>
      </w:r>
      <w:r w:rsidRPr="006D4265">
        <w:rPr>
          <w:rFonts w:asciiTheme="majorBidi" w:eastAsia="Times New Roman" w:hAnsiTheme="majorBidi" w:cstheme="majorBidi"/>
          <w:lang w:bidi="ar-EG"/>
        </w:rPr>
        <w:t>, étant donné que, dans les deux termes, il y a l’idée de la « protection », mais, comme le constate</w:t>
      </w:r>
      <w:r w:rsidRPr="006D4265">
        <w:rPr>
          <w:rFonts w:asciiTheme="majorBidi" w:eastAsia="Times New Roman" w:hAnsiTheme="majorBidi" w:cstheme="majorBidi"/>
        </w:rPr>
        <w:t xml:space="preserve"> </w:t>
      </w:r>
      <w:r w:rsidRPr="006D4265">
        <w:rPr>
          <w:rFonts w:asciiTheme="majorBidi" w:eastAsia="Times New Roman" w:hAnsiTheme="majorBidi" w:cstheme="majorBidi"/>
          <w:lang w:bidi="ar-EG"/>
        </w:rPr>
        <w:t>Dominique Abd Allāh Penot dans une note au verset</w:t>
      </w:r>
      <w:r>
        <w:rPr>
          <w:rFonts w:asciiTheme="majorBidi" w:eastAsia="Times New Roman" w:hAnsiTheme="majorBidi" w:cstheme="majorBidi"/>
          <w:lang w:bidi="ar-EG"/>
        </w:rPr>
        <w:t xml:space="preserve"> II,</w:t>
      </w:r>
      <w:r w:rsidRPr="006D4265">
        <w:rPr>
          <w:rFonts w:asciiTheme="majorBidi" w:eastAsia="Times New Roman" w:hAnsiTheme="majorBidi" w:cstheme="majorBidi"/>
          <w:lang w:bidi="ar-EG"/>
        </w:rPr>
        <w:t xml:space="preserve"> 2, c’est justement cette « idée qu’on puisse se prémunir contre Dieu [qui] a de quoi dérouter les non-musulmans et en particulier les chrétiens pour lesquels Dieu est Amour. »</w:t>
      </w:r>
      <w:r w:rsidRPr="006D4265">
        <w:rPr>
          <w:rFonts w:asciiTheme="majorBidi" w:eastAsia="Times New Roman" w:hAnsiTheme="majorBidi" w:cstheme="majorBidi"/>
          <w:vertAlign w:val="superscript"/>
          <w:lang w:bidi="ar-EG"/>
        </w:rPr>
        <w:footnoteReference w:id="309"/>
      </w:r>
      <w:r w:rsidRPr="006D4265">
        <w:rPr>
          <w:rFonts w:asciiTheme="majorBidi" w:eastAsia="Times New Roman" w:hAnsiTheme="majorBidi" w:cstheme="majorBidi"/>
          <w:lang w:bidi="ar-EG"/>
        </w:rPr>
        <w:t xml:space="preserve"> Et d’ajouter : « Sans renier la notion d’amour divin, l’Islam insiste sur le fait que tout vient de Dieu […], la guidance comme l’égarement, et il convient de Lui demander de nous préserver de [Son châtiment] avec la même insistance qu’on doit Lui demander de nous mettre au nombre de Ses élus. L’idéal musulman se situe ainsi entre crainte et espérance […], crainte d’être égaré par Lui, espoir d’être guidé par Lui également. »</w:t>
      </w:r>
    </w:p>
    <w:p w14:paraId="42AE3676" w14:textId="77777777" w:rsidR="00296288" w:rsidRPr="006D4265" w:rsidRDefault="00296288" w:rsidP="00296288">
      <w:pPr>
        <w:spacing w:line="360" w:lineRule="auto"/>
        <w:ind w:firstLine="708"/>
        <w:jc w:val="both"/>
        <w:rPr>
          <w:rFonts w:asciiTheme="majorBidi" w:eastAsia="Calibri" w:hAnsiTheme="majorBidi" w:cstheme="majorBidi"/>
          <w:lang w:bidi="ar-AE"/>
        </w:rPr>
      </w:pPr>
    </w:p>
    <w:p w14:paraId="306C35FE"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r w:rsidRPr="006D4265">
        <w:rPr>
          <w:rFonts w:asciiTheme="majorBidi" w:eastAsia="Calibri" w:hAnsiTheme="majorBidi" w:cstheme="majorBidi"/>
          <w:lang w:bidi="ar-AE"/>
        </w:rPr>
        <w:lastRenderedPageBreak/>
        <w:t xml:space="preserve">Mais l’utilisation fréquente par les musulmans du verbe </w:t>
      </w:r>
      <w:r w:rsidRPr="006D4265">
        <w:rPr>
          <w:rFonts w:asciiTheme="majorBidi" w:eastAsia="Calibri" w:hAnsiTheme="majorBidi" w:cstheme="majorBidi"/>
          <w:i/>
          <w:iCs/>
        </w:rPr>
        <w:t>ittaqā</w:t>
      </w:r>
      <w:r w:rsidRPr="006D4265">
        <w:rPr>
          <w:rFonts w:asciiTheme="majorBidi" w:eastAsia="Calibri" w:hAnsiTheme="majorBidi" w:cstheme="majorBidi"/>
          <w:lang w:bidi="ar-AE"/>
        </w:rPr>
        <w:t xml:space="preserve"> [se prémunir]</w:t>
      </w:r>
      <w:r w:rsidRPr="006D4265">
        <w:rPr>
          <w:rFonts w:asciiTheme="majorBidi" w:eastAsia="Calibri" w:hAnsiTheme="majorBidi" w:cstheme="majorBidi"/>
          <w:vertAlign w:val="superscript"/>
          <w:lang w:bidi="ar-AE"/>
        </w:rPr>
        <w:footnoteReference w:id="310"/>
      </w:r>
      <w:r w:rsidRPr="006D4265">
        <w:rPr>
          <w:rFonts w:asciiTheme="majorBidi" w:eastAsia="Calibri" w:hAnsiTheme="majorBidi" w:cstheme="majorBidi"/>
          <w:lang w:bidi="ar-AE"/>
        </w:rPr>
        <w:t xml:space="preserve"> pour exprimer la relation entre les croyants et Dieu signifie qu’ils comprennent leur Dieu plus comme un </w:t>
      </w:r>
      <w:r w:rsidRPr="006D4265">
        <w:rPr>
          <w:rFonts w:asciiTheme="majorBidi" w:eastAsia="Calibri" w:hAnsiTheme="majorBidi" w:cstheme="majorBidi"/>
          <w:i/>
          <w:iCs/>
          <w:lang w:bidi="ar-AE"/>
        </w:rPr>
        <w:t>shadīd al-ʿiqāb</w:t>
      </w:r>
      <w:r w:rsidRPr="006D4265">
        <w:rPr>
          <w:rFonts w:asciiTheme="majorBidi" w:eastAsia="Calibri" w:hAnsiTheme="majorBidi" w:cstheme="majorBidi"/>
          <w:lang w:bidi="ar-AE"/>
        </w:rPr>
        <w:t xml:space="preserve"> [Redoutable, Implacable] que comme un </w:t>
      </w:r>
      <w:r w:rsidRPr="006D4265">
        <w:rPr>
          <w:rFonts w:asciiTheme="majorBidi" w:eastAsia="Calibri" w:hAnsiTheme="majorBidi" w:cstheme="majorBidi"/>
          <w:i/>
          <w:iCs/>
          <w:lang w:bidi="ar-AE"/>
        </w:rPr>
        <w:t>raḥīm</w:t>
      </w:r>
      <w:r w:rsidRPr="006D4265">
        <w:rPr>
          <w:rFonts w:asciiTheme="majorBidi" w:eastAsia="Calibri" w:hAnsiTheme="majorBidi" w:cstheme="majorBidi"/>
          <w:lang w:bidi="ar-AE"/>
        </w:rPr>
        <w:t xml:space="preserve"> [Miséricordieux], que leur relation avec leur Dieu est plus une relation de peur que d’amour. </w:t>
      </w:r>
      <w:r w:rsidRPr="006D4265">
        <w:rPr>
          <w:rFonts w:asciiTheme="majorBidi" w:eastAsia="Times New Roman" w:hAnsiTheme="majorBidi" w:cstheme="majorBidi"/>
          <w:lang w:bidi="ar-EG"/>
        </w:rPr>
        <w:t xml:space="preserve">Le mot </w:t>
      </w:r>
      <w:r w:rsidRPr="006D4265">
        <w:rPr>
          <w:rFonts w:asciiTheme="majorBidi" w:eastAsia="Times New Roman" w:hAnsiTheme="majorBidi" w:cstheme="majorBidi"/>
          <w:i/>
          <w:iCs/>
          <w:lang w:bidi="ar-EG"/>
        </w:rPr>
        <w:t>taqwā</w:t>
      </w:r>
      <w:r w:rsidRPr="006D4265">
        <w:rPr>
          <w:rFonts w:asciiTheme="majorBidi" w:eastAsia="Times New Roman" w:hAnsiTheme="majorBidi" w:cstheme="majorBidi"/>
          <w:lang w:bidi="ar-EG"/>
        </w:rPr>
        <w:t xml:space="preserve"> signifie : peur, crainte et obéissance. Il est à souligner que le calife ʿUmar, l’un des plus proches du milieu de l’élaboration du Coran, a demandé le sens de ce mot </w:t>
      </w:r>
      <w:r w:rsidRPr="006D4265">
        <w:rPr>
          <w:rFonts w:asciiTheme="majorBidi" w:eastAsia="Times New Roman" w:hAnsiTheme="majorBidi" w:cstheme="majorBidi"/>
          <w:i/>
          <w:iCs/>
          <w:lang w:bidi="ar-EG"/>
        </w:rPr>
        <w:t>taqwā</w:t>
      </w:r>
      <w:r w:rsidRPr="006D4265">
        <w:rPr>
          <w:rFonts w:asciiTheme="majorBidi" w:eastAsia="Times New Roman" w:hAnsiTheme="majorBidi" w:cstheme="majorBidi"/>
          <w:lang w:bidi="ar-EG"/>
        </w:rPr>
        <w:t>.</w:t>
      </w:r>
      <w:r w:rsidRPr="006D4265">
        <w:rPr>
          <w:rFonts w:asciiTheme="majorBidi" w:eastAsia="Calibri" w:hAnsiTheme="majorBidi" w:cstheme="majorBidi"/>
          <w:vertAlign w:val="superscript"/>
          <w:lang w:bidi="ar-AE"/>
        </w:rPr>
        <w:footnoteReference w:id="311"/>
      </w:r>
      <w:r w:rsidRPr="006D4265">
        <w:rPr>
          <w:rFonts w:asciiTheme="majorBidi" w:eastAsia="Times New Roman" w:hAnsiTheme="majorBidi" w:cstheme="majorBidi"/>
          <w:lang w:bidi="ar-EG"/>
        </w:rPr>
        <w:t xml:space="preserve"> Ce qui pourrait signifier que ce mot est un néologisme emprunté à d’autres cultures voisines (essentiellement juives) ou qu’il a pris un nouveau sens avec l’islam et que le concept qu’il désigne n’a pas été connu par la suite dans le milieu païen (</w:t>
      </w:r>
      <w:r>
        <w:rPr>
          <w:rFonts w:asciiTheme="majorBidi" w:eastAsia="Times New Roman" w:hAnsiTheme="majorBidi" w:cstheme="majorBidi"/>
          <w:lang w:bidi="ar-EG"/>
        </w:rPr>
        <w:t xml:space="preserve">les </w:t>
      </w:r>
      <w:r w:rsidRPr="006D4265">
        <w:rPr>
          <w:rFonts w:asciiTheme="majorBidi" w:eastAsia="Times New Roman" w:hAnsiTheme="majorBidi" w:cstheme="majorBidi"/>
          <w:i/>
          <w:iCs/>
          <w:lang w:bidi="ar-EG"/>
        </w:rPr>
        <w:t>ummīyīn</w:t>
      </w:r>
      <w:r w:rsidRPr="006D4265">
        <w:rPr>
          <w:rFonts w:asciiTheme="majorBidi" w:eastAsia="Times New Roman" w:hAnsiTheme="majorBidi" w:cstheme="majorBidi"/>
          <w:lang w:bidi="ar-EG"/>
        </w:rPr>
        <w:t>).</w:t>
      </w:r>
    </w:p>
    <w:p w14:paraId="4260250B"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p>
    <w:p w14:paraId="7D79F3AE"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r w:rsidRPr="006D4265">
        <w:rPr>
          <w:rFonts w:asciiTheme="majorBidi" w:eastAsia="Times New Roman" w:hAnsiTheme="majorBidi" w:cstheme="majorBidi"/>
          <w:lang w:bidi="ar-EG"/>
        </w:rPr>
        <w:t>En général, les significations données par les exégètes pour cette injonction sont les suivantes :</w:t>
      </w:r>
    </w:p>
    <w:p w14:paraId="4A864E80" w14:textId="77777777" w:rsidR="00296288" w:rsidRPr="006D4265" w:rsidRDefault="00296288" w:rsidP="007640DC">
      <w:pPr>
        <w:pStyle w:val="Paragraphedeliste"/>
        <w:numPr>
          <w:ilvl w:val="0"/>
          <w:numId w:val="13"/>
        </w:numPr>
        <w:bidi w:val="0"/>
        <w:spacing w:after="0" w:line="360" w:lineRule="auto"/>
        <w:contextualSpacing/>
        <w:jc w:val="both"/>
        <w:rPr>
          <w:rFonts w:asciiTheme="majorBidi" w:hAnsiTheme="majorBidi" w:cstheme="majorBidi"/>
          <w:sz w:val="24"/>
          <w:szCs w:val="24"/>
          <w:lang w:eastAsia="fr-FR" w:bidi="ar-EG"/>
        </w:rPr>
      </w:pPr>
      <w:r w:rsidRPr="006D4265">
        <w:rPr>
          <w:rFonts w:asciiTheme="majorBidi" w:hAnsiTheme="majorBidi" w:cstheme="majorBidi"/>
          <w:sz w:val="24"/>
          <w:szCs w:val="24"/>
          <w:lang w:eastAsia="fr-FR" w:bidi="ar-EG"/>
        </w:rPr>
        <w:t>méfiez-vous de la punition de votre Seigneur ;</w:t>
      </w:r>
    </w:p>
    <w:p w14:paraId="1D7E5ABF" w14:textId="77777777" w:rsidR="00296288" w:rsidRPr="006D4265" w:rsidRDefault="00296288" w:rsidP="007640DC">
      <w:pPr>
        <w:pStyle w:val="Paragraphedeliste"/>
        <w:numPr>
          <w:ilvl w:val="0"/>
          <w:numId w:val="13"/>
        </w:numPr>
        <w:bidi w:val="0"/>
        <w:spacing w:after="0" w:line="360" w:lineRule="auto"/>
        <w:contextualSpacing/>
        <w:jc w:val="both"/>
        <w:rPr>
          <w:rFonts w:asciiTheme="majorBidi" w:hAnsiTheme="majorBidi" w:cstheme="majorBidi"/>
          <w:sz w:val="24"/>
          <w:szCs w:val="24"/>
          <w:lang w:eastAsia="fr-FR" w:bidi="ar-EG"/>
        </w:rPr>
      </w:pPr>
      <w:r w:rsidRPr="006D4265">
        <w:rPr>
          <w:rFonts w:asciiTheme="majorBidi" w:hAnsiTheme="majorBidi" w:cstheme="majorBidi"/>
          <w:sz w:val="24"/>
          <w:szCs w:val="24"/>
          <w:lang w:eastAsia="fr-FR" w:bidi="ar-EG"/>
        </w:rPr>
        <w:t>craignez votre Seigneur ;</w:t>
      </w:r>
    </w:p>
    <w:p w14:paraId="136C077D" w14:textId="77777777" w:rsidR="00296288" w:rsidRPr="006D4265" w:rsidRDefault="00296288" w:rsidP="007640DC">
      <w:pPr>
        <w:pStyle w:val="Paragraphedeliste"/>
        <w:numPr>
          <w:ilvl w:val="0"/>
          <w:numId w:val="13"/>
        </w:numPr>
        <w:bidi w:val="0"/>
        <w:spacing w:after="0" w:line="360" w:lineRule="auto"/>
        <w:contextualSpacing/>
        <w:jc w:val="both"/>
        <w:rPr>
          <w:rFonts w:asciiTheme="majorBidi" w:hAnsiTheme="majorBidi" w:cstheme="majorBidi"/>
          <w:sz w:val="24"/>
          <w:szCs w:val="24"/>
          <w:lang w:eastAsia="fr-FR" w:bidi="ar-EG"/>
        </w:rPr>
      </w:pPr>
      <w:r w:rsidRPr="006D4265">
        <w:rPr>
          <w:rFonts w:asciiTheme="majorBidi" w:hAnsiTheme="majorBidi" w:cstheme="majorBidi"/>
          <w:sz w:val="24"/>
          <w:szCs w:val="24"/>
          <w:lang w:eastAsia="fr-FR" w:bidi="ar-EG"/>
        </w:rPr>
        <w:t>obéissez à Dieu ;</w:t>
      </w:r>
    </w:p>
    <w:p w14:paraId="3267FF6F" w14:textId="77777777" w:rsidR="00296288" w:rsidRPr="006D4265" w:rsidRDefault="00296288" w:rsidP="007640DC">
      <w:pPr>
        <w:pStyle w:val="Paragraphedeliste"/>
        <w:numPr>
          <w:ilvl w:val="0"/>
          <w:numId w:val="13"/>
        </w:numPr>
        <w:bidi w:val="0"/>
        <w:spacing w:after="0" w:line="360" w:lineRule="auto"/>
        <w:contextualSpacing/>
        <w:jc w:val="both"/>
        <w:rPr>
          <w:rFonts w:asciiTheme="majorBidi" w:hAnsiTheme="majorBidi" w:cstheme="majorBidi"/>
          <w:sz w:val="24"/>
          <w:szCs w:val="24"/>
          <w:lang w:eastAsia="fr-FR" w:bidi="ar-EG"/>
        </w:rPr>
      </w:pPr>
      <w:r w:rsidRPr="006D4265">
        <w:rPr>
          <w:rFonts w:asciiTheme="majorBidi" w:hAnsiTheme="majorBidi" w:cstheme="majorBidi"/>
          <w:sz w:val="24"/>
          <w:szCs w:val="24"/>
          <w:lang w:eastAsia="fr-FR" w:bidi="ar-EG"/>
        </w:rPr>
        <w:t>libérez-vous des voiles (barrières psychologiques) et des substances (matières originelles) (Ibn ʿArabī).</w:t>
      </w:r>
    </w:p>
    <w:p w14:paraId="5ABF0191"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p>
    <w:p w14:paraId="6CABF303"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r w:rsidRPr="006D4265">
        <w:rPr>
          <w:rFonts w:asciiTheme="majorBidi" w:eastAsia="Times New Roman" w:hAnsiTheme="majorBidi" w:cstheme="majorBidi"/>
          <w:lang w:bidi="ar-EG"/>
        </w:rPr>
        <w:t>Cependant, on ne sait pas comment le croyant doit craindre son Seigneur. Pour les courants orthodoxes,</w:t>
      </w:r>
      <w:r w:rsidRPr="006D4265">
        <w:rPr>
          <w:rFonts w:asciiTheme="majorBidi" w:eastAsia="Calibri" w:hAnsiTheme="majorBidi" w:cstheme="majorBidi"/>
        </w:rPr>
        <w:t xml:space="preserve"> le commandement «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Calibri" w:hAnsiTheme="majorBidi" w:cstheme="majorBidi"/>
        </w:rPr>
        <w:t> »</w:t>
      </w:r>
      <w:r w:rsidRPr="006D4265">
        <w:rPr>
          <w:rFonts w:asciiTheme="majorBidi" w:eastAsia="Times New Roman" w:hAnsiTheme="majorBidi" w:cstheme="majorBidi"/>
          <w:lang w:bidi="ar-EG"/>
        </w:rPr>
        <w:t xml:space="preserve"> peut signifier entre autres : 1-ne faites pas de mal ; 2-obéissez à Dieu ; 3-ne croyez pas à la Trinité ; 4-ne buvez pas d’alcool ; 5-faites les cinq prières et le ramadan ; 6-répondez à l’appel au djihad contre les non-croyants ; etc.</w:t>
      </w:r>
    </w:p>
    <w:p w14:paraId="1B96A40A"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p>
    <w:p w14:paraId="7D1FE779"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r w:rsidRPr="006D4265">
        <w:rPr>
          <w:rFonts w:asciiTheme="majorBidi" w:eastAsia="Times New Roman" w:hAnsiTheme="majorBidi" w:cstheme="majorBidi"/>
          <w:lang w:bidi="ar-EG"/>
        </w:rPr>
        <w:lastRenderedPageBreak/>
        <w:t>Par contre, ce même commandement peut signifier chez les courants hétérodoxes et ésotériques (surtout chez les alaouites nusayrites) : 1-ne faites pas de mal ; 2-communiez entre vous avec du vin</w:t>
      </w:r>
      <w:r w:rsidRPr="006D4265">
        <w:rPr>
          <w:rFonts w:asciiTheme="majorBidi" w:eastAsia="Calibri" w:hAnsiTheme="majorBidi" w:cstheme="majorBidi"/>
          <w:vertAlign w:val="superscript"/>
          <w:lang w:bidi="ar-AE"/>
        </w:rPr>
        <w:footnoteReference w:id="312"/>
      </w:r>
      <w:r w:rsidRPr="006D4265">
        <w:rPr>
          <w:rFonts w:asciiTheme="majorBidi" w:eastAsia="Times New Roman" w:hAnsiTheme="majorBidi" w:cstheme="majorBidi"/>
          <w:lang w:bidi="ar-EG"/>
        </w:rPr>
        <w:t> ; 3-croyez en la réincarnation ; 4-gardez les secrets de la confrérie ; etc.</w:t>
      </w:r>
    </w:p>
    <w:p w14:paraId="4C0016F9"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p>
    <w:p w14:paraId="3A7E3EC6"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r w:rsidRPr="006D4265">
        <w:rPr>
          <w:rFonts w:asciiTheme="majorBidi" w:eastAsia="Times New Roman" w:hAnsiTheme="majorBidi" w:cstheme="majorBidi"/>
          <w:lang w:bidi="ar-EG"/>
        </w:rPr>
        <w:t xml:space="preserve">Nous remarquons que l’injonction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Times New Roman" w:hAnsiTheme="majorBidi" w:cstheme="majorBidi"/>
          <w:lang w:bidi="ar-EG"/>
        </w:rPr>
        <w:t xml:space="preserve"> a un sens plus confessionnel et identitaire que proprement religieux et relationnel (selon un sens étymologique du mot </w:t>
      </w:r>
      <w:r w:rsidRPr="006D4265">
        <w:rPr>
          <w:rFonts w:asciiTheme="majorBidi" w:eastAsia="Times New Roman" w:hAnsiTheme="majorBidi" w:cstheme="majorBidi"/>
          <w:i/>
          <w:iCs/>
          <w:lang w:bidi="ar-EG"/>
        </w:rPr>
        <w:t>religion</w:t>
      </w:r>
      <w:r w:rsidRPr="006D4265">
        <w:rPr>
          <w:rFonts w:asciiTheme="majorBidi" w:eastAsia="Times New Roman" w:hAnsiTheme="majorBidi" w:cstheme="majorBidi"/>
          <w:lang w:bidi="ar-EG"/>
        </w:rPr>
        <w:t>, de</w:t>
      </w:r>
      <w:r w:rsidRPr="006D4265">
        <w:rPr>
          <w:rFonts w:asciiTheme="majorBidi" w:eastAsia="Times New Roman" w:hAnsiTheme="majorBidi" w:cstheme="majorBidi"/>
          <w:shd w:val="clear" w:color="auto" w:fill="FFFFFF"/>
        </w:rPr>
        <w:t> </w:t>
      </w:r>
      <w:r w:rsidRPr="006D4265">
        <w:rPr>
          <w:rFonts w:asciiTheme="majorBidi" w:eastAsia="Times New Roman" w:hAnsiTheme="majorBidi" w:cstheme="majorBidi"/>
          <w:i/>
          <w:iCs/>
          <w:shd w:val="clear" w:color="auto" w:fill="FFFFFF"/>
        </w:rPr>
        <w:t>religare</w:t>
      </w:r>
      <w:r w:rsidRPr="006D4265">
        <w:rPr>
          <w:rFonts w:asciiTheme="majorBidi" w:eastAsia="Times New Roman" w:hAnsiTheme="majorBidi" w:cstheme="majorBidi"/>
          <w:shd w:val="clear" w:color="auto" w:fill="FFFFFF"/>
        </w:rPr>
        <w:t> signifiant « relier »</w:t>
      </w:r>
      <w:r>
        <w:rPr>
          <w:rFonts w:asciiTheme="majorBidi" w:eastAsia="Times New Roman" w:hAnsiTheme="majorBidi" w:cstheme="majorBidi"/>
          <w:shd w:val="clear" w:color="auto" w:fill="FFFFFF"/>
        </w:rPr>
        <w:t>)</w:t>
      </w:r>
      <w:r w:rsidRPr="006D4265">
        <w:rPr>
          <w:rFonts w:asciiTheme="majorBidi" w:eastAsia="Times New Roman" w:hAnsiTheme="majorBidi" w:cstheme="majorBidi"/>
          <w:lang w:bidi="ar-EG"/>
        </w:rPr>
        <w:t xml:space="preserve">, d’autant plus qu’on a utilisé le pronom possessif </w:t>
      </w:r>
      <w:r w:rsidRPr="006D4265">
        <w:rPr>
          <w:rFonts w:asciiTheme="majorBidi" w:eastAsia="Times New Roman" w:hAnsiTheme="majorBidi" w:cstheme="majorBidi"/>
          <w:i/>
          <w:iCs/>
          <w:lang w:bidi="ar-EG"/>
        </w:rPr>
        <w:t>-kum</w:t>
      </w:r>
      <w:r w:rsidRPr="006D4265">
        <w:rPr>
          <w:rFonts w:asciiTheme="majorBidi" w:eastAsia="Times New Roman" w:hAnsiTheme="majorBidi" w:cstheme="majorBidi"/>
          <w:lang w:bidi="ar-EG"/>
        </w:rPr>
        <w:t xml:space="preserve"> [votre] qui exprime la possessivité et l’appartenance.</w:t>
      </w:r>
    </w:p>
    <w:p w14:paraId="183B167C" w14:textId="77777777" w:rsidR="00296288" w:rsidRPr="006D4265" w:rsidRDefault="00296288" w:rsidP="00296288">
      <w:pPr>
        <w:spacing w:line="360" w:lineRule="auto"/>
        <w:jc w:val="both"/>
        <w:rPr>
          <w:rFonts w:asciiTheme="majorBidi" w:hAnsiTheme="majorBidi" w:cstheme="majorBidi"/>
        </w:rPr>
      </w:pPr>
    </w:p>
    <w:p w14:paraId="2DDA63BF"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r w:rsidRPr="006D4265">
        <w:rPr>
          <w:rFonts w:asciiTheme="majorBidi" w:eastAsia="Times New Roman" w:hAnsiTheme="majorBidi" w:cstheme="majorBidi"/>
          <w:lang w:bidi="ar-EG"/>
        </w:rPr>
        <w:t xml:space="preserve">À propos de l’expression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Times New Roman" w:hAnsiTheme="majorBidi" w:cstheme="majorBidi"/>
          <w:lang w:bidi="ar-EG"/>
        </w:rPr>
        <w:t>, Fakhr Ad-Dīn Ar-Rāzī, dans</w:t>
      </w:r>
      <w:r w:rsidRPr="006D4265">
        <w:rPr>
          <w:rFonts w:asciiTheme="majorBidi" w:eastAsia="Times New Roman" w:hAnsiTheme="majorBidi" w:cstheme="majorBidi"/>
          <w:i/>
          <w:iCs/>
          <w:lang w:bidi="ar-EG"/>
        </w:rPr>
        <w:t xml:space="preserve"> At-Tafsīr Al-Kabīr</w:t>
      </w:r>
      <w:r w:rsidRPr="006D4265">
        <w:rPr>
          <w:rFonts w:asciiTheme="majorBidi" w:eastAsia="Times New Roman" w:hAnsiTheme="majorBidi" w:cstheme="majorBidi"/>
          <w:lang w:bidi="ar-EG"/>
        </w:rPr>
        <w:t xml:space="preserve"> ou </w:t>
      </w:r>
      <w:r w:rsidRPr="006D4265">
        <w:rPr>
          <w:rFonts w:asciiTheme="majorBidi" w:eastAsia="Times New Roman" w:hAnsiTheme="majorBidi" w:cstheme="majorBidi"/>
          <w:i/>
          <w:iCs/>
          <w:lang w:bidi="ar-EG"/>
        </w:rPr>
        <w:t>Mafātīḥ Al-Ghayb</w:t>
      </w:r>
      <w:r w:rsidRPr="006D4265">
        <w:rPr>
          <w:rFonts w:asciiTheme="majorBidi" w:eastAsia="Times New Roman" w:hAnsiTheme="majorBidi" w:cstheme="majorBidi"/>
          <w:lang w:bidi="ar-EG"/>
        </w:rPr>
        <w:t xml:space="preserve">, parle d’une ellipse : « Craignez votre Seigneur » veut dire, selon lui, « craignez </w:t>
      </w:r>
      <w:r w:rsidRPr="006D4265">
        <w:rPr>
          <w:rFonts w:asciiTheme="majorBidi" w:eastAsia="Times New Roman" w:hAnsiTheme="majorBidi" w:cstheme="majorBidi"/>
          <w:i/>
          <w:iCs/>
          <w:lang w:bidi="ar-EG"/>
        </w:rPr>
        <w:t>le tourment de</w:t>
      </w:r>
      <w:r w:rsidRPr="006D4265">
        <w:rPr>
          <w:rFonts w:asciiTheme="majorBidi" w:eastAsia="Times New Roman" w:hAnsiTheme="majorBidi" w:cstheme="majorBidi"/>
          <w:lang w:bidi="ar-EG"/>
        </w:rPr>
        <w:t xml:space="preserve"> votre Seigneur ». Ainsi, il semble ici que la relation du musulman avec son Dieu est plus proche du judaïsme que du christianisme, une relation régie par la peur, la </w:t>
      </w:r>
      <w:r w:rsidRPr="006D4265">
        <w:rPr>
          <w:rFonts w:asciiTheme="majorBidi" w:eastAsia="Times New Roman" w:hAnsiTheme="majorBidi" w:cstheme="majorBidi"/>
          <w:lang w:bidi="ar-EG"/>
        </w:rPr>
        <w:lastRenderedPageBreak/>
        <w:t xml:space="preserve">crainte (en hébreu : </w:t>
      </w:r>
      <w:r w:rsidRPr="006D4265">
        <w:rPr>
          <w:rFonts w:asciiTheme="majorBidi" w:eastAsia="Times New Roman" w:hAnsiTheme="majorBidi" w:hint="cs"/>
          <w:rtl/>
          <w:lang w:bidi="he-IL"/>
        </w:rPr>
        <w:t>יָרֵא</w:t>
      </w:r>
      <w:r w:rsidRPr="006D4265">
        <w:rPr>
          <w:rFonts w:asciiTheme="majorBidi" w:eastAsia="Times New Roman" w:hAnsiTheme="majorBidi" w:cstheme="majorBidi"/>
          <w:lang w:bidi="ar-EG"/>
        </w:rPr>
        <w:t xml:space="preserve"> « </w:t>
      </w:r>
      <w:r w:rsidRPr="006D4265">
        <w:rPr>
          <w:rFonts w:asciiTheme="majorBidi" w:eastAsia="Times New Roman" w:hAnsiTheme="majorBidi" w:cstheme="majorBidi"/>
          <w:i/>
          <w:iCs/>
          <w:lang w:bidi="ar-EG"/>
        </w:rPr>
        <w:t>yare</w:t>
      </w:r>
      <w:r w:rsidRPr="006D4265">
        <w:rPr>
          <w:rFonts w:asciiTheme="majorBidi" w:eastAsia="Times New Roman" w:hAnsiTheme="majorBidi" w:cstheme="majorBidi"/>
          <w:lang w:bidi="ar-EG"/>
        </w:rPr>
        <w:t> »</w:t>
      </w:r>
      <w:r w:rsidRPr="006D4265">
        <w:rPr>
          <w:rFonts w:asciiTheme="majorBidi" w:eastAsia="Calibri" w:hAnsiTheme="majorBidi" w:cstheme="majorBidi"/>
          <w:vertAlign w:val="superscript"/>
          <w:lang w:bidi="ar-AE"/>
        </w:rPr>
        <w:footnoteReference w:id="313"/>
      </w:r>
      <w:r w:rsidRPr="006D4265">
        <w:rPr>
          <w:rFonts w:asciiTheme="majorBidi" w:eastAsia="Times New Roman" w:hAnsiTheme="majorBidi" w:cstheme="majorBidi"/>
          <w:lang w:bidi="ar-EG"/>
        </w:rPr>
        <w:t xml:space="preserve">, en arabe : </w:t>
      </w:r>
      <w:r w:rsidRPr="006D4265">
        <w:rPr>
          <w:rFonts w:asciiTheme="majorBidi" w:eastAsia="Times New Roman" w:hAnsiTheme="majorBidi" w:cstheme="majorBidi"/>
          <w:i/>
          <w:iCs/>
          <w:lang w:bidi="ar-EG"/>
        </w:rPr>
        <w:t>yakhshā</w:t>
      </w:r>
      <w:r w:rsidRPr="006D4265">
        <w:rPr>
          <w:rFonts w:asciiTheme="majorBidi" w:eastAsia="Times New Roman" w:hAnsiTheme="majorBidi" w:cstheme="majorBidi"/>
          <w:lang w:bidi="ar-EG"/>
        </w:rPr>
        <w:t xml:space="preserve">, </w:t>
      </w:r>
      <w:r w:rsidRPr="006D4265">
        <w:rPr>
          <w:rFonts w:asciiTheme="majorBidi" w:eastAsia="Times New Roman" w:hAnsiTheme="majorBidi" w:cstheme="majorBidi"/>
          <w:i/>
          <w:iCs/>
          <w:lang w:bidi="ar-EG"/>
        </w:rPr>
        <w:t>yattaqī</w:t>
      </w:r>
      <w:r w:rsidRPr="006D4265">
        <w:rPr>
          <w:rFonts w:asciiTheme="majorBidi" w:eastAsia="Times New Roman" w:hAnsiTheme="majorBidi" w:cstheme="majorBidi"/>
          <w:lang w:bidi="ar-EG"/>
        </w:rPr>
        <w:t>). Le conce</w:t>
      </w:r>
      <w:r>
        <w:rPr>
          <w:rFonts w:asciiTheme="majorBidi" w:eastAsia="Times New Roman" w:hAnsiTheme="majorBidi" w:cstheme="majorBidi"/>
          <w:lang w:bidi="ar-EG"/>
        </w:rPr>
        <w:t xml:space="preserve">pt musulman de </w:t>
      </w:r>
      <w:r w:rsidRPr="006D4265">
        <w:rPr>
          <w:rFonts w:asciiTheme="majorBidi" w:eastAsia="Times New Roman" w:hAnsiTheme="majorBidi" w:cstheme="majorBidi"/>
          <w:i/>
          <w:iCs/>
          <w:lang w:bidi="ar-EG"/>
        </w:rPr>
        <w:t>taqwā</w:t>
      </w:r>
      <w:r>
        <w:rPr>
          <w:rFonts w:asciiTheme="majorBidi" w:eastAsia="Times New Roman" w:hAnsiTheme="majorBidi" w:cstheme="majorBidi"/>
          <w:lang w:bidi="ar-EG"/>
        </w:rPr>
        <w:t>,</w:t>
      </w:r>
      <w:r w:rsidRPr="006D4265">
        <w:rPr>
          <w:rFonts w:asciiTheme="majorBidi" w:eastAsia="Times New Roman" w:hAnsiTheme="majorBidi" w:cstheme="majorBidi"/>
          <w:lang w:bidi="ar-EG"/>
        </w:rPr>
        <w:t xml:space="preserve"> pilier essentiel de l’islam</w:t>
      </w:r>
      <w:r>
        <w:rPr>
          <w:rFonts w:asciiTheme="majorBidi" w:eastAsia="Times New Roman" w:hAnsiTheme="majorBidi" w:cstheme="majorBidi"/>
          <w:lang w:bidi="ar-EG"/>
        </w:rPr>
        <w:t>,</w:t>
      </w:r>
      <w:r w:rsidRPr="006D4265">
        <w:rPr>
          <w:rFonts w:asciiTheme="majorBidi" w:eastAsia="Times New Roman" w:hAnsiTheme="majorBidi" w:cstheme="majorBidi"/>
          <w:lang w:bidi="ar-EG"/>
        </w:rPr>
        <w:t xml:space="preserve"> est ainsi profondément influencé par le concept juif </w:t>
      </w:r>
      <w:r w:rsidRPr="006D4265">
        <w:rPr>
          <w:rFonts w:asciiTheme="majorBidi" w:eastAsia="Times New Roman" w:hAnsiTheme="majorBidi" w:cstheme="majorBidi"/>
          <w:i/>
          <w:iCs/>
          <w:lang w:bidi="ar-EG"/>
        </w:rPr>
        <w:t>yare’</w:t>
      </w:r>
      <w:r w:rsidRPr="006D4265">
        <w:rPr>
          <w:rFonts w:asciiTheme="majorBidi" w:eastAsia="Times New Roman" w:hAnsiTheme="majorBidi" w:cstheme="majorBidi"/>
          <w:lang w:bidi="ar-EG"/>
        </w:rPr>
        <w:t>.</w:t>
      </w:r>
    </w:p>
    <w:p w14:paraId="2E3161EA"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p>
    <w:p w14:paraId="37862B72"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r w:rsidRPr="006D4265">
        <w:rPr>
          <w:rFonts w:asciiTheme="majorBidi" w:eastAsia="Times New Roman" w:hAnsiTheme="majorBidi" w:cstheme="majorBidi"/>
          <w:lang w:bidi="ar-EG"/>
        </w:rPr>
        <w:t>Cette expression «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Times New Roman" w:hAnsiTheme="majorBidi" w:cstheme="majorBidi"/>
          <w:lang w:bidi="ar-EG"/>
        </w:rPr>
        <w:t> » constitue le fondement de la morale de l’islam. Les théologiens et les croyants musulmans affirment l’idée que l’islam est la religion d</w:t>
      </w:r>
      <w:r>
        <w:rPr>
          <w:rFonts w:asciiTheme="majorBidi" w:eastAsia="Times New Roman" w:hAnsiTheme="majorBidi" w:cstheme="majorBidi"/>
          <w:lang w:bidi="ar-EG"/>
        </w:rPr>
        <w:t xml:space="preserve">e la </w:t>
      </w:r>
      <w:r w:rsidRPr="006D4265">
        <w:rPr>
          <w:rFonts w:asciiTheme="majorBidi" w:eastAsia="Times New Roman" w:hAnsiTheme="majorBidi" w:cstheme="majorBidi"/>
          <w:i/>
          <w:iCs/>
          <w:lang w:bidi="ar-EG"/>
        </w:rPr>
        <w:t>taqwā</w:t>
      </w:r>
      <w:r w:rsidRPr="006D4265">
        <w:rPr>
          <w:rFonts w:asciiTheme="majorBidi" w:eastAsia="Times New Roman" w:hAnsiTheme="majorBidi" w:cstheme="majorBidi"/>
          <w:lang w:bidi="ar-EG"/>
        </w:rPr>
        <w:t xml:space="preserve"> [la piété]. En d’autres termes, c’est la religion de la crainte, de la peur, de l’intimidation, de l’obéissance, et par la suite de la domination. </w:t>
      </w:r>
    </w:p>
    <w:p w14:paraId="313D7B4C" w14:textId="77777777" w:rsidR="00296288" w:rsidRPr="00B026CD" w:rsidRDefault="00296288" w:rsidP="00296288">
      <w:pPr>
        <w:spacing w:line="360" w:lineRule="auto"/>
        <w:ind w:firstLine="708"/>
        <w:jc w:val="both"/>
        <w:rPr>
          <w:rFonts w:asciiTheme="majorBidi" w:eastAsia="Times New Roman" w:hAnsiTheme="majorBidi" w:cstheme="majorBidi"/>
          <w:lang w:bidi="ar-EG"/>
        </w:rPr>
      </w:pPr>
    </w:p>
    <w:p w14:paraId="1EAFE602" w14:textId="77777777" w:rsidR="00296288" w:rsidRPr="00F211D1" w:rsidRDefault="00296288" w:rsidP="00296288">
      <w:pPr>
        <w:spacing w:line="360" w:lineRule="auto"/>
        <w:ind w:firstLine="708"/>
        <w:jc w:val="both"/>
        <w:rPr>
          <w:rFonts w:asciiTheme="majorBidi" w:eastAsia="Times New Roman" w:hAnsiTheme="majorBidi" w:cstheme="majorBidi"/>
        </w:rPr>
      </w:pPr>
      <w:r w:rsidRPr="00B026CD">
        <w:rPr>
          <w:rFonts w:asciiTheme="majorBidi" w:eastAsia="Times New Roman" w:hAnsiTheme="majorBidi" w:cstheme="majorBidi"/>
          <w:lang w:bidi="ar-EG"/>
        </w:rPr>
        <w:t xml:space="preserve">Il semble que l’objectif du commandement </w:t>
      </w:r>
      <w:r w:rsidRPr="00B026CD">
        <w:rPr>
          <w:rFonts w:asciiTheme="majorBidi" w:eastAsia="Calibri" w:hAnsiTheme="majorBidi" w:cstheme="majorBidi"/>
          <w:i/>
          <w:iCs/>
        </w:rPr>
        <w:t>ittaqū rabba</w:t>
      </w:r>
      <w:r>
        <w:rPr>
          <w:rFonts w:asciiTheme="majorBidi" w:eastAsia="Calibri" w:hAnsiTheme="majorBidi" w:cstheme="majorBidi"/>
          <w:i/>
          <w:iCs/>
        </w:rPr>
        <w:t>-</w:t>
      </w:r>
      <w:r w:rsidRPr="00B026CD">
        <w:rPr>
          <w:rFonts w:asciiTheme="majorBidi" w:eastAsia="Calibri" w:hAnsiTheme="majorBidi" w:cstheme="majorBidi"/>
          <w:i/>
          <w:iCs/>
        </w:rPr>
        <w:t>kum</w:t>
      </w:r>
      <w:r>
        <w:rPr>
          <w:rFonts w:asciiTheme="majorBidi" w:eastAsia="Times New Roman" w:hAnsiTheme="majorBidi" w:cstheme="majorBidi"/>
          <w:lang w:bidi="ar-EG"/>
        </w:rPr>
        <w:t xml:space="preserve"> est plus politique que moral</w:t>
      </w:r>
      <w:r w:rsidRPr="00B026CD">
        <w:rPr>
          <w:rFonts w:asciiTheme="majorBidi" w:eastAsia="Times New Roman" w:hAnsiTheme="majorBidi" w:cstheme="majorBidi"/>
          <w:lang w:bidi="ar-EG"/>
        </w:rPr>
        <w:t>. Son but est donc probablement d’intimider pour dominer. Nous pouvons dire que l’objectif principal du message coranique semble identitaire (</w:t>
      </w:r>
      <w:r w:rsidRPr="00B026CD">
        <w:rPr>
          <w:rFonts w:asciiTheme="majorBidi" w:eastAsia="Times New Roman" w:hAnsiTheme="majorBidi" w:cstheme="majorBidi"/>
          <w:i/>
          <w:iCs/>
          <w:lang w:bidi="ar-EG"/>
        </w:rPr>
        <w:t>rabba-KUM</w:t>
      </w:r>
      <w:r w:rsidRPr="00B026CD">
        <w:rPr>
          <w:rFonts w:asciiTheme="majorBidi" w:eastAsia="Times New Roman" w:hAnsiTheme="majorBidi" w:cstheme="majorBidi"/>
          <w:lang w:bidi="ar-EG"/>
        </w:rPr>
        <w:t xml:space="preserve"> = VOTRE Seigneur) et </w:t>
      </w:r>
      <w:r w:rsidRPr="00B026CD">
        <w:rPr>
          <w:rFonts w:asciiTheme="majorBidi" w:eastAsia="Times New Roman" w:hAnsiTheme="majorBidi" w:cstheme="majorBidi"/>
        </w:rPr>
        <w:t>intimidant (</w:t>
      </w:r>
      <w:r w:rsidRPr="00B026CD">
        <w:rPr>
          <w:rFonts w:asciiTheme="majorBidi" w:eastAsia="Times New Roman" w:hAnsiTheme="majorBidi" w:cstheme="majorBidi"/>
          <w:i/>
          <w:iCs/>
        </w:rPr>
        <w:t>ittaqū</w:t>
      </w:r>
      <w:r w:rsidRPr="00B026CD">
        <w:rPr>
          <w:rFonts w:asciiTheme="majorBidi" w:eastAsia="Times New Roman" w:hAnsiTheme="majorBidi" w:cstheme="majorBidi"/>
        </w:rPr>
        <w:t xml:space="preserve"> = craignez). En général, « ce que l’Islam cherche à faire, souligne à juste titre Moncef Chelli, c’est à enfermer l’homme dans le discours, mais au lieu de réaliser </w:t>
      </w:r>
      <w:r>
        <w:rPr>
          <w:rFonts w:asciiTheme="majorBidi" w:eastAsia="Times New Roman" w:hAnsiTheme="majorBidi" w:cstheme="majorBidi"/>
        </w:rPr>
        <w:t>ce but, comme ce fut le cas en O</w:t>
      </w:r>
      <w:r w:rsidRPr="00B026CD">
        <w:rPr>
          <w:rFonts w:asciiTheme="majorBidi" w:eastAsia="Times New Roman" w:hAnsiTheme="majorBidi" w:cstheme="majorBidi"/>
        </w:rPr>
        <w:t xml:space="preserve">ccident, en trafiquant le discours, il tente d’y parvenir par la menace et </w:t>
      </w:r>
      <w:r w:rsidRPr="00F211D1">
        <w:rPr>
          <w:rFonts w:asciiTheme="majorBidi" w:eastAsia="Times New Roman" w:hAnsiTheme="majorBidi" w:cstheme="majorBidi"/>
        </w:rPr>
        <w:t>la terreur. »</w:t>
      </w:r>
      <w:r w:rsidRPr="00F211D1">
        <w:rPr>
          <w:rStyle w:val="Appelnotedebasdep"/>
          <w:rFonts w:eastAsia="Times New Roman"/>
        </w:rPr>
        <w:footnoteReference w:id="314"/>
      </w:r>
    </w:p>
    <w:p w14:paraId="5D179492" w14:textId="77777777" w:rsidR="00296288" w:rsidRPr="00F211D1" w:rsidRDefault="00296288" w:rsidP="00296288">
      <w:pPr>
        <w:spacing w:line="360" w:lineRule="auto"/>
        <w:ind w:firstLine="708"/>
        <w:jc w:val="both"/>
        <w:rPr>
          <w:rFonts w:asciiTheme="majorBidi" w:eastAsia="Times New Roman" w:hAnsiTheme="majorBidi" w:cstheme="majorBidi"/>
        </w:rPr>
      </w:pPr>
      <w:r w:rsidRPr="00F211D1">
        <w:rPr>
          <w:rFonts w:asciiTheme="majorBidi" w:eastAsia="Times New Roman" w:hAnsiTheme="majorBidi" w:cstheme="majorBidi"/>
        </w:rPr>
        <w:t>Beaucoup de manuels exégétiques adressés aux enfants insistent avec exagération sur l’explication de tous les mots qui mettent l’accent sur le tourment, l’Enfer, alors qu’ils suppriment par exemple l’explication des mots à connotation sexuelle.</w:t>
      </w:r>
      <w:r w:rsidRPr="00F211D1">
        <w:rPr>
          <w:rStyle w:val="Appelnotedebasdep"/>
          <w:rFonts w:eastAsia="Times New Roman"/>
        </w:rPr>
        <w:footnoteReference w:id="315"/>
      </w:r>
    </w:p>
    <w:p w14:paraId="6CAB8791" w14:textId="77777777" w:rsidR="00296288" w:rsidRDefault="00296288" w:rsidP="00296288">
      <w:pPr>
        <w:spacing w:line="360" w:lineRule="auto"/>
        <w:ind w:firstLine="708"/>
        <w:jc w:val="both"/>
        <w:rPr>
          <w:rFonts w:asciiTheme="majorBidi" w:eastAsia="Times New Roman" w:hAnsiTheme="majorBidi" w:cstheme="majorBidi"/>
          <w:lang w:bidi="ar-AE"/>
        </w:rPr>
      </w:pPr>
      <w:r w:rsidRPr="00F211D1">
        <w:rPr>
          <w:rFonts w:asciiTheme="majorBidi" w:eastAsia="Times New Roman" w:hAnsiTheme="majorBidi" w:cstheme="majorBidi"/>
          <w:lang w:bidi="ar-AE"/>
        </w:rPr>
        <w:t>En fait, selon Nietzche, toute morale se fonde généralement par des moyens immoraux.</w:t>
      </w:r>
      <w:r>
        <w:rPr>
          <w:rFonts w:asciiTheme="majorBidi" w:eastAsia="Times New Roman" w:hAnsiTheme="majorBidi" w:cstheme="majorBidi"/>
          <w:lang w:bidi="ar-AE"/>
        </w:rPr>
        <w:t xml:space="preserve"> « </w:t>
      </w:r>
      <w:r w:rsidRPr="00B026CD">
        <w:rPr>
          <w:rFonts w:asciiTheme="majorBidi" w:eastAsia="Times New Roman" w:hAnsiTheme="majorBidi" w:cstheme="majorBidi"/>
          <w:lang w:bidi="ar-AE"/>
        </w:rPr>
        <w:t>Il n’y a pas de phénomènes moraux, mais une interprétation morale de ces phénomènes. Cette interprétation elle-même n’est pas d’origine morale</w:t>
      </w:r>
      <w:r>
        <w:rPr>
          <w:rFonts w:asciiTheme="majorBidi" w:eastAsia="Times New Roman" w:hAnsiTheme="majorBidi" w:cstheme="majorBidi"/>
          <w:lang w:bidi="ar-AE"/>
        </w:rPr>
        <w:t>. »</w:t>
      </w:r>
      <w:r w:rsidRPr="006D4265">
        <w:rPr>
          <w:rFonts w:asciiTheme="majorBidi" w:eastAsia="Calibri" w:hAnsiTheme="majorBidi" w:cstheme="majorBidi"/>
          <w:vertAlign w:val="superscript"/>
          <w:lang w:bidi="ar-AE"/>
        </w:rPr>
        <w:footnoteReference w:id="316"/>
      </w:r>
    </w:p>
    <w:p w14:paraId="0B7CC069" w14:textId="77777777" w:rsidR="00296288" w:rsidRDefault="00296288" w:rsidP="00296288">
      <w:pPr>
        <w:spacing w:line="360" w:lineRule="auto"/>
        <w:ind w:firstLine="708"/>
        <w:jc w:val="both"/>
        <w:rPr>
          <w:rFonts w:asciiTheme="majorBidi" w:eastAsia="Times New Roman" w:hAnsiTheme="majorBidi" w:cstheme="majorBidi"/>
          <w:lang w:bidi="ar-AE"/>
        </w:rPr>
      </w:pPr>
    </w:p>
    <w:p w14:paraId="4BEE4400"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r w:rsidRPr="006D4265">
        <w:rPr>
          <w:rFonts w:asciiTheme="majorBidi" w:eastAsia="Times New Roman" w:hAnsiTheme="majorBidi" w:cstheme="majorBidi"/>
          <w:lang w:bidi="ar-AE"/>
        </w:rPr>
        <w:lastRenderedPageBreak/>
        <w:t xml:space="preserve">Dans l’expression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Calibri" w:hAnsiTheme="majorBidi" w:cstheme="majorBidi"/>
        </w:rPr>
        <w:t xml:space="preserve">, ce n’est pas sa signification lexicale qui compte, </w:t>
      </w:r>
      <w:r>
        <w:rPr>
          <w:rFonts w:asciiTheme="majorBidi" w:eastAsia="Calibri" w:hAnsiTheme="majorBidi" w:cstheme="majorBidi"/>
        </w:rPr>
        <w:t>que</w:t>
      </w:r>
      <w:r w:rsidRPr="006D4265">
        <w:rPr>
          <w:rFonts w:asciiTheme="majorBidi" w:eastAsia="Calibri" w:hAnsiTheme="majorBidi" w:cstheme="majorBidi"/>
        </w:rPr>
        <w:t xml:space="preserve"> sa fonction sociale distinctive, pour préserver la communauté religieuse et l’empêcher de se dissoudre dans d’autres traditions étrangères.</w:t>
      </w:r>
    </w:p>
    <w:p w14:paraId="0EB39543"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p>
    <w:p w14:paraId="1A71D5FA" w14:textId="77777777" w:rsidR="00296288" w:rsidRPr="006D4265" w:rsidRDefault="00296288" w:rsidP="00296288">
      <w:pPr>
        <w:spacing w:line="360" w:lineRule="auto"/>
        <w:ind w:firstLine="708"/>
        <w:jc w:val="both"/>
        <w:rPr>
          <w:rFonts w:asciiTheme="majorBidi" w:eastAsia="Times New Roman" w:hAnsiTheme="majorBidi" w:cstheme="majorBidi"/>
          <w:lang w:bidi="ar-AE"/>
        </w:rPr>
      </w:pPr>
      <w:r w:rsidRPr="006D4265">
        <w:rPr>
          <w:rFonts w:asciiTheme="majorBidi" w:eastAsia="Times New Roman" w:hAnsiTheme="majorBidi" w:cstheme="majorBidi"/>
          <w:lang w:bidi="ar-EG"/>
        </w:rPr>
        <w:t xml:space="preserve">Ainsi, « ne pas boire de vin » fait partie de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Times New Roman" w:hAnsiTheme="majorBidi" w:cstheme="majorBidi"/>
          <w:lang w:bidi="ar-EG"/>
        </w:rPr>
        <w:t xml:space="preserve"> chez les sunnites et les chiites, alors que « communier du vin entre les confrères dans la messe » fait partie de « </w:t>
      </w:r>
      <w:r w:rsidRPr="006D4265">
        <w:rPr>
          <w:rFonts w:asciiTheme="majorBidi" w:eastAsia="Calibri" w:hAnsiTheme="majorBidi" w:cstheme="majorBidi"/>
          <w:i/>
          <w:iCs/>
        </w:rPr>
        <w:t>ittaqū rabba</w:t>
      </w:r>
      <w:r>
        <w:rPr>
          <w:rFonts w:asciiTheme="majorBidi" w:eastAsia="Calibri" w:hAnsiTheme="majorBidi" w:cstheme="majorBidi"/>
          <w:i/>
          <w:iCs/>
        </w:rPr>
        <w:t>-</w:t>
      </w:r>
      <w:r w:rsidRPr="006D4265">
        <w:rPr>
          <w:rFonts w:asciiTheme="majorBidi" w:eastAsia="Calibri" w:hAnsiTheme="majorBidi" w:cstheme="majorBidi"/>
          <w:i/>
          <w:iCs/>
        </w:rPr>
        <w:t>kum</w:t>
      </w:r>
      <w:r w:rsidRPr="006D4265">
        <w:rPr>
          <w:rFonts w:asciiTheme="majorBidi" w:eastAsia="Times New Roman" w:hAnsiTheme="majorBidi" w:cstheme="majorBidi"/>
          <w:lang w:bidi="ar-EG"/>
        </w:rPr>
        <w:t> » chez les alaouites. Il semble que ce commandement veut dire : respectez votre tradition religieuse qui vous distingue des autres.</w:t>
      </w:r>
      <w:r w:rsidRPr="006D4265">
        <w:rPr>
          <w:rFonts w:asciiTheme="majorBidi" w:eastAsia="Times New Roman" w:hAnsiTheme="majorBidi" w:cstheme="majorBidi"/>
          <w:lang w:bidi="ar-AE"/>
        </w:rPr>
        <w:t xml:space="preserve"> Cette fonction identitaire permet d’avoir plusieurs significations pour cette même expression.</w:t>
      </w:r>
    </w:p>
    <w:p w14:paraId="1C2A98DC" w14:textId="77777777" w:rsidR="00296288" w:rsidRPr="006D4265" w:rsidRDefault="00296288" w:rsidP="00296288">
      <w:pPr>
        <w:spacing w:line="360" w:lineRule="auto"/>
        <w:jc w:val="both"/>
        <w:rPr>
          <w:rFonts w:asciiTheme="majorBidi" w:hAnsiTheme="majorBidi" w:cstheme="majorBidi"/>
        </w:rPr>
      </w:pPr>
    </w:p>
    <w:p w14:paraId="2936FCE0" w14:textId="77777777" w:rsidR="00296288" w:rsidRPr="006D4265" w:rsidRDefault="00296288" w:rsidP="00296288">
      <w:pPr>
        <w:spacing w:line="360" w:lineRule="auto"/>
        <w:jc w:val="both"/>
        <w:rPr>
          <w:rFonts w:asciiTheme="majorBidi" w:hAnsiTheme="majorBidi" w:cstheme="majorBidi"/>
          <w:b/>
          <w:bCs/>
        </w:rPr>
      </w:pPr>
      <w:r w:rsidRPr="006D4265">
        <w:rPr>
          <w:rFonts w:eastAsia="Times New Roman"/>
          <w:b/>
          <w:bCs/>
          <w:lang w:bidi="ar-AE"/>
        </w:rPr>
        <w:t>La phrase « </w:t>
      </w:r>
      <w:r>
        <w:rPr>
          <w:rFonts w:eastAsia="Times New Roman" w:hint="cs"/>
          <w:b/>
          <w:bCs/>
          <w:rtl/>
          <w:lang w:bidi="ar-AE"/>
        </w:rPr>
        <w:t>تضعُ كلُّ ذاتِ حَملٍ حَملَها</w:t>
      </w:r>
      <w:r w:rsidRPr="006D4265">
        <w:rPr>
          <w:rFonts w:eastAsia="Times New Roman"/>
          <w:b/>
          <w:bCs/>
          <w:lang w:bidi="ar-AE"/>
        </w:rPr>
        <w:t> » :</w:t>
      </w:r>
    </w:p>
    <w:p w14:paraId="3D8FE5C2" w14:textId="77777777" w:rsidR="00296288" w:rsidRPr="006D4265" w:rsidRDefault="00296288" w:rsidP="00296288">
      <w:pPr>
        <w:spacing w:line="360" w:lineRule="auto"/>
        <w:ind w:firstLine="708"/>
        <w:jc w:val="both"/>
        <w:rPr>
          <w:rFonts w:eastAsia="Times New Roman"/>
          <w:lang w:bidi="ar-EG"/>
        </w:rPr>
      </w:pPr>
      <w:r w:rsidRPr="006D4265">
        <w:rPr>
          <w:rFonts w:eastAsia="Times New Roman"/>
          <w:lang w:bidi="ar-EG"/>
        </w:rPr>
        <w:t>Examinons la phrase complexe « </w:t>
      </w:r>
      <w:r w:rsidRPr="006D4265">
        <w:rPr>
          <w:rFonts w:ascii="Simplified Arabic" w:eastAsia="Times New Roman" w:hAnsi="Simplified Arabic" w:cs="Simplified Arabic"/>
          <w:rtl/>
        </w:rPr>
        <w:t>تَذْهَلُ كُلُّ مُرْضِعَةٍ عَمَّا أَرْضَعَتْ وتَضَعُ كُلُّ ذاتِ حَمْلٍ حَمْـــلَها</w:t>
      </w:r>
      <w:r w:rsidRPr="006D4265">
        <w:rPr>
          <w:rFonts w:eastAsia="Times New Roman"/>
          <w:lang w:bidi="ar-EG"/>
        </w:rPr>
        <w:t> » qui n’est apparemment qu’une reformulation avec exagération, ou une sorte de traduction avec adaptation, de la phrase citée dans la Bible : « Malheur aux femmes qui seront enceintes et à celles qui allaiteront en ces jours-là ! »</w:t>
      </w:r>
      <w:r w:rsidRPr="006D4265">
        <w:rPr>
          <w:rStyle w:val="Appelnotedebasdep"/>
          <w:rFonts w:eastAsia="Times New Roman"/>
          <w:lang w:bidi="ar-EG"/>
        </w:rPr>
        <w:footnoteReference w:id="317"/>
      </w:r>
      <w:r w:rsidRPr="006D4265">
        <w:rPr>
          <w:rFonts w:eastAsia="Times New Roman"/>
          <w:lang w:bidi="ar-EG"/>
        </w:rPr>
        <w:t xml:space="preserve">. </w:t>
      </w:r>
      <w:r w:rsidRPr="006D4265">
        <w:rPr>
          <w:rFonts w:eastAsia="Times New Roman"/>
          <w:lang w:bidi="ar-AE"/>
        </w:rPr>
        <w:t>La phrase vague « </w:t>
      </w:r>
      <w:r w:rsidRPr="006D4265">
        <w:rPr>
          <w:rFonts w:eastAsia="Times New Roman"/>
          <w:i/>
          <w:iCs/>
          <w:lang w:bidi="ar-AE"/>
        </w:rPr>
        <w:t>taḍaʿu kullu dhāti ḥamlin ḥamla</w:t>
      </w:r>
      <w:r>
        <w:rPr>
          <w:rFonts w:eastAsia="Times New Roman"/>
          <w:i/>
          <w:iCs/>
          <w:lang w:bidi="ar-AE"/>
        </w:rPr>
        <w:t>-</w:t>
      </w:r>
      <w:r w:rsidRPr="006D4265">
        <w:rPr>
          <w:rFonts w:eastAsia="Times New Roman"/>
          <w:i/>
          <w:iCs/>
          <w:lang w:bidi="ar-AE"/>
        </w:rPr>
        <w:t>hā</w:t>
      </w:r>
      <w:r w:rsidRPr="006D4265">
        <w:rPr>
          <w:rFonts w:eastAsia="Times New Roman"/>
          <w:lang w:bidi="ar-AE"/>
        </w:rPr>
        <w:t> » [</w:t>
      </w:r>
      <w:r w:rsidRPr="006D4265">
        <w:rPr>
          <w:rFonts w:eastAsia="Times New Roman"/>
          <w:i/>
          <w:iCs/>
          <w:lang w:bidi="ar-AE"/>
        </w:rPr>
        <w:t>litt.</w:t>
      </w:r>
      <w:r w:rsidRPr="006D4265">
        <w:rPr>
          <w:rFonts w:eastAsia="Times New Roman"/>
          <w:lang w:bidi="ar-AE"/>
        </w:rPr>
        <w:t xml:space="preserve"> toute porteuse d’une charge déposera sa charge] peut, selon les exégètes, signifier que :</w:t>
      </w:r>
    </w:p>
    <w:p w14:paraId="546E08C9" w14:textId="77777777" w:rsidR="00296288" w:rsidRPr="006D4265" w:rsidRDefault="00296288" w:rsidP="007640DC">
      <w:pPr>
        <w:pStyle w:val="Paragraphedeliste"/>
        <w:numPr>
          <w:ilvl w:val="0"/>
          <w:numId w:val="86"/>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toute femelle avortera ;</w:t>
      </w:r>
    </w:p>
    <w:p w14:paraId="1C53E189" w14:textId="77777777" w:rsidR="00296288" w:rsidRPr="006D4265" w:rsidRDefault="00296288" w:rsidP="007640DC">
      <w:pPr>
        <w:pStyle w:val="Paragraphedeliste"/>
        <w:numPr>
          <w:ilvl w:val="0"/>
          <w:numId w:val="86"/>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AE"/>
        </w:rPr>
        <w:t>toute âme oubliera ses désirs et ses desseins (Amīn Shaykhū) ;</w:t>
      </w:r>
    </w:p>
    <w:p w14:paraId="5900086E" w14:textId="77777777" w:rsidR="00296288" w:rsidRPr="006D4265" w:rsidRDefault="00296288" w:rsidP="007640DC">
      <w:pPr>
        <w:pStyle w:val="Paragraphedeliste"/>
        <w:numPr>
          <w:ilvl w:val="0"/>
          <w:numId w:val="86"/>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AE"/>
        </w:rPr>
        <w:t>toute charge dans un ventre ou dans un arbre tombera ;</w:t>
      </w:r>
    </w:p>
    <w:p w14:paraId="71503E9F" w14:textId="77777777" w:rsidR="00296288" w:rsidRPr="006D4265" w:rsidRDefault="00296288" w:rsidP="007640DC">
      <w:pPr>
        <w:pStyle w:val="Paragraphedeliste"/>
        <w:numPr>
          <w:ilvl w:val="0"/>
          <w:numId w:val="86"/>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AE"/>
        </w:rPr>
        <w:t xml:space="preserve">cette phrase met en évidence le rapport entre le tremblement de terre et l’accouchement prématuré (il s’agit donc d’un </w:t>
      </w:r>
      <w:r w:rsidRPr="006D4265">
        <w:rPr>
          <w:rFonts w:ascii="Times New Roman" w:hAnsi="Times New Roman" w:cs="Times New Roman"/>
          <w:i/>
          <w:iCs/>
          <w:sz w:val="24"/>
          <w:szCs w:val="24"/>
          <w:lang w:eastAsia="fr-FR" w:bidi="ar-AE"/>
        </w:rPr>
        <w:t>iʿjāz ʿilmī</w:t>
      </w:r>
      <w:r w:rsidRPr="006D4265">
        <w:rPr>
          <w:rFonts w:ascii="Times New Roman" w:hAnsi="Times New Roman" w:cs="Times New Roman"/>
          <w:sz w:val="24"/>
          <w:szCs w:val="24"/>
          <w:lang w:eastAsia="fr-FR" w:bidi="ar-AE"/>
        </w:rPr>
        <w:t xml:space="preserve"> [inimitabilité scientifique]) ;</w:t>
      </w:r>
    </w:p>
    <w:p w14:paraId="2E7F51B9" w14:textId="77777777" w:rsidR="00296288" w:rsidRPr="006D4265" w:rsidRDefault="00296288" w:rsidP="007640DC">
      <w:pPr>
        <w:pStyle w:val="Paragraphedeliste"/>
        <w:numPr>
          <w:ilvl w:val="0"/>
          <w:numId w:val="86"/>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AE"/>
        </w:rPr>
        <w:t>toutes les forces (telles : l’imagination, l’illusion, la mémoire et l’intellect) qui sauvegardent ses perceptions abandonneront les qualités (vertus et vices) et les images qu’elles maintiennen</w:t>
      </w:r>
      <w:r>
        <w:rPr>
          <w:rFonts w:ascii="Times New Roman" w:hAnsi="Times New Roman" w:cs="Times New Roman"/>
          <w:sz w:val="24"/>
          <w:szCs w:val="24"/>
          <w:lang w:eastAsia="fr-FR" w:bidi="ar-AE"/>
        </w:rPr>
        <w:t>t en les manifest</w:t>
      </w:r>
      <w:r w:rsidRPr="006D4265">
        <w:rPr>
          <w:rFonts w:ascii="Times New Roman" w:hAnsi="Times New Roman" w:cs="Times New Roman"/>
          <w:sz w:val="24"/>
          <w:szCs w:val="24"/>
          <w:lang w:eastAsia="fr-FR" w:bidi="ar-AE"/>
        </w:rPr>
        <w:t>ant (Ibn ʿArabī).</w:t>
      </w:r>
    </w:p>
    <w:p w14:paraId="656EF8B3" w14:textId="77777777" w:rsidR="00296288" w:rsidRPr="006D4265" w:rsidRDefault="00296288" w:rsidP="00296288">
      <w:pPr>
        <w:spacing w:line="360" w:lineRule="auto"/>
        <w:jc w:val="both"/>
        <w:rPr>
          <w:rFonts w:asciiTheme="majorBidi" w:eastAsia="Times New Roman" w:hAnsiTheme="majorBidi" w:cstheme="majorBidi"/>
          <w:lang w:bidi="ar-AE"/>
        </w:rPr>
      </w:pPr>
    </w:p>
    <w:p w14:paraId="6D47EAB4" w14:textId="77777777" w:rsidR="00296288" w:rsidRPr="006D4265" w:rsidRDefault="00296288" w:rsidP="00296288">
      <w:pPr>
        <w:spacing w:line="360" w:lineRule="auto"/>
        <w:ind w:firstLine="360"/>
        <w:jc w:val="both"/>
        <w:rPr>
          <w:rFonts w:asciiTheme="majorBidi" w:eastAsia="Times New Roman" w:hAnsiTheme="majorBidi" w:cstheme="majorBidi"/>
        </w:rPr>
      </w:pPr>
      <w:r w:rsidRPr="006D4265">
        <w:rPr>
          <w:rFonts w:asciiTheme="majorBidi" w:eastAsia="Times New Roman" w:hAnsiTheme="majorBidi" w:cstheme="majorBidi"/>
          <w:lang w:bidi="ar-AE"/>
        </w:rPr>
        <w:t xml:space="preserve">Mais c’est la première signification qui l’emporte. L’exégèse la plus répandue a exclu du champ sémantique de </w:t>
      </w:r>
      <w:r w:rsidRPr="006D4265">
        <w:rPr>
          <w:rFonts w:asciiTheme="majorBidi" w:eastAsia="Times New Roman" w:hAnsiTheme="majorBidi" w:cstheme="majorBidi"/>
          <w:i/>
          <w:iCs/>
          <w:lang w:bidi="ar-AE"/>
        </w:rPr>
        <w:t xml:space="preserve">dhāt </w:t>
      </w:r>
      <w:r w:rsidRPr="006D4265">
        <w:rPr>
          <w:rFonts w:asciiTheme="majorBidi" w:eastAsia="Times New Roman" w:hAnsiTheme="majorBidi" w:cstheme="majorBidi"/>
          <w:i/>
          <w:iCs/>
        </w:rPr>
        <w:t>ḥiml</w:t>
      </w:r>
      <w:r w:rsidRPr="006D4265">
        <w:rPr>
          <w:rFonts w:asciiTheme="majorBidi" w:eastAsia="Times New Roman" w:hAnsiTheme="majorBidi" w:cstheme="majorBidi"/>
        </w:rPr>
        <w:t xml:space="preserve"> </w:t>
      </w:r>
      <w:r w:rsidRPr="006D4265">
        <w:rPr>
          <w:rFonts w:asciiTheme="majorBidi" w:hAnsiTheme="majorBidi" w:cstheme="majorBidi"/>
        </w:rPr>
        <w:t>[</w:t>
      </w:r>
      <w:r w:rsidRPr="006D4265">
        <w:rPr>
          <w:rFonts w:asciiTheme="majorBidi" w:eastAsia="Times New Roman" w:hAnsiTheme="majorBidi" w:cstheme="majorBidi"/>
        </w:rPr>
        <w:t>porteuse de charge</w:t>
      </w:r>
      <w:r w:rsidRPr="006D4265">
        <w:rPr>
          <w:rFonts w:asciiTheme="majorBidi" w:hAnsiTheme="majorBidi" w:cstheme="majorBidi"/>
        </w:rPr>
        <w:t>] l’arbre (</w:t>
      </w:r>
      <w:r w:rsidRPr="006D4265">
        <w:rPr>
          <w:rFonts w:asciiTheme="majorBidi" w:hAnsiTheme="majorBidi" w:cstheme="majorBidi"/>
          <w:i/>
          <w:iCs/>
        </w:rPr>
        <w:t>shajara</w:t>
      </w:r>
      <w:r w:rsidRPr="006D4265">
        <w:rPr>
          <w:rFonts w:asciiTheme="majorBidi" w:hAnsiTheme="majorBidi" w:cstheme="majorBidi"/>
        </w:rPr>
        <w:t>, fém.), l’âme et les forces psychologique</w:t>
      </w:r>
      <w:r>
        <w:rPr>
          <w:rFonts w:asciiTheme="majorBidi" w:hAnsiTheme="majorBidi" w:cstheme="majorBidi"/>
        </w:rPr>
        <w:t>s</w:t>
      </w:r>
      <w:r w:rsidRPr="006D4265">
        <w:rPr>
          <w:rFonts w:asciiTheme="majorBidi" w:hAnsiTheme="majorBidi" w:cstheme="majorBidi"/>
        </w:rPr>
        <w:t>.</w:t>
      </w:r>
    </w:p>
    <w:p w14:paraId="7B03E902" w14:textId="77777777" w:rsidR="00296288" w:rsidRPr="006D4265" w:rsidRDefault="00296288" w:rsidP="00296288">
      <w:pPr>
        <w:spacing w:line="360" w:lineRule="auto"/>
        <w:jc w:val="both"/>
        <w:rPr>
          <w:rFonts w:asciiTheme="majorBidi" w:eastAsia="Times New Roman" w:hAnsiTheme="majorBidi" w:cstheme="majorBidi"/>
          <w:lang w:bidi="ar-AE"/>
        </w:rPr>
      </w:pPr>
    </w:p>
    <w:p w14:paraId="600EE809" w14:textId="77777777" w:rsidR="00296288" w:rsidRPr="006D4265" w:rsidRDefault="00296288" w:rsidP="00296288">
      <w:pPr>
        <w:spacing w:line="360" w:lineRule="auto"/>
        <w:jc w:val="both"/>
        <w:rPr>
          <w:rFonts w:eastAsia="Times New Roman"/>
          <w:b/>
          <w:bCs/>
          <w:lang w:bidi="ar-AE"/>
        </w:rPr>
      </w:pPr>
      <w:r w:rsidRPr="006D4265">
        <w:rPr>
          <w:rFonts w:eastAsia="Times New Roman"/>
          <w:b/>
          <w:bCs/>
          <w:lang w:bidi="ar-AE"/>
        </w:rPr>
        <w:lastRenderedPageBreak/>
        <w:t>La phrase « </w:t>
      </w:r>
      <w:r>
        <w:rPr>
          <w:rFonts w:eastAsia="Times New Roman"/>
          <w:b/>
          <w:bCs/>
          <w:i/>
          <w:iCs/>
          <w:lang w:bidi="ar-AE"/>
        </w:rPr>
        <w:t>wa-</w:t>
      </w:r>
      <w:r w:rsidRPr="006D4265">
        <w:rPr>
          <w:rFonts w:eastAsia="Times New Roman"/>
          <w:b/>
          <w:bCs/>
          <w:i/>
          <w:iCs/>
          <w:lang w:bidi="ar-AE"/>
        </w:rPr>
        <w:t>tara n-nās</w:t>
      </w:r>
      <w:r w:rsidRPr="006D4265">
        <w:rPr>
          <w:rFonts w:eastAsia="Times New Roman"/>
          <w:b/>
          <w:bCs/>
          <w:i/>
          <w:iCs/>
          <w:vertAlign w:val="superscript"/>
          <w:lang w:bidi="ar-AE"/>
        </w:rPr>
        <w:t>a</w:t>
      </w:r>
      <w:r w:rsidRPr="006D4265">
        <w:rPr>
          <w:rFonts w:eastAsia="Times New Roman"/>
          <w:b/>
          <w:bCs/>
          <w:i/>
          <w:iCs/>
          <w:lang w:bidi="ar-AE"/>
        </w:rPr>
        <w:t xml:space="preserve"> sukārā</w:t>
      </w:r>
      <w:r w:rsidRPr="006D4265">
        <w:rPr>
          <w:rFonts w:eastAsia="Times New Roman"/>
          <w:b/>
          <w:bCs/>
          <w:lang w:bidi="ar-AE"/>
        </w:rPr>
        <w:t xml:space="preserve"> [autre lecture : </w:t>
      </w:r>
      <w:r w:rsidRPr="006D4265">
        <w:rPr>
          <w:rFonts w:eastAsia="Times New Roman"/>
          <w:b/>
          <w:bCs/>
          <w:i/>
          <w:iCs/>
          <w:lang w:bidi="ar-AE"/>
        </w:rPr>
        <w:t>sakrā</w:t>
      </w:r>
      <w:r w:rsidRPr="006D4265">
        <w:rPr>
          <w:rFonts w:eastAsia="Times New Roman"/>
          <w:b/>
          <w:bCs/>
          <w:lang w:bidi="ar-AE"/>
        </w:rPr>
        <w:t xml:space="preserve">] </w:t>
      </w:r>
      <w:r>
        <w:rPr>
          <w:rFonts w:eastAsia="Times New Roman"/>
          <w:b/>
          <w:bCs/>
          <w:i/>
          <w:iCs/>
          <w:lang w:bidi="ar-AE"/>
        </w:rPr>
        <w:t>wa-</w:t>
      </w:r>
      <w:r w:rsidRPr="006D4265">
        <w:rPr>
          <w:rFonts w:eastAsia="Times New Roman"/>
          <w:b/>
          <w:bCs/>
          <w:i/>
          <w:iCs/>
          <w:lang w:bidi="ar-AE"/>
        </w:rPr>
        <w:t>mā hum bi-sukārā</w:t>
      </w:r>
      <w:r w:rsidRPr="006D4265">
        <w:rPr>
          <w:rFonts w:eastAsia="Times New Roman"/>
          <w:b/>
          <w:bCs/>
          <w:lang w:bidi="ar-AE"/>
        </w:rPr>
        <w:t> » :</w:t>
      </w:r>
    </w:p>
    <w:p w14:paraId="36E89A48" w14:textId="77777777" w:rsidR="00296288" w:rsidRPr="006D4265" w:rsidRDefault="00296288" w:rsidP="00296288">
      <w:pPr>
        <w:spacing w:line="360" w:lineRule="auto"/>
        <w:ind w:firstLine="360"/>
        <w:jc w:val="both"/>
        <w:rPr>
          <w:rFonts w:eastAsia="Times New Roman"/>
          <w:lang w:bidi="ar-AE"/>
        </w:rPr>
      </w:pPr>
      <w:r w:rsidRPr="006D4265">
        <w:rPr>
          <w:rFonts w:eastAsia="Times New Roman"/>
          <w:lang w:bidi="ar-AE"/>
        </w:rPr>
        <w:t>Pour exprimer le degré du châtiment et de la peur pendant le tremblement de la terre, le Coran utilise la phrase suivante : « </w:t>
      </w:r>
      <w:r>
        <w:rPr>
          <w:rFonts w:eastAsia="Times New Roman"/>
          <w:i/>
          <w:iCs/>
          <w:lang w:bidi="ar-AE"/>
        </w:rPr>
        <w:t>wa-</w:t>
      </w:r>
      <w:r w:rsidRPr="006D4265">
        <w:rPr>
          <w:rFonts w:eastAsia="Times New Roman"/>
          <w:i/>
          <w:iCs/>
          <w:lang w:bidi="ar-AE"/>
        </w:rPr>
        <w:t>tara n-nāsa sukārā</w:t>
      </w:r>
      <w:r w:rsidRPr="006D4265">
        <w:rPr>
          <w:rFonts w:eastAsia="Times New Roman"/>
          <w:lang w:bidi="ar-AE"/>
        </w:rPr>
        <w:t xml:space="preserve"> [autre lecture : </w:t>
      </w:r>
      <w:r w:rsidRPr="006D4265">
        <w:rPr>
          <w:rFonts w:eastAsia="Times New Roman"/>
          <w:i/>
          <w:iCs/>
          <w:lang w:bidi="ar-AE"/>
        </w:rPr>
        <w:t>sakrā</w:t>
      </w:r>
      <w:r w:rsidRPr="006D4265">
        <w:rPr>
          <w:rFonts w:eastAsia="Times New Roman"/>
          <w:lang w:bidi="ar-AE"/>
        </w:rPr>
        <w:t xml:space="preserve">] </w:t>
      </w:r>
      <w:r>
        <w:rPr>
          <w:rFonts w:eastAsia="Times New Roman"/>
          <w:i/>
          <w:iCs/>
          <w:lang w:bidi="ar-AE"/>
        </w:rPr>
        <w:t>wa-</w:t>
      </w:r>
      <w:r w:rsidRPr="006D4265">
        <w:rPr>
          <w:rFonts w:eastAsia="Times New Roman"/>
          <w:i/>
          <w:iCs/>
          <w:lang w:bidi="ar-AE"/>
        </w:rPr>
        <w:t>mā hum bi-sukārā</w:t>
      </w:r>
      <w:r w:rsidRPr="006D4265">
        <w:rPr>
          <w:rFonts w:eastAsia="Times New Roman"/>
          <w:lang w:bidi="ar-AE"/>
        </w:rPr>
        <w:t> » [</w:t>
      </w:r>
      <w:r w:rsidRPr="006D4265">
        <w:rPr>
          <w:rFonts w:eastAsia="Times New Roman"/>
          <w:i/>
          <w:iCs/>
          <w:lang w:bidi="ar-AE"/>
        </w:rPr>
        <w:t>litt. </w:t>
      </w:r>
      <w:r w:rsidRPr="006D4265">
        <w:rPr>
          <w:rFonts w:eastAsia="Times New Roman"/>
          <w:lang w:bidi="ar-AE"/>
        </w:rPr>
        <w:t>: Et tu vois les gens ivres alors qu’ils ne sont pas ivres], phrase interprétée ainsi par les exégètes :</w:t>
      </w:r>
    </w:p>
    <w:p w14:paraId="14737D0C" w14:textId="77777777" w:rsidR="00296288" w:rsidRPr="006D4265" w:rsidRDefault="00296288" w:rsidP="007640DC">
      <w:pPr>
        <w:pStyle w:val="Paragraphedeliste"/>
        <w:numPr>
          <w:ilvl w:val="0"/>
          <w:numId w:val="8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les gens perdront la raison ;</w:t>
      </w:r>
    </w:p>
    <w:p w14:paraId="2D90F460" w14:textId="77777777" w:rsidR="00296288" w:rsidRPr="006D4265" w:rsidRDefault="00296288" w:rsidP="007640DC">
      <w:pPr>
        <w:pStyle w:val="Paragraphedeliste"/>
        <w:numPr>
          <w:ilvl w:val="0"/>
          <w:numId w:val="8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les gens éprouveront une agitation et un trouble de l’âme et de l’esprit ;</w:t>
      </w:r>
    </w:p>
    <w:p w14:paraId="2CFBD780" w14:textId="77777777" w:rsidR="00296288" w:rsidRPr="006D4265" w:rsidRDefault="00296288" w:rsidP="007640DC">
      <w:pPr>
        <w:pStyle w:val="Paragraphedeliste"/>
        <w:numPr>
          <w:ilvl w:val="0"/>
          <w:numId w:val="8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les gens seront évanouis à cause de l’agonie (Ibn ʿArabī) ;</w:t>
      </w:r>
    </w:p>
    <w:p w14:paraId="54870E0F" w14:textId="77777777" w:rsidR="00296288" w:rsidRPr="006D4265" w:rsidRDefault="00296288" w:rsidP="007640DC">
      <w:pPr>
        <w:pStyle w:val="Paragraphedeliste"/>
        <w:numPr>
          <w:ilvl w:val="0"/>
          <w:numId w:val="8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désemparés, les gens tituberont, vacilleront sur leurs jambes comme des ivres (Ash-Shaʿrāwī).</w:t>
      </w:r>
    </w:p>
    <w:p w14:paraId="5C333701" w14:textId="77777777" w:rsidR="00296288" w:rsidRPr="006D4265" w:rsidRDefault="00296288" w:rsidP="007640DC">
      <w:pPr>
        <w:pStyle w:val="Paragraphedeliste"/>
        <w:numPr>
          <w:ilvl w:val="0"/>
          <w:numId w:val="8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rPr>
        <w:t>À cause de la terreur intense, les gens sembleront comme ivres ;</w:t>
      </w:r>
    </w:p>
    <w:p w14:paraId="33D20E3C" w14:textId="77777777" w:rsidR="00296288" w:rsidRPr="006D4265" w:rsidRDefault="00296288" w:rsidP="007640DC">
      <w:pPr>
        <w:pStyle w:val="Paragraphedeliste"/>
        <w:numPr>
          <w:ilvl w:val="0"/>
          <w:numId w:val="8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rPr>
        <w:t>À cause de l’intensité du tourment, les gens oublieront tout.</w:t>
      </w:r>
    </w:p>
    <w:p w14:paraId="1C78EAB7" w14:textId="77777777" w:rsidR="00296288" w:rsidRPr="006D4265" w:rsidRDefault="00296288" w:rsidP="00296288">
      <w:pPr>
        <w:spacing w:line="360" w:lineRule="auto"/>
        <w:ind w:firstLine="708"/>
        <w:jc w:val="both"/>
        <w:rPr>
          <w:rFonts w:asciiTheme="majorBidi" w:eastAsia="Times New Roman" w:hAnsiTheme="majorBidi" w:cstheme="majorBidi"/>
        </w:rPr>
      </w:pPr>
    </w:p>
    <w:p w14:paraId="65D13CEE" w14:textId="77777777" w:rsidR="00296288" w:rsidRPr="006D4265" w:rsidRDefault="00296288" w:rsidP="00296288">
      <w:pPr>
        <w:spacing w:line="360" w:lineRule="auto"/>
        <w:ind w:firstLine="360"/>
        <w:jc w:val="both"/>
        <w:rPr>
          <w:rFonts w:asciiTheme="majorBidi" w:eastAsia="Times New Roman" w:hAnsiTheme="majorBidi" w:cstheme="majorBidi"/>
          <w:lang w:bidi="ar-AE"/>
        </w:rPr>
      </w:pPr>
      <w:r w:rsidRPr="006D4265">
        <w:rPr>
          <w:rFonts w:asciiTheme="majorBidi" w:eastAsia="Times New Roman" w:hAnsiTheme="majorBidi" w:cstheme="majorBidi"/>
          <w:lang w:bidi="ar-AE"/>
        </w:rPr>
        <w:t xml:space="preserve">Selon les exégèses, ce verset décrit, au travers de la figure rhétorique de « l’ivresse des êtres humains », l’intensité et la sévérité des tourments infligés par Dieu. Ils paraîtront comme ivres tant les supplices auxquels ils seront soumis seront intenses ! La rhétorique arabe, cependant, n’établit en général aucun lien entre </w:t>
      </w:r>
      <w:r w:rsidRPr="006D4265">
        <w:rPr>
          <w:rFonts w:asciiTheme="majorBidi" w:eastAsia="Times New Roman" w:hAnsiTheme="majorBidi" w:cstheme="majorBidi"/>
          <w:i/>
          <w:iCs/>
          <w:lang w:bidi="ar-AE"/>
        </w:rPr>
        <w:t>sukr</w:t>
      </w:r>
      <w:r w:rsidRPr="006D4265">
        <w:rPr>
          <w:rFonts w:asciiTheme="majorBidi" w:eastAsia="Times New Roman" w:hAnsiTheme="majorBidi" w:cstheme="majorBidi"/>
          <w:lang w:bidi="ar-AE"/>
        </w:rPr>
        <w:t xml:space="preserve"> [ivresse] et </w:t>
      </w:r>
      <w:r w:rsidRPr="006D4265">
        <w:rPr>
          <w:rFonts w:asciiTheme="majorBidi" w:eastAsia="Times New Roman" w:hAnsiTheme="majorBidi" w:cstheme="majorBidi"/>
          <w:i/>
          <w:iCs/>
          <w:lang w:bidi="ar-AE"/>
        </w:rPr>
        <w:t>ʿadhāb</w:t>
      </w:r>
      <w:r w:rsidRPr="006D4265">
        <w:rPr>
          <w:rFonts w:asciiTheme="majorBidi" w:eastAsia="Times New Roman" w:hAnsiTheme="majorBidi" w:cstheme="majorBidi"/>
          <w:lang w:bidi="ar-AE"/>
        </w:rPr>
        <w:t xml:space="preserve"> [tourment]. Au contraire, c’est l’euphorie, la joie et l’amour qui sont associés à l’ivresse. Ivre d’amour, ivre de joie, de bonheur. Ainsi, l’ivresse est plus liée au plaisir qu’à la souffrance. Nous n’avons pas trouvé d’exemples dans lesquels les Arabes utilisent le substantif </w:t>
      </w:r>
      <w:r w:rsidRPr="006D4265">
        <w:rPr>
          <w:rFonts w:asciiTheme="majorBidi" w:eastAsia="Times New Roman" w:hAnsiTheme="majorBidi" w:cstheme="majorBidi"/>
          <w:i/>
          <w:iCs/>
          <w:lang w:bidi="ar-AE"/>
        </w:rPr>
        <w:t>sukr</w:t>
      </w:r>
      <w:r w:rsidRPr="006D4265">
        <w:rPr>
          <w:rFonts w:asciiTheme="majorBidi" w:eastAsia="Times New Roman" w:hAnsiTheme="majorBidi" w:cstheme="majorBidi"/>
          <w:lang w:bidi="ar-AE"/>
        </w:rPr>
        <w:t xml:space="preserve"> ou le verbe </w:t>
      </w:r>
      <w:r w:rsidRPr="006D4265">
        <w:rPr>
          <w:rFonts w:asciiTheme="majorBidi" w:eastAsia="Times New Roman" w:hAnsiTheme="majorBidi" w:cstheme="majorBidi"/>
          <w:i/>
          <w:iCs/>
          <w:lang w:bidi="ar-AE"/>
        </w:rPr>
        <w:t>sakira</w:t>
      </w:r>
      <w:r w:rsidRPr="006D4265">
        <w:rPr>
          <w:rFonts w:asciiTheme="majorBidi" w:eastAsia="Times New Roman" w:hAnsiTheme="majorBidi" w:cstheme="majorBidi"/>
          <w:lang w:bidi="ar-AE"/>
        </w:rPr>
        <w:t>/</w:t>
      </w:r>
      <w:r w:rsidRPr="006D4265">
        <w:rPr>
          <w:rFonts w:asciiTheme="majorBidi" w:eastAsia="Times New Roman" w:hAnsiTheme="majorBidi" w:cstheme="majorBidi"/>
          <w:i/>
          <w:iCs/>
          <w:lang w:bidi="ar-AE"/>
        </w:rPr>
        <w:t>yaskaru</w:t>
      </w:r>
      <w:r w:rsidRPr="006D4265">
        <w:rPr>
          <w:rFonts w:asciiTheme="majorBidi" w:eastAsia="Times New Roman" w:hAnsiTheme="majorBidi" w:cstheme="majorBidi"/>
          <w:lang w:bidi="ar-AE"/>
        </w:rPr>
        <w:t xml:space="preserve"> [s’enivrer] pour exprimer un état de douleur ou de peur.</w:t>
      </w:r>
      <w:r w:rsidRPr="006D4265">
        <w:rPr>
          <w:rFonts w:asciiTheme="majorBidi" w:eastAsia="Calibri" w:hAnsiTheme="majorBidi" w:cstheme="majorBidi"/>
          <w:vertAlign w:val="superscript"/>
          <w:lang w:bidi="ar-AE"/>
        </w:rPr>
        <w:footnoteReference w:id="318"/>
      </w:r>
      <w:r w:rsidRPr="006D4265">
        <w:rPr>
          <w:rFonts w:asciiTheme="majorBidi" w:eastAsia="Times New Roman" w:hAnsiTheme="majorBidi" w:cstheme="majorBidi"/>
          <w:lang w:bidi="ar-AE"/>
        </w:rPr>
        <w:t xml:space="preserve"> Par contre, nous avons trouvé une idée proche dans un texte araméen des manuscrits de la mer Morte (manuscrits de Qumran rédigés entre le III</w:t>
      </w:r>
      <w:r w:rsidRPr="006D4265">
        <w:rPr>
          <w:rFonts w:asciiTheme="majorBidi" w:eastAsia="Times New Roman" w:hAnsiTheme="majorBidi" w:cstheme="majorBidi"/>
          <w:vertAlign w:val="superscript"/>
          <w:lang w:bidi="ar-AE"/>
        </w:rPr>
        <w:t>e</w:t>
      </w:r>
      <w:r w:rsidRPr="006D4265">
        <w:rPr>
          <w:rFonts w:asciiTheme="majorBidi" w:eastAsia="Times New Roman" w:hAnsiTheme="majorBidi" w:cstheme="majorBidi"/>
          <w:lang w:bidi="ar-AE"/>
        </w:rPr>
        <w:t xml:space="preserve"> siècle av. J.-C. et le I</w:t>
      </w:r>
      <w:r w:rsidRPr="006D4265">
        <w:rPr>
          <w:rFonts w:asciiTheme="majorBidi" w:eastAsia="Times New Roman" w:hAnsiTheme="majorBidi" w:cstheme="majorBidi"/>
          <w:vertAlign w:val="superscript"/>
          <w:lang w:bidi="ar-AE"/>
        </w:rPr>
        <w:t>er</w:t>
      </w:r>
      <w:r w:rsidRPr="006D4265">
        <w:rPr>
          <w:rFonts w:asciiTheme="majorBidi" w:eastAsia="Times New Roman" w:hAnsiTheme="majorBidi" w:cstheme="majorBidi"/>
          <w:lang w:bidi="ar-AE"/>
        </w:rPr>
        <w:t xml:space="preserve"> siècle apr. J.-C.) </w:t>
      </w:r>
      <w:r>
        <w:rPr>
          <w:rFonts w:asciiTheme="majorBidi" w:eastAsia="Times New Roman" w:hAnsiTheme="majorBidi" w:cstheme="majorBidi"/>
          <w:lang w:bidi="ar-AE"/>
        </w:rPr>
        <w:t>qui parle du tremblement de la t</w:t>
      </w:r>
      <w:r w:rsidRPr="006D4265">
        <w:rPr>
          <w:rFonts w:asciiTheme="majorBidi" w:eastAsia="Times New Roman" w:hAnsiTheme="majorBidi" w:cstheme="majorBidi"/>
          <w:lang w:bidi="ar-AE"/>
        </w:rPr>
        <w:t xml:space="preserve">erre en utilisant cette </w:t>
      </w:r>
      <w:r w:rsidRPr="006D4265">
        <w:rPr>
          <w:rFonts w:asciiTheme="majorBidi" w:eastAsia="Times New Roman" w:hAnsiTheme="majorBidi" w:cstheme="majorBidi"/>
          <w:lang w:bidi="ar-AE"/>
        </w:rPr>
        <w:lastRenderedPageBreak/>
        <w:t xml:space="preserve">image : </w:t>
      </w:r>
      <w:r w:rsidRPr="006D4265">
        <w:rPr>
          <w:rFonts w:asciiTheme="majorBidi" w:eastAsia="Times New Roman" w:hAnsiTheme="majorBidi" w:cstheme="majorBidi"/>
          <w:rtl/>
        </w:rPr>
        <w:t>"وترقص الأرضُ متأرجحةً رقصةَ سَكران"</w:t>
      </w:r>
      <w:r w:rsidRPr="006D4265">
        <w:rPr>
          <w:rFonts w:asciiTheme="majorBidi" w:eastAsia="Times New Roman" w:hAnsiTheme="majorBidi" w:cstheme="majorBidi"/>
          <w:lang w:bidi="ar-AE"/>
        </w:rPr>
        <w:t xml:space="preserve"> [« La Terre danse en se </w:t>
      </w:r>
      <w:r>
        <w:rPr>
          <w:rFonts w:asciiTheme="majorBidi" w:eastAsia="Times New Roman" w:hAnsiTheme="majorBidi" w:cstheme="majorBidi"/>
          <w:lang w:bidi="ar-AE"/>
        </w:rPr>
        <w:t>balançant comme un ivre qui dans</w:t>
      </w:r>
      <w:r w:rsidRPr="006D4265">
        <w:rPr>
          <w:rFonts w:asciiTheme="majorBidi" w:eastAsia="Times New Roman" w:hAnsiTheme="majorBidi" w:cstheme="majorBidi"/>
          <w:lang w:bidi="ar-AE"/>
        </w:rPr>
        <w:t>e »].</w:t>
      </w:r>
      <w:r w:rsidRPr="006D4265">
        <w:rPr>
          <w:rFonts w:asciiTheme="majorBidi" w:eastAsia="Calibri" w:hAnsiTheme="majorBidi" w:cstheme="majorBidi"/>
          <w:vertAlign w:val="superscript"/>
          <w:lang w:bidi="ar-AE"/>
        </w:rPr>
        <w:footnoteReference w:id="319"/>
      </w:r>
    </w:p>
    <w:p w14:paraId="271B571F" w14:textId="77777777" w:rsidR="00296288" w:rsidRPr="006D4265" w:rsidRDefault="00296288" w:rsidP="00296288">
      <w:pPr>
        <w:spacing w:line="360" w:lineRule="auto"/>
        <w:jc w:val="both"/>
        <w:rPr>
          <w:rFonts w:asciiTheme="majorBidi" w:eastAsia="Times New Roman" w:hAnsiTheme="majorBidi" w:cstheme="majorBidi"/>
          <w:lang w:bidi="ar-KW"/>
        </w:rPr>
      </w:pPr>
    </w:p>
    <w:p w14:paraId="5EE9FFE0" w14:textId="77777777" w:rsidR="00296288" w:rsidRPr="006D4265" w:rsidRDefault="00296288" w:rsidP="00296288">
      <w:pPr>
        <w:spacing w:line="360" w:lineRule="auto"/>
        <w:ind w:firstLine="708"/>
        <w:jc w:val="both"/>
        <w:rPr>
          <w:rFonts w:asciiTheme="majorBidi" w:eastAsia="Times New Roman" w:hAnsiTheme="majorBidi" w:cstheme="majorBidi"/>
          <w:lang w:bidi="ar-AE"/>
        </w:rPr>
      </w:pPr>
      <w:r w:rsidRPr="006D4265">
        <w:rPr>
          <w:rFonts w:asciiTheme="majorBidi" w:eastAsia="Times New Roman" w:hAnsiTheme="majorBidi" w:cstheme="majorBidi"/>
          <w:lang w:bidi="ar-AE"/>
        </w:rPr>
        <w:t>Le mysticisme musulman lie l’ivresse et l’amour divin</w:t>
      </w:r>
      <w:r w:rsidRPr="006D4265">
        <w:rPr>
          <w:rFonts w:asciiTheme="majorBidi" w:eastAsia="Calibri" w:hAnsiTheme="majorBidi" w:cstheme="majorBidi"/>
          <w:vertAlign w:val="superscript"/>
          <w:lang w:bidi="ar-AE"/>
        </w:rPr>
        <w:footnoteReference w:id="320"/>
      </w:r>
      <w:r w:rsidRPr="006D4265">
        <w:rPr>
          <w:rFonts w:asciiTheme="majorBidi" w:eastAsia="Times New Roman" w:hAnsiTheme="majorBidi" w:cstheme="majorBidi"/>
          <w:lang w:bidi="ar-AE"/>
        </w:rPr>
        <w:t xml:space="preserve">. En arabe, il y a seulement le mot </w:t>
      </w:r>
      <w:r w:rsidRPr="006D4265">
        <w:rPr>
          <w:rFonts w:asciiTheme="majorBidi" w:eastAsia="Times New Roman" w:hAnsiTheme="majorBidi" w:cstheme="majorBidi"/>
          <w:i/>
          <w:iCs/>
          <w:lang w:bidi="ar-AE"/>
        </w:rPr>
        <w:t>sakra</w:t>
      </w:r>
      <w:r w:rsidRPr="006D4265">
        <w:rPr>
          <w:rFonts w:asciiTheme="majorBidi" w:eastAsia="Times New Roman" w:hAnsiTheme="majorBidi" w:cstheme="majorBidi"/>
          <w:lang w:bidi="ar-AE"/>
        </w:rPr>
        <w:t xml:space="preserve"> (pl. : </w:t>
      </w:r>
      <w:r w:rsidRPr="006D4265">
        <w:rPr>
          <w:rFonts w:asciiTheme="majorBidi" w:eastAsia="Times New Roman" w:hAnsiTheme="majorBidi" w:cstheme="majorBidi"/>
          <w:i/>
          <w:iCs/>
          <w:lang w:bidi="ar-AE"/>
        </w:rPr>
        <w:t>sakarāt</w:t>
      </w:r>
      <w:r w:rsidRPr="006D4265">
        <w:rPr>
          <w:rFonts w:asciiTheme="majorBidi" w:eastAsia="Times New Roman" w:hAnsiTheme="majorBidi" w:cstheme="majorBidi"/>
          <w:lang w:bidi="ar-AE"/>
        </w:rPr>
        <w:t>) [agonie]</w:t>
      </w:r>
      <w:r>
        <w:rPr>
          <w:rFonts w:asciiTheme="majorBidi" w:eastAsia="Times New Roman" w:hAnsiTheme="majorBidi" w:cstheme="majorBidi"/>
          <w:lang w:bidi="ar-AE"/>
        </w:rPr>
        <w:t>,</w:t>
      </w:r>
      <w:r w:rsidRPr="006D4265">
        <w:rPr>
          <w:rFonts w:asciiTheme="majorBidi" w:eastAsia="Times New Roman" w:hAnsiTheme="majorBidi" w:cstheme="majorBidi"/>
          <w:lang w:bidi="ar-AE"/>
        </w:rPr>
        <w:t xml:space="preserve"> dérivé de la racine </w:t>
      </w:r>
      <w:r>
        <w:rPr>
          <w:rFonts w:asciiTheme="majorBidi" w:eastAsia="Times New Roman" w:hAnsiTheme="majorBidi" w:cstheme="majorBidi"/>
          <w:i/>
          <w:iCs/>
          <w:lang w:bidi="ar-AE"/>
        </w:rPr>
        <w:t>s</w:t>
      </w:r>
      <w:r w:rsidRPr="006D4265">
        <w:rPr>
          <w:rFonts w:asciiTheme="majorBidi" w:eastAsia="Times New Roman" w:hAnsiTheme="majorBidi" w:cstheme="majorBidi"/>
          <w:i/>
          <w:iCs/>
          <w:lang w:bidi="ar-AE"/>
        </w:rPr>
        <w:t>kr</w:t>
      </w:r>
      <w:r w:rsidRPr="006D4265">
        <w:rPr>
          <w:rFonts w:asciiTheme="majorBidi" w:eastAsia="Times New Roman" w:hAnsiTheme="majorBidi" w:cstheme="majorBidi"/>
          <w:lang w:bidi="ar-AE"/>
        </w:rPr>
        <w:t xml:space="preserve"> [ivresse] mais qui désigne l’état de l’évanouissement et du coma précédant la mort. Ce mot est plus lié à la mort individuelle qu’à la résurrection collective qui susciterait une extrême épouvante, terreur. Ainsi, en arabe, l’ivresse est le signe du plaisir, du bonheur, de l’amour, et non celui du tourment, de la terreur. Que dans le Coran l’intensité du tourment, de la terreur s’exprime par l’idée de l’ivresse pourrait indiquer :</w:t>
      </w:r>
    </w:p>
    <w:p w14:paraId="520A1661" w14:textId="77777777" w:rsidR="00296288" w:rsidRPr="006D4265" w:rsidRDefault="00296288" w:rsidP="007640DC">
      <w:pPr>
        <w:numPr>
          <w:ilvl w:val="0"/>
          <w:numId w:val="64"/>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que l’incipit de la sourate en question renvoie probablement à plusieurs contextes différents et que par la suite le texte coranique a été rassemblé et compilé à partir de plusieurs textes différents ;</w:t>
      </w:r>
    </w:p>
    <w:p w14:paraId="6809778E" w14:textId="77777777" w:rsidR="00296288" w:rsidRPr="006D4265" w:rsidRDefault="00296288" w:rsidP="007640DC">
      <w:pPr>
        <w:numPr>
          <w:ilvl w:val="0"/>
          <w:numId w:val="64"/>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 xml:space="preserve">que le texte a été éventuellement traduit en arabe depuis d’autres langues et que le mot </w:t>
      </w:r>
      <w:r w:rsidRPr="006D4265">
        <w:rPr>
          <w:rFonts w:asciiTheme="majorBidi" w:eastAsia="Times New Roman" w:hAnsiTheme="majorBidi" w:cstheme="majorBidi"/>
          <w:i/>
          <w:iCs/>
          <w:lang w:bidi="ar-AE"/>
        </w:rPr>
        <w:t>sukārā</w:t>
      </w:r>
      <w:r w:rsidRPr="006D4265">
        <w:rPr>
          <w:rFonts w:asciiTheme="majorBidi" w:eastAsia="Times New Roman" w:hAnsiTheme="majorBidi" w:cstheme="majorBidi"/>
          <w:lang w:bidi="ar-AE"/>
        </w:rPr>
        <w:t xml:space="preserve"> [ivres] utilisé pour désigner le résultat d’un degré extrême du tourment terrible pourrait donc être un néologisme ou un calque d’une langue source ; </w:t>
      </w:r>
    </w:p>
    <w:p w14:paraId="4E3C6724" w14:textId="77777777" w:rsidR="00296288" w:rsidRPr="006D4265" w:rsidRDefault="00296288" w:rsidP="007640DC">
      <w:pPr>
        <w:numPr>
          <w:ilvl w:val="0"/>
          <w:numId w:val="64"/>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 xml:space="preserve">que le mot </w:t>
      </w:r>
      <w:r w:rsidRPr="006D4265">
        <w:rPr>
          <w:rFonts w:asciiTheme="majorBidi" w:eastAsia="Times New Roman" w:hAnsiTheme="majorBidi" w:cstheme="majorBidi"/>
          <w:i/>
          <w:iCs/>
          <w:lang w:bidi="ar-AE"/>
        </w:rPr>
        <w:t>sukārā</w:t>
      </w:r>
      <w:r w:rsidRPr="006D4265">
        <w:rPr>
          <w:rFonts w:asciiTheme="majorBidi" w:eastAsia="Times New Roman" w:hAnsiTheme="majorBidi" w:cstheme="majorBidi"/>
          <w:lang w:bidi="ar-AE"/>
        </w:rPr>
        <w:t xml:space="preserve"> est utilisé dans son sens premier, c’est-à-dire comme sous l’emprise de boissons alcooliques, état qui nous fait perdre tout sens de réflexion, qui nous jette dans la folie, la raison étant jetée aux oubliettes de la conscience. Ivres, nous ne savons plus ce que nous faisons, disons. Nous avons perdu tout contact avec le réel. Devant la fureur de Dieu, nous deviendrons fous, nous perdrons notre raison. Ce qui sous-entend que seuls ceux/celles qui se sont préparés à la juste fureur de Dieu seront capables de rester dignes, ca</w:t>
      </w:r>
      <w:r>
        <w:rPr>
          <w:rFonts w:asciiTheme="majorBidi" w:eastAsia="Times New Roman" w:hAnsiTheme="majorBidi" w:cstheme="majorBidi"/>
          <w:lang w:bidi="ar-AE"/>
        </w:rPr>
        <w:t>pables de garder raison et foi ;</w:t>
      </w:r>
    </w:p>
    <w:p w14:paraId="7E4DA0C6" w14:textId="77777777" w:rsidR="00296288" w:rsidRPr="006D4265" w:rsidRDefault="00296288" w:rsidP="007640DC">
      <w:pPr>
        <w:numPr>
          <w:ilvl w:val="0"/>
          <w:numId w:val="64"/>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 xml:space="preserve">que les exégètes n’ont pas compris de quoi il s’agissait. </w:t>
      </w:r>
      <w:r>
        <w:rPr>
          <w:rFonts w:asciiTheme="majorBidi" w:eastAsia="Times New Roman" w:hAnsiTheme="majorBidi" w:cstheme="majorBidi"/>
          <w:lang w:bidi="ar-AE"/>
        </w:rPr>
        <w:t xml:space="preserve"> Selon le </w:t>
      </w:r>
      <w:r w:rsidRPr="006D4265">
        <w:rPr>
          <w:rFonts w:asciiTheme="majorBidi" w:eastAsia="Times New Roman" w:hAnsiTheme="majorBidi" w:cstheme="majorBidi"/>
          <w:lang w:bidi="ar-AE"/>
        </w:rPr>
        <w:t>théologien irakien</w:t>
      </w:r>
      <w:r>
        <w:rPr>
          <w:rFonts w:asciiTheme="majorBidi" w:eastAsia="Times New Roman" w:hAnsiTheme="majorBidi" w:cstheme="majorBidi"/>
          <w:lang w:bidi="ar-AE"/>
        </w:rPr>
        <w:t xml:space="preserve"> </w:t>
      </w:r>
      <w:r w:rsidRPr="006D4265">
        <w:rPr>
          <w:rFonts w:asciiTheme="majorBidi" w:eastAsia="Times New Roman" w:hAnsiTheme="majorBidi" w:cstheme="majorBidi"/>
          <w:lang w:bidi="ar-AE"/>
        </w:rPr>
        <w:t xml:space="preserve">ʿĀlim Sabīṭ An-Nīlī (1956-2000), les exégètes se sont trompés quand ils affirment l’idée </w:t>
      </w:r>
      <w:r w:rsidRPr="006D4265">
        <w:rPr>
          <w:rFonts w:asciiTheme="majorBidi" w:eastAsia="Times New Roman" w:hAnsiTheme="majorBidi" w:cstheme="majorBidi"/>
          <w:lang w:bidi="ar-AE"/>
        </w:rPr>
        <w:lastRenderedPageBreak/>
        <w:t>de l’ivresse alors qu</w:t>
      </w:r>
      <w:r>
        <w:rPr>
          <w:rFonts w:asciiTheme="majorBidi" w:eastAsia="Times New Roman" w:hAnsiTheme="majorBidi" w:cstheme="majorBidi"/>
          <w:lang w:bidi="ar-AE"/>
        </w:rPr>
        <w:t xml:space="preserve">e le verset la nie expressément, et </w:t>
      </w:r>
      <w:r w:rsidRPr="006D4265">
        <w:rPr>
          <w:rFonts w:asciiTheme="majorBidi" w:eastAsia="Times New Roman" w:hAnsiTheme="majorBidi" w:cstheme="majorBidi"/>
          <w:lang w:bidi="ar-AE"/>
        </w:rPr>
        <w:t xml:space="preserve">c’est à cause de la terreur que les humains </w:t>
      </w:r>
      <w:r w:rsidRPr="006D4265">
        <w:rPr>
          <w:rFonts w:asciiTheme="majorBidi" w:eastAsia="Times New Roman" w:hAnsiTheme="majorBidi" w:cstheme="majorBidi"/>
          <w:i/>
          <w:iCs/>
          <w:lang w:bidi="ar-AE"/>
        </w:rPr>
        <w:t>ne</w:t>
      </w:r>
      <w:r w:rsidRPr="006D4265">
        <w:rPr>
          <w:rFonts w:asciiTheme="majorBidi" w:eastAsia="Times New Roman" w:hAnsiTheme="majorBidi" w:cstheme="majorBidi"/>
          <w:lang w:bidi="ar-AE"/>
        </w:rPr>
        <w:t xml:space="preserve"> seront </w:t>
      </w:r>
      <w:r w:rsidRPr="006D4265">
        <w:rPr>
          <w:rFonts w:asciiTheme="majorBidi" w:eastAsia="Times New Roman" w:hAnsiTheme="majorBidi" w:cstheme="majorBidi"/>
          <w:i/>
          <w:iCs/>
          <w:lang w:bidi="ar-AE"/>
        </w:rPr>
        <w:t>pas</w:t>
      </w:r>
      <w:r w:rsidRPr="006D4265">
        <w:rPr>
          <w:rFonts w:asciiTheme="majorBidi" w:eastAsia="Times New Roman" w:hAnsiTheme="majorBidi" w:cstheme="majorBidi"/>
          <w:lang w:bidi="ar-AE"/>
        </w:rPr>
        <w:t xml:space="preserve"> ivres.</w:t>
      </w:r>
      <w:r w:rsidRPr="006D4265">
        <w:rPr>
          <w:rStyle w:val="Appelnotedebasdep"/>
          <w:rFonts w:asciiTheme="majorBidi" w:eastAsia="Times New Roman" w:hAnsiTheme="majorBidi" w:cstheme="majorBidi"/>
          <w:lang w:bidi="ar-AE"/>
        </w:rPr>
        <w:footnoteReference w:id="321"/>
      </w:r>
    </w:p>
    <w:p w14:paraId="031DBDD3" w14:textId="77777777" w:rsidR="00296288" w:rsidRPr="006D4265" w:rsidRDefault="00296288" w:rsidP="00296288">
      <w:pPr>
        <w:spacing w:line="360" w:lineRule="auto"/>
        <w:jc w:val="both"/>
        <w:rPr>
          <w:rFonts w:asciiTheme="majorBidi" w:eastAsia="Times New Roman" w:hAnsiTheme="majorBidi" w:cstheme="majorBidi"/>
        </w:rPr>
      </w:pPr>
    </w:p>
    <w:p w14:paraId="2707FEBA" w14:textId="77777777" w:rsidR="00296288" w:rsidRPr="006D4265" w:rsidRDefault="00296288" w:rsidP="00296288">
      <w:pPr>
        <w:spacing w:line="360" w:lineRule="auto"/>
        <w:jc w:val="both"/>
        <w:rPr>
          <w:rFonts w:asciiTheme="majorBidi" w:hAnsiTheme="majorBidi" w:cstheme="majorBidi"/>
          <w:b/>
          <w:bCs/>
          <w:lang w:bidi="ar-AE"/>
        </w:rPr>
      </w:pPr>
      <w:r w:rsidRPr="006D4265">
        <w:rPr>
          <w:rFonts w:asciiTheme="majorBidi" w:hAnsiTheme="majorBidi" w:cstheme="majorBidi"/>
          <w:b/>
          <w:bCs/>
          <w:lang w:bidi="ar-AE"/>
        </w:rPr>
        <w:t>La parabole du verset 5 :</w:t>
      </w:r>
    </w:p>
    <w:p w14:paraId="78C3EC74" w14:textId="77777777" w:rsidR="00296288" w:rsidRPr="006D4265" w:rsidRDefault="00296288" w:rsidP="00296288">
      <w:pPr>
        <w:spacing w:line="360" w:lineRule="auto"/>
        <w:ind w:firstLine="426"/>
        <w:jc w:val="both"/>
        <w:rPr>
          <w:rFonts w:asciiTheme="majorBidi" w:eastAsia="Times New Roman" w:hAnsiTheme="majorBidi" w:cstheme="majorBidi"/>
          <w:lang w:bidi="ar-EG"/>
        </w:rPr>
      </w:pPr>
      <w:r w:rsidRPr="006D4265">
        <w:rPr>
          <w:rFonts w:asciiTheme="majorBidi" w:eastAsia="Times New Roman" w:hAnsiTheme="majorBidi" w:cstheme="majorBidi"/>
          <w:lang w:bidi="ar-EG"/>
        </w:rPr>
        <w:t>La parabole</w:t>
      </w:r>
      <w:r>
        <w:rPr>
          <w:rFonts w:asciiTheme="majorBidi" w:eastAsia="Times New Roman" w:hAnsiTheme="majorBidi" w:cstheme="majorBidi"/>
          <w:lang w:bidi="ar-EG"/>
        </w:rPr>
        <w:t xml:space="preserve"> « </w:t>
      </w:r>
      <w:r w:rsidRPr="006D4265">
        <w:rPr>
          <w:rFonts w:asciiTheme="majorBidi" w:eastAsia="Times New Roman" w:hAnsiTheme="majorBidi" w:cstheme="majorBidi"/>
          <w:rtl/>
          <w:lang w:bidi="ar-EG"/>
        </w:rPr>
        <w:t>فإذا</w:t>
      </w:r>
      <w:r w:rsidRPr="006D4265">
        <w:rPr>
          <w:rFonts w:asciiTheme="majorBidi" w:eastAsia="Times New Roman" w:hAnsiTheme="majorBidi" w:cstheme="majorBidi"/>
          <w:rtl/>
          <w:lang w:bidi="ar-AE"/>
        </w:rPr>
        <w:t xml:space="preserve"> أنزلْنا عليها الماءَ اهتزَّت ورَبَتْ وأنبتَت من كُلِّ زَوجٍ بهيجٍ</w:t>
      </w:r>
      <w:r>
        <w:rPr>
          <w:rFonts w:asciiTheme="majorBidi" w:eastAsia="Times New Roman" w:hAnsiTheme="majorBidi" w:cstheme="majorBidi"/>
          <w:lang w:bidi="ar-AE"/>
        </w:rPr>
        <w:t xml:space="preserve"> » </w:t>
      </w:r>
      <w:r w:rsidRPr="006D4265">
        <w:rPr>
          <w:rFonts w:asciiTheme="majorBidi" w:eastAsia="Times New Roman" w:hAnsiTheme="majorBidi" w:cstheme="majorBidi"/>
          <w:lang w:bidi="ar-AE"/>
        </w:rPr>
        <w:t>[</w:t>
      </w:r>
      <w:r w:rsidRPr="006D4265">
        <w:rPr>
          <w:rFonts w:asciiTheme="majorBidi" w:eastAsia="Calibri" w:hAnsiTheme="majorBidi" w:cstheme="majorBidi"/>
          <w:lang w:bidi="ar-AE"/>
        </w:rPr>
        <w:t>et quand Nous faisons descendre de l’eau sur elle, s’émouvoir, gonfler, faire pousser un peu de chaque merveilleuse espèce</w:t>
      </w:r>
      <w:r w:rsidRPr="006D4265">
        <w:rPr>
          <w:rFonts w:asciiTheme="majorBidi" w:eastAsia="Times New Roman" w:hAnsiTheme="majorBidi" w:cstheme="majorBidi"/>
          <w:lang w:bidi="ar-AE"/>
        </w:rPr>
        <w:t>]</w:t>
      </w:r>
      <w:r w:rsidRPr="006D4265">
        <w:rPr>
          <w:rFonts w:asciiTheme="majorBidi" w:eastAsia="Times New Roman" w:hAnsiTheme="majorBidi" w:cstheme="majorBidi"/>
          <w:lang w:bidi="ar-EG"/>
        </w:rPr>
        <w:t xml:space="preserve"> </w:t>
      </w:r>
      <w:r w:rsidRPr="006D4265">
        <w:rPr>
          <w:rFonts w:asciiTheme="majorBidi" w:eastAsia="Calibri" w:hAnsiTheme="majorBidi" w:cstheme="majorBidi"/>
          <w:lang w:bidi="ar-AE"/>
        </w:rPr>
        <w:t>est servi</w:t>
      </w:r>
      <w:r>
        <w:rPr>
          <w:rFonts w:asciiTheme="majorBidi" w:eastAsia="Calibri" w:hAnsiTheme="majorBidi" w:cstheme="majorBidi"/>
          <w:lang w:bidi="ar-AE"/>
        </w:rPr>
        <w:t>e</w:t>
      </w:r>
      <w:r w:rsidRPr="006D4265">
        <w:rPr>
          <w:rFonts w:asciiTheme="majorBidi" w:eastAsia="Calibri" w:hAnsiTheme="majorBidi" w:cstheme="majorBidi"/>
          <w:lang w:bidi="ar-AE"/>
        </w:rPr>
        <w:t xml:space="preserve"> comme une preuve de l’authenticité d</w:t>
      </w:r>
      <w:r>
        <w:rPr>
          <w:rFonts w:asciiTheme="majorBidi" w:eastAsia="Calibri" w:hAnsiTheme="majorBidi" w:cstheme="majorBidi"/>
          <w:lang w:bidi="ar-AE"/>
        </w:rPr>
        <w:t xml:space="preserve">u </w:t>
      </w:r>
      <w:r w:rsidRPr="006D4265">
        <w:rPr>
          <w:rFonts w:asciiTheme="majorBidi" w:eastAsia="Calibri" w:hAnsiTheme="majorBidi" w:cstheme="majorBidi"/>
          <w:i/>
          <w:iCs/>
          <w:lang w:bidi="ar-AE"/>
        </w:rPr>
        <w:t>baʿth</w:t>
      </w:r>
      <w:r w:rsidRPr="006D4265">
        <w:rPr>
          <w:rFonts w:asciiTheme="majorBidi" w:eastAsia="Calibri" w:hAnsiTheme="majorBidi" w:cstheme="majorBidi"/>
          <w:lang w:bidi="ar-AE"/>
        </w:rPr>
        <w:t xml:space="preserve"> (la résurrection finale chez les orthodoxes), mais aussi comme une preuve de la </w:t>
      </w:r>
      <w:r w:rsidRPr="006D4265">
        <w:rPr>
          <w:rFonts w:asciiTheme="majorBidi" w:eastAsia="Times New Roman" w:hAnsiTheme="majorBidi" w:cstheme="majorBidi"/>
          <w:lang w:bidi="ar-EG"/>
        </w:rPr>
        <w:t>renaissance cyclique de la nature et par la suite de la réincarnation (chez les hétérodoxes).</w:t>
      </w:r>
    </w:p>
    <w:p w14:paraId="0F53088B" w14:textId="77777777" w:rsidR="00296288" w:rsidRPr="006D4265" w:rsidRDefault="00296288" w:rsidP="00296288">
      <w:pPr>
        <w:spacing w:line="360" w:lineRule="auto"/>
        <w:ind w:firstLine="426"/>
        <w:jc w:val="both"/>
        <w:rPr>
          <w:rFonts w:asciiTheme="majorBidi" w:hAnsiTheme="majorBidi" w:cstheme="majorBidi"/>
        </w:rPr>
      </w:pPr>
    </w:p>
    <w:p w14:paraId="7F7B6D45" w14:textId="77777777" w:rsidR="00296288" w:rsidRPr="006D4265" w:rsidRDefault="00296288" w:rsidP="00296288">
      <w:pPr>
        <w:spacing w:line="360" w:lineRule="auto"/>
        <w:ind w:firstLine="426"/>
        <w:jc w:val="both"/>
        <w:rPr>
          <w:rFonts w:asciiTheme="majorBidi" w:hAnsiTheme="majorBidi" w:cstheme="majorBidi"/>
        </w:rPr>
      </w:pPr>
      <w:r>
        <w:rPr>
          <w:rFonts w:asciiTheme="majorBidi" w:hAnsiTheme="majorBidi" w:cstheme="majorBidi"/>
        </w:rPr>
        <w:t>A l’appui de</w:t>
      </w:r>
      <w:r w:rsidRPr="006D4265">
        <w:rPr>
          <w:rFonts w:asciiTheme="majorBidi" w:hAnsiTheme="majorBidi" w:cstheme="majorBidi"/>
        </w:rPr>
        <w:t xml:space="preserve"> leur dogme de la résurrection au jugement dernier, les orthodoxes citent</w:t>
      </w:r>
      <w:r>
        <w:rPr>
          <w:rFonts w:asciiTheme="majorBidi" w:hAnsiTheme="majorBidi" w:cstheme="majorBidi"/>
        </w:rPr>
        <w:t xml:space="preserve"> (entre autres) ce verset, de même que</w:t>
      </w:r>
      <w:r w:rsidRPr="006D4265">
        <w:rPr>
          <w:rFonts w:asciiTheme="majorBidi" w:hAnsiTheme="majorBidi" w:cstheme="majorBidi"/>
        </w:rPr>
        <w:t xml:space="preserve"> les hétérodoxes</w:t>
      </w:r>
      <w:r>
        <w:rPr>
          <w:rFonts w:asciiTheme="majorBidi" w:hAnsiTheme="majorBidi" w:cstheme="majorBidi"/>
        </w:rPr>
        <w:t xml:space="preserve"> le</w:t>
      </w:r>
      <w:r w:rsidRPr="006D4265">
        <w:rPr>
          <w:rFonts w:asciiTheme="majorBidi" w:hAnsiTheme="majorBidi" w:cstheme="majorBidi"/>
        </w:rPr>
        <w:t xml:space="preserve"> citent </w:t>
      </w:r>
      <w:r>
        <w:rPr>
          <w:rFonts w:asciiTheme="majorBidi" w:hAnsiTheme="majorBidi" w:cstheme="majorBidi"/>
        </w:rPr>
        <w:t>à l’appui de</w:t>
      </w:r>
      <w:r w:rsidRPr="006D4265">
        <w:rPr>
          <w:rFonts w:asciiTheme="majorBidi" w:hAnsiTheme="majorBidi" w:cstheme="majorBidi"/>
        </w:rPr>
        <w:t xml:space="preserve"> leur dogme de la réincarnation.</w:t>
      </w:r>
      <w:r w:rsidRPr="006D4265">
        <w:rPr>
          <w:rFonts w:asciiTheme="majorBidi" w:hAnsiTheme="majorBidi" w:cstheme="majorBidi"/>
          <w:vertAlign w:val="superscript"/>
          <w:lang w:bidi="ar-AE"/>
        </w:rPr>
        <w:footnoteReference w:id="322"/>
      </w:r>
      <w:r w:rsidRPr="006D4265">
        <w:rPr>
          <w:rStyle w:val="uficommentbody"/>
          <w:rFonts w:asciiTheme="majorBidi" w:hAnsiTheme="majorBidi" w:cstheme="majorBidi"/>
        </w:rPr>
        <w:t xml:space="preserve"> </w:t>
      </w:r>
    </w:p>
    <w:p w14:paraId="3D1BF9C9" w14:textId="77777777" w:rsidR="00296288" w:rsidRPr="006D4265" w:rsidRDefault="00296288" w:rsidP="00296288">
      <w:pPr>
        <w:spacing w:line="360" w:lineRule="auto"/>
        <w:jc w:val="both"/>
        <w:rPr>
          <w:rFonts w:asciiTheme="majorBidi" w:eastAsia="Times New Roman" w:hAnsiTheme="majorBidi" w:cstheme="majorBidi"/>
          <w:rtl/>
        </w:rPr>
      </w:pPr>
    </w:p>
    <w:p w14:paraId="754A6876" w14:textId="77777777" w:rsidR="00296288" w:rsidRPr="006D4265" w:rsidRDefault="00296288" w:rsidP="00296288">
      <w:pPr>
        <w:spacing w:line="360" w:lineRule="auto"/>
        <w:jc w:val="both"/>
        <w:rPr>
          <w:rFonts w:asciiTheme="majorBidi" w:hAnsiTheme="majorBidi" w:cstheme="majorBidi"/>
          <w:b/>
          <w:bCs/>
        </w:rPr>
      </w:pPr>
      <w:r w:rsidRPr="006D4265">
        <w:rPr>
          <w:rFonts w:asciiTheme="majorBidi" w:eastAsia="Times New Roman" w:hAnsiTheme="majorBidi" w:cstheme="majorBidi"/>
          <w:b/>
          <w:bCs/>
          <w:lang w:bidi="ar-EG"/>
        </w:rPr>
        <w:t>La phrase « </w:t>
      </w:r>
      <w:r w:rsidRPr="006D4265">
        <w:rPr>
          <w:rFonts w:asciiTheme="majorBidi" w:eastAsia="Times New Roman" w:hAnsiTheme="majorBidi" w:cstheme="majorBidi"/>
          <w:b/>
          <w:bCs/>
          <w:i/>
          <w:iCs/>
          <w:lang w:bidi="ar-EG"/>
        </w:rPr>
        <w:t>yuḥyi l-mawtā</w:t>
      </w:r>
      <w:r w:rsidRPr="006D4265">
        <w:rPr>
          <w:rFonts w:asciiTheme="majorBidi" w:eastAsia="Times New Roman" w:hAnsiTheme="majorBidi" w:cstheme="majorBidi"/>
          <w:b/>
          <w:bCs/>
          <w:lang w:bidi="ar-EG"/>
        </w:rPr>
        <w:t> » :</w:t>
      </w:r>
    </w:p>
    <w:p w14:paraId="42966BE8" w14:textId="77777777" w:rsidR="00296288" w:rsidRPr="006D4265" w:rsidRDefault="00296288" w:rsidP="00296288">
      <w:pPr>
        <w:spacing w:line="360" w:lineRule="auto"/>
        <w:ind w:firstLine="426"/>
        <w:jc w:val="both"/>
        <w:rPr>
          <w:rFonts w:asciiTheme="majorBidi" w:eastAsia="Times New Roman" w:hAnsiTheme="majorBidi" w:cstheme="majorBidi"/>
          <w:lang w:bidi="ar-EG"/>
        </w:rPr>
      </w:pPr>
      <w:r w:rsidRPr="006D4265">
        <w:rPr>
          <w:rFonts w:asciiTheme="majorBidi" w:eastAsia="Times New Roman" w:hAnsiTheme="majorBidi" w:cstheme="majorBidi"/>
          <w:lang w:bidi="ar-EG"/>
        </w:rPr>
        <w:t>Le verset 6 souligne que Dieu fait revivre les morts (« </w:t>
      </w:r>
      <w:r w:rsidRPr="006D4265">
        <w:rPr>
          <w:rFonts w:asciiTheme="majorBidi" w:eastAsia="Times New Roman" w:hAnsiTheme="majorBidi" w:cstheme="majorBidi"/>
          <w:i/>
          <w:iCs/>
          <w:lang w:bidi="ar-EG"/>
        </w:rPr>
        <w:t>yuḥyi l-mawtā</w:t>
      </w:r>
      <w:r w:rsidRPr="006D4265">
        <w:rPr>
          <w:rFonts w:asciiTheme="majorBidi" w:eastAsia="Times New Roman" w:hAnsiTheme="majorBidi" w:cstheme="majorBidi"/>
          <w:lang w:bidi="ar-EG"/>
        </w:rPr>
        <w:t xml:space="preserve"> »). Cette phrase qui </w:t>
      </w:r>
      <w:r>
        <w:rPr>
          <w:rFonts w:asciiTheme="majorBidi" w:eastAsia="Times New Roman" w:hAnsiTheme="majorBidi" w:cstheme="majorBidi"/>
          <w:lang w:bidi="ar-EG"/>
        </w:rPr>
        <w:t>apparemment</w:t>
      </w:r>
      <w:r w:rsidRPr="006D4265">
        <w:rPr>
          <w:rFonts w:asciiTheme="majorBidi" w:eastAsia="Times New Roman" w:hAnsiTheme="majorBidi" w:cstheme="majorBidi"/>
          <w:lang w:bidi="ar-EG"/>
        </w:rPr>
        <w:t xml:space="preserve"> simple et évidente est si vague qu’elle peut indiquer des concepts contradictoires.</w:t>
      </w:r>
    </w:p>
    <w:p w14:paraId="1FB672A2" w14:textId="77777777" w:rsidR="00296288" w:rsidRPr="006D4265" w:rsidRDefault="00296288" w:rsidP="00296288">
      <w:pPr>
        <w:spacing w:line="360" w:lineRule="auto"/>
        <w:ind w:firstLine="426"/>
        <w:jc w:val="both"/>
        <w:rPr>
          <w:rFonts w:asciiTheme="majorBidi" w:eastAsia="Times New Roman" w:hAnsiTheme="majorBidi" w:cstheme="majorBidi"/>
          <w:lang w:bidi="ar-EG"/>
        </w:rPr>
      </w:pPr>
    </w:p>
    <w:p w14:paraId="3558720A" w14:textId="77777777" w:rsidR="00296288" w:rsidRPr="006D4265" w:rsidRDefault="00296288" w:rsidP="00296288">
      <w:pPr>
        <w:spacing w:line="360" w:lineRule="auto"/>
        <w:ind w:firstLine="426"/>
        <w:jc w:val="both"/>
        <w:rPr>
          <w:rFonts w:asciiTheme="majorBidi" w:eastAsia="Times New Roman" w:hAnsiTheme="majorBidi" w:cstheme="majorBidi"/>
          <w:lang w:bidi="ar-EG"/>
        </w:rPr>
      </w:pPr>
      <w:r w:rsidRPr="006D4265">
        <w:rPr>
          <w:rFonts w:asciiTheme="majorBidi" w:eastAsia="Times New Roman" w:hAnsiTheme="majorBidi" w:cstheme="majorBidi"/>
          <w:lang w:bidi="ar-EG"/>
        </w:rPr>
        <w:t>Les exégètes sunnites, à l’exception du mystique Ibn ʿArabī, en déduisent deux interprétations différentes :</w:t>
      </w:r>
    </w:p>
    <w:p w14:paraId="1D1BC486" w14:textId="77777777" w:rsidR="00296288" w:rsidRPr="006D4265" w:rsidRDefault="00296288" w:rsidP="007640DC">
      <w:pPr>
        <w:pStyle w:val="Paragraphedeliste"/>
        <w:numPr>
          <w:ilvl w:val="0"/>
          <w:numId w:val="88"/>
        </w:numPr>
        <w:bidi w:val="0"/>
        <w:spacing w:after="0" w:line="360" w:lineRule="auto"/>
        <w:contextualSpacing/>
        <w:jc w:val="both"/>
        <w:rPr>
          <w:rFonts w:asciiTheme="majorBidi" w:hAnsiTheme="majorBidi" w:cstheme="majorBidi"/>
          <w:sz w:val="24"/>
          <w:szCs w:val="24"/>
          <w:lang w:eastAsia="fr-FR" w:bidi="ar-EG"/>
        </w:rPr>
      </w:pPr>
      <w:r w:rsidRPr="006D4265">
        <w:rPr>
          <w:rFonts w:asciiTheme="majorBidi" w:hAnsiTheme="majorBidi" w:cstheme="majorBidi"/>
          <w:sz w:val="24"/>
          <w:szCs w:val="24"/>
          <w:lang w:eastAsia="fr-FR" w:bidi="ar-EG"/>
        </w:rPr>
        <w:t xml:space="preserve">la première est que Dieu crée (fait sortir du néant) les créatures animées et inanimées </w:t>
      </w:r>
      <w:r w:rsidRPr="006D4265">
        <w:rPr>
          <w:rFonts w:asciiTheme="majorBidi" w:hAnsiTheme="majorBidi" w:cstheme="majorBidi"/>
          <w:i/>
          <w:iCs/>
          <w:sz w:val="24"/>
          <w:szCs w:val="24"/>
          <w:lang w:eastAsia="fr-FR" w:bidi="ar-EG"/>
        </w:rPr>
        <w:t xml:space="preserve">dans ce </w:t>
      </w:r>
      <w:r>
        <w:rPr>
          <w:rFonts w:asciiTheme="majorBidi" w:hAnsiTheme="majorBidi" w:cstheme="majorBidi"/>
          <w:i/>
          <w:iCs/>
          <w:sz w:val="24"/>
          <w:szCs w:val="24"/>
          <w:lang w:eastAsia="fr-FR" w:bidi="ar-EG"/>
        </w:rPr>
        <w:t>bas mond</w:t>
      </w:r>
      <w:r w:rsidRPr="006D4265">
        <w:rPr>
          <w:rFonts w:asciiTheme="majorBidi" w:hAnsiTheme="majorBidi" w:cstheme="majorBidi"/>
          <w:sz w:val="24"/>
          <w:szCs w:val="24"/>
          <w:lang w:eastAsia="fr-FR" w:bidi="ar-EG"/>
        </w:rPr>
        <w:t xml:space="preserve"> (en plus de leur résurrection le jour du jugement dernier) (</w:t>
      </w:r>
      <w:r w:rsidRPr="006D4265">
        <w:rPr>
          <w:rFonts w:asciiTheme="majorBidi" w:hAnsiTheme="majorBidi" w:cstheme="majorBidi"/>
          <w:sz w:val="24"/>
          <w:szCs w:val="24"/>
        </w:rPr>
        <w:t>Amīn Shaykhū</w:t>
      </w:r>
      <w:r>
        <w:rPr>
          <w:rFonts w:asciiTheme="majorBidi" w:hAnsiTheme="majorBidi" w:cstheme="majorBidi"/>
          <w:sz w:val="24"/>
          <w:szCs w:val="24"/>
          <w:lang w:eastAsia="fr-FR" w:bidi="ar-EG"/>
        </w:rPr>
        <w:t xml:space="preserve">, Abū </w:t>
      </w:r>
      <w:r w:rsidRPr="006D4265">
        <w:rPr>
          <w:rFonts w:asciiTheme="majorBidi" w:hAnsiTheme="majorBidi" w:cstheme="majorBidi"/>
          <w:sz w:val="24"/>
          <w:szCs w:val="24"/>
          <w:lang w:eastAsia="fr-FR" w:bidi="ar-EG"/>
        </w:rPr>
        <w:t>s-Suʿūd Al-ʿImādī</w:t>
      </w:r>
      <w:r w:rsidRPr="006D4265">
        <w:rPr>
          <w:rFonts w:asciiTheme="majorBidi" w:eastAsia="Calibri" w:hAnsiTheme="majorBidi" w:cstheme="majorBidi"/>
          <w:sz w:val="24"/>
          <w:szCs w:val="24"/>
          <w:vertAlign w:val="superscript"/>
          <w:lang w:bidi="ar-AE"/>
        </w:rPr>
        <w:footnoteReference w:id="323"/>
      </w:r>
      <w:r w:rsidRPr="006D4265">
        <w:rPr>
          <w:rFonts w:asciiTheme="majorBidi" w:hAnsiTheme="majorBidi" w:cstheme="majorBidi"/>
          <w:sz w:val="24"/>
          <w:szCs w:val="24"/>
          <w:lang w:eastAsia="fr-FR" w:bidi="ar-EG"/>
        </w:rPr>
        <w:t>) ;</w:t>
      </w:r>
    </w:p>
    <w:p w14:paraId="4D4F08D1" w14:textId="77777777" w:rsidR="00296288" w:rsidRPr="006D4265" w:rsidRDefault="00296288" w:rsidP="007640DC">
      <w:pPr>
        <w:pStyle w:val="Paragraphedeliste"/>
        <w:numPr>
          <w:ilvl w:val="0"/>
          <w:numId w:val="88"/>
        </w:numPr>
        <w:bidi w:val="0"/>
        <w:spacing w:after="0" w:line="360" w:lineRule="auto"/>
        <w:contextualSpacing/>
        <w:jc w:val="both"/>
        <w:rPr>
          <w:rFonts w:asciiTheme="majorBidi" w:hAnsiTheme="majorBidi" w:cstheme="majorBidi"/>
          <w:sz w:val="24"/>
          <w:szCs w:val="24"/>
          <w:lang w:eastAsia="fr-FR" w:bidi="ar-EG"/>
        </w:rPr>
      </w:pPr>
      <w:r w:rsidRPr="006D4265">
        <w:rPr>
          <w:rFonts w:asciiTheme="majorBidi" w:hAnsiTheme="majorBidi" w:cstheme="majorBidi"/>
          <w:sz w:val="24"/>
          <w:szCs w:val="24"/>
          <w:lang w:eastAsia="fr-FR" w:bidi="ar-EG"/>
        </w:rPr>
        <w:lastRenderedPageBreak/>
        <w:t xml:space="preserve">la seconde est que Dieu rendra la vie aux êtres humains </w:t>
      </w:r>
      <w:r w:rsidRPr="006D4265">
        <w:rPr>
          <w:rFonts w:asciiTheme="majorBidi" w:hAnsiTheme="majorBidi" w:cstheme="majorBidi"/>
          <w:i/>
          <w:iCs/>
          <w:sz w:val="24"/>
          <w:szCs w:val="24"/>
          <w:lang w:eastAsia="fr-FR" w:bidi="ar-EG"/>
        </w:rPr>
        <w:t>lors du Jugement dernier</w:t>
      </w:r>
      <w:r w:rsidRPr="006D4265">
        <w:rPr>
          <w:rFonts w:asciiTheme="majorBidi" w:hAnsiTheme="majorBidi" w:cstheme="majorBidi"/>
          <w:sz w:val="24"/>
          <w:szCs w:val="24"/>
          <w:lang w:eastAsia="fr-FR" w:bidi="ar-EG"/>
        </w:rPr>
        <w:t xml:space="preserve"> (Aṭ-Ṭabarī, Ibn Kathīr, Al-Qurṭubī).</w:t>
      </w:r>
    </w:p>
    <w:p w14:paraId="6C122658" w14:textId="77777777" w:rsidR="00296288" w:rsidRPr="006D4265" w:rsidRDefault="00296288" w:rsidP="00296288">
      <w:pPr>
        <w:spacing w:line="360" w:lineRule="auto"/>
        <w:jc w:val="both"/>
        <w:rPr>
          <w:rFonts w:asciiTheme="majorBidi" w:eastAsia="Times New Roman" w:hAnsiTheme="majorBidi" w:cstheme="majorBidi"/>
          <w:lang w:bidi="ar-EG"/>
        </w:rPr>
      </w:pPr>
    </w:p>
    <w:p w14:paraId="0F55F7CE"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r w:rsidRPr="006D4265">
        <w:rPr>
          <w:rFonts w:asciiTheme="majorBidi" w:eastAsia="Times New Roman" w:hAnsiTheme="majorBidi" w:cstheme="majorBidi"/>
          <w:lang w:bidi="ar-EG"/>
        </w:rPr>
        <w:t>Mais Ibn ʿArabī souligne qu’il s’agit ici d’un sens figuré, i. e. la « résurrection » des âmes des êtres humains par la Connaissance divine [la Gnose]. La phrase veut ainsi dire que Dieu ressuscite les morts de l’ignorance par l’émanation de Sa Connaissance.</w:t>
      </w:r>
    </w:p>
    <w:p w14:paraId="70105ACC"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p>
    <w:p w14:paraId="3E783075"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r w:rsidRPr="006D4265">
        <w:rPr>
          <w:rFonts w:asciiTheme="majorBidi" w:eastAsia="Times New Roman" w:hAnsiTheme="majorBidi" w:cstheme="majorBidi"/>
          <w:lang w:bidi="ar-EG"/>
        </w:rPr>
        <w:t xml:space="preserve">Il va sans dire que </w:t>
      </w:r>
      <w:r>
        <w:rPr>
          <w:rFonts w:asciiTheme="majorBidi" w:eastAsia="Times New Roman" w:hAnsiTheme="majorBidi" w:cstheme="majorBidi"/>
          <w:lang w:bidi="ar-EG"/>
        </w:rPr>
        <w:t xml:space="preserve">pour </w:t>
      </w:r>
      <w:r w:rsidRPr="006D4265">
        <w:rPr>
          <w:rFonts w:asciiTheme="majorBidi" w:eastAsia="Times New Roman" w:hAnsiTheme="majorBidi" w:cstheme="majorBidi"/>
          <w:lang w:bidi="ar-EG"/>
        </w:rPr>
        <w:t>les druzes et les alaouites, « </w:t>
      </w:r>
      <w:r w:rsidRPr="006D4265">
        <w:rPr>
          <w:rFonts w:asciiTheme="majorBidi" w:eastAsia="Times New Roman" w:hAnsiTheme="majorBidi" w:cstheme="majorBidi"/>
          <w:i/>
          <w:iCs/>
          <w:lang w:bidi="ar-EG"/>
        </w:rPr>
        <w:t>yuḥyi l-mawtā</w:t>
      </w:r>
      <w:r w:rsidRPr="006D4265">
        <w:rPr>
          <w:rFonts w:asciiTheme="majorBidi" w:eastAsia="Times New Roman" w:hAnsiTheme="majorBidi" w:cstheme="majorBidi"/>
          <w:lang w:bidi="ar-EG"/>
        </w:rPr>
        <w:t xml:space="preserve"> » ne peut signifier que la réincarnation, i. e. </w:t>
      </w:r>
      <w:r w:rsidRPr="006D4265">
        <w:rPr>
          <w:rFonts w:asciiTheme="majorBidi" w:eastAsia="Times New Roman" w:hAnsiTheme="majorBidi" w:cstheme="majorBidi"/>
        </w:rPr>
        <w:t>le retour dans la chair sur cette terre et non pas dans l’autre monde</w:t>
      </w:r>
      <w:r w:rsidRPr="006D4265">
        <w:rPr>
          <w:rFonts w:asciiTheme="majorBidi" w:eastAsia="Times New Roman" w:hAnsiTheme="majorBidi" w:cstheme="majorBidi"/>
          <w:vertAlign w:val="superscript"/>
          <w:lang w:bidi="ar-AE"/>
        </w:rPr>
        <w:footnoteReference w:id="324"/>
      </w:r>
      <w:r w:rsidRPr="006D4265">
        <w:rPr>
          <w:rFonts w:asciiTheme="majorBidi" w:eastAsia="Times New Roman" w:hAnsiTheme="majorBidi" w:cstheme="majorBidi"/>
        </w:rPr>
        <w:t>.</w:t>
      </w:r>
    </w:p>
    <w:p w14:paraId="23E7C528"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p>
    <w:p w14:paraId="0D836268"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r w:rsidRPr="006D4265">
        <w:rPr>
          <w:rFonts w:asciiTheme="majorBidi" w:eastAsia="Times New Roman" w:hAnsiTheme="majorBidi" w:cstheme="majorBidi"/>
          <w:lang w:bidi="ar-EG"/>
        </w:rPr>
        <w:t xml:space="preserve">Bien que les sunnites ne croient pas à la réincarnation, </w:t>
      </w:r>
      <w:r>
        <w:rPr>
          <w:rFonts w:asciiTheme="majorBidi" w:eastAsia="Times New Roman" w:hAnsiTheme="majorBidi" w:cstheme="majorBidi"/>
          <w:lang w:bidi="ar-EG"/>
        </w:rPr>
        <w:t>Ibn Kathīr</w:t>
      </w:r>
      <w:r w:rsidRPr="006D4265">
        <w:rPr>
          <w:rFonts w:asciiTheme="majorBidi" w:eastAsia="Times New Roman" w:hAnsiTheme="majorBidi" w:cstheme="majorBidi"/>
          <w:lang w:bidi="ar-EG"/>
        </w:rPr>
        <w:t xml:space="preserve"> rapporte un hadith  (rapporté également par Aḥmad Ibn Ḥanbal)</w:t>
      </w:r>
      <w:r w:rsidRPr="006D4265">
        <w:rPr>
          <w:rFonts w:asciiTheme="majorBidi" w:eastAsia="Calibri" w:hAnsiTheme="majorBidi" w:cstheme="majorBidi"/>
          <w:vertAlign w:val="superscript"/>
          <w:lang w:bidi="ar-AE"/>
        </w:rPr>
        <w:footnoteReference w:id="325"/>
      </w:r>
      <w:r w:rsidRPr="006D4265">
        <w:rPr>
          <w:rFonts w:asciiTheme="majorBidi" w:eastAsia="Times New Roman" w:hAnsiTheme="majorBidi" w:cstheme="majorBidi"/>
          <w:lang w:bidi="ar-EG"/>
        </w:rPr>
        <w:t xml:space="preserve"> qui évoque, mais sans aller plus loin, la renaissance cyclique de la nature pour expliquer la signification de « </w:t>
      </w:r>
      <w:r w:rsidRPr="006D4265">
        <w:rPr>
          <w:rFonts w:asciiTheme="majorBidi" w:eastAsia="Times New Roman" w:hAnsiTheme="majorBidi" w:cstheme="majorBidi"/>
          <w:i/>
          <w:iCs/>
          <w:lang w:bidi="ar-EG"/>
        </w:rPr>
        <w:t>yuḥyi l-mawtā</w:t>
      </w:r>
      <w:r w:rsidRPr="006D4265">
        <w:rPr>
          <w:rFonts w:asciiTheme="majorBidi" w:eastAsia="Times New Roman" w:hAnsiTheme="majorBidi" w:cstheme="majorBidi"/>
          <w:lang w:bidi="ar-EG"/>
        </w:rPr>
        <w:t> ». La renaissance cyclique de la nature fait allusion à la réincarnation. Le simple fait qu’un Arabe demande au Prophète comment « </w:t>
      </w:r>
      <w:r w:rsidRPr="006D4265">
        <w:rPr>
          <w:rFonts w:asciiTheme="majorBidi" w:eastAsia="Times New Roman" w:hAnsiTheme="majorBidi" w:cstheme="majorBidi"/>
          <w:i/>
          <w:iCs/>
          <w:lang w:bidi="ar-EG"/>
        </w:rPr>
        <w:t>Allāh yuḥyi l-mawtā</w:t>
      </w:r>
      <w:r w:rsidRPr="006D4265">
        <w:rPr>
          <w:rFonts w:asciiTheme="majorBidi" w:eastAsia="Times New Roman" w:hAnsiTheme="majorBidi" w:cstheme="majorBidi"/>
          <w:lang w:bidi="ar-EG"/>
        </w:rPr>
        <w:t> » [Dieu ressuscite les morts] nous montrerait que ce concept est peu familier dans la culture du Hedjaz en Arabie. Une autre forte allusion à la réincarnation, c’est que les musulmans sunnites invoquent leur Seigneur pour accorder au défunt un foyer, une famille et une femme meilleurs que les siens. En se référant à un hadith authentique [</w:t>
      </w:r>
      <w:r w:rsidRPr="006D4265">
        <w:rPr>
          <w:rFonts w:asciiTheme="majorBidi" w:eastAsia="Times New Roman" w:hAnsiTheme="majorBidi" w:cstheme="majorBidi"/>
          <w:i/>
          <w:iCs/>
          <w:lang w:bidi="ar-EG"/>
        </w:rPr>
        <w:t>ṣaḥīḥ</w:t>
      </w:r>
      <w:r w:rsidRPr="006D4265">
        <w:rPr>
          <w:rFonts w:asciiTheme="majorBidi" w:eastAsia="Times New Roman" w:hAnsiTheme="majorBidi" w:cstheme="majorBidi"/>
          <w:lang w:bidi="ar-EG"/>
        </w:rPr>
        <w:t xml:space="preserve">] </w:t>
      </w:r>
      <w:r w:rsidRPr="005F299E">
        <w:rPr>
          <w:rFonts w:asciiTheme="majorBidi" w:eastAsia="Times New Roman" w:hAnsiTheme="majorBidi" w:cstheme="majorBidi"/>
          <w:lang w:bidi="ar-EG"/>
        </w:rPr>
        <w:t>rapporté par Muslim</w:t>
      </w:r>
      <w:r w:rsidRPr="005F299E">
        <w:rPr>
          <w:rStyle w:val="Appelnotedebasdep"/>
          <w:rFonts w:eastAsia="Times New Roman"/>
          <w:lang w:bidi="ar-EG"/>
        </w:rPr>
        <w:footnoteReference w:id="326"/>
      </w:r>
      <w:r w:rsidRPr="005F299E">
        <w:rPr>
          <w:rFonts w:asciiTheme="majorBidi" w:eastAsia="Times New Roman" w:hAnsiTheme="majorBidi" w:cstheme="majorBidi"/>
          <w:lang w:bidi="ar-EG"/>
        </w:rPr>
        <w:t xml:space="preserve">, les musulmans récitent lors de </w:t>
      </w:r>
      <w:r w:rsidRPr="005F299E">
        <w:rPr>
          <w:rFonts w:asciiTheme="majorBidi" w:eastAsia="Times New Roman" w:hAnsiTheme="majorBidi" w:cstheme="majorBidi"/>
          <w:lang w:bidi="ar-EG"/>
        </w:rPr>
        <w:lastRenderedPageBreak/>
        <w:t>l’enterrement l’invocation suivante : « </w:t>
      </w:r>
      <w:r w:rsidRPr="005F299E">
        <w:rPr>
          <w:rFonts w:asciiTheme="majorBidi" w:eastAsia="Times New Roman" w:hAnsiTheme="majorBidi" w:hint="cs"/>
          <w:rtl/>
          <w:lang w:bidi="ar-EG"/>
        </w:rPr>
        <w:t>اللهم</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اغفِر</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له</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وارحمه،</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وعافِه</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واعفُ</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عنه،</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وأبدِله</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داراً</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خيراً</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من</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داره،</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وأهلاً</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خيراً</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من</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أهله،</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وزوجاً</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خيراً</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من</w:t>
      </w:r>
      <w:r w:rsidRPr="005F299E">
        <w:rPr>
          <w:rFonts w:asciiTheme="majorBidi" w:eastAsia="Times New Roman" w:hAnsiTheme="majorBidi"/>
          <w:rtl/>
          <w:lang w:bidi="ar-EG"/>
        </w:rPr>
        <w:t xml:space="preserve"> </w:t>
      </w:r>
      <w:r w:rsidRPr="005F299E">
        <w:rPr>
          <w:rFonts w:asciiTheme="majorBidi" w:eastAsia="Times New Roman" w:hAnsiTheme="majorBidi" w:hint="cs"/>
          <w:rtl/>
          <w:lang w:bidi="ar-EG"/>
        </w:rPr>
        <w:t>زوجه</w:t>
      </w:r>
      <w:r w:rsidRPr="005F299E">
        <w:rPr>
          <w:rFonts w:asciiTheme="majorBidi" w:eastAsia="Times New Roman" w:hAnsiTheme="majorBidi" w:cstheme="majorBidi"/>
          <w:lang w:bidi="ar-EG"/>
        </w:rPr>
        <w:t> »</w:t>
      </w:r>
      <w:r w:rsidRPr="005F299E">
        <w:rPr>
          <w:rStyle w:val="Appelnotedebasdep"/>
          <w:rFonts w:eastAsia="Times New Roman"/>
          <w:lang w:bidi="ar-EG"/>
        </w:rPr>
        <w:footnoteReference w:id="327"/>
      </w:r>
      <w:r w:rsidRPr="005F299E">
        <w:rPr>
          <w:rFonts w:asciiTheme="majorBidi" w:eastAsia="Times New Roman" w:hAnsiTheme="majorBidi" w:cstheme="majorBidi"/>
          <w:lang w:bidi="ar-EG"/>
        </w:rPr>
        <w:t xml:space="preserve"> [« Ô Seigneur ! Pardonne-lui, fais-lui miséricorde, accorde-lui Ton salut, et pardonne-lui ses fautes. […] Accorde-lui [</w:t>
      </w:r>
      <w:r w:rsidRPr="005F299E">
        <w:rPr>
          <w:rFonts w:asciiTheme="majorBidi" w:eastAsia="Times New Roman" w:hAnsiTheme="majorBidi" w:cstheme="majorBidi"/>
          <w:i/>
          <w:iCs/>
          <w:lang w:bidi="ar-EG"/>
        </w:rPr>
        <w:t>litt</w:t>
      </w:r>
      <w:r w:rsidRPr="005F299E">
        <w:rPr>
          <w:rFonts w:asciiTheme="majorBidi" w:eastAsia="Times New Roman" w:hAnsiTheme="majorBidi" w:cstheme="majorBidi"/>
          <w:lang w:bidi="ar-EG"/>
        </w:rPr>
        <w:t>. </w:t>
      </w:r>
      <w:r w:rsidRPr="006D4265">
        <w:rPr>
          <w:rFonts w:asciiTheme="majorBidi" w:eastAsia="Times New Roman" w:hAnsiTheme="majorBidi" w:cstheme="majorBidi"/>
          <w:lang w:bidi="ar-EG"/>
        </w:rPr>
        <w:t>: Substitue] une demeure, une famille et une épouse meilleure encore que celles qui furent les siennes. »]</w:t>
      </w:r>
      <w:r>
        <w:rPr>
          <w:rFonts w:asciiTheme="majorBidi" w:eastAsia="Times New Roman" w:hAnsiTheme="majorBidi" w:cstheme="majorBidi"/>
          <w:lang w:bidi="ar-EG"/>
        </w:rPr>
        <w:t xml:space="preserve">. </w:t>
      </w:r>
      <w:r w:rsidRPr="006D4265">
        <w:rPr>
          <w:rFonts w:asciiTheme="majorBidi" w:eastAsia="Times New Roman" w:hAnsiTheme="majorBidi" w:cstheme="majorBidi"/>
          <w:lang w:bidi="ar-EG"/>
        </w:rPr>
        <w:t xml:space="preserve">Cela </w:t>
      </w:r>
      <w:r>
        <w:rPr>
          <w:rFonts w:asciiTheme="majorBidi" w:eastAsia="Times New Roman" w:hAnsiTheme="majorBidi" w:cstheme="majorBidi"/>
          <w:lang w:bidi="ar-EG"/>
        </w:rPr>
        <w:t xml:space="preserve">peut </w:t>
      </w:r>
      <w:r w:rsidRPr="006D4265">
        <w:rPr>
          <w:rFonts w:asciiTheme="majorBidi" w:eastAsia="Times New Roman" w:hAnsiTheme="majorBidi" w:cstheme="majorBidi"/>
          <w:lang w:bidi="ar-EG"/>
        </w:rPr>
        <w:t>nous montre</w:t>
      </w:r>
      <w:r>
        <w:rPr>
          <w:rFonts w:asciiTheme="majorBidi" w:eastAsia="Times New Roman" w:hAnsiTheme="majorBidi" w:cstheme="majorBidi"/>
          <w:lang w:bidi="ar-EG"/>
        </w:rPr>
        <w:t>r</w:t>
      </w:r>
      <w:r w:rsidRPr="006D4265">
        <w:rPr>
          <w:rFonts w:asciiTheme="majorBidi" w:eastAsia="Times New Roman" w:hAnsiTheme="majorBidi" w:cstheme="majorBidi"/>
          <w:lang w:bidi="ar-EG"/>
        </w:rPr>
        <w:t xml:space="preserve"> que même chez les orthodoxes la phrase « </w:t>
      </w:r>
      <w:r>
        <w:rPr>
          <w:rFonts w:asciiTheme="majorBidi" w:eastAsia="Times New Roman" w:hAnsiTheme="majorBidi" w:cstheme="majorBidi" w:hint="cs"/>
          <w:rtl/>
          <w:lang w:bidi="ar-EG"/>
        </w:rPr>
        <w:t>يحيي الموتى</w:t>
      </w:r>
      <w:r w:rsidRPr="006D4265">
        <w:rPr>
          <w:rFonts w:asciiTheme="majorBidi" w:eastAsia="Times New Roman" w:hAnsiTheme="majorBidi" w:cstheme="majorBidi"/>
          <w:lang w:bidi="ar-EG"/>
        </w:rPr>
        <w:t> » sous-entend le concept de la réincarnation, notion évidente chez les hétérodoxes.</w:t>
      </w:r>
    </w:p>
    <w:p w14:paraId="0462DF37" w14:textId="77777777" w:rsidR="00296288" w:rsidRPr="006D4265" w:rsidRDefault="00296288" w:rsidP="00296288">
      <w:pPr>
        <w:spacing w:line="360" w:lineRule="auto"/>
        <w:ind w:firstLine="708"/>
        <w:jc w:val="both"/>
        <w:rPr>
          <w:rFonts w:asciiTheme="majorBidi" w:eastAsia="Times New Roman" w:hAnsiTheme="majorBidi" w:cstheme="majorBidi"/>
          <w:lang w:bidi="ar-EG"/>
        </w:rPr>
      </w:pPr>
    </w:p>
    <w:p w14:paraId="6019F3A1" w14:textId="77777777" w:rsidR="00296288" w:rsidRPr="006D4265" w:rsidRDefault="00296288" w:rsidP="00296288">
      <w:pPr>
        <w:spacing w:line="360" w:lineRule="auto"/>
        <w:ind w:firstLine="360"/>
        <w:jc w:val="both"/>
        <w:rPr>
          <w:rFonts w:asciiTheme="majorBidi" w:eastAsia="Times New Roman" w:hAnsiTheme="majorBidi" w:cstheme="majorBidi"/>
          <w:lang w:bidi="ar-EG"/>
        </w:rPr>
      </w:pPr>
      <w:r w:rsidRPr="006D4265">
        <w:rPr>
          <w:rFonts w:asciiTheme="majorBidi" w:eastAsia="Times New Roman" w:hAnsiTheme="majorBidi" w:cstheme="majorBidi"/>
          <w:lang w:bidi="ar-EG"/>
        </w:rPr>
        <w:t>En résumé, la phrase « </w:t>
      </w:r>
      <w:r>
        <w:rPr>
          <w:rFonts w:asciiTheme="majorBidi" w:eastAsia="Times New Roman" w:hAnsiTheme="majorBidi" w:cstheme="majorBidi" w:hint="cs"/>
          <w:rtl/>
          <w:lang w:bidi="ar-EG"/>
        </w:rPr>
        <w:t>يحيي الموتى</w:t>
      </w:r>
      <w:r>
        <w:rPr>
          <w:rFonts w:asciiTheme="majorBidi" w:eastAsia="Times New Roman" w:hAnsiTheme="majorBidi" w:cstheme="majorBidi"/>
          <w:lang w:bidi="ar-EG"/>
        </w:rPr>
        <w:t xml:space="preserve"> » désigne quatre idées : 1) créer du néant ; 2) </w:t>
      </w:r>
      <w:r w:rsidRPr="006D4265">
        <w:rPr>
          <w:rFonts w:asciiTheme="majorBidi" w:eastAsia="Times New Roman" w:hAnsiTheme="majorBidi" w:cstheme="majorBidi"/>
          <w:lang w:bidi="ar-EG"/>
        </w:rPr>
        <w:t>rendre la vie aux gens lors du Jugeme</w:t>
      </w:r>
      <w:r>
        <w:rPr>
          <w:rFonts w:asciiTheme="majorBidi" w:eastAsia="Times New Roman" w:hAnsiTheme="majorBidi" w:cstheme="majorBidi"/>
          <w:lang w:bidi="ar-EG"/>
        </w:rPr>
        <w:t xml:space="preserve">nt dernier ; 3) </w:t>
      </w:r>
      <w:r w:rsidRPr="006D4265">
        <w:rPr>
          <w:rFonts w:asciiTheme="majorBidi" w:eastAsia="Times New Roman" w:hAnsiTheme="majorBidi" w:cstheme="majorBidi"/>
          <w:lang w:bidi="ar-EG"/>
        </w:rPr>
        <w:t>ressusciter les gens</w:t>
      </w:r>
      <w:r>
        <w:rPr>
          <w:rFonts w:asciiTheme="majorBidi" w:eastAsia="Times New Roman" w:hAnsiTheme="majorBidi" w:cstheme="majorBidi"/>
          <w:lang w:bidi="ar-EG"/>
        </w:rPr>
        <w:t xml:space="preserve"> par la connaissance divine ; 4) </w:t>
      </w:r>
      <w:r w:rsidRPr="006D4265">
        <w:rPr>
          <w:rFonts w:asciiTheme="majorBidi" w:eastAsia="Times New Roman" w:hAnsiTheme="majorBidi" w:cstheme="majorBidi"/>
          <w:lang w:bidi="ar-EG"/>
        </w:rPr>
        <w:t>faire revenir les gens dans la vie terrestre.</w:t>
      </w:r>
    </w:p>
    <w:p w14:paraId="5EA45F99" w14:textId="77777777" w:rsidR="00296288" w:rsidRPr="006D4265" w:rsidRDefault="00296288" w:rsidP="00296288">
      <w:pPr>
        <w:spacing w:line="360" w:lineRule="auto"/>
        <w:jc w:val="both"/>
      </w:pPr>
    </w:p>
    <w:p w14:paraId="62F450F0" w14:textId="77777777" w:rsidR="00296288" w:rsidRPr="00EB16B1" w:rsidRDefault="00296288" w:rsidP="00296288">
      <w:pPr>
        <w:spacing w:line="360" w:lineRule="auto"/>
        <w:jc w:val="both"/>
        <w:rPr>
          <w:b/>
          <w:bCs/>
        </w:rPr>
      </w:pPr>
      <w:r w:rsidRPr="00EB16B1">
        <w:rPr>
          <w:b/>
          <w:bCs/>
        </w:rPr>
        <w:t>Le sens de la répétition :</w:t>
      </w:r>
    </w:p>
    <w:p w14:paraId="51D1F7A7" w14:textId="77777777" w:rsidR="00296288" w:rsidRPr="006D4265" w:rsidRDefault="00296288" w:rsidP="00296288">
      <w:pPr>
        <w:spacing w:line="360" w:lineRule="auto"/>
        <w:ind w:firstLine="426"/>
        <w:jc w:val="both"/>
        <w:rPr>
          <w:rFonts w:eastAsia="Times New Roman"/>
          <w:lang w:bidi="ar-AE"/>
        </w:rPr>
      </w:pPr>
      <w:r w:rsidRPr="006D4265">
        <w:rPr>
          <w:rFonts w:eastAsia="Times New Roman"/>
          <w:lang w:bidi="ar-AE"/>
        </w:rPr>
        <w:t>Nous re</w:t>
      </w:r>
      <w:r>
        <w:rPr>
          <w:rFonts w:eastAsia="Times New Roman"/>
          <w:lang w:bidi="ar-AE"/>
        </w:rPr>
        <w:t xml:space="preserve">marquons que le verset 8 est </w:t>
      </w:r>
      <w:r w:rsidRPr="006D4265">
        <w:rPr>
          <w:rFonts w:eastAsia="Times New Roman"/>
          <w:lang w:bidi="ar-AE"/>
        </w:rPr>
        <w:t xml:space="preserve">une répétition du verset 3 avec un changement de la clausule. </w:t>
      </w:r>
    </w:p>
    <w:p w14:paraId="7F16B428" w14:textId="77777777" w:rsidR="00296288" w:rsidRPr="006D4265" w:rsidRDefault="00296288" w:rsidP="00296288">
      <w:pPr>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(3) </w:t>
      </w:r>
      <w:r w:rsidRPr="006D4265">
        <w:rPr>
          <w:rFonts w:ascii="Simplified Arabic" w:eastAsia="Times New Roman" w:hAnsi="Simplified Arabic" w:cs="Simplified Arabic"/>
          <w:i/>
          <w:iCs/>
          <w:rtl/>
          <w:lang w:bidi="ar-AE"/>
        </w:rPr>
        <w:t>ومِنَ النَّاسِ مَنْ يُجادِلُ في اللهِ بِغيرِ عِلْمٍ</w:t>
      </w:r>
      <w:r w:rsidRPr="006D4265">
        <w:rPr>
          <w:rFonts w:ascii="Simplified Arabic" w:eastAsia="Times New Roman" w:hAnsi="Simplified Arabic" w:cs="Simplified Arabic"/>
          <w:rtl/>
          <w:lang w:bidi="ar-AE"/>
        </w:rPr>
        <w:t xml:space="preserve"> / ويَـتَّبِعُ كُلَّ شيطانٍ مَرِيدٍ.</w:t>
      </w:r>
    </w:p>
    <w:p w14:paraId="250A515A" w14:textId="77777777" w:rsidR="00296288" w:rsidRPr="006D4265" w:rsidRDefault="00296288" w:rsidP="00296288">
      <w:pPr>
        <w:bidi/>
        <w:spacing w:line="360" w:lineRule="auto"/>
        <w:jc w:val="both"/>
        <w:rPr>
          <w:rFonts w:eastAsia="Times New Roman"/>
          <w:rtl/>
          <w:lang w:bidi="ar-AE"/>
        </w:rPr>
      </w:pPr>
      <w:r w:rsidRPr="006D4265">
        <w:rPr>
          <w:rFonts w:ascii="Simplified Arabic" w:eastAsia="Times New Roman" w:hAnsi="Simplified Arabic" w:cs="Simplified Arabic"/>
          <w:rtl/>
          <w:lang w:bidi="ar-AE"/>
        </w:rPr>
        <w:t xml:space="preserve">(8) </w:t>
      </w:r>
      <w:r w:rsidRPr="006D4265">
        <w:rPr>
          <w:rFonts w:ascii="Simplified Arabic" w:eastAsia="Times New Roman" w:hAnsi="Simplified Arabic" w:cs="Simplified Arabic"/>
          <w:i/>
          <w:iCs/>
          <w:rtl/>
          <w:lang w:bidi="ar-AE"/>
        </w:rPr>
        <w:t>ومِنَ النَّاسِ مَنْ يُجادِلُ في اللهِ بِغَيْرِ عِلْمٍ</w:t>
      </w:r>
      <w:r w:rsidRPr="006D4265">
        <w:rPr>
          <w:rFonts w:ascii="Simplified Arabic" w:eastAsia="Times New Roman" w:hAnsi="Simplified Arabic" w:cs="Simplified Arabic"/>
          <w:rtl/>
          <w:lang w:bidi="ar-AE"/>
        </w:rPr>
        <w:t xml:space="preserve"> / ولا هُدىً ولا كِتَابٍ مُنِيرٍ.</w:t>
      </w:r>
    </w:p>
    <w:p w14:paraId="17DFB60D" w14:textId="77777777" w:rsidR="00296288" w:rsidRPr="006D4265" w:rsidRDefault="00296288" w:rsidP="00296288">
      <w:pPr>
        <w:spacing w:line="360" w:lineRule="auto"/>
        <w:ind w:firstLine="708"/>
        <w:jc w:val="both"/>
        <w:rPr>
          <w:rFonts w:eastAsia="Times New Roman"/>
          <w:rtl/>
          <w:lang w:bidi="ar-AE"/>
        </w:rPr>
      </w:pPr>
    </w:p>
    <w:p w14:paraId="7C57C7B7" w14:textId="77777777" w:rsidR="00296288" w:rsidRPr="006D4265" w:rsidRDefault="00296288" w:rsidP="00296288">
      <w:pPr>
        <w:spacing w:line="360" w:lineRule="auto"/>
        <w:ind w:firstLine="426"/>
        <w:jc w:val="both"/>
        <w:rPr>
          <w:rFonts w:eastAsia="Times New Roman"/>
          <w:lang w:bidi="ar-AE"/>
        </w:rPr>
      </w:pPr>
      <w:r w:rsidRPr="006D4265">
        <w:rPr>
          <w:rFonts w:eastAsia="Times New Roman"/>
          <w:lang w:bidi="ar-AE"/>
        </w:rPr>
        <w:t>Cependant, la répétition ajoute-t-elle quelque chose ? Est-elle polysémique ? Selon les exégètes et les grammairiens, la répétition (</w:t>
      </w:r>
      <w:r w:rsidRPr="006D4265">
        <w:rPr>
          <w:rFonts w:eastAsia="Times New Roman"/>
          <w:i/>
          <w:iCs/>
          <w:lang w:bidi="ar-AE"/>
        </w:rPr>
        <w:t>tikrār</w:t>
      </w:r>
      <w:r w:rsidRPr="006D4265">
        <w:rPr>
          <w:rFonts w:eastAsia="Times New Roman"/>
          <w:lang w:bidi="ar-AE"/>
        </w:rPr>
        <w:t xml:space="preserve">) est une figure de rhétorique et un type de </w:t>
      </w:r>
      <w:r w:rsidRPr="006D4265">
        <w:rPr>
          <w:rFonts w:eastAsia="Times New Roman"/>
          <w:i/>
          <w:iCs/>
          <w:lang w:bidi="ar-AE"/>
        </w:rPr>
        <w:t>iṭnāb</w:t>
      </w:r>
      <w:r w:rsidRPr="006D4265">
        <w:rPr>
          <w:rFonts w:eastAsia="Times New Roman"/>
          <w:lang w:bidi="ar-AE"/>
        </w:rPr>
        <w:t xml:space="preserve"> [pléonasme] qui a </w:t>
      </w:r>
      <w:r>
        <w:rPr>
          <w:rFonts w:eastAsia="Times New Roman"/>
          <w:lang w:bidi="ar-AE"/>
        </w:rPr>
        <w:t>pour objectif de renforcer et</w:t>
      </w:r>
      <w:r w:rsidRPr="006D4265">
        <w:rPr>
          <w:rFonts w:eastAsia="Times New Roman"/>
          <w:lang w:bidi="ar-AE"/>
        </w:rPr>
        <w:t xml:space="preserve"> affirmer l’expression</w:t>
      </w:r>
      <w:r w:rsidRPr="006D4265">
        <w:rPr>
          <w:rFonts w:eastAsia="Times New Roman"/>
          <w:vertAlign w:val="superscript"/>
          <w:lang w:bidi="ar-AE"/>
        </w:rPr>
        <w:footnoteReference w:id="328"/>
      </w:r>
      <w:r>
        <w:rPr>
          <w:rFonts w:eastAsia="Times New Roman"/>
          <w:lang w:bidi="ar-AE"/>
        </w:rPr>
        <w:t>,</w:t>
      </w:r>
      <w:r w:rsidRPr="006D4265">
        <w:rPr>
          <w:rFonts w:eastAsia="Times New Roman"/>
          <w:lang w:bidi="ar-AE"/>
        </w:rPr>
        <w:t xml:space="preserve"> ra</w:t>
      </w:r>
      <w:r>
        <w:rPr>
          <w:rFonts w:eastAsia="Times New Roman"/>
          <w:lang w:bidi="ar-AE"/>
        </w:rPr>
        <w:t xml:space="preserve">ppeler une idée déjà évoquée, attirer l’attention, exagérer, développer, </w:t>
      </w:r>
      <w:r w:rsidRPr="006D4265">
        <w:rPr>
          <w:rFonts w:eastAsia="Times New Roman"/>
          <w:lang w:bidi="ar-AE"/>
        </w:rPr>
        <w:t>segmenter</w:t>
      </w:r>
      <w:r>
        <w:rPr>
          <w:rFonts w:eastAsia="Times New Roman"/>
          <w:lang w:bidi="ar-AE"/>
        </w:rPr>
        <w:t xml:space="preserve"> et détailler les idées,</w:t>
      </w:r>
      <w:r w:rsidRPr="006D4265">
        <w:rPr>
          <w:rFonts w:eastAsia="Times New Roman"/>
          <w:lang w:bidi="ar-AE"/>
        </w:rPr>
        <w:t xml:space="preserve"> se délecter à la parole.</w:t>
      </w:r>
      <w:r w:rsidRPr="006D4265">
        <w:rPr>
          <w:rFonts w:eastAsia="Times New Roman"/>
          <w:vertAlign w:val="superscript"/>
          <w:lang w:bidi="ar-AE"/>
        </w:rPr>
        <w:footnoteReference w:id="329"/>
      </w:r>
    </w:p>
    <w:p w14:paraId="4E95C41F" w14:textId="77777777" w:rsidR="00296288" w:rsidRPr="006D4265" w:rsidRDefault="00296288" w:rsidP="00296288">
      <w:pPr>
        <w:spacing w:line="360" w:lineRule="auto"/>
        <w:ind w:firstLine="708"/>
        <w:jc w:val="both"/>
        <w:rPr>
          <w:rFonts w:eastAsia="Times New Roman"/>
          <w:lang w:bidi="ar-AE"/>
        </w:rPr>
      </w:pPr>
    </w:p>
    <w:p w14:paraId="6291B0DA" w14:textId="77777777" w:rsidR="00296288" w:rsidRPr="006D4265" w:rsidRDefault="00296288" w:rsidP="00296288">
      <w:pPr>
        <w:spacing w:line="360" w:lineRule="auto"/>
        <w:ind w:firstLine="426"/>
        <w:jc w:val="both"/>
        <w:rPr>
          <w:rFonts w:eastAsia="Times New Roman"/>
          <w:lang w:bidi="ar-AE"/>
        </w:rPr>
      </w:pPr>
      <w:r>
        <w:rPr>
          <w:rFonts w:eastAsia="Times New Roman"/>
          <w:lang w:bidi="ar-AE"/>
        </w:rPr>
        <w:t>Le type de</w:t>
      </w:r>
      <w:r w:rsidRPr="006D4265">
        <w:rPr>
          <w:rFonts w:eastAsia="Times New Roman"/>
          <w:lang w:bidi="ar-AE"/>
        </w:rPr>
        <w:t xml:space="preserve"> répétition dans le verset en question est une répétition séparée </w:t>
      </w:r>
      <w:r>
        <w:rPr>
          <w:rFonts w:eastAsia="Times New Roman"/>
          <w:lang w:bidi="ar-AE"/>
        </w:rPr>
        <w:t>(</w:t>
      </w:r>
      <w:r w:rsidRPr="006D4265">
        <w:rPr>
          <w:rFonts w:eastAsia="Times New Roman"/>
          <w:i/>
          <w:iCs/>
          <w:lang w:bidi="ar-AE"/>
        </w:rPr>
        <w:t>tikrār mafṣūl</w:t>
      </w:r>
      <w:r>
        <w:rPr>
          <w:rFonts w:eastAsia="Times New Roman"/>
          <w:lang w:bidi="ar-AE"/>
        </w:rPr>
        <w:t>, par opposition à</w:t>
      </w:r>
      <w:r w:rsidRPr="006D4265">
        <w:rPr>
          <w:rFonts w:eastAsia="Times New Roman"/>
          <w:lang w:bidi="ar-AE"/>
        </w:rPr>
        <w:t xml:space="preserve"> </w:t>
      </w:r>
      <w:r w:rsidRPr="006D4265">
        <w:rPr>
          <w:rFonts w:eastAsia="Times New Roman"/>
          <w:i/>
          <w:iCs/>
          <w:lang w:bidi="ar-AE"/>
        </w:rPr>
        <w:t>tikrār mawṣūl</w:t>
      </w:r>
      <w:r w:rsidRPr="006D4265">
        <w:rPr>
          <w:rFonts w:eastAsia="Times New Roman"/>
          <w:lang w:bidi="ar-AE"/>
        </w:rPr>
        <w:t xml:space="preserve"> [répétition reliée]) ainsi qu’une répétition de termes et d</w:t>
      </w:r>
      <w:r>
        <w:rPr>
          <w:rFonts w:eastAsia="Times New Roman"/>
          <w:lang w:bidi="ar-AE"/>
        </w:rPr>
        <w:t>e sens à la fois (</w:t>
      </w:r>
      <w:r>
        <w:rPr>
          <w:rFonts w:eastAsia="Times New Roman"/>
          <w:i/>
          <w:iCs/>
          <w:lang w:bidi="ar-AE"/>
        </w:rPr>
        <w:t>tikrār al-lafẓ wa-</w:t>
      </w:r>
      <w:r w:rsidRPr="006D4265">
        <w:rPr>
          <w:rFonts w:eastAsia="Times New Roman"/>
          <w:i/>
          <w:iCs/>
          <w:lang w:bidi="ar-AE"/>
        </w:rPr>
        <w:t>l-maʿnā</w:t>
      </w:r>
      <w:r>
        <w:rPr>
          <w:rFonts w:eastAsia="Times New Roman"/>
          <w:lang w:bidi="ar-AE"/>
        </w:rPr>
        <w:t xml:space="preserve">, </w:t>
      </w:r>
      <w:r w:rsidRPr="006D4265">
        <w:rPr>
          <w:rFonts w:eastAsia="Times New Roman"/>
          <w:lang w:bidi="ar-AE"/>
        </w:rPr>
        <w:t>par opposition à la répétition de sens</w:t>
      </w:r>
      <w:r>
        <w:rPr>
          <w:rFonts w:eastAsia="Times New Roman"/>
          <w:lang w:bidi="ar-AE"/>
        </w:rPr>
        <w:t xml:space="preserve"> </w:t>
      </w:r>
      <w:r w:rsidRPr="006D4265">
        <w:rPr>
          <w:rFonts w:eastAsia="Times New Roman"/>
          <w:lang w:bidi="ar-AE"/>
        </w:rPr>
        <w:t>seulement</w:t>
      </w:r>
      <w:r>
        <w:rPr>
          <w:rFonts w:eastAsia="Times New Roman"/>
          <w:lang w:bidi="ar-AE"/>
        </w:rPr>
        <w:t xml:space="preserve">, </w:t>
      </w:r>
      <w:r w:rsidRPr="006D4265">
        <w:rPr>
          <w:rFonts w:eastAsia="Times New Roman"/>
          <w:i/>
          <w:iCs/>
          <w:lang w:bidi="ar-AE"/>
        </w:rPr>
        <w:t>tikrār al-maʿnā</w:t>
      </w:r>
      <w:r w:rsidRPr="006D4265">
        <w:rPr>
          <w:rFonts w:eastAsia="Times New Roman"/>
          <w:lang w:bidi="ar-AE"/>
        </w:rPr>
        <w:t>). Pourtant, bien que des exégètes (</w:t>
      </w:r>
      <w:r>
        <w:rPr>
          <w:rFonts w:eastAsia="Times New Roman"/>
        </w:rPr>
        <w:t>As-Suyūṭī,</w:t>
      </w:r>
      <w:r w:rsidRPr="006D4265">
        <w:rPr>
          <w:rFonts w:eastAsia="Times New Roman"/>
        </w:rPr>
        <w:t xml:space="preserve"> </w:t>
      </w:r>
      <w:r w:rsidRPr="006D4265">
        <w:rPr>
          <w:rFonts w:eastAsia="Times New Roman" w:cs="Arial"/>
          <w:lang w:bidi="ar-AE"/>
        </w:rPr>
        <w:t>Ibn Taymīya</w:t>
      </w:r>
      <w:r w:rsidRPr="006D4265">
        <w:rPr>
          <w:rFonts w:eastAsia="Times New Roman"/>
          <w:lang w:bidi="ar-AE"/>
        </w:rPr>
        <w:t xml:space="preserve">) aient admis la répétition dans le Coran </w:t>
      </w:r>
      <w:r w:rsidRPr="006D4265">
        <w:rPr>
          <w:rFonts w:eastAsia="Times New Roman"/>
          <w:lang w:bidi="ar-AE"/>
        </w:rPr>
        <w:lastRenderedPageBreak/>
        <w:t>comme figure de style, d’autres théologiens refusent l’existence de tel phénomène (</w:t>
      </w:r>
      <w:r w:rsidRPr="006D4265">
        <w:rPr>
          <w:rFonts w:eastAsia="Times New Roman"/>
        </w:rPr>
        <w:t>Al-Ghazālī</w:t>
      </w:r>
      <w:r w:rsidRPr="006D4265">
        <w:rPr>
          <w:rFonts w:eastAsia="Times New Roman"/>
          <w:vertAlign w:val="superscript"/>
          <w:lang w:bidi="ar-AE"/>
        </w:rPr>
        <w:footnoteReference w:id="330"/>
      </w:r>
      <w:r>
        <w:rPr>
          <w:rFonts w:eastAsia="Times New Roman"/>
        </w:rPr>
        <w:t>, Sayyid Quṭ</w:t>
      </w:r>
      <w:r w:rsidRPr="006D4265">
        <w:rPr>
          <w:rFonts w:eastAsia="Times New Roman"/>
        </w:rPr>
        <w:t xml:space="preserve">b dans </w:t>
      </w:r>
      <w:r>
        <w:rPr>
          <w:rFonts w:eastAsia="Times New Roman"/>
          <w:i/>
          <w:iCs/>
        </w:rPr>
        <w:t>At-Taṣwīr al-fannī fi l-q</w:t>
      </w:r>
      <w:r w:rsidRPr="006D4265">
        <w:rPr>
          <w:rFonts w:eastAsia="Times New Roman"/>
          <w:i/>
          <w:iCs/>
        </w:rPr>
        <w:t>urʾān</w:t>
      </w:r>
      <w:r w:rsidRPr="006D4265">
        <w:rPr>
          <w:rFonts w:eastAsia="Times New Roman"/>
        </w:rPr>
        <w:t>, Muḥammad Saʿīd Ramaḍān</w:t>
      </w:r>
      <w:r w:rsidRPr="006D4265">
        <w:rPr>
          <w:rFonts w:eastAsia="Times New Roman"/>
          <w:lang w:bidi="ar-AE"/>
        </w:rPr>
        <w:t xml:space="preserve"> Al-Būṭī</w:t>
      </w:r>
      <w:r w:rsidRPr="006D4265">
        <w:rPr>
          <w:rFonts w:eastAsia="Times New Roman"/>
        </w:rPr>
        <w:t xml:space="preserve"> et</w:t>
      </w:r>
      <w:r w:rsidRPr="006D4265">
        <w:rPr>
          <w:rFonts w:eastAsia="Times New Roman"/>
          <w:lang w:bidi="ar-AE"/>
        </w:rPr>
        <w:t xml:space="preserve"> Fāḍil As-Sāmurrāʾī), en appelant ce procédé </w:t>
      </w:r>
      <w:r w:rsidRPr="00686EDC">
        <w:rPr>
          <w:rFonts w:eastAsia="Times New Roman"/>
          <w:i/>
          <w:iCs/>
          <w:lang w:bidi="ar-AE"/>
        </w:rPr>
        <w:t>tanwīʿ</w:t>
      </w:r>
      <w:r w:rsidRPr="00686EDC">
        <w:rPr>
          <w:rFonts w:eastAsia="Times New Roman"/>
          <w:lang w:bidi="ar-AE"/>
        </w:rPr>
        <w:t xml:space="preserve"> [variation] ou </w:t>
      </w:r>
      <w:r w:rsidRPr="00686EDC">
        <w:rPr>
          <w:rFonts w:eastAsia="Times New Roman"/>
          <w:i/>
          <w:iCs/>
          <w:lang w:bidi="ar-AE"/>
        </w:rPr>
        <w:t>takāmul</w:t>
      </w:r>
      <w:r w:rsidRPr="00686EDC">
        <w:rPr>
          <w:rFonts w:eastAsia="Times New Roman"/>
          <w:lang w:bidi="ar-AE"/>
        </w:rPr>
        <w:t xml:space="preserve"> [complémentarité]. Selon eux, on a l’impression qu’il y a une répétition, mais l’expression répétée révèle un nouvel</w:t>
      </w:r>
      <w:r w:rsidRPr="006D4265">
        <w:rPr>
          <w:rFonts w:eastAsia="Times New Roman"/>
          <w:lang w:bidi="ar-AE"/>
        </w:rPr>
        <w:t xml:space="preserve"> aspect à chaque fois qu’elle est répétée.</w:t>
      </w:r>
    </w:p>
    <w:p w14:paraId="0A3A8200" w14:textId="77777777" w:rsidR="00296288" w:rsidRPr="006D4265" w:rsidRDefault="00296288" w:rsidP="00296288">
      <w:pPr>
        <w:spacing w:line="360" w:lineRule="auto"/>
        <w:ind w:firstLine="708"/>
        <w:jc w:val="both"/>
        <w:rPr>
          <w:rFonts w:eastAsia="Times New Roman"/>
          <w:lang w:bidi="ar-AE"/>
        </w:rPr>
      </w:pPr>
    </w:p>
    <w:p w14:paraId="0199F592" w14:textId="77777777" w:rsidR="00296288" w:rsidRPr="006D4265" w:rsidRDefault="00296288" w:rsidP="00296288">
      <w:pPr>
        <w:spacing w:line="360" w:lineRule="auto"/>
        <w:ind w:firstLine="708"/>
        <w:jc w:val="both"/>
        <w:rPr>
          <w:rFonts w:eastAsia="Times New Roman"/>
          <w:lang w:bidi="ar-AE"/>
        </w:rPr>
      </w:pPr>
      <w:r w:rsidRPr="006D4265">
        <w:rPr>
          <w:rFonts w:eastAsia="Times New Roman"/>
          <w:lang w:bidi="ar-AE"/>
        </w:rPr>
        <w:t xml:space="preserve">Dans le verset 8, il semble y avoir une pure répétition pour affirmer l’idée qu’après ces preuves données par le Coran il ne faut pas disputer pour disputer ou pour emboîter le pas à Satan sans avoir les outils nécessaires </w:t>
      </w:r>
      <w:r>
        <w:rPr>
          <w:rFonts w:eastAsia="Times New Roman"/>
          <w:lang w:bidi="ar-AE"/>
        </w:rPr>
        <w:t>à</w:t>
      </w:r>
      <w:r w:rsidRPr="006D4265">
        <w:rPr>
          <w:rFonts w:eastAsia="Times New Roman"/>
          <w:lang w:bidi="ar-AE"/>
        </w:rPr>
        <w:t xml:space="preserve"> la dispute. Mais, conformément à l’hypothèse de la non-répétition dans le Coran, nous pourrions dire que la première phrase (verset 3) mettrait l’accent sur la corrélation entre la dispute sur Dieu sans connaissance biblique d’un côté et la soumission à la volonté de Satan d’un autre côté. Par contre, la seconde phrase mettrait en évidence les conditions de ce type de dispute.</w:t>
      </w:r>
    </w:p>
    <w:p w14:paraId="0A6EA507" w14:textId="77777777" w:rsidR="00296288" w:rsidRPr="006D4265" w:rsidRDefault="00296288" w:rsidP="00296288">
      <w:pPr>
        <w:spacing w:line="360" w:lineRule="auto"/>
        <w:ind w:firstLine="708"/>
        <w:jc w:val="both"/>
        <w:rPr>
          <w:rFonts w:eastAsia="Times New Roman"/>
          <w:lang w:bidi="ar-AE"/>
        </w:rPr>
      </w:pPr>
    </w:p>
    <w:p w14:paraId="51BDBFDB" w14:textId="77777777" w:rsidR="00296288" w:rsidRPr="005C78DA" w:rsidRDefault="00296288" w:rsidP="00296288">
      <w:pPr>
        <w:spacing w:line="360" w:lineRule="auto"/>
        <w:ind w:firstLine="708"/>
        <w:jc w:val="both"/>
        <w:rPr>
          <w:rFonts w:eastAsia="Calibri"/>
        </w:rPr>
      </w:pPr>
      <w:r w:rsidRPr="006D4265">
        <w:rPr>
          <w:rFonts w:eastAsia="Calibri"/>
        </w:rPr>
        <w:t xml:space="preserve">Il existe également une répétition de </w:t>
      </w:r>
      <w:r w:rsidRPr="005C78DA">
        <w:rPr>
          <w:rFonts w:eastAsia="Calibri"/>
        </w:rPr>
        <w:t>l’idée dans le verset 48, qui n’est qu’une reformulation de l’idée du verset 45, avec une variation (</w:t>
      </w:r>
      <w:r w:rsidRPr="005C78DA">
        <w:rPr>
          <w:rFonts w:eastAsia="Times New Roman"/>
          <w:i/>
          <w:iCs/>
          <w:lang w:bidi="ar-AE"/>
        </w:rPr>
        <w:t>tanwīʿ</w:t>
      </w:r>
      <w:r w:rsidRPr="005C78DA">
        <w:rPr>
          <w:rFonts w:eastAsia="Times New Roman"/>
          <w:lang w:bidi="ar-AE"/>
        </w:rPr>
        <w:t>)</w:t>
      </w:r>
      <w:r w:rsidRPr="005C78DA">
        <w:rPr>
          <w:rFonts w:eastAsia="Calibri"/>
        </w:rPr>
        <w:t> : le sursis du châtiment, la description de la cité.</w:t>
      </w:r>
    </w:p>
    <w:p w14:paraId="77761061" w14:textId="77777777" w:rsidR="00296288" w:rsidRPr="006D4265" w:rsidRDefault="00296288" w:rsidP="00296288">
      <w:pPr>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(45) </w:t>
      </w:r>
      <w:r w:rsidRPr="006D4265">
        <w:rPr>
          <w:rFonts w:ascii="Simplified Arabic" w:eastAsia="Times New Roman" w:hAnsi="Simplified Arabic" w:cs="Simplified Arabic" w:hint="cs"/>
          <w:rtl/>
        </w:rPr>
        <w:t>"</w:t>
      </w:r>
      <w:r w:rsidRPr="006D4265">
        <w:rPr>
          <w:rFonts w:ascii="Simplified Arabic" w:eastAsia="Times New Roman" w:hAnsi="Simplified Arabic" w:cs="Simplified Arabic"/>
          <w:rtl/>
          <w:lang w:bidi="ar-AE"/>
        </w:rPr>
        <w:t>فكأيِّنْ من قريةٍ أهلك</w:t>
      </w:r>
      <w:r w:rsidRPr="006D4265">
        <w:rPr>
          <w:rFonts w:ascii="Simplified Arabic" w:eastAsia="Times New Roman" w:hAnsi="Simplified Arabic" w:cs="Simplified Arabic"/>
          <w:u w:val="single"/>
          <w:rtl/>
          <w:lang w:bidi="ar-AE"/>
        </w:rPr>
        <w:t>نا</w:t>
      </w:r>
      <w:r w:rsidRPr="006D4265">
        <w:rPr>
          <w:rFonts w:ascii="Simplified Arabic" w:eastAsia="Times New Roman" w:hAnsi="Simplified Arabic" w:cs="Simplified Arabic"/>
          <w:rtl/>
          <w:lang w:bidi="ar-AE"/>
        </w:rPr>
        <w:t>ها وهي ظالمةٌ فهي خاويةٌ على عُروشها وبئرٍ معطَّلةٍ وقصرٍ مَشِيدٍ.</w:t>
      </w:r>
      <w:r w:rsidRPr="006D4265">
        <w:rPr>
          <w:rFonts w:ascii="Simplified Arabic" w:eastAsia="Times New Roman" w:hAnsi="Simplified Arabic" w:cs="Simplified Arabic" w:hint="cs"/>
          <w:rtl/>
          <w:lang w:bidi="ar-AE"/>
        </w:rPr>
        <w:t>"</w:t>
      </w:r>
    </w:p>
    <w:p w14:paraId="075F5D44" w14:textId="77777777" w:rsidR="00296288" w:rsidRPr="006D4265" w:rsidRDefault="00296288" w:rsidP="00296288">
      <w:pPr>
        <w:spacing w:line="360" w:lineRule="auto"/>
        <w:contextualSpacing/>
        <w:jc w:val="both"/>
        <w:rPr>
          <w:rFonts w:eastAsia="Calibri"/>
          <w:lang w:bidi="ar-AE"/>
        </w:rPr>
      </w:pPr>
      <w:r w:rsidRPr="006D4265">
        <w:rPr>
          <w:rFonts w:eastAsia="Calibri"/>
          <w:lang w:bidi="ar-AE"/>
        </w:rPr>
        <w:t>(45) « que de cités n’avons-Nous pas détruites pour leur iniquité ! Les voilà toutes vides sur leurs assises, avec leurs puits hors de service et leurs fortins encore maçonnés »</w:t>
      </w:r>
    </w:p>
    <w:p w14:paraId="7089AF46" w14:textId="77777777" w:rsidR="00296288" w:rsidRPr="006D4265" w:rsidRDefault="00296288" w:rsidP="00296288">
      <w:pPr>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(48) </w:t>
      </w:r>
      <w:r w:rsidRPr="006D4265">
        <w:rPr>
          <w:rFonts w:ascii="Simplified Arabic" w:eastAsia="Times New Roman" w:hAnsi="Simplified Arabic" w:cs="Simplified Arabic" w:hint="cs"/>
          <w:rtl/>
          <w:lang w:bidi="ar-AE"/>
        </w:rPr>
        <w:t>"</w:t>
      </w:r>
      <w:r w:rsidRPr="006D4265">
        <w:rPr>
          <w:rFonts w:ascii="Simplified Arabic" w:eastAsia="Times New Roman" w:hAnsi="Simplified Arabic" w:cs="Simplified Arabic"/>
          <w:rtl/>
          <w:lang w:bidi="ar-AE"/>
        </w:rPr>
        <w:t>وكأيِّنْ من قريةٍ أملي</w:t>
      </w:r>
      <w:r w:rsidRPr="006D4265">
        <w:rPr>
          <w:rFonts w:ascii="Simplified Arabic" w:eastAsia="Times New Roman" w:hAnsi="Simplified Arabic" w:cs="Simplified Arabic"/>
          <w:u w:val="single"/>
          <w:rtl/>
          <w:lang w:bidi="ar-AE"/>
        </w:rPr>
        <w:t>تُ</w:t>
      </w:r>
      <w:r w:rsidRPr="006D4265">
        <w:rPr>
          <w:rFonts w:ascii="Simplified Arabic" w:eastAsia="Times New Roman" w:hAnsi="Simplified Arabic" w:cs="Simplified Arabic"/>
          <w:rtl/>
          <w:lang w:bidi="ar-AE"/>
        </w:rPr>
        <w:t xml:space="preserve"> لها وهي ظالمةٌ ثم أخذْ</w:t>
      </w:r>
      <w:r w:rsidRPr="006D4265">
        <w:rPr>
          <w:rFonts w:ascii="Simplified Arabic" w:eastAsia="Times New Roman" w:hAnsi="Simplified Arabic" w:cs="Simplified Arabic"/>
          <w:u w:val="single"/>
          <w:rtl/>
          <w:lang w:bidi="ar-AE"/>
        </w:rPr>
        <w:t>تُ</w:t>
      </w:r>
      <w:r w:rsidRPr="006D4265">
        <w:rPr>
          <w:rFonts w:ascii="Simplified Arabic" w:eastAsia="Times New Roman" w:hAnsi="Simplified Arabic" w:cs="Simplified Arabic"/>
          <w:rtl/>
          <w:lang w:bidi="ar-AE"/>
        </w:rPr>
        <w:t>ها وإليَّ المصير.</w:t>
      </w:r>
      <w:r w:rsidRPr="006D4265">
        <w:rPr>
          <w:rFonts w:ascii="Simplified Arabic" w:eastAsia="Times New Roman" w:hAnsi="Simplified Arabic" w:cs="Simplified Arabic" w:hint="cs"/>
          <w:rtl/>
          <w:lang w:bidi="ar-AE"/>
        </w:rPr>
        <w:t>"</w:t>
      </w:r>
    </w:p>
    <w:p w14:paraId="6D160BC2" w14:textId="77777777" w:rsidR="00296288" w:rsidRPr="006D4265" w:rsidRDefault="00296288" w:rsidP="00296288">
      <w:pPr>
        <w:spacing w:line="360" w:lineRule="auto"/>
        <w:jc w:val="both"/>
        <w:rPr>
          <w:rFonts w:ascii="Simplified Arabic" w:eastAsia="Times New Roman" w:hAnsi="Simplified Arabic" w:cs="Simplified Arabic"/>
          <w:lang w:bidi="ar-AE"/>
        </w:rPr>
      </w:pPr>
      <w:r w:rsidRPr="006D4265">
        <w:rPr>
          <w:rFonts w:eastAsia="Calibri"/>
          <w:lang w:bidi="ar-AE"/>
        </w:rPr>
        <w:t>(48) « À combien de cités n’avais-Je pas accordé sursis, malgré leur iniquité ? et puis Je m’emparai d’elles. Et vers Moi destination de tout. »</w:t>
      </w:r>
    </w:p>
    <w:p w14:paraId="01CE1115" w14:textId="77777777" w:rsidR="00296288" w:rsidRPr="006D4265" w:rsidRDefault="00296288" w:rsidP="00296288">
      <w:pPr>
        <w:spacing w:line="360" w:lineRule="auto"/>
        <w:ind w:firstLine="426"/>
        <w:jc w:val="both"/>
        <w:rPr>
          <w:rFonts w:eastAsia="Calibri"/>
        </w:rPr>
      </w:pPr>
      <w:r w:rsidRPr="006D4265">
        <w:rPr>
          <w:rFonts w:eastAsia="Calibri"/>
        </w:rPr>
        <w:t xml:space="preserve">Il se peut qu’il </w:t>
      </w:r>
      <w:r w:rsidRPr="006227C8">
        <w:rPr>
          <w:rFonts w:eastAsia="Calibri"/>
        </w:rPr>
        <w:t xml:space="preserve">soit extrait d’un autre contexte, d’un autre discours, d’une autre harangue, d’autant plus que le pronom sujet n’est pas le même dans les deux versets (pluriel dans le premier, singulier dans le second) mais qu’ils renvoient à la même personne : Dieu. La répétition </w:t>
      </w:r>
      <w:r w:rsidRPr="006227C8">
        <w:rPr>
          <w:rFonts w:eastAsia="Calibri"/>
        </w:rPr>
        <w:lastRenderedPageBreak/>
        <w:t>a aussi un rôle, c’est de renforcer l’idée, d’exagérer ou de se délecter à la parole.</w:t>
      </w:r>
      <w:r w:rsidRPr="006227C8">
        <w:rPr>
          <w:rFonts w:eastAsia="Calibri"/>
          <w:vertAlign w:val="superscript"/>
          <w:lang w:bidi="ar-AE"/>
        </w:rPr>
        <w:footnoteReference w:id="331"/>
      </w:r>
      <w:r w:rsidRPr="006227C8">
        <w:rPr>
          <w:rFonts w:eastAsia="Calibri"/>
        </w:rPr>
        <w:t xml:space="preserve"> Mais puisque le Coran est un texte psalmodié, le rôle</w:t>
      </w:r>
      <w:r w:rsidRPr="006D4265">
        <w:rPr>
          <w:rFonts w:eastAsia="Calibri"/>
        </w:rPr>
        <w:t xml:space="preserve"> essentiel de la répétition est musical et incantatoire.</w:t>
      </w:r>
    </w:p>
    <w:p w14:paraId="597212FE" w14:textId="77777777" w:rsidR="00296288" w:rsidRPr="006D4265" w:rsidRDefault="00296288" w:rsidP="00296288">
      <w:pPr>
        <w:spacing w:line="360" w:lineRule="auto"/>
        <w:ind w:firstLine="708"/>
        <w:jc w:val="both"/>
        <w:rPr>
          <w:rFonts w:eastAsia="Times New Roman"/>
          <w:lang w:bidi="ar-AE"/>
        </w:rPr>
      </w:pPr>
    </w:p>
    <w:p w14:paraId="084F753E" w14:textId="77777777" w:rsidR="00296288" w:rsidRPr="006D4265" w:rsidRDefault="00296288" w:rsidP="00296288">
      <w:pPr>
        <w:spacing w:line="360" w:lineRule="auto"/>
        <w:jc w:val="both"/>
        <w:rPr>
          <w:b/>
          <w:bCs/>
        </w:rPr>
      </w:pPr>
      <w:r w:rsidRPr="006D4265">
        <w:rPr>
          <w:b/>
          <w:bCs/>
        </w:rPr>
        <w:t>L’absence de la ponctuation :</w:t>
      </w:r>
    </w:p>
    <w:p w14:paraId="6B518345" w14:textId="77777777" w:rsidR="00296288" w:rsidRPr="006D4265" w:rsidRDefault="00296288" w:rsidP="00296288">
      <w:pPr>
        <w:spacing w:line="360" w:lineRule="auto"/>
        <w:ind w:firstLine="426"/>
        <w:jc w:val="both"/>
        <w:rPr>
          <w:rFonts w:asciiTheme="majorBidi" w:hAnsiTheme="majorBidi" w:cstheme="majorBidi"/>
        </w:rPr>
      </w:pPr>
      <w:r w:rsidRPr="006D4265">
        <w:t>L’absence de la ponctuation peut être un autre obstacle de compréhension du Coran et une autre source de polysémie. On connaît bien l’exemple de la confusion due à la ponctuation dans le verset III, 7 (</w:t>
      </w:r>
      <w:r w:rsidRPr="006D4265">
        <w:rPr>
          <w:rFonts w:ascii="Simplified Arabic" w:hAnsi="Simplified Arabic" w:cs="Simplified Arabic"/>
          <w:shd w:val="clear" w:color="auto" w:fill="FFFFFF"/>
          <w:rtl/>
        </w:rPr>
        <w:t>وما يَعْلَمُ تأويلَه إلاَّ اللهُ والراسخون في العِلمِ يقولون آمَنَّا به كُلٌّ من عِندِ ربِّنا</w:t>
      </w:r>
      <w:r w:rsidRPr="006D4265">
        <w:rPr>
          <w:rStyle w:val="apple-converted-space"/>
          <w:shd w:val="clear" w:color="auto" w:fill="FFFFFF"/>
        </w:rPr>
        <w:t> [Or, n’en connaît l’interprétation que Dieu et ceux qui sont enracinés dans la science [ils] disent : « Nous croyons en lui ; tout vient de notre Seigneur]</w:t>
      </w:r>
      <w:r w:rsidRPr="006D4265">
        <w:t>). Deux lecture</w:t>
      </w:r>
      <w:r>
        <w:t>s s’opposent. Certains arrêtent</w:t>
      </w:r>
      <w:r w:rsidRPr="006D4265">
        <w:t xml:space="preserve"> la phrase</w:t>
      </w:r>
      <w:r>
        <w:t xml:space="preserve"> après</w:t>
      </w:r>
      <w:r w:rsidRPr="006D4265">
        <w:t xml:space="preserve"> « </w:t>
      </w:r>
      <w:r w:rsidRPr="006D4265">
        <w:rPr>
          <w:rStyle w:val="apple-converted-space"/>
          <w:shd w:val="clear" w:color="auto" w:fill="FFFFFF"/>
        </w:rPr>
        <w:t>n’en co</w:t>
      </w:r>
      <w:r>
        <w:rPr>
          <w:rStyle w:val="apple-converted-space"/>
          <w:shd w:val="clear" w:color="auto" w:fill="FFFFFF"/>
        </w:rPr>
        <w:t>nnaît l’interprétation que Dieu</w:t>
      </w:r>
      <w:r w:rsidRPr="006D4265">
        <w:rPr>
          <w:rStyle w:val="apple-converted-space"/>
          <w:shd w:val="clear" w:color="auto" w:fill="FFFFFF"/>
        </w:rPr>
        <w:t xml:space="preserve"> », et reprennent ensuite une nouvelle phrase </w:t>
      </w:r>
      <w:r w:rsidRPr="006D4265">
        <w:t>« </w:t>
      </w:r>
      <w:r w:rsidRPr="006D4265">
        <w:rPr>
          <w:rStyle w:val="apple-converted-space"/>
          <w:shd w:val="clear" w:color="auto" w:fill="FFFFFF"/>
        </w:rPr>
        <w:t>Ceux qui sont enracinés dans la science disent : […]</w:t>
      </w:r>
      <w:r>
        <w:t> »</w:t>
      </w:r>
      <w:r w:rsidRPr="006D4265">
        <w:t xml:space="preserve"> </w:t>
      </w:r>
      <w:r>
        <w:t>(</w:t>
      </w:r>
      <w:r w:rsidRPr="006D4265">
        <w:t>selon ʿĀʾisha, l’épouse du prophète</w:t>
      </w:r>
      <w:r>
        <w:t>)</w:t>
      </w:r>
      <w:r w:rsidRPr="006D4265">
        <w:t>. D’autres lisent le verset ainsi : « </w:t>
      </w:r>
      <w:r w:rsidRPr="006D4265">
        <w:rPr>
          <w:rStyle w:val="apple-converted-space"/>
          <w:shd w:val="clear" w:color="auto" w:fill="FFFFFF"/>
        </w:rPr>
        <w:t>n’en connaît l’interprétation que Dieu et ceux qui sont enracinés dans l</w:t>
      </w:r>
      <w:r>
        <w:rPr>
          <w:rStyle w:val="apple-converted-space"/>
          <w:shd w:val="clear" w:color="auto" w:fill="FFFFFF"/>
        </w:rPr>
        <w:t>a science ; ils disent : […] » (</w:t>
      </w:r>
      <w:r w:rsidRPr="006D4265">
        <w:rPr>
          <w:rStyle w:val="apple-converted-space"/>
          <w:shd w:val="clear" w:color="auto" w:fill="FFFFFF"/>
        </w:rPr>
        <w:t xml:space="preserve">selon </w:t>
      </w:r>
      <w:r>
        <w:t>Ibn ʿAbbās</w:t>
      </w:r>
      <w:r w:rsidRPr="006D4265">
        <w:t>, d’après Aṭ-Ṭabarī, (qui affirmait : « Je suis de ceux qui en</w:t>
      </w:r>
      <w:r>
        <w:t xml:space="preserve"> connaissent l’interprétation »,</w:t>
      </w:r>
      <w:r w:rsidRPr="006D4265">
        <w:t xml:space="preserve"> ainsi que selon les </w:t>
      </w:r>
      <w:r w:rsidRPr="006D4265">
        <w:rPr>
          <w:rFonts w:asciiTheme="majorBidi" w:hAnsiTheme="majorBidi" w:cstheme="majorBidi"/>
        </w:rPr>
        <w:t>chii</w:t>
      </w:r>
      <w:r>
        <w:rPr>
          <w:rFonts w:asciiTheme="majorBidi" w:hAnsiTheme="majorBidi" w:cstheme="majorBidi"/>
        </w:rPr>
        <w:t>tes)</w:t>
      </w:r>
      <w:r w:rsidRPr="006D4265">
        <w:rPr>
          <w:rFonts w:asciiTheme="majorBidi" w:hAnsiTheme="majorBidi" w:cstheme="majorBidi"/>
          <w:vertAlign w:val="superscript"/>
          <w:lang w:bidi="ar-AE"/>
        </w:rPr>
        <w:footnoteReference w:id="332"/>
      </w:r>
      <w:r>
        <w:rPr>
          <w:rFonts w:asciiTheme="majorBidi" w:hAnsiTheme="majorBidi" w:cstheme="majorBidi"/>
        </w:rPr>
        <w:t xml:space="preserve">. </w:t>
      </w:r>
      <w:r w:rsidRPr="006D4265">
        <w:rPr>
          <w:rFonts w:asciiTheme="majorBidi" w:hAnsiTheme="majorBidi" w:cstheme="majorBidi"/>
        </w:rPr>
        <w:t xml:space="preserve">De cette liberté de ponctuation découlent deux idées : 1-Dieu seul connait l’interprétation du Coran ; 2-Dieu et les enracinés dans la Connaissance connaissent l’interprétation du Coran. Tout dépend du sens qu’on donne </w:t>
      </w:r>
      <w:r>
        <w:rPr>
          <w:rFonts w:asciiTheme="majorBidi" w:hAnsiTheme="majorBidi" w:cstheme="majorBidi"/>
        </w:rPr>
        <w:t>à</w:t>
      </w:r>
      <w:r w:rsidRPr="006D4265">
        <w:rPr>
          <w:rFonts w:asciiTheme="majorBidi" w:hAnsiTheme="majorBidi" w:cstheme="majorBidi"/>
        </w:rPr>
        <w:t xml:space="preserve"> </w:t>
      </w:r>
      <w:r w:rsidRPr="006D4265">
        <w:rPr>
          <w:rFonts w:asciiTheme="majorBidi" w:hAnsiTheme="majorBidi" w:cstheme="majorBidi"/>
          <w:i/>
          <w:iCs/>
        </w:rPr>
        <w:t>ta</w:t>
      </w:r>
      <w:r w:rsidRPr="006D4265">
        <w:rPr>
          <w:rFonts w:asciiTheme="majorBidi" w:eastAsia="Times New Roman" w:hAnsiTheme="majorBidi" w:cstheme="majorBidi"/>
          <w:i/>
          <w:iCs/>
        </w:rPr>
        <w:t>ʾwīla</w:t>
      </w:r>
      <w:r>
        <w:rPr>
          <w:rFonts w:asciiTheme="majorBidi" w:eastAsia="Times New Roman" w:hAnsiTheme="majorBidi" w:cstheme="majorBidi"/>
          <w:i/>
          <w:iCs/>
        </w:rPr>
        <w:t>-</w:t>
      </w:r>
      <w:r w:rsidRPr="006D4265">
        <w:rPr>
          <w:rFonts w:asciiTheme="majorBidi" w:eastAsia="Times New Roman" w:hAnsiTheme="majorBidi" w:cstheme="majorBidi"/>
          <w:i/>
          <w:iCs/>
        </w:rPr>
        <w:t>hu</w:t>
      </w:r>
      <w:r w:rsidRPr="006D4265">
        <w:rPr>
          <w:rFonts w:asciiTheme="majorBidi" w:eastAsia="Times New Roman" w:hAnsiTheme="majorBidi" w:cstheme="majorBidi"/>
        </w:rPr>
        <w:t xml:space="preserve"> </w:t>
      </w:r>
      <w:r w:rsidRPr="006D4265">
        <w:rPr>
          <w:rFonts w:asciiTheme="majorBidi" w:hAnsiTheme="majorBidi" w:cstheme="majorBidi"/>
        </w:rPr>
        <w:t>[</w:t>
      </w:r>
      <w:r w:rsidRPr="006D4265">
        <w:rPr>
          <w:rFonts w:asciiTheme="majorBidi" w:eastAsia="Times New Roman" w:hAnsiTheme="majorBidi" w:cstheme="majorBidi"/>
        </w:rPr>
        <w:t>son interprétation</w:t>
      </w:r>
      <w:r w:rsidRPr="006D4265">
        <w:rPr>
          <w:rFonts w:asciiTheme="majorBidi" w:hAnsiTheme="majorBidi" w:cstheme="majorBidi"/>
        </w:rPr>
        <w:t xml:space="preserve">]. Si on veut dire par </w:t>
      </w:r>
      <w:r w:rsidRPr="006D4265">
        <w:rPr>
          <w:rFonts w:asciiTheme="majorBidi" w:hAnsiTheme="majorBidi" w:cstheme="majorBidi"/>
          <w:i/>
          <w:iCs/>
        </w:rPr>
        <w:t>ta</w:t>
      </w:r>
      <w:r w:rsidRPr="006D4265">
        <w:rPr>
          <w:rFonts w:asciiTheme="majorBidi" w:eastAsia="Times New Roman" w:hAnsiTheme="majorBidi" w:cstheme="majorBidi"/>
          <w:i/>
          <w:iCs/>
        </w:rPr>
        <w:t>ʾwīlahu</w:t>
      </w:r>
      <w:r w:rsidRPr="006D4265">
        <w:rPr>
          <w:rFonts w:asciiTheme="majorBidi" w:hAnsiTheme="majorBidi" w:cstheme="majorBidi"/>
        </w:rPr>
        <w:t xml:space="preserve"> les tenants et les aboutissants de la signification et le véritable sens du Coran, on choisit donc la première interprétation. Et si on veut dire par « </w:t>
      </w:r>
      <w:r w:rsidRPr="006D4265">
        <w:rPr>
          <w:rFonts w:asciiTheme="majorBidi" w:hAnsiTheme="majorBidi" w:cstheme="majorBidi"/>
          <w:i/>
          <w:iCs/>
        </w:rPr>
        <w:t>ta</w:t>
      </w:r>
      <w:r w:rsidRPr="006D4265">
        <w:rPr>
          <w:rFonts w:asciiTheme="majorBidi" w:eastAsia="Times New Roman" w:hAnsiTheme="majorBidi" w:cstheme="majorBidi"/>
          <w:i/>
          <w:iCs/>
        </w:rPr>
        <w:t>ʾwīlahu</w:t>
      </w:r>
      <w:r w:rsidRPr="006D4265">
        <w:rPr>
          <w:rFonts w:asciiTheme="majorBidi" w:eastAsia="Times New Roman" w:hAnsiTheme="majorBidi" w:cstheme="majorBidi"/>
        </w:rPr>
        <w:t> » son explication, dans ce cas-là on opte pour la seconde interprétation.</w:t>
      </w:r>
    </w:p>
    <w:p w14:paraId="3125CD4D" w14:textId="77777777" w:rsidR="00296288" w:rsidRPr="006D4265" w:rsidRDefault="00296288" w:rsidP="00296288">
      <w:pPr>
        <w:spacing w:line="360" w:lineRule="auto"/>
        <w:jc w:val="both"/>
        <w:rPr>
          <w:rFonts w:asciiTheme="majorBidi" w:hAnsiTheme="majorBidi" w:cstheme="majorBidi"/>
          <w:rtl/>
        </w:rPr>
      </w:pPr>
    </w:p>
    <w:p w14:paraId="1241D7B8" w14:textId="77777777" w:rsidR="00296288" w:rsidRPr="006D4265" w:rsidRDefault="00296288" w:rsidP="00296288">
      <w:pPr>
        <w:spacing w:line="360" w:lineRule="auto"/>
        <w:ind w:firstLine="426"/>
        <w:jc w:val="both"/>
        <w:rPr>
          <w:rFonts w:eastAsia="Calibri"/>
          <w:lang w:bidi="ar-AE"/>
        </w:rPr>
      </w:pPr>
      <w:r w:rsidRPr="006D4265">
        <w:rPr>
          <w:rFonts w:eastAsia="Calibri"/>
          <w:lang w:bidi="ar-AE"/>
        </w:rPr>
        <w:t xml:space="preserve">L’enjambement entre les phrases ou les parties d’une phrase ou verset (ou la ponctuation) n’est pas fixe, ce qui donne lieu à plusieurs lectures. Voyons comme exemple le lien entre </w:t>
      </w:r>
      <w:r w:rsidRPr="006D4265">
        <w:rPr>
          <w:rFonts w:eastAsia="Calibri"/>
          <w:i/>
          <w:iCs/>
          <w:lang w:bidi="ar-AE"/>
        </w:rPr>
        <w:t>min qablu</w:t>
      </w:r>
      <w:r w:rsidRPr="006D4265">
        <w:rPr>
          <w:rFonts w:eastAsia="Calibri"/>
          <w:lang w:bidi="ar-AE"/>
        </w:rPr>
        <w:t xml:space="preserve"> (</w:t>
      </w:r>
      <w:r w:rsidRPr="006D4265">
        <w:rPr>
          <w:rFonts w:ascii="Simplified Arabic" w:eastAsia="Times New Roman" w:hAnsi="Simplified Arabic" w:cs="Simplified Arabic"/>
          <w:rtl/>
        </w:rPr>
        <w:t>من قبْلُ</w:t>
      </w:r>
      <w:r w:rsidRPr="006D4265">
        <w:rPr>
          <w:rFonts w:eastAsia="Calibri"/>
          <w:lang w:bidi="ar-AE"/>
        </w:rPr>
        <w:t xml:space="preserve">) et </w:t>
      </w:r>
      <w:r w:rsidRPr="00BC33AA">
        <w:rPr>
          <w:rFonts w:eastAsia="Calibri"/>
          <w:i/>
          <w:lang w:bidi="ar-AE"/>
        </w:rPr>
        <w:t>wa</w:t>
      </w:r>
      <w:r>
        <w:rPr>
          <w:rFonts w:eastAsia="Calibri"/>
          <w:lang w:bidi="ar-AE"/>
        </w:rPr>
        <w:t>-</w:t>
      </w:r>
      <w:r w:rsidRPr="006D4265">
        <w:rPr>
          <w:rFonts w:eastAsia="Calibri"/>
          <w:i/>
          <w:iCs/>
          <w:lang w:bidi="ar-AE"/>
        </w:rPr>
        <w:t>fī hādhā</w:t>
      </w:r>
      <w:r w:rsidRPr="006D4265">
        <w:rPr>
          <w:rFonts w:eastAsia="Calibri"/>
          <w:lang w:bidi="ar-AE"/>
        </w:rPr>
        <w:t xml:space="preserve"> (</w:t>
      </w:r>
      <w:r w:rsidRPr="006D4265">
        <w:rPr>
          <w:rFonts w:ascii="Simplified Arabic" w:eastAsia="Times New Roman" w:hAnsi="Simplified Arabic" w:cs="Simplified Arabic"/>
          <w:rtl/>
        </w:rPr>
        <w:t>وفي هذا</w:t>
      </w:r>
      <w:r w:rsidRPr="006D4265">
        <w:rPr>
          <w:rFonts w:eastAsia="Calibri"/>
          <w:lang w:bidi="ar-AE"/>
        </w:rPr>
        <w:t>) dans le verset 78 :</w:t>
      </w:r>
    </w:p>
    <w:p w14:paraId="02FD7208" w14:textId="77777777" w:rsidR="00296288" w:rsidRPr="006D4265" w:rsidRDefault="00296288" w:rsidP="00296288">
      <w:pPr>
        <w:bidi/>
        <w:spacing w:line="360" w:lineRule="auto"/>
        <w:jc w:val="both"/>
      </w:pPr>
      <w:r w:rsidRPr="006D4265">
        <w:rPr>
          <w:rFonts w:ascii="Simplified Arabic" w:eastAsia="Times New Roman" w:hAnsi="Simplified Arabic" w:cs="Simplified Arabic" w:hint="cs"/>
          <w:rtl/>
        </w:rPr>
        <w:t>"</w:t>
      </w:r>
      <w:r w:rsidRPr="006D4265">
        <w:rPr>
          <w:rFonts w:ascii="Simplified Arabic" w:eastAsia="Times New Roman" w:hAnsi="Simplified Arabic" w:cs="Simplified Arabic"/>
          <w:rtl/>
        </w:rPr>
        <w:t xml:space="preserve">وما جَعلَ عليكم في الدِّينِ من حَرَجٍ ملَّةَ أبيكم إبراهيم هو سمَّاكم المسلمين </w:t>
      </w:r>
      <w:r w:rsidRPr="006D4265">
        <w:rPr>
          <w:rFonts w:ascii="Simplified Arabic" w:eastAsia="Times New Roman" w:hAnsi="Simplified Arabic" w:cs="Simplified Arabic"/>
          <w:b/>
          <w:bCs/>
          <w:rtl/>
        </w:rPr>
        <w:t>من قبْلُ وفي هذا</w:t>
      </w:r>
      <w:r w:rsidRPr="006D4265">
        <w:rPr>
          <w:rFonts w:ascii="Simplified Arabic" w:eastAsia="Times New Roman" w:hAnsi="Simplified Arabic" w:cs="Simplified Arabic"/>
          <w:rtl/>
        </w:rPr>
        <w:t xml:space="preserve"> ليكُونَ الرسولُ شهيداً عليكم وتكونوا شهداءَ على الناس</w:t>
      </w:r>
      <w:r w:rsidRPr="006D4265">
        <w:rPr>
          <w:rFonts w:ascii="Simplified Arabic" w:eastAsia="Times New Roman" w:hAnsi="Simplified Arabic" w:cs="Simplified Arabic" w:hint="cs"/>
          <w:rtl/>
        </w:rPr>
        <w:t>"</w:t>
      </w:r>
    </w:p>
    <w:p w14:paraId="500C5B9F" w14:textId="77777777" w:rsidR="00296288" w:rsidRPr="006D4265" w:rsidRDefault="00296288" w:rsidP="00296288">
      <w:pPr>
        <w:spacing w:line="360" w:lineRule="auto"/>
        <w:jc w:val="both"/>
      </w:pPr>
      <w:r w:rsidRPr="006D4265">
        <w:rPr>
          <w:rFonts w:eastAsia="Calibri"/>
          <w:lang w:bidi="ar-AE"/>
        </w:rPr>
        <w:lastRenderedPageBreak/>
        <w:t>[« Il ne met aucune gêne pour vous dans la religion, en tant que fidèles à la communauté de votre père Abraham. C’est lui qui jadis vous a nommés Ceux-qui-se-soumettent. Qu’en cela l’Envoyé soit votre témoin, et vous les témoins des hommes.</w:t>
      </w:r>
      <w:r w:rsidRPr="006D4265">
        <w:t> »]</w:t>
      </w:r>
    </w:p>
    <w:p w14:paraId="0523BDE1" w14:textId="77777777" w:rsidR="00296288" w:rsidRPr="006D4265" w:rsidRDefault="00296288" w:rsidP="00296288">
      <w:pPr>
        <w:spacing w:line="360" w:lineRule="auto"/>
        <w:jc w:val="both"/>
      </w:pPr>
      <w:r w:rsidRPr="006D4265">
        <w:t xml:space="preserve">Deux lectures s’opposent : </w:t>
      </w:r>
    </w:p>
    <w:p w14:paraId="4738266C" w14:textId="77777777" w:rsidR="00296288" w:rsidRPr="00295192" w:rsidRDefault="00296288" w:rsidP="00296288">
      <w:pPr>
        <w:bidi/>
        <w:spacing w:line="360" w:lineRule="auto"/>
        <w:jc w:val="both"/>
      </w:pPr>
      <w:r w:rsidRPr="006D4265">
        <w:rPr>
          <w:rFonts w:ascii="Simplified Arabic" w:eastAsia="Times New Roman" w:hAnsi="Simplified Arabic" w:cs="Simplified Arabic"/>
          <w:rtl/>
        </w:rPr>
        <w:t xml:space="preserve">هو سمَّاكم المسلمين </w:t>
      </w:r>
      <w:r w:rsidRPr="006D4265">
        <w:rPr>
          <w:rFonts w:ascii="Simplified Arabic" w:eastAsia="Times New Roman" w:hAnsi="Simplified Arabic" w:cs="Simplified Arabic"/>
          <w:b/>
          <w:bCs/>
          <w:rtl/>
        </w:rPr>
        <w:t xml:space="preserve">من قبْلُ </w:t>
      </w:r>
      <w:r w:rsidRPr="00295192">
        <w:rPr>
          <w:rFonts w:ascii="Simplified Arabic" w:eastAsia="Times New Roman" w:hAnsi="Simplified Arabic" w:cs="Simplified Arabic"/>
          <w:b/>
          <w:bCs/>
          <w:rtl/>
        </w:rPr>
        <w:t>وفي هذا</w:t>
      </w:r>
      <w:r w:rsidRPr="00295192">
        <w:rPr>
          <w:rFonts w:ascii="Simplified Arabic" w:eastAsia="Times New Roman" w:hAnsi="Simplified Arabic" w:cs="Simplified Arabic" w:hint="cs"/>
          <w:b/>
          <w:bCs/>
          <w:rtl/>
          <w:lang w:bidi="ar-KW"/>
        </w:rPr>
        <w:t>؛</w:t>
      </w:r>
      <w:r w:rsidRPr="00295192">
        <w:rPr>
          <w:rFonts w:ascii="Simplified Arabic" w:eastAsia="Times New Roman" w:hAnsi="Simplified Arabic" w:cs="Simplified Arabic"/>
          <w:b/>
          <w:bCs/>
          <w:rtl/>
        </w:rPr>
        <w:t xml:space="preserve"> ليكُونَ</w:t>
      </w:r>
      <w:r w:rsidRPr="00295192">
        <w:rPr>
          <w:rFonts w:ascii="Simplified Arabic" w:eastAsia="Times New Roman" w:hAnsi="Simplified Arabic" w:cs="Simplified Arabic"/>
          <w:rtl/>
        </w:rPr>
        <w:t xml:space="preserve"> الرسولُ شهيداً عليكم</w:t>
      </w:r>
    </w:p>
    <w:p w14:paraId="5026D43A" w14:textId="77777777" w:rsidR="00296288" w:rsidRPr="006D4265" w:rsidRDefault="00296288" w:rsidP="00296288">
      <w:pPr>
        <w:bidi/>
        <w:spacing w:line="360" w:lineRule="auto"/>
        <w:jc w:val="both"/>
      </w:pPr>
      <w:r w:rsidRPr="00295192">
        <w:rPr>
          <w:rFonts w:ascii="Simplified Arabic" w:eastAsia="Times New Roman" w:hAnsi="Simplified Arabic" w:cs="Simplified Arabic"/>
          <w:rtl/>
        </w:rPr>
        <w:t xml:space="preserve">هو سمَّاكم المسلمين </w:t>
      </w:r>
      <w:r w:rsidRPr="00295192">
        <w:rPr>
          <w:rFonts w:ascii="Simplified Arabic" w:eastAsia="Times New Roman" w:hAnsi="Simplified Arabic" w:cs="Simplified Arabic"/>
          <w:b/>
          <w:bCs/>
          <w:rtl/>
        </w:rPr>
        <w:t>من قبْلُ</w:t>
      </w:r>
      <w:r w:rsidRPr="00295192">
        <w:rPr>
          <w:rFonts w:ascii="Simplified Arabic" w:eastAsia="Times New Roman" w:hAnsi="Simplified Arabic" w:cs="Simplified Arabic" w:hint="cs"/>
          <w:b/>
          <w:bCs/>
          <w:rtl/>
        </w:rPr>
        <w:t>.</w:t>
      </w:r>
      <w:r w:rsidRPr="00295192">
        <w:rPr>
          <w:rFonts w:ascii="Simplified Arabic" w:eastAsia="Times New Roman" w:hAnsi="Simplified Arabic" w:cs="Simplified Arabic"/>
          <w:b/>
          <w:bCs/>
          <w:rtl/>
        </w:rPr>
        <w:t xml:space="preserve"> وفي هذا ليكُونَ</w:t>
      </w:r>
      <w:r w:rsidRPr="00295192">
        <w:rPr>
          <w:rFonts w:ascii="Simplified Arabic" w:eastAsia="Times New Roman" w:hAnsi="Simplified Arabic" w:cs="Simplified Arabic"/>
          <w:rtl/>
        </w:rPr>
        <w:t xml:space="preserve"> الرس</w:t>
      </w:r>
      <w:r w:rsidRPr="006D4265">
        <w:rPr>
          <w:rFonts w:ascii="Simplified Arabic" w:eastAsia="Times New Roman" w:hAnsi="Simplified Arabic" w:cs="Simplified Arabic"/>
          <w:rtl/>
        </w:rPr>
        <w:t>ولُ شهيداً عليكم</w:t>
      </w:r>
    </w:p>
    <w:p w14:paraId="7CA88A7C" w14:textId="77777777" w:rsidR="00296288" w:rsidRPr="006D4265" w:rsidRDefault="00296288" w:rsidP="00296288">
      <w:pPr>
        <w:spacing w:line="360" w:lineRule="auto"/>
        <w:jc w:val="both"/>
        <w:rPr>
          <w:rFonts w:eastAsia="Times New Roman"/>
        </w:rPr>
      </w:pPr>
    </w:p>
    <w:p w14:paraId="68D5B9F2" w14:textId="7209B2E6" w:rsidR="00296288" w:rsidRPr="006D4265" w:rsidRDefault="00296288" w:rsidP="00296288">
      <w:pPr>
        <w:spacing w:line="360" w:lineRule="auto"/>
        <w:ind w:firstLine="708"/>
        <w:jc w:val="both"/>
        <w:rPr>
          <w:rFonts w:eastAsia="Times New Roman"/>
        </w:rPr>
      </w:pPr>
      <w:r w:rsidRPr="006D4265">
        <w:rPr>
          <w:rFonts w:eastAsia="Times New Roman"/>
        </w:rPr>
        <w:t xml:space="preserve">Cette séquence </w:t>
      </w:r>
      <w:r w:rsidRPr="005C78DA">
        <w:rPr>
          <w:rFonts w:eastAsia="Times New Roman"/>
        </w:rPr>
        <w:t xml:space="preserve">du verset 78 </w:t>
      </w:r>
      <w:r w:rsidRPr="005C78DA">
        <w:rPr>
          <w:rFonts w:ascii="Simplified Arabic" w:eastAsia="Times New Roman" w:hAnsi="Simplified Arabic" w:cs="Simplified Arabic"/>
          <w:rtl/>
        </w:rPr>
        <w:t>هُوَ سَمَّاكُمُ المُسْلِمِينَ مِن قَبْلُ وفي هذا لِيَكُونَ الرَّسُولُ شَهيدًا عليكم</w:t>
      </w:r>
      <w:r w:rsidRPr="005C78DA">
        <w:rPr>
          <w:rFonts w:eastAsia="Times New Roman"/>
        </w:rPr>
        <w:t xml:space="preserve"> pose le même problème de ponctuation. La plupart des exégètes s’arrêtent à cette phrase </w:t>
      </w:r>
      <w:r w:rsidRPr="005C78DA">
        <w:rPr>
          <w:rFonts w:ascii="Simplified Arabic" w:eastAsia="Times New Roman" w:hAnsi="Simplified Arabic" w:cs="Simplified Arabic"/>
          <w:rtl/>
        </w:rPr>
        <w:t>هُوَ سَمَّاكُمُ المُسْلِمِينَ مِن قَبْلُ وفي هذا.</w:t>
      </w:r>
      <w:r w:rsidRPr="005C78DA">
        <w:rPr>
          <w:rFonts w:eastAsia="Times New Roman"/>
        </w:rPr>
        <w:t xml:space="preserve"> [</w:t>
      </w:r>
      <w:r w:rsidRPr="005C78DA">
        <w:rPr>
          <w:rFonts w:eastAsia="Calibri"/>
          <w:lang w:bidi="ar-KW"/>
        </w:rPr>
        <w:t>« </w:t>
      </w:r>
      <w:r w:rsidRPr="005C78DA">
        <w:rPr>
          <w:rFonts w:eastAsia="Calibri"/>
          <w:lang w:bidi="ar-AE"/>
        </w:rPr>
        <w:t>C’est lui qui vous a nommés</w:t>
      </w:r>
      <w:r w:rsidRPr="006D4265">
        <w:rPr>
          <w:rFonts w:eastAsia="Calibri"/>
          <w:lang w:bidi="ar-AE"/>
        </w:rPr>
        <w:t xml:space="preserve"> les musulmans autrefois et dans ceci. »</w:t>
      </w:r>
      <w:r w:rsidRPr="006D4265">
        <w:rPr>
          <w:rFonts w:eastAsia="Times New Roman"/>
        </w:rPr>
        <w:t xml:space="preserve">] et interprètent le pronom « ceci » par « le Coran ». Par contre, </w:t>
      </w:r>
      <w:r>
        <w:rPr>
          <w:rFonts w:eastAsia="Times New Roman"/>
        </w:rPr>
        <w:t xml:space="preserve">Amīn Shaykhū </w:t>
      </w:r>
      <w:r w:rsidRPr="006D4265">
        <w:rPr>
          <w:rFonts w:eastAsia="Times New Roman"/>
        </w:rPr>
        <w:t>arrête</w:t>
      </w:r>
      <w:r>
        <w:rPr>
          <w:rFonts w:eastAsia="Times New Roman"/>
        </w:rPr>
        <w:t xml:space="preserve"> la phrase</w:t>
      </w:r>
      <w:r w:rsidRPr="006D4265">
        <w:rPr>
          <w:rFonts w:eastAsia="Times New Roman"/>
        </w:rPr>
        <w:t xml:space="preserve"> comme suit : </w:t>
      </w:r>
      <w:r w:rsidRPr="006D4265">
        <w:rPr>
          <w:rFonts w:ascii="Simplified Arabic" w:eastAsia="Times New Roman" w:hAnsi="Simplified Arabic" w:cs="Simplified Arabic"/>
          <w:rtl/>
        </w:rPr>
        <w:t xml:space="preserve">هُوَ سَمَّاكُمُ المُسْلِمِينَ مِن قَبْلُ. </w:t>
      </w:r>
      <w:r w:rsidRPr="006D4265">
        <w:rPr>
          <w:rFonts w:eastAsia="Times New Roman"/>
        </w:rPr>
        <w:t xml:space="preserve"> [</w:t>
      </w:r>
      <w:r w:rsidRPr="006D4265">
        <w:rPr>
          <w:rFonts w:eastAsia="Calibri"/>
          <w:lang w:bidi="ar-KW"/>
        </w:rPr>
        <w:t>« </w:t>
      </w:r>
      <w:r w:rsidRPr="006D4265">
        <w:rPr>
          <w:rFonts w:eastAsia="Calibri"/>
          <w:lang w:bidi="ar-AE"/>
        </w:rPr>
        <w:t>C’est lui qui jadis vous a nommés Ceux-qui-se-soumettent. »</w:t>
      </w:r>
      <w:r>
        <w:rPr>
          <w:rFonts w:eastAsia="Times New Roman"/>
        </w:rPr>
        <w:t>] et reprend</w:t>
      </w:r>
      <w:r w:rsidRPr="006D4265">
        <w:rPr>
          <w:rFonts w:eastAsia="Times New Roman"/>
        </w:rPr>
        <w:t xml:space="preserve"> ensuite une autre phrase : </w:t>
      </w:r>
      <w:r w:rsidRPr="006D4265">
        <w:rPr>
          <w:rFonts w:ascii="Simplified Arabic" w:eastAsia="Times New Roman" w:hAnsi="Simplified Arabic" w:cs="Simplified Arabic"/>
          <w:rtl/>
        </w:rPr>
        <w:t>وفي هذا لِيَكُونَ الرَّسُولُ شَهيدًا عليكم</w:t>
      </w:r>
      <w:r w:rsidRPr="006D4265">
        <w:rPr>
          <w:rFonts w:eastAsia="Times New Roman"/>
        </w:rPr>
        <w:t xml:space="preserve"> [</w:t>
      </w:r>
      <w:r w:rsidRPr="006D4265">
        <w:rPr>
          <w:rFonts w:eastAsia="Calibri"/>
          <w:lang w:bidi="ar-AE"/>
        </w:rPr>
        <w:t>Qu’en cela l’Envoyé soit votre témoin</w:t>
      </w:r>
      <w:r w:rsidR="008B522C">
        <w:rPr>
          <w:rFonts w:eastAsia="Times New Roman"/>
        </w:rPr>
        <w:t xml:space="preserve">] en interprétant </w:t>
      </w:r>
      <w:r w:rsidRPr="006D4265">
        <w:rPr>
          <w:rFonts w:eastAsia="Times New Roman"/>
          <w:i/>
          <w:iCs/>
        </w:rPr>
        <w:t>hādhā</w:t>
      </w:r>
      <w:r w:rsidRPr="006D4265">
        <w:rPr>
          <w:rFonts w:eastAsia="Times New Roman"/>
        </w:rPr>
        <w:t xml:space="preserve"> par « chemin ».</w:t>
      </w:r>
    </w:p>
    <w:p w14:paraId="6A4B5F57" w14:textId="77777777" w:rsidR="00296288" w:rsidRPr="006D4265" w:rsidRDefault="00296288" w:rsidP="00296288">
      <w:pPr>
        <w:spacing w:line="360" w:lineRule="auto"/>
        <w:jc w:val="both"/>
        <w:rPr>
          <w:rFonts w:eastAsia="Times New Roman"/>
          <w:b/>
          <w:bCs/>
          <w:u w:val="single"/>
          <w:lang w:bidi="ar-AE"/>
        </w:rPr>
      </w:pPr>
    </w:p>
    <w:p w14:paraId="6895720E" w14:textId="77777777" w:rsidR="00296288" w:rsidRPr="008503C6" w:rsidRDefault="00296288" w:rsidP="00296288">
      <w:pPr>
        <w:spacing w:line="360" w:lineRule="auto"/>
        <w:jc w:val="both"/>
        <w:rPr>
          <w:rFonts w:eastAsia="Times New Roman"/>
          <w:b/>
          <w:bCs/>
          <w:lang w:bidi="ar-AE"/>
        </w:rPr>
      </w:pPr>
      <w:r w:rsidRPr="008503C6">
        <w:rPr>
          <w:rFonts w:eastAsia="Times New Roman"/>
          <w:b/>
          <w:bCs/>
          <w:lang w:bidi="ar-AE"/>
        </w:rPr>
        <w:t>Le verset 15 :</w:t>
      </w:r>
    </w:p>
    <w:p w14:paraId="4845810A" w14:textId="77777777" w:rsidR="00296288" w:rsidRPr="006D4265" w:rsidRDefault="00296288" w:rsidP="00296288">
      <w:pPr>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(15) مَن كانَ يظُنُّ أنْ لن ينصرَهُ اللهُ في الدنيا والآخرةِ فلْيَمْدُدْ بسببٍ إلى السماء ثم ليقطَعْ فلْينظُرْ هل يُذْهِبَنَّ كيدُه ما يَغيظ.</w:t>
      </w:r>
    </w:p>
    <w:p w14:paraId="2D744370" w14:textId="77777777" w:rsidR="00296288" w:rsidRPr="006D4265" w:rsidRDefault="00296288" w:rsidP="00296288">
      <w:pPr>
        <w:spacing w:line="360" w:lineRule="auto"/>
        <w:contextualSpacing/>
        <w:jc w:val="both"/>
        <w:rPr>
          <w:rFonts w:eastAsia="Calibri"/>
          <w:rtl/>
          <w:lang w:bidi="ar-AE"/>
        </w:rPr>
      </w:pPr>
      <w:r w:rsidRPr="006D4265">
        <w:rPr>
          <w:rFonts w:eastAsia="Times New Roman"/>
          <w:lang w:bidi="ar-AE"/>
        </w:rPr>
        <w:t>(15) Celui qui conjecturait que Dieu laisserait (le Prophète) sans secours en ce monde et dans l’autre n’a qu’à tendre une corde jusqu’au ciel et puis la couper : qu’il voie si son stratagème va supprimer l’objet de sa rage !</w:t>
      </w:r>
    </w:p>
    <w:p w14:paraId="604BDB41" w14:textId="77777777" w:rsidR="00296288" w:rsidRPr="006D4265" w:rsidRDefault="00296288" w:rsidP="00296288">
      <w:pPr>
        <w:spacing w:line="360" w:lineRule="auto"/>
        <w:ind w:firstLine="708"/>
        <w:jc w:val="both"/>
        <w:rPr>
          <w:rFonts w:asciiTheme="majorBidi" w:eastAsia="Times New Roman" w:hAnsiTheme="majorBidi" w:cstheme="majorBidi"/>
        </w:rPr>
      </w:pPr>
    </w:p>
    <w:p w14:paraId="592735F6" w14:textId="77777777" w:rsidR="00296288" w:rsidRPr="00913D9B" w:rsidRDefault="00296288" w:rsidP="00296288">
      <w:pPr>
        <w:spacing w:line="360" w:lineRule="auto"/>
        <w:ind w:firstLine="708"/>
        <w:jc w:val="both"/>
        <w:rPr>
          <w:rFonts w:asciiTheme="majorBidi" w:eastAsia="Times New Roman" w:hAnsiTheme="majorBidi" w:cstheme="majorBidi"/>
        </w:rPr>
      </w:pPr>
      <w:r w:rsidRPr="006D4265">
        <w:rPr>
          <w:rFonts w:asciiTheme="majorBidi" w:eastAsia="Times New Roman" w:hAnsiTheme="majorBidi" w:cstheme="majorBidi"/>
        </w:rPr>
        <w:t xml:space="preserve">À propos de ce verset équivoque, nous avons montré dans l’introduction que l’autorité politique et religieuse musulmane </w:t>
      </w:r>
      <w:r>
        <w:rPr>
          <w:rFonts w:asciiTheme="majorBidi" w:eastAsia="Times New Roman" w:hAnsiTheme="majorBidi" w:cstheme="majorBidi"/>
        </w:rPr>
        <w:t>l</w:t>
      </w:r>
      <w:r w:rsidRPr="006D4265">
        <w:rPr>
          <w:rFonts w:asciiTheme="majorBidi" w:eastAsia="Times New Roman" w:hAnsiTheme="majorBidi" w:cstheme="majorBidi"/>
        </w:rPr>
        <w:t xml:space="preserve">’a utilisé </w:t>
      </w:r>
      <w:r>
        <w:rPr>
          <w:rFonts w:asciiTheme="majorBidi" w:eastAsia="Times New Roman" w:hAnsiTheme="majorBidi" w:cstheme="majorBidi"/>
        </w:rPr>
        <w:t>ou l’a surinterprété</w:t>
      </w:r>
      <w:r w:rsidRPr="006D4265">
        <w:rPr>
          <w:rFonts w:asciiTheme="majorBidi" w:eastAsia="Times New Roman" w:hAnsiTheme="majorBidi" w:cstheme="majorBidi"/>
        </w:rPr>
        <w:t xml:space="preserve"> pour servir ses intérêts nationaux dans un contexte de </w:t>
      </w:r>
      <w:r w:rsidRPr="00913D9B">
        <w:rPr>
          <w:rFonts w:asciiTheme="majorBidi" w:eastAsia="Times New Roman" w:hAnsiTheme="majorBidi" w:cstheme="majorBidi"/>
        </w:rPr>
        <w:t>conflit religieux et sociopolitique. Pour mieux aborder l’aspect polysémique de l’intégralité du verset, il convient de souligner les points suivants :</w:t>
      </w:r>
    </w:p>
    <w:p w14:paraId="504E070B" w14:textId="06C605CC" w:rsidR="00296288" w:rsidRPr="006D4265" w:rsidRDefault="00296288" w:rsidP="007640DC">
      <w:pPr>
        <w:numPr>
          <w:ilvl w:val="0"/>
          <w:numId w:val="9"/>
        </w:numPr>
        <w:spacing w:line="360" w:lineRule="auto"/>
        <w:ind w:left="567" w:hanging="283"/>
        <w:jc w:val="both"/>
        <w:rPr>
          <w:rFonts w:asciiTheme="majorBidi" w:eastAsia="Times New Roman" w:hAnsiTheme="majorBidi" w:cstheme="majorBidi"/>
        </w:rPr>
      </w:pPr>
      <w:r w:rsidRPr="006D4265">
        <w:rPr>
          <w:rFonts w:asciiTheme="majorBidi" w:eastAsia="Times New Roman" w:hAnsiTheme="majorBidi" w:cstheme="majorBidi"/>
        </w:rPr>
        <w:t xml:space="preserve">Le pronom conditionnel </w:t>
      </w:r>
      <w:r w:rsidRPr="006D4265">
        <w:rPr>
          <w:rFonts w:asciiTheme="majorBidi" w:eastAsia="Times New Roman" w:hAnsiTheme="majorBidi" w:cstheme="majorBidi"/>
          <w:i/>
          <w:iCs/>
        </w:rPr>
        <w:t>man</w:t>
      </w:r>
      <w:r w:rsidRPr="006D4265">
        <w:rPr>
          <w:rFonts w:asciiTheme="majorBidi" w:eastAsia="Times New Roman" w:hAnsiTheme="majorBidi" w:cstheme="majorBidi"/>
        </w:rPr>
        <w:t xml:space="preserve"> (+humain) </w:t>
      </w:r>
      <w:r w:rsidRPr="006D4265">
        <w:rPr>
          <w:rFonts w:asciiTheme="majorBidi" w:hAnsiTheme="majorBidi" w:cstheme="majorBidi"/>
        </w:rPr>
        <w:t>[</w:t>
      </w:r>
      <w:r w:rsidRPr="006D4265">
        <w:rPr>
          <w:rFonts w:asciiTheme="majorBidi" w:eastAsia="Times New Roman" w:hAnsiTheme="majorBidi" w:cstheme="majorBidi"/>
        </w:rPr>
        <w:t>quiconque</w:t>
      </w:r>
      <w:r w:rsidRPr="006D4265">
        <w:rPr>
          <w:rFonts w:asciiTheme="majorBidi" w:hAnsiTheme="majorBidi" w:cstheme="majorBidi"/>
        </w:rPr>
        <w:t>]</w:t>
      </w:r>
      <w:r w:rsidRPr="006D4265">
        <w:rPr>
          <w:rFonts w:asciiTheme="majorBidi" w:eastAsia="Times New Roman" w:hAnsiTheme="majorBidi" w:cstheme="majorBidi"/>
        </w:rPr>
        <w:t xml:space="preserve"> est un pronom conditionnel indéterminé. Il n’a pas besoin d’antécédent.</w:t>
      </w:r>
    </w:p>
    <w:p w14:paraId="5C710151" w14:textId="3A38ACD0" w:rsidR="00296288" w:rsidRPr="006D4265" w:rsidRDefault="00296288" w:rsidP="007640DC">
      <w:pPr>
        <w:numPr>
          <w:ilvl w:val="0"/>
          <w:numId w:val="9"/>
        </w:numPr>
        <w:spacing w:line="360" w:lineRule="auto"/>
        <w:ind w:left="567" w:hanging="283"/>
        <w:jc w:val="both"/>
        <w:rPr>
          <w:rFonts w:eastAsia="Times New Roman"/>
        </w:rPr>
      </w:pPr>
      <w:r w:rsidRPr="006D4265">
        <w:rPr>
          <w:rFonts w:eastAsia="Times New Roman"/>
        </w:rPr>
        <w:lastRenderedPageBreak/>
        <w:t xml:space="preserve">Le verbe auxiliaire </w:t>
      </w:r>
      <w:r w:rsidRPr="006D4265">
        <w:rPr>
          <w:rFonts w:eastAsia="Times New Roman"/>
          <w:i/>
          <w:iCs/>
        </w:rPr>
        <w:t>kāna</w:t>
      </w:r>
      <w:r w:rsidRPr="006D4265">
        <w:rPr>
          <w:rFonts w:eastAsia="Times New Roman"/>
        </w:rPr>
        <w:t xml:space="preserve"> (verbe d’état ou copule) n’exprime pas l’accompli mais l’antériorité (par rapport au verbe suivant </w:t>
      </w:r>
      <w:r w:rsidRPr="006D4265">
        <w:rPr>
          <w:rFonts w:eastAsia="Times New Roman"/>
          <w:i/>
          <w:iCs/>
        </w:rPr>
        <w:t>yamdud</w:t>
      </w:r>
      <w:r w:rsidR="008B522C">
        <w:rPr>
          <w:rFonts w:eastAsia="Times New Roman"/>
        </w:rPr>
        <w:t xml:space="preserve">). L’action de </w:t>
      </w:r>
      <w:r w:rsidRPr="006D4265">
        <w:rPr>
          <w:rFonts w:eastAsia="Times New Roman"/>
          <w:i/>
          <w:iCs/>
        </w:rPr>
        <w:t>kāna yaẓunnu</w:t>
      </w:r>
      <w:r w:rsidRPr="006D4265">
        <w:rPr>
          <w:rFonts w:eastAsia="Times New Roman"/>
        </w:rPr>
        <w:t xml:space="preserve"> est inaccomplie.</w:t>
      </w:r>
      <w:r w:rsidRPr="006D4265">
        <w:rPr>
          <w:rFonts w:eastAsia="Times New Roman"/>
          <w:color w:val="FF0000"/>
        </w:rPr>
        <w:t xml:space="preserve"> </w:t>
      </w:r>
      <w:r w:rsidRPr="006D4265">
        <w:rPr>
          <w:rFonts w:eastAsia="Times New Roman"/>
        </w:rPr>
        <w:t xml:space="preserve">Les traducteurs ne doivent donc pas traduire, comme ils font d’habitude, le syntagme verbal </w:t>
      </w:r>
      <w:r w:rsidRPr="006D4265">
        <w:rPr>
          <w:rFonts w:eastAsia="Times New Roman"/>
          <w:i/>
          <w:iCs/>
        </w:rPr>
        <w:t>kāna yaẓunnu</w:t>
      </w:r>
      <w:r w:rsidRPr="006D4265">
        <w:rPr>
          <w:rFonts w:eastAsia="Times New Roman"/>
        </w:rPr>
        <w:t xml:space="preserve"> [accompli de l’auxiliaire + inaccompli du verbe] par l’imparfait. En </w:t>
      </w:r>
      <w:r w:rsidRPr="005C78DA">
        <w:rPr>
          <w:rFonts w:eastAsia="Times New Roman"/>
        </w:rPr>
        <w:t>effet, presque tous les traducteurs en français ont traduit ce syntagme verbal par un verbe au présent, en respectant ainsi les exégèses (</w:t>
      </w:r>
      <w:r w:rsidRPr="005C78DA">
        <w:rPr>
          <w:rFonts w:eastAsia="Times New Roman"/>
          <w:i/>
          <w:iCs/>
        </w:rPr>
        <w:t>pense</w:t>
      </w:r>
      <w:r w:rsidRPr="005C78DA">
        <w:rPr>
          <w:rFonts w:eastAsia="Times New Roman"/>
        </w:rPr>
        <w:t xml:space="preserve"> [11 traducteurs] ; </w:t>
      </w:r>
      <w:r w:rsidRPr="005C78DA">
        <w:rPr>
          <w:rFonts w:eastAsia="Times New Roman"/>
          <w:i/>
          <w:iCs/>
        </w:rPr>
        <w:t>imagine</w:t>
      </w:r>
      <w:r w:rsidRPr="005C78DA">
        <w:rPr>
          <w:rFonts w:eastAsia="Times New Roman"/>
        </w:rPr>
        <w:t xml:space="preserve"> ; </w:t>
      </w:r>
      <w:r w:rsidRPr="005C78DA">
        <w:rPr>
          <w:rFonts w:eastAsia="Times New Roman"/>
          <w:i/>
          <w:iCs/>
        </w:rPr>
        <w:t>présume</w:t>
      </w:r>
      <w:r w:rsidRPr="005C78DA">
        <w:rPr>
          <w:rFonts w:eastAsia="Times New Roman"/>
        </w:rPr>
        <w:t xml:space="preserve"> ; </w:t>
      </w:r>
      <w:r w:rsidRPr="005C78DA">
        <w:rPr>
          <w:rFonts w:eastAsia="Times New Roman"/>
          <w:i/>
          <w:iCs/>
        </w:rPr>
        <w:t>est fâché</w:t>
      </w:r>
      <w:r w:rsidRPr="005C78DA">
        <w:rPr>
          <w:rFonts w:eastAsia="Times New Roman"/>
        </w:rPr>
        <w:t xml:space="preserve"> ; </w:t>
      </w:r>
      <w:r w:rsidRPr="005C78DA">
        <w:rPr>
          <w:rFonts w:eastAsia="Times New Roman"/>
          <w:i/>
          <w:iCs/>
        </w:rPr>
        <w:t>désespère</w:t>
      </w:r>
      <w:r w:rsidRPr="005C78DA">
        <w:rPr>
          <w:rFonts w:eastAsia="Times New Roman"/>
        </w:rPr>
        <w:t>). Deux traducteurs seulement, Berque (</w:t>
      </w:r>
      <w:r w:rsidRPr="005C78DA">
        <w:rPr>
          <w:rFonts w:eastAsia="Times New Roman"/>
          <w:i/>
          <w:iCs/>
        </w:rPr>
        <w:t>conjecturait</w:t>
      </w:r>
      <w:r w:rsidRPr="005C78DA">
        <w:rPr>
          <w:rFonts w:eastAsia="Times New Roman"/>
        </w:rPr>
        <w:t>) et Chebel (</w:t>
      </w:r>
      <w:r w:rsidRPr="005C78DA">
        <w:rPr>
          <w:rFonts w:eastAsia="Times New Roman"/>
          <w:i/>
          <w:iCs/>
        </w:rPr>
        <w:t>a pensé</w:t>
      </w:r>
      <w:r w:rsidRPr="005C78DA">
        <w:rPr>
          <w:rFonts w:eastAsia="Times New Roman"/>
        </w:rPr>
        <w:t>), ont respecté le sens littéral. La grande majorité des traducteurs en anglais l’ont également traduit par le présent</w:t>
      </w:r>
      <w:r w:rsidRPr="006D4265">
        <w:rPr>
          <w:rFonts w:eastAsia="Times New Roman"/>
        </w:rPr>
        <w:t xml:space="preserve"> (</w:t>
      </w:r>
      <w:r w:rsidRPr="006D4265">
        <w:rPr>
          <w:rFonts w:eastAsia="Times New Roman"/>
          <w:i/>
          <w:iCs/>
        </w:rPr>
        <w:t>thinks</w:t>
      </w:r>
      <w:r w:rsidRPr="006D4265">
        <w:rPr>
          <w:rFonts w:eastAsia="Times New Roman"/>
        </w:rPr>
        <w:t xml:space="preserve"> ; </w:t>
      </w:r>
      <w:r w:rsidRPr="006D4265">
        <w:rPr>
          <w:rFonts w:eastAsia="Times New Roman"/>
          <w:i/>
          <w:iCs/>
        </w:rPr>
        <w:t>feels</w:t>
      </w:r>
      <w:r w:rsidRPr="006D4265">
        <w:rPr>
          <w:rFonts w:eastAsia="Times New Roman"/>
        </w:rPr>
        <w:t xml:space="preserve"> ; </w:t>
      </w:r>
      <w:r w:rsidRPr="006D4265">
        <w:rPr>
          <w:rFonts w:eastAsia="Times New Roman"/>
          <w:i/>
          <w:iCs/>
        </w:rPr>
        <w:t>doubts</w:t>
      </w:r>
      <w:r w:rsidRPr="006D4265">
        <w:rPr>
          <w:rFonts w:eastAsia="Times New Roman"/>
        </w:rPr>
        <w:t xml:space="preserve"> ; </w:t>
      </w:r>
      <w:r w:rsidRPr="006D4265">
        <w:rPr>
          <w:rFonts w:eastAsia="Times New Roman"/>
          <w:i/>
          <w:iCs/>
        </w:rPr>
        <w:t>fancies</w:t>
      </w:r>
      <w:r w:rsidRPr="006D4265">
        <w:rPr>
          <w:rFonts w:eastAsia="Times New Roman"/>
        </w:rPr>
        <w:t xml:space="preserve">), à l’exception de quelques-uns qui ont traduit le syntagme à l’accompli : </w:t>
      </w:r>
      <w:r w:rsidRPr="006D4265">
        <w:rPr>
          <w:rFonts w:eastAsia="Times New Roman"/>
          <w:i/>
          <w:iCs/>
        </w:rPr>
        <w:t xml:space="preserve">had been thinking </w:t>
      </w:r>
      <w:r w:rsidRPr="006D4265">
        <w:rPr>
          <w:rFonts w:eastAsia="Times New Roman"/>
        </w:rPr>
        <w:t xml:space="preserve">(Laleh Bakhtiar) ; </w:t>
      </w:r>
      <w:r w:rsidRPr="006D4265">
        <w:rPr>
          <w:rFonts w:eastAsia="Times New Roman"/>
          <w:i/>
          <w:iCs/>
        </w:rPr>
        <w:t xml:space="preserve">has been thinking </w:t>
      </w:r>
      <w:r w:rsidRPr="006D4265">
        <w:rPr>
          <w:rFonts w:eastAsia="Times New Roman"/>
        </w:rPr>
        <w:t>(Thomas B. Irving) ;</w:t>
      </w:r>
      <w:r w:rsidRPr="006D4265">
        <w:rPr>
          <w:rFonts w:eastAsia="Times New Roman"/>
          <w:i/>
          <w:iCs/>
        </w:rPr>
        <w:t xml:space="preserve"> had been thinhead </w:t>
      </w:r>
      <w:r w:rsidRPr="006D4265">
        <w:rPr>
          <w:rFonts w:eastAsia="Times New Roman"/>
        </w:rPr>
        <w:t xml:space="preserve">(Kamal Omar) ; </w:t>
      </w:r>
      <w:r w:rsidRPr="006D4265">
        <w:rPr>
          <w:rFonts w:eastAsia="Times New Roman"/>
          <w:i/>
          <w:iCs/>
        </w:rPr>
        <w:t>has surmised</w:t>
      </w:r>
      <w:r w:rsidRPr="006D4265">
        <w:rPr>
          <w:rFonts w:eastAsia="Times New Roman"/>
        </w:rPr>
        <w:t xml:space="preserve"> (Muhammad Mahmoud Ghali) ; </w:t>
      </w:r>
      <w:r w:rsidRPr="006D4265">
        <w:rPr>
          <w:rFonts w:eastAsia="Times New Roman"/>
          <w:i/>
          <w:iCs/>
        </w:rPr>
        <w:t>thought</w:t>
      </w:r>
      <w:r w:rsidRPr="006D4265">
        <w:rPr>
          <w:rFonts w:eastAsia="Times New Roman"/>
        </w:rPr>
        <w:t xml:space="preserve"> (Muhammad Sarwar). Deux traducteurs ont donné une traduction anglaise différente : </w:t>
      </w:r>
      <w:r w:rsidRPr="006D4265">
        <w:rPr>
          <w:rFonts w:eastAsia="Times New Roman"/>
          <w:i/>
          <w:iCs/>
        </w:rPr>
        <w:t>whoso is wont to think</w:t>
      </w:r>
      <w:r w:rsidRPr="006D4265">
        <w:rPr>
          <w:rFonts w:eastAsia="Times New Roman"/>
        </w:rPr>
        <w:t xml:space="preserve"> (Pickthall) et </w:t>
      </w:r>
      <w:r w:rsidRPr="006D4265">
        <w:rPr>
          <w:rFonts w:eastAsia="Times New Roman"/>
          <w:i/>
          <w:iCs/>
        </w:rPr>
        <w:t xml:space="preserve">should think </w:t>
      </w:r>
      <w:r w:rsidRPr="006D4265">
        <w:rPr>
          <w:rFonts w:eastAsia="Times New Roman"/>
        </w:rPr>
        <w:t>(Aminah Assami). Les exégètes et les grammairiens n’ont pas abordé la fonction de</w:t>
      </w:r>
      <w:r w:rsidRPr="006D4265">
        <w:rPr>
          <w:rFonts w:eastAsia="Times New Roman"/>
          <w:i/>
          <w:iCs/>
        </w:rPr>
        <w:t xml:space="preserve"> kāna</w:t>
      </w:r>
      <w:r w:rsidRPr="006D4265">
        <w:rPr>
          <w:rFonts w:eastAsia="Times New Roman"/>
        </w:rPr>
        <w:t xml:space="preserve"> dans cette proposition conditionnelle.</w:t>
      </w:r>
    </w:p>
    <w:p w14:paraId="764C75D6" w14:textId="77777777" w:rsidR="00296288" w:rsidRPr="003043BC" w:rsidRDefault="00296288" w:rsidP="00296288">
      <w:pPr>
        <w:spacing w:line="360" w:lineRule="auto"/>
        <w:ind w:left="567" w:firstLine="153"/>
        <w:jc w:val="both"/>
        <w:rPr>
          <w:rFonts w:eastAsia="Times New Roman"/>
        </w:rPr>
      </w:pPr>
      <w:r>
        <w:rPr>
          <w:rFonts w:eastAsia="Times New Roman"/>
        </w:rPr>
        <w:t xml:space="preserve">    </w:t>
      </w:r>
      <w:r w:rsidRPr="006D4265">
        <w:rPr>
          <w:rFonts w:eastAsia="Times New Roman"/>
        </w:rPr>
        <w:t xml:space="preserve">Si le verbe d’état </w:t>
      </w:r>
      <w:r w:rsidRPr="006D4265">
        <w:rPr>
          <w:rFonts w:eastAsia="Times New Roman"/>
          <w:i/>
          <w:iCs/>
        </w:rPr>
        <w:t>kāna</w:t>
      </w:r>
      <w:r w:rsidRPr="006D4265">
        <w:rPr>
          <w:rFonts w:eastAsia="Times New Roman"/>
        </w:rPr>
        <w:t xml:space="preserve"> conjugué à l’accompli n’indique pas le passé dans le verset 15, il l’indique clairement dans le verset 44 (</w:t>
      </w:r>
      <w:r w:rsidRPr="006D4265">
        <w:rPr>
          <w:rFonts w:eastAsia="Times New Roman"/>
          <w:i/>
          <w:iCs/>
        </w:rPr>
        <w:t>fa-kayfa</w:t>
      </w:r>
      <w:r w:rsidRPr="006D4265">
        <w:rPr>
          <w:rFonts w:eastAsia="Times New Roman"/>
        </w:rPr>
        <w:t xml:space="preserve"> </w:t>
      </w:r>
      <w:r w:rsidRPr="00D73FA6">
        <w:rPr>
          <w:rFonts w:eastAsia="Times New Roman"/>
          <w:b/>
          <w:i/>
        </w:rPr>
        <w:t>kāna</w:t>
      </w:r>
      <w:r w:rsidRPr="006D4265">
        <w:rPr>
          <w:rFonts w:eastAsia="Times New Roman"/>
          <w:i/>
          <w:iCs/>
        </w:rPr>
        <w:t xml:space="preserve"> nakīr[ī] ?</w:t>
      </w:r>
      <w:r w:rsidRPr="006D4265">
        <w:rPr>
          <w:rFonts w:eastAsia="Times New Roman"/>
        </w:rPr>
        <w:t>) [et quel n’était pas Mon courroux !]. Par contre, il indique le présent ou le conditionnel dans le verset 5 (</w:t>
      </w:r>
      <w:r w:rsidRPr="006D4265">
        <w:rPr>
          <w:rFonts w:eastAsia="Times New Roman"/>
          <w:i/>
          <w:iCs/>
        </w:rPr>
        <w:t xml:space="preserve">in </w:t>
      </w:r>
      <w:r w:rsidRPr="00D73FA6">
        <w:rPr>
          <w:rFonts w:eastAsia="Times New Roman"/>
          <w:b/>
          <w:i/>
        </w:rPr>
        <w:t>kuntum</w:t>
      </w:r>
      <w:r w:rsidRPr="006D4265">
        <w:rPr>
          <w:rFonts w:eastAsia="Times New Roman"/>
          <w:i/>
          <w:iCs/>
        </w:rPr>
        <w:t xml:space="preserve"> fī raybin mina l-baʿth</w:t>
      </w:r>
      <w:r w:rsidRPr="006D4265">
        <w:rPr>
          <w:rFonts w:eastAsia="Times New Roman"/>
        </w:rPr>
        <w:t>) [vous demeureriez dans le doute quant à la Résurrection]. Le verbe</w:t>
      </w:r>
      <w:r w:rsidRPr="006D4265">
        <w:rPr>
          <w:rFonts w:eastAsia="Times New Roman"/>
          <w:i/>
          <w:iCs/>
        </w:rPr>
        <w:t xml:space="preserve"> kāna</w:t>
      </w:r>
      <w:r w:rsidRPr="006D4265">
        <w:rPr>
          <w:rFonts w:eastAsia="Times New Roman"/>
        </w:rPr>
        <w:t xml:space="preserve"> dans le verset 69 (</w:t>
      </w:r>
      <w:r w:rsidRPr="006D4265">
        <w:rPr>
          <w:rFonts w:eastAsia="Times New Roman"/>
          <w:i/>
          <w:iCs/>
        </w:rPr>
        <w:t xml:space="preserve">fī-mā </w:t>
      </w:r>
      <w:r w:rsidRPr="00D73FA6">
        <w:rPr>
          <w:rFonts w:eastAsia="Times New Roman"/>
          <w:b/>
          <w:i/>
        </w:rPr>
        <w:t>kuntum</w:t>
      </w:r>
      <w:r w:rsidRPr="006D4265">
        <w:rPr>
          <w:rFonts w:eastAsia="Times New Roman"/>
          <w:i/>
          <w:iCs/>
        </w:rPr>
        <w:t xml:space="preserve"> fī</w:t>
      </w:r>
      <w:r>
        <w:rPr>
          <w:rFonts w:eastAsia="Times New Roman"/>
          <w:i/>
          <w:iCs/>
        </w:rPr>
        <w:t>-</w:t>
      </w:r>
      <w:r w:rsidRPr="006D4265">
        <w:rPr>
          <w:rFonts w:eastAsia="Times New Roman"/>
          <w:i/>
          <w:iCs/>
        </w:rPr>
        <w:t>hi takhtalifūn</w:t>
      </w:r>
      <w:r w:rsidRPr="006D4265">
        <w:rPr>
          <w:rFonts w:eastAsia="Times New Roman"/>
        </w:rPr>
        <w:t xml:space="preserve">) indique un futur antérieur ou un présent. Les traducteurs qui ont </w:t>
      </w:r>
      <w:r w:rsidRPr="003043BC">
        <w:rPr>
          <w:rFonts w:eastAsia="Times New Roman"/>
        </w:rPr>
        <w:t xml:space="preserve">traduit le syntagme verbal par un verbe ont utilisé le présent : </w:t>
      </w:r>
      <w:r w:rsidRPr="003043BC">
        <w:rPr>
          <w:rFonts w:eastAsia="Times New Roman"/>
          <w:i/>
          <w:iCs/>
        </w:rPr>
        <w:t>ce en quoi vous divergez</w:t>
      </w:r>
      <w:r w:rsidRPr="003043BC">
        <w:rPr>
          <w:rFonts w:eastAsia="Times New Roman"/>
        </w:rPr>
        <w:t xml:space="preserve"> (Chouraqui, Hamidullah, Complexe du Roi Fahd) ; </w:t>
      </w:r>
      <w:r w:rsidRPr="003043BC">
        <w:rPr>
          <w:rFonts w:eastAsia="Times New Roman"/>
          <w:i/>
          <w:iCs/>
        </w:rPr>
        <w:t>de ce sur quoi vous vous trouvez vous opposer</w:t>
      </w:r>
      <w:r w:rsidRPr="003043BC">
        <w:rPr>
          <w:rFonts w:eastAsia="Times New Roman"/>
        </w:rPr>
        <w:t xml:space="preserve"> (Blachère) ; </w:t>
      </w:r>
      <w:r w:rsidRPr="003043BC">
        <w:rPr>
          <w:rFonts w:eastAsia="Times New Roman"/>
          <w:i/>
          <w:iCs/>
        </w:rPr>
        <w:t>au sujet de ce que vous sépare</w:t>
      </w:r>
      <w:r w:rsidRPr="003043BC">
        <w:rPr>
          <w:rFonts w:eastAsia="Times New Roman"/>
        </w:rPr>
        <w:t xml:space="preserve"> (Ghédira) ; </w:t>
      </w:r>
      <w:r w:rsidRPr="003043BC">
        <w:rPr>
          <w:rFonts w:eastAsia="Times New Roman"/>
          <w:i/>
          <w:iCs/>
        </w:rPr>
        <w:t>en ce qui vous divise</w:t>
      </w:r>
      <w:r w:rsidRPr="003043BC">
        <w:rPr>
          <w:rFonts w:eastAsia="Times New Roman"/>
        </w:rPr>
        <w:t xml:space="preserve"> (Grosjean).</w:t>
      </w:r>
    </w:p>
    <w:p w14:paraId="6E5184C8" w14:textId="28B2A5C2" w:rsidR="00296288" w:rsidRPr="006D4265" w:rsidRDefault="00296288" w:rsidP="007640DC">
      <w:pPr>
        <w:numPr>
          <w:ilvl w:val="0"/>
          <w:numId w:val="9"/>
        </w:numPr>
        <w:spacing w:line="360" w:lineRule="auto"/>
        <w:ind w:left="567" w:hanging="283"/>
        <w:jc w:val="both"/>
        <w:rPr>
          <w:rFonts w:asciiTheme="majorBidi" w:eastAsia="Times New Roman" w:hAnsiTheme="majorBidi" w:cstheme="majorBidi"/>
        </w:rPr>
      </w:pPr>
      <w:r w:rsidRPr="006D4265">
        <w:rPr>
          <w:rFonts w:asciiTheme="majorBidi" w:eastAsia="Times New Roman" w:hAnsiTheme="majorBidi" w:cstheme="majorBidi"/>
        </w:rPr>
        <w:t>Il n’y a aucune allusion au Prophète dans les versets précé</w:t>
      </w:r>
      <w:r w:rsidR="00A10768">
        <w:rPr>
          <w:rFonts w:asciiTheme="majorBidi" w:eastAsia="Times New Roman" w:hAnsiTheme="majorBidi" w:cstheme="majorBidi"/>
        </w:rPr>
        <w:t xml:space="preserve">dents. Le pronom clitique COD </w:t>
      </w:r>
      <w:r w:rsidRPr="006D4265">
        <w:rPr>
          <w:rFonts w:asciiTheme="majorBidi" w:eastAsia="Times New Roman" w:hAnsiTheme="majorBidi" w:cstheme="majorBidi"/>
        </w:rPr>
        <w:t>-</w:t>
      </w:r>
      <w:r w:rsidRPr="006D4265">
        <w:rPr>
          <w:rFonts w:asciiTheme="majorBidi" w:eastAsia="Times New Roman" w:hAnsiTheme="majorBidi" w:cstheme="majorBidi"/>
          <w:i/>
          <w:iCs/>
        </w:rPr>
        <w:t>hu</w:t>
      </w:r>
      <w:r w:rsidRPr="006D4265">
        <w:rPr>
          <w:rFonts w:asciiTheme="majorBidi" w:eastAsia="Times New Roman" w:hAnsiTheme="majorBidi" w:cstheme="majorBidi"/>
        </w:rPr>
        <w:t xml:space="preserve"> dans le verbe </w:t>
      </w:r>
      <w:r w:rsidRPr="006D4265">
        <w:rPr>
          <w:rFonts w:asciiTheme="majorBidi" w:eastAsia="Times New Roman" w:hAnsiTheme="majorBidi" w:cstheme="majorBidi"/>
          <w:i/>
          <w:iCs/>
        </w:rPr>
        <w:t>yanṣurahu</w:t>
      </w:r>
      <w:r w:rsidRPr="006D4265">
        <w:rPr>
          <w:rFonts w:asciiTheme="majorBidi" w:eastAsia="Times New Roman" w:hAnsiTheme="majorBidi" w:cstheme="majorBidi"/>
        </w:rPr>
        <w:t xml:space="preserve"> </w:t>
      </w:r>
      <w:r w:rsidRPr="006D4265">
        <w:rPr>
          <w:rFonts w:asciiTheme="majorBidi" w:hAnsiTheme="majorBidi" w:cstheme="majorBidi"/>
        </w:rPr>
        <w:t>[</w:t>
      </w:r>
      <w:r w:rsidRPr="006D4265">
        <w:rPr>
          <w:rFonts w:asciiTheme="majorBidi" w:eastAsia="Times New Roman" w:hAnsiTheme="majorBidi" w:cstheme="majorBidi"/>
        </w:rPr>
        <w:t xml:space="preserve">lui Donnera victoire] doit renvoyer à un nom déjà cité explicitement. Si la plupart des exégètes ont fait renvoyer le pronom au prophète Muḥammad, cela veut dire soit que le verset a été arraché d’un autre contexte et inséré dans le contexte de la sourate </w:t>
      </w:r>
      <w:r w:rsidR="00A10768">
        <w:rPr>
          <w:rFonts w:asciiTheme="majorBidi" w:eastAsia="Times New Roman" w:hAnsiTheme="majorBidi" w:cstheme="majorBidi"/>
          <w:i/>
          <w:iCs/>
        </w:rPr>
        <w:t>a</w:t>
      </w:r>
      <w:r w:rsidRPr="006D4265">
        <w:rPr>
          <w:rFonts w:asciiTheme="majorBidi" w:eastAsia="Times New Roman" w:hAnsiTheme="majorBidi" w:cstheme="majorBidi"/>
          <w:i/>
          <w:iCs/>
        </w:rPr>
        <w:t>l-Ḥajj</w:t>
      </w:r>
      <w:r w:rsidRPr="006D4265">
        <w:rPr>
          <w:rFonts w:asciiTheme="majorBidi" w:eastAsia="Times New Roman" w:hAnsiTheme="majorBidi" w:cstheme="majorBidi"/>
        </w:rPr>
        <w:t xml:space="preserve"> (d’autant plus que </w:t>
      </w:r>
      <w:r w:rsidRPr="006D4265">
        <w:rPr>
          <w:rFonts w:asciiTheme="majorBidi" w:eastAsia="Calibri" w:hAnsiTheme="majorBidi" w:cstheme="majorBidi"/>
        </w:rPr>
        <w:t>Aṭ-Ṭabarī</w:t>
      </w:r>
      <w:r w:rsidRPr="006D4265">
        <w:rPr>
          <w:rFonts w:asciiTheme="majorBidi" w:eastAsia="Times New Roman" w:hAnsiTheme="majorBidi" w:cstheme="majorBidi"/>
        </w:rPr>
        <w:t xml:space="preserve"> fait allusion aux circonstances de ce verset qui sont différentes du contexte de la sourate), soit que le sens n’a rien à voir avec la victoire du Prophète.</w:t>
      </w:r>
    </w:p>
    <w:p w14:paraId="485FD82E" w14:textId="77777777" w:rsidR="00296288" w:rsidRPr="006D4265" w:rsidRDefault="00296288" w:rsidP="007640DC">
      <w:pPr>
        <w:numPr>
          <w:ilvl w:val="0"/>
          <w:numId w:val="9"/>
        </w:numPr>
        <w:spacing w:line="360" w:lineRule="auto"/>
        <w:ind w:left="567" w:hanging="283"/>
        <w:jc w:val="both"/>
        <w:rPr>
          <w:rFonts w:eastAsia="Times New Roman"/>
        </w:rPr>
      </w:pPr>
      <w:r w:rsidRPr="006D4265">
        <w:rPr>
          <w:rFonts w:eastAsia="Times New Roman"/>
        </w:rPr>
        <w:lastRenderedPageBreak/>
        <w:t xml:space="preserve">Le mot indéfini </w:t>
      </w:r>
      <w:r w:rsidRPr="006D4265">
        <w:rPr>
          <w:rFonts w:eastAsia="Times New Roman"/>
          <w:i/>
          <w:iCs/>
        </w:rPr>
        <w:t>sabab</w:t>
      </w:r>
      <w:r>
        <w:rPr>
          <w:rFonts w:eastAsia="Times New Roman"/>
        </w:rPr>
        <w:t> </w:t>
      </w:r>
      <w:r w:rsidRPr="006D4265">
        <w:rPr>
          <w:rFonts w:eastAsia="Times New Roman"/>
        </w:rPr>
        <w:t>est générique et accepte d’innombrables significations : tout ce qui sert de lien. Le sens de « corde » donné par les exégètes à ce mot semble intrus.</w:t>
      </w:r>
    </w:p>
    <w:p w14:paraId="1FF5295D" w14:textId="77777777" w:rsidR="00296288" w:rsidRPr="006D4265" w:rsidRDefault="00296288" w:rsidP="007640DC">
      <w:pPr>
        <w:numPr>
          <w:ilvl w:val="0"/>
          <w:numId w:val="9"/>
        </w:numPr>
        <w:spacing w:line="360" w:lineRule="auto"/>
        <w:ind w:left="567" w:hanging="283"/>
        <w:jc w:val="both"/>
        <w:rPr>
          <w:rFonts w:eastAsia="Times New Roman"/>
        </w:rPr>
      </w:pPr>
      <w:r w:rsidRPr="006D4265">
        <w:rPr>
          <w:rFonts w:eastAsia="Times New Roman"/>
        </w:rPr>
        <w:t xml:space="preserve">Le mot défini </w:t>
      </w:r>
      <w:r w:rsidRPr="00D73FA6">
        <w:rPr>
          <w:rFonts w:eastAsia="Times New Roman"/>
          <w:b/>
          <w:bCs/>
          <w:i/>
        </w:rPr>
        <w:t>as</w:t>
      </w:r>
      <w:r w:rsidRPr="006D4265">
        <w:rPr>
          <w:rFonts w:eastAsia="Times New Roman"/>
          <w:i/>
          <w:iCs/>
        </w:rPr>
        <w:t>-samāʾ</w:t>
      </w:r>
      <w:r w:rsidRPr="006D4265">
        <w:rPr>
          <w:rFonts w:eastAsia="Times New Roman"/>
        </w:rPr>
        <w:t xml:space="preserve"> désigne lexicalement « </w:t>
      </w:r>
      <w:r w:rsidRPr="006D4265">
        <w:rPr>
          <w:rFonts w:eastAsia="Times New Roman"/>
          <w:b/>
          <w:bCs/>
          <w:i/>
          <w:iCs/>
        </w:rPr>
        <w:t xml:space="preserve">le </w:t>
      </w:r>
      <w:r w:rsidRPr="006D4265">
        <w:rPr>
          <w:rFonts w:eastAsia="Times New Roman"/>
        </w:rPr>
        <w:t xml:space="preserve">ciel » et non pas le plafond d’autant plus que le Coran n’utilise ce mot défini que dans le sens « ciel » ou « pluie » et que le contexte du verset en question exclut le sens du plafond. Le </w:t>
      </w:r>
      <w:r w:rsidRPr="006D4265">
        <w:rPr>
          <w:rFonts w:eastAsia="Times New Roman"/>
          <w:i/>
          <w:iCs/>
        </w:rPr>
        <w:t>Lisān al-ʿArab</w:t>
      </w:r>
      <w:r w:rsidRPr="006D4265">
        <w:rPr>
          <w:rFonts w:eastAsia="Times New Roman"/>
        </w:rPr>
        <w:t xml:space="preserve"> souligne qu’on appelle le plafond de la maison </w:t>
      </w:r>
      <w:r w:rsidRPr="006D4265">
        <w:rPr>
          <w:rFonts w:eastAsia="Times New Roman"/>
          <w:i/>
          <w:iCs/>
        </w:rPr>
        <w:t>samāʾ</w:t>
      </w:r>
      <w:r w:rsidRPr="006D4265">
        <w:rPr>
          <w:rFonts w:eastAsia="Times New Roman"/>
        </w:rPr>
        <w:t xml:space="preserve"> (indéfini, un </w:t>
      </w:r>
      <w:r w:rsidRPr="006D4265">
        <w:rPr>
          <w:rFonts w:eastAsia="Times New Roman"/>
          <w:i/>
          <w:iCs/>
        </w:rPr>
        <w:t>samāʾ</w:t>
      </w:r>
      <w:r w:rsidRPr="006D4265">
        <w:rPr>
          <w:rFonts w:eastAsia="Times New Roman"/>
        </w:rPr>
        <w:t xml:space="preserve"> et non pas le </w:t>
      </w:r>
      <w:r w:rsidRPr="006D4265">
        <w:rPr>
          <w:rFonts w:eastAsia="Times New Roman"/>
          <w:i/>
          <w:iCs/>
        </w:rPr>
        <w:t>samāʾ</w:t>
      </w:r>
      <w:r w:rsidRPr="006D4265">
        <w:rPr>
          <w:rFonts w:eastAsia="Times New Roman"/>
        </w:rPr>
        <w:t>). Ce terme ne désigne probablement le plafond que lorsqu’il est utilisé comme indéfini ou en annexion (</w:t>
      </w:r>
      <w:r w:rsidRPr="006D4265">
        <w:rPr>
          <w:rFonts w:eastAsia="Times New Roman"/>
          <w:i/>
          <w:iCs/>
        </w:rPr>
        <w:t>samāʾu l-bayt</w:t>
      </w:r>
      <w:r>
        <w:rPr>
          <w:rFonts w:eastAsia="Times New Roman"/>
          <w:i/>
          <w:iCs/>
        </w:rPr>
        <w:t> </w:t>
      </w:r>
      <w:r>
        <w:rPr>
          <w:rFonts w:eastAsia="Times New Roman"/>
        </w:rPr>
        <w:t>:</w:t>
      </w:r>
      <w:r w:rsidRPr="006D4265">
        <w:rPr>
          <w:rFonts w:eastAsia="Times New Roman"/>
        </w:rPr>
        <w:t xml:space="preserve"> le plafond de la maison).</w:t>
      </w:r>
    </w:p>
    <w:p w14:paraId="1B40A7A9" w14:textId="77777777" w:rsidR="00296288" w:rsidRPr="006D4265" w:rsidRDefault="00296288" w:rsidP="007640DC">
      <w:pPr>
        <w:numPr>
          <w:ilvl w:val="0"/>
          <w:numId w:val="9"/>
        </w:numPr>
        <w:spacing w:line="360" w:lineRule="auto"/>
        <w:ind w:left="567" w:hanging="283"/>
        <w:jc w:val="both"/>
        <w:rPr>
          <w:rFonts w:eastAsia="Times New Roman"/>
        </w:rPr>
      </w:pPr>
      <w:r w:rsidRPr="006D4265">
        <w:rPr>
          <w:rFonts w:eastAsia="Times New Roman"/>
        </w:rPr>
        <w:t xml:space="preserve">Le verbe transitif </w:t>
      </w:r>
      <w:r w:rsidRPr="006D4265">
        <w:rPr>
          <w:rFonts w:eastAsia="Times New Roman"/>
          <w:i/>
          <w:iCs/>
        </w:rPr>
        <w:t>yaqṭaʿ</w:t>
      </w:r>
      <w:r w:rsidRPr="006D4265">
        <w:rPr>
          <w:rFonts w:eastAsia="Times New Roman"/>
        </w:rPr>
        <w:t xml:space="preserve"> est utilisé dans l’absolu, i.e. sans COD. Pourquoi les exégètes ont-ils supposé le mot « corde » comme COD ? Le fait de supprimer le complément d’objet direct (COD) modifie le sens du verbe, insiste sur l’action et néglige le complément.</w:t>
      </w:r>
    </w:p>
    <w:p w14:paraId="1A6CADD4" w14:textId="77777777" w:rsidR="00296288" w:rsidRPr="006D4265" w:rsidRDefault="00296288" w:rsidP="007640DC">
      <w:pPr>
        <w:numPr>
          <w:ilvl w:val="0"/>
          <w:numId w:val="9"/>
        </w:numPr>
        <w:spacing w:line="360" w:lineRule="auto"/>
        <w:ind w:left="567" w:hanging="283"/>
        <w:jc w:val="both"/>
        <w:rPr>
          <w:rFonts w:eastAsia="Times New Roman"/>
        </w:rPr>
      </w:pPr>
      <w:r w:rsidRPr="006D4265">
        <w:rPr>
          <w:rFonts w:eastAsia="Times New Roman"/>
        </w:rPr>
        <w:t xml:space="preserve">On ne trouve dans </w:t>
      </w:r>
      <w:r w:rsidRPr="006D4265">
        <w:rPr>
          <w:rFonts w:eastAsia="Calibri"/>
        </w:rPr>
        <w:t xml:space="preserve">les </w:t>
      </w:r>
      <w:r w:rsidRPr="006D4265">
        <w:rPr>
          <w:rFonts w:eastAsia="Calibri"/>
          <w:i/>
          <w:iCs/>
        </w:rPr>
        <w:t>asbāb an-nuzūl</w:t>
      </w:r>
      <w:r>
        <w:rPr>
          <w:rFonts w:eastAsia="Calibri"/>
        </w:rPr>
        <w:t xml:space="preserve"> pas </w:t>
      </w:r>
      <w:r w:rsidRPr="006D4265">
        <w:rPr>
          <w:rFonts w:eastAsia="Calibri"/>
        </w:rPr>
        <w:t>grand-chose sur les circonstances de</w:t>
      </w:r>
      <w:r>
        <w:rPr>
          <w:rFonts w:eastAsia="Calibri"/>
        </w:rPr>
        <w:t xml:space="preserve"> la révélation ce verset (sauf ce</w:t>
      </w:r>
      <w:r w:rsidRPr="006D4265">
        <w:rPr>
          <w:rFonts w:eastAsia="Calibri"/>
        </w:rPr>
        <w:t xml:space="preserve"> que rapporte Aṭ-Ṭabarī</w:t>
      </w:r>
      <w:r>
        <w:rPr>
          <w:rFonts w:eastAsia="Calibri"/>
        </w:rPr>
        <w:t>,</w:t>
      </w:r>
      <w:r w:rsidRPr="006D4265">
        <w:rPr>
          <w:rFonts w:eastAsia="Calibri"/>
        </w:rPr>
        <w:t xml:space="preserve"> en disant que ce verset a été révélé pour répondre aux deux gran</w:t>
      </w:r>
      <w:r>
        <w:rPr>
          <w:rFonts w:eastAsia="Calibri"/>
        </w:rPr>
        <w:t>des tribus adversaires Banū Asa</w:t>
      </w:r>
      <w:r w:rsidRPr="006D4265">
        <w:rPr>
          <w:rFonts w:eastAsia="Calibri"/>
        </w:rPr>
        <w:t xml:space="preserve">d et Banū Ghaṭafān qui disaient que la victoire de Dieu pour Muḥammad a trop tardé et qu’ils avaient peur de se hâter de rompre les relations avec les Juifs, en embrassant l’islam, avant qu’ils aient été sûrs de la victoire du Prophète). On n’y trouve pas non plus les circonstances de la révélation de la sourate </w:t>
      </w:r>
      <w:r w:rsidRPr="006D4265">
        <w:rPr>
          <w:rFonts w:eastAsia="Times New Roman"/>
          <w:i/>
          <w:iCs/>
        </w:rPr>
        <w:t>Al-Ḥajj</w:t>
      </w:r>
      <w:r w:rsidRPr="006D4265">
        <w:rPr>
          <w:rFonts w:eastAsia="Times New Roman"/>
        </w:rPr>
        <w:t>, à l’exception du verset 8, ce qui augmente la confusion et par la suite la polysémie du verset.</w:t>
      </w:r>
    </w:p>
    <w:p w14:paraId="565550AB" w14:textId="77777777" w:rsidR="00296288" w:rsidRPr="006D4265" w:rsidRDefault="00296288" w:rsidP="00296288">
      <w:pPr>
        <w:spacing w:line="360" w:lineRule="auto"/>
        <w:jc w:val="both"/>
        <w:rPr>
          <w:rFonts w:eastAsia="Times New Roman"/>
        </w:rPr>
      </w:pPr>
    </w:p>
    <w:p w14:paraId="220481DF" w14:textId="77777777" w:rsidR="00296288" w:rsidRPr="006D4265" w:rsidRDefault="00296288" w:rsidP="00296288">
      <w:pPr>
        <w:spacing w:line="360" w:lineRule="auto"/>
        <w:ind w:firstLine="708"/>
        <w:jc w:val="both"/>
        <w:rPr>
          <w:rFonts w:eastAsia="Times New Roman"/>
        </w:rPr>
      </w:pPr>
      <w:r w:rsidRPr="006D4265">
        <w:rPr>
          <w:rFonts w:eastAsia="Times New Roman"/>
        </w:rPr>
        <w:t>Regardons maintenant les significations données par les exégètes pour le verset 15 tout entier :</w:t>
      </w:r>
    </w:p>
    <w:p w14:paraId="21F70202"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rPr>
        <w:t>Selon l’exégèse la plus ancienne, celui qui pense que le prophète Muḥammad ne remportera pas la victoire, qu’il aille se pendre. Autrement dit, la victoire du Prophète est sûre et certaine. (</w:t>
      </w:r>
      <w:r w:rsidRPr="006D4265">
        <w:rPr>
          <w:rFonts w:eastAsia="Times New Roman"/>
          <w:lang w:bidi="ar-AE"/>
        </w:rPr>
        <w:t>Aṭ-Ṭabarī</w:t>
      </w:r>
      <w:r w:rsidRPr="006D4265">
        <w:rPr>
          <w:rFonts w:eastAsia="Times New Roman"/>
        </w:rPr>
        <w:t xml:space="preserve"> (839-923))</w:t>
      </w:r>
    </w:p>
    <w:p w14:paraId="1C14D0D5"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rPr>
        <w:t>Celui qui pense que le prophète Muḥammad ne remportera pas la victoire, qu’il aille chercher un moyen pour rejoindre le ciel (la source de la victoire) et empêcher la victoire.</w:t>
      </w:r>
    </w:p>
    <w:p w14:paraId="659C4781"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rPr>
        <w:t>Celui qui hâte la victoire de Dieu pour le prophète Muḥammad n’accélérera pas la victoire par son impatience. En d’autres termes, la victoire viendra certainement, mais en son temps et au moment approprié.</w:t>
      </w:r>
    </w:p>
    <w:p w14:paraId="37700EAF" w14:textId="26FFAA42" w:rsidR="00296288" w:rsidRPr="006D4265" w:rsidRDefault="00296288" w:rsidP="007640DC">
      <w:pPr>
        <w:numPr>
          <w:ilvl w:val="0"/>
          <w:numId w:val="65"/>
        </w:numPr>
        <w:spacing w:line="360" w:lineRule="auto"/>
        <w:jc w:val="both"/>
        <w:rPr>
          <w:rFonts w:eastAsia="Times New Roman"/>
        </w:rPr>
      </w:pPr>
      <w:r w:rsidRPr="006D4265">
        <w:rPr>
          <w:rFonts w:eastAsia="Times New Roman"/>
        </w:rPr>
        <w:lastRenderedPageBreak/>
        <w:t>Celui qui pense que Dieu ne procurera pas au prophète Muḥammad les mo</w:t>
      </w:r>
      <w:r w:rsidR="005C38BF">
        <w:rPr>
          <w:rFonts w:eastAsia="Times New Roman"/>
        </w:rPr>
        <w:t xml:space="preserve">yens de subsistance (le verbe </w:t>
      </w:r>
      <w:r w:rsidRPr="006D4265">
        <w:rPr>
          <w:rFonts w:eastAsia="Times New Roman"/>
          <w:i/>
          <w:iCs/>
        </w:rPr>
        <w:t>naṣara</w:t>
      </w:r>
      <w:r w:rsidR="005C38BF">
        <w:rPr>
          <w:rFonts w:eastAsia="Times New Roman"/>
        </w:rPr>
        <w:t xml:space="preserve"> signifie aussi : </w:t>
      </w:r>
      <w:r w:rsidRPr="006D4265">
        <w:rPr>
          <w:rFonts w:eastAsia="Times New Roman"/>
          <w:i/>
          <w:iCs/>
        </w:rPr>
        <w:t>razaqa</w:t>
      </w:r>
      <w:r w:rsidRPr="006D4265">
        <w:rPr>
          <w:rFonts w:eastAsia="Times New Roman"/>
        </w:rPr>
        <w:t xml:space="preserve"> [assurer le gagne-pain, nourrir, procurer à qqn des moyens de subsistance]), qu’il meure de rage, car Dieu assurera certainement les vivres à son Messager aussi bien en ce monde que dans l’autre.</w:t>
      </w:r>
    </w:p>
    <w:p w14:paraId="60F01BD9"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rPr>
        <w:t>Celui qui croit que Dieu ne lui procurera pas les moyens de subsistance et ne lui assurera pas le gagne-pain, qu’il s’étrangle pour voir si sa croyance de ne pas être aidé va disparaître.</w:t>
      </w:r>
    </w:p>
    <w:p w14:paraId="76695096"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rPr>
        <w:t>Celui qui croit que Dieu ne lui procurera pas les moyens de subsistance, cette mauvaise pensée suffoquera, étouffera son âme et son esprit.</w:t>
      </w:r>
    </w:p>
    <w:p w14:paraId="414574E4"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rPr>
        <w:t>Celui qui doute que Dieu ne le récompensera pas, ne le rétribuera pas sur ses bonnes actions, qu’il établisse entre lui-même et Dieu un guide [</w:t>
      </w:r>
      <w:r w:rsidRPr="006D4265">
        <w:rPr>
          <w:rFonts w:eastAsia="Times New Roman"/>
          <w:i/>
          <w:iCs/>
        </w:rPr>
        <w:t>dalīl</w:t>
      </w:r>
      <w:r w:rsidRPr="006D4265">
        <w:rPr>
          <w:rFonts w:eastAsia="Times New Roman"/>
        </w:rPr>
        <w:t>] (</w:t>
      </w:r>
      <w:r w:rsidRPr="006D4265">
        <w:rPr>
          <w:rFonts w:eastAsia="Calibri"/>
        </w:rPr>
        <w:t>Al-Qummī)</w:t>
      </w:r>
      <w:r w:rsidRPr="006D4265">
        <w:rPr>
          <w:rFonts w:eastAsia="Times New Roman"/>
        </w:rPr>
        <w:t>.</w:t>
      </w:r>
    </w:p>
    <w:p w14:paraId="20A225F9"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lang w:bidi="ar-AE"/>
        </w:rPr>
        <w:t>Selon l’exégèse mystique moderne, q</w:t>
      </w:r>
      <w:r>
        <w:rPr>
          <w:rFonts w:eastAsia="Times New Roman"/>
          <w:lang w:bidi="ar-AE"/>
        </w:rPr>
        <w:t>ue celui qui i</w:t>
      </w:r>
      <w:r w:rsidRPr="006D4265">
        <w:rPr>
          <w:rFonts w:eastAsia="Times New Roman"/>
          <w:lang w:bidi="ar-AE"/>
        </w:rPr>
        <w:t>ci-bas</w:t>
      </w:r>
      <w:r>
        <w:rPr>
          <w:rFonts w:eastAsia="Times New Roman"/>
          <w:lang w:bidi="ar-AE"/>
        </w:rPr>
        <w:t xml:space="preserve"> éprouve de mauvaises pensées </w:t>
      </w:r>
      <w:r w:rsidRPr="006D4265">
        <w:rPr>
          <w:rFonts w:eastAsia="Times New Roman"/>
          <w:lang w:bidi="ar-AE"/>
        </w:rPr>
        <w:t>ou qui a peur de l’autre monde,</w:t>
      </w:r>
      <w:r>
        <w:rPr>
          <w:rFonts w:eastAsia="Times New Roman"/>
          <w:lang w:bidi="ar-AE"/>
        </w:rPr>
        <w:t xml:space="preserve"> </w:t>
      </w:r>
      <w:r w:rsidRPr="006D4265">
        <w:rPr>
          <w:rFonts w:eastAsia="Times New Roman"/>
          <w:lang w:bidi="ar-AE"/>
        </w:rPr>
        <w:t>se tourne vers Dieu (les bonnes pensées) et qu’il annihile les causes des pensées mauvaises (qu’il s’établisse dans le bien et qu’il rompe d’avec le mal), qu’il voie alors si son malaise disparaît (confrérie naqshbandite syrien</w:t>
      </w:r>
      <w:r>
        <w:rPr>
          <w:rFonts w:eastAsia="Times New Roman"/>
          <w:lang w:bidi="ar-AE"/>
        </w:rPr>
        <w:t>ne contemporaine : Amīn Shaykhū</w:t>
      </w:r>
      <w:r w:rsidRPr="006D4265">
        <w:rPr>
          <w:rFonts w:eastAsia="Times New Roman"/>
          <w:lang w:bidi="ar-AE"/>
        </w:rPr>
        <w:t xml:space="preserve">, </w:t>
      </w:r>
      <w:r w:rsidRPr="006D4265">
        <w:rPr>
          <w:rFonts w:eastAsia="Calibri"/>
        </w:rPr>
        <w:t>ʿAbd al-Hādī</w:t>
      </w:r>
      <w:r w:rsidRPr="006D4265">
        <w:rPr>
          <w:rFonts w:ascii="Calibri" w:eastAsia="Times New Roman" w:hAnsi="Calibri" w:cs="Arial"/>
        </w:rPr>
        <w:t xml:space="preserve"> </w:t>
      </w:r>
      <w:r w:rsidRPr="006D4265">
        <w:rPr>
          <w:rFonts w:eastAsia="Calibri"/>
        </w:rPr>
        <w:t xml:space="preserve">Al-Bānī </w:t>
      </w:r>
      <w:r w:rsidRPr="006D4265">
        <w:rPr>
          <w:rFonts w:eastAsia="Times New Roman"/>
          <w:lang w:bidi="ar-AE"/>
        </w:rPr>
        <w:t xml:space="preserve">et </w:t>
      </w:r>
      <w:r w:rsidRPr="006D4265">
        <w:rPr>
          <w:rFonts w:eastAsia="Calibri"/>
        </w:rPr>
        <w:t>Muḥammad Rātib An-Nābulsī</w:t>
      </w:r>
      <w:r w:rsidRPr="006D4265">
        <w:rPr>
          <w:rFonts w:eastAsia="Times New Roman"/>
          <w:lang w:bidi="ar-AE"/>
        </w:rPr>
        <w:t>)</w:t>
      </w:r>
      <w:r w:rsidRPr="006D4265">
        <w:rPr>
          <w:rFonts w:eastAsia="Times New Roman"/>
        </w:rPr>
        <w:t xml:space="preserve">. Cette interprétation </w:t>
      </w:r>
      <w:r>
        <w:rPr>
          <w:rFonts w:eastAsia="Times New Roman"/>
        </w:rPr>
        <w:t>signifie</w:t>
      </w:r>
      <w:r w:rsidRPr="006D4265">
        <w:rPr>
          <w:rFonts w:eastAsia="Times New Roman"/>
        </w:rPr>
        <w:t xml:space="preserve"> que si l’être humain est déprimé, il doit couper avec le passé et vivre le présent.</w:t>
      </w:r>
    </w:p>
    <w:p w14:paraId="07977E74" w14:textId="77777777" w:rsidR="00296288" w:rsidRPr="006D4265" w:rsidRDefault="00296288" w:rsidP="007640DC">
      <w:pPr>
        <w:numPr>
          <w:ilvl w:val="0"/>
          <w:numId w:val="65"/>
        </w:numPr>
        <w:spacing w:line="360" w:lineRule="auto"/>
        <w:jc w:val="both"/>
        <w:rPr>
          <w:rFonts w:eastAsia="Times New Roman"/>
        </w:rPr>
      </w:pPr>
      <w:r w:rsidRPr="006D4265">
        <w:rPr>
          <w:rFonts w:eastAsia="Times New Roman"/>
          <w:lang w:bidi="ar-AE"/>
        </w:rPr>
        <w:t>Selon l’exégèse</w:t>
      </w:r>
      <w:r>
        <w:rPr>
          <w:rFonts w:eastAsia="Times New Roman"/>
          <w:lang w:bidi="ar-AE"/>
        </w:rPr>
        <w:t xml:space="preserve"> orthodoxe</w:t>
      </w:r>
      <w:r w:rsidRPr="006D4265">
        <w:rPr>
          <w:rFonts w:eastAsia="Times New Roman"/>
          <w:lang w:bidi="ar-AE"/>
        </w:rPr>
        <w:t xml:space="preserve"> moderne (</w:t>
      </w:r>
      <w:r w:rsidRPr="002062C6">
        <w:rPr>
          <w:rFonts w:eastAsia="Times New Roman"/>
          <w:i/>
          <w:lang w:bidi="ar-AE"/>
        </w:rPr>
        <w:t>Al-Muntakhab</w:t>
      </w:r>
      <w:r w:rsidRPr="006D4265">
        <w:rPr>
          <w:rFonts w:eastAsia="Times New Roman"/>
          <w:lang w:bidi="ar-AE"/>
        </w:rPr>
        <w:t xml:space="preserve"> d’Al-Azhar), parmi les incroyants, celui qui pense que Dieu ne secourt pas son Prophète, qu’il tende une corde au plafond de sa maison, puis qu’il se suffoque, qu’il imagine cela et qu’il voie ensuite si son action peut faire disparaître l’objet de sa rage qui est l</w:t>
      </w:r>
      <w:r>
        <w:rPr>
          <w:rFonts w:eastAsia="Times New Roman"/>
          <w:lang w:bidi="ar-AE"/>
        </w:rPr>
        <w:t>a victoire du Messager de Dieu.</w:t>
      </w:r>
    </w:p>
    <w:p w14:paraId="59DAD612" w14:textId="77777777" w:rsidR="00296288" w:rsidRPr="006D4265" w:rsidRDefault="00296288" w:rsidP="00296288">
      <w:pPr>
        <w:spacing w:line="360" w:lineRule="auto"/>
        <w:jc w:val="lowKashida"/>
        <w:rPr>
          <w:rFonts w:eastAsia="Times New Roman"/>
          <w:lang w:bidi="ar-AE"/>
        </w:rPr>
      </w:pPr>
    </w:p>
    <w:p w14:paraId="3B5357A4" w14:textId="77777777" w:rsidR="00296288" w:rsidRPr="006D4265" w:rsidRDefault="00296288" w:rsidP="00296288">
      <w:pPr>
        <w:spacing w:line="360" w:lineRule="auto"/>
        <w:ind w:firstLine="360"/>
        <w:jc w:val="lowKashida"/>
        <w:rPr>
          <w:rFonts w:eastAsia="Calibri"/>
        </w:rPr>
      </w:pPr>
      <w:r w:rsidRPr="006D4265">
        <w:rPr>
          <w:rFonts w:eastAsia="Calibri"/>
        </w:rPr>
        <w:t>Nous y distinguons trois types d’exégèse :</w:t>
      </w:r>
    </w:p>
    <w:p w14:paraId="07560606" w14:textId="77777777" w:rsidR="00296288" w:rsidRPr="006D4265" w:rsidRDefault="00296288" w:rsidP="007640DC">
      <w:pPr>
        <w:pStyle w:val="Paragraphedeliste"/>
        <w:numPr>
          <w:ilvl w:val="0"/>
          <w:numId w:val="84"/>
        </w:numPr>
        <w:bidi w:val="0"/>
        <w:spacing w:after="0" w:line="360" w:lineRule="auto"/>
        <w:contextualSpacing/>
        <w:jc w:val="lowKashida"/>
        <w:rPr>
          <w:rFonts w:ascii="Times New Roman" w:eastAsia="Calibri" w:hAnsi="Times New Roman" w:cs="Times New Roman"/>
          <w:sz w:val="24"/>
          <w:szCs w:val="24"/>
        </w:rPr>
      </w:pPr>
      <w:r w:rsidRPr="006D4265">
        <w:rPr>
          <w:rFonts w:ascii="Times New Roman" w:eastAsia="Calibri" w:hAnsi="Times New Roman" w:cs="Times New Roman"/>
          <w:sz w:val="24"/>
          <w:szCs w:val="24"/>
        </w:rPr>
        <w:t>l’exégèse conflictuelle (surinterprétation) (surtout dans les anciennes exégèses) ;</w:t>
      </w:r>
    </w:p>
    <w:p w14:paraId="0A31C6AF" w14:textId="77777777" w:rsidR="00296288" w:rsidRPr="006D4265" w:rsidRDefault="00296288" w:rsidP="007640DC">
      <w:pPr>
        <w:pStyle w:val="Paragraphedeliste"/>
        <w:numPr>
          <w:ilvl w:val="0"/>
          <w:numId w:val="84"/>
        </w:numPr>
        <w:bidi w:val="0"/>
        <w:spacing w:after="0" w:line="360" w:lineRule="auto"/>
        <w:contextualSpacing/>
        <w:jc w:val="lowKashida"/>
        <w:rPr>
          <w:rFonts w:ascii="Times New Roman" w:eastAsia="Calibri" w:hAnsi="Times New Roman" w:cs="Times New Roman"/>
          <w:sz w:val="24"/>
          <w:szCs w:val="24"/>
        </w:rPr>
      </w:pPr>
      <w:r w:rsidRPr="006D4265">
        <w:rPr>
          <w:rFonts w:ascii="Times New Roman" w:eastAsia="Calibri" w:hAnsi="Times New Roman" w:cs="Times New Roman"/>
          <w:sz w:val="24"/>
          <w:szCs w:val="24"/>
        </w:rPr>
        <w:t>l’exégèse psychologique ou mystique (al-Qummī et Shaykhū) ;</w:t>
      </w:r>
    </w:p>
    <w:p w14:paraId="329FEB63" w14:textId="77777777" w:rsidR="00296288" w:rsidRPr="006D4265" w:rsidRDefault="00296288" w:rsidP="007640DC">
      <w:pPr>
        <w:pStyle w:val="Paragraphedeliste"/>
        <w:numPr>
          <w:ilvl w:val="0"/>
          <w:numId w:val="84"/>
        </w:numPr>
        <w:bidi w:val="0"/>
        <w:spacing w:after="0" w:line="360" w:lineRule="auto"/>
        <w:contextualSpacing/>
        <w:jc w:val="lowKashida"/>
        <w:rPr>
          <w:rFonts w:ascii="Times New Roman" w:eastAsia="Calibri" w:hAnsi="Times New Roman" w:cs="Times New Roman"/>
          <w:sz w:val="24"/>
          <w:szCs w:val="24"/>
        </w:rPr>
      </w:pPr>
      <w:r w:rsidRPr="006D4265">
        <w:rPr>
          <w:rFonts w:ascii="Times New Roman" w:eastAsia="Calibri" w:hAnsi="Times New Roman" w:cs="Times New Roman"/>
          <w:sz w:val="24"/>
          <w:szCs w:val="24"/>
        </w:rPr>
        <w:t>l’exégèse ambiguë (entre les deux).</w:t>
      </w:r>
    </w:p>
    <w:p w14:paraId="3C15F734" w14:textId="77777777" w:rsidR="00296288" w:rsidRPr="006D4265" w:rsidRDefault="00296288" w:rsidP="00296288">
      <w:pPr>
        <w:spacing w:line="360" w:lineRule="auto"/>
        <w:jc w:val="lowKashida"/>
        <w:rPr>
          <w:rFonts w:eastAsia="Calibri"/>
        </w:rPr>
      </w:pPr>
    </w:p>
    <w:p w14:paraId="31B94F3F" w14:textId="77777777" w:rsidR="00296288" w:rsidRPr="006D4265" w:rsidRDefault="00296288" w:rsidP="00296288">
      <w:pPr>
        <w:spacing w:line="360" w:lineRule="auto"/>
        <w:ind w:firstLine="360"/>
        <w:jc w:val="lowKashida"/>
        <w:rPr>
          <w:rFonts w:eastAsia="Calibri"/>
        </w:rPr>
      </w:pPr>
      <w:r w:rsidRPr="006D4265">
        <w:rPr>
          <w:rFonts w:eastAsia="Calibri"/>
        </w:rPr>
        <w:t xml:space="preserve">Il est à souligner que l’exégèse </w:t>
      </w:r>
      <w:r>
        <w:rPr>
          <w:rFonts w:eastAsia="Calibri"/>
        </w:rPr>
        <w:t xml:space="preserve">orthodoxe </w:t>
      </w:r>
      <w:r w:rsidRPr="006D4265">
        <w:rPr>
          <w:rFonts w:eastAsia="Calibri"/>
        </w:rPr>
        <w:t xml:space="preserve">moderne </w:t>
      </w:r>
      <w:r>
        <w:rPr>
          <w:rFonts w:eastAsia="Calibri"/>
        </w:rPr>
        <w:t>(</w:t>
      </w:r>
      <w:r w:rsidRPr="006D4265">
        <w:rPr>
          <w:rFonts w:eastAsia="Calibri"/>
        </w:rPr>
        <w:t>Al-Azhar) a adopté l’ancienne surinterprétation conflictuelle.</w:t>
      </w:r>
    </w:p>
    <w:p w14:paraId="2D21F70F" w14:textId="77777777" w:rsidR="00296288" w:rsidRPr="006D4265" w:rsidRDefault="00296288" w:rsidP="00296288">
      <w:pPr>
        <w:spacing w:line="360" w:lineRule="auto"/>
        <w:ind w:firstLine="720"/>
        <w:jc w:val="lowKashida"/>
        <w:rPr>
          <w:rFonts w:eastAsia="Calibri"/>
        </w:rPr>
      </w:pPr>
    </w:p>
    <w:p w14:paraId="0B0FC5C1" w14:textId="77777777" w:rsidR="00296288" w:rsidRPr="006D4265" w:rsidRDefault="00296288" w:rsidP="00296288">
      <w:pPr>
        <w:spacing w:line="360" w:lineRule="auto"/>
        <w:ind w:firstLine="360"/>
        <w:jc w:val="lowKashida"/>
        <w:rPr>
          <w:rFonts w:eastAsia="Times New Roman"/>
        </w:rPr>
      </w:pPr>
      <w:r w:rsidRPr="006D4265">
        <w:rPr>
          <w:rFonts w:eastAsia="Times New Roman"/>
        </w:rPr>
        <w:lastRenderedPageBreak/>
        <w:t>Si le verset 15</w:t>
      </w:r>
      <w:r>
        <w:rPr>
          <w:rFonts w:eastAsia="Times New Roman"/>
        </w:rPr>
        <w:t>,</w:t>
      </w:r>
      <w:r w:rsidRPr="006D4265">
        <w:rPr>
          <w:rFonts w:eastAsia="Times New Roman"/>
        </w:rPr>
        <w:t xml:space="preserve"> qui constitue une péricope indépendante désigne plusieurs concepts diversifiés et contradictoires</w:t>
      </w:r>
      <w:r>
        <w:rPr>
          <w:rFonts w:eastAsia="Times New Roman"/>
        </w:rPr>
        <w:t>,</w:t>
      </w:r>
      <w:r w:rsidRPr="006D4265">
        <w:rPr>
          <w:rFonts w:eastAsia="Times New Roman"/>
        </w:rPr>
        <w:t xml:space="preserve"> c’est parce qu’il y a plusieurs lecteurs de différents arrière-plans, de différents besoins sociopolitiques et psychologiques et de différents temps et lieux. S’il y avait eu un seul lecteur en un seul temps et en un seul lieu, il y aurait eu une seule lecture et une seule signification. Ainsi, si le lecteur, le temps et le lieu changent, la lecture change. On remarque la grande différence ent</w:t>
      </w:r>
      <w:r>
        <w:rPr>
          <w:rFonts w:eastAsia="Times New Roman"/>
        </w:rPr>
        <w:t>re l’exégèse la plus ancienne (</w:t>
      </w:r>
      <w:r w:rsidRPr="006D4265">
        <w:rPr>
          <w:rFonts w:eastAsia="Times New Roman"/>
          <w:lang w:bidi="ar-AE"/>
        </w:rPr>
        <w:t>Aṭ-Ṭabarī</w:t>
      </w:r>
      <w:r>
        <w:rPr>
          <w:rFonts w:eastAsia="Times New Roman"/>
          <w:lang w:bidi="ar-AE"/>
        </w:rPr>
        <w:t> </w:t>
      </w:r>
      <w:r>
        <w:rPr>
          <w:rFonts w:eastAsia="Times New Roman"/>
        </w:rPr>
        <w:t xml:space="preserve">: </w:t>
      </w:r>
      <w:r w:rsidRPr="006D4265">
        <w:rPr>
          <w:rFonts w:eastAsia="Times New Roman"/>
        </w:rPr>
        <w:t xml:space="preserve">exégèse politique et conflictuelle) et </w:t>
      </w:r>
      <w:r>
        <w:rPr>
          <w:rFonts w:eastAsia="Times New Roman"/>
        </w:rPr>
        <w:t>la plus moderne (</w:t>
      </w:r>
      <w:r>
        <w:rPr>
          <w:rFonts w:eastAsia="Times New Roman"/>
          <w:lang w:bidi="ar-AE"/>
        </w:rPr>
        <w:t xml:space="preserve">Shaykhū : </w:t>
      </w:r>
      <w:r w:rsidRPr="006D4265">
        <w:rPr>
          <w:rFonts w:eastAsia="Times New Roman"/>
        </w:rPr>
        <w:t>exégèse psychologique). Cela ne signifie pas que la première n’est plus utilisée et que la dernière s’impose dans le monde arabo-musulman. Mais cela signifie que l’on recourt à l’ancienne exégèse quand le contexte sociopolitique conflictuel l’exige et que l’on recourt à la nouvelle exégèse quand on est dans une situation prosélytique par exemple.</w:t>
      </w:r>
    </w:p>
    <w:p w14:paraId="772245A4" w14:textId="77777777" w:rsidR="00296288" w:rsidRPr="006D4265" w:rsidRDefault="00296288" w:rsidP="00296288">
      <w:pPr>
        <w:spacing w:line="360" w:lineRule="auto"/>
        <w:ind w:firstLine="720"/>
        <w:jc w:val="lowKashida"/>
        <w:rPr>
          <w:rFonts w:eastAsia="Times New Roman"/>
        </w:rPr>
      </w:pPr>
    </w:p>
    <w:p w14:paraId="78D69E2F" w14:textId="77777777" w:rsidR="00296288" w:rsidRPr="006D4265" w:rsidRDefault="00296288" w:rsidP="00296288">
      <w:pPr>
        <w:spacing w:line="360" w:lineRule="auto"/>
        <w:ind w:firstLine="360"/>
        <w:jc w:val="lowKashida"/>
        <w:rPr>
          <w:rFonts w:eastAsia="Times New Roman"/>
        </w:rPr>
      </w:pPr>
      <w:r w:rsidRPr="006D4265">
        <w:rPr>
          <w:rFonts w:eastAsia="Times New Roman"/>
        </w:rPr>
        <w:t xml:space="preserve">Il est à souligner que les sens 1 et 2 qui parlent de la victoire certaine du prophète Muḥammad (sens sociopolitique et conflictuel) l’emportent sur toutes les autres significations. C’est le courant dominant sunnite qui a imposé sa compréhension aux dépens d’autres compréhensions. Le sens du défi dans le verset 15 a été donc imposé pour des considérations sociopolitiques, bien que cette signification ne soit pas explicite dans le verset et qu’elle semble contraire aux règles de la grammaire. Mais comme le souligne Umberto </w:t>
      </w:r>
      <w:r w:rsidRPr="006D4265">
        <w:t xml:space="preserve">Eco dans </w:t>
      </w:r>
      <w:r w:rsidRPr="006D4265">
        <w:rPr>
          <w:i/>
          <w:iCs/>
        </w:rPr>
        <w:t>Lector in fabula</w:t>
      </w:r>
      <w:r>
        <w:rPr>
          <w:i/>
          <w:iCs/>
        </w:rPr>
        <w:t>,</w:t>
      </w:r>
      <w:r w:rsidRPr="006D4265">
        <w:t xml:space="preserve"> « tout lecteur peut, à partir d’une phrase, inférer des situations d’énonciation possibles : pour comprendre un texte, on ne se réfère pas uniquement aux règles d’une grammaire de l’énoncé. ».</w:t>
      </w:r>
      <w:r w:rsidRPr="006D4265">
        <w:rPr>
          <w:rFonts w:eastAsia="Times New Roman"/>
        </w:rPr>
        <w:t xml:space="preserve"> Il semble que le courant orthodoxe totalitaire essaie d’imposer une lecture monosémique, alors que les courants hétérodoxes essayent de chercher des nouvelles significations </w:t>
      </w:r>
      <w:r w:rsidRPr="006D4265">
        <w:t>qui n’ont pas pris racine</w:t>
      </w:r>
      <w:r w:rsidRPr="006D4265">
        <w:rPr>
          <w:rFonts w:eastAsia="Times New Roman"/>
        </w:rPr>
        <w:t>.</w:t>
      </w:r>
    </w:p>
    <w:p w14:paraId="5C7F69C8" w14:textId="77777777" w:rsidR="00296288" w:rsidRPr="006D4265" w:rsidRDefault="00296288" w:rsidP="00296288">
      <w:pPr>
        <w:spacing w:line="360" w:lineRule="auto"/>
        <w:jc w:val="lowKashida"/>
        <w:rPr>
          <w:rFonts w:eastAsia="Times New Roman"/>
        </w:rPr>
      </w:pPr>
    </w:p>
    <w:p w14:paraId="1F0A0F7A" w14:textId="77777777" w:rsidR="00296288" w:rsidRPr="006D4265" w:rsidRDefault="00296288" w:rsidP="00296288">
      <w:pPr>
        <w:spacing w:line="360" w:lineRule="auto"/>
        <w:ind w:firstLine="360"/>
        <w:jc w:val="lowKashida"/>
        <w:rPr>
          <w:rFonts w:eastAsia="Times New Roman"/>
        </w:rPr>
      </w:pPr>
      <w:r w:rsidRPr="006D4265">
        <w:rPr>
          <w:rFonts w:eastAsia="Times New Roman"/>
        </w:rPr>
        <w:t xml:space="preserve">Il est également à noter que, dans un contexte de conflit militaire où naissaient des notions telles que </w:t>
      </w:r>
      <w:r>
        <w:rPr>
          <w:rFonts w:eastAsia="Times New Roman"/>
          <w:i/>
          <w:iCs/>
        </w:rPr>
        <w:t>dār al-</w:t>
      </w:r>
      <w:r w:rsidRPr="006D4265">
        <w:rPr>
          <w:rFonts w:eastAsia="Times New Roman"/>
          <w:i/>
          <w:iCs/>
        </w:rPr>
        <w:t>islām</w:t>
      </w:r>
      <w:r w:rsidRPr="006D4265">
        <w:rPr>
          <w:rFonts w:eastAsia="Times New Roman"/>
        </w:rPr>
        <w:t xml:space="preserve"> [domaine de l’islam] et </w:t>
      </w:r>
      <w:r w:rsidRPr="006D4265">
        <w:rPr>
          <w:rFonts w:eastAsia="Times New Roman"/>
          <w:i/>
          <w:iCs/>
        </w:rPr>
        <w:t>dār al-ḥarb</w:t>
      </w:r>
      <w:r w:rsidRPr="006D4265">
        <w:rPr>
          <w:rFonts w:eastAsia="Times New Roman"/>
        </w:rPr>
        <w:t xml:space="preserve"> [domaine de la guerre], le verset 15 a pris (de manière générale et abstraction faite des exégèses mystiques) une signification qui légitime le conflit, affirme la victoire et remonte le moral. Cependant, lorsque le contexte a changé, une exégèse plus mystique et plus spirituelle</w:t>
      </w:r>
      <w:r>
        <w:rPr>
          <w:rFonts w:eastAsia="Times New Roman"/>
        </w:rPr>
        <w:t xml:space="preserve"> est apparue</w:t>
      </w:r>
      <w:r w:rsidRPr="006D4265">
        <w:rPr>
          <w:rFonts w:eastAsia="Times New Roman"/>
        </w:rPr>
        <w:t xml:space="preserve"> (celle d’</w:t>
      </w:r>
      <w:r w:rsidRPr="006D4265">
        <w:rPr>
          <w:rFonts w:eastAsia="Times New Roman"/>
          <w:lang w:bidi="ar-AE"/>
        </w:rPr>
        <w:t>Amīn Shaykhū</w:t>
      </w:r>
      <w:r w:rsidRPr="006D4265">
        <w:rPr>
          <w:rFonts w:eastAsia="Times New Roman"/>
        </w:rPr>
        <w:t>). En fin de compte, les musulmans ont recours à l’exégèse dont ils ont besoin.</w:t>
      </w:r>
    </w:p>
    <w:p w14:paraId="60006B6C" w14:textId="77777777" w:rsidR="00296288" w:rsidRPr="006D4265" w:rsidRDefault="00296288" w:rsidP="00296288">
      <w:pPr>
        <w:spacing w:line="360" w:lineRule="auto"/>
        <w:ind w:firstLine="720"/>
        <w:jc w:val="lowKashida"/>
        <w:rPr>
          <w:rFonts w:eastAsia="Times New Roman"/>
        </w:rPr>
      </w:pPr>
    </w:p>
    <w:p w14:paraId="0B25FF9B" w14:textId="77777777" w:rsidR="00296288" w:rsidRPr="006D4265" w:rsidRDefault="00296288" w:rsidP="00296288">
      <w:pPr>
        <w:spacing w:line="360" w:lineRule="auto"/>
        <w:ind w:firstLine="360"/>
        <w:jc w:val="lowKashida"/>
        <w:rPr>
          <w:rFonts w:eastAsia="Times New Roman"/>
        </w:rPr>
      </w:pPr>
      <w:r w:rsidRPr="006D4265">
        <w:rPr>
          <w:rFonts w:eastAsia="Times New Roman"/>
        </w:rPr>
        <w:lastRenderedPageBreak/>
        <w:t>Nous remarquons que le sens du défi et de la victoire du prophète Muḥammad n’est pas dû à une évolution polysémique des mots, mais il est inventé, inséré, adjoint au verset pour répondre à un contexte de rivalité.</w:t>
      </w:r>
    </w:p>
    <w:p w14:paraId="4BCB89F7" w14:textId="77777777" w:rsidR="00296288" w:rsidRPr="006D4265" w:rsidRDefault="00296288" w:rsidP="00296288">
      <w:pPr>
        <w:spacing w:line="360" w:lineRule="auto"/>
        <w:ind w:firstLine="720"/>
        <w:jc w:val="lowKashida"/>
        <w:rPr>
          <w:rFonts w:eastAsia="Times New Roman"/>
        </w:rPr>
      </w:pPr>
    </w:p>
    <w:p w14:paraId="5A78AC75" w14:textId="77777777" w:rsidR="00296288" w:rsidRPr="006D4265" w:rsidRDefault="00296288" w:rsidP="00296288">
      <w:pPr>
        <w:spacing w:line="360" w:lineRule="auto"/>
        <w:ind w:firstLine="360"/>
        <w:jc w:val="lowKashida"/>
        <w:rPr>
          <w:rFonts w:eastAsia="Times New Roman"/>
        </w:rPr>
      </w:pPr>
      <w:r w:rsidRPr="006D4265">
        <w:rPr>
          <w:rFonts w:eastAsia="Times New Roman"/>
        </w:rPr>
        <w:t>En d’autres termes, la signification « </w:t>
      </w:r>
      <w:r w:rsidRPr="006D4265">
        <w:rPr>
          <w:rFonts w:eastAsia="Times New Roman"/>
          <w:i/>
          <w:iCs/>
        </w:rPr>
        <w:t xml:space="preserve">Dieu donnera la victoire </w:t>
      </w:r>
      <w:r w:rsidRPr="006D4265">
        <w:rPr>
          <w:rFonts w:eastAsia="Times New Roman"/>
          <w:u w:val="single"/>
        </w:rPr>
        <w:t>à Muḥammad</w:t>
      </w:r>
      <w:r w:rsidRPr="006D4265">
        <w:rPr>
          <w:rFonts w:eastAsia="Times New Roman"/>
        </w:rPr>
        <w:t xml:space="preserve"> » (pour </w:t>
      </w:r>
      <w:r w:rsidRPr="006D4265">
        <w:rPr>
          <w:rFonts w:eastAsia="Times New Roman"/>
          <w:i/>
          <w:iCs/>
        </w:rPr>
        <w:t>yanṣura</w:t>
      </w:r>
      <w:r>
        <w:rPr>
          <w:rFonts w:eastAsia="Times New Roman"/>
          <w:i/>
          <w:iCs/>
        </w:rPr>
        <w:t>-</w:t>
      </w:r>
      <w:r w:rsidRPr="002062C6">
        <w:rPr>
          <w:rFonts w:eastAsia="Times New Roman"/>
          <w:b/>
          <w:i/>
          <w:u w:val="single"/>
        </w:rPr>
        <w:t>hu</w:t>
      </w:r>
      <w:r w:rsidRPr="006D4265">
        <w:rPr>
          <w:rFonts w:eastAsia="Times New Roman"/>
        </w:rPr>
        <w:t>) ne découle pas de la signification « </w:t>
      </w:r>
      <w:r w:rsidRPr="006D4265">
        <w:rPr>
          <w:rFonts w:eastAsia="Times New Roman"/>
          <w:i/>
          <w:iCs/>
        </w:rPr>
        <w:t xml:space="preserve">Dieu secourra </w:t>
      </w:r>
      <w:r w:rsidRPr="006D4265">
        <w:rPr>
          <w:rFonts w:eastAsia="Times New Roman"/>
          <w:u w:val="single"/>
        </w:rPr>
        <w:t>quiconque</w:t>
      </w:r>
      <w:r w:rsidRPr="006D4265">
        <w:rPr>
          <w:rFonts w:eastAsia="Times New Roman"/>
          <w:b/>
          <w:bCs/>
          <w:u w:val="single"/>
        </w:rPr>
        <w:t> </w:t>
      </w:r>
      <w:r w:rsidRPr="006D4265">
        <w:rPr>
          <w:rFonts w:eastAsia="Times New Roman"/>
        </w:rPr>
        <w:t>» ; la signification « </w:t>
      </w:r>
      <w:r w:rsidRPr="006D4265">
        <w:rPr>
          <w:rFonts w:eastAsia="Times New Roman"/>
          <w:i/>
          <w:iCs/>
        </w:rPr>
        <w:t>une corde</w:t>
      </w:r>
      <w:r w:rsidRPr="006D4265">
        <w:rPr>
          <w:rFonts w:eastAsia="Times New Roman"/>
        </w:rPr>
        <w:t xml:space="preserve"> » (pour </w:t>
      </w:r>
      <w:r w:rsidRPr="002062C6">
        <w:rPr>
          <w:rFonts w:eastAsia="Times New Roman"/>
          <w:i/>
        </w:rPr>
        <w:t>s</w:t>
      </w:r>
      <w:r w:rsidRPr="006D4265">
        <w:rPr>
          <w:rFonts w:eastAsia="Times New Roman"/>
          <w:i/>
          <w:iCs/>
        </w:rPr>
        <w:t>abab</w:t>
      </w:r>
      <w:r w:rsidRPr="006D4265">
        <w:rPr>
          <w:rFonts w:eastAsia="Times New Roman"/>
        </w:rPr>
        <w:t>) ne découle de la signification « </w:t>
      </w:r>
      <w:r w:rsidRPr="006D4265">
        <w:rPr>
          <w:rFonts w:eastAsia="Times New Roman"/>
          <w:i/>
          <w:iCs/>
        </w:rPr>
        <w:t>un moyen</w:t>
      </w:r>
      <w:r w:rsidRPr="006D4265">
        <w:rPr>
          <w:rFonts w:eastAsia="Times New Roman"/>
        </w:rPr>
        <w:t> » ; la signification « </w:t>
      </w:r>
      <w:r w:rsidRPr="006D4265">
        <w:rPr>
          <w:rFonts w:eastAsia="Times New Roman"/>
          <w:i/>
          <w:iCs/>
        </w:rPr>
        <w:t>le plafond de la maison</w:t>
      </w:r>
      <w:r w:rsidRPr="006D4265">
        <w:rPr>
          <w:rFonts w:eastAsia="Times New Roman"/>
        </w:rPr>
        <w:t xml:space="preserve"> » (pour </w:t>
      </w:r>
      <w:r w:rsidRPr="006D4265">
        <w:rPr>
          <w:rFonts w:eastAsia="Times New Roman"/>
          <w:i/>
          <w:iCs/>
        </w:rPr>
        <w:t>as-samāʾ</w:t>
      </w:r>
      <w:r w:rsidRPr="006D4265">
        <w:rPr>
          <w:rFonts w:eastAsia="Times New Roman"/>
        </w:rPr>
        <w:t>) ne découle pas de la signification « </w:t>
      </w:r>
      <w:r w:rsidRPr="006D4265">
        <w:rPr>
          <w:rFonts w:eastAsia="Times New Roman"/>
          <w:i/>
          <w:iCs/>
        </w:rPr>
        <w:t>le Ciel</w:t>
      </w:r>
      <w:r w:rsidRPr="006D4265">
        <w:rPr>
          <w:rFonts w:eastAsia="Times New Roman"/>
        </w:rPr>
        <w:t> » ; et enfin la signification « </w:t>
      </w:r>
      <w:r w:rsidRPr="006D4265">
        <w:rPr>
          <w:rFonts w:eastAsia="Times New Roman"/>
          <w:i/>
          <w:iCs/>
        </w:rPr>
        <w:t>qu’il se pende</w:t>
      </w:r>
      <w:r w:rsidRPr="006D4265">
        <w:rPr>
          <w:rFonts w:eastAsia="Times New Roman"/>
        </w:rPr>
        <w:t xml:space="preserve"> » (pour </w:t>
      </w:r>
      <w:r w:rsidRPr="006D4265">
        <w:rPr>
          <w:rFonts w:eastAsia="Times New Roman"/>
          <w:i/>
          <w:iCs/>
        </w:rPr>
        <w:t>li-yaqṭaʿ</w:t>
      </w:r>
      <w:r w:rsidRPr="006D4265">
        <w:rPr>
          <w:rFonts w:eastAsia="Times New Roman"/>
        </w:rPr>
        <w:t>) ne découle pas de la signification « </w:t>
      </w:r>
      <w:r w:rsidRPr="006D4265">
        <w:rPr>
          <w:rFonts w:eastAsia="Times New Roman"/>
          <w:i/>
          <w:iCs/>
        </w:rPr>
        <w:t>qu’il rompe</w:t>
      </w:r>
      <w:r w:rsidRPr="006D4265">
        <w:rPr>
          <w:rFonts w:eastAsia="Times New Roman"/>
        </w:rPr>
        <w:t> ».</w:t>
      </w:r>
    </w:p>
    <w:p w14:paraId="627CFBA3" w14:textId="77777777" w:rsidR="00296288" w:rsidRPr="006D4265" w:rsidRDefault="00296288" w:rsidP="00296288">
      <w:pPr>
        <w:spacing w:line="360" w:lineRule="auto"/>
        <w:ind w:firstLine="720"/>
        <w:jc w:val="lowKashida"/>
        <w:rPr>
          <w:rFonts w:eastAsia="Times New Roman"/>
        </w:rPr>
      </w:pPr>
    </w:p>
    <w:p w14:paraId="6FCE9512" w14:textId="77777777" w:rsidR="00296288" w:rsidRPr="006D4265" w:rsidRDefault="00296288" w:rsidP="00296288">
      <w:pPr>
        <w:spacing w:line="360" w:lineRule="auto"/>
        <w:ind w:firstLine="360"/>
        <w:jc w:val="lowKashida"/>
        <w:rPr>
          <w:rFonts w:eastAsia="Times New Roman"/>
        </w:rPr>
      </w:pPr>
      <w:r w:rsidRPr="008503C6">
        <w:rPr>
          <w:rFonts w:eastAsia="Times New Roman"/>
        </w:rPr>
        <w:t>Cette opacité claire et probablement exprès dans ce verset ainsi que dans beaucoup d’autres peut nous révéler que le rôle essentiel du Coran n’est pas probablement de transmettre un contenu, un message spirituel, religieux et culturel, mais plutôt un message sociopolitique et identitaire, que le texte</w:t>
      </w:r>
      <w:r w:rsidRPr="006D4265">
        <w:rPr>
          <w:rFonts w:eastAsia="Times New Roman"/>
        </w:rPr>
        <w:t xml:space="preserve"> coranique n’est pas homogène, et que chaque sourate</w:t>
      </w:r>
      <w:r>
        <w:rPr>
          <w:rFonts w:eastAsia="Times New Roman"/>
        </w:rPr>
        <w:t>,</w:t>
      </w:r>
      <w:r w:rsidRPr="006D4265">
        <w:rPr>
          <w:rFonts w:eastAsia="Times New Roman"/>
        </w:rPr>
        <w:t xml:space="preserve"> ou même chaque verset peut avoir plusieurs contextes. De plus, les individus dans une communauté, et surtout quand il s’agit d’un texte sacré, n’interprètent pas ce que les mots disent au plan linguistique, lexical et sémantique, mais ce qu’ils veulent dire eux-mêmes au plan sociologique, politique et culturel. Un intellectuel saoudien contro</w:t>
      </w:r>
      <w:r>
        <w:rPr>
          <w:rFonts w:eastAsia="Times New Roman"/>
        </w:rPr>
        <w:t xml:space="preserve">versé, </w:t>
      </w:r>
      <w:r w:rsidRPr="006D4265">
        <w:rPr>
          <w:rFonts w:eastAsia="Times New Roman"/>
        </w:rPr>
        <w:t>Abdullāh Al</w:t>
      </w:r>
      <w:r>
        <w:rPr>
          <w:rFonts w:eastAsia="Times New Roman"/>
        </w:rPr>
        <w:t>-Qaṣīmī</w:t>
      </w:r>
      <w:r w:rsidRPr="006D4265">
        <w:rPr>
          <w:rFonts w:eastAsia="Times New Roman"/>
        </w:rPr>
        <w:t xml:space="preserve"> (1907-1996) affirme que « nous ne parlons pas des choses telles qu’elles sont, mais telles que nous voulons »</w:t>
      </w:r>
      <w:r w:rsidRPr="006D4265">
        <w:rPr>
          <w:rStyle w:val="Appelnotedebasdep"/>
          <w:rFonts w:eastAsia="Times New Roman"/>
        </w:rPr>
        <w:footnoteReference w:id="333"/>
      </w:r>
      <w:r w:rsidRPr="006D4265">
        <w:rPr>
          <w:rFonts w:eastAsia="Times New Roman"/>
        </w:rPr>
        <w:t>.</w:t>
      </w:r>
    </w:p>
    <w:p w14:paraId="6339D337" w14:textId="77777777" w:rsidR="00296288" w:rsidRPr="006D4265" w:rsidRDefault="00296288" w:rsidP="00296288">
      <w:pPr>
        <w:spacing w:line="360" w:lineRule="auto"/>
        <w:ind w:firstLine="720"/>
        <w:jc w:val="lowKashida"/>
        <w:rPr>
          <w:rFonts w:eastAsia="Times New Roman"/>
        </w:rPr>
      </w:pPr>
    </w:p>
    <w:p w14:paraId="3C68D29A" w14:textId="77777777" w:rsidR="00296288" w:rsidRPr="006D4265" w:rsidRDefault="00296288" w:rsidP="00296288">
      <w:pPr>
        <w:spacing w:line="360" w:lineRule="auto"/>
        <w:ind w:firstLine="720"/>
        <w:jc w:val="lowKashida"/>
        <w:rPr>
          <w:rFonts w:eastAsia="Times New Roman"/>
        </w:rPr>
      </w:pPr>
      <w:r w:rsidRPr="006D4265">
        <w:rPr>
          <w:rFonts w:eastAsia="Times New Roman"/>
        </w:rPr>
        <w:t>Alfred-Louis de Prémare</w:t>
      </w:r>
      <w:r w:rsidRPr="006D4265">
        <w:rPr>
          <w:rFonts w:eastAsia="Times New Roman"/>
          <w:vertAlign w:val="superscript"/>
        </w:rPr>
        <w:footnoteReference w:id="334"/>
      </w:r>
      <w:r w:rsidRPr="006D4265">
        <w:rPr>
          <w:rFonts w:eastAsia="Times New Roman"/>
        </w:rPr>
        <w:t xml:space="preserve"> explique l’opacité du Coran par plusieurs facteurs : langue archaïque, écriture consonantique donc sans voyelles, aléas de la graphie d’origine, mais peut-être aussi volonté des scribes. Ceux qui ont composé le texte finalement retenu auraient pu vouloir le « décontextualiser » en raison des conflits ou des schismes en cours, ce qui les aurait conduits à couper ou à remplacer des versets, provoquant le fouillis apparent du texte.</w:t>
      </w:r>
      <w:r w:rsidRPr="006D4265">
        <w:rPr>
          <w:rFonts w:eastAsia="Times New Roman"/>
          <w:vertAlign w:val="superscript"/>
        </w:rPr>
        <w:footnoteReference w:id="335"/>
      </w:r>
    </w:p>
    <w:p w14:paraId="1C642DD2" w14:textId="77777777" w:rsidR="00296288" w:rsidRPr="006D4265" w:rsidRDefault="00296288" w:rsidP="00296288">
      <w:pPr>
        <w:spacing w:line="360" w:lineRule="auto"/>
        <w:jc w:val="lowKashida"/>
        <w:rPr>
          <w:rFonts w:eastAsia="Times New Roman"/>
        </w:rPr>
      </w:pPr>
    </w:p>
    <w:p w14:paraId="4A3E9CE4" w14:textId="77777777" w:rsidR="00296288" w:rsidRPr="006D4265" w:rsidRDefault="00296288" w:rsidP="00296288">
      <w:pPr>
        <w:spacing w:line="360" w:lineRule="auto"/>
        <w:ind w:firstLine="720"/>
        <w:jc w:val="lowKashida"/>
        <w:rPr>
          <w:rFonts w:eastAsia="Times New Roman"/>
        </w:rPr>
      </w:pPr>
      <w:r w:rsidRPr="006D4265">
        <w:rPr>
          <w:rFonts w:eastAsia="Times New Roman"/>
        </w:rPr>
        <w:lastRenderedPageBreak/>
        <w:t>En effet, il semble que le contenu n’était pas prioritaire pour les compilateurs du Coran. Ce qui était prioritaire c’est la forme arabe du texte. Le Coran relie le mot « Coran » avec l’adjectif « arabe » (</w:t>
      </w:r>
      <w:r w:rsidRPr="006D4265">
        <w:rPr>
          <w:rFonts w:eastAsia="Times New Roman"/>
          <w:i/>
          <w:iCs/>
        </w:rPr>
        <w:t>qurʾān</w:t>
      </w:r>
      <w:r w:rsidRPr="005C38BF">
        <w:rPr>
          <w:rFonts w:eastAsia="Times New Roman"/>
          <w:i/>
          <w:iCs/>
        </w:rPr>
        <w:t>an</w:t>
      </w:r>
      <w:r w:rsidRPr="006D4265">
        <w:rPr>
          <w:rFonts w:eastAsia="Times New Roman"/>
          <w:i/>
          <w:iCs/>
        </w:rPr>
        <w:t xml:space="preserve"> ʿarabīy</w:t>
      </w:r>
      <w:r w:rsidRPr="005C38BF">
        <w:rPr>
          <w:rFonts w:eastAsia="Times New Roman"/>
          <w:i/>
          <w:iCs/>
        </w:rPr>
        <w:t>an</w:t>
      </w:r>
      <w:r w:rsidRPr="006D4265">
        <w:rPr>
          <w:rFonts w:eastAsia="Times New Roman"/>
        </w:rPr>
        <w:t>) dans six verset</w:t>
      </w:r>
      <w:r>
        <w:rPr>
          <w:rFonts w:eastAsia="Times New Roman"/>
        </w:rPr>
        <w:t>s</w:t>
      </w:r>
      <w:r w:rsidRPr="006D4265">
        <w:rPr>
          <w:rFonts w:eastAsia="Times New Roman"/>
        </w:rPr>
        <w:t xml:space="preserve"> (XII, 2 ; XX, 113 ; XXXIX, 28 ; XLI, 3 ; XLII, 7 ; XLIII, 3). C’est son arabité qui est essentielle et qui </w:t>
      </w:r>
      <w:r>
        <w:rPr>
          <w:rFonts w:eastAsia="Times New Roman"/>
        </w:rPr>
        <w:t>en fait</w:t>
      </w:r>
      <w:r w:rsidRPr="006D4265">
        <w:rPr>
          <w:rFonts w:eastAsia="Times New Roman"/>
        </w:rPr>
        <w:t xml:space="preserve"> un texte sacré, un Coran. C’est pourquoi il est opaque, et par la suite polysémi</w:t>
      </w:r>
      <w:r>
        <w:rPr>
          <w:rFonts w:eastAsia="Times New Roman"/>
        </w:rPr>
        <w:t xml:space="preserve">que et intraduisible : </w:t>
      </w:r>
      <w:r w:rsidRPr="006D4265">
        <w:rPr>
          <w:rFonts w:eastAsia="Times New Roman"/>
        </w:rPr>
        <w:t xml:space="preserve">une fois traduit il n’est plus un Coran, et par la suite il n’est plus sacré. Dès que le Coran est traduit, il cesse de réaliser son objectif qui était de donner une reconnaissance à l’arabe. Lire le Coran, en tant que texte sacré, c’est faire deux actes en même temps : l’énonciation et le culte, parler et prier. Le Coran est ainsi un discours performatif, pour reprendre la dichotomie (énonciation constative et énonciation performative) développée par </w:t>
      </w:r>
      <w:r w:rsidRPr="006D4265">
        <w:rPr>
          <w:rFonts w:eastAsia="Times New Roman"/>
          <w:shd w:val="clear" w:color="auto" w:fill="FFFFFF"/>
        </w:rPr>
        <w:t>Austin</w:t>
      </w:r>
      <w:r w:rsidRPr="006D4265">
        <w:rPr>
          <w:rStyle w:val="Appelnotedebasdep"/>
          <w:rFonts w:eastAsia="Times New Roman"/>
        </w:rPr>
        <w:footnoteReference w:id="336"/>
      </w:r>
      <w:r>
        <w:rPr>
          <w:rFonts w:eastAsia="Times New Roman"/>
        </w:rPr>
        <w:t xml:space="preserve">. </w:t>
      </w:r>
      <w:r w:rsidRPr="006D4265">
        <w:rPr>
          <w:rFonts w:eastAsia="Times New Roman"/>
        </w:rPr>
        <w:t>Toutefois, lire la traduction du Coran c’est faire un seul acte : énoncer. La dimension rituelle perd donc à la traduction.</w:t>
      </w:r>
    </w:p>
    <w:p w14:paraId="5F15BB3B" w14:textId="77777777" w:rsidR="00296288" w:rsidRDefault="00296288" w:rsidP="00296288">
      <w:pPr>
        <w:spacing w:line="360" w:lineRule="auto"/>
        <w:jc w:val="both"/>
        <w:rPr>
          <w:rFonts w:eastAsia="Times New Roman"/>
          <w:lang w:bidi="ar-AE"/>
        </w:rPr>
      </w:pPr>
    </w:p>
    <w:p w14:paraId="5642734A" w14:textId="77777777" w:rsidR="00295192" w:rsidRPr="006D4265" w:rsidRDefault="00295192" w:rsidP="00296288">
      <w:pPr>
        <w:spacing w:line="360" w:lineRule="auto"/>
        <w:jc w:val="both"/>
        <w:rPr>
          <w:rFonts w:eastAsia="Times New Roman"/>
          <w:lang w:bidi="ar-AE"/>
        </w:rPr>
      </w:pPr>
    </w:p>
    <w:p w14:paraId="5FBCAF8E" w14:textId="77777777" w:rsidR="00296288" w:rsidRPr="006D4265" w:rsidRDefault="00296288" w:rsidP="00296288">
      <w:pPr>
        <w:spacing w:line="360" w:lineRule="auto"/>
        <w:jc w:val="both"/>
        <w:rPr>
          <w:rFonts w:eastAsia="Times New Roman"/>
          <w:b/>
          <w:bCs/>
          <w:lang w:bidi="ar-AE"/>
        </w:rPr>
      </w:pPr>
      <w:r w:rsidRPr="006D4265">
        <w:rPr>
          <w:rFonts w:eastAsia="Times New Roman"/>
          <w:b/>
          <w:bCs/>
          <w:lang w:bidi="ar-AE"/>
        </w:rPr>
        <w:t>La proposition «</w:t>
      </w:r>
      <w:r>
        <w:rPr>
          <w:rFonts w:eastAsia="Times New Roman"/>
          <w:b/>
          <w:bCs/>
          <w:lang w:bidi="ar-AE"/>
        </w:rPr>
        <w:t xml:space="preserve"> </w:t>
      </w:r>
      <w:r>
        <w:rPr>
          <w:rFonts w:eastAsia="Times New Roman" w:hint="cs"/>
          <w:b/>
          <w:bCs/>
          <w:rtl/>
          <w:lang w:bidi="ar-AE"/>
        </w:rPr>
        <w:t>ومن يُهِنِ اللهُ</w:t>
      </w:r>
      <w:r w:rsidRPr="006D4265">
        <w:rPr>
          <w:rFonts w:eastAsia="Times New Roman"/>
          <w:b/>
          <w:bCs/>
          <w:lang w:bidi="ar-AE"/>
        </w:rPr>
        <w:t> »</w:t>
      </w:r>
      <w:r w:rsidRPr="006D4265">
        <w:rPr>
          <w:rFonts w:eastAsia="Times New Roman"/>
          <w:b/>
          <w:bCs/>
          <w:i/>
          <w:iCs/>
          <w:lang w:bidi="ar-AE"/>
        </w:rPr>
        <w:t> </w:t>
      </w:r>
      <w:r w:rsidRPr="006D4265">
        <w:rPr>
          <w:rFonts w:eastAsia="Times New Roman"/>
          <w:b/>
          <w:bCs/>
          <w:lang w:bidi="ar-AE"/>
        </w:rPr>
        <w:t>:</w:t>
      </w:r>
    </w:p>
    <w:p w14:paraId="64A7D4B8" w14:textId="77777777" w:rsidR="00296288" w:rsidRPr="006D4265" w:rsidRDefault="00296288" w:rsidP="00296288">
      <w:pPr>
        <w:spacing w:line="360" w:lineRule="auto"/>
        <w:jc w:val="both"/>
        <w:rPr>
          <w:rFonts w:eastAsia="Times New Roman"/>
          <w:lang w:bidi="ar-AE"/>
        </w:rPr>
      </w:pPr>
      <w:r w:rsidRPr="006D4265">
        <w:rPr>
          <w:rFonts w:eastAsia="Times New Roman"/>
          <w:lang w:bidi="ar-AE"/>
        </w:rPr>
        <w:t>La proposition conditionnelle «</w:t>
      </w:r>
      <w:r>
        <w:rPr>
          <w:rFonts w:eastAsia="Times New Roman"/>
          <w:lang w:bidi="ar-AE"/>
        </w:rPr>
        <w:t xml:space="preserve"> </w:t>
      </w:r>
      <w:r>
        <w:rPr>
          <w:rFonts w:eastAsia="Times New Roman" w:hint="cs"/>
          <w:rtl/>
          <w:lang w:bidi="ar-AE"/>
        </w:rPr>
        <w:t>ومن يُهنِ اللهُ</w:t>
      </w:r>
      <w:r w:rsidRPr="006D4265">
        <w:rPr>
          <w:rFonts w:eastAsia="Times New Roman"/>
          <w:lang w:bidi="ar-AE"/>
        </w:rPr>
        <w:t> » [et celui que Dieu humilie]) (v. 18) a été interprétée de plusieurs manières :</w:t>
      </w:r>
    </w:p>
    <w:p w14:paraId="15987388" w14:textId="77777777" w:rsidR="00296288" w:rsidRPr="006D4265" w:rsidRDefault="00296288" w:rsidP="007640DC">
      <w:pPr>
        <w:numPr>
          <w:ilvl w:val="0"/>
          <w:numId w:val="66"/>
        </w:numPr>
        <w:spacing w:line="360" w:lineRule="auto"/>
        <w:jc w:val="both"/>
        <w:rPr>
          <w:rFonts w:eastAsia="Times New Roman"/>
          <w:lang w:bidi="ar-AE"/>
        </w:rPr>
      </w:pPr>
      <w:r w:rsidRPr="006D4265">
        <w:rPr>
          <w:rFonts w:eastAsia="Times New Roman"/>
          <w:lang w:bidi="ar-AE"/>
        </w:rPr>
        <w:t>celui que Dieu le rend malheureux ;</w:t>
      </w:r>
    </w:p>
    <w:p w14:paraId="1494F656" w14:textId="77777777" w:rsidR="00296288" w:rsidRPr="006D4265" w:rsidRDefault="00296288" w:rsidP="007640DC">
      <w:pPr>
        <w:numPr>
          <w:ilvl w:val="0"/>
          <w:numId w:val="66"/>
        </w:numPr>
        <w:spacing w:line="360" w:lineRule="auto"/>
        <w:jc w:val="both"/>
        <w:rPr>
          <w:rFonts w:eastAsia="Times New Roman"/>
          <w:lang w:bidi="ar-AE"/>
        </w:rPr>
      </w:pPr>
      <w:r w:rsidRPr="006D4265">
        <w:rPr>
          <w:rFonts w:eastAsia="Times New Roman"/>
          <w:lang w:bidi="ar-AE"/>
        </w:rPr>
        <w:t>celui que Dieu le rend incroyant ;</w:t>
      </w:r>
    </w:p>
    <w:p w14:paraId="31BAF11F" w14:textId="77777777" w:rsidR="00296288" w:rsidRPr="006D4265" w:rsidRDefault="00296288" w:rsidP="007640DC">
      <w:pPr>
        <w:numPr>
          <w:ilvl w:val="0"/>
          <w:numId w:val="66"/>
        </w:numPr>
        <w:spacing w:line="360" w:lineRule="auto"/>
        <w:jc w:val="both"/>
        <w:rPr>
          <w:rFonts w:eastAsia="Times New Roman"/>
          <w:lang w:bidi="ar-AE"/>
        </w:rPr>
      </w:pPr>
      <w:r w:rsidRPr="006D4265">
        <w:rPr>
          <w:rFonts w:eastAsia="Times New Roman"/>
          <w:lang w:bidi="ar-AE"/>
        </w:rPr>
        <w:t>celui sur qui Dieu fait descendre une souffrance inévitable ;</w:t>
      </w:r>
    </w:p>
    <w:p w14:paraId="6BC10EB9" w14:textId="77777777" w:rsidR="00296288" w:rsidRPr="006D4265" w:rsidRDefault="00296288" w:rsidP="007640DC">
      <w:pPr>
        <w:numPr>
          <w:ilvl w:val="0"/>
          <w:numId w:val="66"/>
        </w:numPr>
        <w:spacing w:line="360" w:lineRule="auto"/>
        <w:jc w:val="both"/>
        <w:rPr>
          <w:rFonts w:eastAsia="Times New Roman"/>
          <w:lang w:bidi="ar-AE"/>
        </w:rPr>
      </w:pPr>
      <w:r w:rsidRPr="006D4265">
        <w:rPr>
          <w:rFonts w:eastAsia="Times New Roman"/>
          <w:lang w:bidi="ar-AE"/>
        </w:rPr>
        <w:t>celui qui s’éloigne de Dieu (Shaykhū).</w:t>
      </w:r>
    </w:p>
    <w:p w14:paraId="685EAE97" w14:textId="77777777" w:rsidR="00296288" w:rsidRPr="006D4265" w:rsidRDefault="00296288" w:rsidP="00296288">
      <w:pPr>
        <w:spacing w:line="360" w:lineRule="auto"/>
        <w:ind w:firstLine="708"/>
        <w:jc w:val="both"/>
        <w:rPr>
          <w:rFonts w:eastAsia="Times New Roman"/>
          <w:lang w:bidi="ar-AE"/>
        </w:rPr>
      </w:pPr>
    </w:p>
    <w:p w14:paraId="135CB98A" w14:textId="77777777" w:rsidR="00296288" w:rsidRPr="006D4265" w:rsidRDefault="00296288" w:rsidP="00296288">
      <w:pPr>
        <w:spacing w:line="360" w:lineRule="auto"/>
        <w:ind w:firstLine="360"/>
        <w:jc w:val="both"/>
        <w:rPr>
          <w:rFonts w:eastAsia="Times New Roman"/>
          <w:lang w:bidi="ar-AE"/>
        </w:rPr>
      </w:pPr>
      <w:r w:rsidRPr="006D4265">
        <w:rPr>
          <w:rFonts w:eastAsia="Times New Roman"/>
          <w:lang w:bidi="ar-AE"/>
        </w:rPr>
        <w:t>Les trois premières interprétations montrent l’imprégnation des exégèses du courant d’</w:t>
      </w:r>
      <w:r w:rsidRPr="006D4265">
        <w:rPr>
          <w:rFonts w:eastAsia="Times New Roman"/>
          <w:i/>
          <w:iCs/>
          <w:lang w:bidi="ar-AE"/>
        </w:rPr>
        <w:t>al-jabrīya</w:t>
      </w:r>
      <w:r w:rsidRPr="006D4265">
        <w:rPr>
          <w:rFonts w:eastAsia="Times New Roman"/>
          <w:lang w:bidi="ar-AE"/>
        </w:rPr>
        <w:t xml:space="preserve"> (le prédéterminisme) qui affirme la seule volonté de Dieu.</w:t>
      </w:r>
    </w:p>
    <w:p w14:paraId="67469F13" w14:textId="77777777" w:rsidR="00296288" w:rsidRPr="006D4265" w:rsidRDefault="00296288" w:rsidP="00296288">
      <w:pPr>
        <w:spacing w:line="360" w:lineRule="auto"/>
        <w:jc w:val="both"/>
        <w:rPr>
          <w:rFonts w:eastAsia="Times New Roman"/>
          <w:lang w:bidi="ar-AE"/>
        </w:rPr>
      </w:pPr>
    </w:p>
    <w:p w14:paraId="1B5181BC" w14:textId="77777777" w:rsidR="00296288" w:rsidRPr="006D4265" w:rsidRDefault="00296288" w:rsidP="00296288">
      <w:pPr>
        <w:spacing w:line="360" w:lineRule="auto"/>
        <w:jc w:val="both"/>
        <w:rPr>
          <w:rFonts w:eastAsia="Times New Roman"/>
          <w:b/>
          <w:bCs/>
          <w:lang w:bidi="ar-AE"/>
        </w:rPr>
      </w:pPr>
      <w:r w:rsidRPr="006D4265">
        <w:rPr>
          <w:rFonts w:asciiTheme="majorBidi" w:eastAsia="Times New Roman" w:hAnsiTheme="majorBidi" w:cstheme="majorBidi"/>
          <w:b/>
          <w:bCs/>
          <w:lang w:bidi="ar-AE"/>
        </w:rPr>
        <w:t>La phrase «</w:t>
      </w:r>
      <w:r w:rsidRPr="003E21EB">
        <w:rPr>
          <w:rFonts w:asciiTheme="majorBidi" w:eastAsia="Times New Roman" w:hAnsiTheme="majorBidi" w:cstheme="majorBidi"/>
          <w:b/>
          <w:bCs/>
          <w:lang w:bidi="ar-AE"/>
        </w:rPr>
        <w:t> </w:t>
      </w:r>
      <w:r w:rsidRPr="003E21EB">
        <w:rPr>
          <w:rFonts w:asciiTheme="majorBidi" w:eastAsia="Times New Roman" w:hAnsiTheme="majorBidi" w:cstheme="majorBidi" w:hint="cs"/>
          <w:b/>
          <w:bCs/>
          <w:rtl/>
          <w:lang w:bidi="ar-AE"/>
        </w:rPr>
        <w:t>قُطِّعَت لهم ثيابٌ من نار</w:t>
      </w:r>
      <w:r w:rsidRPr="006D4265">
        <w:rPr>
          <w:rFonts w:asciiTheme="majorBidi" w:eastAsia="Times New Roman" w:hAnsiTheme="majorBidi" w:cstheme="majorBidi"/>
          <w:b/>
          <w:bCs/>
          <w:lang w:bidi="ar-AE"/>
        </w:rPr>
        <w:t> » :</w:t>
      </w:r>
    </w:p>
    <w:p w14:paraId="20EAB701" w14:textId="77777777" w:rsidR="00296288" w:rsidRPr="006D4265" w:rsidRDefault="00296288" w:rsidP="00296288">
      <w:pPr>
        <w:spacing w:line="360" w:lineRule="auto"/>
        <w:ind w:firstLine="360"/>
        <w:jc w:val="both"/>
        <w:rPr>
          <w:rFonts w:asciiTheme="majorBidi" w:eastAsia="Times New Roman" w:hAnsiTheme="majorBidi" w:cstheme="majorBidi"/>
          <w:lang w:bidi="ar-AE"/>
        </w:rPr>
      </w:pPr>
      <w:r w:rsidRPr="006D4265">
        <w:rPr>
          <w:rFonts w:asciiTheme="majorBidi" w:eastAsia="Times New Roman" w:hAnsiTheme="majorBidi" w:cstheme="majorBidi"/>
          <w:lang w:bidi="ar-AE"/>
        </w:rPr>
        <w:t xml:space="preserve">Dans un contexte de rivalité et d’émulation, le Coran avilit et attaque son adversaire. Il le menace non seulement du châtiment dans ce monde mais dans l’autre monde aussi. Ainsi, le verset 19 menace les adversaires de l’islam (ou les adversaires de l’une des branches de l’islam) </w:t>
      </w:r>
      <w:r w:rsidRPr="006D4265">
        <w:rPr>
          <w:rFonts w:asciiTheme="majorBidi" w:eastAsia="Times New Roman" w:hAnsiTheme="majorBidi" w:cstheme="majorBidi"/>
          <w:lang w:bidi="ar-AE"/>
        </w:rPr>
        <w:lastRenderedPageBreak/>
        <w:t>de leur tailler des vêtements de feu. Selon les exégètes, «</w:t>
      </w:r>
      <w:r w:rsidRPr="003E21EB">
        <w:rPr>
          <w:rFonts w:asciiTheme="majorBidi" w:eastAsia="Times New Roman" w:hAnsiTheme="majorBidi" w:cstheme="majorBidi"/>
          <w:lang w:bidi="ar-AE"/>
        </w:rPr>
        <w:t> </w:t>
      </w:r>
      <w:r w:rsidRPr="003E21EB">
        <w:rPr>
          <w:rFonts w:asciiTheme="majorBidi" w:eastAsia="Times New Roman" w:hAnsiTheme="majorBidi" w:cstheme="majorBidi" w:hint="cs"/>
          <w:rtl/>
          <w:lang w:bidi="ar-AE"/>
        </w:rPr>
        <w:t>قُطِّعَت لهم ثيابٌ من نار</w:t>
      </w:r>
      <w:r w:rsidRPr="006D4265">
        <w:rPr>
          <w:rFonts w:asciiTheme="majorBidi" w:eastAsia="Times New Roman" w:hAnsiTheme="majorBidi" w:cstheme="majorBidi"/>
          <w:lang w:bidi="ar-AE"/>
        </w:rPr>
        <w:t> » [des vêtements de feu leur sont taillés] peut signifier les idées suivantes :</w:t>
      </w:r>
    </w:p>
    <w:p w14:paraId="677B738F" w14:textId="77777777" w:rsidR="00296288" w:rsidRPr="006D4265" w:rsidRDefault="00296288" w:rsidP="007640DC">
      <w:pPr>
        <w:numPr>
          <w:ilvl w:val="0"/>
          <w:numId w:val="70"/>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Des vêtements de cuivre sont taillés pour eux dans l’Enfer ;</w:t>
      </w:r>
    </w:p>
    <w:p w14:paraId="060D18C2" w14:textId="77777777" w:rsidR="00296288" w:rsidRPr="006D4265" w:rsidRDefault="00296288" w:rsidP="007640DC">
      <w:pPr>
        <w:numPr>
          <w:ilvl w:val="0"/>
          <w:numId w:val="70"/>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Des vêtements sont taillés et cousus de feu pour eux dans l’Enfer ;</w:t>
      </w:r>
    </w:p>
    <w:p w14:paraId="3F7B7BDB" w14:textId="77777777" w:rsidR="00296288" w:rsidRPr="006D4265" w:rsidRDefault="00296288" w:rsidP="007640DC">
      <w:pPr>
        <w:numPr>
          <w:ilvl w:val="0"/>
          <w:numId w:val="70"/>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Des vêtements sont faits à la taille de leurs corps physiques dans l’Enfer ;</w:t>
      </w:r>
    </w:p>
    <w:p w14:paraId="7F4B4EEE" w14:textId="77777777" w:rsidR="00296288" w:rsidRPr="006D4265" w:rsidRDefault="00296288" w:rsidP="007640DC">
      <w:pPr>
        <w:numPr>
          <w:ilvl w:val="0"/>
          <w:numId w:val="70"/>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Le feu les entoure comme des vêtements dans l’Enfer ;</w:t>
      </w:r>
    </w:p>
    <w:p w14:paraId="07200084" w14:textId="77777777" w:rsidR="00296288" w:rsidRPr="006D4265" w:rsidRDefault="00296288" w:rsidP="007640DC">
      <w:pPr>
        <w:numPr>
          <w:ilvl w:val="0"/>
          <w:numId w:val="70"/>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À force de la douleur que leurs âmes éprouvent dans l’Enfer, ils ressentent porter des vêtements de feu (Shaykhū) ;</w:t>
      </w:r>
    </w:p>
    <w:p w14:paraId="71C08BC3" w14:textId="77777777" w:rsidR="00296288" w:rsidRPr="006D4265" w:rsidRDefault="00296288" w:rsidP="007640DC">
      <w:pPr>
        <w:numPr>
          <w:ilvl w:val="0"/>
          <w:numId w:val="70"/>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Des vêtements du feu de la colère de Dieu leur sont réservés (Ibn ʿArabī) ;</w:t>
      </w:r>
    </w:p>
    <w:p w14:paraId="02BEA072" w14:textId="77777777" w:rsidR="00296288" w:rsidRPr="006D4265" w:rsidRDefault="00296288" w:rsidP="007640DC">
      <w:pPr>
        <w:numPr>
          <w:ilvl w:val="0"/>
          <w:numId w:val="70"/>
        </w:num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lang w:bidi="ar-AE"/>
        </w:rPr>
        <w:t>Le feu n’existe qu’à l’intérieur de l’être humain. Par conséquent, les vêtements du feu ne sont que la peau et la chair de l’humain : « L’être humain porte en lui, sur son dos son paradis et son enfer. Le châtiment n’est pas celui des personnes, mais le principe de la souffrance qui existe sur cette terre tant qu’il y a une erreur. […] Le Paradis et l’Enfer jouissent d’une existence morale » (exégèse druze)</w:t>
      </w:r>
      <w:r w:rsidRPr="006D4265">
        <w:rPr>
          <w:rFonts w:asciiTheme="majorBidi" w:eastAsia="Calibri" w:hAnsiTheme="majorBidi" w:cstheme="majorBidi"/>
          <w:vertAlign w:val="superscript"/>
          <w:lang w:bidi="ar-AE"/>
        </w:rPr>
        <w:footnoteReference w:id="337"/>
      </w:r>
      <w:r w:rsidRPr="006D4265">
        <w:rPr>
          <w:rFonts w:asciiTheme="majorBidi" w:eastAsia="Times New Roman" w:hAnsiTheme="majorBidi" w:cstheme="majorBidi"/>
          <w:lang w:bidi="ar-AE"/>
        </w:rPr>
        <w:t>. Les vêtements de feu indiquent ainsi le retour dans la chair (la réincarnation). Selon les druzes et les alaouites, l’être humain vit sur cette terre dans le feu. Pour que l’être vivant puisse vivre dans le monde d’ici-bas, l’estomac a besoin de faire des réactions chimiques (métabolisme), une sorte de combustions, afin de produire de l’énergie. Cela peut affirmer l’idée druze que le feu en question existe à l’intérieur de l’être humain. Aussi Abū Mūsa Al-Ḥarīrī (pseudonyme du prêtre libanais Joseph Azzi [ou Qazzī]) et Ibn Taymīya affirment-ils que les ésotéristes, les alaouites et les druzes dénient l’existence de l’Enfer et du Paradis dans l’autre monde.</w:t>
      </w:r>
      <w:r w:rsidRPr="006D4265">
        <w:rPr>
          <w:rFonts w:asciiTheme="majorBidi" w:eastAsia="Calibri" w:hAnsiTheme="majorBidi" w:cstheme="majorBidi"/>
          <w:vertAlign w:val="superscript"/>
          <w:lang w:bidi="ar-AE"/>
        </w:rPr>
        <w:footnoteReference w:id="338"/>
      </w:r>
    </w:p>
    <w:p w14:paraId="661DD867" w14:textId="77777777" w:rsidR="00296288" w:rsidRPr="006D4265" w:rsidRDefault="00296288" w:rsidP="00296288">
      <w:pPr>
        <w:spacing w:line="360" w:lineRule="auto"/>
        <w:jc w:val="both"/>
        <w:rPr>
          <w:rFonts w:asciiTheme="majorBidi" w:eastAsia="Times New Roman" w:hAnsiTheme="majorBidi" w:cstheme="majorBidi"/>
          <w:lang w:bidi="ar-AE"/>
        </w:rPr>
      </w:pPr>
    </w:p>
    <w:p w14:paraId="2203E0F5" w14:textId="77777777" w:rsidR="00296288" w:rsidRPr="006D4265" w:rsidRDefault="00296288" w:rsidP="00296288">
      <w:pPr>
        <w:spacing w:line="360" w:lineRule="auto"/>
        <w:ind w:firstLine="360"/>
        <w:jc w:val="both"/>
        <w:rPr>
          <w:rFonts w:asciiTheme="majorBidi" w:eastAsia="Times New Roman" w:hAnsiTheme="majorBidi" w:cstheme="majorBidi"/>
          <w:lang w:bidi="ar-AE"/>
        </w:rPr>
      </w:pPr>
      <w:r w:rsidRPr="006D4265">
        <w:rPr>
          <w:rFonts w:asciiTheme="majorBidi" w:eastAsia="Times New Roman" w:hAnsiTheme="majorBidi" w:cstheme="majorBidi"/>
          <w:lang w:bidi="ar-AE"/>
        </w:rPr>
        <w:t>Chaque communauté musulmane, aussi bien orthodoxe qu’hétérodoxe, trouve dans le Coran ce qui confirme sa croyance. Ainsi, « les vêtements taillés de feu » peuvent confirmer ou réfuter la réincarnation. L’exégèse du Coran semble affirmer le mécanisme mental appelé le biais de confirmation d’hypothèse (</w:t>
      </w:r>
      <w:r w:rsidRPr="006D4265">
        <w:rPr>
          <w:rFonts w:asciiTheme="majorBidi" w:eastAsia="Times New Roman" w:hAnsiTheme="majorBidi" w:cstheme="majorBidi"/>
          <w:i/>
          <w:iCs/>
          <w:lang w:bidi="ar-AE"/>
        </w:rPr>
        <w:t>confirmation bias</w:t>
      </w:r>
      <w:r w:rsidRPr="006D4265">
        <w:rPr>
          <w:rFonts w:asciiTheme="majorBidi" w:eastAsia="Times New Roman" w:hAnsiTheme="majorBidi" w:cstheme="majorBidi"/>
          <w:lang w:bidi="ar-AE"/>
        </w:rPr>
        <w:t>). Le texte coranique sert de miroir dans lequel chaque lecteur et chaque communauté se voient.</w:t>
      </w:r>
    </w:p>
    <w:p w14:paraId="09D9D2F3" w14:textId="77777777" w:rsidR="00296288" w:rsidRPr="006D4265" w:rsidRDefault="00296288" w:rsidP="00296288">
      <w:pPr>
        <w:spacing w:line="360" w:lineRule="auto"/>
        <w:jc w:val="both"/>
        <w:rPr>
          <w:rFonts w:asciiTheme="majorBidi" w:eastAsia="Times New Roman" w:hAnsiTheme="majorBidi" w:cstheme="majorBidi"/>
          <w:lang w:bidi="ar-AE"/>
        </w:rPr>
      </w:pPr>
    </w:p>
    <w:p w14:paraId="047E73BF" w14:textId="77777777" w:rsidR="00296288" w:rsidRPr="006D4265" w:rsidRDefault="00296288" w:rsidP="00296288">
      <w:pPr>
        <w:spacing w:line="360" w:lineRule="auto"/>
        <w:jc w:val="both"/>
        <w:rPr>
          <w:rFonts w:asciiTheme="majorBidi" w:eastAsia="Times New Roman" w:hAnsiTheme="majorBidi" w:cstheme="majorBidi"/>
          <w:b/>
          <w:bCs/>
          <w:lang w:bidi="ar-AE"/>
        </w:rPr>
      </w:pPr>
      <w:r w:rsidRPr="006D4265">
        <w:rPr>
          <w:rFonts w:asciiTheme="majorBidi" w:eastAsia="Times New Roman" w:hAnsiTheme="majorBidi" w:cstheme="majorBidi"/>
          <w:b/>
          <w:bCs/>
          <w:lang w:bidi="ar-AE"/>
        </w:rPr>
        <w:lastRenderedPageBreak/>
        <w:t>Quel est le rôle de l’anastrophe [</w:t>
      </w:r>
      <w:r w:rsidRPr="006D4265">
        <w:rPr>
          <w:rFonts w:asciiTheme="majorBidi" w:eastAsia="Times New Roman" w:hAnsiTheme="majorBidi" w:cstheme="majorBidi"/>
          <w:b/>
          <w:bCs/>
          <w:i/>
          <w:iCs/>
          <w:lang w:bidi="ar-AE"/>
        </w:rPr>
        <w:t>at-taqdīm</w:t>
      </w:r>
      <w:r>
        <w:rPr>
          <w:rFonts w:asciiTheme="majorBidi" w:eastAsia="Times New Roman" w:hAnsiTheme="majorBidi" w:cstheme="majorBidi"/>
          <w:b/>
          <w:bCs/>
          <w:i/>
          <w:iCs/>
          <w:lang w:bidi="ar-AE"/>
        </w:rPr>
        <w:t xml:space="preserve"> wa-</w:t>
      </w:r>
      <w:r w:rsidRPr="006D4265">
        <w:rPr>
          <w:rFonts w:asciiTheme="majorBidi" w:eastAsia="Times New Roman" w:hAnsiTheme="majorBidi" w:cstheme="majorBidi"/>
          <w:b/>
          <w:bCs/>
          <w:i/>
          <w:iCs/>
          <w:lang w:bidi="ar-AE"/>
        </w:rPr>
        <w:t>at-taʾkhīr</w:t>
      </w:r>
      <w:r w:rsidRPr="006D4265">
        <w:rPr>
          <w:rFonts w:asciiTheme="majorBidi" w:eastAsia="Times New Roman" w:hAnsiTheme="majorBidi" w:cstheme="majorBidi"/>
          <w:b/>
          <w:bCs/>
          <w:lang w:bidi="ar-AE"/>
        </w:rPr>
        <w:t>]</w:t>
      </w:r>
      <w:r w:rsidRPr="006D4265">
        <w:rPr>
          <w:rFonts w:asciiTheme="majorBidi" w:eastAsia="Calibri" w:hAnsiTheme="majorBidi" w:cstheme="majorBidi"/>
          <w:b/>
          <w:bCs/>
          <w:vertAlign w:val="superscript"/>
          <w:lang w:bidi="ar-AE"/>
        </w:rPr>
        <w:footnoteReference w:id="339"/>
      </w:r>
      <w:r w:rsidRPr="006D4265">
        <w:rPr>
          <w:rFonts w:asciiTheme="majorBidi" w:eastAsia="Times New Roman" w:hAnsiTheme="majorBidi" w:cstheme="majorBidi"/>
          <w:b/>
          <w:bCs/>
          <w:lang w:bidi="ar-AE"/>
        </w:rPr>
        <w:t> ? (v. 20) :</w:t>
      </w:r>
    </w:p>
    <w:p w14:paraId="022B1419" w14:textId="77777777" w:rsidR="00296288" w:rsidRPr="006D4265" w:rsidRDefault="00296288" w:rsidP="00296288">
      <w:pPr>
        <w:spacing w:line="360" w:lineRule="auto"/>
        <w:ind w:firstLine="708"/>
        <w:jc w:val="both"/>
        <w:rPr>
          <w:rFonts w:asciiTheme="majorBidi" w:eastAsia="Times New Roman" w:hAnsiTheme="majorBidi" w:cstheme="majorBidi"/>
          <w:lang w:bidi="ar-AE"/>
        </w:rPr>
      </w:pPr>
      <w:r w:rsidRPr="006D4265">
        <w:rPr>
          <w:rFonts w:asciiTheme="majorBidi" w:eastAsia="Times New Roman" w:hAnsiTheme="majorBidi" w:cstheme="majorBidi"/>
          <w:lang w:bidi="ar-AE"/>
        </w:rPr>
        <w:t>Dans le verset 20, pou</w:t>
      </w:r>
      <w:r>
        <w:rPr>
          <w:rFonts w:asciiTheme="majorBidi" w:eastAsia="Times New Roman" w:hAnsiTheme="majorBidi" w:cstheme="majorBidi"/>
          <w:lang w:bidi="ar-AE"/>
        </w:rPr>
        <w:t xml:space="preserve">rquoi le Coran a utilisé le mot </w:t>
      </w:r>
      <w:r w:rsidRPr="006D4265">
        <w:rPr>
          <w:rFonts w:asciiTheme="majorBidi" w:eastAsia="Times New Roman" w:hAnsiTheme="majorBidi" w:cstheme="majorBidi"/>
          <w:i/>
          <w:iCs/>
          <w:lang w:bidi="ar-AE"/>
        </w:rPr>
        <w:t>buṭūn</w:t>
      </w:r>
      <w:r w:rsidRPr="006D4265">
        <w:rPr>
          <w:rFonts w:asciiTheme="majorBidi" w:eastAsia="Times New Roman" w:hAnsiTheme="majorBidi" w:cstheme="majorBidi"/>
          <w:lang w:bidi="ar-AE"/>
        </w:rPr>
        <w:t xml:space="preserve"> [ventres] avant </w:t>
      </w:r>
      <w:r>
        <w:rPr>
          <w:rFonts w:asciiTheme="majorBidi" w:eastAsia="Times New Roman" w:hAnsiTheme="majorBidi" w:cstheme="majorBidi"/>
          <w:lang w:bidi="ar-AE"/>
        </w:rPr>
        <w:t>julūd</w:t>
      </w:r>
      <w:r w:rsidRPr="006D4265">
        <w:rPr>
          <w:rFonts w:asciiTheme="majorBidi" w:eastAsia="Times New Roman" w:hAnsiTheme="majorBidi" w:cstheme="majorBidi"/>
          <w:i/>
          <w:iCs/>
          <w:lang w:bidi="ar-AE"/>
        </w:rPr>
        <w:t xml:space="preserve"> </w:t>
      </w:r>
      <w:r w:rsidRPr="006D4265">
        <w:rPr>
          <w:rFonts w:asciiTheme="majorBidi" w:eastAsia="Times New Roman" w:hAnsiTheme="majorBidi" w:cstheme="majorBidi"/>
          <w:lang w:bidi="ar-AE"/>
        </w:rPr>
        <w:t>[peaux], alors que logiquement le feu doit brûler et dissoudre la peau avant les entrailles ? Munīr Maḥmūd Al-Masīrī souligne que cette anastrophe a plusieurs sig</w:t>
      </w:r>
      <w:r>
        <w:rPr>
          <w:rFonts w:asciiTheme="majorBidi" w:eastAsia="Times New Roman" w:hAnsiTheme="majorBidi" w:cstheme="majorBidi"/>
          <w:lang w:bidi="ar-AE"/>
        </w:rPr>
        <w:t>nifications dont</w:t>
      </w:r>
      <w:r w:rsidRPr="006D4265">
        <w:rPr>
          <w:rFonts w:asciiTheme="majorBidi" w:eastAsia="Times New Roman" w:hAnsiTheme="majorBidi" w:cstheme="majorBidi"/>
          <w:lang w:bidi="ar-AE"/>
        </w:rPr>
        <w:t> :</w:t>
      </w:r>
    </w:p>
    <w:p w14:paraId="49AEAEEA" w14:textId="30FF7177" w:rsidR="00296288" w:rsidRPr="006D4265" w:rsidRDefault="00296288" w:rsidP="007640DC">
      <w:pPr>
        <w:pStyle w:val="Paragraphedeliste"/>
        <w:numPr>
          <w:ilvl w:val="0"/>
          <w:numId w:val="89"/>
        </w:numPr>
        <w:bidi w:val="0"/>
        <w:spacing w:after="0" w:line="360" w:lineRule="auto"/>
        <w:contextualSpacing/>
        <w:jc w:val="both"/>
        <w:rPr>
          <w:rFonts w:asciiTheme="majorBidi" w:hAnsiTheme="majorBidi" w:cstheme="majorBidi"/>
          <w:sz w:val="24"/>
          <w:szCs w:val="24"/>
          <w:lang w:eastAsia="fr-FR" w:bidi="ar-AE"/>
        </w:rPr>
      </w:pPr>
      <w:r w:rsidRPr="006D4265">
        <w:rPr>
          <w:rFonts w:asciiTheme="majorBidi" w:hAnsiTheme="majorBidi" w:cstheme="majorBidi"/>
          <w:sz w:val="24"/>
          <w:szCs w:val="24"/>
          <w:lang w:eastAsia="fr-FR" w:bidi="ar-AE"/>
        </w:rPr>
        <w:t xml:space="preserve">À cause de l’intensité de sa chaleur, le </w:t>
      </w:r>
      <w:r w:rsidRPr="006D4265">
        <w:rPr>
          <w:rFonts w:asciiTheme="majorBidi" w:hAnsiTheme="majorBidi" w:cstheme="majorBidi"/>
          <w:i/>
          <w:iCs/>
          <w:sz w:val="24"/>
          <w:szCs w:val="24"/>
          <w:lang w:eastAsia="fr-FR" w:bidi="ar-AE"/>
        </w:rPr>
        <w:t>ḥamīm</w:t>
      </w:r>
      <w:r w:rsidRPr="006D4265">
        <w:rPr>
          <w:rFonts w:asciiTheme="majorBidi" w:hAnsiTheme="majorBidi" w:cstheme="majorBidi"/>
          <w:sz w:val="24"/>
          <w:szCs w:val="24"/>
          <w:lang w:eastAsia="fr-FR" w:bidi="ar-AE"/>
        </w:rPr>
        <w:t xml:space="preserve"> [l’eau bouillante] pénètre d’abord dans l’abdomen lorsqu’il est versé sur leurs tête</w:t>
      </w:r>
      <w:r>
        <w:rPr>
          <w:rFonts w:asciiTheme="majorBidi" w:hAnsiTheme="majorBidi" w:cstheme="majorBidi"/>
          <w:sz w:val="24"/>
          <w:szCs w:val="24"/>
          <w:lang w:eastAsia="fr-FR" w:bidi="ar-AE"/>
        </w:rPr>
        <w:t>s</w:t>
      </w:r>
      <w:r w:rsidRPr="006D4265">
        <w:rPr>
          <w:rFonts w:asciiTheme="majorBidi" w:hAnsiTheme="majorBidi" w:cstheme="majorBidi"/>
          <w:sz w:val="24"/>
          <w:szCs w:val="24"/>
          <w:lang w:eastAsia="fr-FR" w:bidi="ar-AE"/>
        </w:rPr>
        <w:t> ;</w:t>
      </w:r>
    </w:p>
    <w:p w14:paraId="4D792AD0" w14:textId="77777777" w:rsidR="00296288" w:rsidRPr="006D4265" w:rsidRDefault="00296288" w:rsidP="007640DC">
      <w:pPr>
        <w:pStyle w:val="Paragraphedeliste"/>
        <w:numPr>
          <w:ilvl w:val="0"/>
          <w:numId w:val="89"/>
        </w:numPr>
        <w:bidi w:val="0"/>
        <w:spacing w:after="0" w:line="360" w:lineRule="auto"/>
        <w:contextualSpacing/>
        <w:jc w:val="both"/>
        <w:rPr>
          <w:rFonts w:asciiTheme="majorBidi" w:hAnsiTheme="majorBidi" w:cstheme="majorBidi"/>
          <w:sz w:val="24"/>
          <w:szCs w:val="24"/>
          <w:lang w:eastAsia="fr-FR" w:bidi="ar-AE"/>
        </w:rPr>
      </w:pPr>
      <w:r w:rsidRPr="006D4265">
        <w:rPr>
          <w:rFonts w:asciiTheme="majorBidi" w:hAnsiTheme="majorBidi" w:cstheme="majorBidi"/>
          <w:sz w:val="24"/>
          <w:szCs w:val="24"/>
          <w:lang w:eastAsia="fr-FR" w:bidi="ar-AE"/>
        </w:rPr>
        <w:t>La corruption de « l’intérieur » de l’homme à cause du polythéisme et des péchés entraîne la corruption de son « extérieur », c.à.d. la souillure du fond précède celle de la forme, c’est pourquoi le Coran a commencé par les entrailles puis la peau ;</w:t>
      </w:r>
    </w:p>
    <w:p w14:paraId="3C6C5C4F" w14:textId="77777777" w:rsidR="00296288" w:rsidRPr="006D4265" w:rsidRDefault="00296288" w:rsidP="007640DC">
      <w:pPr>
        <w:pStyle w:val="Paragraphedeliste"/>
        <w:numPr>
          <w:ilvl w:val="0"/>
          <w:numId w:val="89"/>
        </w:numPr>
        <w:bidi w:val="0"/>
        <w:spacing w:after="0" w:line="360" w:lineRule="auto"/>
        <w:contextualSpacing/>
        <w:jc w:val="both"/>
        <w:rPr>
          <w:rFonts w:asciiTheme="majorBidi" w:hAnsiTheme="majorBidi" w:cstheme="majorBidi"/>
          <w:sz w:val="24"/>
          <w:szCs w:val="24"/>
          <w:lang w:eastAsia="fr-FR" w:bidi="ar-AE"/>
        </w:rPr>
      </w:pPr>
      <w:r w:rsidRPr="006D4265">
        <w:rPr>
          <w:rFonts w:asciiTheme="majorBidi" w:hAnsiTheme="majorBidi" w:cstheme="majorBidi"/>
          <w:sz w:val="24"/>
          <w:szCs w:val="24"/>
          <w:lang w:eastAsia="fr-FR" w:bidi="ar-AE"/>
        </w:rPr>
        <w:t>selon Al-Alūsī, l’impact sur la forme est évident, mais le plus important c’est le fond, c’est pourquoi le Coran a évoqué les entrailles d’abord ; et il a ensuite évoqué la peau (le moins important) juste pour indiquer que le fond et la forme font un</w:t>
      </w:r>
      <w:r w:rsidRPr="006D4265">
        <w:rPr>
          <w:rFonts w:asciiTheme="majorBidi" w:eastAsia="Calibri" w:hAnsiTheme="majorBidi" w:cstheme="majorBidi"/>
          <w:sz w:val="24"/>
          <w:szCs w:val="24"/>
          <w:vertAlign w:val="superscript"/>
          <w:lang w:bidi="ar-AE"/>
        </w:rPr>
        <w:footnoteReference w:id="340"/>
      </w:r>
      <w:r w:rsidRPr="006D4265">
        <w:rPr>
          <w:rFonts w:asciiTheme="majorBidi" w:hAnsiTheme="majorBidi" w:cstheme="majorBidi"/>
          <w:sz w:val="24"/>
          <w:szCs w:val="24"/>
          <w:lang w:eastAsia="fr-FR" w:bidi="ar-AE"/>
        </w:rPr>
        <w:t>.</w:t>
      </w:r>
    </w:p>
    <w:p w14:paraId="241E0803" w14:textId="77777777" w:rsidR="00296288" w:rsidRPr="006D4265" w:rsidRDefault="00296288" w:rsidP="00296288">
      <w:pPr>
        <w:spacing w:line="360" w:lineRule="auto"/>
        <w:ind w:firstLine="708"/>
        <w:jc w:val="both"/>
        <w:rPr>
          <w:rFonts w:eastAsia="Times New Roman"/>
          <w:lang w:bidi="ar-AE"/>
        </w:rPr>
      </w:pPr>
    </w:p>
    <w:p w14:paraId="2F260F3E" w14:textId="77777777" w:rsidR="00296288" w:rsidRPr="006D4265" w:rsidRDefault="00296288" w:rsidP="00296288">
      <w:pPr>
        <w:spacing w:line="360" w:lineRule="auto"/>
        <w:ind w:firstLine="708"/>
        <w:jc w:val="both"/>
        <w:rPr>
          <w:rFonts w:eastAsia="Times New Roman"/>
          <w:lang w:bidi="ar-AE"/>
        </w:rPr>
      </w:pPr>
      <w:r w:rsidRPr="006D4265">
        <w:rPr>
          <w:rFonts w:eastAsia="Times New Roman"/>
          <w:lang w:bidi="ar-AE"/>
        </w:rPr>
        <w:t xml:space="preserve">Les théologiens ont essayé de trouver une justification sémantique </w:t>
      </w:r>
      <w:r>
        <w:rPr>
          <w:rFonts w:eastAsia="Times New Roman"/>
          <w:lang w:bidi="ar-AE"/>
        </w:rPr>
        <w:t>à</w:t>
      </w:r>
      <w:r w:rsidRPr="006D4265">
        <w:rPr>
          <w:rFonts w:eastAsia="Times New Roman"/>
          <w:lang w:bidi="ar-AE"/>
        </w:rPr>
        <w:t xml:space="preserve"> cette anastrophe et de donner d’autres significations, alors qu’il ne s’agit pas d’un effet sémantique, mais assonantique. Un coup d’œil sur la rime (</w:t>
      </w:r>
      <w:r w:rsidRPr="006D4265">
        <w:rPr>
          <w:rFonts w:eastAsia="Times New Roman"/>
          <w:i/>
          <w:iCs/>
          <w:lang w:bidi="ar-AE"/>
        </w:rPr>
        <w:t>al-fāṣila</w:t>
      </w:r>
      <w:r w:rsidRPr="006D4265">
        <w:rPr>
          <w:rFonts w:eastAsia="Times New Roman"/>
          <w:lang w:bidi="ar-AE"/>
        </w:rPr>
        <w:t xml:space="preserve">, l’assonance) et le rythme de la sourate, et notamment du verset suivant (la rime est le son « d »), nous montre que, pour avoir une rime </w:t>
      </w:r>
      <w:r>
        <w:rPr>
          <w:rFonts w:eastAsia="Times New Roman"/>
          <w:lang w:bidi="ar-AE"/>
        </w:rPr>
        <w:t>en</w:t>
      </w:r>
      <w:r w:rsidRPr="006D4265">
        <w:rPr>
          <w:rFonts w:eastAsia="Times New Roman"/>
          <w:lang w:bidi="ar-AE"/>
        </w:rPr>
        <w:t xml:space="preserve"> « d », le Coran ne peut qu’avoir recours à l’anastrophe, sinon il aurait perdu le rythme et la rime du verset. Le Coran ne peut pas utiliser l’ordre de base de la phrase (</w:t>
      </w:r>
      <w:r w:rsidRPr="006D4265">
        <w:rPr>
          <w:rFonts w:ascii="Simplified Arabic" w:eastAsia="Times New Roman" w:hAnsi="Simplified Arabic" w:cs="Simplified Arabic"/>
          <w:rtl/>
          <w:lang w:bidi="ar-AE"/>
        </w:rPr>
        <w:t>يُصْهَرُ به الجُلُو</w:t>
      </w:r>
      <w:r w:rsidRPr="006D4265">
        <w:rPr>
          <w:rFonts w:ascii="Simplified Arabic" w:eastAsia="Times New Roman" w:hAnsi="Simplified Arabic" w:cs="Simplified Arabic"/>
          <w:b/>
          <w:bCs/>
          <w:rtl/>
          <w:lang w:bidi="ar-AE"/>
        </w:rPr>
        <w:t>دُ</w:t>
      </w:r>
      <w:r w:rsidRPr="006D4265">
        <w:rPr>
          <w:rFonts w:ascii="Simplified Arabic" w:eastAsia="Times New Roman" w:hAnsi="Simplified Arabic" w:cs="Simplified Arabic"/>
          <w:rtl/>
          <w:lang w:bidi="ar-AE"/>
        </w:rPr>
        <w:t xml:space="preserve"> وما في بطونِهم</w:t>
      </w:r>
      <w:r w:rsidRPr="006D4265">
        <w:rPr>
          <w:rFonts w:eastAsia="Times New Roman"/>
          <w:lang w:bidi="ar-AE"/>
        </w:rPr>
        <w:t>) qui ne va tout simplement pas avec le rythme et la rime du verset suivant (</w:t>
      </w:r>
      <w:r w:rsidRPr="006D4265">
        <w:rPr>
          <w:rFonts w:ascii="Simplified Arabic" w:eastAsia="Times New Roman" w:hAnsi="Simplified Arabic" w:cs="Simplified Arabic"/>
          <w:rtl/>
          <w:lang w:bidi="ar-AE"/>
        </w:rPr>
        <w:t>ولهم مقامِعُ من حدي</w:t>
      </w:r>
      <w:r w:rsidRPr="006D4265">
        <w:rPr>
          <w:rFonts w:ascii="Simplified Arabic" w:eastAsia="Times New Roman" w:hAnsi="Simplified Arabic" w:cs="Simplified Arabic"/>
          <w:rtl/>
          <w:lang w:bidi="ar-KW"/>
        </w:rPr>
        <w:t>ـــــ</w:t>
      </w:r>
      <w:r w:rsidRPr="006D4265">
        <w:rPr>
          <w:rFonts w:ascii="Simplified Arabic" w:eastAsia="Times New Roman" w:hAnsi="Simplified Arabic" w:cs="Simplified Arabic"/>
          <w:b/>
          <w:bCs/>
          <w:rtl/>
          <w:lang w:bidi="ar-AE"/>
        </w:rPr>
        <w:t>د</w:t>
      </w:r>
      <w:r w:rsidRPr="006D4265">
        <w:rPr>
          <w:rFonts w:eastAsia="Times New Roman"/>
          <w:lang w:bidi="ar-AE"/>
        </w:rPr>
        <w:t>). L’anastrophe n’a donc pas de rôle sémantique, mais rythmique. Malgré cela, les exégèses lui ont donné plusieurs significations.</w:t>
      </w:r>
    </w:p>
    <w:p w14:paraId="6223812F" w14:textId="77777777" w:rsidR="00296288" w:rsidRPr="006D4265" w:rsidRDefault="00296288" w:rsidP="00296288">
      <w:pPr>
        <w:spacing w:line="360" w:lineRule="auto"/>
        <w:jc w:val="both"/>
      </w:pPr>
    </w:p>
    <w:p w14:paraId="071FC2BE" w14:textId="77777777" w:rsidR="00296288" w:rsidRPr="006D4265" w:rsidRDefault="00296288" w:rsidP="00296288">
      <w:pPr>
        <w:spacing w:line="360" w:lineRule="auto"/>
        <w:ind w:firstLine="360"/>
        <w:jc w:val="both"/>
        <w:rPr>
          <w:rFonts w:eastAsia="Times New Roman"/>
          <w:lang w:bidi="ar-AE"/>
        </w:rPr>
      </w:pPr>
      <w:r w:rsidRPr="006D4265">
        <w:rPr>
          <w:rFonts w:eastAsia="Times New Roman"/>
          <w:lang w:bidi="ar-AE"/>
        </w:rPr>
        <w:t xml:space="preserve">Les exégètes n’expliquent pas pourquoi ces </w:t>
      </w:r>
      <w:r w:rsidRPr="006D4265">
        <w:rPr>
          <w:rFonts w:eastAsia="Times New Roman"/>
          <w:i/>
          <w:iCs/>
          <w:lang w:bidi="ar-AE"/>
        </w:rPr>
        <w:t>maqāmiʿ</w:t>
      </w:r>
      <w:r w:rsidRPr="006D4265">
        <w:rPr>
          <w:rFonts w:eastAsia="Times New Roman"/>
          <w:lang w:bidi="ar-AE"/>
        </w:rPr>
        <w:t xml:space="preserve"> </w:t>
      </w:r>
      <w:r w:rsidRPr="006D4265">
        <w:rPr>
          <w:rFonts w:asciiTheme="majorBidi" w:hAnsiTheme="majorBidi" w:cstheme="majorBidi"/>
        </w:rPr>
        <w:t>[massues/verges]</w:t>
      </w:r>
      <w:r w:rsidRPr="006D4265">
        <w:rPr>
          <w:rFonts w:asciiTheme="majorBidi" w:eastAsia="Times New Roman" w:hAnsiTheme="majorBidi" w:cstheme="majorBidi"/>
          <w:lang w:bidi="ar-AE"/>
        </w:rPr>
        <w:t xml:space="preserve"> sont </w:t>
      </w:r>
      <w:r>
        <w:rPr>
          <w:rFonts w:asciiTheme="majorBidi" w:eastAsia="Times New Roman" w:hAnsiTheme="majorBidi" w:cstheme="majorBidi"/>
          <w:lang w:bidi="ar-AE"/>
        </w:rPr>
        <w:t>en</w:t>
      </w:r>
      <w:r w:rsidRPr="006D4265">
        <w:rPr>
          <w:rFonts w:eastAsia="Times New Roman"/>
          <w:lang w:bidi="ar-AE"/>
        </w:rPr>
        <w:t xml:space="preserve"> fer (v. 21). Est-c</w:t>
      </w:r>
      <w:r>
        <w:rPr>
          <w:rFonts w:eastAsia="Times New Roman"/>
          <w:lang w:bidi="ar-AE"/>
        </w:rPr>
        <w:t xml:space="preserve">e que le Coran a utilisé le mot </w:t>
      </w:r>
      <w:r w:rsidRPr="006D4265">
        <w:rPr>
          <w:rFonts w:eastAsia="Times New Roman"/>
          <w:i/>
          <w:iCs/>
          <w:lang w:bidi="ar-AE"/>
        </w:rPr>
        <w:t xml:space="preserve">ḥadīd </w:t>
      </w:r>
      <w:r w:rsidRPr="006D4265">
        <w:rPr>
          <w:rFonts w:eastAsia="Times New Roman"/>
          <w:lang w:bidi="ar-AE"/>
        </w:rPr>
        <w:t xml:space="preserve">[fer] pour garder la rime du son « d » ? En d’autres termes, il semble que la matière </w:t>
      </w:r>
      <w:r>
        <w:rPr>
          <w:rFonts w:eastAsia="Times New Roman"/>
          <w:lang w:bidi="ar-AE"/>
        </w:rPr>
        <w:t>dont sont faits</w:t>
      </w:r>
      <w:r w:rsidRPr="006D4265">
        <w:rPr>
          <w:rFonts w:eastAsia="Times New Roman"/>
          <w:lang w:bidi="ar-AE"/>
        </w:rPr>
        <w:t xml:space="preserve"> </w:t>
      </w:r>
      <w:r w:rsidRPr="00EB4F69">
        <w:rPr>
          <w:rFonts w:eastAsia="Times New Roman"/>
          <w:lang w:bidi="ar-AE"/>
        </w:rPr>
        <w:t xml:space="preserve">les </w:t>
      </w:r>
      <w:r w:rsidRPr="00EB4F69">
        <w:rPr>
          <w:rFonts w:eastAsia="Times New Roman"/>
          <w:i/>
          <w:iCs/>
          <w:lang w:bidi="ar-AE"/>
        </w:rPr>
        <w:t>maqāmiʿ</w:t>
      </w:r>
      <w:r w:rsidRPr="00EB4F69">
        <w:rPr>
          <w:rFonts w:eastAsia="Times New Roman"/>
          <w:lang w:bidi="ar-AE"/>
        </w:rPr>
        <w:t xml:space="preserve"> importe peu et que le Coran a choisi </w:t>
      </w:r>
      <w:r w:rsidRPr="00EB4F69">
        <w:rPr>
          <w:rFonts w:eastAsia="Times New Roman"/>
          <w:lang w:bidi="ar-AE"/>
        </w:rPr>
        <w:lastRenderedPageBreak/>
        <w:t>le fer pour une simple raison assonantique, surtout si l’on se rappelle la latitude qu’avaient les rédacteurs du Coran dans le choix des mots pourvu qu’ils ne fassent pas de contresens, comme nous l’avons vu dans l’introduction.</w:t>
      </w:r>
      <w:r w:rsidRPr="00EB4F69">
        <w:rPr>
          <w:rFonts w:eastAsia="Times New Roman"/>
          <w:vertAlign w:val="superscript"/>
          <w:lang w:bidi="ar-AE"/>
        </w:rPr>
        <w:footnoteReference w:id="341"/>
      </w:r>
      <w:r w:rsidRPr="00EB4F69">
        <w:rPr>
          <w:rFonts w:eastAsia="Times New Roman"/>
          <w:lang w:bidi="ar-AE"/>
        </w:rPr>
        <w:t xml:space="preserve"> Ici, dans ce verset, le Coran ne peut qu’utiliser le terme </w:t>
      </w:r>
      <w:r w:rsidRPr="00EB4F69">
        <w:rPr>
          <w:rFonts w:eastAsia="Times New Roman"/>
          <w:i/>
          <w:iCs/>
          <w:lang w:bidi="ar-AE"/>
        </w:rPr>
        <w:t>ḥadī</w:t>
      </w:r>
      <w:r w:rsidRPr="00EB4F69">
        <w:rPr>
          <w:rFonts w:eastAsia="Times New Roman"/>
          <w:b/>
          <w:bCs/>
          <w:i/>
          <w:iCs/>
          <w:lang w:bidi="ar-AE"/>
        </w:rPr>
        <w:t>d</w:t>
      </w:r>
      <w:r w:rsidRPr="00EB4F69">
        <w:rPr>
          <w:rFonts w:eastAsia="Times New Roman"/>
          <w:lang w:bidi="ar-AE"/>
        </w:rPr>
        <w:t xml:space="preserve"> pour que la rime soit conforme avec celle du verset précédent (</w:t>
      </w:r>
      <w:r w:rsidRPr="00EB4F69">
        <w:rPr>
          <w:rFonts w:eastAsia="Times New Roman"/>
          <w:i/>
          <w:iCs/>
          <w:lang w:bidi="ar-AE"/>
        </w:rPr>
        <w:t>julū</w:t>
      </w:r>
      <w:r w:rsidRPr="00EB4F69">
        <w:rPr>
          <w:rFonts w:eastAsia="Times New Roman"/>
          <w:b/>
          <w:bCs/>
          <w:i/>
          <w:iCs/>
          <w:lang w:bidi="ar-AE"/>
        </w:rPr>
        <w:t>d</w:t>
      </w:r>
      <w:r w:rsidRPr="00EB4F69">
        <w:rPr>
          <w:rFonts w:eastAsia="Times New Roman"/>
          <w:lang w:bidi="ar-AE"/>
        </w:rPr>
        <w:t>) ; et ce terme ne désigne pas forcément un métal spécifique appelé le « fer » ; mais il peut désigner n’importe</w:t>
      </w:r>
      <w:r w:rsidRPr="006D4265">
        <w:rPr>
          <w:rFonts w:eastAsia="Times New Roman"/>
          <w:lang w:bidi="ar-AE"/>
        </w:rPr>
        <w:t xml:space="preserve"> quel sens qui sert à intimider, à faire peur.</w:t>
      </w:r>
    </w:p>
    <w:p w14:paraId="687E9E41" w14:textId="77777777" w:rsidR="00296288" w:rsidRPr="006D4265" w:rsidRDefault="00296288" w:rsidP="00296288">
      <w:pPr>
        <w:spacing w:line="360" w:lineRule="auto"/>
        <w:ind w:firstLine="360"/>
        <w:jc w:val="both"/>
        <w:rPr>
          <w:rFonts w:eastAsia="Times New Roman"/>
          <w:lang w:bidi="ar-AE"/>
        </w:rPr>
      </w:pPr>
    </w:p>
    <w:p w14:paraId="5C8A1C65" w14:textId="77777777" w:rsidR="00296288" w:rsidRPr="006D4265" w:rsidRDefault="00296288" w:rsidP="00296288">
      <w:pPr>
        <w:spacing w:line="360" w:lineRule="auto"/>
        <w:ind w:firstLine="360"/>
        <w:jc w:val="both"/>
        <w:rPr>
          <w:rFonts w:eastAsia="Times New Roman"/>
          <w:lang w:bidi="ar-AE"/>
        </w:rPr>
      </w:pPr>
      <w:r>
        <w:rPr>
          <w:rFonts w:eastAsia="Times New Roman"/>
          <w:lang w:bidi="ar-AE"/>
        </w:rPr>
        <w:t>L</w:t>
      </w:r>
      <w:r w:rsidRPr="006D4265">
        <w:rPr>
          <w:rFonts w:eastAsia="Times New Roman"/>
          <w:lang w:bidi="ar-AE"/>
        </w:rPr>
        <w:t xml:space="preserve">’idée que dans ces versets l’assonance prime le sens est </w:t>
      </w:r>
      <w:r>
        <w:rPr>
          <w:rFonts w:eastAsia="Times New Roman"/>
          <w:lang w:bidi="ar-AE"/>
        </w:rPr>
        <w:t xml:space="preserve">confortée par </w:t>
      </w:r>
      <w:r w:rsidRPr="006D4265">
        <w:rPr>
          <w:rFonts w:eastAsia="Times New Roman"/>
          <w:lang w:bidi="ar-AE"/>
        </w:rPr>
        <w:t>ce que rapporte Aṭ-Ṭabarī d’après certaines personnes (sans les nommer) qui soutiennent l’existence, dans les versets 19, 20 et 21, d’une anastrophe [</w:t>
      </w:r>
      <w:r w:rsidRPr="006D4265">
        <w:rPr>
          <w:rFonts w:eastAsia="Times New Roman"/>
          <w:i/>
          <w:iCs/>
          <w:lang w:bidi="ar-AE"/>
        </w:rPr>
        <w:t>taqdīm</w:t>
      </w:r>
      <w:r>
        <w:rPr>
          <w:rFonts w:eastAsia="Times New Roman"/>
          <w:i/>
          <w:iCs/>
          <w:lang w:bidi="ar-AE"/>
        </w:rPr>
        <w:t xml:space="preserve"> wa-</w:t>
      </w:r>
      <w:r w:rsidRPr="006D4265">
        <w:rPr>
          <w:rFonts w:eastAsia="Times New Roman"/>
          <w:i/>
          <w:iCs/>
          <w:lang w:bidi="ar-AE"/>
        </w:rPr>
        <w:t>taʾkhīr</w:t>
      </w:r>
      <w:r w:rsidRPr="006D4265">
        <w:rPr>
          <w:rFonts w:eastAsia="Times New Roman"/>
          <w:lang w:bidi="ar-AE"/>
        </w:rPr>
        <w:t>]. L</w:t>
      </w:r>
      <w:r>
        <w:rPr>
          <w:rFonts w:eastAsia="Times New Roman"/>
          <w:lang w:bidi="ar-AE"/>
        </w:rPr>
        <w:t>’ordre des versets sera</w:t>
      </w:r>
      <w:r w:rsidRPr="006D4265">
        <w:rPr>
          <w:rFonts w:eastAsia="Times New Roman"/>
          <w:lang w:bidi="ar-AE"/>
        </w:rPr>
        <w:t xml:space="preserve">it </w:t>
      </w:r>
      <w:r>
        <w:rPr>
          <w:rFonts w:eastAsia="Times New Roman"/>
          <w:lang w:bidi="ar-AE"/>
        </w:rPr>
        <w:t>donc</w:t>
      </w:r>
      <w:r w:rsidRPr="006D4265">
        <w:rPr>
          <w:rFonts w:eastAsia="Times New Roman"/>
          <w:lang w:bidi="ar-AE"/>
        </w:rPr>
        <w:t> :</w:t>
      </w:r>
    </w:p>
    <w:p w14:paraId="39704767" w14:textId="77777777" w:rsidR="00296288" w:rsidRPr="006D4265" w:rsidRDefault="00296288" w:rsidP="007640DC">
      <w:pPr>
        <w:numPr>
          <w:ilvl w:val="0"/>
          <w:numId w:val="67"/>
        </w:numPr>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 فالذين كفَروا قُطِّعَتْ لهم ثيابٌ من </w:t>
      </w:r>
      <w:r w:rsidRPr="006D4265">
        <w:rPr>
          <w:rFonts w:ascii="Simplified Arabic" w:eastAsia="Times New Roman" w:hAnsi="Simplified Arabic" w:cs="Simplified Arabic"/>
          <w:b/>
          <w:bCs/>
          <w:rtl/>
          <w:lang w:bidi="ar-AE"/>
        </w:rPr>
        <w:t>نارٍ</w:t>
      </w:r>
    </w:p>
    <w:p w14:paraId="237005CC" w14:textId="77777777" w:rsidR="00296288" w:rsidRPr="006D4265" w:rsidRDefault="00296288" w:rsidP="007640DC">
      <w:pPr>
        <w:numPr>
          <w:ilvl w:val="0"/>
          <w:numId w:val="67"/>
        </w:numPr>
        <w:bidi/>
        <w:spacing w:line="360" w:lineRule="auto"/>
        <w:jc w:val="both"/>
        <w:rPr>
          <w:rFonts w:ascii="Simplified Arabic" w:eastAsia="Times New Roman" w:hAnsi="Simplified Arabic" w:cs="Simplified Arabic"/>
          <w:rtl/>
          <w:lang w:bidi="ar-AE"/>
        </w:rPr>
      </w:pPr>
      <w:r w:rsidRPr="006D4265">
        <w:rPr>
          <w:rFonts w:ascii="Simplified Arabic" w:eastAsia="Times New Roman" w:hAnsi="Simplified Arabic" w:cs="Simplified Arabic"/>
          <w:rtl/>
          <w:lang w:bidi="ar-AE"/>
        </w:rPr>
        <w:t xml:space="preserve">ولهم مقامِعُ من </w:t>
      </w:r>
      <w:r w:rsidRPr="006D4265">
        <w:rPr>
          <w:rFonts w:ascii="Simplified Arabic" w:eastAsia="Times New Roman" w:hAnsi="Simplified Arabic" w:cs="Simplified Arabic"/>
          <w:b/>
          <w:bCs/>
          <w:rtl/>
          <w:lang w:bidi="ar-AE"/>
        </w:rPr>
        <w:t>حديدٍ</w:t>
      </w:r>
      <w:r w:rsidRPr="006D4265">
        <w:rPr>
          <w:rFonts w:ascii="Simplified Arabic" w:eastAsia="Times New Roman" w:hAnsi="Simplified Arabic" w:cs="Simplified Arabic"/>
          <w:rtl/>
          <w:lang w:bidi="ar-AE"/>
        </w:rPr>
        <w:t>.</w:t>
      </w:r>
    </w:p>
    <w:p w14:paraId="1B9B329C" w14:textId="77777777" w:rsidR="00296288" w:rsidRPr="006D4265" w:rsidRDefault="00296288" w:rsidP="007640DC">
      <w:pPr>
        <w:numPr>
          <w:ilvl w:val="0"/>
          <w:numId w:val="67"/>
        </w:numPr>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يُصَبُّ الحميمُ مِن فوقِ </w:t>
      </w:r>
      <w:r w:rsidRPr="006D4265">
        <w:rPr>
          <w:rFonts w:ascii="Simplified Arabic" w:eastAsia="Times New Roman" w:hAnsi="Simplified Arabic" w:cs="Simplified Arabic"/>
          <w:b/>
          <w:bCs/>
          <w:rtl/>
          <w:lang w:bidi="ar-AE"/>
        </w:rPr>
        <w:t>رؤوسهم</w:t>
      </w:r>
    </w:p>
    <w:p w14:paraId="2BF159CC" w14:textId="77777777" w:rsidR="00296288" w:rsidRPr="006D4265" w:rsidRDefault="00296288" w:rsidP="007640DC">
      <w:pPr>
        <w:numPr>
          <w:ilvl w:val="0"/>
          <w:numId w:val="67"/>
        </w:numPr>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يُصْهَرُ بِهِ الجلودُ وما في </w:t>
      </w:r>
      <w:r w:rsidRPr="006D4265">
        <w:rPr>
          <w:rFonts w:ascii="Simplified Arabic" w:eastAsia="Times New Roman" w:hAnsi="Simplified Arabic" w:cs="Simplified Arabic"/>
          <w:b/>
          <w:bCs/>
          <w:rtl/>
          <w:lang w:bidi="ar-AE"/>
        </w:rPr>
        <w:t>بطونهم</w:t>
      </w:r>
      <w:r w:rsidRPr="006D4265">
        <w:rPr>
          <w:rFonts w:ascii="Simplified Arabic" w:eastAsia="Times New Roman" w:hAnsi="Simplified Arabic" w:cs="Simplified Arabic"/>
          <w:rtl/>
          <w:lang w:bidi="ar-AE"/>
        </w:rPr>
        <w:t xml:space="preserve">. </w:t>
      </w:r>
    </w:p>
    <w:p w14:paraId="650EB9C1" w14:textId="77777777" w:rsidR="00296288" w:rsidRPr="006D4265" w:rsidRDefault="00296288" w:rsidP="00296288">
      <w:pPr>
        <w:spacing w:line="360" w:lineRule="auto"/>
        <w:ind w:firstLine="360"/>
        <w:jc w:val="both"/>
        <w:rPr>
          <w:rFonts w:eastAsia="Times New Roman"/>
          <w:lang w:bidi="ar-AE"/>
        </w:rPr>
      </w:pPr>
      <w:r w:rsidRPr="006D4265">
        <w:rPr>
          <w:rFonts w:eastAsia="Times New Roman"/>
          <w:lang w:bidi="ar-AE"/>
        </w:rPr>
        <w:t>Comparons avec l’ordre actuel des versets :</w:t>
      </w:r>
    </w:p>
    <w:p w14:paraId="00F9085E" w14:textId="77777777" w:rsidR="00296288" w:rsidRPr="006D4265" w:rsidRDefault="00296288" w:rsidP="007640DC">
      <w:pPr>
        <w:numPr>
          <w:ilvl w:val="0"/>
          <w:numId w:val="68"/>
        </w:numPr>
        <w:bidi/>
        <w:spacing w:line="360" w:lineRule="auto"/>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 فالذين كفروا قُطِّعَتْ لهم ثيابٌ من نارٍ </w:t>
      </w:r>
    </w:p>
    <w:p w14:paraId="6CC2BD29" w14:textId="77777777" w:rsidR="00296288" w:rsidRPr="006D4265" w:rsidRDefault="00296288" w:rsidP="007640DC">
      <w:pPr>
        <w:numPr>
          <w:ilvl w:val="0"/>
          <w:numId w:val="68"/>
        </w:numPr>
        <w:bidi/>
        <w:spacing w:line="360" w:lineRule="auto"/>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يُصَبُّ من فوقِ رؤوسِهمُ </w:t>
      </w:r>
      <w:r w:rsidRPr="006D4265">
        <w:rPr>
          <w:rFonts w:ascii="Simplified Arabic" w:eastAsia="Times New Roman" w:hAnsi="Simplified Arabic" w:cs="Simplified Arabic"/>
          <w:b/>
          <w:bCs/>
          <w:rtl/>
          <w:lang w:bidi="ar-AE"/>
        </w:rPr>
        <w:t>الحميم</w:t>
      </w:r>
    </w:p>
    <w:p w14:paraId="05DFC4E3" w14:textId="77777777" w:rsidR="00296288" w:rsidRPr="006D4265" w:rsidRDefault="00296288" w:rsidP="007640DC">
      <w:pPr>
        <w:numPr>
          <w:ilvl w:val="0"/>
          <w:numId w:val="68"/>
        </w:numPr>
        <w:bidi/>
        <w:spacing w:line="360" w:lineRule="auto"/>
        <w:rPr>
          <w:rFonts w:ascii="Simplified Arabic" w:eastAsia="Times New Roman" w:hAnsi="Simplified Arabic" w:cs="Simplified Arabic"/>
          <w:rtl/>
          <w:lang w:bidi="ar-AE"/>
        </w:rPr>
      </w:pPr>
      <w:r w:rsidRPr="006D4265">
        <w:rPr>
          <w:rFonts w:ascii="Simplified Arabic" w:eastAsia="Times New Roman" w:hAnsi="Simplified Arabic" w:cs="Simplified Arabic"/>
          <w:rtl/>
          <w:lang w:bidi="ar-AE"/>
        </w:rPr>
        <w:t>يُصْهَرُ به ما في بطونهمْ و</w:t>
      </w:r>
      <w:r w:rsidRPr="006D4265">
        <w:rPr>
          <w:rFonts w:ascii="Simplified Arabic" w:eastAsia="Times New Roman" w:hAnsi="Simplified Arabic" w:cs="Simplified Arabic"/>
          <w:b/>
          <w:bCs/>
          <w:rtl/>
          <w:lang w:bidi="ar-AE"/>
        </w:rPr>
        <w:t>الجلود</w:t>
      </w:r>
    </w:p>
    <w:p w14:paraId="7490E232" w14:textId="77777777" w:rsidR="00296288" w:rsidRPr="006D4265" w:rsidRDefault="00296288" w:rsidP="007640DC">
      <w:pPr>
        <w:numPr>
          <w:ilvl w:val="0"/>
          <w:numId w:val="68"/>
        </w:numPr>
        <w:bidi/>
        <w:spacing w:line="360" w:lineRule="auto"/>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 xml:space="preserve">ولهم مقامِعُ من </w:t>
      </w:r>
      <w:r w:rsidRPr="006D4265">
        <w:rPr>
          <w:rFonts w:ascii="Simplified Arabic" w:eastAsia="Times New Roman" w:hAnsi="Simplified Arabic" w:cs="Simplified Arabic"/>
          <w:b/>
          <w:bCs/>
          <w:rtl/>
          <w:lang w:bidi="ar-AE"/>
        </w:rPr>
        <w:t>حديد</w:t>
      </w:r>
      <w:r w:rsidRPr="006D4265">
        <w:rPr>
          <w:rFonts w:ascii="Simplified Arabic" w:eastAsia="Times New Roman" w:hAnsi="Simplified Arabic" w:cs="Simplified Arabic"/>
          <w:rtl/>
          <w:lang w:bidi="ar-AE"/>
        </w:rPr>
        <w:t>.</w:t>
      </w:r>
    </w:p>
    <w:p w14:paraId="75429F08" w14:textId="77777777" w:rsidR="00296288" w:rsidRPr="006D4265" w:rsidRDefault="00296288" w:rsidP="00296288">
      <w:pPr>
        <w:spacing w:line="360" w:lineRule="auto"/>
        <w:jc w:val="both"/>
        <w:rPr>
          <w:rFonts w:eastAsia="Times New Roman"/>
          <w:lang w:bidi="ar-AE"/>
        </w:rPr>
      </w:pPr>
    </w:p>
    <w:p w14:paraId="17DBF450" w14:textId="77777777" w:rsidR="00296288" w:rsidRPr="006D4265" w:rsidRDefault="00296288" w:rsidP="00296288">
      <w:pPr>
        <w:spacing w:line="360" w:lineRule="auto"/>
        <w:ind w:firstLine="360"/>
        <w:jc w:val="both"/>
        <w:rPr>
          <w:rFonts w:asciiTheme="majorBidi" w:hAnsiTheme="majorBidi" w:cstheme="majorBidi"/>
          <w:rtl/>
        </w:rPr>
      </w:pPr>
      <w:r w:rsidRPr="006D4265">
        <w:rPr>
          <w:rFonts w:eastAsia="Times New Roman"/>
          <w:lang w:bidi="ar-AE"/>
        </w:rPr>
        <w:t xml:space="preserve">Cela veut dire que le terme </w:t>
      </w:r>
      <w:r w:rsidRPr="006D4265">
        <w:rPr>
          <w:rFonts w:eastAsia="Times New Roman"/>
          <w:i/>
          <w:iCs/>
          <w:lang w:bidi="ar-AE"/>
        </w:rPr>
        <w:t>ḥadīd</w:t>
      </w:r>
      <w:r w:rsidRPr="006D4265">
        <w:rPr>
          <w:rFonts w:eastAsia="Times New Roman"/>
          <w:lang w:bidi="ar-AE"/>
        </w:rPr>
        <w:t xml:space="preserve"> a un rôle plus musical que sémantique. En général, les exégètes n’en abordent pas les significations. Cependant,</w:t>
      </w:r>
      <w:r>
        <w:rPr>
          <w:rFonts w:eastAsia="Times New Roman"/>
          <w:lang w:bidi="ar-AE"/>
        </w:rPr>
        <w:t xml:space="preserve"> pour</w:t>
      </w:r>
      <w:r w:rsidRPr="006D4265">
        <w:rPr>
          <w:rFonts w:eastAsia="Times New Roman"/>
          <w:lang w:bidi="ar-AE"/>
        </w:rPr>
        <w:t xml:space="preserve"> Ibn </w:t>
      </w:r>
      <w:r w:rsidRPr="006D4265">
        <w:rPr>
          <w:rFonts w:asciiTheme="majorBidi" w:eastAsia="Times New Roman" w:hAnsiTheme="majorBidi" w:cstheme="majorBidi"/>
        </w:rPr>
        <w:t>ʿ</w:t>
      </w:r>
      <w:r>
        <w:rPr>
          <w:rFonts w:eastAsia="Times New Roman"/>
          <w:lang w:bidi="ar-AE"/>
        </w:rPr>
        <w:t xml:space="preserve">Arabī </w:t>
      </w:r>
      <w:r w:rsidRPr="006D4265">
        <w:rPr>
          <w:rFonts w:eastAsia="Times New Roman"/>
          <w:lang w:bidi="ar-AE"/>
        </w:rPr>
        <w:t>il s’agit de : (</w:t>
      </w:r>
      <w:r w:rsidRPr="006D4265">
        <w:rPr>
          <w:rFonts w:ascii="Simplified Arabic" w:hAnsi="Simplified Arabic" w:cs="Simplified Arabic"/>
          <w:shd w:val="clear" w:color="auto" w:fill="FFFFFF"/>
          <w:rtl/>
        </w:rPr>
        <w:t>الأثيرات الملكوتية بأيدي زبانية الأجرام السماوية المؤثرة في النفوس المادية</w:t>
      </w:r>
      <w:r w:rsidRPr="006D4265">
        <w:rPr>
          <w:rFonts w:eastAsia="Times New Roman"/>
          <w:lang w:bidi="ar-AE"/>
        </w:rPr>
        <w:t xml:space="preserve">) </w:t>
      </w:r>
      <w:r w:rsidRPr="006D4265">
        <w:rPr>
          <w:rFonts w:asciiTheme="majorBidi" w:hAnsiTheme="majorBidi" w:cstheme="majorBidi"/>
        </w:rPr>
        <w:t>[</w:t>
      </w:r>
      <w:r w:rsidRPr="006D4265">
        <w:rPr>
          <w:rFonts w:asciiTheme="majorBidi" w:eastAsia="Times New Roman" w:hAnsiTheme="majorBidi" w:cstheme="majorBidi"/>
        </w:rPr>
        <w:t xml:space="preserve">les éthers du </w:t>
      </w:r>
      <w:r w:rsidRPr="006D4265">
        <w:rPr>
          <w:rFonts w:asciiTheme="majorBidi" w:eastAsia="Times New Roman" w:hAnsiTheme="majorBidi" w:cstheme="majorBidi"/>
          <w:lang w:bidi="ar-AE"/>
        </w:rPr>
        <w:t xml:space="preserve">Règne céleste </w:t>
      </w:r>
      <w:r>
        <w:rPr>
          <w:rFonts w:asciiTheme="majorBidi" w:eastAsia="Times New Roman" w:hAnsiTheme="majorBidi" w:cstheme="majorBidi"/>
          <w:lang w:bidi="ar-AE"/>
        </w:rPr>
        <w:t>(</w:t>
      </w:r>
      <w:r>
        <w:rPr>
          <w:rFonts w:asciiTheme="majorBidi" w:eastAsia="Times New Roman" w:hAnsiTheme="majorBidi" w:cstheme="majorBidi"/>
          <w:i/>
          <w:iCs/>
          <w:lang w:bidi="ar-AE"/>
        </w:rPr>
        <w:t>m</w:t>
      </w:r>
      <w:r w:rsidRPr="006D4265">
        <w:rPr>
          <w:rFonts w:asciiTheme="majorBidi" w:eastAsia="Times New Roman" w:hAnsiTheme="majorBidi" w:cstheme="majorBidi"/>
          <w:i/>
          <w:iCs/>
          <w:lang w:bidi="ar-AE"/>
        </w:rPr>
        <w:t>alakūt</w:t>
      </w:r>
      <w:r>
        <w:rPr>
          <w:rFonts w:asciiTheme="majorBidi" w:eastAsia="Times New Roman" w:hAnsiTheme="majorBidi" w:cstheme="majorBidi"/>
          <w:iCs/>
          <w:lang w:bidi="ar-AE"/>
        </w:rPr>
        <w:t>)</w:t>
      </w:r>
      <w:r w:rsidRPr="006D4265">
        <w:rPr>
          <w:rFonts w:asciiTheme="majorBidi" w:eastAsia="Times New Roman" w:hAnsiTheme="majorBidi" w:cstheme="majorBidi"/>
          <w:lang w:bidi="ar-AE"/>
        </w:rPr>
        <w:t xml:space="preserve"> </w:t>
      </w:r>
      <w:r w:rsidRPr="006D4265">
        <w:rPr>
          <w:rFonts w:asciiTheme="majorBidi" w:hAnsiTheme="majorBidi" w:cstheme="majorBidi"/>
        </w:rPr>
        <w:t xml:space="preserve">aux mains des Archanges </w:t>
      </w:r>
      <w:r>
        <w:rPr>
          <w:rFonts w:asciiTheme="majorBidi" w:hAnsiTheme="majorBidi" w:cstheme="majorBidi"/>
          <w:iCs/>
        </w:rPr>
        <w:t>(</w:t>
      </w:r>
      <w:r w:rsidRPr="007178D8">
        <w:rPr>
          <w:rFonts w:asciiTheme="majorBidi" w:hAnsiTheme="majorBidi" w:cstheme="majorBidi"/>
          <w:i/>
          <w:iCs/>
        </w:rPr>
        <w:t>zabān</w:t>
      </w:r>
      <w:r>
        <w:rPr>
          <w:rFonts w:asciiTheme="majorBidi" w:hAnsiTheme="majorBidi" w:cstheme="majorBidi"/>
          <w:i/>
          <w:iCs/>
        </w:rPr>
        <w:t>ya</w:t>
      </w:r>
      <w:r>
        <w:rPr>
          <w:rFonts w:asciiTheme="majorBidi" w:hAnsiTheme="majorBidi" w:cstheme="majorBidi"/>
          <w:iCs/>
        </w:rPr>
        <w:t>)</w:t>
      </w:r>
      <w:r w:rsidRPr="006D4265">
        <w:rPr>
          <w:rFonts w:asciiTheme="majorBidi" w:hAnsiTheme="majorBidi" w:cstheme="majorBidi"/>
        </w:rPr>
        <w:t xml:space="preserve"> des corps célestes qui influencent les âmes matérielles]. </w:t>
      </w:r>
      <w:r w:rsidRPr="006D4265">
        <w:rPr>
          <w:rFonts w:eastAsia="Times New Roman"/>
          <w:lang w:bidi="ar-AE"/>
        </w:rPr>
        <w:t xml:space="preserve">Amīn </w:t>
      </w:r>
      <w:r w:rsidRPr="006D4265">
        <w:rPr>
          <w:rFonts w:eastAsia="Times New Roman"/>
          <w:lang w:bidi="ar-AE"/>
        </w:rPr>
        <w:lastRenderedPageBreak/>
        <w:t xml:space="preserve">Shaykhū dit que le syntagme prépositionnel </w:t>
      </w:r>
      <w:r w:rsidRPr="006D4265">
        <w:rPr>
          <w:rFonts w:eastAsia="Times New Roman"/>
          <w:i/>
          <w:iCs/>
          <w:lang w:bidi="ar-AE"/>
        </w:rPr>
        <w:t>min</w:t>
      </w:r>
      <w:r w:rsidRPr="006D4265">
        <w:rPr>
          <w:rFonts w:eastAsia="Times New Roman"/>
          <w:lang w:bidi="ar-AE"/>
        </w:rPr>
        <w:t xml:space="preserve"> </w:t>
      </w:r>
      <w:r w:rsidRPr="006D4265">
        <w:rPr>
          <w:rFonts w:eastAsia="Times New Roman"/>
          <w:i/>
          <w:iCs/>
          <w:lang w:bidi="ar-AE"/>
        </w:rPr>
        <w:t>ḥadīd</w:t>
      </w:r>
      <w:r w:rsidRPr="006D4265">
        <w:rPr>
          <w:rFonts w:eastAsia="Times New Roman"/>
          <w:lang w:bidi="ar-AE"/>
        </w:rPr>
        <w:t xml:space="preserve"> </w:t>
      </w:r>
      <w:r w:rsidRPr="006D4265">
        <w:rPr>
          <w:rFonts w:asciiTheme="majorBidi" w:hAnsiTheme="majorBidi" w:cstheme="majorBidi"/>
        </w:rPr>
        <w:t>[</w:t>
      </w:r>
      <w:r w:rsidRPr="006D4265">
        <w:rPr>
          <w:rFonts w:asciiTheme="majorBidi" w:eastAsia="Times New Roman" w:hAnsiTheme="majorBidi" w:cstheme="majorBidi"/>
        </w:rPr>
        <w:t>de fer</w:t>
      </w:r>
      <w:r w:rsidRPr="006D4265">
        <w:rPr>
          <w:rFonts w:asciiTheme="majorBidi" w:hAnsiTheme="majorBidi" w:cstheme="majorBidi"/>
        </w:rPr>
        <w:t xml:space="preserve">] </w:t>
      </w:r>
      <w:r w:rsidRPr="006D4265">
        <w:rPr>
          <w:rFonts w:eastAsia="Times New Roman"/>
          <w:lang w:bidi="ar-AE"/>
        </w:rPr>
        <w:t xml:space="preserve">signifie </w:t>
      </w:r>
      <w:r w:rsidRPr="006D4265">
        <w:rPr>
          <w:rFonts w:eastAsia="Times New Roman"/>
          <w:i/>
          <w:iCs/>
        </w:rPr>
        <w:t>shadīda</w:t>
      </w:r>
      <w:r w:rsidRPr="006D4265">
        <w:rPr>
          <w:rFonts w:eastAsia="Times New Roman"/>
        </w:rPr>
        <w:t xml:space="preserve"> </w:t>
      </w:r>
      <w:r w:rsidRPr="006D4265">
        <w:rPr>
          <w:rFonts w:asciiTheme="majorBidi" w:hAnsiTheme="majorBidi" w:cstheme="majorBidi"/>
        </w:rPr>
        <w:t>[</w:t>
      </w:r>
      <w:r w:rsidRPr="006D4265">
        <w:rPr>
          <w:rFonts w:asciiTheme="majorBidi" w:eastAsia="Times New Roman" w:hAnsiTheme="majorBidi" w:cstheme="majorBidi"/>
        </w:rPr>
        <w:t>violentes/douloureuses</w:t>
      </w:r>
      <w:r w:rsidRPr="006D4265">
        <w:rPr>
          <w:rFonts w:asciiTheme="majorBidi" w:hAnsiTheme="majorBidi" w:cstheme="majorBidi"/>
        </w:rPr>
        <w:t>].</w:t>
      </w:r>
    </w:p>
    <w:p w14:paraId="6C386505" w14:textId="77777777" w:rsidR="00296288" w:rsidRDefault="00296288" w:rsidP="00296288">
      <w:pPr>
        <w:spacing w:line="360" w:lineRule="auto"/>
        <w:jc w:val="both"/>
        <w:rPr>
          <w:rFonts w:eastAsia="Times New Roman"/>
        </w:rPr>
      </w:pPr>
    </w:p>
    <w:p w14:paraId="78217AD1" w14:textId="77777777" w:rsidR="008503C6" w:rsidRPr="006D4265" w:rsidRDefault="008503C6" w:rsidP="00296288">
      <w:pPr>
        <w:spacing w:line="360" w:lineRule="auto"/>
        <w:jc w:val="both"/>
        <w:rPr>
          <w:rFonts w:eastAsia="Times New Roman"/>
        </w:rPr>
      </w:pPr>
    </w:p>
    <w:p w14:paraId="4A88675A" w14:textId="77777777" w:rsidR="00296288" w:rsidRPr="006D4265" w:rsidRDefault="00296288" w:rsidP="00296288">
      <w:pPr>
        <w:spacing w:line="360" w:lineRule="auto"/>
        <w:jc w:val="both"/>
        <w:rPr>
          <w:rFonts w:eastAsia="Times New Roman"/>
          <w:b/>
          <w:bCs/>
          <w:lang w:bidi="ar-AE"/>
        </w:rPr>
      </w:pPr>
      <w:r w:rsidRPr="006D4265">
        <w:rPr>
          <w:rFonts w:eastAsia="Times New Roman"/>
          <w:b/>
          <w:bCs/>
          <w:lang w:bidi="ar-AE"/>
        </w:rPr>
        <w:t>Le verset 25 :</w:t>
      </w:r>
    </w:p>
    <w:p w14:paraId="6DF1CF52" w14:textId="77777777" w:rsidR="00296288" w:rsidRPr="006D4265" w:rsidRDefault="00296288" w:rsidP="00296288">
      <w:pPr>
        <w:bidi/>
        <w:spacing w:line="360" w:lineRule="auto"/>
        <w:jc w:val="both"/>
        <w:rPr>
          <w:rFonts w:ascii="Simplified Arabic" w:eastAsia="Times New Roman" w:hAnsi="Simplified Arabic" w:cs="Simplified Arabic"/>
          <w:lang w:bidi="ar-KW"/>
        </w:rPr>
      </w:pPr>
      <w:r w:rsidRPr="006D4265">
        <w:rPr>
          <w:rFonts w:ascii="Simplified Arabic" w:eastAsia="Times New Roman" w:hAnsi="Simplified Arabic" w:cs="Simplified Arabic"/>
          <w:rtl/>
          <w:lang w:bidi="ar-AE"/>
        </w:rPr>
        <w:t>(25) إنَّ الذين كَفروا ويَصُدُّون عن سبيلِ اللهِ والمسجد الحرامِ الذي جعلناه للناسِ سواء العاكف فيه والبادِ ومن يُرِدْ فيه بإلحادٍ بظلمٍ نُذِقْه من عذابٍ أليمٍ.</w:t>
      </w:r>
    </w:p>
    <w:p w14:paraId="70AB5EA5" w14:textId="77777777" w:rsidR="00296288" w:rsidRPr="006D4265" w:rsidRDefault="00296288" w:rsidP="00296288">
      <w:pPr>
        <w:spacing w:line="360" w:lineRule="auto"/>
        <w:contextualSpacing/>
        <w:jc w:val="both"/>
        <w:rPr>
          <w:rFonts w:eastAsia="Times New Roman"/>
          <w:rtl/>
          <w:lang w:bidi="ar-AE"/>
        </w:rPr>
      </w:pPr>
      <w:r w:rsidRPr="006D4265">
        <w:rPr>
          <w:rFonts w:eastAsia="Times New Roman"/>
          <w:lang w:bidi="ar-AE"/>
        </w:rPr>
        <w:t>(25) Les dénégateurs, ceux qui dressent des obstacles sur le chemin de Dieu, et de l’Oratoire consacré que Nous avons institué pour les hommes, à égalité pour le résidant et l’itinérant… et quiconque aurait volonté d’injustice et de déviation, Nous lui ferions goûter d’un châtiment douloureux.</w:t>
      </w:r>
    </w:p>
    <w:p w14:paraId="795AC278" w14:textId="77777777" w:rsidR="00296288" w:rsidRPr="006D4265" w:rsidRDefault="00296288" w:rsidP="00296288">
      <w:pPr>
        <w:spacing w:line="360" w:lineRule="auto"/>
        <w:jc w:val="both"/>
        <w:rPr>
          <w:rFonts w:asciiTheme="majorBidi" w:eastAsia="Times New Roman" w:hAnsiTheme="majorBidi" w:cstheme="majorBidi"/>
          <w:lang w:bidi="ar-AE"/>
        </w:rPr>
      </w:pPr>
    </w:p>
    <w:p w14:paraId="29E37067" w14:textId="77777777" w:rsidR="00296288" w:rsidRPr="006D4265" w:rsidRDefault="00296288" w:rsidP="00296288">
      <w:pPr>
        <w:spacing w:line="360" w:lineRule="auto"/>
        <w:ind w:firstLine="426"/>
        <w:jc w:val="both"/>
        <w:rPr>
          <w:rFonts w:asciiTheme="majorBidi" w:eastAsia="Times New Roman" w:hAnsiTheme="majorBidi" w:cstheme="majorBidi"/>
          <w:lang w:bidi="ar-AE"/>
        </w:rPr>
      </w:pPr>
      <w:r w:rsidRPr="006D4265">
        <w:rPr>
          <w:rFonts w:asciiTheme="majorBidi" w:eastAsia="Times New Roman" w:hAnsiTheme="majorBidi" w:cstheme="majorBidi"/>
          <w:lang w:bidi="ar-AE"/>
        </w:rPr>
        <w:t>Le verset 25 est composé d’une phrase nominale complexe :</w:t>
      </w:r>
    </w:p>
    <w:p w14:paraId="155BEE2C" w14:textId="77777777" w:rsidR="00296288" w:rsidRPr="006D4265" w:rsidRDefault="00296288" w:rsidP="007640DC">
      <w:pPr>
        <w:pStyle w:val="Paragraphedeliste"/>
        <w:numPr>
          <w:ilvl w:val="0"/>
          <w:numId w:val="90"/>
        </w:numPr>
        <w:bidi w:val="0"/>
        <w:spacing w:after="0" w:line="360" w:lineRule="auto"/>
        <w:ind w:left="426"/>
        <w:contextualSpacing/>
        <w:jc w:val="both"/>
        <w:rPr>
          <w:rFonts w:asciiTheme="majorBidi" w:hAnsiTheme="majorBidi" w:cstheme="majorBidi"/>
          <w:sz w:val="24"/>
          <w:szCs w:val="24"/>
          <w:lang w:eastAsia="fr-FR" w:bidi="ar-AE"/>
        </w:rPr>
      </w:pPr>
      <w:r w:rsidRPr="006D4265">
        <w:rPr>
          <w:rFonts w:asciiTheme="majorBidi" w:hAnsiTheme="majorBidi" w:cstheme="majorBidi"/>
          <w:sz w:val="24"/>
          <w:szCs w:val="24"/>
          <w:lang w:eastAsia="fr-FR" w:bidi="ar-AE"/>
        </w:rPr>
        <w:t>un thème [</w:t>
      </w:r>
      <w:r w:rsidRPr="006D4265">
        <w:rPr>
          <w:rFonts w:asciiTheme="majorBidi" w:hAnsiTheme="majorBidi" w:cstheme="majorBidi"/>
          <w:i/>
          <w:iCs/>
          <w:sz w:val="24"/>
          <w:szCs w:val="24"/>
          <w:lang w:eastAsia="fr-FR" w:bidi="ar-AE"/>
        </w:rPr>
        <w:t>mubtadaʾ</w:t>
      </w:r>
      <w:r w:rsidRPr="006D4265">
        <w:rPr>
          <w:rFonts w:asciiTheme="majorBidi" w:hAnsiTheme="majorBidi" w:cstheme="majorBidi"/>
          <w:sz w:val="24"/>
          <w:szCs w:val="24"/>
          <w:lang w:eastAsia="fr-FR" w:bidi="ar-AE"/>
        </w:rPr>
        <w:t>] (</w:t>
      </w:r>
      <w:r w:rsidRPr="006D4265">
        <w:rPr>
          <w:rFonts w:asciiTheme="majorBidi" w:hAnsiTheme="majorBidi" w:cstheme="majorBidi"/>
          <w:i/>
          <w:iCs/>
          <w:sz w:val="24"/>
          <w:szCs w:val="24"/>
          <w:lang w:eastAsia="fr-FR" w:bidi="ar-AE"/>
        </w:rPr>
        <w:t>alladhīna kafarū</w:t>
      </w:r>
      <w:r w:rsidRPr="006D4265">
        <w:rPr>
          <w:rFonts w:asciiTheme="majorBidi" w:hAnsiTheme="majorBidi" w:cstheme="majorBidi"/>
          <w:sz w:val="24"/>
          <w:szCs w:val="24"/>
          <w:lang w:eastAsia="fr-FR" w:bidi="ar-AE"/>
        </w:rPr>
        <w:t xml:space="preserve"> [ceux qui sont dénégateurs] précédé de la particule adverbiale </w:t>
      </w:r>
      <w:r w:rsidRPr="006D4265">
        <w:rPr>
          <w:rFonts w:asciiTheme="majorBidi" w:hAnsiTheme="majorBidi" w:cstheme="majorBidi"/>
          <w:i/>
          <w:iCs/>
          <w:sz w:val="24"/>
          <w:szCs w:val="24"/>
          <w:lang w:eastAsia="fr-FR" w:bidi="ar-AE"/>
        </w:rPr>
        <w:t>inna</w:t>
      </w:r>
      <w:r w:rsidRPr="006D4265">
        <w:rPr>
          <w:rFonts w:asciiTheme="majorBidi" w:hAnsiTheme="majorBidi" w:cstheme="majorBidi"/>
          <w:sz w:val="24"/>
          <w:szCs w:val="24"/>
          <w:lang w:eastAsia="fr-FR" w:bidi="ar-AE"/>
        </w:rPr>
        <w:t>) ;</w:t>
      </w:r>
    </w:p>
    <w:p w14:paraId="02CCBDCB" w14:textId="77777777" w:rsidR="00296288" w:rsidRPr="006D4265" w:rsidRDefault="00296288" w:rsidP="007640DC">
      <w:pPr>
        <w:pStyle w:val="Paragraphedeliste"/>
        <w:numPr>
          <w:ilvl w:val="0"/>
          <w:numId w:val="90"/>
        </w:numPr>
        <w:bidi w:val="0"/>
        <w:spacing w:after="0" w:line="360" w:lineRule="auto"/>
        <w:ind w:left="426"/>
        <w:contextualSpacing/>
        <w:jc w:val="both"/>
        <w:rPr>
          <w:rFonts w:asciiTheme="majorBidi" w:hAnsiTheme="majorBidi" w:cstheme="majorBidi"/>
          <w:sz w:val="24"/>
          <w:szCs w:val="24"/>
          <w:lang w:eastAsia="fr-FR" w:bidi="ar-AE"/>
        </w:rPr>
      </w:pPr>
      <w:r w:rsidRPr="006D4265">
        <w:rPr>
          <w:rFonts w:asciiTheme="majorBidi" w:hAnsiTheme="majorBidi" w:cstheme="majorBidi"/>
          <w:sz w:val="24"/>
          <w:szCs w:val="24"/>
          <w:lang w:eastAsia="fr-FR" w:bidi="ar-AE"/>
        </w:rPr>
        <w:t>et une information [</w:t>
      </w:r>
      <w:r w:rsidRPr="006D4265">
        <w:rPr>
          <w:rFonts w:asciiTheme="majorBidi" w:hAnsiTheme="majorBidi" w:cstheme="majorBidi"/>
          <w:i/>
          <w:iCs/>
          <w:sz w:val="24"/>
          <w:szCs w:val="24"/>
          <w:lang w:eastAsia="fr-FR" w:bidi="ar-AE"/>
        </w:rPr>
        <w:t>khabar</w:t>
      </w:r>
      <w:r w:rsidRPr="006D4265">
        <w:rPr>
          <w:rFonts w:asciiTheme="majorBidi" w:hAnsiTheme="majorBidi" w:cstheme="majorBidi"/>
          <w:sz w:val="24"/>
          <w:szCs w:val="24"/>
          <w:lang w:eastAsia="fr-FR" w:bidi="ar-AE"/>
        </w:rPr>
        <w:t xml:space="preserve">] </w:t>
      </w:r>
      <w:r>
        <w:rPr>
          <w:rFonts w:asciiTheme="majorBidi" w:hAnsiTheme="majorBidi" w:cstheme="majorBidi"/>
          <w:sz w:val="24"/>
          <w:szCs w:val="24"/>
          <w:lang w:eastAsia="fr-FR" w:bidi="ar-AE"/>
        </w:rPr>
        <w:t>qui semble absente. Elle pourrai</w:t>
      </w:r>
      <w:r w:rsidRPr="006D4265">
        <w:rPr>
          <w:rFonts w:asciiTheme="majorBidi" w:hAnsiTheme="majorBidi" w:cstheme="majorBidi"/>
          <w:sz w:val="24"/>
          <w:szCs w:val="24"/>
          <w:lang w:eastAsia="fr-FR" w:bidi="ar-AE"/>
        </w:rPr>
        <w:t>t être :</w:t>
      </w:r>
    </w:p>
    <w:p w14:paraId="0399C3E1" w14:textId="77777777" w:rsidR="00296288" w:rsidRPr="004C17E3" w:rsidRDefault="00296288" w:rsidP="007640DC">
      <w:pPr>
        <w:pStyle w:val="Paragraphedeliste"/>
        <w:numPr>
          <w:ilvl w:val="1"/>
          <w:numId w:val="90"/>
        </w:numPr>
        <w:bidi w:val="0"/>
        <w:spacing w:after="0" w:line="360" w:lineRule="auto"/>
        <w:ind w:left="993"/>
        <w:contextualSpacing/>
        <w:jc w:val="both"/>
        <w:rPr>
          <w:rFonts w:asciiTheme="majorBidi" w:hAnsiTheme="majorBidi" w:cstheme="majorBidi"/>
          <w:sz w:val="24"/>
          <w:szCs w:val="24"/>
          <w:lang w:eastAsia="fr-FR" w:bidi="ar-AE"/>
        </w:rPr>
      </w:pPr>
      <w:r w:rsidRPr="006D4265">
        <w:rPr>
          <w:rFonts w:asciiTheme="majorBidi" w:hAnsiTheme="majorBidi" w:cstheme="majorBidi"/>
          <w:sz w:val="24"/>
          <w:szCs w:val="24"/>
          <w:lang w:eastAsia="fr-FR" w:bidi="ar-AE"/>
        </w:rPr>
        <w:t xml:space="preserve">soit </w:t>
      </w:r>
      <w:r w:rsidRPr="004C17E3">
        <w:rPr>
          <w:rFonts w:asciiTheme="majorBidi" w:hAnsiTheme="majorBidi" w:cstheme="majorBidi"/>
          <w:sz w:val="24"/>
          <w:szCs w:val="24"/>
          <w:lang w:eastAsia="fr-FR" w:bidi="ar-AE"/>
        </w:rPr>
        <w:t xml:space="preserve">le verbe </w:t>
      </w:r>
      <w:r w:rsidRPr="004C17E3">
        <w:rPr>
          <w:rFonts w:asciiTheme="majorBidi" w:hAnsiTheme="majorBidi" w:cstheme="majorBidi"/>
          <w:i/>
          <w:iCs/>
          <w:sz w:val="24"/>
          <w:szCs w:val="24"/>
          <w:lang w:eastAsia="fr-FR" w:bidi="ar-AE"/>
        </w:rPr>
        <w:t>yaṣuddūna</w:t>
      </w:r>
      <w:r w:rsidRPr="004C17E3">
        <w:rPr>
          <w:rFonts w:asciiTheme="majorBidi" w:hAnsiTheme="majorBidi" w:cstheme="majorBidi"/>
          <w:sz w:val="24"/>
          <w:szCs w:val="24"/>
          <w:lang w:eastAsia="fr-FR" w:bidi="ar-AE"/>
        </w:rPr>
        <w:t xml:space="preserve"> [ils repoussent], mais dans ce cas, la particule de coordination </w:t>
      </w:r>
      <w:r w:rsidRPr="004C17E3">
        <w:rPr>
          <w:rFonts w:asciiTheme="majorBidi" w:hAnsiTheme="majorBidi" w:cstheme="majorBidi"/>
          <w:i/>
          <w:sz w:val="24"/>
          <w:szCs w:val="24"/>
          <w:lang w:eastAsia="fr-FR" w:bidi="ar-AE"/>
        </w:rPr>
        <w:t>wa-</w:t>
      </w:r>
      <w:r w:rsidRPr="004C17E3">
        <w:rPr>
          <w:rFonts w:asciiTheme="majorBidi" w:hAnsiTheme="majorBidi" w:cstheme="majorBidi"/>
          <w:sz w:val="24"/>
          <w:szCs w:val="24"/>
          <w:lang w:eastAsia="fr-FR" w:bidi="ar-AE"/>
        </w:rPr>
        <w:t xml:space="preserve"> serait explétive ou plutôt intruse,</w:t>
      </w:r>
    </w:p>
    <w:p w14:paraId="3CFC4BE2" w14:textId="77777777" w:rsidR="00296288" w:rsidRPr="004C17E3" w:rsidRDefault="00296288" w:rsidP="007640DC">
      <w:pPr>
        <w:pStyle w:val="Paragraphedeliste"/>
        <w:numPr>
          <w:ilvl w:val="1"/>
          <w:numId w:val="90"/>
        </w:numPr>
        <w:bidi w:val="0"/>
        <w:spacing w:after="0" w:line="360" w:lineRule="auto"/>
        <w:ind w:left="993"/>
        <w:contextualSpacing/>
        <w:jc w:val="both"/>
        <w:rPr>
          <w:rFonts w:asciiTheme="majorBidi" w:hAnsiTheme="majorBidi" w:cstheme="majorBidi"/>
          <w:sz w:val="24"/>
          <w:szCs w:val="24"/>
          <w:lang w:eastAsia="fr-FR" w:bidi="ar-AE"/>
        </w:rPr>
      </w:pPr>
      <w:r w:rsidRPr="004C17E3">
        <w:rPr>
          <w:rFonts w:asciiTheme="majorBidi" w:hAnsiTheme="majorBidi" w:cstheme="majorBidi"/>
          <w:sz w:val="24"/>
          <w:szCs w:val="24"/>
          <w:lang w:eastAsia="fr-FR" w:bidi="ar-AE"/>
        </w:rPr>
        <w:t>soit une information implicite,</w:t>
      </w:r>
    </w:p>
    <w:p w14:paraId="35F7EFF7" w14:textId="77777777" w:rsidR="00296288" w:rsidRPr="004C17E3" w:rsidRDefault="00296288" w:rsidP="007640DC">
      <w:pPr>
        <w:pStyle w:val="Paragraphedeliste"/>
        <w:numPr>
          <w:ilvl w:val="1"/>
          <w:numId w:val="90"/>
        </w:numPr>
        <w:bidi w:val="0"/>
        <w:spacing w:after="0" w:line="360" w:lineRule="auto"/>
        <w:ind w:left="993"/>
        <w:contextualSpacing/>
        <w:jc w:val="both"/>
        <w:rPr>
          <w:rFonts w:asciiTheme="majorBidi" w:hAnsiTheme="majorBidi" w:cstheme="majorBidi"/>
          <w:sz w:val="24"/>
          <w:szCs w:val="24"/>
          <w:lang w:eastAsia="fr-FR" w:bidi="ar-AE"/>
        </w:rPr>
      </w:pPr>
      <w:r w:rsidRPr="004C17E3">
        <w:rPr>
          <w:rFonts w:asciiTheme="majorBidi" w:hAnsiTheme="majorBidi" w:cstheme="majorBidi"/>
          <w:sz w:val="24"/>
          <w:szCs w:val="24"/>
          <w:lang w:eastAsia="fr-FR" w:bidi="ar-AE"/>
        </w:rPr>
        <w:t xml:space="preserve">soit le verbe </w:t>
      </w:r>
      <w:r w:rsidRPr="004C17E3">
        <w:rPr>
          <w:rFonts w:asciiTheme="majorBidi" w:hAnsiTheme="majorBidi" w:cstheme="majorBidi"/>
          <w:i/>
          <w:iCs/>
          <w:sz w:val="24"/>
          <w:szCs w:val="24"/>
          <w:lang w:eastAsia="fr-FR" w:bidi="ar-AE"/>
        </w:rPr>
        <w:t>nudhiq-hu</w:t>
      </w:r>
      <w:r w:rsidRPr="004C17E3">
        <w:rPr>
          <w:rFonts w:asciiTheme="majorBidi" w:hAnsiTheme="majorBidi" w:cstheme="majorBidi"/>
          <w:sz w:val="24"/>
          <w:szCs w:val="24"/>
          <w:lang w:eastAsia="fr-FR" w:bidi="ar-AE"/>
        </w:rPr>
        <w:t xml:space="preserve"> [Nous lui faisons goûter].</w:t>
      </w:r>
    </w:p>
    <w:p w14:paraId="03BD9D3E" w14:textId="77777777" w:rsidR="00296288" w:rsidRPr="005F299E" w:rsidRDefault="00296288" w:rsidP="00224230">
      <w:pPr>
        <w:pStyle w:val="Paragraphedeliste"/>
        <w:bidi w:val="0"/>
        <w:spacing w:after="0" w:line="360" w:lineRule="auto"/>
        <w:ind w:left="0" w:firstLine="633"/>
        <w:jc w:val="both"/>
        <w:rPr>
          <w:rFonts w:asciiTheme="majorBidi" w:hAnsiTheme="majorBidi" w:cstheme="majorBidi"/>
          <w:sz w:val="24"/>
          <w:szCs w:val="24"/>
          <w:lang w:eastAsia="fr-FR" w:bidi="ar-AE"/>
        </w:rPr>
      </w:pPr>
      <w:r w:rsidRPr="005F299E">
        <w:rPr>
          <w:rFonts w:asciiTheme="majorBidi" w:hAnsiTheme="majorBidi" w:cstheme="majorBidi"/>
          <w:sz w:val="24"/>
          <w:szCs w:val="24"/>
          <w:lang w:eastAsia="fr-FR" w:bidi="ar-AE"/>
        </w:rPr>
        <w:t xml:space="preserve">L’ambigüité dans ce verset est due donc à l’absence de </w:t>
      </w:r>
      <w:r w:rsidRPr="005F299E">
        <w:rPr>
          <w:rFonts w:asciiTheme="majorBidi" w:hAnsiTheme="majorBidi" w:cstheme="majorBidi"/>
          <w:i/>
          <w:iCs/>
          <w:sz w:val="24"/>
          <w:szCs w:val="24"/>
          <w:lang w:eastAsia="fr-FR" w:bidi="ar-AE"/>
        </w:rPr>
        <w:t xml:space="preserve">khabar </w:t>
      </w:r>
      <w:r w:rsidRPr="005F299E">
        <w:rPr>
          <w:rFonts w:asciiTheme="majorBidi" w:hAnsiTheme="majorBidi" w:cstheme="majorBidi"/>
          <w:iCs/>
          <w:sz w:val="24"/>
          <w:szCs w:val="24"/>
          <w:lang w:eastAsia="fr-FR" w:bidi="ar-AE"/>
        </w:rPr>
        <w:t>explicite</w:t>
      </w:r>
      <w:r w:rsidRPr="005F299E">
        <w:rPr>
          <w:rFonts w:asciiTheme="majorBidi" w:hAnsiTheme="majorBidi" w:cstheme="majorBidi"/>
          <w:sz w:val="24"/>
          <w:szCs w:val="24"/>
          <w:lang w:eastAsia="fr-FR" w:bidi="ar-AE"/>
        </w:rPr>
        <w:t>. Il se peut que le copiste ou le scribe ait oublié par inadvertance de le copier (la tradition musulmane rapporte que lorsqu’on demanda à ʿĀʾisha d’éclaircir certains versets grammaticalement problématiques [XX, 63 ; V, 69 ; IV, 162], elle déclara qu’il s’agissait d’une erreur du scribe</w:t>
      </w:r>
      <w:r w:rsidRPr="005F299E">
        <w:rPr>
          <w:rFonts w:asciiTheme="majorBidi" w:hAnsiTheme="majorBidi" w:cstheme="majorBidi"/>
          <w:sz w:val="24"/>
          <w:szCs w:val="24"/>
          <w:vertAlign w:val="superscript"/>
          <w:lang w:bidi="ar-AE"/>
        </w:rPr>
        <w:footnoteReference w:id="342"/>
      </w:r>
      <w:r w:rsidRPr="005F299E">
        <w:rPr>
          <w:rFonts w:asciiTheme="majorBidi" w:hAnsiTheme="majorBidi" w:cstheme="majorBidi"/>
          <w:sz w:val="24"/>
          <w:szCs w:val="24"/>
          <w:lang w:eastAsia="fr-FR" w:bidi="ar-AE"/>
        </w:rPr>
        <w:t>). Dans le même sens, Theodor Nöldeke (1836-1930) écrivait : « […] nous avons été élevés à l’école de la critique scientifique. Or celle-ci nous permet de reconnaître</w:t>
      </w:r>
      <w:r w:rsidRPr="006D4265">
        <w:rPr>
          <w:rFonts w:asciiTheme="majorBidi" w:hAnsiTheme="majorBidi" w:cstheme="majorBidi"/>
          <w:sz w:val="24"/>
          <w:szCs w:val="24"/>
          <w:lang w:eastAsia="fr-FR" w:bidi="ar-AE"/>
        </w:rPr>
        <w:t xml:space="preserve"> que le mode d’expression du Coran présente de grandes insuffisances dont sont exempts les poèmes et les récits de l’ancienne Arabie (</w:t>
      </w:r>
      <w:r w:rsidRPr="006D4265">
        <w:rPr>
          <w:rFonts w:asciiTheme="majorBidi" w:hAnsiTheme="majorBidi" w:cstheme="majorBidi"/>
          <w:i/>
          <w:iCs/>
          <w:sz w:val="24"/>
          <w:szCs w:val="24"/>
          <w:lang w:eastAsia="fr-FR" w:bidi="ar-AE"/>
        </w:rPr>
        <w:t xml:space="preserve">akhbār </w:t>
      </w:r>
      <w:r w:rsidRPr="006D4265">
        <w:rPr>
          <w:rFonts w:asciiTheme="majorBidi" w:hAnsiTheme="majorBidi" w:cstheme="majorBidi"/>
          <w:i/>
          <w:iCs/>
          <w:sz w:val="24"/>
          <w:szCs w:val="24"/>
          <w:lang w:eastAsia="fr-FR" w:bidi="ar-AE"/>
        </w:rPr>
        <w:lastRenderedPageBreak/>
        <w:t>al</w:t>
      </w:r>
      <w:r w:rsidRPr="005F299E">
        <w:rPr>
          <w:rFonts w:asciiTheme="majorBidi" w:hAnsiTheme="majorBidi" w:cstheme="majorBidi"/>
          <w:i/>
          <w:iCs/>
          <w:sz w:val="24"/>
          <w:szCs w:val="24"/>
          <w:lang w:eastAsia="fr-FR" w:bidi="ar-AE"/>
        </w:rPr>
        <w:t>-ʿArab</w:t>
      </w:r>
      <w:r w:rsidRPr="005F299E">
        <w:rPr>
          <w:rFonts w:asciiTheme="majorBidi" w:hAnsiTheme="majorBidi" w:cstheme="majorBidi"/>
          <w:sz w:val="24"/>
          <w:szCs w:val="24"/>
          <w:lang w:eastAsia="fr-FR" w:bidi="ar-AE"/>
        </w:rPr>
        <w:t>) ».</w:t>
      </w:r>
      <w:r w:rsidRPr="005F299E">
        <w:rPr>
          <w:rStyle w:val="Appelnotedebasdep"/>
          <w:sz w:val="24"/>
          <w:szCs w:val="24"/>
          <w:lang w:eastAsia="fr-FR" w:bidi="ar-AE"/>
        </w:rPr>
        <w:footnoteReference w:id="343"/>
      </w:r>
      <w:r w:rsidRPr="005F299E">
        <w:rPr>
          <w:rFonts w:asciiTheme="majorBidi" w:hAnsiTheme="majorBidi" w:cstheme="majorBidi"/>
          <w:sz w:val="24"/>
          <w:szCs w:val="24"/>
          <w:lang w:eastAsia="fr-FR" w:bidi="ar-AE"/>
        </w:rPr>
        <w:t xml:space="preserve"> De tels écarts et de tels vides ont été interprétés et justifiés. À titre d’exemple, </w:t>
      </w:r>
      <w:r w:rsidRPr="005F299E">
        <w:rPr>
          <w:rFonts w:asciiTheme="majorBidi" w:hAnsiTheme="majorBidi" w:cstheme="majorBidi"/>
          <w:sz w:val="24"/>
          <w:szCs w:val="24"/>
        </w:rPr>
        <w:t>Sayyid Quṭb</w:t>
      </w:r>
      <w:r w:rsidRPr="005F299E">
        <w:rPr>
          <w:rFonts w:asciiTheme="majorBidi" w:hAnsiTheme="majorBidi" w:cstheme="majorBidi"/>
          <w:sz w:val="24"/>
          <w:szCs w:val="24"/>
          <w:lang w:eastAsia="fr-FR" w:bidi="ar-AE"/>
        </w:rPr>
        <w:t xml:space="preserve">  justifie l’absence du </w:t>
      </w:r>
      <w:r w:rsidRPr="005F299E">
        <w:rPr>
          <w:rFonts w:asciiTheme="majorBidi" w:hAnsiTheme="majorBidi" w:cstheme="majorBidi"/>
          <w:i/>
          <w:sz w:val="24"/>
          <w:szCs w:val="24"/>
          <w:lang w:eastAsia="fr-FR" w:bidi="ar-AE"/>
        </w:rPr>
        <w:t>khabar</w:t>
      </w:r>
      <w:r w:rsidRPr="005F299E">
        <w:rPr>
          <w:rFonts w:asciiTheme="majorBidi" w:hAnsiTheme="majorBidi" w:cstheme="majorBidi"/>
          <w:sz w:val="24"/>
          <w:szCs w:val="24"/>
          <w:lang w:eastAsia="fr-FR" w:bidi="ar-AE"/>
        </w:rPr>
        <w:t xml:space="preserve"> dans le verset 25,</w:t>
      </w:r>
      <w:r w:rsidRPr="005F299E">
        <w:rPr>
          <w:rFonts w:asciiTheme="majorBidi" w:hAnsiTheme="majorBidi" w:cstheme="majorBidi"/>
          <w:sz w:val="24"/>
          <w:szCs w:val="24"/>
        </w:rPr>
        <w:t xml:space="preserve"> </w:t>
      </w:r>
      <w:r w:rsidRPr="005F299E">
        <w:rPr>
          <w:rFonts w:asciiTheme="majorBidi" w:hAnsiTheme="majorBidi" w:cstheme="majorBidi"/>
          <w:sz w:val="24"/>
          <w:szCs w:val="24"/>
          <w:lang w:eastAsia="fr-FR" w:bidi="ar-AE"/>
        </w:rPr>
        <w:t>en disant que c’est un signe d’éloquence (« </w:t>
      </w:r>
      <w:r w:rsidRPr="005F299E">
        <w:rPr>
          <w:rFonts w:asciiTheme="majorBidi" w:hAnsiTheme="majorBidi" w:cstheme="majorBidi" w:hint="cs"/>
          <w:sz w:val="24"/>
          <w:szCs w:val="24"/>
          <w:rtl/>
          <w:lang w:eastAsia="fr-FR"/>
        </w:rPr>
        <w:t>مِن دقائق التعبير</w:t>
      </w:r>
      <w:r w:rsidRPr="005F299E">
        <w:rPr>
          <w:rFonts w:asciiTheme="majorBidi" w:hAnsiTheme="majorBidi" w:cstheme="majorBidi"/>
          <w:sz w:val="24"/>
          <w:szCs w:val="24"/>
          <w:lang w:eastAsia="fr-FR"/>
        </w:rPr>
        <w:t> »</w:t>
      </w:r>
      <w:r w:rsidRPr="005F299E">
        <w:rPr>
          <w:rFonts w:asciiTheme="majorBidi" w:hAnsiTheme="majorBidi" w:cstheme="majorBidi"/>
          <w:sz w:val="24"/>
          <w:szCs w:val="24"/>
          <w:lang w:eastAsia="fr-FR" w:bidi="ar-AE"/>
        </w:rPr>
        <w:t>)</w:t>
      </w:r>
      <w:r w:rsidRPr="005F299E">
        <w:rPr>
          <w:rStyle w:val="Appelnotedebasdep"/>
          <w:sz w:val="24"/>
          <w:szCs w:val="24"/>
          <w:lang w:eastAsia="fr-FR" w:bidi="ar-AE"/>
        </w:rPr>
        <w:footnoteReference w:id="344"/>
      </w:r>
      <w:r w:rsidRPr="005F299E">
        <w:rPr>
          <w:rFonts w:asciiTheme="majorBidi" w:hAnsiTheme="majorBidi" w:cstheme="majorBidi"/>
          <w:sz w:val="24"/>
          <w:szCs w:val="24"/>
          <w:lang w:eastAsia="fr-FR" w:bidi="ar-AE"/>
        </w:rPr>
        <w:t xml:space="preserve">, qui montre que le destin malheureux des dénégateurs est évident, du fait qu’ils empêchaient les croyants de visiter le </w:t>
      </w:r>
      <w:r w:rsidRPr="005F299E">
        <w:rPr>
          <w:rFonts w:asciiTheme="majorBidi" w:hAnsiTheme="majorBidi" w:cstheme="majorBidi"/>
          <w:i/>
          <w:iCs/>
          <w:sz w:val="24"/>
          <w:szCs w:val="24"/>
          <w:lang w:eastAsia="fr-FR" w:bidi="ar-AE"/>
        </w:rPr>
        <w:t>masjid al-ḥarām</w:t>
      </w:r>
      <w:r w:rsidRPr="005F299E">
        <w:rPr>
          <w:rFonts w:asciiTheme="majorBidi" w:hAnsiTheme="majorBidi" w:cstheme="majorBidi"/>
          <w:sz w:val="24"/>
          <w:szCs w:val="24"/>
          <w:lang w:eastAsia="fr-FR" w:bidi="ar-AE"/>
        </w:rPr>
        <w:t xml:space="preserve"> (la Mosquée sacrée).</w:t>
      </w:r>
    </w:p>
    <w:p w14:paraId="1C460414" w14:textId="77777777" w:rsidR="00296288" w:rsidRDefault="00296288" w:rsidP="00224230">
      <w:pPr>
        <w:spacing w:line="360" w:lineRule="auto"/>
        <w:jc w:val="both"/>
        <w:rPr>
          <w:rFonts w:eastAsia="Times New Roman"/>
        </w:rPr>
      </w:pPr>
    </w:p>
    <w:p w14:paraId="232C5A39" w14:textId="77777777" w:rsidR="00224230" w:rsidRPr="005F299E" w:rsidRDefault="00224230" w:rsidP="00224230">
      <w:pPr>
        <w:spacing w:line="360" w:lineRule="auto"/>
        <w:jc w:val="both"/>
        <w:rPr>
          <w:rFonts w:eastAsia="Times New Roman"/>
          <w:rtl/>
        </w:rPr>
      </w:pPr>
    </w:p>
    <w:p w14:paraId="451741B7" w14:textId="6E16543C" w:rsidR="00296288" w:rsidRPr="006D4265" w:rsidRDefault="00296288" w:rsidP="00296288">
      <w:pPr>
        <w:spacing w:line="360" w:lineRule="auto"/>
        <w:jc w:val="both"/>
        <w:rPr>
          <w:b/>
          <w:bCs/>
        </w:rPr>
      </w:pPr>
      <w:r w:rsidRPr="006D4265">
        <w:rPr>
          <w:b/>
          <w:bCs/>
        </w:rPr>
        <w:t>La phrase « </w:t>
      </w:r>
      <w:r w:rsidRPr="006D4265">
        <w:rPr>
          <w:rFonts w:eastAsia="Calibri"/>
          <w:b/>
          <w:bCs/>
          <w:i/>
          <w:iCs/>
          <w:lang w:bidi="ar-AE"/>
        </w:rPr>
        <w:t>bawwaʾnā li-ʾIbrāhīm</w:t>
      </w:r>
      <w:r w:rsidR="008503C6">
        <w:rPr>
          <w:rFonts w:eastAsia="Calibri"/>
          <w:b/>
          <w:bCs/>
          <w:i/>
          <w:iCs/>
          <w:lang w:bidi="ar-AE"/>
        </w:rPr>
        <w:t>a</w:t>
      </w:r>
      <w:r w:rsidRPr="006D4265">
        <w:rPr>
          <w:rFonts w:eastAsia="Calibri"/>
          <w:b/>
          <w:bCs/>
          <w:lang w:bidi="ar-AE"/>
        </w:rPr>
        <w:t> » :</w:t>
      </w:r>
    </w:p>
    <w:p w14:paraId="2840EA24" w14:textId="77777777" w:rsidR="00296288" w:rsidRPr="006D4265" w:rsidRDefault="00296288" w:rsidP="00296288">
      <w:pPr>
        <w:spacing w:line="360" w:lineRule="auto"/>
        <w:ind w:firstLine="360"/>
        <w:contextualSpacing/>
        <w:jc w:val="both"/>
        <w:rPr>
          <w:rFonts w:eastAsia="Calibri"/>
          <w:lang w:bidi="ar-AE"/>
        </w:rPr>
      </w:pPr>
      <w:r w:rsidRPr="006D4265">
        <w:rPr>
          <w:rFonts w:eastAsia="Calibri"/>
          <w:lang w:bidi="ar-AE"/>
        </w:rPr>
        <w:t>La phrase « </w:t>
      </w:r>
      <w:r>
        <w:rPr>
          <w:rFonts w:eastAsia="Calibri" w:hint="cs"/>
          <w:rtl/>
          <w:lang w:bidi="ar-AE"/>
        </w:rPr>
        <w:t>بوأنا لإبراهيمَ مكانَ البيت</w:t>
      </w:r>
      <w:r w:rsidRPr="006D4265">
        <w:rPr>
          <w:rFonts w:eastAsia="Calibri"/>
          <w:lang w:bidi="ar-AE"/>
        </w:rPr>
        <w:t xml:space="preserve"> » (v. 26) </w:t>
      </w:r>
      <w:r>
        <w:rPr>
          <w:rFonts w:eastAsia="Calibri"/>
          <w:lang w:bidi="ar-AE"/>
        </w:rPr>
        <w:t>a été</w:t>
      </w:r>
      <w:r w:rsidRPr="006D4265">
        <w:rPr>
          <w:rFonts w:eastAsia="Calibri"/>
          <w:lang w:bidi="ar-AE"/>
        </w:rPr>
        <w:t xml:space="preserve"> interprétée de plusieurs manières :</w:t>
      </w:r>
    </w:p>
    <w:p w14:paraId="5D6326B1"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Times New Roman"/>
        </w:rPr>
        <w:t xml:space="preserve">Il s’agit du sens de </w:t>
      </w:r>
      <w:r w:rsidRPr="006D4265">
        <w:rPr>
          <w:rFonts w:eastAsia="Times New Roman"/>
          <w:i/>
          <w:iCs/>
        </w:rPr>
        <w:t>waṭaʾa</w:t>
      </w:r>
      <w:r w:rsidRPr="006D4265">
        <w:rPr>
          <w:rFonts w:eastAsia="Times New Roman"/>
        </w:rPr>
        <w:t xml:space="preserve"> [préparer/aplanir (un terrain)] (Aṭ-Ṭabarī et al-Baghawī) ;</w:t>
      </w:r>
    </w:p>
    <w:p w14:paraId="3FD0364F"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Times New Roman"/>
        </w:rPr>
        <w:t>Il s’agit d’un signe d’attention, de considération et de respect (</w:t>
      </w:r>
      <w:r w:rsidRPr="006D4265">
        <w:rPr>
          <w:rFonts w:eastAsia="Times New Roman"/>
          <w:i/>
          <w:iCs/>
        </w:rPr>
        <w:t>At-Taḥrīr</w:t>
      </w:r>
      <w:r w:rsidRPr="006D4265">
        <w:rPr>
          <w:rFonts w:eastAsia="Times New Roman"/>
        </w:rPr>
        <w:t xml:space="preserve"> d’Ibn ʿĀshūr, 18/240) </w:t>
      </w:r>
      <w:r w:rsidRPr="006D4265">
        <w:rPr>
          <w:rFonts w:eastAsia="Calibri"/>
          <w:lang w:bidi="ar-AE"/>
        </w:rPr>
        <w:t>;</w:t>
      </w:r>
      <w:r w:rsidRPr="006D4265">
        <w:rPr>
          <w:rFonts w:eastAsia="Times New Roman"/>
        </w:rPr>
        <w:t xml:space="preserve"> la Ka</w:t>
      </w:r>
      <w:r w:rsidRPr="006D4265">
        <w:rPr>
          <w:rFonts w:asciiTheme="majorBidi" w:eastAsia="Times New Roman" w:hAnsiTheme="majorBidi" w:cstheme="majorBidi"/>
        </w:rPr>
        <w:t>ʿ</w:t>
      </w:r>
      <w:r w:rsidRPr="006D4265">
        <w:rPr>
          <w:rFonts w:eastAsia="Times New Roman"/>
        </w:rPr>
        <w:t>ba est pour Abraham un signe d’hommage (</w:t>
      </w:r>
      <w:r w:rsidRPr="006D4265">
        <w:rPr>
          <w:rFonts w:eastAsia="Times New Roman"/>
          <w:i/>
          <w:iCs/>
        </w:rPr>
        <w:t>Rūḥ al-maʿānī</w:t>
      </w:r>
      <w:r w:rsidRPr="006D4265">
        <w:rPr>
          <w:rFonts w:eastAsia="Times New Roman"/>
        </w:rPr>
        <w:t xml:space="preserve"> d’Al-Alūsī) ;</w:t>
      </w:r>
    </w:p>
    <w:p w14:paraId="31C03EA8"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Times New Roman"/>
        </w:rPr>
        <w:t>Nous avons spécifié la Ka</w:t>
      </w:r>
      <w:r w:rsidRPr="006D4265">
        <w:rPr>
          <w:rFonts w:asciiTheme="majorBidi" w:eastAsia="Times New Roman" w:hAnsiTheme="majorBidi" w:cstheme="majorBidi"/>
        </w:rPr>
        <w:t>ʿ</w:t>
      </w:r>
      <w:r w:rsidRPr="006D4265">
        <w:rPr>
          <w:rFonts w:eastAsia="Times New Roman"/>
        </w:rPr>
        <w:t>ba comme demeure à Abraham et affirmé l’appartenance de la Kaaba à Abraham (Al-Qurṭubī) ;</w:t>
      </w:r>
    </w:p>
    <w:p w14:paraId="37307139"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Times New Roman"/>
        </w:rPr>
        <w:t>Nous avons fait connaître à Abraham la Kaaba comme demeure (</w:t>
      </w:r>
      <w:r>
        <w:rPr>
          <w:rFonts w:eastAsia="Times New Roman"/>
        </w:rPr>
        <w:t xml:space="preserve">Ibn </w:t>
      </w:r>
      <w:r w:rsidRPr="006D4265">
        <w:rPr>
          <w:rFonts w:eastAsia="Times New Roman"/>
        </w:rPr>
        <w:t>ʿArabī) ;</w:t>
      </w:r>
    </w:p>
    <w:p w14:paraId="58746867"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Calibri"/>
          <w:lang w:bidi="ar-AE"/>
        </w:rPr>
        <w:t>Nous avons guidé Abraham pour l’emplacement de la Maison sacrée ;</w:t>
      </w:r>
    </w:p>
    <w:p w14:paraId="04D62950"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Calibri"/>
          <w:lang w:bidi="ar-AE"/>
        </w:rPr>
        <w:t>Nous avons autorisé à Abraham de construire la Maison ;</w:t>
      </w:r>
    </w:p>
    <w:p w14:paraId="26FB9923"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Calibri"/>
          <w:lang w:bidi="ar-AE"/>
        </w:rPr>
        <w:t>Nous avons montré et défini à Abraham les fondements de la Maison ;</w:t>
      </w:r>
    </w:p>
    <w:p w14:paraId="1D2E9A99"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Calibri"/>
          <w:lang w:bidi="ar-AE"/>
        </w:rPr>
        <w:t xml:space="preserve">Nous avons </w:t>
      </w:r>
      <w:r w:rsidRPr="006D4265">
        <w:rPr>
          <w:rFonts w:eastAsia="Calibri"/>
        </w:rPr>
        <w:t>rendu l’emplacement de la Kaʿba comme</w:t>
      </w:r>
      <w:r w:rsidRPr="006D4265">
        <w:rPr>
          <w:rFonts w:eastAsia="Calibri"/>
          <w:lang w:bidi="ar-AE"/>
        </w:rPr>
        <w:t xml:space="preserve"> </w:t>
      </w:r>
      <w:r w:rsidRPr="006D4265">
        <w:rPr>
          <w:rFonts w:eastAsia="Calibri"/>
          <w:i/>
          <w:iCs/>
          <w:lang w:bidi="ar-AE"/>
        </w:rPr>
        <w:t>mabāʾa</w:t>
      </w:r>
      <w:r w:rsidRPr="006D4265">
        <w:rPr>
          <w:rFonts w:eastAsia="Calibri"/>
          <w:lang w:bidi="ar-AE"/>
        </w:rPr>
        <w:t xml:space="preserve"> [lieu où on revient, référence (de culte et d’architecture)] ;</w:t>
      </w:r>
      <w:r w:rsidRPr="006D4265">
        <w:rPr>
          <w:rFonts w:eastAsia="Calibri"/>
        </w:rPr>
        <w:t xml:space="preserve"> cette exégèse repose sur la ressemblance paronymique et sémantique entre</w:t>
      </w:r>
      <w:r w:rsidRPr="006D4265">
        <w:rPr>
          <w:rFonts w:eastAsia="Calibri"/>
          <w:lang w:bidi="ar-AE"/>
        </w:rPr>
        <w:t xml:space="preserve"> le verbe </w:t>
      </w:r>
      <w:r w:rsidRPr="006D4265">
        <w:rPr>
          <w:rFonts w:eastAsia="Calibri"/>
          <w:i/>
          <w:iCs/>
          <w:lang w:bidi="ar-AE"/>
        </w:rPr>
        <w:t>bawwaʾa</w:t>
      </w:r>
      <w:r w:rsidRPr="006D4265">
        <w:rPr>
          <w:rFonts w:eastAsia="Calibri"/>
          <w:lang w:bidi="ar-AE"/>
        </w:rPr>
        <w:t xml:space="preserve"> [loger] et le verbe </w:t>
      </w:r>
      <w:r w:rsidRPr="006D4265">
        <w:rPr>
          <w:rFonts w:eastAsia="Calibri"/>
          <w:i/>
          <w:iCs/>
          <w:lang w:bidi="ar-AE"/>
        </w:rPr>
        <w:t>bāʾa</w:t>
      </w:r>
      <w:r w:rsidRPr="006D4265">
        <w:rPr>
          <w:rFonts w:eastAsia="Calibri"/>
          <w:lang w:bidi="ar-AE"/>
        </w:rPr>
        <w:t xml:space="preserve"> [revenir, rentrer, retourner dans une demeure où on se loge] ;</w:t>
      </w:r>
    </w:p>
    <w:p w14:paraId="1FEDB2FB"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Calibri"/>
          <w:lang w:bidi="ar-AE"/>
        </w:rPr>
        <w:t>Nous avons confié l’emplacement à Abraham ;</w:t>
      </w:r>
    </w:p>
    <w:p w14:paraId="7CF80106"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Calibri"/>
          <w:lang w:bidi="ar-AE"/>
        </w:rPr>
        <w:t xml:space="preserve">Nous avons fait connaître à Abraham la valeur de l’emplacement de la Maison ; Nous avons rendu Abraham un imam (un guide spirituel des musulmans) </w:t>
      </w:r>
      <w:r w:rsidRPr="006D4265">
        <w:rPr>
          <w:rFonts w:eastAsia="Times New Roman"/>
          <w:lang w:bidi="ar-AE"/>
        </w:rPr>
        <w:t>(Shaykhū) ;</w:t>
      </w:r>
    </w:p>
    <w:p w14:paraId="514C4C13" w14:textId="77777777" w:rsidR="00296288" w:rsidRPr="006D4265" w:rsidRDefault="00296288" w:rsidP="007640DC">
      <w:pPr>
        <w:numPr>
          <w:ilvl w:val="0"/>
          <w:numId w:val="69"/>
        </w:numPr>
        <w:spacing w:line="360" w:lineRule="auto"/>
        <w:contextualSpacing/>
        <w:jc w:val="both"/>
        <w:rPr>
          <w:rFonts w:eastAsia="Calibri"/>
          <w:lang w:bidi="ar-AE"/>
        </w:rPr>
      </w:pPr>
      <w:r w:rsidRPr="006D4265">
        <w:rPr>
          <w:rFonts w:eastAsia="Times New Roman"/>
          <w:lang w:bidi="ar-AE"/>
        </w:rPr>
        <w:lastRenderedPageBreak/>
        <w:t xml:space="preserve">Nous avons fait de l’âme un emplacement de la Maison du cœur (une exégèse mystique d’Ibn </w:t>
      </w:r>
      <w:r w:rsidRPr="006D4265">
        <w:rPr>
          <w:rFonts w:asciiTheme="majorBidi" w:eastAsia="Times New Roman" w:hAnsiTheme="majorBidi" w:cstheme="majorBidi"/>
        </w:rPr>
        <w:t>ʿ</w:t>
      </w:r>
      <w:r w:rsidRPr="006D4265">
        <w:rPr>
          <w:rFonts w:eastAsia="Times New Roman"/>
          <w:lang w:bidi="ar-AE"/>
        </w:rPr>
        <w:t>Arabī aussi ambiguë que le verset)</w:t>
      </w:r>
      <w:r w:rsidRPr="006D4265">
        <w:rPr>
          <w:rFonts w:eastAsia="Times New Roman"/>
          <w:vertAlign w:val="superscript"/>
          <w:lang w:bidi="ar-AE"/>
        </w:rPr>
        <w:footnoteReference w:id="345"/>
      </w:r>
      <w:r w:rsidRPr="006D4265">
        <w:rPr>
          <w:rFonts w:eastAsia="Times New Roman"/>
          <w:lang w:bidi="ar-AE"/>
        </w:rPr>
        <w:t> ; et on dit que Dieu a montré à Abraham l’emplacement de la Maison sacrée après avoir élevé cette Maison au Ciel pendant le Déluge (Ibn ʿArabī).</w:t>
      </w:r>
    </w:p>
    <w:p w14:paraId="770F4958" w14:textId="77777777" w:rsidR="00296288" w:rsidRPr="006D4265" w:rsidRDefault="00296288" w:rsidP="00296288">
      <w:pPr>
        <w:spacing w:line="360" w:lineRule="auto"/>
        <w:jc w:val="both"/>
      </w:pPr>
    </w:p>
    <w:p w14:paraId="207DAA02" w14:textId="77777777" w:rsidR="00296288" w:rsidRPr="00437C37" w:rsidRDefault="00296288" w:rsidP="00296288">
      <w:pPr>
        <w:spacing w:line="360" w:lineRule="auto"/>
        <w:jc w:val="both"/>
        <w:rPr>
          <w:rFonts w:eastAsia="Times New Roman"/>
          <w:b/>
          <w:bCs/>
          <w:lang w:bidi="ar-AE"/>
        </w:rPr>
      </w:pPr>
      <w:r w:rsidRPr="006D4265">
        <w:rPr>
          <w:rFonts w:eastAsia="Times New Roman"/>
          <w:b/>
          <w:bCs/>
          <w:lang w:bidi="ar-AE"/>
        </w:rPr>
        <w:t xml:space="preserve">Les significations de la </w:t>
      </w:r>
      <w:r w:rsidRPr="00437C37">
        <w:rPr>
          <w:rFonts w:eastAsia="Times New Roman"/>
          <w:b/>
          <w:bCs/>
          <w:lang w:bidi="ar-AE"/>
        </w:rPr>
        <w:t>phrase « </w:t>
      </w:r>
      <w:r w:rsidRPr="00437C37">
        <w:rPr>
          <w:rFonts w:eastAsia="Times New Roman" w:hint="cs"/>
          <w:b/>
          <w:bCs/>
          <w:rtl/>
        </w:rPr>
        <w:t>يُعظِّم حرماتِ الله</w:t>
      </w:r>
      <w:r w:rsidRPr="00437C37">
        <w:rPr>
          <w:rFonts w:eastAsia="Times New Roman"/>
          <w:b/>
          <w:bCs/>
        </w:rPr>
        <w:t xml:space="preserve"> » </w:t>
      </w:r>
      <w:r w:rsidRPr="00437C37">
        <w:rPr>
          <w:rFonts w:eastAsia="Times New Roman"/>
          <w:b/>
          <w:bCs/>
          <w:lang w:bidi="ar-AE"/>
        </w:rPr>
        <w:t>(v. 30) :</w:t>
      </w:r>
    </w:p>
    <w:p w14:paraId="0FEFDE14" w14:textId="77777777" w:rsidR="00296288" w:rsidRPr="006D4265" w:rsidRDefault="00296288" w:rsidP="00296288">
      <w:pPr>
        <w:spacing w:line="360" w:lineRule="auto"/>
        <w:ind w:firstLine="708"/>
        <w:jc w:val="both"/>
        <w:rPr>
          <w:rFonts w:eastAsia="Times New Roman"/>
          <w:lang w:bidi="ar-KW"/>
        </w:rPr>
      </w:pPr>
      <w:r w:rsidRPr="006D4265">
        <w:rPr>
          <w:rFonts w:eastAsia="Times New Roman"/>
        </w:rPr>
        <w:t>Le verset 30 parle de l’importance de l’exaltation des choses sacrées de Dieu sans dire comment. Ce sont les exégètes qui ont donné des réponses. Pour eux, la phrase « </w:t>
      </w:r>
      <w:r>
        <w:rPr>
          <w:rFonts w:eastAsia="Times New Roman" w:hint="cs"/>
          <w:rtl/>
        </w:rPr>
        <w:t>يُعظِّم حرماتِ الله</w:t>
      </w:r>
      <w:r w:rsidRPr="006D4265">
        <w:rPr>
          <w:rFonts w:eastAsia="Times New Roman"/>
        </w:rPr>
        <w:t> » [glorifier les choses sacrées de Dieu] signifierait :</w:t>
      </w:r>
    </w:p>
    <w:p w14:paraId="00276675" w14:textId="77777777" w:rsidR="00296288" w:rsidRPr="006D4265" w:rsidRDefault="00296288" w:rsidP="007640DC">
      <w:pPr>
        <w:numPr>
          <w:ilvl w:val="0"/>
          <w:numId w:val="82"/>
        </w:numPr>
        <w:spacing w:line="360" w:lineRule="auto"/>
        <w:jc w:val="both"/>
        <w:rPr>
          <w:rFonts w:eastAsia="Times New Roman"/>
        </w:rPr>
      </w:pPr>
      <w:r w:rsidRPr="006D4265">
        <w:rPr>
          <w:rFonts w:eastAsia="Times New Roman"/>
        </w:rPr>
        <w:t xml:space="preserve">éviter le sacrilège et la profanation de cinq choses : 1-la </w:t>
      </w:r>
      <w:r w:rsidRPr="006D4265">
        <w:rPr>
          <w:rFonts w:eastAsia="Times New Roman"/>
          <w:i/>
          <w:iCs/>
        </w:rPr>
        <w:t>Kaʿba</w:t>
      </w:r>
      <w:r w:rsidRPr="006D4265">
        <w:rPr>
          <w:rFonts w:eastAsia="Times New Roman"/>
        </w:rPr>
        <w:t xml:space="preserve">, 2-la Mosquée sacrée, 3-la ville sacrée, 4-le mois sacré 5-et le </w:t>
      </w:r>
      <w:r w:rsidRPr="006D4265">
        <w:rPr>
          <w:rFonts w:eastAsia="Times New Roman"/>
          <w:i/>
          <w:iCs/>
        </w:rPr>
        <w:t>mashʿar</w:t>
      </w:r>
      <w:r w:rsidRPr="006D4265">
        <w:rPr>
          <w:rFonts w:eastAsia="Times New Roman"/>
        </w:rPr>
        <w:t xml:space="preserve"> sacré (le lieu où l’on s’acquitte des cérémonies du pèlerinage : </w:t>
      </w:r>
      <w:r w:rsidRPr="006D4265">
        <w:rPr>
          <w:rFonts w:eastAsia="Times New Roman"/>
          <w:i/>
          <w:iCs/>
        </w:rPr>
        <w:t>Muzdalifa</w:t>
      </w:r>
      <w:r w:rsidRPr="006D4265">
        <w:rPr>
          <w:rFonts w:eastAsia="Times New Roman"/>
        </w:rPr>
        <w:t xml:space="preserve"> ou le mont </w:t>
      </w:r>
      <w:r w:rsidRPr="006D4265">
        <w:rPr>
          <w:rFonts w:eastAsia="Times New Roman"/>
          <w:i/>
          <w:iCs/>
        </w:rPr>
        <w:t>Quzaḥ</w:t>
      </w:r>
      <w:r w:rsidRPr="006D4265">
        <w:rPr>
          <w:rFonts w:eastAsia="Times New Roman"/>
        </w:rPr>
        <w:t>) ;</w:t>
      </w:r>
    </w:p>
    <w:p w14:paraId="02924B08" w14:textId="77777777" w:rsidR="00296288" w:rsidRPr="006D4265" w:rsidRDefault="00296288" w:rsidP="007640DC">
      <w:pPr>
        <w:numPr>
          <w:ilvl w:val="0"/>
          <w:numId w:val="82"/>
        </w:numPr>
        <w:spacing w:line="360" w:lineRule="auto"/>
        <w:jc w:val="both"/>
        <w:rPr>
          <w:rFonts w:eastAsia="Times New Roman"/>
        </w:rPr>
      </w:pPr>
      <w:r w:rsidRPr="006D4265">
        <w:rPr>
          <w:rFonts w:eastAsia="Times New Roman"/>
        </w:rPr>
        <w:t>appliquer les commandements de Dieu en général (obéir à Dieu) ;</w:t>
      </w:r>
    </w:p>
    <w:p w14:paraId="4155320C" w14:textId="77777777" w:rsidR="00296288" w:rsidRPr="006D4265" w:rsidRDefault="00296288" w:rsidP="007640DC">
      <w:pPr>
        <w:numPr>
          <w:ilvl w:val="0"/>
          <w:numId w:val="82"/>
        </w:numPr>
        <w:spacing w:line="360" w:lineRule="auto"/>
        <w:jc w:val="both"/>
        <w:rPr>
          <w:rFonts w:eastAsia="Times New Roman"/>
        </w:rPr>
      </w:pPr>
      <w:r w:rsidRPr="006D4265">
        <w:rPr>
          <w:rFonts w:eastAsia="Times New Roman"/>
        </w:rPr>
        <w:t>ne pas commettre des péchés ;</w:t>
      </w:r>
    </w:p>
    <w:p w14:paraId="7C6DCACA" w14:textId="77777777" w:rsidR="00296288" w:rsidRPr="006D4265" w:rsidRDefault="00296288" w:rsidP="007640DC">
      <w:pPr>
        <w:numPr>
          <w:ilvl w:val="0"/>
          <w:numId w:val="82"/>
        </w:numPr>
        <w:spacing w:line="360" w:lineRule="auto"/>
        <w:jc w:val="both"/>
        <w:rPr>
          <w:rFonts w:eastAsia="Times New Roman"/>
        </w:rPr>
      </w:pPr>
      <w:r w:rsidRPr="006D4265">
        <w:rPr>
          <w:rFonts w:eastAsia="Times New Roman"/>
        </w:rPr>
        <w:t>exalter La Mecque ;</w:t>
      </w:r>
    </w:p>
    <w:p w14:paraId="1B099C80" w14:textId="77777777" w:rsidR="00296288" w:rsidRPr="006D4265" w:rsidRDefault="00296288" w:rsidP="007640DC">
      <w:pPr>
        <w:numPr>
          <w:ilvl w:val="0"/>
          <w:numId w:val="82"/>
        </w:numPr>
        <w:spacing w:line="360" w:lineRule="auto"/>
        <w:jc w:val="both"/>
        <w:rPr>
          <w:rFonts w:eastAsia="Times New Roman"/>
        </w:rPr>
      </w:pPr>
      <w:r w:rsidRPr="006D4265">
        <w:rPr>
          <w:rFonts w:eastAsia="Times New Roman"/>
        </w:rPr>
        <w:t>exalter le pèlerinage ;</w:t>
      </w:r>
    </w:p>
    <w:p w14:paraId="5AC58A61" w14:textId="77777777" w:rsidR="00296288" w:rsidRPr="006D4265" w:rsidRDefault="00296288" w:rsidP="007640DC">
      <w:pPr>
        <w:numPr>
          <w:ilvl w:val="0"/>
          <w:numId w:val="82"/>
        </w:numPr>
        <w:spacing w:line="360" w:lineRule="auto"/>
        <w:jc w:val="both"/>
        <w:rPr>
          <w:rFonts w:eastAsia="Times New Roman"/>
        </w:rPr>
      </w:pPr>
      <w:r w:rsidRPr="006D4265">
        <w:rPr>
          <w:rFonts w:eastAsia="Times New Roman"/>
        </w:rPr>
        <w:t xml:space="preserve">appliquer strictement la </w:t>
      </w:r>
      <w:r w:rsidRPr="006D4265">
        <w:rPr>
          <w:rFonts w:eastAsia="Times New Roman"/>
          <w:i/>
          <w:iCs/>
        </w:rPr>
        <w:t>ʿumra</w:t>
      </w:r>
      <w:r w:rsidRPr="006D4265">
        <w:rPr>
          <w:rFonts w:eastAsia="Times New Roman"/>
        </w:rPr>
        <w:t xml:space="preserve"> [petit pèlerinage].</w:t>
      </w:r>
    </w:p>
    <w:p w14:paraId="675A87B3" w14:textId="77777777" w:rsidR="00296288" w:rsidRPr="006D4265" w:rsidRDefault="00296288" w:rsidP="00296288">
      <w:pPr>
        <w:spacing w:line="360" w:lineRule="auto"/>
        <w:ind w:firstLine="360"/>
        <w:jc w:val="both"/>
        <w:rPr>
          <w:rFonts w:eastAsia="Times New Roman"/>
        </w:rPr>
      </w:pPr>
    </w:p>
    <w:p w14:paraId="1714BD6A" w14:textId="77777777" w:rsidR="00296288" w:rsidRPr="006D4265" w:rsidRDefault="00296288" w:rsidP="00296288">
      <w:pPr>
        <w:spacing w:line="360" w:lineRule="auto"/>
        <w:ind w:firstLine="360"/>
        <w:jc w:val="both"/>
        <w:rPr>
          <w:rFonts w:eastAsia="Times New Roman"/>
        </w:rPr>
      </w:pPr>
      <w:r w:rsidRPr="006D4265">
        <w:rPr>
          <w:rFonts w:eastAsia="Times New Roman"/>
        </w:rPr>
        <w:t>Selon quelques significations orthodoxes, les druzes, bien qu’ils ne commettent aucun sacrilège et qu’ils soient des monothéistes et même des musulmans, sont considérés comme des gens qui ne glorifient pas les choses sacrées de Dieu, parce qu’ils ne font plus le pèlerinage.</w:t>
      </w:r>
    </w:p>
    <w:p w14:paraId="11B347C1" w14:textId="77777777" w:rsidR="00296288" w:rsidRPr="006D4265" w:rsidRDefault="00296288" w:rsidP="00296288">
      <w:pPr>
        <w:spacing w:line="360" w:lineRule="auto"/>
        <w:ind w:firstLine="360"/>
        <w:jc w:val="both"/>
        <w:rPr>
          <w:rFonts w:eastAsia="Times New Roman"/>
        </w:rPr>
      </w:pPr>
    </w:p>
    <w:p w14:paraId="25D46C17" w14:textId="77777777" w:rsidR="00296288" w:rsidRPr="006D4265" w:rsidRDefault="00296288" w:rsidP="00296288">
      <w:pPr>
        <w:spacing w:line="360" w:lineRule="auto"/>
        <w:ind w:firstLine="360"/>
        <w:jc w:val="both"/>
        <w:rPr>
          <w:rFonts w:eastAsia="Times New Roman"/>
          <w:b/>
          <w:bCs/>
        </w:rPr>
      </w:pPr>
      <w:r w:rsidRPr="006D4265">
        <w:rPr>
          <w:rFonts w:eastAsia="Times New Roman"/>
          <w:b/>
          <w:bCs/>
        </w:rPr>
        <w:t>La phrase « </w:t>
      </w:r>
      <w:r>
        <w:rPr>
          <w:rFonts w:eastAsia="Times New Roman" w:hint="cs"/>
          <w:b/>
          <w:bCs/>
          <w:rtl/>
        </w:rPr>
        <w:t>اجتنِبوا قولَ الزور</w:t>
      </w:r>
      <w:r w:rsidRPr="006D4265">
        <w:rPr>
          <w:rFonts w:eastAsia="Times New Roman"/>
          <w:b/>
          <w:bCs/>
        </w:rPr>
        <w:t> » :</w:t>
      </w:r>
    </w:p>
    <w:p w14:paraId="614371F0" w14:textId="77777777" w:rsidR="00296288" w:rsidRPr="006D4265" w:rsidRDefault="00296288" w:rsidP="00296288">
      <w:pPr>
        <w:spacing w:line="360" w:lineRule="auto"/>
        <w:ind w:firstLine="360"/>
        <w:jc w:val="both"/>
        <w:rPr>
          <w:rFonts w:eastAsia="Times New Roman"/>
        </w:rPr>
      </w:pPr>
      <w:r w:rsidRPr="006D4265">
        <w:rPr>
          <w:rFonts w:eastAsia="Times New Roman"/>
        </w:rPr>
        <w:t>La phrase injonctive « </w:t>
      </w:r>
      <w:r>
        <w:rPr>
          <w:rFonts w:eastAsia="Times New Roman" w:hint="cs"/>
          <w:rtl/>
        </w:rPr>
        <w:t>اجتنبوا قول الزور</w:t>
      </w:r>
      <w:r w:rsidRPr="006D4265">
        <w:rPr>
          <w:rFonts w:eastAsia="Times New Roman"/>
        </w:rPr>
        <w:t> » [écartez-vous de la parole d’imposture] (v. 30) peut accepter les significations suivantes :</w:t>
      </w:r>
    </w:p>
    <w:p w14:paraId="7376FE3E"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t>allez droit à Dieu ;</w:t>
      </w:r>
    </w:p>
    <w:p w14:paraId="37048C9B"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t>évitez le faux témoignage ;</w:t>
      </w:r>
    </w:p>
    <w:p w14:paraId="4492E85B"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t>ne pas mentir ;</w:t>
      </w:r>
    </w:p>
    <w:p w14:paraId="52E8C0ED"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t>évitez la mécréance (</w:t>
      </w:r>
      <w:r w:rsidRPr="006D4265">
        <w:rPr>
          <w:rFonts w:eastAsia="Times New Roman"/>
          <w:i/>
          <w:iCs/>
        </w:rPr>
        <w:t>kufr</w:t>
      </w:r>
      <w:r w:rsidRPr="006D4265">
        <w:rPr>
          <w:rFonts w:eastAsia="Times New Roman"/>
        </w:rPr>
        <w:t>) ;</w:t>
      </w:r>
    </w:p>
    <w:p w14:paraId="463E2415"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lastRenderedPageBreak/>
        <w:t>évitez la calomnie et la médisance ;</w:t>
      </w:r>
    </w:p>
    <w:p w14:paraId="58FB0741"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t>ne pas dire : « </w:t>
      </w:r>
      <w:r>
        <w:rPr>
          <w:rFonts w:eastAsia="Times New Roman" w:hint="cs"/>
          <w:rtl/>
        </w:rPr>
        <w:t>لا شريك لك إلا شريكاً تملكه وما ملك</w:t>
      </w:r>
      <w:r w:rsidRPr="006D4265">
        <w:rPr>
          <w:rFonts w:eastAsia="Times New Roman"/>
        </w:rPr>
        <w:t> » [« </w:t>
      </w:r>
      <w:r w:rsidRPr="00881E97">
        <w:rPr>
          <w:rFonts w:eastAsia="Times New Roman"/>
        </w:rPr>
        <w:t>Tu n’as pas d’associé sauf un associé qui T’appartient, que Tu possèdes, lui ainsi que ce qu’il possède </w:t>
      </w:r>
      <w:r w:rsidRPr="006D4265">
        <w:rPr>
          <w:rFonts w:eastAsia="Times New Roman"/>
        </w:rPr>
        <w:t>»] ;</w:t>
      </w:r>
    </w:p>
    <w:p w14:paraId="31522959"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t>évitez le polythéisme ;</w:t>
      </w:r>
    </w:p>
    <w:p w14:paraId="380901EA" w14:textId="77777777" w:rsidR="00296288" w:rsidRPr="006D4265" w:rsidRDefault="00296288" w:rsidP="007640DC">
      <w:pPr>
        <w:numPr>
          <w:ilvl w:val="0"/>
          <w:numId w:val="83"/>
        </w:numPr>
        <w:spacing w:line="360" w:lineRule="auto"/>
        <w:jc w:val="both"/>
        <w:rPr>
          <w:rFonts w:eastAsia="Times New Roman"/>
        </w:rPr>
      </w:pPr>
      <w:r w:rsidRPr="006D4265">
        <w:rPr>
          <w:rFonts w:eastAsia="Times New Roman"/>
        </w:rPr>
        <w:t>évitez le faux (</w:t>
      </w:r>
      <w:r w:rsidRPr="006D4265">
        <w:rPr>
          <w:rFonts w:eastAsia="Times New Roman"/>
          <w:i/>
          <w:iCs/>
        </w:rPr>
        <w:t>bāṭil</w:t>
      </w:r>
      <w:r w:rsidRPr="006D4265">
        <w:rPr>
          <w:rFonts w:eastAsia="Times New Roman"/>
        </w:rPr>
        <w:t>) ;</w:t>
      </w:r>
    </w:p>
    <w:p w14:paraId="4C9B4BE4" w14:textId="77777777" w:rsidR="00296288" w:rsidRPr="006D4265" w:rsidRDefault="00296288" w:rsidP="007640DC">
      <w:pPr>
        <w:numPr>
          <w:ilvl w:val="0"/>
          <w:numId w:val="83"/>
        </w:numPr>
        <w:spacing w:line="360" w:lineRule="auto"/>
        <w:jc w:val="both"/>
        <w:rPr>
          <w:rFonts w:eastAsia="Times New Roman"/>
          <w:shd w:val="clear" w:color="auto" w:fill="FFFFFF"/>
        </w:rPr>
      </w:pPr>
      <w:r w:rsidRPr="006D4265">
        <w:rPr>
          <w:rFonts w:eastAsia="Times New Roman"/>
        </w:rPr>
        <w:t>n’interdisez pas de manger</w:t>
      </w:r>
      <w:r>
        <w:rPr>
          <w:rFonts w:eastAsia="Times New Roman"/>
        </w:rPr>
        <w:t xml:space="preserve"> la</w:t>
      </w:r>
      <w:r w:rsidRPr="006D4265">
        <w:rPr>
          <w:rFonts w:eastAsia="Times New Roman"/>
        </w:rPr>
        <w:t xml:space="preserve"> </w:t>
      </w:r>
      <w:r w:rsidRPr="006D4265">
        <w:rPr>
          <w:rFonts w:eastAsia="Times New Roman"/>
          <w:i/>
          <w:iCs/>
        </w:rPr>
        <w:t>baḥīra</w:t>
      </w:r>
      <w:r w:rsidRPr="006D4265">
        <w:rPr>
          <w:rFonts w:eastAsia="Times New Roman"/>
        </w:rPr>
        <w:t xml:space="preserve"> </w:t>
      </w:r>
      <w:r>
        <w:rPr>
          <w:rFonts w:eastAsia="Times New Roman"/>
        </w:rPr>
        <w:t>(</w:t>
      </w:r>
      <w:r w:rsidRPr="006D4265">
        <w:rPr>
          <w:rFonts w:eastAsia="Times New Roman"/>
          <w:shd w:val="clear" w:color="auto" w:fill="FFFFFF"/>
        </w:rPr>
        <w:t>la chamelle qui avait mis bas cinq femelles</w:t>
      </w:r>
      <w:r w:rsidRPr="006D4265">
        <w:rPr>
          <w:rFonts w:eastAsia="Times New Roman"/>
          <w:vertAlign w:val="superscript"/>
          <w:lang w:bidi="ar-AE"/>
        </w:rPr>
        <w:footnoteReference w:id="346"/>
      </w:r>
      <w:r>
        <w:rPr>
          <w:rFonts w:eastAsia="Times New Roman"/>
          <w:shd w:val="clear" w:color="auto" w:fill="FFFFFF"/>
        </w:rPr>
        <w:t>)</w:t>
      </w:r>
      <w:r w:rsidRPr="006D4265">
        <w:rPr>
          <w:rFonts w:eastAsia="Times New Roman"/>
        </w:rPr>
        <w:t>, ni</w:t>
      </w:r>
      <w:r>
        <w:rPr>
          <w:rFonts w:eastAsia="Times New Roman"/>
        </w:rPr>
        <w:t xml:space="preserve"> la</w:t>
      </w:r>
      <w:r w:rsidRPr="006D4265">
        <w:rPr>
          <w:rFonts w:eastAsia="Times New Roman"/>
        </w:rPr>
        <w:t xml:space="preserve"> </w:t>
      </w:r>
      <w:r w:rsidRPr="006D4265">
        <w:rPr>
          <w:rFonts w:eastAsia="Times New Roman"/>
          <w:i/>
          <w:iCs/>
        </w:rPr>
        <w:t>sāʾiba</w:t>
      </w:r>
      <w:r w:rsidRPr="006D4265">
        <w:rPr>
          <w:rFonts w:eastAsia="Times New Roman"/>
          <w:shd w:val="clear" w:color="auto" w:fill="FFFFFF"/>
        </w:rPr>
        <w:t xml:space="preserve"> </w:t>
      </w:r>
      <w:r>
        <w:rPr>
          <w:rFonts w:eastAsia="Times New Roman"/>
          <w:shd w:val="clear" w:color="auto" w:fill="FFFFFF"/>
        </w:rPr>
        <w:t>(</w:t>
      </w:r>
      <w:r w:rsidRPr="006D4265">
        <w:rPr>
          <w:rFonts w:eastAsia="Times New Roman"/>
          <w:shd w:val="clear" w:color="auto" w:fill="FFFFFF"/>
        </w:rPr>
        <w:t>la chamelle que l’on laissait libre à la suite d’un vœu accompli ou simplement</w:t>
      </w:r>
      <w:r>
        <w:rPr>
          <w:rFonts w:eastAsia="Times New Roman"/>
          <w:shd w:val="clear" w:color="auto" w:fill="FFFFFF"/>
        </w:rPr>
        <w:t xml:space="preserve"> pour se rapprocher des idoles [</w:t>
      </w:r>
      <w:r w:rsidRPr="006D4265">
        <w:rPr>
          <w:rFonts w:eastAsia="Times New Roman"/>
          <w:shd w:val="clear" w:color="auto" w:fill="FFFFFF"/>
        </w:rPr>
        <w:t>au nom d’une idole ; elle était donc sacrée et on ne devait ni la monter, ni boire de son lait, ni consommer de sa viande</w:t>
      </w:r>
      <w:r>
        <w:rPr>
          <w:rFonts w:eastAsia="Times New Roman"/>
          <w:shd w:val="clear" w:color="auto" w:fill="FFFFFF"/>
        </w:rPr>
        <w:t>]</w:t>
      </w:r>
      <w:r w:rsidRPr="006D4265">
        <w:rPr>
          <w:rFonts w:eastAsia="Times New Roman"/>
          <w:shd w:val="clear" w:color="auto" w:fill="FFFFFF"/>
        </w:rPr>
        <w:t xml:space="preserve">) ; autrement dit, selon cette interprétation, les chamelles de types </w:t>
      </w:r>
      <w:r w:rsidRPr="006D4265">
        <w:rPr>
          <w:rFonts w:eastAsia="Times New Roman"/>
          <w:i/>
          <w:iCs/>
        </w:rPr>
        <w:t>baḥīra</w:t>
      </w:r>
      <w:r w:rsidRPr="006D4265">
        <w:rPr>
          <w:rFonts w:eastAsia="Times New Roman"/>
        </w:rPr>
        <w:t xml:space="preserve"> et </w:t>
      </w:r>
      <w:r w:rsidRPr="006D4265">
        <w:rPr>
          <w:rFonts w:eastAsia="Times New Roman"/>
          <w:i/>
          <w:iCs/>
        </w:rPr>
        <w:t>sāʾiba</w:t>
      </w:r>
      <w:r w:rsidRPr="006D4265">
        <w:rPr>
          <w:rFonts w:eastAsia="Times New Roman"/>
        </w:rPr>
        <w:t xml:space="preserve"> ne sont plus interdites ;</w:t>
      </w:r>
    </w:p>
    <w:p w14:paraId="7CBB5A84" w14:textId="77777777" w:rsidR="00296288" w:rsidRPr="006D4265" w:rsidRDefault="00296288" w:rsidP="007640DC">
      <w:pPr>
        <w:numPr>
          <w:ilvl w:val="0"/>
          <w:numId w:val="83"/>
        </w:numPr>
        <w:tabs>
          <w:tab w:val="left" w:pos="851"/>
        </w:tabs>
        <w:spacing w:line="360" w:lineRule="auto"/>
        <w:jc w:val="both"/>
        <w:rPr>
          <w:rFonts w:eastAsia="Times New Roman"/>
        </w:rPr>
      </w:pPr>
      <w:r w:rsidRPr="006D4265">
        <w:rPr>
          <w:rFonts w:eastAsia="Times New Roman"/>
        </w:rPr>
        <w:t>évitez toute parole qui éloigne de la vérité ;</w:t>
      </w:r>
    </w:p>
    <w:p w14:paraId="3A8C8159" w14:textId="77777777" w:rsidR="00296288" w:rsidRPr="006D4265" w:rsidRDefault="00296288" w:rsidP="007640DC">
      <w:pPr>
        <w:numPr>
          <w:ilvl w:val="0"/>
          <w:numId w:val="83"/>
        </w:numPr>
        <w:tabs>
          <w:tab w:val="left" w:pos="851"/>
        </w:tabs>
        <w:spacing w:line="360" w:lineRule="auto"/>
        <w:jc w:val="both"/>
        <w:rPr>
          <w:rFonts w:eastAsia="Times New Roman"/>
        </w:rPr>
      </w:pPr>
      <w:r w:rsidRPr="006D4265">
        <w:rPr>
          <w:rFonts w:eastAsia="Times New Roman"/>
        </w:rPr>
        <w:t>ne dites que la vérité ;</w:t>
      </w:r>
    </w:p>
    <w:p w14:paraId="3B4B15DD" w14:textId="77777777" w:rsidR="00296288" w:rsidRPr="006D4265" w:rsidRDefault="00296288" w:rsidP="007640DC">
      <w:pPr>
        <w:numPr>
          <w:ilvl w:val="0"/>
          <w:numId w:val="83"/>
        </w:numPr>
        <w:tabs>
          <w:tab w:val="left" w:pos="851"/>
        </w:tabs>
        <w:spacing w:line="360" w:lineRule="auto"/>
        <w:jc w:val="both"/>
        <w:rPr>
          <w:rFonts w:eastAsia="Times New Roman"/>
        </w:rPr>
      </w:pPr>
      <w:r w:rsidRPr="006D4265">
        <w:rPr>
          <w:rFonts w:eastAsia="Times New Roman"/>
        </w:rPr>
        <w:t>ne vous laissez pas duper par les connaissances enjolivées et brillantes ainsi que les choses douteuses et trompeuses (Ibn ʿArabī) ;</w:t>
      </w:r>
    </w:p>
    <w:p w14:paraId="4A9293A7" w14:textId="77777777" w:rsidR="00296288" w:rsidRPr="006D4265" w:rsidRDefault="00296288" w:rsidP="007640DC">
      <w:pPr>
        <w:numPr>
          <w:ilvl w:val="0"/>
          <w:numId w:val="83"/>
        </w:numPr>
        <w:tabs>
          <w:tab w:val="left" w:pos="851"/>
        </w:tabs>
        <w:spacing w:line="360" w:lineRule="auto"/>
        <w:jc w:val="both"/>
        <w:rPr>
          <w:rFonts w:eastAsia="Times New Roman"/>
        </w:rPr>
      </w:pPr>
      <w:r w:rsidRPr="006D4265">
        <w:rPr>
          <w:rFonts w:eastAsia="Times New Roman"/>
        </w:rPr>
        <w:t>n’écoutez pas les chansons (Al-Qummī).</w:t>
      </w:r>
    </w:p>
    <w:p w14:paraId="74375BBC" w14:textId="77777777" w:rsidR="00296288" w:rsidRPr="006D4265" w:rsidRDefault="00296288" w:rsidP="00296288">
      <w:pPr>
        <w:spacing w:line="360" w:lineRule="auto"/>
        <w:jc w:val="both"/>
      </w:pPr>
    </w:p>
    <w:p w14:paraId="0AC734FC" w14:textId="77777777" w:rsidR="00296288" w:rsidRPr="006D4265" w:rsidRDefault="00296288" w:rsidP="00296288">
      <w:pPr>
        <w:spacing w:line="360" w:lineRule="auto"/>
        <w:jc w:val="both"/>
        <w:rPr>
          <w:rFonts w:asciiTheme="majorBidi" w:eastAsia="Calibri" w:hAnsiTheme="majorBidi" w:cstheme="majorBidi"/>
          <w:b/>
          <w:bCs/>
          <w:lang w:bidi="ar-AE"/>
        </w:rPr>
      </w:pPr>
      <w:r w:rsidRPr="006D4265">
        <w:rPr>
          <w:rFonts w:asciiTheme="majorBidi" w:eastAsia="Times New Roman" w:hAnsiTheme="majorBidi" w:cstheme="majorBidi"/>
          <w:b/>
          <w:bCs/>
        </w:rPr>
        <w:t>La phrase « </w:t>
      </w:r>
      <w:r w:rsidRPr="006D4265">
        <w:rPr>
          <w:rFonts w:asciiTheme="majorBidi" w:eastAsia="Times New Roman" w:hAnsiTheme="majorBidi" w:cstheme="majorBidi"/>
          <w:b/>
          <w:bCs/>
          <w:i/>
          <w:iCs/>
        </w:rPr>
        <w:t xml:space="preserve">ʾUdhina li-lladhīna </w:t>
      </w:r>
      <w:r w:rsidRPr="006D4265">
        <w:rPr>
          <w:rFonts w:asciiTheme="majorBidi" w:eastAsia="Times New Roman" w:hAnsiTheme="majorBidi" w:cstheme="majorBidi"/>
          <w:b/>
          <w:bCs/>
        </w:rPr>
        <w:t>yuqātalūna</w:t>
      </w:r>
      <w:r w:rsidRPr="006D4265">
        <w:rPr>
          <w:rFonts w:asciiTheme="majorBidi" w:eastAsia="Times New Roman" w:hAnsiTheme="majorBidi" w:cstheme="majorBidi"/>
          <w:b/>
          <w:bCs/>
          <w:i/>
          <w:iCs/>
        </w:rPr>
        <w:t xml:space="preserve"> </w:t>
      </w:r>
      <w:r w:rsidRPr="006D4265">
        <w:rPr>
          <w:rFonts w:asciiTheme="majorBidi" w:hAnsiTheme="majorBidi" w:cstheme="majorBidi"/>
          <w:b/>
          <w:bCs/>
        </w:rPr>
        <w:t xml:space="preserve">[passif] (ou </w:t>
      </w:r>
      <w:r w:rsidRPr="006D4265">
        <w:rPr>
          <w:rFonts w:asciiTheme="majorBidi" w:eastAsia="Times New Roman" w:hAnsiTheme="majorBidi" w:cstheme="majorBidi"/>
          <w:b/>
          <w:bCs/>
        </w:rPr>
        <w:t>yuqātilūna</w:t>
      </w:r>
      <w:r w:rsidRPr="006D4265">
        <w:rPr>
          <w:rFonts w:asciiTheme="majorBidi" w:eastAsia="Times New Roman" w:hAnsiTheme="majorBidi" w:cstheme="majorBidi"/>
          <w:b/>
          <w:bCs/>
          <w:i/>
          <w:iCs/>
        </w:rPr>
        <w:t xml:space="preserve"> </w:t>
      </w:r>
      <w:r w:rsidRPr="006D4265">
        <w:rPr>
          <w:rFonts w:asciiTheme="majorBidi" w:hAnsiTheme="majorBidi" w:cstheme="majorBidi"/>
          <w:b/>
          <w:bCs/>
        </w:rPr>
        <w:t>[actif]) » (</w:t>
      </w:r>
      <w:r w:rsidRPr="006D4265">
        <w:rPr>
          <w:rFonts w:asciiTheme="majorBidi" w:eastAsia="Calibri" w:hAnsiTheme="majorBidi" w:cstheme="majorBidi"/>
          <w:b/>
          <w:bCs/>
          <w:lang w:bidi="ar-AE"/>
        </w:rPr>
        <w:t xml:space="preserve">« Permission est donnée à ceux qui </w:t>
      </w:r>
      <w:r w:rsidRPr="006D4265">
        <w:rPr>
          <w:rFonts w:asciiTheme="majorBidi" w:eastAsia="Calibri" w:hAnsiTheme="majorBidi" w:cstheme="majorBidi"/>
          <w:b/>
          <w:bCs/>
          <w:i/>
          <w:iCs/>
          <w:lang w:bidi="ar-AE"/>
        </w:rPr>
        <w:t>sont combattus</w:t>
      </w:r>
      <w:r w:rsidRPr="006D4265">
        <w:rPr>
          <w:rFonts w:asciiTheme="majorBidi" w:eastAsia="Calibri" w:hAnsiTheme="majorBidi" w:cstheme="majorBidi"/>
          <w:b/>
          <w:bCs/>
          <w:lang w:bidi="ar-AE"/>
        </w:rPr>
        <w:t xml:space="preserve"> (ou qui </w:t>
      </w:r>
      <w:r w:rsidRPr="006D4265">
        <w:rPr>
          <w:rFonts w:asciiTheme="majorBidi" w:eastAsia="Calibri" w:hAnsiTheme="majorBidi" w:cstheme="majorBidi"/>
          <w:b/>
          <w:bCs/>
          <w:i/>
          <w:iCs/>
          <w:lang w:bidi="ar-AE"/>
        </w:rPr>
        <w:t>combattent</w:t>
      </w:r>
      <w:r w:rsidRPr="006D4265">
        <w:rPr>
          <w:rFonts w:asciiTheme="majorBidi" w:eastAsia="Calibri" w:hAnsiTheme="majorBidi" w:cstheme="majorBidi"/>
          <w:b/>
          <w:bCs/>
          <w:lang w:bidi="ar-AE"/>
        </w:rPr>
        <w:t>) ») (v. 39) :</w:t>
      </w:r>
    </w:p>
    <w:p w14:paraId="17485A6D" w14:textId="77777777" w:rsidR="00296288" w:rsidRPr="005F299E" w:rsidRDefault="00296288" w:rsidP="00296288">
      <w:pPr>
        <w:spacing w:line="360" w:lineRule="auto"/>
        <w:ind w:firstLine="708"/>
        <w:jc w:val="both"/>
        <w:rPr>
          <w:rFonts w:eastAsia="Times New Roman"/>
        </w:rPr>
      </w:pPr>
      <w:r w:rsidRPr="005F299E">
        <w:rPr>
          <w:rFonts w:eastAsia="Times New Roman"/>
        </w:rPr>
        <w:t>Du point de vue linguistique, cette phrase qui donne l’autorisation aux croyants de combattre les non-croyants est incomplète. Examinons la phrase : « </w:t>
      </w:r>
      <w:r w:rsidRPr="005F299E">
        <w:rPr>
          <w:rFonts w:eastAsia="Times New Roman"/>
          <w:i/>
          <w:iCs/>
        </w:rPr>
        <w:t xml:space="preserve">Udhina </w:t>
      </w:r>
      <w:r w:rsidRPr="005F299E">
        <w:rPr>
          <w:rFonts w:eastAsia="Times New Roman"/>
        </w:rPr>
        <w:t xml:space="preserve">[est permis] </w:t>
      </w:r>
      <w:r w:rsidRPr="005F299E">
        <w:rPr>
          <w:rFonts w:eastAsia="Times New Roman"/>
          <w:i/>
          <w:iCs/>
        </w:rPr>
        <w:t>li-lladhīna</w:t>
      </w:r>
      <w:r w:rsidRPr="005F299E">
        <w:rPr>
          <w:rFonts w:eastAsia="Times New Roman"/>
        </w:rPr>
        <w:t xml:space="preserve"> [à ceux qui] </w:t>
      </w:r>
      <w:r w:rsidRPr="005F299E">
        <w:rPr>
          <w:rFonts w:eastAsia="Times New Roman"/>
          <w:i/>
          <w:iCs/>
        </w:rPr>
        <w:t>yuqāt</w:t>
      </w:r>
      <w:r w:rsidRPr="005F299E">
        <w:rPr>
          <w:rFonts w:eastAsia="Times New Roman"/>
          <w:b/>
          <w:bCs/>
          <w:i/>
          <w:iCs/>
        </w:rPr>
        <w:t>a</w:t>
      </w:r>
      <w:r w:rsidRPr="005F299E">
        <w:rPr>
          <w:rFonts w:eastAsia="Times New Roman"/>
        </w:rPr>
        <w:t xml:space="preserve">lūna [sont combattus] (autre lecture : </w:t>
      </w:r>
      <w:r w:rsidRPr="005F299E">
        <w:rPr>
          <w:rFonts w:eastAsia="Times New Roman"/>
          <w:i/>
          <w:iCs/>
        </w:rPr>
        <w:t>yuqāt</w:t>
      </w:r>
      <w:r w:rsidRPr="005F299E">
        <w:rPr>
          <w:rFonts w:eastAsia="Times New Roman"/>
          <w:b/>
          <w:bCs/>
          <w:i/>
          <w:iCs/>
        </w:rPr>
        <w:t>i</w:t>
      </w:r>
      <w:r w:rsidRPr="005F299E">
        <w:rPr>
          <w:rFonts w:eastAsia="Times New Roman"/>
          <w:i/>
          <w:iCs/>
        </w:rPr>
        <w:t>lūna</w:t>
      </w:r>
      <w:r w:rsidRPr="005F299E">
        <w:rPr>
          <w:rFonts w:eastAsia="Times New Roman"/>
        </w:rPr>
        <w:t xml:space="preserve"> [combattent]) </w:t>
      </w:r>
      <w:r w:rsidRPr="005F299E">
        <w:rPr>
          <w:rFonts w:eastAsia="Times New Roman"/>
          <w:i/>
          <w:iCs/>
        </w:rPr>
        <w:t>bi-ʾannahum ẓulimū</w:t>
      </w:r>
      <w:r w:rsidRPr="005F299E">
        <w:rPr>
          <w:rFonts w:eastAsia="Times New Roman"/>
        </w:rPr>
        <w:t xml:space="preserve"> [parce qu’ils ont subi l’iniquité] ». Nous remarquons l’absence du sujet (</w:t>
      </w:r>
      <w:r w:rsidRPr="005F299E">
        <w:rPr>
          <w:rFonts w:eastAsia="Times New Roman"/>
          <w:i/>
        </w:rPr>
        <w:t>f</w:t>
      </w:r>
      <w:r w:rsidRPr="005F299E">
        <w:rPr>
          <w:rFonts w:eastAsia="Times New Roman"/>
          <w:i/>
          <w:iCs/>
        </w:rPr>
        <w:t>ā</w:t>
      </w:r>
      <w:r w:rsidRPr="005F299E">
        <w:rPr>
          <w:rFonts w:eastAsia="Times New Roman"/>
          <w:i/>
        </w:rPr>
        <w:t>ʿil</w:t>
      </w:r>
      <w:r w:rsidRPr="005F299E">
        <w:rPr>
          <w:rFonts w:eastAsia="Times New Roman"/>
        </w:rPr>
        <w:t xml:space="preserve">) </w:t>
      </w:r>
      <w:r w:rsidRPr="005F299E">
        <w:rPr>
          <w:rFonts w:asciiTheme="majorBidi" w:eastAsia="Times New Roman" w:hAnsiTheme="majorBidi" w:cstheme="majorBidi"/>
        </w:rPr>
        <w:t>(</w:t>
      </w:r>
      <w:r w:rsidRPr="005F299E">
        <w:rPr>
          <w:rFonts w:asciiTheme="majorBidi" w:eastAsia="Times New Roman" w:hAnsiTheme="majorBidi" w:cstheme="majorBidi"/>
          <w:i/>
        </w:rPr>
        <w:t>al-maʿdhūn bihi</w:t>
      </w:r>
      <w:r w:rsidRPr="005F299E">
        <w:rPr>
          <w:rFonts w:asciiTheme="majorBidi" w:eastAsia="Times New Roman" w:hAnsiTheme="majorBidi" w:cstheme="majorBidi"/>
          <w:iCs/>
        </w:rPr>
        <w:t>, ce qui est permis</w:t>
      </w:r>
      <w:r w:rsidRPr="005F299E">
        <w:rPr>
          <w:rFonts w:asciiTheme="majorBidi" w:eastAsia="Times New Roman" w:hAnsiTheme="majorBidi" w:cstheme="majorBidi"/>
        </w:rPr>
        <w:t>)</w:t>
      </w:r>
      <w:r w:rsidRPr="005F299E">
        <w:rPr>
          <w:rFonts w:eastAsia="Times New Roman"/>
        </w:rPr>
        <w:t xml:space="preserve"> du verbe </w:t>
      </w:r>
      <w:r w:rsidRPr="005F299E">
        <w:rPr>
          <w:rFonts w:eastAsia="Times New Roman"/>
          <w:i/>
          <w:iCs/>
        </w:rPr>
        <w:t>udhina</w:t>
      </w:r>
      <w:r w:rsidRPr="005F299E">
        <w:rPr>
          <w:rFonts w:eastAsia="Times New Roman"/>
        </w:rPr>
        <w:t xml:space="preserve">. Qu’est-ce qu’il est permis aux croyants ? Dans </w:t>
      </w:r>
      <w:r w:rsidRPr="005F299E">
        <w:rPr>
          <w:rFonts w:eastAsia="Times New Roman"/>
          <w:i/>
          <w:iCs/>
          <w:lang w:bidi="ar-AE"/>
        </w:rPr>
        <w:t>At-Taḥrīr wa-t-Tanwīr</w:t>
      </w:r>
      <w:r w:rsidRPr="005F299E">
        <w:rPr>
          <w:rFonts w:eastAsia="Times New Roman"/>
          <w:lang w:bidi="ar-AE"/>
        </w:rPr>
        <w:t xml:space="preserve">, Ibn ʿĀshūr souligne que les exégètes soutiennent l’idée que le sujet est supprimé et que le verbe </w:t>
      </w:r>
      <w:r w:rsidRPr="005F299E">
        <w:rPr>
          <w:rFonts w:eastAsia="Times New Roman"/>
        </w:rPr>
        <w:t>yuqāt</w:t>
      </w:r>
      <w:r w:rsidRPr="005F299E">
        <w:rPr>
          <w:rFonts w:eastAsia="Times New Roman"/>
          <w:b/>
          <w:bCs/>
          <w:i/>
          <w:iCs/>
        </w:rPr>
        <w:t>a</w:t>
      </w:r>
      <w:r w:rsidRPr="005F299E">
        <w:rPr>
          <w:rFonts w:eastAsia="Times New Roman"/>
        </w:rPr>
        <w:t>lūna/</w:t>
      </w:r>
      <w:r w:rsidRPr="005F299E">
        <w:rPr>
          <w:rFonts w:eastAsia="Times New Roman"/>
          <w:i/>
          <w:iCs/>
        </w:rPr>
        <w:t>yuqāt</w:t>
      </w:r>
      <w:r w:rsidRPr="005F299E">
        <w:rPr>
          <w:rFonts w:eastAsia="Times New Roman"/>
          <w:b/>
          <w:bCs/>
          <w:i/>
          <w:iCs/>
        </w:rPr>
        <w:t>i</w:t>
      </w:r>
      <w:r w:rsidRPr="005F299E">
        <w:rPr>
          <w:rFonts w:eastAsia="Times New Roman"/>
          <w:i/>
          <w:iCs/>
        </w:rPr>
        <w:t>lūna</w:t>
      </w:r>
      <w:r w:rsidRPr="005F299E">
        <w:rPr>
          <w:rFonts w:eastAsia="Times New Roman"/>
        </w:rPr>
        <w:t xml:space="preserve"> </w:t>
      </w:r>
      <w:r w:rsidRPr="005F299E">
        <w:rPr>
          <w:rFonts w:eastAsia="Times New Roman"/>
          <w:lang w:bidi="ar-AE"/>
        </w:rPr>
        <w:t xml:space="preserve">lui-même </w:t>
      </w:r>
      <w:r w:rsidRPr="005F299E">
        <w:rPr>
          <w:rFonts w:eastAsia="Times New Roman"/>
        </w:rPr>
        <w:t>l’indique, c.à.d. il leur est permis justement de combattre.</w:t>
      </w:r>
    </w:p>
    <w:p w14:paraId="4DC1C7E3" w14:textId="77777777" w:rsidR="00296288" w:rsidRPr="006D4265" w:rsidRDefault="00296288" w:rsidP="00296288">
      <w:pPr>
        <w:spacing w:line="360" w:lineRule="auto"/>
        <w:ind w:firstLine="708"/>
        <w:jc w:val="both"/>
        <w:rPr>
          <w:rFonts w:eastAsia="Times New Roman"/>
        </w:rPr>
      </w:pPr>
      <w:r w:rsidRPr="005F299E">
        <w:rPr>
          <w:rFonts w:eastAsia="Times New Roman"/>
        </w:rPr>
        <w:lastRenderedPageBreak/>
        <w:t xml:space="preserve">Mais l’absence d’un mot aussi essentiel </w:t>
      </w:r>
      <w:r>
        <w:rPr>
          <w:rFonts w:eastAsia="Times New Roman"/>
        </w:rPr>
        <w:t>d</w:t>
      </w:r>
      <w:r w:rsidRPr="006D4265">
        <w:rPr>
          <w:rFonts w:eastAsia="Times New Roman"/>
        </w:rPr>
        <w:t>ans un texte qui sert de référence juridique ou de so</w:t>
      </w:r>
      <w:r>
        <w:rPr>
          <w:rFonts w:eastAsia="Times New Roman"/>
        </w:rPr>
        <w:t xml:space="preserve">urce de droit (comme le Coran) peut être </w:t>
      </w:r>
      <w:r w:rsidRPr="006D4265">
        <w:rPr>
          <w:rFonts w:eastAsia="Times New Roman"/>
        </w:rPr>
        <w:t>considérée non comme un procédé rhétorique</w:t>
      </w:r>
      <w:r>
        <w:rPr>
          <w:rFonts w:eastAsia="Times New Roman"/>
        </w:rPr>
        <w:t>,</w:t>
      </w:r>
      <w:r w:rsidRPr="006D4265">
        <w:rPr>
          <w:rFonts w:eastAsia="Times New Roman"/>
        </w:rPr>
        <w:t xml:space="preserve"> mais comme un défaut ou un manque d’information.</w:t>
      </w:r>
    </w:p>
    <w:p w14:paraId="1E1E2376" w14:textId="77777777" w:rsidR="00296288" w:rsidRPr="006D4265" w:rsidRDefault="00296288" w:rsidP="00296288">
      <w:pPr>
        <w:spacing w:line="360" w:lineRule="auto"/>
        <w:ind w:firstLine="708"/>
        <w:jc w:val="both"/>
        <w:rPr>
          <w:rFonts w:eastAsia="Times New Roman"/>
        </w:rPr>
      </w:pPr>
    </w:p>
    <w:p w14:paraId="05433119" w14:textId="77777777" w:rsidR="00296288" w:rsidRPr="008B7C60" w:rsidRDefault="00296288" w:rsidP="00296288">
      <w:pPr>
        <w:spacing w:line="360" w:lineRule="auto"/>
        <w:ind w:firstLine="708"/>
        <w:jc w:val="both"/>
        <w:rPr>
          <w:rFonts w:eastAsia="Times New Roman"/>
        </w:rPr>
      </w:pPr>
      <w:r w:rsidRPr="006D4265">
        <w:rPr>
          <w:rFonts w:eastAsia="Times New Roman"/>
        </w:rPr>
        <w:t xml:space="preserve">Nous allons voir comment les </w:t>
      </w:r>
      <w:r w:rsidRPr="008B7C60">
        <w:rPr>
          <w:rFonts w:eastAsia="Times New Roman"/>
        </w:rPr>
        <w:t xml:space="preserve">exégètes ont compris cette phrase : </w:t>
      </w:r>
    </w:p>
    <w:p w14:paraId="7DBF4DA4" w14:textId="77777777" w:rsidR="00296288" w:rsidRPr="008B7C60" w:rsidRDefault="00296288" w:rsidP="007640DC">
      <w:pPr>
        <w:pStyle w:val="Paragraphedeliste"/>
        <w:numPr>
          <w:ilvl w:val="0"/>
          <w:numId w:val="91"/>
        </w:numPr>
        <w:bidi w:val="0"/>
        <w:spacing w:after="0" w:line="360" w:lineRule="auto"/>
        <w:contextualSpacing/>
        <w:jc w:val="both"/>
        <w:rPr>
          <w:rFonts w:ascii="Times New Roman" w:hAnsi="Times New Roman" w:cs="Times New Roman"/>
          <w:sz w:val="24"/>
          <w:szCs w:val="24"/>
          <w:lang w:eastAsia="fr-FR"/>
        </w:rPr>
      </w:pPr>
      <w:r w:rsidRPr="008B7C60">
        <w:rPr>
          <w:rFonts w:ascii="Times New Roman" w:hAnsi="Times New Roman" w:cs="Times New Roman"/>
          <w:sz w:val="24"/>
          <w:szCs w:val="24"/>
          <w:lang w:eastAsia="fr-FR"/>
        </w:rPr>
        <w:t>Il est permis au Prophète et à ses compagnons de combattre parce qu’ils ont subi l’injustice ;</w:t>
      </w:r>
    </w:p>
    <w:p w14:paraId="2F128A4F" w14:textId="77777777" w:rsidR="00296288" w:rsidRPr="006D4265" w:rsidRDefault="00296288" w:rsidP="007640DC">
      <w:pPr>
        <w:pStyle w:val="Paragraphedeliste"/>
        <w:numPr>
          <w:ilvl w:val="0"/>
          <w:numId w:val="91"/>
        </w:numPr>
        <w:bidi w:val="0"/>
        <w:spacing w:after="0" w:line="360" w:lineRule="auto"/>
        <w:contextualSpacing/>
        <w:jc w:val="both"/>
        <w:rPr>
          <w:rFonts w:ascii="Times New Roman" w:hAnsi="Times New Roman" w:cs="Times New Roman"/>
          <w:sz w:val="24"/>
          <w:szCs w:val="24"/>
          <w:lang w:eastAsia="fr-FR"/>
        </w:rPr>
      </w:pPr>
      <w:r w:rsidRPr="008B7C60">
        <w:rPr>
          <w:rFonts w:ascii="Times New Roman" w:hAnsi="Times New Roman" w:cs="Times New Roman"/>
          <w:sz w:val="24"/>
          <w:szCs w:val="24"/>
          <w:lang w:eastAsia="fr-FR"/>
        </w:rPr>
        <w:t>Il est permis à</w:t>
      </w:r>
      <w:r w:rsidRPr="008B7C60">
        <w:rPr>
          <w:rFonts w:ascii="Times New Roman" w:hAnsi="Times New Roman" w:cs="Times New Roman"/>
          <w:i/>
          <w:iCs/>
          <w:sz w:val="24"/>
          <w:szCs w:val="24"/>
          <w:lang w:eastAsia="fr-FR"/>
        </w:rPr>
        <w:t xml:space="preserve"> tous</w:t>
      </w:r>
      <w:r w:rsidRPr="008B7C60">
        <w:rPr>
          <w:rFonts w:ascii="Times New Roman" w:hAnsi="Times New Roman" w:cs="Times New Roman"/>
          <w:sz w:val="24"/>
          <w:szCs w:val="24"/>
          <w:lang w:eastAsia="fr-FR"/>
        </w:rPr>
        <w:t xml:space="preserve"> les croyants de combattre lorsque les païens</w:t>
      </w:r>
      <w:r w:rsidRPr="006D4265">
        <w:rPr>
          <w:rFonts w:ascii="Times New Roman" w:hAnsi="Times New Roman" w:cs="Times New Roman"/>
          <w:sz w:val="24"/>
          <w:szCs w:val="24"/>
          <w:lang w:eastAsia="fr-FR"/>
        </w:rPr>
        <w:t xml:space="preserve"> de La Mecque leur ont fait du mal ;</w:t>
      </w:r>
    </w:p>
    <w:p w14:paraId="7550CABE" w14:textId="77777777" w:rsidR="00296288" w:rsidRPr="006D4265" w:rsidRDefault="00296288" w:rsidP="007640DC">
      <w:pPr>
        <w:pStyle w:val="Paragraphedeliste"/>
        <w:numPr>
          <w:ilvl w:val="0"/>
          <w:numId w:val="91"/>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est permis en général à ceux qui sont combattus de combattre ;</w:t>
      </w:r>
    </w:p>
    <w:p w14:paraId="377ED741" w14:textId="77777777" w:rsidR="00296288" w:rsidRPr="006D4265" w:rsidRDefault="00296288" w:rsidP="007640DC">
      <w:pPr>
        <w:pStyle w:val="Paragraphedeliste"/>
        <w:numPr>
          <w:ilvl w:val="0"/>
          <w:numId w:val="91"/>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est permis aux croyants de combattre lorsqu’ils sont devenus capables de combattre et parce que les Mecquois ont commencé l’injustice ;</w:t>
      </w:r>
    </w:p>
    <w:p w14:paraId="1814B8C0" w14:textId="77777777" w:rsidR="00296288" w:rsidRPr="006D4265" w:rsidRDefault="00296288" w:rsidP="007640DC">
      <w:pPr>
        <w:pStyle w:val="Paragraphedeliste"/>
        <w:numPr>
          <w:ilvl w:val="0"/>
          <w:numId w:val="91"/>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s’agit de ʿAlī, de Jaʿfar et de Ḥam</w:t>
      </w:r>
      <w:r>
        <w:rPr>
          <w:rFonts w:ascii="Times New Roman" w:hAnsi="Times New Roman" w:cs="Times New Roman"/>
          <w:sz w:val="24"/>
          <w:szCs w:val="24"/>
          <w:lang w:eastAsia="fr-FR"/>
        </w:rPr>
        <w:t>za, et ensuite du Mahdī muntaz</w:t>
      </w:r>
      <w:r w:rsidRPr="006D4265">
        <w:rPr>
          <w:rFonts w:ascii="Times New Roman" w:hAnsi="Times New Roman" w:cs="Times New Roman"/>
          <w:sz w:val="24"/>
          <w:szCs w:val="24"/>
          <w:lang w:eastAsia="fr-FR"/>
        </w:rPr>
        <w:t>ar (</w:t>
      </w:r>
      <w:r w:rsidRPr="006D4265">
        <w:rPr>
          <w:rFonts w:ascii="Times New Roman" w:hAnsi="Times New Roman" w:cs="Times New Roman"/>
          <w:i/>
          <w:iCs/>
          <w:sz w:val="24"/>
          <w:szCs w:val="24"/>
          <w:lang w:eastAsia="fr-FR"/>
        </w:rPr>
        <w:t>al-Qāʾim</w:t>
      </w:r>
      <w:r w:rsidRPr="006D4265">
        <w:rPr>
          <w:rFonts w:ascii="Times New Roman" w:hAnsi="Times New Roman" w:cs="Times New Roman"/>
          <w:sz w:val="24"/>
          <w:szCs w:val="24"/>
          <w:lang w:eastAsia="fr-FR"/>
        </w:rPr>
        <w:t>) [le guide et le « sauveur » attendu des musulmans surtout chiites à la fin des temps] quand ce dernier sortira pour venger la mort d’al-Ḥusayn Ibn ʿAlī (</w:t>
      </w:r>
      <w:r w:rsidRPr="006D4265">
        <w:rPr>
          <w:rFonts w:ascii="Times New Roman" w:eastAsia="Calibri" w:hAnsi="Times New Roman" w:cs="Times New Roman"/>
          <w:sz w:val="24"/>
          <w:szCs w:val="24"/>
        </w:rPr>
        <w:t>Al-Qummī</w:t>
      </w:r>
      <w:r w:rsidRPr="006D4265">
        <w:rPr>
          <w:rFonts w:ascii="Times New Roman" w:hAnsi="Times New Roman" w:cs="Times New Roman"/>
          <w:sz w:val="24"/>
          <w:szCs w:val="24"/>
          <w:lang w:eastAsia="fr-FR"/>
        </w:rPr>
        <w:t>).</w:t>
      </w:r>
    </w:p>
    <w:p w14:paraId="6E0052F2" w14:textId="77777777" w:rsidR="00296288" w:rsidRPr="006D4265" w:rsidRDefault="00296288" w:rsidP="00296288">
      <w:pPr>
        <w:spacing w:line="360" w:lineRule="auto"/>
        <w:ind w:firstLine="708"/>
        <w:jc w:val="both"/>
        <w:rPr>
          <w:rFonts w:eastAsia="Times New Roman"/>
        </w:rPr>
      </w:pPr>
    </w:p>
    <w:p w14:paraId="1D7B0CC5" w14:textId="77777777" w:rsidR="00296288" w:rsidRPr="006D4265" w:rsidRDefault="00296288" w:rsidP="00296288">
      <w:pPr>
        <w:spacing w:line="360" w:lineRule="auto"/>
        <w:ind w:firstLine="708"/>
        <w:jc w:val="both"/>
        <w:rPr>
          <w:rFonts w:eastAsia="Times New Roman"/>
        </w:rPr>
      </w:pPr>
      <w:r w:rsidRPr="006D4265">
        <w:rPr>
          <w:rFonts w:eastAsia="Times New Roman"/>
        </w:rPr>
        <w:t>Les exégètes sont d’accord sur la signification de la permission de combattre l’autre, mais ils se sont divisés à propos de la signification du syntagme « </w:t>
      </w:r>
      <w:r w:rsidRPr="006D4265">
        <w:rPr>
          <w:rFonts w:eastAsia="Times New Roman"/>
          <w:i/>
          <w:iCs/>
        </w:rPr>
        <w:t>alladhīna</w:t>
      </w:r>
      <w:r w:rsidRPr="006D4265">
        <w:rPr>
          <w:rFonts w:eastAsia="Times New Roman"/>
        </w:rPr>
        <w:t xml:space="preserve"> </w:t>
      </w:r>
      <w:r w:rsidRPr="006D4265">
        <w:rPr>
          <w:rFonts w:eastAsia="Times New Roman"/>
          <w:i/>
          <w:iCs/>
        </w:rPr>
        <w:t>yuqāt</w:t>
      </w:r>
      <w:r w:rsidRPr="006D4265">
        <w:rPr>
          <w:rFonts w:eastAsia="Times New Roman"/>
          <w:b/>
          <w:bCs/>
          <w:i/>
          <w:iCs/>
        </w:rPr>
        <w:t>a</w:t>
      </w:r>
      <w:r w:rsidRPr="006D4265">
        <w:rPr>
          <w:rFonts w:eastAsia="Times New Roman"/>
          <w:i/>
          <w:iCs/>
        </w:rPr>
        <w:t>lūna</w:t>
      </w:r>
      <w:r w:rsidRPr="006D4265">
        <w:rPr>
          <w:rFonts w:eastAsia="Times New Roman"/>
        </w:rPr>
        <w:t>/</w:t>
      </w:r>
      <w:r w:rsidRPr="006D4265">
        <w:rPr>
          <w:rFonts w:eastAsia="Times New Roman"/>
          <w:i/>
          <w:iCs/>
        </w:rPr>
        <w:t>yuqāt</w:t>
      </w:r>
      <w:r w:rsidRPr="006D4265">
        <w:rPr>
          <w:rFonts w:eastAsia="Times New Roman"/>
          <w:b/>
          <w:bCs/>
          <w:i/>
          <w:iCs/>
        </w:rPr>
        <w:t>i</w:t>
      </w:r>
      <w:r w:rsidRPr="006D4265">
        <w:rPr>
          <w:rFonts w:eastAsia="Times New Roman"/>
          <w:i/>
          <w:iCs/>
        </w:rPr>
        <w:t>lūna</w:t>
      </w:r>
      <w:r w:rsidRPr="006D4265">
        <w:rPr>
          <w:rFonts w:eastAsia="Times New Roman"/>
        </w:rPr>
        <w:t> » (le Prophète et ses compagnons, les croyants à l’époque du Prophète, tous ceux qui sont combattus, ou les imams chiites) ainsi qu’à propos de la raison de cette permission (parce qu’ils ont subi une injustice, parce qu’ils sont devenus puissants, ou selon les chiites pour venger la mort d’al-Ḥusayn).</w:t>
      </w:r>
    </w:p>
    <w:p w14:paraId="14A5A8FA" w14:textId="77777777" w:rsidR="00296288" w:rsidRPr="006D4265" w:rsidRDefault="00296288" w:rsidP="00296288">
      <w:pPr>
        <w:spacing w:line="360" w:lineRule="auto"/>
        <w:ind w:firstLine="708"/>
        <w:jc w:val="both"/>
        <w:rPr>
          <w:rFonts w:eastAsia="Times New Roman"/>
        </w:rPr>
      </w:pPr>
    </w:p>
    <w:p w14:paraId="32503645" w14:textId="77777777" w:rsidR="00296288" w:rsidRPr="006D4265" w:rsidRDefault="00296288" w:rsidP="00296288">
      <w:pPr>
        <w:spacing w:line="360" w:lineRule="auto"/>
        <w:ind w:firstLine="708"/>
        <w:jc w:val="both"/>
        <w:rPr>
          <w:rFonts w:eastAsia="Times New Roman"/>
        </w:rPr>
      </w:pPr>
      <w:r w:rsidRPr="006D4265">
        <w:rPr>
          <w:rFonts w:eastAsia="Times New Roman"/>
        </w:rPr>
        <w:t>Selon Az-Zamakhsharī, le verset 39 est le premier verset qui autorise la lutte défensive après soixante-dix autres proscrivant la violence en général (lorsque les musulmans étaient faibles).</w:t>
      </w:r>
      <w:r w:rsidRPr="006D4265">
        <w:rPr>
          <w:rStyle w:val="Appelnotedebasdep"/>
          <w:rFonts w:eastAsia="Times New Roman"/>
        </w:rPr>
        <w:footnoteReference w:id="347"/>
      </w:r>
      <w:r w:rsidRPr="006D4265">
        <w:rPr>
          <w:rFonts w:eastAsia="Times New Roman"/>
        </w:rPr>
        <w:t xml:space="preserve"> En d’autres termes, c’est le premier feu ver</w:t>
      </w:r>
      <w:r>
        <w:rPr>
          <w:rFonts w:eastAsia="Times New Roman"/>
        </w:rPr>
        <w:t>t permettant aux musulmans de</w:t>
      </w:r>
      <w:r w:rsidRPr="006D4265">
        <w:rPr>
          <w:rFonts w:eastAsia="Times New Roman"/>
        </w:rPr>
        <w:t xml:space="preserve"> recourir à la violence une fois qu’ils sont devenus plus puissants.</w:t>
      </w:r>
    </w:p>
    <w:p w14:paraId="4A3EB86D" w14:textId="77777777" w:rsidR="00296288" w:rsidRPr="002C1378" w:rsidRDefault="00296288" w:rsidP="00296288">
      <w:pPr>
        <w:spacing w:line="360" w:lineRule="auto"/>
        <w:ind w:firstLine="708"/>
        <w:jc w:val="both"/>
        <w:rPr>
          <w:rFonts w:eastAsia="Times New Roman"/>
        </w:rPr>
      </w:pPr>
    </w:p>
    <w:p w14:paraId="633612C0" w14:textId="77777777" w:rsidR="00296288" w:rsidRPr="006D4265" w:rsidRDefault="00296288" w:rsidP="00296288">
      <w:pPr>
        <w:spacing w:line="360" w:lineRule="auto"/>
        <w:ind w:firstLine="708"/>
        <w:jc w:val="both"/>
        <w:rPr>
          <w:rFonts w:eastAsia="Times New Roman"/>
        </w:rPr>
      </w:pPr>
      <w:r w:rsidRPr="002C1378">
        <w:rPr>
          <w:rFonts w:eastAsia="Times New Roman"/>
        </w:rPr>
        <w:t xml:space="preserve">Nous avons vu dans l’introduction comment le verset 39 </w:t>
      </w:r>
      <w:r w:rsidRPr="002C1378">
        <w:rPr>
          <w:rFonts w:eastAsia="Times New Roman" w:cs="Arial"/>
          <w:lang w:bidi="ar-AE"/>
        </w:rPr>
        <w:t xml:space="preserve">a été et est encore utilisé à des fins politiques lorsqu’un dirigeant musulman a besoin de légitimer une attaque ou une </w:t>
      </w:r>
      <w:r w:rsidRPr="002C1378">
        <w:rPr>
          <w:rFonts w:eastAsia="Times New Roman" w:cs="Arial"/>
          <w:lang w:bidi="ar-AE"/>
        </w:rPr>
        <w:lastRenderedPageBreak/>
        <w:t>mobilisation militaire, et comment par exemple le régime syrien a utilisé ce verset pour annoncer le djihad contre ce qu’il appelle le complot universel dans un communiqué du Haut Conseil de la Fatwa émis par le grand mufti de la Syrie Aḥmad Badr ad-</w:t>
      </w:r>
      <w:r w:rsidRPr="006D4265">
        <w:rPr>
          <w:rFonts w:eastAsia="Times New Roman" w:cs="Arial"/>
          <w:lang w:bidi="ar-AE"/>
        </w:rPr>
        <w:t>Dīn Ḥassūn</w:t>
      </w:r>
      <w:r w:rsidRPr="006D4265">
        <w:rPr>
          <w:rFonts w:eastAsia="Times New Roman"/>
          <w:vertAlign w:val="superscript"/>
        </w:rPr>
        <w:footnoteReference w:id="348"/>
      </w:r>
      <w:r w:rsidRPr="006D4265">
        <w:rPr>
          <w:rFonts w:eastAsia="Times New Roman"/>
        </w:rPr>
        <w:t>.</w:t>
      </w:r>
    </w:p>
    <w:p w14:paraId="2C7A31D5" w14:textId="77777777" w:rsidR="00296288" w:rsidRPr="006D4265" w:rsidRDefault="00296288" w:rsidP="00296288">
      <w:pPr>
        <w:spacing w:line="360" w:lineRule="auto"/>
        <w:jc w:val="both"/>
      </w:pPr>
    </w:p>
    <w:p w14:paraId="66D6894D" w14:textId="77777777" w:rsidR="00296288" w:rsidRPr="006D4265" w:rsidRDefault="00296288" w:rsidP="00296288">
      <w:pPr>
        <w:spacing w:line="360" w:lineRule="auto"/>
        <w:jc w:val="both"/>
        <w:rPr>
          <w:rFonts w:eastAsia="Times New Roman"/>
          <w:b/>
          <w:bCs/>
          <w:lang w:bidi="ar-AE"/>
        </w:rPr>
      </w:pPr>
      <w:r w:rsidRPr="006D4265">
        <w:rPr>
          <w:rFonts w:eastAsia="Times New Roman"/>
          <w:b/>
          <w:bCs/>
          <w:lang w:bidi="ar-AE"/>
        </w:rPr>
        <w:t>Les significations de « </w:t>
      </w:r>
      <w:r>
        <w:rPr>
          <w:rFonts w:eastAsia="Times New Roman" w:hint="cs"/>
          <w:b/>
          <w:bCs/>
          <w:rtl/>
          <w:lang w:bidi="ar-AE"/>
        </w:rPr>
        <w:t>خرَّ من السماء</w:t>
      </w:r>
      <w:r w:rsidRPr="006D4265">
        <w:rPr>
          <w:rFonts w:eastAsia="Times New Roman"/>
          <w:b/>
          <w:bCs/>
          <w:lang w:bidi="ar-AE"/>
        </w:rPr>
        <w:t> » (v. 31) :</w:t>
      </w:r>
    </w:p>
    <w:p w14:paraId="4F5E2F68" w14:textId="77777777" w:rsidR="00296288" w:rsidRPr="006D4265" w:rsidRDefault="00296288" w:rsidP="00296288">
      <w:pPr>
        <w:tabs>
          <w:tab w:val="left" w:pos="851"/>
        </w:tabs>
        <w:spacing w:line="360" w:lineRule="auto"/>
        <w:jc w:val="both"/>
        <w:rPr>
          <w:rFonts w:eastAsia="Times New Roman"/>
        </w:rPr>
      </w:pPr>
      <w:r w:rsidRPr="006D4265">
        <w:rPr>
          <w:rFonts w:eastAsia="Times New Roman"/>
        </w:rPr>
        <w:tab/>
        <w:t xml:space="preserve">Le verset 31 compare le fait d’associer à Dieu d’autres divinités au fait de tomber du ciel et d’être saisi brusquement par un oiseau ou jeté violemment par le vent dans un lieu profond. Elle est assez équivoque, cette comparaison qui utilise la locution conjonctive de subordination indiquant une manière </w:t>
      </w:r>
      <w:r w:rsidRPr="006D4265">
        <w:rPr>
          <w:rFonts w:eastAsia="Times New Roman"/>
          <w:i/>
          <w:iCs/>
        </w:rPr>
        <w:t>kaʾanna</w:t>
      </w:r>
      <w:r>
        <w:rPr>
          <w:rFonts w:eastAsia="Times New Roman"/>
          <w:i/>
          <w:iCs/>
        </w:rPr>
        <w:t>-</w:t>
      </w:r>
      <w:r w:rsidRPr="006D4265">
        <w:rPr>
          <w:rFonts w:eastAsia="Times New Roman"/>
          <w:i/>
          <w:iCs/>
        </w:rPr>
        <w:t>mā</w:t>
      </w:r>
      <w:r w:rsidRPr="006D4265">
        <w:rPr>
          <w:rFonts w:eastAsia="Times New Roman"/>
        </w:rPr>
        <w:t xml:space="preserve"> [comme si] et qui coordonne deux verbes dont le premier est conjugué à l’accompli </w:t>
      </w:r>
      <w:r w:rsidRPr="006D4265">
        <w:rPr>
          <w:rFonts w:eastAsia="Times New Roman"/>
          <w:i/>
          <w:iCs/>
        </w:rPr>
        <w:t>kharra</w:t>
      </w:r>
      <w:r w:rsidRPr="006D4265">
        <w:rPr>
          <w:rFonts w:eastAsia="Times New Roman"/>
        </w:rPr>
        <w:t xml:space="preserve"> [il a chuté] et dont le second est à l’inaccompli « </w:t>
      </w:r>
      <w:r w:rsidRPr="006D4265">
        <w:rPr>
          <w:rFonts w:eastAsia="Times New Roman"/>
          <w:i/>
          <w:iCs/>
        </w:rPr>
        <w:t>takhṭafu</w:t>
      </w:r>
      <w:r>
        <w:rPr>
          <w:rFonts w:eastAsia="Times New Roman"/>
          <w:i/>
          <w:iCs/>
        </w:rPr>
        <w:t>-</w:t>
      </w:r>
      <w:r w:rsidRPr="006D4265">
        <w:rPr>
          <w:rFonts w:eastAsia="Times New Roman"/>
          <w:i/>
          <w:iCs/>
        </w:rPr>
        <w:t>hu</w:t>
      </w:r>
      <w:r w:rsidRPr="006D4265">
        <w:rPr>
          <w:rFonts w:eastAsia="Times New Roman"/>
        </w:rPr>
        <w:t> » [elle le happe], alors que le contexte exige de conjuguer les deux verbes au même temps. La justification rhétorique fournie par Al-Qammāsh</w:t>
      </w:r>
      <w:r w:rsidRPr="006D4265">
        <w:rPr>
          <w:rFonts w:eastAsia="Times New Roman"/>
          <w:vertAlign w:val="superscript"/>
          <w:lang w:bidi="ar-AE"/>
        </w:rPr>
        <w:footnoteReference w:id="349"/>
      </w:r>
      <w:r w:rsidRPr="006D4265">
        <w:rPr>
          <w:rFonts w:eastAsia="Times New Roman"/>
        </w:rPr>
        <w:t xml:space="preserve"> est la suivante : « Le contexte exige de coordonner le verbe à l’inaccompli</w:t>
      </w:r>
      <w:r w:rsidRPr="006D4265">
        <w:rPr>
          <w:rFonts w:eastAsia="Times New Roman"/>
          <w:i/>
          <w:iCs/>
        </w:rPr>
        <w:t xml:space="preserve"> takhṭafu</w:t>
      </w:r>
      <w:r>
        <w:rPr>
          <w:rFonts w:eastAsia="Times New Roman"/>
          <w:i/>
          <w:iCs/>
        </w:rPr>
        <w:t>-</w:t>
      </w:r>
      <w:r w:rsidRPr="006D4265">
        <w:rPr>
          <w:rFonts w:eastAsia="Times New Roman"/>
          <w:i/>
          <w:iCs/>
        </w:rPr>
        <w:t>hu</w:t>
      </w:r>
      <w:r w:rsidRPr="006D4265">
        <w:rPr>
          <w:rFonts w:eastAsia="Times New Roman"/>
        </w:rPr>
        <w:t xml:space="preserve"> à un verbe à l’inaccompli, bien que dans le verset il soit coordonné à un verbe à l’accompli </w:t>
      </w:r>
      <w:r w:rsidRPr="006D4265">
        <w:rPr>
          <w:rFonts w:eastAsia="Times New Roman"/>
          <w:i/>
          <w:iCs/>
        </w:rPr>
        <w:t>kharra</w:t>
      </w:r>
      <w:r w:rsidRPr="006D4265">
        <w:rPr>
          <w:rFonts w:eastAsia="Times New Roman"/>
        </w:rPr>
        <w:t xml:space="preserve"> (c.à.d. le verbe précédent </w:t>
      </w:r>
      <w:r w:rsidRPr="006D4265">
        <w:rPr>
          <w:rFonts w:eastAsia="Times New Roman"/>
          <w:i/>
          <w:iCs/>
        </w:rPr>
        <w:t>kharra</w:t>
      </w:r>
      <w:r w:rsidRPr="006D4265">
        <w:rPr>
          <w:rFonts w:eastAsia="Times New Roman"/>
        </w:rPr>
        <w:t xml:space="preserve"> (accompli) devait être à l’inaccompli)</w:t>
      </w:r>
      <w:r>
        <w:rPr>
          <w:rFonts w:eastAsia="Times New Roman"/>
        </w:rPr>
        <w:t>, mais</w:t>
      </w:r>
      <w:r w:rsidRPr="006D4265">
        <w:rPr>
          <w:rFonts w:eastAsia="Times New Roman"/>
        </w:rPr>
        <w:t xml:space="preserve"> [Dieu] ne l’a pas fait pour décrire la situation, et il a opté pour ne pas suivre la règle grammaticale afin de fa</w:t>
      </w:r>
      <w:r>
        <w:rPr>
          <w:rFonts w:eastAsia="Times New Roman"/>
        </w:rPr>
        <w:t>ire venir l’image bizarre qui</w:t>
      </w:r>
      <w:r w:rsidRPr="006D4265">
        <w:rPr>
          <w:rFonts w:eastAsia="Times New Roman"/>
        </w:rPr>
        <w:t xml:space="preserve"> dépeint</w:t>
      </w:r>
      <w:r>
        <w:rPr>
          <w:rFonts w:eastAsia="Times New Roman"/>
        </w:rPr>
        <w:t xml:space="preserve"> [</w:t>
      </w:r>
      <w:r w:rsidRPr="006D4265">
        <w:rPr>
          <w:rFonts w:eastAsia="Times New Roman"/>
        </w:rPr>
        <w:t>celui qui associe à Dieu d’autres divinités] comme coupé en morceaux dans les jabots ou les gésiers des oiseaux ».</w:t>
      </w:r>
    </w:p>
    <w:p w14:paraId="6B4D79DA" w14:textId="77777777" w:rsidR="00296288" w:rsidRPr="006D4265" w:rsidRDefault="00296288" w:rsidP="00296288">
      <w:pPr>
        <w:tabs>
          <w:tab w:val="left" w:pos="851"/>
        </w:tabs>
        <w:spacing w:line="360" w:lineRule="auto"/>
        <w:jc w:val="both"/>
        <w:rPr>
          <w:rFonts w:eastAsia="Times New Roman"/>
        </w:rPr>
      </w:pPr>
    </w:p>
    <w:p w14:paraId="16488E91" w14:textId="77777777" w:rsidR="00296288" w:rsidRPr="006D4265" w:rsidRDefault="00296288" w:rsidP="00296288">
      <w:pPr>
        <w:tabs>
          <w:tab w:val="left" w:pos="851"/>
        </w:tabs>
        <w:spacing w:line="360" w:lineRule="auto"/>
        <w:ind w:firstLine="426"/>
        <w:jc w:val="both"/>
        <w:rPr>
          <w:rFonts w:eastAsia="Times New Roman"/>
        </w:rPr>
      </w:pPr>
      <w:r w:rsidRPr="006D4265">
        <w:rPr>
          <w:rFonts w:eastAsia="Times New Roman"/>
        </w:rPr>
        <w:t>Cette comparaison a été expliquée par les exégètes comme suit :</w:t>
      </w:r>
    </w:p>
    <w:p w14:paraId="78921994" w14:textId="77777777" w:rsidR="00296288" w:rsidRPr="006D4265" w:rsidRDefault="00296288" w:rsidP="007640DC">
      <w:pPr>
        <w:numPr>
          <w:ilvl w:val="0"/>
          <w:numId w:val="71"/>
        </w:numPr>
        <w:tabs>
          <w:tab w:val="left" w:pos="709"/>
        </w:tabs>
        <w:spacing w:line="360" w:lineRule="auto"/>
        <w:jc w:val="both"/>
        <w:rPr>
          <w:rFonts w:eastAsia="Times New Roman"/>
        </w:rPr>
      </w:pPr>
      <w:r w:rsidRPr="006D4265">
        <w:rPr>
          <w:rFonts w:eastAsia="Times New Roman"/>
        </w:rPr>
        <w:t>Il s’agit d’une sorte de parabole pour décrire l’état psychologique de celui qui apostasie en revenant au polythéisme après avoir été guidé au monothéisme.</w:t>
      </w:r>
    </w:p>
    <w:p w14:paraId="17EC38DB" w14:textId="77777777" w:rsidR="00296288" w:rsidRPr="006D4265" w:rsidRDefault="00296288" w:rsidP="007640DC">
      <w:pPr>
        <w:numPr>
          <w:ilvl w:val="0"/>
          <w:numId w:val="71"/>
        </w:numPr>
        <w:tabs>
          <w:tab w:val="left" w:pos="709"/>
        </w:tabs>
        <w:spacing w:line="360" w:lineRule="auto"/>
        <w:jc w:val="both"/>
        <w:rPr>
          <w:rFonts w:eastAsia="Times New Roman"/>
        </w:rPr>
      </w:pPr>
      <w:r w:rsidRPr="006D4265">
        <w:rPr>
          <w:rFonts w:eastAsia="Times New Roman"/>
        </w:rPr>
        <w:t>La foi musulmane est comme le ciel, et les désirs ressemblent à des oiseaux. Celui qui abandonne sa foi sera dévoré par les désirs. La foi protège contre les désirs.</w:t>
      </w:r>
    </w:p>
    <w:p w14:paraId="5C4DE739" w14:textId="77777777" w:rsidR="00296288" w:rsidRPr="006D4265" w:rsidRDefault="00296288" w:rsidP="007640DC">
      <w:pPr>
        <w:numPr>
          <w:ilvl w:val="0"/>
          <w:numId w:val="71"/>
        </w:numPr>
        <w:tabs>
          <w:tab w:val="left" w:pos="709"/>
        </w:tabs>
        <w:spacing w:line="360" w:lineRule="auto"/>
        <w:jc w:val="both"/>
        <w:rPr>
          <w:rFonts w:eastAsia="Times New Roman"/>
        </w:rPr>
      </w:pPr>
      <w:r w:rsidRPr="006D4265">
        <w:rPr>
          <w:rFonts w:eastAsia="Times New Roman"/>
        </w:rPr>
        <w:t>Dans l’ici-bas, l’apostat s’abaisse et s’avilit en tombant du sommet de la foi au plus bas de l’incroyance.</w:t>
      </w:r>
    </w:p>
    <w:p w14:paraId="33AC625B" w14:textId="77777777" w:rsidR="00296288" w:rsidRPr="006D4265" w:rsidRDefault="00296288" w:rsidP="007640DC">
      <w:pPr>
        <w:numPr>
          <w:ilvl w:val="0"/>
          <w:numId w:val="71"/>
        </w:numPr>
        <w:tabs>
          <w:tab w:val="left" w:pos="709"/>
        </w:tabs>
        <w:spacing w:line="360" w:lineRule="auto"/>
        <w:jc w:val="both"/>
        <w:rPr>
          <w:rFonts w:eastAsia="Times New Roman"/>
        </w:rPr>
      </w:pPr>
      <w:r w:rsidRPr="006D4265">
        <w:rPr>
          <w:rFonts w:eastAsia="Times New Roman"/>
        </w:rPr>
        <w:t>Il s’agit juste d’une allusion à l’intensité de la douleur lors de la mort de l’apostat, le moment o</w:t>
      </w:r>
      <w:r>
        <w:rPr>
          <w:rFonts w:eastAsia="Times New Roman"/>
        </w:rPr>
        <w:t>ù son âme se déchire et se fend</w:t>
      </w:r>
      <w:r w:rsidRPr="006D4265">
        <w:rPr>
          <w:rFonts w:eastAsia="Times New Roman"/>
        </w:rPr>
        <w:t xml:space="preserve"> (Shaykhū).</w:t>
      </w:r>
    </w:p>
    <w:p w14:paraId="7745FF11" w14:textId="77777777" w:rsidR="00296288" w:rsidRPr="006D4265" w:rsidRDefault="00296288" w:rsidP="007640DC">
      <w:pPr>
        <w:numPr>
          <w:ilvl w:val="0"/>
          <w:numId w:val="71"/>
        </w:numPr>
        <w:tabs>
          <w:tab w:val="left" w:pos="709"/>
        </w:tabs>
        <w:spacing w:line="360" w:lineRule="auto"/>
        <w:jc w:val="both"/>
        <w:rPr>
          <w:rFonts w:eastAsia="Times New Roman"/>
        </w:rPr>
      </w:pPr>
      <w:r w:rsidRPr="006D4265">
        <w:rPr>
          <w:rFonts w:eastAsia="Times New Roman"/>
        </w:rPr>
        <w:lastRenderedPageBreak/>
        <w:t>L’apostat abandonne sa foi comme s’il tombe du ciel de l’esprit pour être happé par les désirs diaboliques et jeté par la passion de son psyché dans un endroit loin de la Vérité (Ibn ʿArabī).</w:t>
      </w:r>
    </w:p>
    <w:p w14:paraId="5357305A" w14:textId="77777777" w:rsidR="00296288" w:rsidRPr="006D4265" w:rsidRDefault="00296288" w:rsidP="00296288">
      <w:pPr>
        <w:tabs>
          <w:tab w:val="left" w:pos="851"/>
        </w:tabs>
        <w:spacing w:line="360" w:lineRule="auto"/>
        <w:jc w:val="both"/>
        <w:rPr>
          <w:rFonts w:eastAsia="Times New Roman"/>
        </w:rPr>
      </w:pPr>
    </w:p>
    <w:p w14:paraId="52E6CC3A" w14:textId="77777777" w:rsidR="00296288" w:rsidRPr="002C1378" w:rsidRDefault="00296288" w:rsidP="00296288">
      <w:pPr>
        <w:tabs>
          <w:tab w:val="left" w:pos="851"/>
        </w:tabs>
        <w:spacing w:line="360" w:lineRule="auto"/>
        <w:ind w:firstLine="426"/>
        <w:jc w:val="both"/>
        <w:rPr>
          <w:rFonts w:eastAsia="Times New Roman"/>
        </w:rPr>
      </w:pPr>
      <w:r w:rsidRPr="006D4265">
        <w:rPr>
          <w:rFonts w:eastAsia="Times New Roman"/>
        </w:rPr>
        <w:t xml:space="preserve">Les exégètes ont divergé à propos de la période dont ce verset parle : pour certains, il s’agit de l’état de l’incroyant dans la vie terrestre ; selon d’autres, il désigne la situation après la mort. Mais d’aucuns pensent qu’il s’agit d’une réincarnation, et il existe un hadith qui cite ce même verset et fait allusion à la réincarnation. Qualifié d’authentique et rapporté par </w:t>
      </w:r>
      <w:r w:rsidRPr="006D4265">
        <w:rPr>
          <w:rFonts w:eastAsia="Times New Roman"/>
          <w:lang w:bidi="ar-EG"/>
        </w:rPr>
        <w:t>Aḥmad Ibn Ḥanbal</w:t>
      </w:r>
      <w:r w:rsidRPr="006D4265">
        <w:rPr>
          <w:rFonts w:eastAsia="Times New Roman"/>
        </w:rPr>
        <w:t>, ce hadith décrit la situation après la mort (dans la vie d’</w:t>
      </w:r>
      <w:r w:rsidRPr="006D4265">
        <w:rPr>
          <w:rFonts w:eastAsia="Times New Roman"/>
          <w:i/>
          <w:iCs/>
        </w:rPr>
        <w:t>al-barzakh</w:t>
      </w:r>
      <w:r w:rsidRPr="006D4265">
        <w:rPr>
          <w:rFonts w:eastAsia="Times New Roman"/>
        </w:rPr>
        <w:t xml:space="preserve"> [l’inter-monde, le monde transitoire]) et raconte comment Dieu demande aux anges de retourner l’incroyant mort à la terre. Selon ce hadith, le fait de « tomber du ciel » fait allusion au retour de l’âme dans la chair (= réincarnation)</w:t>
      </w:r>
      <w:r>
        <w:rPr>
          <w:rFonts w:eastAsia="Times New Roman"/>
        </w:rPr>
        <w:t>.</w:t>
      </w:r>
      <w:r w:rsidRPr="006D4265">
        <w:rPr>
          <w:rFonts w:eastAsia="Times New Roman"/>
        </w:rPr>
        <w:t xml:space="preserve"> En d’autres termes, ne profitant pas des leçons de la vie, l’incroyant doit retourner à la terre pour connaître </w:t>
      </w:r>
      <w:r w:rsidRPr="002C1378">
        <w:rPr>
          <w:rFonts w:eastAsia="Times New Roman"/>
        </w:rPr>
        <w:t xml:space="preserve">l’unicité de Dieu. Malgré ce hadith et malgré l’autre hadith (rapporté par </w:t>
      </w:r>
      <w:r w:rsidRPr="002C1378">
        <w:rPr>
          <w:rFonts w:eastAsia="Times New Roman"/>
          <w:lang w:bidi="ar-EG"/>
        </w:rPr>
        <w:t xml:space="preserve">Ibn Ḥanbal et mentionné </w:t>
      </w:r>
      <w:r w:rsidRPr="002C1378">
        <w:rPr>
          <w:rFonts w:eastAsia="Times New Roman"/>
          <w:i/>
          <w:lang w:bidi="ar-EG"/>
        </w:rPr>
        <w:t>supra</w:t>
      </w:r>
      <w:r w:rsidRPr="002C1378">
        <w:rPr>
          <w:rFonts w:eastAsia="Times New Roman"/>
          <w:lang w:bidi="ar-EG"/>
        </w:rPr>
        <w:t xml:space="preserve"> dans </w:t>
      </w:r>
      <w:r w:rsidRPr="002C1378">
        <w:rPr>
          <w:rFonts w:eastAsia="Times New Roman"/>
        </w:rPr>
        <w:t>l’analyse du verset 5) qui explique la signification de « </w:t>
      </w:r>
      <w:r>
        <w:rPr>
          <w:rFonts w:eastAsia="Times New Roman" w:hint="cs"/>
          <w:rtl/>
          <w:lang w:bidi="ar-EG"/>
        </w:rPr>
        <w:t>يحيي الموتى</w:t>
      </w:r>
      <w:r w:rsidRPr="002C1378">
        <w:rPr>
          <w:rFonts w:eastAsia="Times New Roman"/>
          <w:lang w:bidi="ar-EG"/>
        </w:rPr>
        <w:t> »</w:t>
      </w:r>
      <w:r w:rsidRPr="002C1378">
        <w:rPr>
          <w:rFonts w:eastAsia="Times New Roman"/>
        </w:rPr>
        <w:t xml:space="preserve"> par la renaissance cyclique de la nature, les exégètes orthodoxes excluent cette idée de réincarnation car elle contredit leur croyance.</w:t>
      </w:r>
    </w:p>
    <w:p w14:paraId="7B35BD9C" w14:textId="77777777" w:rsidR="00296288" w:rsidRPr="002C1378" w:rsidRDefault="00296288" w:rsidP="00296288">
      <w:pPr>
        <w:tabs>
          <w:tab w:val="left" w:pos="851"/>
        </w:tabs>
        <w:spacing w:line="360" w:lineRule="auto"/>
        <w:jc w:val="both"/>
        <w:rPr>
          <w:rFonts w:eastAsia="Times New Roman"/>
        </w:rPr>
      </w:pPr>
    </w:p>
    <w:p w14:paraId="57B80321" w14:textId="77777777" w:rsidR="00296288" w:rsidRPr="006D4265" w:rsidRDefault="00296288" w:rsidP="00296288">
      <w:pPr>
        <w:tabs>
          <w:tab w:val="left" w:pos="851"/>
        </w:tabs>
        <w:spacing w:line="360" w:lineRule="auto"/>
        <w:jc w:val="both"/>
        <w:rPr>
          <w:rFonts w:asciiTheme="majorBidi" w:eastAsia="Times New Roman" w:hAnsiTheme="majorBidi" w:cstheme="majorBidi"/>
          <w:b/>
          <w:bCs/>
        </w:rPr>
      </w:pPr>
      <w:r w:rsidRPr="006D4265">
        <w:rPr>
          <w:rFonts w:asciiTheme="majorBidi" w:eastAsia="Times New Roman" w:hAnsiTheme="majorBidi" w:cstheme="majorBidi"/>
          <w:b/>
          <w:bCs/>
        </w:rPr>
        <w:t>La phrase « </w:t>
      </w:r>
      <w:r>
        <w:rPr>
          <w:rFonts w:asciiTheme="majorBidi" w:eastAsia="Times New Roman" w:hAnsiTheme="majorBidi" w:cstheme="majorBidi" w:hint="cs"/>
          <w:b/>
          <w:bCs/>
          <w:rtl/>
        </w:rPr>
        <w:t>ليذكروا اسمَ الله</w:t>
      </w:r>
      <w:r w:rsidRPr="006D4265">
        <w:rPr>
          <w:rFonts w:asciiTheme="majorBidi" w:eastAsia="Times New Roman" w:hAnsiTheme="majorBidi" w:cstheme="majorBidi"/>
          <w:b/>
          <w:bCs/>
        </w:rPr>
        <w:t> » :</w:t>
      </w:r>
    </w:p>
    <w:p w14:paraId="495CF3C3" w14:textId="77777777" w:rsidR="00296288" w:rsidRPr="006D4265" w:rsidRDefault="00296288" w:rsidP="00296288">
      <w:pPr>
        <w:spacing w:line="360" w:lineRule="auto"/>
        <w:ind w:firstLine="426"/>
        <w:jc w:val="both"/>
        <w:rPr>
          <w:rFonts w:asciiTheme="majorBidi" w:eastAsia="Times New Roman" w:hAnsiTheme="majorBidi" w:cstheme="majorBidi"/>
        </w:rPr>
      </w:pPr>
      <w:r w:rsidRPr="006D4265">
        <w:rPr>
          <w:rFonts w:asciiTheme="majorBidi" w:eastAsia="Times New Roman" w:hAnsiTheme="majorBidi" w:cstheme="majorBidi"/>
        </w:rPr>
        <w:t>L’expression «</w:t>
      </w:r>
      <w:r w:rsidRPr="00942C48">
        <w:rPr>
          <w:rFonts w:asciiTheme="majorBidi" w:eastAsia="Times New Roman" w:hAnsiTheme="majorBidi" w:cstheme="majorBidi"/>
        </w:rPr>
        <w:t> </w:t>
      </w:r>
      <w:r w:rsidRPr="00942C48">
        <w:rPr>
          <w:rFonts w:asciiTheme="majorBidi" w:eastAsia="Times New Roman" w:hAnsiTheme="majorBidi" w:cstheme="majorBidi" w:hint="cs"/>
          <w:rtl/>
        </w:rPr>
        <w:t>ليذكروا اسم الله</w:t>
      </w:r>
      <w:r w:rsidRPr="006D4265">
        <w:rPr>
          <w:rFonts w:asciiTheme="majorBidi" w:eastAsia="Times New Roman" w:hAnsiTheme="majorBidi" w:cstheme="majorBidi"/>
        </w:rPr>
        <w:t> »</w:t>
      </w:r>
      <w:r w:rsidRPr="006D4265">
        <w:rPr>
          <w:rFonts w:asciiTheme="majorBidi" w:eastAsia="Times New Roman" w:hAnsiTheme="majorBidi" w:cstheme="majorBidi"/>
          <w:i/>
          <w:iCs/>
        </w:rPr>
        <w:t xml:space="preserve"> </w:t>
      </w:r>
      <w:r w:rsidRPr="006D4265">
        <w:rPr>
          <w:rFonts w:asciiTheme="majorBidi" w:hAnsiTheme="majorBidi" w:cstheme="majorBidi"/>
        </w:rPr>
        <w:t>[</w:t>
      </w:r>
      <w:r w:rsidRPr="006D4265">
        <w:rPr>
          <w:rFonts w:asciiTheme="majorBidi" w:eastAsia="Times New Roman" w:hAnsiTheme="majorBidi" w:cstheme="majorBidi"/>
        </w:rPr>
        <w:t>pour qu’ils évoquent le nom de Dieu</w:t>
      </w:r>
      <w:r w:rsidRPr="006D4265">
        <w:rPr>
          <w:rFonts w:asciiTheme="majorBidi" w:hAnsiTheme="majorBidi" w:cstheme="majorBidi"/>
        </w:rPr>
        <w:t>]</w:t>
      </w:r>
      <w:r w:rsidRPr="006D4265">
        <w:rPr>
          <w:rFonts w:asciiTheme="majorBidi" w:eastAsia="Times New Roman" w:hAnsiTheme="majorBidi" w:cstheme="majorBidi"/>
        </w:rPr>
        <w:t xml:space="preserve"> (v. 34) a deux significations différentes :</w:t>
      </w:r>
    </w:p>
    <w:p w14:paraId="0E005377" w14:textId="77777777" w:rsidR="00296288" w:rsidRPr="006D4265" w:rsidRDefault="00296288" w:rsidP="007640DC">
      <w:pPr>
        <w:pStyle w:val="Paragraphedeliste"/>
        <w:numPr>
          <w:ilvl w:val="0"/>
          <w:numId w:val="92"/>
        </w:numPr>
        <w:bidi w:val="0"/>
        <w:spacing w:after="0" w:line="360" w:lineRule="auto"/>
        <w:ind w:left="0" w:firstLine="426"/>
        <w:contextualSpacing/>
        <w:jc w:val="both"/>
        <w:rPr>
          <w:rFonts w:asciiTheme="majorBidi" w:hAnsiTheme="majorBidi" w:cstheme="majorBidi"/>
          <w:sz w:val="24"/>
          <w:szCs w:val="24"/>
          <w:lang w:eastAsia="fr-FR"/>
        </w:rPr>
      </w:pPr>
      <w:r w:rsidRPr="006D4265">
        <w:rPr>
          <w:rFonts w:asciiTheme="majorBidi" w:hAnsiTheme="majorBidi" w:cstheme="majorBidi"/>
          <w:sz w:val="24"/>
          <w:szCs w:val="24"/>
          <w:lang w:eastAsia="fr-FR"/>
        </w:rPr>
        <w:t xml:space="preserve">pour rappeler le nom </w:t>
      </w:r>
      <w:r w:rsidRPr="006D4265">
        <w:rPr>
          <w:rFonts w:asciiTheme="majorBidi" w:hAnsiTheme="majorBidi" w:cstheme="majorBidi"/>
          <w:i/>
          <w:iCs/>
          <w:sz w:val="24"/>
          <w:szCs w:val="24"/>
          <w:lang w:eastAsia="fr-FR"/>
        </w:rPr>
        <w:t>Allah</w:t>
      </w:r>
      <w:r w:rsidRPr="006D4265">
        <w:rPr>
          <w:rFonts w:asciiTheme="majorBidi" w:hAnsiTheme="majorBidi" w:cstheme="majorBidi"/>
          <w:sz w:val="24"/>
          <w:szCs w:val="24"/>
          <w:lang w:eastAsia="fr-FR"/>
        </w:rPr>
        <w:t xml:space="preserve"> en égorgeant l’animal (Shaykhū ajoute : « afin de purifier l’animal des bactéries ») ;</w:t>
      </w:r>
    </w:p>
    <w:p w14:paraId="3D8EA49E" w14:textId="77777777" w:rsidR="00296288" w:rsidRPr="006D4265" w:rsidRDefault="00296288" w:rsidP="007640DC">
      <w:pPr>
        <w:pStyle w:val="Paragraphedeliste"/>
        <w:numPr>
          <w:ilvl w:val="0"/>
          <w:numId w:val="92"/>
        </w:numPr>
        <w:bidi w:val="0"/>
        <w:spacing w:after="0" w:line="360" w:lineRule="auto"/>
        <w:ind w:left="0" w:firstLine="426"/>
        <w:contextualSpacing/>
        <w:jc w:val="both"/>
        <w:rPr>
          <w:rFonts w:asciiTheme="majorBidi" w:hAnsiTheme="majorBidi" w:cstheme="majorBidi"/>
          <w:sz w:val="24"/>
          <w:szCs w:val="24"/>
          <w:lang w:eastAsia="fr-FR"/>
        </w:rPr>
      </w:pPr>
      <w:r w:rsidRPr="006D4265">
        <w:rPr>
          <w:rFonts w:asciiTheme="majorBidi" w:hAnsiTheme="majorBidi" w:cstheme="majorBidi"/>
          <w:sz w:val="24"/>
          <w:szCs w:val="24"/>
          <w:lang w:eastAsia="fr-FR"/>
        </w:rPr>
        <w:t>pour s’imprégner des noms de Dieu (Ibn ʿArabī).</w:t>
      </w:r>
    </w:p>
    <w:p w14:paraId="244E1791" w14:textId="77777777" w:rsidR="00296288" w:rsidRPr="006D4265" w:rsidRDefault="00296288" w:rsidP="00296288">
      <w:pPr>
        <w:spacing w:line="360" w:lineRule="auto"/>
        <w:jc w:val="both"/>
        <w:rPr>
          <w:rFonts w:asciiTheme="majorBidi" w:hAnsiTheme="majorBidi" w:cstheme="majorBidi"/>
        </w:rPr>
      </w:pPr>
    </w:p>
    <w:p w14:paraId="62EAEB2B" w14:textId="77777777" w:rsidR="00296288" w:rsidRPr="006D4265" w:rsidRDefault="00296288" w:rsidP="00296288">
      <w:pPr>
        <w:spacing w:line="360" w:lineRule="auto"/>
        <w:jc w:val="both"/>
        <w:rPr>
          <w:rFonts w:eastAsia="Times New Roman"/>
          <w:b/>
          <w:bCs/>
        </w:rPr>
      </w:pPr>
      <w:r w:rsidRPr="006D4265">
        <w:rPr>
          <w:rFonts w:eastAsia="Times New Roman"/>
          <w:b/>
          <w:bCs/>
        </w:rPr>
        <w:t>La phrase impérative « </w:t>
      </w:r>
      <w:r w:rsidRPr="006D4265">
        <w:rPr>
          <w:rFonts w:eastAsia="Times New Roman"/>
          <w:b/>
          <w:bCs/>
          <w:i/>
          <w:iCs/>
        </w:rPr>
        <w:t>la</w:t>
      </w:r>
      <w:r>
        <w:rPr>
          <w:rFonts w:eastAsia="Times New Roman"/>
          <w:b/>
          <w:bCs/>
          <w:i/>
          <w:iCs/>
        </w:rPr>
        <w:t>-</w:t>
      </w:r>
      <w:r w:rsidRPr="006D4265">
        <w:rPr>
          <w:rFonts w:eastAsia="Times New Roman"/>
          <w:b/>
          <w:bCs/>
          <w:i/>
          <w:iCs/>
        </w:rPr>
        <w:t>hū aslimū</w:t>
      </w:r>
      <w:r w:rsidRPr="006D4265">
        <w:rPr>
          <w:rFonts w:eastAsia="Times New Roman"/>
          <w:b/>
          <w:bCs/>
        </w:rPr>
        <w:t> » :</w:t>
      </w:r>
    </w:p>
    <w:p w14:paraId="694CB420" w14:textId="77777777" w:rsidR="00296288" w:rsidRPr="006D4265" w:rsidRDefault="00296288" w:rsidP="00296288">
      <w:pPr>
        <w:spacing w:line="360" w:lineRule="auto"/>
        <w:ind w:firstLine="284"/>
        <w:jc w:val="both"/>
        <w:rPr>
          <w:rFonts w:eastAsia="Times New Roman"/>
        </w:rPr>
      </w:pPr>
      <w:r w:rsidRPr="006D4265">
        <w:rPr>
          <w:rFonts w:eastAsia="Times New Roman"/>
        </w:rPr>
        <w:t>Quant à la phrase au verbe à l’impératif « </w:t>
      </w:r>
      <w:r w:rsidRPr="006D4265">
        <w:rPr>
          <w:rFonts w:eastAsia="Times New Roman"/>
          <w:i/>
          <w:iCs/>
        </w:rPr>
        <w:t>la</w:t>
      </w:r>
      <w:r>
        <w:rPr>
          <w:rFonts w:eastAsia="Times New Roman"/>
          <w:i/>
          <w:iCs/>
        </w:rPr>
        <w:t>-</w:t>
      </w:r>
      <w:r w:rsidRPr="006D4265">
        <w:rPr>
          <w:rFonts w:eastAsia="Times New Roman"/>
          <w:i/>
          <w:iCs/>
        </w:rPr>
        <w:t>hū aslimū</w:t>
      </w:r>
      <w:r w:rsidRPr="006D4265">
        <w:rPr>
          <w:rFonts w:eastAsia="Times New Roman"/>
        </w:rPr>
        <w:t> » (34), elle a des significations convergentes : 1-soumettez-vous (à Lui) ; 2-soyez fidèles (à Lui) ; 3-croyez (en Lui) ; 4-adorez-Lui.</w:t>
      </w:r>
    </w:p>
    <w:p w14:paraId="3EA711DB" w14:textId="77777777" w:rsidR="00296288" w:rsidRPr="006D4265" w:rsidRDefault="00296288" w:rsidP="00296288">
      <w:pPr>
        <w:spacing w:line="360" w:lineRule="auto"/>
        <w:jc w:val="both"/>
      </w:pPr>
    </w:p>
    <w:p w14:paraId="2A64DD6B" w14:textId="77777777" w:rsidR="00296288" w:rsidRPr="006D4265" w:rsidRDefault="00296288" w:rsidP="00296288">
      <w:pPr>
        <w:spacing w:line="360" w:lineRule="auto"/>
        <w:jc w:val="both"/>
        <w:rPr>
          <w:b/>
          <w:bCs/>
        </w:rPr>
      </w:pPr>
      <w:r w:rsidRPr="006D4265">
        <w:rPr>
          <w:rFonts w:eastAsia="Times New Roman"/>
          <w:b/>
          <w:bCs/>
        </w:rPr>
        <w:t>L’expression « </w:t>
      </w:r>
      <w:r w:rsidRPr="006D4265">
        <w:rPr>
          <w:rFonts w:eastAsia="Times New Roman"/>
          <w:b/>
          <w:bCs/>
          <w:i/>
          <w:iCs/>
        </w:rPr>
        <w:t>mimmā razaqnā</w:t>
      </w:r>
      <w:r>
        <w:rPr>
          <w:rFonts w:eastAsia="Times New Roman"/>
          <w:b/>
          <w:bCs/>
          <w:i/>
          <w:iCs/>
        </w:rPr>
        <w:t>-</w:t>
      </w:r>
      <w:r w:rsidRPr="006D4265">
        <w:rPr>
          <w:rFonts w:eastAsia="Times New Roman"/>
          <w:b/>
          <w:bCs/>
          <w:i/>
          <w:iCs/>
        </w:rPr>
        <w:t>hum yunfiqūn</w:t>
      </w:r>
      <w:r w:rsidRPr="006D4265">
        <w:rPr>
          <w:rFonts w:eastAsia="Times New Roman"/>
          <w:b/>
          <w:bCs/>
        </w:rPr>
        <w:t> » :</w:t>
      </w:r>
    </w:p>
    <w:p w14:paraId="7A8F2A0F" w14:textId="77777777" w:rsidR="00296288" w:rsidRPr="006D4265" w:rsidRDefault="00296288" w:rsidP="00296288">
      <w:pPr>
        <w:tabs>
          <w:tab w:val="left" w:pos="851"/>
        </w:tabs>
        <w:spacing w:line="360" w:lineRule="auto"/>
        <w:ind w:firstLine="426"/>
        <w:jc w:val="both"/>
        <w:rPr>
          <w:rFonts w:eastAsia="Times New Roman"/>
        </w:rPr>
      </w:pPr>
      <w:r w:rsidRPr="006D4265">
        <w:rPr>
          <w:rFonts w:eastAsia="Times New Roman"/>
        </w:rPr>
        <w:lastRenderedPageBreak/>
        <w:t>L’expression « </w:t>
      </w:r>
      <w:r w:rsidRPr="006D4265">
        <w:rPr>
          <w:rFonts w:eastAsia="Times New Roman"/>
          <w:i/>
          <w:iCs/>
        </w:rPr>
        <w:t>mimmā razaqnā</w:t>
      </w:r>
      <w:r>
        <w:rPr>
          <w:rFonts w:eastAsia="Times New Roman"/>
          <w:i/>
          <w:iCs/>
        </w:rPr>
        <w:t>-</w:t>
      </w:r>
      <w:r w:rsidRPr="006D4265">
        <w:rPr>
          <w:rFonts w:eastAsia="Times New Roman"/>
          <w:i/>
          <w:iCs/>
        </w:rPr>
        <w:t>hum yunfiqūn</w:t>
      </w:r>
      <w:r w:rsidRPr="006D4265">
        <w:rPr>
          <w:rFonts w:eastAsia="Times New Roman"/>
        </w:rPr>
        <w:t> » [</w:t>
      </w:r>
      <w:r w:rsidRPr="006D4265">
        <w:rPr>
          <w:rFonts w:eastAsia="Times New Roman"/>
          <w:i/>
          <w:iCs/>
        </w:rPr>
        <w:t>litt.</w:t>
      </w:r>
      <w:r w:rsidRPr="006D4265">
        <w:rPr>
          <w:rFonts w:eastAsia="Times New Roman"/>
        </w:rPr>
        <w:t> : des biens que Nous leur avons départis ils dépensent] (35) ne désigne pas seulement l’exigence de faire l’aumône, mais elle désigne également la recommandation de faire le bien en général avec toutes les créatures ; ce sont ces bonnes actions qui aident à mener à bien la prière (Shaykhū). Plus encore, elle désigne l’anéantissement (« </w:t>
      </w:r>
      <w:r w:rsidRPr="006D4265">
        <w:rPr>
          <w:rFonts w:eastAsia="Times New Roman"/>
          <w:i/>
          <w:iCs/>
        </w:rPr>
        <w:t>fanāʾ</w:t>
      </w:r>
      <w:r w:rsidRPr="006D4265">
        <w:rPr>
          <w:rFonts w:eastAsia="Times New Roman"/>
        </w:rPr>
        <w:t> ») en Dieu (Ibn ʿArabī).</w:t>
      </w:r>
    </w:p>
    <w:p w14:paraId="614D79A2" w14:textId="77777777" w:rsidR="00296288" w:rsidRDefault="00296288" w:rsidP="00296288">
      <w:pPr>
        <w:spacing w:line="360" w:lineRule="auto"/>
        <w:jc w:val="both"/>
      </w:pPr>
    </w:p>
    <w:p w14:paraId="41AE6610" w14:textId="77777777" w:rsidR="008E1AD3" w:rsidRPr="006D4265" w:rsidRDefault="008E1AD3" w:rsidP="00296288">
      <w:pPr>
        <w:spacing w:line="360" w:lineRule="auto"/>
        <w:jc w:val="both"/>
      </w:pPr>
    </w:p>
    <w:p w14:paraId="7440232D" w14:textId="77777777" w:rsidR="00296288" w:rsidRPr="006D4265" w:rsidRDefault="00296288" w:rsidP="00296288">
      <w:pPr>
        <w:spacing w:line="360" w:lineRule="auto"/>
        <w:jc w:val="both"/>
        <w:rPr>
          <w:b/>
          <w:bCs/>
        </w:rPr>
      </w:pPr>
      <w:r w:rsidRPr="006D4265">
        <w:rPr>
          <w:rFonts w:eastAsia="Times New Roman"/>
          <w:b/>
          <w:bCs/>
          <w:lang w:bidi="ar-AE"/>
        </w:rPr>
        <w:t>L’impératif « </w:t>
      </w:r>
      <w:r w:rsidRPr="006D4265">
        <w:rPr>
          <w:rFonts w:eastAsia="Times New Roman"/>
          <w:b/>
          <w:bCs/>
          <w:i/>
          <w:iCs/>
          <w:lang w:bidi="ar-AE"/>
        </w:rPr>
        <w:t>kulū min</w:t>
      </w:r>
      <w:r>
        <w:rPr>
          <w:rFonts w:eastAsia="Times New Roman"/>
          <w:b/>
          <w:bCs/>
          <w:i/>
          <w:iCs/>
          <w:lang w:bidi="ar-AE"/>
        </w:rPr>
        <w:t>-</w:t>
      </w:r>
      <w:r w:rsidRPr="006D4265">
        <w:rPr>
          <w:rFonts w:eastAsia="Times New Roman"/>
          <w:b/>
          <w:bCs/>
          <w:i/>
          <w:iCs/>
          <w:lang w:bidi="ar-AE"/>
        </w:rPr>
        <w:t>hā</w:t>
      </w:r>
      <w:r w:rsidRPr="006D4265">
        <w:rPr>
          <w:rFonts w:eastAsia="Times New Roman"/>
          <w:b/>
          <w:bCs/>
          <w:lang w:bidi="ar-AE"/>
        </w:rPr>
        <w:t> » :</w:t>
      </w:r>
    </w:p>
    <w:p w14:paraId="5B9261B1" w14:textId="77777777" w:rsidR="00296288" w:rsidRPr="006D4265" w:rsidRDefault="00296288" w:rsidP="00296288">
      <w:pPr>
        <w:spacing w:line="360" w:lineRule="auto"/>
        <w:ind w:firstLine="708"/>
        <w:jc w:val="both"/>
        <w:rPr>
          <w:rFonts w:eastAsia="Times New Roman"/>
          <w:lang w:bidi="ar-AE"/>
        </w:rPr>
      </w:pPr>
      <w:r w:rsidRPr="006D4265">
        <w:rPr>
          <w:rFonts w:eastAsia="Times New Roman"/>
          <w:lang w:bidi="ar-AE"/>
        </w:rPr>
        <w:t>Concernant le verbe à l’impératif « </w:t>
      </w:r>
      <w:r w:rsidRPr="006D4265">
        <w:rPr>
          <w:rFonts w:eastAsia="Times New Roman"/>
          <w:i/>
          <w:iCs/>
          <w:lang w:bidi="ar-AE"/>
        </w:rPr>
        <w:t>kulū minhā</w:t>
      </w:r>
      <w:r w:rsidRPr="006D4265">
        <w:rPr>
          <w:rFonts w:eastAsia="Times New Roman"/>
          <w:lang w:bidi="ar-AE"/>
        </w:rPr>
        <w:t> » [mangez-en], des exégètes soulignent qu’il ne s’agit pas d’un ordre, mais plutôt d’une permission</w:t>
      </w:r>
      <w:r>
        <w:rPr>
          <w:rFonts w:eastAsia="Times New Roman"/>
          <w:lang w:bidi="ar-AE"/>
        </w:rPr>
        <w:t xml:space="preserve"> </w:t>
      </w:r>
      <w:r w:rsidRPr="006D4265">
        <w:rPr>
          <w:rFonts w:eastAsia="Times New Roman"/>
          <w:lang w:bidi="ar-AE"/>
        </w:rPr>
        <w:t>(</w:t>
      </w:r>
      <w:r w:rsidRPr="006D4265">
        <w:rPr>
          <w:rFonts w:eastAsia="Times New Roman"/>
          <w:i/>
          <w:iCs/>
          <w:lang w:bidi="ar-AE"/>
        </w:rPr>
        <w:t>ibāḥa</w:t>
      </w:r>
      <w:r w:rsidRPr="006D4265">
        <w:rPr>
          <w:rFonts w:eastAsia="Times New Roman"/>
          <w:lang w:bidi="ar-AE"/>
        </w:rPr>
        <w:t>). « </w:t>
      </w:r>
      <w:r w:rsidRPr="006D4265">
        <w:rPr>
          <w:rFonts w:eastAsia="Times New Roman"/>
          <w:i/>
          <w:iCs/>
          <w:lang w:bidi="ar-AE"/>
        </w:rPr>
        <w:t>Kulū minhā</w:t>
      </w:r>
      <w:r w:rsidRPr="006D4265">
        <w:rPr>
          <w:rFonts w:eastAsia="Times New Roman"/>
          <w:lang w:bidi="ar-AE"/>
        </w:rPr>
        <w:t> »</w:t>
      </w:r>
      <w:r>
        <w:rPr>
          <w:rFonts w:eastAsia="Times New Roman"/>
          <w:lang w:bidi="ar-AE"/>
        </w:rPr>
        <w:t xml:space="preserve"> signifie donc : « V</w:t>
      </w:r>
      <w:r w:rsidRPr="006D4265">
        <w:rPr>
          <w:rFonts w:eastAsia="Times New Roman"/>
          <w:lang w:bidi="ar-AE"/>
        </w:rPr>
        <w:t>ous pouvez en mange</w:t>
      </w:r>
      <w:r>
        <w:rPr>
          <w:rFonts w:eastAsia="Times New Roman"/>
          <w:lang w:bidi="ar-AE"/>
        </w:rPr>
        <w:t>r ». Pour d</w:t>
      </w:r>
      <w:r w:rsidRPr="006D4265">
        <w:rPr>
          <w:rFonts w:eastAsia="Times New Roman"/>
          <w:lang w:bidi="ar-AE"/>
        </w:rPr>
        <w:t xml:space="preserve">’autres (comme Ibn ʿAṭīya al-Andalusī (m. 1146) dans </w:t>
      </w:r>
      <w:r w:rsidRPr="006D4265">
        <w:rPr>
          <w:rFonts w:eastAsia="Times New Roman"/>
          <w:i/>
          <w:iCs/>
          <w:lang w:bidi="ar-AE"/>
        </w:rPr>
        <w:t>Al-Muḥarrar al-wajīz fī tafsīr al-kitāb al-ʿazīz</w:t>
      </w:r>
      <w:r>
        <w:rPr>
          <w:rFonts w:eastAsia="Times New Roman"/>
          <w:lang w:bidi="ar-AE"/>
        </w:rPr>
        <w:t xml:space="preserve">), </w:t>
      </w:r>
      <w:r w:rsidRPr="006D4265">
        <w:rPr>
          <w:rFonts w:eastAsia="Times New Roman"/>
          <w:lang w:bidi="ar-AE"/>
        </w:rPr>
        <w:t>il s’agit d’une recommandation (</w:t>
      </w:r>
      <w:r w:rsidRPr="006D4265">
        <w:rPr>
          <w:rFonts w:eastAsia="Times New Roman"/>
          <w:i/>
          <w:iCs/>
          <w:lang w:bidi="ar-AE"/>
        </w:rPr>
        <w:t>nadb</w:t>
      </w:r>
      <w:r w:rsidRPr="006D4265">
        <w:rPr>
          <w:rFonts w:eastAsia="Times New Roman"/>
          <w:lang w:bidi="ar-AE"/>
        </w:rPr>
        <w:t xml:space="preserve">). Les spécialistes du </w:t>
      </w:r>
      <w:r w:rsidRPr="006D4265">
        <w:rPr>
          <w:rFonts w:eastAsia="Times New Roman"/>
          <w:i/>
          <w:iCs/>
          <w:lang w:bidi="ar-AE"/>
        </w:rPr>
        <w:t xml:space="preserve">fiqh </w:t>
      </w:r>
      <w:r w:rsidRPr="006D4265">
        <w:rPr>
          <w:rFonts w:eastAsia="Times New Roman"/>
          <w:lang w:bidi="ar-AE"/>
        </w:rPr>
        <w:t>distinguent entre l’offrande volontaire (</w:t>
      </w:r>
      <w:r w:rsidRPr="006D4265">
        <w:rPr>
          <w:rFonts w:eastAsia="Times New Roman"/>
          <w:i/>
          <w:iCs/>
          <w:lang w:bidi="ar-AE"/>
        </w:rPr>
        <w:t>hady</w:t>
      </w:r>
      <w:r w:rsidRPr="006D4265">
        <w:rPr>
          <w:rFonts w:eastAsia="Times New Roman"/>
          <w:lang w:bidi="ar-AE"/>
        </w:rPr>
        <w:t>), l’offrande faite à la suite d’un vœu (</w:t>
      </w:r>
      <w:r w:rsidRPr="006D4265">
        <w:rPr>
          <w:rFonts w:eastAsia="Times New Roman"/>
          <w:i/>
          <w:iCs/>
          <w:lang w:bidi="ar-AE"/>
        </w:rPr>
        <w:t>nadhr</w:t>
      </w:r>
      <w:r w:rsidRPr="006D4265">
        <w:rPr>
          <w:rFonts w:eastAsia="Times New Roman"/>
          <w:lang w:bidi="ar-AE"/>
        </w:rPr>
        <w:t>, sacrifice votif) et l’offrande expiatoire (</w:t>
      </w:r>
      <w:r w:rsidRPr="006D4265">
        <w:rPr>
          <w:rFonts w:eastAsia="Times New Roman"/>
          <w:i/>
          <w:iCs/>
          <w:lang w:bidi="ar-AE"/>
        </w:rPr>
        <w:t>kaffāra</w:t>
      </w:r>
      <w:r>
        <w:rPr>
          <w:rFonts w:eastAsia="Times New Roman"/>
          <w:lang w:bidi="ar-AE"/>
        </w:rPr>
        <w:t>) : </w:t>
      </w:r>
      <w:r w:rsidRPr="006D4265">
        <w:rPr>
          <w:rFonts w:eastAsia="Times New Roman"/>
          <w:lang w:bidi="ar-AE"/>
        </w:rPr>
        <w:t>il est permis seulement</w:t>
      </w:r>
      <w:r>
        <w:rPr>
          <w:rFonts w:eastAsia="Times New Roman"/>
          <w:lang w:bidi="ar-AE"/>
        </w:rPr>
        <w:t xml:space="preserve"> de manger de la première et </w:t>
      </w:r>
      <w:r w:rsidRPr="006D4265">
        <w:rPr>
          <w:rFonts w:eastAsia="Times New Roman"/>
          <w:lang w:bidi="ar-AE"/>
        </w:rPr>
        <w:t>il est interdit de manger de la deuxième et de la troisième.</w:t>
      </w:r>
    </w:p>
    <w:p w14:paraId="19BAB652" w14:textId="77777777" w:rsidR="00296288" w:rsidRPr="006D4265" w:rsidRDefault="00296288" w:rsidP="00296288">
      <w:pPr>
        <w:spacing w:line="360" w:lineRule="auto"/>
        <w:jc w:val="both"/>
      </w:pPr>
    </w:p>
    <w:p w14:paraId="2AF1144C" w14:textId="77777777" w:rsidR="00296288" w:rsidRPr="006D4265" w:rsidRDefault="00296288" w:rsidP="00296288">
      <w:pPr>
        <w:tabs>
          <w:tab w:val="left" w:pos="4136"/>
        </w:tabs>
        <w:spacing w:line="360" w:lineRule="auto"/>
        <w:jc w:val="both"/>
      </w:pPr>
    </w:p>
    <w:p w14:paraId="7DA47D66" w14:textId="77777777" w:rsidR="00296288" w:rsidRPr="006D4265" w:rsidRDefault="00296288" w:rsidP="00296288">
      <w:pPr>
        <w:tabs>
          <w:tab w:val="left" w:pos="4136"/>
        </w:tabs>
        <w:spacing w:line="360" w:lineRule="auto"/>
        <w:jc w:val="both"/>
        <w:rPr>
          <w:rFonts w:eastAsia="Times New Roman"/>
          <w:b/>
          <w:bCs/>
          <w:rtl/>
          <w:lang w:bidi="ar-AE"/>
        </w:rPr>
      </w:pPr>
      <w:r w:rsidRPr="006D4265">
        <w:rPr>
          <w:rFonts w:eastAsia="Times New Roman"/>
          <w:b/>
          <w:bCs/>
          <w:lang w:bidi="ar-AE"/>
        </w:rPr>
        <w:t>Verset 37 :</w:t>
      </w:r>
      <w:r w:rsidRPr="006D4265">
        <w:rPr>
          <w:rFonts w:eastAsia="Times New Roman"/>
          <w:b/>
          <w:bCs/>
          <w:lang w:bidi="ar-AE"/>
        </w:rPr>
        <w:tab/>
      </w:r>
    </w:p>
    <w:p w14:paraId="2A6BB16F" w14:textId="77777777" w:rsidR="00296288" w:rsidRPr="006D4265" w:rsidRDefault="00296288" w:rsidP="00296288">
      <w:pPr>
        <w:shd w:val="clear" w:color="auto" w:fill="FFFFFF"/>
        <w:bidi/>
        <w:spacing w:line="360" w:lineRule="auto"/>
        <w:jc w:val="both"/>
        <w:rPr>
          <w:rFonts w:ascii="Simplified Arabic" w:eastAsia="Times New Roman" w:hAnsi="Simplified Arabic" w:cs="Simplified Arabic"/>
          <w:lang w:bidi="ar-KW"/>
        </w:rPr>
      </w:pPr>
      <w:r w:rsidRPr="006D4265">
        <w:rPr>
          <w:rFonts w:ascii="Simplified Arabic" w:eastAsia="Times New Roman" w:hAnsi="Simplified Arabic" w:cs="Simplified Arabic"/>
          <w:rtl/>
          <w:lang w:bidi="ar-AE"/>
        </w:rPr>
        <w:t>(37) لن ينالَ اللهَ لحومُها ولا دماؤُها ولكن ينالُه التقوى منكم. كذلك سخَّرَها لكم لتُكبِّروا اللهَ على ما هداكم وبَشِّرِ المحسنين.</w:t>
      </w:r>
    </w:p>
    <w:p w14:paraId="0082C113" w14:textId="77777777" w:rsidR="00296288" w:rsidRPr="006D4265" w:rsidRDefault="00296288" w:rsidP="00296288">
      <w:pPr>
        <w:spacing w:line="360" w:lineRule="auto"/>
        <w:contextualSpacing/>
        <w:jc w:val="both"/>
        <w:rPr>
          <w:rFonts w:eastAsia="Times New Roman"/>
          <w:rtl/>
          <w:lang w:bidi="ar-AE"/>
        </w:rPr>
      </w:pPr>
      <w:r w:rsidRPr="006D4265">
        <w:rPr>
          <w:rFonts w:eastAsia="Times New Roman"/>
          <w:lang w:bidi="ar-AE"/>
        </w:rPr>
        <w:t>(37) Ne parviendront (en effet) à Dieu ni leur viande ni leur sang. Ce qui Lui parvient, c’est que vous vous prémunissiez. Ainsi les met-Il à votre disposition pour que vous glorifiiez Dieu de cette guidance. Fais-en l’annonce aux bel-agissants.</w:t>
      </w:r>
    </w:p>
    <w:p w14:paraId="3335AFE6" w14:textId="77777777" w:rsidR="00296288" w:rsidRPr="006D4265" w:rsidRDefault="00296288" w:rsidP="00296288">
      <w:pPr>
        <w:spacing w:line="360" w:lineRule="auto"/>
        <w:jc w:val="both"/>
        <w:rPr>
          <w:rFonts w:eastAsia="Times New Roman"/>
          <w:lang w:bidi="ar-AE"/>
        </w:rPr>
      </w:pPr>
    </w:p>
    <w:p w14:paraId="2DA9D4A9" w14:textId="77777777" w:rsidR="00296288" w:rsidRPr="006D4265" w:rsidRDefault="00296288" w:rsidP="00296288">
      <w:pPr>
        <w:spacing w:line="360" w:lineRule="auto"/>
        <w:ind w:firstLine="360"/>
        <w:jc w:val="both"/>
        <w:rPr>
          <w:rFonts w:eastAsia="Times New Roman"/>
          <w:lang w:bidi="ar-AE"/>
        </w:rPr>
      </w:pPr>
      <w:r w:rsidRPr="006D4265">
        <w:rPr>
          <w:rFonts w:eastAsia="Times New Roman"/>
          <w:lang w:bidi="ar-AE"/>
        </w:rPr>
        <w:t>Le verset 37 (qui dit que la viande et le sang du sacrifice ne parviendront pas à Dieu et que c’est la piété des croyants qui montera vers Lui) veut souligner l’une des trois idées : 1-celle que Dieu est Riche par excellence ; 2-celle que Dieu est Exempt (</w:t>
      </w:r>
      <w:r>
        <w:rPr>
          <w:rFonts w:eastAsia="Times New Roman"/>
          <w:i/>
          <w:iCs/>
          <w:lang w:bidi="ar-AE"/>
        </w:rPr>
        <w:t>m</w:t>
      </w:r>
      <w:r w:rsidRPr="006D4265">
        <w:rPr>
          <w:rFonts w:eastAsia="Times New Roman"/>
          <w:i/>
          <w:iCs/>
          <w:lang w:bidi="ar-AE"/>
        </w:rPr>
        <w:t>unazzah</w:t>
      </w:r>
      <w:r w:rsidRPr="006D4265">
        <w:rPr>
          <w:rFonts w:eastAsia="Times New Roman"/>
          <w:lang w:bidi="ar-AE"/>
        </w:rPr>
        <w:t xml:space="preserve">) de toute nature corporelle et de tout besoin </w:t>
      </w:r>
      <w:r w:rsidRPr="006D4265">
        <w:rPr>
          <w:rFonts w:eastAsia="Times New Roman"/>
          <w:lang w:bidi="ar-EG"/>
        </w:rPr>
        <w:t>(Aṭ-Ṭabāṭabāʾī) </w:t>
      </w:r>
      <w:r w:rsidRPr="006D4265">
        <w:rPr>
          <w:rFonts w:eastAsia="Times New Roman"/>
          <w:lang w:bidi="ar-AE"/>
        </w:rPr>
        <w:t>; 3-ou l’idée que ce n’est pas l’action qui compte pour Dieu mais c’est l’intention (ce n’est pas l’action d’égorger un animal mais c’est la piété [</w:t>
      </w:r>
      <w:r w:rsidRPr="006D4265">
        <w:rPr>
          <w:rFonts w:eastAsia="Times New Roman"/>
          <w:i/>
          <w:iCs/>
          <w:lang w:bidi="ar-AE"/>
        </w:rPr>
        <w:t>taqwā</w:t>
      </w:r>
      <w:r w:rsidRPr="006D4265">
        <w:rPr>
          <w:rFonts w:eastAsia="Times New Roman"/>
          <w:lang w:bidi="ar-AE"/>
        </w:rPr>
        <w:t>] qui satisfait Dieu</w:t>
      </w:r>
      <w:r>
        <w:rPr>
          <w:rFonts w:eastAsia="Times New Roman"/>
          <w:lang w:bidi="ar-AE"/>
        </w:rPr>
        <w:t>)</w:t>
      </w:r>
      <w:r w:rsidRPr="006D4265">
        <w:rPr>
          <w:rStyle w:val="Appelnotedebasdep"/>
          <w:rFonts w:eastAsia="Times New Roman"/>
          <w:lang w:bidi="ar-AE"/>
        </w:rPr>
        <w:footnoteReference w:id="350"/>
      </w:r>
      <w:r w:rsidRPr="006D4265">
        <w:rPr>
          <w:rFonts w:eastAsia="Times New Roman"/>
          <w:lang w:bidi="ar-AE"/>
        </w:rPr>
        <w:t>.</w:t>
      </w:r>
    </w:p>
    <w:p w14:paraId="67502F05" w14:textId="77777777" w:rsidR="00296288" w:rsidRPr="006D4265" w:rsidRDefault="00296288" w:rsidP="00296288">
      <w:pPr>
        <w:spacing w:line="360" w:lineRule="auto"/>
        <w:ind w:firstLine="360"/>
        <w:jc w:val="both"/>
        <w:rPr>
          <w:rFonts w:eastAsia="Times New Roman"/>
          <w:lang w:bidi="ar-AE"/>
        </w:rPr>
      </w:pPr>
    </w:p>
    <w:p w14:paraId="0A28D04A" w14:textId="77777777" w:rsidR="00296288" w:rsidRPr="006D4265" w:rsidRDefault="00296288" w:rsidP="00296288">
      <w:pPr>
        <w:spacing w:line="360" w:lineRule="auto"/>
        <w:ind w:firstLine="360"/>
        <w:jc w:val="both"/>
        <w:rPr>
          <w:rFonts w:eastAsia="Times New Roman"/>
          <w:lang w:bidi="ar-AE"/>
        </w:rPr>
      </w:pPr>
      <w:r w:rsidRPr="006D4265">
        <w:rPr>
          <w:rFonts w:eastAsia="Times New Roman"/>
          <w:lang w:bidi="ar-AE"/>
        </w:rPr>
        <w:t>Il est à souligner que le verset 37 désigne presque la même idée dans la Bible hébraïque (Tanakh) et précisément dans le livre d’Amos 5 : 22 (« je ne regarderai point les bêtes grasses de vos sacrifices de prospérités »).</w:t>
      </w:r>
    </w:p>
    <w:p w14:paraId="5ACB4D3F" w14:textId="77777777" w:rsidR="00296288" w:rsidRDefault="00296288" w:rsidP="00296288">
      <w:pPr>
        <w:spacing w:line="360" w:lineRule="auto"/>
        <w:ind w:firstLine="360"/>
        <w:jc w:val="both"/>
        <w:rPr>
          <w:rFonts w:eastAsia="Times New Roman"/>
          <w:lang w:bidi="ar-AE"/>
        </w:rPr>
      </w:pPr>
    </w:p>
    <w:p w14:paraId="5A8E59A4" w14:textId="77777777" w:rsidR="008E1AD3" w:rsidRPr="006D4265" w:rsidRDefault="008E1AD3" w:rsidP="00296288">
      <w:pPr>
        <w:spacing w:line="360" w:lineRule="auto"/>
        <w:ind w:firstLine="360"/>
        <w:jc w:val="both"/>
        <w:rPr>
          <w:rFonts w:eastAsia="Times New Roman"/>
          <w:lang w:bidi="ar-AE"/>
        </w:rPr>
      </w:pPr>
    </w:p>
    <w:p w14:paraId="445F43BA" w14:textId="77777777" w:rsidR="00296288" w:rsidRPr="006D4265" w:rsidRDefault="00296288" w:rsidP="00296288">
      <w:pPr>
        <w:spacing w:line="360" w:lineRule="auto"/>
        <w:jc w:val="both"/>
        <w:rPr>
          <w:rFonts w:asciiTheme="majorBidi" w:eastAsia="Times New Roman" w:hAnsiTheme="majorBidi" w:cstheme="majorBidi"/>
          <w:b/>
          <w:bCs/>
          <w:lang w:bidi="ar-AE"/>
        </w:rPr>
      </w:pPr>
      <w:r w:rsidRPr="006D4265">
        <w:rPr>
          <w:rFonts w:asciiTheme="majorBidi" w:eastAsia="Times New Roman" w:hAnsiTheme="majorBidi" w:cstheme="majorBidi"/>
          <w:b/>
          <w:bCs/>
          <w:lang w:bidi="ar-AE"/>
        </w:rPr>
        <w:t xml:space="preserve">Le syntagme verbal </w:t>
      </w:r>
      <w:r>
        <w:rPr>
          <w:rFonts w:asciiTheme="majorBidi" w:eastAsia="Times New Roman" w:hAnsiTheme="majorBidi" w:cstheme="majorBidi"/>
          <w:b/>
          <w:bCs/>
          <w:i/>
          <w:iCs/>
          <w:lang w:bidi="ar-AE"/>
        </w:rPr>
        <w:t xml:space="preserve">li-tukabbirū </w:t>
      </w:r>
      <w:r w:rsidRPr="006D4265">
        <w:rPr>
          <w:rFonts w:asciiTheme="majorBidi" w:eastAsia="Times New Roman" w:hAnsiTheme="majorBidi" w:cstheme="majorBidi"/>
          <w:b/>
          <w:bCs/>
          <w:i/>
          <w:iCs/>
          <w:lang w:bidi="ar-AE"/>
        </w:rPr>
        <w:t>llāh </w:t>
      </w:r>
      <w:r w:rsidRPr="006D4265">
        <w:rPr>
          <w:rFonts w:asciiTheme="majorBidi" w:eastAsia="Times New Roman" w:hAnsiTheme="majorBidi" w:cstheme="majorBidi"/>
          <w:b/>
          <w:bCs/>
          <w:lang w:bidi="ar-AE"/>
        </w:rPr>
        <w:t>:</w:t>
      </w:r>
    </w:p>
    <w:p w14:paraId="15B6083F" w14:textId="5CFD5C89" w:rsidR="00296288" w:rsidRPr="006D4265" w:rsidRDefault="00296288" w:rsidP="00296288">
      <w:pPr>
        <w:spacing w:line="360" w:lineRule="auto"/>
        <w:ind w:firstLine="360"/>
        <w:contextualSpacing/>
        <w:jc w:val="both"/>
        <w:rPr>
          <w:rFonts w:asciiTheme="majorBidi" w:eastAsia="Calibri" w:hAnsiTheme="majorBidi" w:cstheme="majorBidi"/>
          <w:lang w:bidi="ar-AE"/>
        </w:rPr>
      </w:pPr>
      <w:r w:rsidRPr="006D4265">
        <w:rPr>
          <w:rFonts w:asciiTheme="majorBidi" w:eastAsia="Times New Roman" w:hAnsiTheme="majorBidi" w:cstheme="majorBidi"/>
          <w:lang w:bidi="ar-AE"/>
        </w:rPr>
        <w:t>Le syntagme verbal « </w:t>
      </w:r>
      <w:r>
        <w:rPr>
          <w:rFonts w:asciiTheme="majorBidi" w:eastAsia="Times New Roman" w:hAnsiTheme="majorBidi" w:cstheme="majorBidi"/>
          <w:i/>
          <w:iCs/>
          <w:lang w:bidi="ar-AE"/>
        </w:rPr>
        <w:t xml:space="preserve">li-tukabbirū </w:t>
      </w:r>
      <w:r w:rsidRPr="006D4265">
        <w:rPr>
          <w:rFonts w:asciiTheme="majorBidi" w:eastAsia="Times New Roman" w:hAnsiTheme="majorBidi" w:cstheme="majorBidi"/>
          <w:i/>
          <w:iCs/>
          <w:lang w:bidi="ar-AE"/>
        </w:rPr>
        <w:t>llāh</w:t>
      </w:r>
      <w:r w:rsidRPr="006D4265">
        <w:rPr>
          <w:rFonts w:asciiTheme="majorBidi" w:eastAsia="Times New Roman" w:hAnsiTheme="majorBidi" w:cstheme="majorBidi"/>
          <w:lang w:bidi="ar-AE"/>
        </w:rPr>
        <w:t xml:space="preserve"> » </w:t>
      </w:r>
      <w:r w:rsidRPr="006D4265">
        <w:rPr>
          <w:rFonts w:asciiTheme="majorBidi" w:eastAsia="Times New Roman" w:hAnsiTheme="majorBidi" w:cstheme="majorBidi"/>
        </w:rPr>
        <w:t>[</w:t>
      </w:r>
      <w:r w:rsidRPr="006D4265">
        <w:rPr>
          <w:rFonts w:asciiTheme="majorBidi" w:eastAsia="Times New Roman" w:hAnsiTheme="majorBidi" w:cstheme="majorBidi"/>
          <w:i/>
          <w:iCs/>
          <w:lang w:bidi="ar-AE"/>
        </w:rPr>
        <w:t>litt.</w:t>
      </w:r>
      <w:r w:rsidRPr="006D4265">
        <w:rPr>
          <w:rFonts w:asciiTheme="majorBidi" w:eastAsia="Times New Roman" w:hAnsiTheme="majorBidi" w:cstheme="majorBidi"/>
          <w:lang w:bidi="ar-AE"/>
        </w:rPr>
        <w:t> : pour agrandir Dieu</w:t>
      </w:r>
      <w:r w:rsidRPr="006D4265">
        <w:rPr>
          <w:rFonts w:asciiTheme="majorBidi" w:hAnsiTheme="majorBidi" w:cstheme="majorBidi"/>
        </w:rPr>
        <w:t>]</w:t>
      </w:r>
      <w:r w:rsidRPr="006D4265">
        <w:rPr>
          <w:rFonts w:asciiTheme="majorBidi" w:eastAsia="Times New Roman" w:hAnsiTheme="majorBidi" w:cstheme="majorBidi"/>
          <w:lang w:bidi="ar-AE"/>
        </w:rPr>
        <w:t xml:space="preserve"> (v. 37)</w:t>
      </w:r>
      <w:r w:rsidR="008E1AD3">
        <w:rPr>
          <w:rFonts w:asciiTheme="majorBidi" w:eastAsia="Times New Roman" w:hAnsiTheme="majorBidi" w:cstheme="majorBidi"/>
          <w:lang w:bidi="ar-AE"/>
        </w:rPr>
        <w:t xml:space="preserve"> peut dire plusieurs choses : 1) </w:t>
      </w:r>
      <w:r w:rsidRPr="006D4265">
        <w:rPr>
          <w:rFonts w:asciiTheme="majorBidi" w:eastAsia="Times New Roman" w:hAnsiTheme="majorBidi" w:cstheme="majorBidi"/>
          <w:lang w:bidi="ar-AE"/>
        </w:rPr>
        <w:t>pour glorifie</w:t>
      </w:r>
      <w:r w:rsidR="008E1AD3">
        <w:rPr>
          <w:rFonts w:asciiTheme="majorBidi" w:eastAsia="Times New Roman" w:hAnsiTheme="majorBidi" w:cstheme="majorBidi"/>
          <w:lang w:bidi="ar-AE"/>
        </w:rPr>
        <w:t xml:space="preserve">r Dieu de vous avoir guidés ; 2) </w:t>
      </w:r>
      <w:r w:rsidRPr="006D4265">
        <w:rPr>
          <w:rFonts w:asciiTheme="majorBidi" w:eastAsia="Times New Roman" w:hAnsiTheme="majorBidi" w:cstheme="majorBidi"/>
          <w:lang w:bidi="ar-AE"/>
        </w:rPr>
        <w:t>pour dire : « </w:t>
      </w:r>
      <w:r w:rsidRPr="006D4265">
        <w:rPr>
          <w:rFonts w:asciiTheme="majorBidi" w:eastAsia="Times New Roman" w:hAnsiTheme="majorBidi" w:cstheme="majorBidi"/>
          <w:i/>
          <w:iCs/>
          <w:lang w:bidi="ar-AE"/>
        </w:rPr>
        <w:t>Allāh Akbar</w:t>
      </w:r>
      <w:r w:rsidRPr="006D4265">
        <w:rPr>
          <w:rFonts w:asciiTheme="majorBidi" w:eastAsia="Times New Roman" w:hAnsiTheme="majorBidi" w:cstheme="majorBidi"/>
          <w:lang w:bidi="ar-AE"/>
        </w:rPr>
        <w:t> » quand vous égorgez l</w:t>
      </w:r>
      <w:r w:rsidR="008E1AD3">
        <w:rPr>
          <w:rFonts w:asciiTheme="majorBidi" w:eastAsia="Times New Roman" w:hAnsiTheme="majorBidi" w:cstheme="majorBidi"/>
          <w:lang w:bidi="ar-AE"/>
        </w:rPr>
        <w:t xml:space="preserve">’animal ; 3) </w:t>
      </w:r>
      <w:r w:rsidRPr="006D4265">
        <w:rPr>
          <w:rFonts w:asciiTheme="majorBidi" w:eastAsia="Times New Roman" w:hAnsiTheme="majorBidi" w:cstheme="majorBidi"/>
          <w:lang w:bidi="ar-AE"/>
        </w:rPr>
        <w:t>pour co</w:t>
      </w:r>
      <w:r w:rsidR="008E1AD3">
        <w:rPr>
          <w:rFonts w:asciiTheme="majorBidi" w:eastAsia="Times New Roman" w:hAnsiTheme="majorBidi" w:cstheme="majorBidi"/>
          <w:lang w:bidi="ar-AE"/>
        </w:rPr>
        <w:t xml:space="preserve">nnaître la grandeur de Dieu ; 4) </w:t>
      </w:r>
      <w:r w:rsidRPr="006D4265">
        <w:rPr>
          <w:rFonts w:asciiTheme="majorBidi" w:eastAsia="Times New Roman" w:hAnsiTheme="majorBidi" w:cstheme="majorBidi"/>
          <w:lang w:bidi="ar-AE"/>
        </w:rPr>
        <w:t xml:space="preserve">pour magnifier Dieu pendant les jours de </w:t>
      </w:r>
      <w:r w:rsidRPr="006D4265">
        <w:rPr>
          <w:rFonts w:asciiTheme="majorBidi" w:eastAsia="Calibri" w:hAnsiTheme="majorBidi" w:cstheme="majorBidi"/>
          <w:i/>
          <w:iCs/>
          <w:lang w:bidi="ar-AE"/>
        </w:rPr>
        <w:t>tashrīq</w:t>
      </w:r>
      <w:r w:rsidRPr="006D4265">
        <w:rPr>
          <w:rFonts w:asciiTheme="majorBidi" w:eastAsia="Calibri" w:hAnsiTheme="majorBidi" w:cstheme="majorBidi"/>
          <w:lang w:bidi="ar-AE"/>
        </w:rPr>
        <w:t xml:space="preserve"> (les trois jours qui suivent le jour d’</w:t>
      </w:r>
      <w:r>
        <w:rPr>
          <w:rFonts w:asciiTheme="majorBidi" w:eastAsia="Calibri" w:hAnsiTheme="majorBidi" w:cstheme="majorBidi"/>
          <w:i/>
          <w:iCs/>
          <w:lang w:bidi="ar-AE"/>
        </w:rPr>
        <w:t>al-</w:t>
      </w:r>
      <w:r w:rsidRPr="006D4265">
        <w:rPr>
          <w:rFonts w:asciiTheme="majorBidi" w:eastAsia="Calibri" w:hAnsiTheme="majorBidi" w:cstheme="majorBidi"/>
          <w:i/>
          <w:iCs/>
          <w:lang w:bidi="ar-AE"/>
        </w:rPr>
        <w:t>aḍḥā</w:t>
      </w:r>
      <w:r w:rsidR="008E1AD3">
        <w:rPr>
          <w:rFonts w:asciiTheme="majorBidi" w:eastAsia="Calibri" w:hAnsiTheme="majorBidi" w:cstheme="majorBidi"/>
          <w:lang w:bidi="ar-AE"/>
        </w:rPr>
        <w:t xml:space="preserve">) (Al-Qummī) ; 5) </w:t>
      </w:r>
      <w:r w:rsidRPr="006D4265">
        <w:rPr>
          <w:rFonts w:asciiTheme="majorBidi" w:eastAsia="Calibri" w:hAnsiTheme="majorBidi" w:cstheme="majorBidi"/>
          <w:lang w:bidi="ar-AE"/>
        </w:rPr>
        <w:t xml:space="preserve">pour évoquer Dieu et le remercier </w:t>
      </w:r>
      <w:r w:rsidRPr="006D4265">
        <w:rPr>
          <w:rFonts w:asciiTheme="majorBidi" w:eastAsia="Times New Roman" w:hAnsiTheme="majorBidi" w:cstheme="majorBidi"/>
          <w:lang w:bidi="ar-AE"/>
        </w:rPr>
        <w:t>(</w:t>
      </w:r>
      <w:r w:rsidRPr="006D4265">
        <w:rPr>
          <w:rFonts w:asciiTheme="majorBidi" w:eastAsia="Calibri" w:hAnsiTheme="majorBidi" w:cstheme="majorBidi"/>
        </w:rPr>
        <w:t>Ash-Shaʿrāwī) ;</w:t>
      </w:r>
      <w:r w:rsidR="008E1AD3">
        <w:rPr>
          <w:rFonts w:asciiTheme="majorBidi" w:eastAsia="Calibri" w:hAnsiTheme="majorBidi" w:cstheme="majorBidi"/>
          <w:lang w:bidi="ar-AE"/>
        </w:rPr>
        <w:t xml:space="preserve"> 6) </w:t>
      </w:r>
      <w:r w:rsidRPr="006D4265">
        <w:rPr>
          <w:rFonts w:asciiTheme="majorBidi" w:eastAsia="Calibri" w:hAnsiTheme="majorBidi" w:cstheme="majorBidi"/>
          <w:lang w:bidi="ar-AE"/>
        </w:rPr>
        <w:t>pour s’anéantir en Dieu (Ibn ʿArabī).</w:t>
      </w:r>
    </w:p>
    <w:p w14:paraId="03670BEB" w14:textId="77777777" w:rsidR="00296288" w:rsidRPr="006D4265" w:rsidRDefault="00296288" w:rsidP="00296288">
      <w:pPr>
        <w:spacing w:line="360" w:lineRule="auto"/>
        <w:contextualSpacing/>
        <w:jc w:val="both"/>
        <w:rPr>
          <w:rFonts w:asciiTheme="majorBidi" w:eastAsia="Times New Roman" w:hAnsiTheme="majorBidi" w:cstheme="majorBidi"/>
          <w:lang w:bidi="ar-AE"/>
        </w:rPr>
      </w:pPr>
    </w:p>
    <w:p w14:paraId="2340DE3C" w14:textId="77777777" w:rsidR="00296288" w:rsidRPr="006D4265" w:rsidRDefault="00296288" w:rsidP="00296288">
      <w:pPr>
        <w:spacing w:line="360" w:lineRule="auto"/>
        <w:contextualSpacing/>
        <w:rPr>
          <w:rFonts w:asciiTheme="majorBidi" w:eastAsia="Times New Roman" w:hAnsiTheme="majorBidi" w:cstheme="majorBidi"/>
          <w:b/>
          <w:bCs/>
          <w:rtl/>
          <w:lang w:bidi="ar-AE"/>
        </w:rPr>
      </w:pPr>
      <w:r w:rsidRPr="006D4265">
        <w:rPr>
          <w:rFonts w:asciiTheme="majorBidi" w:eastAsia="Times New Roman" w:hAnsiTheme="majorBidi" w:cstheme="majorBidi"/>
          <w:b/>
          <w:bCs/>
          <w:lang w:bidi="ar-AE"/>
        </w:rPr>
        <w:t>Verset 38 : comment Dieu prend la défense des croyants ?</w:t>
      </w:r>
    </w:p>
    <w:p w14:paraId="0A9A6F8E" w14:textId="77777777" w:rsidR="00296288" w:rsidRPr="006D4265" w:rsidRDefault="00296288" w:rsidP="00296288">
      <w:pPr>
        <w:tabs>
          <w:tab w:val="left" w:pos="4136"/>
        </w:tabs>
        <w:bidi/>
        <w:spacing w:line="360" w:lineRule="auto"/>
        <w:jc w:val="both"/>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(38) إنَّ اللهَ يُدافِعُ عن الذين آمَنوا إنَّ اللهَ لا يُحِبُّ كلَّ خوَّانٍ كَفُور.</w:t>
      </w:r>
    </w:p>
    <w:p w14:paraId="61B64033" w14:textId="77777777" w:rsidR="00296288" w:rsidRPr="006D4265" w:rsidRDefault="00296288" w:rsidP="00296288">
      <w:pPr>
        <w:tabs>
          <w:tab w:val="left" w:pos="4136"/>
        </w:tabs>
        <w:spacing w:line="360" w:lineRule="auto"/>
        <w:jc w:val="both"/>
        <w:rPr>
          <w:rFonts w:eastAsia="Times New Roman"/>
        </w:rPr>
      </w:pPr>
      <w:r w:rsidRPr="006D4265">
        <w:rPr>
          <w:rFonts w:eastAsia="Times New Roman"/>
          <w:lang w:bidi="ar-AE"/>
        </w:rPr>
        <w:t>(38) Dieu prend la défense de ceux qui croient, Il n’aime pas l’homme de traîtrise et de dénégation.</w:t>
      </w:r>
    </w:p>
    <w:p w14:paraId="27C9C569" w14:textId="77777777" w:rsidR="00296288" w:rsidRPr="006D4265" w:rsidRDefault="00296288" w:rsidP="00296288">
      <w:pPr>
        <w:spacing w:line="360" w:lineRule="auto"/>
        <w:ind w:firstLine="708"/>
        <w:jc w:val="both"/>
        <w:rPr>
          <w:rFonts w:eastAsia="Times New Roman"/>
        </w:rPr>
      </w:pPr>
    </w:p>
    <w:p w14:paraId="02A721AB" w14:textId="77777777" w:rsidR="00296288" w:rsidRPr="006D4265" w:rsidRDefault="00296288" w:rsidP="00296288">
      <w:pPr>
        <w:spacing w:line="360" w:lineRule="auto"/>
        <w:ind w:firstLine="426"/>
        <w:jc w:val="both"/>
        <w:rPr>
          <w:rFonts w:eastAsia="Times New Roman"/>
        </w:rPr>
      </w:pPr>
      <w:r w:rsidRPr="006D4265">
        <w:rPr>
          <w:rFonts w:eastAsia="Times New Roman"/>
        </w:rPr>
        <w:t>Le verset 38 déclare que Dieu défend les croyants. Comment les défend-Il ? Selon les exégètes, Dieu défend les croyants des manières suivantes :</w:t>
      </w:r>
    </w:p>
    <w:p w14:paraId="60C34C66" w14:textId="77777777" w:rsidR="00296288" w:rsidRPr="006D4265" w:rsidRDefault="00296288" w:rsidP="007640DC">
      <w:pPr>
        <w:pStyle w:val="Paragraphedeliste"/>
        <w:numPr>
          <w:ilvl w:val="0"/>
          <w:numId w:val="93"/>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protège les croyants contre les machinations, le danger et le mal des polythéistes en empêchant ces derniers de faire du mal contre les musulmans (</w:t>
      </w:r>
      <w:r w:rsidRPr="006D4265">
        <w:rPr>
          <w:rFonts w:ascii="Times New Roman" w:hAnsi="Times New Roman" w:cs="Times New Roman"/>
          <w:sz w:val="24"/>
          <w:szCs w:val="24"/>
          <w:lang w:eastAsia="fr-FR" w:bidi="ar-AE"/>
        </w:rPr>
        <w:t>Aṭ-Ṭabarī</w:t>
      </w:r>
      <w:r w:rsidRPr="006D4265">
        <w:rPr>
          <w:rFonts w:ascii="Times New Roman" w:hAnsi="Times New Roman" w:cs="Times New Roman"/>
          <w:sz w:val="24"/>
          <w:szCs w:val="24"/>
          <w:lang w:eastAsia="fr-FR"/>
        </w:rPr>
        <w:t>,</w:t>
      </w:r>
      <w:r w:rsidRPr="006D4265">
        <w:rPr>
          <w:rFonts w:ascii="Times New Roman" w:eastAsia="Calibri" w:hAnsi="Times New Roman" w:cs="Times New Roman"/>
          <w:sz w:val="24"/>
          <w:szCs w:val="24"/>
          <w:lang w:bidi="ar-AE"/>
        </w:rPr>
        <w:t xml:space="preserve"> Al-Baghawī</w:t>
      </w:r>
      <w:r w:rsidRPr="006D4265">
        <w:rPr>
          <w:rFonts w:ascii="Times New Roman" w:hAnsi="Times New Roman" w:cs="Times New Roman"/>
          <w:sz w:val="24"/>
          <w:szCs w:val="24"/>
          <w:lang w:eastAsia="fr-FR"/>
        </w:rPr>
        <w:t xml:space="preserve"> et </w:t>
      </w:r>
      <w:r w:rsidRPr="006D4265">
        <w:rPr>
          <w:rFonts w:ascii="Times New Roman" w:hAnsi="Times New Roman" w:cs="Times New Roman"/>
          <w:sz w:val="24"/>
          <w:szCs w:val="24"/>
        </w:rPr>
        <w:t>al-Qurṭubī).</w:t>
      </w:r>
    </w:p>
    <w:p w14:paraId="3F56D680" w14:textId="77777777" w:rsidR="00296288" w:rsidRPr="006D4265" w:rsidRDefault="00296288" w:rsidP="007640DC">
      <w:pPr>
        <w:pStyle w:val="Paragraphedeliste"/>
        <w:numPr>
          <w:ilvl w:val="0"/>
          <w:numId w:val="93"/>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fortifie la foi des croyants pour que les mécréants ne puissent plus les détourner du bon chemin (</w:t>
      </w:r>
      <w:r w:rsidRPr="006D4265">
        <w:rPr>
          <w:rFonts w:ascii="Times New Roman" w:hAnsi="Times New Roman" w:cs="Times New Roman"/>
          <w:sz w:val="24"/>
          <w:szCs w:val="24"/>
        </w:rPr>
        <w:t>al-Qurṭubī).</w:t>
      </w:r>
    </w:p>
    <w:p w14:paraId="016FB722" w14:textId="77777777" w:rsidR="00296288" w:rsidRPr="006D4265" w:rsidRDefault="00296288" w:rsidP="007640DC">
      <w:pPr>
        <w:pStyle w:val="Paragraphedeliste"/>
        <w:numPr>
          <w:ilvl w:val="0"/>
          <w:numId w:val="93"/>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secourt ceux qui s’en remettent à Lui (Ibn Kathīr).</w:t>
      </w:r>
    </w:p>
    <w:p w14:paraId="35D14388" w14:textId="77777777" w:rsidR="00296288" w:rsidRPr="006D4265" w:rsidRDefault="00296288" w:rsidP="007640DC">
      <w:pPr>
        <w:pStyle w:val="Paragraphedeliste"/>
        <w:numPr>
          <w:ilvl w:val="0"/>
          <w:numId w:val="93"/>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protège les forces spirituelles contre l’obscurité des forces psychiques (Ibn ʿArabī).</w:t>
      </w:r>
    </w:p>
    <w:p w14:paraId="38188A61" w14:textId="77777777" w:rsidR="00296288" w:rsidRPr="006D4265" w:rsidRDefault="00296288" w:rsidP="007640DC">
      <w:pPr>
        <w:pStyle w:val="Paragraphedeliste"/>
        <w:numPr>
          <w:ilvl w:val="0"/>
          <w:numId w:val="93"/>
        </w:numPr>
        <w:bidi w:val="0"/>
        <w:spacing w:after="0" w:line="360" w:lineRule="auto"/>
        <w:contextualSpacing/>
        <w:jc w:val="both"/>
        <w:rPr>
          <w:rFonts w:ascii="Times New Roman" w:hAnsi="Times New Roman" w:cs="Times New Roman"/>
          <w:sz w:val="24"/>
          <w:szCs w:val="24"/>
          <w:rtl/>
          <w:lang w:eastAsia="fr-FR"/>
        </w:rPr>
      </w:pPr>
      <w:r w:rsidRPr="006D4265">
        <w:rPr>
          <w:rFonts w:ascii="Times New Roman" w:hAnsi="Times New Roman" w:cs="Times New Roman"/>
          <w:sz w:val="24"/>
          <w:szCs w:val="24"/>
          <w:lang w:eastAsia="fr-FR"/>
        </w:rPr>
        <w:t>Il défend le croyant (souvent sans que ce dernier aperçoive), le soutient et lui inspire la réponse lorsque quelqu’un lui pose une question (Shaykhū).</w:t>
      </w:r>
    </w:p>
    <w:p w14:paraId="2081859B" w14:textId="77777777" w:rsidR="00296288" w:rsidRPr="006D4265" w:rsidRDefault="00296288" w:rsidP="00296288">
      <w:pPr>
        <w:spacing w:line="360" w:lineRule="auto"/>
        <w:ind w:firstLine="708"/>
        <w:jc w:val="both"/>
        <w:rPr>
          <w:rFonts w:eastAsia="Times New Roman"/>
        </w:rPr>
      </w:pPr>
    </w:p>
    <w:p w14:paraId="23EF4109" w14:textId="77777777" w:rsidR="00296288" w:rsidRPr="006D4265" w:rsidRDefault="00296288" w:rsidP="00296288">
      <w:pPr>
        <w:spacing w:line="360" w:lineRule="auto"/>
        <w:ind w:firstLine="708"/>
        <w:jc w:val="both"/>
        <w:rPr>
          <w:rFonts w:eastAsia="Times New Roman"/>
        </w:rPr>
      </w:pPr>
      <w:r w:rsidRPr="006D4265">
        <w:rPr>
          <w:rFonts w:eastAsia="Times New Roman"/>
        </w:rPr>
        <w:lastRenderedPageBreak/>
        <w:t>Nous remarquons clairement comment le contexte sociopolitique influence l’exégèse. Quand le contexte était celui du conflit militaire entre les musulmans et leur entourage non musul</w:t>
      </w:r>
      <w:r>
        <w:rPr>
          <w:rFonts w:eastAsia="Times New Roman"/>
        </w:rPr>
        <w:t>man, la plus ancienne exégèse (</w:t>
      </w:r>
      <w:r w:rsidRPr="006D4265">
        <w:rPr>
          <w:rFonts w:eastAsia="Times New Roman"/>
          <w:lang w:bidi="ar-AE"/>
        </w:rPr>
        <w:t>Aṭ-Ṭabarī</w:t>
      </w:r>
      <w:r w:rsidRPr="006D4265">
        <w:rPr>
          <w:rFonts w:eastAsia="Times New Roman"/>
        </w:rPr>
        <w:t>) souligne qu’il s’agit d’une protection contre le danger des païens. Par contre, lorsque le conflit est devenu actuellement culturel, intellectuel et scientifique, l’exégèse contemporaine de Shaykhū (m. 1964) parle d’une inspiration de la réponse au croyant.</w:t>
      </w:r>
    </w:p>
    <w:p w14:paraId="2C9EB2D0" w14:textId="77777777" w:rsidR="00296288" w:rsidRPr="006D4265" w:rsidRDefault="00296288" w:rsidP="00296288">
      <w:pPr>
        <w:spacing w:line="360" w:lineRule="auto"/>
        <w:contextualSpacing/>
        <w:jc w:val="both"/>
        <w:rPr>
          <w:rFonts w:eastAsia="Times New Roman"/>
          <w:color w:val="FF0000"/>
          <w:lang w:bidi="ar-AE"/>
        </w:rPr>
      </w:pPr>
    </w:p>
    <w:p w14:paraId="5F3EA669" w14:textId="77777777" w:rsidR="00296288" w:rsidRPr="006D4265" w:rsidRDefault="00296288" w:rsidP="00296288">
      <w:pPr>
        <w:spacing w:line="360" w:lineRule="auto"/>
        <w:contextualSpacing/>
        <w:jc w:val="both"/>
        <w:rPr>
          <w:rFonts w:eastAsia="Times New Roman"/>
          <w:b/>
          <w:bCs/>
          <w:lang w:bidi="ar-AE"/>
        </w:rPr>
      </w:pPr>
      <w:r w:rsidRPr="006D4265">
        <w:rPr>
          <w:rFonts w:eastAsia="Times New Roman"/>
          <w:b/>
          <w:bCs/>
          <w:lang w:bidi="ar-AE"/>
        </w:rPr>
        <w:t>Verset 40 :</w:t>
      </w:r>
    </w:p>
    <w:p w14:paraId="0182E39D" w14:textId="77777777" w:rsidR="00296288" w:rsidRPr="006D4265" w:rsidRDefault="00296288" w:rsidP="00296288">
      <w:pPr>
        <w:spacing w:line="360" w:lineRule="auto"/>
        <w:ind w:firstLine="360"/>
        <w:jc w:val="both"/>
        <w:rPr>
          <w:rFonts w:eastAsia="Times New Roman"/>
        </w:rPr>
      </w:pPr>
      <w:r w:rsidRPr="006D4265">
        <w:rPr>
          <w:rFonts w:eastAsia="Times New Roman"/>
        </w:rPr>
        <w:t xml:space="preserve">Le verset 40 décrit ceux à qui la permission a été donnée de combattre les autres. Il s’agit de ceux qui ont été expulsés de leurs maisons seulement parce qu’ils déclaraient que leur Seigneur était Allah. Mais cette description peut s’appliquer à n’importe quelle communauté croyante en Allah. Ainsi, l’exégète chiite </w:t>
      </w:r>
      <w:r w:rsidRPr="006D4265">
        <w:rPr>
          <w:rFonts w:eastAsia="Calibri"/>
        </w:rPr>
        <w:t>Al-Qummī</w:t>
      </w:r>
      <w:r w:rsidRPr="006D4265">
        <w:rPr>
          <w:rFonts w:eastAsia="Times New Roman"/>
        </w:rPr>
        <w:t xml:space="preserve"> a interprété ce verset pour justifier l</w:t>
      </w:r>
      <w:r>
        <w:rPr>
          <w:rFonts w:eastAsia="Times New Roman"/>
        </w:rPr>
        <w:t>a rébellion d’al-Ḥusayn</w:t>
      </w:r>
      <w:r w:rsidRPr="006D4265">
        <w:rPr>
          <w:rFonts w:eastAsia="Times New Roman"/>
        </w:rPr>
        <w:t xml:space="preserve"> contre les Omeyyades en disant que le verset parle d’al-Ḥusayn lorsque Yazīd (le calife omeyyade) l’a cherché pour l’amener à Damas et qu’al-Ḥ</w:t>
      </w:r>
      <w:r>
        <w:rPr>
          <w:rFonts w:eastAsia="Times New Roman"/>
        </w:rPr>
        <w:t>usayn a fui vers Koufa</w:t>
      </w:r>
      <w:r w:rsidRPr="006D4265">
        <w:rPr>
          <w:rFonts w:eastAsia="Times New Roman"/>
        </w:rPr>
        <w:t xml:space="preserve">. </w:t>
      </w:r>
      <w:r w:rsidRPr="006D4265">
        <w:rPr>
          <w:rFonts w:eastAsia="Calibri"/>
        </w:rPr>
        <w:t>Al-Qummī</w:t>
      </w:r>
      <w:r w:rsidRPr="006D4265">
        <w:rPr>
          <w:rFonts w:eastAsia="Times New Roman"/>
        </w:rPr>
        <w:t xml:space="preserve"> voulait dire que la communauté d’al-Ḥusayn et par la suite les chiites ont le droit de combattre les omeyyades (sunnites). Par contre, les exégètes sunnites ont compris cette phrase comme suit :</w:t>
      </w:r>
    </w:p>
    <w:p w14:paraId="1562ACDE" w14:textId="77777777" w:rsidR="00296288" w:rsidRPr="006D4265" w:rsidRDefault="00296288" w:rsidP="007640DC">
      <w:pPr>
        <w:pStyle w:val="Paragraphedeliste"/>
        <w:numPr>
          <w:ilvl w:val="0"/>
          <w:numId w:val="94"/>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s’agit de ceux qui ont été évincés de leurs maisons par les Quraychites païens de La Mecque au début de l’islam.</w:t>
      </w:r>
    </w:p>
    <w:p w14:paraId="058E8849" w14:textId="77777777" w:rsidR="00296288" w:rsidRPr="006D4265" w:rsidRDefault="00296288" w:rsidP="007640DC">
      <w:pPr>
        <w:pStyle w:val="Paragraphedeliste"/>
        <w:numPr>
          <w:ilvl w:val="0"/>
          <w:numId w:val="94"/>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Il s’agit de tous ceux qui ont subi l’injustice et qui ont été expulsés de leurs demeures sans aucune raison.</w:t>
      </w:r>
    </w:p>
    <w:p w14:paraId="480F0A02" w14:textId="77777777" w:rsidR="00296288" w:rsidRPr="006D4265" w:rsidRDefault="00296288" w:rsidP="007640DC">
      <w:pPr>
        <w:pStyle w:val="Paragraphedeliste"/>
        <w:numPr>
          <w:ilvl w:val="0"/>
          <w:numId w:val="94"/>
        </w:numPr>
        <w:bidi w:val="0"/>
        <w:spacing w:after="0" w:line="360" w:lineRule="auto"/>
        <w:contextualSpacing/>
        <w:jc w:val="both"/>
        <w:rPr>
          <w:rFonts w:ascii="Times New Roman" w:hAnsi="Times New Roman" w:cs="Times New Roman"/>
          <w:sz w:val="24"/>
          <w:szCs w:val="24"/>
          <w:lang w:eastAsia="fr-FR"/>
        </w:rPr>
      </w:pPr>
      <w:r w:rsidRPr="006D4265">
        <w:rPr>
          <w:rFonts w:ascii="Times New Roman" w:hAnsi="Times New Roman" w:cs="Times New Roman"/>
          <w:sz w:val="24"/>
          <w:szCs w:val="24"/>
          <w:lang w:eastAsia="fr-FR"/>
        </w:rPr>
        <w:t xml:space="preserve">Il s’agit de ceux qui ont quitté leurs maisons pour la cause de Dieu. </w:t>
      </w:r>
    </w:p>
    <w:p w14:paraId="03FFDABD" w14:textId="77777777" w:rsidR="00296288" w:rsidRPr="006D4265" w:rsidRDefault="00296288" w:rsidP="00296288">
      <w:pPr>
        <w:spacing w:line="360" w:lineRule="auto"/>
        <w:jc w:val="both"/>
        <w:rPr>
          <w:rFonts w:eastAsia="Times New Roman"/>
        </w:rPr>
      </w:pPr>
    </w:p>
    <w:p w14:paraId="097744F4" w14:textId="77777777" w:rsidR="00296288" w:rsidRPr="006D4265" w:rsidRDefault="00296288" w:rsidP="00296288">
      <w:pPr>
        <w:spacing w:line="360" w:lineRule="auto"/>
        <w:jc w:val="both"/>
        <w:rPr>
          <w:rFonts w:eastAsia="Times New Roman"/>
          <w:b/>
          <w:bCs/>
        </w:rPr>
      </w:pPr>
      <w:r w:rsidRPr="006D4265">
        <w:rPr>
          <w:rFonts w:eastAsia="Times New Roman"/>
          <w:b/>
          <w:bCs/>
        </w:rPr>
        <w:t>L’expression « </w:t>
      </w:r>
      <w:r>
        <w:rPr>
          <w:rFonts w:eastAsia="Times New Roman" w:hint="cs"/>
          <w:b/>
          <w:bCs/>
          <w:rtl/>
        </w:rPr>
        <w:t>دفْعُ اللهِ الناسَ بعضَهم ببعض</w:t>
      </w:r>
      <w:r w:rsidRPr="006D4265">
        <w:rPr>
          <w:rFonts w:eastAsia="Times New Roman"/>
          <w:b/>
          <w:bCs/>
        </w:rPr>
        <w:t> » :</w:t>
      </w:r>
    </w:p>
    <w:p w14:paraId="3F9CF246" w14:textId="77777777" w:rsidR="00296288" w:rsidRPr="006D4265" w:rsidRDefault="00296288" w:rsidP="00296288">
      <w:pPr>
        <w:spacing w:line="360" w:lineRule="auto"/>
        <w:ind w:firstLine="708"/>
        <w:jc w:val="both"/>
        <w:rPr>
          <w:rFonts w:eastAsia="Times New Roman"/>
        </w:rPr>
      </w:pPr>
      <w:r w:rsidRPr="006D4265">
        <w:rPr>
          <w:rFonts w:eastAsia="Times New Roman"/>
        </w:rPr>
        <w:t>L’expression « </w:t>
      </w:r>
      <w:r w:rsidRPr="005E2F48">
        <w:rPr>
          <w:rFonts w:eastAsia="Times New Roman" w:hint="cs"/>
          <w:rtl/>
        </w:rPr>
        <w:t>دفْعُ اللهِ الناسَ بعضَهم ببعض</w:t>
      </w:r>
      <w:r w:rsidRPr="006D4265">
        <w:rPr>
          <w:rFonts w:eastAsia="Times New Roman"/>
        </w:rPr>
        <w:t> » [</w:t>
      </w:r>
      <w:r w:rsidRPr="006D4265">
        <w:rPr>
          <w:rFonts w:eastAsia="Times New Roman"/>
          <w:lang w:bidi="ar-AE"/>
        </w:rPr>
        <w:t>le fait que Dieu repousse les humains les uns par les autres</w:t>
      </w:r>
      <w:r w:rsidRPr="006D4265">
        <w:rPr>
          <w:rFonts w:eastAsia="Times New Roman"/>
        </w:rPr>
        <w:t>] (v. 40) peut désigner le jihad, la défense, le conflit, la résistance ou l’épreuve.</w:t>
      </w:r>
    </w:p>
    <w:p w14:paraId="030732A9" w14:textId="77777777" w:rsidR="00296288" w:rsidRPr="006D4265" w:rsidRDefault="00296288" w:rsidP="00296288">
      <w:pPr>
        <w:spacing w:line="360" w:lineRule="auto"/>
        <w:ind w:firstLine="708"/>
        <w:jc w:val="both"/>
        <w:rPr>
          <w:rFonts w:eastAsia="Times New Roman"/>
        </w:rPr>
      </w:pPr>
    </w:p>
    <w:p w14:paraId="462F3EF5" w14:textId="77777777" w:rsidR="00296288" w:rsidRPr="006D4265" w:rsidRDefault="00296288" w:rsidP="007640DC">
      <w:pPr>
        <w:numPr>
          <w:ilvl w:val="0"/>
          <w:numId w:val="72"/>
        </w:numPr>
        <w:spacing w:line="360" w:lineRule="auto"/>
        <w:jc w:val="both"/>
        <w:rPr>
          <w:rFonts w:eastAsia="Times New Roman"/>
        </w:rPr>
      </w:pPr>
      <w:r w:rsidRPr="006D4265">
        <w:rPr>
          <w:rFonts w:eastAsia="Times New Roman"/>
        </w:rPr>
        <w:t>La première partie de la proposition conditionnelle (la protase, la condition) «</w:t>
      </w:r>
      <w:r>
        <w:rPr>
          <w:rFonts w:eastAsia="Times New Roman" w:hint="cs"/>
          <w:rtl/>
        </w:rPr>
        <w:t xml:space="preserve">ولولا </w:t>
      </w:r>
      <w:r w:rsidRPr="005E2F48">
        <w:rPr>
          <w:rFonts w:eastAsia="Times New Roman" w:hint="cs"/>
          <w:rtl/>
        </w:rPr>
        <w:t>دفْعُ اللهِ الناسَ بعضَهم ببعض</w:t>
      </w:r>
      <w:r w:rsidRPr="006D4265">
        <w:rPr>
          <w:rFonts w:eastAsia="Times New Roman"/>
        </w:rPr>
        <w:t> » [</w:t>
      </w:r>
      <w:r w:rsidRPr="006D4265">
        <w:rPr>
          <w:rFonts w:eastAsia="Times New Roman"/>
          <w:lang w:bidi="ar-AE"/>
        </w:rPr>
        <w:t>si Dieu ne repoussait pas les humains les uns par les autres</w:t>
      </w:r>
      <w:r w:rsidRPr="006D4265">
        <w:rPr>
          <w:rFonts w:eastAsia="Times New Roman"/>
        </w:rPr>
        <w:t>] peut signifier : 1</w:t>
      </w:r>
      <w:r>
        <w:rPr>
          <w:rFonts w:eastAsia="Times New Roman"/>
        </w:rPr>
        <w:t xml:space="preserve">) </w:t>
      </w:r>
      <w:r w:rsidRPr="006D4265">
        <w:rPr>
          <w:rFonts w:eastAsia="Times New Roman"/>
          <w:lang w:bidi="ar-AE"/>
        </w:rPr>
        <w:t>si Dieu ne repoussait pas</w:t>
      </w:r>
      <w:r w:rsidRPr="006D4265">
        <w:rPr>
          <w:rFonts w:eastAsia="Times New Roman"/>
        </w:rPr>
        <w:t xml:space="preserve"> les polythéistes par les croyants ; 2</w:t>
      </w:r>
      <w:r>
        <w:rPr>
          <w:rFonts w:eastAsia="Times New Roman"/>
        </w:rPr>
        <w:t xml:space="preserve">) </w:t>
      </w:r>
      <w:r w:rsidRPr="006D4265">
        <w:rPr>
          <w:rFonts w:eastAsia="Times New Roman"/>
        </w:rPr>
        <w:t>si le jihad n’avait pas existé (le droit aurait perdu) ; 3</w:t>
      </w:r>
      <w:r>
        <w:rPr>
          <w:rFonts w:eastAsia="Times New Roman"/>
        </w:rPr>
        <w:t xml:space="preserve">) </w:t>
      </w:r>
      <w:r w:rsidRPr="006D4265">
        <w:rPr>
          <w:rFonts w:eastAsia="Times New Roman"/>
        </w:rPr>
        <w:t>si les témoignages (irrécusables) n’existaient pas (Sufyān at-Thawrī) ; 4</w:t>
      </w:r>
      <w:r>
        <w:rPr>
          <w:rFonts w:eastAsia="Times New Roman"/>
        </w:rPr>
        <w:t xml:space="preserve">) </w:t>
      </w:r>
      <w:r w:rsidRPr="006D4265">
        <w:rPr>
          <w:rFonts w:eastAsia="Times New Roman"/>
        </w:rPr>
        <w:t>si Dieu n’avait pas permis aux croyants de combattre ; 5</w:t>
      </w:r>
      <w:r>
        <w:rPr>
          <w:rFonts w:eastAsia="Times New Roman"/>
        </w:rPr>
        <w:t xml:space="preserve">) </w:t>
      </w:r>
      <w:r w:rsidRPr="006D4265">
        <w:rPr>
          <w:rFonts w:eastAsia="Times New Roman"/>
        </w:rPr>
        <w:t xml:space="preserve">si </w:t>
      </w:r>
      <w:r w:rsidRPr="006D4265">
        <w:rPr>
          <w:rFonts w:eastAsia="Times New Roman"/>
        </w:rPr>
        <w:lastRenderedPageBreak/>
        <w:t>les croyants ne dominaient pas les mécréants ; 6</w:t>
      </w:r>
      <w:r>
        <w:rPr>
          <w:rFonts w:eastAsia="Times New Roman"/>
        </w:rPr>
        <w:t xml:space="preserve">) </w:t>
      </w:r>
      <w:r w:rsidRPr="006D4265">
        <w:rPr>
          <w:rFonts w:eastAsia="Times New Roman"/>
        </w:rPr>
        <w:t>si les pratiquants, les croyants et les justes ne priaient pas Dieu (Dieu aurait infligé le tourment sur la communauté) (At-Thaʿlabī) ; 7</w:t>
      </w:r>
      <w:r>
        <w:rPr>
          <w:rFonts w:eastAsia="Times New Roman"/>
        </w:rPr>
        <w:t xml:space="preserve">) </w:t>
      </w:r>
      <w:r w:rsidRPr="006D4265">
        <w:rPr>
          <w:rFonts w:eastAsia="Times New Roman"/>
        </w:rPr>
        <w:t>s’il n’y avait pas de conflit entre la vérité et l’erreur (dans lequel Dieu rend le non-croyant maître du croyant pour que ce dernier revienne à Dieu (ou devienne plus croyant) et Il rend le croyant maître du non-croyant pour que ce dernier devienne croyant) (Shaykhū).</w:t>
      </w:r>
    </w:p>
    <w:p w14:paraId="1D8F1460" w14:textId="77777777" w:rsidR="00296288" w:rsidRDefault="00296288" w:rsidP="007640DC">
      <w:pPr>
        <w:numPr>
          <w:ilvl w:val="0"/>
          <w:numId w:val="72"/>
        </w:numPr>
        <w:spacing w:line="360" w:lineRule="auto"/>
        <w:jc w:val="both"/>
        <w:rPr>
          <w:rFonts w:eastAsia="Times New Roman"/>
        </w:rPr>
      </w:pPr>
      <w:r w:rsidRPr="006D4265">
        <w:rPr>
          <w:rFonts w:eastAsia="Times New Roman"/>
        </w:rPr>
        <w:t>La seconde partie de la proposition conditionnelle (l’apodose, la réplique à la condition) « </w:t>
      </w:r>
      <w:r>
        <w:rPr>
          <w:rFonts w:eastAsia="Times New Roman" w:hint="cs"/>
          <w:rtl/>
        </w:rPr>
        <w:t>لهُدِّمَت صوامعُ وبِيَعٌ وصلواتٌ ومساجد</w:t>
      </w:r>
      <w:r w:rsidRPr="006D4265">
        <w:rPr>
          <w:rFonts w:eastAsia="Times New Roman"/>
          <w:i/>
          <w:iCs/>
        </w:rPr>
        <w:t>…</w:t>
      </w:r>
      <w:r w:rsidRPr="006D4265">
        <w:rPr>
          <w:rFonts w:eastAsia="Times New Roman"/>
        </w:rPr>
        <w:t> » [des monastères, des églises, des synagogues et des mosquées auraient été détruits] peut désigner : 1</w:t>
      </w:r>
      <w:r>
        <w:rPr>
          <w:rFonts w:eastAsia="Times New Roman"/>
        </w:rPr>
        <w:t xml:space="preserve">) </w:t>
      </w:r>
      <w:r w:rsidRPr="006D4265">
        <w:rPr>
          <w:rFonts w:eastAsia="Times New Roman"/>
        </w:rPr>
        <w:t>une destruction matérielle (démolition) ; 2</w:t>
      </w:r>
      <w:r>
        <w:rPr>
          <w:rFonts w:eastAsia="Times New Roman"/>
        </w:rPr>
        <w:t xml:space="preserve">) </w:t>
      </w:r>
      <w:r w:rsidRPr="006D4265">
        <w:rPr>
          <w:rFonts w:eastAsia="Times New Roman"/>
        </w:rPr>
        <w:t>une destruction morale (cessation de célébrer des cultes) ; 3</w:t>
      </w:r>
      <w:r>
        <w:rPr>
          <w:rFonts w:eastAsia="Times New Roman"/>
        </w:rPr>
        <w:t xml:space="preserve">) </w:t>
      </w:r>
      <w:r w:rsidRPr="006D4265">
        <w:rPr>
          <w:rFonts w:eastAsia="Times New Roman"/>
        </w:rPr>
        <w:t>ou la suprématie des polythéistes. Le temps de cette « destruction » peut remonter à l’époque du Prophète Muḥammad ou à l’époque de tout prophète.</w:t>
      </w:r>
    </w:p>
    <w:p w14:paraId="150D696A" w14:textId="77777777" w:rsidR="00296288" w:rsidRPr="00F5211F" w:rsidRDefault="00296288" w:rsidP="00296288">
      <w:pPr>
        <w:spacing w:line="360" w:lineRule="auto"/>
        <w:jc w:val="both"/>
        <w:rPr>
          <w:rFonts w:eastAsia="Times New Roman"/>
        </w:rPr>
      </w:pPr>
    </w:p>
    <w:p w14:paraId="3E91C660" w14:textId="77777777" w:rsidR="00296288" w:rsidRDefault="00296288" w:rsidP="00296288">
      <w:pPr>
        <w:spacing w:line="360" w:lineRule="auto"/>
        <w:jc w:val="both"/>
        <w:rPr>
          <w:rFonts w:eastAsia="Times New Roman"/>
          <w:rtl/>
        </w:rPr>
      </w:pPr>
      <w:r w:rsidRPr="006D4265">
        <w:rPr>
          <w:rFonts w:eastAsia="Times New Roman"/>
          <w:b/>
          <w:bCs/>
        </w:rPr>
        <w:t>La phrase «</w:t>
      </w:r>
      <w:r>
        <w:rPr>
          <w:rFonts w:eastAsia="Times New Roman"/>
          <w:b/>
          <w:bCs/>
        </w:rPr>
        <w:t xml:space="preserve"> </w:t>
      </w:r>
      <w:r>
        <w:rPr>
          <w:rFonts w:eastAsia="Times New Roman" w:hint="cs"/>
          <w:b/>
          <w:bCs/>
          <w:rtl/>
        </w:rPr>
        <w:t>ولينصرَنَّ اللهُ من ينصره</w:t>
      </w:r>
      <w:r w:rsidRPr="006D4265">
        <w:rPr>
          <w:rFonts w:eastAsia="Times New Roman"/>
          <w:b/>
          <w:bCs/>
        </w:rPr>
        <w:t> » :</w:t>
      </w:r>
    </w:p>
    <w:p w14:paraId="7974138F" w14:textId="77777777" w:rsidR="00296288" w:rsidRPr="006D4265" w:rsidRDefault="00296288" w:rsidP="00296288">
      <w:pPr>
        <w:spacing w:line="360" w:lineRule="auto"/>
        <w:ind w:firstLine="360"/>
        <w:jc w:val="both"/>
        <w:rPr>
          <w:rFonts w:eastAsia="Times New Roman"/>
        </w:rPr>
      </w:pPr>
      <w:r w:rsidRPr="006D4265">
        <w:rPr>
          <w:rFonts w:eastAsia="Times New Roman"/>
        </w:rPr>
        <w:t>Que désigne la phrase vague «</w:t>
      </w:r>
      <w:r w:rsidRPr="007C42DB">
        <w:rPr>
          <w:rFonts w:eastAsia="Times New Roman" w:hint="cs"/>
          <w:rtl/>
        </w:rPr>
        <w:t>ولينصرَنَّ اللهُ من ينصره</w:t>
      </w:r>
      <w:r w:rsidRPr="006D4265">
        <w:rPr>
          <w:rFonts w:eastAsia="Times New Roman"/>
        </w:rPr>
        <w:t> » [et Dieu secourra certainement celui qui Le secourt] (v. 40) ? Selon les exégètes, elle fait allusion</w:t>
      </w:r>
      <w:r>
        <w:rPr>
          <w:rFonts w:eastAsia="Times New Roman"/>
        </w:rPr>
        <w:t xml:space="preserve"> : 1) </w:t>
      </w:r>
      <w:r w:rsidRPr="006D4265">
        <w:rPr>
          <w:rFonts w:eastAsia="Times New Roman"/>
        </w:rPr>
        <w:t>au jihad, 2</w:t>
      </w:r>
      <w:r>
        <w:rPr>
          <w:rFonts w:eastAsia="Times New Roman"/>
        </w:rPr>
        <w:t xml:space="preserve">) </w:t>
      </w:r>
      <w:r w:rsidRPr="006D4265">
        <w:rPr>
          <w:rFonts w:eastAsia="Times New Roman"/>
        </w:rPr>
        <w:t>au prosélytisme (</w:t>
      </w:r>
      <w:r w:rsidRPr="006D4265">
        <w:rPr>
          <w:rFonts w:eastAsia="Times New Roman"/>
          <w:i/>
          <w:iCs/>
        </w:rPr>
        <w:t>daʿwa</w:t>
      </w:r>
      <w:r w:rsidRPr="006D4265">
        <w:rPr>
          <w:rFonts w:eastAsia="Times New Roman"/>
        </w:rPr>
        <w:t>) 3</w:t>
      </w:r>
      <w:r>
        <w:rPr>
          <w:rFonts w:eastAsia="Times New Roman"/>
        </w:rPr>
        <w:t xml:space="preserve">) </w:t>
      </w:r>
      <w:r w:rsidRPr="006D4265">
        <w:rPr>
          <w:rFonts w:eastAsia="Times New Roman"/>
        </w:rPr>
        <w:t>ou à la loi du karma</w:t>
      </w:r>
      <w:r w:rsidRPr="006D4265">
        <w:rPr>
          <w:rFonts w:eastAsia="Times New Roman"/>
          <w:shd w:val="clear" w:color="auto" w:fill="FFFFFF"/>
        </w:rPr>
        <w:t xml:space="preserve">, </w:t>
      </w:r>
      <w:r w:rsidRPr="006D4265">
        <w:rPr>
          <w:rFonts w:eastAsia="Times New Roman"/>
        </w:rPr>
        <w:t>la « loi de rétribution », la loi de cause à effet (l’être humain reçoit les résultats de ses actes, selon le verset XCIX, 7 et 8</w:t>
      </w:r>
      <w:r w:rsidRPr="006D4265">
        <w:rPr>
          <w:rFonts w:eastAsia="Times New Roman"/>
          <w:lang w:bidi="ar-EG"/>
        </w:rPr>
        <w:t>). Nous allons prendre trois exégètes représentatifs (ancien, moyen et moderne).</w:t>
      </w:r>
    </w:p>
    <w:p w14:paraId="751F481C" w14:textId="77777777" w:rsidR="00296288" w:rsidRPr="006D4265" w:rsidRDefault="00296288" w:rsidP="007640DC">
      <w:pPr>
        <w:keepNext/>
        <w:numPr>
          <w:ilvl w:val="0"/>
          <w:numId w:val="21"/>
        </w:numPr>
        <w:shd w:val="clear" w:color="auto" w:fill="FFFFFF"/>
        <w:spacing w:line="360" w:lineRule="auto"/>
        <w:jc w:val="both"/>
        <w:outlineLvl w:val="2"/>
        <w:rPr>
          <w:rFonts w:eastAsia="Times New Roman"/>
          <w:lang w:bidi="ar-EG"/>
        </w:rPr>
      </w:pPr>
      <w:r w:rsidRPr="006D4265">
        <w:rPr>
          <w:rFonts w:eastAsia="Times New Roman"/>
          <w:lang w:bidi="ar-AE"/>
        </w:rPr>
        <w:t>Aṭ-Ṭabarī</w:t>
      </w:r>
      <w:r>
        <w:rPr>
          <w:rFonts w:eastAsia="Times New Roman"/>
          <w:lang w:bidi="ar-EG"/>
        </w:rPr>
        <w:t>, le père des exégètes</w:t>
      </w:r>
      <w:r w:rsidRPr="006D4265">
        <w:rPr>
          <w:rFonts w:eastAsia="Times New Roman"/>
          <w:lang w:bidi="ar-EG"/>
        </w:rPr>
        <w:t>, met en exergue une signification martial</w:t>
      </w:r>
      <w:r>
        <w:rPr>
          <w:rFonts w:eastAsia="Times New Roman"/>
          <w:lang w:bidi="ar-EG"/>
        </w:rPr>
        <w:t>e, belliqueuse :</w:t>
      </w:r>
      <w:r w:rsidRPr="006D4265">
        <w:rPr>
          <w:rFonts w:eastAsia="Times New Roman"/>
          <w:lang w:bidi="ar-EG"/>
        </w:rPr>
        <w:t xml:space="preserve"> le verset veut dire que Dieu secourt celui qui combat pour la cause de D</w:t>
      </w:r>
      <w:r>
        <w:rPr>
          <w:rFonts w:eastAsia="Times New Roman"/>
          <w:lang w:bidi="ar-EG"/>
        </w:rPr>
        <w:t>ieu en lui donnant la victoire sur</w:t>
      </w:r>
      <w:r w:rsidRPr="006D4265">
        <w:rPr>
          <w:rFonts w:eastAsia="Times New Roman"/>
          <w:lang w:bidi="ar-EG"/>
        </w:rPr>
        <w:t xml:space="preserve"> son ennemi.</w:t>
      </w:r>
    </w:p>
    <w:p w14:paraId="4C1E616B" w14:textId="77777777" w:rsidR="00296288" w:rsidRPr="006D4265" w:rsidRDefault="00296288" w:rsidP="007640DC">
      <w:pPr>
        <w:keepNext/>
        <w:numPr>
          <w:ilvl w:val="0"/>
          <w:numId w:val="21"/>
        </w:numPr>
        <w:shd w:val="clear" w:color="auto" w:fill="FFFFFF"/>
        <w:spacing w:line="360" w:lineRule="auto"/>
        <w:jc w:val="both"/>
        <w:outlineLvl w:val="2"/>
        <w:rPr>
          <w:rFonts w:eastAsia="Times New Roman"/>
          <w:lang w:bidi="ar-EG"/>
        </w:rPr>
      </w:pPr>
      <w:r w:rsidRPr="006D4265">
        <w:rPr>
          <w:rFonts w:eastAsia="Calibri"/>
          <w:lang w:bidi="ar-AE"/>
        </w:rPr>
        <w:t>Al-Qurṭubī</w:t>
      </w:r>
      <w:r>
        <w:rPr>
          <w:rFonts w:eastAsia="Times New Roman"/>
          <w:lang w:bidi="ar-EG"/>
        </w:rPr>
        <w:t xml:space="preserve"> </w:t>
      </w:r>
      <w:r w:rsidRPr="006D4265">
        <w:rPr>
          <w:rFonts w:eastAsia="Times New Roman"/>
          <w:lang w:bidi="ar-EG"/>
        </w:rPr>
        <w:t>adop</w:t>
      </w:r>
      <w:r>
        <w:rPr>
          <w:rFonts w:eastAsia="Times New Roman"/>
          <w:lang w:bidi="ar-EG"/>
        </w:rPr>
        <w:t>te une signification « prosélyt</w:t>
      </w:r>
      <w:r w:rsidRPr="006D4265">
        <w:rPr>
          <w:rFonts w:eastAsia="Times New Roman"/>
          <w:lang w:bidi="ar-EG"/>
        </w:rPr>
        <w:t>e</w:t>
      </w:r>
      <w:r>
        <w:rPr>
          <w:rFonts w:eastAsia="Times New Roman"/>
          <w:lang w:bidi="ar-EG"/>
        </w:rPr>
        <w:t> » :</w:t>
      </w:r>
      <w:r w:rsidRPr="006D4265">
        <w:rPr>
          <w:rFonts w:eastAsia="Times New Roman"/>
          <w:lang w:bidi="ar-EG"/>
        </w:rPr>
        <w:t xml:space="preserve"> Dieu secourt celui qui soutient Sa religion et Son Prophète.</w:t>
      </w:r>
    </w:p>
    <w:p w14:paraId="448C1A77" w14:textId="77777777" w:rsidR="00296288" w:rsidRPr="006D4265" w:rsidRDefault="00296288" w:rsidP="007640DC">
      <w:pPr>
        <w:keepNext/>
        <w:numPr>
          <w:ilvl w:val="0"/>
          <w:numId w:val="21"/>
        </w:numPr>
        <w:shd w:val="clear" w:color="auto" w:fill="FFFFFF"/>
        <w:spacing w:line="360" w:lineRule="auto"/>
        <w:jc w:val="both"/>
        <w:outlineLvl w:val="2"/>
        <w:rPr>
          <w:rFonts w:eastAsia="Times New Roman"/>
          <w:lang w:bidi="ar-EG"/>
        </w:rPr>
      </w:pPr>
      <w:r w:rsidRPr="006D4265">
        <w:rPr>
          <w:rFonts w:eastAsia="Times New Roman"/>
          <w:lang w:bidi="ar-EG"/>
        </w:rPr>
        <w:t xml:space="preserve"> </w:t>
      </w:r>
      <w:r>
        <w:rPr>
          <w:rFonts w:eastAsia="Calibri"/>
        </w:rPr>
        <w:t xml:space="preserve">Par contre, Shaykhū </w:t>
      </w:r>
      <w:r w:rsidRPr="006D4265">
        <w:rPr>
          <w:rFonts w:eastAsia="Times New Roman"/>
          <w:lang w:bidi="ar-EG"/>
        </w:rPr>
        <w:t>opte pour une signification karmique en soulignant qu’il s’agit d’une loi universelle : Dieu soutient celui qui prend le bon chemin.</w:t>
      </w:r>
    </w:p>
    <w:p w14:paraId="4DE023D7" w14:textId="77777777" w:rsidR="00296288" w:rsidRPr="00AF2212" w:rsidRDefault="00296288" w:rsidP="00296288">
      <w:pPr>
        <w:tabs>
          <w:tab w:val="left" w:pos="5299"/>
        </w:tabs>
        <w:spacing w:line="360" w:lineRule="auto"/>
        <w:rPr>
          <w:rFonts w:eastAsia="Times New Roman"/>
          <w:lang w:bidi="ar-EG"/>
        </w:rPr>
      </w:pPr>
    </w:p>
    <w:p w14:paraId="2ACBDC6D" w14:textId="77777777" w:rsidR="00296288" w:rsidRPr="00AF2212" w:rsidRDefault="00296288" w:rsidP="00296288">
      <w:pPr>
        <w:spacing w:line="360" w:lineRule="auto"/>
        <w:ind w:firstLine="360"/>
        <w:jc w:val="both"/>
        <w:rPr>
          <w:rFonts w:eastAsia="Times New Roman"/>
          <w:lang w:bidi="ar-EG"/>
        </w:rPr>
      </w:pPr>
      <w:r w:rsidRPr="00AF2212">
        <w:rPr>
          <w:rFonts w:eastAsia="Times New Roman"/>
          <w:lang w:bidi="ar-EG"/>
        </w:rPr>
        <w:t xml:space="preserve">Il semble qu’il n’existe pas d’évolution ou de continuité polysémique entre les trois significations (combattre l’autre, répandre la religion et la loi de rétribution). Il existe apparemment une coupure. Il semble que le sens s’impose et n’évolue pas. Ce qui prouverait </w:t>
      </w:r>
      <w:r w:rsidRPr="00AF2212">
        <w:rPr>
          <w:rFonts w:eastAsia="Times New Roman"/>
          <w:lang w:bidi="ar-EG"/>
        </w:rPr>
        <w:lastRenderedPageBreak/>
        <w:t>l’idée de Soufian Al Karjousli selon laquelle la polysémie en arabe n’est pas cumulative.</w:t>
      </w:r>
      <w:r w:rsidRPr="00AF2212">
        <w:rPr>
          <w:rFonts w:eastAsia="Times New Roman"/>
          <w:vertAlign w:val="superscript"/>
        </w:rPr>
        <w:footnoteReference w:id="351"/>
      </w:r>
      <w:r w:rsidRPr="00AF2212">
        <w:rPr>
          <w:rFonts w:eastAsia="Times New Roman"/>
          <w:lang w:bidi="ar-EG"/>
        </w:rPr>
        <w:t xml:space="preserve"> Si la deuxième explication (prosélytisme) peut s’avérer comme une évolution polysémique de la première explication (djihad) dans le sens que le prosélytisme est un djihad dogmatique, la troisième explication (karma) ne l’est absolument pas. Il est à souligner que dans le Coran il n’y a pas apparemment d’évolution polysémique linéaire, dans le sens où le premier sens peut apparaître à tout moment dans l’histoire là où la communauté en a besoin et où le contexte le permet.</w:t>
      </w:r>
    </w:p>
    <w:p w14:paraId="69D41BF5" w14:textId="77777777" w:rsidR="00296288" w:rsidRPr="00AF2212" w:rsidRDefault="00296288" w:rsidP="00296288">
      <w:pPr>
        <w:spacing w:line="360" w:lineRule="auto"/>
        <w:jc w:val="both"/>
        <w:rPr>
          <w:rFonts w:eastAsia="Times New Roman"/>
          <w:lang w:bidi="ar-EG"/>
        </w:rPr>
      </w:pPr>
    </w:p>
    <w:p w14:paraId="09418875" w14:textId="77777777" w:rsidR="00296288" w:rsidRPr="006D4265" w:rsidRDefault="00296288" w:rsidP="00296288">
      <w:pPr>
        <w:spacing w:line="360" w:lineRule="auto"/>
        <w:jc w:val="both"/>
        <w:rPr>
          <w:rFonts w:eastAsia="Times New Roman"/>
          <w:b/>
          <w:bCs/>
          <w:lang w:bidi="ar-EG"/>
        </w:rPr>
      </w:pPr>
      <w:r w:rsidRPr="006D4265">
        <w:rPr>
          <w:rFonts w:eastAsia="Times New Roman"/>
          <w:b/>
          <w:bCs/>
          <w:lang w:bidi="ar-EG"/>
        </w:rPr>
        <w:t>Verset 41 : laïcité et islam :</w:t>
      </w:r>
    </w:p>
    <w:p w14:paraId="321CAD0C"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 xml:space="preserve">Dans une de </w:t>
      </w:r>
      <w:r w:rsidRPr="008F70BC">
        <w:rPr>
          <w:rFonts w:eastAsia="Times New Roman"/>
          <w:lang w:bidi="ar-EG"/>
        </w:rPr>
        <w:t>ses interprétations, le verset 41 affirme, entre autres, que le régime politique musulman fait partie de la religion elle-même,</w:t>
      </w:r>
      <w:r w:rsidRPr="008F70BC">
        <w:rPr>
          <w:rFonts w:eastAsia="Times New Roman"/>
          <w:b/>
          <w:bCs/>
          <w:lang w:bidi="ar-EG"/>
        </w:rPr>
        <w:t xml:space="preserve"> </w:t>
      </w:r>
      <w:r w:rsidRPr="008F70BC">
        <w:rPr>
          <w:rFonts w:eastAsia="Times New Roman"/>
          <w:lang w:bidi="ar-EG"/>
        </w:rPr>
        <w:t>qu’on ne peut pas séparer la religion de l’État et que la laïcité est donc impossible dans l’islam, car l’autorité politique est responsable, selon une compréhension du verset, de l’application et de la défense de la religion. Cependant, le traducteur musulman Ameur Ghédira cite dans l’introduction</w:t>
      </w:r>
      <w:r w:rsidRPr="006D4265">
        <w:rPr>
          <w:rFonts w:eastAsia="Times New Roman"/>
          <w:lang w:bidi="ar-EG"/>
        </w:rPr>
        <w:t xml:space="preserve"> de sa traduction du Cora</w:t>
      </w:r>
      <w:r>
        <w:rPr>
          <w:rFonts w:eastAsia="Times New Roman"/>
          <w:lang w:bidi="ar-EG"/>
        </w:rPr>
        <w:t>n (1957)</w:t>
      </w:r>
      <w:r w:rsidRPr="006D4265">
        <w:rPr>
          <w:rFonts w:eastAsia="Times New Roman"/>
          <w:lang w:bidi="ar-EG"/>
        </w:rPr>
        <w:t xml:space="preserve"> </w:t>
      </w:r>
      <w:r>
        <w:rPr>
          <w:rFonts w:eastAsia="Times New Roman"/>
          <w:lang w:bidi="ar-EG"/>
        </w:rPr>
        <w:t>Henri Laoust (1905-1983) pour qui</w:t>
      </w:r>
      <w:r w:rsidRPr="006D4265">
        <w:rPr>
          <w:rFonts w:eastAsia="Times New Roman"/>
          <w:lang w:bidi="ar-EG"/>
        </w:rPr>
        <w:t xml:space="preserve"> l’islam est « </w:t>
      </w:r>
      <w:r w:rsidRPr="006D4265">
        <w:rPr>
          <w:rFonts w:eastAsia="Times New Roman"/>
          <w:i/>
          <w:iCs/>
          <w:lang w:bidi="ar-EG"/>
        </w:rPr>
        <w:t>une religion essentiellement laïque</w:t>
      </w:r>
      <w:r w:rsidRPr="006D4265">
        <w:rPr>
          <w:rFonts w:eastAsia="Times New Roman"/>
          <w:lang w:bidi="ar-EG"/>
        </w:rPr>
        <w:t> ».</w:t>
      </w:r>
      <w:r>
        <w:rPr>
          <w:rStyle w:val="Appelnotedebasdep"/>
          <w:rFonts w:eastAsia="Times New Roman"/>
          <w:lang w:bidi="ar-EG"/>
        </w:rPr>
        <w:footnoteReference w:id="352"/>
      </w:r>
    </w:p>
    <w:p w14:paraId="11277636" w14:textId="77777777" w:rsidR="00296288" w:rsidRPr="006D4265" w:rsidRDefault="00296288" w:rsidP="00296288">
      <w:pPr>
        <w:spacing w:line="360" w:lineRule="auto"/>
        <w:ind w:firstLine="360"/>
        <w:jc w:val="both"/>
        <w:rPr>
          <w:rFonts w:eastAsia="Times New Roman"/>
          <w:lang w:bidi="ar-EG"/>
        </w:rPr>
      </w:pPr>
    </w:p>
    <w:p w14:paraId="31EEA8B8"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Se référant à la phrase « </w:t>
      </w:r>
      <w:r w:rsidRPr="006D4265">
        <w:rPr>
          <w:rFonts w:eastAsia="Times New Roman"/>
          <w:i/>
          <w:iCs/>
          <w:lang w:bidi="ar-EG"/>
        </w:rPr>
        <w:t>makkannā</w:t>
      </w:r>
      <w:r>
        <w:rPr>
          <w:rFonts w:eastAsia="Times New Roman"/>
          <w:i/>
          <w:iCs/>
          <w:lang w:bidi="ar-EG"/>
        </w:rPr>
        <w:t>-hum fi l-</w:t>
      </w:r>
      <w:r w:rsidRPr="006D4265">
        <w:rPr>
          <w:rFonts w:eastAsia="Times New Roman"/>
          <w:i/>
          <w:iCs/>
          <w:lang w:bidi="ar-EG"/>
        </w:rPr>
        <w:t>arḍ</w:t>
      </w:r>
      <w:r w:rsidRPr="006D4265">
        <w:rPr>
          <w:rFonts w:eastAsia="Times New Roman"/>
          <w:lang w:bidi="ar-EG"/>
        </w:rPr>
        <w:t> » [</w:t>
      </w:r>
      <w:r w:rsidRPr="006D4265">
        <w:rPr>
          <w:rFonts w:eastAsia="Times New Roman"/>
          <w:lang w:bidi="ar-AE"/>
        </w:rPr>
        <w:t>Nous leur en donnons capacité sur la terre</w:t>
      </w:r>
      <w:r w:rsidRPr="006D4265">
        <w:rPr>
          <w:rFonts w:eastAsia="Times New Roman"/>
          <w:lang w:bidi="ar-EG"/>
        </w:rPr>
        <w:t>], des musulmans compren</w:t>
      </w:r>
      <w:r>
        <w:rPr>
          <w:rFonts w:eastAsia="Times New Roman"/>
          <w:lang w:bidi="ar-EG"/>
        </w:rPr>
        <w:t>nent qu’ils doivent établir un É</w:t>
      </w:r>
      <w:r w:rsidRPr="006D4265">
        <w:rPr>
          <w:rFonts w:eastAsia="Times New Roman"/>
          <w:lang w:bidi="ar-EG"/>
        </w:rPr>
        <w:t>tat gouverné par la charia. L’ancienne exégèse d’Aṭ-Ṭabarī insiste sur l’aspect politique de ce verset (le pouvoir et la victoire de l’islam) :</w:t>
      </w:r>
    </w:p>
    <w:p w14:paraId="2BCB700A" w14:textId="77777777" w:rsidR="00296288" w:rsidRPr="006D4265" w:rsidRDefault="00296288" w:rsidP="00296288">
      <w:pPr>
        <w:bidi/>
        <w:spacing w:line="360" w:lineRule="auto"/>
        <w:jc w:val="both"/>
        <w:rPr>
          <w:rFonts w:asciiTheme="majorBidi" w:eastAsia="Times New Roman" w:hAnsiTheme="majorBidi" w:cstheme="majorBidi"/>
        </w:rPr>
      </w:pPr>
      <w:r w:rsidRPr="006D4265">
        <w:rPr>
          <w:rFonts w:asciiTheme="majorBidi" w:eastAsia="Times New Roman" w:hAnsiTheme="majorBidi" w:cstheme="majorBidi"/>
          <w:shd w:val="clear" w:color="auto" w:fill="FFFFFF"/>
          <w:rtl/>
        </w:rPr>
        <w:t>"إن</w:t>
      </w:r>
      <w:r w:rsidRPr="006D4265">
        <w:rPr>
          <w:rFonts w:asciiTheme="majorBidi" w:eastAsia="Times New Roman" w:hAnsiTheme="majorBidi" w:cstheme="majorBidi"/>
          <w:shd w:val="clear" w:color="auto" w:fill="FFFFFF"/>
          <w:rtl/>
          <w:lang w:bidi="ar-KW"/>
        </w:rPr>
        <w:t>ْ</w:t>
      </w:r>
      <w:r w:rsidRPr="006D4265">
        <w:rPr>
          <w:rFonts w:asciiTheme="majorBidi" w:eastAsia="Times New Roman" w:hAnsiTheme="majorBidi" w:cstheme="majorBidi"/>
          <w:shd w:val="clear" w:color="auto" w:fill="FFFFFF"/>
          <w:rtl/>
        </w:rPr>
        <w:t xml:space="preserve"> وَطَّــنَّـــا لهم في البلاد فقهروا المشركين وغلبوهم عليها، وهم أصحاب رسول الله صلى الله عليه وسلم. [...] إنْ نَصَرْناهم على أعدائهم وقهروا مشركي مكة، أطاعوا الله، فأقاموا الصلاة بحدودها، وآتوا الزكاة</w:t>
      </w:r>
      <w:r w:rsidRPr="006D4265">
        <w:rPr>
          <w:rFonts w:asciiTheme="majorBidi" w:eastAsia="Times New Roman" w:hAnsiTheme="majorBidi" w:cstheme="majorBidi"/>
          <w:rtl/>
        </w:rPr>
        <w:t>."</w:t>
      </w:r>
    </w:p>
    <w:p w14:paraId="3695F744" w14:textId="77777777" w:rsidR="00296288" w:rsidRPr="00B026CD" w:rsidRDefault="00296288" w:rsidP="00296288">
      <w:pPr>
        <w:spacing w:line="360" w:lineRule="auto"/>
        <w:jc w:val="both"/>
        <w:rPr>
          <w:rFonts w:asciiTheme="majorBidi" w:eastAsia="Times New Roman" w:hAnsiTheme="majorBidi" w:cstheme="majorBidi"/>
          <w:lang w:bidi="ar-KW"/>
        </w:rPr>
      </w:pPr>
      <w:r w:rsidRPr="00B026CD">
        <w:rPr>
          <w:rFonts w:asciiTheme="majorBidi" w:eastAsia="Times New Roman" w:hAnsiTheme="majorBidi" w:cstheme="majorBidi"/>
        </w:rPr>
        <w:t>[« Nous les avons installés dans les pays et ils ont par la suite vaincu les associateurs et y ont pris le dessus sur eux, il s’agit ici des compagnons du Prophète Muḥammad, paix et bénédiction soient sur lui.  […]</w:t>
      </w:r>
      <w:r w:rsidRPr="00B026CD">
        <w:rPr>
          <w:rFonts w:asciiTheme="majorBidi" w:eastAsia="Times New Roman" w:hAnsiTheme="majorBidi" w:cstheme="majorBidi"/>
          <w:lang w:bidi="ar-KW"/>
        </w:rPr>
        <w:t xml:space="preserve"> Quand Nous leur ont donné</w:t>
      </w:r>
      <w:r w:rsidRPr="00B026CD">
        <w:rPr>
          <w:rFonts w:asciiTheme="majorBidi" w:eastAsia="Times New Roman" w:hAnsiTheme="majorBidi" w:cstheme="majorBidi"/>
        </w:rPr>
        <w:t xml:space="preserve"> la victoire contre leurs ennemis et qu’ils ont </w:t>
      </w:r>
      <w:r w:rsidRPr="00B026CD">
        <w:rPr>
          <w:rFonts w:asciiTheme="majorBidi" w:eastAsia="Times New Roman" w:hAnsiTheme="majorBidi" w:cstheme="majorBidi"/>
        </w:rPr>
        <w:lastRenderedPageBreak/>
        <w:t>abattu les associateurs de la Mecque, ils se sont soumis à Dieu en accomplissant la prière strictement et en donnant l’aumône légale. »]</w:t>
      </w:r>
    </w:p>
    <w:p w14:paraId="323BB80E" w14:textId="77777777" w:rsidR="00296288" w:rsidRPr="00B026CD" w:rsidRDefault="00296288" w:rsidP="00296288">
      <w:pPr>
        <w:spacing w:line="360" w:lineRule="auto"/>
        <w:ind w:firstLine="720"/>
        <w:jc w:val="both"/>
        <w:rPr>
          <w:rFonts w:asciiTheme="majorBidi" w:eastAsia="Times New Roman" w:hAnsiTheme="majorBidi" w:cstheme="majorBidi"/>
          <w:lang w:bidi="ar-KW"/>
        </w:rPr>
      </w:pPr>
    </w:p>
    <w:p w14:paraId="3810CE73" w14:textId="77777777" w:rsidR="00296288" w:rsidRPr="006D4265" w:rsidRDefault="00296288" w:rsidP="00296288">
      <w:pPr>
        <w:spacing w:line="360" w:lineRule="auto"/>
        <w:ind w:firstLine="720"/>
        <w:jc w:val="both"/>
        <w:rPr>
          <w:rFonts w:asciiTheme="majorBidi" w:eastAsia="Times New Roman" w:hAnsiTheme="majorBidi" w:cstheme="majorBidi"/>
          <w:rtl/>
          <w:lang w:bidi="ar-KW"/>
        </w:rPr>
      </w:pPr>
      <w:r w:rsidRPr="006D4265">
        <w:rPr>
          <w:rFonts w:asciiTheme="majorBidi" w:eastAsia="Times New Roman" w:hAnsiTheme="majorBidi" w:cstheme="majorBidi"/>
          <w:lang w:bidi="ar-KW"/>
        </w:rPr>
        <w:t>L’exégèse contemporaine d’Al-Azhar, elle aussi, souligne cet aspect politique (de la victoire des musulmans et de l’établissement de leur pouvoir) :</w:t>
      </w:r>
    </w:p>
    <w:p w14:paraId="77CCD1B0" w14:textId="77777777" w:rsidR="00296288" w:rsidRPr="006D4265" w:rsidRDefault="00296288" w:rsidP="00296288">
      <w:pPr>
        <w:bidi/>
        <w:spacing w:line="360" w:lineRule="auto"/>
        <w:jc w:val="both"/>
        <w:rPr>
          <w:rFonts w:asciiTheme="majorBidi" w:eastAsia="Times New Roman" w:hAnsiTheme="majorBidi" w:cstheme="majorBidi"/>
          <w:lang w:bidi="ar-KW"/>
        </w:rPr>
      </w:pPr>
      <w:r w:rsidRPr="006D4265">
        <w:rPr>
          <w:rFonts w:asciiTheme="majorBidi" w:eastAsia="Times New Roman" w:hAnsiTheme="majorBidi" w:cstheme="majorBidi"/>
          <w:rtl/>
          <w:lang w:bidi="ar-KW"/>
        </w:rPr>
        <w:t>"هؤلاء المؤمنون الذين وعدنا بنصرهم، هم الذين إن مكَّنا سلطانهم فى الأرض حافظوا على حسن صلتهم بالله وبالناس، فيؤدون الصلاة على أتم وجوهها، ويعطون زكاة أموالهم لمستَحقيها، ويأمرون بكل ما فيه خير، وينهون عن كل ما فيه شر."</w:t>
      </w:r>
    </w:p>
    <w:p w14:paraId="07954AD2" w14:textId="77777777" w:rsidR="00296288" w:rsidRPr="00AE610C" w:rsidRDefault="00296288" w:rsidP="00296288">
      <w:pPr>
        <w:spacing w:line="360" w:lineRule="auto"/>
        <w:jc w:val="both"/>
        <w:rPr>
          <w:rFonts w:asciiTheme="majorBidi" w:eastAsia="Times New Roman" w:hAnsiTheme="majorBidi" w:cstheme="majorBidi"/>
          <w:rtl/>
          <w:lang w:bidi="ar-KW"/>
        </w:rPr>
      </w:pPr>
      <w:r w:rsidRPr="00AE610C">
        <w:rPr>
          <w:rFonts w:asciiTheme="majorBidi" w:eastAsia="Times New Roman" w:hAnsiTheme="majorBidi" w:cstheme="majorBidi"/>
        </w:rPr>
        <w:t>[« Ces croyants que Nous avons promis de leur accorder la victoire sont ceux qui, quand Nous leur donnons autorité sur terre, maintiennent leur bonne relation avec Dieu et les êtres humains en accomplissant parfaitement la prière, en donnant l’aumône légale de leurs biens à ceux qui la méritent, en ordonnant le bien et en interdisant le mal. »]</w:t>
      </w:r>
    </w:p>
    <w:p w14:paraId="056413C3" w14:textId="77777777" w:rsidR="00296288" w:rsidRPr="006D4265" w:rsidRDefault="00296288" w:rsidP="00296288">
      <w:pPr>
        <w:spacing w:line="360" w:lineRule="auto"/>
        <w:ind w:firstLine="360"/>
        <w:jc w:val="both"/>
        <w:rPr>
          <w:rFonts w:eastAsia="Times New Roman"/>
          <w:lang w:bidi="ar-EG"/>
        </w:rPr>
      </w:pPr>
    </w:p>
    <w:p w14:paraId="6B56DF87"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En général, la phrase « </w:t>
      </w:r>
      <w:r w:rsidRPr="006D4265">
        <w:rPr>
          <w:rFonts w:eastAsia="Times New Roman"/>
          <w:i/>
          <w:iCs/>
          <w:lang w:bidi="ar-EG"/>
        </w:rPr>
        <w:t>makkannā</w:t>
      </w:r>
      <w:r>
        <w:rPr>
          <w:rFonts w:eastAsia="Times New Roman"/>
          <w:i/>
          <w:iCs/>
          <w:lang w:bidi="ar-EG"/>
        </w:rPr>
        <w:t>-hum fi l-</w:t>
      </w:r>
      <w:r w:rsidRPr="006D4265">
        <w:rPr>
          <w:rFonts w:eastAsia="Times New Roman"/>
          <w:i/>
          <w:iCs/>
          <w:lang w:bidi="ar-EG"/>
        </w:rPr>
        <w:t>arḍ</w:t>
      </w:r>
      <w:r w:rsidRPr="006D4265">
        <w:rPr>
          <w:rFonts w:eastAsia="Times New Roman"/>
          <w:lang w:bidi="ar-EG"/>
        </w:rPr>
        <w:t> »</w:t>
      </w:r>
      <w:r w:rsidRPr="006D4265">
        <w:rPr>
          <w:rFonts w:eastAsia="Times New Roman"/>
          <w:i/>
          <w:iCs/>
          <w:lang w:bidi="ar-EG"/>
        </w:rPr>
        <w:t xml:space="preserve"> </w:t>
      </w:r>
      <w:r w:rsidRPr="006D4265">
        <w:rPr>
          <w:rFonts w:eastAsia="Times New Roman"/>
          <w:lang w:bidi="ar-EG"/>
        </w:rPr>
        <w:t>[Nous leur avons donné capacité sur la terre] signifierait :</w:t>
      </w:r>
    </w:p>
    <w:p w14:paraId="7ECA2704"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Nous avons installé les compagnons de Muḥammad dans les pays et ils ont vaincu les polythéistes (</w:t>
      </w:r>
      <w:r w:rsidRPr="006D4265">
        <w:rPr>
          <w:rFonts w:ascii="Times New Roman" w:hAnsi="Times New Roman" w:cs="Times New Roman"/>
          <w:sz w:val="24"/>
          <w:szCs w:val="24"/>
          <w:lang w:eastAsia="fr-FR" w:bidi="ar-AE"/>
        </w:rPr>
        <w:t>Aṭ-Ṭabarī</w:t>
      </w:r>
      <w:r w:rsidRPr="006D4265">
        <w:rPr>
          <w:rFonts w:ascii="Times New Roman" w:hAnsi="Times New Roman" w:cs="Times New Roman"/>
          <w:sz w:val="24"/>
          <w:szCs w:val="24"/>
          <w:lang w:eastAsia="fr-FR" w:bidi="ar-EG"/>
        </w:rPr>
        <w:t>) ;</w:t>
      </w:r>
    </w:p>
    <w:p w14:paraId="2C47B0BA"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 xml:space="preserve">Nous avons donné la puissance sur terre aux quatre califes </w:t>
      </w:r>
      <w:r w:rsidRPr="006D4265">
        <w:rPr>
          <w:rFonts w:ascii="Times New Roman" w:hAnsi="Times New Roman" w:cs="Times New Roman"/>
          <w:i/>
          <w:iCs/>
          <w:sz w:val="24"/>
          <w:szCs w:val="24"/>
          <w:lang w:eastAsia="fr-FR" w:bidi="ar-EG"/>
        </w:rPr>
        <w:t>Rāshidūn</w:t>
      </w:r>
      <w:r w:rsidRPr="006D4265">
        <w:rPr>
          <w:rFonts w:ascii="Times New Roman" w:hAnsi="Times New Roman" w:cs="Times New Roman"/>
          <w:sz w:val="24"/>
          <w:szCs w:val="24"/>
          <w:lang w:eastAsia="fr-FR" w:bidi="ar-EG"/>
        </w:rPr>
        <w:t> ;</w:t>
      </w:r>
    </w:p>
    <w:p w14:paraId="5553952D"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Dieu a mis la famille de Muḥammad (</w:t>
      </w:r>
      <w:r w:rsidRPr="006D4265">
        <w:rPr>
          <w:rFonts w:ascii="Times New Roman" w:hAnsi="Times New Roman" w:cs="Times New Roman"/>
          <w:i/>
          <w:iCs/>
          <w:sz w:val="24"/>
          <w:szCs w:val="24"/>
          <w:lang w:eastAsia="fr-FR" w:bidi="ar-AE"/>
        </w:rPr>
        <w:t>Āl al-Bayt</w:t>
      </w:r>
      <w:r w:rsidRPr="006D4265">
        <w:rPr>
          <w:rFonts w:ascii="Times New Roman" w:hAnsi="Times New Roman" w:cs="Times New Roman"/>
          <w:sz w:val="24"/>
          <w:szCs w:val="24"/>
          <w:lang w:eastAsia="fr-FR" w:bidi="ar-AE"/>
        </w:rPr>
        <w:t xml:space="preserve">) et </w:t>
      </w:r>
      <w:r>
        <w:rPr>
          <w:rFonts w:ascii="Times New Roman" w:hAnsi="Times New Roman" w:cs="Times New Roman"/>
          <w:sz w:val="24"/>
          <w:szCs w:val="24"/>
          <w:lang w:eastAsia="fr-FR"/>
        </w:rPr>
        <w:t xml:space="preserve">le </w:t>
      </w:r>
      <w:r w:rsidRPr="004A5241">
        <w:rPr>
          <w:rFonts w:ascii="Times New Roman" w:hAnsi="Times New Roman" w:cs="Times New Roman"/>
          <w:i/>
          <w:sz w:val="24"/>
          <w:szCs w:val="24"/>
          <w:lang w:eastAsia="fr-FR"/>
        </w:rPr>
        <w:t>Mahdī muntazar</w:t>
      </w:r>
      <w:r w:rsidRPr="006D4265">
        <w:rPr>
          <w:rFonts w:ascii="Times New Roman" w:hAnsi="Times New Roman" w:cs="Times New Roman"/>
          <w:sz w:val="24"/>
          <w:szCs w:val="24"/>
          <w:lang w:eastAsia="fr-FR"/>
        </w:rPr>
        <w:t xml:space="preserve"> [le guide et le sauveur attendu</w:t>
      </w:r>
      <w:r w:rsidRPr="006D4265">
        <w:rPr>
          <w:rFonts w:ascii="Times New Roman" w:hAnsi="Times New Roman" w:cs="Times New Roman"/>
          <w:sz w:val="24"/>
          <w:szCs w:val="24"/>
          <w:lang w:eastAsia="fr-FR" w:bidi="ar-EG"/>
        </w:rPr>
        <w:t>] en possession de la terre pour mettre fin aux hérésies et écraser les hérétiques (</w:t>
      </w:r>
      <w:r w:rsidRPr="006D4265">
        <w:rPr>
          <w:rFonts w:ascii="Times New Roman" w:eastAsia="Calibri" w:hAnsi="Times New Roman" w:cs="Times New Roman"/>
          <w:sz w:val="24"/>
          <w:szCs w:val="24"/>
        </w:rPr>
        <w:t>Al-Qummī</w:t>
      </w:r>
      <w:r w:rsidRPr="006D4265">
        <w:rPr>
          <w:rFonts w:ascii="Times New Roman" w:hAnsi="Times New Roman" w:cs="Times New Roman"/>
          <w:sz w:val="24"/>
          <w:szCs w:val="24"/>
          <w:lang w:eastAsia="fr-FR" w:bidi="ar-EG"/>
        </w:rPr>
        <w:t>, chiite) ;</w:t>
      </w:r>
    </w:p>
    <w:p w14:paraId="028ED5BD" w14:textId="77777777" w:rsidR="00296288" w:rsidRPr="002D19A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 xml:space="preserve">Il s’agit des </w:t>
      </w:r>
      <w:r w:rsidRPr="006D4265">
        <w:rPr>
          <w:rFonts w:ascii="Times New Roman" w:hAnsi="Times New Roman" w:cs="Times New Roman"/>
          <w:i/>
          <w:iCs/>
          <w:sz w:val="24"/>
          <w:szCs w:val="24"/>
          <w:lang w:eastAsia="fr-FR" w:bidi="ar-EG"/>
        </w:rPr>
        <w:t>muhājirūn</w:t>
      </w:r>
      <w:r w:rsidRPr="006D4265">
        <w:rPr>
          <w:rFonts w:ascii="Times New Roman" w:hAnsi="Times New Roman" w:cs="Times New Roman"/>
          <w:sz w:val="24"/>
          <w:szCs w:val="24"/>
          <w:lang w:eastAsia="fr-FR"/>
        </w:rPr>
        <w:t xml:space="preserve"> (les musulmans mecquois exilés et réfugiés à Médine) quand Dieu les a installés à Médine, ainsi que des </w:t>
      </w:r>
      <w:r w:rsidRPr="002D19A5">
        <w:rPr>
          <w:rFonts w:ascii="Times New Roman" w:hAnsi="Times New Roman" w:cs="Times New Roman"/>
          <w:i/>
          <w:iCs/>
          <w:sz w:val="24"/>
          <w:szCs w:val="24"/>
          <w:lang w:eastAsia="fr-FR"/>
        </w:rPr>
        <w:t>Anṣār</w:t>
      </w:r>
      <w:r w:rsidRPr="002D19A5">
        <w:rPr>
          <w:rFonts w:ascii="Times New Roman" w:hAnsi="Times New Roman" w:cs="Times New Roman"/>
          <w:sz w:val="24"/>
          <w:szCs w:val="24"/>
          <w:lang w:eastAsia="fr-FR"/>
        </w:rPr>
        <w:t xml:space="preserve"> (les habitants de Médine qui ont accueilli les expatriés musulmans)</w:t>
      </w:r>
      <w:r w:rsidRPr="002D19A5">
        <w:rPr>
          <w:rFonts w:ascii="Times New Roman" w:hAnsi="Times New Roman" w:cs="Times New Roman"/>
          <w:sz w:val="24"/>
          <w:szCs w:val="24"/>
        </w:rPr>
        <w:t xml:space="preserve"> (al-Qurṭubī) </w:t>
      </w:r>
      <w:r w:rsidRPr="002D19A5">
        <w:rPr>
          <w:rFonts w:ascii="Times New Roman" w:hAnsi="Times New Roman" w:cs="Times New Roman"/>
          <w:sz w:val="24"/>
          <w:szCs w:val="24"/>
          <w:lang w:eastAsia="fr-FR"/>
        </w:rPr>
        <w:t>;</w:t>
      </w:r>
    </w:p>
    <w:p w14:paraId="3CAA66D6" w14:textId="77777777" w:rsidR="00296288" w:rsidRPr="002D19A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2D19A5">
        <w:rPr>
          <w:rFonts w:ascii="Times New Roman" w:hAnsi="Times New Roman" w:cs="Times New Roman"/>
          <w:sz w:val="24"/>
          <w:szCs w:val="24"/>
          <w:lang w:eastAsia="fr-FR" w:bidi="ar-EG"/>
        </w:rPr>
        <w:t>Nous leur avons donné la victoire contre leurs ennemis ;</w:t>
      </w:r>
    </w:p>
    <w:p w14:paraId="7037FBE7"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Nous avons fortifié l’</w:t>
      </w:r>
      <w:r w:rsidRPr="006D4265">
        <w:rPr>
          <w:rFonts w:ascii="Times New Roman" w:hAnsi="Times New Roman" w:cs="Times New Roman"/>
          <w:i/>
          <w:iCs/>
          <w:sz w:val="24"/>
          <w:szCs w:val="24"/>
          <w:lang w:eastAsia="fr-FR" w:bidi="ar-EG"/>
        </w:rPr>
        <w:t>Oumma</w:t>
      </w:r>
      <w:r w:rsidRPr="006D4265">
        <w:rPr>
          <w:rFonts w:ascii="Times New Roman" w:hAnsi="Times New Roman" w:cs="Times New Roman"/>
          <w:sz w:val="24"/>
          <w:szCs w:val="24"/>
          <w:lang w:eastAsia="fr-FR" w:bidi="ar-EG"/>
        </w:rPr>
        <w:t xml:space="preserve"> (la communauté musulmane) ;</w:t>
      </w:r>
    </w:p>
    <w:p w14:paraId="2EC7CDCC"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Nous soutenons ceux qui observent les cinq prières ;</w:t>
      </w:r>
    </w:p>
    <w:p w14:paraId="422ECEC5"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Nous soutenons les gouverneurs (</w:t>
      </w:r>
      <w:r w:rsidRPr="006D4265">
        <w:rPr>
          <w:rFonts w:ascii="Times New Roman" w:hAnsi="Times New Roman" w:cs="Times New Roman"/>
          <w:i/>
          <w:iCs/>
          <w:sz w:val="24"/>
          <w:szCs w:val="24"/>
          <w:lang w:eastAsia="fr-FR" w:bidi="ar-EG"/>
        </w:rPr>
        <w:t>al-wulāt</w:t>
      </w:r>
      <w:r w:rsidRPr="006D4265">
        <w:rPr>
          <w:rFonts w:ascii="Times New Roman" w:hAnsi="Times New Roman" w:cs="Times New Roman"/>
          <w:sz w:val="24"/>
          <w:szCs w:val="24"/>
          <w:lang w:eastAsia="fr-FR" w:bidi="ar-EG"/>
        </w:rPr>
        <w:t xml:space="preserve">, pl. de </w:t>
      </w:r>
      <w:r w:rsidRPr="006D4265">
        <w:rPr>
          <w:rFonts w:ascii="Times New Roman" w:hAnsi="Times New Roman" w:cs="Times New Roman"/>
          <w:i/>
          <w:iCs/>
          <w:sz w:val="24"/>
          <w:szCs w:val="24"/>
          <w:lang w:eastAsia="fr-FR" w:bidi="ar-EG"/>
        </w:rPr>
        <w:t>wālī</w:t>
      </w:r>
      <w:r w:rsidRPr="006D4265">
        <w:rPr>
          <w:rFonts w:ascii="Times New Roman" w:hAnsi="Times New Roman" w:cs="Times New Roman"/>
          <w:sz w:val="24"/>
          <w:szCs w:val="24"/>
          <w:lang w:eastAsia="fr-FR" w:bidi="ar-EG"/>
        </w:rPr>
        <w:t>) ;</w:t>
      </w:r>
    </w:p>
    <w:p w14:paraId="18BF363B"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Nous soutenons les gouvernants et les gouvernés ;</w:t>
      </w:r>
    </w:p>
    <w:p w14:paraId="7A904707"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Nous leur avons donné la liberté de choisir ce qu’ils veulent sans contrainte (Aṭ-Ṭabāṭabāʾī, chiite) ;</w:t>
      </w:r>
    </w:p>
    <w:p w14:paraId="0C01D055" w14:textId="77777777" w:rsidR="00296288" w:rsidRPr="006D4265" w:rsidRDefault="00296288" w:rsidP="007640DC">
      <w:pPr>
        <w:pStyle w:val="Paragraphedeliste"/>
        <w:numPr>
          <w:ilvl w:val="0"/>
          <w:numId w:val="95"/>
        </w:numPr>
        <w:bidi w:val="0"/>
        <w:spacing w:after="0" w:line="360" w:lineRule="auto"/>
        <w:contextualSpacing/>
        <w:jc w:val="both"/>
        <w:rPr>
          <w:rFonts w:ascii="Times New Roman" w:hAnsi="Times New Roman" w:cs="Times New Roman"/>
          <w:sz w:val="24"/>
          <w:szCs w:val="24"/>
          <w:lang w:eastAsia="fr-FR" w:bidi="ar-EG"/>
        </w:rPr>
      </w:pPr>
      <w:r w:rsidRPr="006D4265">
        <w:rPr>
          <w:rFonts w:ascii="Times New Roman" w:hAnsi="Times New Roman" w:cs="Times New Roman"/>
          <w:sz w:val="24"/>
          <w:szCs w:val="24"/>
          <w:lang w:eastAsia="fr-FR" w:bidi="ar-EG"/>
        </w:rPr>
        <w:t xml:space="preserve">Nous leur avons donné le pouvoir, la puissance et la suprématie </w:t>
      </w:r>
      <w:r w:rsidRPr="006D4265">
        <w:rPr>
          <w:rFonts w:ascii="Times New Roman" w:eastAsia="Calibri" w:hAnsi="Times New Roman" w:cs="Times New Roman"/>
          <w:sz w:val="24"/>
          <w:szCs w:val="24"/>
        </w:rPr>
        <w:t>(Ash-Shaʿrāwī)</w:t>
      </w:r>
      <w:r w:rsidRPr="006D4265">
        <w:rPr>
          <w:rFonts w:ascii="Times New Roman" w:hAnsi="Times New Roman" w:cs="Times New Roman"/>
          <w:sz w:val="24"/>
          <w:szCs w:val="24"/>
          <w:lang w:eastAsia="fr-FR" w:bidi="ar-EG"/>
        </w:rPr>
        <w:t>.</w:t>
      </w:r>
    </w:p>
    <w:p w14:paraId="3CA1F8DD" w14:textId="77777777" w:rsidR="00296288" w:rsidRPr="006D4265" w:rsidRDefault="00296288" w:rsidP="00296288">
      <w:pPr>
        <w:spacing w:line="360" w:lineRule="auto"/>
        <w:ind w:firstLine="360"/>
        <w:jc w:val="both"/>
        <w:rPr>
          <w:rFonts w:eastAsia="Times New Roman"/>
          <w:lang w:bidi="ar-EG"/>
        </w:rPr>
      </w:pPr>
    </w:p>
    <w:p w14:paraId="2CD501AA"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La plupart des exégèses se concentrent autour de l’idée du pouvoir politique et de la victoire militaire contre l’ennemi.</w:t>
      </w:r>
    </w:p>
    <w:p w14:paraId="02ADA643" w14:textId="77777777" w:rsidR="00296288" w:rsidRPr="006D4265" w:rsidRDefault="00296288" w:rsidP="00296288">
      <w:pPr>
        <w:spacing w:line="360" w:lineRule="auto"/>
        <w:jc w:val="both"/>
        <w:rPr>
          <w:rFonts w:eastAsia="Times New Roman"/>
          <w:lang w:bidi="ar-EG"/>
        </w:rPr>
      </w:pPr>
    </w:p>
    <w:p w14:paraId="5AD00119"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 xml:space="preserve">Selon le verset 41, dès que Dieu (désigné par </w:t>
      </w:r>
      <w:r w:rsidRPr="006D4265">
        <w:rPr>
          <w:rFonts w:eastAsia="Times New Roman"/>
          <w:i/>
          <w:iCs/>
          <w:lang w:bidi="ar-EG"/>
        </w:rPr>
        <w:t>Nous</w:t>
      </w:r>
      <w:r w:rsidRPr="006D4265">
        <w:rPr>
          <w:rFonts w:eastAsia="Times New Roman"/>
          <w:lang w:bidi="ar-EG"/>
        </w:rPr>
        <w:t>) donne le pouvoir à cette communauté indéterminée (qui désigne selon les exégètes les compagnons du prophète et les dirigeants musulmans, voire tous les musulmans (</w:t>
      </w:r>
      <w:r w:rsidRPr="006D4265">
        <w:rPr>
          <w:rFonts w:eastAsia="Times New Roman"/>
          <w:i/>
          <w:iCs/>
          <w:lang w:bidi="ar-EG"/>
        </w:rPr>
        <w:t>wālī</w:t>
      </w:r>
      <w:r w:rsidRPr="006D4265">
        <w:rPr>
          <w:rFonts w:eastAsia="Times New Roman"/>
          <w:lang w:bidi="ar-EG"/>
        </w:rPr>
        <w:t xml:space="preserve"> et </w:t>
      </w:r>
      <w:r w:rsidRPr="006D4265">
        <w:rPr>
          <w:rFonts w:eastAsia="Times New Roman"/>
          <w:i/>
          <w:iCs/>
          <w:lang w:bidi="ar-EG"/>
        </w:rPr>
        <w:t>mawlā</w:t>
      </w:r>
      <w:r w:rsidRPr="006D4265">
        <w:rPr>
          <w:rFonts w:eastAsia="Times New Roman"/>
          <w:lang w:bidi="ar-EG"/>
        </w:rPr>
        <w:t>, dirigeant et subordonné, selon Ibn Kathīr), cette dernière « accomplit la prière, acquitte la purification, prescrit le convenable et proscrit le blâmable ».</w:t>
      </w:r>
    </w:p>
    <w:p w14:paraId="78C71517" w14:textId="77777777" w:rsidR="00296288" w:rsidRPr="006D4265" w:rsidRDefault="00296288" w:rsidP="00296288">
      <w:pPr>
        <w:spacing w:line="360" w:lineRule="auto"/>
        <w:ind w:firstLine="360"/>
        <w:jc w:val="both"/>
        <w:rPr>
          <w:rFonts w:eastAsia="Times New Roman"/>
          <w:lang w:bidi="ar-EG"/>
        </w:rPr>
      </w:pPr>
    </w:p>
    <w:p w14:paraId="0881119D"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Cependant, la phrase « </w:t>
      </w:r>
      <w:r>
        <w:rPr>
          <w:rFonts w:eastAsia="Times New Roman" w:hint="cs"/>
          <w:rtl/>
          <w:lang w:bidi="ar-EG"/>
        </w:rPr>
        <w:t>أقاموا الصلاة</w:t>
      </w:r>
      <w:r w:rsidRPr="006D4265">
        <w:rPr>
          <w:rFonts w:eastAsia="Times New Roman"/>
          <w:lang w:bidi="ar-EG"/>
        </w:rPr>
        <w:t> » (v. 41) ne signifie pas seulement qu’ils accomplissent la prière, mais elle signifierait aussi : guider les gens et amener les âmes vers Dieu (Shaykhū), accomplir la prière de l’observation et de la contemplation (Ibn ʿArabī), ou évoquer et glorifier</w:t>
      </w:r>
      <w:r w:rsidRPr="006D4265">
        <w:rPr>
          <w:rFonts w:eastAsia="Calibri"/>
        </w:rPr>
        <w:t xml:space="preserve"> </w:t>
      </w:r>
      <w:r w:rsidRPr="006D4265">
        <w:rPr>
          <w:rFonts w:eastAsia="Times New Roman"/>
          <w:lang w:bidi="ar-EG"/>
        </w:rPr>
        <w:t xml:space="preserve">Dieu </w:t>
      </w:r>
      <w:r w:rsidRPr="006D4265">
        <w:rPr>
          <w:rFonts w:eastAsia="Calibri"/>
        </w:rPr>
        <w:t>(Ash-Shaʿrāwī)</w:t>
      </w:r>
      <w:r w:rsidRPr="006D4265">
        <w:rPr>
          <w:rFonts w:eastAsia="Times New Roman"/>
          <w:lang w:bidi="ar-EG"/>
        </w:rPr>
        <w:t>.</w:t>
      </w:r>
    </w:p>
    <w:p w14:paraId="5A8D6A0F" w14:textId="77777777" w:rsidR="00296288" w:rsidRPr="006D4265" w:rsidRDefault="00296288" w:rsidP="00296288">
      <w:pPr>
        <w:spacing w:line="360" w:lineRule="auto"/>
        <w:ind w:firstLine="360"/>
        <w:jc w:val="both"/>
        <w:rPr>
          <w:rFonts w:eastAsia="Times New Roman"/>
          <w:lang w:bidi="ar-EG"/>
        </w:rPr>
      </w:pPr>
    </w:p>
    <w:p w14:paraId="7E2A99DC"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La phrase « </w:t>
      </w:r>
      <w:r>
        <w:rPr>
          <w:rFonts w:eastAsia="Times New Roman" w:hint="cs"/>
          <w:rtl/>
          <w:lang w:bidi="ar-EG"/>
        </w:rPr>
        <w:t>أمروا بالمعروف</w:t>
      </w:r>
      <w:r w:rsidRPr="006D4265">
        <w:rPr>
          <w:rFonts w:eastAsia="Times New Roman"/>
          <w:lang w:bidi="ar-EG"/>
        </w:rPr>
        <w:t> » (v. 41) ne veut pas seulement dire : « </w:t>
      </w:r>
      <w:r w:rsidRPr="006D4265">
        <w:rPr>
          <w:rFonts w:eastAsia="Times New Roman"/>
          <w:i/>
          <w:iCs/>
          <w:lang w:bidi="ar-EG"/>
        </w:rPr>
        <w:t>ils exhortent au Bien</w:t>
      </w:r>
      <w:r w:rsidRPr="006D4265">
        <w:rPr>
          <w:rFonts w:eastAsia="Times New Roman"/>
          <w:lang w:bidi="ar-EG"/>
        </w:rPr>
        <w:t> », mais aussi : « </w:t>
      </w:r>
      <w:r w:rsidRPr="006D4265">
        <w:rPr>
          <w:rFonts w:eastAsia="Times New Roman"/>
          <w:i/>
          <w:iCs/>
          <w:lang w:bidi="ar-EG"/>
        </w:rPr>
        <w:t>ils appellent à l’unicité de Dieu et à l’obéissance à Lui</w:t>
      </w:r>
      <w:r w:rsidRPr="006D4265">
        <w:rPr>
          <w:rFonts w:eastAsia="Times New Roman"/>
          <w:lang w:bidi="ar-EG"/>
        </w:rPr>
        <w:t> » ou « </w:t>
      </w:r>
      <w:r w:rsidRPr="006D4265">
        <w:rPr>
          <w:rFonts w:eastAsia="Times New Roman"/>
          <w:i/>
          <w:iCs/>
          <w:lang w:bidi="ar-EG"/>
        </w:rPr>
        <w:t>ils imposent la formule</w:t>
      </w:r>
      <w:r w:rsidRPr="006D4265">
        <w:rPr>
          <w:rFonts w:eastAsia="Times New Roman"/>
          <w:lang w:bidi="ar-EG"/>
        </w:rPr>
        <w:t xml:space="preserve"> </w:t>
      </w:r>
      <w:r>
        <w:rPr>
          <w:rFonts w:eastAsia="Times New Roman"/>
          <w:lang w:bidi="ar-EG"/>
        </w:rPr>
        <w:t>‘</w:t>
      </w:r>
      <w:r>
        <w:rPr>
          <w:rFonts w:eastAsia="Times New Roman"/>
        </w:rPr>
        <w:t xml:space="preserve">lā ilāha illā </w:t>
      </w:r>
      <w:r w:rsidRPr="006D4265">
        <w:rPr>
          <w:rFonts w:eastAsia="Times New Roman"/>
        </w:rPr>
        <w:t>llāh</w:t>
      </w:r>
      <w:r>
        <w:rPr>
          <w:rFonts w:eastAsia="Times New Roman"/>
        </w:rPr>
        <w:t>’</w:t>
      </w:r>
      <w:r w:rsidRPr="006D4265">
        <w:rPr>
          <w:rFonts w:eastAsia="Times New Roman"/>
          <w:lang w:bidi="ar-EG"/>
        </w:rPr>
        <w:t xml:space="preserve"> </w:t>
      </w:r>
      <w:r w:rsidRPr="006D4265">
        <w:rPr>
          <w:rFonts w:eastAsia="Times New Roman"/>
        </w:rPr>
        <w:t>[il n’y a pas d’autre dieu qu’Allah] (signification très proche de la première signification d’</w:t>
      </w:r>
      <w:r w:rsidRPr="006D4265">
        <w:rPr>
          <w:rFonts w:eastAsia="Calibri"/>
          <w:i/>
          <w:iCs/>
        </w:rPr>
        <w:t>aṭ-ṭayyib min al-qawl</w:t>
      </w:r>
      <w:r w:rsidRPr="006D4265">
        <w:rPr>
          <w:rFonts w:eastAsia="Calibri"/>
        </w:rPr>
        <w:t xml:space="preserve"> [la bonne parole]</w:t>
      </w:r>
      <w:r w:rsidRPr="006D4265">
        <w:rPr>
          <w:rFonts w:eastAsia="Times New Roman"/>
          <w:lang w:bidi="ar-EG"/>
        </w:rPr>
        <w:t>, verset 24).</w:t>
      </w:r>
    </w:p>
    <w:p w14:paraId="435D9A03" w14:textId="77777777" w:rsidR="00296288" w:rsidRPr="006D4265" w:rsidRDefault="00296288" w:rsidP="00296288">
      <w:pPr>
        <w:spacing w:line="360" w:lineRule="auto"/>
        <w:ind w:firstLine="360"/>
        <w:jc w:val="both"/>
        <w:rPr>
          <w:rFonts w:eastAsia="Times New Roman"/>
          <w:lang w:bidi="ar-EG"/>
        </w:rPr>
      </w:pPr>
    </w:p>
    <w:p w14:paraId="78EA4020"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 xml:space="preserve">La </w:t>
      </w:r>
      <w:r w:rsidRPr="004E109E">
        <w:rPr>
          <w:rFonts w:eastAsia="Times New Roman"/>
          <w:lang w:bidi="ar-EG"/>
        </w:rPr>
        <w:t>phrase « </w:t>
      </w:r>
      <w:r w:rsidRPr="004E109E">
        <w:rPr>
          <w:rFonts w:eastAsia="Times New Roman" w:hint="cs"/>
          <w:rtl/>
          <w:lang w:bidi="ar-EG"/>
        </w:rPr>
        <w:t>نهوا عن المنكَر</w:t>
      </w:r>
      <w:r w:rsidRPr="004E109E">
        <w:rPr>
          <w:rFonts w:eastAsia="Times New Roman"/>
          <w:lang w:bidi="ar-EG"/>
        </w:rPr>
        <w:t> » (v. 41</w:t>
      </w:r>
      <w:r w:rsidRPr="006D4265">
        <w:rPr>
          <w:rFonts w:eastAsia="Times New Roman"/>
          <w:lang w:bidi="ar-EG"/>
        </w:rPr>
        <w:t xml:space="preserve">) ne désigne pas seulement </w:t>
      </w:r>
      <w:r w:rsidRPr="006D4265">
        <w:rPr>
          <w:rFonts w:eastAsia="Times New Roman"/>
          <w:i/>
          <w:iCs/>
          <w:lang w:bidi="ar-EG"/>
        </w:rPr>
        <w:t>l’interdiction du mal</w:t>
      </w:r>
      <w:r w:rsidRPr="006D4265">
        <w:rPr>
          <w:rFonts w:eastAsia="Times New Roman"/>
          <w:lang w:bidi="ar-EG"/>
        </w:rPr>
        <w:t xml:space="preserve">, mais également l’interdiction de pratiquer le paganisme et de commettre les péchés. </w:t>
      </w:r>
    </w:p>
    <w:p w14:paraId="4DAB0010" w14:textId="77777777" w:rsidR="00296288" w:rsidRPr="006D4265" w:rsidRDefault="00296288" w:rsidP="00296288">
      <w:pPr>
        <w:spacing w:line="360" w:lineRule="auto"/>
        <w:jc w:val="both"/>
        <w:rPr>
          <w:rFonts w:eastAsia="Times New Roman"/>
          <w:lang w:bidi="ar-EG"/>
        </w:rPr>
      </w:pPr>
    </w:p>
    <w:p w14:paraId="342E4A24" w14:textId="77777777" w:rsidR="00296288" w:rsidRPr="006D4265" w:rsidRDefault="00296288" w:rsidP="00296288">
      <w:pPr>
        <w:spacing w:line="360" w:lineRule="auto"/>
        <w:ind w:firstLine="360"/>
        <w:jc w:val="both"/>
        <w:rPr>
          <w:rFonts w:eastAsia="Times New Roman"/>
          <w:lang w:bidi="ar-EG"/>
        </w:rPr>
      </w:pPr>
      <w:r w:rsidRPr="006D4265">
        <w:rPr>
          <w:rFonts w:eastAsia="Times New Roman"/>
          <w:lang w:bidi="ar-EG"/>
        </w:rPr>
        <w:t>La phrase nominale «</w:t>
      </w:r>
      <w:r>
        <w:rPr>
          <w:rFonts w:eastAsia="Times New Roman"/>
          <w:lang w:bidi="ar-EG"/>
        </w:rPr>
        <w:t xml:space="preserve"> </w:t>
      </w:r>
      <w:r w:rsidRPr="004E109E">
        <w:rPr>
          <w:rFonts w:eastAsia="Times New Roman" w:hint="cs"/>
          <w:i/>
          <w:rtl/>
          <w:lang w:bidi="ar-EG"/>
        </w:rPr>
        <w:t>ولله عاقبة الأمور</w:t>
      </w:r>
      <w:r w:rsidRPr="006D4265">
        <w:rPr>
          <w:rFonts w:eastAsia="Times New Roman"/>
          <w:lang w:bidi="ar-EG"/>
        </w:rPr>
        <w:t xml:space="preserve"> » [à Dieu la fin de toute chose] (v. 41) </w:t>
      </w:r>
      <w:r>
        <w:rPr>
          <w:rFonts w:eastAsia="Times New Roman"/>
          <w:lang w:bidi="ar-EG"/>
        </w:rPr>
        <w:t>est vague. Elle peut désigner</w:t>
      </w:r>
      <w:r w:rsidRPr="006D4265">
        <w:rPr>
          <w:rFonts w:eastAsia="Times New Roman"/>
          <w:lang w:bidi="ar-EG"/>
        </w:rPr>
        <w:t xml:space="preserve"> la récompense ou le châtiment, et par la suite elle peut être une promesse (</w:t>
      </w:r>
      <w:r w:rsidRPr="006D4265">
        <w:rPr>
          <w:rFonts w:eastAsia="Times New Roman"/>
          <w:i/>
          <w:iCs/>
          <w:lang w:bidi="ar-EG"/>
        </w:rPr>
        <w:t>targhīb</w:t>
      </w:r>
      <w:r w:rsidRPr="006D4265">
        <w:rPr>
          <w:rFonts w:eastAsia="Times New Roman"/>
          <w:lang w:bidi="ar-EG"/>
        </w:rPr>
        <w:t xml:space="preserve">) [encouragement au bien] </w:t>
      </w:r>
      <w:r>
        <w:rPr>
          <w:rFonts w:eastAsia="Times New Roman"/>
          <w:lang w:bidi="ar-EG"/>
        </w:rPr>
        <w:t>comme</w:t>
      </w:r>
      <w:r w:rsidRPr="006D4265">
        <w:rPr>
          <w:rFonts w:eastAsia="Times New Roman"/>
          <w:lang w:bidi="ar-EG"/>
        </w:rPr>
        <w:t xml:space="preserve"> une menace (</w:t>
      </w:r>
      <w:r w:rsidRPr="006D4265">
        <w:rPr>
          <w:rFonts w:eastAsia="Times New Roman"/>
          <w:i/>
          <w:iCs/>
          <w:lang w:bidi="ar-EG"/>
        </w:rPr>
        <w:t>tarhīb</w:t>
      </w:r>
      <w:r>
        <w:rPr>
          <w:rFonts w:eastAsia="Times New Roman"/>
          <w:lang w:bidi="ar-EG"/>
        </w:rPr>
        <w:t>) [dissuasion d</w:t>
      </w:r>
      <w:r w:rsidRPr="006D4265">
        <w:rPr>
          <w:rFonts w:eastAsia="Times New Roman"/>
          <w:lang w:bidi="ar-EG"/>
        </w:rPr>
        <w:t xml:space="preserve">u mal]. </w:t>
      </w:r>
    </w:p>
    <w:p w14:paraId="6EDF293B" w14:textId="77777777" w:rsidR="00296288" w:rsidRPr="006D4265" w:rsidRDefault="00296288" w:rsidP="00296288">
      <w:pPr>
        <w:spacing w:line="360" w:lineRule="auto"/>
        <w:jc w:val="both"/>
        <w:rPr>
          <w:rFonts w:eastAsia="Times New Roman"/>
          <w:lang w:bidi="ar-EG"/>
        </w:rPr>
      </w:pPr>
    </w:p>
    <w:p w14:paraId="023DBAB1" w14:textId="77777777" w:rsidR="00296288" w:rsidRPr="006D4265" w:rsidRDefault="00296288" w:rsidP="00296288">
      <w:pPr>
        <w:spacing w:line="360" w:lineRule="auto"/>
        <w:jc w:val="both"/>
        <w:rPr>
          <w:rFonts w:eastAsia="Times New Roman"/>
          <w:b/>
          <w:bCs/>
          <w:lang w:bidi="ar-EG"/>
        </w:rPr>
      </w:pPr>
      <w:r w:rsidRPr="006D4265">
        <w:rPr>
          <w:rFonts w:eastAsia="Times New Roman"/>
          <w:b/>
          <w:bCs/>
        </w:rPr>
        <w:t>La phrase « </w:t>
      </w:r>
      <w:r>
        <w:rPr>
          <w:rFonts w:eastAsia="Times New Roman" w:hint="cs"/>
          <w:b/>
          <w:bCs/>
          <w:rtl/>
        </w:rPr>
        <w:t>تعمى القلوب</w:t>
      </w:r>
      <w:r w:rsidRPr="006D4265">
        <w:rPr>
          <w:rFonts w:eastAsia="Times New Roman"/>
          <w:b/>
          <w:bCs/>
        </w:rPr>
        <w:t> » :</w:t>
      </w:r>
    </w:p>
    <w:p w14:paraId="152FCE54" w14:textId="77777777" w:rsidR="00296288" w:rsidRPr="006D4265" w:rsidRDefault="00296288" w:rsidP="00296288">
      <w:pPr>
        <w:tabs>
          <w:tab w:val="left" w:pos="851"/>
        </w:tabs>
        <w:spacing w:line="360" w:lineRule="auto"/>
        <w:jc w:val="both"/>
        <w:rPr>
          <w:rFonts w:eastAsia="Times New Roman"/>
        </w:rPr>
      </w:pPr>
      <w:r w:rsidRPr="006D4265">
        <w:rPr>
          <w:rFonts w:eastAsia="Times New Roman"/>
          <w:b/>
          <w:bCs/>
          <w:color w:val="FF0000"/>
        </w:rPr>
        <w:lastRenderedPageBreak/>
        <w:tab/>
      </w:r>
      <w:r w:rsidRPr="006D4265">
        <w:rPr>
          <w:rFonts w:eastAsia="Times New Roman"/>
        </w:rPr>
        <w:t>La phrase « </w:t>
      </w:r>
      <w:r w:rsidRPr="006D4265">
        <w:rPr>
          <w:rFonts w:eastAsia="Times New Roman"/>
          <w:i/>
          <w:iCs/>
        </w:rPr>
        <w:t>taʿma l-qulūb</w:t>
      </w:r>
      <w:r w:rsidRPr="006D4265">
        <w:rPr>
          <w:rFonts w:eastAsia="Times New Roman"/>
        </w:rPr>
        <w:t> » [les cœurs s’aveuglent] (v. 46) indique que la véritable vision est attribuée au cœur.</w:t>
      </w:r>
      <w:r w:rsidRPr="006D4265">
        <w:rPr>
          <w:rFonts w:eastAsia="Times New Roman"/>
          <w:vertAlign w:val="superscript"/>
        </w:rPr>
        <w:footnoteReference w:id="353"/>
      </w:r>
      <w:r w:rsidRPr="006D4265">
        <w:rPr>
          <w:rFonts w:eastAsia="Times New Roman"/>
        </w:rPr>
        <w:t xml:space="preserve"> Elle désigne selon les exégètes les significations suivantes :</w:t>
      </w:r>
    </w:p>
    <w:p w14:paraId="660B1E91" w14:textId="77777777" w:rsidR="00296288" w:rsidRPr="006D4265" w:rsidRDefault="00296288" w:rsidP="007640DC">
      <w:pPr>
        <w:numPr>
          <w:ilvl w:val="0"/>
          <w:numId w:val="73"/>
        </w:numPr>
        <w:tabs>
          <w:tab w:val="left" w:pos="851"/>
        </w:tabs>
        <w:spacing w:line="360" w:lineRule="auto"/>
        <w:jc w:val="both"/>
        <w:rPr>
          <w:rFonts w:eastAsia="Times New Roman"/>
        </w:rPr>
      </w:pPr>
      <w:r w:rsidRPr="006D4265">
        <w:rPr>
          <w:rFonts w:eastAsia="Times New Roman"/>
        </w:rPr>
        <w:t>les cœurs ne connaissent pas la Vérité ;</w:t>
      </w:r>
    </w:p>
    <w:p w14:paraId="53A09E68" w14:textId="77777777" w:rsidR="00296288" w:rsidRPr="006D4265" w:rsidRDefault="00296288" w:rsidP="007640DC">
      <w:pPr>
        <w:numPr>
          <w:ilvl w:val="0"/>
          <w:numId w:val="73"/>
        </w:numPr>
        <w:tabs>
          <w:tab w:val="left" w:pos="851"/>
        </w:tabs>
        <w:spacing w:line="360" w:lineRule="auto"/>
        <w:jc w:val="both"/>
        <w:rPr>
          <w:rFonts w:eastAsia="Times New Roman"/>
        </w:rPr>
      </w:pPr>
      <w:r w:rsidRPr="006D4265">
        <w:rPr>
          <w:rFonts w:eastAsia="Times New Roman"/>
        </w:rPr>
        <w:t>les cœurs ne tirent pas de leçon ;</w:t>
      </w:r>
    </w:p>
    <w:p w14:paraId="53E9CDAD" w14:textId="77777777" w:rsidR="00296288" w:rsidRPr="006D4265" w:rsidRDefault="00296288" w:rsidP="007640DC">
      <w:pPr>
        <w:numPr>
          <w:ilvl w:val="0"/>
          <w:numId w:val="73"/>
        </w:numPr>
        <w:tabs>
          <w:tab w:val="left" w:pos="851"/>
        </w:tabs>
        <w:spacing w:line="360" w:lineRule="auto"/>
        <w:jc w:val="both"/>
        <w:rPr>
          <w:rFonts w:eastAsia="Times New Roman"/>
        </w:rPr>
      </w:pPr>
      <w:r w:rsidRPr="006D4265">
        <w:rPr>
          <w:rFonts w:eastAsia="Times New Roman"/>
        </w:rPr>
        <w:t>les cœurs n’ont pas la faculté de discernement ;</w:t>
      </w:r>
    </w:p>
    <w:p w14:paraId="4B845424" w14:textId="77777777" w:rsidR="00296288" w:rsidRPr="006D4265" w:rsidRDefault="00296288" w:rsidP="007640DC">
      <w:pPr>
        <w:numPr>
          <w:ilvl w:val="0"/>
          <w:numId w:val="73"/>
        </w:numPr>
        <w:tabs>
          <w:tab w:val="left" w:pos="851"/>
        </w:tabs>
        <w:spacing w:line="360" w:lineRule="auto"/>
        <w:jc w:val="both"/>
        <w:rPr>
          <w:rFonts w:eastAsia="Times New Roman"/>
        </w:rPr>
      </w:pPr>
      <w:r w:rsidRPr="006D4265">
        <w:rPr>
          <w:rFonts w:eastAsia="Times New Roman"/>
        </w:rPr>
        <w:t>les cœurs ne comprennent pas ;</w:t>
      </w:r>
    </w:p>
    <w:p w14:paraId="2E9CD14E" w14:textId="77777777" w:rsidR="00296288" w:rsidRPr="006D4265" w:rsidRDefault="00296288" w:rsidP="007640DC">
      <w:pPr>
        <w:numPr>
          <w:ilvl w:val="0"/>
          <w:numId w:val="73"/>
        </w:numPr>
        <w:tabs>
          <w:tab w:val="left" w:pos="851"/>
        </w:tabs>
        <w:spacing w:line="360" w:lineRule="auto"/>
        <w:jc w:val="both"/>
        <w:rPr>
          <w:rFonts w:eastAsia="Times New Roman"/>
        </w:rPr>
      </w:pPr>
      <w:r w:rsidRPr="006D4265">
        <w:rPr>
          <w:rFonts w:eastAsia="Times New Roman"/>
        </w:rPr>
        <w:t>les cœurs sont remplis de l’amour du bas monde, ce qui empêche l’âme de comprendre (Shaykhū).</w:t>
      </w:r>
    </w:p>
    <w:p w14:paraId="51166A36" w14:textId="77777777" w:rsidR="00296288" w:rsidRPr="006D4265" w:rsidRDefault="00296288" w:rsidP="00296288">
      <w:pPr>
        <w:tabs>
          <w:tab w:val="left" w:pos="851"/>
        </w:tabs>
        <w:spacing w:line="360" w:lineRule="auto"/>
        <w:ind w:left="720"/>
        <w:jc w:val="both"/>
        <w:rPr>
          <w:rFonts w:eastAsia="Times New Roman"/>
        </w:rPr>
      </w:pPr>
    </w:p>
    <w:p w14:paraId="63F58164" w14:textId="77777777" w:rsidR="00296288" w:rsidRPr="006D4265" w:rsidRDefault="00296288" w:rsidP="00296288">
      <w:pPr>
        <w:tabs>
          <w:tab w:val="left" w:pos="851"/>
        </w:tabs>
        <w:spacing w:line="360" w:lineRule="auto"/>
        <w:jc w:val="both"/>
        <w:rPr>
          <w:rFonts w:eastAsia="Times New Roman"/>
        </w:rPr>
      </w:pPr>
      <w:r w:rsidRPr="006D4265">
        <w:rPr>
          <w:rFonts w:eastAsia="Times New Roman"/>
        </w:rPr>
        <w:tab/>
        <w:t>Cette phrase est généralement utilisée pour désigner les païens, les hypocrites, les adversaires de l’islam en général. Le verset II, 18 les qualifie de sourds, muets et aveugles. Celui qui n’est pas musulman est aveugle selon le Coran. Le verset XX, 124 dit clairement que celui qui s’abstient d’évoquer le nom de Dieu, qui s’éloigne d’Allah (c.à.d. de l’islam) sera frappé de cécité le Jour du Jugement dernier.</w:t>
      </w:r>
    </w:p>
    <w:p w14:paraId="5C71C91F" w14:textId="77777777" w:rsidR="00296288" w:rsidRPr="006D4265" w:rsidRDefault="00296288" w:rsidP="00296288">
      <w:pPr>
        <w:tabs>
          <w:tab w:val="left" w:pos="851"/>
        </w:tabs>
        <w:spacing w:line="360" w:lineRule="auto"/>
        <w:jc w:val="both"/>
        <w:rPr>
          <w:rFonts w:eastAsia="Times New Roman"/>
        </w:rPr>
      </w:pPr>
    </w:p>
    <w:p w14:paraId="143D8467" w14:textId="77777777" w:rsidR="00296288" w:rsidRPr="006D4265" w:rsidRDefault="00296288" w:rsidP="00296288">
      <w:pPr>
        <w:tabs>
          <w:tab w:val="left" w:pos="851"/>
        </w:tabs>
        <w:spacing w:line="360" w:lineRule="auto"/>
        <w:jc w:val="both"/>
        <w:rPr>
          <w:rFonts w:eastAsia="Times New Roman"/>
          <w:b/>
          <w:bCs/>
        </w:rPr>
      </w:pPr>
      <w:r w:rsidRPr="006D4265">
        <w:rPr>
          <w:rFonts w:eastAsia="Times New Roman"/>
          <w:b/>
          <w:bCs/>
        </w:rPr>
        <w:t>La phrase « </w:t>
      </w:r>
      <w:r>
        <w:rPr>
          <w:rFonts w:eastAsia="Times New Roman" w:hint="cs"/>
          <w:b/>
          <w:bCs/>
          <w:rtl/>
        </w:rPr>
        <w:t>أفلم يسيروا في الأرض</w:t>
      </w:r>
      <w:r w:rsidRPr="006D4265">
        <w:rPr>
          <w:rFonts w:eastAsia="Times New Roman"/>
          <w:b/>
          <w:bCs/>
        </w:rPr>
        <w:t> » :</w:t>
      </w:r>
    </w:p>
    <w:p w14:paraId="170D2A9A" w14:textId="77777777" w:rsidR="00296288" w:rsidRPr="006D4265" w:rsidRDefault="00296288" w:rsidP="00296288">
      <w:pPr>
        <w:tabs>
          <w:tab w:val="left" w:pos="851"/>
        </w:tabs>
        <w:spacing w:line="360" w:lineRule="auto"/>
        <w:jc w:val="both"/>
        <w:rPr>
          <w:rFonts w:eastAsia="Times New Roman"/>
        </w:rPr>
      </w:pPr>
      <w:r w:rsidRPr="006D4265">
        <w:rPr>
          <w:rFonts w:eastAsia="Times New Roman"/>
        </w:rPr>
        <w:tab/>
        <w:t>La phrase « </w:t>
      </w:r>
      <w:r>
        <w:rPr>
          <w:rFonts w:eastAsia="Times New Roman"/>
          <w:i/>
          <w:iCs/>
        </w:rPr>
        <w:t>A-fa-lam yasīrū fi l-</w:t>
      </w:r>
      <w:r w:rsidRPr="006D4265">
        <w:rPr>
          <w:rFonts w:eastAsia="Times New Roman"/>
          <w:i/>
          <w:iCs/>
        </w:rPr>
        <w:t>arḍ</w:t>
      </w:r>
      <w:r w:rsidRPr="006D4265">
        <w:rPr>
          <w:rFonts w:eastAsia="Times New Roman"/>
        </w:rPr>
        <w:t> » [N’ont-ils pas cheminé sur</w:t>
      </w:r>
      <w:r w:rsidRPr="006D4265">
        <w:rPr>
          <w:rFonts w:eastAsia="Times New Roman"/>
          <w:b/>
          <w:bCs/>
          <w:lang w:bidi="ar-AE"/>
        </w:rPr>
        <w:t xml:space="preserve"> </w:t>
      </w:r>
      <w:r w:rsidRPr="006D4265">
        <w:rPr>
          <w:rFonts w:eastAsia="Times New Roman"/>
        </w:rPr>
        <w:t>la terre] (v. 46) désigne l’une des significations suivantes : 1-une exhortation au voyage, 2-une exhortation à la contemplation, 3-une exhortation à la recherche, 4-une réprobation de l’attitude des dénégateurs.</w:t>
      </w:r>
    </w:p>
    <w:p w14:paraId="6F281ED9" w14:textId="77777777" w:rsidR="00296288" w:rsidRPr="006D4265" w:rsidRDefault="00296288" w:rsidP="00296288">
      <w:pPr>
        <w:spacing w:line="360" w:lineRule="auto"/>
        <w:jc w:val="both"/>
        <w:rPr>
          <w:rFonts w:eastAsia="Times New Roman"/>
          <w:lang w:bidi="ar-EG"/>
        </w:rPr>
      </w:pPr>
    </w:p>
    <w:p w14:paraId="713460EB" w14:textId="77777777" w:rsidR="00296288" w:rsidRPr="006D4265" w:rsidRDefault="00296288" w:rsidP="00296288">
      <w:pPr>
        <w:spacing w:line="360" w:lineRule="auto"/>
        <w:jc w:val="both"/>
        <w:rPr>
          <w:rFonts w:eastAsia="Times New Roman"/>
          <w:b/>
          <w:bCs/>
          <w:lang w:bidi="ar-EG"/>
        </w:rPr>
      </w:pPr>
      <w:r w:rsidRPr="006D4265">
        <w:rPr>
          <w:rFonts w:eastAsia="Times New Roman"/>
          <w:b/>
          <w:bCs/>
        </w:rPr>
        <w:t>La phrase « </w:t>
      </w:r>
      <w:r>
        <w:rPr>
          <w:rFonts w:eastAsia="Times New Roman" w:hint="cs"/>
          <w:b/>
          <w:bCs/>
          <w:rtl/>
        </w:rPr>
        <w:t>لن يُخلِف اللهُ وعدَه</w:t>
      </w:r>
      <w:r w:rsidRPr="006D4265">
        <w:rPr>
          <w:rFonts w:eastAsia="Times New Roman"/>
          <w:b/>
          <w:bCs/>
        </w:rPr>
        <w:t> » :</w:t>
      </w:r>
    </w:p>
    <w:p w14:paraId="0176FB68" w14:textId="77777777" w:rsidR="00296288" w:rsidRPr="006D4265" w:rsidRDefault="00296288" w:rsidP="00296288">
      <w:pPr>
        <w:tabs>
          <w:tab w:val="left" w:pos="851"/>
        </w:tabs>
        <w:spacing w:line="360" w:lineRule="auto"/>
        <w:jc w:val="both"/>
        <w:rPr>
          <w:rFonts w:eastAsia="Times New Roman"/>
        </w:rPr>
      </w:pPr>
      <w:r w:rsidRPr="006D4265">
        <w:rPr>
          <w:rFonts w:eastAsia="Times New Roman"/>
        </w:rPr>
        <w:tab/>
        <w:t>La phrase négative « </w:t>
      </w:r>
      <w:r w:rsidRPr="00E84F59">
        <w:rPr>
          <w:rFonts w:eastAsia="Times New Roman" w:hint="cs"/>
          <w:rtl/>
        </w:rPr>
        <w:t>لن يُخلِف اللهُ وعدَه</w:t>
      </w:r>
      <w:r w:rsidRPr="006D4265">
        <w:rPr>
          <w:rFonts w:eastAsia="Times New Roman"/>
        </w:rPr>
        <w:t xml:space="preserve"> » [Dieu ne saurait faillir à Sa promesse] (v. 47) désigne selon les exégètes une idée précise : l’inéluctabilité du châtiment. Cependant, le vide dans cette phrase est le temps. Bien que le verbe au subjonctif </w:t>
      </w:r>
      <w:r w:rsidRPr="006D4265">
        <w:rPr>
          <w:rFonts w:eastAsia="Times New Roman"/>
          <w:i/>
          <w:iCs/>
        </w:rPr>
        <w:t>yukhlifa</w:t>
      </w:r>
      <w:r w:rsidRPr="006D4265">
        <w:rPr>
          <w:rFonts w:eastAsia="Times New Roman"/>
        </w:rPr>
        <w:t xml:space="preserve"> précédé de la particule de négation (du futur) </w:t>
      </w:r>
      <w:r w:rsidRPr="006D4265">
        <w:rPr>
          <w:rFonts w:eastAsia="Times New Roman"/>
          <w:i/>
          <w:iCs/>
        </w:rPr>
        <w:t>lan</w:t>
      </w:r>
      <w:r w:rsidRPr="006D4265">
        <w:rPr>
          <w:rFonts w:eastAsia="Times New Roman"/>
        </w:rPr>
        <w:t xml:space="preserve"> désigne le futur, on ne sait pas si le châtiment s’est déroulé ou non et s’il arrive dans ce monde ou dans l’autre. </w:t>
      </w:r>
      <w:r w:rsidRPr="006D4265">
        <w:rPr>
          <w:rFonts w:eastAsia="Times New Roman"/>
          <w:lang w:bidi="ar-AE"/>
        </w:rPr>
        <w:t>Aṭ-Ṭabarī</w:t>
      </w:r>
      <w:r w:rsidRPr="006D4265">
        <w:rPr>
          <w:rFonts w:eastAsia="Times New Roman"/>
        </w:rPr>
        <w:t xml:space="preserve"> souligne que le châtiment se passe dans l’ici-bas. Par contre, Ibn Kathīr affirme qu’il s’agit du Jugement dernier. Al-Qurṭubī, d’après Az-</w:t>
      </w:r>
      <w:r w:rsidRPr="006D4265">
        <w:rPr>
          <w:rFonts w:eastAsia="Times New Roman"/>
        </w:rPr>
        <w:lastRenderedPageBreak/>
        <w:t>Zajjāj, souligne que Dieu a infligé le châtiment aux païens mecquois dans la bataille de Badr, la première bataille victorieuse des musulmans contre le clan quraychite en 623 ou 624 J.-C.</w:t>
      </w:r>
    </w:p>
    <w:p w14:paraId="4C9764C6" w14:textId="77777777" w:rsidR="00296288" w:rsidRPr="006D4265" w:rsidRDefault="00296288" w:rsidP="00296288">
      <w:pPr>
        <w:tabs>
          <w:tab w:val="left" w:pos="851"/>
        </w:tabs>
        <w:spacing w:line="360" w:lineRule="auto"/>
        <w:jc w:val="both"/>
        <w:rPr>
          <w:rFonts w:eastAsia="Times New Roman"/>
        </w:rPr>
      </w:pPr>
    </w:p>
    <w:p w14:paraId="6701EF46" w14:textId="77777777" w:rsidR="00296288" w:rsidRPr="006D4265" w:rsidRDefault="00296288" w:rsidP="00296288">
      <w:pPr>
        <w:tabs>
          <w:tab w:val="left" w:pos="851"/>
        </w:tabs>
        <w:spacing w:line="360" w:lineRule="auto"/>
        <w:jc w:val="both"/>
        <w:rPr>
          <w:rFonts w:eastAsia="Times New Roman"/>
          <w:b/>
          <w:bCs/>
        </w:rPr>
      </w:pPr>
      <w:r w:rsidRPr="006D4265">
        <w:rPr>
          <w:rFonts w:eastAsia="Times New Roman"/>
          <w:b/>
          <w:bCs/>
        </w:rPr>
        <w:t>La phrase « </w:t>
      </w:r>
      <w:r>
        <w:rPr>
          <w:rFonts w:eastAsia="Times New Roman" w:hint="cs"/>
          <w:b/>
          <w:bCs/>
          <w:rtl/>
        </w:rPr>
        <w:t>إن يوماً عند ربك كألف سنة</w:t>
      </w:r>
      <w:r w:rsidRPr="006D4265">
        <w:rPr>
          <w:rFonts w:eastAsia="Times New Roman"/>
          <w:b/>
          <w:bCs/>
          <w:i/>
          <w:iCs/>
        </w:rPr>
        <w:t xml:space="preserve"> </w:t>
      </w:r>
      <w:r w:rsidRPr="006D4265">
        <w:rPr>
          <w:rFonts w:eastAsia="Times New Roman"/>
          <w:b/>
          <w:bCs/>
        </w:rPr>
        <w:t>» :</w:t>
      </w:r>
    </w:p>
    <w:p w14:paraId="50453296" w14:textId="77777777" w:rsidR="00296288" w:rsidRPr="006D4265" w:rsidRDefault="00296288" w:rsidP="00296288">
      <w:pPr>
        <w:tabs>
          <w:tab w:val="left" w:pos="851"/>
        </w:tabs>
        <w:spacing w:line="360" w:lineRule="auto"/>
        <w:jc w:val="both"/>
        <w:rPr>
          <w:rFonts w:eastAsia="Times New Roman"/>
        </w:rPr>
      </w:pPr>
      <w:r w:rsidRPr="006D4265">
        <w:rPr>
          <w:rFonts w:eastAsia="Times New Roman"/>
          <w:color w:val="FF0000"/>
        </w:rPr>
        <w:tab/>
      </w:r>
      <w:r w:rsidRPr="006D4265">
        <w:rPr>
          <w:rFonts w:eastAsia="Times New Roman"/>
        </w:rPr>
        <w:t>La phrase nominale complexe « </w:t>
      </w:r>
      <w:r w:rsidRPr="00E84F59">
        <w:rPr>
          <w:rFonts w:eastAsia="Times New Roman" w:hint="cs"/>
          <w:rtl/>
        </w:rPr>
        <w:t>إن يوماً عند ربك كألف سنة مما تعدّون</w:t>
      </w:r>
      <w:r w:rsidRPr="006D4265">
        <w:rPr>
          <w:rFonts w:eastAsia="Times New Roman"/>
        </w:rPr>
        <w:t> »</w:t>
      </w:r>
      <w:r w:rsidRPr="006D4265">
        <w:rPr>
          <w:rFonts w:eastAsia="Times New Roman"/>
          <w:i/>
          <w:iCs/>
        </w:rPr>
        <w:t xml:space="preserve"> </w:t>
      </w:r>
      <w:r w:rsidRPr="006D4265">
        <w:rPr>
          <w:rFonts w:eastAsia="Times New Roman"/>
        </w:rPr>
        <w:t>[un jour de ton Seigneur vaut mille ans de vos computs] (v. 47) est équivoque et par la suite polysémique. On peut trouver les significations suivantes :</w:t>
      </w:r>
    </w:p>
    <w:p w14:paraId="09B27C63" w14:textId="77777777" w:rsidR="00296288" w:rsidRPr="006D4265" w:rsidRDefault="00296288" w:rsidP="007640DC">
      <w:pPr>
        <w:numPr>
          <w:ilvl w:val="0"/>
          <w:numId w:val="74"/>
        </w:numPr>
        <w:tabs>
          <w:tab w:val="left" w:pos="709"/>
        </w:tabs>
        <w:spacing w:line="360" w:lineRule="auto"/>
        <w:ind w:left="709" w:hanging="349"/>
        <w:jc w:val="both"/>
        <w:rPr>
          <w:rFonts w:eastAsia="Times New Roman"/>
        </w:rPr>
      </w:pPr>
      <w:r w:rsidRPr="006D4265">
        <w:rPr>
          <w:rFonts w:eastAsia="Times New Roman"/>
        </w:rPr>
        <w:t>Il s’agit de chacun des six jours de la création de la terre et des cieux (selon la mythologie biblique et abrahamique) ;</w:t>
      </w:r>
    </w:p>
    <w:p w14:paraId="1F5A97EA" w14:textId="77777777" w:rsidR="00296288" w:rsidRPr="006D4265" w:rsidRDefault="00296288" w:rsidP="007640DC">
      <w:pPr>
        <w:numPr>
          <w:ilvl w:val="0"/>
          <w:numId w:val="74"/>
        </w:numPr>
        <w:tabs>
          <w:tab w:val="left" w:pos="709"/>
        </w:tabs>
        <w:spacing w:line="360" w:lineRule="auto"/>
        <w:ind w:left="709" w:hanging="349"/>
        <w:jc w:val="both"/>
        <w:rPr>
          <w:rFonts w:eastAsia="Times New Roman"/>
        </w:rPr>
      </w:pPr>
      <w:r w:rsidRPr="006D4265">
        <w:rPr>
          <w:rFonts w:eastAsia="Times New Roman"/>
        </w:rPr>
        <w:t>Il s’agit des jours de l’au-delà ;</w:t>
      </w:r>
    </w:p>
    <w:p w14:paraId="7182BD74" w14:textId="77777777" w:rsidR="00296288" w:rsidRPr="006D4265" w:rsidRDefault="00296288" w:rsidP="007640DC">
      <w:pPr>
        <w:numPr>
          <w:ilvl w:val="0"/>
          <w:numId w:val="74"/>
        </w:numPr>
        <w:tabs>
          <w:tab w:val="left" w:pos="709"/>
        </w:tabs>
        <w:spacing w:line="360" w:lineRule="auto"/>
        <w:ind w:left="709" w:hanging="349"/>
        <w:jc w:val="both"/>
        <w:rPr>
          <w:rFonts w:eastAsia="Times New Roman"/>
        </w:rPr>
      </w:pPr>
      <w:r w:rsidRPr="006D4265">
        <w:rPr>
          <w:rFonts w:eastAsia="Times New Roman"/>
        </w:rPr>
        <w:t>Il s’agit du jour de la Résurrection ;</w:t>
      </w:r>
    </w:p>
    <w:p w14:paraId="3FAAF5FD" w14:textId="77777777" w:rsidR="00296288" w:rsidRPr="006D4265" w:rsidRDefault="00296288" w:rsidP="007640DC">
      <w:pPr>
        <w:numPr>
          <w:ilvl w:val="0"/>
          <w:numId w:val="74"/>
        </w:numPr>
        <w:tabs>
          <w:tab w:val="left" w:pos="709"/>
        </w:tabs>
        <w:spacing w:line="360" w:lineRule="auto"/>
        <w:ind w:left="709" w:hanging="349"/>
        <w:jc w:val="both"/>
        <w:rPr>
          <w:rFonts w:eastAsia="Times New Roman"/>
        </w:rPr>
      </w:pPr>
      <w:r w:rsidRPr="006D4265">
        <w:rPr>
          <w:rFonts w:eastAsia="Times New Roman"/>
        </w:rPr>
        <w:t>Il s’agit de l’un des jours du châtiment de Dieu ;</w:t>
      </w:r>
    </w:p>
    <w:p w14:paraId="1CABC5A7" w14:textId="77777777" w:rsidR="00296288" w:rsidRPr="006D4265" w:rsidRDefault="00296288" w:rsidP="007640DC">
      <w:pPr>
        <w:numPr>
          <w:ilvl w:val="0"/>
          <w:numId w:val="74"/>
        </w:numPr>
        <w:tabs>
          <w:tab w:val="left" w:pos="709"/>
        </w:tabs>
        <w:spacing w:line="360" w:lineRule="auto"/>
        <w:ind w:left="709" w:hanging="349"/>
        <w:jc w:val="both"/>
        <w:rPr>
          <w:rFonts w:eastAsia="Times New Roman"/>
        </w:rPr>
      </w:pPr>
      <w:r w:rsidRPr="006D4265">
        <w:rPr>
          <w:rFonts w:eastAsia="Times New Roman"/>
        </w:rPr>
        <w:t>Il ne s’agit pas d’un jour déterminé, mais il s’agit seulement de nier la précipitation de Dieu et de prouver la fatalité du châtiment ;</w:t>
      </w:r>
    </w:p>
    <w:p w14:paraId="04CA49E0" w14:textId="77777777" w:rsidR="00296288" w:rsidRPr="006D4265" w:rsidRDefault="00296288" w:rsidP="007640DC">
      <w:pPr>
        <w:numPr>
          <w:ilvl w:val="0"/>
          <w:numId w:val="74"/>
        </w:numPr>
        <w:tabs>
          <w:tab w:val="left" w:pos="709"/>
        </w:tabs>
        <w:spacing w:line="360" w:lineRule="auto"/>
        <w:ind w:left="709" w:hanging="349"/>
        <w:jc w:val="both"/>
        <w:rPr>
          <w:rFonts w:eastAsia="Times New Roman"/>
        </w:rPr>
      </w:pPr>
      <w:r w:rsidRPr="006D4265">
        <w:rPr>
          <w:rFonts w:eastAsia="Times New Roman"/>
        </w:rPr>
        <w:t>Il s’agit d’une allusion à la clémence et à la patience de Dieu ;</w:t>
      </w:r>
    </w:p>
    <w:p w14:paraId="5F80BE4F" w14:textId="77777777" w:rsidR="00296288" w:rsidRPr="006D4265" w:rsidRDefault="00296288" w:rsidP="007640DC">
      <w:pPr>
        <w:numPr>
          <w:ilvl w:val="0"/>
          <w:numId w:val="74"/>
        </w:numPr>
        <w:tabs>
          <w:tab w:val="left" w:pos="709"/>
        </w:tabs>
        <w:spacing w:line="360" w:lineRule="auto"/>
        <w:ind w:left="709" w:hanging="349"/>
        <w:jc w:val="both"/>
        <w:rPr>
          <w:rFonts w:eastAsia="Times New Roman"/>
        </w:rPr>
      </w:pPr>
      <w:r w:rsidRPr="006D4265">
        <w:rPr>
          <w:rFonts w:eastAsia="Times New Roman"/>
        </w:rPr>
        <w:t>Il s’agit d’un contenu scientifique miraculeux (</w:t>
      </w:r>
      <w:r w:rsidRPr="006D4265">
        <w:rPr>
          <w:rFonts w:eastAsia="Times New Roman"/>
          <w:i/>
          <w:iCs/>
        </w:rPr>
        <w:t>iʿjāz ʿilmī</w:t>
      </w:r>
      <w:r w:rsidRPr="006D4265">
        <w:rPr>
          <w:rFonts w:eastAsia="Times New Roman"/>
        </w:rPr>
        <w:t xml:space="preserve">) : selon </w:t>
      </w:r>
      <w:r w:rsidRPr="006D4265">
        <w:rPr>
          <w:rFonts w:eastAsia="Calibri"/>
          <w:lang w:bidi="ar-AE"/>
        </w:rPr>
        <w:t>Zaghlūl An-Najjār</w:t>
      </w:r>
      <w:r w:rsidRPr="006D4265">
        <w:rPr>
          <w:rFonts w:eastAsia="Times New Roman"/>
        </w:rPr>
        <w:t xml:space="preserve"> et </w:t>
      </w:r>
      <w:r w:rsidRPr="006D4265">
        <w:rPr>
          <w:rFonts w:eastAsia="Calibri"/>
        </w:rPr>
        <w:t>Muḥammad Rātib An-Nābulsī</w:t>
      </w:r>
      <w:r w:rsidRPr="006D4265">
        <w:rPr>
          <w:rFonts w:eastAsia="Calibri"/>
          <w:vertAlign w:val="superscript"/>
          <w:lang w:bidi="ar-AE"/>
        </w:rPr>
        <w:footnoteReference w:id="354"/>
      </w:r>
      <w:r w:rsidRPr="006D4265">
        <w:rPr>
          <w:rFonts w:eastAsia="Times New Roman"/>
        </w:rPr>
        <w:t>, la phrase fait allusion à la vitesse de la lumière.</w:t>
      </w:r>
      <w:r w:rsidRPr="006D4265">
        <w:rPr>
          <w:rFonts w:eastAsia="Calibri"/>
        </w:rPr>
        <w:t xml:space="preserve"> An-Nābulsī</w:t>
      </w:r>
      <w:r w:rsidRPr="006D4265">
        <w:rPr>
          <w:rFonts w:eastAsia="Times New Roman"/>
        </w:rPr>
        <w:t xml:space="preserve"> souligne que ce verset a embarrassé les oulémas et qu’une communication de plus de 80 pages présentée lors du 5</w:t>
      </w:r>
      <w:r w:rsidRPr="006D4265">
        <w:rPr>
          <w:rFonts w:eastAsia="Times New Roman"/>
          <w:vertAlign w:val="superscript"/>
        </w:rPr>
        <w:t>e</w:t>
      </w:r>
      <w:r w:rsidRPr="006D4265">
        <w:rPr>
          <w:rFonts w:eastAsia="Times New Roman"/>
        </w:rPr>
        <w:t xml:space="preserve"> </w:t>
      </w:r>
      <w:r>
        <w:rPr>
          <w:rFonts w:eastAsia="Times New Roman"/>
        </w:rPr>
        <w:t>congrès</w:t>
      </w:r>
      <w:r w:rsidRPr="006D4265">
        <w:rPr>
          <w:rFonts w:eastAsia="Times New Roman"/>
        </w:rPr>
        <w:t xml:space="preserve"> de l’</w:t>
      </w:r>
      <w:r w:rsidRPr="006D4265">
        <w:rPr>
          <w:rFonts w:eastAsia="Times New Roman"/>
          <w:i/>
          <w:iCs/>
        </w:rPr>
        <w:t xml:space="preserve">iʿjāz </w:t>
      </w:r>
      <w:r>
        <w:rPr>
          <w:rFonts w:eastAsia="Times New Roman"/>
        </w:rPr>
        <w:t>tenu</w:t>
      </w:r>
      <w:r w:rsidRPr="006D4265">
        <w:rPr>
          <w:rFonts w:eastAsia="Times New Roman"/>
        </w:rPr>
        <w:t xml:space="preserve"> à Moscou, selon ses dires</w:t>
      </w:r>
      <w:r w:rsidRPr="006D4265">
        <w:rPr>
          <w:rFonts w:eastAsia="Times New Roman"/>
          <w:vertAlign w:val="superscript"/>
          <w:lang w:bidi="ar-AE"/>
        </w:rPr>
        <w:footnoteReference w:id="355"/>
      </w:r>
      <w:r w:rsidRPr="006D4265">
        <w:rPr>
          <w:rFonts w:eastAsia="Times New Roman"/>
        </w:rPr>
        <w:t xml:space="preserve">, affirme que ce verset fait allusion à la théorie de la relativité d’Einstein. Ainsi, le verset signifie, selon </w:t>
      </w:r>
      <w:r w:rsidRPr="006D4265">
        <w:rPr>
          <w:rFonts w:eastAsia="Calibri"/>
        </w:rPr>
        <w:t>An-Nābulsī</w:t>
      </w:r>
      <w:r w:rsidRPr="006D4265">
        <w:rPr>
          <w:rFonts w:eastAsia="Times New Roman"/>
        </w:rPr>
        <w:t>, que la lune effectue pendant mille ans la même distance parcourue par la lumière pendant un seul jour. En d’autres termes, un seul jour divin qui doit être équivalent à la vitesse de la lumière par jour (</w:t>
      </w:r>
      <w:r w:rsidRPr="006D4265">
        <w:rPr>
          <w:rFonts w:eastAsia="Times New Roman"/>
          <w:i/>
          <w:iCs/>
        </w:rPr>
        <w:t>yawm ʿinda rabbi</w:t>
      </w:r>
      <w:r>
        <w:rPr>
          <w:rFonts w:eastAsia="Times New Roman"/>
          <w:i/>
          <w:iCs/>
        </w:rPr>
        <w:t>-</w:t>
      </w:r>
      <w:r w:rsidRPr="006D4265">
        <w:rPr>
          <w:rFonts w:eastAsia="Times New Roman"/>
          <w:i/>
          <w:iCs/>
        </w:rPr>
        <w:t>ka</w:t>
      </w:r>
      <w:r w:rsidRPr="006D4265">
        <w:rPr>
          <w:rFonts w:eastAsia="Times New Roman"/>
        </w:rPr>
        <w:t>) égale mille ans du calendrier lunaire adopté par les Arabes (</w:t>
      </w:r>
      <w:r w:rsidRPr="006D4265">
        <w:rPr>
          <w:rFonts w:eastAsia="Times New Roman"/>
          <w:i/>
          <w:iCs/>
        </w:rPr>
        <w:t>ka-ʾalfi sanatin mimmā taʿuddūn</w:t>
      </w:r>
      <w:r w:rsidRPr="006D4265">
        <w:rPr>
          <w:rFonts w:eastAsia="Times New Roman"/>
        </w:rPr>
        <w:t>).</w:t>
      </w:r>
    </w:p>
    <w:p w14:paraId="6911D5C8" w14:textId="77777777" w:rsidR="00296288" w:rsidRPr="006D4265" w:rsidRDefault="00296288" w:rsidP="00296288">
      <w:pPr>
        <w:tabs>
          <w:tab w:val="left" w:pos="851"/>
        </w:tabs>
        <w:spacing w:line="360" w:lineRule="auto"/>
        <w:jc w:val="both"/>
        <w:rPr>
          <w:rFonts w:eastAsia="Times New Roman"/>
        </w:rPr>
      </w:pPr>
    </w:p>
    <w:p w14:paraId="6C4347E0" w14:textId="77777777" w:rsidR="00296288" w:rsidRPr="006D4265" w:rsidRDefault="00296288" w:rsidP="00296288">
      <w:pPr>
        <w:spacing w:line="360" w:lineRule="auto"/>
        <w:ind w:firstLine="360"/>
        <w:jc w:val="both"/>
        <w:rPr>
          <w:rFonts w:eastAsia="Calibri"/>
          <w:rtl/>
        </w:rPr>
      </w:pPr>
      <w:r>
        <w:rPr>
          <w:rFonts w:eastAsia="Calibri"/>
        </w:rPr>
        <w:t>C</w:t>
      </w:r>
      <w:r w:rsidRPr="006D4265">
        <w:rPr>
          <w:rFonts w:eastAsia="Calibri"/>
        </w:rPr>
        <w:t xml:space="preserve">e que disent </w:t>
      </w:r>
      <w:r w:rsidRPr="006D4265">
        <w:rPr>
          <w:rFonts w:eastAsia="Calibri"/>
          <w:lang w:bidi="ar-AE"/>
        </w:rPr>
        <w:t>An-Najjār</w:t>
      </w:r>
      <w:r w:rsidRPr="006D4265">
        <w:rPr>
          <w:rFonts w:eastAsia="Calibri"/>
        </w:rPr>
        <w:t xml:space="preserve"> et An-Nābulsī dans un contexte concordiste semble contredire l’usage métaphorique par les Arabes des grands nombres (comme soixante et mille) pour </w:t>
      </w:r>
      <w:r w:rsidRPr="006D4265">
        <w:rPr>
          <w:rFonts w:eastAsia="Calibri"/>
        </w:rPr>
        <w:lastRenderedPageBreak/>
        <w:t>l’exagération. À titre d’exemple, le nombre « soixante-dix » utilisé dans le verset IX, 80 (« </w:t>
      </w:r>
      <w:r>
        <w:rPr>
          <w:rFonts w:eastAsia="Calibri" w:hint="cs"/>
          <w:rtl/>
        </w:rPr>
        <w:t>إن تستغفر لهم</w:t>
      </w:r>
      <w:r w:rsidRPr="00380254">
        <w:rPr>
          <w:rFonts w:eastAsia="Calibri" w:hint="cs"/>
          <w:b/>
          <w:bCs/>
          <w:rtl/>
        </w:rPr>
        <w:t xml:space="preserve"> سبعين </w:t>
      </w:r>
      <w:r>
        <w:rPr>
          <w:rFonts w:eastAsia="Calibri" w:hint="cs"/>
          <w:rtl/>
        </w:rPr>
        <w:t>مرةً فلن يغفرَ الله لهم</w:t>
      </w:r>
      <w:r w:rsidRPr="006D4265">
        <w:rPr>
          <w:rFonts w:eastAsia="Calibri"/>
        </w:rPr>
        <w:t xml:space="preserve"> » [Jamais Dieu ne leur pardonnera, dusses-tu répéter ta </w:t>
      </w:r>
      <w:r w:rsidRPr="006F5AA9">
        <w:rPr>
          <w:rFonts w:eastAsia="Calibri"/>
        </w:rPr>
        <w:t xml:space="preserve">demande </w:t>
      </w:r>
      <w:r w:rsidRPr="006F5AA9">
        <w:rPr>
          <w:rFonts w:eastAsia="Calibri"/>
          <w:b/>
          <w:bCs/>
        </w:rPr>
        <w:t>soixante-dix</w:t>
      </w:r>
      <w:r w:rsidRPr="006F5AA9">
        <w:rPr>
          <w:rFonts w:eastAsia="Calibri"/>
        </w:rPr>
        <w:t xml:space="preserve"> fois] a pour signification l’exagération et non pas le chiffre exact de soixante-dix. Dans son </w:t>
      </w:r>
      <w:r w:rsidRPr="006F5AA9">
        <w:rPr>
          <w:rFonts w:eastAsia="Calibri"/>
          <w:i/>
          <w:iCs/>
        </w:rPr>
        <w:t>Al-Baḥr al-muḥīṭ</w:t>
      </w:r>
      <w:r w:rsidRPr="006F5AA9">
        <w:rPr>
          <w:rFonts w:eastAsia="Calibri"/>
          <w:vertAlign w:val="superscript"/>
          <w:lang w:bidi="ar-AE"/>
        </w:rPr>
        <w:footnoteReference w:id="356"/>
      </w:r>
      <w:r w:rsidRPr="006F5AA9">
        <w:rPr>
          <w:rFonts w:eastAsia="Calibri"/>
        </w:rPr>
        <w:t>, Az-Zarkashī souligne que l’utilisation des nombres comme mille et soixante-dix ne désigne pas le sens propre (le nombre : mille ou soixante-dix), mais le sens figuré (pour la multiplication et l’exagération) et que cette idée a été soutenue également par le théologien et grammairien Ibn Fūrak (941</w:t>
      </w:r>
      <w:r w:rsidRPr="006D4265">
        <w:rPr>
          <w:rFonts w:eastAsia="Calibri"/>
        </w:rPr>
        <w:t xml:space="preserve">-1015). Dans le verset XXXVIII, 23 </w:t>
      </w:r>
      <w:r w:rsidRPr="00C80F21">
        <w:rPr>
          <w:rFonts w:eastAsia="Calibri"/>
        </w:rPr>
        <w:t>(« </w:t>
      </w:r>
      <w:r w:rsidRPr="00C80F21">
        <w:rPr>
          <w:rFonts w:eastAsia="Calibri" w:hint="cs"/>
          <w:rtl/>
        </w:rPr>
        <w:t>إن</w:t>
      </w:r>
      <w:r w:rsidRPr="00C80F21">
        <w:rPr>
          <w:rFonts w:eastAsia="Calibri"/>
          <w:rtl/>
        </w:rPr>
        <w:t xml:space="preserve"> </w:t>
      </w:r>
      <w:r w:rsidRPr="00C80F21">
        <w:rPr>
          <w:rFonts w:eastAsia="Calibri" w:hint="cs"/>
          <w:rtl/>
        </w:rPr>
        <w:t>هذا</w:t>
      </w:r>
      <w:r w:rsidRPr="00C80F21">
        <w:rPr>
          <w:rFonts w:eastAsia="Calibri"/>
          <w:rtl/>
        </w:rPr>
        <w:t xml:space="preserve"> </w:t>
      </w:r>
      <w:r w:rsidRPr="00C80F21">
        <w:rPr>
          <w:rFonts w:eastAsia="Calibri" w:hint="cs"/>
          <w:rtl/>
        </w:rPr>
        <w:t>أخي</w:t>
      </w:r>
      <w:r w:rsidRPr="00C80F21">
        <w:rPr>
          <w:rFonts w:eastAsia="Calibri"/>
          <w:rtl/>
        </w:rPr>
        <w:t xml:space="preserve"> </w:t>
      </w:r>
      <w:r w:rsidRPr="00C80F21">
        <w:rPr>
          <w:rFonts w:eastAsia="Calibri" w:hint="cs"/>
          <w:rtl/>
        </w:rPr>
        <w:t>له</w:t>
      </w:r>
      <w:r w:rsidRPr="00C80F21">
        <w:rPr>
          <w:rFonts w:eastAsia="Calibri"/>
          <w:rtl/>
        </w:rPr>
        <w:t xml:space="preserve"> </w:t>
      </w:r>
      <w:r w:rsidRPr="00C80F21">
        <w:rPr>
          <w:rFonts w:eastAsia="Calibri" w:hint="cs"/>
          <w:b/>
          <w:bCs/>
          <w:rtl/>
        </w:rPr>
        <w:t>تسع</w:t>
      </w:r>
      <w:r w:rsidRPr="00C80F21">
        <w:rPr>
          <w:rFonts w:eastAsia="Calibri"/>
          <w:b/>
          <w:bCs/>
          <w:rtl/>
        </w:rPr>
        <w:t xml:space="preserve"> </w:t>
      </w:r>
      <w:r w:rsidRPr="00C80F21">
        <w:rPr>
          <w:rFonts w:eastAsia="Calibri" w:hint="cs"/>
          <w:b/>
          <w:bCs/>
          <w:rtl/>
        </w:rPr>
        <w:t>وتسعون</w:t>
      </w:r>
      <w:r w:rsidRPr="00C80F21">
        <w:rPr>
          <w:rFonts w:eastAsia="Calibri"/>
          <w:rtl/>
        </w:rPr>
        <w:t xml:space="preserve"> </w:t>
      </w:r>
      <w:r w:rsidRPr="00C80F21">
        <w:rPr>
          <w:rFonts w:eastAsia="Calibri" w:hint="cs"/>
          <w:rtl/>
        </w:rPr>
        <w:t>نعجة</w:t>
      </w:r>
      <w:r w:rsidRPr="00C80F21">
        <w:rPr>
          <w:rFonts w:eastAsia="Calibri"/>
          <w:rtl/>
        </w:rPr>
        <w:t xml:space="preserve"> </w:t>
      </w:r>
      <w:r w:rsidRPr="00C80F21">
        <w:rPr>
          <w:rFonts w:eastAsia="Calibri" w:hint="cs"/>
          <w:rtl/>
        </w:rPr>
        <w:t>ولي</w:t>
      </w:r>
      <w:r w:rsidRPr="00C80F21">
        <w:rPr>
          <w:rFonts w:eastAsia="Calibri"/>
          <w:rtl/>
        </w:rPr>
        <w:t xml:space="preserve"> </w:t>
      </w:r>
      <w:r w:rsidRPr="00C80F21">
        <w:rPr>
          <w:rFonts w:eastAsia="Calibri" w:hint="cs"/>
          <w:rtl/>
        </w:rPr>
        <w:t>نعجة</w:t>
      </w:r>
      <w:r w:rsidRPr="00C80F21">
        <w:rPr>
          <w:rFonts w:eastAsia="Calibri"/>
          <w:rtl/>
        </w:rPr>
        <w:t xml:space="preserve"> </w:t>
      </w:r>
      <w:r w:rsidRPr="00C80F21">
        <w:rPr>
          <w:rFonts w:eastAsia="Calibri" w:hint="cs"/>
          <w:rtl/>
        </w:rPr>
        <w:t>واحدة</w:t>
      </w:r>
      <w:r w:rsidRPr="00C80F21">
        <w:rPr>
          <w:rFonts w:eastAsia="Calibri"/>
        </w:rPr>
        <w:t xml:space="preserve"> » [Celui-ci, </w:t>
      </w:r>
      <w:r w:rsidRPr="006D4265">
        <w:rPr>
          <w:rFonts w:eastAsia="Calibri"/>
        </w:rPr>
        <w:t xml:space="preserve">qui est mon frère, possède </w:t>
      </w:r>
      <w:r w:rsidRPr="006D4265">
        <w:rPr>
          <w:rFonts w:eastAsia="Calibri"/>
          <w:b/>
          <w:bCs/>
        </w:rPr>
        <w:t>quatre-vingt-dix-neuf</w:t>
      </w:r>
      <w:r w:rsidRPr="006D4265">
        <w:rPr>
          <w:rFonts w:eastAsia="Calibri"/>
        </w:rPr>
        <w:t xml:space="preserve"> brebis, je n’en ai qu’une]), le nombre 99 est utilisé au sens figuré. Ibn Al-ʿArabī dans </w:t>
      </w:r>
      <w:r w:rsidRPr="006D4265">
        <w:rPr>
          <w:rFonts w:eastAsia="Calibri"/>
          <w:i/>
          <w:iCs/>
          <w:lang w:bidi="ar-AE"/>
        </w:rPr>
        <w:t>Aḥkām Al-qurʾān</w:t>
      </w:r>
      <w:r w:rsidRPr="006D4265">
        <w:rPr>
          <w:rFonts w:eastAsia="Calibri"/>
        </w:rPr>
        <w:t xml:space="preserve"> et As-Suyūṭī dans l’</w:t>
      </w:r>
      <w:r w:rsidRPr="006D4265">
        <w:rPr>
          <w:rFonts w:eastAsia="Calibri"/>
          <w:i/>
          <w:iCs/>
        </w:rPr>
        <w:t>Itqān</w:t>
      </w:r>
      <w:r w:rsidRPr="006D4265">
        <w:rPr>
          <w:rFonts w:eastAsia="Calibri"/>
        </w:rPr>
        <w:t xml:space="preserve"> affirme</w:t>
      </w:r>
      <w:r>
        <w:rPr>
          <w:rFonts w:eastAsia="Calibri"/>
        </w:rPr>
        <w:t>nt</w:t>
      </w:r>
      <w:r w:rsidRPr="006D4265">
        <w:rPr>
          <w:rFonts w:eastAsia="Calibri"/>
        </w:rPr>
        <w:t xml:space="preserve"> qu’il s’agit d’une expression métaphorique qui signifie « de </w:t>
      </w:r>
      <w:r w:rsidRPr="006D4265">
        <w:rPr>
          <w:rFonts w:eastAsia="Calibri"/>
          <w:i/>
          <w:iCs/>
        </w:rPr>
        <w:t>nombreuses</w:t>
      </w:r>
      <w:r w:rsidRPr="006D4265">
        <w:rPr>
          <w:rFonts w:eastAsia="Calibri"/>
        </w:rPr>
        <w:t xml:space="preserve"> femmes » et non « </w:t>
      </w:r>
      <w:r w:rsidRPr="006D4265">
        <w:rPr>
          <w:rFonts w:eastAsia="Calibri"/>
          <w:i/>
          <w:iCs/>
        </w:rPr>
        <w:t>quatre-vingt-dix-neuf</w:t>
      </w:r>
      <w:r w:rsidRPr="006D4265">
        <w:rPr>
          <w:rFonts w:eastAsia="Calibri"/>
        </w:rPr>
        <w:t xml:space="preserve"> brebis ».</w:t>
      </w:r>
      <w:r w:rsidRPr="006D4265">
        <w:rPr>
          <w:rFonts w:eastAsia="Calibri"/>
          <w:vertAlign w:val="superscript"/>
          <w:lang w:bidi="ar-AE"/>
        </w:rPr>
        <w:footnoteReference w:id="357"/>
      </w:r>
    </w:p>
    <w:p w14:paraId="6C293DA1" w14:textId="77777777" w:rsidR="00296288" w:rsidRPr="006D4265" w:rsidRDefault="00296288" w:rsidP="00296288">
      <w:pPr>
        <w:spacing w:line="360" w:lineRule="auto"/>
        <w:jc w:val="both"/>
        <w:rPr>
          <w:rFonts w:eastAsia="Calibri"/>
        </w:rPr>
      </w:pPr>
    </w:p>
    <w:p w14:paraId="052E4101" w14:textId="77777777" w:rsidR="00296288" w:rsidRPr="006D4265" w:rsidRDefault="00296288" w:rsidP="00296288">
      <w:pPr>
        <w:spacing w:line="360" w:lineRule="auto"/>
        <w:ind w:firstLine="708"/>
        <w:jc w:val="both"/>
        <w:rPr>
          <w:rFonts w:eastAsia="Calibri"/>
        </w:rPr>
      </w:pPr>
      <w:r w:rsidRPr="006D4265">
        <w:rPr>
          <w:rFonts w:eastAsia="Calibri"/>
        </w:rPr>
        <w:t>Mais la signification qui semble s’adapter le mieux avec le contexte du verset et l’usage linguistique des Arabes est celle qui affirme l’inéluctabilité du châtiment divin et qui constitue ainsi une sorte de menace. En effet, cette signification aurait répondu aux exigences du contexte sociopolitique conflictuel. Actuellement, le contexte de l’émulation scientifique réclame de chercher une signification qui puisse répondre au progrès scientifique ou au moins qui ne soit pas contradictoire avec les connaissances scientifiques de l’époque. Le concordisme peut répondre à cette exigence. À cet effet, des oulémas tels qu</w:t>
      </w:r>
      <w:r w:rsidRPr="006D4265">
        <w:rPr>
          <w:rFonts w:eastAsia="Calibri"/>
          <w:lang w:bidi="ar-AE"/>
        </w:rPr>
        <w:t>’An-Najjār</w:t>
      </w:r>
      <w:r w:rsidRPr="006D4265">
        <w:rPr>
          <w:rFonts w:eastAsia="Calibri"/>
        </w:rPr>
        <w:t xml:space="preserve"> et An-Nābulsī ont inventé la signification de « la vitesse de la lumière » pour répondre à un besoin sociologique consistant à diminuer le complexe d’infériorité et à s’adapter aux concepts les plus simples de notre époque. Cependant, entre l’ancienne signification (la </w:t>
      </w:r>
      <w:r w:rsidRPr="006D4265">
        <w:rPr>
          <w:rFonts w:eastAsia="Calibri"/>
          <w:i/>
          <w:iCs/>
        </w:rPr>
        <w:t>lenteur</w:t>
      </w:r>
      <w:r w:rsidRPr="006D4265">
        <w:rPr>
          <w:rFonts w:eastAsia="Calibri"/>
        </w:rPr>
        <w:t xml:space="preserve"> du châtiment divin) et la nouvelle signification (la</w:t>
      </w:r>
      <w:r w:rsidRPr="006D4265">
        <w:rPr>
          <w:rFonts w:eastAsia="Calibri"/>
          <w:i/>
          <w:iCs/>
        </w:rPr>
        <w:t xml:space="preserve"> vitesse</w:t>
      </w:r>
      <w:r w:rsidRPr="006D4265">
        <w:rPr>
          <w:rFonts w:eastAsia="Calibri"/>
        </w:rPr>
        <w:t xml:space="preserve"> de la lumière) il n’y a apparemment pas de relation, ni de continuité. En d’autres termes, la signification concordiste contemporaine n’est pas le résultat d’une évolution progressive de l’ancienne signification. Il existe une rupture entre les deux significations qui </w:t>
      </w:r>
      <w:r w:rsidRPr="006D4265">
        <w:rPr>
          <w:rFonts w:eastAsia="Calibri"/>
        </w:rPr>
        <w:lastRenderedPageBreak/>
        <w:t>coexistent. Ce qui veut dire que la polysémie arabe n’est pas cumulative, comme nous l’avons vu. On ne contextualise pas le Coran, on ne le lit pas avec le sens du temps auquel il se rapporte.</w:t>
      </w:r>
    </w:p>
    <w:p w14:paraId="5A806C0C" w14:textId="77777777" w:rsidR="00296288" w:rsidRPr="006D4265" w:rsidRDefault="00296288" w:rsidP="00296288">
      <w:pPr>
        <w:spacing w:line="360" w:lineRule="auto"/>
        <w:jc w:val="both"/>
        <w:rPr>
          <w:rFonts w:eastAsia="Calibri"/>
        </w:rPr>
      </w:pPr>
    </w:p>
    <w:p w14:paraId="0BBDFA67" w14:textId="77777777" w:rsidR="00296288" w:rsidRPr="006D4265" w:rsidRDefault="00296288" w:rsidP="00296288">
      <w:pPr>
        <w:spacing w:line="360" w:lineRule="auto"/>
        <w:jc w:val="both"/>
        <w:rPr>
          <w:rFonts w:eastAsia="Calibri"/>
        </w:rPr>
      </w:pPr>
      <w:r w:rsidRPr="006D4265">
        <w:rPr>
          <w:rFonts w:eastAsia="Calibri"/>
          <w:b/>
          <w:bCs/>
        </w:rPr>
        <w:t>La phrase « </w:t>
      </w:r>
      <w:r w:rsidRPr="006D4265">
        <w:rPr>
          <w:rFonts w:eastAsia="Calibri"/>
          <w:b/>
          <w:bCs/>
          <w:i/>
          <w:iCs/>
        </w:rPr>
        <w:t>ilayya l-maṣīr</w:t>
      </w:r>
      <w:r w:rsidRPr="006D4265">
        <w:rPr>
          <w:rFonts w:eastAsia="Calibri"/>
          <w:b/>
          <w:bCs/>
        </w:rPr>
        <w:t> » :</w:t>
      </w:r>
    </w:p>
    <w:p w14:paraId="123C066E" w14:textId="77777777" w:rsidR="00296288" w:rsidRPr="006D4265" w:rsidRDefault="00296288" w:rsidP="00296288">
      <w:pPr>
        <w:spacing w:line="360" w:lineRule="auto"/>
        <w:jc w:val="both"/>
        <w:rPr>
          <w:rFonts w:eastAsia="Calibri"/>
        </w:rPr>
      </w:pPr>
      <w:r w:rsidRPr="006D4265">
        <w:rPr>
          <w:rFonts w:eastAsia="Calibri"/>
        </w:rPr>
        <w:tab/>
        <w:t>La phrase nominale « </w:t>
      </w:r>
      <w:r w:rsidRPr="006D4265">
        <w:rPr>
          <w:rFonts w:eastAsia="Calibri"/>
          <w:i/>
          <w:iCs/>
        </w:rPr>
        <w:t>ilayya l-maṣīr</w:t>
      </w:r>
      <w:r w:rsidRPr="006D4265">
        <w:rPr>
          <w:rFonts w:eastAsia="Calibri"/>
        </w:rPr>
        <w:t> » [vers moi la destination] désignerait les idées suivantes :</w:t>
      </w:r>
    </w:p>
    <w:p w14:paraId="23CF689A" w14:textId="77777777" w:rsidR="00296288" w:rsidRPr="006D4265" w:rsidRDefault="00296288" w:rsidP="007640DC">
      <w:pPr>
        <w:pStyle w:val="Paragraphedeliste"/>
        <w:numPr>
          <w:ilvl w:val="0"/>
          <w:numId w:val="96"/>
        </w:numPr>
        <w:bidi w:val="0"/>
        <w:spacing w:after="0" w:line="360" w:lineRule="auto"/>
        <w:contextualSpacing/>
        <w:jc w:val="both"/>
        <w:rPr>
          <w:rFonts w:ascii="Times New Roman" w:eastAsia="Calibri" w:hAnsi="Times New Roman" w:cs="Times New Roman"/>
          <w:sz w:val="24"/>
          <w:szCs w:val="24"/>
          <w:lang w:eastAsia="fr-FR"/>
        </w:rPr>
      </w:pPr>
      <w:r w:rsidRPr="006D4265">
        <w:rPr>
          <w:rFonts w:ascii="Times New Roman" w:eastAsia="Calibri" w:hAnsi="Times New Roman" w:cs="Times New Roman"/>
          <w:sz w:val="24"/>
          <w:szCs w:val="24"/>
          <w:lang w:eastAsia="fr-FR"/>
        </w:rPr>
        <w:t>Les dénégateurs vont retourner à Dieu après leur perdition et leur mort pour recevoir leur châtiment, donc, il faut les combattre par l’épée ;</w:t>
      </w:r>
    </w:p>
    <w:p w14:paraId="66ECB016" w14:textId="77777777" w:rsidR="00296288" w:rsidRPr="006D4265" w:rsidRDefault="00296288" w:rsidP="007640DC">
      <w:pPr>
        <w:pStyle w:val="Paragraphedeliste"/>
        <w:numPr>
          <w:ilvl w:val="0"/>
          <w:numId w:val="96"/>
        </w:numPr>
        <w:bidi w:val="0"/>
        <w:spacing w:after="0" w:line="360" w:lineRule="auto"/>
        <w:contextualSpacing/>
        <w:jc w:val="both"/>
        <w:rPr>
          <w:rFonts w:ascii="Times New Roman" w:eastAsia="Calibri" w:hAnsi="Times New Roman" w:cs="Times New Roman"/>
          <w:sz w:val="24"/>
          <w:szCs w:val="24"/>
          <w:lang w:eastAsia="fr-FR"/>
        </w:rPr>
      </w:pPr>
      <w:r w:rsidRPr="006D4265">
        <w:rPr>
          <w:rFonts w:ascii="Times New Roman" w:eastAsia="Calibri" w:hAnsi="Times New Roman" w:cs="Times New Roman"/>
          <w:sz w:val="24"/>
          <w:szCs w:val="24"/>
          <w:lang w:eastAsia="fr-FR"/>
        </w:rPr>
        <w:t>Il ne faut pas se leurrer par le sursis du châtiment ;</w:t>
      </w:r>
    </w:p>
    <w:p w14:paraId="212C3B86" w14:textId="77777777" w:rsidR="00296288" w:rsidRPr="006D4265" w:rsidRDefault="00296288" w:rsidP="007640DC">
      <w:pPr>
        <w:pStyle w:val="Paragraphedeliste"/>
        <w:numPr>
          <w:ilvl w:val="0"/>
          <w:numId w:val="96"/>
        </w:numPr>
        <w:bidi w:val="0"/>
        <w:spacing w:after="0" w:line="360" w:lineRule="auto"/>
        <w:contextualSpacing/>
        <w:jc w:val="both"/>
        <w:rPr>
          <w:rFonts w:ascii="Times New Roman" w:eastAsia="Calibri" w:hAnsi="Times New Roman" w:cs="Times New Roman"/>
          <w:sz w:val="24"/>
          <w:szCs w:val="24"/>
          <w:lang w:eastAsia="fr-FR"/>
        </w:rPr>
      </w:pPr>
      <w:r w:rsidRPr="006D4265">
        <w:rPr>
          <w:rFonts w:ascii="Times New Roman" w:eastAsia="Calibri" w:hAnsi="Times New Roman" w:cs="Times New Roman"/>
          <w:sz w:val="24"/>
          <w:szCs w:val="24"/>
          <w:lang w:eastAsia="fr-FR"/>
        </w:rPr>
        <w:t>Dieu dispose et décide pour toute chose ;</w:t>
      </w:r>
    </w:p>
    <w:p w14:paraId="38F43D00" w14:textId="77777777" w:rsidR="00296288" w:rsidRPr="006D4265" w:rsidRDefault="00296288" w:rsidP="007640DC">
      <w:pPr>
        <w:pStyle w:val="Paragraphedeliste"/>
        <w:numPr>
          <w:ilvl w:val="0"/>
          <w:numId w:val="96"/>
        </w:numPr>
        <w:bidi w:val="0"/>
        <w:spacing w:after="0" w:line="360" w:lineRule="auto"/>
        <w:contextualSpacing/>
        <w:jc w:val="both"/>
        <w:rPr>
          <w:rFonts w:ascii="Times New Roman" w:eastAsia="Calibri" w:hAnsi="Times New Roman" w:cs="Times New Roman"/>
          <w:sz w:val="24"/>
          <w:szCs w:val="24"/>
          <w:lang w:eastAsia="fr-FR"/>
        </w:rPr>
      </w:pPr>
      <w:r w:rsidRPr="006D4265">
        <w:rPr>
          <w:rFonts w:ascii="Times New Roman" w:eastAsia="Calibri" w:hAnsi="Times New Roman" w:cs="Times New Roman"/>
          <w:sz w:val="24"/>
          <w:szCs w:val="24"/>
          <w:lang w:eastAsia="fr-FR"/>
        </w:rPr>
        <w:t>Toute l’humanité va retourner à Dieu.</w:t>
      </w:r>
    </w:p>
    <w:p w14:paraId="0CD5011E" w14:textId="77777777" w:rsidR="00296288" w:rsidRPr="006D4265" w:rsidRDefault="00296288" w:rsidP="00296288">
      <w:pPr>
        <w:spacing w:line="360" w:lineRule="auto"/>
        <w:jc w:val="both"/>
        <w:rPr>
          <w:rFonts w:eastAsia="Calibri"/>
        </w:rPr>
      </w:pPr>
    </w:p>
    <w:p w14:paraId="6298A6C0" w14:textId="77777777" w:rsidR="00296288" w:rsidRPr="006D4265" w:rsidRDefault="00296288" w:rsidP="00296288">
      <w:pPr>
        <w:spacing w:line="360" w:lineRule="auto"/>
        <w:ind w:firstLine="360"/>
        <w:jc w:val="both"/>
        <w:rPr>
          <w:rFonts w:eastAsia="Calibri"/>
        </w:rPr>
      </w:pPr>
      <w:r w:rsidRPr="006D4265">
        <w:rPr>
          <w:rFonts w:eastAsia="Calibri"/>
        </w:rPr>
        <w:t>L’ancienne interprétation qui souligne qu’il faut combattre les infidèles par l’épée a disparu et a été remplacée par l’interprétation qui dit que tout le monde va retourner à Allah.</w:t>
      </w:r>
    </w:p>
    <w:p w14:paraId="1541FF33" w14:textId="77777777" w:rsidR="00296288" w:rsidRPr="006D4265" w:rsidRDefault="00296288" w:rsidP="00296288">
      <w:pPr>
        <w:spacing w:line="360" w:lineRule="auto"/>
        <w:jc w:val="both"/>
        <w:rPr>
          <w:rFonts w:eastAsia="Calibri"/>
        </w:rPr>
      </w:pPr>
    </w:p>
    <w:p w14:paraId="1FE80D23" w14:textId="77777777" w:rsidR="00296288" w:rsidRPr="006D4265" w:rsidRDefault="00296288" w:rsidP="00296288">
      <w:pPr>
        <w:spacing w:line="360" w:lineRule="auto"/>
        <w:ind w:firstLine="360"/>
        <w:jc w:val="both"/>
        <w:rPr>
          <w:rFonts w:eastAsia="Times New Roman"/>
          <w:b/>
          <w:bCs/>
          <w:lang w:bidi="ar-EG"/>
        </w:rPr>
      </w:pPr>
      <w:r w:rsidRPr="006D4265">
        <w:rPr>
          <w:rFonts w:eastAsia="Times New Roman"/>
          <w:b/>
          <w:bCs/>
          <w:lang w:bidi="ar-EG"/>
        </w:rPr>
        <w:t>Verset 50 :</w:t>
      </w:r>
    </w:p>
    <w:p w14:paraId="244CC7BE" w14:textId="77777777" w:rsidR="00296288" w:rsidRPr="006D4265" w:rsidRDefault="00296288" w:rsidP="00296288">
      <w:pPr>
        <w:bidi/>
        <w:spacing w:line="360" w:lineRule="auto"/>
        <w:jc w:val="both"/>
        <w:rPr>
          <w:rFonts w:ascii="Simplified Arabic" w:eastAsia="Times New Roman" w:hAnsi="Simplified Arabic" w:cs="Simplified Arabic"/>
        </w:rPr>
      </w:pPr>
      <w:r w:rsidRPr="006D4265">
        <w:rPr>
          <w:rFonts w:ascii="Simplified Arabic" w:eastAsia="Times New Roman" w:hAnsi="Simplified Arabic" w:cs="Simplified Arabic"/>
          <w:rtl/>
          <w:lang w:bidi="ar-AE"/>
        </w:rPr>
        <w:t>(50) فالذين آمَنوا وعمِلوا الصالحاتِ لهم مغفرةٌ ورِزْقٌ كريم</w:t>
      </w:r>
      <w:r w:rsidRPr="006D4265">
        <w:rPr>
          <w:rFonts w:ascii="Simplified Arabic" w:eastAsia="Times New Roman" w:hAnsi="Simplified Arabic" w:cs="Simplified Arabic" w:hint="cs"/>
          <w:rtl/>
        </w:rPr>
        <w:t>.</w:t>
      </w:r>
    </w:p>
    <w:p w14:paraId="30977733" w14:textId="77777777" w:rsidR="00296288" w:rsidRPr="006D4265" w:rsidRDefault="00296288" w:rsidP="00296288">
      <w:pPr>
        <w:spacing w:line="360" w:lineRule="auto"/>
        <w:jc w:val="both"/>
        <w:rPr>
          <w:rFonts w:eastAsia="Times New Roman"/>
          <w:color w:val="FF0000"/>
          <w:lang w:bidi="ar-EG"/>
        </w:rPr>
      </w:pPr>
      <w:r w:rsidRPr="006D4265">
        <w:rPr>
          <w:rFonts w:eastAsia="Times New Roman"/>
          <w:lang w:bidi="ar-AE"/>
        </w:rPr>
        <w:t>(50) Dès lors ceux qui croient, effectuent les œuvres salutaires (peuvent s’attendre) à une indulgence et à une généreuse attribution.</w:t>
      </w:r>
    </w:p>
    <w:p w14:paraId="3DC4BBB1" w14:textId="0E547EF7" w:rsidR="00296288" w:rsidRPr="006D4265" w:rsidRDefault="00296288" w:rsidP="00296288">
      <w:pPr>
        <w:spacing w:line="360" w:lineRule="auto"/>
        <w:ind w:firstLine="360"/>
        <w:jc w:val="both"/>
        <w:rPr>
          <w:rFonts w:eastAsia="Times New Roman"/>
        </w:rPr>
      </w:pPr>
      <w:r w:rsidRPr="006D4265">
        <w:rPr>
          <w:rFonts w:eastAsia="Times New Roman"/>
        </w:rPr>
        <w:t xml:space="preserve">Il existe trois vides ou blancs, dans le verset 50. Le premier est le </w:t>
      </w:r>
      <w:r>
        <w:rPr>
          <w:rFonts w:eastAsia="Times New Roman"/>
        </w:rPr>
        <w:t>complément</w:t>
      </w:r>
      <w:r w:rsidRPr="006D4265">
        <w:rPr>
          <w:rFonts w:eastAsia="Times New Roman"/>
        </w:rPr>
        <w:t xml:space="preserve"> du verbe « </w:t>
      </w:r>
      <w:r w:rsidRPr="006D4265">
        <w:rPr>
          <w:rFonts w:eastAsia="Times New Roman"/>
          <w:i/>
          <w:iCs/>
        </w:rPr>
        <w:t>āmanū</w:t>
      </w:r>
      <w:r w:rsidRPr="006D4265">
        <w:rPr>
          <w:rFonts w:eastAsia="Times New Roman"/>
        </w:rPr>
        <w:t> » [ils ont cru]. On ne sait pas en quoi ils croient.</w:t>
      </w:r>
      <w:r>
        <w:rPr>
          <w:rFonts w:eastAsia="Times New Roman"/>
        </w:rPr>
        <w:t xml:space="preserve"> L’absence de</w:t>
      </w:r>
      <w:r w:rsidRPr="006D4265">
        <w:rPr>
          <w:rFonts w:eastAsia="Times New Roman"/>
        </w:rPr>
        <w:t xml:space="preserve"> </w:t>
      </w:r>
      <w:r>
        <w:rPr>
          <w:rFonts w:eastAsia="Times New Roman"/>
        </w:rPr>
        <w:t>complément</w:t>
      </w:r>
      <w:r w:rsidRPr="006D4265">
        <w:rPr>
          <w:rFonts w:eastAsia="Times New Roman"/>
        </w:rPr>
        <w:t xml:space="preserve"> rend le verset ouvert à toutes les interprétations possibles. Tous les êtres humains croient. Toutefois, nous avons vu que le vocatif</w:t>
      </w:r>
      <w:r w:rsidRPr="006D4265">
        <w:rPr>
          <w:rFonts w:eastAsia="Times New Roman"/>
          <w:i/>
          <w:iCs/>
          <w:lang w:bidi="ar-EG"/>
        </w:rPr>
        <w:t xml:space="preserve"> </w:t>
      </w:r>
      <w:r w:rsidRPr="006D4265">
        <w:rPr>
          <w:rFonts w:eastAsia="Times New Roman"/>
          <w:lang w:bidi="ar-EG"/>
        </w:rPr>
        <w:t>« </w:t>
      </w:r>
      <w:r w:rsidRPr="006D4265">
        <w:rPr>
          <w:rFonts w:eastAsia="Times New Roman"/>
          <w:i/>
          <w:iCs/>
          <w:lang w:bidi="ar-EG"/>
        </w:rPr>
        <w:t>yā</w:t>
      </w:r>
      <w:r w:rsidRPr="006D4265">
        <w:rPr>
          <w:rFonts w:ascii="Calibri" w:eastAsia="Times New Roman" w:hAnsi="Calibri" w:cs="Arial"/>
          <w:i/>
          <w:iCs/>
        </w:rPr>
        <w:t xml:space="preserve"> </w:t>
      </w:r>
      <w:r>
        <w:rPr>
          <w:rFonts w:eastAsia="Times New Roman"/>
          <w:i/>
          <w:iCs/>
          <w:lang w:bidi="ar-EG"/>
        </w:rPr>
        <w:t xml:space="preserve">ayyuha </w:t>
      </w:r>
      <w:r w:rsidRPr="006D4265">
        <w:rPr>
          <w:rFonts w:eastAsia="Times New Roman"/>
          <w:i/>
          <w:iCs/>
          <w:lang w:bidi="ar-EG"/>
        </w:rPr>
        <w:t>lladhī</w:t>
      </w:r>
      <w:r>
        <w:rPr>
          <w:rFonts w:eastAsia="Times New Roman"/>
          <w:i/>
          <w:iCs/>
          <w:lang w:bidi="ar-EG"/>
        </w:rPr>
        <w:t xml:space="preserve">na </w:t>
      </w:r>
      <w:r w:rsidRPr="006D4265">
        <w:rPr>
          <w:rFonts w:eastAsia="Times New Roman"/>
          <w:i/>
          <w:iCs/>
          <w:lang w:bidi="ar-EG"/>
        </w:rPr>
        <w:t>āmanū</w:t>
      </w:r>
      <w:r w:rsidRPr="006D4265">
        <w:rPr>
          <w:rFonts w:eastAsia="Times New Roman"/>
          <w:lang w:bidi="ar-EG"/>
        </w:rPr>
        <w:t xml:space="preserve"> » </w:t>
      </w:r>
      <w:r w:rsidRPr="006D4265">
        <w:rPr>
          <w:rFonts w:eastAsia="Times New Roman"/>
        </w:rPr>
        <w:t>indique que le verset est médinois, ce qui signifie que « </w:t>
      </w:r>
      <w:r>
        <w:rPr>
          <w:rFonts w:eastAsia="Times New Roman"/>
          <w:i/>
          <w:iCs/>
          <w:lang w:bidi="ar-EG"/>
        </w:rPr>
        <w:t xml:space="preserve">alladhīna </w:t>
      </w:r>
      <w:r w:rsidRPr="006D4265">
        <w:rPr>
          <w:rFonts w:eastAsia="Times New Roman"/>
          <w:i/>
          <w:iCs/>
          <w:lang w:bidi="ar-EG"/>
        </w:rPr>
        <w:t>āmanū</w:t>
      </w:r>
      <w:r w:rsidRPr="006D4265">
        <w:rPr>
          <w:rFonts w:eastAsia="Times New Roman"/>
          <w:lang w:bidi="ar-EG"/>
        </w:rPr>
        <w:t> »</w:t>
      </w:r>
      <w:r w:rsidRPr="006D4265">
        <w:rPr>
          <w:rFonts w:eastAsia="Times New Roman"/>
        </w:rPr>
        <w:t xml:space="preserve"> désignait à l’époque les nouveaux musulmans</w:t>
      </w:r>
      <w:r w:rsidR="008022C6">
        <w:rPr>
          <w:rFonts w:eastAsia="Times New Roman"/>
        </w:rPr>
        <w:t xml:space="preserve"> et que le verbe à l’accompli </w:t>
      </w:r>
      <w:r w:rsidRPr="006D4265">
        <w:rPr>
          <w:rFonts w:eastAsia="Times New Roman"/>
          <w:i/>
          <w:iCs/>
        </w:rPr>
        <w:t>āmanū</w:t>
      </w:r>
      <w:r w:rsidRPr="006D4265">
        <w:rPr>
          <w:rFonts w:eastAsia="Times New Roman"/>
        </w:rPr>
        <w:t xml:space="preserve"> veut dire : </w:t>
      </w:r>
      <w:r w:rsidRPr="006D4265">
        <w:rPr>
          <w:rFonts w:eastAsia="Times New Roman"/>
          <w:i/>
          <w:iCs/>
        </w:rPr>
        <w:t>croient en l’islam</w:t>
      </w:r>
      <w:r w:rsidRPr="006D4265">
        <w:rPr>
          <w:rFonts w:eastAsia="Times New Roman"/>
        </w:rPr>
        <w:t>. Mais l’islam est actuellement divisé en plusieurs courants divergents, ce qui rend le sens du verbe encore vague. Signifie-t-il croire au chiisme, au sunnisme, au soufisme, au druzisme, ou à l’alaouitisme, etc. ? Le de</w:t>
      </w:r>
      <w:r w:rsidR="008022C6">
        <w:rPr>
          <w:rFonts w:eastAsia="Times New Roman"/>
        </w:rPr>
        <w:t xml:space="preserve">uxième vide est la nature des </w:t>
      </w:r>
      <w:r w:rsidRPr="006D4265">
        <w:rPr>
          <w:rFonts w:eastAsia="Times New Roman"/>
          <w:i/>
          <w:iCs/>
        </w:rPr>
        <w:t>ṣāliḥāt</w:t>
      </w:r>
      <w:r w:rsidRPr="006D4265">
        <w:rPr>
          <w:rFonts w:eastAsia="Times New Roman"/>
        </w:rPr>
        <w:t xml:space="preserve"> [le bien, les bonnes actions]. Ce qui est bien ou bon [</w:t>
      </w:r>
      <w:r w:rsidRPr="006D4265">
        <w:rPr>
          <w:rFonts w:eastAsia="Times New Roman"/>
          <w:i/>
          <w:iCs/>
        </w:rPr>
        <w:t>ṣāliḥ</w:t>
      </w:r>
      <w:r w:rsidRPr="006D4265">
        <w:rPr>
          <w:rFonts w:eastAsia="Times New Roman"/>
        </w:rPr>
        <w:t xml:space="preserve">] pour une personne ou une communauté ne l’est pas pour une autre. En effet, Aṭ-Ṭabarī, Ibn Kathīr, Al-Qurṭubī, les deux </w:t>
      </w:r>
      <w:r w:rsidRPr="006D4265">
        <w:rPr>
          <w:rFonts w:eastAsia="Times New Roman"/>
          <w:i/>
          <w:iCs/>
        </w:rPr>
        <w:t>Jalāl</w:t>
      </w:r>
      <w:r w:rsidRPr="006D4265">
        <w:rPr>
          <w:rFonts w:eastAsia="Times New Roman"/>
        </w:rPr>
        <w:t xml:space="preserve"> [Al-Jalālayn] (Muḥammad </w:t>
      </w:r>
      <w:r w:rsidRPr="006D4265">
        <w:rPr>
          <w:rFonts w:eastAsia="Times New Roman"/>
          <w:i/>
          <w:iCs/>
        </w:rPr>
        <w:t>Jalāl</w:t>
      </w:r>
      <w:r w:rsidRPr="006D4265">
        <w:rPr>
          <w:rFonts w:eastAsia="Times New Roman"/>
        </w:rPr>
        <w:t xml:space="preserve"> Ad-dīn As-Suyūṭī et </w:t>
      </w:r>
      <w:r w:rsidRPr="006D4265">
        <w:rPr>
          <w:rFonts w:eastAsia="Times New Roman"/>
          <w:i/>
          <w:iCs/>
        </w:rPr>
        <w:t>Jalāl</w:t>
      </w:r>
      <w:r w:rsidRPr="006D4265">
        <w:rPr>
          <w:rFonts w:eastAsia="Times New Roman"/>
        </w:rPr>
        <w:t xml:space="preserve"> Ad-dīn Al-Maḥallī), Al-Baghawī et Ibn ʿĀshūr n’expliquent pas la signification de ce mot féminin pluriel </w:t>
      </w:r>
      <w:r w:rsidRPr="006D4265">
        <w:rPr>
          <w:rFonts w:eastAsia="Times New Roman"/>
        </w:rPr>
        <w:lastRenderedPageBreak/>
        <w:t>(</w:t>
      </w:r>
      <w:r w:rsidRPr="006D4265">
        <w:rPr>
          <w:rFonts w:eastAsia="Times New Roman"/>
          <w:i/>
          <w:iCs/>
        </w:rPr>
        <w:t>ṣāliḥāt</w:t>
      </w:r>
      <w:r w:rsidRPr="006D4265">
        <w:rPr>
          <w:rFonts w:eastAsia="Times New Roman"/>
        </w:rPr>
        <w:t>).</w:t>
      </w:r>
      <w:r w:rsidRPr="006D4265">
        <w:rPr>
          <w:rFonts w:eastAsia="Times New Roman"/>
          <w:vertAlign w:val="superscript"/>
          <w:lang w:bidi="ar-AE"/>
        </w:rPr>
        <w:footnoteReference w:id="358"/>
      </w:r>
      <w:r w:rsidRPr="006D4265">
        <w:rPr>
          <w:rFonts w:eastAsia="Times New Roman"/>
        </w:rPr>
        <w:t xml:space="preserve"> Dans </w:t>
      </w:r>
      <w:r>
        <w:rPr>
          <w:rFonts w:eastAsia="Times New Roman"/>
          <w:i/>
          <w:iCs/>
        </w:rPr>
        <w:t xml:space="preserve">Aḍwāʿ al-bayān fī </w:t>
      </w:r>
      <w:r w:rsidRPr="006D4265">
        <w:rPr>
          <w:rFonts w:eastAsia="Times New Roman"/>
          <w:i/>
          <w:iCs/>
        </w:rPr>
        <w:t>īḍāḥ al-qurʾān bi-l-qurʾān</w:t>
      </w:r>
      <w:r w:rsidRPr="006D4265">
        <w:rPr>
          <w:rFonts w:eastAsia="Times New Roman"/>
          <w:lang w:bidi="ar-EG"/>
        </w:rPr>
        <w:t>, Ash-Shanqītī</w:t>
      </w:r>
      <w:r w:rsidRPr="006D4265">
        <w:rPr>
          <w:rFonts w:eastAsia="Times New Roman"/>
        </w:rPr>
        <w:t xml:space="preserve"> souligne qu’il s’agit d’observer les commandements de Dieu et d’éviter Ses interdictions, c.à.d. il s’agit des actions qui satisfont Dieu. Mais cette explication reste très vague. Comment satisfait-on Dieu ? Chaque communauté musulmane a </w:t>
      </w:r>
      <w:r w:rsidRPr="006D4265">
        <w:rPr>
          <w:rFonts w:eastAsia="Times New Roman"/>
          <w:i/>
          <w:iCs/>
        </w:rPr>
        <w:t>son</w:t>
      </w:r>
      <w:r w:rsidRPr="006D4265">
        <w:rPr>
          <w:rFonts w:eastAsia="Times New Roman"/>
        </w:rPr>
        <w:t xml:space="preserve"> Dieu, ou plutôt </w:t>
      </w:r>
      <w:r w:rsidRPr="006D4265">
        <w:rPr>
          <w:rFonts w:eastAsia="Times New Roman"/>
          <w:i/>
          <w:iCs/>
        </w:rPr>
        <w:t>son</w:t>
      </w:r>
      <w:r w:rsidRPr="006D4265">
        <w:rPr>
          <w:rFonts w:eastAsia="Times New Roman"/>
        </w:rPr>
        <w:t xml:space="preserve"> image intellectuelle, mentale, psychologique et religieuse de Dieu. Et par la suite, elle a ses propres commandements et ses propres interdictions. Ainsi, les commandements et les interdictions de Dieu ne sont pas les mêmes. Et par la suite les </w:t>
      </w:r>
      <w:r w:rsidRPr="006D4265">
        <w:rPr>
          <w:rFonts w:eastAsia="Times New Roman"/>
          <w:i/>
          <w:iCs/>
        </w:rPr>
        <w:t>ṣāliḥāt</w:t>
      </w:r>
      <w:r w:rsidRPr="006D4265">
        <w:rPr>
          <w:rFonts w:eastAsia="Times New Roman"/>
        </w:rPr>
        <w:t xml:space="preserve"> changent en fonction de la communauté. Si les cinq prières sont considérées par les musulmans orthodoxes comme </w:t>
      </w:r>
      <w:r w:rsidRPr="006D4265">
        <w:rPr>
          <w:rFonts w:eastAsia="Times New Roman"/>
          <w:i/>
          <w:iCs/>
        </w:rPr>
        <w:t>ṣāliḥāt</w:t>
      </w:r>
      <w:r w:rsidRPr="006D4265">
        <w:rPr>
          <w:rFonts w:eastAsia="Times New Roman"/>
        </w:rPr>
        <w:t>, elles ne le sont pas selon les hétérodoxes.</w:t>
      </w:r>
      <w:r w:rsidRPr="006D4265">
        <w:rPr>
          <w:rFonts w:eastAsia="Times New Roman"/>
          <w:vertAlign w:val="superscript"/>
          <w:lang w:bidi="ar-AE"/>
        </w:rPr>
        <w:footnoteReference w:id="359"/>
      </w:r>
      <w:r w:rsidRPr="006D4265">
        <w:rPr>
          <w:rFonts w:eastAsia="Times New Roman"/>
        </w:rPr>
        <w:t xml:space="preserve"> Le t</w:t>
      </w:r>
      <w:r w:rsidR="008022C6">
        <w:rPr>
          <w:rFonts w:eastAsia="Times New Roman"/>
        </w:rPr>
        <w:t xml:space="preserve">roisième vide est le temps de </w:t>
      </w:r>
      <w:r w:rsidRPr="006D4265">
        <w:rPr>
          <w:rFonts w:eastAsia="Times New Roman"/>
          <w:i/>
          <w:iCs/>
        </w:rPr>
        <w:t>rizq karīm</w:t>
      </w:r>
      <w:r w:rsidRPr="006D4265">
        <w:rPr>
          <w:rFonts w:eastAsia="Times New Roman"/>
          <w:lang w:bidi="ar-AE"/>
        </w:rPr>
        <w:t xml:space="preserve"> </w:t>
      </w:r>
      <w:r w:rsidRPr="006D4265">
        <w:rPr>
          <w:rFonts w:asciiTheme="majorBidi" w:hAnsiTheme="majorBidi" w:cstheme="majorBidi"/>
        </w:rPr>
        <w:t>[</w:t>
      </w:r>
      <w:r w:rsidRPr="006D4265">
        <w:rPr>
          <w:rFonts w:eastAsia="Times New Roman"/>
          <w:lang w:bidi="ar-AE"/>
        </w:rPr>
        <w:t>généreuse attribution</w:t>
      </w:r>
      <w:r w:rsidRPr="006D4265">
        <w:rPr>
          <w:rFonts w:asciiTheme="majorBidi" w:hAnsiTheme="majorBidi" w:cstheme="majorBidi"/>
        </w:rPr>
        <w:t>] </w:t>
      </w:r>
      <w:r w:rsidRPr="006D4265">
        <w:rPr>
          <w:rFonts w:eastAsia="Times New Roman"/>
        </w:rPr>
        <w:t>: est-ce que c’est pendant cette vie, après la mort ou dans les deux ?</w:t>
      </w:r>
    </w:p>
    <w:p w14:paraId="3F6138D0" w14:textId="77777777" w:rsidR="00296288" w:rsidRPr="006D4265" w:rsidRDefault="00296288" w:rsidP="00296288">
      <w:pPr>
        <w:spacing w:line="360" w:lineRule="auto"/>
        <w:ind w:firstLine="360"/>
        <w:jc w:val="both"/>
        <w:rPr>
          <w:rFonts w:eastAsia="Times New Roman"/>
        </w:rPr>
      </w:pPr>
    </w:p>
    <w:p w14:paraId="0FCD504B" w14:textId="77777777" w:rsidR="00296288" w:rsidRPr="006D4265" w:rsidRDefault="00296288" w:rsidP="00296288">
      <w:pPr>
        <w:spacing w:line="360" w:lineRule="auto"/>
        <w:jc w:val="both"/>
        <w:rPr>
          <w:rFonts w:eastAsia="Times New Roman"/>
        </w:rPr>
      </w:pPr>
      <w:r w:rsidRPr="006D4265">
        <w:rPr>
          <w:rFonts w:eastAsia="Times New Roman"/>
          <w:b/>
          <w:bCs/>
        </w:rPr>
        <w:t>La phrase « </w:t>
      </w:r>
      <w:r>
        <w:rPr>
          <w:rFonts w:eastAsia="Times New Roman"/>
          <w:b/>
          <w:bCs/>
          <w:i/>
          <w:iCs/>
        </w:rPr>
        <w:t xml:space="preserve">saʿaw fī </w:t>
      </w:r>
      <w:r w:rsidRPr="006D4265">
        <w:rPr>
          <w:rFonts w:eastAsia="Times New Roman"/>
          <w:b/>
          <w:bCs/>
          <w:i/>
          <w:iCs/>
        </w:rPr>
        <w:t>āyātina</w:t>
      </w:r>
      <w:r w:rsidRPr="006D4265">
        <w:rPr>
          <w:rFonts w:eastAsia="Times New Roman"/>
          <w:b/>
          <w:bCs/>
        </w:rPr>
        <w:t> » :</w:t>
      </w:r>
    </w:p>
    <w:p w14:paraId="528E00B9" w14:textId="77777777" w:rsidR="00296288" w:rsidRPr="006D4265" w:rsidRDefault="00296288" w:rsidP="00296288">
      <w:pPr>
        <w:spacing w:line="360" w:lineRule="auto"/>
        <w:ind w:firstLine="360"/>
        <w:jc w:val="both"/>
        <w:rPr>
          <w:rFonts w:eastAsia="Times New Roman"/>
          <w:rtl/>
        </w:rPr>
      </w:pPr>
      <w:r w:rsidRPr="006D4265">
        <w:rPr>
          <w:rFonts w:eastAsia="Times New Roman"/>
        </w:rPr>
        <w:t>Dans le verset 51, la phrase verbale vague « </w:t>
      </w:r>
      <w:r>
        <w:rPr>
          <w:rFonts w:eastAsia="Times New Roman"/>
          <w:i/>
          <w:iCs/>
        </w:rPr>
        <w:t xml:space="preserve">saʿaw fī </w:t>
      </w:r>
      <w:r w:rsidRPr="006D4265">
        <w:rPr>
          <w:rFonts w:eastAsia="Times New Roman"/>
          <w:i/>
          <w:iCs/>
        </w:rPr>
        <w:t>āyātina</w:t>
      </w:r>
      <w:r w:rsidRPr="006D4265">
        <w:rPr>
          <w:rFonts w:eastAsia="Times New Roman"/>
        </w:rPr>
        <w:t> » [</w:t>
      </w:r>
      <w:r w:rsidRPr="006D4265">
        <w:rPr>
          <w:rFonts w:eastAsia="Times New Roman"/>
          <w:i/>
          <w:iCs/>
        </w:rPr>
        <w:t>litt.</w:t>
      </w:r>
      <w:r w:rsidRPr="006D4265">
        <w:rPr>
          <w:rFonts w:eastAsia="Times New Roman"/>
        </w:rPr>
        <w:t> : ils se sont efforcés dans Nos signes] a les significations essentielles :</w:t>
      </w:r>
    </w:p>
    <w:p w14:paraId="2CBE8AE1" w14:textId="77777777" w:rsidR="00296288" w:rsidRPr="006D4265" w:rsidRDefault="00296288" w:rsidP="007640DC">
      <w:pPr>
        <w:numPr>
          <w:ilvl w:val="0"/>
          <w:numId w:val="75"/>
        </w:numPr>
        <w:spacing w:line="360" w:lineRule="auto"/>
        <w:jc w:val="both"/>
        <w:rPr>
          <w:rFonts w:eastAsia="Times New Roman"/>
        </w:rPr>
      </w:pPr>
      <w:r w:rsidRPr="006D4265">
        <w:rPr>
          <w:rFonts w:eastAsia="Times New Roman"/>
        </w:rPr>
        <w:t>Ils empêchent les gens du chemin de Dieu (l’islam) ;</w:t>
      </w:r>
    </w:p>
    <w:p w14:paraId="24E2B321" w14:textId="77777777" w:rsidR="00296288" w:rsidRPr="006D4265" w:rsidRDefault="00296288" w:rsidP="007640DC">
      <w:pPr>
        <w:numPr>
          <w:ilvl w:val="0"/>
          <w:numId w:val="75"/>
        </w:numPr>
        <w:spacing w:line="360" w:lineRule="auto"/>
        <w:jc w:val="both"/>
        <w:rPr>
          <w:rFonts w:eastAsia="Times New Roman"/>
        </w:rPr>
      </w:pPr>
      <w:r w:rsidRPr="006D4265">
        <w:rPr>
          <w:rFonts w:eastAsia="Times New Roman"/>
        </w:rPr>
        <w:t>Ils ont agi contre les versets du Coran ;</w:t>
      </w:r>
    </w:p>
    <w:p w14:paraId="27FEC737" w14:textId="77777777" w:rsidR="00296288" w:rsidRPr="006D4265" w:rsidRDefault="00296288" w:rsidP="007640DC">
      <w:pPr>
        <w:numPr>
          <w:ilvl w:val="0"/>
          <w:numId w:val="75"/>
        </w:numPr>
        <w:spacing w:line="360" w:lineRule="auto"/>
        <w:jc w:val="both"/>
        <w:rPr>
          <w:rFonts w:eastAsia="Times New Roman"/>
        </w:rPr>
      </w:pPr>
      <w:r w:rsidRPr="006D4265">
        <w:rPr>
          <w:rFonts w:eastAsia="Times New Roman"/>
        </w:rPr>
        <w:t>Ils se sont efforcés de démentir et de réfuter les signes de Dieu et/ou Ses messagers.</w:t>
      </w:r>
    </w:p>
    <w:p w14:paraId="742D54BB" w14:textId="77777777" w:rsidR="00296288" w:rsidRPr="006D4265" w:rsidRDefault="00296288" w:rsidP="00296288">
      <w:pPr>
        <w:spacing w:line="360" w:lineRule="auto"/>
        <w:jc w:val="both"/>
        <w:rPr>
          <w:rFonts w:eastAsia="Times New Roman"/>
          <w:lang w:bidi="ar-EG"/>
        </w:rPr>
      </w:pPr>
    </w:p>
    <w:p w14:paraId="0A187C47" w14:textId="77777777" w:rsidR="00296288" w:rsidRPr="006D4265" w:rsidRDefault="00296288" w:rsidP="00296288">
      <w:pPr>
        <w:spacing w:line="360" w:lineRule="auto"/>
        <w:jc w:val="both"/>
        <w:rPr>
          <w:rFonts w:eastAsia="Times New Roman"/>
          <w:b/>
          <w:bCs/>
          <w:lang w:bidi="ar-KW"/>
        </w:rPr>
      </w:pPr>
      <w:r w:rsidRPr="006D4265">
        <w:rPr>
          <w:rFonts w:eastAsia="Times New Roman"/>
          <w:b/>
          <w:bCs/>
          <w:lang w:bidi="ar-KW"/>
        </w:rPr>
        <w:t>L’histoire des versets sataniques : plusieurs versions (v. 52, 53 et 54) :</w:t>
      </w:r>
    </w:p>
    <w:p w14:paraId="68646A76" w14:textId="77777777" w:rsidR="00296288" w:rsidRPr="006D4265" w:rsidRDefault="00296288" w:rsidP="00296288">
      <w:pPr>
        <w:spacing w:line="360" w:lineRule="auto"/>
        <w:ind w:firstLine="360"/>
        <w:jc w:val="both"/>
        <w:rPr>
          <w:rFonts w:eastAsia="Times New Roman"/>
          <w:lang w:bidi="ar-KW"/>
        </w:rPr>
      </w:pPr>
      <w:r>
        <w:rPr>
          <w:rFonts w:eastAsia="Times New Roman"/>
          <w:lang w:bidi="ar-KW"/>
        </w:rPr>
        <w:t>Au</w:t>
      </w:r>
      <w:r w:rsidRPr="006D4265">
        <w:rPr>
          <w:rFonts w:eastAsia="Times New Roman"/>
          <w:lang w:bidi="ar-KW"/>
        </w:rPr>
        <w:t xml:space="preserve"> ver</w:t>
      </w:r>
      <w:r>
        <w:rPr>
          <w:rFonts w:eastAsia="Times New Roman"/>
          <w:lang w:bidi="ar-KW"/>
        </w:rPr>
        <w:t>set 52</w:t>
      </w:r>
      <w:r w:rsidRPr="006D4265">
        <w:rPr>
          <w:rFonts w:eastAsia="Times New Roman"/>
          <w:lang w:bidi="ar-KW"/>
        </w:rPr>
        <w:t>, le ton et le thème changent subitement. Il n’y a pas de congruence entre ce verset et ce qui précède. Selon certains exégètes, le verset f</w:t>
      </w:r>
      <w:r>
        <w:rPr>
          <w:rFonts w:eastAsia="Times New Roman"/>
          <w:lang w:bidi="ar-KW"/>
        </w:rPr>
        <w:t>er</w:t>
      </w:r>
      <w:r w:rsidRPr="006D4265">
        <w:rPr>
          <w:rFonts w:eastAsia="Times New Roman"/>
          <w:lang w:bidi="ar-KW"/>
        </w:rPr>
        <w:t xml:space="preserve">ait allusion à l’histoire des </w:t>
      </w:r>
      <w:r w:rsidRPr="006D4265">
        <w:rPr>
          <w:rFonts w:eastAsia="Times New Roman"/>
          <w:i/>
          <w:iCs/>
          <w:lang w:bidi="ar-KW"/>
        </w:rPr>
        <w:t>gharānīq</w:t>
      </w:r>
      <w:r w:rsidRPr="006D4265">
        <w:rPr>
          <w:rFonts w:eastAsia="Times New Roman"/>
          <w:lang w:bidi="ar-KW"/>
        </w:rPr>
        <w:t xml:space="preserve"> (pl. de </w:t>
      </w:r>
      <w:r w:rsidRPr="006D4265">
        <w:rPr>
          <w:rFonts w:eastAsia="Times New Roman"/>
          <w:i/>
          <w:iCs/>
          <w:lang w:bidi="ar-KW"/>
        </w:rPr>
        <w:t>ghurnūq</w:t>
      </w:r>
      <w:r w:rsidRPr="006D4265">
        <w:rPr>
          <w:rFonts w:eastAsia="Times New Roman"/>
          <w:lang w:bidi="ar-KW"/>
        </w:rPr>
        <w:t>, échassier, grue, aigrette sacrée, flaman</w:t>
      </w:r>
      <w:r>
        <w:rPr>
          <w:rFonts w:eastAsia="Times New Roman"/>
          <w:lang w:bidi="ar-KW"/>
        </w:rPr>
        <w:t>t [oiseau], ou géranium [plante]</w:t>
      </w:r>
      <w:r w:rsidRPr="006D4265">
        <w:rPr>
          <w:rFonts w:eastAsia="Times New Roman"/>
          <w:lang w:bidi="ar-KW"/>
        </w:rPr>
        <w:t>), désignant Allāt, Al-ʿUzzā et Manāt, les trois déesses sublimes qui sont les filles d’Allāh (le dieu suprême) et dont l’intercession était souhaitable par les Quraychites. Le verset est donc médinois, comme l’affirme l’islamologue tunisien contemporain Hichem Djaït</w:t>
      </w:r>
      <w:r w:rsidRPr="006D4265">
        <w:rPr>
          <w:rStyle w:val="Appelnotedebasdep"/>
          <w:rFonts w:eastAsia="Times New Roman"/>
          <w:lang w:bidi="ar-KW"/>
        </w:rPr>
        <w:footnoteReference w:id="360"/>
      </w:r>
      <w:r w:rsidRPr="006D4265">
        <w:rPr>
          <w:rFonts w:eastAsia="Times New Roman"/>
          <w:lang w:bidi="ar-KW"/>
        </w:rPr>
        <w:t>.</w:t>
      </w:r>
    </w:p>
    <w:p w14:paraId="6F551352" w14:textId="77777777" w:rsidR="00296288" w:rsidRPr="006D4265" w:rsidRDefault="00296288" w:rsidP="00296288">
      <w:pPr>
        <w:spacing w:line="360" w:lineRule="auto"/>
        <w:ind w:firstLine="360"/>
        <w:jc w:val="both"/>
        <w:rPr>
          <w:rFonts w:eastAsia="Times New Roman"/>
          <w:lang w:bidi="ar-KW"/>
        </w:rPr>
      </w:pPr>
    </w:p>
    <w:p w14:paraId="2DD3248E" w14:textId="77777777" w:rsidR="00296288" w:rsidRPr="0057058C" w:rsidRDefault="00296288" w:rsidP="00296288">
      <w:pPr>
        <w:spacing w:line="360" w:lineRule="auto"/>
        <w:ind w:firstLine="360"/>
        <w:jc w:val="both"/>
        <w:rPr>
          <w:rFonts w:eastAsia="Times New Roman"/>
          <w:lang w:bidi="ar-KW"/>
        </w:rPr>
      </w:pPr>
      <w:r w:rsidRPr="006D4265">
        <w:rPr>
          <w:rFonts w:eastAsia="Times New Roman"/>
          <w:lang w:bidi="ar-KW"/>
        </w:rPr>
        <w:lastRenderedPageBreak/>
        <w:t>Ce verset (52) et les deux suivants (53 et 54) sont à l’origine de l’histoire dite des « versets sataniques ». Ces versets présentent une flagrante contradiction (la remise en cause de l’infaillibilité ou l’impeccabilité [</w:t>
      </w:r>
      <w:r w:rsidRPr="006D4265">
        <w:rPr>
          <w:rFonts w:eastAsia="Times New Roman"/>
          <w:i/>
          <w:iCs/>
          <w:lang w:bidi="ar-KW"/>
        </w:rPr>
        <w:t>ʿiṣma</w:t>
      </w:r>
      <w:r w:rsidRPr="006D4265">
        <w:rPr>
          <w:rFonts w:eastAsia="Times New Roman"/>
          <w:lang w:bidi="ar-KW"/>
        </w:rPr>
        <w:t>] du Prophète) et constituent un véritable et grand trauma dans l’inconscient collectif musulman à tel point que la simple allusion à cet événement par</w:t>
      </w:r>
      <w:r w:rsidRPr="006D4265">
        <w:rPr>
          <w:rFonts w:eastAsia="Times New Roman"/>
          <w:lang w:bidi="ar-AE"/>
        </w:rPr>
        <w:t xml:space="preserve"> le romancier anglo-indien Salman Rushdie dans son roman </w:t>
      </w:r>
      <w:r w:rsidRPr="006D4265">
        <w:rPr>
          <w:rFonts w:eastAsia="Times New Roman"/>
          <w:i/>
          <w:iCs/>
          <w:shd w:val="clear" w:color="auto" w:fill="FFFFFF"/>
        </w:rPr>
        <w:t>The Satanic Verses</w:t>
      </w:r>
      <w:r w:rsidRPr="006D4265">
        <w:rPr>
          <w:rFonts w:eastAsia="Times New Roman"/>
          <w:lang w:bidi="ar-AE"/>
        </w:rPr>
        <w:t xml:space="preserve"> (1988) </w:t>
      </w:r>
      <w:r w:rsidRPr="006D4265">
        <w:rPr>
          <w:rFonts w:eastAsia="Times New Roman"/>
          <w:lang w:bidi="ar-KW"/>
        </w:rPr>
        <w:t xml:space="preserve">a </w:t>
      </w:r>
      <w:r>
        <w:rPr>
          <w:rFonts w:eastAsia="Times New Roman"/>
          <w:lang w:bidi="ar-KW"/>
        </w:rPr>
        <w:t>provoqué le scandale que l’on sait. Le récit</w:t>
      </w:r>
      <w:r w:rsidRPr="006D4265">
        <w:rPr>
          <w:rFonts w:eastAsia="Times New Roman"/>
          <w:lang w:bidi="ar-KW"/>
        </w:rPr>
        <w:t xml:space="preserve"> d</w:t>
      </w:r>
      <w:r>
        <w:rPr>
          <w:rFonts w:eastAsia="Times New Roman"/>
          <w:lang w:bidi="ar-KW"/>
        </w:rPr>
        <w:t>es versets sataniques, qui n’est pas considéré comme authentique par certains</w:t>
      </w:r>
      <w:r w:rsidRPr="006D4265">
        <w:rPr>
          <w:rFonts w:eastAsia="Times New Roman"/>
          <w:lang w:bidi="ar-KW"/>
        </w:rPr>
        <w:t xml:space="preserve"> oulémas et </w:t>
      </w:r>
      <w:r>
        <w:rPr>
          <w:rFonts w:eastAsia="Times New Roman"/>
          <w:lang w:bidi="ar-KW"/>
        </w:rPr>
        <w:t>historiens</w:t>
      </w:r>
      <w:r w:rsidRPr="006D4265">
        <w:rPr>
          <w:rFonts w:eastAsia="Times New Roman"/>
          <w:lang w:bidi="ar-KW"/>
        </w:rPr>
        <w:t xml:space="preserve"> com</w:t>
      </w:r>
      <w:r>
        <w:rPr>
          <w:rFonts w:eastAsia="Times New Roman"/>
          <w:lang w:bidi="ar-KW"/>
        </w:rPr>
        <w:t>me Ibn Kathīr,</w:t>
      </w:r>
      <w:r w:rsidRPr="006D4265">
        <w:rPr>
          <w:rFonts w:eastAsia="Times New Roman"/>
          <w:lang w:bidi="ar-KW"/>
        </w:rPr>
        <w:t xml:space="preserve"> </w:t>
      </w:r>
      <w:r>
        <w:rPr>
          <w:rFonts w:eastAsia="Times New Roman"/>
          <w:lang w:bidi="ar-KW"/>
        </w:rPr>
        <w:t>n’</w:t>
      </w:r>
      <w:r w:rsidRPr="006D4265">
        <w:rPr>
          <w:rFonts w:eastAsia="Times New Roman"/>
          <w:lang w:bidi="ar-KW"/>
        </w:rPr>
        <w:t xml:space="preserve">a </w:t>
      </w:r>
      <w:r>
        <w:rPr>
          <w:rFonts w:eastAsia="Times New Roman"/>
          <w:lang w:bidi="ar-KW"/>
        </w:rPr>
        <w:t>cessé de préoccuper</w:t>
      </w:r>
      <w:r w:rsidRPr="006D4265">
        <w:rPr>
          <w:rFonts w:eastAsia="Times New Roman"/>
          <w:lang w:bidi="ar-KW"/>
        </w:rPr>
        <w:t xml:space="preserve"> les musulmans jusqu’aujourd’hui et a fait couler beaucoup d’encre</w:t>
      </w:r>
      <w:r>
        <w:rPr>
          <w:rFonts w:eastAsia="Times New Roman"/>
          <w:lang w:bidi="ar-KW"/>
        </w:rPr>
        <w:t>,</w:t>
      </w:r>
      <w:r w:rsidRPr="006D4265">
        <w:rPr>
          <w:rFonts w:eastAsia="Times New Roman"/>
          <w:lang w:bidi="ar-KW"/>
        </w:rPr>
        <w:t xml:space="preserve"> </w:t>
      </w:r>
      <w:r>
        <w:rPr>
          <w:rFonts w:eastAsia="Times New Roman"/>
          <w:lang w:bidi="ar-KW"/>
        </w:rPr>
        <w:t>principalement pour le réfuter et le</w:t>
      </w:r>
      <w:r w:rsidRPr="006D4265">
        <w:rPr>
          <w:rFonts w:eastAsia="Times New Roman"/>
          <w:lang w:bidi="ar-KW"/>
        </w:rPr>
        <w:t xml:space="preserve"> démentir. À titre d’exemple, le théo</w:t>
      </w:r>
      <w:r>
        <w:rPr>
          <w:rFonts w:eastAsia="Times New Roman"/>
          <w:lang w:bidi="ar-KW"/>
        </w:rPr>
        <w:t>logien albanais Muḥammad Nāṣir a</w:t>
      </w:r>
      <w:r w:rsidRPr="006D4265">
        <w:rPr>
          <w:rFonts w:eastAsia="Times New Roman"/>
          <w:lang w:bidi="ar-KW"/>
        </w:rPr>
        <w:t>d-Dīn Al-Albānī (1914-1</w:t>
      </w:r>
      <w:r>
        <w:rPr>
          <w:rFonts w:eastAsia="Times New Roman"/>
          <w:lang w:bidi="ar-KW"/>
        </w:rPr>
        <w:t xml:space="preserve">999) a consacré tout un ouvrage, </w:t>
      </w:r>
      <w:r w:rsidRPr="006D4265">
        <w:rPr>
          <w:rFonts w:eastAsia="Times New Roman"/>
          <w:lang w:bidi="ar-KW"/>
        </w:rPr>
        <w:t xml:space="preserve">intitulé </w:t>
      </w:r>
      <w:r w:rsidRPr="006D4265">
        <w:rPr>
          <w:rFonts w:eastAsia="Times New Roman"/>
          <w:i/>
          <w:iCs/>
          <w:lang w:bidi="ar-KW"/>
        </w:rPr>
        <w:t>Naṣb al-majānīq li-nasf qiṣṣat al-qharānīq</w:t>
      </w:r>
      <w:r w:rsidRPr="006D4265">
        <w:rPr>
          <w:rFonts w:eastAsia="Times New Roman"/>
          <w:lang w:bidi="ar-KW"/>
        </w:rPr>
        <w:t xml:space="preserve"> [La construction des mangonneaux pour saper l’histoire des </w:t>
      </w:r>
      <w:r w:rsidRPr="006D4265">
        <w:rPr>
          <w:rFonts w:eastAsia="Times New Roman"/>
          <w:i/>
          <w:iCs/>
          <w:lang w:bidi="ar-KW"/>
        </w:rPr>
        <w:t>gharānīq</w:t>
      </w:r>
      <w:r w:rsidRPr="006D4265">
        <w:rPr>
          <w:rFonts w:eastAsia="Times New Roman"/>
          <w:lang w:bidi="ar-KW"/>
        </w:rPr>
        <w:t xml:space="preserve">], </w:t>
      </w:r>
      <w:r>
        <w:rPr>
          <w:rFonts w:eastAsia="Times New Roman"/>
          <w:lang w:bidi="ar-KW"/>
        </w:rPr>
        <w:t>à cette réfutation</w:t>
      </w:r>
      <w:r w:rsidRPr="006D4265">
        <w:rPr>
          <w:rFonts w:eastAsia="Times New Roman"/>
          <w:lang w:bidi="ar-KW"/>
        </w:rPr>
        <w:t>.</w:t>
      </w:r>
      <w:r w:rsidRPr="00D368EB">
        <w:rPr>
          <w:rStyle w:val="Appelnotedebasdep"/>
          <w:rFonts w:eastAsia="Times New Roman"/>
          <w:color w:val="C00000"/>
          <w:lang w:bidi="ar-KW"/>
        </w:rPr>
        <w:footnoteReference w:id="361"/>
      </w:r>
      <w:r w:rsidRPr="006D4265">
        <w:rPr>
          <w:rFonts w:eastAsia="Times New Roman"/>
          <w:lang w:bidi="ar-KW"/>
        </w:rPr>
        <w:t xml:space="preserve"> </w:t>
      </w:r>
      <w:r>
        <w:rPr>
          <w:rFonts w:eastAsia="Times New Roman"/>
          <w:lang w:bidi="ar-KW"/>
        </w:rPr>
        <w:t>A</w:t>
      </w:r>
      <w:r w:rsidRPr="006D4265">
        <w:rPr>
          <w:rFonts w:eastAsia="Times New Roman"/>
          <w:lang w:bidi="ar-KW"/>
        </w:rPr>
        <w:t xml:space="preserve">près avoir décortiqué les chaînes de transmission de cette histoire, </w:t>
      </w:r>
      <w:r>
        <w:rPr>
          <w:rFonts w:eastAsia="Times New Roman"/>
          <w:lang w:bidi="ar-KW"/>
        </w:rPr>
        <w:t xml:space="preserve">Al-Albānī </w:t>
      </w:r>
      <w:r w:rsidRPr="006D4265">
        <w:rPr>
          <w:rFonts w:eastAsia="Times New Roman"/>
          <w:lang w:bidi="ar-KW"/>
        </w:rPr>
        <w:t>a conclu qu’aucune donnée valide ne permet d’attester l’authenticité de l’histoire des versets sataniques. Remarquons l’esprit conflictuel et belligérant dans le choix même du titre de l’ouvrage consacré par un grand ouléma contemporain à réfuter une histoire confirmée par d’autr</w:t>
      </w:r>
      <w:r>
        <w:rPr>
          <w:rFonts w:eastAsia="Times New Roman"/>
          <w:lang w:bidi="ar-KW"/>
        </w:rPr>
        <w:t>es grands oulémas anciens. Abū l-Fatḥ ʿAbd a</w:t>
      </w:r>
      <w:r w:rsidRPr="006D4265">
        <w:rPr>
          <w:rFonts w:eastAsia="Times New Roman"/>
          <w:lang w:bidi="ar-KW"/>
        </w:rPr>
        <w:t xml:space="preserve">l-ʿAzīz Al-Jaʿfī Al-Shādhilī, un cheikh marocain, a réfuté le </w:t>
      </w:r>
      <w:r w:rsidRPr="0057058C">
        <w:rPr>
          <w:rFonts w:eastAsia="Times New Roman"/>
          <w:lang w:bidi="ar-KW"/>
        </w:rPr>
        <w:t xml:space="preserve">livre d’Al-Albānī en publiant en 2011 un livre intitulé </w:t>
      </w:r>
      <w:r w:rsidRPr="0057058C">
        <w:rPr>
          <w:rFonts w:eastAsia="Times New Roman"/>
          <w:i/>
          <w:iCs/>
          <w:caps/>
          <w:lang w:bidi="ar-KW"/>
        </w:rPr>
        <w:t>ṣ</w:t>
      </w:r>
      <w:r w:rsidRPr="0057058C">
        <w:rPr>
          <w:rFonts w:eastAsia="Times New Roman"/>
          <w:i/>
          <w:iCs/>
          <w:lang w:bidi="ar-KW"/>
        </w:rPr>
        <w:t>add al-majānīq ʿan nasf qiṣṣat al-gharānīq</w:t>
      </w:r>
      <w:r w:rsidRPr="0057058C">
        <w:rPr>
          <w:rFonts w:eastAsia="Times New Roman"/>
          <w:lang w:bidi="ar-KW"/>
        </w:rPr>
        <w:t xml:space="preserve"> [« Contre les machines de guerre qui pilonnent le récit des </w:t>
      </w:r>
      <w:r w:rsidRPr="0057058C">
        <w:rPr>
          <w:rFonts w:eastAsia="Times New Roman"/>
          <w:i/>
          <w:iCs/>
          <w:lang w:bidi="ar-KW"/>
        </w:rPr>
        <w:t>gharānīq</w:t>
      </w:r>
      <w:r w:rsidRPr="0057058C">
        <w:rPr>
          <w:rFonts w:eastAsia="Times New Roman"/>
          <w:lang w:bidi="ar-KW"/>
        </w:rPr>
        <w:t> »] (Éditions Banī Yaznāsin, Salé, Maroc).</w:t>
      </w:r>
    </w:p>
    <w:p w14:paraId="182E277E" w14:textId="77777777" w:rsidR="00296288" w:rsidRPr="006D4265" w:rsidRDefault="00296288" w:rsidP="00296288">
      <w:pPr>
        <w:spacing w:line="360" w:lineRule="auto"/>
        <w:jc w:val="both"/>
        <w:rPr>
          <w:rFonts w:eastAsia="Times New Roman"/>
          <w:lang w:bidi="ar-KW"/>
        </w:rPr>
      </w:pPr>
    </w:p>
    <w:p w14:paraId="3DADC053" w14:textId="77777777" w:rsidR="00296288" w:rsidRPr="006A0DEC" w:rsidRDefault="00296288" w:rsidP="00296288">
      <w:pPr>
        <w:spacing w:line="360" w:lineRule="auto"/>
        <w:ind w:firstLine="360"/>
        <w:jc w:val="both"/>
        <w:rPr>
          <w:rFonts w:eastAsia="Times New Roman"/>
          <w:lang w:bidi="ar-KW"/>
        </w:rPr>
      </w:pPr>
      <w:r w:rsidRPr="006D4265">
        <w:rPr>
          <w:rFonts w:eastAsia="Calibri"/>
        </w:rPr>
        <w:t xml:space="preserve">Selon les </w:t>
      </w:r>
      <w:r w:rsidRPr="006D4265">
        <w:rPr>
          <w:rFonts w:eastAsia="Calibri"/>
          <w:i/>
          <w:iCs/>
        </w:rPr>
        <w:t>asbāb an-nuzūl</w:t>
      </w:r>
      <w:r w:rsidRPr="006D4265">
        <w:rPr>
          <w:rFonts w:eastAsia="Calibri"/>
        </w:rPr>
        <w:t xml:space="preserve"> (les circonstances ou le contexte historique de l’énonciation du Coran), ʿAlī ibn Aḥmad Al-Wāḥidī </w:t>
      </w:r>
      <w:r w:rsidRPr="006A0DEC">
        <w:rPr>
          <w:rFonts w:eastAsia="Calibri"/>
        </w:rPr>
        <w:t xml:space="preserve">An-Naysābūrī </w:t>
      </w:r>
      <w:r w:rsidRPr="006A0DEC">
        <w:rPr>
          <w:rFonts w:eastAsia="Times New Roman"/>
          <w:lang w:bidi="ar-KW"/>
        </w:rPr>
        <w:t>rapporte que les exégètes soulignent que les circonstances de la révélation du verset 52 se rapportent aux versets 19-23 de la sourate LIII (An-Najm [l’Étoile]). En d’autres termes, le verset 52 (</w:t>
      </w:r>
      <w:r w:rsidRPr="006A0DEC">
        <w:rPr>
          <w:rFonts w:eastAsia="Times New Roman"/>
          <w:i/>
          <w:iCs/>
          <w:lang w:bidi="ar-KW"/>
        </w:rPr>
        <w:t>sq.</w:t>
      </w:r>
      <w:r w:rsidRPr="006A0DEC">
        <w:rPr>
          <w:rFonts w:eastAsia="Times New Roman"/>
          <w:lang w:bidi="ar-KW"/>
        </w:rPr>
        <w:t>) n’est qu’une justification de l’énonciation d’autres versets dans une autre sourate et un autre contexte. Il avait donc pour objectif de sortir le prophète Muḥammad d’une situation embarrassante.</w:t>
      </w:r>
    </w:p>
    <w:p w14:paraId="4DB808CB" w14:textId="77777777" w:rsidR="00296288" w:rsidRPr="006A0DEC" w:rsidRDefault="00296288" w:rsidP="00296288">
      <w:pPr>
        <w:spacing w:line="360" w:lineRule="auto"/>
        <w:ind w:firstLine="360"/>
        <w:jc w:val="both"/>
        <w:rPr>
          <w:rFonts w:eastAsia="Times New Roman"/>
          <w:lang w:bidi="ar-KW"/>
        </w:rPr>
      </w:pPr>
    </w:p>
    <w:p w14:paraId="28362904" w14:textId="77777777" w:rsidR="00296288" w:rsidRPr="006D4265" w:rsidRDefault="00296288" w:rsidP="00296288">
      <w:pPr>
        <w:spacing w:line="360" w:lineRule="auto"/>
        <w:ind w:firstLine="360"/>
        <w:jc w:val="both"/>
        <w:rPr>
          <w:rFonts w:eastAsia="Times New Roman"/>
          <w:lang w:bidi="ar-KW"/>
        </w:rPr>
      </w:pPr>
      <w:r w:rsidRPr="006A0DEC">
        <w:rPr>
          <w:rFonts w:eastAsia="Times New Roman"/>
          <w:lang w:bidi="ar-KW"/>
        </w:rPr>
        <w:t>Selon Aṭ-Ṭabarī, cette histoire est la suivante :</w:t>
      </w:r>
    </w:p>
    <w:p w14:paraId="40D04D0E" w14:textId="77777777" w:rsidR="00296288" w:rsidRPr="005F299E" w:rsidRDefault="00296288" w:rsidP="00296288">
      <w:pPr>
        <w:spacing w:line="360" w:lineRule="auto"/>
        <w:jc w:val="both"/>
        <w:rPr>
          <w:rFonts w:eastAsia="Times New Roman"/>
        </w:rPr>
      </w:pPr>
      <w:r w:rsidRPr="006D4265">
        <w:rPr>
          <w:rFonts w:eastAsia="Times New Roman"/>
        </w:rPr>
        <w:t>"Le prophète se rendit dans une assemblée [</w:t>
      </w:r>
      <w:r w:rsidRPr="006D4265">
        <w:rPr>
          <w:rFonts w:eastAsia="Times New Roman"/>
          <w:i/>
          <w:iCs/>
        </w:rPr>
        <w:t>nādī</w:t>
      </w:r>
      <w:r w:rsidRPr="006D4265">
        <w:rPr>
          <w:rFonts w:eastAsia="Times New Roman"/>
        </w:rPr>
        <w:t>] de Quraychites païens. À ce moment-là, il</w:t>
      </w:r>
      <w:r w:rsidRPr="006D4265">
        <w:rPr>
          <w:rFonts w:eastAsia="Times New Roman"/>
          <w:i/>
          <w:iCs/>
        </w:rPr>
        <w:t xml:space="preserve"> souhaita</w:t>
      </w:r>
      <w:r w:rsidRPr="006D4265">
        <w:rPr>
          <w:rFonts w:eastAsia="Times New Roman"/>
        </w:rPr>
        <w:t xml:space="preserve"> que Dieu ne lui</w:t>
      </w:r>
      <w:r>
        <w:rPr>
          <w:rFonts w:eastAsia="Times New Roman"/>
        </w:rPr>
        <w:t xml:space="preserve"> révèle pas des paroles qui pourr</w:t>
      </w:r>
      <w:r w:rsidRPr="006D4265">
        <w:rPr>
          <w:rFonts w:eastAsia="Times New Roman"/>
        </w:rPr>
        <w:t xml:space="preserve">aient effaroucher les païens. Alors </w:t>
      </w:r>
      <w:r w:rsidRPr="006D4265">
        <w:rPr>
          <w:rFonts w:eastAsia="Times New Roman"/>
        </w:rPr>
        <w:lastRenderedPageBreak/>
        <w:t xml:space="preserve">la sourate de l’Étoile lui fut révélée. Il la récita devant les païens. Lorsqu’il fut arrivé aux versets 19 et 20 (« [19] Ainsi, vous auriez vu Allât et al-ʿUzzā [20] et Manāt, cette autre troisième ? »), Satan vint et mit dans sa bouche ces paroles : « Voici ces sublimes </w:t>
      </w:r>
      <w:r w:rsidRPr="006D4265">
        <w:rPr>
          <w:rFonts w:eastAsia="Times New Roman"/>
          <w:i/>
          <w:iCs/>
        </w:rPr>
        <w:t>gharāniqa</w:t>
      </w:r>
      <w:r w:rsidRPr="006D4265">
        <w:rPr>
          <w:rFonts w:eastAsia="Times New Roman"/>
        </w:rPr>
        <w:t>, dont l’intercession doit être espérée ». Les païens furent très heureu</w:t>
      </w:r>
      <w:r>
        <w:rPr>
          <w:rFonts w:eastAsia="Times New Roman"/>
        </w:rPr>
        <w:t>x de ces paroles et dirent : « I</w:t>
      </w:r>
      <w:r w:rsidRPr="006D4265">
        <w:rPr>
          <w:rFonts w:eastAsia="Times New Roman"/>
        </w:rPr>
        <w:t xml:space="preserve">l est arrivé à Muḥammad de louer nos divinités et d’en dire du bien ». Le prophète termina la sourate, puis il se prosterna, et les païens se prosternèrent à son exemple. Ensuite, l’archange Gabriel vint trouver le prophète et lui demande de réciter la sourate de l’Étoile. Quand Muḥammad en répétait les termes, Gabriel dit : « Ce n’est pas </w:t>
      </w:r>
      <w:r>
        <w:rPr>
          <w:rFonts w:eastAsia="Times New Roman"/>
        </w:rPr>
        <w:t>ainsi que je te l’ai transmise.</w:t>
      </w:r>
      <w:r w:rsidRPr="006D4265">
        <w:rPr>
          <w:rFonts w:eastAsia="Times New Roman"/>
        </w:rPr>
        <w:t xml:space="preserve"> » Ayant trop peur de Dieu, le prophète fut très inquiet et triste. Ensuite, Dieu </w:t>
      </w:r>
      <w:r w:rsidRPr="00E7748C">
        <w:rPr>
          <w:rFonts w:eastAsia="Times New Roman"/>
        </w:rPr>
        <w:t>le consola</w:t>
      </w:r>
      <w:r w:rsidRPr="006D4265">
        <w:rPr>
          <w:rFonts w:eastAsia="Times New Roman"/>
        </w:rPr>
        <w:t xml:space="preserve"> en lui révélant le verset suivant :</w:t>
      </w:r>
      <w:r w:rsidRPr="006D4265">
        <w:rPr>
          <w:rFonts w:eastAsia="Times New Roman"/>
          <w:lang w:bidi="ar-KW"/>
        </w:rPr>
        <w:t xml:space="preserve"> « Nous n’avons pas envoyé avant toi d’envoyé ou de prophète en qui Satan, quand ils éprouvaient une aspiration, n’y </w:t>
      </w:r>
      <w:r w:rsidRPr="005F299E">
        <w:rPr>
          <w:rFonts w:eastAsia="Times New Roman"/>
          <w:lang w:bidi="ar-KW"/>
        </w:rPr>
        <w:t xml:space="preserve">mêlât de ses projections. Mais Dieu abroge les projections de Satan, et de plus rend péremptoires Ses propres signes » </w:t>
      </w:r>
      <w:r w:rsidRPr="005F299E">
        <w:rPr>
          <w:rFonts w:eastAsia="Times New Roman"/>
        </w:rPr>
        <w:t>(Al-Ḥajj, 52)."</w:t>
      </w:r>
      <w:r w:rsidRPr="005F299E">
        <w:rPr>
          <w:rStyle w:val="Appelnotedebasdep"/>
          <w:rFonts w:eastAsia="Times New Roman"/>
        </w:rPr>
        <w:footnoteReference w:id="362"/>
      </w:r>
    </w:p>
    <w:p w14:paraId="1228DA52" w14:textId="77777777" w:rsidR="00296288" w:rsidRPr="005F299E" w:rsidRDefault="00296288" w:rsidP="00296288">
      <w:pPr>
        <w:spacing w:line="360" w:lineRule="auto"/>
        <w:jc w:val="both"/>
        <w:rPr>
          <w:rFonts w:eastAsia="Times New Roman"/>
        </w:rPr>
      </w:pPr>
    </w:p>
    <w:p w14:paraId="444C3329" w14:textId="77777777" w:rsidR="00296288" w:rsidRPr="005F299E" w:rsidRDefault="00296288" w:rsidP="00296288">
      <w:pPr>
        <w:spacing w:line="360" w:lineRule="auto"/>
        <w:ind w:firstLine="360"/>
        <w:jc w:val="both"/>
        <w:rPr>
          <w:rFonts w:eastAsia="Times New Roman"/>
          <w:shd w:val="clear" w:color="auto" w:fill="FFFFFF"/>
        </w:rPr>
      </w:pPr>
      <w:r w:rsidRPr="005F299E">
        <w:rPr>
          <w:rFonts w:eastAsia="Times New Roman"/>
          <w:shd w:val="clear" w:color="auto" w:fill="FFFFFF"/>
        </w:rPr>
        <w:t>D’après l’histoire d’</w:t>
      </w:r>
      <w:r w:rsidRPr="005F299E">
        <w:rPr>
          <w:rFonts w:eastAsia="Times New Roman"/>
          <w:lang w:bidi="ar-KW"/>
        </w:rPr>
        <w:t>Aṭ-Ṭabarī</w:t>
      </w:r>
      <w:r w:rsidRPr="005F299E">
        <w:rPr>
          <w:rStyle w:val="Appelnotedebasdep"/>
          <w:rFonts w:eastAsia="Times New Roman"/>
          <w:lang w:bidi="ar-KW"/>
        </w:rPr>
        <w:footnoteReference w:id="363"/>
      </w:r>
      <w:r w:rsidRPr="005F299E">
        <w:rPr>
          <w:rFonts w:eastAsia="Times New Roman"/>
          <w:shd w:val="clear" w:color="auto" w:fill="FFFFFF"/>
        </w:rPr>
        <w:t>, nous pouvons comprendre que Satan a pu donc interpoler deux versets qui disaient du bien des divinités païennes considérées par les Koraïchites comme des « filles de Dieu », ce qui aurait créé un doute dans l’esprit des auditeurs du prophète.</w:t>
      </w:r>
    </w:p>
    <w:p w14:paraId="3A538EA7" w14:textId="77777777" w:rsidR="00296288" w:rsidRPr="005F299E" w:rsidRDefault="00296288" w:rsidP="00296288">
      <w:pPr>
        <w:spacing w:line="360" w:lineRule="auto"/>
        <w:ind w:firstLine="360"/>
        <w:jc w:val="both"/>
        <w:rPr>
          <w:rFonts w:eastAsia="Times New Roman"/>
          <w:shd w:val="clear" w:color="auto" w:fill="FFFFFF"/>
        </w:rPr>
      </w:pPr>
    </w:p>
    <w:p w14:paraId="32945F95" w14:textId="77777777" w:rsidR="00296288" w:rsidRPr="006D4265" w:rsidRDefault="00296288" w:rsidP="00296288">
      <w:pPr>
        <w:spacing w:line="360" w:lineRule="auto"/>
        <w:ind w:firstLine="360"/>
        <w:jc w:val="both"/>
        <w:rPr>
          <w:rFonts w:eastAsia="Times New Roman"/>
        </w:rPr>
      </w:pPr>
      <w:r w:rsidRPr="006D4265">
        <w:rPr>
          <w:rFonts w:eastAsia="Times New Roman"/>
          <w:shd w:val="clear" w:color="auto" w:fill="FFFFFF"/>
        </w:rPr>
        <w:t xml:space="preserve">L’exégète </w:t>
      </w:r>
      <w:r w:rsidRPr="006D4265">
        <w:rPr>
          <w:rFonts w:eastAsia="Times New Roman"/>
        </w:rPr>
        <w:t xml:space="preserve">Ibn Kathīr cite plusieurs hypothèses dont celle d’une illusion créée par Satan sur les auditeurs, sans que cette parole n’ait émané du prophète lui-même. S’agit-il d’un acouphène ou d’une illusion dont les païens </w:t>
      </w:r>
      <w:r>
        <w:rPr>
          <w:rFonts w:eastAsia="Times New Roman"/>
        </w:rPr>
        <w:t>auraient été atteints, tous en même temps ?</w:t>
      </w:r>
      <w:r w:rsidRPr="006D4265">
        <w:rPr>
          <w:rFonts w:eastAsia="Times New Roman"/>
        </w:rPr>
        <w:t xml:space="preserve"> </w:t>
      </w:r>
      <w:r>
        <w:rPr>
          <w:rFonts w:eastAsia="Times New Roman"/>
        </w:rPr>
        <w:t xml:space="preserve">Ibn </w:t>
      </w:r>
      <w:r w:rsidRPr="006D4265">
        <w:rPr>
          <w:rFonts w:eastAsia="Times New Roman"/>
        </w:rPr>
        <w:t xml:space="preserve">Kathīr </w:t>
      </w:r>
      <w:r>
        <w:rPr>
          <w:rFonts w:eastAsia="Times New Roman"/>
        </w:rPr>
        <w:t xml:space="preserve">tente probablement d’apporter une justification, </w:t>
      </w:r>
      <w:r w:rsidRPr="006D4265">
        <w:rPr>
          <w:rFonts w:eastAsia="Times New Roman"/>
        </w:rPr>
        <w:t>une légitimatio</w:t>
      </w:r>
      <w:r>
        <w:rPr>
          <w:rFonts w:eastAsia="Times New Roman"/>
        </w:rPr>
        <w:t>n a</w:t>
      </w:r>
      <w:r w:rsidRPr="006D4265">
        <w:rPr>
          <w:rFonts w:eastAsia="Times New Roman"/>
        </w:rPr>
        <w:t xml:space="preserve">u comportement de Muḥammad. </w:t>
      </w:r>
    </w:p>
    <w:p w14:paraId="0123927A" w14:textId="77777777" w:rsidR="00296288" w:rsidRPr="006D4265" w:rsidRDefault="00296288" w:rsidP="00296288">
      <w:pPr>
        <w:spacing w:line="360" w:lineRule="auto"/>
        <w:jc w:val="both"/>
        <w:rPr>
          <w:rFonts w:eastAsia="Times New Roman"/>
        </w:rPr>
      </w:pPr>
    </w:p>
    <w:p w14:paraId="4CB70067" w14:textId="77777777" w:rsidR="00296288" w:rsidRPr="006D4265" w:rsidRDefault="00296288" w:rsidP="00296288">
      <w:pPr>
        <w:spacing w:line="360" w:lineRule="auto"/>
        <w:ind w:firstLine="360"/>
        <w:jc w:val="both"/>
        <w:rPr>
          <w:rFonts w:eastAsia="Times New Roman"/>
        </w:rPr>
      </w:pPr>
      <w:r>
        <w:rPr>
          <w:rFonts w:eastAsia="Times New Roman"/>
        </w:rPr>
        <w:t>Bien que ce récit soit évoqué par de</w:t>
      </w:r>
      <w:r w:rsidRPr="006D4265">
        <w:rPr>
          <w:rFonts w:eastAsia="Times New Roman"/>
        </w:rPr>
        <w:t xml:space="preserve"> grands exégètes, les musulmans contemporains ont tendance à la démentir pour défendre l’image et l’impeccabilité de leur prophète.</w:t>
      </w:r>
    </w:p>
    <w:p w14:paraId="23973E19" w14:textId="77777777" w:rsidR="00296288" w:rsidRPr="00327143" w:rsidRDefault="00296288" w:rsidP="00296288">
      <w:pPr>
        <w:spacing w:line="360" w:lineRule="auto"/>
        <w:jc w:val="both"/>
        <w:rPr>
          <w:rFonts w:eastAsia="Times New Roman"/>
        </w:rPr>
      </w:pPr>
    </w:p>
    <w:p w14:paraId="7C35F961" w14:textId="77777777" w:rsidR="00296288" w:rsidRPr="00327143" w:rsidRDefault="00296288" w:rsidP="00296288">
      <w:pPr>
        <w:spacing w:line="360" w:lineRule="auto"/>
        <w:jc w:val="both"/>
        <w:rPr>
          <w:rFonts w:eastAsia="Times New Roman"/>
        </w:rPr>
      </w:pPr>
      <w:r w:rsidRPr="00327143">
        <w:rPr>
          <w:rFonts w:eastAsia="Times New Roman"/>
        </w:rPr>
        <w:tab/>
        <w:t>Le désaccord et la dispute au sujet de la véracité de cet incident (qui semble véridique</w:t>
      </w:r>
      <w:r w:rsidRPr="00327143">
        <w:rPr>
          <w:rStyle w:val="Appelnotedebasdep"/>
          <w:rFonts w:eastAsia="Times New Roman"/>
        </w:rPr>
        <w:footnoteReference w:id="364"/>
      </w:r>
      <w:r w:rsidRPr="00327143">
        <w:rPr>
          <w:rFonts w:eastAsia="Times New Roman"/>
        </w:rPr>
        <w:t xml:space="preserve"> car il est rapporté par presque tous les exégètes et chroniqueurs comme Aṭ-Ṭabarī, Ibn Kathīr, </w:t>
      </w:r>
      <w:r w:rsidRPr="00327143">
        <w:rPr>
          <w:rFonts w:eastAsia="Times New Roman"/>
        </w:rPr>
        <w:lastRenderedPageBreak/>
        <w:t>Ibn Hishām, Al-Bukhārī, etc.) seraient une source de la polysémie. On va voir ce que les exégètes disent à propos de l’interprétation de ce verset :</w:t>
      </w:r>
    </w:p>
    <w:p w14:paraId="3DACF633" w14:textId="77777777" w:rsidR="00296288" w:rsidRPr="006D4265" w:rsidRDefault="00296288" w:rsidP="007640DC">
      <w:pPr>
        <w:numPr>
          <w:ilvl w:val="0"/>
          <w:numId w:val="76"/>
        </w:numPr>
        <w:spacing w:line="360" w:lineRule="auto"/>
        <w:jc w:val="both"/>
        <w:rPr>
          <w:rFonts w:eastAsia="Times New Roman"/>
        </w:rPr>
      </w:pPr>
      <w:r w:rsidRPr="006D4265">
        <w:rPr>
          <w:rFonts w:eastAsia="Times New Roman"/>
        </w:rPr>
        <w:t>Il s’agit de l’incident des</w:t>
      </w:r>
      <w:r w:rsidRPr="006D4265">
        <w:rPr>
          <w:rFonts w:eastAsia="Times New Roman"/>
          <w:i/>
          <w:iCs/>
        </w:rPr>
        <w:t xml:space="preserve"> gharānīq </w:t>
      </w:r>
      <w:r w:rsidRPr="006D4265">
        <w:rPr>
          <w:rFonts w:eastAsia="Times New Roman"/>
        </w:rPr>
        <w:t>(exégèses sunnites) :</w:t>
      </w:r>
    </w:p>
    <w:p w14:paraId="2F6DD506" w14:textId="77777777" w:rsidR="00296288" w:rsidRPr="006D4265" w:rsidRDefault="00296288" w:rsidP="007640DC">
      <w:pPr>
        <w:numPr>
          <w:ilvl w:val="1"/>
          <w:numId w:val="76"/>
        </w:numPr>
        <w:spacing w:line="360" w:lineRule="auto"/>
        <w:jc w:val="both"/>
        <w:rPr>
          <w:rFonts w:eastAsia="Times New Roman"/>
        </w:rPr>
      </w:pPr>
      <w:r w:rsidRPr="006D4265">
        <w:rPr>
          <w:rFonts w:eastAsia="Times New Roman"/>
        </w:rPr>
        <w:t>Le prophète espérait ne pas recevoir de la part de Dieu une révélation qui pouvait effaroucher sa tribu ;</w:t>
      </w:r>
    </w:p>
    <w:p w14:paraId="2392207F" w14:textId="77777777" w:rsidR="00296288" w:rsidRPr="006D4265" w:rsidRDefault="00296288" w:rsidP="007640DC">
      <w:pPr>
        <w:numPr>
          <w:ilvl w:val="1"/>
          <w:numId w:val="76"/>
        </w:numPr>
        <w:spacing w:line="360" w:lineRule="auto"/>
        <w:jc w:val="both"/>
        <w:rPr>
          <w:rFonts w:eastAsia="Times New Roman"/>
        </w:rPr>
      </w:pPr>
      <w:r w:rsidRPr="006D4265">
        <w:rPr>
          <w:rFonts w:eastAsia="Times New Roman"/>
        </w:rPr>
        <w:t>Le prophète espérait recevoir une révélation qui pouvait le rapprocher de sa tribu ;</w:t>
      </w:r>
    </w:p>
    <w:p w14:paraId="37F56F65" w14:textId="77777777" w:rsidR="00296288" w:rsidRPr="006D4265" w:rsidRDefault="00296288" w:rsidP="007640DC">
      <w:pPr>
        <w:numPr>
          <w:ilvl w:val="1"/>
          <w:numId w:val="76"/>
        </w:numPr>
        <w:spacing w:line="360" w:lineRule="auto"/>
        <w:jc w:val="both"/>
        <w:rPr>
          <w:rFonts w:eastAsia="Times New Roman"/>
        </w:rPr>
      </w:pPr>
      <w:r w:rsidRPr="006D4265">
        <w:rPr>
          <w:rFonts w:eastAsia="Times New Roman"/>
        </w:rPr>
        <w:t>Le prophète voulait que sa tribu se convertisse à l’islam ;</w:t>
      </w:r>
    </w:p>
    <w:p w14:paraId="5DBF4590" w14:textId="77777777" w:rsidR="00296288" w:rsidRPr="006D4265" w:rsidRDefault="00296288" w:rsidP="007640DC">
      <w:pPr>
        <w:numPr>
          <w:ilvl w:val="1"/>
          <w:numId w:val="76"/>
        </w:numPr>
        <w:spacing w:line="360" w:lineRule="auto"/>
        <w:jc w:val="both"/>
        <w:rPr>
          <w:rFonts w:eastAsia="Times New Roman"/>
        </w:rPr>
      </w:pPr>
      <w:r w:rsidRPr="006D4265">
        <w:rPr>
          <w:rFonts w:eastAsia="Times New Roman"/>
        </w:rPr>
        <w:t>Le prophète a récité la sourate à sa tribu, et quand il s’est arrêté, Satan a parlé à sa place, ce qui a laissé les païens croire que c’était du Coran (l’incident des</w:t>
      </w:r>
      <w:r w:rsidRPr="006D4265">
        <w:rPr>
          <w:rFonts w:eastAsia="Times New Roman"/>
          <w:i/>
          <w:iCs/>
        </w:rPr>
        <w:t xml:space="preserve"> gharānīq </w:t>
      </w:r>
      <w:r w:rsidRPr="006D4265">
        <w:rPr>
          <w:rFonts w:eastAsia="Times New Roman"/>
        </w:rPr>
        <w:t>est faux) ;</w:t>
      </w:r>
    </w:p>
    <w:p w14:paraId="0DDC9748" w14:textId="77777777" w:rsidR="00296288" w:rsidRPr="006D4265" w:rsidRDefault="00296288" w:rsidP="007640DC">
      <w:pPr>
        <w:numPr>
          <w:ilvl w:val="1"/>
          <w:numId w:val="76"/>
        </w:numPr>
        <w:spacing w:line="360" w:lineRule="auto"/>
        <w:jc w:val="both"/>
        <w:rPr>
          <w:rFonts w:eastAsia="Times New Roman"/>
        </w:rPr>
      </w:pPr>
      <w:r w:rsidRPr="006D4265">
        <w:rPr>
          <w:rFonts w:eastAsia="Times New Roman"/>
        </w:rPr>
        <w:t>Le prophète monologuait ;</w:t>
      </w:r>
    </w:p>
    <w:p w14:paraId="62A46332" w14:textId="77777777" w:rsidR="00296288" w:rsidRPr="006D4265" w:rsidRDefault="00296288" w:rsidP="007640DC">
      <w:pPr>
        <w:numPr>
          <w:ilvl w:val="1"/>
          <w:numId w:val="76"/>
        </w:numPr>
        <w:spacing w:line="360" w:lineRule="auto"/>
        <w:jc w:val="both"/>
        <w:rPr>
          <w:rFonts w:eastAsia="Times New Roman"/>
        </w:rPr>
      </w:pPr>
      <w:r w:rsidRPr="006D4265">
        <w:rPr>
          <w:rFonts w:eastAsia="Times New Roman"/>
        </w:rPr>
        <w:t>Le prophète voulait guider les êtres humains vers Dieu (Shaykhū),</w:t>
      </w:r>
    </w:p>
    <w:p w14:paraId="577E5E4A" w14:textId="77777777" w:rsidR="00296288" w:rsidRPr="006D4265" w:rsidRDefault="00296288" w:rsidP="007640DC">
      <w:pPr>
        <w:numPr>
          <w:ilvl w:val="1"/>
          <w:numId w:val="76"/>
        </w:numPr>
        <w:spacing w:line="360" w:lineRule="auto"/>
        <w:jc w:val="both"/>
        <w:rPr>
          <w:rFonts w:eastAsia="Times New Roman"/>
        </w:rPr>
      </w:pPr>
      <w:r w:rsidRPr="006D4265">
        <w:rPr>
          <w:rFonts w:eastAsia="Times New Roman"/>
        </w:rPr>
        <w:t>Le prophète a somnolé et prononcé (inconsciemment) des mots qui louaient les idoles païennes, puis il s’est réveillé et il a corrigé ou retiré sa parole (Muqātil).</w:t>
      </w:r>
    </w:p>
    <w:p w14:paraId="25F410A8" w14:textId="77777777" w:rsidR="00296288" w:rsidRPr="006D4265" w:rsidRDefault="00296288" w:rsidP="007640DC">
      <w:pPr>
        <w:numPr>
          <w:ilvl w:val="0"/>
          <w:numId w:val="76"/>
        </w:numPr>
        <w:spacing w:line="360" w:lineRule="auto"/>
        <w:jc w:val="both"/>
        <w:rPr>
          <w:rFonts w:eastAsia="Times New Roman"/>
        </w:rPr>
      </w:pPr>
      <w:r w:rsidRPr="006D4265">
        <w:rPr>
          <w:rFonts w:eastAsia="Times New Roman"/>
        </w:rPr>
        <w:t xml:space="preserve">Il s’agit d’un autre incident (exégèse chiite, Al-Qummī) : Un jour, indigent et affamé, le prophète se rendit chez un </w:t>
      </w:r>
      <w:r w:rsidRPr="006D4265">
        <w:rPr>
          <w:rFonts w:eastAsia="Times New Roman"/>
          <w:i/>
          <w:iCs/>
          <w:lang w:bidi="ar-AE"/>
        </w:rPr>
        <w:t>anṣārī</w:t>
      </w:r>
      <w:r w:rsidRPr="006D4265">
        <w:rPr>
          <w:rFonts w:eastAsia="Times New Roman"/>
        </w:rPr>
        <w:t>. « As-tu de la nourriture ? », dit le prophète. L’autre répondit que oui. Et il lui offrit une petite chèvre (</w:t>
      </w:r>
      <w:r w:rsidRPr="006D4265">
        <w:rPr>
          <w:rFonts w:eastAsia="Times New Roman"/>
          <w:i/>
          <w:iCs/>
        </w:rPr>
        <w:t>ʿanāq</w:t>
      </w:r>
      <w:r w:rsidRPr="006D4265">
        <w:rPr>
          <w:rFonts w:eastAsia="Times New Roman"/>
        </w:rPr>
        <w:t>) rôtie. À ce m</w:t>
      </w:r>
      <w:r>
        <w:rPr>
          <w:rFonts w:eastAsia="Times New Roman"/>
        </w:rPr>
        <w:t>oment-là, le prophète souhaita</w:t>
      </w:r>
      <w:r w:rsidRPr="006D4265">
        <w:rPr>
          <w:rFonts w:eastAsia="Times New Roman"/>
        </w:rPr>
        <w:t xml:space="preserve"> être accompagné par sa fille Fāṭima, son gendre ʿAlī et leurs deux enfants Al-Ḥasan et Al-Ḥusayn. Mais so</w:t>
      </w:r>
      <w:r>
        <w:rPr>
          <w:rFonts w:eastAsia="Times New Roman"/>
        </w:rPr>
        <w:t>udain, deux hypocrites vinrent [</w:t>
      </w:r>
      <w:r w:rsidRPr="006D4265">
        <w:rPr>
          <w:rFonts w:eastAsia="Times New Roman"/>
        </w:rPr>
        <w:t xml:space="preserve">il s’agirait de deux personnes </w:t>
      </w:r>
      <w:r w:rsidRPr="00C34B54">
        <w:rPr>
          <w:rFonts w:eastAsia="Times New Roman"/>
        </w:rPr>
        <w:t>parmi les trois califes : Abū Bakr, ʿUmar et ʿUthmān]. Ensuite ʿAlī arriva. Suite à cet incident, Dieu révéla le verset 52 de la sourate Al-Ḥajj. En d’autres termes, le sens de ce verset serait que lorsque le prophète Muḥammad souhaita l’arrivée de ʿAlī, Satan lui envoya les deux hypocrites, et que Dieu abrogea l’action de Satan par l’arrivée de ʿAlī. La phrase « </w:t>
      </w:r>
      <w:r w:rsidRPr="00C34B54">
        <w:rPr>
          <w:rFonts w:eastAsia="Times New Roman"/>
          <w:i/>
          <w:iCs/>
        </w:rPr>
        <w:t>yuḥkimu llāhu ʾāyāti-hi</w:t>
      </w:r>
      <w:r w:rsidRPr="00C34B54">
        <w:rPr>
          <w:rFonts w:eastAsia="Times New Roman"/>
        </w:rPr>
        <w:t> » [Dieu rend péremptoires Ses propres signes] signifie selon Al-Qummī que</w:t>
      </w:r>
      <w:r w:rsidRPr="006D4265">
        <w:rPr>
          <w:rFonts w:eastAsia="Times New Roman"/>
        </w:rPr>
        <w:t xml:space="preserve"> Dieu secourt ʿAlī, </w:t>
      </w:r>
      <w:r w:rsidRPr="006D4265">
        <w:rPr>
          <w:rFonts w:eastAsia="Times New Roman"/>
          <w:i/>
          <w:iCs/>
        </w:rPr>
        <w:t>amīr al-muʾminīn</w:t>
      </w:r>
      <w:r w:rsidRPr="006D4265">
        <w:rPr>
          <w:rFonts w:eastAsia="Times New Roman"/>
        </w:rPr>
        <w:t xml:space="preserve"> [le </w:t>
      </w:r>
      <w:r w:rsidRPr="006D4265">
        <w:rPr>
          <w:rFonts w:eastAsia="Times New Roman"/>
        </w:rPr>
        <w:lastRenderedPageBreak/>
        <w:t>commandeur des croyants] et l’</w:t>
      </w:r>
      <w:r w:rsidRPr="006D4265">
        <w:rPr>
          <w:rFonts w:eastAsia="Times New Roman"/>
          <w:i/>
          <w:iCs/>
        </w:rPr>
        <w:t>imām</w:t>
      </w:r>
      <w:r w:rsidRPr="006D4265">
        <w:rPr>
          <w:rFonts w:eastAsia="Times New Roman"/>
        </w:rPr>
        <w:t xml:space="preserve"> [le commandement religieux et politique] et lui donne la victoire.</w:t>
      </w:r>
    </w:p>
    <w:p w14:paraId="1F2FB35B" w14:textId="77777777" w:rsidR="00296288" w:rsidRPr="006D4265" w:rsidRDefault="00296288" w:rsidP="007640DC">
      <w:pPr>
        <w:numPr>
          <w:ilvl w:val="0"/>
          <w:numId w:val="76"/>
        </w:numPr>
        <w:spacing w:line="360" w:lineRule="auto"/>
        <w:jc w:val="both"/>
        <w:rPr>
          <w:rFonts w:eastAsia="Times New Roman"/>
        </w:rPr>
      </w:pPr>
      <w:r w:rsidRPr="006D4265">
        <w:rPr>
          <w:rFonts w:eastAsia="Times New Roman"/>
        </w:rPr>
        <w:t xml:space="preserve">Lorsque le prophète voulait </w:t>
      </w:r>
      <w:r>
        <w:rPr>
          <w:rFonts w:eastAsia="Times New Roman"/>
        </w:rPr>
        <w:t>guider les gens, Satan mettait d</w:t>
      </w:r>
      <w:r w:rsidRPr="006D4265">
        <w:rPr>
          <w:rFonts w:eastAsia="Times New Roman"/>
        </w:rPr>
        <w:t>es obstacles ; mais Dieu n’a pas laissé Satan faire ce qu’il voulait. Enfin, Dieu a rendu décisifs Ses signes</w:t>
      </w:r>
      <w:r w:rsidRPr="006D4265">
        <w:rPr>
          <w:rFonts w:eastAsia="Calibri"/>
        </w:rPr>
        <w:t xml:space="preserve"> (Ash-Shaʿrāwī</w:t>
      </w:r>
      <w:r w:rsidRPr="006D4265">
        <w:rPr>
          <w:rFonts w:eastAsia="Times New Roman"/>
        </w:rPr>
        <w:t>).</w:t>
      </w:r>
    </w:p>
    <w:p w14:paraId="040077FD" w14:textId="77777777" w:rsidR="00296288" w:rsidRPr="006D4265" w:rsidRDefault="00296288" w:rsidP="007640DC">
      <w:pPr>
        <w:numPr>
          <w:ilvl w:val="0"/>
          <w:numId w:val="76"/>
        </w:numPr>
        <w:spacing w:line="360" w:lineRule="auto"/>
        <w:jc w:val="both"/>
        <w:rPr>
          <w:rFonts w:eastAsia="Times New Roman"/>
        </w:rPr>
      </w:pPr>
      <w:r w:rsidRPr="006D4265">
        <w:rPr>
          <w:rFonts w:eastAsia="Times New Roman"/>
        </w:rPr>
        <w:t xml:space="preserve">Il est normal que les </w:t>
      </w:r>
      <w:r w:rsidRPr="00327143">
        <w:rPr>
          <w:rFonts w:eastAsia="Times New Roman"/>
        </w:rPr>
        <w:t>prophètes trouvent une opposition, mais Dieu enlève les obstacles et le prophète Muḥammad a vaincu toutes</w:t>
      </w:r>
      <w:r w:rsidRPr="006D4265">
        <w:rPr>
          <w:rFonts w:eastAsia="Times New Roman"/>
        </w:rPr>
        <w:t xml:space="preserve"> l</w:t>
      </w:r>
      <w:r>
        <w:rPr>
          <w:rFonts w:eastAsia="Times New Roman"/>
        </w:rPr>
        <w:t>es religions (Mirzā Bashīr a</w:t>
      </w:r>
      <w:r w:rsidRPr="006D4265">
        <w:rPr>
          <w:rFonts w:eastAsia="Times New Roman"/>
        </w:rPr>
        <w:t xml:space="preserve">d-Dīn Maḥmūd Aḥmad, </w:t>
      </w:r>
      <w:r w:rsidRPr="006D4265">
        <w:rPr>
          <w:rFonts w:eastAsia="Times New Roman"/>
          <w:i/>
          <w:iCs/>
        </w:rPr>
        <w:t>At-tafsīr al-kabīr</w:t>
      </w:r>
      <w:r w:rsidRPr="006D4265">
        <w:rPr>
          <w:rFonts w:eastAsia="Times New Roman"/>
        </w:rPr>
        <w:t>, exégèse ahmadie</w:t>
      </w:r>
      <w:r w:rsidRPr="006D4265">
        <w:rPr>
          <w:rFonts w:eastAsia="Times New Roman"/>
          <w:vertAlign w:val="superscript"/>
          <w:lang w:bidi="ar-AE"/>
        </w:rPr>
        <w:footnoteReference w:id="365"/>
      </w:r>
      <w:r w:rsidRPr="006D4265">
        <w:rPr>
          <w:rFonts w:eastAsia="Times New Roman"/>
        </w:rPr>
        <w:t>).</w:t>
      </w:r>
    </w:p>
    <w:p w14:paraId="2107D4CB" w14:textId="77777777" w:rsidR="00296288" w:rsidRPr="006D4265" w:rsidRDefault="00296288" w:rsidP="00296288">
      <w:pPr>
        <w:spacing w:line="360" w:lineRule="auto"/>
        <w:jc w:val="both"/>
        <w:rPr>
          <w:rFonts w:eastAsia="Times New Roman"/>
        </w:rPr>
      </w:pPr>
    </w:p>
    <w:p w14:paraId="447B25D8" w14:textId="77777777" w:rsidR="00296288" w:rsidRDefault="00296288" w:rsidP="00296288">
      <w:pPr>
        <w:spacing w:line="360" w:lineRule="auto"/>
        <w:ind w:firstLine="360"/>
        <w:jc w:val="both"/>
        <w:rPr>
          <w:rFonts w:eastAsia="Times New Roman"/>
        </w:rPr>
      </w:pPr>
      <w:r w:rsidRPr="006D4265">
        <w:rPr>
          <w:rFonts w:eastAsia="Times New Roman"/>
        </w:rPr>
        <w:t xml:space="preserve">Ainsi, à propos de celui qui a prononcé les versets sataniques qui louaient les idoles, des ulémas </w:t>
      </w:r>
      <w:r>
        <w:rPr>
          <w:rFonts w:eastAsia="Times New Roman"/>
        </w:rPr>
        <w:t>affirment que c’es</w:t>
      </w:r>
      <w:r w:rsidRPr="006D4265">
        <w:rPr>
          <w:rFonts w:eastAsia="Times New Roman"/>
        </w:rPr>
        <w:t>t le prophète lui-même</w:t>
      </w:r>
      <w:r>
        <w:rPr>
          <w:rFonts w:eastAsia="Times New Roman"/>
        </w:rPr>
        <w:t xml:space="preserve">, </w:t>
      </w:r>
      <w:r w:rsidRPr="006D4265">
        <w:rPr>
          <w:rFonts w:eastAsia="Times New Roman"/>
        </w:rPr>
        <w:t xml:space="preserve">mais par inattention et sous </w:t>
      </w:r>
      <w:r>
        <w:rPr>
          <w:rFonts w:eastAsia="Times New Roman"/>
        </w:rPr>
        <w:t>l’emprise</w:t>
      </w:r>
      <w:r w:rsidRPr="006D4265">
        <w:rPr>
          <w:rFonts w:eastAsia="Times New Roman"/>
        </w:rPr>
        <w:t xml:space="preserve"> de son </w:t>
      </w:r>
      <w:r>
        <w:rPr>
          <w:rFonts w:eastAsia="Times New Roman"/>
        </w:rPr>
        <w:t>désir de convertir sa tribu ; d’autres que c’es</w:t>
      </w:r>
      <w:r w:rsidRPr="006D4265">
        <w:rPr>
          <w:rFonts w:eastAsia="Times New Roman"/>
        </w:rPr>
        <w:t>t Satan</w:t>
      </w:r>
      <w:r>
        <w:rPr>
          <w:rFonts w:eastAsia="Times New Roman"/>
        </w:rPr>
        <w:t>,</w:t>
      </w:r>
      <w:r w:rsidRPr="006D4265">
        <w:rPr>
          <w:rFonts w:eastAsia="Times New Roman"/>
        </w:rPr>
        <w:t xml:space="preserve"> </w:t>
      </w:r>
      <w:r>
        <w:rPr>
          <w:rFonts w:eastAsia="Times New Roman"/>
        </w:rPr>
        <w:t>dont</w:t>
      </w:r>
      <w:r w:rsidRPr="006D4265">
        <w:rPr>
          <w:rFonts w:eastAsia="Times New Roman"/>
        </w:rPr>
        <w:t xml:space="preserve"> les auditeurs païens ont </w:t>
      </w:r>
      <w:r>
        <w:rPr>
          <w:rFonts w:eastAsia="Times New Roman"/>
        </w:rPr>
        <w:t>confondu</w:t>
      </w:r>
      <w:r w:rsidRPr="006D4265">
        <w:rPr>
          <w:rFonts w:eastAsia="Times New Roman"/>
        </w:rPr>
        <w:t xml:space="preserve"> la voix </w:t>
      </w:r>
      <w:r>
        <w:rPr>
          <w:rFonts w:eastAsia="Times New Roman"/>
        </w:rPr>
        <w:t xml:space="preserve">avec celle </w:t>
      </w:r>
      <w:r w:rsidRPr="006D4265">
        <w:rPr>
          <w:rFonts w:eastAsia="Times New Roman"/>
        </w:rPr>
        <w:t xml:space="preserve">du prophète. D’autres ont donné une autre interprétation qui n’a rien à voir avec cet incident (Al-Qummī, </w:t>
      </w:r>
      <w:r w:rsidRPr="006D4265">
        <w:rPr>
          <w:rFonts w:eastAsia="Calibri"/>
        </w:rPr>
        <w:t>Ash-Shaʿrāwī</w:t>
      </w:r>
      <w:r w:rsidRPr="006D4265">
        <w:rPr>
          <w:rFonts w:eastAsia="Times New Roman"/>
        </w:rPr>
        <w:t xml:space="preserve"> et Shaykhū).</w:t>
      </w:r>
    </w:p>
    <w:p w14:paraId="4367AEDA" w14:textId="77777777" w:rsidR="00296288" w:rsidRPr="00C34B54" w:rsidRDefault="00296288" w:rsidP="00296288">
      <w:pPr>
        <w:spacing w:line="360" w:lineRule="auto"/>
        <w:ind w:firstLine="360"/>
        <w:jc w:val="both"/>
        <w:rPr>
          <w:rFonts w:eastAsia="Times New Roman"/>
        </w:rPr>
      </w:pPr>
    </w:p>
    <w:p w14:paraId="7BABC3CC" w14:textId="77777777" w:rsidR="00296288" w:rsidRPr="006D4265" w:rsidRDefault="00296288" w:rsidP="00296288">
      <w:pPr>
        <w:spacing w:line="360" w:lineRule="auto"/>
        <w:ind w:firstLine="360"/>
        <w:jc w:val="both"/>
        <w:rPr>
          <w:rFonts w:eastAsia="Times New Roman"/>
        </w:rPr>
      </w:pPr>
      <w:r w:rsidRPr="00C34B54">
        <w:rPr>
          <w:rFonts w:eastAsia="Times New Roman"/>
        </w:rPr>
        <w:t>Ainsi, nous pouvons dire que le verset 52 ne voudrait rien dire sans les interprétations que les exégètes en donnent. Et c’est d’après les exégèses que nous comprenons de ce verset au moins deux messages complètements différents : 1-la préservation ou la sauvegarde du Coran (le prophète ou Satan ont prononcé des paroles contraires à l’esprit du Coran, et Dieu a sauvegardé son message contre la falsification) ; 2-la victoire du calife</w:t>
      </w:r>
      <w:r w:rsidRPr="006D4265">
        <w:rPr>
          <w:rFonts w:eastAsia="Times New Roman"/>
        </w:rPr>
        <w:t xml:space="preserve"> ʿAlī (Dieu secourt ʿAlī contre les autres califes « hypocrites »).</w:t>
      </w:r>
    </w:p>
    <w:p w14:paraId="07836AD0" w14:textId="77777777" w:rsidR="00296288" w:rsidRPr="006D4265" w:rsidRDefault="00296288" w:rsidP="00296288">
      <w:pPr>
        <w:spacing w:line="360" w:lineRule="auto"/>
        <w:jc w:val="both"/>
        <w:rPr>
          <w:rFonts w:eastAsia="Times New Roman"/>
          <w:lang w:bidi="ar-EG"/>
        </w:rPr>
      </w:pPr>
    </w:p>
    <w:p w14:paraId="57A57139" w14:textId="77777777" w:rsidR="00296288" w:rsidRPr="006D4265" w:rsidRDefault="00296288" w:rsidP="00296288">
      <w:pPr>
        <w:spacing w:line="360" w:lineRule="auto"/>
        <w:jc w:val="both"/>
        <w:rPr>
          <w:rFonts w:asciiTheme="majorBidi" w:eastAsia="Times New Roman" w:hAnsiTheme="majorBidi" w:cstheme="majorBidi"/>
          <w:b/>
          <w:bCs/>
        </w:rPr>
      </w:pPr>
      <w:r w:rsidRPr="006D4265">
        <w:rPr>
          <w:rFonts w:asciiTheme="majorBidi" w:eastAsia="Times New Roman" w:hAnsiTheme="majorBidi" w:cstheme="majorBidi"/>
          <w:b/>
          <w:bCs/>
        </w:rPr>
        <w:t xml:space="preserve">Le concept du </w:t>
      </w:r>
      <w:r w:rsidRPr="006D4265">
        <w:rPr>
          <w:rFonts w:asciiTheme="majorBidi" w:eastAsia="Times New Roman" w:hAnsiTheme="majorBidi" w:cstheme="majorBidi"/>
          <w:b/>
          <w:bCs/>
          <w:i/>
          <w:iCs/>
        </w:rPr>
        <w:t>naskh</w:t>
      </w:r>
      <w:r w:rsidRPr="006D4265">
        <w:rPr>
          <w:rFonts w:asciiTheme="majorBidi" w:eastAsia="Times New Roman" w:hAnsiTheme="majorBidi" w:cstheme="majorBidi"/>
          <w:b/>
          <w:bCs/>
        </w:rPr>
        <w:t xml:space="preserve"> (l’abrogation)</w:t>
      </w:r>
    </w:p>
    <w:p w14:paraId="00F57260" w14:textId="77777777" w:rsidR="00296288" w:rsidRPr="006D4265" w:rsidRDefault="00296288" w:rsidP="00296288">
      <w:pPr>
        <w:spacing w:line="360" w:lineRule="auto"/>
        <w:jc w:val="both"/>
        <w:rPr>
          <w:rFonts w:asciiTheme="majorBidi" w:eastAsia="Times New Roman" w:hAnsiTheme="majorBidi" w:cstheme="majorBidi"/>
        </w:rPr>
      </w:pPr>
      <w:r w:rsidRPr="006D4265">
        <w:rPr>
          <w:rFonts w:asciiTheme="majorBidi" w:eastAsia="Times New Roman" w:hAnsiTheme="majorBidi" w:cstheme="majorBidi"/>
          <w:b/>
          <w:bCs/>
        </w:rPr>
        <w:t>Significations de la phrase « </w:t>
      </w:r>
      <w:r>
        <w:rPr>
          <w:rFonts w:asciiTheme="majorBidi" w:eastAsia="Times New Roman" w:hAnsiTheme="majorBidi" w:cstheme="majorBidi" w:hint="cs"/>
          <w:b/>
          <w:bCs/>
          <w:rtl/>
        </w:rPr>
        <w:t>فينسخُ اللهُ ما يُلقي الشيطانُ</w:t>
      </w:r>
      <w:r w:rsidRPr="006D4265">
        <w:rPr>
          <w:rFonts w:asciiTheme="majorBidi" w:eastAsia="Times New Roman" w:hAnsiTheme="majorBidi" w:cstheme="majorBidi"/>
          <w:b/>
          <w:bCs/>
          <w:i/>
          <w:iCs/>
        </w:rPr>
        <w:t> </w:t>
      </w:r>
      <w:r w:rsidRPr="006D4265">
        <w:rPr>
          <w:rFonts w:asciiTheme="majorBidi" w:eastAsia="Times New Roman" w:hAnsiTheme="majorBidi" w:cstheme="majorBidi"/>
          <w:b/>
          <w:bCs/>
        </w:rPr>
        <w:t>» (v. 52) :</w:t>
      </w:r>
    </w:p>
    <w:p w14:paraId="6331781B" w14:textId="77777777" w:rsidR="00296288" w:rsidRPr="006D4265" w:rsidRDefault="00296288" w:rsidP="00296288">
      <w:pPr>
        <w:spacing w:line="360" w:lineRule="auto"/>
        <w:ind w:firstLine="708"/>
        <w:jc w:val="both"/>
        <w:rPr>
          <w:rFonts w:eastAsia="Times New Roman"/>
          <w:lang w:bidi="ar-KW"/>
        </w:rPr>
      </w:pPr>
      <w:r w:rsidRPr="006D4265">
        <w:rPr>
          <w:rFonts w:eastAsia="Times New Roman"/>
        </w:rPr>
        <w:t xml:space="preserve">Le verset 52 est l’un des </w:t>
      </w:r>
      <w:r w:rsidRPr="00327143">
        <w:rPr>
          <w:rFonts w:eastAsia="Times New Roman"/>
        </w:rPr>
        <w:t>versets (avec II, 106 ; XIII, 39 </w:t>
      </w:r>
      <w:r w:rsidRPr="006D4265">
        <w:rPr>
          <w:rFonts w:eastAsia="Times New Roman"/>
        </w:rPr>
        <w:t>; XVI, 101 ; XXII, 52) à l’origine du concept de l’abrogation (</w:t>
      </w:r>
      <w:r w:rsidRPr="006D4265">
        <w:rPr>
          <w:rFonts w:eastAsia="Times New Roman"/>
          <w:i/>
          <w:iCs/>
        </w:rPr>
        <w:t>an-naskh</w:t>
      </w:r>
      <w:r w:rsidRPr="006D4265">
        <w:rPr>
          <w:rFonts w:eastAsia="Times New Roman"/>
        </w:rPr>
        <w:t>), une règle fondamentale pour la compréhension du Coran en particulier et de l’islam en général. Il s’agit des versets abrogeants et des versets abrogés (</w:t>
      </w:r>
      <w:r w:rsidRPr="006D4265">
        <w:rPr>
          <w:rFonts w:eastAsia="Times New Roman"/>
          <w:i/>
          <w:iCs/>
        </w:rPr>
        <w:t>an-nāsikh</w:t>
      </w:r>
      <w:r>
        <w:rPr>
          <w:rFonts w:eastAsia="Times New Roman"/>
          <w:i/>
          <w:iCs/>
        </w:rPr>
        <w:t xml:space="preserve"> wa-</w:t>
      </w:r>
      <w:r w:rsidRPr="006D4265">
        <w:rPr>
          <w:rFonts w:eastAsia="Times New Roman"/>
          <w:i/>
          <w:iCs/>
        </w:rPr>
        <w:t>l-mansūkh</w:t>
      </w:r>
      <w:r w:rsidRPr="006D4265">
        <w:rPr>
          <w:rFonts w:eastAsia="Times New Roman"/>
        </w:rPr>
        <w:t>). Le verset 67 de la même sourate Al-Ḥajj consolide et justifie l’idée de l’abrogation (</w:t>
      </w:r>
      <w:r w:rsidRPr="006D4265">
        <w:rPr>
          <w:rFonts w:eastAsia="Times New Roman"/>
          <w:i/>
          <w:iCs/>
        </w:rPr>
        <w:t>li-kulli ummatin jaʿalnā mansakan</w:t>
      </w:r>
      <w:r w:rsidRPr="006D4265">
        <w:rPr>
          <w:rFonts w:eastAsia="Times New Roman"/>
        </w:rPr>
        <w:t xml:space="preserve"> [Pour chaque communauté Nous avons institué un rite (trad. de Ghédira)].</w:t>
      </w:r>
    </w:p>
    <w:p w14:paraId="7BD99C97" w14:textId="77777777" w:rsidR="00296288" w:rsidRPr="006D4265" w:rsidRDefault="00296288" w:rsidP="00296288">
      <w:pPr>
        <w:spacing w:line="360" w:lineRule="auto"/>
        <w:jc w:val="both"/>
        <w:rPr>
          <w:rFonts w:eastAsia="Times New Roman"/>
          <w:lang w:bidi="ar-KW"/>
        </w:rPr>
      </w:pPr>
    </w:p>
    <w:p w14:paraId="66595107" w14:textId="77777777" w:rsidR="00296288" w:rsidRPr="006D4265" w:rsidRDefault="00296288" w:rsidP="00296288">
      <w:pPr>
        <w:spacing w:line="360" w:lineRule="auto"/>
        <w:ind w:firstLine="708"/>
        <w:jc w:val="both"/>
        <w:rPr>
          <w:rFonts w:eastAsia="Times New Roman"/>
          <w:lang w:bidi="ar-KW"/>
        </w:rPr>
      </w:pPr>
      <w:r w:rsidRPr="006D4265">
        <w:rPr>
          <w:rFonts w:eastAsia="Times New Roman"/>
          <w:lang w:bidi="ar-KW"/>
        </w:rPr>
        <w:t>Les exégètes, comme Aṭ-Ṭabarī, Al-Baghawī, Ash-Shawkānī et les Jalālayn, affirment l’idée de l’abrogation qui consiste, selon Aṭ-Ṭabarī, à rendre le licite illicite et vice versa. Ainsi, l’abrogation s’applique seulement aux versets juridiques qui contiennent des lois et des règles (</w:t>
      </w:r>
      <w:r w:rsidRPr="006D4265">
        <w:rPr>
          <w:rFonts w:eastAsia="Times New Roman"/>
          <w:i/>
          <w:iCs/>
          <w:lang w:bidi="ar-KW"/>
        </w:rPr>
        <w:t>aḥkām</w:t>
      </w:r>
      <w:r w:rsidRPr="006D4265">
        <w:rPr>
          <w:rFonts w:eastAsia="Times New Roman"/>
          <w:lang w:bidi="ar-KW"/>
        </w:rPr>
        <w:t>) et non pas aux versets narratifs (« </w:t>
      </w:r>
      <w:r>
        <w:rPr>
          <w:rFonts w:eastAsia="Times New Roman" w:hint="cs"/>
          <w:rtl/>
          <w:lang w:bidi="ar-KW"/>
        </w:rPr>
        <w:t>النسخ يقع على الأحكام لا على الأخبار</w:t>
      </w:r>
      <w:r w:rsidRPr="006D4265">
        <w:rPr>
          <w:rFonts w:eastAsia="Times New Roman"/>
          <w:lang w:bidi="ar-KW"/>
        </w:rPr>
        <w:t> ».</w:t>
      </w:r>
    </w:p>
    <w:p w14:paraId="0B866345" w14:textId="77777777" w:rsidR="00296288" w:rsidRPr="006D4265" w:rsidRDefault="00296288" w:rsidP="00296288">
      <w:pPr>
        <w:spacing w:line="360" w:lineRule="auto"/>
        <w:ind w:firstLine="708"/>
        <w:jc w:val="both"/>
        <w:rPr>
          <w:rFonts w:eastAsia="Times New Roman"/>
          <w:lang w:bidi="ar-KW"/>
        </w:rPr>
      </w:pPr>
    </w:p>
    <w:p w14:paraId="3D9B0CDB" w14:textId="77777777" w:rsidR="00296288" w:rsidRPr="006D4265" w:rsidRDefault="00296288" w:rsidP="00296288">
      <w:pPr>
        <w:spacing w:line="360" w:lineRule="auto"/>
        <w:ind w:firstLine="708"/>
        <w:jc w:val="both"/>
        <w:rPr>
          <w:rFonts w:eastAsia="Times New Roman"/>
          <w:lang w:bidi="ar-KW"/>
        </w:rPr>
      </w:pPr>
      <w:r w:rsidRPr="006D4265">
        <w:rPr>
          <w:rFonts w:eastAsia="Times New Roman"/>
          <w:shd w:val="clear" w:color="auto" w:fill="FFFFFF"/>
        </w:rPr>
        <w:t>Dans son livre</w:t>
      </w:r>
      <w:bookmarkStart w:id="0" w:name="_ftnref1"/>
      <w:bookmarkEnd w:id="0"/>
      <w:r w:rsidRPr="006D4265">
        <w:rPr>
          <w:rFonts w:eastAsia="Times New Roman"/>
          <w:shd w:val="clear" w:color="auto" w:fill="FFFFFF"/>
        </w:rPr>
        <w:t xml:space="preserve"> </w:t>
      </w:r>
      <w:r w:rsidRPr="006D4265">
        <w:rPr>
          <w:rFonts w:eastAsia="Times New Roman"/>
          <w:i/>
          <w:iCs/>
        </w:rPr>
        <w:t>Soufi ou mufti ? Quel avenir pour l’islam ?</w:t>
      </w:r>
      <w:r w:rsidRPr="006D4265">
        <w:rPr>
          <w:rFonts w:eastAsia="Times New Roman"/>
          <w:shd w:val="clear" w:color="auto" w:fill="FFFFFF"/>
        </w:rPr>
        <w:t>, Anne-Marie Delcambre rappelle que le verset révélé en dernier abroge le verset révélé en premier.</w:t>
      </w:r>
      <w:r w:rsidRPr="006D4265">
        <w:rPr>
          <w:rFonts w:eastAsia="Times New Roman"/>
          <w:lang w:bidi="ar-KW"/>
        </w:rPr>
        <w:t xml:space="preserve"> </w:t>
      </w:r>
      <w:r w:rsidRPr="006D4265">
        <w:rPr>
          <w:rFonts w:eastAsia="Times New Roman"/>
          <w:shd w:val="clear" w:color="auto" w:fill="FFFFFF"/>
        </w:rPr>
        <w:t>L’abrogation s’applique dans le cas des versets contradictoires. Cette règle de l’abrogation a des conséquences pratiques. Par exemple, la consommation de l’alcool n’était pas interdite aux musulmans selon le verset XVI, 67 révélé à La Mecque pendant la période mecquoise (entre 610 et 622).</w:t>
      </w:r>
      <w:r w:rsidRPr="006D4265">
        <w:rPr>
          <w:rFonts w:eastAsia="Times New Roman"/>
        </w:rPr>
        <w:t> </w:t>
      </w:r>
      <w:r w:rsidRPr="006D4265">
        <w:rPr>
          <w:rFonts w:eastAsia="Times New Roman"/>
          <w:shd w:val="clear" w:color="auto" w:fill="FFFFFF"/>
        </w:rPr>
        <w:t>Mais ce même verset a été abrogé plus tard par le verset II, 219 révélé à Médine pendant la pério</w:t>
      </w:r>
      <w:r>
        <w:rPr>
          <w:rFonts w:eastAsia="Times New Roman"/>
          <w:shd w:val="clear" w:color="auto" w:fill="FFFFFF"/>
        </w:rPr>
        <w:t>de médinoise (entre 622 et 632), qu</w:t>
      </w:r>
      <w:r w:rsidRPr="006D4265">
        <w:rPr>
          <w:rFonts w:eastAsia="Times New Roman"/>
          <w:shd w:val="clear" w:color="auto" w:fill="FFFFFF"/>
        </w:rPr>
        <w:t xml:space="preserve">i a été abrogé à son tour par un autre verset médinois </w:t>
      </w:r>
      <w:r>
        <w:rPr>
          <w:rFonts w:eastAsia="Times New Roman"/>
          <w:shd w:val="clear" w:color="auto" w:fill="FFFFFF"/>
        </w:rPr>
        <w:t>(</w:t>
      </w:r>
      <w:r w:rsidRPr="006D4265">
        <w:rPr>
          <w:rFonts w:eastAsia="Times New Roman"/>
          <w:shd w:val="clear" w:color="auto" w:fill="FFFFFF"/>
        </w:rPr>
        <w:t>IV, 43</w:t>
      </w:r>
      <w:r>
        <w:rPr>
          <w:rFonts w:eastAsia="Times New Roman"/>
          <w:shd w:val="clear" w:color="auto" w:fill="FFFFFF"/>
        </w:rPr>
        <w:t>)</w:t>
      </w:r>
      <w:r w:rsidRPr="006D4265">
        <w:rPr>
          <w:rFonts w:eastAsia="Times New Roman"/>
          <w:shd w:val="clear" w:color="auto" w:fill="FFFFFF"/>
        </w:rPr>
        <w:t>.  Enfin, ce dernier a été abrogé par le verset V, 90 qui interdit catégoriquement la consommation de l’alcool. Ainsi, nous sommes devant une succession de versets qui s’abrogent les uns les autres, et c’est le dernier d’entre eux (chronologiquement) qui fait loi.</w:t>
      </w:r>
      <w:r w:rsidRPr="006D4265">
        <w:rPr>
          <w:rFonts w:eastAsia="Times New Roman"/>
          <w:vertAlign w:val="superscript"/>
          <w:lang w:bidi="ar-AE"/>
        </w:rPr>
        <w:footnoteReference w:id="366"/>
      </w:r>
      <w:bookmarkStart w:id="1" w:name="_ftnref2"/>
      <w:bookmarkEnd w:id="1"/>
    </w:p>
    <w:p w14:paraId="00490FA5" w14:textId="77777777" w:rsidR="00296288" w:rsidRPr="006D4265" w:rsidRDefault="00296288" w:rsidP="00296288">
      <w:pPr>
        <w:spacing w:line="360" w:lineRule="auto"/>
        <w:ind w:firstLine="708"/>
        <w:jc w:val="both"/>
        <w:rPr>
          <w:rFonts w:eastAsia="Times New Roman"/>
          <w:shd w:val="clear" w:color="auto" w:fill="FFFFFF"/>
        </w:rPr>
      </w:pPr>
    </w:p>
    <w:p w14:paraId="0DE9D781" w14:textId="77777777" w:rsidR="00296288" w:rsidRPr="006D4265" w:rsidRDefault="00296288" w:rsidP="00296288">
      <w:pPr>
        <w:spacing w:line="360" w:lineRule="auto"/>
        <w:ind w:firstLine="708"/>
        <w:jc w:val="both"/>
        <w:rPr>
          <w:rFonts w:eastAsia="Times New Roman"/>
          <w:shd w:val="clear" w:color="auto" w:fill="FFFFFF"/>
        </w:rPr>
      </w:pPr>
      <w:r w:rsidRPr="006D4265">
        <w:rPr>
          <w:rFonts w:eastAsia="Times New Roman"/>
          <w:shd w:val="clear" w:color="auto" w:fill="FFFFFF"/>
        </w:rPr>
        <w:t xml:space="preserve">Selon Al-Qurṭubī, Al-Jalālayn, Ash-Shawkānī, Al-Baghawī, Muqātil ibn Sulaymān, Ath-Thaʿlabī et d’autres, le verset </w:t>
      </w:r>
      <w:r w:rsidRPr="006D4265">
        <w:rPr>
          <w:rFonts w:eastAsia="Times New Roman"/>
          <w:i/>
          <w:iCs/>
          <w:shd w:val="clear" w:color="auto" w:fill="FFFFFF"/>
        </w:rPr>
        <w:t>mecquois</w:t>
      </w:r>
      <w:r w:rsidRPr="006D4265">
        <w:rPr>
          <w:rFonts w:eastAsia="Times New Roman"/>
          <w:shd w:val="clear" w:color="auto" w:fill="FFFFFF"/>
        </w:rPr>
        <w:t xml:space="preserve"> de « tolérance » (CIX, 6 : « </w:t>
      </w:r>
      <w:r>
        <w:rPr>
          <w:rFonts w:eastAsia="Times New Roman" w:hint="cs"/>
          <w:shd w:val="clear" w:color="auto" w:fill="FFFFFF"/>
          <w:rtl/>
        </w:rPr>
        <w:t>لكم دينُكم وليَ دينِ</w:t>
      </w:r>
      <w:r>
        <w:rPr>
          <w:rFonts w:eastAsia="Times New Roman"/>
          <w:shd w:val="clear" w:color="auto" w:fill="FFFFFF"/>
        </w:rPr>
        <w:t> » [</w:t>
      </w:r>
      <w:r w:rsidRPr="006D4265">
        <w:rPr>
          <w:rFonts w:eastAsia="Times New Roman"/>
          <w:shd w:val="clear" w:color="auto" w:fill="FFFFFF"/>
        </w:rPr>
        <w:t xml:space="preserve">À vous votre religion, et à </w:t>
      </w:r>
      <w:r>
        <w:rPr>
          <w:rFonts w:eastAsia="Times New Roman"/>
          <w:shd w:val="clear" w:color="auto" w:fill="FFFFFF"/>
        </w:rPr>
        <w:t>moi la mienne</w:t>
      </w:r>
      <w:r w:rsidRPr="006D4265">
        <w:rPr>
          <w:rFonts w:eastAsia="Times New Roman"/>
          <w:shd w:val="clear" w:color="auto" w:fill="FFFFFF"/>
        </w:rPr>
        <w:t xml:space="preserve">]) a été abrogé par le verset </w:t>
      </w:r>
      <w:r w:rsidRPr="006D4265">
        <w:rPr>
          <w:rFonts w:eastAsia="Times New Roman"/>
          <w:i/>
          <w:iCs/>
          <w:shd w:val="clear" w:color="auto" w:fill="FFFFFF"/>
        </w:rPr>
        <w:t>médinois</w:t>
      </w:r>
      <w:r>
        <w:rPr>
          <w:rFonts w:eastAsia="Times New Roman"/>
          <w:shd w:val="clear" w:color="auto" w:fill="FFFFFF"/>
        </w:rPr>
        <w:t xml:space="preserve"> </w:t>
      </w:r>
      <w:r w:rsidRPr="006D4265">
        <w:rPr>
          <w:rFonts w:eastAsia="Times New Roman"/>
          <w:shd w:val="clear" w:color="auto" w:fill="FFFFFF"/>
        </w:rPr>
        <w:t>du djihad (IX, 5 : « </w:t>
      </w:r>
      <w:r>
        <w:rPr>
          <w:rFonts w:eastAsia="Times New Roman" w:hint="cs"/>
          <w:shd w:val="clear" w:color="auto" w:fill="FFFFFF"/>
          <w:rtl/>
        </w:rPr>
        <w:t>فاقتلوا المشركين حيث وجدتموهم</w:t>
      </w:r>
      <w:r>
        <w:rPr>
          <w:rFonts w:eastAsia="Times New Roman"/>
          <w:shd w:val="clear" w:color="auto" w:fill="FFFFFF"/>
        </w:rPr>
        <w:t> » [T</w:t>
      </w:r>
      <w:r w:rsidRPr="006D4265">
        <w:rPr>
          <w:rFonts w:eastAsia="Times New Roman"/>
          <w:shd w:val="clear" w:color="auto" w:fill="FFFFFF"/>
        </w:rPr>
        <w:t>uez les polythéistes p</w:t>
      </w:r>
      <w:r>
        <w:rPr>
          <w:rFonts w:eastAsia="Times New Roman"/>
          <w:shd w:val="clear" w:color="auto" w:fill="FFFFFF"/>
        </w:rPr>
        <w:t>artout où vous les trouverez</w:t>
      </w:r>
      <w:r w:rsidRPr="006D4265">
        <w:rPr>
          <w:rFonts w:eastAsia="Times New Roman"/>
          <w:shd w:val="clear" w:color="auto" w:fill="FFFFFF"/>
        </w:rPr>
        <w:t>]).</w:t>
      </w:r>
      <w:r>
        <w:rPr>
          <w:rFonts w:eastAsia="Times New Roman"/>
          <w:shd w:val="clear" w:color="auto" w:fill="FFFFFF"/>
        </w:rPr>
        <w:t xml:space="preserve"> </w:t>
      </w:r>
      <w:r w:rsidRPr="006D4265">
        <w:rPr>
          <w:rFonts w:eastAsia="Times New Roman"/>
          <w:shd w:val="clear" w:color="auto" w:fill="FFFFFF"/>
        </w:rPr>
        <w:t xml:space="preserve">Mais la différence entre l’abrogation que désigne le verset 52 de la sourate Al-Ḥajj et </w:t>
      </w:r>
      <w:r>
        <w:rPr>
          <w:rFonts w:eastAsia="Times New Roman"/>
          <w:shd w:val="clear" w:color="auto" w:fill="FFFFFF"/>
        </w:rPr>
        <w:t>celle</w:t>
      </w:r>
      <w:r w:rsidRPr="006D4265">
        <w:rPr>
          <w:rFonts w:eastAsia="Times New Roman"/>
          <w:shd w:val="clear" w:color="auto" w:fill="FFFFFF"/>
        </w:rPr>
        <w:t xml:space="preserve"> que désignent d’autres versets réside dans la parole abrogée : le verset 52 souligne que Dieu abroge </w:t>
      </w:r>
      <w:r w:rsidRPr="006D4265">
        <w:rPr>
          <w:rFonts w:eastAsia="Times New Roman"/>
          <w:i/>
          <w:iCs/>
          <w:shd w:val="clear" w:color="auto" w:fill="FFFFFF"/>
        </w:rPr>
        <w:t>les projections de Satan</w:t>
      </w:r>
      <w:r>
        <w:rPr>
          <w:rFonts w:eastAsia="Times New Roman"/>
          <w:shd w:val="clear" w:color="auto" w:fill="FFFFFF"/>
        </w:rPr>
        <w:t xml:space="preserve">, alors que dans les </w:t>
      </w:r>
      <w:r w:rsidRPr="006D4265">
        <w:rPr>
          <w:rFonts w:eastAsia="Times New Roman"/>
          <w:shd w:val="clear" w:color="auto" w:fill="FFFFFF"/>
        </w:rPr>
        <w:t xml:space="preserve">autres </w:t>
      </w:r>
      <w:r>
        <w:rPr>
          <w:rFonts w:eastAsia="Times New Roman"/>
          <w:shd w:val="clear" w:color="auto" w:fill="FFFFFF"/>
        </w:rPr>
        <w:t>cas,</w:t>
      </w:r>
      <w:r w:rsidRPr="006D4265">
        <w:rPr>
          <w:rFonts w:eastAsia="Times New Roman"/>
          <w:shd w:val="clear" w:color="auto" w:fill="FFFFFF"/>
        </w:rPr>
        <w:t xml:space="preserve"> Dieu abroge </w:t>
      </w:r>
      <w:r w:rsidRPr="006D4265">
        <w:rPr>
          <w:rFonts w:eastAsia="Times New Roman"/>
          <w:i/>
          <w:iCs/>
          <w:shd w:val="clear" w:color="auto" w:fill="FFFFFF"/>
        </w:rPr>
        <w:t>Sa propre parole</w:t>
      </w:r>
      <w:r w:rsidRPr="006D4265">
        <w:rPr>
          <w:rFonts w:eastAsia="Times New Roman"/>
          <w:shd w:val="clear" w:color="auto" w:fill="FFFFFF"/>
        </w:rPr>
        <w:t xml:space="preserve"> pour la remplacer par d’autres versets meilleurs ou équivalents, selon le Coran (verset II, 106).</w:t>
      </w:r>
    </w:p>
    <w:p w14:paraId="5EFD29EF" w14:textId="77777777" w:rsidR="00296288" w:rsidRPr="006D4265" w:rsidRDefault="00296288" w:rsidP="00296288">
      <w:pPr>
        <w:spacing w:line="360" w:lineRule="auto"/>
        <w:ind w:firstLine="708"/>
        <w:jc w:val="both"/>
        <w:rPr>
          <w:rFonts w:eastAsia="Times New Roman"/>
          <w:shd w:val="clear" w:color="auto" w:fill="FFFFFF"/>
        </w:rPr>
      </w:pPr>
    </w:p>
    <w:p w14:paraId="313E9544" w14:textId="77777777" w:rsidR="00296288" w:rsidRPr="006D4265" w:rsidRDefault="00296288" w:rsidP="00296288">
      <w:pPr>
        <w:spacing w:line="360" w:lineRule="auto"/>
        <w:ind w:firstLine="708"/>
        <w:jc w:val="both"/>
        <w:rPr>
          <w:rFonts w:eastAsia="Times New Roman"/>
          <w:shd w:val="clear" w:color="auto" w:fill="FFFFFF"/>
          <w:rtl/>
        </w:rPr>
      </w:pPr>
      <w:r w:rsidRPr="006D4265">
        <w:rPr>
          <w:rFonts w:eastAsia="Times New Roman"/>
          <w:shd w:val="clear" w:color="auto" w:fill="FFFFFF"/>
        </w:rPr>
        <w:t>Nous rappelons qu’au moment où les exégètes sunnites et chiites affirment l’authenticité de l’abrogation dans le Coran, les ahmadis</w:t>
      </w:r>
      <w:r w:rsidRPr="006D4265">
        <w:rPr>
          <w:rFonts w:eastAsia="Calibri"/>
          <w:vertAlign w:val="superscript"/>
          <w:lang w:bidi="ar-AE"/>
        </w:rPr>
        <w:footnoteReference w:id="367"/>
      </w:r>
      <w:r w:rsidRPr="006D4265">
        <w:rPr>
          <w:rFonts w:eastAsia="Times New Roman"/>
          <w:shd w:val="clear" w:color="auto" w:fill="FFFFFF"/>
        </w:rPr>
        <w:t xml:space="preserve"> </w:t>
      </w:r>
      <w:r>
        <w:rPr>
          <w:rFonts w:eastAsia="Times New Roman"/>
          <w:shd w:val="clear" w:color="auto" w:fill="FFFFFF"/>
        </w:rPr>
        <w:t>récusent</w:t>
      </w:r>
      <w:r w:rsidRPr="006D4265">
        <w:rPr>
          <w:rFonts w:eastAsia="Times New Roman"/>
          <w:shd w:val="clear" w:color="auto" w:fill="FFFFFF"/>
        </w:rPr>
        <w:t xml:space="preserve"> ce concept, car ils considèrent que </w:t>
      </w:r>
      <w:r w:rsidRPr="006D4265">
        <w:rPr>
          <w:rFonts w:eastAsia="Times New Roman"/>
          <w:shd w:val="clear" w:color="auto" w:fill="FFFFFF"/>
        </w:rPr>
        <w:lastRenderedPageBreak/>
        <w:t xml:space="preserve">l’abrogation signifie qu’il existe une contradiction dans la parole de Dieu. Pour sortir de la contradiction apparente entre quelques versets coraniques, les ahmadis ont eu recours à l’interprétation alors que les sunnites et les chiites ont recouru à l’abrogation. En </w:t>
      </w:r>
      <w:r>
        <w:rPr>
          <w:rFonts w:eastAsia="Times New Roman"/>
          <w:shd w:val="clear" w:color="auto" w:fill="FFFFFF"/>
        </w:rPr>
        <w:t>outre</w:t>
      </w:r>
      <w:r w:rsidRPr="006D4265">
        <w:rPr>
          <w:rFonts w:eastAsia="Times New Roman"/>
          <w:shd w:val="clear" w:color="auto" w:fill="FFFFFF"/>
        </w:rPr>
        <w:t>,</w:t>
      </w:r>
      <w:r>
        <w:rPr>
          <w:rFonts w:eastAsia="Times New Roman"/>
          <w:shd w:val="clear" w:color="auto" w:fill="FFFFFF"/>
        </w:rPr>
        <w:t xml:space="preserve"> pour</w:t>
      </w:r>
      <w:r w:rsidRPr="006D4265">
        <w:rPr>
          <w:rFonts w:eastAsia="Times New Roman"/>
          <w:shd w:val="clear" w:color="auto" w:fill="FFFFFF"/>
        </w:rPr>
        <w:t xml:space="preserve"> les a</w:t>
      </w:r>
      <w:r>
        <w:rPr>
          <w:rFonts w:eastAsia="Times New Roman"/>
          <w:shd w:val="clear" w:color="auto" w:fill="FFFFFF"/>
        </w:rPr>
        <w:t>deptes de l’ahmadisme,</w:t>
      </w:r>
      <w:r w:rsidRPr="006D4265">
        <w:rPr>
          <w:rFonts w:eastAsia="Times New Roman"/>
          <w:shd w:val="clear" w:color="auto" w:fill="FFFFFF"/>
        </w:rPr>
        <w:t xml:space="preserve"> le co</w:t>
      </w:r>
      <w:r>
        <w:rPr>
          <w:rFonts w:eastAsia="Times New Roman"/>
          <w:shd w:val="clear" w:color="auto" w:fill="FFFFFF"/>
        </w:rPr>
        <w:t>ncept d</w:t>
      </w:r>
      <w:r w:rsidRPr="006D4265">
        <w:rPr>
          <w:rFonts w:eastAsia="Times New Roman"/>
          <w:shd w:val="clear" w:color="auto" w:fill="FFFFFF"/>
        </w:rPr>
        <w:t>’abrogation est contradictoire avec l’esprit même du Coran expliqué dans d’autres versets tels que : II, 2 (« </w:t>
      </w:r>
      <w:r>
        <w:rPr>
          <w:rFonts w:eastAsia="Times New Roman"/>
          <w:i/>
          <w:iCs/>
          <w:shd w:val="clear" w:color="auto" w:fill="FFFFFF"/>
        </w:rPr>
        <w:t>d</w:t>
      </w:r>
      <w:r w:rsidRPr="006D4265">
        <w:rPr>
          <w:rFonts w:eastAsia="Times New Roman"/>
          <w:i/>
          <w:iCs/>
          <w:shd w:val="clear" w:color="auto" w:fill="FFFFFF"/>
        </w:rPr>
        <w:t>hālika l-kitābu lā rayba fī</w:t>
      </w:r>
      <w:r>
        <w:rPr>
          <w:rFonts w:eastAsia="Times New Roman"/>
          <w:i/>
          <w:iCs/>
          <w:shd w:val="clear" w:color="auto" w:fill="FFFFFF"/>
        </w:rPr>
        <w:t>-</w:t>
      </w:r>
      <w:r w:rsidRPr="006D4265">
        <w:rPr>
          <w:rFonts w:eastAsia="Times New Roman"/>
          <w:i/>
          <w:iCs/>
          <w:shd w:val="clear" w:color="auto" w:fill="FFFFFF"/>
        </w:rPr>
        <w:t>hi</w:t>
      </w:r>
      <w:r>
        <w:rPr>
          <w:rFonts w:eastAsia="Times New Roman"/>
          <w:shd w:val="clear" w:color="auto" w:fill="FFFFFF"/>
        </w:rPr>
        <w:t> » [</w:t>
      </w:r>
      <w:r w:rsidRPr="006D4265">
        <w:rPr>
          <w:rFonts w:eastAsia="Times New Roman"/>
          <w:shd w:val="clear" w:color="auto" w:fill="FFFFFF"/>
        </w:rPr>
        <w:t>Voici le Livre</w:t>
      </w:r>
      <w:r>
        <w:rPr>
          <w:rFonts w:eastAsia="Times New Roman"/>
          <w:shd w:val="clear" w:color="auto" w:fill="FFFFFF"/>
        </w:rPr>
        <w:t xml:space="preserve"> qui n’est sujet à aucun doute</w:t>
      </w:r>
      <w:r w:rsidRPr="006D4265">
        <w:rPr>
          <w:rFonts w:eastAsia="Times New Roman"/>
          <w:shd w:val="clear" w:color="auto" w:fill="FFFFFF"/>
        </w:rPr>
        <w:t>]), VI, 34 («</w:t>
      </w:r>
      <w:r>
        <w:rPr>
          <w:rFonts w:eastAsia="Times New Roman"/>
          <w:shd w:val="clear" w:color="auto" w:fill="FFFFFF"/>
        </w:rPr>
        <w:t xml:space="preserve"> </w:t>
      </w:r>
      <w:r w:rsidRPr="008613B3">
        <w:rPr>
          <w:rFonts w:eastAsia="Times New Roman"/>
          <w:i/>
          <w:shd w:val="clear" w:color="auto" w:fill="FFFFFF"/>
        </w:rPr>
        <w:t>wa</w:t>
      </w:r>
      <w:r>
        <w:rPr>
          <w:rFonts w:eastAsia="Times New Roman"/>
          <w:shd w:val="clear" w:color="auto" w:fill="FFFFFF"/>
        </w:rPr>
        <w:t>-</w:t>
      </w:r>
      <w:r w:rsidRPr="006D4265">
        <w:rPr>
          <w:rFonts w:eastAsia="Times New Roman"/>
          <w:i/>
          <w:iCs/>
          <w:shd w:val="clear" w:color="auto" w:fill="FFFFFF"/>
        </w:rPr>
        <w:t>lā mubaddila li-kalimāti llāhi</w:t>
      </w:r>
      <w:r>
        <w:rPr>
          <w:rFonts w:eastAsia="Times New Roman"/>
          <w:shd w:val="clear" w:color="auto" w:fill="FFFFFF"/>
        </w:rPr>
        <w:t> » [</w:t>
      </w:r>
      <w:r w:rsidRPr="006D4265">
        <w:rPr>
          <w:rFonts w:eastAsia="Times New Roman"/>
          <w:shd w:val="clear" w:color="auto" w:fill="FFFFFF"/>
        </w:rPr>
        <w:t>rien ne peu</w:t>
      </w:r>
      <w:r>
        <w:rPr>
          <w:rFonts w:eastAsia="Times New Roman"/>
          <w:shd w:val="clear" w:color="auto" w:fill="FFFFFF"/>
        </w:rPr>
        <w:t>t modifier les paroles de Dieu</w:t>
      </w:r>
      <w:r w:rsidRPr="006D4265">
        <w:rPr>
          <w:rFonts w:eastAsia="Times New Roman"/>
          <w:shd w:val="clear" w:color="auto" w:fill="FFFFFF"/>
        </w:rPr>
        <w:t>]), X, 64 (« </w:t>
      </w:r>
      <w:r w:rsidRPr="006D4265">
        <w:rPr>
          <w:rFonts w:eastAsia="Times New Roman"/>
          <w:i/>
          <w:iCs/>
          <w:shd w:val="clear" w:color="auto" w:fill="FFFFFF"/>
        </w:rPr>
        <w:t>lā tabdīla li-kalimāti llāhi</w:t>
      </w:r>
      <w:r>
        <w:rPr>
          <w:rFonts w:eastAsia="Times New Roman"/>
          <w:shd w:val="clear" w:color="auto" w:fill="FFFFFF"/>
        </w:rPr>
        <w:t> » [</w:t>
      </w:r>
      <w:r w:rsidRPr="006D4265">
        <w:rPr>
          <w:rFonts w:eastAsia="Times New Roman"/>
          <w:shd w:val="clear" w:color="auto" w:fill="FFFFFF"/>
        </w:rPr>
        <w:t>les paroles de Dieu sont immuable</w:t>
      </w:r>
      <w:r>
        <w:rPr>
          <w:rFonts w:eastAsia="Times New Roman"/>
          <w:shd w:val="clear" w:color="auto" w:fill="FFFFFF"/>
        </w:rPr>
        <w:t>s</w:t>
      </w:r>
      <w:r w:rsidRPr="006D4265">
        <w:rPr>
          <w:rFonts w:eastAsia="Times New Roman"/>
          <w:shd w:val="clear" w:color="auto" w:fill="FFFFFF"/>
        </w:rPr>
        <w:t>]), XI, 1 (« </w:t>
      </w:r>
      <w:r>
        <w:rPr>
          <w:rFonts w:eastAsia="Times New Roman"/>
          <w:i/>
          <w:iCs/>
          <w:shd w:val="clear" w:color="auto" w:fill="FFFFFF"/>
        </w:rPr>
        <w:t xml:space="preserve">kitābun uḥkimat </w:t>
      </w:r>
      <w:r w:rsidRPr="006D4265">
        <w:rPr>
          <w:rFonts w:eastAsia="Times New Roman"/>
          <w:i/>
          <w:iCs/>
          <w:shd w:val="clear" w:color="auto" w:fill="FFFFFF"/>
        </w:rPr>
        <w:t>āyātu</w:t>
      </w:r>
      <w:r>
        <w:rPr>
          <w:rFonts w:eastAsia="Times New Roman"/>
          <w:i/>
          <w:iCs/>
          <w:shd w:val="clear" w:color="auto" w:fill="FFFFFF"/>
        </w:rPr>
        <w:t>-</w:t>
      </w:r>
      <w:r w:rsidRPr="006D4265">
        <w:rPr>
          <w:rFonts w:eastAsia="Times New Roman"/>
          <w:i/>
          <w:iCs/>
          <w:shd w:val="clear" w:color="auto" w:fill="FFFFFF"/>
        </w:rPr>
        <w:t>hu</w:t>
      </w:r>
      <w:r>
        <w:rPr>
          <w:rFonts w:eastAsia="Times New Roman"/>
          <w:shd w:val="clear" w:color="auto" w:fill="FFFFFF"/>
        </w:rPr>
        <w:t> » [</w:t>
      </w:r>
      <w:r w:rsidRPr="006D4265">
        <w:rPr>
          <w:rFonts w:eastAsia="Times New Roman"/>
          <w:shd w:val="clear" w:color="auto" w:fill="FFFFFF"/>
        </w:rPr>
        <w:t xml:space="preserve">un </w:t>
      </w:r>
      <w:r>
        <w:rPr>
          <w:rFonts w:eastAsia="Times New Roman"/>
          <w:shd w:val="clear" w:color="auto" w:fill="FFFFFF"/>
        </w:rPr>
        <w:t>Livre aux versets inaltérables</w:t>
      </w:r>
      <w:r w:rsidRPr="006D4265">
        <w:rPr>
          <w:rFonts w:eastAsia="Times New Roman"/>
          <w:shd w:val="clear" w:color="auto" w:fill="FFFFFF"/>
        </w:rPr>
        <w:t>]).</w:t>
      </w:r>
      <w:r w:rsidRPr="006D4265">
        <w:rPr>
          <w:rFonts w:eastAsia="Times New Roman"/>
          <w:vertAlign w:val="superscript"/>
          <w:lang w:bidi="ar-AE"/>
        </w:rPr>
        <w:footnoteReference w:id="368"/>
      </w:r>
    </w:p>
    <w:p w14:paraId="48F11CC8" w14:textId="77777777" w:rsidR="00296288" w:rsidRPr="006D4265" w:rsidRDefault="00296288" w:rsidP="00296288">
      <w:pPr>
        <w:spacing w:line="360" w:lineRule="auto"/>
        <w:jc w:val="both"/>
        <w:rPr>
          <w:rFonts w:eastAsia="Times New Roman"/>
          <w:shd w:val="clear" w:color="auto" w:fill="FFFFFF"/>
        </w:rPr>
      </w:pPr>
    </w:p>
    <w:p w14:paraId="64E9FEA5" w14:textId="77777777" w:rsidR="00296288" w:rsidRPr="006D4265" w:rsidRDefault="00296288" w:rsidP="00296288">
      <w:pPr>
        <w:spacing w:line="360" w:lineRule="auto"/>
        <w:ind w:firstLine="708"/>
        <w:jc w:val="both"/>
        <w:rPr>
          <w:rFonts w:eastAsia="Times New Roman"/>
          <w:shd w:val="clear" w:color="auto" w:fill="FFFFFF"/>
        </w:rPr>
      </w:pPr>
      <w:r w:rsidRPr="006D4265">
        <w:rPr>
          <w:rFonts w:eastAsia="Times New Roman"/>
          <w:shd w:val="clear" w:color="auto" w:fill="FFFFFF"/>
        </w:rPr>
        <w:t>Il est également à noter que la doctrine druze abroge la loi islamique ainsi que les pi</w:t>
      </w:r>
      <w:r>
        <w:rPr>
          <w:rFonts w:eastAsia="Times New Roman"/>
          <w:shd w:val="clear" w:color="auto" w:fill="FFFFFF"/>
        </w:rPr>
        <w:t>liers de l’islam et reconnai</w:t>
      </w:r>
      <w:r w:rsidRPr="006D4265">
        <w:rPr>
          <w:rFonts w:eastAsia="Times New Roman"/>
          <w:shd w:val="clear" w:color="auto" w:fill="FFFFFF"/>
        </w:rPr>
        <w:t>t seulement quelques passages du Coran (et de la Bible) comme une révélation divine.</w:t>
      </w:r>
      <w:r w:rsidRPr="006D4265">
        <w:rPr>
          <w:rFonts w:eastAsia="Times New Roman"/>
          <w:vertAlign w:val="superscript"/>
          <w:lang w:bidi="ar-AE"/>
        </w:rPr>
        <w:footnoteReference w:id="369"/>
      </w:r>
    </w:p>
    <w:p w14:paraId="7FDADF8C" w14:textId="77777777" w:rsidR="00296288" w:rsidRPr="006D4265" w:rsidRDefault="00296288" w:rsidP="00296288">
      <w:pPr>
        <w:spacing w:line="360" w:lineRule="auto"/>
        <w:ind w:firstLine="360"/>
        <w:jc w:val="both"/>
        <w:rPr>
          <w:rFonts w:eastAsia="Times New Roman"/>
        </w:rPr>
      </w:pPr>
    </w:p>
    <w:p w14:paraId="0ABEF560" w14:textId="77777777" w:rsidR="00296288" w:rsidRPr="006D4265" w:rsidRDefault="00296288" w:rsidP="00296288">
      <w:pPr>
        <w:spacing w:line="360" w:lineRule="auto"/>
        <w:ind w:firstLine="360"/>
        <w:jc w:val="both"/>
        <w:rPr>
          <w:rFonts w:eastAsia="Times New Roman"/>
        </w:rPr>
      </w:pPr>
      <w:r w:rsidRPr="006D4265">
        <w:rPr>
          <w:rFonts w:eastAsia="Times New Roman"/>
        </w:rPr>
        <w:t>La séquence « </w:t>
      </w:r>
      <w:r w:rsidRPr="006D4265">
        <w:rPr>
          <w:rFonts w:eastAsia="Times New Roman"/>
          <w:i/>
          <w:iCs/>
        </w:rPr>
        <w:t>yansakhu llāhu mā yulqi sh-shayṭānu</w:t>
      </w:r>
      <w:r w:rsidRPr="006D4265">
        <w:rPr>
          <w:rFonts w:eastAsia="Times New Roman"/>
          <w:b/>
          <w:bCs/>
        </w:rPr>
        <w:t xml:space="preserve"> </w:t>
      </w:r>
      <w:r w:rsidRPr="006D4265">
        <w:rPr>
          <w:rFonts w:eastAsia="Times New Roman"/>
        </w:rPr>
        <w:t>[</w:t>
      </w:r>
      <w:r w:rsidRPr="006D4265">
        <w:rPr>
          <w:rFonts w:eastAsia="Times New Roman"/>
          <w:i/>
          <w:iCs/>
        </w:rPr>
        <w:t>litt.</w:t>
      </w:r>
      <w:r w:rsidRPr="006D4265">
        <w:rPr>
          <w:rFonts w:eastAsia="Times New Roman"/>
        </w:rPr>
        <w:t> : Dieu efface (ou écrit) ce que Satan jette] a été comprise par les exégètes comme suit :</w:t>
      </w:r>
    </w:p>
    <w:p w14:paraId="5AD80C8F" w14:textId="77777777" w:rsidR="00296288" w:rsidRPr="006D4265" w:rsidRDefault="00296288" w:rsidP="007640DC">
      <w:pPr>
        <w:numPr>
          <w:ilvl w:val="0"/>
          <w:numId w:val="77"/>
        </w:numPr>
        <w:spacing w:line="360" w:lineRule="auto"/>
        <w:jc w:val="both"/>
        <w:rPr>
          <w:rFonts w:eastAsia="Times New Roman"/>
        </w:rPr>
      </w:pPr>
      <w:r w:rsidRPr="006D4265">
        <w:rPr>
          <w:rFonts w:eastAsia="Times New Roman"/>
        </w:rPr>
        <w:t>Par ordre de Dieu, Gabriel efface ce que Satan a projeté ;</w:t>
      </w:r>
    </w:p>
    <w:p w14:paraId="2D66BBFE" w14:textId="77777777" w:rsidR="00296288" w:rsidRPr="006D4265" w:rsidRDefault="00296288" w:rsidP="007640DC">
      <w:pPr>
        <w:numPr>
          <w:ilvl w:val="0"/>
          <w:numId w:val="77"/>
        </w:numPr>
        <w:spacing w:line="360" w:lineRule="auto"/>
        <w:jc w:val="both"/>
        <w:rPr>
          <w:rFonts w:eastAsia="Times New Roman"/>
        </w:rPr>
      </w:pPr>
      <w:r w:rsidRPr="006D4265">
        <w:rPr>
          <w:rFonts w:eastAsia="Times New Roman"/>
        </w:rPr>
        <w:t>Dieu enlève la confusion ;</w:t>
      </w:r>
    </w:p>
    <w:p w14:paraId="5946C448" w14:textId="77777777" w:rsidR="00296288" w:rsidRPr="006D4265" w:rsidRDefault="00296288" w:rsidP="007640DC">
      <w:pPr>
        <w:numPr>
          <w:ilvl w:val="0"/>
          <w:numId w:val="77"/>
        </w:numPr>
        <w:spacing w:line="360" w:lineRule="auto"/>
        <w:jc w:val="both"/>
        <w:rPr>
          <w:rFonts w:eastAsia="Times New Roman"/>
        </w:rPr>
      </w:pPr>
      <w:r w:rsidRPr="006D4265">
        <w:rPr>
          <w:rFonts w:eastAsia="Times New Roman"/>
        </w:rPr>
        <w:t>Dieu rassure et tranquillise le prophète et annule la tentation de Satan ;</w:t>
      </w:r>
    </w:p>
    <w:p w14:paraId="0AE4E32A" w14:textId="77777777" w:rsidR="00296288" w:rsidRPr="006D4265" w:rsidRDefault="00296288" w:rsidP="007640DC">
      <w:pPr>
        <w:numPr>
          <w:ilvl w:val="0"/>
          <w:numId w:val="77"/>
        </w:numPr>
        <w:spacing w:line="360" w:lineRule="auto"/>
        <w:jc w:val="both"/>
        <w:rPr>
          <w:rFonts w:eastAsia="Times New Roman"/>
        </w:rPr>
      </w:pPr>
      <w:r w:rsidRPr="006D4265">
        <w:rPr>
          <w:rFonts w:eastAsia="Times New Roman"/>
        </w:rPr>
        <w:t>Dieu empêche Satan de réciter le Coran ;</w:t>
      </w:r>
    </w:p>
    <w:p w14:paraId="09EB700B" w14:textId="77777777" w:rsidR="00296288" w:rsidRPr="006D4265" w:rsidRDefault="00296288" w:rsidP="007640DC">
      <w:pPr>
        <w:numPr>
          <w:ilvl w:val="0"/>
          <w:numId w:val="77"/>
        </w:numPr>
        <w:spacing w:line="360" w:lineRule="auto"/>
        <w:jc w:val="both"/>
        <w:rPr>
          <w:rFonts w:eastAsia="Times New Roman"/>
        </w:rPr>
      </w:pPr>
      <w:r w:rsidRPr="006D4265">
        <w:rPr>
          <w:rFonts w:eastAsia="Times New Roman"/>
        </w:rPr>
        <w:lastRenderedPageBreak/>
        <w:t>Dieu écrit à son messager Muḥammad ce que Satan a projeté dans le cœur de la personne que le prophète Muḥammad souhaitait guider. En d’autres termes, Dieu montre au prophète une copie des projections de Satan (Shaykhū) ;</w:t>
      </w:r>
    </w:p>
    <w:p w14:paraId="283608CD" w14:textId="77777777" w:rsidR="00296288" w:rsidRPr="006D4265" w:rsidRDefault="00296288" w:rsidP="007640DC">
      <w:pPr>
        <w:numPr>
          <w:ilvl w:val="0"/>
          <w:numId w:val="77"/>
        </w:numPr>
        <w:spacing w:line="360" w:lineRule="auto"/>
        <w:jc w:val="both"/>
        <w:rPr>
          <w:rFonts w:eastAsia="Times New Roman"/>
        </w:rPr>
      </w:pPr>
      <w:r w:rsidRPr="006D4265">
        <w:rPr>
          <w:rFonts w:eastAsia="Times New Roman"/>
        </w:rPr>
        <w:t>Dieu abroge ce que les deux hommes hypocrites (deux califes) ont apporté au prophète à travers l’arrivée du calife ʿAlī (Al-Qummī).</w:t>
      </w:r>
    </w:p>
    <w:p w14:paraId="3BFC59CB" w14:textId="77777777" w:rsidR="00296288" w:rsidRPr="006D4265" w:rsidRDefault="00296288" w:rsidP="00296288">
      <w:pPr>
        <w:spacing w:line="360" w:lineRule="auto"/>
        <w:jc w:val="both"/>
        <w:rPr>
          <w:rFonts w:eastAsia="Times New Roman"/>
        </w:rPr>
      </w:pPr>
    </w:p>
    <w:p w14:paraId="5B0D98DC" w14:textId="77777777" w:rsidR="00296288" w:rsidRPr="006D4265" w:rsidRDefault="00296288" w:rsidP="00296288">
      <w:pPr>
        <w:spacing w:line="360" w:lineRule="auto"/>
        <w:ind w:firstLine="360"/>
        <w:jc w:val="both"/>
        <w:rPr>
          <w:rFonts w:eastAsia="Times New Roman"/>
        </w:rPr>
      </w:pPr>
      <w:r w:rsidRPr="006D4265">
        <w:rPr>
          <w:rFonts w:eastAsia="Times New Roman"/>
        </w:rPr>
        <w:t>Quant à la phrase « </w:t>
      </w:r>
      <w:r>
        <w:rPr>
          <w:rFonts w:eastAsia="Times New Roman" w:hint="cs"/>
          <w:rtl/>
        </w:rPr>
        <w:t>يُحكِم اللهُ آياتِه</w:t>
      </w:r>
      <w:r w:rsidRPr="006D4265">
        <w:rPr>
          <w:rFonts w:eastAsia="Times New Roman"/>
        </w:rPr>
        <w:t> » (v. 52) [Dieu rend péremptoires Ses propres signes], elle a aussi plusieurs significations :</w:t>
      </w:r>
    </w:p>
    <w:p w14:paraId="33AE2124" w14:textId="77777777" w:rsidR="00296288" w:rsidRPr="006D4265" w:rsidRDefault="00296288" w:rsidP="007640DC">
      <w:pPr>
        <w:numPr>
          <w:ilvl w:val="0"/>
          <w:numId w:val="78"/>
        </w:numPr>
        <w:spacing w:line="360" w:lineRule="auto"/>
        <w:jc w:val="both"/>
        <w:rPr>
          <w:rFonts w:eastAsia="Times New Roman"/>
        </w:rPr>
      </w:pPr>
      <w:r w:rsidRPr="006D4265">
        <w:rPr>
          <w:rFonts w:eastAsia="Times New Roman"/>
        </w:rPr>
        <w:t>Dieu épure les versets de Son Livre de toute erreur ;</w:t>
      </w:r>
    </w:p>
    <w:p w14:paraId="3A3A272A" w14:textId="77777777" w:rsidR="00296288" w:rsidRPr="006D4265" w:rsidRDefault="00296288" w:rsidP="007640DC">
      <w:pPr>
        <w:numPr>
          <w:ilvl w:val="0"/>
          <w:numId w:val="78"/>
        </w:numPr>
        <w:spacing w:line="360" w:lineRule="auto"/>
        <w:jc w:val="both"/>
        <w:rPr>
          <w:rFonts w:eastAsia="Times New Roman"/>
        </w:rPr>
      </w:pPr>
      <w:r w:rsidRPr="006D4265">
        <w:rPr>
          <w:rFonts w:eastAsia="Times New Roman"/>
        </w:rPr>
        <w:t>Dieu fixe les versets du Coran ;</w:t>
      </w:r>
    </w:p>
    <w:p w14:paraId="63FD3BDD" w14:textId="77777777" w:rsidR="00296288" w:rsidRPr="006D4265" w:rsidRDefault="00296288" w:rsidP="007640DC">
      <w:pPr>
        <w:numPr>
          <w:ilvl w:val="0"/>
          <w:numId w:val="78"/>
        </w:numPr>
        <w:spacing w:line="360" w:lineRule="auto"/>
        <w:jc w:val="both"/>
        <w:rPr>
          <w:rFonts w:eastAsia="Times New Roman"/>
        </w:rPr>
      </w:pPr>
      <w:r w:rsidRPr="006D4265">
        <w:rPr>
          <w:rFonts w:eastAsia="Times New Roman"/>
        </w:rPr>
        <w:t xml:space="preserve">Dieu rend décisifs les </w:t>
      </w:r>
      <w:r w:rsidRPr="006D4265">
        <w:rPr>
          <w:rFonts w:eastAsia="Times New Roman"/>
          <w:i/>
          <w:iCs/>
        </w:rPr>
        <w:t>aḥkām</w:t>
      </w:r>
      <w:r w:rsidRPr="006D4265">
        <w:rPr>
          <w:rFonts w:eastAsia="Times New Roman"/>
        </w:rPr>
        <w:t xml:space="preserve"> </w:t>
      </w:r>
      <w:r w:rsidRPr="006D4265">
        <w:rPr>
          <w:rFonts w:eastAsia="Calibri"/>
          <w:lang w:bidi="ar-AE"/>
        </w:rPr>
        <w:t xml:space="preserve">(statuts juridiques) </w:t>
      </w:r>
      <w:r w:rsidRPr="006D4265">
        <w:rPr>
          <w:rFonts w:eastAsia="Times New Roman"/>
        </w:rPr>
        <w:t>dans lesquels il est interdit de se tromper ;</w:t>
      </w:r>
    </w:p>
    <w:p w14:paraId="04EE83AD" w14:textId="77777777" w:rsidR="00296288" w:rsidRPr="006D4265" w:rsidRDefault="00296288" w:rsidP="007640DC">
      <w:pPr>
        <w:numPr>
          <w:ilvl w:val="0"/>
          <w:numId w:val="78"/>
        </w:numPr>
        <w:spacing w:line="360" w:lineRule="auto"/>
        <w:jc w:val="both"/>
        <w:rPr>
          <w:rFonts w:eastAsia="Times New Roman"/>
        </w:rPr>
      </w:pPr>
      <w:r w:rsidRPr="006D4265">
        <w:rPr>
          <w:rFonts w:eastAsia="Times New Roman"/>
        </w:rPr>
        <w:t>Dieu montre au prophète Muḥammad par la logique la fausseté de ce que Satan a projeté. Dans ce sens, l’arrivée de Satan dans la vie du croyant est quelque chose de bien, car il montre au croyant son doute et son erreur et l’éveille de sa distraction (Shaykhū) ;</w:t>
      </w:r>
    </w:p>
    <w:p w14:paraId="4D3E3706" w14:textId="77777777" w:rsidR="00296288" w:rsidRPr="006D4265" w:rsidRDefault="00296288" w:rsidP="007640DC">
      <w:pPr>
        <w:numPr>
          <w:ilvl w:val="0"/>
          <w:numId w:val="78"/>
        </w:numPr>
        <w:spacing w:line="360" w:lineRule="auto"/>
        <w:jc w:val="both"/>
        <w:rPr>
          <w:rFonts w:eastAsia="Times New Roman"/>
        </w:rPr>
      </w:pPr>
      <w:r w:rsidRPr="006D4265">
        <w:rPr>
          <w:rFonts w:eastAsia="Times New Roman"/>
        </w:rPr>
        <w:t>Dieu secourt le commandeur des croyants ʿAlī et lui donne la victoire (Al-Qummī).</w:t>
      </w:r>
    </w:p>
    <w:p w14:paraId="66D1BD57" w14:textId="77777777" w:rsidR="00296288" w:rsidRPr="006D4265" w:rsidRDefault="00296288" w:rsidP="00296288">
      <w:pPr>
        <w:spacing w:line="360" w:lineRule="auto"/>
        <w:jc w:val="both"/>
        <w:rPr>
          <w:rFonts w:eastAsia="Times New Roman"/>
        </w:rPr>
      </w:pPr>
    </w:p>
    <w:p w14:paraId="17599C7B" w14:textId="77777777" w:rsidR="00296288" w:rsidRPr="008528FF" w:rsidRDefault="00296288" w:rsidP="00296288">
      <w:pPr>
        <w:spacing w:line="360" w:lineRule="auto"/>
        <w:ind w:firstLine="360"/>
        <w:jc w:val="both"/>
        <w:rPr>
          <w:rFonts w:eastAsia="Times New Roman"/>
        </w:rPr>
      </w:pPr>
      <w:r w:rsidRPr="006D4265">
        <w:rPr>
          <w:rFonts w:eastAsia="Times New Roman"/>
        </w:rPr>
        <w:t xml:space="preserve">Dans </w:t>
      </w:r>
      <w:r>
        <w:rPr>
          <w:rFonts w:eastAsia="Times New Roman"/>
        </w:rPr>
        <w:t>la seconde partie (composée de trois</w:t>
      </w:r>
      <w:r w:rsidRPr="006D4265">
        <w:rPr>
          <w:rFonts w:eastAsia="Times New Roman"/>
        </w:rPr>
        <w:t xml:space="preserve"> propositions coordonnées) du verset 52, le terme </w:t>
      </w:r>
      <w:r w:rsidRPr="006D4265">
        <w:rPr>
          <w:rFonts w:eastAsia="Times New Roman"/>
          <w:i/>
          <w:iCs/>
        </w:rPr>
        <w:t>Allāh</w:t>
      </w:r>
      <w:r w:rsidRPr="006D4265">
        <w:rPr>
          <w:rFonts w:eastAsia="Times New Roman"/>
        </w:rPr>
        <w:t xml:space="preserve"> est répété trois fois : « </w:t>
      </w:r>
      <w:r>
        <w:rPr>
          <w:rFonts w:eastAsia="Times New Roman" w:hint="cs"/>
          <w:rtl/>
        </w:rPr>
        <w:t>ف</w:t>
      </w:r>
      <w:r w:rsidRPr="003B0A1F">
        <w:rPr>
          <w:rFonts w:eastAsia="Times New Roman" w:hint="cs"/>
          <w:rtl/>
        </w:rPr>
        <w:t>يَنسَخُ</w:t>
      </w:r>
      <w:r w:rsidRPr="003B0A1F">
        <w:rPr>
          <w:rFonts w:eastAsia="Times New Roman"/>
          <w:rtl/>
        </w:rPr>
        <w:t xml:space="preserve"> </w:t>
      </w:r>
      <w:r w:rsidRPr="003B0A1F">
        <w:rPr>
          <w:rFonts w:eastAsia="Times New Roman" w:hint="cs"/>
          <w:b/>
          <w:bCs/>
          <w:rtl/>
        </w:rPr>
        <w:t>اللَّهُ</w:t>
      </w:r>
      <w:r w:rsidRPr="003B0A1F">
        <w:rPr>
          <w:rFonts w:eastAsia="Times New Roman"/>
          <w:b/>
          <w:bCs/>
          <w:rtl/>
        </w:rPr>
        <w:t xml:space="preserve"> </w:t>
      </w:r>
      <w:r w:rsidRPr="003B0A1F">
        <w:rPr>
          <w:rFonts w:eastAsia="Times New Roman" w:hint="cs"/>
          <w:rtl/>
        </w:rPr>
        <w:t>مَا</w:t>
      </w:r>
      <w:r w:rsidRPr="003B0A1F">
        <w:rPr>
          <w:rFonts w:eastAsia="Times New Roman"/>
          <w:rtl/>
        </w:rPr>
        <w:t xml:space="preserve"> </w:t>
      </w:r>
      <w:r w:rsidRPr="003B0A1F">
        <w:rPr>
          <w:rFonts w:eastAsia="Times New Roman" w:hint="cs"/>
          <w:rtl/>
        </w:rPr>
        <w:t>يُلْقِي</w:t>
      </w:r>
      <w:r w:rsidRPr="003B0A1F">
        <w:rPr>
          <w:rFonts w:eastAsia="Times New Roman"/>
          <w:rtl/>
        </w:rPr>
        <w:t xml:space="preserve"> </w:t>
      </w:r>
      <w:r w:rsidRPr="003B0A1F">
        <w:rPr>
          <w:rFonts w:eastAsia="Times New Roman" w:hint="cs"/>
          <w:rtl/>
        </w:rPr>
        <w:t>الشَّيْطَانُ</w:t>
      </w:r>
      <w:r w:rsidRPr="003B0A1F">
        <w:rPr>
          <w:rFonts w:eastAsia="Times New Roman"/>
          <w:rtl/>
        </w:rPr>
        <w:t xml:space="preserve"> </w:t>
      </w:r>
      <w:r w:rsidRPr="003B0A1F">
        <w:rPr>
          <w:rFonts w:eastAsia="Times New Roman" w:hint="cs"/>
          <w:rtl/>
        </w:rPr>
        <w:t>ثُمَّ</w:t>
      </w:r>
      <w:r w:rsidRPr="003B0A1F">
        <w:rPr>
          <w:rFonts w:eastAsia="Times New Roman"/>
          <w:rtl/>
        </w:rPr>
        <w:t xml:space="preserve"> </w:t>
      </w:r>
      <w:r w:rsidRPr="003B0A1F">
        <w:rPr>
          <w:rFonts w:eastAsia="Times New Roman" w:hint="cs"/>
          <w:rtl/>
        </w:rPr>
        <w:t>يُحْكِمُ</w:t>
      </w:r>
      <w:r w:rsidRPr="003B0A1F">
        <w:rPr>
          <w:rFonts w:eastAsia="Times New Roman"/>
          <w:rtl/>
        </w:rPr>
        <w:t xml:space="preserve"> </w:t>
      </w:r>
      <w:r w:rsidRPr="003B0A1F">
        <w:rPr>
          <w:rFonts w:eastAsia="Times New Roman" w:hint="cs"/>
          <w:b/>
          <w:bCs/>
          <w:rtl/>
        </w:rPr>
        <w:t>اللَّهُ</w:t>
      </w:r>
      <w:r w:rsidRPr="003B0A1F">
        <w:rPr>
          <w:rFonts w:eastAsia="Times New Roman"/>
          <w:b/>
          <w:bCs/>
          <w:rtl/>
        </w:rPr>
        <w:t xml:space="preserve"> </w:t>
      </w:r>
      <w:r w:rsidRPr="003B0A1F">
        <w:rPr>
          <w:rFonts w:eastAsia="Times New Roman" w:hint="cs"/>
          <w:rtl/>
        </w:rPr>
        <w:t>آيَاتِهِ</w:t>
      </w:r>
      <w:r w:rsidRPr="003B0A1F">
        <w:rPr>
          <w:rFonts w:eastAsia="Times New Roman"/>
          <w:rtl/>
        </w:rPr>
        <w:t xml:space="preserve"> </w:t>
      </w:r>
      <w:r w:rsidRPr="003B0A1F">
        <w:rPr>
          <w:rFonts w:eastAsia="Times New Roman" w:hint="cs"/>
          <w:rtl/>
        </w:rPr>
        <w:t>وَ</w:t>
      </w:r>
      <w:r w:rsidRPr="003B0A1F">
        <w:rPr>
          <w:rFonts w:eastAsia="Times New Roman" w:hint="cs"/>
          <w:b/>
          <w:bCs/>
          <w:rtl/>
        </w:rPr>
        <w:t>اللَّهُ</w:t>
      </w:r>
      <w:r w:rsidRPr="003B0A1F">
        <w:rPr>
          <w:rFonts w:eastAsia="Times New Roman"/>
          <w:rtl/>
        </w:rPr>
        <w:t xml:space="preserve"> </w:t>
      </w:r>
      <w:r w:rsidRPr="003B0A1F">
        <w:rPr>
          <w:rFonts w:eastAsia="Times New Roman" w:hint="cs"/>
          <w:rtl/>
        </w:rPr>
        <w:t>عَلِيمٌ</w:t>
      </w:r>
      <w:r w:rsidRPr="003B0A1F">
        <w:rPr>
          <w:rFonts w:eastAsia="Times New Roman"/>
          <w:rtl/>
        </w:rPr>
        <w:t xml:space="preserve"> </w:t>
      </w:r>
      <w:r w:rsidRPr="003B0A1F">
        <w:rPr>
          <w:rFonts w:eastAsia="Times New Roman" w:hint="cs"/>
          <w:rtl/>
        </w:rPr>
        <w:t>حَكِيم</w:t>
      </w:r>
      <w:r w:rsidRPr="006D4265">
        <w:rPr>
          <w:rFonts w:eastAsia="Times New Roman"/>
        </w:rPr>
        <w:t xml:space="preserve"> ». Cette répétition semble être un défaut rhétorique, d’autant plus que le mot </w:t>
      </w:r>
      <w:r w:rsidRPr="008528FF">
        <w:rPr>
          <w:rFonts w:eastAsia="Times New Roman"/>
        </w:rPr>
        <w:t>répété pourrait être remplacé par un pronom (</w:t>
      </w:r>
      <w:r w:rsidRPr="008528FF">
        <w:rPr>
          <w:rFonts w:eastAsia="Times New Roman"/>
          <w:i/>
          <w:iCs/>
        </w:rPr>
        <w:t>huwa</w:t>
      </w:r>
      <w:r w:rsidRPr="008528FF">
        <w:rPr>
          <w:rFonts w:eastAsia="Times New Roman"/>
        </w:rPr>
        <w:t xml:space="preserve"> [il]) et qu’aucun besoin sémantique, rhétorique ou linguistique n’exige une telle répétition. Car l’une des caractéristiques de la rhétorique est la concision. Les rédacteurs ou les compilateurs du Coran savaient probablement que la répétition dont le Coran abonde est un défaut ; aussi, si elle a été conservée, c’est qu’elle doit avoir un objectif. Elle peut signifier que ce verset a été rassemblé à partir de plusieurs contextes et agencé de manière réfléchie. L’objectif de cette répétition serait alors de donner au verset un effet </w:t>
      </w:r>
      <w:r w:rsidRPr="008528FF">
        <w:rPr>
          <w:rFonts w:eastAsia="Calibri"/>
          <w:lang w:bidi="ar-AE"/>
        </w:rPr>
        <w:t xml:space="preserve">acoustique </w:t>
      </w:r>
      <w:r w:rsidRPr="008528FF">
        <w:rPr>
          <w:rFonts w:eastAsia="Times New Roman"/>
        </w:rPr>
        <w:t xml:space="preserve">et psalmodique pour insister sur </w:t>
      </w:r>
      <w:r w:rsidRPr="008528FF">
        <w:rPr>
          <w:rFonts w:eastAsia="Times New Roman"/>
          <w:i/>
          <w:iCs/>
        </w:rPr>
        <w:t>Allāh</w:t>
      </w:r>
      <w:r w:rsidRPr="008528FF">
        <w:rPr>
          <w:rFonts w:eastAsia="Times New Roman"/>
        </w:rPr>
        <w:t>, terme unificateur du Panthéon mecquois.</w:t>
      </w:r>
    </w:p>
    <w:p w14:paraId="63D4E769" w14:textId="77777777" w:rsidR="00296288" w:rsidRPr="006D4265" w:rsidRDefault="00296288" w:rsidP="00296288">
      <w:pPr>
        <w:spacing w:line="360" w:lineRule="auto"/>
        <w:jc w:val="both"/>
        <w:rPr>
          <w:rFonts w:eastAsia="Times New Roman"/>
          <w:color w:val="FF0000"/>
        </w:rPr>
      </w:pPr>
    </w:p>
    <w:p w14:paraId="79BE80FB" w14:textId="77777777" w:rsidR="00296288" w:rsidRPr="006D4265" w:rsidRDefault="00296288" w:rsidP="00296288">
      <w:pPr>
        <w:spacing w:line="360" w:lineRule="auto"/>
        <w:jc w:val="both"/>
        <w:rPr>
          <w:rFonts w:eastAsia="Times New Roman"/>
          <w:b/>
          <w:bCs/>
        </w:rPr>
      </w:pPr>
      <w:r w:rsidRPr="006D4265">
        <w:rPr>
          <w:rFonts w:eastAsia="Times New Roman"/>
          <w:b/>
          <w:bCs/>
        </w:rPr>
        <w:t>Significations de la phrase « </w:t>
      </w:r>
      <w:r w:rsidRPr="00D6061E">
        <w:rPr>
          <w:rFonts w:eastAsia="Times New Roman" w:hint="cs"/>
          <w:b/>
          <w:bCs/>
          <w:rtl/>
        </w:rPr>
        <w:t>إن الله لهادِ الذين آمَنوا</w:t>
      </w:r>
      <w:r w:rsidRPr="006D4265">
        <w:rPr>
          <w:rFonts w:eastAsia="Times New Roman"/>
          <w:b/>
          <w:bCs/>
        </w:rPr>
        <w:t> » (v. 54) :</w:t>
      </w:r>
    </w:p>
    <w:p w14:paraId="1C671539" w14:textId="77777777" w:rsidR="00296288" w:rsidRPr="006D4265" w:rsidRDefault="00296288" w:rsidP="00296288">
      <w:pPr>
        <w:spacing w:line="360" w:lineRule="auto"/>
        <w:ind w:firstLine="360"/>
        <w:jc w:val="both"/>
        <w:rPr>
          <w:rFonts w:eastAsia="Times New Roman"/>
        </w:rPr>
      </w:pPr>
      <w:r>
        <w:rPr>
          <w:rFonts w:eastAsia="Times New Roman"/>
        </w:rPr>
        <w:t>En utilisant les particules à</w:t>
      </w:r>
      <w:r w:rsidRPr="006D4265">
        <w:rPr>
          <w:rFonts w:eastAsia="Times New Roman"/>
        </w:rPr>
        <w:t xml:space="preserve"> valeur affirmative « </w:t>
      </w:r>
      <w:r w:rsidRPr="006D4265">
        <w:rPr>
          <w:rFonts w:eastAsia="Times New Roman"/>
          <w:i/>
          <w:iCs/>
        </w:rPr>
        <w:t>inna</w:t>
      </w:r>
      <w:r w:rsidRPr="006D4265">
        <w:rPr>
          <w:rFonts w:eastAsia="Times New Roman"/>
        </w:rPr>
        <w:t> » et « </w:t>
      </w:r>
      <w:r w:rsidRPr="006D4265">
        <w:rPr>
          <w:rFonts w:eastAsia="Times New Roman"/>
          <w:i/>
          <w:iCs/>
        </w:rPr>
        <w:t>la-</w:t>
      </w:r>
      <w:r w:rsidRPr="006D4265">
        <w:rPr>
          <w:rFonts w:eastAsia="Times New Roman"/>
        </w:rPr>
        <w:t> », le verset 54 affirme dans sa clausule que Dieu guide ceux qui croient sur la voie de rectitude (</w:t>
      </w:r>
      <w:r w:rsidRPr="00D6061E">
        <w:rPr>
          <w:rFonts w:eastAsia="Times New Roman" w:hint="cs"/>
          <w:b/>
          <w:bCs/>
          <w:rtl/>
        </w:rPr>
        <w:t>إن</w:t>
      </w:r>
      <w:r w:rsidRPr="00D6061E">
        <w:rPr>
          <w:rFonts w:eastAsia="Times New Roman" w:hint="cs"/>
          <w:rtl/>
        </w:rPr>
        <w:t xml:space="preserve"> الله</w:t>
      </w:r>
      <w:r w:rsidRPr="00D6061E">
        <w:rPr>
          <w:rFonts w:eastAsia="Times New Roman" w:hint="cs"/>
          <w:b/>
          <w:bCs/>
          <w:rtl/>
        </w:rPr>
        <w:t xml:space="preserve"> لـ</w:t>
      </w:r>
      <w:r>
        <w:rPr>
          <w:rFonts w:eastAsia="Times New Roman" w:hint="cs"/>
          <w:rtl/>
        </w:rPr>
        <w:t>ــ</w:t>
      </w:r>
      <w:r w:rsidRPr="00D6061E">
        <w:rPr>
          <w:rFonts w:eastAsia="Times New Roman" w:hint="cs"/>
          <w:rtl/>
        </w:rPr>
        <w:t>هادِ الذين آمَنوا</w:t>
      </w:r>
      <w:r>
        <w:rPr>
          <w:rFonts w:eastAsia="Times New Roman" w:hint="cs"/>
          <w:rtl/>
        </w:rPr>
        <w:t xml:space="preserve"> إلى صراطٍ </w:t>
      </w:r>
      <w:r>
        <w:rPr>
          <w:rFonts w:eastAsia="Times New Roman" w:hint="cs"/>
          <w:rtl/>
        </w:rPr>
        <w:lastRenderedPageBreak/>
        <w:t>مستقيم</w:t>
      </w:r>
      <w:r>
        <w:rPr>
          <w:rFonts w:eastAsia="Times New Roman"/>
        </w:rPr>
        <w:t>). Ce qui pose la question</w:t>
      </w:r>
      <w:r w:rsidRPr="006D4265">
        <w:rPr>
          <w:rFonts w:eastAsia="Times New Roman"/>
        </w:rPr>
        <w:t xml:space="preserve"> suivante : pourquoi Dieu guide</w:t>
      </w:r>
      <w:r>
        <w:rPr>
          <w:rFonts w:eastAsia="Times New Roman"/>
        </w:rPr>
        <w:t>-t-il</w:t>
      </w:r>
      <w:r w:rsidRPr="006D4265">
        <w:rPr>
          <w:rFonts w:eastAsia="Times New Roman"/>
        </w:rPr>
        <w:t xml:space="preserve"> les croyants qui sont censés</w:t>
      </w:r>
      <w:r>
        <w:rPr>
          <w:rFonts w:eastAsia="Times New Roman"/>
        </w:rPr>
        <w:t xml:space="preserve"> être</w:t>
      </w:r>
      <w:r w:rsidRPr="006D4265">
        <w:rPr>
          <w:rFonts w:eastAsia="Times New Roman"/>
        </w:rPr>
        <w:t xml:space="preserve"> déjà guidés ? En effet, des exégètes orthodoxes affirment le concept coranique qui se repose sur l’idée que Dieu égare l’incroyant et guide le croyant (contrairement au concept chrétien de la brebis égarée [le parabole du bon berger], </w:t>
      </w:r>
      <w:r>
        <w:rPr>
          <w:rFonts w:eastAsia="Times New Roman"/>
        </w:rPr>
        <w:t xml:space="preserve">et </w:t>
      </w:r>
      <w:r w:rsidRPr="006D4265">
        <w:rPr>
          <w:rFonts w:eastAsia="Times New Roman"/>
        </w:rPr>
        <w:t>bien que la tradition prophétique contienne un hadith qui fait allusion à cette parabole de Jésus</w:t>
      </w:r>
      <w:r w:rsidRPr="006D4265">
        <w:rPr>
          <w:rStyle w:val="Appelnotedebasdep"/>
          <w:rFonts w:eastAsia="Times New Roman"/>
        </w:rPr>
        <w:footnoteReference w:id="370"/>
      </w:r>
      <w:r w:rsidRPr="006D4265">
        <w:rPr>
          <w:rFonts w:eastAsia="Times New Roman"/>
        </w:rPr>
        <w:t>). Par exemple, le verset II, 264 affirme selon les exégètes que Dieu ne guide pas les non-croyants. Cependant, l’interprétation de Muḥammad Amīn Shaykhū contredise cette interprétation répandue et semble plus proche du libre arbitre. Selon lui, la volonté de Dieu dépend de celle de l’être humain, c’est-à-dire Dieu ne veut ni mettre le croyant au droit chemin ni jeter l’incroyant dans l’erreur. Dieu ne fait qu’exécuter l’intention de l’homme. Ainsi, celui qui veut la guidance sera guidé par Dieu et celui qui veut l’égarement sera égaré par Dieu.</w:t>
      </w:r>
      <w:r w:rsidRPr="006D4265">
        <w:rPr>
          <w:rFonts w:eastAsia="Times New Roman"/>
          <w:vertAlign w:val="superscript"/>
          <w:lang w:bidi="ar-AE"/>
        </w:rPr>
        <w:footnoteReference w:id="371"/>
      </w:r>
      <w:r w:rsidRPr="006D4265">
        <w:rPr>
          <w:rFonts w:eastAsia="Times New Roman"/>
        </w:rPr>
        <w:t xml:space="preserve"> La clausule du verset 54 a été interprétée comme suit :</w:t>
      </w:r>
    </w:p>
    <w:p w14:paraId="39A5DEE2" w14:textId="77777777" w:rsidR="00296288" w:rsidRPr="006D4265" w:rsidRDefault="00296288" w:rsidP="007640DC">
      <w:pPr>
        <w:numPr>
          <w:ilvl w:val="0"/>
          <w:numId w:val="79"/>
        </w:numPr>
        <w:spacing w:line="360" w:lineRule="auto"/>
        <w:jc w:val="both"/>
        <w:rPr>
          <w:rFonts w:eastAsia="Times New Roman"/>
        </w:rPr>
      </w:pPr>
      <w:r w:rsidRPr="006D4265">
        <w:rPr>
          <w:rFonts w:eastAsia="Times New Roman"/>
        </w:rPr>
        <w:t>Dieu guide les croyants dans ce bas monde et dans l’autre monde céleste ;</w:t>
      </w:r>
    </w:p>
    <w:p w14:paraId="2B646044" w14:textId="77777777" w:rsidR="00296288" w:rsidRPr="006D4265" w:rsidRDefault="00296288" w:rsidP="007640DC">
      <w:pPr>
        <w:numPr>
          <w:ilvl w:val="0"/>
          <w:numId w:val="79"/>
        </w:numPr>
        <w:spacing w:line="360" w:lineRule="auto"/>
        <w:jc w:val="both"/>
        <w:rPr>
          <w:rFonts w:eastAsia="Times New Roman"/>
        </w:rPr>
      </w:pPr>
      <w:r w:rsidRPr="006D4265">
        <w:rPr>
          <w:rFonts w:eastAsia="Times New Roman"/>
        </w:rPr>
        <w:t>Dieu inspire aux croyants l’interprétation juste des versets équivoques ;</w:t>
      </w:r>
    </w:p>
    <w:p w14:paraId="44CDD437" w14:textId="77777777" w:rsidR="00296288" w:rsidRPr="006D4265" w:rsidRDefault="00296288" w:rsidP="007640DC">
      <w:pPr>
        <w:numPr>
          <w:ilvl w:val="0"/>
          <w:numId w:val="79"/>
        </w:numPr>
        <w:spacing w:line="360" w:lineRule="auto"/>
        <w:jc w:val="both"/>
        <w:rPr>
          <w:rFonts w:eastAsia="Times New Roman"/>
        </w:rPr>
      </w:pPr>
      <w:r w:rsidRPr="006D4265">
        <w:rPr>
          <w:rFonts w:eastAsia="Times New Roman"/>
        </w:rPr>
        <w:t>Dieu maintient les croyants au droit chemin ;</w:t>
      </w:r>
    </w:p>
    <w:p w14:paraId="27530EB5" w14:textId="77777777" w:rsidR="00296288" w:rsidRPr="006D4265" w:rsidRDefault="00296288" w:rsidP="007640DC">
      <w:pPr>
        <w:numPr>
          <w:ilvl w:val="0"/>
          <w:numId w:val="79"/>
        </w:numPr>
        <w:spacing w:line="360" w:lineRule="auto"/>
        <w:jc w:val="both"/>
        <w:rPr>
          <w:rFonts w:eastAsia="Times New Roman"/>
        </w:rPr>
      </w:pPr>
      <w:r w:rsidRPr="006D4265">
        <w:rPr>
          <w:rFonts w:eastAsia="Times New Roman"/>
        </w:rPr>
        <w:t xml:space="preserve">Dieu </w:t>
      </w:r>
      <w:r w:rsidRPr="006D4265">
        <w:rPr>
          <w:rFonts w:eastAsia="Times New Roman"/>
          <w:i/>
          <w:iCs/>
        </w:rPr>
        <w:t>doit</w:t>
      </w:r>
      <w:r w:rsidRPr="006D4265">
        <w:rPr>
          <w:rFonts w:eastAsia="Times New Roman"/>
        </w:rPr>
        <w:t xml:space="preserve"> guider les croyants au chemin de la Vérité s’ils déjà ont choisi la guidance (Shaykhū).</w:t>
      </w:r>
    </w:p>
    <w:p w14:paraId="38680F98" w14:textId="77777777" w:rsidR="00296288" w:rsidRPr="006D4265" w:rsidRDefault="00296288" w:rsidP="00296288">
      <w:pPr>
        <w:spacing w:line="360" w:lineRule="auto"/>
        <w:jc w:val="both"/>
        <w:rPr>
          <w:rFonts w:eastAsia="Times New Roman"/>
        </w:rPr>
      </w:pPr>
    </w:p>
    <w:p w14:paraId="0B2B0BE5" w14:textId="77777777" w:rsidR="00296288" w:rsidRPr="006D4265" w:rsidRDefault="00296288" w:rsidP="00296288">
      <w:pPr>
        <w:spacing w:line="360" w:lineRule="auto"/>
        <w:jc w:val="both"/>
        <w:rPr>
          <w:rFonts w:asciiTheme="majorBidi" w:hAnsiTheme="majorBidi" w:cstheme="majorBidi"/>
          <w:b/>
          <w:bCs/>
        </w:rPr>
      </w:pPr>
      <w:r w:rsidRPr="006D4265">
        <w:rPr>
          <w:rFonts w:eastAsia="Times New Roman"/>
          <w:b/>
          <w:bCs/>
          <w:lang w:bidi="ar-AE"/>
        </w:rPr>
        <w:t>Significations de la phrase : « </w:t>
      </w:r>
      <w:r w:rsidRPr="00EF0A20">
        <w:rPr>
          <w:rFonts w:eastAsia="Times New Roman" w:hint="cs"/>
          <w:b/>
          <w:bCs/>
          <w:rtl/>
          <w:lang w:bidi="ar-AE"/>
        </w:rPr>
        <w:t>الم</w:t>
      </w:r>
      <w:r>
        <w:rPr>
          <w:rFonts w:eastAsia="Times New Roman" w:hint="cs"/>
          <w:b/>
          <w:bCs/>
          <w:rtl/>
          <w:lang w:bidi="ar-AE"/>
        </w:rPr>
        <w:t>ُ</w:t>
      </w:r>
      <w:r w:rsidRPr="00EF0A20">
        <w:rPr>
          <w:rFonts w:eastAsia="Times New Roman" w:hint="cs"/>
          <w:b/>
          <w:bCs/>
          <w:rtl/>
          <w:lang w:bidi="ar-AE"/>
        </w:rPr>
        <w:t>لك يومئذٍ لله</w:t>
      </w:r>
      <w:r w:rsidRPr="006D4265">
        <w:rPr>
          <w:rFonts w:eastAsia="Times New Roman"/>
          <w:b/>
          <w:bCs/>
          <w:lang w:bidi="ar-AE"/>
        </w:rPr>
        <w:t> » (v. 56) :</w:t>
      </w:r>
    </w:p>
    <w:p w14:paraId="0D740339" w14:textId="77777777" w:rsidR="00296288" w:rsidRPr="006D4265" w:rsidRDefault="00296288" w:rsidP="00296288">
      <w:pPr>
        <w:spacing w:line="360" w:lineRule="auto"/>
        <w:ind w:firstLine="360"/>
        <w:contextualSpacing/>
        <w:jc w:val="both"/>
        <w:rPr>
          <w:rFonts w:eastAsia="Times New Roman"/>
          <w:lang w:bidi="ar-AE"/>
        </w:rPr>
      </w:pPr>
      <w:r w:rsidRPr="006D4265">
        <w:rPr>
          <w:rFonts w:eastAsia="Times New Roman"/>
          <w:lang w:bidi="ar-AE"/>
        </w:rPr>
        <w:t>Dans le verset 56, la phrase nominale « </w:t>
      </w:r>
      <w:r w:rsidRPr="00EF0A20">
        <w:rPr>
          <w:rFonts w:eastAsia="Times New Roman" w:hint="cs"/>
          <w:rtl/>
          <w:lang w:bidi="ar-AE"/>
        </w:rPr>
        <w:t>الم</w:t>
      </w:r>
      <w:r>
        <w:rPr>
          <w:rFonts w:eastAsia="Times New Roman" w:hint="cs"/>
          <w:rtl/>
          <w:lang w:bidi="ar-AE"/>
        </w:rPr>
        <w:t>ُ</w:t>
      </w:r>
      <w:r w:rsidRPr="00EF0A20">
        <w:rPr>
          <w:rFonts w:eastAsia="Times New Roman" w:hint="cs"/>
          <w:rtl/>
          <w:lang w:bidi="ar-AE"/>
        </w:rPr>
        <w:t>لك</w:t>
      </w:r>
      <w:r>
        <w:rPr>
          <w:rFonts w:eastAsia="Times New Roman" w:hint="cs"/>
          <w:rtl/>
          <w:lang w:bidi="ar-AE"/>
        </w:rPr>
        <w:t>ُ</w:t>
      </w:r>
      <w:r w:rsidRPr="00EF0A20">
        <w:rPr>
          <w:rFonts w:eastAsia="Times New Roman" w:hint="cs"/>
          <w:rtl/>
          <w:lang w:bidi="ar-AE"/>
        </w:rPr>
        <w:t xml:space="preserve"> يومئذٍ لله</w:t>
      </w:r>
      <w:r w:rsidRPr="006D4265">
        <w:rPr>
          <w:rFonts w:eastAsia="Times New Roman"/>
          <w:lang w:bidi="ar-AE"/>
        </w:rPr>
        <w:t> » [La royauté, en ce Jour, à Dieu reviendra] peut faire allusion aux idées suivantes :</w:t>
      </w:r>
    </w:p>
    <w:p w14:paraId="36AC4992" w14:textId="77777777" w:rsidR="00296288" w:rsidRPr="006D4265" w:rsidRDefault="00296288" w:rsidP="007640DC">
      <w:pPr>
        <w:pStyle w:val="Paragraphedeliste"/>
        <w:numPr>
          <w:ilvl w:val="0"/>
          <w:numId w:val="9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L’Omnipotence, la Toute-puissance, la Souveraineté et la domination totale reviendront seulement à Dieu ;</w:t>
      </w:r>
    </w:p>
    <w:p w14:paraId="0A8F31CC" w14:textId="77777777" w:rsidR="00296288" w:rsidRPr="006D4265" w:rsidRDefault="00296288" w:rsidP="007640DC">
      <w:pPr>
        <w:pStyle w:val="Paragraphedeliste"/>
        <w:numPr>
          <w:ilvl w:val="0"/>
          <w:numId w:val="9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 xml:space="preserve">La </w:t>
      </w:r>
      <w:r w:rsidRPr="006D4265">
        <w:rPr>
          <w:rFonts w:ascii="Times New Roman" w:hAnsi="Times New Roman" w:cs="Times New Roman"/>
          <w:i/>
          <w:iCs/>
          <w:sz w:val="24"/>
          <w:szCs w:val="24"/>
          <w:lang w:eastAsia="fr-FR" w:bidi="ar-AE"/>
        </w:rPr>
        <w:t xml:space="preserve">mirya </w:t>
      </w:r>
      <w:r w:rsidRPr="006D4265">
        <w:rPr>
          <w:rFonts w:ascii="Times New Roman" w:hAnsi="Times New Roman" w:cs="Times New Roman"/>
          <w:sz w:val="24"/>
          <w:szCs w:val="24"/>
          <w:lang w:eastAsia="fr-FR" w:bidi="ar-AE"/>
        </w:rPr>
        <w:t>(doute) disparaîtra en ce Jour ;</w:t>
      </w:r>
    </w:p>
    <w:p w14:paraId="327604B9" w14:textId="77777777" w:rsidR="00296288" w:rsidRPr="006D4265" w:rsidRDefault="00296288" w:rsidP="007640DC">
      <w:pPr>
        <w:pStyle w:val="Paragraphedeliste"/>
        <w:numPr>
          <w:ilvl w:val="0"/>
          <w:numId w:val="9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L’être humain perdra à la mort toute sa liberté dont il jouit dans ce monde (Shaykhū) ;</w:t>
      </w:r>
    </w:p>
    <w:p w14:paraId="74A00E16" w14:textId="77777777" w:rsidR="00296288" w:rsidRPr="006D4265" w:rsidRDefault="00296288" w:rsidP="007640DC">
      <w:pPr>
        <w:pStyle w:val="Paragraphedeliste"/>
        <w:numPr>
          <w:ilvl w:val="0"/>
          <w:numId w:val="97"/>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lastRenderedPageBreak/>
        <w:t xml:space="preserve">la prophétie de cette phrase s’est réalisée le jour de la victoire de Muḥammad, le jour de la conquête de la Mecque par les musulmans en 630 </w:t>
      </w:r>
      <w:r w:rsidRPr="006D4265">
        <w:rPr>
          <w:rFonts w:ascii="Times New Roman" w:hAnsi="Times New Roman" w:cs="Times New Roman"/>
          <w:sz w:val="24"/>
          <w:szCs w:val="24"/>
        </w:rPr>
        <w:t>(exégèse ahmadie</w:t>
      </w:r>
      <w:r w:rsidRPr="006D4265">
        <w:rPr>
          <w:rFonts w:asciiTheme="majorBidi" w:hAnsiTheme="majorBidi" w:cstheme="majorBidi"/>
          <w:sz w:val="24"/>
          <w:szCs w:val="24"/>
          <w:vertAlign w:val="superscript"/>
          <w:lang w:bidi="ar-AE"/>
        </w:rPr>
        <w:footnoteReference w:id="372"/>
      </w:r>
      <w:r w:rsidRPr="006D4265">
        <w:rPr>
          <w:rFonts w:ascii="Times New Roman" w:hAnsi="Times New Roman" w:cs="Times New Roman"/>
          <w:sz w:val="24"/>
          <w:szCs w:val="24"/>
        </w:rPr>
        <w:t>).</w:t>
      </w:r>
      <w:r w:rsidRPr="006D4265">
        <w:rPr>
          <w:rFonts w:ascii="Times New Roman" w:hAnsi="Times New Roman" w:cs="Times New Roman"/>
          <w:sz w:val="24"/>
          <w:szCs w:val="24"/>
          <w:lang w:eastAsia="fr-FR" w:bidi="ar-AE"/>
        </w:rPr>
        <w:t xml:space="preserve"> </w:t>
      </w:r>
    </w:p>
    <w:p w14:paraId="3B495CE0" w14:textId="77777777" w:rsidR="00296288" w:rsidRPr="00EF0A20" w:rsidRDefault="00296288" w:rsidP="00296288">
      <w:pPr>
        <w:spacing w:line="360" w:lineRule="auto"/>
        <w:ind w:firstLine="360"/>
        <w:jc w:val="both"/>
        <w:rPr>
          <w:rFonts w:eastAsia="Times New Roman"/>
          <w:lang w:bidi="ar-AE"/>
        </w:rPr>
      </w:pPr>
    </w:p>
    <w:p w14:paraId="37B831E5" w14:textId="5990C8D8" w:rsidR="00296288" w:rsidRDefault="00296288" w:rsidP="00B637F8">
      <w:pPr>
        <w:spacing w:line="360" w:lineRule="auto"/>
        <w:ind w:firstLine="360"/>
        <w:jc w:val="both"/>
        <w:rPr>
          <w:rFonts w:eastAsia="Times New Roman"/>
          <w:lang w:bidi="ar-AE"/>
        </w:rPr>
      </w:pPr>
      <w:r w:rsidRPr="00EF0A20">
        <w:rPr>
          <w:rFonts w:eastAsia="Times New Roman"/>
          <w:lang w:bidi="ar-AE"/>
        </w:rPr>
        <w:t>Nous remarquons que cette simple phrase peut désigner plusieurs époques ou périodes très espacées : l’année 630 après J.-C., la période suivant la mort de chacun, ou le jour du Jugement Dernier. Elle peut également indiquer plusieurs concepts qui n’ont rien à voir l’un avec l’autre : la Souveraineté de Dieu, l’état de la certitude de l’homme après la mort, la perte de la liberté après la mort, la victoire du prophète Muḥammad.</w:t>
      </w:r>
    </w:p>
    <w:p w14:paraId="2275FA9C" w14:textId="77777777" w:rsidR="00B637F8" w:rsidRDefault="00B637F8" w:rsidP="00B637F8">
      <w:pPr>
        <w:spacing w:line="360" w:lineRule="auto"/>
        <w:ind w:firstLine="360"/>
        <w:jc w:val="both"/>
        <w:rPr>
          <w:rFonts w:eastAsia="Times New Roman"/>
          <w:lang w:bidi="ar-AE"/>
        </w:rPr>
      </w:pPr>
    </w:p>
    <w:p w14:paraId="231BFAFB" w14:textId="77777777" w:rsidR="00B637F8" w:rsidRPr="006D4265" w:rsidRDefault="00B637F8" w:rsidP="00B637F8">
      <w:pPr>
        <w:spacing w:line="360" w:lineRule="auto"/>
        <w:ind w:firstLine="360"/>
        <w:jc w:val="both"/>
        <w:rPr>
          <w:rFonts w:eastAsia="Times New Roman"/>
          <w:lang w:bidi="ar-AE"/>
        </w:rPr>
      </w:pPr>
    </w:p>
    <w:p w14:paraId="305EF82E" w14:textId="77777777" w:rsidR="00296288" w:rsidRPr="006D4265" w:rsidRDefault="00296288" w:rsidP="00296288">
      <w:pPr>
        <w:spacing w:line="360" w:lineRule="auto"/>
        <w:contextualSpacing/>
        <w:jc w:val="both"/>
        <w:rPr>
          <w:rFonts w:eastAsia="Times New Roman"/>
          <w:b/>
          <w:bCs/>
        </w:rPr>
      </w:pPr>
      <w:r w:rsidRPr="006D4265">
        <w:rPr>
          <w:rFonts w:eastAsia="Times New Roman"/>
          <w:b/>
          <w:bCs/>
          <w:lang w:bidi="ar-AE"/>
        </w:rPr>
        <w:t>Que désigne le groupe « </w:t>
      </w:r>
      <w:r>
        <w:rPr>
          <w:rFonts w:eastAsia="Times New Roman" w:hint="cs"/>
          <w:b/>
          <w:bCs/>
          <w:rtl/>
          <w:lang w:bidi="ar-AE"/>
        </w:rPr>
        <w:t>الذين كفروا وكذّبوا بآياتنا</w:t>
      </w:r>
      <w:r w:rsidRPr="006D4265">
        <w:rPr>
          <w:rFonts w:eastAsia="Times New Roman"/>
          <w:b/>
          <w:bCs/>
          <w:lang w:bidi="ar-AE"/>
        </w:rPr>
        <w:t> » (v. 57) </w:t>
      </w:r>
      <w:r w:rsidRPr="006D4265">
        <w:rPr>
          <w:rFonts w:eastAsia="Times New Roman"/>
          <w:b/>
          <w:bCs/>
        </w:rPr>
        <w:t>?</w:t>
      </w:r>
    </w:p>
    <w:p w14:paraId="4663DC52" w14:textId="77777777" w:rsidR="00296288" w:rsidRPr="006D4265" w:rsidRDefault="00296288" w:rsidP="00296288">
      <w:pPr>
        <w:spacing w:line="360" w:lineRule="auto"/>
        <w:ind w:firstLine="360"/>
        <w:contextualSpacing/>
        <w:jc w:val="both"/>
        <w:rPr>
          <w:rFonts w:eastAsia="Times New Roman"/>
          <w:lang w:bidi="ar-AE"/>
        </w:rPr>
      </w:pPr>
      <w:r w:rsidRPr="006D4265">
        <w:rPr>
          <w:rFonts w:eastAsia="Times New Roman"/>
          <w:lang w:bidi="ar-AE"/>
        </w:rPr>
        <w:t>Quant à la proposition relative « </w:t>
      </w:r>
      <w:r w:rsidRPr="00E2643C">
        <w:rPr>
          <w:rFonts w:eastAsia="Times New Roman" w:hint="cs"/>
          <w:rtl/>
          <w:lang w:bidi="ar-AE"/>
        </w:rPr>
        <w:t>الذين كفروا وكذّبوا بآياتنا</w:t>
      </w:r>
      <w:r w:rsidRPr="006D4265">
        <w:rPr>
          <w:rFonts w:eastAsia="Times New Roman"/>
          <w:lang w:bidi="ar-AE"/>
        </w:rPr>
        <w:t> » [</w:t>
      </w:r>
      <w:r>
        <w:rPr>
          <w:rFonts w:eastAsia="Times New Roman"/>
          <w:lang w:bidi="ar-AE"/>
        </w:rPr>
        <w:t>« </w:t>
      </w:r>
      <w:r w:rsidRPr="006D4265">
        <w:rPr>
          <w:rFonts w:eastAsia="Times New Roman"/>
          <w:lang w:bidi="ar-AE"/>
        </w:rPr>
        <w:t>les dénégateurs, ceux qui démentent Nos signes</w:t>
      </w:r>
      <w:r>
        <w:rPr>
          <w:rFonts w:eastAsia="Times New Roman"/>
          <w:lang w:bidi="ar-AE"/>
        </w:rPr>
        <w:t> »</w:t>
      </w:r>
      <w:r w:rsidRPr="006D4265">
        <w:rPr>
          <w:rFonts w:eastAsia="Times New Roman"/>
          <w:lang w:bidi="ar-AE"/>
        </w:rPr>
        <w:t xml:space="preserve">], dans le verset 57, elle </w:t>
      </w:r>
      <w:r>
        <w:rPr>
          <w:rFonts w:eastAsia="Times New Roman"/>
          <w:lang w:bidi="ar-AE"/>
        </w:rPr>
        <w:t>peut désigner non</w:t>
      </w:r>
      <w:r w:rsidRPr="006D4265">
        <w:rPr>
          <w:rFonts w:eastAsia="Times New Roman"/>
          <w:lang w:bidi="ar-AE"/>
        </w:rPr>
        <w:t xml:space="preserve"> seulement ceux qui ne croient pas en l’islam ou au Coran, mais </w:t>
      </w:r>
      <w:r>
        <w:rPr>
          <w:rFonts w:eastAsia="Times New Roman"/>
          <w:lang w:bidi="ar-AE"/>
        </w:rPr>
        <w:t>aussi</w:t>
      </w:r>
      <w:r w:rsidRPr="006D4265">
        <w:rPr>
          <w:rFonts w:eastAsia="Times New Roman"/>
          <w:lang w:bidi="ar-AE"/>
        </w:rPr>
        <w:t xml:space="preserve"> : a)-les puissants et les arrogants dans le monde de l’incroyance (</w:t>
      </w:r>
      <w:r w:rsidRPr="006D4265">
        <w:rPr>
          <w:rFonts w:eastAsia="Calibri"/>
        </w:rPr>
        <w:t>Ash-Shaʿrāwī) </w:t>
      </w:r>
      <w:r w:rsidRPr="006D4265">
        <w:rPr>
          <w:rFonts w:eastAsia="Times New Roman"/>
          <w:lang w:bidi="ar-AE"/>
        </w:rPr>
        <w:t xml:space="preserve">; b)-ceux qui n’ont pas réfléchi ni médité dans les signes de Dieu (Shaykhū) ; c)-ceux qui n’ont pas cru à la </w:t>
      </w:r>
      <w:r w:rsidRPr="006D4265">
        <w:rPr>
          <w:rFonts w:eastAsia="Times New Roman"/>
          <w:i/>
          <w:iCs/>
          <w:lang w:bidi="ar-AE"/>
        </w:rPr>
        <w:t>walāya</w:t>
      </w:r>
      <w:r w:rsidRPr="006D4265">
        <w:rPr>
          <w:rFonts w:eastAsia="Times New Roman"/>
          <w:lang w:bidi="ar-AE"/>
        </w:rPr>
        <w:t xml:space="preserve"> (l’autorité) du Commandeur des croyants ʿAlī et des autres imams (Al-Qummī) ; d)-les désobéissants et les obstinés </w:t>
      </w:r>
      <w:r w:rsidRPr="006D4265">
        <w:rPr>
          <w:rFonts w:eastAsia="Times New Roman"/>
          <w:lang w:bidi="ar-EG"/>
        </w:rPr>
        <w:t>(Aṭ-Ṭabāṭabāʾī)</w:t>
      </w:r>
      <w:r w:rsidRPr="006D4265">
        <w:rPr>
          <w:rFonts w:eastAsia="Times New Roman"/>
          <w:lang w:bidi="ar-AE"/>
        </w:rPr>
        <w:t xml:space="preserve">. </w:t>
      </w:r>
      <w:r w:rsidRPr="006D4265">
        <w:rPr>
          <w:rFonts w:eastAsia="Times New Roman"/>
        </w:rPr>
        <w:t>Les frontières de ce groupe semblent très flexibles. Il peut désigner un musulman en</w:t>
      </w:r>
      <w:r>
        <w:rPr>
          <w:rFonts w:eastAsia="Times New Roman"/>
        </w:rPr>
        <w:t xml:space="preserve"> général, un sunnite, ou un non </w:t>
      </w:r>
      <w:r w:rsidRPr="006D4265">
        <w:rPr>
          <w:rFonts w:eastAsia="Times New Roman"/>
        </w:rPr>
        <w:t xml:space="preserve">musulman.  </w:t>
      </w:r>
    </w:p>
    <w:p w14:paraId="000806F1" w14:textId="77777777" w:rsidR="00296288" w:rsidRPr="006D4265" w:rsidRDefault="00296288" w:rsidP="00296288">
      <w:pPr>
        <w:spacing w:line="360" w:lineRule="auto"/>
        <w:ind w:firstLine="360"/>
        <w:contextualSpacing/>
        <w:jc w:val="both"/>
        <w:rPr>
          <w:rFonts w:eastAsia="Times New Roman"/>
          <w:lang w:bidi="ar-AE"/>
        </w:rPr>
      </w:pPr>
    </w:p>
    <w:p w14:paraId="4EFEF429" w14:textId="77777777" w:rsidR="00296288" w:rsidRPr="006D4265" w:rsidRDefault="00296288" w:rsidP="00296288">
      <w:pPr>
        <w:spacing w:line="360" w:lineRule="auto"/>
        <w:ind w:firstLine="360"/>
        <w:contextualSpacing/>
        <w:jc w:val="both"/>
        <w:rPr>
          <w:rFonts w:eastAsia="Times New Roman"/>
          <w:lang w:bidi="ar-AE"/>
        </w:rPr>
      </w:pPr>
      <w:r w:rsidRPr="006D4265">
        <w:rPr>
          <w:rFonts w:eastAsia="Times New Roman"/>
          <w:lang w:bidi="ar-AE"/>
        </w:rPr>
        <w:t xml:space="preserve">Ainsi, selon l’exégèse chiite d’Al-Qummī, tous les sunnites (ou dans le meilleur des cas une écrasante majorité des sunnites) </w:t>
      </w:r>
      <w:r>
        <w:rPr>
          <w:rFonts w:eastAsia="Times New Roman"/>
          <w:lang w:bidi="ar-AE"/>
        </w:rPr>
        <w:t>seront</w:t>
      </w:r>
      <w:r w:rsidRPr="006D4265">
        <w:rPr>
          <w:rFonts w:eastAsia="Times New Roman"/>
          <w:lang w:bidi="ar-AE"/>
        </w:rPr>
        <w:t xml:space="preserve"> humiliés en subissant un châtiment avilissant. Par contre, selon M</w:t>
      </w:r>
      <w:r>
        <w:rPr>
          <w:rFonts w:eastAsia="Times New Roman"/>
          <w:lang w:bidi="ar-AE"/>
        </w:rPr>
        <w:t>. A.</w:t>
      </w:r>
      <w:r w:rsidRPr="006D4265">
        <w:rPr>
          <w:rFonts w:eastAsia="Times New Roman"/>
          <w:lang w:bidi="ar-AE"/>
        </w:rPr>
        <w:t xml:space="preserve"> Shaykhū, la majorité d</w:t>
      </w:r>
      <w:r>
        <w:rPr>
          <w:rFonts w:eastAsia="Times New Roman"/>
          <w:lang w:bidi="ar-AE"/>
        </w:rPr>
        <w:t>e l’humanité, étant donné qu’elle ne médite pas</w:t>
      </w:r>
      <w:r w:rsidRPr="006D4265">
        <w:rPr>
          <w:rFonts w:eastAsia="Times New Roman"/>
          <w:lang w:bidi="ar-AE"/>
        </w:rPr>
        <w:t xml:space="preserve"> les signes de Dieu, subir</w:t>
      </w:r>
      <w:r>
        <w:rPr>
          <w:rFonts w:eastAsia="Times New Roman"/>
          <w:lang w:bidi="ar-AE"/>
        </w:rPr>
        <w:t>a</w:t>
      </w:r>
      <w:r w:rsidRPr="006D4265">
        <w:rPr>
          <w:rFonts w:eastAsia="Times New Roman"/>
          <w:lang w:bidi="ar-AE"/>
        </w:rPr>
        <w:t xml:space="preserve"> la souffrance. L’autre interprétation chiite d’</w:t>
      </w:r>
      <w:r w:rsidRPr="006D4265">
        <w:rPr>
          <w:rFonts w:eastAsia="Times New Roman"/>
          <w:lang w:bidi="ar-EG"/>
        </w:rPr>
        <w:t>Aṭ-Ṭabāṭabāʾī</w:t>
      </w:r>
      <w:r w:rsidRPr="006D4265">
        <w:rPr>
          <w:rFonts w:eastAsia="Times New Roman"/>
          <w:lang w:bidi="ar-AE"/>
        </w:rPr>
        <w:t xml:space="preserve"> reste équivoque car elle ne nous précise pas à qui ou à quoi les désobéissants s’obstinent. On ne sait pas s’il vise les omeyyades ou plus généralement les sunnites du fait qu’ils </w:t>
      </w:r>
      <w:r>
        <w:rPr>
          <w:rFonts w:eastAsia="Times New Roman"/>
          <w:lang w:bidi="ar-AE"/>
        </w:rPr>
        <w:t>refusent</w:t>
      </w:r>
      <w:r w:rsidRPr="006D4265">
        <w:rPr>
          <w:rFonts w:eastAsia="Times New Roman"/>
          <w:lang w:bidi="ar-AE"/>
        </w:rPr>
        <w:t xml:space="preserve"> l’autorité politiq</w:t>
      </w:r>
      <w:r>
        <w:rPr>
          <w:rFonts w:eastAsia="Times New Roman"/>
          <w:lang w:bidi="ar-AE"/>
        </w:rPr>
        <w:t xml:space="preserve">ue et religieuse </w:t>
      </w:r>
      <w:r w:rsidRPr="005F299E">
        <w:rPr>
          <w:rFonts w:eastAsia="Times New Roman"/>
          <w:lang w:bidi="ar-AE"/>
        </w:rPr>
        <w:t xml:space="preserve">de ʿAlī et des douze imams qui lui ont succédé. Remarquons que la plupart des exégèses </w:t>
      </w:r>
      <w:r w:rsidRPr="005F299E">
        <w:rPr>
          <w:rFonts w:asciiTheme="majorBidi" w:eastAsia="Times New Roman" w:hAnsiTheme="majorBidi" w:cstheme="majorBidi"/>
          <w:lang w:bidi="ar-AE"/>
        </w:rPr>
        <w:t xml:space="preserve">s’appuient </w:t>
      </w:r>
      <w:r w:rsidRPr="005F299E">
        <w:rPr>
          <w:rFonts w:eastAsia="Times New Roman"/>
          <w:lang w:bidi="ar-AE"/>
        </w:rPr>
        <w:t>aussi bien</w:t>
      </w:r>
      <w:r w:rsidRPr="006D4265">
        <w:rPr>
          <w:rFonts w:eastAsia="Times New Roman"/>
          <w:lang w:bidi="ar-AE"/>
        </w:rPr>
        <w:t xml:space="preserve"> de la biographie officielle du prophète de l’islam que du conflit confessionnel entre sunnites et chiites ou entre musulmans et non-musulmans.</w:t>
      </w:r>
    </w:p>
    <w:p w14:paraId="25E9B3F8" w14:textId="77777777" w:rsidR="00296288" w:rsidRPr="006D4265" w:rsidRDefault="00296288" w:rsidP="00296288">
      <w:pPr>
        <w:spacing w:line="360" w:lineRule="auto"/>
        <w:contextualSpacing/>
        <w:jc w:val="both"/>
        <w:rPr>
          <w:rFonts w:eastAsia="Times New Roman"/>
        </w:rPr>
      </w:pPr>
    </w:p>
    <w:p w14:paraId="11AA07DD" w14:textId="77777777" w:rsidR="00296288" w:rsidRPr="006D4265" w:rsidRDefault="00296288" w:rsidP="00296288">
      <w:pPr>
        <w:spacing w:line="360" w:lineRule="auto"/>
        <w:contextualSpacing/>
        <w:jc w:val="both"/>
        <w:rPr>
          <w:rFonts w:eastAsia="Times New Roman"/>
          <w:b/>
          <w:bCs/>
        </w:rPr>
      </w:pPr>
      <w:r w:rsidRPr="006D4265">
        <w:rPr>
          <w:rFonts w:eastAsia="Times New Roman"/>
          <w:b/>
          <w:bCs/>
        </w:rPr>
        <w:lastRenderedPageBreak/>
        <w:t xml:space="preserve">Le groupe </w:t>
      </w:r>
      <w:r w:rsidRPr="006D4265">
        <w:rPr>
          <w:rFonts w:eastAsia="Times New Roman"/>
          <w:b/>
          <w:bCs/>
          <w:lang w:bidi="ar-AE"/>
        </w:rPr>
        <w:t>« </w:t>
      </w:r>
      <w:r w:rsidRPr="006D4265">
        <w:rPr>
          <w:rFonts w:eastAsia="Times New Roman"/>
          <w:b/>
          <w:bCs/>
          <w:i/>
          <w:iCs/>
          <w:lang w:bidi="ar-AE"/>
        </w:rPr>
        <w:t>alladhīna hājarū fī sabīli llāhi</w:t>
      </w:r>
      <w:r w:rsidRPr="006D4265">
        <w:rPr>
          <w:rFonts w:eastAsia="Times New Roman"/>
          <w:b/>
          <w:bCs/>
          <w:lang w:bidi="ar-AE"/>
        </w:rPr>
        <w:t> » (v. 58) :</w:t>
      </w:r>
    </w:p>
    <w:p w14:paraId="42FC69CC" w14:textId="77777777" w:rsidR="00296288" w:rsidRPr="006D4265" w:rsidRDefault="00296288" w:rsidP="00296288">
      <w:pPr>
        <w:spacing w:line="360" w:lineRule="auto"/>
        <w:ind w:firstLine="360"/>
        <w:contextualSpacing/>
        <w:jc w:val="both"/>
        <w:rPr>
          <w:rFonts w:eastAsia="Times New Roman"/>
          <w:lang w:bidi="ar-AE"/>
        </w:rPr>
      </w:pPr>
      <w:r w:rsidRPr="006D4265">
        <w:rPr>
          <w:rFonts w:eastAsia="Times New Roman"/>
          <w:lang w:bidi="ar-AE"/>
        </w:rPr>
        <w:t>Le verset 58 parle de « </w:t>
      </w:r>
      <w:r w:rsidRPr="006D4265">
        <w:rPr>
          <w:rFonts w:eastAsia="Times New Roman"/>
          <w:i/>
          <w:iCs/>
          <w:lang w:bidi="ar-AE"/>
        </w:rPr>
        <w:t>alladhīna hājarū fī sabīli llāhi</w:t>
      </w:r>
      <w:r w:rsidRPr="006D4265">
        <w:rPr>
          <w:rFonts w:eastAsia="Times New Roman"/>
          <w:lang w:bidi="ar-AE"/>
        </w:rPr>
        <w:t> » [« ceux qui ont fait exode sur le chemin de Dieu »], c’est-à-dire il parle, selon les exégètes, de l’un des groupes suivants :</w:t>
      </w:r>
    </w:p>
    <w:p w14:paraId="6873A002" w14:textId="77777777" w:rsidR="00296288" w:rsidRPr="006D4265" w:rsidRDefault="00296288" w:rsidP="007640DC">
      <w:pPr>
        <w:numPr>
          <w:ilvl w:val="0"/>
          <w:numId w:val="80"/>
        </w:numPr>
        <w:spacing w:line="360" w:lineRule="auto"/>
        <w:contextualSpacing/>
        <w:jc w:val="both"/>
        <w:rPr>
          <w:rFonts w:eastAsia="Times New Roman"/>
          <w:lang w:bidi="ar-AE"/>
        </w:rPr>
      </w:pPr>
      <w:r w:rsidRPr="006D4265">
        <w:rPr>
          <w:rFonts w:eastAsia="Times New Roman"/>
          <w:lang w:bidi="ar-AE"/>
        </w:rPr>
        <w:t>ʿUthmān Ibn</w:t>
      </w:r>
      <w:r>
        <w:rPr>
          <w:rFonts w:eastAsia="Times New Roman"/>
          <w:lang w:bidi="ar-AE"/>
        </w:rPr>
        <w:t xml:space="preserve"> Maẓʿūn et Abū Salama Ibn ʿAbd a</w:t>
      </w:r>
      <w:r w:rsidRPr="006D4265">
        <w:rPr>
          <w:rFonts w:eastAsia="Times New Roman"/>
          <w:lang w:bidi="ar-AE"/>
        </w:rPr>
        <w:t>l-Asad, deux compagnons du prophète morts à Médine de mort naturelle et non pas à la guerre (selon Al-Qurṭubī) ;</w:t>
      </w:r>
    </w:p>
    <w:p w14:paraId="36CE51F5" w14:textId="77777777" w:rsidR="00296288" w:rsidRPr="006D4265" w:rsidRDefault="00296288" w:rsidP="007640DC">
      <w:pPr>
        <w:numPr>
          <w:ilvl w:val="0"/>
          <w:numId w:val="80"/>
        </w:numPr>
        <w:spacing w:line="360" w:lineRule="auto"/>
        <w:contextualSpacing/>
        <w:jc w:val="both"/>
        <w:rPr>
          <w:rFonts w:eastAsia="Times New Roman"/>
          <w:lang w:bidi="ar-AE"/>
        </w:rPr>
      </w:pPr>
      <w:r w:rsidRPr="006D4265">
        <w:rPr>
          <w:rFonts w:eastAsia="Times New Roman"/>
          <w:lang w:bidi="ar-AE"/>
        </w:rPr>
        <w:t xml:space="preserve">le prophète Muḥammad et ses compagnons </w:t>
      </w:r>
      <w:r>
        <w:rPr>
          <w:rFonts w:eastAsia="Times New Roman"/>
          <w:lang w:bidi="ar-AE"/>
        </w:rPr>
        <w:t>émigrés de la Mecque à Médine vers</w:t>
      </w:r>
      <w:r w:rsidRPr="006D4265">
        <w:rPr>
          <w:rFonts w:eastAsia="Times New Roman"/>
          <w:lang w:bidi="ar-AE"/>
        </w:rPr>
        <w:t xml:space="preserve"> 622 ;</w:t>
      </w:r>
    </w:p>
    <w:p w14:paraId="242AE6B1" w14:textId="77777777" w:rsidR="00296288" w:rsidRPr="006D4265" w:rsidRDefault="00296288" w:rsidP="007640DC">
      <w:pPr>
        <w:numPr>
          <w:ilvl w:val="0"/>
          <w:numId w:val="80"/>
        </w:numPr>
        <w:spacing w:line="360" w:lineRule="auto"/>
        <w:contextualSpacing/>
        <w:jc w:val="both"/>
        <w:rPr>
          <w:rFonts w:eastAsia="Times New Roman"/>
          <w:lang w:bidi="ar-AE"/>
        </w:rPr>
      </w:pPr>
      <w:r w:rsidRPr="006D4265">
        <w:rPr>
          <w:rFonts w:eastAsia="Times New Roman"/>
          <w:lang w:bidi="ar-AE"/>
        </w:rPr>
        <w:t>ceux qui ont quitté leur pays et leurs amis ;</w:t>
      </w:r>
    </w:p>
    <w:p w14:paraId="1CE0E11B" w14:textId="77777777" w:rsidR="00296288" w:rsidRPr="006D4265" w:rsidRDefault="00296288" w:rsidP="007640DC">
      <w:pPr>
        <w:numPr>
          <w:ilvl w:val="0"/>
          <w:numId w:val="80"/>
        </w:numPr>
        <w:spacing w:line="360" w:lineRule="auto"/>
        <w:contextualSpacing/>
        <w:jc w:val="both"/>
        <w:rPr>
          <w:rFonts w:eastAsia="Times New Roman"/>
          <w:lang w:bidi="ar-AE"/>
        </w:rPr>
      </w:pPr>
      <w:r w:rsidRPr="006D4265">
        <w:rPr>
          <w:rFonts w:eastAsia="Times New Roman"/>
          <w:lang w:bidi="ar-AE"/>
        </w:rPr>
        <w:t>ceux qui ont délaissé les vices et les péchés (Shaykhū) ;</w:t>
      </w:r>
    </w:p>
    <w:p w14:paraId="7A288340" w14:textId="77777777" w:rsidR="00296288" w:rsidRPr="006D4265" w:rsidRDefault="00296288" w:rsidP="007640DC">
      <w:pPr>
        <w:numPr>
          <w:ilvl w:val="0"/>
          <w:numId w:val="80"/>
        </w:numPr>
        <w:spacing w:line="360" w:lineRule="auto"/>
        <w:contextualSpacing/>
        <w:jc w:val="both"/>
        <w:rPr>
          <w:rFonts w:eastAsia="Times New Roman"/>
          <w:lang w:bidi="ar-AE"/>
        </w:rPr>
      </w:pPr>
      <w:r w:rsidRPr="006D4265">
        <w:rPr>
          <w:rFonts w:eastAsia="Times New Roman"/>
          <w:lang w:bidi="ar-AE"/>
        </w:rPr>
        <w:t>ceux qui ont quitté leur pays pour l’amour de Dieu et qui sont tués ou morts, ainsi que leur tribu et leur peuple (</w:t>
      </w:r>
      <w:r w:rsidRPr="006D4265">
        <w:rPr>
          <w:rFonts w:eastAsia="Times New Roman"/>
        </w:rPr>
        <w:t>exégèse ahmadie</w:t>
      </w:r>
      <w:r w:rsidRPr="006D4265">
        <w:rPr>
          <w:rFonts w:eastAsia="Times New Roman"/>
          <w:vertAlign w:val="superscript"/>
          <w:lang w:bidi="ar-AE"/>
        </w:rPr>
        <w:footnoteReference w:id="373"/>
      </w:r>
      <w:r w:rsidRPr="006D4265">
        <w:rPr>
          <w:rFonts w:eastAsia="Times New Roman"/>
        </w:rPr>
        <w:t>) ;</w:t>
      </w:r>
    </w:p>
    <w:p w14:paraId="7F402229" w14:textId="77777777" w:rsidR="00296288" w:rsidRPr="006D4265" w:rsidRDefault="00296288" w:rsidP="007640DC">
      <w:pPr>
        <w:numPr>
          <w:ilvl w:val="0"/>
          <w:numId w:val="80"/>
        </w:numPr>
        <w:spacing w:line="360" w:lineRule="auto"/>
        <w:contextualSpacing/>
        <w:jc w:val="both"/>
        <w:rPr>
          <w:rFonts w:eastAsia="Times New Roman"/>
          <w:lang w:bidi="ar-AE"/>
        </w:rPr>
      </w:pPr>
      <w:r w:rsidRPr="006D4265">
        <w:rPr>
          <w:rFonts w:eastAsia="Times New Roman"/>
          <w:lang w:bidi="ar-AE"/>
        </w:rPr>
        <w:t xml:space="preserve">ceux qui ont abandonné la demeure et les basses résidences des </w:t>
      </w:r>
      <w:r w:rsidRPr="006D4265">
        <w:rPr>
          <w:rFonts w:eastAsia="Times New Roman"/>
          <w:i/>
          <w:iCs/>
          <w:lang w:bidi="ar-AE"/>
        </w:rPr>
        <w:t>nafs</w:t>
      </w:r>
      <w:r w:rsidRPr="006D4265">
        <w:rPr>
          <w:rFonts w:eastAsia="Times New Roman"/>
          <w:lang w:bidi="ar-AE"/>
        </w:rPr>
        <w:t xml:space="preserve"> </w:t>
      </w:r>
      <w:r w:rsidRPr="006D4265">
        <w:rPr>
          <w:rFonts w:asciiTheme="majorBidi" w:hAnsiTheme="majorBidi" w:cstheme="majorBidi"/>
        </w:rPr>
        <w:t>[</w:t>
      </w:r>
      <w:r w:rsidRPr="006D4265">
        <w:rPr>
          <w:rFonts w:asciiTheme="majorBidi" w:eastAsia="Times New Roman" w:hAnsiTheme="majorBidi" w:cstheme="majorBidi"/>
          <w:lang w:bidi="ar-AE"/>
        </w:rPr>
        <w:t xml:space="preserve">esprits, psychés, ou forces psychologiques </w:t>
      </w:r>
      <w:r w:rsidRPr="006D4265">
        <w:rPr>
          <w:rFonts w:asciiTheme="majorBidi" w:hAnsiTheme="majorBidi" w:cstheme="majorBidi"/>
        </w:rPr>
        <w:t>instigatrices du mal]</w:t>
      </w:r>
      <w:r w:rsidRPr="006D4265">
        <w:rPr>
          <w:rFonts w:asciiTheme="majorBidi" w:eastAsia="Times New Roman" w:hAnsiTheme="majorBidi" w:cstheme="majorBidi"/>
          <w:lang w:bidi="ar-AE"/>
        </w:rPr>
        <w:t xml:space="preserve"> </w:t>
      </w:r>
      <w:r w:rsidRPr="006D4265">
        <w:rPr>
          <w:rFonts w:eastAsia="Times New Roman"/>
          <w:lang w:bidi="ar-AE"/>
        </w:rPr>
        <w:t>(Ibn ʿArabī), i.e. ceux qui se sont défait</w:t>
      </w:r>
      <w:r>
        <w:rPr>
          <w:rFonts w:eastAsia="Times New Roman"/>
          <w:lang w:bidi="ar-AE"/>
        </w:rPr>
        <w:t>s</w:t>
      </w:r>
      <w:r w:rsidRPr="006D4265">
        <w:rPr>
          <w:rFonts w:eastAsia="Times New Roman"/>
          <w:lang w:bidi="ar-AE"/>
        </w:rPr>
        <w:t xml:space="preserve"> de leurs passions et de leurs plaisirs ;</w:t>
      </w:r>
    </w:p>
    <w:p w14:paraId="5A6B7F18" w14:textId="77777777" w:rsidR="00296288" w:rsidRPr="006D4265" w:rsidRDefault="00296288" w:rsidP="007640DC">
      <w:pPr>
        <w:numPr>
          <w:ilvl w:val="0"/>
          <w:numId w:val="80"/>
        </w:numPr>
        <w:spacing w:line="360" w:lineRule="auto"/>
        <w:contextualSpacing/>
        <w:jc w:val="both"/>
        <w:rPr>
          <w:rFonts w:eastAsia="Times New Roman"/>
          <w:lang w:bidi="ar-AE"/>
        </w:rPr>
      </w:pPr>
      <w:r w:rsidRPr="006D4265">
        <w:rPr>
          <w:rFonts w:eastAsia="Times New Roman"/>
        </w:rPr>
        <w:t>le commandeur des croyants ʿAlī ibn Abī Ṭālib</w:t>
      </w:r>
      <w:r w:rsidRPr="006D4265">
        <w:rPr>
          <w:rFonts w:eastAsia="Times New Roman"/>
          <w:lang w:bidi="ar-AE"/>
        </w:rPr>
        <w:t xml:space="preserve"> et les </w:t>
      </w:r>
      <w:r w:rsidRPr="006D4265">
        <w:rPr>
          <w:rFonts w:eastAsia="Times New Roman"/>
          <w:i/>
          <w:iCs/>
          <w:lang w:bidi="ar-EG"/>
        </w:rPr>
        <w:t>muhājirūn</w:t>
      </w:r>
      <w:r w:rsidRPr="006D4265">
        <w:rPr>
          <w:rFonts w:eastAsia="Times New Roman"/>
        </w:rPr>
        <w:t xml:space="preserve"> (les musulmans mecquois exilés à Médine)</w:t>
      </w:r>
      <w:r w:rsidRPr="006D4265">
        <w:rPr>
          <w:rFonts w:eastAsia="Times New Roman"/>
          <w:lang w:bidi="ar-AE"/>
        </w:rPr>
        <w:t xml:space="preserve"> (Al-Qummī).</w:t>
      </w:r>
    </w:p>
    <w:p w14:paraId="68F7B3D4" w14:textId="77777777" w:rsidR="00296288" w:rsidRPr="006D4265" w:rsidRDefault="00296288" w:rsidP="00296288">
      <w:pPr>
        <w:spacing w:line="360" w:lineRule="auto"/>
        <w:contextualSpacing/>
        <w:jc w:val="both"/>
        <w:rPr>
          <w:rFonts w:eastAsia="Times New Roman"/>
          <w:lang w:bidi="ar-AE"/>
        </w:rPr>
      </w:pPr>
    </w:p>
    <w:p w14:paraId="01BAAC61" w14:textId="77777777" w:rsidR="00296288" w:rsidRPr="006D4265" w:rsidRDefault="00296288" w:rsidP="00296288">
      <w:pPr>
        <w:spacing w:line="360" w:lineRule="auto"/>
        <w:ind w:firstLine="360"/>
        <w:contextualSpacing/>
        <w:jc w:val="both"/>
        <w:rPr>
          <w:rFonts w:eastAsia="Times New Roman"/>
          <w:lang w:bidi="ar-EG"/>
        </w:rPr>
      </w:pPr>
      <w:r>
        <w:rPr>
          <w:rFonts w:eastAsia="Times New Roman"/>
          <w:lang w:bidi="ar-AE"/>
        </w:rPr>
        <w:t xml:space="preserve">Bien que le Coran </w:t>
      </w:r>
      <w:r w:rsidRPr="006D4265">
        <w:rPr>
          <w:rFonts w:eastAsia="Times New Roman"/>
          <w:lang w:bidi="ar-AE"/>
        </w:rPr>
        <w:t>s</w:t>
      </w:r>
      <w:r>
        <w:rPr>
          <w:rFonts w:eastAsia="Times New Roman"/>
          <w:lang w:bidi="ar-AE"/>
        </w:rPr>
        <w:t>oi</w:t>
      </w:r>
      <w:r w:rsidRPr="006D4265">
        <w:rPr>
          <w:rFonts w:eastAsia="Times New Roman"/>
          <w:lang w:bidi="ar-AE"/>
        </w:rPr>
        <w:t xml:space="preserve">t polysémique par excellence, </w:t>
      </w:r>
      <w:r>
        <w:rPr>
          <w:rFonts w:eastAsia="Times New Roman"/>
          <w:lang w:bidi="ar-AE"/>
        </w:rPr>
        <w:t>il arrive qu’on trouve</w:t>
      </w:r>
      <w:r w:rsidRPr="006D4265">
        <w:rPr>
          <w:rFonts w:eastAsia="Times New Roman"/>
          <w:lang w:bidi="ar-AE"/>
        </w:rPr>
        <w:t xml:space="preserve"> des mots monosémiques. </w:t>
      </w:r>
      <w:r w:rsidRPr="006D4265">
        <w:rPr>
          <w:rFonts w:eastAsia="Times New Roman"/>
          <w:lang w:bidi="ar-EG"/>
        </w:rPr>
        <w:t xml:space="preserve">Les </w:t>
      </w:r>
      <w:r>
        <w:rPr>
          <w:rFonts w:eastAsia="Times New Roman"/>
          <w:lang w:bidi="ar-EG"/>
        </w:rPr>
        <w:t>verbes</w:t>
      </w:r>
      <w:r w:rsidRPr="006D4265">
        <w:rPr>
          <w:rFonts w:eastAsia="Times New Roman"/>
          <w:lang w:bidi="ar-EG"/>
        </w:rPr>
        <w:t xml:space="preserve"> « </w:t>
      </w:r>
      <w:r w:rsidRPr="006D4265">
        <w:rPr>
          <w:rFonts w:eastAsia="Times New Roman"/>
          <w:i/>
          <w:iCs/>
          <w:lang w:bidi="ar-EG"/>
        </w:rPr>
        <w:t>qutilū aw mātū</w:t>
      </w:r>
      <w:r w:rsidRPr="006D4265">
        <w:rPr>
          <w:rFonts w:eastAsia="Times New Roman"/>
          <w:lang w:bidi="ar-EG"/>
        </w:rPr>
        <w:t> » [ils furent tués ou</w:t>
      </w:r>
      <w:r>
        <w:rPr>
          <w:rFonts w:eastAsia="Times New Roman"/>
          <w:lang w:bidi="ar-EG"/>
        </w:rPr>
        <w:t xml:space="preserve"> sont</w:t>
      </w:r>
      <w:r w:rsidRPr="006D4265">
        <w:rPr>
          <w:rFonts w:eastAsia="Times New Roman"/>
          <w:lang w:bidi="ar-EG"/>
        </w:rPr>
        <w:t xml:space="preserve"> morts de mort naturelle] (v. 58) désignent la mort réelle selon les </w:t>
      </w:r>
      <w:r>
        <w:rPr>
          <w:rFonts w:eastAsia="Times New Roman"/>
          <w:lang w:bidi="ar-EG"/>
        </w:rPr>
        <w:t>exégètes unanimes</w:t>
      </w:r>
      <w:r w:rsidRPr="006D4265">
        <w:rPr>
          <w:rFonts w:eastAsia="Times New Roman"/>
          <w:lang w:bidi="ar-EG"/>
        </w:rPr>
        <w:t xml:space="preserve">. Cependant, ils désignent selon Ibn </w:t>
      </w:r>
      <w:r w:rsidRPr="006D4265">
        <w:rPr>
          <w:rFonts w:eastAsia="Times New Roman"/>
          <w:lang w:bidi="ar-AE"/>
        </w:rPr>
        <w:t>ʿArabī</w:t>
      </w:r>
      <w:r w:rsidRPr="006D4265">
        <w:rPr>
          <w:rFonts w:eastAsia="Times New Roman"/>
          <w:lang w:bidi="ar-EG"/>
        </w:rPr>
        <w:t xml:space="preserve"> la mort de la volonté et des désirs.</w:t>
      </w:r>
    </w:p>
    <w:p w14:paraId="7173A8FA" w14:textId="77777777" w:rsidR="00296288" w:rsidRPr="006D4265" w:rsidRDefault="00296288" w:rsidP="00296288">
      <w:pPr>
        <w:spacing w:line="360" w:lineRule="auto"/>
        <w:jc w:val="both"/>
        <w:rPr>
          <w:rFonts w:eastAsia="Times New Roman"/>
        </w:rPr>
      </w:pPr>
    </w:p>
    <w:p w14:paraId="7D26714F" w14:textId="77777777" w:rsidR="00296288" w:rsidRPr="006D4265" w:rsidRDefault="00296288" w:rsidP="00296288">
      <w:pPr>
        <w:spacing w:line="360" w:lineRule="auto"/>
        <w:contextualSpacing/>
        <w:jc w:val="both"/>
        <w:rPr>
          <w:rFonts w:eastAsia="Times New Roman"/>
          <w:b/>
          <w:bCs/>
          <w:color w:val="FF0000"/>
          <w:lang w:bidi="ar-EG"/>
        </w:rPr>
      </w:pPr>
      <w:r w:rsidRPr="006D4265">
        <w:rPr>
          <w:rFonts w:eastAsia="Times New Roman"/>
          <w:b/>
          <w:bCs/>
          <w:lang w:bidi="ar-EG"/>
        </w:rPr>
        <w:t>Polysémie du verset 60 :</w:t>
      </w:r>
    </w:p>
    <w:p w14:paraId="46D5E999" w14:textId="77777777" w:rsidR="00296288" w:rsidRPr="006D4265" w:rsidRDefault="00296288" w:rsidP="00296288">
      <w:pPr>
        <w:spacing w:line="360" w:lineRule="auto"/>
        <w:contextualSpacing/>
        <w:jc w:val="both"/>
        <w:rPr>
          <w:rFonts w:eastAsia="Times New Roman"/>
          <w:lang w:bidi="ar-AE"/>
        </w:rPr>
      </w:pPr>
      <w:r w:rsidRPr="006D4265">
        <w:rPr>
          <w:rFonts w:eastAsia="Times New Roman"/>
          <w:lang w:bidi="ar-EG"/>
        </w:rPr>
        <w:t>(</w:t>
      </w:r>
      <w:r w:rsidRPr="006D4265">
        <w:rPr>
          <w:rFonts w:ascii="Simplified Arabic" w:eastAsia="Times New Roman" w:hAnsi="Simplified Arabic" w:cs="Simplified Arabic"/>
          <w:rtl/>
          <w:lang w:bidi="ar-AE"/>
        </w:rPr>
        <w:t>ذلك ومَنْ عاقَبَ بمِثْلِ ما عوقِبَ به ثم بُغِيَ عليه لَيَنصُرَنَّه اللهُ إنَّ الله لَعَفُــوٌّ غفور</w:t>
      </w:r>
      <w:r w:rsidRPr="006D4265">
        <w:rPr>
          <w:rFonts w:eastAsia="Times New Roman"/>
          <w:lang w:bidi="ar-EG"/>
        </w:rPr>
        <w:t xml:space="preserve">) </w:t>
      </w:r>
      <w:r w:rsidRPr="006D4265">
        <w:rPr>
          <w:rFonts w:asciiTheme="majorBidi" w:hAnsiTheme="majorBidi" w:cstheme="majorBidi"/>
        </w:rPr>
        <w:t>[</w:t>
      </w:r>
      <w:r w:rsidRPr="006D4265">
        <w:rPr>
          <w:rFonts w:eastAsia="Times New Roman"/>
          <w:lang w:bidi="ar-AE"/>
        </w:rPr>
        <w:t>Voilà. Et puis qui se borne (à répliquer) à une exaction par la pareille, mais par surcroît essuie une nouvelle injure, assurément Dieu le secourra, assurément Dieu lui sera Clément, Indulgent</w:t>
      </w:r>
      <w:r w:rsidRPr="006D4265">
        <w:rPr>
          <w:rFonts w:asciiTheme="majorBidi" w:hAnsiTheme="majorBidi" w:cstheme="majorBidi"/>
        </w:rPr>
        <w:t>]</w:t>
      </w:r>
    </w:p>
    <w:p w14:paraId="176F5CD7" w14:textId="77777777" w:rsidR="00296288" w:rsidRPr="006D4265" w:rsidRDefault="00296288" w:rsidP="00296288">
      <w:pPr>
        <w:spacing w:line="360" w:lineRule="auto"/>
        <w:contextualSpacing/>
        <w:jc w:val="both"/>
        <w:rPr>
          <w:rFonts w:eastAsia="Times New Roman"/>
          <w:b/>
          <w:bCs/>
          <w:lang w:bidi="ar-EG"/>
        </w:rPr>
      </w:pPr>
    </w:p>
    <w:p w14:paraId="264957CF" w14:textId="77777777" w:rsidR="00296288" w:rsidRPr="006D4265" w:rsidRDefault="00296288" w:rsidP="00296288">
      <w:pPr>
        <w:spacing w:line="360" w:lineRule="auto"/>
        <w:contextualSpacing/>
        <w:jc w:val="both"/>
        <w:rPr>
          <w:rFonts w:eastAsia="Times New Roman"/>
          <w:lang w:bidi="ar-EG"/>
        </w:rPr>
      </w:pPr>
      <w:r w:rsidRPr="006D4265">
        <w:rPr>
          <w:rFonts w:eastAsia="Times New Roman"/>
          <w:lang w:bidi="ar-EG"/>
        </w:rPr>
        <w:t>Concernant l’exégèse de ce verset 60, Aṭ-Ṭabarī a donné trois significations :</w:t>
      </w:r>
    </w:p>
    <w:p w14:paraId="66BA6069" w14:textId="77777777" w:rsidR="00296288" w:rsidRPr="006D4265" w:rsidRDefault="00296288" w:rsidP="007640DC">
      <w:pPr>
        <w:numPr>
          <w:ilvl w:val="0"/>
          <w:numId w:val="81"/>
        </w:numPr>
        <w:spacing w:line="360" w:lineRule="auto"/>
        <w:contextualSpacing/>
        <w:jc w:val="both"/>
        <w:rPr>
          <w:rFonts w:eastAsia="Times New Roman"/>
          <w:lang w:bidi="ar-EG"/>
        </w:rPr>
      </w:pPr>
      <w:r w:rsidRPr="006D4265">
        <w:rPr>
          <w:rFonts w:eastAsia="Times New Roman"/>
          <w:lang w:bidi="ar-EG"/>
        </w:rPr>
        <w:t>Il s’agit de la promesse de Dieu qu’il secourra Muḥammad attaqué par les païens.</w:t>
      </w:r>
    </w:p>
    <w:p w14:paraId="17118F89" w14:textId="77777777" w:rsidR="00296288" w:rsidRPr="006D4265" w:rsidRDefault="00296288" w:rsidP="007640DC">
      <w:pPr>
        <w:numPr>
          <w:ilvl w:val="0"/>
          <w:numId w:val="81"/>
        </w:numPr>
        <w:spacing w:line="360" w:lineRule="auto"/>
        <w:contextualSpacing/>
        <w:jc w:val="both"/>
        <w:rPr>
          <w:rFonts w:eastAsia="Times New Roman"/>
          <w:lang w:bidi="ar-EG"/>
        </w:rPr>
      </w:pPr>
      <w:r w:rsidRPr="006D4265">
        <w:rPr>
          <w:rFonts w:eastAsia="Times New Roman"/>
          <w:lang w:bidi="ar-EG"/>
        </w:rPr>
        <w:t>Il s’agit du droit aux représailles.</w:t>
      </w:r>
    </w:p>
    <w:p w14:paraId="17BC4A1F" w14:textId="77777777" w:rsidR="00296288" w:rsidRPr="006D4265" w:rsidRDefault="00296288" w:rsidP="007640DC">
      <w:pPr>
        <w:numPr>
          <w:ilvl w:val="0"/>
          <w:numId w:val="81"/>
        </w:numPr>
        <w:spacing w:line="360" w:lineRule="auto"/>
        <w:contextualSpacing/>
        <w:jc w:val="both"/>
        <w:rPr>
          <w:rFonts w:eastAsia="Times New Roman"/>
          <w:lang w:bidi="ar-EG"/>
        </w:rPr>
      </w:pPr>
      <w:r w:rsidRPr="006D4265">
        <w:rPr>
          <w:rFonts w:eastAsia="Times New Roman"/>
          <w:lang w:bidi="ar-EG"/>
        </w:rPr>
        <w:lastRenderedPageBreak/>
        <w:t>Dieu a pardonné les musulmans qui ont combattu pendant un mois sacré</w:t>
      </w:r>
      <w:r w:rsidRPr="006D4265">
        <w:rPr>
          <w:rStyle w:val="Appelnotedebasdep"/>
          <w:rFonts w:eastAsia="Times New Roman"/>
          <w:lang w:bidi="ar-EG"/>
        </w:rPr>
        <w:footnoteReference w:id="374"/>
      </w:r>
      <w:r w:rsidRPr="006D4265">
        <w:rPr>
          <w:rFonts w:eastAsia="Times New Roman"/>
          <w:lang w:bidi="ar-EG"/>
        </w:rPr>
        <w:t>. Lorsqu’un groupe de païens ont voulu combattre un groupe de musulmans pendant un mois sacré (durant lequel le combat est interdit selon les musulmans), les musulmans ont été obligés de les combattre et Dieu les a secourus</w:t>
      </w:r>
      <w:r>
        <w:rPr>
          <w:rFonts w:eastAsia="Times New Roman"/>
          <w:lang w:bidi="ar-EG"/>
        </w:rPr>
        <w:t xml:space="preserve"> et leur</w:t>
      </w:r>
      <w:r w:rsidRPr="006D4265">
        <w:rPr>
          <w:rFonts w:eastAsia="Times New Roman"/>
          <w:lang w:bidi="ar-EG"/>
        </w:rPr>
        <w:t xml:space="preserve"> a pardonnés pour avoir combattu pendant le mois sacré.</w:t>
      </w:r>
    </w:p>
    <w:p w14:paraId="2D744873" w14:textId="77777777" w:rsidR="00296288" w:rsidRPr="006D4265" w:rsidRDefault="00296288" w:rsidP="00296288">
      <w:pPr>
        <w:spacing w:line="360" w:lineRule="auto"/>
        <w:ind w:firstLine="360"/>
        <w:contextualSpacing/>
        <w:jc w:val="both"/>
        <w:rPr>
          <w:rFonts w:eastAsia="Times New Roman"/>
          <w:lang w:bidi="ar-EG"/>
        </w:rPr>
      </w:pPr>
    </w:p>
    <w:p w14:paraId="610C3EAA" w14:textId="77777777" w:rsidR="00296288" w:rsidRPr="006D4265" w:rsidRDefault="00296288" w:rsidP="00296288">
      <w:pPr>
        <w:spacing w:line="360" w:lineRule="auto"/>
        <w:ind w:firstLine="360"/>
        <w:contextualSpacing/>
        <w:jc w:val="both"/>
        <w:rPr>
          <w:rFonts w:eastAsia="Times New Roman"/>
          <w:lang w:bidi="ar-EG"/>
        </w:rPr>
      </w:pPr>
      <w:r>
        <w:rPr>
          <w:rFonts w:eastAsia="Times New Roman"/>
          <w:lang w:bidi="ar-EG"/>
        </w:rPr>
        <w:t xml:space="preserve">Si </w:t>
      </w:r>
      <w:r w:rsidRPr="006D4265">
        <w:rPr>
          <w:rFonts w:eastAsia="Times New Roman"/>
          <w:lang w:bidi="ar-EG"/>
        </w:rPr>
        <w:t>Ibn Ka</w:t>
      </w:r>
      <w:r>
        <w:rPr>
          <w:rFonts w:eastAsia="Times New Roman"/>
          <w:lang w:bidi="ar-EG"/>
        </w:rPr>
        <w:t>thīr a choisi le troisième sens,</w:t>
      </w:r>
      <w:r w:rsidRPr="006D4265">
        <w:rPr>
          <w:rFonts w:eastAsia="Times New Roman"/>
          <w:lang w:bidi="ar-EG"/>
        </w:rPr>
        <w:t xml:space="preserve"> </w:t>
      </w:r>
      <w:r>
        <w:rPr>
          <w:rFonts w:eastAsia="Times New Roman"/>
          <w:lang w:bidi="ar-EG"/>
        </w:rPr>
        <w:t xml:space="preserve">Al-Qurṭubī en ajouté un autre </w:t>
      </w:r>
      <w:r w:rsidRPr="006D4265">
        <w:rPr>
          <w:rFonts w:eastAsia="Times New Roman"/>
          <w:lang w:bidi="ar-EG"/>
        </w:rPr>
        <w:t>: lorsque les païens ont tué des mu</w:t>
      </w:r>
      <w:r>
        <w:rPr>
          <w:rFonts w:eastAsia="Times New Roman"/>
          <w:lang w:bidi="ar-EG"/>
        </w:rPr>
        <w:t>sulmans à la bataille d’</w:t>
      </w:r>
      <w:r w:rsidRPr="006D4265">
        <w:rPr>
          <w:rFonts w:eastAsia="Times New Roman"/>
          <w:lang w:bidi="ar-EG"/>
        </w:rPr>
        <w:t>Uḥud, Dieu a vengé les musulmans. Al-Qummī a présenté une sig</w:t>
      </w:r>
      <w:r>
        <w:rPr>
          <w:rFonts w:eastAsia="Times New Roman"/>
          <w:lang w:bidi="ar-EG"/>
        </w:rPr>
        <w:t>nification différente qui ser</w:t>
      </w:r>
      <w:r w:rsidRPr="006D4265">
        <w:rPr>
          <w:rFonts w:eastAsia="Times New Roman"/>
          <w:lang w:bidi="ar-EG"/>
        </w:rPr>
        <w:t>t la cause chiite : Dieu a secouru le prophète et sa famille et surtout Al-</w:t>
      </w:r>
      <w:r w:rsidRPr="006D4265">
        <w:rPr>
          <w:rFonts w:eastAsia="Times New Roman"/>
        </w:rPr>
        <w:t>Ḥ</w:t>
      </w:r>
      <w:r w:rsidRPr="006D4265">
        <w:rPr>
          <w:rFonts w:eastAsia="Times New Roman"/>
          <w:lang w:bidi="ar-EG"/>
        </w:rPr>
        <w:t>usayn lorsque les ennemis voulaient le tuer. L’exégèse sunnite contemporain</w:t>
      </w:r>
      <w:r>
        <w:rPr>
          <w:rFonts w:eastAsia="Times New Roman"/>
          <w:lang w:bidi="ar-EG"/>
        </w:rPr>
        <w:t>e de Shaykhū développe</w:t>
      </w:r>
      <w:r w:rsidRPr="006D4265">
        <w:rPr>
          <w:rFonts w:eastAsia="Times New Roman"/>
          <w:lang w:bidi="ar-EG"/>
        </w:rPr>
        <w:t xml:space="preserve"> une</w:t>
      </w:r>
      <w:r>
        <w:rPr>
          <w:rFonts w:eastAsia="Times New Roman"/>
          <w:lang w:bidi="ar-EG"/>
        </w:rPr>
        <w:t xml:space="preserve"> autre signification</w:t>
      </w:r>
      <w:r w:rsidRPr="006D4265">
        <w:rPr>
          <w:rFonts w:eastAsia="Times New Roman"/>
          <w:lang w:bidi="ar-EG"/>
        </w:rPr>
        <w:t> :</w:t>
      </w:r>
      <w:r>
        <w:rPr>
          <w:rFonts w:eastAsia="Times New Roman"/>
          <w:lang w:bidi="ar-EG"/>
        </w:rPr>
        <w:t xml:space="preserve"> c’est Dieu qui envoie au croyant</w:t>
      </w:r>
      <w:r w:rsidRPr="006D4265">
        <w:rPr>
          <w:rFonts w:eastAsia="Times New Roman"/>
          <w:lang w:bidi="ar-EG"/>
        </w:rPr>
        <w:t xml:space="preserve"> un malheur ou une maladie pour le puri</w:t>
      </w:r>
      <w:r>
        <w:rPr>
          <w:rFonts w:eastAsia="Times New Roman"/>
          <w:lang w:bidi="ar-EG"/>
        </w:rPr>
        <w:t>fier. L’exégèse ahmadie privilégie</w:t>
      </w:r>
      <w:r w:rsidRPr="006D4265">
        <w:rPr>
          <w:rFonts w:eastAsia="Times New Roman"/>
          <w:lang w:bidi="ar-EG"/>
        </w:rPr>
        <w:t xml:space="preserve"> une seule signification : le droit aux représailles.</w:t>
      </w:r>
    </w:p>
    <w:p w14:paraId="2DCCE643" w14:textId="77777777" w:rsidR="00296288" w:rsidRPr="006D4265" w:rsidRDefault="00296288" w:rsidP="00296288">
      <w:pPr>
        <w:spacing w:line="360" w:lineRule="auto"/>
        <w:jc w:val="both"/>
        <w:rPr>
          <w:rFonts w:eastAsia="Times New Roman"/>
          <w:lang w:bidi="ar-AE"/>
        </w:rPr>
      </w:pPr>
    </w:p>
    <w:p w14:paraId="28AA5E66" w14:textId="77777777" w:rsidR="00296288" w:rsidRPr="006D4265" w:rsidRDefault="00296288" w:rsidP="00296288">
      <w:pPr>
        <w:spacing w:line="360" w:lineRule="auto"/>
        <w:jc w:val="both"/>
        <w:rPr>
          <w:rFonts w:eastAsia="Times New Roman"/>
          <w:u w:val="single"/>
          <w:lang w:bidi="ar-AE"/>
        </w:rPr>
      </w:pPr>
      <w:r w:rsidRPr="006D4265">
        <w:rPr>
          <w:rFonts w:eastAsia="Times New Roman"/>
          <w:b/>
          <w:bCs/>
          <w:lang w:bidi="ar-AE"/>
        </w:rPr>
        <w:t>Polysémie du verset 61 et l’inimitabilité scientifique :</w:t>
      </w:r>
    </w:p>
    <w:p w14:paraId="2AF44287" w14:textId="77777777" w:rsidR="00296288" w:rsidRPr="006D4265" w:rsidRDefault="00296288" w:rsidP="00296288">
      <w:pPr>
        <w:bidi/>
        <w:spacing w:line="360" w:lineRule="auto"/>
        <w:jc w:val="center"/>
        <w:rPr>
          <w:rFonts w:ascii="Simplified Arabic" w:eastAsia="Times New Roman" w:hAnsi="Simplified Arabic" w:cs="Simplified Arabic"/>
          <w:lang w:bidi="ar-AE"/>
        </w:rPr>
      </w:pPr>
      <w:r w:rsidRPr="006D4265">
        <w:rPr>
          <w:rFonts w:ascii="Simplified Arabic" w:eastAsia="Times New Roman" w:hAnsi="Simplified Arabic" w:cs="Simplified Arabic"/>
          <w:rtl/>
          <w:lang w:bidi="ar-AE"/>
        </w:rPr>
        <w:t>(61) ذلكَ بأنَّ اللهَ يُولِجُ الليلَ في النهارِ ويولجُ النهارَ في الليلِ وأنَّ اللهَ سميعٌ بصِير.</w:t>
      </w:r>
    </w:p>
    <w:p w14:paraId="77A8F5DA" w14:textId="77777777" w:rsidR="00296288" w:rsidRPr="006D4265" w:rsidRDefault="00296288" w:rsidP="00296288">
      <w:pPr>
        <w:spacing w:line="360" w:lineRule="auto"/>
        <w:contextualSpacing/>
        <w:jc w:val="center"/>
        <w:rPr>
          <w:rFonts w:eastAsia="Times New Roman"/>
          <w:rtl/>
          <w:lang w:bidi="ar-AE"/>
        </w:rPr>
      </w:pPr>
      <w:r w:rsidRPr="006D4265">
        <w:rPr>
          <w:rFonts w:eastAsia="Times New Roman"/>
          <w:lang w:bidi="ar-AE"/>
        </w:rPr>
        <w:t>(61) et cela de la même façon que Dieu, qui fait entrer la nuit dans le jour, fait entrer le jour dans la nuit. – Dieu est Entendant, Connaissant</w:t>
      </w:r>
    </w:p>
    <w:p w14:paraId="27ECB0F8" w14:textId="77777777" w:rsidR="00296288" w:rsidRPr="006D4265" w:rsidRDefault="00296288" w:rsidP="00296288">
      <w:pPr>
        <w:spacing w:line="360" w:lineRule="auto"/>
        <w:jc w:val="both"/>
        <w:rPr>
          <w:rFonts w:eastAsia="Times New Roman"/>
          <w:lang w:bidi="ar-AE"/>
        </w:rPr>
      </w:pPr>
    </w:p>
    <w:p w14:paraId="3E4DEED7" w14:textId="77777777" w:rsidR="00296288" w:rsidRPr="00B17B56" w:rsidRDefault="00296288" w:rsidP="00296288">
      <w:pPr>
        <w:spacing w:line="360" w:lineRule="auto"/>
        <w:ind w:firstLine="426"/>
        <w:jc w:val="both"/>
        <w:rPr>
          <w:rFonts w:eastAsia="Times New Roman"/>
          <w:lang w:bidi="ar-AE"/>
        </w:rPr>
      </w:pPr>
      <w:r w:rsidRPr="00B17B56">
        <w:rPr>
          <w:rFonts w:eastAsia="Times New Roman"/>
          <w:lang w:bidi="ar-AE"/>
        </w:rPr>
        <w:t>Selon Aṭ-Ṭabarī, l’un des premiers et des plus célèbres exégètes du Coran, ce verset veut dire que Dieu est capable de donner la victoire à son Messager Muḥammad de la même façon qu’il est capable de faire entrer ou ajouter les heures qui manquent de la nuit dans les heures de la journée et inversement. De même que Dieu a la capacité de raccourcir les nuits et de rallonger les journées [en été] et vice-versa, il est capable de soutenir son Prophète contre ses ennemis. Il va sans dire que cette exégèse avait pour but de servir le contexte sociopolitique conflictuel, bien que le contexte du texte ne fasse aucune allusion à Muḥammad. Les exégètes ont utilisé une phrase désignant le cycle circadien (jour et nuit) pour servir un conflit militaire.</w:t>
      </w:r>
    </w:p>
    <w:p w14:paraId="4ED0724A" w14:textId="77777777" w:rsidR="00296288" w:rsidRPr="00B17B56" w:rsidRDefault="00296288" w:rsidP="00296288">
      <w:pPr>
        <w:spacing w:line="360" w:lineRule="auto"/>
        <w:ind w:firstLine="708"/>
        <w:jc w:val="both"/>
        <w:rPr>
          <w:rFonts w:eastAsia="Times New Roman"/>
          <w:lang w:bidi="ar-AE"/>
        </w:rPr>
      </w:pPr>
    </w:p>
    <w:p w14:paraId="2DBD65F6" w14:textId="77777777" w:rsidR="00296288" w:rsidRPr="006D4265" w:rsidRDefault="00296288" w:rsidP="00296288">
      <w:pPr>
        <w:spacing w:line="360" w:lineRule="auto"/>
        <w:ind w:firstLine="708"/>
        <w:jc w:val="both"/>
        <w:rPr>
          <w:rFonts w:eastAsia="Times New Roman"/>
          <w:lang w:bidi="ar-AE"/>
        </w:rPr>
      </w:pPr>
      <w:r w:rsidRPr="006D4265">
        <w:rPr>
          <w:rFonts w:eastAsia="Times New Roman"/>
          <w:lang w:bidi="ar-AE"/>
        </w:rPr>
        <w:t>Cependant, les exégètes ont présenté d’autres significations dont :</w:t>
      </w:r>
    </w:p>
    <w:p w14:paraId="55FD697B" w14:textId="77777777" w:rsidR="00296288" w:rsidRPr="006D4265" w:rsidRDefault="00296288" w:rsidP="007640DC">
      <w:pPr>
        <w:pStyle w:val="Paragraphedeliste"/>
        <w:numPr>
          <w:ilvl w:val="0"/>
          <w:numId w:val="98"/>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lastRenderedPageBreak/>
        <w:t>L’obscurité de la nuit remplace la clarté d</w:t>
      </w:r>
      <w:r>
        <w:rPr>
          <w:rFonts w:ascii="Times New Roman" w:hAnsi="Times New Roman" w:cs="Times New Roman"/>
          <w:sz w:val="24"/>
          <w:szCs w:val="24"/>
          <w:lang w:eastAsia="fr-FR" w:bidi="ar-AE"/>
        </w:rPr>
        <w:t>u jour et vice-</w:t>
      </w:r>
      <w:r w:rsidRPr="006D4265">
        <w:rPr>
          <w:rFonts w:ascii="Times New Roman" w:hAnsi="Times New Roman" w:cs="Times New Roman"/>
          <w:sz w:val="24"/>
          <w:szCs w:val="24"/>
          <w:lang w:eastAsia="fr-FR" w:bidi="ar-AE"/>
        </w:rPr>
        <w:t xml:space="preserve">versa (le jour remplace la nuit) </w:t>
      </w:r>
      <w:r w:rsidRPr="006D4265">
        <w:rPr>
          <w:rFonts w:ascii="Times New Roman" w:hAnsi="Times New Roman" w:cs="Times New Roman"/>
          <w:sz w:val="24"/>
          <w:szCs w:val="24"/>
          <w:lang w:eastAsia="fr-FR" w:bidi="ar-EG"/>
        </w:rPr>
        <w:t>(Aṭ-Ṭabāṭabāʾī) </w:t>
      </w:r>
      <w:r w:rsidRPr="006D4265">
        <w:rPr>
          <w:rFonts w:ascii="Times New Roman" w:hAnsi="Times New Roman" w:cs="Times New Roman"/>
          <w:sz w:val="24"/>
          <w:szCs w:val="24"/>
          <w:lang w:eastAsia="fr-FR" w:bidi="ar-AE"/>
        </w:rPr>
        <w:t>;</w:t>
      </w:r>
    </w:p>
    <w:p w14:paraId="75C468B9" w14:textId="77777777" w:rsidR="00296288" w:rsidRPr="006D4265" w:rsidRDefault="00296288" w:rsidP="007640DC">
      <w:pPr>
        <w:pStyle w:val="Paragraphedeliste"/>
        <w:numPr>
          <w:ilvl w:val="0"/>
          <w:numId w:val="98"/>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Personne ne peut faire ce que Dieu fait ;</w:t>
      </w:r>
    </w:p>
    <w:p w14:paraId="0AF287A2" w14:textId="77777777" w:rsidR="00296288" w:rsidRPr="006D4265" w:rsidRDefault="00296288" w:rsidP="007640DC">
      <w:pPr>
        <w:pStyle w:val="Paragraphedeliste"/>
        <w:numPr>
          <w:ilvl w:val="0"/>
          <w:numId w:val="98"/>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 xml:space="preserve">Puisque Dieu peut diriger et disposer facilement le macrocosme, il lui est facile </w:t>
      </w:r>
      <w:r w:rsidRPr="006D4265">
        <w:rPr>
          <w:rFonts w:ascii="Times New Roman" w:hAnsi="Times New Roman" w:cs="Times New Roman"/>
          <w:i/>
          <w:iCs/>
          <w:sz w:val="24"/>
          <w:szCs w:val="24"/>
          <w:lang w:eastAsia="fr-FR" w:bidi="ar-AE"/>
        </w:rPr>
        <w:t>a fortiori</w:t>
      </w:r>
      <w:r w:rsidRPr="006D4265">
        <w:rPr>
          <w:rFonts w:ascii="Times New Roman" w:hAnsi="Times New Roman" w:cs="Times New Roman"/>
          <w:sz w:val="24"/>
          <w:szCs w:val="24"/>
          <w:lang w:eastAsia="fr-FR" w:bidi="ar-AE"/>
        </w:rPr>
        <w:t xml:space="preserve"> de disposer les affaires de l’être humain (Shaykhū) ;</w:t>
      </w:r>
    </w:p>
    <w:p w14:paraId="154A003C" w14:textId="77777777" w:rsidR="00296288" w:rsidRPr="006D4265" w:rsidRDefault="00296288" w:rsidP="007640DC">
      <w:pPr>
        <w:pStyle w:val="Paragraphedeliste"/>
        <w:numPr>
          <w:ilvl w:val="0"/>
          <w:numId w:val="98"/>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Dieu fait entrer l’obscurité de l’esprit dans la lumière du cœur (Ibn ʿArabī) ;</w:t>
      </w:r>
    </w:p>
    <w:p w14:paraId="52F7C1FB" w14:textId="77777777" w:rsidR="00296288" w:rsidRPr="006D4265" w:rsidRDefault="00296288" w:rsidP="007640DC">
      <w:pPr>
        <w:pStyle w:val="Paragraphedeliste"/>
        <w:numPr>
          <w:ilvl w:val="0"/>
          <w:numId w:val="98"/>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En hiver, la nuit est longue alors que la journée est courte ; en été, la journée e</w:t>
      </w:r>
      <w:r>
        <w:rPr>
          <w:rFonts w:ascii="Times New Roman" w:hAnsi="Times New Roman" w:cs="Times New Roman"/>
          <w:sz w:val="24"/>
          <w:szCs w:val="24"/>
          <w:lang w:eastAsia="fr-FR" w:bidi="ar-AE"/>
        </w:rPr>
        <w:t>st longue et la nuit est courte</w:t>
      </w:r>
      <w:r w:rsidRPr="006D4265">
        <w:rPr>
          <w:rFonts w:ascii="Times New Roman" w:hAnsi="Times New Roman" w:cs="Times New Roman"/>
          <w:sz w:val="24"/>
          <w:szCs w:val="24"/>
          <w:lang w:eastAsia="fr-FR" w:bidi="ar-AE"/>
        </w:rPr>
        <w:t>.</w:t>
      </w:r>
    </w:p>
    <w:p w14:paraId="05D99F44" w14:textId="77777777" w:rsidR="00296288" w:rsidRPr="008563E4" w:rsidRDefault="00296288" w:rsidP="007640DC">
      <w:pPr>
        <w:pStyle w:val="Paragraphedeliste"/>
        <w:numPr>
          <w:ilvl w:val="0"/>
          <w:numId w:val="98"/>
        </w:numPr>
        <w:bidi w:val="0"/>
        <w:spacing w:after="0" w:line="360" w:lineRule="auto"/>
        <w:contextualSpacing/>
        <w:jc w:val="both"/>
        <w:rPr>
          <w:rFonts w:ascii="Times New Roman" w:hAnsi="Times New Roman" w:cs="Times New Roman"/>
          <w:sz w:val="24"/>
          <w:szCs w:val="24"/>
          <w:lang w:eastAsia="fr-FR" w:bidi="ar-AE"/>
        </w:rPr>
      </w:pPr>
      <w:r w:rsidRPr="006D4265">
        <w:rPr>
          <w:rFonts w:ascii="Times New Roman" w:hAnsi="Times New Roman" w:cs="Times New Roman"/>
          <w:sz w:val="24"/>
          <w:szCs w:val="24"/>
          <w:lang w:eastAsia="fr-FR" w:bidi="ar-AE"/>
        </w:rPr>
        <w:t xml:space="preserve">L’exégèse ahmadie parle de l’alternance de l’adversité et de la prospérité. Ainsi, les musulmans ne doivent pas se désespérer </w:t>
      </w:r>
      <w:r>
        <w:rPr>
          <w:rFonts w:ascii="Times New Roman" w:hAnsi="Times New Roman" w:cs="Times New Roman"/>
          <w:sz w:val="24"/>
          <w:szCs w:val="24"/>
          <w:lang w:eastAsia="fr-FR" w:bidi="ar-AE"/>
        </w:rPr>
        <w:t>car</w:t>
      </w:r>
      <w:r w:rsidRPr="006D4265">
        <w:rPr>
          <w:rFonts w:ascii="Times New Roman" w:hAnsi="Times New Roman" w:cs="Times New Roman"/>
          <w:sz w:val="24"/>
          <w:szCs w:val="24"/>
          <w:lang w:eastAsia="fr-FR" w:bidi="ar-AE"/>
        </w:rPr>
        <w:t xml:space="preserve"> la loi de l’histoire dit que les nations puissantes vont subir un déclin et les nations sous-</w:t>
      </w:r>
      <w:r w:rsidRPr="008563E4">
        <w:rPr>
          <w:rFonts w:ascii="Times New Roman" w:hAnsi="Times New Roman" w:cs="Times New Roman"/>
          <w:sz w:val="24"/>
          <w:szCs w:val="24"/>
          <w:lang w:eastAsia="fr-FR" w:bidi="ar-AE"/>
        </w:rPr>
        <w:t>développées s’élèveront.</w:t>
      </w:r>
    </w:p>
    <w:p w14:paraId="08BFA875" w14:textId="77777777" w:rsidR="00296288" w:rsidRPr="006D4265" w:rsidRDefault="00296288" w:rsidP="00296288">
      <w:pPr>
        <w:spacing w:line="360" w:lineRule="auto"/>
        <w:ind w:firstLine="708"/>
        <w:jc w:val="both"/>
        <w:rPr>
          <w:rFonts w:eastAsia="Times New Roman"/>
          <w:lang w:bidi="ar-AE"/>
        </w:rPr>
      </w:pPr>
    </w:p>
    <w:p w14:paraId="3BAE3F2F" w14:textId="77777777" w:rsidR="00296288" w:rsidRDefault="00296288" w:rsidP="00296288">
      <w:pPr>
        <w:spacing w:line="360" w:lineRule="auto"/>
        <w:ind w:firstLine="360"/>
        <w:jc w:val="both"/>
        <w:rPr>
          <w:rFonts w:eastAsia="Times New Roman"/>
        </w:rPr>
      </w:pPr>
      <w:r w:rsidRPr="006D4265">
        <w:rPr>
          <w:rFonts w:eastAsia="Times New Roman"/>
          <w:lang w:bidi="ar-AE"/>
        </w:rPr>
        <w:t>Nous remarquons qu’aucun exégète n’a parlé d’un contenu scientifique de ce verset et n’a jamais compris qu’il peut signifier, même de manière indirecte, la sphéricité de la terre. Cependant, le théologien musulman indien Zakir Abdul Karim Naik (né en 1965) parle d’une inimitabilité scientifique [</w:t>
      </w:r>
      <w:r w:rsidRPr="006D4265">
        <w:rPr>
          <w:rFonts w:eastAsia="Times New Roman"/>
          <w:i/>
          <w:iCs/>
          <w:lang w:bidi="ar-AE"/>
        </w:rPr>
        <w:t>iʿjāz ʿilmī</w:t>
      </w:r>
      <w:r>
        <w:rPr>
          <w:rFonts w:eastAsia="Times New Roman"/>
          <w:lang w:bidi="ar-AE"/>
        </w:rPr>
        <w:t>] dans ce verset :</w:t>
      </w:r>
      <w:r w:rsidRPr="006D4265">
        <w:rPr>
          <w:rFonts w:eastAsia="Times New Roman"/>
          <w:lang w:bidi="ar-AE"/>
        </w:rPr>
        <w:t xml:space="preserve"> </w:t>
      </w:r>
      <w:r>
        <w:rPr>
          <w:rFonts w:eastAsia="Times New Roman"/>
        </w:rPr>
        <w:t xml:space="preserve">« La pénétration </w:t>
      </w:r>
      <w:r w:rsidRPr="006D4265">
        <w:rPr>
          <w:rFonts w:eastAsia="Times New Roman"/>
        </w:rPr>
        <w:t xml:space="preserve">(ou fusionnement) ici signifie que la nuit change lentement et graduellement en jour </w:t>
      </w:r>
      <w:r w:rsidRPr="008563E4">
        <w:rPr>
          <w:rFonts w:eastAsia="Times New Roman"/>
        </w:rPr>
        <w:t>et vice versa. » D’où il déduit : « Ce phénomène ne peut avoir lieu que si la terre est sphérique. »</w:t>
      </w:r>
      <w:r w:rsidRPr="008563E4">
        <w:rPr>
          <w:rFonts w:eastAsia="Calibri"/>
          <w:vertAlign w:val="superscript"/>
          <w:lang w:bidi="ar-AE"/>
        </w:rPr>
        <w:footnoteReference w:id="375"/>
      </w:r>
      <w:r w:rsidRPr="008563E4">
        <w:rPr>
          <w:rFonts w:eastAsia="Times New Roman"/>
        </w:rPr>
        <w:t xml:space="preserve"> Évidemment,</w:t>
      </w:r>
      <w:r w:rsidRPr="008563E4">
        <w:rPr>
          <w:rFonts w:eastAsia="Times New Roman"/>
          <w:lang w:bidi="ar-AE"/>
        </w:rPr>
        <w:t xml:space="preserve"> il ne peut parvenir à cette conclusion qu’</w:t>
      </w:r>
      <w:r w:rsidRPr="008563E4">
        <w:rPr>
          <w:rFonts w:eastAsia="Times New Roman"/>
          <w:i/>
          <w:lang w:bidi="ar-AE"/>
        </w:rPr>
        <w:t>a posteriori</w:t>
      </w:r>
      <w:r w:rsidRPr="008563E4">
        <w:rPr>
          <w:rFonts w:eastAsia="Times New Roman"/>
          <w:lang w:bidi="ar-AE"/>
        </w:rPr>
        <w:t>,</w:t>
      </w:r>
      <w:r w:rsidRPr="008563E4">
        <w:rPr>
          <w:rFonts w:eastAsia="Times New Roman"/>
        </w:rPr>
        <w:t xml:space="preserve"> après que la sphéricité de la terre a été démontrée et que le contexte actuel le pousse à faire concorder le Coran avec cette vérité scientifique.</w:t>
      </w:r>
    </w:p>
    <w:p w14:paraId="26BACE22" w14:textId="77777777" w:rsidR="00296288" w:rsidRPr="005F299E" w:rsidRDefault="00296288" w:rsidP="00296288">
      <w:pPr>
        <w:spacing w:line="360" w:lineRule="auto"/>
        <w:ind w:firstLine="360"/>
        <w:jc w:val="both"/>
        <w:rPr>
          <w:rFonts w:eastAsia="Times New Roman"/>
        </w:rPr>
      </w:pPr>
    </w:p>
    <w:p w14:paraId="6782C2F2" w14:textId="77777777" w:rsidR="00296288" w:rsidRPr="005F299E" w:rsidRDefault="00296288" w:rsidP="00296288">
      <w:pPr>
        <w:spacing w:line="360" w:lineRule="auto"/>
        <w:ind w:firstLine="360"/>
        <w:contextualSpacing/>
        <w:jc w:val="both"/>
        <w:rPr>
          <w:rFonts w:asciiTheme="majorBidi" w:eastAsia="Times New Roman" w:hAnsiTheme="majorBidi" w:cstheme="majorBidi"/>
          <w:lang w:bidi="ar-AE"/>
        </w:rPr>
      </w:pPr>
      <w:r w:rsidRPr="005F299E">
        <w:rPr>
          <w:rFonts w:asciiTheme="majorBidi" w:eastAsia="Times New Roman" w:hAnsiTheme="majorBidi" w:cstheme="majorBidi"/>
        </w:rPr>
        <w:t>Le passage de la première et ancienne interprétation (</w:t>
      </w:r>
      <w:r w:rsidRPr="005F299E">
        <w:rPr>
          <w:rFonts w:asciiTheme="majorBidi" w:eastAsia="Times New Roman" w:hAnsiTheme="majorBidi" w:cstheme="majorBidi"/>
          <w:lang w:bidi="ar-AE"/>
        </w:rPr>
        <w:t xml:space="preserve">Dieu est capable de donner la victoire à Muḥammad) à l’interprétation récente (sphéricité de la terre) semble être non évolutive et arbitraire selon les termes de </w:t>
      </w:r>
      <w:r w:rsidRPr="005F299E">
        <w:rPr>
          <w:rFonts w:asciiTheme="majorBidi" w:eastAsia="Times New Roman" w:hAnsiTheme="majorBidi" w:cstheme="majorBidi"/>
        </w:rPr>
        <w:t>Soufian Al Karjousli dans sa thèse</w:t>
      </w:r>
      <w:r w:rsidRPr="005F299E">
        <w:rPr>
          <w:rFonts w:asciiTheme="majorBidi" w:eastAsia="Times New Roman" w:hAnsiTheme="majorBidi" w:cstheme="majorBidi"/>
          <w:vertAlign w:val="superscript"/>
        </w:rPr>
        <w:footnoteReference w:id="376"/>
      </w:r>
      <w:r w:rsidRPr="005F299E">
        <w:rPr>
          <w:rFonts w:asciiTheme="majorBidi" w:eastAsia="Times New Roman" w:hAnsiTheme="majorBidi" w:cstheme="majorBidi"/>
        </w:rPr>
        <w:t>. Il s’agit là d’une « néologie stratifiée », selon les termes de Joseph Dichy cités par Richard Jacquemond</w:t>
      </w:r>
      <w:r w:rsidRPr="005F299E">
        <w:rPr>
          <w:rStyle w:val="Appelnotedebasdep"/>
          <w:rFonts w:asciiTheme="majorBidi" w:hAnsiTheme="majorBidi" w:cstheme="majorBidi"/>
        </w:rPr>
        <w:footnoteReference w:id="377"/>
      </w:r>
      <w:r w:rsidRPr="005F299E">
        <w:rPr>
          <w:rFonts w:asciiTheme="majorBidi" w:hAnsiTheme="majorBidi" w:cstheme="majorBidi"/>
        </w:rPr>
        <w:t xml:space="preserve">, néologie définie « par deux traits fondamentaux : "la conservation du sens ancien des vocables à  côté de leur sens moderne" et "une interpénétration potentielle des sens anciens et modernes". L’un des effets les plus pernicieux de cette interpénétration se donne à voir dans les relectures contemporaines des </w:t>
      </w:r>
      <w:r w:rsidRPr="005F299E">
        <w:rPr>
          <w:rFonts w:asciiTheme="majorBidi" w:hAnsiTheme="majorBidi" w:cstheme="majorBidi"/>
        </w:rPr>
        <w:lastRenderedPageBreak/>
        <w:t>textes classiques, en particulier religieux, où de nombreux acteurs projettent des significations purement modernes sur des termes anciens »</w:t>
      </w:r>
      <w:r w:rsidRPr="005F299E">
        <w:rPr>
          <w:rStyle w:val="Appelnotedebasdep"/>
        </w:rPr>
        <w:footnoteReference w:id="378"/>
      </w:r>
    </w:p>
    <w:p w14:paraId="1E7D9A87" w14:textId="77777777" w:rsidR="00296288" w:rsidRDefault="00296288" w:rsidP="00296288">
      <w:pPr>
        <w:spacing w:line="360" w:lineRule="auto"/>
        <w:rPr>
          <w:rFonts w:eastAsia="Calibri"/>
          <w:lang w:bidi="ar-AE"/>
        </w:rPr>
      </w:pPr>
    </w:p>
    <w:p w14:paraId="455A9521" w14:textId="77777777" w:rsidR="008503C6" w:rsidRPr="005F299E" w:rsidRDefault="008503C6" w:rsidP="00296288">
      <w:pPr>
        <w:spacing w:line="360" w:lineRule="auto"/>
        <w:rPr>
          <w:rFonts w:eastAsia="Calibri"/>
          <w:lang w:bidi="ar-AE"/>
        </w:rPr>
      </w:pPr>
    </w:p>
    <w:p w14:paraId="539DF400" w14:textId="77777777" w:rsidR="00296288" w:rsidRPr="006D4265" w:rsidRDefault="00296288" w:rsidP="00296288">
      <w:pPr>
        <w:spacing w:line="360" w:lineRule="auto"/>
        <w:jc w:val="both"/>
        <w:rPr>
          <w:rFonts w:eastAsia="Times New Roman"/>
          <w:b/>
          <w:bCs/>
          <w:lang w:bidi="ar-AE"/>
        </w:rPr>
      </w:pPr>
      <w:r w:rsidRPr="006D4265">
        <w:rPr>
          <w:rFonts w:eastAsia="Times New Roman"/>
          <w:b/>
          <w:bCs/>
          <w:lang w:bidi="ar-AE"/>
        </w:rPr>
        <w:t>Le verset 66 : pour ou contre la réincarnation ?</w:t>
      </w:r>
    </w:p>
    <w:p w14:paraId="6DA67E5C" w14:textId="77777777" w:rsidR="00296288" w:rsidRPr="006D4265" w:rsidRDefault="00296288" w:rsidP="00296288">
      <w:pPr>
        <w:bidi/>
        <w:spacing w:line="360" w:lineRule="auto"/>
        <w:jc w:val="both"/>
        <w:rPr>
          <w:rFonts w:ascii="Simplified Arabic" w:eastAsia="Times New Roman" w:hAnsi="Simplified Arabic" w:cs="Simplified Arabic"/>
          <w:lang w:bidi="ar-KW"/>
        </w:rPr>
      </w:pPr>
      <w:r w:rsidRPr="006D4265">
        <w:rPr>
          <w:rFonts w:ascii="Simplified Arabic" w:eastAsia="Times New Roman" w:hAnsi="Simplified Arabic" w:cs="Simplified Arabic"/>
          <w:rtl/>
        </w:rPr>
        <w:t>(66) وهو الذي أحياكم ثم يُميتُكم ثم يُحْييكم إنَّ الإنسانَ لك</w:t>
      </w:r>
      <w:r w:rsidRPr="006D4265">
        <w:rPr>
          <w:rFonts w:ascii="Simplified Arabic" w:eastAsia="Times New Roman" w:hAnsi="Simplified Arabic" w:cs="Simplified Arabic" w:hint="cs"/>
          <w:rtl/>
          <w:lang w:bidi="ar-KW"/>
        </w:rPr>
        <w:t>َ</w:t>
      </w:r>
      <w:r w:rsidRPr="006D4265">
        <w:rPr>
          <w:rFonts w:ascii="Simplified Arabic" w:eastAsia="Times New Roman" w:hAnsi="Simplified Arabic" w:cs="Simplified Arabic"/>
          <w:rtl/>
        </w:rPr>
        <w:t>فور</w:t>
      </w:r>
      <w:r w:rsidRPr="006D4265">
        <w:rPr>
          <w:rFonts w:ascii="Simplified Arabic" w:eastAsia="Times New Roman" w:hAnsi="Simplified Arabic" w:cs="Simplified Arabic"/>
          <w:rtl/>
          <w:lang w:bidi="ar-KW"/>
        </w:rPr>
        <w:t>.</w:t>
      </w:r>
    </w:p>
    <w:p w14:paraId="274A91E0" w14:textId="77777777" w:rsidR="00296288" w:rsidRPr="006D4265" w:rsidRDefault="00296288" w:rsidP="00296288">
      <w:pPr>
        <w:spacing w:line="360" w:lineRule="auto"/>
        <w:contextualSpacing/>
        <w:jc w:val="both"/>
        <w:rPr>
          <w:rFonts w:eastAsia="Calibri"/>
          <w:rtl/>
          <w:lang w:bidi="ar-AE"/>
        </w:rPr>
      </w:pPr>
      <w:r w:rsidRPr="006D4265">
        <w:rPr>
          <w:rFonts w:eastAsia="Times New Roman"/>
          <w:lang w:bidi="ar-AE"/>
        </w:rPr>
        <w:t xml:space="preserve">(66) </w:t>
      </w:r>
      <w:r w:rsidRPr="006D4265">
        <w:rPr>
          <w:rFonts w:eastAsia="Calibri"/>
          <w:lang w:bidi="ar-AE"/>
        </w:rPr>
        <w:t>C’est Lui qui vous a fait vivre, et puis vous fera mourir, et enfin vous fera revivre – Mais l’homme est plein d’ingratitude…</w:t>
      </w:r>
    </w:p>
    <w:p w14:paraId="72CAFAFD" w14:textId="77777777" w:rsidR="00296288" w:rsidRPr="006D4265" w:rsidRDefault="00296288" w:rsidP="00296288">
      <w:pPr>
        <w:spacing w:line="360" w:lineRule="auto"/>
        <w:jc w:val="both"/>
        <w:rPr>
          <w:rFonts w:eastAsia="Times New Roman"/>
          <w:lang w:bidi="ar-AE"/>
        </w:rPr>
      </w:pPr>
    </w:p>
    <w:p w14:paraId="700BBA16" w14:textId="77777777" w:rsidR="00296288" w:rsidRPr="006D4265" w:rsidRDefault="00296288" w:rsidP="00296288">
      <w:pPr>
        <w:spacing w:line="360" w:lineRule="auto"/>
        <w:ind w:firstLine="708"/>
        <w:jc w:val="both"/>
        <w:rPr>
          <w:rFonts w:eastAsia="Times New Roman"/>
          <w:color w:val="FF0000"/>
          <w:lang w:bidi="ar-AE"/>
        </w:rPr>
      </w:pPr>
      <w:r w:rsidRPr="006D4265">
        <w:rPr>
          <w:rFonts w:eastAsia="Times New Roman"/>
          <w:lang w:bidi="ar-AE"/>
        </w:rPr>
        <w:t>Il y a ici une amphibologie. Le verset peut affirmer ou démentir la réincarnation. L’orthodoxie musulmane a imposé une lecture littérale et monosémique, alors que les courants hétérodoxes (druzes, alaouites et certains soufis comme Al-</w:t>
      </w:r>
      <w:r w:rsidRPr="006D4265">
        <w:rPr>
          <w:rFonts w:eastAsia="Times New Roman"/>
        </w:rPr>
        <w:t>Ḥallāj</w:t>
      </w:r>
      <w:r w:rsidRPr="006D4265">
        <w:rPr>
          <w:rFonts w:eastAsia="Times New Roman"/>
          <w:lang w:bidi="ar-AE"/>
        </w:rPr>
        <w:t xml:space="preserve">) </w:t>
      </w:r>
      <w:r>
        <w:rPr>
          <w:rFonts w:eastAsia="Times New Roman"/>
          <w:lang w:bidi="ar-AE"/>
        </w:rPr>
        <w:t xml:space="preserve">y </w:t>
      </w:r>
      <w:r w:rsidRPr="006D4265">
        <w:rPr>
          <w:rFonts w:eastAsia="Times New Roman"/>
          <w:lang w:bidi="ar-AE"/>
        </w:rPr>
        <w:t>ont trouvé une signification philosophique.</w:t>
      </w:r>
    </w:p>
    <w:p w14:paraId="0CEED9B4" w14:textId="77777777" w:rsidR="00296288" w:rsidRPr="006D4265" w:rsidRDefault="00296288" w:rsidP="00296288">
      <w:pPr>
        <w:spacing w:line="360" w:lineRule="auto"/>
        <w:ind w:firstLine="708"/>
        <w:jc w:val="both"/>
        <w:rPr>
          <w:rFonts w:eastAsia="Times New Roman"/>
          <w:lang w:bidi="ar-AE"/>
        </w:rPr>
      </w:pPr>
    </w:p>
    <w:p w14:paraId="42227DAC" w14:textId="77777777" w:rsidR="00296288" w:rsidRPr="00BD0302" w:rsidRDefault="00296288" w:rsidP="00296288">
      <w:pPr>
        <w:spacing w:line="360" w:lineRule="auto"/>
        <w:ind w:firstLine="708"/>
        <w:jc w:val="both"/>
        <w:rPr>
          <w:rFonts w:eastAsia="Times New Roman"/>
          <w:lang w:bidi="ar-AE"/>
        </w:rPr>
      </w:pPr>
      <w:r w:rsidRPr="006D4265">
        <w:rPr>
          <w:rFonts w:eastAsia="Times New Roman"/>
          <w:lang w:bidi="ar-AE"/>
        </w:rPr>
        <w:t xml:space="preserve">Morphologiquement et sémantiquement parlant, le premier verbe </w:t>
      </w:r>
      <w:r w:rsidRPr="006D4265">
        <w:rPr>
          <w:rFonts w:eastAsia="Times New Roman"/>
          <w:i/>
          <w:iCs/>
          <w:lang w:bidi="ar-AE"/>
        </w:rPr>
        <w:t>aḥyā</w:t>
      </w:r>
      <w:r>
        <w:rPr>
          <w:rFonts w:eastAsia="Times New Roman"/>
          <w:i/>
          <w:iCs/>
          <w:lang w:bidi="ar-AE"/>
        </w:rPr>
        <w:t>-</w:t>
      </w:r>
      <w:r w:rsidRPr="006D4265">
        <w:rPr>
          <w:rFonts w:eastAsia="Times New Roman"/>
          <w:i/>
          <w:iCs/>
          <w:lang w:bidi="ar-AE"/>
        </w:rPr>
        <w:t>kum</w:t>
      </w:r>
      <w:r w:rsidRPr="006D4265">
        <w:rPr>
          <w:rFonts w:eastAsia="Times New Roman"/>
          <w:lang w:bidi="ar-AE"/>
        </w:rPr>
        <w:t xml:space="preserve"> [</w:t>
      </w:r>
      <w:r w:rsidRPr="006D4265">
        <w:rPr>
          <w:rFonts w:eastAsia="Times New Roman"/>
        </w:rPr>
        <w:t>Il vous a rendu la vie</w:t>
      </w:r>
      <w:r w:rsidRPr="006D4265">
        <w:rPr>
          <w:rFonts w:eastAsia="Times New Roman"/>
          <w:lang w:bidi="ar-AE"/>
        </w:rPr>
        <w:t xml:space="preserve">] </w:t>
      </w:r>
      <w:r w:rsidRPr="006D4265">
        <w:rPr>
          <w:rFonts w:eastAsia="Times New Roman"/>
        </w:rPr>
        <w:t xml:space="preserve">(par opposition </w:t>
      </w:r>
      <w:r>
        <w:rPr>
          <w:rFonts w:eastAsia="Times New Roman"/>
        </w:rPr>
        <w:t>à</w:t>
      </w:r>
      <w:r w:rsidRPr="006D4265">
        <w:rPr>
          <w:rFonts w:eastAsia="Times New Roman"/>
        </w:rPr>
        <w:t xml:space="preserve"> </w:t>
      </w:r>
      <w:r w:rsidRPr="006D4265">
        <w:rPr>
          <w:rFonts w:eastAsia="Times New Roman"/>
          <w:i/>
          <w:iCs/>
        </w:rPr>
        <w:t>khalaqa</w:t>
      </w:r>
      <w:r>
        <w:rPr>
          <w:rFonts w:eastAsia="Times New Roman"/>
          <w:i/>
          <w:iCs/>
        </w:rPr>
        <w:t>-</w:t>
      </w:r>
      <w:r w:rsidRPr="006D4265">
        <w:rPr>
          <w:rFonts w:eastAsia="Times New Roman"/>
          <w:i/>
          <w:iCs/>
        </w:rPr>
        <w:t>kum</w:t>
      </w:r>
      <w:r w:rsidRPr="006D4265">
        <w:rPr>
          <w:rFonts w:eastAsia="Times New Roman"/>
        </w:rPr>
        <w:t xml:space="preserve"> [Il vous a créés]) prend la forme augmentée factitive</w:t>
      </w:r>
      <w:r w:rsidRPr="006D4265">
        <w:rPr>
          <w:rFonts w:eastAsia="Times New Roman"/>
          <w:lang w:bidi="ar-AE"/>
        </w:rPr>
        <w:t xml:space="preserve"> IV de la racine </w:t>
      </w:r>
      <w:r w:rsidRPr="006D4265">
        <w:rPr>
          <w:rFonts w:eastAsia="Times New Roman"/>
          <w:i/>
          <w:iCs/>
          <w:lang w:bidi="ar-AE"/>
        </w:rPr>
        <w:t>ḥayiya</w:t>
      </w:r>
      <w:r w:rsidRPr="006D4265">
        <w:rPr>
          <w:rFonts w:eastAsia="Times New Roman"/>
          <w:lang w:bidi="ar-AE"/>
        </w:rPr>
        <w:t xml:space="preserve"> [vivre, être en vie] (antonyme de </w:t>
      </w:r>
      <w:r w:rsidRPr="006D4265">
        <w:rPr>
          <w:rFonts w:eastAsia="Times New Roman"/>
          <w:i/>
          <w:iCs/>
          <w:lang w:bidi="ar-AE"/>
        </w:rPr>
        <w:t>māta</w:t>
      </w:r>
      <w:r w:rsidRPr="006D4265">
        <w:rPr>
          <w:rFonts w:eastAsia="Times New Roman"/>
          <w:lang w:bidi="ar-AE"/>
        </w:rPr>
        <w:t xml:space="preserve"> [mourir]). Le verbe </w:t>
      </w:r>
      <w:r w:rsidRPr="006D4265">
        <w:rPr>
          <w:rFonts w:eastAsia="Times New Roman"/>
          <w:i/>
          <w:iCs/>
          <w:lang w:bidi="ar-AE"/>
        </w:rPr>
        <w:t xml:space="preserve">aḥyā </w:t>
      </w:r>
      <w:r w:rsidRPr="006D4265">
        <w:rPr>
          <w:rFonts w:eastAsia="Times New Roman"/>
          <w:lang w:bidi="ar-AE"/>
        </w:rPr>
        <w:t xml:space="preserve">[rendre la vie] n’a pas la même valeur sémantique ni la même utilisation que le verbe </w:t>
      </w:r>
      <w:r w:rsidRPr="006D4265">
        <w:rPr>
          <w:rFonts w:eastAsia="Times New Roman"/>
          <w:i/>
          <w:iCs/>
          <w:lang w:bidi="ar-AE"/>
        </w:rPr>
        <w:t>khalaqa</w:t>
      </w:r>
      <w:r w:rsidRPr="006D4265">
        <w:rPr>
          <w:rFonts w:eastAsia="Times New Roman"/>
          <w:lang w:bidi="ar-AE"/>
        </w:rPr>
        <w:t xml:space="preserve"> [créer]. La forme verbale </w:t>
      </w:r>
      <w:r w:rsidRPr="006D4265">
        <w:rPr>
          <w:rFonts w:eastAsia="Times New Roman"/>
          <w:i/>
          <w:iCs/>
          <w:lang w:bidi="ar-AE"/>
        </w:rPr>
        <w:t xml:space="preserve">aḥyā </w:t>
      </w:r>
      <w:r w:rsidRPr="006D4265">
        <w:rPr>
          <w:rFonts w:eastAsia="Times New Roman"/>
          <w:lang w:bidi="ar-AE"/>
        </w:rPr>
        <w:t>a une valeur factitive (causative) (</w:t>
      </w:r>
      <w:r w:rsidRPr="006D4265">
        <w:rPr>
          <w:rFonts w:eastAsia="Times New Roman"/>
          <w:i/>
          <w:iCs/>
          <w:lang w:bidi="ar-AE"/>
        </w:rPr>
        <w:t>taʿdiya</w:t>
      </w:r>
      <w:r w:rsidRPr="006D4265">
        <w:rPr>
          <w:rFonts w:eastAsia="Times New Roman"/>
          <w:lang w:bidi="ar-AE"/>
        </w:rPr>
        <w:t xml:space="preserve"> [transitivation] ou </w:t>
      </w:r>
      <w:r w:rsidRPr="006D4265">
        <w:rPr>
          <w:rFonts w:eastAsia="Times New Roman"/>
          <w:i/>
          <w:iCs/>
          <w:lang w:bidi="ar-AE"/>
        </w:rPr>
        <w:t>jaʿl</w:t>
      </w:r>
      <w:r w:rsidRPr="006D4265">
        <w:rPr>
          <w:rFonts w:eastAsia="Times New Roman"/>
          <w:lang w:bidi="ar-AE"/>
        </w:rPr>
        <w:t xml:space="preserve"> [faire]). Si </w:t>
      </w:r>
      <w:r w:rsidRPr="006D4265">
        <w:rPr>
          <w:rFonts w:eastAsia="Times New Roman"/>
          <w:i/>
          <w:iCs/>
          <w:lang w:bidi="ar-AE"/>
        </w:rPr>
        <w:t>ḥayiya</w:t>
      </w:r>
      <w:r w:rsidRPr="006D4265">
        <w:rPr>
          <w:rFonts w:eastAsia="Times New Roman"/>
          <w:lang w:bidi="ar-AE"/>
        </w:rPr>
        <w:t xml:space="preserve"> signifie : « vivre »,</w:t>
      </w:r>
      <w:r>
        <w:rPr>
          <w:rFonts w:eastAsia="Times New Roman"/>
          <w:lang w:bidi="ar-AE"/>
        </w:rPr>
        <w:t xml:space="preserve"> </w:t>
      </w:r>
      <w:r w:rsidRPr="006D4265">
        <w:rPr>
          <w:rFonts w:eastAsia="Times New Roman"/>
          <w:i/>
          <w:iCs/>
          <w:lang w:bidi="ar-AE"/>
        </w:rPr>
        <w:t>ʾaḥyā</w:t>
      </w:r>
      <w:r w:rsidRPr="006D4265">
        <w:rPr>
          <w:rFonts w:eastAsia="Times New Roman"/>
          <w:lang w:bidi="ar-AE"/>
        </w:rPr>
        <w:t xml:space="preserve"> doit donc signifier : « faire revivre, ressusciter », ce qui</w:t>
      </w:r>
      <w:r>
        <w:rPr>
          <w:rFonts w:eastAsia="Times New Roman"/>
          <w:lang w:bidi="ar-AE"/>
        </w:rPr>
        <w:t xml:space="preserve"> </w:t>
      </w:r>
      <w:r w:rsidRPr="00BD0302">
        <w:rPr>
          <w:rFonts w:eastAsia="Times New Roman"/>
          <w:lang w:bidi="ar-AE"/>
        </w:rPr>
        <w:t>indique que les personnes visées par le complément (-</w:t>
      </w:r>
      <w:r w:rsidRPr="00BD0302">
        <w:rPr>
          <w:rFonts w:eastAsia="Times New Roman"/>
          <w:i/>
          <w:lang w:bidi="ar-AE"/>
        </w:rPr>
        <w:t>kum</w:t>
      </w:r>
      <w:r w:rsidRPr="00BD0302">
        <w:rPr>
          <w:rFonts w:eastAsia="Times New Roman"/>
          <w:lang w:bidi="ar-AE"/>
        </w:rPr>
        <w:t>) étaient mortes.</w:t>
      </w:r>
    </w:p>
    <w:p w14:paraId="403BFA90" w14:textId="77777777" w:rsidR="00296288" w:rsidRPr="006D4265" w:rsidRDefault="00296288" w:rsidP="00296288">
      <w:pPr>
        <w:spacing w:line="360" w:lineRule="auto"/>
        <w:ind w:firstLine="708"/>
        <w:jc w:val="both"/>
        <w:rPr>
          <w:rFonts w:eastAsia="Times New Roman"/>
          <w:lang w:bidi="ar-AE"/>
        </w:rPr>
      </w:pPr>
    </w:p>
    <w:p w14:paraId="5808404D" w14:textId="77777777" w:rsidR="00296288" w:rsidRPr="006D4265" w:rsidRDefault="00296288" w:rsidP="00296288">
      <w:pPr>
        <w:spacing w:line="360" w:lineRule="auto"/>
        <w:ind w:firstLine="708"/>
        <w:jc w:val="both"/>
        <w:rPr>
          <w:rFonts w:eastAsia="Times New Roman"/>
          <w:lang w:bidi="ar-AE"/>
        </w:rPr>
      </w:pPr>
      <w:r w:rsidRPr="006D4265">
        <w:rPr>
          <w:rFonts w:eastAsia="Times New Roman"/>
          <w:lang w:bidi="ar-AE"/>
        </w:rPr>
        <w:t xml:space="preserve">C’est pourquoi le verset III, 49 utilise le verbe </w:t>
      </w:r>
      <w:r w:rsidRPr="006D4265">
        <w:rPr>
          <w:rFonts w:eastAsia="Times New Roman"/>
          <w:i/>
          <w:iCs/>
          <w:lang w:bidi="ar-AE"/>
        </w:rPr>
        <w:t>aḥyā</w:t>
      </w:r>
      <w:r w:rsidRPr="006D4265">
        <w:rPr>
          <w:rFonts w:eastAsia="Times New Roman"/>
          <w:lang w:bidi="ar-AE"/>
        </w:rPr>
        <w:t xml:space="preserve"> avec le COD </w:t>
      </w:r>
      <w:r w:rsidRPr="006D4265">
        <w:rPr>
          <w:rFonts w:eastAsia="Times New Roman"/>
          <w:i/>
          <w:iCs/>
          <w:lang w:bidi="ar-AE"/>
        </w:rPr>
        <w:t>al-mawtā</w:t>
      </w:r>
      <w:r w:rsidRPr="006D4265">
        <w:rPr>
          <w:rFonts w:eastAsia="Times New Roman"/>
          <w:lang w:bidi="ar-AE"/>
        </w:rPr>
        <w:t xml:space="preserve"> [les morts] («</w:t>
      </w:r>
      <w:r>
        <w:rPr>
          <w:rFonts w:eastAsia="Times New Roman"/>
          <w:lang w:bidi="ar-AE"/>
        </w:rPr>
        <w:t xml:space="preserve"> </w:t>
      </w:r>
      <w:r w:rsidRPr="007A3DB3">
        <w:rPr>
          <w:rFonts w:eastAsia="Times New Roman"/>
          <w:i/>
          <w:lang w:bidi="ar-AE"/>
        </w:rPr>
        <w:t>wa-</w:t>
      </w:r>
      <w:r w:rsidRPr="007A3DB3">
        <w:rPr>
          <w:rFonts w:eastAsia="Times New Roman"/>
          <w:i/>
          <w:iCs/>
          <w:lang w:bidi="ar-AE"/>
        </w:rPr>
        <w:t>yuḥ</w:t>
      </w:r>
      <w:r w:rsidRPr="007A3DB3">
        <w:rPr>
          <w:rFonts w:eastAsia="Times New Roman"/>
          <w:i/>
        </w:rPr>
        <w:t>yi</w:t>
      </w:r>
      <w:r w:rsidRPr="006D4265">
        <w:rPr>
          <w:rFonts w:eastAsia="Times New Roman"/>
          <w:i/>
          <w:iCs/>
          <w:lang w:bidi="ar-AE"/>
        </w:rPr>
        <w:t xml:space="preserve"> l-mawtā</w:t>
      </w:r>
      <w:r w:rsidRPr="006D4265">
        <w:rPr>
          <w:rFonts w:eastAsia="Times New Roman"/>
          <w:lang w:bidi="ar-AE"/>
        </w:rPr>
        <w:t xml:space="preserve"> » [je ressuscite les morts], en parlant de Jésus). Les hétérodoxes (druzes et alaouites) ont opté pour cette signification du verbe </w:t>
      </w:r>
      <w:r w:rsidRPr="006D4265">
        <w:rPr>
          <w:rFonts w:eastAsia="Times New Roman"/>
          <w:i/>
          <w:iCs/>
          <w:lang w:bidi="ar-AE"/>
        </w:rPr>
        <w:t>aḥyā</w:t>
      </w:r>
      <w:r>
        <w:rPr>
          <w:rFonts w:eastAsia="Times New Roman"/>
          <w:lang w:bidi="ar-AE"/>
        </w:rPr>
        <w:t>, à savoir : ressusciter – </w:t>
      </w:r>
      <w:r w:rsidRPr="006D4265">
        <w:rPr>
          <w:rFonts w:eastAsia="Times New Roman"/>
          <w:lang w:bidi="ar-AE"/>
        </w:rPr>
        <w:t>signification qui est en accord avec leu</w:t>
      </w:r>
      <w:r>
        <w:rPr>
          <w:rFonts w:eastAsia="Times New Roman"/>
          <w:lang w:bidi="ar-AE"/>
        </w:rPr>
        <w:t>r dogme, m</w:t>
      </w:r>
      <w:r w:rsidRPr="006D4265">
        <w:rPr>
          <w:rFonts w:eastAsia="Times New Roman"/>
          <w:lang w:bidi="ar-AE"/>
        </w:rPr>
        <w:t xml:space="preserve">ais </w:t>
      </w:r>
      <w:r>
        <w:rPr>
          <w:rFonts w:eastAsia="Times New Roman"/>
          <w:lang w:bidi="ar-AE"/>
        </w:rPr>
        <w:t>contredit</w:t>
      </w:r>
      <w:r w:rsidRPr="006D4265">
        <w:rPr>
          <w:rFonts w:eastAsia="Times New Roman"/>
          <w:lang w:bidi="ar-AE"/>
        </w:rPr>
        <w:t xml:space="preserve"> le dogme orthodoxe sunnite et chiite. Les exégètes sunn</w:t>
      </w:r>
      <w:r>
        <w:rPr>
          <w:rFonts w:eastAsia="Times New Roman"/>
          <w:lang w:bidi="ar-AE"/>
        </w:rPr>
        <w:t>ites et chiites l’interprètent dans le sens de</w:t>
      </w:r>
      <w:r w:rsidRPr="006D4265">
        <w:rPr>
          <w:rFonts w:eastAsia="Times New Roman"/>
          <w:lang w:bidi="ar-AE"/>
        </w:rPr>
        <w:t xml:space="preserve"> « créer », bien que le verset II, 28 affirme le sens de « ressusciter », en soulignant clairement que « vous étiez </w:t>
      </w:r>
      <w:r w:rsidRPr="006D4265">
        <w:rPr>
          <w:rFonts w:eastAsia="Times New Roman"/>
          <w:i/>
          <w:iCs/>
          <w:lang w:bidi="ar-AE"/>
        </w:rPr>
        <w:t>morts</w:t>
      </w:r>
      <w:r w:rsidRPr="006D4265">
        <w:rPr>
          <w:rFonts w:eastAsia="Times New Roman"/>
          <w:lang w:bidi="ar-AE"/>
        </w:rPr>
        <w:t xml:space="preserve"> puis Dieu vous a ressuscités [«</w:t>
      </w:r>
      <w:r>
        <w:rPr>
          <w:rFonts w:eastAsia="Times New Roman"/>
          <w:lang w:bidi="ar-AE"/>
        </w:rPr>
        <w:t xml:space="preserve"> </w:t>
      </w:r>
      <w:r w:rsidRPr="00A96037">
        <w:rPr>
          <w:rFonts w:eastAsia="Times New Roman" w:hint="cs"/>
          <w:i/>
          <w:rtl/>
          <w:lang w:bidi="ar-AE"/>
        </w:rPr>
        <w:t>وكنتم أمواتاً فأحياكم</w:t>
      </w:r>
      <w:r w:rsidRPr="006D4265">
        <w:rPr>
          <w:rFonts w:eastAsia="Times New Roman"/>
          <w:lang w:bidi="ar-AE"/>
        </w:rPr>
        <w:t xml:space="preserve"> »] ». Ils ont compris le verbe </w:t>
      </w:r>
      <w:r w:rsidRPr="006D4265">
        <w:rPr>
          <w:rFonts w:eastAsia="Times New Roman"/>
          <w:i/>
          <w:iCs/>
          <w:lang w:bidi="ar-AE"/>
        </w:rPr>
        <w:t>aḥyā</w:t>
      </w:r>
      <w:r w:rsidRPr="006D4265">
        <w:rPr>
          <w:rFonts w:eastAsia="Times New Roman"/>
          <w:lang w:bidi="ar-AE"/>
        </w:rPr>
        <w:t xml:space="preserve"> dans le sens de « faire naître ».</w:t>
      </w:r>
    </w:p>
    <w:p w14:paraId="4F97A995" w14:textId="77777777" w:rsidR="00296288" w:rsidRPr="006D4265" w:rsidRDefault="00296288" w:rsidP="00296288">
      <w:pPr>
        <w:spacing w:line="360" w:lineRule="auto"/>
        <w:jc w:val="both"/>
        <w:rPr>
          <w:rFonts w:eastAsia="Times New Roman"/>
          <w:lang w:bidi="ar-AE"/>
        </w:rPr>
      </w:pPr>
    </w:p>
    <w:p w14:paraId="08518A48" w14:textId="77777777" w:rsidR="00296288" w:rsidRPr="006D4265" w:rsidRDefault="00296288" w:rsidP="00296288">
      <w:pPr>
        <w:spacing w:line="360" w:lineRule="auto"/>
        <w:ind w:firstLine="708"/>
        <w:jc w:val="both"/>
        <w:rPr>
          <w:rFonts w:eastAsia="Times New Roman"/>
          <w:lang w:bidi="ar-KW"/>
        </w:rPr>
      </w:pPr>
      <w:r w:rsidRPr="006D4265">
        <w:rPr>
          <w:rFonts w:eastAsia="Times New Roman"/>
          <w:lang w:bidi="ar-AE"/>
        </w:rPr>
        <w:t>L’une des significations de la clausule du verset 66 (« </w:t>
      </w:r>
      <w:r>
        <w:rPr>
          <w:rFonts w:eastAsia="Times New Roman" w:hint="cs"/>
          <w:rtl/>
          <w:lang w:bidi="ar-AE"/>
        </w:rPr>
        <w:t>إن الإنسان لكفور</w:t>
      </w:r>
      <w:r w:rsidRPr="006D4265">
        <w:rPr>
          <w:rFonts w:eastAsia="Times New Roman"/>
        </w:rPr>
        <w:t> »</w:t>
      </w:r>
      <w:r w:rsidRPr="006D4265">
        <w:rPr>
          <w:rFonts w:eastAsia="Times New Roman"/>
          <w:lang w:bidi="ar-AE"/>
        </w:rPr>
        <w:t xml:space="preserve">) consolide l’idée de la réincarnation. Nous avons vu que l’une des significations du mot </w:t>
      </w:r>
      <w:r w:rsidRPr="006D4265">
        <w:rPr>
          <w:rFonts w:eastAsia="Times New Roman"/>
          <w:i/>
          <w:iCs/>
          <w:lang w:bidi="ar-AE"/>
        </w:rPr>
        <w:t>kafūr</w:t>
      </w:r>
      <w:r w:rsidRPr="006D4265">
        <w:rPr>
          <w:rFonts w:eastAsia="Times New Roman"/>
          <w:lang w:bidi="ar-AE"/>
        </w:rPr>
        <w:t xml:space="preserve"> est </w:t>
      </w:r>
      <w:r w:rsidRPr="006D4265">
        <w:rPr>
          <w:rFonts w:eastAsia="Times New Roman"/>
          <w:lang w:bidi="ar-KW"/>
        </w:rPr>
        <w:t>celui qui oublie ou celui dément le fait d’être mort et revivifié, i.e. celui qui oublie ses vies antérieures.</w:t>
      </w:r>
    </w:p>
    <w:p w14:paraId="3B3294C5" w14:textId="77777777" w:rsidR="00296288" w:rsidRPr="006D4265" w:rsidRDefault="00296288" w:rsidP="00296288">
      <w:pPr>
        <w:spacing w:line="360" w:lineRule="auto"/>
        <w:jc w:val="both"/>
        <w:rPr>
          <w:rFonts w:eastAsia="Times New Roman"/>
          <w:lang w:bidi="ar-AE"/>
        </w:rPr>
      </w:pPr>
    </w:p>
    <w:p w14:paraId="1E820E47" w14:textId="77777777" w:rsidR="00296288" w:rsidRPr="006D4265" w:rsidRDefault="00296288" w:rsidP="00296288">
      <w:pPr>
        <w:spacing w:line="360" w:lineRule="auto"/>
        <w:jc w:val="both"/>
        <w:rPr>
          <w:rFonts w:asciiTheme="majorBidi" w:eastAsia="Times New Roman" w:hAnsiTheme="majorBidi" w:cstheme="majorBidi"/>
          <w:lang w:bidi="ar-AE"/>
        </w:rPr>
      </w:pPr>
      <w:r w:rsidRPr="006D4265">
        <w:rPr>
          <w:rFonts w:asciiTheme="majorBidi" w:eastAsia="Times New Roman" w:hAnsiTheme="majorBidi" w:cstheme="majorBidi"/>
          <w:b/>
          <w:bCs/>
          <w:lang w:bidi="ar-AE"/>
        </w:rPr>
        <w:t xml:space="preserve">Le vide avant le mot </w:t>
      </w:r>
      <w:r w:rsidRPr="006D4265">
        <w:rPr>
          <w:rFonts w:asciiTheme="majorBidi" w:eastAsia="Times New Roman" w:hAnsiTheme="majorBidi" w:cstheme="majorBidi"/>
          <w:b/>
          <w:bCs/>
          <w:i/>
          <w:iCs/>
          <w:lang w:bidi="ar-AE"/>
        </w:rPr>
        <w:t>milla</w:t>
      </w:r>
      <w:r w:rsidRPr="006D4265">
        <w:rPr>
          <w:rFonts w:asciiTheme="majorBidi" w:eastAsia="Times New Roman" w:hAnsiTheme="majorBidi" w:cstheme="majorBidi"/>
          <w:b/>
          <w:bCs/>
          <w:lang w:bidi="ar-AE"/>
        </w:rPr>
        <w:t xml:space="preserve"> (v. 78) :</w:t>
      </w:r>
    </w:p>
    <w:p w14:paraId="7E6A82EB" w14:textId="77777777" w:rsidR="00296288" w:rsidRPr="006D4265" w:rsidRDefault="00296288" w:rsidP="00296288">
      <w:pPr>
        <w:spacing w:line="360" w:lineRule="auto"/>
        <w:ind w:firstLine="720"/>
        <w:jc w:val="both"/>
        <w:rPr>
          <w:rFonts w:asciiTheme="majorBidi" w:hAnsiTheme="majorBidi" w:cstheme="majorBidi"/>
        </w:rPr>
      </w:pPr>
      <w:r w:rsidRPr="006D4265">
        <w:rPr>
          <w:rFonts w:asciiTheme="majorBidi" w:eastAsia="Times New Roman" w:hAnsiTheme="majorBidi" w:cstheme="majorBidi"/>
          <w:lang w:bidi="ar-AE"/>
        </w:rPr>
        <w:t xml:space="preserve">Concernant le terme manquant avant le mot </w:t>
      </w:r>
      <w:r w:rsidRPr="006D4265">
        <w:rPr>
          <w:rFonts w:asciiTheme="majorBidi" w:eastAsia="Times New Roman" w:hAnsiTheme="majorBidi" w:cstheme="majorBidi"/>
          <w:i/>
          <w:iCs/>
          <w:lang w:bidi="ar-AE"/>
        </w:rPr>
        <w:t>milla</w:t>
      </w:r>
      <w:r w:rsidRPr="006D4265">
        <w:rPr>
          <w:rFonts w:asciiTheme="majorBidi" w:eastAsia="Times New Roman" w:hAnsiTheme="majorBidi" w:cstheme="majorBidi"/>
          <w:lang w:bidi="ar-AE"/>
        </w:rPr>
        <w:t xml:space="preserve"> [confession]</w:t>
      </w:r>
      <w:r>
        <w:rPr>
          <w:rFonts w:asciiTheme="majorBidi" w:eastAsia="Times New Roman" w:hAnsiTheme="majorBidi" w:cstheme="majorBidi"/>
          <w:lang w:bidi="ar-AE"/>
        </w:rPr>
        <w:t>,</w:t>
      </w:r>
      <w:r w:rsidRPr="006D4265">
        <w:rPr>
          <w:rFonts w:asciiTheme="majorBidi" w:eastAsia="Times New Roman" w:hAnsiTheme="majorBidi" w:cstheme="majorBidi"/>
          <w:lang w:bidi="ar-AE"/>
        </w:rPr>
        <w:t xml:space="preserve"> utilisé au cas direct (comme un COD) dans la phrase : </w:t>
      </w:r>
      <w:r w:rsidRPr="006D4265">
        <w:rPr>
          <w:rFonts w:asciiTheme="majorBidi" w:eastAsia="Calibri" w:hAnsiTheme="majorBidi" w:cstheme="majorBidi"/>
          <w:lang w:bidi="ar-AE"/>
        </w:rPr>
        <w:t>«</w:t>
      </w:r>
      <w:r w:rsidRPr="00011D1E">
        <w:rPr>
          <w:rFonts w:asciiTheme="majorBidi" w:eastAsia="Calibri" w:hAnsiTheme="majorBidi" w:cstheme="majorBidi"/>
          <w:i/>
          <w:lang w:bidi="ar-AE"/>
        </w:rPr>
        <w:t xml:space="preserve"> </w:t>
      </w:r>
      <w:r w:rsidRPr="00011D1E">
        <w:rPr>
          <w:rFonts w:asciiTheme="majorBidi" w:eastAsia="Calibri" w:hAnsiTheme="majorBidi" w:cstheme="majorBidi" w:hint="cs"/>
          <w:i/>
          <w:rtl/>
          <w:lang w:bidi="ar-AE"/>
        </w:rPr>
        <w:t>وما جعلَ عليكم في الدين من حرج [...] ملةَ أبيكم إبراهيم</w:t>
      </w:r>
      <w:r w:rsidRPr="006D4265">
        <w:rPr>
          <w:rFonts w:asciiTheme="majorBidi" w:eastAsia="Times New Roman" w:hAnsiTheme="majorBidi" w:cstheme="majorBidi"/>
          <w:i/>
          <w:iCs/>
        </w:rPr>
        <w:t> </w:t>
      </w:r>
      <w:r w:rsidRPr="006D4265">
        <w:rPr>
          <w:rFonts w:asciiTheme="majorBidi" w:eastAsia="Times New Roman" w:hAnsiTheme="majorBidi" w:cstheme="majorBidi"/>
        </w:rPr>
        <w:t xml:space="preserve">» </w:t>
      </w:r>
      <w:r w:rsidRPr="006D4265">
        <w:rPr>
          <w:rFonts w:asciiTheme="majorBidi" w:hAnsiTheme="majorBidi" w:cstheme="majorBidi"/>
        </w:rPr>
        <w:t>[et ne vous Imposa nulle gêne en religion, [</w:t>
      </w:r>
      <w:r w:rsidRPr="006D4265">
        <w:rPr>
          <w:rFonts w:asciiTheme="majorBidi" w:eastAsia="Times New Roman" w:hAnsiTheme="majorBidi" w:cstheme="majorBidi"/>
        </w:rPr>
        <w:t>…</w:t>
      </w:r>
      <w:r w:rsidRPr="006D4265">
        <w:rPr>
          <w:rFonts w:asciiTheme="majorBidi" w:hAnsiTheme="majorBidi" w:cstheme="majorBidi"/>
        </w:rPr>
        <w:t>] la confession de votre père Abraham (trad. Abdelaziz)]</w:t>
      </w:r>
      <w:r w:rsidRPr="006D4265">
        <w:rPr>
          <w:rFonts w:asciiTheme="majorBidi" w:eastAsia="Times New Roman" w:hAnsiTheme="majorBidi" w:cstheme="majorBidi"/>
          <w:lang w:bidi="ar-AE"/>
        </w:rPr>
        <w:t>, les exégètes proposent : « suivez », « </w:t>
      </w:r>
      <w:r>
        <w:rPr>
          <w:rFonts w:asciiTheme="majorBidi" w:eastAsia="Times New Roman" w:hAnsiTheme="majorBidi" w:cstheme="majorBidi"/>
          <w:lang w:bidi="ar-KW"/>
        </w:rPr>
        <w:t>comme », « fai</w:t>
      </w:r>
      <w:r w:rsidRPr="006D4265">
        <w:rPr>
          <w:rFonts w:asciiTheme="majorBidi" w:eastAsia="Times New Roman" w:hAnsiTheme="majorBidi" w:cstheme="majorBidi"/>
          <w:lang w:bidi="ar-KW"/>
        </w:rPr>
        <w:t>tes le bien selon », « c’est », « Dieu a rendu votre religion facile et souple comme », etc.</w:t>
      </w:r>
    </w:p>
    <w:p w14:paraId="572D7C5D" w14:textId="77777777" w:rsidR="00296288" w:rsidRPr="005F299E" w:rsidRDefault="00296288" w:rsidP="00296288">
      <w:pPr>
        <w:spacing w:line="360" w:lineRule="auto"/>
        <w:jc w:val="both"/>
        <w:rPr>
          <w:rFonts w:eastAsia="Times New Roman"/>
          <w:rtl/>
        </w:rPr>
      </w:pPr>
    </w:p>
    <w:p w14:paraId="0708D388" w14:textId="6A4FC911" w:rsidR="00296288" w:rsidRPr="005F299E" w:rsidRDefault="00296288" w:rsidP="00296288">
      <w:pPr>
        <w:spacing w:line="360" w:lineRule="auto"/>
        <w:ind w:firstLine="720"/>
        <w:jc w:val="both"/>
        <w:rPr>
          <w:rFonts w:eastAsia="Times New Roman"/>
          <w:lang w:bidi="ar-AE"/>
        </w:rPr>
      </w:pPr>
      <w:r w:rsidRPr="005F299E">
        <w:rPr>
          <w:rFonts w:eastAsia="Times New Roman"/>
        </w:rPr>
        <w:t>Nous pouvons dire qu</w:t>
      </w:r>
      <w:r w:rsidR="002C7183">
        <w:rPr>
          <w:rFonts w:eastAsia="Times New Roman"/>
        </w:rPr>
        <w:t>e la polysémie des énoncés était</w:t>
      </w:r>
      <w:r w:rsidRPr="005F299E">
        <w:rPr>
          <w:rFonts w:eastAsia="Times New Roman"/>
        </w:rPr>
        <w:t xml:space="preserve"> plus riche dans les premières exégèses (notamment celles d’Aṭ -Ṭabarī [m. 923], </w:t>
      </w:r>
      <w:r w:rsidRPr="005F299E">
        <w:rPr>
          <w:rFonts w:eastAsia="Times New Roman"/>
          <w:shd w:val="clear" w:color="auto" w:fill="FFFFFF"/>
        </w:rPr>
        <w:t>Ath-Thaʿlabī [m. 1035/1306]</w:t>
      </w:r>
      <w:r w:rsidRPr="005F299E">
        <w:rPr>
          <w:rFonts w:eastAsia="Times New Roman"/>
        </w:rPr>
        <w:t xml:space="preserve"> et d’Ibn Kathīr [m. 1373]). L’exégèse est devenue succincte. Nous pouvons dire que l’exégèse moderne ajoute à la polysémie des énoncés essentiellement des interprétations concordistes, mystiques et/ou génériques qui tendent à rendre universel le message coranique. Si </w:t>
      </w:r>
      <w:r w:rsidR="002C7183">
        <w:rPr>
          <w:rFonts w:eastAsia="Times New Roman"/>
        </w:rPr>
        <w:t>l’</w:t>
      </w:r>
      <w:r w:rsidRPr="005F299E">
        <w:rPr>
          <w:rFonts w:eastAsia="Times New Roman"/>
        </w:rPr>
        <w:t xml:space="preserve">on ne tient pas compte du concordisme, c’est l’apparition d’une communauté ou confrérie qui produit de nouvelles interprétations pouvant enrichir la polysémie des énoncés (ex. : </w:t>
      </w:r>
      <w:r w:rsidRPr="005F299E">
        <w:rPr>
          <w:rFonts w:eastAsia="Times New Roman"/>
          <w:lang w:bidi="ar-AE"/>
        </w:rPr>
        <w:t xml:space="preserve">le concept de « l’alternance de l’adversité et de la prospérité » produit par les ahmadis pour expliquer le verset 61, et l’idée de « la rupture avec les mauvaises pensées » produite par les naqshbandis syriens pour expliquer le verset 15). Nous pouvons remarquer qu’il existe entre les exégèses du Coran des différences conceptuelles en plus des différences textuelles </w:t>
      </w:r>
      <w:r w:rsidRPr="005F299E">
        <w:rPr>
          <w:rFonts w:asciiTheme="majorBidi" w:hAnsiTheme="majorBidi" w:cstheme="majorBidi"/>
        </w:rPr>
        <w:t>(basées sur le texte)</w:t>
      </w:r>
      <w:r w:rsidR="002C7183">
        <w:rPr>
          <w:rFonts w:eastAsia="Times New Roman"/>
          <w:lang w:bidi="ar-AE"/>
        </w:rPr>
        <w:t xml:space="preserve">. Quelles sont donc les </w:t>
      </w:r>
      <w:r w:rsidRPr="005F299E">
        <w:rPr>
          <w:rFonts w:eastAsia="Times New Roman"/>
          <w:lang w:bidi="ar-AE"/>
        </w:rPr>
        <w:t>différences entre les traductions constituant notre corpus ? Ce sera l’un des objets de la seconde partie.</w:t>
      </w:r>
    </w:p>
    <w:p w14:paraId="78A7B06A" w14:textId="77777777" w:rsidR="00296288" w:rsidRPr="005F299E" w:rsidRDefault="00296288" w:rsidP="00296288">
      <w:pPr>
        <w:spacing w:line="360" w:lineRule="auto"/>
        <w:ind w:firstLine="720"/>
        <w:jc w:val="both"/>
        <w:rPr>
          <w:rFonts w:eastAsia="Times New Roman"/>
          <w:lang w:bidi="ar-AE"/>
        </w:rPr>
      </w:pPr>
    </w:p>
    <w:p w14:paraId="5427D28F" w14:textId="77777777" w:rsidR="00296288" w:rsidRPr="005F299E" w:rsidRDefault="00296288" w:rsidP="00296288">
      <w:pPr>
        <w:spacing w:line="360" w:lineRule="auto"/>
        <w:ind w:firstLine="720"/>
        <w:jc w:val="both"/>
        <w:rPr>
          <w:rFonts w:eastAsia="Times New Roman"/>
          <w:lang w:bidi="ar-AE"/>
        </w:rPr>
      </w:pPr>
    </w:p>
    <w:p w14:paraId="16C5A220" w14:textId="77777777" w:rsidR="00296288" w:rsidRPr="005F299E" w:rsidRDefault="00296288" w:rsidP="00296288">
      <w:pPr>
        <w:spacing w:line="360" w:lineRule="auto"/>
        <w:ind w:firstLine="720"/>
        <w:jc w:val="both"/>
        <w:rPr>
          <w:rFonts w:eastAsia="Times New Roman"/>
          <w:lang w:bidi="ar-AE"/>
        </w:rPr>
      </w:pPr>
    </w:p>
    <w:p w14:paraId="36E967DD" w14:textId="77777777" w:rsidR="00296288" w:rsidRPr="005F299E" w:rsidRDefault="00296288" w:rsidP="00296288">
      <w:pPr>
        <w:spacing w:line="360" w:lineRule="auto"/>
        <w:ind w:firstLine="720"/>
        <w:jc w:val="both"/>
        <w:rPr>
          <w:rFonts w:eastAsia="Times New Roman"/>
          <w:lang w:bidi="ar-AE"/>
        </w:rPr>
      </w:pPr>
    </w:p>
    <w:p w14:paraId="334252A4" w14:textId="77777777" w:rsidR="00296288" w:rsidRPr="005F299E" w:rsidRDefault="00296288" w:rsidP="00296288">
      <w:pPr>
        <w:spacing w:line="360" w:lineRule="auto"/>
        <w:ind w:firstLine="720"/>
        <w:jc w:val="both"/>
        <w:rPr>
          <w:rFonts w:eastAsia="Times New Roman"/>
          <w:lang w:bidi="ar-AE"/>
        </w:rPr>
      </w:pPr>
    </w:p>
    <w:p w14:paraId="126930C0" w14:textId="77777777" w:rsidR="00296288" w:rsidRPr="005F299E" w:rsidRDefault="00296288" w:rsidP="00296288">
      <w:pPr>
        <w:spacing w:line="360" w:lineRule="auto"/>
        <w:ind w:firstLine="720"/>
        <w:jc w:val="both"/>
        <w:rPr>
          <w:rFonts w:eastAsia="Times New Roman"/>
        </w:rPr>
      </w:pPr>
      <w:r w:rsidRPr="005F299E">
        <w:rPr>
          <w:rFonts w:eastAsia="Times New Roman"/>
        </w:rPr>
        <w:br w:type="page"/>
      </w:r>
    </w:p>
    <w:p w14:paraId="6880010D" w14:textId="77777777" w:rsidR="00296288" w:rsidRPr="006D4265" w:rsidRDefault="00296288" w:rsidP="00296288">
      <w:pPr>
        <w:spacing w:line="360" w:lineRule="auto"/>
        <w:jc w:val="center"/>
        <w:rPr>
          <w:rFonts w:eastAsia="Calibri"/>
          <w:b/>
          <w:bCs/>
          <w:lang w:bidi="ar-AE"/>
        </w:rPr>
      </w:pPr>
      <w:r w:rsidRPr="006D4265">
        <w:rPr>
          <w:rFonts w:eastAsia="Calibri"/>
          <w:b/>
          <w:bCs/>
          <w:lang w:bidi="ar-AE"/>
        </w:rPr>
        <w:lastRenderedPageBreak/>
        <w:t xml:space="preserve">Conclusion de la </w:t>
      </w:r>
      <w:r>
        <w:rPr>
          <w:rFonts w:eastAsia="Calibri"/>
          <w:b/>
          <w:bCs/>
          <w:lang w:bidi="ar-AE"/>
        </w:rPr>
        <w:t>première</w:t>
      </w:r>
      <w:r w:rsidRPr="006D4265">
        <w:rPr>
          <w:rFonts w:eastAsia="Calibri"/>
          <w:b/>
          <w:bCs/>
          <w:lang w:bidi="ar-AE"/>
        </w:rPr>
        <w:t xml:space="preserve"> partie</w:t>
      </w:r>
    </w:p>
    <w:p w14:paraId="11B53E9F" w14:textId="77777777" w:rsidR="00296288" w:rsidRPr="000223DC" w:rsidRDefault="00296288" w:rsidP="00296288">
      <w:pPr>
        <w:spacing w:line="360" w:lineRule="auto"/>
        <w:ind w:firstLine="708"/>
        <w:jc w:val="both"/>
        <w:rPr>
          <w:rFonts w:eastAsia="Calibri"/>
          <w:lang w:bidi="ar-AE"/>
        </w:rPr>
      </w:pPr>
    </w:p>
    <w:p w14:paraId="713006A4" w14:textId="77777777" w:rsidR="00296288" w:rsidRDefault="00296288" w:rsidP="00296288">
      <w:pPr>
        <w:spacing w:line="360" w:lineRule="auto"/>
        <w:ind w:firstLine="708"/>
        <w:jc w:val="both"/>
        <w:rPr>
          <w:rFonts w:eastAsia="Calibri"/>
          <w:lang w:bidi="ar-AE"/>
        </w:rPr>
      </w:pPr>
      <w:r w:rsidRPr="000223DC">
        <w:rPr>
          <w:rFonts w:eastAsia="Calibri"/>
          <w:lang w:bidi="ar-AE"/>
        </w:rPr>
        <w:t xml:space="preserve">Nous avons vu, </w:t>
      </w:r>
      <w:r>
        <w:rPr>
          <w:rFonts w:eastAsia="Calibri"/>
          <w:lang w:bidi="ar-AE"/>
        </w:rPr>
        <w:t>à travers l’analyse polysémique</w:t>
      </w:r>
      <w:r w:rsidRPr="000223DC">
        <w:rPr>
          <w:rFonts w:eastAsia="Calibri"/>
          <w:lang w:bidi="ar-AE"/>
        </w:rPr>
        <w:t xml:space="preserve"> de la sourate al-Ḥajj, que le Coran est un texte polysémique ; mais sa riche</w:t>
      </w:r>
      <w:r>
        <w:rPr>
          <w:rFonts w:eastAsia="Calibri"/>
          <w:lang w:bidi="ar-AE"/>
        </w:rPr>
        <w:t>sse</w:t>
      </w:r>
      <w:r w:rsidRPr="000223DC">
        <w:rPr>
          <w:rFonts w:eastAsia="Calibri"/>
          <w:lang w:bidi="ar-AE"/>
        </w:rPr>
        <w:t xml:space="preserve"> </w:t>
      </w:r>
      <w:r>
        <w:rPr>
          <w:rFonts w:eastAsia="Calibri"/>
          <w:lang w:bidi="ar-AE"/>
        </w:rPr>
        <w:t>polysémique</w:t>
      </w:r>
      <w:r w:rsidRPr="000223DC">
        <w:rPr>
          <w:rFonts w:eastAsia="Calibri"/>
          <w:lang w:bidi="ar-AE"/>
        </w:rPr>
        <w:t xml:space="preserve"> est plus ou moins ancienne. Actuellement, sa polysémie s’est élargie dans </w:t>
      </w:r>
      <w:r>
        <w:rPr>
          <w:rFonts w:eastAsia="Calibri"/>
          <w:lang w:bidi="ar-AE"/>
        </w:rPr>
        <w:t>un sens concordiste,</w:t>
      </w:r>
      <w:r w:rsidRPr="000223DC">
        <w:rPr>
          <w:rFonts w:eastAsia="Calibri"/>
          <w:lang w:bidi="ar-AE"/>
        </w:rPr>
        <w:t xml:space="preserve"> notamment en ce qui concerne l’</w:t>
      </w:r>
      <w:r w:rsidRPr="000223DC">
        <w:rPr>
          <w:rFonts w:eastAsia="Calibri"/>
          <w:i/>
          <w:iCs/>
          <w:lang w:bidi="ar-AE"/>
        </w:rPr>
        <w:t>iʿjāz</w:t>
      </w:r>
      <w:r w:rsidRPr="000223DC">
        <w:rPr>
          <w:rFonts w:eastAsia="Calibri"/>
          <w:lang w:bidi="ar-AE"/>
        </w:rPr>
        <w:t>, alors qu’auparavant elle s’est élargie dans un sens juridictionnel, cultuel et/ou identitaire confessionnel. Elle n’est pas dynamique, ni cumulative. Elle n’est pas le résultat d’une évolution progressive, mais elle est imposée et discontinue. En plus, cette polysémie dépend souvent de la biographie du prophète Muḥammad et du conflit sociopolitique et confessionnel.</w:t>
      </w:r>
    </w:p>
    <w:p w14:paraId="5A7BBA36" w14:textId="77777777" w:rsidR="00296288" w:rsidRPr="00B026CD" w:rsidRDefault="00296288" w:rsidP="00296288">
      <w:pPr>
        <w:spacing w:line="360" w:lineRule="auto"/>
        <w:ind w:firstLine="708"/>
        <w:jc w:val="both"/>
        <w:rPr>
          <w:rFonts w:eastAsia="Calibri"/>
          <w:lang w:bidi="ar-AE"/>
        </w:rPr>
      </w:pPr>
    </w:p>
    <w:p w14:paraId="57A3948A" w14:textId="77777777" w:rsidR="00296288" w:rsidRPr="00B026CD" w:rsidRDefault="00296288" w:rsidP="00296288">
      <w:pPr>
        <w:spacing w:line="360" w:lineRule="auto"/>
        <w:ind w:firstLine="708"/>
        <w:jc w:val="both"/>
        <w:rPr>
          <w:rFonts w:eastAsia="Calibri"/>
          <w:lang w:bidi="ar-AE"/>
        </w:rPr>
      </w:pPr>
      <w:r w:rsidRPr="00B026CD">
        <w:rPr>
          <w:rFonts w:eastAsia="Calibri"/>
          <w:lang w:bidi="ar-AE"/>
        </w:rPr>
        <w:t>La polysémie condensée et localisée dans le texte coranique canonique unique va être disséminée dans les traductions. Cette polysémie localisée va générer une polysémie disséminée dans l’ensemble des traductions, d’où la nécessité de notre travail analytique. Il faudrait une polylecture du Coran. La plurilecturabilité est une caractéristique du texte coranique d’autant plus qu’il était dépourvu de la vocalisation (</w:t>
      </w:r>
      <w:r w:rsidRPr="00B026CD">
        <w:rPr>
          <w:rFonts w:eastAsia="Calibri"/>
          <w:i/>
          <w:iCs/>
          <w:lang w:bidi="ar-AE"/>
        </w:rPr>
        <w:t>tashkīl</w:t>
      </w:r>
      <w:r w:rsidRPr="00B026CD">
        <w:rPr>
          <w:rFonts w:eastAsia="Calibri"/>
          <w:lang w:bidi="ar-AE"/>
        </w:rPr>
        <w:t>) et des points diacritiques (</w:t>
      </w:r>
      <w:r w:rsidRPr="00B026CD">
        <w:rPr>
          <w:rFonts w:eastAsia="Calibri"/>
          <w:i/>
          <w:iCs/>
          <w:lang w:bidi="ar-AE"/>
        </w:rPr>
        <w:t>tanqīṭ</w:t>
      </w:r>
      <w:r w:rsidRPr="00B026CD">
        <w:rPr>
          <w:rFonts w:eastAsia="Calibri"/>
          <w:lang w:bidi="ar-AE"/>
        </w:rPr>
        <w:t>).</w:t>
      </w:r>
    </w:p>
    <w:p w14:paraId="398653B1" w14:textId="77777777" w:rsidR="00296288" w:rsidRPr="00B026CD" w:rsidRDefault="00296288" w:rsidP="00296288">
      <w:pPr>
        <w:spacing w:line="360" w:lineRule="auto"/>
        <w:ind w:firstLine="708"/>
        <w:jc w:val="both"/>
        <w:rPr>
          <w:rFonts w:eastAsia="Calibri"/>
          <w:lang w:bidi="ar-AE"/>
        </w:rPr>
      </w:pPr>
    </w:p>
    <w:p w14:paraId="714573CE" w14:textId="77777777" w:rsidR="00296288" w:rsidRDefault="00296288" w:rsidP="00296288">
      <w:pPr>
        <w:spacing w:line="360" w:lineRule="auto"/>
        <w:ind w:firstLine="708"/>
        <w:jc w:val="both"/>
        <w:rPr>
          <w:rFonts w:eastAsia="Calibri"/>
          <w:lang w:bidi="ar-AE"/>
        </w:rPr>
      </w:pPr>
      <w:r w:rsidRPr="00B026CD">
        <w:rPr>
          <w:rFonts w:eastAsia="Calibri"/>
          <w:lang w:bidi="ar-AE"/>
        </w:rPr>
        <w:t xml:space="preserve">En effet, </w:t>
      </w:r>
      <w:r>
        <w:rPr>
          <w:rFonts w:eastAsia="Calibri"/>
          <w:lang w:bidi="ar-AE"/>
        </w:rPr>
        <w:t>comme le souligne Joseph Na‘</w:t>
      </w:r>
      <w:r w:rsidRPr="00B026CD">
        <w:rPr>
          <w:rFonts w:eastAsia="Calibri"/>
          <w:lang w:bidi="ar-AE"/>
        </w:rPr>
        <w:t xml:space="preserve">ūm </w:t>
      </w:r>
      <w:r w:rsidRPr="00B026CD">
        <w:rPr>
          <w:rFonts w:eastAsia="Times New Roman"/>
        </w:rPr>
        <w:t>Ḥajjār</w:t>
      </w:r>
      <w:r w:rsidRPr="00B026CD">
        <w:rPr>
          <w:rFonts w:eastAsia="Calibri"/>
          <w:lang w:bidi="ar-AE"/>
        </w:rPr>
        <w:t>, « l’art en arabe classique réside moins dans la recherche de thèmes neufs que dans le souci de la beauté de l’expression</w:t>
      </w:r>
      <w:r>
        <w:rPr>
          <w:rFonts w:eastAsia="Calibri"/>
          <w:lang w:bidi="ar-AE"/>
        </w:rPr>
        <w:t>,</w:t>
      </w:r>
      <w:r w:rsidRPr="00B026CD">
        <w:rPr>
          <w:rFonts w:eastAsia="Calibri"/>
          <w:lang w:bidi="ar-AE"/>
        </w:rPr>
        <w:t xml:space="preserve"> de l’expressivité des images, de l’élégance des constructions, de l’harmonie des sonorités, qui peuvent valoriser jusqu’à des lieux communs et des banalités. Aussi la langue arabe se laisse-t-elle volontiers parer de fleurs de l’éloquence et des joyeux d’une stylistique raffinée</w:t>
      </w:r>
      <w:r>
        <w:rPr>
          <w:rFonts w:eastAsia="Calibri"/>
          <w:lang w:bidi="ar-AE"/>
        </w:rPr>
        <w:t>.</w:t>
      </w:r>
      <w:r w:rsidRPr="00B026CD">
        <w:rPr>
          <w:rFonts w:eastAsia="Calibri"/>
          <w:lang w:bidi="ar-AE"/>
        </w:rPr>
        <w:t> »</w:t>
      </w:r>
      <w:r w:rsidRPr="00B026CD">
        <w:rPr>
          <w:rFonts w:eastAsia="Calibri"/>
          <w:vertAlign w:val="superscript"/>
          <w:lang w:bidi="ar-AE"/>
        </w:rPr>
        <w:footnoteReference w:id="379"/>
      </w:r>
      <w:r w:rsidRPr="00B026CD">
        <w:rPr>
          <w:rFonts w:eastAsia="Calibri"/>
          <w:lang w:bidi="ar-AE"/>
        </w:rPr>
        <w:t xml:space="preserve"> « Le Coran contient un grand nombre d’ornements. »</w:t>
      </w:r>
      <w:r w:rsidRPr="00B026CD">
        <w:rPr>
          <w:rFonts w:eastAsia="Calibri"/>
          <w:vertAlign w:val="superscript"/>
          <w:lang w:bidi="ar-AE"/>
        </w:rPr>
        <w:footnoteReference w:id="380"/>
      </w:r>
      <w:r w:rsidRPr="00B026CD">
        <w:rPr>
          <w:rFonts w:eastAsia="Calibri"/>
          <w:lang w:bidi="ar-AE"/>
        </w:rPr>
        <w:t xml:space="preserve"> Nous pouvons dire que ce qui distingue le style coranique est sa richesse esthétique ainsi que sa richesse polysémique, bien que d’autres textes (comme les discours de </w:t>
      </w:r>
      <w:r w:rsidRPr="00B026CD">
        <w:rPr>
          <w:rFonts w:eastAsia="Times New Roman" w:cs="Arial"/>
        </w:rPr>
        <w:t xml:space="preserve">ʿAlī ibn Abī Ṭālib </w:t>
      </w:r>
      <w:r>
        <w:rPr>
          <w:rFonts w:eastAsia="Times New Roman"/>
        </w:rPr>
        <w:t>[</w:t>
      </w:r>
      <w:r w:rsidRPr="00B026CD">
        <w:rPr>
          <w:rFonts w:eastAsia="Times New Roman" w:cs="Arial"/>
          <w:i/>
          <w:iCs/>
        </w:rPr>
        <w:t>Nahj Al-Balāgha</w:t>
      </w:r>
      <w:r>
        <w:rPr>
          <w:rFonts w:eastAsia="Times New Roman"/>
        </w:rPr>
        <w:t>]</w:t>
      </w:r>
      <w:r w:rsidRPr="00B026CD">
        <w:rPr>
          <w:rFonts w:eastAsia="Times New Roman"/>
        </w:rPr>
        <w:t xml:space="preserve">, les écrits du </w:t>
      </w:r>
      <w:r w:rsidRPr="00B026CD">
        <w:rPr>
          <w:rFonts w:eastAsia="Calibri"/>
          <w:lang w:bidi="ar-AE"/>
        </w:rPr>
        <w:t xml:space="preserve">mystique Muḥammad ibn </w:t>
      </w:r>
      <w:r w:rsidRPr="002563C6">
        <w:rPr>
          <w:rFonts w:eastAsia="Calibri"/>
          <w:lang w:bidi="ar-AE"/>
        </w:rPr>
        <w:t>ʿAbd al-Jabbār an-Niffarī [</w:t>
      </w:r>
      <w:r w:rsidRPr="002563C6">
        <w:rPr>
          <w:rFonts w:eastAsia="Calibri"/>
          <w:i/>
          <w:iCs/>
          <w:lang w:bidi="ar-AE"/>
        </w:rPr>
        <w:t>al-Mawāqif</w:t>
      </w:r>
      <w:r w:rsidRPr="002563C6">
        <w:rPr>
          <w:rFonts w:eastAsia="Calibri"/>
          <w:lang w:bidi="ar-AE"/>
        </w:rPr>
        <w:t>] et les poèmes</w:t>
      </w:r>
      <w:r w:rsidRPr="002563C6">
        <w:rPr>
          <w:rFonts w:eastAsia="Times New Roman" w:cs="Arial"/>
        </w:rPr>
        <w:t xml:space="preserve"> préislamiques [</w:t>
      </w:r>
      <w:r w:rsidRPr="002563C6">
        <w:rPr>
          <w:rFonts w:eastAsia="Times New Roman" w:cs="Arial"/>
          <w:i/>
          <w:iCs/>
        </w:rPr>
        <w:t>al-Mu</w:t>
      </w:r>
      <w:r w:rsidRPr="002563C6">
        <w:rPr>
          <w:rFonts w:eastAsia="Times New Roman"/>
          <w:i/>
          <w:iCs/>
        </w:rPr>
        <w:t>ʿ</w:t>
      </w:r>
      <w:r w:rsidRPr="002563C6">
        <w:rPr>
          <w:rFonts w:eastAsia="Times New Roman" w:cs="Arial"/>
          <w:i/>
          <w:iCs/>
        </w:rPr>
        <w:t>allaq</w:t>
      </w:r>
      <w:r w:rsidRPr="002563C6">
        <w:rPr>
          <w:rFonts w:eastAsia="Times New Roman"/>
          <w:i/>
          <w:iCs/>
        </w:rPr>
        <w:t>ā</w:t>
      </w:r>
      <w:r w:rsidRPr="002563C6">
        <w:rPr>
          <w:rFonts w:eastAsia="Times New Roman" w:cs="Arial"/>
          <w:i/>
          <w:iCs/>
        </w:rPr>
        <w:t>t</w:t>
      </w:r>
      <w:r w:rsidRPr="002563C6">
        <w:rPr>
          <w:rFonts w:eastAsia="Times New Roman" w:cs="Arial"/>
          <w:iCs/>
        </w:rPr>
        <w:t>]</w:t>
      </w:r>
      <w:r w:rsidRPr="002563C6">
        <w:rPr>
          <w:rFonts w:eastAsia="Times New Roman" w:cs="Arial"/>
        </w:rPr>
        <w:t>),</w:t>
      </w:r>
      <w:r w:rsidRPr="002563C6">
        <w:rPr>
          <w:rFonts w:eastAsia="Calibri"/>
          <w:lang w:bidi="ar-AE"/>
        </w:rPr>
        <w:t xml:space="preserve"> semblent souvent, à notre</w:t>
      </w:r>
      <w:r w:rsidRPr="000223DC">
        <w:rPr>
          <w:rFonts w:eastAsia="Calibri"/>
          <w:lang w:bidi="ar-AE"/>
        </w:rPr>
        <w:t xml:space="preserve"> sens, esthétiquement et rhétoriquement plus riches que le Coran. </w:t>
      </w:r>
      <w:r w:rsidRPr="000223DC">
        <w:rPr>
          <w:rFonts w:eastAsia="Calibri"/>
        </w:rPr>
        <w:t xml:space="preserve">Le théologien irakien Ahmed Hasan Ali Al-Gubbanchi [al-Qubanji] (né en 1958) critique la rhétorique du Coran en le comparant à celle des </w:t>
      </w:r>
      <w:r w:rsidRPr="00B026CD">
        <w:rPr>
          <w:rFonts w:eastAsia="Calibri"/>
        </w:rPr>
        <w:t xml:space="preserve">paroles de </w:t>
      </w:r>
      <w:r w:rsidRPr="00B026CD">
        <w:rPr>
          <w:rFonts w:eastAsia="Times New Roman" w:cs="Arial"/>
        </w:rPr>
        <w:t xml:space="preserve">ʿAlī ibn Abī Ṭālib </w:t>
      </w:r>
      <w:r w:rsidRPr="00B026CD">
        <w:rPr>
          <w:rFonts w:eastAsia="Times New Roman"/>
        </w:rPr>
        <w:t xml:space="preserve">dans </w:t>
      </w:r>
      <w:r>
        <w:rPr>
          <w:rFonts w:eastAsia="Times New Roman" w:cs="Arial"/>
          <w:i/>
          <w:iCs/>
        </w:rPr>
        <w:lastRenderedPageBreak/>
        <w:t>Nahj a</w:t>
      </w:r>
      <w:r w:rsidRPr="00B026CD">
        <w:rPr>
          <w:rFonts w:eastAsia="Times New Roman" w:cs="Arial"/>
          <w:i/>
          <w:iCs/>
        </w:rPr>
        <w:t>l-Balāgha</w:t>
      </w:r>
      <w:r w:rsidRPr="00B026CD">
        <w:rPr>
          <w:rFonts w:eastAsia="Calibri"/>
          <w:vertAlign w:val="superscript"/>
          <w:lang w:bidi="ar-AE"/>
        </w:rPr>
        <w:footnoteReference w:id="381"/>
      </w:r>
      <w:r w:rsidRPr="00B026CD">
        <w:rPr>
          <w:rFonts w:eastAsia="Calibri"/>
          <w:lang w:bidi="ar-AE"/>
        </w:rPr>
        <w:t>. Il montre bien la faiblesse voire l’incohérence rhétorique [</w:t>
      </w:r>
      <w:r w:rsidRPr="00B026CD">
        <w:rPr>
          <w:rFonts w:eastAsia="Calibri"/>
          <w:i/>
          <w:iCs/>
          <w:lang w:bidi="ar-AE"/>
        </w:rPr>
        <w:t>at-tahāfut al-balāghī</w:t>
      </w:r>
      <w:r w:rsidRPr="00B026CD">
        <w:rPr>
          <w:rFonts w:eastAsia="Calibri"/>
          <w:lang w:bidi="ar-AE"/>
        </w:rPr>
        <w:t>] du Coran (exemples : les sourates : CIV [</w:t>
      </w:r>
      <w:r w:rsidRPr="00B026CD">
        <w:rPr>
          <w:rFonts w:eastAsia="Calibri"/>
          <w:i/>
          <w:iCs/>
          <w:lang w:bidi="ar-AE"/>
        </w:rPr>
        <w:t>Al-Humaza</w:t>
      </w:r>
      <w:r w:rsidRPr="00B026CD">
        <w:rPr>
          <w:rFonts w:eastAsia="Calibri"/>
          <w:lang w:bidi="ar-AE"/>
        </w:rPr>
        <w:t>, le calomniateur], CVI [</w:t>
      </w:r>
      <w:r w:rsidRPr="00B026CD">
        <w:rPr>
          <w:rFonts w:eastAsia="Calibri"/>
          <w:i/>
          <w:iCs/>
          <w:lang w:bidi="ar-AE"/>
        </w:rPr>
        <w:t>Quraysh</w:t>
      </w:r>
      <w:r w:rsidRPr="00B026CD">
        <w:rPr>
          <w:rFonts w:eastAsia="Calibri"/>
          <w:lang w:bidi="ar-AE"/>
        </w:rPr>
        <w:t>] et LV [</w:t>
      </w:r>
      <w:r w:rsidRPr="00B026CD">
        <w:rPr>
          <w:rFonts w:eastAsia="Calibri"/>
          <w:i/>
          <w:iCs/>
          <w:lang w:bidi="ar-AE"/>
        </w:rPr>
        <w:t>Ar-Raḥmān</w:t>
      </w:r>
      <w:r w:rsidRPr="00B026CD">
        <w:rPr>
          <w:rFonts w:eastAsia="Calibri"/>
          <w:lang w:bidi="ar-AE"/>
        </w:rPr>
        <w:t xml:space="preserve">, le Miséricordieux]) par rapport à la rhétorique de la parole de </w:t>
      </w:r>
      <w:r w:rsidRPr="00B026CD">
        <w:rPr>
          <w:rFonts w:eastAsia="Times New Roman" w:cs="Arial"/>
        </w:rPr>
        <w:t>ʿAlī</w:t>
      </w:r>
      <w:r w:rsidRPr="00B026CD">
        <w:rPr>
          <w:rFonts w:eastAsia="Calibri"/>
          <w:lang w:bidi="ar-AE"/>
        </w:rPr>
        <w:t>. Cependant, il est tout à fait norma</w:t>
      </w:r>
      <w:r>
        <w:rPr>
          <w:rFonts w:eastAsia="Calibri"/>
          <w:lang w:bidi="ar-AE"/>
        </w:rPr>
        <w:t>l que le Coran contienne des</w:t>
      </w:r>
      <w:r w:rsidRPr="00B026CD">
        <w:rPr>
          <w:rFonts w:eastAsia="Calibri"/>
          <w:lang w:bidi="ar-AE"/>
        </w:rPr>
        <w:t xml:space="preserve"> faiblesse</w:t>
      </w:r>
      <w:r>
        <w:rPr>
          <w:rFonts w:eastAsia="Calibri"/>
          <w:lang w:bidi="ar-AE"/>
        </w:rPr>
        <w:t>s</w:t>
      </w:r>
      <w:r w:rsidRPr="00B026CD">
        <w:rPr>
          <w:rFonts w:eastAsia="Calibri"/>
          <w:lang w:bidi="ar-AE"/>
        </w:rPr>
        <w:t xml:space="preserve"> linguistique</w:t>
      </w:r>
      <w:r>
        <w:rPr>
          <w:rFonts w:eastAsia="Calibri"/>
          <w:lang w:bidi="ar-AE"/>
        </w:rPr>
        <w:t>s,</w:t>
      </w:r>
      <w:r w:rsidRPr="00B026CD">
        <w:rPr>
          <w:rFonts w:eastAsia="Calibri"/>
          <w:lang w:bidi="ar-AE"/>
        </w:rPr>
        <w:t xml:space="preserve"> voire des tournures syntaxiquement incorrectes</w:t>
      </w:r>
      <w:r>
        <w:rPr>
          <w:rFonts w:eastAsia="Calibri"/>
          <w:lang w:bidi="ar-AE"/>
        </w:rPr>
        <w:t> :</w:t>
      </w:r>
    </w:p>
    <w:p w14:paraId="1078A31F" w14:textId="77777777" w:rsidR="00296288" w:rsidRPr="006C073E" w:rsidRDefault="00296288" w:rsidP="00296288">
      <w:pPr>
        <w:spacing w:before="240" w:line="360" w:lineRule="auto"/>
        <w:ind w:left="709"/>
        <w:jc w:val="both"/>
        <w:rPr>
          <w:rFonts w:eastAsia="Calibri"/>
          <w:sz w:val="20"/>
          <w:lang w:bidi="ar-AE"/>
        </w:rPr>
      </w:pPr>
      <w:r w:rsidRPr="006C073E">
        <w:rPr>
          <w:rFonts w:eastAsia="Calibri"/>
          <w:sz w:val="20"/>
          <w:lang w:bidi="ar-AE"/>
        </w:rPr>
        <w:t xml:space="preserve">Les grandes œuvres en prose se caractérisent par un certain « mal écrire », un certain « non-contrôle » de leur écriture. Boris de Schlœzer, traducteur de </w:t>
      </w:r>
      <w:r w:rsidRPr="006C073E">
        <w:rPr>
          <w:rFonts w:eastAsia="Calibri"/>
          <w:i/>
          <w:iCs/>
          <w:sz w:val="20"/>
          <w:lang w:bidi="ar-AE"/>
        </w:rPr>
        <w:t>La guerre et la Paix</w:t>
      </w:r>
      <w:r w:rsidRPr="006C073E">
        <w:rPr>
          <w:rFonts w:eastAsia="Calibri"/>
          <w:sz w:val="20"/>
          <w:lang w:bidi="ar-AE"/>
        </w:rPr>
        <w:t>, observe : « </w:t>
      </w:r>
      <w:r w:rsidRPr="006C073E">
        <w:rPr>
          <w:rFonts w:eastAsia="Calibri"/>
          <w:i/>
          <w:iCs/>
          <w:sz w:val="20"/>
          <w:lang w:bidi="ar-AE"/>
        </w:rPr>
        <w:t>La Guerre et la Paix</w:t>
      </w:r>
      <w:r w:rsidRPr="006C073E">
        <w:rPr>
          <w:rFonts w:eastAsia="Calibri"/>
          <w:sz w:val="20"/>
          <w:lang w:bidi="ar-AE"/>
        </w:rPr>
        <w:t xml:space="preserve"> est très mal écrit […]. Soucieux de tout dire à la fois, [Tolstoï] s’embarque dans des phrases pesantes, compliquées, syntaxiquement incorrectes… La matière même que traite Tolstoï conserve […] quelque chose de fruste qui explique et justifie en partie le relâchement de l’écriture ».  Son « mal écrire » est aussi sa richesse.</w:t>
      </w:r>
      <w:r w:rsidRPr="006C073E">
        <w:rPr>
          <w:rStyle w:val="Appelnotedebasdep"/>
          <w:rFonts w:eastAsia="Calibri"/>
          <w:sz w:val="20"/>
          <w:lang w:bidi="ar-AE"/>
        </w:rPr>
        <w:footnoteReference w:id="382"/>
      </w:r>
    </w:p>
    <w:p w14:paraId="7F168458" w14:textId="77777777" w:rsidR="00296288" w:rsidRPr="006C073E" w:rsidRDefault="00296288" w:rsidP="00296288">
      <w:pPr>
        <w:spacing w:line="360" w:lineRule="auto"/>
        <w:ind w:firstLine="708"/>
        <w:jc w:val="both"/>
        <w:rPr>
          <w:rFonts w:eastAsia="Calibri"/>
          <w:lang w:bidi="ar-AE"/>
        </w:rPr>
      </w:pPr>
    </w:p>
    <w:p w14:paraId="1DE02AFE" w14:textId="77777777" w:rsidR="00296288" w:rsidRPr="000223DC" w:rsidRDefault="00296288" w:rsidP="00296288">
      <w:pPr>
        <w:spacing w:line="360" w:lineRule="auto"/>
        <w:ind w:firstLine="708"/>
        <w:jc w:val="both"/>
        <w:rPr>
          <w:rFonts w:eastAsia="Calibri"/>
          <w:lang w:bidi="ar-AE"/>
        </w:rPr>
      </w:pPr>
      <w:r w:rsidRPr="00B026CD">
        <w:rPr>
          <w:rFonts w:eastAsia="Calibri"/>
          <w:lang w:bidi="ar-AE"/>
        </w:rPr>
        <w:t>La célébrité du Coran n’est donc pas due seulement à son aspect esthétique et rhétorique mais au fait qu’il a été imposé comme</w:t>
      </w:r>
      <w:r w:rsidRPr="000223DC">
        <w:rPr>
          <w:rFonts w:eastAsia="Calibri"/>
          <w:lang w:bidi="ar-AE"/>
        </w:rPr>
        <w:t xml:space="preserve"> une vulgate unique par une décision politique, par la force militaire. Ce qui a obligé les communautés, les confréries et les écoles musulmanes à exprimer leur singularité identitaire à travers l’exégèse, ce qui a enrichi la polysémie et rend le texte coranique polysémique par excellence.</w:t>
      </w:r>
    </w:p>
    <w:p w14:paraId="5A35C56E" w14:textId="42DDA3D3" w:rsidR="00D2304D" w:rsidRDefault="00D2304D" w:rsidP="00C10945">
      <w:pPr>
        <w:shd w:val="clear" w:color="auto" w:fill="FFFFFF"/>
        <w:spacing w:line="360" w:lineRule="auto"/>
        <w:jc w:val="both"/>
        <w:rPr>
          <w:rFonts w:eastAsia="Calibri"/>
        </w:rPr>
      </w:pPr>
      <w:r>
        <w:rPr>
          <w:rFonts w:eastAsia="Calibri"/>
        </w:rPr>
        <w:br w:type="page"/>
      </w:r>
    </w:p>
    <w:p w14:paraId="319BCFBE" w14:textId="77777777" w:rsidR="00DE651D" w:rsidRDefault="00DE651D" w:rsidP="00A70B78">
      <w:pPr>
        <w:spacing w:line="360" w:lineRule="auto"/>
        <w:jc w:val="center"/>
        <w:rPr>
          <w:rFonts w:asciiTheme="majorBidi" w:eastAsia="Calibri" w:hAnsiTheme="majorBidi" w:cstheme="majorBidi"/>
          <w:b/>
          <w:bCs/>
          <w:lang w:bidi="ar-AE"/>
        </w:rPr>
      </w:pPr>
    </w:p>
    <w:p w14:paraId="417D7ED2" w14:textId="77777777" w:rsidR="00DE651D" w:rsidRDefault="00DE651D" w:rsidP="00A70B78">
      <w:pPr>
        <w:spacing w:line="360" w:lineRule="auto"/>
        <w:jc w:val="center"/>
        <w:rPr>
          <w:rFonts w:asciiTheme="majorBidi" w:eastAsia="Calibri" w:hAnsiTheme="majorBidi" w:cstheme="majorBidi"/>
          <w:b/>
          <w:bCs/>
          <w:lang w:bidi="ar-AE"/>
        </w:rPr>
      </w:pPr>
    </w:p>
    <w:p w14:paraId="06770D1E" w14:textId="77777777" w:rsidR="00DE651D" w:rsidRDefault="00DE651D" w:rsidP="00A70B78">
      <w:pPr>
        <w:spacing w:line="360" w:lineRule="auto"/>
        <w:jc w:val="center"/>
        <w:rPr>
          <w:rFonts w:asciiTheme="majorBidi" w:eastAsia="Calibri" w:hAnsiTheme="majorBidi" w:cstheme="majorBidi"/>
          <w:b/>
          <w:bCs/>
          <w:lang w:bidi="ar-AE"/>
        </w:rPr>
      </w:pPr>
    </w:p>
    <w:p w14:paraId="21D2C361" w14:textId="77777777" w:rsidR="00DE651D" w:rsidRDefault="00DE651D" w:rsidP="00A70B78">
      <w:pPr>
        <w:spacing w:line="360" w:lineRule="auto"/>
        <w:jc w:val="center"/>
        <w:rPr>
          <w:rFonts w:asciiTheme="majorBidi" w:eastAsia="Calibri" w:hAnsiTheme="majorBidi" w:cstheme="majorBidi"/>
          <w:b/>
          <w:bCs/>
          <w:lang w:bidi="ar-AE"/>
        </w:rPr>
      </w:pPr>
      <w:r>
        <w:rPr>
          <w:rFonts w:asciiTheme="majorBidi" w:eastAsia="Calibri" w:hAnsiTheme="majorBidi" w:cstheme="majorBidi"/>
          <w:b/>
          <w:bCs/>
          <w:lang w:bidi="ar-AE"/>
        </w:rPr>
        <w:t>Second partie</w:t>
      </w:r>
    </w:p>
    <w:p w14:paraId="26B46AA4" w14:textId="77777777" w:rsidR="00DE651D" w:rsidRDefault="00DE651D" w:rsidP="00A70B78">
      <w:pPr>
        <w:spacing w:line="360" w:lineRule="auto"/>
        <w:jc w:val="center"/>
        <w:rPr>
          <w:rFonts w:asciiTheme="majorBidi" w:eastAsia="Calibri" w:hAnsiTheme="majorBidi" w:cstheme="majorBidi"/>
          <w:b/>
          <w:bCs/>
          <w:lang w:bidi="ar-AE"/>
        </w:rPr>
      </w:pPr>
    </w:p>
    <w:p w14:paraId="726BEE24" w14:textId="77777777" w:rsidR="00DE651D" w:rsidRDefault="00DE651D" w:rsidP="00A70B78">
      <w:pPr>
        <w:spacing w:line="360" w:lineRule="auto"/>
        <w:jc w:val="center"/>
        <w:rPr>
          <w:rFonts w:asciiTheme="majorBidi" w:eastAsia="Calibri" w:hAnsiTheme="majorBidi" w:cstheme="majorBidi"/>
          <w:b/>
          <w:bCs/>
          <w:lang w:bidi="ar-AE"/>
        </w:rPr>
      </w:pPr>
    </w:p>
    <w:p w14:paraId="47EBF269" w14:textId="29570DDC" w:rsidR="00A70B78" w:rsidRPr="007C6A42" w:rsidRDefault="00DE651D" w:rsidP="00A70B78">
      <w:pPr>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Traductions</w:t>
      </w:r>
      <w:r w:rsidR="00A70B78" w:rsidRPr="007C6A42">
        <w:rPr>
          <w:rFonts w:asciiTheme="majorBidi" w:eastAsia="Calibri" w:hAnsiTheme="majorBidi" w:cstheme="majorBidi"/>
          <w:b/>
          <w:bCs/>
          <w:lang w:bidi="ar-AE"/>
        </w:rPr>
        <w:t xml:space="preserve"> et polysémie</w:t>
      </w:r>
    </w:p>
    <w:p w14:paraId="41BF890D" w14:textId="77777777" w:rsidR="00A70B78" w:rsidRPr="007C6A42" w:rsidRDefault="00A70B78" w:rsidP="00A70B78">
      <w:pPr>
        <w:spacing w:line="360" w:lineRule="auto"/>
        <w:jc w:val="center"/>
        <w:rPr>
          <w:rFonts w:asciiTheme="majorBidi" w:eastAsia="Calibri" w:hAnsiTheme="majorBidi" w:cstheme="majorBidi"/>
          <w:b/>
          <w:bCs/>
          <w:lang w:bidi="ar-AE"/>
        </w:rPr>
      </w:pPr>
    </w:p>
    <w:p w14:paraId="6BF98891" w14:textId="77777777" w:rsidR="00A70B78" w:rsidRPr="007C6A42" w:rsidRDefault="00A70B78" w:rsidP="00A70B78">
      <w:pPr>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br w:type="page"/>
      </w:r>
    </w:p>
    <w:p w14:paraId="5EF92280" w14:textId="77777777" w:rsidR="00A70B78" w:rsidRPr="007C6A42" w:rsidRDefault="00A70B78" w:rsidP="00A70B78">
      <w:pPr>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lastRenderedPageBreak/>
        <w:t xml:space="preserve">Chapitre </w:t>
      </w:r>
      <w:r>
        <w:rPr>
          <w:rFonts w:asciiTheme="majorBidi" w:eastAsia="Calibri" w:hAnsiTheme="majorBidi" w:cstheme="majorBidi"/>
          <w:b/>
          <w:bCs/>
          <w:lang w:bidi="ar-AE"/>
        </w:rPr>
        <w:t>VI</w:t>
      </w:r>
    </w:p>
    <w:p w14:paraId="16AD8436" w14:textId="77777777" w:rsidR="00A70B78" w:rsidRPr="007C6A42" w:rsidRDefault="00A70B78" w:rsidP="00A70B78">
      <w:pPr>
        <w:spacing w:line="360" w:lineRule="auto"/>
        <w:jc w:val="center"/>
        <w:rPr>
          <w:rFonts w:asciiTheme="majorBidi" w:eastAsia="Calibri" w:hAnsiTheme="majorBidi" w:cstheme="majorBidi"/>
          <w:b/>
          <w:bCs/>
          <w:lang w:bidi="ar-AE"/>
        </w:rPr>
      </w:pPr>
      <w:r w:rsidRPr="007C6A42">
        <w:rPr>
          <w:rFonts w:asciiTheme="majorBidi" w:hAnsiTheme="majorBidi" w:cstheme="majorBidi"/>
          <w:b/>
          <w:bCs/>
        </w:rPr>
        <w:t>Présentation succincte des traductions françaises du Coran à la lumière de la polysémie</w:t>
      </w:r>
    </w:p>
    <w:p w14:paraId="19B5BAD3"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6BCCF4C3"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En fait, « traduire, c’est toujours appauvrir et enrichir le contenu du texte-source »</w:t>
      </w:r>
      <w:r w:rsidRPr="007C6A42">
        <w:rPr>
          <w:rFonts w:asciiTheme="majorBidi" w:eastAsia="Times New Roman" w:hAnsiTheme="majorBidi" w:cstheme="majorBidi"/>
          <w:lang w:bidi="ar-KW"/>
        </w:rPr>
        <w:t xml:space="preserve"> […] « </w:t>
      </w:r>
      <w:r w:rsidRPr="007C6A42">
        <w:rPr>
          <w:rFonts w:asciiTheme="majorBidi" w:eastAsia="Times New Roman" w:hAnsiTheme="majorBidi" w:cstheme="majorBidi"/>
        </w:rPr>
        <w:t xml:space="preserve">on gagne toujours à utiliser plusieurs traductions diversifiées, car elles permettent de mettre en parallèle les multiples interprétations du texte d’origine sans en jamais épuiser toute la richesse, la polysémie étant toujours la règle dès lors qu’il s’agit de textes poétiques, philosophiques ou théologiques. Au lieu de préférer telle ou telle traduction en condamnant les autres, n’est-il pas plus juste, voire plus enrichissant, de les accueillir toutes et de les harmoniser au nom de ce qui serait alors une symphonie interprétative ? » </w:t>
      </w:r>
      <w:r w:rsidRPr="007C6A42">
        <w:rPr>
          <w:rFonts w:asciiTheme="majorBidi" w:eastAsia="Times New Roman" w:hAnsiTheme="majorBidi" w:cstheme="majorBidi"/>
          <w:lang w:bidi="ar-KW"/>
        </w:rPr>
        <w:t>[…]</w:t>
      </w:r>
      <w:r w:rsidRPr="007C6A42">
        <w:rPr>
          <w:rFonts w:asciiTheme="majorBidi" w:eastAsia="Times New Roman" w:hAnsiTheme="majorBidi" w:cstheme="majorBidi"/>
        </w:rPr>
        <w:t xml:space="preserve"> « c’est en accumulant et en confrontant les traductions qu’il est alors possible au lecteur de rejoindre la riche polysémie du texte d’origine en recourant au « pluralisme symphonique des traductions ».</w:t>
      </w:r>
      <w:r w:rsidRPr="007C6A42">
        <w:rPr>
          <w:rFonts w:asciiTheme="majorBidi" w:eastAsia="Calibri" w:hAnsiTheme="majorBidi" w:cstheme="majorBidi"/>
          <w:vertAlign w:val="superscript"/>
          <w:lang w:bidi="ar-AE"/>
        </w:rPr>
        <w:footnoteReference w:id="383"/>
      </w:r>
      <w:r w:rsidRPr="007C6A42">
        <w:rPr>
          <w:rFonts w:asciiTheme="majorBidi" w:eastAsia="Times New Roman" w:hAnsiTheme="majorBidi" w:cstheme="majorBidi"/>
        </w:rPr>
        <w:t xml:space="preserve"> Ainsi, le texte de départ et le texte d’arrivée peuvent être vus comme un diptyque.</w:t>
      </w:r>
    </w:p>
    <w:p w14:paraId="30D6BAF3"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38CEDB83"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rPr>
        <w:t xml:space="preserve">Dans cette partie, nous allons aborder la polysémie de quelques traductions de la sourate al-Ḥajj. Nous allons voir comment la traduction modifie le texte-source et notamment en ce qui concerne la polysémie. À cet effet, il convient d’abord de passer en revue les tendances déformantes définies par Antoine Berman dans </w:t>
      </w:r>
      <w:r w:rsidRPr="007C6A42">
        <w:rPr>
          <w:rFonts w:asciiTheme="majorBidi" w:eastAsia="Times New Roman" w:hAnsiTheme="majorBidi" w:cstheme="majorBidi"/>
          <w:i/>
          <w:iCs/>
        </w:rPr>
        <w:t>La traduction et la lettre ou l’auberge du lointain</w:t>
      </w:r>
      <w:r w:rsidRPr="007C6A42">
        <w:rPr>
          <w:rFonts w:asciiTheme="majorBidi" w:eastAsia="Times New Roman" w:hAnsiTheme="majorBidi" w:cstheme="majorBidi"/>
        </w:rPr>
        <w:t>. Ensuite nous aborderons les trois types de polysémies : pronominale, lexicale et celle des énoncés.</w:t>
      </w:r>
    </w:p>
    <w:p w14:paraId="72C80542" w14:textId="77777777" w:rsidR="00A70B78" w:rsidRPr="007C6A42" w:rsidRDefault="00A70B78" w:rsidP="00A70B78">
      <w:pPr>
        <w:spacing w:line="360" w:lineRule="auto"/>
        <w:ind w:firstLine="708"/>
        <w:contextualSpacing/>
        <w:jc w:val="both"/>
        <w:rPr>
          <w:rFonts w:asciiTheme="majorBidi" w:hAnsiTheme="majorBidi" w:cstheme="majorBidi"/>
        </w:rPr>
      </w:pPr>
      <w:r w:rsidRPr="007C6A42">
        <w:rPr>
          <w:rFonts w:asciiTheme="majorBidi" w:eastAsia="Times New Roman" w:hAnsiTheme="majorBidi" w:cstheme="majorBidi"/>
        </w:rPr>
        <w:t xml:space="preserve">Pour pouvoir comparer la polysémie entre le texte de départ et ses traductions, il faudrait pour être efficace utiliser les mêmes critères de comparaison. </w:t>
      </w:r>
      <w:r w:rsidRPr="007C6A42">
        <w:rPr>
          <w:rFonts w:asciiTheme="majorBidi" w:hAnsiTheme="majorBidi" w:cstheme="majorBidi"/>
        </w:rPr>
        <w:t>À l’instar de l’analyse de la polysémie du texte-source arabe, nous allons analyser la polysémie des traductions également selon les trois types de polysémie :</w:t>
      </w:r>
      <w:r w:rsidRPr="007C6A42">
        <w:rPr>
          <w:rFonts w:asciiTheme="majorBidi" w:eastAsia="Times New Roman" w:hAnsiTheme="majorBidi" w:cstheme="majorBidi"/>
        </w:rPr>
        <w:t xml:space="preserve"> </w:t>
      </w:r>
      <w:r w:rsidRPr="007C6A42">
        <w:rPr>
          <w:rFonts w:asciiTheme="majorBidi" w:eastAsia="Times New Roman" w:hAnsiTheme="majorBidi" w:cstheme="majorBidi"/>
          <w:b/>
          <w:bCs/>
        </w:rPr>
        <w:t>1)</w:t>
      </w:r>
      <w:r w:rsidRPr="007C6A42">
        <w:rPr>
          <w:rFonts w:asciiTheme="majorBidi" w:eastAsia="Times New Roman" w:hAnsiTheme="majorBidi" w:cstheme="majorBidi"/>
        </w:rPr>
        <w:t xml:space="preserve"> </w:t>
      </w:r>
      <w:r w:rsidRPr="007C6A42">
        <w:rPr>
          <w:rFonts w:asciiTheme="majorBidi" w:hAnsiTheme="majorBidi" w:cstheme="majorBidi"/>
          <w:i/>
          <w:iCs/>
        </w:rPr>
        <w:t>Polysémie pronominale </w:t>
      </w:r>
      <w:r w:rsidRPr="007C6A42">
        <w:rPr>
          <w:rFonts w:asciiTheme="majorBidi" w:hAnsiTheme="majorBidi" w:cstheme="majorBidi"/>
        </w:rPr>
        <w:t>: au niveau des pronoms, des connecteurs logiques et des particules ;</w:t>
      </w:r>
      <w:r w:rsidRPr="007C6A42">
        <w:rPr>
          <w:rFonts w:asciiTheme="majorBidi" w:eastAsia="Times New Roman" w:hAnsiTheme="majorBidi" w:cstheme="majorBidi"/>
        </w:rPr>
        <w:t xml:space="preserve"> </w:t>
      </w:r>
      <w:r w:rsidRPr="007C6A42">
        <w:rPr>
          <w:rFonts w:asciiTheme="majorBidi" w:eastAsia="Times New Roman" w:hAnsiTheme="majorBidi" w:cstheme="majorBidi"/>
          <w:b/>
          <w:bCs/>
        </w:rPr>
        <w:t>2)</w:t>
      </w:r>
      <w:r w:rsidRPr="007C6A42">
        <w:rPr>
          <w:rFonts w:asciiTheme="majorBidi" w:eastAsia="Times New Roman" w:hAnsiTheme="majorBidi" w:cstheme="majorBidi"/>
        </w:rPr>
        <w:t xml:space="preserve"> </w:t>
      </w:r>
      <w:r w:rsidRPr="007C6A42">
        <w:rPr>
          <w:rFonts w:asciiTheme="majorBidi" w:hAnsiTheme="majorBidi" w:cstheme="majorBidi"/>
          <w:i/>
          <w:iCs/>
        </w:rPr>
        <w:t>Polysémie lexicale </w:t>
      </w:r>
      <w:r w:rsidRPr="007C6A42">
        <w:rPr>
          <w:rFonts w:asciiTheme="majorBidi" w:hAnsiTheme="majorBidi" w:cstheme="majorBidi"/>
        </w:rPr>
        <w:t>: au niveau des mots : génériques, équivoques (</w:t>
      </w:r>
      <w:r w:rsidRPr="007C6A42">
        <w:rPr>
          <w:rFonts w:asciiTheme="majorBidi" w:hAnsiTheme="majorBidi" w:cstheme="majorBidi"/>
          <w:i/>
          <w:iCs/>
        </w:rPr>
        <w:t>mutashābihāt</w:t>
      </w:r>
      <w:r w:rsidRPr="007C6A42">
        <w:rPr>
          <w:rFonts w:asciiTheme="majorBidi" w:hAnsiTheme="majorBidi" w:cstheme="majorBidi"/>
        </w:rPr>
        <w:t xml:space="preserve">), </w:t>
      </w:r>
      <w:r w:rsidRPr="007C6A42">
        <w:rPr>
          <w:rFonts w:asciiTheme="majorBidi" w:hAnsiTheme="majorBidi" w:cstheme="majorBidi"/>
          <w:i/>
          <w:iCs/>
        </w:rPr>
        <w:t>hapax</w:t>
      </w:r>
      <w:r w:rsidRPr="007C6A42">
        <w:rPr>
          <w:rFonts w:asciiTheme="majorBidi" w:hAnsiTheme="majorBidi" w:cstheme="majorBidi"/>
        </w:rPr>
        <w:t xml:space="preserve">, termes musulmans (comme : </w:t>
      </w:r>
      <w:r w:rsidRPr="007C6A42">
        <w:rPr>
          <w:rFonts w:asciiTheme="majorBidi" w:hAnsiTheme="majorBidi" w:cstheme="majorBidi"/>
          <w:i/>
          <w:iCs/>
        </w:rPr>
        <w:t>Allāh</w:t>
      </w:r>
      <w:r w:rsidRPr="007C6A42">
        <w:rPr>
          <w:rFonts w:asciiTheme="majorBidi" w:hAnsiTheme="majorBidi" w:cstheme="majorBidi"/>
        </w:rPr>
        <w:t xml:space="preserve">, </w:t>
      </w:r>
      <w:r w:rsidRPr="007C6A42">
        <w:rPr>
          <w:rFonts w:asciiTheme="majorBidi" w:hAnsiTheme="majorBidi" w:cstheme="majorBidi"/>
          <w:i/>
          <w:iCs/>
        </w:rPr>
        <w:t>raḥmān</w:t>
      </w:r>
      <w:r w:rsidRPr="007C6A42">
        <w:rPr>
          <w:rFonts w:asciiTheme="majorBidi" w:hAnsiTheme="majorBidi" w:cstheme="majorBidi"/>
        </w:rPr>
        <w:t>, ṣ</w:t>
      </w:r>
      <w:r w:rsidRPr="007C6A42">
        <w:rPr>
          <w:rFonts w:asciiTheme="majorBidi" w:hAnsiTheme="majorBidi" w:cstheme="majorBidi"/>
          <w:i/>
          <w:iCs/>
        </w:rPr>
        <w:t>alāt</w:t>
      </w:r>
      <w:r w:rsidRPr="007C6A42">
        <w:rPr>
          <w:rFonts w:asciiTheme="majorBidi" w:hAnsiTheme="majorBidi" w:cstheme="majorBidi"/>
        </w:rPr>
        <w:t xml:space="preserve">, </w:t>
      </w:r>
      <w:r w:rsidRPr="007C6A42">
        <w:rPr>
          <w:rFonts w:asciiTheme="majorBidi" w:hAnsiTheme="majorBidi" w:cstheme="majorBidi"/>
          <w:i/>
          <w:iCs/>
        </w:rPr>
        <w:t>zakāt</w:t>
      </w:r>
      <w:r w:rsidRPr="007C6A42">
        <w:rPr>
          <w:rFonts w:asciiTheme="majorBidi" w:hAnsiTheme="majorBidi" w:cstheme="majorBidi"/>
        </w:rPr>
        <w:t xml:space="preserve">, etc.) ; </w:t>
      </w:r>
      <w:r w:rsidRPr="007C6A42">
        <w:rPr>
          <w:rFonts w:asciiTheme="majorBidi" w:hAnsiTheme="majorBidi" w:cstheme="majorBidi"/>
          <w:b/>
          <w:bCs/>
        </w:rPr>
        <w:t>3)</w:t>
      </w:r>
      <w:r w:rsidRPr="007C6A42">
        <w:rPr>
          <w:rFonts w:asciiTheme="majorBidi" w:hAnsiTheme="majorBidi" w:cstheme="majorBidi"/>
        </w:rPr>
        <w:t xml:space="preserve"> </w:t>
      </w:r>
      <w:r w:rsidRPr="007C6A42">
        <w:rPr>
          <w:rFonts w:asciiTheme="majorBidi" w:hAnsiTheme="majorBidi" w:cstheme="majorBidi"/>
          <w:i/>
          <w:iCs/>
        </w:rPr>
        <w:t>P</w:t>
      </w:r>
      <w:r w:rsidRPr="007C6A42">
        <w:rPr>
          <w:rFonts w:asciiTheme="majorBidi" w:hAnsiTheme="majorBidi" w:cstheme="majorBidi"/>
        </w:rPr>
        <w:t>ol</w:t>
      </w:r>
      <w:r w:rsidRPr="007C6A42">
        <w:rPr>
          <w:rFonts w:asciiTheme="majorBidi" w:hAnsiTheme="majorBidi" w:cstheme="majorBidi"/>
          <w:i/>
          <w:iCs/>
        </w:rPr>
        <w:t>ysémie des énoncés </w:t>
      </w:r>
      <w:r w:rsidRPr="007C6A42">
        <w:rPr>
          <w:rFonts w:asciiTheme="majorBidi" w:hAnsiTheme="majorBidi" w:cstheme="majorBidi"/>
        </w:rPr>
        <w:t xml:space="preserve">: au niveau des phrases, figures de style, syntaxe, ponctuation, </w:t>
      </w:r>
      <w:r w:rsidRPr="007C6A42">
        <w:rPr>
          <w:rFonts w:asciiTheme="majorBidi" w:hAnsiTheme="majorBidi" w:cstheme="majorBidi"/>
          <w:lang w:bidi="ar-AE"/>
        </w:rPr>
        <w:t>anastrophe [</w:t>
      </w:r>
      <w:r w:rsidRPr="007C6A42">
        <w:rPr>
          <w:rFonts w:asciiTheme="majorBidi" w:hAnsiTheme="majorBidi" w:cstheme="majorBidi"/>
          <w:i/>
          <w:iCs/>
          <w:lang w:bidi="ar-AE"/>
        </w:rPr>
        <w:t>at-taqdīm wa-at-taʾkhīr</w:t>
      </w:r>
      <w:r w:rsidRPr="007C6A42">
        <w:rPr>
          <w:rFonts w:asciiTheme="majorBidi" w:hAnsiTheme="majorBidi" w:cstheme="majorBidi"/>
          <w:lang w:bidi="ar-AE"/>
        </w:rPr>
        <w:t>]</w:t>
      </w:r>
      <w:r w:rsidRPr="007C6A42">
        <w:rPr>
          <w:rFonts w:asciiTheme="majorBidi" w:hAnsiTheme="majorBidi" w:cstheme="majorBidi"/>
        </w:rPr>
        <w:t xml:space="preserve">, suppression ou omission, délétion, vides du texte, aspect </w:t>
      </w:r>
      <w:r w:rsidRPr="007C6A42">
        <w:rPr>
          <w:rFonts w:asciiTheme="majorBidi" w:hAnsiTheme="majorBidi" w:cstheme="majorBidi"/>
        </w:rPr>
        <w:lastRenderedPageBreak/>
        <w:t xml:space="preserve">idéologique et politique, etc. L’objectif est donc </w:t>
      </w:r>
      <w:r w:rsidRPr="007C6A42">
        <w:rPr>
          <w:rFonts w:asciiTheme="majorBidi" w:eastAsia="Times New Roman" w:hAnsiTheme="majorBidi" w:cstheme="majorBidi"/>
        </w:rPr>
        <w:t>de voir comment les traductions réduisent la polysémie du texte arabe et à quel degré.</w:t>
      </w:r>
    </w:p>
    <w:p w14:paraId="7E7E988E"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59AF68DC" w14:textId="77777777" w:rsidR="00A70B78" w:rsidRPr="007C6A42" w:rsidRDefault="00A70B78" w:rsidP="00A70B78">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ab/>
        <w:t>Avant tout, il convient de faire une présentation succincte des traductions du Coran en français.</w:t>
      </w:r>
    </w:p>
    <w:p w14:paraId="3956A1B4"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4B8651CE" w14:textId="77777777" w:rsidR="00A70B78" w:rsidRPr="007C6A42" w:rsidRDefault="00A70B78" w:rsidP="00A70B78">
      <w:pPr>
        <w:spacing w:line="360" w:lineRule="auto"/>
        <w:contextualSpacing/>
        <w:jc w:val="both"/>
        <w:outlineLvl w:val="0"/>
        <w:rPr>
          <w:rFonts w:asciiTheme="majorBidi" w:hAnsiTheme="majorBidi" w:cstheme="majorBidi"/>
          <w:b/>
          <w:bCs/>
        </w:rPr>
      </w:pPr>
      <w:r w:rsidRPr="007C6A42">
        <w:rPr>
          <w:rFonts w:asciiTheme="majorBidi" w:hAnsiTheme="majorBidi" w:cstheme="majorBidi"/>
          <w:b/>
          <w:bCs/>
        </w:rPr>
        <w:t xml:space="preserve">Présentation succincte des traductions françaises du </w:t>
      </w:r>
      <w:r w:rsidRPr="00C726F2">
        <w:rPr>
          <w:rFonts w:asciiTheme="majorBidi" w:hAnsiTheme="majorBidi" w:cstheme="majorBidi"/>
          <w:b/>
          <w:bCs/>
        </w:rPr>
        <w:t>Coran</w:t>
      </w:r>
      <w:r w:rsidRPr="00C726F2">
        <w:rPr>
          <w:rStyle w:val="Appelnotedebasdep"/>
          <w:rFonts w:asciiTheme="majorBidi" w:hAnsiTheme="majorBidi" w:cstheme="majorBidi"/>
          <w:b/>
          <w:bCs/>
        </w:rPr>
        <w:footnoteReference w:id="384"/>
      </w:r>
      <w:r w:rsidRPr="00C726F2">
        <w:rPr>
          <w:rFonts w:asciiTheme="majorBidi" w:hAnsiTheme="majorBidi" w:cstheme="majorBidi"/>
          <w:b/>
          <w:bCs/>
        </w:rPr>
        <w:t xml:space="preserve"> à la lumière</w:t>
      </w:r>
      <w:r w:rsidRPr="007C6A42">
        <w:rPr>
          <w:rFonts w:asciiTheme="majorBidi" w:hAnsiTheme="majorBidi" w:cstheme="majorBidi"/>
          <w:b/>
          <w:bCs/>
        </w:rPr>
        <w:t xml:space="preserve"> de la polysémie :</w:t>
      </w:r>
    </w:p>
    <w:p w14:paraId="7AFD1663" w14:textId="77777777" w:rsidR="00A70B78" w:rsidRPr="007C6A42" w:rsidRDefault="00A70B78" w:rsidP="00A70B78">
      <w:pPr>
        <w:spacing w:line="360" w:lineRule="auto"/>
        <w:ind w:firstLine="360"/>
        <w:jc w:val="both"/>
        <w:rPr>
          <w:rFonts w:asciiTheme="majorBidi" w:eastAsia="Calibri" w:hAnsiTheme="majorBidi" w:cstheme="majorBidi"/>
        </w:rPr>
      </w:pPr>
      <w:r w:rsidRPr="007C6A42">
        <w:rPr>
          <w:rFonts w:asciiTheme="majorBidi" w:eastAsia="Calibri" w:hAnsiTheme="majorBidi" w:cstheme="majorBidi"/>
        </w:rPr>
        <w:t>Pour situer la place de la traduction du Coran, il paraît nécessaire de passer en revue le mouvement de la traduction de et vers l’arabe. La traduction est devenue une activité florissante pendant le premier âge abbasside (750-905). Les Arabes ont traduit en leur langue les ouvrages anciens grecs, perses et indiens (depuis le sanskrit) dans les domaines de la médecine, de l’astronomie, de la philosophie, des mathématiques.</w:t>
      </w:r>
      <w:r w:rsidRPr="007C6A42">
        <w:rPr>
          <w:rStyle w:val="Appelnotedebasdep"/>
          <w:rFonts w:asciiTheme="majorBidi" w:eastAsia="Calibri" w:hAnsiTheme="majorBidi" w:cstheme="majorBidi"/>
        </w:rPr>
        <w:footnoteReference w:id="385"/>
      </w:r>
    </w:p>
    <w:p w14:paraId="5A50C9E7" w14:textId="77777777" w:rsidR="00A70B78" w:rsidRPr="007C6A42" w:rsidRDefault="00A70B78" w:rsidP="00A70B78">
      <w:pPr>
        <w:spacing w:line="360" w:lineRule="auto"/>
        <w:ind w:firstLine="360"/>
        <w:jc w:val="both"/>
        <w:rPr>
          <w:rFonts w:asciiTheme="majorBidi" w:eastAsia="Calibri" w:hAnsiTheme="majorBidi" w:cstheme="majorBidi"/>
        </w:rPr>
      </w:pPr>
    </w:p>
    <w:p w14:paraId="685E7929" w14:textId="77777777" w:rsidR="00A70B78" w:rsidRPr="007C6A42" w:rsidRDefault="00A70B78" w:rsidP="00A70B78">
      <w:pPr>
        <w:spacing w:line="360" w:lineRule="auto"/>
        <w:ind w:firstLine="360"/>
        <w:jc w:val="both"/>
        <w:rPr>
          <w:rFonts w:asciiTheme="majorBidi" w:hAnsiTheme="majorBidi" w:cstheme="majorBidi"/>
        </w:rPr>
      </w:pPr>
      <w:r w:rsidRPr="007C6A42">
        <w:rPr>
          <w:rFonts w:asciiTheme="majorBidi" w:hAnsiTheme="majorBidi" w:cstheme="majorBidi"/>
        </w:rPr>
        <w:t>« [L]’arabe classique, souligne Richard Jacquemond, devenu très vite (sous le calife umayyade ‘Abd al-Malik ibn Marwân [685-705]) langue unique de l’administration de l’empire, s’enrichit considérablement, à la faveur d’un mouvement de traduction d’une ampleur sans précédent dans l’histoire, en particulier durant le premier siècle abbasside (750-850). La traduction de l’héritage scientifique et philosophique antique, grec notamment, est à l’origine de l’essor de la science arabe : durant le haut Moyen-Âge européen, l’arabe exprime toutes les branches de la connaissance, et la traduction de l’arabe vers le latin jouera à partir du XII</w:t>
      </w:r>
      <w:r w:rsidRPr="007C6A42">
        <w:rPr>
          <w:rFonts w:asciiTheme="majorBidi" w:hAnsiTheme="majorBidi" w:cstheme="majorBidi"/>
          <w:vertAlign w:val="superscript"/>
        </w:rPr>
        <w:t>e</w:t>
      </w:r>
      <w:r w:rsidRPr="007C6A42">
        <w:rPr>
          <w:rFonts w:asciiTheme="majorBidi" w:hAnsiTheme="majorBidi" w:cstheme="majorBidi"/>
        </w:rPr>
        <w:t xml:space="preserve"> siècle un rôle essentiel dans la transmission en Europe des savoirs antiques »</w:t>
      </w:r>
      <w:r w:rsidRPr="007C6A42">
        <w:rPr>
          <w:rStyle w:val="Appelnotedebasdep"/>
          <w:rFonts w:asciiTheme="majorBidi" w:hAnsiTheme="majorBidi" w:cstheme="majorBidi"/>
        </w:rPr>
        <w:footnoteReference w:id="386"/>
      </w:r>
      <w:r w:rsidRPr="007C6A42">
        <w:rPr>
          <w:rFonts w:asciiTheme="majorBidi" w:hAnsiTheme="majorBidi" w:cstheme="majorBidi"/>
        </w:rPr>
        <w:t>.</w:t>
      </w:r>
    </w:p>
    <w:p w14:paraId="0B5AF65C" w14:textId="77777777" w:rsidR="00A70B78" w:rsidRPr="007C6A42" w:rsidRDefault="00A70B78" w:rsidP="00A70B78">
      <w:pPr>
        <w:spacing w:line="360" w:lineRule="auto"/>
        <w:ind w:firstLine="360"/>
        <w:jc w:val="both"/>
        <w:rPr>
          <w:rFonts w:asciiTheme="majorBidi" w:hAnsiTheme="majorBidi" w:cstheme="majorBidi"/>
        </w:rPr>
      </w:pPr>
    </w:p>
    <w:p w14:paraId="3BA9E071" w14:textId="77777777" w:rsidR="00A70B78" w:rsidRPr="007C6A42" w:rsidRDefault="00A70B78" w:rsidP="00A70B78">
      <w:pPr>
        <w:spacing w:line="360" w:lineRule="auto"/>
        <w:ind w:firstLine="360"/>
        <w:jc w:val="both"/>
        <w:rPr>
          <w:rFonts w:asciiTheme="majorBidi" w:hAnsiTheme="majorBidi" w:cstheme="majorBidi"/>
        </w:rPr>
      </w:pPr>
      <w:r w:rsidRPr="007C6A42">
        <w:rPr>
          <w:rFonts w:asciiTheme="majorBidi" w:hAnsiTheme="majorBidi" w:cstheme="majorBidi"/>
        </w:rPr>
        <w:t>En effet, les Arabes (ou plutôt les musulmans dans le nouvel empire) ne s’intéressent pas à la traduction à partir de l’arabe comme moyen de favoriser leur expansion ou celle de l’islam.  En d’autres termes, Ils ne s’intéressent pas à « l’extraduction » (la traduction vers les autres langues) d’une manière générale.</w:t>
      </w:r>
      <w:r w:rsidRPr="007C6A42">
        <w:rPr>
          <w:rStyle w:val="Appelnotedebasdep"/>
          <w:rFonts w:asciiTheme="majorBidi" w:hAnsiTheme="majorBidi" w:cstheme="majorBidi"/>
        </w:rPr>
        <w:footnoteReference w:id="387"/>
      </w:r>
    </w:p>
    <w:p w14:paraId="7F1431A7" w14:textId="77777777" w:rsidR="00A70B78" w:rsidRPr="007C6A42" w:rsidRDefault="00A70B78" w:rsidP="00A70B78">
      <w:pPr>
        <w:spacing w:line="360" w:lineRule="auto"/>
        <w:ind w:firstLine="360"/>
        <w:jc w:val="both"/>
        <w:rPr>
          <w:rFonts w:asciiTheme="majorBidi" w:hAnsiTheme="majorBidi" w:cstheme="majorBidi"/>
        </w:rPr>
      </w:pPr>
    </w:p>
    <w:p w14:paraId="44C1D55E" w14:textId="77777777" w:rsidR="00A70B78" w:rsidRPr="007C6A42" w:rsidRDefault="00A70B78" w:rsidP="00A70B78">
      <w:pPr>
        <w:spacing w:line="360" w:lineRule="auto"/>
        <w:ind w:firstLine="360"/>
        <w:jc w:val="both"/>
        <w:rPr>
          <w:rFonts w:asciiTheme="majorBidi" w:hAnsiTheme="majorBidi" w:cstheme="majorBidi"/>
        </w:rPr>
      </w:pPr>
      <w:r w:rsidRPr="007C6A42">
        <w:rPr>
          <w:rFonts w:asciiTheme="majorBidi" w:hAnsiTheme="majorBidi" w:cstheme="majorBidi"/>
        </w:rPr>
        <w:t>« [L]a traduction de l’arabe vers le latin jouera à partir du XII</w:t>
      </w:r>
      <w:r w:rsidRPr="007C6A42">
        <w:rPr>
          <w:rFonts w:asciiTheme="majorBidi" w:hAnsiTheme="majorBidi" w:cstheme="majorBidi"/>
          <w:vertAlign w:val="superscript"/>
        </w:rPr>
        <w:t>e</w:t>
      </w:r>
      <w:r w:rsidRPr="007C6A42">
        <w:rPr>
          <w:rFonts w:asciiTheme="majorBidi" w:hAnsiTheme="majorBidi" w:cstheme="majorBidi"/>
        </w:rPr>
        <w:t xml:space="preserve"> siècle un rôle essentiel dans la transmission en Europe des savoirs antiques et des acquis scientifiques arabes ».</w:t>
      </w:r>
      <w:r w:rsidRPr="007C6A42">
        <w:rPr>
          <w:rStyle w:val="Appelnotedebasdep"/>
          <w:rFonts w:asciiTheme="majorBidi" w:hAnsiTheme="majorBidi" w:cstheme="majorBidi"/>
        </w:rPr>
        <w:footnoteReference w:id="388"/>
      </w:r>
    </w:p>
    <w:p w14:paraId="5B23612C" w14:textId="77777777" w:rsidR="00A70B78" w:rsidRPr="007C6A42" w:rsidRDefault="00A70B78" w:rsidP="00A70B78">
      <w:pPr>
        <w:spacing w:line="360" w:lineRule="auto"/>
        <w:ind w:firstLine="360"/>
        <w:jc w:val="both"/>
        <w:rPr>
          <w:rFonts w:asciiTheme="majorBidi" w:eastAsia="Calibri" w:hAnsiTheme="majorBidi" w:cstheme="majorBidi"/>
          <w:rtl/>
        </w:rPr>
      </w:pPr>
    </w:p>
    <w:p w14:paraId="7753AFA5" w14:textId="77777777" w:rsidR="00A70B78" w:rsidRPr="007C6A42" w:rsidRDefault="00A70B78" w:rsidP="00A70B78">
      <w:pPr>
        <w:spacing w:line="360" w:lineRule="auto"/>
        <w:ind w:firstLine="360"/>
        <w:jc w:val="both"/>
        <w:rPr>
          <w:rFonts w:asciiTheme="majorBidi" w:eastAsia="Calibri" w:hAnsiTheme="majorBidi" w:cstheme="majorBidi"/>
        </w:rPr>
      </w:pPr>
      <w:r w:rsidRPr="007C6A42">
        <w:rPr>
          <w:rFonts w:asciiTheme="majorBidi" w:eastAsia="Calibri" w:hAnsiTheme="majorBidi" w:cstheme="majorBidi"/>
        </w:rPr>
        <w:t>À la fin du Moyen Âge, la traduction vers l’arabe s’est presque arrêtée, et le mouvement inverse a commencé : les ouvrages traduits par les musulmans ou les Arabes ont été traduits par les Européens. L’école de Tolède en Espagne au XII</w:t>
      </w:r>
      <w:r w:rsidRPr="007C6A42">
        <w:rPr>
          <w:rFonts w:asciiTheme="majorBidi" w:eastAsia="Calibri" w:hAnsiTheme="majorBidi" w:cstheme="majorBidi"/>
          <w:vertAlign w:val="superscript"/>
        </w:rPr>
        <w:t>e</w:t>
      </w:r>
      <w:r w:rsidRPr="007C6A42">
        <w:rPr>
          <w:rFonts w:asciiTheme="majorBidi" w:eastAsia="Calibri" w:hAnsiTheme="majorBidi" w:cstheme="majorBidi"/>
        </w:rPr>
        <w:t xml:space="preserve"> siècle a joué un grand rôle. Vers la fin du Moyen Âge, la traduction du Coran a apparu réalisée par des Européens. Sous l’Empire ottoman, l’arabe a régressé. Puis elle a connu de nouveau un regain d’intérêt grâce à la traduction à partir des langues européennes. </w:t>
      </w:r>
    </w:p>
    <w:p w14:paraId="608644E6" w14:textId="77777777" w:rsidR="00A70B78" w:rsidRPr="007C6A42" w:rsidRDefault="00A70B78" w:rsidP="00A70B78">
      <w:pPr>
        <w:spacing w:line="360" w:lineRule="auto"/>
        <w:ind w:firstLine="360"/>
        <w:jc w:val="both"/>
        <w:rPr>
          <w:rFonts w:asciiTheme="majorBidi" w:eastAsia="Calibri" w:hAnsiTheme="majorBidi" w:cstheme="majorBidi"/>
        </w:rPr>
      </w:pPr>
    </w:p>
    <w:p w14:paraId="1A0E246B" w14:textId="77777777" w:rsidR="00A70B78" w:rsidRPr="007C6A42" w:rsidRDefault="00A70B78" w:rsidP="00A70B78">
      <w:pPr>
        <w:spacing w:line="360" w:lineRule="auto"/>
        <w:ind w:firstLine="360"/>
        <w:jc w:val="both"/>
        <w:rPr>
          <w:rFonts w:asciiTheme="majorBidi" w:eastAsia="Calibri" w:hAnsiTheme="majorBidi" w:cstheme="majorBidi"/>
        </w:rPr>
      </w:pPr>
      <w:r w:rsidRPr="007C6A42">
        <w:rPr>
          <w:rFonts w:asciiTheme="majorBidi" w:eastAsia="Calibri" w:hAnsiTheme="majorBidi" w:cstheme="majorBidi"/>
        </w:rPr>
        <w:t>Richard Jacquemond précise :</w:t>
      </w:r>
    </w:p>
    <w:p w14:paraId="2B97CFD3" w14:textId="77777777" w:rsidR="00A70B78" w:rsidRPr="007C6A42" w:rsidRDefault="00A70B78" w:rsidP="00A70B78">
      <w:pPr>
        <w:spacing w:line="360" w:lineRule="auto"/>
        <w:ind w:firstLine="360"/>
        <w:jc w:val="both"/>
        <w:rPr>
          <w:rFonts w:asciiTheme="majorBidi" w:eastAsia="Calibri" w:hAnsiTheme="majorBidi" w:cstheme="majorBidi"/>
        </w:rPr>
      </w:pPr>
      <w:r w:rsidRPr="007C6A42">
        <w:rPr>
          <w:rFonts w:asciiTheme="majorBidi" w:eastAsia="Calibri" w:hAnsiTheme="majorBidi" w:cstheme="majorBidi"/>
        </w:rPr>
        <w:t>« Les choses changent radicalement au XIX</w:t>
      </w:r>
      <w:r w:rsidRPr="007C6A42">
        <w:rPr>
          <w:rFonts w:asciiTheme="majorBidi" w:eastAsia="Calibri" w:hAnsiTheme="majorBidi" w:cstheme="majorBidi"/>
          <w:vertAlign w:val="superscript"/>
        </w:rPr>
        <w:t>e</w:t>
      </w:r>
      <w:r w:rsidRPr="007C6A42">
        <w:rPr>
          <w:rFonts w:asciiTheme="majorBidi" w:eastAsia="Calibri" w:hAnsiTheme="majorBidi" w:cstheme="majorBidi"/>
        </w:rPr>
        <w:t xml:space="preserve"> siècle, précisément à partir de l’occupation de l’Égypte par </w:t>
      </w:r>
      <w:r w:rsidRPr="007C6A42">
        <w:rPr>
          <w:rFonts w:asciiTheme="majorBidi" w:hAnsiTheme="majorBidi" w:cstheme="majorBidi"/>
        </w:rPr>
        <w:t>les troupes françaises de Napoléon Bonaparte (1798-1801). La nécessité s’impose alors d’exprimer en arabe un ensemble de notions, d’institutions, de savoirs et de techniques radicalement nouveaux. Modernisation de la langue et traduction vont dès lors aller de pair : un double mouvement qui depuis n’a pas cessé, d’autant plus que les sociétés arabes seront, durant toute cette période, importatrices et consommatrices de biens, savoirs et techniques nouveaux bien davantage qu’elles n’en seront productrices. Ainsi, l’arabe d’aujourd’hui, tel qu’il résulte de ce procès bi-séculaire, est à bien des égards une « langue traduite », mais – et c’est là son originalité par rapport à d’autres langues anciennes modernisées – cette caractéristique de l’arabe moderne sera occultée par l’idéologie linguistique dominante. »</w:t>
      </w:r>
      <w:r w:rsidRPr="007C6A42">
        <w:rPr>
          <w:rStyle w:val="Appelnotedebasdep"/>
          <w:rFonts w:asciiTheme="majorBidi" w:hAnsiTheme="majorBidi" w:cstheme="majorBidi"/>
        </w:rPr>
        <w:footnoteReference w:id="389"/>
      </w:r>
    </w:p>
    <w:p w14:paraId="7A0C98E8" w14:textId="77777777" w:rsidR="00A70B78" w:rsidRPr="007C6A42" w:rsidRDefault="00A70B78" w:rsidP="00A70B78">
      <w:pPr>
        <w:spacing w:line="360" w:lineRule="auto"/>
        <w:jc w:val="both"/>
        <w:rPr>
          <w:rFonts w:asciiTheme="majorBidi" w:eastAsia="Calibri" w:hAnsiTheme="majorBidi" w:cstheme="majorBidi"/>
        </w:rPr>
      </w:pPr>
    </w:p>
    <w:p w14:paraId="5052F284"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hAnsiTheme="majorBidi" w:cstheme="majorBidi"/>
        </w:rPr>
        <w:lastRenderedPageBreak/>
        <w:t xml:space="preserve">L’arabe dominée dans les échanges culturels internationaux « est en situation de langue dominante dans un contexte bien particulier, celui des échanges linguistiques au sein de la </w:t>
      </w:r>
      <w:r w:rsidRPr="007C6A42">
        <w:rPr>
          <w:rFonts w:asciiTheme="majorBidi" w:hAnsiTheme="majorBidi" w:cstheme="majorBidi"/>
          <w:i/>
          <w:iCs/>
        </w:rPr>
        <w:t>umma</w:t>
      </w:r>
      <w:r w:rsidRPr="007C6A42">
        <w:rPr>
          <w:rFonts w:asciiTheme="majorBidi" w:hAnsiTheme="majorBidi" w:cstheme="majorBidi"/>
        </w:rPr>
        <w:t xml:space="preserve">, la communauté islamique universelle. L’exigence de la maîtrise de l’arabe pour accéder à la lecture du Coran et à la culture religieuse n’a pas empêché le développement de la traduction de l’arabe vers les autres langues de la </w:t>
      </w:r>
      <w:r w:rsidRPr="007C6A42">
        <w:rPr>
          <w:rFonts w:asciiTheme="majorBidi" w:hAnsiTheme="majorBidi" w:cstheme="majorBidi"/>
          <w:i/>
          <w:iCs/>
        </w:rPr>
        <w:t>umma</w:t>
      </w:r>
      <w:r w:rsidRPr="007C6A42">
        <w:rPr>
          <w:rFonts w:asciiTheme="majorBidi" w:hAnsiTheme="majorBidi" w:cstheme="majorBidi"/>
        </w:rPr>
        <w:t> (turc, persan, ourdou, malais et indonésien, etc.). »</w:t>
      </w:r>
      <w:r w:rsidRPr="007C6A42">
        <w:rPr>
          <w:rStyle w:val="Appelnotedebasdep"/>
          <w:rFonts w:asciiTheme="majorBidi" w:hAnsiTheme="majorBidi" w:cstheme="majorBidi"/>
        </w:rPr>
        <w:t xml:space="preserve"> </w:t>
      </w:r>
      <w:r w:rsidRPr="007C6A42">
        <w:rPr>
          <w:rStyle w:val="Appelnotedebasdep"/>
          <w:rFonts w:asciiTheme="majorBidi" w:hAnsiTheme="majorBidi" w:cstheme="majorBidi"/>
        </w:rPr>
        <w:footnoteReference w:id="390"/>
      </w:r>
    </w:p>
    <w:p w14:paraId="192EA412" w14:textId="77777777" w:rsidR="00A70B78" w:rsidRPr="007C6A42" w:rsidRDefault="00A70B78" w:rsidP="00A70B78">
      <w:pPr>
        <w:spacing w:line="360" w:lineRule="auto"/>
        <w:ind w:firstLine="360"/>
        <w:jc w:val="both"/>
        <w:rPr>
          <w:rFonts w:asciiTheme="majorBidi" w:eastAsia="Calibri" w:hAnsiTheme="majorBidi" w:cstheme="majorBidi"/>
        </w:rPr>
      </w:pPr>
    </w:p>
    <w:p w14:paraId="2D591285"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Calibri" w:hAnsiTheme="majorBidi" w:cstheme="majorBidi"/>
        </w:rPr>
        <w:t>Au milieu du XIX</w:t>
      </w:r>
      <w:r w:rsidRPr="007C6A42">
        <w:rPr>
          <w:rFonts w:asciiTheme="majorBidi" w:eastAsia="Calibri" w:hAnsiTheme="majorBidi" w:cstheme="majorBidi"/>
          <w:vertAlign w:val="superscript"/>
        </w:rPr>
        <w:t>e</w:t>
      </w:r>
      <w:r w:rsidRPr="007C6A42">
        <w:rPr>
          <w:rFonts w:asciiTheme="majorBidi" w:eastAsia="Calibri" w:hAnsiTheme="majorBidi" w:cstheme="majorBidi"/>
        </w:rPr>
        <w:t xml:space="preserve"> siècle, le Liban a connu un mouvement de traduction important</w:t>
      </w:r>
      <w:r w:rsidRPr="007C6A42">
        <w:rPr>
          <w:rFonts w:asciiTheme="majorBidi" w:eastAsia="Calibri" w:hAnsiTheme="majorBidi" w:cstheme="majorBidi"/>
          <w:vertAlign w:val="superscript"/>
          <w:lang w:bidi="ar-AE"/>
        </w:rPr>
        <w:footnoteReference w:id="391"/>
      </w:r>
      <w:r w:rsidRPr="007C6A42">
        <w:rPr>
          <w:rFonts w:asciiTheme="majorBidi" w:eastAsia="Calibri" w:hAnsiTheme="majorBidi" w:cstheme="majorBidi"/>
        </w:rPr>
        <w:t xml:space="preserve"> depuis des langues dominantes vers l’arabe en tant que langue dominée. La traduction du Coran n’est pas dans le centre d’intérêt des musulmans. Certains théologiens (comme Az-Zarkashī) ont même interdit la traduction du Coran. C’est récemment que les musulmans s’occupent de la traduction de leur livre sacré. Bien qu’il soit considéré comme inimitable et par conséquent intraduisible, le Coran aurait été traduit en environ soixante-dix langues</w:t>
      </w:r>
      <w:r w:rsidRPr="007C6A42">
        <w:rPr>
          <w:rStyle w:val="Appelnotedebasdep"/>
          <w:rFonts w:asciiTheme="majorBidi" w:hAnsiTheme="majorBidi" w:cstheme="majorBidi"/>
        </w:rPr>
        <w:footnoteReference w:id="392"/>
      </w:r>
      <w:r w:rsidRPr="007C6A42">
        <w:rPr>
          <w:rFonts w:asciiTheme="majorBidi" w:eastAsia="Calibri" w:hAnsiTheme="majorBidi" w:cstheme="majorBidi"/>
        </w:rPr>
        <w:t xml:space="preserve"> après que l’islam a pris une dimension universelle. « [D]ès le deuxième siècle de l’Hégire, </w:t>
      </w:r>
      <w:r w:rsidRPr="007C6A42">
        <w:rPr>
          <w:rFonts w:asciiTheme="majorBidi" w:hAnsiTheme="majorBidi" w:cstheme="majorBidi"/>
        </w:rPr>
        <w:t>on vit apparaître des versions du Coran en d’autres langues, versions qui prenaient habituellement la forme de traductions interlinéaires, de manière à ce que l’original arabe soit toujours présent. Aujourd’hui encore, les traductions du Coran sont souvent présentées comme des "interprétations" ou des "essais d’interprétation" du Coran ou des "sens du Coran" ».</w:t>
      </w:r>
      <w:r w:rsidRPr="007C6A42">
        <w:rPr>
          <w:rStyle w:val="Appelnotedebasdep"/>
          <w:rFonts w:asciiTheme="majorBidi" w:hAnsiTheme="majorBidi" w:cstheme="majorBidi"/>
        </w:rPr>
        <w:footnoteReference w:id="393"/>
      </w:r>
      <w:r w:rsidRPr="007C6A42">
        <w:rPr>
          <w:rFonts w:asciiTheme="majorBidi" w:eastAsia="Calibri" w:hAnsiTheme="majorBidi" w:cstheme="majorBidi"/>
        </w:rPr>
        <w:t xml:space="preserve"> </w:t>
      </w:r>
      <w:r w:rsidRPr="007C6A42">
        <w:rPr>
          <w:rFonts w:asciiTheme="majorBidi" w:eastAsia="Times New Roman" w:hAnsiTheme="majorBidi" w:cstheme="majorBidi"/>
        </w:rPr>
        <w:t>Selon la liste des traductions du Coran en langues européennes dressée par Hamidullah en 1959 et mise à jour en 1977, Hamidullah recense 85 traductions en anglais, 46 en allemand et 36 en français.</w:t>
      </w:r>
      <w:r w:rsidRPr="007C6A42">
        <w:rPr>
          <w:rStyle w:val="Appelnotedebasdep"/>
          <w:rFonts w:asciiTheme="majorBidi" w:eastAsia="Times New Roman" w:hAnsiTheme="majorBidi" w:cstheme="majorBidi"/>
        </w:rPr>
        <w:footnoteReference w:id="394"/>
      </w:r>
      <w:r w:rsidRPr="007C6A42">
        <w:rPr>
          <w:rFonts w:asciiTheme="majorBidi" w:eastAsia="Times New Roman" w:hAnsiTheme="majorBidi" w:cstheme="majorBidi"/>
        </w:rPr>
        <w:t xml:space="preserve"> Ces retraductions peuvent souligner « une conséquence importante du dogme de l’inimitabilité : puisqu’il ne peut y avoir de traduction au sens fort, il ne peut y avoir de </w:t>
      </w:r>
      <w:r w:rsidRPr="007C6A42">
        <w:rPr>
          <w:rFonts w:asciiTheme="majorBidi" w:eastAsia="Times New Roman" w:hAnsiTheme="majorBidi" w:cstheme="majorBidi"/>
          <w:i/>
          <w:iCs/>
        </w:rPr>
        <w:t>vulgate</w:t>
      </w:r>
      <w:r w:rsidRPr="007C6A42">
        <w:rPr>
          <w:rFonts w:asciiTheme="majorBidi" w:eastAsia="Times New Roman" w:hAnsiTheme="majorBidi" w:cstheme="majorBidi"/>
        </w:rPr>
        <w:t xml:space="preserve">, de traduction officielle, et il y a très souvent, au contraire, plusieurs traductions en concurrence. Cette situation de concurrence oppose principalement les traductions du Coran faites par des musulmans à celles faites par des non-musulmans. […] </w:t>
      </w:r>
      <w:r w:rsidRPr="007C6A42">
        <w:rPr>
          <w:rFonts w:asciiTheme="majorBidi" w:hAnsiTheme="majorBidi" w:cstheme="majorBidi"/>
        </w:rPr>
        <w:t>On assiste ainsi aujourd’hui à une polarisation de plus en plus marquée entre les traductions "musulmanes" du Coran et celles produites par l’orientalisme, qui se manifeste par l’existence de deux marchés du Coran en traduction</w:t>
      </w:r>
      <w:r w:rsidRPr="007C6A42">
        <w:rPr>
          <w:rFonts w:asciiTheme="majorBidi" w:eastAsia="Times New Roman" w:hAnsiTheme="majorBidi" w:cstheme="majorBidi"/>
        </w:rPr>
        <w:t> ».</w:t>
      </w:r>
      <w:r w:rsidRPr="007C6A42">
        <w:rPr>
          <w:rStyle w:val="Appelnotedebasdep"/>
          <w:rFonts w:asciiTheme="majorBidi" w:eastAsia="Times New Roman" w:hAnsiTheme="majorBidi" w:cstheme="majorBidi"/>
        </w:rPr>
        <w:footnoteReference w:id="395"/>
      </w:r>
    </w:p>
    <w:p w14:paraId="4D2832D6" w14:textId="77777777" w:rsidR="00A70B78" w:rsidRPr="007C6A42" w:rsidRDefault="00A70B78" w:rsidP="00A70B78">
      <w:pPr>
        <w:spacing w:line="360" w:lineRule="auto"/>
        <w:ind w:firstLine="360"/>
        <w:jc w:val="both"/>
        <w:rPr>
          <w:rFonts w:asciiTheme="majorBidi" w:eastAsia="Times New Roman" w:hAnsiTheme="majorBidi" w:cstheme="majorBidi"/>
          <w:color w:val="C00000"/>
        </w:rPr>
      </w:pPr>
    </w:p>
    <w:p w14:paraId="1A331044"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On peut diviser la traduction du Coran en français en trois étapes principales : La première est celle de la traduction du Coran du latin vers le français au Moyen Âge dans le but de mieux connaître l’ennemi pour mieux le combattre et pour mieux se protéger contre une puissance menaçante. La relation entre la culture source (le monde musulman) et la culture cible (le monde chrétien) était une relation de force entre un plus puissant et un moins puissant. La culture arabe était dominante. La deuxième est l’étape de la traduction directement de l’arabe vers le français au XX</w:t>
      </w:r>
      <w:r w:rsidRPr="007C6A42">
        <w:rPr>
          <w:rFonts w:asciiTheme="majorBidi" w:eastAsia="Times New Roman" w:hAnsiTheme="majorBidi" w:cstheme="majorBidi"/>
          <w:vertAlign w:val="superscript"/>
        </w:rPr>
        <w:t>e</w:t>
      </w:r>
      <w:r w:rsidRPr="007C6A42">
        <w:rPr>
          <w:rFonts w:asciiTheme="majorBidi" w:eastAsia="Times New Roman" w:hAnsiTheme="majorBidi" w:cstheme="majorBidi"/>
        </w:rPr>
        <w:t xml:space="preserve"> siècle réalisée par des orientalistes français comme </w:t>
      </w:r>
      <w:r w:rsidRPr="007C6A42">
        <w:rPr>
          <w:rFonts w:asciiTheme="majorBidi" w:eastAsia="Times New Roman" w:hAnsiTheme="majorBidi" w:cstheme="majorBidi"/>
          <w:lang w:bidi="ar-AE"/>
        </w:rPr>
        <w:t>Régis</w:t>
      </w:r>
      <w:r w:rsidRPr="007C6A42">
        <w:rPr>
          <w:rFonts w:asciiTheme="majorBidi" w:eastAsia="Times New Roman" w:hAnsiTheme="majorBidi" w:cstheme="majorBidi"/>
        </w:rPr>
        <w:t xml:space="preserve"> Blachère </w:t>
      </w:r>
      <w:r w:rsidRPr="007C6A42">
        <w:rPr>
          <w:rFonts w:asciiTheme="majorBidi" w:eastAsia="Times New Roman" w:hAnsiTheme="majorBidi" w:cstheme="majorBidi"/>
          <w:lang w:bidi="ar-AE"/>
        </w:rPr>
        <w:t xml:space="preserve">(1900-1973) </w:t>
      </w:r>
      <w:r w:rsidRPr="007C6A42">
        <w:rPr>
          <w:rFonts w:asciiTheme="majorBidi" w:eastAsia="Times New Roman" w:hAnsiTheme="majorBidi" w:cstheme="majorBidi"/>
        </w:rPr>
        <w:t xml:space="preserve">et Jacques Berque (1910-1995) dans un esprit post-colonialiste et dans un but sous-entendu de mieux connaître pour mieux dominer. La troisième étape de la traduction est réalisée par des musulmans : Ahmed Laïmèche et B. Ben Daoud (Algérie), Ahmed Tidjani (1936), Muhammad Hamidullah (1959), Zeinab Abdelaziz (2002), etc. Cette étape est en général une réaction défensive et apologétique, un signe de manque de confiance des musulmans dans les orientalistes et une affirmation de compétence pour laisser entendre que les musulmans sont plus capables et plus fidèles que les orientalistes à interpréter le message divin. En outre, cette étape correspond </w:t>
      </w:r>
      <w:r w:rsidRPr="007C6A42">
        <w:rPr>
          <w:rFonts w:asciiTheme="majorBidi" w:hAnsiTheme="majorBidi" w:cstheme="majorBidi"/>
        </w:rPr>
        <w:t>aussi au besoin de fournir des versions du Coran en langues européennes aux populations musulmanes européennes issues de l’immigration et qui souvent ne maîtrisent pas l’arabe écrit, ainsi que, plus marginalement, aux Européens convertis à l’islam. Ce développement des traductions "musulmanes" correspond aussi à une nouvelle forme de prosélytisme (ex. la traduction du Complexe de Médine) qui n’a plus rien de défensif – c’est au contraire une forme de traduction très offensive.</w:t>
      </w:r>
      <w:r w:rsidRPr="007C6A42">
        <w:rPr>
          <w:rStyle w:val="Appelnotedebasdep"/>
          <w:rFonts w:asciiTheme="majorBidi" w:hAnsiTheme="majorBidi" w:cstheme="majorBidi"/>
        </w:rPr>
        <w:footnoteReference w:id="396"/>
      </w:r>
    </w:p>
    <w:p w14:paraId="3403AFFC"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0C8321A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La première traduction du Coran en français appelée </w:t>
      </w:r>
      <w:r w:rsidRPr="007C6A42">
        <w:rPr>
          <w:rFonts w:asciiTheme="majorBidi" w:eastAsia="Times New Roman" w:hAnsiTheme="majorBidi" w:cstheme="majorBidi"/>
          <w:i/>
          <w:iCs/>
        </w:rPr>
        <w:t>L’Alcoran de Mahomet translaté d’arabe en françois</w:t>
      </w:r>
      <w:r w:rsidRPr="007C6A42">
        <w:rPr>
          <w:rFonts w:asciiTheme="majorBidi" w:eastAsia="SimSun" w:hAnsiTheme="majorBidi" w:cstheme="majorBidi"/>
          <w:lang w:eastAsia="zh-CN"/>
        </w:rPr>
        <w:t>,</w:t>
      </w:r>
      <w:r w:rsidRPr="007C6A42">
        <w:rPr>
          <w:rFonts w:asciiTheme="majorBidi" w:eastAsia="Times New Roman" w:hAnsiTheme="majorBidi" w:cstheme="majorBidi"/>
        </w:rPr>
        <w:t xml:space="preserve"> réalisée en 1647 par l’orientaliste français André Du Ryer</w:t>
      </w:r>
      <w:r w:rsidRPr="007C6A42">
        <w:rPr>
          <w:rFonts w:asciiTheme="majorBidi" w:eastAsia="SimSun" w:hAnsiTheme="majorBidi" w:cstheme="majorBidi"/>
          <w:lang w:eastAsia="zh-CN"/>
        </w:rPr>
        <w:t xml:space="preserve"> (1580-1660)</w:t>
      </w:r>
      <w:r w:rsidRPr="007C6A42">
        <w:rPr>
          <w:rFonts w:asciiTheme="majorBidi" w:eastAsia="Times New Roman" w:hAnsiTheme="majorBidi" w:cstheme="majorBidi"/>
        </w:rPr>
        <w:t xml:space="preserve"> a rejeté la traduction-réfutation qui a servi comme arme pour combattre l’islam ou comme viatique pour des missionnaires appelés à convertir les musulmans.</w:t>
      </w:r>
    </w:p>
    <w:p w14:paraId="1DADD11E"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[L]e cadet d’une famille appartenant à la petite noblesse bourguignonne »</w:t>
      </w:r>
      <w:r w:rsidRPr="007C6A42">
        <w:rPr>
          <w:rStyle w:val="Appelnotedebasdep"/>
          <w:rFonts w:asciiTheme="majorBidi" w:eastAsia="Times New Roman" w:hAnsiTheme="majorBidi" w:cstheme="majorBidi"/>
        </w:rPr>
        <w:footnoteReference w:id="397"/>
      </w:r>
      <w:r w:rsidRPr="007C6A42">
        <w:rPr>
          <w:rFonts w:asciiTheme="majorBidi" w:eastAsia="Times New Roman" w:hAnsiTheme="majorBidi" w:cstheme="majorBidi"/>
        </w:rPr>
        <w:t xml:space="preserve">, André Du Ryer a étudié le turc et l’arabe en Égypte. « À la différence de la plupart des orientalistes de son </w:t>
      </w:r>
      <w:r w:rsidRPr="007C6A42">
        <w:rPr>
          <w:rFonts w:asciiTheme="majorBidi" w:eastAsia="Times New Roman" w:hAnsiTheme="majorBidi" w:cstheme="majorBidi"/>
        </w:rPr>
        <w:lastRenderedPageBreak/>
        <w:t>temps, il n’est pas hébraïsant, mais a l’avantage d’être formé dans le Levant »</w:t>
      </w:r>
      <w:r w:rsidRPr="007C6A42">
        <w:rPr>
          <w:rStyle w:val="Appelnotedebasdep"/>
          <w:rFonts w:asciiTheme="majorBidi" w:eastAsia="Times New Roman" w:hAnsiTheme="majorBidi" w:cstheme="majorBidi"/>
        </w:rPr>
        <w:footnoteReference w:id="398"/>
      </w:r>
      <w:r w:rsidRPr="007C6A42">
        <w:rPr>
          <w:rFonts w:asciiTheme="majorBidi" w:eastAsia="Times New Roman" w:hAnsiTheme="majorBidi" w:cstheme="majorBidi"/>
        </w:rPr>
        <w:t>. Apprécié des autorités musulmanes, le sultan Murad IV le désigne pour être son ambassadeur extraordinaire en France à partir de 1632. Sa traduction du Coran a été la première à être réalisée dans une langue vernaculaire européenne. C’est un travail original, non fondé sur les traductions latines</w:t>
      </w:r>
      <w:r w:rsidRPr="007C6A42">
        <w:rPr>
          <w:rFonts w:asciiTheme="majorBidi" w:eastAsia="Times New Roman" w:hAnsiTheme="majorBidi" w:cstheme="majorBidi"/>
          <w:color w:val="C00000"/>
        </w:rPr>
        <w:t xml:space="preserve"> </w:t>
      </w:r>
      <w:r w:rsidRPr="007C6A42">
        <w:rPr>
          <w:rFonts w:asciiTheme="majorBidi" w:eastAsia="Times New Roman" w:hAnsiTheme="majorBidi" w:cstheme="majorBidi"/>
        </w:rPr>
        <w:t xml:space="preserve">antérieures mais élaboré à partir du </w:t>
      </w:r>
      <w:r w:rsidRPr="007C6A42">
        <w:rPr>
          <w:rFonts w:asciiTheme="majorBidi" w:eastAsia="Times New Roman" w:hAnsiTheme="majorBidi" w:cstheme="majorBidi"/>
          <w:i/>
          <w:iCs/>
        </w:rPr>
        <w:t>tafsīr</w:t>
      </w:r>
      <w:r w:rsidRPr="007C6A42">
        <w:rPr>
          <w:rFonts w:asciiTheme="majorBidi" w:eastAsia="Times New Roman" w:hAnsiTheme="majorBidi" w:cstheme="majorBidi"/>
        </w:rPr>
        <w:t xml:space="preserve"> et des ouvrages lexicographiques orientaux.</w:t>
      </w:r>
      <w:r w:rsidRPr="007C6A42">
        <w:rPr>
          <w:rStyle w:val="Appelnotedebasdep"/>
          <w:rFonts w:asciiTheme="majorBidi" w:eastAsia="Times New Roman" w:hAnsiTheme="majorBidi" w:cstheme="majorBidi"/>
        </w:rPr>
        <w:footnoteReference w:id="399"/>
      </w:r>
      <w:r w:rsidRPr="007C6A42">
        <w:rPr>
          <w:rFonts w:asciiTheme="majorBidi" w:eastAsia="Times New Roman" w:hAnsiTheme="majorBidi" w:cstheme="majorBidi"/>
        </w:rPr>
        <w:t xml:space="preserve"> Dans sa traduction, Du Ryer fait disparaître la division en versets des sourates « probablement dans une intention littéraire »</w:t>
      </w:r>
      <w:r w:rsidRPr="007C6A42">
        <w:rPr>
          <w:rStyle w:val="Appelnotedebasdep"/>
          <w:rFonts w:asciiTheme="majorBidi" w:eastAsia="Times New Roman" w:hAnsiTheme="majorBidi" w:cstheme="majorBidi"/>
        </w:rPr>
        <w:footnoteReference w:id="400"/>
      </w:r>
    </w:p>
    <w:p w14:paraId="303C2525" w14:textId="77777777" w:rsidR="00A70B78" w:rsidRPr="007C6A42" w:rsidRDefault="00A70B78" w:rsidP="00A70B78">
      <w:pPr>
        <w:spacing w:line="360" w:lineRule="auto"/>
        <w:jc w:val="both"/>
        <w:rPr>
          <w:rFonts w:asciiTheme="majorBidi" w:eastAsia="Times New Roman" w:hAnsiTheme="majorBidi" w:cstheme="majorBidi"/>
        </w:rPr>
      </w:pPr>
    </w:p>
    <w:p w14:paraId="0E69CD98"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hAnsiTheme="majorBidi" w:cstheme="majorBidi"/>
        </w:rPr>
        <w:t xml:space="preserve">L’islamologue François Déroche souligne à propos de la traduction de Du Ryer : </w:t>
      </w:r>
      <w:r w:rsidRPr="007C6A42">
        <w:rPr>
          <w:rFonts w:asciiTheme="majorBidi" w:eastAsia="Times New Roman" w:hAnsiTheme="majorBidi" w:cstheme="majorBidi"/>
        </w:rPr>
        <w:t>« Au XVII</w:t>
      </w:r>
      <w:r w:rsidRPr="007C6A42">
        <w:rPr>
          <w:rFonts w:asciiTheme="majorBidi" w:eastAsia="Times New Roman" w:hAnsiTheme="majorBidi" w:cstheme="majorBidi"/>
          <w:vertAlign w:val="superscript"/>
        </w:rPr>
        <w:t>e</w:t>
      </w:r>
      <w:r w:rsidRPr="007C6A42">
        <w:rPr>
          <w:rFonts w:asciiTheme="majorBidi" w:eastAsia="Times New Roman" w:hAnsiTheme="majorBidi" w:cstheme="majorBidi"/>
        </w:rPr>
        <w:t xml:space="preserve"> siècle, on voit apparaître des traducteurs qui ont une expérience directe de l’Orient musulman où ils ont pu se familiariser avec l’islam. C’est le cas d’André du Ryer qui occupa des fonctions consulaires au Levant avant de revenir en France et de publier en 1647 sa traduction en français qui montre une certaine familiarité avec l’exégèse coranique traditionnelle des tafsîr - cela ressort en particulier du traitement qu’il réserve aux "lettres mystérieuses" qui figurent au commencement de certaines sourates. »</w:t>
      </w:r>
      <w:r w:rsidRPr="007C6A42">
        <w:rPr>
          <w:rStyle w:val="Appelnotedebasdep"/>
          <w:rFonts w:asciiTheme="majorBidi" w:eastAsia="Times New Roman" w:hAnsiTheme="majorBidi" w:cstheme="majorBidi"/>
        </w:rPr>
        <w:footnoteReference w:id="401"/>
      </w:r>
    </w:p>
    <w:p w14:paraId="0C00E8D5"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En fait, la traduction de Du Ryer a apparu dans une période où l’approche de l’islam est devenue de plus en plus objective.</w:t>
      </w:r>
      <w:r w:rsidRPr="007C6A42">
        <w:rPr>
          <w:rStyle w:val="Appelnotedebasdep"/>
          <w:rFonts w:asciiTheme="majorBidi" w:eastAsia="Times New Roman" w:hAnsiTheme="majorBidi" w:cstheme="majorBidi"/>
        </w:rPr>
        <w:footnoteReference w:id="402"/>
      </w:r>
      <w:r w:rsidRPr="007C6A42">
        <w:rPr>
          <w:rFonts w:asciiTheme="majorBidi" w:eastAsia="Times New Roman" w:hAnsiTheme="majorBidi" w:cstheme="majorBidi"/>
        </w:rPr>
        <w:t xml:space="preserve"> Le traducteur était un connaisseur du monde musulman. Il a été agent diplomatique à Constantinople et le consul de France à Alexandrie en Égypte.</w:t>
      </w:r>
    </w:p>
    <w:p w14:paraId="19F0F817"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Times New Roman" w:hAnsiTheme="majorBidi" w:cstheme="majorBidi"/>
        </w:rPr>
        <w:t>Pourtant, Du Ryer a achevé son épître de la traduction de l’Alcoran en plaçant son travail sur le plan de la défense du christianisme avec la volonté de faire du texte coranique un texte fermé (ex. : Le verset II, 256 : “Point de contrainte en matière de religion” [trad. Berque] est traduit à l’opposé par : “la loy ne doit pas estre abjurée”.) Ceci dit, si cette traduction de Du Ryer s’oppose clairement au texte coranique, elle est par contre conforme à la loi islamique (</w:t>
      </w:r>
      <w:r w:rsidRPr="007C6A42">
        <w:rPr>
          <w:rFonts w:asciiTheme="majorBidi" w:eastAsia="Times New Roman" w:hAnsiTheme="majorBidi" w:cstheme="majorBidi"/>
          <w:i/>
          <w:iCs/>
        </w:rPr>
        <w:t>charia</w:t>
      </w:r>
      <w:r w:rsidRPr="007C6A42">
        <w:rPr>
          <w:rFonts w:asciiTheme="majorBidi" w:eastAsia="Times New Roman" w:hAnsiTheme="majorBidi" w:cstheme="majorBidi"/>
        </w:rPr>
        <w:t xml:space="preserve">). Du Ryer a donc traduit la lecture dominante du Coran, l’image-stéréotype répressive qu’il avait </w:t>
      </w:r>
      <w:r w:rsidRPr="007C6A42">
        <w:rPr>
          <w:rFonts w:asciiTheme="majorBidi" w:eastAsia="Times New Roman" w:hAnsiTheme="majorBidi" w:cstheme="majorBidi"/>
        </w:rPr>
        <w:lastRenderedPageBreak/>
        <w:t xml:space="preserve">de l’islam, pour montrer ce que la culture-source pratiquait et ce que la culture-cible voulait lire. Dans ce sens, cette traduction aurait figé </w:t>
      </w:r>
      <w:r w:rsidRPr="007C6A42">
        <w:rPr>
          <w:rFonts w:asciiTheme="majorBidi" w:eastAsia="SimSun" w:hAnsiTheme="majorBidi" w:cstheme="majorBidi"/>
          <w:lang w:eastAsia="zh-CN"/>
        </w:rPr>
        <w:t xml:space="preserve">le sens du Coran et réduit sa polysémie. Il est à noter que </w:t>
      </w:r>
      <w:r w:rsidRPr="007C6A42">
        <w:rPr>
          <w:rFonts w:asciiTheme="majorBidi" w:eastAsia="Times New Roman" w:hAnsiTheme="majorBidi" w:cstheme="majorBidi"/>
        </w:rPr>
        <w:t xml:space="preserve">Du Ryer a donné souvent une traduction approximative du texte arabe ; </w:t>
      </w:r>
      <w:r w:rsidRPr="007C6A42">
        <w:rPr>
          <w:rFonts w:asciiTheme="majorBidi" w:eastAsia="Times New Roman" w:hAnsiTheme="majorBidi" w:cstheme="majorBidi"/>
          <w:lang w:eastAsia="en-AU"/>
        </w:rPr>
        <w:t>cette liberté de traduction doit modifier la polysémie du texte arabe</w:t>
      </w:r>
      <w:r w:rsidRPr="007C6A42">
        <w:rPr>
          <w:rFonts w:asciiTheme="majorBidi" w:eastAsia="Times New Roman" w:hAnsiTheme="majorBidi" w:cstheme="majorBidi"/>
        </w:rPr>
        <w:t xml:space="preserve">. </w:t>
      </w:r>
      <w:r w:rsidRPr="007C6A42">
        <w:rPr>
          <w:rFonts w:asciiTheme="majorBidi" w:eastAsia="SimSun" w:hAnsiTheme="majorBidi" w:cstheme="majorBidi"/>
          <w:lang w:eastAsia="zh-CN"/>
        </w:rPr>
        <w:t xml:space="preserve">En guise d’exemple, la phrase </w:t>
      </w:r>
      <w:r w:rsidRPr="007C6A42">
        <w:rPr>
          <w:rFonts w:asciiTheme="majorBidi" w:eastAsia="Calibri" w:hAnsiTheme="majorBidi" w:cstheme="majorBidi"/>
          <w:rtl/>
          <w:lang w:bidi="ar-AE"/>
        </w:rPr>
        <w:t>أو يأتيَهم عذابُ يومٍ عقيم</w:t>
      </w:r>
      <w:r w:rsidRPr="007C6A42">
        <w:rPr>
          <w:rFonts w:asciiTheme="majorBidi" w:eastAsia="SimSun" w:hAnsiTheme="majorBidi" w:cstheme="majorBidi"/>
          <w:lang w:eastAsia="zh-CN"/>
        </w:rPr>
        <w:t xml:space="preserve"> [ou que leur vienne le châtiment d’un jour stérile (trad. Zeinab Abd.)] (XXII, 55) a été rendue ainsi : « Ce jour ils seront chastiez tres-rigoureusement ». La phrase </w:t>
      </w:r>
      <w:r w:rsidRPr="007C6A42">
        <w:rPr>
          <w:rFonts w:asciiTheme="majorBidi" w:eastAsia="SimSun" w:hAnsiTheme="majorBidi" w:cstheme="majorBidi"/>
          <w:rtl/>
          <w:lang w:eastAsia="zh-CN"/>
        </w:rPr>
        <w:t>وذوقوا عذابَ الحريـق</w:t>
      </w:r>
      <w:r w:rsidRPr="007C6A42">
        <w:rPr>
          <w:rFonts w:asciiTheme="majorBidi" w:eastAsia="SimSun" w:hAnsiTheme="majorBidi" w:cstheme="majorBidi"/>
          <w:lang w:eastAsia="zh-CN"/>
        </w:rPr>
        <w:t xml:space="preserve"> [Goûtez le châtiment du feu brûlant (trad. Aldeeb)] a été traduite par : « &amp; ʃeront eternellement tourmentez ». La traduction du verset XXII, 52 est succincte et manque la clausule finale :</w:t>
      </w:r>
    </w:p>
    <w:tbl>
      <w:tblPr>
        <w:tblStyle w:val="Grilledutableau"/>
        <w:tblW w:w="9923" w:type="dxa"/>
        <w:tblInd w:w="-176" w:type="dxa"/>
        <w:tblLook w:val="04A0" w:firstRow="1" w:lastRow="0" w:firstColumn="1" w:lastColumn="0" w:noHBand="0" w:noVBand="1"/>
      </w:tblPr>
      <w:tblGrid>
        <w:gridCol w:w="9923"/>
      </w:tblGrid>
      <w:tr w:rsidR="00A70B78" w:rsidRPr="007C6A42" w14:paraId="2611A0AD" w14:textId="77777777" w:rsidTr="00AF4FC9">
        <w:tc>
          <w:tcPr>
            <w:tcW w:w="9923" w:type="dxa"/>
          </w:tcPr>
          <w:p w14:paraId="4C6A537C" w14:textId="77777777" w:rsidR="00A70B78" w:rsidRPr="007C6A42" w:rsidRDefault="00A70B78" w:rsidP="00AF4FC9">
            <w:pPr>
              <w:bidi/>
              <w:spacing w:line="360" w:lineRule="auto"/>
              <w:jc w:val="both"/>
              <w:rPr>
                <w:rFonts w:asciiTheme="majorBidi" w:eastAsia="SimSun" w:hAnsiTheme="majorBidi" w:cstheme="majorBidi"/>
                <w:lang w:eastAsia="zh-CN" w:bidi="ar-AE"/>
              </w:rPr>
            </w:pPr>
            <w:r w:rsidRPr="007C6A42">
              <w:rPr>
                <w:rFonts w:asciiTheme="majorBidi" w:eastAsia="Calibri" w:hAnsiTheme="majorBidi" w:cstheme="majorBidi"/>
                <w:rtl/>
                <w:lang w:bidi="ar-AE"/>
              </w:rPr>
              <w:t xml:space="preserve">"وما أرسلنا مِن قبلِكَ مِن رسولٍ ولا نبيٍّ إلاَّ إذا تمنَّى ألقى الشيطانُ في أُمنيَّتِه فيَنسَخُ اللهُ ما يُــلْقي الشيطانُ ثم يُحْكِمُ اللهُ آياتِه </w:t>
            </w:r>
            <w:r w:rsidRPr="007C6A42">
              <w:rPr>
                <w:rFonts w:asciiTheme="majorBidi" w:eastAsia="Calibri" w:hAnsiTheme="majorBidi" w:cstheme="majorBidi"/>
                <w:b/>
                <w:bCs/>
                <w:u w:val="single"/>
                <w:rtl/>
                <w:lang w:bidi="ar-AE"/>
              </w:rPr>
              <w:t>واللهُ عليمٌ حكيم</w:t>
            </w:r>
            <w:r w:rsidRPr="007C6A42">
              <w:rPr>
                <w:rFonts w:asciiTheme="majorBidi" w:hAnsiTheme="majorBidi" w:cstheme="majorBidi"/>
                <w:rtl/>
                <w:lang w:bidi="ar-AE"/>
              </w:rPr>
              <w:t>."</w:t>
            </w:r>
          </w:p>
        </w:tc>
      </w:tr>
      <w:tr w:rsidR="00A70B78" w:rsidRPr="007C6A42" w14:paraId="0044635D" w14:textId="77777777" w:rsidTr="00AF4FC9">
        <w:tc>
          <w:tcPr>
            <w:tcW w:w="9923" w:type="dxa"/>
          </w:tcPr>
          <w:p w14:paraId="0D4DE484" w14:textId="77777777" w:rsidR="00A70B78" w:rsidRPr="007C6A42" w:rsidRDefault="00A70B78" w:rsidP="00AF4FC9">
            <w:pPr>
              <w:spacing w:line="360" w:lineRule="auto"/>
              <w:jc w:val="both"/>
              <w:rPr>
                <w:rFonts w:asciiTheme="majorBidi" w:eastAsia="SimSun" w:hAnsiTheme="majorBidi" w:cstheme="majorBidi"/>
                <w:lang w:eastAsia="zh-CN"/>
              </w:rPr>
            </w:pPr>
            <w:r w:rsidRPr="007C6A42">
              <w:rPr>
                <w:rFonts w:asciiTheme="majorBidi" w:eastAsia="Calibri" w:hAnsiTheme="majorBidi" w:cstheme="majorBidi"/>
                <w:lang w:bidi="ar-AE"/>
              </w:rPr>
              <w:t xml:space="preserve">Nous n’avons pas envoyé avant toi d’envoyé ou de prophète en qui Satan, quand ils éprouvaient une aspiration, n’y mêlât de ses projections. Mais Dieu abroge les projections de Satan, et de plus rend péremptoires Ses propres signes… - </w:t>
            </w:r>
            <w:r w:rsidRPr="007C6A42">
              <w:rPr>
                <w:rFonts w:asciiTheme="majorBidi" w:eastAsia="Calibri" w:hAnsiTheme="majorBidi" w:cstheme="majorBidi"/>
                <w:b/>
                <w:bCs/>
                <w:u w:val="single"/>
                <w:lang w:bidi="ar-AE"/>
              </w:rPr>
              <w:t>Dieu est Connaisseur et Sage</w:t>
            </w:r>
            <w:r w:rsidRPr="007C6A42">
              <w:rPr>
                <w:rFonts w:asciiTheme="majorBidi" w:eastAsia="Calibri" w:hAnsiTheme="majorBidi" w:cstheme="majorBidi"/>
                <w:lang w:bidi="ar-AE"/>
              </w:rPr>
              <w:t>. (trad. Berque)</w:t>
            </w:r>
          </w:p>
        </w:tc>
      </w:tr>
      <w:tr w:rsidR="00A70B78" w:rsidRPr="007C6A42" w14:paraId="78572728" w14:textId="77777777" w:rsidTr="00AF4FC9">
        <w:tc>
          <w:tcPr>
            <w:tcW w:w="9923" w:type="dxa"/>
          </w:tcPr>
          <w:p w14:paraId="5AA49E3B" w14:textId="77777777" w:rsidR="00A70B78" w:rsidRPr="007C6A42" w:rsidRDefault="00A70B78" w:rsidP="00AF4FC9">
            <w:pPr>
              <w:spacing w:line="360" w:lineRule="auto"/>
              <w:jc w:val="both"/>
              <w:rPr>
                <w:rFonts w:asciiTheme="majorBidi" w:eastAsia="SimSun" w:hAnsiTheme="majorBidi" w:cstheme="majorBidi"/>
                <w:lang w:eastAsia="zh-CN"/>
              </w:rPr>
            </w:pPr>
            <w:r w:rsidRPr="007C6A42">
              <w:rPr>
                <w:rFonts w:asciiTheme="majorBidi" w:hAnsiTheme="majorBidi" w:cstheme="majorBidi"/>
              </w:rPr>
              <w:t>Nous n’avons envoyé nos Prophètes que pour lire au peuple nos commandements, les infidelles ont leu plusieurs choses qui ne sont pas dans l’Alcoran, mais Dieu a aneanty ce que le Diable y avoit adjousté, &amp; a confirmé les preceptes de sa foy</w:t>
            </w:r>
            <w:r w:rsidRPr="007C6A42">
              <w:rPr>
                <w:rFonts w:asciiTheme="majorBidi" w:eastAsia="SimSun" w:hAnsiTheme="majorBidi" w:cstheme="majorBidi"/>
                <w:lang w:eastAsia="zh-CN"/>
              </w:rPr>
              <w:t xml:space="preserve"> </w:t>
            </w:r>
            <w:r w:rsidRPr="007C6A42">
              <w:rPr>
                <w:rFonts w:asciiTheme="majorBidi" w:eastAsia="SimSun" w:hAnsiTheme="majorBidi" w:cstheme="majorBidi"/>
                <w:b/>
                <w:bCs/>
                <w:u w:val="single"/>
                <w:lang w:eastAsia="zh-CN"/>
              </w:rPr>
              <w:t>[…]</w:t>
            </w:r>
            <w:r w:rsidRPr="007C6A42">
              <w:rPr>
                <w:rFonts w:asciiTheme="majorBidi" w:eastAsia="SimSun" w:hAnsiTheme="majorBidi" w:cstheme="majorBidi"/>
                <w:lang w:eastAsia="zh-CN"/>
              </w:rPr>
              <w:t>. (trad. Du Ryer)</w:t>
            </w:r>
          </w:p>
        </w:tc>
      </w:tr>
    </w:tbl>
    <w:p w14:paraId="42861D12" w14:textId="77777777" w:rsidR="00A70B78" w:rsidRPr="007C6A42" w:rsidRDefault="00A70B78" w:rsidP="00A70B78">
      <w:pPr>
        <w:spacing w:line="360" w:lineRule="auto"/>
        <w:jc w:val="both"/>
        <w:rPr>
          <w:rFonts w:asciiTheme="majorBidi" w:eastAsia="SimSun" w:hAnsiTheme="majorBidi" w:cstheme="majorBidi"/>
          <w:lang w:eastAsia="zh-CN"/>
        </w:rPr>
      </w:pPr>
    </w:p>
    <w:p w14:paraId="2E1618FA" w14:textId="77777777" w:rsidR="00A70B78" w:rsidRPr="007C6A42" w:rsidRDefault="00A70B78" w:rsidP="00A70B78">
      <w:pPr>
        <w:spacing w:line="360" w:lineRule="auto"/>
        <w:jc w:val="both"/>
        <w:rPr>
          <w:rFonts w:asciiTheme="majorBidi" w:eastAsia="SimSun" w:hAnsiTheme="majorBidi" w:cstheme="majorBidi"/>
          <w:lang w:eastAsia="zh-CN"/>
        </w:rPr>
      </w:pPr>
      <w:r w:rsidRPr="007C6A42">
        <w:rPr>
          <w:rFonts w:asciiTheme="majorBidi" w:eastAsia="SimSun" w:hAnsiTheme="majorBidi" w:cstheme="majorBidi"/>
          <w:lang w:eastAsia="zh-CN"/>
        </w:rPr>
        <w:t>Parfois, Du Ryer donne une traduction qui n’a rien à voir avec le texte-source. Par exemple, il traduit « </w:t>
      </w:r>
      <w:r w:rsidRPr="007C6A42">
        <w:rPr>
          <w:rFonts w:asciiTheme="majorBidi" w:eastAsia="Times New Roman" w:hAnsiTheme="majorBidi" w:cstheme="majorBidi"/>
          <w:rtl/>
          <w:lang w:bidi="ar-AE"/>
        </w:rPr>
        <w:t>وتضع كل ذات حمل حملها</w:t>
      </w:r>
      <w:r w:rsidRPr="007C6A42">
        <w:rPr>
          <w:rFonts w:asciiTheme="majorBidi" w:eastAsia="Times New Roman" w:hAnsiTheme="majorBidi" w:cstheme="majorBidi"/>
          <w:lang w:bidi="ar-AE"/>
        </w:rPr>
        <w:t xml:space="preserve"> » [</w:t>
      </w:r>
      <w:r w:rsidRPr="007C6A42">
        <w:rPr>
          <w:rFonts w:asciiTheme="majorBidi" w:eastAsia="Calibri" w:hAnsiTheme="majorBidi" w:cstheme="majorBidi"/>
          <w:lang w:bidi="ar-AE"/>
        </w:rPr>
        <w:t xml:space="preserve">toute enceinte en perdra son fruit] </w:t>
      </w:r>
      <w:r w:rsidRPr="007C6A42">
        <w:rPr>
          <w:rFonts w:asciiTheme="majorBidi" w:eastAsia="Times New Roman" w:hAnsiTheme="majorBidi" w:cstheme="majorBidi"/>
          <w:lang w:bidi="ar-AE"/>
        </w:rPr>
        <w:t>par : « </w:t>
      </w:r>
      <w:r w:rsidRPr="007C6A42">
        <w:rPr>
          <w:rFonts w:asciiTheme="majorBidi" w:eastAsia="Times New Roman" w:hAnsiTheme="majorBidi" w:cstheme="majorBidi"/>
          <w:i/>
          <w:iCs/>
          <w:lang w:bidi="ar-AE"/>
        </w:rPr>
        <w:t>chacun portera son fardeau</w:t>
      </w:r>
      <w:r w:rsidRPr="007C6A42">
        <w:rPr>
          <w:rFonts w:asciiTheme="majorBidi" w:eastAsia="Times New Roman" w:hAnsiTheme="majorBidi" w:cstheme="majorBidi"/>
          <w:lang w:bidi="ar-AE"/>
        </w:rPr>
        <w:t> ».</w:t>
      </w:r>
    </w:p>
    <w:p w14:paraId="20C8F5B4" w14:textId="77777777" w:rsidR="00A70B78" w:rsidRPr="007C6A42" w:rsidRDefault="00A70B78" w:rsidP="00A70B78">
      <w:pPr>
        <w:spacing w:line="360" w:lineRule="auto"/>
        <w:ind w:firstLine="708"/>
        <w:jc w:val="both"/>
        <w:rPr>
          <w:rFonts w:asciiTheme="majorBidi" w:eastAsia="Times New Roman" w:hAnsiTheme="majorBidi" w:cstheme="majorBidi"/>
          <w:color w:val="FF0000"/>
        </w:rPr>
      </w:pPr>
      <w:r w:rsidRPr="007C6A42">
        <w:rPr>
          <w:rFonts w:asciiTheme="majorBidi" w:eastAsia="SimSun" w:hAnsiTheme="majorBidi" w:cstheme="majorBidi"/>
          <w:lang w:eastAsia="zh-CN"/>
        </w:rPr>
        <w:t>La traduction de Du Ryer fut la base de certaines traductions du Coran en anglais, en allemand, etc. La première traduction directe du Coran de l’arabe vers l’anglais date de 1734.</w:t>
      </w:r>
      <w:r w:rsidRPr="007C6A42">
        <w:rPr>
          <w:rFonts w:asciiTheme="majorBidi" w:eastAsia="Calibri" w:hAnsiTheme="majorBidi" w:cstheme="majorBidi"/>
          <w:vertAlign w:val="superscript"/>
          <w:lang w:bidi="ar-AE"/>
        </w:rPr>
        <w:footnoteReference w:id="403"/>
      </w:r>
    </w:p>
    <w:p w14:paraId="5886CDC9"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rPr>
      </w:pPr>
    </w:p>
    <w:p w14:paraId="4691783A" w14:textId="77777777" w:rsidR="00A70B78" w:rsidRPr="007C6A42" w:rsidRDefault="00A70B78" w:rsidP="00A70B78">
      <w:pPr>
        <w:spacing w:line="360" w:lineRule="auto"/>
        <w:ind w:firstLine="708"/>
        <w:contextualSpacing/>
        <w:jc w:val="both"/>
        <w:rPr>
          <w:rFonts w:asciiTheme="majorBidi" w:eastAsia="SimSun" w:hAnsiTheme="majorBidi" w:cstheme="majorBidi"/>
          <w:lang w:eastAsia="zh-CN"/>
        </w:rPr>
      </w:pPr>
      <w:r w:rsidRPr="007C6A42">
        <w:rPr>
          <w:rFonts w:asciiTheme="majorBidi" w:eastAsia="Times New Roman" w:hAnsiTheme="majorBidi" w:cstheme="majorBidi"/>
          <w:shd w:val="clear" w:color="auto" w:fill="FFFFFF"/>
        </w:rPr>
        <w:t>La traduction de</w:t>
      </w:r>
      <w:r w:rsidRPr="007C6A42">
        <w:rPr>
          <w:rFonts w:asciiTheme="majorBidi" w:eastAsia="SimSun" w:hAnsiTheme="majorBidi" w:cstheme="majorBidi"/>
          <w:lang w:eastAsia="zh-CN"/>
        </w:rPr>
        <w:t xml:space="preserve"> l’orientaliste et pionnier de l’égyptologie Claude-Étienne</w:t>
      </w:r>
      <w:r w:rsidRPr="007C6A42">
        <w:rPr>
          <w:rFonts w:asciiTheme="majorBidi" w:eastAsia="Times New Roman" w:hAnsiTheme="majorBidi" w:cstheme="majorBidi"/>
          <w:shd w:val="clear" w:color="auto" w:fill="FFFFFF"/>
        </w:rPr>
        <w:t xml:space="preserve"> </w:t>
      </w:r>
      <w:r w:rsidRPr="007C6A42">
        <w:rPr>
          <w:rFonts w:asciiTheme="majorBidi" w:eastAsia="SimSun" w:hAnsiTheme="majorBidi" w:cstheme="majorBidi"/>
          <w:lang w:eastAsia="zh-CN"/>
        </w:rPr>
        <w:t>Savary</w:t>
      </w:r>
      <w:r w:rsidRPr="007C6A42">
        <w:rPr>
          <w:rFonts w:asciiTheme="majorBidi" w:eastAsia="Times New Roman" w:hAnsiTheme="majorBidi" w:cstheme="majorBidi"/>
          <w:shd w:val="clear" w:color="auto" w:fill="FFFFFF"/>
        </w:rPr>
        <w:t xml:space="preserve"> (1750-1788), </w:t>
      </w:r>
      <w:r w:rsidRPr="007C6A42">
        <w:rPr>
          <w:rFonts w:asciiTheme="majorBidi" w:eastAsia="SimSun" w:hAnsiTheme="majorBidi" w:cstheme="majorBidi"/>
          <w:i/>
          <w:iCs/>
          <w:lang w:eastAsia="zh-CN"/>
        </w:rPr>
        <w:t>LE CORAN, traduit de l’arabe, accompagné de notes, précédé d’un abrégé de la vie de Mahomet, tiré des écrivains orientaux les plus estimés</w:t>
      </w:r>
      <w:r w:rsidRPr="007C6A42">
        <w:rPr>
          <w:rFonts w:asciiTheme="majorBidi" w:eastAsia="SimSun" w:hAnsiTheme="majorBidi" w:cstheme="majorBidi"/>
          <w:lang w:eastAsia="zh-CN"/>
        </w:rPr>
        <w:t xml:space="preserve">, </w:t>
      </w:r>
      <w:r w:rsidRPr="007C6A42">
        <w:rPr>
          <w:rFonts w:asciiTheme="majorBidi" w:eastAsia="Times New Roman" w:hAnsiTheme="majorBidi" w:cstheme="majorBidi"/>
          <w:shd w:val="clear" w:color="auto" w:fill="FFFFFF"/>
        </w:rPr>
        <w:t>rédigée en Égypte sous les yeux des Arabes, a paru en</w:t>
      </w:r>
      <w:r w:rsidRPr="007C6A42">
        <w:rPr>
          <w:rFonts w:asciiTheme="majorBidi" w:eastAsia="SimSun" w:hAnsiTheme="majorBidi" w:cstheme="majorBidi"/>
          <w:lang w:eastAsia="zh-CN"/>
        </w:rPr>
        <w:t xml:space="preserve"> 1782</w:t>
      </w:r>
      <w:r w:rsidRPr="007C6A42">
        <w:rPr>
          <w:rFonts w:asciiTheme="majorBidi" w:eastAsia="Times New Roman" w:hAnsiTheme="majorBidi" w:cstheme="majorBidi"/>
          <w:shd w:val="clear" w:color="auto" w:fill="FFFFFF"/>
        </w:rPr>
        <w:t xml:space="preserve">-1783 à Paris, en deux volumes, et a été plusieurs fois rééditée dans les </w:t>
      </w:r>
      <w:r w:rsidRPr="007C6A42">
        <w:rPr>
          <w:rFonts w:asciiTheme="majorBidi" w:eastAsia="Times New Roman" w:hAnsiTheme="majorBidi" w:cstheme="majorBidi"/>
          <w:shd w:val="clear" w:color="auto" w:fill="FFFFFF"/>
        </w:rPr>
        <w:lastRenderedPageBreak/>
        <w:t>années suivantes</w:t>
      </w:r>
      <w:r w:rsidRPr="007C6A42">
        <w:rPr>
          <w:rFonts w:asciiTheme="majorBidi" w:eastAsia="SimSun" w:hAnsiTheme="majorBidi" w:cstheme="majorBidi"/>
          <w:lang w:eastAsia="zh-CN"/>
        </w:rPr>
        <w:t xml:space="preserve">. Sa parution coïncide avec l’émergence de l’orientalisme en tant que discipline scientifique. « Le terme </w:t>
      </w:r>
      <w:r w:rsidRPr="007C6A42">
        <w:rPr>
          <w:rFonts w:asciiTheme="majorBidi" w:eastAsia="SimSun" w:hAnsiTheme="majorBidi" w:cstheme="majorBidi"/>
          <w:i/>
          <w:iCs/>
          <w:lang w:eastAsia="zh-CN"/>
        </w:rPr>
        <w:t>orientaliste</w:t>
      </w:r>
      <w:r w:rsidRPr="007C6A42">
        <w:rPr>
          <w:rFonts w:asciiTheme="majorBidi" w:eastAsia="SimSun" w:hAnsiTheme="majorBidi" w:cstheme="majorBidi"/>
          <w:lang w:eastAsia="zh-CN"/>
        </w:rPr>
        <w:t xml:space="preserve"> apparaît en anglais vers 1779, en français en 1799. »</w:t>
      </w:r>
      <w:r w:rsidRPr="007C6A42">
        <w:rPr>
          <w:rStyle w:val="Appelnotedebasdep"/>
          <w:rFonts w:asciiTheme="majorBidi" w:eastAsia="Times New Roman" w:hAnsiTheme="majorBidi" w:cstheme="majorBidi"/>
        </w:rPr>
        <w:footnoteReference w:id="404"/>
      </w:r>
      <w:r w:rsidRPr="007C6A42">
        <w:rPr>
          <w:rFonts w:asciiTheme="majorBidi" w:eastAsia="SimSun" w:hAnsiTheme="majorBidi" w:cstheme="majorBidi"/>
          <w:lang w:eastAsia="zh-CN"/>
        </w:rPr>
        <w:t xml:space="preserve"> C’est</w:t>
      </w:r>
      <w:r w:rsidRPr="007C6A42">
        <w:rPr>
          <w:rFonts w:asciiTheme="majorBidi" w:eastAsia="SimSun" w:hAnsiTheme="majorBidi" w:cstheme="majorBidi"/>
          <w:color w:val="C00000"/>
          <w:lang w:eastAsia="zh-CN"/>
        </w:rPr>
        <w:t xml:space="preserve"> </w:t>
      </w:r>
      <w:r w:rsidRPr="007C6A42">
        <w:rPr>
          <w:rFonts w:asciiTheme="majorBidi" w:eastAsia="SimSun" w:hAnsiTheme="majorBidi" w:cstheme="majorBidi"/>
          <w:lang w:eastAsia="zh-CN"/>
        </w:rPr>
        <w:t>suite à son voyage en 1776 et son séjour en Égypte que Savary a réalisé sa traduction qui est le fruit d’une passion pour l’arabe et l’Égypte.</w:t>
      </w:r>
    </w:p>
    <w:p w14:paraId="55BE2B9A" w14:textId="77777777" w:rsidR="00A70B78" w:rsidRPr="007C6A42" w:rsidRDefault="00A70B78" w:rsidP="00A70B78">
      <w:pPr>
        <w:spacing w:line="360" w:lineRule="auto"/>
        <w:ind w:firstLine="708"/>
        <w:contextualSpacing/>
        <w:jc w:val="both"/>
        <w:rPr>
          <w:rFonts w:asciiTheme="majorBidi" w:eastAsia="SimSun" w:hAnsiTheme="majorBidi" w:cstheme="majorBidi"/>
          <w:lang w:eastAsia="zh-CN"/>
        </w:rPr>
      </w:pPr>
    </w:p>
    <w:p w14:paraId="7B9B8750" w14:textId="77777777" w:rsidR="00A70B78" w:rsidRPr="007C6A42" w:rsidRDefault="00A70B78" w:rsidP="00A70B78">
      <w:pPr>
        <w:spacing w:line="360" w:lineRule="auto"/>
        <w:ind w:firstLine="708"/>
        <w:contextualSpacing/>
        <w:jc w:val="both"/>
        <w:rPr>
          <w:rFonts w:asciiTheme="majorBidi" w:eastAsia="SimSun" w:hAnsiTheme="majorBidi" w:cstheme="majorBidi"/>
          <w:lang w:eastAsia="zh-CN"/>
        </w:rPr>
      </w:pPr>
      <w:r w:rsidRPr="007C6A42">
        <w:rPr>
          <w:rFonts w:asciiTheme="majorBidi" w:eastAsia="SimSun" w:hAnsiTheme="majorBidi" w:cstheme="majorBidi"/>
          <w:lang w:eastAsia="zh-CN"/>
        </w:rPr>
        <w:t>Sa traduction en français du Coran respecte la division en versets, comme il le souligne dans sa préface, l’opposant à celle de son prédécesseur André Du Ryer. Il rend hommage à la traduction en latin de Louis Marracci (1698), qu’il cite dans les notes.</w:t>
      </w:r>
    </w:p>
    <w:p w14:paraId="18A2F623" w14:textId="77777777" w:rsidR="00A70B78" w:rsidRPr="007C6A42" w:rsidRDefault="00A70B78" w:rsidP="00A70B78">
      <w:pPr>
        <w:spacing w:line="360" w:lineRule="auto"/>
        <w:ind w:firstLine="708"/>
        <w:contextualSpacing/>
        <w:jc w:val="both"/>
        <w:rPr>
          <w:rFonts w:asciiTheme="majorBidi" w:eastAsia="SimSun" w:hAnsiTheme="majorBidi" w:cstheme="majorBidi"/>
          <w:lang w:eastAsia="zh-CN"/>
        </w:rPr>
      </w:pPr>
    </w:p>
    <w:p w14:paraId="3EC949BF" w14:textId="77777777" w:rsidR="00A70B78" w:rsidRPr="007C6A42" w:rsidRDefault="00A70B78" w:rsidP="00A70B78">
      <w:pPr>
        <w:spacing w:line="360" w:lineRule="auto"/>
        <w:ind w:firstLine="708"/>
        <w:contextualSpacing/>
        <w:jc w:val="both"/>
        <w:rPr>
          <w:rFonts w:asciiTheme="majorBidi" w:eastAsia="Calibri" w:hAnsiTheme="majorBidi" w:cstheme="majorBidi"/>
        </w:rPr>
      </w:pPr>
      <w:r w:rsidRPr="007C6A42">
        <w:rPr>
          <w:rFonts w:asciiTheme="majorBidi" w:eastAsia="SimSun" w:hAnsiTheme="majorBidi" w:cstheme="majorBidi"/>
          <w:lang w:eastAsia="zh-CN"/>
        </w:rPr>
        <w:t xml:space="preserve">Savary se rend compte de la confusion due à certains concepts musulmans comme </w:t>
      </w:r>
      <w:r w:rsidRPr="007C6A42">
        <w:rPr>
          <w:rFonts w:asciiTheme="majorBidi" w:eastAsia="Calibri" w:hAnsiTheme="majorBidi" w:cstheme="majorBidi"/>
          <w:i/>
          <w:iCs/>
        </w:rPr>
        <w:t>an-nāsikh wa-l-mansūkh</w:t>
      </w:r>
      <w:r w:rsidRPr="007C6A42">
        <w:rPr>
          <w:rFonts w:asciiTheme="majorBidi" w:eastAsia="Calibri" w:hAnsiTheme="majorBidi" w:cstheme="majorBidi"/>
        </w:rPr>
        <w:t xml:space="preserve"> [versets abrogeants et versets abrogés]. Il souligne avoir respecté l’obscurité mystérieuse du Coran en « aimant mieux laisser la pensée obscure, que de l’affaiblir en l’éclaircissant »</w:t>
      </w:r>
      <w:r w:rsidRPr="007C6A42">
        <w:rPr>
          <w:rStyle w:val="Appelnotedebasdep"/>
          <w:rFonts w:asciiTheme="majorBidi" w:eastAsia="Calibri" w:hAnsiTheme="majorBidi" w:cstheme="majorBidi"/>
        </w:rPr>
        <w:footnoteReference w:id="405"/>
      </w:r>
      <w:r w:rsidRPr="007C6A42">
        <w:rPr>
          <w:rFonts w:asciiTheme="majorBidi" w:eastAsia="Calibri" w:hAnsiTheme="majorBidi" w:cstheme="majorBidi"/>
        </w:rPr>
        <w:t xml:space="preserve">. Pour lui, l’éclaircissement est un affaiblissement, ce qui veut dire que la clarification est déformante, pour reprendre les termes d’Antoine Berman. Cette clarification n’est pas seulement affaiblissante et déformante, mais elle est surtout modifiante de la polysémie du texte. Il a ainsi essayé de garder la valeur polysémique du texte arabe. Cependant, </w:t>
      </w:r>
      <w:r w:rsidRPr="007C6A42">
        <w:rPr>
          <w:rFonts w:asciiTheme="majorBidi" w:eastAsia="SimSun" w:hAnsiTheme="majorBidi" w:cstheme="majorBidi"/>
          <w:lang w:eastAsia="zh-CN"/>
        </w:rPr>
        <w:t>Savary</w:t>
      </w:r>
      <w:r w:rsidRPr="007C6A42">
        <w:rPr>
          <w:rFonts w:asciiTheme="majorBidi" w:eastAsia="Calibri" w:hAnsiTheme="majorBidi" w:cstheme="majorBidi"/>
        </w:rPr>
        <w:t xml:space="preserve"> a réduit cette polysémie en ayant recours à des notes explicatives.</w:t>
      </w:r>
    </w:p>
    <w:p w14:paraId="4B1F0498" w14:textId="77777777" w:rsidR="00A70B78" w:rsidRPr="007C6A42" w:rsidRDefault="00A70B78" w:rsidP="00A70B78">
      <w:pPr>
        <w:spacing w:line="360" w:lineRule="auto"/>
        <w:ind w:firstLine="708"/>
        <w:contextualSpacing/>
        <w:jc w:val="both"/>
        <w:rPr>
          <w:rFonts w:asciiTheme="majorBidi" w:eastAsia="Calibri" w:hAnsiTheme="majorBidi" w:cstheme="majorBidi"/>
        </w:rPr>
      </w:pPr>
    </w:p>
    <w:p w14:paraId="00001DC1"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rPr>
      </w:pPr>
      <w:r w:rsidRPr="007C6A42">
        <w:rPr>
          <w:rFonts w:asciiTheme="majorBidi" w:eastAsia="SimSun" w:hAnsiTheme="majorBidi" w:cstheme="majorBidi"/>
          <w:lang w:eastAsia="zh-CN"/>
        </w:rPr>
        <w:t xml:space="preserve">Cette traduction de Savary </w:t>
      </w:r>
      <w:r w:rsidRPr="007C6A42">
        <w:rPr>
          <w:rFonts w:asciiTheme="majorBidi" w:eastAsia="Times New Roman" w:hAnsiTheme="majorBidi" w:cstheme="majorBidi"/>
          <w:shd w:val="clear" w:color="auto" w:fill="FFFFFF"/>
        </w:rPr>
        <w:t>respecte plus ou moins le style de l’original et la division en versets, comme il le souligne dans sa préface, l’opposant à celle de son prédécesseur André Du Ryer. Mais elle est considérée comme « une traduction fantaisiste et superficielle » par le traducteur du Coran Ameur Ghédira.</w:t>
      </w:r>
      <w:r w:rsidRPr="007C6A42">
        <w:rPr>
          <w:rStyle w:val="Appelnotedebasdep"/>
          <w:rFonts w:asciiTheme="majorBidi" w:eastAsia="Times New Roman" w:hAnsiTheme="majorBidi" w:cstheme="majorBidi"/>
          <w:shd w:val="clear" w:color="auto" w:fill="FFFFFF"/>
        </w:rPr>
        <w:footnoteReference w:id="406"/>
      </w:r>
    </w:p>
    <w:p w14:paraId="1F82231F" w14:textId="77777777" w:rsidR="00A70B78" w:rsidRPr="007C6A42" w:rsidRDefault="00A70B78" w:rsidP="00A70B78">
      <w:pPr>
        <w:spacing w:line="360" w:lineRule="auto"/>
        <w:ind w:firstLine="708"/>
        <w:contextualSpacing/>
        <w:jc w:val="both"/>
        <w:rPr>
          <w:rFonts w:asciiTheme="majorBidi" w:eastAsia="Calibri" w:hAnsiTheme="majorBidi" w:cstheme="majorBidi"/>
        </w:rPr>
      </w:pPr>
    </w:p>
    <w:p w14:paraId="5E8A23F8" w14:textId="77777777" w:rsidR="00A70B78" w:rsidRPr="007C6A42" w:rsidRDefault="00A70B78" w:rsidP="00A70B78">
      <w:pPr>
        <w:spacing w:line="360" w:lineRule="auto"/>
        <w:ind w:firstLine="708"/>
        <w:contextualSpacing/>
        <w:jc w:val="both"/>
        <w:rPr>
          <w:rFonts w:asciiTheme="majorBidi" w:eastAsia="SimSun" w:hAnsiTheme="majorBidi" w:cstheme="majorBidi"/>
          <w:lang w:eastAsia="zh-CN"/>
        </w:rPr>
      </w:pPr>
      <w:r w:rsidRPr="007C6A42">
        <w:rPr>
          <w:rFonts w:asciiTheme="majorBidi" w:eastAsia="Calibri" w:hAnsiTheme="majorBidi" w:cstheme="majorBidi"/>
        </w:rPr>
        <w:t xml:space="preserve">Donnant une grande importance à la manière de traduire, </w:t>
      </w:r>
      <w:r w:rsidRPr="007C6A42">
        <w:rPr>
          <w:rFonts w:asciiTheme="majorBidi" w:eastAsia="SimSun" w:hAnsiTheme="majorBidi" w:cstheme="majorBidi"/>
          <w:lang w:eastAsia="zh-CN"/>
        </w:rPr>
        <w:t>Savary</w:t>
      </w:r>
      <w:r w:rsidRPr="007C6A42">
        <w:rPr>
          <w:rFonts w:asciiTheme="majorBidi" w:eastAsia="Calibri" w:hAnsiTheme="majorBidi" w:cstheme="majorBidi"/>
        </w:rPr>
        <w:t xml:space="preserve"> reproche la traduction de Du Ryer d’être plate, ennuyeuse </w:t>
      </w:r>
      <w:r w:rsidRPr="007C6A42">
        <w:rPr>
          <w:rFonts w:asciiTheme="majorBidi" w:eastAsia="SimSun" w:hAnsiTheme="majorBidi" w:cstheme="majorBidi"/>
          <w:lang w:eastAsia="zh-CN"/>
        </w:rPr>
        <w:t>et sans respect pour le texte arabe. « En lisant sa traduction, souligne-t-il dans sa préface</w:t>
      </w:r>
      <w:r w:rsidRPr="007C6A42">
        <w:rPr>
          <w:rStyle w:val="Appelnotedebasdep"/>
          <w:rFonts w:asciiTheme="majorBidi" w:eastAsia="SimSun" w:hAnsiTheme="majorBidi" w:cstheme="majorBidi"/>
          <w:lang w:eastAsia="zh-CN"/>
        </w:rPr>
        <w:footnoteReference w:id="407"/>
      </w:r>
      <w:r w:rsidRPr="007C6A42">
        <w:rPr>
          <w:rFonts w:asciiTheme="majorBidi" w:eastAsia="SimSun" w:hAnsiTheme="majorBidi" w:cstheme="majorBidi"/>
          <w:lang w:eastAsia="zh-CN"/>
        </w:rPr>
        <w:t>, on ne s’imaginerait jamais que le Coran est le chef-d’œuvre de la langue arabe ». Ainsi, il s’est efforcé de sortir de la logique de réfutation.</w:t>
      </w:r>
    </w:p>
    <w:p w14:paraId="7492C233" w14:textId="77777777" w:rsidR="00A70B78" w:rsidRPr="007C6A42" w:rsidRDefault="00A70B78" w:rsidP="00A70B78">
      <w:pPr>
        <w:spacing w:line="360" w:lineRule="auto"/>
        <w:contextualSpacing/>
        <w:jc w:val="both"/>
        <w:rPr>
          <w:rFonts w:asciiTheme="majorBidi" w:eastAsia="SimSun" w:hAnsiTheme="majorBidi" w:cstheme="majorBidi"/>
          <w:lang w:eastAsia="zh-CN"/>
        </w:rPr>
      </w:pPr>
    </w:p>
    <w:p w14:paraId="3D3107F4" w14:textId="77777777" w:rsidR="00A70B78" w:rsidRPr="007C6A42" w:rsidRDefault="00A70B78" w:rsidP="00A70B78">
      <w:pPr>
        <w:widowControl w:val="0"/>
        <w:autoSpaceDE w:val="0"/>
        <w:autoSpaceDN w:val="0"/>
        <w:adjustRightInd w:val="0"/>
        <w:spacing w:line="360" w:lineRule="auto"/>
        <w:ind w:firstLine="709"/>
        <w:contextualSpacing/>
        <w:jc w:val="both"/>
        <w:rPr>
          <w:rFonts w:asciiTheme="majorBidi" w:eastAsia="Times New Roman" w:hAnsiTheme="majorBidi" w:cstheme="majorBidi"/>
          <w:lang w:eastAsia="en-AU"/>
        </w:rPr>
      </w:pPr>
      <w:r w:rsidRPr="007C6A42">
        <w:rPr>
          <w:rFonts w:asciiTheme="majorBidi" w:eastAsia="SimSun" w:hAnsiTheme="majorBidi" w:cstheme="majorBidi"/>
          <w:lang w:eastAsia="zh-CN"/>
        </w:rPr>
        <w:t>Vient ensuite la traduction d’</w:t>
      </w:r>
      <w:r w:rsidRPr="007C6A42">
        <w:rPr>
          <w:rFonts w:asciiTheme="majorBidi" w:hAnsiTheme="majorBidi" w:cstheme="majorBidi"/>
        </w:rPr>
        <w:t>Albert Félix Ignace</w:t>
      </w:r>
      <w:r w:rsidRPr="007C6A42">
        <w:rPr>
          <w:rFonts w:asciiTheme="majorBidi" w:eastAsia="SimSun" w:hAnsiTheme="majorBidi" w:cstheme="majorBidi"/>
          <w:lang w:eastAsia="zh-CN"/>
        </w:rPr>
        <w:t xml:space="preserve"> Kazimirski</w:t>
      </w:r>
      <w:r w:rsidRPr="007C6A42">
        <w:rPr>
          <w:rFonts w:asciiTheme="majorBidi" w:hAnsiTheme="majorBidi" w:cstheme="majorBidi"/>
        </w:rPr>
        <w:t xml:space="preserve"> </w:t>
      </w:r>
      <w:r w:rsidRPr="007C6A42">
        <w:rPr>
          <w:rFonts w:asciiTheme="majorBidi" w:eastAsia="SimSun" w:hAnsiTheme="majorBidi" w:cstheme="majorBidi"/>
          <w:lang w:eastAsia="zh-CN"/>
        </w:rPr>
        <w:t xml:space="preserve">(1808-1887), un orientaliste juif arabisant </w:t>
      </w:r>
      <w:r w:rsidRPr="007C6A42">
        <w:rPr>
          <w:rFonts w:asciiTheme="majorBidi" w:hAnsiTheme="majorBidi" w:cstheme="majorBidi"/>
        </w:rPr>
        <w:t xml:space="preserve">originaire de Hongrie, </w:t>
      </w:r>
      <w:r w:rsidRPr="007C6A42">
        <w:rPr>
          <w:rFonts w:asciiTheme="majorBidi" w:eastAsia="SimSun" w:hAnsiTheme="majorBidi" w:cstheme="majorBidi"/>
          <w:lang w:eastAsia="zh-CN"/>
        </w:rPr>
        <w:t>auteur d’un dictionnaire bilingue arabe/français et de plusieurs traductions arabe/français. Exilé de Pologne</w:t>
      </w:r>
      <w:r w:rsidRPr="007C6A42">
        <w:rPr>
          <w:rFonts w:asciiTheme="majorBidi" w:eastAsia="SimSun" w:hAnsiTheme="majorBidi" w:cstheme="majorBidi"/>
          <w:i/>
          <w:lang w:eastAsia="zh-CN"/>
        </w:rPr>
        <w:t>,</w:t>
      </w:r>
      <w:r w:rsidRPr="007C6A42">
        <w:rPr>
          <w:rFonts w:asciiTheme="majorBidi" w:eastAsia="SimSun" w:hAnsiTheme="majorBidi" w:cstheme="majorBidi"/>
          <w:iCs/>
          <w:lang w:eastAsia="zh-CN"/>
        </w:rPr>
        <w:t xml:space="preserve"> il est </w:t>
      </w:r>
      <w:r w:rsidRPr="007C6A42">
        <w:rPr>
          <w:rFonts w:asciiTheme="majorBidi" w:hAnsiTheme="majorBidi" w:cstheme="majorBidi"/>
          <w:iCs/>
        </w:rPr>
        <w:t xml:space="preserve">attaché </w:t>
      </w:r>
      <w:r w:rsidRPr="007C6A42">
        <w:rPr>
          <w:rFonts w:asciiTheme="majorBidi" w:hAnsiTheme="majorBidi" w:cstheme="majorBidi"/>
        </w:rPr>
        <w:t>à la Mission française en Perse (</w:t>
      </w:r>
      <w:r w:rsidRPr="007C6A42">
        <w:rPr>
          <w:rFonts w:asciiTheme="majorBidi" w:hAnsiTheme="majorBidi" w:cstheme="majorBidi"/>
          <w:iCs/>
        </w:rPr>
        <w:t>septembre 1839</w:t>
      </w:r>
      <w:r w:rsidRPr="007C6A42">
        <w:rPr>
          <w:rFonts w:asciiTheme="majorBidi" w:hAnsiTheme="majorBidi" w:cstheme="majorBidi"/>
        </w:rPr>
        <w:t>) ; il est aussi attaché au cabinet du ministre comme traducteur interprète (</w:t>
      </w:r>
      <w:r w:rsidRPr="007C6A42">
        <w:rPr>
          <w:rFonts w:asciiTheme="majorBidi" w:hAnsiTheme="majorBidi" w:cstheme="majorBidi"/>
          <w:iCs/>
        </w:rPr>
        <w:t>1</w:t>
      </w:r>
      <w:r w:rsidRPr="007C6A42">
        <w:rPr>
          <w:rFonts w:asciiTheme="majorBidi" w:hAnsiTheme="majorBidi" w:cstheme="majorBidi"/>
          <w:iCs/>
          <w:vertAlign w:val="superscript"/>
        </w:rPr>
        <w:t>er</w:t>
      </w:r>
      <w:r w:rsidRPr="007C6A42">
        <w:rPr>
          <w:rFonts w:asciiTheme="majorBidi" w:hAnsiTheme="majorBidi" w:cstheme="majorBidi"/>
          <w:iCs/>
        </w:rPr>
        <w:t xml:space="preserve"> février 1851</w:t>
      </w:r>
      <w:r w:rsidRPr="007C6A42">
        <w:rPr>
          <w:rFonts w:asciiTheme="majorBidi" w:hAnsiTheme="majorBidi" w:cstheme="majorBidi"/>
        </w:rPr>
        <w:t xml:space="preserve">) et </w:t>
      </w:r>
      <w:r w:rsidRPr="007C6A42">
        <w:rPr>
          <w:rFonts w:asciiTheme="majorBidi" w:eastAsia="SimSun" w:hAnsiTheme="majorBidi" w:cstheme="majorBidi"/>
          <w:lang w:eastAsia="zh-CN"/>
        </w:rPr>
        <w:t xml:space="preserve">drogman (interprète) des représentants de la France aux échelles du Levant ; </w:t>
      </w:r>
      <w:r w:rsidRPr="007C6A42">
        <w:rPr>
          <w:rFonts w:asciiTheme="majorBidi" w:hAnsiTheme="majorBidi" w:cstheme="majorBidi"/>
        </w:rPr>
        <w:t>il devient secrétaire interprète pour les langues orientales à Paris (</w:t>
      </w:r>
      <w:r w:rsidRPr="007C6A42">
        <w:rPr>
          <w:rFonts w:asciiTheme="majorBidi" w:hAnsiTheme="majorBidi" w:cstheme="majorBidi"/>
          <w:iCs/>
        </w:rPr>
        <w:t>septembre 1858</w:t>
      </w:r>
      <w:r w:rsidRPr="007C6A42">
        <w:rPr>
          <w:rFonts w:asciiTheme="majorBidi" w:hAnsiTheme="majorBidi" w:cstheme="majorBidi"/>
        </w:rPr>
        <w:t>) ; il est enfin secrétaire honoraire interprète honoraire (</w:t>
      </w:r>
      <w:r w:rsidRPr="007C6A42">
        <w:rPr>
          <w:rFonts w:asciiTheme="majorBidi" w:hAnsiTheme="majorBidi" w:cstheme="majorBidi"/>
          <w:iCs/>
        </w:rPr>
        <w:t>mars 1883-juillet 1884</w:t>
      </w:r>
      <w:r w:rsidRPr="007C6A42">
        <w:rPr>
          <w:rFonts w:asciiTheme="majorBidi" w:hAnsiTheme="majorBidi" w:cstheme="majorBidi"/>
        </w:rPr>
        <w:t xml:space="preserve">). </w:t>
      </w:r>
      <w:r w:rsidRPr="007C6A42">
        <w:rPr>
          <w:rFonts w:asciiTheme="majorBidi" w:hAnsiTheme="majorBidi" w:cstheme="majorBidi"/>
          <w:iCs/>
        </w:rPr>
        <w:t>C’est dans ce contexte</w:t>
      </w:r>
      <w:r w:rsidRPr="007C6A42">
        <w:rPr>
          <w:rFonts w:asciiTheme="majorBidi" w:hAnsiTheme="majorBidi" w:cstheme="majorBidi"/>
        </w:rPr>
        <w:t xml:space="preserve"> qu’il révise la deuxième traduction du Coran en français, celle de </w:t>
      </w:r>
      <w:r w:rsidRPr="007C6A42">
        <w:rPr>
          <w:rFonts w:asciiTheme="majorBidi" w:eastAsia="SimSun" w:hAnsiTheme="majorBidi" w:cstheme="majorBidi"/>
          <w:lang w:eastAsia="zh-CN"/>
        </w:rPr>
        <w:t xml:space="preserve">son prédécesseur </w:t>
      </w:r>
      <w:r w:rsidRPr="007C6A42">
        <w:rPr>
          <w:rFonts w:asciiTheme="majorBidi" w:eastAsia="Times New Roman" w:hAnsiTheme="majorBidi" w:cstheme="majorBidi"/>
          <w:bCs/>
          <w:iCs/>
          <w:lang w:eastAsia="it-IT"/>
        </w:rPr>
        <w:t>Claude-Étienne Savary (</w:t>
      </w:r>
      <w:r w:rsidRPr="007C6A42">
        <w:rPr>
          <w:rFonts w:asciiTheme="majorBidi" w:eastAsia="Times New Roman" w:hAnsiTheme="majorBidi" w:cstheme="majorBidi"/>
          <w:bCs/>
          <w:lang w:eastAsia="it-IT"/>
        </w:rPr>
        <w:t>1783</w:t>
      </w:r>
      <w:r w:rsidRPr="007C6A42">
        <w:rPr>
          <w:rFonts w:asciiTheme="majorBidi" w:eastAsia="Times New Roman" w:hAnsiTheme="majorBidi" w:cstheme="majorBidi"/>
          <w:bCs/>
          <w:iCs/>
          <w:lang w:eastAsia="it-IT"/>
        </w:rPr>
        <w:t xml:space="preserve">) ; en fin de compte, il finit par faire sa propre traduction </w:t>
      </w:r>
      <w:r w:rsidRPr="007C6A42">
        <w:rPr>
          <w:rFonts w:asciiTheme="majorBidi" w:eastAsia="SimSun" w:hAnsiTheme="majorBidi" w:cstheme="majorBidi"/>
          <w:lang w:eastAsia="zh-CN"/>
        </w:rPr>
        <w:t xml:space="preserve">qui, </w:t>
      </w:r>
      <w:r w:rsidRPr="007C6A42">
        <w:rPr>
          <w:rFonts w:asciiTheme="majorBidi" w:eastAsia="Times New Roman" w:hAnsiTheme="majorBidi" w:cstheme="majorBidi"/>
          <w:lang w:eastAsia="en-AU"/>
        </w:rPr>
        <w:t>comme toutes les traductions de cette époque, ne cherchait pas à suivre littéralement le texte arabe de départ, préférant offrir à un lecteur de culture européenne une bonne intelligibilité.</w:t>
      </w:r>
    </w:p>
    <w:p w14:paraId="1D0AE4FF" w14:textId="77777777" w:rsidR="00A70B78" w:rsidRPr="007C6A42" w:rsidRDefault="00A70B78" w:rsidP="00A70B78">
      <w:pPr>
        <w:widowControl w:val="0"/>
        <w:autoSpaceDE w:val="0"/>
        <w:autoSpaceDN w:val="0"/>
        <w:adjustRightInd w:val="0"/>
        <w:spacing w:line="360" w:lineRule="auto"/>
        <w:ind w:firstLine="708"/>
        <w:contextualSpacing/>
        <w:jc w:val="both"/>
        <w:rPr>
          <w:rFonts w:asciiTheme="majorBidi" w:eastAsia="SimSun" w:hAnsiTheme="majorBidi" w:cstheme="majorBidi"/>
          <w:strike/>
          <w:lang w:eastAsia="zh-CN"/>
        </w:rPr>
      </w:pPr>
      <w:r w:rsidRPr="007C6A42">
        <w:rPr>
          <w:rFonts w:asciiTheme="majorBidi" w:eastAsia="SimSun" w:hAnsiTheme="majorBidi" w:cstheme="majorBidi"/>
          <w:lang w:eastAsia="zh-CN"/>
        </w:rPr>
        <w:t xml:space="preserve">La traduction de Kazimirski </w:t>
      </w:r>
      <w:r w:rsidRPr="007C6A42">
        <w:rPr>
          <w:rFonts w:asciiTheme="majorBidi" w:hAnsiTheme="majorBidi" w:cstheme="majorBidi"/>
          <w:i/>
          <w:iCs/>
        </w:rPr>
        <w:t>Le Koran, traduction nouvelle faite sur le texte arabe</w:t>
      </w:r>
      <w:r w:rsidRPr="007C6A42">
        <w:rPr>
          <w:rFonts w:asciiTheme="majorBidi" w:eastAsia="SimSun" w:hAnsiTheme="majorBidi" w:cstheme="majorBidi"/>
          <w:lang w:eastAsia="zh-CN"/>
        </w:rPr>
        <w:t xml:space="preserve">, </w:t>
      </w:r>
      <w:r w:rsidRPr="007C6A42">
        <w:rPr>
          <w:rFonts w:asciiTheme="majorBidi" w:eastAsia="Times New Roman" w:hAnsiTheme="majorBidi" w:cstheme="majorBidi"/>
          <w:lang w:eastAsia="en-AU"/>
        </w:rPr>
        <w:t xml:space="preserve">publiée pour la première fois en 1840 (rééditée en 1841, 1852, 1857, 1869, 1913 et </w:t>
      </w:r>
      <w:r w:rsidRPr="007C6A42">
        <w:rPr>
          <w:rFonts w:asciiTheme="majorBidi" w:eastAsia="SimSun" w:hAnsiTheme="majorBidi" w:cstheme="majorBidi"/>
          <w:lang w:eastAsia="zh-CN"/>
        </w:rPr>
        <w:t>1970</w:t>
      </w:r>
      <w:r w:rsidRPr="007C6A42">
        <w:rPr>
          <w:rFonts w:asciiTheme="majorBidi" w:eastAsia="Times New Roman" w:hAnsiTheme="majorBidi" w:cstheme="majorBidi"/>
          <w:lang w:eastAsia="en-AU"/>
        </w:rPr>
        <w:t>) est une</w:t>
      </w:r>
      <w:r w:rsidRPr="007C6A42">
        <w:rPr>
          <w:rFonts w:asciiTheme="majorBidi" w:eastAsia="SimSun" w:hAnsiTheme="majorBidi" w:cstheme="majorBidi"/>
          <w:lang w:eastAsia="zh-CN"/>
        </w:rPr>
        <w:t xml:space="preserve"> </w:t>
      </w:r>
      <w:r w:rsidRPr="007C6A42">
        <w:rPr>
          <w:rFonts w:asciiTheme="majorBidi" w:eastAsia="Times New Roman" w:hAnsiTheme="majorBidi" w:cstheme="majorBidi"/>
          <w:lang w:eastAsia="en-AU"/>
        </w:rPr>
        <w:t>traduction réalisée avec un grand souci de style, mais avec parfois quelques prises de liberté par rapport à la structure du texte, une liberté qui aurait modifié la polysémie du texte de départ. Par exemple, certaines éditions ont omis la traduction de la clausule «</w:t>
      </w:r>
      <w:r w:rsidRPr="007C6A42">
        <w:rPr>
          <w:rFonts w:asciiTheme="majorBidi" w:eastAsia="Times New Roman" w:hAnsiTheme="majorBidi" w:cstheme="majorBidi"/>
          <w:i/>
          <w:lang w:eastAsia="en-AU"/>
        </w:rPr>
        <w:t xml:space="preserve"> </w:t>
      </w:r>
      <w:r w:rsidRPr="007C6A42">
        <w:rPr>
          <w:rFonts w:asciiTheme="majorBidi" w:eastAsia="Times New Roman" w:hAnsiTheme="majorBidi" w:cstheme="majorBidi"/>
          <w:i/>
          <w:rtl/>
          <w:lang w:eastAsia="en-AU"/>
        </w:rPr>
        <w:t>والله عليم حكيم</w:t>
      </w:r>
      <w:r w:rsidRPr="007C6A42">
        <w:rPr>
          <w:rFonts w:asciiTheme="majorBidi" w:eastAsia="Times New Roman" w:hAnsiTheme="majorBidi" w:cstheme="majorBidi"/>
          <w:lang w:eastAsia="en-AU"/>
        </w:rPr>
        <w:t> » [</w:t>
      </w:r>
      <w:r w:rsidRPr="007C6A42">
        <w:rPr>
          <w:rFonts w:asciiTheme="majorBidi" w:eastAsia="Calibri" w:hAnsiTheme="majorBidi" w:cstheme="majorBidi"/>
          <w:lang w:bidi="ar-AE"/>
        </w:rPr>
        <w:t>« Dieu est Connaisseur et Sage »</w:t>
      </w:r>
      <w:r w:rsidRPr="007C6A42">
        <w:rPr>
          <w:rFonts w:asciiTheme="majorBidi" w:eastAsia="Times New Roman" w:hAnsiTheme="majorBidi" w:cstheme="majorBidi"/>
          <w:lang w:eastAsia="en-AU"/>
        </w:rPr>
        <w:t xml:space="preserve">] (v. XXII, 52). Le traducteur n’hésite pas à utiliser des parenthèses pour éclaircir un terme ambigu. Dans cette traduction, </w:t>
      </w:r>
      <w:r w:rsidRPr="007C6A42">
        <w:rPr>
          <w:rFonts w:asciiTheme="majorBidi" w:eastAsia="Times New Roman" w:hAnsiTheme="majorBidi" w:cstheme="majorBidi"/>
        </w:rPr>
        <w:t xml:space="preserve">Kazimirski </w:t>
      </w:r>
      <w:r w:rsidRPr="007C6A42">
        <w:rPr>
          <w:rFonts w:asciiTheme="majorBidi" w:hAnsiTheme="majorBidi" w:cstheme="majorBidi"/>
        </w:rPr>
        <w:t>fait référence à la langue de départ</w:t>
      </w:r>
      <w:r w:rsidRPr="007C6A42">
        <w:rPr>
          <w:rFonts w:asciiTheme="majorBidi" w:eastAsia="Times New Roman" w:hAnsiTheme="majorBidi" w:cstheme="majorBidi"/>
        </w:rPr>
        <w:t>.</w:t>
      </w:r>
      <w:r w:rsidRPr="007C6A42">
        <w:rPr>
          <w:rFonts w:asciiTheme="majorBidi" w:eastAsia="SimSun" w:hAnsiTheme="majorBidi" w:cstheme="majorBidi"/>
          <w:lang w:eastAsia="zh-CN"/>
        </w:rPr>
        <w:t xml:space="preserve"> </w:t>
      </w:r>
      <w:r w:rsidRPr="007C6A42">
        <w:rPr>
          <w:rFonts w:asciiTheme="majorBidi" w:eastAsia="Times New Roman" w:hAnsiTheme="majorBidi" w:cstheme="majorBidi"/>
        </w:rPr>
        <w:t>Déniant à l’islam le caractère œcuménique</w:t>
      </w:r>
      <w:r w:rsidRPr="007C6A42">
        <w:rPr>
          <w:rFonts w:asciiTheme="majorBidi" w:eastAsia="Times New Roman" w:hAnsiTheme="majorBidi" w:cstheme="majorBidi"/>
          <w:vertAlign w:val="superscript"/>
          <w:lang w:bidi="ar-AE"/>
        </w:rPr>
        <w:footnoteReference w:id="408"/>
      </w:r>
      <w:r w:rsidRPr="007C6A42">
        <w:rPr>
          <w:rFonts w:asciiTheme="majorBidi" w:eastAsia="Times New Roman" w:hAnsiTheme="majorBidi" w:cstheme="majorBidi"/>
        </w:rPr>
        <w:t>, cette traduction a connu en France une très large diffusion et n’a pas cessé d’être rééditée jusqu’à aujourd’hui.</w:t>
      </w:r>
      <w:r w:rsidRPr="007C6A42">
        <w:rPr>
          <w:rFonts w:asciiTheme="majorBidi" w:eastAsia="Times New Roman" w:hAnsiTheme="majorBidi" w:cstheme="majorBidi"/>
          <w:lang w:eastAsia="en-AU"/>
        </w:rPr>
        <w:t xml:space="preserve"> </w:t>
      </w:r>
      <w:r w:rsidRPr="007C6A42">
        <w:rPr>
          <w:rFonts w:asciiTheme="majorBidi" w:eastAsia="Times New Roman" w:hAnsiTheme="majorBidi" w:cstheme="majorBidi"/>
        </w:rPr>
        <w:t>La</w:t>
      </w:r>
      <w:r w:rsidRPr="007C6A42">
        <w:rPr>
          <w:rFonts w:asciiTheme="majorBidi" w:eastAsia="SimSun" w:hAnsiTheme="majorBidi" w:cstheme="majorBidi"/>
          <w:lang w:eastAsia="zh-CN"/>
        </w:rPr>
        <w:t xml:space="preserve"> maison d’édition turque </w:t>
      </w:r>
      <w:r w:rsidRPr="007C6A42">
        <w:rPr>
          <w:rFonts w:asciiTheme="majorBidi" w:hAnsiTheme="majorBidi" w:cstheme="majorBidi"/>
        </w:rPr>
        <w:t>Çağrı Yayınları</w:t>
      </w:r>
      <w:r w:rsidRPr="007C6A42">
        <w:rPr>
          <w:rFonts w:asciiTheme="majorBidi" w:eastAsia="SimSun" w:hAnsiTheme="majorBidi" w:cstheme="majorBidi"/>
          <w:lang w:eastAsia="zh-CN"/>
        </w:rPr>
        <w:t xml:space="preserve"> (é</w:t>
      </w:r>
      <w:r w:rsidRPr="007C6A42">
        <w:rPr>
          <w:rStyle w:val="Accentuation"/>
          <w:rFonts w:asciiTheme="majorBidi" w:hAnsiTheme="majorBidi" w:cstheme="majorBidi"/>
        </w:rPr>
        <w:t>diteur : Şaban Kurt</w:t>
      </w:r>
      <w:r w:rsidRPr="007C6A42">
        <w:rPr>
          <w:rFonts w:asciiTheme="majorBidi" w:eastAsia="SimSun" w:hAnsiTheme="majorBidi" w:cstheme="majorBidi"/>
          <w:lang w:eastAsia="zh-CN"/>
        </w:rPr>
        <w:t xml:space="preserve">), convaincue de « la probité », de « la beauté de l’expression », </w:t>
      </w:r>
      <w:r w:rsidRPr="007C6A42">
        <w:rPr>
          <w:rFonts w:asciiTheme="majorBidi" w:eastAsia="SimSun" w:hAnsiTheme="majorBidi" w:cstheme="majorBidi"/>
          <w:lang w:eastAsia="zh-CN"/>
        </w:rPr>
        <w:lastRenderedPageBreak/>
        <w:t>du « style élevé »</w:t>
      </w:r>
      <w:r w:rsidRPr="007C6A42">
        <w:rPr>
          <w:rStyle w:val="Appelnotedebasdep"/>
          <w:rFonts w:asciiTheme="majorBidi" w:eastAsia="SimSun" w:hAnsiTheme="majorBidi" w:cstheme="majorBidi"/>
          <w:lang w:eastAsia="zh-CN"/>
        </w:rPr>
        <w:footnoteReference w:id="409"/>
      </w:r>
      <w:r w:rsidRPr="007C6A42">
        <w:rPr>
          <w:rFonts w:asciiTheme="majorBidi" w:eastAsia="SimSun" w:hAnsiTheme="majorBidi" w:cstheme="majorBidi"/>
          <w:lang w:eastAsia="zh-CN"/>
        </w:rPr>
        <w:t xml:space="preserve"> et de la large renommée de la traduction de </w:t>
      </w:r>
      <w:r w:rsidRPr="007C6A42">
        <w:rPr>
          <w:rFonts w:asciiTheme="majorBidi" w:eastAsia="Times New Roman" w:hAnsiTheme="majorBidi" w:cstheme="majorBidi"/>
        </w:rPr>
        <w:t>Kazimirski</w:t>
      </w:r>
      <w:r w:rsidRPr="007C6A42">
        <w:rPr>
          <w:rFonts w:asciiTheme="majorBidi" w:eastAsia="SimSun" w:hAnsiTheme="majorBidi" w:cstheme="majorBidi"/>
          <w:lang w:eastAsia="zh-CN"/>
        </w:rPr>
        <w:t>, a réédité à Istanbul en 2005 et 2008 une version très légèrement modifiée, fondée sur les éditions de 1869 et 1913</w:t>
      </w:r>
      <w:r w:rsidRPr="007C6A42">
        <w:rPr>
          <w:rFonts w:asciiTheme="majorBidi" w:eastAsia="Times New Roman" w:hAnsiTheme="majorBidi" w:cstheme="majorBidi"/>
        </w:rPr>
        <w:t xml:space="preserve"> et</w:t>
      </w:r>
      <w:r w:rsidRPr="007C6A42">
        <w:rPr>
          <w:rFonts w:asciiTheme="majorBidi" w:eastAsia="SimSun" w:hAnsiTheme="majorBidi" w:cstheme="majorBidi"/>
          <w:lang w:eastAsia="zh-CN"/>
        </w:rPr>
        <w:t xml:space="preserve"> accompagnée du texte arabe au centre de la page, de sorte que la traduction soit dépendante et mise comme commentaire. Ces modifications concernent la graphie de certains mots d’origine arabe (« </w:t>
      </w:r>
      <w:r w:rsidRPr="007C6A42">
        <w:rPr>
          <w:rFonts w:asciiTheme="majorBidi" w:eastAsia="SimSun" w:hAnsiTheme="majorBidi" w:cstheme="majorBidi"/>
          <w:i/>
          <w:iCs/>
          <w:lang w:eastAsia="zh-CN"/>
        </w:rPr>
        <w:t>Mahomet</w:t>
      </w:r>
      <w:r w:rsidRPr="007C6A42">
        <w:rPr>
          <w:rFonts w:asciiTheme="majorBidi" w:eastAsia="SimSun" w:hAnsiTheme="majorBidi" w:cstheme="majorBidi"/>
          <w:lang w:eastAsia="zh-CN"/>
        </w:rPr>
        <w:t> » devient « </w:t>
      </w:r>
      <w:r w:rsidRPr="007C6A42">
        <w:rPr>
          <w:rFonts w:asciiTheme="majorBidi" w:eastAsia="SimSun" w:hAnsiTheme="majorBidi" w:cstheme="majorBidi"/>
          <w:i/>
          <w:iCs/>
          <w:lang w:eastAsia="zh-CN"/>
        </w:rPr>
        <w:t>Mohammed</w:t>
      </w:r>
      <w:r w:rsidRPr="007C6A42">
        <w:rPr>
          <w:rFonts w:asciiTheme="majorBidi" w:eastAsia="SimSun" w:hAnsiTheme="majorBidi" w:cstheme="majorBidi"/>
          <w:lang w:eastAsia="zh-CN"/>
        </w:rPr>
        <w:t> », « </w:t>
      </w:r>
      <w:r w:rsidRPr="007C6A42">
        <w:rPr>
          <w:rFonts w:asciiTheme="majorBidi" w:eastAsia="SimSun" w:hAnsiTheme="majorBidi" w:cstheme="majorBidi"/>
          <w:i/>
          <w:iCs/>
          <w:lang w:eastAsia="zh-CN"/>
        </w:rPr>
        <w:t>Koran</w:t>
      </w:r>
      <w:r w:rsidRPr="007C6A42">
        <w:rPr>
          <w:rFonts w:asciiTheme="majorBidi" w:eastAsia="SimSun" w:hAnsiTheme="majorBidi" w:cstheme="majorBidi"/>
          <w:lang w:eastAsia="zh-CN"/>
        </w:rPr>
        <w:t> » devient « </w:t>
      </w:r>
      <w:r w:rsidRPr="007C6A42">
        <w:rPr>
          <w:rFonts w:asciiTheme="majorBidi" w:eastAsia="SimSun" w:hAnsiTheme="majorBidi" w:cstheme="majorBidi"/>
          <w:i/>
          <w:iCs/>
          <w:lang w:eastAsia="zh-CN"/>
        </w:rPr>
        <w:t>Coran</w:t>
      </w:r>
      <w:r w:rsidRPr="007C6A42">
        <w:rPr>
          <w:rFonts w:asciiTheme="majorBidi" w:eastAsia="SimSun" w:hAnsiTheme="majorBidi" w:cstheme="majorBidi"/>
          <w:lang w:eastAsia="zh-CN"/>
        </w:rPr>
        <w:t xml:space="preserve"> », etc.) ainsi que la numérotation des versets (abandon de la méthode de Flügel et adoption du système actuel). </w:t>
      </w:r>
      <w:r w:rsidRPr="007C6A42">
        <w:rPr>
          <w:rFonts w:asciiTheme="majorBidi" w:eastAsia="Times New Roman" w:hAnsiTheme="majorBidi" w:cstheme="majorBidi"/>
        </w:rPr>
        <w:t>Cette version istanbuliote de la traduction de Kazimirski a également supprimé l’introduction de 34 pages portant sur la vie de Mahomet, au motif qu’il est superflu d’imprimer cette partie car tout lecteur peut aisément s’informer à ce sujet ailleurs. Enfin, l’éditeur turc a éliminé toutes les notes explicatives ajoutées par Kazimirski en bas de pages et qui ne concernent pas directement la lecture du Coran.</w:t>
      </w:r>
    </w:p>
    <w:p w14:paraId="45FFDDCF"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Malgré le succès et la large diffusion de la traduction de Kazimirski, elle est déconseillée par certains sites et forums adressés à des musulmans francophones pour la raison d’être dépassée ou déformante du sens du Coran, ou de ne pas être révisée par une autorité religieuse.</w:t>
      </w:r>
      <w:r w:rsidRPr="007C6A42">
        <w:rPr>
          <w:rStyle w:val="Appelnotedebasdep"/>
          <w:rFonts w:asciiTheme="majorBidi" w:eastAsia="Times New Roman" w:hAnsiTheme="majorBidi" w:cstheme="majorBidi"/>
        </w:rPr>
        <w:footnoteReference w:id="410"/>
      </w:r>
    </w:p>
    <w:p w14:paraId="03ED1982"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39F83265"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Régis Blachère (1900 - 1973), un orientaliste et arabisant français, </w:t>
      </w:r>
      <w:r w:rsidRPr="007C6A42">
        <w:rPr>
          <w:rFonts w:asciiTheme="majorBidi" w:eastAsia="SimSun" w:hAnsiTheme="majorBidi" w:cstheme="majorBidi"/>
          <w:lang w:eastAsia="zh-CN"/>
        </w:rPr>
        <w:t xml:space="preserve">professeur d’arabe à l’École nationale des langues orientales et de littérature arabe du Moyen Âge à la Sorbonne, directeur de l’Institut d’études islamiques de l’université de Paris et directeur du Centre de lexicographie arabe, associé au CNRS, </w:t>
      </w:r>
      <w:r w:rsidRPr="007C6A42">
        <w:rPr>
          <w:rFonts w:asciiTheme="majorBidi" w:eastAsia="Times New Roman" w:hAnsiTheme="majorBidi" w:cstheme="majorBidi"/>
        </w:rPr>
        <w:t xml:space="preserve">profite des contributions fournies par des philologues </w:t>
      </w:r>
      <w:r w:rsidRPr="007C6A42">
        <w:rPr>
          <w:rFonts w:asciiTheme="majorBidi" w:eastAsia="Times New Roman" w:hAnsiTheme="majorBidi" w:cstheme="majorBidi"/>
        </w:rPr>
        <w:lastRenderedPageBreak/>
        <w:t xml:space="preserve">étrangers et surtout anglais et allemands sur le Coran pour réaliser sa traduction. </w:t>
      </w:r>
      <w:r w:rsidRPr="007C6A42">
        <w:rPr>
          <w:rFonts w:asciiTheme="majorBidi" w:eastAsia="SimSun" w:hAnsiTheme="majorBidi" w:cstheme="majorBidi"/>
          <w:lang w:eastAsia="zh-CN"/>
        </w:rPr>
        <w:t>On lui doit une traduction "critique" du Coran et un essai de reclassement des sourates dans l’ordre chronologique de leur révélation.</w:t>
      </w:r>
    </w:p>
    <w:p w14:paraId="01B21FF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Blachère a publié en 1949 deux versions de sa traduction qui ont influencé des traductions postérieures. Des termes que Blachère utilise pour la première fois dans sa traduction sont repris par ses successeurs (comme : « le séisme de l’Heure » [</w:t>
      </w:r>
      <w:r w:rsidRPr="007C6A42">
        <w:rPr>
          <w:rFonts w:asciiTheme="majorBidi" w:eastAsia="Times New Roman" w:hAnsiTheme="majorBidi" w:cstheme="majorBidi"/>
          <w:i/>
          <w:iCs/>
        </w:rPr>
        <w:t>zalzalat as-sāʿa</w:t>
      </w:r>
      <w:r w:rsidRPr="007C6A42">
        <w:rPr>
          <w:rFonts w:asciiTheme="majorBidi" w:eastAsia="Times New Roman" w:hAnsiTheme="majorBidi" w:cstheme="majorBidi"/>
        </w:rPr>
        <w:t>] (v. 1), « de chagrin » [</w:t>
      </w:r>
      <w:r w:rsidRPr="007C6A42">
        <w:rPr>
          <w:rFonts w:asciiTheme="majorBidi" w:eastAsia="Times New Roman" w:hAnsiTheme="majorBidi" w:cstheme="majorBidi"/>
          <w:i/>
          <w:iCs/>
        </w:rPr>
        <w:t>min ghamm</w:t>
      </w:r>
      <w:r w:rsidRPr="007C6A42">
        <w:rPr>
          <w:rFonts w:asciiTheme="majorBidi" w:eastAsia="Times New Roman" w:hAnsiTheme="majorBidi" w:cstheme="majorBidi"/>
        </w:rPr>
        <w:t>] (v. 22), « chaque communauté » [</w:t>
      </w:r>
      <w:r w:rsidRPr="007C6A42">
        <w:rPr>
          <w:rFonts w:asciiTheme="majorBidi" w:eastAsia="Times New Roman" w:hAnsiTheme="majorBidi" w:cstheme="majorBidi"/>
          <w:i/>
          <w:iCs/>
        </w:rPr>
        <w:t>kull umma</w:t>
      </w:r>
      <w:r w:rsidRPr="007C6A42">
        <w:rPr>
          <w:rFonts w:asciiTheme="majorBidi" w:eastAsia="Times New Roman" w:hAnsiTheme="majorBidi" w:cstheme="majorBidi"/>
        </w:rPr>
        <w:t>] (v. 34 &amp; 67), « gêne » (v. 78), etc.)</w:t>
      </w:r>
    </w:p>
    <w:p w14:paraId="29800C76" w14:textId="77777777" w:rsidR="00A70B78" w:rsidRPr="007C6A42" w:rsidRDefault="00A70B78" w:rsidP="00A70B78">
      <w:pPr>
        <w:spacing w:line="360" w:lineRule="auto"/>
        <w:ind w:firstLine="708"/>
        <w:jc w:val="both"/>
        <w:rPr>
          <w:rFonts w:asciiTheme="majorBidi" w:eastAsia="Times New Roman" w:hAnsiTheme="majorBidi" w:cstheme="majorBidi"/>
          <w:lang w:bidi="ar-EG"/>
        </w:rPr>
      </w:pPr>
      <w:r w:rsidRPr="007C6A42">
        <w:rPr>
          <w:rFonts w:asciiTheme="majorBidi" w:eastAsia="Times New Roman" w:hAnsiTheme="majorBidi" w:cstheme="majorBidi"/>
        </w:rPr>
        <w:t xml:space="preserve">Toutefois, bien qu’elle privilégie la langue-cible, la traduction de Blachère reste plus ou moins littérale. « Le texte français s’efforce de suivre le mouvement de l’arabe dans toute la mesure où l’autorise notre syntaxe », souligne-t-il dans l’avertissement de sa traduction (p. 8). Par ses choix plus littéraux, Blachère aurait essayé de réduire le caractère polysémique du texte arabe. En guise d’exemple, il confesse : « En principe, entre une interprétation allégorique ou intellectualiste et une interprétation anthropomorphique, ce sera toujours cette dernière qui sera préférée » (p. 8). Cependant, cette traduction est vue par Ameur Ghédira comme « une traduction objective et savante » (Introduction 1957). Blachère s’est référé à quatre exégèses célèbres : celle d’aṭ-Ṭabarī [m. 923], celle d’ar-Rāzī [m. 1209], celle d’al-Bayḍāwī [m. 1291] et celle d’an-Nasafī [m. 1310]). Il précise dans son avertissement que l’une des difficultés de la traduction du Coran est la multiplicité des interprétations (parfois une douzaine) pour des termes et expressions dont fourmille le Coran et sur lesquels l’exégèse islamique a exercé son ingéniosité. Souvent des mots placés en italique entre crochets ont dû être ajoutés pour satisfaire à la correction ou à la clarté. Cela a dû réduire la polysémie d’origine. Blachère a tenté de rendre un terme arabe par un mot français unique. « Un même mot arabe a été rendu constamment par le même correspondant français ». Cette méthode de traduction (reprise plus tard par Sami Aldeeb en 2008) confirme le point de vue de </w:t>
      </w:r>
      <w:r w:rsidRPr="007C6A42">
        <w:rPr>
          <w:rFonts w:asciiTheme="majorBidi" w:eastAsia="Times New Roman" w:hAnsiTheme="majorBidi" w:cstheme="majorBidi"/>
          <w:lang w:bidi="ar-EG"/>
        </w:rPr>
        <w:t>l’exégète contemporain Muḥammad Sha</w:t>
      </w:r>
      <w:r w:rsidRPr="007C6A42">
        <w:rPr>
          <w:rFonts w:asciiTheme="majorBidi" w:hAnsiTheme="majorBidi" w:cstheme="majorBidi"/>
        </w:rPr>
        <w:t>ḥ</w:t>
      </w:r>
      <w:r w:rsidRPr="007C6A42">
        <w:rPr>
          <w:rFonts w:asciiTheme="majorBidi" w:eastAsia="Times New Roman" w:hAnsiTheme="majorBidi" w:cstheme="majorBidi"/>
          <w:lang w:bidi="ar-EG"/>
        </w:rPr>
        <w:t>rūr qui précise que la synonymie n’existe pas dans le Coran, un texte qui fait la distinction entre les synonymes.</w:t>
      </w:r>
    </w:p>
    <w:p w14:paraId="306ACF48"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0C9EC16B"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La traduction de Blachère constitue un tournant dans l’histoire des traductions du Coran en français, car elle a montré la nécessité de l’étude philologique d’une part (analyser les structures grammaticales et se contenter de ce que dit le texte), et d’autre part, elle a montré les </w:t>
      </w:r>
      <w:r w:rsidRPr="007C6A42">
        <w:rPr>
          <w:rFonts w:asciiTheme="majorBidi" w:eastAsia="Times New Roman" w:hAnsiTheme="majorBidi" w:cstheme="majorBidi"/>
        </w:rPr>
        <w:lastRenderedPageBreak/>
        <w:t>limites d’une démarche purement philologique qui voudrait ne pas tenir compte de l’immense littérature exégétique réalisée par des musulmans au cours des siècles.</w:t>
      </w:r>
    </w:p>
    <w:p w14:paraId="416EEB8E" w14:textId="77777777" w:rsidR="00A70B78" w:rsidRPr="007C6A42" w:rsidRDefault="00A70B78" w:rsidP="00A70B78">
      <w:pPr>
        <w:spacing w:line="360" w:lineRule="auto"/>
        <w:jc w:val="both"/>
        <w:rPr>
          <w:rFonts w:asciiTheme="majorBidi" w:eastAsia="Times New Roman" w:hAnsiTheme="majorBidi" w:cstheme="majorBidi"/>
        </w:rPr>
      </w:pPr>
    </w:p>
    <w:p w14:paraId="574F7D94"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SimSun" w:hAnsiTheme="majorBidi" w:cstheme="majorBidi"/>
          <w:lang w:eastAsia="zh-CN"/>
        </w:rPr>
        <w:t xml:space="preserve">Ameur </w:t>
      </w:r>
      <w:r w:rsidRPr="007C6A42">
        <w:rPr>
          <w:rFonts w:asciiTheme="majorBidi" w:eastAsia="Calibri" w:hAnsiTheme="majorBidi" w:cstheme="majorBidi"/>
        </w:rPr>
        <w:t>Ghédira [</w:t>
      </w:r>
      <w:r w:rsidRPr="007C6A42">
        <w:rPr>
          <w:rFonts w:asciiTheme="majorBidi" w:hAnsiTheme="majorBidi" w:cstheme="majorBidi"/>
        </w:rPr>
        <w:t>ʿĀmir Ghadīra</w:t>
      </w:r>
      <w:r w:rsidRPr="007C6A42">
        <w:rPr>
          <w:rFonts w:asciiTheme="majorBidi" w:eastAsia="Calibri" w:hAnsiTheme="majorBidi" w:cstheme="majorBidi"/>
        </w:rPr>
        <w:t>]</w:t>
      </w:r>
      <w:r w:rsidRPr="007C6A42">
        <w:rPr>
          <w:rStyle w:val="Appelnotedebasdep"/>
          <w:rFonts w:asciiTheme="majorBidi" w:eastAsia="Calibri" w:hAnsiTheme="majorBidi" w:cstheme="majorBidi"/>
        </w:rPr>
        <w:footnoteReference w:id="411"/>
      </w:r>
      <w:r w:rsidRPr="007C6A42">
        <w:rPr>
          <w:rFonts w:asciiTheme="majorBidi" w:eastAsia="Calibri" w:hAnsiTheme="majorBidi" w:cstheme="majorBidi"/>
        </w:rPr>
        <w:t xml:space="preserve">, né à Monastir en Tunisie en </w:t>
      </w:r>
      <w:r w:rsidRPr="007C6A42">
        <w:rPr>
          <w:rFonts w:asciiTheme="majorBidi" w:hAnsiTheme="majorBidi" w:cstheme="majorBidi"/>
        </w:rPr>
        <w:t>1926</w:t>
      </w:r>
      <w:r w:rsidRPr="007C6A42">
        <w:rPr>
          <w:rFonts w:asciiTheme="majorBidi" w:eastAsia="Calibri" w:hAnsiTheme="majorBidi" w:cstheme="majorBidi"/>
        </w:rPr>
        <w:t>,</w:t>
      </w:r>
      <w:r w:rsidRPr="007C6A42">
        <w:rPr>
          <w:rFonts w:asciiTheme="majorBidi" w:eastAsia="Times New Roman" w:hAnsiTheme="majorBidi" w:cstheme="majorBidi"/>
        </w:rPr>
        <w:t xml:space="preserve"> agrégé de lettres arabes de la Sorbonne, ancien enseignant au lycée Carnot à Tunis, ancien professeur à 1’Universite Lyon III, a publié </w:t>
      </w:r>
      <w:r w:rsidRPr="007C6A42">
        <w:rPr>
          <w:rFonts w:asciiTheme="majorBidi" w:eastAsia="SimSun" w:hAnsiTheme="majorBidi" w:cstheme="majorBidi"/>
          <w:lang w:eastAsia="zh-CN"/>
        </w:rPr>
        <w:t xml:space="preserve">en 1957 </w:t>
      </w:r>
      <w:r w:rsidRPr="007C6A42">
        <w:rPr>
          <w:rFonts w:asciiTheme="majorBidi" w:eastAsia="Times New Roman" w:hAnsiTheme="majorBidi" w:cstheme="majorBidi"/>
        </w:rPr>
        <w:t xml:space="preserve">sa traduction </w:t>
      </w:r>
      <w:r w:rsidRPr="007C6A42">
        <w:rPr>
          <w:rFonts w:asciiTheme="majorBidi" w:eastAsia="SimSun" w:hAnsiTheme="majorBidi" w:cstheme="majorBidi"/>
          <w:i/>
          <w:iCs/>
          <w:lang w:eastAsia="zh-CN"/>
        </w:rPr>
        <w:t>Le Coran. Nouvelle traduction</w:t>
      </w:r>
      <w:r w:rsidRPr="007C6A42">
        <w:rPr>
          <w:rFonts w:asciiTheme="majorBidi" w:eastAsia="SimSun" w:hAnsiTheme="majorBidi" w:cstheme="majorBidi"/>
          <w:lang w:eastAsia="zh-CN"/>
        </w:rPr>
        <w:t xml:space="preserve"> (Enluminures de Jean Gradassi, Lyon, Éditions du Fleuve, imprimerie Audin).</w:t>
      </w:r>
      <w:r w:rsidRPr="007C6A42">
        <w:rPr>
          <w:rFonts w:asciiTheme="majorBidi" w:eastAsia="Times New Roman" w:hAnsiTheme="majorBidi" w:cstheme="majorBidi"/>
        </w:rPr>
        <w:t xml:space="preserve"> Ameur Ghédira fut le premier musulman à traduire le Coran en français en 1957 (avant Hamidullah en 1959).</w:t>
      </w:r>
    </w:p>
    <w:p w14:paraId="1F916C30"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Pour situer sa traduction dans l’histoire des traductions du Coran, Ghédira indique que les premières traductions étaient hostiles et que les traductions suivantes étaient sinon aussi hostiles, du moins aussi fautives. Puis il critique la traduction « fantaisiste » de Savary. Ensuite, il précise que vers les années 1930 paraissent d’assez bonnes traductions françaises, auxquelles, pour la première fois, collaborent des musulmans. Il souligne enfin que son prédécesseur Blachère donne une traduction objective et savante.</w:t>
      </w:r>
      <w:r w:rsidRPr="007C6A42">
        <w:rPr>
          <w:rStyle w:val="Appelnotedebasdep"/>
          <w:rFonts w:asciiTheme="majorBidi" w:eastAsia="Calibri" w:hAnsiTheme="majorBidi" w:cstheme="majorBidi"/>
        </w:rPr>
        <w:footnoteReference w:id="412"/>
      </w:r>
      <w:r w:rsidRPr="007C6A42">
        <w:rPr>
          <w:rFonts w:asciiTheme="majorBidi" w:eastAsia="Times New Roman" w:hAnsiTheme="majorBidi" w:cstheme="majorBidi"/>
        </w:rPr>
        <w:t xml:space="preserve"> Nous pouvons déduire qu’il voulait réaliser une traduction intégrale faite par un musulman.</w:t>
      </w:r>
    </w:p>
    <w:p w14:paraId="28F0239D" w14:textId="77777777" w:rsidR="00A70B78" w:rsidRPr="007C6A42" w:rsidRDefault="00A70B78" w:rsidP="00A70B78">
      <w:pPr>
        <w:spacing w:line="360" w:lineRule="auto"/>
        <w:ind w:firstLine="708"/>
        <w:jc w:val="both"/>
        <w:rPr>
          <w:rFonts w:asciiTheme="majorBidi" w:eastAsia="Times New Roman" w:hAnsiTheme="majorBidi" w:cstheme="majorBidi"/>
          <w:color w:val="C00000"/>
        </w:rPr>
      </w:pPr>
      <w:r w:rsidRPr="007C6A42">
        <w:rPr>
          <w:rFonts w:asciiTheme="majorBidi" w:eastAsia="Calibri" w:hAnsiTheme="majorBidi" w:cstheme="majorBidi"/>
        </w:rPr>
        <w:t>Ghédira a privilégié l’arabe, la langue de départ, réputée sacrée, en essayant d’en dévoiler le fond et la forme.</w:t>
      </w:r>
      <w:r w:rsidRPr="007C6A42">
        <w:rPr>
          <w:rFonts w:asciiTheme="majorBidi" w:eastAsia="Times New Roman" w:hAnsiTheme="majorBidi" w:cstheme="majorBidi"/>
        </w:rPr>
        <w:t xml:space="preserve"> Il part de l’idée que « le Coran est pratiquement intraduisible » et que « ceci est dû à son caractère surnaturel et au génie même des langues sémitiques ». Il reconnaît donc un caractère polysémique absolu (l’intraduisibilité) du Coran et un caractère « polyvalent » du mot arabe, comme il le souligne dans son introduction. Pour Ghédira, le fait que le Coran est « révélé en une langue sémitique » veut dire qu’il est « éternellement vivant, riche en possibilités », « riche de sens »</w:t>
      </w:r>
      <w:r w:rsidRPr="007C6A42">
        <w:rPr>
          <w:rStyle w:val="Appelnotedebasdep"/>
          <w:rFonts w:asciiTheme="majorBidi" w:eastAsia="Calibri" w:hAnsiTheme="majorBidi" w:cstheme="majorBidi"/>
          <w:color w:val="C00000"/>
        </w:rPr>
        <w:footnoteReference w:id="413"/>
      </w:r>
      <w:r w:rsidRPr="007C6A42">
        <w:rPr>
          <w:rFonts w:asciiTheme="majorBidi" w:eastAsia="Times New Roman" w:hAnsiTheme="majorBidi" w:cstheme="majorBidi"/>
        </w:rPr>
        <w:t xml:space="preserve">, et par la suite il est polysémique par excellence. Par conséquent, « le traduire, c’est le figer, le limiter » car « on ne peut traduire qu’une interprétation ». Ghédira souligne que sa traduction essaie de donner une interprétation « qui s’appuie essentiellement sur l’intelligence du texte arabe et sur </w:t>
      </w:r>
      <w:r w:rsidRPr="007C6A42">
        <w:rPr>
          <w:rFonts w:asciiTheme="majorBidi" w:eastAsia="Times New Roman" w:hAnsiTheme="majorBidi" w:cstheme="majorBidi"/>
          <w:i/>
          <w:iCs/>
        </w:rPr>
        <w:t>l’exégèse la plus orthodoxe </w:t>
      </w:r>
      <w:r w:rsidRPr="007C6A42">
        <w:rPr>
          <w:rFonts w:asciiTheme="majorBidi" w:eastAsia="Times New Roman" w:hAnsiTheme="majorBidi" w:cstheme="majorBidi"/>
        </w:rPr>
        <w:t xml:space="preserve">». Dans ce sens, toute traduction devient limitative et appauvrissante et montre une seule face du texte de départ. Ghédira exalte </w:t>
      </w:r>
      <w:r w:rsidRPr="007C6A42">
        <w:rPr>
          <w:rFonts w:asciiTheme="majorBidi" w:eastAsia="Times New Roman" w:hAnsiTheme="majorBidi" w:cstheme="majorBidi"/>
        </w:rPr>
        <w:lastRenderedPageBreak/>
        <w:t>l’incomparabilité du Coran en prétendant que « les auteurs arabes (Juifs, Chrétiens, Musulmans ou athées) le considèrent comme un livre inégalable, inimitable, incomparable ». Il recommande d’interpréter le Coran dans un sens évolutionniste et progressiste.</w:t>
      </w:r>
    </w:p>
    <w:p w14:paraId="1F92FE07" w14:textId="77777777" w:rsidR="00A70B78" w:rsidRPr="007C6A42" w:rsidRDefault="00A70B78" w:rsidP="00A70B78">
      <w:pPr>
        <w:spacing w:line="360" w:lineRule="auto"/>
        <w:jc w:val="both"/>
        <w:rPr>
          <w:rFonts w:asciiTheme="majorBidi" w:eastAsia="Times New Roman" w:hAnsiTheme="majorBidi" w:cstheme="majorBidi"/>
        </w:rPr>
      </w:pPr>
    </w:p>
    <w:p w14:paraId="65280AAA"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rPr>
        <w:t>En 1959, a paru la traduction d’un musulman indien vivant alors en France, le professeur Muhammad Hamidullah (1908-2002) (CNRS &amp; université d’Istanbul)</w:t>
      </w:r>
      <w:r w:rsidRPr="007C6A42">
        <w:rPr>
          <w:rStyle w:val="Appelnotedebasdep"/>
          <w:rFonts w:asciiTheme="majorBidi" w:eastAsia="Times New Roman" w:hAnsiTheme="majorBidi" w:cstheme="majorBidi"/>
        </w:rPr>
        <w:footnoteReference w:id="414"/>
      </w:r>
      <w:r w:rsidRPr="007C6A42">
        <w:rPr>
          <w:rFonts w:asciiTheme="majorBidi" w:eastAsia="Times New Roman" w:hAnsiTheme="majorBidi" w:cstheme="majorBidi"/>
        </w:rPr>
        <w:t>, un érudit, théologien et chercheur musulman, diplômé en Droit musulman international, docteur en philosophie et docteur en lettres</w:t>
      </w:r>
      <w:r w:rsidRPr="007C6A42">
        <w:rPr>
          <w:rStyle w:val="Appelnotedebasdep"/>
          <w:rFonts w:asciiTheme="majorBidi" w:eastAsia="Times New Roman" w:hAnsiTheme="majorBidi" w:cstheme="majorBidi"/>
        </w:rPr>
        <w:footnoteReference w:id="415"/>
      </w:r>
      <w:r w:rsidRPr="007C6A42">
        <w:rPr>
          <w:rFonts w:asciiTheme="majorBidi" w:eastAsia="Times New Roman" w:hAnsiTheme="majorBidi" w:cstheme="majorBidi"/>
        </w:rPr>
        <w:t>. Il a réalisé sa traduction pendant son exil en France (en 1948) où il a contribué à la création du premier Centre culturel islamique en 1952 et s’est consacré à l’encadrement de jeunes intellectuels musulmans. Il a travaillé au CNRS de 1954 à 1978 pour y devenir maître de conférences. En 1963, il a fondé en France l’« Association des étudiants islamiques de France ».</w:t>
      </w:r>
    </w:p>
    <w:p w14:paraId="4C2DF778"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p>
    <w:p w14:paraId="1A7B9D06"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rPr>
        <w:t>Il s’agit d’une traduction qui voulait garder les points positifs de celle de Blachère tout en essayant d’en corriger les défauts. Cependant, la traduction de Hamidullah rééditée douze fois, entre 1959 et 1986 est plus littérale que celle de son prédécesseur. Son édition bilingue de sa traduction du Coran en 1977 est précédée d’une longue introduction d’environ 40 pages présentant le Coran (terminologie et idées problématiques comme la femme, l’esclavage, l’abrogation, les lectures, etc.), une liste de toutes les traductions du Coran en langues vivantes ainsi que la vie de Mahomet. L’intérêt de cette traduction est qu’elle est l’œuvre d’un musulman croyant qui voulait transmettre sa foi en utilisant des calques de l’arabe sans avoir essayé de parer sa traduction. Le fait d’accompagner sa traduction d’une introduction des idées clés conduit Hamidullah dès le début à réduire la polysémie et de figer la traduction dans une compréhension très orthodoxe sunnite.</w:t>
      </w:r>
    </w:p>
    <w:p w14:paraId="1343AE46"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p>
    <w:p w14:paraId="268164A9"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hAnsiTheme="majorBidi" w:cstheme="majorBidi"/>
        </w:rPr>
        <w:t xml:space="preserve">Le </w:t>
      </w:r>
      <w:r w:rsidRPr="007C6A42">
        <w:rPr>
          <w:rFonts w:asciiTheme="majorBidi" w:hAnsiTheme="majorBidi" w:cstheme="majorBidi"/>
          <w:i/>
        </w:rPr>
        <w:t>skopos</w:t>
      </w:r>
      <w:r w:rsidRPr="007C6A42">
        <w:rPr>
          <w:rFonts w:asciiTheme="majorBidi" w:hAnsiTheme="majorBidi" w:cstheme="majorBidi"/>
        </w:rPr>
        <w:t xml:space="preserve"> ou l’objectif essentiel de la traduction de Hamidullah est le musulman qui n’a pas accès au texte arabe.</w:t>
      </w:r>
      <w:r w:rsidRPr="007C6A42">
        <w:rPr>
          <w:rFonts w:asciiTheme="majorBidi" w:eastAsia="Times New Roman" w:hAnsiTheme="majorBidi" w:cstheme="majorBidi"/>
        </w:rPr>
        <w:t xml:space="preserve"> C’est la raison pour laquelle le traducteur s’intéresse à l’aspect cultuel du </w:t>
      </w:r>
      <w:r w:rsidRPr="007C6A42">
        <w:rPr>
          <w:rFonts w:asciiTheme="majorBidi" w:eastAsia="Times New Roman" w:hAnsiTheme="majorBidi" w:cstheme="majorBidi"/>
        </w:rPr>
        <w:lastRenderedPageBreak/>
        <w:t xml:space="preserve">Coran. En effet, </w:t>
      </w:r>
      <w:r w:rsidRPr="007C6A42">
        <w:rPr>
          <w:rFonts w:asciiTheme="majorBidi" w:hAnsiTheme="majorBidi" w:cstheme="majorBidi"/>
        </w:rPr>
        <w:t>Hamidullah ne s’est pas contenté d’indiquer les versets où le croyant doit se</w:t>
      </w:r>
      <w:r w:rsidRPr="007C6A42">
        <w:rPr>
          <w:rFonts w:asciiTheme="majorBidi" w:hAnsiTheme="majorBidi" w:cstheme="majorBidi"/>
          <w:color w:val="C00000"/>
        </w:rPr>
        <w:t xml:space="preserve"> </w:t>
      </w:r>
      <w:r w:rsidRPr="007C6A42">
        <w:rPr>
          <w:rFonts w:asciiTheme="majorBidi" w:hAnsiTheme="majorBidi" w:cstheme="majorBidi"/>
        </w:rPr>
        <w:t xml:space="preserve">prosterner, mais il a indiqué également les écoles juridiques selon lesquelles il faut le faire et donne une présentation succincte de ces écoles, c’est comme si les deux traductions du Complexe et de Hamidullah s’adressent principalement à des musulmans qui veulent approfondir leur connaissance du dogme. </w:t>
      </w:r>
    </w:p>
    <w:p w14:paraId="4CFF67D5"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7D3F384F"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Le journaliste (fondateur et directeur de l’hebdomadaire </w:t>
      </w:r>
      <w:r w:rsidRPr="007C6A42">
        <w:rPr>
          <w:rFonts w:asciiTheme="majorBidi" w:eastAsia="Times New Roman" w:hAnsiTheme="majorBidi" w:cstheme="majorBidi"/>
          <w:i/>
          <w:iCs/>
        </w:rPr>
        <w:t>Al-Usbūʿ</w:t>
      </w:r>
      <w:r w:rsidRPr="007C6A42">
        <w:rPr>
          <w:rFonts w:asciiTheme="majorBidi" w:eastAsia="Times New Roman" w:hAnsiTheme="majorBidi" w:cstheme="majorBidi"/>
        </w:rPr>
        <w:t xml:space="preserve"> à Tunis), l’ancien directeur adjoint de l’Institut musulman et de la mosquée de Paris, l’écrivain, l’éditeur, le dramaturge et le traducteur tunisien Hadj Noureddine Ben Mahmoud (1914-1990), lui aussi, a contribué à la traduction du Coran.</w:t>
      </w:r>
      <w:r w:rsidRPr="007C6A42">
        <w:rPr>
          <w:rStyle w:val="Appelnotedebasdep"/>
          <w:rFonts w:asciiTheme="majorBidi" w:eastAsia="Times New Roman" w:hAnsiTheme="majorBidi" w:cstheme="majorBidi"/>
        </w:rPr>
        <w:footnoteReference w:id="416"/>
      </w:r>
    </w:p>
    <w:p w14:paraId="7D60180C" w14:textId="77777777" w:rsidR="00A70B78" w:rsidRPr="007C6A42" w:rsidRDefault="00A70B78" w:rsidP="00A70B78">
      <w:pPr>
        <w:spacing w:line="360" w:lineRule="auto"/>
        <w:ind w:firstLine="708"/>
        <w:jc w:val="both"/>
        <w:rPr>
          <w:rFonts w:asciiTheme="majorBidi" w:eastAsia="Times New Roman" w:hAnsiTheme="majorBidi" w:cstheme="majorBidi"/>
          <w:rtl/>
        </w:rPr>
      </w:pPr>
      <w:r w:rsidRPr="007C6A42">
        <w:rPr>
          <w:rFonts w:asciiTheme="majorBidi" w:eastAsia="Times New Roman" w:hAnsiTheme="majorBidi" w:cstheme="majorBidi"/>
        </w:rPr>
        <w:t xml:space="preserve">En 1956, Ben Mahmoud a émigré en France où il a réalisé sa traduction du Coran qui a été publié à Paris en 1962 (Imprimerie de Carthage, 528 p.) en français seulement, avant d’être rééditée </w:t>
      </w:r>
      <w:r w:rsidRPr="007C6A42">
        <w:rPr>
          <w:rFonts w:asciiTheme="majorBidi" w:eastAsia="Calibri" w:hAnsiTheme="majorBidi" w:cstheme="majorBidi"/>
          <w:lang w:bidi="ar-AE"/>
        </w:rPr>
        <w:t>accompagnée du texte arabe à gauche</w:t>
      </w:r>
      <w:r w:rsidRPr="007C6A42">
        <w:rPr>
          <w:rFonts w:asciiTheme="majorBidi" w:eastAsia="Times New Roman" w:hAnsiTheme="majorBidi" w:cstheme="majorBidi"/>
        </w:rPr>
        <w:t xml:space="preserve"> en 1970, 1976, 1981, 1984, 1998 et enfin par Dar El Fikr à Beyrouth</w:t>
      </w:r>
      <w:r w:rsidRPr="007C6A42">
        <w:rPr>
          <w:rFonts w:asciiTheme="majorBidi" w:eastAsia="Calibri" w:hAnsiTheme="majorBidi" w:cstheme="majorBidi"/>
          <w:lang w:bidi="ar-AE"/>
        </w:rPr>
        <w:t xml:space="preserve"> </w:t>
      </w:r>
      <w:r w:rsidRPr="007C6A42">
        <w:rPr>
          <w:rFonts w:asciiTheme="majorBidi" w:eastAsia="Times New Roman" w:hAnsiTheme="majorBidi" w:cstheme="majorBidi"/>
        </w:rPr>
        <w:t>en 2001</w:t>
      </w:r>
      <w:r w:rsidRPr="007C6A42">
        <w:rPr>
          <w:rFonts w:asciiTheme="majorBidi" w:eastAsia="Calibri" w:hAnsiTheme="majorBidi" w:cstheme="majorBidi"/>
          <w:lang w:bidi="ar-AE"/>
        </w:rPr>
        <w:t>.</w:t>
      </w:r>
      <w:r w:rsidRPr="007C6A42">
        <w:rPr>
          <w:rFonts w:asciiTheme="majorBidi" w:eastAsia="Times New Roman" w:hAnsiTheme="majorBidi" w:cstheme="majorBidi"/>
        </w:rPr>
        <w:t xml:space="preserve"> Il s’agit d’une traduction explicative qui laisse la priorité au texte original en langue arabe tandis que la traduction française l’accompagne page pour page de droite à gauche. Ben Mahmoud prend des libertés avec la traduction du texte coranique. Ce qui peut modifier énormément la polysémie du texte. Sa traduction est une explication plus ou moins libre. Il se permet d’ajouter ou de supprimer sans trop s’attacher à la lettre. Par exemple, il traduit </w:t>
      </w:r>
      <w:r w:rsidRPr="007C6A42">
        <w:rPr>
          <w:rFonts w:asciiTheme="majorBidi" w:eastAsia="Times New Roman" w:hAnsiTheme="majorBidi" w:cstheme="majorBidi"/>
          <w:i/>
          <w:iCs/>
        </w:rPr>
        <w:t>ar-raḥīm</w:t>
      </w:r>
      <w:r w:rsidRPr="007C6A42">
        <w:rPr>
          <w:rFonts w:asciiTheme="majorBidi" w:eastAsia="Times New Roman" w:hAnsiTheme="majorBidi" w:cstheme="majorBidi"/>
        </w:rPr>
        <w:t xml:space="preserve"> [le Miséricordieux] par : « qui manifeste sa clémence ». Il ajoute l’adjectif « dernière » pour traduire le mot </w:t>
      </w:r>
      <w:r w:rsidRPr="007C6A42">
        <w:rPr>
          <w:rFonts w:asciiTheme="majorBidi" w:eastAsia="Times New Roman" w:hAnsiTheme="majorBidi" w:cstheme="majorBidi"/>
          <w:i/>
          <w:iCs/>
        </w:rPr>
        <w:t>as-sāʿa</w:t>
      </w:r>
      <w:r w:rsidRPr="007C6A42">
        <w:rPr>
          <w:rFonts w:asciiTheme="majorBidi" w:eastAsia="Times New Roman" w:hAnsiTheme="majorBidi" w:cstheme="majorBidi"/>
        </w:rPr>
        <w:t xml:space="preserve"> [l’heure] (XXII, 1). </w:t>
      </w:r>
      <w:r w:rsidRPr="007C6A42">
        <w:rPr>
          <w:rFonts w:asciiTheme="majorBidi" w:eastAsia="Times New Roman" w:hAnsiTheme="majorBidi" w:cstheme="majorBidi"/>
          <w:lang w:bidi="ar-KW"/>
        </w:rPr>
        <w:t>La phrase « </w:t>
      </w:r>
      <w:r w:rsidRPr="007C6A42">
        <w:rPr>
          <w:rFonts w:asciiTheme="majorBidi" w:eastAsia="Times New Roman" w:hAnsiTheme="majorBidi" w:cstheme="majorBidi"/>
          <w:rtl/>
          <w:lang w:bidi="ar-KW"/>
        </w:rPr>
        <w:t>وتَرى الناسَ سُكارى</w:t>
      </w:r>
      <w:r w:rsidRPr="007C6A42">
        <w:rPr>
          <w:rFonts w:asciiTheme="majorBidi" w:eastAsia="Times New Roman" w:hAnsiTheme="majorBidi" w:cstheme="majorBidi"/>
          <w:lang w:bidi="ar-KW"/>
        </w:rPr>
        <w:t> » [« </w:t>
      </w:r>
      <w:r w:rsidRPr="007C6A42">
        <w:rPr>
          <w:rFonts w:asciiTheme="majorBidi" w:eastAsia="Calibri" w:hAnsiTheme="majorBidi" w:cstheme="majorBidi"/>
          <w:lang w:bidi="ar-AE"/>
        </w:rPr>
        <w:t>Tu verras les gens ivres</w:t>
      </w:r>
      <w:r w:rsidRPr="007C6A42">
        <w:rPr>
          <w:rFonts w:asciiTheme="majorBidi" w:eastAsia="Times New Roman" w:hAnsiTheme="majorBidi" w:cstheme="majorBidi"/>
          <w:lang w:bidi="ar-KW"/>
        </w:rPr>
        <w:t xml:space="preserve"> »] (XXII, 2) est traduite par : « les hommes donnerons l’impression d’être ivres. ». </w:t>
      </w:r>
      <w:r w:rsidRPr="007C6A42">
        <w:rPr>
          <w:rFonts w:asciiTheme="majorBidi" w:eastAsia="Times New Roman" w:hAnsiTheme="majorBidi" w:cstheme="majorBidi"/>
        </w:rPr>
        <w:t xml:space="preserve">Il néglige la traduction du syntagme verbale </w:t>
      </w:r>
      <w:r w:rsidRPr="007C6A42">
        <w:rPr>
          <w:rFonts w:asciiTheme="majorBidi" w:eastAsia="Times New Roman" w:hAnsiTheme="majorBidi" w:cstheme="majorBidi"/>
          <w:i/>
        </w:rPr>
        <w:t>wa</w:t>
      </w:r>
      <w:r w:rsidRPr="007C6A42">
        <w:rPr>
          <w:rFonts w:asciiTheme="majorBidi" w:eastAsia="Times New Roman" w:hAnsiTheme="majorBidi" w:cstheme="majorBidi"/>
        </w:rPr>
        <w:t>-</w:t>
      </w:r>
      <w:r w:rsidRPr="007C6A42">
        <w:rPr>
          <w:rFonts w:asciiTheme="majorBidi" w:eastAsia="Times New Roman" w:hAnsiTheme="majorBidi" w:cstheme="majorBidi"/>
          <w:i/>
          <w:iCs/>
        </w:rPr>
        <w:t>tarā</w:t>
      </w:r>
      <w:r w:rsidRPr="007C6A42">
        <w:rPr>
          <w:rFonts w:asciiTheme="majorBidi" w:eastAsia="Times New Roman" w:hAnsiTheme="majorBidi" w:cstheme="majorBidi"/>
        </w:rPr>
        <w:t xml:space="preserve"> [et tu vois]. Il traduit « </w:t>
      </w:r>
      <w:r w:rsidRPr="007C6A42">
        <w:rPr>
          <w:rFonts w:asciiTheme="majorBidi" w:eastAsia="Times New Roman" w:hAnsiTheme="majorBidi" w:cstheme="majorBidi"/>
          <w:rtl/>
        </w:rPr>
        <w:t>لكي لا يعلمَ مِن بعدِ عِلمٍ شيئاً</w:t>
      </w:r>
      <w:r w:rsidRPr="007C6A42">
        <w:rPr>
          <w:rFonts w:asciiTheme="majorBidi" w:eastAsia="Times New Roman" w:hAnsiTheme="majorBidi" w:cstheme="majorBidi"/>
        </w:rPr>
        <w:t> » [</w:t>
      </w:r>
      <w:r w:rsidRPr="007C6A42">
        <w:rPr>
          <w:rFonts w:asciiTheme="majorBidi" w:eastAsia="Calibri" w:hAnsiTheme="majorBidi" w:cstheme="majorBidi"/>
          <w:lang w:bidi="ar-AE"/>
        </w:rPr>
        <w:t>au point de ne rien connaître après avoir connu]</w:t>
      </w:r>
      <w:r w:rsidRPr="007C6A42">
        <w:rPr>
          <w:rFonts w:asciiTheme="majorBidi" w:eastAsia="Times New Roman" w:hAnsiTheme="majorBidi" w:cstheme="majorBidi"/>
        </w:rPr>
        <w:t xml:space="preserve"> par : « qu’ils perdent toutes leurs facultés » (XXII, 5). </w:t>
      </w:r>
      <w:r w:rsidRPr="007C6A42">
        <w:rPr>
          <w:rFonts w:asciiTheme="majorBidi" w:eastAsia="Times New Roman" w:hAnsiTheme="majorBidi" w:cstheme="majorBidi"/>
          <w:lang w:bidi="ar-KW"/>
        </w:rPr>
        <w:t>La séquence « </w:t>
      </w:r>
      <w:r w:rsidRPr="007C6A42">
        <w:rPr>
          <w:rFonts w:asciiTheme="majorBidi" w:eastAsia="Times New Roman" w:hAnsiTheme="majorBidi" w:cstheme="majorBidi"/>
          <w:rtl/>
          <w:lang w:bidi="ar-KW"/>
        </w:rPr>
        <w:t>مَن كان يظنُّ أن لن ينصرَه اللهُ</w:t>
      </w:r>
      <w:r w:rsidRPr="007C6A42">
        <w:rPr>
          <w:rFonts w:asciiTheme="majorBidi" w:hAnsiTheme="majorBidi" w:cstheme="majorBidi"/>
          <w:i/>
          <w:iCs/>
        </w:rPr>
        <w:t> </w:t>
      </w:r>
      <w:r w:rsidRPr="007C6A42">
        <w:rPr>
          <w:rFonts w:asciiTheme="majorBidi" w:hAnsiTheme="majorBidi" w:cstheme="majorBidi"/>
        </w:rPr>
        <w:t>» [Celui qui pense que Dieu ne le secourra pas] devient : « Que celui qui désespère de Dieu »,</w:t>
      </w:r>
      <w:r w:rsidRPr="007C6A42">
        <w:rPr>
          <w:rFonts w:asciiTheme="majorBidi" w:eastAsia="Times New Roman" w:hAnsiTheme="majorBidi" w:cstheme="majorBidi"/>
          <w:lang w:bidi="ar-KW"/>
        </w:rPr>
        <w:t xml:space="preserve"> et la phrase « </w:t>
      </w:r>
      <w:r w:rsidRPr="007C6A42">
        <w:rPr>
          <w:rFonts w:asciiTheme="majorBidi" w:eastAsia="Times New Roman" w:hAnsiTheme="majorBidi" w:cstheme="majorBidi"/>
          <w:rtl/>
          <w:lang w:bidi="ar-KW"/>
        </w:rPr>
        <w:t>ليجعلَ ما يُلقي الشيطانُ فتنةً للذين في قلوبهم مرضٌ والقاسيةِ قلوبُهم</w:t>
      </w:r>
      <w:r w:rsidRPr="007C6A42">
        <w:rPr>
          <w:rFonts w:asciiTheme="majorBidi" w:eastAsia="Times New Roman" w:hAnsiTheme="majorBidi" w:cstheme="majorBidi"/>
          <w:lang w:bidi="ar-KW"/>
        </w:rPr>
        <w:t> » [</w:t>
      </w:r>
      <w:r w:rsidRPr="007C6A42">
        <w:rPr>
          <w:rFonts w:asciiTheme="majorBidi" w:eastAsia="Calibri" w:hAnsiTheme="majorBidi" w:cstheme="majorBidi"/>
          <w:lang w:bidi="ar-AE"/>
        </w:rPr>
        <w:t>afin de réduire ce qu’aura introduit Satan à une tentation pour ceux au cœur malade, ceux au cœur de pierre</w:t>
      </w:r>
      <w:r w:rsidRPr="007C6A42">
        <w:rPr>
          <w:rFonts w:asciiTheme="majorBidi" w:eastAsia="Times New Roman" w:hAnsiTheme="majorBidi" w:cstheme="majorBidi"/>
          <w:lang w:bidi="ar-KW"/>
        </w:rPr>
        <w:t>] (XXII, 53) est rendue par : « Si Dieu tolère les manœuvres de Satan,</w:t>
      </w:r>
      <w:r w:rsidRPr="007C6A42">
        <w:rPr>
          <w:rFonts w:asciiTheme="majorBidi" w:eastAsia="Times New Roman" w:hAnsiTheme="majorBidi" w:cstheme="majorBidi"/>
          <w:b/>
          <w:bCs/>
          <w:lang w:bidi="ar-KW"/>
        </w:rPr>
        <w:t xml:space="preserve"> </w:t>
      </w:r>
      <w:r w:rsidRPr="007C6A42">
        <w:rPr>
          <w:rFonts w:asciiTheme="majorBidi" w:eastAsia="Times New Roman" w:hAnsiTheme="majorBidi" w:cstheme="majorBidi"/>
          <w:lang w:bidi="ar-KW"/>
        </w:rPr>
        <w:t>c’est pour éprouver les cœurs incertains ou endurcis ».</w:t>
      </w:r>
    </w:p>
    <w:p w14:paraId="6A876D2F" w14:textId="77777777" w:rsidR="00A70B78" w:rsidRPr="007C6A42" w:rsidRDefault="00A70B78" w:rsidP="00A70B78">
      <w:pPr>
        <w:spacing w:line="360" w:lineRule="auto"/>
        <w:ind w:firstLine="708"/>
        <w:jc w:val="both"/>
        <w:rPr>
          <w:rFonts w:asciiTheme="majorBidi" w:eastAsia="Times New Roman" w:hAnsiTheme="majorBidi" w:cstheme="majorBidi"/>
          <w:lang w:bidi="ar-KW"/>
        </w:rPr>
      </w:pPr>
    </w:p>
    <w:p w14:paraId="68748268"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L’érudite et l’islamologue française Denise Masson (1901-1994), connue pour son amour pour le Maroc et pour les musulmans et ayant vécu à Marrakech depuis 1938 jusqu’à sa mort, la raison pour laquelle elle est surnommée </w:t>
      </w:r>
      <w:r w:rsidRPr="007C6A42">
        <w:rPr>
          <w:rFonts w:asciiTheme="majorBidi" w:eastAsia="Times New Roman" w:hAnsiTheme="majorBidi" w:cstheme="majorBidi"/>
          <w:i/>
          <w:iCs/>
        </w:rPr>
        <w:t>la Dame de Marrakech</w:t>
      </w:r>
      <w:r w:rsidRPr="007C6A42">
        <w:rPr>
          <w:rStyle w:val="Appelnotedebasdep"/>
          <w:rFonts w:asciiTheme="majorBidi" w:eastAsia="Times New Roman" w:hAnsiTheme="majorBidi" w:cstheme="majorBidi"/>
          <w:i/>
          <w:iCs/>
        </w:rPr>
        <w:footnoteReference w:id="417"/>
      </w:r>
      <w:r w:rsidRPr="007C6A42">
        <w:rPr>
          <w:rFonts w:asciiTheme="majorBidi" w:eastAsia="Times New Roman" w:hAnsiTheme="majorBidi" w:cstheme="majorBidi"/>
        </w:rPr>
        <w:t>, a publié en 1967 sa traduction. Dans le but de ne pas orienter la polysémie du texte arabe vers une autre direction et de minimiser la perte sémantique, elle a accompagné sa traduction par une sorte d’avant-propos qu’elle appelle « NOTE CLÉ »</w:t>
      </w:r>
      <w:r w:rsidRPr="007C6A42">
        <w:rPr>
          <w:rStyle w:val="Appelnotedebasdep"/>
          <w:rFonts w:asciiTheme="majorBidi" w:eastAsia="Times New Roman" w:hAnsiTheme="majorBidi" w:cstheme="majorBidi"/>
        </w:rPr>
        <w:footnoteReference w:id="418"/>
      </w:r>
      <w:r w:rsidRPr="007C6A42">
        <w:rPr>
          <w:rFonts w:asciiTheme="majorBidi" w:eastAsia="Times New Roman" w:hAnsiTheme="majorBidi" w:cstheme="majorBidi"/>
        </w:rPr>
        <w:t xml:space="preserve"> qui présente certaines nuances de vocabulaire. Nous citons comme exemple le mot « juste ». Masson souligne que ce mot, employé dans le langage courant pour se référer habituellement à la justice humaine et sociale, perd de sa force et s’éloigne de son sens primitif ou de son acception religieuse musulmane ; ce mot « juste » qualifie dans le Coran le croyant qui observe la Loi musulmane. Le plus souvent, elle ne traduit pas les particules affirmatives (comme </w:t>
      </w:r>
      <w:r w:rsidRPr="007C6A42">
        <w:rPr>
          <w:rFonts w:asciiTheme="majorBidi" w:eastAsia="Times New Roman" w:hAnsiTheme="majorBidi" w:cstheme="majorBidi"/>
          <w:i/>
          <w:iCs/>
        </w:rPr>
        <w:t>inna</w:t>
      </w:r>
      <w:r w:rsidRPr="007C6A42">
        <w:rPr>
          <w:rFonts w:asciiTheme="majorBidi" w:eastAsia="Times New Roman" w:hAnsiTheme="majorBidi" w:cstheme="majorBidi"/>
        </w:rPr>
        <w:t xml:space="preserve"> [certes]) utilisées fréquemment dans le Coran pour des raisons souvent stylistiques. Et quand parfois elle en tient compte, c’est dans la mesure où la phrase française le demande. Parfois elle utilise un seul mot français pour traduire plusieurs synonymes arabes, ce qui peut perdre des nuances ; elle a adopté par exemple le verbe « créer » pour rendre les verbes arabes : </w:t>
      </w:r>
      <w:r w:rsidRPr="007C6A42">
        <w:rPr>
          <w:rFonts w:asciiTheme="majorBidi" w:eastAsia="Times New Roman" w:hAnsiTheme="majorBidi" w:cstheme="majorBidi"/>
          <w:i/>
          <w:iCs/>
        </w:rPr>
        <w:t>khalaqa</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baraʾa</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anshaʾa</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badaʾa</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faṭara</w:t>
      </w:r>
      <w:r w:rsidRPr="007C6A42">
        <w:rPr>
          <w:rFonts w:asciiTheme="majorBidi" w:eastAsia="Times New Roman" w:hAnsiTheme="majorBidi" w:cstheme="majorBidi"/>
        </w:rPr>
        <w:t xml:space="preserve">. Un autre exemple, « [l]e français : Parole servira, le plus souvent, à rendre trois mots arabes qui marquent cependant des nuances distinctes : </w:t>
      </w:r>
      <w:r w:rsidRPr="007C6A42">
        <w:rPr>
          <w:rFonts w:asciiTheme="majorBidi" w:eastAsia="Times New Roman" w:hAnsiTheme="majorBidi" w:cstheme="majorBidi"/>
          <w:i/>
          <w:iCs/>
        </w:rPr>
        <w:t>qawl</w:t>
      </w:r>
      <w:r w:rsidRPr="007C6A42">
        <w:rPr>
          <w:rFonts w:asciiTheme="majorBidi" w:eastAsia="Times New Roman" w:hAnsiTheme="majorBidi" w:cstheme="majorBidi"/>
        </w:rPr>
        <w:t xml:space="preserve"> […], </w:t>
      </w:r>
      <w:r w:rsidRPr="007C6A42">
        <w:rPr>
          <w:rFonts w:asciiTheme="majorBidi" w:eastAsia="Times New Roman" w:hAnsiTheme="majorBidi" w:cstheme="majorBidi"/>
          <w:i/>
          <w:iCs/>
        </w:rPr>
        <w:t>kalām</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kalima</w:t>
      </w:r>
      <w:r w:rsidRPr="007C6A42">
        <w:rPr>
          <w:rFonts w:asciiTheme="majorBidi" w:eastAsia="Times New Roman" w:hAnsiTheme="majorBidi" w:cstheme="majorBidi"/>
        </w:rPr>
        <w:t> »</w:t>
      </w:r>
      <w:r w:rsidRPr="007C6A42">
        <w:rPr>
          <w:rStyle w:val="Appelnotedebasdep"/>
          <w:rFonts w:asciiTheme="majorBidi" w:eastAsia="Times New Roman" w:hAnsiTheme="majorBidi" w:cstheme="majorBidi"/>
        </w:rPr>
        <w:footnoteReference w:id="419"/>
      </w:r>
      <w:r w:rsidRPr="007C6A42">
        <w:rPr>
          <w:rFonts w:asciiTheme="majorBidi" w:eastAsia="Times New Roman" w:hAnsiTheme="majorBidi" w:cstheme="majorBidi"/>
        </w:rPr>
        <w:t>, souligne-elle dans sa note clé.</w:t>
      </w:r>
    </w:p>
    <w:p w14:paraId="58BBC3EB" w14:textId="77777777" w:rsidR="00A70B78" w:rsidRPr="007C6A42" w:rsidRDefault="00A70B78" w:rsidP="00A70B78">
      <w:pPr>
        <w:spacing w:line="360" w:lineRule="auto"/>
        <w:ind w:firstLine="360"/>
        <w:jc w:val="both"/>
        <w:rPr>
          <w:rFonts w:asciiTheme="majorBidi" w:eastAsia="Times New Roman" w:hAnsiTheme="majorBidi" w:cstheme="majorBidi"/>
        </w:rPr>
      </w:pPr>
    </w:p>
    <w:p w14:paraId="3657FD0B"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Masson a rendu des termes musulmans par leurs équivalents français (ex. : « aumône » pour </w:t>
      </w:r>
      <w:r w:rsidRPr="007C6A42">
        <w:rPr>
          <w:rFonts w:asciiTheme="majorBidi" w:eastAsia="Times New Roman" w:hAnsiTheme="majorBidi" w:cstheme="majorBidi"/>
          <w:i/>
          <w:iCs/>
        </w:rPr>
        <w:t>zakāt</w:t>
      </w:r>
      <w:r w:rsidRPr="007C6A42">
        <w:rPr>
          <w:rFonts w:asciiTheme="majorBidi" w:eastAsia="Times New Roman" w:hAnsiTheme="majorBidi" w:cstheme="majorBidi"/>
        </w:rPr>
        <w:t xml:space="preserve"> et « Dieu » pour </w:t>
      </w:r>
      <w:r w:rsidRPr="007C6A42">
        <w:rPr>
          <w:rFonts w:asciiTheme="majorBidi" w:eastAsia="Times New Roman" w:hAnsiTheme="majorBidi" w:cstheme="majorBidi"/>
          <w:i/>
          <w:iCs/>
        </w:rPr>
        <w:t>Allāh</w:t>
      </w:r>
      <w:r w:rsidRPr="007C6A42">
        <w:rPr>
          <w:rFonts w:asciiTheme="majorBidi" w:eastAsia="Times New Roman" w:hAnsiTheme="majorBidi" w:cstheme="majorBidi"/>
        </w:rPr>
        <w:t>), dans l’intention de affirmer que l’islam est une continuité des autres révélations monothéistes précédentes, conformément à l’esprit du Coran lui-même qui se présente comme une confirmation et un achèvement de la Torah et de l’Évangile, comme une religion abrahamique (XXII, 78 : « </w:t>
      </w:r>
      <w:r w:rsidRPr="007C6A42">
        <w:rPr>
          <w:rFonts w:asciiTheme="majorBidi" w:eastAsia="Times New Roman" w:hAnsiTheme="majorBidi" w:cstheme="majorBidi"/>
          <w:i/>
          <w:iCs/>
        </w:rPr>
        <w:t>huwa</w:t>
      </w:r>
      <w:r w:rsidRPr="007C6A42">
        <w:rPr>
          <w:rFonts w:asciiTheme="majorBidi" w:eastAsia="Times New Roman" w:hAnsiTheme="majorBidi" w:cstheme="majorBidi"/>
        </w:rPr>
        <w:t xml:space="preserve"> [Ibrāhīm] </w:t>
      </w:r>
      <w:r w:rsidRPr="007C6A42">
        <w:rPr>
          <w:rFonts w:asciiTheme="majorBidi" w:eastAsia="Times New Roman" w:hAnsiTheme="majorBidi" w:cstheme="majorBidi"/>
          <w:i/>
          <w:iCs/>
        </w:rPr>
        <w:t>sammā-kum al-muslimīna min qablu</w:t>
      </w:r>
      <w:r w:rsidRPr="007C6A42">
        <w:rPr>
          <w:rFonts w:asciiTheme="majorBidi" w:eastAsia="Times New Roman" w:hAnsiTheme="majorBidi" w:cstheme="majorBidi"/>
        </w:rPr>
        <w:t xml:space="preserve"> » </w:t>
      </w:r>
      <w:r w:rsidRPr="007C6A42">
        <w:rPr>
          <w:rFonts w:asciiTheme="majorBidi" w:eastAsia="Calibri" w:hAnsiTheme="majorBidi" w:cstheme="majorBidi"/>
        </w:rPr>
        <w:t>[« C’est lui [Abraham] qui vous a donné le nom de musulmans autrefois déjà »</w:t>
      </w:r>
      <w:r w:rsidRPr="007C6A42">
        <w:rPr>
          <w:rFonts w:asciiTheme="majorBidi" w:eastAsia="Times New Roman" w:hAnsiTheme="majorBidi" w:cstheme="majorBidi"/>
        </w:rPr>
        <w:t>]).</w:t>
      </w:r>
    </w:p>
    <w:p w14:paraId="68934D56"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760ABAE0"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La traduction de Masson est suivie en 1972 par celle Jean Grosjean (1912-2006), un poète français, écrivain, traducteur et commentateur de textes bibliques, qui a effectué son service militaire au Liban puis, en 1936-1937, il a voyagé au Proche-Orient (Syrie, Palestine, Égypte et Irak). Il a été ordonné prêtre en 1939, puis il a quitté la prêtrise en 1950. Avant la traduction du Coran, Grosjean a traduit depuis l’hébreu </w:t>
      </w:r>
      <w:r w:rsidRPr="007C6A42">
        <w:rPr>
          <w:rFonts w:asciiTheme="majorBidi" w:eastAsia="Times New Roman" w:hAnsiTheme="majorBidi" w:cstheme="majorBidi"/>
          <w:i/>
          <w:iCs/>
        </w:rPr>
        <w:t>Les Prophètes</w:t>
      </w:r>
      <w:r w:rsidRPr="007C6A42">
        <w:rPr>
          <w:rFonts w:asciiTheme="majorBidi" w:eastAsia="Times New Roman" w:hAnsiTheme="majorBidi" w:cstheme="majorBidi"/>
        </w:rPr>
        <w:t xml:space="preserve"> [textes prophétiques de la Bible] en 1955 (éditions Gallimard) en essayant </w:t>
      </w:r>
      <w:r w:rsidRPr="007C6A42">
        <w:rPr>
          <w:rFonts w:asciiTheme="majorBidi" w:eastAsia="Times New Roman" w:hAnsiTheme="majorBidi" w:cstheme="majorBidi"/>
          <w:shd w:val="clear" w:color="auto" w:fill="FFFFFF"/>
        </w:rPr>
        <w:t xml:space="preserve">de rendre en poésie française la poésie hébraïque. Il a également traduit </w:t>
      </w:r>
      <w:r w:rsidRPr="007C6A42">
        <w:rPr>
          <w:rFonts w:asciiTheme="majorBidi" w:eastAsia="Times New Roman" w:hAnsiTheme="majorBidi" w:cstheme="majorBidi"/>
        </w:rPr>
        <w:t>le Nouveau Testament en 1971.</w:t>
      </w:r>
    </w:p>
    <w:p w14:paraId="14B00D07"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40F07D84"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Dans sa traduction du Coran, Jean Grosjean a insisté sur le respect de la forme du texte et dont la traduction « a été généralement louée à la fois pour sa fidélité au contenu du Livre révélé et son souffle en français »</w:t>
      </w:r>
      <w:r w:rsidRPr="007C6A42">
        <w:rPr>
          <w:rFonts w:asciiTheme="majorBidi" w:eastAsia="Times New Roman" w:hAnsiTheme="majorBidi" w:cstheme="majorBidi"/>
          <w:vertAlign w:val="superscript"/>
          <w:lang w:bidi="ar-AE"/>
        </w:rPr>
        <w:footnoteReference w:id="420"/>
      </w:r>
      <w:r w:rsidRPr="007C6A42">
        <w:rPr>
          <w:rFonts w:asciiTheme="majorBidi" w:eastAsia="Times New Roman" w:hAnsiTheme="majorBidi" w:cstheme="majorBidi"/>
        </w:rPr>
        <w:t xml:space="preserve">. Il a traduit le passé par le présent quand il s’agit de Dieu et par le futur quand il s’agit de la vie dernière. Il tient compte des particules affirmatives très fréquentes dans le Coran (comme </w:t>
      </w:r>
      <w:r w:rsidRPr="007C6A42">
        <w:rPr>
          <w:rFonts w:asciiTheme="majorBidi" w:eastAsia="Times New Roman" w:hAnsiTheme="majorBidi" w:cstheme="majorBidi"/>
          <w:i/>
          <w:iCs/>
        </w:rPr>
        <w:t>inna</w:t>
      </w:r>
      <w:r w:rsidRPr="007C6A42">
        <w:rPr>
          <w:rFonts w:asciiTheme="majorBidi" w:eastAsia="Times New Roman" w:hAnsiTheme="majorBidi" w:cstheme="majorBidi"/>
        </w:rPr>
        <w:t xml:space="preserve">) dans la mesure où </w:t>
      </w:r>
      <w:r w:rsidRPr="007C6A42">
        <w:rPr>
          <w:rFonts w:asciiTheme="majorBidi" w:eastAsia="Times New Roman" w:hAnsiTheme="majorBidi" w:cstheme="majorBidi"/>
          <w:i/>
          <w:iCs/>
        </w:rPr>
        <w:t xml:space="preserve">le sens </w:t>
      </w:r>
      <w:r w:rsidRPr="007C6A42">
        <w:rPr>
          <w:rFonts w:asciiTheme="majorBidi" w:eastAsia="Times New Roman" w:hAnsiTheme="majorBidi" w:cstheme="majorBidi"/>
        </w:rPr>
        <w:t xml:space="preserve">de la phrase le demande et il les supprime le plus souvent quand il s’agit des noms de Dieu. Cependant, il arrive que le Coran utilise le passé </w:t>
      </w:r>
      <w:r w:rsidRPr="007C6A42">
        <w:rPr>
          <w:rFonts w:asciiTheme="majorBidi" w:eastAsia="Times New Roman" w:hAnsiTheme="majorBidi" w:cstheme="majorBidi"/>
          <w:i/>
          <w:iCs/>
        </w:rPr>
        <w:t>kāna</w:t>
      </w:r>
      <w:r w:rsidRPr="007C6A42">
        <w:rPr>
          <w:rFonts w:asciiTheme="majorBidi" w:eastAsia="Times New Roman" w:hAnsiTheme="majorBidi" w:cstheme="majorBidi"/>
        </w:rPr>
        <w:t xml:space="preserve"> (avec Dieu) et les particules affirmatives pour servir non le sens mais </w:t>
      </w:r>
      <w:r w:rsidRPr="007C6A42">
        <w:rPr>
          <w:rFonts w:asciiTheme="majorBidi" w:eastAsia="Times New Roman" w:hAnsiTheme="majorBidi" w:cstheme="majorBidi"/>
          <w:i/>
          <w:iCs/>
        </w:rPr>
        <w:t>le rythme</w:t>
      </w:r>
      <w:r w:rsidRPr="007C6A42">
        <w:rPr>
          <w:rFonts w:asciiTheme="majorBidi" w:eastAsia="Times New Roman" w:hAnsiTheme="majorBidi" w:cstheme="majorBidi"/>
        </w:rPr>
        <w:t xml:space="preserve"> (l’assonance) de la phrase. Autrement dit, là où le Coran utilise un terme pour des raisons purement stylistiques et musicales, le traducteur l’utilise pour des raisons sémantiques. Grosjean insiste à ne pas utiliser des transcriptions. Grosjean a établi une liste des traductions des termes musulmans et justifie son choix. Nous remarquons qu’il traduit parfois deux mots arabes par un seul mot français : ainsi lorsqu’il traduit </w:t>
      </w:r>
      <w:r w:rsidRPr="007C6A42">
        <w:rPr>
          <w:rFonts w:asciiTheme="majorBidi" w:eastAsia="Times New Roman" w:hAnsiTheme="majorBidi" w:cstheme="majorBidi"/>
          <w:i/>
          <w:iCs/>
        </w:rPr>
        <w:t>ḥakīm</w:t>
      </w:r>
      <w:r w:rsidRPr="007C6A42">
        <w:rPr>
          <w:rFonts w:asciiTheme="majorBidi" w:eastAsia="Times New Roman" w:hAnsiTheme="majorBidi" w:cstheme="majorBidi"/>
        </w:rPr>
        <w:t xml:space="preserve"> [sage] et </w:t>
      </w:r>
      <w:r w:rsidRPr="007C6A42">
        <w:rPr>
          <w:rFonts w:asciiTheme="majorBidi" w:eastAsia="Times New Roman" w:hAnsiTheme="majorBidi" w:cstheme="majorBidi"/>
          <w:i/>
          <w:iCs/>
        </w:rPr>
        <w:t>ṣāliḥ</w:t>
      </w:r>
      <w:r w:rsidRPr="007C6A42">
        <w:rPr>
          <w:rFonts w:asciiTheme="majorBidi" w:eastAsia="Times New Roman" w:hAnsiTheme="majorBidi" w:cstheme="majorBidi"/>
        </w:rPr>
        <w:t xml:space="preserve"> [bon] par « juste ». Mais quand il s’agit de Dieu il traduit </w:t>
      </w:r>
      <w:r w:rsidRPr="007C6A42">
        <w:rPr>
          <w:rFonts w:asciiTheme="majorBidi" w:eastAsia="Times New Roman" w:hAnsiTheme="majorBidi" w:cstheme="majorBidi"/>
          <w:i/>
          <w:iCs/>
        </w:rPr>
        <w:t>ḥakīm</w:t>
      </w:r>
      <w:r w:rsidRPr="007C6A42">
        <w:rPr>
          <w:rFonts w:asciiTheme="majorBidi" w:eastAsia="Times New Roman" w:hAnsiTheme="majorBidi" w:cstheme="majorBidi"/>
        </w:rPr>
        <w:t xml:space="preserve"> par « sage ». Dans son introduction (p. CIX, édition 1979), il indique avoir préféré traduire </w:t>
      </w:r>
      <w:r w:rsidRPr="007C6A42">
        <w:rPr>
          <w:rFonts w:asciiTheme="majorBidi" w:eastAsia="Times New Roman" w:hAnsiTheme="majorBidi" w:cstheme="majorBidi"/>
          <w:i/>
          <w:iCs/>
        </w:rPr>
        <w:t>islām</w:t>
      </w:r>
      <w:r w:rsidRPr="007C6A42">
        <w:rPr>
          <w:rFonts w:asciiTheme="majorBidi" w:eastAsia="Times New Roman" w:hAnsiTheme="majorBidi" w:cstheme="majorBidi"/>
        </w:rPr>
        <w:t xml:space="preserve"> par « soumission à Dieu » et </w:t>
      </w:r>
      <w:r w:rsidRPr="007C6A42">
        <w:rPr>
          <w:rFonts w:asciiTheme="majorBidi" w:eastAsia="Times New Roman" w:hAnsiTheme="majorBidi" w:cstheme="majorBidi"/>
          <w:i/>
          <w:iCs/>
        </w:rPr>
        <w:t>muslim</w:t>
      </w:r>
      <w:r w:rsidRPr="007C6A42">
        <w:rPr>
          <w:rFonts w:asciiTheme="majorBidi" w:eastAsia="Times New Roman" w:hAnsiTheme="majorBidi" w:cstheme="majorBidi"/>
        </w:rPr>
        <w:t xml:space="preserve"> par « celui qui se soumet à Dieu » car selon lui l’acception de ce terme est évidemment postérieure au Coran. Par contre, il traduit le mot </w:t>
      </w:r>
      <w:r w:rsidRPr="007C6A42">
        <w:rPr>
          <w:rFonts w:asciiTheme="majorBidi" w:eastAsia="Times New Roman" w:hAnsiTheme="majorBidi" w:cstheme="majorBidi"/>
          <w:i/>
          <w:iCs/>
        </w:rPr>
        <w:t>al-muslimūna</w:t>
      </w:r>
      <w:r w:rsidRPr="007C6A42">
        <w:rPr>
          <w:rFonts w:asciiTheme="majorBidi" w:eastAsia="Times New Roman" w:hAnsiTheme="majorBidi" w:cstheme="majorBidi"/>
        </w:rPr>
        <w:t xml:space="preserve"> (v. XXII, 78, p. 172) par « musulmans ».</w:t>
      </w:r>
    </w:p>
    <w:p w14:paraId="650BFEBA"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1838143E"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Religieux sunnite d’origine algérienne, ancien recteur de la Grande Mosquée de Paris (de 1957 à 1982)</w:t>
      </w:r>
      <w:r w:rsidRPr="007C6A42">
        <w:rPr>
          <w:rStyle w:val="Appelnotedebasdep"/>
          <w:rFonts w:asciiTheme="majorBidi" w:eastAsia="Times New Roman" w:hAnsiTheme="majorBidi" w:cstheme="majorBidi"/>
        </w:rPr>
        <w:footnoteReference w:id="421"/>
      </w:r>
      <w:r w:rsidRPr="007C6A42">
        <w:rPr>
          <w:rFonts w:asciiTheme="majorBidi" w:eastAsia="Times New Roman" w:hAnsiTheme="majorBidi" w:cstheme="majorBidi"/>
        </w:rPr>
        <w:t xml:space="preserve">, ancien vice-président de la Commission des Affaires étrangères de l’Assemblée </w:t>
      </w:r>
      <w:r w:rsidRPr="007C6A42">
        <w:rPr>
          <w:rFonts w:asciiTheme="majorBidi" w:eastAsia="Times New Roman" w:hAnsiTheme="majorBidi" w:cstheme="majorBidi"/>
        </w:rPr>
        <w:lastRenderedPageBreak/>
        <w:t>nationale française, Cheikh Si Hamza Boubakeur (1912-1995), considéré comme descendant du calife Abū Bakr aṣ-Ṣiddīq</w:t>
      </w:r>
      <w:r w:rsidRPr="007C6A42">
        <w:rPr>
          <w:rStyle w:val="Appelnotedebasdep"/>
          <w:rFonts w:asciiTheme="majorBidi" w:eastAsia="Times New Roman" w:hAnsiTheme="majorBidi" w:cstheme="majorBidi"/>
        </w:rPr>
        <w:footnoteReference w:id="422"/>
      </w:r>
      <w:r w:rsidRPr="007C6A42">
        <w:rPr>
          <w:rFonts w:asciiTheme="majorBidi" w:eastAsia="Times New Roman" w:hAnsiTheme="majorBidi" w:cstheme="majorBidi"/>
        </w:rPr>
        <w:t xml:space="preserve">, est l’auteur d’une traduction en français du Coran intitulé : </w:t>
      </w:r>
      <w:r w:rsidRPr="007C6A42">
        <w:rPr>
          <w:rFonts w:asciiTheme="majorBidi" w:eastAsia="Times New Roman" w:hAnsiTheme="majorBidi" w:cstheme="majorBidi"/>
          <w:i/>
          <w:iCs/>
        </w:rPr>
        <w:t>Le Coran : traduction française et commentaire d’après la tradition, les différentes écoles de lecture, d’exégèse, de jurisprudence, et de théologie, les interprétations mystiques, les tendances schismatiques et les doctrines hérétiques de l’Islâm, et à la lumière des théories scientifiques, philosophiques et politiques modernes</w:t>
      </w:r>
      <w:r w:rsidRPr="007C6A42">
        <w:rPr>
          <w:rFonts w:asciiTheme="majorBidi" w:eastAsia="Times New Roman" w:hAnsiTheme="majorBidi" w:cstheme="majorBidi"/>
        </w:rPr>
        <w:t xml:space="preserve"> (Fayard/Denoël, 1972 ; rééditée en 1979, 1985, Maisonneuve &amp; Larose, 1995</w:t>
      </w:r>
      <w:r w:rsidRPr="007C6A42">
        <w:rPr>
          <w:rFonts w:asciiTheme="majorBidi" w:eastAsia="Times New Roman" w:hAnsiTheme="majorBidi" w:cstheme="majorBidi"/>
          <w:b/>
          <w:bCs/>
        </w:rPr>
        <w:t>)</w:t>
      </w:r>
      <w:r w:rsidRPr="007C6A42">
        <w:rPr>
          <w:rFonts w:asciiTheme="majorBidi" w:eastAsia="Times New Roman" w:hAnsiTheme="majorBidi" w:cstheme="majorBidi"/>
        </w:rPr>
        <w:t>.</w:t>
      </w:r>
    </w:p>
    <w:p w14:paraId="3A6D4CDD"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Cette traduction composée de deux grands volumes avec de très longs commentaires issus de l’exégèse coranique de différentes écoles est une traduction apologétique</w:t>
      </w:r>
      <w:r w:rsidRPr="007C6A42">
        <w:rPr>
          <w:rStyle w:val="Appelnotedebasdep"/>
          <w:rFonts w:asciiTheme="majorBidi" w:eastAsia="Times New Roman" w:hAnsiTheme="majorBidi" w:cstheme="majorBidi"/>
        </w:rPr>
        <w:footnoteReference w:id="423"/>
      </w:r>
      <w:r w:rsidRPr="007C6A42">
        <w:rPr>
          <w:rFonts w:asciiTheme="majorBidi" w:eastAsia="Times New Roman" w:hAnsiTheme="majorBidi" w:cstheme="majorBidi"/>
        </w:rPr>
        <w:t xml:space="preserve"> faite à la demande de Jean Chevalier (1906-1993), pour compléter la collection du « Trésor spirituel de l’humanité » publié sous sa direction</w:t>
      </w:r>
      <w:r w:rsidRPr="007C6A42">
        <w:rPr>
          <w:rStyle w:val="Appelnotedebasdep"/>
          <w:rFonts w:asciiTheme="majorBidi" w:eastAsia="Times New Roman" w:hAnsiTheme="majorBidi" w:cstheme="majorBidi"/>
        </w:rPr>
        <w:footnoteReference w:id="424"/>
      </w:r>
      <w:r w:rsidRPr="007C6A42">
        <w:rPr>
          <w:rFonts w:asciiTheme="majorBidi" w:eastAsia="Times New Roman" w:hAnsiTheme="majorBidi" w:cstheme="majorBidi"/>
        </w:rPr>
        <w:t>, et adressée au public (musulman et non musulman) dans l’objectif de faire connaître « l’Islâm véritable » ou « la vérité islamique à ceux qui l’ignorent », « à la grande majorité du public européen et américain », « de donner de l’Islâm […] une idée exacte et de dégager, en toute objectivité, la valeur spirituelle du message qu’il apporte au monde »</w:t>
      </w:r>
      <w:r w:rsidRPr="007C6A42">
        <w:rPr>
          <w:rStyle w:val="Appelnotedebasdep"/>
          <w:rFonts w:asciiTheme="majorBidi" w:eastAsia="Times New Roman" w:hAnsiTheme="majorBidi" w:cstheme="majorBidi"/>
        </w:rPr>
        <w:footnoteReference w:id="425"/>
      </w:r>
      <w:r w:rsidRPr="007C6A42">
        <w:rPr>
          <w:rFonts w:asciiTheme="majorBidi" w:eastAsia="Times New Roman" w:hAnsiTheme="majorBidi" w:cstheme="majorBidi"/>
        </w:rPr>
        <w:t>. À travers sa traduction, Boubakeur voulait montrer que l’islam est un message de paix qui complète les deux religions abrahamiques précédentes et qui « recommande la science, honore les savants et combat l’ignorance »</w:t>
      </w:r>
      <w:r w:rsidRPr="007C6A42">
        <w:rPr>
          <w:rStyle w:val="Appelnotedebasdep"/>
          <w:rFonts w:asciiTheme="majorBidi" w:eastAsia="Times New Roman" w:hAnsiTheme="majorBidi" w:cstheme="majorBidi"/>
        </w:rPr>
        <w:footnoteReference w:id="426"/>
      </w:r>
      <w:r w:rsidRPr="007C6A42">
        <w:rPr>
          <w:rFonts w:asciiTheme="majorBidi" w:eastAsia="Times New Roman" w:hAnsiTheme="majorBidi" w:cstheme="majorBidi"/>
        </w:rPr>
        <w:t>.</w:t>
      </w:r>
    </w:p>
    <w:p w14:paraId="0E2A98EC"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13395906"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Pour réaliser sa traduction, Boubakeur s’est référé aux exégèses d’aṭ-Ṭabarī, d’ar-Rāzī, d’al-Khāzin et d’al-Jalālayn, aux biographies du Prophète écrites par Ibn Hishām et al-Wāqidī, ainsi qu’aux ouvrages de hadiths de Muslim, d’al-Bukhārī et d’Ibn Ḥanbal.</w:t>
      </w:r>
      <w:r w:rsidRPr="007C6A42">
        <w:rPr>
          <w:rStyle w:val="Appelnotedebasdep"/>
          <w:rFonts w:asciiTheme="majorBidi" w:eastAsia="Times New Roman" w:hAnsiTheme="majorBidi" w:cstheme="majorBidi"/>
        </w:rPr>
        <w:footnoteReference w:id="427"/>
      </w:r>
      <w:r w:rsidRPr="007C6A42">
        <w:rPr>
          <w:rFonts w:asciiTheme="majorBidi" w:eastAsia="Times New Roman" w:hAnsiTheme="majorBidi" w:cstheme="majorBidi"/>
        </w:rPr>
        <w:t xml:space="preserve"> L’apport des exégètes se voit bien dans les ajouts entre crochets (dans le corps de la traduction) ainsi que dans les NDT qui exposent succinctement les différences interprétations et parfois les désaccords </w:t>
      </w:r>
      <w:r w:rsidRPr="007C6A42">
        <w:rPr>
          <w:rFonts w:asciiTheme="majorBidi" w:eastAsia="Times New Roman" w:hAnsiTheme="majorBidi" w:cstheme="majorBidi"/>
        </w:rPr>
        <w:lastRenderedPageBreak/>
        <w:t xml:space="preserve">entre les théologiens, et où le traducteur donne son avis. Boubakeur précise sur quel terme l’exégèse hésite et à quel moment elle ne peut pas dissiper les ambiguïtés et les incertitudes. En outre, il donne son avis à propos des choix de traduction de ses prédécesseurs. En guise d’exemple, il dit que c’est à tort que le terme </w:t>
      </w:r>
      <w:r w:rsidRPr="007C6A42">
        <w:rPr>
          <w:rFonts w:asciiTheme="majorBidi" w:eastAsia="Times New Roman" w:hAnsiTheme="majorBidi" w:cstheme="majorBidi"/>
          <w:i/>
          <w:iCs/>
        </w:rPr>
        <w:t>ʿaqīm</w:t>
      </w:r>
      <w:r w:rsidRPr="007C6A42">
        <w:rPr>
          <w:rFonts w:asciiTheme="majorBidi" w:eastAsia="Times New Roman" w:hAnsiTheme="majorBidi" w:cstheme="majorBidi"/>
        </w:rPr>
        <w:t xml:space="preserve"> (v. 55) est traduit par : « stérile » (Hamidullah [1959]), « exterminateur » (Kazimirski, [1840]) et « dévastateur » (Blachère [1949] et Masson [(1967)]). La traduction de Boubakeur présente également l’ordre chronologique et le lieu de révélation des sourates.</w:t>
      </w:r>
    </w:p>
    <w:p w14:paraId="1A18F30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Mais en confrontant la traduction de Boubakeur avec les traductions précédentes, nous voyons qu’elle est très influencée par celles de Kazimirski (1832) et de Blachère (1949), et un peu moins par celles de Savary </w:t>
      </w:r>
      <w:r w:rsidRPr="007C6A42">
        <w:rPr>
          <w:rFonts w:asciiTheme="majorBidi" w:eastAsia="Calibri" w:hAnsiTheme="majorBidi" w:cstheme="majorBidi"/>
          <w:lang w:bidi="ar-AE"/>
        </w:rPr>
        <w:t xml:space="preserve">(1782) </w:t>
      </w:r>
      <w:r w:rsidRPr="007C6A42">
        <w:rPr>
          <w:rFonts w:asciiTheme="majorBidi" w:eastAsia="Times New Roman" w:hAnsiTheme="majorBidi" w:cstheme="majorBidi"/>
        </w:rPr>
        <w:t xml:space="preserve">et de Ghédira (1957). À son tour, elle a influencé les traductions de Berque (1990), </w:t>
      </w:r>
      <w:r w:rsidRPr="007C6A42">
        <w:rPr>
          <w:rFonts w:asciiTheme="majorBidi" w:eastAsia="Calibri" w:hAnsiTheme="majorBidi" w:cstheme="majorBidi"/>
          <w:lang w:bidi="ar-AE"/>
        </w:rPr>
        <w:t xml:space="preserve">de </w:t>
      </w:r>
      <w:r w:rsidRPr="007C6A42">
        <w:rPr>
          <w:rFonts w:asciiTheme="majorBidi" w:eastAsia="Times New Roman" w:hAnsiTheme="majorBidi" w:cstheme="majorBidi"/>
        </w:rPr>
        <w:t>Chiadmi (1999), du Complexe de Médine (2001) et de Hafiane (2010). Nous pourrions dire que sa traduction est en quelque sorte une amélioration des traductions précédentes en y ajoutant des commentaires de l’exégèse. C’est la raison pour laquelle nous n’avons pas inclus cette traduction dans notre corpus ; en effet, elle n’offre pas suffisamment de choix différents de ceux opérés dans les traductions précédentes et ultérieures.</w:t>
      </w:r>
    </w:p>
    <w:p w14:paraId="4A2F2D34"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0EE5F47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La traduction de Jacques Berque (1910-1995) paraît en 1990. Sociologue, anthropologue, orientaliste et traducteur français, Jacques Berque a été titulaire de la chaire d’histoire sociale de l’Islam contemporain au Collège de France de 1956 à 1981 et membre de l’Académie de langue arabe du Caire depuis 1989. Il est l’auteur de nombreuses traductions, appréciées notamment</w:t>
      </w:r>
      <w:r w:rsidRPr="007C6A42">
        <w:rPr>
          <w:rFonts w:asciiTheme="majorBidi" w:eastAsia="Times New Roman" w:hAnsiTheme="majorBidi" w:cstheme="majorBidi"/>
          <w:color w:val="C00000"/>
        </w:rPr>
        <w:t xml:space="preserve"> </w:t>
      </w:r>
      <w:r w:rsidRPr="007C6A42">
        <w:rPr>
          <w:rFonts w:asciiTheme="majorBidi" w:eastAsia="Times New Roman" w:hAnsiTheme="majorBidi" w:cstheme="majorBidi"/>
        </w:rPr>
        <w:t xml:space="preserve">pour la qualité de leur style et de nombreux ouvrages et essais, notamment </w:t>
      </w:r>
      <w:r w:rsidRPr="007C6A42">
        <w:rPr>
          <w:rFonts w:asciiTheme="majorBidi" w:eastAsia="Times New Roman" w:hAnsiTheme="majorBidi" w:cstheme="majorBidi"/>
          <w:i/>
          <w:iCs/>
        </w:rPr>
        <w:t>Mémoires des deux rives</w:t>
      </w:r>
      <w:r w:rsidRPr="007C6A42">
        <w:rPr>
          <w:rFonts w:asciiTheme="majorBidi" w:eastAsia="Times New Roman" w:hAnsiTheme="majorBidi" w:cstheme="majorBidi"/>
        </w:rPr>
        <w:t>.</w:t>
      </w:r>
    </w:p>
    <w:p w14:paraId="26DF50A5"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6025894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La traduction de Berque associe la rigueur de Blachère à un style bien plus littéraire, tout en étant ouverte aux contributions de la tradition musulmane. Cette traduction essaie de concilier fidélité au texte, beauté du style, et prise en compte des apports de la tradition musulmane. Pourtant, la volonté d’être fidèle au texte coranique et/ou d’être plus littéraire a abouti à des traductions inconvenantes ou à proposer plus de néologismes. « Cette traduction comporte un certain nombre de trouvailles de style ou de mots, et elle rend compte plus d’une fois de “la vibration de l’original”, avec ses halètements, ses énigmes, ses entrelacs, ses ellipses et ses questionnements, ses images, etc. […]. Mais elle comporte aussi des flous, des choix douteux </w:t>
      </w:r>
      <w:r w:rsidRPr="007C6A42">
        <w:rPr>
          <w:rFonts w:asciiTheme="majorBidi" w:eastAsia="Times New Roman" w:hAnsiTheme="majorBidi" w:cstheme="majorBidi"/>
        </w:rPr>
        <w:lastRenderedPageBreak/>
        <w:t>quant à l’exactitude des mots ou au rendu des constructions syntaxiques pour un certain nombre de passages ou de termes »</w:t>
      </w:r>
      <w:r w:rsidRPr="007C6A42">
        <w:rPr>
          <w:rFonts w:asciiTheme="majorBidi" w:eastAsia="Times New Roman" w:hAnsiTheme="majorBidi" w:cstheme="majorBidi"/>
          <w:lang w:bidi="ar-AE"/>
        </w:rPr>
        <w:t xml:space="preserve">, souligne A.-L. </w:t>
      </w:r>
      <w:r w:rsidRPr="007C6A42">
        <w:rPr>
          <w:rFonts w:asciiTheme="majorBidi" w:hAnsiTheme="majorBidi" w:cstheme="majorBidi"/>
        </w:rPr>
        <w:t>de Prémare.</w:t>
      </w:r>
      <w:r w:rsidRPr="007C6A42">
        <w:rPr>
          <w:rFonts w:asciiTheme="majorBidi" w:eastAsia="Calibri" w:hAnsiTheme="majorBidi" w:cstheme="majorBidi"/>
          <w:vertAlign w:val="superscript"/>
          <w:lang w:bidi="ar-AE"/>
        </w:rPr>
        <w:footnoteReference w:id="428"/>
      </w:r>
      <w:r w:rsidRPr="007C6A42">
        <w:rPr>
          <w:rFonts w:asciiTheme="majorBidi" w:eastAsia="Times New Roman" w:hAnsiTheme="majorBidi" w:cstheme="majorBidi"/>
        </w:rPr>
        <w:t xml:space="preserve"> La traduction de Berque a suscité beaucoup de critiques de la part des musulmans, </w:t>
      </w:r>
      <w:r w:rsidRPr="007C6A42">
        <w:rPr>
          <w:rFonts w:asciiTheme="majorBidi" w:hAnsiTheme="majorBidi" w:cstheme="majorBidi"/>
        </w:rPr>
        <w:t>peut-être moins parce qu’il n’est pas musulman que du fait de sa notoriété dans le monde arabe et perçu comme un ami des Arabes, aussi sa traduction bénéficie-t-elle a priori de sa légitimité de grand intellectuel et orientaliste ami des Arabes</w:t>
      </w:r>
      <w:r w:rsidRPr="007C6A42">
        <w:rPr>
          <w:rFonts w:asciiTheme="majorBidi" w:eastAsia="Times New Roman" w:hAnsiTheme="majorBidi" w:cstheme="majorBidi"/>
        </w:rPr>
        <w:t>.</w:t>
      </w:r>
      <w:r w:rsidRPr="007C6A42">
        <w:rPr>
          <w:rFonts w:asciiTheme="majorBidi" w:hAnsiTheme="majorBidi" w:cstheme="majorBidi"/>
          <w:vertAlign w:val="superscript"/>
          <w:lang w:bidi="ar-AE"/>
        </w:rPr>
        <w:footnoteReference w:id="429"/>
      </w:r>
      <w:r w:rsidRPr="007C6A42">
        <w:rPr>
          <w:rFonts w:asciiTheme="majorBidi" w:eastAsia="Times New Roman" w:hAnsiTheme="majorBidi" w:cstheme="majorBidi"/>
        </w:rPr>
        <w:t xml:space="preserve"> Ainsi, toute erreur ou littéralisme va être interprété comme une déformation voulue du message coranique, bien que le musulman Hamidullah par exemple fasse plus de calques et d’erreurs sans que cela aboutisse au refus de sa traduction par les musulmans. L’identité du traducteur joue donc un rôle important dans l’acceptation de la traduction. Par exemple, l’éditeur de la traduction de Hamidullah met l’accent sur le fait que « l’intérêt majeur que cette traduction du Coran présente, c’est qu’elle est l’œuvre réfléchie et mûrie d’un musulman, d’un penseur et d’un croyant ». En outre, </w:t>
      </w:r>
      <w:r w:rsidRPr="007C6A42">
        <w:rPr>
          <w:rFonts w:asciiTheme="majorBidi" w:eastAsia="SimSun" w:hAnsiTheme="majorBidi" w:cstheme="majorBidi"/>
          <w:lang w:eastAsia="zh-CN"/>
        </w:rPr>
        <w:t>pour remédier au défaut d’être un orientaliste et de ne pas être musulman, Savary</w:t>
      </w:r>
      <w:r w:rsidRPr="007C6A42">
        <w:rPr>
          <w:rFonts w:asciiTheme="majorBidi" w:eastAsia="Times New Roman" w:hAnsiTheme="majorBidi" w:cstheme="majorBidi"/>
          <w:shd w:val="clear" w:color="auto" w:fill="FFFFFF"/>
        </w:rPr>
        <w:t xml:space="preserve"> souligne que sa traduction a été réalisée sous les yeux des Arabes</w:t>
      </w:r>
      <w:r w:rsidRPr="007C6A42">
        <w:rPr>
          <w:rFonts w:asciiTheme="majorBidi" w:eastAsia="Times New Roman" w:hAnsiTheme="majorBidi" w:cstheme="majorBidi"/>
        </w:rPr>
        <w:t xml:space="preserve"> en Égypte.</w:t>
      </w:r>
    </w:p>
    <w:p w14:paraId="1B0F6F1D"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3A265F9C"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rPr>
        <w:t>Berque s’intéresse à la simplification dans sa traduction. Il s’est référé aux exégèses sunnites en opérant un choix personnel sans négliger le sens étymologique du mot. Ainsi, il a négligé toutes les interprétations hétérodoxes, à l’instar de la plupart des traducteurs. Il indique avoir tiré profit de deux traductions : celle de son ami Régis Blachère (1900-1973) et celle de Si Hamza Boubakeur</w:t>
      </w:r>
      <w:r w:rsidRPr="007C6A42">
        <w:rPr>
          <w:rFonts w:asciiTheme="majorBidi" w:hAnsiTheme="majorBidi" w:cstheme="majorBidi"/>
        </w:rPr>
        <w:t xml:space="preserve"> </w:t>
      </w:r>
      <w:r w:rsidRPr="007C6A42">
        <w:rPr>
          <w:rFonts w:asciiTheme="majorBidi" w:eastAsia="Times New Roman" w:hAnsiTheme="majorBidi" w:cstheme="majorBidi"/>
        </w:rPr>
        <w:t>(1912-1995).</w:t>
      </w:r>
      <w:r w:rsidRPr="007C6A42">
        <w:rPr>
          <w:rStyle w:val="Appelnotedebasdep"/>
          <w:rFonts w:asciiTheme="majorBidi" w:eastAsia="Times New Roman" w:hAnsiTheme="majorBidi" w:cstheme="majorBidi"/>
        </w:rPr>
        <w:footnoteReference w:id="430"/>
      </w:r>
      <w:r w:rsidRPr="007C6A42">
        <w:rPr>
          <w:rFonts w:asciiTheme="majorBidi" w:eastAsia="Times New Roman" w:hAnsiTheme="majorBidi" w:cstheme="majorBidi"/>
        </w:rPr>
        <w:t xml:space="preserve"> Il a essayé de refléter à travers la typographie quelques aspects de la rhétorique du texte arabe, par exemple en mettant un tiret là où il y a une énallage (</w:t>
      </w:r>
      <w:r w:rsidRPr="007C6A42">
        <w:rPr>
          <w:rFonts w:asciiTheme="majorBidi" w:eastAsia="Times New Roman" w:hAnsiTheme="majorBidi" w:cstheme="majorBidi"/>
          <w:i/>
          <w:iCs/>
        </w:rPr>
        <w:t>iltifāt</w:t>
      </w:r>
      <w:r w:rsidRPr="007C6A42">
        <w:rPr>
          <w:rFonts w:asciiTheme="majorBidi" w:eastAsia="Times New Roman" w:hAnsiTheme="majorBidi" w:cstheme="majorBidi"/>
        </w:rPr>
        <w:t>) ou en renvoyant à la ligne là où il y a un changement de thème. Son objectif essentiel est d’« éclairer la traduction pour son lecteur »</w:t>
      </w:r>
      <w:r w:rsidRPr="007C6A42">
        <w:rPr>
          <w:rStyle w:val="Appelnotedebasdep"/>
          <w:rFonts w:asciiTheme="majorBidi" w:eastAsia="Times New Roman" w:hAnsiTheme="majorBidi" w:cstheme="majorBidi"/>
        </w:rPr>
        <w:footnoteReference w:id="431"/>
      </w:r>
      <w:r w:rsidRPr="007C6A42">
        <w:rPr>
          <w:rFonts w:asciiTheme="majorBidi" w:eastAsia="Times New Roman" w:hAnsiTheme="majorBidi" w:cstheme="majorBidi"/>
        </w:rPr>
        <w:t xml:space="preserve">, et pour reprendre la notion des tendances déformantes de Berman, nous pourrions dire : clarifier la traduction.  Pour lui, le lecteur est au centre de </w:t>
      </w:r>
      <w:r w:rsidRPr="007C6A42">
        <w:rPr>
          <w:rFonts w:asciiTheme="majorBidi" w:eastAsia="Times New Roman" w:hAnsiTheme="majorBidi" w:cstheme="majorBidi"/>
        </w:rPr>
        <w:lastRenderedPageBreak/>
        <w:t>l’opération traduisante, une position déconstructrice qui donne l’autorité au lecteur et non au texte.</w:t>
      </w:r>
    </w:p>
    <w:p w14:paraId="6D2EC6BA"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p>
    <w:p w14:paraId="368AAC5B"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En 1990 également, André Chouraqui (1917-2007) a proposé sa traduction </w:t>
      </w:r>
      <w:r w:rsidRPr="007C6A42">
        <w:rPr>
          <w:rFonts w:asciiTheme="majorBidi" w:eastAsia="Times New Roman" w:hAnsiTheme="majorBidi" w:cstheme="majorBidi"/>
          <w:i/>
          <w:iCs/>
        </w:rPr>
        <w:t>Le Coran. L’appel</w:t>
      </w:r>
      <w:r w:rsidRPr="007C6A42">
        <w:rPr>
          <w:rFonts w:asciiTheme="majorBidi" w:eastAsia="Times New Roman" w:hAnsiTheme="majorBidi" w:cstheme="majorBidi"/>
        </w:rPr>
        <w:t xml:space="preserve">, la traduction la plus controversée. Juriste, écrivain et homme politique israélien, né à Aïn Témouchent en Algérie où il passe son enfance, André Chouraqui était un penseur dont l’œuvre magistrale demeure la traduction des trois textes sacrés : l’Ancien et le Nouveau Testament et le Coran. </w:t>
      </w:r>
    </w:p>
    <w:p w14:paraId="0102F05C"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68CBAFF8"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Cette traduction repose sur la conviction que la parenté linguistique entre l’arabe et l’hébreu, ainsi qu’entre le Coran et la Bible, doit se manifester le plus possible dans la traduction.  Chouraqui a d’abord traduit le Coran en hébreu pour ensuite le retraduire en français, donnant à de nombreux verbes et mots arabes de racine sémitique le sens qu’ils ont pris en hébreu. Il a présenté des traductions dépaysantes de termes récurrents dans le Coran : la formule “</w:t>
      </w:r>
      <w:r w:rsidRPr="007C6A42">
        <w:rPr>
          <w:rFonts w:asciiTheme="majorBidi" w:eastAsia="Times New Roman" w:hAnsiTheme="majorBidi" w:cstheme="majorBidi"/>
          <w:i/>
          <w:iCs/>
        </w:rPr>
        <w:t>ar-raḥmān ar-raḥīm</w:t>
      </w:r>
      <w:r w:rsidRPr="007C6A42">
        <w:rPr>
          <w:rFonts w:asciiTheme="majorBidi" w:eastAsia="Times New Roman" w:hAnsiTheme="majorBidi" w:cstheme="majorBidi"/>
        </w:rPr>
        <w:t>” généralement traduits par “Tout Miséricordieux” et “Très Miséricordieux”, a ainsi été traduite par “</w:t>
      </w:r>
      <w:r w:rsidRPr="007C6A42">
        <w:rPr>
          <w:rFonts w:asciiTheme="majorBidi" w:eastAsia="Times New Roman" w:hAnsiTheme="majorBidi" w:cstheme="majorBidi"/>
          <w:i/>
          <w:iCs/>
        </w:rPr>
        <w:t>matriciant</w:t>
      </w:r>
      <w:r w:rsidRPr="007C6A42">
        <w:rPr>
          <w:rFonts w:asciiTheme="majorBidi" w:eastAsia="Times New Roman" w:hAnsiTheme="majorBidi" w:cstheme="majorBidi"/>
        </w:rPr>
        <w:t>” et “</w:t>
      </w:r>
      <w:r w:rsidRPr="007C6A42">
        <w:rPr>
          <w:rFonts w:asciiTheme="majorBidi" w:eastAsia="Times New Roman" w:hAnsiTheme="majorBidi" w:cstheme="majorBidi"/>
          <w:i/>
          <w:iCs/>
        </w:rPr>
        <w:t>matriciel</w:t>
      </w:r>
      <w:r w:rsidRPr="007C6A42">
        <w:rPr>
          <w:rFonts w:asciiTheme="majorBidi" w:eastAsia="Times New Roman" w:hAnsiTheme="majorBidi" w:cstheme="majorBidi"/>
        </w:rPr>
        <w:t xml:space="preserve">”. Il a de plus transcrit quelques mots tel le mot </w:t>
      </w:r>
      <w:r w:rsidRPr="007C6A42">
        <w:rPr>
          <w:rFonts w:asciiTheme="majorBidi" w:eastAsia="Times New Roman" w:hAnsiTheme="majorBidi" w:cstheme="majorBidi"/>
          <w:i/>
          <w:iCs/>
        </w:rPr>
        <w:t>rabb</w:t>
      </w:r>
      <w:r w:rsidRPr="007C6A42">
        <w:rPr>
          <w:rFonts w:asciiTheme="majorBidi" w:eastAsia="Times New Roman" w:hAnsiTheme="majorBidi" w:cstheme="majorBidi"/>
        </w:rPr>
        <w:t xml:space="preserve"> qui est généralement traduit par </w:t>
      </w:r>
      <w:r w:rsidRPr="007C6A42">
        <w:rPr>
          <w:rFonts w:asciiTheme="majorBidi" w:eastAsia="Times New Roman" w:hAnsiTheme="majorBidi" w:cstheme="majorBidi"/>
          <w:i/>
          <w:iCs/>
        </w:rPr>
        <w:t>seigneur</w:t>
      </w:r>
      <w:r w:rsidRPr="007C6A42">
        <w:rPr>
          <w:rFonts w:asciiTheme="majorBidi" w:eastAsia="Times New Roman" w:hAnsiTheme="majorBidi" w:cstheme="majorBidi"/>
        </w:rPr>
        <w:t xml:space="preserve"> ou </w:t>
      </w:r>
      <w:r w:rsidRPr="007C6A42">
        <w:rPr>
          <w:rFonts w:asciiTheme="majorBidi" w:eastAsia="Times New Roman" w:hAnsiTheme="majorBidi" w:cstheme="majorBidi"/>
          <w:i/>
          <w:iCs/>
        </w:rPr>
        <w:t>maître</w:t>
      </w:r>
      <w:r w:rsidRPr="007C6A42">
        <w:rPr>
          <w:rFonts w:asciiTheme="majorBidi" w:eastAsia="Times New Roman" w:hAnsiTheme="majorBidi" w:cstheme="majorBidi"/>
        </w:rPr>
        <w:t xml:space="preserve">. Il a traduit le segment </w:t>
      </w:r>
      <w:r w:rsidRPr="007C6A42">
        <w:rPr>
          <w:rFonts w:asciiTheme="majorBidi" w:eastAsia="Times New Roman" w:hAnsiTheme="majorBidi" w:cstheme="majorBidi"/>
          <w:i/>
          <w:iCs/>
        </w:rPr>
        <w:t>ahl al-kitāb</w:t>
      </w:r>
      <w:r w:rsidRPr="007C6A42">
        <w:rPr>
          <w:rFonts w:asciiTheme="majorBidi" w:eastAsia="Times New Roman" w:hAnsiTheme="majorBidi" w:cstheme="majorBidi"/>
        </w:rPr>
        <w:t xml:space="preserve"> (que tous les traducteurs traduisent par </w:t>
      </w:r>
      <w:r w:rsidRPr="007C6A42">
        <w:rPr>
          <w:rFonts w:asciiTheme="majorBidi" w:eastAsia="Times New Roman" w:hAnsiTheme="majorBidi" w:cstheme="majorBidi"/>
          <w:i/>
          <w:iCs/>
        </w:rPr>
        <w:t>gens du Livre</w:t>
      </w:r>
      <w:r w:rsidRPr="007C6A42">
        <w:rPr>
          <w:rFonts w:asciiTheme="majorBidi" w:eastAsia="Times New Roman" w:hAnsiTheme="majorBidi" w:cstheme="majorBidi"/>
        </w:rPr>
        <w:t xml:space="preserve"> ou </w:t>
      </w:r>
      <w:r w:rsidRPr="007C6A42">
        <w:rPr>
          <w:rFonts w:asciiTheme="majorBidi" w:eastAsia="Times New Roman" w:hAnsiTheme="majorBidi" w:cstheme="majorBidi"/>
          <w:i/>
          <w:iCs/>
        </w:rPr>
        <w:t>de l’Écriture</w:t>
      </w:r>
      <w:r w:rsidRPr="007C6A42">
        <w:rPr>
          <w:rFonts w:asciiTheme="majorBidi" w:eastAsia="Times New Roman" w:hAnsiTheme="majorBidi" w:cstheme="majorBidi"/>
        </w:rPr>
        <w:t xml:space="preserve">) d’une manière bizarre par </w:t>
      </w:r>
      <w:r w:rsidRPr="007C6A42">
        <w:rPr>
          <w:rFonts w:asciiTheme="majorBidi" w:eastAsia="Times New Roman" w:hAnsiTheme="majorBidi" w:cstheme="majorBidi"/>
          <w:i/>
          <w:iCs/>
        </w:rPr>
        <w:t>les tentes de l’Écrit</w:t>
      </w:r>
      <w:r w:rsidRPr="007C6A42">
        <w:rPr>
          <w:rFonts w:asciiTheme="majorBidi" w:eastAsia="Times New Roman" w:hAnsiTheme="majorBidi" w:cstheme="majorBidi"/>
        </w:rPr>
        <w:t>. Chouraqui a traduit le Coran arabe à la lumière de l’hébreu en raison de la parenté entre les deux langues sémitiques, mais il a négligé le fait que des mots qui ont la même forme, la même étymologie ou racine n’ont pas forcément la même signification. C’est le phénomène des faux amis</w:t>
      </w:r>
      <w:r w:rsidRPr="007C6A42">
        <w:rPr>
          <w:rFonts w:asciiTheme="majorBidi" w:eastAsia="Calibri" w:hAnsiTheme="majorBidi" w:cstheme="majorBidi"/>
        </w:rPr>
        <w:t xml:space="preserve"> </w:t>
      </w:r>
      <w:r w:rsidRPr="007C6A42">
        <w:rPr>
          <w:rFonts w:asciiTheme="majorBidi" w:eastAsia="Times New Roman" w:hAnsiTheme="majorBidi" w:cstheme="majorBidi"/>
        </w:rPr>
        <w:t>(</w:t>
      </w:r>
      <w:r w:rsidRPr="007C6A42">
        <w:rPr>
          <w:rFonts w:asciiTheme="majorBidi" w:eastAsia="Times New Roman" w:hAnsiTheme="majorBidi" w:cstheme="majorBidi"/>
          <w:i/>
          <w:iCs/>
        </w:rPr>
        <w:t>false friends</w:t>
      </w:r>
      <w:r w:rsidRPr="007C6A42">
        <w:rPr>
          <w:rFonts w:asciiTheme="majorBidi" w:eastAsia="Times New Roman" w:hAnsiTheme="majorBidi" w:cstheme="majorBidi"/>
        </w:rPr>
        <w:t>). Que des racines venant du patrimoine sémitique commun à l’hébreu et à l’arabe aient pu prendre dans ces deux langues des significations différentes est une évidence.</w:t>
      </w:r>
    </w:p>
    <w:p w14:paraId="692A9FEC"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23461C7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En gardant la transcription arabe de certains termes musulmans, il semble que Chouraqui a sauvegardé leurs champs sémantiques et leur richesse polysémique. Mais quand il a traduit d’autres termes en passant par l’hébreu il en a montré un seul aspect étymologique qui n’est pas souvent le sens répandu. Il est vrai que le terme </w:t>
      </w:r>
      <w:r w:rsidRPr="007C6A42">
        <w:rPr>
          <w:rFonts w:asciiTheme="majorBidi" w:eastAsia="Times New Roman" w:hAnsiTheme="majorBidi" w:cstheme="majorBidi"/>
          <w:i/>
          <w:iCs/>
        </w:rPr>
        <w:t>raḥmān</w:t>
      </w:r>
      <w:r w:rsidRPr="007C6A42">
        <w:rPr>
          <w:rFonts w:asciiTheme="majorBidi" w:eastAsia="Times New Roman" w:hAnsiTheme="majorBidi" w:cstheme="majorBidi"/>
        </w:rPr>
        <w:t xml:space="preserve"> [Tout Miséricordieux] a la même racine étymologique que </w:t>
      </w:r>
      <w:r w:rsidRPr="007C6A42">
        <w:rPr>
          <w:rFonts w:asciiTheme="majorBidi" w:eastAsia="Times New Roman" w:hAnsiTheme="majorBidi" w:cstheme="majorBidi"/>
          <w:i/>
          <w:iCs/>
        </w:rPr>
        <w:t>raḥim</w:t>
      </w:r>
      <w:r w:rsidRPr="007C6A42">
        <w:rPr>
          <w:rFonts w:asciiTheme="majorBidi" w:eastAsia="Times New Roman" w:hAnsiTheme="majorBidi" w:cstheme="majorBidi"/>
        </w:rPr>
        <w:t xml:space="preserve"> [matrice, utérus], mais ce terme n’a aucun rapport sémantique actuel avec la matrice pour qu’il soit traduit par </w:t>
      </w:r>
      <w:r w:rsidRPr="007C6A42">
        <w:rPr>
          <w:rFonts w:asciiTheme="majorBidi" w:eastAsia="Times New Roman" w:hAnsiTheme="majorBidi" w:cstheme="majorBidi"/>
          <w:i/>
          <w:iCs/>
        </w:rPr>
        <w:t>matriciant</w:t>
      </w:r>
      <w:r w:rsidRPr="007C6A42">
        <w:rPr>
          <w:rFonts w:asciiTheme="majorBidi" w:eastAsia="Times New Roman" w:hAnsiTheme="majorBidi" w:cstheme="majorBidi"/>
        </w:rPr>
        <w:t>.</w:t>
      </w:r>
    </w:p>
    <w:p w14:paraId="53BDF09E"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38C4C7DF" w14:textId="77777777" w:rsidR="00A70B78" w:rsidRPr="007C6A42" w:rsidRDefault="00A70B78" w:rsidP="00A70B78">
      <w:pPr>
        <w:spacing w:line="360" w:lineRule="auto"/>
        <w:ind w:firstLine="708"/>
        <w:jc w:val="both"/>
        <w:rPr>
          <w:rFonts w:asciiTheme="majorBidi" w:eastAsia="Times New Roman" w:hAnsiTheme="majorBidi" w:cstheme="majorBidi"/>
          <w:strike/>
          <w:lang w:bidi="ar-AE"/>
        </w:rPr>
      </w:pPr>
      <w:r w:rsidRPr="007C6A42">
        <w:rPr>
          <w:rFonts w:asciiTheme="majorBidi" w:eastAsia="Times New Roman" w:hAnsiTheme="majorBidi" w:cstheme="majorBidi"/>
        </w:rPr>
        <w:lastRenderedPageBreak/>
        <w:t>Cependant, en traduisant le Coran, Chouraqui se rend compte que les conflits islamo-chrétiens ont laissé leurs empreintes dans l’histoire des traductions de ce livre sacré, en soulignant que « le but est de se servir de ce texte en tant qu’arme de guerre » et que le Coran « est écrit le plus souvent dans les langues européennes dans un esprit de dénigrement ouvertement proclamé »</w:t>
      </w:r>
      <w:r w:rsidRPr="007C6A42">
        <w:rPr>
          <w:rFonts w:asciiTheme="majorBidi" w:eastAsia="Times New Roman" w:hAnsiTheme="majorBidi" w:cstheme="majorBidi"/>
          <w:color w:val="C00000"/>
        </w:rPr>
        <w:t>.</w:t>
      </w:r>
      <w:r w:rsidRPr="007C6A42">
        <w:rPr>
          <w:rStyle w:val="Appelnotedebasdep"/>
          <w:rFonts w:asciiTheme="majorBidi" w:eastAsia="Times New Roman" w:hAnsiTheme="majorBidi" w:cstheme="majorBidi"/>
          <w:color w:val="C00000"/>
        </w:rPr>
        <w:footnoteReference w:id="432"/>
      </w:r>
      <w:r w:rsidRPr="007C6A42">
        <w:rPr>
          <w:rFonts w:asciiTheme="majorBidi" w:eastAsia="Times New Roman" w:hAnsiTheme="majorBidi" w:cstheme="majorBidi"/>
          <w:color w:val="C00000"/>
        </w:rPr>
        <w:t xml:space="preserve"> </w:t>
      </w:r>
      <w:r w:rsidRPr="007C6A42">
        <w:rPr>
          <w:rFonts w:asciiTheme="majorBidi" w:eastAsia="Times New Roman" w:hAnsiTheme="majorBidi" w:cstheme="majorBidi"/>
        </w:rPr>
        <w:t xml:space="preserve">Ce qui veut dire que la polysémie des traductions faites par des non-musulmans semble être généralement orientée vers un sens plutôt dévalorisant et dépréciatif, alors que la polysémie du texte arabe tend d’habitude vers la surestimation (inimitabilité rhétorique, littéraire et scientifique). Tout dépend de l’objectif de la traduction, selon la théorie du </w:t>
      </w:r>
      <w:r w:rsidRPr="007C6A42">
        <w:rPr>
          <w:rFonts w:asciiTheme="majorBidi" w:eastAsia="Times New Roman" w:hAnsiTheme="majorBidi" w:cstheme="majorBidi"/>
          <w:i/>
          <w:iCs/>
        </w:rPr>
        <w:t>skopos</w:t>
      </w:r>
      <w:r w:rsidRPr="007C6A42">
        <w:rPr>
          <w:rFonts w:asciiTheme="majorBidi" w:eastAsia="Times New Roman" w:hAnsiTheme="majorBidi" w:cstheme="majorBidi"/>
        </w:rPr>
        <w:t xml:space="preserve"> du théoricien allemand Hans J. Vermeer.</w:t>
      </w:r>
      <w:r w:rsidRPr="007C6A42">
        <w:rPr>
          <w:rStyle w:val="Appelnotedebasdep"/>
          <w:rFonts w:asciiTheme="majorBidi" w:eastAsia="Times New Roman" w:hAnsiTheme="majorBidi" w:cstheme="majorBidi"/>
          <w:color w:val="C00000"/>
        </w:rPr>
        <w:footnoteReference w:id="433"/>
      </w:r>
      <w:r w:rsidRPr="007C6A42">
        <w:rPr>
          <w:rFonts w:asciiTheme="majorBidi" w:eastAsia="Times New Roman" w:hAnsiTheme="majorBidi" w:cstheme="majorBidi"/>
        </w:rPr>
        <w:t xml:space="preserve"> Il n’a pas essayé d’ajouter des connecteurs logiques et sa traduction reste plus littérale que d’autres qui comblent ces vides en ajoutant des connecteurs logiques, à l’instar de Berque qui rajoute la</w:t>
      </w:r>
      <w:r w:rsidRPr="007C6A42">
        <w:rPr>
          <w:rFonts w:asciiTheme="majorBidi" w:hAnsiTheme="majorBidi" w:cstheme="majorBidi"/>
          <w:lang w:bidi="ar-AE"/>
        </w:rPr>
        <w:t xml:space="preserve"> conjonction d’opposition</w:t>
      </w:r>
      <w:r w:rsidRPr="007C6A42">
        <w:rPr>
          <w:rFonts w:asciiTheme="majorBidi" w:eastAsia="Times New Roman" w:hAnsiTheme="majorBidi" w:cstheme="majorBidi"/>
        </w:rPr>
        <w:t xml:space="preserve"> « cependant » dans sa traduction du début des versets XXII, 3 et 8 (</w:t>
      </w:r>
      <w:r w:rsidRPr="007C6A42">
        <w:rPr>
          <w:rFonts w:asciiTheme="majorBidi" w:eastAsia="Times New Roman" w:hAnsiTheme="majorBidi" w:cstheme="majorBidi"/>
          <w:rtl/>
          <w:lang w:bidi="ar-AE"/>
        </w:rPr>
        <w:t>ومِنَ النَّاسِ مَنْ يُجادِلُ في اللهِ بِغَيْرِ عِلْمٍ</w:t>
      </w:r>
      <w:r w:rsidRPr="007C6A42">
        <w:rPr>
          <w:rFonts w:asciiTheme="majorBidi" w:eastAsia="Times New Roman" w:hAnsiTheme="majorBidi" w:cstheme="majorBidi"/>
        </w:rPr>
        <w:t>)</w:t>
      </w:r>
      <w:r w:rsidRPr="007C6A42">
        <w:rPr>
          <w:rFonts w:asciiTheme="majorBidi" w:eastAsia="Times New Roman" w:hAnsiTheme="majorBidi" w:cstheme="majorBidi"/>
          <w:lang w:bidi="ar-AE"/>
        </w:rPr>
        <w:t xml:space="preserve"> en traduisant ainsi : « Et </w:t>
      </w:r>
      <w:r w:rsidRPr="007C6A42">
        <w:rPr>
          <w:rFonts w:asciiTheme="majorBidi" w:eastAsia="Times New Roman" w:hAnsiTheme="majorBidi" w:cstheme="majorBidi"/>
          <w:b/>
          <w:bCs/>
          <w:lang w:bidi="ar-AE"/>
        </w:rPr>
        <w:t>cependant</w:t>
      </w:r>
      <w:r w:rsidRPr="007C6A42">
        <w:rPr>
          <w:rFonts w:asciiTheme="majorBidi" w:eastAsia="Times New Roman" w:hAnsiTheme="majorBidi" w:cstheme="majorBidi"/>
          <w:lang w:bidi="ar-AE"/>
        </w:rPr>
        <w:t xml:space="preserve"> il en est parmi les hommes pour disputer sur Dieu sans la moindre science ». Hamidullah ajoute la particule « or » dans la traduction du verset 8. Or les autres traducteurs ne le font pas. Comme il le dit dans son introduction</w:t>
      </w:r>
      <w:r w:rsidRPr="007C6A42">
        <w:rPr>
          <w:rStyle w:val="Appelnotedebasdep"/>
          <w:rFonts w:asciiTheme="majorBidi" w:eastAsia="Times New Roman" w:hAnsiTheme="majorBidi" w:cstheme="majorBidi"/>
          <w:lang w:bidi="ar-AE"/>
        </w:rPr>
        <w:footnoteReference w:id="434"/>
      </w:r>
      <w:r w:rsidRPr="007C6A42">
        <w:rPr>
          <w:rFonts w:asciiTheme="majorBidi" w:eastAsia="Times New Roman" w:hAnsiTheme="majorBidi" w:cstheme="majorBidi"/>
          <w:lang w:bidi="ar-AE"/>
        </w:rPr>
        <w:t>, Berque s’intéresse au lecteur francophone qui cherche la logique du texte. Pour cela, il procède à des ajouts pour éclaircir et simplifier la traduction pour son lecteur tout en espérant que celui-ci apprécie cette simplification.</w:t>
      </w:r>
      <w:r w:rsidRPr="007C6A42">
        <w:rPr>
          <w:rStyle w:val="Appelnotedebasdep"/>
          <w:rFonts w:asciiTheme="majorBidi" w:eastAsia="Times New Roman" w:hAnsiTheme="majorBidi" w:cstheme="majorBidi"/>
          <w:lang w:bidi="ar-AE"/>
        </w:rPr>
        <w:footnoteReference w:id="435"/>
      </w:r>
      <w:r w:rsidRPr="007C6A42">
        <w:rPr>
          <w:rFonts w:asciiTheme="majorBidi" w:eastAsia="Times New Roman" w:hAnsiTheme="majorBidi" w:cstheme="majorBidi"/>
          <w:lang w:bidi="ar-AE"/>
        </w:rPr>
        <w:t xml:space="preserve"> Ces ajouts ne vont pas sans réduire la richesse sémantique du texte-source (en la limitant au seul sens du mot ajouté).</w:t>
      </w:r>
    </w:p>
    <w:p w14:paraId="7034941E"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2C23487F"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La traduction du spécialiste de la littérature arabe classique René Khawam</w:t>
      </w:r>
      <w:r w:rsidRPr="007C6A42">
        <w:rPr>
          <w:rFonts w:asciiTheme="majorBidi" w:hAnsiTheme="majorBidi" w:cstheme="majorBidi"/>
        </w:rPr>
        <w:t xml:space="preserve"> </w:t>
      </w:r>
      <w:r w:rsidRPr="007C6A42">
        <w:rPr>
          <w:rFonts w:asciiTheme="majorBidi" w:eastAsia="Times New Roman" w:hAnsiTheme="majorBidi" w:cstheme="majorBidi"/>
        </w:rPr>
        <w:t xml:space="preserve">(1917-2004) paraît également en 1990. Il s’agit de la première traduction du Coran réalisée par un chrétien arabe. Né à Alep, en Syrie, dans une famille chrétienne, René Rizqallah Khawam étudie le français chez les Frères maristes avant d’émigrer en France. Il entame dès lors une tâche d’infatigable traducteur de textes religieux et littéraires arabes, en particulier le Coran et </w:t>
      </w:r>
      <w:r w:rsidRPr="007C6A42">
        <w:rPr>
          <w:rFonts w:asciiTheme="majorBidi" w:eastAsia="Times New Roman" w:hAnsiTheme="majorBidi" w:cstheme="majorBidi"/>
          <w:i/>
          <w:iCs/>
        </w:rPr>
        <w:t>Les Mille et Une Nuits</w:t>
      </w:r>
      <w:r w:rsidRPr="007C6A42">
        <w:rPr>
          <w:rFonts w:asciiTheme="majorBidi" w:eastAsia="Times New Roman" w:hAnsiTheme="majorBidi" w:cstheme="majorBidi"/>
        </w:rPr>
        <w:t>.</w:t>
      </w:r>
    </w:p>
    <w:p w14:paraId="60A104E1"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1C45164A"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Dans sa traduction, Khawam a pour objectif d’être clair et de montrer la beauté du texte arabe au lecteur français. Ainsi, les expressions vagues, exotiques et elliptiques sont à bannir. Autrement dit, il doit choisir une seule interprétation parmi les interprétations possibles. Il s’est référé aux exégèses sunnites anciennes (aṭ-Ṭabarī, ar-Rāzī, al-Bayḍāwī et an-Nasafī) et aux traductions précédentes en essayant d’en corriger certaines erreurs. Il a essayé de réduire les notes de bas de page autant que possible, ce qui l’a obligé à choisir et par conséquent à réduire la polysémie. Cependant, il souligne que les traductions existantes du Coran ne reflètent point la richesse profonde de son contenu.</w:t>
      </w:r>
    </w:p>
    <w:p w14:paraId="2174D39A" w14:textId="77777777" w:rsidR="00A70B78" w:rsidRPr="00C9422B" w:rsidRDefault="00A70B78" w:rsidP="00A70B78">
      <w:pPr>
        <w:spacing w:line="360" w:lineRule="auto"/>
        <w:ind w:firstLine="708"/>
        <w:jc w:val="both"/>
        <w:rPr>
          <w:rFonts w:asciiTheme="majorBidi" w:eastAsia="Times New Roman" w:hAnsiTheme="majorBidi" w:cstheme="majorBidi"/>
        </w:rPr>
      </w:pPr>
    </w:p>
    <w:p w14:paraId="19E66FB3" w14:textId="77777777" w:rsidR="00A70B78" w:rsidRPr="00C9422B" w:rsidRDefault="00A70B78" w:rsidP="00A70B78">
      <w:pPr>
        <w:spacing w:line="360" w:lineRule="auto"/>
        <w:ind w:firstLine="708"/>
        <w:jc w:val="both"/>
        <w:rPr>
          <w:rFonts w:asciiTheme="majorBidi" w:eastAsia="SimSun" w:hAnsiTheme="majorBidi" w:cstheme="majorBidi"/>
          <w:lang w:eastAsia="zh-CN"/>
        </w:rPr>
      </w:pPr>
      <w:r w:rsidRPr="00C9422B">
        <w:rPr>
          <w:rFonts w:asciiTheme="majorBidi" w:eastAsia="Times New Roman" w:hAnsiTheme="majorBidi" w:cstheme="majorBidi"/>
        </w:rPr>
        <w:t>En 1999, la traduction du marocain Ahmed Guessous</w:t>
      </w:r>
      <w:r w:rsidRPr="00C9422B">
        <w:rPr>
          <w:rFonts w:asciiTheme="majorBidi" w:eastAsia="SimSun" w:hAnsiTheme="majorBidi" w:cstheme="majorBidi"/>
          <w:i/>
          <w:iCs/>
          <w:lang w:eastAsia="zh-CN"/>
        </w:rPr>
        <w:t xml:space="preserve"> Le Coran ou les Versets Magnifiques, Essai d’interprétation</w:t>
      </w:r>
      <w:r w:rsidRPr="00C9422B">
        <w:rPr>
          <w:rFonts w:asciiTheme="majorBidi" w:eastAsia="SimSun" w:hAnsiTheme="majorBidi" w:cstheme="majorBidi"/>
          <w:lang w:eastAsia="zh-CN"/>
        </w:rPr>
        <w:t xml:space="preserve"> a vu le jour (Éditions Afrique Orient, Maroc et Liban). </w:t>
      </w:r>
    </w:p>
    <w:p w14:paraId="3857D4B5" w14:textId="77777777" w:rsidR="00A70B78" w:rsidRPr="00C9422B" w:rsidRDefault="00A70B78" w:rsidP="00A70B78">
      <w:pPr>
        <w:spacing w:line="360" w:lineRule="auto"/>
        <w:ind w:firstLine="708"/>
        <w:jc w:val="both"/>
        <w:rPr>
          <w:rFonts w:asciiTheme="majorBidi" w:eastAsia="SimSun" w:hAnsiTheme="majorBidi" w:cstheme="majorBidi"/>
          <w:lang w:eastAsia="zh-CN"/>
        </w:rPr>
      </w:pPr>
    </w:p>
    <w:p w14:paraId="1C8803D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SimSun" w:hAnsiTheme="majorBidi" w:cstheme="majorBidi"/>
          <w:lang w:eastAsia="zh-CN"/>
        </w:rPr>
        <w:t>Il s’agit d’une traduction française rimée qui imite, semble-t-il, le texte-source. Cette traduction n’est pas accompagnée du texte original arabe.</w:t>
      </w:r>
      <w:r w:rsidRPr="007C6A42">
        <w:rPr>
          <w:rFonts w:asciiTheme="majorBidi" w:eastAsia="Times New Roman" w:hAnsiTheme="majorBidi" w:cstheme="majorBidi"/>
        </w:rPr>
        <w:t xml:space="preserve"> Son objectif est l’assonance, le rythme et la musicalité, le lyrisme. Dans ce sens, c’est la seule traduction qui reflète cet aspect assonantique très important du texte coranique. Ainsi, il a pris des libertés avec le texte arabe. Mais il nous semble qu’il a traduit l’esprit du Coran, ce qui fait du texte un Coran. Il souligne dans son préambule que le Coran est intraduisible, que le lyrisme fait partie du Coran et que la musicalité et la rime en font le charme.</w:t>
      </w:r>
    </w:p>
    <w:p w14:paraId="29071729"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10103625"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En guise d’exemple, il a traduit le verset 52 (qui contient une seule assonance) par un verset qui contient 5 assonances : </w:t>
      </w:r>
    </w:p>
    <w:p w14:paraId="58F9F066" w14:textId="77777777" w:rsidR="00A70B78" w:rsidRPr="007C6A42" w:rsidRDefault="00A70B78" w:rsidP="00A70B78">
      <w:pPr>
        <w:spacing w:line="360" w:lineRule="auto"/>
        <w:jc w:val="both"/>
        <w:rPr>
          <w:rFonts w:asciiTheme="majorBidi" w:eastAsia="Times New Roman" w:hAnsiTheme="majorBidi" w:cstheme="majorBidi"/>
          <w:lang w:bidi="ar-AE"/>
        </w:rPr>
      </w:pPr>
      <w:r w:rsidRPr="007C6A42">
        <w:rPr>
          <w:rFonts w:asciiTheme="majorBidi" w:hAnsiTheme="majorBidi" w:cstheme="majorBidi"/>
          <w:rtl/>
          <w:lang w:bidi="ar-AE"/>
        </w:rPr>
        <w:t xml:space="preserve">"وما أرسلنا مِن قبلِكَ مِن رسولٍ ولا نبيٍّ إلاَّ إذا تمنَّى ألقى الشيطانُ في أُمنيَّتِه فيَنسَخُ اللهُ ما يُــلْقي الشيطانُ ثم يُحْكِمُ اللهُ آياتِه واللهُ عليمٌ </w:t>
      </w:r>
      <w:r w:rsidRPr="007C6A42">
        <w:rPr>
          <w:rFonts w:asciiTheme="majorBidi" w:hAnsiTheme="majorBidi" w:cstheme="majorBidi"/>
          <w:b/>
          <w:bCs/>
          <w:rtl/>
          <w:lang w:bidi="ar-AE"/>
        </w:rPr>
        <w:t>حكيم</w:t>
      </w:r>
      <w:r w:rsidRPr="007C6A42">
        <w:rPr>
          <w:rFonts w:asciiTheme="majorBidi" w:eastAsia="Times New Roman" w:hAnsiTheme="majorBidi" w:cstheme="majorBidi"/>
          <w:rtl/>
          <w:lang w:bidi="ar-KW"/>
        </w:rPr>
        <w:t>.</w:t>
      </w:r>
      <w:r w:rsidRPr="007C6A42">
        <w:rPr>
          <w:rFonts w:asciiTheme="majorBidi" w:eastAsia="Times New Roman" w:hAnsiTheme="majorBidi" w:cstheme="majorBidi"/>
          <w:rtl/>
          <w:lang w:bidi="ar-AE"/>
        </w:rPr>
        <w:t>"</w:t>
      </w:r>
    </w:p>
    <w:p w14:paraId="0788536C" w14:textId="77777777" w:rsidR="00A70B78" w:rsidRPr="007C6A42" w:rsidRDefault="00A70B78" w:rsidP="00A70B78">
      <w:pPr>
        <w:spacing w:line="360" w:lineRule="auto"/>
        <w:jc w:val="both"/>
        <w:rPr>
          <w:rFonts w:asciiTheme="majorBidi" w:hAnsiTheme="majorBidi" w:cstheme="majorBidi"/>
          <w:lang w:bidi="ar-AE"/>
        </w:rPr>
      </w:pPr>
      <w:r w:rsidRPr="007C6A42">
        <w:rPr>
          <w:rFonts w:asciiTheme="majorBidi" w:hAnsiTheme="majorBidi" w:cstheme="majorBidi"/>
          <w:lang w:bidi="ar-AE"/>
        </w:rPr>
        <w:t xml:space="preserve">[« Nous n’avons pas envoyé avant toi d’envoyé ou de prophète en qui Satan, quand ils éprouvaient une aspiration, n’y mêlât de ses projections. Mais Dieu abroge les projections de Satan, et de plus rend péremptoires Ses propres signes… - Dieu est Connaisseur et </w:t>
      </w:r>
      <w:r w:rsidRPr="007C6A42">
        <w:rPr>
          <w:rFonts w:asciiTheme="majorBidi" w:hAnsiTheme="majorBidi" w:cstheme="majorBidi"/>
          <w:b/>
          <w:bCs/>
          <w:lang w:bidi="ar-AE"/>
        </w:rPr>
        <w:t>Sage</w:t>
      </w:r>
      <w:r w:rsidRPr="007C6A42">
        <w:rPr>
          <w:rFonts w:asciiTheme="majorBidi" w:hAnsiTheme="majorBidi" w:cstheme="majorBidi"/>
          <w:lang w:bidi="ar-AE"/>
        </w:rPr>
        <w:t>. »] (trad. Berque)</w:t>
      </w:r>
      <w:r w:rsidRPr="007C6A42">
        <w:rPr>
          <w:rFonts w:asciiTheme="majorBidi" w:eastAsia="Times New Roman" w:hAnsiTheme="majorBidi" w:cstheme="majorBidi"/>
        </w:rPr>
        <w:tab/>
      </w:r>
    </w:p>
    <w:p w14:paraId="13F50BF6" w14:textId="77777777" w:rsidR="00A70B78" w:rsidRPr="007C6A42" w:rsidRDefault="00A70B78" w:rsidP="00A70B78">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 Avant toi, Nous n’avons délégué ni Apôtre ni </w:t>
      </w:r>
      <w:r w:rsidRPr="007C6A42">
        <w:rPr>
          <w:rFonts w:asciiTheme="majorBidi" w:eastAsia="Times New Roman" w:hAnsiTheme="majorBidi" w:cstheme="majorBidi"/>
          <w:b/>
          <w:bCs/>
        </w:rPr>
        <w:t>Envoyé</w:t>
      </w:r>
    </w:p>
    <w:p w14:paraId="3AD898E9" w14:textId="77777777" w:rsidR="00A70B78" w:rsidRPr="007C6A42" w:rsidRDefault="00A70B78" w:rsidP="00A70B78">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Sans que Satan ne jetât dans leur souhait, quand ils le </w:t>
      </w:r>
      <w:r w:rsidRPr="007C6A42">
        <w:rPr>
          <w:rFonts w:asciiTheme="majorBidi" w:eastAsia="Times New Roman" w:hAnsiTheme="majorBidi" w:cstheme="majorBidi"/>
          <w:b/>
          <w:bCs/>
        </w:rPr>
        <w:t>formulaient</w:t>
      </w:r>
      <w:r w:rsidRPr="007C6A42">
        <w:rPr>
          <w:rFonts w:asciiTheme="majorBidi" w:eastAsia="Times New Roman" w:hAnsiTheme="majorBidi" w:cstheme="majorBidi"/>
        </w:rPr>
        <w:t xml:space="preserve">, </w:t>
      </w:r>
    </w:p>
    <w:p w14:paraId="226EF37F" w14:textId="77777777" w:rsidR="00A70B78" w:rsidRPr="007C6A42" w:rsidRDefault="00A70B78" w:rsidP="00A70B78">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Quelque mauvaise pensée ou quelque</w:t>
      </w:r>
      <w:r w:rsidRPr="007C6A42">
        <w:rPr>
          <w:rFonts w:asciiTheme="majorBidi" w:eastAsia="Times New Roman" w:hAnsiTheme="majorBidi" w:cstheme="majorBidi"/>
          <w:b/>
          <w:bCs/>
        </w:rPr>
        <w:t xml:space="preserve"> impureté</w:t>
      </w:r>
      <w:r w:rsidRPr="007C6A42">
        <w:rPr>
          <w:rFonts w:asciiTheme="majorBidi" w:eastAsia="Times New Roman" w:hAnsiTheme="majorBidi" w:cstheme="majorBidi"/>
        </w:rPr>
        <w:t>.</w:t>
      </w:r>
    </w:p>
    <w:p w14:paraId="1580023E" w14:textId="77777777" w:rsidR="00A70B78" w:rsidRPr="007C6A42" w:rsidRDefault="00A70B78" w:rsidP="00A70B78">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Mais tout ce que le Démon a suscité est par DIEU </w:t>
      </w:r>
      <w:r w:rsidRPr="007C6A42">
        <w:rPr>
          <w:rFonts w:asciiTheme="majorBidi" w:eastAsia="Times New Roman" w:hAnsiTheme="majorBidi" w:cstheme="majorBidi"/>
          <w:b/>
          <w:bCs/>
        </w:rPr>
        <w:t>abrogé</w:t>
      </w:r>
      <w:r w:rsidRPr="007C6A42">
        <w:rPr>
          <w:rFonts w:asciiTheme="majorBidi" w:eastAsia="Times New Roman" w:hAnsiTheme="majorBidi" w:cstheme="majorBidi"/>
        </w:rPr>
        <w:t>.</w:t>
      </w:r>
    </w:p>
    <w:p w14:paraId="6AE2B35A" w14:textId="77777777" w:rsidR="00A70B78" w:rsidRPr="007C6A42" w:rsidRDefault="00A70B78" w:rsidP="00A70B78">
      <w:pPr>
        <w:spacing w:line="360" w:lineRule="auto"/>
        <w:jc w:val="both"/>
        <w:rPr>
          <w:rFonts w:asciiTheme="majorBidi" w:hAnsiTheme="majorBidi" w:cstheme="majorBidi"/>
        </w:rPr>
      </w:pPr>
      <w:r w:rsidRPr="007C6A42">
        <w:rPr>
          <w:rFonts w:asciiTheme="majorBidi" w:eastAsia="Times New Roman" w:hAnsiTheme="majorBidi" w:cstheme="majorBidi"/>
        </w:rPr>
        <w:t xml:space="preserve">ALLAH est savant et sage et Ses signes sont </w:t>
      </w:r>
      <w:r w:rsidRPr="007C6A42">
        <w:rPr>
          <w:rFonts w:asciiTheme="majorBidi" w:eastAsia="Times New Roman" w:hAnsiTheme="majorBidi" w:cstheme="majorBidi"/>
          <w:b/>
          <w:bCs/>
        </w:rPr>
        <w:t>confirmés</w:t>
      </w:r>
      <w:r w:rsidRPr="007C6A42">
        <w:rPr>
          <w:rFonts w:asciiTheme="majorBidi" w:eastAsia="Times New Roman" w:hAnsiTheme="majorBidi" w:cstheme="majorBidi"/>
        </w:rPr>
        <w:t>.</w:t>
      </w:r>
      <w:r w:rsidRPr="007C6A42">
        <w:rPr>
          <w:rFonts w:asciiTheme="majorBidi" w:hAnsiTheme="majorBidi" w:cstheme="majorBidi"/>
        </w:rPr>
        <w:t xml:space="preserve"> » (trad. </w:t>
      </w:r>
      <w:r w:rsidRPr="007C6A42">
        <w:rPr>
          <w:rFonts w:asciiTheme="majorBidi" w:eastAsia="Times New Roman" w:hAnsiTheme="majorBidi" w:cstheme="majorBidi"/>
        </w:rPr>
        <w:t>Guessous</w:t>
      </w:r>
      <w:r w:rsidRPr="007C6A42">
        <w:rPr>
          <w:rFonts w:asciiTheme="majorBidi" w:hAnsiTheme="majorBidi" w:cstheme="majorBidi"/>
        </w:rPr>
        <w:t>)</w:t>
      </w:r>
    </w:p>
    <w:p w14:paraId="160771B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Nous remarquons que Guessous ajoute le syntagme « Quelque mauvaise pensée ou quelque</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rPr>
        <w:t xml:space="preserve">impureté » comme COD du verbe « jeter » alors que dans l’arabe le COD du verbe </w:t>
      </w:r>
      <w:r w:rsidRPr="007C6A42">
        <w:rPr>
          <w:rFonts w:asciiTheme="majorBidi" w:eastAsia="Times New Roman" w:hAnsiTheme="majorBidi" w:cstheme="majorBidi"/>
          <w:i/>
        </w:rPr>
        <w:t>alqā</w:t>
      </w:r>
      <w:r w:rsidRPr="007C6A42">
        <w:rPr>
          <w:rFonts w:asciiTheme="majorBidi" w:eastAsia="Times New Roman" w:hAnsiTheme="majorBidi" w:cstheme="majorBidi"/>
        </w:rPr>
        <w:t xml:space="preserve"> est omis. Ce parti-pris de traduction réduit la polysémie en excluant d’autres COD possibles que les exégètes exposent comme : son monologue (au prophète), son souhait, une parole, les deux califes hypocrites </w:t>
      </w:r>
      <w:r w:rsidRPr="007C6A42">
        <w:rPr>
          <w:rFonts w:asciiTheme="majorBidi" w:hAnsiTheme="majorBidi" w:cstheme="majorBidi"/>
        </w:rPr>
        <w:t>Abū Bakr et</w:t>
      </w:r>
      <w:r w:rsidRPr="007C6A42">
        <w:rPr>
          <w:rFonts w:asciiTheme="majorBidi" w:eastAsia="Calibri" w:hAnsiTheme="majorBidi" w:cstheme="majorBidi"/>
        </w:rPr>
        <w:t xml:space="preserve"> ʿUmar</w:t>
      </w:r>
      <w:r w:rsidRPr="007C6A42">
        <w:rPr>
          <w:rFonts w:asciiTheme="majorBidi" w:eastAsia="Times New Roman" w:hAnsiTheme="majorBidi" w:cstheme="majorBidi"/>
        </w:rPr>
        <w:t xml:space="preserve"> (selon l’</w:t>
      </w:r>
      <w:r w:rsidRPr="007C6A42">
        <w:rPr>
          <w:rFonts w:asciiTheme="majorBidi" w:hAnsiTheme="majorBidi" w:cstheme="majorBidi"/>
        </w:rPr>
        <w:t>exégète chiite</w:t>
      </w:r>
      <w:r w:rsidRPr="007C6A42">
        <w:rPr>
          <w:rFonts w:asciiTheme="majorBidi" w:eastAsia="Calibri" w:hAnsiTheme="majorBidi" w:cstheme="majorBidi"/>
        </w:rPr>
        <w:t xml:space="preserve"> Al-Qummī</w:t>
      </w:r>
      <w:r w:rsidRPr="007C6A42">
        <w:rPr>
          <w:rFonts w:asciiTheme="majorBidi" w:hAnsiTheme="majorBidi" w:cstheme="majorBidi"/>
        </w:rPr>
        <w:t>)</w:t>
      </w:r>
      <w:r w:rsidRPr="007C6A42">
        <w:rPr>
          <w:rFonts w:asciiTheme="majorBidi" w:eastAsia="Times New Roman" w:hAnsiTheme="majorBidi" w:cstheme="majorBidi"/>
        </w:rPr>
        <w:t>.</w:t>
      </w:r>
    </w:p>
    <w:p w14:paraId="36A15FA7" w14:textId="77777777" w:rsidR="00A70B78" w:rsidRPr="007C6A42" w:rsidRDefault="00A70B78" w:rsidP="00A70B78">
      <w:pPr>
        <w:spacing w:line="360" w:lineRule="auto"/>
        <w:jc w:val="both"/>
        <w:rPr>
          <w:rFonts w:asciiTheme="majorBidi" w:eastAsia="SimSun" w:hAnsiTheme="majorBidi" w:cstheme="majorBidi"/>
          <w:lang w:eastAsia="zh-CN"/>
        </w:rPr>
      </w:pPr>
    </w:p>
    <w:p w14:paraId="67DF6707" w14:textId="77777777" w:rsidR="00A70B78" w:rsidRPr="007C6A42" w:rsidRDefault="00A70B78" w:rsidP="00A70B78">
      <w:pPr>
        <w:spacing w:line="360" w:lineRule="auto"/>
        <w:ind w:firstLine="708"/>
        <w:jc w:val="both"/>
        <w:rPr>
          <w:rFonts w:asciiTheme="majorBidi" w:eastAsia="Calibri" w:hAnsiTheme="majorBidi" w:cstheme="majorBidi"/>
          <w:lang w:bidi="ar-AE"/>
        </w:rPr>
      </w:pPr>
      <w:r w:rsidRPr="007C6A42">
        <w:rPr>
          <w:rFonts w:asciiTheme="majorBidi" w:eastAsia="Times New Roman" w:hAnsiTheme="majorBidi" w:cstheme="majorBidi"/>
        </w:rPr>
        <w:t xml:space="preserve">En 1999 (rééditée en 2001, 2004, 2006, et 2008), le traducteur marocain Mohammed Chiadmi a publié sa traduction </w:t>
      </w:r>
      <w:r w:rsidRPr="007C6A42">
        <w:rPr>
          <w:rFonts w:asciiTheme="majorBidi" w:eastAsia="Calibri" w:hAnsiTheme="majorBidi" w:cstheme="majorBidi"/>
          <w:lang w:bidi="ar-AE"/>
        </w:rPr>
        <w:t>accompagnée du texte arabe à droite. Mohammed Chiadmi, né en 1924 à El-Jadida, au Maroc, au sein d’une famille d’oulémas et de mystiques, a appris très jeune le Coran. Titulaire d’une licence d’histoire-géographie, d’une licence en lettres et du diplôme de traduction en 1948, il a été nommé professeur dans différents lycées, puis proviseur de lycée. Il a été ensuite appelé au ministère pour y exercer les fonctions de chef de la recherche et de l’action pédagogique. Il a été nommé chevalier de l’ordre des Palmes académiques, par le ministère français de l’Éducation Nationale, pour services rendus à la culture françaises. Ensuite, Chiadmi</w:t>
      </w:r>
      <w:r w:rsidRPr="007C6A42">
        <w:rPr>
          <w:rFonts w:asciiTheme="majorBidi" w:eastAsia="Calibri" w:hAnsiTheme="majorBidi" w:cstheme="majorBidi"/>
          <w:color w:val="C00000"/>
          <w:lang w:bidi="ar-AE"/>
        </w:rPr>
        <w:t xml:space="preserve"> </w:t>
      </w:r>
      <w:r w:rsidRPr="007C6A42">
        <w:rPr>
          <w:rFonts w:asciiTheme="majorBidi" w:eastAsia="Calibri" w:hAnsiTheme="majorBidi" w:cstheme="majorBidi"/>
          <w:lang w:bidi="ar-AE"/>
        </w:rPr>
        <w:t>a occupé en même temps la fonction de directeur de cabinet du ministre de l’Éducation Nationale et celle de délégué permanent du Maroc au sein du comité consultatif pour l’éducation et l’enseignement dans le Maghreb Arabe. En 1973, il fut nommé inspecteur général au ministère des Habous et des Affaires Islamiques. Il est décédé en 2016.</w:t>
      </w:r>
      <w:r w:rsidRPr="007C6A42">
        <w:rPr>
          <w:rStyle w:val="Appelnotedebasdep"/>
          <w:rFonts w:asciiTheme="majorBidi" w:eastAsia="Calibri" w:hAnsiTheme="majorBidi" w:cstheme="majorBidi"/>
          <w:lang w:bidi="ar-AE"/>
        </w:rPr>
        <w:footnoteReference w:id="436"/>
      </w:r>
    </w:p>
    <w:p w14:paraId="00805DD3" w14:textId="77777777" w:rsidR="00A70B78" w:rsidRPr="007C6A42" w:rsidRDefault="00A70B78" w:rsidP="00A70B78">
      <w:pPr>
        <w:spacing w:line="360" w:lineRule="auto"/>
        <w:ind w:firstLine="708"/>
        <w:jc w:val="both"/>
        <w:rPr>
          <w:rFonts w:asciiTheme="majorBidi" w:eastAsia="Calibri" w:hAnsiTheme="majorBidi" w:cstheme="majorBidi"/>
          <w:lang w:bidi="ar-AE"/>
        </w:rPr>
      </w:pPr>
    </w:p>
    <w:p w14:paraId="579C18CE"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Times New Roman" w:hAnsiTheme="majorBidi" w:cstheme="majorBidi"/>
        </w:rPr>
        <w:t xml:space="preserve">Chiadmi </w:t>
      </w:r>
      <w:r w:rsidRPr="007C6A42">
        <w:rPr>
          <w:rFonts w:asciiTheme="majorBidi" w:eastAsia="SimSun" w:hAnsiTheme="majorBidi" w:cstheme="majorBidi"/>
          <w:lang w:eastAsia="zh-CN"/>
        </w:rPr>
        <w:t xml:space="preserve">insiste sur le fait qu’il a réalisé sa traduction pour répondre au besoin des jeunes musulmans émigrés qui se plaignaient « de ne pas disposer d’une </w:t>
      </w:r>
      <w:r w:rsidRPr="007C6A42">
        <w:rPr>
          <w:rFonts w:asciiTheme="majorBidi" w:eastAsia="SimSun" w:hAnsiTheme="majorBidi" w:cstheme="majorBidi"/>
          <w:i/>
          <w:iCs/>
          <w:lang w:eastAsia="zh-CN"/>
        </w:rPr>
        <w:t>bonne</w:t>
      </w:r>
      <w:r w:rsidRPr="007C6A42">
        <w:rPr>
          <w:rFonts w:asciiTheme="majorBidi" w:eastAsia="SimSun" w:hAnsiTheme="majorBidi" w:cstheme="majorBidi"/>
          <w:lang w:eastAsia="zh-CN"/>
        </w:rPr>
        <w:t xml:space="preserve"> traduction française du Coran, susceptible de les aider à bien comprendre </w:t>
      </w:r>
      <w:r w:rsidRPr="007C6A42">
        <w:rPr>
          <w:rFonts w:asciiTheme="majorBidi" w:eastAsia="SimSun" w:hAnsiTheme="majorBidi" w:cstheme="majorBidi"/>
          <w:i/>
          <w:iCs/>
          <w:lang w:eastAsia="zh-CN"/>
        </w:rPr>
        <w:t xml:space="preserve">leur </w:t>
      </w:r>
      <w:r w:rsidRPr="007C6A42">
        <w:rPr>
          <w:rFonts w:asciiTheme="majorBidi" w:eastAsia="SimSun" w:hAnsiTheme="majorBidi" w:cstheme="majorBidi"/>
          <w:lang w:eastAsia="zh-CN"/>
        </w:rPr>
        <w:t>religion ». Le traducteur semble faire allusion au besoin de protéger l’identité religieuse des musulmans de la France.</w:t>
      </w:r>
    </w:p>
    <w:p w14:paraId="1A7076AC"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Calibri" w:hAnsiTheme="majorBidi" w:cstheme="majorBidi"/>
          <w:lang w:bidi="ar-AE"/>
        </w:rPr>
        <w:t xml:space="preserve">Il confesse dans son </w:t>
      </w:r>
      <w:r w:rsidRPr="007C6A42">
        <w:rPr>
          <w:rFonts w:asciiTheme="majorBidi" w:eastAsia="Calibri" w:hAnsiTheme="majorBidi" w:cstheme="majorBidi"/>
          <w:i/>
          <w:iCs/>
          <w:lang w:bidi="ar-AE"/>
        </w:rPr>
        <w:t>Avant-propos </w:t>
      </w:r>
      <w:r w:rsidRPr="007C6A42">
        <w:rPr>
          <w:rFonts w:asciiTheme="majorBidi" w:eastAsia="Calibri" w:hAnsiTheme="majorBidi" w:cstheme="majorBidi"/>
          <w:lang w:bidi="ar-AE"/>
        </w:rPr>
        <w:t xml:space="preserve">: </w:t>
      </w:r>
      <w:r w:rsidRPr="007C6A42">
        <w:rPr>
          <w:rFonts w:asciiTheme="majorBidi" w:eastAsia="SimSun" w:hAnsiTheme="majorBidi" w:cstheme="majorBidi"/>
          <w:lang w:eastAsia="zh-CN"/>
        </w:rPr>
        <w:t xml:space="preserve">« Chaque fois que j’ai rencontré un passage trop concis pour être traduit rigoureusement en français d’une manière compréhensible, je n’ai pas hésité à avoir recours à une paraphrase, pour en rendre le sens donné par l’exégèse ». Il a donc </w:t>
      </w:r>
      <w:r w:rsidRPr="007C6A42">
        <w:rPr>
          <w:rFonts w:asciiTheme="majorBidi" w:eastAsia="SimSun" w:hAnsiTheme="majorBidi" w:cstheme="majorBidi"/>
          <w:lang w:eastAsia="zh-CN"/>
        </w:rPr>
        <w:lastRenderedPageBreak/>
        <w:t>reconstruit le texte en fonction de la lecture la plus dominante. Il a privilégié le sens du verset en recourant parfois à deux ou trois mots français afin d’exprimer un seul mot arabe.</w:t>
      </w:r>
    </w:p>
    <w:p w14:paraId="67856FA3" w14:textId="77777777" w:rsidR="00A70B78" w:rsidRPr="007C6A42" w:rsidRDefault="00A70B78" w:rsidP="00A70B78">
      <w:pPr>
        <w:spacing w:line="360" w:lineRule="auto"/>
        <w:ind w:firstLine="708"/>
        <w:jc w:val="both"/>
        <w:rPr>
          <w:rFonts w:asciiTheme="majorBidi" w:eastAsia="SimSun" w:hAnsiTheme="majorBidi" w:cstheme="majorBidi"/>
          <w:lang w:eastAsia="zh-CN"/>
        </w:rPr>
      </w:pPr>
    </w:p>
    <w:p w14:paraId="0518A12D"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SimSun" w:hAnsiTheme="majorBidi" w:cstheme="majorBidi"/>
          <w:lang w:eastAsia="zh-CN"/>
        </w:rPr>
        <w:t>Il convient de souligner que trois préfaces ont été écrites à propos de la traduction de Chiadmi : la première par le cheikh maghrébin Zakaria Seddiki (d’Al-Azhar), la deuxième par Tariq Ramadan, le théologien suisse d’origine égyptienne, et la troisième par Shaykh Yusuf Ibram, imam de la mosquée de Zurich (Suisse). Dans sa préface, le cheikh Zakaria Seddiki souligne que proposer une nouvelle traductions a pour but d’apporter une amélioration aux traductions existantes qui peuvent contenir des erreurs ; il impute les difficultés de compréhension du Coran et l’existence de plusieurs exégèses au fait que tous les Arabes ne sont pas originairement arabes.</w:t>
      </w:r>
      <w:r w:rsidRPr="007C6A42">
        <w:rPr>
          <w:rStyle w:val="Appelnotedebasdep"/>
          <w:rFonts w:asciiTheme="majorBidi" w:eastAsia="Calibri" w:hAnsiTheme="majorBidi" w:cstheme="majorBidi"/>
          <w:lang w:bidi="ar-AE"/>
        </w:rPr>
        <w:footnoteReference w:id="437"/>
      </w:r>
      <w:r w:rsidRPr="007C6A42">
        <w:rPr>
          <w:rFonts w:asciiTheme="majorBidi" w:eastAsia="SimSun" w:hAnsiTheme="majorBidi" w:cstheme="majorBidi"/>
          <w:lang w:eastAsia="zh-CN"/>
        </w:rPr>
        <w:t xml:space="preserve"> Quant à Tariq Ramadan, il essaie de minimiser l’importance de la polysémie du Coran en disant que seuls « certains mots sont polysémiques »</w:t>
      </w:r>
      <w:r w:rsidRPr="007C6A42">
        <w:rPr>
          <w:rStyle w:val="Appelnotedebasdep"/>
          <w:rFonts w:asciiTheme="majorBidi" w:eastAsia="Calibri" w:hAnsiTheme="majorBidi" w:cstheme="majorBidi"/>
          <w:lang w:bidi="ar-AE"/>
        </w:rPr>
        <w:footnoteReference w:id="438"/>
      </w:r>
      <w:r w:rsidRPr="007C6A42">
        <w:rPr>
          <w:rFonts w:asciiTheme="majorBidi" w:eastAsia="SimSun" w:hAnsiTheme="majorBidi" w:cstheme="majorBidi"/>
          <w:lang w:eastAsia="zh-CN"/>
        </w:rPr>
        <w:t xml:space="preserve"> (rappelons que le calife</w:t>
      </w:r>
      <w:r w:rsidRPr="007C6A42">
        <w:rPr>
          <w:rFonts w:asciiTheme="majorBidi" w:hAnsiTheme="majorBidi" w:cstheme="majorBidi"/>
        </w:rPr>
        <w:t xml:space="preserve"> ʿAlī ibn Abī Ṭālib</w:t>
      </w:r>
      <w:r w:rsidRPr="007C6A42">
        <w:rPr>
          <w:rFonts w:asciiTheme="majorBidi" w:eastAsia="SimSun" w:hAnsiTheme="majorBidi" w:cstheme="majorBidi"/>
          <w:lang w:eastAsia="zh-CN"/>
        </w:rPr>
        <w:t xml:space="preserve"> souligne que le Coran tout entier est polysémique par excellence). Enfin, Shaykh Youssef Ibrahim précise que Chiadmi a tiré profit des traductions déjà existantes en s’attachant en même temps à la tradition orthodoxe (</w:t>
      </w:r>
      <w:r w:rsidRPr="007C6A42">
        <w:rPr>
          <w:rFonts w:asciiTheme="majorBidi" w:eastAsia="SimSun" w:hAnsiTheme="majorBidi" w:cstheme="majorBidi"/>
          <w:i/>
          <w:iCs/>
          <w:lang w:eastAsia="zh-CN"/>
        </w:rPr>
        <w:t>ahl as-sunna wa-l-jamā</w:t>
      </w:r>
      <w:r w:rsidRPr="007C6A42">
        <w:rPr>
          <w:rFonts w:asciiTheme="majorBidi" w:eastAsia="Times New Roman" w:hAnsiTheme="majorBidi" w:cstheme="majorBidi"/>
          <w:i/>
          <w:iCs/>
        </w:rPr>
        <w:t>ʿa</w:t>
      </w:r>
      <w:r w:rsidRPr="007C6A42">
        <w:rPr>
          <w:rFonts w:asciiTheme="majorBidi" w:eastAsia="SimSun" w:hAnsiTheme="majorBidi" w:cstheme="majorBidi"/>
          <w:lang w:eastAsia="zh-CN"/>
        </w:rPr>
        <w:t>).</w:t>
      </w:r>
      <w:r w:rsidRPr="007C6A42">
        <w:rPr>
          <w:rStyle w:val="Appelnotedebasdep"/>
          <w:rFonts w:asciiTheme="majorBidi" w:eastAsia="Calibri" w:hAnsiTheme="majorBidi" w:cstheme="majorBidi"/>
          <w:lang w:bidi="ar-AE"/>
        </w:rPr>
        <w:footnoteReference w:id="439"/>
      </w:r>
    </w:p>
    <w:p w14:paraId="1CEBF079"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SimSun" w:hAnsiTheme="majorBidi" w:cstheme="majorBidi"/>
          <w:lang w:eastAsia="zh-CN"/>
        </w:rPr>
        <w:t>On peut se demander alors pourquoi il y a trois préfaces – par définition élogieuses - faites par trois théologiens pour cette traduction, sans compter l’introduction de l’éditeur et l’avant-propos du traducteur ? Elles ont évidemment pour rôle de disposer favorablement le lecteur musulman francophone à l’égard de cette traduction. D’ailleurs, Chiadmi écrit clairement que sa traduction est faite essentiellement pour répondre aux besoins des jeunes musulmans émigrés.</w:t>
      </w:r>
      <w:r w:rsidRPr="007C6A42">
        <w:rPr>
          <w:rStyle w:val="Appelnotedebasdep"/>
          <w:rFonts w:asciiTheme="majorBidi" w:eastAsia="SimSun" w:hAnsiTheme="majorBidi" w:cstheme="majorBidi"/>
          <w:lang w:eastAsia="zh-CN"/>
        </w:rPr>
        <w:footnoteReference w:id="440"/>
      </w:r>
      <w:r w:rsidRPr="007C6A42">
        <w:rPr>
          <w:rFonts w:asciiTheme="majorBidi" w:eastAsia="SimSun" w:hAnsiTheme="majorBidi" w:cstheme="majorBidi"/>
          <w:lang w:eastAsia="zh-CN"/>
        </w:rPr>
        <w:t xml:space="preserve"> Une préface remplit déjà la fonction de recommander au lecteur l’œuvre en question et de l’amener à partager le contenu, et quand il y en a trois, cette fonction semble exagérément assurée. Le choix de trois préfaciers théologiens musulmans n’est peut-être pas anodin, parce que d’un côté il peut garantir le conditionnement du lecteur et de l’autre contrecarrer la concurrence des autres traductions.</w:t>
      </w:r>
    </w:p>
    <w:p w14:paraId="2275237B" w14:textId="77777777" w:rsidR="00A70B78" w:rsidRPr="007C6A42" w:rsidRDefault="00A70B78" w:rsidP="00A70B78">
      <w:pPr>
        <w:spacing w:line="360" w:lineRule="auto"/>
        <w:jc w:val="both"/>
        <w:rPr>
          <w:rFonts w:asciiTheme="majorBidi" w:eastAsia="SimSun" w:hAnsiTheme="majorBidi" w:cstheme="majorBidi"/>
          <w:lang w:eastAsia="zh-CN"/>
        </w:rPr>
      </w:pPr>
    </w:p>
    <w:p w14:paraId="02DEF124"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SimSun" w:hAnsiTheme="majorBidi" w:cstheme="majorBidi"/>
          <w:lang w:eastAsia="zh-CN"/>
        </w:rPr>
        <w:t xml:space="preserve">Le traducteur Chiadmi fait attention aux différences sémantiques entre les synonymes. Par exemple, il distingue entre </w:t>
      </w:r>
      <w:r w:rsidRPr="007C6A42">
        <w:rPr>
          <w:rFonts w:asciiTheme="majorBidi" w:eastAsia="SimSun" w:hAnsiTheme="majorBidi" w:cstheme="majorBidi"/>
          <w:i/>
          <w:iCs/>
          <w:lang w:eastAsia="zh-CN"/>
        </w:rPr>
        <w:t>al-maṭar</w:t>
      </w:r>
      <w:r w:rsidRPr="007C6A42">
        <w:rPr>
          <w:rFonts w:asciiTheme="majorBidi" w:eastAsia="SimSun" w:hAnsiTheme="majorBidi" w:cstheme="majorBidi"/>
          <w:lang w:eastAsia="zh-CN"/>
        </w:rPr>
        <w:t xml:space="preserve"> [la pluie en général] et </w:t>
      </w:r>
      <w:r w:rsidRPr="007C6A42">
        <w:rPr>
          <w:rFonts w:asciiTheme="majorBidi" w:eastAsia="SimSun" w:hAnsiTheme="majorBidi" w:cstheme="majorBidi"/>
          <w:i/>
          <w:iCs/>
          <w:lang w:eastAsia="zh-CN"/>
        </w:rPr>
        <w:t>al-ghayth</w:t>
      </w:r>
      <w:r w:rsidRPr="007C6A42">
        <w:rPr>
          <w:rFonts w:asciiTheme="majorBidi" w:eastAsia="SimSun" w:hAnsiTheme="majorBidi" w:cstheme="majorBidi"/>
          <w:lang w:eastAsia="zh-CN"/>
        </w:rPr>
        <w:t xml:space="preserve"> [la pluie bienfaisante]. En considérant le texte arabe du Coran comme un texte parfait, il a pour objectif d’améliorer les traductions existantes qui sont incomplètes et qui contiennent des erreurs. Ainsi, il insiste sur la perte dans les traductions et non pas sur le gain. Il a essayé de ne pas négliger la polysémie des vocables utilisés. « Par exemple, il a su donner une traduction diversifiée mais opportune du mot </w:t>
      </w:r>
      <w:r w:rsidRPr="007C6A42">
        <w:rPr>
          <w:rFonts w:asciiTheme="majorBidi" w:eastAsia="SimSun" w:hAnsiTheme="majorBidi" w:cstheme="majorBidi"/>
          <w:i/>
          <w:iCs/>
          <w:lang w:eastAsia="zh-CN"/>
        </w:rPr>
        <w:t>ʿayn</w:t>
      </w:r>
      <w:r w:rsidRPr="007C6A42">
        <w:rPr>
          <w:rFonts w:asciiTheme="majorBidi" w:eastAsia="SimSun" w:hAnsiTheme="majorBidi" w:cstheme="majorBidi"/>
          <w:lang w:eastAsia="zh-CN"/>
        </w:rPr>
        <w:t xml:space="preserve"> selon le contexte dans lequel il est utilisé, sachant que ce vocable comprend à lui seul plus d’une centaine d’acceptions », souligne le cheikh Seddiki qui précise dans la préface que « toute traduction, aussi complète soit-elle, ne peut remplacer le Coran » et que par la suite elle est une explication dépendante du texte arabe dont la lecture est un acte d’adoration. Dans la préface, Tariq Ramadan précise : « nulle traduction n’est parfaite. Certaines préservent le sens et perdent la psalmodie et la poésie ; d’autres au contraire, s’approchent de l’intuition, du souffle, mais trahissent le sens. L’équilibre est difficile. » Cela affirme l’idée que les traductions sont complémentaires, idée défendue par </w:t>
      </w:r>
      <w:r w:rsidRPr="007C6A42">
        <w:rPr>
          <w:rFonts w:asciiTheme="majorBidi" w:eastAsia="Calibri" w:hAnsiTheme="majorBidi" w:cstheme="majorBidi"/>
        </w:rPr>
        <w:t>Maurice Borrmans</w:t>
      </w:r>
      <w:r w:rsidRPr="007C6A42">
        <w:rPr>
          <w:rFonts w:asciiTheme="majorBidi" w:hAnsiTheme="majorBidi" w:cstheme="majorBidi"/>
        </w:rPr>
        <w:t xml:space="preserve"> </w:t>
      </w:r>
      <w:r w:rsidRPr="007C6A42">
        <w:rPr>
          <w:rFonts w:asciiTheme="majorBidi" w:eastAsia="SimSun" w:hAnsiTheme="majorBidi" w:cstheme="majorBidi"/>
          <w:lang w:eastAsia="zh-CN"/>
        </w:rPr>
        <w:t>(qui dit que</w:t>
      </w:r>
      <w:r w:rsidRPr="007C6A42">
        <w:rPr>
          <w:rFonts w:asciiTheme="majorBidi" w:eastAsia="Times New Roman" w:hAnsiTheme="majorBidi" w:cstheme="majorBidi"/>
        </w:rPr>
        <w:t xml:space="preserve"> c’est en accumulant les traductions qu’il est possible de rejoindre la riche polysémie du </w:t>
      </w:r>
      <w:r w:rsidRPr="007C6A42">
        <w:rPr>
          <w:rFonts w:asciiTheme="majorBidi" w:eastAsia="SimSun" w:hAnsiTheme="majorBidi" w:cstheme="majorBidi"/>
          <w:lang w:eastAsia="zh-CN"/>
        </w:rPr>
        <w:t>texte d’origine et qui par la suite invite le lecteur à ne pas se contenter d’une seule traduction mais à recourir pluralisme symphonique de toutes les traductions existantes)</w:t>
      </w:r>
      <w:r w:rsidRPr="007C6A42">
        <w:rPr>
          <w:rFonts w:asciiTheme="majorBidi" w:eastAsia="Calibri" w:hAnsiTheme="majorBidi" w:cstheme="majorBidi"/>
          <w:vertAlign w:val="superscript"/>
          <w:lang w:bidi="ar-AE"/>
        </w:rPr>
        <w:footnoteReference w:id="441"/>
      </w:r>
      <w:r w:rsidRPr="007C6A42">
        <w:rPr>
          <w:rFonts w:asciiTheme="majorBidi" w:eastAsia="SimSun" w:hAnsiTheme="majorBidi" w:cstheme="majorBidi"/>
          <w:lang w:eastAsia="zh-CN"/>
        </w:rPr>
        <w:t xml:space="preserve"> </w:t>
      </w:r>
      <w:r w:rsidRPr="007C6A42">
        <w:rPr>
          <w:rFonts w:asciiTheme="majorBidi" w:hAnsiTheme="majorBidi" w:cstheme="majorBidi"/>
        </w:rPr>
        <w:t xml:space="preserve">et par </w:t>
      </w:r>
      <w:r w:rsidRPr="007C6A42">
        <w:rPr>
          <w:rFonts w:asciiTheme="majorBidi" w:eastAsia="Calibri" w:hAnsiTheme="majorBidi" w:cstheme="majorBidi"/>
        </w:rPr>
        <w:t>Christiane Dieterlé</w:t>
      </w:r>
      <w:r w:rsidRPr="007C6A42">
        <w:rPr>
          <w:rFonts w:asciiTheme="majorBidi" w:hAnsiTheme="majorBidi" w:cstheme="majorBidi"/>
        </w:rPr>
        <w:t xml:space="preserve"> (</w:t>
      </w:r>
      <w:r w:rsidRPr="007C6A42">
        <w:rPr>
          <w:rFonts w:asciiTheme="majorBidi" w:eastAsia="Calibri" w:hAnsiTheme="majorBidi" w:cstheme="majorBidi"/>
        </w:rPr>
        <w:t>qui dit que la diversification des traductions constitue une complémentarité nécessaire dans la ligne même du pluralisme biblique</w:t>
      </w:r>
      <w:r w:rsidRPr="007C6A42">
        <w:rPr>
          <w:rFonts w:asciiTheme="majorBidi" w:hAnsiTheme="majorBidi" w:cstheme="majorBidi"/>
        </w:rPr>
        <w:t>)</w:t>
      </w:r>
      <w:r w:rsidRPr="007C6A42">
        <w:rPr>
          <w:rFonts w:asciiTheme="majorBidi" w:eastAsia="Calibri" w:hAnsiTheme="majorBidi" w:cstheme="majorBidi"/>
          <w:vertAlign w:val="superscript"/>
          <w:lang w:bidi="ar-AE"/>
        </w:rPr>
        <w:footnoteReference w:id="442"/>
      </w:r>
      <w:r w:rsidRPr="007C6A42">
        <w:rPr>
          <w:rFonts w:asciiTheme="majorBidi" w:hAnsiTheme="majorBidi" w:cstheme="majorBidi"/>
        </w:rPr>
        <w:t>.</w:t>
      </w:r>
      <w:r w:rsidRPr="007C6A42">
        <w:rPr>
          <w:rFonts w:asciiTheme="majorBidi" w:eastAsia="SimSun" w:hAnsiTheme="majorBidi" w:cstheme="majorBidi"/>
          <w:lang w:eastAsia="zh-CN"/>
        </w:rPr>
        <w:t xml:space="preserve"> L’éditeur relie la religion à la politique en disant que le Coran établit des règles sociales et </w:t>
      </w:r>
      <w:r w:rsidRPr="007C6A42">
        <w:rPr>
          <w:rFonts w:asciiTheme="majorBidi" w:eastAsia="SimSun" w:hAnsiTheme="majorBidi" w:cstheme="majorBidi"/>
          <w:i/>
          <w:iCs/>
          <w:lang w:eastAsia="zh-CN"/>
        </w:rPr>
        <w:t>politiques</w:t>
      </w:r>
      <w:r w:rsidRPr="007C6A42">
        <w:rPr>
          <w:rFonts w:asciiTheme="majorBidi" w:eastAsia="SimSun" w:hAnsiTheme="majorBidi" w:cstheme="majorBidi"/>
          <w:lang w:eastAsia="zh-CN"/>
        </w:rPr>
        <w:t>. Il souligne que la traduction de Chiadmi se situe entre la traduction littérale (comme celle de Hamidullah) et la traduction non littérale (comme celle de Blachère) en recourant parfois à la paraphrase.</w:t>
      </w:r>
    </w:p>
    <w:p w14:paraId="3DD5A22F" w14:textId="77777777" w:rsidR="00A70B78" w:rsidRPr="007C6A42" w:rsidRDefault="00A70B78" w:rsidP="00A70B78">
      <w:pPr>
        <w:spacing w:line="360" w:lineRule="auto"/>
        <w:ind w:firstLine="708"/>
        <w:jc w:val="both"/>
        <w:rPr>
          <w:rFonts w:asciiTheme="majorBidi" w:eastAsia="SimSun" w:hAnsiTheme="majorBidi" w:cstheme="majorBidi"/>
          <w:lang w:eastAsia="zh-CN"/>
        </w:rPr>
      </w:pPr>
    </w:p>
    <w:p w14:paraId="47BBB014"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Times New Roman" w:hAnsiTheme="majorBidi" w:cstheme="majorBidi"/>
        </w:rPr>
        <w:t>Pour réaliser sa traduction, Mohammed Chiadmi</w:t>
      </w:r>
      <w:r w:rsidRPr="007C6A42">
        <w:rPr>
          <w:rFonts w:asciiTheme="majorBidi" w:eastAsia="SimSun" w:hAnsiTheme="majorBidi" w:cstheme="majorBidi"/>
          <w:lang w:eastAsia="zh-CN"/>
        </w:rPr>
        <w:t xml:space="preserve"> s’est référé aux exégèses sunnites anciennes d’aṭ-Ṭabarī, d’al-Qurṭubī et d’Ibn Kathīr ainsi qu’aux traductions précédentes.</w:t>
      </w:r>
      <w:r w:rsidRPr="007C6A42">
        <w:rPr>
          <w:rStyle w:val="Appelnotedebasdep"/>
          <w:rFonts w:asciiTheme="majorBidi" w:eastAsia="SimSun" w:hAnsiTheme="majorBidi" w:cstheme="majorBidi"/>
          <w:lang w:eastAsia="zh-CN"/>
        </w:rPr>
        <w:footnoteReference w:id="443"/>
      </w:r>
      <w:r w:rsidRPr="007C6A42">
        <w:rPr>
          <w:rFonts w:asciiTheme="majorBidi" w:eastAsia="SimSun" w:hAnsiTheme="majorBidi" w:cstheme="majorBidi"/>
          <w:lang w:eastAsia="zh-CN"/>
        </w:rPr>
        <w:t xml:space="preserve"> Il transcrit en caractères latins des termes comme </w:t>
      </w:r>
      <w:r w:rsidRPr="007C6A42">
        <w:rPr>
          <w:rFonts w:asciiTheme="majorBidi" w:eastAsia="SimSun" w:hAnsiTheme="majorBidi" w:cstheme="majorBidi"/>
          <w:i/>
          <w:iCs/>
          <w:lang w:eastAsia="zh-CN"/>
        </w:rPr>
        <w:t>zakāt</w:t>
      </w:r>
      <w:r w:rsidRPr="007C6A42">
        <w:rPr>
          <w:rFonts w:asciiTheme="majorBidi" w:eastAsia="SimSun" w:hAnsiTheme="majorBidi" w:cstheme="majorBidi"/>
          <w:lang w:eastAsia="zh-CN"/>
        </w:rPr>
        <w:t xml:space="preserve"> [aumône] et </w:t>
      </w:r>
      <w:r w:rsidRPr="007C6A42">
        <w:rPr>
          <w:rFonts w:asciiTheme="majorBidi" w:eastAsia="SimSun" w:hAnsiTheme="majorBidi" w:cstheme="majorBidi"/>
          <w:i/>
          <w:iCs/>
          <w:lang w:eastAsia="zh-CN"/>
        </w:rPr>
        <w:t>ṣalāt</w:t>
      </w:r>
      <w:r w:rsidRPr="007C6A42">
        <w:rPr>
          <w:rFonts w:asciiTheme="majorBidi" w:eastAsia="SimSun" w:hAnsiTheme="majorBidi" w:cstheme="majorBidi"/>
          <w:lang w:eastAsia="zh-CN"/>
        </w:rPr>
        <w:t xml:space="preserve"> [prière] pour leur </w:t>
      </w:r>
      <w:r w:rsidRPr="007C6A42">
        <w:rPr>
          <w:rFonts w:asciiTheme="majorBidi" w:eastAsia="SimSun" w:hAnsiTheme="majorBidi" w:cstheme="majorBidi"/>
          <w:lang w:eastAsia="zh-CN"/>
        </w:rPr>
        <w:lastRenderedPageBreak/>
        <w:t xml:space="preserve">spécificité, mais il utilise le mot « Dieu » pour rendre </w:t>
      </w:r>
      <w:r w:rsidRPr="007C6A42">
        <w:rPr>
          <w:rFonts w:asciiTheme="majorBidi" w:eastAsia="SimSun" w:hAnsiTheme="majorBidi" w:cstheme="majorBidi"/>
          <w:i/>
          <w:iCs/>
          <w:lang w:eastAsia="zh-CN"/>
        </w:rPr>
        <w:t>Allāh</w:t>
      </w:r>
      <w:r w:rsidRPr="007C6A42">
        <w:rPr>
          <w:rFonts w:asciiTheme="majorBidi" w:eastAsia="SimSun" w:hAnsiTheme="majorBidi" w:cstheme="majorBidi"/>
          <w:lang w:eastAsia="zh-CN"/>
        </w:rPr>
        <w:t xml:space="preserve"> afin d’élargir le concept d’Allah en disant qu’ « il s’agit bien de Dieu, du Dieu de tous les prophètes, de l’humanité et des mondes »</w:t>
      </w:r>
      <w:r w:rsidRPr="007C6A42">
        <w:rPr>
          <w:rStyle w:val="Appelnotedebasdep"/>
          <w:rFonts w:asciiTheme="majorBidi" w:eastAsia="SimSun" w:hAnsiTheme="majorBidi" w:cstheme="majorBidi"/>
          <w:lang w:eastAsia="zh-CN"/>
        </w:rPr>
        <w:footnoteReference w:id="444"/>
      </w:r>
      <w:r w:rsidRPr="007C6A42">
        <w:rPr>
          <w:rFonts w:asciiTheme="majorBidi" w:eastAsia="SimSun" w:hAnsiTheme="majorBidi" w:cstheme="majorBidi"/>
          <w:lang w:eastAsia="zh-CN"/>
        </w:rPr>
        <w:t xml:space="preserve">. Et pour refléter une certaine richesse exégétique, il a recours à des notes du traducteur où il donne une synthèse des interprétations que l’on trouve dans des exégèses reconnues par les sunnites, mais il exclut </w:t>
      </w:r>
      <w:r w:rsidRPr="007C6A42">
        <w:rPr>
          <w:rFonts w:asciiTheme="majorBidi" w:eastAsia="Calibri" w:hAnsiTheme="majorBidi" w:cstheme="majorBidi"/>
        </w:rPr>
        <w:t xml:space="preserve">les </w:t>
      </w:r>
      <w:r w:rsidRPr="007C6A42">
        <w:rPr>
          <w:rFonts w:asciiTheme="majorBidi" w:eastAsia="Calibri" w:hAnsiTheme="majorBidi" w:cstheme="majorBidi"/>
          <w:i/>
          <w:iCs/>
        </w:rPr>
        <w:t>isrāʾīlīyāt</w:t>
      </w:r>
      <w:r w:rsidRPr="007C6A42">
        <w:rPr>
          <w:rFonts w:asciiTheme="majorBidi" w:eastAsia="Calibri" w:hAnsiTheme="majorBidi" w:cstheme="majorBidi"/>
        </w:rPr>
        <w:t xml:space="preserve"> (les récits d’origine juive ou chrétienne)</w:t>
      </w:r>
      <w:r w:rsidRPr="007C6A42">
        <w:rPr>
          <w:rFonts w:asciiTheme="majorBidi" w:eastAsia="SimSun" w:hAnsiTheme="majorBidi" w:cstheme="majorBidi"/>
          <w:lang w:eastAsia="zh-CN"/>
        </w:rPr>
        <w:t>, les récits et hadiths reconnus faibles et les désaccords, et par conséquent il reflète une partie du patrimoine exégétique sunnite et réduit la polysémie. En outre, il donne les causes de révélation des versets (</w:t>
      </w:r>
      <w:r w:rsidRPr="007C6A42">
        <w:rPr>
          <w:rFonts w:asciiTheme="majorBidi" w:eastAsia="Calibri" w:hAnsiTheme="majorBidi" w:cstheme="majorBidi"/>
          <w:i/>
          <w:iCs/>
        </w:rPr>
        <w:t>asbāb an-nuzūl</w:t>
      </w:r>
      <w:r w:rsidRPr="007C6A42">
        <w:rPr>
          <w:rFonts w:asciiTheme="majorBidi" w:eastAsia="SimSun" w:hAnsiTheme="majorBidi" w:cstheme="majorBidi"/>
          <w:lang w:eastAsia="zh-CN"/>
        </w:rPr>
        <w:t xml:space="preserve">) (selon les sunnites bien entendu), ce qui contextualise le texte et réduit son champ sémantique, alors que l’objectif de l’ordre arbitraire (non chronologique) des sourates du Coran est probablement de décontextualiser le texte et de l’absolutiser. Il évite toute interprétation scientiste, signale les versets abrogeants et abrogés. La traduction de </w:t>
      </w:r>
      <w:r w:rsidRPr="007C6A42">
        <w:rPr>
          <w:rFonts w:asciiTheme="majorBidi" w:eastAsia="Times New Roman" w:hAnsiTheme="majorBidi" w:cstheme="majorBidi"/>
        </w:rPr>
        <w:t>Chiadmi</w:t>
      </w:r>
      <w:r w:rsidRPr="007C6A42">
        <w:rPr>
          <w:rFonts w:asciiTheme="majorBidi" w:eastAsia="SimSun" w:hAnsiTheme="majorBidi" w:cstheme="majorBidi"/>
          <w:lang w:eastAsia="zh-CN"/>
        </w:rPr>
        <w:t xml:space="preserve"> est une traduction sunnite pure sans prendre parti pour l’une des quatre écoles juridiques ou rites (</w:t>
      </w:r>
      <w:r w:rsidRPr="007C6A42">
        <w:rPr>
          <w:rFonts w:asciiTheme="majorBidi" w:eastAsia="SimSun" w:hAnsiTheme="majorBidi" w:cstheme="majorBidi"/>
          <w:i/>
          <w:iCs/>
          <w:lang w:eastAsia="zh-CN"/>
        </w:rPr>
        <w:t>madhhab</w:t>
      </w:r>
      <w:r w:rsidRPr="007C6A42">
        <w:rPr>
          <w:rFonts w:asciiTheme="majorBidi" w:eastAsia="SimSun" w:hAnsiTheme="majorBidi" w:cstheme="majorBidi"/>
          <w:lang w:eastAsia="zh-CN"/>
        </w:rPr>
        <w:t>) sunnites. Il précise, en citant Blachère, que personne ne peut rendre les caractéristiques internes du Coran, les effets dus à la rime et à l’assonance, tout ce qui fait du Coran une manière d’incantation.</w:t>
      </w:r>
    </w:p>
    <w:p w14:paraId="065ED94B" w14:textId="77777777" w:rsidR="00A70B78" w:rsidRPr="007C6A42" w:rsidRDefault="00A70B78" w:rsidP="00A70B78">
      <w:pPr>
        <w:spacing w:line="360" w:lineRule="auto"/>
        <w:ind w:firstLine="708"/>
        <w:jc w:val="both"/>
        <w:rPr>
          <w:rFonts w:asciiTheme="majorBidi" w:eastAsia="SimSun" w:hAnsiTheme="majorBidi" w:cstheme="majorBidi"/>
          <w:lang w:eastAsia="zh-CN"/>
        </w:rPr>
      </w:pPr>
    </w:p>
    <w:p w14:paraId="7FC2C68B"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SimSun" w:hAnsiTheme="majorBidi" w:cstheme="majorBidi"/>
          <w:lang w:eastAsia="zh-CN"/>
        </w:rPr>
        <w:t>En 2001, le Complexe du Roi Fahd de Médine pour l’impression du Noble Coran à Médine (Arabie) a publié sa traduction collective et anonyme des sens du Noble Coran en langue française, traduction basée sur celle de Muhammad Hamidullah, et par la suite plus littérale.</w:t>
      </w:r>
    </w:p>
    <w:p w14:paraId="6E47BA74" w14:textId="77777777" w:rsidR="00A70B78" w:rsidRPr="007C6A42" w:rsidRDefault="00A70B78" w:rsidP="00A70B78">
      <w:pPr>
        <w:spacing w:line="360" w:lineRule="auto"/>
        <w:ind w:firstLine="708"/>
        <w:jc w:val="both"/>
        <w:rPr>
          <w:rFonts w:asciiTheme="majorBidi" w:eastAsia="SimSun" w:hAnsiTheme="majorBidi" w:cstheme="majorBidi"/>
          <w:lang w:eastAsia="zh-CN"/>
        </w:rPr>
      </w:pPr>
    </w:p>
    <w:p w14:paraId="50C8ED00"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SimSun" w:hAnsiTheme="majorBidi" w:cstheme="majorBidi"/>
          <w:lang w:eastAsia="zh-CN"/>
        </w:rPr>
        <w:t>Le complexe du Roi Fahd, situé à Médine en Arabie Saoudite, est la plus grande imprimerie du Coran dans le monde, qui publie le Coran en arabe et dans d’autres langues. Le Complexe imprime environ 10 millions d’exemplaires du Coran par an. Il a publié cinquante-cinq traductions différentes du Coran dans trente-neuf langues.</w:t>
      </w:r>
    </w:p>
    <w:p w14:paraId="4738F264" w14:textId="77777777" w:rsidR="00A70B78" w:rsidRPr="007C6A42" w:rsidRDefault="00A70B78" w:rsidP="00A70B78">
      <w:pPr>
        <w:spacing w:line="360" w:lineRule="auto"/>
        <w:ind w:firstLine="708"/>
        <w:jc w:val="both"/>
        <w:rPr>
          <w:rFonts w:asciiTheme="majorBidi" w:eastAsia="SimSun" w:hAnsiTheme="majorBidi" w:cstheme="majorBidi"/>
          <w:lang w:eastAsia="zh-CN"/>
        </w:rPr>
      </w:pPr>
    </w:p>
    <w:p w14:paraId="6EB7B48D" w14:textId="77777777" w:rsidR="00A70B78" w:rsidRPr="007C6A42" w:rsidRDefault="00A70B78" w:rsidP="00A70B78">
      <w:pPr>
        <w:spacing w:line="360" w:lineRule="auto"/>
        <w:ind w:firstLine="708"/>
        <w:jc w:val="both"/>
        <w:rPr>
          <w:rFonts w:asciiTheme="majorBidi" w:eastAsia="SimSun" w:hAnsiTheme="majorBidi" w:cstheme="majorBidi"/>
          <w:lang w:eastAsia="zh-CN"/>
        </w:rPr>
      </w:pPr>
      <w:r w:rsidRPr="007C6A42">
        <w:rPr>
          <w:rFonts w:asciiTheme="majorBidi" w:eastAsia="SimSun" w:hAnsiTheme="majorBidi" w:cstheme="majorBidi"/>
          <w:lang w:eastAsia="zh-CN"/>
        </w:rPr>
        <w:t xml:space="preserve">Il s’agit d’une traduction dogmatique à vocation prosélyte, qui par conséquent écarte toute interprétation mystique, allégorique ou métaphorique. Les « commissions de traduction » disent dans la préface que la compréhension du Coran est beaucoup plus aisée pour ceux qui jouissent de la connaissance de la langue arabe littéraire alors que beaucoup de termes et de versets sont ambigus même pour les premiers exégètes. Dès le début, les commissions de </w:t>
      </w:r>
      <w:r w:rsidRPr="007C6A42">
        <w:rPr>
          <w:rFonts w:asciiTheme="majorBidi" w:eastAsia="SimSun" w:hAnsiTheme="majorBidi" w:cstheme="majorBidi"/>
          <w:lang w:eastAsia="zh-CN"/>
        </w:rPr>
        <w:lastRenderedPageBreak/>
        <w:t xml:space="preserve">traductions avouent dans la préface que </w:t>
      </w:r>
      <w:r w:rsidRPr="007C6A42">
        <w:rPr>
          <w:rFonts w:asciiTheme="majorBidi" w:eastAsia="SimSun" w:hAnsiTheme="majorBidi" w:cstheme="majorBidi"/>
          <w:i/>
          <w:iCs/>
          <w:lang w:eastAsia="zh-CN"/>
        </w:rPr>
        <w:t>le Coran est une constitution qui organise la vie temporelle des Musulmans et qui contient des règles juridiques</w:t>
      </w:r>
      <w:r w:rsidRPr="007C6A42">
        <w:rPr>
          <w:rFonts w:asciiTheme="majorBidi" w:eastAsia="SimSun" w:hAnsiTheme="majorBidi" w:cstheme="majorBidi"/>
          <w:lang w:eastAsia="zh-CN"/>
        </w:rPr>
        <w:t xml:space="preserve">. Cette idée conditionne le lecteur dès le début et limite l’interprétation de certains versets à un seul aspect juridique. Les commissions soulignent qu’elles ont choisi la traduction de Hamidullah pour sa clarté et sa fidélité au texte arabe et que leur tâche a été limitée à la révision. La traduction du Complexe de Médine transcrit en caractère latins plusieurs termes arabes : </w:t>
      </w:r>
      <w:r w:rsidRPr="007C6A42">
        <w:rPr>
          <w:rFonts w:asciiTheme="majorBidi" w:eastAsia="SimSun" w:hAnsiTheme="majorBidi" w:cstheme="majorBidi"/>
          <w:i/>
          <w:iCs/>
          <w:lang w:eastAsia="zh-CN"/>
        </w:rPr>
        <w:t>Allah</w:t>
      </w:r>
      <w:r w:rsidRPr="007C6A42">
        <w:rPr>
          <w:rFonts w:asciiTheme="majorBidi" w:eastAsia="SimSun" w:hAnsiTheme="majorBidi" w:cstheme="majorBidi"/>
          <w:lang w:eastAsia="zh-CN"/>
        </w:rPr>
        <w:t xml:space="preserve"> [Dieu], </w:t>
      </w:r>
      <w:r w:rsidRPr="007C6A42">
        <w:rPr>
          <w:rFonts w:asciiTheme="majorBidi" w:eastAsia="SimSun" w:hAnsiTheme="majorBidi" w:cstheme="majorBidi"/>
          <w:i/>
          <w:iCs/>
          <w:lang w:eastAsia="zh-CN"/>
        </w:rPr>
        <w:t>ṣalāt</w:t>
      </w:r>
      <w:r w:rsidRPr="007C6A42">
        <w:rPr>
          <w:rFonts w:asciiTheme="majorBidi" w:eastAsia="SimSun" w:hAnsiTheme="majorBidi" w:cstheme="majorBidi"/>
          <w:lang w:eastAsia="zh-CN"/>
        </w:rPr>
        <w:t xml:space="preserve"> [la prière], </w:t>
      </w:r>
      <w:r w:rsidRPr="007C6A42">
        <w:rPr>
          <w:rFonts w:asciiTheme="majorBidi" w:eastAsia="SimSun" w:hAnsiTheme="majorBidi" w:cstheme="majorBidi"/>
          <w:i/>
          <w:iCs/>
          <w:lang w:eastAsia="zh-CN"/>
        </w:rPr>
        <w:t>zakāt</w:t>
      </w:r>
      <w:r w:rsidRPr="007C6A42">
        <w:rPr>
          <w:rFonts w:asciiTheme="majorBidi" w:eastAsia="SimSun" w:hAnsiTheme="majorBidi" w:cstheme="majorBidi"/>
          <w:lang w:eastAsia="zh-CN"/>
        </w:rPr>
        <w:t xml:space="preserve"> [l’aumône], </w:t>
      </w:r>
      <w:r w:rsidRPr="007C6A42">
        <w:rPr>
          <w:rFonts w:asciiTheme="majorBidi" w:eastAsia="SimSun" w:hAnsiTheme="majorBidi" w:cstheme="majorBidi"/>
          <w:i/>
          <w:iCs/>
          <w:lang w:eastAsia="zh-CN"/>
        </w:rPr>
        <w:t>ṣiyām</w:t>
      </w:r>
      <w:r w:rsidRPr="007C6A42">
        <w:rPr>
          <w:rFonts w:asciiTheme="majorBidi" w:eastAsia="SimSun" w:hAnsiTheme="majorBidi" w:cstheme="majorBidi"/>
          <w:lang w:eastAsia="zh-CN"/>
        </w:rPr>
        <w:t xml:space="preserve"> [le jeûne], </w:t>
      </w:r>
      <w:r w:rsidRPr="007C6A42">
        <w:rPr>
          <w:rFonts w:asciiTheme="majorBidi" w:eastAsia="SimSun" w:hAnsiTheme="majorBidi" w:cstheme="majorBidi"/>
          <w:i/>
          <w:iCs/>
          <w:lang w:eastAsia="zh-CN"/>
        </w:rPr>
        <w:t>ḥajj</w:t>
      </w:r>
      <w:r w:rsidRPr="007C6A42">
        <w:rPr>
          <w:rFonts w:asciiTheme="majorBidi" w:eastAsia="SimSun" w:hAnsiTheme="majorBidi" w:cstheme="majorBidi"/>
          <w:lang w:eastAsia="zh-CN"/>
        </w:rPr>
        <w:t xml:space="preserve"> [le pèlerinage] et </w:t>
      </w:r>
      <w:r w:rsidRPr="007C6A42">
        <w:rPr>
          <w:rFonts w:asciiTheme="majorBidi" w:eastAsia="SimSun" w:hAnsiTheme="majorBidi" w:cstheme="majorBidi"/>
          <w:i/>
          <w:iCs/>
          <w:lang w:eastAsia="zh-CN"/>
        </w:rPr>
        <w:t>īmān</w:t>
      </w:r>
      <w:r w:rsidRPr="007C6A42">
        <w:rPr>
          <w:rFonts w:asciiTheme="majorBidi" w:eastAsia="SimSun" w:hAnsiTheme="majorBidi" w:cstheme="majorBidi"/>
          <w:lang w:eastAsia="zh-CN"/>
        </w:rPr>
        <w:t xml:space="preserve"> [la foi]. Ce qui caractérise cette traduction c’est qu’elle est littérale et qu’elle constitue une référence officielle.</w:t>
      </w:r>
    </w:p>
    <w:p w14:paraId="18967757"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5F6D10A8" w14:textId="77777777" w:rsidR="00A70B78" w:rsidRPr="007C6A42" w:rsidRDefault="00A70B78" w:rsidP="00A70B78">
      <w:pPr>
        <w:spacing w:line="360" w:lineRule="auto"/>
        <w:ind w:firstLine="708"/>
        <w:jc w:val="both"/>
        <w:rPr>
          <w:rFonts w:asciiTheme="majorBidi" w:eastAsia="Times New Roman" w:hAnsiTheme="majorBidi" w:cstheme="majorBidi"/>
          <w:rtl/>
        </w:rPr>
      </w:pPr>
      <w:r w:rsidRPr="007C6A42">
        <w:rPr>
          <w:rFonts w:asciiTheme="majorBidi" w:eastAsia="Times New Roman" w:hAnsiTheme="majorBidi" w:cstheme="majorBidi"/>
        </w:rPr>
        <w:t xml:space="preserve">Publié en 2008 aux Éditions de l’Aire, à Vevey (Suisse), </w:t>
      </w:r>
      <w:r w:rsidRPr="007C6A42">
        <w:rPr>
          <w:rFonts w:asciiTheme="majorBidi" w:eastAsia="Times New Roman" w:hAnsiTheme="majorBidi" w:cstheme="majorBidi"/>
          <w:i/>
          <w:iCs/>
        </w:rPr>
        <w:t>Le Coran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arabe - français</w:t>
      </w:r>
      <w:r w:rsidRPr="007C6A42">
        <w:rPr>
          <w:rFonts w:asciiTheme="majorBidi" w:eastAsia="Times New Roman" w:hAnsiTheme="majorBidi" w:cstheme="majorBidi"/>
        </w:rPr>
        <w:t xml:space="preserve"> sur 579 pages, par ordre chronologique a demandé cinq ans de travail à son auteur, le Palestinien chrétien de nationalité suisse Sami Awad Aldeeb Abu-Sahlieh (né en 1949). Ce chercheur juriste responsable du droit arabo-musulman à l’Institut de droit comparé à Lausanne précise que sa traduction a été refusée par 40 maisons d’éditions en Suisse, en France et en Belgique avant d’être publiée en 2008 aux Éditions de l’Aire à Vevey.</w:t>
      </w:r>
      <w:r w:rsidRPr="007C6A42">
        <w:rPr>
          <w:rFonts w:asciiTheme="majorBidi" w:eastAsia="Calibri" w:hAnsiTheme="majorBidi" w:cstheme="majorBidi"/>
          <w:vertAlign w:val="superscript"/>
          <w:lang w:bidi="ar-AE"/>
        </w:rPr>
        <w:footnoteReference w:id="445"/>
      </w:r>
      <w:r w:rsidRPr="007C6A42">
        <w:rPr>
          <w:rFonts w:asciiTheme="majorBidi" w:eastAsia="Times New Roman" w:hAnsiTheme="majorBidi" w:cstheme="majorBidi"/>
        </w:rPr>
        <w:t xml:space="preserve"> Parmi les raisons pour lesquelles les éditeurs ont refusé sa traduction c’est probablement que le traducteur n’a pas respecté l’ordre actuel du Coran, cet ordre sacré qui est considéré par les théologiens musulmans comme </w:t>
      </w:r>
      <w:r w:rsidRPr="007C6A42">
        <w:rPr>
          <w:rFonts w:asciiTheme="majorBidi" w:eastAsia="Times New Roman" w:hAnsiTheme="majorBidi" w:cstheme="majorBidi"/>
          <w:i/>
          <w:iCs/>
        </w:rPr>
        <w:t>tawqīfī</w:t>
      </w:r>
      <w:r w:rsidRPr="007C6A42">
        <w:rPr>
          <w:rFonts w:asciiTheme="majorBidi" w:eastAsia="Times New Roman" w:hAnsiTheme="majorBidi" w:cstheme="majorBidi"/>
        </w:rPr>
        <w:t xml:space="preserve"> [fixé par révélation divine] et non pas</w:t>
      </w:r>
      <w:r w:rsidRPr="007C6A42">
        <w:rPr>
          <w:rFonts w:asciiTheme="majorBidi" w:eastAsia="Times New Roman" w:hAnsiTheme="majorBidi" w:cstheme="majorBidi"/>
          <w:i/>
          <w:iCs/>
        </w:rPr>
        <w:t xml:space="preserve"> ijtihādī</w:t>
      </w:r>
      <w:r w:rsidRPr="007C6A42">
        <w:rPr>
          <w:rFonts w:asciiTheme="majorBidi" w:eastAsia="Times New Roman" w:hAnsiTheme="majorBidi" w:cstheme="majorBidi"/>
        </w:rPr>
        <w:t xml:space="preserve"> [fixé par effort de réflexion des compagnons du Prophète, par convention]</w:t>
      </w:r>
      <w:r w:rsidRPr="007C6A42">
        <w:rPr>
          <w:rStyle w:val="Appelnotedebasdep"/>
          <w:rFonts w:asciiTheme="majorBidi" w:eastAsia="Times New Roman" w:hAnsiTheme="majorBidi" w:cstheme="majorBidi"/>
        </w:rPr>
        <w:footnoteReference w:id="446"/>
      </w:r>
      <w:r w:rsidRPr="007C6A42">
        <w:rPr>
          <w:rFonts w:asciiTheme="majorBidi" w:eastAsia="Times New Roman" w:hAnsiTheme="majorBidi" w:cstheme="majorBidi"/>
        </w:rPr>
        <w:t>.</w:t>
      </w:r>
    </w:p>
    <w:p w14:paraId="7624E4E1" w14:textId="77777777" w:rsidR="00A70B78" w:rsidRPr="007C6A42" w:rsidRDefault="00A70B78" w:rsidP="00A70B78">
      <w:pPr>
        <w:spacing w:line="360" w:lineRule="auto"/>
        <w:jc w:val="both"/>
        <w:rPr>
          <w:rFonts w:asciiTheme="majorBidi" w:eastAsia="Times New Roman" w:hAnsiTheme="majorBidi" w:cstheme="majorBidi"/>
        </w:rPr>
      </w:pPr>
    </w:p>
    <w:p w14:paraId="006D8281" w14:textId="77777777" w:rsidR="00A70B78" w:rsidRPr="007C6A42" w:rsidRDefault="00A70B78" w:rsidP="00A70B78">
      <w:pPr>
        <w:spacing w:line="360" w:lineRule="auto"/>
        <w:ind w:firstLine="708"/>
        <w:jc w:val="both"/>
        <w:rPr>
          <w:rFonts w:asciiTheme="majorBidi" w:eastAsia="Times New Roman" w:hAnsiTheme="majorBidi" w:cstheme="majorBidi"/>
          <w:rtl/>
        </w:rPr>
      </w:pPr>
      <w:r w:rsidRPr="007C6A42">
        <w:rPr>
          <w:rFonts w:asciiTheme="majorBidi" w:eastAsia="Times New Roman" w:hAnsiTheme="majorBidi" w:cstheme="majorBidi"/>
        </w:rPr>
        <w:t xml:space="preserve">La traduction d’Aldeeb n’est pas bien accueillie par les musulmans. Il s’est appuyé non pas sur les exégèses mais sur les traductions précédentes. La méthode qu’il dit avoir suivie pour réaliser sa traduction consiste à confronter une vingtaine de traductions, essentiellement celles du Complexe de Médine, de Hamidullah, Blachère, Masson et Kazimirski pour en tirer la traduction la plus proche de la littéralité du texte, une traduction qu’il trouve meilleure en fonction de ses convictions personnelles. Cela ne l’empêche pas de se référer aux exégèses sunnites célèbres. </w:t>
      </w:r>
      <w:r w:rsidRPr="007C6A42">
        <w:rPr>
          <w:rFonts w:asciiTheme="majorBidi" w:eastAsia="Times New Roman" w:hAnsiTheme="majorBidi" w:cstheme="majorBidi"/>
        </w:rPr>
        <w:lastRenderedPageBreak/>
        <w:t>Mais contrairement à Berque qui essaie d’éclairer le texte au lecteur même si le texte de départ n’est pas aussi clair, Aldeeb garde souvent l’ambiguïté du texte arabe. Il a signalé, par correspondance</w:t>
      </w:r>
      <w:r w:rsidRPr="007C6A42">
        <w:rPr>
          <w:rStyle w:val="Appelnotedebasdep"/>
          <w:rFonts w:asciiTheme="majorBidi" w:eastAsia="Times New Roman" w:hAnsiTheme="majorBidi" w:cstheme="majorBidi"/>
        </w:rPr>
        <w:footnoteReference w:id="447"/>
      </w:r>
      <w:r w:rsidRPr="007C6A42">
        <w:rPr>
          <w:rFonts w:asciiTheme="majorBidi" w:eastAsia="Times New Roman" w:hAnsiTheme="majorBidi" w:cstheme="majorBidi"/>
        </w:rPr>
        <w:t>, qu’il avait écrit à une traductrice italienne du Coran, Ida Zilio Grandi, pour lui dire que sa traduction est meilleure que le texte arabe parce qu’elle a éclairé les points ambigus et a donné un texte italien compréhensible alors que le texte arabe ne l’est pas. Éclairer l’ambiguïté c’est choisir un sens déterminé, c’est réduire la polysémie, c’est déformer la traduction. Cependant, si Aldeeb considère que la traduction de Ida Zilio Grandi embellit le Coran arabe, sa traduction est aussi déformante que celle de Zilio Grandi, car il a recours à une autre méthode déformante opposée à celle de l’embellissement (ou l’ennoblissement selon les termes d’Antoine Berman), c’est la tendance de l’avilissement de la traduction, qui est l’autre face de l’ennoblissement.</w:t>
      </w:r>
    </w:p>
    <w:p w14:paraId="04343E99"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63521BBE"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Le propre de la traduction d’Aldeeb en ordre chronologique est de normaliser la terminologie (rendre un terme arabe par un mot français unique), à l’instar de celle de Blachère, de donner les différentes variantes de lectures (</w:t>
      </w:r>
      <w:r w:rsidRPr="007C6A42">
        <w:rPr>
          <w:rFonts w:asciiTheme="majorBidi" w:eastAsia="Times New Roman" w:hAnsiTheme="majorBidi" w:cstheme="majorBidi"/>
          <w:i/>
          <w:iCs/>
        </w:rPr>
        <w:t>qirāʾāt</w:t>
      </w:r>
      <w:r w:rsidRPr="007C6A42">
        <w:rPr>
          <w:rFonts w:asciiTheme="majorBidi" w:eastAsia="Times New Roman" w:hAnsiTheme="majorBidi" w:cstheme="majorBidi"/>
        </w:rPr>
        <w:t>), les versets abrogés et abrogeants et les différentes sources juives, et de citer en note d’autres traductions quand le terme arabe est ambigu. Cela peut avoir l’effet de garder une valeur polysémique plus ou moins proche du texte-source. Aldeeb n’a pas essayé de rendre clair un mot ou un verset ambigu. Pour lui, donner une traduction claire pour un texte équivoque est une sorte d’infidélité. L’objectif de Sami Aldeeb est de :</w:t>
      </w:r>
    </w:p>
    <w:p w14:paraId="5FFF3B25" w14:textId="77777777" w:rsidR="00A70B78" w:rsidRPr="007C6A42" w:rsidRDefault="00A70B78" w:rsidP="00876BB0">
      <w:pPr>
        <w:pStyle w:val="Paragraphedeliste"/>
        <w:numPr>
          <w:ilvl w:val="0"/>
          <w:numId w:val="102"/>
        </w:numPr>
        <w:bidi w:val="0"/>
        <w:spacing w:after="0" w:line="360" w:lineRule="auto"/>
        <w:jc w:val="both"/>
        <w:rPr>
          <w:rFonts w:asciiTheme="majorBidi" w:hAnsiTheme="majorBidi" w:cstheme="majorBidi"/>
          <w:sz w:val="24"/>
          <w:szCs w:val="24"/>
        </w:rPr>
      </w:pPr>
      <w:r w:rsidRPr="007C6A42">
        <w:rPr>
          <w:rFonts w:asciiTheme="majorBidi" w:hAnsiTheme="majorBidi" w:cstheme="majorBidi"/>
          <w:sz w:val="24"/>
          <w:szCs w:val="24"/>
        </w:rPr>
        <w:t xml:space="preserve">réaliser une nouvelle traduction exhaustive (qui contienne tous les éléments nécessaires à la compréhension du Coran comme les </w:t>
      </w:r>
      <w:r w:rsidRPr="007C6A42">
        <w:rPr>
          <w:rFonts w:asciiTheme="majorBidi" w:hAnsiTheme="majorBidi" w:cstheme="majorBidi"/>
          <w:i/>
          <w:iCs/>
          <w:sz w:val="24"/>
          <w:szCs w:val="24"/>
        </w:rPr>
        <w:t>qirāʾāt</w:t>
      </w:r>
      <w:r w:rsidRPr="007C6A42">
        <w:rPr>
          <w:rFonts w:asciiTheme="majorBidi" w:hAnsiTheme="majorBidi" w:cstheme="majorBidi"/>
          <w:sz w:val="24"/>
          <w:szCs w:val="24"/>
        </w:rPr>
        <w:t xml:space="preserve">, le </w:t>
      </w:r>
      <w:r w:rsidRPr="007C6A42">
        <w:rPr>
          <w:rFonts w:asciiTheme="majorBidi" w:hAnsiTheme="majorBidi" w:cstheme="majorBidi"/>
          <w:i/>
          <w:iCs/>
          <w:sz w:val="24"/>
          <w:szCs w:val="24"/>
        </w:rPr>
        <w:t>nāsikh wa-mansūkh</w:t>
      </w:r>
      <w:r w:rsidRPr="007C6A42">
        <w:rPr>
          <w:rFonts w:asciiTheme="majorBidi" w:hAnsiTheme="majorBidi" w:cstheme="majorBidi"/>
          <w:sz w:val="24"/>
          <w:szCs w:val="24"/>
        </w:rPr>
        <w:t xml:space="preserve"> [l’abrogation], l’ordre chronologique, les sources du Coran, etc.) ;</w:t>
      </w:r>
    </w:p>
    <w:p w14:paraId="5D8CE357" w14:textId="77777777" w:rsidR="00A70B78" w:rsidRPr="007C6A42" w:rsidRDefault="00A70B78" w:rsidP="00876BB0">
      <w:pPr>
        <w:pStyle w:val="Paragraphedeliste"/>
        <w:numPr>
          <w:ilvl w:val="0"/>
          <w:numId w:val="102"/>
        </w:numPr>
        <w:bidi w:val="0"/>
        <w:spacing w:after="0" w:line="360" w:lineRule="auto"/>
        <w:jc w:val="both"/>
        <w:rPr>
          <w:rFonts w:asciiTheme="majorBidi" w:hAnsiTheme="majorBidi" w:cstheme="majorBidi"/>
          <w:sz w:val="24"/>
          <w:szCs w:val="24"/>
        </w:rPr>
      </w:pPr>
      <w:r w:rsidRPr="007C6A42">
        <w:rPr>
          <w:rFonts w:asciiTheme="majorBidi" w:hAnsiTheme="majorBidi" w:cstheme="majorBidi"/>
          <w:sz w:val="24"/>
          <w:szCs w:val="24"/>
        </w:rPr>
        <w:lastRenderedPageBreak/>
        <w:t>répondre aux aspirations de l’écrivain et linguiste égyptien Muḥammad Aḥmad Khalaf Allāh (1904-1983) concernant la publication du Coran selon l’ordre chronologique ;</w:t>
      </w:r>
    </w:p>
    <w:p w14:paraId="00FA65D6" w14:textId="77777777" w:rsidR="00A70B78" w:rsidRPr="007C6A42" w:rsidRDefault="00A70B78" w:rsidP="00876BB0">
      <w:pPr>
        <w:pStyle w:val="Paragraphedeliste"/>
        <w:numPr>
          <w:ilvl w:val="0"/>
          <w:numId w:val="102"/>
        </w:numPr>
        <w:bidi w:val="0"/>
        <w:spacing w:after="0" w:line="360" w:lineRule="auto"/>
        <w:jc w:val="both"/>
        <w:rPr>
          <w:rFonts w:asciiTheme="majorBidi" w:hAnsiTheme="majorBidi" w:cstheme="majorBidi"/>
          <w:sz w:val="24"/>
          <w:szCs w:val="24"/>
        </w:rPr>
      </w:pPr>
      <w:r w:rsidRPr="007C6A42">
        <w:rPr>
          <w:rFonts w:asciiTheme="majorBidi" w:hAnsiTheme="majorBidi" w:cstheme="majorBidi"/>
          <w:sz w:val="24"/>
          <w:szCs w:val="24"/>
        </w:rPr>
        <w:t>appliquer la théorie du cheikh soudanais Maḥmūd Muḥammad Ṭāha (1909-1985) concernant le Coran mecquois valide et le Coran médinois invalide.</w:t>
      </w:r>
    </w:p>
    <w:p w14:paraId="2121856E" w14:textId="77777777" w:rsidR="00A70B78" w:rsidRPr="007C6A42" w:rsidRDefault="00A70B78" w:rsidP="00876BB0">
      <w:pPr>
        <w:pStyle w:val="Paragraphedeliste"/>
        <w:numPr>
          <w:ilvl w:val="0"/>
          <w:numId w:val="102"/>
        </w:numPr>
        <w:bidi w:val="0"/>
        <w:spacing w:after="0" w:line="360" w:lineRule="auto"/>
        <w:jc w:val="both"/>
        <w:rPr>
          <w:rFonts w:asciiTheme="majorBidi" w:hAnsiTheme="majorBidi" w:cstheme="majorBidi"/>
          <w:sz w:val="24"/>
          <w:szCs w:val="24"/>
        </w:rPr>
      </w:pPr>
      <w:r w:rsidRPr="007C6A42">
        <w:rPr>
          <w:rFonts w:asciiTheme="majorBidi" w:hAnsiTheme="majorBidi" w:cstheme="majorBidi"/>
          <w:sz w:val="24"/>
          <w:szCs w:val="24"/>
        </w:rPr>
        <w:t>essayer de mieux comprendre le texte coranique à travers le processus de la traduction et réaliser une traduction satisfaisante que le traducteur puisse utiliser dans ses recherches.</w:t>
      </w:r>
    </w:p>
    <w:p w14:paraId="1E0899C4" w14:textId="77777777" w:rsidR="00A70B78" w:rsidRPr="007C6A42" w:rsidRDefault="00A70B78" w:rsidP="00A70B78">
      <w:pPr>
        <w:spacing w:line="360" w:lineRule="auto"/>
        <w:jc w:val="both"/>
        <w:rPr>
          <w:rFonts w:asciiTheme="majorBidi" w:eastAsia="Times New Roman" w:hAnsiTheme="majorBidi" w:cstheme="majorBidi"/>
        </w:rPr>
      </w:pPr>
    </w:p>
    <w:p w14:paraId="4AFFBA26"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En 2009, Malek Chebel (1953-2016) anthropologue et écrivain d’origine algérienne, a proposé une nouvelle traduction du Coran. Malek Chebel déclare qu’il cherche, à travers cette nouvelle traduction, à rendre le contenu du Coran plus accessible, tout en respectant son contenu. Cependant, des commentaires de lecteurs publiés sur Internet</w:t>
      </w:r>
      <w:r w:rsidRPr="007C6A42">
        <w:rPr>
          <w:rFonts w:asciiTheme="majorBidi" w:eastAsia="Calibri" w:hAnsiTheme="majorBidi" w:cstheme="majorBidi"/>
          <w:vertAlign w:val="superscript"/>
          <w:lang w:bidi="ar-AE"/>
        </w:rPr>
        <w:footnoteReference w:id="448"/>
      </w:r>
      <w:r w:rsidRPr="007C6A42">
        <w:rPr>
          <w:rFonts w:asciiTheme="majorBidi" w:eastAsia="Times New Roman" w:hAnsiTheme="majorBidi" w:cstheme="majorBidi"/>
        </w:rPr>
        <w:t xml:space="preserve"> disent le contraire. Certains disent avoir besoin de consulter des dictionnaires ou d’autres traductions pour comprendre celle de Chebel. D’autres y trouvent également des erreurs flagrantes</w:t>
      </w:r>
      <w:r w:rsidRPr="007C6A42">
        <w:rPr>
          <w:rFonts w:asciiTheme="majorBidi" w:eastAsia="Calibri" w:hAnsiTheme="majorBidi" w:cstheme="majorBidi"/>
          <w:vertAlign w:val="superscript"/>
          <w:lang w:bidi="ar-AE"/>
        </w:rPr>
        <w:footnoteReference w:id="449"/>
      </w:r>
      <w:r w:rsidRPr="007C6A42">
        <w:rPr>
          <w:rFonts w:asciiTheme="majorBidi" w:eastAsia="Times New Roman" w:hAnsiTheme="majorBidi" w:cstheme="majorBidi"/>
        </w:rPr>
        <w:t>. Chebel précise dans son introduction que son objectif est de mettre à jour la traduction et « de montrer que le Coran peut soutenir la marche du progrès scientifique, tant du point de vue éthique que, plus directement, sur les plans politique et social. »</w:t>
      </w:r>
      <w:r w:rsidRPr="007C6A42">
        <w:rPr>
          <w:rStyle w:val="Appelnotedebasdep"/>
          <w:rFonts w:asciiTheme="majorBidi" w:eastAsia="Times New Roman" w:hAnsiTheme="majorBidi" w:cstheme="majorBidi"/>
        </w:rPr>
        <w:footnoteReference w:id="450"/>
      </w:r>
      <w:r w:rsidRPr="007C6A42">
        <w:rPr>
          <w:rFonts w:asciiTheme="majorBidi" w:eastAsia="Times New Roman" w:hAnsiTheme="majorBidi" w:cstheme="majorBidi"/>
        </w:rPr>
        <w:t xml:space="preserve"> Ici, nous remarquons une tendance concordiste dans le </w:t>
      </w:r>
      <w:r w:rsidRPr="007C6A42">
        <w:rPr>
          <w:rFonts w:asciiTheme="majorBidi" w:eastAsia="Times New Roman" w:hAnsiTheme="majorBidi" w:cstheme="majorBidi"/>
          <w:i/>
          <w:iCs/>
        </w:rPr>
        <w:t>skopos</w:t>
      </w:r>
      <w:r w:rsidRPr="007C6A42">
        <w:rPr>
          <w:rFonts w:asciiTheme="majorBidi" w:eastAsia="Times New Roman" w:hAnsiTheme="majorBidi" w:cstheme="majorBidi"/>
        </w:rPr>
        <w:t xml:space="preserve"> (l’objectif) de la traduction de Chebel. La nouveauté de cette traduction, selon le traducteur, est qu’elle est accompagnée d’un dictionnaire considéré comme complément de la traduction.</w:t>
      </w:r>
    </w:p>
    <w:p w14:paraId="4F952001"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26F9A094" w14:textId="77777777" w:rsidR="00A70B78" w:rsidRPr="007C6A42" w:rsidRDefault="00A70B78" w:rsidP="00A70B78">
      <w:pPr>
        <w:spacing w:line="360" w:lineRule="auto"/>
        <w:ind w:firstLine="708"/>
        <w:jc w:val="both"/>
        <w:rPr>
          <w:rFonts w:asciiTheme="majorBidi" w:eastAsia="Times New Roman" w:hAnsiTheme="majorBidi" w:cstheme="majorBidi"/>
          <w:color w:val="0070C0"/>
        </w:rPr>
      </w:pPr>
      <w:r w:rsidRPr="007C6A42">
        <w:rPr>
          <w:rFonts w:asciiTheme="majorBidi" w:eastAsia="Times New Roman" w:hAnsiTheme="majorBidi" w:cstheme="majorBidi"/>
        </w:rPr>
        <w:t>La traduction de l’égyptienne Zeinab Abdelaziz (née en 1935), artiste peintre et professeur émérite de civilisation française à l’Université Al-Azhar à l’Université Ménoufiya, a été publiée en 2002 et rééditée en 2009 et 2014. Le choix de la transcription des termes musulmans qui ont un équivalent français semble limiter le champ sémantique et réduire la polysémie en fixant un seul sens du mot.</w:t>
      </w:r>
    </w:p>
    <w:p w14:paraId="51921BEA"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6D45CB27"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lastRenderedPageBreak/>
        <w:t>Dans sa traduction, Zeinab Abdelaziz part de l’idée que le Coran a un sens fixe (ce que les exégètes ne disent pas) et de sa conviction que les autres traductions débordent d’erreurs</w:t>
      </w:r>
      <w:r w:rsidRPr="007C6A42">
        <w:rPr>
          <w:rFonts w:asciiTheme="majorBidi" w:eastAsia="Times New Roman" w:hAnsiTheme="majorBidi" w:cstheme="majorBidi"/>
          <w:i/>
          <w:iCs/>
        </w:rPr>
        <w:t xml:space="preserve"> préméditées</w:t>
      </w:r>
      <w:r w:rsidRPr="007C6A42">
        <w:rPr>
          <w:rFonts w:asciiTheme="majorBidi" w:eastAsia="Times New Roman" w:hAnsiTheme="majorBidi" w:cstheme="majorBidi"/>
        </w:rPr>
        <w:t xml:space="preserve"> et déformantes dues au manque de probité et de capacité scientifiques chez les traducteurs. Elle attache une grande importance à l’identité religieuse du traducteur (à l’instar de Hamidullah) et divise les traducteurs entre musulmans bienveillants et orientalistes malveillants (comme Berque en particulier). Dans l’avant-propos de sa traduction, Abdelaziz critique les orientalistes bien que leurs contributions à l’évolution de la traduction du Coran soient très importantes. Ainsi sa traduction apologétique, dogmatique, sourcière et quasi dépaysante (</w:t>
      </w:r>
      <w:r w:rsidRPr="007C6A42">
        <w:rPr>
          <w:rFonts w:asciiTheme="majorBidi" w:eastAsia="Times New Roman" w:hAnsiTheme="majorBidi" w:cstheme="majorBidi"/>
          <w:i/>
          <w:iCs/>
        </w:rPr>
        <w:t>foreignizing</w:t>
      </w:r>
      <w:r w:rsidRPr="007C6A42">
        <w:rPr>
          <w:rFonts w:asciiTheme="majorBidi" w:eastAsia="Times New Roman" w:hAnsiTheme="majorBidi" w:cstheme="majorBidi"/>
        </w:rPr>
        <w:t xml:space="preserve">) s’inscrit dans une logique de défense et de conflit. Elle veut rectifier l’image de l’islam à travers sa traduction du Coran. Elle adopte la lecture de Ḥafṣ, la numérotation égyptienne du </w:t>
      </w:r>
      <w:r w:rsidRPr="007C6A42">
        <w:rPr>
          <w:rFonts w:asciiTheme="majorBidi" w:eastAsia="Times New Roman" w:hAnsiTheme="majorBidi" w:cstheme="majorBidi"/>
          <w:i/>
          <w:iCs/>
        </w:rPr>
        <w:t xml:space="preserve">muṣḥaf </w:t>
      </w:r>
      <w:r w:rsidRPr="007C6A42">
        <w:rPr>
          <w:rFonts w:asciiTheme="majorBidi" w:eastAsia="Times New Roman" w:hAnsiTheme="majorBidi" w:cstheme="majorBidi"/>
        </w:rPr>
        <w:t>et l’exégèse d’al-Qurṭubī et ar-Rāzī et attache une grande importance au texte-source arabe au détriment du texte-cible français. Pour elle, le texte arabe est au centre de l’opération traduisante, une position qui donne l’autorité au texte et non pas au lecteur.</w:t>
      </w:r>
    </w:p>
    <w:p w14:paraId="298F8DA2" w14:textId="77777777" w:rsidR="00A70B78" w:rsidRPr="007C6A42" w:rsidRDefault="00A70B78" w:rsidP="00A70B78">
      <w:pPr>
        <w:spacing w:line="360" w:lineRule="auto"/>
        <w:jc w:val="both"/>
        <w:rPr>
          <w:rFonts w:asciiTheme="majorBidi" w:eastAsia="Times New Roman" w:hAnsiTheme="majorBidi" w:cstheme="majorBidi"/>
        </w:rPr>
      </w:pPr>
    </w:p>
    <w:p w14:paraId="03393A13" w14:textId="77777777" w:rsidR="00A70B78" w:rsidRPr="007C6A42" w:rsidRDefault="00A70B78" w:rsidP="00A70B78">
      <w:pPr>
        <w:spacing w:line="360" w:lineRule="auto"/>
        <w:ind w:firstLine="708"/>
        <w:jc w:val="both"/>
        <w:rPr>
          <w:rFonts w:asciiTheme="majorBidi" w:eastAsia="Calibri" w:hAnsiTheme="majorBidi" w:cstheme="majorBidi"/>
          <w:lang w:bidi="ar-AE"/>
        </w:rPr>
      </w:pPr>
      <w:r w:rsidRPr="007C6A42">
        <w:rPr>
          <w:rFonts w:asciiTheme="majorBidi" w:eastAsia="Times New Roman" w:hAnsiTheme="majorBidi" w:cstheme="majorBidi"/>
        </w:rPr>
        <w:t xml:space="preserve">En 2010, Hachemi Hafiane a publié une </w:t>
      </w:r>
      <w:r w:rsidRPr="007C6A42">
        <w:rPr>
          <w:rFonts w:asciiTheme="majorBidi" w:eastAsia="Calibri" w:hAnsiTheme="majorBidi" w:cstheme="majorBidi"/>
          <w:lang w:bidi="ar-AE"/>
        </w:rPr>
        <w:t xml:space="preserve">traduction accompagnée du texte arabe à droite. </w:t>
      </w:r>
      <w:r w:rsidRPr="007C6A42">
        <w:rPr>
          <w:rFonts w:asciiTheme="majorBidi" w:eastAsia="Times New Roman" w:hAnsiTheme="majorBidi" w:cstheme="majorBidi"/>
        </w:rPr>
        <w:t>Franco-algérien né en 1939 au Maroc dans un milieu imprégné par la pratique des valeurs traditionnelles musulmanes, Hafiane Hachemi a enseigné aux lycéens en Algérie. Musicien, il a dirigé le Conservatoire d’Oran. Sa connaissance des différentes traductions du Coran issue de ses études coraniques et bibliques lui permet d’en proposer une traduction nouvelle.</w:t>
      </w:r>
    </w:p>
    <w:p w14:paraId="4575A38C"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La traduction de Hafiane est une traduction dogmatique à but apologétique et prosélyte. Quant à l’objectif de sa traduction, il souligne dans son avant-propos qu’il s’est efforcé de traduire le Coran « que nul ne pourra jamais traduire fidèlement » « à l’intention des francophones qui ne peuvent le lire en langue arabe » pour « les aider à le comprendre et les inviter à méditer et à réfléchir profondément sur les paroles du texte sacré »</w:t>
      </w:r>
      <w:r w:rsidRPr="007C6A42">
        <w:rPr>
          <w:rStyle w:val="Appelnotedebasdep"/>
          <w:rFonts w:asciiTheme="majorBidi" w:hAnsiTheme="majorBidi" w:cstheme="majorBidi"/>
        </w:rPr>
        <w:footnoteReference w:id="451"/>
      </w:r>
      <w:r w:rsidRPr="007C6A42">
        <w:rPr>
          <w:rFonts w:asciiTheme="majorBidi" w:eastAsia="Times New Roman" w:hAnsiTheme="majorBidi" w:cstheme="majorBidi"/>
        </w:rPr>
        <w:t xml:space="preserve">. Au lieu d’exposer sa méthode de traduction, le traducteur utilise dans l’Avant-propos un langage prosélyte et attaque les athées, en racontant, pour prouver l’existence de Dieu, un dialogue entre lui et son fils de quatre ans et un rêve qu’il a fait sur la lumière de Dieu, ainsi que sa discussion avec un athée qui, « acculé, visiblement à court d’arguments, voulut clore la discussion », dit le traducteur. Quant aux références de sa traduction, le traducteur souligne dans son avant-propos qu’il s’est </w:t>
      </w:r>
      <w:r w:rsidRPr="007C6A42">
        <w:rPr>
          <w:rFonts w:asciiTheme="majorBidi" w:eastAsia="Times New Roman" w:hAnsiTheme="majorBidi" w:cstheme="majorBidi"/>
        </w:rPr>
        <w:lastRenderedPageBreak/>
        <w:t>inspiré « des plus illustres commentateurs et exégètes du Saint Coran »</w:t>
      </w:r>
      <w:r w:rsidRPr="007C6A42">
        <w:rPr>
          <w:rStyle w:val="Appelnotedebasdep"/>
          <w:rFonts w:asciiTheme="majorBidi" w:hAnsiTheme="majorBidi" w:cstheme="majorBidi"/>
        </w:rPr>
        <w:footnoteReference w:id="452"/>
      </w:r>
      <w:r w:rsidRPr="007C6A42">
        <w:rPr>
          <w:rFonts w:asciiTheme="majorBidi" w:eastAsia="Times New Roman" w:hAnsiTheme="majorBidi" w:cstheme="majorBidi"/>
        </w:rPr>
        <w:t xml:space="preserve"> (pour donner de la crédibilité à sa traduction et de l’acceptabilité auprès des musulmans francophones). et qu’il a consulté « les travaux scientifiques les plus récents et les plus rigoureux, pour comprendre et interpréter correctement le sens de certains versets coraniques »</w:t>
      </w:r>
      <w:r w:rsidRPr="007C6A42">
        <w:rPr>
          <w:rStyle w:val="Appelnotedebasdep"/>
          <w:rFonts w:asciiTheme="majorBidi" w:hAnsiTheme="majorBidi" w:cstheme="majorBidi"/>
        </w:rPr>
        <w:footnoteReference w:id="453"/>
      </w:r>
      <w:r w:rsidRPr="007C6A42">
        <w:rPr>
          <w:rFonts w:asciiTheme="majorBidi" w:eastAsia="Times New Roman" w:hAnsiTheme="majorBidi" w:cstheme="majorBidi"/>
        </w:rPr>
        <w:t xml:space="preserve"> (dans le but de donner plus de persuasion</w:t>
      </w:r>
      <w:r w:rsidRPr="007C6A42">
        <w:rPr>
          <w:rStyle w:val="Appelnotedebasdep"/>
          <w:rFonts w:asciiTheme="majorBidi" w:eastAsia="Times New Roman" w:hAnsiTheme="majorBidi" w:cstheme="majorBidi"/>
        </w:rPr>
        <w:footnoteReference w:id="454"/>
      </w:r>
      <w:r w:rsidRPr="007C6A42">
        <w:rPr>
          <w:rFonts w:asciiTheme="majorBidi" w:eastAsia="Times New Roman" w:hAnsiTheme="majorBidi" w:cstheme="majorBidi"/>
        </w:rPr>
        <w:t xml:space="preserve">), ce qui laisse entendre qu’il est parti d’une idée concordiste, probablement dans le but de convaincre la jeunesse musulmane (issue de l’immigration) imprégnée par des idées athéistes. Ici, le </w:t>
      </w:r>
      <w:r w:rsidRPr="007C6A42">
        <w:rPr>
          <w:rFonts w:asciiTheme="majorBidi" w:hAnsiTheme="majorBidi" w:cstheme="majorBidi"/>
          <w:i/>
        </w:rPr>
        <w:t>skopos</w:t>
      </w:r>
      <w:r w:rsidRPr="007C6A42">
        <w:rPr>
          <w:rFonts w:asciiTheme="majorBidi" w:hAnsiTheme="majorBidi" w:cstheme="majorBidi"/>
        </w:rPr>
        <w:t xml:space="preserve"> de cette traduction (son objectif) est le musulman qui n’a pas accès au texte original du Coran</w:t>
      </w:r>
      <w:r w:rsidRPr="007C6A42">
        <w:rPr>
          <w:rFonts w:asciiTheme="majorBidi" w:eastAsia="Times New Roman" w:hAnsiTheme="majorBidi" w:cstheme="majorBidi"/>
        </w:rPr>
        <w:t>.</w:t>
      </w:r>
    </w:p>
    <w:p w14:paraId="4D1017FD"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7D75257D"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Cette traduction la plus récente, inspirée des plus illustres commentateurs et exégètes sunnites dont elle propose une synthèse, opte souvent pour l’interprétation la plus ancienne et la plus orthodoxe. Par exemple, pour le verset XXII, 15, le traducteur choisit l’interprétation conflictuelle qui fait allusion au conflit politique entre le prophète Mahomet et ses adversaires. Il est à noter qu’à l’exception des exégèses mystiques la plupart des exégèses contemporaines comme </w:t>
      </w:r>
      <w:r w:rsidRPr="007C6A42">
        <w:rPr>
          <w:rFonts w:asciiTheme="majorBidi" w:eastAsia="Times New Roman" w:hAnsiTheme="majorBidi" w:cstheme="majorBidi"/>
          <w:i/>
          <w:iCs/>
        </w:rPr>
        <w:t>Al-Muntakhab</w:t>
      </w:r>
      <w:r w:rsidRPr="007C6A42">
        <w:rPr>
          <w:rFonts w:asciiTheme="majorBidi" w:eastAsia="Times New Roman" w:hAnsiTheme="majorBidi" w:cstheme="majorBidi"/>
        </w:rPr>
        <w:t xml:space="preserve"> d’Al-Azhar et </w:t>
      </w:r>
      <w:r w:rsidRPr="007C6A42">
        <w:rPr>
          <w:rFonts w:asciiTheme="majorBidi" w:eastAsia="Times New Roman" w:hAnsiTheme="majorBidi" w:cstheme="majorBidi"/>
          <w:i/>
          <w:iCs/>
        </w:rPr>
        <w:t>At-Tafsīr al-Muyassar</w:t>
      </w:r>
      <w:r w:rsidRPr="007C6A42">
        <w:rPr>
          <w:rFonts w:asciiTheme="majorBidi" w:eastAsia="Times New Roman" w:hAnsiTheme="majorBidi" w:cstheme="majorBidi"/>
        </w:rPr>
        <w:t xml:space="preserve"> du Complexe de Médine ont également choisi l’interprétation conflictuelle ancienne.</w:t>
      </w:r>
    </w:p>
    <w:p w14:paraId="122C31C9"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447EABC9"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À l’instar de Zeinab Abdelaziz, Hafiane dénigre les traducteurs orientalistes pour avoir traduit parfois à contresens et transgressé le texte sacré et il critique les traducteurs arabophones pour leur manque de maîtrise du français. Il souligne que chaque traduction présente sa propre interprétation du texte coranique.</w:t>
      </w:r>
    </w:p>
    <w:p w14:paraId="4A910799"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38DD60A8"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Dans son </w:t>
      </w:r>
      <w:r w:rsidRPr="007C6A42">
        <w:rPr>
          <w:rFonts w:asciiTheme="majorBidi" w:eastAsia="Times New Roman" w:hAnsiTheme="majorBidi" w:cstheme="majorBidi"/>
          <w:i/>
          <w:iCs/>
        </w:rPr>
        <w:t>Avant-propos</w:t>
      </w:r>
      <w:r w:rsidRPr="007C6A42">
        <w:rPr>
          <w:rFonts w:asciiTheme="majorBidi" w:eastAsia="Times New Roman" w:hAnsiTheme="majorBidi" w:cstheme="majorBidi"/>
        </w:rPr>
        <w:t xml:space="preserve">, Hafiane souligne avoir utilisé une langue simple, claire et accessible au lecteur francophone. Il a recouru à l’adaptation et a contourné certaines phrases ambiguës. Il ajoute que le texte arabe est clair mais intraduisible fidèlement et que malgré cela, le </w:t>
      </w:r>
      <w:r w:rsidRPr="007C6A42">
        <w:rPr>
          <w:rFonts w:asciiTheme="majorBidi" w:eastAsia="Times New Roman" w:hAnsiTheme="majorBidi" w:cstheme="majorBidi"/>
        </w:rPr>
        <w:lastRenderedPageBreak/>
        <w:t>traduire est un devoir sacré (sachant qu’avant il a été interdit de le traduire, comme nous l’avons déjà précisé au chapitre 2 de la partie I à propos de la fatwa d’</w:t>
      </w:r>
      <w:r w:rsidRPr="007C6A42">
        <w:rPr>
          <w:rFonts w:asciiTheme="majorBidi" w:eastAsia="Times New Roman" w:hAnsiTheme="majorBidi" w:cstheme="majorBidi"/>
          <w:lang w:bidi="ar-KW"/>
        </w:rPr>
        <w:t>Ibn Taymīya</w:t>
      </w:r>
      <w:r w:rsidRPr="007C6A42">
        <w:rPr>
          <w:rFonts w:asciiTheme="majorBidi" w:eastAsia="Times New Roman" w:hAnsiTheme="majorBidi" w:cstheme="majorBidi"/>
        </w:rPr>
        <w:t>)</w:t>
      </w:r>
      <w:r w:rsidRPr="007C6A42">
        <w:rPr>
          <w:rFonts w:asciiTheme="majorBidi" w:eastAsia="Calibri" w:hAnsiTheme="majorBidi" w:cstheme="majorBidi"/>
          <w:vertAlign w:val="superscript"/>
          <w:lang w:bidi="ar-AE"/>
        </w:rPr>
        <w:footnoteReference w:id="455"/>
      </w:r>
      <w:r w:rsidRPr="007C6A42">
        <w:rPr>
          <w:rFonts w:asciiTheme="majorBidi" w:eastAsia="Times New Roman" w:hAnsiTheme="majorBidi" w:cstheme="majorBidi"/>
        </w:rPr>
        <w:t>.</w:t>
      </w:r>
    </w:p>
    <w:p w14:paraId="1FD1F256"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544A96E5"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Le professeur de théologie musulmane Hocine Raïs souligne dans la préface que chaque traduction, grâce à ses spécificités, contribue à mieux faire connaître le message musulman (</w:t>
      </w:r>
      <w:r w:rsidRPr="007C6A42">
        <w:rPr>
          <w:rFonts w:asciiTheme="majorBidi" w:eastAsia="SimSun" w:hAnsiTheme="majorBidi" w:cstheme="majorBidi"/>
          <w:lang w:eastAsia="zh-CN"/>
        </w:rPr>
        <w:t xml:space="preserve">la même idée de </w:t>
      </w:r>
      <w:r w:rsidRPr="007C6A42">
        <w:rPr>
          <w:rFonts w:asciiTheme="majorBidi" w:eastAsia="Calibri" w:hAnsiTheme="majorBidi" w:cstheme="majorBidi"/>
        </w:rPr>
        <w:t>Maurice Borrmans</w:t>
      </w:r>
      <w:r w:rsidRPr="007C6A42">
        <w:rPr>
          <w:rFonts w:asciiTheme="majorBidi" w:eastAsia="Calibri" w:hAnsiTheme="majorBidi" w:cstheme="majorBidi"/>
          <w:vertAlign w:val="superscript"/>
          <w:lang w:bidi="ar-AE"/>
        </w:rPr>
        <w:footnoteReference w:id="456"/>
      </w:r>
      <w:r w:rsidRPr="007C6A42">
        <w:rPr>
          <w:rFonts w:asciiTheme="majorBidi" w:eastAsia="SimSun" w:hAnsiTheme="majorBidi" w:cstheme="majorBidi"/>
          <w:lang w:eastAsia="zh-CN"/>
        </w:rPr>
        <w:t xml:space="preserve"> </w:t>
      </w:r>
      <w:r w:rsidRPr="007C6A42">
        <w:rPr>
          <w:rFonts w:asciiTheme="majorBidi" w:hAnsiTheme="majorBidi" w:cstheme="majorBidi"/>
        </w:rPr>
        <w:t xml:space="preserve">et </w:t>
      </w:r>
      <w:r w:rsidRPr="007C6A42">
        <w:rPr>
          <w:rFonts w:asciiTheme="majorBidi" w:eastAsia="Calibri" w:hAnsiTheme="majorBidi" w:cstheme="majorBidi"/>
        </w:rPr>
        <w:t>Christiane Dieterlé</w:t>
      </w:r>
      <w:r w:rsidRPr="007C6A42">
        <w:rPr>
          <w:rFonts w:asciiTheme="majorBidi" w:eastAsia="Calibri" w:hAnsiTheme="majorBidi" w:cstheme="majorBidi"/>
          <w:vertAlign w:val="superscript"/>
          <w:lang w:bidi="ar-AE"/>
        </w:rPr>
        <w:footnoteReference w:id="457"/>
      </w:r>
      <w:r w:rsidRPr="007C6A42">
        <w:rPr>
          <w:rFonts w:asciiTheme="majorBidi" w:eastAsia="Times New Roman" w:hAnsiTheme="majorBidi" w:cstheme="majorBidi"/>
        </w:rPr>
        <w:t>) et que celle de Hafiane apporte à son tour une pierre à l’édifice</w:t>
      </w:r>
      <w:r w:rsidRPr="007C6A42">
        <w:rPr>
          <w:rFonts w:asciiTheme="majorBidi" w:hAnsiTheme="majorBidi" w:cstheme="majorBidi"/>
        </w:rPr>
        <w:t>.</w:t>
      </w:r>
      <w:r w:rsidRPr="007C6A42">
        <w:rPr>
          <w:rFonts w:asciiTheme="majorBidi" w:eastAsia="Times New Roman" w:hAnsiTheme="majorBidi" w:cstheme="majorBidi"/>
        </w:rPr>
        <w:t xml:space="preserve"> Raïs reconnaît la nature polysémique du Coran en avouant qu’à côté des versets clairs et évidents, bon nombre de versets ont de multiples significations, de sorte que le sens en demeure insaisissable. Il souligne que le Coran, bien qu’il s’adresse à tous, échappe aux plus grands savants.</w:t>
      </w:r>
    </w:p>
    <w:p w14:paraId="4C8BBE3C"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280DE4FB"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eastAsia="Times New Roman" w:hAnsiTheme="majorBidi" w:cstheme="majorBidi"/>
        </w:rPr>
        <w:t xml:space="preserve">Pour conclure, nous pouvons dire que les traductions sont interdépendantes et complémentaires, dans le sens où chaque traduction dépend de la précédente, la complète et l’améliore, et sert aussi de référence pour la traduction ultérieure. Se référant non aux traductions latines antérieures mais à l’exégèse musulmane, Du Ryer a ouvert la voie de la traduction du Coran en français en </w:t>
      </w:r>
      <w:r w:rsidRPr="007C6A42">
        <w:rPr>
          <w:rFonts w:asciiTheme="majorBidi" w:eastAsia="Calibri" w:hAnsiTheme="majorBidi" w:cstheme="majorBidi"/>
          <w:lang w:bidi="ar-AE"/>
        </w:rPr>
        <w:t>1647</w:t>
      </w:r>
      <w:r w:rsidRPr="007C6A42">
        <w:rPr>
          <w:rFonts w:asciiTheme="majorBidi" w:eastAsia="Times New Roman" w:hAnsiTheme="majorBidi" w:cstheme="majorBidi"/>
        </w:rPr>
        <w:t>. Sa traduction (traduite aussi en plusieurs langues européennes comme : l’anglais, le hollandais et l’allemand</w:t>
      </w:r>
      <w:r w:rsidRPr="007C6A42">
        <w:rPr>
          <w:rStyle w:val="Appelnotedebasdep"/>
          <w:rFonts w:asciiTheme="majorBidi" w:eastAsia="Times New Roman" w:hAnsiTheme="majorBidi" w:cstheme="majorBidi"/>
        </w:rPr>
        <w:footnoteReference w:id="458"/>
      </w:r>
      <w:r w:rsidRPr="007C6A42">
        <w:rPr>
          <w:rFonts w:asciiTheme="majorBidi" w:eastAsia="Times New Roman" w:hAnsiTheme="majorBidi" w:cstheme="majorBidi"/>
        </w:rPr>
        <w:t xml:space="preserve">) a influencé les traductions ultérieures, comme celle de Savary </w:t>
      </w:r>
      <w:r w:rsidRPr="007C6A42">
        <w:rPr>
          <w:rFonts w:asciiTheme="majorBidi" w:eastAsia="Calibri" w:hAnsiTheme="majorBidi" w:cstheme="majorBidi"/>
          <w:lang w:bidi="ar-AE"/>
        </w:rPr>
        <w:t>(1782)</w:t>
      </w:r>
      <w:r w:rsidRPr="007C6A42">
        <w:rPr>
          <w:rFonts w:asciiTheme="majorBidi" w:eastAsia="Times New Roman" w:hAnsiTheme="majorBidi" w:cstheme="majorBidi"/>
        </w:rPr>
        <w:t xml:space="preserve">. Kazimirski </w:t>
      </w:r>
      <w:r w:rsidRPr="007C6A42">
        <w:rPr>
          <w:rFonts w:asciiTheme="majorBidi" w:eastAsia="SimSun" w:hAnsiTheme="majorBidi" w:cstheme="majorBidi"/>
          <w:lang w:eastAsia="zh-CN"/>
        </w:rPr>
        <w:t>(</w:t>
      </w:r>
      <w:r w:rsidRPr="007C6A42">
        <w:rPr>
          <w:rFonts w:asciiTheme="majorBidi" w:eastAsia="Times New Roman" w:hAnsiTheme="majorBidi" w:cstheme="majorBidi"/>
          <w:lang w:eastAsia="en-AU"/>
        </w:rPr>
        <w:t>1840</w:t>
      </w:r>
      <w:r w:rsidRPr="007C6A42">
        <w:rPr>
          <w:rFonts w:asciiTheme="majorBidi" w:eastAsia="Calibri" w:hAnsiTheme="majorBidi" w:cstheme="majorBidi"/>
          <w:lang w:bidi="ar-AE"/>
        </w:rPr>
        <w:t>)</w:t>
      </w:r>
      <w:r w:rsidRPr="007C6A42">
        <w:rPr>
          <w:rFonts w:asciiTheme="majorBidi" w:eastAsia="Times New Roman" w:hAnsiTheme="majorBidi" w:cstheme="majorBidi"/>
        </w:rPr>
        <w:t xml:space="preserve"> a amélioré la traduction de Savary et influencé celle de Blachère (1949). </w:t>
      </w:r>
      <w:r w:rsidRPr="007C6A42">
        <w:rPr>
          <w:rFonts w:asciiTheme="majorBidi" w:eastAsia="SimSun" w:hAnsiTheme="majorBidi" w:cstheme="majorBidi"/>
          <w:lang w:eastAsia="zh-CN"/>
        </w:rPr>
        <w:t xml:space="preserve">Ameur </w:t>
      </w:r>
      <w:r w:rsidRPr="007C6A42">
        <w:rPr>
          <w:rFonts w:asciiTheme="majorBidi" w:eastAsia="Times New Roman" w:hAnsiTheme="majorBidi" w:cstheme="majorBidi"/>
        </w:rPr>
        <w:t>Ghédira, le premier musulman qui a traduit en français le Coran</w:t>
      </w:r>
      <w:r w:rsidRPr="007C6A42">
        <w:rPr>
          <w:rFonts w:asciiTheme="majorBidi" w:eastAsia="SimSun" w:hAnsiTheme="majorBidi" w:cstheme="majorBidi"/>
          <w:lang w:eastAsia="zh-CN"/>
        </w:rPr>
        <w:t xml:space="preserve"> en 1957</w:t>
      </w:r>
      <w:r w:rsidRPr="007C6A42">
        <w:rPr>
          <w:rFonts w:asciiTheme="majorBidi" w:eastAsia="Calibri" w:hAnsiTheme="majorBidi" w:cstheme="majorBidi"/>
          <w:lang w:bidi="ar-AE"/>
        </w:rPr>
        <w:t xml:space="preserve">, a profité des apports de Kazimirski et de Blachère. Hamidullah </w:t>
      </w:r>
      <w:r w:rsidRPr="007C6A42">
        <w:rPr>
          <w:rFonts w:asciiTheme="majorBidi" w:eastAsia="Times New Roman" w:hAnsiTheme="majorBidi" w:cstheme="majorBidi"/>
        </w:rPr>
        <w:t>(1959)</w:t>
      </w:r>
      <w:r w:rsidRPr="007C6A42">
        <w:rPr>
          <w:rFonts w:asciiTheme="majorBidi" w:eastAsia="Calibri" w:hAnsiTheme="majorBidi" w:cstheme="majorBidi"/>
          <w:lang w:bidi="ar-AE"/>
        </w:rPr>
        <w:t xml:space="preserve"> a été influencé notamment par la traduction de Kazimirski </w:t>
      </w:r>
      <w:r w:rsidRPr="007C6A42">
        <w:rPr>
          <w:rFonts w:asciiTheme="majorBidi" w:eastAsia="SimSun" w:hAnsiTheme="majorBidi" w:cstheme="majorBidi"/>
          <w:lang w:eastAsia="zh-CN"/>
        </w:rPr>
        <w:t>(</w:t>
      </w:r>
      <w:r w:rsidRPr="007C6A42">
        <w:rPr>
          <w:rFonts w:asciiTheme="majorBidi" w:eastAsia="Times New Roman" w:hAnsiTheme="majorBidi" w:cstheme="majorBidi"/>
          <w:lang w:eastAsia="en-AU"/>
        </w:rPr>
        <w:t>1840</w:t>
      </w:r>
      <w:r w:rsidRPr="007C6A42">
        <w:rPr>
          <w:rFonts w:asciiTheme="majorBidi" w:eastAsia="Calibri" w:hAnsiTheme="majorBidi" w:cstheme="majorBidi"/>
          <w:lang w:bidi="ar-AE"/>
        </w:rPr>
        <w:t xml:space="preserve">). Le Complexe de Médine </w:t>
      </w:r>
      <w:r w:rsidRPr="007C6A42">
        <w:rPr>
          <w:rFonts w:asciiTheme="majorBidi" w:eastAsia="Times New Roman" w:hAnsiTheme="majorBidi" w:cstheme="majorBidi"/>
        </w:rPr>
        <w:t xml:space="preserve">(2001) </w:t>
      </w:r>
      <w:r w:rsidRPr="007C6A42">
        <w:rPr>
          <w:rFonts w:asciiTheme="majorBidi" w:eastAsia="Calibri" w:hAnsiTheme="majorBidi" w:cstheme="majorBidi"/>
          <w:lang w:bidi="ar-AE"/>
        </w:rPr>
        <w:t xml:space="preserve">a pris la traduction de Hamidullah et y a ajouté des choix </w:t>
      </w:r>
      <w:r w:rsidRPr="007C6A42">
        <w:rPr>
          <w:rFonts w:asciiTheme="majorBidi" w:hAnsiTheme="majorBidi" w:cstheme="majorBidi"/>
        </w:rPr>
        <w:t xml:space="preserve">de Kazimirski, de Blachère, de Ghédira, de Grosjean et de Masson. La traduction du Complexe a influencé celles de Chebel </w:t>
      </w:r>
      <w:r w:rsidRPr="007C6A42">
        <w:rPr>
          <w:rFonts w:asciiTheme="majorBidi" w:eastAsia="Times New Roman" w:hAnsiTheme="majorBidi" w:cstheme="majorBidi"/>
        </w:rPr>
        <w:t>(2009)</w:t>
      </w:r>
      <w:r w:rsidRPr="007C6A42">
        <w:rPr>
          <w:rFonts w:asciiTheme="majorBidi" w:hAnsiTheme="majorBidi" w:cstheme="majorBidi"/>
        </w:rPr>
        <w:t xml:space="preserve"> et de </w:t>
      </w:r>
      <w:r w:rsidRPr="007C6A42">
        <w:rPr>
          <w:rFonts w:asciiTheme="majorBidi" w:hAnsiTheme="majorBidi" w:cstheme="majorBidi"/>
        </w:rPr>
        <w:lastRenderedPageBreak/>
        <w:t xml:space="preserve">Hafiane (2010). Sami Aldeeb (2008) a consulté toutes les traductions précédentes et a cité dans des NDT des choix de quelques traducteurs prédécesseurs (notamment : Hamidullah </w:t>
      </w:r>
      <w:r w:rsidRPr="007C6A42">
        <w:rPr>
          <w:rFonts w:asciiTheme="majorBidi" w:eastAsia="Times New Roman" w:hAnsiTheme="majorBidi" w:cstheme="majorBidi"/>
        </w:rPr>
        <w:t>(1959)</w:t>
      </w:r>
      <w:r w:rsidRPr="007C6A42">
        <w:rPr>
          <w:rFonts w:asciiTheme="majorBidi" w:hAnsiTheme="majorBidi" w:cstheme="majorBidi"/>
        </w:rPr>
        <w:t xml:space="preserve">, Boubakeur (1990), Abdelaziz </w:t>
      </w:r>
      <w:r w:rsidRPr="007C6A42">
        <w:rPr>
          <w:rFonts w:asciiTheme="majorBidi" w:eastAsia="Times New Roman" w:hAnsiTheme="majorBidi" w:cstheme="majorBidi"/>
        </w:rPr>
        <w:t>(2002)</w:t>
      </w:r>
      <w:r w:rsidRPr="007C6A42">
        <w:rPr>
          <w:rFonts w:asciiTheme="majorBidi" w:hAnsiTheme="majorBidi" w:cstheme="majorBidi"/>
        </w:rPr>
        <w:t xml:space="preserve">, </w:t>
      </w:r>
      <w:r w:rsidRPr="007C6A42">
        <w:rPr>
          <w:rFonts w:asciiTheme="majorBidi" w:eastAsia="Times New Roman" w:hAnsiTheme="majorBidi" w:cstheme="majorBidi"/>
        </w:rPr>
        <w:t>Mohamed El-Moktar Ould Bah</w:t>
      </w:r>
      <w:r w:rsidRPr="007C6A42">
        <w:rPr>
          <w:rFonts w:asciiTheme="majorBidi" w:hAnsiTheme="majorBidi" w:cstheme="majorBidi"/>
        </w:rPr>
        <w:t xml:space="preserve"> (2007) [</w:t>
      </w:r>
      <w:r w:rsidRPr="007C6A42">
        <w:rPr>
          <w:rFonts w:asciiTheme="majorBidi" w:eastAsia="Times New Roman" w:hAnsiTheme="majorBidi" w:cstheme="majorBidi"/>
        </w:rPr>
        <w:t>révisée par le complexe du roi Fahd</w:t>
      </w:r>
      <w:r w:rsidRPr="007C6A42">
        <w:rPr>
          <w:rFonts w:asciiTheme="majorBidi" w:hAnsiTheme="majorBidi" w:cstheme="majorBidi"/>
        </w:rPr>
        <w:t>]).</w:t>
      </w:r>
    </w:p>
    <w:p w14:paraId="38163B37"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br w:type="page"/>
      </w:r>
    </w:p>
    <w:p w14:paraId="08299BA9" w14:textId="77777777" w:rsidR="00A70B78" w:rsidRPr="007C6A42" w:rsidRDefault="00A70B78" w:rsidP="00A70B78">
      <w:pPr>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lastRenderedPageBreak/>
        <w:t xml:space="preserve">Chapitre </w:t>
      </w:r>
      <w:r>
        <w:rPr>
          <w:rFonts w:asciiTheme="majorBidi" w:eastAsia="Calibri" w:hAnsiTheme="majorBidi" w:cstheme="majorBidi"/>
          <w:b/>
          <w:bCs/>
          <w:lang w:bidi="ar-AE"/>
        </w:rPr>
        <w:t>VII</w:t>
      </w:r>
    </w:p>
    <w:p w14:paraId="3F4547EF" w14:textId="77777777" w:rsidR="00A70B78" w:rsidRPr="007C6A42" w:rsidRDefault="00A70B78" w:rsidP="00A70B78">
      <w:pPr>
        <w:jc w:val="center"/>
        <w:outlineLvl w:val="0"/>
        <w:rPr>
          <w:rFonts w:asciiTheme="majorBidi" w:eastAsia="Times New Roman" w:hAnsiTheme="majorBidi" w:cstheme="majorBidi"/>
          <w:b/>
          <w:bCs/>
        </w:rPr>
      </w:pPr>
      <w:r w:rsidRPr="007C6A42">
        <w:rPr>
          <w:rFonts w:asciiTheme="majorBidi" w:eastAsia="Times New Roman" w:hAnsiTheme="majorBidi" w:cstheme="majorBidi"/>
          <w:b/>
          <w:bCs/>
        </w:rPr>
        <w:t>Les tendances déformantes dans les traductions françaises la sourate al-Ḥajj</w:t>
      </w:r>
    </w:p>
    <w:p w14:paraId="5FE575BD" w14:textId="77777777" w:rsidR="00A70B78" w:rsidRPr="007C6A42" w:rsidRDefault="00A70B78" w:rsidP="00A70B78">
      <w:pPr>
        <w:spacing w:line="360" w:lineRule="auto"/>
        <w:contextualSpacing/>
        <w:jc w:val="both"/>
        <w:rPr>
          <w:rFonts w:asciiTheme="majorBidi" w:eastAsia="Calibri" w:hAnsiTheme="majorBidi" w:cstheme="majorBidi"/>
          <w:lang w:bidi="ar-AE"/>
        </w:rPr>
      </w:pPr>
    </w:p>
    <w:p w14:paraId="00E2AC4E"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rPr>
        <w:t>Le théoricien français de la traduction et traducteur de l’allemand et de l’espagnol Antoine Berman (1942-1991) expose ses réflexions dans trois ouvrages essentiels :</w:t>
      </w:r>
      <w:r w:rsidRPr="007C6A42">
        <w:rPr>
          <w:rFonts w:asciiTheme="majorBidi" w:eastAsia="Times New Roman" w:hAnsiTheme="majorBidi" w:cstheme="majorBidi"/>
          <w:b/>
          <w:bCs/>
        </w:rPr>
        <w:t xml:space="preserve"> 1) </w:t>
      </w:r>
      <w:r w:rsidRPr="007C6A42">
        <w:rPr>
          <w:rFonts w:asciiTheme="majorBidi" w:eastAsia="Times New Roman" w:hAnsiTheme="majorBidi" w:cstheme="majorBidi"/>
          <w:i/>
          <w:iCs/>
        </w:rPr>
        <w:t>L’Épreuve de l’étranger. Culture et traduction dans l’Allemagne romantique</w:t>
      </w:r>
      <w:r w:rsidRPr="007C6A42">
        <w:rPr>
          <w:rStyle w:val="Appelnotedebasdep"/>
          <w:rFonts w:asciiTheme="majorBidi" w:eastAsia="Times New Roman" w:hAnsiTheme="majorBidi" w:cstheme="majorBidi"/>
          <w:i/>
          <w:iCs/>
        </w:rPr>
        <w:footnoteReference w:id="459"/>
      </w:r>
      <w:r w:rsidRPr="007C6A42">
        <w:rPr>
          <w:rFonts w:asciiTheme="majorBidi" w:eastAsia="Times New Roman" w:hAnsiTheme="majorBidi" w:cstheme="majorBidi"/>
        </w:rPr>
        <w:t xml:space="preserve"> ; </w:t>
      </w:r>
      <w:r w:rsidRPr="007C6A42">
        <w:rPr>
          <w:rFonts w:asciiTheme="majorBidi" w:eastAsia="Times New Roman" w:hAnsiTheme="majorBidi" w:cstheme="majorBidi"/>
          <w:b/>
          <w:bCs/>
        </w:rPr>
        <w:t>2)</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La traduction et la lettre</w:t>
      </w:r>
      <w:r w:rsidRPr="007C6A42">
        <w:rPr>
          <w:rFonts w:asciiTheme="majorBidi" w:hAnsiTheme="majorBidi" w:cstheme="majorBidi"/>
        </w:rPr>
        <w:t xml:space="preserve"> </w:t>
      </w:r>
      <w:r w:rsidRPr="007C6A42">
        <w:rPr>
          <w:rFonts w:asciiTheme="majorBidi" w:eastAsia="Times New Roman" w:hAnsiTheme="majorBidi" w:cstheme="majorBidi"/>
          <w:i/>
          <w:iCs/>
        </w:rPr>
        <w:t>ou l’Auberge du lointain</w:t>
      </w:r>
      <w:r w:rsidRPr="007C6A42">
        <w:rPr>
          <w:rStyle w:val="Appelnotedebasdep"/>
          <w:rFonts w:asciiTheme="majorBidi" w:eastAsia="Times New Roman" w:hAnsiTheme="majorBidi" w:cstheme="majorBidi"/>
          <w:i/>
          <w:iCs/>
        </w:rPr>
        <w:footnoteReference w:id="460"/>
      </w:r>
      <w:r w:rsidRPr="007C6A42">
        <w:rPr>
          <w:rFonts w:asciiTheme="majorBidi" w:eastAsia="Times New Roman" w:hAnsiTheme="majorBidi" w:cstheme="majorBidi"/>
        </w:rPr>
        <w:t xml:space="preserve"> ; </w:t>
      </w:r>
      <w:r w:rsidRPr="007C6A42">
        <w:rPr>
          <w:rFonts w:asciiTheme="majorBidi" w:eastAsia="Times New Roman" w:hAnsiTheme="majorBidi" w:cstheme="majorBidi"/>
          <w:b/>
          <w:bCs/>
        </w:rPr>
        <w:t xml:space="preserve">3) </w:t>
      </w:r>
      <w:r w:rsidRPr="007C6A42">
        <w:rPr>
          <w:rFonts w:asciiTheme="majorBidi" w:eastAsia="Times New Roman" w:hAnsiTheme="majorBidi" w:cstheme="majorBidi"/>
          <w:i/>
          <w:iCs/>
        </w:rPr>
        <w:t>Pour une critique des traductions : John Donne</w:t>
      </w:r>
      <w:r w:rsidRPr="007C6A42">
        <w:rPr>
          <w:rStyle w:val="Appelnotedebasdep"/>
          <w:rFonts w:asciiTheme="majorBidi" w:eastAsia="Times New Roman" w:hAnsiTheme="majorBidi" w:cstheme="majorBidi"/>
          <w:i/>
          <w:iCs/>
        </w:rPr>
        <w:footnoteReference w:id="461"/>
      </w:r>
      <w:r w:rsidRPr="007C6A42">
        <w:rPr>
          <w:rFonts w:asciiTheme="majorBidi" w:eastAsia="Times New Roman" w:hAnsiTheme="majorBidi" w:cstheme="majorBidi"/>
        </w:rPr>
        <w:t>.</w:t>
      </w:r>
    </w:p>
    <w:p w14:paraId="12F8DB3E"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En outre, pour parler des apports de Berman à la traductologie, nous pouvons citer </w:t>
      </w:r>
      <w:r w:rsidRPr="007C6A42">
        <w:rPr>
          <w:rFonts w:asciiTheme="majorBidi" w:hAnsiTheme="majorBidi" w:cstheme="majorBidi"/>
        </w:rPr>
        <w:t>Robert Davreu</w:t>
      </w:r>
      <w:r w:rsidRPr="007C6A42">
        <w:rPr>
          <w:rFonts w:asciiTheme="majorBidi" w:eastAsia="Times New Roman" w:hAnsiTheme="majorBidi" w:cstheme="majorBidi"/>
        </w:rPr>
        <w:t xml:space="preserve"> (1944-2013), traducteur et écrivain français, qui analyse le projet de Berman en ces termes : « C’est à toutes ces tensions [1-</w:t>
      </w:r>
      <w:r w:rsidRPr="007C6A42">
        <w:rPr>
          <w:rFonts w:asciiTheme="majorBidi" w:hAnsiTheme="majorBidi" w:cstheme="majorBidi"/>
        </w:rPr>
        <w:t xml:space="preserve">tension entre l’ancien et le nouveau ; 2-tension entre l’exigence d’empathie et de communion avec l’œuvre à traduire et celle de la distance critique ; 3-et tension entre le refus de l’autorité de la tradition et la piété, la </w:t>
      </w:r>
      <w:r w:rsidRPr="007C6A42">
        <w:rPr>
          <w:rFonts w:asciiTheme="majorBidi" w:hAnsiTheme="majorBidi" w:cstheme="majorBidi"/>
          <w:i/>
          <w:iCs/>
        </w:rPr>
        <w:t>religio</w:t>
      </w:r>
      <w:r w:rsidRPr="007C6A42">
        <w:rPr>
          <w:rFonts w:asciiTheme="majorBidi" w:hAnsiTheme="majorBidi" w:cstheme="majorBidi"/>
        </w:rPr>
        <w:t>, qui garantit le lien avec l’</w:t>
      </w:r>
      <w:r w:rsidRPr="007C6A42">
        <w:rPr>
          <w:rFonts w:asciiTheme="majorBidi" w:hAnsiTheme="majorBidi" w:cstheme="majorBidi"/>
          <w:i/>
          <w:iCs/>
        </w:rPr>
        <w:t xml:space="preserve">archè </w:t>
      </w:r>
      <w:r w:rsidRPr="007C6A42">
        <w:rPr>
          <w:rFonts w:asciiTheme="majorBidi" w:hAnsiTheme="majorBidi" w:cstheme="majorBidi"/>
        </w:rPr>
        <w:t>à travers le temps</w:t>
      </w:r>
      <w:r w:rsidRPr="007C6A42">
        <w:rPr>
          <w:rFonts w:asciiTheme="majorBidi" w:eastAsia="Times New Roman" w:hAnsiTheme="majorBidi" w:cstheme="majorBidi"/>
        </w:rPr>
        <w:t>] que le projet bermanien de critique des traductions, fait droit et appelle, dans sa démarche réflexive, à être encore plus attentif, non pas, encore une fois, pour en prendre prescriptivement ou normativement la mesure, mais de manière productive, pour mieux nous y approprier, pour mieux nous y accorder, et ouvrir de la sorte la voie à de nouvelles traductions comme à de nouvelles recherches poétiques, les deux étant intimement liées dans la création permanente du langage par la parole au sein des langues. »</w:t>
      </w:r>
      <w:r w:rsidRPr="007C6A42">
        <w:rPr>
          <w:rStyle w:val="Appelnotedebasdep"/>
          <w:rFonts w:asciiTheme="majorBidi" w:hAnsiTheme="majorBidi" w:cstheme="majorBidi"/>
        </w:rPr>
        <w:footnoteReference w:id="462"/>
      </w:r>
      <w:r w:rsidRPr="007C6A42">
        <w:rPr>
          <w:rFonts w:asciiTheme="majorBidi" w:eastAsia="Times New Roman" w:hAnsiTheme="majorBidi" w:cstheme="majorBidi"/>
        </w:rPr>
        <w:t xml:space="preserve"> Le </w:t>
      </w:r>
      <w:r w:rsidRPr="007C6A42">
        <w:rPr>
          <w:rFonts w:asciiTheme="majorBidi" w:hAnsiTheme="majorBidi" w:cstheme="majorBidi"/>
        </w:rPr>
        <w:t xml:space="preserve">projet </w:t>
      </w:r>
      <w:r w:rsidRPr="007C6A42">
        <w:rPr>
          <w:rFonts w:asciiTheme="majorBidi" w:eastAsia="Times New Roman" w:hAnsiTheme="majorBidi" w:cstheme="majorBidi"/>
        </w:rPr>
        <w:t>de Berman est « </w:t>
      </w:r>
      <w:r w:rsidRPr="007C6A42">
        <w:rPr>
          <w:rFonts w:asciiTheme="majorBidi" w:hAnsiTheme="majorBidi" w:cstheme="majorBidi"/>
        </w:rPr>
        <w:t>de fonder une philosophie critique de la raison traductologique par un renversement radical », il « met la théorie à l’épreuve de la raison pratique par son appel à "une éthique de la traduction" ».</w:t>
      </w:r>
      <w:r w:rsidRPr="007C6A42">
        <w:rPr>
          <w:rStyle w:val="Appelnotedebasdep"/>
          <w:rFonts w:asciiTheme="majorBidi" w:eastAsia="Times New Roman" w:hAnsiTheme="majorBidi" w:cstheme="majorBidi"/>
        </w:rPr>
        <w:footnoteReference w:id="463"/>
      </w:r>
    </w:p>
    <w:p w14:paraId="6FFFA81F" w14:textId="77777777" w:rsidR="00A70B78" w:rsidRPr="007C6A42" w:rsidRDefault="00A70B78" w:rsidP="00A70B78">
      <w:pPr>
        <w:pStyle w:val="NormalWeb"/>
        <w:spacing w:before="0" w:beforeAutospacing="0" w:after="0" w:afterAutospacing="0" w:line="360" w:lineRule="auto"/>
        <w:ind w:firstLine="720"/>
        <w:contextualSpacing/>
        <w:jc w:val="both"/>
        <w:rPr>
          <w:rFonts w:asciiTheme="majorBidi" w:eastAsiaTheme="minorHAnsi" w:hAnsiTheme="majorBidi" w:cstheme="majorBidi"/>
          <w:lang w:eastAsia="fr-FR"/>
        </w:rPr>
      </w:pPr>
      <w:r w:rsidRPr="007C6A42">
        <w:rPr>
          <w:rFonts w:asciiTheme="majorBidi" w:eastAsia="Times New Roman" w:hAnsiTheme="majorBidi" w:cstheme="majorBidi"/>
        </w:rPr>
        <w:t xml:space="preserve">Dans son ouvrage </w:t>
      </w:r>
      <w:r w:rsidRPr="007C6A42">
        <w:rPr>
          <w:rFonts w:asciiTheme="majorBidi" w:eastAsia="Times New Roman" w:hAnsiTheme="majorBidi" w:cstheme="majorBidi"/>
          <w:i/>
          <w:iCs/>
        </w:rPr>
        <w:t>La traduction et la lettre</w:t>
      </w:r>
      <w:r w:rsidRPr="007C6A42">
        <w:rPr>
          <w:rFonts w:asciiTheme="majorBidi" w:eastAsia="Times New Roman" w:hAnsiTheme="majorBidi" w:cstheme="majorBidi"/>
        </w:rPr>
        <w:t>,</w:t>
      </w:r>
      <w:r w:rsidRPr="007C6A42">
        <w:rPr>
          <w:rFonts w:asciiTheme="majorBidi" w:hAnsiTheme="majorBidi" w:cstheme="majorBidi"/>
        </w:rPr>
        <w:t xml:space="preserve"> </w:t>
      </w:r>
      <w:r w:rsidRPr="007C6A42">
        <w:rPr>
          <w:rFonts w:asciiTheme="majorBidi" w:eastAsia="Times New Roman" w:hAnsiTheme="majorBidi" w:cstheme="majorBidi"/>
        </w:rPr>
        <w:t>Berman analyse aussi le phénomène "inévitable"</w:t>
      </w:r>
      <w:r w:rsidRPr="007C6A42">
        <w:rPr>
          <w:rStyle w:val="Appelnotedebasdep"/>
          <w:rFonts w:asciiTheme="majorBidi" w:eastAsiaTheme="minorHAnsi" w:hAnsiTheme="majorBidi" w:cstheme="majorBidi"/>
          <w:lang w:eastAsia="fr-FR"/>
        </w:rPr>
        <w:footnoteReference w:id="464"/>
      </w:r>
      <w:r w:rsidRPr="007C6A42">
        <w:rPr>
          <w:rFonts w:asciiTheme="majorBidi" w:eastAsia="Times New Roman" w:hAnsiTheme="majorBidi" w:cstheme="majorBidi"/>
        </w:rPr>
        <w:t xml:space="preserve"> des tendances déformantes de la traduction. Il présente </w:t>
      </w:r>
      <w:r w:rsidRPr="007C6A42">
        <w:rPr>
          <w:rFonts w:asciiTheme="majorBidi" w:eastAsia="Times New Roman" w:hAnsiTheme="majorBidi" w:cstheme="majorBidi"/>
          <w:i/>
          <w:iCs/>
        </w:rPr>
        <w:t>treize tendances déformantes</w:t>
      </w:r>
      <w:r w:rsidRPr="007C6A42">
        <w:rPr>
          <w:rFonts w:asciiTheme="majorBidi" w:eastAsia="Times New Roman" w:hAnsiTheme="majorBidi" w:cstheme="majorBidi"/>
        </w:rPr>
        <w:t xml:space="preserve"> de toute traduction.</w:t>
      </w:r>
      <w:r w:rsidRPr="007C6A42">
        <w:rPr>
          <w:rStyle w:val="Appelnotedebasdep"/>
          <w:rFonts w:asciiTheme="majorBidi" w:hAnsiTheme="majorBidi" w:cstheme="majorBidi"/>
          <w:lang w:bidi="ar-AE"/>
        </w:rPr>
        <w:footnoteReference w:id="465"/>
      </w:r>
    </w:p>
    <w:p w14:paraId="3DE1A75C"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rPr>
        <w:lastRenderedPageBreak/>
        <w:t>Nous avons choisi d’appliquer sur les traductions de la sourate XXII l’approche de Berman parce qu’elle montre comment la traduction déforme le texte de départ, conduisant à un gain ou une perte de ce texte, et par conséquent une telle approche met en évidence la différence polysémique entre le texte-source et ses traductions.</w:t>
      </w:r>
    </w:p>
    <w:p w14:paraId="14DE3A7C" w14:textId="77777777" w:rsidR="00A70B78" w:rsidRPr="007C6A42" w:rsidRDefault="00A70B78" w:rsidP="00A70B78">
      <w:pPr>
        <w:spacing w:line="360" w:lineRule="auto"/>
        <w:jc w:val="both"/>
        <w:rPr>
          <w:rFonts w:asciiTheme="majorBidi" w:eastAsia="Times New Roman" w:hAnsiTheme="majorBidi" w:cstheme="majorBidi"/>
        </w:rPr>
      </w:pPr>
    </w:p>
    <w:p w14:paraId="2C765428"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Nous allons voir des exemples de la sourate al-Ḥajj sur les tendances déformantes de la traduction.</w:t>
      </w:r>
    </w:p>
    <w:p w14:paraId="52874358" w14:textId="77777777" w:rsidR="00A70B78" w:rsidRPr="007C6A42" w:rsidRDefault="00A70B78" w:rsidP="00A70B78">
      <w:pPr>
        <w:spacing w:line="360" w:lineRule="auto"/>
        <w:ind w:firstLine="360"/>
        <w:contextualSpacing/>
        <w:jc w:val="both"/>
        <w:rPr>
          <w:rFonts w:asciiTheme="majorBidi" w:eastAsia="Calibri" w:hAnsiTheme="majorBidi" w:cstheme="majorBidi"/>
          <w:lang w:bidi="ar-AE"/>
        </w:rPr>
      </w:pPr>
    </w:p>
    <w:p w14:paraId="2A2F6561"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 rationalisation</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L’un des procédés de rationalisation les plus courants consiste à jouer sur la ponctuation du texte, de recomposer ses phrases de manière à les arranger selon une certaine idée. Cette nouvelle ponctuation rationalise la traduction, modifie et réduit la polysémie de l’original. Sachant que le Coran a sa propre ponctuation (</w:t>
      </w:r>
      <w:r w:rsidRPr="007C6A42">
        <w:rPr>
          <w:rFonts w:asciiTheme="majorBidi" w:hAnsiTheme="majorBidi" w:cstheme="majorBidi"/>
          <w:i/>
          <w:iCs/>
          <w:sz w:val="24"/>
          <w:szCs w:val="24"/>
        </w:rPr>
        <w:t>ʿalāmāt al-waqf</w:t>
      </w:r>
      <w:r w:rsidRPr="007C6A42">
        <w:rPr>
          <w:rFonts w:asciiTheme="majorBidi" w:hAnsiTheme="majorBidi" w:cstheme="majorBidi"/>
          <w:sz w:val="24"/>
          <w:szCs w:val="24"/>
        </w:rPr>
        <w:t xml:space="preserve"> [les signes de la pause]). Par exemple, dans le v. 5 là où le signe </w:t>
      </w:r>
      <w:r w:rsidRPr="007C6A42">
        <w:rPr>
          <w:rFonts w:asciiTheme="majorBidi" w:hAnsiTheme="majorBidi" w:cstheme="majorBidi"/>
          <w:noProof/>
          <w:sz w:val="24"/>
          <w:szCs w:val="24"/>
          <w:lang w:eastAsia="fr-FR"/>
        </w:rPr>
        <w:drawing>
          <wp:inline distT="0" distB="0" distL="0" distR="0" wp14:anchorId="4343FC85" wp14:editId="223B4133">
            <wp:extent cx="194310" cy="16704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131" cy="196118"/>
                    </a:xfrm>
                    <a:prstGeom prst="rect">
                      <a:avLst/>
                    </a:prstGeom>
                  </pic:spPr>
                </pic:pic>
              </a:graphicData>
            </a:graphic>
          </wp:inline>
        </w:drawing>
      </w:r>
      <w:r w:rsidRPr="007C6A42">
        <w:rPr>
          <w:rFonts w:asciiTheme="majorBidi" w:hAnsiTheme="majorBidi" w:cstheme="majorBidi"/>
          <w:sz w:val="24"/>
          <w:szCs w:val="24"/>
        </w:rPr>
        <w:t xml:space="preserve"> indique qu’il est préférable de ne pas s’arrêter, Berque et Ghédira ont mis un point-virgule, alors que la traductrice littéraliste Abdelaziz et Malek Chebel ont mis un point. Dans le verset 77 (</w:t>
      </w:r>
      <w:r w:rsidRPr="007C6A42">
        <w:rPr>
          <w:rFonts w:asciiTheme="majorBidi" w:hAnsiTheme="majorBidi" w:cstheme="majorBidi"/>
          <w:sz w:val="24"/>
          <w:szCs w:val="24"/>
          <w:rtl/>
        </w:rPr>
        <w:t>هو سَمَّاكُمُ المُسْلِمِين مِن قَبْلُ وفي هذا</w:t>
      </w:r>
      <w:r w:rsidRPr="007C6A42">
        <w:rPr>
          <w:rFonts w:asciiTheme="majorBidi" w:hAnsiTheme="majorBidi" w:cstheme="majorBidi"/>
          <w:sz w:val="24"/>
          <w:szCs w:val="24"/>
        </w:rPr>
        <w:t>), Berque a mis un point après (</w:t>
      </w:r>
      <w:r w:rsidRPr="007C6A42">
        <w:rPr>
          <w:rFonts w:asciiTheme="majorBidi" w:hAnsiTheme="majorBidi" w:cstheme="majorBidi"/>
          <w:sz w:val="24"/>
          <w:szCs w:val="24"/>
          <w:rtl/>
        </w:rPr>
        <w:t>مِن قَبْلُ</w:t>
      </w:r>
      <w:r w:rsidRPr="007C6A42">
        <w:rPr>
          <w:rFonts w:asciiTheme="majorBidi" w:hAnsiTheme="majorBidi" w:cstheme="majorBidi"/>
          <w:sz w:val="24"/>
          <w:szCs w:val="24"/>
        </w:rPr>
        <w:t>) ainsi : « </w:t>
      </w:r>
      <w:r w:rsidRPr="007C6A42">
        <w:rPr>
          <w:rFonts w:asciiTheme="majorBidi" w:eastAsia="Calibri" w:hAnsiTheme="majorBidi" w:cstheme="majorBidi"/>
          <w:i/>
          <w:iCs/>
          <w:sz w:val="24"/>
          <w:szCs w:val="24"/>
          <w:lang w:bidi="ar-AE"/>
        </w:rPr>
        <w:t>C’est lui qui jadis vous a nommés Ceux-qui-se-soumettent. Qu’en cela</w:t>
      </w:r>
      <w:r w:rsidRPr="007C6A42">
        <w:rPr>
          <w:rFonts w:asciiTheme="majorBidi" w:eastAsia="Calibri" w:hAnsiTheme="majorBidi" w:cstheme="majorBidi"/>
          <w:sz w:val="24"/>
          <w:szCs w:val="24"/>
          <w:lang w:bidi="ar-AE"/>
        </w:rPr>
        <w:t xml:space="preserve"> </w:t>
      </w:r>
      <w:r w:rsidRPr="007C6A42">
        <w:rPr>
          <w:rFonts w:asciiTheme="majorBidi" w:hAnsiTheme="majorBidi" w:cstheme="majorBidi"/>
          <w:sz w:val="24"/>
          <w:szCs w:val="24"/>
        </w:rPr>
        <w:t>[…]</w:t>
      </w:r>
      <w:r w:rsidRPr="007C6A42">
        <w:rPr>
          <w:rFonts w:asciiTheme="majorBidi" w:eastAsia="Calibri" w:hAnsiTheme="majorBidi" w:cstheme="majorBidi"/>
          <w:sz w:val="24"/>
          <w:szCs w:val="24"/>
          <w:lang w:bidi="ar-AE"/>
        </w:rPr>
        <w:t> » ; mais la traduction-référence du Complexe de Médine n’a pas mis de signe de ponctuation : « </w:t>
      </w:r>
      <w:r w:rsidRPr="007C6A42">
        <w:rPr>
          <w:rFonts w:asciiTheme="majorBidi" w:hAnsiTheme="majorBidi" w:cstheme="majorBidi"/>
          <w:i/>
          <w:iCs/>
          <w:sz w:val="24"/>
          <w:szCs w:val="24"/>
        </w:rPr>
        <w:t>lequel vous a déjà nommés “Musulmans” avant (ce Livre) et dans ce (Livre)</w:t>
      </w:r>
      <w:r w:rsidRPr="007C6A42">
        <w:rPr>
          <w:rFonts w:asciiTheme="majorBidi" w:hAnsiTheme="majorBidi" w:cstheme="majorBidi"/>
          <w:sz w:val="24"/>
          <w:szCs w:val="24"/>
        </w:rPr>
        <w:t> ». Guessous a mis un point avant (</w:t>
      </w:r>
      <w:r w:rsidRPr="007C6A42">
        <w:rPr>
          <w:rFonts w:asciiTheme="majorBidi" w:hAnsiTheme="majorBidi" w:cstheme="majorBidi"/>
          <w:sz w:val="24"/>
          <w:szCs w:val="24"/>
          <w:rtl/>
        </w:rPr>
        <w:t>مِن قَبْلُ</w:t>
      </w:r>
      <w:r w:rsidRPr="007C6A42">
        <w:rPr>
          <w:rFonts w:asciiTheme="majorBidi" w:hAnsiTheme="majorBidi" w:cstheme="majorBidi"/>
          <w:sz w:val="24"/>
          <w:szCs w:val="24"/>
        </w:rPr>
        <w:t>) : « </w:t>
      </w:r>
      <w:r w:rsidRPr="007C6A42">
        <w:rPr>
          <w:rFonts w:asciiTheme="majorBidi" w:hAnsiTheme="majorBidi" w:cstheme="majorBidi"/>
          <w:i/>
          <w:iCs/>
          <w:sz w:val="24"/>
          <w:szCs w:val="24"/>
        </w:rPr>
        <w:t xml:space="preserve">Et comme musulmans soumis </w:t>
      </w:r>
      <w:r w:rsidRPr="007C6A42">
        <w:rPr>
          <w:rFonts w:asciiTheme="majorBidi" w:hAnsiTheme="majorBidi" w:cstheme="majorBidi"/>
          <w:b/>
          <w:i/>
          <w:iCs/>
          <w:sz w:val="24"/>
          <w:szCs w:val="24"/>
        </w:rPr>
        <w:t>IL</w:t>
      </w:r>
      <w:r w:rsidRPr="007C6A42">
        <w:rPr>
          <w:rFonts w:asciiTheme="majorBidi" w:hAnsiTheme="majorBidi" w:cstheme="majorBidi"/>
          <w:i/>
          <w:iCs/>
          <w:sz w:val="24"/>
          <w:szCs w:val="24"/>
        </w:rPr>
        <w:t xml:space="preserve"> vous a désignés. Auparavant et en cette Révélation</w:t>
      </w:r>
      <w:r w:rsidRPr="007C6A42">
        <w:rPr>
          <w:rFonts w:asciiTheme="majorBidi" w:hAnsiTheme="majorBidi" w:cstheme="majorBidi"/>
          <w:sz w:val="24"/>
          <w:szCs w:val="24"/>
        </w:rPr>
        <w:t> ». Abdelaziz a mis une virgule avant et après (</w:t>
      </w:r>
      <w:r w:rsidRPr="007C6A42">
        <w:rPr>
          <w:rFonts w:asciiTheme="majorBidi" w:hAnsiTheme="majorBidi" w:cstheme="majorBidi"/>
          <w:sz w:val="24"/>
          <w:szCs w:val="24"/>
          <w:rtl/>
        </w:rPr>
        <w:t>مِن قَبْلُ</w:t>
      </w:r>
      <w:r w:rsidRPr="007C6A42">
        <w:rPr>
          <w:rFonts w:asciiTheme="majorBidi" w:hAnsiTheme="majorBidi" w:cstheme="majorBidi"/>
          <w:sz w:val="24"/>
          <w:szCs w:val="24"/>
        </w:rPr>
        <w:t>) : « </w:t>
      </w:r>
      <w:r w:rsidRPr="007C6A42">
        <w:rPr>
          <w:rFonts w:asciiTheme="majorBidi" w:hAnsiTheme="majorBidi" w:cstheme="majorBidi"/>
          <w:i/>
          <w:iCs/>
          <w:sz w:val="24"/>
          <w:szCs w:val="24"/>
        </w:rPr>
        <w:t>C’est Lui qui vous A déjà Nommés musulmans, auparavant, et dans ceci (</w:t>
      </w:r>
      <w:r w:rsidRPr="007C6A42">
        <w:rPr>
          <w:rFonts w:asciiTheme="majorBidi" w:hAnsiTheme="majorBidi" w:cstheme="majorBidi"/>
          <w:b/>
          <w:i/>
          <w:iCs/>
          <w:sz w:val="24"/>
          <w:szCs w:val="24"/>
        </w:rPr>
        <w:t>le Qur’ān</w:t>
      </w:r>
      <w:r w:rsidRPr="007C6A42">
        <w:rPr>
          <w:rFonts w:asciiTheme="majorBidi" w:hAnsiTheme="majorBidi" w:cstheme="majorBidi"/>
          <w:i/>
          <w:iCs/>
          <w:sz w:val="24"/>
          <w:szCs w:val="24"/>
        </w:rPr>
        <w:t>)</w:t>
      </w:r>
      <w:r w:rsidRPr="007C6A42">
        <w:rPr>
          <w:rFonts w:asciiTheme="majorBidi" w:hAnsiTheme="majorBidi" w:cstheme="majorBidi"/>
          <w:sz w:val="24"/>
          <w:szCs w:val="24"/>
        </w:rPr>
        <w:t> ». Berque a traduit la proposition subordonnée conditionnelle (la protase) « </w:t>
      </w:r>
      <w:r w:rsidRPr="007C6A42">
        <w:rPr>
          <w:rFonts w:asciiTheme="majorBidi" w:hAnsiTheme="majorBidi" w:cstheme="majorBidi"/>
          <w:sz w:val="24"/>
          <w:szCs w:val="24"/>
          <w:rtl/>
        </w:rPr>
        <w:t>وإن يُكَذِّبُوكَ،</w:t>
      </w:r>
      <w:r w:rsidRPr="007C6A42">
        <w:rPr>
          <w:rFonts w:asciiTheme="majorBidi" w:hAnsiTheme="majorBidi" w:cstheme="majorBidi"/>
          <w:sz w:val="24"/>
          <w:szCs w:val="24"/>
        </w:rPr>
        <w:t> » [Et ils te démentent,] (v. 42) par une phrase interrogative indépendante : « </w:t>
      </w:r>
      <w:r w:rsidRPr="007C6A42">
        <w:rPr>
          <w:rFonts w:asciiTheme="majorBidi" w:eastAsia="Calibri" w:hAnsiTheme="majorBidi" w:cstheme="majorBidi"/>
          <w:i/>
          <w:iCs/>
          <w:sz w:val="24"/>
          <w:szCs w:val="24"/>
          <w:lang w:bidi="ar-AE"/>
        </w:rPr>
        <w:t>Ils te démentent ?</w:t>
      </w:r>
      <w:r w:rsidRPr="007C6A42">
        <w:rPr>
          <w:rFonts w:asciiTheme="majorBidi" w:eastAsia="Calibri" w:hAnsiTheme="majorBidi" w:cstheme="majorBidi"/>
          <w:sz w:val="24"/>
          <w:szCs w:val="24"/>
          <w:lang w:bidi="ar-AE"/>
        </w:rPr>
        <w:t> », et il a traduit la seconde proposition (l’apodose) « </w:t>
      </w:r>
      <w:r w:rsidRPr="007C6A42">
        <w:rPr>
          <w:rFonts w:asciiTheme="majorBidi" w:eastAsia="Calibri" w:hAnsiTheme="majorBidi" w:cstheme="majorBidi"/>
          <w:sz w:val="24"/>
          <w:szCs w:val="24"/>
          <w:rtl/>
          <w:lang w:bidi="ar-AE"/>
        </w:rPr>
        <w:t>فقد كذَّبَتْ قَبلَهم قومُ نوحٍ وعادٌ وثمودُ</w:t>
      </w:r>
      <w:r w:rsidRPr="007C6A42">
        <w:rPr>
          <w:rFonts w:asciiTheme="majorBidi" w:eastAsia="Calibri" w:hAnsiTheme="majorBidi" w:cstheme="majorBidi"/>
          <w:sz w:val="24"/>
          <w:szCs w:val="24"/>
          <w:lang w:bidi="ar-AE"/>
        </w:rPr>
        <w:t> » par une autre phrase : « Ainsi avant eux ont démenti les peuples de Noé, de ʿAd et de Thamûd ». En modifiant la ponctuation, Berque a ainsi ajouté une question et supprimé la conditionnelle.</w:t>
      </w:r>
    </w:p>
    <w:p w14:paraId="77510EFB"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La rationalisation fait passer l’original du concret à l’abstrait, en traduisant les verbes par des substantifs, en choisissant, de deux substantifs, le plus général. Berque a traduit </w:t>
      </w:r>
      <w:r w:rsidRPr="007C6A42">
        <w:rPr>
          <w:rFonts w:asciiTheme="majorBidi" w:hAnsiTheme="majorBidi" w:cstheme="majorBidi"/>
          <w:sz w:val="24"/>
          <w:szCs w:val="24"/>
        </w:rPr>
        <w:lastRenderedPageBreak/>
        <w:t>l’adjectif « </w:t>
      </w:r>
      <w:r w:rsidRPr="007C6A42">
        <w:rPr>
          <w:rFonts w:asciiTheme="majorBidi" w:hAnsiTheme="majorBidi" w:cstheme="majorBidi"/>
          <w:i/>
          <w:iCs/>
          <w:sz w:val="24"/>
          <w:szCs w:val="24"/>
        </w:rPr>
        <w:t>marīd</w:t>
      </w:r>
      <w:r w:rsidRPr="007C6A42">
        <w:rPr>
          <w:rFonts w:asciiTheme="majorBidi" w:hAnsiTheme="majorBidi" w:cstheme="majorBidi"/>
          <w:sz w:val="24"/>
          <w:szCs w:val="24"/>
        </w:rPr>
        <w:t xml:space="preserve"> » [≈ rebelle] (v. 3) par un substantif : « de rébellion » et Chebel par : « dans sa folie ». Berque a traduit également l’adjectif </w:t>
      </w:r>
      <w:r w:rsidRPr="007C6A42">
        <w:rPr>
          <w:rFonts w:asciiTheme="majorBidi" w:hAnsiTheme="majorBidi" w:cstheme="majorBidi"/>
          <w:i/>
          <w:iCs/>
          <w:sz w:val="24"/>
          <w:szCs w:val="24"/>
        </w:rPr>
        <w:t>munīr</w:t>
      </w:r>
      <w:r w:rsidRPr="007C6A42">
        <w:rPr>
          <w:rFonts w:asciiTheme="majorBidi" w:hAnsiTheme="majorBidi" w:cstheme="majorBidi"/>
          <w:sz w:val="24"/>
          <w:szCs w:val="24"/>
        </w:rPr>
        <w:t xml:space="preserve"> [≈ éclairant] (v. 8) par : « de lumière ». Et il a traduit la proposition « wa-</w:t>
      </w:r>
      <w:r w:rsidRPr="007C6A42">
        <w:rPr>
          <w:rFonts w:asciiTheme="majorBidi" w:hAnsiTheme="majorBidi" w:cstheme="majorBidi"/>
          <w:i/>
          <w:iCs/>
          <w:sz w:val="24"/>
          <w:szCs w:val="24"/>
        </w:rPr>
        <w:t>hiya ẓālimat</w:t>
      </w:r>
      <w:r w:rsidRPr="007C6A42">
        <w:rPr>
          <w:rFonts w:asciiTheme="majorBidi" w:hAnsiTheme="majorBidi" w:cstheme="majorBidi"/>
          <w:i/>
          <w:iCs/>
          <w:sz w:val="24"/>
          <w:szCs w:val="24"/>
          <w:vertAlign w:val="superscript"/>
        </w:rPr>
        <w:t>un</w:t>
      </w:r>
      <w:r w:rsidRPr="007C6A42">
        <w:rPr>
          <w:rFonts w:asciiTheme="majorBidi" w:hAnsiTheme="majorBidi" w:cstheme="majorBidi"/>
          <w:i/>
          <w:iCs/>
          <w:sz w:val="24"/>
          <w:szCs w:val="24"/>
        </w:rPr>
        <w:t> </w:t>
      </w:r>
      <w:r w:rsidRPr="007C6A42">
        <w:rPr>
          <w:rFonts w:asciiTheme="majorBidi" w:hAnsiTheme="majorBidi" w:cstheme="majorBidi"/>
          <w:sz w:val="24"/>
          <w:szCs w:val="24"/>
        </w:rPr>
        <w:t>» [≈ au moment où elles étaient injustes] (v. 45) par un syntagme générique : « </w:t>
      </w:r>
      <w:r w:rsidRPr="007C6A42">
        <w:rPr>
          <w:rFonts w:asciiTheme="majorBidi" w:eastAsia="Calibri" w:hAnsiTheme="majorBidi" w:cstheme="majorBidi"/>
          <w:sz w:val="24"/>
          <w:szCs w:val="24"/>
          <w:lang w:bidi="ar-AE"/>
        </w:rPr>
        <w:t xml:space="preserve">pour leur iniquité ». La proposition relative </w:t>
      </w:r>
      <w:r w:rsidRPr="007C6A42">
        <w:rPr>
          <w:rFonts w:asciiTheme="majorBidi" w:hAnsiTheme="majorBidi" w:cstheme="majorBidi"/>
          <w:i/>
          <w:iCs/>
          <w:sz w:val="24"/>
          <w:szCs w:val="24"/>
        </w:rPr>
        <w:t>alladhīna kafarū</w:t>
      </w:r>
      <w:r w:rsidRPr="007C6A42">
        <w:rPr>
          <w:rFonts w:asciiTheme="majorBidi" w:hAnsiTheme="majorBidi" w:cstheme="majorBidi"/>
          <w:sz w:val="24"/>
          <w:szCs w:val="24"/>
        </w:rPr>
        <w:t xml:space="preserve"> [≈ ceux qui n’ont pas cru] (v. 19, 25, 55, 57, 72) est rendue par un adjectif : « </w:t>
      </w:r>
      <w:r w:rsidRPr="007C6A42">
        <w:rPr>
          <w:rFonts w:asciiTheme="majorBidi" w:hAnsiTheme="majorBidi" w:cstheme="majorBidi"/>
          <w:i/>
          <w:iCs/>
          <w:sz w:val="24"/>
          <w:szCs w:val="24"/>
        </w:rPr>
        <w:t>mécréants</w:t>
      </w:r>
      <w:r w:rsidRPr="007C6A42">
        <w:rPr>
          <w:rFonts w:asciiTheme="majorBidi" w:hAnsiTheme="majorBidi" w:cstheme="majorBidi"/>
          <w:sz w:val="24"/>
          <w:szCs w:val="24"/>
        </w:rPr>
        <w:t> » (Chebel), « </w:t>
      </w:r>
      <w:r w:rsidRPr="007C6A42">
        <w:rPr>
          <w:rFonts w:asciiTheme="majorBidi" w:hAnsiTheme="majorBidi" w:cstheme="majorBidi"/>
          <w:i/>
          <w:iCs/>
          <w:sz w:val="24"/>
          <w:szCs w:val="24"/>
        </w:rPr>
        <w:t>dénégateurs</w:t>
      </w:r>
      <w:r w:rsidRPr="007C6A42">
        <w:rPr>
          <w:rFonts w:asciiTheme="majorBidi" w:hAnsiTheme="majorBidi" w:cstheme="majorBidi"/>
          <w:sz w:val="24"/>
          <w:szCs w:val="24"/>
        </w:rPr>
        <w:t> » (Berque), « </w:t>
      </w:r>
      <w:r w:rsidRPr="007C6A42">
        <w:rPr>
          <w:rFonts w:asciiTheme="majorBidi" w:hAnsiTheme="majorBidi" w:cstheme="majorBidi"/>
          <w:i/>
          <w:iCs/>
          <w:sz w:val="24"/>
          <w:szCs w:val="24"/>
        </w:rPr>
        <w:t>infidèles</w:t>
      </w:r>
      <w:r w:rsidRPr="007C6A42">
        <w:rPr>
          <w:rFonts w:asciiTheme="majorBidi" w:hAnsiTheme="majorBidi" w:cstheme="majorBidi"/>
          <w:sz w:val="24"/>
          <w:szCs w:val="24"/>
        </w:rPr>
        <w:t> » (Du Ryer, Ben Mahmoud, Chebel, Ghédira, Complexe de Médine), « </w:t>
      </w:r>
      <w:r w:rsidRPr="007C6A42">
        <w:rPr>
          <w:rFonts w:asciiTheme="majorBidi" w:hAnsiTheme="majorBidi" w:cstheme="majorBidi"/>
          <w:i/>
          <w:iCs/>
          <w:sz w:val="24"/>
          <w:szCs w:val="24"/>
        </w:rPr>
        <w:t>impies</w:t>
      </w:r>
      <w:r w:rsidRPr="007C6A42">
        <w:rPr>
          <w:rFonts w:asciiTheme="majorBidi" w:hAnsiTheme="majorBidi" w:cstheme="majorBidi"/>
          <w:sz w:val="24"/>
          <w:szCs w:val="24"/>
        </w:rPr>
        <w:t> » (Ben Mahmoud, Chiadmi), « </w:t>
      </w:r>
      <w:r w:rsidRPr="007C6A42">
        <w:rPr>
          <w:rFonts w:asciiTheme="majorBidi" w:hAnsiTheme="majorBidi" w:cstheme="majorBidi"/>
          <w:i/>
          <w:iCs/>
          <w:sz w:val="24"/>
          <w:szCs w:val="24"/>
        </w:rPr>
        <w:t>négateurs</w:t>
      </w:r>
      <w:r w:rsidRPr="007C6A42">
        <w:rPr>
          <w:rFonts w:asciiTheme="majorBidi" w:hAnsiTheme="majorBidi" w:cstheme="majorBidi"/>
          <w:sz w:val="24"/>
          <w:szCs w:val="24"/>
        </w:rPr>
        <w:t> » (Chiadmi), « </w:t>
      </w:r>
      <w:r w:rsidRPr="007C6A42">
        <w:rPr>
          <w:rFonts w:asciiTheme="majorBidi" w:hAnsiTheme="majorBidi" w:cstheme="majorBidi"/>
          <w:i/>
          <w:iCs/>
          <w:sz w:val="24"/>
          <w:szCs w:val="24"/>
        </w:rPr>
        <w:t>incroyants</w:t>
      </w:r>
      <w:r w:rsidRPr="007C6A42">
        <w:rPr>
          <w:rFonts w:asciiTheme="majorBidi" w:hAnsiTheme="majorBidi" w:cstheme="majorBidi"/>
          <w:sz w:val="24"/>
          <w:szCs w:val="24"/>
        </w:rPr>
        <w:t> » (Grosjean), « </w:t>
      </w:r>
      <w:r w:rsidRPr="007C6A42">
        <w:rPr>
          <w:rFonts w:asciiTheme="majorBidi" w:hAnsiTheme="majorBidi" w:cstheme="majorBidi"/>
          <w:i/>
          <w:iCs/>
          <w:sz w:val="24"/>
          <w:szCs w:val="24"/>
        </w:rPr>
        <w:t>effaceurs</w:t>
      </w:r>
      <w:r w:rsidRPr="007C6A42">
        <w:rPr>
          <w:rFonts w:asciiTheme="majorBidi" w:hAnsiTheme="majorBidi" w:cstheme="majorBidi"/>
          <w:sz w:val="24"/>
          <w:szCs w:val="24"/>
        </w:rPr>
        <w:t> » (Chouraqui). Cependant, certains traducteurs ont conservé la proposition relative : « </w:t>
      </w:r>
      <w:r w:rsidRPr="007C6A42">
        <w:rPr>
          <w:rFonts w:asciiTheme="majorBidi" w:hAnsiTheme="majorBidi" w:cstheme="majorBidi"/>
          <w:i/>
          <w:iCs/>
          <w:sz w:val="24"/>
          <w:szCs w:val="24"/>
        </w:rPr>
        <w:t>ceux qui devinrent mécréants </w:t>
      </w:r>
      <w:r w:rsidRPr="007C6A42">
        <w:rPr>
          <w:rFonts w:asciiTheme="majorBidi" w:hAnsiTheme="majorBidi" w:cstheme="majorBidi"/>
          <w:sz w:val="24"/>
          <w:szCs w:val="24"/>
        </w:rPr>
        <w:t>» (Abdelaziz) ; « </w:t>
      </w:r>
      <w:r w:rsidRPr="007C6A42">
        <w:rPr>
          <w:rFonts w:asciiTheme="majorBidi" w:hAnsiTheme="majorBidi" w:cstheme="majorBidi"/>
          <w:i/>
          <w:iCs/>
          <w:sz w:val="24"/>
          <w:szCs w:val="24"/>
        </w:rPr>
        <w:t>ceux qui ont mécru </w:t>
      </w:r>
      <w:r w:rsidRPr="007C6A42">
        <w:rPr>
          <w:rFonts w:asciiTheme="majorBidi" w:hAnsiTheme="majorBidi" w:cstheme="majorBidi"/>
          <w:sz w:val="24"/>
          <w:szCs w:val="24"/>
        </w:rPr>
        <w:t>» (Aldeeb) ; « </w:t>
      </w:r>
      <w:r w:rsidRPr="007C6A42">
        <w:rPr>
          <w:rFonts w:asciiTheme="majorBidi" w:hAnsiTheme="majorBidi" w:cstheme="majorBidi"/>
          <w:i/>
          <w:iCs/>
          <w:sz w:val="24"/>
          <w:szCs w:val="24"/>
        </w:rPr>
        <w:t>ceux qui mécroient </w:t>
      </w:r>
      <w:r w:rsidRPr="007C6A42">
        <w:rPr>
          <w:rFonts w:asciiTheme="majorBidi" w:hAnsiTheme="majorBidi" w:cstheme="majorBidi"/>
          <w:sz w:val="24"/>
          <w:szCs w:val="24"/>
        </w:rPr>
        <w:t>» (Hamidullah &amp; Complexe de Médine) ; « </w:t>
      </w:r>
      <w:r w:rsidRPr="007C6A42">
        <w:rPr>
          <w:rFonts w:asciiTheme="majorBidi" w:hAnsiTheme="majorBidi" w:cstheme="majorBidi"/>
          <w:i/>
          <w:iCs/>
          <w:sz w:val="24"/>
          <w:szCs w:val="24"/>
        </w:rPr>
        <w:t>ceux qui n’ont pas cru </w:t>
      </w:r>
      <w:r w:rsidRPr="007C6A42">
        <w:rPr>
          <w:rFonts w:asciiTheme="majorBidi" w:hAnsiTheme="majorBidi" w:cstheme="majorBidi"/>
          <w:sz w:val="24"/>
          <w:szCs w:val="24"/>
        </w:rPr>
        <w:t>» (Grosjean &amp; Chebel). Quelques-uns ont choisi tantôt un adjectif et tantôt une proposition relative pour la même proposition. Chebel l’a traduit par : « </w:t>
      </w:r>
      <w:r w:rsidRPr="007C6A42">
        <w:rPr>
          <w:rFonts w:asciiTheme="majorBidi" w:hAnsiTheme="majorBidi" w:cstheme="majorBidi"/>
          <w:i/>
          <w:iCs/>
          <w:sz w:val="24"/>
          <w:szCs w:val="24"/>
        </w:rPr>
        <w:t>mécréants</w:t>
      </w:r>
      <w:r w:rsidRPr="007C6A42">
        <w:rPr>
          <w:rFonts w:asciiTheme="majorBidi" w:hAnsiTheme="majorBidi" w:cstheme="majorBidi"/>
          <w:sz w:val="24"/>
          <w:szCs w:val="24"/>
        </w:rPr>
        <w:t> » ou « </w:t>
      </w:r>
      <w:r w:rsidRPr="007C6A42">
        <w:rPr>
          <w:rFonts w:asciiTheme="majorBidi" w:hAnsiTheme="majorBidi" w:cstheme="majorBidi"/>
          <w:i/>
          <w:iCs/>
          <w:sz w:val="24"/>
          <w:szCs w:val="24"/>
        </w:rPr>
        <w:t>ceux qui n’ont pas cru </w:t>
      </w:r>
      <w:r w:rsidRPr="007C6A42">
        <w:rPr>
          <w:rFonts w:asciiTheme="majorBidi" w:hAnsiTheme="majorBidi" w:cstheme="majorBidi"/>
          <w:sz w:val="24"/>
          <w:szCs w:val="24"/>
        </w:rPr>
        <w:t>». De même Chouraqui : « </w:t>
      </w:r>
      <w:r w:rsidRPr="007C6A42">
        <w:rPr>
          <w:rFonts w:asciiTheme="majorBidi" w:hAnsiTheme="majorBidi" w:cstheme="majorBidi"/>
          <w:i/>
          <w:iCs/>
          <w:sz w:val="24"/>
          <w:szCs w:val="24"/>
        </w:rPr>
        <w:t>effaceurs</w:t>
      </w:r>
      <w:r w:rsidRPr="007C6A42">
        <w:rPr>
          <w:rFonts w:asciiTheme="majorBidi" w:hAnsiTheme="majorBidi" w:cstheme="majorBidi"/>
          <w:sz w:val="24"/>
          <w:szCs w:val="24"/>
        </w:rPr>
        <w:t> » ou « </w:t>
      </w:r>
      <w:r w:rsidRPr="007C6A42">
        <w:rPr>
          <w:rFonts w:asciiTheme="majorBidi" w:hAnsiTheme="majorBidi" w:cstheme="majorBidi"/>
          <w:i/>
          <w:iCs/>
          <w:sz w:val="24"/>
          <w:szCs w:val="24"/>
        </w:rPr>
        <w:t>ceux qui effacent </w:t>
      </w:r>
      <w:r w:rsidRPr="007C6A42">
        <w:rPr>
          <w:rFonts w:asciiTheme="majorBidi" w:hAnsiTheme="majorBidi" w:cstheme="majorBidi"/>
          <w:sz w:val="24"/>
          <w:szCs w:val="24"/>
        </w:rPr>
        <w:t xml:space="preserve">». Le Complexe du Roi Fahd de Médine donne plusieurs traductions à la même proposition </w:t>
      </w:r>
      <w:r w:rsidRPr="007C6A42">
        <w:rPr>
          <w:rFonts w:asciiTheme="majorBidi" w:hAnsiTheme="majorBidi" w:cstheme="majorBidi"/>
          <w:i/>
          <w:iCs/>
          <w:sz w:val="24"/>
          <w:szCs w:val="24"/>
        </w:rPr>
        <w:t>alladhīna kafarū </w:t>
      </w:r>
      <w:r w:rsidRPr="007C6A42">
        <w:rPr>
          <w:rFonts w:asciiTheme="majorBidi" w:hAnsiTheme="majorBidi" w:cstheme="majorBidi"/>
          <w:sz w:val="24"/>
          <w:szCs w:val="24"/>
        </w:rPr>
        <w:t>: « </w:t>
      </w:r>
      <w:r w:rsidRPr="007C6A42">
        <w:rPr>
          <w:rFonts w:asciiTheme="majorBidi" w:hAnsiTheme="majorBidi" w:cstheme="majorBidi"/>
          <w:i/>
          <w:iCs/>
          <w:sz w:val="24"/>
          <w:szCs w:val="24"/>
        </w:rPr>
        <w:t>ceux qui ne croient pas</w:t>
      </w:r>
      <w:r w:rsidRPr="007C6A42">
        <w:rPr>
          <w:rFonts w:asciiTheme="majorBidi" w:hAnsiTheme="majorBidi" w:cstheme="majorBidi"/>
          <w:sz w:val="24"/>
          <w:szCs w:val="24"/>
        </w:rPr>
        <w:t> » (v. 19) ; « </w:t>
      </w:r>
      <w:r w:rsidRPr="007C6A42">
        <w:rPr>
          <w:rFonts w:asciiTheme="majorBidi" w:hAnsiTheme="majorBidi" w:cstheme="majorBidi"/>
          <w:i/>
          <w:iCs/>
          <w:sz w:val="24"/>
          <w:szCs w:val="24"/>
        </w:rPr>
        <w:t>ceux qui mécroient </w:t>
      </w:r>
      <w:r w:rsidRPr="007C6A42">
        <w:rPr>
          <w:rFonts w:asciiTheme="majorBidi" w:hAnsiTheme="majorBidi" w:cstheme="majorBidi"/>
          <w:sz w:val="24"/>
          <w:szCs w:val="24"/>
        </w:rPr>
        <w:t>» (v. 25 &amp; 55) ; « </w:t>
      </w:r>
      <w:r w:rsidRPr="007C6A42">
        <w:rPr>
          <w:rFonts w:asciiTheme="majorBidi" w:hAnsiTheme="majorBidi" w:cstheme="majorBidi"/>
          <w:i/>
          <w:iCs/>
          <w:sz w:val="24"/>
          <w:szCs w:val="24"/>
        </w:rPr>
        <w:t>infidèles</w:t>
      </w:r>
      <w:r w:rsidRPr="007C6A42">
        <w:rPr>
          <w:rFonts w:asciiTheme="majorBidi" w:hAnsiTheme="majorBidi" w:cstheme="majorBidi"/>
          <w:sz w:val="24"/>
          <w:szCs w:val="24"/>
        </w:rPr>
        <w:t> » (v. 57) ; et « </w:t>
      </w:r>
      <w:r w:rsidRPr="007C6A42">
        <w:rPr>
          <w:rFonts w:asciiTheme="majorBidi" w:hAnsiTheme="majorBidi" w:cstheme="majorBidi"/>
          <w:i/>
          <w:iCs/>
          <w:sz w:val="24"/>
          <w:szCs w:val="24"/>
        </w:rPr>
        <w:t>ceux qui ont mécru </w:t>
      </w:r>
      <w:r w:rsidRPr="007C6A42">
        <w:rPr>
          <w:rFonts w:asciiTheme="majorBidi" w:hAnsiTheme="majorBidi" w:cstheme="majorBidi"/>
          <w:sz w:val="24"/>
          <w:szCs w:val="24"/>
        </w:rPr>
        <w:t xml:space="preserve">» (v. 72). L’on voit bien pourtant qu’il y a une différence entre la proposition </w:t>
      </w:r>
      <w:r w:rsidRPr="007C6A42">
        <w:rPr>
          <w:rFonts w:asciiTheme="majorBidi" w:hAnsiTheme="majorBidi" w:cstheme="majorBidi"/>
          <w:i/>
          <w:iCs/>
          <w:sz w:val="24"/>
          <w:szCs w:val="24"/>
        </w:rPr>
        <w:t>alladhīna kafarū</w:t>
      </w:r>
      <w:r w:rsidRPr="007C6A42">
        <w:rPr>
          <w:rFonts w:asciiTheme="majorBidi" w:hAnsiTheme="majorBidi" w:cstheme="majorBidi"/>
          <w:sz w:val="24"/>
          <w:szCs w:val="24"/>
        </w:rPr>
        <w:t xml:space="preserve"> qui indique une action, ou probablement un changement d’attitude, et le participe actif </w:t>
      </w:r>
      <w:r w:rsidRPr="007C6A42">
        <w:rPr>
          <w:rFonts w:asciiTheme="majorBidi" w:hAnsiTheme="majorBidi" w:cstheme="majorBidi"/>
          <w:i/>
          <w:iCs/>
          <w:sz w:val="24"/>
          <w:szCs w:val="24"/>
        </w:rPr>
        <w:t>al-kāfirūn</w:t>
      </w:r>
      <w:r w:rsidRPr="007C6A42">
        <w:rPr>
          <w:rFonts w:asciiTheme="majorBidi" w:hAnsiTheme="majorBidi" w:cstheme="majorBidi"/>
          <w:sz w:val="24"/>
          <w:szCs w:val="24"/>
        </w:rPr>
        <w:t xml:space="preserve"> qui désigne un état, un caractère stable. Par conséquent, traduire un verbe par un adjectif c’est déformer le sens.</w:t>
      </w:r>
    </w:p>
    <w:p w14:paraId="7BB89DBA"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eastAsia="Calibri" w:hAnsiTheme="majorBidi" w:cstheme="majorBidi"/>
          <w:sz w:val="24"/>
          <w:szCs w:val="24"/>
          <w:lang w:bidi="ar-AE"/>
        </w:rPr>
        <w:t xml:space="preserve">Autre exemple : Berque traduit l’adjectif </w:t>
      </w:r>
      <w:r w:rsidRPr="007C6A42">
        <w:rPr>
          <w:rFonts w:asciiTheme="majorBidi" w:eastAsia="Calibri" w:hAnsiTheme="majorBidi" w:cstheme="majorBidi"/>
          <w:i/>
          <w:iCs/>
          <w:sz w:val="24"/>
          <w:szCs w:val="24"/>
          <w:lang w:bidi="ar-AE"/>
        </w:rPr>
        <w:t>hāmida</w:t>
      </w:r>
      <w:r w:rsidRPr="007C6A42">
        <w:rPr>
          <w:rFonts w:asciiTheme="majorBidi" w:eastAsia="Calibri" w:hAnsiTheme="majorBidi" w:cstheme="majorBidi"/>
          <w:sz w:val="24"/>
          <w:szCs w:val="24"/>
          <w:lang w:bidi="ar-AE"/>
        </w:rPr>
        <w:t xml:space="preserve"> par un infinitif (« languir ») dans le verset 5 : « </w:t>
      </w:r>
      <w:r w:rsidRPr="007C6A42">
        <w:rPr>
          <w:rFonts w:asciiTheme="majorBidi" w:eastAsia="Calibri" w:hAnsiTheme="majorBidi" w:cstheme="majorBidi"/>
          <w:i/>
          <w:sz w:val="24"/>
          <w:szCs w:val="24"/>
          <w:rtl/>
          <w:lang w:bidi="ar-AE"/>
        </w:rPr>
        <w:t xml:space="preserve">وترى الأرض </w:t>
      </w:r>
      <w:r w:rsidRPr="007C6A42">
        <w:rPr>
          <w:rFonts w:asciiTheme="majorBidi" w:eastAsia="Calibri" w:hAnsiTheme="majorBidi" w:cstheme="majorBidi"/>
          <w:i/>
          <w:sz w:val="24"/>
          <w:szCs w:val="24"/>
          <w:u w:val="single"/>
          <w:rtl/>
          <w:lang w:bidi="ar-AE"/>
        </w:rPr>
        <w:t>هامدة</w:t>
      </w:r>
      <w:r w:rsidRPr="007C6A42">
        <w:rPr>
          <w:rFonts w:asciiTheme="majorBidi" w:eastAsia="Calibri" w:hAnsiTheme="majorBidi" w:cstheme="majorBidi"/>
          <w:i/>
          <w:sz w:val="24"/>
          <w:szCs w:val="24"/>
          <w:lang w:bidi="ar-AE"/>
        </w:rPr>
        <w:t> </w:t>
      </w:r>
      <w:r w:rsidRPr="007C6A42">
        <w:rPr>
          <w:rFonts w:asciiTheme="majorBidi" w:eastAsia="Calibri" w:hAnsiTheme="majorBidi" w:cstheme="majorBidi"/>
          <w:sz w:val="24"/>
          <w:szCs w:val="24"/>
          <w:lang w:bidi="ar-AE"/>
        </w:rPr>
        <w:t xml:space="preserve">» </w:t>
      </w:r>
      <w:r w:rsidRPr="007C6A42">
        <w:rPr>
          <w:rFonts w:asciiTheme="majorBidi" w:hAnsiTheme="majorBidi" w:cstheme="majorBidi"/>
          <w:sz w:val="24"/>
          <w:szCs w:val="24"/>
        </w:rPr>
        <w:t>[</w:t>
      </w:r>
      <w:r w:rsidRPr="007C6A42">
        <w:rPr>
          <w:rFonts w:asciiTheme="majorBidi" w:eastAsia="Calibri" w:hAnsiTheme="majorBidi" w:cstheme="majorBidi"/>
          <w:sz w:val="24"/>
          <w:szCs w:val="24"/>
          <w:lang w:bidi="ar-AE"/>
        </w:rPr>
        <w:t>« Ainsi vois-tu la terre</w:t>
      </w:r>
      <w:r w:rsidRPr="007C6A42">
        <w:rPr>
          <w:rFonts w:asciiTheme="majorBidi" w:eastAsia="Calibri" w:hAnsiTheme="majorBidi" w:cstheme="majorBidi"/>
          <w:sz w:val="24"/>
          <w:szCs w:val="24"/>
          <w:u w:val="single"/>
          <w:lang w:bidi="ar-AE"/>
        </w:rPr>
        <w:t xml:space="preserve"> languir </w:t>
      </w:r>
      <w:r w:rsidRPr="007C6A42">
        <w:rPr>
          <w:rFonts w:asciiTheme="majorBidi" w:eastAsia="Calibri" w:hAnsiTheme="majorBidi" w:cstheme="majorBidi"/>
          <w:sz w:val="24"/>
          <w:szCs w:val="24"/>
          <w:lang w:bidi="ar-AE"/>
        </w:rPr>
        <w:t>»].</w:t>
      </w:r>
    </w:p>
    <w:p w14:paraId="7487F429"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Parfois, des verbes ou des mots sont omis même dans la traduction la plus littéraliste et la plus méticuleuse. Par exemple, Abdelaziz, l’une des traducteurs les plus minutieuses, n’a pas traduit le verbe </w:t>
      </w:r>
      <w:r w:rsidRPr="007C6A42">
        <w:rPr>
          <w:rFonts w:asciiTheme="majorBidi" w:hAnsiTheme="majorBidi" w:cstheme="majorBidi"/>
          <w:i/>
          <w:iCs/>
          <w:sz w:val="24"/>
          <w:szCs w:val="24"/>
        </w:rPr>
        <w:t>nudhīquhu</w:t>
      </w:r>
      <w:r w:rsidRPr="007C6A42">
        <w:rPr>
          <w:rFonts w:asciiTheme="majorBidi" w:hAnsiTheme="majorBidi" w:cstheme="majorBidi"/>
          <w:sz w:val="24"/>
          <w:szCs w:val="24"/>
        </w:rPr>
        <w:t xml:space="preserve"> </w:t>
      </w:r>
      <w:r w:rsidRPr="007C6A42">
        <w:rPr>
          <w:rFonts w:asciiTheme="majorBidi" w:hAnsiTheme="majorBidi" w:cstheme="majorBidi"/>
          <w:sz w:val="24"/>
          <w:szCs w:val="24"/>
          <w:rtl/>
        </w:rPr>
        <w:t>نُذِيقُه</w:t>
      </w:r>
      <w:r w:rsidRPr="007C6A42">
        <w:rPr>
          <w:rFonts w:asciiTheme="majorBidi" w:hAnsiTheme="majorBidi" w:cstheme="majorBidi"/>
          <w:sz w:val="24"/>
          <w:szCs w:val="24"/>
        </w:rPr>
        <w:t xml:space="preserve"> [</w:t>
      </w:r>
      <w:r w:rsidRPr="007C6A42">
        <w:rPr>
          <w:rFonts w:asciiTheme="majorBidi" w:eastAsia="Calibri" w:hAnsiTheme="majorBidi" w:cstheme="majorBidi"/>
          <w:sz w:val="24"/>
          <w:szCs w:val="24"/>
          <w:lang w:bidi="ar-AE"/>
        </w:rPr>
        <w:t>nous lui ferons goûter</w:t>
      </w:r>
      <w:r w:rsidRPr="007C6A42">
        <w:rPr>
          <w:rFonts w:asciiTheme="majorBidi" w:hAnsiTheme="majorBidi" w:cstheme="majorBidi"/>
          <w:sz w:val="24"/>
          <w:szCs w:val="24"/>
        </w:rPr>
        <w:t xml:space="preserve">] (v. 9). Voici sa traduction : </w:t>
      </w:r>
    </w:p>
    <w:tbl>
      <w:tblPr>
        <w:tblStyle w:val="Grilledutableau"/>
        <w:tblW w:w="0" w:type="auto"/>
        <w:tblLook w:val="04A0" w:firstRow="1" w:lastRow="0" w:firstColumn="1" w:lastColumn="0" w:noHBand="0" w:noVBand="1"/>
      </w:tblPr>
      <w:tblGrid>
        <w:gridCol w:w="4750"/>
        <w:gridCol w:w="4750"/>
      </w:tblGrid>
      <w:tr w:rsidR="00A70B78" w:rsidRPr="007C6A42" w14:paraId="517A600C" w14:textId="77777777" w:rsidTr="00AF4FC9">
        <w:tc>
          <w:tcPr>
            <w:tcW w:w="4750" w:type="dxa"/>
          </w:tcPr>
          <w:p w14:paraId="1EAEB205" w14:textId="77777777" w:rsidR="00A70B78" w:rsidRPr="007C6A42" w:rsidRDefault="00A70B78" w:rsidP="00AF4FC9">
            <w:pPr>
              <w:spacing w:line="360" w:lineRule="auto"/>
              <w:contextualSpacing/>
              <w:jc w:val="center"/>
              <w:rPr>
                <w:rFonts w:asciiTheme="majorBidi" w:hAnsiTheme="majorBidi" w:cstheme="majorBidi"/>
                <w:b/>
                <w:bCs/>
                <w:rtl/>
              </w:rPr>
            </w:pPr>
            <w:r w:rsidRPr="007C6A42">
              <w:rPr>
                <w:rFonts w:asciiTheme="majorBidi" w:hAnsiTheme="majorBidi" w:cstheme="majorBidi"/>
                <w:b/>
                <w:bCs/>
              </w:rPr>
              <w:t>Clausule du verset 9</w:t>
            </w:r>
          </w:p>
        </w:tc>
        <w:tc>
          <w:tcPr>
            <w:tcW w:w="4750" w:type="dxa"/>
          </w:tcPr>
          <w:p w14:paraId="2EF03DAA" w14:textId="77777777" w:rsidR="00A70B78" w:rsidRPr="007C6A42" w:rsidRDefault="00A70B78" w:rsidP="00AF4FC9">
            <w:pPr>
              <w:spacing w:line="360" w:lineRule="auto"/>
              <w:contextualSpacing/>
              <w:jc w:val="center"/>
              <w:rPr>
                <w:rFonts w:asciiTheme="majorBidi" w:hAnsiTheme="majorBidi" w:cstheme="majorBidi"/>
                <w:b/>
                <w:bCs/>
              </w:rPr>
            </w:pPr>
            <w:r w:rsidRPr="007C6A42">
              <w:rPr>
                <w:rFonts w:asciiTheme="majorBidi" w:hAnsiTheme="majorBidi" w:cstheme="majorBidi"/>
                <w:b/>
                <w:bCs/>
              </w:rPr>
              <w:t>Traduction d’Abdelaziz</w:t>
            </w:r>
          </w:p>
        </w:tc>
      </w:tr>
      <w:tr w:rsidR="00A70B78" w:rsidRPr="007C6A42" w14:paraId="1470D556" w14:textId="77777777" w:rsidTr="00AF4FC9">
        <w:tc>
          <w:tcPr>
            <w:tcW w:w="4750" w:type="dxa"/>
          </w:tcPr>
          <w:p w14:paraId="5EC39C87" w14:textId="77777777" w:rsidR="00A70B78" w:rsidRPr="007C6A42" w:rsidRDefault="00A70B78" w:rsidP="00AF4FC9">
            <w:pPr>
              <w:bidi/>
              <w:rPr>
                <w:rFonts w:asciiTheme="majorBidi" w:hAnsiTheme="majorBidi" w:cstheme="majorBidi"/>
                <w:rtl/>
              </w:rPr>
            </w:pPr>
            <w:r w:rsidRPr="007C6A42">
              <w:rPr>
                <w:rFonts w:asciiTheme="majorBidi" w:hAnsiTheme="majorBidi" w:cstheme="majorBidi"/>
                <w:shd w:val="clear" w:color="auto" w:fill="FFFFFF"/>
                <w:rtl/>
              </w:rPr>
              <w:t xml:space="preserve">"له في الدنيا خِزيٌ </w:t>
            </w:r>
            <w:r w:rsidRPr="007C6A42">
              <w:rPr>
                <w:rFonts w:asciiTheme="majorBidi" w:hAnsiTheme="majorBidi" w:cstheme="majorBidi"/>
                <w:b/>
                <w:bCs/>
                <w:shd w:val="clear" w:color="auto" w:fill="FFFFFF"/>
                <w:rtl/>
              </w:rPr>
              <w:t>ونُذِيقُه</w:t>
            </w:r>
            <w:r w:rsidRPr="007C6A42">
              <w:rPr>
                <w:rFonts w:asciiTheme="majorBidi" w:hAnsiTheme="majorBidi" w:cstheme="majorBidi"/>
                <w:shd w:val="clear" w:color="auto" w:fill="FFFFFF"/>
                <w:rtl/>
              </w:rPr>
              <w:t xml:space="preserve"> يومَ الْقيامةِ عذابَ الحريق."</w:t>
            </w:r>
          </w:p>
        </w:tc>
        <w:tc>
          <w:tcPr>
            <w:tcW w:w="4750" w:type="dxa"/>
          </w:tcPr>
          <w:p w14:paraId="1158BDAA" w14:textId="77777777" w:rsidR="00A70B78" w:rsidRPr="007C6A42" w:rsidRDefault="00A70B78" w:rsidP="00AF4FC9">
            <w:pPr>
              <w:spacing w:line="360" w:lineRule="auto"/>
              <w:contextualSpacing/>
              <w:jc w:val="both"/>
              <w:rPr>
                <w:rFonts w:asciiTheme="majorBidi" w:hAnsiTheme="majorBidi" w:cstheme="majorBidi"/>
              </w:rPr>
            </w:pPr>
            <w:r w:rsidRPr="007C6A42">
              <w:rPr>
                <w:rFonts w:asciiTheme="majorBidi" w:hAnsiTheme="majorBidi" w:cstheme="majorBidi"/>
              </w:rPr>
              <w:t xml:space="preserve">« Il aura au monde un avilissement et, </w:t>
            </w:r>
            <w:r w:rsidRPr="007C6A42">
              <w:rPr>
                <w:rFonts w:asciiTheme="majorBidi" w:hAnsiTheme="majorBidi" w:cstheme="majorBidi"/>
                <w:b/>
                <w:bCs/>
              </w:rPr>
              <w:t>[ø]</w:t>
            </w:r>
            <w:r w:rsidRPr="007C6A42">
              <w:rPr>
                <w:rFonts w:asciiTheme="majorBidi" w:hAnsiTheme="majorBidi" w:cstheme="majorBidi"/>
              </w:rPr>
              <w:t xml:space="preserve"> le jour de la Résurrection, le châtiment du Feu ardent : »</w:t>
            </w:r>
          </w:p>
        </w:tc>
      </w:tr>
    </w:tbl>
    <w:p w14:paraId="47B50F05" w14:textId="77777777" w:rsidR="00A70B78" w:rsidRPr="007C6A42" w:rsidRDefault="00A70B78" w:rsidP="00A70B78">
      <w:pPr>
        <w:spacing w:line="360" w:lineRule="auto"/>
        <w:contextualSpacing/>
        <w:jc w:val="both"/>
        <w:rPr>
          <w:rFonts w:asciiTheme="majorBidi" w:hAnsiTheme="majorBidi" w:cstheme="majorBidi"/>
        </w:rPr>
      </w:pPr>
    </w:p>
    <w:p w14:paraId="080E174D"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lastRenderedPageBreak/>
        <w:t>La clarification</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La traduction vise en général « à rendre "clair" ce qui ne l’est pas et ne veut pas l’être dans l’original »</w:t>
      </w:r>
      <w:r w:rsidRPr="007C6A42">
        <w:rPr>
          <w:rStyle w:val="Appelnotedebasdep"/>
          <w:rFonts w:asciiTheme="majorBidi" w:hAnsiTheme="majorBidi" w:cstheme="majorBidi"/>
          <w:sz w:val="24"/>
          <w:szCs w:val="24"/>
        </w:rPr>
        <w:footnoteReference w:id="466"/>
      </w:r>
      <w:r w:rsidRPr="007C6A42">
        <w:rPr>
          <w:rFonts w:asciiTheme="majorBidi" w:hAnsiTheme="majorBidi" w:cstheme="majorBidi"/>
          <w:sz w:val="24"/>
          <w:szCs w:val="24"/>
        </w:rPr>
        <w:t>. Berque a ajouté entre parenthèse un COD (</w:t>
      </w:r>
      <w:r w:rsidRPr="007C6A42">
        <w:rPr>
          <w:rFonts w:asciiTheme="majorBidi" w:hAnsiTheme="majorBidi" w:cstheme="majorBidi"/>
          <w:i/>
          <w:iCs/>
          <w:sz w:val="24"/>
          <w:szCs w:val="24"/>
        </w:rPr>
        <w:t>Notre pouvoir</w:t>
      </w:r>
      <w:r w:rsidRPr="007C6A42">
        <w:rPr>
          <w:rFonts w:asciiTheme="majorBidi" w:hAnsiTheme="majorBidi" w:cstheme="majorBidi"/>
          <w:sz w:val="24"/>
          <w:szCs w:val="24"/>
        </w:rPr>
        <w:t xml:space="preserve">) omis dans l’original pour le verbe </w:t>
      </w:r>
      <w:r w:rsidRPr="007C6A42">
        <w:rPr>
          <w:rFonts w:asciiTheme="majorBidi" w:hAnsiTheme="majorBidi" w:cstheme="majorBidi"/>
          <w:i/>
          <w:iCs/>
          <w:sz w:val="24"/>
          <w:szCs w:val="24"/>
        </w:rPr>
        <w:t>nubayyina</w:t>
      </w:r>
      <w:r w:rsidRPr="007C6A42">
        <w:rPr>
          <w:rFonts w:asciiTheme="majorBidi" w:hAnsiTheme="majorBidi" w:cstheme="majorBidi"/>
          <w:sz w:val="24"/>
          <w:szCs w:val="24"/>
        </w:rPr>
        <w:t xml:space="preserve"> [≈ nous expliquons] (v. 5).</w:t>
      </w:r>
    </w:p>
    <w:p w14:paraId="1FA08857"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 Le passage de la polysémie à la monosémie est un mode de clarification. » Savary, Berque, Chiadmi et Abdelaziz ont traduit entre parenthèse le pronom COD indéterminé </w:t>
      </w:r>
      <w:r w:rsidRPr="007C6A42">
        <w:rPr>
          <w:rFonts w:asciiTheme="majorBidi" w:hAnsiTheme="majorBidi" w:cstheme="majorBidi"/>
          <w:i/>
          <w:iCs/>
          <w:sz w:val="24"/>
          <w:szCs w:val="24"/>
        </w:rPr>
        <w:t>-hu</w:t>
      </w:r>
      <w:r w:rsidRPr="007C6A42">
        <w:rPr>
          <w:rFonts w:asciiTheme="majorBidi" w:hAnsiTheme="majorBidi" w:cstheme="majorBidi"/>
          <w:sz w:val="24"/>
          <w:szCs w:val="24"/>
        </w:rPr>
        <w:t xml:space="preserve"> dans le verbe </w:t>
      </w:r>
      <w:r w:rsidRPr="007C6A42">
        <w:rPr>
          <w:rFonts w:asciiTheme="majorBidi" w:hAnsiTheme="majorBidi" w:cstheme="majorBidi"/>
          <w:i/>
          <w:iCs/>
          <w:sz w:val="24"/>
          <w:szCs w:val="24"/>
        </w:rPr>
        <w:t>yanṣura-hu</w:t>
      </w:r>
      <w:r w:rsidRPr="007C6A42">
        <w:rPr>
          <w:rFonts w:asciiTheme="majorBidi" w:hAnsiTheme="majorBidi" w:cstheme="majorBidi"/>
          <w:sz w:val="24"/>
          <w:szCs w:val="24"/>
        </w:rPr>
        <w:t xml:space="preserve"> [≈ </w:t>
      </w:r>
      <w:r w:rsidRPr="007C6A42">
        <w:rPr>
          <w:rFonts w:asciiTheme="majorBidi" w:hAnsiTheme="majorBidi" w:cstheme="majorBidi"/>
          <w:i/>
          <w:iCs/>
          <w:sz w:val="24"/>
          <w:szCs w:val="24"/>
        </w:rPr>
        <w:t>le</w:t>
      </w:r>
      <w:r w:rsidRPr="007C6A42">
        <w:rPr>
          <w:rFonts w:asciiTheme="majorBidi" w:hAnsiTheme="majorBidi" w:cstheme="majorBidi"/>
          <w:sz w:val="24"/>
          <w:szCs w:val="24"/>
        </w:rPr>
        <w:t xml:space="preserve"> secourra] (v. 15) par « (Prophète) ». D’autres (Du Ryer, Kazimirski, Ghédira, Hamidullah et Hafiane) ont précisé le nom de Muḥammad. Le terme </w:t>
      </w:r>
      <w:r w:rsidRPr="007C6A42">
        <w:rPr>
          <w:rFonts w:asciiTheme="majorBidi" w:hAnsiTheme="majorBidi" w:cstheme="majorBidi"/>
          <w:i/>
          <w:iCs/>
          <w:sz w:val="24"/>
          <w:szCs w:val="24"/>
        </w:rPr>
        <w:t>hapax</w:t>
      </w:r>
      <w:r w:rsidRPr="007C6A42">
        <w:rPr>
          <w:rFonts w:asciiTheme="majorBidi" w:hAnsiTheme="majorBidi" w:cstheme="majorBidi"/>
          <w:sz w:val="24"/>
          <w:szCs w:val="24"/>
        </w:rPr>
        <w:t xml:space="preserve"> équivoque et polysémique au singulier </w:t>
      </w:r>
      <w:r w:rsidRPr="007C6A42">
        <w:rPr>
          <w:rFonts w:asciiTheme="majorBidi" w:hAnsiTheme="majorBidi" w:cstheme="majorBidi"/>
          <w:i/>
          <w:iCs/>
          <w:sz w:val="24"/>
          <w:szCs w:val="24"/>
        </w:rPr>
        <w:t>tafath</w:t>
      </w:r>
      <w:r w:rsidRPr="007C6A42">
        <w:rPr>
          <w:rFonts w:asciiTheme="majorBidi" w:hAnsiTheme="majorBidi" w:cstheme="majorBidi"/>
          <w:sz w:val="24"/>
          <w:szCs w:val="24"/>
        </w:rPr>
        <w:t xml:space="preserve"> (v. 29) est rendu par la plupart des traducteurs par le terme au pluriel : « </w:t>
      </w:r>
      <w:r w:rsidRPr="007C6A42">
        <w:rPr>
          <w:rFonts w:asciiTheme="majorBidi" w:hAnsiTheme="majorBidi" w:cstheme="majorBidi"/>
          <w:i/>
          <w:iCs/>
          <w:sz w:val="24"/>
          <w:szCs w:val="24"/>
        </w:rPr>
        <w:t>interdits</w:t>
      </w:r>
      <w:r w:rsidRPr="007C6A42">
        <w:rPr>
          <w:rFonts w:asciiTheme="majorBidi" w:hAnsiTheme="majorBidi" w:cstheme="majorBidi"/>
          <w:sz w:val="24"/>
          <w:szCs w:val="24"/>
        </w:rPr>
        <w:t> », en perdant ainsi tout l’aspect rituel et cultuel du mot.</w:t>
      </w:r>
    </w:p>
    <w:p w14:paraId="6C9B4140"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Ben Mahmoud (1962) a clarifié cette phrase : « </w:t>
      </w:r>
      <w:r w:rsidRPr="007C6A42">
        <w:rPr>
          <w:rFonts w:asciiTheme="majorBidi" w:hAnsiTheme="majorBidi" w:cstheme="majorBidi"/>
          <w:sz w:val="24"/>
          <w:szCs w:val="24"/>
          <w:rtl/>
        </w:rPr>
        <w:t>وَمِنكُم مَّن يُرَدُّ إِلَى أَرْذَلِ الْعُمُرِ لِكَيْلا يَعْلَمَ مِن بَعْدِ عِلْمٍ شَيْئًا</w:t>
      </w:r>
      <w:r w:rsidRPr="007C6A42">
        <w:rPr>
          <w:rFonts w:asciiTheme="majorBidi" w:hAnsiTheme="majorBidi" w:cstheme="majorBidi"/>
          <w:sz w:val="24"/>
          <w:szCs w:val="24"/>
        </w:rPr>
        <w:t> » [</w:t>
      </w:r>
      <w:r w:rsidRPr="007C6A42">
        <w:rPr>
          <w:rFonts w:asciiTheme="majorBidi" w:eastAsia="Calibri" w:hAnsiTheme="majorBidi" w:cstheme="majorBidi"/>
          <w:sz w:val="24"/>
          <w:szCs w:val="24"/>
          <w:lang w:bidi="ar-AE"/>
        </w:rPr>
        <w:t>et d’autres ramenés au plus débile de l’âge, au point de ne rien connaître après avoir connu</w:t>
      </w:r>
      <w:r w:rsidRPr="007C6A42">
        <w:rPr>
          <w:rFonts w:asciiTheme="majorBidi" w:hAnsiTheme="majorBidi" w:cstheme="majorBidi"/>
          <w:sz w:val="24"/>
          <w:szCs w:val="24"/>
        </w:rPr>
        <w:t>] (v. 5) en élargissant son champ polysémique ainsi : « </w:t>
      </w:r>
      <w:r w:rsidRPr="007C6A42">
        <w:rPr>
          <w:rFonts w:asciiTheme="majorBidi" w:hAnsiTheme="majorBidi" w:cstheme="majorBidi"/>
          <w:i/>
          <w:iCs/>
          <w:sz w:val="24"/>
          <w:szCs w:val="24"/>
        </w:rPr>
        <w:t>d’autres arrivent à un âge si avancé qu’ils perdent toutes leurs facultés.</w:t>
      </w:r>
      <w:r w:rsidRPr="007C6A42">
        <w:rPr>
          <w:rFonts w:asciiTheme="majorBidi" w:hAnsiTheme="majorBidi" w:cstheme="majorBidi"/>
          <w:sz w:val="24"/>
          <w:szCs w:val="24"/>
        </w:rPr>
        <w:t> ».</w:t>
      </w:r>
    </w:p>
    <w:p w14:paraId="1B2337AD"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311BB267"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L’allongement</w:t>
      </w:r>
      <w:r w:rsidRPr="007C6A42">
        <w:rPr>
          <w:rFonts w:asciiTheme="majorBidi" w:hAnsiTheme="majorBidi" w:cstheme="majorBidi"/>
          <w:b/>
          <w:bCs/>
          <w:sz w:val="24"/>
          <w:szCs w:val="24"/>
        </w:rPr>
        <w:t xml:space="preserve"> : </w:t>
      </w:r>
      <w:r w:rsidRPr="007C6A42">
        <w:rPr>
          <w:rFonts w:asciiTheme="majorBidi" w:hAnsiTheme="majorBidi" w:cstheme="majorBidi"/>
          <w:sz w:val="24"/>
          <w:szCs w:val="24"/>
        </w:rPr>
        <w:t>la traduction a tendance à être plus long que l’original. L’ajout n’ajoute rien et ne fait qu’accroître la masse brute du texte. L’allongement est un relâchement portant atteinte à la rythmique de l’œuvre et notamment d’un livre sacré basé sur la psalmodie, d’un livre dont la rythmique est un aspect essentiel.</w:t>
      </w:r>
    </w:p>
    <w:p w14:paraId="0E97E8F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L’ajout est très fréquent dans les traductions du Coran. Berque ajoute beaucoup de mots entre parenthèse (comme : </w:t>
      </w:r>
      <w:r w:rsidRPr="007C6A42">
        <w:rPr>
          <w:rFonts w:asciiTheme="majorBidi" w:hAnsiTheme="majorBidi" w:cstheme="majorBidi"/>
          <w:i/>
          <w:iCs/>
          <w:sz w:val="24"/>
          <w:szCs w:val="24"/>
        </w:rPr>
        <w:t>les fidèles </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chamelles</w:t>
      </w:r>
      <w:r w:rsidRPr="007C6A42">
        <w:rPr>
          <w:rFonts w:asciiTheme="majorBidi" w:hAnsiTheme="majorBidi" w:cstheme="majorBidi"/>
          <w:sz w:val="24"/>
          <w:szCs w:val="24"/>
        </w:rPr>
        <w:t xml:space="preserve"> ; </w:t>
      </w:r>
      <w:r w:rsidRPr="007C6A42">
        <w:rPr>
          <w:rFonts w:asciiTheme="majorBidi" w:hAnsiTheme="majorBidi" w:cstheme="majorBidi"/>
          <w:i/>
          <w:iCs/>
          <w:sz w:val="24"/>
          <w:szCs w:val="24"/>
        </w:rPr>
        <w:t>en effet </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peuvent s’attendre</w:t>
      </w:r>
      <w:r w:rsidRPr="007C6A42">
        <w:rPr>
          <w:rFonts w:asciiTheme="majorBidi" w:hAnsiTheme="majorBidi" w:cstheme="majorBidi"/>
          <w:sz w:val="24"/>
          <w:szCs w:val="24"/>
        </w:rPr>
        <w:t xml:space="preserve"> ; </w:t>
      </w:r>
      <w:r w:rsidRPr="007C6A42">
        <w:rPr>
          <w:rFonts w:asciiTheme="majorBidi" w:hAnsiTheme="majorBidi" w:cstheme="majorBidi"/>
          <w:i/>
          <w:iCs/>
          <w:sz w:val="24"/>
          <w:szCs w:val="24"/>
        </w:rPr>
        <w:t>de mort naturelle</w:t>
      </w:r>
      <w:r w:rsidRPr="007C6A42">
        <w:rPr>
          <w:rFonts w:asciiTheme="majorBidi" w:hAnsiTheme="majorBidi" w:cstheme="majorBidi"/>
          <w:sz w:val="24"/>
          <w:szCs w:val="24"/>
        </w:rPr>
        <w:t xml:space="preserve"> ; </w:t>
      </w:r>
      <w:r w:rsidRPr="007C6A42">
        <w:rPr>
          <w:rFonts w:asciiTheme="majorBidi" w:hAnsiTheme="majorBidi" w:cstheme="majorBidi"/>
          <w:i/>
          <w:iCs/>
          <w:sz w:val="24"/>
          <w:szCs w:val="24"/>
        </w:rPr>
        <w:t>à répliquer</w:t>
      </w:r>
      <w:r w:rsidRPr="007C6A42">
        <w:rPr>
          <w:rFonts w:asciiTheme="majorBidi" w:hAnsiTheme="majorBidi" w:cstheme="majorBidi"/>
          <w:sz w:val="24"/>
          <w:szCs w:val="24"/>
        </w:rPr>
        <w:t>). Guessous traduit le verbe « </w:t>
      </w:r>
      <w:r w:rsidRPr="007C6A42">
        <w:rPr>
          <w:rFonts w:asciiTheme="majorBidi" w:hAnsiTheme="majorBidi" w:cstheme="majorBidi"/>
          <w:i/>
          <w:iCs/>
          <w:sz w:val="24"/>
          <w:szCs w:val="24"/>
        </w:rPr>
        <w:t>ʾanzalnā-hu </w:t>
      </w:r>
      <w:r w:rsidRPr="007C6A42">
        <w:rPr>
          <w:rFonts w:asciiTheme="majorBidi" w:hAnsiTheme="majorBidi" w:cstheme="majorBidi"/>
          <w:sz w:val="24"/>
          <w:szCs w:val="24"/>
        </w:rPr>
        <w:t>» [≈ nous le faisons descendre] (v. 16) par : « Nous t’avons révélé le Coran. » Hamidullah ajoute le nom arabe : « l’Enfer-Sa’ïr » ; « l’Enfer-Harîc ». Du Ryer ajoute des mots pour expliquer. Par exemple</w:t>
      </w:r>
      <w:r w:rsidRPr="007C6A42">
        <w:rPr>
          <w:rStyle w:val="Appelnotedebasdep"/>
          <w:rFonts w:asciiTheme="majorBidi" w:hAnsiTheme="majorBidi" w:cstheme="majorBidi"/>
          <w:sz w:val="24"/>
          <w:szCs w:val="24"/>
        </w:rPr>
        <w:footnoteReference w:id="467"/>
      </w:r>
      <w:r w:rsidRPr="007C6A42">
        <w:rPr>
          <w:rFonts w:asciiTheme="majorBidi" w:hAnsiTheme="majorBidi" w:cstheme="majorBidi"/>
          <w:sz w:val="24"/>
          <w:szCs w:val="24"/>
        </w:rPr>
        <w:t>, il a traduit : « </w:t>
      </w:r>
      <w:r w:rsidRPr="007C6A42">
        <w:rPr>
          <w:rFonts w:asciiTheme="majorBidi" w:hAnsiTheme="majorBidi" w:cstheme="majorBidi"/>
          <w:sz w:val="24"/>
          <w:szCs w:val="24"/>
          <w:rtl/>
        </w:rPr>
        <w:t>هذان خَصمان اختصموا</w:t>
      </w:r>
      <w:r w:rsidRPr="007C6A42">
        <w:rPr>
          <w:rFonts w:asciiTheme="majorBidi" w:hAnsiTheme="majorBidi" w:cstheme="majorBidi"/>
          <w:sz w:val="24"/>
          <w:szCs w:val="24"/>
        </w:rPr>
        <w:t> » [Ces deux-ci sont adversaires qui divergèrent [Abdelaziz]] (v. 19) par : « </w:t>
      </w:r>
      <w:r w:rsidRPr="007C6A42">
        <w:rPr>
          <w:rFonts w:asciiTheme="majorBidi" w:hAnsiTheme="majorBidi" w:cstheme="majorBidi"/>
          <w:i/>
          <w:iCs/>
          <w:sz w:val="24"/>
          <w:szCs w:val="24"/>
        </w:rPr>
        <w:t xml:space="preserve">Ces deux partis, </w:t>
      </w:r>
      <w:r w:rsidRPr="007C6A42">
        <w:rPr>
          <w:rFonts w:asciiTheme="majorBidi" w:hAnsiTheme="majorBidi" w:cstheme="majorBidi"/>
          <w:i/>
          <w:iCs/>
          <w:sz w:val="24"/>
          <w:szCs w:val="24"/>
          <w:u w:val="single"/>
        </w:rPr>
        <w:t>les fidelles &amp; les infidelles</w:t>
      </w:r>
      <w:r w:rsidRPr="007C6A42">
        <w:rPr>
          <w:rFonts w:asciiTheme="majorBidi" w:hAnsiTheme="majorBidi" w:cstheme="majorBidi"/>
          <w:i/>
          <w:iCs/>
          <w:sz w:val="24"/>
          <w:szCs w:val="24"/>
        </w:rPr>
        <w:t>, ont diʃputé</w:t>
      </w:r>
      <w:r w:rsidRPr="007C6A42">
        <w:rPr>
          <w:rFonts w:asciiTheme="majorBidi" w:hAnsiTheme="majorBidi" w:cstheme="majorBidi"/>
          <w:sz w:val="24"/>
          <w:szCs w:val="24"/>
        </w:rPr>
        <w:t> ». Et il a traduit : « </w:t>
      </w:r>
      <w:r w:rsidRPr="007C6A42">
        <w:rPr>
          <w:rFonts w:asciiTheme="majorBidi" w:hAnsiTheme="majorBidi" w:cstheme="majorBidi"/>
          <w:sz w:val="24"/>
          <w:szCs w:val="24"/>
          <w:rtl/>
        </w:rPr>
        <w:t>فالذين كَفَروا قُطِّعَت لهم ثيابٌ من نار</w:t>
      </w:r>
      <w:r w:rsidRPr="007C6A42">
        <w:rPr>
          <w:rFonts w:asciiTheme="majorBidi" w:hAnsiTheme="majorBidi" w:cstheme="majorBidi"/>
          <w:sz w:val="24"/>
          <w:szCs w:val="24"/>
        </w:rPr>
        <w:t> » [Ceux qui devinrent mécréants, on leur a taillé des vêtements de Feu [Abdelaziz]] (v. 19) par : « </w:t>
      </w:r>
      <w:r w:rsidRPr="007C6A42">
        <w:rPr>
          <w:rFonts w:asciiTheme="majorBidi" w:hAnsiTheme="majorBidi" w:cstheme="majorBidi"/>
          <w:i/>
          <w:iCs/>
          <w:sz w:val="24"/>
          <w:szCs w:val="24"/>
        </w:rPr>
        <w:t xml:space="preserve">mais les infidelles </w:t>
      </w:r>
      <w:r w:rsidRPr="007C6A42">
        <w:rPr>
          <w:rFonts w:asciiTheme="majorBidi" w:hAnsiTheme="majorBidi" w:cstheme="majorBidi"/>
          <w:i/>
          <w:iCs/>
          <w:sz w:val="24"/>
          <w:szCs w:val="24"/>
          <w:u w:val="single"/>
        </w:rPr>
        <w:t>seront entourez des flammes de l’Enfer,</w:t>
      </w:r>
      <w:r w:rsidRPr="007C6A42">
        <w:rPr>
          <w:rFonts w:asciiTheme="majorBidi" w:hAnsiTheme="majorBidi" w:cstheme="majorBidi"/>
          <w:i/>
          <w:iCs/>
          <w:sz w:val="24"/>
          <w:szCs w:val="24"/>
        </w:rPr>
        <w:t xml:space="preserve"> ils auront des chemises de feu </w:t>
      </w:r>
      <w:r w:rsidRPr="007C6A42">
        <w:rPr>
          <w:rFonts w:asciiTheme="majorBidi" w:hAnsiTheme="majorBidi" w:cstheme="majorBidi"/>
          <w:sz w:val="24"/>
          <w:szCs w:val="24"/>
        </w:rPr>
        <w:t xml:space="preserve">». Blachère ajoute entre </w:t>
      </w:r>
      <w:r w:rsidRPr="007C6A42">
        <w:rPr>
          <w:rFonts w:asciiTheme="majorBidi" w:hAnsiTheme="majorBidi" w:cstheme="majorBidi"/>
          <w:sz w:val="24"/>
          <w:szCs w:val="24"/>
        </w:rPr>
        <w:lastRenderedPageBreak/>
        <w:t xml:space="preserve">parenthèses en italique la translittération de certains noms communs ; il traduit par exemple : « Allah n’est point injuste </w:t>
      </w:r>
      <w:r w:rsidRPr="007C6A42">
        <w:rPr>
          <w:rFonts w:asciiTheme="majorBidi" w:hAnsiTheme="majorBidi" w:cstheme="majorBidi"/>
          <w:sz w:val="24"/>
          <w:szCs w:val="24"/>
          <w:u w:val="single"/>
        </w:rPr>
        <w:t>(</w:t>
      </w:r>
      <w:r w:rsidRPr="007C6A42">
        <w:rPr>
          <w:rFonts w:asciiTheme="majorBidi" w:hAnsiTheme="majorBidi" w:cstheme="majorBidi"/>
          <w:i/>
          <w:iCs/>
          <w:sz w:val="24"/>
          <w:szCs w:val="24"/>
          <w:u w:val="single"/>
        </w:rPr>
        <w:t>ẓallâm</w:t>
      </w:r>
      <w:r w:rsidRPr="007C6A42">
        <w:rPr>
          <w:rFonts w:asciiTheme="majorBidi" w:hAnsiTheme="majorBidi" w:cstheme="majorBidi"/>
          <w:sz w:val="24"/>
          <w:szCs w:val="24"/>
          <w:u w:val="single"/>
        </w:rPr>
        <w:t>)</w:t>
      </w:r>
      <w:r w:rsidRPr="007C6A42">
        <w:rPr>
          <w:rFonts w:asciiTheme="majorBidi" w:hAnsiTheme="majorBidi" w:cstheme="majorBidi"/>
          <w:sz w:val="24"/>
          <w:szCs w:val="24"/>
        </w:rPr>
        <w:t xml:space="preserve"> envers Ses serviteurs » ; et il ajoute entre crochets des mots explicatifs ; par exemple : la phrase « </w:t>
      </w:r>
      <w:r w:rsidRPr="007C6A42">
        <w:rPr>
          <w:rFonts w:asciiTheme="majorBidi" w:hAnsiTheme="majorBidi" w:cstheme="majorBidi"/>
          <w:sz w:val="24"/>
          <w:szCs w:val="24"/>
          <w:rtl/>
        </w:rPr>
        <w:t>ومَن يُهِنِ اللَّهُ فما له مِن مُكْرِم</w:t>
      </w:r>
      <w:r w:rsidRPr="007C6A42">
        <w:rPr>
          <w:rFonts w:asciiTheme="majorBidi" w:hAnsiTheme="majorBidi" w:cstheme="majorBidi"/>
          <w:sz w:val="24"/>
          <w:szCs w:val="24"/>
        </w:rPr>
        <w:t> » [Celui que Dieu humilie, nul ne peut l’honorer] (v. 18) a été rendue par Blachère ainsi : « </w:t>
      </w:r>
      <w:r w:rsidRPr="007C6A42">
        <w:rPr>
          <w:rFonts w:asciiTheme="majorBidi" w:hAnsiTheme="majorBidi" w:cstheme="majorBidi"/>
          <w:sz w:val="24"/>
          <w:szCs w:val="24"/>
          <w:u w:val="single"/>
        </w:rPr>
        <w:t>[</w:t>
      </w:r>
      <w:r w:rsidRPr="007C6A42">
        <w:rPr>
          <w:rFonts w:asciiTheme="majorBidi" w:hAnsiTheme="majorBidi" w:cstheme="majorBidi"/>
          <w:i/>
          <w:sz w:val="24"/>
          <w:szCs w:val="24"/>
          <w:u w:val="single"/>
        </w:rPr>
        <w:t>car</w:t>
      </w:r>
      <w:r w:rsidRPr="007C6A42">
        <w:rPr>
          <w:rFonts w:asciiTheme="majorBidi" w:hAnsiTheme="majorBidi" w:cstheme="majorBidi"/>
          <w:sz w:val="24"/>
          <w:szCs w:val="24"/>
          <w:u w:val="single"/>
        </w:rPr>
        <w:t>]</w:t>
      </w:r>
      <w:r w:rsidRPr="007C6A42">
        <w:rPr>
          <w:rFonts w:asciiTheme="majorBidi" w:hAnsiTheme="majorBidi" w:cstheme="majorBidi"/>
          <w:sz w:val="24"/>
          <w:szCs w:val="24"/>
        </w:rPr>
        <w:t xml:space="preserve"> quiconque méprise Allah n’aura nul bienfait </w:t>
      </w:r>
      <w:r w:rsidRPr="007C6A42">
        <w:rPr>
          <w:rFonts w:asciiTheme="majorBidi" w:hAnsiTheme="majorBidi" w:cstheme="majorBidi"/>
          <w:sz w:val="24"/>
          <w:szCs w:val="24"/>
          <w:u w:val="single"/>
        </w:rPr>
        <w:t>[</w:t>
      </w:r>
      <w:r w:rsidRPr="007C6A42">
        <w:rPr>
          <w:rFonts w:asciiTheme="majorBidi" w:hAnsiTheme="majorBidi" w:cstheme="majorBidi"/>
          <w:i/>
          <w:sz w:val="24"/>
          <w:szCs w:val="24"/>
          <w:u w:val="single"/>
        </w:rPr>
        <w:t>au Jugement Dernier</w:t>
      </w:r>
      <w:r w:rsidRPr="007C6A42">
        <w:rPr>
          <w:rFonts w:asciiTheme="majorBidi" w:hAnsiTheme="majorBidi" w:cstheme="majorBidi"/>
          <w:sz w:val="24"/>
          <w:szCs w:val="24"/>
          <w:u w:val="single"/>
        </w:rPr>
        <w:t>]</w:t>
      </w:r>
      <w:r w:rsidRPr="007C6A42">
        <w:rPr>
          <w:rFonts w:asciiTheme="majorBidi" w:hAnsiTheme="majorBidi" w:cstheme="majorBidi"/>
          <w:sz w:val="24"/>
          <w:szCs w:val="24"/>
        </w:rPr>
        <w:t>. » On remarque bien dans la traduction de ce verset qu’il y a un contre-sens, car il a mis Allah comme un COD alors qu’il est sujet dans la phrase arabe.</w:t>
      </w:r>
    </w:p>
    <w:p w14:paraId="74D22E5D"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En traduisant le verset 10, Chiadmi (1999) a ajouté le syntagme prépositionnel « sur Terre », la phrase incise « lui sera-t-il dit », la particule causative « car » et le pronom possessif « Ses » :</w:t>
      </w:r>
    </w:p>
    <w:tbl>
      <w:tblPr>
        <w:tblStyle w:val="Grilledutableau"/>
        <w:tblW w:w="0" w:type="auto"/>
        <w:tblInd w:w="1080" w:type="dxa"/>
        <w:tblLook w:val="04A0" w:firstRow="1" w:lastRow="0" w:firstColumn="1" w:lastColumn="0" w:noHBand="0" w:noVBand="1"/>
      </w:tblPr>
      <w:tblGrid>
        <w:gridCol w:w="8289"/>
      </w:tblGrid>
      <w:tr w:rsidR="00A70B78" w:rsidRPr="007C6A42" w14:paraId="28BFA01D" w14:textId="77777777" w:rsidTr="00AF4FC9">
        <w:tc>
          <w:tcPr>
            <w:tcW w:w="8289" w:type="dxa"/>
          </w:tcPr>
          <w:p w14:paraId="3E499AAC" w14:textId="77777777" w:rsidR="00A70B78" w:rsidRPr="007C6A42" w:rsidRDefault="00A70B78" w:rsidP="00AF4FC9">
            <w:pPr>
              <w:pStyle w:val="Paragraphedeliste"/>
              <w:spacing w:line="360" w:lineRule="auto"/>
              <w:contextualSpacing/>
              <w:jc w:val="center"/>
              <w:rPr>
                <w:rFonts w:asciiTheme="majorBidi" w:hAnsiTheme="majorBidi" w:cstheme="majorBidi"/>
                <w:sz w:val="24"/>
                <w:szCs w:val="24"/>
              </w:rPr>
            </w:pPr>
            <w:r w:rsidRPr="007C6A42">
              <w:rPr>
                <w:rFonts w:asciiTheme="majorBidi" w:hAnsiTheme="majorBidi" w:cstheme="majorBidi"/>
                <w:sz w:val="24"/>
                <w:szCs w:val="24"/>
                <w:rtl/>
              </w:rPr>
              <w:t>ذَلك بما قَدَّمَتْ يداكَ وأنَّ اللَّهَ ليس بظَلاَّمٍ للعبيد.</w:t>
            </w:r>
          </w:p>
        </w:tc>
      </w:tr>
      <w:tr w:rsidR="00A70B78" w:rsidRPr="007C6A42" w14:paraId="50CED2EC" w14:textId="77777777" w:rsidTr="00AF4FC9">
        <w:tc>
          <w:tcPr>
            <w:tcW w:w="8289" w:type="dxa"/>
          </w:tcPr>
          <w:p w14:paraId="5A6E3407" w14:textId="77777777" w:rsidR="00A70B78" w:rsidRPr="007C6A42" w:rsidRDefault="00A70B78" w:rsidP="00AF4FC9">
            <w:pPr>
              <w:spacing w:after="200" w:line="360" w:lineRule="auto"/>
              <w:jc w:val="both"/>
              <w:rPr>
                <w:rFonts w:asciiTheme="majorBidi" w:hAnsiTheme="majorBidi" w:cstheme="majorBidi"/>
              </w:rPr>
            </w:pPr>
            <w:r w:rsidRPr="007C6A42">
              <w:rPr>
                <w:rFonts w:asciiTheme="majorBidi" w:hAnsiTheme="majorBidi" w:cstheme="majorBidi"/>
              </w:rPr>
              <w:t xml:space="preserve">« Voilà le prix des actes que tu as accomplis </w:t>
            </w:r>
            <w:r w:rsidRPr="007C6A42">
              <w:rPr>
                <w:rFonts w:asciiTheme="majorBidi" w:hAnsiTheme="majorBidi" w:cstheme="majorBidi"/>
                <w:u w:val="single"/>
              </w:rPr>
              <w:t>sur Terre</w:t>
            </w:r>
            <w:r w:rsidRPr="007C6A42">
              <w:rPr>
                <w:rFonts w:asciiTheme="majorBidi" w:hAnsiTheme="majorBidi" w:cstheme="majorBidi"/>
              </w:rPr>
              <w:t xml:space="preserve"> ! », </w:t>
            </w:r>
            <w:r w:rsidRPr="007C6A42">
              <w:rPr>
                <w:rFonts w:asciiTheme="majorBidi" w:hAnsiTheme="majorBidi" w:cstheme="majorBidi"/>
                <w:u w:val="single"/>
              </w:rPr>
              <w:t>lui sera-t-il dit, car</w:t>
            </w:r>
            <w:r w:rsidRPr="007C6A42">
              <w:rPr>
                <w:rFonts w:asciiTheme="majorBidi" w:hAnsiTheme="majorBidi" w:cstheme="majorBidi"/>
              </w:rPr>
              <w:t xml:space="preserve"> Dieu ne Se montre jamais injuste envers </w:t>
            </w:r>
            <w:r w:rsidRPr="007C6A42">
              <w:rPr>
                <w:rFonts w:asciiTheme="majorBidi" w:hAnsiTheme="majorBidi" w:cstheme="majorBidi"/>
                <w:u w:val="single"/>
              </w:rPr>
              <w:t>Ses</w:t>
            </w:r>
            <w:r w:rsidRPr="007C6A42">
              <w:rPr>
                <w:rFonts w:asciiTheme="majorBidi" w:hAnsiTheme="majorBidi" w:cstheme="majorBidi"/>
              </w:rPr>
              <w:t xml:space="preserve"> créatures.</w:t>
            </w:r>
          </w:p>
        </w:tc>
      </w:tr>
    </w:tbl>
    <w:p w14:paraId="297E9488"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Noureddine Ben Mahmoud (1962 &amp; 1976) a ajouté une proposition complète au début du verset 52 : « </w:t>
      </w:r>
      <w:r w:rsidRPr="007C6A42">
        <w:rPr>
          <w:rFonts w:asciiTheme="majorBidi" w:hAnsiTheme="majorBidi" w:cstheme="majorBidi"/>
          <w:i/>
          <w:iCs/>
          <w:sz w:val="24"/>
          <w:szCs w:val="24"/>
        </w:rPr>
        <w:t>Si Dieu tolère les manœuvres de Satan, c’est… </w:t>
      </w:r>
      <w:r w:rsidRPr="007C6A42">
        <w:rPr>
          <w:rFonts w:asciiTheme="majorBidi" w:hAnsiTheme="majorBidi" w:cstheme="majorBidi"/>
          <w:sz w:val="24"/>
          <w:szCs w:val="24"/>
        </w:rPr>
        <w:t>» ; et il a ajouté ce syntagme au début du verset 53 : « </w:t>
      </w:r>
      <w:r w:rsidRPr="007C6A42">
        <w:rPr>
          <w:rFonts w:asciiTheme="majorBidi" w:hAnsiTheme="majorBidi" w:cstheme="majorBidi"/>
          <w:i/>
          <w:iCs/>
          <w:sz w:val="24"/>
          <w:szCs w:val="24"/>
        </w:rPr>
        <w:t>Une telle tolérance </w:t>
      </w:r>
      <w:r w:rsidRPr="007C6A42">
        <w:rPr>
          <w:rFonts w:asciiTheme="majorBidi" w:hAnsiTheme="majorBidi" w:cstheme="majorBidi"/>
          <w:sz w:val="24"/>
          <w:szCs w:val="24"/>
        </w:rPr>
        <w:t>».</w:t>
      </w:r>
    </w:p>
    <w:p w14:paraId="7814F55A"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Dans le verset 52, Guessous a ajouté un long COD explicatif pour le verbe « </w:t>
      </w:r>
      <w:r w:rsidRPr="007C6A42">
        <w:rPr>
          <w:rFonts w:asciiTheme="majorBidi" w:hAnsiTheme="majorBidi" w:cstheme="majorBidi"/>
          <w:i/>
          <w:iCs/>
          <w:sz w:val="24"/>
          <w:szCs w:val="24"/>
        </w:rPr>
        <w:t>alqā</w:t>
      </w:r>
      <w:r w:rsidRPr="007C6A42">
        <w:rPr>
          <w:rFonts w:asciiTheme="majorBidi" w:hAnsiTheme="majorBidi" w:cstheme="majorBidi"/>
          <w:sz w:val="24"/>
          <w:szCs w:val="24"/>
        </w:rPr>
        <w:t> » [il jetât] : « </w:t>
      </w:r>
      <w:r w:rsidRPr="007C6A42">
        <w:rPr>
          <w:rFonts w:asciiTheme="majorBidi" w:hAnsiTheme="majorBidi" w:cstheme="majorBidi"/>
          <w:i/>
          <w:iCs/>
          <w:sz w:val="24"/>
          <w:szCs w:val="24"/>
        </w:rPr>
        <w:t>Quelque mauvaise pensée ou quelque impureté</w:t>
      </w:r>
      <w:r w:rsidRPr="007C6A42">
        <w:rPr>
          <w:rFonts w:asciiTheme="majorBidi" w:hAnsiTheme="majorBidi" w:cstheme="majorBidi"/>
          <w:sz w:val="24"/>
          <w:szCs w:val="24"/>
        </w:rPr>
        <w:t> ». Hafiane a ajouté un COD qui porte un jugement : « </w:t>
      </w:r>
      <w:r w:rsidRPr="007C6A42">
        <w:rPr>
          <w:rFonts w:asciiTheme="majorBidi" w:hAnsiTheme="majorBidi" w:cstheme="majorBidi"/>
          <w:i/>
          <w:iCs/>
          <w:sz w:val="24"/>
          <w:szCs w:val="24"/>
        </w:rPr>
        <w:t>des suggestions coupables </w:t>
      </w:r>
      <w:r w:rsidRPr="007C6A42">
        <w:rPr>
          <w:rFonts w:asciiTheme="majorBidi" w:hAnsiTheme="majorBidi" w:cstheme="majorBidi"/>
          <w:sz w:val="24"/>
          <w:szCs w:val="24"/>
        </w:rPr>
        <w:t>». Aldeeb a ajouté un COD entre crochets : « </w:t>
      </w:r>
      <w:r w:rsidRPr="007C6A42">
        <w:rPr>
          <w:rFonts w:asciiTheme="majorBidi" w:hAnsiTheme="majorBidi" w:cstheme="majorBidi"/>
          <w:i/>
          <w:iCs/>
          <w:sz w:val="24"/>
          <w:szCs w:val="24"/>
        </w:rPr>
        <w:t>[le doute]</w:t>
      </w:r>
      <w:r w:rsidRPr="007C6A42">
        <w:rPr>
          <w:rFonts w:asciiTheme="majorBidi" w:hAnsiTheme="majorBidi" w:cstheme="majorBidi"/>
          <w:sz w:val="24"/>
          <w:szCs w:val="24"/>
        </w:rPr>
        <w:t> ». Le Complexe de Médine explique le COD entre crochets : « </w:t>
      </w:r>
      <w:r w:rsidRPr="007C6A42">
        <w:rPr>
          <w:rFonts w:asciiTheme="majorBidi" w:hAnsiTheme="majorBidi" w:cstheme="majorBidi"/>
          <w:i/>
          <w:iCs/>
          <w:sz w:val="24"/>
          <w:szCs w:val="24"/>
        </w:rPr>
        <w:t>[pour semer le doute dans le cœur des gens au sujet]</w:t>
      </w:r>
      <w:r w:rsidRPr="007C6A42">
        <w:rPr>
          <w:rFonts w:asciiTheme="majorBidi" w:hAnsiTheme="majorBidi" w:cstheme="majorBidi"/>
          <w:sz w:val="24"/>
          <w:szCs w:val="24"/>
        </w:rPr>
        <w:t xml:space="preserve"> … ».</w:t>
      </w:r>
    </w:p>
    <w:p w14:paraId="571576A1"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La traduction fournit en général un texte plus long mais plus pauvre. L’allongement sert généralement à masquer la déperdition.</w:t>
      </w:r>
    </w:p>
    <w:p w14:paraId="6D74DEEB" w14:textId="4E7B49D1"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L’ennoblissement et la vulgarisation</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Il s’agit de rendre la traduction « plus belle » (formellement) que l’original. La rhétorisation embellissante consiste à produire des phrases « élégantes » en utilisant l’original comme matière première. Pour lutter contre cette tendance « embellissante », « Ortega y Gasset proposait que la traduction de l’avenir soit "une traduction laide" (</w:t>
      </w:r>
      <w:r w:rsidRPr="007C6A42">
        <w:rPr>
          <w:rFonts w:asciiTheme="majorBidi" w:hAnsiTheme="majorBidi" w:cstheme="majorBidi"/>
          <w:i/>
          <w:iCs/>
          <w:sz w:val="24"/>
          <w:szCs w:val="24"/>
        </w:rPr>
        <w:t>traducción fea</w:t>
      </w:r>
      <w:r w:rsidRPr="007C6A42">
        <w:rPr>
          <w:rFonts w:asciiTheme="majorBidi" w:hAnsiTheme="majorBidi" w:cstheme="majorBidi"/>
          <w:sz w:val="24"/>
          <w:szCs w:val="24"/>
        </w:rPr>
        <w:t>) »</w:t>
      </w:r>
      <w:r w:rsidRPr="007C6A42">
        <w:rPr>
          <w:rStyle w:val="Appelnotedebasdep"/>
          <w:rFonts w:asciiTheme="majorBidi" w:hAnsiTheme="majorBidi" w:cstheme="majorBidi"/>
          <w:sz w:val="24"/>
          <w:szCs w:val="24"/>
        </w:rPr>
        <w:footnoteReference w:id="468"/>
      </w:r>
      <w:r w:rsidRPr="007C6A42">
        <w:rPr>
          <w:rFonts w:asciiTheme="majorBidi" w:hAnsiTheme="majorBidi" w:cstheme="majorBidi"/>
          <w:sz w:val="24"/>
          <w:szCs w:val="24"/>
        </w:rPr>
        <w:t xml:space="preserve">. C’est peut-être la raison pour laquelle Berman défend la traduction sourcière et considère que la traduction cibliste est </w:t>
      </w:r>
      <w:r w:rsidRPr="007C6A42">
        <w:rPr>
          <w:rFonts w:asciiTheme="majorBidi" w:hAnsiTheme="majorBidi" w:cstheme="majorBidi"/>
          <w:sz w:val="24"/>
          <w:szCs w:val="24"/>
        </w:rPr>
        <w:lastRenderedPageBreak/>
        <w:t>ethnocentrique.</w:t>
      </w:r>
      <w:r w:rsidRPr="007C6A42">
        <w:rPr>
          <w:rStyle w:val="Appelnotedebasdep"/>
          <w:rFonts w:asciiTheme="majorBidi" w:eastAsiaTheme="minorHAnsi" w:hAnsiTheme="majorBidi" w:cstheme="majorBidi"/>
          <w:sz w:val="24"/>
          <w:szCs w:val="24"/>
          <w:lang w:eastAsia="fr-FR"/>
        </w:rPr>
        <w:footnoteReference w:id="469"/>
      </w:r>
      <w:r w:rsidRPr="007C6A42">
        <w:rPr>
          <w:rFonts w:asciiTheme="majorBidi" w:hAnsiTheme="majorBidi" w:cstheme="majorBidi"/>
          <w:sz w:val="24"/>
          <w:szCs w:val="24"/>
        </w:rPr>
        <w:t xml:space="preserve"> L’ennoblissement n’est qu’une réécriture, un « exercice de style » à partir (et aux dépens) de l’original. Pour remédier à la désarticulation des phrases, Berque ajoute des connecteurs logiques comme : </w:t>
      </w:r>
      <w:r w:rsidRPr="007C6A42">
        <w:rPr>
          <w:rFonts w:asciiTheme="majorBidi" w:hAnsiTheme="majorBidi" w:cstheme="majorBidi"/>
          <w:i/>
          <w:iCs/>
          <w:sz w:val="24"/>
          <w:szCs w:val="24"/>
        </w:rPr>
        <w:t>cependant</w:t>
      </w:r>
      <w:r w:rsidRPr="007C6A42">
        <w:rPr>
          <w:rFonts w:asciiTheme="majorBidi" w:hAnsiTheme="majorBidi" w:cstheme="majorBidi"/>
          <w:sz w:val="24"/>
          <w:szCs w:val="24"/>
        </w:rPr>
        <w:t xml:space="preserve"> (v. 11), </w:t>
      </w:r>
      <w:r w:rsidRPr="007C6A42">
        <w:rPr>
          <w:rFonts w:asciiTheme="majorBidi" w:eastAsia="Calibri" w:hAnsiTheme="majorBidi" w:cstheme="majorBidi"/>
          <w:i/>
          <w:iCs/>
          <w:sz w:val="24"/>
          <w:szCs w:val="24"/>
          <w:lang w:bidi="ar-AE"/>
        </w:rPr>
        <w:t>Tandis que</w:t>
      </w:r>
      <w:r w:rsidRPr="007C6A42">
        <w:rPr>
          <w:rFonts w:asciiTheme="majorBidi" w:eastAsia="Calibri" w:hAnsiTheme="majorBidi" w:cstheme="majorBidi"/>
          <w:sz w:val="24"/>
          <w:szCs w:val="24"/>
          <w:lang w:bidi="ar-AE"/>
        </w:rPr>
        <w:t xml:space="preserve"> (v. 23), </w:t>
      </w:r>
      <w:r w:rsidRPr="007C6A42">
        <w:rPr>
          <w:rFonts w:asciiTheme="majorBidi" w:hAnsiTheme="majorBidi" w:cstheme="majorBidi"/>
          <w:i/>
          <w:iCs/>
          <w:sz w:val="24"/>
          <w:szCs w:val="24"/>
        </w:rPr>
        <w:t>outre que</w:t>
      </w:r>
      <w:r w:rsidRPr="007C6A42">
        <w:rPr>
          <w:rFonts w:asciiTheme="majorBidi" w:hAnsiTheme="majorBidi" w:cstheme="majorBidi"/>
          <w:sz w:val="24"/>
          <w:szCs w:val="24"/>
        </w:rPr>
        <w:t xml:space="preserve"> (v. 24), </w:t>
      </w:r>
      <w:r w:rsidRPr="007C6A42">
        <w:rPr>
          <w:rFonts w:asciiTheme="majorBidi" w:hAnsiTheme="majorBidi" w:cstheme="majorBidi"/>
          <w:i/>
          <w:iCs/>
          <w:sz w:val="24"/>
          <w:szCs w:val="24"/>
        </w:rPr>
        <w:t>Dès lors</w:t>
      </w:r>
      <w:r w:rsidRPr="007C6A42">
        <w:rPr>
          <w:rFonts w:asciiTheme="majorBidi" w:hAnsiTheme="majorBidi" w:cstheme="majorBidi"/>
          <w:sz w:val="24"/>
          <w:szCs w:val="24"/>
        </w:rPr>
        <w:t xml:space="preserve"> (v. 50), </w:t>
      </w:r>
      <w:r w:rsidRPr="007C6A42">
        <w:rPr>
          <w:rFonts w:asciiTheme="majorBidi" w:eastAsia="Calibri" w:hAnsiTheme="majorBidi" w:cstheme="majorBidi"/>
          <w:i/>
          <w:iCs/>
          <w:sz w:val="24"/>
          <w:szCs w:val="24"/>
          <w:lang w:bidi="ar-AE"/>
        </w:rPr>
        <w:t>Il est vrai que</w:t>
      </w:r>
      <w:r w:rsidRPr="007C6A42">
        <w:rPr>
          <w:rFonts w:asciiTheme="majorBidi" w:eastAsia="Calibri" w:hAnsiTheme="majorBidi" w:cstheme="majorBidi"/>
          <w:sz w:val="24"/>
          <w:szCs w:val="24"/>
          <w:lang w:bidi="ar-AE"/>
        </w:rPr>
        <w:t xml:space="preserve"> (v. 55), </w:t>
      </w:r>
      <w:r w:rsidRPr="007C6A42">
        <w:rPr>
          <w:rFonts w:asciiTheme="majorBidi" w:eastAsia="Calibri" w:hAnsiTheme="majorBidi" w:cstheme="majorBidi"/>
          <w:i/>
          <w:iCs/>
          <w:sz w:val="24"/>
          <w:szCs w:val="24"/>
          <w:lang w:bidi="ar-AE"/>
        </w:rPr>
        <w:t>Quoi !</w:t>
      </w:r>
      <w:r w:rsidRPr="007C6A42">
        <w:rPr>
          <w:rFonts w:asciiTheme="majorBidi" w:eastAsia="Calibri" w:hAnsiTheme="majorBidi" w:cstheme="majorBidi"/>
          <w:sz w:val="24"/>
          <w:szCs w:val="24"/>
          <w:lang w:bidi="ar-AE"/>
        </w:rPr>
        <w:t xml:space="preserve"> (v. 71), etc. Dans le verset 45 (</w:t>
      </w:r>
      <w:r w:rsidRPr="007C6A42">
        <w:rPr>
          <w:rFonts w:asciiTheme="majorBidi" w:eastAsia="Calibri" w:hAnsiTheme="majorBidi" w:cstheme="majorBidi"/>
          <w:sz w:val="24"/>
          <w:szCs w:val="24"/>
          <w:rtl/>
          <w:lang w:bidi="ar-AE"/>
        </w:rPr>
        <w:t>"</w:t>
      </w:r>
      <w:r w:rsidRPr="007C6A42">
        <w:rPr>
          <w:rFonts w:asciiTheme="majorBidi" w:eastAsia="Calibri" w:hAnsiTheme="majorBidi" w:cstheme="majorBidi"/>
          <w:sz w:val="24"/>
          <w:szCs w:val="24"/>
          <w:rtl/>
        </w:rPr>
        <w:t>وكأيِّنْ مِن قريةٍ أهلكناها وهي ظالمةٌ فهي خاويةٌ على عروشها وبئرٍ معطَّلةٍ وقصرٍ مَشِيد"</w:t>
      </w:r>
      <w:r w:rsidRPr="007C6A42">
        <w:rPr>
          <w:rFonts w:asciiTheme="majorBidi" w:eastAsia="Calibri" w:hAnsiTheme="majorBidi" w:cstheme="majorBidi"/>
          <w:sz w:val="24"/>
          <w:szCs w:val="24"/>
          <w:lang w:bidi="ar-AE"/>
        </w:rPr>
        <w:t>), et pour embellir le verset, il a ajouté la préposition « </w:t>
      </w:r>
      <w:r w:rsidRPr="007C6A42">
        <w:rPr>
          <w:rFonts w:asciiTheme="majorBidi" w:eastAsia="Calibri" w:hAnsiTheme="majorBidi" w:cstheme="majorBidi"/>
          <w:i/>
          <w:iCs/>
          <w:sz w:val="24"/>
          <w:szCs w:val="24"/>
          <w:lang w:bidi="ar-AE"/>
        </w:rPr>
        <w:t>avec</w:t>
      </w:r>
      <w:r w:rsidRPr="007C6A42">
        <w:rPr>
          <w:rFonts w:asciiTheme="majorBidi" w:eastAsia="Calibri" w:hAnsiTheme="majorBidi" w:cstheme="majorBidi"/>
          <w:sz w:val="24"/>
          <w:szCs w:val="24"/>
          <w:lang w:bidi="ar-AE"/>
        </w:rPr>
        <w:t> » : (« </w:t>
      </w:r>
      <w:r w:rsidRPr="007C6A42">
        <w:rPr>
          <w:rFonts w:asciiTheme="majorBidi" w:eastAsia="Calibri" w:hAnsiTheme="majorBidi" w:cstheme="majorBidi"/>
          <w:i/>
          <w:iCs/>
          <w:sz w:val="24"/>
          <w:szCs w:val="24"/>
          <w:lang w:bidi="ar-AE"/>
        </w:rPr>
        <w:t xml:space="preserve">que de cités n’avons-Nous pas détruites pour leur iniquité ! Les voilà toutes vides sur leurs assises, </w:t>
      </w:r>
      <w:r w:rsidRPr="007C6A42">
        <w:rPr>
          <w:rFonts w:asciiTheme="majorBidi" w:eastAsia="Calibri" w:hAnsiTheme="majorBidi" w:cstheme="majorBidi"/>
          <w:b/>
          <w:bCs/>
          <w:i/>
          <w:iCs/>
          <w:sz w:val="24"/>
          <w:szCs w:val="24"/>
          <w:lang w:bidi="ar-AE"/>
        </w:rPr>
        <w:t>avec</w:t>
      </w:r>
      <w:r w:rsidRPr="007C6A42">
        <w:rPr>
          <w:rFonts w:asciiTheme="majorBidi" w:eastAsia="Calibri" w:hAnsiTheme="majorBidi" w:cstheme="majorBidi"/>
          <w:i/>
          <w:iCs/>
          <w:sz w:val="24"/>
          <w:szCs w:val="24"/>
          <w:lang w:bidi="ar-AE"/>
        </w:rPr>
        <w:t xml:space="preserve"> leurs puits hors de service et leurs fortins encore maçonnés</w:t>
      </w:r>
      <w:r w:rsidRPr="007C6A42">
        <w:rPr>
          <w:rFonts w:asciiTheme="majorBidi" w:eastAsia="Calibri" w:hAnsiTheme="majorBidi" w:cstheme="majorBidi"/>
          <w:sz w:val="24"/>
          <w:szCs w:val="24"/>
          <w:lang w:bidi="ar-AE"/>
        </w:rPr>
        <w:t> »). Mais Hamidullah a ajouté au même endroit « </w:t>
      </w:r>
      <w:r w:rsidRPr="007C6A42">
        <w:rPr>
          <w:rFonts w:asciiTheme="majorBidi" w:eastAsia="Calibri" w:hAnsiTheme="majorBidi" w:cstheme="majorBidi"/>
          <w:i/>
          <w:iCs/>
          <w:sz w:val="24"/>
          <w:szCs w:val="24"/>
          <w:lang w:bidi="ar-AE"/>
        </w:rPr>
        <w:t>de même que </w:t>
      </w:r>
      <w:r w:rsidRPr="007C6A42">
        <w:rPr>
          <w:rFonts w:asciiTheme="majorBidi" w:eastAsia="Calibri" w:hAnsiTheme="majorBidi" w:cstheme="majorBidi"/>
          <w:sz w:val="24"/>
          <w:szCs w:val="24"/>
          <w:lang w:bidi="ar-AE"/>
        </w:rPr>
        <w:t>». La clausule (</w:t>
      </w:r>
      <w:r w:rsidRPr="007C6A42">
        <w:rPr>
          <w:rFonts w:asciiTheme="majorBidi" w:eastAsia="Calibri" w:hAnsiTheme="majorBidi" w:cstheme="majorBidi"/>
          <w:sz w:val="24"/>
          <w:szCs w:val="24"/>
          <w:rtl/>
        </w:rPr>
        <w:t>إن الله لهو خيرُ الرازقين</w:t>
      </w:r>
      <w:r w:rsidRPr="007C6A42">
        <w:rPr>
          <w:rFonts w:asciiTheme="majorBidi" w:eastAsia="Calibri" w:hAnsiTheme="majorBidi" w:cstheme="majorBidi"/>
          <w:sz w:val="24"/>
          <w:szCs w:val="24"/>
          <w:lang w:bidi="ar-AE"/>
        </w:rPr>
        <w:t xml:space="preserve">) </w:t>
      </w:r>
      <w:r w:rsidRPr="007C6A42">
        <w:rPr>
          <w:rFonts w:asciiTheme="majorBidi" w:hAnsiTheme="majorBidi" w:cstheme="majorBidi"/>
          <w:sz w:val="24"/>
          <w:szCs w:val="24"/>
        </w:rPr>
        <w:t>[≈ Certes, Allah est le meilleur de ceux qui fournissent de quoi vivre]</w:t>
      </w:r>
      <w:r w:rsidRPr="007C6A42">
        <w:rPr>
          <w:rFonts w:asciiTheme="majorBidi" w:eastAsia="Calibri" w:hAnsiTheme="majorBidi" w:cstheme="majorBidi"/>
          <w:sz w:val="24"/>
          <w:szCs w:val="24"/>
          <w:lang w:bidi="ar-AE"/>
        </w:rPr>
        <w:t xml:space="preserve"> (v. 58) est embellie par Chebel ainsi : « </w:t>
      </w:r>
      <w:r w:rsidRPr="007C6A42">
        <w:rPr>
          <w:rFonts w:asciiTheme="majorBidi" w:hAnsiTheme="majorBidi" w:cstheme="majorBidi"/>
          <w:i/>
          <w:iCs/>
          <w:sz w:val="24"/>
          <w:szCs w:val="24"/>
        </w:rPr>
        <w:t>car Allah octroie le meilleur salaire</w:t>
      </w:r>
      <w:r w:rsidRPr="007C6A42">
        <w:rPr>
          <w:rFonts w:asciiTheme="majorBidi" w:hAnsiTheme="majorBidi" w:cstheme="majorBidi"/>
          <w:sz w:val="24"/>
          <w:szCs w:val="24"/>
        </w:rPr>
        <w:t> », et par Berque ainsi : « </w:t>
      </w:r>
      <w:r w:rsidRPr="007C6A42">
        <w:rPr>
          <w:rFonts w:asciiTheme="majorBidi" w:eastAsia="Calibri" w:hAnsiTheme="majorBidi" w:cstheme="majorBidi"/>
          <w:i/>
          <w:iCs/>
          <w:sz w:val="24"/>
          <w:szCs w:val="24"/>
          <w:lang w:bidi="ar-AE"/>
        </w:rPr>
        <w:t>Il est par excellence Celui qui attribue </w:t>
      </w:r>
      <w:r w:rsidRPr="007C6A42">
        <w:rPr>
          <w:rFonts w:asciiTheme="majorBidi" w:eastAsia="Calibri" w:hAnsiTheme="majorBidi" w:cstheme="majorBidi"/>
          <w:sz w:val="24"/>
          <w:szCs w:val="24"/>
          <w:lang w:bidi="ar-AE"/>
        </w:rPr>
        <w:t xml:space="preserve">». </w:t>
      </w:r>
      <w:r w:rsidRPr="007C6A42">
        <w:rPr>
          <w:rFonts w:asciiTheme="majorBidi" w:hAnsiTheme="majorBidi" w:cstheme="majorBidi"/>
          <w:sz w:val="24"/>
          <w:szCs w:val="24"/>
          <w:lang w:eastAsia="fr-FR"/>
        </w:rPr>
        <w:t>Quand les traducteurs ajoutent des connecteurs logiques entre les versets,</w:t>
      </w:r>
      <w:r w:rsidRPr="007C6A42">
        <w:rPr>
          <w:rFonts w:asciiTheme="majorBidi" w:hAnsiTheme="majorBidi" w:cstheme="majorBidi"/>
          <w:sz w:val="24"/>
          <w:szCs w:val="24"/>
          <w:lang w:eastAsia="fr-FR" w:bidi="ar-AE"/>
        </w:rPr>
        <w:t xml:space="preserve"> c’est parce que le lecteur de la traduction cherche la logique, alors que le lecteur du texte arabe cherche plus la musique que la logique. </w:t>
      </w:r>
      <w:r w:rsidRPr="007C6A42">
        <w:rPr>
          <w:rFonts w:asciiTheme="majorBidi" w:hAnsiTheme="majorBidi" w:cstheme="majorBidi"/>
          <w:sz w:val="24"/>
          <w:szCs w:val="24"/>
        </w:rPr>
        <w:t xml:space="preserve">Le mot </w:t>
      </w:r>
      <w:r w:rsidRPr="007C6A42">
        <w:rPr>
          <w:rFonts w:asciiTheme="majorBidi" w:hAnsiTheme="majorBidi" w:cstheme="majorBidi"/>
          <w:i/>
          <w:iCs/>
          <w:sz w:val="24"/>
          <w:szCs w:val="24"/>
        </w:rPr>
        <w:t>ʿaqīm</w:t>
      </w:r>
      <w:r w:rsidRPr="007C6A42">
        <w:rPr>
          <w:rFonts w:asciiTheme="majorBidi" w:hAnsiTheme="majorBidi" w:cstheme="majorBidi"/>
          <w:sz w:val="24"/>
          <w:szCs w:val="24"/>
        </w:rPr>
        <w:t xml:space="preserve"> [stérile] qui qualifie le jour dernier (v. 55) </w:t>
      </w:r>
      <w:r w:rsidRPr="007C6A42">
        <w:rPr>
          <w:rFonts w:asciiTheme="majorBidi" w:hAnsiTheme="majorBidi" w:cstheme="majorBidi"/>
          <w:sz w:val="24"/>
          <w:szCs w:val="24"/>
          <w:lang w:eastAsia="fr-FR" w:bidi="ar-AE"/>
        </w:rPr>
        <w:t>a été traduit par Du Ryer, Savary, le Complexe de Médine et Chiadmi par : « </w:t>
      </w:r>
      <w:r w:rsidRPr="007C6A42">
        <w:rPr>
          <w:rFonts w:asciiTheme="majorBidi" w:hAnsiTheme="majorBidi" w:cstheme="majorBidi"/>
          <w:i/>
          <w:iCs/>
          <w:sz w:val="24"/>
          <w:szCs w:val="24"/>
          <w:lang w:eastAsia="fr-FR" w:bidi="ar-AE"/>
        </w:rPr>
        <w:t>terrible</w:t>
      </w:r>
      <w:r w:rsidRPr="007C6A42">
        <w:rPr>
          <w:rFonts w:asciiTheme="majorBidi" w:hAnsiTheme="majorBidi" w:cstheme="majorBidi"/>
          <w:sz w:val="24"/>
          <w:szCs w:val="24"/>
          <w:lang w:eastAsia="fr-FR" w:bidi="ar-AE"/>
        </w:rPr>
        <w:t> », « </w:t>
      </w:r>
      <w:r w:rsidRPr="007C6A42">
        <w:rPr>
          <w:rFonts w:asciiTheme="majorBidi" w:hAnsiTheme="majorBidi" w:cstheme="majorBidi"/>
          <w:i/>
          <w:iCs/>
          <w:sz w:val="24"/>
          <w:szCs w:val="24"/>
          <w:lang w:eastAsia="fr-FR" w:bidi="ar-AE"/>
        </w:rPr>
        <w:t>terrifiant</w:t>
      </w:r>
      <w:r w:rsidRPr="007C6A42">
        <w:rPr>
          <w:rFonts w:asciiTheme="majorBidi" w:hAnsiTheme="majorBidi" w:cstheme="majorBidi"/>
          <w:sz w:val="24"/>
          <w:szCs w:val="24"/>
          <w:lang w:eastAsia="fr-FR" w:bidi="ar-AE"/>
        </w:rPr>
        <w:t> »,</w:t>
      </w:r>
      <w:r w:rsidRPr="007C6A42">
        <w:rPr>
          <w:rFonts w:asciiTheme="majorBidi" w:hAnsiTheme="majorBidi" w:cstheme="majorBidi"/>
          <w:i/>
          <w:iCs/>
          <w:sz w:val="24"/>
          <w:szCs w:val="24"/>
          <w:lang w:eastAsia="fr-FR" w:bidi="ar-AE"/>
        </w:rPr>
        <w:t xml:space="preserve"> </w:t>
      </w:r>
      <w:r w:rsidRPr="007C6A42">
        <w:rPr>
          <w:rFonts w:asciiTheme="majorBidi" w:hAnsiTheme="majorBidi" w:cstheme="majorBidi"/>
          <w:sz w:val="24"/>
          <w:szCs w:val="24"/>
          <w:lang w:eastAsia="fr-FR" w:bidi="ar-AE"/>
        </w:rPr>
        <w:t>« </w:t>
      </w:r>
      <w:r w:rsidRPr="007C6A42">
        <w:rPr>
          <w:rFonts w:asciiTheme="majorBidi" w:hAnsiTheme="majorBidi" w:cstheme="majorBidi"/>
          <w:i/>
          <w:iCs/>
          <w:sz w:val="24"/>
          <w:szCs w:val="24"/>
          <w:lang w:eastAsia="fr-FR" w:bidi="ar-AE"/>
        </w:rPr>
        <w:t xml:space="preserve">très </w:t>
      </w:r>
      <w:r w:rsidRPr="00CA22BC">
        <w:rPr>
          <w:rFonts w:asciiTheme="majorBidi" w:hAnsiTheme="majorBidi" w:cstheme="majorBidi"/>
          <w:i/>
          <w:iCs/>
          <w:sz w:val="24"/>
          <w:szCs w:val="24"/>
          <w:lang w:eastAsia="fr-FR" w:bidi="ar-AE"/>
        </w:rPr>
        <w:t>rigoureusement</w:t>
      </w:r>
      <w:r w:rsidRPr="00CA22BC">
        <w:rPr>
          <w:rFonts w:asciiTheme="majorBidi" w:hAnsiTheme="majorBidi" w:cstheme="majorBidi"/>
          <w:sz w:val="24"/>
          <w:szCs w:val="24"/>
          <w:lang w:eastAsia="fr-FR" w:bidi="ar-AE"/>
        </w:rPr>
        <w:t xml:space="preserve"> ». Autrement dit, ces traducteurs ont lu </w:t>
      </w:r>
      <w:r w:rsidRPr="00CA22BC">
        <w:rPr>
          <w:rFonts w:asciiTheme="majorBidi" w:hAnsiTheme="majorBidi" w:cstheme="majorBidi"/>
          <w:i/>
          <w:iCs/>
          <w:sz w:val="24"/>
          <w:szCs w:val="24"/>
          <w:lang w:eastAsia="fr-FR" w:bidi="ar-AE"/>
        </w:rPr>
        <w:t>ʿaẓīm</w:t>
      </w:r>
      <w:r w:rsidRPr="00CA22BC">
        <w:rPr>
          <w:rFonts w:asciiTheme="majorBidi" w:hAnsiTheme="majorBidi" w:cstheme="majorBidi"/>
          <w:sz w:val="24"/>
          <w:szCs w:val="24"/>
        </w:rPr>
        <w:t xml:space="preserve"> [terrible] à la place de </w:t>
      </w:r>
      <w:r w:rsidRPr="00CA22BC">
        <w:rPr>
          <w:rFonts w:asciiTheme="majorBidi" w:hAnsiTheme="majorBidi" w:cstheme="majorBidi"/>
          <w:i/>
          <w:iCs/>
          <w:sz w:val="24"/>
          <w:szCs w:val="24"/>
        </w:rPr>
        <w:t>ʿaqīm</w:t>
      </w:r>
      <w:r w:rsidRPr="00CA22BC">
        <w:rPr>
          <w:rFonts w:asciiTheme="majorBidi" w:hAnsiTheme="majorBidi" w:cstheme="majorBidi"/>
          <w:sz w:val="24"/>
          <w:szCs w:val="24"/>
        </w:rPr>
        <w:t xml:space="preserve"> [stérile] (voir </w:t>
      </w:r>
      <w:r w:rsidRPr="00CA22BC">
        <w:rPr>
          <w:rFonts w:asciiTheme="majorBidi" w:hAnsiTheme="majorBidi" w:cstheme="majorBidi"/>
          <w:i/>
          <w:iCs/>
          <w:sz w:val="24"/>
          <w:szCs w:val="24"/>
        </w:rPr>
        <w:t>infra</w:t>
      </w:r>
      <w:r w:rsidRPr="00CA22BC">
        <w:rPr>
          <w:rFonts w:asciiTheme="majorBidi" w:hAnsiTheme="majorBidi" w:cstheme="majorBidi"/>
          <w:sz w:val="24"/>
          <w:szCs w:val="24"/>
        </w:rPr>
        <w:t xml:space="preserve"> p. </w:t>
      </w:r>
      <w:r w:rsidR="00AF45E9" w:rsidRPr="00CA22BC">
        <w:rPr>
          <w:rFonts w:asciiTheme="majorBidi" w:hAnsiTheme="majorBidi" w:cstheme="majorBidi"/>
          <w:sz w:val="24"/>
          <w:szCs w:val="24"/>
        </w:rPr>
        <w:t>365</w:t>
      </w:r>
      <w:r w:rsidRPr="00CA22BC">
        <w:rPr>
          <w:rFonts w:asciiTheme="majorBidi" w:hAnsiTheme="majorBidi" w:cstheme="majorBidi"/>
          <w:sz w:val="24"/>
          <w:szCs w:val="24"/>
        </w:rPr>
        <w:t>).</w:t>
      </w:r>
      <w:r w:rsidRPr="00CA22BC">
        <w:rPr>
          <w:rFonts w:asciiTheme="majorBidi" w:hAnsiTheme="majorBidi" w:cstheme="majorBidi"/>
          <w:sz w:val="24"/>
          <w:szCs w:val="24"/>
          <w:lang w:eastAsia="fr-FR" w:bidi="ar-AE"/>
        </w:rPr>
        <w:t xml:space="preserve"> </w:t>
      </w:r>
      <w:r w:rsidRPr="00CA22BC">
        <w:rPr>
          <w:rFonts w:asciiTheme="majorBidi" w:eastAsia="Calibri" w:hAnsiTheme="majorBidi" w:cstheme="majorBidi"/>
          <w:sz w:val="24"/>
          <w:szCs w:val="24"/>
          <w:lang w:bidi="ar-AE"/>
        </w:rPr>
        <w:t>Ce</w:t>
      </w:r>
      <w:r w:rsidRPr="007C6A42">
        <w:rPr>
          <w:rFonts w:asciiTheme="majorBidi" w:eastAsia="Calibri" w:hAnsiTheme="majorBidi" w:cstheme="majorBidi"/>
          <w:sz w:val="24"/>
          <w:szCs w:val="24"/>
          <w:lang w:bidi="ar-AE"/>
        </w:rPr>
        <w:t xml:space="preserve"> « </w:t>
      </w:r>
      <w:r w:rsidRPr="007C6A42">
        <w:rPr>
          <w:rFonts w:asciiTheme="majorBidi" w:eastAsia="Calibri" w:hAnsiTheme="majorBidi" w:cstheme="majorBidi"/>
          <w:i/>
          <w:iCs/>
          <w:sz w:val="24"/>
          <w:szCs w:val="24"/>
          <w:lang w:bidi="ar-AE"/>
        </w:rPr>
        <w:t>re-writing</w:t>
      </w:r>
      <w:r w:rsidRPr="007C6A42">
        <w:rPr>
          <w:rFonts w:asciiTheme="majorBidi" w:eastAsia="Calibri" w:hAnsiTheme="majorBidi" w:cstheme="majorBidi"/>
          <w:sz w:val="24"/>
          <w:szCs w:val="24"/>
          <w:lang w:bidi="ar-AE"/>
        </w:rPr>
        <w:t xml:space="preserve"> embellissant </w:t>
      </w:r>
      <w:r w:rsidRPr="007C6A42">
        <w:rPr>
          <w:rFonts w:asciiTheme="majorBidi" w:hAnsiTheme="majorBidi" w:cstheme="majorBidi"/>
          <w:sz w:val="24"/>
          <w:szCs w:val="24"/>
        </w:rPr>
        <w:t xml:space="preserve">[…] </w:t>
      </w:r>
      <w:r w:rsidRPr="007C6A42">
        <w:rPr>
          <w:rFonts w:asciiTheme="majorBidi" w:eastAsia="Calibri" w:hAnsiTheme="majorBidi" w:cstheme="majorBidi"/>
          <w:sz w:val="24"/>
          <w:szCs w:val="24"/>
          <w:lang w:bidi="ar-AE"/>
        </w:rPr>
        <w:t>anéantit simultanément la richesse orale et la dimension polylogique informelle de la prose. »</w:t>
      </w:r>
      <w:r w:rsidRPr="007C6A42">
        <w:rPr>
          <w:rStyle w:val="Appelnotedebasdep"/>
          <w:rFonts w:asciiTheme="majorBidi" w:eastAsia="Calibri" w:hAnsiTheme="majorBidi" w:cstheme="majorBidi"/>
          <w:sz w:val="24"/>
          <w:szCs w:val="24"/>
          <w:lang w:bidi="ar-AE"/>
        </w:rPr>
        <w:footnoteReference w:id="470"/>
      </w:r>
    </w:p>
    <w:p w14:paraId="3798D4C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7D28D15A"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L’appauvrissement qualitatif</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Il consiste à remplacer des termes, expressions, tournures, de l’original par des termes, expressions, tournures, n’ayant ni leur richesse sonore, ni leur richesse signifiante ou </w:t>
      </w:r>
      <w:r w:rsidRPr="007C6A42">
        <w:rPr>
          <w:rFonts w:asciiTheme="majorBidi" w:hAnsiTheme="majorBidi" w:cstheme="majorBidi"/>
          <w:i/>
          <w:iCs/>
          <w:sz w:val="24"/>
          <w:szCs w:val="24"/>
        </w:rPr>
        <w:t>iconique</w:t>
      </w:r>
      <w:r w:rsidRPr="007C6A42">
        <w:rPr>
          <w:rFonts w:asciiTheme="majorBidi" w:hAnsiTheme="majorBidi" w:cstheme="majorBidi"/>
          <w:sz w:val="24"/>
          <w:szCs w:val="24"/>
        </w:rPr>
        <w:t xml:space="preserve">. Toute la richesse sonore et iconique du verbe </w:t>
      </w:r>
      <w:r w:rsidRPr="007C6A42">
        <w:rPr>
          <w:rFonts w:asciiTheme="majorBidi" w:hAnsiTheme="majorBidi" w:cstheme="majorBidi"/>
          <w:sz w:val="24"/>
          <w:szCs w:val="24"/>
          <w:rtl/>
        </w:rPr>
        <w:t>اثَّاقَلْتُمْ إلى الأرض</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iththāqaltum ila-l-ʾarḍ</w:t>
      </w:r>
      <w:r w:rsidRPr="007C6A42">
        <w:rPr>
          <w:rFonts w:asciiTheme="majorBidi" w:hAnsiTheme="majorBidi" w:cstheme="majorBidi"/>
          <w:sz w:val="24"/>
          <w:szCs w:val="24"/>
        </w:rPr>
        <w:t>] (IX, 38), un verbe qualifié par des théologiens musulmans</w:t>
      </w:r>
      <w:r w:rsidRPr="007C6A42">
        <w:rPr>
          <w:rStyle w:val="Appelnotedebasdep"/>
          <w:rFonts w:asciiTheme="majorBidi" w:hAnsiTheme="majorBidi" w:cstheme="majorBidi"/>
          <w:sz w:val="24"/>
          <w:szCs w:val="24"/>
        </w:rPr>
        <w:footnoteReference w:id="471"/>
      </w:r>
      <w:r w:rsidRPr="007C6A42">
        <w:rPr>
          <w:rFonts w:asciiTheme="majorBidi" w:hAnsiTheme="majorBidi" w:cstheme="majorBidi"/>
          <w:sz w:val="24"/>
          <w:szCs w:val="24"/>
        </w:rPr>
        <w:t xml:space="preserve"> de « savoureux », « dru », « vif », « coloré », a été perdu dans les traductions. Abdelaziz le traduit ainsi : « </w:t>
      </w:r>
      <w:r w:rsidRPr="007C6A42">
        <w:rPr>
          <w:rFonts w:asciiTheme="majorBidi" w:hAnsiTheme="majorBidi" w:cstheme="majorBidi"/>
          <w:i/>
          <w:iCs/>
          <w:sz w:val="24"/>
          <w:szCs w:val="24"/>
        </w:rPr>
        <w:t>vous vous alourdissez au sol </w:t>
      </w:r>
      <w:r w:rsidRPr="007C6A42">
        <w:rPr>
          <w:rFonts w:asciiTheme="majorBidi" w:hAnsiTheme="majorBidi" w:cstheme="majorBidi"/>
          <w:sz w:val="24"/>
          <w:szCs w:val="24"/>
        </w:rPr>
        <w:t>» et Berque : « </w:t>
      </w:r>
      <w:r w:rsidRPr="007C6A42">
        <w:rPr>
          <w:rFonts w:asciiTheme="majorBidi" w:hAnsiTheme="majorBidi" w:cstheme="majorBidi"/>
          <w:i/>
          <w:iCs/>
          <w:sz w:val="24"/>
          <w:szCs w:val="24"/>
        </w:rPr>
        <w:t>traîner sur place </w:t>
      </w:r>
      <w:r w:rsidRPr="007C6A42">
        <w:rPr>
          <w:rFonts w:asciiTheme="majorBidi" w:hAnsiTheme="majorBidi" w:cstheme="majorBidi"/>
          <w:sz w:val="24"/>
          <w:szCs w:val="24"/>
        </w:rPr>
        <w:t xml:space="preserve">». Dans la sourate Al-Ḥajj, les termes et tournures savoureux et </w:t>
      </w:r>
      <w:r w:rsidRPr="007C6A42">
        <w:rPr>
          <w:rFonts w:asciiTheme="majorBidi" w:hAnsiTheme="majorBidi" w:cstheme="majorBidi"/>
          <w:sz w:val="24"/>
          <w:szCs w:val="24"/>
        </w:rPr>
        <w:lastRenderedPageBreak/>
        <w:t xml:space="preserve">iconiques comme : </w:t>
      </w:r>
      <w:r w:rsidRPr="007C6A42">
        <w:rPr>
          <w:rFonts w:asciiTheme="majorBidi" w:hAnsiTheme="majorBidi" w:cstheme="majorBidi"/>
          <w:sz w:val="24"/>
          <w:szCs w:val="24"/>
          <w:rtl/>
        </w:rPr>
        <w:t>زلزلة</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zalzala</w:t>
      </w:r>
      <w:r w:rsidRPr="007C6A42">
        <w:rPr>
          <w:rFonts w:asciiTheme="majorBidi" w:hAnsiTheme="majorBidi" w:cstheme="majorBidi"/>
          <w:sz w:val="24"/>
          <w:szCs w:val="24"/>
        </w:rPr>
        <w:t>] [≈ tremblement] (v. 1), (</w:t>
      </w:r>
      <w:r w:rsidRPr="007C6A42">
        <w:rPr>
          <w:rFonts w:asciiTheme="majorBidi" w:hAnsiTheme="majorBidi" w:cstheme="majorBidi"/>
          <w:sz w:val="24"/>
          <w:szCs w:val="24"/>
          <w:rtl/>
        </w:rPr>
        <w:t>قُطِّعَتْ</w:t>
      </w:r>
      <w:r w:rsidRPr="007C6A42">
        <w:rPr>
          <w:rFonts w:asciiTheme="majorBidi" w:hAnsiTheme="majorBidi" w:cstheme="majorBidi"/>
          <w:sz w:val="24"/>
          <w:szCs w:val="24"/>
        </w:rPr>
        <w:t>) [</w:t>
      </w:r>
      <w:r w:rsidRPr="007C6A42">
        <w:rPr>
          <w:rFonts w:asciiTheme="majorBidi" w:hAnsiTheme="majorBidi" w:cstheme="majorBidi"/>
          <w:i/>
          <w:iCs/>
          <w:sz w:val="24"/>
          <w:szCs w:val="24"/>
        </w:rPr>
        <w:t>quṭṭiʿat</w:t>
      </w:r>
      <w:r w:rsidRPr="007C6A42">
        <w:rPr>
          <w:rFonts w:asciiTheme="majorBidi" w:hAnsiTheme="majorBidi" w:cstheme="majorBidi"/>
          <w:sz w:val="24"/>
          <w:szCs w:val="24"/>
        </w:rPr>
        <w:t>] [≈ elles sont taillées] (v. 19), (</w:t>
      </w:r>
      <w:r w:rsidRPr="007C6A42">
        <w:rPr>
          <w:rFonts w:asciiTheme="majorBidi" w:hAnsiTheme="majorBidi" w:cstheme="majorBidi"/>
          <w:sz w:val="24"/>
          <w:szCs w:val="24"/>
          <w:rtl/>
        </w:rPr>
        <w:t>فَجٍّ عَميق</w:t>
      </w:r>
      <w:r w:rsidRPr="007C6A42">
        <w:rPr>
          <w:rFonts w:asciiTheme="majorBidi" w:hAnsiTheme="majorBidi" w:cstheme="majorBidi"/>
          <w:sz w:val="24"/>
          <w:szCs w:val="24"/>
        </w:rPr>
        <w:t>) [</w:t>
      </w:r>
      <w:r w:rsidRPr="007C6A42">
        <w:rPr>
          <w:rFonts w:asciiTheme="majorBidi" w:hAnsiTheme="majorBidi" w:cstheme="majorBidi"/>
          <w:i/>
          <w:iCs/>
          <w:sz w:val="24"/>
          <w:szCs w:val="24"/>
        </w:rPr>
        <w:t>fajj</w:t>
      </w:r>
      <w:r w:rsidRPr="007C6A42">
        <w:rPr>
          <w:rFonts w:asciiTheme="majorBidi" w:hAnsiTheme="majorBidi" w:cstheme="majorBidi"/>
          <w:i/>
          <w:iCs/>
          <w:sz w:val="24"/>
          <w:szCs w:val="24"/>
          <w:vertAlign w:val="superscript"/>
        </w:rPr>
        <w:t>in</w:t>
      </w:r>
      <w:r w:rsidRPr="007C6A42">
        <w:rPr>
          <w:rFonts w:asciiTheme="majorBidi" w:hAnsiTheme="majorBidi" w:cstheme="majorBidi"/>
          <w:i/>
          <w:iCs/>
          <w:sz w:val="24"/>
          <w:szCs w:val="24"/>
        </w:rPr>
        <w:t xml:space="preserve"> ʿamīq</w:t>
      </w:r>
      <w:r w:rsidRPr="007C6A42">
        <w:rPr>
          <w:rFonts w:asciiTheme="majorBidi" w:hAnsiTheme="majorBidi" w:cstheme="majorBidi"/>
          <w:sz w:val="24"/>
          <w:szCs w:val="24"/>
        </w:rPr>
        <w:t>] [≈ profond ravin] (v. 27), (</w:t>
      </w:r>
      <w:r w:rsidRPr="007C6A42">
        <w:rPr>
          <w:rFonts w:asciiTheme="majorBidi" w:hAnsiTheme="majorBidi" w:cstheme="majorBidi"/>
          <w:sz w:val="24"/>
          <w:szCs w:val="24"/>
          <w:rtl/>
        </w:rPr>
        <w:t>وَلْيَطَّوَّفوا</w:t>
      </w:r>
      <w:r w:rsidRPr="007C6A42">
        <w:rPr>
          <w:rFonts w:asciiTheme="majorBidi" w:hAnsiTheme="majorBidi" w:cstheme="majorBidi"/>
          <w:sz w:val="24"/>
          <w:szCs w:val="24"/>
        </w:rPr>
        <w:t>) [</w:t>
      </w:r>
      <w:r w:rsidRPr="007C6A42">
        <w:rPr>
          <w:rFonts w:asciiTheme="majorBidi" w:hAnsiTheme="majorBidi" w:cstheme="majorBidi"/>
          <w:i/>
          <w:iCs/>
          <w:sz w:val="24"/>
          <w:szCs w:val="24"/>
        </w:rPr>
        <w:t>wa-l-yaṭṭawwafū</w:t>
      </w:r>
      <w:r w:rsidRPr="007C6A42">
        <w:rPr>
          <w:rFonts w:asciiTheme="majorBidi" w:hAnsiTheme="majorBidi" w:cstheme="majorBidi"/>
          <w:sz w:val="24"/>
          <w:szCs w:val="24"/>
        </w:rPr>
        <w:t>] [≈ qu’ils fassent la circumambulation] (v. 29), (</w:t>
      </w:r>
      <w:r w:rsidRPr="007C6A42">
        <w:rPr>
          <w:rFonts w:asciiTheme="majorBidi" w:hAnsiTheme="majorBidi" w:cstheme="majorBidi"/>
          <w:sz w:val="24"/>
          <w:szCs w:val="24"/>
          <w:rtl/>
        </w:rPr>
        <w:t>صَوافَّ فإذا وَجَبَتْ جُنوبُها</w:t>
      </w:r>
      <w:r w:rsidRPr="007C6A42">
        <w:rPr>
          <w:rFonts w:asciiTheme="majorBidi" w:hAnsiTheme="majorBidi" w:cstheme="majorBidi"/>
          <w:sz w:val="24"/>
          <w:szCs w:val="24"/>
        </w:rPr>
        <w:t>) [</w:t>
      </w:r>
      <w:r w:rsidRPr="007C6A42">
        <w:rPr>
          <w:rFonts w:asciiTheme="majorBidi" w:hAnsiTheme="majorBidi" w:cstheme="majorBidi"/>
          <w:i/>
          <w:iCs/>
          <w:sz w:val="24"/>
          <w:szCs w:val="24"/>
        </w:rPr>
        <w:t>ṣawāffa fa-idhā wajabat junūbuhā</w:t>
      </w:r>
      <w:r w:rsidRPr="007C6A42">
        <w:rPr>
          <w:rFonts w:asciiTheme="majorBidi" w:hAnsiTheme="majorBidi" w:cstheme="majorBidi"/>
          <w:sz w:val="24"/>
          <w:szCs w:val="24"/>
        </w:rPr>
        <w:t xml:space="preserve">] [≈ </w:t>
      </w:r>
      <w:r w:rsidRPr="007C6A42">
        <w:rPr>
          <w:rFonts w:asciiTheme="majorBidi" w:eastAsia="Calibri" w:hAnsiTheme="majorBidi" w:cstheme="majorBidi"/>
          <w:sz w:val="24"/>
          <w:szCs w:val="24"/>
          <w:lang w:bidi="ar-AE"/>
        </w:rPr>
        <w:t>en rangs, une fois affalées sur le côté</w:t>
      </w:r>
      <w:r w:rsidRPr="007C6A42">
        <w:rPr>
          <w:rFonts w:asciiTheme="majorBidi" w:hAnsiTheme="majorBidi" w:cstheme="majorBidi"/>
          <w:sz w:val="24"/>
          <w:szCs w:val="24"/>
        </w:rPr>
        <w:t>] (v. 36) ont aussi perdu dans les traductions leur vérité sonore.</w:t>
      </w:r>
    </w:p>
    <w:p w14:paraId="21F466D4"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381993AE"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L’appauvrissement quantitatif</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quand le Coran présente, pour un signifié, plusieurs signifiants, des traducteurs rendent ce signifié par un seul signifiant. Par exemple, la volonté divine est exprimée par deux signifiants (verbes </w:t>
      </w:r>
      <w:r w:rsidRPr="007C6A42">
        <w:rPr>
          <w:rFonts w:asciiTheme="majorBidi" w:hAnsiTheme="majorBidi" w:cstheme="majorBidi"/>
          <w:i/>
          <w:iCs/>
          <w:sz w:val="24"/>
          <w:szCs w:val="24"/>
        </w:rPr>
        <w:t>yurīd</w:t>
      </w:r>
      <w:r w:rsidRPr="007C6A42">
        <w:rPr>
          <w:rFonts w:asciiTheme="majorBidi" w:hAnsiTheme="majorBidi" w:cstheme="majorBidi"/>
          <w:sz w:val="24"/>
          <w:szCs w:val="24"/>
        </w:rPr>
        <w:t xml:space="preserve"> et </w:t>
      </w:r>
      <w:r w:rsidRPr="007C6A42">
        <w:rPr>
          <w:rFonts w:asciiTheme="majorBidi" w:hAnsiTheme="majorBidi" w:cstheme="majorBidi"/>
          <w:i/>
          <w:iCs/>
          <w:sz w:val="24"/>
          <w:szCs w:val="24"/>
        </w:rPr>
        <w:t>yashāʾ</w:t>
      </w:r>
      <w:r w:rsidRPr="007C6A42">
        <w:rPr>
          <w:rFonts w:asciiTheme="majorBidi" w:hAnsiTheme="majorBidi" w:cstheme="majorBidi"/>
          <w:sz w:val="24"/>
          <w:szCs w:val="24"/>
        </w:rPr>
        <w:t>) dans les clausules des versets 14 (</w:t>
      </w:r>
      <w:r w:rsidRPr="007C6A42">
        <w:rPr>
          <w:rFonts w:asciiTheme="majorBidi" w:hAnsiTheme="majorBidi" w:cstheme="majorBidi"/>
          <w:sz w:val="24"/>
          <w:szCs w:val="24"/>
          <w:rtl/>
        </w:rPr>
        <w:t xml:space="preserve">إنّ الله يَفعلُ ما </w:t>
      </w:r>
      <w:r w:rsidRPr="007C6A42">
        <w:rPr>
          <w:rFonts w:asciiTheme="majorBidi" w:hAnsiTheme="majorBidi" w:cstheme="majorBidi"/>
          <w:b/>
          <w:bCs/>
          <w:sz w:val="24"/>
          <w:szCs w:val="24"/>
          <w:rtl/>
        </w:rPr>
        <w:t>يُريد</w:t>
      </w:r>
      <w:r w:rsidRPr="007C6A42">
        <w:rPr>
          <w:rFonts w:asciiTheme="majorBidi" w:hAnsiTheme="majorBidi" w:cstheme="majorBidi"/>
          <w:sz w:val="24"/>
          <w:szCs w:val="24"/>
        </w:rPr>
        <w:t>) et 18 (</w:t>
      </w:r>
      <w:r w:rsidRPr="007C6A42">
        <w:rPr>
          <w:rFonts w:asciiTheme="majorBidi" w:hAnsiTheme="majorBidi" w:cstheme="majorBidi"/>
          <w:sz w:val="24"/>
          <w:szCs w:val="24"/>
          <w:rtl/>
        </w:rPr>
        <w:t xml:space="preserve">إنّ الله يَفعلُ ما </w:t>
      </w:r>
      <w:r w:rsidRPr="007C6A42">
        <w:rPr>
          <w:rFonts w:asciiTheme="majorBidi" w:hAnsiTheme="majorBidi" w:cstheme="majorBidi"/>
          <w:b/>
          <w:bCs/>
          <w:sz w:val="24"/>
          <w:szCs w:val="24"/>
          <w:rtl/>
        </w:rPr>
        <w:t>يشاء</w:t>
      </w:r>
      <w:r w:rsidRPr="007C6A42">
        <w:rPr>
          <w:rFonts w:asciiTheme="majorBidi" w:hAnsiTheme="majorBidi" w:cstheme="majorBidi"/>
          <w:sz w:val="24"/>
          <w:szCs w:val="24"/>
        </w:rPr>
        <w:t>).</w:t>
      </w:r>
      <w:r w:rsidRPr="007C6A42">
        <w:rPr>
          <w:rStyle w:val="Appelnotedebasdep"/>
          <w:rFonts w:asciiTheme="majorBidi" w:hAnsiTheme="majorBidi" w:cstheme="majorBidi"/>
          <w:sz w:val="24"/>
          <w:szCs w:val="24"/>
        </w:rPr>
        <w:footnoteReference w:id="472"/>
      </w:r>
      <w:r w:rsidRPr="007C6A42">
        <w:rPr>
          <w:rFonts w:asciiTheme="majorBidi" w:hAnsiTheme="majorBidi" w:cstheme="majorBidi"/>
          <w:sz w:val="24"/>
          <w:szCs w:val="24"/>
        </w:rPr>
        <w:t xml:space="preserve"> Cependant, ces deux verbes sont rendus par la plupart des traducteurs par un </w:t>
      </w:r>
      <w:r w:rsidRPr="007C6A42">
        <w:rPr>
          <w:rFonts w:asciiTheme="majorBidi" w:hAnsiTheme="majorBidi" w:cstheme="majorBidi"/>
          <w:iCs/>
          <w:sz w:val="24"/>
          <w:szCs w:val="24"/>
        </w:rPr>
        <w:t>seul</w:t>
      </w:r>
      <w:r w:rsidRPr="007C6A42">
        <w:rPr>
          <w:rFonts w:asciiTheme="majorBidi" w:hAnsiTheme="majorBidi" w:cstheme="majorBidi"/>
          <w:sz w:val="24"/>
          <w:szCs w:val="24"/>
        </w:rPr>
        <w:t xml:space="preserve"> : « </w:t>
      </w:r>
      <w:r w:rsidRPr="007C6A42">
        <w:rPr>
          <w:rFonts w:asciiTheme="majorBidi" w:hAnsiTheme="majorBidi" w:cstheme="majorBidi"/>
          <w:i/>
          <w:iCs/>
          <w:sz w:val="24"/>
          <w:szCs w:val="24"/>
        </w:rPr>
        <w:t>Il veut</w:t>
      </w:r>
      <w:r w:rsidRPr="007C6A42">
        <w:rPr>
          <w:rFonts w:asciiTheme="majorBidi" w:hAnsiTheme="majorBidi" w:cstheme="majorBidi"/>
          <w:sz w:val="24"/>
          <w:szCs w:val="24"/>
        </w:rPr>
        <w:t> » (Berque, Abdelaziz, Grosjean, Hamidullah, Hafiane, Masson, Complexe de Médine), « </w:t>
      </w:r>
      <w:r w:rsidRPr="007C6A42">
        <w:rPr>
          <w:rFonts w:asciiTheme="majorBidi" w:hAnsiTheme="majorBidi" w:cstheme="majorBidi"/>
          <w:i/>
          <w:iCs/>
          <w:sz w:val="24"/>
          <w:szCs w:val="24"/>
        </w:rPr>
        <w:t>il lui plaît</w:t>
      </w:r>
      <w:r w:rsidRPr="007C6A42">
        <w:rPr>
          <w:rFonts w:asciiTheme="majorBidi" w:hAnsiTheme="majorBidi" w:cstheme="majorBidi"/>
          <w:sz w:val="24"/>
          <w:szCs w:val="24"/>
        </w:rPr>
        <w:t> » (Kazimirski, Guessous, Savary), « </w:t>
      </w:r>
      <w:r w:rsidRPr="007C6A42">
        <w:rPr>
          <w:rFonts w:asciiTheme="majorBidi" w:hAnsiTheme="majorBidi" w:cstheme="majorBidi"/>
          <w:i/>
          <w:iCs/>
          <w:sz w:val="24"/>
          <w:szCs w:val="24"/>
        </w:rPr>
        <w:t>s’accomplir</w:t>
      </w:r>
      <w:r w:rsidRPr="007C6A42">
        <w:rPr>
          <w:rFonts w:asciiTheme="majorBidi" w:hAnsiTheme="majorBidi" w:cstheme="majorBidi"/>
          <w:sz w:val="24"/>
          <w:szCs w:val="24"/>
        </w:rPr>
        <w:t> » (Chiadmi). Seuls quatre traducteurs en ont donné deux signifiés :  Ben Mahmoud (« </w:t>
      </w:r>
      <w:r w:rsidRPr="007C6A42">
        <w:rPr>
          <w:rFonts w:asciiTheme="majorBidi" w:hAnsiTheme="majorBidi" w:cstheme="majorBidi"/>
          <w:i/>
          <w:iCs/>
          <w:sz w:val="24"/>
          <w:szCs w:val="24"/>
        </w:rPr>
        <w:t>Dieu réalise toutes ses volontés</w:t>
      </w:r>
      <w:r w:rsidRPr="007C6A42">
        <w:rPr>
          <w:rFonts w:asciiTheme="majorBidi" w:hAnsiTheme="majorBidi" w:cstheme="majorBidi"/>
          <w:sz w:val="24"/>
          <w:szCs w:val="24"/>
        </w:rPr>
        <w:t> » [verset 14] et « </w:t>
      </w:r>
      <w:r w:rsidRPr="007C6A42">
        <w:rPr>
          <w:rFonts w:asciiTheme="majorBidi" w:hAnsiTheme="majorBidi" w:cstheme="majorBidi"/>
          <w:i/>
          <w:iCs/>
          <w:sz w:val="24"/>
          <w:szCs w:val="24"/>
        </w:rPr>
        <w:t>Dieu fait ce qu’Il lui plaît </w:t>
      </w:r>
      <w:r w:rsidRPr="007C6A42">
        <w:rPr>
          <w:rFonts w:asciiTheme="majorBidi" w:hAnsiTheme="majorBidi" w:cstheme="majorBidi"/>
          <w:sz w:val="24"/>
          <w:szCs w:val="24"/>
        </w:rPr>
        <w:t>» [verset 18]) ; Ghédira (« </w:t>
      </w:r>
      <w:r w:rsidRPr="007C6A42">
        <w:rPr>
          <w:rFonts w:asciiTheme="majorBidi" w:hAnsiTheme="majorBidi" w:cstheme="majorBidi"/>
          <w:i/>
          <w:iCs/>
          <w:sz w:val="24"/>
          <w:szCs w:val="24"/>
        </w:rPr>
        <w:t>Dieu fait ce qu’Il veut</w:t>
      </w:r>
      <w:r w:rsidRPr="007C6A42">
        <w:rPr>
          <w:rFonts w:asciiTheme="majorBidi" w:hAnsiTheme="majorBidi" w:cstheme="majorBidi"/>
          <w:sz w:val="24"/>
          <w:szCs w:val="24"/>
        </w:rPr>
        <w:t> » [v. 14] et « </w:t>
      </w:r>
      <w:r w:rsidRPr="007C6A42">
        <w:rPr>
          <w:rFonts w:asciiTheme="majorBidi" w:hAnsiTheme="majorBidi" w:cstheme="majorBidi"/>
          <w:i/>
          <w:iCs/>
          <w:sz w:val="24"/>
          <w:szCs w:val="24"/>
        </w:rPr>
        <w:t>Dieu fait ce qui Lui plaît</w:t>
      </w:r>
      <w:r w:rsidRPr="007C6A42">
        <w:rPr>
          <w:rFonts w:asciiTheme="majorBidi" w:hAnsiTheme="majorBidi" w:cstheme="majorBidi"/>
          <w:sz w:val="24"/>
          <w:szCs w:val="24"/>
        </w:rPr>
        <w:t> » [v. 18]) ; Chouraqui (« </w:t>
      </w:r>
      <w:r w:rsidRPr="007C6A42">
        <w:rPr>
          <w:rFonts w:asciiTheme="majorBidi" w:hAnsiTheme="majorBidi" w:cstheme="majorBidi"/>
          <w:i/>
          <w:iCs/>
          <w:sz w:val="24"/>
          <w:szCs w:val="24"/>
        </w:rPr>
        <w:t>Allah fait ce qu’il veut </w:t>
      </w:r>
      <w:r w:rsidRPr="007C6A42">
        <w:rPr>
          <w:rFonts w:asciiTheme="majorBidi" w:hAnsiTheme="majorBidi" w:cstheme="majorBidi"/>
          <w:sz w:val="24"/>
          <w:szCs w:val="24"/>
        </w:rPr>
        <w:t>» [14] et « </w:t>
      </w:r>
      <w:r w:rsidRPr="007C6A42">
        <w:rPr>
          <w:rFonts w:asciiTheme="majorBidi" w:hAnsiTheme="majorBidi" w:cstheme="majorBidi"/>
          <w:i/>
          <w:iCs/>
          <w:sz w:val="24"/>
          <w:szCs w:val="24"/>
        </w:rPr>
        <w:t>Allah fait ce qu’il décide </w:t>
      </w:r>
      <w:r w:rsidRPr="007C6A42">
        <w:rPr>
          <w:rFonts w:asciiTheme="majorBidi" w:hAnsiTheme="majorBidi" w:cstheme="majorBidi"/>
          <w:sz w:val="24"/>
          <w:szCs w:val="24"/>
        </w:rPr>
        <w:t>» [18]) ; et Aldeeb (« </w:t>
      </w:r>
      <w:r w:rsidRPr="007C6A42">
        <w:rPr>
          <w:rFonts w:asciiTheme="majorBidi" w:hAnsiTheme="majorBidi" w:cstheme="majorBidi"/>
          <w:i/>
          <w:iCs/>
          <w:sz w:val="24"/>
          <w:szCs w:val="24"/>
          <w:lang w:eastAsia="fr-CH"/>
        </w:rPr>
        <w:t>Dieu fait ce qu’il veut</w:t>
      </w:r>
      <w:r w:rsidRPr="007C6A42">
        <w:rPr>
          <w:rFonts w:asciiTheme="majorBidi" w:hAnsiTheme="majorBidi" w:cstheme="majorBidi"/>
          <w:sz w:val="24"/>
          <w:szCs w:val="24"/>
          <w:lang w:eastAsia="fr-CH"/>
        </w:rPr>
        <w:t> » [14], « </w:t>
      </w:r>
      <w:r w:rsidRPr="007C6A42">
        <w:rPr>
          <w:rFonts w:asciiTheme="majorBidi" w:hAnsiTheme="majorBidi" w:cstheme="majorBidi"/>
          <w:i/>
          <w:iCs/>
          <w:sz w:val="24"/>
          <w:szCs w:val="24"/>
          <w:lang w:eastAsia="fr-CH"/>
        </w:rPr>
        <w:t>Dieu fait ce qu’il souhaite </w:t>
      </w:r>
      <w:r w:rsidRPr="007C6A42">
        <w:rPr>
          <w:rFonts w:asciiTheme="majorBidi" w:hAnsiTheme="majorBidi" w:cstheme="majorBidi"/>
          <w:sz w:val="24"/>
          <w:szCs w:val="24"/>
          <w:lang w:eastAsia="fr-CH"/>
        </w:rPr>
        <w:t>» [18]).</w:t>
      </w:r>
    </w:p>
    <w:p w14:paraId="48434AA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Un autre exemple, la plupart des traducteurs (comme : Blachère, Masson, Abdelaziz, Guessous, Chebel, le Complexe de Médine, Aldeeb, etc.) ont traduit les mots </w:t>
      </w:r>
      <w:r w:rsidRPr="007C6A42">
        <w:rPr>
          <w:rFonts w:asciiTheme="majorBidi" w:hAnsiTheme="majorBidi" w:cstheme="majorBidi"/>
          <w:i/>
          <w:sz w:val="24"/>
          <w:szCs w:val="24"/>
        </w:rPr>
        <w:t>thiy</w:t>
      </w:r>
      <w:r w:rsidRPr="007C6A42">
        <w:rPr>
          <w:rFonts w:asciiTheme="majorBidi" w:hAnsiTheme="majorBidi" w:cstheme="majorBidi"/>
          <w:i/>
          <w:iCs/>
          <w:sz w:val="24"/>
          <w:szCs w:val="24"/>
        </w:rPr>
        <w:t>ā</w:t>
      </w:r>
      <w:r w:rsidRPr="007C6A42">
        <w:rPr>
          <w:rFonts w:asciiTheme="majorBidi" w:hAnsiTheme="majorBidi" w:cstheme="majorBidi"/>
          <w:i/>
          <w:sz w:val="24"/>
          <w:szCs w:val="24"/>
        </w:rPr>
        <w:t>b</w:t>
      </w:r>
      <w:r w:rsidRPr="007C6A42">
        <w:rPr>
          <w:rFonts w:asciiTheme="majorBidi" w:hAnsiTheme="majorBidi" w:cstheme="majorBidi"/>
          <w:sz w:val="24"/>
          <w:szCs w:val="24"/>
        </w:rPr>
        <w:t xml:space="preserve"> [≈ robes] (v. 19) et </w:t>
      </w:r>
      <w:r w:rsidRPr="007C6A42">
        <w:rPr>
          <w:rFonts w:asciiTheme="majorBidi" w:hAnsiTheme="majorBidi" w:cstheme="majorBidi"/>
          <w:i/>
          <w:sz w:val="24"/>
          <w:szCs w:val="24"/>
        </w:rPr>
        <w:t>lib</w:t>
      </w:r>
      <w:r w:rsidRPr="007C6A42">
        <w:rPr>
          <w:rFonts w:asciiTheme="majorBidi" w:hAnsiTheme="majorBidi" w:cstheme="majorBidi"/>
          <w:i/>
          <w:iCs/>
          <w:sz w:val="24"/>
          <w:szCs w:val="24"/>
        </w:rPr>
        <w:t>ā</w:t>
      </w:r>
      <w:r w:rsidRPr="007C6A42">
        <w:rPr>
          <w:rFonts w:asciiTheme="majorBidi" w:hAnsiTheme="majorBidi" w:cstheme="majorBidi"/>
          <w:i/>
          <w:sz w:val="24"/>
          <w:szCs w:val="24"/>
        </w:rPr>
        <w:t>s</w:t>
      </w:r>
      <w:r w:rsidRPr="007C6A42">
        <w:rPr>
          <w:rFonts w:asciiTheme="majorBidi" w:hAnsiTheme="majorBidi" w:cstheme="majorBidi"/>
          <w:sz w:val="24"/>
          <w:szCs w:val="24"/>
        </w:rPr>
        <w:t xml:space="preserve"> [≈ vêtements] (v. 23) par un</w:t>
      </w:r>
      <w:r w:rsidRPr="007C6A42">
        <w:rPr>
          <w:rFonts w:asciiTheme="majorBidi" w:hAnsiTheme="majorBidi" w:cstheme="majorBidi"/>
          <w:i/>
          <w:iCs/>
          <w:sz w:val="24"/>
          <w:szCs w:val="24"/>
        </w:rPr>
        <w:t xml:space="preserve"> seul </w:t>
      </w:r>
      <w:r w:rsidRPr="007C6A42">
        <w:rPr>
          <w:rFonts w:asciiTheme="majorBidi" w:hAnsiTheme="majorBidi" w:cstheme="majorBidi"/>
          <w:sz w:val="24"/>
          <w:szCs w:val="24"/>
        </w:rPr>
        <w:t>signifiant : « </w:t>
      </w:r>
      <w:r w:rsidRPr="007C6A42">
        <w:rPr>
          <w:rFonts w:asciiTheme="majorBidi" w:hAnsiTheme="majorBidi" w:cstheme="majorBidi"/>
          <w:i/>
          <w:iCs/>
          <w:sz w:val="24"/>
          <w:szCs w:val="24"/>
        </w:rPr>
        <w:t>vêtements</w:t>
      </w:r>
      <w:r w:rsidRPr="007C6A42">
        <w:rPr>
          <w:rFonts w:asciiTheme="majorBidi" w:hAnsiTheme="majorBidi" w:cstheme="majorBidi"/>
          <w:sz w:val="24"/>
          <w:szCs w:val="24"/>
        </w:rPr>
        <w:t> ». De même, Savary les traduit tous deux par « </w:t>
      </w:r>
      <w:r w:rsidRPr="007C6A42">
        <w:rPr>
          <w:rFonts w:asciiTheme="majorBidi" w:hAnsiTheme="majorBidi" w:cstheme="majorBidi"/>
          <w:i/>
          <w:iCs/>
          <w:sz w:val="24"/>
          <w:szCs w:val="24"/>
        </w:rPr>
        <w:t>habits</w:t>
      </w:r>
      <w:r w:rsidRPr="007C6A42">
        <w:rPr>
          <w:rFonts w:asciiTheme="majorBidi" w:hAnsiTheme="majorBidi" w:cstheme="majorBidi"/>
          <w:sz w:val="24"/>
          <w:szCs w:val="24"/>
        </w:rPr>
        <w:t> ». Cela a tendance à appauvrir la polysémie du texte-source. Il y a ici déperdition puisqu’on a moins de signifiants dans la traduction que dans l’original.</w:t>
      </w:r>
    </w:p>
    <w:p w14:paraId="5894F88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Étymologiquement parlant, </w:t>
      </w:r>
      <w:r w:rsidRPr="007C6A42">
        <w:rPr>
          <w:rFonts w:asciiTheme="majorBidi" w:hAnsiTheme="majorBidi" w:cstheme="majorBidi"/>
          <w:i/>
          <w:sz w:val="24"/>
          <w:szCs w:val="24"/>
        </w:rPr>
        <w:t>thiy</w:t>
      </w:r>
      <w:r w:rsidRPr="007C6A42">
        <w:rPr>
          <w:rFonts w:asciiTheme="majorBidi" w:hAnsiTheme="majorBidi" w:cstheme="majorBidi"/>
          <w:i/>
          <w:iCs/>
          <w:sz w:val="24"/>
          <w:szCs w:val="24"/>
        </w:rPr>
        <w:t>ā</w:t>
      </w:r>
      <w:r w:rsidRPr="007C6A42">
        <w:rPr>
          <w:rFonts w:asciiTheme="majorBidi" w:hAnsiTheme="majorBidi" w:cstheme="majorBidi"/>
          <w:i/>
          <w:sz w:val="24"/>
          <w:szCs w:val="24"/>
        </w:rPr>
        <w:t>b</w:t>
      </w:r>
      <w:r w:rsidRPr="007C6A42">
        <w:rPr>
          <w:rFonts w:asciiTheme="majorBidi" w:hAnsiTheme="majorBidi" w:cstheme="majorBidi"/>
          <w:sz w:val="24"/>
          <w:szCs w:val="24"/>
        </w:rPr>
        <w:t xml:space="preserve"> (dérivé de la racine </w:t>
      </w:r>
      <w:r w:rsidRPr="007C6A42">
        <w:rPr>
          <w:rFonts w:asciiTheme="majorBidi" w:hAnsiTheme="majorBidi" w:cstheme="majorBidi"/>
          <w:i/>
          <w:sz w:val="24"/>
          <w:szCs w:val="24"/>
        </w:rPr>
        <w:t>th/w/b</w:t>
      </w:r>
      <w:r w:rsidRPr="007C6A42">
        <w:rPr>
          <w:rFonts w:asciiTheme="majorBidi" w:hAnsiTheme="majorBidi" w:cstheme="majorBidi"/>
          <w:sz w:val="24"/>
          <w:szCs w:val="24"/>
        </w:rPr>
        <w:t xml:space="preserve">, qui désigne le </w:t>
      </w:r>
      <w:r w:rsidRPr="007C6A42">
        <w:rPr>
          <w:rFonts w:asciiTheme="majorBidi" w:hAnsiTheme="majorBidi" w:cstheme="majorBidi"/>
          <w:i/>
          <w:iCs/>
          <w:sz w:val="24"/>
          <w:szCs w:val="24"/>
        </w:rPr>
        <w:t>retour</w:t>
      </w:r>
      <w:r w:rsidRPr="007C6A42">
        <w:rPr>
          <w:rFonts w:asciiTheme="majorBidi" w:hAnsiTheme="majorBidi" w:cstheme="majorBidi"/>
          <w:sz w:val="24"/>
          <w:szCs w:val="24"/>
        </w:rPr>
        <w:t xml:space="preserve">, le </w:t>
      </w:r>
      <w:r w:rsidRPr="007C6A42">
        <w:rPr>
          <w:rFonts w:asciiTheme="majorBidi" w:hAnsiTheme="majorBidi" w:cstheme="majorBidi"/>
          <w:i/>
          <w:iCs/>
          <w:sz w:val="24"/>
          <w:szCs w:val="24"/>
        </w:rPr>
        <w:t>réitération</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al-ʿawd wa-r-rujūʿ</w:t>
      </w:r>
      <w:r w:rsidRPr="007C6A42">
        <w:rPr>
          <w:rFonts w:asciiTheme="majorBidi" w:hAnsiTheme="majorBidi" w:cstheme="majorBidi"/>
          <w:sz w:val="24"/>
          <w:szCs w:val="24"/>
        </w:rPr>
        <w:t>]</w:t>
      </w:r>
      <w:r w:rsidRPr="007C6A42">
        <w:rPr>
          <w:rStyle w:val="Appelnotedebasdep"/>
          <w:rFonts w:asciiTheme="majorBidi" w:hAnsiTheme="majorBidi" w:cstheme="majorBidi"/>
          <w:sz w:val="24"/>
          <w:szCs w:val="24"/>
        </w:rPr>
        <w:footnoteReference w:id="473"/>
      </w:r>
      <w:r w:rsidRPr="007C6A42">
        <w:rPr>
          <w:rFonts w:asciiTheme="majorBidi" w:hAnsiTheme="majorBidi" w:cstheme="majorBidi"/>
          <w:sz w:val="24"/>
          <w:szCs w:val="24"/>
        </w:rPr>
        <w:t xml:space="preserve">), indique l’objet auquel on revient encore et encore, et par la suite il est utilisé pour désigner les vêtements qu’on met occasionnellement non pas pour se protéger mais comme ornement ou pour sortir. Selon le sens étymologique, il </w:t>
      </w:r>
      <w:r w:rsidRPr="007C6A42">
        <w:rPr>
          <w:rFonts w:asciiTheme="majorBidi" w:hAnsiTheme="majorBidi" w:cstheme="majorBidi"/>
          <w:sz w:val="24"/>
          <w:szCs w:val="24"/>
        </w:rPr>
        <w:lastRenderedPageBreak/>
        <w:t xml:space="preserve">pourrait faire allusion à un retour, mais un retour dans la chair, i.e. la réincarnation, c’est le sens que lui donnent les druzes et les nusayrites. Par contre, </w:t>
      </w:r>
      <w:r w:rsidRPr="007C6A42">
        <w:rPr>
          <w:rFonts w:asciiTheme="majorBidi" w:hAnsiTheme="majorBidi" w:cstheme="majorBidi"/>
          <w:i/>
          <w:sz w:val="24"/>
          <w:szCs w:val="24"/>
        </w:rPr>
        <w:t>lib</w:t>
      </w:r>
      <w:r w:rsidRPr="007C6A42">
        <w:rPr>
          <w:rFonts w:asciiTheme="majorBidi" w:hAnsiTheme="majorBidi" w:cstheme="majorBidi"/>
          <w:i/>
          <w:iCs/>
          <w:sz w:val="24"/>
          <w:szCs w:val="24"/>
        </w:rPr>
        <w:t>ā</w:t>
      </w:r>
      <w:r w:rsidRPr="007C6A42">
        <w:rPr>
          <w:rFonts w:asciiTheme="majorBidi" w:hAnsiTheme="majorBidi" w:cstheme="majorBidi"/>
          <w:i/>
          <w:sz w:val="24"/>
          <w:szCs w:val="24"/>
        </w:rPr>
        <w:t>s</w:t>
      </w:r>
      <w:r w:rsidRPr="007C6A42">
        <w:rPr>
          <w:rFonts w:asciiTheme="majorBidi" w:hAnsiTheme="majorBidi" w:cstheme="majorBidi"/>
          <w:sz w:val="24"/>
          <w:szCs w:val="24"/>
        </w:rPr>
        <w:t xml:space="preserve"> (dérivé de la racine </w:t>
      </w:r>
      <w:r w:rsidRPr="007C6A42">
        <w:rPr>
          <w:rFonts w:asciiTheme="majorBidi" w:hAnsiTheme="majorBidi" w:cstheme="majorBidi"/>
          <w:i/>
          <w:sz w:val="24"/>
          <w:szCs w:val="24"/>
        </w:rPr>
        <w:t>l/b/s</w:t>
      </w:r>
      <w:r w:rsidRPr="007C6A42">
        <w:rPr>
          <w:rFonts w:asciiTheme="majorBidi" w:hAnsiTheme="majorBidi" w:cstheme="majorBidi"/>
          <w:sz w:val="24"/>
          <w:szCs w:val="24"/>
        </w:rPr>
        <w:t>, qui désigne l’</w:t>
      </w:r>
      <w:r w:rsidRPr="007C6A42">
        <w:rPr>
          <w:rFonts w:asciiTheme="majorBidi" w:hAnsiTheme="majorBidi" w:cstheme="majorBidi"/>
          <w:i/>
          <w:iCs/>
          <w:sz w:val="24"/>
          <w:szCs w:val="24"/>
        </w:rPr>
        <w:t>accointance</w:t>
      </w:r>
      <w:r w:rsidRPr="007C6A42">
        <w:rPr>
          <w:rFonts w:asciiTheme="majorBidi" w:hAnsiTheme="majorBidi" w:cstheme="majorBidi"/>
          <w:sz w:val="24"/>
          <w:szCs w:val="24"/>
        </w:rPr>
        <w:t xml:space="preserve">, la </w:t>
      </w:r>
      <w:r w:rsidRPr="007C6A42">
        <w:rPr>
          <w:rFonts w:asciiTheme="majorBidi" w:hAnsiTheme="majorBidi" w:cstheme="majorBidi"/>
          <w:i/>
          <w:iCs/>
          <w:sz w:val="24"/>
          <w:szCs w:val="24"/>
        </w:rPr>
        <w:t>fréquentation</w:t>
      </w:r>
      <w:r w:rsidRPr="007C6A42">
        <w:rPr>
          <w:rFonts w:asciiTheme="majorBidi" w:hAnsiTheme="majorBidi" w:cstheme="majorBidi"/>
          <w:sz w:val="24"/>
          <w:szCs w:val="24"/>
        </w:rPr>
        <w:t>, l’</w:t>
      </w:r>
      <w:r w:rsidRPr="007C6A42">
        <w:rPr>
          <w:rFonts w:asciiTheme="majorBidi" w:hAnsiTheme="majorBidi" w:cstheme="majorBidi"/>
          <w:i/>
          <w:iCs/>
          <w:sz w:val="24"/>
          <w:szCs w:val="24"/>
        </w:rPr>
        <w:t>interférence</w:t>
      </w:r>
      <w:r w:rsidRPr="007C6A42">
        <w:rPr>
          <w:rFonts w:asciiTheme="majorBidi" w:hAnsiTheme="majorBidi" w:cstheme="majorBidi"/>
          <w:sz w:val="24"/>
          <w:szCs w:val="24"/>
        </w:rPr>
        <w:t xml:space="preserve">, la </w:t>
      </w:r>
      <w:r w:rsidRPr="007C6A42">
        <w:rPr>
          <w:rFonts w:asciiTheme="majorBidi" w:hAnsiTheme="majorBidi" w:cstheme="majorBidi"/>
          <w:i/>
          <w:iCs/>
          <w:sz w:val="24"/>
          <w:szCs w:val="24"/>
        </w:rPr>
        <w:t>confusion</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al-mukhālaṭa w-l-mudākhala</w:t>
      </w:r>
      <w:r w:rsidRPr="007C6A42">
        <w:rPr>
          <w:rFonts w:asciiTheme="majorBidi" w:hAnsiTheme="majorBidi" w:cstheme="majorBidi"/>
          <w:sz w:val="24"/>
          <w:szCs w:val="24"/>
        </w:rPr>
        <w:t>]</w:t>
      </w:r>
      <w:r w:rsidRPr="007C6A42">
        <w:rPr>
          <w:rStyle w:val="Appelnotedebasdep"/>
          <w:rFonts w:asciiTheme="majorBidi" w:hAnsiTheme="majorBidi" w:cstheme="majorBidi"/>
          <w:sz w:val="24"/>
          <w:szCs w:val="24"/>
        </w:rPr>
        <w:footnoteReference w:id="474"/>
      </w:r>
      <w:r w:rsidRPr="007C6A42">
        <w:rPr>
          <w:rFonts w:asciiTheme="majorBidi" w:hAnsiTheme="majorBidi" w:cstheme="majorBidi"/>
          <w:sz w:val="24"/>
          <w:szCs w:val="24"/>
        </w:rPr>
        <w:t>), indique littéralement tout ce qui couvre, protège (</w:t>
      </w:r>
      <w:r w:rsidRPr="007C6A42">
        <w:rPr>
          <w:rFonts w:asciiTheme="majorBidi" w:hAnsiTheme="majorBidi" w:cstheme="majorBidi"/>
          <w:i/>
          <w:iCs/>
          <w:sz w:val="24"/>
          <w:szCs w:val="24"/>
        </w:rPr>
        <w:t>yastur</w:t>
      </w:r>
      <w:r w:rsidRPr="007C6A42">
        <w:rPr>
          <w:rFonts w:asciiTheme="majorBidi" w:hAnsiTheme="majorBidi" w:cstheme="majorBidi"/>
          <w:sz w:val="24"/>
          <w:szCs w:val="24"/>
        </w:rPr>
        <w:t>) physiquement ou moralement.</w:t>
      </w:r>
    </w:p>
    <w:p w14:paraId="66106FB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Toutefois, Chouraqui a traduit ces deux termes par deux termes : « </w:t>
      </w:r>
      <w:r w:rsidRPr="007C6A42">
        <w:rPr>
          <w:rFonts w:asciiTheme="majorBidi" w:hAnsiTheme="majorBidi" w:cstheme="majorBidi"/>
          <w:i/>
          <w:iCs/>
          <w:sz w:val="24"/>
          <w:szCs w:val="24"/>
        </w:rPr>
        <w:t>habits</w:t>
      </w:r>
      <w:r w:rsidRPr="007C6A42">
        <w:rPr>
          <w:rFonts w:asciiTheme="majorBidi" w:hAnsiTheme="majorBidi" w:cstheme="majorBidi"/>
          <w:sz w:val="24"/>
          <w:szCs w:val="24"/>
        </w:rPr>
        <w:t> » (</w:t>
      </w:r>
      <w:r w:rsidRPr="007C6A42">
        <w:rPr>
          <w:rFonts w:asciiTheme="majorBidi" w:hAnsiTheme="majorBidi" w:cstheme="majorBidi"/>
          <w:i/>
          <w:sz w:val="24"/>
          <w:szCs w:val="24"/>
        </w:rPr>
        <w:t>thiy</w:t>
      </w:r>
      <w:r w:rsidRPr="007C6A42">
        <w:rPr>
          <w:rFonts w:asciiTheme="majorBidi" w:hAnsiTheme="majorBidi" w:cstheme="majorBidi"/>
          <w:i/>
          <w:iCs/>
          <w:sz w:val="24"/>
          <w:szCs w:val="24"/>
        </w:rPr>
        <w:t>ā</w:t>
      </w:r>
      <w:r w:rsidRPr="007C6A42">
        <w:rPr>
          <w:rFonts w:asciiTheme="majorBidi" w:hAnsiTheme="majorBidi" w:cstheme="majorBidi"/>
          <w:i/>
          <w:sz w:val="24"/>
          <w:szCs w:val="24"/>
        </w:rPr>
        <w:t>b</w:t>
      </w:r>
      <w:r w:rsidRPr="007C6A42">
        <w:rPr>
          <w:rFonts w:asciiTheme="majorBidi" w:hAnsiTheme="majorBidi" w:cstheme="majorBidi"/>
          <w:sz w:val="24"/>
          <w:szCs w:val="24"/>
        </w:rPr>
        <w:t>) et « </w:t>
      </w:r>
      <w:r w:rsidRPr="007C6A42">
        <w:rPr>
          <w:rFonts w:asciiTheme="majorBidi" w:hAnsiTheme="majorBidi" w:cstheme="majorBidi"/>
          <w:i/>
          <w:iCs/>
          <w:sz w:val="24"/>
          <w:szCs w:val="24"/>
        </w:rPr>
        <w:t>vêtements</w:t>
      </w:r>
      <w:r w:rsidRPr="007C6A42">
        <w:rPr>
          <w:rFonts w:asciiTheme="majorBidi" w:hAnsiTheme="majorBidi" w:cstheme="majorBidi"/>
          <w:sz w:val="24"/>
          <w:szCs w:val="24"/>
        </w:rPr>
        <w:t> » (</w:t>
      </w:r>
      <w:r w:rsidRPr="007C6A42">
        <w:rPr>
          <w:rFonts w:asciiTheme="majorBidi" w:hAnsiTheme="majorBidi" w:cstheme="majorBidi"/>
          <w:i/>
          <w:sz w:val="24"/>
          <w:szCs w:val="24"/>
        </w:rPr>
        <w:t>lib</w:t>
      </w:r>
      <w:r w:rsidRPr="007C6A42">
        <w:rPr>
          <w:rFonts w:asciiTheme="majorBidi" w:hAnsiTheme="majorBidi" w:cstheme="majorBidi"/>
          <w:i/>
          <w:iCs/>
          <w:sz w:val="24"/>
          <w:szCs w:val="24"/>
        </w:rPr>
        <w:t>ā</w:t>
      </w:r>
      <w:r w:rsidRPr="007C6A42">
        <w:rPr>
          <w:rFonts w:asciiTheme="majorBidi" w:hAnsiTheme="majorBidi" w:cstheme="majorBidi"/>
          <w:i/>
          <w:sz w:val="24"/>
          <w:szCs w:val="24"/>
        </w:rPr>
        <w:t>s</w:t>
      </w:r>
      <w:r w:rsidRPr="007C6A42">
        <w:rPr>
          <w:rFonts w:asciiTheme="majorBidi" w:hAnsiTheme="majorBidi" w:cstheme="majorBidi"/>
          <w:sz w:val="24"/>
          <w:szCs w:val="24"/>
        </w:rPr>
        <w:t>). Du Ryer a également traduit « </w:t>
      </w:r>
      <w:r w:rsidRPr="007C6A42">
        <w:rPr>
          <w:rFonts w:asciiTheme="majorBidi" w:hAnsiTheme="majorBidi" w:cstheme="majorBidi"/>
          <w:sz w:val="24"/>
          <w:szCs w:val="24"/>
          <w:rtl/>
        </w:rPr>
        <w:t>ثِيابٌ مِن نار</w:t>
      </w:r>
      <w:r w:rsidRPr="007C6A42">
        <w:rPr>
          <w:rFonts w:asciiTheme="majorBidi" w:hAnsiTheme="majorBidi" w:cstheme="majorBidi"/>
          <w:sz w:val="24"/>
          <w:szCs w:val="24"/>
        </w:rPr>
        <w:t> » (v. 19) par : « </w:t>
      </w:r>
      <w:r w:rsidRPr="007C6A42">
        <w:rPr>
          <w:rFonts w:asciiTheme="majorBidi" w:hAnsiTheme="majorBidi" w:cstheme="majorBidi"/>
          <w:i/>
          <w:iCs/>
          <w:sz w:val="24"/>
          <w:szCs w:val="24"/>
        </w:rPr>
        <w:t>chemises de feu </w:t>
      </w:r>
      <w:r w:rsidRPr="007C6A42">
        <w:rPr>
          <w:rFonts w:asciiTheme="majorBidi" w:hAnsiTheme="majorBidi" w:cstheme="majorBidi"/>
          <w:sz w:val="24"/>
          <w:szCs w:val="24"/>
        </w:rPr>
        <w:t>», et « </w:t>
      </w:r>
      <w:r w:rsidRPr="007C6A42">
        <w:rPr>
          <w:rFonts w:asciiTheme="majorBidi" w:hAnsiTheme="majorBidi" w:cstheme="majorBidi"/>
          <w:sz w:val="24"/>
          <w:szCs w:val="24"/>
          <w:rtl/>
        </w:rPr>
        <w:t>لِباسُهم فيها حرير</w:t>
      </w:r>
      <w:r w:rsidRPr="007C6A42">
        <w:rPr>
          <w:rFonts w:asciiTheme="majorBidi" w:hAnsiTheme="majorBidi" w:cstheme="majorBidi"/>
          <w:sz w:val="24"/>
          <w:szCs w:val="24"/>
        </w:rPr>
        <w:t> » (v. 23) par : « </w:t>
      </w:r>
      <w:r w:rsidRPr="007C6A42">
        <w:rPr>
          <w:rFonts w:asciiTheme="majorBidi" w:hAnsiTheme="majorBidi" w:cstheme="majorBidi"/>
          <w:i/>
          <w:iCs/>
          <w:sz w:val="24"/>
          <w:szCs w:val="24"/>
        </w:rPr>
        <w:t>vestus de soye</w:t>
      </w:r>
      <w:r w:rsidRPr="007C6A42">
        <w:rPr>
          <w:rFonts w:asciiTheme="majorBidi" w:hAnsiTheme="majorBidi" w:cstheme="majorBidi"/>
          <w:sz w:val="24"/>
          <w:szCs w:val="24"/>
        </w:rPr>
        <w:t> » (23). Son choix du terme « </w:t>
      </w:r>
      <w:r w:rsidRPr="007C6A42">
        <w:rPr>
          <w:rFonts w:asciiTheme="majorBidi" w:hAnsiTheme="majorBidi" w:cstheme="majorBidi"/>
          <w:i/>
          <w:iCs/>
          <w:sz w:val="24"/>
          <w:szCs w:val="24"/>
        </w:rPr>
        <w:t>chemises</w:t>
      </w:r>
      <w:r w:rsidRPr="007C6A42">
        <w:rPr>
          <w:rFonts w:asciiTheme="majorBidi" w:hAnsiTheme="majorBidi" w:cstheme="majorBidi"/>
          <w:sz w:val="24"/>
          <w:szCs w:val="24"/>
        </w:rPr>
        <w:t> » nous rappelle l’interprétation des hétérodoxes à propos de la réincarnation (</w:t>
      </w:r>
      <w:r w:rsidRPr="007C6A42">
        <w:rPr>
          <w:rFonts w:asciiTheme="majorBidi" w:hAnsiTheme="majorBidi" w:cstheme="majorBidi"/>
          <w:i/>
          <w:iCs/>
          <w:sz w:val="24"/>
          <w:szCs w:val="24"/>
        </w:rPr>
        <w:t>at-taqammuṣ</w:t>
      </w:r>
      <w:r w:rsidRPr="007C6A42">
        <w:rPr>
          <w:rFonts w:asciiTheme="majorBidi" w:hAnsiTheme="majorBidi" w:cstheme="majorBidi"/>
          <w:sz w:val="24"/>
          <w:szCs w:val="24"/>
        </w:rPr>
        <w:t xml:space="preserve">, mot dérivé de </w:t>
      </w:r>
      <w:r w:rsidRPr="007C6A42">
        <w:rPr>
          <w:rFonts w:asciiTheme="majorBidi" w:hAnsiTheme="majorBidi" w:cstheme="majorBidi"/>
          <w:i/>
          <w:iCs/>
          <w:sz w:val="24"/>
          <w:szCs w:val="24"/>
        </w:rPr>
        <w:t>qamīṣ</w:t>
      </w:r>
      <w:r w:rsidRPr="007C6A42">
        <w:rPr>
          <w:rFonts w:asciiTheme="majorBidi" w:hAnsiTheme="majorBidi" w:cstheme="majorBidi"/>
          <w:sz w:val="24"/>
          <w:szCs w:val="24"/>
        </w:rPr>
        <w:t>, chemise). Mais il est possible que Du Ryer l’a choisi par référence à un supplice médiéval.</w:t>
      </w:r>
      <w:r w:rsidRPr="007C6A42">
        <w:rPr>
          <w:rStyle w:val="Appelnotedebasdep"/>
          <w:rFonts w:asciiTheme="majorBidi" w:hAnsiTheme="majorBidi" w:cstheme="majorBidi"/>
          <w:sz w:val="24"/>
          <w:szCs w:val="24"/>
        </w:rPr>
        <w:footnoteReference w:id="475"/>
      </w:r>
    </w:p>
    <w:p w14:paraId="1F9BDE83"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lang w:eastAsia="fr-CH"/>
        </w:rPr>
        <w:t xml:space="preserve">À l’opposé de cette tendance déformante d’appauvrissement quantitatif, nous remarquons dans la traduction </w:t>
      </w:r>
      <w:r w:rsidRPr="007C6A42">
        <w:rPr>
          <w:rFonts w:asciiTheme="majorBidi" w:hAnsiTheme="majorBidi" w:cstheme="majorBidi"/>
          <w:bCs/>
          <w:i/>
          <w:iCs/>
          <w:sz w:val="24"/>
          <w:szCs w:val="24"/>
          <w:lang w:eastAsia="fr-CH"/>
        </w:rPr>
        <w:t>une autre tendance enrichissante</w:t>
      </w:r>
      <w:r w:rsidRPr="007C6A42">
        <w:rPr>
          <w:rFonts w:asciiTheme="majorBidi" w:hAnsiTheme="majorBidi" w:cstheme="majorBidi"/>
          <w:i/>
          <w:iCs/>
          <w:sz w:val="24"/>
          <w:szCs w:val="24"/>
          <w:lang w:eastAsia="fr-CH"/>
        </w:rPr>
        <w:t xml:space="preserve"> </w:t>
      </w:r>
      <w:r w:rsidRPr="007C6A42">
        <w:rPr>
          <w:rFonts w:asciiTheme="majorBidi" w:hAnsiTheme="majorBidi" w:cstheme="majorBidi"/>
          <w:sz w:val="24"/>
          <w:szCs w:val="24"/>
          <w:lang w:eastAsia="fr-CH"/>
        </w:rPr>
        <w:t xml:space="preserve">qu’on peut appeler </w:t>
      </w:r>
      <w:r w:rsidRPr="007C6A42">
        <w:rPr>
          <w:rFonts w:asciiTheme="majorBidi" w:hAnsiTheme="majorBidi" w:cstheme="majorBidi"/>
          <w:bCs/>
          <w:i/>
          <w:iCs/>
          <w:sz w:val="24"/>
          <w:szCs w:val="24"/>
          <w:lang w:eastAsia="fr-CH"/>
        </w:rPr>
        <w:t>enrichissement quantitatif</w:t>
      </w:r>
      <w:r w:rsidRPr="007C6A42">
        <w:rPr>
          <w:rFonts w:asciiTheme="majorBidi" w:hAnsiTheme="majorBidi" w:cstheme="majorBidi"/>
          <w:sz w:val="24"/>
          <w:szCs w:val="24"/>
          <w:lang w:eastAsia="fr-CH"/>
        </w:rPr>
        <w:t xml:space="preserve">, et qui consiste à donner à un seul signifiant plusieurs signifiés. Par exemple, Chiadmi a traduit </w:t>
      </w:r>
      <w:r w:rsidRPr="007C6A42">
        <w:rPr>
          <w:rFonts w:asciiTheme="majorBidi" w:hAnsiTheme="majorBidi" w:cstheme="majorBidi"/>
          <w:i/>
          <w:iCs/>
          <w:sz w:val="24"/>
          <w:szCs w:val="24"/>
          <w:lang w:eastAsia="fr-CH"/>
        </w:rPr>
        <w:t>alladhīna kafarū</w:t>
      </w:r>
      <w:r w:rsidRPr="007C6A42">
        <w:rPr>
          <w:rFonts w:asciiTheme="majorBidi" w:hAnsiTheme="majorBidi" w:cstheme="majorBidi"/>
          <w:sz w:val="24"/>
          <w:szCs w:val="24"/>
          <w:lang w:eastAsia="fr-CH"/>
        </w:rPr>
        <w:t xml:space="preserve"> </w:t>
      </w:r>
      <w:r w:rsidRPr="007C6A42">
        <w:rPr>
          <w:rFonts w:asciiTheme="majorBidi" w:hAnsiTheme="majorBidi" w:cstheme="majorBidi"/>
          <w:sz w:val="24"/>
          <w:szCs w:val="24"/>
        </w:rPr>
        <w:t>[≈ ceux qui n’ont pas cru] (v. 19, 25, 55, 57, 72) successivement par : « </w:t>
      </w:r>
      <w:r w:rsidRPr="007C6A42">
        <w:rPr>
          <w:rFonts w:asciiTheme="majorBidi" w:hAnsiTheme="majorBidi" w:cstheme="majorBidi"/>
          <w:i/>
          <w:iCs/>
          <w:sz w:val="24"/>
          <w:szCs w:val="24"/>
        </w:rPr>
        <w:t>impies</w:t>
      </w:r>
      <w:r w:rsidRPr="007C6A42">
        <w:rPr>
          <w:rFonts w:asciiTheme="majorBidi" w:hAnsiTheme="majorBidi" w:cstheme="majorBidi"/>
          <w:sz w:val="24"/>
          <w:szCs w:val="24"/>
        </w:rPr>
        <w:t> », « </w:t>
      </w:r>
      <w:r w:rsidRPr="007C6A42">
        <w:rPr>
          <w:rFonts w:asciiTheme="majorBidi" w:hAnsiTheme="majorBidi" w:cstheme="majorBidi"/>
          <w:i/>
          <w:iCs/>
          <w:sz w:val="24"/>
          <w:szCs w:val="24"/>
        </w:rPr>
        <w:t>négateurs</w:t>
      </w:r>
      <w:r w:rsidRPr="007C6A42">
        <w:rPr>
          <w:rFonts w:asciiTheme="majorBidi" w:hAnsiTheme="majorBidi" w:cstheme="majorBidi"/>
          <w:sz w:val="24"/>
          <w:szCs w:val="24"/>
        </w:rPr>
        <w:t> » et « </w:t>
      </w:r>
      <w:r w:rsidRPr="007C6A42">
        <w:rPr>
          <w:rFonts w:asciiTheme="majorBidi" w:hAnsiTheme="majorBidi" w:cstheme="majorBidi"/>
          <w:i/>
          <w:iCs/>
          <w:sz w:val="24"/>
          <w:szCs w:val="24"/>
        </w:rPr>
        <w:t>ceux qui auront été incrédules </w:t>
      </w:r>
      <w:r w:rsidRPr="007C6A42">
        <w:rPr>
          <w:rFonts w:asciiTheme="majorBidi" w:hAnsiTheme="majorBidi" w:cstheme="majorBidi"/>
          <w:sz w:val="24"/>
          <w:szCs w:val="24"/>
        </w:rPr>
        <w:t>». Chebel a rendu cette même proposition successivement par : « </w:t>
      </w:r>
      <w:r w:rsidRPr="007C6A42">
        <w:rPr>
          <w:rFonts w:asciiTheme="majorBidi" w:hAnsiTheme="majorBidi" w:cstheme="majorBidi"/>
          <w:i/>
          <w:iCs/>
          <w:sz w:val="24"/>
          <w:szCs w:val="24"/>
        </w:rPr>
        <w:t>mécréants</w:t>
      </w:r>
      <w:r w:rsidRPr="007C6A42">
        <w:rPr>
          <w:rFonts w:asciiTheme="majorBidi" w:hAnsiTheme="majorBidi" w:cstheme="majorBidi"/>
          <w:sz w:val="24"/>
          <w:szCs w:val="24"/>
        </w:rPr>
        <w:t xml:space="preserve"> », </w:t>
      </w:r>
      <w:r w:rsidRPr="007C6A42">
        <w:rPr>
          <w:rFonts w:asciiTheme="majorBidi" w:hAnsiTheme="majorBidi" w:cstheme="majorBidi"/>
          <w:i/>
          <w:iCs/>
          <w:sz w:val="24"/>
          <w:szCs w:val="24"/>
        </w:rPr>
        <w:t>infidèles</w:t>
      </w:r>
      <w:r w:rsidRPr="007C6A42">
        <w:rPr>
          <w:rFonts w:asciiTheme="majorBidi" w:hAnsiTheme="majorBidi" w:cstheme="majorBidi"/>
          <w:sz w:val="24"/>
          <w:szCs w:val="24"/>
        </w:rPr>
        <w:t> » et « </w:t>
      </w:r>
      <w:r w:rsidRPr="007C6A42">
        <w:rPr>
          <w:rFonts w:asciiTheme="majorBidi" w:hAnsiTheme="majorBidi" w:cstheme="majorBidi"/>
          <w:i/>
          <w:iCs/>
          <w:sz w:val="24"/>
          <w:szCs w:val="24"/>
        </w:rPr>
        <w:t>ceux qui n’ont pas cru </w:t>
      </w:r>
      <w:r w:rsidRPr="007C6A42">
        <w:rPr>
          <w:rFonts w:asciiTheme="majorBidi" w:hAnsiTheme="majorBidi" w:cstheme="majorBidi"/>
          <w:sz w:val="24"/>
          <w:szCs w:val="24"/>
        </w:rPr>
        <w:t>».</w:t>
      </w:r>
    </w:p>
    <w:p w14:paraId="39B3FF30"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4951A5BC"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L’homogénéisation</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 Elle consiste à unifier sur tous les plans le tissu de l’original, alors que celui-ci est originairement hétérogène. […] Le traducteur a tendance à unifier, à homogénéiser ce qui est de l’ordre du divers, voire du disparate. »</w:t>
      </w:r>
      <w:r w:rsidRPr="007C6A42">
        <w:rPr>
          <w:rFonts w:asciiTheme="majorBidi" w:hAnsiTheme="majorBidi" w:cstheme="majorBidi"/>
          <w:sz w:val="24"/>
          <w:szCs w:val="24"/>
          <w:vertAlign w:val="superscript"/>
        </w:rPr>
        <w:footnoteReference w:id="476"/>
      </w:r>
      <w:r w:rsidRPr="007C6A42">
        <w:rPr>
          <w:rFonts w:asciiTheme="majorBidi" w:hAnsiTheme="majorBidi" w:cstheme="majorBidi"/>
          <w:sz w:val="24"/>
          <w:szCs w:val="24"/>
        </w:rPr>
        <w:t xml:space="preserve"> Le traducteur donne au texte un coup de peigne. On a vu que le Coran contient plusieurs discours et couches textuelles hétérogènes (mecquois, médinois, harangue, etc.) que la traduction essaie d’homogénéiser.</w:t>
      </w:r>
    </w:p>
    <w:p w14:paraId="5C4FFA35"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lastRenderedPageBreak/>
        <w:t>Par exemple, la phrase « </w:t>
      </w:r>
      <w:r w:rsidRPr="007C6A42">
        <w:rPr>
          <w:rFonts w:asciiTheme="majorBidi" w:hAnsiTheme="majorBidi" w:cstheme="majorBidi"/>
          <w:sz w:val="24"/>
          <w:szCs w:val="24"/>
          <w:rtl/>
        </w:rPr>
        <w:t>ذلك بما قَدَّمَتْ يدا</w:t>
      </w:r>
      <w:r w:rsidRPr="007C6A42">
        <w:rPr>
          <w:rFonts w:asciiTheme="majorBidi" w:hAnsiTheme="majorBidi" w:cstheme="majorBidi"/>
          <w:sz w:val="24"/>
          <w:szCs w:val="24"/>
          <w:u w:val="single"/>
          <w:rtl/>
        </w:rPr>
        <w:t>كَ</w:t>
      </w:r>
      <w:r w:rsidRPr="007C6A42">
        <w:rPr>
          <w:rFonts w:asciiTheme="majorBidi" w:hAnsiTheme="majorBidi" w:cstheme="majorBidi"/>
          <w:sz w:val="24"/>
          <w:szCs w:val="24"/>
        </w:rPr>
        <w:t xml:space="preserve"> » [cela par ce qu’auront avancé </w:t>
      </w:r>
      <w:r w:rsidRPr="007C6A42">
        <w:rPr>
          <w:rFonts w:asciiTheme="majorBidi" w:hAnsiTheme="majorBidi" w:cstheme="majorBidi"/>
          <w:sz w:val="24"/>
          <w:szCs w:val="24"/>
          <w:u w:val="single"/>
        </w:rPr>
        <w:t>tes</w:t>
      </w:r>
      <w:r w:rsidRPr="007C6A42">
        <w:rPr>
          <w:rFonts w:asciiTheme="majorBidi" w:hAnsiTheme="majorBidi" w:cstheme="majorBidi"/>
          <w:sz w:val="24"/>
          <w:szCs w:val="24"/>
        </w:rPr>
        <w:t xml:space="preserve"> mains] (v. 10), </w:t>
      </w:r>
      <w:r w:rsidRPr="007C6A42">
        <w:rPr>
          <w:rFonts w:asciiTheme="majorBidi" w:hAnsiTheme="majorBidi" w:cstheme="majorBidi"/>
          <w:sz w:val="24"/>
          <w:szCs w:val="24"/>
          <w:lang w:eastAsia="fr-FR" w:bidi="ar-EG"/>
        </w:rPr>
        <w:t xml:space="preserve">contient une figure de style dite </w:t>
      </w:r>
      <w:r w:rsidRPr="007C6A42">
        <w:rPr>
          <w:rFonts w:asciiTheme="majorBidi" w:hAnsiTheme="majorBidi" w:cstheme="majorBidi"/>
          <w:i/>
          <w:iCs/>
          <w:sz w:val="24"/>
          <w:szCs w:val="24"/>
          <w:shd w:val="clear" w:color="auto" w:fill="FFFFFF"/>
          <w:lang w:bidi="ar-KW"/>
        </w:rPr>
        <w:t>iltifāt</w:t>
      </w:r>
      <w:r w:rsidRPr="007C6A42">
        <w:rPr>
          <w:rFonts w:asciiTheme="majorBidi" w:hAnsiTheme="majorBidi" w:cstheme="majorBidi"/>
          <w:sz w:val="24"/>
          <w:szCs w:val="24"/>
          <w:lang w:eastAsia="fr-FR" w:bidi="ar-EG"/>
        </w:rPr>
        <w:t xml:space="preserve"> (</w:t>
      </w:r>
      <w:r w:rsidRPr="007C6A42">
        <w:rPr>
          <w:rFonts w:asciiTheme="majorBidi" w:hAnsiTheme="majorBidi" w:cstheme="majorBidi"/>
          <w:sz w:val="24"/>
          <w:szCs w:val="24"/>
          <w:shd w:val="clear" w:color="auto" w:fill="FFFFFF"/>
          <w:lang w:bidi="ar-KW"/>
        </w:rPr>
        <w:t>énallage</w:t>
      </w:r>
      <w:r w:rsidRPr="007C6A42">
        <w:rPr>
          <w:rFonts w:asciiTheme="majorBidi" w:hAnsiTheme="majorBidi" w:cstheme="majorBidi"/>
          <w:sz w:val="24"/>
          <w:szCs w:val="24"/>
          <w:lang w:eastAsia="fr-FR" w:bidi="ar-EG"/>
        </w:rPr>
        <w:t>)</w:t>
      </w:r>
      <w:r w:rsidRPr="007C6A42">
        <w:rPr>
          <w:rFonts w:asciiTheme="majorBidi" w:hAnsiTheme="majorBidi" w:cstheme="majorBidi"/>
          <w:sz w:val="24"/>
          <w:szCs w:val="24"/>
          <w:vertAlign w:val="superscript"/>
          <w:lang w:bidi="ar-AE"/>
        </w:rPr>
        <w:footnoteReference w:id="477"/>
      </w:r>
      <w:r w:rsidRPr="007C6A42">
        <w:rPr>
          <w:rFonts w:asciiTheme="majorBidi" w:hAnsiTheme="majorBidi" w:cstheme="majorBidi"/>
          <w:sz w:val="24"/>
          <w:szCs w:val="24"/>
          <w:lang w:eastAsia="fr-FR" w:bidi="ar-EG"/>
        </w:rPr>
        <w:t xml:space="preserve"> qui consiste à remplacer une forme grammaticale par une autre – ici, à passer du pronom de la troisième (verset 9 : </w:t>
      </w:r>
      <w:r w:rsidRPr="007C6A42">
        <w:rPr>
          <w:rFonts w:asciiTheme="majorBidi" w:hAnsiTheme="majorBidi" w:cstheme="majorBidi"/>
          <w:i/>
          <w:iCs/>
          <w:sz w:val="24"/>
          <w:szCs w:val="24"/>
          <w:lang w:eastAsia="fr-FR" w:bidi="ar-EG"/>
        </w:rPr>
        <w:t>la-</w:t>
      </w:r>
      <w:r w:rsidRPr="007C6A42">
        <w:rPr>
          <w:rFonts w:asciiTheme="majorBidi" w:hAnsiTheme="majorBidi" w:cstheme="majorBidi"/>
          <w:b/>
          <w:i/>
          <w:iCs/>
          <w:sz w:val="24"/>
          <w:szCs w:val="24"/>
          <w:lang w:eastAsia="fr-FR" w:bidi="ar-EG"/>
        </w:rPr>
        <w:t>hu</w:t>
      </w:r>
      <w:r w:rsidRPr="007C6A42">
        <w:rPr>
          <w:rFonts w:asciiTheme="majorBidi" w:hAnsiTheme="majorBidi" w:cstheme="majorBidi"/>
          <w:sz w:val="24"/>
          <w:szCs w:val="24"/>
          <w:lang w:eastAsia="fr-FR" w:bidi="ar-EG"/>
        </w:rPr>
        <w:t xml:space="preserve"> </w:t>
      </w:r>
      <w:r w:rsidRPr="007C6A42">
        <w:rPr>
          <w:rFonts w:asciiTheme="majorBidi" w:hAnsiTheme="majorBidi" w:cstheme="majorBidi"/>
          <w:sz w:val="24"/>
          <w:szCs w:val="24"/>
        </w:rPr>
        <w:t>[</w:t>
      </w:r>
      <w:r w:rsidRPr="007C6A42">
        <w:rPr>
          <w:rFonts w:asciiTheme="majorBidi" w:hAnsiTheme="majorBidi" w:cstheme="majorBidi"/>
          <w:b/>
          <w:iCs/>
          <w:sz w:val="24"/>
          <w:szCs w:val="24"/>
        </w:rPr>
        <w:t>il</w:t>
      </w:r>
      <w:r w:rsidRPr="007C6A42">
        <w:rPr>
          <w:rFonts w:asciiTheme="majorBidi" w:hAnsiTheme="majorBidi" w:cstheme="majorBidi"/>
          <w:sz w:val="24"/>
          <w:szCs w:val="24"/>
        </w:rPr>
        <w:t xml:space="preserve"> aura]</w:t>
      </w:r>
      <w:r w:rsidRPr="007C6A42">
        <w:rPr>
          <w:rFonts w:asciiTheme="majorBidi" w:hAnsiTheme="majorBidi" w:cstheme="majorBidi"/>
          <w:sz w:val="24"/>
          <w:szCs w:val="24"/>
          <w:lang w:eastAsia="fr-FR" w:bidi="ar-EG"/>
        </w:rPr>
        <w:t xml:space="preserve">, </w:t>
      </w:r>
      <w:r w:rsidRPr="007C6A42">
        <w:rPr>
          <w:rFonts w:asciiTheme="majorBidi" w:hAnsiTheme="majorBidi" w:cstheme="majorBidi"/>
          <w:i/>
          <w:iCs/>
          <w:sz w:val="24"/>
          <w:szCs w:val="24"/>
          <w:lang w:eastAsia="fr-FR" w:bidi="ar-EG"/>
        </w:rPr>
        <w:t>nudhīqu-</w:t>
      </w:r>
      <w:r w:rsidRPr="007C6A42">
        <w:rPr>
          <w:rFonts w:asciiTheme="majorBidi" w:hAnsiTheme="majorBidi" w:cstheme="majorBidi"/>
          <w:b/>
          <w:i/>
          <w:iCs/>
          <w:sz w:val="24"/>
          <w:szCs w:val="24"/>
          <w:lang w:eastAsia="fr-FR" w:bidi="ar-EG"/>
        </w:rPr>
        <w:t>hu</w:t>
      </w:r>
      <w:r w:rsidRPr="007C6A42">
        <w:rPr>
          <w:rFonts w:asciiTheme="majorBidi" w:hAnsiTheme="majorBidi" w:cstheme="majorBidi"/>
          <w:sz w:val="24"/>
          <w:szCs w:val="24"/>
          <w:lang w:eastAsia="fr-FR" w:bidi="ar-EG"/>
        </w:rPr>
        <w:t xml:space="preserve"> </w:t>
      </w:r>
      <w:r w:rsidRPr="007C6A42">
        <w:rPr>
          <w:rFonts w:asciiTheme="majorBidi" w:hAnsiTheme="majorBidi" w:cstheme="majorBidi"/>
          <w:sz w:val="24"/>
          <w:szCs w:val="24"/>
        </w:rPr>
        <w:t>[</w:t>
      </w:r>
      <w:r w:rsidRPr="007C6A42">
        <w:rPr>
          <w:rFonts w:asciiTheme="majorBidi" w:hAnsiTheme="majorBidi" w:cstheme="majorBidi"/>
          <w:sz w:val="24"/>
          <w:szCs w:val="24"/>
          <w:lang w:eastAsia="fr-FR" w:bidi="ar-EG"/>
        </w:rPr>
        <w:t>nous</w:t>
      </w:r>
      <w:r w:rsidRPr="007C6A42">
        <w:rPr>
          <w:rFonts w:asciiTheme="majorBidi" w:hAnsiTheme="majorBidi" w:cstheme="majorBidi"/>
          <w:b/>
          <w:bCs/>
          <w:sz w:val="24"/>
          <w:szCs w:val="24"/>
          <w:lang w:eastAsia="fr-FR" w:bidi="ar-EG"/>
        </w:rPr>
        <w:t xml:space="preserve"> </w:t>
      </w:r>
      <w:r w:rsidRPr="007C6A42">
        <w:rPr>
          <w:rFonts w:asciiTheme="majorBidi" w:hAnsiTheme="majorBidi" w:cstheme="majorBidi"/>
          <w:b/>
          <w:iCs/>
          <w:sz w:val="24"/>
          <w:szCs w:val="24"/>
          <w:lang w:eastAsia="fr-FR" w:bidi="ar-EG"/>
        </w:rPr>
        <w:t>lui</w:t>
      </w:r>
      <w:r w:rsidRPr="007C6A42">
        <w:rPr>
          <w:rFonts w:asciiTheme="majorBidi" w:hAnsiTheme="majorBidi" w:cstheme="majorBidi"/>
          <w:sz w:val="24"/>
          <w:szCs w:val="24"/>
          <w:lang w:eastAsia="fr-FR" w:bidi="ar-EG"/>
        </w:rPr>
        <w:t xml:space="preserve"> ferons goûter</w:t>
      </w:r>
      <w:r w:rsidRPr="007C6A42">
        <w:rPr>
          <w:rFonts w:asciiTheme="majorBidi" w:hAnsiTheme="majorBidi" w:cstheme="majorBidi"/>
          <w:sz w:val="24"/>
          <w:szCs w:val="24"/>
        </w:rPr>
        <w:t xml:space="preserve">]) </w:t>
      </w:r>
      <w:r w:rsidRPr="007C6A42">
        <w:rPr>
          <w:rFonts w:asciiTheme="majorBidi" w:hAnsiTheme="majorBidi" w:cstheme="majorBidi"/>
          <w:sz w:val="24"/>
          <w:szCs w:val="24"/>
          <w:lang w:eastAsia="fr-FR" w:bidi="ar-EG"/>
        </w:rPr>
        <w:t xml:space="preserve">à la deuxième personne du singulier masculin (verset 10 : </w:t>
      </w:r>
      <w:r w:rsidRPr="007C6A42">
        <w:rPr>
          <w:rFonts w:asciiTheme="majorBidi" w:hAnsiTheme="majorBidi" w:cstheme="majorBidi"/>
          <w:i/>
          <w:iCs/>
          <w:sz w:val="24"/>
          <w:szCs w:val="24"/>
          <w:lang w:eastAsia="fr-FR" w:bidi="ar-EG"/>
        </w:rPr>
        <w:t>yadā-</w:t>
      </w:r>
      <w:r w:rsidRPr="007C6A42">
        <w:rPr>
          <w:rFonts w:asciiTheme="majorBidi" w:hAnsiTheme="majorBidi" w:cstheme="majorBidi"/>
          <w:b/>
          <w:i/>
          <w:iCs/>
          <w:sz w:val="24"/>
          <w:szCs w:val="24"/>
          <w:lang w:eastAsia="fr-FR" w:bidi="ar-EG"/>
        </w:rPr>
        <w:t>ka</w:t>
      </w:r>
      <w:r w:rsidRPr="007C6A42">
        <w:rPr>
          <w:rFonts w:asciiTheme="majorBidi" w:hAnsiTheme="majorBidi" w:cstheme="majorBidi"/>
          <w:sz w:val="24"/>
          <w:szCs w:val="24"/>
          <w:lang w:eastAsia="fr-FR" w:bidi="ar-EG"/>
        </w:rPr>
        <w:t xml:space="preserve"> </w:t>
      </w:r>
      <w:r w:rsidRPr="007C6A42">
        <w:rPr>
          <w:rFonts w:asciiTheme="majorBidi" w:hAnsiTheme="majorBidi" w:cstheme="majorBidi"/>
          <w:sz w:val="24"/>
          <w:szCs w:val="24"/>
        </w:rPr>
        <w:t>[</w:t>
      </w:r>
      <w:r w:rsidRPr="007C6A42">
        <w:rPr>
          <w:rFonts w:asciiTheme="majorBidi" w:hAnsiTheme="majorBidi" w:cstheme="majorBidi"/>
          <w:b/>
          <w:iCs/>
          <w:sz w:val="24"/>
          <w:szCs w:val="24"/>
        </w:rPr>
        <w:t>tes</w:t>
      </w:r>
      <w:r w:rsidRPr="007C6A42">
        <w:rPr>
          <w:rFonts w:asciiTheme="majorBidi" w:hAnsiTheme="majorBidi" w:cstheme="majorBidi"/>
          <w:sz w:val="24"/>
          <w:szCs w:val="24"/>
        </w:rPr>
        <w:t xml:space="preserve"> mains]). Certains traducteurs n’ont pas traduit le pronom de la deuxième personne du singulier masculin par son équivalent en français mais ils l’ont changé.</w:t>
      </w:r>
    </w:p>
    <w:p w14:paraId="033EA617"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lang w:eastAsia="fr-FR" w:bidi="ar-EG"/>
        </w:rPr>
      </w:pPr>
      <w:r w:rsidRPr="007C6A42">
        <w:rPr>
          <w:rFonts w:asciiTheme="majorBidi" w:hAnsiTheme="majorBidi" w:cstheme="majorBidi"/>
          <w:sz w:val="24"/>
          <w:szCs w:val="24"/>
        </w:rPr>
        <w:t>Cette même phrase qui a été omise par Du Ryer, a été traduite par Savary ainsi : « </w:t>
      </w:r>
      <w:r w:rsidRPr="007C6A42">
        <w:rPr>
          <w:rFonts w:asciiTheme="majorBidi" w:hAnsiTheme="majorBidi" w:cstheme="majorBidi"/>
          <w:i/>
          <w:iCs/>
          <w:sz w:val="24"/>
          <w:szCs w:val="24"/>
        </w:rPr>
        <w:t xml:space="preserve">Tel sera le prix de </w:t>
      </w:r>
      <w:r w:rsidRPr="007C6A42">
        <w:rPr>
          <w:rFonts w:asciiTheme="majorBidi" w:hAnsiTheme="majorBidi" w:cstheme="majorBidi"/>
          <w:b/>
          <w:i/>
          <w:iCs/>
          <w:sz w:val="24"/>
          <w:szCs w:val="24"/>
        </w:rPr>
        <w:t>leurs</w:t>
      </w:r>
      <w:r w:rsidRPr="007C6A42">
        <w:rPr>
          <w:rFonts w:asciiTheme="majorBidi" w:hAnsiTheme="majorBidi" w:cstheme="majorBidi"/>
          <w:i/>
          <w:iCs/>
          <w:sz w:val="24"/>
          <w:szCs w:val="24"/>
        </w:rPr>
        <w:t xml:space="preserve"> crimes </w:t>
      </w:r>
      <w:r w:rsidRPr="007C6A42">
        <w:rPr>
          <w:rFonts w:asciiTheme="majorBidi" w:hAnsiTheme="majorBidi" w:cstheme="majorBidi"/>
          <w:sz w:val="24"/>
          <w:szCs w:val="24"/>
        </w:rPr>
        <w:t xml:space="preserve">» (la deuxième personne </w:t>
      </w:r>
      <w:r w:rsidRPr="007C6A42">
        <w:rPr>
          <w:rFonts w:asciiTheme="majorBidi" w:hAnsiTheme="majorBidi" w:cstheme="majorBidi"/>
          <w:sz w:val="24"/>
          <w:szCs w:val="24"/>
          <w:lang w:eastAsia="fr-FR" w:bidi="ar-EG"/>
        </w:rPr>
        <w:t>du singulier masculin est remplacée par la troisième personne du pluriel pour homogénéiser la traduction). De même, Noureddine Ben Mahmoud (« </w:t>
      </w:r>
      <w:r w:rsidRPr="007C6A42">
        <w:rPr>
          <w:rFonts w:asciiTheme="majorBidi" w:hAnsiTheme="majorBidi" w:cstheme="majorBidi"/>
          <w:b/>
          <w:i/>
          <w:iCs/>
          <w:sz w:val="24"/>
          <w:szCs w:val="24"/>
          <w:lang w:eastAsia="fr-FR" w:bidi="ar-EG"/>
        </w:rPr>
        <w:t>Vous</w:t>
      </w:r>
      <w:r w:rsidRPr="007C6A42">
        <w:rPr>
          <w:rFonts w:asciiTheme="majorBidi" w:hAnsiTheme="majorBidi" w:cstheme="majorBidi"/>
          <w:i/>
          <w:iCs/>
          <w:sz w:val="24"/>
          <w:szCs w:val="24"/>
          <w:lang w:eastAsia="fr-FR" w:bidi="ar-EG"/>
        </w:rPr>
        <w:t xml:space="preserve"> êtes les artisans d’un tel châtiment </w:t>
      </w:r>
      <w:r w:rsidRPr="007C6A42">
        <w:rPr>
          <w:rFonts w:asciiTheme="majorBidi" w:hAnsiTheme="majorBidi" w:cstheme="majorBidi"/>
          <w:sz w:val="24"/>
          <w:szCs w:val="24"/>
          <w:lang w:eastAsia="fr-FR" w:bidi="ar-EG"/>
        </w:rPr>
        <w:t>») et Grosjean (« </w:t>
      </w:r>
      <w:r w:rsidRPr="007C6A42">
        <w:rPr>
          <w:rFonts w:asciiTheme="majorBidi" w:hAnsiTheme="majorBidi" w:cstheme="majorBidi"/>
          <w:i/>
          <w:iCs/>
          <w:sz w:val="24"/>
          <w:szCs w:val="24"/>
          <w:lang w:eastAsia="fr-FR" w:bidi="ar-EG"/>
        </w:rPr>
        <w:t xml:space="preserve">Voilà pour </w:t>
      </w:r>
      <w:r w:rsidRPr="007C6A42">
        <w:rPr>
          <w:rFonts w:asciiTheme="majorBidi" w:hAnsiTheme="majorBidi" w:cstheme="majorBidi"/>
          <w:b/>
          <w:bCs/>
          <w:i/>
          <w:iCs/>
          <w:sz w:val="24"/>
          <w:szCs w:val="24"/>
          <w:lang w:eastAsia="fr-FR" w:bidi="ar-EG"/>
        </w:rPr>
        <w:t>vos</w:t>
      </w:r>
      <w:r w:rsidRPr="007C6A42">
        <w:rPr>
          <w:rFonts w:asciiTheme="majorBidi" w:hAnsiTheme="majorBidi" w:cstheme="majorBidi"/>
          <w:i/>
          <w:iCs/>
          <w:sz w:val="24"/>
          <w:szCs w:val="24"/>
          <w:lang w:eastAsia="fr-FR" w:bidi="ar-EG"/>
        </w:rPr>
        <w:t xml:space="preserve"> actes </w:t>
      </w:r>
      <w:r w:rsidRPr="007C6A42">
        <w:rPr>
          <w:rFonts w:asciiTheme="majorBidi" w:hAnsiTheme="majorBidi" w:cstheme="majorBidi"/>
          <w:sz w:val="24"/>
          <w:szCs w:val="24"/>
          <w:lang w:eastAsia="fr-FR" w:bidi="ar-EG"/>
        </w:rPr>
        <w:t xml:space="preserve">») passent de la deuxième personne du singulier à la deuxième du pluriel, tandis que Kazimirski traduit </w:t>
      </w:r>
      <w:r w:rsidRPr="007C6A42">
        <w:rPr>
          <w:rFonts w:asciiTheme="majorBidi" w:hAnsiTheme="majorBidi" w:cstheme="majorBidi"/>
          <w:i/>
          <w:iCs/>
          <w:sz w:val="24"/>
          <w:szCs w:val="24"/>
          <w:lang w:eastAsia="fr-FR" w:bidi="ar-EG"/>
        </w:rPr>
        <w:t>yadā-</w:t>
      </w:r>
      <w:r w:rsidRPr="007C6A42">
        <w:rPr>
          <w:rFonts w:asciiTheme="majorBidi" w:hAnsiTheme="majorBidi" w:cstheme="majorBidi"/>
          <w:b/>
          <w:i/>
          <w:iCs/>
          <w:sz w:val="24"/>
          <w:szCs w:val="24"/>
          <w:u w:val="single"/>
          <w:lang w:eastAsia="fr-FR" w:bidi="ar-EG"/>
        </w:rPr>
        <w:t>ka</w:t>
      </w:r>
      <w:r w:rsidRPr="007C6A42">
        <w:rPr>
          <w:rFonts w:asciiTheme="majorBidi" w:hAnsiTheme="majorBidi" w:cstheme="majorBidi"/>
          <w:sz w:val="24"/>
          <w:szCs w:val="24"/>
          <w:lang w:eastAsia="fr-FR" w:bidi="ar-EG"/>
        </w:rPr>
        <w:t xml:space="preserve"> </w:t>
      </w:r>
      <w:r w:rsidRPr="007C6A42">
        <w:rPr>
          <w:rFonts w:asciiTheme="majorBidi" w:hAnsiTheme="majorBidi" w:cstheme="majorBidi"/>
          <w:sz w:val="24"/>
          <w:szCs w:val="24"/>
        </w:rPr>
        <w:t>[</w:t>
      </w:r>
      <w:r w:rsidRPr="007C6A42">
        <w:rPr>
          <w:rFonts w:asciiTheme="majorBidi" w:hAnsiTheme="majorBidi" w:cstheme="majorBidi"/>
          <w:b/>
          <w:sz w:val="24"/>
          <w:szCs w:val="24"/>
        </w:rPr>
        <w:t>tes</w:t>
      </w:r>
      <w:r w:rsidRPr="007C6A42">
        <w:rPr>
          <w:rFonts w:asciiTheme="majorBidi" w:hAnsiTheme="majorBidi" w:cstheme="majorBidi"/>
          <w:sz w:val="24"/>
          <w:szCs w:val="24"/>
        </w:rPr>
        <w:t xml:space="preserve"> mains] par «</w:t>
      </w:r>
      <w:r w:rsidRPr="007C6A42">
        <w:rPr>
          <w:rFonts w:asciiTheme="majorBidi" w:hAnsiTheme="majorBidi" w:cstheme="majorBidi"/>
          <w:b/>
          <w:bCs/>
          <w:sz w:val="24"/>
          <w:szCs w:val="24"/>
        </w:rPr>
        <w:t> </w:t>
      </w:r>
      <w:r w:rsidRPr="007C6A42">
        <w:rPr>
          <w:rFonts w:asciiTheme="majorBidi" w:hAnsiTheme="majorBidi" w:cstheme="majorBidi"/>
          <w:b/>
          <w:iCs/>
          <w:sz w:val="24"/>
          <w:szCs w:val="24"/>
        </w:rPr>
        <w:t>nos</w:t>
      </w:r>
      <w:r w:rsidRPr="007C6A42">
        <w:rPr>
          <w:rFonts w:asciiTheme="majorBidi" w:hAnsiTheme="majorBidi" w:cstheme="majorBidi"/>
          <w:iCs/>
          <w:sz w:val="24"/>
          <w:szCs w:val="24"/>
        </w:rPr>
        <w:t xml:space="preserve"> œuvres </w:t>
      </w:r>
      <w:r w:rsidRPr="007C6A42">
        <w:rPr>
          <w:rFonts w:asciiTheme="majorBidi" w:hAnsiTheme="majorBidi" w:cstheme="majorBidi"/>
          <w:sz w:val="24"/>
          <w:szCs w:val="24"/>
        </w:rPr>
        <w:t xml:space="preserve">». Il traduit également le </w:t>
      </w:r>
      <w:r w:rsidRPr="007C6A42">
        <w:rPr>
          <w:rFonts w:asciiTheme="majorBidi" w:hAnsiTheme="majorBidi" w:cstheme="majorBidi"/>
          <w:sz w:val="24"/>
          <w:szCs w:val="24"/>
          <w:lang w:eastAsia="fr-FR" w:bidi="ar-EG"/>
        </w:rPr>
        <w:t>segment « </w:t>
      </w:r>
      <w:r w:rsidRPr="007C6A42">
        <w:rPr>
          <w:rFonts w:asciiTheme="majorBidi" w:hAnsiTheme="majorBidi" w:cstheme="majorBidi"/>
          <w:sz w:val="24"/>
          <w:szCs w:val="24"/>
          <w:rtl/>
          <w:lang w:eastAsia="fr-FR"/>
        </w:rPr>
        <w:t xml:space="preserve">ثاني عِطفِهِ </w:t>
      </w:r>
      <w:r w:rsidRPr="007C6A42">
        <w:rPr>
          <w:rFonts w:asciiTheme="majorBidi" w:hAnsiTheme="majorBidi" w:cstheme="majorBidi"/>
          <w:sz w:val="24"/>
          <w:szCs w:val="24"/>
          <w:rtl/>
          <w:lang w:eastAsia="fr-FR" w:bidi="ar-EG"/>
        </w:rPr>
        <w:t>لِيُضِلَّ عن سبيلِ اللهِ</w:t>
      </w:r>
      <w:r w:rsidRPr="007C6A42">
        <w:rPr>
          <w:rFonts w:asciiTheme="majorBidi" w:hAnsiTheme="majorBidi" w:cstheme="majorBidi"/>
          <w:sz w:val="24"/>
          <w:szCs w:val="24"/>
          <w:lang w:eastAsia="fr-FR" w:bidi="ar-EG"/>
        </w:rPr>
        <w:t xml:space="preserve"> » </w:t>
      </w:r>
      <w:r w:rsidRPr="007C6A42">
        <w:rPr>
          <w:rFonts w:asciiTheme="majorBidi" w:hAnsiTheme="majorBidi" w:cstheme="majorBidi"/>
          <w:sz w:val="24"/>
          <w:szCs w:val="24"/>
        </w:rPr>
        <w:t>(</w:t>
      </w:r>
      <w:r w:rsidRPr="007C6A42">
        <w:rPr>
          <w:rFonts w:asciiTheme="majorBidi" w:hAnsiTheme="majorBidi" w:cstheme="majorBidi"/>
          <w:b/>
          <w:iCs/>
          <w:sz w:val="24"/>
          <w:szCs w:val="24"/>
        </w:rPr>
        <w:t>Il</w:t>
      </w:r>
      <w:r w:rsidRPr="007C6A42">
        <w:rPr>
          <w:rFonts w:asciiTheme="majorBidi" w:hAnsiTheme="majorBidi" w:cstheme="majorBidi"/>
          <w:sz w:val="24"/>
          <w:szCs w:val="24"/>
        </w:rPr>
        <w:t xml:space="preserve"> se détourne avec orgueil pour éloigner les hommes du sentier de Dieu [trad. Hafiane])</w:t>
      </w:r>
      <w:r w:rsidRPr="007C6A42">
        <w:rPr>
          <w:rFonts w:asciiTheme="majorBidi" w:hAnsiTheme="majorBidi" w:cstheme="majorBidi"/>
          <w:sz w:val="24"/>
          <w:szCs w:val="24"/>
          <w:lang w:eastAsia="fr-FR" w:bidi="ar-EG"/>
        </w:rPr>
        <w:t xml:space="preserve"> (v. 9), où le verbe est conjugué à la troisième personne du singulier) par : « </w:t>
      </w:r>
      <w:r w:rsidRPr="007C6A42">
        <w:rPr>
          <w:rFonts w:asciiTheme="majorBidi" w:hAnsiTheme="majorBidi" w:cstheme="majorBidi"/>
          <w:b/>
          <w:sz w:val="24"/>
          <w:szCs w:val="24"/>
          <w:lang w:eastAsia="fr-FR" w:bidi="ar-EG"/>
        </w:rPr>
        <w:t>Ils</w:t>
      </w:r>
      <w:r w:rsidRPr="007C6A42">
        <w:rPr>
          <w:rFonts w:asciiTheme="majorBidi" w:hAnsiTheme="majorBidi" w:cstheme="majorBidi"/>
          <w:b/>
          <w:bCs/>
          <w:i/>
          <w:iCs/>
          <w:sz w:val="24"/>
          <w:szCs w:val="24"/>
          <w:lang w:eastAsia="fr-FR" w:bidi="ar-EG"/>
        </w:rPr>
        <w:t xml:space="preserve"> </w:t>
      </w:r>
      <w:r w:rsidRPr="007C6A42">
        <w:rPr>
          <w:rFonts w:asciiTheme="majorBidi" w:hAnsiTheme="majorBidi" w:cstheme="majorBidi"/>
          <w:sz w:val="24"/>
          <w:szCs w:val="24"/>
          <w:lang w:eastAsia="fr-FR" w:bidi="ar-EG"/>
        </w:rPr>
        <w:t>détournent</w:t>
      </w:r>
      <w:r w:rsidRPr="007C6A42">
        <w:rPr>
          <w:rFonts w:asciiTheme="majorBidi" w:hAnsiTheme="majorBidi" w:cstheme="majorBidi"/>
          <w:i/>
          <w:iCs/>
          <w:sz w:val="24"/>
          <w:szCs w:val="24"/>
          <w:lang w:eastAsia="fr-FR" w:bidi="ar-EG"/>
        </w:rPr>
        <w:t xml:space="preserve"> </w:t>
      </w:r>
      <w:r w:rsidRPr="007C6A42">
        <w:rPr>
          <w:rFonts w:asciiTheme="majorBidi" w:hAnsiTheme="majorBidi" w:cstheme="majorBidi"/>
          <w:sz w:val="24"/>
          <w:szCs w:val="24"/>
          <w:lang w:eastAsia="fr-FR" w:bidi="ar-EG"/>
        </w:rPr>
        <w:t>avec orgueil</w:t>
      </w:r>
      <w:r w:rsidRPr="007C6A42">
        <w:rPr>
          <w:rFonts w:asciiTheme="majorBidi" w:hAnsiTheme="majorBidi" w:cstheme="majorBidi"/>
          <w:i/>
          <w:iCs/>
          <w:sz w:val="24"/>
          <w:szCs w:val="24"/>
          <w:lang w:eastAsia="fr-FR" w:bidi="ar-EG"/>
        </w:rPr>
        <w:t xml:space="preserve"> pour éloigner les autres du chemin de Dieu </w:t>
      </w:r>
      <w:r w:rsidRPr="007C6A42">
        <w:rPr>
          <w:rFonts w:asciiTheme="majorBidi" w:hAnsiTheme="majorBidi" w:cstheme="majorBidi"/>
          <w:sz w:val="24"/>
          <w:szCs w:val="24"/>
          <w:lang w:eastAsia="fr-FR" w:bidi="ar-EG"/>
        </w:rPr>
        <w:t>».</w:t>
      </w:r>
    </w:p>
    <w:p w14:paraId="157663E0" w14:textId="77777777" w:rsidR="00A70B78" w:rsidRPr="007C6A42" w:rsidRDefault="00A70B78" w:rsidP="00A70B78">
      <w:pPr>
        <w:pStyle w:val="Paragraphedeliste"/>
        <w:bidi w:val="0"/>
        <w:spacing w:after="0" w:line="360" w:lineRule="auto"/>
        <w:ind w:firstLine="720"/>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Blachère (1949), Guessous (1999) ont traduit </w:t>
      </w:r>
      <w:r w:rsidRPr="007C6A42">
        <w:rPr>
          <w:rFonts w:asciiTheme="majorBidi" w:hAnsiTheme="majorBidi" w:cstheme="majorBidi"/>
          <w:i/>
          <w:iCs/>
          <w:sz w:val="24"/>
          <w:szCs w:val="24"/>
          <w:lang w:eastAsia="fr-FR" w:bidi="ar-EG"/>
        </w:rPr>
        <w:t>yadā</w:t>
      </w:r>
      <w:r w:rsidRPr="007C6A42">
        <w:rPr>
          <w:rFonts w:asciiTheme="majorBidi" w:hAnsiTheme="majorBidi" w:cstheme="majorBidi"/>
          <w:i/>
          <w:iCs/>
          <w:sz w:val="24"/>
          <w:szCs w:val="24"/>
          <w:u w:val="single"/>
          <w:lang w:eastAsia="fr-FR" w:bidi="ar-EG"/>
        </w:rPr>
        <w:t>ka</w:t>
      </w:r>
      <w:r w:rsidRPr="007C6A42">
        <w:rPr>
          <w:rFonts w:asciiTheme="majorBidi" w:hAnsiTheme="majorBidi" w:cstheme="majorBidi"/>
          <w:sz w:val="24"/>
          <w:szCs w:val="24"/>
          <w:lang w:eastAsia="fr-FR" w:bidi="ar-EG"/>
        </w:rPr>
        <w:t xml:space="preserve"> </w:t>
      </w:r>
      <w:r w:rsidRPr="007C6A42">
        <w:rPr>
          <w:rFonts w:asciiTheme="majorBidi" w:hAnsiTheme="majorBidi" w:cstheme="majorBidi"/>
          <w:sz w:val="24"/>
          <w:szCs w:val="24"/>
        </w:rPr>
        <w:t>[</w:t>
      </w:r>
      <w:r w:rsidRPr="007C6A42">
        <w:rPr>
          <w:rFonts w:asciiTheme="majorBidi" w:hAnsiTheme="majorBidi" w:cstheme="majorBidi"/>
          <w:sz w:val="24"/>
          <w:szCs w:val="24"/>
          <w:u w:val="single"/>
        </w:rPr>
        <w:t>tes</w:t>
      </w:r>
      <w:r w:rsidRPr="007C6A42">
        <w:rPr>
          <w:rFonts w:asciiTheme="majorBidi" w:hAnsiTheme="majorBidi" w:cstheme="majorBidi"/>
          <w:sz w:val="24"/>
          <w:szCs w:val="24"/>
        </w:rPr>
        <w:t xml:space="preserve"> mains] par « </w:t>
      </w:r>
      <w:r w:rsidRPr="007C6A42">
        <w:rPr>
          <w:rFonts w:asciiTheme="majorBidi" w:hAnsiTheme="majorBidi" w:cstheme="majorBidi"/>
          <w:i/>
          <w:iCs/>
          <w:sz w:val="24"/>
          <w:szCs w:val="24"/>
          <w:u w:val="single"/>
        </w:rPr>
        <w:t>leurs</w:t>
      </w:r>
      <w:r w:rsidRPr="007C6A42">
        <w:rPr>
          <w:rFonts w:asciiTheme="majorBidi" w:hAnsiTheme="majorBidi" w:cstheme="majorBidi"/>
          <w:b/>
          <w:bCs/>
          <w:i/>
          <w:iCs/>
          <w:sz w:val="24"/>
          <w:szCs w:val="24"/>
        </w:rPr>
        <w:t xml:space="preserve"> </w:t>
      </w:r>
      <w:r w:rsidRPr="007C6A42">
        <w:rPr>
          <w:rFonts w:asciiTheme="majorBidi" w:hAnsiTheme="majorBidi" w:cstheme="majorBidi"/>
          <w:i/>
          <w:iCs/>
          <w:sz w:val="24"/>
          <w:szCs w:val="24"/>
        </w:rPr>
        <w:t>mains </w:t>
      </w:r>
      <w:r w:rsidRPr="007C6A42">
        <w:rPr>
          <w:rFonts w:asciiTheme="majorBidi" w:hAnsiTheme="majorBidi" w:cstheme="majorBidi"/>
          <w:sz w:val="24"/>
          <w:szCs w:val="24"/>
        </w:rPr>
        <w:t>» pour unifier les pronoms. Ameur Ghédira (1957) l’a traduit par : «</w:t>
      </w:r>
      <w:r w:rsidRPr="007C6A42">
        <w:rPr>
          <w:rFonts w:asciiTheme="majorBidi" w:hAnsiTheme="majorBidi" w:cstheme="majorBidi"/>
          <w:b/>
          <w:bCs/>
          <w:sz w:val="24"/>
          <w:szCs w:val="24"/>
        </w:rPr>
        <w:t> </w:t>
      </w:r>
      <w:r w:rsidRPr="007C6A42">
        <w:rPr>
          <w:rFonts w:asciiTheme="majorBidi" w:hAnsiTheme="majorBidi" w:cstheme="majorBidi"/>
          <w:i/>
          <w:iCs/>
          <w:sz w:val="24"/>
          <w:szCs w:val="24"/>
          <w:u w:val="single"/>
        </w:rPr>
        <w:t>vos</w:t>
      </w:r>
      <w:r w:rsidRPr="007C6A42">
        <w:rPr>
          <w:rFonts w:asciiTheme="majorBidi" w:hAnsiTheme="majorBidi" w:cstheme="majorBidi"/>
          <w:i/>
          <w:iCs/>
          <w:sz w:val="24"/>
          <w:szCs w:val="24"/>
        </w:rPr>
        <w:t xml:space="preserve"> mains </w:t>
      </w:r>
      <w:r w:rsidRPr="007C6A42">
        <w:rPr>
          <w:rFonts w:asciiTheme="majorBidi" w:hAnsiTheme="majorBidi" w:cstheme="majorBidi"/>
          <w:sz w:val="24"/>
          <w:szCs w:val="24"/>
        </w:rPr>
        <w:t>». Masson a traduit « </w:t>
      </w:r>
      <w:r w:rsidRPr="007C6A42">
        <w:rPr>
          <w:rFonts w:asciiTheme="majorBidi" w:hAnsiTheme="majorBidi" w:cstheme="majorBidi"/>
          <w:sz w:val="24"/>
          <w:szCs w:val="24"/>
          <w:rtl/>
        </w:rPr>
        <w:t>ذلك بما قَدَّمَتْ يدا</w:t>
      </w:r>
      <w:r w:rsidRPr="007C6A42">
        <w:rPr>
          <w:rFonts w:asciiTheme="majorBidi" w:hAnsiTheme="majorBidi" w:cstheme="majorBidi"/>
          <w:sz w:val="24"/>
          <w:szCs w:val="24"/>
          <w:u w:val="single"/>
          <w:rtl/>
        </w:rPr>
        <w:t>كَ</w:t>
      </w:r>
      <w:r w:rsidRPr="007C6A42">
        <w:rPr>
          <w:rFonts w:asciiTheme="majorBidi" w:hAnsiTheme="majorBidi" w:cstheme="majorBidi"/>
          <w:sz w:val="24"/>
          <w:szCs w:val="24"/>
        </w:rPr>
        <w:t> » ainsi : « </w:t>
      </w:r>
      <w:r w:rsidRPr="007C6A42">
        <w:rPr>
          <w:rFonts w:asciiTheme="majorBidi" w:hAnsiTheme="majorBidi" w:cstheme="majorBidi"/>
          <w:i/>
          <w:iCs/>
          <w:sz w:val="24"/>
          <w:szCs w:val="24"/>
        </w:rPr>
        <w:t xml:space="preserve">Voilà pour les actions que </w:t>
      </w:r>
      <w:r w:rsidRPr="007C6A42">
        <w:rPr>
          <w:rFonts w:asciiTheme="majorBidi" w:hAnsiTheme="majorBidi" w:cstheme="majorBidi"/>
          <w:i/>
          <w:iCs/>
          <w:sz w:val="24"/>
          <w:szCs w:val="24"/>
          <w:u w:val="single"/>
        </w:rPr>
        <w:t>vous</w:t>
      </w:r>
      <w:r w:rsidRPr="007C6A42">
        <w:rPr>
          <w:rFonts w:asciiTheme="majorBidi" w:hAnsiTheme="majorBidi" w:cstheme="majorBidi"/>
          <w:i/>
          <w:iCs/>
          <w:sz w:val="24"/>
          <w:szCs w:val="24"/>
        </w:rPr>
        <w:t xml:space="preserve"> avez accomplies</w:t>
      </w:r>
      <w:r w:rsidRPr="007C6A42">
        <w:rPr>
          <w:rFonts w:asciiTheme="majorBidi" w:hAnsiTheme="majorBidi" w:cstheme="majorBidi"/>
          <w:sz w:val="24"/>
          <w:szCs w:val="24"/>
        </w:rPr>
        <w:t> ».</w:t>
      </w:r>
    </w:p>
    <w:p w14:paraId="79E23F99"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Pour homogénéiser les pronoms sujets, Ben Mahmoud a omis le verbe « </w:t>
      </w:r>
      <w:r w:rsidRPr="007C6A42">
        <w:rPr>
          <w:rFonts w:asciiTheme="majorBidi" w:hAnsiTheme="majorBidi" w:cstheme="majorBidi"/>
          <w:i/>
          <w:iCs/>
          <w:sz w:val="24"/>
          <w:szCs w:val="24"/>
        </w:rPr>
        <w:t>tarā</w:t>
      </w:r>
      <w:r w:rsidRPr="007C6A42">
        <w:rPr>
          <w:rFonts w:asciiTheme="majorBidi" w:hAnsiTheme="majorBidi" w:cstheme="majorBidi"/>
          <w:sz w:val="24"/>
          <w:szCs w:val="24"/>
        </w:rPr>
        <w:t> » [tu vois] (v. 5)</w:t>
      </w:r>
      <w:r w:rsidRPr="007C6A42">
        <w:rPr>
          <w:rFonts w:asciiTheme="majorBidi" w:hAnsiTheme="majorBidi" w:cstheme="majorBidi"/>
          <w:sz w:val="24"/>
          <w:szCs w:val="24"/>
          <w:lang w:eastAsia="fr-FR" w:bidi="ar-EG"/>
        </w:rPr>
        <w:t xml:space="preserve"> parce que les autres verbes de ce verset sont </w:t>
      </w:r>
      <w:r w:rsidRPr="007C6A42">
        <w:rPr>
          <w:rFonts w:asciiTheme="majorBidi" w:hAnsiTheme="majorBidi" w:cstheme="majorBidi"/>
          <w:sz w:val="24"/>
          <w:szCs w:val="24"/>
        </w:rPr>
        <w:t>conjugués avec la deuxième personne du pluriel.</w:t>
      </w:r>
    </w:p>
    <w:p w14:paraId="77AEBC67" w14:textId="77777777" w:rsidR="00A70B78" w:rsidRPr="007C6A42" w:rsidRDefault="00A70B78" w:rsidP="00A70B78">
      <w:pPr>
        <w:pStyle w:val="Paragraphedeliste"/>
        <w:bidi w:val="0"/>
        <w:spacing w:after="0" w:line="360" w:lineRule="auto"/>
        <w:ind w:firstLine="720"/>
        <w:contextualSpacing/>
        <w:jc w:val="both"/>
        <w:rPr>
          <w:rFonts w:asciiTheme="majorBidi" w:hAnsiTheme="majorBidi" w:cstheme="majorBidi"/>
          <w:sz w:val="24"/>
          <w:szCs w:val="24"/>
          <w:lang w:eastAsia="fr-FR" w:bidi="ar-AE"/>
        </w:rPr>
      </w:pPr>
      <w:r w:rsidRPr="007C6A42">
        <w:rPr>
          <w:rFonts w:asciiTheme="majorBidi" w:hAnsiTheme="majorBidi" w:cstheme="majorBidi"/>
          <w:sz w:val="24"/>
          <w:szCs w:val="24"/>
        </w:rPr>
        <w:t xml:space="preserve">On peut également considérer comme une forme d’homogénéisation le procédé qui consiste à normaliser la terminologie en rendant systématiquement un terme arabe par le même terme français, sans prendre en considération son contexte et l’apport exégétique. Par exemple, Aldeeb traduit toujours le mot </w:t>
      </w:r>
      <w:r w:rsidRPr="007C6A42">
        <w:rPr>
          <w:rFonts w:asciiTheme="majorBidi" w:hAnsiTheme="majorBidi" w:cstheme="majorBidi"/>
          <w:i/>
          <w:iCs/>
          <w:sz w:val="24"/>
          <w:szCs w:val="24"/>
        </w:rPr>
        <w:t>an-nās</w:t>
      </w:r>
      <w:r w:rsidRPr="007C6A42">
        <w:rPr>
          <w:rFonts w:asciiTheme="majorBidi" w:hAnsiTheme="majorBidi" w:cstheme="majorBidi"/>
          <w:sz w:val="24"/>
          <w:szCs w:val="24"/>
        </w:rPr>
        <w:t xml:space="preserve"> par « </w:t>
      </w:r>
      <w:r w:rsidRPr="007C6A42">
        <w:rPr>
          <w:rFonts w:asciiTheme="majorBidi" w:hAnsiTheme="majorBidi" w:cstheme="majorBidi"/>
          <w:sz w:val="24"/>
          <w:szCs w:val="24"/>
          <w:lang w:eastAsia="fr-CH"/>
        </w:rPr>
        <w:t xml:space="preserve">humains ». Blachère, Ghédira, Masson, Grosjean, Chebel, Chiadmi, Ben Mahmoud, Hafiane et </w:t>
      </w:r>
      <w:r w:rsidRPr="007C6A42">
        <w:rPr>
          <w:rFonts w:asciiTheme="majorBidi" w:hAnsiTheme="majorBidi" w:cstheme="majorBidi"/>
          <w:sz w:val="24"/>
          <w:szCs w:val="24"/>
          <w:lang w:eastAsia="fr-CH"/>
        </w:rPr>
        <w:lastRenderedPageBreak/>
        <w:t>Abdelaziz l’ont traduit par : « hommes ». Berque fait mieux en traduisant ce mot par : « humains » ou « les hommes ». L</w:t>
      </w:r>
      <w:r w:rsidRPr="007C6A42">
        <w:rPr>
          <w:rFonts w:asciiTheme="majorBidi" w:hAnsiTheme="majorBidi" w:cstheme="majorBidi"/>
          <w:sz w:val="24"/>
          <w:szCs w:val="24"/>
        </w:rPr>
        <w:t xml:space="preserve">e Complexe de Médine l’a traduit par : « hommes » et « gens ». </w:t>
      </w:r>
      <w:r w:rsidRPr="007C6A42">
        <w:rPr>
          <w:rFonts w:asciiTheme="majorBidi" w:hAnsiTheme="majorBidi" w:cstheme="majorBidi"/>
          <w:sz w:val="24"/>
          <w:szCs w:val="24"/>
          <w:lang w:eastAsia="fr-CH"/>
        </w:rPr>
        <w:t>Guessous l’a traduit par : « hommes », « humanité » ou « </w:t>
      </w:r>
      <w:r w:rsidRPr="007C6A42">
        <w:rPr>
          <w:rFonts w:asciiTheme="majorBidi" w:hAnsiTheme="majorBidi" w:cstheme="majorBidi"/>
          <w:sz w:val="24"/>
          <w:szCs w:val="24"/>
        </w:rPr>
        <w:t xml:space="preserve">la société humanitaire ». </w:t>
      </w:r>
      <w:r w:rsidRPr="007C6A42">
        <w:rPr>
          <w:rFonts w:asciiTheme="majorBidi" w:hAnsiTheme="majorBidi" w:cstheme="majorBidi"/>
          <w:sz w:val="24"/>
          <w:szCs w:val="24"/>
          <w:lang w:eastAsia="fr-FR" w:bidi="ar-AE"/>
        </w:rPr>
        <w:t>On a vu dans la première partie (</w:t>
      </w:r>
      <w:r w:rsidRPr="007C6A42">
        <w:rPr>
          <w:rFonts w:asciiTheme="majorBidi" w:hAnsiTheme="majorBidi" w:cstheme="majorBidi"/>
          <w:b/>
          <w:sz w:val="24"/>
          <w:szCs w:val="24"/>
          <w:lang w:eastAsia="fr-FR" w:bidi="ar-AE"/>
        </w:rPr>
        <w:t>cf. p. XXX</w:t>
      </w:r>
      <w:r w:rsidRPr="007C6A42">
        <w:rPr>
          <w:rFonts w:asciiTheme="majorBidi" w:hAnsiTheme="majorBidi" w:cstheme="majorBidi"/>
          <w:sz w:val="24"/>
          <w:szCs w:val="24"/>
          <w:lang w:eastAsia="fr-FR" w:bidi="ar-AE"/>
        </w:rPr>
        <w:t xml:space="preserve">) que les exégètes divergent à propos des significations de </w:t>
      </w:r>
      <w:r w:rsidRPr="007C6A42">
        <w:rPr>
          <w:rFonts w:asciiTheme="majorBidi" w:hAnsiTheme="majorBidi" w:cstheme="majorBidi"/>
          <w:i/>
          <w:iCs/>
          <w:sz w:val="24"/>
          <w:szCs w:val="24"/>
        </w:rPr>
        <w:t>an-nās</w:t>
      </w:r>
      <w:r w:rsidRPr="007C6A42">
        <w:rPr>
          <w:rFonts w:asciiTheme="majorBidi" w:hAnsiTheme="majorBidi" w:cstheme="majorBidi"/>
          <w:sz w:val="24"/>
          <w:szCs w:val="24"/>
        </w:rPr>
        <w:t xml:space="preserve"> et que ce mot peut désigner des groupes de personnes très différents</w:t>
      </w:r>
      <w:r w:rsidRPr="007C6A42">
        <w:rPr>
          <w:rFonts w:asciiTheme="majorBidi" w:hAnsiTheme="majorBidi" w:cstheme="majorBidi"/>
          <w:sz w:val="24"/>
          <w:szCs w:val="24"/>
          <w:lang w:eastAsia="fr-FR" w:bidi="ar-AE"/>
        </w:rPr>
        <w:t>.</w:t>
      </w:r>
    </w:p>
    <w:p w14:paraId="057EA3F2"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lang w:eastAsia="fr-CH"/>
        </w:rPr>
      </w:pPr>
    </w:p>
    <w:p w14:paraId="66643D60"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 destruction des rythmes</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La traduction peut affecter considérablement la rythmique surtout pour un texte dont la psalmodie fait partie intégrante, et notamment quand la traduction modifie énormément la ponctuation. Dans le cas de la traduction du Coran, toutes les traductions ont inventé une ponctuation fondée généralement sur l’exégèse sunnite la plus répandue mais parfois sans prendre en considération les signes de l’arrêt du Coran [</w:t>
      </w:r>
      <w:r w:rsidRPr="007C6A42">
        <w:rPr>
          <w:rFonts w:asciiTheme="majorBidi" w:hAnsiTheme="majorBidi" w:cstheme="majorBidi"/>
          <w:i/>
          <w:iCs/>
          <w:sz w:val="24"/>
          <w:szCs w:val="24"/>
        </w:rPr>
        <w:t>ʿalāmāt al-waqf</w:t>
      </w:r>
      <w:r w:rsidRPr="007C6A42">
        <w:rPr>
          <w:rFonts w:asciiTheme="majorBidi" w:hAnsiTheme="majorBidi" w:cstheme="majorBidi"/>
          <w:sz w:val="24"/>
          <w:szCs w:val="24"/>
        </w:rPr>
        <w:t xml:space="preserve">]. </w:t>
      </w:r>
      <w:r w:rsidRPr="007C6A42">
        <w:rPr>
          <w:rFonts w:asciiTheme="majorBidi" w:eastAsia="SimSun" w:hAnsiTheme="majorBidi" w:cstheme="majorBidi"/>
          <w:sz w:val="24"/>
          <w:szCs w:val="24"/>
          <w:lang w:eastAsia="zh-CN"/>
        </w:rPr>
        <w:t>Le Coran basé sur l’assonance est rythmique comme la poésie, bien que le Coran ait critiqué les poètes (v. XXVI : 224</w:t>
      </w:r>
      <w:r w:rsidRPr="007C6A42">
        <w:rPr>
          <w:rFonts w:asciiTheme="majorBidi" w:eastAsia="SimSun" w:hAnsiTheme="majorBidi" w:cstheme="majorBidi"/>
          <w:i/>
          <w:iCs/>
          <w:sz w:val="24"/>
          <w:szCs w:val="24"/>
          <w:lang w:eastAsia="zh-CN"/>
        </w:rPr>
        <w:t xml:space="preserve"> sq.</w:t>
      </w:r>
      <w:r w:rsidRPr="007C6A42">
        <w:rPr>
          <w:rFonts w:asciiTheme="majorBidi" w:eastAsia="SimSun" w:hAnsiTheme="majorBidi" w:cstheme="majorBidi"/>
          <w:sz w:val="24"/>
          <w:szCs w:val="24"/>
          <w:lang w:eastAsia="zh-CN"/>
        </w:rPr>
        <w:t>). La traduction a perdu cette rythmique. Noha Abdel Méguid a étudié les effets rythmiques et prosodiques des traductions de Berque et de Blachère en montrant la richesse du texte coranique.</w:t>
      </w:r>
      <w:r w:rsidRPr="007C6A42">
        <w:rPr>
          <w:rStyle w:val="Appelnotedebasdep"/>
          <w:rFonts w:asciiTheme="majorBidi" w:eastAsia="SimSun" w:hAnsiTheme="majorBidi" w:cstheme="majorBidi"/>
          <w:sz w:val="24"/>
          <w:szCs w:val="24"/>
          <w:lang w:eastAsia="zh-CN"/>
        </w:rPr>
        <w:footnoteReference w:id="478"/>
      </w:r>
      <w:r w:rsidRPr="007C6A42">
        <w:rPr>
          <w:rFonts w:asciiTheme="majorBidi" w:eastAsia="SimSun" w:hAnsiTheme="majorBidi" w:cstheme="majorBidi"/>
          <w:sz w:val="24"/>
          <w:szCs w:val="24"/>
          <w:lang w:eastAsia="zh-CN"/>
        </w:rPr>
        <w:t xml:space="preserve"> On a vu que le Coran donne une importance à l’assonance. Nous avons comparé dans le chapitre de la polysémie pronominale du texte-source (voir supra p. XXX) entre la clausule du verset XXII, 17 et la clausule du verset XXXIII, 55</w:t>
      </w:r>
      <w:r w:rsidRPr="007C6A42">
        <w:rPr>
          <w:rStyle w:val="Appelnotedebasdep"/>
          <w:rFonts w:asciiTheme="majorBidi" w:eastAsia="SimSun" w:hAnsiTheme="majorBidi" w:cstheme="majorBidi"/>
          <w:sz w:val="24"/>
          <w:szCs w:val="24"/>
          <w:lang w:eastAsia="zh-CN"/>
        </w:rPr>
        <w:footnoteReference w:id="479"/>
      </w:r>
      <w:r w:rsidRPr="007C6A42">
        <w:rPr>
          <w:rFonts w:asciiTheme="majorBidi" w:eastAsia="SimSun" w:hAnsiTheme="majorBidi" w:cstheme="majorBidi"/>
          <w:sz w:val="24"/>
          <w:szCs w:val="24"/>
          <w:lang w:eastAsia="zh-CN"/>
        </w:rPr>
        <w:t xml:space="preserve"> où l’utilisation de </w:t>
      </w:r>
      <w:r w:rsidRPr="007C6A42">
        <w:rPr>
          <w:rFonts w:asciiTheme="majorBidi" w:eastAsia="SimSun" w:hAnsiTheme="majorBidi" w:cstheme="majorBidi"/>
          <w:i/>
          <w:sz w:val="24"/>
          <w:szCs w:val="24"/>
          <w:lang w:eastAsia="zh-CN"/>
        </w:rPr>
        <w:t>inna</w:t>
      </w:r>
      <w:r w:rsidRPr="007C6A42">
        <w:rPr>
          <w:rFonts w:asciiTheme="majorBidi" w:eastAsia="SimSun" w:hAnsiTheme="majorBidi" w:cstheme="majorBidi"/>
          <w:sz w:val="24"/>
          <w:szCs w:val="24"/>
          <w:lang w:eastAsia="zh-CN"/>
        </w:rPr>
        <w:t xml:space="preserve"> dans un cas et de </w:t>
      </w:r>
      <w:r w:rsidRPr="007C6A42">
        <w:rPr>
          <w:rFonts w:asciiTheme="majorBidi" w:eastAsia="SimSun" w:hAnsiTheme="majorBidi" w:cstheme="majorBidi"/>
          <w:i/>
          <w:iCs/>
          <w:sz w:val="24"/>
          <w:szCs w:val="24"/>
          <w:lang w:eastAsia="zh-CN"/>
        </w:rPr>
        <w:t>kāna</w:t>
      </w:r>
      <w:r w:rsidRPr="007C6A42">
        <w:rPr>
          <w:rFonts w:asciiTheme="majorBidi" w:eastAsia="SimSun" w:hAnsiTheme="majorBidi" w:cstheme="majorBidi"/>
          <w:sz w:val="24"/>
          <w:szCs w:val="24"/>
          <w:lang w:eastAsia="zh-CN"/>
        </w:rPr>
        <w:t xml:space="preserve"> dans l’autre, par le changement dans les voyelles casuelles qu’elle entraine, modifie les sonorités. Ce procédé essentiel et fréquent dans le Coran se perd dans la traduction.</w:t>
      </w:r>
    </w:p>
    <w:p w14:paraId="2E936A23"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685B8785"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 destruction des réseaux signifiants sous-jacents</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 Tout œuvre comporte un texte “sous-jacent”, où certains signifiants clefs se répondent et s’enchaînent, forment des réseaux sous la “surface” du texte, […] du texte manifeste, donné à la simple lecture. »</w:t>
      </w:r>
      <w:r w:rsidRPr="007C6A42">
        <w:rPr>
          <w:rStyle w:val="Appelnotedebasdep"/>
          <w:rFonts w:asciiTheme="majorBidi" w:eastAsia="Calibri" w:hAnsiTheme="majorBidi" w:cstheme="majorBidi"/>
          <w:sz w:val="24"/>
          <w:szCs w:val="24"/>
          <w:lang w:bidi="ar-AE"/>
        </w:rPr>
        <w:footnoteReference w:id="480"/>
      </w:r>
    </w:p>
    <w:p w14:paraId="1A6AEC1C"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lastRenderedPageBreak/>
        <w:t>Certaines sourates se distinguent par des mots spécifiques qui ne sont pas utilisés dans d’autres. Dans leur ensemble, ces mots clefs sont porteurs d’un message que la traduction se doit d’exprimer.</w:t>
      </w:r>
    </w:p>
    <w:p w14:paraId="12F0AC24"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Parmi ces mots, certains relèvent du registre de l’intimidation et s’enchaînent entre eux, formant un réseau sous la surface du texte et transmettant un message de </w:t>
      </w:r>
      <w:r w:rsidRPr="007C6A42">
        <w:rPr>
          <w:rFonts w:asciiTheme="majorBidi" w:hAnsiTheme="majorBidi" w:cstheme="majorBidi"/>
          <w:i/>
          <w:iCs/>
          <w:sz w:val="24"/>
          <w:szCs w:val="24"/>
        </w:rPr>
        <w:t>tarhīb</w:t>
      </w:r>
      <w:r w:rsidRPr="007C6A42">
        <w:rPr>
          <w:rFonts w:asciiTheme="majorBidi" w:hAnsiTheme="majorBidi" w:cstheme="majorBidi"/>
          <w:sz w:val="24"/>
          <w:szCs w:val="24"/>
        </w:rPr>
        <w:t xml:space="preserve"> (intimidation) de très haute intensité. Probablement, pour cela, les exégèses sont allés trop loin quand ils ont commenté ces versets. À titre d’exemple, Ath-Thaʿlabī, d’après Abū Hurayra, explique la phrase coranique : « </w:t>
      </w:r>
      <w:r w:rsidRPr="007C6A42">
        <w:rPr>
          <w:rFonts w:asciiTheme="majorBidi" w:hAnsiTheme="majorBidi" w:cstheme="majorBidi"/>
          <w:sz w:val="24"/>
          <w:szCs w:val="24"/>
          <w:rtl/>
        </w:rPr>
        <w:t>يُصَبُّ مِن فَوقِ رُؤوسِهِمُ الحَميمُ</w:t>
      </w:r>
      <w:r w:rsidRPr="007C6A42">
        <w:rPr>
          <w:rFonts w:asciiTheme="majorBidi" w:hAnsiTheme="majorBidi" w:cstheme="majorBidi"/>
          <w:sz w:val="24"/>
          <w:szCs w:val="24"/>
        </w:rPr>
        <w:t> » [</w:t>
      </w:r>
      <w:r w:rsidRPr="007C6A42">
        <w:rPr>
          <w:rFonts w:asciiTheme="majorBidi" w:eastAsia="Calibri" w:hAnsiTheme="majorBidi" w:cstheme="majorBidi"/>
          <w:sz w:val="24"/>
          <w:szCs w:val="24"/>
          <w:lang w:bidi="ar-AE"/>
        </w:rPr>
        <w:t>sur leurs têtes une eau bouillante se déverse</w:t>
      </w:r>
      <w:r w:rsidRPr="007C6A42">
        <w:rPr>
          <w:rFonts w:asciiTheme="majorBidi" w:hAnsiTheme="majorBidi" w:cstheme="majorBidi"/>
          <w:sz w:val="24"/>
          <w:szCs w:val="24"/>
        </w:rPr>
        <w:t>] (v. 19) ainsi :</w:t>
      </w:r>
      <w:r w:rsidRPr="007C6A42">
        <w:rPr>
          <w:rStyle w:val="Appelnotedebasdep"/>
          <w:rFonts w:asciiTheme="majorBidi" w:hAnsiTheme="majorBidi" w:cstheme="majorBidi"/>
          <w:sz w:val="24"/>
          <w:szCs w:val="24"/>
        </w:rPr>
        <w:footnoteReference w:id="481"/>
      </w:r>
    </w:p>
    <w:p w14:paraId="36089CD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0376EEE8" w14:textId="77777777" w:rsidR="00A70B78" w:rsidRPr="007C6A42" w:rsidRDefault="00A70B78" w:rsidP="00A70B78">
      <w:pPr>
        <w:bidi/>
        <w:spacing w:line="360" w:lineRule="auto"/>
        <w:contextualSpacing/>
        <w:jc w:val="center"/>
        <w:rPr>
          <w:rFonts w:asciiTheme="majorBidi" w:hAnsiTheme="majorBidi" w:cstheme="majorBidi"/>
          <w:rtl/>
        </w:rPr>
      </w:pPr>
      <w:r w:rsidRPr="007C6A42">
        <w:rPr>
          <w:rFonts w:asciiTheme="majorBidi" w:hAnsiTheme="majorBidi" w:cstheme="majorBidi"/>
          <w:rtl/>
        </w:rPr>
        <w:t>"إنَّ الحَميمَ لَيُصَبُّ على رؤوسِهم فيَنفُذُ إلى الجُمجُمةِ حتّى يَخلُصَ إلى جوفِه فيَسْلُتُ ما في جوفِه حتّى يبلغَ قدَميهِ وهو الصَّهرُ ثم يُعادُ كما كان."</w:t>
      </w:r>
    </w:p>
    <w:p w14:paraId="04B7F03C" w14:textId="77777777" w:rsidR="00A70B78" w:rsidRPr="007C6A42" w:rsidRDefault="00A70B78" w:rsidP="00A70B78">
      <w:pPr>
        <w:pStyle w:val="Paragraphedeliste"/>
        <w:bidi w:val="0"/>
        <w:spacing w:after="0" w:line="360" w:lineRule="auto"/>
        <w:contextualSpacing/>
        <w:jc w:val="center"/>
        <w:rPr>
          <w:rFonts w:asciiTheme="majorBidi" w:hAnsiTheme="majorBidi" w:cstheme="majorBidi"/>
          <w:sz w:val="24"/>
          <w:szCs w:val="24"/>
        </w:rPr>
      </w:pPr>
      <w:r w:rsidRPr="007C6A42">
        <w:rPr>
          <w:rFonts w:asciiTheme="majorBidi" w:hAnsiTheme="majorBidi" w:cstheme="majorBidi"/>
          <w:sz w:val="24"/>
          <w:szCs w:val="24"/>
        </w:rPr>
        <w:t>[≈ Certes, l’eau bouillante se déversera bel et bien sur leurs têtes [les têtes des adversaires], transpercera le crâne jusqu’à arriver aux entrailles, videra ce qui existe dans ses entrailles [les entrailles de l’adversaire], puis elle atteindra ses pieds ; il s’agit ici de la fonte. Ensuite, on le refera comme il l’était.]</w:t>
      </w:r>
    </w:p>
    <w:p w14:paraId="1F87D8E2" w14:textId="77777777" w:rsidR="00A70B78" w:rsidRPr="007C6A42" w:rsidRDefault="00A70B78" w:rsidP="00A70B78">
      <w:pPr>
        <w:pStyle w:val="Paragraphedeliste"/>
        <w:bidi w:val="0"/>
        <w:spacing w:after="0" w:line="360" w:lineRule="auto"/>
        <w:contextualSpacing/>
        <w:jc w:val="center"/>
        <w:rPr>
          <w:rFonts w:asciiTheme="majorBidi" w:hAnsiTheme="majorBidi" w:cstheme="majorBidi"/>
          <w:sz w:val="24"/>
          <w:szCs w:val="24"/>
        </w:rPr>
      </w:pPr>
    </w:p>
    <w:p w14:paraId="39981A96"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Les mots relevant du registre du </w:t>
      </w:r>
      <w:r w:rsidRPr="007C6A42">
        <w:rPr>
          <w:rFonts w:asciiTheme="majorBidi" w:hAnsiTheme="majorBidi" w:cstheme="majorBidi"/>
          <w:i/>
          <w:iCs/>
          <w:sz w:val="24"/>
          <w:szCs w:val="24"/>
        </w:rPr>
        <w:t>tarhīb</w:t>
      </w:r>
      <w:r w:rsidRPr="007C6A42">
        <w:rPr>
          <w:rFonts w:asciiTheme="majorBidi" w:hAnsiTheme="majorBidi" w:cstheme="majorBidi"/>
          <w:sz w:val="24"/>
          <w:szCs w:val="24"/>
        </w:rPr>
        <w:t xml:space="preserve"> qui ne se trouvent que dans la sourate al-Ḥajj sont : </w:t>
      </w:r>
      <w:r w:rsidRPr="007C6A42">
        <w:rPr>
          <w:rFonts w:asciiTheme="majorBidi" w:hAnsiTheme="majorBidi" w:cstheme="majorBidi"/>
          <w:i/>
          <w:iCs/>
          <w:sz w:val="24"/>
          <w:szCs w:val="24"/>
        </w:rPr>
        <w:t>zalzala</w:t>
      </w:r>
      <w:r w:rsidRPr="007C6A42">
        <w:rPr>
          <w:rFonts w:asciiTheme="majorBidi" w:hAnsiTheme="majorBidi" w:cstheme="majorBidi"/>
          <w:sz w:val="24"/>
          <w:szCs w:val="24"/>
        </w:rPr>
        <w:t xml:space="preserve"> [≈ tremblement] (v. 1) ; </w:t>
      </w:r>
      <w:r w:rsidRPr="007C6A42">
        <w:rPr>
          <w:rFonts w:asciiTheme="majorBidi" w:hAnsiTheme="majorBidi" w:cstheme="majorBidi"/>
          <w:i/>
          <w:iCs/>
          <w:sz w:val="24"/>
          <w:szCs w:val="24"/>
        </w:rPr>
        <w:t>tadhhalu</w:t>
      </w:r>
      <w:r w:rsidRPr="007C6A42">
        <w:rPr>
          <w:rFonts w:asciiTheme="majorBidi" w:hAnsiTheme="majorBidi" w:cstheme="majorBidi"/>
          <w:sz w:val="24"/>
          <w:szCs w:val="24"/>
        </w:rPr>
        <w:t xml:space="preserve"> [≈ oubliera de terreur] (v. 2) ; </w:t>
      </w:r>
      <w:r w:rsidRPr="007C6A42">
        <w:rPr>
          <w:rFonts w:asciiTheme="majorBidi" w:hAnsiTheme="majorBidi" w:cstheme="majorBidi"/>
          <w:i/>
          <w:iCs/>
          <w:sz w:val="24"/>
          <w:szCs w:val="24"/>
        </w:rPr>
        <w:t>murḍiʿa</w:t>
      </w:r>
      <w:r w:rsidRPr="007C6A42">
        <w:rPr>
          <w:rFonts w:asciiTheme="majorBidi" w:hAnsiTheme="majorBidi" w:cstheme="majorBidi"/>
          <w:sz w:val="24"/>
          <w:szCs w:val="24"/>
        </w:rPr>
        <w:t xml:space="preserve"> [≈</w:t>
      </w:r>
      <w:r w:rsidRPr="007C6A42">
        <w:rPr>
          <w:rFonts w:asciiTheme="majorBidi" w:eastAsia="Calibri" w:hAnsiTheme="majorBidi" w:cstheme="majorBidi"/>
          <w:sz w:val="24"/>
          <w:szCs w:val="24"/>
          <w:lang w:bidi="ar-AE"/>
        </w:rPr>
        <w:t xml:space="preserve"> celle qui allaite à ce moment-là</w:t>
      </w:r>
      <w:r w:rsidRPr="007C6A42">
        <w:rPr>
          <w:rFonts w:asciiTheme="majorBidi" w:hAnsiTheme="majorBidi" w:cstheme="majorBidi"/>
          <w:sz w:val="24"/>
          <w:szCs w:val="24"/>
        </w:rPr>
        <w:t>] (avec la marque du féminin qui désigne ici l’action en cours</w:t>
      </w:r>
      <w:r w:rsidRPr="007C6A42">
        <w:rPr>
          <w:rStyle w:val="Appelnotedebasdep"/>
          <w:rFonts w:asciiTheme="majorBidi" w:hAnsiTheme="majorBidi" w:cstheme="majorBidi"/>
          <w:sz w:val="24"/>
          <w:szCs w:val="24"/>
        </w:rPr>
        <w:footnoteReference w:id="482"/>
      </w:r>
      <w:r w:rsidRPr="007C6A42">
        <w:rPr>
          <w:rFonts w:asciiTheme="majorBidi" w:hAnsiTheme="majorBidi" w:cstheme="majorBidi"/>
          <w:sz w:val="24"/>
          <w:szCs w:val="24"/>
        </w:rPr>
        <w:t xml:space="preserve">) (v. 2) ; </w:t>
      </w:r>
      <w:r w:rsidRPr="007C6A42">
        <w:rPr>
          <w:rFonts w:asciiTheme="majorBidi" w:hAnsiTheme="majorBidi" w:cstheme="majorBidi"/>
          <w:i/>
          <w:iCs/>
          <w:sz w:val="24"/>
          <w:szCs w:val="24"/>
        </w:rPr>
        <w:t>dhāt ḥaml</w:t>
      </w:r>
      <w:r w:rsidRPr="007C6A42">
        <w:rPr>
          <w:rFonts w:asciiTheme="majorBidi" w:hAnsiTheme="majorBidi" w:cstheme="majorBidi"/>
          <w:sz w:val="24"/>
          <w:szCs w:val="24"/>
        </w:rPr>
        <w:t xml:space="preserve"> [≈ chacune en état de grossesse/celle qui porte quelque chose] </w:t>
      </w:r>
      <w:r w:rsidRPr="007C6A42">
        <w:rPr>
          <w:rFonts w:asciiTheme="majorBidi" w:hAnsiTheme="majorBidi" w:cstheme="majorBidi"/>
          <w:i/>
          <w:iCs/>
          <w:sz w:val="24"/>
          <w:szCs w:val="24"/>
        </w:rPr>
        <w:t>yuhin</w:t>
      </w:r>
      <w:r w:rsidRPr="007C6A42">
        <w:rPr>
          <w:rFonts w:asciiTheme="majorBidi" w:hAnsiTheme="majorBidi" w:cstheme="majorBidi"/>
          <w:sz w:val="24"/>
          <w:szCs w:val="24"/>
        </w:rPr>
        <w:t xml:space="preserve"> [≈ il humilie] (v. 18) ; </w:t>
      </w:r>
      <w:r w:rsidRPr="007C6A42">
        <w:rPr>
          <w:rFonts w:asciiTheme="majorBidi" w:hAnsiTheme="majorBidi" w:cstheme="majorBidi"/>
          <w:i/>
          <w:iCs/>
          <w:sz w:val="24"/>
          <w:szCs w:val="24"/>
        </w:rPr>
        <w:t>mukrim</w:t>
      </w:r>
      <w:r w:rsidRPr="007C6A42">
        <w:rPr>
          <w:rFonts w:asciiTheme="majorBidi" w:hAnsiTheme="majorBidi" w:cstheme="majorBidi"/>
          <w:sz w:val="24"/>
          <w:szCs w:val="24"/>
        </w:rPr>
        <w:t xml:space="preserve"> [≈ celui qui honore] (v. 18) ; </w:t>
      </w:r>
      <w:r w:rsidRPr="007C6A42">
        <w:rPr>
          <w:rFonts w:asciiTheme="majorBidi" w:hAnsiTheme="majorBidi" w:cstheme="majorBidi"/>
          <w:i/>
          <w:iCs/>
          <w:sz w:val="24"/>
          <w:szCs w:val="24"/>
        </w:rPr>
        <w:t>yuṣharu</w:t>
      </w:r>
      <w:r w:rsidRPr="007C6A42">
        <w:rPr>
          <w:rFonts w:asciiTheme="majorBidi" w:hAnsiTheme="majorBidi" w:cstheme="majorBidi"/>
          <w:sz w:val="24"/>
          <w:szCs w:val="24"/>
        </w:rPr>
        <w:t xml:space="preserve"> [≈ il sera fondu] (v. 20) ; </w:t>
      </w:r>
      <w:r w:rsidRPr="007C6A42">
        <w:rPr>
          <w:rFonts w:asciiTheme="majorBidi" w:hAnsiTheme="majorBidi" w:cstheme="majorBidi"/>
          <w:i/>
          <w:iCs/>
          <w:sz w:val="24"/>
          <w:szCs w:val="24"/>
        </w:rPr>
        <w:t>maqāmiʿ</w:t>
      </w:r>
      <w:r w:rsidRPr="007C6A42">
        <w:rPr>
          <w:rFonts w:asciiTheme="majorBidi" w:hAnsiTheme="majorBidi" w:cstheme="majorBidi"/>
          <w:sz w:val="24"/>
          <w:szCs w:val="24"/>
        </w:rPr>
        <w:t xml:space="preserve"> [≈ massues] (v. 21) ; </w:t>
      </w:r>
      <w:r w:rsidRPr="007C6A42">
        <w:rPr>
          <w:rFonts w:asciiTheme="majorBidi" w:hAnsiTheme="majorBidi" w:cstheme="majorBidi"/>
          <w:i/>
          <w:iCs/>
          <w:sz w:val="24"/>
          <w:szCs w:val="24"/>
        </w:rPr>
        <w:t>ghamm</w:t>
      </w:r>
      <w:r w:rsidRPr="007C6A42">
        <w:rPr>
          <w:rFonts w:asciiTheme="majorBidi" w:hAnsiTheme="majorBidi" w:cstheme="majorBidi"/>
          <w:sz w:val="24"/>
          <w:szCs w:val="24"/>
        </w:rPr>
        <w:t xml:space="preserve"> [≈ chagrin] (v ; 22) ; </w:t>
      </w:r>
      <w:r w:rsidRPr="007C6A42">
        <w:rPr>
          <w:rFonts w:asciiTheme="majorBidi" w:hAnsiTheme="majorBidi" w:cstheme="majorBidi"/>
          <w:i/>
          <w:iCs/>
          <w:sz w:val="24"/>
          <w:szCs w:val="24"/>
        </w:rPr>
        <w:t>al-bāʾis</w:t>
      </w:r>
      <w:r w:rsidRPr="007C6A42">
        <w:rPr>
          <w:rFonts w:asciiTheme="majorBidi" w:hAnsiTheme="majorBidi" w:cstheme="majorBidi"/>
          <w:sz w:val="24"/>
          <w:szCs w:val="24"/>
        </w:rPr>
        <w:t xml:space="preserve"> [≈ le malheureux] (28) ; </w:t>
      </w:r>
      <w:r w:rsidRPr="007C6A42">
        <w:rPr>
          <w:rFonts w:asciiTheme="majorBidi" w:hAnsiTheme="majorBidi" w:cstheme="majorBidi"/>
          <w:i/>
          <w:iCs/>
          <w:sz w:val="24"/>
          <w:szCs w:val="24"/>
        </w:rPr>
        <w:t>saḥīq</w:t>
      </w:r>
      <w:r w:rsidRPr="007C6A42">
        <w:rPr>
          <w:rFonts w:asciiTheme="majorBidi" w:hAnsiTheme="majorBidi" w:cstheme="majorBidi"/>
          <w:sz w:val="24"/>
          <w:szCs w:val="24"/>
        </w:rPr>
        <w:t xml:space="preserve"> [≈ profond] (v. 31). Ces termes symbolisent l’une des dimensions essentielles de la sourate al-Ḥajj, voire du message coranique.</w:t>
      </w:r>
    </w:p>
    <w:p w14:paraId="1B40C715"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lastRenderedPageBreak/>
        <w:t xml:space="preserve">Ces mots sont interdépendants dans la sourate. Le verbe </w:t>
      </w:r>
      <w:r w:rsidRPr="007C6A42">
        <w:rPr>
          <w:rFonts w:asciiTheme="majorBidi" w:hAnsiTheme="majorBidi" w:cstheme="majorBidi"/>
          <w:i/>
          <w:iCs/>
          <w:sz w:val="24"/>
          <w:szCs w:val="24"/>
        </w:rPr>
        <w:t>tadhhalu</w:t>
      </w:r>
      <w:r w:rsidRPr="007C6A42">
        <w:rPr>
          <w:rFonts w:asciiTheme="majorBidi" w:hAnsiTheme="majorBidi" w:cstheme="majorBidi"/>
          <w:sz w:val="24"/>
          <w:szCs w:val="24"/>
        </w:rPr>
        <w:t xml:space="preserve"> est renforcé par le participe actif au féminin </w:t>
      </w:r>
      <w:r w:rsidRPr="007C6A42">
        <w:rPr>
          <w:rFonts w:asciiTheme="majorBidi" w:hAnsiTheme="majorBidi" w:cstheme="majorBidi"/>
          <w:i/>
          <w:iCs/>
          <w:sz w:val="24"/>
          <w:szCs w:val="24"/>
        </w:rPr>
        <w:t>murḍiʿa</w:t>
      </w:r>
      <w:r w:rsidRPr="007C6A42">
        <w:rPr>
          <w:rFonts w:asciiTheme="majorBidi" w:hAnsiTheme="majorBidi" w:cstheme="majorBidi"/>
          <w:sz w:val="24"/>
          <w:szCs w:val="24"/>
        </w:rPr>
        <w:t xml:space="preserve"> et le syntagme adjectival </w:t>
      </w:r>
      <w:r w:rsidRPr="007C6A42">
        <w:rPr>
          <w:rFonts w:asciiTheme="majorBidi" w:hAnsiTheme="majorBidi" w:cstheme="majorBidi"/>
          <w:i/>
          <w:iCs/>
          <w:sz w:val="24"/>
          <w:szCs w:val="24"/>
        </w:rPr>
        <w:t>dhāt ḥaml</w:t>
      </w:r>
      <w:r w:rsidRPr="007C6A42">
        <w:rPr>
          <w:rFonts w:asciiTheme="majorBidi" w:hAnsiTheme="majorBidi" w:cstheme="majorBidi"/>
          <w:sz w:val="24"/>
          <w:szCs w:val="24"/>
        </w:rPr>
        <w:t xml:space="preserve">. L’ajout du syntagme prépositionnel </w:t>
      </w:r>
      <w:r w:rsidRPr="007C6A42">
        <w:rPr>
          <w:rFonts w:asciiTheme="majorBidi" w:hAnsiTheme="majorBidi" w:cstheme="majorBidi"/>
          <w:i/>
          <w:iCs/>
          <w:sz w:val="24"/>
          <w:szCs w:val="24"/>
        </w:rPr>
        <w:t>min ghamm</w:t>
      </w:r>
      <w:r w:rsidRPr="007C6A42">
        <w:rPr>
          <w:rFonts w:asciiTheme="majorBidi" w:hAnsiTheme="majorBidi" w:cstheme="majorBidi"/>
          <w:sz w:val="24"/>
          <w:szCs w:val="24"/>
        </w:rPr>
        <w:t xml:space="preserve"> [≈ à cause du chagrin] qui n’est d’ailleurs pas nécessaire pour le verset 22 vient renforcer le message intimidant général de la sourate. Si quelqu’un parmi les musulmans songe à critiquer l’autorité, cette dernière va l’humilier (« </w:t>
      </w:r>
      <w:r w:rsidRPr="007C6A42">
        <w:rPr>
          <w:rFonts w:asciiTheme="majorBidi" w:hAnsiTheme="majorBidi" w:cstheme="majorBidi"/>
          <w:i/>
          <w:iCs/>
          <w:sz w:val="24"/>
          <w:szCs w:val="24"/>
        </w:rPr>
        <w:t>yuhin Allāh</w:t>
      </w:r>
      <w:r w:rsidRPr="007C6A42">
        <w:rPr>
          <w:rFonts w:asciiTheme="majorBidi" w:hAnsiTheme="majorBidi" w:cstheme="majorBidi"/>
          <w:sz w:val="24"/>
          <w:szCs w:val="24"/>
        </w:rPr>
        <w:t xml:space="preserve"> ») et il ne trouvera aucun </w:t>
      </w:r>
      <w:r w:rsidRPr="007C6A42">
        <w:rPr>
          <w:rFonts w:asciiTheme="majorBidi" w:hAnsiTheme="majorBidi" w:cstheme="majorBidi"/>
          <w:i/>
          <w:iCs/>
          <w:sz w:val="24"/>
          <w:szCs w:val="24"/>
        </w:rPr>
        <w:t>mukrim</w:t>
      </w:r>
      <w:r w:rsidRPr="007C6A42">
        <w:rPr>
          <w:rFonts w:asciiTheme="majorBidi" w:hAnsiTheme="majorBidi" w:cstheme="majorBidi"/>
          <w:sz w:val="24"/>
          <w:szCs w:val="24"/>
        </w:rPr>
        <w:t xml:space="preserve"> ; il y a même des </w:t>
      </w:r>
      <w:r w:rsidRPr="007C6A42">
        <w:rPr>
          <w:rFonts w:asciiTheme="majorBidi" w:hAnsiTheme="majorBidi" w:cstheme="majorBidi"/>
          <w:i/>
          <w:iCs/>
          <w:sz w:val="24"/>
          <w:szCs w:val="24"/>
        </w:rPr>
        <w:t>maqāmiʿ</w:t>
      </w:r>
      <w:r w:rsidRPr="007C6A42">
        <w:rPr>
          <w:rFonts w:asciiTheme="majorBidi" w:hAnsiTheme="majorBidi" w:cstheme="majorBidi"/>
          <w:sz w:val="24"/>
          <w:szCs w:val="24"/>
        </w:rPr>
        <w:t xml:space="preserve">, un endroit </w:t>
      </w:r>
      <w:r w:rsidRPr="007C6A42">
        <w:rPr>
          <w:rFonts w:asciiTheme="majorBidi" w:hAnsiTheme="majorBidi" w:cstheme="majorBidi"/>
          <w:i/>
          <w:iCs/>
          <w:sz w:val="24"/>
          <w:szCs w:val="24"/>
        </w:rPr>
        <w:t>saḥīq</w:t>
      </w:r>
      <w:r w:rsidRPr="007C6A42">
        <w:rPr>
          <w:rFonts w:asciiTheme="majorBidi" w:hAnsiTheme="majorBidi" w:cstheme="majorBidi"/>
          <w:sz w:val="24"/>
          <w:szCs w:val="24"/>
        </w:rPr>
        <w:t xml:space="preserve">, au moins il vit dans un état </w:t>
      </w:r>
      <w:r w:rsidRPr="007C6A42">
        <w:rPr>
          <w:rFonts w:asciiTheme="majorBidi" w:hAnsiTheme="majorBidi" w:cstheme="majorBidi"/>
          <w:i/>
          <w:iCs/>
          <w:sz w:val="24"/>
          <w:szCs w:val="24"/>
        </w:rPr>
        <w:t>bāʾis</w:t>
      </w:r>
      <w:r w:rsidRPr="007C6A42">
        <w:rPr>
          <w:rFonts w:asciiTheme="majorBidi" w:hAnsiTheme="majorBidi" w:cstheme="majorBidi"/>
          <w:sz w:val="24"/>
          <w:szCs w:val="24"/>
        </w:rPr>
        <w:t>. Et ainsi de suite. Ces mots de menace par le tourment et l’humiliation résonnent dans l’inconscient du lecteur du Coran.</w:t>
      </w:r>
    </w:p>
    <w:p w14:paraId="1F223B43"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lang w:eastAsia="fr-CH"/>
        </w:rPr>
      </w:pPr>
      <w:r w:rsidRPr="007C6A42">
        <w:rPr>
          <w:rFonts w:asciiTheme="majorBidi" w:hAnsiTheme="majorBidi" w:cstheme="majorBidi"/>
          <w:sz w:val="24"/>
          <w:szCs w:val="24"/>
        </w:rPr>
        <w:t xml:space="preserve">De ce fait, toute traduction qui ne montre pas ce degré élevé d’intimidation et qui, par exemple, ne montre pas le sens de la terreur en omettant de traduire le verbe </w:t>
      </w:r>
      <w:r w:rsidRPr="007C6A42">
        <w:rPr>
          <w:rFonts w:asciiTheme="majorBidi" w:hAnsiTheme="majorBidi" w:cstheme="majorBidi"/>
          <w:i/>
          <w:iCs/>
          <w:sz w:val="24"/>
          <w:szCs w:val="24"/>
        </w:rPr>
        <w:t>tadhhalu</w:t>
      </w:r>
      <w:r w:rsidRPr="007C6A42">
        <w:rPr>
          <w:rFonts w:asciiTheme="majorBidi" w:hAnsiTheme="majorBidi" w:cstheme="majorBidi"/>
          <w:sz w:val="24"/>
          <w:szCs w:val="24"/>
        </w:rPr>
        <w:t xml:space="preserve"> du v. 2 détruit l’un des réseaux signifiants sous-jacents. C’est le cas, entre autres, des traductions de Du Ryer (« vous verrez ce jour les mères oublier leurs enfants »), Berque (« </w:t>
      </w:r>
      <w:r w:rsidRPr="007C6A42">
        <w:rPr>
          <w:rFonts w:asciiTheme="majorBidi" w:eastAsia="Calibri" w:hAnsiTheme="majorBidi" w:cstheme="majorBidi"/>
          <w:sz w:val="24"/>
          <w:szCs w:val="24"/>
          <w:lang w:bidi="ar-AE"/>
        </w:rPr>
        <w:t>toute allaitante en oubliera son allaité »), Savary (« la mère abandonnera son fils à la mamelle »), Blachère (« vous verrez chaque nourrice délaisse ce qu’elle allaite ») et Abdelaziz (« </w:t>
      </w:r>
      <w:r w:rsidRPr="007C6A42">
        <w:rPr>
          <w:rFonts w:asciiTheme="majorBidi" w:hAnsiTheme="majorBidi" w:cstheme="majorBidi"/>
          <w:sz w:val="24"/>
          <w:szCs w:val="24"/>
          <w:lang w:eastAsia="fr-CH"/>
        </w:rPr>
        <w:t>chaque nourrice oubliera ce qu’elle a allaité »).</w:t>
      </w:r>
    </w:p>
    <w:p w14:paraId="7F482984"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lang w:eastAsia="fr-CH"/>
        </w:rPr>
      </w:pPr>
    </w:p>
    <w:p w14:paraId="0E6DA54B"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 destruction des systématismes textuels</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L’emploi des temps est l’un de ces systématismes ; le recours à tel ou tel type de subordonné aussi. La rationalisation, la clarification et l’allongement introduisent des éléments qui détruisent le système du texte-source. « L’analyse d’un original et de sa traduction montrerait que l’écriture-de-la-traduction est </w:t>
      </w:r>
      <w:r w:rsidRPr="007C6A42">
        <w:rPr>
          <w:rFonts w:asciiTheme="majorBidi" w:hAnsiTheme="majorBidi" w:cstheme="majorBidi"/>
          <w:i/>
          <w:iCs/>
          <w:sz w:val="24"/>
          <w:szCs w:val="24"/>
        </w:rPr>
        <w:t>a-systématique</w:t>
      </w:r>
      <w:r w:rsidRPr="007C6A42">
        <w:rPr>
          <w:rFonts w:asciiTheme="majorBidi" w:hAnsiTheme="majorBidi" w:cstheme="majorBidi"/>
          <w:sz w:val="24"/>
          <w:szCs w:val="24"/>
        </w:rPr>
        <w:t>, comme celle de ces néophytes dont les lecteurs des maisons d’édition rejettent les textes dès la première page. »</w:t>
      </w:r>
      <w:r w:rsidRPr="007C6A42">
        <w:rPr>
          <w:rStyle w:val="Appelnotedebasdep"/>
          <w:rFonts w:asciiTheme="majorBidi" w:eastAsia="Calibri" w:hAnsiTheme="majorBidi" w:cstheme="majorBidi"/>
          <w:sz w:val="24"/>
          <w:szCs w:val="24"/>
          <w:lang w:bidi="ar-AE"/>
        </w:rPr>
        <w:footnoteReference w:id="483"/>
      </w:r>
      <w:r w:rsidRPr="007C6A42">
        <w:rPr>
          <w:rFonts w:asciiTheme="majorBidi" w:hAnsiTheme="majorBidi" w:cstheme="majorBidi"/>
          <w:sz w:val="24"/>
          <w:szCs w:val="24"/>
        </w:rPr>
        <w:t xml:space="preserve"> Le texte de la traduction n’est donc pas un vrai texte et il n’en a pas les marques, selon A. Berman.</w:t>
      </w:r>
    </w:p>
    <w:p w14:paraId="1F6AD6E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En guise d’exemples, dans le verset 15, Chebel modifie le temps, la valeur temporelle et le mode des verbes, et Abdelaziz traduit le groupe verbal</w:t>
      </w:r>
      <w:r w:rsidRPr="007C6A42">
        <w:rPr>
          <w:rFonts w:asciiTheme="majorBidi" w:hAnsiTheme="majorBidi" w:cstheme="majorBidi"/>
          <w:sz w:val="24"/>
          <w:szCs w:val="24"/>
          <w:lang w:eastAsia="fr-FR" w:bidi="ar-AE"/>
        </w:rPr>
        <w:t xml:space="preserve"> </w:t>
      </w:r>
      <w:r w:rsidRPr="007C6A42">
        <w:rPr>
          <w:rFonts w:asciiTheme="majorBidi" w:hAnsiTheme="majorBidi" w:cstheme="majorBidi"/>
          <w:i/>
          <w:iCs/>
          <w:sz w:val="24"/>
          <w:szCs w:val="24"/>
          <w:lang w:eastAsia="fr-FR" w:bidi="ar-AE"/>
        </w:rPr>
        <w:t>kāna yaẓunnu</w:t>
      </w:r>
      <w:r w:rsidRPr="007C6A42">
        <w:rPr>
          <w:rFonts w:asciiTheme="majorBidi" w:hAnsiTheme="majorBidi" w:cstheme="majorBidi"/>
          <w:sz w:val="24"/>
          <w:szCs w:val="24"/>
          <w:lang w:eastAsia="fr-FR" w:bidi="ar-AE"/>
        </w:rPr>
        <w:t xml:space="preserve"> par un imparfait, alors qu’il exprime seulement l’antériorité par rapport aux verbes qui suivent :</w:t>
      </w:r>
    </w:p>
    <w:tbl>
      <w:tblPr>
        <w:tblStyle w:val="Grilledutableau"/>
        <w:tblW w:w="0" w:type="auto"/>
        <w:tblInd w:w="720" w:type="dxa"/>
        <w:tblLook w:val="04A0" w:firstRow="1" w:lastRow="0" w:firstColumn="1" w:lastColumn="0" w:noHBand="0" w:noVBand="1"/>
      </w:tblPr>
      <w:tblGrid>
        <w:gridCol w:w="8856"/>
      </w:tblGrid>
      <w:tr w:rsidR="00A70B78" w:rsidRPr="007C6A42" w14:paraId="67D0CBDF" w14:textId="77777777" w:rsidTr="00AF4FC9">
        <w:tc>
          <w:tcPr>
            <w:tcW w:w="9500" w:type="dxa"/>
          </w:tcPr>
          <w:p w14:paraId="60C45A80" w14:textId="77777777" w:rsidR="00A70B78" w:rsidRPr="007C6A42" w:rsidRDefault="00A70B78" w:rsidP="00AF4FC9">
            <w:pPr>
              <w:pStyle w:val="Paragraphedeliste"/>
              <w:spacing w:line="360" w:lineRule="auto"/>
              <w:ind w:left="0"/>
              <w:contextualSpacing/>
              <w:jc w:val="both"/>
              <w:rPr>
                <w:rFonts w:asciiTheme="majorBidi" w:hAnsiTheme="majorBidi" w:cstheme="majorBidi"/>
                <w:sz w:val="24"/>
                <w:szCs w:val="24"/>
              </w:rPr>
            </w:pPr>
            <w:r w:rsidRPr="007C6A42">
              <w:rPr>
                <w:rFonts w:asciiTheme="majorBidi" w:hAnsiTheme="majorBidi" w:cstheme="majorBidi"/>
                <w:sz w:val="24"/>
                <w:szCs w:val="24"/>
                <w:rtl/>
                <w:lang w:eastAsia="fr-FR" w:bidi="ar-AE"/>
              </w:rPr>
              <w:t xml:space="preserve">مَن </w:t>
            </w:r>
            <w:r w:rsidRPr="007C6A42">
              <w:rPr>
                <w:rFonts w:asciiTheme="majorBidi" w:hAnsiTheme="majorBidi" w:cstheme="majorBidi"/>
                <w:sz w:val="24"/>
                <w:szCs w:val="24"/>
                <w:u w:val="single"/>
                <w:rtl/>
                <w:lang w:eastAsia="fr-FR" w:bidi="ar-AE"/>
              </w:rPr>
              <w:t>كانَ يظُنُّ</w:t>
            </w:r>
            <w:r w:rsidRPr="007C6A42">
              <w:rPr>
                <w:rFonts w:asciiTheme="majorBidi" w:hAnsiTheme="majorBidi" w:cstheme="majorBidi"/>
                <w:sz w:val="24"/>
                <w:szCs w:val="24"/>
                <w:rtl/>
                <w:lang w:eastAsia="fr-FR" w:bidi="ar-AE"/>
              </w:rPr>
              <w:t xml:space="preserve"> أنْ لن ينصرَهُ اللهُ [...] </w:t>
            </w:r>
            <w:r w:rsidRPr="007C6A42">
              <w:rPr>
                <w:rFonts w:asciiTheme="majorBidi" w:hAnsiTheme="majorBidi" w:cstheme="majorBidi"/>
                <w:sz w:val="24"/>
                <w:szCs w:val="24"/>
                <w:u w:val="single"/>
                <w:rtl/>
                <w:lang w:eastAsia="fr-FR" w:bidi="ar-AE"/>
              </w:rPr>
              <w:t xml:space="preserve">فلْيَمْدُدْ </w:t>
            </w:r>
            <w:r w:rsidRPr="007C6A42">
              <w:rPr>
                <w:rFonts w:asciiTheme="majorBidi" w:hAnsiTheme="majorBidi" w:cstheme="majorBidi"/>
                <w:sz w:val="24"/>
                <w:szCs w:val="24"/>
                <w:rtl/>
                <w:lang w:eastAsia="fr-FR" w:bidi="ar-AE"/>
              </w:rPr>
              <w:t xml:space="preserve">بسببٍ إلى السماء ثم </w:t>
            </w:r>
            <w:r w:rsidRPr="007C6A42">
              <w:rPr>
                <w:rFonts w:asciiTheme="majorBidi" w:hAnsiTheme="majorBidi" w:cstheme="majorBidi"/>
                <w:sz w:val="24"/>
                <w:szCs w:val="24"/>
                <w:u w:val="single"/>
                <w:rtl/>
                <w:lang w:eastAsia="fr-FR" w:bidi="ar-AE"/>
              </w:rPr>
              <w:t>ليقطَعْ</w:t>
            </w:r>
            <w:r w:rsidRPr="007C6A42">
              <w:rPr>
                <w:rFonts w:asciiTheme="majorBidi" w:hAnsiTheme="majorBidi" w:cstheme="majorBidi"/>
                <w:sz w:val="24"/>
                <w:szCs w:val="24"/>
                <w:rtl/>
                <w:lang w:eastAsia="fr-FR" w:bidi="ar-AE"/>
              </w:rPr>
              <w:t xml:space="preserve"> </w:t>
            </w:r>
            <w:r w:rsidRPr="007C6A42">
              <w:rPr>
                <w:rFonts w:asciiTheme="majorBidi" w:hAnsiTheme="majorBidi" w:cstheme="majorBidi"/>
                <w:sz w:val="24"/>
                <w:szCs w:val="24"/>
                <w:u w:val="single"/>
                <w:rtl/>
                <w:lang w:eastAsia="fr-FR" w:bidi="ar-AE"/>
              </w:rPr>
              <w:t>فلْينظُرْ</w:t>
            </w:r>
            <w:r w:rsidRPr="007C6A42">
              <w:rPr>
                <w:rFonts w:asciiTheme="majorBidi" w:hAnsiTheme="majorBidi" w:cstheme="majorBidi"/>
                <w:sz w:val="24"/>
                <w:szCs w:val="24"/>
                <w:rtl/>
                <w:lang w:eastAsia="fr-FR" w:bidi="ar-AE"/>
              </w:rPr>
              <w:t xml:space="preserve"> [...]</w:t>
            </w:r>
          </w:p>
        </w:tc>
      </w:tr>
      <w:tr w:rsidR="00A70B78" w:rsidRPr="007C6A42" w14:paraId="788EE098" w14:textId="77777777" w:rsidTr="00AF4FC9">
        <w:tc>
          <w:tcPr>
            <w:tcW w:w="9500" w:type="dxa"/>
          </w:tcPr>
          <w:p w14:paraId="502A0F04" w14:textId="77777777" w:rsidR="00A70B78" w:rsidRPr="007C6A42" w:rsidRDefault="00A70B78" w:rsidP="00AF4FC9">
            <w:pPr>
              <w:pStyle w:val="Paragraphedeliste"/>
              <w:bidi w:val="0"/>
              <w:spacing w:line="360" w:lineRule="auto"/>
              <w:ind w:left="0"/>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Celui qui </w:t>
            </w:r>
            <w:r w:rsidRPr="007C6A42">
              <w:rPr>
                <w:rFonts w:asciiTheme="majorBidi" w:hAnsiTheme="majorBidi" w:cstheme="majorBidi"/>
                <w:sz w:val="24"/>
                <w:szCs w:val="24"/>
                <w:u w:val="single"/>
              </w:rPr>
              <w:t xml:space="preserve">a pensé </w:t>
            </w:r>
            <w:r w:rsidRPr="007C6A42">
              <w:rPr>
                <w:rFonts w:asciiTheme="majorBidi" w:hAnsiTheme="majorBidi" w:cstheme="majorBidi"/>
                <w:sz w:val="24"/>
                <w:szCs w:val="24"/>
              </w:rPr>
              <w:t xml:space="preserve">qu’Allah ne le sauvera […] </w:t>
            </w:r>
            <w:r w:rsidRPr="007C6A42">
              <w:rPr>
                <w:rFonts w:asciiTheme="majorBidi" w:hAnsiTheme="majorBidi" w:cstheme="majorBidi"/>
                <w:sz w:val="24"/>
                <w:szCs w:val="24"/>
                <w:u w:val="single"/>
              </w:rPr>
              <w:t>peut</w:t>
            </w:r>
            <w:r w:rsidRPr="007C6A42">
              <w:rPr>
                <w:rFonts w:asciiTheme="majorBidi" w:hAnsiTheme="majorBidi" w:cstheme="majorBidi"/>
                <w:sz w:val="24"/>
                <w:szCs w:val="24"/>
              </w:rPr>
              <w:t xml:space="preserve"> toujours </w:t>
            </w:r>
            <w:r w:rsidRPr="007C6A42">
              <w:rPr>
                <w:rFonts w:asciiTheme="majorBidi" w:hAnsiTheme="majorBidi" w:cstheme="majorBidi"/>
                <w:sz w:val="24"/>
                <w:szCs w:val="24"/>
                <w:u w:val="single"/>
              </w:rPr>
              <w:t>tendre</w:t>
            </w:r>
            <w:r w:rsidRPr="007C6A42">
              <w:rPr>
                <w:rFonts w:asciiTheme="majorBidi" w:hAnsiTheme="majorBidi" w:cstheme="majorBidi"/>
                <w:sz w:val="24"/>
                <w:szCs w:val="24"/>
              </w:rPr>
              <w:t xml:space="preserve"> une corde vers le ciel, </w:t>
            </w:r>
            <w:r w:rsidRPr="007C6A42">
              <w:rPr>
                <w:rFonts w:asciiTheme="majorBidi" w:hAnsiTheme="majorBidi" w:cstheme="majorBidi"/>
                <w:sz w:val="24"/>
                <w:szCs w:val="24"/>
              </w:rPr>
              <w:lastRenderedPageBreak/>
              <w:t xml:space="preserve">puis </w:t>
            </w:r>
            <w:r w:rsidRPr="007C6A42">
              <w:rPr>
                <w:rFonts w:asciiTheme="majorBidi" w:hAnsiTheme="majorBidi" w:cstheme="majorBidi"/>
                <w:sz w:val="24"/>
                <w:szCs w:val="24"/>
                <w:u w:val="single"/>
              </w:rPr>
              <w:t>la couper</w:t>
            </w:r>
            <w:r w:rsidRPr="007C6A42">
              <w:rPr>
                <w:rFonts w:asciiTheme="majorBidi" w:hAnsiTheme="majorBidi" w:cstheme="majorBidi"/>
                <w:sz w:val="24"/>
                <w:szCs w:val="24"/>
              </w:rPr>
              <w:t xml:space="preserve">, </w:t>
            </w:r>
            <w:r w:rsidRPr="007C6A42">
              <w:rPr>
                <w:rFonts w:asciiTheme="majorBidi" w:hAnsiTheme="majorBidi" w:cstheme="majorBidi"/>
                <w:sz w:val="24"/>
                <w:szCs w:val="24"/>
                <w:u w:val="single"/>
              </w:rPr>
              <w:t>il constatera</w:t>
            </w:r>
            <w:r w:rsidRPr="007C6A42">
              <w:rPr>
                <w:rFonts w:asciiTheme="majorBidi" w:hAnsiTheme="majorBidi" w:cstheme="majorBidi"/>
                <w:sz w:val="24"/>
                <w:szCs w:val="24"/>
              </w:rPr>
              <w:t xml:space="preserve"> […] (Chebel)</w:t>
            </w:r>
          </w:p>
        </w:tc>
      </w:tr>
      <w:tr w:rsidR="00A70B78" w:rsidRPr="007C6A42" w14:paraId="0A1A4D39" w14:textId="77777777" w:rsidTr="00AF4FC9">
        <w:tc>
          <w:tcPr>
            <w:tcW w:w="9500" w:type="dxa"/>
          </w:tcPr>
          <w:p w14:paraId="1C4B26C0" w14:textId="77777777" w:rsidR="00A70B78" w:rsidRPr="007C6A42" w:rsidRDefault="00A70B78" w:rsidP="00AF4FC9">
            <w:pPr>
              <w:pStyle w:val="Paragraphedeliste"/>
              <w:bidi w:val="0"/>
              <w:spacing w:line="360" w:lineRule="auto"/>
              <w:ind w:left="0"/>
              <w:contextualSpacing/>
              <w:jc w:val="both"/>
              <w:rPr>
                <w:rFonts w:asciiTheme="majorBidi" w:hAnsiTheme="majorBidi" w:cstheme="majorBidi"/>
                <w:sz w:val="24"/>
                <w:szCs w:val="24"/>
              </w:rPr>
            </w:pPr>
            <w:r w:rsidRPr="007C6A42">
              <w:rPr>
                <w:rFonts w:asciiTheme="majorBidi" w:hAnsiTheme="majorBidi" w:cstheme="majorBidi"/>
                <w:sz w:val="24"/>
                <w:szCs w:val="24"/>
              </w:rPr>
              <w:lastRenderedPageBreak/>
              <w:t xml:space="preserve">Quiconque </w:t>
            </w:r>
            <w:r w:rsidRPr="007C6A42">
              <w:rPr>
                <w:rFonts w:asciiTheme="majorBidi" w:hAnsiTheme="majorBidi" w:cstheme="majorBidi"/>
                <w:sz w:val="24"/>
                <w:szCs w:val="24"/>
                <w:u w:val="single"/>
              </w:rPr>
              <w:t>croyait</w:t>
            </w:r>
            <w:r w:rsidRPr="007C6A42">
              <w:rPr>
                <w:rFonts w:asciiTheme="majorBidi" w:hAnsiTheme="majorBidi" w:cstheme="majorBidi"/>
                <w:sz w:val="24"/>
                <w:szCs w:val="24"/>
              </w:rPr>
              <w:t xml:space="preserve"> qu’Allah ne lui Donnerait pas victoire (au Prophète), […], qu’il tende alors une corde vers le toit, ensuite qu’il se pende : qu’il regarde […] (Abdelaziz)</w:t>
            </w:r>
          </w:p>
        </w:tc>
      </w:tr>
    </w:tbl>
    <w:p w14:paraId="2E114366"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675362AA"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Kazimirski a également changé le temps des verbes du verset 4 :</w:t>
      </w:r>
    </w:p>
    <w:tbl>
      <w:tblPr>
        <w:tblStyle w:val="Grilledutableau"/>
        <w:tblW w:w="0" w:type="auto"/>
        <w:tblInd w:w="720" w:type="dxa"/>
        <w:tblLook w:val="04A0" w:firstRow="1" w:lastRow="0" w:firstColumn="1" w:lastColumn="0" w:noHBand="0" w:noVBand="1"/>
      </w:tblPr>
      <w:tblGrid>
        <w:gridCol w:w="8856"/>
      </w:tblGrid>
      <w:tr w:rsidR="00A70B78" w:rsidRPr="007C6A42" w14:paraId="78F41891" w14:textId="77777777" w:rsidTr="00AF4FC9">
        <w:tc>
          <w:tcPr>
            <w:tcW w:w="9500" w:type="dxa"/>
          </w:tcPr>
          <w:p w14:paraId="04FCFFF5" w14:textId="77777777" w:rsidR="00A70B78" w:rsidRPr="007C6A42" w:rsidRDefault="00A70B78" w:rsidP="00AF4FC9">
            <w:pPr>
              <w:bidi/>
              <w:spacing w:line="360" w:lineRule="auto"/>
              <w:contextualSpacing/>
              <w:jc w:val="both"/>
              <w:rPr>
                <w:rFonts w:asciiTheme="majorBidi" w:hAnsiTheme="majorBidi" w:cstheme="majorBidi"/>
              </w:rPr>
            </w:pPr>
            <w:r w:rsidRPr="007C6A42">
              <w:rPr>
                <w:rFonts w:asciiTheme="majorBidi" w:hAnsiTheme="majorBidi" w:cstheme="majorBidi"/>
                <w:rtl/>
              </w:rPr>
              <w:t xml:space="preserve">كُتِبَ عليهِ أَنَه مَن </w:t>
            </w:r>
            <w:r w:rsidRPr="007C6A42">
              <w:rPr>
                <w:rFonts w:asciiTheme="majorBidi" w:hAnsiTheme="majorBidi" w:cstheme="majorBidi"/>
                <w:u w:val="single"/>
                <w:rtl/>
              </w:rPr>
              <w:t>تَوَلاَه</w:t>
            </w:r>
            <w:r w:rsidRPr="007C6A42">
              <w:rPr>
                <w:rFonts w:asciiTheme="majorBidi" w:hAnsiTheme="majorBidi" w:cstheme="majorBidi"/>
                <w:rtl/>
              </w:rPr>
              <w:t xml:space="preserve"> فأَنه </w:t>
            </w:r>
            <w:r w:rsidRPr="007C6A42">
              <w:rPr>
                <w:rFonts w:asciiTheme="majorBidi" w:hAnsiTheme="majorBidi" w:cstheme="majorBidi"/>
                <w:u w:val="single"/>
                <w:rtl/>
              </w:rPr>
              <w:t>يُضِلُه</w:t>
            </w:r>
            <w:r w:rsidRPr="007C6A42">
              <w:rPr>
                <w:rFonts w:asciiTheme="majorBidi" w:hAnsiTheme="majorBidi" w:cstheme="majorBidi"/>
                <w:rtl/>
              </w:rPr>
              <w:t xml:space="preserve"> و</w:t>
            </w:r>
            <w:r w:rsidRPr="007C6A42">
              <w:rPr>
                <w:rFonts w:asciiTheme="majorBidi" w:hAnsiTheme="majorBidi" w:cstheme="majorBidi"/>
                <w:u w:val="single"/>
                <w:rtl/>
              </w:rPr>
              <w:t>يَهْديهِ</w:t>
            </w:r>
            <w:r w:rsidRPr="007C6A42">
              <w:rPr>
                <w:rFonts w:asciiTheme="majorBidi" w:hAnsiTheme="majorBidi" w:cstheme="majorBidi"/>
                <w:rtl/>
              </w:rPr>
              <w:t xml:space="preserve"> إلى عذابِ السعير</w:t>
            </w:r>
          </w:p>
        </w:tc>
      </w:tr>
      <w:tr w:rsidR="00A70B78" w:rsidRPr="007C6A42" w14:paraId="25FEB4C1" w14:textId="77777777" w:rsidTr="00AF4FC9">
        <w:tc>
          <w:tcPr>
            <w:tcW w:w="9500" w:type="dxa"/>
          </w:tcPr>
          <w:p w14:paraId="475F6637" w14:textId="77777777" w:rsidR="00A70B78" w:rsidRPr="007C6A42" w:rsidRDefault="00A70B78" w:rsidP="00AF4FC9">
            <w:pPr>
              <w:ind w:right="113"/>
              <w:jc w:val="both"/>
              <w:rPr>
                <w:rFonts w:asciiTheme="majorBidi" w:hAnsiTheme="majorBidi" w:cstheme="majorBidi"/>
              </w:rPr>
            </w:pPr>
            <w:r w:rsidRPr="007C6A42">
              <w:rPr>
                <w:rFonts w:asciiTheme="majorBidi" w:hAnsiTheme="majorBidi" w:cstheme="majorBidi"/>
              </w:rPr>
              <w:t xml:space="preserve">Il a été décidé qu’il </w:t>
            </w:r>
            <w:r w:rsidRPr="007C6A42">
              <w:rPr>
                <w:rFonts w:asciiTheme="majorBidi" w:hAnsiTheme="majorBidi" w:cstheme="majorBidi"/>
                <w:u w:val="single"/>
              </w:rPr>
              <w:t>égarâ</w:t>
            </w:r>
            <w:r w:rsidRPr="007C6A42">
              <w:rPr>
                <w:rFonts w:asciiTheme="majorBidi" w:hAnsiTheme="majorBidi" w:cstheme="majorBidi"/>
              </w:rPr>
              <w:t xml:space="preserve">t quiconque </w:t>
            </w:r>
            <w:r w:rsidRPr="007C6A42">
              <w:rPr>
                <w:rFonts w:asciiTheme="majorBidi" w:hAnsiTheme="majorBidi" w:cstheme="majorBidi"/>
                <w:u w:val="single"/>
              </w:rPr>
              <w:t>se sera livré</w:t>
            </w:r>
            <w:r w:rsidRPr="007C6A42">
              <w:rPr>
                <w:rFonts w:asciiTheme="majorBidi" w:hAnsiTheme="majorBidi" w:cstheme="majorBidi"/>
              </w:rPr>
              <w:t xml:space="preserve"> à lui et </w:t>
            </w:r>
            <w:r w:rsidRPr="007C6A42">
              <w:rPr>
                <w:rFonts w:asciiTheme="majorBidi" w:hAnsiTheme="majorBidi" w:cstheme="majorBidi"/>
                <w:u w:val="single"/>
              </w:rPr>
              <w:t>le conduisît</w:t>
            </w:r>
            <w:r w:rsidRPr="007C6A42">
              <w:rPr>
                <w:rFonts w:asciiTheme="majorBidi" w:hAnsiTheme="majorBidi" w:cstheme="majorBidi"/>
              </w:rPr>
              <w:t xml:space="preserve"> au supplice du feu.</w:t>
            </w:r>
          </w:p>
          <w:p w14:paraId="31E1296B" w14:textId="77777777" w:rsidR="00A70B78" w:rsidRPr="007C6A42" w:rsidRDefault="00A70B78" w:rsidP="00AF4FC9">
            <w:pPr>
              <w:ind w:right="113"/>
              <w:jc w:val="both"/>
              <w:rPr>
                <w:rFonts w:asciiTheme="majorBidi" w:hAnsiTheme="majorBidi" w:cstheme="majorBidi"/>
              </w:rPr>
            </w:pPr>
          </w:p>
        </w:tc>
      </w:tr>
    </w:tbl>
    <w:p w14:paraId="37692382" w14:textId="77777777" w:rsidR="00A70B78" w:rsidRPr="007C6A42" w:rsidRDefault="00A70B78" w:rsidP="00A70B78">
      <w:pPr>
        <w:spacing w:line="360" w:lineRule="auto"/>
        <w:contextualSpacing/>
        <w:jc w:val="both"/>
        <w:rPr>
          <w:rFonts w:asciiTheme="majorBidi" w:hAnsiTheme="majorBidi" w:cstheme="majorBidi"/>
        </w:rPr>
      </w:pPr>
    </w:p>
    <w:p w14:paraId="5784126F"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lang w:eastAsia="fr-FR" w:bidi="ar-EG"/>
        </w:rPr>
      </w:pPr>
      <w:r w:rsidRPr="007C6A42">
        <w:rPr>
          <w:rFonts w:asciiTheme="majorBidi" w:hAnsiTheme="majorBidi" w:cstheme="majorBidi"/>
          <w:b/>
          <w:bCs/>
          <w:i/>
          <w:iCs/>
          <w:sz w:val="24"/>
          <w:szCs w:val="24"/>
        </w:rPr>
        <w:t>La destruction (ou l’exotisation) des réseaux langagiers vernaculaires</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 Toute grande prose entretient des rapports étroits avec les langues vernaculaires »</w:t>
      </w:r>
      <w:r w:rsidRPr="007C6A42">
        <w:rPr>
          <w:rStyle w:val="Appelnotedebasdep"/>
          <w:rFonts w:asciiTheme="majorBidi" w:eastAsia="Calibri" w:hAnsiTheme="majorBidi" w:cstheme="majorBidi"/>
          <w:sz w:val="24"/>
          <w:szCs w:val="24"/>
          <w:lang w:bidi="ar-AE"/>
        </w:rPr>
        <w:footnoteReference w:id="484"/>
      </w:r>
      <w:r w:rsidRPr="007C6A42">
        <w:rPr>
          <w:rFonts w:asciiTheme="majorBidi" w:hAnsiTheme="majorBidi" w:cstheme="majorBidi"/>
          <w:sz w:val="24"/>
          <w:szCs w:val="24"/>
        </w:rPr>
        <w:t xml:space="preserve">. La langue vernaculaire est plus corporelle et plus iconique que la langue cultivée, la koinè. L’arabe préislamique déclamatif (qui relève de la déclamation) et concret du Coran est plus parlant que le français livresque. </w:t>
      </w:r>
      <w:r w:rsidRPr="007C6A42">
        <w:rPr>
          <w:rFonts w:asciiTheme="majorBidi" w:hAnsiTheme="majorBidi" w:cstheme="majorBidi"/>
          <w:sz w:val="24"/>
          <w:szCs w:val="24"/>
          <w:lang w:eastAsia="fr-FR" w:bidi="ar-AE"/>
        </w:rPr>
        <w:t>La phrase vocative « </w:t>
      </w:r>
      <w:r w:rsidRPr="007C6A42">
        <w:rPr>
          <w:rFonts w:asciiTheme="majorBidi" w:hAnsiTheme="majorBidi" w:cstheme="majorBidi"/>
          <w:i/>
          <w:iCs/>
          <w:sz w:val="24"/>
          <w:szCs w:val="24"/>
          <w:lang w:eastAsia="fr-FR" w:bidi="ar-AE"/>
        </w:rPr>
        <w:t>Yā ayyuha n-nās</w:t>
      </w:r>
      <w:r w:rsidRPr="007C6A42">
        <w:rPr>
          <w:rFonts w:asciiTheme="majorBidi" w:hAnsiTheme="majorBidi" w:cstheme="majorBidi"/>
          <w:sz w:val="24"/>
          <w:szCs w:val="24"/>
          <w:lang w:eastAsia="fr-FR" w:bidi="ar-AE"/>
        </w:rPr>
        <w:t> » (v. 1 &amp; 5) est beaucoup plus iconique, savoureuse, concrète, voire polysémique que : « </w:t>
      </w:r>
      <w:r w:rsidRPr="007C6A42">
        <w:rPr>
          <w:rFonts w:asciiTheme="majorBidi" w:hAnsiTheme="majorBidi" w:cstheme="majorBidi"/>
          <w:i/>
          <w:iCs/>
          <w:sz w:val="24"/>
          <w:szCs w:val="24"/>
        </w:rPr>
        <w:t>Ô hommes ! </w:t>
      </w:r>
      <w:r w:rsidRPr="007C6A42">
        <w:rPr>
          <w:rFonts w:asciiTheme="majorBidi" w:hAnsiTheme="majorBidi" w:cstheme="majorBidi"/>
          <w:sz w:val="24"/>
          <w:szCs w:val="24"/>
        </w:rPr>
        <w:t>» (Kazimirski, Complexe de Médine, Chiadmi, Hafiane, Abdelaziz), « </w:t>
      </w:r>
      <w:r w:rsidRPr="007C6A42">
        <w:rPr>
          <w:rFonts w:asciiTheme="majorBidi" w:hAnsiTheme="majorBidi" w:cstheme="majorBidi"/>
          <w:i/>
          <w:iCs/>
          <w:sz w:val="24"/>
          <w:szCs w:val="24"/>
        </w:rPr>
        <w:t>Hommes ! </w:t>
      </w:r>
      <w:r w:rsidRPr="007C6A42">
        <w:rPr>
          <w:rFonts w:asciiTheme="majorBidi" w:hAnsiTheme="majorBidi" w:cstheme="majorBidi"/>
          <w:sz w:val="24"/>
          <w:szCs w:val="24"/>
        </w:rPr>
        <w:t>» (Grosjean, Ben Mahmoud, Guessous), « </w:t>
      </w:r>
      <w:r w:rsidRPr="007C6A42">
        <w:rPr>
          <w:rFonts w:asciiTheme="majorBidi" w:hAnsiTheme="majorBidi" w:cstheme="majorBidi"/>
          <w:i/>
          <w:iCs/>
          <w:sz w:val="24"/>
          <w:szCs w:val="24"/>
        </w:rPr>
        <w:t>Humains</w:t>
      </w:r>
      <w:r w:rsidRPr="007C6A42">
        <w:rPr>
          <w:rFonts w:asciiTheme="majorBidi" w:hAnsiTheme="majorBidi" w:cstheme="majorBidi"/>
          <w:sz w:val="24"/>
          <w:szCs w:val="24"/>
        </w:rPr>
        <w:t> » (Berque), ou encore l’expression familière de Hamidullah « </w:t>
      </w:r>
      <w:r w:rsidRPr="007C6A42">
        <w:rPr>
          <w:rFonts w:asciiTheme="majorBidi" w:hAnsiTheme="majorBidi" w:cstheme="majorBidi"/>
          <w:i/>
          <w:iCs/>
          <w:sz w:val="24"/>
          <w:szCs w:val="24"/>
        </w:rPr>
        <w:t>Ho, les gens ! </w:t>
      </w:r>
      <w:r w:rsidRPr="007C6A42">
        <w:rPr>
          <w:rFonts w:asciiTheme="majorBidi" w:hAnsiTheme="majorBidi" w:cstheme="majorBidi"/>
          <w:sz w:val="24"/>
          <w:szCs w:val="24"/>
        </w:rPr>
        <w:t>». Le passage d’un pronom de la troisième personne à un pronom de la deuxième personne (</w:t>
      </w:r>
      <w:r w:rsidRPr="007C6A42">
        <w:rPr>
          <w:rFonts w:asciiTheme="majorBidi" w:hAnsiTheme="majorBidi" w:cstheme="majorBidi"/>
          <w:i/>
          <w:iCs/>
          <w:sz w:val="24"/>
          <w:szCs w:val="24"/>
          <w:shd w:val="clear" w:color="auto" w:fill="FFFFFF"/>
          <w:lang w:bidi="ar-KW"/>
        </w:rPr>
        <w:t>iltifāt</w:t>
      </w:r>
      <w:r w:rsidRPr="007C6A42">
        <w:rPr>
          <w:rFonts w:asciiTheme="majorBidi" w:hAnsiTheme="majorBidi" w:cstheme="majorBidi"/>
          <w:sz w:val="24"/>
          <w:szCs w:val="24"/>
          <w:lang w:eastAsia="fr-FR" w:bidi="ar-EG"/>
        </w:rPr>
        <w:t xml:space="preserve">, </w:t>
      </w:r>
      <w:r w:rsidRPr="007C6A42">
        <w:rPr>
          <w:rFonts w:asciiTheme="majorBidi" w:hAnsiTheme="majorBidi" w:cstheme="majorBidi"/>
          <w:sz w:val="24"/>
          <w:szCs w:val="24"/>
          <w:shd w:val="clear" w:color="auto" w:fill="FFFFFF"/>
          <w:lang w:bidi="ar-KW"/>
        </w:rPr>
        <w:t>énallage</w:t>
      </w:r>
      <w:r w:rsidRPr="007C6A42">
        <w:rPr>
          <w:rFonts w:asciiTheme="majorBidi" w:hAnsiTheme="majorBidi" w:cstheme="majorBidi"/>
          <w:sz w:val="24"/>
          <w:szCs w:val="24"/>
          <w:lang w:eastAsia="fr-FR" w:bidi="ar-EG"/>
        </w:rPr>
        <w:t>) est plus concret, plus oral et plus savoureux dans le Coran que dans la traduction.</w:t>
      </w:r>
    </w:p>
    <w:p w14:paraId="00C40EDC"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lang w:eastAsia="fr-FR" w:bidi="ar-EG"/>
        </w:rPr>
      </w:pPr>
    </w:p>
    <w:p w14:paraId="7C7ABBED"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 L’effacement des vernaculaires est une grave atteinte à la textualité des œuvres en prose. </w:t>
      </w:r>
      <w:r w:rsidRPr="007C6A42">
        <w:rPr>
          <w:rFonts w:asciiTheme="majorBidi" w:eastAsia="Calibri" w:hAnsiTheme="majorBidi" w:cstheme="majorBidi"/>
          <w:sz w:val="24"/>
          <w:szCs w:val="24"/>
          <w:lang w:bidi="ar-AE"/>
        </w:rPr>
        <w:t xml:space="preserve">[…] Malheureusement, le vernaculaire ne peut être traduit dans un autre vernaculaire. </w:t>
      </w:r>
      <w:r w:rsidRPr="007C6A42">
        <w:rPr>
          <w:rFonts w:asciiTheme="majorBidi" w:eastAsia="Calibri" w:hAnsiTheme="majorBidi" w:cstheme="majorBidi"/>
          <w:i/>
          <w:iCs/>
          <w:sz w:val="24"/>
          <w:szCs w:val="24"/>
          <w:lang w:bidi="ar-AE"/>
        </w:rPr>
        <w:t>Seules les koinai, les langues « cultivées », peuvent s’entretraduire</w:t>
      </w:r>
      <w:r w:rsidRPr="007C6A42">
        <w:rPr>
          <w:rFonts w:asciiTheme="majorBidi" w:eastAsia="Calibri" w:hAnsiTheme="majorBidi" w:cstheme="majorBidi"/>
          <w:sz w:val="24"/>
          <w:szCs w:val="24"/>
          <w:lang w:bidi="ar-AE"/>
        </w:rPr>
        <w:t>. Une telle exotisation, qui rend l’étranger du dehors par celui du dedans n’aboutit qu’à ridiculiser l’original. »</w:t>
      </w:r>
      <w:r w:rsidRPr="007C6A42">
        <w:rPr>
          <w:rStyle w:val="Appelnotedebasdep"/>
          <w:rFonts w:asciiTheme="majorBidi" w:eastAsia="Calibri" w:hAnsiTheme="majorBidi" w:cstheme="majorBidi"/>
          <w:sz w:val="24"/>
          <w:szCs w:val="24"/>
          <w:lang w:bidi="ar-AE"/>
        </w:rPr>
        <w:footnoteReference w:id="485"/>
      </w:r>
    </w:p>
    <w:p w14:paraId="0B88612C"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Selon la tradition musulmane, le Coran a été « révélé » selon sept </w:t>
      </w:r>
      <w:r w:rsidRPr="007C6A42">
        <w:rPr>
          <w:rFonts w:asciiTheme="majorBidi" w:hAnsiTheme="majorBidi" w:cstheme="majorBidi"/>
          <w:i/>
          <w:iCs/>
          <w:sz w:val="24"/>
          <w:szCs w:val="24"/>
        </w:rPr>
        <w:t xml:space="preserve">ḥarf </w:t>
      </w:r>
      <w:r w:rsidRPr="007C6A42">
        <w:rPr>
          <w:rFonts w:asciiTheme="majorBidi" w:hAnsiTheme="majorBidi" w:cstheme="majorBidi"/>
          <w:sz w:val="24"/>
          <w:szCs w:val="24"/>
        </w:rPr>
        <w:t>[</w:t>
      </w:r>
      <w:r w:rsidRPr="007C6A42">
        <w:rPr>
          <w:rFonts w:asciiTheme="majorBidi" w:hAnsiTheme="majorBidi" w:cstheme="majorBidi"/>
          <w:i/>
          <w:iCs/>
          <w:sz w:val="24"/>
          <w:szCs w:val="24"/>
        </w:rPr>
        <w:t>litt. </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lettres</w:t>
      </w:r>
      <w:r w:rsidRPr="007C6A42">
        <w:rPr>
          <w:rFonts w:asciiTheme="majorBidi" w:hAnsiTheme="majorBidi" w:cstheme="majorBidi"/>
          <w:sz w:val="24"/>
          <w:szCs w:val="24"/>
        </w:rPr>
        <w:t xml:space="preserve"> ≈ langue vernaculaires, lectures]. Le terme </w:t>
      </w:r>
      <w:r w:rsidRPr="007C6A42">
        <w:rPr>
          <w:rFonts w:asciiTheme="majorBidi" w:hAnsiTheme="majorBidi" w:cstheme="majorBidi"/>
          <w:i/>
          <w:iCs/>
          <w:sz w:val="24"/>
          <w:szCs w:val="24"/>
        </w:rPr>
        <w:t>hāmida</w:t>
      </w:r>
      <w:r w:rsidRPr="007C6A42">
        <w:rPr>
          <w:rFonts w:asciiTheme="majorBidi" w:hAnsiTheme="majorBidi" w:cstheme="majorBidi"/>
          <w:sz w:val="24"/>
          <w:szCs w:val="24"/>
        </w:rPr>
        <w:t xml:space="preserve"> (v. 5) est utilisé dans le sens de </w:t>
      </w:r>
      <w:r w:rsidRPr="007C6A42">
        <w:rPr>
          <w:rFonts w:asciiTheme="majorBidi" w:hAnsiTheme="majorBidi" w:cstheme="majorBidi"/>
          <w:i/>
          <w:iCs/>
          <w:sz w:val="24"/>
          <w:szCs w:val="24"/>
        </w:rPr>
        <w:t>mughbarra</w:t>
      </w:r>
      <w:r w:rsidRPr="007C6A42">
        <w:rPr>
          <w:rFonts w:asciiTheme="majorBidi" w:hAnsiTheme="majorBidi" w:cstheme="majorBidi"/>
          <w:sz w:val="24"/>
          <w:szCs w:val="24"/>
        </w:rPr>
        <w:t xml:space="preserve"> [≈ cendré/de couleur terne] dans le dialecte de la tribu de Hadhīl, alors que ce </w:t>
      </w:r>
      <w:r w:rsidRPr="007C6A42">
        <w:rPr>
          <w:rFonts w:asciiTheme="majorBidi" w:hAnsiTheme="majorBidi" w:cstheme="majorBidi"/>
          <w:sz w:val="24"/>
          <w:szCs w:val="24"/>
        </w:rPr>
        <w:lastRenderedPageBreak/>
        <w:t>mot est rendu dans les traductions par : « </w:t>
      </w:r>
      <w:r w:rsidRPr="007C6A42">
        <w:rPr>
          <w:rFonts w:asciiTheme="majorBidi" w:hAnsiTheme="majorBidi" w:cstheme="majorBidi"/>
          <w:iCs/>
          <w:sz w:val="24"/>
          <w:szCs w:val="24"/>
        </w:rPr>
        <w:t>séchée</w:t>
      </w:r>
      <w:r w:rsidRPr="007C6A42">
        <w:rPr>
          <w:rFonts w:asciiTheme="majorBidi" w:hAnsiTheme="majorBidi" w:cstheme="majorBidi"/>
          <w:sz w:val="24"/>
          <w:szCs w:val="24"/>
        </w:rPr>
        <w:t> », « </w:t>
      </w:r>
      <w:r w:rsidRPr="007C6A42">
        <w:rPr>
          <w:rFonts w:asciiTheme="majorBidi" w:hAnsiTheme="majorBidi" w:cstheme="majorBidi"/>
          <w:iCs/>
          <w:sz w:val="24"/>
          <w:szCs w:val="24"/>
        </w:rPr>
        <w:t>desséchée</w:t>
      </w:r>
      <w:r w:rsidRPr="007C6A42">
        <w:rPr>
          <w:rFonts w:asciiTheme="majorBidi" w:hAnsiTheme="majorBidi" w:cstheme="majorBidi"/>
          <w:sz w:val="24"/>
          <w:szCs w:val="24"/>
        </w:rPr>
        <w:t> », « </w:t>
      </w:r>
      <w:r w:rsidRPr="007C6A42">
        <w:rPr>
          <w:rFonts w:asciiTheme="majorBidi" w:hAnsiTheme="majorBidi" w:cstheme="majorBidi"/>
          <w:iCs/>
          <w:sz w:val="24"/>
          <w:szCs w:val="24"/>
        </w:rPr>
        <w:t>stérile</w:t>
      </w:r>
      <w:r w:rsidRPr="007C6A42">
        <w:rPr>
          <w:rFonts w:asciiTheme="majorBidi" w:hAnsiTheme="majorBidi" w:cstheme="majorBidi"/>
          <w:sz w:val="24"/>
          <w:szCs w:val="24"/>
        </w:rPr>
        <w:t> », « </w:t>
      </w:r>
      <w:r w:rsidRPr="007C6A42">
        <w:rPr>
          <w:rFonts w:asciiTheme="majorBidi" w:hAnsiTheme="majorBidi" w:cstheme="majorBidi"/>
          <w:iCs/>
          <w:sz w:val="24"/>
          <w:szCs w:val="24"/>
        </w:rPr>
        <w:t>prostrée</w:t>
      </w:r>
      <w:r w:rsidRPr="007C6A42">
        <w:rPr>
          <w:rFonts w:asciiTheme="majorBidi" w:hAnsiTheme="majorBidi" w:cstheme="majorBidi"/>
          <w:sz w:val="24"/>
          <w:szCs w:val="24"/>
        </w:rPr>
        <w:t> », « </w:t>
      </w:r>
      <w:r w:rsidRPr="007C6A42">
        <w:rPr>
          <w:rFonts w:asciiTheme="majorBidi" w:hAnsiTheme="majorBidi" w:cstheme="majorBidi"/>
          <w:iCs/>
          <w:sz w:val="24"/>
          <w:szCs w:val="24"/>
        </w:rPr>
        <w:t>languir</w:t>
      </w:r>
      <w:r w:rsidRPr="007C6A42">
        <w:rPr>
          <w:rFonts w:asciiTheme="majorBidi" w:hAnsiTheme="majorBidi" w:cstheme="majorBidi"/>
          <w:sz w:val="24"/>
          <w:szCs w:val="24"/>
        </w:rPr>
        <w:t> », « </w:t>
      </w:r>
      <w:r w:rsidRPr="007C6A42">
        <w:rPr>
          <w:rFonts w:asciiTheme="majorBidi" w:hAnsiTheme="majorBidi" w:cstheme="majorBidi"/>
          <w:iCs/>
          <w:sz w:val="24"/>
          <w:szCs w:val="24"/>
        </w:rPr>
        <w:t>éteinte</w:t>
      </w:r>
      <w:r w:rsidRPr="007C6A42">
        <w:rPr>
          <w:rFonts w:asciiTheme="majorBidi" w:hAnsiTheme="majorBidi" w:cstheme="majorBidi"/>
          <w:sz w:val="24"/>
          <w:szCs w:val="24"/>
        </w:rPr>
        <w:t> », « </w:t>
      </w:r>
      <w:r w:rsidRPr="007C6A42">
        <w:rPr>
          <w:rFonts w:asciiTheme="majorBidi" w:hAnsiTheme="majorBidi" w:cstheme="majorBidi"/>
          <w:iCs/>
          <w:sz w:val="24"/>
          <w:szCs w:val="24"/>
        </w:rPr>
        <w:t>désertique</w:t>
      </w:r>
      <w:r w:rsidRPr="007C6A42">
        <w:rPr>
          <w:rFonts w:asciiTheme="majorBidi" w:hAnsiTheme="majorBidi" w:cstheme="majorBidi"/>
          <w:sz w:val="24"/>
          <w:szCs w:val="24"/>
        </w:rPr>
        <w:t> », « </w:t>
      </w:r>
      <w:r w:rsidRPr="007C6A42">
        <w:rPr>
          <w:rFonts w:asciiTheme="majorBidi" w:hAnsiTheme="majorBidi" w:cstheme="majorBidi"/>
          <w:iCs/>
          <w:sz w:val="24"/>
          <w:szCs w:val="24"/>
        </w:rPr>
        <w:t>inerte</w:t>
      </w:r>
      <w:r w:rsidRPr="007C6A42">
        <w:rPr>
          <w:rFonts w:asciiTheme="majorBidi" w:hAnsiTheme="majorBidi" w:cstheme="majorBidi"/>
          <w:sz w:val="24"/>
          <w:szCs w:val="24"/>
        </w:rPr>
        <w:t> », « </w:t>
      </w:r>
      <w:r w:rsidRPr="007C6A42">
        <w:rPr>
          <w:rFonts w:asciiTheme="majorBidi" w:hAnsiTheme="majorBidi" w:cstheme="majorBidi"/>
          <w:iCs/>
          <w:sz w:val="24"/>
          <w:szCs w:val="24"/>
        </w:rPr>
        <w:t>morte</w:t>
      </w:r>
      <w:r w:rsidRPr="007C6A42">
        <w:rPr>
          <w:rFonts w:asciiTheme="majorBidi" w:hAnsiTheme="majorBidi" w:cstheme="majorBidi"/>
          <w:sz w:val="24"/>
          <w:szCs w:val="24"/>
        </w:rPr>
        <w:t xml:space="preserve"> », etc. Le mot </w:t>
      </w:r>
      <w:r w:rsidRPr="007C6A42">
        <w:rPr>
          <w:rFonts w:asciiTheme="majorBidi" w:hAnsiTheme="majorBidi" w:cstheme="majorBidi"/>
          <w:i/>
          <w:iCs/>
          <w:sz w:val="24"/>
          <w:szCs w:val="24"/>
        </w:rPr>
        <w:t>umnīyati-hi</w:t>
      </w:r>
      <w:r w:rsidRPr="007C6A42">
        <w:rPr>
          <w:rFonts w:asciiTheme="majorBidi" w:hAnsiTheme="majorBidi" w:cstheme="majorBidi"/>
          <w:sz w:val="24"/>
          <w:szCs w:val="24"/>
        </w:rPr>
        <w:t xml:space="preserve"> (v. 52) a dans le vernaculaire de Quraysh le sens de : </w:t>
      </w:r>
      <w:r w:rsidRPr="007C6A42">
        <w:rPr>
          <w:rFonts w:asciiTheme="majorBidi" w:hAnsiTheme="majorBidi" w:cstheme="majorBidi"/>
          <w:i/>
          <w:iCs/>
          <w:sz w:val="24"/>
          <w:szCs w:val="24"/>
        </w:rPr>
        <w:t>fikrati-hi</w:t>
      </w:r>
      <w:r w:rsidRPr="007C6A42">
        <w:rPr>
          <w:rFonts w:asciiTheme="majorBidi" w:hAnsiTheme="majorBidi" w:cstheme="majorBidi"/>
          <w:sz w:val="24"/>
          <w:szCs w:val="24"/>
        </w:rPr>
        <w:t xml:space="preserve"> [« </w:t>
      </w:r>
      <w:r w:rsidRPr="007C6A42">
        <w:rPr>
          <w:rFonts w:asciiTheme="majorBidi" w:hAnsiTheme="majorBidi" w:cstheme="majorBidi"/>
          <w:iCs/>
          <w:sz w:val="24"/>
          <w:szCs w:val="24"/>
        </w:rPr>
        <w:t>son idée </w:t>
      </w:r>
      <w:r w:rsidRPr="007C6A42">
        <w:rPr>
          <w:rFonts w:asciiTheme="majorBidi" w:hAnsiTheme="majorBidi" w:cstheme="majorBidi"/>
          <w:sz w:val="24"/>
          <w:szCs w:val="24"/>
        </w:rPr>
        <w:t>»]</w:t>
      </w:r>
      <w:r w:rsidRPr="007C6A42">
        <w:rPr>
          <w:rStyle w:val="Appelnotedebasdep"/>
          <w:rFonts w:asciiTheme="majorBidi" w:eastAsia="Calibri" w:hAnsiTheme="majorBidi" w:cstheme="majorBidi"/>
          <w:sz w:val="24"/>
          <w:szCs w:val="24"/>
          <w:lang w:bidi="ar-AE"/>
        </w:rPr>
        <w:footnoteReference w:id="486"/>
      </w:r>
      <w:r w:rsidRPr="007C6A42">
        <w:rPr>
          <w:rFonts w:asciiTheme="majorBidi" w:hAnsiTheme="majorBidi" w:cstheme="majorBidi"/>
          <w:sz w:val="24"/>
          <w:szCs w:val="24"/>
        </w:rPr>
        <w:t>, alors qu’il est rendu dans les traductions par : « </w:t>
      </w:r>
      <w:r w:rsidRPr="007C6A42">
        <w:rPr>
          <w:rFonts w:asciiTheme="majorBidi" w:hAnsiTheme="majorBidi" w:cstheme="majorBidi"/>
          <w:i/>
          <w:iCs/>
          <w:sz w:val="24"/>
          <w:szCs w:val="24"/>
        </w:rPr>
        <w:t>leur doctrine</w:t>
      </w:r>
      <w:r w:rsidRPr="007C6A42">
        <w:rPr>
          <w:rFonts w:asciiTheme="majorBidi" w:hAnsiTheme="majorBidi" w:cstheme="majorBidi"/>
          <w:sz w:val="24"/>
          <w:szCs w:val="24"/>
        </w:rPr>
        <w:t> », « </w:t>
      </w:r>
      <w:r w:rsidRPr="007C6A42">
        <w:rPr>
          <w:rFonts w:asciiTheme="majorBidi" w:hAnsiTheme="majorBidi" w:cstheme="majorBidi"/>
          <w:i/>
          <w:iCs/>
          <w:sz w:val="24"/>
          <w:szCs w:val="24"/>
        </w:rPr>
        <w:t>la lecture d’un livre divin </w:t>
      </w:r>
      <w:r w:rsidRPr="007C6A42">
        <w:rPr>
          <w:rFonts w:asciiTheme="majorBidi" w:hAnsiTheme="majorBidi" w:cstheme="majorBidi"/>
          <w:sz w:val="24"/>
          <w:szCs w:val="24"/>
        </w:rPr>
        <w:t>», « </w:t>
      </w:r>
      <w:r w:rsidRPr="007C6A42">
        <w:rPr>
          <w:rFonts w:asciiTheme="majorBidi" w:hAnsiTheme="majorBidi" w:cstheme="majorBidi"/>
          <w:i/>
          <w:iCs/>
          <w:sz w:val="24"/>
          <w:szCs w:val="24"/>
        </w:rPr>
        <w:t>la lecture du livre révélé </w:t>
      </w:r>
      <w:r w:rsidRPr="007C6A42">
        <w:rPr>
          <w:rFonts w:asciiTheme="majorBidi" w:hAnsiTheme="majorBidi" w:cstheme="majorBidi"/>
          <w:sz w:val="24"/>
          <w:szCs w:val="24"/>
        </w:rPr>
        <w:t>», « </w:t>
      </w:r>
      <w:r w:rsidRPr="007C6A42">
        <w:rPr>
          <w:rFonts w:asciiTheme="majorBidi" w:hAnsiTheme="majorBidi" w:cstheme="majorBidi"/>
          <w:i/>
          <w:iCs/>
          <w:sz w:val="24"/>
          <w:szCs w:val="24"/>
        </w:rPr>
        <w:t>leur souhait </w:t>
      </w:r>
      <w:r w:rsidRPr="007C6A42">
        <w:rPr>
          <w:rFonts w:asciiTheme="majorBidi" w:hAnsiTheme="majorBidi" w:cstheme="majorBidi"/>
          <w:sz w:val="24"/>
          <w:szCs w:val="24"/>
        </w:rPr>
        <w:t>», « </w:t>
      </w:r>
      <w:r w:rsidRPr="007C6A42">
        <w:rPr>
          <w:rFonts w:asciiTheme="majorBidi" w:hAnsiTheme="majorBidi" w:cstheme="majorBidi"/>
          <w:i/>
          <w:iCs/>
          <w:sz w:val="24"/>
          <w:szCs w:val="24"/>
        </w:rPr>
        <w:t>son souhait </w:t>
      </w:r>
      <w:r w:rsidRPr="007C6A42">
        <w:rPr>
          <w:rFonts w:asciiTheme="majorBidi" w:hAnsiTheme="majorBidi" w:cstheme="majorBidi"/>
          <w:sz w:val="24"/>
          <w:szCs w:val="24"/>
        </w:rPr>
        <w:t>», « </w:t>
      </w:r>
      <w:r w:rsidRPr="007C6A42">
        <w:rPr>
          <w:rFonts w:asciiTheme="majorBidi" w:hAnsiTheme="majorBidi" w:cstheme="majorBidi"/>
          <w:i/>
          <w:iCs/>
          <w:sz w:val="24"/>
          <w:szCs w:val="24"/>
        </w:rPr>
        <w:t>son désir </w:t>
      </w:r>
      <w:r w:rsidRPr="007C6A42">
        <w:rPr>
          <w:rFonts w:asciiTheme="majorBidi" w:hAnsiTheme="majorBidi" w:cstheme="majorBidi"/>
          <w:sz w:val="24"/>
          <w:szCs w:val="24"/>
        </w:rPr>
        <w:t>», « </w:t>
      </w:r>
      <w:r w:rsidRPr="007C6A42">
        <w:rPr>
          <w:rFonts w:asciiTheme="majorBidi" w:hAnsiTheme="majorBidi" w:cstheme="majorBidi"/>
          <w:i/>
          <w:iCs/>
          <w:sz w:val="24"/>
          <w:szCs w:val="24"/>
        </w:rPr>
        <w:t>ses désirs </w:t>
      </w:r>
      <w:r w:rsidRPr="007C6A42">
        <w:rPr>
          <w:rFonts w:asciiTheme="majorBidi" w:hAnsiTheme="majorBidi" w:cstheme="majorBidi"/>
          <w:sz w:val="24"/>
          <w:szCs w:val="24"/>
        </w:rPr>
        <w:t>», « </w:t>
      </w:r>
      <w:r w:rsidRPr="007C6A42">
        <w:rPr>
          <w:rFonts w:asciiTheme="majorBidi" w:hAnsiTheme="majorBidi" w:cstheme="majorBidi"/>
          <w:i/>
          <w:iCs/>
          <w:sz w:val="24"/>
          <w:szCs w:val="24"/>
        </w:rPr>
        <w:t>sa récitation </w:t>
      </w:r>
      <w:r w:rsidRPr="007C6A42">
        <w:rPr>
          <w:rFonts w:asciiTheme="majorBidi" w:hAnsiTheme="majorBidi" w:cstheme="majorBidi"/>
          <w:sz w:val="24"/>
          <w:szCs w:val="24"/>
        </w:rPr>
        <w:t>», « </w:t>
      </w:r>
      <w:r w:rsidRPr="007C6A42">
        <w:rPr>
          <w:rFonts w:asciiTheme="majorBidi" w:hAnsiTheme="majorBidi" w:cstheme="majorBidi"/>
          <w:i/>
          <w:iCs/>
          <w:sz w:val="24"/>
          <w:szCs w:val="24"/>
        </w:rPr>
        <w:t>ses projections </w:t>
      </w:r>
      <w:r w:rsidRPr="007C6A42">
        <w:rPr>
          <w:rFonts w:asciiTheme="majorBidi" w:hAnsiTheme="majorBidi" w:cstheme="majorBidi"/>
          <w:sz w:val="24"/>
          <w:szCs w:val="24"/>
        </w:rPr>
        <w:t>», « </w:t>
      </w:r>
      <w:r w:rsidRPr="007C6A42">
        <w:rPr>
          <w:rFonts w:asciiTheme="majorBidi" w:hAnsiTheme="majorBidi" w:cstheme="majorBidi"/>
          <w:i/>
          <w:iCs/>
          <w:sz w:val="24"/>
          <w:szCs w:val="24"/>
        </w:rPr>
        <w:t>ses espoirs</w:t>
      </w:r>
      <w:r w:rsidRPr="007C6A42">
        <w:rPr>
          <w:rFonts w:asciiTheme="majorBidi" w:hAnsiTheme="majorBidi" w:cstheme="majorBidi"/>
          <w:sz w:val="24"/>
          <w:szCs w:val="24"/>
        </w:rPr>
        <w:t xml:space="preserve"> », etc. Seule Abdelaziz a montré le sens vernaculaire en traduisant le terme </w:t>
      </w:r>
      <w:r w:rsidRPr="007C6A42">
        <w:rPr>
          <w:rFonts w:asciiTheme="majorBidi" w:hAnsiTheme="majorBidi" w:cstheme="majorBidi"/>
          <w:i/>
          <w:iCs/>
          <w:sz w:val="24"/>
          <w:szCs w:val="24"/>
        </w:rPr>
        <w:t>umnīyati-hi</w:t>
      </w:r>
      <w:r w:rsidRPr="007C6A42">
        <w:rPr>
          <w:rFonts w:asciiTheme="majorBidi" w:hAnsiTheme="majorBidi" w:cstheme="majorBidi"/>
          <w:sz w:val="24"/>
          <w:szCs w:val="24"/>
        </w:rPr>
        <w:t xml:space="preserve"> par : « </w:t>
      </w:r>
      <w:r w:rsidRPr="007C6A42">
        <w:rPr>
          <w:rFonts w:asciiTheme="majorBidi" w:hAnsiTheme="majorBidi" w:cstheme="majorBidi"/>
          <w:i/>
          <w:iCs/>
          <w:sz w:val="24"/>
          <w:szCs w:val="24"/>
        </w:rPr>
        <w:t>sa pensée </w:t>
      </w:r>
      <w:r w:rsidRPr="007C6A42">
        <w:rPr>
          <w:rFonts w:asciiTheme="majorBidi" w:hAnsiTheme="majorBidi" w:cstheme="majorBidi"/>
          <w:sz w:val="24"/>
          <w:szCs w:val="24"/>
        </w:rPr>
        <w:t>».</w:t>
      </w:r>
    </w:p>
    <w:p w14:paraId="0A048D8F"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Le Coran est un produit </w:t>
      </w:r>
      <w:r w:rsidRPr="007C6A42">
        <w:rPr>
          <w:rFonts w:asciiTheme="majorBidi" w:hAnsiTheme="majorBidi" w:cstheme="majorBidi"/>
          <w:i/>
          <w:iCs/>
          <w:sz w:val="24"/>
          <w:szCs w:val="24"/>
        </w:rPr>
        <w:t>oral vernaculaire</w:t>
      </w:r>
      <w:r w:rsidRPr="007C6A42">
        <w:rPr>
          <w:rFonts w:asciiTheme="majorBidi" w:hAnsiTheme="majorBidi" w:cstheme="majorBidi"/>
          <w:sz w:val="24"/>
          <w:szCs w:val="24"/>
        </w:rPr>
        <w:t xml:space="preserve"> lié à un contexte réel, à des événements. Les ouvrages d’</w:t>
      </w:r>
      <w:r w:rsidRPr="007C6A42">
        <w:rPr>
          <w:rFonts w:asciiTheme="majorBidi" w:hAnsiTheme="majorBidi" w:cstheme="majorBidi"/>
          <w:i/>
          <w:iCs/>
          <w:sz w:val="24"/>
          <w:szCs w:val="24"/>
        </w:rPr>
        <w:t>asbāb an-nuzūl</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litt.</w:t>
      </w:r>
      <w:r w:rsidRPr="007C6A42">
        <w:rPr>
          <w:rFonts w:asciiTheme="majorBidi" w:hAnsiTheme="majorBidi" w:cstheme="majorBidi"/>
          <w:sz w:val="24"/>
          <w:szCs w:val="24"/>
        </w:rPr>
        <w:t> : causes de révélation] et le choix de certains termes et pronoms (notamment dans l’énallage, l’</w:t>
      </w:r>
      <w:r w:rsidRPr="007C6A42">
        <w:rPr>
          <w:rFonts w:asciiTheme="majorBidi" w:hAnsiTheme="majorBidi" w:cstheme="majorBidi"/>
          <w:i/>
          <w:iCs/>
          <w:sz w:val="24"/>
          <w:szCs w:val="24"/>
        </w:rPr>
        <w:t>iltifāt</w:t>
      </w:r>
      <w:r w:rsidRPr="007C6A42">
        <w:rPr>
          <w:rFonts w:asciiTheme="majorBidi" w:hAnsiTheme="majorBidi" w:cstheme="majorBidi"/>
          <w:sz w:val="24"/>
          <w:szCs w:val="24"/>
        </w:rPr>
        <w:t xml:space="preserve">) en gardent certaines traces lors du passage à l’écrit canonique. Les traductions se sont référées à un autre contexte scriptural, dans le sens où elles ne montrent pas les événements auxquels le texte arabe fait une forte allusion. Ces événements ne sont pas vus dans les traductions, comme le conflit entre le prophète Muḥammad et son adversaire an-Naḍr ibn al-Ḥārith (v. 3, 8 &amp; 47), le récit des </w:t>
      </w:r>
      <w:r w:rsidRPr="007C6A42">
        <w:rPr>
          <w:rFonts w:asciiTheme="majorBidi" w:hAnsiTheme="majorBidi" w:cstheme="majorBidi"/>
          <w:i/>
          <w:sz w:val="24"/>
          <w:szCs w:val="24"/>
        </w:rPr>
        <w:t>gharānīq</w:t>
      </w:r>
      <w:r w:rsidRPr="007C6A42">
        <w:rPr>
          <w:rFonts w:asciiTheme="majorBidi" w:hAnsiTheme="majorBidi" w:cstheme="majorBidi"/>
          <w:sz w:val="24"/>
          <w:szCs w:val="24"/>
        </w:rPr>
        <w:t xml:space="preserve"> (v. 52), etc.</w:t>
      </w:r>
    </w:p>
    <w:p w14:paraId="6BB75FBE" w14:textId="77777777" w:rsidR="00A70B78" w:rsidRPr="007C6A42" w:rsidRDefault="00A70B78" w:rsidP="00A70B78">
      <w:pPr>
        <w:spacing w:line="360" w:lineRule="auto"/>
        <w:contextualSpacing/>
        <w:jc w:val="both"/>
        <w:rPr>
          <w:rFonts w:asciiTheme="majorBidi" w:hAnsiTheme="majorBidi" w:cstheme="majorBidi"/>
        </w:rPr>
      </w:pPr>
    </w:p>
    <w:p w14:paraId="74E0F016"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La destruction des locutions et idiotismes</w:t>
      </w:r>
      <w:r w:rsidRPr="007C6A42">
        <w:rPr>
          <w:rFonts w:asciiTheme="majorBidi" w:hAnsiTheme="majorBidi" w:cstheme="majorBidi"/>
          <w:b/>
          <w:bCs/>
          <w:sz w:val="24"/>
          <w:szCs w:val="24"/>
        </w:rPr>
        <w:t xml:space="preserve"> : </w:t>
      </w:r>
      <w:r w:rsidRPr="007C6A42">
        <w:rPr>
          <w:rFonts w:asciiTheme="majorBidi" w:hAnsiTheme="majorBidi" w:cstheme="majorBidi"/>
          <w:sz w:val="24"/>
          <w:szCs w:val="24"/>
        </w:rPr>
        <w:t>Le Coran abonde en images, locutions, idiotismes, proverbes, qui relèvent en partie du vernaculaire et qui véhiculent un sens ou une expérience qui se retrouvent dans des images et locutions d’autres langues. Les traducteurs les traduisent littéralement. Cependant, les équivalents d’un proverbe ou d’une locution ne les remplacent pas, car « traduire n’est pas chercher des équivalences »</w:t>
      </w:r>
      <w:r w:rsidRPr="007C6A42">
        <w:rPr>
          <w:rStyle w:val="Appelnotedebasdep"/>
          <w:rFonts w:asciiTheme="majorBidi" w:eastAsia="Calibri" w:hAnsiTheme="majorBidi" w:cstheme="majorBidi"/>
          <w:sz w:val="24"/>
          <w:szCs w:val="24"/>
          <w:lang w:bidi="ar-AE"/>
        </w:rPr>
        <w:footnoteReference w:id="487"/>
      </w:r>
      <w:r w:rsidRPr="007C6A42">
        <w:rPr>
          <w:rFonts w:asciiTheme="majorBidi" w:hAnsiTheme="majorBidi" w:cstheme="majorBidi"/>
          <w:sz w:val="24"/>
          <w:szCs w:val="24"/>
        </w:rPr>
        <w:t>.</w:t>
      </w:r>
    </w:p>
    <w:p w14:paraId="746763C4"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Voici certains idiotismes, locutions, images qui relèvent du vernaculaire et qui ont perdu dans la traduction leur valeur iconique et certains aspects sémantiques :</w:t>
      </w:r>
    </w:p>
    <w:tbl>
      <w:tblPr>
        <w:tblStyle w:val="Grilledutableau"/>
        <w:bidiVisual/>
        <w:tblW w:w="0" w:type="auto"/>
        <w:tblLook w:val="04A0" w:firstRow="1" w:lastRow="0" w:firstColumn="1" w:lastColumn="0" w:noHBand="0" w:noVBand="1"/>
      </w:tblPr>
      <w:tblGrid>
        <w:gridCol w:w="5549"/>
        <w:gridCol w:w="3951"/>
      </w:tblGrid>
      <w:tr w:rsidR="00A70B78" w:rsidRPr="007C6A42" w14:paraId="658AE03C" w14:textId="77777777" w:rsidTr="00AF4FC9">
        <w:trPr>
          <w:trHeight w:val="276"/>
        </w:trPr>
        <w:tc>
          <w:tcPr>
            <w:tcW w:w="5549" w:type="dxa"/>
          </w:tcPr>
          <w:p w14:paraId="3D6B4612" w14:textId="77777777" w:rsidR="00A70B78" w:rsidRPr="007C6A42" w:rsidRDefault="00A70B78" w:rsidP="00AF4FC9">
            <w:pPr>
              <w:contextualSpacing/>
              <w:jc w:val="center"/>
              <w:rPr>
                <w:rFonts w:asciiTheme="majorBidi" w:hAnsiTheme="majorBidi" w:cstheme="majorBidi"/>
                <w:b/>
                <w:bCs/>
              </w:rPr>
            </w:pPr>
            <w:r w:rsidRPr="007C6A42">
              <w:rPr>
                <w:rFonts w:asciiTheme="majorBidi" w:hAnsiTheme="majorBidi" w:cstheme="majorBidi"/>
                <w:b/>
                <w:bCs/>
              </w:rPr>
              <w:t>Image arabe coranique</w:t>
            </w:r>
          </w:p>
        </w:tc>
        <w:tc>
          <w:tcPr>
            <w:tcW w:w="3951" w:type="dxa"/>
          </w:tcPr>
          <w:p w14:paraId="576C01B8" w14:textId="77777777" w:rsidR="00A70B78" w:rsidRPr="007C6A42" w:rsidRDefault="00A70B78" w:rsidP="00AF4FC9">
            <w:pPr>
              <w:contextualSpacing/>
              <w:jc w:val="center"/>
              <w:rPr>
                <w:rFonts w:asciiTheme="majorBidi" w:hAnsiTheme="majorBidi" w:cstheme="majorBidi"/>
                <w:b/>
                <w:bCs/>
              </w:rPr>
            </w:pPr>
            <w:r w:rsidRPr="007C6A42">
              <w:rPr>
                <w:rFonts w:asciiTheme="majorBidi" w:hAnsiTheme="majorBidi" w:cstheme="majorBidi"/>
                <w:b/>
                <w:bCs/>
              </w:rPr>
              <w:t>Traduction de Berque</w:t>
            </w:r>
          </w:p>
        </w:tc>
      </w:tr>
      <w:tr w:rsidR="00A70B78" w:rsidRPr="007C6A42" w14:paraId="0F6B310E" w14:textId="77777777" w:rsidTr="00AF4FC9">
        <w:trPr>
          <w:trHeight w:val="214"/>
        </w:trPr>
        <w:tc>
          <w:tcPr>
            <w:tcW w:w="5549" w:type="dxa"/>
          </w:tcPr>
          <w:p w14:paraId="1BC94952" w14:textId="77777777" w:rsidR="00A70B78" w:rsidRPr="007C6A42" w:rsidRDefault="00A70B78" w:rsidP="00AF4FC9">
            <w:pPr>
              <w:bidi/>
              <w:contextualSpacing/>
              <w:jc w:val="both"/>
              <w:rPr>
                <w:rFonts w:asciiTheme="majorBidi" w:hAnsiTheme="majorBidi" w:cstheme="majorBidi"/>
              </w:rPr>
            </w:pPr>
            <w:r w:rsidRPr="007C6A42">
              <w:rPr>
                <w:rFonts w:asciiTheme="majorBidi" w:hAnsiTheme="majorBidi" w:cstheme="majorBidi"/>
                <w:rtl/>
              </w:rPr>
              <w:t>"يَعبُدُ اللَّهَ على حَرف" (آية ١١)</w:t>
            </w:r>
          </w:p>
        </w:tc>
        <w:tc>
          <w:tcPr>
            <w:tcW w:w="3951" w:type="dxa"/>
          </w:tcPr>
          <w:p w14:paraId="140E9B5E" w14:textId="77777777" w:rsidR="00A70B78" w:rsidRPr="007C6A42" w:rsidRDefault="00A70B78" w:rsidP="00AF4FC9">
            <w:pPr>
              <w:contextualSpacing/>
              <w:jc w:val="both"/>
              <w:rPr>
                <w:rFonts w:asciiTheme="majorBidi" w:hAnsiTheme="majorBidi" w:cstheme="majorBidi"/>
              </w:rPr>
            </w:pPr>
            <w:r w:rsidRPr="007C6A42">
              <w:rPr>
                <w:rFonts w:asciiTheme="majorBidi" w:eastAsia="Calibri" w:hAnsiTheme="majorBidi" w:cstheme="majorBidi"/>
                <w:lang w:bidi="ar-AE"/>
              </w:rPr>
              <w:t>« pour n’adorer Dieu que de guingois » (v. 11)</w:t>
            </w:r>
          </w:p>
        </w:tc>
      </w:tr>
      <w:tr w:rsidR="00A70B78" w:rsidRPr="007C6A42" w14:paraId="4D8FD8D4" w14:textId="77777777" w:rsidTr="00AF4FC9">
        <w:tc>
          <w:tcPr>
            <w:tcW w:w="5549" w:type="dxa"/>
          </w:tcPr>
          <w:p w14:paraId="1E4599A4" w14:textId="77777777" w:rsidR="00A70B78" w:rsidRPr="007C6A42" w:rsidRDefault="00A70B78" w:rsidP="00AF4FC9">
            <w:pPr>
              <w:bidi/>
              <w:contextualSpacing/>
              <w:jc w:val="both"/>
              <w:rPr>
                <w:rFonts w:asciiTheme="majorBidi" w:hAnsiTheme="majorBidi" w:cstheme="majorBidi"/>
              </w:rPr>
            </w:pPr>
            <w:r w:rsidRPr="007C6A42">
              <w:rPr>
                <w:rFonts w:asciiTheme="majorBidi" w:hAnsiTheme="majorBidi" w:cstheme="majorBidi"/>
                <w:rtl/>
              </w:rPr>
              <w:t>"يَدعو مِن دُونِ اللَّهِ ما لا يَضُرُّه وما لا يَنفعُه" (١٢)</w:t>
            </w:r>
          </w:p>
        </w:tc>
        <w:tc>
          <w:tcPr>
            <w:tcW w:w="3951" w:type="dxa"/>
          </w:tcPr>
          <w:p w14:paraId="6F23DADA" w14:textId="77777777" w:rsidR="00A70B78" w:rsidRPr="007C6A42" w:rsidRDefault="00A70B78" w:rsidP="00AF4FC9">
            <w:pPr>
              <w:contextualSpacing/>
              <w:jc w:val="both"/>
              <w:rPr>
                <w:rFonts w:asciiTheme="majorBidi" w:hAnsiTheme="majorBidi" w:cstheme="majorBidi"/>
              </w:rPr>
            </w:pPr>
            <w:r w:rsidRPr="007C6A42">
              <w:rPr>
                <w:rFonts w:asciiTheme="majorBidi" w:eastAsia="Calibri" w:hAnsiTheme="majorBidi" w:cstheme="majorBidi"/>
                <w:lang w:bidi="ar-AE"/>
              </w:rPr>
              <w:t>« il invoque, au lieu de Dieu, cela qui ne peut ni lui nuire ni le servir » (v. 12)</w:t>
            </w:r>
          </w:p>
        </w:tc>
      </w:tr>
      <w:tr w:rsidR="00A70B78" w:rsidRPr="007C6A42" w14:paraId="1563F602" w14:textId="77777777" w:rsidTr="00AF4FC9">
        <w:tc>
          <w:tcPr>
            <w:tcW w:w="5549" w:type="dxa"/>
          </w:tcPr>
          <w:p w14:paraId="227E0BC4" w14:textId="77777777" w:rsidR="00A70B78" w:rsidRPr="007C6A42" w:rsidRDefault="00A70B78" w:rsidP="00AF4FC9">
            <w:pPr>
              <w:bidi/>
              <w:contextualSpacing/>
              <w:jc w:val="both"/>
              <w:rPr>
                <w:rFonts w:asciiTheme="majorBidi" w:hAnsiTheme="majorBidi" w:cstheme="majorBidi"/>
                <w:rtl/>
              </w:rPr>
            </w:pPr>
            <w:r w:rsidRPr="007C6A42">
              <w:rPr>
                <w:rFonts w:asciiTheme="majorBidi" w:hAnsiTheme="majorBidi" w:cstheme="majorBidi"/>
                <w:rtl/>
              </w:rPr>
              <w:lastRenderedPageBreak/>
              <w:t>"ومَن يُشرِكْ باللَّهِ فكأنَّما خَرَّ مِن السَّماء فتَخْطَفُه الطيرُ أو تَهوي به الريحُ في مكانٍ سحيق" (٣١)</w:t>
            </w:r>
          </w:p>
        </w:tc>
        <w:tc>
          <w:tcPr>
            <w:tcW w:w="3951" w:type="dxa"/>
          </w:tcPr>
          <w:p w14:paraId="5896345F" w14:textId="77777777" w:rsidR="00A70B78" w:rsidRPr="007C6A42" w:rsidRDefault="00A70B78" w:rsidP="00AF4FC9">
            <w:pPr>
              <w:contextualSpacing/>
              <w:jc w:val="both"/>
              <w:rPr>
                <w:rFonts w:asciiTheme="majorBidi" w:hAnsiTheme="majorBidi" w:cstheme="majorBidi"/>
                <w:rtl/>
              </w:rPr>
            </w:pPr>
            <w:r w:rsidRPr="007C6A42">
              <w:rPr>
                <w:rFonts w:asciiTheme="majorBidi" w:eastAsia="Calibri" w:hAnsiTheme="majorBidi" w:cstheme="majorBidi"/>
                <w:lang w:bidi="ar-AE"/>
              </w:rPr>
              <w:t>« qui associe à Dieu, c’est comme s’il dégringolait du ciel, et qu’alors un oiseau le happe ou que le vent l’abîme en un lieu perdu » (v. 31)</w:t>
            </w:r>
          </w:p>
        </w:tc>
      </w:tr>
      <w:tr w:rsidR="00A70B78" w:rsidRPr="007C6A42" w14:paraId="2D9B4399" w14:textId="77777777" w:rsidTr="00AF4FC9">
        <w:tc>
          <w:tcPr>
            <w:tcW w:w="5549" w:type="dxa"/>
          </w:tcPr>
          <w:p w14:paraId="36E167DE" w14:textId="77777777" w:rsidR="00A70B78" w:rsidRPr="007C6A42" w:rsidRDefault="00A70B78" w:rsidP="00AF4FC9">
            <w:pPr>
              <w:bidi/>
              <w:contextualSpacing/>
              <w:jc w:val="both"/>
              <w:rPr>
                <w:rFonts w:asciiTheme="majorBidi" w:hAnsiTheme="majorBidi" w:cstheme="majorBidi"/>
                <w:rtl/>
              </w:rPr>
            </w:pPr>
            <w:r w:rsidRPr="007C6A42">
              <w:rPr>
                <w:rFonts w:asciiTheme="majorBidi" w:hAnsiTheme="majorBidi" w:cstheme="majorBidi"/>
                <w:rtl/>
              </w:rPr>
              <w:t>"خاويةٌ على عُروشِها" (٤٥)</w:t>
            </w:r>
          </w:p>
        </w:tc>
        <w:tc>
          <w:tcPr>
            <w:tcW w:w="3951" w:type="dxa"/>
          </w:tcPr>
          <w:p w14:paraId="005A91E2" w14:textId="77777777" w:rsidR="00A70B78" w:rsidRPr="007C6A42" w:rsidRDefault="00A70B78" w:rsidP="00AF4FC9">
            <w:pPr>
              <w:contextualSpacing/>
              <w:jc w:val="both"/>
              <w:rPr>
                <w:rFonts w:asciiTheme="majorBidi" w:hAnsiTheme="majorBidi" w:cstheme="majorBidi"/>
                <w:rtl/>
              </w:rPr>
            </w:pPr>
            <w:r w:rsidRPr="007C6A42">
              <w:rPr>
                <w:rFonts w:asciiTheme="majorBidi" w:eastAsia="Calibri" w:hAnsiTheme="majorBidi" w:cstheme="majorBidi"/>
                <w:lang w:bidi="ar-AE"/>
              </w:rPr>
              <w:t>« toutes vides sur leurs assises » (v. 45)</w:t>
            </w:r>
          </w:p>
        </w:tc>
      </w:tr>
      <w:tr w:rsidR="00A70B78" w:rsidRPr="007C6A42" w14:paraId="3FA7BA42" w14:textId="77777777" w:rsidTr="00AF4FC9">
        <w:trPr>
          <w:trHeight w:val="535"/>
        </w:trPr>
        <w:tc>
          <w:tcPr>
            <w:tcW w:w="5549" w:type="dxa"/>
          </w:tcPr>
          <w:p w14:paraId="387D1CC6" w14:textId="77777777" w:rsidR="00A70B78" w:rsidRPr="007C6A42" w:rsidRDefault="00A70B78" w:rsidP="00AF4FC9">
            <w:pPr>
              <w:bidi/>
              <w:contextualSpacing/>
              <w:jc w:val="both"/>
              <w:rPr>
                <w:rFonts w:asciiTheme="majorBidi" w:hAnsiTheme="majorBidi" w:cstheme="majorBidi"/>
                <w:rtl/>
              </w:rPr>
            </w:pPr>
            <w:r w:rsidRPr="007C6A42">
              <w:rPr>
                <w:rFonts w:asciiTheme="majorBidi" w:hAnsiTheme="majorBidi" w:cstheme="majorBidi"/>
                <w:rtl/>
              </w:rPr>
              <w:t>"فتكُونَ لهم قُلوبٌ يَعقِلون بها أو آذانٌ يَسمعون بها فإنها لا تَعمى الأبصارُ ولكن تعمى القلوبُ التي في الصدور" (٤٦)</w:t>
            </w:r>
          </w:p>
        </w:tc>
        <w:tc>
          <w:tcPr>
            <w:tcW w:w="3951" w:type="dxa"/>
          </w:tcPr>
          <w:p w14:paraId="32C5B824" w14:textId="77777777" w:rsidR="00A70B78" w:rsidRPr="007C6A42" w:rsidRDefault="00A70B78" w:rsidP="00AF4FC9">
            <w:pPr>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ayant un cœur apte à raisonner (sur ces vicissitudes), des oreilles capables d’en entendre (parler)? Or, ce ne sont pas les regards qui sont aveugles, mais s’aveuglent les cœurs qui battent dans les poitrines. » (v. 46)</w:t>
            </w:r>
          </w:p>
          <w:p w14:paraId="6635F93E" w14:textId="77777777" w:rsidR="00A70B78" w:rsidRPr="007C6A42" w:rsidRDefault="00A70B78" w:rsidP="00AF4FC9">
            <w:pPr>
              <w:contextualSpacing/>
              <w:jc w:val="both"/>
              <w:rPr>
                <w:rFonts w:asciiTheme="majorBidi" w:hAnsiTheme="majorBidi" w:cstheme="majorBidi"/>
                <w:rtl/>
              </w:rPr>
            </w:pPr>
          </w:p>
        </w:tc>
      </w:tr>
      <w:tr w:rsidR="00A70B78" w:rsidRPr="007C6A42" w14:paraId="6FC86B6E" w14:textId="77777777" w:rsidTr="00AF4FC9">
        <w:tc>
          <w:tcPr>
            <w:tcW w:w="5549" w:type="dxa"/>
          </w:tcPr>
          <w:p w14:paraId="20A13DAF" w14:textId="77777777" w:rsidR="00A70B78" w:rsidRPr="007C6A42" w:rsidRDefault="00A70B78" w:rsidP="00AF4FC9">
            <w:pPr>
              <w:bidi/>
              <w:contextualSpacing/>
              <w:jc w:val="both"/>
              <w:rPr>
                <w:rFonts w:asciiTheme="majorBidi" w:hAnsiTheme="majorBidi" w:cstheme="majorBidi"/>
                <w:rtl/>
              </w:rPr>
            </w:pPr>
            <w:r w:rsidRPr="007C6A42">
              <w:rPr>
                <w:rFonts w:asciiTheme="majorBidi" w:hAnsiTheme="majorBidi" w:cstheme="majorBidi"/>
                <w:rtl/>
              </w:rPr>
              <w:t>"يُولِجُ الليلَ في النهار ويُولجُ النهارَ في الليل" (٦١)</w:t>
            </w:r>
          </w:p>
        </w:tc>
        <w:tc>
          <w:tcPr>
            <w:tcW w:w="3951" w:type="dxa"/>
          </w:tcPr>
          <w:p w14:paraId="64C835E4" w14:textId="77777777" w:rsidR="00A70B78" w:rsidRPr="007C6A42" w:rsidRDefault="00A70B78" w:rsidP="00AF4FC9">
            <w:pPr>
              <w:contextualSpacing/>
              <w:jc w:val="both"/>
              <w:rPr>
                <w:rFonts w:asciiTheme="majorBidi" w:hAnsiTheme="majorBidi" w:cstheme="majorBidi"/>
                <w:rtl/>
              </w:rPr>
            </w:pPr>
            <w:r w:rsidRPr="007C6A42">
              <w:rPr>
                <w:rFonts w:asciiTheme="majorBidi" w:eastAsia="Calibri" w:hAnsiTheme="majorBidi" w:cstheme="majorBidi"/>
                <w:lang w:bidi="ar-AE"/>
              </w:rPr>
              <w:t>« fait entrer la nuit dans le jour, fait entrer le jour dans la nuit » (v. 61)</w:t>
            </w:r>
          </w:p>
        </w:tc>
      </w:tr>
      <w:tr w:rsidR="00A70B78" w:rsidRPr="007C6A42" w14:paraId="69B8D5F3" w14:textId="77777777" w:rsidTr="00AF4FC9">
        <w:tc>
          <w:tcPr>
            <w:tcW w:w="5549" w:type="dxa"/>
          </w:tcPr>
          <w:p w14:paraId="76CE419C" w14:textId="77777777" w:rsidR="00A70B78" w:rsidRPr="007C6A42" w:rsidRDefault="00A70B78" w:rsidP="00AF4FC9">
            <w:pPr>
              <w:bidi/>
              <w:contextualSpacing/>
              <w:jc w:val="both"/>
              <w:rPr>
                <w:rFonts w:asciiTheme="majorBidi" w:hAnsiTheme="majorBidi" w:cstheme="majorBidi"/>
                <w:rtl/>
              </w:rPr>
            </w:pPr>
            <w:r w:rsidRPr="007C6A42">
              <w:rPr>
                <w:rFonts w:asciiTheme="majorBidi" w:hAnsiTheme="majorBidi" w:cstheme="majorBidi"/>
                <w:rtl/>
              </w:rPr>
              <w:t>"لن يَخلُقوا ذُبابًا ولو اجتمعوا له وإن يَسلُبْهم الذبابُ شيئاً لا يَستنقذوه" (٧٣)</w:t>
            </w:r>
          </w:p>
        </w:tc>
        <w:tc>
          <w:tcPr>
            <w:tcW w:w="3951" w:type="dxa"/>
          </w:tcPr>
          <w:p w14:paraId="61B7F82E" w14:textId="77777777" w:rsidR="00A70B78" w:rsidRPr="007C6A42" w:rsidRDefault="00A70B78" w:rsidP="00AF4FC9">
            <w:pPr>
              <w:contextualSpacing/>
              <w:jc w:val="both"/>
              <w:rPr>
                <w:rFonts w:asciiTheme="majorBidi" w:hAnsiTheme="majorBidi" w:cstheme="majorBidi"/>
                <w:rtl/>
              </w:rPr>
            </w:pPr>
            <w:r w:rsidRPr="007C6A42">
              <w:rPr>
                <w:rFonts w:asciiTheme="majorBidi" w:eastAsia="Calibri" w:hAnsiTheme="majorBidi" w:cstheme="majorBidi"/>
                <w:lang w:bidi="ar-AE"/>
              </w:rPr>
              <w:t>« sont impuissants à créer une mouche, même s’ils se mettaient à tous pour y réussir ; et si la mouche leur enlevait une chose, ils ne pourraient sur elle la récupérer » (v. 73)</w:t>
            </w:r>
          </w:p>
        </w:tc>
      </w:tr>
      <w:tr w:rsidR="00A70B78" w:rsidRPr="007C6A42" w14:paraId="263C12CF" w14:textId="77777777" w:rsidTr="00AF4FC9">
        <w:tc>
          <w:tcPr>
            <w:tcW w:w="5549" w:type="dxa"/>
          </w:tcPr>
          <w:p w14:paraId="72F4B1ED" w14:textId="77777777" w:rsidR="00A70B78" w:rsidRPr="007C6A42" w:rsidRDefault="00A70B78" w:rsidP="00AF4FC9">
            <w:pPr>
              <w:bidi/>
              <w:contextualSpacing/>
              <w:jc w:val="both"/>
              <w:rPr>
                <w:rFonts w:asciiTheme="majorBidi" w:hAnsiTheme="majorBidi" w:cstheme="majorBidi"/>
                <w:rtl/>
              </w:rPr>
            </w:pPr>
            <w:r w:rsidRPr="007C6A42">
              <w:rPr>
                <w:rFonts w:asciiTheme="majorBidi" w:hAnsiTheme="majorBidi" w:cstheme="majorBidi"/>
                <w:rtl/>
              </w:rPr>
              <w:t>"يَعلمُ ما بَينَ أيديهم وما خلفهم" (٧٦)</w:t>
            </w:r>
          </w:p>
        </w:tc>
        <w:tc>
          <w:tcPr>
            <w:tcW w:w="3951" w:type="dxa"/>
          </w:tcPr>
          <w:p w14:paraId="305ACB75" w14:textId="77777777" w:rsidR="00A70B78" w:rsidRPr="007C6A42" w:rsidRDefault="00A70B78" w:rsidP="00AF4FC9">
            <w:pPr>
              <w:contextualSpacing/>
              <w:jc w:val="both"/>
              <w:rPr>
                <w:rFonts w:asciiTheme="majorBidi" w:hAnsiTheme="majorBidi" w:cstheme="majorBidi"/>
                <w:rtl/>
              </w:rPr>
            </w:pPr>
            <w:r w:rsidRPr="007C6A42">
              <w:rPr>
                <w:rFonts w:asciiTheme="majorBidi" w:eastAsia="Calibri" w:hAnsiTheme="majorBidi" w:cstheme="majorBidi"/>
                <w:lang w:bidi="ar-AE"/>
              </w:rPr>
              <w:t>« Il sait ce qu’ils ont devant eux et ce qui leur vient derrière » (v. 76)</w:t>
            </w:r>
          </w:p>
        </w:tc>
      </w:tr>
    </w:tbl>
    <w:p w14:paraId="69AA57BA" w14:textId="77777777" w:rsidR="00A70B78" w:rsidRPr="007C6A42" w:rsidRDefault="00A70B78" w:rsidP="00A70B78">
      <w:pPr>
        <w:spacing w:line="360" w:lineRule="auto"/>
        <w:contextualSpacing/>
        <w:jc w:val="both"/>
        <w:rPr>
          <w:rFonts w:asciiTheme="majorBidi" w:hAnsiTheme="majorBidi" w:cstheme="majorBidi"/>
        </w:rPr>
      </w:pPr>
    </w:p>
    <w:p w14:paraId="46F4742E" w14:textId="77777777" w:rsidR="00A70B78" w:rsidRPr="007C6A42" w:rsidRDefault="00A70B78" w:rsidP="00876BB0">
      <w:pPr>
        <w:pStyle w:val="Paragraphedeliste"/>
        <w:numPr>
          <w:ilvl w:val="0"/>
          <w:numId w:val="106"/>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b/>
          <w:bCs/>
          <w:i/>
          <w:iCs/>
          <w:sz w:val="24"/>
          <w:szCs w:val="24"/>
        </w:rPr>
        <w:t>L’effacement des superpositions de langues</w:t>
      </w:r>
      <w:r w:rsidRPr="007C6A42">
        <w:rPr>
          <w:rFonts w:asciiTheme="majorBidi" w:hAnsiTheme="majorBidi" w:cstheme="majorBidi"/>
          <w:b/>
          <w:bCs/>
          <w:sz w:val="24"/>
          <w:szCs w:val="24"/>
        </w:rPr>
        <w:t> :</w:t>
      </w:r>
      <w:r w:rsidRPr="007C6A42">
        <w:rPr>
          <w:rFonts w:asciiTheme="majorBidi" w:hAnsiTheme="majorBidi" w:cstheme="majorBidi"/>
          <w:sz w:val="24"/>
          <w:szCs w:val="24"/>
        </w:rPr>
        <w:t xml:space="preserve"> « Toute prose se caractérise par des superpositions de langues »</w:t>
      </w:r>
      <w:r w:rsidRPr="007C6A42">
        <w:rPr>
          <w:rStyle w:val="Appelnotedebasdep"/>
          <w:rFonts w:asciiTheme="majorBidi" w:hAnsiTheme="majorBidi" w:cstheme="majorBidi"/>
          <w:sz w:val="24"/>
          <w:szCs w:val="24"/>
        </w:rPr>
        <w:footnoteReference w:id="488"/>
      </w:r>
      <w:r w:rsidRPr="007C6A42">
        <w:rPr>
          <w:rFonts w:asciiTheme="majorBidi" w:hAnsiTheme="majorBidi" w:cstheme="majorBidi"/>
          <w:sz w:val="24"/>
          <w:szCs w:val="24"/>
        </w:rPr>
        <w:t xml:space="preserve">. Dans </w:t>
      </w:r>
      <w:r w:rsidRPr="007C6A42">
        <w:rPr>
          <w:rFonts w:asciiTheme="majorBidi" w:hAnsiTheme="majorBidi" w:cstheme="majorBidi"/>
          <w:i/>
          <w:iCs/>
          <w:sz w:val="24"/>
          <w:szCs w:val="24"/>
        </w:rPr>
        <w:t xml:space="preserve">Itqān </w:t>
      </w:r>
      <w:r w:rsidRPr="007C6A42">
        <w:rPr>
          <w:rFonts w:asciiTheme="majorBidi" w:hAnsiTheme="majorBidi" w:cstheme="majorBidi"/>
          <w:sz w:val="24"/>
          <w:szCs w:val="24"/>
        </w:rPr>
        <w:t>et</w:t>
      </w:r>
      <w:r w:rsidRPr="007C6A42">
        <w:rPr>
          <w:rFonts w:asciiTheme="majorBidi" w:hAnsiTheme="majorBidi" w:cstheme="majorBidi"/>
          <w:i/>
          <w:iCs/>
          <w:sz w:val="24"/>
          <w:szCs w:val="24"/>
        </w:rPr>
        <w:t xml:space="preserve"> ad-Durr al-Manthūr</w:t>
      </w:r>
      <w:r w:rsidRPr="007C6A42">
        <w:rPr>
          <w:rFonts w:asciiTheme="majorBidi" w:hAnsiTheme="majorBidi" w:cstheme="majorBidi"/>
          <w:sz w:val="24"/>
          <w:szCs w:val="24"/>
        </w:rPr>
        <w:t>, l’exégète as-Suyūṭī parle des termes non arabes dans le Coran. La superposition des langues est menacée par la traduction. Voici quelques exemples des mots non arabes dans la sourate al-Ḥajj :</w:t>
      </w:r>
    </w:p>
    <w:p w14:paraId="2B19DAFC" w14:textId="77777777" w:rsidR="00A70B78" w:rsidRPr="007C6A42" w:rsidRDefault="00A70B78" w:rsidP="00876BB0">
      <w:pPr>
        <w:pStyle w:val="Paragraphedeliste"/>
        <w:numPr>
          <w:ilvl w:val="0"/>
          <w:numId w:val="10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i/>
          <w:iCs/>
          <w:sz w:val="24"/>
          <w:szCs w:val="24"/>
        </w:rPr>
        <w:t>asāwir</w:t>
      </w:r>
      <w:r w:rsidRPr="007C6A42">
        <w:rPr>
          <w:rFonts w:asciiTheme="majorBidi" w:hAnsiTheme="majorBidi" w:cstheme="majorBidi"/>
          <w:sz w:val="24"/>
          <w:szCs w:val="24"/>
        </w:rPr>
        <w:t xml:space="preserve"> [≈ des bracelets] (v. 23) : d’origine persane (</w:t>
      </w:r>
      <w:r w:rsidRPr="007C6A42">
        <w:rPr>
          <w:rFonts w:asciiTheme="majorBidi" w:hAnsiTheme="majorBidi" w:cstheme="majorBidi"/>
          <w:i/>
          <w:iCs/>
          <w:sz w:val="24"/>
          <w:szCs w:val="24"/>
        </w:rPr>
        <w:t>distawār</w:t>
      </w:r>
      <w:r w:rsidRPr="007C6A42">
        <w:rPr>
          <w:rFonts w:asciiTheme="majorBidi" w:hAnsiTheme="majorBidi" w:cstheme="majorBidi"/>
          <w:sz w:val="24"/>
          <w:szCs w:val="24"/>
        </w:rPr>
        <w:t>)</w:t>
      </w:r>
      <w:r w:rsidRPr="007C6A42">
        <w:rPr>
          <w:rStyle w:val="Appelnotedebasdep"/>
          <w:rFonts w:asciiTheme="majorBidi" w:hAnsiTheme="majorBidi" w:cstheme="majorBidi"/>
          <w:sz w:val="24"/>
          <w:szCs w:val="24"/>
        </w:rPr>
        <w:footnoteReference w:id="489"/>
      </w:r>
      <w:r w:rsidRPr="007C6A42">
        <w:rPr>
          <w:rFonts w:asciiTheme="majorBidi" w:hAnsiTheme="majorBidi" w:cstheme="majorBidi"/>
          <w:sz w:val="24"/>
          <w:szCs w:val="24"/>
        </w:rPr>
        <w:t> ;</w:t>
      </w:r>
    </w:p>
    <w:p w14:paraId="19F2B9F6" w14:textId="77777777" w:rsidR="00A70B78" w:rsidRPr="007C6A42" w:rsidRDefault="00A70B78" w:rsidP="00876BB0">
      <w:pPr>
        <w:pStyle w:val="Paragraphedeliste"/>
        <w:numPr>
          <w:ilvl w:val="0"/>
          <w:numId w:val="10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i/>
          <w:iCs/>
          <w:sz w:val="24"/>
          <w:szCs w:val="24"/>
        </w:rPr>
        <w:t>yuṣhar</w:t>
      </w:r>
      <w:r w:rsidRPr="007C6A42">
        <w:rPr>
          <w:rFonts w:asciiTheme="majorBidi" w:hAnsiTheme="majorBidi" w:cstheme="majorBidi"/>
          <w:i/>
          <w:iCs/>
          <w:sz w:val="24"/>
          <w:szCs w:val="24"/>
          <w:vertAlign w:val="superscript"/>
        </w:rPr>
        <w:t>u</w:t>
      </w:r>
      <w:r w:rsidRPr="007C6A42">
        <w:rPr>
          <w:rFonts w:asciiTheme="majorBidi" w:hAnsiTheme="majorBidi" w:cstheme="majorBidi"/>
          <w:sz w:val="24"/>
          <w:szCs w:val="24"/>
        </w:rPr>
        <w:t xml:space="preserve"> [≈ il sera fondu] (v. 20) : d’origine berbère, ou copte</w:t>
      </w:r>
      <w:r w:rsidRPr="007C6A42">
        <w:rPr>
          <w:rStyle w:val="Appelnotedebasdep"/>
          <w:rFonts w:asciiTheme="majorBidi" w:hAnsiTheme="majorBidi" w:cstheme="majorBidi"/>
          <w:sz w:val="24"/>
          <w:szCs w:val="24"/>
        </w:rPr>
        <w:footnoteReference w:id="490"/>
      </w:r>
      <w:r w:rsidRPr="007C6A42">
        <w:rPr>
          <w:rFonts w:asciiTheme="majorBidi" w:hAnsiTheme="majorBidi" w:cstheme="majorBidi"/>
          <w:sz w:val="24"/>
          <w:szCs w:val="24"/>
        </w:rPr>
        <w:t> ;</w:t>
      </w:r>
    </w:p>
    <w:p w14:paraId="0FD4BFA1" w14:textId="77777777" w:rsidR="00A70B78" w:rsidRPr="007C6A42" w:rsidRDefault="00A70B78" w:rsidP="00876BB0">
      <w:pPr>
        <w:pStyle w:val="Paragraphedeliste"/>
        <w:numPr>
          <w:ilvl w:val="0"/>
          <w:numId w:val="10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i/>
          <w:iCs/>
          <w:sz w:val="24"/>
          <w:szCs w:val="24"/>
        </w:rPr>
        <w:t>ṣirāṭ</w:t>
      </w:r>
      <w:r w:rsidRPr="007C6A42">
        <w:rPr>
          <w:rFonts w:asciiTheme="majorBidi" w:hAnsiTheme="majorBidi" w:cstheme="majorBidi"/>
          <w:sz w:val="24"/>
          <w:szCs w:val="24"/>
        </w:rPr>
        <w:t xml:space="preserve"> [≈ voie/chemin] (v. 24) : d’origine latine [</w:t>
      </w:r>
      <w:r w:rsidRPr="007C6A42">
        <w:rPr>
          <w:rFonts w:asciiTheme="majorBidi" w:hAnsiTheme="majorBidi" w:cstheme="majorBidi"/>
          <w:i/>
          <w:iCs/>
          <w:sz w:val="24"/>
          <w:szCs w:val="24"/>
        </w:rPr>
        <w:t>bi-r-rūmyya</w:t>
      </w:r>
      <w:r w:rsidRPr="007C6A42">
        <w:rPr>
          <w:rFonts w:asciiTheme="majorBidi" w:hAnsiTheme="majorBidi" w:cstheme="majorBidi"/>
          <w:sz w:val="24"/>
          <w:szCs w:val="24"/>
        </w:rPr>
        <w:t>] (« </w:t>
      </w:r>
      <w:r w:rsidRPr="007C6A42">
        <w:rPr>
          <w:rFonts w:asciiTheme="majorBidi" w:hAnsiTheme="majorBidi" w:cstheme="majorBidi"/>
          <w:i/>
          <w:iCs/>
          <w:sz w:val="24"/>
          <w:szCs w:val="24"/>
        </w:rPr>
        <w:t>strata</w:t>
      </w:r>
      <w:r w:rsidRPr="007C6A42">
        <w:rPr>
          <w:rFonts w:asciiTheme="majorBidi" w:hAnsiTheme="majorBidi" w:cstheme="majorBidi"/>
          <w:sz w:val="24"/>
          <w:szCs w:val="24"/>
        </w:rPr>
        <w:t> »)</w:t>
      </w:r>
      <w:r w:rsidRPr="007C6A42">
        <w:rPr>
          <w:rStyle w:val="Appelnotedebasdep"/>
          <w:rFonts w:asciiTheme="majorBidi" w:hAnsiTheme="majorBidi" w:cstheme="majorBidi"/>
          <w:sz w:val="24"/>
          <w:szCs w:val="24"/>
        </w:rPr>
        <w:footnoteReference w:id="491"/>
      </w:r>
      <w:r w:rsidRPr="007C6A42">
        <w:rPr>
          <w:rFonts w:asciiTheme="majorBidi" w:hAnsiTheme="majorBidi" w:cstheme="majorBidi"/>
          <w:sz w:val="24"/>
          <w:szCs w:val="24"/>
        </w:rPr>
        <w:t> ;</w:t>
      </w:r>
    </w:p>
    <w:p w14:paraId="6FC82BDF" w14:textId="77777777" w:rsidR="00A70B78" w:rsidRPr="007C6A42" w:rsidRDefault="00A70B78" w:rsidP="00876BB0">
      <w:pPr>
        <w:pStyle w:val="Paragraphedeliste"/>
        <w:numPr>
          <w:ilvl w:val="0"/>
          <w:numId w:val="10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biyaʿ</w:t>
      </w:r>
      <w:r w:rsidRPr="007C6A42">
        <w:rPr>
          <w:rFonts w:asciiTheme="majorBidi" w:hAnsiTheme="majorBidi" w:cstheme="majorBidi"/>
          <w:sz w:val="24"/>
          <w:szCs w:val="24"/>
        </w:rPr>
        <w:t xml:space="preserve"> [≈ églises/synagogues] (v. 40) : d’origine persane ou araméenne (« </w:t>
      </w:r>
      <w:r w:rsidRPr="007C6A42">
        <w:rPr>
          <w:rFonts w:asciiTheme="majorBidi" w:hAnsiTheme="majorBidi" w:cstheme="majorBidi"/>
          <w:i/>
          <w:iCs/>
          <w:sz w:val="24"/>
          <w:szCs w:val="24"/>
        </w:rPr>
        <w:t>bīʿthā</w:t>
      </w:r>
      <w:r w:rsidRPr="007C6A42">
        <w:rPr>
          <w:rFonts w:asciiTheme="majorBidi" w:hAnsiTheme="majorBidi" w:cstheme="majorBidi"/>
          <w:sz w:val="24"/>
          <w:szCs w:val="24"/>
        </w:rPr>
        <w:t> »)</w:t>
      </w:r>
      <w:r w:rsidRPr="007C6A42">
        <w:rPr>
          <w:rStyle w:val="Appelnotedebasdep"/>
          <w:rFonts w:asciiTheme="majorBidi" w:hAnsiTheme="majorBidi" w:cstheme="majorBidi"/>
          <w:sz w:val="24"/>
          <w:szCs w:val="24"/>
        </w:rPr>
        <w:footnoteReference w:id="492"/>
      </w:r>
      <w:r w:rsidRPr="007C6A42">
        <w:rPr>
          <w:rFonts w:asciiTheme="majorBidi" w:hAnsiTheme="majorBidi" w:cstheme="majorBidi"/>
          <w:sz w:val="24"/>
          <w:szCs w:val="24"/>
        </w:rPr>
        <w:t> ;</w:t>
      </w:r>
    </w:p>
    <w:p w14:paraId="6D48068A" w14:textId="77777777" w:rsidR="00A70B78" w:rsidRPr="007C6A42" w:rsidRDefault="00A70B78" w:rsidP="00876BB0">
      <w:pPr>
        <w:pStyle w:val="Paragraphedeliste"/>
        <w:numPr>
          <w:ilvl w:val="0"/>
          <w:numId w:val="10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i/>
          <w:iCs/>
          <w:sz w:val="24"/>
          <w:szCs w:val="24"/>
        </w:rPr>
        <w:t>ṣalawāt</w:t>
      </w:r>
      <w:r w:rsidRPr="007C6A42">
        <w:rPr>
          <w:rFonts w:asciiTheme="majorBidi" w:hAnsiTheme="majorBidi" w:cstheme="majorBidi"/>
          <w:sz w:val="24"/>
          <w:szCs w:val="24"/>
        </w:rPr>
        <w:t xml:space="preserve"> [≈ synagogues] (v. 40) : d’origine hébraïque</w:t>
      </w:r>
      <w:r w:rsidRPr="007C6A42">
        <w:rPr>
          <w:rStyle w:val="Appelnotedebasdep"/>
          <w:rFonts w:asciiTheme="majorBidi" w:hAnsiTheme="majorBidi" w:cstheme="majorBidi"/>
          <w:sz w:val="24"/>
          <w:szCs w:val="24"/>
        </w:rPr>
        <w:footnoteReference w:id="493"/>
      </w:r>
      <w:r w:rsidRPr="007C6A42">
        <w:rPr>
          <w:rFonts w:asciiTheme="majorBidi" w:hAnsiTheme="majorBidi" w:cstheme="majorBidi"/>
          <w:sz w:val="24"/>
          <w:szCs w:val="24"/>
        </w:rPr>
        <w:t xml:space="preserve">. </w:t>
      </w:r>
    </w:p>
    <w:p w14:paraId="7F2FD823" w14:textId="77777777" w:rsidR="00A70B78" w:rsidRPr="007C6A42" w:rsidRDefault="00A70B78" w:rsidP="00A70B78">
      <w:pPr>
        <w:spacing w:line="360" w:lineRule="auto"/>
        <w:contextualSpacing/>
        <w:jc w:val="both"/>
        <w:rPr>
          <w:rFonts w:asciiTheme="majorBidi" w:hAnsiTheme="majorBidi" w:cstheme="majorBidi"/>
        </w:rPr>
      </w:pPr>
    </w:p>
    <w:p w14:paraId="6983A83B"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Selon Berman, « toute </w:t>
      </w:r>
      <w:r w:rsidRPr="007C6A42">
        <w:rPr>
          <w:rFonts w:asciiTheme="majorBidi" w:eastAsia="Times New Roman" w:hAnsiTheme="majorBidi" w:cstheme="majorBidi"/>
          <w:i/>
          <w:iCs/>
        </w:rPr>
        <w:t xml:space="preserve">théorie </w:t>
      </w:r>
      <w:r w:rsidRPr="007C6A42">
        <w:rPr>
          <w:rFonts w:asciiTheme="majorBidi" w:eastAsia="Times New Roman" w:hAnsiTheme="majorBidi" w:cstheme="majorBidi"/>
        </w:rPr>
        <w:t>de la traduction est la théorisation de la destruction de la lettre au profit du sens. »</w:t>
      </w:r>
      <w:r w:rsidRPr="007C6A42">
        <w:rPr>
          <w:rStyle w:val="Appelnotedebasdep"/>
          <w:rFonts w:asciiTheme="majorBidi" w:eastAsia="Calibri" w:hAnsiTheme="majorBidi" w:cstheme="majorBidi"/>
          <w:lang w:bidi="ar-AE"/>
        </w:rPr>
        <w:footnoteReference w:id="494"/>
      </w:r>
    </w:p>
    <w:p w14:paraId="7AD9C076"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rPr>
        <w:t>La traduction régie par ces tendances déformantes est iconoclaste. Elle défait les rapports spécifiques que l’œuvre a institué entre la lettre et le sens, rapport où c’est la lettre qui absorbe le sens.</w:t>
      </w:r>
    </w:p>
    <w:p w14:paraId="0EB977B1" w14:textId="77777777" w:rsidR="00A70B78" w:rsidRPr="007C6A42" w:rsidRDefault="00A70B78" w:rsidP="00A70B78">
      <w:pPr>
        <w:spacing w:line="360" w:lineRule="auto"/>
        <w:ind w:firstLine="720"/>
        <w:contextualSpacing/>
        <w:jc w:val="both"/>
        <w:rPr>
          <w:rFonts w:asciiTheme="majorBidi" w:hAnsiTheme="majorBidi" w:cstheme="majorBidi"/>
        </w:rPr>
      </w:pPr>
      <w:r w:rsidRPr="007C6A42">
        <w:rPr>
          <w:rFonts w:asciiTheme="majorBidi" w:eastAsia="Times New Roman" w:hAnsiTheme="majorBidi" w:cstheme="majorBidi"/>
        </w:rPr>
        <w:t xml:space="preserve">À mon sens, le processus de la traduction peut être comparée à celui du </w:t>
      </w:r>
      <w:r w:rsidRPr="007C6A42">
        <w:rPr>
          <w:rFonts w:asciiTheme="majorBidi" w:eastAsia="Times New Roman" w:hAnsiTheme="majorBidi" w:cstheme="majorBidi"/>
          <w:i/>
          <w:iCs/>
        </w:rPr>
        <w:t>ha</w:t>
      </w:r>
      <w:r w:rsidRPr="007C6A42">
        <w:rPr>
          <w:rFonts w:asciiTheme="majorBidi" w:hAnsiTheme="majorBidi" w:cstheme="majorBidi"/>
          <w:i/>
          <w:iCs/>
        </w:rPr>
        <w:t>ḍm</w:t>
      </w:r>
      <w:r w:rsidRPr="007C6A42">
        <w:rPr>
          <w:rFonts w:asciiTheme="majorBidi" w:hAnsiTheme="majorBidi" w:cstheme="majorBidi"/>
        </w:rPr>
        <w:t xml:space="preserve"> [digestion] contenant essentiellement deux phases : </w:t>
      </w:r>
      <w:r w:rsidRPr="007C6A42">
        <w:rPr>
          <w:rFonts w:asciiTheme="majorBidi" w:hAnsiTheme="majorBidi" w:cstheme="majorBidi"/>
          <w:i/>
          <w:iCs/>
        </w:rPr>
        <w:t>hadm</w:t>
      </w:r>
      <w:r w:rsidRPr="007C6A42">
        <w:rPr>
          <w:rFonts w:asciiTheme="majorBidi" w:hAnsiTheme="majorBidi" w:cstheme="majorBidi"/>
        </w:rPr>
        <w:t xml:space="preserve"> [destruction/réduction en bouillie] et </w:t>
      </w:r>
      <w:r w:rsidRPr="007C6A42">
        <w:rPr>
          <w:rFonts w:asciiTheme="majorBidi" w:hAnsiTheme="majorBidi" w:cstheme="majorBidi"/>
          <w:i/>
          <w:iCs/>
        </w:rPr>
        <w:t>ḍamm</w:t>
      </w:r>
      <w:r w:rsidRPr="007C6A42">
        <w:rPr>
          <w:rFonts w:asciiTheme="majorBidi" w:hAnsiTheme="majorBidi" w:cstheme="majorBidi"/>
        </w:rPr>
        <w:t xml:space="preserve"> [annexion/assimilation]. Traduire semble être détruire, réduire et reconstruire.</w:t>
      </w:r>
    </w:p>
    <w:p w14:paraId="7C31687C" w14:textId="77777777" w:rsidR="00A70B78" w:rsidRPr="007C6A42" w:rsidRDefault="00A70B78" w:rsidP="00A70B78">
      <w:pPr>
        <w:spacing w:line="360" w:lineRule="auto"/>
        <w:ind w:firstLine="720"/>
        <w:contextualSpacing/>
        <w:jc w:val="both"/>
        <w:rPr>
          <w:rFonts w:asciiTheme="majorBidi" w:hAnsiTheme="majorBidi" w:cstheme="majorBidi"/>
        </w:rPr>
      </w:pPr>
      <w:r w:rsidRPr="007C6A42">
        <w:rPr>
          <w:rFonts w:asciiTheme="majorBidi" w:hAnsiTheme="majorBidi" w:cstheme="majorBidi"/>
        </w:rPr>
        <w:t xml:space="preserve">Prenons cet exemple pour voir le </w:t>
      </w:r>
      <w:r w:rsidRPr="007C6A42">
        <w:rPr>
          <w:rFonts w:asciiTheme="majorBidi" w:hAnsiTheme="majorBidi" w:cstheme="majorBidi"/>
          <w:i/>
          <w:iCs/>
        </w:rPr>
        <w:t>hadm</w:t>
      </w:r>
      <w:r w:rsidRPr="007C6A42">
        <w:rPr>
          <w:rFonts w:asciiTheme="majorBidi" w:hAnsiTheme="majorBidi" w:cstheme="majorBidi"/>
        </w:rPr>
        <w:t xml:space="preserve"> [« </w:t>
      </w:r>
      <w:r w:rsidRPr="007C6A42">
        <w:rPr>
          <w:rFonts w:asciiTheme="majorBidi" w:eastAsia="Times New Roman" w:hAnsiTheme="majorBidi" w:cstheme="majorBidi"/>
        </w:rPr>
        <w:t>destruction de la lettre au profit du sens », selon les termes de Berman</w:t>
      </w:r>
      <w:r w:rsidRPr="007C6A42">
        <w:rPr>
          <w:rStyle w:val="Appelnotedebasdep"/>
          <w:rFonts w:asciiTheme="majorBidi" w:eastAsia="Times New Roman" w:hAnsiTheme="majorBidi" w:cstheme="majorBidi"/>
        </w:rPr>
        <w:footnoteReference w:id="495"/>
      </w:r>
      <w:r w:rsidRPr="007C6A42">
        <w:rPr>
          <w:rFonts w:asciiTheme="majorBidi" w:hAnsiTheme="majorBidi" w:cstheme="majorBidi"/>
        </w:rPr>
        <w:t xml:space="preserve">] et le </w:t>
      </w:r>
      <w:r w:rsidRPr="007C6A42">
        <w:rPr>
          <w:rFonts w:asciiTheme="majorBidi" w:hAnsiTheme="majorBidi" w:cstheme="majorBidi"/>
          <w:i/>
          <w:iCs/>
        </w:rPr>
        <w:t>ḍamm</w:t>
      </w:r>
      <w:r w:rsidRPr="007C6A42">
        <w:rPr>
          <w:rFonts w:asciiTheme="majorBidi" w:hAnsiTheme="majorBidi" w:cstheme="majorBidi"/>
        </w:rPr>
        <w:t xml:space="preserve"> [« annexion du sens », selon les termes de Berman</w:t>
      </w:r>
      <w:r w:rsidRPr="007C6A42">
        <w:rPr>
          <w:rStyle w:val="Appelnotedebasdep"/>
          <w:rFonts w:asciiTheme="majorBidi" w:hAnsiTheme="majorBidi" w:cstheme="majorBidi"/>
        </w:rPr>
        <w:footnoteReference w:id="496"/>
      </w:r>
      <w:r w:rsidRPr="007C6A42">
        <w:rPr>
          <w:rFonts w:asciiTheme="majorBidi" w:hAnsiTheme="majorBidi" w:cstheme="majorBidi"/>
        </w:rPr>
        <w:t>] dans la traduction :</w:t>
      </w:r>
    </w:p>
    <w:tbl>
      <w:tblPr>
        <w:tblStyle w:val="Grilledutableau"/>
        <w:tblW w:w="0" w:type="auto"/>
        <w:tblInd w:w="-338" w:type="dxa"/>
        <w:tblLook w:val="04A0" w:firstRow="1" w:lastRow="0" w:firstColumn="1" w:lastColumn="0" w:noHBand="0" w:noVBand="1"/>
      </w:tblPr>
      <w:tblGrid>
        <w:gridCol w:w="2034"/>
        <w:gridCol w:w="7880"/>
      </w:tblGrid>
      <w:tr w:rsidR="00A70B78" w:rsidRPr="007C6A42" w14:paraId="5D8759F9" w14:textId="77777777" w:rsidTr="00AF4FC9">
        <w:tc>
          <w:tcPr>
            <w:tcW w:w="2034" w:type="dxa"/>
          </w:tcPr>
          <w:p w14:paraId="0E825D2D" w14:textId="77777777" w:rsidR="00A70B78" w:rsidRPr="007C6A42" w:rsidRDefault="00A70B78" w:rsidP="00AF4FC9">
            <w:pPr>
              <w:bidi/>
              <w:rPr>
                <w:rFonts w:asciiTheme="majorBidi" w:hAnsiTheme="majorBidi" w:cstheme="majorBidi"/>
                <w:shd w:val="clear" w:color="auto" w:fill="FFFFFF"/>
                <w:rtl/>
              </w:rPr>
            </w:pPr>
          </w:p>
        </w:tc>
        <w:tc>
          <w:tcPr>
            <w:tcW w:w="7880" w:type="dxa"/>
          </w:tcPr>
          <w:p w14:paraId="3A3D5234" w14:textId="77777777" w:rsidR="00A70B78" w:rsidRPr="007C6A42" w:rsidRDefault="00A70B78" w:rsidP="00AF4FC9">
            <w:pPr>
              <w:bidi/>
              <w:rPr>
                <w:rFonts w:asciiTheme="majorBidi" w:hAnsiTheme="majorBidi" w:cstheme="majorBidi"/>
                <w:shd w:val="clear" w:color="auto" w:fill="FFFFFF"/>
                <w:rtl/>
              </w:rPr>
            </w:pPr>
            <w:r w:rsidRPr="007C6A42">
              <w:rPr>
                <w:rFonts w:asciiTheme="majorBidi" w:hAnsiTheme="majorBidi" w:cstheme="majorBidi"/>
                <w:shd w:val="clear" w:color="auto" w:fill="FFFFFF"/>
                <w:rtl/>
              </w:rPr>
              <w:t>"</w:t>
            </w:r>
            <w:r w:rsidRPr="007C6A42">
              <w:rPr>
                <w:rFonts w:asciiTheme="majorBidi" w:hAnsiTheme="majorBidi" w:cstheme="majorBidi"/>
                <w:b/>
                <w:bCs/>
                <w:u w:val="single"/>
                <w:shd w:val="clear" w:color="auto" w:fill="FFFFFF"/>
                <w:rtl/>
              </w:rPr>
              <w:t>و</w:t>
            </w:r>
            <w:r w:rsidRPr="007C6A42">
              <w:rPr>
                <w:rFonts w:asciiTheme="majorBidi" w:hAnsiTheme="majorBidi" w:cstheme="majorBidi"/>
                <w:shd w:val="clear" w:color="auto" w:fill="FFFFFF"/>
                <w:rtl/>
              </w:rPr>
              <w:t xml:space="preserve">كثيرٌ حَقَّ عليه </w:t>
            </w:r>
            <w:r w:rsidRPr="007C6A42">
              <w:rPr>
                <w:rFonts w:asciiTheme="majorBidi" w:hAnsiTheme="majorBidi" w:cstheme="majorBidi"/>
                <w:b/>
                <w:bCs/>
                <w:shd w:val="clear" w:color="auto" w:fill="FFFFFF"/>
                <w:rtl/>
              </w:rPr>
              <w:t xml:space="preserve">العذابُ </w:t>
            </w:r>
            <w:r w:rsidRPr="007C6A42">
              <w:rPr>
                <w:rFonts w:asciiTheme="majorBidi" w:hAnsiTheme="majorBidi" w:cstheme="majorBidi"/>
                <w:b/>
                <w:bCs/>
                <w:u w:val="single"/>
                <w:shd w:val="clear" w:color="auto" w:fill="FFFFFF"/>
                <w:rtl/>
              </w:rPr>
              <w:t>و</w:t>
            </w:r>
            <w:r w:rsidRPr="007C6A42">
              <w:rPr>
                <w:rFonts w:asciiTheme="majorBidi" w:hAnsiTheme="majorBidi" w:cstheme="majorBidi"/>
                <w:shd w:val="clear" w:color="auto" w:fill="FFFFFF"/>
                <w:rtl/>
              </w:rPr>
              <w:t>من</w:t>
            </w:r>
            <w:r w:rsidRPr="007C6A42">
              <w:rPr>
                <w:rFonts w:asciiTheme="majorBidi" w:hAnsiTheme="majorBidi" w:cstheme="majorBidi"/>
                <w:b/>
                <w:bCs/>
                <w:u w:val="single"/>
                <w:shd w:val="clear" w:color="auto" w:fill="FFFFFF"/>
                <w:rtl/>
              </w:rPr>
              <w:t xml:space="preserve"> يُهِنِ </w:t>
            </w:r>
            <w:r w:rsidRPr="007C6A42">
              <w:rPr>
                <w:rFonts w:asciiTheme="majorBidi" w:hAnsiTheme="majorBidi" w:cstheme="majorBidi"/>
                <w:shd w:val="clear" w:color="auto" w:fill="FFFFFF"/>
                <w:rtl/>
              </w:rPr>
              <w:t xml:space="preserve">اللَهُ فما </w:t>
            </w:r>
            <w:r w:rsidRPr="007C6A42">
              <w:rPr>
                <w:rFonts w:asciiTheme="majorBidi" w:hAnsiTheme="majorBidi" w:cstheme="majorBidi"/>
                <w:b/>
                <w:bCs/>
                <w:u w:val="single"/>
                <w:shd w:val="clear" w:color="auto" w:fill="FFFFFF"/>
                <w:rtl/>
              </w:rPr>
              <w:t>له</w:t>
            </w:r>
            <w:r w:rsidRPr="007C6A42">
              <w:rPr>
                <w:rFonts w:asciiTheme="majorBidi" w:hAnsiTheme="majorBidi" w:cstheme="majorBidi"/>
                <w:shd w:val="clear" w:color="auto" w:fill="FFFFFF"/>
                <w:rtl/>
              </w:rPr>
              <w:t xml:space="preserve"> من مُكْرِمٍ" (١٨)</w:t>
            </w:r>
          </w:p>
        </w:tc>
      </w:tr>
      <w:tr w:rsidR="00A70B78" w:rsidRPr="007C6A42" w14:paraId="6EE2B515" w14:textId="77777777" w:rsidTr="00AF4FC9">
        <w:tc>
          <w:tcPr>
            <w:tcW w:w="2034" w:type="dxa"/>
          </w:tcPr>
          <w:p w14:paraId="2C93916E" w14:textId="77777777" w:rsidR="00A70B78" w:rsidRPr="007C6A42" w:rsidRDefault="00A70B78" w:rsidP="00AF4FC9">
            <w:pPr>
              <w:jc w:val="both"/>
              <w:rPr>
                <w:rFonts w:asciiTheme="majorBidi" w:hAnsiTheme="majorBidi" w:cstheme="majorBidi"/>
                <w:shd w:val="clear" w:color="auto" w:fill="FFFFFF"/>
                <w:rtl/>
              </w:rPr>
            </w:pPr>
            <w:r w:rsidRPr="007C6A42">
              <w:rPr>
                <w:rFonts w:asciiTheme="majorBidi" w:hAnsiTheme="majorBidi" w:cstheme="majorBidi"/>
                <w:shd w:val="clear" w:color="auto" w:fill="FFFFFF"/>
              </w:rPr>
              <w:t>Trad. litt.</w:t>
            </w:r>
          </w:p>
        </w:tc>
        <w:tc>
          <w:tcPr>
            <w:tcW w:w="7880" w:type="dxa"/>
          </w:tcPr>
          <w:p w14:paraId="343EF8FC" w14:textId="77777777" w:rsidR="00A70B78" w:rsidRPr="007C6A42" w:rsidRDefault="00A70B78" w:rsidP="00AF4FC9">
            <w:pPr>
              <w:jc w:val="both"/>
              <w:rPr>
                <w:rFonts w:asciiTheme="majorBidi" w:hAnsiTheme="majorBidi" w:cstheme="majorBidi"/>
                <w:shd w:val="clear" w:color="auto" w:fill="FFFFFF"/>
                <w:rtl/>
              </w:rPr>
            </w:pPr>
            <w:r w:rsidRPr="007C6A42">
              <w:rPr>
                <w:rFonts w:asciiTheme="majorBidi" w:hAnsiTheme="majorBidi" w:cstheme="majorBidi"/>
              </w:rPr>
              <w:t>« </w:t>
            </w:r>
            <w:r w:rsidRPr="007C6A42">
              <w:rPr>
                <w:rFonts w:asciiTheme="majorBidi" w:hAnsiTheme="majorBidi" w:cstheme="majorBidi"/>
                <w:b/>
                <w:bCs/>
                <w:u w:val="single"/>
              </w:rPr>
              <w:t>Et</w:t>
            </w:r>
            <w:r w:rsidRPr="007C6A42">
              <w:rPr>
                <w:rFonts w:asciiTheme="majorBidi" w:hAnsiTheme="majorBidi" w:cstheme="majorBidi"/>
              </w:rPr>
              <w:t xml:space="preserve"> sur beaucoup se confirme </w:t>
            </w:r>
            <w:r w:rsidRPr="007C6A42">
              <w:rPr>
                <w:rFonts w:asciiTheme="majorBidi" w:hAnsiTheme="majorBidi" w:cstheme="majorBidi"/>
                <w:b/>
                <w:bCs/>
                <w:u w:val="single"/>
              </w:rPr>
              <w:t>le tourment</w:t>
            </w:r>
            <w:r w:rsidRPr="007C6A42">
              <w:rPr>
                <w:rFonts w:asciiTheme="majorBidi" w:hAnsiTheme="majorBidi" w:cstheme="majorBidi"/>
              </w:rPr>
              <w:t xml:space="preserve">, </w:t>
            </w:r>
            <w:r w:rsidRPr="007C6A42">
              <w:rPr>
                <w:rFonts w:asciiTheme="majorBidi" w:hAnsiTheme="majorBidi" w:cstheme="majorBidi"/>
                <w:b/>
                <w:bCs/>
                <w:u w:val="single"/>
              </w:rPr>
              <w:t>et</w:t>
            </w:r>
            <w:r w:rsidRPr="007C6A42">
              <w:rPr>
                <w:rFonts w:asciiTheme="majorBidi" w:hAnsiTheme="majorBidi" w:cstheme="majorBidi"/>
              </w:rPr>
              <w:t xml:space="preserve"> celui </w:t>
            </w:r>
            <w:r w:rsidRPr="007C6A42">
              <w:rPr>
                <w:rFonts w:asciiTheme="majorBidi" w:hAnsiTheme="majorBidi" w:cstheme="majorBidi"/>
                <w:b/>
                <w:bCs/>
                <w:u w:val="single"/>
              </w:rPr>
              <w:t>qu’</w:t>
            </w:r>
            <w:r w:rsidRPr="007C6A42">
              <w:rPr>
                <w:rFonts w:asciiTheme="majorBidi" w:hAnsiTheme="majorBidi" w:cstheme="majorBidi"/>
              </w:rPr>
              <w:t>Allah</w:t>
            </w:r>
            <w:r w:rsidRPr="007C6A42">
              <w:rPr>
                <w:rFonts w:asciiTheme="majorBidi" w:hAnsiTheme="majorBidi" w:cstheme="majorBidi"/>
                <w:b/>
                <w:bCs/>
                <w:u w:val="single"/>
              </w:rPr>
              <w:t xml:space="preserve"> humilie</w:t>
            </w:r>
            <w:r w:rsidRPr="007C6A42">
              <w:rPr>
                <w:rFonts w:asciiTheme="majorBidi" w:hAnsiTheme="majorBidi" w:cstheme="majorBidi"/>
              </w:rPr>
              <w:t xml:space="preserve"> n’</w:t>
            </w:r>
            <w:r w:rsidRPr="007C6A42">
              <w:rPr>
                <w:rFonts w:asciiTheme="majorBidi" w:hAnsiTheme="majorBidi" w:cstheme="majorBidi"/>
                <w:b/>
                <w:bCs/>
              </w:rPr>
              <w:t>a</w:t>
            </w:r>
            <w:r w:rsidRPr="007C6A42">
              <w:rPr>
                <w:rFonts w:asciiTheme="majorBidi" w:hAnsiTheme="majorBidi" w:cstheme="majorBidi"/>
              </w:rPr>
              <w:t xml:space="preserve"> pas d’honorificateur »</w:t>
            </w:r>
          </w:p>
        </w:tc>
      </w:tr>
      <w:tr w:rsidR="00A70B78" w:rsidRPr="007C6A42" w14:paraId="35BD9D77" w14:textId="77777777" w:rsidTr="00AF4FC9">
        <w:tc>
          <w:tcPr>
            <w:tcW w:w="2034" w:type="dxa"/>
          </w:tcPr>
          <w:p w14:paraId="0A49E928" w14:textId="77777777" w:rsidR="00A70B78" w:rsidRPr="007C6A42" w:rsidRDefault="00A70B78" w:rsidP="00AF4FC9">
            <w:pPr>
              <w:pStyle w:val="Paragraphedeliste"/>
              <w:bidi w:val="0"/>
              <w:spacing w:line="360" w:lineRule="auto"/>
              <w:ind w:left="0"/>
              <w:contextualSpacing/>
              <w:jc w:val="both"/>
              <w:rPr>
                <w:rFonts w:asciiTheme="majorBidi" w:hAnsiTheme="majorBidi" w:cstheme="majorBidi"/>
                <w:sz w:val="24"/>
                <w:szCs w:val="24"/>
              </w:rPr>
            </w:pPr>
            <w:r w:rsidRPr="007C6A42">
              <w:rPr>
                <w:rFonts w:asciiTheme="majorBidi" w:hAnsiTheme="majorBidi" w:cstheme="majorBidi"/>
                <w:sz w:val="24"/>
                <w:szCs w:val="24"/>
              </w:rPr>
              <w:t>Trad. de Chebel (2009)</w:t>
            </w:r>
          </w:p>
        </w:tc>
        <w:tc>
          <w:tcPr>
            <w:tcW w:w="7880" w:type="dxa"/>
          </w:tcPr>
          <w:p w14:paraId="50826731" w14:textId="77777777" w:rsidR="00A70B78" w:rsidRPr="007C6A42" w:rsidRDefault="00A70B78" w:rsidP="00AF4FC9">
            <w:pPr>
              <w:pStyle w:val="Paragraphedeliste"/>
              <w:bidi w:val="0"/>
              <w:spacing w:line="360" w:lineRule="auto"/>
              <w:ind w:left="0"/>
              <w:contextualSpacing/>
              <w:jc w:val="both"/>
              <w:rPr>
                <w:rFonts w:asciiTheme="majorBidi" w:hAnsiTheme="majorBidi" w:cstheme="majorBidi"/>
                <w:sz w:val="24"/>
                <w:szCs w:val="24"/>
              </w:rPr>
            </w:pPr>
            <w:r w:rsidRPr="007C6A42">
              <w:rPr>
                <w:rFonts w:asciiTheme="majorBidi" w:hAnsiTheme="majorBidi" w:cstheme="majorBidi"/>
                <w:sz w:val="24"/>
                <w:szCs w:val="24"/>
              </w:rPr>
              <w:t>« </w:t>
            </w:r>
            <w:r w:rsidRPr="007C6A42">
              <w:rPr>
                <w:rFonts w:asciiTheme="majorBidi" w:hAnsiTheme="majorBidi" w:cstheme="majorBidi"/>
                <w:b/>
                <w:bCs/>
                <w:sz w:val="24"/>
                <w:szCs w:val="24"/>
                <w:u w:val="single"/>
              </w:rPr>
              <w:t>Mais</w:t>
            </w:r>
            <w:r w:rsidRPr="007C6A42">
              <w:rPr>
                <w:rFonts w:asciiTheme="majorBidi" w:hAnsiTheme="majorBidi" w:cstheme="majorBidi"/>
                <w:sz w:val="24"/>
                <w:szCs w:val="24"/>
              </w:rPr>
              <w:t xml:space="preserve"> beaucoup méritent </w:t>
            </w:r>
            <w:r w:rsidRPr="007C6A42">
              <w:rPr>
                <w:rFonts w:asciiTheme="majorBidi" w:hAnsiTheme="majorBidi" w:cstheme="majorBidi"/>
                <w:b/>
                <w:bCs/>
                <w:sz w:val="24"/>
                <w:szCs w:val="24"/>
                <w:u w:val="single"/>
              </w:rPr>
              <w:t>les pires tourments</w:t>
            </w:r>
            <w:r w:rsidRPr="007C6A42">
              <w:rPr>
                <w:rFonts w:asciiTheme="majorBidi" w:hAnsiTheme="majorBidi" w:cstheme="majorBidi"/>
                <w:sz w:val="24"/>
                <w:szCs w:val="24"/>
              </w:rPr>
              <w:t xml:space="preserve">, </w:t>
            </w:r>
            <w:r w:rsidRPr="007C6A42">
              <w:rPr>
                <w:rFonts w:asciiTheme="majorBidi" w:hAnsiTheme="majorBidi" w:cstheme="majorBidi"/>
                <w:b/>
                <w:bCs/>
                <w:sz w:val="24"/>
                <w:szCs w:val="24"/>
                <w:u w:val="single"/>
              </w:rPr>
              <w:t>car</w:t>
            </w:r>
            <w:r w:rsidRPr="007C6A42">
              <w:rPr>
                <w:rFonts w:asciiTheme="majorBidi" w:hAnsiTheme="majorBidi" w:cstheme="majorBidi"/>
                <w:sz w:val="24"/>
                <w:szCs w:val="24"/>
              </w:rPr>
              <w:t xml:space="preserve"> celui </w:t>
            </w:r>
            <w:r w:rsidRPr="007C6A42">
              <w:rPr>
                <w:rFonts w:asciiTheme="majorBidi" w:hAnsiTheme="majorBidi" w:cstheme="majorBidi"/>
                <w:b/>
                <w:bCs/>
                <w:sz w:val="24"/>
                <w:szCs w:val="24"/>
                <w:u w:val="single"/>
              </w:rPr>
              <w:t xml:space="preserve">qui néglige </w:t>
            </w:r>
            <w:r w:rsidRPr="007C6A42">
              <w:rPr>
                <w:rFonts w:asciiTheme="majorBidi" w:hAnsiTheme="majorBidi" w:cstheme="majorBidi"/>
                <w:sz w:val="24"/>
                <w:szCs w:val="24"/>
              </w:rPr>
              <w:t xml:space="preserve">Allah ne </w:t>
            </w:r>
            <w:r w:rsidRPr="007C6A42">
              <w:rPr>
                <w:rFonts w:asciiTheme="majorBidi" w:hAnsiTheme="majorBidi" w:cstheme="majorBidi"/>
                <w:b/>
                <w:bCs/>
                <w:sz w:val="24"/>
                <w:szCs w:val="24"/>
                <w:u w:val="single"/>
              </w:rPr>
              <w:t>trouvera</w:t>
            </w:r>
            <w:r w:rsidRPr="007C6A42">
              <w:rPr>
                <w:rFonts w:asciiTheme="majorBidi" w:hAnsiTheme="majorBidi" w:cstheme="majorBidi"/>
                <w:sz w:val="24"/>
                <w:szCs w:val="24"/>
              </w:rPr>
              <w:t xml:space="preserve"> personne pour l’honorer »  (v. 18)</w:t>
            </w:r>
          </w:p>
        </w:tc>
      </w:tr>
    </w:tbl>
    <w:p w14:paraId="464EAFD4" w14:textId="77777777" w:rsidR="00A70B78" w:rsidRPr="007C6A42" w:rsidRDefault="00A70B78" w:rsidP="00A70B78">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ab/>
        <w:t>Dans le processus de la traduction (</w:t>
      </w:r>
      <w:r w:rsidRPr="007C6A42">
        <w:rPr>
          <w:rFonts w:asciiTheme="majorBidi" w:eastAsia="Times New Roman" w:hAnsiTheme="majorBidi" w:cstheme="majorBidi"/>
          <w:i/>
          <w:iCs/>
        </w:rPr>
        <w:t>ha</w:t>
      </w:r>
      <w:r w:rsidRPr="007C6A42">
        <w:rPr>
          <w:rFonts w:asciiTheme="majorBidi" w:hAnsiTheme="majorBidi" w:cstheme="majorBidi"/>
          <w:i/>
          <w:iCs/>
        </w:rPr>
        <w:t>ḍm</w:t>
      </w:r>
      <w:r w:rsidRPr="007C6A42">
        <w:rPr>
          <w:rFonts w:asciiTheme="majorBidi" w:eastAsia="Times New Roman" w:hAnsiTheme="majorBidi" w:cstheme="majorBidi"/>
        </w:rPr>
        <w:t>), la phase de la destruction (</w:t>
      </w:r>
      <w:r w:rsidRPr="007C6A42">
        <w:rPr>
          <w:rFonts w:asciiTheme="majorBidi" w:hAnsiTheme="majorBidi" w:cstheme="majorBidi"/>
          <w:i/>
          <w:iCs/>
        </w:rPr>
        <w:t>hadm</w:t>
      </w:r>
      <w:r w:rsidRPr="007C6A42">
        <w:rPr>
          <w:rFonts w:asciiTheme="majorBidi" w:eastAsia="Times New Roman" w:hAnsiTheme="majorBidi" w:cstheme="majorBidi"/>
        </w:rPr>
        <w:t>) commence quand le traducteur, conditionné par son arrière-plan et les pensées et la façon d’écrire de son époque, lit, découpe, analyse et comprend la phrase à traduire. La phase de l’annexion (</w:t>
      </w:r>
      <w:r w:rsidRPr="007C6A42">
        <w:rPr>
          <w:rFonts w:asciiTheme="majorBidi" w:hAnsiTheme="majorBidi" w:cstheme="majorBidi"/>
          <w:i/>
          <w:iCs/>
        </w:rPr>
        <w:t>ḍamm</w:t>
      </w:r>
      <w:r w:rsidRPr="007C6A42">
        <w:rPr>
          <w:rFonts w:asciiTheme="majorBidi" w:eastAsia="Times New Roman" w:hAnsiTheme="majorBidi" w:cstheme="majorBidi"/>
        </w:rPr>
        <w:t xml:space="preserve">) du sens se réalise quand le traducteur choisit ses termes et construit sa phrase dans l’autre langue. Puisqu’il voudrait probablement donner une traduction plus belle (cibliste), Chebel utilise ici les connecteurs logiques « mais » et « car » qui n’existent pas dans la phrase de départ. Cela modifie la polysémie des énoncés (la polysémie de la phrase) en ajoutant l’idée d’opposition (« mais ») et de causalité (« car »). Il s’agit là des tendances de rationalisation, de clarification et d’ennoblissement. En outre, le traducteur a recours à l’augmentatif, à l’intensif, et allonge sa </w:t>
      </w:r>
      <w:r w:rsidRPr="007C6A42">
        <w:rPr>
          <w:rFonts w:asciiTheme="majorBidi" w:eastAsia="Times New Roman" w:hAnsiTheme="majorBidi" w:cstheme="majorBidi"/>
        </w:rPr>
        <w:lastRenderedPageBreak/>
        <w:t xml:space="preserve">traduction en utilisant le superlatif au pluriel « pires » qui n’existe pas non plus dans la phrase arabe. Ici, Chebel semble influencé par les exégètes qui insistent avec exagération sur l’explication des termes qui mettent l’accent sur le tourment. Dans ce processus d’annexion, Chebel choisit le verbe au présent « néglige » pour traduire le verbe à l’apocopé </w:t>
      </w:r>
      <w:r w:rsidRPr="007C6A42">
        <w:rPr>
          <w:rFonts w:asciiTheme="majorBidi" w:eastAsia="Times New Roman" w:hAnsiTheme="majorBidi" w:cstheme="majorBidi"/>
          <w:i/>
          <w:iCs/>
        </w:rPr>
        <w:t>yuhin</w:t>
      </w:r>
      <w:r w:rsidRPr="007C6A42">
        <w:rPr>
          <w:rFonts w:asciiTheme="majorBidi" w:eastAsia="Times New Roman" w:hAnsiTheme="majorBidi" w:cstheme="majorBidi"/>
        </w:rPr>
        <w:t xml:space="preserve"> [il humilie] et inverse, en plus, le sujet et le COD ; il utilise </w:t>
      </w:r>
      <w:r w:rsidRPr="007C6A42">
        <w:rPr>
          <w:rFonts w:asciiTheme="majorBidi" w:eastAsia="Times New Roman" w:hAnsiTheme="majorBidi" w:cstheme="majorBidi"/>
          <w:i/>
          <w:iCs/>
        </w:rPr>
        <w:t>Allah</w:t>
      </w:r>
      <w:r w:rsidRPr="007C6A42">
        <w:rPr>
          <w:rFonts w:asciiTheme="majorBidi" w:eastAsia="Times New Roman" w:hAnsiTheme="majorBidi" w:cstheme="majorBidi"/>
        </w:rPr>
        <w:t xml:space="preserve"> comme COD alors qu’il est sujet dans la phrase arabe. Comment cette erreur s’est glissée dans la traduction de Chebel ? Nous ne dirons pas qu’elle est due au manque d’expérience linguistique et islamologique (du fait que Chebel est anthropologue), mais au fait que le traducteur n’a probablement pas consulté les exégèses (au moins pour ce verset). Il est peut-être parti d’une traduction précédente et a apporté des modifications. Il y a seulement deux traductions (précédentes) qui ont fait cette inversion : celle de </w:t>
      </w:r>
      <w:r w:rsidRPr="007C6A42">
        <w:rPr>
          <w:rFonts w:asciiTheme="majorBidi" w:hAnsiTheme="majorBidi" w:cstheme="majorBidi"/>
        </w:rPr>
        <w:t>Blachère (1949) (« </w:t>
      </w:r>
      <w:r w:rsidRPr="007C6A42">
        <w:rPr>
          <w:rFonts w:asciiTheme="majorBidi" w:hAnsiTheme="majorBidi" w:cstheme="majorBidi"/>
          <w:u w:val="single"/>
        </w:rPr>
        <w:t>[</w:t>
      </w:r>
      <w:r w:rsidRPr="007C6A42">
        <w:rPr>
          <w:rFonts w:asciiTheme="majorBidi" w:hAnsiTheme="majorBidi" w:cstheme="majorBidi"/>
          <w:i/>
          <w:u w:val="single"/>
        </w:rPr>
        <w:t>car</w:t>
      </w:r>
      <w:r w:rsidRPr="007C6A42">
        <w:rPr>
          <w:rFonts w:asciiTheme="majorBidi" w:hAnsiTheme="majorBidi" w:cstheme="majorBidi"/>
          <w:u w:val="single"/>
        </w:rPr>
        <w:t>]</w:t>
      </w:r>
      <w:r w:rsidRPr="007C6A42">
        <w:rPr>
          <w:rFonts w:asciiTheme="majorBidi" w:hAnsiTheme="majorBidi" w:cstheme="majorBidi"/>
        </w:rPr>
        <w:t xml:space="preserve"> quiconque méprise Allah n’aura nul bienfait </w:t>
      </w:r>
      <w:r w:rsidRPr="007C6A42">
        <w:rPr>
          <w:rFonts w:asciiTheme="majorBidi" w:hAnsiTheme="majorBidi" w:cstheme="majorBidi"/>
          <w:u w:val="single"/>
        </w:rPr>
        <w:t>[</w:t>
      </w:r>
      <w:r w:rsidRPr="007C6A42">
        <w:rPr>
          <w:rFonts w:asciiTheme="majorBidi" w:hAnsiTheme="majorBidi" w:cstheme="majorBidi"/>
          <w:i/>
          <w:u w:val="single"/>
        </w:rPr>
        <w:t>au Jugement Dernier</w:t>
      </w:r>
      <w:r w:rsidRPr="007C6A42">
        <w:rPr>
          <w:rFonts w:asciiTheme="majorBidi" w:hAnsiTheme="majorBidi" w:cstheme="majorBidi"/>
          <w:u w:val="single"/>
        </w:rPr>
        <w:t>]</w:t>
      </w:r>
      <w:r w:rsidRPr="007C6A42">
        <w:rPr>
          <w:rFonts w:asciiTheme="majorBidi" w:hAnsiTheme="majorBidi" w:cstheme="majorBidi"/>
        </w:rPr>
        <w:t xml:space="preserve">. ») et celle de </w:t>
      </w:r>
      <w:r w:rsidRPr="007C6A42">
        <w:rPr>
          <w:rFonts w:asciiTheme="majorBidi" w:eastAsia="Times New Roman" w:hAnsiTheme="majorBidi" w:cstheme="majorBidi"/>
        </w:rPr>
        <w:t>Guessous (1999) (« </w:t>
      </w:r>
      <w:r w:rsidRPr="007C6A42">
        <w:rPr>
          <w:rFonts w:asciiTheme="majorBidi" w:hAnsiTheme="majorBidi" w:cstheme="majorBidi"/>
        </w:rPr>
        <w:t xml:space="preserve">Quiconque méprise </w:t>
      </w:r>
      <w:r w:rsidRPr="007C6A42">
        <w:rPr>
          <w:rFonts w:asciiTheme="majorBidi" w:hAnsiTheme="majorBidi" w:cstheme="majorBidi"/>
          <w:b/>
          <w:bCs/>
        </w:rPr>
        <w:t>ALLAH</w:t>
      </w:r>
      <w:r w:rsidRPr="007C6A42">
        <w:rPr>
          <w:rFonts w:asciiTheme="majorBidi" w:hAnsiTheme="majorBidi" w:cstheme="majorBidi"/>
        </w:rPr>
        <w:t xml:space="preserve"> n’aura nul bienfait. »).</w:t>
      </w:r>
      <w:r w:rsidRPr="007C6A42">
        <w:rPr>
          <w:rFonts w:asciiTheme="majorBidi" w:eastAsia="Times New Roman" w:hAnsiTheme="majorBidi" w:cstheme="majorBidi"/>
        </w:rPr>
        <w:t xml:space="preserve"> </w:t>
      </w:r>
      <w:r w:rsidRPr="007C6A42">
        <w:rPr>
          <w:rFonts w:asciiTheme="majorBidi" w:hAnsiTheme="majorBidi" w:cstheme="majorBidi"/>
        </w:rPr>
        <w:t xml:space="preserve">Il se peut également que cette permutation du sujet et du COD soit due à l’idée commune de </w:t>
      </w:r>
      <w:r w:rsidRPr="007C6A42">
        <w:rPr>
          <w:rFonts w:asciiTheme="majorBidi" w:hAnsiTheme="majorBidi" w:cstheme="majorBidi"/>
          <w:rtl/>
        </w:rPr>
        <w:t>الإعراض عن الله</w:t>
      </w:r>
      <w:r w:rsidRPr="007C6A42">
        <w:rPr>
          <w:rFonts w:asciiTheme="majorBidi" w:hAnsiTheme="majorBidi" w:cstheme="majorBidi"/>
        </w:rPr>
        <w:t xml:space="preserve"> (l’éloignement de Dieu), idée proche de l’exégèse moderne d’Amīn </w:t>
      </w:r>
      <w:r w:rsidRPr="007C6A42">
        <w:rPr>
          <w:rFonts w:asciiTheme="majorBidi" w:eastAsia="Times New Roman" w:hAnsiTheme="majorBidi" w:cstheme="majorBidi"/>
          <w:lang w:bidi="ar-AE"/>
        </w:rPr>
        <w:t>Shaykhū</w:t>
      </w:r>
      <w:r w:rsidRPr="007C6A42">
        <w:rPr>
          <w:rFonts w:asciiTheme="majorBidi" w:hAnsiTheme="majorBidi" w:cstheme="majorBidi"/>
        </w:rPr>
        <w:t xml:space="preserve"> (</w:t>
      </w:r>
      <w:r w:rsidRPr="007C6A42">
        <w:rPr>
          <w:rFonts w:asciiTheme="majorBidi" w:hAnsiTheme="majorBidi" w:cstheme="majorBidi"/>
          <w:bCs/>
        </w:rPr>
        <w:t>m. 1964</w:t>
      </w:r>
      <w:r w:rsidRPr="007C6A42">
        <w:rPr>
          <w:rFonts w:asciiTheme="majorBidi" w:hAnsiTheme="majorBidi" w:cstheme="majorBidi"/>
        </w:rPr>
        <w:t>),</w:t>
      </w:r>
      <w:r w:rsidRPr="007C6A42">
        <w:rPr>
          <w:rFonts w:asciiTheme="majorBidi" w:eastAsia="Times New Roman" w:hAnsiTheme="majorBidi" w:cstheme="majorBidi"/>
        </w:rPr>
        <w:t xml:space="preserve"> exégèse publiée à Damas en 1997</w:t>
      </w:r>
      <w:r w:rsidRPr="007C6A42">
        <w:rPr>
          <w:rFonts w:asciiTheme="majorBidi" w:eastAsia="Times New Roman" w:hAnsiTheme="majorBidi" w:cstheme="majorBidi"/>
          <w:lang w:bidi="ar-AE"/>
        </w:rPr>
        <w:t xml:space="preserve"> (« si tu t’éloignes d’Allah, tu seras humilié »). Cette idée de « s’éloigner d’Allah » (« négliger Allah ») semble plus conforme à l’esprit moderne et occidental que l’idée selon laquelle Allah humilie ses créatures. L’idée que « Allah humilie » a été donc éliminée par Chebel dans le processus de traduction (</w:t>
      </w:r>
      <w:r w:rsidRPr="007C6A42">
        <w:rPr>
          <w:rFonts w:asciiTheme="majorBidi" w:eastAsia="Times New Roman" w:hAnsiTheme="majorBidi" w:cstheme="majorBidi"/>
          <w:i/>
          <w:iCs/>
        </w:rPr>
        <w:t>ha</w:t>
      </w:r>
      <w:r w:rsidRPr="007C6A42">
        <w:rPr>
          <w:rFonts w:asciiTheme="majorBidi" w:hAnsiTheme="majorBidi" w:cstheme="majorBidi"/>
          <w:i/>
          <w:iCs/>
        </w:rPr>
        <w:t>ḍm</w:t>
      </w:r>
      <w:r w:rsidRPr="007C6A42">
        <w:rPr>
          <w:rFonts w:asciiTheme="majorBidi" w:hAnsiTheme="majorBidi" w:cstheme="majorBidi"/>
        </w:rPr>
        <w:t>, digestion</w:t>
      </w:r>
      <w:r w:rsidRPr="007C6A42">
        <w:rPr>
          <w:rFonts w:asciiTheme="majorBidi" w:eastAsia="Times New Roman" w:hAnsiTheme="majorBidi" w:cstheme="majorBidi"/>
          <w:lang w:bidi="ar-AE"/>
        </w:rPr>
        <w:t xml:space="preserve">). Cette modification de traduction est une sorte d’annexion du sens et d’ennoblissement de la traduction. </w:t>
      </w:r>
      <w:r w:rsidRPr="007C6A42">
        <w:rPr>
          <w:rFonts w:asciiTheme="majorBidi" w:eastAsia="Times New Roman" w:hAnsiTheme="majorBidi" w:cstheme="majorBidi"/>
        </w:rPr>
        <w:t>Et cette « annexion du sens » (</w:t>
      </w:r>
      <w:r w:rsidRPr="007C6A42">
        <w:rPr>
          <w:rFonts w:asciiTheme="majorBidi" w:hAnsiTheme="majorBidi" w:cstheme="majorBidi"/>
          <w:i/>
          <w:iCs/>
        </w:rPr>
        <w:t>ḍamm al-maʿnā</w:t>
      </w:r>
      <w:r w:rsidRPr="007C6A42">
        <w:rPr>
          <w:rFonts w:asciiTheme="majorBidi" w:eastAsia="Times New Roman" w:hAnsiTheme="majorBidi" w:cstheme="majorBidi"/>
        </w:rPr>
        <w:t>) qui n’est qu’une modification polysémique porte les empreintes culturelles du traducteur. Qui plus est, Chebel modifie le temps et le verbe de la proposition finale « </w:t>
      </w:r>
      <w:r w:rsidRPr="007C6A42">
        <w:rPr>
          <w:rFonts w:asciiTheme="majorBidi" w:eastAsia="Times New Roman" w:hAnsiTheme="majorBidi" w:cstheme="majorBidi"/>
          <w:rtl/>
        </w:rPr>
        <w:t xml:space="preserve">فما </w:t>
      </w:r>
      <w:r w:rsidRPr="007C6A42">
        <w:rPr>
          <w:rFonts w:asciiTheme="majorBidi" w:eastAsia="Times New Roman" w:hAnsiTheme="majorBidi" w:cstheme="majorBidi"/>
          <w:b/>
          <w:bCs/>
          <w:rtl/>
        </w:rPr>
        <w:t>له</w:t>
      </w:r>
      <w:r w:rsidRPr="007C6A42">
        <w:rPr>
          <w:rFonts w:asciiTheme="majorBidi" w:eastAsia="Times New Roman" w:hAnsiTheme="majorBidi" w:cstheme="majorBidi"/>
        </w:rPr>
        <w:t> » [« il n’</w:t>
      </w:r>
      <w:r w:rsidRPr="007C6A42">
        <w:rPr>
          <w:rFonts w:asciiTheme="majorBidi" w:eastAsia="Times New Roman" w:hAnsiTheme="majorBidi" w:cstheme="majorBidi"/>
          <w:b/>
          <w:bCs/>
        </w:rPr>
        <w:t>a</w:t>
      </w:r>
      <w:r w:rsidRPr="007C6A42">
        <w:rPr>
          <w:rFonts w:asciiTheme="majorBidi" w:eastAsia="Times New Roman" w:hAnsiTheme="majorBidi" w:cstheme="majorBidi"/>
        </w:rPr>
        <w:t xml:space="preserve"> pas »] en disant : « ne </w:t>
      </w:r>
      <w:r w:rsidRPr="007C6A42">
        <w:rPr>
          <w:rFonts w:asciiTheme="majorBidi" w:eastAsia="Times New Roman" w:hAnsiTheme="majorBidi" w:cstheme="majorBidi"/>
          <w:b/>
          <w:bCs/>
        </w:rPr>
        <w:t xml:space="preserve">trouvera </w:t>
      </w:r>
      <w:r w:rsidRPr="007C6A42">
        <w:rPr>
          <w:rFonts w:asciiTheme="majorBidi" w:eastAsia="Times New Roman" w:hAnsiTheme="majorBidi" w:cstheme="majorBidi"/>
        </w:rPr>
        <w:t>personne ».</w:t>
      </w:r>
    </w:p>
    <w:p w14:paraId="53BC2A70"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p>
    <w:p w14:paraId="74B4DD08"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rPr>
        <w:t>En général, le traducteur traduit ce que le lecteur veut entendre (ou ce que le traducteur veut dire au lecteur) et non pas forcément ce que l’exégèse canonique dit du texte-source. Le verset 41 souligne selon des théologiens modernes que la laïcité n’est pas conforme à l’islam (</w:t>
      </w:r>
      <w:r w:rsidRPr="007C6A42">
        <w:rPr>
          <w:rFonts w:asciiTheme="majorBidi" w:hAnsiTheme="majorBidi" w:cstheme="majorBidi"/>
        </w:rPr>
        <w:t>al-Qara</w:t>
      </w:r>
      <w:r w:rsidRPr="007C6A42">
        <w:rPr>
          <w:rFonts w:asciiTheme="majorBidi" w:eastAsia="Times New Roman" w:hAnsiTheme="majorBidi" w:cstheme="majorBidi"/>
        </w:rPr>
        <w:t>ḍ</w:t>
      </w:r>
      <w:r w:rsidRPr="007C6A42">
        <w:rPr>
          <w:rFonts w:asciiTheme="majorBidi" w:hAnsiTheme="majorBidi" w:cstheme="majorBidi"/>
        </w:rPr>
        <w:t>āwī l’affirme explicitement en citant le verset XXII, 41 : « </w:t>
      </w:r>
      <w:r w:rsidRPr="007C6A42">
        <w:rPr>
          <w:rFonts w:asciiTheme="majorBidi" w:eastAsia="Times New Roman" w:hAnsiTheme="majorBidi" w:cstheme="majorBidi"/>
          <w:shd w:val="clear" w:color="auto" w:fill="FFFFFF"/>
          <w:rtl/>
        </w:rPr>
        <w:t>الدولة العلمانية مرفوضة عندنا نحن المسلمين</w:t>
      </w:r>
      <w:r w:rsidRPr="007C6A42">
        <w:rPr>
          <w:rFonts w:asciiTheme="majorBidi" w:eastAsia="Times New Roman" w:hAnsiTheme="majorBidi" w:cstheme="majorBidi"/>
          <w:shd w:val="clear" w:color="auto" w:fill="FFFFFF"/>
        </w:rPr>
        <w:t> » [« L’état laïque est refusé chez nous les Musulmans »]</w:t>
      </w:r>
      <w:r w:rsidRPr="007C6A42">
        <w:rPr>
          <w:rFonts w:asciiTheme="majorBidi" w:eastAsia="Times New Roman" w:hAnsiTheme="majorBidi" w:cstheme="majorBidi"/>
        </w:rPr>
        <w:t>)</w:t>
      </w:r>
      <w:r w:rsidRPr="007C6A42">
        <w:rPr>
          <w:rStyle w:val="Appelnotedebasdep"/>
          <w:rFonts w:asciiTheme="majorBidi" w:eastAsia="Times New Roman" w:hAnsiTheme="majorBidi" w:cstheme="majorBidi"/>
        </w:rPr>
        <w:footnoteReference w:id="497"/>
      </w:r>
      <w:r w:rsidRPr="007C6A42">
        <w:rPr>
          <w:rFonts w:asciiTheme="majorBidi" w:eastAsia="Times New Roman" w:hAnsiTheme="majorBidi" w:cstheme="majorBidi"/>
        </w:rPr>
        <w:t xml:space="preserve">  ; mais les traductions de ce </w:t>
      </w:r>
      <w:r w:rsidRPr="007C6A42">
        <w:rPr>
          <w:rFonts w:asciiTheme="majorBidi" w:eastAsia="Times New Roman" w:hAnsiTheme="majorBidi" w:cstheme="majorBidi"/>
        </w:rPr>
        <w:lastRenderedPageBreak/>
        <w:t>verset ne montrent pas l’interdiction de la laïcité. La phrase « </w:t>
      </w:r>
      <w:r w:rsidRPr="007C6A42">
        <w:rPr>
          <w:rFonts w:asciiTheme="majorBidi" w:eastAsia="Times New Roman" w:hAnsiTheme="majorBidi" w:cstheme="majorBidi"/>
          <w:rtl/>
        </w:rPr>
        <w:t>وجاهِدوا</w:t>
      </w:r>
      <w:r w:rsidRPr="007C6A42">
        <w:rPr>
          <w:rFonts w:asciiTheme="majorBidi" w:hAnsiTheme="majorBidi" w:cstheme="majorBidi"/>
          <w:rtl/>
        </w:rPr>
        <w:t xml:space="preserve"> في اللَّه حَقَّ جهادِه</w:t>
      </w:r>
      <w:r w:rsidRPr="007C6A42">
        <w:rPr>
          <w:rFonts w:asciiTheme="majorBidi" w:hAnsiTheme="majorBidi" w:cstheme="majorBidi"/>
        </w:rPr>
        <w:t xml:space="preserve"> » </w:t>
      </w:r>
      <w:r w:rsidRPr="007C6A42">
        <w:rPr>
          <w:rFonts w:asciiTheme="majorBidi" w:eastAsia="Times New Roman" w:hAnsiTheme="majorBidi" w:cstheme="majorBidi"/>
        </w:rPr>
        <w:t xml:space="preserve">(v. 78) est comprise majoritairement dans le sens de faire le djihad contre les polythéistes et les ennemis d’Allah. </w:t>
      </w:r>
      <w:r w:rsidRPr="007C6A42">
        <w:rPr>
          <w:rFonts w:asciiTheme="majorBidi" w:hAnsiTheme="majorBidi" w:cstheme="majorBidi"/>
        </w:rPr>
        <w:t xml:space="preserve">Ce sens djihadiste est absent dans certaines traductions et moins présent dans d’autres. Cette phrase est traduite ainsi : « Combattez pour l’establissement de sa loy auec affection » (Du Ryer) ; </w:t>
      </w:r>
      <w:r w:rsidRPr="007C6A42">
        <w:rPr>
          <w:rFonts w:asciiTheme="majorBidi" w:eastAsia="Calibri" w:hAnsiTheme="majorBidi" w:cstheme="majorBidi"/>
          <w:lang w:bidi="ar-AE"/>
        </w:rPr>
        <w:t xml:space="preserve">« efforcez-vous en Dieu du vrai de Son effort » (Berque) ; </w:t>
      </w:r>
      <w:r w:rsidRPr="007C6A42">
        <w:rPr>
          <w:rFonts w:asciiTheme="majorBidi" w:hAnsiTheme="majorBidi" w:cstheme="majorBidi"/>
        </w:rPr>
        <w:t xml:space="preserve">« Et luttez pour Allah comme il se doit de lutter pour Lui » (Abdelaziz) ; « Combattez dans la voie d’Allah à la hauteur de ce qu’Il conçoit » (Chebel) ; « Luttez comme il se doit pour la Cause de Dieu » (Chiadmi) ; « Et luttez pour Dieu selon le droit de Sa lutte » (Hamidullah) ; « Ne ménagez pas vos efforts pour la cause de Dieu » (Ben Mahmoud) ; « Combattez pour Dieu, car il a droit à la lutte que les croyants mènent pour lui » (Masson) ; « Combattez pour Dieu comme il convient de le faire » (Hafiane) ; « Combattez pour </w:t>
      </w:r>
      <w:r w:rsidRPr="007C6A42">
        <w:rPr>
          <w:rFonts w:asciiTheme="majorBidi" w:hAnsiTheme="majorBidi" w:cstheme="majorBidi"/>
          <w:b/>
        </w:rPr>
        <w:t>ALLAH</w:t>
      </w:r>
      <w:r w:rsidRPr="007C6A42">
        <w:rPr>
          <w:rFonts w:asciiTheme="majorBidi" w:hAnsiTheme="majorBidi" w:cstheme="majorBidi"/>
        </w:rPr>
        <w:t xml:space="preserve"> comme il sied que vous le fassiez » (Guessous)</w:t>
      </w:r>
      <w:r w:rsidRPr="007C6A42">
        <w:rPr>
          <w:rStyle w:val="Appelnotedebasdep"/>
          <w:rFonts w:asciiTheme="majorBidi" w:hAnsiTheme="majorBidi" w:cstheme="majorBidi"/>
        </w:rPr>
        <w:footnoteReference w:id="498"/>
      </w:r>
      <w:r w:rsidRPr="007C6A42">
        <w:rPr>
          <w:rFonts w:asciiTheme="majorBidi" w:hAnsiTheme="majorBidi" w:cstheme="majorBidi"/>
        </w:rPr>
        <w:t> ; « </w:t>
      </w:r>
      <w:r w:rsidRPr="007C6A42">
        <w:rPr>
          <w:rFonts w:asciiTheme="majorBidi" w:eastAsia="Times New Roman" w:hAnsiTheme="majorBidi" w:cstheme="majorBidi"/>
        </w:rPr>
        <w:t>Et luttez pour Allah avec tout l’effort qu’Il mérite » (Complexe Médine).</w:t>
      </w:r>
    </w:p>
    <w:p w14:paraId="59906DA5"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hAnsiTheme="majorBidi" w:cstheme="majorBidi"/>
        </w:rPr>
        <w:t>Seule la traduction de Ghédira utilise le mot « </w:t>
      </w:r>
      <w:r w:rsidRPr="007C6A42">
        <w:rPr>
          <w:rFonts w:asciiTheme="majorBidi" w:hAnsiTheme="majorBidi" w:cstheme="majorBidi"/>
          <w:i/>
          <w:iCs/>
        </w:rPr>
        <w:t>guerre</w:t>
      </w:r>
      <w:r w:rsidRPr="007C6A42">
        <w:rPr>
          <w:rFonts w:asciiTheme="majorBidi" w:hAnsiTheme="majorBidi" w:cstheme="majorBidi"/>
        </w:rPr>
        <w:t> » : « Faites la Juste Guerre pour Dieu comme Il le mérite ».</w:t>
      </w:r>
    </w:p>
    <w:p w14:paraId="14CB48F5" w14:textId="77777777" w:rsidR="00A70B78" w:rsidRPr="007C6A42" w:rsidRDefault="00A70B78" w:rsidP="00A70B78">
      <w:pPr>
        <w:spacing w:line="360" w:lineRule="auto"/>
        <w:jc w:val="both"/>
        <w:rPr>
          <w:rFonts w:asciiTheme="majorBidi" w:eastAsia="Times New Roman" w:hAnsiTheme="majorBidi" w:cstheme="majorBidi"/>
        </w:rPr>
      </w:pPr>
    </w:p>
    <w:p w14:paraId="55BA95B3"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rPr>
        <w:t>Nous voyons, à travers les exemples précédents, que cette lecture bermanienne des traductions de la sourate al-Ḥajj nous montre qu’il il existe toujours une différence polysémique, une modification sémantique entre le texte de départ et le texte d’arrivée et que cette modification est inévitable. Ce changement de valeur polysémique peut se voir dans le texte à trois niveaux : pronominal, lexical et des énoncés. Ce que nous tenterons de montrer dans les chapitres suivants.</w:t>
      </w:r>
    </w:p>
    <w:p w14:paraId="720DE4CB" w14:textId="77777777" w:rsidR="00A70B78" w:rsidRPr="007C6A42" w:rsidRDefault="00A70B78" w:rsidP="00A70B78">
      <w:pPr>
        <w:spacing w:line="360" w:lineRule="auto"/>
        <w:ind w:firstLine="720"/>
        <w:jc w:val="both"/>
        <w:rPr>
          <w:rFonts w:asciiTheme="majorBidi" w:eastAsia="Times New Roman" w:hAnsiTheme="majorBidi" w:cstheme="majorBidi"/>
        </w:rPr>
      </w:pPr>
    </w:p>
    <w:p w14:paraId="53E00E27" w14:textId="7F71214C" w:rsidR="00FC3B46" w:rsidRPr="000705EB" w:rsidRDefault="00FC3B46" w:rsidP="000705EB">
      <w:pPr>
        <w:spacing w:line="360" w:lineRule="auto"/>
        <w:ind w:firstLine="708"/>
        <w:jc w:val="both"/>
        <w:rPr>
          <w:rFonts w:asciiTheme="majorBidi" w:hAnsiTheme="majorBidi" w:cstheme="majorBidi"/>
        </w:rPr>
      </w:pPr>
    </w:p>
    <w:p w14:paraId="558BC190" w14:textId="77777777" w:rsidR="00FC3B46" w:rsidRDefault="00FC3B46" w:rsidP="00FC3B46">
      <w:pPr>
        <w:spacing w:line="360" w:lineRule="auto"/>
        <w:rPr>
          <w:rFonts w:asciiTheme="majorBidi" w:eastAsia="Calibri" w:hAnsiTheme="majorBidi" w:cstheme="majorBidi"/>
          <w:b/>
          <w:bCs/>
          <w:lang w:bidi="ar-AE"/>
        </w:rPr>
      </w:pPr>
    </w:p>
    <w:p w14:paraId="4B9B9756" w14:textId="77777777" w:rsidR="000705EB" w:rsidRDefault="000705EB" w:rsidP="000705EB">
      <w:pPr>
        <w:spacing w:line="360" w:lineRule="auto"/>
        <w:jc w:val="center"/>
        <w:rPr>
          <w:rFonts w:asciiTheme="majorBidi" w:eastAsia="Calibri" w:hAnsiTheme="majorBidi" w:cstheme="majorBidi"/>
          <w:b/>
          <w:bCs/>
          <w:lang w:bidi="ar-AE"/>
        </w:rPr>
      </w:pPr>
      <w:r>
        <w:rPr>
          <w:rFonts w:asciiTheme="majorBidi" w:eastAsia="Calibri" w:hAnsiTheme="majorBidi" w:cstheme="majorBidi"/>
          <w:b/>
          <w:bCs/>
          <w:lang w:bidi="ar-AE"/>
        </w:rPr>
        <w:br w:type="page"/>
      </w:r>
    </w:p>
    <w:p w14:paraId="60798EFB" w14:textId="6762345D" w:rsidR="00A70B78" w:rsidRPr="007C6A42" w:rsidRDefault="00A70B78" w:rsidP="00A70B78">
      <w:pPr>
        <w:spacing w:line="360" w:lineRule="auto"/>
        <w:ind w:left="1080"/>
        <w:jc w:val="center"/>
        <w:outlineLvl w:val="0"/>
        <w:rPr>
          <w:rFonts w:asciiTheme="majorBidi" w:eastAsia="Times New Roman" w:hAnsiTheme="majorBidi" w:cstheme="majorBidi"/>
          <w:b/>
          <w:bCs/>
        </w:rPr>
      </w:pPr>
      <w:r w:rsidRPr="007C6A42">
        <w:rPr>
          <w:rFonts w:asciiTheme="majorBidi" w:eastAsia="Times New Roman" w:hAnsiTheme="majorBidi" w:cstheme="majorBidi"/>
          <w:b/>
          <w:bCs/>
        </w:rPr>
        <w:lastRenderedPageBreak/>
        <w:t xml:space="preserve">Chapitre </w:t>
      </w:r>
      <w:r>
        <w:rPr>
          <w:rFonts w:asciiTheme="majorBidi" w:eastAsia="Times New Roman" w:hAnsiTheme="majorBidi" w:cstheme="majorBidi"/>
          <w:b/>
          <w:bCs/>
        </w:rPr>
        <w:t>V</w:t>
      </w:r>
      <w:r w:rsidRPr="007C6A42">
        <w:rPr>
          <w:rFonts w:asciiTheme="majorBidi" w:eastAsia="Times New Roman" w:hAnsiTheme="majorBidi" w:cstheme="majorBidi"/>
          <w:b/>
          <w:bCs/>
        </w:rPr>
        <w:t>III</w:t>
      </w:r>
    </w:p>
    <w:p w14:paraId="326F21DB" w14:textId="77777777" w:rsidR="00A70B78" w:rsidRPr="007C6A42" w:rsidRDefault="00A70B78" w:rsidP="00A70B78">
      <w:pPr>
        <w:spacing w:line="360" w:lineRule="auto"/>
        <w:ind w:left="1080"/>
        <w:jc w:val="center"/>
        <w:outlineLvl w:val="0"/>
        <w:rPr>
          <w:rFonts w:asciiTheme="majorBidi" w:eastAsia="Times New Roman" w:hAnsiTheme="majorBidi" w:cstheme="majorBidi"/>
          <w:b/>
          <w:bCs/>
        </w:rPr>
      </w:pPr>
      <w:r w:rsidRPr="007C6A42">
        <w:rPr>
          <w:rFonts w:asciiTheme="majorBidi" w:eastAsia="Times New Roman" w:hAnsiTheme="majorBidi" w:cstheme="majorBidi"/>
          <w:b/>
          <w:bCs/>
        </w:rPr>
        <w:t>La polysémie pronominale des traductions</w:t>
      </w:r>
    </w:p>
    <w:p w14:paraId="6C728CE6"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01943231"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Nous allons tenter de montrer jusqu’à quel point et comment les traducteurs sont arrivés à refléter la polysémie du texte de départ. Rappelons que nous sommes partis de l’hypothèse que les traductions sont généralement réductrices de la polysémie du texte arabe. La question est de savoir dans quelle mesure cette hypothèse se réalise pour ce qui est de la polysémie pronominale.</w:t>
      </w:r>
    </w:p>
    <w:p w14:paraId="2D56452A"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Ainsi, nous analyserons quelques exemples de traduction de certains pronoms polysémiques.</w:t>
      </w:r>
    </w:p>
    <w:p w14:paraId="61A81B0C" w14:textId="77777777" w:rsidR="00A70B78" w:rsidRPr="007C6A42" w:rsidRDefault="00A70B78" w:rsidP="00A70B78">
      <w:pPr>
        <w:spacing w:line="360" w:lineRule="auto"/>
        <w:jc w:val="both"/>
        <w:rPr>
          <w:rFonts w:asciiTheme="majorBidi" w:eastAsia="Times New Roman" w:hAnsiTheme="majorBidi" w:cstheme="majorBidi"/>
        </w:rPr>
      </w:pPr>
    </w:p>
    <w:p w14:paraId="092288F2" w14:textId="77777777" w:rsidR="00A70B78" w:rsidRPr="007C6A42" w:rsidRDefault="00A70B78" w:rsidP="00A70B78">
      <w:pPr>
        <w:spacing w:line="360" w:lineRule="auto"/>
        <w:jc w:val="both"/>
        <w:outlineLvl w:val="0"/>
        <w:rPr>
          <w:rFonts w:asciiTheme="majorBidi" w:eastAsia="Times New Roman" w:hAnsiTheme="majorBidi" w:cstheme="majorBidi"/>
          <w:b/>
          <w:bCs/>
        </w:rPr>
      </w:pPr>
      <w:r w:rsidRPr="007C6A42">
        <w:rPr>
          <w:rFonts w:asciiTheme="majorBidi" w:eastAsia="Times New Roman" w:hAnsiTheme="majorBidi" w:cstheme="majorBidi"/>
          <w:b/>
          <w:bCs/>
        </w:rPr>
        <w:t>Traduction des connecteurs entre phrases et versets :</w:t>
      </w:r>
    </w:p>
    <w:p w14:paraId="0CEC652A"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La sourate al-Ḥajj utilise comme connecteurs entre les versets les particules : </w:t>
      </w:r>
      <w:r w:rsidRPr="007C6A42">
        <w:rPr>
          <w:rFonts w:asciiTheme="majorBidi" w:eastAsia="Times New Roman" w:hAnsiTheme="majorBidi" w:cstheme="majorBidi"/>
          <w:i/>
          <w:iCs/>
        </w:rPr>
        <w:t>wa-</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fa-</w:t>
      </w:r>
      <w:r w:rsidRPr="007C6A42">
        <w:rPr>
          <w:rFonts w:asciiTheme="majorBidi" w:eastAsia="Times New Roman" w:hAnsiTheme="majorBidi" w:cstheme="majorBidi"/>
        </w:rPr>
        <w:t xml:space="preserve">  et </w:t>
      </w:r>
      <w:r w:rsidRPr="007C6A42">
        <w:rPr>
          <w:rFonts w:asciiTheme="majorBidi" w:eastAsia="Times New Roman" w:hAnsiTheme="majorBidi" w:cstheme="majorBidi"/>
          <w:i/>
          <w:iCs/>
        </w:rPr>
        <w:t>dhālika</w:t>
      </w:r>
      <w:r w:rsidRPr="007C6A42">
        <w:rPr>
          <w:rFonts w:asciiTheme="majorBidi" w:eastAsia="Times New Roman" w:hAnsiTheme="majorBidi" w:cstheme="majorBidi"/>
        </w:rPr>
        <w:t xml:space="preserve">. En arabe, la particule </w:t>
      </w:r>
      <w:r w:rsidRPr="007C6A42">
        <w:rPr>
          <w:rFonts w:asciiTheme="majorBidi" w:eastAsia="Times New Roman" w:hAnsiTheme="majorBidi" w:cstheme="majorBidi"/>
          <w:i/>
          <w:iCs/>
        </w:rPr>
        <w:t>wa-</w:t>
      </w:r>
      <w:r w:rsidRPr="007C6A42">
        <w:rPr>
          <w:rFonts w:asciiTheme="majorBidi" w:eastAsia="Times New Roman" w:hAnsiTheme="majorBidi" w:cstheme="majorBidi"/>
          <w:lang w:bidi="ar-AE"/>
        </w:rPr>
        <w:t xml:space="preserve"> </w:t>
      </w:r>
      <w:r w:rsidRPr="007C6A42">
        <w:rPr>
          <w:rFonts w:asciiTheme="majorBidi" w:eastAsia="Times New Roman" w:hAnsiTheme="majorBidi" w:cstheme="majorBidi"/>
        </w:rPr>
        <w:t>a plusieurs significations : 1) coordination (</w:t>
      </w:r>
      <w:r w:rsidRPr="007C6A42">
        <w:rPr>
          <w:rFonts w:asciiTheme="majorBidi" w:eastAsia="Times New Roman" w:hAnsiTheme="majorBidi" w:cstheme="majorBidi"/>
          <w:i/>
        </w:rPr>
        <w:t>w</w:t>
      </w:r>
      <w:r w:rsidRPr="007C6A42">
        <w:rPr>
          <w:rFonts w:asciiTheme="majorBidi" w:eastAsia="Times New Roman" w:hAnsiTheme="majorBidi" w:cstheme="majorBidi"/>
          <w:i/>
          <w:iCs/>
        </w:rPr>
        <w:t>ā</w:t>
      </w:r>
      <w:r w:rsidRPr="007C6A42">
        <w:rPr>
          <w:rFonts w:asciiTheme="majorBidi" w:eastAsia="Times New Roman" w:hAnsiTheme="majorBidi" w:cstheme="majorBidi"/>
          <w:i/>
        </w:rPr>
        <w:t>w al-ʿaṭf</w:t>
      </w:r>
      <w:r w:rsidRPr="007C6A42">
        <w:rPr>
          <w:rFonts w:asciiTheme="majorBidi" w:eastAsia="Times New Roman" w:hAnsiTheme="majorBidi" w:cstheme="majorBidi"/>
        </w:rPr>
        <w:t>) : c’est l’usage le plus fréquent ; 2) opposition ; 3) serment (</w:t>
      </w:r>
      <w:r w:rsidRPr="007C6A42">
        <w:rPr>
          <w:rFonts w:asciiTheme="majorBidi" w:eastAsia="Times New Roman" w:hAnsiTheme="majorBidi" w:cstheme="majorBidi"/>
          <w:i/>
        </w:rPr>
        <w:t>w</w:t>
      </w:r>
      <w:r w:rsidRPr="007C6A42">
        <w:rPr>
          <w:rFonts w:asciiTheme="majorBidi" w:eastAsia="Times New Roman" w:hAnsiTheme="majorBidi" w:cstheme="majorBidi"/>
          <w:i/>
          <w:iCs/>
        </w:rPr>
        <w:t>ā</w:t>
      </w:r>
      <w:r w:rsidRPr="007C6A42">
        <w:rPr>
          <w:rFonts w:asciiTheme="majorBidi" w:eastAsia="Times New Roman" w:hAnsiTheme="majorBidi" w:cstheme="majorBidi"/>
          <w:i/>
        </w:rPr>
        <w:t>w al-</w:t>
      </w:r>
      <w:r w:rsidRPr="007C6A42">
        <w:rPr>
          <w:rFonts w:asciiTheme="majorBidi" w:hAnsiTheme="majorBidi" w:cstheme="majorBidi"/>
          <w:i/>
          <w:iCs/>
        </w:rPr>
        <w:t>qasam</w:t>
      </w:r>
      <w:r w:rsidRPr="007C6A42">
        <w:rPr>
          <w:rFonts w:asciiTheme="majorBidi" w:eastAsia="Times New Roman" w:hAnsiTheme="majorBidi" w:cstheme="majorBidi"/>
        </w:rPr>
        <w:t>) ; 4) complément circonstanciel d’état (</w:t>
      </w:r>
      <w:r w:rsidRPr="007C6A42">
        <w:rPr>
          <w:rFonts w:asciiTheme="majorBidi" w:eastAsia="Times New Roman" w:hAnsiTheme="majorBidi" w:cstheme="majorBidi"/>
          <w:i/>
        </w:rPr>
        <w:t>w</w:t>
      </w:r>
      <w:r w:rsidRPr="007C6A42">
        <w:rPr>
          <w:rFonts w:asciiTheme="majorBidi" w:eastAsia="Times New Roman" w:hAnsiTheme="majorBidi" w:cstheme="majorBidi"/>
          <w:i/>
          <w:iCs/>
        </w:rPr>
        <w:t>ā</w:t>
      </w:r>
      <w:r w:rsidRPr="007C6A42">
        <w:rPr>
          <w:rFonts w:asciiTheme="majorBidi" w:eastAsia="Times New Roman" w:hAnsiTheme="majorBidi" w:cstheme="majorBidi"/>
          <w:i/>
        </w:rPr>
        <w:t>w al-</w:t>
      </w:r>
      <w:r w:rsidRPr="007C6A42">
        <w:rPr>
          <w:rFonts w:asciiTheme="majorBidi" w:hAnsiTheme="majorBidi" w:cstheme="majorBidi"/>
          <w:i/>
          <w:iCs/>
        </w:rPr>
        <w:t>ḥ</w:t>
      </w:r>
      <w:r w:rsidRPr="007C6A42">
        <w:rPr>
          <w:rFonts w:asciiTheme="majorBidi" w:eastAsia="Times New Roman" w:hAnsiTheme="majorBidi" w:cstheme="majorBidi"/>
          <w:i/>
          <w:iCs/>
        </w:rPr>
        <w:t>ā</w:t>
      </w:r>
      <w:r w:rsidRPr="007C6A42">
        <w:rPr>
          <w:rFonts w:asciiTheme="majorBidi" w:eastAsia="Times New Roman" w:hAnsiTheme="majorBidi" w:cstheme="majorBidi"/>
          <w:i/>
        </w:rPr>
        <w:t>l</w:t>
      </w:r>
      <w:r w:rsidRPr="007C6A42">
        <w:rPr>
          <w:rFonts w:asciiTheme="majorBidi" w:eastAsia="Times New Roman" w:hAnsiTheme="majorBidi" w:cstheme="majorBidi"/>
        </w:rPr>
        <w:t>) ; 5) intensité, répétition ou multiplication (</w:t>
      </w:r>
      <w:r w:rsidRPr="007C6A42">
        <w:rPr>
          <w:rFonts w:asciiTheme="majorBidi" w:eastAsia="Times New Roman" w:hAnsiTheme="majorBidi" w:cstheme="majorBidi"/>
          <w:i/>
          <w:iCs/>
        </w:rPr>
        <w:t>takthīr</w:t>
      </w:r>
      <w:r w:rsidRPr="007C6A42">
        <w:rPr>
          <w:rFonts w:asciiTheme="majorBidi" w:eastAsia="Times New Roman" w:hAnsiTheme="majorBidi" w:cstheme="majorBidi"/>
        </w:rPr>
        <w:t xml:space="preserve">) dans </w:t>
      </w:r>
      <w:r w:rsidRPr="007C6A42">
        <w:rPr>
          <w:rFonts w:asciiTheme="majorBidi" w:eastAsia="Times New Roman" w:hAnsiTheme="majorBidi" w:cstheme="majorBidi"/>
          <w:i/>
          <w:iCs/>
        </w:rPr>
        <w:t>wāw rubba </w:t>
      </w:r>
      <w:r w:rsidRPr="007C6A42">
        <w:rPr>
          <w:rFonts w:asciiTheme="majorBidi" w:eastAsia="Times New Roman" w:hAnsiTheme="majorBidi" w:cstheme="majorBidi"/>
        </w:rPr>
        <w:t>; 6) conséquence et conclusion, etc.</w:t>
      </w:r>
    </w:p>
    <w:p w14:paraId="63F1A70A"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48A21FF8" w14:textId="77777777" w:rsidR="00A70B78" w:rsidRPr="007C6A42" w:rsidRDefault="00A70B78" w:rsidP="00A70B78">
      <w:pPr>
        <w:spacing w:line="360" w:lineRule="auto"/>
        <w:ind w:firstLine="708"/>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Cependant, la sourate </w:t>
      </w:r>
      <w:r w:rsidRPr="007C6A42">
        <w:rPr>
          <w:rFonts w:asciiTheme="majorBidi" w:eastAsia="Times New Roman" w:hAnsiTheme="majorBidi" w:cstheme="majorBidi"/>
        </w:rPr>
        <w:t xml:space="preserve">al-Ḥajj </w:t>
      </w:r>
      <w:r w:rsidRPr="007C6A42">
        <w:rPr>
          <w:rFonts w:asciiTheme="majorBidi" w:eastAsia="Times New Roman" w:hAnsiTheme="majorBidi" w:cstheme="majorBidi"/>
          <w:lang w:bidi="ar-AE"/>
        </w:rPr>
        <w:t xml:space="preserve">passe parfois d’un thème à un autre (versets 3, 8, 11, 16, 26, 34, 36, 71 et 72) en utilisant cette particule de liaison très générale </w:t>
      </w:r>
      <w:r w:rsidRPr="007C6A42">
        <w:rPr>
          <w:rFonts w:asciiTheme="majorBidi" w:eastAsia="Times New Roman" w:hAnsiTheme="majorBidi" w:cstheme="majorBidi"/>
          <w:i/>
          <w:iCs/>
          <w:lang w:bidi="ar-AE"/>
        </w:rPr>
        <w:t>wa-</w:t>
      </w:r>
      <w:r w:rsidRPr="007C6A42">
        <w:rPr>
          <w:rFonts w:asciiTheme="majorBidi" w:eastAsia="Times New Roman" w:hAnsiTheme="majorBidi" w:cstheme="majorBidi"/>
          <w:lang w:bidi="ar-AE"/>
        </w:rPr>
        <w:t xml:space="preserve"> qui, à force d’être usitée, a pris une dimension plus stylistique que sémantique. Ce serait peut-être la raison pour laquelle certains traducteurs l’ont même négligée et ne l’ont pas traduite.</w:t>
      </w:r>
    </w:p>
    <w:p w14:paraId="0EB1582B" w14:textId="77777777" w:rsidR="00A70B78" w:rsidRPr="007C6A42" w:rsidRDefault="00A70B78" w:rsidP="00A70B78">
      <w:pPr>
        <w:spacing w:line="360" w:lineRule="auto"/>
        <w:jc w:val="both"/>
        <w:rPr>
          <w:rFonts w:asciiTheme="majorBidi" w:eastAsia="Times New Roman" w:hAnsiTheme="majorBidi" w:cstheme="majorBidi"/>
          <w:lang w:bidi="ar-AE"/>
        </w:rPr>
      </w:pPr>
    </w:p>
    <w:p w14:paraId="449032C0" w14:textId="77777777" w:rsidR="00A70B78" w:rsidRPr="007C6A42" w:rsidRDefault="00A70B78" w:rsidP="00A70B78">
      <w:pPr>
        <w:spacing w:line="360" w:lineRule="auto"/>
        <w:ind w:firstLine="708"/>
        <w:jc w:val="both"/>
        <w:rPr>
          <w:rFonts w:asciiTheme="majorBidi" w:eastAsia="Times New Roman" w:hAnsiTheme="majorBidi" w:cstheme="majorBidi"/>
          <w:lang w:bidi="ar-AE"/>
        </w:rPr>
      </w:pPr>
      <w:r w:rsidRPr="007C6A42">
        <w:rPr>
          <w:rFonts w:asciiTheme="majorBidi" w:eastAsia="Times New Roman" w:hAnsiTheme="majorBidi" w:cstheme="majorBidi"/>
          <w:lang w:bidi="ar-AE"/>
        </w:rPr>
        <w:t>De fait, dans la traduction de cette particule, nous observons trois approches essentielles : 1) traduction littérale par « et » ; 2) traduction selon le sens dans le contexte ; 3) ne pas la traduire.</w:t>
      </w:r>
    </w:p>
    <w:p w14:paraId="6AF7D460" w14:textId="77777777" w:rsidR="00A70B78" w:rsidRPr="007C6A42" w:rsidRDefault="00A70B78" w:rsidP="00A70B78">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Pour combler le vide sémantique qui existe entre les versets traduits (3, 8, 11 et 71), Berque traduit cette particule par « Et cependant » (3, 8 et 11) et par « quoi ! » (71). Mais il ne l’a pas traduite dans les versets 16, 26, 34, 36 et 72. Ce qui veut dire que Berque se soumet à la logique du texte français, et par la suite il a bien montré la richesse polysémique de la particule arabe. </w:t>
      </w:r>
    </w:p>
    <w:p w14:paraId="409B64E8" w14:textId="77777777" w:rsidR="00A70B78" w:rsidRPr="007C6A42" w:rsidRDefault="00A70B78" w:rsidP="00A70B78">
      <w:pPr>
        <w:spacing w:line="360" w:lineRule="auto"/>
        <w:jc w:val="both"/>
        <w:rPr>
          <w:rFonts w:asciiTheme="majorBidi" w:eastAsia="Times New Roman" w:hAnsiTheme="majorBidi" w:cstheme="majorBidi"/>
          <w:lang w:bidi="ar-AE"/>
        </w:rPr>
      </w:pPr>
    </w:p>
    <w:p w14:paraId="247ADFD7" w14:textId="77777777" w:rsidR="00A70B78" w:rsidRPr="007C6A42" w:rsidRDefault="00A70B78" w:rsidP="00A70B78">
      <w:pPr>
        <w:spacing w:line="360" w:lineRule="auto"/>
        <w:ind w:firstLine="708"/>
        <w:jc w:val="both"/>
        <w:rPr>
          <w:rFonts w:asciiTheme="majorBidi" w:eastAsia="Times New Roman" w:hAnsiTheme="majorBidi" w:cstheme="majorBidi"/>
          <w:lang w:bidi="ar-AE"/>
        </w:rPr>
      </w:pPr>
      <w:r w:rsidRPr="007C6A42">
        <w:rPr>
          <w:rFonts w:asciiTheme="majorBidi" w:eastAsia="Times New Roman" w:hAnsiTheme="majorBidi" w:cstheme="majorBidi"/>
          <w:lang w:bidi="ar-AE"/>
        </w:rPr>
        <w:lastRenderedPageBreak/>
        <w:t>Cependant, dans les deux traductions littéralistes sourcières d’Abdelaziz et d’Aldeeb, deux positions se contredisent. Abdelaziz l’a traduite presque toujours par « et ». Elle respecte donc la littéralité du texte-source dont la forme et le fond sont sacrés pour elle, en perdant ainsi la diversité sémantique du terme. Elle respecte la forme au détriment du fond. En revanche, Aldeeb a complètement ignoré la traduction de cette particule. Pareillement, Ghédira et Guessous (traduction avec assonances) l’ont complètement abandonnée. La traduction du Complexe de Médine a adopté toutes les positions possibles : tantôt elle en a ignoré la traduction, tantôt elle l’a traduite littéralement par « et », tantôt elle a traduit par « or ». De même pour les autres traductions.</w:t>
      </w:r>
    </w:p>
    <w:p w14:paraId="18EA007E" w14:textId="77777777" w:rsidR="00A70B78" w:rsidRPr="007C6A42" w:rsidRDefault="00A70B78" w:rsidP="00A70B78">
      <w:pPr>
        <w:spacing w:line="360" w:lineRule="auto"/>
        <w:jc w:val="both"/>
        <w:rPr>
          <w:rFonts w:asciiTheme="majorBidi" w:eastAsia="Times New Roman" w:hAnsiTheme="majorBidi" w:cstheme="majorBidi"/>
          <w:lang w:bidi="ar-AE"/>
        </w:rPr>
      </w:pPr>
    </w:p>
    <w:p w14:paraId="64219CE4" w14:textId="77777777" w:rsidR="00A70B78" w:rsidRPr="007C6A42" w:rsidRDefault="00A70B78" w:rsidP="00A70B78">
      <w:pPr>
        <w:spacing w:line="360" w:lineRule="auto"/>
        <w:jc w:val="both"/>
        <w:rPr>
          <w:rFonts w:asciiTheme="majorBidi" w:eastAsia="Times New Roman" w:hAnsiTheme="majorBidi" w:cstheme="majorBidi"/>
          <w:b/>
          <w:bCs/>
          <w:lang w:bidi="ar-AE"/>
        </w:rPr>
      </w:pPr>
      <w:r w:rsidRPr="007C6A42">
        <w:rPr>
          <w:rFonts w:asciiTheme="majorBidi" w:eastAsia="Times New Roman" w:hAnsiTheme="majorBidi" w:cstheme="majorBidi"/>
          <w:b/>
          <w:bCs/>
          <w:lang w:bidi="ar-AE"/>
        </w:rPr>
        <w:t xml:space="preserve">Traduction du pronom/adjectif démonstratif masculin d’éloignement </w:t>
      </w:r>
      <w:r w:rsidRPr="007C6A42">
        <w:rPr>
          <w:rFonts w:asciiTheme="majorBidi" w:eastAsia="Times New Roman" w:hAnsiTheme="majorBidi" w:cstheme="majorBidi"/>
          <w:b/>
          <w:bCs/>
          <w:i/>
          <w:iCs/>
          <w:lang w:bidi="ar-AE"/>
        </w:rPr>
        <w:t>dhālika</w:t>
      </w:r>
      <w:r w:rsidRPr="007C6A42">
        <w:rPr>
          <w:rFonts w:asciiTheme="majorBidi" w:eastAsia="Times New Roman" w:hAnsiTheme="majorBidi" w:cstheme="majorBidi"/>
          <w:b/>
          <w:bCs/>
          <w:lang w:bidi="ar-AE"/>
        </w:rPr>
        <w:t xml:space="preserve"> (v. </w:t>
      </w:r>
      <w:r w:rsidRPr="007C6A42">
        <w:rPr>
          <w:rFonts w:asciiTheme="majorBidi" w:eastAsia="Times New Roman" w:hAnsiTheme="majorBidi" w:cstheme="majorBidi"/>
          <w:b/>
          <w:bCs/>
        </w:rPr>
        <w:t>6, 10, 30, 32, 60, 61, 62</w:t>
      </w:r>
      <w:r w:rsidRPr="007C6A42">
        <w:rPr>
          <w:rFonts w:asciiTheme="majorBidi" w:eastAsia="Times New Roman" w:hAnsiTheme="majorBidi" w:cstheme="majorBidi"/>
          <w:b/>
          <w:bCs/>
          <w:lang w:bidi="ar-AE"/>
        </w:rPr>
        <w:t>) :</w:t>
      </w:r>
    </w:p>
    <w:p w14:paraId="788CBCBA"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lang w:bidi="ar-AE"/>
        </w:rPr>
        <w:t xml:space="preserve">Ce pronom ambigu et riche au plan exégétique arabe est rendu en français par : « cela », « voilà » (Berque) ; « c’est ainsi » (Abdelaziz) ; « c’est que », « cela », « voilà </w:t>
      </w:r>
      <w:r w:rsidRPr="007C6A42">
        <w:rPr>
          <w:rFonts w:asciiTheme="majorBidi" w:hAnsiTheme="majorBidi" w:cstheme="majorBidi"/>
        </w:rPr>
        <w:t>[</w:t>
      </w:r>
      <w:r w:rsidRPr="007C6A42">
        <w:rPr>
          <w:rFonts w:asciiTheme="majorBidi" w:hAnsiTheme="majorBidi" w:cstheme="majorBidi"/>
          <w:i/>
        </w:rPr>
        <w:t>ce qui est prescrit</w:t>
      </w:r>
      <w:r w:rsidRPr="007C6A42">
        <w:rPr>
          <w:rFonts w:asciiTheme="majorBidi" w:hAnsiTheme="majorBidi" w:cstheme="majorBidi"/>
        </w:rPr>
        <w:t>] » (Blachère) ; « en tout cela », « tout cela », « c’est ainsi », « du fait même que » (Chebel) ; « c’est parce que », « ceci », « il en est ainsi », « Il en est ainsi de la puissance de » (Ghédira). Les autres traducteurs ont choisi l’un des termes susmentionnés ou l’ont parfois négligé. Le premier traducteur Du Ryer l’a traduit une seule fois par « parce que » et l’a négligé dans les autres versets. Savary l’a traduit selon le contexte en français par : « </w:t>
      </w:r>
      <w:r w:rsidRPr="007C6A42">
        <w:rPr>
          <w:rFonts w:asciiTheme="majorBidi" w:eastAsia="Times New Roman" w:hAnsiTheme="majorBidi" w:cstheme="majorBidi"/>
        </w:rPr>
        <w:t>Ces merveilles s’opèrent, parce que » et par « tel », et il l’a négligé dans les autres versets. En général, les termes choisis par les traducteurs indiquent la raison, la causalité, un état ou une action actuelle. Cependant, en plus de ces significations, ce pronom peut désigner chez certains exégètes, la connaissance divine, la puissance divine, la victoire apportée par Dieu, la réflexion, etc.</w:t>
      </w:r>
    </w:p>
    <w:p w14:paraId="4A312CF9" w14:textId="77777777" w:rsidR="00A70B78" w:rsidRPr="007C6A42" w:rsidRDefault="00A70B78" w:rsidP="00A70B78">
      <w:pPr>
        <w:spacing w:line="360" w:lineRule="auto"/>
        <w:jc w:val="both"/>
        <w:rPr>
          <w:rFonts w:asciiTheme="majorBidi" w:eastAsia="Times New Roman" w:hAnsiTheme="majorBidi" w:cstheme="majorBidi"/>
          <w:lang w:bidi="ar-AE"/>
        </w:rPr>
      </w:pPr>
    </w:p>
    <w:p w14:paraId="5B971A9B" w14:textId="77777777" w:rsidR="00A70B78" w:rsidRPr="007C6A42" w:rsidRDefault="00A70B78" w:rsidP="00A70B78">
      <w:pPr>
        <w:spacing w:line="360" w:lineRule="auto"/>
        <w:ind w:firstLine="708"/>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Il est à souligner que le traducteur ajoute parfois un connecteur logique entre les versets là où il n’y a rien dans le texte-source. Commençant par la particule d’affirmation </w:t>
      </w:r>
      <w:r w:rsidRPr="007C6A42">
        <w:rPr>
          <w:rFonts w:asciiTheme="majorBidi" w:eastAsia="Times New Roman" w:hAnsiTheme="majorBidi" w:cstheme="majorBidi"/>
          <w:i/>
          <w:iCs/>
          <w:lang w:bidi="ar-AE"/>
        </w:rPr>
        <w:t>inna</w:t>
      </w:r>
      <w:r w:rsidRPr="007C6A42">
        <w:rPr>
          <w:rFonts w:asciiTheme="majorBidi" w:eastAsia="Times New Roman" w:hAnsiTheme="majorBidi" w:cstheme="majorBidi"/>
          <w:lang w:bidi="ar-AE"/>
        </w:rPr>
        <w:t xml:space="preserve">, le verset 14 n’est pas lié contextuellement, sémantiquement et lexicalement au verset précédent ni au verset suivant. C’est pourquoi Berque a ajouté dans la traduction la particule de concomitance « tandis que » pour combler le vide de liaison entre les deux versets. Ainsi ont fait Chouraqui en ajoutant « Voici » et Grosjean en ajoutant la conjonction d’opposition « Mais ». Cette incohérence entre les versets abonde dans le texte coranique. Cependant, Abdelaziz et Hafiane </w:t>
      </w:r>
      <w:r w:rsidRPr="007C6A42">
        <w:rPr>
          <w:rFonts w:asciiTheme="majorBidi" w:eastAsia="Times New Roman" w:hAnsiTheme="majorBidi" w:cstheme="majorBidi"/>
          <w:lang w:bidi="ar-AE"/>
        </w:rPr>
        <w:lastRenderedPageBreak/>
        <w:t>n’ont rien ajouté ; ils ont traduit littéralement </w:t>
      </w:r>
      <w:r w:rsidRPr="007C6A42">
        <w:rPr>
          <w:rFonts w:asciiTheme="majorBidi" w:eastAsia="Times New Roman" w:hAnsiTheme="majorBidi" w:cstheme="majorBidi"/>
          <w:i/>
          <w:iCs/>
          <w:lang w:bidi="ar-AE"/>
        </w:rPr>
        <w:t>inna</w:t>
      </w:r>
      <w:r w:rsidRPr="007C6A42">
        <w:rPr>
          <w:rFonts w:asciiTheme="majorBidi" w:eastAsia="Times New Roman" w:hAnsiTheme="majorBidi" w:cstheme="majorBidi"/>
          <w:lang w:bidi="ar-AE"/>
        </w:rPr>
        <w:t xml:space="preserve"> par « certes » alors que cette particule a souvent perdu son rôle sémantique dans le Coran et est souvent utilisée à des fins stylistiques et consonantiques. Les autres traducteurs n’ont pas traduit </w:t>
      </w:r>
      <w:r w:rsidRPr="007C6A42">
        <w:rPr>
          <w:rFonts w:asciiTheme="majorBidi" w:eastAsia="Times New Roman" w:hAnsiTheme="majorBidi" w:cstheme="majorBidi"/>
          <w:i/>
          <w:iCs/>
          <w:lang w:bidi="ar-AE"/>
        </w:rPr>
        <w:t>inna</w:t>
      </w:r>
      <w:r w:rsidRPr="007C6A42">
        <w:rPr>
          <w:rFonts w:asciiTheme="majorBidi" w:eastAsia="Times New Roman" w:hAnsiTheme="majorBidi" w:cstheme="majorBidi"/>
          <w:lang w:bidi="ar-AE"/>
        </w:rPr>
        <w:t xml:space="preserve"> ni ajouté de connecteur logique.</w:t>
      </w:r>
    </w:p>
    <w:p w14:paraId="4EE49775" w14:textId="77777777" w:rsidR="00A70B78" w:rsidRPr="007C6A42" w:rsidRDefault="00A70B78" w:rsidP="00A70B78">
      <w:pPr>
        <w:spacing w:line="360" w:lineRule="auto"/>
        <w:rPr>
          <w:rFonts w:asciiTheme="majorBidi" w:hAnsiTheme="majorBidi" w:cstheme="majorBidi"/>
        </w:rPr>
      </w:pPr>
    </w:p>
    <w:p w14:paraId="3293339A" w14:textId="77777777" w:rsidR="00A70B78" w:rsidRPr="007C6A42" w:rsidRDefault="00A70B78" w:rsidP="00A70B78">
      <w:pPr>
        <w:spacing w:line="360" w:lineRule="auto"/>
        <w:jc w:val="both"/>
        <w:outlineLvl w:val="0"/>
        <w:rPr>
          <w:rFonts w:asciiTheme="majorBidi" w:eastAsia="Times New Roman" w:hAnsiTheme="majorBidi" w:cstheme="majorBidi"/>
          <w:b/>
          <w:bCs/>
          <w:lang w:bidi="ar-KW"/>
        </w:rPr>
      </w:pPr>
      <w:r w:rsidRPr="007C6A42">
        <w:rPr>
          <w:rFonts w:asciiTheme="majorBidi" w:eastAsia="Times New Roman" w:hAnsiTheme="majorBidi" w:cstheme="majorBidi"/>
          <w:b/>
          <w:bCs/>
          <w:lang w:bidi="ar-EG"/>
        </w:rPr>
        <w:t xml:space="preserve">Traduction du </w:t>
      </w:r>
      <w:r w:rsidRPr="007C6A42">
        <w:rPr>
          <w:rFonts w:asciiTheme="majorBidi" w:eastAsia="Times New Roman" w:hAnsiTheme="majorBidi" w:cstheme="majorBidi"/>
          <w:b/>
          <w:bCs/>
          <w:lang w:bidi="ar-KW"/>
        </w:rPr>
        <w:t xml:space="preserve">pronom suffixe </w:t>
      </w:r>
      <w:r w:rsidRPr="007C6A42">
        <w:rPr>
          <w:rFonts w:asciiTheme="majorBidi" w:eastAsia="Times New Roman" w:hAnsiTheme="majorBidi" w:cstheme="majorBidi"/>
          <w:b/>
          <w:bCs/>
          <w:i/>
          <w:iCs/>
          <w:lang w:bidi="ar-KW"/>
        </w:rPr>
        <w:t>-hu</w:t>
      </w:r>
      <w:r w:rsidRPr="007C6A42">
        <w:rPr>
          <w:rFonts w:asciiTheme="majorBidi" w:eastAsia="Times New Roman" w:hAnsiTheme="majorBidi" w:cstheme="majorBidi"/>
          <w:b/>
          <w:bCs/>
          <w:lang w:bidi="ar-KW"/>
        </w:rPr>
        <w:t xml:space="preserve"> dans le verbe </w:t>
      </w:r>
      <w:r w:rsidRPr="007C6A42">
        <w:rPr>
          <w:rFonts w:asciiTheme="majorBidi" w:eastAsia="Times New Roman" w:hAnsiTheme="majorBidi" w:cstheme="majorBidi"/>
          <w:b/>
          <w:bCs/>
          <w:i/>
          <w:iCs/>
          <w:lang w:bidi="ar-KW"/>
        </w:rPr>
        <w:t>yanṣura-hu</w:t>
      </w:r>
      <w:r w:rsidRPr="007C6A42">
        <w:rPr>
          <w:rFonts w:asciiTheme="majorBidi" w:eastAsia="Times New Roman" w:hAnsiTheme="majorBidi" w:cstheme="majorBidi"/>
          <w:b/>
          <w:bCs/>
          <w:lang w:bidi="ar-KW"/>
        </w:rPr>
        <w:t xml:space="preserve"> (verset 15) :</w:t>
      </w:r>
      <w:r w:rsidRPr="007C6A42">
        <w:rPr>
          <w:rStyle w:val="Appelnotedebasdep"/>
          <w:rFonts w:asciiTheme="majorBidi" w:hAnsiTheme="majorBidi" w:cstheme="majorBidi"/>
          <w:b/>
          <w:bCs/>
          <w:lang w:bidi="ar-KW"/>
        </w:rPr>
        <w:footnoteReference w:id="499"/>
      </w:r>
    </w:p>
    <w:tbl>
      <w:tblPr>
        <w:tblW w:w="100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03"/>
        <w:gridCol w:w="7308"/>
      </w:tblGrid>
      <w:tr w:rsidR="00A70B78" w:rsidRPr="007C6A42" w14:paraId="3C9FE92F" w14:textId="77777777" w:rsidTr="00AF4FC9">
        <w:tc>
          <w:tcPr>
            <w:tcW w:w="10088" w:type="dxa"/>
            <w:gridSpan w:val="3"/>
            <w:tcBorders>
              <w:top w:val="nil"/>
              <w:left w:val="single" w:sz="4" w:space="0" w:color="auto"/>
              <w:bottom w:val="single" w:sz="4" w:space="0" w:color="auto"/>
              <w:right w:val="single" w:sz="4" w:space="0" w:color="auto"/>
            </w:tcBorders>
          </w:tcPr>
          <w:p w14:paraId="542F7B74" w14:textId="77777777" w:rsidR="00A70B78" w:rsidRPr="007C6A42" w:rsidRDefault="00A70B78" w:rsidP="00AF4FC9">
            <w:pPr>
              <w:tabs>
                <w:tab w:val="right" w:pos="993"/>
              </w:tabs>
              <w:spacing w:line="360" w:lineRule="auto"/>
              <w:rPr>
                <w:rFonts w:asciiTheme="majorBidi" w:eastAsia="Calibri" w:hAnsiTheme="majorBidi" w:cstheme="majorBidi"/>
                <w:b/>
                <w:bCs/>
                <w:lang w:bidi="ar-AE"/>
              </w:rPr>
            </w:pPr>
          </w:p>
        </w:tc>
      </w:tr>
      <w:tr w:rsidR="00A70B78" w:rsidRPr="007C6A42" w14:paraId="3C39F1C3" w14:textId="77777777" w:rsidTr="00AF4FC9">
        <w:tc>
          <w:tcPr>
            <w:tcW w:w="1393" w:type="dxa"/>
            <w:tcBorders>
              <w:top w:val="single" w:sz="4" w:space="0" w:color="auto"/>
              <w:left w:val="single" w:sz="4" w:space="0" w:color="auto"/>
              <w:bottom w:val="single" w:sz="4" w:space="0" w:color="auto"/>
              <w:right w:val="single" w:sz="4" w:space="0" w:color="auto"/>
            </w:tcBorders>
          </w:tcPr>
          <w:p w14:paraId="5DC173F5"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Texte-source</w:t>
            </w:r>
          </w:p>
        </w:tc>
        <w:tc>
          <w:tcPr>
            <w:tcW w:w="1205" w:type="dxa"/>
            <w:tcBorders>
              <w:top w:val="nil"/>
              <w:left w:val="single" w:sz="4" w:space="0" w:color="auto"/>
              <w:bottom w:val="single" w:sz="4" w:space="0" w:color="auto"/>
              <w:right w:val="single" w:sz="4" w:space="0" w:color="auto"/>
            </w:tcBorders>
          </w:tcPr>
          <w:p w14:paraId="618A6D92"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Traducteur</w:t>
            </w:r>
          </w:p>
        </w:tc>
        <w:tc>
          <w:tcPr>
            <w:tcW w:w="7490" w:type="dxa"/>
            <w:tcBorders>
              <w:top w:val="nil"/>
              <w:left w:val="single" w:sz="4" w:space="0" w:color="auto"/>
              <w:bottom w:val="single" w:sz="4" w:space="0" w:color="auto"/>
              <w:right w:val="single" w:sz="4" w:space="0" w:color="auto"/>
            </w:tcBorders>
          </w:tcPr>
          <w:p w14:paraId="169A65A4"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Texte-cible (traduction)</w:t>
            </w:r>
          </w:p>
        </w:tc>
      </w:tr>
      <w:tr w:rsidR="00A70B78" w:rsidRPr="007C6A42" w14:paraId="4A6EC922" w14:textId="77777777" w:rsidTr="00AF4FC9">
        <w:tc>
          <w:tcPr>
            <w:tcW w:w="1393" w:type="dxa"/>
            <w:vMerge w:val="restart"/>
            <w:tcBorders>
              <w:top w:val="single" w:sz="4" w:space="0" w:color="auto"/>
              <w:left w:val="single" w:sz="4" w:space="0" w:color="auto"/>
              <w:bottom w:val="single" w:sz="4" w:space="0" w:color="auto"/>
              <w:right w:val="single" w:sz="4" w:space="0" w:color="auto"/>
            </w:tcBorders>
          </w:tcPr>
          <w:p w14:paraId="15FC8DA0" w14:textId="77777777" w:rsidR="00A70B78" w:rsidRPr="007C6A42" w:rsidRDefault="00A70B78" w:rsidP="00AF4FC9">
            <w:pPr>
              <w:bidi/>
              <w:spacing w:line="360" w:lineRule="auto"/>
              <w:jc w:val="center"/>
              <w:rPr>
                <w:rFonts w:asciiTheme="majorBidi" w:eastAsia="Times New Roman" w:hAnsiTheme="majorBidi" w:cstheme="majorBidi"/>
                <w:lang w:bidi="ar-KW"/>
              </w:rPr>
            </w:pPr>
            <w:r w:rsidRPr="007C6A42">
              <w:rPr>
                <w:rFonts w:asciiTheme="majorBidi" w:eastAsia="Times New Roman" w:hAnsiTheme="majorBidi" w:cstheme="majorBidi"/>
                <w:rtl/>
                <w:lang w:bidi="ar-AE"/>
              </w:rPr>
              <w:t>مَن كانَ يظُنُّ أنْ لن ينصرَ</w:t>
            </w:r>
            <w:r w:rsidRPr="007C6A42">
              <w:rPr>
                <w:rFonts w:asciiTheme="majorBidi" w:eastAsia="Times New Roman" w:hAnsiTheme="majorBidi" w:cstheme="majorBidi"/>
                <w:b/>
                <w:bCs/>
                <w:rtl/>
                <w:lang w:bidi="ar-AE"/>
              </w:rPr>
              <w:t>هُ</w:t>
            </w:r>
            <w:r w:rsidRPr="007C6A42">
              <w:rPr>
                <w:rFonts w:asciiTheme="majorBidi" w:eastAsia="Times New Roman" w:hAnsiTheme="majorBidi" w:cstheme="majorBidi"/>
                <w:b/>
                <w:bCs/>
                <w:u w:val="single"/>
                <w:rtl/>
                <w:lang w:bidi="ar-AE"/>
              </w:rPr>
              <w:t xml:space="preserve"> </w:t>
            </w:r>
            <w:r w:rsidRPr="007C6A42">
              <w:rPr>
                <w:rFonts w:asciiTheme="majorBidi" w:eastAsia="Times New Roman" w:hAnsiTheme="majorBidi" w:cstheme="majorBidi"/>
                <w:rtl/>
                <w:lang w:bidi="ar-AE"/>
              </w:rPr>
              <w:t>اللهُ في الدنيا والآخرةِ فلْيَمْدُدْ بسببٍ إلى السماء ثم ليقطَعْ فلْينظُرْ هل يُذْهِبَنَّ كيدُه ما يَغيظ.</w:t>
            </w:r>
          </w:p>
        </w:tc>
        <w:tc>
          <w:tcPr>
            <w:tcW w:w="1205" w:type="dxa"/>
            <w:tcBorders>
              <w:top w:val="single" w:sz="4" w:space="0" w:color="auto"/>
              <w:left w:val="single" w:sz="4" w:space="0" w:color="auto"/>
              <w:bottom w:val="single" w:sz="4" w:space="0" w:color="auto"/>
              <w:right w:val="single" w:sz="4" w:space="0" w:color="auto"/>
            </w:tcBorders>
          </w:tcPr>
          <w:p w14:paraId="14D1E70E"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Du Ryer</w:t>
            </w:r>
            <w:r w:rsidRPr="007C6A42">
              <w:rPr>
                <w:rFonts w:asciiTheme="majorBidi" w:eastAsia="Calibri" w:hAnsiTheme="majorBidi" w:cstheme="majorBidi"/>
                <w:lang w:bidi="ar-AE"/>
              </w:rPr>
              <w:t xml:space="preserve"> (1647)</w:t>
            </w:r>
          </w:p>
        </w:tc>
        <w:tc>
          <w:tcPr>
            <w:tcW w:w="7490" w:type="dxa"/>
            <w:tcBorders>
              <w:top w:val="single" w:sz="4" w:space="0" w:color="auto"/>
              <w:left w:val="single" w:sz="4" w:space="0" w:color="auto"/>
              <w:bottom w:val="single" w:sz="4" w:space="0" w:color="auto"/>
              <w:right w:val="single" w:sz="4" w:space="0" w:color="auto"/>
            </w:tcBorders>
          </w:tcPr>
          <w:p w14:paraId="5399B2D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 xml:space="preserve">Celuy qui eʃt faʃché de ce que Dieu donne ʃecours &amp; protection à </w:t>
            </w:r>
            <w:r w:rsidRPr="007C6A42">
              <w:rPr>
                <w:rFonts w:asciiTheme="majorBidi" w:eastAsia="Times New Roman" w:hAnsiTheme="majorBidi" w:cstheme="majorBidi"/>
                <w:b/>
                <w:bCs/>
              </w:rPr>
              <w:t xml:space="preserve">Mahomet </w:t>
            </w:r>
            <w:r w:rsidRPr="007C6A42">
              <w:rPr>
                <w:rFonts w:asciiTheme="majorBidi" w:eastAsia="Times New Roman" w:hAnsiTheme="majorBidi" w:cstheme="majorBidi"/>
              </w:rPr>
              <w:t>en ce monde &amp; en l’autre, qu’il attache vne corde au plancher de ʃa maison, &amp; qu’il s’eʃtrangle, il verra ʃe ʃa colere paʃʃera.</w:t>
            </w:r>
          </w:p>
        </w:tc>
      </w:tr>
      <w:tr w:rsidR="00A70B78" w:rsidRPr="007C6A42" w14:paraId="282E2E37"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726EDD4"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4B7E94A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Savary</w:t>
            </w:r>
            <w:r w:rsidRPr="007C6A42">
              <w:rPr>
                <w:rFonts w:asciiTheme="majorBidi" w:eastAsia="Calibri" w:hAnsiTheme="majorBidi" w:cstheme="majorBidi"/>
                <w:lang w:bidi="ar-AE"/>
              </w:rPr>
              <w:t xml:space="preserve"> (1782)</w:t>
            </w:r>
          </w:p>
        </w:tc>
        <w:tc>
          <w:tcPr>
            <w:tcW w:w="7490" w:type="dxa"/>
            <w:tcBorders>
              <w:top w:val="single" w:sz="4" w:space="0" w:color="auto"/>
              <w:left w:val="single" w:sz="4" w:space="0" w:color="auto"/>
              <w:bottom w:val="single" w:sz="4" w:space="0" w:color="auto"/>
              <w:right w:val="single" w:sz="4" w:space="0" w:color="auto"/>
            </w:tcBorders>
          </w:tcPr>
          <w:p w14:paraId="52191B0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w:t>
            </w:r>
            <w:r w:rsidRPr="007C6A42">
              <w:rPr>
                <w:rFonts w:asciiTheme="majorBidi" w:eastAsia="Times New Roman" w:hAnsiTheme="majorBidi" w:cstheme="majorBidi"/>
                <w:b/>
                <w:bCs/>
              </w:rPr>
              <w:t>le prophète</w:t>
            </w:r>
            <w:r w:rsidRPr="007C6A42">
              <w:rPr>
                <w:rFonts w:asciiTheme="majorBidi" w:eastAsia="Times New Roman" w:hAnsiTheme="majorBidi" w:cstheme="majorBidi"/>
              </w:rPr>
              <w:t xml:space="preserve"> sera privé du secours divin dans ce monde et dans l’autre, attache une corde au toit de sa maison, et s’étrangle. Il verra si son stratagème rendra vain ce qui l’irrite.</w:t>
            </w:r>
          </w:p>
        </w:tc>
      </w:tr>
      <w:tr w:rsidR="00A70B78" w:rsidRPr="007C6A42" w14:paraId="1143240A"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EAFAB95"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04561E1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Kazimirski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p>
        </w:tc>
        <w:tc>
          <w:tcPr>
            <w:tcW w:w="7490" w:type="dxa"/>
            <w:tcBorders>
              <w:top w:val="single" w:sz="4" w:space="0" w:color="auto"/>
              <w:left w:val="single" w:sz="4" w:space="0" w:color="auto"/>
              <w:bottom w:val="single" w:sz="4" w:space="0" w:color="auto"/>
              <w:right w:val="single" w:sz="4" w:space="0" w:color="auto"/>
            </w:tcBorders>
          </w:tcPr>
          <w:p w14:paraId="76CC28B8"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Dieu ne </w:t>
            </w:r>
            <w:r w:rsidRPr="007C6A42">
              <w:rPr>
                <w:rFonts w:asciiTheme="majorBidi" w:eastAsia="Times New Roman" w:hAnsiTheme="majorBidi" w:cstheme="majorBidi"/>
                <w:b/>
                <w:bCs/>
              </w:rPr>
              <w:t>le</w:t>
            </w:r>
            <w:r w:rsidRPr="007C6A42">
              <w:rPr>
                <w:rFonts w:asciiTheme="majorBidi" w:eastAsia="Times New Roman" w:hAnsiTheme="majorBidi" w:cstheme="majorBidi"/>
              </w:rPr>
              <w:t xml:space="preserve"> secourra pas </w:t>
            </w:r>
            <w:r w:rsidRPr="007C6A42">
              <w:rPr>
                <w:rFonts w:asciiTheme="majorBidi" w:eastAsia="Times New Roman" w:hAnsiTheme="majorBidi" w:cstheme="majorBidi"/>
                <w:b/>
                <w:bCs/>
              </w:rPr>
              <w:t>(</w:t>
            </w:r>
            <w:r w:rsidRPr="007C6A42">
              <w:rPr>
                <w:rFonts w:asciiTheme="majorBidi" w:eastAsia="Times New Roman" w:hAnsiTheme="majorBidi" w:cstheme="majorBidi"/>
                <w:b/>
                <w:bCs/>
                <w:i/>
                <w:iCs/>
              </w:rPr>
              <w:t>Mohammed</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dans ce monde et dans l’autre, allonge la corde vers le ciel et la coupe ; il verra si ses artifices rendront vain ce qui l’irrite.</w:t>
            </w:r>
          </w:p>
        </w:tc>
      </w:tr>
      <w:tr w:rsidR="00A70B78" w:rsidRPr="007C6A42" w14:paraId="5E307BFA"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7CA5D96"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0975280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Blachère (1949)</w:t>
            </w:r>
          </w:p>
        </w:tc>
        <w:tc>
          <w:tcPr>
            <w:tcW w:w="7490" w:type="dxa"/>
            <w:tcBorders>
              <w:top w:val="single" w:sz="4" w:space="0" w:color="auto"/>
              <w:left w:val="single" w:sz="4" w:space="0" w:color="auto"/>
              <w:bottom w:val="single" w:sz="4" w:space="0" w:color="auto"/>
              <w:right w:val="single" w:sz="4" w:space="0" w:color="auto"/>
            </w:tcBorders>
          </w:tcPr>
          <w:p w14:paraId="6E8E250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qu’Allah ne </w:t>
            </w:r>
            <w:r w:rsidRPr="007C6A42">
              <w:rPr>
                <w:rFonts w:asciiTheme="majorBidi" w:eastAsia="Times New Roman" w:hAnsiTheme="majorBidi" w:cstheme="majorBidi"/>
                <w:b/>
                <w:bCs/>
              </w:rPr>
              <w:t>le</w:t>
            </w:r>
            <w:r w:rsidRPr="007C6A42">
              <w:rPr>
                <w:rFonts w:asciiTheme="majorBidi" w:eastAsia="Times New Roman" w:hAnsiTheme="majorBidi" w:cstheme="majorBidi"/>
              </w:rPr>
              <w:t xml:space="preserve"> secourra pas, dans la [</w:t>
            </w:r>
            <w:r w:rsidRPr="007C6A42">
              <w:rPr>
                <w:rFonts w:asciiTheme="majorBidi" w:eastAsia="Times New Roman" w:hAnsiTheme="majorBidi" w:cstheme="majorBidi"/>
                <w:i/>
              </w:rPr>
              <w:t>Vie</w:t>
            </w:r>
            <w:r w:rsidRPr="007C6A42">
              <w:rPr>
                <w:rFonts w:asciiTheme="majorBidi" w:eastAsia="Times New Roman" w:hAnsiTheme="majorBidi" w:cstheme="majorBidi"/>
              </w:rPr>
              <w:t>] Immédiate et la [</w:t>
            </w:r>
            <w:r w:rsidRPr="007C6A42">
              <w:rPr>
                <w:rFonts w:asciiTheme="majorBidi" w:eastAsia="Times New Roman" w:hAnsiTheme="majorBidi" w:cstheme="majorBidi"/>
                <w:i/>
              </w:rPr>
              <w:t>Vie</w:t>
            </w:r>
            <w:r w:rsidRPr="007C6A42">
              <w:rPr>
                <w:rFonts w:asciiTheme="majorBidi" w:eastAsia="Times New Roman" w:hAnsiTheme="majorBidi" w:cstheme="majorBidi"/>
              </w:rPr>
              <w:t>] Dernière, tende une corde jusqu’au ciel, puis qu’il la tranche et qu’il considère si son stratagème dissipera ce qui [l’]irrite.</w:t>
            </w:r>
          </w:p>
        </w:tc>
      </w:tr>
      <w:tr w:rsidR="00A70B78" w:rsidRPr="007C6A42" w14:paraId="79D84BB5"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5110343"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78B6C1D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Ghédira</w:t>
            </w:r>
            <w:r w:rsidRPr="007C6A42">
              <w:rPr>
                <w:rFonts w:asciiTheme="majorBidi" w:eastAsia="SimSun" w:hAnsiTheme="majorBidi" w:cstheme="majorBidi"/>
                <w:lang w:eastAsia="zh-CN"/>
              </w:rPr>
              <w:t xml:space="preserve"> (1957</w:t>
            </w:r>
            <w:r w:rsidRPr="007C6A42">
              <w:rPr>
                <w:rFonts w:asciiTheme="majorBidi" w:eastAsia="Calibri" w:hAnsiTheme="majorBidi" w:cstheme="majorBidi"/>
                <w:lang w:bidi="ar-AE"/>
              </w:rPr>
              <w:t>)</w:t>
            </w:r>
          </w:p>
        </w:tc>
        <w:tc>
          <w:tcPr>
            <w:tcW w:w="7490" w:type="dxa"/>
            <w:tcBorders>
              <w:top w:val="single" w:sz="4" w:space="0" w:color="auto"/>
              <w:left w:val="single" w:sz="4" w:space="0" w:color="auto"/>
              <w:bottom w:val="single" w:sz="4" w:space="0" w:color="auto"/>
              <w:right w:val="single" w:sz="4" w:space="0" w:color="auto"/>
            </w:tcBorders>
          </w:tcPr>
          <w:p w14:paraId="1637E85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Dieu ne secourra pas </w:t>
            </w:r>
            <w:r w:rsidRPr="007C6A42">
              <w:rPr>
                <w:rFonts w:asciiTheme="majorBidi" w:eastAsia="Times New Roman" w:hAnsiTheme="majorBidi" w:cstheme="majorBidi"/>
                <w:b/>
                <w:bCs/>
              </w:rPr>
              <w:t>[Muhammad]</w:t>
            </w:r>
            <w:r w:rsidRPr="007C6A42">
              <w:rPr>
                <w:rFonts w:asciiTheme="majorBidi" w:eastAsia="Times New Roman" w:hAnsiTheme="majorBidi" w:cstheme="majorBidi"/>
              </w:rPr>
              <w:t xml:space="preserve"> ni dans ce monde ni dans l’autre, suspende une corde vers le haut, s’y attache et la tranche : il verra si ses artifices feront disparaître ce qui l’irrite.</w:t>
            </w:r>
          </w:p>
        </w:tc>
      </w:tr>
      <w:tr w:rsidR="00A70B78" w:rsidRPr="007C6A42" w14:paraId="024E70D2"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9DD4840"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3929B5D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Hamidullah (1959)</w:t>
            </w:r>
          </w:p>
        </w:tc>
        <w:tc>
          <w:tcPr>
            <w:tcW w:w="7490" w:type="dxa"/>
            <w:tcBorders>
              <w:top w:val="single" w:sz="4" w:space="0" w:color="auto"/>
              <w:left w:val="single" w:sz="4" w:space="0" w:color="auto"/>
              <w:bottom w:val="single" w:sz="4" w:space="0" w:color="auto"/>
              <w:right w:val="single" w:sz="4" w:space="0" w:color="auto"/>
            </w:tcBorders>
          </w:tcPr>
          <w:p w14:paraId="1032A77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Quiconque pense qu’en vérité Dieu ne viendra pas au secours de </w:t>
            </w:r>
            <w:r w:rsidRPr="007C6A42">
              <w:rPr>
                <w:rFonts w:asciiTheme="majorBidi" w:eastAsia="Times New Roman" w:hAnsiTheme="majorBidi" w:cstheme="majorBidi"/>
                <w:b/>
                <w:bCs/>
              </w:rPr>
              <w:t>celui-ci*</w:t>
            </w:r>
            <w:r w:rsidRPr="007C6A42">
              <w:rPr>
                <w:rFonts w:asciiTheme="majorBidi" w:eastAsia="Times New Roman" w:hAnsiTheme="majorBidi" w:cstheme="majorBidi"/>
              </w:rPr>
              <w:t xml:space="preserve"> ni dans l’ici-bas ni dans l’au-delà, eh bien qu’il tende une corde jusqu’au ciel, puis qu’il coupe, puis, qu’il voie si sa ruse va faire disparaître quoi que ce soit de ce qui le fait enrager. (</w:t>
            </w:r>
            <w:r w:rsidRPr="007C6A42">
              <w:rPr>
                <w:rFonts w:asciiTheme="majorBidi" w:eastAsia="Times New Roman" w:hAnsiTheme="majorBidi" w:cstheme="majorBidi"/>
                <w:b/>
                <w:bCs/>
              </w:rPr>
              <w:t xml:space="preserve">*NDT : </w:t>
            </w:r>
            <w:r w:rsidRPr="007C6A42">
              <w:rPr>
                <w:rFonts w:asciiTheme="majorBidi" w:hAnsiTheme="majorBidi" w:cstheme="majorBidi"/>
                <w:b/>
                <w:bCs/>
              </w:rPr>
              <w:t>(de Muhammad)</w:t>
            </w:r>
            <w:r w:rsidRPr="007C6A42">
              <w:rPr>
                <w:rFonts w:asciiTheme="majorBidi" w:hAnsiTheme="majorBidi" w:cstheme="majorBidi"/>
              </w:rPr>
              <w:t>)</w:t>
            </w:r>
          </w:p>
        </w:tc>
      </w:tr>
      <w:tr w:rsidR="00A70B78" w:rsidRPr="007C6A42" w14:paraId="5531A201"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64AE8CE"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52D1E96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 xml:space="preserve">Masson </w:t>
            </w:r>
            <w:r w:rsidRPr="007C6A42">
              <w:rPr>
                <w:rFonts w:asciiTheme="majorBidi" w:eastAsia="Times New Roman" w:hAnsiTheme="majorBidi" w:cstheme="majorBidi"/>
              </w:rPr>
              <w:lastRenderedPageBreak/>
              <w:t>(1967)</w:t>
            </w:r>
          </w:p>
        </w:tc>
        <w:tc>
          <w:tcPr>
            <w:tcW w:w="7490" w:type="dxa"/>
            <w:tcBorders>
              <w:top w:val="single" w:sz="4" w:space="0" w:color="auto"/>
              <w:left w:val="single" w:sz="4" w:space="0" w:color="auto"/>
              <w:bottom w:val="single" w:sz="4" w:space="0" w:color="auto"/>
              <w:right w:val="single" w:sz="4" w:space="0" w:color="auto"/>
            </w:tcBorders>
          </w:tcPr>
          <w:p w14:paraId="59F2DDB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Que celui qui pense que Dieu ne </w:t>
            </w:r>
            <w:r w:rsidRPr="007C6A42">
              <w:rPr>
                <w:rFonts w:asciiTheme="majorBidi" w:eastAsia="Times New Roman" w:hAnsiTheme="majorBidi" w:cstheme="majorBidi"/>
                <w:b/>
                <w:bCs/>
              </w:rPr>
              <w:t>le</w:t>
            </w:r>
            <w:r w:rsidRPr="007C6A42">
              <w:rPr>
                <w:rFonts w:asciiTheme="majorBidi" w:eastAsia="Times New Roman" w:hAnsiTheme="majorBidi" w:cstheme="majorBidi"/>
              </w:rPr>
              <w:t xml:space="preserve"> secourra ni en cette vie, ni dans </w:t>
            </w:r>
            <w:r w:rsidRPr="007C6A42">
              <w:rPr>
                <w:rFonts w:asciiTheme="majorBidi" w:eastAsia="Times New Roman" w:hAnsiTheme="majorBidi" w:cstheme="majorBidi"/>
              </w:rPr>
              <w:lastRenderedPageBreak/>
              <w:t>l’autre, tende une corde jusqu’au ciel, puis il la tranche ; il verra si sa ruse anéantit ce qui l’irrite !</w:t>
            </w:r>
          </w:p>
        </w:tc>
      </w:tr>
      <w:tr w:rsidR="00A70B78" w:rsidRPr="007C6A42" w14:paraId="65325540"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C20F45A"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474B016D"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Grosjean (1972)</w:t>
            </w:r>
          </w:p>
        </w:tc>
        <w:tc>
          <w:tcPr>
            <w:tcW w:w="7490" w:type="dxa"/>
            <w:tcBorders>
              <w:top w:val="single" w:sz="4" w:space="0" w:color="auto"/>
              <w:left w:val="single" w:sz="4" w:space="0" w:color="auto"/>
              <w:bottom w:val="single" w:sz="4" w:space="0" w:color="auto"/>
              <w:right w:val="single" w:sz="4" w:space="0" w:color="auto"/>
            </w:tcBorders>
          </w:tcPr>
          <w:p w14:paraId="23829F9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Quiconque pense que Dieu ne </w:t>
            </w:r>
            <w:r w:rsidRPr="007C6A42">
              <w:rPr>
                <w:rFonts w:asciiTheme="majorBidi" w:eastAsia="Times New Roman" w:hAnsiTheme="majorBidi" w:cstheme="majorBidi"/>
                <w:b/>
                <w:bCs/>
              </w:rPr>
              <w:t>le</w:t>
            </w:r>
            <w:r w:rsidRPr="007C6A42">
              <w:rPr>
                <w:rFonts w:asciiTheme="majorBidi" w:eastAsia="Times New Roman" w:hAnsiTheme="majorBidi" w:cstheme="majorBidi"/>
              </w:rPr>
              <w:t xml:space="preserve"> secourra ni en cette vie ni dans l’autre, qu’il tende une corde jusqu’au ciel et qu’il la tranche, il verra si sa ruse détruit ce qui l’irrite.</w:t>
            </w:r>
          </w:p>
        </w:tc>
      </w:tr>
      <w:tr w:rsidR="00A70B78" w:rsidRPr="007C6A42" w14:paraId="66BD20BD"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6FD64D2"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5211ADB2"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7490" w:type="dxa"/>
            <w:tcBorders>
              <w:top w:val="single" w:sz="4" w:space="0" w:color="auto"/>
              <w:left w:val="single" w:sz="4" w:space="0" w:color="auto"/>
              <w:bottom w:val="single" w:sz="4" w:space="0" w:color="auto"/>
              <w:right w:val="single" w:sz="4" w:space="0" w:color="auto"/>
            </w:tcBorders>
          </w:tcPr>
          <w:p w14:paraId="0B41649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w:t>
            </w:r>
            <w:r w:rsidRPr="007C6A42">
              <w:rPr>
                <w:rFonts w:asciiTheme="majorBidi" w:eastAsia="Times New Roman" w:hAnsiTheme="majorBidi" w:cstheme="majorBidi"/>
                <w:b/>
                <w:bCs/>
              </w:rPr>
              <w:t>qui</w:t>
            </w:r>
            <w:r w:rsidRPr="007C6A42">
              <w:rPr>
                <w:rFonts w:asciiTheme="majorBidi" w:eastAsia="Times New Roman" w:hAnsiTheme="majorBidi" w:cstheme="majorBidi"/>
              </w:rPr>
              <w:t xml:space="preserve"> désespère de Dieu en ce monde et dans l’autre tente par un moyen quelconque d’accéder au ciel et d’y pénétrer ! Il verra si une telle expérience peut calmer son dépit.</w:t>
            </w:r>
          </w:p>
        </w:tc>
      </w:tr>
      <w:tr w:rsidR="00A70B78" w:rsidRPr="007C6A42" w14:paraId="30DBEC8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09DE6BA"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44A92EE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Berque (1990)</w:t>
            </w:r>
          </w:p>
        </w:tc>
        <w:tc>
          <w:tcPr>
            <w:tcW w:w="7490" w:type="dxa"/>
            <w:tcBorders>
              <w:top w:val="single" w:sz="4" w:space="0" w:color="auto"/>
              <w:left w:val="single" w:sz="4" w:space="0" w:color="auto"/>
              <w:bottom w:val="single" w:sz="4" w:space="0" w:color="auto"/>
              <w:right w:val="single" w:sz="4" w:space="0" w:color="auto"/>
            </w:tcBorders>
          </w:tcPr>
          <w:p w14:paraId="2979631C"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Celui qui conjecturait que Dieu laisserait </w:t>
            </w:r>
            <w:r w:rsidRPr="007C6A42">
              <w:rPr>
                <w:rFonts w:asciiTheme="majorBidi" w:eastAsia="Calibri" w:hAnsiTheme="majorBidi" w:cstheme="majorBidi"/>
                <w:b/>
                <w:bCs/>
                <w:lang w:bidi="ar-AE"/>
              </w:rPr>
              <w:t>(le Prophète)</w:t>
            </w:r>
            <w:r w:rsidRPr="007C6A42">
              <w:rPr>
                <w:rFonts w:asciiTheme="majorBidi" w:eastAsia="Calibri" w:hAnsiTheme="majorBidi" w:cstheme="majorBidi"/>
                <w:lang w:bidi="ar-AE"/>
              </w:rPr>
              <w:t xml:space="preserve"> sans secours en ce monde et dans l’autre n’a qu’à tendre une corde jusqu’au ciel et puis la couper : qu’il voie si son stratagème va supprimer l’objet de sa rage !</w:t>
            </w:r>
          </w:p>
        </w:tc>
      </w:tr>
      <w:tr w:rsidR="00A70B78" w:rsidRPr="007C6A42" w14:paraId="6E8CA415"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00E0290"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34850A0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André Chouraqui (1990)</w:t>
            </w:r>
          </w:p>
        </w:tc>
        <w:tc>
          <w:tcPr>
            <w:tcW w:w="7490" w:type="dxa"/>
            <w:tcBorders>
              <w:top w:val="single" w:sz="4" w:space="0" w:color="auto"/>
              <w:left w:val="single" w:sz="4" w:space="0" w:color="auto"/>
              <w:bottom w:val="single" w:sz="4" w:space="0" w:color="auto"/>
              <w:right w:val="single" w:sz="4" w:space="0" w:color="auto"/>
            </w:tcBorders>
          </w:tcPr>
          <w:p w14:paraId="6EDEA5D4"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Qui imagine qu’Allah ne </w:t>
            </w:r>
            <w:r w:rsidRPr="007C6A42">
              <w:rPr>
                <w:rFonts w:asciiTheme="majorBidi" w:eastAsia="Times New Roman" w:hAnsiTheme="majorBidi" w:cstheme="majorBidi"/>
                <w:b/>
                <w:bCs/>
              </w:rPr>
              <w:t>l’</w:t>
            </w:r>
            <w:r w:rsidRPr="007C6A42">
              <w:rPr>
                <w:rFonts w:asciiTheme="majorBidi" w:eastAsia="Times New Roman" w:hAnsiTheme="majorBidi" w:cstheme="majorBidi"/>
              </w:rPr>
              <w:t>aide pas en ce monde ni dans l’Autre, qu’il accroche une corde aux ciels, puis la coupe. Il guettera si son stratagème dissipe ce qui l’irritait.</w:t>
            </w:r>
          </w:p>
        </w:tc>
      </w:tr>
      <w:tr w:rsidR="00A70B78" w:rsidRPr="007C6A42" w14:paraId="3A5FF3AC"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247FB364"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5211BD3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Guessous (1999)</w:t>
            </w:r>
          </w:p>
        </w:tc>
        <w:tc>
          <w:tcPr>
            <w:tcW w:w="7490" w:type="dxa"/>
            <w:tcBorders>
              <w:top w:val="single" w:sz="4" w:space="0" w:color="auto"/>
              <w:left w:val="single" w:sz="4" w:space="0" w:color="auto"/>
              <w:bottom w:val="single" w:sz="4" w:space="0" w:color="auto"/>
              <w:right w:val="single" w:sz="4" w:space="0" w:color="auto"/>
            </w:tcBorders>
          </w:tcPr>
          <w:p w14:paraId="0D96036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w:t>
            </w:r>
            <w:r w:rsidRPr="007C6A42">
              <w:rPr>
                <w:rFonts w:asciiTheme="majorBidi" w:eastAsia="Times New Roman" w:hAnsiTheme="majorBidi" w:cstheme="majorBidi"/>
                <w:b/>
                <w:bCs/>
              </w:rPr>
              <w:t>qui</w:t>
            </w:r>
            <w:r w:rsidRPr="007C6A42">
              <w:rPr>
                <w:rFonts w:asciiTheme="majorBidi" w:eastAsia="Times New Roman" w:hAnsiTheme="majorBidi" w:cstheme="majorBidi"/>
              </w:rPr>
              <w:t xml:space="preserve"> pense ne point être par ALLAH assisté, </w:t>
            </w:r>
          </w:p>
          <w:p w14:paraId="4F0CBD3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Dans la vie immédiate ou dans l’Éternité,</w:t>
            </w:r>
          </w:p>
          <w:p w14:paraId="36C3AF1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Tende une corde vers le ciel puis qu’elle soit coupée</w:t>
            </w:r>
          </w:p>
          <w:p w14:paraId="0C1FC89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Il verra si ces artifices dissiperont ce qui l’a irrité. </w:t>
            </w:r>
          </w:p>
        </w:tc>
      </w:tr>
      <w:tr w:rsidR="00A70B78" w:rsidRPr="007C6A42" w14:paraId="247F9826"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E13CFA6"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2911D5B1"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Complexe Médine (2001)</w:t>
            </w:r>
          </w:p>
        </w:tc>
        <w:tc>
          <w:tcPr>
            <w:tcW w:w="7490" w:type="dxa"/>
            <w:tcBorders>
              <w:top w:val="single" w:sz="4" w:space="0" w:color="auto"/>
              <w:left w:val="single" w:sz="4" w:space="0" w:color="auto"/>
              <w:bottom w:val="single" w:sz="4" w:space="0" w:color="auto"/>
              <w:right w:val="single" w:sz="4" w:space="0" w:color="auto"/>
            </w:tcBorders>
          </w:tcPr>
          <w:p w14:paraId="2C3FBE9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pense qu’Allah ne</w:t>
            </w:r>
            <w:r w:rsidRPr="007C6A42">
              <w:rPr>
                <w:rFonts w:asciiTheme="majorBidi" w:eastAsia="Times New Roman" w:hAnsiTheme="majorBidi" w:cstheme="majorBidi"/>
                <w:b/>
                <w:bCs/>
              </w:rPr>
              <w:t xml:space="preserve"> le</w:t>
            </w:r>
            <w:r w:rsidRPr="007C6A42">
              <w:rPr>
                <w:rFonts w:asciiTheme="majorBidi" w:eastAsia="Times New Roman" w:hAnsiTheme="majorBidi" w:cstheme="majorBidi"/>
              </w:rPr>
              <w:t xml:space="preserve"> secourra pas dans l’ici-bas et dans l’au-delà, qu’il tende une corde jusqu’au ciel, puis qu’il la coupe, et qu’il voie si sa ruse va faire disparaître ce qui l’enrage.</w:t>
            </w:r>
          </w:p>
        </w:tc>
      </w:tr>
      <w:tr w:rsidR="00A70B78" w:rsidRPr="007C6A42" w14:paraId="731B5096"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4DFCB5DB"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72D97A6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Chiadmi (1999)</w:t>
            </w:r>
          </w:p>
        </w:tc>
        <w:tc>
          <w:tcPr>
            <w:tcW w:w="7490" w:type="dxa"/>
            <w:tcBorders>
              <w:top w:val="single" w:sz="4" w:space="0" w:color="auto"/>
              <w:left w:val="single" w:sz="4" w:space="0" w:color="auto"/>
              <w:bottom w:val="single" w:sz="4" w:space="0" w:color="auto"/>
              <w:right w:val="single" w:sz="4" w:space="0" w:color="auto"/>
            </w:tcBorders>
          </w:tcPr>
          <w:p w14:paraId="1C39DE8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Dieu ne secourra pas </w:t>
            </w:r>
            <w:r w:rsidRPr="007C6A42">
              <w:rPr>
                <w:rFonts w:asciiTheme="majorBidi" w:eastAsia="Times New Roman" w:hAnsiTheme="majorBidi" w:cstheme="majorBidi"/>
                <w:b/>
                <w:bCs/>
              </w:rPr>
              <w:t>son Prophète</w:t>
            </w:r>
            <w:r w:rsidRPr="007C6A42">
              <w:rPr>
                <w:rFonts w:asciiTheme="majorBidi" w:eastAsia="Times New Roman" w:hAnsiTheme="majorBidi" w:cstheme="majorBidi"/>
              </w:rPr>
              <w:t>, ni en ce monde ni dans la vie future, se pende à une corde haut placée et qu’il tente de la couper. Il verra alors si ce moyen est de nature à dissiper ses rancœurs.</w:t>
            </w:r>
          </w:p>
        </w:tc>
      </w:tr>
      <w:tr w:rsidR="00A70B78" w:rsidRPr="007C6A42" w14:paraId="12EB9268"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9EF7F61"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73F693DC"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Aldeeb (2008)</w:t>
            </w:r>
          </w:p>
        </w:tc>
        <w:tc>
          <w:tcPr>
            <w:tcW w:w="7490" w:type="dxa"/>
            <w:tcBorders>
              <w:top w:val="single" w:sz="4" w:space="0" w:color="auto"/>
              <w:left w:val="single" w:sz="4" w:space="0" w:color="auto"/>
              <w:bottom w:val="single" w:sz="4" w:space="0" w:color="auto"/>
              <w:right w:val="single" w:sz="4" w:space="0" w:color="auto"/>
            </w:tcBorders>
          </w:tcPr>
          <w:p w14:paraId="5593673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 xml:space="preserve">Celui qui présume que Dieu ne </w:t>
            </w:r>
            <w:r w:rsidRPr="007C6A42">
              <w:rPr>
                <w:rFonts w:asciiTheme="majorBidi" w:eastAsia="Times New Roman" w:hAnsiTheme="majorBidi" w:cstheme="majorBidi"/>
                <w:b/>
                <w:bCs/>
                <w:lang w:eastAsia="fr-CH"/>
              </w:rPr>
              <w:t>le</w:t>
            </w:r>
            <w:r w:rsidRPr="007C6A42">
              <w:rPr>
                <w:rFonts w:asciiTheme="majorBidi" w:eastAsia="Times New Roman" w:hAnsiTheme="majorBidi" w:cstheme="majorBidi"/>
                <w:lang w:eastAsia="fr-CH"/>
              </w:rPr>
              <w:t xml:space="preserve"> secourra pas dans la [vie] ici-bas et la [vie] dernière, qu’il tende une corde jusqu’au ciel, puis qu’il la coupe*, et qu'il regarde si sa ruse fera disparaître ce qui l’enrage.</w:t>
            </w:r>
          </w:p>
        </w:tc>
      </w:tr>
      <w:tr w:rsidR="00A70B78" w:rsidRPr="007C6A42" w14:paraId="2A2E76C4"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25C690F"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5E375703"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Chebel (2009)</w:t>
            </w:r>
          </w:p>
        </w:tc>
        <w:tc>
          <w:tcPr>
            <w:tcW w:w="7490" w:type="dxa"/>
            <w:tcBorders>
              <w:top w:val="single" w:sz="4" w:space="0" w:color="auto"/>
              <w:left w:val="single" w:sz="4" w:space="0" w:color="auto"/>
              <w:bottom w:val="single" w:sz="4" w:space="0" w:color="auto"/>
              <w:right w:val="single" w:sz="4" w:space="0" w:color="auto"/>
            </w:tcBorders>
          </w:tcPr>
          <w:p w14:paraId="0C1203F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Celui qui a pensé qu’Allah ne </w:t>
            </w:r>
            <w:r w:rsidRPr="007C6A42">
              <w:rPr>
                <w:rFonts w:asciiTheme="majorBidi" w:eastAsia="Times New Roman" w:hAnsiTheme="majorBidi" w:cstheme="majorBidi"/>
                <w:b/>
                <w:bCs/>
              </w:rPr>
              <w:t>le</w:t>
            </w:r>
            <w:r w:rsidRPr="007C6A42">
              <w:rPr>
                <w:rFonts w:asciiTheme="majorBidi" w:eastAsia="Times New Roman" w:hAnsiTheme="majorBidi" w:cstheme="majorBidi"/>
              </w:rPr>
              <w:t xml:space="preserve"> sauvera ni dans la vie immédiate ni dans l’au-delà peut toujours tendre une corde vers le ciel, puis la couper, il </w:t>
            </w:r>
            <w:r w:rsidRPr="007C6A42">
              <w:rPr>
                <w:rFonts w:asciiTheme="majorBidi" w:eastAsia="Times New Roman" w:hAnsiTheme="majorBidi" w:cstheme="majorBidi"/>
              </w:rPr>
              <w:lastRenderedPageBreak/>
              <w:t>constatera par lui-même si sa ruse dissipe sa colère.</w:t>
            </w:r>
          </w:p>
        </w:tc>
      </w:tr>
      <w:tr w:rsidR="00A70B78" w:rsidRPr="007C6A42" w14:paraId="076C335A"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38F0FD9"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325FDF1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Zeinab Abdelaziz (2002)</w:t>
            </w:r>
          </w:p>
        </w:tc>
        <w:tc>
          <w:tcPr>
            <w:tcW w:w="7490" w:type="dxa"/>
            <w:tcBorders>
              <w:top w:val="single" w:sz="4" w:space="0" w:color="auto"/>
              <w:left w:val="single" w:sz="4" w:space="0" w:color="auto"/>
              <w:bottom w:val="single" w:sz="4" w:space="0" w:color="auto"/>
              <w:right w:val="single" w:sz="4" w:space="0" w:color="auto"/>
            </w:tcBorders>
          </w:tcPr>
          <w:p w14:paraId="22FE0E0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Quiconque croyait qu’Allah ne </w:t>
            </w:r>
            <w:r w:rsidRPr="007C6A42">
              <w:rPr>
                <w:rFonts w:asciiTheme="majorBidi" w:eastAsia="Times New Roman" w:hAnsiTheme="majorBidi" w:cstheme="majorBidi"/>
                <w:b/>
                <w:bCs/>
              </w:rPr>
              <w:t xml:space="preserve">lui </w:t>
            </w:r>
            <w:r w:rsidRPr="007C6A42">
              <w:rPr>
                <w:rFonts w:asciiTheme="majorBidi" w:eastAsia="Times New Roman" w:hAnsiTheme="majorBidi" w:cstheme="majorBidi"/>
              </w:rPr>
              <w:t xml:space="preserve">Donnerait pas victoire </w:t>
            </w:r>
            <w:r w:rsidRPr="007C6A42">
              <w:rPr>
                <w:rFonts w:asciiTheme="majorBidi" w:eastAsia="Times New Roman" w:hAnsiTheme="majorBidi" w:cstheme="majorBidi"/>
                <w:b/>
                <w:bCs/>
              </w:rPr>
              <w:t>(au Prophète)</w:t>
            </w:r>
            <w:r w:rsidRPr="007C6A42">
              <w:rPr>
                <w:rFonts w:asciiTheme="majorBidi" w:eastAsia="Times New Roman" w:hAnsiTheme="majorBidi" w:cstheme="majorBidi"/>
              </w:rPr>
              <w:t>, dans le monde et dans la vie Future, qu’il tende alors une corde vers le toit, ensuite qu’il se pende : qu’il regarde si sa ruse a dissipé ce qui l’enrage !</w:t>
            </w:r>
          </w:p>
        </w:tc>
      </w:tr>
      <w:tr w:rsidR="00A70B78" w:rsidRPr="007C6A42" w14:paraId="7F689DB0"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CFAC841"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1BE1472C"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Hafiane (2010)</w:t>
            </w:r>
          </w:p>
        </w:tc>
        <w:tc>
          <w:tcPr>
            <w:tcW w:w="7490" w:type="dxa"/>
            <w:tcBorders>
              <w:top w:val="single" w:sz="4" w:space="0" w:color="auto"/>
              <w:left w:val="single" w:sz="4" w:space="0" w:color="auto"/>
              <w:bottom w:val="single" w:sz="4" w:space="0" w:color="auto"/>
              <w:right w:val="single" w:sz="4" w:space="0" w:color="auto"/>
            </w:tcBorders>
          </w:tcPr>
          <w:p w14:paraId="2C74297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Dieu ne secourra pas </w:t>
            </w:r>
            <w:r w:rsidRPr="007C6A42">
              <w:rPr>
                <w:rFonts w:asciiTheme="majorBidi" w:eastAsia="Times New Roman" w:hAnsiTheme="majorBidi" w:cstheme="majorBidi"/>
                <w:b/>
                <w:bCs/>
              </w:rPr>
              <w:t xml:space="preserve">Mohammed </w:t>
            </w:r>
            <w:r w:rsidRPr="007C6A42">
              <w:rPr>
                <w:rFonts w:asciiTheme="majorBidi" w:eastAsia="Times New Roman" w:hAnsiTheme="majorBidi" w:cstheme="majorBidi"/>
              </w:rPr>
              <w:t>dans ce monde et dans l’autre tende une corde vers le ciel, puis qu’il la coupe pour se pendre : il verra si sa ruse mettra fin à ce qui l’irrite.</w:t>
            </w:r>
          </w:p>
        </w:tc>
      </w:tr>
    </w:tbl>
    <w:p w14:paraId="6B765DC0"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36F76F7C"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D’après le tableau susmentionné, nous remarquons que neuf traducteurs ont traduit le pronom </w:t>
      </w:r>
      <w:r w:rsidRPr="007C6A42">
        <w:rPr>
          <w:rFonts w:asciiTheme="majorBidi" w:eastAsia="Times New Roman" w:hAnsiTheme="majorBidi" w:cstheme="majorBidi"/>
          <w:i/>
          <w:iCs/>
        </w:rPr>
        <w:t>-hu</w:t>
      </w:r>
      <w:r w:rsidRPr="007C6A42">
        <w:rPr>
          <w:rFonts w:asciiTheme="majorBidi" w:eastAsia="Times New Roman" w:hAnsiTheme="majorBidi" w:cstheme="majorBidi"/>
        </w:rPr>
        <w:t xml:space="preserve"> par un nom explicite, le prophète Mahomet (directement dans le texte ou indirectement dans la NDT), contre neuf traducteurs qui l’ont traduit par un pronom qui renvoie à « celui/quiconque » sans évoquer le nom de Mahomet. Ainsi, les traducteurs ont reflété dans leur traductions les positions des exégètes musulmans à propos de l’interprétation de ce pronom. Il est à souligner que les traducteurs qui évoquent le nom du prophète Muḥammad ont déformé la traduction quand ils ont recours à la clarification comme tendance déformante.</w:t>
      </w:r>
    </w:p>
    <w:p w14:paraId="4D7CAEB4" w14:textId="77777777" w:rsidR="00A70B78" w:rsidRPr="007C6A42" w:rsidRDefault="00A70B78" w:rsidP="00A70B78">
      <w:pPr>
        <w:spacing w:line="360" w:lineRule="auto"/>
        <w:contextualSpacing/>
        <w:jc w:val="both"/>
        <w:rPr>
          <w:rFonts w:asciiTheme="majorBidi" w:eastAsia="Times New Roman"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97"/>
        <w:gridCol w:w="3191"/>
      </w:tblGrid>
      <w:tr w:rsidR="00A70B78" w:rsidRPr="007C6A42" w14:paraId="6A398F8F" w14:textId="77777777" w:rsidTr="00AF4FC9">
        <w:tc>
          <w:tcPr>
            <w:tcW w:w="3284" w:type="dxa"/>
            <w:tcBorders>
              <w:top w:val="single" w:sz="4" w:space="0" w:color="auto"/>
              <w:left w:val="single" w:sz="4" w:space="0" w:color="auto"/>
              <w:bottom w:val="single" w:sz="4" w:space="0" w:color="auto"/>
              <w:right w:val="single" w:sz="4" w:space="0" w:color="auto"/>
            </w:tcBorders>
          </w:tcPr>
          <w:p w14:paraId="4347143F" w14:textId="77777777" w:rsidR="00A70B78" w:rsidRPr="007C6A42" w:rsidRDefault="00A70B78" w:rsidP="00AF4FC9">
            <w:pPr>
              <w:spacing w:line="360" w:lineRule="auto"/>
              <w:contextualSpacing/>
              <w:jc w:val="center"/>
              <w:rPr>
                <w:rFonts w:asciiTheme="majorBidi" w:eastAsia="Times New Roman" w:hAnsiTheme="majorBidi" w:cstheme="majorBidi"/>
                <w:b/>
                <w:bCs/>
              </w:rPr>
            </w:pPr>
            <w:r w:rsidRPr="007C6A42">
              <w:rPr>
                <w:rFonts w:asciiTheme="majorBidi" w:eastAsia="Times New Roman" w:hAnsiTheme="majorBidi" w:cstheme="majorBidi"/>
                <w:b/>
                <w:bCs/>
              </w:rPr>
              <w:t>Traductions qui mentionnent Muḥammad (ou prophète) et la corde (sens qui souligne le conflit entre le prophète et ses adversaires)</w:t>
            </w:r>
          </w:p>
        </w:tc>
        <w:tc>
          <w:tcPr>
            <w:tcW w:w="3285" w:type="dxa"/>
            <w:tcBorders>
              <w:top w:val="single" w:sz="4" w:space="0" w:color="auto"/>
              <w:left w:val="single" w:sz="4" w:space="0" w:color="auto"/>
              <w:bottom w:val="single" w:sz="4" w:space="0" w:color="auto"/>
              <w:right w:val="single" w:sz="4" w:space="0" w:color="auto"/>
            </w:tcBorders>
          </w:tcPr>
          <w:p w14:paraId="18E07B19" w14:textId="77777777" w:rsidR="00A70B78" w:rsidRPr="007C6A42" w:rsidRDefault="00A70B78" w:rsidP="00AF4FC9">
            <w:pPr>
              <w:spacing w:line="360" w:lineRule="auto"/>
              <w:contextualSpacing/>
              <w:jc w:val="center"/>
              <w:rPr>
                <w:rFonts w:asciiTheme="majorBidi" w:eastAsia="Times New Roman" w:hAnsiTheme="majorBidi" w:cstheme="majorBidi"/>
                <w:b/>
                <w:bCs/>
              </w:rPr>
            </w:pPr>
            <w:r w:rsidRPr="007C6A42">
              <w:rPr>
                <w:rFonts w:asciiTheme="majorBidi" w:eastAsia="Times New Roman" w:hAnsiTheme="majorBidi" w:cstheme="majorBidi"/>
                <w:b/>
                <w:bCs/>
              </w:rPr>
              <w:t>Traductions qui ne mentionnent pas Muḥammad, mais mentionnent la corde (sens qui souligne indirectement et vaguement le conflit entre le prophète et ses adversaires)</w:t>
            </w:r>
          </w:p>
        </w:tc>
        <w:tc>
          <w:tcPr>
            <w:tcW w:w="3285" w:type="dxa"/>
            <w:tcBorders>
              <w:top w:val="single" w:sz="4" w:space="0" w:color="auto"/>
              <w:left w:val="single" w:sz="4" w:space="0" w:color="auto"/>
              <w:bottom w:val="single" w:sz="4" w:space="0" w:color="auto"/>
              <w:right w:val="single" w:sz="4" w:space="0" w:color="auto"/>
            </w:tcBorders>
          </w:tcPr>
          <w:p w14:paraId="76DF291F" w14:textId="77777777" w:rsidR="00A70B78" w:rsidRPr="007C6A42" w:rsidRDefault="00A70B78" w:rsidP="00AF4FC9">
            <w:pPr>
              <w:spacing w:line="360" w:lineRule="auto"/>
              <w:contextualSpacing/>
              <w:jc w:val="center"/>
              <w:rPr>
                <w:rFonts w:asciiTheme="majorBidi" w:eastAsia="Times New Roman" w:hAnsiTheme="majorBidi" w:cstheme="majorBidi"/>
                <w:b/>
                <w:bCs/>
              </w:rPr>
            </w:pPr>
            <w:r w:rsidRPr="007C6A42">
              <w:rPr>
                <w:rFonts w:asciiTheme="majorBidi" w:eastAsia="Times New Roman" w:hAnsiTheme="majorBidi" w:cstheme="majorBidi"/>
                <w:b/>
                <w:bCs/>
              </w:rPr>
              <w:t>Traductions qui ne mentionnent ni Muḥammad, ni la corde</w:t>
            </w:r>
          </w:p>
        </w:tc>
      </w:tr>
      <w:tr w:rsidR="00A70B78" w:rsidRPr="007C6A42" w14:paraId="58D939DC" w14:textId="77777777" w:rsidTr="00AF4FC9">
        <w:tc>
          <w:tcPr>
            <w:tcW w:w="3284" w:type="dxa"/>
            <w:tcBorders>
              <w:top w:val="single" w:sz="4" w:space="0" w:color="auto"/>
              <w:left w:val="single" w:sz="4" w:space="0" w:color="auto"/>
              <w:bottom w:val="single" w:sz="4" w:space="0" w:color="auto"/>
              <w:right w:val="single" w:sz="4" w:space="0" w:color="auto"/>
            </w:tcBorders>
          </w:tcPr>
          <w:p w14:paraId="3D45402F" w14:textId="77777777" w:rsidR="00A70B78" w:rsidRPr="007C6A42" w:rsidRDefault="00A70B78" w:rsidP="00AF4FC9">
            <w:pPr>
              <w:spacing w:line="360" w:lineRule="auto"/>
              <w:contextualSpacing/>
              <w:jc w:val="both"/>
              <w:rPr>
                <w:rFonts w:asciiTheme="majorBidi" w:eastAsia="Times New Roman" w:hAnsiTheme="majorBidi" w:cstheme="majorBidi"/>
                <w:lang w:val="en-US"/>
              </w:rPr>
            </w:pPr>
            <w:r w:rsidRPr="007C6A42">
              <w:rPr>
                <w:rFonts w:asciiTheme="majorBidi" w:eastAsia="Times New Roman" w:hAnsiTheme="majorBidi" w:cstheme="majorBidi"/>
                <w:lang w:val="en-US"/>
              </w:rPr>
              <w:t>D.R. (1647)</w:t>
            </w:r>
          </w:p>
          <w:p w14:paraId="24BC1FBF" w14:textId="77777777" w:rsidR="00A70B78" w:rsidRPr="007C6A42" w:rsidRDefault="00A70B78" w:rsidP="00AF4FC9">
            <w:pPr>
              <w:spacing w:line="360" w:lineRule="auto"/>
              <w:contextualSpacing/>
              <w:jc w:val="both"/>
              <w:rPr>
                <w:rFonts w:asciiTheme="majorBidi" w:eastAsia="Times New Roman" w:hAnsiTheme="majorBidi" w:cstheme="majorBidi"/>
                <w:lang w:val="en-US"/>
              </w:rPr>
            </w:pPr>
            <w:r w:rsidRPr="007C6A42">
              <w:rPr>
                <w:rFonts w:asciiTheme="majorBidi" w:eastAsia="Times New Roman" w:hAnsiTheme="majorBidi" w:cstheme="majorBidi"/>
                <w:lang w:val="en-US"/>
              </w:rPr>
              <w:t>Sav. (1782)</w:t>
            </w:r>
          </w:p>
          <w:p w14:paraId="601A9F9A" w14:textId="77777777" w:rsidR="00A70B78" w:rsidRPr="007C6A42" w:rsidRDefault="00A70B78" w:rsidP="00AF4FC9">
            <w:pPr>
              <w:spacing w:line="360" w:lineRule="auto"/>
              <w:contextualSpacing/>
              <w:jc w:val="both"/>
              <w:rPr>
                <w:rFonts w:asciiTheme="majorBidi" w:eastAsia="Times New Roman" w:hAnsiTheme="majorBidi" w:cstheme="majorBidi"/>
                <w:lang w:val="en-US"/>
              </w:rPr>
            </w:pPr>
            <w:r w:rsidRPr="007C6A42">
              <w:rPr>
                <w:rFonts w:asciiTheme="majorBidi" w:eastAsia="Times New Roman" w:hAnsiTheme="majorBidi" w:cstheme="majorBidi"/>
                <w:lang w:val="en-US"/>
              </w:rPr>
              <w:t>Kaz. (1840)</w:t>
            </w:r>
          </w:p>
          <w:p w14:paraId="7869C024" w14:textId="77777777" w:rsidR="00A70B78" w:rsidRPr="007C6A42" w:rsidRDefault="00A70B78" w:rsidP="00AF4FC9">
            <w:pPr>
              <w:spacing w:line="360" w:lineRule="auto"/>
              <w:contextualSpacing/>
              <w:jc w:val="both"/>
              <w:rPr>
                <w:rFonts w:asciiTheme="majorBidi" w:eastAsia="Times New Roman" w:hAnsiTheme="majorBidi" w:cstheme="majorBidi"/>
                <w:lang w:val="en-US" w:bidi="ar-KW"/>
              </w:rPr>
            </w:pPr>
            <w:r w:rsidRPr="007C6A42">
              <w:rPr>
                <w:rFonts w:asciiTheme="majorBidi" w:eastAsia="Times New Roman" w:hAnsiTheme="majorBidi" w:cstheme="majorBidi"/>
                <w:lang w:val="en-US"/>
              </w:rPr>
              <w:t xml:space="preserve">Ghéd. </w:t>
            </w:r>
            <w:r w:rsidRPr="007C6A42">
              <w:rPr>
                <w:rFonts w:asciiTheme="majorBidi" w:eastAsia="Times New Roman" w:hAnsiTheme="majorBidi" w:cstheme="majorBidi"/>
                <w:lang w:val="en-US" w:bidi="ar-KW"/>
              </w:rPr>
              <w:t>(1957)</w:t>
            </w:r>
          </w:p>
          <w:p w14:paraId="0BFD262F"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lang w:val="en-US"/>
              </w:rPr>
              <w:t xml:space="preserve">Hamid. </w:t>
            </w:r>
            <w:r w:rsidRPr="007C6A42">
              <w:rPr>
                <w:rFonts w:asciiTheme="majorBidi" w:eastAsia="Times New Roman" w:hAnsiTheme="majorBidi" w:cstheme="majorBidi"/>
              </w:rPr>
              <w:t>(1959)</w:t>
            </w:r>
          </w:p>
          <w:p w14:paraId="09AE8B5B"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Ber. (1990)</w:t>
            </w:r>
          </w:p>
          <w:p w14:paraId="0824D0F8"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Chiad. (2004)</w:t>
            </w:r>
          </w:p>
          <w:p w14:paraId="07716256"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lastRenderedPageBreak/>
              <w:t>Abdel. (2002)</w:t>
            </w:r>
          </w:p>
          <w:p w14:paraId="23D61F1D"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3285" w:type="dxa"/>
            <w:tcBorders>
              <w:top w:val="single" w:sz="4" w:space="0" w:color="auto"/>
              <w:left w:val="single" w:sz="4" w:space="0" w:color="auto"/>
              <w:bottom w:val="single" w:sz="4" w:space="0" w:color="auto"/>
              <w:right w:val="single" w:sz="4" w:space="0" w:color="auto"/>
            </w:tcBorders>
          </w:tcPr>
          <w:p w14:paraId="687452E8"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Blach. (1949) </w:t>
            </w:r>
            <w:r w:rsidRPr="007C6A42">
              <w:rPr>
                <w:rFonts w:asciiTheme="majorBidi" w:eastAsia="Times New Roman" w:hAnsiTheme="majorBidi" w:cstheme="majorBidi"/>
                <w:i/>
                <w:iCs/>
              </w:rPr>
              <w:t>(mais il souligne que ce verset est sans lien avec le contexte)</w:t>
            </w:r>
          </w:p>
          <w:p w14:paraId="519D7109"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Mass. (1967)</w:t>
            </w:r>
          </w:p>
          <w:p w14:paraId="20064F8C"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Grosj. (1972)</w:t>
            </w:r>
          </w:p>
          <w:p w14:paraId="2D266934"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Chour. (1990)</w:t>
            </w:r>
          </w:p>
          <w:p w14:paraId="359EC456"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Gues. (1999)</w:t>
            </w:r>
          </w:p>
          <w:p w14:paraId="26DEE5EB"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lastRenderedPageBreak/>
              <w:t>Méd. (2001)</w:t>
            </w:r>
          </w:p>
          <w:p w14:paraId="50273792"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Ald. (2008)</w:t>
            </w:r>
          </w:p>
          <w:p w14:paraId="0B8BB5A8"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3285" w:type="dxa"/>
            <w:tcBorders>
              <w:top w:val="single" w:sz="4" w:space="0" w:color="auto"/>
              <w:left w:val="single" w:sz="4" w:space="0" w:color="auto"/>
              <w:bottom w:val="single" w:sz="4" w:space="0" w:color="auto"/>
              <w:right w:val="single" w:sz="4" w:space="0" w:color="auto"/>
            </w:tcBorders>
          </w:tcPr>
          <w:p w14:paraId="09C4AACD"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lastRenderedPageBreak/>
              <w:t>B.M. (1976)</w:t>
            </w:r>
          </w:p>
        </w:tc>
      </w:tr>
    </w:tbl>
    <w:p w14:paraId="208DA063"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744ECC48"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Presque tous les traducteurs ont reflété l’interprétation sunnite conflictuelle. L’interprétation chiite est absente. Seul Ben Mahmoud a montré plus ou moins une interprétation mystique.</w:t>
      </w:r>
    </w:p>
    <w:p w14:paraId="0DFFC997"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28E55AD5" w14:textId="77777777" w:rsidR="00A70B78" w:rsidRPr="007C6A42" w:rsidRDefault="00A70B78" w:rsidP="00A70B78">
      <w:pPr>
        <w:spacing w:line="360" w:lineRule="auto"/>
        <w:contextualSpacing/>
        <w:jc w:val="both"/>
        <w:outlineLvl w:val="0"/>
        <w:rPr>
          <w:rFonts w:asciiTheme="majorBidi" w:eastAsia="Times New Roman" w:hAnsiTheme="majorBidi" w:cstheme="majorBidi"/>
          <w:b/>
          <w:bCs/>
        </w:rPr>
      </w:pPr>
      <w:r w:rsidRPr="007C6A42">
        <w:rPr>
          <w:rFonts w:asciiTheme="majorBidi" w:eastAsia="Times New Roman" w:hAnsiTheme="majorBidi" w:cstheme="majorBidi"/>
          <w:b/>
          <w:bCs/>
        </w:rPr>
        <w:t xml:space="preserve">Traduction du COD implicite du verbe </w:t>
      </w:r>
      <w:r w:rsidRPr="007C6A42">
        <w:rPr>
          <w:rFonts w:asciiTheme="majorBidi" w:eastAsia="Times New Roman" w:hAnsiTheme="majorBidi" w:cstheme="majorBidi"/>
          <w:b/>
          <w:bCs/>
          <w:i/>
          <w:iCs/>
        </w:rPr>
        <w:t>yaqṭaʿ</w:t>
      </w:r>
      <w:r w:rsidRPr="007C6A42">
        <w:rPr>
          <w:rFonts w:asciiTheme="majorBidi" w:eastAsia="Times New Roman" w:hAnsiTheme="majorBidi" w:cstheme="majorBidi"/>
          <w:b/>
          <w:bCs/>
        </w:rPr>
        <w:t xml:space="preserve"> (verset 15) :</w:t>
      </w:r>
    </w:p>
    <w:p w14:paraId="01DA60F8" w14:textId="77777777" w:rsidR="00A70B78" w:rsidRPr="007C6A42" w:rsidRDefault="00A70B78" w:rsidP="00A70B78">
      <w:pPr>
        <w:spacing w:line="360" w:lineRule="auto"/>
        <w:ind w:firstLine="708"/>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Le verbe transitif direct à l’apocopé </w:t>
      </w:r>
      <w:r w:rsidRPr="007C6A42">
        <w:rPr>
          <w:rFonts w:asciiTheme="majorBidi" w:eastAsia="Times New Roman" w:hAnsiTheme="majorBidi" w:cstheme="majorBidi"/>
          <w:i/>
          <w:iCs/>
        </w:rPr>
        <w:t>yaqṭaʿ</w:t>
      </w:r>
      <w:r w:rsidRPr="007C6A42">
        <w:rPr>
          <w:rFonts w:asciiTheme="majorBidi" w:eastAsia="Times New Roman" w:hAnsiTheme="majorBidi" w:cstheme="majorBidi"/>
        </w:rPr>
        <w:t xml:space="preserve"> est utilisé sans COD,</w:t>
      </w:r>
      <w:r w:rsidRPr="007C6A42">
        <w:rPr>
          <w:rFonts w:asciiTheme="majorBidi" w:eastAsia="Calibri" w:hAnsiTheme="majorBidi" w:cstheme="majorBidi"/>
          <w:lang w:bidi="ar-AE"/>
        </w:rPr>
        <w:t xml:space="preserve"> pour ouvrir le champ sémantique du verbe. Il est rendu en français par : « s’étrangler » (2 fois), « couper » (11 fois), « trancher » (3 fois), « se pendre » (1 fois) et « pénétrer » (1 fois). Cependant, tous les traducteurs utilisent un complément du verbe (à l’exception de Hamidullah qui a réduit le sens dans sa NDT). Ils ont ainsi réduit la polysémie du verbe. En revanche, les interprétations données par les exégètes sont beaucoup plus riches allant du repentir jusqu’à la pendaison en passant par des actes de haine, par l’arrêt des actes condamnables, la victoire donnée au prophète, l’origine de la révélation, la respiration, les moyens de subsistance, etc.</w:t>
      </w:r>
    </w:p>
    <w:p w14:paraId="31C6B76D" w14:textId="77777777" w:rsidR="00A70B78" w:rsidRPr="007C6A42" w:rsidRDefault="00A70B78" w:rsidP="00A70B78">
      <w:pPr>
        <w:spacing w:line="360" w:lineRule="auto"/>
        <w:ind w:firstLine="708"/>
        <w:contextualSpacing/>
        <w:jc w:val="both"/>
        <w:rPr>
          <w:rFonts w:asciiTheme="majorBidi" w:eastAsia="Calibri" w:hAnsiTheme="majorBidi" w:cstheme="majorBidi"/>
          <w:lang w:bidi="ar-AE"/>
        </w:rPr>
      </w:pPr>
    </w:p>
    <w:p w14:paraId="2F77A652" w14:textId="77777777" w:rsidR="00A70B78" w:rsidRPr="007C6A42" w:rsidRDefault="00A70B78" w:rsidP="00A70B78">
      <w:pPr>
        <w:spacing w:line="360" w:lineRule="auto"/>
        <w:ind w:firstLine="708"/>
        <w:jc w:val="both"/>
        <w:rPr>
          <w:rFonts w:asciiTheme="majorBidi" w:eastAsia="Times New Roman" w:hAnsiTheme="majorBidi" w:cstheme="majorBidi"/>
          <w:shd w:val="clear" w:color="auto" w:fill="FFFFFF"/>
        </w:rPr>
      </w:pPr>
      <w:r w:rsidRPr="007C6A42">
        <w:rPr>
          <w:rFonts w:asciiTheme="majorBidi" w:eastAsia="Calibri" w:hAnsiTheme="majorBidi" w:cstheme="majorBidi"/>
          <w:lang w:bidi="ar-AE"/>
        </w:rPr>
        <w:t xml:space="preserve">Ainsi, ce COD omis est rendu en français par le pronom </w:t>
      </w:r>
      <w:r w:rsidRPr="007C6A42">
        <w:rPr>
          <w:rFonts w:asciiTheme="majorBidi" w:eastAsia="Times New Roman" w:hAnsiTheme="majorBidi" w:cstheme="majorBidi"/>
          <w:shd w:val="clear" w:color="auto" w:fill="FFFFFF"/>
        </w:rPr>
        <w:t>objet direct d’un verbe pronominal réfléchi (« </w:t>
      </w:r>
      <w:r w:rsidRPr="007C6A42">
        <w:rPr>
          <w:rFonts w:asciiTheme="majorBidi" w:eastAsia="Times New Roman" w:hAnsiTheme="majorBidi" w:cstheme="majorBidi"/>
          <w:i/>
          <w:iCs/>
          <w:shd w:val="clear" w:color="auto" w:fill="FFFFFF"/>
        </w:rPr>
        <w:t>se</w:t>
      </w:r>
      <w:r w:rsidRPr="007C6A42">
        <w:rPr>
          <w:rFonts w:asciiTheme="majorBidi" w:eastAsia="Times New Roman" w:hAnsiTheme="majorBidi" w:cstheme="majorBidi"/>
          <w:shd w:val="clear" w:color="auto" w:fill="FFFFFF"/>
        </w:rPr>
        <w:t> ») ou par le pronom féminin COD (« </w:t>
      </w:r>
      <w:r w:rsidRPr="007C6A42">
        <w:rPr>
          <w:rFonts w:asciiTheme="majorBidi" w:eastAsia="Times New Roman" w:hAnsiTheme="majorBidi" w:cstheme="majorBidi"/>
          <w:i/>
          <w:iCs/>
          <w:shd w:val="clear" w:color="auto" w:fill="FFFFFF"/>
        </w:rPr>
        <w:t>la</w:t>
      </w:r>
      <w:r w:rsidRPr="007C6A42">
        <w:rPr>
          <w:rFonts w:asciiTheme="majorBidi" w:eastAsia="Times New Roman" w:hAnsiTheme="majorBidi" w:cstheme="majorBidi"/>
          <w:shd w:val="clear" w:color="auto" w:fill="FFFFFF"/>
        </w:rPr>
        <w:t> ») renvoyant à « la corde ».</w:t>
      </w:r>
    </w:p>
    <w:p w14:paraId="1C345A7A" w14:textId="77777777" w:rsidR="00A70B78" w:rsidRPr="007C6A42" w:rsidRDefault="00A70B78" w:rsidP="00A70B78">
      <w:pPr>
        <w:spacing w:line="360" w:lineRule="auto"/>
        <w:jc w:val="both"/>
        <w:rPr>
          <w:rFonts w:asciiTheme="majorBidi" w:eastAsia="Times New Roman" w:hAnsiTheme="majorBidi" w:cstheme="majorBidi"/>
        </w:rPr>
      </w:pPr>
      <w:r w:rsidRPr="007C6A42">
        <w:rPr>
          <w:rFonts w:asciiTheme="majorBidi" w:eastAsia="Times New Roman" w:hAnsiTheme="majorBidi" w:cstheme="majorBidi"/>
          <w:shd w:val="clear" w:color="auto" w:fill="FFFFFF"/>
        </w:rPr>
        <w:t xml:space="preserve"> Voici une comparaison entre la polysémie du COD-source et du COD-cible :</w:t>
      </w:r>
    </w:p>
    <w:p w14:paraId="1F7FC720" w14:textId="77777777" w:rsidR="00A70B78" w:rsidRPr="007C6A42" w:rsidRDefault="00A70B78" w:rsidP="00A70B78">
      <w:pPr>
        <w:spacing w:line="360" w:lineRule="auto"/>
        <w:ind w:firstLine="708"/>
        <w:contextualSpacing/>
        <w:jc w:val="both"/>
        <w:rPr>
          <w:rFonts w:asciiTheme="majorBidi" w:eastAsia="Calibri" w:hAnsiTheme="majorBidi" w:cstheme="majorBidi"/>
          <w:lang w:bidi="ar-AE"/>
        </w:rPr>
      </w:pPr>
    </w:p>
    <w:tbl>
      <w:tblPr>
        <w:tblStyle w:val="Grilledutableau"/>
        <w:tblW w:w="0" w:type="auto"/>
        <w:tblLook w:val="04A0" w:firstRow="1" w:lastRow="0" w:firstColumn="1" w:lastColumn="0" w:noHBand="0" w:noVBand="1"/>
      </w:tblPr>
      <w:tblGrid>
        <w:gridCol w:w="4603"/>
        <w:gridCol w:w="4603"/>
      </w:tblGrid>
      <w:tr w:rsidR="00A70B78" w:rsidRPr="007C6A42" w14:paraId="5D58E51E" w14:textId="77777777" w:rsidTr="00AF4FC9">
        <w:tc>
          <w:tcPr>
            <w:tcW w:w="4603" w:type="dxa"/>
          </w:tcPr>
          <w:p w14:paraId="0406D113" w14:textId="77777777" w:rsidR="00A70B78" w:rsidRPr="007C6A42" w:rsidRDefault="00A70B78" w:rsidP="00AF4FC9">
            <w:pPr>
              <w:spacing w:line="360" w:lineRule="auto"/>
              <w:contextualSpacing/>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Significations principales données par les exégètes au COD omis dans le texte arabe</w:t>
            </w:r>
          </w:p>
        </w:tc>
        <w:tc>
          <w:tcPr>
            <w:tcW w:w="4603" w:type="dxa"/>
          </w:tcPr>
          <w:p w14:paraId="148F6D18" w14:textId="77777777" w:rsidR="00A70B78" w:rsidRPr="007C6A42" w:rsidRDefault="00A70B78" w:rsidP="00AF4FC9">
            <w:pPr>
              <w:spacing w:line="360" w:lineRule="auto"/>
              <w:contextualSpacing/>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Traductions du COD omis en français</w:t>
            </w:r>
          </w:p>
        </w:tc>
      </w:tr>
      <w:tr w:rsidR="00A70B78" w:rsidRPr="007C6A42" w14:paraId="58E2755F" w14:textId="77777777" w:rsidTr="00AF4FC9">
        <w:trPr>
          <w:trHeight w:val="528"/>
        </w:trPr>
        <w:tc>
          <w:tcPr>
            <w:tcW w:w="4603" w:type="dxa"/>
          </w:tcPr>
          <w:p w14:paraId="365AA0F7"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 victoire donnée au Prophète Muḥammad</w:t>
            </w:r>
          </w:p>
        </w:tc>
        <w:tc>
          <w:tcPr>
            <w:tcW w:w="4603" w:type="dxa"/>
          </w:tcPr>
          <w:p w14:paraId="4DDE013E" w14:textId="77777777" w:rsidR="00A70B78" w:rsidRPr="007C6A42" w:rsidRDefault="00A70B78" w:rsidP="00AF4FC9">
            <w:pPr>
              <w:spacing w:line="360" w:lineRule="auto"/>
              <w:contextualSpacing/>
              <w:jc w:val="both"/>
              <w:rPr>
                <w:rFonts w:asciiTheme="majorBidi" w:eastAsia="Calibri" w:hAnsiTheme="majorBidi" w:cstheme="majorBidi"/>
                <w:rtl/>
              </w:rPr>
            </w:pPr>
            <w:r w:rsidRPr="007C6A42">
              <w:rPr>
                <w:rFonts w:asciiTheme="majorBidi" w:eastAsia="Calibri" w:hAnsiTheme="majorBidi" w:cstheme="majorBidi"/>
                <w:i/>
                <w:iCs/>
                <w:lang w:bidi="ar-AE"/>
              </w:rPr>
              <w:t>se</w:t>
            </w:r>
            <w:r w:rsidRPr="007C6A42">
              <w:rPr>
                <w:rFonts w:asciiTheme="majorBidi" w:eastAsia="Calibri" w:hAnsiTheme="majorBidi" w:cstheme="majorBidi"/>
                <w:lang w:bidi="ar-AE"/>
              </w:rPr>
              <w:t xml:space="preserve"> (</w:t>
            </w:r>
            <w:r w:rsidRPr="007C6A42">
              <w:rPr>
                <w:rFonts w:asciiTheme="majorBidi" w:eastAsia="Calibri" w:hAnsiTheme="majorBidi" w:cstheme="majorBidi"/>
                <w:i/>
                <w:iCs/>
                <w:lang w:bidi="ar-AE"/>
              </w:rPr>
              <w:t>pronominal</w:t>
            </w:r>
            <w:r w:rsidRPr="007C6A42">
              <w:rPr>
                <w:rFonts w:asciiTheme="majorBidi" w:eastAsia="Calibri" w:hAnsiTheme="majorBidi" w:cstheme="majorBidi"/>
                <w:lang w:bidi="ar-AE"/>
              </w:rPr>
              <w:t>)</w:t>
            </w:r>
          </w:p>
        </w:tc>
      </w:tr>
      <w:tr w:rsidR="00A70B78" w:rsidRPr="007C6A42" w14:paraId="739F49F9" w14:textId="77777777" w:rsidTr="00AF4FC9">
        <w:trPr>
          <w:trHeight w:val="306"/>
        </w:trPr>
        <w:tc>
          <w:tcPr>
            <w:tcW w:w="4603" w:type="dxa"/>
          </w:tcPr>
          <w:p w14:paraId="02BDB327"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 corde</w:t>
            </w:r>
          </w:p>
        </w:tc>
        <w:tc>
          <w:tcPr>
            <w:tcW w:w="4603" w:type="dxa"/>
          </w:tcPr>
          <w:p w14:paraId="428E9963"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i/>
                <w:iCs/>
                <w:lang w:bidi="ar-AE"/>
              </w:rPr>
              <w:t>la</w:t>
            </w:r>
            <w:r w:rsidRPr="007C6A42">
              <w:rPr>
                <w:rFonts w:asciiTheme="majorBidi" w:eastAsia="Calibri" w:hAnsiTheme="majorBidi" w:cstheme="majorBidi"/>
                <w:lang w:bidi="ar-AE"/>
              </w:rPr>
              <w:t xml:space="preserve"> (= la corde)</w:t>
            </w:r>
          </w:p>
        </w:tc>
      </w:tr>
      <w:tr w:rsidR="00A70B78" w:rsidRPr="007C6A42" w14:paraId="05DCDDCB" w14:textId="77777777" w:rsidTr="00AF4FC9">
        <w:trPr>
          <w:trHeight w:val="271"/>
        </w:trPr>
        <w:tc>
          <w:tcPr>
            <w:tcW w:w="4603" w:type="dxa"/>
          </w:tcPr>
          <w:p w14:paraId="40E5D296"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 respiration</w:t>
            </w:r>
          </w:p>
        </w:tc>
        <w:tc>
          <w:tcPr>
            <w:tcW w:w="4603" w:type="dxa"/>
            <w:vMerge w:val="restart"/>
          </w:tcPr>
          <w:p w14:paraId="4BCCAB85"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[Ø]</w:t>
            </w:r>
          </w:p>
        </w:tc>
      </w:tr>
      <w:tr w:rsidR="00A70B78" w:rsidRPr="007C6A42" w14:paraId="51C9D609" w14:textId="77777777" w:rsidTr="00AF4FC9">
        <w:trPr>
          <w:trHeight w:val="390"/>
        </w:trPr>
        <w:tc>
          <w:tcPr>
            <w:tcW w:w="4603" w:type="dxa"/>
          </w:tcPr>
          <w:p w14:paraId="05356B5F"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les moyens de subsistance (</w:t>
            </w:r>
            <w:r w:rsidRPr="007C6A42">
              <w:rPr>
                <w:rFonts w:asciiTheme="majorBidi" w:eastAsia="Calibri" w:hAnsiTheme="majorBidi" w:cstheme="majorBidi"/>
                <w:i/>
                <w:iCs/>
                <w:lang w:bidi="ar-AE"/>
              </w:rPr>
              <w:t>rizq</w:t>
            </w:r>
            <w:r w:rsidRPr="007C6A42">
              <w:rPr>
                <w:rFonts w:asciiTheme="majorBidi" w:eastAsia="Calibri" w:hAnsiTheme="majorBidi" w:cstheme="majorBidi"/>
                <w:lang w:bidi="ar-AE"/>
              </w:rPr>
              <w:t>)</w:t>
            </w:r>
          </w:p>
        </w:tc>
        <w:tc>
          <w:tcPr>
            <w:tcW w:w="4603" w:type="dxa"/>
            <w:vMerge/>
          </w:tcPr>
          <w:p w14:paraId="6D64DEF2" w14:textId="77777777" w:rsidR="00A70B78" w:rsidRPr="007C6A42" w:rsidRDefault="00A70B78" w:rsidP="00AF4FC9">
            <w:pPr>
              <w:spacing w:line="360" w:lineRule="auto"/>
              <w:contextualSpacing/>
              <w:jc w:val="both"/>
              <w:rPr>
                <w:rFonts w:asciiTheme="majorBidi" w:eastAsia="Calibri" w:hAnsiTheme="majorBidi" w:cstheme="majorBidi"/>
                <w:lang w:bidi="ar-AE"/>
              </w:rPr>
            </w:pPr>
          </w:p>
        </w:tc>
      </w:tr>
      <w:tr w:rsidR="00A70B78" w:rsidRPr="007C6A42" w14:paraId="0722B1BD" w14:textId="77777777" w:rsidTr="00AF4FC9">
        <w:trPr>
          <w:trHeight w:val="243"/>
        </w:trPr>
        <w:tc>
          <w:tcPr>
            <w:tcW w:w="4603" w:type="dxa"/>
          </w:tcPr>
          <w:p w14:paraId="4724F54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les actes condamnables (</w:t>
            </w:r>
            <w:r w:rsidRPr="007C6A42">
              <w:rPr>
                <w:rFonts w:asciiTheme="majorBidi" w:eastAsia="Calibri" w:hAnsiTheme="majorBidi" w:cstheme="majorBidi"/>
                <w:i/>
                <w:iCs/>
                <w:lang w:bidi="ar-AE"/>
              </w:rPr>
              <w:t>munkar</w:t>
            </w:r>
            <w:r w:rsidRPr="007C6A42">
              <w:rPr>
                <w:rFonts w:asciiTheme="majorBidi" w:eastAsia="Calibri" w:hAnsiTheme="majorBidi" w:cstheme="majorBidi"/>
                <w:lang w:bidi="ar-AE"/>
              </w:rPr>
              <w:t>)</w:t>
            </w:r>
          </w:p>
        </w:tc>
        <w:tc>
          <w:tcPr>
            <w:tcW w:w="4603" w:type="dxa"/>
            <w:vMerge/>
          </w:tcPr>
          <w:p w14:paraId="6FE38999" w14:textId="77777777" w:rsidR="00A70B78" w:rsidRPr="007C6A42" w:rsidRDefault="00A70B78" w:rsidP="00AF4FC9">
            <w:pPr>
              <w:spacing w:line="360" w:lineRule="auto"/>
              <w:contextualSpacing/>
              <w:jc w:val="both"/>
              <w:rPr>
                <w:rFonts w:asciiTheme="majorBidi" w:eastAsia="Calibri" w:hAnsiTheme="majorBidi" w:cstheme="majorBidi"/>
                <w:lang w:bidi="ar-AE"/>
              </w:rPr>
            </w:pPr>
          </w:p>
        </w:tc>
      </w:tr>
      <w:tr w:rsidR="00A70B78" w:rsidRPr="007C6A42" w14:paraId="1D4CC895" w14:textId="77777777" w:rsidTr="00AF4FC9">
        <w:trPr>
          <w:trHeight w:val="285"/>
        </w:trPr>
        <w:tc>
          <w:tcPr>
            <w:tcW w:w="4603" w:type="dxa"/>
          </w:tcPr>
          <w:p w14:paraId="59095C93"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l’origine de la révélation</w:t>
            </w:r>
          </w:p>
        </w:tc>
        <w:tc>
          <w:tcPr>
            <w:tcW w:w="4603" w:type="dxa"/>
            <w:vMerge/>
          </w:tcPr>
          <w:p w14:paraId="57316717" w14:textId="77777777" w:rsidR="00A70B78" w:rsidRPr="007C6A42" w:rsidRDefault="00A70B78" w:rsidP="00AF4FC9">
            <w:pPr>
              <w:spacing w:line="360" w:lineRule="auto"/>
              <w:contextualSpacing/>
              <w:jc w:val="both"/>
              <w:rPr>
                <w:rFonts w:asciiTheme="majorBidi" w:eastAsia="Calibri" w:hAnsiTheme="majorBidi" w:cstheme="majorBidi"/>
                <w:lang w:bidi="ar-AE"/>
              </w:rPr>
            </w:pPr>
          </w:p>
        </w:tc>
      </w:tr>
      <w:tr w:rsidR="00A70B78" w:rsidRPr="007C6A42" w14:paraId="2B2A8E9F" w14:textId="77777777" w:rsidTr="00AF4FC9">
        <w:trPr>
          <w:trHeight w:val="389"/>
        </w:trPr>
        <w:tc>
          <w:tcPr>
            <w:tcW w:w="4603" w:type="dxa"/>
          </w:tcPr>
          <w:p w14:paraId="25B7ACD6"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lastRenderedPageBreak/>
              <w:t xml:space="preserve">le passé </w:t>
            </w:r>
          </w:p>
        </w:tc>
        <w:tc>
          <w:tcPr>
            <w:tcW w:w="4603" w:type="dxa"/>
            <w:vMerge/>
          </w:tcPr>
          <w:p w14:paraId="126E43C5" w14:textId="77777777" w:rsidR="00A70B78" w:rsidRPr="007C6A42" w:rsidRDefault="00A70B78" w:rsidP="00AF4FC9">
            <w:pPr>
              <w:spacing w:line="360" w:lineRule="auto"/>
              <w:contextualSpacing/>
              <w:jc w:val="both"/>
              <w:rPr>
                <w:rFonts w:asciiTheme="majorBidi" w:eastAsia="Calibri" w:hAnsiTheme="majorBidi" w:cstheme="majorBidi"/>
                <w:lang w:bidi="ar-AE"/>
              </w:rPr>
            </w:pPr>
          </w:p>
        </w:tc>
      </w:tr>
      <w:tr w:rsidR="00A70B78" w:rsidRPr="007C6A42" w14:paraId="6CF1AFF6" w14:textId="77777777" w:rsidTr="00AF4FC9">
        <w:trPr>
          <w:trHeight w:val="528"/>
        </w:trPr>
        <w:tc>
          <w:tcPr>
            <w:tcW w:w="4603" w:type="dxa"/>
          </w:tcPr>
          <w:p w14:paraId="1AAE2A21" w14:textId="77777777" w:rsidR="00A70B78" w:rsidRPr="007C6A42" w:rsidRDefault="00A70B78" w:rsidP="00AF4FC9">
            <w:pPr>
              <w:spacing w:line="360" w:lineRule="auto"/>
              <w:contextualSpacing/>
              <w:jc w:val="both"/>
              <w:rPr>
                <w:rFonts w:asciiTheme="majorBidi" w:eastAsia="Calibri" w:hAnsiTheme="majorBidi" w:cstheme="majorBidi"/>
              </w:rPr>
            </w:pPr>
            <w:r w:rsidRPr="007C6A42">
              <w:rPr>
                <w:rFonts w:asciiTheme="majorBidi" w:eastAsia="Calibri" w:hAnsiTheme="majorBidi" w:cstheme="majorBidi"/>
                <w:lang w:bidi="ar-AE"/>
              </w:rPr>
              <w:t xml:space="preserve">la raison </w:t>
            </w:r>
            <w:r w:rsidRPr="007C6A42">
              <w:rPr>
                <w:rFonts w:asciiTheme="majorBidi" w:eastAsia="Calibri" w:hAnsiTheme="majorBidi" w:cstheme="majorBidi"/>
              </w:rPr>
              <w:t>de la victoire</w:t>
            </w:r>
          </w:p>
        </w:tc>
        <w:tc>
          <w:tcPr>
            <w:tcW w:w="4603" w:type="dxa"/>
            <w:vMerge/>
          </w:tcPr>
          <w:p w14:paraId="2692E897" w14:textId="77777777" w:rsidR="00A70B78" w:rsidRPr="007C6A42" w:rsidRDefault="00A70B78" w:rsidP="00AF4FC9">
            <w:pPr>
              <w:spacing w:line="360" w:lineRule="auto"/>
              <w:contextualSpacing/>
              <w:jc w:val="both"/>
              <w:rPr>
                <w:rFonts w:asciiTheme="majorBidi" w:eastAsia="Calibri" w:hAnsiTheme="majorBidi" w:cstheme="majorBidi"/>
                <w:lang w:bidi="ar-AE"/>
              </w:rPr>
            </w:pPr>
          </w:p>
        </w:tc>
      </w:tr>
      <w:tr w:rsidR="00A70B78" w:rsidRPr="007C6A42" w14:paraId="6F30C662" w14:textId="77777777" w:rsidTr="00AF4FC9">
        <w:trPr>
          <w:trHeight w:val="431"/>
        </w:trPr>
        <w:tc>
          <w:tcPr>
            <w:tcW w:w="4603" w:type="dxa"/>
          </w:tcPr>
          <w:p w14:paraId="0EF858AC"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 source de la victoire</w:t>
            </w:r>
          </w:p>
        </w:tc>
        <w:tc>
          <w:tcPr>
            <w:tcW w:w="4603" w:type="dxa"/>
            <w:vMerge/>
          </w:tcPr>
          <w:p w14:paraId="686E6BF7" w14:textId="77777777" w:rsidR="00A70B78" w:rsidRPr="007C6A42" w:rsidRDefault="00A70B78" w:rsidP="00AF4FC9">
            <w:pPr>
              <w:spacing w:line="360" w:lineRule="auto"/>
              <w:contextualSpacing/>
              <w:jc w:val="both"/>
              <w:rPr>
                <w:rFonts w:asciiTheme="majorBidi" w:eastAsia="Calibri" w:hAnsiTheme="majorBidi" w:cstheme="majorBidi"/>
                <w:lang w:bidi="ar-AE"/>
              </w:rPr>
            </w:pPr>
          </w:p>
        </w:tc>
      </w:tr>
      <w:tr w:rsidR="00A70B78" w:rsidRPr="007C6A42" w14:paraId="09D8E4E3" w14:textId="77777777" w:rsidTr="00AF4FC9">
        <w:trPr>
          <w:trHeight w:val="201"/>
        </w:trPr>
        <w:tc>
          <w:tcPr>
            <w:tcW w:w="4603" w:type="dxa"/>
            <w:tcBorders>
              <w:bottom w:val="single" w:sz="4" w:space="0" w:color="auto"/>
            </w:tcBorders>
          </w:tcPr>
          <w:p w14:paraId="3D378DC5"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 révélation</w:t>
            </w:r>
          </w:p>
        </w:tc>
        <w:tc>
          <w:tcPr>
            <w:tcW w:w="4603" w:type="dxa"/>
            <w:vMerge/>
          </w:tcPr>
          <w:p w14:paraId="17469543" w14:textId="77777777" w:rsidR="00A70B78" w:rsidRPr="007C6A42" w:rsidRDefault="00A70B78" w:rsidP="00AF4FC9">
            <w:pPr>
              <w:spacing w:line="360" w:lineRule="auto"/>
              <w:contextualSpacing/>
              <w:jc w:val="both"/>
              <w:rPr>
                <w:rFonts w:asciiTheme="majorBidi" w:eastAsia="Calibri" w:hAnsiTheme="majorBidi" w:cstheme="majorBidi"/>
                <w:lang w:bidi="ar-AE"/>
              </w:rPr>
            </w:pPr>
          </w:p>
        </w:tc>
      </w:tr>
    </w:tbl>
    <w:p w14:paraId="60D19F1F" w14:textId="77777777" w:rsidR="00A70B78" w:rsidRPr="007C6A42" w:rsidRDefault="00A70B78" w:rsidP="00A70B78">
      <w:pPr>
        <w:bidi/>
        <w:spacing w:line="360" w:lineRule="auto"/>
        <w:contextualSpacing/>
        <w:jc w:val="both"/>
        <w:rPr>
          <w:rFonts w:asciiTheme="majorBidi" w:eastAsia="Times New Roman" w:hAnsiTheme="majorBidi" w:cstheme="majorBidi"/>
          <w:color w:val="FF0000"/>
          <w:rtl/>
        </w:rPr>
      </w:pPr>
    </w:p>
    <w:p w14:paraId="72E53E1A" w14:textId="70603498" w:rsidR="00A70B78" w:rsidRPr="007C6A42" w:rsidRDefault="00A70B78" w:rsidP="00C94E97">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Le fait d’omettre le COD du verbe </w:t>
      </w:r>
      <w:r w:rsidRPr="007C6A42">
        <w:rPr>
          <w:rFonts w:asciiTheme="majorBidi" w:eastAsia="Times New Roman" w:hAnsiTheme="majorBidi" w:cstheme="majorBidi"/>
          <w:i/>
          <w:iCs/>
        </w:rPr>
        <w:t>yaqṭaʿ</w:t>
      </w:r>
      <w:r w:rsidRPr="007C6A42">
        <w:rPr>
          <w:rFonts w:asciiTheme="majorBidi" w:eastAsia="Times New Roman" w:hAnsiTheme="majorBidi" w:cstheme="majorBidi"/>
        </w:rPr>
        <w:t xml:space="preserve"> montrerait, de point de vue rhétorique, que « l’auteur » du texte arabe voulait mettre en lumière l’idée même de la rupture sans tenir compte de l’objet de cette rupture.</w:t>
      </w:r>
      <w:r w:rsidRPr="007C6A42">
        <w:rPr>
          <w:rStyle w:val="Appelnotedebasdep"/>
          <w:rFonts w:asciiTheme="majorBidi" w:hAnsiTheme="majorBidi" w:cstheme="majorBidi"/>
        </w:rPr>
        <w:footnoteReference w:id="500"/>
      </w:r>
      <w:r w:rsidRPr="007C6A42">
        <w:rPr>
          <w:rFonts w:asciiTheme="majorBidi" w:eastAsia="Times New Roman" w:hAnsiTheme="majorBidi" w:cstheme="majorBidi"/>
        </w:rPr>
        <w:t xml:space="preserve"> On omet généralement le COD, lorsqu’il n’est pas important ou lorsqu’il est évident, afin d’insister sur le verbe, l’action. Le verset veut transmettre l’idée de la nécessité d’agir, de faire quelque chose. Les traductions françaises, en évoquant le complément du verbe, attirent l’attention plus sur l’objet que sur l’action. Ce qui est important dans les traductions c’est « la corde », alors que ce qui est important dans le texte-source c’est l’acte de la rupture lui-même (</w:t>
      </w:r>
      <w:r w:rsidRPr="007C6A42">
        <w:rPr>
          <w:rFonts w:asciiTheme="majorBidi" w:eastAsia="Times New Roman" w:hAnsiTheme="majorBidi" w:cstheme="majorBidi"/>
          <w:i/>
          <w:iCs/>
        </w:rPr>
        <w:t>li-yaqṭaʿ</w:t>
      </w:r>
      <w:r w:rsidRPr="007C6A42">
        <w:rPr>
          <w:rFonts w:asciiTheme="majorBidi" w:eastAsia="Times New Roman" w:hAnsiTheme="majorBidi" w:cstheme="majorBidi"/>
        </w:rPr>
        <w:t xml:space="preserve"> = qu’il fasse rupture).</w:t>
      </w:r>
    </w:p>
    <w:p w14:paraId="027EDA21" w14:textId="5782DECE" w:rsidR="00C94E97" w:rsidRDefault="00A70B78" w:rsidP="00C94E97">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Quand les traducteurs montrent ce qui est délibérément caché ou cachent ce qui intentionnellement explicite, ils modifient le sens et déforment la traduction. En voulant clarifier leur traduction, ils déforment le sens du texte-source.</w:t>
      </w:r>
    </w:p>
    <w:p w14:paraId="52AA753B" w14:textId="77777777" w:rsidR="00C94E97" w:rsidRPr="007C6A42" w:rsidRDefault="00C94E97" w:rsidP="00C94E97">
      <w:pPr>
        <w:spacing w:line="360" w:lineRule="auto"/>
        <w:ind w:firstLine="708"/>
        <w:contextualSpacing/>
        <w:jc w:val="both"/>
        <w:rPr>
          <w:rFonts w:asciiTheme="majorBidi" w:eastAsia="Times New Roman" w:hAnsiTheme="majorBidi" w:cstheme="majorBidi"/>
        </w:rPr>
      </w:pPr>
    </w:p>
    <w:p w14:paraId="1730672B" w14:textId="77777777" w:rsidR="00A70B78" w:rsidRPr="007C6A42" w:rsidRDefault="00A70B78" w:rsidP="00A70B78">
      <w:pPr>
        <w:spacing w:line="360" w:lineRule="auto"/>
        <w:contextualSpacing/>
        <w:jc w:val="both"/>
        <w:rPr>
          <w:rFonts w:asciiTheme="majorBidi" w:eastAsia="Times New Roman" w:hAnsiTheme="majorBidi" w:cstheme="majorBidi"/>
          <w:b/>
          <w:bCs/>
        </w:rPr>
      </w:pPr>
      <w:r w:rsidRPr="007C6A42">
        <w:rPr>
          <w:rFonts w:asciiTheme="majorBidi" w:eastAsia="Times New Roman" w:hAnsiTheme="majorBidi" w:cstheme="majorBidi"/>
          <w:b/>
          <w:bCs/>
        </w:rPr>
        <w:t xml:space="preserve">Traduction du pronom suffixe </w:t>
      </w:r>
      <w:r w:rsidRPr="007C6A42">
        <w:rPr>
          <w:rFonts w:asciiTheme="majorBidi" w:eastAsia="Times New Roman" w:hAnsiTheme="majorBidi" w:cstheme="majorBidi"/>
          <w:b/>
          <w:bCs/>
          <w:i/>
          <w:iCs/>
        </w:rPr>
        <w:t>-hu</w:t>
      </w:r>
      <w:r w:rsidRPr="007C6A42">
        <w:rPr>
          <w:rFonts w:asciiTheme="majorBidi" w:eastAsia="Times New Roman" w:hAnsiTheme="majorBidi" w:cstheme="majorBidi"/>
          <w:b/>
          <w:bCs/>
        </w:rPr>
        <w:t xml:space="preserve"> dans le syntagme prépositionnel </w:t>
      </w:r>
      <w:r w:rsidRPr="007C6A42">
        <w:rPr>
          <w:rFonts w:asciiTheme="majorBidi" w:eastAsia="Times New Roman" w:hAnsiTheme="majorBidi" w:cstheme="majorBidi"/>
          <w:b/>
          <w:bCs/>
          <w:i/>
          <w:iCs/>
        </w:rPr>
        <w:t>min-hu</w:t>
      </w:r>
      <w:r w:rsidRPr="007C6A42">
        <w:rPr>
          <w:rFonts w:asciiTheme="majorBidi" w:eastAsia="Times New Roman" w:hAnsiTheme="majorBidi" w:cstheme="majorBidi"/>
          <w:b/>
          <w:bCs/>
        </w:rPr>
        <w:t xml:space="preserve"> (v. 55) :</w:t>
      </w:r>
    </w:p>
    <w:p w14:paraId="36F2AA53" w14:textId="42E0329D"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Comme nous l’avons vu, les exégèses arabes ont donné au moins dix possibilités pour l’antécédent du pronom de la troisième personne singulier </w:t>
      </w:r>
      <w:r w:rsidRPr="007C6A42">
        <w:rPr>
          <w:rFonts w:asciiTheme="majorBidi" w:eastAsia="Times New Roman" w:hAnsiTheme="majorBidi" w:cstheme="majorBidi"/>
          <w:i/>
          <w:iCs/>
        </w:rPr>
        <w:t>-hu</w:t>
      </w:r>
      <w:r w:rsidRPr="007C6A42">
        <w:rPr>
          <w:rFonts w:asciiTheme="majorBidi" w:eastAsia="Times New Roman" w:hAnsiTheme="majorBidi" w:cstheme="majorBidi"/>
        </w:rPr>
        <w:t xml:space="preserve"> [lui] : </w:t>
      </w:r>
      <w:r w:rsidRPr="007C6A42">
        <w:rPr>
          <w:rFonts w:asciiTheme="majorBidi" w:eastAsia="Times New Roman" w:hAnsiTheme="majorBidi" w:cstheme="majorBidi"/>
          <w:i/>
          <w:iCs/>
        </w:rPr>
        <w:t>Satan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la parole de Satan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la prosternation du prophète</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le Jugement dernier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l’évocation du Jour dernier dans le Coran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la mort</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le Coran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le messager de Dieu</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l’islam</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le calife ʿAlī ibn Abī Ṭālib</w:t>
      </w:r>
      <w:r w:rsidRPr="007C6A42">
        <w:rPr>
          <w:rFonts w:asciiTheme="majorBidi" w:eastAsia="Times New Roman" w:hAnsiTheme="majorBidi" w:cstheme="majorBidi"/>
          <w:lang w:bidi="ar-EG"/>
        </w:rPr>
        <w:t>,</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la fin des temps</w:t>
      </w:r>
      <w:r w:rsidRPr="007C6A42">
        <w:rPr>
          <w:rFonts w:asciiTheme="majorBidi" w:eastAsia="Times New Roman" w:hAnsiTheme="majorBidi" w:cstheme="majorBidi"/>
        </w:rPr>
        <w:t>.</w:t>
      </w:r>
    </w:p>
    <w:p w14:paraId="167CF37E"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5295EB3C"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Examinons comment les traducteurs l’ont traduit :</w:t>
      </w:r>
    </w:p>
    <w:p w14:paraId="5C6E3B0E" w14:textId="77777777" w:rsidR="00A70B78" w:rsidRPr="007C6A42" w:rsidRDefault="00A70B78" w:rsidP="00A70B78">
      <w:pPr>
        <w:spacing w:line="360" w:lineRule="auto"/>
        <w:jc w:val="both"/>
        <w:rPr>
          <w:rFonts w:asciiTheme="majorBidi" w:eastAsia="Times New Roman" w:hAnsiTheme="majorBidi" w:cstheme="majorBidi"/>
          <w:color w:val="C00000"/>
          <w:lang w:bidi="ar-EG"/>
        </w:rPr>
      </w:pP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7"/>
      </w:tblGrid>
      <w:tr w:rsidR="00A70B78" w:rsidRPr="00E53DBB" w14:paraId="238B3168" w14:textId="77777777" w:rsidTr="00E53DBB">
        <w:tc>
          <w:tcPr>
            <w:tcW w:w="10920" w:type="dxa"/>
            <w:gridSpan w:val="2"/>
            <w:tcBorders>
              <w:top w:val="nil"/>
              <w:left w:val="single" w:sz="4" w:space="0" w:color="auto"/>
              <w:bottom w:val="single" w:sz="4" w:space="0" w:color="auto"/>
              <w:right w:val="single" w:sz="4" w:space="0" w:color="auto"/>
            </w:tcBorders>
          </w:tcPr>
          <w:p w14:paraId="0BDC7543" w14:textId="77777777" w:rsidR="00A70B78" w:rsidRPr="00E53DBB" w:rsidRDefault="00A70B78" w:rsidP="00AF4FC9">
            <w:pPr>
              <w:bidi/>
              <w:spacing w:line="360" w:lineRule="auto"/>
              <w:ind w:firstLine="708"/>
              <w:jc w:val="both"/>
              <w:rPr>
                <w:rFonts w:asciiTheme="majorBidi" w:eastAsia="Times New Roman" w:hAnsiTheme="majorBidi" w:cstheme="majorBidi"/>
                <w:lang w:bidi="ar-KW"/>
              </w:rPr>
            </w:pPr>
            <w:r w:rsidRPr="00E53DBB">
              <w:rPr>
                <w:rFonts w:asciiTheme="majorBidi" w:eastAsia="Calibri" w:hAnsiTheme="majorBidi" w:cstheme="majorBidi"/>
                <w:rtl/>
                <w:lang w:bidi="ar-AE"/>
              </w:rPr>
              <w:t>"ولا يزالُ الذين كَفروا في مِرْيةٍ منـ</w:t>
            </w:r>
            <w:r w:rsidRPr="00E53DBB">
              <w:rPr>
                <w:rFonts w:asciiTheme="majorBidi" w:eastAsia="Calibri" w:hAnsiTheme="majorBidi" w:cstheme="majorBidi"/>
                <w:rtl/>
                <w:lang w:bidi="ar-KW"/>
              </w:rPr>
              <w:t>ــ</w:t>
            </w:r>
            <w:r w:rsidRPr="00E53DBB">
              <w:rPr>
                <w:rFonts w:asciiTheme="majorBidi" w:eastAsia="Calibri" w:hAnsiTheme="majorBidi" w:cstheme="majorBidi"/>
                <w:rtl/>
                <w:lang w:bidi="ar-AE"/>
              </w:rPr>
              <w:t>ه حتَّى تأتيَهمُ الساعةُ بَغْتةً أو يأتيَهم عذابُ يومٍ عقيم"</w:t>
            </w:r>
            <w:r w:rsidRPr="00E53DBB">
              <w:rPr>
                <w:rFonts w:asciiTheme="majorBidi" w:eastAsia="Calibri" w:hAnsiTheme="majorBidi" w:cstheme="majorBidi"/>
                <w:rtl/>
              </w:rPr>
              <w:t xml:space="preserve"> (الحج، 55)</w:t>
            </w:r>
          </w:p>
        </w:tc>
      </w:tr>
      <w:tr w:rsidR="00A70B78" w:rsidRPr="00E53DBB" w14:paraId="14DFA964" w14:textId="77777777" w:rsidTr="00E53DBB">
        <w:tc>
          <w:tcPr>
            <w:tcW w:w="993" w:type="dxa"/>
            <w:tcBorders>
              <w:top w:val="single" w:sz="4" w:space="0" w:color="auto"/>
              <w:left w:val="single" w:sz="4" w:space="0" w:color="auto"/>
              <w:bottom w:val="single" w:sz="4" w:space="0" w:color="auto"/>
              <w:right w:val="single" w:sz="4" w:space="0" w:color="auto"/>
            </w:tcBorders>
          </w:tcPr>
          <w:p w14:paraId="2DF320C0"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D.R.</w:t>
            </w:r>
          </w:p>
        </w:tc>
        <w:tc>
          <w:tcPr>
            <w:tcW w:w="9927" w:type="dxa"/>
            <w:tcBorders>
              <w:top w:val="single" w:sz="4" w:space="0" w:color="auto"/>
              <w:left w:val="single" w:sz="4" w:space="0" w:color="auto"/>
              <w:bottom w:val="single" w:sz="4" w:space="0" w:color="auto"/>
              <w:right w:val="single" w:sz="4" w:space="0" w:color="auto"/>
            </w:tcBorders>
          </w:tcPr>
          <w:p w14:paraId="633C218A"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 xml:space="preserve">les infidelles en douteront iuʃques à ce qu’ils ʃoient ʃurpris du iour du Iugement ; Ce iour ils ʃeront </w:t>
            </w:r>
            <w:r w:rsidRPr="00E53DBB">
              <w:rPr>
                <w:rFonts w:asciiTheme="majorBidi" w:eastAsia="Times New Roman" w:hAnsiTheme="majorBidi" w:cstheme="majorBidi"/>
              </w:rPr>
              <w:lastRenderedPageBreak/>
              <w:t>chaʃtiez tres-rigoureuʃement.</w:t>
            </w:r>
          </w:p>
        </w:tc>
      </w:tr>
      <w:tr w:rsidR="00A70B78" w:rsidRPr="00E53DBB" w14:paraId="66889F02" w14:textId="77777777" w:rsidTr="00E53DBB">
        <w:trPr>
          <w:trHeight w:val="851"/>
        </w:trPr>
        <w:tc>
          <w:tcPr>
            <w:tcW w:w="993" w:type="dxa"/>
            <w:tcBorders>
              <w:top w:val="single" w:sz="4" w:space="0" w:color="auto"/>
              <w:left w:val="single" w:sz="4" w:space="0" w:color="auto"/>
              <w:bottom w:val="single" w:sz="4" w:space="0" w:color="auto"/>
              <w:right w:val="single" w:sz="4" w:space="0" w:color="auto"/>
            </w:tcBorders>
          </w:tcPr>
          <w:p w14:paraId="63721746"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lang w:bidi="ar-KW"/>
              </w:rPr>
              <w:lastRenderedPageBreak/>
              <w:t>Sav.</w:t>
            </w:r>
          </w:p>
        </w:tc>
        <w:tc>
          <w:tcPr>
            <w:tcW w:w="9927" w:type="dxa"/>
            <w:tcBorders>
              <w:top w:val="single" w:sz="4" w:space="0" w:color="auto"/>
              <w:left w:val="single" w:sz="4" w:space="0" w:color="auto"/>
              <w:bottom w:val="single" w:sz="4" w:space="0" w:color="auto"/>
              <w:right w:val="single" w:sz="4" w:space="0" w:color="auto"/>
            </w:tcBorders>
          </w:tcPr>
          <w:p w14:paraId="2AF3D03E" w14:textId="77777777" w:rsidR="00A70B78" w:rsidRPr="00E53DBB" w:rsidRDefault="00A70B78" w:rsidP="00AF4FC9">
            <w:pPr>
              <w:shd w:val="clear" w:color="auto" w:fill="FFFFFF"/>
              <w:spacing w:line="360" w:lineRule="auto"/>
              <w:jc w:val="both"/>
              <w:rPr>
                <w:rFonts w:asciiTheme="majorBidi" w:eastAsia="Times New Roman" w:hAnsiTheme="majorBidi" w:cstheme="majorBidi"/>
              </w:rPr>
            </w:pPr>
            <w:r w:rsidRPr="00E53DBB">
              <w:rPr>
                <w:rFonts w:asciiTheme="majorBidi" w:eastAsia="Times New Roman" w:hAnsiTheme="majorBidi" w:cstheme="majorBidi"/>
              </w:rPr>
              <w:t>Les infidèles ne cesseront de douter [ø], qu’au moment où l’heure fatale les surprendra, et où ils verront les supplices du jour terrible.</w:t>
            </w:r>
          </w:p>
        </w:tc>
      </w:tr>
      <w:tr w:rsidR="00A70B78" w:rsidRPr="00E53DBB" w14:paraId="67913575" w14:textId="77777777" w:rsidTr="00E53DBB">
        <w:tc>
          <w:tcPr>
            <w:tcW w:w="993" w:type="dxa"/>
            <w:tcBorders>
              <w:top w:val="single" w:sz="4" w:space="0" w:color="auto"/>
              <w:left w:val="single" w:sz="4" w:space="0" w:color="auto"/>
              <w:bottom w:val="single" w:sz="4" w:space="0" w:color="auto"/>
              <w:right w:val="single" w:sz="4" w:space="0" w:color="auto"/>
            </w:tcBorders>
          </w:tcPr>
          <w:p w14:paraId="2248EA51"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lang w:bidi="ar-KW"/>
              </w:rPr>
              <w:t xml:space="preserve">Kaz. </w:t>
            </w:r>
          </w:p>
        </w:tc>
        <w:tc>
          <w:tcPr>
            <w:tcW w:w="9927" w:type="dxa"/>
            <w:tcBorders>
              <w:top w:val="single" w:sz="4" w:space="0" w:color="auto"/>
              <w:left w:val="single" w:sz="4" w:space="0" w:color="auto"/>
              <w:bottom w:val="single" w:sz="4" w:space="0" w:color="auto"/>
              <w:right w:val="single" w:sz="4" w:space="0" w:color="auto"/>
            </w:tcBorders>
          </w:tcPr>
          <w:p w14:paraId="6251F00D" w14:textId="77777777" w:rsidR="00A70B78" w:rsidRPr="00E53DBB" w:rsidRDefault="00A70B78" w:rsidP="00AF4FC9">
            <w:pPr>
              <w:spacing w:line="360" w:lineRule="auto"/>
              <w:ind w:right="113"/>
              <w:jc w:val="both"/>
              <w:rPr>
                <w:rFonts w:asciiTheme="majorBidi" w:eastAsia="Times New Roman" w:hAnsiTheme="majorBidi" w:cstheme="majorBidi"/>
              </w:rPr>
            </w:pPr>
            <w:r w:rsidRPr="00E53DBB">
              <w:rPr>
                <w:rFonts w:asciiTheme="majorBidi" w:eastAsia="Times New Roman" w:hAnsiTheme="majorBidi" w:cstheme="majorBidi"/>
              </w:rPr>
              <w:t>Les infidèles ne cesseront point d’en douter jusqu’à ce que l’heure les surprenne soudain, ou que le jour d’un châtiment exterminateur les visite. (1970)</w:t>
            </w:r>
          </w:p>
          <w:p w14:paraId="7C731FA0"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Les infidèles ne cesseront point d’en douter jusqu’à ce que l’heure les surprenne soudain, ou que le jour d’un châtiment exterminateur les frappe.</w:t>
            </w:r>
          </w:p>
        </w:tc>
      </w:tr>
      <w:tr w:rsidR="00A70B78" w:rsidRPr="00E53DBB" w14:paraId="5268FCBB" w14:textId="77777777" w:rsidTr="00E53DBB">
        <w:tc>
          <w:tcPr>
            <w:tcW w:w="993" w:type="dxa"/>
            <w:tcBorders>
              <w:top w:val="single" w:sz="4" w:space="0" w:color="auto"/>
              <w:left w:val="single" w:sz="4" w:space="0" w:color="auto"/>
              <w:bottom w:val="single" w:sz="4" w:space="0" w:color="auto"/>
              <w:right w:val="single" w:sz="4" w:space="0" w:color="auto"/>
            </w:tcBorders>
          </w:tcPr>
          <w:p w14:paraId="48BCBEEB" w14:textId="77777777" w:rsidR="00A70B78" w:rsidRPr="00E53DBB" w:rsidRDefault="00A70B78" w:rsidP="00AF4FC9">
            <w:pPr>
              <w:spacing w:line="360" w:lineRule="auto"/>
              <w:jc w:val="both"/>
              <w:rPr>
                <w:rFonts w:asciiTheme="majorBidi" w:eastAsia="Times New Roman" w:hAnsiTheme="majorBidi" w:cstheme="majorBidi"/>
                <w:lang w:bidi="ar-KW"/>
              </w:rPr>
            </w:pPr>
            <w:r w:rsidRPr="00E53DBB">
              <w:rPr>
                <w:rFonts w:asciiTheme="majorBidi" w:eastAsia="Times New Roman" w:hAnsiTheme="majorBidi" w:cstheme="majorBidi"/>
              </w:rPr>
              <w:t>Blach.</w:t>
            </w:r>
          </w:p>
        </w:tc>
        <w:tc>
          <w:tcPr>
            <w:tcW w:w="9927" w:type="dxa"/>
            <w:tcBorders>
              <w:top w:val="single" w:sz="4" w:space="0" w:color="auto"/>
              <w:left w:val="single" w:sz="4" w:space="0" w:color="auto"/>
              <w:bottom w:val="single" w:sz="4" w:space="0" w:color="auto"/>
              <w:right w:val="single" w:sz="4" w:space="0" w:color="auto"/>
            </w:tcBorders>
          </w:tcPr>
          <w:p w14:paraId="0BF5090D" w14:textId="77777777" w:rsidR="00A70B78" w:rsidRPr="00E53DBB" w:rsidRDefault="00A70B78" w:rsidP="00AF4FC9">
            <w:pPr>
              <w:tabs>
                <w:tab w:val="left" w:pos="284"/>
              </w:tabs>
              <w:spacing w:line="360" w:lineRule="auto"/>
              <w:jc w:val="both"/>
              <w:rPr>
                <w:rFonts w:asciiTheme="majorBidi" w:eastAsia="Times New Roman" w:hAnsiTheme="majorBidi" w:cstheme="majorBidi"/>
              </w:rPr>
            </w:pPr>
            <w:r w:rsidRPr="00E53DBB">
              <w:rPr>
                <w:rFonts w:asciiTheme="majorBidi" w:eastAsia="Times New Roman" w:hAnsiTheme="majorBidi" w:cstheme="majorBidi"/>
              </w:rPr>
              <w:t xml:space="preserve">Ceux qui sont incrédules ne cesseront d’être en un doute à l’égard de [cette Révélation] jusqu’à ce que l’Heure vienne à eux, à l’improviste, ou que vienne à eux le tourment d’un jour dévastateur. </w:t>
            </w:r>
          </w:p>
        </w:tc>
      </w:tr>
      <w:tr w:rsidR="00A70B78" w:rsidRPr="00E53DBB" w14:paraId="2CC3FB0C" w14:textId="77777777" w:rsidTr="00E53DBB">
        <w:tc>
          <w:tcPr>
            <w:tcW w:w="993" w:type="dxa"/>
            <w:tcBorders>
              <w:top w:val="single" w:sz="4" w:space="0" w:color="auto"/>
              <w:left w:val="single" w:sz="4" w:space="0" w:color="auto"/>
              <w:bottom w:val="single" w:sz="4" w:space="0" w:color="auto"/>
              <w:right w:val="single" w:sz="4" w:space="0" w:color="auto"/>
            </w:tcBorders>
          </w:tcPr>
          <w:p w14:paraId="20B476F0"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Hamid</w:t>
            </w:r>
          </w:p>
        </w:tc>
        <w:tc>
          <w:tcPr>
            <w:tcW w:w="9927" w:type="dxa"/>
            <w:tcBorders>
              <w:top w:val="single" w:sz="4" w:space="0" w:color="auto"/>
              <w:left w:val="single" w:sz="4" w:space="0" w:color="auto"/>
              <w:bottom w:val="single" w:sz="4" w:space="0" w:color="auto"/>
              <w:right w:val="single" w:sz="4" w:space="0" w:color="auto"/>
            </w:tcBorders>
          </w:tcPr>
          <w:p w14:paraId="4643A955" w14:textId="77777777" w:rsidR="00A70B78" w:rsidRPr="00E53DBB" w:rsidRDefault="00A70B78" w:rsidP="00AF4FC9">
            <w:pPr>
              <w:spacing w:line="360" w:lineRule="auto"/>
              <w:jc w:val="both"/>
              <w:rPr>
                <w:rFonts w:asciiTheme="majorBidi" w:eastAsia="Calibri" w:hAnsiTheme="majorBidi" w:cstheme="majorBidi"/>
              </w:rPr>
            </w:pPr>
            <w:r w:rsidRPr="00E53DBB">
              <w:rPr>
                <w:rFonts w:asciiTheme="majorBidi" w:eastAsia="Calibri" w:hAnsiTheme="majorBidi" w:cstheme="majorBidi"/>
              </w:rPr>
              <w:t>Et ceux qui mécroient ne cesseront pas d’être en doute [ø] jusqu’à ce que l’Heure vienne à eux soudain, ou que leur vienne le châtiment d’un Jour stérile. * (*</w:t>
            </w:r>
            <w:r w:rsidRPr="00E53DBB">
              <w:rPr>
                <w:rFonts w:asciiTheme="majorBidi" w:eastAsia="Calibri" w:hAnsiTheme="majorBidi" w:cstheme="majorBidi"/>
                <w:i/>
              </w:rPr>
              <w:t>le Jour stérile</w:t>
            </w:r>
            <w:r w:rsidRPr="00E53DBB">
              <w:rPr>
                <w:rFonts w:asciiTheme="majorBidi" w:eastAsia="Calibri" w:hAnsiTheme="majorBidi" w:cstheme="majorBidi"/>
              </w:rPr>
              <w:t> : le Jour, l’Heure du Jugement ; où de comprendre enfin ne servira plus à rien. Jour sans lendemain sans possibilité de recommencer la vie et l’œuvre.)</w:t>
            </w:r>
          </w:p>
        </w:tc>
      </w:tr>
      <w:tr w:rsidR="00A70B78" w:rsidRPr="00E53DBB" w14:paraId="4DA2145E" w14:textId="77777777" w:rsidTr="00E53DBB">
        <w:tc>
          <w:tcPr>
            <w:tcW w:w="993" w:type="dxa"/>
            <w:tcBorders>
              <w:top w:val="single" w:sz="4" w:space="0" w:color="auto"/>
              <w:left w:val="single" w:sz="4" w:space="0" w:color="auto"/>
              <w:bottom w:val="single" w:sz="4" w:space="0" w:color="auto"/>
              <w:right w:val="single" w:sz="4" w:space="0" w:color="auto"/>
            </w:tcBorders>
          </w:tcPr>
          <w:p w14:paraId="7582B4AD"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Mass.</w:t>
            </w:r>
          </w:p>
        </w:tc>
        <w:tc>
          <w:tcPr>
            <w:tcW w:w="9927" w:type="dxa"/>
            <w:tcBorders>
              <w:top w:val="single" w:sz="4" w:space="0" w:color="auto"/>
              <w:left w:val="single" w:sz="4" w:space="0" w:color="auto"/>
              <w:bottom w:val="single" w:sz="4" w:space="0" w:color="auto"/>
              <w:right w:val="single" w:sz="4" w:space="0" w:color="auto"/>
            </w:tcBorders>
          </w:tcPr>
          <w:p w14:paraId="325A4F54"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Les incrédules continueront à douter de lui, jusqu’à ce que l’Heure arrive soudainement, ou bien le châtiment d’un Jour dévastateur.</w:t>
            </w:r>
          </w:p>
        </w:tc>
      </w:tr>
      <w:tr w:rsidR="00A70B78" w:rsidRPr="00E53DBB" w14:paraId="5A595BD3" w14:textId="77777777" w:rsidTr="00E53DBB">
        <w:tc>
          <w:tcPr>
            <w:tcW w:w="993" w:type="dxa"/>
            <w:tcBorders>
              <w:top w:val="single" w:sz="4" w:space="0" w:color="auto"/>
              <w:left w:val="single" w:sz="4" w:space="0" w:color="auto"/>
              <w:bottom w:val="single" w:sz="4" w:space="0" w:color="auto"/>
              <w:right w:val="single" w:sz="4" w:space="0" w:color="auto"/>
            </w:tcBorders>
          </w:tcPr>
          <w:p w14:paraId="5DF44598"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Chour.</w:t>
            </w:r>
          </w:p>
        </w:tc>
        <w:tc>
          <w:tcPr>
            <w:tcW w:w="9927" w:type="dxa"/>
            <w:tcBorders>
              <w:top w:val="single" w:sz="4" w:space="0" w:color="auto"/>
              <w:left w:val="single" w:sz="4" w:space="0" w:color="auto"/>
              <w:bottom w:val="single" w:sz="4" w:space="0" w:color="auto"/>
              <w:right w:val="single" w:sz="4" w:space="0" w:color="auto"/>
            </w:tcBorders>
          </w:tcPr>
          <w:p w14:paraId="7F1EC430" w14:textId="77777777" w:rsidR="00A70B78" w:rsidRPr="00E53DBB" w:rsidRDefault="00A70B78" w:rsidP="00AF4FC9">
            <w:pPr>
              <w:spacing w:line="360" w:lineRule="auto"/>
              <w:jc w:val="both"/>
              <w:rPr>
                <w:rFonts w:asciiTheme="majorBidi" w:eastAsia="Calibri" w:hAnsiTheme="majorBidi" w:cstheme="majorBidi"/>
              </w:rPr>
            </w:pPr>
            <w:r w:rsidRPr="00E53DBB">
              <w:rPr>
                <w:rFonts w:asciiTheme="majorBidi" w:eastAsia="Times New Roman" w:hAnsiTheme="majorBidi" w:cstheme="majorBidi"/>
              </w:rPr>
              <w:t>Ceux qui effacent ne cessent de douter de Lui, jusqu’à ce que l’Heure arrive soudain pour eux et arrive le supplice du Jour néfaste.</w:t>
            </w:r>
          </w:p>
        </w:tc>
      </w:tr>
      <w:tr w:rsidR="00A70B78" w:rsidRPr="00E53DBB" w14:paraId="37734D3E" w14:textId="77777777" w:rsidTr="00E53DBB">
        <w:trPr>
          <w:trHeight w:val="879"/>
        </w:trPr>
        <w:tc>
          <w:tcPr>
            <w:tcW w:w="993" w:type="dxa"/>
            <w:tcBorders>
              <w:top w:val="single" w:sz="4" w:space="0" w:color="auto"/>
              <w:left w:val="single" w:sz="4" w:space="0" w:color="auto"/>
              <w:bottom w:val="single" w:sz="4" w:space="0" w:color="auto"/>
              <w:right w:val="single" w:sz="4" w:space="0" w:color="auto"/>
            </w:tcBorders>
          </w:tcPr>
          <w:p w14:paraId="31248731"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Ghéd.</w:t>
            </w:r>
          </w:p>
        </w:tc>
        <w:tc>
          <w:tcPr>
            <w:tcW w:w="9927" w:type="dxa"/>
            <w:tcBorders>
              <w:top w:val="single" w:sz="4" w:space="0" w:color="auto"/>
              <w:left w:val="single" w:sz="4" w:space="0" w:color="auto"/>
              <w:bottom w:val="single" w:sz="4" w:space="0" w:color="auto"/>
              <w:right w:val="single" w:sz="4" w:space="0" w:color="auto"/>
            </w:tcBorders>
          </w:tcPr>
          <w:p w14:paraId="61633EF6"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 xml:space="preserve">Les Infidèles ne cesseront point d’en douter jusqu’à ce que la Mort les surprenne soudain, ou qu’un châtiment par un jour néfaste les visite. </w:t>
            </w:r>
          </w:p>
        </w:tc>
      </w:tr>
      <w:tr w:rsidR="00A70B78" w:rsidRPr="00E53DBB" w14:paraId="23B8E108" w14:textId="77777777" w:rsidTr="00E53DBB">
        <w:tc>
          <w:tcPr>
            <w:tcW w:w="993" w:type="dxa"/>
            <w:tcBorders>
              <w:top w:val="single" w:sz="4" w:space="0" w:color="auto"/>
              <w:left w:val="single" w:sz="4" w:space="0" w:color="auto"/>
              <w:bottom w:val="single" w:sz="4" w:space="0" w:color="auto"/>
              <w:right w:val="single" w:sz="4" w:space="0" w:color="auto"/>
            </w:tcBorders>
          </w:tcPr>
          <w:p w14:paraId="5D671040"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lang w:bidi="ar-KW"/>
              </w:rPr>
              <w:t>Méd</w:t>
            </w:r>
            <w:r w:rsidRPr="00E53DBB">
              <w:rPr>
                <w:rFonts w:asciiTheme="majorBidi" w:eastAsia="Times New Roman" w:hAnsiTheme="majorBidi" w:cstheme="majorBidi"/>
              </w:rPr>
              <w:t>.</w:t>
            </w:r>
          </w:p>
        </w:tc>
        <w:tc>
          <w:tcPr>
            <w:tcW w:w="9927" w:type="dxa"/>
            <w:tcBorders>
              <w:top w:val="single" w:sz="4" w:space="0" w:color="auto"/>
              <w:left w:val="single" w:sz="4" w:space="0" w:color="auto"/>
              <w:bottom w:val="single" w:sz="4" w:space="0" w:color="auto"/>
              <w:right w:val="single" w:sz="4" w:space="0" w:color="auto"/>
            </w:tcBorders>
          </w:tcPr>
          <w:p w14:paraId="55E74117" w14:textId="77777777" w:rsidR="00A70B78" w:rsidRPr="00E53DBB" w:rsidRDefault="00A70B78" w:rsidP="00AF4FC9">
            <w:pPr>
              <w:shd w:val="clear" w:color="auto" w:fill="FFFFFF"/>
              <w:spacing w:line="360" w:lineRule="auto"/>
              <w:jc w:val="both"/>
              <w:rPr>
                <w:rFonts w:asciiTheme="majorBidi" w:eastAsia="Times New Roman" w:hAnsiTheme="majorBidi" w:cstheme="majorBidi"/>
              </w:rPr>
            </w:pPr>
            <w:r w:rsidRPr="00E53DBB">
              <w:rPr>
                <w:rFonts w:asciiTheme="majorBidi" w:eastAsia="Times New Roman" w:hAnsiTheme="majorBidi" w:cstheme="majorBidi"/>
              </w:rPr>
              <w:t>Et ceux qui mécroient ne cesseront d’être en doute à son sujet, jusqu’à ce que l’Heure les surprenne à l’improviste ou que les atteigne le châtiment d’un jour terrifiant.</w:t>
            </w:r>
          </w:p>
        </w:tc>
      </w:tr>
      <w:tr w:rsidR="00A70B78" w:rsidRPr="00E53DBB" w14:paraId="23B0B37A" w14:textId="77777777" w:rsidTr="00E53DBB">
        <w:tc>
          <w:tcPr>
            <w:tcW w:w="993" w:type="dxa"/>
            <w:tcBorders>
              <w:top w:val="single" w:sz="4" w:space="0" w:color="auto"/>
              <w:left w:val="single" w:sz="4" w:space="0" w:color="auto"/>
              <w:bottom w:val="single" w:sz="4" w:space="0" w:color="auto"/>
              <w:right w:val="single" w:sz="4" w:space="0" w:color="auto"/>
            </w:tcBorders>
          </w:tcPr>
          <w:p w14:paraId="069DA2F0"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lang w:bidi="ar-KW"/>
              </w:rPr>
              <w:t>Berque</w:t>
            </w:r>
          </w:p>
        </w:tc>
        <w:tc>
          <w:tcPr>
            <w:tcW w:w="9927" w:type="dxa"/>
            <w:tcBorders>
              <w:top w:val="single" w:sz="4" w:space="0" w:color="auto"/>
              <w:left w:val="single" w:sz="4" w:space="0" w:color="auto"/>
              <w:bottom w:val="single" w:sz="4" w:space="0" w:color="auto"/>
              <w:right w:val="single" w:sz="4" w:space="0" w:color="auto"/>
            </w:tcBorders>
          </w:tcPr>
          <w:p w14:paraId="6880790C" w14:textId="77777777" w:rsidR="00A70B78" w:rsidRPr="00E53DBB" w:rsidRDefault="00A70B78" w:rsidP="00AF4FC9">
            <w:pPr>
              <w:spacing w:line="360" w:lineRule="auto"/>
              <w:contextualSpacing/>
              <w:jc w:val="both"/>
              <w:rPr>
                <w:rFonts w:asciiTheme="majorBidi" w:eastAsia="Calibri" w:hAnsiTheme="majorBidi" w:cstheme="majorBidi"/>
                <w:lang w:bidi="ar-AE"/>
              </w:rPr>
            </w:pPr>
            <w:r w:rsidRPr="00E53DBB">
              <w:rPr>
                <w:rFonts w:asciiTheme="majorBidi" w:eastAsia="Calibri" w:hAnsiTheme="majorBidi" w:cstheme="majorBidi"/>
                <w:lang w:bidi="ar-AE"/>
              </w:rPr>
              <w:t>Il est vrai que les dénégateurs resteront en chicane sur le message jusqu’à ce que l’Heure ne leur advienne à l’improviste, ou le tourment d’un Jour néfaste</w:t>
            </w:r>
          </w:p>
        </w:tc>
      </w:tr>
      <w:tr w:rsidR="00A70B78" w:rsidRPr="00E53DBB" w14:paraId="7D651BE3" w14:textId="77777777" w:rsidTr="00E53DBB">
        <w:tc>
          <w:tcPr>
            <w:tcW w:w="993" w:type="dxa"/>
            <w:tcBorders>
              <w:top w:val="single" w:sz="4" w:space="0" w:color="auto"/>
              <w:left w:val="single" w:sz="4" w:space="0" w:color="auto"/>
              <w:bottom w:val="single" w:sz="4" w:space="0" w:color="auto"/>
              <w:right w:val="single" w:sz="4" w:space="0" w:color="auto"/>
            </w:tcBorders>
          </w:tcPr>
          <w:p w14:paraId="4CE21B4C" w14:textId="77777777" w:rsidR="00A70B78" w:rsidRPr="00E53DBB" w:rsidRDefault="00A70B78" w:rsidP="00AF4FC9">
            <w:pPr>
              <w:spacing w:line="360" w:lineRule="auto"/>
              <w:jc w:val="both"/>
              <w:rPr>
                <w:rFonts w:asciiTheme="majorBidi" w:eastAsia="Times New Roman" w:hAnsiTheme="majorBidi" w:cstheme="majorBidi"/>
                <w:lang w:bidi="ar-KW"/>
              </w:rPr>
            </w:pPr>
            <w:r w:rsidRPr="00E53DBB">
              <w:rPr>
                <w:rFonts w:asciiTheme="majorBidi" w:eastAsia="Times New Roman" w:hAnsiTheme="majorBidi" w:cstheme="majorBidi"/>
              </w:rPr>
              <w:t>Gues.</w:t>
            </w:r>
          </w:p>
        </w:tc>
        <w:tc>
          <w:tcPr>
            <w:tcW w:w="9927" w:type="dxa"/>
            <w:tcBorders>
              <w:top w:val="single" w:sz="4" w:space="0" w:color="auto"/>
              <w:left w:val="single" w:sz="4" w:space="0" w:color="auto"/>
              <w:bottom w:val="single" w:sz="4" w:space="0" w:color="auto"/>
              <w:right w:val="single" w:sz="4" w:space="0" w:color="auto"/>
            </w:tcBorders>
          </w:tcPr>
          <w:p w14:paraId="193E137F"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Les incrédules jusqu’à ce que l’heure les surprenne ne cesseront d’en douter,</w:t>
            </w:r>
          </w:p>
          <w:p w14:paraId="7D7E9D4A"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Ou que par le jour dévastateur du châtiment ils ne soient frappés.</w:t>
            </w:r>
          </w:p>
        </w:tc>
      </w:tr>
      <w:tr w:rsidR="00A70B78" w:rsidRPr="00E53DBB" w14:paraId="79F1CA6F" w14:textId="77777777" w:rsidTr="00E53DBB">
        <w:tc>
          <w:tcPr>
            <w:tcW w:w="993" w:type="dxa"/>
            <w:tcBorders>
              <w:top w:val="single" w:sz="4" w:space="0" w:color="auto"/>
              <w:left w:val="single" w:sz="4" w:space="0" w:color="auto"/>
              <w:bottom w:val="single" w:sz="4" w:space="0" w:color="auto"/>
              <w:right w:val="single" w:sz="4" w:space="0" w:color="auto"/>
            </w:tcBorders>
          </w:tcPr>
          <w:p w14:paraId="2AEBC4FC" w14:textId="77777777" w:rsidR="00A70B78" w:rsidRPr="00E53DBB" w:rsidRDefault="00A70B78" w:rsidP="00AF4FC9">
            <w:pPr>
              <w:spacing w:line="360" w:lineRule="auto"/>
              <w:jc w:val="both"/>
              <w:rPr>
                <w:rFonts w:asciiTheme="majorBidi" w:eastAsia="Times New Roman" w:hAnsiTheme="majorBidi" w:cstheme="majorBidi"/>
                <w:lang w:bidi="ar-KW"/>
              </w:rPr>
            </w:pPr>
            <w:r w:rsidRPr="00E53DBB">
              <w:rPr>
                <w:rFonts w:asciiTheme="majorBidi" w:eastAsia="Times New Roman" w:hAnsiTheme="majorBidi" w:cstheme="majorBidi"/>
              </w:rPr>
              <w:t>Haf.</w:t>
            </w:r>
          </w:p>
        </w:tc>
        <w:tc>
          <w:tcPr>
            <w:tcW w:w="9927" w:type="dxa"/>
            <w:tcBorders>
              <w:top w:val="single" w:sz="4" w:space="0" w:color="auto"/>
              <w:left w:val="single" w:sz="4" w:space="0" w:color="auto"/>
              <w:bottom w:val="single" w:sz="4" w:space="0" w:color="auto"/>
              <w:right w:val="single" w:sz="4" w:space="0" w:color="auto"/>
            </w:tcBorders>
          </w:tcPr>
          <w:p w14:paraId="31F0B238"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Les mécréants ne cesseront jamais d’en douter, jusqu’à ce que l’Heure les surprenne à l’improviste ou que les atteigne le châtiment le jour néfaste.</w:t>
            </w:r>
          </w:p>
        </w:tc>
      </w:tr>
      <w:tr w:rsidR="00A70B78" w:rsidRPr="00E53DBB" w14:paraId="2AB2FBE4" w14:textId="77777777" w:rsidTr="00E53DBB">
        <w:tc>
          <w:tcPr>
            <w:tcW w:w="993" w:type="dxa"/>
            <w:tcBorders>
              <w:top w:val="single" w:sz="4" w:space="0" w:color="auto"/>
              <w:left w:val="single" w:sz="4" w:space="0" w:color="auto"/>
              <w:bottom w:val="single" w:sz="4" w:space="0" w:color="auto"/>
              <w:right w:val="single" w:sz="4" w:space="0" w:color="auto"/>
            </w:tcBorders>
          </w:tcPr>
          <w:p w14:paraId="4BEFF817" w14:textId="77777777" w:rsidR="00A70B78" w:rsidRPr="00E53DBB" w:rsidRDefault="00A70B78" w:rsidP="00AF4FC9">
            <w:pPr>
              <w:spacing w:line="360" w:lineRule="auto"/>
              <w:jc w:val="both"/>
              <w:rPr>
                <w:rFonts w:asciiTheme="majorBidi" w:eastAsia="Times New Roman" w:hAnsiTheme="majorBidi" w:cstheme="majorBidi"/>
                <w:lang w:bidi="ar-KW"/>
              </w:rPr>
            </w:pPr>
            <w:r w:rsidRPr="00E53DBB">
              <w:rPr>
                <w:rFonts w:asciiTheme="majorBidi" w:eastAsia="Times New Roman" w:hAnsiTheme="majorBidi" w:cstheme="majorBidi"/>
              </w:rPr>
              <w:t>Gros.</w:t>
            </w:r>
          </w:p>
        </w:tc>
        <w:tc>
          <w:tcPr>
            <w:tcW w:w="9927" w:type="dxa"/>
            <w:tcBorders>
              <w:top w:val="single" w:sz="4" w:space="0" w:color="auto"/>
              <w:left w:val="single" w:sz="4" w:space="0" w:color="auto"/>
              <w:bottom w:val="single" w:sz="4" w:space="0" w:color="auto"/>
              <w:right w:val="single" w:sz="4" w:space="0" w:color="auto"/>
            </w:tcBorders>
          </w:tcPr>
          <w:p w14:paraId="500D5642"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 xml:space="preserve">Les incroyants continueront d’en douter jusqu’à la venue de l’heure soudaine, quand leur viendra le tourment d’un jour dévastateur. </w:t>
            </w:r>
          </w:p>
        </w:tc>
      </w:tr>
      <w:tr w:rsidR="00A70B78" w:rsidRPr="00E53DBB" w14:paraId="5CF6BEE2" w14:textId="77777777" w:rsidTr="00E53DBB">
        <w:tc>
          <w:tcPr>
            <w:tcW w:w="993" w:type="dxa"/>
            <w:tcBorders>
              <w:top w:val="single" w:sz="4" w:space="0" w:color="auto"/>
              <w:left w:val="single" w:sz="4" w:space="0" w:color="auto"/>
              <w:bottom w:val="single" w:sz="4" w:space="0" w:color="auto"/>
              <w:right w:val="single" w:sz="4" w:space="0" w:color="auto"/>
            </w:tcBorders>
          </w:tcPr>
          <w:p w14:paraId="2F763278"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Chiad.</w:t>
            </w:r>
          </w:p>
        </w:tc>
        <w:tc>
          <w:tcPr>
            <w:tcW w:w="9927" w:type="dxa"/>
            <w:tcBorders>
              <w:top w:val="single" w:sz="4" w:space="0" w:color="auto"/>
              <w:left w:val="single" w:sz="4" w:space="0" w:color="auto"/>
              <w:bottom w:val="single" w:sz="4" w:space="0" w:color="auto"/>
              <w:right w:val="single" w:sz="4" w:space="0" w:color="auto"/>
            </w:tcBorders>
          </w:tcPr>
          <w:p w14:paraId="647AFADC"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 xml:space="preserve">Quant aux impies, ils continueront à en douter jusqu’à ce que l’Heure dernière vienne les surprendre, </w:t>
            </w:r>
            <w:r w:rsidRPr="00E53DBB">
              <w:rPr>
                <w:rFonts w:asciiTheme="majorBidi" w:eastAsia="Times New Roman" w:hAnsiTheme="majorBidi" w:cstheme="majorBidi"/>
              </w:rPr>
              <w:lastRenderedPageBreak/>
              <w:t>ou que les atteigne le châtiment d’un jour terrifiant.</w:t>
            </w:r>
          </w:p>
        </w:tc>
      </w:tr>
      <w:tr w:rsidR="00A70B78" w:rsidRPr="00E53DBB" w14:paraId="1E912FD0" w14:textId="77777777" w:rsidTr="00E53DBB">
        <w:tc>
          <w:tcPr>
            <w:tcW w:w="993" w:type="dxa"/>
            <w:tcBorders>
              <w:top w:val="single" w:sz="4" w:space="0" w:color="auto"/>
              <w:left w:val="single" w:sz="4" w:space="0" w:color="auto"/>
              <w:bottom w:val="single" w:sz="4" w:space="0" w:color="auto"/>
              <w:right w:val="single" w:sz="4" w:space="0" w:color="auto"/>
            </w:tcBorders>
          </w:tcPr>
          <w:p w14:paraId="0105D2B3"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lastRenderedPageBreak/>
              <w:t>B. M.</w:t>
            </w:r>
          </w:p>
        </w:tc>
        <w:tc>
          <w:tcPr>
            <w:tcW w:w="9927" w:type="dxa"/>
            <w:tcBorders>
              <w:top w:val="single" w:sz="4" w:space="0" w:color="auto"/>
              <w:left w:val="single" w:sz="4" w:space="0" w:color="auto"/>
              <w:bottom w:val="single" w:sz="4" w:space="0" w:color="auto"/>
              <w:right w:val="single" w:sz="4" w:space="0" w:color="auto"/>
            </w:tcBorders>
          </w:tcPr>
          <w:p w14:paraId="5770D466"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Les infidèles ne cesseront de douter du Coran jusqu’à ce que l’heure dernière les surprenne brusquement ou que du jour de l’extermination les atteigne.</w:t>
            </w:r>
          </w:p>
        </w:tc>
      </w:tr>
      <w:tr w:rsidR="00A70B78" w:rsidRPr="00E53DBB" w14:paraId="10B3777A" w14:textId="77777777" w:rsidTr="00E53DBB">
        <w:tc>
          <w:tcPr>
            <w:tcW w:w="993" w:type="dxa"/>
            <w:tcBorders>
              <w:top w:val="single" w:sz="4" w:space="0" w:color="auto"/>
              <w:left w:val="single" w:sz="4" w:space="0" w:color="auto"/>
              <w:bottom w:val="single" w:sz="4" w:space="0" w:color="auto"/>
              <w:right w:val="single" w:sz="4" w:space="0" w:color="auto"/>
            </w:tcBorders>
          </w:tcPr>
          <w:p w14:paraId="42E40CF0"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Cheb.</w:t>
            </w:r>
          </w:p>
        </w:tc>
        <w:tc>
          <w:tcPr>
            <w:tcW w:w="9927" w:type="dxa"/>
            <w:tcBorders>
              <w:top w:val="single" w:sz="4" w:space="0" w:color="auto"/>
              <w:left w:val="single" w:sz="4" w:space="0" w:color="auto"/>
              <w:bottom w:val="single" w:sz="4" w:space="0" w:color="auto"/>
              <w:right w:val="single" w:sz="4" w:space="0" w:color="auto"/>
            </w:tcBorders>
          </w:tcPr>
          <w:p w14:paraId="41D12CE0"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Les infidèles seront dans le doute et le scepticisme [ø] jusqu’au jour où, subitement, l’Heure les saisira, ou bien, où le jour de l’extermination les atteindra.</w:t>
            </w:r>
          </w:p>
        </w:tc>
      </w:tr>
      <w:tr w:rsidR="00A70B78" w:rsidRPr="00E53DBB" w14:paraId="445633AD" w14:textId="77777777" w:rsidTr="00E53DBB">
        <w:tc>
          <w:tcPr>
            <w:tcW w:w="993" w:type="dxa"/>
            <w:tcBorders>
              <w:top w:val="single" w:sz="4" w:space="0" w:color="auto"/>
              <w:left w:val="single" w:sz="4" w:space="0" w:color="auto"/>
              <w:bottom w:val="single" w:sz="4" w:space="0" w:color="auto"/>
              <w:right w:val="single" w:sz="4" w:space="0" w:color="auto"/>
            </w:tcBorders>
          </w:tcPr>
          <w:p w14:paraId="4FFB3E97" w14:textId="6D7B9E4A"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Abd</w:t>
            </w:r>
            <w:r w:rsidR="00E53DBB">
              <w:rPr>
                <w:rFonts w:asciiTheme="majorBidi" w:eastAsia="Times New Roman" w:hAnsiTheme="majorBidi" w:cstheme="majorBidi"/>
              </w:rPr>
              <w:t>el.</w:t>
            </w:r>
          </w:p>
        </w:tc>
        <w:tc>
          <w:tcPr>
            <w:tcW w:w="9927" w:type="dxa"/>
            <w:tcBorders>
              <w:top w:val="single" w:sz="4" w:space="0" w:color="auto"/>
              <w:left w:val="single" w:sz="4" w:space="0" w:color="auto"/>
              <w:bottom w:val="single" w:sz="4" w:space="0" w:color="auto"/>
              <w:right w:val="single" w:sz="4" w:space="0" w:color="auto"/>
            </w:tcBorders>
          </w:tcPr>
          <w:p w14:paraId="749CF454"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rPr>
              <w:t>Et ceux qui devinrent mécréants continuent à être dans le doute à son sujet, jusqu’à ce que l’Heure leur vienne à l’improviste ou que leur vienne le châtiment d’un jour stérile.</w:t>
            </w:r>
          </w:p>
        </w:tc>
      </w:tr>
      <w:tr w:rsidR="00A70B78" w:rsidRPr="00E53DBB" w14:paraId="47A51806" w14:textId="77777777" w:rsidTr="00E53DBB">
        <w:tc>
          <w:tcPr>
            <w:tcW w:w="993" w:type="dxa"/>
            <w:tcBorders>
              <w:top w:val="single" w:sz="4" w:space="0" w:color="auto"/>
              <w:left w:val="single" w:sz="4" w:space="0" w:color="auto"/>
              <w:bottom w:val="single" w:sz="4" w:space="0" w:color="auto"/>
              <w:right w:val="single" w:sz="4" w:space="0" w:color="auto"/>
            </w:tcBorders>
          </w:tcPr>
          <w:p w14:paraId="3A0942BF" w14:textId="77777777" w:rsidR="00A70B78" w:rsidRPr="00E53DBB" w:rsidRDefault="00A70B78" w:rsidP="00AF4FC9">
            <w:pPr>
              <w:spacing w:line="360" w:lineRule="auto"/>
              <w:jc w:val="both"/>
              <w:rPr>
                <w:rFonts w:asciiTheme="majorBidi" w:eastAsia="Times New Roman" w:hAnsiTheme="majorBidi" w:cstheme="majorBidi"/>
              </w:rPr>
            </w:pPr>
            <w:r w:rsidRPr="00E53DBB">
              <w:rPr>
                <w:rFonts w:asciiTheme="majorBidi" w:eastAsia="Times New Roman" w:hAnsiTheme="majorBidi" w:cstheme="majorBidi"/>
                <w:lang w:bidi="ar-KW"/>
              </w:rPr>
              <w:t>Ald.</w:t>
            </w:r>
          </w:p>
        </w:tc>
        <w:tc>
          <w:tcPr>
            <w:tcW w:w="9927" w:type="dxa"/>
            <w:tcBorders>
              <w:top w:val="single" w:sz="4" w:space="0" w:color="auto"/>
              <w:left w:val="single" w:sz="4" w:space="0" w:color="auto"/>
              <w:bottom w:val="single" w:sz="4" w:space="0" w:color="auto"/>
              <w:right w:val="single" w:sz="4" w:space="0" w:color="auto"/>
            </w:tcBorders>
          </w:tcPr>
          <w:p w14:paraId="10527D7F" w14:textId="77777777" w:rsidR="00A70B78" w:rsidRPr="00E53DBB" w:rsidRDefault="00A70B78" w:rsidP="00AF4FC9">
            <w:pPr>
              <w:spacing w:line="360" w:lineRule="auto"/>
              <w:jc w:val="both"/>
              <w:rPr>
                <w:rFonts w:asciiTheme="majorBidi" w:eastAsia="Times New Roman" w:hAnsiTheme="majorBidi" w:cstheme="majorBidi"/>
                <w:lang w:bidi="ar-KW"/>
              </w:rPr>
            </w:pPr>
            <w:r w:rsidRPr="00E53DBB">
              <w:rPr>
                <w:rFonts w:asciiTheme="majorBidi" w:eastAsia="Times New Roman" w:hAnsiTheme="majorBidi" w:cstheme="majorBidi"/>
                <w:lang w:eastAsia="fr-CH"/>
              </w:rPr>
              <w:t>Ceux qui ont mécru ne cesseront d’être dans le doute au sujet de ce [Coran] que lorsque l’heure leur viendra soudainement ou que leur viendra le châtiment d’un jour stérile.</w:t>
            </w:r>
          </w:p>
        </w:tc>
      </w:tr>
    </w:tbl>
    <w:p w14:paraId="23978270"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0673B784"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La majorité des traducteurs (13 traducteurs) a gardé l’ambiguïté du texte arabe en traduisant le syntagme prépositionnel </w:t>
      </w:r>
      <w:r w:rsidRPr="007C6A42">
        <w:rPr>
          <w:rFonts w:asciiTheme="majorBidi" w:eastAsia="Times New Roman" w:hAnsiTheme="majorBidi" w:cstheme="majorBidi"/>
          <w:i/>
          <w:iCs/>
        </w:rPr>
        <w:t>min-hu</w:t>
      </w:r>
      <w:r w:rsidRPr="007C6A42">
        <w:rPr>
          <w:rFonts w:asciiTheme="majorBidi" w:eastAsia="Times New Roman" w:hAnsiTheme="majorBidi" w:cstheme="majorBidi"/>
        </w:rPr>
        <w:t xml:space="preserve"> par : </w:t>
      </w:r>
      <w:r w:rsidRPr="007C6A42">
        <w:rPr>
          <w:rFonts w:asciiTheme="majorBidi" w:eastAsia="Times New Roman" w:hAnsiTheme="majorBidi" w:cstheme="majorBidi"/>
          <w:i/>
          <w:iCs/>
        </w:rPr>
        <w:t>en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de lui</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à son sujet</w:t>
      </w:r>
      <w:r w:rsidRPr="007C6A42">
        <w:rPr>
          <w:rFonts w:asciiTheme="majorBidi" w:eastAsia="Times New Roman" w:hAnsiTheme="majorBidi" w:cstheme="majorBidi"/>
        </w:rPr>
        <w:t>, ou sans le traduire (Savary, Hamidullah et Chebel) ; alors que seulement 5 traducteurs (Blachère, Berque, Chouraqui, Ben Mahmoud, Aldeeb) ont souligné l’interprétation la plus fréquente (</w:t>
      </w:r>
      <w:r w:rsidRPr="007C6A42">
        <w:rPr>
          <w:rFonts w:asciiTheme="majorBidi" w:eastAsia="Times New Roman" w:hAnsiTheme="majorBidi" w:cstheme="majorBidi"/>
          <w:i/>
          <w:iCs/>
        </w:rPr>
        <w:t>de Lui</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du Coran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au sujet de ce [Coran]</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sur le message</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à l’égard de [cette Révélation]</w:t>
      </w:r>
      <w:r w:rsidRPr="007C6A42">
        <w:rPr>
          <w:rFonts w:asciiTheme="majorBidi" w:eastAsia="Times New Roman" w:hAnsiTheme="majorBidi" w:cstheme="majorBidi"/>
        </w:rPr>
        <w:t>) en réduisant ainsi la polysémie du mot.</w:t>
      </w:r>
    </w:p>
    <w:p w14:paraId="3119514A" w14:textId="77777777" w:rsidR="00CF239D" w:rsidRPr="007C6A42" w:rsidRDefault="00CF239D" w:rsidP="00A70B78">
      <w:pPr>
        <w:spacing w:line="360" w:lineRule="auto"/>
        <w:contextualSpacing/>
        <w:jc w:val="both"/>
        <w:rPr>
          <w:rFonts w:asciiTheme="majorBidi" w:eastAsia="Times New Roman" w:hAnsiTheme="majorBidi" w:cstheme="majorBidi"/>
        </w:rPr>
      </w:pPr>
    </w:p>
    <w:p w14:paraId="507507E2" w14:textId="77777777" w:rsidR="00A70B78" w:rsidRPr="007C6A42" w:rsidRDefault="00A70B78" w:rsidP="00A70B78">
      <w:pPr>
        <w:spacing w:line="360" w:lineRule="auto"/>
        <w:contextualSpacing/>
        <w:jc w:val="both"/>
        <w:outlineLvl w:val="0"/>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 xml:space="preserve">Traduction de la préposition </w:t>
      </w:r>
      <w:r w:rsidRPr="007C6A42">
        <w:rPr>
          <w:rFonts w:asciiTheme="majorBidi" w:eastAsia="Times New Roman" w:hAnsiTheme="majorBidi" w:cstheme="majorBidi"/>
          <w:b/>
          <w:bCs/>
          <w:i/>
          <w:iCs/>
          <w:shd w:val="clear" w:color="auto" w:fill="FFFFFF"/>
          <w:lang w:bidi="ar-KW"/>
        </w:rPr>
        <w:t>li-</w:t>
      </w:r>
      <w:r w:rsidRPr="007C6A42">
        <w:rPr>
          <w:rFonts w:asciiTheme="majorBidi" w:eastAsia="Times New Roman" w:hAnsiTheme="majorBidi" w:cstheme="majorBidi"/>
          <w:b/>
          <w:bCs/>
          <w:shd w:val="clear" w:color="auto" w:fill="FFFFFF"/>
          <w:lang w:bidi="ar-KW"/>
        </w:rPr>
        <w:t xml:space="preserve"> (v. 26) :</w:t>
      </w:r>
    </w:p>
    <w:tbl>
      <w:tblPr>
        <w:tblW w:w="751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239"/>
      </w:tblGrid>
      <w:tr w:rsidR="00A70B78" w:rsidRPr="007C6A42" w14:paraId="61FF2634" w14:textId="77777777" w:rsidTr="00AF4FC9">
        <w:tc>
          <w:tcPr>
            <w:tcW w:w="1276" w:type="dxa"/>
            <w:tcBorders>
              <w:top w:val="single" w:sz="4" w:space="0" w:color="auto"/>
              <w:left w:val="single" w:sz="4" w:space="0" w:color="auto"/>
              <w:bottom w:val="single" w:sz="4" w:space="0" w:color="auto"/>
              <w:right w:val="single" w:sz="4" w:space="0" w:color="auto"/>
            </w:tcBorders>
          </w:tcPr>
          <w:p w14:paraId="34BC3E12" w14:textId="77777777" w:rsidR="00A70B78" w:rsidRPr="00126884" w:rsidRDefault="00A70B78" w:rsidP="00AF4FC9">
            <w:pPr>
              <w:spacing w:line="360" w:lineRule="auto"/>
              <w:jc w:val="both"/>
              <w:rPr>
                <w:rFonts w:asciiTheme="majorBidi" w:eastAsia="Times New Roman" w:hAnsiTheme="majorBidi" w:cstheme="majorBidi"/>
              </w:rPr>
            </w:pPr>
          </w:p>
        </w:tc>
        <w:tc>
          <w:tcPr>
            <w:tcW w:w="6239" w:type="dxa"/>
            <w:tcBorders>
              <w:top w:val="single" w:sz="4" w:space="0" w:color="auto"/>
              <w:left w:val="single" w:sz="4" w:space="0" w:color="auto"/>
              <w:bottom w:val="single" w:sz="4" w:space="0" w:color="auto"/>
              <w:right w:val="single" w:sz="4" w:space="0" w:color="auto"/>
            </w:tcBorders>
          </w:tcPr>
          <w:p w14:paraId="34A611A1" w14:textId="77777777" w:rsidR="00A70B78" w:rsidRPr="007C6A42" w:rsidRDefault="00A70B78" w:rsidP="00AF4FC9">
            <w:pPr>
              <w:spacing w:line="360" w:lineRule="auto"/>
              <w:jc w:val="center"/>
              <w:rPr>
                <w:rFonts w:asciiTheme="majorBidi" w:eastAsia="Times New Roman" w:hAnsiTheme="majorBidi" w:cstheme="majorBidi"/>
                <w:lang w:bidi="ar-KW"/>
              </w:rPr>
            </w:pPr>
            <w:r w:rsidRPr="007C6A42">
              <w:rPr>
                <w:rFonts w:asciiTheme="majorBidi" w:eastAsia="Times New Roman" w:hAnsiTheme="majorBidi" w:cstheme="majorBidi"/>
                <w:shd w:val="clear" w:color="auto" w:fill="FFFFFF"/>
                <w:rtl/>
              </w:rPr>
              <w:t>"وإذْ بوَّأْنا لإبراهيمَ مكانَ البيتِ" (الحج، 26)</w:t>
            </w:r>
          </w:p>
        </w:tc>
      </w:tr>
      <w:tr w:rsidR="00A70B78" w:rsidRPr="007C6A42" w14:paraId="3FA5ED33" w14:textId="77777777" w:rsidTr="00AF4FC9">
        <w:tc>
          <w:tcPr>
            <w:tcW w:w="1276" w:type="dxa"/>
            <w:tcBorders>
              <w:top w:val="single" w:sz="4" w:space="0" w:color="auto"/>
              <w:left w:val="single" w:sz="4" w:space="0" w:color="auto"/>
              <w:bottom w:val="single" w:sz="4" w:space="0" w:color="auto"/>
              <w:right w:val="single" w:sz="4" w:space="0" w:color="auto"/>
            </w:tcBorders>
          </w:tcPr>
          <w:p w14:paraId="14697521"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D.R.</w:t>
            </w:r>
          </w:p>
        </w:tc>
        <w:tc>
          <w:tcPr>
            <w:tcW w:w="6239" w:type="dxa"/>
            <w:tcBorders>
              <w:top w:val="single" w:sz="4" w:space="0" w:color="auto"/>
              <w:left w:val="single" w:sz="4" w:space="0" w:color="auto"/>
              <w:bottom w:val="single" w:sz="4" w:space="0" w:color="auto"/>
              <w:right w:val="single" w:sz="4" w:space="0" w:color="auto"/>
            </w:tcBorders>
          </w:tcPr>
          <w:p w14:paraId="2CBF3D78" w14:textId="77777777" w:rsidR="00A70B78" w:rsidRPr="007C6A42" w:rsidRDefault="00A70B78" w:rsidP="00AF4FC9">
            <w:pPr>
              <w:spacing w:line="360" w:lineRule="auto"/>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rPr>
              <w:t xml:space="preserve">Souuiens-toy que nous auons monʃtré </w:t>
            </w:r>
            <w:r w:rsidRPr="007C6A42">
              <w:rPr>
                <w:rFonts w:asciiTheme="majorBidi" w:eastAsia="Times New Roman" w:hAnsiTheme="majorBidi" w:cstheme="majorBidi"/>
                <w:u w:val="single"/>
              </w:rPr>
              <w:t>à</w:t>
            </w:r>
            <w:r w:rsidRPr="007C6A42">
              <w:rPr>
                <w:rFonts w:asciiTheme="majorBidi" w:eastAsia="Times New Roman" w:hAnsiTheme="majorBidi" w:cstheme="majorBidi"/>
              </w:rPr>
              <w:t xml:space="preserve"> Abraham le lieu pour baʃtir le Temple de la Meque</w:t>
            </w:r>
          </w:p>
        </w:tc>
      </w:tr>
      <w:tr w:rsidR="00A70B78" w:rsidRPr="007C6A42" w14:paraId="361EDD22" w14:textId="77777777" w:rsidTr="00AF4FC9">
        <w:tc>
          <w:tcPr>
            <w:tcW w:w="1276" w:type="dxa"/>
            <w:tcBorders>
              <w:top w:val="single" w:sz="4" w:space="0" w:color="auto"/>
              <w:left w:val="single" w:sz="4" w:space="0" w:color="auto"/>
              <w:bottom w:val="single" w:sz="4" w:space="0" w:color="auto"/>
              <w:right w:val="single" w:sz="4" w:space="0" w:color="auto"/>
            </w:tcBorders>
          </w:tcPr>
          <w:p w14:paraId="5B8997BD"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Sav.</w:t>
            </w:r>
          </w:p>
        </w:tc>
        <w:tc>
          <w:tcPr>
            <w:tcW w:w="6239" w:type="dxa"/>
            <w:tcBorders>
              <w:top w:val="single" w:sz="4" w:space="0" w:color="auto"/>
              <w:left w:val="single" w:sz="4" w:space="0" w:color="auto"/>
              <w:bottom w:val="single" w:sz="4" w:space="0" w:color="auto"/>
              <w:right w:val="single" w:sz="4" w:space="0" w:color="auto"/>
            </w:tcBorders>
          </w:tcPr>
          <w:p w14:paraId="488F222C" w14:textId="77777777" w:rsidR="00A70B78" w:rsidRPr="007C6A42" w:rsidRDefault="00A70B78" w:rsidP="00AF4FC9">
            <w:p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Lorsque nous donnâmes </w:t>
            </w:r>
            <w:r w:rsidRPr="007C6A42">
              <w:rPr>
                <w:rFonts w:asciiTheme="majorBidi" w:eastAsia="Times New Roman" w:hAnsiTheme="majorBidi" w:cstheme="majorBidi"/>
                <w:u w:val="single"/>
              </w:rPr>
              <w:t>à</w:t>
            </w:r>
            <w:r w:rsidRPr="007C6A42">
              <w:rPr>
                <w:rFonts w:asciiTheme="majorBidi" w:eastAsia="Times New Roman" w:hAnsiTheme="majorBidi" w:cstheme="majorBidi"/>
              </w:rPr>
              <w:t xml:space="preserve"> Abraham l’emplacement </w:t>
            </w:r>
            <w:r w:rsidRPr="007C6A42">
              <w:rPr>
                <w:rFonts w:asciiTheme="majorBidi" w:eastAsia="Times New Roman" w:hAnsiTheme="majorBidi" w:cstheme="majorBidi"/>
                <w:vertAlign w:val="superscript"/>
              </w:rPr>
              <w:t>[1] </w:t>
            </w:r>
            <w:r w:rsidRPr="007C6A42">
              <w:rPr>
                <w:rFonts w:asciiTheme="majorBidi" w:eastAsia="Times New Roman" w:hAnsiTheme="majorBidi" w:cstheme="majorBidi"/>
              </w:rPr>
              <w:t>du temple de la Mecque, pour asile, (</w:t>
            </w:r>
            <w:r w:rsidRPr="007C6A42">
              <w:rPr>
                <w:rFonts w:asciiTheme="majorBidi" w:eastAsia="Times New Roman" w:hAnsiTheme="majorBidi" w:cstheme="majorBidi"/>
                <w:vertAlign w:val="superscript"/>
              </w:rPr>
              <w:t>[1]</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Suivant le sentiment des auteurs arabes, la maison sainte avait été apportée du ciel par les anges. Soixante-dix mille y priaient tous les jours, et les mêmes n’y entraient jamais deux fois. Adam en avait fait quarante fois le pèlerinage du fond de l’Inde. Ayant été enlevée au ciel avant le déluge, Dieu en donna l’emplacement à Abraham pour y bâtir le temple de la Mecque.</w:t>
            </w:r>
            <w:r w:rsidRPr="007C6A42">
              <w:rPr>
                <w:rFonts w:asciiTheme="majorBidi" w:eastAsia="Times New Roman" w:hAnsiTheme="majorBidi" w:cstheme="majorBidi"/>
              </w:rPr>
              <w:t>)</w:t>
            </w:r>
          </w:p>
        </w:tc>
      </w:tr>
      <w:tr w:rsidR="00A70B78" w:rsidRPr="007C6A42" w14:paraId="50C96D8F" w14:textId="77777777" w:rsidTr="00AF4FC9">
        <w:tc>
          <w:tcPr>
            <w:tcW w:w="1276" w:type="dxa"/>
            <w:tcBorders>
              <w:top w:val="single" w:sz="4" w:space="0" w:color="auto"/>
              <w:left w:val="single" w:sz="4" w:space="0" w:color="auto"/>
              <w:bottom w:val="single" w:sz="4" w:space="0" w:color="auto"/>
              <w:right w:val="single" w:sz="4" w:space="0" w:color="auto"/>
            </w:tcBorders>
          </w:tcPr>
          <w:p w14:paraId="59163173"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lang w:bidi="ar-KW"/>
              </w:rPr>
              <w:t xml:space="preserve">Kaz. </w:t>
            </w:r>
          </w:p>
        </w:tc>
        <w:tc>
          <w:tcPr>
            <w:tcW w:w="6239" w:type="dxa"/>
            <w:tcBorders>
              <w:top w:val="single" w:sz="4" w:space="0" w:color="auto"/>
              <w:left w:val="single" w:sz="4" w:space="0" w:color="auto"/>
              <w:bottom w:val="single" w:sz="4" w:space="0" w:color="auto"/>
              <w:right w:val="single" w:sz="4" w:space="0" w:color="auto"/>
            </w:tcBorders>
          </w:tcPr>
          <w:p w14:paraId="4373E949"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Souviens-toi que nous avons indiqué </w:t>
            </w:r>
            <w:r w:rsidRPr="007C6A42">
              <w:rPr>
                <w:rFonts w:asciiTheme="majorBidi" w:eastAsia="Times New Roman" w:hAnsiTheme="majorBidi" w:cstheme="majorBidi"/>
                <w:u w:val="single"/>
              </w:rPr>
              <w:t>à</w:t>
            </w:r>
            <w:r w:rsidRPr="007C6A42">
              <w:rPr>
                <w:rFonts w:asciiTheme="majorBidi" w:eastAsia="Times New Roman" w:hAnsiTheme="majorBidi" w:cstheme="majorBidi"/>
              </w:rPr>
              <w:t xml:space="preserve"> Abraham </w:t>
            </w:r>
            <w:r w:rsidRPr="007C6A42">
              <w:rPr>
                <w:rFonts w:asciiTheme="majorBidi" w:eastAsia="Times New Roman" w:hAnsiTheme="majorBidi" w:cstheme="majorBidi"/>
              </w:rPr>
              <w:lastRenderedPageBreak/>
              <w:t>l’emplacement de la maison sainte</w:t>
            </w:r>
          </w:p>
        </w:tc>
      </w:tr>
      <w:tr w:rsidR="00A70B78" w:rsidRPr="007C6A42" w14:paraId="12C8C389" w14:textId="77777777" w:rsidTr="00AF4FC9">
        <w:tc>
          <w:tcPr>
            <w:tcW w:w="1276" w:type="dxa"/>
            <w:tcBorders>
              <w:top w:val="single" w:sz="4" w:space="0" w:color="auto"/>
              <w:left w:val="single" w:sz="4" w:space="0" w:color="auto"/>
              <w:bottom w:val="single" w:sz="4" w:space="0" w:color="auto"/>
              <w:right w:val="single" w:sz="4" w:space="0" w:color="auto"/>
            </w:tcBorders>
          </w:tcPr>
          <w:p w14:paraId="5A7CF132" w14:textId="77777777" w:rsidR="00A70B78" w:rsidRPr="00126884" w:rsidRDefault="00A70B78" w:rsidP="00AF4FC9">
            <w:pPr>
              <w:spacing w:line="360" w:lineRule="auto"/>
              <w:jc w:val="both"/>
              <w:rPr>
                <w:rFonts w:asciiTheme="majorBidi" w:eastAsia="Times New Roman" w:hAnsiTheme="majorBidi" w:cstheme="majorBidi"/>
                <w:lang w:bidi="ar-KW"/>
              </w:rPr>
            </w:pPr>
            <w:r w:rsidRPr="00126884">
              <w:rPr>
                <w:rFonts w:asciiTheme="majorBidi" w:eastAsia="Times New Roman" w:hAnsiTheme="majorBidi" w:cstheme="majorBidi"/>
              </w:rPr>
              <w:lastRenderedPageBreak/>
              <w:t>Blach.</w:t>
            </w:r>
          </w:p>
        </w:tc>
        <w:tc>
          <w:tcPr>
            <w:tcW w:w="6239" w:type="dxa"/>
            <w:tcBorders>
              <w:top w:val="single" w:sz="4" w:space="0" w:color="auto"/>
              <w:left w:val="single" w:sz="4" w:space="0" w:color="auto"/>
              <w:bottom w:val="single" w:sz="4" w:space="0" w:color="auto"/>
              <w:right w:val="single" w:sz="4" w:space="0" w:color="auto"/>
            </w:tcBorders>
          </w:tcPr>
          <w:p w14:paraId="063DFAB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Et [rappelle-leur] quand Nous établîmes, </w:t>
            </w:r>
            <w:r w:rsidRPr="007C6A42">
              <w:rPr>
                <w:rFonts w:asciiTheme="majorBidi" w:eastAsia="Times New Roman" w:hAnsiTheme="majorBidi" w:cstheme="majorBidi"/>
                <w:u w:val="single"/>
              </w:rPr>
              <w:t>pour</w:t>
            </w:r>
            <w:r w:rsidRPr="007C6A42">
              <w:rPr>
                <w:rFonts w:asciiTheme="majorBidi" w:eastAsia="Times New Roman" w:hAnsiTheme="majorBidi" w:cstheme="majorBidi"/>
              </w:rPr>
              <w:t xml:space="preserve"> Abraham, l’emplacement du Temple</w:t>
            </w:r>
          </w:p>
        </w:tc>
      </w:tr>
      <w:tr w:rsidR="00A70B78" w:rsidRPr="007C6A42" w14:paraId="5AD3A486" w14:textId="77777777" w:rsidTr="00AF4FC9">
        <w:tc>
          <w:tcPr>
            <w:tcW w:w="1276" w:type="dxa"/>
            <w:tcBorders>
              <w:top w:val="single" w:sz="4" w:space="0" w:color="auto"/>
              <w:left w:val="single" w:sz="4" w:space="0" w:color="auto"/>
              <w:bottom w:val="single" w:sz="4" w:space="0" w:color="auto"/>
              <w:right w:val="single" w:sz="4" w:space="0" w:color="auto"/>
            </w:tcBorders>
          </w:tcPr>
          <w:p w14:paraId="3B020BF4"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Hamid</w:t>
            </w:r>
          </w:p>
        </w:tc>
        <w:tc>
          <w:tcPr>
            <w:tcW w:w="6239" w:type="dxa"/>
            <w:tcBorders>
              <w:top w:val="single" w:sz="4" w:space="0" w:color="auto"/>
              <w:left w:val="single" w:sz="4" w:space="0" w:color="auto"/>
              <w:bottom w:val="single" w:sz="4" w:space="0" w:color="auto"/>
              <w:right w:val="single" w:sz="4" w:space="0" w:color="auto"/>
            </w:tcBorders>
          </w:tcPr>
          <w:p w14:paraId="5891576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Et quand Nous installâmes </w:t>
            </w:r>
            <w:r w:rsidRPr="007C6A42">
              <w:rPr>
                <w:rFonts w:asciiTheme="majorBidi" w:eastAsia="Times New Roman" w:hAnsiTheme="majorBidi" w:cstheme="majorBidi"/>
                <w:u w:val="single"/>
              </w:rPr>
              <w:t>pour</w:t>
            </w:r>
            <w:r w:rsidRPr="007C6A42">
              <w:rPr>
                <w:rFonts w:asciiTheme="majorBidi" w:eastAsia="Times New Roman" w:hAnsiTheme="majorBidi" w:cstheme="majorBidi"/>
              </w:rPr>
              <w:t xml:space="preserve"> Abraham le lieu de la Maison * [*</w:t>
            </w:r>
            <w:r w:rsidRPr="007C6A42">
              <w:rPr>
                <w:rFonts w:asciiTheme="majorBidi" w:eastAsia="Times New Roman" w:hAnsiTheme="majorBidi" w:cstheme="majorBidi"/>
                <w:i/>
              </w:rPr>
              <w:t>le lieu de la maison</w:t>
            </w:r>
            <w:r w:rsidRPr="007C6A42">
              <w:rPr>
                <w:rFonts w:asciiTheme="majorBidi" w:eastAsia="Times New Roman" w:hAnsiTheme="majorBidi" w:cstheme="majorBidi"/>
              </w:rPr>
              <w:t> : la Ka’ba]</w:t>
            </w:r>
          </w:p>
        </w:tc>
      </w:tr>
      <w:tr w:rsidR="00A70B78" w:rsidRPr="007C6A42" w14:paraId="27F12931" w14:textId="77777777" w:rsidTr="00AF4FC9">
        <w:tc>
          <w:tcPr>
            <w:tcW w:w="1276" w:type="dxa"/>
            <w:tcBorders>
              <w:top w:val="single" w:sz="4" w:space="0" w:color="auto"/>
              <w:left w:val="single" w:sz="4" w:space="0" w:color="auto"/>
              <w:bottom w:val="single" w:sz="4" w:space="0" w:color="auto"/>
              <w:right w:val="single" w:sz="4" w:space="0" w:color="auto"/>
            </w:tcBorders>
          </w:tcPr>
          <w:p w14:paraId="045B7DCD"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Mass.</w:t>
            </w:r>
          </w:p>
        </w:tc>
        <w:tc>
          <w:tcPr>
            <w:tcW w:w="6239" w:type="dxa"/>
            <w:tcBorders>
              <w:top w:val="single" w:sz="4" w:space="0" w:color="auto"/>
              <w:left w:val="single" w:sz="4" w:space="0" w:color="auto"/>
              <w:bottom w:val="single" w:sz="4" w:space="0" w:color="auto"/>
              <w:right w:val="single" w:sz="4" w:space="0" w:color="auto"/>
            </w:tcBorders>
          </w:tcPr>
          <w:p w14:paraId="44F5E22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Nous avons établi, </w:t>
            </w:r>
            <w:r w:rsidRPr="007C6A42">
              <w:rPr>
                <w:rFonts w:asciiTheme="majorBidi" w:eastAsia="Times New Roman" w:hAnsiTheme="majorBidi" w:cstheme="majorBidi"/>
                <w:u w:val="single"/>
              </w:rPr>
              <w:t>pour</w:t>
            </w:r>
            <w:r w:rsidRPr="007C6A42">
              <w:rPr>
                <w:rFonts w:asciiTheme="majorBidi" w:eastAsia="Times New Roman" w:hAnsiTheme="majorBidi" w:cstheme="majorBidi"/>
              </w:rPr>
              <w:t xml:space="preserve"> Abraham, l’emplacement de la Maison </w:t>
            </w:r>
          </w:p>
        </w:tc>
      </w:tr>
      <w:tr w:rsidR="00A70B78" w:rsidRPr="007C6A42" w14:paraId="4428FF07" w14:textId="77777777" w:rsidTr="00AF4FC9">
        <w:tc>
          <w:tcPr>
            <w:tcW w:w="1276" w:type="dxa"/>
            <w:tcBorders>
              <w:top w:val="single" w:sz="4" w:space="0" w:color="auto"/>
              <w:left w:val="single" w:sz="4" w:space="0" w:color="auto"/>
              <w:bottom w:val="single" w:sz="4" w:space="0" w:color="auto"/>
              <w:right w:val="single" w:sz="4" w:space="0" w:color="auto"/>
            </w:tcBorders>
          </w:tcPr>
          <w:p w14:paraId="69C5F36C"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Chour.</w:t>
            </w:r>
          </w:p>
        </w:tc>
        <w:tc>
          <w:tcPr>
            <w:tcW w:w="6239" w:type="dxa"/>
            <w:tcBorders>
              <w:top w:val="single" w:sz="4" w:space="0" w:color="auto"/>
              <w:left w:val="single" w:sz="4" w:space="0" w:color="auto"/>
              <w:bottom w:val="single" w:sz="4" w:space="0" w:color="auto"/>
              <w:right w:val="single" w:sz="4" w:space="0" w:color="auto"/>
            </w:tcBorders>
          </w:tcPr>
          <w:p w14:paraId="6A18600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Quand nous avons préparé </w:t>
            </w:r>
            <w:r w:rsidRPr="007C6A42">
              <w:rPr>
                <w:rFonts w:asciiTheme="majorBidi" w:eastAsia="Times New Roman" w:hAnsiTheme="majorBidi" w:cstheme="majorBidi"/>
                <w:u w:val="single"/>
              </w:rPr>
              <w:t>pour</w:t>
            </w:r>
            <w:r w:rsidRPr="007C6A42">
              <w:rPr>
                <w:rFonts w:asciiTheme="majorBidi" w:eastAsia="Times New Roman" w:hAnsiTheme="majorBidi" w:cstheme="majorBidi"/>
              </w:rPr>
              <w:t xml:space="preserve"> Ibrâhim le lieu de la Maison</w:t>
            </w:r>
          </w:p>
        </w:tc>
      </w:tr>
      <w:tr w:rsidR="00A70B78" w:rsidRPr="007C6A42" w14:paraId="5E1884E1" w14:textId="77777777" w:rsidTr="00AF4FC9">
        <w:tc>
          <w:tcPr>
            <w:tcW w:w="1276" w:type="dxa"/>
            <w:tcBorders>
              <w:top w:val="single" w:sz="4" w:space="0" w:color="auto"/>
              <w:left w:val="single" w:sz="4" w:space="0" w:color="auto"/>
              <w:bottom w:val="single" w:sz="4" w:space="0" w:color="auto"/>
              <w:right w:val="single" w:sz="4" w:space="0" w:color="auto"/>
            </w:tcBorders>
          </w:tcPr>
          <w:p w14:paraId="73CC8D80"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Ghéd.</w:t>
            </w:r>
          </w:p>
        </w:tc>
        <w:tc>
          <w:tcPr>
            <w:tcW w:w="6239" w:type="dxa"/>
            <w:tcBorders>
              <w:top w:val="single" w:sz="4" w:space="0" w:color="auto"/>
              <w:left w:val="single" w:sz="4" w:space="0" w:color="auto"/>
              <w:bottom w:val="single" w:sz="4" w:space="0" w:color="auto"/>
              <w:right w:val="single" w:sz="4" w:space="0" w:color="auto"/>
            </w:tcBorders>
          </w:tcPr>
          <w:p w14:paraId="095D5F2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Souviens-toi lorsque Nous avons indiqué </w:t>
            </w:r>
            <w:r w:rsidRPr="007C6A42">
              <w:rPr>
                <w:rFonts w:asciiTheme="majorBidi" w:eastAsia="Times New Roman" w:hAnsiTheme="majorBidi" w:cstheme="majorBidi"/>
                <w:u w:val="single"/>
              </w:rPr>
              <w:t>à</w:t>
            </w:r>
            <w:r w:rsidRPr="007C6A42">
              <w:rPr>
                <w:rFonts w:asciiTheme="majorBidi" w:eastAsia="Times New Roman" w:hAnsiTheme="majorBidi" w:cstheme="majorBidi"/>
              </w:rPr>
              <w:t xml:space="preserve"> Abraham l’emplacement de la Maison de Dieu</w:t>
            </w:r>
          </w:p>
        </w:tc>
      </w:tr>
      <w:tr w:rsidR="00A70B78" w:rsidRPr="007C6A42" w14:paraId="1A7BCCDE" w14:textId="77777777" w:rsidTr="00AF4FC9">
        <w:tc>
          <w:tcPr>
            <w:tcW w:w="1276" w:type="dxa"/>
            <w:tcBorders>
              <w:top w:val="single" w:sz="4" w:space="0" w:color="auto"/>
              <w:left w:val="single" w:sz="4" w:space="0" w:color="auto"/>
              <w:bottom w:val="single" w:sz="4" w:space="0" w:color="auto"/>
              <w:right w:val="single" w:sz="4" w:space="0" w:color="auto"/>
            </w:tcBorders>
          </w:tcPr>
          <w:p w14:paraId="6DAE9589"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lang w:bidi="ar-KW"/>
              </w:rPr>
              <w:t>Méd.</w:t>
            </w:r>
          </w:p>
        </w:tc>
        <w:tc>
          <w:tcPr>
            <w:tcW w:w="6239" w:type="dxa"/>
            <w:tcBorders>
              <w:top w:val="single" w:sz="4" w:space="0" w:color="auto"/>
              <w:left w:val="single" w:sz="4" w:space="0" w:color="auto"/>
              <w:bottom w:val="single" w:sz="4" w:space="0" w:color="auto"/>
              <w:right w:val="single" w:sz="4" w:space="0" w:color="auto"/>
            </w:tcBorders>
          </w:tcPr>
          <w:p w14:paraId="5DAB94E4"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Et quand Nous indiquâmes </w:t>
            </w:r>
            <w:r w:rsidRPr="007C6A42">
              <w:rPr>
                <w:rFonts w:asciiTheme="majorBidi" w:eastAsia="Times New Roman" w:hAnsiTheme="majorBidi" w:cstheme="majorBidi"/>
                <w:u w:val="single"/>
              </w:rPr>
              <w:t>pour</w:t>
            </w:r>
            <w:r w:rsidRPr="007C6A42">
              <w:rPr>
                <w:rFonts w:asciiTheme="majorBidi" w:eastAsia="Times New Roman" w:hAnsiTheme="majorBidi" w:cstheme="majorBidi"/>
              </w:rPr>
              <w:t xml:space="preserve"> Abraham le lieu de la Maison (La Kaaba)</w:t>
            </w:r>
          </w:p>
        </w:tc>
      </w:tr>
      <w:tr w:rsidR="00A70B78" w:rsidRPr="007C6A42" w14:paraId="31004A4C" w14:textId="77777777" w:rsidTr="00AF4FC9">
        <w:tc>
          <w:tcPr>
            <w:tcW w:w="1276" w:type="dxa"/>
            <w:tcBorders>
              <w:top w:val="single" w:sz="4" w:space="0" w:color="auto"/>
              <w:left w:val="single" w:sz="4" w:space="0" w:color="auto"/>
              <w:bottom w:val="single" w:sz="4" w:space="0" w:color="auto"/>
              <w:right w:val="single" w:sz="4" w:space="0" w:color="auto"/>
            </w:tcBorders>
          </w:tcPr>
          <w:p w14:paraId="1A6F128E"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lang w:bidi="ar-KW"/>
              </w:rPr>
              <w:t>Berque</w:t>
            </w:r>
          </w:p>
        </w:tc>
        <w:tc>
          <w:tcPr>
            <w:tcW w:w="6239" w:type="dxa"/>
            <w:tcBorders>
              <w:top w:val="single" w:sz="4" w:space="0" w:color="auto"/>
              <w:left w:val="single" w:sz="4" w:space="0" w:color="auto"/>
              <w:bottom w:val="single" w:sz="4" w:space="0" w:color="auto"/>
              <w:right w:val="single" w:sz="4" w:space="0" w:color="auto"/>
            </w:tcBorders>
          </w:tcPr>
          <w:p w14:paraId="32278404"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Lors Nous assignâmes </w:t>
            </w:r>
            <w:r w:rsidRPr="007C6A42">
              <w:rPr>
                <w:rFonts w:asciiTheme="majorBidi" w:eastAsia="Calibri" w:hAnsiTheme="majorBidi" w:cstheme="majorBidi"/>
                <w:u w:val="single"/>
                <w:lang w:bidi="ar-AE"/>
              </w:rPr>
              <w:t>à</w:t>
            </w:r>
            <w:r w:rsidRPr="007C6A42">
              <w:rPr>
                <w:rFonts w:asciiTheme="majorBidi" w:eastAsia="Calibri" w:hAnsiTheme="majorBidi" w:cstheme="majorBidi"/>
                <w:lang w:bidi="ar-AE"/>
              </w:rPr>
              <w:t xml:space="preserve"> Abraham l’emplacement de la Maison</w:t>
            </w:r>
          </w:p>
        </w:tc>
      </w:tr>
      <w:tr w:rsidR="00A70B78" w:rsidRPr="007C6A42" w14:paraId="465599BF" w14:textId="77777777" w:rsidTr="00AF4FC9">
        <w:tc>
          <w:tcPr>
            <w:tcW w:w="1276" w:type="dxa"/>
            <w:tcBorders>
              <w:top w:val="single" w:sz="4" w:space="0" w:color="auto"/>
              <w:left w:val="single" w:sz="4" w:space="0" w:color="auto"/>
              <w:bottom w:val="single" w:sz="4" w:space="0" w:color="auto"/>
              <w:right w:val="single" w:sz="4" w:space="0" w:color="auto"/>
            </w:tcBorders>
          </w:tcPr>
          <w:p w14:paraId="732F0BF7" w14:textId="77777777" w:rsidR="00A70B78" w:rsidRPr="00126884" w:rsidRDefault="00A70B78" w:rsidP="00AF4FC9">
            <w:pPr>
              <w:spacing w:line="360" w:lineRule="auto"/>
              <w:jc w:val="both"/>
              <w:rPr>
                <w:rFonts w:asciiTheme="majorBidi" w:eastAsia="Times New Roman" w:hAnsiTheme="majorBidi" w:cstheme="majorBidi"/>
                <w:lang w:bidi="ar-KW"/>
              </w:rPr>
            </w:pPr>
            <w:r w:rsidRPr="00126884">
              <w:rPr>
                <w:rFonts w:asciiTheme="majorBidi" w:eastAsia="Times New Roman" w:hAnsiTheme="majorBidi" w:cstheme="majorBidi"/>
              </w:rPr>
              <w:t>Gues.</w:t>
            </w:r>
          </w:p>
        </w:tc>
        <w:tc>
          <w:tcPr>
            <w:tcW w:w="6239" w:type="dxa"/>
            <w:tcBorders>
              <w:top w:val="single" w:sz="4" w:space="0" w:color="auto"/>
              <w:left w:val="single" w:sz="4" w:space="0" w:color="auto"/>
              <w:bottom w:val="single" w:sz="4" w:space="0" w:color="auto"/>
              <w:right w:val="single" w:sz="4" w:space="0" w:color="auto"/>
            </w:tcBorders>
          </w:tcPr>
          <w:p w14:paraId="6EEAF21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Lorsque Nous indiquâmes à ABRAHAM le lieu de la Maison</w:t>
            </w:r>
          </w:p>
        </w:tc>
      </w:tr>
      <w:tr w:rsidR="00A70B78" w:rsidRPr="007C6A42" w14:paraId="1B419D18" w14:textId="77777777" w:rsidTr="00AF4FC9">
        <w:tc>
          <w:tcPr>
            <w:tcW w:w="1276" w:type="dxa"/>
            <w:tcBorders>
              <w:top w:val="single" w:sz="4" w:space="0" w:color="auto"/>
              <w:left w:val="single" w:sz="4" w:space="0" w:color="auto"/>
              <w:bottom w:val="single" w:sz="4" w:space="0" w:color="auto"/>
              <w:right w:val="single" w:sz="4" w:space="0" w:color="auto"/>
            </w:tcBorders>
          </w:tcPr>
          <w:p w14:paraId="5CF7FBF1" w14:textId="77777777" w:rsidR="00A70B78" w:rsidRPr="00126884" w:rsidRDefault="00A70B78" w:rsidP="00AF4FC9">
            <w:pPr>
              <w:spacing w:line="360" w:lineRule="auto"/>
              <w:jc w:val="both"/>
              <w:rPr>
                <w:rFonts w:asciiTheme="majorBidi" w:eastAsia="Times New Roman" w:hAnsiTheme="majorBidi" w:cstheme="majorBidi"/>
                <w:lang w:bidi="ar-KW"/>
              </w:rPr>
            </w:pPr>
            <w:r w:rsidRPr="00126884">
              <w:rPr>
                <w:rFonts w:asciiTheme="majorBidi" w:eastAsia="Times New Roman" w:hAnsiTheme="majorBidi" w:cstheme="majorBidi"/>
              </w:rPr>
              <w:t>Haf.</w:t>
            </w:r>
          </w:p>
        </w:tc>
        <w:tc>
          <w:tcPr>
            <w:tcW w:w="6239" w:type="dxa"/>
            <w:tcBorders>
              <w:top w:val="single" w:sz="4" w:space="0" w:color="auto"/>
              <w:left w:val="single" w:sz="4" w:space="0" w:color="auto"/>
              <w:bottom w:val="single" w:sz="4" w:space="0" w:color="auto"/>
              <w:right w:val="single" w:sz="4" w:space="0" w:color="auto"/>
            </w:tcBorders>
          </w:tcPr>
          <w:p w14:paraId="3089384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Souviens-toi que Nous avons indiqué </w:t>
            </w:r>
            <w:r w:rsidRPr="007C6A42">
              <w:rPr>
                <w:rFonts w:asciiTheme="majorBidi" w:eastAsia="Times New Roman" w:hAnsiTheme="majorBidi" w:cstheme="majorBidi"/>
                <w:u w:val="single"/>
              </w:rPr>
              <w:t>à</w:t>
            </w:r>
            <w:r w:rsidRPr="007C6A42">
              <w:rPr>
                <w:rFonts w:asciiTheme="majorBidi" w:eastAsia="Times New Roman" w:hAnsiTheme="majorBidi" w:cstheme="majorBidi"/>
              </w:rPr>
              <w:t xml:space="preserve"> Abraham le lieu de la Maison* [*La Kaâba de La Mecque]</w:t>
            </w:r>
          </w:p>
        </w:tc>
      </w:tr>
      <w:tr w:rsidR="00A70B78" w:rsidRPr="007C6A42" w14:paraId="7D67F386" w14:textId="77777777" w:rsidTr="00AF4FC9">
        <w:tc>
          <w:tcPr>
            <w:tcW w:w="1276" w:type="dxa"/>
            <w:tcBorders>
              <w:top w:val="single" w:sz="4" w:space="0" w:color="auto"/>
              <w:left w:val="single" w:sz="4" w:space="0" w:color="auto"/>
              <w:bottom w:val="single" w:sz="4" w:space="0" w:color="auto"/>
              <w:right w:val="single" w:sz="4" w:space="0" w:color="auto"/>
            </w:tcBorders>
          </w:tcPr>
          <w:p w14:paraId="3F346142" w14:textId="77777777" w:rsidR="00A70B78" w:rsidRPr="00126884" w:rsidRDefault="00A70B78" w:rsidP="00AF4FC9">
            <w:pPr>
              <w:spacing w:line="360" w:lineRule="auto"/>
              <w:jc w:val="both"/>
              <w:rPr>
                <w:rFonts w:asciiTheme="majorBidi" w:eastAsia="Times New Roman" w:hAnsiTheme="majorBidi" w:cstheme="majorBidi"/>
                <w:lang w:bidi="ar-KW"/>
              </w:rPr>
            </w:pPr>
            <w:r w:rsidRPr="00126884">
              <w:rPr>
                <w:rFonts w:asciiTheme="majorBidi" w:eastAsia="Times New Roman" w:hAnsiTheme="majorBidi" w:cstheme="majorBidi"/>
              </w:rPr>
              <w:t>Gros.</w:t>
            </w:r>
          </w:p>
        </w:tc>
        <w:tc>
          <w:tcPr>
            <w:tcW w:w="6239" w:type="dxa"/>
            <w:tcBorders>
              <w:top w:val="single" w:sz="4" w:space="0" w:color="auto"/>
              <w:left w:val="single" w:sz="4" w:space="0" w:color="auto"/>
              <w:bottom w:val="single" w:sz="4" w:space="0" w:color="auto"/>
              <w:right w:val="single" w:sz="4" w:space="0" w:color="auto"/>
            </w:tcBorders>
          </w:tcPr>
          <w:p w14:paraId="5783FC0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Quand nous avons établi </w:t>
            </w:r>
            <w:r w:rsidRPr="007C6A42">
              <w:rPr>
                <w:rFonts w:asciiTheme="majorBidi" w:eastAsia="Times New Roman" w:hAnsiTheme="majorBidi" w:cstheme="majorBidi"/>
                <w:u w:val="single"/>
              </w:rPr>
              <w:t>pour</w:t>
            </w:r>
            <w:r w:rsidRPr="007C6A42">
              <w:rPr>
                <w:rFonts w:asciiTheme="majorBidi" w:eastAsia="Times New Roman" w:hAnsiTheme="majorBidi" w:cstheme="majorBidi"/>
              </w:rPr>
              <w:t xml:space="preserve"> Abraham le lieu du temple</w:t>
            </w:r>
          </w:p>
        </w:tc>
      </w:tr>
      <w:tr w:rsidR="00A70B78" w:rsidRPr="007C6A42" w14:paraId="71AE8019" w14:textId="77777777" w:rsidTr="00AF4FC9">
        <w:tc>
          <w:tcPr>
            <w:tcW w:w="1276" w:type="dxa"/>
            <w:tcBorders>
              <w:top w:val="single" w:sz="4" w:space="0" w:color="auto"/>
              <w:left w:val="single" w:sz="4" w:space="0" w:color="auto"/>
              <w:bottom w:val="single" w:sz="4" w:space="0" w:color="auto"/>
              <w:right w:val="single" w:sz="4" w:space="0" w:color="auto"/>
            </w:tcBorders>
          </w:tcPr>
          <w:p w14:paraId="17F6663A"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Chiad.</w:t>
            </w:r>
          </w:p>
        </w:tc>
        <w:tc>
          <w:tcPr>
            <w:tcW w:w="6239" w:type="dxa"/>
            <w:tcBorders>
              <w:top w:val="single" w:sz="4" w:space="0" w:color="auto"/>
              <w:left w:val="single" w:sz="4" w:space="0" w:color="auto"/>
              <w:bottom w:val="single" w:sz="4" w:space="0" w:color="auto"/>
              <w:right w:val="single" w:sz="4" w:space="0" w:color="auto"/>
            </w:tcBorders>
          </w:tcPr>
          <w:p w14:paraId="62BC6D00"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Rappelle-toi que, lorsque Nous avons installé Abraham sur l’emplacement du Temple* [*Le prophète Ibrâhîm (Abraham) est le fondateur de la Ka’ba : voir notamment 14/35-41. Selon la Tradition, la Ka’ba fut construite par les anges pour Adam. Ibrâhîm la reconstruit après qu’elle eut disparu à la suite du déluge.]</w:t>
            </w:r>
          </w:p>
        </w:tc>
      </w:tr>
      <w:tr w:rsidR="00A70B78" w:rsidRPr="007C6A42" w14:paraId="5B48C58F" w14:textId="77777777" w:rsidTr="00AF4FC9">
        <w:tc>
          <w:tcPr>
            <w:tcW w:w="1276" w:type="dxa"/>
            <w:tcBorders>
              <w:top w:val="single" w:sz="4" w:space="0" w:color="auto"/>
              <w:left w:val="single" w:sz="4" w:space="0" w:color="auto"/>
              <w:bottom w:val="single" w:sz="4" w:space="0" w:color="auto"/>
              <w:right w:val="single" w:sz="4" w:space="0" w:color="auto"/>
            </w:tcBorders>
          </w:tcPr>
          <w:p w14:paraId="4E753CE3"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B. M.</w:t>
            </w:r>
          </w:p>
        </w:tc>
        <w:tc>
          <w:tcPr>
            <w:tcW w:w="6239" w:type="dxa"/>
            <w:tcBorders>
              <w:top w:val="single" w:sz="4" w:space="0" w:color="auto"/>
              <w:left w:val="single" w:sz="4" w:space="0" w:color="auto"/>
              <w:bottom w:val="single" w:sz="4" w:space="0" w:color="auto"/>
              <w:right w:val="single" w:sz="4" w:space="0" w:color="auto"/>
            </w:tcBorders>
          </w:tcPr>
          <w:p w14:paraId="02ADA96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Lorsque nous avons indiqué </w:t>
            </w:r>
            <w:r w:rsidRPr="007C6A42">
              <w:rPr>
                <w:rFonts w:asciiTheme="majorBidi" w:eastAsia="Times New Roman" w:hAnsiTheme="majorBidi" w:cstheme="majorBidi"/>
                <w:u w:val="single"/>
              </w:rPr>
              <w:t>à</w:t>
            </w:r>
            <w:r w:rsidRPr="007C6A42">
              <w:rPr>
                <w:rFonts w:asciiTheme="majorBidi" w:eastAsia="Times New Roman" w:hAnsiTheme="majorBidi" w:cstheme="majorBidi"/>
              </w:rPr>
              <w:t xml:space="preserve"> Abraham l’emplacement du Temple</w:t>
            </w:r>
          </w:p>
        </w:tc>
      </w:tr>
      <w:tr w:rsidR="00A70B78" w:rsidRPr="007C6A42" w14:paraId="244A1A40" w14:textId="77777777" w:rsidTr="00AF4FC9">
        <w:tc>
          <w:tcPr>
            <w:tcW w:w="1276" w:type="dxa"/>
            <w:tcBorders>
              <w:top w:val="single" w:sz="4" w:space="0" w:color="auto"/>
              <w:left w:val="single" w:sz="4" w:space="0" w:color="auto"/>
              <w:bottom w:val="single" w:sz="4" w:space="0" w:color="auto"/>
              <w:right w:val="single" w:sz="4" w:space="0" w:color="auto"/>
            </w:tcBorders>
          </w:tcPr>
          <w:p w14:paraId="11CFE36F"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Cheb.</w:t>
            </w:r>
          </w:p>
        </w:tc>
        <w:tc>
          <w:tcPr>
            <w:tcW w:w="6239" w:type="dxa"/>
            <w:tcBorders>
              <w:top w:val="single" w:sz="4" w:space="0" w:color="auto"/>
              <w:left w:val="single" w:sz="4" w:space="0" w:color="auto"/>
              <w:bottom w:val="single" w:sz="4" w:space="0" w:color="auto"/>
              <w:right w:val="single" w:sz="4" w:space="0" w:color="auto"/>
            </w:tcBorders>
          </w:tcPr>
          <w:p w14:paraId="6F54D3B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avons assigné</w:t>
            </w:r>
            <w:r w:rsidRPr="007C6A42">
              <w:rPr>
                <w:rFonts w:asciiTheme="majorBidi" w:eastAsia="Times New Roman" w:hAnsiTheme="majorBidi" w:cstheme="majorBidi"/>
                <w:u w:val="single"/>
              </w:rPr>
              <w:t xml:space="preserve"> à</w:t>
            </w:r>
            <w:r w:rsidRPr="007C6A42">
              <w:rPr>
                <w:rFonts w:asciiTheme="majorBidi" w:eastAsia="Times New Roman" w:hAnsiTheme="majorBidi" w:cstheme="majorBidi"/>
              </w:rPr>
              <w:t xml:space="preserve"> Abraham un lieu précis de la Maison sacrée</w:t>
            </w:r>
          </w:p>
        </w:tc>
      </w:tr>
      <w:tr w:rsidR="00A70B78" w:rsidRPr="007C6A42" w14:paraId="197036CB" w14:textId="77777777" w:rsidTr="00AF4FC9">
        <w:tc>
          <w:tcPr>
            <w:tcW w:w="1276" w:type="dxa"/>
            <w:tcBorders>
              <w:top w:val="single" w:sz="4" w:space="0" w:color="auto"/>
              <w:left w:val="single" w:sz="4" w:space="0" w:color="auto"/>
              <w:bottom w:val="single" w:sz="4" w:space="0" w:color="auto"/>
              <w:right w:val="single" w:sz="4" w:space="0" w:color="auto"/>
            </w:tcBorders>
          </w:tcPr>
          <w:p w14:paraId="49DDC0EC" w14:textId="235E65D9"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rPr>
              <w:t>Abd</w:t>
            </w:r>
            <w:r w:rsidR="00126884" w:rsidRPr="00126884">
              <w:rPr>
                <w:rFonts w:asciiTheme="majorBidi" w:eastAsia="Times New Roman" w:hAnsiTheme="majorBidi" w:cstheme="majorBidi"/>
              </w:rPr>
              <w:t>el.</w:t>
            </w:r>
          </w:p>
        </w:tc>
        <w:tc>
          <w:tcPr>
            <w:tcW w:w="6239" w:type="dxa"/>
            <w:tcBorders>
              <w:top w:val="single" w:sz="4" w:space="0" w:color="auto"/>
              <w:left w:val="single" w:sz="4" w:space="0" w:color="auto"/>
              <w:bottom w:val="single" w:sz="4" w:space="0" w:color="auto"/>
              <w:right w:val="single" w:sz="4" w:space="0" w:color="auto"/>
            </w:tcBorders>
          </w:tcPr>
          <w:p w14:paraId="5B3EF6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Et lorsque Nous Désignâmes </w:t>
            </w:r>
            <w:r w:rsidRPr="007C6A42">
              <w:rPr>
                <w:rFonts w:asciiTheme="majorBidi" w:eastAsia="Times New Roman" w:hAnsiTheme="majorBidi" w:cstheme="majorBidi"/>
                <w:u w:val="single"/>
              </w:rPr>
              <w:t>à</w:t>
            </w:r>
            <w:r w:rsidRPr="007C6A42">
              <w:rPr>
                <w:rFonts w:asciiTheme="majorBidi" w:eastAsia="Times New Roman" w:hAnsiTheme="majorBidi" w:cstheme="majorBidi"/>
              </w:rPr>
              <w:t xml:space="preserve"> Abraham l’emplacement de la Maison</w:t>
            </w:r>
          </w:p>
        </w:tc>
      </w:tr>
      <w:tr w:rsidR="00A70B78" w:rsidRPr="007C6A42" w14:paraId="6D06E7F6" w14:textId="77777777" w:rsidTr="00AF4FC9">
        <w:tc>
          <w:tcPr>
            <w:tcW w:w="1276" w:type="dxa"/>
            <w:tcBorders>
              <w:top w:val="single" w:sz="4" w:space="0" w:color="auto"/>
              <w:left w:val="single" w:sz="4" w:space="0" w:color="auto"/>
              <w:bottom w:val="single" w:sz="4" w:space="0" w:color="auto"/>
              <w:right w:val="single" w:sz="4" w:space="0" w:color="auto"/>
            </w:tcBorders>
          </w:tcPr>
          <w:p w14:paraId="00F2C698" w14:textId="77777777" w:rsidR="00A70B78" w:rsidRPr="00126884" w:rsidRDefault="00A70B78" w:rsidP="00AF4FC9">
            <w:pPr>
              <w:spacing w:line="360" w:lineRule="auto"/>
              <w:jc w:val="both"/>
              <w:rPr>
                <w:rFonts w:asciiTheme="majorBidi" w:eastAsia="Times New Roman" w:hAnsiTheme="majorBidi" w:cstheme="majorBidi"/>
              </w:rPr>
            </w:pPr>
            <w:r w:rsidRPr="00126884">
              <w:rPr>
                <w:rFonts w:asciiTheme="majorBidi" w:eastAsia="Times New Roman" w:hAnsiTheme="majorBidi" w:cstheme="majorBidi"/>
                <w:lang w:bidi="ar-KW"/>
              </w:rPr>
              <w:lastRenderedPageBreak/>
              <w:t>Ald.</w:t>
            </w:r>
          </w:p>
        </w:tc>
        <w:tc>
          <w:tcPr>
            <w:tcW w:w="6239" w:type="dxa"/>
            <w:tcBorders>
              <w:top w:val="single" w:sz="4" w:space="0" w:color="auto"/>
              <w:left w:val="single" w:sz="4" w:space="0" w:color="auto"/>
              <w:bottom w:val="single" w:sz="4" w:space="0" w:color="auto"/>
              <w:right w:val="single" w:sz="4" w:space="0" w:color="auto"/>
            </w:tcBorders>
          </w:tcPr>
          <w:p w14:paraId="7CB9553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En ce temps-là, nous avons établi Abraham à l’endroit de la Maison</w:t>
            </w:r>
          </w:p>
        </w:tc>
      </w:tr>
    </w:tbl>
    <w:p w14:paraId="3CFDAA99"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6A868E84"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Le verbe </w:t>
      </w:r>
      <w:r w:rsidRPr="007C6A42">
        <w:rPr>
          <w:rFonts w:asciiTheme="majorBidi" w:eastAsia="Times New Roman" w:hAnsiTheme="majorBidi" w:cstheme="majorBidi"/>
          <w:i/>
          <w:iCs/>
        </w:rPr>
        <w:t>bawwaʾa</w:t>
      </w:r>
      <w:r w:rsidRPr="007C6A42">
        <w:rPr>
          <w:rFonts w:asciiTheme="majorBidi" w:eastAsia="Times New Roman" w:hAnsiTheme="majorBidi" w:cstheme="majorBidi"/>
        </w:rPr>
        <w:t xml:space="preserve"> [installer, assigner] est un verbe doublement transitif. Mais </w:t>
      </w:r>
      <w:r w:rsidRPr="007C6A42">
        <w:rPr>
          <w:rFonts w:asciiTheme="majorBidi" w:eastAsia="Times New Roman" w:hAnsiTheme="majorBidi" w:cstheme="majorBidi"/>
          <w:shd w:val="clear" w:color="auto" w:fill="FFFFFF"/>
          <w:lang w:bidi="ar-KW"/>
        </w:rPr>
        <w:t>dans le verset 26 (</w:t>
      </w:r>
      <w:r w:rsidRPr="007C6A42">
        <w:rPr>
          <w:rFonts w:asciiTheme="majorBidi" w:eastAsia="Times New Roman" w:hAnsiTheme="majorBidi" w:cstheme="majorBidi"/>
        </w:rPr>
        <w:t>« </w:t>
      </w:r>
      <w:r w:rsidRPr="007C6A42">
        <w:rPr>
          <w:rFonts w:asciiTheme="majorBidi" w:eastAsia="Times New Roman" w:hAnsiTheme="majorBidi" w:cstheme="majorBidi"/>
          <w:i/>
          <w:iCs/>
        </w:rPr>
        <w:t xml:space="preserve">bawwaʾnā </w:t>
      </w:r>
      <w:r w:rsidRPr="007C6A42">
        <w:rPr>
          <w:rFonts w:asciiTheme="majorBidi" w:eastAsia="Times New Roman" w:hAnsiTheme="majorBidi" w:cstheme="majorBidi"/>
          <w:b/>
          <w:i/>
        </w:rPr>
        <w:t>li-</w:t>
      </w:r>
      <w:r w:rsidRPr="007C6A42">
        <w:rPr>
          <w:rFonts w:asciiTheme="majorBidi" w:eastAsia="Times New Roman" w:hAnsiTheme="majorBidi" w:cstheme="majorBidi"/>
          <w:i/>
          <w:iCs/>
        </w:rPr>
        <w:t>Ibrāhīma makāna l-bayti</w:t>
      </w:r>
      <w:r w:rsidRPr="007C6A42">
        <w:rPr>
          <w:rFonts w:asciiTheme="majorBidi" w:eastAsia="Times New Roman" w:hAnsiTheme="majorBidi" w:cstheme="majorBidi"/>
        </w:rPr>
        <w:t> »</w:t>
      </w:r>
      <w:r w:rsidRPr="007C6A42">
        <w:rPr>
          <w:rFonts w:asciiTheme="majorBidi" w:eastAsia="Times New Roman" w:hAnsiTheme="majorBidi" w:cstheme="majorBidi"/>
          <w:shd w:val="clear" w:color="auto" w:fill="FFFFFF"/>
          <w:lang w:bidi="ar-KW"/>
        </w:rPr>
        <w:t>)</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Nous assignâmes à Abraham l’emplacement de la Maison</w:t>
      </w:r>
      <w:r w:rsidRPr="007C6A42">
        <w:rPr>
          <w:rFonts w:asciiTheme="majorBidi" w:eastAsia="Times New Roman" w:hAnsiTheme="majorBidi" w:cstheme="majorBidi"/>
        </w:rPr>
        <w:t>]</w:t>
      </w:r>
      <w:r w:rsidRPr="007C6A42">
        <w:rPr>
          <w:rFonts w:asciiTheme="majorBidi" w:eastAsia="Times New Roman" w:hAnsiTheme="majorBidi" w:cstheme="majorBidi"/>
          <w:shd w:val="clear" w:color="auto" w:fill="FFFFFF"/>
          <w:lang w:bidi="ar-KW"/>
        </w:rPr>
        <w:t xml:space="preserve">, il est construit avec la préposition </w:t>
      </w:r>
      <w:r w:rsidRPr="007C6A42">
        <w:rPr>
          <w:rFonts w:asciiTheme="majorBidi" w:eastAsia="Times New Roman" w:hAnsiTheme="majorBidi" w:cstheme="majorBidi"/>
          <w:i/>
          <w:iCs/>
          <w:shd w:val="clear" w:color="auto" w:fill="FFFFFF"/>
          <w:lang w:bidi="ar-KW"/>
        </w:rPr>
        <w:t>li-</w:t>
      </w:r>
      <w:r w:rsidRPr="007C6A42">
        <w:rPr>
          <w:rFonts w:asciiTheme="majorBidi" w:eastAsia="Times New Roman" w:hAnsiTheme="majorBidi" w:cstheme="majorBidi"/>
          <w:shd w:val="clear" w:color="auto" w:fill="FFFFFF"/>
          <w:lang w:bidi="ar-KW"/>
        </w:rPr>
        <w:t xml:space="preserve"> devant le premier complément. Cette préposition </w:t>
      </w:r>
      <w:r w:rsidRPr="007C6A42">
        <w:rPr>
          <w:rFonts w:asciiTheme="majorBidi" w:eastAsia="Times New Roman" w:hAnsiTheme="majorBidi" w:cstheme="majorBidi"/>
        </w:rPr>
        <w:t>peut souligner l’appartenance de la Kaaba à Abraham et le caractère monothéiste des cultes du pèlerinage arabe. Elle est considérée comme un signe de respect et d’hommage (</w:t>
      </w:r>
      <w:r w:rsidRPr="007C6A42">
        <w:rPr>
          <w:rFonts w:asciiTheme="majorBidi" w:eastAsia="Times New Roman" w:hAnsiTheme="majorBidi" w:cstheme="majorBidi"/>
          <w:i/>
          <w:iCs/>
        </w:rPr>
        <w:t>ḍarb min al-ʿināya wa-t-takrīm</w:t>
      </w:r>
      <w:r w:rsidRPr="007C6A42">
        <w:rPr>
          <w:rFonts w:asciiTheme="majorBidi" w:eastAsia="Times New Roman" w:hAnsiTheme="majorBidi" w:cstheme="majorBidi"/>
        </w:rPr>
        <w:t xml:space="preserve"> </w:t>
      </w:r>
      <w:r w:rsidRPr="007C6A42">
        <w:rPr>
          <w:rFonts w:asciiTheme="majorBidi" w:hAnsiTheme="majorBidi" w:cstheme="majorBidi"/>
        </w:rPr>
        <w:t>[</w:t>
      </w:r>
      <w:r w:rsidRPr="007C6A42">
        <w:rPr>
          <w:rFonts w:asciiTheme="majorBidi" w:eastAsia="Times New Roman" w:hAnsiTheme="majorBidi" w:cstheme="majorBidi"/>
        </w:rPr>
        <w:t>une sorte de considération et de d’hommage</w:t>
      </w:r>
      <w:r w:rsidRPr="007C6A42">
        <w:rPr>
          <w:rFonts w:asciiTheme="majorBidi" w:hAnsiTheme="majorBidi" w:cstheme="majorBidi"/>
        </w:rPr>
        <w:t>]</w:t>
      </w:r>
      <w:r w:rsidRPr="007C6A42">
        <w:rPr>
          <w:rStyle w:val="Appelnotedebasdep"/>
          <w:rFonts w:asciiTheme="majorBidi" w:hAnsiTheme="majorBidi" w:cstheme="majorBidi"/>
        </w:rPr>
        <w:footnoteReference w:id="501"/>
      </w:r>
      <w:r w:rsidRPr="007C6A42">
        <w:rPr>
          <w:rFonts w:asciiTheme="majorBidi" w:eastAsia="Times New Roman" w:hAnsiTheme="majorBidi" w:cstheme="majorBidi"/>
        </w:rPr>
        <w:t xml:space="preserve">) pour le grand patriarche des monothéismes. L’usage même de cette préposition a poussé certains exégètes à donner des significations différentes au verbe </w:t>
      </w:r>
      <w:r w:rsidRPr="007C6A42">
        <w:rPr>
          <w:rFonts w:asciiTheme="majorBidi" w:eastAsia="Times New Roman" w:hAnsiTheme="majorBidi" w:cstheme="majorBidi"/>
          <w:i/>
          <w:iCs/>
        </w:rPr>
        <w:t>bawwaʾa</w:t>
      </w:r>
      <w:r w:rsidRPr="007C6A42">
        <w:rPr>
          <w:rFonts w:asciiTheme="majorBidi" w:eastAsia="Times New Roman" w:hAnsiTheme="majorBidi" w:cstheme="majorBidi"/>
        </w:rPr>
        <w:t xml:space="preserve"> comme : « guider », « spécifier comme demeure », « affirmer », « faire connaître comme demeure », « aplanir le terrain », « autoriser de construire », « montrer », « confier », « faire occuper », etc. </w:t>
      </w:r>
    </w:p>
    <w:p w14:paraId="47163D1D" w14:textId="77777777" w:rsidR="00A70B78" w:rsidRPr="007C6A42" w:rsidRDefault="00A70B78" w:rsidP="00A70B78">
      <w:pPr>
        <w:spacing w:line="360" w:lineRule="auto"/>
        <w:jc w:val="both"/>
        <w:rPr>
          <w:rFonts w:asciiTheme="majorBidi" w:eastAsia="Times New Roman" w:hAnsiTheme="majorBidi" w:cstheme="majorBidi"/>
        </w:rPr>
      </w:pPr>
    </w:p>
    <w:p w14:paraId="3B334F3D"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Les traductions réduisent et modifient le champ sémantique du verbe </w:t>
      </w:r>
      <w:r w:rsidRPr="007C6A42">
        <w:rPr>
          <w:rFonts w:asciiTheme="majorBidi" w:eastAsia="Times New Roman" w:hAnsiTheme="majorBidi" w:cstheme="majorBidi"/>
          <w:i/>
          <w:iCs/>
        </w:rPr>
        <w:t>bawwaʾa</w:t>
      </w:r>
      <w:r w:rsidRPr="007C6A42">
        <w:rPr>
          <w:rFonts w:asciiTheme="majorBidi" w:eastAsia="Times New Roman" w:hAnsiTheme="majorBidi" w:cstheme="majorBidi"/>
        </w:rPr>
        <w:t xml:space="preserve"> en le traduisant par : </w:t>
      </w:r>
      <w:r w:rsidRPr="007C6A42">
        <w:rPr>
          <w:rFonts w:asciiTheme="majorBidi" w:eastAsia="Times New Roman" w:hAnsiTheme="majorBidi" w:cstheme="majorBidi"/>
          <w:i/>
          <w:iCs/>
        </w:rPr>
        <w:t>montrer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donner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indiquer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établir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installer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préparer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 xml:space="preserve">assigner </w:t>
      </w:r>
      <w:r w:rsidRPr="007C6A42">
        <w:rPr>
          <w:rFonts w:asciiTheme="majorBidi" w:eastAsia="Times New Roman" w:hAnsiTheme="majorBidi" w:cstheme="majorBidi"/>
        </w:rPr>
        <w:t xml:space="preserve">et </w:t>
      </w:r>
      <w:r w:rsidRPr="007C6A42">
        <w:rPr>
          <w:rFonts w:asciiTheme="majorBidi" w:eastAsia="Times New Roman" w:hAnsiTheme="majorBidi" w:cstheme="majorBidi"/>
          <w:i/>
          <w:iCs/>
        </w:rPr>
        <w:t>désigner </w:t>
      </w:r>
      <w:r w:rsidRPr="007C6A42">
        <w:rPr>
          <w:rFonts w:asciiTheme="majorBidi" w:eastAsia="Times New Roman" w:hAnsiTheme="majorBidi" w:cstheme="majorBidi"/>
        </w:rPr>
        <w:t>; car elles n’ont pas montré les sens de « guider », « spécifier comme demeure », « affirmer », « autoriser », « confier ». Mais elles ont introduit le concept de « donner » comme le montre la préposition « pour » annonçant le bénéficiaire (Abraham).</w:t>
      </w:r>
    </w:p>
    <w:p w14:paraId="3A739880"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7FAE28F5"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 En outre, les traductions ne mettent pas en valeur le lien d’appartenance entre Abraham et la Kaaba. Les verbes « montrer », « indiquer » et « désigner » sont beaucoup moins riches au plan sémantique et phonétique que le verbe arabe </w:t>
      </w:r>
      <w:r w:rsidRPr="007C6A42">
        <w:rPr>
          <w:rFonts w:asciiTheme="majorBidi" w:eastAsia="Times New Roman" w:hAnsiTheme="majorBidi" w:cstheme="majorBidi"/>
          <w:i/>
          <w:iCs/>
        </w:rPr>
        <w:t>bawwaʾa</w:t>
      </w:r>
      <w:r w:rsidRPr="007C6A42">
        <w:rPr>
          <w:rFonts w:asciiTheme="majorBidi" w:eastAsia="Times New Roman" w:hAnsiTheme="majorBidi" w:cstheme="majorBidi"/>
        </w:rPr>
        <w:t xml:space="preserve"> qui contient dans son champ sémantique l’idée de revenir, d’appartenir (</w:t>
      </w:r>
      <w:r w:rsidRPr="007C6A42">
        <w:rPr>
          <w:rFonts w:asciiTheme="majorBidi" w:eastAsia="Times New Roman" w:hAnsiTheme="majorBidi" w:cstheme="majorBidi"/>
          <w:i/>
          <w:iCs/>
        </w:rPr>
        <w:t>bāʾa</w:t>
      </w:r>
      <w:r w:rsidRPr="007C6A42">
        <w:rPr>
          <w:rFonts w:asciiTheme="majorBidi" w:eastAsia="Times New Roman" w:hAnsiTheme="majorBidi" w:cstheme="majorBidi"/>
        </w:rPr>
        <w:t>) et d’avoir une autorité sur une place (</w:t>
      </w:r>
      <w:r w:rsidRPr="007C6A42">
        <w:rPr>
          <w:rFonts w:asciiTheme="majorBidi" w:eastAsia="Times New Roman" w:hAnsiTheme="majorBidi" w:cstheme="majorBidi"/>
          <w:i/>
          <w:iCs/>
        </w:rPr>
        <w:t>tabawwaʾa</w:t>
      </w:r>
      <w:r w:rsidRPr="007C6A42">
        <w:rPr>
          <w:rFonts w:asciiTheme="majorBidi" w:eastAsia="Times New Roman" w:hAnsiTheme="majorBidi" w:cstheme="majorBidi"/>
        </w:rPr>
        <w:t>).</w:t>
      </w:r>
    </w:p>
    <w:p w14:paraId="576643A0" w14:textId="77777777" w:rsidR="00A70B78" w:rsidRPr="007C6A42" w:rsidRDefault="00A70B78" w:rsidP="00A70B78">
      <w:pPr>
        <w:spacing w:line="360" w:lineRule="auto"/>
        <w:jc w:val="both"/>
        <w:rPr>
          <w:rFonts w:asciiTheme="majorBidi" w:eastAsia="Times New Roman" w:hAnsiTheme="majorBidi" w:cstheme="majorBidi"/>
        </w:rPr>
      </w:pPr>
    </w:p>
    <w:p w14:paraId="093D3E73"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D’autres traductions essayent de donner la valeur de la préposition arabe </w:t>
      </w:r>
      <w:r w:rsidRPr="007C6A42">
        <w:rPr>
          <w:rFonts w:asciiTheme="majorBidi" w:eastAsia="Times New Roman" w:hAnsiTheme="majorBidi" w:cstheme="majorBidi"/>
          <w:i/>
          <w:iCs/>
        </w:rPr>
        <w:t>li-</w:t>
      </w:r>
      <w:r w:rsidRPr="007C6A42">
        <w:rPr>
          <w:rFonts w:asciiTheme="majorBidi" w:eastAsia="Times New Roman" w:hAnsiTheme="majorBidi" w:cstheme="majorBidi"/>
        </w:rPr>
        <w:t xml:space="preserve"> en la rendant par « pour » (Blachère, Hamidullah, Masson, Chouraqui, Complexe de Médine et Grosjean). Mais aucune traduction ne connote ni l’hommage ni la haute place que peut indiquer le verbe </w:t>
      </w:r>
      <w:r w:rsidRPr="007C6A42">
        <w:rPr>
          <w:rFonts w:asciiTheme="majorBidi" w:eastAsia="Times New Roman" w:hAnsiTheme="majorBidi" w:cstheme="majorBidi"/>
        </w:rPr>
        <w:lastRenderedPageBreak/>
        <w:t xml:space="preserve">arabe à la forme </w:t>
      </w:r>
      <w:r w:rsidRPr="007C6A42">
        <w:rPr>
          <w:rFonts w:asciiTheme="majorBidi" w:eastAsia="Times New Roman" w:hAnsiTheme="majorBidi" w:cstheme="majorBidi"/>
          <w:i/>
        </w:rPr>
        <w:t>tafa</w:t>
      </w:r>
      <w:r w:rsidRPr="007C6A42">
        <w:rPr>
          <w:rFonts w:asciiTheme="majorBidi" w:eastAsia="Times New Roman" w:hAnsiTheme="majorBidi" w:cstheme="majorBidi"/>
          <w:i/>
          <w:iCs/>
        </w:rPr>
        <w:t>ʿʿ</w:t>
      </w:r>
      <w:r w:rsidRPr="007C6A42">
        <w:rPr>
          <w:rFonts w:asciiTheme="majorBidi" w:eastAsia="Times New Roman" w:hAnsiTheme="majorBidi" w:cstheme="majorBidi"/>
          <w:i/>
        </w:rPr>
        <w:t>ala</w:t>
      </w:r>
      <w:r w:rsidRPr="007C6A42">
        <w:rPr>
          <w:rFonts w:asciiTheme="majorBidi" w:eastAsia="Times New Roman" w:hAnsiTheme="majorBidi" w:cstheme="majorBidi"/>
        </w:rPr>
        <w:t>, qui s’utilise pour désigner le fait d’accéder au trône (</w:t>
      </w:r>
      <w:r w:rsidRPr="007C6A42">
        <w:rPr>
          <w:rFonts w:asciiTheme="majorBidi" w:eastAsia="Times New Roman" w:hAnsiTheme="majorBidi" w:cstheme="majorBidi"/>
          <w:i/>
          <w:iCs/>
        </w:rPr>
        <w:t>tabawwaʾa l-ʿarsh</w:t>
      </w:r>
      <w:r w:rsidRPr="007C6A42">
        <w:rPr>
          <w:rFonts w:asciiTheme="majorBidi" w:eastAsia="Times New Roman" w:hAnsiTheme="majorBidi" w:cstheme="majorBidi"/>
        </w:rPr>
        <w:t>).</w:t>
      </w:r>
    </w:p>
    <w:p w14:paraId="0D9175C8"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20602F62"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 xml:space="preserve">De même que les traductions ne montrent ni à travers la prise en compte des réseaux sous-jacents ni en ajoutant une NDT - à l’exception de Chiadmi - que le rituel du pèlerinage musulman (polythéiste à première vue) appartient au fondateur des monothéismes et que par la suite l’islam constitue la continuité et l’héritier légitime du judaïsme et du christianisme. L’idée que le culte du pèlerinage islamique appartient à Abraham est selon les exégètes sous-entendue par le texte-source surtout à travers le choix du verbe doublement transitif </w:t>
      </w:r>
      <w:r w:rsidRPr="007C6A42">
        <w:rPr>
          <w:rFonts w:asciiTheme="majorBidi" w:eastAsia="Times New Roman" w:hAnsiTheme="majorBidi" w:cstheme="majorBidi"/>
          <w:i/>
          <w:iCs/>
        </w:rPr>
        <w:t>bawwaʾa</w:t>
      </w:r>
      <w:r w:rsidRPr="007C6A42">
        <w:rPr>
          <w:rFonts w:asciiTheme="majorBidi" w:eastAsia="Times New Roman" w:hAnsiTheme="majorBidi" w:cstheme="majorBidi"/>
        </w:rPr>
        <w:t xml:space="preserve"> et l’ajout de la préposition </w:t>
      </w:r>
      <w:r w:rsidRPr="007C6A42">
        <w:rPr>
          <w:rFonts w:asciiTheme="majorBidi" w:eastAsia="Times New Roman" w:hAnsiTheme="majorBidi" w:cstheme="majorBidi"/>
          <w:i/>
          <w:iCs/>
          <w:shd w:val="clear" w:color="auto" w:fill="FFFFFF"/>
          <w:lang w:bidi="ar-KW"/>
        </w:rPr>
        <w:t>li-</w:t>
      </w:r>
      <w:r w:rsidRPr="007C6A42">
        <w:rPr>
          <w:rFonts w:asciiTheme="majorBidi" w:eastAsia="Times New Roman" w:hAnsiTheme="majorBidi" w:cstheme="majorBidi"/>
          <w:shd w:val="clear" w:color="auto" w:fill="FFFFFF"/>
          <w:lang w:bidi="ar-KW"/>
        </w:rPr>
        <w:t xml:space="preserve"> dans son premier COD.</w:t>
      </w:r>
    </w:p>
    <w:p w14:paraId="25067F25"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05487F4B" w14:textId="77777777" w:rsidR="00A70B78" w:rsidRPr="007C6A42" w:rsidRDefault="00A70B78" w:rsidP="00A70B78">
      <w:pPr>
        <w:spacing w:line="360" w:lineRule="auto"/>
        <w:contextualSpacing/>
        <w:jc w:val="both"/>
        <w:rPr>
          <w:rFonts w:asciiTheme="majorBidi" w:eastAsia="Times New Roman" w:hAnsiTheme="majorBidi" w:cstheme="majorBidi"/>
          <w:b/>
          <w:bCs/>
          <w:lang w:bidi="ar-AE"/>
        </w:rPr>
      </w:pPr>
      <w:r w:rsidRPr="007C6A42">
        <w:rPr>
          <w:rFonts w:asciiTheme="majorBidi" w:eastAsia="Times New Roman" w:hAnsiTheme="majorBidi" w:cstheme="majorBidi"/>
          <w:b/>
          <w:bCs/>
          <w:lang w:bidi="ar-AE"/>
        </w:rPr>
        <w:t>La traduction du pronom caché (</w:t>
      </w:r>
      <w:r w:rsidRPr="007C6A42">
        <w:rPr>
          <w:rFonts w:asciiTheme="majorBidi" w:eastAsia="Times New Roman" w:hAnsiTheme="majorBidi" w:cstheme="majorBidi"/>
          <w:b/>
          <w:bCs/>
          <w:i/>
          <w:iCs/>
          <w:lang w:bidi="ar-AE"/>
        </w:rPr>
        <w:t>ḍamīr mustatir</w:t>
      </w:r>
      <w:r w:rsidRPr="007C6A42">
        <w:rPr>
          <w:rFonts w:asciiTheme="majorBidi" w:eastAsia="Times New Roman" w:hAnsiTheme="majorBidi" w:cstheme="majorBidi"/>
          <w:b/>
          <w:bCs/>
          <w:lang w:bidi="ar-AE"/>
        </w:rPr>
        <w:t xml:space="preserve">) du verbe à l’impératif </w:t>
      </w:r>
      <w:r w:rsidRPr="007C6A42">
        <w:rPr>
          <w:rFonts w:asciiTheme="majorBidi" w:eastAsia="Times New Roman" w:hAnsiTheme="majorBidi" w:cstheme="majorBidi"/>
          <w:b/>
          <w:bCs/>
          <w:i/>
          <w:iCs/>
          <w:lang w:bidi="ar-AE"/>
        </w:rPr>
        <w:t>adhdhin</w:t>
      </w:r>
      <w:r w:rsidRPr="007C6A42">
        <w:rPr>
          <w:rFonts w:asciiTheme="majorBidi" w:eastAsia="Times New Roman" w:hAnsiTheme="majorBidi" w:cstheme="majorBidi"/>
          <w:b/>
          <w:bCs/>
          <w:lang w:bidi="ar-AE"/>
        </w:rPr>
        <w:t xml:space="preserve"> (v. 27) :</w:t>
      </w:r>
    </w:p>
    <w:p w14:paraId="49481359" w14:textId="77777777" w:rsidR="00A70B78" w:rsidRPr="007C6A42" w:rsidRDefault="00A70B78" w:rsidP="00A70B78">
      <w:pPr>
        <w:spacing w:line="360" w:lineRule="auto"/>
        <w:ind w:firstLine="708"/>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Toutes les traductions ne montrent pas le sujet du verbe à l’impératif </w:t>
      </w:r>
      <w:r w:rsidRPr="007C6A42">
        <w:rPr>
          <w:rFonts w:asciiTheme="majorBidi" w:eastAsia="Times New Roman" w:hAnsiTheme="majorBidi" w:cstheme="majorBidi"/>
          <w:i/>
          <w:iCs/>
          <w:lang w:bidi="ar-AE"/>
        </w:rPr>
        <w:t>adhdhin</w:t>
      </w:r>
      <w:r w:rsidRPr="007C6A42">
        <w:rPr>
          <w:rFonts w:asciiTheme="majorBidi" w:eastAsia="Times New Roman" w:hAnsiTheme="majorBidi" w:cstheme="majorBidi"/>
          <w:lang w:bidi="ar-AE"/>
        </w:rPr>
        <w:t xml:space="preserve"> (annonce/appelle/proclame/convie/invite). Le sujet des verbes français peut ainsi renvoyer à Abraham ou à Muḥammad. Cependant, les exégètes ont comblé ce vide en disant, pour la grande majorité, que c’est Abraham. Préciser le sujet dans la version française ne semble pas une question importante, alors que c’est essentiel dans l’exégèse arabe, peut-être pour attribuer le culte du pèlerinage au patriarche des religions monothéistes, et mettre ainsi l’islam dans la lignée des </w:t>
      </w:r>
      <w:r w:rsidRPr="007C6A42">
        <w:rPr>
          <w:rFonts w:asciiTheme="majorBidi" w:eastAsia="Times New Roman" w:hAnsiTheme="majorBidi" w:cstheme="majorBidi"/>
          <w:shd w:val="clear" w:color="auto" w:fill="FFFFFF"/>
          <w:lang w:bidi="ar-KW"/>
        </w:rPr>
        <w:t>religions abrahamiques</w:t>
      </w:r>
      <w:r w:rsidRPr="007C6A42">
        <w:rPr>
          <w:rFonts w:asciiTheme="majorBidi" w:eastAsia="Times New Roman" w:hAnsiTheme="majorBidi" w:cstheme="majorBidi"/>
          <w:lang w:bidi="ar-AE"/>
        </w:rPr>
        <w:t>. Les traducteurs n’ont pas précisé le sujet,</w:t>
      </w:r>
      <w:r w:rsidRPr="007C6A42">
        <w:rPr>
          <w:rFonts w:asciiTheme="majorBidi" w:hAnsiTheme="majorBidi" w:cstheme="majorBidi"/>
        </w:rPr>
        <w:t xml:space="preserve"> probablement parce qu’ils tendent désormais vers une traduction littéraliste, sourcière, c’est-à-dire ils veulent se contenter d’un minimum d’explicitation, diminuer la tendance déformante de "clarification" (selon Berman). Même les traductions à vocation prosélyte, comme celle du Complexe de Médine et celle de Zeinab Abdelaziz, n’explicitent pas le sujet.</w:t>
      </w:r>
    </w:p>
    <w:p w14:paraId="6D1B1286"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70FB9532" w14:textId="77760A46" w:rsidR="00A70B78" w:rsidRPr="00126884" w:rsidRDefault="00A70B78" w:rsidP="00126884">
      <w:pPr>
        <w:spacing w:line="360" w:lineRule="auto"/>
        <w:contextualSpacing/>
        <w:jc w:val="both"/>
        <w:rPr>
          <w:rFonts w:asciiTheme="majorBidi" w:eastAsia="Times New Roman" w:hAnsiTheme="majorBidi" w:cstheme="majorBidi"/>
          <w:b/>
          <w:bCs/>
        </w:rPr>
      </w:pPr>
      <w:r w:rsidRPr="007C6A42">
        <w:rPr>
          <w:rFonts w:asciiTheme="majorBidi" w:eastAsia="Times New Roman" w:hAnsiTheme="majorBidi" w:cstheme="majorBidi"/>
          <w:b/>
          <w:bCs/>
        </w:rPr>
        <w:t xml:space="preserve">Traduction de l’adjectif possessif suffixal </w:t>
      </w:r>
      <w:r w:rsidRPr="007C6A42">
        <w:rPr>
          <w:rFonts w:asciiTheme="majorBidi" w:eastAsia="Times New Roman" w:hAnsiTheme="majorBidi" w:cstheme="majorBidi"/>
          <w:b/>
          <w:bCs/>
          <w:i/>
          <w:iCs/>
        </w:rPr>
        <w:t>-ī</w:t>
      </w:r>
      <w:r w:rsidRPr="007C6A42">
        <w:rPr>
          <w:rFonts w:asciiTheme="majorBidi" w:eastAsia="Times New Roman" w:hAnsiTheme="majorBidi" w:cstheme="majorBidi"/>
          <w:b/>
          <w:bCs/>
        </w:rPr>
        <w:t xml:space="preserve"> omis dans le terme </w:t>
      </w:r>
      <w:r w:rsidRPr="007C6A42">
        <w:rPr>
          <w:rFonts w:asciiTheme="majorBidi" w:eastAsia="Times New Roman" w:hAnsiTheme="majorBidi" w:cstheme="majorBidi"/>
          <w:b/>
          <w:bCs/>
          <w:i/>
          <w:iCs/>
        </w:rPr>
        <w:t>nakīr</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b/>
          <w:bCs/>
          <w:i/>
          <w:iCs/>
        </w:rPr>
        <w:t>Mon</w:t>
      </w:r>
      <w:r w:rsidRPr="007C6A42">
        <w:rPr>
          <w:rFonts w:asciiTheme="majorBidi" w:eastAsia="Times New Roman" w:hAnsiTheme="majorBidi" w:cstheme="majorBidi"/>
          <w:b/>
          <w:bCs/>
        </w:rPr>
        <w:t xml:space="preserve"> châtiment] (v. 44)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279E445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E97A2E2" w14:textId="77777777" w:rsidR="00A70B78" w:rsidRPr="007C6A42" w:rsidRDefault="00A70B78" w:rsidP="00AF4FC9">
            <w:pPr>
              <w:spacing w:line="360" w:lineRule="auto"/>
              <w:jc w:val="both"/>
              <w:rPr>
                <w:rFonts w:asciiTheme="majorBidi" w:eastAsia="Times New Roman" w:hAnsiTheme="majorBidi" w:cstheme="majorBidi"/>
                <w:b/>
                <w:bCs/>
              </w:rPr>
            </w:pPr>
          </w:p>
        </w:tc>
        <w:tc>
          <w:tcPr>
            <w:tcW w:w="4580" w:type="dxa"/>
            <w:tcBorders>
              <w:top w:val="single" w:sz="4" w:space="0" w:color="auto"/>
              <w:left w:val="single" w:sz="4" w:space="0" w:color="auto"/>
              <w:bottom w:val="single" w:sz="4" w:space="0" w:color="auto"/>
              <w:right w:val="single" w:sz="4" w:space="0" w:color="auto"/>
            </w:tcBorders>
          </w:tcPr>
          <w:p w14:paraId="1A50C4E5" w14:textId="77777777" w:rsidR="00A70B78" w:rsidRPr="007C6A42" w:rsidRDefault="00A70B78" w:rsidP="00AF4FC9">
            <w:pPr>
              <w:bidi/>
              <w:spacing w:line="360" w:lineRule="auto"/>
              <w:jc w:val="center"/>
              <w:rPr>
                <w:rFonts w:asciiTheme="majorBidi" w:eastAsia="Times New Roman" w:hAnsiTheme="majorBidi" w:cstheme="majorBidi"/>
                <w:color w:val="000000"/>
                <w:shd w:val="clear" w:color="auto" w:fill="FFFFFF"/>
                <w:rtl/>
              </w:rPr>
            </w:pPr>
            <w:r w:rsidRPr="007C6A42">
              <w:rPr>
                <w:rFonts w:asciiTheme="majorBidi" w:eastAsia="Times New Roman" w:hAnsiTheme="majorBidi" w:cstheme="majorBidi"/>
                <w:color w:val="000000"/>
                <w:shd w:val="clear" w:color="auto" w:fill="FFFFFF"/>
                <w:rtl/>
              </w:rPr>
              <w:t>"فكيف كان نَكيرِ" (الحج، ٤٤)</w:t>
            </w:r>
          </w:p>
        </w:tc>
      </w:tr>
      <w:tr w:rsidR="00A70B78" w:rsidRPr="007C6A42" w14:paraId="73FBCEA5" w14:textId="77777777" w:rsidTr="00AF4FC9">
        <w:trPr>
          <w:trHeight w:val="404"/>
          <w:jc w:val="center"/>
        </w:trPr>
        <w:tc>
          <w:tcPr>
            <w:tcW w:w="2024" w:type="dxa"/>
            <w:tcBorders>
              <w:top w:val="single" w:sz="4" w:space="0" w:color="auto"/>
              <w:left w:val="single" w:sz="4" w:space="0" w:color="auto"/>
              <w:bottom w:val="single" w:sz="4" w:space="0" w:color="auto"/>
              <w:right w:val="single" w:sz="4" w:space="0" w:color="auto"/>
            </w:tcBorders>
          </w:tcPr>
          <w:p w14:paraId="7DB1359D"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D.R. (1647)</w:t>
            </w:r>
          </w:p>
        </w:tc>
        <w:tc>
          <w:tcPr>
            <w:tcW w:w="4580" w:type="dxa"/>
            <w:tcBorders>
              <w:top w:val="single" w:sz="4" w:space="0" w:color="auto"/>
              <w:left w:val="single" w:sz="4" w:space="0" w:color="auto"/>
              <w:bottom w:val="single" w:sz="4" w:space="0" w:color="auto"/>
              <w:right w:val="single" w:sz="4" w:space="0" w:color="auto"/>
            </w:tcBorders>
          </w:tcPr>
          <w:p w14:paraId="1262D115" w14:textId="77777777" w:rsidR="00A70B78" w:rsidRPr="007C6A42" w:rsidRDefault="00A70B78" w:rsidP="00AF4FC9">
            <w:pPr>
              <w:spacing w:line="360" w:lineRule="auto"/>
              <w:contextualSpacing/>
              <w:jc w:val="both"/>
              <w:rPr>
                <w:rFonts w:asciiTheme="majorBidi" w:eastAsia="Times New Roman" w:hAnsiTheme="majorBidi" w:cstheme="majorBidi"/>
                <w:shd w:val="clear" w:color="auto" w:fill="FFFFFF"/>
                <w:lang w:bidi="ar-KW"/>
              </w:rPr>
            </w:pPr>
            <w:r w:rsidRPr="007C6A42">
              <w:rPr>
                <w:rFonts w:asciiTheme="majorBidi" w:hAnsiTheme="majorBidi" w:cstheme="majorBidi"/>
              </w:rPr>
              <w:t>il les a chaʃtiez tres-rigoureuʃement.</w:t>
            </w:r>
          </w:p>
        </w:tc>
      </w:tr>
      <w:tr w:rsidR="00A70B78" w:rsidRPr="007C6A42" w14:paraId="5119E93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E337CBD"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38452E9C"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mes fléaux ont été terribles</w:t>
            </w:r>
          </w:p>
        </w:tc>
      </w:tr>
      <w:tr w:rsidR="00A70B78" w:rsidRPr="007C6A42" w14:paraId="5D34C3D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A15CFCE"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61D1FB5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je les ai atteints de mon châtiment. Qu’il a été terrible !</w:t>
            </w:r>
          </w:p>
          <w:p w14:paraId="4FA3E27D" w14:textId="77777777" w:rsidR="00A70B78" w:rsidRPr="007C6A42" w:rsidRDefault="00A70B78" w:rsidP="00AF4FC9">
            <w:pPr>
              <w:spacing w:line="360" w:lineRule="auto"/>
              <w:ind w:right="113"/>
              <w:jc w:val="both"/>
              <w:rPr>
                <w:rFonts w:asciiTheme="majorBidi" w:eastAsia="Times New Roman" w:hAnsiTheme="majorBidi" w:cstheme="majorBidi"/>
                <w:b/>
                <w:bCs/>
              </w:rPr>
            </w:pPr>
          </w:p>
        </w:tc>
      </w:tr>
      <w:tr w:rsidR="00A70B78" w:rsidRPr="007C6A42" w14:paraId="4DD8CF9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C4A785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lastRenderedPageBreak/>
              <w:t>Blach. (1949)</w:t>
            </w:r>
          </w:p>
        </w:tc>
        <w:tc>
          <w:tcPr>
            <w:tcW w:w="4580" w:type="dxa"/>
            <w:tcBorders>
              <w:top w:val="single" w:sz="4" w:space="0" w:color="auto"/>
              <w:left w:val="single" w:sz="4" w:space="0" w:color="auto"/>
              <w:bottom w:val="single" w:sz="4" w:space="0" w:color="auto"/>
              <w:right w:val="single" w:sz="4" w:space="0" w:color="auto"/>
            </w:tcBorders>
          </w:tcPr>
          <w:p w14:paraId="5FF8260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Quelle fut Ma réprobation !</w:t>
            </w:r>
          </w:p>
        </w:tc>
      </w:tr>
      <w:tr w:rsidR="00A70B78" w:rsidRPr="007C6A42" w14:paraId="57E68FF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1A17C6D"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Ghéd. (1957)</w:t>
            </w:r>
          </w:p>
        </w:tc>
        <w:tc>
          <w:tcPr>
            <w:tcW w:w="4580" w:type="dxa"/>
            <w:tcBorders>
              <w:top w:val="single" w:sz="4" w:space="0" w:color="auto"/>
              <w:left w:val="single" w:sz="4" w:space="0" w:color="auto"/>
              <w:bottom w:val="single" w:sz="4" w:space="0" w:color="auto"/>
              <w:right w:val="single" w:sz="4" w:space="0" w:color="auto"/>
            </w:tcBorders>
          </w:tcPr>
          <w:p w14:paraId="7B2F1286"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Quelle ne fut pas Ma réprobation !</w:t>
            </w:r>
          </w:p>
        </w:tc>
      </w:tr>
      <w:tr w:rsidR="00A70B78" w:rsidRPr="007C6A42" w14:paraId="35C28DA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32E0F82"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Hamid (1959)</w:t>
            </w:r>
          </w:p>
        </w:tc>
        <w:tc>
          <w:tcPr>
            <w:tcW w:w="4580" w:type="dxa"/>
            <w:tcBorders>
              <w:top w:val="single" w:sz="4" w:space="0" w:color="auto"/>
              <w:left w:val="single" w:sz="4" w:space="0" w:color="auto"/>
              <w:bottom w:val="single" w:sz="4" w:space="0" w:color="auto"/>
              <w:right w:val="single" w:sz="4" w:space="0" w:color="auto"/>
            </w:tcBorders>
          </w:tcPr>
          <w:p w14:paraId="5915D61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Et quelle réprobation que la Mienne !</w:t>
            </w:r>
          </w:p>
        </w:tc>
      </w:tr>
      <w:tr w:rsidR="00A70B78" w:rsidRPr="007C6A42" w14:paraId="18B8CD9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3C188C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B. M. (1962)</w:t>
            </w:r>
          </w:p>
        </w:tc>
        <w:tc>
          <w:tcPr>
            <w:tcW w:w="4580" w:type="dxa"/>
            <w:tcBorders>
              <w:top w:val="single" w:sz="4" w:space="0" w:color="auto"/>
              <w:left w:val="single" w:sz="4" w:space="0" w:color="auto"/>
              <w:bottom w:val="single" w:sz="4" w:space="0" w:color="auto"/>
              <w:right w:val="single" w:sz="4" w:space="0" w:color="auto"/>
            </w:tcBorders>
          </w:tcPr>
          <w:p w14:paraId="32A901D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Mon châtiment a été implacable.</w:t>
            </w:r>
          </w:p>
        </w:tc>
      </w:tr>
      <w:tr w:rsidR="00A70B78" w:rsidRPr="007C6A42" w14:paraId="776A266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4B38840"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Mass. (1967)</w:t>
            </w:r>
          </w:p>
        </w:tc>
        <w:tc>
          <w:tcPr>
            <w:tcW w:w="4580" w:type="dxa"/>
            <w:tcBorders>
              <w:top w:val="single" w:sz="4" w:space="0" w:color="auto"/>
              <w:left w:val="single" w:sz="4" w:space="0" w:color="auto"/>
              <w:bottom w:val="single" w:sz="4" w:space="0" w:color="auto"/>
              <w:right w:val="single" w:sz="4" w:space="0" w:color="auto"/>
            </w:tcBorders>
          </w:tcPr>
          <w:p w14:paraId="767EBEC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quelle fut ma réprobation !</w:t>
            </w:r>
          </w:p>
        </w:tc>
      </w:tr>
      <w:tr w:rsidR="00A70B78" w:rsidRPr="007C6A42" w14:paraId="155DCAB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50CB6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Gros. (1972)</w:t>
            </w:r>
          </w:p>
        </w:tc>
        <w:tc>
          <w:tcPr>
            <w:tcW w:w="4580" w:type="dxa"/>
            <w:tcBorders>
              <w:top w:val="single" w:sz="4" w:space="0" w:color="auto"/>
              <w:left w:val="single" w:sz="4" w:space="0" w:color="auto"/>
              <w:bottom w:val="single" w:sz="4" w:space="0" w:color="auto"/>
              <w:right w:val="single" w:sz="4" w:space="0" w:color="auto"/>
            </w:tcBorders>
          </w:tcPr>
          <w:p w14:paraId="3C9759D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et quelle réprobation que la mienne !</w:t>
            </w:r>
          </w:p>
        </w:tc>
      </w:tr>
      <w:tr w:rsidR="00A70B78" w:rsidRPr="007C6A42" w14:paraId="565F178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A36D13B"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Chour. (1990)</w:t>
            </w:r>
          </w:p>
        </w:tc>
        <w:tc>
          <w:tcPr>
            <w:tcW w:w="4580" w:type="dxa"/>
            <w:tcBorders>
              <w:top w:val="single" w:sz="4" w:space="0" w:color="auto"/>
              <w:left w:val="single" w:sz="4" w:space="0" w:color="auto"/>
              <w:bottom w:val="single" w:sz="4" w:space="0" w:color="auto"/>
              <w:right w:val="single" w:sz="4" w:space="0" w:color="auto"/>
            </w:tcBorders>
          </w:tcPr>
          <w:p w14:paraId="34059CDA"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ô, quelle est ma réprobation.</w:t>
            </w:r>
          </w:p>
        </w:tc>
      </w:tr>
      <w:tr w:rsidR="00A70B78" w:rsidRPr="007C6A42" w14:paraId="5968B3D6"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1917A3EA"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3AF80F1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et quel n’était pas Mon courroux !</w:t>
            </w:r>
          </w:p>
        </w:tc>
      </w:tr>
      <w:tr w:rsidR="00A70B78" w:rsidRPr="007C6A42" w14:paraId="2113ED9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0C7EC9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Gues. (1999)</w:t>
            </w:r>
          </w:p>
        </w:tc>
        <w:tc>
          <w:tcPr>
            <w:tcW w:w="4580" w:type="dxa"/>
            <w:tcBorders>
              <w:top w:val="single" w:sz="4" w:space="0" w:color="auto"/>
              <w:left w:val="single" w:sz="4" w:space="0" w:color="auto"/>
              <w:bottom w:val="single" w:sz="4" w:space="0" w:color="auto"/>
              <w:right w:val="single" w:sz="4" w:space="0" w:color="auto"/>
            </w:tcBorders>
          </w:tcPr>
          <w:p w14:paraId="30CC1A2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Et leur ai infligé un châtiment sans pitié.</w:t>
            </w:r>
          </w:p>
        </w:tc>
      </w:tr>
      <w:tr w:rsidR="00A70B78" w:rsidRPr="007C6A42" w14:paraId="22EE0C6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48F504B"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5907FFD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Et quel ne fut point alors Ma réprobation !</w:t>
            </w:r>
          </w:p>
        </w:tc>
      </w:tr>
      <w:tr w:rsidR="00A70B78" w:rsidRPr="007C6A42" w14:paraId="043D3C4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15FBC71"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70CD04C7"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Et quelle fut Ma réprobation !</w:t>
            </w:r>
          </w:p>
        </w:tc>
      </w:tr>
      <w:tr w:rsidR="00A70B78" w:rsidRPr="007C6A42" w14:paraId="06DBA26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C3F597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Z. Abdel. (2002)</w:t>
            </w:r>
          </w:p>
        </w:tc>
        <w:tc>
          <w:tcPr>
            <w:tcW w:w="4580" w:type="dxa"/>
            <w:tcBorders>
              <w:top w:val="single" w:sz="4" w:space="0" w:color="auto"/>
              <w:left w:val="single" w:sz="4" w:space="0" w:color="auto"/>
              <w:bottom w:val="single" w:sz="4" w:space="0" w:color="auto"/>
              <w:right w:val="single" w:sz="4" w:space="0" w:color="auto"/>
            </w:tcBorders>
          </w:tcPr>
          <w:p w14:paraId="65584854"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Quelle ne fut alors Ma Réprobation ?</w:t>
            </w:r>
          </w:p>
        </w:tc>
      </w:tr>
      <w:tr w:rsidR="00A70B78" w:rsidRPr="007C6A42" w14:paraId="1871488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2F1DB67"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037AC8AD"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Quelle fut ma réprobation!</w:t>
            </w:r>
          </w:p>
        </w:tc>
      </w:tr>
      <w:tr w:rsidR="00A70B78" w:rsidRPr="007C6A42" w14:paraId="5B326DD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CF9097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Cheb. (2009)</w:t>
            </w:r>
          </w:p>
        </w:tc>
        <w:tc>
          <w:tcPr>
            <w:tcW w:w="4580" w:type="dxa"/>
            <w:tcBorders>
              <w:top w:val="single" w:sz="4" w:space="0" w:color="auto"/>
              <w:left w:val="single" w:sz="4" w:space="0" w:color="auto"/>
              <w:bottom w:val="single" w:sz="4" w:space="0" w:color="auto"/>
              <w:right w:val="single" w:sz="4" w:space="0" w:color="auto"/>
            </w:tcBorders>
          </w:tcPr>
          <w:p w14:paraId="08EBDAB8"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Et de quelle manière !</w:t>
            </w:r>
          </w:p>
        </w:tc>
      </w:tr>
      <w:tr w:rsidR="00A70B78" w:rsidRPr="007C6A42" w14:paraId="4203C8D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8AC4591"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Haf. (2010)</w:t>
            </w:r>
          </w:p>
        </w:tc>
        <w:tc>
          <w:tcPr>
            <w:tcW w:w="4580" w:type="dxa"/>
            <w:tcBorders>
              <w:top w:val="single" w:sz="4" w:space="0" w:color="auto"/>
              <w:left w:val="single" w:sz="4" w:space="0" w:color="auto"/>
              <w:bottom w:val="single" w:sz="4" w:space="0" w:color="auto"/>
              <w:right w:val="single" w:sz="4" w:space="0" w:color="auto"/>
            </w:tcBorders>
          </w:tcPr>
          <w:p w14:paraId="43F5A690"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Quelle fut alors Ma réprobation !</w:t>
            </w:r>
          </w:p>
        </w:tc>
      </w:tr>
    </w:tbl>
    <w:p w14:paraId="263BBFFC"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5D40FA04"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Le sens de </w:t>
      </w:r>
      <w:r w:rsidRPr="007C6A42">
        <w:rPr>
          <w:rFonts w:asciiTheme="majorBidi" w:eastAsia="Times New Roman" w:hAnsiTheme="majorBidi" w:cstheme="majorBidi"/>
        </w:rPr>
        <w:t>la pérennité (</w:t>
      </w:r>
      <w:r w:rsidRPr="007C6A42">
        <w:rPr>
          <w:rFonts w:asciiTheme="majorBidi" w:eastAsia="Times New Roman" w:hAnsiTheme="majorBidi" w:cstheme="majorBidi"/>
          <w:i/>
          <w:iCs/>
        </w:rPr>
        <w:t>al-istimrār</w:t>
      </w:r>
      <w:r w:rsidRPr="007C6A42">
        <w:rPr>
          <w:rFonts w:asciiTheme="majorBidi" w:eastAsia="Times New Roman" w:hAnsiTheme="majorBidi" w:cstheme="majorBidi"/>
        </w:rPr>
        <w:t xml:space="preserve">)  (que certains théologiens ont donné à l’omission du pronom suffixe possessif </w:t>
      </w:r>
      <w:r w:rsidRPr="007C6A42">
        <w:rPr>
          <w:rFonts w:asciiTheme="majorBidi" w:eastAsia="Times New Roman" w:hAnsiTheme="majorBidi" w:cstheme="majorBidi"/>
          <w:i/>
          <w:iCs/>
        </w:rPr>
        <w:t>-ī</w:t>
      </w:r>
      <w:r w:rsidRPr="007C6A42">
        <w:rPr>
          <w:rFonts w:asciiTheme="majorBidi" w:eastAsia="Times New Roman" w:hAnsiTheme="majorBidi" w:cstheme="majorBidi"/>
          <w:vertAlign w:val="superscript"/>
        </w:rPr>
        <w:footnoteReference w:id="502"/>
      </w:r>
      <w:r w:rsidRPr="007C6A42">
        <w:rPr>
          <w:rFonts w:asciiTheme="majorBidi" w:eastAsia="Times New Roman" w:hAnsiTheme="majorBidi" w:cstheme="majorBidi"/>
        </w:rPr>
        <w:t xml:space="preserve">) et l’allitération ne sont rendus par aucune traduction. Guessous est celui qui s’en approche le plus, en omettant le sujet du verbe et en jouant sur une assonance, mais au prix d’une traduction plus libre (« châtiment sans pitié » pour </w:t>
      </w:r>
      <w:r w:rsidRPr="007C6A42">
        <w:rPr>
          <w:rFonts w:asciiTheme="majorBidi" w:eastAsia="Times New Roman" w:hAnsiTheme="majorBidi" w:cstheme="majorBidi"/>
          <w:i/>
          <w:iCs/>
        </w:rPr>
        <w:t xml:space="preserve">nakīr </w:t>
      </w:r>
      <w:r w:rsidRPr="007C6A42">
        <w:rPr>
          <w:rFonts w:asciiTheme="majorBidi" w:eastAsia="Times New Roman" w:hAnsiTheme="majorBidi" w:cstheme="majorBidi"/>
        </w:rPr>
        <w:t>[réprobation]). Quinze traductions ont restitué le possessif du locuteur. Certains traducteurs ont mis la première lettre du possessif en majuscule pour désigner Dieu (Blachère, Ghédira, Hamidullah, Ben Mahmoud, Berque, Chiadmi, Complexe de Médine, Abdelaziz et Hafiane). D’autres l’ont écrit en minuscule (Savary, Kazimirski, Masson, Grosjean, Chouraqui et Aldeeb). Les trois qui n’ont pas traduit le pronom omis (Du Ryer, Guessous et Chebel) ont donné une traduction adaptée.</w:t>
      </w:r>
    </w:p>
    <w:p w14:paraId="20C452A2"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26A2C8E6"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L’usage des majuscules dans les adjectifs et les pronoms qui renvoient à Dieu, usage qui est propre aux langues européennes, ne correspond à rien dans un texte écrit en langue arabe qui </w:t>
      </w:r>
      <w:r w:rsidRPr="007C6A42">
        <w:rPr>
          <w:rFonts w:asciiTheme="majorBidi" w:eastAsia="Times New Roman" w:hAnsiTheme="majorBidi" w:cstheme="majorBidi"/>
        </w:rPr>
        <w:lastRenderedPageBreak/>
        <w:t>ne connaît pas les majuscules. Dans ce sens, écrire en majuscule la première lettre d’un adjectif ou d’un pronom renvoyant à Dieu est un ajout, une modification. En français, en plus des titres et des débuts des phrases, ce sont les noms propres qui prennent une majuscule car ils se réfèrent à quelqu’un ou quelque chose en particulier. Cependant, les adjectifs (sauf ceux utilisés comme surnoms) et les pronoms renvoyant à Dieu sont communs et doivent prendre des minuscules. Aussi quelques traductions de la Bible n’ont-ils pas utilisé les majuscules dans les adjectifs et pronoms renvoyant à Dieu.</w:t>
      </w:r>
      <w:r w:rsidRPr="007C6A42">
        <w:rPr>
          <w:rStyle w:val="Appelnotedebasdep"/>
          <w:rFonts w:asciiTheme="majorBidi" w:hAnsiTheme="majorBidi" w:cstheme="majorBidi"/>
        </w:rPr>
        <w:footnoteReference w:id="503"/>
      </w:r>
      <w:r w:rsidRPr="007C6A42">
        <w:rPr>
          <w:rFonts w:asciiTheme="majorBidi" w:eastAsia="Times New Roman" w:hAnsiTheme="majorBidi" w:cstheme="majorBidi"/>
        </w:rPr>
        <w:t xml:space="preserve"> Sans oublier qu’en français, </w:t>
      </w:r>
      <w:r w:rsidRPr="007C6A42">
        <w:rPr>
          <w:rFonts w:asciiTheme="majorBidi" w:hAnsiTheme="majorBidi" w:cstheme="majorBidi"/>
        </w:rPr>
        <w:t>mettre une majuscule aux adjectifs et pronoms se rapportant à Dieu est un usage assez fréquent dans les textes religieux en général.</w:t>
      </w:r>
    </w:p>
    <w:p w14:paraId="4E01F44C"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rtl/>
        </w:rPr>
      </w:pPr>
    </w:p>
    <w:p w14:paraId="3C05F228" w14:textId="77777777" w:rsidR="00A70B78" w:rsidRPr="007C6A42" w:rsidRDefault="00A70B78" w:rsidP="00A70B78">
      <w:pPr>
        <w:spacing w:line="360" w:lineRule="auto"/>
        <w:contextualSpacing/>
        <w:jc w:val="both"/>
        <w:outlineLvl w:val="0"/>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 xml:space="preserve">Traduction de </w:t>
      </w:r>
      <w:r w:rsidRPr="007C6A42">
        <w:rPr>
          <w:rFonts w:asciiTheme="majorBidi" w:eastAsia="Times New Roman" w:hAnsiTheme="majorBidi" w:cstheme="majorBidi"/>
          <w:b/>
          <w:bCs/>
          <w:i/>
          <w:iCs/>
          <w:shd w:val="clear" w:color="auto" w:fill="FFFFFF"/>
          <w:lang w:bidi="ar-KW"/>
        </w:rPr>
        <w:t>wa-hiya</w:t>
      </w:r>
      <w:r w:rsidRPr="007C6A42">
        <w:rPr>
          <w:rFonts w:asciiTheme="majorBidi" w:eastAsia="Times New Roman" w:hAnsiTheme="majorBidi" w:cstheme="majorBidi"/>
          <w:b/>
          <w:bCs/>
          <w:shd w:val="clear" w:color="auto" w:fill="FFFFFF"/>
          <w:lang w:bidi="ar-KW"/>
        </w:rPr>
        <w:t xml:space="preserve"> (v. 45 &amp; 48) :</w:t>
      </w:r>
    </w:p>
    <w:p w14:paraId="4B27CD9C" w14:textId="7B218B5B" w:rsidR="00A70B78" w:rsidRPr="007C6A42" w:rsidRDefault="00A70B78" w:rsidP="00A70B78">
      <w:pPr>
        <w:spacing w:line="360" w:lineRule="auto"/>
        <w:ind w:firstLine="708"/>
        <w:jc w:val="both"/>
        <w:rPr>
          <w:rFonts w:asciiTheme="majorBidi" w:eastAsia="Times New Roman" w:hAnsiTheme="majorBidi" w:cstheme="majorBidi"/>
          <w:rtl/>
        </w:rPr>
      </w:pPr>
      <w:r w:rsidRPr="007C6A42">
        <w:rPr>
          <w:rFonts w:asciiTheme="majorBidi" w:hAnsiTheme="majorBidi" w:cstheme="majorBidi"/>
        </w:rPr>
        <w:t xml:space="preserve">Nous avons vu que les exégètes ont expliqué </w:t>
      </w:r>
      <w:r w:rsidRPr="007C6A42">
        <w:rPr>
          <w:rFonts w:asciiTheme="majorBidi" w:eastAsia="Times New Roman" w:hAnsiTheme="majorBidi" w:cstheme="majorBidi"/>
          <w:i/>
          <w:iCs/>
          <w:shd w:val="clear" w:color="auto" w:fill="FFFFFF"/>
          <w:lang w:bidi="ar-KW"/>
        </w:rPr>
        <w:t>wa-hiya</w:t>
      </w:r>
      <w:r w:rsidRPr="007C6A42">
        <w:rPr>
          <w:rFonts w:asciiTheme="majorBidi" w:eastAsia="Times New Roman" w:hAnsiTheme="majorBidi" w:cstheme="majorBidi"/>
          <w:shd w:val="clear" w:color="auto" w:fill="FFFFFF"/>
          <w:lang w:bidi="ar-KW"/>
        </w:rPr>
        <w:t xml:space="preserve"> par : </w:t>
      </w:r>
      <w:r w:rsidRPr="007C6A42">
        <w:rPr>
          <w:rFonts w:asciiTheme="majorBidi" w:eastAsia="Times New Roman" w:hAnsiTheme="majorBidi" w:cstheme="majorBidi"/>
          <w:i/>
          <w:iCs/>
          <w:shd w:val="clear" w:color="auto" w:fill="FFFFFF"/>
          <w:lang w:bidi="ar-KW"/>
        </w:rPr>
        <w:t>alors que/lorsque </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à cause de </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parce que </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par/pour </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malgré/bien que</w:t>
      </w:r>
      <w:r w:rsidRPr="007C6A42">
        <w:rPr>
          <w:rFonts w:asciiTheme="majorBidi" w:eastAsia="Times New Roman" w:hAnsiTheme="majorBidi" w:cstheme="majorBidi"/>
          <w:shd w:val="clear" w:color="auto" w:fill="FFFFFF"/>
          <w:lang w:bidi="ar-KW"/>
        </w:rPr>
        <w:t>.</w:t>
      </w:r>
      <w:r w:rsidR="002B1234">
        <w:rPr>
          <w:rFonts w:asciiTheme="majorBidi" w:eastAsia="Times New Roman" w:hAnsiTheme="majorBidi" w:cstheme="majorBidi"/>
        </w:rPr>
        <w:t xml:space="preserve"> L’ensemble des traductions a</w:t>
      </w:r>
      <w:r w:rsidRPr="007C6A42">
        <w:rPr>
          <w:rFonts w:asciiTheme="majorBidi" w:eastAsia="Times New Roman" w:hAnsiTheme="majorBidi" w:cstheme="majorBidi"/>
        </w:rPr>
        <w:t xml:space="preserve"> bien reflété les significations exégétiques.</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74D23DD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107B4C9"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traducteur</w:t>
            </w:r>
          </w:p>
        </w:tc>
        <w:tc>
          <w:tcPr>
            <w:tcW w:w="4580" w:type="dxa"/>
            <w:tcBorders>
              <w:top w:val="single" w:sz="4" w:space="0" w:color="auto"/>
              <w:left w:val="single" w:sz="4" w:space="0" w:color="auto"/>
              <w:bottom w:val="single" w:sz="4" w:space="0" w:color="auto"/>
              <w:right w:val="single" w:sz="4" w:space="0" w:color="auto"/>
            </w:tcBorders>
          </w:tcPr>
          <w:p w14:paraId="2FAF5811" w14:textId="77777777" w:rsidR="00A70B78" w:rsidRPr="007C6A42" w:rsidRDefault="00A70B78" w:rsidP="00AF4FC9">
            <w:pPr>
              <w:spacing w:line="360" w:lineRule="auto"/>
              <w:rPr>
                <w:rFonts w:asciiTheme="majorBidi" w:eastAsia="Times New Roman" w:hAnsiTheme="majorBidi" w:cstheme="majorBidi"/>
                <w:b/>
                <w:bCs/>
                <w:rtl/>
              </w:rPr>
            </w:pPr>
            <w:r w:rsidRPr="007C6A42">
              <w:rPr>
                <w:rFonts w:asciiTheme="majorBidi" w:eastAsia="Times New Roman" w:hAnsiTheme="majorBidi" w:cstheme="majorBidi"/>
                <w:b/>
                <w:bCs/>
              </w:rPr>
              <w:t xml:space="preserve">Traduction de </w:t>
            </w:r>
            <w:r w:rsidRPr="007C6A42">
              <w:rPr>
                <w:rFonts w:asciiTheme="majorBidi" w:eastAsia="Times New Roman" w:hAnsiTheme="majorBidi" w:cstheme="majorBidi"/>
                <w:b/>
                <w:bCs/>
                <w:shd w:val="clear" w:color="auto" w:fill="FFFFFF"/>
                <w:lang w:bidi="ar-KW"/>
              </w:rPr>
              <w:t>« wa-</w:t>
            </w:r>
            <w:r w:rsidRPr="007C6A42">
              <w:rPr>
                <w:rFonts w:asciiTheme="majorBidi" w:eastAsia="Times New Roman" w:hAnsiTheme="majorBidi" w:cstheme="majorBidi"/>
                <w:b/>
                <w:bCs/>
                <w:i/>
                <w:iCs/>
                <w:u w:val="single"/>
                <w:shd w:val="clear" w:color="auto" w:fill="FFFFFF"/>
                <w:lang w:bidi="ar-KW"/>
              </w:rPr>
              <w:t>hiya</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b/>
                <w:bCs/>
                <w:i/>
                <w:iCs/>
              </w:rPr>
              <w:t>ẓālima</w:t>
            </w:r>
            <w:r w:rsidRPr="007C6A42">
              <w:rPr>
                <w:rFonts w:asciiTheme="majorBidi" w:eastAsia="Times New Roman" w:hAnsiTheme="majorBidi" w:cstheme="majorBidi"/>
                <w:b/>
                <w:bCs/>
              </w:rPr>
              <w:t> » (v. 45 &amp; 48)</w:t>
            </w:r>
          </w:p>
        </w:tc>
      </w:tr>
      <w:tr w:rsidR="00A70B78" w:rsidRPr="007C6A42" w14:paraId="1E28AA91" w14:textId="77777777" w:rsidTr="00AF4FC9">
        <w:trPr>
          <w:trHeight w:val="404"/>
          <w:jc w:val="center"/>
        </w:trPr>
        <w:tc>
          <w:tcPr>
            <w:tcW w:w="2024" w:type="dxa"/>
            <w:tcBorders>
              <w:top w:val="single" w:sz="4" w:space="0" w:color="auto"/>
              <w:left w:val="single" w:sz="4" w:space="0" w:color="auto"/>
              <w:bottom w:val="single" w:sz="4" w:space="0" w:color="auto"/>
              <w:right w:val="single" w:sz="4" w:space="0" w:color="auto"/>
            </w:tcBorders>
          </w:tcPr>
          <w:p w14:paraId="409C689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4B65DEFF" w14:textId="77777777" w:rsidR="00A70B78" w:rsidRPr="007C6A42" w:rsidRDefault="00A70B78" w:rsidP="00AF4FC9">
            <w:pPr>
              <w:spacing w:line="360" w:lineRule="auto"/>
              <w:contextualSpacing/>
              <w:jc w:val="both"/>
              <w:rPr>
                <w:rFonts w:asciiTheme="majorBidi" w:eastAsia="Times New Roman" w:hAnsiTheme="majorBidi" w:cstheme="majorBidi"/>
                <w:shd w:val="clear" w:color="auto" w:fill="FFFFFF"/>
                <w:lang w:bidi="ar-KW"/>
              </w:rPr>
            </w:pPr>
            <w:r w:rsidRPr="007C6A42">
              <w:rPr>
                <w:rFonts w:asciiTheme="majorBidi" w:hAnsiTheme="majorBidi" w:cstheme="majorBidi"/>
                <w:u w:val="single"/>
              </w:rPr>
              <w:t>à cauʃe de</w:t>
            </w:r>
            <w:r w:rsidRPr="007C6A42">
              <w:rPr>
                <w:rFonts w:asciiTheme="majorBidi" w:hAnsiTheme="majorBidi" w:cstheme="majorBidi"/>
              </w:rPr>
              <w:t xml:space="preserve"> leur impieté</w:t>
            </w:r>
          </w:p>
        </w:tc>
      </w:tr>
      <w:tr w:rsidR="00A70B78" w:rsidRPr="007C6A42" w14:paraId="4DB04BB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9242C8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1BCE200D"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hAnsiTheme="majorBidi" w:cstheme="majorBidi"/>
                <w:u w:val="single"/>
              </w:rPr>
              <w:t>[</w:t>
            </w:r>
            <w:r w:rsidRPr="007C6A42">
              <w:rPr>
                <w:rFonts w:asciiTheme="majorBidi" w:eastAsia="Times New Roman" w:hAnsiTheme="majorBidi" w:cstheme="majorBidi"/>
                <w:u w:val="single"/>
              </w:rPr>
              <w:t>ø</w:t>
            </w:r>
            <w:r w:rsidRPr="007C6A42">
              <w:rPr>
                <w:rFonts w:asciiTheme="majorBidi" w:hAnsiTheme="majorBidi" w:cstheme="majorBidi"/>
                <w:u w:val="single"/>
              </w:rPr>
              <w:t>]</w:t>
            </w:r>
            <w:r w:rsidRPr="007C6A42">
              <w:rPr>
                <w:rFonts w:asciiTheme="majorBidi" w:hAnsiTheme="majorBidi" w:cstheme="majorBidi"/>
              </w:rPr>
              <w:t xml:space="preserve"> </w:t>
            </w:r>
            <w:r w:rsidRPr="007C6A42">
              <w:rPr>
                <w:rFonts w:asciiTheme="majorBidi" w:eastAsia="Times New Roman" w:hAnsiTheme="majorBidi" w:cstheme="majorBidi"/>
              </w:rPr>
              <w:t xml:space="preserve">criminelles (45) / </w:t>
            </w:r>
            <w:r w:rsidRPr="007C6A42">
              <w:rPr>
                <w:rFonts w:asciiTheme="majorBidi" w:eastAsia="Times New Roman" w:hAnsiTheme="majorBidi" w:cstheme="majorBidi"/>
                <w:u w:val="single"/>
              </w:rPr>
              <w:t>à l’instant où elles</w:t>
            </w:r>
            <w:r w:rsidRPr="007C6A42">
              <w:rPr>
                <w:rFonts w:asciiTheme="majorBidi" w:eastAsia="Times New Roman" w:hAnsiTheme="majorBidi" w:cstheme="majorBidi"/>
              </w:rPr>
              <w:t xml:space="preserve"> sont devenues coupables (48)</w:t>
            </w:r>
          </w:p>
        </w:tc>
      </w:tr>
      <w:tr w:rsidR="00A70B78" w:rsidRPr="007C6A42" w14:paraId="458EA1A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F569AA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3876EDD4" w14:textId="77777777" w:rsidR="00A70B78" w:rsidRPr="007C6A42" w:rsidRDefault="00A70B78" w:rsidP="00AF4FC9">
            <w:pPr>
              <w:spacing w:line="360" w:lineRule="auto"/>
              <w:ind w:right="113"/>
              <w:jc w:val="both"/>
              <w:rPr>
                <w:rFonts w:asciiTheme="majorBidi" w:eastAsia="Times New Roman" w:hAnsiTheme="majorBidi" w:cstheme="majorBidi"/>
                <w:b/>
                <w:bCs/>
              </w:rPr>
            </w:pPr>
            <w:r w:rsidRPr="007C6A42">
              <w:rPr>
                <w:rFonts w:asciiTheme="majorBidi" w:hAnsiTheme="majorBidi" w:cstheme="majorBidi"/>
                <w:u w:val="single"/>
              </w:rPr>
              <w:t>[</w:t>
            </w:r>
            <w:r w:rsidRPr="007C6A42">
              <w:rPr>
                <w:rFonts w:asciiTheme="majorBidi" w:eastAsia="Times New Roman" w:hAnsiTheme="majorBidi" w:cstheme="majorBidi"/>
                <w:u w:val="single"/>
              </w:rPr>
              <w:t>ø</w:t>
            </w:r>
            <w:r w:rsidRPr="007C6A42">
              <w:rPr>
                <w:rFonts w:asciiTheme="majorBidi" w:hAnsiTheme="majorBidi" w:cstheme="majorBidi"/>
                <w:u w:val="single"/>
              </w:rPr>
              <w:t>]</w:t>
            </w:r>
            <w:r w:rsidRPr="007C6A42">
              <w:rPr>
                <w:rFonts w:asciiTheme="majorBidi" w:hAnsiTheme="majorBidi" w:cstheme="majorBidi"/>
              </w:rPr>
              <w:t xml:space="preserve"> </w:t>
            </w:r>
            <w:r w:rsidRPr="007C6A42">
              <w:rPr>
                <w:rFonts w:asciiTheme="majorBidi" w:eastAsia="Times New Roman" w:hAnsiTheme="majorBidi" w:cstheme="majorBidi"/>
              </w:rPr>
              <w:t>criminelles</w:t>
            </w:r>
          </w:p>
        </w:tc>
      </w:tr>
      <w:tr w:rsidR="00A70B78" w:rsidRPr="007C6A42" w14:paraId="2EDE2ED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BDD448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429A273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u w:val="single"/>
              </w:rPr>
              <w:t>parce qu’</w:t>
            </w:r>
            <w:r w:rsidRPr="007C6A42">
              <w:rPr>
                <w:rFonts w:asciiTheme="majorBidi" w:hAnsiTheme="majorBidi" w:cstheme="majorBidi"/>
              </w:rPr>
              <w:t xml:space="preserve">injustes (45) / </w:t>
            </w:r>
            <w:r w:rsidRPr="007C6A42">
              <w:rPr>
                <w:rFonts w:asciiTheme="majorBidi" w:hAnsiTheme="majorBidi" w:cstheme="majorBidi"/>
                <w:u w:val="single"/>
              </w:rPr>
              <w:t>bien qu’</w:t>
            </w:r>
            <w:r w:rsidRPr="007C6A42">
              <w:rPr>
                <w:rFonts w:asciiTheme="majorBidi" w:hAnsiTheme="majorBidi" w:cstheme="majorBidi"/>
              </w:rPr>
              <w:t>injustes (48)</w:t>
            </w:r>
          </w:p>
        </w:tc>
      </w:tr>
      <w:tr w:rsidR="00A70B78" w:rsidRPr="007C6A42" w14:paraId="24EDBEE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CB8804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6D1DA271"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u w:val="single"/>
              </w:rPr>
              <w:t xml:space="preserve">alors qu’elles étaient </w:t>
            </w:r>
            <w:r w:rsidRPr="007C6A42">
              <w:rPr>
                <w:rFonts w:asciiTheme="majorBidi" w:hAnsiTheme="majorBidi" w:cstheme="majorBidi"/>
              </w:rPr>
              <w:t>injustes</w:t>
            </w:r>
          </w:p>
        </w:tc>
      </w:tr>
      <w:tr w:rsidR="00A70B78" w:rsidRPr="007C6A42" w14:paraId="67C31FC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FC1E63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5CA958D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u w:val="single"/>
              </w:rPr>
              <w:t>parce qu’elles</w:t>
            </w:r>
            <w:r w:rsidRPr="007C6A42">
              <w:rPr>
                <w:rFonts w:asciiTheme="majorBidi" w:hAnsiTheme="majorBidi" w:cstheme="majorBidi"/>
              </w:rPr>
              <w:t xml:space="preserve"> prévariquaient (45) / </w:t>
            </w:r>
            <w:r w:rsidRPr="007C6A42">
              <w:rPr>
                <w:rFonts w:asciiTheme="majorBidi" w:hAnsiTheme="majorBidi" w:cstheme="majorBidi"/>
                <w:u w:val="single"/>
              </w:rPr>
              <w:t>tandis qu’elles</w:t>
            </w:r>
            <w:r w:rsidRPr="007C6A42">
              <w:rPr>
                <w:rFonts w:asciiTheme="majorBidi" w:hAnsiTheme="majorBidi" w:cstheme="majorBidi"/>
              </w:rPr>
              <w:t xml:space="preserve"> prévariquaient (48)</w:t>
            </w:r>
          </w:p>
        </w:tc>
      </w:tr>
      <w:tr w:rsidR="00A70B78" w:rsidRPr="007C6A42" w14:paraId="448C2D2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3A6FB0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77F9C87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u w:val="single"/>
              </w:rPr>
              <w:t>en punition de</w:t>
            </w:r>
            <w:r w:rsidRPr="007C6A42">
              <w:rPr>
                <w:rFonts w:asciiTheme="majorBidi" w:hAnsiTheme="majorBidi" w:cstheme="majorBidi"/>
              </w:rPr>
              <w:t xml:space="preserve"> leurs péchés (45) / </w:t>
            </w:r>
            <w:r w:rsidRPr="007C6A42">
              <w:rPr>
                <w:rFonts w:asciiTheme="majorBidi" w:hAnsiTheme="majorBidi" w:cstheme="majorBidi"/>
                <w:u w:val="single"/>
              </w:rPr>
              <w:t xml:space="preserve">malgré </w:t>
            </w:r>
            <w:r w:rsidRPr="007C6A42">
              <w:rPr>
                <w:rFonts w:asciiTheme="majorBidi" w:hAnsiTheme="majorBidi" w:cstheme="majorBidi"/>
              </w:rPr>
              <w:t>leurs fautes (48)</w:t>
            </w:r>
          </w:p>
        </w:tc>
      </w:tr>
      <w:tr w:rsidR="00A70B78" w:rsidRPr="007C6A42" w14:paraId="3923DD9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0AE478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48F9FB2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u w:val="single"/>
              </w:rPr>
              <w:t>parce qu’elles étaient</w:t>
            </w:r>
            <w:r w:rsidRPr="007C6A42">
              <w:rPr>
                <w:rFonts w:asciiTheme="majorBidi" w:hAnsiTheme="majorBidi" w:cstheme="majorBidi"/>
              </w:rPr>
              <w:t xml:space="preserve"> injustes</w:t>
            </w:r>
          </w:p>
        </w:tc>
      </w:tr>
      <w:tr w:rsidR="00A70B78" w:rsidRPr="007C6A42" w14:paraId="365092A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FF95B20"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0C29AFF9"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u w:val="single"/>
              </w:rPr>
              <w:t>parce qu’elles étaient</w:t>
            </w:r>
            <w:r w:rsidRPr="007C6A42">
              <w:rPr>
                <w:rFonts w:asciiTheme="majorBidi" w:hAnsiTheme="majorBidi" w:cstheme="majorBidi"/>
              </w:rPr>
              <w:t xml:space="preserve"> coupables (45) / </w:t>
            </w:r>
            <w:r w:rsidRPr="007C6A42">
              <w:rPr>
                <w:rFonts w:asciiTheme="majorBidi" w:hAnsiTheme="majorBidi" w:cstheme="majorBidi"/>
                <w:u w:val="single"/>
              </w:rPr>
              <w:t>[</w:t>
            </w:r>
            <w:r w:rsidRPr="007C6A42">
              <w:rPr>
                <w:rFonts w:asciiTheme="majorBidi" w:eastAsia="Times New Roman" w:hAnsiTheme="majorBidi" w:cstheme="majorBidi"/>
                <w:u w:val="single"/>
              </w:rPr>
              <w:t>ø</w:t>
            </w:r>
            <w:r w:rsidRPr="007C6A42">
              <w:rPr>
                <w:rFonts w:asciiTheme="majorBidi" w:hAnsiTheme="majorBidi" w:cstheme="majorBidi"/>
                <w:u w:val="single"/>
              </w:rPr>
              <w:t>]</w:t>
            </w:r>
            <w:r w:rsidRPr="007C6A42">
              <w:rPr>
                <w:rFonts w:asciiTheme="majorBidi" w:hAnsiTheme="majorBidi" w:cstheme="majorBidi"/>
              </w:rPr>
              <w:t xml:space="preserve"> </w:t>
            </w:r>
            <w:r w:rsidRPr="007C6A42">
              <w:rPr>
                <w:rFonts w:asciiTheme="majorBidi" w:hAnsiTheme="majorBidi" w:cstheme="majorBidi"/>
              </w:rPr>
              <w:lastRenderedPageBreak/>
              <w:t>coupables (48)</w:t>
            </w:r>
          </w:p>
        </w:tc>
      </w:tr>
      <w:tr w:rsidR="00A70B78" w:rsidRPr="007C6A42" w14:paraId="3AAA0AB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C1747D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Chour. (1990)</w:t>
            </w:r>
          </w:p>
        </w:tc>
        <w:tc>
          <w:tcPr>
            <w:tcW w:w="4580" w:type="dxa"/>
            <w:tcBorders>
              <w:top w:val="single" w:sz="4" w:space="0" w:color="auto"/>
              <w:left w:val="single" w:sz="4" w:space="0" w:color="auto"/>
              <w:bottom w:val="single" w:sz="4" w:space="0" w:color="auto"/>
              <w:right w:val="single" w:sz="4" w:space="0" w:color="auto"/>
            </w:tcBorders>
          </w:tcPr>
          <w:p w14:paraId="342CEDC2"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u w:val="single"/>
              </w:rPr>
              <w:t>elles,</w:t>
            </w:r>
            <w:r w:rsidRPr="007C6A42">
              <w:rPr>
                <w:rFonts w:asciiTheme="majorBidi" w:eastAsia="Times New Roman" w:hAnsiTheme="majorBidi" w:cstheme="majorBidi"/>
              </w:rPr>
              <w:t xml:space="preserve"> frauduleuses (45) / </w:t>
            </w:r>
            <w:r w:rsidRPr="007C6A42">
              <w:rPr>
                <w:rFonts w:asciiTheme="majorBidi" w:hAnsiTheme="majorBidi" w:cstheme="majorBidi"/>
                <w:u w:val="single"/>
              </w:rPr>
              <w:t>[</w:t>
            </w:r>
            <w:r w:rsidRPr="007C6A42">
              <w:rPr>
                <w:rFonts w:asciiTheme="majorBidi" w:eastAsia="Times New Roman" w:hAnsiTheme="majorBidi" w:cstheme="majorBidi"/>
                <w:u w:val="single"/>
              </w:rPr>
              <w:t>ø</w:t>
            </w:r>
            <w:r w:rsidRPr="007C6A42">
              <w:rPr>
                <w:rFonts w:asciiTheme="majorBidi" w:hAnsiTheme="majorBidi" w:cstheme="majorBidi"/>
                <w:u w:val="single"/>
              </w:rPr>
              <w:t>]</w:t>
            </w:r>
            <w:r w:rsidRPr="007C6A42">
              <w:rPr>
                <w:rFonts w:asciiTheme="majorBidi" w:hAnsiTheme="majorBidi" w:cstheme="majorBidi"/>
              </w:rPr>
              <w:t xml:space="preserve"> </w:t>
            </w:r>
            <w:r w:rsidRPr="007C6A42">
              <w:rPr>
                <w:rFonts w:asciiTheme="majorBidi" w:eastAsia="Times New Roman" w:hAnsiTheme="majorBidi" w:cstheme="majorBidi"/>
              </w:rPr>
              <w:t>frauduleuses (48)</w:t>
            </w:r>
          </w:p>
        </w:tc>
      </w:tr>
      <w:tr w:rsidR="00A70B78" w:rsidRPr="007C6A42" w14:paraId="6AE02CC7"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2869BCC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7B7C4E99"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p</w:t>
            </w:r>
            <w:r w:rsidRPr="007C6A42">
              <w:rPr>
                <w:rFonts w:asciiTheme="majorBidi" w:eastAsia="Calibri" w:hAnsiTheme="majorBidi" w:cstheme="majorBidi"/>
                <w:u w:val="single"/>
                <w:lang w:bidi="ar-AE"/>
              </w:rPr>
              <w:t>our</w:t>
            </w:r>
            <w:r w:rsidRPr="007C6A42">
              <w:rPr>
                <w:rFonts w:asciiTheme="majorBidi" w:eastAsia="Calibri" w:hAnsiTheme="majorBidi" w:cstheme="majorBidi"/>
                <w:lang w:bidi="ar-AE"/>
              </w:rPr>
              <w:t xml:space="preserve"> leur iniquité (45) / </w:t>
            </w:r>
            <w:r w:rsidRPr="007C6A42">
              <w:rPr>
                <w:rFonts w:asciiTheme="majorBidi" w:eastAsia="Calibri" w:hAnsiTheme="majorBidi" w:cstheme="majorBidi"/>
                <w:u w:val="single"/>
                <w:lang w:bidi="ar-AE"/>
              </w:rPr>
              <w:t>malgré</w:t>
            </w:r>
            <w:r w:rsidRPr="007C6A42">
              <w:rPr>
                <w:rFonts w:asciiTheme="majorBidi" w:eastAsia="Calibri" w:hAnsiTheme="majorBidi" w:cstheme="majorBidi"/>
                <w:lang w:bidi="ar-AE"/>
              </w:rPr>
              <w:t xml:space="preserve"> leur iniquité (48)</w:t>
            </w:r>
          </w:p>
        </w:tc>
      </w:tr>
      <w:tr w:rsidR="00A70B78" w:rsidRPr="007C6A42" w14:paraId="77AD482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522CF6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137B2E5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u w:val="single"/>
              </w:rPr>
              <w:t>[</w:t>
            </w:r>
            <w:r w:rsidRPr="007C6A42">
              <w:rPr>
                <w:rFonts w:asciiTheme="majorBidi" w:eastAsia="Times New Roman" w:hAnsiTheme="majorBidi" w:cstheme="majorBidi"/>
                <w:u w:val="single"/>
              </w:rPr>
              <w:t>ø</w:t>
            </w:r>
            <w:r w:rsidRPr="007C6A42">
              <w:rPr>
                <w:rFonts w:asciiTheme="majorBidi" w:hAnsiTheme="majorBidi" w:cstheme="majorBidi"/>
                <w:u w:val="single"/>
              </w:rPr>
              <w:t>]</w:t>
            </w:r>
            <w:r w:rsidRPr="007C6A42">
              <w:rPr>
                <w:rFonts w:asciiTheme="majorBidi" w:hAnsiTheme="majorBidi" w:cstheme="majorBidi"/>
              </w:rPr>
              <w:t xml:space="preserve"> criminelles (45) / </w:t>
            </w:r>
            <w:r w:rsidRPr="007C6A42">
              <w:rPr>
                <w:rFonts w:asciiTheme="majorBidi" w:hAnsiTheme="majorBidi" w:cstheme="majorBidi"/>
                <w:u w:val="single"/>
              </w:rPr>
              <w:t>[</w:t>
            </w:r>
            <w:r w:rsidRPr="007C6A42">
              <w:rPr>
                <w:rFonts w:asciiTheme="majorBidi" w:eastAsia="Times New Roman" w:hAnsiTheme="majorBidi" w:cstheme="majorBidi"/>
                <w:u w:val="single"/>
              </w:rPr>
              <w:t>ø</w:t>
            </w:r>
            <w:r w:rsidRPr="007C6A42">
              <w:rPr>
                <w:rFonts w:asciiTheme="majorBidi" w:hAnsiTheme="majorBidi" w:cstheme="majorBidi"/>
                <w:u w:val="single"/>
              </w:rPr>
              <w:t>]</w:t>
            </w:r>
            <w:r w:rsidRPr="007C6A42">
              <w:rPr>
                <w:rFonts w:asciiTheme="majorBidi" w:hAnsiTheme="majorBidi" w:cstheme="majorBidi"/>
              </w:rPr>
              <w:t xml:space="preserve">  Pratiquer pendant un certain temps l’iniquité (48)</w:t>
            </w:r>
          </w:p>
        </w:tc>
      </w:tr>
      <w:tr w:rsidR="00A70B78" w:rsidRPr="007C6A42" w14:paraId="22FB3EB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DB5A86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4D0A661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u w:val="single"/>
              </w:rPr>
              <w:t>en punition de</w:t>
            </w:r>
            <w:r w:rsidRPr="007C6A42">
              <w:rPr>
                <w:rFonts w:asciiTheme="majorBidi" w:hAnsiTheme="majorBidi" w:cstheme="majorBidi"/>
              </w:rPr>
              <w:t xml:space="preserve"> leurs péchés (45) / </w:t>
            </w:r>
            <w:r w:rsidRPr="007C6A42">
              <w:rPr>
                <w:rFonts w:asciiTheme="majorBidi" w:hAnsiTheme="majorBidi" w:cstheme="majorBidi"/>
                <w:u w:val="single"/>
              </w:rPr>
              <w:t>alors qu’elles étaient</w:t>
            </w:r>
            <w:r w:rsidRPr="007C6A42">
              <w:rPr>
                <w:rFonts w:asciiTheme="majorBidi" w:hAnsiTheme="majorBidi" w:cstheme="majorBidi"/>
              </w:rPr>
              <w:t xml:space="preserve"> en pleine tyrannie (48)</w:t>
            </w:r>
          </w:p>
        </w:tc>
      </w:tr>
      <w:tr w:rsidR="00A70B78" w:rsidRPr="007C6A42" w14:paraId="585C142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BA1114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0D217A43"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u w:val="single"/>
              </w:rPr>
              <w:t>parce qu’elles</w:t>
            </w:r>
            <w:r w:rsidRPr="007C6A42">
              <w:rPr>
                <w:rFonts w:asciiTheme="majorBidi" w:eastAsia="Times New Roman" w:hAnsiTheme="majorBidi" w:cstheme="majorBidi"/>
              </w:rPr>
              <w:t xml:space="preserve"> commettaient des tyrannies (45) / </w:t>
            </w:r>
            <w:r w:rsidRPr="007C6A42">
              <w:rPr>
                <w:rFonts w:asciiTheme="majorBidi" w:eastAsia="Times New Roman" w:hAnsiTheme="majorBidi" w:cstheme="majorBidi"/>
                <w:u w:val="single"/>
              </w:rPr>
              <w:t>alors qu’elles</w:t>
            </w:r>
            <w:r w:rsidRPr="007C6A42">
              <w:rPr>
                <w:rFonts w:asciiTheme="majorBidi" w:eastAsia="Times New Roman" w:hAnsiTheme="majorBidi" w:cstheme="majorBidi"/>
              </w:rPr>
              <w:t xml:space="preserve"> commettaient des tyrannies (48)</w:t>
            </w:r>
          </w:p>
        </w:tc>
      </w:tr>
      <w:tr w:rsidR="00A70B78" w:rsidRPr="007C6A42" w14:paraId="10E1FE7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F7E4F1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Z. Abdel. (2002)</w:t>
            </w:r>
          </w:p>
        </w:tc>
        <w:tc>
          <w:tcPr>
            <w:tcW w:w="4580" w:type="dxa"/>
            <w:tcBorders>
              <w:top w:val="single" w:sz="4" w:space="0" w:color="auto"/>
              <w:left w:val="single" w:sz="4" w:space="0" w:color="auto"/>
              <w:bottom w:val="single" w:sz="4" w:space="0" w:color="auto"/>
              <w:right w:val="single" w:sz="4" w:space="0" w:color="auto"/>
            </w:tcBorders>
          </w:tcPr>
          <w:p w14:paraId="0BAD42A2"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hAnsiTheme="majorBidi" w:cstheme="majorBidi"/>
                <w:u w:val="single"/>
              </w:rPr>
              <w:t>quand elles étaient</w:t>
            </w:r>
            <w:r w:rsidRPr="007C6A42">
              <w:rPr>
                <w:rFonts w:asciiTheme="majorBidi" w:hAnsiTheme="majorBidi" w:cstheme="majorBidi"/>
              </w:rPr>
              <w:t xml:space="preserve"> injustes (45) / </w:t>
            </w:r>
            <w:r w:rsidRPr="007C6A42">
              <w:rPr>
                <w:rFonts w:asciiTheme="majorBidi" w:hAnsiTheme="majorBidi" w:cstheme="majorBidi"/>
                <w:u w:val="single"/>
              </w:rPr>
              <w:t>quand elle était</w:t>
            </w:r>
            <w:r w:rsidRPr="007C6A42">
              <w:rPr>
                <w:rFonts w:asciiTheme="majorBidi" w:hAnsiTheme="majorBidi" w:cstheme="majorBidi"/>
              </w:rPr>
              <w:t xml:space="preserve"> injuste (48)</w:t>
            </w:r>
          </w:p>
        </w:tc>
      </w:tr>
      <w:tr w:rsidR="00A70B78" w:rsidRPr="007C6A42" w14:paraId="3FF2EC9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8EB1AB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7E6D3E10"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l</w:t>
            </w:r>
            <w:r w:rsidRPr="007C6A42">
              <w:rPr>
                <w:rFonts w:asciiTheme="majorBidi" w:eastAsia="Times New Roman" w:hAnsiTheme="majorBidi" w:cstheme="majorBidi"/>
                <w:u w:val="single"/>
                <w:lang w:eastAsia="fr-CH"/>
              </w:rPr>
              <w:t xml:space="preserve">orsqu’elles sont </w:t>
            </w:r>
            <w:r w:rsidRPr="007C6A42">
              <w:rPr>
                <w:rFonts w:asciiTheme="majorBidi" w:eastAsia="Times New Roman" w:hAnsiTheme="majorBidi" w:cstheme="majorBidi"/>
                <w:lang w:eastAsia="fr-CH"/>
              </w:rPr>
              <w:t>oppresseuses</w:t>
            </w:r>
          </w:p>
        </w:tc>
      </w:tr>
      <w:tr w:rsidR="00A70B78" w:rsidRPr="007C6A42" w14:paraId="1E43E33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56C262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0100FF04"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u w:val="single"/>
              </w:rPr>
              <w:t>[</w:t>
            </w:r>
            <w:r w:rsidRPr="007C6A42">
              <w:rPr>
                <w:rFonts w:asciiTheme="majorBidi" w:eastAsia="Times New Roman" w:hAnsiTheme="majorBidi" w:cstheme="majorBidi"/>
                <w:u w:val="single"/>
              </w:rPr>
              <w:t>ø</w:t>
            </w:r>
            <w:r w:rsidRPr="007C6A42">
              <w:rPr>
                <w:rFonts w:asciiTheme="majorBidi" w:hAnsiTheme="majorBidi" w:cstheme="majorBidi"/>
                <w:u w:val="single"/>
              </w:rPr>
              <w:t>]</w:t>
            </w:r>
            <w:r w:rsidRPr="007C6A42">
              <w:rPr>
                <w:rFonts w:asciiTheme="majorBidi" w:hAnsiTheme="majorBidi" w:cstheme="majorBidi"/>
              </w:rPr>
              <w:t xml:space="preserve"> injustes</w:t>
            </w:r>
          </w:p>
        </w:tc>
      </w:tr>
      <w:tr w:rsidR="00A70B78" w:rsidRPr="007C6A42" w14:paraId="3B28D4E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D6FA51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2F1E5ED5"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u w:val="single"/>
              </w:rPr>
              <w:t>parce qu’elles étaient</w:t>
            </w:r>
            <w:r w:rsidRPr="007C6A42">
              <w:rPr>
                <w:rFonts w:asciiTheme="majorBidi" w:hAnsiTheme="majorBidi" w:cstheme="majorBidi"/>
              </w:rPr>
              <w:t xml:space="preserve"> injustes (45) / </w:t>
            </w:r>
            <w:r w:rsidRPr="007C6A42">
              <w:rPr>
                <w:rFonts w:asciiTheme="majorBidi" w:hAnsiTheme="majorBidi" w:cstheme="majorBidi"/>
                <w:u w:val="single"/>
              </w:rPr>
              <w:t>alors qu’elles</w:t>
            </w:r>
            <w:r w:rsidRPr="007C6A42">
              <w:rPr>
                <w:rFonts w:asciiTheme="majorBidi" w:hAnsiTheme="majorBidi" w:cstheme="majorBidi"/>
              </w:rPr>
              <w:t xml:space="preserve"> commettaient des injustices (48)</w:t>
            </w:r>
          </w:p>
        </w:tc>
      </w:tr>
    </w:tbl>
    <w:p w14:paraId="287D6B7E"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6E918568" w14:textId="77777777" w:rsidR="00A70B78" w:rsidRPr="007C6A42" w:rsidRDefault="00A70B78" w:rsidP="00A70B78">
      <w:pPr>
        <w:spacing w:line="360" w:lineRule="auto"/>
        <w:contextualSpacing/>
        <w:jc w:val="both"/>
        <w:rPr>
          <w:rFonts w:asciiTheme="majorBidi" w:eastAsia="Times New Roman" w:hAnsiTheme="majorBidi" w:cstheme="majorBidi"/>
          <w:color w:val="FF0000"/>
          <w:shd w:val="clear" w:color="auto" w:fill="FFFFFF"/>
          <w:lang w:bidi="ar-KW"/>
        </w:rPr>
      </w:pPr>
    </w:p>
    <w:p w14:paraId="5FB7CF4E" w14:textId="77777777" w:rsidR="00A70B78" w:rsidRPr="007C6A42" w:rsidRDefault="00A70B78" w:rsidP="00A70B78">
      <w:pPr>
        <w:spacing w:line="360" w:lineRule="auto"/>
        <w:contextualSpacing/>
        <w:jc w:val="both"/>
        <w:outlineLvl w:val="0"/>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 xml:space="preserve">La traduction du pronom personnel sujet </w:t>
      </w:r>
      <w:r w:rsidRPr="007C6A42">
        <w:rPr>
          <w:rFonts w:asciiTheme="majorBidi" w:eastAsia="Times New Roman" w:hAnsiTheme="majorBidi" w:cstheme="majorBidi"/>
          <w:b/>
          <w:bCs/>
          <w:i/>
          <w:iCs/>
          <w:shd w:val="clear" w:color="auto" w:fill="FFFFFF"/>
          <w:lang w:bidi="ar-KW"/>
        </w:rPr>
        <w:t xml:space="preserve">huwa </w:t>
      </w:r>
      <w:r w:rsidRPr="007C6A42">
        <w:rPr>
          <w:rFonts w:asciiTheme="majorBidi" w:eastAsia="Times New Roman" w:hAnsiTheme="majorBidi" w:cstheme="majorBidi"/>
          <w:b/>
          <w:bCs/>
          <w:shd w:val="clear" w:color="auto" w:fill="FFFFFF"/>
          <w:lang w:bidi="ar-KW"/>
        </w:rPr>
        <w:t>(v. 78) :</w:t>
      </w:r>
    </w:p>
    <w:p w14:paraId="2998CC2A" w14:textId="70DF63A3"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La plupart des traducteurs traduisent le pronom tonique </w:t>
      </w:r>
      <w:r w:rsidRPr="007C6A42">
        <w:rPr>
          <w:rFonts w:asciiTheme="majorBidi" w:eastAsia="Times New Roman" w:hAnsiTheme="majorBidi" w:cstheme="majorBidi"/>
          <w:i/>
          <w:iCs/>
          <w:shd w:val="clear" w:color="auto" w:fill="FFFFFF"/>
          <w:lang w:bidi="ar-KW"/>
        </w:rPr>
        <w:t xml:space="preserve">huwa </w:t>
      </w:r>
      <w:r w:rsidRPr="007C6A42">
        <w:rPr>
          <w:rFonts w:asciiTheme="majorBidi" w:eastAsia="Times New Roman" w:hAnsiTheme="majorBidi" w:cstheme="majorBidi"/>
          <w:shd w:val="clear" w:color="auto" w:fill="FFFFFF"/>
          <w:lang w:bidi="ar-KW"/>
        </w:rPr>
        <w:t>(v. 78) par un pronom ou un groupe nominal qui renvoie à Abraham. Cependant, Ben Mahmoud et Zeinab Abdelaziz le renvoient à Dieu. Les exégètes se sont divisés à ce propos : certains pensent que l’antécédent est Abraham, d’autres disent que c’est Allah. Nous pouvons dire donc qu</w:t>
      </w:r>
      <w:r w:rsidR="006F22B5">
        <w:rPr>
          <w:rFonts w:asciiTheme="majorBidi" w:eastAsia="Times New Roman" w:hAnsiTheme="majorBidi" w:cstheme="majorBidi"/>
          <w:shd w:val="clear" w:color="auto" w:fill="FFFFFF"/>
          <w:lang w:bidi="ar-KW"/>
        </w:rPr>
        <w:t>e l’ensemble des traductions a</w:t>
      </w:r>
      <w:r w:rsidRPr="007C6A42">
        <w:rPr>
          <w:rFonts w:asciiTheme="majorBidi" w:eastAsia="Times New Roman" w:hAnsiTheme="majorBidi" w:cstheme="majorBidi"/>
          <w:shd w:val="clear" w:color="auto" w:fill="FFFFFF"/>
          <w:lang w:bidi="ar-KW"/>
        </w:rPr>
        <w:t xml:space="preserve"> rendu les deux sens donnés par l’ensemble des exégèses.</w:t>
      </w:r>
    </w:p>
    <w:p w14:paraId="65DD1F27" w14:textId="77777777" w:rsidR="00A70B78" w:rsidRPr="007C6A42" w:rsidRDefault="00A70B78" w:rsidP="00A70B78">
      <w:pPr>
        <w:spacing w:line="360" w:lineRule="auto"/>
        <w:jc w:val="both"/>
        <w:rPr>
          <w:rFonts w:asciiTheme="majorBidi" w:hAnsiTheme="majorBidi" w:cstheme="majorBidi"/>
        </w:rPr>
      </w:pPr>
    </w:p>
    <w:p w14:paraId="6F010856" w14:textId="77777777" w:rsidR="00A70B78" w:rsidRPr="007C6A42" w:rsidRDefault="00A70B78" w:rsidP="00A70B78">
      <w:pPr>
        <w:spacing w:line="360" w:lineRule="auto"/>
        <w:contextualSpacing/>
        <w:jc w:val="both"/>
        <w:outlineLvl w:val="0"/>
        <w:rPr>
          <w:rFonts w:asciiTheme="majorBidi" w:hAnsiTheme="majorBidi" w:cstheme="majorBidi"/>
          <w:lang w:bidi="ar-AE"/>
        </w:rPr>
      </w:pPr>
      <w:r w:rsidRPr="007C6A42">
        <w:rPr>
          <w:rFonts w:asciiTheme="majorBidi" w:hAnsiTheme="majorBidi" w:cstheme="majorBidi"/>
          <w:b/>
          <w:bCs/>
        </w:rPr>
        <w:t xml:space="preserve">Traduction du démonstratif masculin </w:t>
      </w:r>
      <w:r w:rsidRPr="007C6A42">
        <w:rPr>
          <w:rFonts w:asciiTheme="majorBidi" w:hAnsiTheme="majorBidi" w:cstheme="majorBidi"/>
          <w:b/>
          <w:bCs/>
          <w:i/>
          <w:iCs/>
          <w:lang w:bidi="ar-AE"/>
        </w:rPr>
        <w:t>hādhā</w:t>
      </w:r>
      <w:r w:rsidRPr="007C6A42">
        <w:rPr>
          <w:rFonts w:asciiTheme="majorBidi" w:hAnsiTheme="majorBidi" w:cstheme="majorBidi"/>
          <w:b/>
          <w:bCs/>
          <w:lang w:bidi="ar-AE"/>
        </w:rPr>
        <w:t xml:space="preserve"> (v. 78) :</w:t>
      </w:r>
    </w:p>
    <w:p w14:paraId="15A9BE09" w14:textId="77777777" w:rsidR="00A70B78" w:rsidRPr="007C6A42" w:rsidRDefault="00A70B78" w:rsidP="00A70B78">
      <w:pPr>
        <w:spacing w:line="360" w:lineRule="auto"/>
        <w:ind w:firstLine="708"/>
        <w:contextualSpacing/>
        <w:jc w:val="both"/>
        <w:rPr>
          <w:rFonts w:asciiTheme="majorBidi" w:hAnsiTheme="majorBidi" w:cstheme="majorBidi"/>
        </w:rPr>
      </w:pPr>
      <w:r w:rsidRPr="007C6A42">
        <w:rPr>
          <w:rFonts w:asciiTheme="majorBidi" w:hAnsiTheme="majorBidi" w:cstheme="majorBidi"/>
        </w:rPr>
        <w:t xml:space="preserve">Nous avons vu que ce démonstratif peut désigner dans le texte arabe : le Coran, par conséquent, dans ce sens, voilà pourquoi il vous a nommé </w:t>
      </w:r>
      <w:r w:rsidRPr="007C6A42">
        <w:rPr>
          <w:rFonts w:asciiTheme="majorBidi" w:hAnsiTheme="majorBidi" w:cstheme="majorBidi"/>
          <w:i/>
          <w:iCs/>
        </w:rPr>
        <w:t>muslimīn</w:t>
      </w:r>
      <w:r w:rsidRPr="007C6A42">
        <w:rPr>
          <w:rFonts w:asciiTheme="majorBidi" w:hAnsiTheme="majorBidi" w:cstheme="majorBidi"/>
        </w:rPr>
        <w:t>, le chemin, la méthode, le temps, le monde, etc. Il est rendu en français ainsi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1C2A68F5" w14:textId="77777777" w:rsidTr="00AF4FC9">
        <w:tc>
          <w:tcPr>
            <w:tcW w:w="10916" w:type="dxa"/>
            <w:gridSpan w:val="2"/>
            <w:tcBorders>
              <w:top w:val="nil"/>
              <w:left w:val="single" w:sz="4" w:space="0" w:color="auto"/>
              <w:bottom w:val="single" w:sz="4" w:space="0" w:color="auto"/>
              <w:right w:val="single" w:sz="4" w:space="0" w:color="auto"/>
            </w:tcBorders>
          </w:tcPr>
          <w:p w14:paraId="2BEC1D3D" w14:textId="77777777" w:rsidR="00A70B78" w:rsidRPr="007C6A42" w:rsidRDefault="00A70B78" w:rsidP="00AF4FC9">
            <w:pPr>
              <w:bidi/>
              <w:spacing w:line="360" w:lineRule="auto"/>
              <w:jc w:val="both"/>
              <w:rPr>
                <w:rFonts w:asciiTheme="majorBidi" w:eastAsia="Times New Roman" w:hAnsiTheme="majorBidi" w:cstheme="majorBidi"/>
                <w:color w:val="000000"/>
                <w:lang w:bidi="ar-KW"/>
              </w:rPr>
            </w:pPr>
            <w:r w:rsidRPr="007C6A42">
              <w:rPr>
                <w:rFonts w:asciiTheme="majorBidi" w:eastAsia="Times New Roman" w:hAnsiTheme="majorBidi" w:cstheme="majorBidi"/>
                <w:color w:val="000000"/>
                <w:shd w:val="clear" w:color="auto" w:fill="FFFFFF"/>
                <w:rtl/>
              </w:rPr>
              <w:lastRenderedPageBreak/>
              <w:t>"</w:t>
            </w:r>
            <w:r w:rsidRPr="007C6A42">
              <w:rPr>
                <w:rFonts w:asciiTheme="majorBidi" w:eastAsia="Times New Roman" w:hAnsiTheme="majorBidi" w:cstheme="majorBidi"/>
                <w:color w:val="000000"/>
                <w:shd w:val="clear" w:color="auto" w:fill="FFFFFF"/>
                <w:rtl/>
                <w:lang w:bidi="ar-KW"/>
              </w:rPr>
              <w:t>هو اجتباكم</w:t>
            </w:r>
            <w:r w:rsidRPr="007C6A42">
              <w:rPr>
                <w:rFonts w:asciiTheme="majorBidi" w:eastAsia="Times New Roman" w:hAnsiTheme="majorBidi" w:cstheme="majorBidi"/>
                <w:shd w:val="clear" w:color="auto" w:fill="FFFFFF"/>
                <w:rtl/>
                <w:lang w:bidi="ar-KW"/>
              </w:rPr>
              <w:t xml:space="preserve"> </w:t>
            </w:r>
            <w:r w:rsidRPr="007C6A42">
              <w:rPr>
                <w:rFonts w:asciiTheme="majorBidi" w:eastAsia="Times New Roman" w:hAnsiTheme="majorBidi" w:cstheme="majorBidi"/>
                <w:shd w:val="clear" w:color="auto" w:fill="FFFFFF"/>
                <w:rtl/>
              </w:rPr>
              <w:t>وما جَعلَ عليكم في الدِّين من حَرَجٍ [...] ملَّةَ أبيكم إبراهيمَ هو سمَّاكم المسلمين</w:t>
            </w:r>
            <w:r w:rsidRPr="007C6A42">
              <w:rPr>
                <w:rFonts w:asciiTheme="majorBidi" w:eastAsia="Times New Roman" w:hAnsiTheme="majorBidi" w:cstheme="majorBidi"/>
                <w:rtl/>
              </w:rPr>
              <w:t xml:space="preserve"> </w:t>
            </w:r>
            <w:r w:rsidRPr="007C6A42">
              <w:rPr>
                <w:rFonts w:asciiTheme="majorBidi" w:eastAsia="Times New Roman" w:hAnsiTheme="majorBidi" w:cstheme="majorBidi"/>
                <w:rtl/>
                <w:lang w:bidi="ar-KW"/>
              </w:rPr>
              <w:t xml:space="preserve">من قبلُ </w:t>
            </w:r>
            <w:r w:rsidRPr="007C6A42">
              <w:rPr>
                <w:rFonts w:asciiTheme="majorBidi" w:eastAsia="Calibri" w:hAnsiTheme="majorBidi" w:cstheme="majorBidi"/>
                <w:rtl/>
              </w:rPr>
              <w:t>وفي هذا ليكونَ الرسولُ شهيدًا عليكم وتكونوا شهداءَ ع</w:t>
            </w:r>
            <w:r w:rsidRPr="007C6A42">
              <w:rPr>
                <w:rFonts w:asciiTheme="majorBidi" w:eastAsia="Times New Roman" w:hAnsiTheme="majorBidi" w:cstheme="majorBidi"/>
                <w:rtl/>
              </w:rPr>
              <w:t>لى الناس</w:t>
            </w:r>
            <w:r w:rsidRPr="007C6A42">
              <w:rPr>
                <w:rFonts w:asciiTheme="majorBidi" w:eastAsia="Times New Roman" w:hAnsiTheme="majorBidi" w:cstheme="majorBidi"/>
                <w:rtl/>
                <w:lang w:bidi="ar-KW"/>
              </w:rPr>
              <w:t xml:space="preserve">" </w:t>
            </w:r>
            <w:r w:rsidRPr="007C6A42">
              <w:rPr>
                <w:rFonts w:asciiTheme="majorBidi" w:eastAsia="Times New Roman" w:hAnsiTheme="majorBidi" w:cstheme="majorBidi"/>
                <w:rtl/>
              </w:rPr>
              <w:t>(الحج، 78)</w:t>
            </w:r>
          </w:p>
        </w:tc>
      </w:tr>
      <w:tr w:rsidR="00A70B78" w:rsidRPr="007C6A42" w14:paraId="36F03D4B" w14:textId="77777777" w:rsidTr="00AF4FC9">
        <w:tc>
          <w:tcPr>
            <w:tcW w:w="851" w:type="dxa"/>
            <w:tcBorders>
              <w:top w:val="single" w:sz="4" w:space="0" w:color="auto"/>
              <w:left w:val="single" w:sz="4" w:space="0" w:color="auto"/>
              <w:bottom w:val="single" w:sz="4" w:space="0" w:color="auto"/>
              <w:right w:val="single" w:sz="4" w:space="0" w:color="auto"/>
            </w:tcBorders>
          </w:tcPr>
          <w:p w14:paraId="22093089"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D.R.</w:t>
            </w:r>
          </w:p>
        </w:tc>
        <w:tc>
          <w:tcPr>
            <w:tcW w:w="10065" w:type="dxa"/>
            <w:tcBorders>
              <w:top w:val="single" w:sz="4" w:space="0" w:color="auto"/>
              <w:left w:val="single" w:sz="4" w:space="0" w:color="auto"/>
              <w:bottom w:val="single" w:sz="4" w:space="0" w:color="auto"/>
              <w:right w:val="single" w:sz="4" w:space="0" w:color="auto"/>
            </w:tcBorders>
          </w:tcPr>
          <w:p w14:paraId="5597ADB8"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rPr>
              <w:t>il vous a eʃleu pour la fuiure, il ne vous a pas donné vne loy peʃante &amp; faʃcheuʃe ; C’eʃt la loy d’Abraham voʃtre pere, il vous a nommé les reʃignez en Dieu auant la venüe de l’Alcoran, le Prophete ʃera teʃmoin contre vous au iour du Iugement, &amp; vous ʃerez teʃmoins contre le peuple</w:t>
            </w:r>
          </w:p>
        </w:tc>
      </w:tr>
      <w:tr w:rsidR="00A70B78" w:rsidRPr="007C6A42" w14:paraId="5129394F" w14:textId="77777777" w:rsidTr="00AF4FC9">
        <w:tc>
          <w:tcPr>
            <w:tcW w:w="851" w:type="dxa"/>
            <w:tcBorders>
              <w:top w:val="single" w:sz="4" w:space="0" w:color="auto"/>
              <w:left w:val="single" w:sz="4" w:space="0" w:color="auto"/>
              <w:bottom w:val="single" w:sz="4" w:space="0" w:color="auto"/>
              <w:right w:val="single" w:sz="4" w:space="0" w:color="auto"/>
            </w:tcBorders>
          </w:tcPr>
          <w:p w14:paraId="396C2ABB"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Sav.</w:t>
            </w:r>
          </w:p>
        </w:tc>
        <w:tc>
          <w:tcPr>
            <w:tcW w:w="10065" w:type="dxa"/>
            <w:tcBorders>
              <w:top w:val="single" w:sz="4" w:space="0" w:color="auto"/>
              <w:left w:val="single" w:sz="4" w:space="0" w:color="auto"/>
              <w:bottom w:val="single" w:sz="4" w:space="0" w:color="auto"/>
              <w:right w:val="single" w:sz="4" w:space="0" w:color="auto"/>
            </w:tcBorders>
          </w:tcPr>
          <w:p w14:paraId="05B02287" w14:textId="77777777" w:rsidR="00A70B78" w:rsidRPr="007C6A42" w:rsidRDefault="00A70B78" w:rsidP="00AF4FC9">
            <w:pPr>
              <w:shd w:val="clear" w:color="auto" w:fill="FFFFFF"/>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 xml:space="preserve">Vous êtes ses élus. Il ne vous a rien commandé </w:t>
            </w:r>
            <w:r w:rsidRPr="007C6A42">
              <w:rPr>
                <w:rFonts w:asciiTheme="majorBidi" w:eastAsia="Times New Roman" w:hAnsiTheme="majorBidi" w:cstheme="majorBidi"/>
              </w:rPr>
              <w:t>de difficile dans votre religion. C’est la foi de votre père Abraham que vous professez. C’est lui qui vous nomma </w:t>
            </w:r>
            <w:r w:rsidRPr="007C6A42">
              <w:rPr>
                <w:rFonts w:asciiTheme="majorBidi" w:eastAsia="Times New Roman" w:hAnsiTheme="majorBidi" w:cstheme="majorBidi"/>
                <w:i/>
                <w:iCs/>
              </w:rPr>
              <w:t>musulmans</w:t>
            </w:r>
            <w:r w:rsidRPr="007C6A42">
              <w:rPr>
                <w:rFonts w:asciiTheme="majorBidi" w:eastAsia="Times New Roman" w:hAnsiTheme="majorBidi" w:cstheme="majorBidi"/>
              </w:rPr>
              <w:t>. Le Coran vous confirme ce titre glorieux</w:t>
            </w:r>
            <w:r w:rsidRPr="007C6A42">
              <w:rPr>
                <w:rFonts w:asciiTheme="majorBidi" w:eastAsia="Times New Roman" w:hAnsiTheme="majorBidi" w:cstheme="majorBidi"/>
                <w:color w:val="000000"/>
              </w:rPr>
              <w:t>. Mon envoyé sera témoin contre vous, au jour de la résurrection. Vous porterez témoignage contre le genre humain.</w:t>
            </w:r>
          </w:p>
        </w:tc>
      </w:tr>
      <w:tr w:rsidR="00A70B78" w:rsidRPr="007C6A42" w14:paraId="08CB3E61" w14:textId="77777777" w:rsidTr="00AF4FC9">
        <w:tc>
          <w:tcPr>
            <w:tcW w:w="851" w:type="dxa"/>
            <w:tcBorders>
              <w:top w:val="single" w:sz="4" w:space="0" w:color="auto"/>
              <w:left w:val="single" w:sz="4" w:space="0" w:color="auto"/>
              <w:bottom w:val="single" w:sz="4" w:space="0" w:color="auto"/>
              <w:right w:val="single" w:sz="4" w:space="0" w:color="auto"/>
            </w:tcBorders>
          </w:tcPr>
          <w:p w14:paraId="3588623E"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 xml:space="preserve">Kaz. </w:t>
            </w:r>
          </w:p>
        </w:tc>
        <w:tc>
          <w:tcPr>
            <w:tcW w:w="10065" w:type="dxa"/>
            <w:tcBorders>
              <w:top w:val="single" w:sz="4" w:space="0" w:color="auto"/>
              <w:left w:val="single" w:sz="4" w:space="0" w:color="auto"/>
              <w:bottom w:val="single" w:sz="4" w:space="0" w:color="auto"/>
              <w:right w:val="single" w:sz="4" w:space="0" w:color="auto"/>
            </w:tcBorders>
          </w:tcPr>
          <w:p w14:paraId="4C2DB67F" w14:textId="77777777" w:rsidR="00A70B78" w:rsidRPr="007C6A42" w:rsidRDefault="00A70B78" w:rsidP="00AF4FC9">
            <w:pPr>
              <w:spacing w:line="360" w:lineRule="auto"/>
              <w:ind w:right="113"/>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 xml:space="preserve">il vous a élus. Il ne vous a rien commandé </w:t>
            </w:r>
            <w:r w:rsidRPr="007C6A42">
              <w:rPr>
                <w:rFonts w:asciiTheme="majorBidi" w:eastAsia="Times New Roman" w:hAnsiTheme="majorBidi" w:cstheme="majorBidi"/>
              </w:rPr>
              <w:t>de difficile dans votre religion, dans la religion de votre père Abraham ; il vous a nommés musulmans (</w:t>
            </w:r>
            <w:r w:rsidRPr="007C6A42">
              <w:rPr>
                <w:rFonts w:asciiTheme="majorBidi" w:eastAsia="Times New Roman" w:hAnsiTheme="majorBidi" w:cstheme="majorBidi"/>
                <w:i/>
                <w:iCs/>
              </w:rPr>
              <w:t>qui s’abandonnent à Dieu</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Il vous a nommés ainsi</w:t>
            </w:r>
            <w:r w:rsidRPr="007C6A42">
              <w:rPr>
                <w:rFonts w:asciiTheme="majorBidi" w:eastAsia="Times New Roman" w:hAnsiTheme="majorBidi" w:cstheme="majorBidi"/>
              </w:rPr>
              <w:t> bien avant nous et dans ce livre aussi</w:t>
            </w:r>
            <w:r w:rsidRPr="007C6A42">
              <w:rPr>
                <w:rFonts w:asciiTheme="majorBidi" w:eastAsia="Times New Roman" w:hAnsiTheme="majorBidi" w:cstheme="majorBidi"/>
                <w:color w:val="000000"/>
              </w:rPr>
              <w:t>, afin que votre prophète soit témoin contre vous et que vous soyez témoins contre le reste des hommes.</w:t>
            </w:r>
          </w:p>
          <w:p w14:paraId="10BEF50A"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lang w:bidi="ar-KW"/>
              </w:rPr>
              <w:t>(1970)</w:t>
            </w:r>
            <w:r w:rsidRPr="007C6A42">
              <w:rPr>
                <w:rFonts w:asciiTheme="majorBidi" w:eastAsia="Times New Roman" w:hAnsiTheme="majorBidi" w:cstheme="majorBidi"/>
              </w:rPr>
              <w:t xml:space="preserve"> vous êtes ses élus. Il ne vous a rien commandé de difficile dans votre religion, dans la religion de votre père Abraham, il vous a nommés musulmans. Il y a longtemps qu’il vous a ainsi nommés dans le Coran, afin que votre prophète soit témoin contre vous et que vous soyez témoins contre le reste des hommes.</w:t>
            </w:r>
          </w:p>
        </w:tc>
      </w:tr>
      <w:tr w:rsidR="00A70B78" w:rsidRPr="007C6A42" w14:paraId="49C60C13" w14:textId="77777777" w:rsidTr="00AF4FC9">
        <w:tc>
          <w:tcPr>
            <w:tcW w:w="851" w:type="dxa"/>
            <w:tcBorders>
              <w:top w:val="single" w:sz="4" w:space="0" w:color="auto"/>
              <w:left w:val="single" w:sz="4" w:space="0" w:color="auto"/>
              <w:bottom w:val="single" w:sz="4" w:space="0" w:color="auto"/>
              <w:right w:val="single" w:sz="4" w:space="0" w:color="auto"/>
            </w:tcBorders>
          </w:tcPr>
          <w:p w14:paraId="7824B61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Blach.</w:t>
            </w:r>
          </w:p>
        </w:tc>
        <w:tc>
          <w:tcPr>
            <w:tcW w:w="10065" w:type="dxa"/>
            <w:tcBorders>
              <w:top w:val="single" w:sz="4" w:space="0" w:color="auto"/>
              <w:left w:val="single" w:sz="4" w:space="0" w:color="auto"/>
              <w:bottom w:val="single" w:sz="4" w:space="0" w:color="auto"/>
              <w:right w:val="single" w:sz="4" w:space="0" w:color="auto"/>
            </w:tcBorders>
          </w:tcPr>
          <w:p w14:paraId="336BCDE1"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Calibri" w:hAnsiTheme="majorBidi" w:cstheme="majorBidi"/>
              </w:rPr>
              <w:t>Il vous a choisis et, sur vous, Il n’a placé nulle gêne en la Religion (dîn), la religion (milla) de votre père Abraham. Il Vous a nommés les Soumis, auparavant et en cette Révélation, afin que l’Apôtre soit témoin à votre encontre et que vous soyez témoins à l’encontre des Hommes.</w:t>
            </w:r>
          </w:p>
        </w:tc>
      </w:tr>
      <w:tr w:rsidR="00A70B78" w:rsidRPr="007C6A42" w14:paraId="6941548B" w14:textId="77777777" w:rsidTr="00AF4FC9">
        <w:tc>
          <w:tcPr>
            <w:tcW w:w="851" w:type="dxa"/>
            <w:tcBorders>
              <w:top w:val="single" w:sz="4" w:space="0" w:color="auto"/>
              <w:left w:val="single" w:sz="4" w:space="0" w:color="auto"/>
              <w:bottom w:val="single" w:sz="4" w:space="0" w:color="auto"/>
              <w:right w:val="single" w:sz="4" w:space="0" w:color="auto"/>
            </w:tcBorders>
          </w:tcPr>
          <w:p w14:paraId="4DCA1EDA"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Hamid</w:t>
            </w:r>
          </w:p>
        </w:tc>
        <w:tc>
          <w:tcPr>
            <w:tcW w:w="10065" w:type="dxa"/>
            <w:tcBorders>
              <w:top w:val="single" w:sz="4" w:space="0" w:color="auto"/>
              <w:left w:val="single" w:sz="4" w:space="0" w:color="auto"/>
              <w:bottom w:val="single" w:sz="4" w:space="0" w:color="auto"/>
              <w:right w:val="single" w:sz="4" w:space="0" w:color="auto"/>
            </w:tcBorders>
          </w:tcPr>
          <w:p w14:paraId="5E0E64E4"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C’est Lui qui vous a élus ; et Il ne vous a pas assigné de gêne dans la religion comme culte de votre père Abraham, lequel vous a nommés « Soumis », autrefois, - et ici aussi,- afin que le messager soit témoin sur vous et que vous soyez témoins sur les gens.</w:t>
            </w:r>
          </w:p>
        </w:tc>
      </w:tr>
      <w:tr w:rsidR="00A70B78" w:rsidRPr="007C6A42" w14:paraId="554553C9" w14:textId="77777777" w:rsidTr="00AF4FC9">
        <w:tc>
          <w:tcPr>
            <w:tcW w:w="851" w:type="dxa"/>
            <w:tcBorders>
              <w:top w:val="single" w:sz="4" w:space="0" w:color="auto"/>
              <w:left w:val="single" w:sz="4" w:space="0" w:color="auto"/>
              <w:bottom w:val="single" w:sz="4" w:space="0" w:color="auto"/>
              <w:right w:val="single" w:sz="4" w:space="0" w:color="auto"/>
            </w:tcBorders>
          </w:tcPr>
          <w:p w14:paraId="0A5550E9"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Mass.</w:t>
            </w:r>
          </w:p>
        </w:tc>
        <w:tc>
          <w:tcPr>
            <w:tcW w:w="10065" w:type="dxa"/>
            <w:tcBorders>
              <w:top w:val="single" w:sz="4" w:space="0" w:color="auto"/>
              <w:left w:val="single" w:sz="4" w:space="0" w:color="auto"/>
              <w:bottom w:val="single" w:sz="4" w:space="0" w:color="auto"/>
              <w:right w:val="single" w:sz="4" w:space="0" w:color="auto"/>
            </w:tcBorders>
          </w:tcPr>
          <w:p w14:paraId="060DAA27"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Calibri" w:hAnsiTheme="majorBidi" w:cstheme="majorBidi"/>
              </w:rPr>
              <w:t>C’est lui qui vous a choisis. Il ne vous a jamais imposé aucune gêne dans la Religion, la Religion de votre père Abraham. C’est lui qui vous a donné le nom de « Musulmans » autrefois déjà, et ici même, afin que le Prophète soit témoin contre vous et que vous soyez témoins contre les hommes.</w:t>
            </w:r>
          </w:p>
        </w:tc>
      </w:tr>
      <w:tr w:rsidR="00A70B78" w:rsidRPr="007C6A42" w14:paraId="6EA15872" w14:textId="77777777" w:rsidTr="00AF4FC9">
        <w:tc>
          <w:tcPr>
            <w:tcW w:w="851" w:type="dxa"/>
            <w:tcBorders>
              <w:top w:val="single" w:sz="4" w:space="0" w:color="auto"/>
              <w:left w:val="single" w:sz="4" w:space="0" w:color="auto"/>
              <w:bottom w:val="single" w:sz="4" w:space="0" w:color="auto"/>
              <w:right w:val="single" w:sz="4" w:space="0" w:color="auto"/>
            </w:tcBorders>
          </w:tcPr>
          <w:p w14:paraId="5FAC3A02"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Chour.</w:t>
            </w:r>
          </w:p>
        </w:tc>
        <w:tc>
          <w:tcPr>
            <w:tcW w:w="10065" w:type="dxa"/>
            <w:tcBorders>
              <w:top w:val="single" w:sz="4" w:space="0" w:color="auto"/>
              <w:left w:val="single" w:sz="4" w:space="0" w:color="auto"/>
              <w:bottom w:val="single" w:sz="4" w:space="0" w:color="auto"/>
              <w:right w:val="single" w:sz="4" w:space="0" w:color="auto"/>
            </w:tcBorders>
          </w:tcPr>
          <w:p w14:paraId="6D3A3F75"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color w:val="000000"/>
              </w:rPr>
              <w:t>Il vous a choisis,</w:t>
            </w:r>
            <w:r w:rsidRPr="007C6A42">
              <w:rPr>
                <w:rFonts w:asciiTheme="majorBidi" w:eastAsia="Times New Roman" w:hAnsiTheme="majorBidi" w:cstheme="majorBidi"/>
              </w:rPr>
              <w:t xml:space="preserve"> </w:t>
            </w:r>
            <w:r w:rsidRPr="007C6A42">
              <w:rPr>
                <w:rFonts w:asciiTheme="majorBidi" w:eastAsia="Times New Roman" w:hAnsiTheme="majorBidi" w:cstheme="majorBidi"/>
                <w:color w:val="000000"/>
              </w:rPr>
              <w:t xml:space="preserve">et n’a mis contre </w:t>
            </w:r>
            <w:r w:rsidRPr="007C6A42">
              <w:rPr>
                <w:rFonts w:asciiTheme="majorBidi" w:eastAsia="Times New Roman" w:hAnsiTheme="majorBidi" w:cstheme="majorBidi"/>
              </w:rPr>
              <w:t xml:space="preserve">vous aucune entrave de créance, dans la doctrine de votre père Ibrâhim. Lui, jadis, vous a appelés les Pacifiés, al-muslimûn, </w:t>
            </w:r>
            <w:r w:rsidRPr="007C6A42">
              <w:rPr>
                <w:rFonts w:asciiTheme="majorBidi" w:eastAsia="Times New Roman" w:hAnsiTheme="majorBidi" w:cstheme="majorBidi"/>
                <w:color w:val="000000"/>
              </w:rPr>
              <w:t xml:space="preserve">et </w:t>
            </w:r>
            <w:r w:rsidRPr="007C6A42">
              <w:rPr>
                <w:rFonts w:asciiTheme="majorBidi" w:eastAsia="Times New Roman" w:hAnsiTheme="majorBidi" w:cstheme="majorBidi"/>
              </w:rPr>
              <w:t xml:space="preserve">cela </w:t>
            </w:r>
            <w:r w:rsidRPr="007C6A42">
              <w:rPr>
                <w:rFonts w:asciiTheme="majorBidi" w:eastAsia="Times New Roman" w:hAnsiTheme="majorBidi" w:cstheme="majorBidi"/>
                <w:color w:val="000000"/>
              </w:rPr>
              <w:t>pour que l’Envoyé soit votre témoin</w:t>
            </w:r>
            <w:r w:rsidRPr="007C6A42">
              <w:rPr>
                <w:rFonts w:asciiTheme="majorBidi" w:eastAsia="Times New Roman" w:hAnsiTheme="majorBidi" w:cstheme="majorBidi"/>
              </w:rPr>
              <w:t xml:space="preserve"> </w:t>
            </w:r>
            <w:r w:rsidRPr="007C6A42">
              <w:rPr>
                <w:rFonts w:asciiTheme="majorBidi" w:eastAsia="Times New Roman" w:hAnsiTheme="majorBidi" w:cstheme="majorBidi"/>
                <w:color w:val="000000"/>
              </w:rPr>
              <w:t>et que vous soyez des témoins pour les hommes</w:t>
            </w:r>
          </w:p>
        </w:tc>
      </w:tr>
      <w:tr w:rsidR="00A70B78" w:rsidRPr="007C6A42" w14:paraId="6A9BEDAD" w14:textId="77777777" w:rsidTr="00AF4FC9">
        <w:tc>
          <w:tcPr>
            <w:tcW w:w="851" w:type="dxa"/>
            <w:tcBorders>
              <w:top w:val="single" w:sz="4" w:space="0" w:color="auto"/>
              <w:left w:val="single" w:sz="4" w:space="0" w:color="auto"/>
              <w:bottom w:val="single" w:sz="4" w:space="0" w:color="auto"/>
              <w:right w:val="single" w:sz="4" w:space="0" w:color="auto"/>
            </w:tcBorders>
          </w:tcPr>
          <w:p w14:paraId="3ECB11D0"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Ghéd.</w:t>
            </w:r>
          </w:p>
        </w:tc>
        <w:tc>
          <w:tcPr>
            <w:tcW w:w="10065" w:type="dxa"/>
            <w:tcBorders>
              <w:top w:val="single" w:sz="4" w:space="0" w:color="auto"/>
              <w:left w:val="single" w:sz="4" w:space="0" w:color="auto"/>
              <w:bottom w:val="single" w:sz="4" w:space="0" w:color="auto"/>
              <w:right w:val="single" w:sz="4" w:space="0" w:color="auto"/>
            </w:tcBorders>
          </w:tcPr>
          <w:p w14:paraId="0F7730E8"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c’est Lui qui vous a élus. Il ne vous a rien commandé de difficile dans votre religion, la religion de </w:t>
            </w:r>
            <w:r w:rsidRPr="007C6A42">
              <w:rPr>
                <w:rFonts w:asciiTheme="majorBidi" w:eastAsia="Calibri" w:hAnsiTheme="majorBidi" w:cstheme="majorBidi"/>
              </w:rPr>
              <w:lastRenderedPageBreak/>
              <w:t>votre père Abraham ; Il vous a nommés Musulmans bien avant le Coran. Et dans ce Coran aussi, afin que l’Apôtre soit Témoin contre vous et que vous soyez Témoins contre le reste des Hommes.</w:t>
            </w:r>
          </w:p>
        </w:tc>
      </w:tr>
      <w:tr w:rsidR="00A70B78" w:rsidRPr="007C6A42" w14:paraId="59BB1268" w14:textId="77777777" w:rsidTr="00AF4FC9">
        <w:tc>
          <w:tcPr>
            <w:tcW w:w="851" w:type="dxa"/>
            <w:tcBorders>
              <w:top w:val="single" w:sz="4" w:space="0" w:color="auto"/>
              <w:left w:val="single" w:sz="4" w:space="0" w:color="auto"/>
              <w:bottom w:val="single" w:sz="4" w:space="0" w:color="auto"/>
              <w:right w:val="single" w:sz="4" w:space="0" w:color="auto"/>
            </w:tcBorders>
          </w:tcPr>
          <w:p w14:paraId="7AF9E4EE"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lastRenderedPageBreak/>
              <w:t>Méd.</w:t>
            </w:r>
          </w:p>
        </w:tc>
        <w:tc>
          <w:tcPr>
            <w:tcW w:w="10065" w:type="dxa"/>
            <w:tcBorders>
              <w:top w:val="single" w:sz="4" w:space="0" w:color="auto"/>
              <w:left w:val="single" w:sz="4" w:space="0" w:color="auto"/>
              <w:bottom w:val="single" w:sz="4" w:space="0" w:color="auto"/>
              <w:right w:val="single" w:sz="4" w:space="0" w:color="auto"/>
            </w:tcBorders>
          </w:tcPr>
          <w:p w14:paraId="5FD06B8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 xml:space="preserve">C’est Lui qui vous a élus ; et Il ne vous a </w:t>
            </w:r>
            <w:r w:rsidRPr="007C6A42">
              <w:rPr>
                <w:rFonts w:asciiTheme="majorBidi" w:eastAsia="Times New Roman" w:hAnsiTheme="majorBidi" w:cstheme="majorBidi"/>
              </w:rPr>
              <w:t>imposé aucune gêne dans la religion, celle de votre père Abraham, lequel vous a déjà nommés “Musulmans” avan</w:t>
            </w:r>
            <w:r w:rsidRPr="007C6A42">
              <w:rPr>
                <w:rFonts w:asciiTheme="majorBidi" w:eastAsia="Times New Roman" w:hAnsiTheme="majorBidi" w:cstheme="majorBidi"/>
                <w:color w:val="000000"/>
              </w:rPr>
              <w:t xml:space="preserve">t (ce Livre) et dans </w:t>
            </w:r>
            <w:r w:rsidRPr="007C6A42">
              <w:rPr>
                <w:rFonts w:asciiTheme="majorBidi" w:eastAsia="Times New Roman" w:hAnsiTheme="majorBidi" w:cstheme="majorBidi"/>
              </w:rPr>
              <w:t>ce (Livre)</w:t>
            </w:r>
            <w:r w:rsidRPr="007C6A42">
              <w:rPr>
                <w:rFonts w:asciiTheme="majorBidi" w:eastAsia="Times New Roman" w:hAnsiTheme="majorBidi" w:cstheme="majorBidi"/>
                <w:color w:val="000000"/>
              </w:rPr>
              <w:t>, afin que le Messager soit témoin contre vous, et que vous soyez vous-mêmes témoins contre les gens.</w:t>
            </w:r>
          </w:p>
        </w:tc>
      </w:tr>
      <w:tr w:rsidR="00A70B78" w:rsidRPr="007C6A42" w14:paraId="3C8B9678" w14:textId="77777777" w:rsidTr="00AF4FC9">
        <w:tc>
          <w:tcPr>
            <w:tcW w:w="851" w:type="dxa"/>
            <w:tcBorders>
              <w:top w:val="single" w:sz="4" w:space="0" w:color="auto"/>
              <w:left w:val="single" w:sz="4" w:space="0" w:color="auto"/>
              <w:bottom w:val="single" w:sz="4" w:space="0" w:color="auto"/>
              <w:right w:val="single" w:sz="4" w:space="0" w:color="auto"/>
            </w:tcBorders>
          </w:tcPr>
          <w:p w14:paraId="78BE083A"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Berque</w:t>
            </w:r>
          </w:p>
        </w:tc>
        <w:tc>
          <w:tcPr>
            <w:tcW w:w="10065" w:type="dxa"/>
            <w:tcBorders>
              <w:top w:val="single" w:sz="4" w:space="0" w:color="auto"/>
              <w:left w:val="single" w:sz="4" w:space="0" w:color="auto"/>
              <w:bottom w:val="single" w:sz="4" w:space="0" w:color="auto"/>
              <w:right w:val="single" w:sz="4" w:space="0" w:color="auto"/>
            </w:tcBorders>
          </w:tcPr>
          <w:p w14:paraId="2D4EA13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Calibri" w:hAnsiTheme="majorBidi" w:cstheme="majorBidi"/>
                <w:lang w:bidi="ar-AE"/>
              </w:rPr>
              <w:t>Il vous a élus. Il ne met aucune gêne pour vous dans la religion, en tant que fidèles à la communauté de votre père Abraham. C’est lui qui jadis vous a nommés Ceux-qui-se-soumettent. Qu’en cela l’Envoyé soit votre témoin, et vous les témoins des hommes.</w:t>
            </w:r>
          </w:p>
        </w:tc>
      </w:tr>
      <w:tr w:rsidR="00A70B78" w:rsidRPr="007C6A42" w14:paraId="62A90CF0" w14:textId="77777777" w:rsidTr="00AF4FC9">
        <w:tc>
          <w:tcPr>
            <w:tcW w:w="851" w:type="dxa"/>
            <w:tcBorders>
              <w:top w:val="single" w:sz="4" w:space="0" w:color="auto"/>
              <w:left w:val="single" w:sz="4" w:space="0" w:color="auto"/>
              <w:bottom w:val="single" w:sz="4" w:space="0" w:color="auto"/>
              <w:right w:val="single" w:sz="4" w:space="0" w:color="auto"/>
            </w:tcBorders>
          </w:tcPr>
          <w:p w14:paraId="52184B1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Gues.</w:t>
            </w:r>
          </w:p>
        </w:tc>
        <w:tc>
          <w:tcPr>
            <w:tcW w:w="10065" w:type="dxa"/>
            <w:tcBorders>
              <w:top w:val="single" w:sz="4" w:space="0" w:color="auto"/>
              <w:left w:val="single" w:sz="4" w:space="0" w:color="auto"/>
              <w:bottom w:val="single" w:sz="4" w:space="0" w:color="auto"/>
              <w:right w:val="single" w:sz="4" w:space="0" w:color="auto"/>
            </w:tcBorders>
          </w:tcPr>
          <w:p w14:paraId="0906895B"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élus dans votre religion IL n’a mis nulle difficulté</w:t>
            </w:r>
          </w:p>
          <w:p w14:paraId="5AD0182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Pas plus que celle de votre père ABRAHAM qui vous a précédé, </w:t>
            </w:r>
          </w:p>
          <w:p w14:paraId="7C3BCE42"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Et comme musulmans soumis IL vous a désignés.</w:t>
            </w:r>
          </w:p>
          <w:p w14:paraId="1D64B35D"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Auparavant et en cette Révélation afin que votre Envoyé,</w:t>
            </w:r>
          </w:p>
          <w:p w14:paraId="3B41B427"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Puisse à votre égard témoigner comme vous le ferez pour l’humanité.</w:t>
            </w:r>
          </w:p>
        </w:tc>
      </w:tr>
      <w:tr w:rsidR="00A70B78" w:rsidRPr="007C6A42" w14:paraId="0940511C" w14:textId="77777777" w:rsidTr="00AF4FC9">
        <w:tc>
          <w:tcPr>
            <w:tcW w:w="851" w:type="dxa"/>
            <w:tcBorders>
              <w:top w:val="single" w:sz="4" w:space="0" w:color="auto"/>
              <w:left w:val="single" w:sz="4" w:space="0" w:color="auto"/>
              <w:bottom w:val="single" w:sz="4" w:space="0" w:color="auto"/>
              <w:right w:val="single" w:sz="4" w:space="0" w:color="auto"/>
            </w:tcBorders>
          </w:tcPr>
          <w:p w14:paraId="0A624C0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Haf.</w:t>
            </w:r>
          </w:p>
        </w:tc>
        <w:tc>
          <w:tcPr>
            <w:tcW w:w="10065" w:type="dxa"/>
            <w:tcBorders>
              <w:top w:val="single" w:sz="4" w:space="0" w:color="auto"/>
              <w:left w:val="single" w:sz="4" w:space="0" w:color="auto"/>
              <w:bottom w:val="single" w:sz="4" w:space="0" w:color="auto"/>
              <w:right w:val="single" w:sz="4" w:space="0" w:color="auto"/>
            </w:tcBorders>
          </w:tcPr>
          <w:p w14:paraId="780C41AC"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rPr>
              <w:t>C’est Lui qui vous a élus. Il ne vous a imposé aucune gêne dans la religion, celle de votre père Abraham. C’est ce dernier qui vous a donné le nom de musulmans, autrefois et dans ce Coran, afin que le Messager soit témoin contre vous et que vous soyez témoin vous-mêmes contre les hommes.</w:t>
            </w:r>
          </w:p>
        </w:tc>
      </w:tr>
      <w:tr w:rsidR="00A70B78" w:rsidRPr="007C6A42" w14:paraId="78B965A4" w14:textId="77777777" w:rsidTr="00AF4FC9">
        <w:tc>
          <w:tcPr>
            <w:tcW w:w="851" w:type="dxa"/>
            <w:tcBorders>
              <w:top w:val="single" w:sz="4" w:space="0" w:color="auto"/>
              <w:left w:val="single" w:sz="4" w:space="0" w:color="auto"/>
              <w:bottom w:val="single" w:sz="4" w:space="0" w:color="auto"/>
              <w:right w:val="single" w:sz="4" w:space="0" w:color="auto"/>
            </w:tcBorders>
          </w:tcPr>
          <w:p w14:paraId="037448C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Gros.</w:t>
            </w:r>
          </w:p>
        </w:tc>
        <w:tc>
          <w:tcPr>
            <w:tcW w:w="10065" w:type="dxa"/>
            <w:tcBorders>
              <w:top w:val="single" w:sz="4" w:space="0" w:color="auto"/>
              <w:left w:val="single" w:sz="4" w:space="0" w:color="auto"/>
              <w:bottom w:val="single" w:sz="4" w:space="0" w:color="auto"/>
              <w:right w:val="single" w:sz="4" w:space="0" w:color="auto"/>
            </w:tcBorders>
          </w:tcPr>
          <w:p w14:paraId="1F180D0D"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Calibri" w:hAnsiTheme="majorBidi" w:cstheme="majorBidi"/>
              </w:rPr>
              <w:t>Il vous a choisis, il ne vous a pas imposé de gêne dans votre religion, la religion de votre père Abraham. Il vous a donné le nom de musulmans comme autrefois pour que l’apôtre soit témoin contre vous et que vous soyez témoins contre les hommes.</w:t>
            </w:r>
          </w:p>
        </w:tc>
      </w:tr>
      <w:tr w:rsidR="00A70B78" w:rsidRPr="007C6A42" w14:paraId="7AD7E11B" w14:textId="77777777" w:rsidTr="00AF4FC9">
        <w:tc>
          <w:tcPr>
            <w:tcW w:w="851" w:type="dxa"/>
            <w:tcBorders>
              <w:top w:val="single" w:sz="4" w:space="0" w:color="auto"/>
              <w:left w:val="single" w:sz="4" w:space="0" w:color="auto"/>
              <w:bottom w:val="single" w:sz="4" w:space="0" w:color="auto"/>
              <w:right w:val="single" w:sz="4" w:space="0" w:color="auto"/>
            </w:tcBorders>
          </w:tcPr>
          <w:p w14:paraId="7B7D2E13"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rPr>
              <w:t>Chiad.</w:t>
            </w:r>
          </w:p>
        </w:tc>
        <w:tc>
          <w:tcPr>
            <w:tcW w:w="10065" w:type="dxa"/>
            <w:tcBorders>
              <w:top w:val="single" w:sz="4" w:space="0" w:color="auto"/>
              <w:left w:val="single" w:sz="4" w:space="0" w:color="auto"/>
              <w:bottom w:val="single" w:sz="4" w:space="0" w:color="auto"/>
              <w:right w:val="single" w:sz="4" w:space="0" w:color="auto"/>
            </w:tcBorders>
          </w:tcPr>
          <w:p w14:paraId="0C5D8584"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Calibri" w:hAnsiTheme="majorBidi" w:cstheme="majorBidi"/>
              </w:rPr>
              <w:t>C’est Lui qui vous a élus, sans vous imposer aucune gêne dans votre religion, qui est la religion de votre père Abraham, lequel vous a lui-même déjà nommés « les musulmans », nom que vous portez encore dans ce Coran, afin que le Prophète soit témoin contre vous, et que vous soyez vous-mêmes témoins contre les hommes.</w:t>
            </w:r>
          </w:p>
        </w:tc>
      </w:tr>
      <w:tr w:rsidR="00A70B78" w:rsidRPr="007C6A42" w14:paraId="09106175" w14:textId="77777777" w:rsidTr="00AF4FC9">
        <w:tc>
          <w:tcPr>
            <w:tcW w:w="851" w:type="dxa"/>
            <w:tcBorders>
              <w:top w:val="single" w:sz="4" w:space="0" w:color="auto"/>
              <w:left w:val="single" w:sz="4" w:space="0" w:color="auto"/>
              <w:bottom w:val="single" w:sz="4" w:space="0" w:color="auto"/>
              <w:right w:val="single" w:sz="4" w:space="0" w:color="auto"/>
            </w:tcBorders>
          </w:tcPr>
          <w:p w14:paraId="46E3C5F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B. M.</w:t>
            </w:r>
          </w:p>
        </w:tc>
        <w:tc>
          <w:tcPr>
            <w:tcW w:w="10065" w:type="dxa"/>
            <w:tcBorders>
              <w:top w:val="single" w:sz="4" w:space="0" w:color="auto"/>
              <w:left w:val="single" w:sz="4" w:space="0" w:color="auto"/>
              <w:bottom w:val="single" w:sz="4" w:space="0" w:color="auto"/>
              <w:right w:val="single" w:sz="4" w:space="0" w:color="auto"/>
            </w:tcBorders>
          </w:tcPr>
          <w:p w14:paraId="2B2D6F37"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Calibri" w:hAnsiTheme="majorBidi" w:cstheme="majorBidi"/>
              </w:rPr>
              <w:t>Il vous a élus. Sa religion ne comporte aucune obligation pénible. C’est la religion de votre père Abraham. Dieu vous a donné le nom de musulmans. Il vous l’a donné dans ce Livre afin que le Prophète soit votre témoin et que vous soyez des témoins des autres hommes.</w:t>
            </w:r>
          </w:p>
        </w:tc>
      </w:tr>
      <w:tr w:rsidR="00A70B78" w:rsidRPr="007C6A42" w14:paraId="1DC6385C" w14:textId="77777777" w:rsidTr="00AF4FC9">
        <w:tc>
          <w:tcPr>
            <w:tcW w:w="851" w:type="dxa"/>
            <w:tcBorders>
              <w:top w:val="single" w:sz="4" w:space="0" w:color="auto"/>
              <w:left w:val="single" w:sz="4" w:space="0" w:color="auto"/>
              <w:bottom w:val="single" w:sz="4" w:space="0" w:color="auto"/>
              <w:right w:val="single" w:sz="4" w:space="0" w:color="auto"/>
            </w:tcBorders>
          </w:tcPr>
          <w:p w14:paraId="54777C2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Cheb.</w:t>
            </w:r>
          </w:p>
        </w:tc>
        <w:tc>
          <w:tcPr>
            <w:tcW w:w="10065" w:type="dxa"/>
            <w:tcBorders>
              <w:top w:val="single" w:sz="4" w:space="0" w:color="auto"/>
              <w:left w:val="single" w:sz="4" w:space="0" w:color="auto"/>
              <w:bottom w:val="single" w:sz="4" w:space="0" w:color="auto"/>
              <w:right w:val="single" w:sz="4" w:space="0" w:color="auto"/>
            </w:tcBorders>
          </w:tcPr>
          <w:p w14:paraId="06E1C16D"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choisis et ne vous a point contrariés dans le choix du culte de votre père Abraham. Il vous a nommés musulmans, soit ceux qui s’abandonnent à Dieu, et cela de manière anticipée, afin que vous soyez témoins des hommes de la même façon que le Prophète est votre témoin.</w:t>
            </w:r>
          </w:p>
        </w:tc>
      </w:tr>
      <w:tr w:rsidR="00A70B78" w:rsidRPr="007C6A42" w14:paraId="23304373" w14:textId="77777777" w:rsidTr="00AF4FC9">
        <w:tc>
          <w:tcPr>
            <w:tcW w:w="851" w:type="dxa"/>
            <w:tcBorders>
              <w:top w:val="single" w:sz="4" w:space="0" w:color="auto"/>
              <w:left w:val="single" w:sz="4" w:space="0" w:color="auto"/>
              <w:bottom w:val="single" w:sz="4" w:space="0" w:color="auto"/>
              <w:right w:val="single" w:sz="4" w:space="0" w:color="auto"/>
            </w:tcBorders>
          </w:tcPr>
          <w:p w14:paraId="586CD904"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Abdel</w:t>
            </w:r>
            <w:r w:rsidRPr="007C6A42">
              <w:rPr>
                <w:rFonts w:asciiTheme="majorBidi" w:eastAsia="Times New Roman" w:hAnsiTheme="majorBidi" w:cstheme="majorBidi"/>
                <w:color w:val="000000"/>
              </w:rPr>
              <w:lastRenderedPageBreak/>
              <w:t>.</w:t>
            </w:r>
          </w:p>
        </w:tc>
        <w:tc>
          <w:tcPr>
            <w:tcW w:w="10065" w:type="dxa"/>
            <w:tcBorders>
              <w:top w:val="single" w:sz="4" w:space="0" w:color="auto"/>
              <w:left w:val="single" w:sz="4" w:space="0" w:color="auto"/>
              <w:bottom w:val="single" w:sz="4" w:space="0" w:color="auto"/>
              <w:right w:val="single" w:sz="4" w:space="0" w:color="auto"/>
            </w:tcBorders>
          </w:tcPr>
          <w:p w14:paraId="62CE661D"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Calibri" w:hAnsiTheme="majorBidi" w:cstheme="majorBidi"/>
              </w:rPr>
              <w:lastRenderedPageBreak/>
              <w:t xml:space="preserve">Il vous A Élus et ne vous Imposa nulle gêne en religion, la confession de votre père Abraham. C’est </w:t>
            </w:r>
            <w:r w:rsidRPr="007C6A42">
              <w:rPr>
                <w:rFonts w:asciiTheme="majorBidi" w:eastAsia="Calibri" w:hAnsiTheme="majorBidi" w:cstheme="majorBidi"/>
              </w:rPr>
              <w:lastRenderedPageBreak/>
              <w:t>Lui qui vous A déjà Nommés musulmans, auparavant, et dans ceci (le Qur’ān) : afin que le Messager soit témoin sur vous et que vous soyez témoins sur les hommes.</w:t>
            </w:r>
          </w:p>
        </w:tc>
      </w:tr>
      <w:tr w:rsidR="00A70B78" w:rsidRPr="007C6A42" w14:paraId="4EC255CA" w14:textId="77777777" w:rsidTr="00AF4FC9">
        <w:tc>
          <w:tcPr>
            <w:tcW w:w="851" w:type="dxa"/>
            <w:tcBorders>
              <w:top w:val="single" w:sz="4" w:space="0" w:color="auto"/>
              <w:left w:val="single" w:sz="4" w:space="0" w:color="auto"/>
              <w:bottom w:val="single" w:sz="4" w:space="0" w:color="auto"/>
              <w:right w:val="single" w:sz="4" w:space="0" w:color="auto"/>
            </w:tcBorders>
          </w:tcPr>
          <w:p w14:paraId="0D984F3F"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lastRenderedPageBreak/>
              <w:t>Ald.</w:t>
            </w:r>
          </w:p>
        </w:tc>
        <w:tc>
          <w:tcPr>
            <w:tcW w:w="10065" w:type="dxa"/>
            <w:tcBorders>
              <w:top w:val="single" w:sz="4" w:space="0" w:color="auto"/>
              <w:left w:val="single" w:sz="4" w:space="0" w:color="auto"/>
              <w:bottom w:val="single" w:sz="4" w:space="0" w:color="auto"/>
              <w:right w:val="single" w:sz="4" w:space="0" w:color="auto"/>
            </w:tcBorders>
          </w:tcPr>
          <w:p w14:paraId="2724EDC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C’est lui qui vous a élus. Il ne vous a fait aucune gêne dans la religion, celle de votre père Abraham. C’est lui qui vous a nommés auparavant les soumis, comme dans ce [Livre], afin que l'envoyé soit témoin à l'encontre de vous, et que vous soyez témoins à l'encontre des humains.</w:t>
            </w:r>
          </w:p>
        </w:tc>
      </w:tr>
    </w:tbl>
    <w:p w14:paraId="1061FB34" w14:textId="77777777" w:rsidR="00A70B78" w:rsidRPr="007C6A42" w:rsidRDefault="00A70B78" w:rsidP="00A70B78">
      <w:pPr>
        <w:spacing w:line="360" w:lineRule="auto"/>
        <w:jc w:val="both"/>
        <w:rPr>
          <w:rFonts w:asciiTheme="majorBidi" w:hAnsiTheme="majorBidi" w:cstheme="majorBidi"/>
        </w:rPr>
      </w:pPr>
    </w:p>
    <w:p w14:paraId="19EEC50C" w14:textId="77777777" w:rsidR="00A70B78" w:rsidRPr="007C6A42" w:rsidRDefault="00A70B78" w:rsidP="00A70B78">
      <w:pPr>
        <w:spacing w:line="360" w:lineRule="auto"/>
        <w:ind w:firstLine="708"/>
        <w:jc w:val="both"/>
        <w:rPr>
          <w:rFonts w:asciiTheme="majorBidi" w:eastAsia="Calibri" w:hAnsiTheme="majorBidi" w:cstheme="majorBidi"/>
        </w:rPr>
      </w:pPr>
      <w:r w:rsidRPr="007C6A42">
        <w:rPr>
          <w:rFonts w:asciiTheme="majorBidi" w:hAnsiTheme="majorBidi" w:cstheme="majorBidi"/>
        </w:rPr>
        <w:t xml:space="preserve">Dans une tendance de clarification (selon A. Berman), douze traductions ont traduit le pronom </w:t>
      </w:r>
      <w:r w:rsidRPr="007C6A42">
        <w:rPr>
          <w:rFonts w:asciiTheme="majorBidi" w:hAnsiTheme="majorBidi" w:cstheme="majorBidi"/>
          <w:i/>
          <w:iCs/>
          <w:lang w:bidi="ar-AE"/>
        </w:rPr>
        <w:t>hādhā</w:t>
      </w:r>
      <w:r w:rsidRPr="007C6A42">
        <w:rPr>
          <w:rFonts w:asciiTheme="majorBidi" w:hAnsiTheme="majorBidi" w:cstheme="majorBidi"/>
          <w:b/>
          <w:bCs/>
          <w:lang w:bidi="ar-AE"/>
        </w:rPr>
        <w:t xml:space="preserve"> </w:t>
      </w:r>
      <w:r w:rsidRPr="007C6A42">
        <w:rPr>
          <w:rFonts w:asciiTheme="majorBidi" w:hAnsiTheme="majorBidi" w:cstheme="majorBidi"/>
        </w:rPr>
        <w:t>par un substantif : Livre, Coran, Révélation. Mais cinq traducteurs l’ont traduit par un adverbe de lieu qui désigne le Coran (Hamidullah et Masson) ou par un pronom démonstratif utilisé comme un mot de liaison (Chouraqui, Berque et Chebel). Seul Grosjean l’a omis. Abdelaziz, elle ne s’est pas contentée de préciser qu’il s’agit du Coran, mais elle a mis le mot en gras et en translittération savante entre parenthèses, en gardant un équivalent français du pronom démonstratif arabe de proximité : « </w:t>
      </w:r>
      <w:r w:rsidRPr="007C6A42">
        <w:rPr>
          <w:rFonts w:asciiTheme="majorBidi" w:eastAsia="Calibri" w:hAnsiTheme="majorBidi" w:cstheme="majorBidi"/>
        </w:rPr>
        <w:t>ceci (</w:t>
      </w:r>
      <w:r w:rsidRPr="007C6A42">
        <w:rPr>
          <w:rFonts w:asciiTheme="majorBidi" w:eastAsia="Calibri" w:hAnsiTheme="majorBidi" w:cstheme="majorBidi"/>
          <w:b/>
        </w:rPr>
        <w:t>le Qur’ān</w:t>
      </w:r>
      <w:r w:rsidRPr="007C6A42">
        <w:rPr>
          <w:rFonts w:asciiTheme="majorBidi" w:eastAsia="Calibri" w:hAnsiTheme="majorBidi" w:cstheme="majorBidi"/>
        </w:rPr>
        <w:t xml:space="preserve">) ». Elle a traduit littéralement puis elle a clarifié le pronom en soulignant l’identité musulmane. </w:t>
      </w:r>
    </w:p>
    <w:p w14:paraId="780A17F3" w14:textId="77777777" w:rsidR="00A70B78" w:rsidRPr="007C6A42" w:rsidRDefault="00A70B78" w:rsidP="00A70B78">
      <w:pPr>
        <w:spacing w:line="360" w:lineRule="auto"/>
        <w:ind w:firstLine="708"/>
        <w:jc w:val="both"/>
        <w:rPr>
          <w:rFonts w:asciiTheme="majorBidi" w:eastAsia="Calibri" w:hAnsiTheme="majorBidi" w:cstheme="majorBidi"/>
        </w:rPr>
      </w:pPr>
      <w:r w:rsidRPr="007C6A42">
        <w:rPr>
          <w:rFonts w:asciiTheme="majorBidi" w:eastAsia="Times New Roman" w:hAnsiTheme="majorBidi" w:cstheme="majorBidi"/>
        </w:rPr>
        <w:t xml:space="preserve">Savary a donné la traduction la plus longue en rendant le syntagme </w:t>
      </w:r>
      <w:r w:rsidRPr="007C6A42">
        <w:rPr>
          <w:rFonts w:asciiTheme="majorBidi" w:eastAsia="Times New Roman" w:hAnsiTheme="majorBidi" w:cstheme="majorBidi"/>
          <w:i/>
          <w:iCs/>
        </w:rPr>
        <w:t>wa-fī hādhā</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litt. </w:t>
      </w:r>
      <w:r w:rsidRPr="007C6A42">
        <w:rPr>
          <w:rFonts w:asciiTheme="majorBidi" w:eastAsia="Times New Roman" w:hAnsiTheme="majorBidi" w:cstheme="majorBidi"/>
        </w:rPr>
        <w:t>: « et dans ceci »] par : « Le Coran vous confirme ce titre glorieux ». Cette clarification doublée d’un allongement modifie le sens par l’ajout de la notion de « confirmation » et le jugement élogieux contenu dans « titre glorieux ».</w:t>
      </w:r>
    </w:p>
    <w:p w14:paraId="3645C721" w14:textId="77777777" w:rsidR="00A70B78" w:rsidRPr="007C6A42" w:rsidRDefault="00A70B78" w:rsidP="00A70B78">
      <w:pPr>
        <w:spacing w:line="360" w:lineRule="auto"/>
        <w:ind w:firstLine="709"/>
        <w:jc w:val="both"/>
        <w:rPr>
          <w:rFonts w:asciiTheme="majorBidi" w:eastAsia="Calibri" w:hAnsiTheme="majorBidi" w:cstheme="majorBidi"/>
        </w:rPr>
      </w:pPr>
      <w:r w:rsidRPr="007C6A42">
        <w:rPr>
          <w:rFonts w:asciiTheme="majorBidi" w:eastAsia="Calibri" w:hAnsiTheme="majorBidi" w:cstheme="majorBidi"/>
        </w:rPr>
        <w:t>En ce qui concerne ce pronom, les exégèses restent plus riches au plan polysémique que les traductions.</w:t>
      </w:r>
    </w:p>
    <w:p w14:paraId="2DF50E96" w14:textId="178C6143" w:rsidR="00A70B78" w:rsidRPr="007C6A42" w:rsidRDefault="00A70B78" w:rsidP="00A70B78">
      <w:pPr>
        <w:spacing w:line="360" w:lineRule="auto"/>
        <w:ind w:firstLine="709"/>
        <w:contextualSpacing/>
        <w:jc w:val="both"/>
        <w:rPr>
          <w:rFonts w:asciiTheme="majorBidi" w:eastAsia="Times New Roman" w:hAnsiTheme="majorBidi" w:cstheme="majorBidi"/>
          <w:rtl/>
        </w:rPr>
      </w:pPr>
      <w:r w:rsidRPr="007C6A42">
        <w:rPr>
          <w:rFonts w:asciiTheme="majorBidi" w:eastAsia="Times New Roman" w:hAnsiTheme="majorBidi" w:cstheme="majorBidi"/>
        </w:rPr>
        <w:t xml:space="preserve">Nous savons bien qu’aucune traduction, aussi parfaite qu’elle soit, ne peut refléter toute la riche tradition exégétique du Coran qui s’étend sur douze siècles de lectures confessionnelles (affirmant les appartenances religieuses des communautés des lecteurs) et de conflits idéologiques et sociopolitiques, alors que la tradition traductionnelle du Coran en français n’atteint, elle, même pas quatre siècles. En effet, la première traduction en français (celle d’André Du Ryer) est apparue en </w:t>
      </w:r>
      <w:r w:rsidRPr="007C6A42">
        <w:rPr>
          <w:rFonts w:asciiTheme="majorBidi" w:eastAsia="Calibri" w:hAnsiTheme="majorBidi" w:cstheme="majorBidi"/>
          <w:lang w:bidi="ar-AE"/>
        </w:rPr>
        <w:t>1647. Depuis, les traducteurs sont généralement partis des traductions de leurs prédécesseurs pour les améliorer et s’approcher de plus en plus de la littéralité du texte de départ.</w:t>
      </w:r>
      <w:r w:rsidRPr="007C6A42">
        <w:rPr>
          <w:rFonts w:asciiTheme="majorBidi" w:eastAsia="Times New Roman" w:hAnsiTheme="majorBidi" w:cstheme="majorBidi"/>
        </w:rPr>
        <w:t xml:space="preserve"> Nous pouvons dire que l’ensemble</w:t>
      </w:r>
      <w:r w:rsidR="004D5880">
        <w:rPr>
          <w:rFonts w:asciiTheme="majorBidi" w:eastAsia="Times New Roman" w:hAnsiTheme="majorBidi" w:cstheme="majorBidi"/>
        </w:rPr>
        <w:t xml:space="preserve"> des traductions en français a</w:t>
      </w:r>
      <w:r w:rsidRPr="007C6A42">
        <w:rPr>
          <w:rFonts w:asciiTheme="majorBidi" w:eastAsia="Times New Roman" w:hAnsiTheme="majorBidi" w:cstheme="majorBidi"/>
        </w:rPr>
        <w:t xml:space="preserve"> pu rendre une grande partie des exégèses sunnites avec une modification notamment à travers l’ennoblissement (ou </w:t>
      </w:r>
      <w:r w:rsidRPr="007C6A42">
        <w:rPr>
          <w:rFonts w:asciiTheme="majorBidi" w:hAnsiTheme="majorBidi" w:cstheme="majorBidi"/>
        </w:rPr>
        <w:t>la rhétorisation embellissante),</w:t>
      </w:r>
      <w:r w:rsidRPr="007C6A42">
        <w:rPr>
          <w:rFonts w:asciiTheme="majorBidi" w:eastAsia="Times New Roman" w:hAnsiTheme="majorBidi" w:cstheme="majorBidi"/>
        </w:rPr>
        <w:t xml:space="preserve"> la clarification et l’homogénéisation.</w:t>
      </w:r>
    </w:p>
    <w:p w14:paraId="2D3D62EA" w14:textId="77777777" w:rsidR="00A70B78" w:rsidRPr="007C6A42" w:rsidRDefault="00A70B78" w:rsidP="00A70B78">
      <w:pPr>
        <w:spacing w:line="360" w:lineRule="auto"/>
        <w:ind w:firstLine="709"/>
        <w:jc w:val="both"/>
        <w:rPr>
          <w:rFonts w:asciiTheme="majorBidi" w:eastAsia="Calibri" w:hAnsiTheme="majorBidi" w:cstheme="majorBidi"/>
        </w:rPr>
      </w:pPr>
    </w:p>
    <w:p w14:paraId="27087D5B"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lastRenderedPageBreak/>
        <w:br w:type="page"/>
      </w:r>
    </w:p>
    <w:p w14:paraId="0CFEB331" w14:textId="77777777" w:rsidR="00A70B78" w:rsidRPr="007C6A42" w:rsidRDefault="00A70B78" w:rsidP="00A70B78">
      <w:pPr>
        <w:spacing w:line="360" w:lineRule="auto"/>
        <w:jc w:val="center"/>
        <w:rPr>
          <w:rFonts w:asciiTheme="majorBidi" w:eastAsia="Calibri" w:hAnsiTheme="majorBidi" w:cstheme="majorBidi"/>
          <w:b/>
          <w:bCs/>
          <w:lang w:bidi="ar-AE"/>
        </w:rPr>
      </w:pPr>
      <w:r>
        <w:rPr>
          <w:rFonts w:asciiTheme="majorBidi" w:eastAsia="Calibri" w:hAnsiTheme="majorBidi" w:cstheme="majorBidi"/>
          <w:b/>
          <w:bCs/>
          <w:lang w:bidi="ar-AE"/>
        </w:rPr>
        <w:lastRenderedPageBreak/>
        <w:t>Chapitre IX</w:t>
      </w:r>
    </w:p>
    <w:p w14:paraId="222D0790" w14:textId="77777777" w:rsidR="00A70B78" w:rsidRPr="007C6A42" w:rsidRDefault="00A70B78" w:rsidP="00A70B78">
      <w:pPr>
        <w:pStyle w:val="Paragraphedeliste"/>
        <w:bidi w:val="0"/>
        <w:spacing w:after="0" w:line="360" w:lineRule="auto"/>
        <w:ind w:left="0"/>
        <w:contextualSpacing/>
        <w:jc w:val="center"/>
        <w:outlineLvl w:val="0"/>
        <w:rPr>
          <w:rFonts w:asciiTheme="majorBidi" w:hAnsiTheme="majorBidi" w:cstheme="majorBidi"/>
          <w:sz w:val="24"/>
          <w:szCs w:val="24"/>
        </w:rPr>
      </w:pPr>
      <w:r w:rsidRPr="007C6A42">
        <w:rPr>
          <w:rFonts w:asciiTheme="majorBidi" w:hAnsiTheme="majorBidi" w:cstheme="majorBidi"/>
          <w:b/>
          <w:bCs/>
          <w:sz w:val="24"/>
          <w:szCs w:val="24"/>
        </w:rPr>
        <w:t>Polysémie lexicale des traductions</w:t>
      </w:r>
    </w:p>
    <w:p w14:paraId="3487F1F6" w14:textId="77777777" w:rsidR="00A70B78" w:rsidRPr="007C6A42" w:rsidRDefault="00A70B78" w:rsidP="00A70B78">
      <w:pPr>
        <w:spacing w:line="360" w:lineRule="auto"/>
        <w:contextualSpacing/>
        <w:jc w:val="both"/>
        <w:rPr>
          <w:rFonts w:asciiTheme="majorBidi" w:hAnsiTheme="majorBidi" w:cstheme="majorBidi"/>
        </w:rPr>
      </w:pPr>
    </w:p>
    <w:p w14:paraId="5E5A2B41" w14:textId="77777777" w:rsidR="00A70B78" w:rsidRPr="007C6A42" w:rsidRDefault="00A70B78" w:rsidP="00A70B78">
      <w:pPr>
        <w:spacing w:line="360" w:lineRule="auto"/>
        <w:ind w:firstLine="708"/>
        <w:contextualSpacing/>
        <w:jc w:val="both"/>
        <w:rPr>
          <w:rFonts w:asciiTheme="majorBidi" w:hAnsiTheme="majorBidi" w:cstheme="majorBidi"/>
        </w:rPr>
      </w:pPr>
      <w:r w:rsidRPr="007C6A42">
        <w:rPr>
          <w:rFonts w:asciiTheme="majorBidi" w:hAnsiTheme="majorBidi" w:cstheme="majorBidi"/>
        </w:rPr>
        <w:t>Nous avons vu dans la première partie comment et à quel point le mot coranique peut être polysémique, voire antonyme ou énantiosémique. Quand le traducteur opère un choix, il va exclure un sens, ou plus précisément un ou plusieurs sèmes. Il s’ensuit qu’il y a forcément dans la traduction, aussi "fidèle" soit-elle, une modification, aussi minime soit-elle, car, comme le dit A. Berman à juste titre, « traduire n’est pas chercher des équivalences »</w:t>
      </w:r>
      <w:r w:rsidRPr="007C6A42">
        <w:rPr>
          <w:rStyle w:val="Appelnotedebasdep"/>
          <w:rFonts w:asciiTheme="majorBidi" w:hAnsiTheme="majorBidi" w:cstheme="majorBidi"/>
        </w:rPr>
        <w:footnoteReference w:id="504"/>
      </w:r>
      <w:r w:rsidRPr="007C6A42">
        <w:rPr>
          <w:rFonts w:asciiTheme="majorBidi" w:hAnsiTheme="majorBidi" w:cstheme="majorBidi"/>
        </w:rPr>
        <w:t>. Le produit traductionnel n’est pas égal au texte utilisé comme matière première.  Dans ce chapitre, nous allons aborder l’analyse de quelques traductions de mots génériques qui sont polysémiques dans le texte arabe ou bien qui sont monosémiques ou encore ignorés par les exégètes comme si leur sens était évident, de quelques termes équivoques (</w:t>
      </w:r>
      <w:r w:rsidRPr="007C6A42">
        <w:rPr>
          <w:rFonts w:asciiTheme="majorBidi" w:hAnsiTheme="majorBidi" w:cstheme="majorBidi"/>
          <w:i/>
          <w:iCs/>
        </w:rPr>
        <w:t>mutashābihāt</w:t>
      </w:r>
      <w:r w:rsidRPr="007C6A42">
        <w:rPr>
          <w:rFonts w:asciiTheme="majorBidi" w:hAnsiTheme="majorBidi" w:cstheme="majorBidi"/>
        </w:rPr>
        <w:t xml:space="preserve">) dans le texte arabe, de quelques termes </w:t>
      </w:r>
      <w:r w:rsidRPr="007C6A42">
        <w:rPr>
          <w:rFonts w:asciiTheme="majorBidi" w:hAnsiTheme="majorBidi" w:cstheme="majorBidi"/>
          <w:i/>
          <w:iCs/>
        </w:rPr>
        <w:t>hapax</w:t>
      </w:r>
      <w:r w:rsidRPr="007C6A42">
        <w:rPr>
          <w:rFonts w:asciiTheme="majorBidi" w:hAnsiTheme="majorBidi" w:cstheme="majorBidi"/>
        </w:rPr>
        <w:t xml:space="preserve"> qui </w:t>
      </w:r>
      <w:r w:rsidRPr="007C6A42">
        <w:rPr>
          <w:rFonts w:asciiTheme="majorBidi" w:eastAsia="Calibri" w:hAnsiTheme="majorBidi" w:cstheme="majorBidi"/>
          <w:lang w:bidi="ar-AE"/>
        </w:rPr>
        <w:t>posaient déjà un problème de compréhension en arabe</w:t>
      </w:r>
      <w:r w:rsidRPr="007C6A42">
        <w:rPr>
          <w:rFonts w:asciiTheme="majorBidi" w:hAnsiTheme="majorBidi" w:cstheme="majorBidi"/>
        </w:rPr>
        <w:t xml:space="preserve">. </w:t>
      </w:r>
    </w:p>
    <w:p w14:paraId="1C989A2E" w14:textId="77777777" w:rsidR="00A96E5B" w:rsidRPr="008F1B81" w:rsidRDefault="00A96E5B" w:rsidP="00A96E5B">
      <w:pPr>
        <w:spacing w:line="360" w:lineRule="auto"/>
        <w:contextualSpacing/>
        <w:rPr>
          <w:rFonts w:asciiTheme="majorBidi" w:hAnsiTheme="majorBidi" w:cstheme="majorBidi"/>
        </w:rPr>
      </w:pPr>
    </w:p>
    <w:p w14:paraId="1CA4A51E" w14:textId="4234364F" w:rsidR="00A70B78" w:rsidRPr="004B3A5D" w:rsidRDefault="00A96E5B" w:rsidP="004B3A5D">
      <w:pPr>
        <w:spacing w:line="360" w:lineRule="auto"/>
        <w:contextualSpacing/>
        <w:rPr>
          <w:rFonts w:asciiTheme="majorBidi" w:hAnsiTheme="majorBidi" w:cstheme="majorBidi"/>
          <w:b/>
          <w:bCs/>
        </w:rPr>
      </w:pPr>
      <w:r w:rsidRPr="008F1B81">
        <w:rPr>
          <w:rFonts w:asciiTheme="majorBidi" w:hAnsiTheme="majorBidi" w:cstheme="majorBidi"/>
          <w:b/>
          <w:bCs/>
        </w:rPr>
        <w:t xml:space="preserve">9.1. </w:t>
      </w:r>
      <w:r w:rsidR="00A70B78" w:rsidRPr="008F1B81">
        <w:rPr>
          <w:rFonts w:asciiTheme="majorBidi" w:hAnsiTheme="majorBidi" w:cstheme="majorBidi"/>
          <w:b/>
          <w:bCs/>
        </w:rPr>
        <w:t>Traduction de quelques mots génériques :</w:t>
      </w:r>
    </w:p>
    <w:p w14:paraId="735F2B17" w14:textId="77777777" w:rsidR="00A70B78" w:rsidRPr="007C6A42" w:rsidRDefault="00A70B78" w:rsidP="00A70B78">
      <w:pPr>
        <w:spacing w:line="360" w:lineRule="auto"/>
        <w:contextualSpacing/>
        <w:jc w:val="both"/>
        <w:rPr>
          <w:rFonts w:asciiTheme="majorBidi" w:eastAsia="Times New Roman" w:hAnsiTheme="majorBidi" w:cstheme="majorBidi"/>
          <w:b/>
          <w:bCs/>
          <w:lang w:bidi="ar-AE"/>
        </w:rPr>
      </w:pPr>
      <w:r w:rsidRPr="007C6A42">
        <w:rPr>
          <w:rFonts w:asciiTheme="majorBidi" w:eastAsia="Times New Roman" w:hAnsiTheme="majorBidi" w:cstheme="majorBidi"/>
          <w:b/>
          <w:bCs/>
        </w:rPr>
        <w:t>Traductions de mots de l’incipit (v. 1 &amp; 2) de la sourate (</w:t>
      </w:r>
      <w:r w:rsidRPr="007C6A42">
        <w:rPr>
          <w:rFonts w:asciiTheme="majorBidi" w:eastAsia="Times New Roman" w:hAnsiTheme="majorBidi" w:cstheme="majorBidi"/>
          <w:b/>
          <w:bCs/>
          <w:i/>
          <w:iCs/>
        </w:rPr>
        <w:t>an-nās</w:t>
      </w:r>
      <w:r w:rsidRPr="007C6A42">
        <w:rPr>
          <w:rFonts w:asciiTheme="majorBidi" w:eastAsia="Times New Roman" w:hAnsiTheme="majorBidi" w:cstheme="majorBidi"/>
          <w:b/>
          <w:bCs/>
        </w:rPr>
        <w:t>,</w:t>
      </w:r>
      <w:r w:rsidRPr="007C6A42">
        <w:rPr>
          <w:rFonts w:asciiTheme="majorBidi" w:eastAsia="Times New Roman" w:hAnsiTheme="majorBidi" w:cstheme="majorBidi"/>
          <w:b/>
          <w:bCs/>
          <w:i/>
          <w:iCs/>
        </w:rPr>
        <w:t xml:space="preserve"> ittaqū</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b/>
          <w:bCs/>
          <w:i/>
          <w:iCs/>
        </w:rPr>
        <w:t>rabba-kum</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b/>
          <w:bCs/>
          <w:i/>
          <w:iCs/>
        </w:rPr>
        <w:t>zalzala</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b/>
          <w:bCs/>
          <w:i/>
          <w:iCs/>
        </w:rPr>
        <w:t>as-sāʿa</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b/>
          <w:bCs/>
          <w:i/>
          <w:iCs/>
        </w:rPr>
        <w:t>ʿaẓīm</w:t>
      </w:r>
      <w:r w:rsidRPr="007C6A42">
        <w:rPr>
          <w:rFonts w:asciiTheme="majorBidi" w:eastAsia="Times New Roman" w:hAnsiTheme="majorBidi" w:cstheme="majorBidi"/>
          <w:b/>
          <w:bCs/>
        </w:rPr>
        <w:t>, etc.) :</w:t>
      </w:r>
    </w:p>
    <w:p w14:paraId="2504FE3A" w14:textId="77777777" w:rsidR="00A70B78" w:rsidRPr="007C6A42" w:rsidRDefault="00A70B78" w:rsidP="00A70B78">
      <w:pPr>
        <w:spacing w:line="360" w:lineRule="auto"/>
        <w:contextualSpacing/>
        <w:jc w:val="both"/>
        <w:rPr>
          <w:rFonts w:asciiTheme="majorBidi" w:eastAsia="Times New Roman" w:hAnsiTheme="majorBidi" w:cstheme="majorBidi"/>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403"/>
        <w:gridCol w:w="6828"/>
      </w:tblGrid>
      <w:tr w:rsidR="00A70B78" w:rsidRPr="007C6A42" w14:paraId="1A1B7073" w14:textId="77777777" w:rsidTr="00AF4FC9">
        <w:tc>
          <w:tcPr>
            <w:tcW w:w="2117" w:type="dxa"/>
            <w:tcBorders>
              <w:top w:val="single" w:sz="4" w:space="0" w:color="auto"/>
              <w:left w:val="single" w:sz="4" w:space="0" w:color="auto"/>
              <w:bottom w:val="single" w:sz="4" w:space="0" w:color="auto"/>
              <w:right w:val="single" w:sz="4" w:space="0" w:color="auto"/>
            </w:tcBorders>
          </w:tcPr>
          <w:p w14:paraId="4B99CE10"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Texte-source (v. 1-2)</w:t>
            </w:r>
          </w:p>
        </w:tc>
        <w:tc>
          <w:tcPr>
            <w:tcW w:w="1403" w:type="dxa"/>
            <w:tcBorders>
              <w:top w:val="single" w:sz="4" w:space="0" w:color="auto"/>
              <w:left w:val="single" w:sz="4" w:space="0" w:color="auto"/>
              <w:bottom w:val="single" w:sz="4" w:space="0" w:color="auto"/>
              <w:right w:val="single" w:sz="4" w:space="0" w:color="auto"/>
            </w:tcBorders>
          </w:tcPr>
          <w:p w14:paraId="6683113B"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Traducteur</w:t>
            </w:r>
          </w:p>
        </w:tc>
        <w:tc>
          <w:tcPr>
            <w:tcW w:w="6828" w:type="dxa"/>
            <w:tcBorders>
              <w:top w:val="single" w:sz="4" w:space="0" w:color="auto"/>
              <w:left w:val="single" w:sz="4" w:space="0" w:color="auto"/>
              <w:bottom w:val="single" w:sz="4" w:space="0" w:color="auto"/>
              <w:right w:val="single" w:sz="4" w:space="0" w:color="auto"/>
            </w:tcBorders>
          </w:tcPr>
          <w:p w14:paraId="4D38E0F8"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Texte-cible (traduction)</w:t>
            </w:r>
          </w:p>
        </w:tc>
      </w:tr>
      <w:tr w:rsidR="00A70B78" w:rsidRPr="007C6A42" w14:paraId="7C42A2CA" w14:textId="77777777" w:rsidTr="00AF4FC9">
        <w:tc>
          <w:tcPr>
            <w:tcW w:w="2117" w:type="dxa"/>
            <w:vMerge w:val="restart"/>
            <w:tcBorders>
              <w:top w:val="single" w:sz="4" w:space="0" w:color="auto"/>
              <w:left w:val="single" w:sz="4" w:space="0" w:color="auto"/>
              <w:bottom w:val="single" w:sz="4" w:space="0" w:color="auto"/>
              <w:right w:val="single" w:sz="4" w:space="0" w:color="auto"/>
            </w:tcBorders>
          </w:tcPr>
          <w:p w14:paraId="29B5A3E6" w14:textId="77777777" w:rsidR="00A70B78" w:rsidRPr="007C6A42" w:rsidRDefault="00A70B78" w:rsidP="00AF4FC9">
            <w:pPr>
              <w:bidi/>
              <w:spacing w:line="360" w:lineRule="auto"/>
              <w:contextualSpacing/>
              <w:jc w:val="both"/>
              <w:rPr>
                <w:rFonts w:asciiTheme="majorBidi" w:eastAsia="Times New Roman" w:hAnsiTheme="majorBidi" w:cstheme="majorBidi"/>
                <w:lang w:bidi="ar-KW"/>
              </w:rPr>
            </w:pPr>
            <w:r w:rsidRPr="007C6A42">
              <w:rPr>
                <w:rFonts w:asciiTheme="majorBidi" w:eastAsia="Times New Roman" w:hAnsiTheme="majorBidi" w:cstheme="majorBidi"/>
                <w:rtl/>
                <w:lang w:bidi="ar-AE"/>
              </w:rPr>
              <w:t xml:space="preserve"> [“</w:t>
            </w:r>
            <w:r w:rsidRPr="007C6A42">
              <w:rPr>
                <w:rFonts w:asciiTheme="majorBidi" w:eastAsia="Times New Roman" w:hAnsiTheme="majorBidi" w:cstheme="majorBidi"/>
                <w:rtl/>
              </w:rPr>
              <w:t>يا أَيُّها النَّاسُ اتَّـــقُوا رَبَّكُمْ إِنَّ زَلْزَلَةَ السَّاعةِ شَيءٌ عَظِيم. يَومَ تَرَوْنَها تَذْهَلُ كُلُّ مُرْضِعَةٍ عَمَّا أَرْضَعَتْ وتَضَعُ كُلُّ ذَاتِ حَمْلٍ حَمْلَهَا وَتَرَى النَّاسَ سُكارَى وما هُم بِسُكارَى ولكِنَّ عَذابَ اللهِ شَدِيد.</w:t>
            </w:r>
            <w:r w:rsidRPr="007C6A42">
              <w:rPr>
                <w:rFonts w:asciiTheme="majorBidi" w:eastAsia="Times New Roman" w:hAnsiTheme="majorBidi" w:cstheme="majorBidi"/>
                <w:rtl/>
                <w:lang w:bidi="ar-AE"/>
              </w:rPr>
              <w:t>”]</w:t>
            </w:r>
          </w:p>
        </w:tc>
        <w:tc>
          <w:tcPr>
            <w:tcW w:w="1403" w:type="dxa"/>
            <w:tcBorders>
              <w:top w:val="single" w:sz="4" w:space="0" w:color="auto"/>
              <w:left w:val="single" w:sz="4" w:space="0" w:color="auto"/>
              <w:bottom w:val="single" w:sz="4" w:space="0" w:color="auto"/>
              <w:right w:val="single" w:sz="4" w:space="0" w:color="auto"/>
            </w:tcBorders>
          </w:tcPr>
          <w:p w14:paraId="385D8A45"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D.R.</w:t>
            </w:r>
            <w:r w:rsidRPr="007C6A42">
              <w:rPr>
                <w:rFonts w:asciiTheme="majorBidi" w:eastAsia="Calibri" w:hAnsiTheme="majorBidi" w:cstheme="majorBidi"/>
                <w:lang w:bidi="ar-AE"/>
              </w:rPr>
              <w:t xml:space="preserve"> (1647)</w:t>
            </w:r>
          </w:p>
        </w:tc>
        <w:tc>
          <w:tcPr>
            <w:tcW w:w="6828" w:type="dxa"/>
            <w:tcBorders>
              <w:top w:val="single" w:sz="4" w:space="0" w:color="auto"/>
              <w:left w:val="single" w:sz="4" w:space="0" w:color="auto"/>
              <w:bottom w:val="single" w:sz="4" w:space="0" w:color="auto"/>
              <w:right w:val="single" w:sz="4" w:space="0" w:color="auto"/>
            </w:tcBorders>
          </w:tcPr>
          <w:p w14:paraId="778E392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O peuple craignez Dieu, le tremblement de Terre qui arrivera au jour du Jugement fera estrange,</w:t>
            </w:r>
          </w:p>
          <w:p w14:paraId="26328C7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vous verrez ce jour les mères oublier leurs enfants, &amp; que chacun portera son fardeau, vous verrez le peuple yvre non pas de vin, mais estourdy &amp; estonné des grands chastimens de Dieu.</w:t>
            </w:r>
          </w:p>
        </w:tc>
      </w:tr>
      <w:tr w:rsidR="00A70B78" w:rsidRPr="007C6A42" w14:paraId="6A875B1B"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236C1420"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044CC31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 xml:space="preserve">Sav. </w:t>
            </w:r>
            <w:r w:rsidRPr="007C6A42">
              <w:rPr>
                <w:rFonts w:asciiTheme="majorBidi" w:eastAsia="Calibri" w:hAnsiTheme="majorBidi" w:cstheme="majorBidi"/>
                <w:lang w:bidi="ar-AE"/>
              </w:rPr>
              <w:t>(1782)</w:t>
            </w:r>
          </w:p>
        </w:tc>
        <w:tc>
          <w:tcPr>
            <w:tcW w:w="6828" w:type="dxa"/>
            <w:tcBorders>
              <w:top w:val="single" w:sz="4" w:space="0" w:color="auto"/>
              <w:left w:val="single" w:sz="4" w:space="0" w:color="auto"/>
              <w:bottom w:val="single" w:sz="4" w:space="0" w:color="auto"/>
              <w:right w:val="single" w:sz="4" w:space="0" w:color="auto"/>
            </w:tcBorders>
          </w:tcPr>
          <w:p w14:paraId="0FE58E1F"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Mortels, craignez le Seigneur, parce que le tremblement de terre du grand jour sera épouvantable.</w:t>
            </w:r>
          </w:p>
          <w:p w14:paraId="7489EE4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Dans ce jour la mère abandonnera son fils à la mamelle, la femme enceinte enfantera, les hommes frappés par le bras terrible de Dieu </w:t>
            </w:r>
            <w:r w:rsidRPr="007C6A42">
              <w:rPr>
                <w:rFonts w:asciiTheme="majorBidi" w:eastAsia="Calibri" w:hAnsiTheme="majorBidi" w:cstheme="majorBidi"/>
                <w:lang w:bidi="ar-AE"/>
              </w:rPr>
              <w:lastRenderedPageBreak/>
              <w:t>seront comme dans l’ivresse.</w:t>
            </w:r>
          </w:p>
        </w:tc>
      </w:tr>
      <w:tr w:rsidR="00A70B78" w:rsidRPr="007C6A42" w14:paraId="60FC47A5"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5BF0CEC"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6D5FAC1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 (</w:t>
            </w:r>
            <w:r w:rsidRPr="007C6A42">
              <w:rPr>
                <w:rFonts w:asciiTheme="majorBidi" w:eastAsia="Times New Roman" w:hAnsiTheme="majorBidi" w:cstheme="majorBidi"/>
                <w:lang w:eastAsia="en-AU"/>
              </w:rPr>
              <w:t>1840</w:t>
            </w:r>
            <w:r w:rsidRPr="007C6A42">
              <w:rPr>
                <w:rFonts w:asciiTheme="majorBidi" w:eastAsia="Calibri" w:hAnsiTheme="majorBidi" w:cstheme="majorBidi"/>
                <w:lang w:bidi="ar-AE"/>
              </w:rPr>
              <w:t>)</w:t>
            </w:r>
          </w:p>
        </w:tc>
        <w:tc>
          <w:tcPr>
            <w:tcW w:w="6828" w:type="dxa"/>
            <w:tcBorders>
              <w:top w:val="single" w:sz="4" w:space="0" w:color="auto"/>
              <w:left w:val="single" w:sz="4" w:space="0" w:color="auto"/>
              <w:bottom w:val="single" w:sz="4" w:space="0" w:color="auto"/>
              <w:right w:val="single" w:sz="4" w:space="0" w:color="auto"/>
            </w:tcBorders>
          </w:tcPr>
          <w:p w14:paraId="0A5935CA" w14:textId="77777777" w:rsidR="00A70B78" w:rsidRPr="007C6A42" w:rsidRDefault="00A70B78" w:rsidP="00AF4FC9">
            <w:pPr>
              <w:spacing w:line="360" w:lineRule="auto"/>
              <w:contextualSpacing/>
              <w:jc w:val="both"/>
              <w:rPr>
                <w:rFonts w:asciiTheme="majorBidi" w:eastAsia="Times New Roman" w:hAnsiTheme="majorBidi" w:cstheme="majorBidi"/>
                <w:i/>
                <w:iCs/>
              </w:rPr>
            </w:pPr>
            <w:r w:rsidRPr="007C6A42">
              <w:rPr>
                <w:rFonts w:asciiTheme="majorBidi" w:eastAsia="Times New Roman" w:hAnsiTheme="majorBidi" w:cstheme="majorBidi"/>
              </w:rPr>
              <w:t xml:space="preserve">Ô hommes ! craignez votre Seigneur. Le tremblement de terre du grand jour sera terrible. </w:t>
            </w:r>
            <w:r w:rsidRPr="007C6A42">
              <w:rPr>
                <w:rFonts w:asciiTheme="majorBidi" w:eastAsia="Times New Roman" w:hAnsiTheme="majorBidi" w:cstheme="majorBidi"/>
                <w:i/>
                <w:iCs/>
              </w:rPr>
              <w:t>(NDT : hommes = mecquois, ceux qui écoutent)</w:t>
            </w:r>
          </w:p>
          <w:p w14:paraId="1B71349E"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Dans ce jour-là tu verras la nourrice abandonner son nourrisson à la mamelle, la femme enceinte accoucher, et tu verras les hommes comme ivres. Non, ils ne sont point ivres ; mais le châtiment de Dieu est terrible, et </w:t>
            </w:r>
            <w:r w:rsidRPr="007C6A42">
              <w:rPr>
                <w:rFonts w:asciiTheme="majorBidi" w:eastAsia="Times New Roman" w:hAnsiTheme="majorBidi" w:cstheme="majorBidi"/>
                <w:i/>
                <w:iCs/>
              </w:rPr>
              <w:t>son arrivée les étourdira</w:t>
            </w:r>
            <w:r w:rsidRPr="007C6A42">
              <w:rPr>
                <w:rFonts w:asciiTheme="majorBidi" w:eastAsia="Times New Roman" w:hAnsiTheme="majorBidi" w:cstheme="majorBidi"/>
              </w:rPr>
              <w:t>.</w:t>
            </w:r>
          </w:p>
        </w:tc>
      </w:tr>
      <w:tr w:rsidR="00A70B78" w:rsidRPr="007C6A42" w14:paraId="1D11F1BB"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49557243"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6E0D4EB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 (1949)</w:t>
            </w:r>
          </w:p>
        </w:tc>
        <w:tc>
          <w:tcPr>
            <w:tcW w:w="6828" w:type="dxa"/>
            <w:tcBorders>
              <w:top w:val="single" w:sz="4" w:space="0" w:color="auto"/>
              <w:left w:val="single" w:sz="4" w:space="0" w:color="auto"/>
              <w:bottom w:val="single" w:sz="4" w:space="0" w:color="auto"/>
              <w:right w:val="single" w:sz="4" w:space="0" w:color="auto"/>
            </w:tcBorders>
          </w:tcPr>
          <w:p w14:paraId="0F912B7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[Rappel de la Résurrection. Preuve de sa venue.]</w:t>
            </w:r>
          </w:p>
          <w:p w14:paraId="4F3DCA4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Hommes ! soyez pieux envers votre Seigneur ! Le séisme de l’heure sera chose immense,</w:t>
            </w:r>
          </w:p>
          <w:p w14:paraId="1086C3C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en ce jour où vous verrez chaque nourrice délaisse ce qu’elle allaite, [</w:t>
            </w:r>
            <w:r w:rsidRPr="007C6A42">
              <w:rPr>
                <w:rFonts w:asciiTheme="majorBidi" w:eastAsia="Calibri" w:hAnsiTheme="majorBidi" w:cstheme="majorBidi"/>
                <w:i/>
                <w:iCs/>
                <w:lang w:bidi="ar-AE"/>
              </w:rPr>
              <w:t>où</w:t>
            </w:r>
            <w:r w:rsidRPr="007C6A42">
              <w:rPr>
                <w:rFonts w:asciiTheme="majorBidi" w:eastAsia="Calibri" w:hAnsiTheme="majorBidi" w:cstheme="majorBidi"/>
                <w:lang w:bidi="ar-AE"/>
              </w:rPr>
              <w:t>] chaque femelle fécondée [</w:t>
            </w:r>
            <w:r w:rsidRPr="007C6A42">
              <w:rPr>
                <w:rFonts w:asciiTheme="majorBidi" w:eastAsia="Calibri" w:hAnsiTheme="majorBidi" w:cstheme="majorBidi"/>
                <w:i/>
                <w:iCs/>
                <w:lang w:bidi="ar-AE"/>
              </w:rPr>
              <w:t>, de terreur,</w:t>
            </w:r>
            <w:r w:rsidRPr="007C6A42">
              <w:rPr>
                <w:rFonts w:asciiTheme="majorBidi" w:eastAsia="Calibri" w:hAnsiTheme="majorBidi" w:cstheme="majorBidi"/>
                <w:lang w:bidi="ar-AE"/>
              </w:rPr>
              <w:t>] mettra bas ce qu’elle porte, [</w:t>
            </w:r>
            <w:r w:rsidRPr="007C6A42">
              <w:rPr>
                <w:rFonts w:asciiTheme="majorBidi" w:eastAsia="Calibri" w:hAnsiTheme="majorBidi" w:cstheme="majorBidi"/>
                <w:i/>
                <w:iCs/>
                <w:lang w:bidi="ar-AE"/>
              </w:rPr>
              <w:t>où</w:t>
            </w:r>
            <w:r w:rsidRPr="007C6A42">
              <w:rPr>
                <w:rFonts w:asciiTheme="majorBidi" w:eastAsia="Calibri" w:hAnsiTheme="majorBidi" w:cstheme="majorBidi"/>
                <w:lang w:bidi="ar-AE"/>
              </w:rPr>
              <w:t>] tu verras les Hommes ivres, bien qu’ils ne le soient point. Le tourment d’Allah sera terrible.</w:t>
            </w:r>
          </w:p>
        </w:tc>
      </w:tr>
      <w:tr w:rsidR="00A70B78" w:rsidRPr="007C6A42" w14:paraId="53951563"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4734223"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64BD233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Ghéd. (1957</w:t>
            </w:r>
            <w:r w:rsidRPr="007C6A42">
              <w:rPr>
                <w:rFonts w:asciiTheme="majorBidi" w:eastAsia="Calibri" w:hAnsiTheme="majorBidi" w:cstheme="majorBidi"/>
                <w:lang w:bidi="ar-AE"/>
              </w:rPr>
              <w:t>)</w:t>
            </w:r>
          </w:p>
        </w:tc>
        <w:tc>
          <w:tcPr>
            <w:tcW w:w="6828" w:type="dxa"/>
            <w:tcBorders>
              <w:top w:val="single" w:sz="4" w:space="0" w:color="auto"/>
              <w:left w:val="single" w:sz="4" w:space="0" w:color="auto"/>
              <w:bottom w:val="single" w:sz="4" w:space="0" w:color="auto"/>
              <w:right w:val="single" w:sz="4" w:space="0" w:color="auto"/>
            </w:tcBorders>
          </w:tcPr>
          <w:p w14:paraId="46FBC68C"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Hommes ! craignez votre Seigneur, car le séisme à l’Heure du Jugement sera une chose terrible.</w:t>
            </w:r>
          </w:p>
          <w:p w14:paraId="43FCC81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Le jour où vous le verrez, la nourrice laissera tomber l’enfant qu’elle allaite et, de frayeur, toute femelle mettra bas ce qu’elle porte. Les Hommes te sembleront ivres et, en réalité, ils ne le seront point. Mais, le châtiment de Dieu est terrible.</w:t>
            </w:r>
          </w:p>
        </w:tc>
      </w:tr>
      <w:tr w:rsidR="00A70B78" w:rsidRPr="007C6A42" w14:paraId="168B66B8"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9625A8C"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6D386FB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 (1959)</w:t>
            </w:r>
          </w:p>
        </w:tc>
        <w:tc>
          <w:tcPr>
            <w:tcW w:w="6828" w:type="dxa"/>
            <w:tcBorders>
              <w:top w:val="single" w:sz="4" w:space="0" w:color="auto"/>
              <w:left w:val="single" w:sz="4" w:space="0" w:color="auto"/>
              <w:bottom w:val="single" w:sz="4" w:space="0" w:color="auto"/>
              <w:right w:val="single" w:sz="4" w:space="0" w:color="auto"/>
            </w:tcBorders>
          </w:tcPr>
          <w:p w14:paraId="2921DA6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Ho, les gens ! Craignez votre Seigneur. Oui, c’est une chose énorme que le tremblement de l’Heure !</w:t>
            </w:r>
          </w:p>
          <w:p w14:paraId="12C47A1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Le jour où vous le verrez, toute femme qui allaite oubliera ce qu’elle allaitait, et toute femelle engrossée avortera sa grossesse. Et tu verras ivres les gens, alors qu’ils ne seront pas ivres. Mais le châtiment de Dieu sera dur.</w:t>
            </w:r>
          </w:p>
        </w:tc>
      </w:tr>
      <w:tr w:rsidR="00A70B78" w:rsidRPr="007C6A42" w14:paraId="1526AF3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CF06F71"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2EF030A5"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Mass. (1967)</w:t>
            </w:r>
          </w:p>
        </w:tc>
        <w:tc>
          <w:tcPr>
            <w:tcW w:w="6828" w:type="dxa"/>
            <w:tcBorders>
              <w:top w:val="single" w:sz="4" w:space="0" w:color="auto"/>
              <w:left w:val="single" w:sz="4" w:space="0" w:color="auto"/>
              <w:bottom w:val="single" w:sz="4" w:space="0" w:color="auto"/>
              <w:right w:val="single" w:sz="4" w:space="0" w:color="auto"/>
            </w:tcBorders>
          </w:tcPr>
          <w:p w14:paraId="4F8707A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Ô vous les hommes ! Craignez votre Seigneur ! Le tremblement de terre de l’Heure sera sûrement quelque chose de terrible !</w:t>
            </w:r>
          </w:p>
          <w:p w14:paraId="0A3E5A9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Le jour où vous le verrez : toute femme qui allaite oubliera son nourrisson ; toute femme enceinte avortera. Tu verras les hommes </w:t>
            </w:r>
            <w:r w:rsidRPr="007C6A42">
              <w:rPr>
                <w:rFonts w:asciiTheme="majorBidi" w:eastAsia="Calibri" w:hAnsiTheme="majorBidi" w:cstheme="majorBidi"/>
                <w:lang w:bidi="ar-AE"/>
              </w:rPr>
              <w:lastRenderedPageBreak/>
              <w:t>ivres, alors qu’ils ne le seront pas. – Le châtiment de Dieu sera très dur -</w:t>
            </w:r>
          </w:p>
        </w:tc>
      </w:tr>
      <w:tr w:rsidR="00A70B78" w:rsidRPr="007C6A42" w14:paraId="7A33EECE"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81CD90E"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55BF9C2A"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Grosj. (1972)</w:t>
            </w:r>
          </w:p>
        </w:tc>
        <w:tc>
          <w:tcPr>
            <w:tcW w:w="6828" w:type="dxa"/>
            <w:tcBorders>
              <w:top w:val="single" w:sz="4" w:space="0" w:color="auto"/>
              <w:left w:val="single" w:sz="4" w:space="0" w:color="auto"/>
              <w:bottom w:val="single" w:sz="4" w:space="0" w:color="auto"/>
              <w:right w:val="single" w:sz="4" w:space="0" w:color="auto"/>
            </w:tcBorders>
          </w:tcPr>
          <w:p w14:paraId="32D6EC4C"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Hommes, soyez fidèles à votre Seigneur. Le tremblement de terre de l’heure sera terrible. Le jour où vous la verrez toute nourrice oubliera son nourrisson, toute femme enceinte avortera et tu verras les hommes comme ivres alors qu’ils ne le seront pas. Dieu tourmentera durement.</w:t>
            </w:r>
          </w:p>
        </w:tc>
      </w:tr>
      <w:tr w:rsidR="00A70B78" w:rsidRPr="007C6A42" w14:paraId="411B3BD5"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355D54D0"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588B92B1"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B.M. (1976)</w:t>
            </w:r>
          </w:p>
        </w:tc>
        <w:tc>
          <w:tcPr>
            <w:tcW w:w="6828" w:type="dxa"/>
            <w:tcBorders>
              <w:top w:val="single" w:sz="4" w:space="0" w:color="auto"/>
              <w:left w:val="single" w:sz="4" w:space="0" w:color="auto"/>
              <w:bottom w:val="single" w:sz="4" w:space="0" w:color="auto"/>
              <w:right w:val="single" w:sz="4" w:space="0" w:color="auto"/>
            </w:tcBorders>
          </w:tcPr>
          <w:p w14:paraId="7D87760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HOMMES ! craignez votre Seigneur. La secousse de l’heure dernière sera terrifiante.</w:t>
            </w:r>
          </w:p>
          <w:p w14:paraId="50C8C43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Le jour où elle se produira, la mère s’arrêtera d’allaiter son enfant, la femme enceinte avortera, les hommes donneront l’impression d’être ivres. Le châtiment de Dieu sera terrible.</w:t>
            </w:r>
          </w:p>
        </w:tc>
      </w:tr>
      <w:tr w:rsidR="00A70B78" w:rsidRPr="007C6A42" w14:paraId="2CEFA80A"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4CD31E6A"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5A429FA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 (1990)</w:t>
            </w:r>
          </w:p>
        </w:tc>
        <w:tc>
          <w:tcPr>
            <w:tcW w:w="6828" w:type="dxa"/>
            <w:tcBorders>
              <w:top w:val="single" w:sz="4" w:space="0" w:color="auto"/>
              <w:left w:val="single" w:sz="4" w:space="0" w:color="auto"/>
              <w:bottom w:val="single" w:sz="4" w:space="0" w:color="auto"/>
              <w:right w:val="single" w:sz="4" w:space="0" w:color="auto"/>
            </w:tcBorders>
          </w:tcPr>
          <w:p w14:paraId="48F386A9"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rtl/>
                <w:lang w:bidi="ar-AE"/>
              </w:rPr>
              <w:tab/>
            </w:r>
            <w:r w:rsidRPr="007C6A42">
              <w:rPr>
                <w:rFonts w:asciiTheme="majorBidi" w:eastAsia="Calibri" w:hAnsiTheme="majorBidi" w:cstheme="majorBidi"/>
                <w:lang w:bidi="ar-AE"/>
              </w:rPr>
              <w:t>Humains, prémunissez-vous envers votre seigneur. Le tremblement de l’Heure sera chose énorme</w:t>
            </w:r>
          </w:p>
          <w:p w14:paraId="4181D5B0"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lang w:bidi="ar-AE"/>
              </w:rPr>
              <w:t>le Jour où vous la verrez, toute allaitante en oubliera son allaité, toute enceinte en perdra son fruit ! Tu verras les gens ivres, et ils ne le seront pas. Mais le châtiment de Dieu est terrible.</w:t>
            </w:r>
          </w:p>
        </w:tc>
      </w:tr>
      <w:tr w:rsidR="00A70B78" w:rsidRPr="007C6A42" w14:paraId="3787E1D3"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10E5F14"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1F6234C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6828" w:type="dxa"/>
            <w:tcBorders>
              <w:top w:val="single" w:sz="4" w:space="0" w:color="auto"/>
              <w:left w:val="single" w:sz="4" w:space="0" w:color="auto"/>
              <w:bottom w:val="single" w:sz="4" w:space="0" w:color="auto"/>
              <w:right w:val="single" w:sz="4" w:space="0" w:color="auto"/>
            </w:tcBorders>
          </w:tcPr>
          <w:p w14:paraId="158F2D6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Ohé, les humains, frémissez de votre Rabb : le séisme de l’Heure sera grandiose,</w:t>
            </w:r>
          </w:p>
          <w:p w14:paraId="30CCAFF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le Jour où vous verrez toute nourrice plaquer son nourrisson et toute porteuse d’un faix plaquer son faix. Tu verras les humains ivres, n’étant pas ivres : le supplice d’Allah sera inexorable.</w:t>
            </w:r>
          </w:p>
        </w:tc>
      </w:tr>
      <w:tr w:rsidR="00A70B78" w:rsidRPr="007C6A42" w14:paraId="11E33E4B"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2EF2F3B"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5CF3EF3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 (1999)</w:t>
            </w:r>
          </w:p>
        </w:tc>
        <w:tc>
          <w:tcPr>
            <w:tcW w:w="6828" w:type="dxa"/>
            <w:tcBorders>
              <w:top w:val="single" w:sz="4" w:space="0" w:color="auto"/>
              <w:left w:val="single" w:sz="4" w:space="0" w:color="auto"/>
              <w:bottom w:val="single" w:sz="4" w:space="0" w:color="auto"/>
              <w:right w:val="single" w:sz="4" w:space="0" w:color="auto"/>
            </w:tcBorders>
          </w:tcPr>
          <w:p w14:paraId="152C990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Hommes ! Soyez envers votre Seigneur empli de piété</w:t>
            </w:r>
          </w:p>
          <w:p w14:paraId="6AF6592F"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Car le séisme de l’heure sera redoutable en vérité.</w:t>
            </w:r>
          </w:p>
          <w:p w14:paraId="07C8452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Le jour où vous verrez la nourrice délaisser l’enfant allaité</w:t>
            </w:r>
          </w:p>
          <w:p w14:paraId="2911C45C"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chaque femelle fécondée mettre bas et avorter</w:t>
            </w:r>
          </w:p>
          <w:p w14:paraId="29A6B312"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tu verras les hommes saouls alors qu’ils ne sont pas enivrés</w:t>
            </w:r>
          </w:p>
          <w:p w14:paraId="7B30957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Ce sera le châtiment divin dans toute sa sévérité.</w:t>
            </w:r>
          </w:p>
        </w:tc>
      </w:tr>
      <w:tr w:rsidR="00A70B78" w:rsidRPr="007C6A42" w14:paraId="0C3BEFC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5D9761F"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129569EB"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Méd. (2001)</w:t>
            </w:r>
          </w:p>
        </w:tc>
        <w:tc>
          <w:tcPr>
            <w:tcW w:w="6828" w:type="dxa"/>
            <w:tcBorders>
              <w:top w:val="single" w:sz="4" w:space="0" w:color="auto"/>
              <w:left w:val="single" w:sz="4" w:space="0" w:color="auto"/>
              <w:bottom w:val="single" w:sz="4" w:space="0" w:color="auto"/>
              <w:right w:val="single" w:sz="4" w:space="0" w:color="auto"/>
            </w:tcBorders>
          </w:tcPr>
          <w:p w14:paraId="090D0A02"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lang w:bidi="ar-AE"/>
              </w:rPr>
              <w:t>Ô hommes ! Craignez votre Seigneur. Le séisme [qui précédera] l’Heure est une chose terrible.</w:t>
            </w:r>
          </w:p>
          <w:p w14:paraId="54459397"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lang w:bidi="ar-AE"/>
              </w:rPr>
              <w:lastRenderedPageBreak/>
              <w:t>Le jour où vous le verrez, toute nourrice oubliera ce qu’elle allaitait, et toute femelle enceinte avortera de ce qu’elle portait. Et tu verras les gens ivres, alors qu’ils ne le sont pas. Mais le châtiment d’Allah est dur.</w:t>
            </w:r>
          </w:p>
        </w:tc>
      </w:tr>
      <w:tr w:rsidR="00A70B78" w:rsidRPr="007C6A42" w14:paraId="5CE90AF7"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26AA305"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7FFCEF13"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Chiad. (2004) </w:t>
            </w:r>
          </w:p>
        </w:tc>
        <w:tc>
          <w:tcPr>
            <w:tcW w:w="6828" w:type="dxa"/>
            <w:tcBorders>
              <w:top w:val="single" w:sz="4" w:space="0" w:color="auto"/>
              <w:left w:val="single" w:sz="4" w:space="0" w:color="auto"/>
              <w:bottom w:val="single" w:sz="4" w:space="0" w:color="auto"/>
              <w:right w:val="single" w:sz="4" w:space="0" w:color="auto"/>
            </w:tcBorders>
          </w:tcPr>
          <w:p w14:paraId="256C9A46"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lang w:bidi="ar-AE"/>
              </w:rPr>
              <w:t>Ô hommes ! Craignez votre Seigneur, car le tremblement de l’Heure dernière sera quelque chose de terrifiant !</w:t>
            </w:r>
          </w:p>
          <w:p w14:paraId="52673856"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lang w:bidi="ar-AE"/>
              </w:rPr>
              <w:t>Le jour où il se produira, toute nourrice oubliera son nourrisson, toute femelle enceinte enfantera avant terme et les hommes donneront l’impression d’être ivres, bien qu’ils ne le soient pas, car le châtiment de Dieu sera terrible.</w:t>
            </w:r>
          </w:p>
        </w:tc>
      </w:tr>
      <w:tr w:rsidR="00A70B78" w:rsidRPr="007C6A42" w14:paraId="648570DB"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35689C2"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59EFC41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 (2008)</w:t>
            </w:r>
          </w:p>
        </w:tc>
        <w:tc>
          <w:tcPr>
            <w:tcW w:w="6828" w:type="dxa"/>
            <w:tcBorders>
              <w:top w:val="single" w:sz="4" w:space="0" w:color="auto"/>
              <w:left w:val="single" w:sz="4" w:space="0" w:color="auto"/>
              <w:bottom w:val="single" w:sz="4" w:space="0" w:color="auto"/>
              <w:right w:val="single" w:sz="4" w:space="0" w:color="auto"/>
            </w:tcBorders>
          </w:tcPr>
          <w:p w14:paraId="5E43C1C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H-103/22 :1. Ô humains ! Craignez votre Seigneur. La secousse de l’heure est une très grande chose.</w:t>
            </w:r>
          </w:p>
          <w:p w14:paraId="686E24C4"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H-103/22 :2. Le jour où vous la verrez, toute allaiteuse se distraira de ce qu’elle allaitait, et toute [femelle] porteuse mettra bas sa portée. Tu verras les humains ivres, alors qu’ils ne sont pas ivres. Mais le châtiment de Dieu est fort.</w:t>
            </w:r>
          </w:p>
        </w:tc>
      </w:tr>
      <w:tr w:rsidR="00A70B78" w:rsidRPr="007C6A42" w14:paraId="1709B35C"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E4772D9"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460DE13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6828" w:type="dxa"/>
            <w:tcBorders>
              <w:top w:val="single" w:sz="4" w:space="0" w:color="auto"/>
              <w:left w:val="single" w:sz="4" w:space="0" w:color="auto"/>
              <w:bottom w:val="single" w:sz="4" w:space="0" w:color="auto"/>
              <w:right w:val="single" w:sz="4" w:space="0" w:color="auto"/>
            </w:tcBorders>
          </w:tcPr>
          <w:p w14:paraId="1D8715D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Ô vous les hommes, craignez votre Seigneur, car le jour où le séisme de l’Heure se produira, ce sera quelque chose d’immense.</w:t>
            </w:r>
          </w:p>
          <w:p w14:paraId="625CA3E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Lorsque vous verrez ce séisme, vous verrez fuir la femme allaitant son enfant et toute femelle enceinte déposera son faix sans l’avoir voulu ; tu verras des gens ivres alors qu’ils n’auront pas bu. De fait, le châtiment d’Allah sera terrible !</w:t>
            </w:r>
          </w:p>
        </w:tc>
      </w:tr>
      <w:tr w:rsidR="00A70B78" w:rsidRPr="007C6A42" w14:paraId="37E93336"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A32985A" w14:textId="77777777" w:rsidR="00A70B78" w:rsidRPr="007C6A42" w:rsidRDefault="00A70B78" w:rsidP="00AF4FC9">
            <w:pPr>
              <w:spacing w:line="360" w:lineRule="auto"/>
              <w:rPr>
                <w:rFonts w:asciiTheme="majorBidi" w:eastAsia="Times New Roman" w:hAnsiTheme="majorBidi" w:cstheme="majorBidi"/>
                <w:lang w:bidi="ar-KW"/>
              </w:rPr>
            </w:pPr>
          </w:p>
        </w:tc>
        <w:tc>
          <w:tcPr>
            <w:tcW w:w="1403" w:type="dxa"/>
            <w:tcBorders>
              <w:top w:val="single" w:sz="4" w:space="0" w:color="auto"/>
              <w:left w:val="single" w:sz="4" w:space="0" w:color="auto"/>
              <w:bottom w:val="single" w:sz="4" w:space="0" w:color="auto"/>
              <w:right w:val="single" w:sz="4" w:space="0" w:color="auto"/>
            </w:tcBorders>
          </w:tcPr>
          <w:p w14:paraId="320B9CEC"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6828" w:type="dxa"/>
            <w:tcBorders>
              <w:top w:val="single" w:sz="4" w:space="0" w:color="auto"/>
              <w:left w:val="single" w:sz="4" w:space="0" w:color="auto"/>
              <w:bottom w:val="single" w:sz="4" w:space="0" w:color="auto"/>
              <w:right w:val="single" w:sz="4" w:space="0" w:color="auto"/>
            </w:tcBorders>
          </w:tcPr>
          <w:p w14:paraId="028FD69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Ô hommes ! Craignez votre Seigneur ! En vérité, le séisme de l’Heure sera terrible.</w:t>
            </w:r>
          </w:p>
          <w:p w14:paraId="63290672"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Le jour où vous la verrez, toute femme qui allaite oubliera son nourrisson et toute femme enceinte avortera ; tu verras les hommes ivres alors qu’ils ne le sont pas en réalité, car le châtiment de Dieu est très dur.</w:t>
            </w:r>
          </w:p>
        </w:tc>
      </w:tr>
      <w:tr w:rsidR="00A70B78" w:rsidRPr="007C6A42" w14:paraId="04C2A00E" w14:textId="77777777" w:rsidTr="00AF4FC9">
        <w:tc>
          <w:tcPr>
            <w:tcW w:w="2117" w:type="dxa"/>
            <w:tcBorders>
              <w:top w:val="single" w:sz="4" w:space="0" w:color="auto"/>
              <w:left w:val="single" w:sz="4" w:space="0" w:color="auto"/>
              <w:bottom w:val="single" w:sz="4" w:space="0" w:color="auto"/>
              <w:right w:val="single" w:sz="4" w:space="0" w:color="auto"/>
            </w:tcBorders>
          </w:tcPr>
          <w:p w14:paraId="085E696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p>
        </w:tc>
        <w:tc>
          <w:tcPr>
            <w:tcW w:w="1403" w:type="dxa"/>
            <w:tcBorders>
              <w:top w:val="single" w:sz="4" w:space="0" w:color="auto"/>
              <w:left w:val="single" w:sz="4" w:space="0" w:color="auto"/>
              <w:bottom w:val="single" w:sz="4" w:space="0" w:color="auto"/>
              <w:right w:val="single" w:sz="4" w:space="0" w:color="auto"/>
            </w:tcBorders>
          </w:tcPr>
          <w:p w14:paraId="28FE2C2C"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6828" w:type="dxa"/>
            <w:tcBorders>
              <w:top w:val="single" w:sz="4" w:space="0" w:color="auto"/>
              <w:left w:val="single" w:sz="4" w:space="0" w:color="auto"/>
              <w:bottom w:val="single" w:sz="4" w:space="0" w:color="auto"/>
              <w:right w:val="single" w:sz="4" w:space="0" w:color="auto"/>
            </w:tcBorders>
          </w:tcPr>
          <w:p w14:paraId="39F15DB7" w14:textId="77777777" w:rsidR="00A70B78" w:rsidRPr="007C6A42" w:rsidRDefault="00A70B78" w:rsidP="00AF4FC9">
            <w:pPr>
              <w:spacing w:line="360" w:lineRule="auto"/>
              <w:jc w:val="both"/>
              <w:rPr>
                <w:rFonts w:asciiTheme="majorBidi" w:eastAsia="Times New Roman" w:hAnsiTheme="majorBidi" w:cstheme="majorBidi"/>
                <w:lang w:eastAsia="fr-CH"/>
              </w:rPr>
            </w:pPr>
            <w:r w:rsidRPr="007C6A42">
              <w:rPr>
                <w:rFonts w:asciiTheme="majorBidi" w:eastAsia="Times New Roman" w:hAnsiTheme="majorBidi" w:cstheme="majorBidi"/>
                <w:lang w:eastAsia="fr-CH"/>
              </w:rPr>
              <w:t>O Hommes ! Craignez votre Seigneur. L’ébranlement de l’Heure est sûrement une chose immense.</w:t>
            </w:r>
          </w:p>
          <w:p w14:paraId="7BA50520" w14:textId="77777777" w:rsidR="00A70B78" w:rsidRPr="007C6A42" w:rsidRDefault="00A70B78" w:rsidP="00AF4FC9">
            <w:pPr>
              <w:spacing w:line="360" w:lineRule="auto"/>
              <w:jc w:val="both"/>
              <w:rPr>
                <w:rFonts w:asciiTheme="majorBidi" w:eastAsia="Times New Roman" w:hAnsiTheme="majorBidi" w:cstheme="majorBidi"/>
                <w:lang w:eastAsia="fr-CH"/>
              </w:rPr>
            </w:pPr>
            <w:r w:rsidRPr="007C6A42">
              <w:rPr>
                <w:rFonts w:asciiTheme="majorBidi" w:eastAsia="Times New Roman" w:hAnsiTheme="majorBidi" w:cstheme="majorBidi"/>
                <w:lang w:eastAsia="fr-CH"/>
              </w:rPr>
              <w:t xml:space="preserve">Le jour où vous la verrez, chaque nourrice oubliera ce qu’elle a </w:t>
            </w:r>
            <w:r w:rsidRPr="007C6A42">
              <w:rPr>
                <w:rFonts w:asciiTheme="majorBidi" w:eastAsia="Times New Roman" w:hAnsiTheme="majorBidi" w:cstheme="majorBidi"/>
                <w:lang w:eastAsia="fr-CH"/>
              </w:rPr>
              <w:lastRenderedPageBreak/>
              <w:t>allaité, et chacune en état de grossesse délivrera ce qu’elle porte, et tu verras les hommes enivrés, et ils ne sont point ivres, mais le châtiment d’Allah est sévère.</w:t>
            </w:r>
          </w:p>
        </w:tc>
      </w:tr>
    </w:tbl>
    <w:p w14:paraId="3982DD47"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6C6FBC5D" w14:textId="77777777" w:rsidR="00A70B78" w:rsidRPr="007C6A42" w:rsidRDefault="00A70B78" w:rsidP="00876BB0">
      <w:pPr>
        <w:pStyle w:val="Paragraphedeliste"/>
        <w:numPr>
          <w:ilvl w:val="0"/>
          <w:numId w:val="114"/>
        </w:numPr>
        <w:bidi w:val="0"/>
        <w:spacing w:after="0" w:line="360" w:lineRule="auto"/>
        <w:contextualSpacing/>
        <w:jc w:val="both"/>
        <w:rPr>
          <w:rFonts w:asciiTheme="majorBidi" w:hAnsiTheme="majorBidi" w:cstheme="majorBidi"/>
          <w:b/>
          <w:sz w:val="24"/>
          <w:szCs w:val="24"/>
        </w:rPr>
      </w:pPr>
      <w:r w:rsidRPr="007C6A42">
        <w:rPr>
          <w:rFonts w:asciiTheme="majorBidi" w:hAnsiTheme="majorBidi" w:cstheme="majorBidi"/>
          <w:b/>
          <w:sz w:val="24"/>
          <w:szCs w:val="24"/>
        </w:rPr>
        <w:t>Traduction d’</w:t>
      </w:r>
      <w:r w:rsidRPr="007C6A42">
        <w:rPr>
          <w:rFonts w:asciiTheme="majorBidi" w:hAnsiTheme="majorBidi" w:cstheme="majorBidi"/>
          <w:b/>
          <w:i/>
          <w:iCs/>
          <w:sz w:val="24"/>
          <w:szCs w:val="24"/>
        </w:rPr>
        <w:t>an-nās </w:t>
      </w:r>
      <w:r w:rsidRPr="007C6A42">
        <w:rPr>
          <w:rFonts w:asciiTheme="majorBidi" w:hAnsiTheme="majorBidi" w:cstheme="majorBidi"/>
          <w:b/>
          <w:sz w:val="24"/>
          <w:szCs w:val="24"/>
        </w:rPr>
        <w:t>:</w:t>
      </w:r>
    </w:p>
    <w:p w14:paraId="159A383E" w14:textId="77777777" w:rsidR="00A70B78" w:rsidRPr="007C6A42" w:rsidRDefault="00A70B78" w:rsidP="00BA4B13">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Si le terme générique </w:t>
      </w:r>
      <w:r w:rsidRPr="007C6A42">
        <w:rPr>
          <w:rFonts w:asciiTheme="majorBidi" w:eastAsia="Times New Roman" w:hAnsiTheme="majorBidi" w:cstheme="majorBidi"/>
          <w:i/>
          <w:iCs/>
        </w:rPr>
        <w:t>nās</w:t>
      </w:r>
      <w:r w:rsidRPr="007C6A42">
        <w:rPr>
          <w:rFonts w:asciiTheme="majorBidi" w:eastAsia="Times New Roman" w:hAnsiTheme="majorBidi" w:cstheme="majorBidi"/>
        </w:rPr>
        <w:t xml:space="preserve"> en tant que trait distinctif des versets mecquois a fait couler l’encre des exégètes, la majorité des traducteurs (12 sur 18) l’ont traduit par « hommes ».</w:t>
      </w:r>
    </w:p>
    <w:p w14:paraId="586C711F" w14:textId="77777777" w:rsidR="00A70B78" w:rsidRPr="007C6A42" w:rsidRDefault="00A70B78" w:rsidP="00BA4B13">
      <w:pPr>
        <w:spacing w:line="360" w:lineRule="auto"/>
        <w:contextualSpacing/>
        <w:jc w:val="both"/>
        <w:rPr>
          <w:rFonts w:asciiTheme="majorBidi" w:eastAsia="Times New Roman" w:hAnsiTheme="majorBidi" w:cstheme="majorBidi"/>
        </w:rPr>
      </w:pPr>
    </w:p>
    <w:p w14:paraId="533CA0DB"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Ben Mahmoud a écrit tout le mot en capitales pour le mettre en valeur. Cependant, Kazimirski a ajouté une NDT pour clarifier sa traduction en soulignant que ce mot caractérise le début d’un discours d’un prédicateur et désigne les mecquois.</w:t>
      </w:r>
    </w:p>
    <w:p w14:paraId="57F3CF4B"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p>
    <w:p w14:paraId="5703F470" w14:textId="44D953E9" w:rsidR="00D41E4B" w:rsidRDefault="00A70B78" w:rsidP="00BA4B13">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Seuls deux traducteurs, l’un ancien et non-musulman (Du Ryer) et l’autre contemporain et musulman (Hamidullah) ont choisi des mots qui dénotent un sens plus restreint (peuple, gens). Savary, Berque, Chouraqui et Aldeeb ont élargi le sens en traduisant le mot par « mortels » et « humains », traduction qui reflète l’interprétation surtout contemporaine qui insiste sur la portée universelle du message coranique. On peut dire qu</w:t>
      </w:r>
      <w:r w:rsidR="006814F9">
        <w:rPr>
          <w:rFonts w:asciiTheme="majorBidi" w:eastAsia="Times New Roman" w:hAnsiTheme="majorBidi" w:cstheme="majorBidi"/>
        </w:rPr>
        <w:t>e l’ensemble des traductions a</w:t>
      </w:r>
      <w:r w:rsidRPr="007C6A42">
        <w:rPr>
          <w:rFonts w:asciiTheme="majorBidi" w:eastAsia="Times New Roman" w:hAnsiTheme="majorBidi" w:cstheme="majorBidi"/>
        </w:rPr>
        <w:t xml:space="preserve"> pu refléter la riche</w:t>
      </w:r>
      <w:r w:rsidR="00BA4B13">
        <w:rPr>
          <w:rFonts w:asciiTheme="majorBidi" w:eastAsia="Times New Roman" w:hAnsiTheme="majorBidi" w:cstheme="majorBidi"/>
        </w:rPr>
        <w:t>sse polysémique du terme arabe.</w:t>
      </w:r>
    </w:p>
    <w:p w14:paraId="4DC557AF" w14:textId="77777777" w:rsidR="00D41E4B" w:rsidRPr="007C6A42" w:rsidRDefault="00D41E4B" w:rsidP="00A70B78">
      <w:pPr>
        <w:spacing w:line="360" w:lineRule="auto"/>
        <w:contextualSpacing/>
        <w:jc w:val="both"/>
        <w:rPr>
          <w:rFonts w:asciiTheme="majorBidi" w:eastAsia="Times New Roman" w:hAnsiTheme="majorBidi" w:cstheme="majorBidi"/>
        </w:rPr>
      </w:pPr>
    </w:p>
    <w:p w14:paraId="1D6A2F23" w14:textId="77777777" w:rsidR="00A70B78" w:rsidRPr="007C6A42" w:rsidRDefault="00A70B78" w:rsidP="00876BB0">
      <w:pPr>
        <w:pStyle w:val="Paragraphedeliste"/>
        <w:numPr>
          <w:ilvl w:val="0"/>
          <w:numId w:val="114"/>
        </w:numPr>
        <w:bidi w:val="0"/>
        <w:spacing w:after="0" w:line="360" w:lineRule="auto"/>
        <w:contextualSpacing/>
        <w:jc w:val="both"/>
        <w:outlineLvl w:val="0"/>
        <w:rPr>
          <w:rFonts w:asciiTheme="majorBidi" w:hAnsiTheme="majorBidi" w:cstheme="majorBidi"/>
          <w:b/>
          <w:bCs/>
          <w:sz w:val="24"/>
          <w:szCs w:val="24"/>
        </w:rPr>
      </w:pPr>
      <w:r w:rsidRPr="007C6A42">
        <w:rPr>
          <w:rFonts w:asciiTheme="majorBidi" w:hAnsiTheme="majorBidi" w:cstheme="majorBidi"/>
          <w:b/>
          <w:bCs/>
          <w:sz w:val="24"/>
          <w:szCs w:val="24"/>
        </w:rPr>
        <w:t xml:space="preserve">La traduction du verbe </w:t>
      </w:r>
      <w:r w:rsidRPr="007C6A42">
        <w:rPr>
          <w:rFonts w:asciiTheme="majorBidi" w:hAnsiTheme="majorBidi" w:cstheme="majorBidi"/>
          <w:b/>
          <w:bCs/>
          <w:i/>
          <w:iCs/>
          <w:sz w:val="24"/>
          <w:szCs w:val="24"/>
        </w:rPr>
        <w:t>ittaqā</w:t>
      </w:r>
      <w:r w:rsidRPr="007C6A42">
        <w:rPr>
          <w:rFonts w:asciiTheme="majorBidi" w:hAnsiTheme="majorBidi" w:cstheme="majorBidi"/>
          <w:b/>
          <w:bCs/>
          <w:sz w:val="24"/>
          <w:szCs w:val="24"/>
        </w:rPr>
        <w:t xml:space="preserve"> et du substantif</w:t>
      </w:r>
      <w:r w:rsidRPr="007C6A42">
        <w:rPr>
          <w:rFonts w:asciiTheme="majorBidi" w:hAnsiTheme="majorBidi" w:cstheme="majorBidi"/>
          <w:b/>
          <w:bCs/>
          <w:i/>
          <w:iCs/>
          <w:sz w:val="24"/>
          <w:szCs w:val="24"/>
        </w:rPr>
        <w:t xml:space="preserve"> rabb</w:t>
      </w:r>
      <w:r w:rsidRPr="007C6A42">
        <w:rPr>
          <w:rFonts w:asciiTheme="majorBidi" w:hAnsiTheme="majorBidi" w:cstheme="majorBidi"/>
          <w:b/>
          <w:bCs/>
          <w:sz w:val="24"/>
          <w:szCs w:val="24"/>
        </w:rPr>
        <w:t xml:space="preserve"> (v. 1) :</w:t>
      </w:r>
    </w:p>
    <w:p w14:paraId="0D9F262A" w14:textId="77777777" w:rsidR="00A70B78" w:rsidRPr="007C6A42" w:rsidRDefault="00A70B78" w:rsidP="00BA4B13">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Le verbe </w:t>
      </w:r>
      <w:r w:rsidRPr="007C6A42">
        <w:rPr>
          <w:rFonts w:asciiTheme="majorBidi" w:eastAsia="Times New Roman" w:hAnsiTheme="majorBidi" w:cstheme="majorBidi"/>
          <w:i/>
          <w:iCs/>
        </w:rPr>
        <w:t>ittaqū</w:t>
      </w:r>
      <w:r w:rsidRPr="007C6A42">
        <w:rPr>
          <w:rFonts w:asciiTheme="majorBidi" w:eastAsia="Times New Roman" w:hAnsiTheme="majorBidi" w:cstheme="majorBidi"/>
        </w:rPr>
        <w:t xml:space="preserve"> (conjugué à la 2</w:t>
      </w:r>
      <w:r w:rsidRPr="007C6A42">
        <w:rPr>
          <w:rFonts w:asciiTheme="majorBidi" w:eastAsia="Times New Roman" w:hAnsiTheme="majorBidi" w:cstheme="majorBidi"/>
          <w:vertAlign w:val="superscript"/>
        </w:rPr>
        <w:t>ème</w:t>
      </w:r>
      <w:r w:rsidRPr="007C6A42">
        <w:rPr>
          <w:rFonts w:asciiTheme="majorBidi" w:eastAsia="Times New Roman" w:hAnsiTheme="majorBidi" w:cstheme="majorBidi"/>
        </w:rPr>
        <w:t xml:space="preserve"> personne du pl. masculin de l’impératif) est rendu par : « craignez » (12 fois) (c’est le choix du premier traducteur Du Ryer), « soyez pieux envers », « soyez fidèle à », « prémunissez-vous envers », « frémissez », « soyez empli de piété envers ».</w:t>
      </w:r>
    </w:p>
    <w:p w14:paraId="2D87C192" w14:textId="77777777" w:rsidR="00A70B78" w:rsidRPr="007C6A42" w:rsidRDefault="00A70B78" w:rsidP="00BA4B13">
      <w:pPr>
        <w:spacing w:line="360" w:lineRule="auto"/>
        <w:ind w:firstLine="284"/>
        <w:contextualSpacing/>
        <w:jc w:val="both"/>
        <w:rPr>
          <w:rFonts w:asciiTheme="majorBidi" w:eastAsia="Times New Roman" w:hAnsiTheme="majorBidi" w:cstheme="majorBidi"/>
        </w:rPr>
      </w:pPr>
    </w:p>
    <w:p w14:paraId="4C19CD3D"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La plupart des traducteurs ont choisi comme équivalent du verbe </w:t>
      </w:r>
      <w:r w:rsidRPr="007C6A42">
        <w:rPr>
          <w:rFonts w:asciiTheme="majorBidi" w:eastAsia="Times New Roman" w:hAnsiTheme="majorBidi" w:cstheme="majorBidi"/>
          <w:i/>
          <w:iCs/>
        </w:rPr>
        <w:t>ittaqā</w:t>
      </w:r>
      <w:r w:rsidRPr="007C6A42">
        <w:rPr>
          <w:rFonts w:asciiTheme="majorBidi" w:eastAsia="Times New Roman" w:hAnsiTheme="majorBidi" w:cstheme="majorBidi"/>
        </w:rPr>
        <w:t xml:space="preserve"> le verbe « craindre », qui ne rend pas la richesse sémantique et l’effet exhortatif du verbe arabe. Ce dernier contient l’idée de protection que seule la traduction de Berque (« prémunissez-vous ») reflète. En fait, le français « craindre » correspond plutôt à l’arabe </w:t>
      </w:r>
      <w:r w:rsidRPr="007C6A42">
        <w:rPr>
          <w:rFonts w:asciiTheme="majorBidi" w:eastAsia="Times New Roman" w:hAnsiTheme="majorBidi" w:cstheme="majorBidi"/>
          <w:i/>
          <w:iCs/>
        </w:rPr>
        <w:t>khashiya</w:t>
      </w:r>
      <w:r w:rsidRPr="007C6A42">
        <w:rPr>
          <w:rFonts w:asciiTheme="majorBidi" w:eastAsia="Times New Roman" w:hAnsiTheme="majorBidi" w:cstheme="majorBidi"/>
        </w:rPr>
        <w:t xml:space="preserve">, verbe qui révèle un seul aspect du champ sémantique large du verbe </w:t>
      </w:r>
      <w:r w:rsidRPr="007C6A42">
        <w:rPr>
          <w:rFonts w:asciiTheme="majorBidi" w:eastAsia="Times New Roman" w:hAnsiTheme="majorBidi" w:cstheme="majorBidi"/>
          <w:i/>
          <w:iCs/>
        </w:rPr>
        <w:t>ittaqā</w:t>
      </w:r>
      <w:r w:rsidRPr="007C6A42">
        <w:rPr>
          <w:rFonts w:asciiTheme="majorBidi" w:eastAsia="Times New Roman" w:hAnsiTheme="majorBidi" w:cstheme="majorBidi"/>
        </w:rPr>
        <w:t xml:space="preserve">. Celui-ci signifie : </w:t>
      </w:r>
      <w:r w:rsidRPr="007C6A42">
        <w:rPr>
          <w:rFonts w:asciiTheme="majorBidi" w:eastAsia="Times New Roman" w:hAnsiTheme="majorBidi" w:cstheme="majorBidi"/>
          <w:i/>
          <w:iCs/>
        </w:rPr>
        <w:t>craindre + se prémunir de + se préparer + appliquer des actes + abandonner des actes + éviter + être vigilant + obéir</w:t>
      </w:r>
      <w:r w:rsidRPr="007C6A42">
        <w:rPr>
          <w:rFonts w:asciiTheme="majorBidi" w:eastAsia="Times New Roman" w:hAnsiTheme="majorBidi" w:cstheme="majorBidi"/>
        </w:rPr>
        <w:t xml:space="preserve"> ; il </w:t>
      </w:r>
      <w:r w:rsidRPr="007C6A42">
        <w:rPr>
          <w:rFonts w:asciiTheme="majorBidi" w:eastAsia="Times New Roman" w:hAnsiTheme="majorBidi" w:cstheme="majorBidi"/>
        </w:rPr>
        <w:lastRenderedPageBreak/>
        <w:t>désigne donc à la fois sentiment et action. Guessous dont la traduction est rimée a utilisé le terme « piété » qui désignerait le mieux l’idée du verbe-source.</w:t>
      </w:r>
    </w:p>
    <w:p w14:paraId="14E376C7"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p>
    <w:p w14:paraId="75506D0F"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Nous pourrions remarquer qu’il n’y a pas d’harmonie et de correspondance entre, d’un côté, le vocable </w:t>
      </w:r>
      <w:r w:rsidRPr="007C6A42">
        <w:rPr>
          <w:rFonts w:asciiTheme="majorBidi" w:eastAsia="Times New Roman" w:hAnsiTheme="majorBidi" w:cstheme="majorBidi"/>
          <w:i/>
          <w:iCs/>
        </w:rPr>
        <w:t>ittaqā</w:t>
      </w:r>
      <w:r w:rsidRPr="007C6A42">
        <w:rPr>
          <w:rFonts w:asciiTheme="majorBidi" w:eastAsia="Times New Roman" w:hAnsiTheme="majorBidi" w:cstheme="majorBidi"/>
        </w:rPr>
        <w:t xml:space="preserve"> et ses différentes traductions (« </w:t>
      </w:r>
      <w:r w:rsidRPr="007C6A42">
        <w:rPr>
          <w:rFonts w:asciiTheme="majorBidi" w:eastAsia="Times New Roman" w:hAnsiTheme="majorBidi" w:cstheme="majorBidi"/>
          <w:i/>
          <w:iCs/>
        </w:rPr>
        <w:t>craindre</w:t>
      </w:r>
      <w:r w:rsidRPr="007C6A42">
        <w:rPr>
          <w:rFonts w:asciiTheme="majorBidi" w:eastAsia="Times New Roman" w:hAnsiTheme="majorBidi" w:cstheme="majorBidi"/>
        </w:rPr>
        <w:t> », « </w:t>
      </w:r>
      <w:r w:rsidRPr="007C6A42">
        <w:rPr>
          <w:rFonts w:asciiTheme="majorBidi" w:eastAsia="Times New Roman" w:hAnsiTheme="majorBidi" w:cstheme="majorBidi"/>
          <w:i/>
          <w:iCs/>
        </w:rPr>
        <w:t>se prémunir</w:t>
      </w:r>
      <w:r w:rsidRPr="007C6A42">
        <w:rPr>
          <w:rFonts w:asciiTheme="majorBidi" w:eastAsia="Times New Roman" w:hAnsiTheme="majorBidi" w:cstheme="majorBidi"/>
        </w:rPr>
        <w:t> », « </w:t>
      </w:r>
      <w:r w:rsidRPr="007C6A42">
        <w:rPr>
          <w:rFonts w:asciiTheme="majorBidi" w:eastAsia="Times New Roman" w:hAnsiTheme="majorBidi" w:cstheme="majorBidi"/>
          <w:i/>
          <w:iCs/>
        </w:rPr>
        <w:t>frémir</w:t>
      </w:r>
      <w:r w:rsidRPr="007C6A42">
        <w:rPr>
          <w:rFonts w:asciiTheme="majorBidi" w:eastAsia="Times New Roman" w:hAnsiTheme="majorBidi" w:cstheme="majorBidi"/>
        </w:rPr>
        <w:t> », « </w:t>
      </w:r>
      <w:r w:rsidRPr="007C6A42">
        <w:rPr>
          <w:rFonts w:asciiTheme="majorBidi" w:eastAsia="Times New Roman" w:hAnsiTheme="majorBidi" w:cstheme="majorBidi"/>
          <w:i/>
          <w:iCs/>
        </w:rPr>
        <w:t>être pieux</w:t>
      </w:r>
      <w:r w:rsidRPr="007C6A42">
        <w:rPr>
          <w:rFonts w:asciiTheme="majorBidi" w:eastAsia="Times New Roman" w:hAnsiTheme="majorBidi" w:cstheme="majorBidi"/>
        </w:rPr>
        <w:t> », « </w:t>
      </w:r>
      <w:r w:rsidRPr="007C6A42">
        <w:rPr>
          <w:rFonts w:asciiTheme="majorBidi" w:eastAsia="Times New Roman" w:hAnsiTheme="majorBidi" w:cstheme="majorBidi"/>
          <w:i/>
          <w:iCs/>
        </w:rPr>
        <w:t>être fidèle</w:t>
      </w:r>
      <w:r w:rsidRPr="007C6A42">
        <w:rPr>
          <w:rFonts w:asciiTheme="majorBidi" w:eastAsia="Times New Roman" w:hAnsiTheme="majorBidi" w:cstheme="majorBidi"/>
        </w:rPr>
        <w:t> », « </w:t>
      </w:r>
      <w:r w:rsidRPr="007C6A42">
        <w:rPr>
          <w:rFonts w:asciiTheme="majorBidi" w:eastAsia="Times New Roman" w:hAnsiTheme="majorBidi" w:cstheme="majorBidi"/>
          <w:i/>
          <w:iCs/>
        </w:rPr>
        <w:t>être empli de piété</w:t>
      </w:r>
      <w:r w:rsidRPr="007C6A42">
        <w:rPr>
          <w:rFonts w:asciiTheme="majorBidi" w:eastAsia="Times New Roman" w:hAnsiTheme="majorBidi" w:cstheme="majorBidi"/>
        </w:rPr>
        <w:t> »), ce qui contribue à changer la polysémie, et de l’autre, entre ces traductions elles-mêmes. « </w:t>
      </w:r>
      <w:r w:rsidRPr="007C6A42">
        <w:rPr>
          <w:rFonts w:asciiTheme="majorBidi" w:eastAsia="Times New Roman" w:hAnsiTheme="majorBidi" w:cstheme="majorBidi"/>
          <w:i/>
          <w:iCs/>
        </w:rPr>
        <w:t>Se prémunir</w:t>
      </w:r>
      <w:r w:rsidRPr="007C6A42">
        <w:rPr>
          <w:rFonts w:asciiTheme="majorBidi" w:eastAsia="Times New Roman" w:hAnsiTheme="majorBidi" w:cstheme="majorBidi"/>
        </w:rPr>
        <w:t> » met l’accent sur la précaution, « </w:t>
      </w:r>
      <w:r w:rsidRPr="007C6A42">
        <w:rPr>
          <w:rFonts w:asciiTheme="majorBidi" w:eastAsia="Times New Roman" w:hAnsiTheme="majorBidi" w:cstheme="majorBidi"/>
          <w:i/>
          <w:iCs/>
        </w:rPr>
        <w:t>frémir</w:t>
      </w:r>
      <w:r w:rsidRPr="007C6A42">
        <w:rPr>
          <w:rFonts w:asciiTheme="majorBidi" w:eastAsia="Times New Roman" w:hAnsiTheme="majorBidi" w:cstheme="majorBidi"/>
        </w:rPr>
        <w:t> » souligne une vive agitation. Les adjectifs « </w:t>
      </w:r>
      <w:r w:rsidRPr="007C6A42">
        <w:rPr>
          <w:rFonts w:asciiTheme="majorBidi" w:eastAsia="Times New Roman" w:hAnsiTheme="majorBidi" w:cstheme="majorBidi"/>
          <w:i/>
          <w:iCs/>
        </w:rPr>
        <w:t>pieux</w:t>
      </w:r>
      <w:r w:rsidRPr="007C6A42">
        <w:rPr>
          <w:rFonts w:asciiTheme="majorBidi" w:eastAsia="Times New Roman" w:hAnsiTheme="majorBidi" w:cstheme="majorBidi"/>
        </w:rPr>
        <w:t> », « </w:t>
      </w:r>
      <w:r w:rsidRPr="007C6A42">
        <w:rPr>
          <w:rFonts w:asciiTheme="majorBidi" w:eastAsia="Times New Roman" w:hAnsiTheme="majorBidi" w:cstheme="majorBidi"/>
          <w:i/>
          <w:iCs/>
        </w:rPr>
        <w:t>fidèle</w:t>
      </w:r>
      <w:r w:rsidRPr="007C6A42">
        <w:rPr>
          <w:rFonts w:asciiTheme="majorBidi" w:eastAsia="Times New Roman" w:hAnsiTheme="majorBidi" w:cstheme="majorBidi"/>
        </w:rPr>
        <w:t> » et « </w:t>
      </w:r>
      <w:r w:rsidRPr="007C6A42">
        <w:rPr>
          <w:rFonts w:asciiTheme="majorBidi" w:eastAsia="Times New Roman" w:hAnsiTheme="majorBidi" w:cstheme="majorBidi"/>
          <w:i/>
          <w:iCs/>
        </w:rPr>
        <w:t>empli</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de piété</w:t>
      </w:r>
      <w:r w:rsidRPr="007C6A42">
        <w:rPr>
          <w:rFonts w:asciiTheme="majorBidi" w:eastAsia="Times New Roman" w:hAnsiTheme="majorBidi" w:cstheme="majorBidi"/>
        </w:rPr>
        <w:t> » mettent en exergue une qualité et un sentiment plus qu’une action. Le vocable « </w:t>
      </w:r>
      <w:r w:rsidRPr="007C6A42">
        <w:rPr>
          <w:rFonts w:asciiTheme="majorBidi" w:eastAsia="Times New Roman" w:hAnsiTheme="majorBidi" w:cstheme="majorBidi"/>
          <w:i/>
          <w:iCs/>
        </w:rPr>
        <w:t>fidèle</w:t>
      </w:r>
      <w:r w:rsidRPr="007C6A42">
        <w:rPr>
          <w:rFonts w:asciiTheme="majorBidi" w:eastAsia="Times New Roman" w:hAnsiTheme="majorBidi" w:cstheme="majorBidi"/>
        </w:rPr>
        <w:t xml:space="preserve"> » indique l’état d’obéissance ou de foi alors que le verbe </w:t>
      </w:r>
      <w:r w:rsidRPr="007C6A42">
        <w:rPr>
          <w:rFonts w:asciiTheme="majorBidi" w:eastAsia="Times New Roman" w:hAnsiTheme="majorBidi" w:cstheme="majorBidi"/>
          <w:i/>
          <w:iCs/>
        </w:rPr>
        <w:t>ittaqā</w:t>
      </w:r>
      <w:r w:rsidRPr="007C6A42">
        <w:rPr>
          <w:rFonts w:asciiTheme="majorBidi" w:eastAsia="Times New Roman" w:hAnsiTheme="majorBidi" w:cstheme="majorBidi"/>
        </w:rPr>
        <w:t xml:space="preserve"> souligne des actions précises dans le processus de l’obéissance à Dieu. En outre, ces traductions elles-mêmes ne sont-elles pas antinomiques entre elles ? par exemple, est-ce que « être fidèle » ou « empli de piété » impliquent la crainte ou la prudence ?</w:t>
      </w:r>
    </w:p>
    <w:p w14:paraId="2974BE34"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p>
    <w:p w14:paraId="7EB19E23"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Le terme </w:t>
      </w:r>
      <w:r w:rsidRPr="007C6A42">
        <w:rPr>
          <w:rFonts w:asciiTheme="majorBidi" w:eastAsia="Times New Roman" w:hAnsiTheme="majorBidi" w:cstheme="majorBidi"/>
          <w:i/>
          <w:iCs/>
        </w:rPr>
        <w:t>rabba-kum</w:t>
      </w:r>
      <w:r w:rsidRPr="007C6A42">
        <w:rPr>
          <w:rFonts w:asciiTheme="majorBidi" w:eastAsia="Times New Roman" w:hAnsiTheme="majorBidi" w:cstheme="majorBidi"/>
        </w:rPr>
        <w:t xml:space="preserve"> est rendu par : « Dieu » (1 fois), « le Seigneur » (1 fois), « votre Seigneur » (15 fois), « votre Rabb » (1 fois). Il est à noter que l’image intellectuelle arabe du </w:t>
      </w:r>
      <w:r w:rsidRPr="007C6A42">
        <w:rPr>
          <w:rFonts w:asciiTheme="majorBidi" w:eastAsia="Times New Roman" w:hAnsiTheme="majorBidi" w:cstheme="majorBidi"/>
          <w:i/>
          <w:iCs/>
        </w:rPr>
        <w:t>Rabb</w:t>
      </w:r>
      <w:r w:rsidRPr="007C6A42">
        <w:rPr>
          <w:rFonts w:asciiTheme="majorBidi" w:eastAsia="Times New Roman" w:hAnsiTheme="majorBidi" w:cstheme="majorBidi"/>
        </w:rPr>
        <w:t xml:space="preserve"> n’est pas la même image du </w:t>
      </w:r>
      <w:r w:rsidRPr="007C6A42">
        <w:rPr>
          <w:rFonts w:asciiTheme="majorBidi" w:eastAsia="Times New Roman" w:hAnsiTheme="majorBidi" w:cstheme="majorBidi"/>
          <w:i/>
          <w:iCs/>
        </w:rPr>
        <w:t>Seigneur</w:t>
      </w:r>
      <w:r w:rsidRPr="007C6A42">
        <w:rPr>
          <w:rFonts w:asciiTheme="majorBidi" w:eastAsia="Times New Roman" w:hAnsiTheme="majorBidi" w:cstheme="majorBidi"/>
        </w:rPr>
        <w:t>.</w:t>
      </w:r>
    </w:p>
    <w:p w14:paraId="7F0CAF54"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p>
    <w:p w14:paraId="24AF2B38"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Ici, il convient de souligner « la relation qui lie l’émetteur et le récepteur », pour reprendre les termes de Katharina Reiss</w:t>
      </w:r>
      <w:r w:rsidRPr="007C6A42">
        <w:rPr>
          <w:rStyle w:val="Appelnotedebasdep"/>
          <w:rFonts w:asciiTheme="majorBidi" w:hAnsiTheme="majorBidi" w:cstheme="majorBidi"/>
        </w:rPr>
        <w:footnoteReference w:id="505"/>
      </w:r>
      <w:r w:rsidRPr="007C6A42">
        <w:rPr>
          <w:rFonts w:asciiTheme="majorBidi" w:eastAsia="Times New Roman" w:hAnsiTheme="majorBidi" w:cstheme="majorBidi"/>
        </w:rPr>
        <w:t>, i. e. la relation entre les lecteurs français des traductions du Coran et le rédacteur (fictif) du texte arabe. Le récepteur de culture française (chrétienne) ne se fait pas la même idée du « Seigneur » que le lecteur musulman du Coran en arabe.</w:t>
      </w:r>
    </w:p>
    <w:p w14:paraId="6F19C700"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p>
    <w:p w14:paraId="4AF44C07" w14:textId="77777777" w:rsidR="00A70B78" w:rsidRPr="007C6A42" w:rsidRDefault="00A70B78" w:rsidP="00A70B78">
      <w:pPr>
        <w:spacing w:line="360" w:lineRule="auto"/>
        <w:ind w:firstLine="284"/>
        <w:contextualSpacing/>
        <w:jc w:val="both"/>
        <w:rPr>
          <w:rFonts w:asciiTheme="majorBidi" w:eastAsia="Times New Roman" w:hAnsiTheme="majorBidi" w:cstheme="majorBidi"/>
          <w:color w:val="FF0000"/>
        </w:rPr>
      </w:pPr>
      <w:r w:rsidRPr="007C6A42">
        <w:rPr>
          <w:rFonts w:asciiTheme="majorBidi" w:eastAsia="Times New Roman" w:hAnsiTheme="majorBidi" w:cstheme="majorBidi"/>
        </w:rPr>
        <w:t xml:space="preserve">Le rédacteur du Coran arabe était en phase avec ses récepteurs et répondait à leurs besoins quant au domaine politique (création d’une nation unifiée) et linguistique (établissement d’un texte sacré fondateur et normatif). Ainsi le </w:t>
      </w:r>
      <w:r w:rsidRPr="007C6A42">
        <w:rPr>
          <w:rFonts w:asciiTheme="majorBidi" w:eastAsia="Times New Roman" w:hAnsiTheme="majorBidi" w:cstheme="majorBidi"/>
          <w:i/>
          <w:iCs/>
        </w:rPr>
        <w:t>rabb</w:t>
      </w:r>
      <w:r w:rsidRPr="007C6A42">
        <w:rPr>
          <w:rFonts w:asciiTheme="majorBidi" w:eastAsia="Times New Roman" w:hAnsiTheme="majorBidi" w:cstheme="majorBidi"/>
        </w:rPr>
        <w:t xml:space="preserve"> est l’équivalent d’un chef militaire que les sujets doivent craindre.</w:t>
      </w:r>
    </w:p>
    <w:p w14:paraId="19157A4B"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6801493D" w14:textId="77777777" w:rsidR="00A70B78" w:rsidRPr="007C6A42" w:rsidRDefault="00A70B78" w:rsidP="00876BB0">
      <w:pPr>
        <w:pStyle w:val="Paragraphedeliste"/>
        <w:numPr>
          <w:ilvl w:val="0"/>
          <w:numId w:val="114"/>
        </w:numPr>
        <w:bidi w:val="0"/>
        <w:spacing w:line="360" w:lineRule="auto"/>
        <w:contextualSpacing/>
        <w:jc w:val="both"/>
        <w:outlineLvl w:val="0"/>
        <w:rPr>
          <w:rFonts w:asciiTheme="majorBidi" w:hAnsiTheme="majorBidi" w:cstheme="majorBidi"/>
          <w:b/>
          <w:bCs/>
          <w:sz w:val="24"/>
          <w:szCs w:val="24"/>
        </w:rPr>
      </w:pPr>
      <w:r w:rsidRPr="007C6A42">
        <w:rPr>
          <w:rFonts w:asciiTheme="majorBidi" w:hAnsiTheme="majorBidi" w:cstheme="majorBidi"/>
          <w:b/>
          <w:bCs/>
          <w:sz w:val="24"/>
          <w:szCs w:val="24"/>
        </w:rPr>
        <w:t xml:space="preserve">La traduction de </w:t>
      </w:r>
      <w:r w:rsidRPr="007C6A42">
        <w:rPr>
          <w:rFonts w:asciiTheme="majorBidi" w:hAnsiTheme="majorBidi" w:cstheme="majorBidi"/>
          <w:b/>
          <w:bCs/>
          <w:i/>
          <w:iCs/>
          <w:sz w:val="24"/>
          <w:szCs w:val="24"/>
        </w:rPr>
        <w:t>zalzala</w:t>
      </w:r>
      <w:r w:rsidRPr="007C6A42">
        <w:rPr>
          <w:rFonts w:asciiTheme="majorBidi" w:hAnsiTheme="majorBidi" w:cstheme="majorBidi"/>
          <w:b/>
          <w:bCs/>
          <w:sz w:val="24"/>
          <w:szCs w:val="24"/>
        </w:rPr>
        <w:t xml:space="preserve"> et de </w:t>
      </w:r>
      <w:r w:rsidRPr="007C6A42">
        <w:rPr>
          <w:rFonts w:asciiTheme="majorBidi" w:hAnsiTheme="majorBidi" w:cstheme="majorBidi"/>
          <w:b/>
          <w:bCs/>
          <w:i/>
          <w:iCs/>
          <w:sz w:val="24"/>
          <w:szCs w:val="24"/>
        </w:rPr>
        <w:t>sāʿa</w:t>
      </w:r>
      <w:r w:rsidRPr="007C6A42">
        <w:rPr>
          <w:rFonts w:asciiTheme="majorBidi" w:hAnsiTheme="majorBidi" w:cstheme="majorBidi"/>
          <w:b/>
          <w:bCs/>
          <w:sz w:val="24"/>
          <w:szCs w:val="24"/>
        </w:rPr>
        <w:t> :</w:t>
      </w:r>
    </w:p>
    <w:p w14:paraId="08075D7A" w14:textId="46ECD4A8" w:rsidR="00BA4B13" w:rsidRDefault="00A70B78" w:rsidP="00BA4B13">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Nous remarquons que deux traductions faites par des musulmans ont montré la divergence des exégètes de l’expression-source : Hamidullah souligne dans une NDT que le tremblement </w:t>
      </w:r>
      <w:r w:rsidRPr="007C6A42">
        <w:rPr>
          <w:rFonts w:asciiTheme="majorBidi" w:eastAsia="Times New Roman" w:hAnsiTheme="majorBidi" w:cstheme="majorBidi"/>
          <w:i/>
          <w:iCs/>
        </w:rPr>
        <w:t>accompagnera</w:t>
      </w:r>
      <w:r w:rsidRPr="007C6A42">
        <w:rPr>
          <w:rFonts w:asciiTheme="majorBidi" w:eastAsia="Times New Roman" w:hAnsiTheme="majorBidi" w:cstheme="majorBidi"/>
        </w:rPr>
        <w:t xml:space="preserve"> l’Heure du Jugement, alors que selon la traduction du Complexe de Médine il </w:t>
      </w:r>
      <w:r w:rsidRPr="007C6A42">
        <w:rPr>
          <w:rFonts w:asciiTheme="majorBidi" w:eastAsia="Times New Roman" w:hAnsiTheme="majorBidi" w:cstheme="majorBidi"/>
          <w:i/>
          <w:iCs/>
        </w:rPr>
        <w:t>précèdera</w:t>
      </w:r>
      <w:r w:rsidRPr="007C6A42">
        <w:rPr>
          <w:rFonts w:asciiTheme="majorBidi" w:eastAsia="Times New Roman" w:hAnsiTheme="majorBidi" w:cstheme="majorBidi"/>
        </w:rPr>
        <w:t xml:space="preserve"> l’Heure. Ni le texte-source à travers ses commentaires ni les traductions ne précisent la nature de ce séisme (séisme cosmique, géologique, psychologique ou l’agonie de la mort individuelle) et s’il se déroulera avant ou après la résurrection de l’humanité, ce qui laisse la porte ouverte à l’imagination du lecteur. L’objectif essentiel du texte n’est pas, semble-t-il, de donner une information précise mais de susciter la peur des croyants. Ce vide dans le texte-source devrait être conservé dans les traductions. Ainsi, toute traduction qui a rempli ce vide a réduit la polysémie du texte. Le choix du mot « séisme » (Blachère, Ghédira, Chouraqui, Guessous, Complexe de Médine, Chebel et Hafiane) ou l’ajout des mots « de terre » (Du Ryer &amp; Grosjean), « dernière » (Ben Mahmoud &amp; Chiadmi), « accompagnera l’Heure du Jugement » (Hamidullah), « [qui précèdera] » (Complexe de Médine), modifient ou réduisent le champ sémantique de l’expression-source.</w:t>
      </w:r>
    </w:p>
    <w:p w14:paraId="06A715AA" w14:textId="77777777" w:rsidR="00BA4B13" w:rsidRPr="007C6A42" w:rsidRDefault="00BA4B13" w:rsidP="00BA4B13">
      <w:pPr>
        <w:spacing w:line="360" w:lineRule="auto"/>
        <w:ind w:firstLine="284"/>
        <w:contextualSpacing/>
        <w:jc w:val="both"/>
        <w:rPr>
          <w:rFonts w:asciiTheme="majorBidi" w:eastAsia="Times New Roman" w:hAnsiTheme="majorBidi" w:cstheme="majorBidi"/>
        </w:rPr>
      </w:pPr>
    </w:p>
    <w:p w14:paraId="23BE52DB" w14:textId="77777777" w:rsidR="00A70B78" w:rsidRPr="007C6A42" w:rsidRDefault="00A70B78" w:rsidP="00876BB0">
      <w:pPr>
        <w:pStyle w:val="Paragraphedeliste"/>
        <w:numPr>
          <w:ilvl w:val="0"/>
          <w:numId w:val="114"/>
        </w:numPr>
        <w:bidi w:val="0"/>
        <w:spacing w:after="0" w:line="360" w:lineRule="auto"/>
        <w:contextualSpacing/>
        <w:jc w:val="both"/>
        <w:outlineLvl w:val="0"/>
        <w:rPr>
          <w:rFonts w:asciiTheme="majorBidi" w:hAnsiTheme="majorBidi" w:cstheme="majorBidi"/>
          <w:b/>
          <w:bCs/>
          <w:sz w:val="24"/>
          <w:szCs w:val="24"/>
        </w:rPr>
      </w:pPr>
      <w:r w:rsidRPr="007C6A42">
        <w:rPr>
          <w:rFonts w:asciiTheme="majorBidi" w:hAnsiTheme="majorBidi" w:cstheme="majorBidi"/>
          <w:b/>
          <w:bCs/>
          <w:sz w:val="24"/>
          <w:szCs w:val="24"/>
        </w:rPr>
        <w:t xml:space="preserve">La traduction de </w:t>
      </w:r>
      <w:r w:rsidRPr="007C6A42">
        <w:rPr>
          <w:rFonts w:asciiTheme="majorBidi" w:hAnsiTheme="majorBidi" w:cstheme="majorBidi"/>
          <w:b/>
          <w:bCs/>
          <w:i/>
          <w:iCs/>
          <w:sz w:val="24"/>
          <w:szCs w:val="24"/>
        </w:rPr>
        <w:t>ʿaẓīm</w:t>
      </w:r>
      <w:r w:rsidRPr="007C6A42">
        <w:rPr>
          <w:rFonts w:asciiTheme="majorBidi" w:hAnsiTheme="majorBidi" w:cstheme="majorBidi"/>
          <w:b/>
          <w:bCs/>
          <w:sz w:val="24"/>
          <w:szCs w:val="24"/>
        </w:rPr>
        <w:t> :</w:t>
      </w:r>
    </w:p>
    <w:p w14:paraId="577D67D6" w14:textId="77777777" w:rsidR="00A70B78" w:rsidRPr="007C6A42" w:rsidRDefault="00A70B78" w:rsidP="00BA4B13">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Si les exégètes ne donnent aucune explication de l’adjectif </w:t>
      </w:r>
      <w:r w:rsidRPr="007C6A42">
        <w:rPr>
          <w:rFonts w:asciiTheme="majorBidi" w:eastAsia="Times New Roman" w:hAnsiTheme="majorBidi" w:cstheme="majorBidi"/>
          <w:i/>
          <w:iCs/>
        </w:rPr>
        <w:t>ʿaẓīm</w:t>
      </w:r>
      <w:r w:rsidRPr="007C6A42">
        <w:rPr>
          <w:rFonts w:asciiTheme="majorBidi" w:eastAsia="Times New Roman" w:hAnsiTheme="majorBidi" w:cstheme="majorBidi"/>
        </w:rPr>
        <w:t>, soit parce que son sens leur parait évident, soit parce qu’ils considèrent que ce sens est développé dans le verset suivant, nos traducteurs n’en donnent pas moins de neuf versions (« estrange », « épouvantable », « terrible » [choix le plus fréquent : 6 fois], « immense », « énorme », « terrifiante », « grandiose », « redoutable », « très grande »), et Guessous, sous la contrainte de la rime, ajoute le syntagme « en vérité ».</w:t>
      </w:r>
    </w:p>
    <w:p w14:paraId="01055324" w14:textId="77777777" w:rsidR="00A70B78" w:rsidRPr="007C6A42" w:rsidRDefault="00A70B78" w:rsidP="00BA4B13">
      <w:pPr>
        <w:spacing w:line="360" w:lineRule="auto"/>
        <w:ind w:firstLine="284"/>
        <w:contextualSpacing/>
        <w:jc w:val="both"/>
        <w:rPr>
          <w:rFonts w:asciiTheme="majorBidi" w:eastAsia="Times New Roman" w:hAnsiTheme="majorBidi" w:cstheme="majorBidi"/>
        </w:rPr>
      </w:pPr>
    </w:p>
    <w:p w14:paraId="445329C0"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On peut voir dans le cumul de ces neuf signifiés, pour le seul signifiant </w:t>
      </w:r>
      <w:r w:rsidRPr="007C6A42">
        <w:rPr>
          <w:rFonts w:asciiTheme="majorBidi" w:eastAsia="Times New Roman" w:hAnsiTheme="majorBidi" w:cstheme="majorBidi"/>
          <w:i/>
          <w:iCs/>
        </w:rPr>
        <w:t>ʿaẓīm</w:t>
      </w:r>
      <w:r w:rsidRPr="007C6A42">
        <w:rPr>
          <w:rFonts w:asciiTheme="majorBidi" w:eastAsia="Times New Roman" w:hAnsiTheme="majorBidi" w:cstheme="majorBidi"/>
        </w:rPr>
        <w:t>,</w:t>
      </w:r>
      <w:r w:rsidRPr="007C6A42">
        <w:rPr>
          <w:rFonts w:asciiTheme="majorBidi" w:eastAsia="Times New Roman" w:hAnsiTheme="majorBidi" w:cstheme="majorBidi"/>
          <w:lang w:bidi="ar-AE"/>
        </w:rPr>
        <w:t xml:space="preserve"> un enrichissement quantitatif qui serait l’opposé de </w:t>
      </w:r>
      <w:r w:rsidRPr="007C6A42">
        <w:rPr>
          <w:rFonts w:asciiTheme="majorBidi" w:hAnsiTheme="majorBidi" w:cstheme="majorBidi"/>
          <w:lang w:eastAsia="fr-CH"/>
        </w:rPr>
        <w:t xml:space="preserve">l’appauvrissement quantitatif décrit par Berman. Cette tendance fréquente aussi bien dans l’ensemble des traductions que dans une même traduction est déformante dans le sens où elle ajoute des signifiés qui n’existent pas dans le champ sémantique du signifiant-source, tels que « étrange », « épouvantable » et « terrifiant ». En effet, l’adjectif </w:t>
      </w:r>
      <w:r w:rsidRPr="007C6A42">
        <w:rPr>
          <w:rFonts w:asciiTheme="majorBidi" w:eastAsia="Times New Roman" w:hAnsiTheme="majorBidi" w:cstheme="majorBidi"/>
          <w:i/>
          <w:iCs/>
        </w:rPr>
        <w:t>ʿaẓīm</w:t>
      </w:r>
      <w:r w:rsidRPr="007C6A42">
        <w:rPr>
          <w:rFonts w:asciiTheme="majorBidi" w:eastAsia="Times New Roman" w:hAnsiTheme="majorBidi" w:cstheme="majorBidi"/>
          <w:lang w:bidi="ar-AE"/>
        </w:rPr>
        <w:t xml:space="preserve"> </w:t>
      </w:r>
      <w:r w:rsidRPr="007C6A42">
        <w:rPr>
          <w:rFonts w:asciiTheme="majorBidi" w:hAnsiTheme="majorBidi" w:cstheme="majorBidi"/>
          <w:lang w:eastAsia="fr-CH"/>
        </w:rPr>
        <w:t xml:space="preserve">signifie : « grand », « énorme », « immense », « puissant », « important », « grave », « majestueux », « magnifique », « sublime ». Dans le champ sémantique du mot </w:t>
      </w:r>
      <w:r w:rsidRPr="007C6A42">
        <w:rPr>
          <w:rFonts w:asciiTheme="majorBidi" w:eastAsia="Times New Roman" w:hAnsiTheme="majorBidi" w:cstheme="majorBidi"/>
          <w:i/>
          <w:iCs/>
        </w:rPr>
        <w:t>ʿaẓīm</w:t>
      </w:r>
      <w:r w:rsidRPr="007C6A42">
        <w:rPr>
          <w:rFonts w:asciiTheme="majorBidi" w:hAnsiTheme="majorBidi" w:cstheme="majorBidi"/>
          <w:lang w:eastAsia="fr-CH"/>
        </w:rPr>
        <w:t xml:space="preserve"> la peur n’a presque pas de place, alors que l’adjectif « épouvantable » </w:t>
      </w:r>
      <w:r w:rsidRPr="007C6A42">
        <w:rPr>
          <w:rFonts w:asciiTheme="majorBidi" w:hAnsiTheme="majorBidi" w:cstheme="majorBidi"/>
          <w:lang w:eastAsia="fr-CH"/>
        </w:rPr>
        <w:lastRenderedPageBreak/>
        <w:t>désigne un degré intense de peur. Plusieurs traducteurs ont tendance à augmenter le degré, le ton, en ajoutant un adverbe (Aldeeb : « très grande ») ou en choisissant un adjectif au sens désignant un degré élevé de peur (Savary : « épouvantable » ; Ben Mahmoud et Chiadmi : « terrifiante »). Dans ce sens, les traducteurs utilisent la même technique d’exagération que celle des exégètes.</w:t>
      </w:r>
    </w:p>
    <w:p w14:paraId="457581E5"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4804F6A6"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Pour le verbe </w:t>
      </w:r>
      <w:r w:rsidRPr="007C6A42">
        <w:rPr>
          <w:rFonts w:asciiTheme="majorBidi" w:eastAsia="Times New Roman" w:hAnsiTheme="majorBidi" w:cstheme="majorBidi"/>
          <w:i/>
          <w:iCs/>
          <w:lang w:bidi="ar-AE"/>
        </w:rPr>
        <w:t xml:space="preserve">tadhhal </w:t>
      </w:r>
      <w:r w:rsidRPr="007C6A42">
        <w:rPr>
          <w:rFonts w:asciiTheme="majorBidi" w:eastAsia="Times New Roman" w:hAnsiTheme="majorBidi" w:cstheme="majorBidi"/>
          <w:lang w:bidi="ar-AE"/>
        </w:rPr>
        <w:t xml:space="preserve">[s’étonner fortement] (v. 2), il semble que les traductions dans son ensemble en ont rendu la richesse sémantique (oublier, fuir, plaquer, s’arrêter, abandonner, laisser, délaisser, se distraire). Cependant, l’exégèse arabe donne un sens supplémentaire, qui n’a pas été retenu par les traducteurs : celui de retirer le mamelon de la bouche du bébé. </w:t>
      </w:r>
    </w:p>
    <w:p w14:paraId="01770A96" w14:textId="77777777" w:rsidR="00A70B78" w:rsidRPr="007C6A42" w:rsidRDefault="00A70B78" w:rsidP="00A70B78">
      <w:pPr>
        <w:spacing w:line="360" w:lineRule="auto"/>
        <w:contextualSpacing/>
        <w:jc w:val="both"/>
        <w:rPr>
          <w:rFonts w:asciiTheme="majorBidi" w:eastAsia="Times New Roman" w:hAnsiTheme="majorBidi" w:cstheme="majorBidi"/>
          <w:rtl/>
          <w:lang w:bidi="ar-KW"/>
        </w:rPr>
      </w:pPr>
    </w:p>
    <w:p w14:paraId="4EDDCC85" w14:textId="77777777" w:rsidR="00A70B78" w:rsidRPr="007C6A42" w:rsidRDefault="00A70B78" w:rsidP="00876BB0">
      <w:pPr>
        <w:pStyle w:val="Paragraphedeliste"/>
        <w:numPr>
          <w:ilvl w:val="0"/>
          <w:numId w:val="114"/>
        </w:numPr>
        <w:bidi w:val="0"/>
        <w:spacing w:after="0" w:line="360" w:lineRule="auto"/>
        <w:contextualSpacing/>
        <w:jc w:val="both"/>
        <w:outlineLvl w:val="0"/>
        <w:rPr>
          <w:rFonts w:asciiTheme="majorBidi" w:hAnsiTheme="majorBidi" w:cstheme="majorBidi"/>
          <w:b/>
          <w:bCs/>
          <w:sz w:val="24"/>
          <w:szCs w:val="24"/>
          <w:lang w:bidi="ar-KW"/>
        </w:rPr>
      </w:pPr>
      <w:r w:rsidRPr="007C6A42">
        <w:rPr>
          <w:rFonts w:asciiTheme="majorBidi" w:hAnsiTheme="majorBidi" w:cstheme="majorBidi"/>
          <w:b/>
          <w:bCs/>
          <w:sz w:val="24"/>
          <w:szCs w:val="24"/>
          <w:lang w:bidi="ar-KW"/>
        </w:rPr>
        <w:t xml:space="preserve">La traduction du mot </w:t>
      </w:r>
      <w:r w:rsidRPr="007C6A42">
        <w:rPr>
          <w:rFonts w:asciiTheme="majorBidi" w:hAnsiTheme="majorBidi" w:cstheme="majorBidi"/>
          <w:b/>
          <w:bCs/>
          <w:i/>
          <w:iCs/>
          <w:sz w:val="24"/>
          <w:szCs w:val="24"/>
          <w:lang w:bidi="ar-KW"/>
        </w:rPr>
        <w:t>baʿth</w:t>
      </w:r>
      <w:r w:rsidRPr="007C6A42">
        <w:rPr>
          <w:rFonts w:asciiTheme="majorBidi" w:hAnsiTheme="majorBidi" w:cstheme="majorBidi"/>
          <w:b/>
          <w:bCs/>
          <w:sz w:val="24"/>
          <w:szCs w:val="24"/>
          <w:lang w:bidi="ar-KW"/>
        </w:rPr>
        <w:t xml:space="preserve"> (v. 5) :</w:t>
      </w:r>
    </w:p>
    <w:p w14:paraId="2DFBF4B8" w14:textId="77777777" w:rsidR="00A70B78" w:rsidRPr="007C6A42" w:rsidRDefault="00A70B78" w:rsidP="00A70B78">
      <w:pPr>
        <w:spacing w:line="360" w:lineRule="auto"/>
        <w:ind w:firstLine="284"/>
        <w:contextualSpacing/>
        <w:jc w:val="both"/>
        <w:rPr>
          <w:rFonts w:asciiTheme="majorBidi" w:eastAsia="Calibri" w:hAnsiTheme="majorBidi" w:cstheme="majorBidi"/>
          <w:color w:val="C00000"/>
        </w:rPr>
      </w:pPr>
      <w:r w:rsidRPr="007C6A42">
        <w:rPr>
          <w:rFonts w:asciiTheme="majorBidi" w:eastAsia="Times New Roman" w:hAnsiTheme="majorBidi" w:cstheme="majorBidi"/>
          <w:lang w:bidi="ar-KW"/>
        </w:rPr>
        <w:t>La plupart l’ont traduit par le terme « résurrection », tantôt avec une minuscule (Du Ryer, Savary, Kazimirski, Hamidullah, Ben Mahmoud, Chebel et Aldeeb), tantôt avec une majuscule (Masson, Chouraqui, Ghédira, Médine, Berque, Guessous, Hafiane, Chiadmi et Abdelaziz). Blachère l’a rendu par : « </w:t>
      </w:r>
      <w:r w:rsidRPr="007C6A42">
        <w:rPr>
          <w:rFonts w:asciiTheme="majorBidi" w:eastAsia="Calibri" w:hAnsiTheme="majorBidi" w:cstheme="majorBidi"/>
        </w:rPr>
        <w:t>Rappel [</w:t>
      </w:r>
      <w:r w:rsidRPr="007C6A42">
        <w:rPr>
          <w:rFonts w:asciiTheme="majorBidi" w:eastAsia="Calibri" w:hAnsiTheme="majorBidi" w:cstheme="majorBidi"/>
          <w:i/>
        </w:rPr>
        <w:t>des trépassés</w:t>
      </w:r>
      <w:r w:rsidRPr="007C6A42">
        <w:rPr>
          <w:rFonts w:asciiTheme="majorBidi" w:eastAsia="Calibri" w:hAnsiTheme="majorBidi" w:cstheme="majorBidi"/>
        </w:rPr>
        <w:t xml:space="preserve">] », ce qui est peut-être une manière de faire référence au sens premier du verbe </w:t>
      </w:r>
      <w:r w:rsidRPr="007C6A42">
        <w:rPr>
          <w:rFonts w:asciiTheme="majorBidi" w:eastAsia="Calibri" w:hAnsiTheme="majorBidi" w:cstheme="majorBidi"/>
          <w:i/>
          <w:iCs/>
        </w:rPr>
        <w:t>ba</w:t>
      </w:r>
      <w:r w:rsidRPr="007C6A42">
        <w:rPr>
          <w:rFonts w:asciiTheme="majorBidi" w:eastAsia="Times New Roman" w:hAnsiTheme="majorBidi" w:cstheme="majorBidi"/>
          <w:b/>
          <w:bCs/>
          <w:i/>
          <w:iCs/>
          <w:lang w:bidi="ar-KW"/>
        </w:rPr>
        <w:t>ʿ</w:t>
      </w:r>
      <w:r w:rsidRPr="007C6A42">
        <w:rPr>
          <w:rFonts w:asciiTheme="majorBidi" w:eastAsia="Calibri" w:hAnsiTheme="majorBidi" w:cstheme="majorBidi"/>
          <w:i/>
          <w:iCs/>
        </w:rPr>
        <w:t>atha</w:t>
      </w:r>
      <w:r w:rsidRPr="007C6A42">
        <w:rPr>
          <w:rFonts w:asciiTheme="majorBidi" w:eastAsia="Calibri" w:hAnsiTheme="majorBidi" w:cstheme="majorBidi"/>
        </w:rPr>
        <w:t xml:space="preserve"> (« envoyer » quelqu’un). Seul Grosjean fait exception en le traduisant par : « l’avertissement ». </w:t>
      </w:r>
      <w:r w:rsidRPr="007C6A42">
        <w:rPr>
          <w:rFonts w:asciiTheme="majorBidi" w:eastAsia="Times New Roman" w:hAnsiTheme="majorBidi" w:cstheme="majorBidi"/>
        </w:rPr>
        <w:t>À première vue, on croit à une erreur de traduction : quel rapport entre « résurrection » et « avertissement » ? Si l’on écarte cette hypothèse de l’erreur (peu vraisemblable, s’agissant d’un terme aussi important), on peut imaginer que Grosjean ait fait le raisonnement suivant. Il y a dans le Coran plusieurs passages où est mentionnée la résurrection ; ces passages pourraient dès lors être interprétés comme des avertissements (attention n’oubliez pas qu’il y a la résurrection et que ce sera alors le châtiment (l’enfer) ou la récompense (le paradis)), d’où ici cette mention d’avertissement. Quoiqu’il en soit, ce choix de traduction curieux aurait mérité une note de bas de page.</w:t>
      </w:r>
      <w:r w:rsidRPr="007C6A42">
        <w:rPr>
          <w:rStyle w:val="Appelnotedebasdep"/>
          <w:rFonts w:asciiTheme="majorBidi" w:hAnsiTheme="majorBidi" w:cstheme="majorBidi"/>
        </w:rPr>
        <w:footnoteReference w:id="506"/>
      </w:r>
    </w:p>
    <w:p w14:paraId="35E7F316"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p>
    <w:p w14:paraId="1E656E55" w14:textId="77777777" w:rsidR="00A70B78" w:rsidRPr="007C6A42" w:rsidRDefault="00A70B78" w:rsidP="00A70B78">
      <w:pPr>
        <w:spacing w:line="360" w:lineRule="auto"/>
        <w:ind w:firstLine="284"/>
        <w:jc w:val="both"/>
        <w:rPr>
          <w:rFonts w:asciiTheme="majorBidi" w:eastAsia="Times New Roman" w:hAnsiTheme="majorBidi" w:cstheme="majorBidi"/>
          <w:lang w:bidi="ar-KW"/>
        </w:rPr>
      </w:pPr>
      <w:r w:rsidRPr="007C6A42">
        <w:rPr>
          <w:rFonts w:asciiTheme="majorBidi" w:eastAsia="Times New Roman" w:hAnsiTheme="majorBidi" w:cstheme="majorBidi"/>
          <w:lang w:bidi="ar-KW"/>
        </w:rPr>
        <w:t xml:space="preserve">Les traductions montrent le concept orthodoxe (sunnite et chiite) du </w:t>
      </w:r>
      <w:r w:rsidRPr="007C6A42">
        <w:rPr>
          <w:rFonts w:asciiTheme="majorBidi" w:eastAsia="Times New Roman" w:hAnsiTheme="majorBidi" w:cstheme="majorBidi"/>
          <w:i/>
          <w:iCs/>
          <w:lang w:bidi="ar-KW"/>
        </w:rPr>
        <w:t>baʿth</w:t>
      </w:r>
      <w:r w:rsidRPr="007C6A42">
        <w:rPr>
          <w:rFonts w:asciiTheme="majorBidi" w:eastAsia="Times New Roman" w:hAnsiTheme="majorBidi" w:cstheme="majorBidi"/>
          <w:lang w:bidi="ar-KW"/>
        </w:rPr>
        <w:t xml:space="preserve"> qui est la résurrection de l’humanité après la mort. Elles ne connotent pas le concept hétérodoxe de la </w:t>
      </w:r>
      <w:r w:rsidRPr="007C6A42">
        <w:rPr>
          <w:rFonts w:asciiTheme="majorBidi" w:eastAsia="Times New Roman" w:hAnsiTheme="majorBidi" w:cstheme="majorBidi"/>
          <w:lang w:bidi="ar-KW"/>
        </w:rPr>
        <w:lastRenderedPageBreak/>
        <w:t xml:space="preserve">réincarnation que le mot arabe </w:t>
      </w:r>
      <w:r w:rsidRPr="007C6A42">
        <w:rPr>
          <w:rFonts w:asciiTheme="majorBidi" w:eastAsia="Times New Roman" w:hAnsiTheme="majorBidi" w:cstheme="majorBidi"/>
          <w:i/>
          <w:iCs/>
          <w:lang w:bidi="ar-KW"/>
        </w:rPr>
        <w:t>baʿth</w:t>
      </w:r>
      <w:r w:rsidRPr="007C6A42">
        <w:rPr>
          <w:rFonts w:asciiTheme="majorBidi" w:eastAsia="Times New Roman" w:hAnsiTheme="majorBidi" w:cstheme="majorBidi"/>
          <w:lang w:bidi="ar-KW"/>
        </w:rPr>
        <w:t xml:space="preserve"> peut désigner. Étymologiquement parlant, le terme </w:t>
      </w:r>
      <w:r w:rsidRPr="007C6A42">
        <w:rPr>
          <w:rFonts w:asciiTheme="majorBidi" w:eastAsia="Times New Roman" w:hAnsiTheme="majorBidi" w:cstheme="majorBidi"/>
          <w:i/>
          <w:iCs/>
          <w:lang w:bidi="ar-KW"/>
        </w:rPr>
        <w:t>baʿth</w:t>
      </w:r>
      <w:r w:rsidRPr="007C6A42">
        <w:rPr>
          <w:rFonts w:asciiTheme="majorBidi" w:eastAsia="Times New Roman" w:hAnsiTheme="majorBidi" w:cstheme="majorBidi"/>
          <w:lang w:bidi="ar-KW"/>
        </w:rPr>
        <w:t xml:space="preserve"> désigne : « retour », « renaissance », « envoi ». Il désigne donc les deux notions : la Résurrection et la réincarnation.</w:t>
      </w:r>
    </w:p>
    <w:p w14:paraId="34467677" w14:textId="77777777" w:rsidR="00A70B78" w:rsidRPr="007C6A42" w:rsidRDefault="00A70B78" w:rsidP="00A70B78">
      <w:pPr>
        <w:spacing w:line="360" w:lineRule="auto"/>
        <w:jc w:val="both"/>
        <w:rPr>
          <w:rFonts w:asciiTheme="majorBidi" w:eastAsia="Times New Roman" w:hAnsiTheme="majorBidi" w:cstheme="majorBidi"/>
          <w:lang w:bidi="ar-KW"/>
        </w:rPr>
      </w:pPr>
    </w:p>
    <w:p w14:paraId="0E3B86EE" w14:textId="77777777" w:rsidR="00A70B78" w:rsidRPr="007C6A42" w:rsidRDefault="00A70B78" w:rsidP="00876BB0">
      <w:pPr>
        <w:pStyle w:val="Paragraphedeliste"/>
        <w:numPr>
          <w:ilvl w:val="0"/>
          <w:numId w:val="114"/>
        </w:numPr>
        <w:bidi w:val="0"/>
        <w:spacing w:line="360" w:lineRule="auto"/>
        <w:jc w:val="both"/>
        <w:outlineLvl w:val="0"/>
        <w:rPr>
          <w:rFonts w:asciiTheme="majorBidi" w:hAnsiTheme="majorBidi" w:cstheme="majorBidi"/>
          <w:b/>
          <w:bCs/>
          <w:sz w:val="24"/>
          <w:szCs w:val="24"/>
          <w:lang w:bidi="ar-KW"/>
        </w:rPr>
      </w:pPr>
      <w:r w:rsidRPr="007C6A42">
        <w:rPr>
          <w:rFonts w:asciiTheme="majorBidi" w:hAnsiTheme="majorBidi" w:cstheme="majorBidi"/>
          <w:b/>
          <w:bCs/>
          <w:sz w:val="24"/>
          <w:szCs w:val="24"/>
          <w:lang w:bidi="ar-KW"/>
        </w:rPr>
        <w:t xml:space="preserve">Traduction de l’adjectif fém. </w:t>
      </w:r>
      <w:r w:rsidRPr="007C6A42">
        <w:rPr>
          <w:rFonts w:asciiTheme="majorBidi" w:hAnsiTheme="majorBidi" w:cstheme="majorBidi"/>
          <w:b/>
          <w:bCs/>
          <w:i/>
          <w:iCs/>
          <w:sz w:val="24"/>
          <w:szCs w:val="24"/>
          <w:lang w:bidi="ar-KW"/>
        </w:rPr>
        <w:t>hāmida</w:t>
      </w:r>
      <w:r w:rsidRPr="007C6A42">
        <w:rPr>
          <w:rFonts w:asciiTheme="majorBidi" w:hAnsiTheme="majorBidi" w:cstheme="majorBidi"/>
          <w:b/>
          <w:bCs/>
          <w:sz w:val="24"/>
          <w:szCs w:val="24"/>
          <w:lang w:bidi="ar-KW"/>
        </w:rPr>
        <w:t xml:space="preserve"> (v. 5)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32F15C5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CB407D1"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traducteur</w:t>
            </w:r>
          </w:p>
        </w:tc>
        <w:tc>
          <w:tcPr>
            <w:tcW w:w="4580" w:type="dxa"/>
            <w:tcBorders>
              <w:top w:val="single" w:sz="4" w:space="0" w:color="auto"/>
              <w:left w:val="single" w:sz="4" w:space="0" w:color="auto"/>
              <w:bottom w:val="single" w:sz="4" w:space="0" w:color="auto"/>
              <w:right w:val="single" w:sz="4" w:space="0" w:color="auto"/>
            </w:tcBorders>
          </w:tcPr>
          <w:p w14:paraId="419CAEF9" w14:textId="77777777" w:rsidR="00A70B78" w:rsidRPr="007C6A42" w:rsidRDefault="00A70B78" w:rsidP="00AF4FC9">
            <w:pPr>
              <w:spacing w:line="360" w:lineRule="auto"/>
              <w:rPr>
                <w:rFonts w:asciiTheme="majorBidi" w:eastAsia="Times New Roman" w:hAnsiTheme="majorBidi" w:cstheme="majorBidi"/>
                <w:rtl/>
              </w:rPr>
            </w:pPr>
            <w:r w:rsidRPr="007C6A42">
              <w:rPr>
                <w:rFonts w:asciiTheme="majorBidi" w:eastAsia="Times New Roman" w:hAnsiTheme="majorBidi" w:cstheme="majorBidi"/>
                <w:b/>
                <w:bCs/>
              </w:rPr>
              <w:t xml:space="preserve">Traduction de l’adjectif </w:t>
            </w:r>
            <w:r w:rsidRPr="007C6A42">
              <w:rPr>
                <w:rFonts w:asciiTheme="majorBidi" w:eastAsia="Times New Roman" w:hAnsiTheme="majorBidi" w:cstheme="majorBidi"/>
                <w:b/>
                <w:bCs/>
                <w:i/>
                <w:iCs/>
                <w:lang w:bidi="ar-KW"/>
              </w:rPr>
              <w:t>hāmida</w:t>
            </w:r>
            <w:r w:rsidRPr="007C6A42">
              <w:rPr>
                <w:rFonts w:asciiTheme="majorBidi" w:eastAsia="Times New Roman" w:hAnsiTheme="majorBidi" w:cstheme="majorBidi"/>
                <w:b/>
                <w:bCs/>
                <w:lang w:bidi="ar-KW"/>
              </w:rPr>
              <w:t xml:space="preserve"> qui qualifie la terre </w:t>
            </w:r>
            <w:r w:rsidRPr="007C6A42">
              <w:rPr>
                <w:rFonts w:asciiTheme="majorBidi" w:eastAsia="Calibri" w:hAnsiTheme="majorBidi" w:cstheme="majorBidi"/>
                <w:b/>
                <w:bCs/>
                <w:lang w:bidi="ar-AE"/>
              </w:rPr>
              <w:t>(v. 5)</w:t>
            </w:r>
          </w:p>
        </w:tc>
      </w:tr>
      <w:tr w:rsidR="00A70B78" w:rsidRPr="007C6A42" w14:paraId="27F6E25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06FBC2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09915858"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ʃeiché, morte, &amp; arride</w:t>
            </w:r>
          </w:p>
        </w:tc>
      </w:tr>
      <w:tr w:rsidR="00A70B78" w:rsidRPr="007C6A42" w14:paraId="5FD3677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555EA3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0C061153"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que la sécheresse a rendue stérile</w:t>
            </w:r>
          </w:p>
        </w:tc>
      </w:tr>
      <w:tr w:rsidR="00A70B78" w:rsidRPr="007C6A42" w14:paraId="3AEA249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C35BAB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4448E0F0" w14:textId="77777777" w:rsidR="00A70B78" w:rsidRPr="007C6A42" w:rsidRDefault="00A70B78" w:rsidP="00AF4FC9">
            <w:pPr>
              <w:spacing w:line="360" w:lineRule="auto"/>
              <w:ind w:right="113"/>
              <w:jc w:val="both"/>
              <w:rPr>
                <w:rFonts w:asciiTheme="majorBidi" w:eastAsia="Times New Roman" w:hAnsiTheme="majorBidi" w:cstheme="majorBidi"/>
                <w:b/>
                <w:bCs/>
              </w:rPr>
            </w:pPr>
            <w:r w:rsidRPr="007C6A42">
              <w:rPr>
                <w:rFonts w:asciiTheme="majorBidi" w:eastAsia="Times New Roman" w:hAnsiTheme="majorBidi" w:cstheme="majorBidi"/>
              </w:rPr>
              <w:t>séchée/desséchée</w:t>
            </w:r>
          </w:p>
        </w:tc>
      </w:tr>
      <w:tr w:rsidR="00A70B78" w:rsidRPr="007C6A42" w14:paraId="0C56A71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38A80A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33778C8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prostrée</w:t>
            </w:r>
          </w:p>
        </w:tc>
      </w:tr>
      <w:tr w:rsidR="00A70B78" w:rsidRPr="007C6A42" w14:paraId="71B5E84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3547F2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0B9F1A05"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inerte</w:t>
            </w:r>
          </w:p>
        </w:tc>
      </w:tr>
      <w:tr w:rsidR="00A70B78" w:rsidRPr="007C6A42" w14:paraId="2EA095E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A9D3AB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2CE37F8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éteinte</w:t>
            </w:r>
          </w:p>
        </w:tc>
      </w:tr>
      <w:tr w:rsidR="00A70B78" w:rsidRPr="007C6A42" w14:paraId="3D5A117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1A4287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71B1641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stérile</w:t>
            </w:r>
          </w:p>
        </w:tc>
      </w:tr>
      <w:tr w:rsidR="00A70B78" w:rsidRPr="007C6A42" w14:paraId="584A890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35DAC5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7BAA88A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désertique</w:t>
            </w:r>
          </w:p>
        </w:tc>
      </w:tr>
      <w:tr w:rsidR="00A70B78" w:rsidRPr="007C6A42" w14:paraId="36F1E37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788BB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3194DD13"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morte</w:t>
            </w:r>
          </w:p>
        </w:tc>
      </w:tr>
      <w:tr w:rsidR="00A70B78" w:rsidRPr="007C6A42" w14:paraId="2E9814B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8B0239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1852767B"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s’éteindre</w:t>
            </w:r>
          </w:p>
        </w:tc>
      </w:tr>
      <w:tr w:rsidR="00A70B78" w:rsidRPr="007C6A42" w14:paraId="14BE1BF6"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1B5E932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163F481C"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languir</w:t>
            </w:r>
          </w:p>
        </w:tc>
      </w:tr>
      <w:tr w:rsidR="00A70B78" w:rsidRPr="007C6A42" w14:paraId="364F069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C43724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2283D35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desséchée</w:t>
            </w:r>
          </w:p>
        </w:tc>
      </w:tr>
      <w:tr w:rsidR="00A70B78" w:rsidRPr="007C6A42" w14:paraId="51329AF5" w14:textId="77777777" w:rsidTr="00AF4FC9">
        <w:trPr>
          <w:trHeight w:val="576"/>
          <w:jc w:val="center"/>
        </w:trPr>
        <w:tc>
          <w:tcPr>
            <w:tcW w:w="2024" w:type="dxa"/>
            <w:tcBorders>
              <w:top w:val="single" w:sz="4" w:space="0" w:color="auto"/>
              <w:left w:val="single" w:sz="4" w:space="0" w:color="auto"/>
              <w:bottom w:val="single" w:sz="4" w:space="0" w:color="auto"/>
              <w:right w:val="single" w:sz="4" w:space="0" w:color="auto"/>
            </w:tcBorders>
          </w:tcPr>
          <w:p w14:paraId="10BBECB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14746AD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desséchée</w:t>
            </w:r>
          </w:p>
        </w:tc>
      </w:tr>
      <w:tr w:rsidR="00A70B78" w:rsidRPr="007C6A42" w14:paraId="30A51D8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D6F8A5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5B1ADD35"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desséchée</w:t>
            </w:r>
          </w:p>
        </w:tc>
      </w:tr>
      <w:tr w:rsidR="00A70B78" w:rsidRPr="007C6A42" w14:paraId="1070D99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96ADE1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23D729F1"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éteinte</w:t>
            </w:r>
          </w:p>
        </w:tc>
      </w:tr>
      <w:tr w:rsidR="00A70B78" w:rsidRPr="007C6A42" w14:paraId="30F4120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4595EC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03961D70"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desséchée</w:t>
            </w:r>
          </w:p>
        </w:tc>
      </w:tr>
      <w:tr w:rsidR="00A70B78" w:rsidRPr="007C6A42" w14:paraId="5FDE084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E6557B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30E1C20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inerte</w:t>
            </w:r>
          </w:p>
        </w:tc>
      </w:tr>
      <w:tr w:rsidR="00A70B78" w:rsidRPr="007C6A42" w14:paraId="109CC3E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3F11F7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345088CC"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desséchée</w:t>
            </w:r>
          </w:p>
        </w:tc>
      </w:tr>
    </w:tbl>
    <w:p w14:paraId="6914BE9F"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5BE1D910" w14:textId="77777777" w:rsidR="00A70B78" w:rsidRPr="007C6A42" w:rsidRDefault="00A70B78" w:rsidP="00A70B78">
      <w:pPr>
        <w:spacing w:line="360" w:lineRule="auto"/>
        <w:ind w:firstLine="284"/>
        <w:contextualSpacing/>
        <w:jc w:val="both"/>
        <w:rPr>
          <w:rFonts w:asciiTheme="majorBidi" w:eastAsia="Times New Roman" w:hAnsiTheme="majorBidi" w:cstheme="majorBidi"/>
          <w:rtl/>
        </w:rPr>
      </w:pPr>
      <w:r w:rsidRPr="007C6A42">
        <w:rPr>
          <w:rFonts w:asciiTheme="majorBidi" w:eastAsia="Times New Roman" w:hAnsiTheme="majorBidi" w:cstheme="majorBidi"/>
          <w:lang w:bidi="ar-AE"/>
        </w:rPr>
        <w:t>Du Ryer a allongé la traduction en utilisant trois adjectifs (« </w:t>
      </w:r>
      <w:r w:rsidRPr="007C6A42">
        <w:rPr>
          <w:rFonts w:asciiTheme="majorBidi" w:hAnsiTheme="majorBidi" w:cstheme="majorBidi"/>
        </w:rPr>
        <w:t xml:space="preserve">séchée, morte &amp; aride »). </w:t>
      </w:r>
      <w:r w:rsidRPr="007C6A42">
        <w:rPr>
          <w:rFonts w:asciiTheme="majorBidi" w:eastAsia="Times New Roman" w:hAnsiTheme="majorBidi" w:cstheme="majorBidi"/>
          <w:lang w:bidi="ar-AE"/>
        </w:rPr>
        <w:t>De même, Savary a allongé et clarifié la traduction en utilisant une proposition subordonnée relative (« </w:t>
      </w:r>
      <w:r w:rsidRPr="007C6A42">
        <w:rPr>
          <w:rFonts w:asciiTheme="majorBidi" w:eastAsia="Times New Roman" w:hAnsiTheme="majorBidi" w:cstheme="majorBidi"/>
        </w:rPr>
        <w:t>que la sécheresse a rendue stérile »</w:t>
      </w:r>
      <w:r w:rsidRPr="007C6A42">
        <w:rPr>
          <w:rFonts w:asciiTheme="majorBidi" w:eastAsia="Times New Roman" w:hAnsiTheme="majorBidi" w:cstheme="majorBidi"/>
          <w:lang w:bidi="ar-AE"/>
        </w:rPr>
        <w:t xml:space="preserve">). Blachère a augmenté le degré de </w:t>
      </w:r>
      <w:r w:rsidRPr="007C6A42">
        <w:rPr>
          <w:rFonts w:asciiTheme="majorBidi" w:eastAsia="Times New Roman" w:hAnsiTheme="majorBidi" w:cstheme="majorBidi"/>
          <w:lang w:bidi="ar-EG"/>
        </w:rPr>
        <w:t>« </w:t>
      </w:r>
      <w:r w:rsidRPr="007C6A42">
        <w:rPr>
          <w:rFonts w:asciiTheme="majorBidi" w:eastAsia="Times New Roman" w:hAnsiTheme="majorBidi" w:cstheme="majorBidi"/>
          <w:i/>
          <w:iCs/>
          <w:lang w:bidi="ar-EG"/>
        </w:rPr>
        <w:t>hāmida</w:t>
      </w:r>
      <w:r w:rsidRPr="007C6A42">
        <w:rPr>
          <w:rFonts w:asciiTheme="majorBidi" w:eastAsia="Times New Roman" w:hAnsiTheme="majorBidi" w:cstheme="majorBidi"/>
          <w:lang w:bidi="ar-EG"/>
        </w:rPr>
        <w:t xml:space="preserve"> » en le </w:t>
      </w:r>
      <w:r w:rsidRPr="007C6A42">
        <w:rPr>
          <w:rFonts w:asciiTheme="majorBidi" w:eastAsia="Times New Roman" w:hAnsiTheme="majorBidi" w:cstheme="majorBidi"/>
          <w:lang w:bidi="ar-EG"/>
        </w:rPr>
        <w:lastRenderedPageBreak/>
        <w:t>traduisant par « prostrée », un participe passé qui désigne un état d’extrême affaiblissement, de profond abattement.</w:t>
      </w:r>
    </w:p>
    <w:p w14:paraId="02512BF5"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EG"/>
        </w:rPr>
      </w:pPr>
      <w:r w:rsidRPr="007C6A42">
        <w:rPr>
          <w:rFonts w:asciiTheme="majorBidi" w:eastAsia="Times New Roman" w:hAnsiTheme="majorBidi" w:cstheme="majorBidi"/>
          <w:lang w:bidi="ar-EG"/>
        </w:rPr>
        <w:t>La traduction de Ghédira et d’Abdelaziz semble anachronique, renvoyant au sens de l’adjectif « </w:t>
      </w:r>
      <w:r w:rsidRPr="007C6A42">
        <w:rPr>
          <w:rFonts w:asciiTheme="majorBidi" w:eastAsia="Times New Roman" w:hAnsiTheme="majorBidi" w:cstheme="majorBidi"/>
          <w:i/>
          <w:iCs/>
          <w:lang w:bidi="ar-EG"/>
        </w:rPr>
        <w:t>hāmid</w:t>
      </w:r>
      <w:r w:rsidRPr="007C6A42">
        <w:rPr>
          <w:rFonts w:asciiTheme="majorBidi" w:eastAsia="Times New Roman" w:hAnsiTheme="majorBidi" w:cstheme="majorBidi"/>
          <w:lang w:bidi="ar-EG"/>
        </w:rPr>
        <w:t xml:space="preserve"> » en arabe moderne (« sans activité, inerte »), alors qu’il signifiait en arabe ancien : « mort », « éteint », « infertile », « desséché ». Selon les dictionnaires </w:t>
      </w:r>
      <w:r w:rsidRPr="007C6A42">
        <w:rPr>
          <w:rFonts w:asciiTheme="majorBidi" w:eastAsia="Times New Roman" w:hAnsiTheme="majorBidi" w:cstheme="majorBidi"/>
          <w:i/>
          <w:iCs/>
          <w:lang w:bidi="ar-EG"/>
        </w:rPr>
        <w:t>Lisān al-</w:t>
      </w:r>
      <w:r w:rsidRPr="007C6A42">
        <w:rPr>
          <w:rFonts w:asciiTheme="majorBidi" w:hAnsiTheme="majorBidi" w:cstheme="majorBidi"/>
          <w:i/>
          <w:iCs/>
        </w:rPr>
        <w:t>ʿ</w:t>
      </w:r>
      <w:r w:rsidRPr="007C6A42">
        <w:rPr>
          <w:rFonts w:asciiTheme="majorBidi" w:eastAsia="Times New Roman" w:hAnsiTheme="majorBidi" w:cstheme="majorBidi"/>
          <w:i/>
          <w:iCs/>
          <w:lang w:bidi="ar-EG"/>
        </w:rPr>
        <w:t>Arab</w:t>
      </w:r>
      <w:r w:rsidRPr="007C6A42">
        <w:rPr>
          <w:rFonts w:asciiTheme="majorBidi" w:eastAsia="Times New Roman" w:hAnsiTheme="majorBidi" w:cstheme="majorBidi"/>
          <w:lang w:bidi="ar-EG"/>
        </w:rPr>
        <w:t xml:space="preserve"> et </w:t>
      </w:r>
      <w:r w:rsidRPr="007C6A42">
        <w:rPr>
          <w:rFonts w:asciiTheme="majorBidi" w:eastAsia="Times New Roman" w:hAnsiTheme="majorBidi" w:cstheme="majorBidi"/>
          <w:i/>
          <w:iCs/>
          <w:lang w:bidi="ar-EG"/>
        </w:rPr>
        <w:t>Tāj al-</w:t>
      </w:r>
      <w:r w:rsidRPr="007C6A42">
        <w:rPr>
          <w:rFonts w:asciiTheme="majorBidi" w:hAnsiTheme="majorBidi" w:cstheme="majorBidi"/>
          <w:i/>
          <w:iCs/>
        </w:rPr>
        <w:t>ʿ</w:t>
      </w:r>
      <w:r w:rsidRPr="007C6A42">
        <w:rPr>
          <w:rFonts w:asciiTheme="majorBidi" w:eastAsia="Times New Roman" w:hAnsiTheme="majorBidi" w:cstheme="majorBidi"/>
          <w:i/>
          <w:iCs/>
          <w:lang w:bidi="ar-EG"/>
        </w:rPr>
        <w:t>Arūs</w:t>
      </w:r>
      <w:r w:rsidRPr="007C6A42">
        <w:rPr>
          <w:rFonts w:asciiTheme="majorBidi" w:eastAsia="Times New Roman" w:hAnsiTheme="majorBidi" w:cstheme="majorBidi"/>
          <w:lang w:bidi="ar-EG"/>
        </w:rPr>
        <w:t xml:space="preserve">, le verbe </w:t>
      </w:r>
      <w:r w:rsidRPr="007C6A42">
        <w:rPr>
          <w:rFonts w:asciiTheme="majorBidi" w:eastAsia="Times New Roman" w:hAnsiTheme="majorBidi" w:cstheme="majorBidi"/>
          <w:i/>
          <w:iCs/>
          <w:lang w:bidi="ar-EG"/>
        </w:rPr>
        <w:t>hamada</w:t>
      </w:r>
      <w:r w:rsidRPr="007C6A42">
        <w:rPr>
          <w:rFonts w:asciiTheme="majorBidi" w:eastAsia="Times New Roman" w:hAnsiTheme="majorBidi" w:cstheme="majorBidi"/>
          <w:lang w:bidi="ar-EG"/>
        </w:rPr>
        <w:t xml:space="preserve"> signifie : « mourir », « s’éteindre ».</w:t>
      </w:r>
    </w:p>
    <w:p w14:paraId="7F10141E"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eastAsia="Times New Roman" w:hAnsiTheme="majorBidi" w:cstheme="majorBidi"/>
          <w:lang w:bidi="ar-EG"/>
        </w:rPr>
        <w:t>La traduction de Ben Mahmoud (« </w:t>
      </w:r>
      <w:r w:rsidRPr="007C6A42">
        <w:rPr>
          <w:rFonts w:asciiTheme="majorBidi" w:hAnsiTheme="majorBidi" w:cstheme="majorBidi"/>
        </w:rPr>
        <w:t>La terre a été stérile »</w:t>
      </w:r>
      <w:r w:rsidRPr="007C6A42">
        <w:rPr>
          <w:rFonts w:asciiTheme="majorBidi" w:eastAsia="Times New Roman" w:hAnsiTheme="majorBidi" w:cstheme="majorBidi"/>
          <w:lang w:bidi="ar-EG"/>
        </w:rPr>
        <w:t xml:space="preserve">) donne le sens essentiel de </w:t>
      </w:r>
      <w:r w:rsidRPr="007C6A42">
        <w:rPr>
          <w:rFonts w:asciiTheme="majorBidi" w:eastAsia="Times New Roman" w:hAnsiTheme="majorBidi" w:cstheme="majorBidi"/>
          <w:i/>
          <w:iCs/>
          <w:lang w:bidi="ar-EG"/>
        </w:rPr>
        <w:t>hāmida</w:t>
      </w:r>
      <w:r w:rsidRPr="007C6A42">
        <w:rPr>
          <w:rFonts w:asciiTheme="majorBidi" w:eastAsia="Times New Roman" w:hAnsiTheme="majorBidi" w:cstheme="majorBidi"/>
          <w:lang w:bidi="ar-EG"/>
        </w:rPr>
        <w:t>, mais omet le verbe à l’inaccompli « </w:t>
      </w:r>
      <w:r w:rsidRPr="007C6A42">
        <w:rPr>
          <w:rFonts w:asciiTheme="majorBidi" w:eastAsia="Times New Roman" w:hAnsiTheme="majorBidi" w:cstheme="majorBidi"/>
          <w:i/>
          <w:iCs/>
          <w:lang w:bidi="ar-EG"/>
        </w:rPr>
        <w:t>tarā</w:t>
      </w:r>
      <w:r w:rsidRPr="007C6A42">
        <w:rPr>
          <w:rFonts w:asciiTheme="majorBidi" w:eastAsia="Times New Roman" w:hAnsiTheme="majorBidi" w:cstheme="majorBidi"/>
          <w:lang w:bidi="ar-EG"/>
        </w:rPr>
        <w:t xml:space="preserve"> » </w:t>
      </w:r>
      <w:r w:rsidRPr="007C6A42">
        <w:rPr>
          <w:rFonts w:asciiTheme="majorBidi" w:hAnsiTheme="majorBidi" w:cstheme="majorBidi"/>
        </w:rPr>
        <w:t xml:space="preserve">[tu vois] qui précède </w:t>
      </w:r>
      <w:r w:rsidRPr="007C6A42">
        <w:rPr>
          <w:rFonts w:asciiTheme="majorBidi" w:eastAsia="Times New Roman" w:hAnsiTheme="majorBidi" w:cstheme="majorBidi"/>
          <w:i/>
          <w:iCs/>
          <w:lang w:bidi="ar-EG"/>
        </w:rPr>
        <w:t>hāmida</w:t>
      </w:r>
      <w:r w:rsidRPr="007C6A42">
        <w:rPr>
          <w:rFonts w:asciiTheme="majorBidi" w:eastAsia="Times New Roman" w:hAnsiTheme="majorBidi" w:cstheme="majorBidi"/>
          <w:lang w:bidi="ar-EG"/>
        </w:rPr>
        <w:t xml:space="preserve">. </w:t>
      </w:r>
    </w:p>
    <w:p w14:paraId="26E0B2FF" w14:textId="77777777" w:rsidR="00A70B78" w:rsidRPr="007C6A42" w:rsidRDefault="00A70B78" w:rsidP="00A70B78">
      <w:pPr>
        <w:spacing w:line="360" w:lineRule="auto"/>
        <w:ind w:firstLine="284"/>
        <w:contextualSpacing/>
        <w:jc w:val="both"/>
        <w:rPr>
          <w:rFonts w:asciiTheme="majorBidi" w:hAnsiTheme="majorBidi" w:cstheme="majorBidi"/>
        </w:rPr>
      </w:pPr>
    </w:p>
    <w:p w14:paraId="153FA101"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hAnsiTheme="majorBidi" w:cstheme="majorBidi"/>
        </w:rPr>
        <w:t>Les autres traducteurs ont reproduit les significations essentielles du terme arabe quand ils optent pour les mots : « éteinte », « stérile », « désertique », « morte », « desséchée ».</w:t>
      </w:r>
    </w:p>
    <w:p w14:paraId="451057F7"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EG"/>
        </w:rPr>
      </w:pPr>
      <w:r w:rsidRPr="007C6A42">
        <w:rPr>
          <w:rFonts w:asciiTheme="majorBidi" w:hAnsiTheme="majorBidi" w:cstheme="majorBidi"/>
        </w:rPr>
        <w:t>Cependant, malgré cette diversité traductionnelle, il reste d’autres significations dont l’exégèse musulmane a parlé et que les traductions n’ont pas montrées comme : « </w:t>
      </w:r>
      <w:r w:rsidRPr="007C6A42">
        <w:rPr>
          <w:rFonts w:asciiTheme="majorBidi" w:eastAsia="Times New Roman" w:hAnsiTheme="majorBidi" w:cstheme="majorBidi"/>
          <w:lang w:bidi="ar-EG"/>
        </w:rPr>
        <w:t>cendrée » (</w:t>
      </w:r>
      <w:r w:rsidRPr="007C6A42">
        <w:rPr>
          <w:rFonts w:asciiTheme="majorBidi" w:eastAsia="Times New Roman" w:hAnsiTheme="majorBidi" w:cstheme="majorBidi"/>
          <w:i/>
          <w:iCs/>
          <w:lang w:bidi="ar-EG"/>
        </w:rPr>
        <w:t>ghabrā</w:t>
      </w:r>
      <w:r w:rsidRPr="007C6A42">
        <w:rPr>
          <w:rFonts w:asciiTheme="majorBidi" w:eastAsia="Times New Roman" w:hAnsiTheme="majorBidi" w:cstheme="majorBidi"/>
        </w:rPr>
        <w:t>ʾ</w:t>
      </w:r>
      <w:r w:rsidRPr="007C6A42">
        <w:rPr>
          <w:rFonts w:asciiTheme="majorBidi" w:eastAsia="Times New Roman" w:hAnsiTheme="majorBidi" w:cstheme="majorBidi"/>
          <w:lang w:bidi="ar-EG"/>
        </w:rPr>
        <w:t>), « dont les plantes sont brisées ou réduites en miettes » (</w:t>
      </w:r>
      <w:r w:rsidRPr="007C6A42">
        <w:rPr>
          <w:rFonts w:asciiTheme="majorBidi" w:eastAsia="Times New Roman" w:hAnsiTheme="majorBidi" w:cstheme="majorBidi"/>
          <w:i/>
          <w:iCs/>
          <w:lang w:bidi="ar-EG"/>
        </w:rPr>
        <w:t>mutahashshima</w:t>
      </w:r>
      <w:r w:rsidRPr="007C6A42">
        <w:rPr>
          <w:rFonts w:asciiTheme="majorBidi" w:eastAsia="Times New Roman" w:hAnsiTheme="majorBidi" w:cstheme="majorBidi"/>
          <w:lang w:bidi="ar-EG"/>
        </w:rPr>
        <w:t>), « calme » (</w:t>
      </w:r>
      <w:r w:rsidRPr="007C6A42">
        <w:rPr>
          <w:rFonts w:asciiTheme="majorBidi" w:eastAsia="Times New Roman" w:hAnsiTheme="majorBidi" w:cstheme="majorBidi"/>
          <w:i/>
          <w:iCs/>
          <w:lang w:bidi="ar-EG"/>
        </w:rPr>
        <w:t>sākina</w:t>
      </w:r>
      <w:r w:rsidRPr="007C6A42">
        <w:rPr>
          <w:rFonts w:asciiTheme="majorBidi" w:eastAsia="Times New Roman" w:hAnsiTheme="majorBidi" w:cstheme="majorBidi"/>
          <w:lang w:bidi="ar-EG"/>
        </w:rPr>
        <w:t>), etc.</w:t>
      </w:r>
    </w:p>
    <w:p w14:paraId="1F0B65D7" w14:textId="77777777" w:rsidR="00A70B78" w:rsidRPr="007C6A42" w:rsidRDefault="00A70B78" w:rsidP="00A70B78">
      <w:pPr>
        <w:spacing w:line="360" w:lineRule="auto"/>
        <w:contextualSpacing/>
        <w:jc w:val="both"/>
        <w:rPr>
          <w:rFonts w:asciiTheme="majorBidi" w:eastAsia="Times New Roman" w:hAnsiTheme="majorBidi" w:cstheme="majorBidi"/>
          <w:lang w:bidi="ar-EG"/>
        </w:rPr>
      </w:pPr>
    </w:p>
    <w:p w14:paraId="134EAB0C" w14:textId="77777777" w:rsidR="00A70B78" w:rsidRPr="007C6A42" w:rsidRDefault="00A70B78" w:rsidP="00A70B78">
      <w:pPr>
        <w:spacing w:line="360" w:lineRule="auto"/>
        <w:contextualSpacing/>
        <w:jc w:val="both"/>
        <w:outlineLvl w:val="0"/>
        <w:rPr>
          <w:rFonts w:asciiTheme="majorBidi" w:eastAsia="Times New Roman" w:hAnsiTheme="majorBidi" w:cstheme="majorBidi"/>
          <w:b/>
          <w:bCs/>
          <w:lang w:bidi="ar-KW"/>
        </w:rPr>
      </w:pPr>
      <w:r w:rsidRPr="007C6A42">
        <w:rPr>
          <w:rFonts w:asciiTheme="majorBidi" w:eastAsia="Times New Roman" w:hAnsiTheme="majorBidi" w:cstheme="majorBidi"/>
          <w:b/>
          <w:bCs/>
          <w:lang w:bidi="ar-KW"/>
        </w:rPr>
        <w:t xml:space="preserve">Traductions des mots </w:t>
      </w:r>
      <w:r w:rsidRPr="007C6A42">
        <w:rPr>
          <w:rFonts w:asciiTheme="majorBidi" w:eastAsia="Times New Roman" w:hAnsiTheme="majorBidi" w:cstheme="majorBidi"/>
          <w:b/>
          <w:bCs/>
          <w:i/>
          <w:iCs/>
          <w:lang w:bidi="ar-KW"/>
        </w:rPr>
        <w:t>sabab</w:t>
      </w:r>
      <w:r w:rsidRPr="007C6A42">
        <w:rPr>
          <w:rFonts w:asciiTheme="majorBidi" w:eastAsia="Times New Roman" w:hAnsiTheme="majorBidi" w:cstheme="majorBidi"/>
          <w:b/>
          <w:bCs/>
          <w:lang w:bidi="ar-KW"/>
        </w:rPr>
        <w:t xml:space="preserve">, </w:t>
      </w:r>
      <w:r w:rsidRPr="007C6A42">
        <w:rPr>
          <w:rFonts w:asciiTheme="majorBidi" w:eastAsia="Times New Roman" w:hAnsiTheme="majorBidi" w:cstheme="majorBidi"/>
          <w:b/>
          <w:bCs/>
          <w:i/>
          <w:iCs/>
          <w:lang w:bidi="ar-KW"/>
        </w:rPr>
        <w:t>as-samāʾ</w:t>
      </w:r>
      <w:r w:rsidRPr="007C6A42">
        <w:rPr>
          <w:rFonts w:asciiTheme="majorBidi" w:eastAsia="Times New Roman" w:hAnsiTheme="majorBidi" w:cstheme="majorBidi"/>
          <w:b/>
          <w:bCs/>
          <w:lang w:bidi="ar-KW"/>
        </w:rPr>
        <w:t xml:space="preserve"> et </w:t>
      </w:r>
      <w:r w:rsidRPr="007C6A42">
        <w:rPr>
          <w:rFonts w:asciiTheme="majorBidi" w:eastAsia="Times New Roman" w:hAnsiTheme="majorBidi" w:cstheme="majorBidi"/>
          <w:b/>
          <w:bCs/>
          <w:i/>
          <w:iCs/>
          <w:lang w:bidi="ar-KW"/>
        </w:rPr>
        <w:t>yaqṭaʿ</w:t>
      </w:r>
      <w:r w:rsidRPr="007C6A42">
        <w:rPr>
          <w:rFonts w:asciiTheme="majorBidi" w:eastAsia="Times New Roman" w:hAnsiTheme="majorBidi" w:cstheme="majorBidi"/>
          <w:b/>
          <w:bCs/>
          <w:lang w:bidi="ar-KW"/>
        </w:rPr>
        <w:t xml:space="preserve"> (v. 15) :</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729"/>
        <w:gridCol w:w="8434"/>
      </w:tblGrid>
      <w:tr w:rsidR="00A70B78" w:rsidRPr="007C6A42" w14:paraId="676853C2" w14:textId="77777777" w:rsidTr="00AF4FC9">
        <w:tc>
          <w:tcPr>
            <w:tcW w:w="11057" w:type="dxa"/>
            <w:gridSpan w:val="3"/>
            <w:tcBorders>
              <w:top w:val="nil"/>
              <w:left w:val="single" w:sz="4" w:space="0" w:color="auto"/>
              <w:bottom w:val="single" w:sz="4" w:space="0" w:color="auto"/>
              <w:right w:val="single" w:sz="4" w:space="0" w:color="auto"/>
            </w:tcBorders>
          </w:tcPr>
          <w:p w14:paraId="4C0498D7"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 xml:space="preserve"> Verset 15</w:t>
            </w:r>
          </w:p>
        </w:tc>
      </w:tr>
      <w:tr w:rsidR="00A70B78" w:rsidRPr="007C6A42" w14:paraId="4DC7409B" w14:textId="77777777" w:rsidTr="00AF4FC9">
        <w:tc>
          <w:tcPr>
            <w:tcW w:w="894" w:type="dxa"/>
            <w:tcBorders>
              <w:top w:val="single" w:sz="4" w:space="0" w:color="auto"/>
              <w:left w:val="single" w:sz="4" w:space="0" w:color="auto"/>
              <w:bottom w:val="single" w:sz="4" w:space="0" w:color="auto"/>
              <w:right w:val="single" w:sz="4" w:space="0" w:color="auto"/>
            </w:tcBorders>
          </w:tcPr>
          <w:p w14:paraId="286229A5"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Texte-source</w:t>
            </w:r>
          </w:p>
        </w:tc>
        <w:tc>
          <w:tcPr>
            <w:tcW w:w="1729" w:type="dxa"/>
            <w:tcBorders>
              <w:top w:val="nil"/>
              <w:left w:val="single" w:sz="4" w:space="0" w:color="auto"/>
              <w:bottom w:val="single" w:sz="4" w:space="0" w:color="auto"/>
              <w:right w:val="single" w:sz="4" w:space="0" w:color="auto"/>
            </w:tcBorders>
          </w:tcPr>
          <w:p w14:paraId="58E4758F"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Traducteur</w:t>
            </w:r>
          </w:p>
        </w:tc>
        <w:tc>
          <w:tcPr>
            <w:tcW w:w="8434" w:type="dxa"/>
            <w:tcBorders>
              <w:top w:val="nil"/>
              <w:left w:val="single" w:sz="4" w:space="0" w:color="auto"/>
              <w:bottom w:val="single" w:sz="4" w:space="0" w:color="auto"/>
              <w:right w:val="single" w:sz="4" w:space="0" w:color="auto"/>
            </w:tcBorders>
          </w:tcPr>
          <w:p w14:paraId="4F7EC7E3"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Texte-cible (traduction)</w:t>
            </w:r>
          </w:p>
        </w:tc>
      </w:tr>
      <w:tr w:rsidR="00A70B78" w:rsidRPr="007C6A42" w14:paraId="6FB10D22" w14:textId="77777777" w:rsidTr="00AF4FC9">
        <w:tc>
          <w:tcPr>
            <w:tcW w:w="894" w:type="dxa"/>
            <w:vMerge w:val="restart"/>
            <w:tcBorders>
              <w:top w:val="single" w:sz="4" w:space="0" w:color="auto"/>
              <w:left w:val="single" w:sz="4" w:space="0" w:color="auto"/>
              <w:bottom w:val="single" w:sz="4" w:space="0" w:color="auto"/>
              <w:right w:val="single" w:sz="4" w:space="0" w:color="auto"/>
            </w:tcBorders>
          </w:tcPr>
          <w:p w14:paraId="70065EC9" w14:textId="77777777" w:rsidR="00A70B78" w:rsidRPr="007C6A42" w:rsidRDefault="00A70B78" w:rsidP="00AF4FC9">
            <w:pPr>
              <w:bidi/>
              <w:spacing w:line="360" w:lineRule="auto"/>
              <w:jc w:val="center"/>
              <w:rPr>
                <w:rFonts w:asciiTheme="majorBidi" w:eastAsia="Times New Roman" w:hAnsiTheme="majorBidi" w:cstheme="majorBidi"/>
                <w:lang w:bidi="ar-KW"/>
              </w:rPr>
            </w:pPr>
            <w:r w:rsidRPr="007C6A42">
              <w:rPr>
                <w:rFonts w:asciiTheme="majorBidi" w:eastAsia="Times New Roman" w:hAnsiTheme="majorBidi" w:cstheme="majorBidi"/>
                <w:rtl/>
                <w:lang w:bidi="ar-AE"/>
              </w:rPr>
              <w:t xml:space="preserve">مَن كانَ يظُنُّ أنْ لن ينصرَهُ اللهُ في الدنيا والآخرةِ فلْيَمْدُدْ بسببٍ إلى السماء ثم </w:t>
            </w:r>
            <w:r w:rsidRPr="007C6A42">
              <w:rPr>
                <w:rFonts w:asciiTheme="majorBidi" w:eastAsia="Times New Roman" w:hAnsiTheme="majorBidi" w:cstheme="majorBidi"/>
                <w:rtl/>
                <w:lang w:bidi="ar-AE"/>
              </w:rPr>
              <w:lastRenderedPageBreak/>
              <w:t>ليقطَعْ فلْينظُرْ هل يُذْهِبَنَّ كيدُه ما يَغيظ.</w:t>
            </w:r>
          </w:p>
        </w:tc>
        <w:tc>
          <w:tcPr>
            <w:tcW w:w="1729" w:type="dxa"/>
            <w:tcBorders>
              <w:top w:val="single" w:sz="4" w:space="0" w:color="auto"/>
              <w:left w:val="single" w:sz="4" w:space="0" w:color="auto"/>
              <w:bottom w:val="single" w:sz="4" w:space="0" w:color="auto"/>
              <w:right w:val="single" w:sz="4" w:space="0" w:color="auto"/>
            </w:tcBorders>
          </w:tcPr>
          <w:p w14:paraId="3F6F351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lastRenderedPageBreak/>
              <w:t>Du Ryer</w:t>
            </w:r>
            <w:r w:rsidRPr="007C6A42">
              <w:rPr>
                <w:rFonts w:asciiTheme="majorBidi" w:eastAsia="Calibri" w:hAnsiTheme="majorBidi" w:cstheme="majorBidi"/>
                <w:lang w:bidi="ar-AE"/>
              </w:rPr>
              <w:t xml:space="preserve"> (1647)</w:t>
            </w:r>
          </w:p>
        </w:tc>
        <w:tc>
          <w:tcPr>
            <w:tcW w:w="8434" w:type="dxa"/>
            <w:tcBorders>
              <w:top w:val="single" w:sz="4" w:space="0" w:color="auto"/>
              <w:left w:val="single" w:sz="4" w:space="0" w:color="auto"/>
              <w:bottom w:val="single" w:sz="4" w:space="0" w:color="auto"/>
              <w:right w:val="single" w:sz="4" w:space="0" w:color="auto"/>
            </w:tcBorders>
          </w:tcPr>
          <w:p w14:paraId="2855693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Celuy qui eʃt faʃché de ce que Dieu donne ʃecours &amp; protection à Mahomet en ce monde &amp; en l’autre, qu’il attache vne corde au plancher de ʃa maison, &amp; qu’il s’eʃtrangle, il verra ʃe ʃa colere paʃʃera.</w:t>
            </w:r>
          </w:p>
        </w:tc>
      </w:tr>
      <w:tr w:rsidR="00A70B78" w:rsidRPr="007C6A42" w14:paraId="3868035E"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7651C21E"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3990E0F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Savary</w:t>
            </w:r>
            <w:r w:rsidRPr="007C6A42">
              <w:rPr>
                <w:rFonts w:asciiTheme="majorBidi" w:eastAsia="Calibri" w:hAnsiTheme="majorBidi" w:cstheme="majorBidi"/>
                <w:lang w:bidi="ar-AE"/>
              </w:rPr>
              <w:t xml:space="preserve"> (1782)</w:t>
            </w:r>
          </w:p>
        </w:tc>
        <w:tc>
          <w:tcPr>
            <w:tcW w:w="8434" w:type="dxa"/>
            <w:tcBorders>
              <w:top w:val="single" w:sz="4" w:space="0" w:color="auto"/>
              <w:left w:val="single" w:sz="4" w:space="0" w:color="auto"/>
              <w:bottom w:val="single" w:sz="4" w:space="0" w:color="auto"/>
              <w:right w:val="single" w:sz="4" w:space="0" w:color="auto"/>
            </w:tcBorders>
          </w:tcPr>
          <w:p w14:paraId="061395D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que le prophète sera privé du secours divin dans ce monde et dans l’autre, attache une corde au toit de sa maison, et s’étrangle. Il verra si son stratagème rendra vain ce qui l’irrite.</w:t>
            </w:r>
          </w:p>
        </w:tc>
      </w:tr>
      <w:tr w:rsidR="00A70B78" w:rsidRPr="007C6A42" w14:paraId="302F0CF5"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0955F1B6"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41268E5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Kazimirski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p>
        </w:tc>
        <w:tc>
          <w:tcPr>
            <w:tcW w:w="8434" w:type="dxa"/>
            <w:tcBorders>
              <w:top w:val="single" w:sz="4" w:space="0" w:color="auto"/>
              <w:left w:val="single" w:sz="4" w:space="0" w:color="auto"/>
              <w:bottom w:val="single" w:sz="4" w:space="0" w:color="auto"/>
              <w:right w:val="single" w:sz="4" w:space="0" w:color="auto"/>
            </w:tcBorders>
          </w:tcPr>
          <w:p w14:paraId="7F2E5991"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Que celui qui pense que Dieu ne le secourra pas (</w:t>
            </w:r>
            <w:r w:rsidRPr="007C6A42">
              <w:rPr>
                <w:rFonts w:asciiTheme="majorBidi" w:eastAsia="Times New Roman" w:hAnsiTheme="majorBidi" w:cstheme="majorBidi"/>
                <w:i/>
                <w:iCs/>
              </w:rPr>
              <w:t>Mohammed</w:t>
            </w:r>
            <w:r w:rsidRPr="007C6A42">
              <w:rPr>
                <w:rFonts w:asciiTheme="majorBidi" w:eastAsia="Times New Roman" w:hAnsiTheme="majorBidi" w:cstheme="majorBidi"/>
              </w:rPr>
              <w:t xml:space="preserve">) dans ce monde et dans l’autre, allonge la corde vers le ciel et la coupe ; il verra si ses artifices rendront vain ce qui l’irrite.* (NDT : *Voici quel peut être le sens de ce passage : Dieu secourra le prophète, quels que soient les artifices de ses ennemis. Mahomet leur dit en les narguant : Il ne vous reste qu’à vous pendre de désespoir et de dépit. </w:t>
            </w:r>
            <w:r w:rsidRPr="007C6A42">
              <w:rPr>
                <w:rFonts w:asciiTheme="majorBidi" w:eastAsia="Times New Roman" w:hAnsiTheme="majorBidi" w:cstheme="majorBidi"/>
              </w:rPr>
              <w:lastRenderedPageBreak/>
              <w:t>Les mots : </w:t>
            </w:r>
            <w:r w:rsidRPr="007C6A42">
              <w:rPr>
                <w:rFonts w:asciiTheme="majorBidi" w:eastAsia="Times New Roman" w:hAnsiTheme="majorBidi" w:cstheme="majorBidi"/>
                <w:i/>
                <w:iCs/>
              </w:rPr>
              <w:t>vers le ciel</w:t>
            </w:r>
            <w:r w:rsidRPr="007C6A42">
              <w:rPr>
                <w:rFonts w:asciiTheme="majorBidi" w:eastAsia="Times New Roman" w:hAnsiTheme="majorBidi" w:cstheme="majorBidi"/>
              </w:rPr>
              <w:t>, veulent dire seulement : </w:t>
            </w:r>
            <w:r w:rsidRPr="007C6A42">
              <w:rPr>
                <w:rFonts w:asciiTheme="majorBidi" w:eastAsia="Times New Roman" w:hAnsiTheme="majorBidi" w:cstheme="majorBidi"/>
                <w:i/>
                <w:iCs/>
              </w:rPr>
              <w:t>en haut</w:t>
            </w:r>
            <w:r w:rsidRPr="007C6A42">
              <w:rPr>
                <w:rFonts w:asciiTheme="majorBidi" w:eastAsia="Times New Roman" w:hAnsiTheme="majorBidi" w:cstheme="majorBidi"/>
              </w:rPr>
              <w:t>, </w:t>
            </w:r>
            <w:r w:rsidRPr="007C6A42">
              <w:rPr>
                <w:rFonts w:asciiTheme="majorBidi" w:eastAsia="Times New Roman" w:hAnsiTheme="majorBidi" w:cstheme="majorBidi"/>
                <w:i/>
                <w:iCs/>
              </w:rPr>
              <w:t>en haut du plancher de sa maison</w:t>
            </w:r>
            <w:r w:rsidRPr="007C6A42">
              <w:rPr>
                <w:rFonts w:asciiTheme="majorBidi" w:eastAsia="Times New Roman" w:hAnsiTheme="majorBidi" w:cstheme="majorBidi"/>
              </w:rPr>
              <w:t>.)</w:t>
            </w:r>
          </w:p>
        </w:tc>
      </w:tr>
      <w:tr w:rsidR="00A70B78" w:rsidRPr="007C6A42" w14:paraId="6842FCFF"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1810E175"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5AA5FFCC"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Blachère (1949)</w:t>
            </w:r>
          </w:p>
        </w:tc>
        <w:tc>
          <w:tcPr>
            <w:tcW w:w="8434" w:type="dxa"/>
            <w:tcBorders>
              <w:top w:val="single" w:sz="4" w:space="0" w:color="auto"/>
              <w:left w:val="single" w:sz="4" w:space="0" w:color="auto"/>
              <w:bottom w:val="single" w:sz="4" w:space="0" w:color="auto"/>
              <w:right w:val="single" w:sz="4" w:space="0" w:color="auto"/>
            </w:tcBorders>
          </w:tcPr>
          <w:p w14:paraId="2D531B1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qu’Allah ne le secourra pas, dans la [</w:t>
            </w:r>
            <w:r w:rsidRPr="007C6A42">
              <w:rPr>
                <w:rFonts w:asciiTheme="majorBidi" w:eastAsia="Times New Roman" w:hAnsiTheme="majorBidi" w:cstheme="majorBidi"/>
                <w:i/>
              </w:rPr>
              <w:t>Vie</w:t>
            </w:r>
            <w:r w:rsidRPr="007C6A42">
              <w:rPr>
                <w:rFonts w:asciiTheme="majorBidi" w:eastAsia="Times New Roman" w:hAnsiTheme="majorBidi" w:cstheme="majorBidi"/>
              </w:rPr>
              <w:t>] Immédiate et la [</w:t>
            </w:r>
            <w:r w:rsidRPr="007C6A42">
              <w:rPr>
                <w:rFonts w:asciiTheme="majorBidi" w:eastAsia="Times New Roman" w:hAnsiTheme="majorBidi" w:cstheme="majorBidi"/>
                <w:i/>
              </w:rPr>
              <w:t>Vie</w:t>
            </w:r>
            <w:r w:rsidRPr="007C6A42">
              <w:rPr>
                <w:rFonts w:asciiTheme="majorBidi" w:eastAsia="Times New Roman" w:hAnsiTheme="majorBidi" w:cstheme="majorBidi"/>
              </w:rPr>
              <w:t>] Dernière, tende une corde jusqu’au ciel, puis qu’il la tranche et qu’il considère si son stratagème dissipera ce qui [l’]irrite. (NDT : Ce verset est sans lien avec ce qui précède et paraît introduire un développement formé d’éléments hétérogènes.)</w:t>
            </w:r>
          </w:p>
        </w:tc>
      </w:tr>
      <w:tr w:rsidR="00A70B78" w:rsidRPr="007C6A42" w14:paraId="7F21568D"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6CF0B2F4"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690E1F3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Ghédira</w:t>
            </w:r>
            <w:r w:rsidRPr="007C6A42">
              <w:rPr>
                <w:rFonts w:asciiTheme="majorBidi" w:eastAsia="SimSun" w:hAnsiTheme="majorBidi" w:cstheme="majorBidi"/>
                <w:lang w:eastAsia="zh-CN"/>
              </w:rPr>
              <w:t xml:space="preserve"> (1957</w:t>
            </w:r>
            <w:r w:rsidRPr="007C6A42">
              <w:rPr>
                <w:rFonts w:asciiTheme="majorBidi" w:eastAsia="Calibri" w:hAnsiTheme="majorBidi" w:cstheme="majorBidi"/>
                <w:lang w:bidi="ar-AE"/>
              </w:rPr>
              <w:t>)</w:t>
            </w:r>
          </w:p>
        </w:tc>
        <w:tc>
          <w:tcPr>
            <w:tcW w:w="8434" w:type="dxa"/>
            <w:tcBorders>
              <w:top w:val="single" w:sz="4" w:space="0" w:color="auto"/>
              <w:left w:val="single" w:sz="4" w:space="0" w:color="auto"/>
              <w:bottom w:val="single" w:sz="4" w:space="0" w:color="auto"/>
              <w:right w:val="single" w:sz="4" w:space="0" w:color="auto"/>
            </w:tcBorders>
          </w:tcPr>
          <w:p w14:paraId="5DCF920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que Dieu ne secourra pas [Muhammad] ni dans ce monde ni dans l’autre, suspende une corde vers le haut, s’y attache et la tranche : il verra si ses artifices feront disparaître ce qui l’irrite.</w:t>
            </w:r>
          </w:p>
        </w:tc>
      </w:tr>
      <w:tr w:rsidR="00A70B78" w:rsidRPr="007C6A42" w14:paraId="46683E0C"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3D025AC8"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1E61725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Hamidullah (1959)</w:t>
            </w:r>
          </w:p>
        </w:tc>
        <w:tc>
          <w:tcPr>
            <w:tcW w:w="8434" w:type="dxa"/>
            <w:tcBorders>
              <w:top w:val="single" w:sz="4" w:space="0" w:color="auto"/>
              <w:left w:val="single" w:sz="4" w:space="0" w:color="auto"/>
              <w:bottom w:val="single" w:sz="4" w:space="0" w:color="auto"/>
              <w:right w:val="single" w:sz="4" w:space="0" w:color="auto"/>
            </w:tcBorders>
          </w:tcPr>
          <w:p w14:paraId="1B6D2D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Quiconque pense qu’en vérité Dieu ne viendra pas au secours de celui-ci* ni dans l’ici-bas ni dans l’au-delà, eh bien qu’il tende une corde jusqu’au ciel, puis qu’il coupe, puis, qu’il voie si sa ruse va faire disparaître quoi que ce soit de ce qui le fait enrager. (NDT : *</w:t>
            </w:r>
            <w:r w:rsidRPr="007C6A42">
              <w:rPr>
                <w:rFonts w:asciiTheme="majorBidi" w:eastAsia="Times New Roman" w:hAnsiTheme="majorBidi" w:cstheme="majorBidi"/>
                <w:i/>
              </w:rPr>
              <w:t>au secours de celui-ci</w:t>
            </w:r>
            <w:r w:rsidRPr="007C6A42">
              <w:rPr>
                <w:rFonts w:asciiTheme="majorBidi" w:eastAsia="Times New Roman" w:hAnsiTheme="majorBidi" w:cstheme="majorBidi"/>
              </w:rPr>
              <w:t> (de Muhammad) : les mécréants peuvent bien se pendre de colère : l’Islam n’en continuera pas moins sans que soit retranché un mot de ce qui les irrite.)</w:t>
            </w:r>
          </w:p>
        </w:tc>
      </w:tr>
      <w:tr w:rsidR="00A70B78" w:rsidRPr="007C6A42" w14:paraId="0F5D8346"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28213903"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1D94FC16"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Masson (1967)</w:t>
            </w:r>
          </w:p>
        </w:tc>
        <w:tc>
          <w:tcPr>
            <w:tcW w:w="8434" w:type="dxa"/>
            <w:tcBorders>
              <w:top w:val="single" w:sz="4" w:space="0" w:color="auto"/>
              <w:left w:val="single" w:sz="4" w:space="0" w:color="auto"/>
              <w:bottom w:val="single" w:sz="4" w:space="0" w:color="auto"/>
              <w:right w:val="single" w:sz="4" w:space="0" w:color="auto"/>
            </w:tcBorders>
          </w:tcPr>
          <w:p w14:paraId="7797A33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Dieu ne le secourra ni en cette vie, ni dans l’autre, tende une corde jusqu’au ciel, puis il la tranche ; il verra si sa ruse anéantit ce qui l’irrite ! </w:t>
            </w:r>
          </w:p>
        </w:tc>
      </w:tr>
      <w:tr w:rsidR="00A70B78" w:rsidRPr="007C6A42" w14:paraId="4C915CA4"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1181C583"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3A82E51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Grosjean (1972)</w:t>
            </w:r>
          </w:p>
        </w:tc>
        <w:tc>
          <w:tcPr>
            <w:tcW w:w="8434" w:type="dxa"/>
            <w:tcBorders>
              <w:top w:val="single" w:sz="4" w:space="0" w:color="auto"/>
              <w:left w:val="single" w:sz="4" w:space="0" w:color="auto"/>
              <w:bottom w:val="single" w:sz="4" w:space="0" w:color="auto"/>
              <w:right w:val="single" w:sz="4" w:space="0" w:color="auto"/>
            </w:tcBorders>
          </w:tcPr>
          <w:p w14:paraId="4A9B8D8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Quiconque pense que Dieu ne le secourra ni en cette vie ni dans l’autre, qu’il tende une corde jusqu’au ciel et qu’il la tranche, il verra si sa ruse détruit ce qui l’irrite.</w:t>
            </w:r>
          </w:p>
        </w:tc>
      </w:tr>
      <w:tr w:rsidR="00A70B78" w:rsidRPr="007C6A42" w14:paraId="10564DA4"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7F9BEF4B"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1C3809C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8434" w:type="dxa"/>
            <w:tcBorders>
              <w:top w:val="single" w:sz="4" w:space="0" w:color="auto"/>
              <w:left w:val="single" w:sz="4" w:space="0" w:color="auto"/>
              <w:bottom w:val="single" w:sz="4" w:space="0" w:color="auto"/>
              <w:right w:val="single" w:sz="4" w:space="0" w:color="auto"/>
            </w:tcBorders>
          </w:tcPr>
          <w:p w14:paraId="2CDC09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désespère de Dieu en ce monde et dans l’autre tente par un moyen quelconque d’accéder au ciel et d’y pénétrer ! Il verra si une telle expérience peut calmer son dépit.</w:t>
            </w:r>
          </w:p>
        </w:tc>
      </w:tr>
      <w:tr w:rsidR="00A70B78" w:rsidRPr="007C6A42" w14:paraId="70FECB8A"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59ED5795"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0145C227"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Berque (1990)</w:t>
            </w:r>
          </w:p>
        </w:tc>
        <w:tc>
          <w:tcPr>
            <w:tcW w:w="8434" w:type="dxa"/>
            <w:tcBorders>
              <w:top w:val="single" w:sz="4" w:space="0" w:color="auto"/>
              <w:left w:val="single" w:sz="4" w:space="0" w:color="auto"/>
              <w:bottom w:val="single" w:sz="4" w:space="0" w:color="auto"/>
              <w:right w:val="single" w:sz="4" w:space="0" w:color="auto"/>
            </w:tcBorders>
          </w:tcPr>
          <w:p w14:paraId="6C360F88"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Celui qui conjecturait que Dieu laisserait (le Prophète) sans secours en ce monde et dans l’autre n’a qu’à tendre une corde jusqu’au ciel et puis la couper : qu’il voie si son stratagème va supprimer l’objet de sa rage !</w:t>
            </w:r>
          </w:p>
        </w:tc>
      </w:tr>
      <w:tr w:rsidR="00A70B78" w:rsidRPr="007C6A42" w14:paraId="31966366"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79D37187"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3FB746B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Chouraqui (1990)</w:t>
            </w:r>
          </w:p>
        </w:tc>
        <w:tc>
          <w:tcPr>
            <w:tcW w:w="8434" w:type="dxa"/>
            <w:tcBorders>
              <w:top w:val="single" w:sz="4" w:space="0" w:color="auto"/>
              <w:left w:val="single" w:sz="4" w:space="0" w:color="auto"/>
              <w:bottom w:val="single" w:sz="4" w:space="0" w:color="auto"/>
              <w:right w:val="single" w:sz="4" w:space="0" w:color="auto"/>
            </w:tcBorders>
          </w:tcPr>
          <w:p w14:paraId="7521ED3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Qui imagine qu’Allah ne l’aide pas en ce monde ni dans l’Autre, qu’il accroche une corde aux ciels, puis la coupe. Il guettera si son stratagème dissipe ce qui l’irritait.</w:t>
            </w:r>
          </w:p>
        </w:tc>
      </w:tr>
      <w:tr w:rsidR="00A70B78" w:rsidRPr="007C6A42" w14:paraId="405F6EFA"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717002D0"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7128DFB1"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Guessous (1999)</w:t>
            </w:r>
          </w:p>
        </w:tc>
        <w:tc>
          <w:tcPr>
            <w:tcW w:w="8434" w:type="dxa"/>
            <w:tcBorders>
              <w:top w:val="single" w:sz="4" w:space="0" w:color="auto"/>
              <w:left w:val="single" w:sz="4" w:space="0" w:color="auto"/>
              <w:bottom w:val="single" w:sz="4" w:space="0" w:color="auto"/>
              <w:right w:val="single" w:sz="4" w:space="0" w:color="auto"/>
            </w:tcBorders>
          </w:tcPr>
          <w:p w14:paraId="481A8C8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ne point être par ALLAH assisté, </w:t>
            </w:r>
          </w:p>
          <w:p w14:paraId="3D8CE67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Dans la vie immédiate ou dans l’Éternité, </w:t>
            </w:r>
          </w:p>
          <w:p w14:paraId="61712BA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Tende une corde vers le ciel puis qu’elle soit coupée</w:t>
            </w:r>
          </w:p>
          <w:p w14:paraId="4DA4A51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Il verra si ces artifices dissiperont ce qui l’a irrité. </w:t>
            </w:r>
          </w:p>
        </w:tc>
      </w:tr>
      <w:tr w:rsidR="00A70B78" w:rsidRPr="007C6A42" w14:paraId="312CAB64"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2831490F"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05CC8EE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Compl. Médine (2001)</w:t>
            </w:r>
          </w:p>
        </w:tc>
        <w:tc>
          <w:tcPr>
            <w:tcW w:w="8434" w:type="dxa"/>
            <w:tcBorders>
              <w:top w:val="single" w:sz="4" w:space="0" w:color="auto"/>
              <w:left w:val="single" w:sz="4" w:space="0" w:color="auto"/>
              <w:bottom w:val="single" w:sz="4" w:space="0" w:color="auto"/>
              <w:right w:val="single" w:sz="4" w:space="0" w:color="auto"/>
            </w:tcBorders>
          </w:tcPr>
          <w:p w14:paraId="13940912"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pense qu’Allah ne le secourra pas dans l’ici-bas et dans l’au-delà, qu’il tende une corde jusqu’au ciel, puis qu’il la coupe, et qu’il voie si sa ruse va faire disparaître ce qui l’enrage.</w:t>
            </w:r>
          </w:p>
        </w:tc>
      </w:tr>
      <w:tr w:rsidR="00A70B78" w:rsidRPr="007C6A42" w14:paraId="223EBDD0"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19B7E97B"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3F84D87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Chiadmi (1999)</w:t>
            </w:r>
          </w:p>
        </w:tc>
        <w:tc>
          <w:tcPr>
            <w:tcW w:w="8434" w:type="dxa"/>
            <w:tcBorders>
              <w:top w:val="single" w:sz="4" w:space="0" w:color="auto"/>
              <w:left w:val="single" w:sz="4" w:space="0" w:color="auto"/>
              <w:bottom w:val="single" w:sz="4" w:space="0" w:color="auto"/>
              <w:right w:val="single" w:sz="4" w:space="0" w:color="auto"/>
            </w:tcBorders>
          </w:tcPr>
          <w:p w14:paraId="667143B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que Dieu ne secourra pas son Prophète, ni en ce monde ni dans la vie future, se pende à une corde haut placée et qu’il tente de la couper. Il verra alors si ce moyen est de nature à dissiper ses rancœurs.</w:t>
            </w:r>
          </w:p>
        </w:tc>
      </w:tr>
      <w:tr w:rsidR="00A70B78" w:rsidRPr="007C6A42" w14:paraId="75A22EED"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5C04863D"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349EBC69"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Aldeeb (2008)</w:t>
            </w:r>
          </w:p>
        </w:tc>
        <w:tc>
          <w:tcPr>
            <w:tcW w:w="8434" w:type="dxa"/>
            <w:tcBorders>
              <w:top w:val="single" w:sz="4" w:space="0" w:color="auto"/>
              <w:left w:val="single" w:sz="4" w:space="0" w:color="auto"/>
              <w:bottom w:val="single" w:sz="4" w:space="0" w:color="auto"/>
              <w:right w:val="single" w:sz="4" w:space="0" w:color="auto"/>
            </w:tcBorders>
          </w:tcPr>
          <w:p w14:paraId="48AED15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Celui qui présume que Dieu ne le secourra pas dans la [vie] ici-bas et la [vie] dernière, qu’il tende une corde jusqu’au ciel, puis qu’il la coupe*, et qu'il regarde si sa ruse fera disparaître ce qui l’enrage.</w:t>
            </w:r>
            <w:r w:rsidRPr="007C6A42">
              <w:rPr>
                <w:rFonts w:asciiTheme="majorBidi" w:eastAsia="Calibri" w:hAnsiTheme="majorBidi" w:cstheme="majorBidi"/>
                <w:lang w:bidi="ar-AE"/>
              </w:rPr>
              <w:t xml:space="preserve"> </w:t>
            </w:r>
            <w:r w:rsidRPr="007C6A42">
              <w:rPr>
                <w:rFonts w:asciiTheme="majorBidi" w:eastAsia="Calibri" w:hAnsiTheme="majorBidi" w:cstheme="majorBidi"/>
                <w:i/>
                <w:iCs/>
                <w:lang w:bidi="ar-AE"/>
              </w:rPr>
              <w:t>(NDT : *</w:t>
            </w:r>
            <w:r w:rsidRPr="007C6A42">
              <w:rPr>
                <w:rFonts w:asciiTheme="majorBidi" w:eastAsia="Times New Roman" w:hAnsiTheme="majorBidi" w:cstheme="majorBidi"/>
                <w:i/>
                <w:iCs/>
              </w:rPr>
              <w:t>qu</w:t>
            </w:r>
            <w:r w:rsidRPr="007C6A42">
              <w:rPr>
                <w:rFonts w:asciiTheme="majorBidi" w:eastAsia="Times New Roman" w:hAnsiTheme="majorBidi" w:cstheme="majorBidi"/>
              </w:rPr>
              <w:t>’</w:t>
            </w:r>
            <w:r w:rsidRPr="007C6A42">
              <w:rPr>
                <w:rFonts w:asciiTheme="majorBidi" w:eastAsia="Times New Roman" w:hAnsiTheme="majorBidi" w:cstheme="majorBidi"/>
                <w:i/>
                <w:iCs/>
              </w:rPr>
              <w:t>il se pende (Abdelaziz)</w:t>
            </w:r>
            <w:r w:rsidRPr="007C6A42">
              <w:rPr>
                <w:rFonts w:asciiTheme="majorBidi" w:eastAsia="Calibri" w:hAnsiTheme="majorBidi" w:cstheme="majorBidi"/>
                <w:i/>
                <w:iCs/>
                <w:lang w:bidi="ar-AE"/>
              </w:rPr>
              <w:t>)</w:t>
            </w:r>
          </w:p>
        </w:tc>
      </w:tr>
      <w:tr w:rsidR="00A70B78" w:rsidRPr="007C6A42" w14:paraId="50189FF6"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69EF3401"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18AAF89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Chebel (2009)</w:t>
            </w:r>
          </w:p>
        </w:tc>
        <w:tc>
          <w:tcPr>
            <w:tcW w:w="8434" w:type="dxa"/>
            <w:tcBorders>
              <w:top w:val="single" w:sz="4" w:space="0" w:color="auto"/>
              <w:left w:val="single" w:sz="4" w:space="0" w:color="auto"/>
              <w:bottom w:val="single" w:sz="4" w:space="0" w:color="auto"/>
              <w:right w:val="single" w:sz="4" w:space="0" w:color="auto"/>
            </w:tcBorders>
          </w:tcPr>
          <w:p w14:paraId="720F4D6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a pensé qu’Allah ne le sauvera ni dans la vie immédiate ni dans l’au-delà peut toujours tendre une corde vers le ciel, puis la couper, il constatera par lui-même si sa ruse dissipe sa colère.</w:t>
            </w:r>
          </w:p>
        </w:tc>
      </w:tr>
      <w:tr w:rsidR="00A70B78" w:rsidRPr="007C6A42" w14:paraId="364A0B8A"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5BBD87D7"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11113D64"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Abdelaziz (2002)</w:t>
            </w:r>
          </w:p>
        </w:tc>
        <w:tc>
          <w:tcPr>
            <w:tcW w:w="8434" w:type="dxa"/>
            <w:tcBorders>
              <w:top w:val="single" w:sz="4" w:space="0" w:color="auto"/>
              <w:left w:val="single" w:sz="4" w:space="0" w:color="auto"/>
              <w:bottom w:val="single" w:sz="4" w:space="0" w:color="auto"/>
              <w:right w:val="single" w:sz="4" w:space="0" w:color="auto"/>
            </w:tcBorders>
          </w:tcPr>
          <w:p w14:paraId="5D6CE99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Quiconque croyait qu’Allah ne lui Donnerait pas victoire (au Prophète), dans le monde et dans la vie Future, qu’il tende alors une corde vers le toit, ensuite qu’il se pende : qu’il regarde si sa ruse a dissipé ce qui l’enrage !</w:t>
            </w:r>
          </w:p>
        </w:tc>
      </w:tr>
      <w:tr w:rsidR="00A70B78" w:rsidRPr="007C6A42" w14:paraId="4DD67ED5" w14:textId="77777777" w:rsidTr="00AF4FC9">
        <w:tc>
          <w:tcPr>
            <w:tcW w:w="894" w:type="dxa"/>
            <w:vMerge/>
            <w:tcBorders>
              <w:top w:val="single" w:sz="4" w:space="0" w:color="auto"/>
              <w:left w:val="single" w:sz="4" w:space="0" w:color="auto"/>
              <w:bottom w:val="single" w:sz="4" w:space="0" w:color="auto"/>
              <w:right w:val="single" w:sz="4" w:space="0" w:color="auto"/>
            </w:tcBorders>
            <w:vAlign w:val="center"/>
          </w:tcPr>
          <w:p w14:paraId="51A98420" w14:textId="77777777" w:rsidR="00A70B78" w:rsidRPr="007C6A42" w:rsidRDefault="00A70B78" w:rsidP="00AF4FC9">
            <w:pPr>
              <w:spacing w:line="360" w:lineRule="auto"/>
              <w:rPr>
                <w:rFonts w:asciiTheme="majorBidi" w:eastAsia="Times New Roman" w:hAnsiTheme="majorBidi" w:cstheme="majorBidi"/>
                <w:lang w:bidi="ar-KW"/>
              </w:rPr>
            </w:pPr>
          </w:p>
        </w:tc>
        <w:tc>
          <w:tcPr>
            <w:tcW w:w="1729" w:type="dxa"/>
            <w:tcBorders>
              <w:top w:val="single" w:sz="4" w:space="0" w:color="auto"/>
              <w:left w:val="single" w:sz="4" w:space="0" w:color="auto"/>
              <w:bottom w:val="single" w:sz="4" w:space="0" w:color="auto"/>
              <w:right w:val="single" w:sz="4" w:space="0" w:color="auto"/>
            </w:tcBorders>
          </w:tcPr>
          <w:p w14:paraId="6F3E950A"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Hafiane (2010)</w:t>
            </w:r>
          </w:p>
        </w:tc>
        <w:tc>
          <w:tcPr>
            <w:tcW w:w="8434" w:type="dxa"/>
            <w:tcBorders>
              <w:top w:val="single" w:sz="4" w:space="0" w:color="auto"/>
              <w:left w:val="single" w:sz="4" w:space="0" w:color="auto"/>
              <w:bottom w:val="single" w:sz="4" w:space="0" w:color="auto"/>
              <w:right w:val="single" w:sz="4" w:space="0" w:color="auto"/>
            </w:tcBorders>
          </w:tcPr>
          <w:p w14:paraId="4EE8A38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Dieu ne secourra pas Mohammed dans ce monde et dans l’autre tende une corde vers le ciel, puis qu’il la coupe pour se pendre : il verra si sa ruse mettra fin à ce qui l’irrite. </w:t>
            </w:r>
          </w:p>
        </w:tc>
      </w:tr>
    </w:tbl>
    <w:p w14:paraId="38CC96D5"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1BC340F9" w14:textId="77777777" w:rsidR="00A70B78" w:rsidRPr="007C6A42" w:rsidRDefault="00A70B78" w:rsidP="00A70B78">
      <w:pPr>
        <w:spacing w:line="360" w:lineRule="auto"/>
        <w:ind w:firstLine="284"/>
        <w:contextualSpacing/>
        <w:jc w:val="both"/>
        <w:rPr>
          <w:rFonts w:asciiTheme="majorBidi" w:eastAsia="Calibri" w:hAnsiTheme="majorBidi" w:cstheme="majorBidi"/>
          <w:lang w:bidi="ar-AE"/>
        </w:rPr>
      </w:pPr>
      <w:r w:rsidRPr="007C6A42">
        <w:rPr>
          <w:rFonts w:asciiTheme="majorBidi" w:eastAsia="Times New Roman" w:hAnsiTheme="majorBidi" w:cstheme="majorBidi"/>
        </w:rPr>
        <w:t xml:space="preserve">Examinons comment les traductions françaises ont réduit et orienté la polysémie de certains mots dans ce verset. Le nom </w:t>
      </w:r>
      <w:r w:rsidRPr="007C6A42">
        <w:rPr>
          <w:rFonts w:asciiTheme="majorBidi" w:eastAsia="Times New Roman" w:hAnsiTheme="majorBidi" w:cstheme="majorBidi"/>
          <w:i/>
          <w:iCs/>
        </w:rPr>
        <w:t>sabab</w:t>
      </w:r>
      <w:r w:rsidRPr="007C6A42">
        <w:rPr>
          <w:rFonts w:asciiTheme="majorBidi" w:eastAsia="Times New Roman" w:hAnsiTheme="majorBidi" w:cstheme="majorBidi"/>
        </w:rPr>
        <w:t xml:space="preserve"> a été rendu en français par deux noms : « </w:t>
      </w:r>
      <w:r w:rsidRPr="007C6A42">
        <w:rPr>
          <w:rFonts w:asciiTheme="majorBidi" w:eastAsia="Times New Roman" w:hAnsiTheme="majorBidi" w:cstheme="majorBidi"/>
          <w:i/>
          <w:iCs/>
        </w:rPr>
        <w:t>corde</w:t>
      </w:r>
      <w:r w:rsidRPr="007C6A42">
        <w:rPr>
          <w:rFonts w:asciiTheme="majorBidi" w:eastAsia="Times New Roman" w:hAnsiTheme="majorBidi" w:cstheme="majorBidi"/>
        </w:rPr>
        <w:t> » (17 traductions) et « </w:t>
      </w:r>
      <w:r w:rsidRPr="007C6A42">
        <w:rPr>
          <w:rFonts w:asciiTheme="majorBidi" w:eastAsia="Times New Roman" w:hAnsiTheme="majorBidi" w:cstheme="majorBidi"/>
          <w:i/>
          <w:iCs/>
        </w:rPr>
        <w:t>moyen</w:t>
      </w:r>
      <w:r w:rsidRPr="007C6A42">
        <w:rPr>
          <w:rFonts w:asciiTheme="majorBidi" w:eastAsia="Times New Roman" w:hAnsiTheme="majorBidi" w:cstheme="majorBidi"/>
        </w:rPr>
        <w:t> » (une seule traduction, celle de Ben Mahmoud), alors que les exégètes lui donnent au moins neuf significations : « corde », « astuce », « chemin », « moyen », « bonne action »</w:t>
      </w:r>
      <w:r w:rsidRPr="007C6A42">
        <w:rPr>
          <w:rFonts w:asciiTheme="majorBidi" w:eastAsia="Times New Roman" w:hAnsiTheme="majorBidi" w:cstheme="majorBidi"/>
          <w:lang w:bidi="ar-AE"/>
        </w:rPr>
        <w:t>, « lien »,</w:t>
      </w:r>
      <w:r w:rsidRPr="007C6A42">
        <w:rPr>
          <w:rFonts w:asciiTheme="majorBidi" w:eastAsia="Times New Roman" w:hAnsiTheme="majorBidi" w:cstheme="majorBidi"/>
        </w:rPr>
        <w:t xml:space="preserve"> « le bien », « invocation », « prière », « guide ». De point de vue lexical, </w:t>
      </w:r>
      <w:r w:rsidRPr="007C6A42">
        <w:rPr>
          <w:rFonts w:asciiTheme="majorBidi" w:eastAsia="Times New Roman" w:hAnsiTheme="majorBidi" w:cstheme="majorBidi"/>
          <w:i/>
          <w:iCs/>
        </w:rPr>
        <w:t>sabab</w:t>
      </w:r>
      <w:r w:rsidRPr="007C6A42">
        <w:rPr>
          <w:rFonts w:asciiTheme="majorBidi" w:eastAsia="Times New Roman" w:hAnsiTheme="majorBidi" w:cstheme="majorBidi"/>
        </w:rPr>
        <w:t xml:space="preserve"> est un terme générique qui peut avoir une trentaine de significations : « cause », « raison », « motif », « mobile », « lien », « relation », « attache », « instrument », « moyen », « procédé », « voie », et secondairement « corde », « chemin », « route », « lien de parenté », « amitié », « matière », « objet », « origine », « élément », « prétexte », « vie » « existence », « porte », et tout ce qui peut servir à joindre une chose à une autre. Dans ce sens, la « corde » n’est appelée </w:t>
      </w:r>
      <w:r w:rsidRPr="007C6A42">
        <w:rPr>
          <w:rFonts w:asciiTheme="majorBidi" w:eastAsia="Times New Roman" w:hAnsiTheme="majorBidi" w:cstheme="majorBidi"/>
          <w:i/>
          <w:iCs/>
        </w:rPr>
        <w:t xml:space="preserve">sabab </w:t>
      </w:r>
      <w:r w:rsidRPr="007C6A42">
        <w:rPr>
          <w:rFonts w:asciiTheme="majorBidi" w:eastAsia="Times New Roman" w:hAnsiTheme="majorBidi" w:cstheme="majorBidi"/>
        </w:rPr>
        <w:t>que lorsqu’elle est utilisée pour un but précis (</w:t>
      </w:r>
      <w:r w:rsidRPr="007C6A42">
        <w:rPr>
          <w:rFonts w:asciiTheme="majorBidi" w:eastAsia="Times New Roman" w:hAnsiTheme="majorBidi" w:cstheme="majorBidi"/>
          <w:i/>
          <w:iCs/>
        </w:rPr>
        <w:t>Lisān al-ʿArab</w:t>
      </w:r>
      <w:r w:rsidRPr="007C6A42">
        <w:rPr>
          <w:rFonts w:asciiTheme="majorBidi" w:eastAsia="Times New Roman" w:hAnsiTheme="majorBidi" w:cstheme="majorBidi"/>
        </w:rPr>
        <w:t>). Selon la logique arabe</w:t>
      </w:r>
      <w:r w:rsidRPr="007C6A42">
        <w:rPr>
          <w:rFonts w:asciiTheme="majorBidi" w:eastAsia="Calibri" w:hAnsiTheme="majorBidi" w:cstheme="majorBidi"/>
        </w:rPr>
        <w:t>, le</w:t>
      </w:r>
      <w:r w:rsidRPr="007C6A42">
        <w:rPr>
          <w:rFonts w:asciiTheme="majorBidi" w:eastAsia="Calibri" w:hAnsiTheme="majorBidi" w:cstheme="majorBidi"/>
          <w:i/>
          <w:iCs/>
        </w:rPr>
        <w:t xml:space="preserve"> </w:t>
      </w:r>
      <w:r w:rsidRPr="007C6A42">
        <w:rPr>
          <w:rFonts w:asciiTheme="majorBidi" w:eastAsia="Calibri" w:hAnsiTheme="majorBidi" w:cstheme="majorBidi"/>
          <w:i/>
          <w:iCs/>
        </w:rPr>
        <w:lastRenderedPageBreak/>
        <w:t>ḥadd</w:t>
      </w:r>
      <w:r w:rsidRPr="007C6A42">
        <w:rPr>
          <w:rFonts w:asciiTheme="majorBidi" w:eastAsia="Calibri" w:hAnsiTheme="majorBidi" w:cstheme="majorBidi"/>
        </w:rPr>
        <w:t xml:space="preserve"> </w:t>
      </w:r>
      <w:r w:rsidRPr="007C6A42">
        <w:rPr>
          <w:rFonts w:asciiTheme="majorBidi" w:eastAsia="Calibri" w:hAnsiTheme="majorBidi" w:cstheme="majorBidi"/>
          <w:lang w:bidi="ar-AE"/>
        </w:rPr>
        <w:t>[terme] « </w:t>
      </w:r>
      <w:r w:rsidRPr="007C6A42">
        <w:rPr>
          <w:rFonts w:asciiTheme="majorBidi" w:eastAsia="Calibri" w:hAnsiTheme="majorBidi" w:cstheme="majorBidi"/>
          <w:i/>
          <w:iCs/>
          <w:lang w:bidi="ar-AE"/>
        </w:rPr>
        <w:t>sabab</w:t>
      </w:r>
      <w:r w:rsidRPr="007C6A42">
        <w:rPr>
          <w:rFonts w:asciiTheme="majorBidi" w:eastAsia="Calibri" w:hAnsiTheme="majorBidi" w:cstheme="majorBidi"/>
          <w:lang w:bidi="ar-AE"/>
        </w:rPr>
        <w:t xml:space="preserve"> » est un </w:t>
      </w:r>
      <w:r w:rsidRPr="007C6A42">
        <w:rPr>
          <w:rFonts w:asciiTheme="majorBidi" w:eastAsia="Calibri" w:hAnsiTheme="majorBidi" w:cstheme="majorBidi"/>
          <w:i/>
          <w:iCs/>
          <w:lang w:bidi="ar-AE"/>
        </w:rPr>
        <w:t>mafhūm</w:t>
      </w:r>
      <w:r w:rsidRPr="007C6A42">
        <w:rPr>
          <w:rFonts w:asciiTheme="majorBidi" w:eastAsia="Calibri" w:hAnsiTheme="majorBidi" w:cstheme="majorBidi"/>
          <w:lang w:bidi="ar-AE"/>
        </w:rPr>
        <w:t xml:space="preserve"> [terme générique] dont les </w:t>
      </w:r>
      <w:r w:rsidRPr="007C6A42">
        <w:rPr>
          <w:rFonts w:asciiTheme="majorBidi" w:eastAsia="Calibri" w:hAnsiTheme="majorBidi" w:cstheme="majorBidi"/>
          <w:i/>
          <w:iCs/>
          <w:lang w:bidi="ar-AE"/>
        </w:rPr>
        <w:t>māṣadaq</w:t>
      </w:r>
      <w:r w:rsidRPr="007C6A42">
        <w:rPr>
          <w:rFonts w:asciiTheme="majorBidi" w:eastAsia="Calibri" w:hAnsiTheme="majorBidi" w:cstheme="majorBidi"/>
          <w:lang w:bidi="ar-AE"/>
        </w:rPr>
        <w:t xml:space="preserve"> [les dénominations] sont : </w:t>
      </w:r>
      <w:r w:rsidRPr="007C6A42">
        <w:rPr>
          <w:rFonts w:asciiTheme="majorBidi" w:eastAsia="Times New Roman" w:hAnsiTheme="majorBidi" w:cstheme="majorBidi"/>
        </w:rPr>
        <w:t xml:space="preserve">« cause », « raison », « mobile », « lien », « moyen », « corde », « chemin », </w:t>
      </w:r>
      <w:r w:rsidRPr="007C6A42">
        <w:rPr>
          <w:rFonts w:asciiTheme="majorBidi" w:eastAsia="Calibri" w:hAnsiTheme="majorBidi" w:cstheme="majorBidi"/>
          <w:lang w:bidi="ar-AE"/>
        </w:rPr>
        <w:t>etc.</w:t>
      </w:r>
      <w:r w:rsidRPr="007C6A42">
        <w:rPr>
          <w:rStyle w:val="Appelnotedebasdep"/>
          <w:rFonts w:asciiTheme="majorBidi" w:hAnsiTheme="majorBidi" w:cstheme="majorBidi"/>
        </w:rPr>
        <w:footnoteReference w:id="507"/>
      </w:r>
      <w:r w:rsidRPr="007C6A42">
        <w:rPr>
          <w:rFonts w:asciiTheme="majorBidi" w:eastAsia="Calibri" w:hAnsiTheme="majorBidi" w:cstheme="majorBidi"/>
          <w:lang w:bidi="ar-AE"/>
        </w:rPr>
        <w:t xml:space="preserve"> Par contre, le terme français « corde » désigne : « tortis », « câble », « fil », « lien » et connote le supplice. Ainsi, </w:t>
      </w:r>
      <w:r w:rsidRPr="007C6A42">
        <w:rPr>
          <w:rFonts w:asciiTheme="majorBidi" w:eastAsia="Times New Roman" w:hAnsiTheme="majorBidi" w:cstheme="majorBidi"/>
        </w:rPr>
        <w:t>le bien, l’invocation, la prière, le guide</w:t>
      </w:r>
      <w:r w:rsidRPr="007C6A42">
        <w:rPr>
          <w:rFonts w:asciiTheme="majorBidi" w:eastAsia="Calibri" w:hAnsiTheme="majorBidi" w:cstheme="majorBidi"/>
          <w:lang w:bidi="ar-AE"/>
        </w:rPr>
        <w:t xml:space="preserve">, les bonnes actions que peut connoter le terme </w:t>
      </w:r>
      <w:r w:rsidRPr="007C6A42">
        <w:rPr>
          <w:rFonts w:asciiTheme="majorBidi" w:eastAsia="Calibri" w:hAnsiTheme="majorBidi" w:cstheme="majorBidi"/>
          <w:i/>
          <w:iCs/>
          <w:lang w:bidi="ar-AE"/>
        </w:rPr>
        <w:t>sabab</w:t>
      </w:r>
      <w:r w:rsidRPr="007C6A42">
        <w:rPr>
          <w:rFonts w:asciiTheme="majorBidi" w:eastAsia="Calibri" w:hAnsiTheme="majorBidi" w:cstheme="majorBidi"/>
          <w:lang w:bidi="ar-AE"/>
        </w:rPr>
        <w:t xml:space="preserve"> dans ce verset ne font pas partie du champ sémantique du terme « corde ».</w:t>
      </w:r>
    </w:p>
    <w:p w14:paraId="2CA050E6" w14:textId="77777777" w:rsidR="00A70B78" w:rsidRPr="007C6A42" w:rsidRDefault="00A70B78" w:rsidP="00A70B78">
      <w:pPr>
        <w:spacing w:line="360" w:lineRule="auto"/>
        <w:ind w:firstLine="708"/>
        <w:contextualSpacing/>
        <w:jc w:val="both"/>
        <w:rPr>
          <w:rFonts w:asciiTheme="majorBidi" w:eastAsia="Calibri" w:hAnsiTheme="majorBidi" w:cstheme="majorBidi"/>
          <w:lang w:bidi="ar-AE"/>
        </w:rPr>
      </w:pPr>
    </w:p>
    <w:p w14:paraId="1D4C4320" w14:textId="77777777" w:rsidR="00A70B78" w:rsidRPr="007C6A42" w:rsidRDefault="00A70B78" w:rsidP="00A70B78">
      <w:pPr>
        <w:spacing w:line="360" w:lineRule="auto"/>
        <w:ind w:firstLine="284"/>
        <w:contextualSpacing/>
        <w:jc w:val="both"/>
        <w:rPr>
          <w:rFonts w:asciiTheme="majorBidi" w:eastAsia="Calibri" w:hAnsiTheme="majorBidi" w:cstheme="majorBidi"/>
          <w:lang w:bidi="ar-AE"/>
        </w:rPr>
      </w:pPr>
      <w:r w:rsidRPr="007C6A42">
        <w:rPr>
          <w:rFonts w:asciiTheme="majorBidi" w:eastAsia="Times New Roman" w:hAnsiTheme="majorBidi" w:cstheme="majorBidi"/>
        </w:rPr>
        <w:t xml:space="preserve">Quant au nom </w:t>
      </w:r>
      <w:r w:rsidRPr="007C6A42">
        <w:rPr>
          <w:rFonts w:asciiTheme="majorBidi" w:eastAsia="Times New Roman" w:hAnsiTheme="majorBidi" w:cstheme="majorBidi"/>
          <w:i/>
          <w:iCs/>
        </w:rPr>
        <w:t>as-samāʾ</w:t>
      </w:r>
      <w:r w:rsidRPr="007C6A42">
        <w:rPr>
          <w:rFonts w:asciiTheme="majorBidi" w:eastAsia="Times New Roman" w:hAnsiTheme="majorBidi" w:cstheme="majorBidi"/>
        </w:rPr>
        <w:t>, il est rendu dans les traductions par quatre termes : « plancher » [</w:t>
      </w:r>
      <w:r w:rsidRPr="007C6A42">
        <w:rPr>
          <w:rFonts w:asciiTheme="majorBidi" w:eastAsia="Times New Roman" w:hAnsiTheme="majorBidi" w:cstheme="majorBidi"/>
          <w:i/>
          <w:iCs/>
        </w:rPr>
        <w:t>vieilli </w:t>
      </w:r>
      <w:r w:rsidRPr="007C6A42">
        <w:rPr>
          <w:rFonts w:asciiTheme="majorBidi" w:eastAsia="Times New Roman" w:hAnsiTheme="majorBidi" w:cstheme="majorBidi"/>
        </w:rPr>
        <w:t>: plafond] (1 fois), « toit » (2 fois), « haut » (2 fois), « ciel » (13 fois), alors que les exégèses arabes ajoutent d’autres sens : « plafond », « arbre », « Dieu », « actions sublimes », « spiritualité ».</w:t>
      </w:r>
    </w:p>
    <w:p w14:paraId="11B7E59D" w14:textId="77777777" w:rsidR="00A70B78" w:rsidRPr="007C6A42" w:rsidRDefault="00A70B78" w:rsidP="00A70B78">
      <w:pPr>
        <w:spacing w:line="360" w:lineRule="auto"/>
        <w:ind w:firstLine="284"/>
        <w:contextualSpacing/>
        <w:jc w:val="both"/>
        <w:rPr>
          <w:rFonts w:asciiTheme="majorBidi" w:eastAsia="Calibri" w:hAnsiTheme="majorBidi" w:cstheme="majorBidi"/>
          <w:lang w:bidi="ar-AE"/>
        </w:rPr>
      </w:pPr>
    </w:p>
    <w:p w14:paraId="56F07A58"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KW"/>
        </w:rPr>
      </w:pPr>
      <w:r w:rsidRPr="007C6A42">
        <w:rPr>
          <w:rFonts w:asciiTheme="majorBidi" w:eastAsia="Calibri" w:hAnsiTheme="majorBidi" w:cstheme="majorBidi"/>
          <w:lang w:bidi="ar-AE"/>
        </w:rPr>
        <w:t xml:space="preserve">Le verbe sans COD </w:t>
      </w:r>
      <w:r w:rsidRPr="007C6A42">
        <w:rPr>
          <w:rFonts w:asciiTheme="majorBidi" w:eastAsia="Times New Roman" w:hAnsiTheme="majorBidi" w:cstheme="majorBidi"/>
          <w:i/>
          <w:iCs/>
          <w:lang w:bidi="ar-KW"/>
        </w:rPr>
        <w:t>li-yaqṭaʿ</w:t>
      </w:r>
      <w:r w:rsidRPr="007C6A42">
        <w:rPr>
          <w:rFonts w:asciiTheme="majorBidi" w:eastAsia="Times New Roman" w:hAnsiTheme="majorBidi" w:cstheme="majorBidi"/>
          <w:lang w:bidi="ar-KW"/>
        </w:rPr>
        <w:t xml:space="preserve"> </w:t>
      </w:r>
      <w:r w:rsidRPr="007C6A42">
        <w:rPr>
          <w:rFonts w:asciiTheme="majorBidi" w:hAnsiTheme="majorBidi" w:cstheme="majorBidi"/>
        </w:rPr>
        <w:t>[qu’il rompe/qu’il fasse rupture]</w:t>
      </w:r>
      <w:r w:rsidRPr="007C6A42">
        <w:rPr>
          <w:rFonts w:asciiTheme="majorBidi" w:eastAsia="Times New Roman" w:hAnsiTheme="majorBidi" w:cstheme="majorBidi"/>
          <w:b/>
          <w:bCs/>
          <w:lang w:bidi="ar-KW"/>
        </w:rPr>
        <w:t xml:space="preserve"> </w:t>
      </w:r>
      <w:r w:rsidRPr="007C6A42">
        <w:rPr>
          <w:rFonts w:asciiTheme="majorBidi" w:eastAsia="Calibri" w:hAnsiTheme="majorBidi" w:cstheme="majorBidi"/>
          <w:lang w:bidi="ar-AE"/>
        </w:rPr>
        <w:t>est rendu par : « </w:t>
      </w:r>
      <w:r w:rsidRPr="007C6A42">
        <w:rPr>
          <w:rFonts w:asciiTheme="majorBidi" w:eastAsia="Times New Roman" w:hAnsiTheme="majorBidi" w:cstheme="majorBidi"/>
        </w:rPr>
        <w:t>qu’il s’eʃtrangle », « s’étrangle », « la coupe » (2 fois), « qu’il la tranche » (2 fois), « la tranche », « qu’il coupe », « il la tranche », « d’y pénétrer », « </w:t>
      </w:r>
      <w:r w:rsidRPr="007C6A42">
        <w:rPr>
          <w:rFonts w:asciiTheme="majorBidi" w:eastAsia="Calibri" w:hAnsiTheme="majorBidi" w:cstheme="majorBidi"/>
          <w:lang w:bidi="ar-AE"/>
        </w:rPr>
        <w:t>la couper » (2 fois), « </w:t>
      </w:r>
      <w:r w:rsidRPr="007C6A42">
        <w:rPr>
          <w:rFonts w:asciiTheme="majorBidi" w:eastAsia="Times New Roman" w:hAnsiTheme="majorBidi" w:cstheme="majorBidi"/>
        </w:rPr>
        <w:t>qu’elle soit coupée » (</w:t>
      </w:r>
      <w:r w:rsidRPr="007C6A42">
        <w:rPr>
          <w:rFonts w:asciiTheme="majorBidi" w:eastAsia="Times New Roman" w:hAnsiTheme="majorBidi" w:cstheme="majorBidi"/>
          <w:i/>
          <w:iCs/>
        </w:rPr>
        <w:t>là il y a une contrainte d’assonance</w:t>
      </w:r>
      <w:r w:rsidRPr="007C6A42">
        <w:rPr>
          <w:rFonts w:asciiTheme="majorBidi" w:eastAsia="Times New Roman" w:hAnsiTheme="majorBidi" w:cstheme="majorBidi"/>
        </w:rPr>
        <w:t xml:space="preserve">), « qu’il la coupe » (2 fois), « qu’il tente de la couper », « qu’il se pende », « qu’il la coupe pour se pendre ». Toutes les traductions reflètent une interprétation sunnite orthodoxe conflictuelle. La plupart des traducteurs essayent de clarifier et d’allonger la traduction en ajoutant un pronom complément ou un second verbe. Les traductions de </w:t>
      </w:r>
      <w:r w:rsidRPr="007C6A42">
        <w:rPr>
          <w:rFonts w:asciiTheme="majorBidi" w:eastAsia="Times New Roman" w:hAnsiTheme="majorBidi" w:cstheme="majorBidi"/>
          <w:i/>
          <w:iCs/>
          <w:lang w:bidi="ar-KW"/>
        </w:rPr>
        <w:t>yaqṭaʿ</w:t>
      </w:r>
      <w:r w:rsidRPr="007C6A42">
        <w:rPr>
          <w:rFonts w:asciiTheme="majorBidi" w:eastAsia="Times New Roman" w:hAnsiTheme="majorBidi" w:cstheme="majorBidi"/>
          <w:lang w:bidi="ar-KW"/>
        </w:rPr>
        <w:t xml:space="preserve"> par : « s’étrangler » ou « se pendre » réduisent considérablement le champ sémantique du verbe arabe.</w:t>
      </w:r>
    </w:p>
    <w:p w14:paraId="629278A7"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p>
    <w:p w14:paraId="282B9415"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rPr>
        <w:t>En conclusion, dans ce verset, les traducteurs ont traduit mot par mot (après avoir consulté une (des) exégèse(s) et/ou une (des) traductions antérieures) sans prendre en considération le réseau signifiant sous-jacent et le sens holistique du texte-source. Les mots : s</w:t>
      </w:r>
      <w:r w:rsidRPr="007C6A42">
        <w:rPr>
          <w:rFonts w:asciiTheme="majorBidi" w:eastAsia="Times New Roman" w:hAnsiTheme="majorBidi" w:cstheme="majorBidi"/>
          <w:i/>
          <w:iCs/>
        </w:rPr>
        <w:t>abab</w:t>
      </w:r>
      <w:r w:rsidRPr="007C6A42">
        <w:rPr>
          <w:rFonts w:asciiTheme="majorBidi" w:eastAsia="Times New Roman" w:hAnsiTheme="majorBidi" w:cstheme="majorBidi"/>
        </w:rPr>
        <w:t xml:space="preserve"> (indéfini), </w:t>
      </w:r>
      <w:r w:rsidRPr="007C6A42">
        <w:rPr>
          <w:rFonts w:asciiTheme="majorBidi" w:eastAsia="Times New Roman" w:hAnsiTheme="majorBidi" w:cstheme="majorBidi"/>
          <w:i/>
          <w:iCs/>
        </w:rPr>
        <w:t>as-samāʾ</w:t>
      </w:r>
      <w:r w:rsidRPr="007C6A42">
        <w:rPr>
          <w:rFonts w:asciiTheme="majorBidi" w:eastAsia="Times New Roman" w:hAnsiTheme="majorBidi" w:cstheme="majorBidi"/>
        </w:rPr>
        <w:t xml:space="preserve"> (défini), </w:t>
      </w:r>
      <w:r w:rsidRPr="007C6A42">
        <w:rPr>
          <w:rFonts w:asciiTheme="majorBidi" w:eastAsia="Times New Roman" w:hAnsiTheme="majorBidi" w:cstheme="majorBidi"/>
          <w:i/>
          <w:iCs/>
        </w:rPr>
        <w:t>li-yaqṭaʿ</w:t>
      </w:r>
      <w:r w:rsidRPr="007C6A42">
        <w:rPr>
          <w:rFonts w:asciiTheme="majorBidi" w:eastAsia="Times New Roman" w:hAnsiTheme="majorBidi" w:cstheme="majorBidi"/>
        </w:rPr>
        <w:t xml:space="preserve"> (verbe à l’impératif), </w:t>
      </w:r>
      <w:r w:rsidRPr="007C6A42">
        <w:rPr>
          <w:rFonts w:asciiTheme="majorBidi" w:eastAsia="Times New Roman" w:hAnsiTheme="majorBidi" w:cstheme="majorBidi"/>
          <w:i/>
          <w:iCs/>
        </w:rPr>
        <w:t>fa-l-yanẓur</w:t>
      </w:r>
      <w:r w:rsidRPr="007C6A42">
        <w:rPr>
          <w:rFonts w:asciiTheme="majorBidi" w:eastAsia="Times New Roman" w:hAnsiTheme="majorBidi" w:cstheme="majorBidi"/>
        </w:rPr>
        <w:t xml:space="preserve"> (verbe à l’imp. de la 3</w:t>
      </w:r>
      <w:r w:rsidRPr="007C6A42">
        <w:rPr>
          <w:rFonts w:asciiTheme="majorBidi" w:eastAsia="Times New Roman" w:hAnsiTheme="majorBidi" w:cstheme="majorBidi"/>
          <w:vertAlign w:val="superscript"/>
        </w:rPr>
        <w:t>ème</w:t>
      </w:r>
      <w:r w:rsidRPr="007C6A42">
        <w:rPr>
          <w:rFonts w:asciiTheme="majorBidi" w:eastAsia="Times New Roman" w:hAnsiTheme="majorBidi" w:cstheme="majorBidi"/>
        </w:rPr>
        <w:t xml:space="preserve"> pers. du sing. masc.) se répondent et forment un réseau signifiant qui est généralement négligé aussi bien par les traducteurs que par les exégètes. Si on prend en compte ce réseau on va avoir une </w:t>
      </w:r>
      <w:r w:rsidRPr="007C6A42">
        <w:rPr>
          <w:rFonts w:asciiTheme="majorBidi" w:eastAsia="Times New Roman" w:hAnsiTheme="majorBidi" w:cstheme="majorBidi"/>
        </w:rPr>
        <w:lastRenderedPageBreak/>
        <w:t xml:space="preserve">interprétation proche de celle donnée par la confrérie soufie naqshbandite syrienne de </w:t>
      </w:r>
      <w:r w:rsidRPr="007C6A42">
        <w:rPr>
          <w:rFonts w:asciiTheme="majorBidi" w:eastAsia="Calibri" w:hAnsiTheme="majorBidi" w:cstheme="majorBidi"/>
        </w:rPr>
        <w:t>ʿ</w:t>
      </w:r>
      <w:r w:rsidRPr="007C6A42">
        <w:rPr>
          <w:rFonts w:asciiTheme="majorBidi" w:eastAsia="Times New Roman" w:hAnsiTheme="majorBidi" w:cstheme="majorBidi"/>
        </w:rPr>
        <w:t>Abd al-Hādī al-Bānī</w:t>
      </w:r>
      <w:r w:rsidRPr="007C6A42">
        <w:rPr>
          <w:rStyle w:val="Appelnotedebasdep"/>
          <w:rFonts w:asciiTheme="majorBidi" w:hAnsiTheme="majorBidi" w:cstheme="majorBidi"/>
        </w:rPr>
        <w:footnoteReference w:id="508"/>
      </w:r>
      <w:r w:rsidRPr="007C6A42">
        <w:rPr>
          <w:rFonts w:asciiTheme="majorBidi" w:eastAsia="Times New Roman" w:hAnsiTheme="majorBidi" w:cstheme="majorBidi"/>
        </w:rPr>
        <w:t>.</w:t>
      </w:r>
    </w:p>
    <w:p w14:paraId="2ADCB54F" w14:textId="77777777" w:rsidR="00A70B78" w:rsidRPr="007C6A42" w:rsidRDefault="00A70B78" w:rsidP="00A70B78">
      <w:pPr>
        <w:shd w:val="clear" w:color="auto" w:fill="FFFFFF"/>
        <w:spacing w:line="360" w:lineRule="auto"/>
        <w:jc w:val="both"/>
        <w:rPr>
          <w:rFonts w:asciiTheme="majorBidi" w:eastAsia="Times New Roman" w:hAnsiTheme="majorBidi" w:cstheme="majorBidi"/>
          <w:rtl/>
        </w:rPr>
      </w:pPr>
    </w:p>
    <w:p w14:paraId="70245CB5" w14:textId="77777777" w:rsidR="00A70B78" w:rsidRPr="007C6A42" w:rsidRDefault="00A70B78" w:rsidP="00A70B78">
      <w:pPr>
        <w:spacing w:line="360" w:lineRule="auto"/>
        <w:jc w:val="both"/>
        <w:rPr>
          <w:rFonts w:asciiTheme="majorBidi" w:eastAsia="Times New Roman" w:hAnsiTheme="majorBidi" w:cstheme="majorBidi"/>
          <w:b/>
          <w:bCs/>
          <w:shd w:val="clear" w:color="auto" w:fill="FFFFFF"/>
          <w:rtl/>
          <w:lang w:bidi="ar-KW"/>
        </w:rPr>
      </w:pPr>
      <w:r w:rsidRPr="007C6A42">
        <w:rPr>
          <w:rFonts w:asciiTheme="majorBidi" w:eastAsia="Times New Roman" w:hAnsiTheme="majorBidi" w:cstheme="majorBidi"/>
          <w:b/>
          <w:bCs/>
          <w:shd w:val="clear" w:color="auto" w:fill="FFFFFF"/>
          <w:lang w:bidi="ar-KW"/>
        </w:rPr>
        <w:t xml:space="preserve">La traduction du verbe </w:t>
      </w:r>
      <w:r w:rsidRPr="007C6A42">
        <w:rPr>
          <w:rFonts w:asciiTheme="majorBidi" w:eastAsia="Times New Roman" w:hAnsiTheme="majorBidi" w:cstheme="majorBidi"/>
          <w:b/>
          <w:bCs/>
          <w:i/>
          <w:iCs/>
          <w:shd w:val="clear" w:color="auto" w:fill="FFFFFF"/>
          <w:lang w:bidi="ar-KW"/>
        </w:rPr>
        <w:t>yanṣur</w:t>
      </w:r>
      <w:r w:rsidRPr="007C6A42">
        <w:rPr>
          <w:rFonts w:asciiTheme="majorBidi" w:eastAsia="Times New Roman" w:hAnsiTheme="majorBidi" w:cstheme="majorBidi"/>
          <w:b/>
          <w:bCs/>
          <w:shd w:val="clear" w:color="auto" w:fill="FFFFFF"/>
          <w:lang w:bidi="ar-KW"/>
        </w:rPr>
        <w:t xml:space="preserve"> (v. 15, 40 &amp; 60) :</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3591"/>
        <w:gridCol w:w="3260"/>
        <w:gridCol w:w="1812"/>
      </w:tblGrid>
      <w:tr w:rsidR="00A70B78" w:rsidRPr="007C6A42" w14:paraId="645B476F" w14:textId="77777777" w:rsidTr="00AF4FC9">
        <w:trPr>
          <w:trHeight w:val="76"/>
        </w:trPr>
        <w:tc>
          <w:tcPr>
            <w:tcW w:w="1402" w:type="dxa"/>
          </w:tcPr>
          <w:p w14:paraId="3E0570C2" w14:textId="77777777" w:rsidR="00A70B78" w:rsidRPr="007C6A42" w:rsidRDefault="00A70B78" w:rsidP="00AF4FC9">
            <w:pPr>
              <w:tabs>
                <w:tab w:val="right" w:pos="993"/>
              </w:tabs>
              <w:spacing w:line="360" w:lineRule="auto"/>
              <w:rPr>
                <w:rFonts w:asciiTheme="majorBidi" w:eastAsia="Calibri" w:hAnsiTheme="majorBidi" w:cstheme="majorBidi"/>
                <w:b/>
                <w:bCs/>
                <w:lang w:bidi="ar-AE"/>
              </w:rPr>
            </w:pPr>
          </w:p>
        </w:tc>
        <w:tc>
          <w:tcPr>
            <w:tcW w:w="3591" w:type="dxa"/>
          </w:tcPr>
          <w:p w14:paraId="71C3969E" w14:textId="77777777" w:rsidR="00A70B78" w:rsidRPr="007C6A42" w:rsidRDefault="00A70B78" w:rsidP="00AF4FC9">
            <w:pPr>
              <w:tabs>
                <w:tab w:val="right" w:pos="993"/>
              </w:tabs>
              <w:bidi/>
              <w:spacing w:line="360" w:lineRule="auto"/>
              <w:jc w:val="center"/>
              <w:rPr>
                <w:rFonts w:asciiTheme="majorBidi" w:eastAsia="Calibri" w:hAnsiTheme="majorBidi" w:cstheme="majorBidi"/>
                <w:rtl/>
              </w:rPr>
            </w:pPr>
            <w:r w:rsidRPr="007C6A42">
              <w:rPr>
                <w:rFonts w:asciiTheme="majorBidi" w:eastAsia="Calibri" w:hAnsiTheme="majorBidi" w:cstheme="majorBidi"/>
                <w:rtl/>
              </w:rPr>
              <w:t>لن ينصرَه اللهُ (١٥)</w:t>
            </w:r>
          </w:p>
        </w:tc>
        <w:tc>
          <w:tcPr>
            <w:tcW w:w="3260" w:type="dxa"/>
          </w:tcPr>
          <w:p w14:paraId="77762AEC" w14:textId="77777777" w:rsidR="00A70B78" w:rsidRPr="007C6A42" w:rsidRDefault="00A70B78" w:rsidP="00AF4FC9">
            <w:pPr>
              <w:bidi/>
              <w:jc w:val="center"/>
              <w:rPr>
                <w:rFonts w:asciiTheme="majorBidi" w:eastAsia="Times New Roman" w:hAnsiTheme="majorBidi" w:cstheme="majorBidi"/>
                <w:rtl/>
              </w:rPr>
            </w:pPr>
            <w:r w:rsidRPr="007C6A42">
              <w:rPr>
                <w:rFonts w:asciiTheme="majorBidi" w:eastAsia="Times New Roman" w:hAnsiTheme="majorBidi" w:cstheme="majorBidi"/>
                <w:shd w:val="clear" w:color="auto" w:fill="FFFFFF"/>
                <w:rtl/>
              </w:rPr>
              <w:t>وليَنصُرَنَّ اللَّهُ من يَنصُرُه (٤٠)</w:t>
            </w:r>
          </w:p>
        </w:tc>
        <w:tc>
          <w:tcPr>
            <w:tcW w:w="1812" w:type="dxa"/>
          </w:tcPr>
          <w:p w14:paraId="0B59A5EF" w14:textId="77777777" w:rsidR="00A70B78" w:rsidRPr="007C6A42" w:rsidRDefault="00A70B78" w:rsidP="00AF4FC9">
            <w:pPr>
              <w:bidi/>
              <w:jc w:val="center"/>
              <w:rPr>
                <w:rFonts w:asciiTheme="majorBidi" w:eastAsia="Times New Roman" w:hAnsiTheme="majorBidi" w:cstheme="majorBidi"/>
              </w:rPr>
            </w:pPr>
            <w:r w:rsidRPr="007C6A42">
              <w:rPr>
                <w:rFonts w:asciiTheme="majorBidi" w:eastAsia="Times New Roman" w:hAnsiTheme="majorBidi" w:cstheme="majorBidi"/>
                <w:shd w:val="clear" w:color="auto" w:fill="FFFFFF"/>
                <w:rtl/>
              </w:rPr>
              <w:t>لَيَنصُرَنَّهُ اللَّهُ (٦٠)</w:t>
            </w:r>
          </w:p>
          <w:p w14:paraId="093F8198" w14:textId="77777777" w:rsidR="00A70B78" w:rsidRPr="007C6A42" w:rsidRDefault="00A70B78" w:rsidP="00AF4FC9">
            <w:pPr>
              <w:bidi/>
              <w:jc w:val="center"/>
              <w:rPr>
                <w:rFonts w:asciiTheme="majorBidi" w:eastAsia="Times New Roman" w:hAnsiTheme="majorBidi" w:cstheme="majorBidi"/>
                <w:rtl/>
              </w:rPr>
            </w:pPr>
          </w:p>
        </w:tc>
      </w:tr>
      <w:tr w:rsidR="00A70B78" w:rsidRPr="007C6A42" w14:paraId="48A3060B" w14:textId="77777777" w:rsidTr="00AF4FC9">
        <w:tc>
          <w:tcPr>
            <w:tcW w:w="1402" w:type="dxa"/>
          </w:tcPr>
          <w:p w14:paraId="1CD0556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D.R.</w:t>
            </w:r>
            <w:r w:rsidRPr="007C6A42">
              <w:rPr>
                <w:rFonts w:asciiTheme="majorBidi" w:eastAsia="Calibri" w:hAnsiTheme="majorBidi" w:cstheme="majorBidi"/>
                <w:lang w:bidi="ar-AE"/>
              </w:rPr>
              <w:t xml:space="preserve"> (1647)</w:t>
            </w:r>
          </w:p>
        </w:tc>
        <w:tc>
          <w:tcPr>
            <w:tcW w:w="3591" w:type="dxa"/>
          </w:tcPr>
          <w:p w14:paraId="7F690F5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Dieu donne ʃecours &amp; protection à Mahomet</w:t>
            </w:r>
          </w:p>
        </w:tc>
        <w:tc>
          <w:tcPr>
            <w:tcW w:w="3260" w:type="dxa"/>
          </w:tcPr>
          <w:p w14:paraId="7C7F061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hAnsiTheme="majorBidi" w:cstheme="majorBidi"/>
              </w:rPr>
              <w:t>&amp; ʃa Loy y eʃt deffenduë &amp; protégée</w:t>
            </w:r>
          </w:p>
        </w:tc>
        <w:tc>
          <w:tcPr>
            <w:tcW w:w="1812" w:type="dxa"/>
          </w:tcPr>
          <w:p w14:paraId="3018F606"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hAnsiTheme="majorBidi" w:cstheme="majorBidi"/>
              </w:rPr>
              <w:t>ʃerót protegez de Dieu</w:t>
            </w:r>
          </w:p>
        </w:tc>
      </w:tr>
      <w:tr w:rsidR="00A70B78" w:rsidRPr="007C6A42" w14:paraId="12FCC993" w14:textId="77777777" w:rsidTr="00AF4FC9">
        <w:tc>
          <w:tcPr>
            <w:tcW w:w="1402" w:type="dxa"/>
          </w:tcPr>
          <w:p w14:paraId="312BA0E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Sav.</w:t>
            </w:r>
            <w:r w:rsidRPr="007C6A42">
              <w:rPr>
                <w:rFonts w:asciiTheme="majorBidi" w:eastAsia="Calibri" w:hAnsiTheme="majorBidi" w:cstheme="majorBidi"/>
                <w:lang w:bidi="ar-AE"/>
              </w:rPr>
              <w:t xml:space="preserve"> (1782)</w:t>
            </w:r>
          </w:p>
        </w:tc>
        <w:tc>
          <w:tcPr>
            <w:tcW w:w="3591" w:type="dxa"/>
          </w:tcPr>
          <w:p w14:paraId="71C772C9"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le prophète sera privé du secours divin</w:t>
            </w:r>
          </w:p>
        </w:tc>
        <w:tc>
          <w:tcPr>
            <w:tcW w:w="3260" w:type="dxa"/>
          </w:tcPr>
          <w:p w14:paraId="0B8B78D1"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 aidera ceux qui combattront pour la foi</w:t>
            </w:r>
          </w:p>
        </w:tc>
        <w:tc>
          <w:tcPr>
            <w:tcW w:w="1812" w:type="dxa"/>
          </w:tcPr>
          <w:p w14:paraId="00A69DB5"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aura pour appui, le bras du Dieu</w:t>
            </w:r>
          </w:p>
        </w:tc>
      </w:tr>
      <w:tr w:rsidR="00A70B78" w:rsidRPr="007C6A42" w14:paraId="1D142F03" w14:textId="77777777" w:rsidTr="00AF4FC9">
        <w:tc>
          <w:tcPr>
            <w:tcW w:w="1402" w:type="dxa"/>
          </w:tcPr>
          <w:p w14:paraId="06CDD55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p>
        </w:tc>
        <w:tc>
          <w:tcPr>
            <w:tcW w:w="3591" w:type="dxa"/>
          </w:tcPr>
          <w:p w14:paraId="217D12ED"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Dieu ne le secourra pas (</w:t>
            </w:r>
            <w:r w:rsidRPr="007C6A42">
              <w:rPr>
                <w:rFonts w:asciiTheme="majorBidi" w:eastAsia="Times New Roman" w:hAnsiTheme="majorBidi" w:cstheme="majorBidi"/>
                <w:i/>
                <w:iCs/>
              </w:rPr>
              <w:t>Mohammed</w:t>
            </w:r>
            <w:r w:rsidRPr="007C6A42">
              <w:rPr>
                <w:rFonts w:asciiTheme="majorBidi" w:eastAsia="Times New Roman" w:hAnsiTheme="majorBidi" w:cstheme="majorBidi"/>
              </w:rPr>
              <w:t>)</w:t>
            </w:r>
          </w:p>
        </w:tc>
        <w:tc>
          <w:tcPr>
            <w:tcW w:w="3260" w:type="dxa"/>
          </w:tcPr>
          <w:p w14:paraId="564BDA69"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Dieu assistera celui qui l’assiste </w:t>
            </w:r>
            <w:r w:rsidRPr="007C6A42">
              <w:rPr>
                <w:rFonts w:asciiTheme="majorBidi" w:eastAsia="Times New Roman" w:hAnsiTheme="majorBidi" w:cstheme="majorBidi"/>
                <w:i/>
                <w:iCs/>
              </w:rPr>
              <w:t>dans sa lutte contre les impies</w:t>
            </w:r>
          </w:p>
        </w:tc>
        <w:tc>
          <w:tcPr>
            <w:tcW w:w="1812" w:type="dxa"/>
          </w:tcPr>
          <w:p w14:paraId="3706DB34"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sera assisté par Dieu lui-même</w:t>
            </w:r>
          </w:p>
        </w:tc>
      </w:tr>
      <w:tr w:rsidR="00A70B78" w:rsidRPr="007C6A42" w14:paraId="71FCB604" w14:textId="77777777" w:rsidTr="00AF4FC9">
        <w:tc>
          <w:tcPr>
            <w:tcW w:w="1402" w:type="dxa"/>
          </w:tcPr>
          <w:p w14:paraId="2A5C46C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 (1949)</w:t>
            </w:r>
          </w:p>
        </w:tc>
        <w:tc>
          <w:tcPr>
            <w:tcW w:w="3591" w:type="dxa"/>
          </w:tcPr>
          <w:p w14:paraId="31132A9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ne le secourra pas</w:t>
            </w:r>
          </w:p>
        </w:tc>
        <w:tc>
          <w:tcPr>
            <w:tcW w:w="3260" w:type="dxa"/>
          </w:tcPr>
          <w:p w14:paraId="4755997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Allah secourra certes ceux qui Le secourent.</w:t>
            </w:r>
          </w:p>
        </w:tc>
        <w:tc>
          <w:tcPr>
            <w:tcW w:w="1812" w:type="dxa"/>
          </w:tcPr>
          <w:p w14:paraId="39EDC71F" w14:textId="77777777" w:rsidR="00A70B78" w:rsidRPr="007C6A42" w:rsidRDefault="00A70B78" w:rsidP="00AF4FC9">
            <w:pPr>
              <w:spacing w:line="360" w:lineRule="auto"/>
              <w:jc w:val="both"/>
              <w:rPr>
                <w:rFonts w:asciiTheme="majorBidi" w:eastAsia="Times New Roman" w:hAnsiTheme="majorBidi" w:cstheme="majorBidi"/>
                <w:iCs/>
              </w:rPr>
            </w:pPr>
            <w:r w:rsidRPr="007C6A42">
              <w:rPr>
                <w:rFonts w:asciiTheme="majorBidi" w:hAnsiTheme="majorBidi" w:cstheme="majorBidi"/>
                <w:iCs/>
              </w:rPr>
              <w:t>Allah certes le secourra</w:t>
            </w:r>
          </w:p>
        </w:tc>
      </w:tr>
      <w:tr w:rsidR="00A70B78" w:rsidRPr="007C6A42" w14:paraId="3C04BC8E" w14:textId="77777777" w:rsidTr="00AF4FC9">
        <w:tc>
          <w:tcPr>
            <w:tcW w:w="1402" w:type="dxa"/>
          </w:tcPr>
          <w:p w14:paraId="06DFBBC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Ghéd.</w:t>
            </w:r>
            <w:r w:rsidRPr="007C6A42">
              <w:rPr>
                <w:rFonts w:asciiTheme="majorBidi" w:eastAsia="SimSun" w:hAnsiTheme="majorBidi" w:cstheme="majorBidi"/>
                <w:lang w:eastAsia="zh-CN"/>
              </w:rPr>
              <w:t xml:space="preserve"> (1957</w:t>
            </w:r>
            <w:r w:rsidRPr="007C6A42">
              <w:rPr>
                <w:rFonts w:asciiTheme="majorBidi" w:eastAsia="Calibri" w:hAnsiTheme="majorBidi" w:cstheme="majorBidi"/>
                <w:lang w:bidi="ar-AE"/>
              </w:rPr>
              <w:t>)</w:t>
            </w:r>
          </w:p>
        </w:tc>
        <w:tc>
          <w:tcPr>
            <w:tcW w:w="3591" w:type="dxa"/>
          </w:tcPr>
          <w:p w14:paraId="503392B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ne secourra pas [Muhammad]</w:t>
            </w:r>
          </w:p>
        </w:tc>
        <w:tc>
          <w:tcPr>
            <w:tcW w:w="3260" w:type="dxa"/>
          </w:tcPr>
          <w:p w14:paraId="6591478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Il assistera ceux qui, …</w:t>
            </w:r>
          </w:p>
        </w:tc>
        <w:tc>
          <w:tcPr>
            <w:tcW w:w="1812" w:type="dxa"/>
          </w:tcPr>
          <w:p w14:paraId="117120D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sera assisté par Dieu Lui-même</w:t>
            </w:r>
          </w:p>
        </w:tc>
      </w:tr>
      <w:tr w:rsidR="00A70B78" w:rsidRPr="007C6A42" w14:paraId="4D917B73" w14:textId="77777777" w:rsidTr="00AF4FC9">
        <w:tc>
          <w:tcPr>
            <w:tcW w:w="1402" w:type="dxa"/>
          </w:tcPr>
          <w:p w14:paraId="1CC26A2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 (1959)</w:t>
            </w:r>
          </w:p>
        </w:tc>
        <w:tc>
          <w:tcPr>
            <w:tcW w:w="3591" w:type="dxa"/>
          </w:tcPr>
          <w:p w14:paraId="696E45F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ne viendra pas au secours de celui-ci</w:t>
            </w:r>
          </w:p>
        </w:tc>
        <w:tc>
          <w:tcPr>
            <w:tcW w:w="3260" w:type="dxa"/>
          </w:tcPr>
          <w:p w14:paraId="467EBD4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secoure ceux qui Le secourent</w:t>
            </w:r>
          </w:p>
        </w:tc>
        <w:tc>
          <w:tcPr>
            <w:tcW w:w="1812" w:type="dxa"/>
          </w:tcPr>
          <w:p w14:paraId="072FBDD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très certainement l’en secourra</w:t>
            </w:r>
          </w:p>
        </w:tc>
      </w:tr>
      <w:tr w:rsidR="00A70B78" w:rsidRPr="007C6A42" w14:paraId="0AAE6CFD" w14:textId="77777777" w:rsidTr="00AF4FC9">
        <w:tc>
          <w:tcPr>
            <w:tcW w:w="1402" w:type="dxa"/>
          </w:tcPr>
          <w:p w14:paraId="6139CF0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Mass. (1967)</w:t>
            </w:r>
          </w:p>
        </w:tc>
        <w:tc>
          <w:tcPr>
            <w:tcW w:w="3591" w:type="dxa"/>
          </w:tcPr>
          <w:p w14:paraId="01C8411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ne le secourra</w:t>
            </w:r>
          </w:p>
        </w:tc>
        <w:tc>
          <w:tcPr>
            <w:tcW w:w="3260" w:type="dxa"/>
          </w:tcPr>
          <w:p w14:paraId="7A7611B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sauvera ceux qui l’assistent</w:t>
            </w:r>
          </w:p>
        </w:tc>
        <w:tc>
          <w:tcPr>
            <w:tcW w:w="1812" w:type="dxa"/>
          </w:tcPr>
          <w:p w14:paraId="1E930EE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le protégera</w:t>
            </w:r>
          </w:p>
        </w:tc>
      </w:tr>
      <w:tr w:rsidR="00A70B78" w:rsidRPr="007C6A42" w14:paraId="56556842" w14:textId="77777777" w:rsidTr="00AF4FC9">
        <w:tc>
          <w:tcPr>
            <w:tcW w:w="1402" w:type="dxa"/>
          </w:tcPr>
          <w:p w14:paraId="6097CF92"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Gros. (1972)</w:t>
            </w:r>
          </w:p>
        </w:tc>
        <w:tc>
          <w:tcPr>
            <w:tcW w:w="3591" w:type="dxa"/>
          </w:tcPr>
          <w:p w14:paraId="3B02ED9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ne le secourra</w:t>
            </w:r>
          </w:p>
        </w:tc>
        <w:tc>
          <w:tcPr>
            <w:tcW w:w="3260" w:type="dxa"/>
          </w:tcPr>
          <w:p w14:paraId="7A6122E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vient au secours de ceux qui viennent à son secours</w:t>
            </w:r>
          </w:p>
        </w:tc>
        <w:tc>
          <w:tcPr>
            <w:tcW w:w="1812" w:type="dxa"/>
          </w:tcPr>
          <w:p w14:paraId="7B85C7F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le secourra</w:t>
            </w:r>
          </w:p>
        </w:tc>
      </w:tr>
      <w:tr w:rsidR="00A70B78" w:rsidRPr="007C6A42" w14:paraId="6364BA03" w14:textId="77777777" w:rsidTr="00AF4FC9">
        <w:tc>
          <w:tcPr>
            <w:tcW w:w="1402" w:type="dxa"/>
          </w:tcPr>
          <w:p w14:paraId="258D8CDC"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3591" w:type="dxa"/>
          </w:tcPr>
          <w:p w14:paraId="4261A87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désespère de Dieu</w:t>
            </w:r>
          </w:p>
        </w:tc>
        <w:tc>
          <w:tcPr>
            <w:tcW w:w="3260" w:type="dxa"/>
          </w:tcPr>
          <w:p w14:paraId="3787CCB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défend qui le soutient</w:t>
            </w:r>
          </w:p>
        </w:tc>
        <w:tc>
          <w:tcPr>
            <w:tcW w:w="1812" w:type="dxa"/>
          </w:tcPr>
          <w:p w14:paraId="6FC493B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celui qui aura l’aide de Dieu</w:t>
            </w:r>
          </w:p>
        </w:tc>
      </w:tr>
      <w:tr w:rsidR="00A70B78" w:rsidRPr="007C6A42" w14:paraId="62BDAFEF" w14:textId="77777777" w:rsidTr="00AF4FC9">
        <w:tc>
          <w:tcPr>
            <w:tcW w:w="1402" w:type="dxa"/>
          </w:tcPr>
          <w:p w14:paraId="2A40E4C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Berque (1990)</w:t>
            </w:r>
          </w:p>
        </w:tc>
        <w:tc>
          <w:tcPr>
            <w:tcW w:w="3591" w:type="dxa"/>
          </w:tcPr>
          <w:p w14:paraId="1695580C"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Dieu laisserait (le Prophète) sans secours</w:t>
            </w:r>
          </w:p>
        </w:tc>
        <w:tc>
          <w:tcPr>
            <w:tcW w:w="3260" w:type="dxa"/>
          </w:tcPr>
          <w:p w14:paraId="7A5F8F36"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Et que Dieu secoure qui Le secoure !</w:t>
            </w:r>
          </w:p>
        </w:tc>
        <w:tc>
          <w:tcPr>
            <w:tcW w:w="1812" w:type="dxa"/>
          </w:tcPr>
          <w:p w14:paraId="3F05F611"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assurément Dieu le secourra</w:t>
            </w:r>
          </w:p>
        </w:tc>
      </w:tr>
      <w:tr w:rsidR="00A70B78" w:rsidRPr="007C6A42" w14:paraId="16A751C9" w14:textId="77777777" w:rsidTr="00AF4FC9">
        <w:tc>
          <w:tcPr>
            <w:tcW w:w="1402" w:type="dxa"/>
          </w:tcPr>
          <w:p w14:paraId="221341C9"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Chour. </w:t>
            </w:r>
            <w:r w:rsidRPr="007C6A42">
              <w:rPr>
                <w:rFonts w:asciiTheme="majorBidi" w:eastAsia="Times New Roman" w:hAnsiTheme="majorBidi" w:cstheme="majorBidi"/>
              </w:rPr>
              <w:lastRenderedPageBreak/>
              <w:t>(1990)</w:t>
            </w:r>
          </w:p>
        </w:tc>
        <w:tc>
          <w:tcPr>
            <w:tcW w:w="3591" w:type="dxa"/>
          </w:tcPr>
          <w:p w14:paraId="57CF8D51"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lastRenderedPageBreak/>
              <w:t>Allah ne l’aide pas</w:t>
            </w:r>
          </w:p>
        </w:tc>
        <w:tc>
          <w:tcPr>
            <w:tcW w:w="3260" w:type="dxa"/>
          </w:tcPr>
          <w:p w14:paraId="506D3956"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Allah aide qui l’aide</w:t>
            </w:r>
          </w:p>
        </w:tc>
        <w:tc>
          <w:tcPr>
            <w:tcW w:w="1812" w:type="dxa"/>
          </w:tcPr>
          <w:p w14:paraId="093D7B14"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Allah secourt </w:t>
            </w:r>
            <w:r w:rsidRPr="007C6A42">
              <w:rPr>
                <w:rFonts w:asciiTheme="majorBidi" w:eastAsia="Times New Roman" w:hAnsiTheme="majorBidi" w:cstheme="majorBidi"/>
              </w:rPr>
              <w:lastRenderedPageBreak/>
              <w:t>qui…</w:t>
            </w:r>
          </w:p>
        </w:tc>
      </w:tr>
      <w:tr w:rsidR="00A70B78" w:rsidRPr="007C6A42" w14:paraId="290812E7" w14:textId="77777777" w:rsidTr="00AF4FC9">
        <w:tc>
          <w:tcPr>
            <w:tcW w:w="1402" w:type="dxa"/>
          </w:tcPr>
          <w:p w14:paraId="2BF9433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Gues. (1999)</w:t>
            </w:r>
          </w:p>
        </w:tc>
        <w:tc>
          <w:tcPr>
            <w:tcW w:w="3591" w:type="dxa"/>
          </w:tcPr>
          <w:p w14:paraId="1495765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ne point être par ALLAH assisté</w:t>
            </w:r>
          </w:p>
        </w:tc>
        <w:tc>
          <w:tcPr>
            <w:tcW w:w="3260" w:type="dxa"/>
          </w:tcPr>
          <w:p w14:paraId="44E9D91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car </w:t>
            </w:r>
            <w:r w:rsidRPr="007C6A42">
              <w:rPr>
                <w:rFonts w:asciiTheme="majorBidi" w:hAnsiTheme="majorBidi" w:cstheme="majorBidi"/>
                <w:b/>
              </w:rPr>
              <w:t>ALLAH</w:t>
            </w:r>
            <w:r w:rsidRPr="007C6A42">
              <w:rPr>
                <w:rFonts w:asciiTheme="majorBidi" w:hAnsiTheme="majorBidi" w:cstheme="majorBidi"/>
              </w:rPr>
              <w:t xml:space="preserve"> ne peut assister</w:t>
            </w:r>
          </w:p>
          <w:p w14:paraId="5A3B5B3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Que celui qui l’aide</w:t>
            </w:r>
          </w:p>
        </w:tc>
        <w:tc>
          <w:tcPr>
            <w:tcW w:w="1812" w:type="dxa"/>
          </w:tcPr>
          <w:p w14:paraId="32274ED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 xml:space="preserve">Sera secouru par </w:t>
            </w:r>
            <w:r w:rsidRPr="007C6A42">
              <w:rPr>
                <w:rFonts w:asciiTheme="majorBidi" w:hAnsiTheme="majorBidi" w:cstheme="majorBidi"/>
                <w:b/>
              </w:rPr>
              <w:t>DIEU</w:t>
            </w:r>
          </w:p>
        </w:tc>
      </w:tr>
      <w:tr w:rsidR="00A70B78" w:rsidRPr="007C6A42" w14:paraId="2193453C" w14:textId="77777777" w:rsidTr="00AF4FC9">
        <w:tc>
          <w:tcPr>
            <w:tcW w:w="1402" w:type="dxa"/>
          </w:tcPr>
          <w:p w14:paraId="35C9F35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3591" w:type="dxa"/>
          </w:tcPr>
          <w:p w14:paraId="1F8A59F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ne secourra pas son Prophète</w:t>
            </w:r>
          </w:p>
        </w:tc>
        <w:tc>
          <w:tcPr>
            <w:tcW w:w="3260" w:type="dxa"/>
          </w:tcPr>
          <w:p w14:paraId="19AABD3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assistera assurément ceux qui aident au triomphe de Sa Cause</w:t>
            </w:r>
          </w:p>
        </w:tc>
        <w:tc>
          <w:tcPr>
            <w:tcW w:w="1812" w:type="dxa"/>
          </w:tcPr>
          <w:p w14:paraId="4628AD7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lui prêtera assurément Son secours</w:t>
            </w:r>
          </w:p>
        </w:tc>
      </w:tr>
      <w:tr w:rsidR="00A70B78" w:rsidRPr="007C6A42" w14:paraId="14C90520" w14:textId="77777777" w:rsidTr="00AF4FC9">
        <w:tc>
          <w:tcPr>
            <w:tcW w:w="1402" w:type="dxa"/>
          </w:tcPr>
          <w:p w14:paraId="29D3DF92"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Méd. (2001)</w:t>
            </w:r>
          </w:p>
        </w:tc>
        <w:tc>
          <w:tcPr>
            <w:tcW w:w="3591" w:type="dxa"/>
          </w:tcPr>
          <w:p w14:paraId="4034B689"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ne le secourra pas</w:t>
            </w:r>
          </w:p>
        </w:tc>
        <w:tc>
          <w:tcPr>
            <w:tcW w:w="3260" w:type="dxa"/>
          </w:tcPr>
          <w:p w14:paraId="414B7F16"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soutient, certes, ceux qui soutiennent (Sa Religion).</w:t>
            </w:r>
          </w:p>
        </w:tc>
        <w:tc>
          <w:tcPr>
            <w:tcW w:w="1812" w:type="dxa"/>
          </w:tcPr>
          <w:p w14:paraId="08573641"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l’aidera</w:t>
            </w:r>
          </w:p>
        </w:tc>
      </w:tr>
      <w:tr w:rsidR="00A70B78" w:rsidRPr="007C6A42" w14:paraId="3E1525BF" w14:textId="77777777" w:rsidTr="00AF4FC9">
        <w:tc>
          <w:tcPr>
            <w:tcW w:w="1402" w:type="dxa"/>
          </w:tcPr>
          <w:p w14:paraId="7ED66839"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3591" w:type="dxa"/>
          </w:tcPr>
          <w:p w14:paraId="02695D7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ne lui Donnerait pas victoire (au Prophète)</w:t>
            </w:r>
          </w:p>
        </w:tc>
        <w:tc>
          <w:tcPr>
            <w:tcW w:w="3260" w:type="dxa"/>
          </w:tcPr>
          <w:p w14:paraId="1F33D415"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Certes, Allah Donnera sûrement victoire à celui qui fait triompher Sa Cause.</w:t>
            </w:r>
          </w:p>
        </w:tc>
        <w:tc>
          <w:tcPr>
            <w:tcW w:w="1812" w:type="dxa"/>
          </w:tcPr>
          <w:p w14:paraId="225BFD6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Allah lui Donnera sûrement victoire.</w:t>
            </w:r>
          </w:p>
        </w:tc>
      </w:tr>
      <w:tr w:rsidR="00A70B78" w:rsidRPr="007C6A42" w14:paraId="180A4EBC" w14:textId="77777777" w:rsidTr="00AF4FC9">
        <w:tc>
          <w:tcPr>
            <w:tcW w:w="1402" w:type="dxa"/>
          </w:tcPr>
          <w:p w14:paraId="4C55D53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 (2008)</w:t>
            </w:r>
          </w:p>
        </w:tc>
        <w:tc>
          <w:tcPr>
            <w:tcW w:w="3591" w:type="dxa"/>
          </w:tcPr>
          <w:p w14:paraId="13E2A8F5"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Dieu ne le secourra pas</w:t>
            </w:r>
          </w:p>
        </w:tc>
        <w:tc>
          <w:tcPr>
            <w:tcW w:w="3260" w:type="dxa"/>
          </w:tcPr>
          <w:p w14:paraId="79787506"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Dieu secourra qui le secourt.</w:t>
            </w:r>
          </w:p>
        </w:tc>
        <w:tc>
          <w:tcPr>
            <w:tcW w:w="1812" w:type="dxa"/>
          </w:tcPr>
          <w:p w14:paraId="1D2E65F6"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Dieu le secourra</w:t>
            </w:r>
          </w:p>
        </w:tc>
      </w:tr>
      <w:tr w:rsidR="00A70B78" w:rsidRPr="007C6A42" w14:paraId="64BA7DF4" w14:textId="77777777" w:rsidTr="00AF4FC9">
        <w:tc>
          <w:tcPr>
            <w:tcW w:w="1402" w:type="dxa"/>
          </w:tcPr>
          <w:p w14:paraId="5E7B36E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3591" w:type="dxa"/>
          </w:tcPr>
          <w:p w14:paraId="37F5DCA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ne le sauvera</w:t>
            </w:r>
          </w:p>
        </w:tc>
        <w:tc>
          <w:tcPr>
            <w:tcW w:w="3260" w:type="dxa"/>
          </w:tcPr>
          <w:p w14:paraId="6E1F27B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Allah est Celui qui accorde du secours à celui qui Le défend</w:t>
            </w:r>
          </w:p>
        </w:tc>
        <w:tc>
          <w:tcPr>
            <w:tcW w:w="1812" w:type="dxa"/>
          </w:tcPr>
          <w:p w14:paraId="3C42AB8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Allah lui portera secours et le fera vaincre</w:t>
            </w:r>
          </w:p>
        </w:tc>
      </w:tr>
      <w:tr w:rsidR="00A70B78" w:rsidRPr="007C6A42" w14:paraId="147E6465" w14:textId="77777777" w:rsidTr="00AF4FC9">
        <w:tc>
          <w:tcPr>
            <w:tcW w:w="1402" w:type="dxa"/>
          </w:tcPr>
          <w:p w14:paraId="617EF0C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3591" w:type="dxa"/>
          </w:tcPr>
          <w:p w14:paraId="5DE7D4C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ne secourra pas Mohammed</w:t>
            </w:r>
          </w:p>
        </w:tc>
        <w:tc>
          <w:tcPr>
            <w:tcW w:w="3260" w:type="dxa"/>
          </w:tcPr>
          <w:p w14:paraId="21DB22B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En vérité, Dieu assistera ceux qui défendent Sa cause.</w:t>
            </w:r>
          </w:p>
        </w:tc>
        <w:tc>
          <w:tcPr>
            <w:tcW w:w="1812" w:type="dxa"/>
          </w:tcPr>
          <w:p w14:paraId="6ECEF44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assistera celui qui…</w:t>
            </w:r>
          </w:p>
        </w:tc>
      </w:tr>
    </w:tbl>
    <w:p w14:paraId="4FDE4271"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1CA7DB65"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Du point de vue lexical (selon les dictionnaires </w:t>
      </w:r>
      <w:r w:rsidRPr="007C6A42">
        <w:rPr>
          <w:rFonts w:asciiTheme="majorBidi" w:eastAsia="Times New Roman" w:hAnsiTheme="majorBidi" w:cstheme="majorBidi"/>
          <w:i/>
          <w:iCs/>
          <w:shd w:val="clear" w:color="auto" w:fill="FFFFFF"/>
          <w:lang w:bidi="ar-KW"/>
        </w:rPr>
        <w:t>Lisān al-</w:t>
      </w:r>
      <w:r w:rsidRPr="007C6A42">
        <w:rPr>
          <w:rFonts w:asciiTheme="majorBidi" w:hAnsiTheme="majorBidi" w:cstheme="majorBidi"/>
          <w:i/>
          <w:iCs/>
        </w:rPr>
        <w:t>ʿ</w:t>
      </w:r>
      <w:r w:rsidRPr="007C6A42">
        <w:rPr>
          <w:rFonts w:asciiTheme="majorBidi" w:eastAsia="Times New Roman" w:hAnsiTheme="majorBidi" w:cstheme="majorBidi"/>
          <w:i/>
          <w:iCs/>
          <w:shd w:val="clear" w:color="auto" w:fill="FFFFFF"/>
          <w:lang w:bidi="ar-KW"/>
        </w:rPr>
        <w:t>Arab</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Tāj al-</w:t>
      </w:r>
      <w:r w:rsidRPr="007C6A42">
        <w:rPr>
          <w:rFonts w:asciiTheme="majorBidi" w:hAnsiTheme="majorBidi" w:cstheme="majorBidi"/>
          <w:i/>
          <w:iCs/>
        </w:rPr>
        <w:t>ʿArūs</w:t>
      </w:r>
      <w:r w:rsidRPr="007C6A42">
        <w:rPr>
          <w:rFonts w:asciiTheme="majorBidi" w:hAnsiTheme="majorBidi" w:cstheme="majorBidi"/>
        </w:rPr>
        <w:t xml:space="preserve"> et </w:t>
      </w:r>
      <w:r w:rsidRPr="007C6A42">
        <w:rPr>
          <w:rFonts w:asciiTheme="majorBidi" w:hAnsiTheme="majorBidi" w:cstheme="majorBidi"/>
          <w:i/>
          <w:iCs/>
        </w:rPr>
        <w:t>Al-Muʿjam al-Wasīṭ</w:t>
      </w:r>
      <w:r w:rsidRPr="007C6A42">
        <w:rPr>
          <w:rFonts w:asciiTheme="majorBidi" w:hAnsiTheme="majorBidi" w:cstheme="majorBidi"/>
        </w:rPr>
        <w:t xml:space="preserve">), </w:t>
      </w:r>
      <w:r w:rsidRPr="007C6A42">
        <w:rPr>
          <w:rFonts w:asciiTheme="majorBidi" w:eastAsia="Times New Roman" w:hAnsiTheme="majorBidi" w:cstheme="majorBidi"/>
          <w:shd w:val="clear" w:color="auto" w:fill="FFFFFF"/>
          <w:lang w:bidi="ar-KW"/>
        </w:rPr>
        <w:t xml:space="preserve">le verbe </w:t>
      </w:r>
      <w:r w:rsidRPr="007C6A42">
        <w:rPr>
          <w:rFonts w:asciiTheme="majorBidi" w:eastAsia="Times New Roman" w:hAnsiTheme="majorBidi" w:cstheme="majorBidi"/>
          <w:i/>
          <w:iCs/>
          <w:shd w:val="clear" w:color="auto" w:fill="FFFFFF"/>
          <w:lang w:bidi="ar-KW"/>
        </w:rPr>
        <w:t>naṣara</w:t>
      </w:r>
      <w:r w:rsidRPr="007C6A42">
        <w:rPr>
          <w:rFonts w:asciiTheme="majorBidi" w:eastAsia="Times New Roman" w:hAnsiTheme="majorBidi" w:cstheme="majorBidi"/>
          <w:shd w:val="clear" w:color="auto" w:fill="FFFFFF"/>
          <w:lang w:bidi="ar-KW"/>
        </w:rPr>
        <w:t xml:space="preserve"> signifie entre autres : « secourir qqn. et surtout les victimes de l’injustice », « aider qqn. dans sa lutte contre son ennemi », « sauver », « donner », « procurer à qqn. des moyens de subsistance (en parlant de Dieu)</w:t>
      </w:r>
      <w:r w:rsidRPr="007C6A42">
        <w:rPr>
          <w:rFonts w:asciiTheme="majorBidi" w:hAnsiTheme="majorBidi" w:cstheme="majorBidi"/>
        </w:rPr>
        <w:t xml:space="preserve"> [synonyme de </w:t>
      </w:r>
      <w:r w:rsidRPr="007C6A42">
        <w:rPr>
          <w:rFonts w:asciiTheme="majorBidi" w:hAnsiTheme="majorBidi" w:cstheme="majorBidi"/>
          <w:i/>
          <w:iCs/>
        </w:rPr>
        <w:t>razaqa</w:t>
      </w:r>
      <w:r w:rsidRPr="007C6A42">
        <w:rPr>
          <w:rFonts w:asciiTheme="majorBidi" w:hAnsiTheme="majorBidi" w:cstheme="majorBidi"/>
        </w:rPr>
        <w:t>]</w:t>
      </w:r>
      <w:r w:rsidRPr="007C6A42">
        <w:rPr>
          <w:rFonts w:asciiTheme="majorBidi" w:eastAsia="Times New Roman" w:hAnsiTheme="majorBidi" w:cstheme="majorBidi"/>
          <w:shd w:val="clear" w:color="auto" w:fill="FFFFFF"/>
          <w:lang w:bidi="ar-KW"/>
        </w:rPr>
        <w:t> », « faire descendre la pluie (en parlant de Dieu) », etc.</w:t>
      </w:r>
      <w:r w:rsidRPr="007C6A42">
        <w:rPr>
          <w:rFonts w:asciiTheme="majorBidi" w:eastAsia="Times New Roman" w:hAnsiTheme="majorBidi" w:cstheme="majorBidi"/>
          <w:shd w:val="clear" w:color="auto" w:fill="FFFFFF"/>
        </w:rPr>
        <w:t xml:space="preserve"> L’exégèse reprend ces significations (hormis celle de la pluie) et y ajoute : </w:t>
      </w:r>
      <w:r w:rsidRPr="007C6A42">
        <w:rPr>
          <w:rFonts w:asciiTheme="majorBidi" w:eastAsia="Times New Roman" w:hAnsiTheme="majorBidi" w:cstheme="majorBidi"/>
          <w:shd w:val="clear" w:color="auto" w:fill="FFFFFF"/>
          <w:lang w:bidi="ar-KW"/>
        </w:rPr>
        <w:t xml:space="preserve">« donner </w:t>
      </w:r>
      <w:r w:rsidRPr="007C6A42">
        <w:rPr>
          <w:rFonts w:asciiTheme="majorBidi" w:eastAsia="Times New Roman" w:hAnsiTheme="majorBidi" w:cstheme="majorBidi"/>
        </w:rPr>
        <w:t>la victoire » et « guider ».</w:t>
      </w:r>
    </w:p>
    <w:p w14:paraId="6E986C35" w14:textId="77777777" w:rsidR="00A70B78" w:rsidRPr="007C6A42" w:rsidRDefault="00A70B78" w:rsidP="00A70B78">
      <w:pPr>
        <w:spacing w:line="360" w:lineRule="auto"/>
        <w:ind w:firstLine="284"/>
        <w:jc w:val="both"/>
        <w:rPr>
          <w:rFonts w:asciiTheme="majorBidi" w:hAnsiTheme="majorBidi" w:cstheme="majorBidi"/>
        </w:rPr>
      </w:pPr>
    </w:p>
    <w:p w14:paraId="687C2822" w14:textId="77777777" w:rsidR="00A70B78" w:rsidRPr="007C6A42" w:rsidRDefault="00A70B78" w:rsidP="00A70B78">
      <w:pPr>
        <w:spacing w:line="360" w:lineRule="auto"/>
        <w:ind w:firstLine="284"/>
        <w:jc w:val="both"/>
        <w:rPr>
          <w:rFonts w:asciiTheme="majorBidi" w:eastAsia="Times New Roman" w:hAnsiTheme="majorBidi" w:cstheme="majorBidi"/>
          <w:shd w:val="clear" w:color="auto" w:fill="FFFFFF"/>
          <w:lang w:bidi="ar-KW"/>
        </w:rPr>
      </w:pPr>
      <w:r w:rsidRPr="007C6A42">
        <w:rPr>
          <w:rFonts w:asciiTheme="majorBidi" w:hAnsiTheme="majorBidi" w:cstheme="majorBidi"/>
        </w:rPr>
        <w:t xml:space="preserve">Dans l’ensemble, les traductions reflètent partiellement l’exégèse et y ajoutent d’autres idées. En effet, d’un côté, elles ignorent les significations : </w:t>
      </w:r>
      <w:r w:rsidRPr="007C6A42">
        <w:rPr>
          <w:rFonts w:asciiTheme="majorBidi" w:eastAsia="Times New Roman" w:hAnsiTheme="majorBidi" w:cstheme="majorBidi"/>
          <w:shd w:val="clear" w:color="auto" w:fill="FFFFFF"/>
          <w:lang w:bidi="ar-KW"/>
        </w:rPr>
        <w:t xml:space="preserve">« procurer des moyens de subsistance » et « guider », et de l’autre, elles ajoutent les idées de protection et de défense. L’idée de désespérance (Ben Mahmoud) n’est pas évoquée par les exégètes, mais le commentaire du soufi naqshbandite syrien </w:t>
      </w:r>
      <w:r w:rsidRPr="007C6A42">
        <w:rPr>
          <w:rFonts w:asciiTheme="majorBidi" w:hAnsiTheme="majorBidi" w:cstheme="majorBidi"/>
        </w:rPr>
        <w:t>ʿ</w:t>
      </w:r>
      <w:r w:rsidRPr="007C6A42">
        <w:rPr>
          <w:rFonts w:asciiTheme="majorBidi" w:eastAsia="Times New Roman" w:hAnsiTheme="majorBidi" w:cstheme="majorBidi"/>
          <w:shd w:val="clear" w:color="auto" w:fill="FFFFFF"/>
          <w:lang w:bidi="ar-KW"/>
        </w:rPr>
        <w:t>Abd Al-Hādī al-Bānī n’en est pas loin.</w:t>
      </w:r>
    </w:p>
    <w:p w14:paraId="7E1C9C5B"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lastRenderedPageBreak/>
        <w:t>La plupart des traducteurs ont donné pour le même verbe plusieurs équivalents : Savary le traduit par : « aider », « combattre pour la foi » et « avoir pour appui le bras de ». Kazimirski et Ghédira le rendent par : « secourir » et « assister ». Masson par : « secourir », « sauver », « assister » et « protéger ». Ben Mahmoud le traduit par : « désespérer », « défendre », « soutenir » et « avoir l’aide de ». Berque, Chouraqui, Guessous, Chiadmi, le Complexe de Médine, Chebel et Hafiane font de même. Cette tendance fréquente dans les traductions a pour effet de modifier le sens du texte-source.</w:t>
      </w:r>
    </w:p>
    <w:p w14:paraId="2AA74080" w14:textId="77777777" w:rsidR="00A70B78" w:rsidRPr="007C6A42" w:rsidRDefault="00A70B78" w:rsidP="00A70B78">
      <w:pPr>
        <w:spacing w:line="360" w:lineRule="auto"/>
        <w:ind w:firstLine="284"/>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rPr>
        <w:t>Dans</w:t>
      </w:r>
      <w:r w:rsidRPr="007C6A42">
        <w:rPr>
          <w:rFonts w:asciiTheme="majorBidi" w:eastAsia="Times New Roman" w:hAnsiTheme="majorBidi" w:cstheme="majorBidi"/>
          <w:shd w:val="clear" w:color="auto" w:fill="FFFFFF"/>
          <w:lang w:bidi="ar-KW"/>
        </w:rPr>
        <w:t xml:space="preserve"> la traduction des dérivés du verbe </w:t>
      </w:r>
      <w:r w:rsidRPr="007C6A42">
        <w:rPr>
          <w:rFonts w:asciiTheme="majorBidi" w:eastAsia="Times New Roman" w:hAnsiTheme="majorBidi" w:cstheme="majorBidi"/>
          <w:i/>
          <w:iCs/>
          <w:shd w:val="clear" w:color="auto" w:fill="FFFFFF"/>
          <w:lang w:bidi="ar-KW"/>
        </w:rPr>
        <w:t>naṣara</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naṣri-him</w:t>
      </w:r>
      <w:r w:rsidRPr="007C6A42">
        <w:rPr>
          <w:rFonts w:asciiTheme="majorBidi" w:eastAsia="Times New Roman" w:hAnsiTheme="majorBidi" w:cstheme="majorBidi"/>
          <w:shd w:val="clear" w:color="auto" w:fill="FFFFFF"/>
          <w:lang w:bidi="ar-KW"/>
        </w:rPr>
        <w:t xml:space="preserve"> [v. 39], </w:t>
      </w:r>
      <w:r w:rsidRPr="007C6A42">
        <w:rPr>
          <w:rFonts w:asciiTheme="majorBidi" w:eastAsia="Times New Roman" w:hAnsiTheme="majorBidi" w:cstheme="majorBidi"/>
          <w:i/>
          <w:iCs/>
          <w:shd w:val="clear" w:color="auto" w:fill="FFFFFF"/>
          <w:lang w:bidi="ar-KW"/>
        </w:rPr>
        <w:t>naṣ</w:t>
      </w:r>
      <w:r w:rsidRPr="007C6A42">
        <w:rPr>
          <w:rFonts w:asciiTheme="majorBidi" w:eastAsia="Times New Roman" w:hAnsiTheme="majorBidi" w:cstheme="majorBidi"/>
          <w:i/>
          <w:shd w:val="clear" w:color="auto" w:fill="FFFFFF"/>
          <w:lang w:bidi="ar-KW"/>
        </w:rPr>
        <w:t>ī</w:t>
      </w:r>
      <w:r w:rsidRPr="007C6A42">
        <w:rPr>
          <w:rFonts w:asciiTheme="majorBidi" w:eastAsia="Times New Roman" w:hAnsiTheme="majorBidi" w:cstheme="majorBidi"/>
          <w:i/>
          <w:iCs/>
          <w:shd w:val="clear" w:color="auto" w:fill="FFFFFF"/>
          <w:lang w:bidi="ar-KW"/>
        </w:rPr>
        <w:t>r</w:t>
      </w:r>
      <w:r w:rsidRPr="007C6A42">
        <w:rPr>
          <w:rFonts w:asciiTheme="majorBidi" w:eastAsia="Times New Roman" w:hAnsiTheme="majorBidi" w:cstheme="majorBidi"/>
          <w:shd w:val="clear" w:color="auto" w:fill="FFFFFF"/>
          <w:lang w:bidi="ar-KW"/>
        </w:rPr>
        <w:t xml:space="preserve"> [v. 71] et </w:t>
      </w:r>
      <w:r w:rsidRPr="007C6A42">
        <w:rPr>
          <w:rFonts w:asciiTheme="majorBidi" w:eastAsia="Times New Roman" w:hAnsiTheme="majorBidi" w:cstheme="majorBidi"/>
          <w:i/>
          <w:iCs/>
          <w:shd w:val="clear" w:color="auto" w:fill="FFFFFF"/>
          <w:lang w:bidi="ar-KW"/>
        </w:rPr>
        <w:t>an-nāṣir</w:t>
      </w:r>
      <w:r w:rsidRPr="007C6A42">
        <w:rPr>
          <w:rFonts w:asciiTheme="majorBidi" w:eastAsia="Times New Roman" w:hAnsiTheme="majorBidi" w:cstheme="majorBidi"/>
          <w:shd w:val="clear" w:color="auto" w:fill="FFFFFF"/>
          <w:lang w:bidi="ar-KW"/>
        </w:rPr>
        <w:t xml:space="preserve"> [v. 78]), les traducteurs</w:t>
      </w:r>
      <w:r w:rsidRPr="007C6A42">
        <w:rPr>
          <w:rFonts w:asciiTheme="majorBidi" w:eastAsia="Times New Roman" w:hAnsiTheme="majorBidi" w:cstheme="majorBidi"/>
          <w:shd w:val="clear" w:color="auto" w:fill="FFFFFF"/>
        </w:rPr>
        <w:t xml:space="preserve"> ne s’éloignent pas des significations données au verbe. </w:t>
      </w:r>
      <w:r w:rsidRPr="007C6A42">
        <w:rPr>
          <w:rFonts w:asciiTheme="majorBidi" w:eastAsia="Times New Roman" w:hAnsiTheme="majorBidi" w:cstheme="majorBidi"/>
          <w:shd w:val="clear" w:color="auto" w:fill="FFFFFF"/>
          <w:lang w:bidi="ar-KW"/>
        </w:rPr>
        <w:t xml:space="preserve">Certains y ajoutent d’autres notions : « auxiliaire », « patron », « partisan », « délivrer ». Lorsque le mot concerne Dieu, quelques-uns l’écrivent en majuscule et y ajoutent parfois un adjectif possessif ou démonstratif (« votre Protecteur », « cet Auxiliaire », « Défenseur », « Secourant », « Soutien », « Partisan »). Guessous choisit certains mots en fonction de l’assonance : il traduit l’adjectif de forme intensive </w:t>
      </w:r>
      <w:r w:rsidRPr="007C6A42">
        <w:rPr>
          <w:rFonts w:asciiTheme="majorBidi" w:eastAsia="Times New Roman" w:hAnsiTheme="majorBidi" w:cstheme="majorBidi"/>
          <w:i/>
          <w:iCs/>
          <w:shd w:val="clear" w:color="auto" w:fill="FFFFFF"/>
          <w:lang w:bidi="ar-KW"/>
        </w:rPr>
        <w:t>naṣ</w:t>
      </w:r>
      <w:r w:rsidRPr="007C6A42">
        <w:rPr>
          <w:rFonts w:asciiTheme="majorBidi" w:eastAsia="Times New Roman" w:hAnsiTheme="majorBidi" w:cstheme="majorBidi"/>
          <w:i/>
          <w:shd w:val="clear" w:color="auto" w:fill="FFFFFF"/>
          <w:lang w:bidi="ar-KW"/>
        </w:rPr>
        <w:t>ī</w:t>
      </w:r>
      <w:r w:rsidRPr="007C6A42">
        <w:rPr>
          <w:rFonts w:asciiTheme="majorBidi" w:eastAsia="Times New Roman" w:hAnsiTheme="majorBidi" w:cstheme="majorBidi"/>
          <w:i/>
          <w:iCs/>
          <w:shd w:val="clear" w:color="auto" w:fill="FFFFFF"/>
          <w:lang w:bidi="ar-KW"/>
        </w:rPr>
        <w:t>r</w:t>
      </w:r>
      <w:r w:rsidRPr="007C6A42">
        <w:rPr>
          <w:rFonts w:asciiTheme="majorBidi" w:eastAsia="Times New Roman" w:hAnsiTheme="majorBidi" w:cstheme="majorBidi"/>
          <w:shd w:val="clear" w:color="auto" w:fill="FFFFFF"/>
          <w:lang w:bidi="ar-KW"/>
        </w:rPr>
        <w:t xml:space="preserve"> par le substantif « Assistance » pour la rime avec le mot précédent « connaissance ». Il traduit également « </w:t>
      </w:r>
      <w:r w:rsidRPr="007C6A42">
        <w:rPr>
          <w:rFonts w:asciiTheme="majorBidi" w:eastAsia="Times New Roman" w:hAnsiTheme="majorBidi" w:cstheme="majorBidi"/>
          <w:i/>
          <w:iCs/>
          <w:shd w:val="clear" w:color="auto" w:fill="FFFFFF"/>
          <w:lang w:bidi="ar-KW"/>
        </w:rPr>
        <w:t>naṣri-him</w:t>
      </w:r>
      <w:r w:rsidRPr="007C6A42">
        <w:rPr>
          <w:rFonts w:asciiTheme="majorBidi" w:eastAsia="Times New Roman" w:hAnsiTheme="majorBidi" w:cstheme="majorBidi"/>
          <w:shd w:val="clear" w:color="auto" w:fill="FFFFFF"/>
          <w:lang w:bidi="ar-KW"/>
        </w:rPr>
        <w:t> » par « protéger » (et non pas par « secourir », ni « défendre ») pour l’assonance avec le mot précédent (« lésés »).</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750"/>
        <w:gridCol w:w="3542"/>
        <w:gridCol w:w="2646"/>
      </w:tblGrid>
      <w:tr w:rsidR="00A70B78" w:rsidRPr="007C6A42" w14:paraId="4E1F6FDA" w14:textId="77777777" w:rsidTr="00AF4FC9">
        <w:trPr>
          <w:trHeight w:val="76"/>
        </w:trPr>
        <w:tc>
          <w:tcPr>
            <w:tcW w:w="1411" w:type="dxa"/>
          </w:tcPr>
          <w:p w14:paraId="6D6248A3" w14:textId="77777777" w:rsidR="00A70B78" w:rsidRPr="007C6A42" w:rsidRDefault="00A70B78" w:rsidP="00AF4FC9">
            <w:pPr>
              <w:tabs>
                <w:tab w:val="right" w:pos="993"/>
              </w:tabs>
              <w:spacing w:line="360" w:lineRule="auto"/>
              <w:rPr>
                <w:rFonts w:asciiTheme="majorBidi" w:eastAsia="Calibri" w:hAnsiTheme="majorBidi" w:cstheme="majorBidi"/>
                <w:b/>
                <w:bCs/>
                <w:lang w:bidi="ar-AE"/>
              </w:rPr>
            </w:pPr>
          </w:p>
        </w:tc>
        <w:tc>
          <w:tcPr>
            <w:tcW w:w="2750" w:type="dxa"/>
          </w:tcPr>
          <w:p w14:paraId="6E8982C2" w14:textId="77777777" w:rsidR="00A70B78" w:rsidRPr="007C6A42" w:rsidRDefault="00A70B78" w:rsidP="00AF4FC9">
            <w:pPr>
              <w:tabs>
                <w:tab w:val="right" w:pos="993"/>
              </w:tabs>
              <w:bidi/>
              <w:spacing w:line="360" w:lineRule="auto"/>
              <w:jc w:val="center"/>
              <w:rPr>
                <w:rFonts w:asciiTheme="majorBidi" w:eastAsia="Calibri" w:hAnsiTheme="majorBidi" w:cstheme="majorBidi"/>
                <w:rtl/>
              </w:rPr>
            </w:pPr>
            <w:r w:rsidRPr="007C6A42">
              <w:rPr>
                <w:rFonts w:asciiTheme="majorBidi" w:eastAsia="Calibri" w:hAnsiTheme="majorBidi" w:cstheme="majorBidi"/>
                <w:rtl/>
              </w:rPr>
              <w:t>نصرِهم (٣٩)</w:t>
            </w:r>
          </w:p>
        </w:tc>
        <w:tc>
          <w:tcPr>
            <w:tcW w:w="3542" w:type="dxa"/>
          </w:tcPr>
          <w:p w14:paraId="2C6A3BE5" w14:textId="77777777" w:rsidR="00A70B78" w:rsidRPr="007C6A42" w:rsidRDefault="00A70B78" w:rsidP="00AF4FC9">
            <w:pPr>
              <w:bidi/>
              <w:jc w:val="center"/>
              <w:rPr>
                <w:rFonts w:asciiTheme="majorBidi" w:eastAsia="Times New Roman" w:hAnsiTheme="majorBidi" w:cstheme="majorBidi"/>
                <w:rtl/>
              </w:rPr>
            </w:pPr>
            <w:r w:rsidRPr="007C6A42">
              <w:rPr>
                <w:rFonts w:asciiTheme="majorBidi" w:eastAsia="Times New Roman" w:hAnsiTheme="majorBidi" w:cstheme="majorBidi"/>
                <w:shd w:val="clear" w:color="auto" w:fill="FFFFFF"/>
                <w:rtl/>
              </w:rPr>
              <w:t>نصير (٧١)</w:t>
            </w:r>
          </w:p>
        </w:tc>
        <w:tc>
          <w:tcPr>
            <w:tcW w:w="2646" w:type="dxa"/>
          </w:tcPr>
          <w:p w14:paraId="02889DEE" w14:textId="77777777" w:rsidR="00A70B78" w:rsidRPr="007C6A42" w:rsidRDefault="00A70B78" w:rsidP="00AF4FC9">
            <w:pPr>
              <w:bidi/>
              <w:jc w:val="center"/>
              <w:rPr>
                <w:rFonts w:asciiTheme="majorBidi" w:eastAsia="Times New Roman" w:hAnsiTheme="majorBidi" w:cstheme="majorBidi"/>
                <w:rtl/>
              </w:rPr>
            </w:pPr>
            <w:r w:rsidRPr="007C6A42">
              <w:rPr>
                <w:rFonts w:asciiTheme="majorBidi" w:eastAsia="Times New Roman" w:hAnsiTheme="majorBidi" w:cstheme="majorBidi"/>
                <w:rtl/>
              </w:rPr>
              <w:t>النصير (٧٨)</w:t>
            </w:r>
          </w:p>
        </w:tc>
      </w:tr>
      <w:tr w:rsidR="00A70B78" w:rsidRPr="007C6A42" w14:paraId="4333C94F" w14:textId="77777777" w:rsidTr="00AF4FC9">
        <w:tc>
          <w:tcPr>
            <w:tcW w:w="1411" w:type="dxa"/>
          </w:tcPr>
          <w:p w14:paraId="2712E77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D.R.</w:t>
            </w:r>
            <w:r w:rsidRPr="007C6A42">
              <w:rPr>
                <w:rFonts w:asciiTheme="majorBidi" w:eastAsia="Calibri" w:hAnsiTheme="majorBidi" w:cstheme="majorBidi"/>
                <w:lang w:bidi="ar-AE"/>
              </w:rPr>
              <w:t xml:space="preserve"> (1647)</w:t>
            </w:r>
          </w:p>
        </w:tc>
        <w:tc>
          <w:tcPr>
            <w:tcW w:w="2750" w:type="dxa"/>
          </w:tcPr>
          <w:p w14:paraId="1B46DF4E"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hAnsiTheme="majorBidi" w:cstheme="majorBidi"/>
              </w:rPr>
              <w:t>pour les proteger</w:t>
            </w:r>
          </w:p>
        </w:tc>
        <w:tc>
          <w:tcPr>
            <w:tcW w:w="3542" w:type="dxa"/>
          </w:tcPr>
          <w:p w14:paraId="08F17EB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hAnsiTheme="majorBidi" w:cstheme="majorBidi"/>
              </w:rPr>
              <w:t>&amp; ʃa Loy y eʃt deffenduë &amp; protégée</w:t>
            </w:r>
          </w:p>
        </w:tc>
        <w:tc>
          <w:tcPr>
            <w:tcW w:w="2646" w:type="dxa"/>
          </w:tcPr>
          <w:p w14:paraId="339701F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hAnsiTheme="majorBidi" w:cstheme="majorBidi"/>
              </w:rPr>
              <w:t>votre Protecteur</w:t>
            </w:r>
          </w:p>
        </w:tc>
      </w:tr>
      <w:tr w:rsidR="00A70B78" w:rsidRPr="007C6A42" w14:paraId="550046F0" w14:textId="77777777" w:rsidTr="00AF4FC9">
        <w:tc>
          <w:tcPr>
            <w:tcW w:w="1411" w:type="dxa"/>
          </w:tcPr>
          <w:p w14:paraId="34BEAE5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Sav.</w:t>
            </w:r>
            <w:r w:rsidRPr="007C6A42">
              <w:rPr>
                <w:rFonts w:asciiTheme="majorBidi" w:eastAsia="Calibri" w:hAnsiTheme="majorBidi" w:cstheme="majorBidi"/>
                <w:lang w:bidi="ar-AE"/>
              </w:rPr>
              <w:t xml:space="preserve"> (1782)</w:t>
            </w:r>
          </w:p>
        </w:tc>
        <w:tc>
          <w:tcPr>
            <w:tcW w:w="2750" w:type="dxa"/>
          </w:tcPr>
          <w:p w14:paraId="12334D39"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pour les défendre</w:t>
            </w:r>
          </w:p>
        </w:tc>
        <w:tc>
          <w:tcPr>
            <w:tcW w:w="3542" w:type="dxa"/>
          </w:tcPr>
          <w:p w14:paraId="552642B9"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protecteur</w:t>
            </w:r>
          </w:p>
        </w:tc>
        <w:tc>
          <w:tcPr>
            <w:tcW w:w="2646" w:type="dxa"/>
          </w:tcPr>
          <w:p w14:paraId="37DA83D5"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patron</w:t>
            </w:r>
          </w:p>
        </w:tc>
      </w:tr>
      <w:tr w:rsidR="00A70B78" w:rsidRPr="007C6A42" w14:paraId="67083B6B" w14:textId="77777777" w:rsidTr="00AF4FC9">
        <w:tc>
          <w:tcPr>
            <w:tcW w:w="1411" w:type="dxa"/>
          </w:tcPr>
          <w:p w14:paraId="06AE46BF"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p>
        </w:tc>
        <w:tc>
          <w:tcPr>
            <w:tcW w:w="2750" w:type="dxa"/>
          </w:tcPr>
          <w:p w14:paraId="66DCD3E4"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de les protéger</w:t>
            </w:r>
          </w:p>
        </w:tc>
        <w:tc>
          <w:tcPr>
            <w:tcW w:w="3542" w:type="dxa"/>
          </w:tcPr>
          <w:p w14:paraId="40B9CF1C" w14:textId="77777777" w:rsidR="00A70B78" w:rsidRPr="007C6A42" w:rsidRDefault="00A70B78" w:rsidP="00AF4FC9">
            <w:pPr>
              <w:spacing w:line="360" w:lineRule="auto"/>
              <w:ind w:right="113"/>
              <w:jc w:val="both"/>
              <w:rPr>
                <w:rFonts w:asciiTheme="majorBidi" w:eastAsia="Times New Roman" w:hAnsiTheme="majorBidi" w:cstheme="majorBidi"/>
                <w:rtl/>
              </w:rPr>
            </w:pPr>
            <w:r w:rsidRPr="007C6A42">
              <w:rPr>
                <w:rFonts w:asciiTheme="majorBidi" w:eastAsia="Times New Roman" w:hAnsiTheme="majorBidi" w:cstheme="majorBidi"/>
              </w:rPr>
              <w:t>protecteur</w:t>
            </w:r>
          </w:p>
        </w:tc>
        <w:tc>
          <w:tcPr>
            <w:tcW w:w="2646" w:type="dxa"/>
          </w:tcPr>
          <w:p w14:paraId="334B339F"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protecteur</w:t>
            </w:r>
          </w:p>
        </w:tc>
      </w:tr>
      <w:tr w:rsidR="00A70B78" w:rsidRPr="007C6A42" w14:paraId="5D9B8810" w14:textId="77777777" w:rsidTr="00AF4FC9">
        <w:tc>
          <w:tcPr>
            <w:tcW w:w="1411" w:type="dxa"/>
          </w:tcPr>
          <w:p w14:paraId="41DC5DD9"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 (1949)</w:t>
            </w:r>
          </w:p>
        </w:tc>
        <w:tc>
          <w:tcPr>
            <w:tcW w:w="2750" w:type="dxa"/>
          </w:tcPr>
          <w:p w14:paraId="3E092FD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pour les secourir</w:t>
            </w:r>
          </w:p>
        </w:tc>
        <w:tc>
          <w:tcPr>
            <w:tcW w:w="3542" w:type="dxa"/>
          </w:tcPr>
          <w:p w14:paraId="017D1510" w14:textId="77777777" w:rsidR="00A70B78" w:rsidRPr="007C6A42" w:rsidRDefault="00A70B78" w:rsidP="00AF4FC9">
            <w:pPr>
              <w:spacing w:line="360" w:lineRule="auto"/>
              <w:jc w:val="both"/>
              <w:rPr>
                <w:rFonts w:asciiTheme="majorBidi" w:eastAsia="Times New Roman" w:hAnsiTheme="majorBidi" w:cstheme="majorBidi"/>
                <w:iCs/>
              </w:rPr>
            </w:pPr>
            <w:r w:rsidRPr="007C6A42">
              <w:rPr>
                <w:rFonts w:asciiTheme="majorBidi" w:hAnsiTheme="majorBidi" w:cstheme="majorBidi"/>
                <w:iCs/>
              </w:rPr>
              <w:t>auxiliaire</w:t>
            </w:r>
          </w:p>
        </w:tc>
        <w:tc>
          <w:tcPr>
            <w:tcW w:w="2646" w:type="dxa"/>
          </w:tcPr>
          <w:p w14:paraId="369DC5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cet Auxiliaire</w:t>
            </w:r>
          </w:p>
        </w:tc>
      </w:tr>
      <w:tr w:rsidR="00A70B78" w:rsidRPr="007C6A42" w14:paraId="1FC346E4" w14:textId="77777777" w:rsidTr="00AF4FC9">
        <w:tc>
          <w:tcPr>
            <w:tcW w:w="1411" w:type="dxa"/>
          </w:tcPr>
          <w:p w14:paraId="32BFA4CE"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Ghéd.</w:t>
            </w:r>
            <w:r w:rsidRPr="007C6A42">
              <w:rPr>
                <w:rFonts w:asciiTheme="majorBidi" w:eastAsia="SimSun" w:hAnsiTheme="majorBidi" w:cstheme="majorBidi"/>
                <w:lang w:eastAsia="zh-CN"/>
              </w:rPr>
              <w:t xml:space="preserve"> (1957</w:t>
            </w:r>
            <w:r w:rsidRPr="007C6A42">
              <w:rPr>
                <w:rFonts w:asciiTheme="majorBidi" w:eastAsia="Calibri" w:hAnsiTheme="majorBidi" w:cstheme="majorBidi"/>
                <w:lang w:bidi="ar-AE"/>
              </w:rPr>
              <w:t>)</w:t>
            </w:r>
          </w:p>
        </w:tc>
        <w:tc>
          <w:tcPr>
            <w:tcW w:w="2750" w:type="dxa"/>
          </w:tcPr>
          <w:p w14:paraId="7D22484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 les assister</w:t>
            </w:r>
          </w:p>
        </w:tc>
        <w:tc>
          <w:tcPr>
            <w:tcW w:w="3542" w:type="dxa"/>
          </w:tcPr>
          <w:p w14:paraId="273AC22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protecteur</w:t>
            </w:r>
          </w:p>
        </w:tc>
        <w:tc>
          <w:tcPr>
            <w:tcW w:w="2646" w:type="dxa"/>
          </w:tcPr>
          <w:p w14:paraId="1437123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protecteur</w:t>
            </w:r>
          </w:p>
        </w:tc>
      </w:tr>
      <w:tr w:rsidR="00A70B78" w:rsidRPr="007C6A42" w14:paraId="0A1FBF50" w14:textId="77777777" w:rsidTr="00AF4FC9">
        <w:tc>
          <w:tcPr>
            <w:tcW w:w="1411" w:type="dxa"/>
          </w:tcPr>
          <w:p w14:paraId="21834A0F"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 (1959)</w:t>
            </w:r>
          </w:p>
        </w:tc>
        <w:tc>
          <w:tcPr>
            <w:tcW w:w="2750" w:type="dxa"/>
          </w:tcPr>
          <w:p w14:paraId="44BCE1E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 les secourir</w:t>
            </w:r>
          </w:p>
        </w:tc>
        <w:tc>
          <w:tcPr>
            <w:tcW w:w="3542" w:type="dxa"/>
          </w:tcPr>
          <w:p w14:paraId="1D32A3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secoureur</w:t>
            </w:r>
          </w:p>
        </w:tc>
        <w:tc>
          <w:tcPr>
            <w:tcW w:w="2646" w:type="dxa"/>
          </w:tcPr>
          <w:p w14:paraId="3AB343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secoureur</w:t>
            </w:r>
          </w:p>
        </w:tc>
      </w:tr>
      <w:tr w:rsidR="00A70B78" w:rsidRPr="007C6A42" w14:paraId="1AEA3A57" w14:textId="77777777" w:rsidTr="00AF4FC9">
        <w:tc>
          <w:tcPr>
            <w:tcW w:w="1411" w:type="dxa"/>
          </w:tcPr>
          <w:p w14:paraId="7EFB0A05"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Mass. (1967)</w:t>
            </w:r>
          </w:p>
        </w:tc>
        <w:tc>
          <w:tcPr>
            <w:tcW w:w="2750" w:type="dxa"/>
          </w:tcPr>
          <w:p w14:paraId="7FBC573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pour les secourir</w:t>
            </w:r>
          </w:p>
        </w:tc>
        <w:tc>
          <w:tcPr>
            <w:tcW w:w="3542" w:type="dxa"/>
          </w:tcPr>
          <w:p w14:paraId="776B3E2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ne secourt</w:t>
            </w:r>
          </w:p>
        </w:tc>
        <w:tc>
          <w:tcPr>
            <w:tcW w:w="2646" w:type="dxa"/>
          </w:tcPr>
          <w:p w14:paraId="683D837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un Défenseur</w:t>
            </w:r>
          </w:p>
        </w:tc>
      </w:tr>
      <w:tr w:rsidR="00A70B78" w:rsidRPr="007C6A42" w14:paraId="3F3F0EAA" w14:textId="77777777" w:rsidTr="00AF4FC9">
        <w:tc>
          <w:tcPr>
            <w:tcW w:w="1411" w:type="dxa"/>
          </w:tcPr>
          <w:p w14:paraId="26CCCC9C"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Gros. </w:t>
            </w:r>
            <w:r w:rsidRPr="007C6A42">
              <w:rPr>
                <w:rFonts w:asciiTheme="majorBidi" w:eastAsia="Times New Roman" w:hAnsiTheme="majorBidi" w:cstheme="majorBidi"/>
              </w:rPr>
              <w:lastRenderedPageBreak/>
              <w:t>(1972)</w:t>
            </w:r>
          </w:p>
        </w:tc>
        <w:tc>
          <w:tcPr>
            <w:tcW w:w="2750" w:type="dxa"/>
          </w:tcPr>
          <w:p w14:paraId="19D24E9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lastRenderedPageBreak/>
              <w:t>les secourir</w:t>
            </w:r>
          </w:p>
        </w:tc>
        <w:tc>
          <w:tcPr>
            <w:tcW w:w="3542" w:type="dxa"/>
          </w:tcPr>
          <w:p w14:paraId="341CFE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sans secours</w:t>
            </w:r>
          </w:p>
        </w:tc>
        <w:tc>
          <w:tcPr>
            <w:tcW w:w="2646" w:type="dxa"/>
          </w:tcPr>
          <w:p w14:paraId="576E585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recours</w:t>
            </w:r>
          </w:p>
        </w:tc>
      </w:tr>
      <w:tr w:rsidR="00A70B78" w:rsidRPr="007C6A42" w14:paraId="7E658E63" w14:textId="77777777" w:rsidTr="00AF4FC9">
        <w:tc>
          <w:tcPr>
            <w:tcW w:w="1411" w:type="dxa"/>
          </w:tcPr>
          <w:p w14:paraId="7122778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2750" w:type="dxa"/>
          </w:tcPr>
          <w:p w14:paraId="52508C3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rendre victorieux</w:t>
            </w:r>
          </w:p>
        </w:tc>
        <w:tc>
          <w:tcPr>
            <w:tcW w:w="3542" w:type="dxa"/>
          </w:tcPr>
          <w:p w14:paraId="771F5AA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appui</w:t>
            </w:r>
          </w:p>
        </w:tc>
        <w:tc>
          <w:tcPr>
            <w:tcW w:w="2646" w:type="dxa"/>
          </w:tcPr>
          <w:p w14:paraId="08E6194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plus ferme des soutiens</w:t>
            </w:r>
          </w:p>
        </w:tc>
      </w:tr>
      <w:tr w:rsidR="00A70B78" w:rsidRPr="007C6A42" w14:paraId="4D097307" w14:textId="77777777" w:rsidTr="00AF4FC9">
        <w:tc>
          <w:tcPr>
            <w:tcW w:w="1411" w:type="dxa"/>
          </w:tcPr>
          <w:p w14:paraId="19146FF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Berque (1990)</w:t>
            </w:r>
          </w:p>
        </w:tc>
        <w:tc>
          <w:tcPr>
            <w:tcW w:w="2750" w:type="dxa"/>
          </w:tcPr>
          <w:p w14:paraId="401918D9"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de les secourir</w:t>
            </w:r>
          </w:p>
        </w:tc>
        <w:tc>
          <w:tcPr>
            <w:tcW w:w="3542" w:type="dxa"/>
          </w:tcPr>
          <w:p w14:paraId="1DDB11C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secourant</w:t>
            </w:r>
          </w:p>
        </w:tc>
        <w:tc>
          <w:tcPr>
            <w:tcW w:w="2646" w:type="dxa"/>
          </w:tcPr>
          <w:p w14:paraId="7846BE8F"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Secourant</w:t>
            </w:r>
          </w:p>
        </w:tc>
      </w:tr>
      <w:tr w:rsidR="00A70B78" w:rsidRPr="007C6A42" w14:paraId="187A094C" w14:textId="77777777" w:rsidTr="00AF4FC9">
        <w:tc>
          <w:tcPr>
            <w:tcW w:w="1411" w:type="dxa"/>
          </w:tcPr>
          <w:p w14:paraId="7E8EAFC7"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2750" w:type="dxa"/>
          </w:tcPr>
          <w:p w14:paraId="42FA5623"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pour les délivrer</w:t>
            </w:r>
          </w:p>
        </w:tc>
        <w:tc>
          <w:tcPr>
            <w:tcW w:w="3542" w:type="dxa"/>
          </w:tcPr>
          <w:p w14:paraId="18C74579"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secours</w:t>
            </w:r>
          </w:p>
        </w:tc>
        <w:tc>
          <w:tcPr>
            <w:tcW w:w="2646" w:type="dxa"/>
          </w:tcPr>
          <w:p w14:paraId="2FC0F4BF"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le plus suave des secours</w:t>
            </w:r>
          </w:p>
        </w:tc>
      </w:tr>
      <w:tr w:rsidR="00A70B78" w:rsidRPr="007C6A42" w14:paraId="110A1697" w14:textId="77777777" w:rsidTr="00AF4FC9">
        <w:tc>
          <w:tcPr>
            <w:tcW w:w="1411" w:type="dxa"/>
          </w:tcPr>
          <w:p w14:paraId="1CC36E2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 (1999)</w:t>
            </w:r>
          </w:p>
        </w:tc>
        <w:tc>
          <w:tcPr>
            <w:tcW w:w="2750" w:type="dxa"/>
          </w:tcPr>
          <w:p w14:paraId="10654A8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 protéger</w:t>
            </w:r>
          </w:p>
        </w:tc>
        <w:tc>
          <w:tcPr>
            <w:tcW w:w="3542" w:type="dxa"/>
          </w:tcPr>
          <w:p w14:paraId="18E7C7C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Assistance</w:t>
            </w:r>
          </w:p>
        </w:tc>
        <w:tc>
          <w:tcPr>
            <w:tcW w:w="2646" w:type="dxa"/>
          </w:tcPr>
          <w:p w14:paraId="0EE8B8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protecteur</w:t>
            </w:r>
          </w:p>
        </w:tc>
      </w:tr>
      <w:tr w:rsidR="00A70B78" w:rsidRPr="007C6A42" w14:paraId="658FB9DC" w14:textId="77777777" w:rsidTr="00AF4FC9">
        <w:tc>
          <w:tcPr>
            <w:tcW w:w="1411" w:type="dxa"/>
          </w:tcPr>
          <w:p w14:paraId="4B1159D3"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2750" w:type="dxa"/>
          </w:tcPr>
          <w:p w14:paraId="73AFCB9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pour les secourir</w:t>
            </w:r>
          </w:p>
        </w:tc>
        <w:tc>
          <w:tcPr>
            <w:tcW w:w="3542" w:type="dxa"/>
          </w:tcPr>
          <w:p w14:paraId="3A234FA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secours</w:t>
            </w:r>
          </w:p>
        </w:tc>
        <w:tc>
          <w:tcPr>
            <w:tcW w:w="2646" w:type="dxa"/>
          </w:tcPr>
          <w:p w14:paraId="77B4939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Soutien</w:t>
            </w:r>
          </w:p>
        </w:tc>
      </w:tr>
      <w:tr w:rsidR="00A70B78" w:rsidRPr="007C6A42" w14:paraId="51CD9FE0" w14:textId="77777777" w:rsidTr="00AF4FC9">
        <w:tc>
          <w:tcPr>
            <w:tcW w:w="1411" w:type="dxa"/>
          </w:tcPr>
          <w:p w14:paraId="55DA263B"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Méd. (2001)</w:t>
            </w:r>
          </w:p>
        </w:tc>
        <w:tc>
          <w:tcPr>
            <w:tcW w:w="2750" w:type="dxa"/>
          </w:tcPr>
          <w:p w14:paraId="2CF98232"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les secourir</w:t>
            </w:r>
          </w:p>
        </w:tc>
        <w:tc>
          <w:tcPr>
            <w:tcW w:w="3542" w:type="dxa"/>
          </w:tcPr>
          <w:p w14:paraId="7B048D0E"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protecteur</w:t>
            </w:r>
          </w:p>
        </w:tc>
        <w:tc>
          <w:tcPr>
            <w:tcW w:w="2646" w:type="dxa"/>
          </w:tcPr>
          <w:p w14:paraId="78A44A91"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soutien</w:t>
            </w:r>
          </w:p>
        </w:tc>
      </w:tr>
      <w:tr w:rsidR="00A70B78" w:rsidRPr="007C6A42" w14:paraId="3074B8EF" w14:textId="77777777" w:rsidTr="00AF4FC9">
        <w:tc>
          <w:tcPr>
            <w:tcW w:w="1411" w:type="dxa"/>
          </w:tcPr>
          <w:p w14:paraId="587B3050"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2750" w:type="dxa"/>
          </w:tcPr>
          <w:p w14:paraId="08F94209"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pour leur donner victoire</w:t>
            </w:r>
          </w:p>
        </w:tc>
        <w:tc>
          <w:tcPr>
            <w:tcW w:w="3542" w:type="dxa"/>
          </w:tcPr>
          <w:p w14:paraId="5D6705FF"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partisans</w:t>
            </w:r>
          </w:p>
        </w:tc>
        <w:tc>
          <w:tcPr>
            <w:tcW w:w="2646" w:type="dxa"/>
          </w:tcPr>
          <w:p w14:paraId="545DE05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Partisan</w:t>
            </w:r>
          </w:p>
        </w:tc>
      </w:tr>
      <w:tr w:rsidR="00A70B78" w:rsidRPr="007C6A42" w14:paraId="565BEAD7" w14:textId="77777777" w:rsidTr="00AF4FC9">
        <w:tc>
          <w:tcPr>
            <w:tcW w:w="1411" w:type="dxa"/>
          </w:tcPr>
          <w:p w14:paraId="08E7734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 (2008)</w:t>
            </w:r>
          </w:p>
        </w:tc>
        <w:tc>
          <w:tcPr>
            <w:tcW w:w="2750" w:type="dxa"/>
          </w:tcPr>
          <w:p w14:paraId="323F3FF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pour les secourir</w:t>
            </w:r>
          </w:p>
        </w:tc>
        <w:tc>
          <w:tcPr>
            <w:tcW w:w="3542" w:type="dxa"/>
          </w:tcPr>
          <w:p w14:paraId="3F84DAC4"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secoureur</w:t>
            </w:r>
          </w:p>
        </w:tc>
        <w:tc>
          <w:tcPr>
            <w:tcW w:w="2646" w:type="dxa"/>
          </w:tcPr>
          <w:p w14:paraId="66C95F5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secoureur</w:t>
            </w:r>
          </w:p>
        </w:tc>
      </w:tr>
      <w:tr w:rsidR="00A70B78" w:rsidRPr="007C6A42" w14:paraId="3C8C342C" w14:textId="77777777" w:rsidTr="00AF4FC9">
        <w:tc>
          <w:tcPr>
            <w:tcW w:w="1411" w:type="dxa"/>
          </w:tcPr>
          <w:p w14:paraId="1F4D3092"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2750" w:type="dxa"/>
          </w:tcPr>
          <w:p w14:paraId="6F4D0B2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leur octroyer la victoire</w:t>
            </w:r>
          </w:p>
        </w:tc>
        <w:tc>
          <w:tcPr>
            <w:tcW w:w="3542" w:type="dxa"/>
          </w:tcPr>
          <w:p w14:paraId="79B2E21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appui</w:t>
            </w:r>
          </w:p>
        </w:tc>
        <w:tc>
          <w:tcPr>
            <w:tcW w:w="2646" w:type="dxa"/>
          </w:tcPr>
          <w:p w14:paraId="5E995CD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Soutien</w:t>
            </w:r>
          </w:p>
        </w:tc>
      </w:tr>
      <w:tr w:rsidR="00A70B78" w:rsidRPr="007C6A42" w14:paraId="32F4E295" w14:textId="77777777" w:rsidTr="00AF4FC9">
        <w:tc>
          <w:tcPr>
            <w:tcW w:w="1411" w:type="dxa"/>
          </w:tcPr>
          <w:p w14:paraId="69BA4410"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2750" w:type="dxa"/>
          </w:tcPr>
          <w:p w14:paraId="29D20FF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 les secourir</w:t>
            </w:r>
          </w:p>
        </w:tc>
        <w:tc>
          <w:tcPr>
            <w:tcW w:w="3542" w:type="dxa"/>
          </w:tcPr>
          <w:p w14:paraId="7ABBAE7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protecteur</w:t>
            </w:r>
          </w:p>
        </w:tc>
        <w:tc>
          <w:tcPr>
            <w:tcW w:w="2646" w:type="dxa"/>
          </w:tcPr>
          <w:p w14:paraId="0D2080A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défenseur</w:t>
            </w:r>
          </w:p>
        </w:tc>
      </w:tr>
    </w:tbl>
    <w:p w14:paraId="77A54C63"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1B705F23" w14:textId="77777777" w:rsidR="00A70B78" w:rsidRPr="007C6A42" w:rsidRDefault="00A70B78" w:rsidP="00A70B78">
      <w:pPr>
        <w:spacing w:line="360" w:lineRule="auto"/>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rPr>
        <w:t xml:space="preserve">Traduction de </w:t>
      </w:r>
      <w:r w:rsidRPr="007C6A42">
        <w:rPr>
          <w:rFonts w:asciiTheme="majorBidi" w:eastAsia="Times New Roman" w:hAnsiTheme="majorBidi" w:cstheme="majorBidi"/>
          <w:b/>
          <w:bCs/>
          <w:i/>
          <w:iCs/>
          <w:shd w:val="clear" w:color="auto" w:fill="FFFFFF"/>
          <w:lang w:bidi="ar-KW"/>
        </w:rPr>
        <w:t>ṣirāṭ al-ḥamīd</w:t>
      </w:r>
      <w:r w:rsidRPr="007C6A42">
        <w:rPr>
          <w:rFonts w:asciiTheme="majorBidi" w:eastAsia="Times New Roman" w:hAnsiTheme="majorBidi" w:cstheme="majorBidi"/>
          <w:b/>
          <w:bCs/>
          <w:shd w:val="clear" w:color="auto" w:fill="FFFFFF"/>
          <w:lang w:bidi="ar-KW"/>
        </w:rPr>
        <w:t xml:space="preserve"> (v. 24)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00A2BF48" w14:textId="77777777" w:rsidTr="00AF4FC9">
        <w:trPr>
          <w:jc w:val="center"/>
        </w:trPr>
        <w:tc>
          <w:tcPr>
            <w:tcW w:w="6604" w:type="dxa"/>
            <w:gridSpan w:val="2"/>
            <w:tcBorders>
              <w:top w:val="nil"/>
              <w:left w:val="single" w:sz="4" w:space="0" w:color="auto"/>
              <w:bottom w:val="single" w:sz="4" w:space="0" w:color="auto"/>
              <w:right w:val="single" w:sz="4" w:space="0" w:color="auto"/>
            </w:tcBorders>
          </w:tcPr>
          <w:p w14:paraId="40FE8E38" w14:textId="77777777" w:rsidR="00A70B78" w:rsidRPr="007C6A42" w:rsidRDefault="00A70B78" w:rsidP="00AF4FC9">
            <w:pPr>
              <w:bidi/>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tl/>
              </w:rPr>
              <w:t>"صِراط الحميد" (الحج، ٢٤)</w:t>
            </w:r>
          </w:p>
        </w:tc>
      </w:tr>
      <w:tr w:rsidR="00A70B78" w:rsidRPr="007C6A42" w14:paraId="0DB1BB7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E90E4D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17A7714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ʃon vnité</w:t>
            </w:r>
          </w:p>
        </w:tc>
      </w:tr>
      <w:tr w:rsidR="00A70B78" w:rsidRPr="007C6A42" w14:paraId="10D5C50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672663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1DC7B0C9"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le chemin du salut</w:t>
            </w:r>
          </w:p>
        </w:tc>
      </w:tr>
      <w:tr w:rsidR="00A70B78" w:rsidRPr="007C6A42" w14:paraId="5D1CE70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3F50F6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1B5D15E0"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le glorieux chemin</w:t>
            </w:r>
          </w:p>
        </w:tc>
      </w:tr>
      <w:tr w:rsidR="00A70B78" w:rsidRPr="007C6A42" w14:paraId="1AC30C1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8D8ABC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6B43954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la Voie du Digne de Louanges</w:t>
            </w:r>
          </w:p>
        </w:tc>
      </w:tr>
      <w:tr w:rsidR="00A70B78" w:rsidRPr="007C6A42" w14:paraId="11F49D0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7B4219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6479065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la Voie du Seigneur loué</w:t>
            </w:r>
          </w:p>
        </w:tc>
      </w:tr>
      <w:tr w:rsidR="00A70B78" w:rsidRPr="007C6A42" w14:paraId="594EC7C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0381D0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33BF9F4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chemin du Digne-de-Louange</w:t>
            </w:r>
          </w:p>
        </w:tc>
      </w:tr>
      <w:tr w:rsidR="00A70B78" w:rsidRPr="007C6A42" w14:paraId="527E3C8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53EF3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350D18D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chemin de la vraie gloire</w:t>
            </w:r>
          </w:p>
        </w:tc>
      </w:tr>
      <w:tr w:rsidR="00A70B78" w:rsidRPr="007C6A42" w14:paraId="7B5F0EB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FE5EEA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43003E3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chemin de celui qui est digne de louanges</w:t>
            </w:r>
          </w:p>
        </w:tc>
      </w:tr>
      <w:tr w:rsidR="00A70B78" w:rsidRPr="007C6A42" w14:paraId="430EFD6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8C409F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Gros. (1972)</w:t>
            </w:r>
          </w:p>
        </w:tc>
        <w:tc>
          <w:tcPr>
            <w:tcW w:w="4580" w:type="dxa"/>
            <w:tcBorders>
              <w:top w:val="single" w:sz="4" w:space="0" w:color="auto"/>
              <w:left w:val="single" w:sz="4" w:space="0" w:color="auto"/>
              <w:bottom w:val="single" w:sz="4" w:space="0" w:color="auto"/>
              <w:right w:val="single" w:sz="4" w:space="0" w:color="auto"/>
            </w:tcBorders>
          </w:tcPr>
          <w:p w14:paraId="63BF759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chemin de l’Admirable</w:t>
            </w:r>
          </w:p>
        </w:tc>
      </w:tr>
      <w:tr w:rsidR="00A70B78" w:rsidRPr="007C6A42" w14:paraId="71AC6AB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11CCA5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388C191E"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le chemin de la Désirance</w:t>
            </w:r>
          </w:p>
        </w:tc>
      </w:tr>
      <w:tr w:rsidR="00A70B78" w:rsidRPr="007C6A42" w14:paraId="0F274000"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7E87C28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393DB3CB"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 voie du Louangé</w:t>
            </w:r>
          </w:p>
        </w:tc>
      </w:tr>
      <w:tr w:rsidR="00A70B78" w:rsidRPr="007C6A42" w14:paraId="5354488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FCEFDE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72EEEF0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glorieux sentier</w:t>
            </w:r>
          </w:p>
        </w:tc>
      </w:tr>
      <w:tr w:rsidR="00A70B78" w:rsidRPr="007C6A42" w14:paraId="12C6030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36FB9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501D655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la Voie du Digne des louanges</w:t>
            </w:r>
          </w:p>
        </w:tc>
      </w:tr>
      <w:tr w:rsidR="00A70B78" w:rsidRPr="007C6A42" w14:paraId="45F69D1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16F6C3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3A96CB00"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le chemin du Digne des louanges</w:t>
            </w:r>
          </w:p>
        </w:tc>
      </w:tr>
      <w:tr w:rsidR="00A70B78" w:rsidRPr="007C6A42" w14:paraId="24990B5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0F61A6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1C5FDC7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le chemin du louable</w:t>
            </w:r>
          </w:p>
        </w:tc>
      </w:tr>
      <w:tr w:rsidR="00A70B78" w:rsidRPr="007C6A42" w14:paraId="00686E0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E558B4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52CC3DB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chemin digne de louanges</w:t>
            </w:r>
          </w:p>
        </w:tc>
      </w:tr>
      <w:tr w:rsidR="00A70B78" w:rsidRPr="007C6A42" w14:paraId="4FB4332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15290A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1784761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chemin du Tout-Louable</w:t>
            </w:r>
          </w:p>
        </w:tc>
      </w:tr>
      <w:tr w:rsidR="00A70B78" w:rsidRPr="007C6A42" w14:paraId="0AEDEB9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F1AC88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518C358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chemin de Celui qui est Digne de louanges</w:t>
            </w:r>
          </w:p>
        </w:tc>
      </w:tr>
    </w:tbl>
    <w:p w14:paraId="6472A849"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1DAEE278" w14:textId="77777777" w:rsidR="00A70B78" w:rsidRPr="007C6A42" w:rsidRDefault="00A70B78" w:rsidP="00A70B78">
      <w:pPr>
        <w:spacing w:line="360" w:lineRule="auto"/>
        <w:ind w:firstLine="720"/>
        <w:jc w:val="both"/>
        <w:rPr>
          <w:rFonts w:asciiTheme="majorBidi" w:eastAsia="Calibri" w:hAnsiTheme="majorBidi" w:cstheme="majorBidi"/>
        </w:rPr>
      </w:pPr>
      <w:r w:rsidRPr="007C6A42">
        <w:rPr>
          <w:rFonts w:asciiTheme="majorBidi" w:eastAsia="Times New Roman" w:hAnsiTheme="majorBidi" w:cstheme="majorBidi"/>
          <w:shd w:val="clear" w:color="auto" w:fill="FFFFFF"/>
          <w:lang w:bidi="ar-KW"/>
        </w:rPr>
        <w:t xml:space="preserve">Le </w:t>
      </w:r>
      <w:r w:rsidRPr="007C6A42">
        <w:rPr>
          <w:rFonts w:asciiTheme="majorBidi" w:eastAsia="Times New Roman" w:hAnsiTheme="majorBidi" w:cstheme="majorBidi"/>
          <w:i/>
          <w:iCs/>
          <w:shd w:val="clear" w:color="auto" w:fill="FFFFFF"/>
          <w:lang w:bidi="ar-KW"/>
        </w:rPr>
        <w:t>ṣirāṭ al-ḥamīd</w:t>
      </w:r>
      <w:r w:rsidRPr="007C6A42">
        <w:rPr>
          <w:rFonts w:asciiTheme="majorBidi" w:eastAsia="Times New Roman" w:hAnsiTheme="majorBidi" w:cstheme="majorBidi"/>
          <w:shd w:val="clear" w:color="auto" w:fill="FFFFFF"/>
          <w:lang w:bidi="ar-KW"/>
        </w:rPr>
        <w:t xml:space="preserve"> désigne principalement selon les exégètes : 1) la voie/le chemin de l’islam, du Paradis ou de Dieu ; 2) l’unicité de Dieu ; 3) les bonnes actions ; 4) </w:t>
      </w:r>
      <w:r w:rsidRPr="007C6A42">
        <w:rPr>
          <w:rFonts w:asciiTheme="majorBidi" w:eastAsia="Calibri" w:hAnsiTheme="majorBidi" w:cstheme="majorBidi"/>
        </w:rPr>
        <w:t>l’autorité religieuse (</w:t>
      </w:r>
      <w:r w:rsidRPr="007C6A42">
        <w:rPr>
          <w:rFonts w:asciiTheme="majorBidi" w:eastAsia="Calibri" w:hAnsiTheme="majorBidi" w:cstheme="majorBidi"/>
          <w:i/>
          <w:iCs/>
        </w:rPr>
        <w:t>walāya</w:t>
      </w:r>
      <w:r w:rsidRPr="007C6A42">
        <w:rPr>
          <w:rFonts w:asciiTheme="majorBidi" w:eastAsia="Calibri" w:hAnsiTheme="majorBidi" w:cstheme="majorBidi"/>
        </w:rPr>
        <w:t xml:space="preserve">) de ʿAlī Ibn Abī </w:t>
      </w:r>
      <w:r w:rsidRPr="007C6A42">
        <w:rPr>
          <w:rFonts w:asciiTheme="majorBidi" w:eastAsia="Calibri" w:hAnsiTheme="majorBidi" w:cstheme="majorBidi"/>
          <w:lang w:bidi="ar-AE"/>
        </w:rPr>
        <w:t>Ṭālib</w:t>
      </w:r>
      <w:r w:rsidRPr="007C6A42">
        <w:rPr>
          <w:rFonts w:asciiTheme="majorBidi" w:eastAsia="Calibri" w:hAnsiTheme="majorBidi" w:cstheme="majorBidi"/>
        </w:rPr>
        <w:t xml:space="preserve"> chez les chiites.</w:t>
      </w:r>
    </w:p>
    <w:p w14:paraId="5932E94A" w14:textId="77777777" w:rsidR="00A70B78" w:rsidRPr="007C6A42" w:rsidRDefault="00A70B78" w:rsidP="00A70B78">
      <w:pPr>
        <w:spacing w:line="360" w:lineRule="auto"/>
        <w:ind w:firstLine="720"/>
        <w:jc w:val="both"/>
        <w:rPr>
          <w:rFonts w:asciiTheme="majorBidi" w:eastAsia="Calibri" w:hAnsiTheme="majorBidi" w:cstheme="majorBidi"/>
        </w:rPr>
      </w:pPr>
      <w:r w:rsidRPr="007C6A42">
        <w:rPr>
          <w:rFonts w:asciiTheme="majorBidi" w:eastAsia="Calibri" w:hAnsiTheme="majorBidi" w:cstheme="majorBidi"/>
        </w:rPr>
        <w:t xml:space="preserve">À quel point les traducteurs ont-ils rendu les significations données par les exégèses ? Pour traduire le terme d’origine latine </w:t>
      </w:r>
      <w:r w:rsidRPr="007C6A42">
        <w:rPr>
          <w:rFonts w:asciiTheme="majorBidi" w:eastAsia="Times New Roman" w:hAnsiTheme="majorBidi" w:cstheme="majorBidi"/>
          <w:i/>
          <w:iCs/>
          <w:shd w:val="clear" w:color="auto" w:fill="FFFFFF"/>
          <w:lang w:bidi="ar-KW"/>
        </w:rPr>
        <w:t>ṣirāṭ</w:t>
      </w:r>
      <w:r w:rsidRPr="007C6A42">
        <w:rPr>
          <w:rFonts w:asciiTheme="majorBidi" w:eastAsia="Times New Roman" w:hAnsiTheme="majorBidi" w:cstheme="majorBidi"/>
          <w:shd w:val="clear" w:color="auto" w:fill="FFFFFF"/>
          <w:lang w:bidi="ar-KW"/>
        </w:rPr>
        <w:t>, c’est le mot « chemin » qui est le plus utilisé (12 fois). Le terme « voie » (maj. ou minus.) est utilisé quatre fois. Guessous a utilisé le mot « sentier » pour répondre à l’exigence de l’assonance. Du Ryer a traduit tout le syntagme d’annexion « </w:t>
      </w:r>
      <w:r w:rsidRPr="007C6A42">
        <w:rPr>
          <w:rFonts w:asciiTheme="majorBidi" w:eastAsia="Times New Roman" w:hAnsiTheme="majorBidi" w:cstheme="majorBidi"/>
          <w:i/>
          <w:iCs/>
          <w:shd w:val="clear" w:color="auto" w:fill="FFFFFF"/>
          <w:lang w:bidi="ar-KW"/>
        </w:rPr>
        <w:t>ṣirāṭ al-ḥamīd</w:t>
      </w:r>
      <w:r w:rsidRPr="007C6A42">
        <w:rPr>
          <w:rFonts w:asciiTheme="majorBidi" w:eastAsia="Times New Roman" w:hAnsiTheme="majorBidi" w:cstheme="majorBidi"/>
          <w:shd w:val="clear" w:color="auto" w:fill="FFFFFF"/>
          <w:lang w:bidi="ar-KW"/>
        </w:rPr>
        <w:t> » par un seul mot « son unité » et met ainsi en exergue la signification exégétique qui souligne l’unicité de Dieu.</w:t>
      </w:r>
    </w:p>
    <w:p w14:paraId="112C919B"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Toutefois, aucune traduction ne rend l’image </w:t>
      </w:r>
      <w:r w:rsidRPr="007C6A42">
        <w:rPr>
          <w:rFonts w:asciiTheme="majorBidi" w:eastAsia="Times New Roman" w:hAnsiTheme="majorBidi" w:cstheme="majorBidi"/>
        </w:rPr>
        <w:t xml:space="preserve">iconique, sonore et théologique du terme </w:t>
      </w:r>
      <w:r w:rsidRPr="007C6A42">
        <w:rPr>
          <w:rFonts w:asciiTheme="majorBidi" w:eastAsia="Times New Roman" w:hAnsiTheme="majorBidi" w:cstheme="majorBidi"/>
          <w:i/>
          <w:iCs/>
          <w:shd w:val="clear" w:color="auto" w:fill="FFFFFF"/>
          <w:lang w:bidi="ar-KW"/>
        </w:rPr>
        <w:t>ṣirāṭ</w:t>
      </w:r>
      <w:r w:rsidRPr="007C6A42">
        <w:rPr>
          <w:rFonts w:asciiTheme="majorBidi" w:eastAsia="Times New Roman" w:hAnsiTheme="majorBidi" w:cstheme="majorBidi"/>
          <w:shd w:val="clear" w:color="auto" w:fill="FFFFFF"/>
          <w:lang w:bidi="ar-KW"/>
        </w:rPr>
        <w:t xml:space="preserve"> (ou </w:t>
      </w:r>
      <w:r w:rsidRPr="007C6A42">
        <w:rPr>
          <w:rFonts w:asciiTheme="majorBidi" w:eastAsia="Times New Roman" w:hAnsiTheme="majorBidi" w:cstheme="majorBidi"/>
          <w:i/>
          <w:iCs/>
          <w:shd w:val="clear" w:color="auto" w:fill="FFFFFF"/>
          <w:lang w:bidi="ar-KW"/>
        </w:rPr>
        <w:t>sirāṭ</w:t>
      </w:r>
      <w:r w:rsidRPr="007C6A42">
        <w:rPr>
          <w:rFonts w:asciiTheme="majorBidi" w:eastAsia="Times New Roman" w:hAnsiTheme="majorBidi" w:cstheme="majorBidi"/>
          <w:shd w:val="clear" w:color="auto" w:fill="FFFFFF"/>
          <w:lang w:bidi="ar-KW"/>
        </w:rPr>
        <w:t>)</w:t>
      </w:r>
      <w:r w:rsidRPr="007C6A42">
        <w:rPr>
          <w:rFonts w:asciiTheme="majorBidi" w:eastAsia="Times New Roman" w:hAnsiTheme="majorBidi" w:cstheme="majorBidi"/>
        </w:rPr>
        <w:t xml:space="preserve">. Car, devenu religieux, ce terme </w:t>
      </w:r>
      <w:r w:rsidRPr="007C6A42">
        <w:rPr>
          <w:rFonts w:asciiTheme="majorBidi" w:eastAsia="Times New Roman" w:hAnsiTheme="majorBidi" w:cstheme="majorBidi"/>
          <w:shd w:val="clear" w:color="auto" w:fill="FFFFFF"/>
          <w:lang w:bidi="ar-KW"/>
        </w:rPr>
        <w:t xml:space="preserve">désigne une voie </w:t>
      </w:r>
      <w:r w:rsidRPr="007C6A42">
        <w:rPr>
          <w:rFonts w:asciiTheme="majorBidi" w:eastAsia="Times New Roman" w:hAnsiTheme="majorBidi" w:cstheme="majorBidi"/>
          <w:i/>
          <w:iCs/>
          <w:shd w:val="clear" w:color="auto" w:fill="FFFFFF"/>
          <w:lang w:bidi="ar-KW"/>
        </w:rPr>
        <w:t>claire</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shd w:val="clear" w:color="auto" w:fill="FFFFFF"/>
        </w:rPr>
        <w:t xml:space="preserve">une méthode </w:t>
      </w:r>
      <w:r w:rsidRPr="007C6A42">
        <w:rPr>
          <w:rFonts w:asciiTheme="majorBidi" w:eastAsia="Times New Roman" w:hAnsiTheme="majorBidi" w:cstheme="majorBidi"/>
          <w:i/>
          <w:iCs/>
          <w:shd w:val="clear" w:color="auto" w:fill="FFFFFF"/>
        </w:rPr>
        <w:t>claire</w:t>
      </w:r>
      <w:r w:rsidRPr="007C6A42">
        <w:rPr>
          <w:rStyle w:val="Appelnotedebasdep"/>
          <w:rFonts w:asciiTheme="majorBidi" w:hAnsiTheme="majorBidi" w:cstheme="majorBidi"/>
        </w:rPr>
        <w:footnoteReference w:id="509"/>
      </w:r>
      <w:r w:rsidRPr="007C6A42">
        <w:rPr>
          <w:rFonts w:asciiTheme="majorBidi" w:eastAsia="Times New Roman" w:hAnsiTheme="majorBidi" w:cstheme="majorBidi"/>
        </w:rPr>
        <w:t xml:space="preserve"> </w:t>
      </w:r>
      <w:r w:rsidRPr="007C6A42">
        <w:rPr>
          <w:rFonts w:asciiTheme="majorBidi" w:eastAsia="Times New Roman" w:hAnsiTheme="majorBidi" w:cstheme="majorBidi"/>
          <w:shd w:val="clear" w:color="auto" w:fill="FFFFFF"/>
        </w:rPr>
        <w:t>et connote souvent l’islam.</w:t>
      </w:r>
      <w:r w:rsidRPr="007C6A42">
        <w:rPr>
          <w:rFonts w:asciiTheme="majorBidi" w:eastAsia="Times New Roman" w:hAnsiTheme="majorBidi" w:cstheme="majorBidi"/>
          <w:shd w:val="clear" w:color="auto" w:fill="FFFFFF"/>
          <w:lang w:bidi="ar-KW"/>
        </w:rPr>
        <w:t xml:space="preserve"> Alors que « </w:t>
      </w:r>
      <w:r w:rsidRPr="007C6A42">
        <w:rPr>
          <w:rFonts w:asciiTheme="majorBidi" w:eastAsia="Times New Roman" w:hAnsiTheme="majorBidi" w:cstheme="majorBidi"/>
          <w:shd w:val="clear" w:color="auto" w:fill="FFFFFF"/>
        </w:rPr>
        <w:t>Le mot de</w:t>
      </w:r>
      <w:r w:rsidRPr="007C6A42">
        <w:rPr>
          <w:rStyle w:val="apple-converted-space"/>
          <w:rFonts w:asciiTheme="majorBidi" w:hAnsiTheme="majorBidi" w:cstheme="majorBidi"/>
          <w:shd w:val="clear" w:color="auto" w:fill="FFFFFF"/>
        </w:rPr>
        <w:t> </w:t>
      </w:r>
      <w:r w:rsidRPr="007C6A42">
        <w:rPr>
          <w:rFonts w:asciiTheme="majorBidi" w:eastAsia="Times New Roman" w:hAnsiTheme="majorBidi" w:cstheme="majorBidi"/>
          <w:i/>
          <w:iCs/>
        </w:rPr>
        <w:t>voie</w:t>
      </w:r>
      <w:r w:rsidRPr="007C6A42">
        <w:rPr>
          <w:rStyle w:val="apple-converted-space"/>
          <w:rFonts w:asciiTheme="majorBidi" w:hAnsiTheme="majorBidi" w:cstheme="majorBidi"/>
          <w:shd w:val="clear" w:color="auto" w:fill="FFFFFF"/>
        </w:rPr>
        <w:t> </w:t>
      </w:r>
      <w:r w:rsidRPr="007C6A42">
        <w:rPr>
          <w:rFonts w:asciiTheme="majorBidi" w:eastAsia="Times New Roman" w:hAnsiTheme="majorBidi" w:cstheme="majorBidi"/>
          <w:shd w:val="clear" w:color="auto" w:fill="FFFFFF"/>
        </w:rPr>
        <w:t>marque une conduite certaine vers le lieu dont il est question […]. Le mot de</w:t>
      </w:r>
      <w:r w:rsidRPr="007C6A42">
        <w:rPr>
          <w:rStyle w:val="apple-converted-space"/>
          <w:rFonts w:asciiTheme="majorBidi" w:hAnsiTheme="majorBidi" w:cstheme="majorBidi"/>
          <w:shd w:val="clear" w:color="auto" w:fill="FFFFFF"/>
        </w:rPr>
        <w:t> </w:t>
      </w:r>
      <w:r w:rsidRPr="007C6A42">
        <w:rPr>
          <w:rFonts w:asciiTheme="majorBidi" w:eastAsia="Times New Roman" w:hAnsiTheme="majorBidi" w:cstheme="majorBidi"/>
          <w:i/>
          <w:iCs/>
        </w:rPr>
        <w:t>chemin</w:t>
      </w:r>
      <w:r w:rsidRPr="007C6A42">
        <w:rPr>
          <w:rStyle w:val="apple-converted-space"/>
          <w:rFonts w:asciiTheme="majorBidi" w:hAnsiTheme="majorBidi" w:cstheme="majorBidi"/>
          <w:shd w:val="clear" w:color="auto" w:fill="FFFFFF"/>
        </w:rPr>
        <w:t> </w:t>
      </w:r>
      <w:r w:rsidRPr="007C6A42">
        <w:rPr>
          <w:rFonts w:asciiTheme="majorBidi" w:eastAsia="Times New Roman" w:hAnsiTheme="majorBidi" w:cstheme="majorBidi"/>
          <w:shd w:val="clear" w:color="auto" w:fill="FFFFFF"/>
        </w:rPr>
        <w:t>signifie précisément le terrain qu’on suit</w:t>
      </w:r>
      <w:r w:rsidRPr="007C6A42">
        <w:rPr>
          <w:rFonts w:asciiTheme="majorBidi" w:eastAsia="Times New Roman" w:hAnsiTheme="majorBidi" w:cstheme="majorBidi"/>
        </w:rPr>
        <w:t> »</w:t>
      </w:r>
      <w:r w:rsidRPr="007C6A42">
        <w:rPr>
          <w:rStyle w:val="Appelnotedebasdep"/>
          <w:rFonts w:asciiTheme="majorBidi" w:hAnsiTheme="majorBidi" w:cstheme="majorBidi"/>
        </w:rPr>
        <w:footnoteReference w:id="510"/>
      </w:r>
      <w:r w:rsidRPr="007C6A42">
        <w:rPr>
          <w:rFonts w:asciiTheme="majorBidi" w:eastAsia="Times New Roman" w:hAnsiTheme="majorBidi" w:cstheme="majorBidi"/>
        </w:rPr>
        <w:t xml:space="preserve">. La voie </w:t>
      </w:r>
      <w:r w:rsidRPr="007C6A42">
        <w:rPr>
          <w:rFonts w:asciiTheme="majorBidi" w:eastAsia="Times New Roman" w:hAnsiTheme="majorBidi" w:cstheme="majorBidi"/>
        </w:rPr>
        <w:lastRenderedPageBreak/>
        <w:t xml:space="preserve">est </w:t>
      </w:r>
      <w:r w:rsidRPr="007C6A42">
        <w:rPr>
          <w:rFonts w:asciiTheme="majorBidi" w:eastAsia="Times New Roman" w:hAnsiTheme="majorBidi" w:cstheme="majorBidi"/>
          <w:shd w:val="clear" w:color="auto" w:fill="FFFFFF"/>
          <w:lang w:bidi="ar-KW"/>
        </w:rPr>
        <w:t>« </w:t>
      </w:r>
      <w:r w:rsidRPr="007C6A42">
        <w:rPr>
          <w:rFonts w:asciiTheme="majorBidi" w:eastAsia="Times New Roman" w:hAnsiTheme="majorBidi" w:cstheme="majorBidi"/>
          <w:shd w:val="clear" w:color="auto" w:fill="FFFFFF"/>
        </w:rPr>
        <w:t>tout ce qui mène, permet d’aller d’un endroit à un autre »</w:t>
      </w:r>
      <w:r w:rsidRPr="007C6A42">
        <w:rPr>
          <w:rStyle w:val="Appelnotedebasdep"/>
          <w:rFonts w:asciiTheme="majorBidi" w:hAnsiTheme="majorBidi" w:cstheme="majorBidi"/>
        </w:rPr>
        <w:footnoteReference w:id="511"/>
      </w:r>
      <w:r w:rsidRPr="007C6A42">
        <w:rPr>
          <w:rFonts w:asciiTheme="majorBidi" w:eastAsia="Times New Roman" w:hAnsiTheme="majorBidi" w:cstheme="majorBidi"/>
          <w:shd w:val="clear" w:color="auto" w:fill="FFFFFF"/>
        </w:rPr>
        <w:t>. Le chemin est une « voie de terre, route établie pour mener d’un lieu à un autre »</w:t>
      </w:r>
      <w:r w:rsidRPr="007C6A42">
        <w:rPr>
          <w:rStyle w:val="Appelnotedebasdep"/>
          <w:rFonts w:asciiTheme="majorBidi" w:hAnsiTheme="majorBidi" w:cstheme="majorBidi"/>
        </w:rPr>
        <w:footnoteReference w:id="512"/>
      </w:r>
      <w:r w:rsidRPr="007C6A42">
        <w:rPr>
          <w:rFonts w:asciiTheme="majorBidi" w:eastAsia="Times New Roman" w:hAnsiTheme="majorBidi" w:cstheme="majorBidi"/>
          <w:shd w:val="clear" w:color="auto" w:fill="FFFFFF"/>
        </w:rPr>
        <w:t>.</w:t>
      </w:r>
    </w:p>
    <w:p w14:paraId="75DA92FD" w14:textId="77777777" w:rsidR="00A70B78" w:rsidRPr="007C6A42" w:rsidRDefault="00A70B78" w:rsidP="00A70B78">
      <w:pPr>
        <w:spacing w:line="360" w:lineRule="auto"/>
        <w:jc w:val="both"/>
        <w:rPr>
          <w:rFonts w:asciiTheme="majorBidi" w:eastAsia="Times New Roman" w:hAnsiTheme="majorBidi" w:cstheme="majorBidi"/>
        </w:rPr>
      </w:pPr>
    </w:p>
    <w:p w14:paraId="5D45F024" w14:textId="77777777" w:rsidR="00A70B78" w:rsidRPr="007C6A42" w:rsidRDefault="00A70B78" w:rsidP="00A70B78">
      <w:pPr>
        <w:spacing w:line="360" w:lineRule="auto"/>
        <w:ind w:firstLine="720"/>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Quant au complément du nom </w:t>
      </w:r>
      <w:r w:rsidRPr="007C6A42">
        <w:rPr>
          <w:rFonts w:asciiTheme="majorBidi" w:eastAsia="Times New Roman" w:hAnsiTheme="majorBidi" w:cstheme="majorBidi"/>
          <w:i/>
          <w:iCs/>
          <w:shd w:val="clear" w:color="auto" w:fill="FFFFFF"/>
          <w:lang w:bidi="ar-KW"/>
        </w:rPr>
        <w:t>al-ḥamīd</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rPr>
        <w:t>un nom</w:t>
      </w:r>
      <w:r w:rsidRPr="007C6A42">
        <w:rPr>
          <w:rFonts w:asciiTheme="majorBidi" w:eastAsia="Times New Roman" w:hAnsiTheme="majorBidi" w:cstheme="majorBidi"/>
          <w:shd w:val="clear" w:color="auto" w:fill="FFFFFF"/>
          <w:lang w:bidi="ar-KW"/>
        </w:rPr>
        <w:t xml:space="preserve"> de Dieu signifiant : « exalté par Soi-Même et par Ses créatures », il est souvent traduit par un terme ayant trait au louange et désignant Dieu : « le Digne de Louanges » (ou « le Digne-de-Louange », « le Digne des louanges »), « le Seigneur loué », « celui qui est digne de louanges » (ou « Celui qui est Digne de louanges »), « le Louangé », « le louable », « le Tout-Louable ».</w:t>
      </w:r>
    </w:p>
    <w:p w14:paraId="5F1A7536" w14:textId="77777777" w:rsidR="00A70B78" w:rsidRPr="007C6A42" w:rsidRDefault="00A70B78" w:rsidP="00A70B78">
      <w:pPr>
        <w:spacing w:line="360" w:lineRule="auto"/>
        <w:ind w:firstLine="720"/>
        <w:contextualSpacing/>
        <w:jc w:val="both"/>
        <w:rPr>
          <w:rFonts w:asciiTheme="majorBidi" w:eastAsia="Times New Roman" w:hAnsiTheme="majorBidi" w:cstheme="majorBidi"/>
          <w:shd w:val="clear" w:color="auto" w:fill="FFFFFF"/>
        </w:rPr>
      </w:pPr>
      <w:r w:rsidRPr="007C6A42">
        <w:rPr>
          <w:rFonts w:asciiTheme="majorBidi" w:eastAsia="Times New Roman" w:hAnsiTheme="majorBidi" w:cstheme="majorBidi"/>
          <w:shd w:val="clear" w:color="auto" w:fill="FFFFFF"/>
          <w:lang w:bidi="ar-KW"/>
        </w:rPr>
        <w:t xml:space="preserve">Mais Chebel utilise le syntagme « digne de louanges » comme un adjectif épithète du « chemin » et pas comme un nom de Dieu. Pour lui, et contrairement à l’exégèse, c’est le chemin qui mérite d’être glorifié, alors que selon le texte c’est Dieu qui est digne de louanges et non pas le chemin, car du point de vue grammatical le syntagme arabe </w:t>
      </w:r>
      <w:r w:rsidRPr="007C6A42">
        <w:rPr>
          <w:rFonts w:asciiTheme="majorBidi" w:eastAsia="Times New Roman" w:hAnsiTheme="majorBidi" w:cstheme="majorBidi"/>
          <w:i/>
          <w:iCs/>
          <w:shd w:val="clear" w:color="auto" w:fill="FFFFFF"/>
          <w:lang w:bidi="ar-KW"/>
        </w:rPr>
        <w:t>ṣirāṭ al-ḥamīd</w:t>
      </w:r>
      <w:r w:rsidRPr="007C6A42">
        <w:rPr>
          <w:rFonts w:asciiTheme="majorBidi" w:eastAsia="Times New Roman" w:hAnsiTheme="majorBidi" w:cstheme="majorBidi"/>
          <w:shd w:val="clear" w:color="auto" w:fill="FFFFFF"/>
          <w:lang w:bidi="ar-KW"/>
        </w:rPr>
        <w:t xml:space="preserve"> est une annexion (signifiant : « la voie du Louangé ») et pas un syntagme adjectival.</w:t>
      </w:r>
    </w:p>
    <w:p w14:paraId="150F742F" w14:textId="77777777" w:rsidR="00A70B78" w:rsidRPr="007C6A42" w:rsidRDefault="00A70B78" w:rsidP="00A70B78">
      <w:pPr>
        <w:spacing w:line="360" w:lineRule="auto"/>
        <w:ind w:firstLine="720"/>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De même, Kazimirski et Guessous ont utilisé l’épithète « glorieux » pour qualifier le </w:t>
      </w:r>
      <w:r w:rsidRPr="007C6A42">
        <w:rPr>
          <w:rFonts w:asciiTheme="majorBidi" w:eastAsia="Times New Roman" w:hAnsiTheme="majorBidi" w:cstheme="majorBidi"/>
          <w:i/>
          <w:iCs/>
          <w:shd w:val="clear" w:color="auto" w:fill="FFFFFF"/>
          <w:lang w:bidi="ar-KW"/>
        </w:rPr>
        <w:t>ṣirāṭ </w:t>
      </w:r>
      <w:r w:rsidRPr="007C6A42">
        <w:rPr>
          <w:rFonts w:asciiTheme="majorBidi" w:eastAsia="Times New Roman" w:hAnsiTheme="majorBidi" w:cstheme="majorBidi"/>
          <w:shd w:val="clear" w:color="auto" w:fill="FFFFFF"/>
          <w:lang w:bidi="ar-KW"/>
        </w:rPr>
        <w:t>: « l</w:t>
      </w:r>
      <w:r w:rsidRPr="007C6A42">
        <w:rPr>
          <w:rFonts w:asciiTheme="majorBidi" w:eastAsia="Times New Roman" w:hAnsiTheme="majorBidi" w:cstheme="majorBidi"/>
        </w:rPr>
        <w:t>e glorieux chemin », « </w:t>
      </w:r>
      <w:r w:rsidRPr="007C6A42">
        <w:rPr>
          <w:rFonts w:asciiTheme="majorBidi" w:hAnsiTheme="majorBidi" w:cstheme="majorBidi"/>
        </w:rPr>
        <w:t>le glorieux sentier ». Ils ont ainsi supprimé le nom de Dieu et toute la richesse y afférente et ajouté un adjectif dithyrambique, élogieux qui n’existe pas dans le texte arabe. En outre, le choix de cette épithète nous fait penser à un autre nom de Dieu : « </w:t>
      </w:r>
      <w:r w:rsidRPr="007C6A42">
        <w:rPr>
          <w:rFonts w:asciiTheme="majorBidi" w:hAnsiTheme="majorBidi" w:cstheme="majorBidi"/>
          <w:i/>
          <w:iCs/>
        </w:rPr>
        <w:t>Al-Majīd</w:t>
      </w:r>
      <w:r w:rsidRPr="007C6A42">
        <w:rPr>
          <w:rFonts w:asciiTheme="majorBidi" w:hAnsiTheme="majorBidi" w:cstheme="majorBidi"/>
        </w:rPr>
        <w:t xml:space="preserve"> » [Le Glorieux] différent de </w:t>
      </w:r>
      <w:r w:rsidRPr="007C6A42">
        <w:rPr>
          <w:rFonts w:asciiTheme="majorBidi" w:eastAsia="Times New Roman" w:hAnsiTheme="majorBidi" w:cstheme="majorBidi"/>
          <w:i/>
          <w:iCs/>
          <w:shd w:val="clear" w:color="auto" w:fill="FFFFFF"/>
          <w:lang w:bidi="ar-KW"/>
        </w:rPr>
        <w:t>al-ḥamīd</w:t>
      </w:r>
      <w:r w:rsidRPr="007C6A42">
        <w:rPr>
          <w:rFonts w:asciiTheme="majorBidi" w:hAnsiTheme="majorBidi" w:cstheme="majorBidi"/>
        </w:rPr>
        <w:t>.</w:t>
      </w:r>
    </w:p>
    <w:p w14:paraId="0CE8E134"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Savary, Ben Mahmoud, Grosjean et Chouraqui ont donné une traduction étrange pour </w:t>
      </w:r>
      <w:r w:rsidRPr="007C6A42">
        <w:rPr>
          <w:rFonts w:asciiTheme="majorBidi" w:eastAsia="Times New Roman" w:hAnsiTheme="majorBidi" w:cstheme="majorBidi"/>
          <w:i/>
          <w:iCs/>
          <w:shd w:val="clear" w:color="auto" w:fill="FFFFFF"/>
          <w:lang w:bidi="ar-KW"/>
        </w:rPr>
        <w:t>al-ḥamīd</w:t>
      </w:r>
      <w:r w:rsidRPr="007C6A42">
        <w:rPr>
          <w:rFonts w:asciiTheme="majorBidi" w:eastAsia="Times New Roman" w:hAnsiTheme="majorBidi" w:cstheme="majorBidi"/>
          <w:shd w:val="clear" w:color="auto" w:fill="FFFFFF"/>
          <w:lang w:bidi="ar-KW"/>
        </w:rPr>
        <w:t xml:space="preserve"> s’écartant ainsi du sens aussi bien exégétique que lexical. Savary a traduit cet adjectif par le substantif « le salut », un terme désignant un concept chrétien qui consiste dans le fait d’être délivré de l’état de péché et de souffrance, et d’échapper à la damnation. Il n’y a aucune allusion à cette idée dans le texte de départ. Un tel choix qui semble banal constitue un dérapage dans la traduction.</w:t>
      </w:r>
    </w:p>
    <w:p w14:paraId="5D144F39"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p>
    <w:p w14:paraId="6F30148C"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Grosjean a rendu </w:t>
      </w:r>
      <w:r w:rsidRPr="007C6A42">
        <w:rPr>
          <w:rFonts w:asciiTheme="majorBidi" w:eastAsia="Times New Roman" w:hAnsiTheme="majorBidi" w:cstheme="majorBidi"/>
          <w:i/>
          <w:iCs/>
          <w:shd w:val="clear" w:color="auto" w:fill="FFFFFF"/>
          <w:lang w:bidi="ar-KW"/>
        </w:rPr>
        <w:t>al-ḥamīd</w:t>
      </w:r>
      <w:r w:rsidRPr="007C6A42">
        <w:rPr>
          <w:rFonts w:asciiTheme="majorBidi" w:eastAsia="Times New Roman" w:hAnsiTheme="majorBidi" w:cstheme="majorBidi"/>
          <w:shd w:val="clear" w:color="auto" w:fill="FFFFFF"/>
          <w:lang w:bidi="ar-KW"/>
        </w:rPr>
        <w:t xml:space="preserve"> par « l’Admirable », un terme mélioratif, laudatif. </w:t>
      </w:r>
      <w:r w:rsidRPr="007C6A42">
        <w:rPr>
          <w:rFonts w:asciiTheme="majorBidi" w:eastAsia="Times New Roman" w:hAnsiTheme="majorBidi" w:cstheme="majorBidi"/>
          <w:shd w:val="clear" w:color="auto" w:fill="FFFFFF"/>
        </w:rPr>
        <w:t xml:space="preserve">Ici on remarque la tendance exagérative qui consiste </w:t>
      </w:r>
      <w:r w:rsidRPr="007C6A42">
        <w:rPr>
          <w:rFonts w:asciiTheme="majorBidi" w:hAnsiTheme="majorBidi" w:cstheme="majorBidi"/>
          <w:lang w:eastAsia="fr-CH"/>
        </w:rPr>
        <w:t>à augmenter le degré.</w:t>
      </w:r>
      <w:r w:rsidRPr="007C6A42">
        <w:rPr>
          <w:rFonts w:asciiTheme="majorBidi" w:eastAsia="Times New Roman" w:hAnsiTheme="majorBidi" w:cstheme="majorBidi"/>
          <w:shd w:val="clear" w:color="auto" w:fill="FFFFFF"/>
        </w:rPr>
        <w:t xml:space="preserve"> </w:t>
      </w:r>
      <w:r w:rsidRPr="007C6A42">
        <w:rPr>
          <w:rFonts w:asciiTheme="majorBidi" w:eastAsia="Times New Roman" w:hAnsiTheme="majorBidi" w:cstheme="majorBidi"/>
          <w:shd w:val="clear" w:color="auto" w:fill="FFFFFF"/>
          <w:lang w:bidi="ar-KW"/>
        </w:rPr>
        <w:t xml:space="preserve">Ben Mahmoud a allongé sa traduction (« la vraie gloire ») en ajoutant l’adjectif « vraie » qui porte un jugement. En outre, il </w:t>
      </w:r>
      <w:r w:rsidRPr="007C6A42">
        <w:rPr>
          <w:rFonts w:asciiTheme="majorBidi" w:eastAsia="Times New Roman" w:hAnsiTheme="majorBidi" w:cstheme="majorBidi"/>
          <w:shd w:val="clear" w:color="auto" w:fill="FFFFFF"/>
          <w:lang w:bidi="ar-KW"/>
        </w:rPr>
        <w:lastRenderedPageBreak/>
        <w:t xml:space="preserve">a utilisé le terme « gloire » de </w:t>
      </w:r>
      <w:r w:rsidRPr="007C6A42">
        <w:rPr>
          <w:rFonts w:asciiTheme="majorBidi" w:eastAsia="Times New Roman" w:hAnsiTheme="majorBidi" w:cstheme="majorBidi"/>
          <w:shd w:val="clear" w:color="auto" w:fill="FFFFFF"/>
        </w:rPr>
        <w:t xml:space="preserve">saveur chrétienne. </w:t>
      </w:r>
      <w:r w:rsidRPr="007C6A42">
        <w:rPr>
          <w:rFonts w:asciiTheme="majorBidi" w:eastAsia="Times New Roman" w:hAnsiTheme="majorBidi" w:cstheme="majorBidi"/>
          <w:shd w:val="clear" w:color="auto" w:fill="FFFFFF"/>
          <w:lang w:bidi="ar-KW"/>
        </w:rPr>
        <w:t>Le terme de (« la Désirance ») choisi par Chouraqui par le truchement de la racine hébraïque n’a aucun rapport avec le mot arabe.</w:t>
      </w:r>
    </w:p>
    <w:p w14:paraId="22912CB5"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366CDA52" w14:textId="77777777" w:rsidR="00A70B78" w:rsidRPr="007C6A42" w:rsidRDefault="00A70B78" w:rsidP="00A70B78">
      <w:pPr>
        <w:spacing w:line="360" w:lineRule="auto"/>
        <w:ind w:firstLine="720"/>
        <w:jc w:val="both"/>
        <w:rPr>
          <w:rFonts w:asciiTheme="majorBidi" w:eastAsia="Calibri" w:hAnsiTheme="majorBidi" w:cstheme="majorBidi"/>
        </w:rPr>
      </w:pPr>
      <w:r w:rsidRPr="007C6A42">
        <w:rPr>
          <w:rFonts w:asciiTheme="majorBidi" w:eastAsia="Times New Roman" w:hAnsiTheme="majorBidi" w:cstheme="majorBidi"/>
          <w:shd w:val="clear" w:color="auto" w:fill="FFFFFF"/>
          <w:lang w:bidi="ar-KW"/>
        </w:rPr>
        <w:t>En général, les traductions ont montré une grande partie des significations données par les exégètes. Cependant, l’interprétation chiite est absente dans toutes les traductions, comme d’habitude. L’interprétation soufie naqshbandite (les bonnes actions ») ne se voit pas non plus dans les traductions.</w:t>
      </w:r>
    </w:p>
    <w:p w14:paraId="090048F8"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6AFC0904" w14:textId="77777777" w:rsidR="00A70B78" w:rsidRPr="007C6A42" w:rsidRDefault="00A70B78" w:rsidP="00A70B78">
      <w:pPr>
        <w:spacing w:line="360" w:lineRule="auto"/>
        <w:contextualSpacing/>
        <w:jc w:val="both"/>
        <w:outlineLvl w:val="0"/>
        <w:rPr>
          <w:rFonts w:asciiTheme="majorBidi" w:eastAsia="Times New Roman" w:hAnsiTheme="majorBidi" w:cstheme="majorBidi"/>
          <w:b/>
          <w:bCs/>
          <w:lang w:bidi="ar-AE"/>
        </w:rPr>
      </w:pPr>
      <w:r w:rsidRPr="007C6A42">
        <w:rPr>
          <w:rFonts w:asciiTheme="majorBidi" w:eastAsia="Times New Roman" w:hAnsiTheme="majorBidi" w:cstheme="majorBidi"/>
          <w:b/>
          <w:bCs/>
          <w:lang w:bidi="ar-AE"/>
        </w:rPr>
        <w:t xml:space="preserve">La traduction du substantif </w:t>
      </w:r>
      <w:r w:rsidRPr="007C6A42">
        <w:rPr>
          <w:rFonts w:asciiTheme="majorBidi" w:eastAsia="Times New Roman" w:hAnsiTheme="majorBidi" w:cstheme="majorBidi"/>
          <w:b/>
          <w:bCs/>
          <w:i/>
          <w:iCs/>
          <w:lang w:bidi="ar-AE"/>
        </w:rPr>
        <w:t>ilḥād</w:t>
      </w:r>
      <w:r w:rsidRPr="007C6A42">
        <w:rPr>
          <w:rFonts w:asciiTheme="majorBidi" w:eastAsia="Times New Roman" w:hAnsiTheme="majorBidi" w:cstheme="majorBidi"/>
          <w:b/>
          <w:bCs/>
          <w:lang w:bidi="ar-AE"/>
        </w:rPr>
        <w:t xml:space="preserve"> (v. 25)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F8097F" w14:paraId="3866BD7A" w14:textId="77777777" w:rsidTr="00AF4FC9">
        <w:tc>
          <w:tcPr>
            <w:tcW w:w="10916" w:type="dxa"/>
            <w:gridSpan w:val="2"/>
            <w:tcBorders>
              <w:top w:val="nil"/>
              <w:left w:val="single" w:sz="4" w:space="0" w:color="auto"/>
              <w:bottom w:val="single" w:sz="4" w:space="0" w:color="auto"/>
              <w:right w:val="single" w:sz="4" w:space="0" w:color="auto"/>
            </w:tcBorders>
          </w:tcPr>
          <w:p w14:paraId="61F2BDC3" w14:textId="77777777" w:rsidR="00A70B78" w:rsidRPr="00F8097F" w:rsidRDefault="00A70B78" w:rsidP="00AF4FC9">
            <w:pPr>
              <w:tabs>
                <w:tab w:val="center" w:pos="5704"/>
                <w:tab w:val="left" w:pos="9725"/>
              </w:tabs>
              <w:bidi/>
              <w:spacing w:line="360" w:lineRule="auto"/>
              <w:ind w:firstLine="708"/>
              <w:rPr>
                <w:rFonts w:asciiTheme="majorBidi" w:eastAsia="Times New Roman" w:hAnsiTheme="majorBidi" w:cstheme="majorBidi"/>
                <w:sz w:val="20"/>
                <w:szCs w:val="20"/>
                <w:lang w:bidi="ar-KW"/>
              </w:rPr>
            </w:pPr>
            <w:r w:rsidRPr="00F8097F">
              <w:rPr>
                <w:rFonts w:asciiTheme="majorBidi" w:eastAsia="Calibri" w:hAnsiTheme="majorBidi" w:cstheme="majorBidi"/>
                <w:sz w:val="20"/>
                <w:szCs w:val="20"/>
                <w:rtl/>
                <w:lang w:bidi="ar-AE"/>
              </w:rPr>
              <w:tab/>
              <w:t>"ومن يُرِدْ فيه بإلحادٍ بظلمٍ</w:t>
            </w:r>
            <w:r w:rsidRPr="00F8097F">
              <w:rPr>
                <w:rFonts w:asciiTheme="majorBidi" w:eastAsia="Times New Roman" w:hAnsiTheme="majorBidi" w:cstheme="majorBidi"/>
                <w:sz w:val="20"/>
                <w:szCs w:val="20"/>
                <w:rtl/>
                <w:lang w:bidi="ar-AE"/>
              </w:rPr>
              <w:t>" (الحج، 25)</w:t>
            </w:r>
            <w:r w:rsidRPr="00F8097F">
              <w:rPr>
                <w:rFonts w:asciiTheme="majorBidi" w:eastAsia="Times New Roman" w:hAnsiTheme="majorBidi" w:cstheme="majorBidi"/>
                <w:sz w:val="20"/>
                <w:szCs w:val="20"/>
                <w:rtl/>
                <w:lang w:bidi="ar-AE"/>
              </w:rPr>
              <w:tab/>
            </w:r>
          </w:p>
        </w:tc>
      </w:tr>
      <w:tr w:rsidR="00A70B78" w:rsidRPr="00F8097F" w14:paraId="5A605ADD" w14:textId="77777777" w:rsidTr="00AF4FC9">
        <w:tc>
          <w:tcPr>
            <w:tcW w:w="851" w:type="dxa"/>
            <w:tcBorders>
              <w:top w:val="single" w:sz="4" w:space="0" w:color="auto"/>
              <w:left w:val="single" w:sz="4" w:space="0" w:color="auto"/>
              <w:bottom w:val="single" w:sz="4" w:space="0" w:color="auto"/>
              <w:right w:val="single" w:sz="4" w:space="0" w:color="auto"/>
            </w:tcBorders>
          </w:tcPr>
          <w:p w14:paraId="587FD0C7"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D.R.</w:t>
            </w:r>
          </w:p>
        </w:tc>
        <w:tc>
          <w:tcPr>
            <w:tcW w:w="10065" w:type="dxa"/>
            <w:tcBorders>
              <w:top w:val="single" w:sz="4" w:space="0" w:color="auto"/>
              <w:left w:val="single" w:sz="4" w:space="0" w:color="auto"/>
              <w:bottom w:val="single" w:sz="4" w:space="0" w:color="auto"/>
              <w:right w:val="single" w:sz="4" w:space="0" w:color="auto"/>
            </w:tcBorders>
          </w:tcPr>
          <w:p w14:paraId="3A794BDE"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celuy qui ʃe fera ʃoliciter de le viʃiter, &amp; qui entrera auec deʃʃein de retourner en ʃon impiété</w:t>
            </w:r>
          </w:p>
        </w:tc>
      </w:tr>
      <w:tr w:rsidR="00A70B78" w:rsidRPr="00F8097F" w14:paraId="59B0BFF2" w14:textId="77777777" w:rsidTr="00AF4FC9">
        <w:tc>
          <w:tcPr>
            <w:tcW w:w="851" w:type="dxa"/>
            <w:tcBorders>
              <w:top w:val="single" w:sz="4" w:space="0" w:color="auto"/>
              <w:left w:val="single" w:sz="4" w:space="0" w:color="auto"/>
              <w:bottom w:val="single" w:sz="4" w:space="0" w:color="auto"/>
              <w:right w:val="single" w:sz="4" w:space="0" w:color="auto"/>
            </w:tcBorders>
          </w:tcPr>
          <w:p w14:paraId="3D8ABA9C"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lang w:bidi="ar-KW"/>
              </w:rPr>
              <w:t>Sav.</w:t>
            </w:r>
          </w:p>
        </w:tc>
        <w:tc>
          <w:tcPr>
            <w:tcW w:w="10065" w:type="dxa"/>
            <w:tcBorders>
              <w:top w:val="single" w:sz="4" w:space="0" w:color="auto"/>
              <w:left w:val="single" w:sz="4" w:space="0" w:color="auto"/>
              <w:bottom w:val="single" w:sz="4" w:space="0" w:color="auto"/>
              <w:right w:val="single" w:sz="4" w:space="0" w:color="auto"/>
            </w:tcBorders>
          </w:tcPr>
          <w:p w14:paraId="0E25C2D9" w14:textId="77777777" w:rsidR="00A70B78" w:rsidRPr="00F8097F" w:rsidRDefault="00A70B78" w:rsidP="00AF4FC9">
            <w:pPr>
              <w:shd w:val="clear" w:color="auto" w:fill="FFFFFF"/>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Et ceux qui voudraient le profaner</w:t>
            </w:r>
          </w:p>
        </w:tc>
      </w:tr>
      <w:tr w:rsidR="00A70B78" w:rsidRPr="00F8097F" w14:paraId="254C7420" w14:textId="77777777" w:rsidTr="00AF4FC9">
        <w:tc>
          <w:tcPr>
            <w:tcW w:w="851" w:type="dxa"/>
            <w:tcBorders>
              <w:top w:val="single" w:sz="4" w:space="0" w:color="auto"/>
              <w:left w:val="single" w:sz="4" w:space="0" w:color="auto"/>
              <w:bottom w:val="single" w:sz="4" w:space="0" w:color="auto"/>
              <w:right w:val="single" w:sz="4" w:space="0" w:color="auto"/>
            </w:tcBorders>
          </w:tcPr>
          <w:p w14:paraId="6CC07AD5"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lang w:bidi="ar-KW"/>
              </w:rPr>
              <w:t xml:space="preserve">Kaz. </w:t>
            </w:r>
          </w:p>
        </w:tc>
        <w:tc>
          <w:tcPr>
            <w:tcW w:w="10065" w:type="dxa"/>
            <w:tcBorders>
              <w:top w:val="single" w:sz="4" w:space="0" w:color="auto"/>
              <w:left w:val="single" w:sz="4" w:space="0" w:color="auto"/>
              <w:bottom w:val="single" w:sz="4" w:space="0" w:color="auto"/>
              <w:right w:val="single" w:sz="4" w:space="0" w:color="auto"/>
            </w:tcBorders>
          </w:tcPr>
          <w:p w14:paraId="2F352801" w14:textId="77777777" w:rsidR="00A70B78" w:rsidRPr="00F8097F" w:rsidRDefault="00A70B78" w:rsidP="00AF4FC9">
            <w:pPr>
              <w:spacing w:line="360" w:lineRule="auto"/>
              <w:ind w:right="113"/>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Et ceux qui voudraient le profaner dans leur iniquité</w:t>
            </w:r>
          </w:p>
        </w:tc>
      </w:tr>
      <w:tr w:rsidR="00A70B78" w:rsidRPr="00F8097F" w14:paraId="1A0C8E47" w14:textId="77777777" w:rsidTr="00AF4FC9">
        <w:tc>
          <w:tcPr>
            <w:tcW w:w="851" w:type="dxa"/>
            <w:tcBorders>
              <w:top w:val="single" w:sz="4" w:space="0" w:color="auto"/>
              <w:left w:val="single" w:sz="4" w:space="0" w:color="auto"/>
              <w:bottom w:val="single" w:sz="4" w:space="0" w:color="auto"/>
              <w:right w:val="single" w:sz="4" w:space="0" w:color="auto"/>
            </w:tcBorders>
          </w:tcPr>
          <w:p w14:paraId="010FA73A"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sz w:val="20"/>
                <w:szCs w:val="20"/>
              </w:rPr>
              <w:t>Blach.</w:t>
            </w:r>
          </w:p>
        </w:tc>
        <w:tc>
          <w:tcPr>
            <w:tcW w:w="10065" w:type="dxa"/>
            <w:tcBorders>
              <w:top w:val="single" w:sz="4" w:space="0" w:color="auto"/>
              <w:left w:val="single" w:sz="4" w:space="0" w:color="auto"/>
              <w:bottom w:val="single" w:sz="4" w:space="0" w:color="auto"/>
              <w:right w:val="single" w:sz="4" w:space="0" w:color="auto"/>
            </w:tcBorders>
          </w:tcPr>
          <w:p w14:paraId="508F0701" w14:textId="77777777" w:rsidR="00A70B78" w:rsidRPr="00F8097F" w:rsidRDefault="00A70B78" w:rsidP="00AF4FC9">
            <w:pPr>
              <w:spacing w:line="360" w:lineRule="auto"/>
              <w:jc w:val="both"/>
              <w:rPr>
                <w:rFonts w:asciiTheme="majorBidi" w:eastAsia="Calibri" w:hAnsiTheme="majorBidi" w:cstheme="majorBidi"/>
                <w:sz w:val="20"/>
                <w:szCs w:val="20"/>
              </w:rPr>
            </w:pPr>
            <w:r w:rsidRPr="00F8097F">
              <w:rPr>
                <w:rFonts w:asciiTheme="majorBidi" w:eastAsia="Calibri" w:hAnsiTheme="majorBidi" w:cstheme="majorBidi"/>
                <w:sz w:val="20"/>
                <w:szCs w:val="20"/>
              </w:rPr>
              <w:t>quiconque, à l’égard de [cette Mosquée], voudra [</w:t>
            </w:r>
            <w:r w:rsidRPr="00F8097F">
              <w:rPr>
                <w:rFonts w:asciiTheme="majorBidi" w:eastAsia="Calibri" w:hAnsiTheme="majorBidi" w:cstheme="majorBidi"/>
                <w:i/>
                <w:sz w:val="20"/>
                <w:szCs w:val="20"/>
              </w:rPr>
              <w:t>agir</w:t>
            </w:r>
            <w:r w:rsidRPr="00F8097F">
              <w:rPr>
                <w:rFonts w:asciiTheme="majorBidi" w:eastAsia="Calibri" w:hAnsiTheme="majorBidi" w:cstheme="majorBidi"/>
                <w:sz w:val="20"/>
                <w:szCs w:val="20"/>
              </w:rPr>
              <w:t>] par sacrilège ( ?), par injustice</w:t>
            </w:r>
          </w:p>
        </w:tc>
      </w:tr>
      <w:tr w:rsidR="00A70B78" w:rsidRPr="00F8097F" w14:paraId="4056B547" w14:textId="77777777" w:rsidTr="00AF4FC9">
        <w:tc>
          <w:tcPr>
            <w:tcW w:w="851" w:type="dxa"/>
            <w:tcBorders>
              <w:top w:val="single" w:sz="4" w:space="0" w:color="auto"/>
              <w:left w:val="single" w:sz="4" w:space="0" w:color="auto"/>
              <w:bottom w:val="single" w:sz="4" w:space="0" w:color="auto"/>
              <w:right w:val="single" w:sz="4" w:space="0" w:color="auto"/>
            </w:tcBorders>
          </w:tcPr>
          <w:p w14:paraId="6EBB01B9"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Hamid</w:t>
            </w:r>
          </w:p>
        </w:tc>
        <w:tc>
          <w:tcPr>
            <w:tcW w:w="10065" w:type="dxa"/>
            <w:tcBorders>
              <w:top w:val="single" w:sz="4" w:space="0" w:color="auto"/>
              <w:left w:val="single" w:sz="4" w:space="0" w:color="auto"/>
              <w:bottom w:val="single" w:sz="4" w:space="0" w:color="auto"/>
              <w:right w:val="single" w:sz="4" w:space="0" w:color="auto"/>
            </w:tcBorders>
          </w:tcPr>
          <w:p w14:paraId="173DFE6F"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et quiconque lui en veut en quoi que ce soit, par sacrilège, par prévarication</w:t>
            </w:r>
          </w:p>
        </w:tc>
      </w:tr>
      <w:tr w:rsidR="00A70B78" w:rsidRPr="00F8097F" w14:paraId="28E7F38C" w14:textId="77777777" w:rsidTr="00AF4FC9">
        <w:tc>
          <w:tcPr>
            <w:tcW w:w="851" w:type="dxa"/>
            <w:tcBorders>
              <w:top w:val="single" w:sz="4" w:space="0" w:color="auto"/>
              <w:left w:val="single" w:sz="4" w:space="0" w:color="auto"/>
              <w:bottom w:val="single" w:sz="4" w:space="0" w:color="auto"/>
              <w:right w:val="single" w:sz="4" w:space="0" w:color="auto"/>
            </w:tcBorders>
          </w:tcPr>
          <w:p w14:paraId="59752D2C"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Mass.</w:t>
            </w:r>
          </w:p>
        </w:tc>
        <w:tc>
          <w:tcPr>
            <w:tcW w:w="10065" w:type="dxa"/>
            <w:tcBorders>
              <w:top w:val="single" w:sz="4" w:space="0" w:color="auto"/>
              <w:left w:val="single" w:sz="4" w:space="0" w:color="auto"/>
              <w:bottom w:val="single" w:sz="4" w:space="0" w:color="auto"/>
              <w:right w:val="single" w:sz="4" w:space="0" w:color="auto"/>
            </w:tcBorders>
          </w:tcPr>
          <w:p w14:paraId="7F52DCA7"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quiconque veut la profaner par perversité</w:t>
            </w:r>
          </w:p>
        </w:tc>
      </w:tr>
      <w:tr w:rsidR="00A70B78" w:rsidRPr="00F8097F" w14:paraId="17EF03C9" w14:textId="77777777" w:rsidTr="00AF4FC9">
        <w:tc>
          <w:tcPr>
            <w:tcW w:w="851" w:type="dxa"/>
            <w:tcBorders>
              <w:top w:val="single" w:sz="4" w:space="0" w:color="auto"/>
              <w:left w:val="single" w:sz="4" w:space="0" w:color="auto"/>
              <w:bottom w:val="single" w:sz="4" w:space="0" w:color="auto"/>
              <w:right w:val="single" w:sz="4" w:space="0" w:color="auto"/>
            </w:tcBorders>
          </w:tcPr>
          <w:p w14:paraId="65770585"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Chour.</w:t>
            </w:r>
          </w:p>
        </w:tc>
        <w:tc>
          <w:tcPr>
            <w:tcW w:w="10065" w:type="dxa"/>
            <w:tcBorders>
              <w:top w:val="single" w:sz="4" w:space="0" w:color="auto"/>
              <w:left w:val="single" w:sz="4" w:space="0" w:color="auto"/>
              <w:bottom w:val="single" w:sz="4" w:space="0" w:color="auto"/>
              <w:right w:val="single" w:sz="4" w:space="0" w:color="auto"/>
            </w:tcBorders>
          </w:tcPr>
          <w:p w14:paraId="221B99FB" w14:textId="77777777" w:rsidR="00A70B78" w:rsidRPr="00F8097F" w:rsidRDefault="00A70B78" w:rsidP="00AF4FC9">
            <w:pPr>
              <w:spacing w:line="360" w:lineRule="auto"/>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Qui veut agir en fraude, contre lui</w:t>
            </w:r>
          </w:p>
        </w:tc>
      </w:tr>
      <w:tr w:rsidR="00A70B78" w:rsidRPr="00F8097F" w14:paraId="5564B169" w14:textId="77777777" w:rsidTr="00AF4FC9">
        <w:tc>
          <w:tcPr>
            <w:tcW w:w="851" w:type="dxa"/>
            <w:tcBorders>
              <w:top w:val="single" w:sz="4" w:space="0" w:color="auto"/>
              <w:left w:val="single" w:sz="4" w:space="0" w:color="auto"/>
              <w:bottom w:val="single" w:sz="4" w:space="0" w:color="auto"/>
              <w:right w:val="single" w:sz="4" w:space="0" w:color="auto"/>
            </w:tcBorders>
          </w:tcPr>
          <w:p w14:paraId="4770E214"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Ghéd.</w:t>
            </w:r>
          </w:p>
        </w:tc>
        <w:tc>
          <w:tcPr>
            <w:tcW w:w="10065" w:type="dxa"/>
            <w:tcBorders>
              <w:top w:val="single" w:sz="4" w:space="0" w:color="auto"/>
              <w:left w:val="single" w:sz="4" w:space="0" w:color="auto"/>
              <w:bottom w:val="single" w:sz="4" w:space="0" w:color="auto"/>
              <w:right w:val="single" w:sz="4" w:space="0" w:color="auto"/>
            </w:tcBorders>
          </w:tcPr>
          <w:p w14:paraId="509DEB9C"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Ceux qui voudraient le profaner en commettant une injustice</w:t>
            </w:r>
          </w:p>
        </w:tc>
      </w:tr>
      <w:tr w:rsidR="00A70B78" w:rsidRPr="00F8097F" w14:paraId="602383D7" w14:textId="77777777" w:rsidTr="00AF4FC9">
        <w:tc>
          <w:tcPr>
            <w:tcW w:w="851" w:type="dxa"/>
            <w:tcBorders>
              <w:top w:val="single" w:sz="4" w:space="0" w:color="auto"/>
              <w:left w:val="single" w:sz="4" w:space="0" w:color="auto"/>
              <w:bottom w:val="single" w:sz="4" w:space="0" w:color="auto"/>
              <w:right w:val="single" w:sz="4" w:space="0" w:color="auto"/>
            </w:tcBorders>
          </w:tcPr>
          <w:p w14:paraId="12F6FF03"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lang w:bidi="ar-KW"/>
              </w:rPr>
              <w:t>Méd.</w:t>
            </w:r>
          </w:p>
        </w:tc>
        <w:tc>
          <w:tcPr>
            <w:tcW w:w="10065" w:type="dxa"/>
            <w:tcBorders>
              <w:top w:val="single" w:sz="4" w:space="0" w:color="auto"/>
              <w:left w:val="single" w:sz="4" w:space="0" w:color="auto"/>
              <w:bottom w:val="single" w:sz="4" w:space="0" w:color="auto"/>
              <w:right w:val="single" w:sz="4" w:space="0" w:color="auto"/>
            </w:tcBorders>
          </w:tcPr>
          <w:p w14:paraId="28A1BEDA" w14:textId="77777777" w:rsidR="00A70B78" w:rsidRPr="00F8097F" w:rsidRDefault="00A70B78" w:rsidP="00AF4FC9">
            <w:pPr>
              <w:shd w:val="clear" w:color="auto" w:fill="FFFFFF"/>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Quiconque cherche à y commettre un sacrilège injustement</w:t>
            </w:r>
          </w:p>
        </w:tc>
      </w:tr>
      <w:tr w:rsidR="00A70B78" w:rsidRPr="00F8097F" w14:paraId="434AE74F" w14:textId="77777777" w:rsidTr="00AF4FC9">
        <w:tc>
          <w:tcPr>
            <w:tcW w:w="851" w:type="dxa"/>
            <w:tcBorders>
              <w:top w:val="single" w:sz="4" w:space="0" w:color="auto"/>
              <w:left w:val="single" w:sz="4" w:space="0" w:color="auto"/>
              <w:bottom w:val="single" w:sz="4" w:space="0" w:color="auto"/>
              <w:right w:val="single" w:sz="4" w:space="0" w:color="auto"/>
            </w:tcBorders>
          </w:tcPr>
          <w:p w14:paraId="4D85B65B"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lang w:bidi="ar-KW"/>
              </w:rPr>
              <w:t>Berque</w:t>
            </w:r>
          </w:p>
        </w:tc>
        <w:tc>
          <w:tcPr>
            <w:tcW w:w="10065" w:type="dxa"/>
            <w:tcBorders>
              <w:top w:val="single" w:sz="4" w:space="0" w:color="auto"/>
              <w:left w:val="single" w:sz="4" w:space="0" w:color="auto"/>
              <w:bottom w:val="single" w:sz="4" w:space="0" w:color="auto"/>
              <w:right w:val="single" w:sz="4" w:space="0" w:color="auto"/>
            </w:tcBorders>
          </w:tcPr>
          <w:p w14:paraId="1DB1A670" w14:textId="77777777" w:rsidR="00A70B78" w:rsidRPr="00F8097F" w:rsidRDefault="00A70B78" w:rsidP="00AF4FC9">
            <w:pPr>
              <w:spacing w:line="360" w:lineRule="auto"/>
              <w:contextualSpacing/>
              <w:rPr>
                <w:rFonts w:asciiTheme="majorBidi" w:eastAsia="Times New Roman" w:hAnsiTheme="majorBidi" w:cstheme="majorBidi"/>
                <w:sz w:val="20"/>
                <w:szCs w:val="20"/>
                <w:lang w:bidi="ar-AE"/>
              </w:rPr>
            </w:pPr>
            <w:r w:rsidRPr="00F8097F">
              <w:rPr>
                <w:rFonts w:asciiTheme="majorBidi" w:eastAsia="Times New Roman" w:hAnsiTheme="majorBidi" w:cstheme="majorBidi"/>
                <w:sz w:val="20"/>
                <w:szCs w:val="20"/>
                <w:lang w:bidi="ar-AE"/>
              </w:rPr>
              <w:t>et quiconque aurait volonté d’injustice et de déviation</w:t>
            </w:r>
          </w:p>
        </w:tc>
      </w:tr>
      <w:tr w:rsidR="00A70B78" w:rsidRPr="00F8097F" w14:paraId="3027DD4C" w14:textId="77777777" w:rsidTr="00AF4FC9">
        <w:tc>
          <w:tcPr>
            <w:tcW w:w="851" w:type="dxa"/>
            <w:tcBorders>
              <w:top w:val="single" w:sz="4" w:space="0" w:color="auto"/>
              <w:left w:val="single" w:sz="4" w:space="0" w:color="auto"/>
              <w:bottom w:val="single" w:sz="4" w:space="0" w:color="auto"/>
              <w:right w:val="single" w:sz="4" w:space="0" w:color="auto"/>
            </w:tcBorders>
          </w:tcPr>
          <w:p w14:paraId="2B98ACA0"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sz w:val="20"/>
                <w:szCs w:val="20"/>
              </w:rPr>
              <w:t>Gues.</w:t>
            </w:r>
          </w:p>
        </w:tc>
        <w:tc>
          <w:tcPr>
            <w:tcW w:w="10065" w:type="dxa"/>
            <w:tcBorders>
              <w:top w:val="single" w:sz="4" w:space="0" w:color="auto"/>
              <w:left w:val="single" w:sz="4" w:space="0" w:color="auto"/>
              <w:bottom w:val="single" w:sz="4" w:space="0" w:color="auto"/>
              <w:right w:val="single" w:sz="4" w:space="0" w:color="auto"/>
            </w:tcBorders>
          </w:tcPr>
          <w:p w14:paraId="1B233152" w14:textId="77777777" w:rsidR="00A70B78" w:rsidRPr="00F8097F" w:rsidRDefault="00A70B78" w:rsidP="00AF4FC9">
            <w:pPr>
              <w:spacing w:line="360" w:lineRule="auto"/>
              <w:jc w:val="both"/>
              <w:rPr>
                <w:rFonts w:asciiTheme="majorBidi" w:eastAsia="BatangChe" w:hAnsiTheme="majorBidi" w:cstheme="majorBidi"/>
                <w:sz w:val="20"/>
                <w:szCs w:val="20"/>
              </w:rPr>
            </w:pPr>
            <w:r w:rsidRPr="00F8097F">
              <w:rPr>
                <w:rFonts w:asciiTheme="majorBidi" w:eastAsia="BatangChe" w:hAnsiTheme="majorBidi" w:cstheme="majorBidi"/>
                <w:sz w:val="20"/>
                <w:szCs w:val="20"/>
              </w:rPr>
              <w:t>Et ceux qui, par méchanceté, voudraient le profaner</w:t>
            </w:r>
          </w:p>
        </w:tc>
      </w:tr>
      <w:tr w:rsidR="00A70B78" w:rsidRPr="00F8097F" w14:paraId="08BCE26F" w14:textId="77777777" w:rsidTr="00AF4FC9">
        <w:tc>
          <w:tcPr>
            <w:tcW w:w="851" w:type="dxa"/>
            <w:tcBorders>
              <w:top w:val="single" w:sz="4" w:space="0" w:color="auto"/>
              <w:left w:val="single" w:sz="4" w:space="0" w:color="auto"/>
              <w:bottom w:val="single" w:sz="4" w:space="0" w:color="auto"/>
              <w:right w:val="single" w:sz="4" w:space="0" w:color="auto"/>
            </w:tcBorders>
          </w:tcPr>
          <w:p w14:paraId="04618388"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sz w:val="20"/>
                <w:szCs w:val="20"/>
              </w:rPr>
              <w:t>Haf.</w:t>
            </w:r>
          </w:p>
        </w:tc>
        <w:tc>
          <w:tcPr>
            <w:tcW w:w="10065" w:type="dxa"/>
            <w:tcBorders>
              <w:top w:val="single" w:sz="4" w:space="0" w:color="auto"/>
              <w:left w:val="single" w:sz="4" w:space="0" w:color="auto"/>
              <w:bottom w:val="single" w:sz="4" w:space="0" w:color="auto"/>
              <w:right w:val="single" w:sz="4" w:space="0" w:color="auto"/>
            </w:tcBorders>
          </w:tcPr>
          <w:p w14:paraId="2BFFA07F"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ceux d’entre eux qui cherchent à commettre un sacrilège injustement</w:t>
            </w:r>
          </w:p>
        </w:tc>
      </w:tr>
      <w:tr w:rsidR="00A70B78" w:rsidRPr="00F8097F" w14:paraId="17F7B01F" w14:textId="77777777" w:rsidTr="00AF4FC9">
        <w:tc>
          <w:tcPr>
            <w:tcW w:w="851" w:type="dxa"/>
            <w:tcBorders>
              <w:top w:val="single" w:sz="4" w:space="0" w:color="auto"/>
              <w:left w:val="single" w:sz="4" w:space="0" w:color="auto"/>
              <w:bottom w:val="single" w:sz="4" w:space="0" w:color="auto"/>
              <w:right w:val="single" w:sz="4" w:space="0" w:color="auto"/>
            </w:tcBorders>
          </w:tcPr>
          <w:p w14:paraId="51477BF0"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sz w:val="20"/>
                <w:szCs w:val="20"/>
              </w:rPr>
              <w:t>Gros.</w:t>
            </w:r>
          </w:p>
        </w:tc>
        <w:tc>
          <w:tcPr>
            <w:tcW w:w="10065" w:type="dxa"/>
            <w:tcBorders>
              <w:top w:val="single" w:sz="4" w:space="0" w:color="auto"/>
              <w:left w:val="single" w:sz="4" w:space="0" w:color="auto"/>
              <w:bottom w:val="single" w:sz="4" w:space="0" w:color="auto"/>
              <w:right w:val="single" w:sz="4" w:space="0" w:color="auto"/>
            </w:tcBorders>
          </w:tcPr>
          <w:p w14:paraId="3E6A8832"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eh bien, quiconque la profane par injustice</w:t>
            </w:r>
          </w:p>
        </w:tc>
      </w:tr>
      <w:tr w:rsidR="00A70B78" w:rsidRPr="00F8097F" w14:paraId="6DA558A1" w14:textId="77777777" w:rsidTr="00AF4FC9">
        <w:tc>
          <w:tcPr>
            <w:tcW w:w="851" w:type="dxa"/>
            <w:tcBorders>
              <w:top w:val="single" w:sz="4" w:space="0" w:color="auto"/>
              <w:left w:val="single" w:sz="4" w:space="0" w:color="auto"/>
              <w:bottom w:val="single" w:sz="4" w:space="0" w:color="auto"/>
              <w:right w:val="single" w:sz="4" w:space="0" w:color="auto"/>
            </w:tcBorders>
          </w:tcPr>
          <w:p w14:paraId="142C5375"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Chiad.</w:t>
            </w:r>
          </w:p>
        </w:tc>
        <w:tc>
          <w:tcPr>
            <w:tcW w:w="10065" w:type="dxa"/>
            <w:tcBorders>
              <w:top w:val="single" w:sz="4" w:space="0" w:color="auto"/>
              <w:left w:val="single" w:sz="4" w:space="0" w:color="auto"/>
              <w:bottom w:val="single" w:sz="4" w:space="0" w:color="auto"/>
              <w:right w:val="single" w:sz="4" w:space="0" w:color="auto"/>
            </w:tcBorders>
          </w:tcPr>
          <w:p w14:paraId="038A59D8"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quiconque s’avise d’y commettre un sacrilège par méchanceté</w:t>
            </w:r>
          </w:p>
        </w:tc>
      </w:tr>
      <w:tr w:rsidR="00A70B78" w:rsidRPr="00F8097F" w14:paraId="6E5E578B" w14:textId="77777777" w:rsidTr="00AF4FC9">
        <w:tc>
          <w:tcPr>
            <w:tcW w:w="851" w:type="dxa"/>
            <w:tcBorders>
              <w:top w:val="single" w:sz="4" w:space="0" w:color="auto"/>
              <w:left w:val="single" w:sz="4" w:space="0" w:color="auto"/>
              <w:bottom w:val="single" w:sz="4" w:space="0" w:color="auto"/>
              <w:right w:val="single" w:sz="4" w:space="0" w:color="auto"/>
            </w:tcBorders>
          </w:tcPr>
          <w:p w14:paraId="7B461C49"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B. M.</w:t>
            </w:r>
          </w:p>
        </w:tc>
        <w:tc>
          <w:tcPr>
            <w:tcW w:w="10065" w:type="dxa"/>
            <w:tcBorders>
              <w:top w:val="single" w:sz="4" w:space="0" w:color="auto"/>
              <w:left w:val="single" w:sz="4" w:space="0" w:color="auto"/>
              <w:bottom w:val="single" w:sz="4" w:space="0" w:color="auto"/>
              <w:right w:val="single" w:sz="4" w:space="0" w:color="auto"/>
            </w:tcBorders>
          </w:tcPr>
          <w:p w14:paraId="4BB809D7"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ceux qui tentent d’imposer un schisme par violence</w:t>
            </w:r>
          </w:p>
        </w:tc>
      </w:tr>
      <w:tr w:rsidR="00A70B78" w:rsidRPr="00F8097F" w14:paraId="4DD03FB1" w14:textId="77777777" w:rsidTr="00AF4FC9">
        <w:trPr>
          <w:trHeight w:val="381"/>
        </w:trPr>
        <w:tc>
          <w:tcPr>
            <w:tcW w:w="851" w:type="dxa"/>
            <w:tcBorders>
              <w:top w:val="single" w:sz="4" w:space="0" w:color="auto"/>
              <w:left w:val="single" w:sz="4" w:space="0" w:color="auto"/>
              <w:bottom w:val="single" w:sz="4" w:space="0" w:color="auto"/>
              <w:right w:val="single" w:sz="4" w:space="0" w:color="auto"/>
            </w:tcBorders>
          </w:tcPr>
          <w:p w14:paraId="3451528D"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Cheb.</w:t>
            </w:r>
          </w:p>
        </w:tc>
        <w:tc>
          <w:tcPr>
            <w:tcW w:w="10065" w:type="dxa"/>
            <w:tcBorders>
              <w:top w:val="single" w:sz="4" w:space="0" w:color="auto"/>
              <w:left w:val="single" w:sz="4" w:space="0" w:color="auto"/>
              <w:bottom w:val="single" w:sz="4" w:space="0" w:color="auto"/>
              <w:right w:val="single" w:sz="4" w:space="0" w:color="auto"/>
            </w:tcBorders>
          </w:tcPr>
          <w:p w14:paraId="2ED8CA28" w14:textId="77777777" w:rsidR="00A70B78" w:rsidRPr="00F8097F" w:rsidRDefault="00A70B78" w:rsidP="00AF4FC9">
            <w:pPr>
              <w:spacing w:line="360" w:lineRule="auto"/>
              <w:jc w:val="both"/>
              <w:rPr>
                <w:rFonts w:asciiTheme="majorBidi" w:eastAsia="BatangChe" w:hAnsiTheme="majorBidi" w:cstheme="majorBidi"/>
                <w:sz w:val="20"/>
                <w:szCs w:val="20"/>
              </w:rPr>
            </w:pPr>
            <w:r w:rsidRPr="00F8097F">
              <w:rPr>
                <w:rFonts w:asciiTheme="majorBidi" w:eastAsia="BatangChe" w:hAnsiTheme="majorBidi" w:cstheme="majorBidi"/>
                <w:sz w:val="20"/>
                <w:szCs w:val="20"/>
              </w:rPr>
              <w:t>en raison même de la profanation dont ils pourraient se rendre coupables</w:t>
            </w:r>
          </w:p>
        </w:tc>
      </w:tr>
      <w:tr w:rsidR="00A70B78" w:rsidRPr="00F8097F" w14:paraId="034FD5DB" w14:textId="77777777" w:rsidTr="00AF4FC9">
        <w:tc>
          <w:tcPr>
            <w:tcW w:w="851" w:type="dxa"/>
            <w:tcBorders>
              <w:top w:val="single" w:sz="4" w:space="0" w:color="auto"/>
              <w:left w:val="single" w:sz="4" w:space="0" w:color="auto"/>
              <w:bottom w:val="single" w:sz="4" w:space="0" w:color="auto"/>
              <w:right w:val="single" w:sz="4" w:space="0" w:color="auto"/>
            </w:tcBorders>
          </w:tcPr>
          <w:p w14:paraId="49283700"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Abdel.</w:t>
            </w:r>
          </w:p>
        </w:tc>
        <w:tc>
          <w:tcPr>
            <w:tcW w:w="10065" w:type="dxa"/>
            <w:tcBorders>
              <w:top w:val="single" w:sz="4" w:space="0" w:color="auto"/>
              <w:left w:val="single" w:sz="4" w:space="0" w:color="auto"/>
              <w:bottom w:val="single" w:sz="4" w:space="0" w:color="auto"/>
              <w:right w:val="single" w:sz="4" w:space="0" w:color="auto"/>
            </w:tcBorders>
          </w:tcPr>
          <w:p w14:paraId="26D2E2B4"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Et quiconque y voudrait sacrilège, par injustice</w:t>
            </w:r>
          </w:p>
        </w:tc>
      </w:tr>
      <w:tr w:rsidR="00A70B78" w:rsidRPr="00F8097F" w14:paraId="1EB24D7F" w14:textId="77777777" w:rsidTr="00AF4FC9">
        <w:tc>
          <w:tcPr>
            <w:tcW w:w="851" w:type="dxa"/>
            <w:tcBorders>
              <w:top w:val="single" w:sz="4" w:space="0" w:color="auto"/>
              <w:left w:val="single" w:sz="4" w:space="0" w:color="auto"/>
              <w:bottom w:val="single" w:sz="4" w:space="0" w:color="auto"/>
              <w:right w:val="single" w:sz="4" w:space="0" w:color="auto"/>
            </w:tcBorders>
          </w:tcPr>
          <w:p w14:paraId="28CBEA75"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lang w:bidi="ar-KW"/>
              </w:rPr>
              <w:t>Ald.</w:t>
            </w:r>
          </w:p>
        </w:tc>
        <w:tc>
          <w:tcPr>
            <w:tcW w:w="10065" w:type="dxa"/>
            <w:tcBorders>
              <w:top w:val="single" w:sz="4" w:space="0" w:color="auto"/>
              <w:left w:val="single" w:sz="4" w:space="0" w:color="auto"/>
              <w:bottom w:val="single" w:sz="4" w:space="0" w:color="auto"/>
              <w:right w:val="single" w:sz="4" w:space="0" w:color="auto"/>
            </w:tcBorders>
          </w:tcPr>
          <w:p w14:paraId="31EE5151"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sz w:val="20"/>
                <w:szCs w:val="20"/>
                <w:lang w:eastAsia="fr-CH"/>
              </w:rPr>
              <w:t>Quiconque y veut une déformation [et] une oppression</w:t>
            </w:r>
          </w:p>
        </w:tc>
      </w:tr>
    </w:tbl>
    <w:p w14:paraId="3953B609"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5B7B5A40" w14:textId="77777777" w:rsidR="00A70B78" w:rsidRPr="007C6A42" w:rsidRDefault="00A70B78" w:rsidP="00A70B78">
      <w:pPr>
        <w:spacing w:line="360" w:lineRule="auto"/>
        <w:ind w:firstLine="284"/>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Le sens premier de </w:t>
      </w:r>
      <w:r w:rsidRPr="007C6A42">
        <w:rPr>
          <w:rFonts w:asciiTheme="majorBidi" w:eastAsia="Times New Roman" w:hAnsiTheme="majorBidi" w:cstheme="majorBidi"/>
          <w:i/>
          <w:iCs/>
          <w:lang w:bidi="ar-AE"/>
        </w:rPr>
        <w:t>ilḥād</w:t>
      </w:r>
      <w:r w:rsidRPr="007C6A42">
        <w:rPr>
          <w:rFonts w:asciiTheme="majorBidi" w:eastAsia="Times New Roman" w:hAnsiTheme="majorBidi" w:cstheme="majorBidi"/>
          <w:lang w:bidi="ar-AE"/>
        </w:rPr>
        <w:t xml:space="preserve"> selon les dictionnaires est : « dévier ». Mais le champ sémantique de ce mot est extrêmement vaste : « polythéisme », « adorer un autre Dieu qu’Allah », « rendre licite ce qui est illicite », « la mauvaise action », « l’injustice commise au sein de la grande Mosquée de La Mecque », « le monopole de l’alimentation », « toute sorte de monopole », « tout péché », « toute désobéissance », « préméditer l’injustice », « dévier du chemin de l’islam », </w:t>
      </w:r>
      <w:r w:rsidRPr="007C6A42">
        <w:rPr>
          <w:rFonts w:asciiTheme="majorBidi" w:eastAsia="Times New Roman" w:hAnsiTheme="majorBidi" w:cstheme="majorBidi"/>
          <w:lang w:bidi="ar-AE"/>
        </w:rPr>
        <w:lastRenderedPageBreak/>
        <w:t xml:space="preserve">« apostasie », « tuer les gibiers interdits dans l’islam », « entrer dans La Mecque sans </w:t>
      </w:r>
      <w:r w:rsidRPr="007C6A42">
        <w:rPr>
          <w:rFonts w:asciiTheme="majorBidi" w:eastAsia="Times New Roman" w:hAnsiTheme="majorBidi" w:cstheme="majorBidi"/>
          <w:i/>
          <w:iCs/>
          <w:lang w:bidi="ar-AE"/>
        </w:rPr>
        <w:t>ʾiḥrām</w:t>
      </w:r>
      <w:r w:rsidRPr="007C6A42">
        <w:rPr>
          <w:rFonts w:asciiTheme="majorBidi" w:eastAsia="Times New Roman" w:hAnsiTheme="majorBidi" w:cstheme="majorBidi"/>
          <w:lang w:bidi="ar-AE"/>
        </w:rPr>
        <w:t xml:space="preserve"> », « empêcher l’entretien de la Maison sacrée de la Mecque », « changer le but de la Mosquée sacrée », « s’écarter de la ligne de </w:t>
      </w:r>
      <w:r w:rsidRPr="007C6A42">
        <w:rPr>
          <w:rFonts w:asciiTheme="majorBidi" w:eastAsia="Times New Roman" w:hAnsiTheme="majorBidi" w:cstheme="majorBidi"/>
        </w:rPr>
        <w:t>ʿAlī ibn Abī Ṭālib »</w:t>
      </w:r>
      <w:r w:rsidRPr="007C6A42">
        <w:rPr>
          <w:rFonts w:asciiTheme="majorBidi" w:eastAsia="Times New Roman" w:hAnsiTheme="majorBidi" w:cstheme="majorBidi"/>
          <w:lang w:bidi="ar-EG"/>
        </w:rPr>
        <w:t>, « </w:t>
      </w:r>
      <w:r w:rsidRPr="007C6A42">
        <w:rPr>
          <w:rFonts w:asciiTheme="majorBidi" w:eastAsia="Times New Roman" w:hAnsiTheme="majorBidi" w:cstheme="majorBidi"/>
          <w:lang w:bidi="ar-AE"/>
        </w:rPr>
        <w:t>avoir une inclination pour les désirs », « athéisme » (sens moderne), etc. Ce substantif a été rendu en français par : « profaner » (verbe, 6 fois), « profanation » (7 fois), « sacrilège » (6 fois), « impiété », « fraude », « déviation », « schisme », « déformation ». Ces mots reflètent partiellement les significations du terme-source. Les traductions sont génériques et abstraites alors que les interprétations arabes sont concrètes et précises. Les commentaires arabes étaient plus ancrés dans la vie quotidienne des musulmans. Le passage du concret à l’abstrait est une sorte de rationalisation, au sens de Berman. La traduction du Coran tend généralement vers l’abstraction et la généralisation.</w:t>
      </w:r>
    </w:p>
    <w:p w14:paraId="26422111" w14:textId="77777777" w:rsidR="00A70B78" w:rsidRPr="007C6A42" w:rsidRDefault="00A70B78" w:rsidP="00A70B78">
      <w:pPr>
        <w:spacing w:line="360" w:lineRule="auto"/>
        <w:ind w:firstLine="708"/>
        <w:jc w:val="both"/>
        <w:rPr>
          <w:rFonts w:asciiTheme="majorBidi" w:eastAsia="Times New Roman" w:hAnsiTheme="majorBidi" w:cstheme="majorBidi"/>
          <w:color w:val="FF0000"/>
          <w:lang w:bidi="ar-AE"/>
        </w:rPr>
      </w:pPr>
    </w:p>
    <w:p w14:paraId="51FB5E85" w14:textId="77777777" w:rsidR="00A70B78" w:rsidRPr="007C6A42" w:rsidRDefault="00A70B78" w:rsidP="00A70B78">
      <w:pPr>
        <w:spacing w:line="360" w:lineRule="auto"/>
        <w:jc w:val="both"/>
        <w:outlineLvl w:val="0"/>
        <w:rPr>
          <w:rFonts w:asciiTheme="majorBidi" w:eastAsia="Times New Roman" w:hAnsiTheme="majorBidi" w:cstheme="majorBidi"/>
          <w:b/>
          <w:bCs/>
          <w:lang w:bidi="ar-AE"/>
        </w:rPr>
      </w:pPr>
      <w:r w:rsidRPr="007C6A42">
        <w:rPr>
          <w:rFonts w:asciiTheme="majorBidi" w:eastAsia="Times New Roman" w:hAnsiTheme="majorBidi" w:cstheme="majorBidi"/>
          <w:b/>
          <w:bCs/>
          <w:lang w:bidi="ar-AE"/>
        </w:rPr>
        <w:t>La traduction d’</w:t>
      </w:r>
      <w:r w:rsidRPr="007C6A42">
        <w:rPr>
          <w:rFonts w:asciiTheme="majorBidi" w:eastAsia="Times New Roman" w:hAnsiTheme="majorBidi" w:cstheme="majorBidi"/>
          <w:b/>
          <w:bCs/>
          <w:i/>
          <w:iCs/>
          <w:lang w:bidi="ar-AE"/>
        </w:rPr>
        <w:t>an-nās</w:t>
      </w:r>
      <w:r w:rsidRPr="007C6A42">
        <w:rPr>
          <w:rFonts w:asciiTheme="majorBidi" w:eastAsia="Times New Roman" w:hAnsiTheme="majorBidi" w:cstheme="majorBidi"/>
          <w:b/>
          <w:bCs/>
          <w:lang w:bidi="ar-AE"/>
        </w:rPr>
        <w:t xml:space="preserve"> (v. 27) :</w:t>
      </w: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075"/>
      </w:tblGrid>
      <w:tr w:rsidR="00A70B78" w:rsidRPr="00F8097F" w14:paraId="67CA6D93" w14:textId="77777777" w:rsidTr="00AF4FC9">
        <w:tc>
          <w:tcPr>
            <w:tcW w:w="9214" w:type="dxa"/>
            <w:gridSpan w:val="2"/>
            <w:tcBorders>
              <w:top w:val="nil"/>
              <w:left w:val="single" w:sz="4" w:space="0" w:color="auto"/>
              <w:bottom w:val="single" w:sz="4" w:space="0" w:color="auto"/>
              <w:right w:val="single" w:sz="4" w:space="0" w:color="auto"/>
            </w:tcBorders>
          </w:tcPr>
          <w:p w14:paraId="3365E9E3" w14:textId="77777777" w:rsidR="00A70B78" w:rsidRPr="00F8097F" w:rsidRDefault="00A70B78" w:rsidP="00AF4FC9">
            <w:pPr>
              <w:bidi/>
              <w:spacing w:line="360" w:lineRule="auto"/>
              <w:contextualSpacing/>
              <w:jc w:val="center"/>
              <w:rPr>
                <w:rFonts w:asciiTheme="majorBidi" w:eastAsia="Times New Roman" w:hAnsiTheme="majorBidi" w:cstheme="majorBidi"/>
                <w:sz w:val="20"/>
                <w:szCs w:val="20"/>
                <w:lang w:bidi="ar-AE"/>
              </w:rPr>
            </w:pPr>
            <w:r w:rsidRPr="00F8097F">
              <w:rPr>
                <w:rFonts w:asciiTheme="majorBidi" w:eastAsia="Calibri" w:hAnsiTheme="majorBidi" w:cstheme="majorBidi"/>
                <w:sz w:val="20"/>
                <w:szCs w:val="20"/>
                <w:rtl/>
                <w:lang w:bidi="ar-AE"/>
              </w:rPr>
              <w:t>"وأَذِّنْ في الناس بالحجِّ يأتوكَ رِجالاً وعلى كلِّ ضامرٍ يأتينَ من كلِّ فَجٍّ عميق" (27)</w:t>
            </w:r>
          </w:p>
        </w:tc>
      </w:tr>
      <w:tr w:rsidR="00A70B78" w:rsidRPr="00F8097F" w14:paraId="388DE152" w14:textId="77777777" w:rsidTr="00AF4FC9">
        <w:tc>
          <w:tcPr>
            <w:tcW w:w="1135" w:type="dxa"/>
            <w:tcBorders>
              <w:top w:val="single" w:sz="4" w:space="0" w:color="auto"/>
              <w:left w:val="single" w:sz="4" w:space="0" w:color="auto"/>
              <w:bottom w:val="single" w:sz="4" w:space="0" w:color="auto"/>
              <w:right w:val="single" w:sz="4" w:space="0" w:color="auto"/>
            </w:tcBorders>
          </w:tcPr>
          <w:p w14:paraId="5BDA7E83"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color w:val="000000"/>
                <w:sz w:val="20"/>
                <w:szCs w:val="20"/>
              </w:rPr>
              <w:t>D.R.</w:t>
            </w:r>
          </w:p>
        </w:tc>
        <w:tc>
          <w:tcPr>
            <w:tcW w:w="8079" w:type="dxa"/>
            <w:tcBorders>
              <w:top w:val="single" w:sz="4" w:space="0" w:color="auto"/>
              <w:left w:val="single" w:sz="4" w:space="0" w:color="auto"/>
              <w:bottom w:val="single" w:sz="4" w:space="0" w:color="auto"/>
              <w:right w:val="single" w:sz="4" w:space="0" w:color="auto"/>
            </w:tcBorders>
          </w:tcPr>
          <w:p w14:paraId="683446D2"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 le peuple y viendrate viʃiter de tous coʃtez à pied &amp; à cheval [---]</w:t>
            </w:r>
          </w:p>
        </w:tc>
      </w:tr>
      <w:tr w:rsidR="00A70B78" w:rsidRPr="00F8097F" w14:paraId="4B4D8E12" w14:textId="77777777" w:rsidTr="00AF4FC9">
        <w:tc>
          <w:tcPr>
            <w:tcW w:w="1135" w:type="dxa"/>
            <w:tcBorders>
              <w:top w:val="single" w:sz="4" w:space="0" w:color="auto"/>
              <w:left w:val="single" w:sz="4" w:space="0" w:color="auto"/>
              <w:bottom w:val="single" w:sz="4" w:space="0" w:color="auto"/>
              <w:right w:val="single" w:sz="4" w:space="0" w:color="auto"/>
            </w:tcBorders>
          </w:tcPr>
          <w:p w14:paraId="3609EA5F"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sz w:val="20"/>
                <w:szCs w:val="20"/>
                <w:lang w:bidi="ar-KW"/>
              </w:rPr>
              <w:t>Sav.</w:t>
            </w:r>
          </w:p>
        </w:tc>
        <w:tc>
          <w:tcPr>
            <w:tcW w:w="8079" w:type="dxa"/>
            <w:tcBorders>
              <w:top w:val="single" w:sz="4" w:space="0" w:color="auto"/>
              <w:left w:val="single" w:sz="4" w:space="0" w:color="auto"/>
              <w:bottom w:val="single" w:sz="4" w:space="0" w:color="auto"/>
              <w:right w:val="single" w:sz="4" w:space="0" w:color="auto"/>
            </w:tcBorders>
          </w:tcPr>
          <w:p w14:paraId="35710159" w14:textId="77777777" w:rsidR="00A70B78" w:rsidRPr="00F8097F" w:rsidRDefault="00A70B78" w:rsidP="00AF4FC9">
            <w:pPr>
              <w:shd w:val="clear" w:color="auto" w:fill="FFFFFF"/>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 xml:space="preserve">Annonce aux peuples le saint pèlerinage. Qu’ils l’accomplissent à pied ou sur des chameaux. Qu’ils viennent des contrées les plus éloignées. </w:t>
            </w:r>
          </w:p>
        </w:tc>
      </w:tr>
      <w:tr w:rsidR="00A70B78" w:rsidRPr="00F8097F" w14:paraId="77D31FF7" w14:textId="77777777" w:rsidTr="00AF4FC9">
        <w:tc>
          <w:tcPr>
            <w:tcW w:w="1135" w:type="dxa"/>
            <w:tcBorders>
              <w:top w:val="single" w:sz="4" w:space="0" w:color="auto"/>
              <w:left w:val="single" w:sz="4" w:space="0" w:color="auto"/>
              <w:bottom w:val="single" w:sz="4" w:space="0" w:color="auto"/>
              <w:right w:val="single" w:sz="4" w:space="0" w:color="auto"/>
            </w:tcBorders>
          </w:tcPr>
          <w:p w14:paraId="7950211A"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sz w:val="20"/>
                <w:szCs w:val="20"/>
                <w:lang w:bidi="ar-KW"/>
              </w:rPr>
              <w:t xml:space="preserve">Kaz. </w:t>
            </w:r>
          </w:p>
        </w:tc>
        <w:tc>
          <w:tcPr>
            <w:tcW w:w="8079" w:type="dxa"/>
            <w:tcBorders>
              <w:top w:val="single" w:sz="4" w:space="0" w:color="auto"/>
              <w:left w:val="single" w:sz="4" w:space="0" w:color="auto"/>
              <w:bottom w:val="single" w:sz="4" w:space="0" w:color="auto"/>
              <w:right w:val="single" w:sz="4" w:space="0" w:color="auto"/>
            </w:tcBorders>
          </w:tcPr>
          <w:p w14:paraId="1212D71D" w14:textId="77777777" w:rsidR="00A70B78" w:rsidRPr="00F8097F" w:rsidRDefault="00A70B78" w:rsidP="00AF4FC9">
            <w:pPr>
              <w:spacing w:line="360" w:lineRule="auto"/>
              <w:ind w:right="113"/>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Annonce aux peuples le pèlerinage de la maison sainte, qu'ils y arrivent à pied ou montés sur des chameaux prompts à la course, venant des contrées éloignées.</w:t>
            </w:r>
          </w:p>
        </w:tc>
      </w:tr>
      <w:tr w:rsidR="00A70B78" w:rsidRPr="00F8097F" w14:paraId="393AE3AD" w14:textId="77777777" w:rsidTr="00AF4FC9">
        <w:tc>
          <w:tcPr>
            <w:tcW w:w="1135" w:type="dxa"/>
            <w:tcBorders>
              <w:top w:val="single" w:sz="4" w:space="0" w:color="auto"/>
              <w:left w:val="single" w:sz="4" w:space="0" w:color="auto"/>
              <w:bottom w:val="single" w:sz="4" w:space="0" w:color="auto"/>
              <w:right w:val="single" w:sz="4" w:space="0" w:color="auto"/>
            </w:tcBorders>
          </w:tcPr>
          <w:p w14:paraId="797E3BEA"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color w:val="000000"/>
                <w:sz w:val="20"/>
                <w:szCs w:val="20"/>
              </w:rPr>
              <w:t>Blach.</w:t>
            </w:r>
          </w:p>
        </w:tc>
        <w:tc>
          <w:tcPr>
            <w:tcW w:w="8079" w:type="dxa"/>
            <w:tcBorders>
              <w:top w:val="single" w:sz="4" w:space="0" w:color="auto"/>
              <w:left w:val="single" w:sz="4" w:space="0" w:color="auto"/>
              <w:bottom w:val="single" w:sz="4" w:space="0" w:color="auto"/>
              <w:right w:val="single" w:sz="4" w:space="0" w:color="auto"/>
            </w:tcBorders>
          </w:tcPr>
          <w:p w14:paraId="7ACD8381"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Appelle, parmi les Hommes, au Pèlerinage ! Ils viendront à pied ou sur toute [monture] au flanc cave. Ils viendront par tout passage encaissé</w:t>
            </w:r>
          </w:p>
        </w:tc>
      </w:tr>
      <w:tr w:rsidR="00A70B78" w:rsidRPr="00F8097F" w14:paraId="57A7731D" w14:textId="77777777" w:rsidTr="00AF4FC9">
        <w:tc>
          <w:tcPr>
            <w:tcW w:w="1135" w:type="dxa"/>
            <w:tcBorders>
              <w:top w:val="single" w:sz="4" w:space="0" w:color="auto"/>
              <w:left w:val="single" w:sz="4" w:space="0" w:color="auto"/>
              <w:bottom w:val="single" w:sz="4" w:space="0" w:color="auto"/>
              <w:right w:val="single" w:sz="4" w:space="0" w:color="auto"/>
            </w:tcBorders>
          </w:tcPr>
          <w:p w14:paraId="233D2869"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color w:val="000000"/>
                <w:sz w:val="20"/>
                <w:szCs w:val="20"/>
              </w:rPr>
              <w:t>Hamid</w:t>
            </w:r>
          </w:p>
        </w:tc>
        <w:tc>
          <w:tcPr>
            <w:tcW w:w="8079" w:type="dxa"/>
            <w:tcBorders>
              <w:top w:val="single" w:sz="4" w:space="0" w:color="auto"/>
              <w:left w:val="single" w:sz="4" w:space="0" w:color="auto"/>
              <w:bottom w:val="single" w:sz="4" w:space="0" w:color="auto"/>
              <w:right w:val="single" w:sz="4" w:space="0" w:color="auto"/>
            </w:tcBorders>
          </w:tcPr>
          <w:p w14:paraId="7C43FF56" w14:textId="77777777" w:rsidR="00A70B78" w:rsidRPr="00F8097F" w:rsidRDefault="00A70B78" w:rsidP="00AF4FC9">
            <w:pPr>
              <w:spacing w:line="360" w:lineRule="auto"/>
              <w:jc w:val="both"/>
              <w:rPr>
                <w:rFonts w:asciiTheme="majorBidi" w:eastAsia="Calibri" w:hAnsiTheme="majorBidi" w:cstheme="majorBidi"/>
                <w:sz w:val="20"/>
                <w:szCs w:val="20"/>
              </w:rPr>
            </w:pPr>
            <w:r w:rsidRPr="00F8097F">
              <w:rPr>
                <w:rFonts w:asciiTheme="majorBidi" w:eastAsia="Calibri" w:hAnsiTheme="majorBidi" w:cstheme="majorBidi"/>
                <w:sz w:val="20"/>
                <w:szCs w:val="20"/>
              </w:rPr>
              <w:t xml:space="preserve">Et fais aux gens une annonce pour le pèlerinage : qu’ils viennent à toi, à pied, et aussi à dromadaire de toute espèce, de tout chemin creux. (NDT : </w:t>
            </w:r>
            <w:r w:rsidRPr="00F8097F">
              <w:rPr>
                <w:rFonts w:asciiTheme="majorBidi" w:eastAsia="Calibri" w:hAnsiTheme="majorBidi" w:cstheme="majorBidi"/>
                <w:i/>
                <w:sz w:val="20"/>
                <w:szCs w:val="20"/>
              </w:rPr>
              <w:t>de tout chemin creux</w:t>
            </w:r>
            <w:r w:rsidRPr="00F8097F">
              <w:rPr>
                <w:rFonts w:asciiTheme="majorBidi" w:eastAsia="Calibri" w:hAnsiTheme="majorBidi" w:cstheme="majorBidi"/>
                <w:sz w:val="20"/>
                <w:szCs w:val="20"/>
              </w:rPr>
              <w:t>. Littéralement : profond (dans le sens difficile et lointain).</w:t>
            </w:r>
          </w:p>
        </w:tc>
      </w:tr>
      <w:tr w:rsidR="00A70B78" w:rsidRPr="00F8097F" w14:paraId="30CF8168" w14:textId="77777777" w:rsidTr="00AF4FC9">
        <w:tc>
          <w:tcPr>
            <w:tcW w:w="1135" w:type="dxa"/>
            <w:tcBorders>
              <w:top w:val="single" w:sz="4" w:space="0" w:color="auto"/>
              <w:left w:val="single" w:sz="4" w:space="0" w:color="auto"/>
              <w:bottom w:val="single" w:sz="4" w:space="0" w:color="auto"/>
              <w:right w:val="single" w:sz="4" w:space="0" w:color="auto"/>
            </w:tcBorders>
          </w:tcPr>
          <w:p w14:paraId="4DF7F687"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color w:val="000000"/>
                <w:sz w:val="20"/>
                <w:szCs w:val="20"/>
              </w:rPr>
              <w:t>Mass.</w:t>
            </w:r>
          </w:p>
        </w:tc>
        <w:tc>
          <w:tcPr>
            <w:tcW w:w="8079" w:type="dxa"/>
            <w:tcBorders>
              <w:top w:val="single" w:sz="4" w:space="0" w:color="auto"/>
              <w:left w:val="single" w:sz="4" w:space="0" w:color="auto"/>
              <w:bottom w:val="single" w:sz="4" w:space="0" w:color="auto"/>
              <w:right w:val="single" w:sz="4" w:space="0" w:color="auto"/>
            </w:tcBorders>
          </w:tcPr>
          <w:p w14:paraId="3CB96E76"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Appelle les hommes au Pèlerinage : ils viendront à toi, à pied ou sur toute monture élancée. Ils viendront par des chemins encaissés</w:t>
            </w:r>
          </w:p>
        </w:tc>
      </w:tr>
      <w:tr w:rsidR="00A70B78" w:rsidRPr="00F8097F" w14:paraId="4722646F" w14:textId="77777777" w:rsidTr="00AF4FC9">
        <w:tc>
          <w:tcPr>
            <w:tcW w:w="1135" w:type="dxa"/>
            <w:tcBorders>
              <w:top w:val="single" w:sz="4" w:space="0" w:color="auto"/>
              <w:left w:val="single" w:sz="4" w:space="0" w:color="auto"/>
              <w:bottom w:val="single" w:sz="4" w:space="0" w:color="auto"/>
              <w:right w:val="single" w:sz="4" w:space="0" w:color="auto"/>
            </w:tcBorders>
          </w:tcPr>
          <w:p w14:paraId="23A432C6"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color w:val="000000"/>
                <w:sz w:val="20"/>
                <w:szCs w:val="20"/>
              </w:rPr>
              <w:t>Chour.</w:t>
            </w:r>
          </w:p>
        </w:tc>
        <w:tc>
          <w:tcPr>
            <w:tcW w:w="8079" w:type="dxa"/>
            <w:tcBorders>
              <w:top w:val="single" w:sz="4" w:space="0" w:color="auto"/>
              <w:left w:val="single" w:sz="4" w:space="0" w:color="auto"/>
              <w:bottom w:val="single" w:sz="4" w:space="0" w:color="auto"/>
              <w:right w:val="single" w:sz="4" w:space="0" w:color="auto"/>
            </w:tcBorders>
          </w:tcPr>
          <w:p w14:paraId="6D3C8E0C" w14:textId="77777777" w:rsidR="00A70B78" w:rsidRPr="00F8097F" w:rsidRDefault="00A70B78" w:rsidP="00AF4FC9">
            <w:pPr>
              <w:spacing w:line="360" w:lineRule="auto"/>
              <w:rPr>
                <w:rFonts w:asciiTheme="majorBidi" w:eastAsia="Times New Roman" w:hAnsiTheme="majorBidi" w:cstheme="majorBidi"/>
                <w:sz w:val="20"/>
                <w:szCs w:val="20"/>
              </w:rPr>
            </w:pPr>
            <w:r w:rsidRPr="00F8097F">
              <w:rPr>
                <w:rFonts w:asciiTheme="majorBidi" w:eastAsia="Times New Roman" w:hAnsiTheme="majorBidi" w:cstheme="majorBidi"/>
                <w:color w:val="000000"/>
                <w:sz w:val="20"/>
                <w:szCs w:val="20"/>
              </w:rPr>
              <w:t>Proclame le Pèlerinage parmi les hommes !</w:t>
            </w:r>
            <w:r w:rsidRPr="00F8097F">
              <w:rPr>
                <w:rFonts w:asciiTheme="majorBidi" w:eastAsia="Times New Roman" w:hAnsiTheme="majorBidi" w:cstheme="majorBidi"/>
                <w:sz w:val="20"/>
                <w:szCs w:val="20"/>
              </w:rPr>
              <w:t xml:space="preserve"> </w:t>
            </w:r>
            <w:r w:rsidRPr="00F8097F">
              <w:rPr>
                <w:rFonts w:asciiTheme="majorBidi" w:eastAsia="Times New Roman" w:hAnsiTheme="majorBidi" w:cstheme="majorBidi"/>
                <w:color w:val="000000"/>
                <w:sz w:val="20"/>
                <w:szCs w:val="20"/>
              </w:rPr>
              <w:t>Ils viendront à toi à pied ou sur des méharis,</w:t>
            </w:r>
            <w:r w:rsidRPr="00F8097F">
              <w:rPr>
                <w:rFonts w:asciiTheme="majorBidi" w:eastAsia="Times New Roman" w:hAnsiTheme="majorBidi" w:cstheme="majorBidi"/>
                <w:sz w:val="20"/>
                <w:szCs w:val="20"/>
              </w:rPr>
              <w:t xml:space="preserve"> </w:t>
            </w:r>
            <w:r w:rsidRPr="00F8097F">
              <w:rPr>
                <w:rFonts w:asciiTheme="majorBidi" w:eastAsia="Times New Roman" w:hAnsiTheme="majorBidi" w:cstheme="majorBidi"/>
                <w:color w:val="000000"/>
                <w:sz w:val="20"/>
                <w:szCs w:val="20"/>
              </w:rPr>
              <w:t>ils viendront de toute gorge profonde</w:t>
            </w:r>
          </w:p>
        </w:tc>
      </w:tr>
      <w:tr w:rsidR="00A70B78" w:rsidRPr="00F8097F" w14:paraId="65FD7D7B" w14:textId="77777777" w:rsidTr="00AF4FC9">
        <w:tc>
          <w:tcPr>
            <w:tcW w:w="1135" w:type="dxa"/>
            <w:tcBorders>
              <w:top w:val="single" w:sz="4" w:space="0" w:color="auto"/>
              <w:left w:val="single" w:sz="4" w:space="0" w:color="auto"/>
              <w:bottom w:val="single" w:sz="4" w:space="0" w:color="auto"/>
              <w:right w:val="single" w:sz="4" w:space="0" w:color="auto"/>
            </w:tcBorders>
          </w:tcPr>
          <w:p w14:paraId="0D73DCC1"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color w:val="000000"/>
                <w:sz w:val="20"/>
                <w:szCs w:val="20"/>
              </w:rPr>
              <w:t>Ghéd.</w:t>
            </w:r>
          </w:p>
        </w:tc>
        <w:tc>
          <w:tcPr>
            <w:tcW w:w="8079" w:type="dxa"/>
            <w:tcBorders>
              <w:top w:val="single" w:sz="4" w:space="0" w:color="auto"/>
              <w:left w:val="single" w:sz="4" w:space="0" w:color="auto"/>
              <w:bottom w:val="single" w:sz="4" w:space="0" w:color="auto"/>
              <w:right w:val="single" w:sz="4" w:space="0" w:color="auto"/>
            </w:tcBorders>
          </w:tcPr>
          <w:p w14:paraId="30E89734"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sz w:val="20"/>
                <w:szCs w:val="20"/>
              </w:rPr>
              <w:t>Annonce aux Hommes le Pèlerinage : ils te rejoindront à pieds ou montés sur des chameaux prompts à la course, surgissant des chemins les plus éloignés</w:t>
            </w:r>
          </w:p>
        </w:tc>
      </w:tr>
      <w:tr w:rsidR="00A70B78" w:rsidRPr="00F8097F" w14:paraId="081A6C2C" w14:textId="77777777" w:rsidTr="00AF4FC9">
        <w:tc>
          <w:tcPr>
            <w:tcW w:w="1135" w:type="dxa"/>
            <w:tcBorders>
              <w:top w:val="single" w:sz="4" w:space="0" w:color="auto"/>
              <w:left w:val="single" w:sz="4" w:space="0" w:color="auto"/>
              <w:bottom w:val="single" w:sz="4" w:space="0" w:color="auto"/>
              <w:right w:val="single" w:sz="4" w:space="0" w:color="auto"/>
            </w:tcBorders>
          </w:tcPr>
          <w:p w14:paraId="48C3BE7C"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sz w:val="20"/>
                <w:szCs w:val="20"/>
                <w:lang w:bidi="ar-KW"/>
              </w:rPr>
              <w:t>Méd.</w:t>
            </w:r>
          </w:p>
        </w:tc>
        <w:tc>
          <w:tcPr>
            <w:tcW w:w="8079" w:type="dxa"/>
            <w:tcBorders>
              <w:top w:val="single" w:sz="4" w:space="0" w:color="auto"/>
              <w:left w:val="single" w:sz="4" w:space="0" w:color="auto"/>
              <w:bottom w:val="single" w:sz="4" w:space="0" w:color="auto"/>
              <w:right w:val="single" w:sz="4" w:space="0" w:color="auto"/>
            </w:tcBorders>
          </w:tcPr>
          <w:p w14:paraId="186F7CFB" w14:textId="77777777" w:rsidR="00A70B78" w:rsidRPr="00F8097F" w:rsidRDefault="00A70B78" w:rsidP="00AF4FC9">
            <w:pPr>
              <w:shd w:val="clear" w:color="auto" w:fill="FFFFFF"/>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color w:val="000000"/>
                <w:sz w:val="20"/>
                <w:szCs w:val="20"/>
              </w:rPr>
              <w:t>Et fais aux gens une annonce pour le Hajj. Ils viendront vers toi, à pied, et aussi sur toute monture, venant de tout chemin éloigné</w:t>
            </w:r>
          </w:p>
        </w:tc>
      </w:tr>
      <w:tr w:rsidR="00A70B78" w:rsidRPr="00F8097F" w14:paraId="0D14ECE1" w14:textId="77777777" w:rsidTr="00AF4FC9">
        <w:tc>
          <w:tcPr>
            <w:tcW w:w="1135" w:type="dxa"/>
            <w:tcBorders>
              <w:top w:val="single" w:sz="4" w:space="0" w:color="auto"/>
              <w:left w:val="single" w:sz="4" w:space="0" w:color="auto"/>
              <w:bottom w:val="single" w:sz="4" w:space="0" w:color="auto"/>
              <w:right w:val="single" w:sz="4" w:space="0" w:color="auto"/>
            </w:tcBorders>
          </w:tcPr>
          <w:p w14:paraId="78B4964B"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sz w:val="20"/>
                <w:szCs w:val="20"/>
                <w:lang w:bidi="ar-KW"/>
              </w:rPr>
              <w:t>Berque</w:t>
            </w:r>
          </w:p>
        </w:tc>
        <w:tc>
          <w:tcPr>
            <w:tcW w:w="8079" w:type="dxa"/>
            <w:tcBorders>
              <w:top w:val="single" w:sz="4" w:space="0" w:color="auto"/>
              <w:left w:val="single" w:sz="4" w:space="0" w:color="auto"/>
              <w:bottom w:val="single" w:sz="4" w:space="0" w:color="auto"/>
              <w:right w:val="single" w:sz="4" w:space="0" w:color="auto"/>
            </w:tcBorders>
          </w:tcPr>
          <w:p w14:paraId="42F6B1EF" w14:textId="77777777" w:rsidR="00A70B78" w:rsidRPr="00F8097F" w:rsidRDefault="00A70B78" w:rsidP="00AF4FC9">
            <w:pPr>
              <w:spacing w:line="360" w:lineRule="auto"/>
              <w:contextualSpacing/>
              <w:jc w:val="both"/>
              <w:rPr>
                <w:rFonts w:asciiTheme="majorBidi" w:eastAsia="Calibri" w:hAnsiTheme="majorBidi" w:cstheme="majorBidi"/>
                <w:sz w:val="20"/>
                <w:szCs w:val="20"/>
                <w:lang w:bidi="ar-AE"/>
              </w:rPr>
            </w:pPr>
            <w:r w:rsidRPr="00F8097F">
              <w:rPr>
                <w:rFonts w:asciiTheme="majorBidi" w:eastAsia="Calibri" w:hAnsiTheme="majorBidi" w:cstheme="majorBidi"/>
                <w:sz w:val="20"/>
                <w:szCs w:val="20"/>
                <w:lang w:bidi="ar-AE"/>
              </w:rPr>
              <w:t>lance parmi les hommes l’appel au pèlerinage : qu’ils te viennent à pied ou sur quelque bête amaigrie, affluant de tout profond défilé</w:t>
            </w:r>
          </w:p>
        </w:tc>
      </w:tr>
      <w:tr w:rsidR="00A70B78" w:rsidRPr="00F8097F" w14:paraId="3DE1A139" w14:textId="77777777" w:rsidTr="00AF4FC9">
        <w:tc>
          <w:tcPr>
            <w:tcW w:w="1135" w:type="dxa"/>
            <w:tcBorders>
              <w:top w:val="single" w:sz="4" w:space="0" w:color="auto"/>
              <w:left w:val="single" w:sz="4" w:space="0" w:color="auto"/>
              <w:bottom w:val="single" w:sz="4" w:space="0" w:color="auto"/>
              <w:right w:val="single" w:sz="4" w:space="0" w:color="auto"/>
            </w:tcBorders>
          </w:tcPr>
          <w:p w14:paraId="76D0190D"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color w:val="000000"/>
                <w:sz w:val="20"/>
                <w:szCs w:val="20"/>
              </w:rPr>
              <w:t>Gues.</w:t>
            </w:r>
          </w:p>
        </w:tc>
        <w:tc>
          <w:tcPr>
            <w:tcW w:w="8079" w:type="dxa"/>
            <w:tcBorders>
              <w:top w:val="single" w:sz="4" w:space="0" w:color="auto"/>
              <w:left w:val="single" w:sz="4" w:space="0" w:color="auto"/>
              <w:bottom w:val="single" w:sz="4" w:space="0" w:color="auto"/>
              <w:right w:val="single" w:sz="4" w:space="0" w:color="auto"/>
            </w:tcBorders>
          </w:tcPr>
          <w:p w14:paraId="285DF319"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Appelle les gens au pèlerinage, qu’ils y arrivent à pied ou montés,</w:t>
            </w:r>
          </w:p>
          <w:p w14:paraId="3743C4CC"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lastRenderedPageBreak/>
              <w:t>Venant des contrées fort éloignées.</w:t>
            </w:r>
          </w:p>
        </w:tc>
      </w:tr>
      <w:tr w:rsidR="00A70B78" w:rsidRPr="00F8097F" w14:paraId="41E586CB" w14:textId="77777777" w:rsidTr="00AF4FC9">
        <w:tc>
          <w:tcPr>
            <w:tcW w:w="1135" w:type="dxa"/>
            <w:tcBorders>
              <w:top w:val="single" w:sz="4" w:space="0" w:color="auto"/>
              <w:left w:val="single" w:sz="4" w:space="0" w:color="auto"/>
              <w:bottom w:val="single" w:sz="4" w:space="0" w:color="auto"/>
              <w:right w:val="single" w:sz="4" w:space="0" w:color="auto"/>
            </w:tcBorders>
          </w:tcPr>
          <w:p w14:paraId="13F2DCC1"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color w:val="000000"/>
                <w:sz w:val="20"/>
                <w:szCs w:val="20"/>
              </w:rPr>
              <w:lastRenderedPageBreak/>
              <w:t>Haf.</w:t>
            </w:r>
          </w:p>
        </w:tc>
        <w:tc>
          <w:tcPr>
            <w:tcW w:w="8079" w:type="dxa"/>
            <w:tcBorders>
              <w:top w:val="single" w:sz="4" w:space="0" w:color="auto"/>
              <w:left w:val="single" w:sz="4" w:space="0" w:color="auto"/>
              <w:bottom w:val="single" w:sz="4" w:space="0" w:color="auto"/>
              <w:right w:val="single" w:sz="4" w:space="0" w:color="auto"/>
            </w:tcBorders>
          </w:tcPr>
          <w:p w14:paraId="670B91CE" w14:textId="77777777" w:rsidR="00A70B78" w:rsidRPr="00F8097F" w:rsidRDefault="00A70B78" w:rsidP="00AF4FC9">
            <w:pPr>
              <w:spacing w:line="360" w:lineRule="auto"/>
              <w:jc w:val="both"/>
              <w:rPr>
                <w:rFonts w:asciiTheme="majorBidi" w:eastAsia="Batang" w:hAnsiTheme="majorBidi" w:cstheme="majorBidi"/>
                <w:sz w:val="20"/>
                <w:szCs w:val="20"/>
              </w:rPr>
            </w:pPr>
            <w:r w:rsidRPr="00F8097F">
              <w:rPr>
                <w:rFonts w:asciiTheme="majorBidi" w:eastAsia="Batang" w:hAnsiTheme="majorBidi" w:cstheme="majorBidi"/>
                <w:sz w:val="20"/>
                <w:szCs w:val="20"/>
              </w:rPr>
              <w:t>appelle les gens au pèlerinage, ils viendront vers toi, à pied ou sur toute monture, des contrées les plus éloignées</w:t>
            </w:r>
          </w:p>
        </w:tc>
      </w:tr>
      <w:tr w:rsidR="00A70B78" w:rsidRPr="00F8097F" w14:paraId="7270D999" w14:textId="77777777" w:rsidTr="00AF4FC9">
        <w:tc>
          <w:tcPr>
            <w:tcW w:w="1135" w:type="dxa"/>
            <w:tcBorders>
              <w:top w:val="single" w:sz="4" w:space="0" w:color="auto"/>
              <w:left w:val="single" w:sz="4" w:space="0" w:color="auto"/>
              <w:bottom w:val="single" w:sz="4" w:space="0" w:color="auto"/>
              <w:right w:val="single" w:sz="4" w:space="0" w:color="auto"/>
            </w:tcBorders>
          </w:tcPr>
          <w:p w14:paraId="1D70F65C"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color w:val="000000"/>
                <w:sz w:val="20"/>
                <w:szCs w:val="20"/>
              </w:rPr>
              <w:t>Gros.</w:t>
            </w:r>
          </w:p>
        </w:tc>
        <w:tc>
          <w:tcPr>
            <w:tcW w:w="8079" w:type="dxa"/>
            <w:tcBorders>
              <w:top w:val="single" w:sz="4" w:space="0" w:color="auto"/>
              <w:left w:val="single" w:sz="4" w:space="0" w:color="auto"/>
              <w:bottom w:val="single" w:sz="4" w:space="0" w:color="auto"/>
              <w:right w:val="single" w:sz="4" w:space="0" w:color="auto"/>
            </w:tcBorders>
          </w:tcPr>
          <w:p w14:paraId="11A7EE62" w14:textId="77777777" w:rsidR="00A70B78" w:rsidRPr="00F8097F" w:rsidRDefault="00A70B78" w:rsidP="00AF4FC9">
            <w:pPr>
              <w:spacing w:line="360" w:lineRule="auto"/>
              <w:jc w:val="both"/>
              <w:rPr>
                <w:rFonts w:asciiTheme="majorBidi" w:eastAsia="Batang" w:hAnsiTheme="majorBidi" w:cstheme="majorBidi"/>
                <w:sz w:val="20"/>
                <w:szCs w:val="20"/>
              </w:rPr>
            </w:pPr>
            <w:r w:rsidRPr="00F8097F">
              <w:rPr>
                <w:rFonts w:asciiTheme="majorBidi" w:eastAsia="Batang" w:hAnsiTheme="majorBidi" w:cstheme="majorBidi"/>
                <w:sz w:val="20"/>
                <w:szCs w:val="20"/>
              </w:rPr>
              <w:t>Appelle les hommes au pèlerinage. Ils y viendront à pied ou sur toute monture efflanquée. Ils viendront vers toi par tout défilé</w:t>
            </w:r>
          </w:p>
        </w:tc>
      </w:tr>
      <w:tr w:rsidR="00A70B78" w:rsidRPr="00F8097F" w14:paraId="2E8E2A5B" w14:textId="77777777" w:rsidTr="00AF4FC9">
        <w:tc>
          <w:tcPr>
            <w:tcW w:w="1135" w:type="dxa"/>
            <w:tcBorders>
              <w:top w:val="single" w:sz="4" w:space="0" w:color="auto"/>
              <w:left w:val="single" w:sz="4" w:space="0" w:color="auto"/>
              <w:bottom w:val="single" w:sz="4" w:space="0" w:color="auto"/>
              <w:right w:val="single" w:sz="4" w:space="0" w:color="auto"/>
            </w:tcBorders>
          </w:tcPr>
          <w:p w14:paraId="6E58C508"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sz w:val="20"/>
                <w:szCs w:val="20"/>
              </w:rPr>
              <w:t>Chiad.</w:t>
            </w:r>
          </w:p>
        </w:tc>
        <w:tc>
          <w:tcPr>
            <w:tcW w:w="8079" w:type="dxa"/>
            <w:tcBorders>
              <w:top w:val="single" w:sz="4" w:space="0" w:color="auto"/>
              <w:left w:val="single" w:sz="4" w:space="0" w:color="auto"/>
              <w:bottom w:val="single" w:sz="4" w:space="0" w:color="auto"/>
              <w:right w:val="single" w:sz="4" w:space="0" w:color="auto"/>
            </w:tcBorders>
          </w:tcPr>
          <w:p w14:paraId="5E8BA6E3" w14:textId="77777777" w:rsidR="00A70B78" w:rsidRPr="00F8097F" w:rsidRDefault="00A70B78" w:rsidP="00AF4FC9">
            <w:pPr>
              <w:spacing w:line="360" w:lineRule="auto"/>
              <w:jc w:val="both"/>
              <w:rPr>
                <w:rFonts w:asciiTheme="majorBidi" w:eastAsia="Batang" w:hAnsiTheme="majorBidi" w:cstheme="majorBidi"/>
                <w:sz w:val="20"/>
                <w:szCs w:val="20"/>
              </w:rPr>
            </w:pPr>
            <w:r w:rsidRPr="00F8097F">
              <w:rPr>
                <w:rFonts w:asciiTheme="majorBidi" w:eastAsia="Batang" w:hAnsiTheme="majorBidi" w:cstheme="majorBidi"/>
                <w:sz w:val="20"/>
                <w:szCs w:val="20"/>
              </w:rPr>
              <w:t xml:space="preserve">Appelle les hommes au pèlerinage </w:t>
            </w:r>
            <w:r w:rsidRPr="00F8097F">
              <w:rPr>
                <w:rFonts w:asciiTheme="majorBidi" w:eastAsia="Batang" w:hAnsiTheme="majorBidi" w:cstheme="majorBidi"/>
                <w:i/>
                <w:sz w:val="20"/>
                <w:szCs w:val="20"/>
              </w:rPr>
              <w:t xml:space="preserve">[hajj] ! </w:t>
            </w:r>
            <w:r w:rsidRPr="00F8097F">
              <w:rPr>
                <w:rFonts w:asciiTheme="majorBidi" w:eastAsia="Batang" w:hAnsiTheme="majorBidi" w:cstheme="majorBidi"/>
                <w:sz w:val="20"/>
                <w:szCs w:val="20"/>
              </w:rPr>
              <w:t>Ils répondront à ton appel, à pied et sur toute monture, venant des contrées les plus éloignées</w:t>
            </w:r>
          </w:p>
        </w:tc>
      </w:tr>
      <w:tr w:rsidR="00A70B78" w:rsidRPr="00F8097F" w14:paraId="281AE3DA" w14:textId="77777777" w:rsidTr="00AF4FC9">
        <w:tc>
          <w:tcPr>
            <w:tcW w:w="1135" w:type="dxa"/>
            <w:tcBorders>
              <w:top w:val="single" w:sz="4" w:space="0" w:color="auto"/>
              <w:left w:val="single" w:sz="4" w:space="0" w:color="auto"/>
              <w:bottom w:val="single" w:sz="4" w:space="0" w:color="auto"/>
              <w:right w:val="single" w:sz="4" w:space="0" w:color="auto"/>
            </w:tcBorders>
          </w:tcPr>
          <w:p w14:paraId="1EFBC15F"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color w:val="000000"/>
                <w:sz w:val="20"/>
                <w:szCs w:val="20"/>
              </w:rPr>
              <w:t>B. M.</w:t>
            </w:r>
          </w:p>
        </w:tc>
        <w:tc>
          <w:tcPr>
            <w:tcW w:w="8079" w:type="dxa"/>
            <w:tcBorders>
              <w:top w:val="single" w:sz="4" w:space="0" w:color="auto"/>
              <w:left w:val="single" w:sz="4" w:space="0" w:color="auto"/>
              <w:bottom w:val="single" w:sz="4" w:space="0" w:color="auto"/>
              <w:right w:val="single" w:sz="4" w:space="0" w:color="auto"/>
            </w:tcBorders>
          </w:tcPr>
          <w:p w14:paraId="3B362AF6" w14:textId="77777777" w:rsidR="00A70B78" w:rsidRPr="00F8097F" w:rsidRDefault="00A70B78" w:rsidP="00AF4FC9">
            <w:pPr>
              <w:spacing w:line="360" w:lineRule="auto"/>
              <w:jc w:val="both"/>
              <w:rPr>
                <w:rFonts w:asciiTheme="majorBidi" w:eastAsia="Batang" w:hAnsiTheme="majorBidi" w:cstheme="majorBidi"/>
                <w:sz w:val="20"/>
                <w:szCs w:val="20"/>
              </w:rPr>
            </w:pPr>
            <w:r w:rsidRPr="00F8097F">
              <w:rPr>
                <w:rFonts w:asciiTheme="majorBidi" w:eastAsia="Batang" w:hAnsiTheme="majorBidi" w:cstheme="majorBidi"/>
                <w:sz w:val="20"/>
                <w:szCs w:val="20"/>
              </w:rPr>
              <w:t>Convie les gens à venir visiter le Temple. Qu’ils y viennent à pied ou sur leurs montures ; qu’ils y accourent de tous les points de l’univers !</w:t>
            </w:r>
          </w:p>
        </w:tc>
      </w:tr>
      <w:tr w:rsidR="00A70B78" w:rsidRPr="00F8097F" w14:paraId="681F37D8" w14:textId="77777777" w:rsidTr="00AF4FC9">
        <w:tc>
          <w:tcPr>
            <w:tcW w:w="1135" w:type="dxa"/>
            <w:tcBorders>
              <w:top w:val="single" w:sz="4" w:space="0" w:color="auto"/>
              <w:left w:val="single" w:sz="4" w:space="0" w:color="auto"/>
              <w:bottom w:val="single" w:sz="4" w:space="0" w:color="auto"/>
              <w:right w:val="single" w:sz="4" w:space="0" w:color="auto"/>
            </w:tcBorders>
          </w:tcPr>
          <w:p w14:paraId="2AA3FCC9"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color w:val="000000"/>
                <w:sz w:val="20"/>
                <w:szCs w:val="20"/>
              </w:rPr>
              <w:t>Cheb.</w:t>
            </w:r>
          </w:p>
        </w:tc>
        <w:tc>
          <w:tcPr>
            <w:tcW w:w="8079" w:type="dxa"/>
            <w:tcBorders>
              <w:top w:val="single" w:sz="4" w:space="0" w:color="auto"/>
              <w:left w:val="single" w:sz="4" w:space="0" w:color="auto"/>
              <w:bottom w:val="single" w:sz="4" w:space="0" w:color="auto"/>
              <w:right w:val="single" w:sz="4" w:space="0" w:color="auto"/>
            </w:tcBorders>
          </w:tcPr>
          <w:p w14:paraId="702575A5" w14:textId="77777777" w:rsidR="00A70B78" w:rsidRPr="00F8097F" w:rsidRDefault="00A70B78" w:rsidP="00AF4FC9">
            <w:pPr>
              <w:spacing w:line="360" w:lineRule="auto"/>
              <w:rPr>
                <w:rFonts w:asciiTheme="majorBidi" w:eastAsia="Calibri" w:hAnsiTheme="majorBidi" w:cstheme="majorBidi"/>
                <w:sz w:val="20"/>
                <w:szCs w:val="20"/>
                <w:lang w:bidi="ar-KW"/>
              </w:rPr>
            </w:pPr>
            <w:r w:rsidRPr="00F8097F">
              <w:rPr>
                <w:rFonts w:asciiTheme="majorBidi" w:eastAsia="Calibri" w:hAnsiTheme="majorBidi" w:cstheme="majorBidi"/>
                <w:sz w:val="20"/>
                <w:szCs w:val="20"/>
              </w:rPr>
              <w:t>Invite les hommes au pèlerinage. Ils y viendront de toute part. A pied ou sur des montures promptes à s’élancer. Ils viennent de chaque profond défilé</w:t>
            </w:r>
          </w:p>
        </w:tc>
      </w:tr>
      <w:tr w:rsidR="00A70B78" w:rsidRPr="00F8097F" w14:paraId="1DA5EC4B" w14:textId="77777777" w:rsidTr="00AF4FC9">
        <w:tc>
          <w:tcPr>
            <w:tcW w:w="1135" w:type="dxa"/>
            <w:tcBorders>
              <w:top w:val="single" w:sz="4" w:space="0" w:color="auto"/>
              <w:left w:val="single" w:sz="4" w:space="0" w:color="auto"/>
              <w:bottom w:val="single" w:sz="4" w:space="0" w:color="auto"/>
              <w:right w:val="single" w:sz="4" w:space="0" w:color="auto"/>
            </w:tcBorders>
          </w:tcPr>
          <w:p w14:paraId="10AE51E2"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color w:val="000000"/>
                <w:sz w:val="20"/>
                <w:szCs w:val="20"/>
              </w:rPr>
              <w:t>Abdel.</w:t>
            </w:r>
          </w:p>
        </w:tc>
        <w:tc>
          <w:tcPr>
            <w:tcW w:w="8079" w:type="dxa"/>
            <w:tcBorders>
              <w:top w:val="single" w:sz="4" w:space="0" w:color="auto"/>
              <w:left w:val="single" w:sz="4" w:space="0" w:color="auto"/>
              <w:bottom w:val="single" w:sz="4" w:space="0" w:color="auto"/>
              <w:right w:val="single" w:sz="4" w:space="0" w:color="auto"/>
            </w:tcBorders>
          </w:tcPr>
          <w:p w14:paraId="0A87FA9C" w14:textId="77777777" w:rsidR="00A70B78" w:rsidRPr="00F8097F" w:rsidRDefault="00A70B78" w:rsidP="00AF4FC9">
            <w:pPr>
              <w:spacing w:line="360" w:lineRule="auto"/>
              <w:jc w:val="both"/>
              <w:rPr>
                <w:rFonts w:asciiTheme="majorBidi" w:eastAsia="Times New Roman" w:hAnsiTheme="majorBidi" w:cstheme="majorBidi"/>
                <w:sz w:val="20"/>
                <w:szCs w:val="20"/>
              </w:rPr>
            </w:pPr>
            <w:r w:rsidRPr="00F8097F">
              <w:rPr>
                <w:rFonts w:asciiTheme="majorBidi" w:eastAsia="Times New Roman" w:hAnsiTheme="majorBidi" w:cstheme="majorBidi"/>
                <w:sz w:val="20"/>
                <w:szCs w:val="20"/>
              </w:rPr>
              <w:t>Et appelle les hommes au pèlerinage, ils te viendront à pieds et sur toute monture, ils viendront de tout ravin éloigné.</w:t>
            </w:r>
          </w:p>
        </w:tc>
      </w:tr>
      <w:tr w:rsidR="00A70B78" w:rsidRPr="00F8097F" w14:paraId="0DFC1AF9" w14:textId="77777777" w:rsidTr="00AF4FC9">
        <w:tc>
          <w:tcPr>
            <w:tcW w:w="1135" w:type="dxa"/>
            <w:tcBorders>
              <w:top w:val="single" w:sz="4" w:space="0" w:color="auto"/>
              <w:left w:val="single" w:sz="4" w:space="0" w:color="auto"/>
              <w:bottom w:val="single" w:sz="4" w:space="0" w:color="auto"/>
              <w:right w:val="single" w:sz="4" w:space="0" w:color="auto"/>
            </w:tcBorders>
          </w:tcPr>
          <w:p w14:paraId="0166C6E0" w14:textId="77777777" w:rsidR="00A70B78" w:rsidRPr="00F8097F" w:rsidRDefault="00A70B78" w:rsidP="00AF4FC9">
            <w:pPr>
              <w:spacing w:line="360" w:lineRule="auto"/>
              <w:jc w:val="both"/>
              <w:rPr>
                <w:rFonts w:asciiTheme="majorBidi" w:eastAsia="Times New Roman" w:hAnsiTheme="majorBidi" w:cstheme="majorBidi"/>
                <w:color w:val="000000"/>
                <w:sz w:val="20"/>
                <w:szCs w:val="20"/>
              </w:rPr>
            </w:pPr>
            <w:r w:rsidRPr="00F8097F">
              <w:rPr>
                <w:rFonts w:asciiTheme="majorBidi" w:eastAsia="Times New Roman" w:hAnsiTheme="majorBidi" w:cstheme="majorBidi"/>
                <w:sz w:val="20"/>
                <w:szCs w:val="20"/>
                <w:lang w:bidi="ar-KW"/>
              </w:rPr>
              <w:t>Ald.</w:t>
            </w:r>
          </w:p>
        </w:tc>
        <w:tc>
          <w:tcPr>
            <w:tcW w:w="8079" w:type="dxa"/>
            <w:tcBorders>
              <w:top w:val="single" w:sz="4" w:space="0" w:color="auto"/>
              <w:left w:val="single" w:sz="4" w:space="0" w:color="auto"/>
              <w:bottom w:val="single" w:sz="4" w:space="0" w:color="auto"/>
              <w:right w:val="single" w:sz="4" w:space="0" w:color="auto"/>
            </w:tcBorders>
          </w:tcPr>
          <w:p w14:paraId="5EE839BE" w14:textId="77777777" w:rsidR="00A70B78" w:rsidRPr="00F8097F" w:rsidRDefault="00A70B78" w:rsidP="00AF4FC9">
            <w:pPr>
              <w:spacing w:line="360" w:lineRule="auto"/>
              <w:jc w:val="both"/>
              <w:rPr>
                <w:rFonts w:asciiTheme="majorBidi" w:eastAsia="Times New Roman" w:hAnsiTheme="majorBidi" w:cstheme="majorBidi"/>
                <w:sz w:val="20"/>
                <w:szCs w:val="20"/>
                <w:lang w:bidi="ar-KW"/>
              </w:rPr>
            </w:pPr>
            <w:r w:rsidRPr="00F8097F">
              <w:rPr>
                <w:rFonts w:asciiTheme="majorBidi" w:eastAsia="Times New Roman" w:hAnsiTheme="majorBidi" w:cstheme="majorBidi"/>
                <w:sz w:val="20"/>
                <w:szCs w:val="20"/>
                <w:lang w:eastAsia="fr-CH"/>
              </w:rPr>
              <w:t>Annonce aux humains le pèlerinage. Ils viendront vers toi, à pied, et aussi sur toute bête amaigrie, venant de tout profond défilé.</w:t>
            </w:r>
          </w:p>
        </w:tc>
      </w:tr>
    </w:tbl>
    <w:p w14:paraId="1BA38572"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6B4328B9"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Le mot </w:t>
      </w:r>
      <w:r w:rsidRPr="007C6A42">
        <w:rPr>
          <w:rFonts w:asciiTheme="majorBidi" w:eastAsia="Times New Roman" w:hAnsiTheme="majorBidi" w:cstheme="majorBidi"/>
          <w:i/>
          <w:iCs/>
          <w:lang w:bidi="ar-AE"/>
        </w:rPr>
        <w:t>an-nās</w:t>
      </w:r>
      <w:r w:rsidRPr="007C6A42">
        <w:rPr>
          <w:rFonts w:asciiTheme="majorBidi" w:eastAsia="Times New Roman" w:hAnsiTheme="majorBidi" w:cstheme="majorBidi"/>
          <w:lang w:bidi="ar-AE"/>
        </w:rPr>
        <w:t xml:space="preserve"> est rendu par : « peuple(s) » (3 fois), « gens » (5 fois), « hommes » (9 fois) et « humains » (1 fois). </w:t>
      </w:r>
      <w:r w:rsidRPr="007C6A42">
        <w:rPr>
          <w:rFonts w:asciiTheme="majorBidi" w:eastAsia="Times New Roman" w:hAnsiTheme="majorBidi" w:cstheme="majorBidi"/>
          <w:bCs/>
        </w:rPr>
        <w:t xml:space="preserve">Seul Aldeeb le traduit par : « humains » et élargit ainsi le sens pour désigner toute l’humanité, alors que selon certains exégètes le mot désigne ici la communauté musulmane. Savary ajoute une note pour mettre en exergue les fins politiques et commerciales du pèlerinage pour tous les mahométans et sous-entend ainsi que </w:t>
      </w:r>
      <w:r w:rsidRPr="007C6A42">
        <w:rPr>
          <w:rFonts w:asciiTheme="majorBidi" w:eastAsia="Times New Roman" w:hAnsiTheme="majorBidi" w:cstheme="majorBidi"/>
          <w:i/>
          <w:iCs/>
          <w:lang w:bidi="ar-AE"/>
        </w:rPr>
        <w:t>an-nās</w:t>
      </w:r>
      <w:r w:rsidRPr="007C6A42">
        <w:rPr>
          <w:rFonts w:asciiTheme="majorBidi" w:eastAsia="Times New Roman" w:hAnsiTheme="majorBidi" w:cstheme="majorBidi"/>
          <w:lang w:bidi="ar-AE"/>
        </w:rPr>
        <w:t xml:space="preserve"> désigne les musulmans. L’ensemble des traducteurs a montré ici plus ou moins l’ensemble des significations du terme arabe. Cependant, les traductions n’ont pas pu montrer l’effet déclamatif (</w:t>
      </w:r>
      <w:r w:rsidRPr="007C6A42">
        <w:rPr>
          <w:rFonts w:asciiTheme="majorBidi" w:eastAsia="Times New Roman" w:hAnsiTheme="majorBidi" w:cstheme="majorBidi"/>
          <w:i/>
          <w:iCs/>
          <w:lang w:bidi="ar-AE"/>
        </w:rPr>
        <w:t>al-</w:t>
      </w:r>
      <w:r w:rsidRPr="007C6A42">
        <w:rPr>
          <w:rFonts w:asciiTheme="majorBidi" w:hAnsiTheme="majorBidi" w:cstheme="majorBidi"/>
          <w:i/>
          <w:iCs/>
        </w:rPr>
        <w:t>ʾ</w:t>
      </w:r>
      <w:r w:rsidRPr="007C6A42">
        <w:rPr>
          <w:rFonts w:asciiTheme="majorBidi" w:eastAsia="Times New Roman" w:hAnsiTheme="majorBidi" w:cstheme="majorBidi"/>
          <w:i/>
          <w:iCs/>
          <w:lang w:bidi="ar-AE"/>
        </w:rPr>
        <w:t>athar al-khi</w:t>
      </w:r>
      <w:r w:rsidRPr="007C6A42">
        <w:rPr>
          <w:rFonts w:asciiTheme="majorBidi" w:hAnsiTheme="majorBidi" w:cstheme="majorBidi"/>
          <w:i/>
          <w:iCs/>
        </w:rPr>
        <w:t>ṭābī</w:t>
      </w:r>
      <w:r w:rsidRPr="007C6A42">
        <w:rPr>
          <w:rFonts w:asciiTheme="majorBidi" w:eastAsia="Times New Roman" w:hAnsiTheme="majorBidi" w:cstheme="majorBidi"/>
          <w:lang w:bidi="ar-AE"/>
        </w:rPr>
        <w:t xml:space="preserve">) et iconique du terme </w:t>
      </w:r>
      <w:r w:rsidRPr="007C6A42">
        <w:rPr>
          <w:rFonts w:asciiTheme="majorBidi" w:eastAsia="Times New Roman" w:hAnsiTheme="majorBidi" w:cstheme="majorBidi"/>
          <w:i/>
          <w:iCs/>
          <w:lang w:bidi="ar-AE"/>
        </w:rPr>
        <w:t>an-nās</w:t>
      </w:r>
      <w:r w:rsidRPr="007C6A42">
        <w:rPr>
          <w:rFonts w:asciiTheme="majorBidi" w:eastAsia="Times New Roman" w:hAnsiTheme="majorBidi" w:cstheme="majorBidi"/>
          <w:lang w:bidi="ar-AE"/>
        </w:rPr>
        <w:t>. Ce terme relève de la langue vernaculaire qui est plus corporelle et plus concrète que la langue cultivée, ce qu’aucune traduction ne rend.</w:t>
      </w:r>
      <w:r w:rsidRPr="007C6A42">
        <w:rPr>
          <w:rFonts w:asciiTheme="majorBidi" w:hAnsiTheme="majorBidi" w:cstheme="majorBidi"/>
        </w:rPr>
        <w:t xml:space="preserve"> On peut néanmoins considérer que le choix de « gens » est celui qui se rapproche le plus de cette valeur concrète et déclamative.</w:t>
      </w:r>
    </w:p>
    <w:p w14:paraId="0A7E37E6" w14:textId="77777777" w:rsidR="00A70B78" w:rsidRPr="007C6A42" w:rsidRDefault="00A70B78" w:rsidP="00A70B78">
      <w:pPr>
        <w:spacing w:line="360" w:lineRule="auto"/>
        <w:contextualSpacing/>
        <w:jc w:val="both"/>
        <w:rPr>
          <w:rFonts w:asciiTheme="majorBidi" w:eastAsia="Times New Roman" w:hAnsiTheme="majorBidi" w:cstheme="majorBidi"/>
          <w:bCs/>
        </w:rPr>
      </w:pPr>
    </w:p>
    <w:p w14:paraId="27331B3E" w14:textId="77777777" w:rsidR="00A70B78" w:rsidRPr="007C6A42" w:rsidRDefault="00A70B78" w:rsidP="00A70B78">
      <w:pPr>
        <w:spacing w:line="360" w:lineRule="auto"/>
        <w:contextualSpacing/>
        <w:rPr>
          <w:rFonts w:asciiTheme="majorBidi" w:eastAsia="Times New Roman" w:hAnsiTheme="majorBidi" w:cstheme="majorBidi"/>
          <w:b/>
          <w:bCs/>
          <w:lang w:bidi="ar-EG"/>
        </w:rPr>
      </w:pPr>
      <w:r w:rsidRPr="007C6A42">
        <w:rPr>
          <w:rFonts w:asciiTheme="majorBidi" w:eastAsia="Times New Roman" w:hAnsiTheme="majorBidi" w:cstheme="majorBidi"/>
          <w:b/>
          <w:bCs/>
        </w:rPr>
        <w:t xml:space="preserve">Traduction de </w:t>
      </w:r>
      <w:r w:rsidRPr="007C6A42">
        <w:rPr>
          <w:rFonts w:asciiTheme="majorBidi" w:eastAsia="Times New Roman" w:hAnsiTheme="majorBidi" w:cstheme="majorBidi"/>
          <w:b/>
          <w:bCs/>
          <w:i/>
          <w:iCs/>
        </w:rPr>
        <w:t>a</w:t>
      </w:r>
      <w:r w:rsidRPr="007C6A42">
        <w:rPr>
          <w:rFonts w:asciiTheme="majorBidi" w:eastAsia="Times New Roman" w:hAnsiTheme="majorBidi" w:cstheme="majorBidi"/>
          <w:b/>
          <w:bCs/>
          <w:i/>
          <w:iCs/>
          <w:shd w:val="clear" w:color="auto" w:fill="FFFFFF"/>
          <w:lang w:bidi="ar-KW"/>
        </w:rPr>
        <w:t>ṣ-ṣalāt</w:t>
      </w:r>
      <w:r w:rsidRPr="007C6A42">
        <w:rPr>
          <w:rFonts w:asciiTheme="majorBidi" w:eastAsia="Times New Roman" w:hAnsiTheme="majorBidi" w:cstheme="majorBidi"/>
          <w:b/>
          <w:bCs/>
          <w:shd w:val="clear" w:color="auto" w:fill="FFFFFF"/>
          <w:lang w:bidi="ar-KW"/>
        </w:rPr>
        <w:t xml:space="preserve"> </w:t>
      </w:r>
      <w:r w:rsidRPr="007C6A42">
        <w:rPr>
          <w:rFonts w:asciiTheme="majorBidi" w:eastAsia="Times New Roman" w:hAnsiTheme="majorBidi" w:cstheme="majorBidi"/>
          <w:b/>
          <w:bCs/>
          <w:shd w:val="clear" w:color="auto" w:fill="FFFFFF"/>
        </w:rPr>
        <w:t>(35, 41, 78) :</w:t>
      </w:r>
    </w:p>
    <w:tbl>
      <w:tblPr>
        <w:tblW w:w="6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962"/>
      </w:tblGrid>
      <w:tr w:rsidR="00A70B78" w:rsidRPr="007C6A42" w14:paraId="606DC0E6" w14:textId="77777777" w:rsidTr="00AF4FC9">
        <w:trPr>
          <w:jc w:val="center"/>
        </w:trPr>
        <w:tc>
          <w:tcPr>
            <w:tcW w:w="6986" w:type="dxa"/>
            <w:gridSpan w:val="2"/>
            <w:tcBorders>
              <w:top w:val="nil"/>
              <w:left w:val="single" w:sz="4" w:space="0" w:color="auto"/>
              <w:bottom w:val="single" w:sz="4" w:space="0" w:color="auto"/>
              <w:right w:val="single" w:sz="4" w:space="0" w:color="auto"/>
            </w:tcBorders>
          </w:tcPr>
          <w:p w14:paraId="6EA8E533"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tl/>
              </w:rPr>
              <w:t>"الصلاة" (الحج، ٣٥، ٤١، ٧٨)</w:t>
            </w:r>
          </w:p>
        </w:tc>
      </w:tr>
      <w:tr w:rsidR="00A70B78" w:rsidRPr="007C6A42" w14:paraId="4DD4D1C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D8E1CA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962" w:type="dxa"/>
            <w:tcBorders>
              <w:top w:val="single" w:sz="4" w:space="0" w:color="auto"/>
              <w:left w:val="single" w:sz="4" w:space="0" w:color="auto"/>
              <w:bottom w:val="single" w:sz="4" w:space="0" w:color="auto"/>
              <w:right w:val="single" w:sz="4" w:space="0" w:color="auto"/>
            </w:tcBorders>
          </w:tcPr>
          <w:p w14:paraId="7FED4DF6"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leurs prieres (35 &amp; 41) / vos prieres (78)</w:t>
            </w:r>
          </w:p>
        </w:tc>
      </w:tr>
      <w:tr w:rsidR="00A70B78" w:rsidRPr="007C6A42" w14:paraId="707FD98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880790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962" w:type="dxa"/>
            <w:tcBorders>
              <w:top w:val="single" w:sz="4" w:space="0" w:color="auto"/>
              <w:left w:val="single" w:sz="4" w:space="0" w:color="auto"/>
              <w:bottom w:val="single" w:sz="4" w:space="0" w:color="auto"/>
              <w:right w:val="single" w:sz="4" w:space="0" w:color="auto"/>
            </w:tcBorders>
          </w:tcPr>
          <w:p w14:paraId="73B1365F"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la prière</w:t>
            </w:r>
          </w:p>
        </w:tc>
      </w:tr>
      <w:tr w:rsidR="00A70B78" w:rsidRPr="007C6A42" w14:paraId="7DE4BFC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3C8724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962" w:type="dxa"/>
            <w:tcBorders>
              <w:top w:val="single" w:sz="4" w:space="0" w:color="auto"/>
              <w:left w:val="single" w:sz="4" w:space="0" w:color="auto"/>
              <w:bottom w:val="single" w:sz="4" w:space="0" w:color="auto"/>
              <w:right w:val="single" w:sz="4" w:space="0" w:color="auto"/>
            </w:tcBorders>
          </w:tcPr>
          <w:p w14:paraId="6BD5A340" w14:textId="77777777" w:rsidR="00A70B78" w:rsidRPr="007C6A42" w:rsidRDefault="00A70B78" w:rsidP="00AF4FC9">
            <w:pPr>
              <w:spacing w:line="360" w:lineRule="auto"/>
              <w:ind w:right="113"/>
              <w:jc w:val="both"/>
              <w:rPr>
                <w:rFonts w:asciiTheme="majorBidi" w:eastAsia="Times New Roman" w:hAnsiTheme="majorBidi" w:cstheme="majorBidi"/>
                <w:b/>
                <w:bCs/>
              </w:rPr>
            </w:pPr>
            <w:r w:rsidRPr="007C6A42">
              <w:rPr>
                <w:rFonts w:asciiTheme="majorBidi" w:eastAsia="Times New Roman" w:hAnsiTheme="majorBidi" w:cstheme="majorBidi"/>
              </w:rPr>
              <w:t>la prière</w:t>
            </w:r>
          </w:p>
        </w:tc>
      </w:tr>
      <w:tr w:rsidR="00A70B78" w:rsidRPr="007C6A42" w14:paraId="0E67C5E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B9DA33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Blach. (1949)</w:t>
            </w:r>
          </w:p>
        </w:tc>
        <w:tc>
          <w:tcPr>
            <w:tcW w:w="4962" w:type="dxa"/>
            <w:tcBorders>
              <w:top w:val="single" w:sz="4" w:space="0" w:color="auto"/>
              <w:left w:val="single" w:sz="4" w:space="0" w:color="auto"/>
              <w:bottom w:val="single" w:sz="4" w:space="0" w:color="auto"/>
              <w:right w:val="single" w:sz="4" w:space="0" w:color="auto"/>
            </w:tcBorders>
          </w:tcPr>
          <w:p w14:paraId="798C175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la prière</w:t>
            </w:r>
          </w:p>
        </w:tc>
      </w:tr>
      <w:tr w:rsidR="00A70B78" w:rsidRPr="007C6A42" w14:paraId="00DE415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1F5D5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962" w:type="dxa"/>
            <w:tcBorders>
              <w:top w:val="single" w:sz="4" w:space="0" w:color="auto"/>
              <w:left w:val="single" w:sz="4" w:space="0" w:color="auto"/>
              <w:bottom w:val="single" w:sz="4" w:space="0" w:color="auto"/>
              <w:right w:val="single" w:sz="4" w:space="0" w:color="auto"/>
            </w:tcBorders>
          </w:tcPr>
          <w:p w14:paraId="544BF40C"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la Prière</w:t>
            </w:r>
          </w:p>
        </w:tc>
      </w:tr>
      <w:tr w:rsidR="00A70B78" w:rsidRPr="007C6A42" w14:paraId="0B589A2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97E277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962" w:type="dxa"/>
            <w:tcBorders>
              <w:top w:val="single" w:sz="4" w:space="0" w:color="auto"/>
              <w:left w:val="single" w:sz="4" w:space="0" w:color="auto"/>
              <w:bottom w:val="single" w:sz="4" w:space="0" w:color="auto"/>
              <w:right w:val="single" w:sz="4" w:space="0" w:color="auto"/>
            </w:tcBorders>
          </w:tcPr>
          <w:p w14:paraId="27BCA6D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l’Office</w:t>
            </w:r>
          </w:p>
        </w:tc>
      </w:tr>
      <w:tr w:rsidR="00A70B78" w:rsidRPr="007C6A42" w14:paraId="4B5C140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11DEE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962" w:type="dxa"/>
            <w:tcBorders>
              <w:top w:val="single" w:sz="4" w:space="0" w:color="auto"/>
              <w:left w:val="single" w:sz="4" w:space="0" w:color="auto"/>
              <w:bottom w:val="single" w:sz="4" w:space="0" w:color="auto"/>
              <w:right w:val="single" w:sz="4" w:space="0" w:color="auto"/>
            </w:tcBorders>
          </w:tcPr>
          <w:p w14:paraId="54408C8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 xml:space="preserve">la prière (35 &amp; 41) / leurs prières (40) / </w:t>
            </w:r>
          </w:p>
        </w:tc>
      </w:tr>
      <w:tr w:rsidR="00A70B78" w:rsidRPr="007C6A42" w14:paraId="503E6F1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679031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962" w:type="dxa"/>
            <w:tcBorders>
              <w:top w:val="single" w:sz="4" w:space="0" w:color="auto"/>
              <w:left w:val="single" w:sz="4" w:space="0" w:color="auto"/>
              <w:bottom w:val="single" w:sz="4" w:space="0" w:color="auto"/>
              <w:right w:val="single" w:sz="4" w:space="0" w:color="auto"/>
            </w:tcBorders>
          </w:tcPr>
          <w:p w14:paraId="0B7987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la prière (35 &amp; 41) / la Prière (78)</w:t>
            </w:r>
          </w:p>
        </w:tc>
      </w:tr>
      <w:tr w:rsidR="00A70B78" w:rsidRPr="007C6A42" w14:paraId="75F336C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639754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962" w:type="dxa"/>
            <w:tcBorders>
              <w:top w:val="single" w:sz="4" w:space="0" w:color="auto"/>
              <w:left w:val="single" w:sz="4" w:space="0" w:color="auto"/>
              <w:bottom w:val="single" w:sz="4" w:space="0" w:color="auto"/>
              <w:right w:val="single" w:sz="4" w:space="0" w:color="auto"/>
            </w:tcBorders>
          </w:tcPr>
          <w:p w14:paraId="6554815A"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la prière</w:t>
            </w:r>
          </w:p>
        </w:tc>
      </w:tr>
      <w:tr w:rsidR="00A70B78" w:rsidRPr="007C6A42" w14:paraId="17EF9DD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E887AE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962" w:type="dxa"/>
            <w:tcBorders>
              <w:top w:val="single" w:sz="4" w:space="0" w:color="auto"/>
              <w:left w:val="single" w:sz="4" w:space="0" w:color="auto"/>
              <w:bottom w:val="single" w:sz="4" w:space="0" w:color="auto"/>
              <w:right w:val="single" w:sz="4" w:space="0" w:color="auto"/>
            </w:tcBorders>
          </w:tcPr>
          <w:p w14:paraId="24DEF1D1"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la prière</w:t>
            </w:r>
          </w:p>
        </w:tc>
      </w:tr>
      <w:tr w:rsidR="00A70B78" w:rsidRPr="007C6A42" w14:paraId="6FBC7EA2"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5E88174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962" w:type="dxa"/>
            <w:tcBorders>
              <w:top w:val="single" w:sz="4" w:space="0" w:color="auto"/>
              <w:left w:val="single" w:sz="4" w:space="0" w:color="auto"/>
              <w:bottom w:val="single" w:sz="4" w:space="0" w:color="auto"/>
              <w:right w:val="single" w:sz="4" w:space="0" w:color="auto"/>
            </w:tcBorders>
          </w:tcPr>
          <w:p w14:paraId="25F2D405"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hAnsiTheme="majorBidi" w:cstheme="majorBidi"/>
              </w:rPr>
              <w:t>[ø] (35) / la prière (41 &amp; 78)</w:t>
            </w:r>
          </w:p>
        </w:tc>
      </w:tr>
      <w:tr w:rsidR="00A70B78" w:rsidRPr="007C6A42" w14:paraId="5C15DBE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D52FD3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962" w:type="dxa"/>
            <w:tcBorders>
              <w:top w:val="single" w:sz="4" w:space="0" w:color="auto"/>
              <w:left w:val="single" w:sz="4" w:space="0" w:color="auto"/>
              <w:bottom w:val="single" w:sz="4" w:space="0" w:color="auto"/>
              <w:right w:val="single" w:sz="4" w:space="0" w:color="auto"/>
            </w:tcBorders>
          </w:tcPr>
          <w:p w14:paraId="63CA1F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la prière</w:t>
            </w:r>
          </w:p>
        </w:tc>
      </w:tr>
      <w:tr w:rsidR="00A70B78" w:rsidRPr="007C6A42" w14:paraId="12102DB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DA3521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962" w:type="dxa"/>
            <w:tcBorders>
              <w:top w:val="single" w:sz="4" w:space="0" w:color="auto"/>
              <w:left w:val="single" w:sz="4" w:space="0" w:color="auto"/>
              <w:bottom w:val="single" w:sz="4" w:space="0" w:color="auto"/>
              <w:right w:val="single" w:sz="4" w:space="0" w:color="auto"/>
            </w:tcBorders>
          </w:tcPr>
          <w:p w14:paraId="0D91164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la salât</w:t>
            </w:r>
          </w:p>
        </w:tc>
      </w:tr>
      <w:tr w:rsidR="00A70B78" w:rsidRPr="007C6A42" w14:paraId="299662E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1B64E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962" w:type="dxa"/>
            <w:tcBorders>
              <w:top w:val="single" w:sz="4" w:space="0" w:color="auto"/>
              <w:left w:val="single" w:sz="4" w:space="0" w:color="auto"/>
              <w:bottom w:val="single" w:sz="4" w:space="0" w:color="auto"/>
              <w:right w:val="single" w:sz="4" w:space="0" w:color="auto"/>
            </w:tcBorders>
          </w:tcPr>
          <w:p w14:paraId="19DC0AC8"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la Salat</w:t>
            </w:r>
          </w:p>
        </w:tc>
      </w:tr>
      <w:tr w:rsidR="00A70B78" w:rsidRPr="007C6A42" w14:paraId="22C01A6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95C7C3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962" w:type="dxa"/>
            <w:tcBorders>
              <w:top w:val="single" w:sz="4" w:space="0" w:color="auto"/>
              <w:left w:val="single" w:sz="4" w:space="0" w:color="auto"/>
              <w:bottom w:val="single" w:sz="4" w:space="0" w:color="auto"/>
              <w:right w:val="single" w:sz="4" w:space="0" w:color="auto"/>
            </w:tcBorders>
          </w:tcPr>
          <w:p w14:paraId="3C159349"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la prière</w:t>
            </w:r>
          </w:p>
        </w:tc>
      </w:tr>
      <w:tr w:rsidR="00A70B78" w:rsidRPr="007C6A42" w14:paraId="381A345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C2CFA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962" w:type="dxa"/>
            <w:tcBorders>
              <w:top w:val="single" w:sz="4" w:space="0" w:color="auto"/>
              <w:left w:val="single" w:sz="4" w:space="0" w:color="auto"/>
              <w:bottom w:val="single" w:sz="4" w:space="0" w:color="auto"/>
              <w:right w:val="single" w:sz="4" w:space="0" w:color="auto"/>
            </w:tcBorders>
          </w:tcPr>
          <w:p w14:paraId="52A5A791"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leurs prières (35) / le rituel des prières (41) / la prière (78)</w:t>
            </w:r>
          </w:p>
        </w:tc>
      </w:tr>
      <w:tr w:rsidR="00A70B78" w:rsidRPr="007C6A42" w14:paraId="0EB0EAF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0572FE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962" w:type="dxa"/>
            <w:tcBorders>
              <w:top w:val="single" w:sz="4" w:space="0" w:color="auto"/>
              <w:left w:val="single" w:sz="4" w:space="0" w:color="auto"/>
              <w:bottom w:val="single" w:sz="4" w:space="0" w:color="auto"/>
              <w:right w:val="single" w:sz="4" w:space="0" w:color="auto"/>
            </w:tcBorders>
          </w:tcPr>
          <w:p w14:paraId="0BD53DC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la prière</w:t>
            </w:r>
          </w:p>
        </w:tc>
      </w:tr>
      <w:tr w:rsidR="00A70B78" w:rsidRPr="007C6A42" w14:paraId="067EA52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432EB7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962" w:type="dxa"/>
            <w:tcBorders>
              <w:top w:val="single" w:sz="4" w:space="0" w:color="auto"/>
              <w:left w:val="single" w:sz="4" w:space="0" w:color="auto"/>
              <w:bottom w:val="single" w:sz="4" w:space="0" w:color="auto"/>
              <w:right w:val="single" w:sz="4" w:space="0" w:color="auto"/>
            </w:tcBorders>
          </w:tcPr>
          <w:p w14:paraId="2080C12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la prière</w:t>
            </w:r>
          </w:p>
        </w:tc>
      </w:tr>
    </w:tbl>
    <w:p w14:paraId="439179B1"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3EF65690"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hAnsiTheme="majorBidi" w:cstheme="majorBidi"/>
        </w:rPr>
        <w:t xml:space="preserve">Le terme féminin défini </w:t>
      </w:r>
      <w:r w:rsidRPr="007C6A42">
        <w:rPr>
          <w:rFonts w:asciiTheme="majorBidi" w:eastAsia="Times New Roman" w:hAnsiTheme="majorBidi" w:cstheme="majorBidi"/>
          <w:i/>
          <w:iCs/>
        </w:rPr>
        <w:t>a</w:t>
      </w:r>
      <w:r w:rsidRPr="007C6A42">
        <w:rPr>
          <w:rFonts w:asciiTheme="majorBidi" w:eastAsia="Times New Roman" w:hAnsiTheme="majorBidi" w:cstheme="majorBidi"/>
          <w:i/>
          <w:iCs/>
          <w:shd w:val="clear" w:color="auto" w:fill="FFFFFF"/>
          <w:lang w:bidi="ar-KW"/>
        </w:rPr>
        <w:t>ṣ-ṣalāt</w:t>
      </w:r>
      <w:r w:rsidRPr="007C6A42">
        <w:rPr>
          <w:rFonts w:asciiTheme="majorBidi" w:eastAsia="Times New Roman" w:hAnsiTheme="majorBidi" w:cstheme="majorBidi"/>
          <w:shd w:val="clear" w:color="auto" w:fill="FFFFFF"/>
          <w:lang w:bidi="ar-KW"/>
        </w:rPr>
        <w:t xml:space="preserve"> est traduit le plus souvent par « la prière ». Du Ryer, Ben Mahmoud et Chebel ajoutent parfois l’adjectif possessif « leurs » ou « vos ». Masson le met tantôt en majuscule (« la Prière ») tantôt en minuscule (« la prière »). Chebel allonge sa traduction en traduisant</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a</w:t>
      </w:r>
      <w:r w:rsidRPr="007C6A42">
        <w:rPr>
          <w:rFonts w:asciiTheme="majorBidi" w:eastAsia="Times New Roman" w:hAnsiTheme="majorBidi" w:cstheme="majorBidi"/>
          <w:i/>
          <w:iCs/>
          <w:shd w:val="clear" w:color="auto" w:fill="FFFFFF"/>
          <w:lang w:bidi="ar-KW"/>
        </w:rPr>
        <w:t>ṣ-ṣalāt</w:t>
      </w:r>
      <w:r w:rsidRPr="007C6A42">
        <w:rPr>
          <w:rFonts w:asciiTheme="majorBidi" w:eastAsia="Times New Roman" w:hAnsiTheme="majorBidi" w:cstheme="majorBidi"/>
          <w:shd w:val="clear" w:color="auto" w:fill="FFFFFF"/>
          <w:lang w:bidi="ar-KW"/>
        </w:rPr>
        <w:t xml:space="preserve"> par : « le rituel des prières » ; en outre, il l’enrichit quantitativement en traduisant ce même terme de trois manières : « </w:t>
      </w:r>
      <w:r w:rsidRPr="007C6A42">
        <w:rPr>
          <w:rFonts w:asciiTheme="majorBidi" w:hAnsiTheme="majorBidi" w:cstheme="majorBidi"/>
        </w:rPr>
        <w:t>leurs prières », « le rituel des prières » et « la prière ».</w:t>
      </w:r>
      <w:r w:rsidRPr="007C6A42">
        <w:rPr>
          <w:rFonts w:asciiTheme="majorBidi" w:eastAsia="Times New Roman" w:hAnsiTheme="majorBidi" w:cstheme="majorBidi"/>
          <w:shd w:val="clear" w:color="auto" w:fill="FFFFFF"/>
          <w:lang w:bidi="ar-KW"/>
        </w:rPr>
        <w:t xml:space="preserve"> Berque l’a omis dans le verset 35.</w:t>
      </w:r>
    </w:p>
    <w:p w14:paraId="0B63B54C"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Hamidullah donne une traduction différente : « l’Office », un terme utilisé dans la liturgie catholique</w:t>
      </w:r>
      <w:r w:rsidRPr="007C6A42">
        <w:rPr>
          <w:rStyle w:val="Appelnotedebasdep"/>
          <w:rFonts w:asciiTheme="majorBidi" w:hAnsiTheme="majorBidi" w:cstheme="majorBidi"/>
        </w:rPr>
        <w:footnoteReference w:id="513"/>
      </w:r>
      <w:r w:rsidRPr="007C6A42">
        <w:rPr>
          <w:rFonts w:asciiTheme="majorBidi" w:eastAsia="Times New Roman" w:hAnsiTheme="majorBidi" w:cstheme="majorBidi"/>
          <w:shd w:val="clear" w:color="auto" w:fill="FFFFFF"/>
          <w:lang w:bidi="ar-KW"/>
        </w:rPr>
        <w:t>. Enfin, Chiadmi et le Complexe de Médine conservent le mot arabe en translittération : « la salât » et « la Salat ».</w:t>
      </w:r>
    </w:p>
    <w:p w14:paraId="0B2ED611" w14:textId="77777777" w:rsidR="00A70B78" w:rsidRPr="007C6A42" w:rsidRDefault="00A70B78" w:rsidP="00A70B78">
      <w:pPr>
        <w:spacing w:line="360" w:lineRule="auto"/>
        <w:contextualSpacing/>
        <w:jc w:val="both"/>
        <w:rPr>
          <w:rFonts w:asciiTheme="majorBidi" w:eastAsia="Times New Roman" w:hAnsiTheme="majorBidi" w:cstheme="majorBidi"/>
          <w:bCs/>
        </w:rPr>
      </w:pPr>
    </w:p>
    <w:p w14:paraId="1ED6F928" w14:textId="77777777" w:rsidR="00A70B78" w:rsidRPr="007C6A42" w:rsidRDefault="00A70B78" w:rsidP="00A70B78">
      <w:pPr>
        <w:spacing w:line="360" w:lineRule="auto"/>
        <w:jc w:val="both"/>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 xml:space="preserve">Traduction de </w:t>
      </w:r>
      <w:r w:rsidRPr="007C6A42">
        <w:rPr>
          <w:rFonts w:asciiTheme="majorBidi" w:eastAsia="Times New Roman" w:hAnsiTheme="majorBidi" w:cstheme="majorBidi"/>
          <w:b/>
          <w:bCs/>
          <w:i/>
          <w:iCs/>
        </w:rPr>
        <w:t>masājid</w:t>
      </w:r>
      <w:r w:rsidRPr="007C6A42">
        <w:rPr>
          <w:rFonts w:asciiTheme="majorBidi" w:eastAsia="Times New Roman" w:hAnsiTheme="majorBidi" w:cstheme="majorBidi"/>
          <w:b/>
          <w:bCs/>
          <w:shd w:val="clear" w:color="auto" w:fill="FFFFFF"/>
          <w:lang w:bidi="ar-KW"/>
        </w:rPr>
        <w:t xml:space="preserve"> (v. 40) :</w:t>
      </w:r>
    </w:p>
    <w:p w14:paraId="6FFE2E8D" w14:textId="48481FAB" w:rsidR="00A70B78" w:rsidRPr="007C6A42" w:rsidRDefault="00A70B78" w:rsidP="00F445C1">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lastRenderedPageBreak/>
        <w:t xml:space="preserve">Si le mot désigne tous les lieux de culte (selon le père des exégètes </w:t>
      </w:r>
      <w:r w:rsidRPr="007C6A42">
        <w:rPr>
          <w:rFonts w:asciiTheme="majorBidi" w:eastAsia="Times New Roman" w:hAnsiTheme="majorBidi" w:cstheme="majorBidi"/>
        </w:rPr>
        <w:t>aṭ-Ṭabarī), la plupart des traducteurs (14 sur 18) le traduit par « mosquées » qui désigne le lieu de culte musulman. Ainsi, les traducteurs montrent seulement l’exégèse la plus répandue et moderne.</w:t>
      </w:r>
    </w:p>
    <w:p w14:paraId="054CDBB3"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rPr>
        <w:t>Cependant, Savary a réduit le sens en le limitant au temple de la Mecque. Aldeeb a élargi le champ sémantique du terme avec le mot « sanctuaires ».</w:t>
      </w:r>
    </w:p>
    <w:p w14:paraId="70951AE5" w14:textId="77777777" w:rsidR="00A70B78" w:rsidRPr="007C6A42" w:rsidRDefault="00A70B78" w:rsidP="00A70B78">
      <w:pPr>
        <w:spacing w:line="360" w:lineRule="auto"/>
        <w:jc w:val="both"/>
        <w:rPr>
          <w:rFonts w:asciiTheme="majorBidi" w:eastAsia="Times New Roman" w:hAnsiTheme="majorBidi" w:cstheme="majorBidi"/>
        </w:rPr>
      </w:pPr>
    </w:p>
    <w:p w14:paraId="5FCF746F" w14:textId="11F3B6D2" w:rsidR="00A70B78" w:rsidRPr="00F445C1" w:rsidRDefault="00A70B78" w:rsidP="00F445C1">
      <w:pPr>
        <w:spacing w:line="360" w:lineRule="auto"/>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b/>
          <w:bCs/>
        </w:rPr>
        <w:t xml:space="preserve">Traduction du substantif </w:t>
      </w:r>
      <w:r w:rsidRPr="007C6A42">
        <w:rPr>
          <w:rFonts w:asciiTheme="majorBidi" w:eastAsia="Times New Roman" w:hAnsiTheme="majorBidi" w:cstheme="majorBidi"/>
          <w:b/>
          <w:bCs/>
          <w:i/>
          <w:iCs/>
          <w:shd w:val="clear" w:color="auto" w:fill="FFFFFF"/>
          <w:lang w:bidi="ar-KW"/>
        </w:rPr>
        <w:t>rizq</w:t>
      </w:r>
      <w:r w:rsidRPr="007C6A42">
        <w:rPr>
          <w:rFonts w:asciiTheme="majorBidi" w:eastAsia="Times New Roman" w:hAnsiTheme="majorBidi" w:cstheme="majorBidi"/>
          <w:b/>
          <w:bCs/>
          <w:shd w:val="clear" w:color="auto" w:fill="FFFFFF"/>
          <w:lang w:bidi="ar-KW"/>
        </w:rPr>
        <w:t xml:space="preserve"> (v. 50 &amp; 58) :</w:t>
      </w:r>
    </w:p>
    <w:tbl>
      <w:tblPr>
        <w:tblW w:w="8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6143"/>
      </w:tblGrid>
      <w:tr w:rsidR="00A70B78" w:rsidRPr="007C6A42" w14:paraId="481B2A5D" w14:textId="77777777" w:rsidTr="00F445C1">
        <w:trPr>
          <w:jc w:val="center"/>
        </w:trPr>
        <w:tc>
          <w:tcPr>
            <w:tcW w:w="8031" w:type="dxa"/>
            <w:gridSpan w:val="2"/>
            <w:tcBorders>
              <w:top w:val="nil"/>
              <w:left w:val="single" w:sz="4" w:space="0" w:color="auto"/>
              <w:bottom w:val="single" w:sz="4" w:space="0" w:color="auto"/>
              <w:right w:val="single" w:sz="4" w:space="0" w:color="auto"/>
            </w:tcBorders>
          </w:tcPr>
          <w:p w14:paraId="34B2BD76"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tl/>
              </w:rPr>
              <w:t>"رِزقٌ كريم" (٥٠) / "رِزقًا حسنًا" (٥٨)</w:t>
            </w:r>
          </w:p>
        </w:tc>
      </w:tr>
      <w:tr w:rsidR="00A70B78" w:rsidRPr="007C6A42" w14:paraId="2E82E844"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55350B1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6143" w:type="dxa"/>
            <w:tcBorders>
              <w:top w:val="single" w:sz="4" w:space="0" w:color="auto"/>
              <w:left w:val="single" w:sz="4" w:space="0" w:color="auto"/>
              <w:bottom w:val="single" w:sz="4" w:space="0" w:color="auto"/>
              <w:right w:val="single" w:sz="4" w:space="0" w:color="auto"/>
            </w:tcBorders>
          </w:tcPr>
          <w:p w14:paraId="6EF7ABB3"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 xml:space="preserve">vn precieux treʃor (50) / </w:t>
            </w:r>
            <w:r w:rsidRPr="007C6A42">
              <w:rPr>
                <w:rStyle w:val="lev"/>
                <w:rFonts w:asciiTheme="majorBidi" w:hAnsiTheme="majorBidi" w:cstheme="majorBidi"/>
              </w:rPr>
              <w:t>ʃeront recompenʃez par</w:t>
            </w:r>
            <w:r w:rsidRPr="007C6A42">
              <w:rPr>
                <w:rStyle w:val="apple-converted-space"/>
                <w:rFonts w:asciiTheme="majorBidi" w:hAnsiTheme="majorBidi" w:cstheme="majorBidi"/>
              </w:rPr>
              <w:t> </w:t>
            </w:r>
            <w:r w:rsidRPr="007C6A42">
              <w:rPr>
                <w:rFonts w:asciiTheme="majorBidi" w:hAnsiTheme="majorBidi" w:cstheme="majorBidi"/>
              </w:rPr>
              <w:t xml:space="preserve"> ʃa diuine Majeʃté (58)</w:t>
            </w:r>
          </w:p>
        </w:tc>
      </w:tr>
      <w:tr w:rsidR="00A70B78" w:rsidRPr="007C6A42" w14:paraId="1C8237B8"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6F15447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6143" w:type="dxa"/>
            <w:tcBorders>
              <w:top w:val="single" w:sz="4" w:space="0" w:color="auto"/>
              <w:left w:val="single" w:sz="4" w:space="0" w:color="auto"/>
              <w:bottom w:val="single" w:sz="4" w:space="0" w:color="auto"/>
              <w:right w:val="single" w:sz="4" w:space="0" w:color="auto"/>
            </w:tcBorders>
          </w:tcPr>
          <w:p w14:paraId="1DF0087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une récompense magnifique (50) / des biens infinis (58)</w:t>
            </w:r>
          </w:p>
        </w:tc>
      </w:tr>
      <w:tr w:rsidR="00A70B78" w:rsidRPr="007C6A42" w14:paraId="1DB0F1AF"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4AA049F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6143" w:type="dxa"/>
            <w:tcBorders>
              <w:top w:val="single" w:sz="4" w:space="0" w:color="auto"/>
              <w:left w:val="single" w:sz="4" w:space="0" w:color="auto"/>
              <w:bottom w:val="single" w:sz="4" w:space="0" w:color="auto"/>
              <w:right w:val="single" w:sz="4" w:space="0" w:color="auto"/>
            </w:tcBorders>
          </w:tcPr>
          <w:p w14:paraId="02414998"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des faveurs généreuses (50) / une belle récompense (59)</w:t>
            </w:r>
          </w:p>
        </w:tc>
      </w:tr>
      <w:tr w:rsidR="00A70B78" w:rsidRPr="007C6A42" w14:paraId="64CF2C74"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2834998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6143" w:type="dxa"/>
            <w:tcBorders>
              <w:top w:val="single" w:sz="4" w:space="0" w:color="auto"/>
              <w:left w:val="single" w:sz="4" w:space="0" w:color="auto"/>
              <w:bottom w:val="single" w:sz="4" w:space="0" w:color="auto"/>
              <w:right w:val="single" w:sz="4" w:space="0" w:color="auto"/>
            </w:tcBorders>
          </w:tcPr>
          <w:p w14:paraId="04F2771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généreuse attribution (50) / seront certes rétribués par Allah d’une belle manière (58)</w:t>
            </w:r>
          </w:p>
        </w:tc>
      </w:tr>
      <w:tr w:rsidR="00A70B78" w:rsidRPr="007C6A42" w14:paraId="1C108A2E"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7AE9577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6143" w:type="dxa"/>
            <w:tcBorders>
              <w:top w:val="single" w:sz="4" w:space="0" w:color="auto"/>
              <w:left w:val="single" w:sz="4" w:space="0" w:color="auto"/>
              <w:bottom w:val="single" w:sz="4" w:space="0" w:color="auto"/>
              <w:right w:val="single" w:sz="4" w:space="0" w:color="auto"/>
            </w:tcBorders>
          </w:tcPr>
          <w:p w14:paraId="64CCB389"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des faveurs généreuses (50) / une belle part de Ses bienfaits (58)</w:t>
            </w:r>
          </w:p>
        </w:tc>
      </w:tr>
      <w:tr w:rsidR="00A70B78" w:rsidRPr="007C6A42" w14:paraId="0259817E"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4191C06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6143" w:type="dxa"/>
            <w:tcBorders>
              <w:top w:val="single" w:sz="4" w:space="0" w:color="auto"/>
              <w:left w:val="single" w:sz="4" w:space="0" w:color="auto"/>
              <w:bottom w:val="single" w:sz="4" w:space="0" w:color="auto"/>
              <w:right w:val="single" w:sz="4" w:space="0" w:color="auto"/>
            </w:tcBorders>
          </w:tcPr>
          <w:p w14:paraId="0F8F2A6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noble part (50) / jolie part (58)</w:t>
            </w:r>
          </w:p>
        </w:tc>
      </w:tr>
      <w:tr w:rsidR="00A70B78" w:rsidRPr="007C6A42" w14:paraId="4BC85BAE"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3EC95F5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6143" w:type="dxa"/>
            <w:tcBorders>
              <w:top w:val="single" w:sz="4" w:space="0" w:color="auto"/>
              <w:left w:val="single" w:sz="4" w:space="0" w:color="auto"/>
              <w:bottom w:val="single" w:sz="4" w:space="0" w:color="auto"/>
              <w:right w:val="single" w:sz="4" w:space="0" w:color="auto"/>
            </w:tcBorders>
          </w:tcPr>
          <w:p w14:paraId="4E5C738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Félicité (50) / une félicité (58)</w:t>
            </w:r>
          </w:p>
        </w:tc>
      </w:tr>
      <w:tr w:rsidR="00A70B78" w:rsidRPr="007C6A42" w14:paraId="051C0C16"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6071FC0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6143" w:type="dxa"/>
            <w:tcBorders>
              <w:top w:val="single" w:sz="4" w:space="0" w:color="auto"/>
              <w:left w:val="single" w:sz="4" w:space="0" w:color="auto"/>
              <w:bottom w:val="single" w:sz="4" w:space="0" w:color="auto"/>
              <w:right w:val="single" w:sz="4" w:space="0" w:color="auto"/>
            </w:tcBorders>
          </w:tcPr>
          <w:p w14:paraId="0FDF50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 généreux dons (50) / Dieu récompensera d’une excellente façon (58)</w:t>
            </w:r>
          </w:p>
        </w:tc>
      </w:tr>
      <w:tr w:rsidR="00A70B78" w:rsidRPr="007C6A42" w14:paraId="79D1D909"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20084FD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6143" w:type="dxa"/>
            <w:tcBorders>
              <w:top w:val="single" w:sz="4" w:space="0" w:color="auto"/>
              <w:left w:val="single" w:sz="4" w:space="0" w:color="auto"/>
              <w:bottom w:val="single" w:sz="4" w:space="0" w:color="auto"/>
              <w:right w:val="single" w:sz="4" w:space="0" w:color="auto"/>
            </w:tcBorders>
          </w:tcPr>
          <w:p w14:paraId="79EC504F"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le beau don (50) / un beau salaire (58)</w:t>
            </w:r>
          </w:p>
        </w:tc>
      </w:tr>
      <w:tr w:rsidR="00A70B78" w:rsidRPr="007C6A42" w14:paraId="5279F441"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028035A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6143" w:type="dxa"/>
            <w:tcBorders>
              <w:top w:val="single" w:sz="4" w:space="0" w:color="auto"/>
              <w:left w:val="single" w:sz="4" w:space="0" w:color="auto"/>
              <w:bottom w:val="single" w:sz="4" w:space="0" w:color="auto"/>
              <w:right w:val="single" w:sz="4" w:space="0" w:color="auto"/>
            </w:tcBorders>
          </w:tcPr>
          <w:p w14:paraId="0B979D4B"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généreuse provende (50) / une excellente provende (58)</w:t>
            </w:r>
          </w:p>
        </w:tc>
      </w:tr>
      <w:tr w:rsidR="00A70B78" w:rsidRPr="007C6A42" w14:paraId="7D06E0A7" w14:textId="77777777" w:rsidTr="00F445C1">
        <w:trPr>
          <w:trHeight w:val="270"/>
          <w:jc w:val="center"/>
        </w:trPr>
        <w:tc>
          <w:tcPr>
            <w:tcW w:w="1888" w:type="dxa"/>
            <w:tcBorders>
              <w:top w:val="single" w:sz="4" w:space="0" w:color="auto"/>
              <w:left w:val="single" w:sz="4" w:space="0" w:color="auto"/>
              <w:bottom w:val="single" w:sz="4" w:space="0" w:color="auto"/>
              <w:right w:val="single" w:sz="4" w:space="0" w:color="auto"/>
            </w:tcBorders>
          </w:tcPr>
          <w:p w14:paraId="2B9C405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6143" w:type="dxa"/>
            <w:tcBorders>
              <w:top w:val="single" w:sz="4" w:space="0" w:color="auto"/>
              <w:left w:val="single" w:sz="4" w:space="0" w:color="auto"/>
              <w:bottom w:val="single" w:sz="4" w:space="0" w:color="auto"/>
              <w:right w:val="single" w:sz="4" w:space="0" w:color="auto"/>
            </w:tcBorders>
          </w:tcPr>
          <w:p w14:paraId="245C1E65"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une généreuse attribution (50) / splendide attribution (58)</w:t>
            </w:r>
          </w:p>
        </w:tc>
      </w:tr>
      <w:tr w:rsidR="00A70B78" w:rsidRPr="007C6A42" w14:paraId="6BF0F30E"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0BE5705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6143" w:type="dxa"/>
            <w:tcBorders>
              <w:top w:val="single" w:sz="4" w:space="0" w:color="auto"/>
              <w:left w:val="single" w:sz="4" w:space="0" w:color="auto"/>
              <w:bottom w:val="single" w:sz="4" w:space="0" w:color="auto"/>
              <w:right w:val="single" w:sz="4" w:space="0" w:color="auto"/>
            </w:tcBorders>
          </w:tcPr>
          <w:p w14:paraId="7C127A7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 xml:space="preserve">seront généreusement favorisés (50) / </w:t>
            </w:r>
            <w:r w:rsidRPr="007C6A42">
              <w:rPr>
                <w:rFonts w:asciiTheme="majorBidi" w:hAnsiTheme="majorBidi" w:cstheme="majorBidi"/>
                <w:b/>
              </w:rPr>
              <w:t>ALLAH</w:t>
            </w:r>
            <w:r w:rsidRPr="007C6A42">
              <w:rPr>
                <w:rFonts w:asciiTheme="majorBidi" w:hAnsiTheme="majorBidi" w:cstheme="majorBidi"/>
              </w:rPr>
              <w:t xml:space="preserve"> saura, de belle manière, les récompenser (58)</w:t>
            </w:r>
          </w:p>
        </w:tc>
      </w:tr>
      <w:tr w:rsidR="00A70B78" w:rsidRPr="007C6A42" w14:paraId="0BD29AE9"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15A959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6143" w:type="dxa"/>
            <w:tcBorders>
              <w:top w:val="single" w:sz="4" w:space="0" w:color="auto"/>
              <w:left w:val="single" w:sz="4" w:space="0" w:color="auto"/>
              <w:bottom w:val="single" w:sz="4" w:space="0" w:color="auto"/>
              <w:right w:val="single" w:sz="4" w:space="0" w:color="auto"/>
            </w:tcBorders>
          </w:tcPr>
          <w:p w14:paraId="1CD7548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une généreuse rétribution (50) / une belle récompense (58)</w:t>
            </w:r>
          </w:p>
        </w:tc>
      </w:tr>
      <w:tr w:rsidR="00A70B78" w:rsidRPr="007C6A42" w14:paraId="0C0D3D7E"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298D844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6143" w:type="dxa"/>
            <w:tcBorders>
              <w:top w:val="single" w:sz="4" w:space="0" w:color="auto"/>
              <w:left w:val="single" w:sz="4" w:space="0" w:color="auto"/>
              <w:bottom w:val="single" w:sz="4" w:space="0" w:color="auto"/>
              <w:right w:val="single" w:sz="4" w:space="0" w:color="auto"/>
            </w:tcBorders>
          </w:tcPr>
          <w:p w14:paraId="35189B5E"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faveurs généreuses (50) / une belle récompense (58)</w:t>
            </w:r>
          </w:p>
        </w:tc>
      </w:tr>
      <w:tr w:rsidR="00A70B78" w:rsidRPr="007C6A42" w14:paraId="7035DA8F"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72FCC42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6143" w:type="dxa"/>
            <w:tcBorders>
              <w:top w:val="single" w:sz="4" w:space="0" w:color="auto"/>
              <w:left w:val="single" w:sz="4" w:space="0" w:color="auto"/>
              <w:bottom w:val="single" w:sz="4" w:space="0" w:color="auto"/>
              <w:right w:val="single" w:sz="4" w:space="0" w:color="auto"/>
            </w:tcBorders>
          </w:tcPr>
          <w:p w14:paraId="65FE84B4"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une attribution honorable (50) / une bonne attribution (58)</w:t>
            </w:r>
          </w:p>
        </w:tc>
      </w:tr>
      <w:tr w:rsidR="00A70B78" w:rsidRPr="007C6A42" w14:paraId="576A0C11"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5D0E92B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6143" w:type="dxa"/>
            <w:tcBorders>
              <w:top w:val="single" w:sz="4" w:space="0" w:color="auto"/>
              <w:left w:val="single" w:sz="4" w:space="0" w:color="auto"/>
              <w:bottom w:val="single" w:sz="4" w:space="0" w:color="auto"/>
              <w:right w:val="single" w:sz="4" w:space="0" w:color="auto"/>
            </w:tcBorders>
          </w:tcPr>
          <w:p w14:paraId="132040FE"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un bien immense (50) / un bien immense venu d’Allah (58)</w:t>
            </w:r>
          </w:p>
        </w:tc>
      </w:tr>
      <w:tr w:rsidR="00A70B78" w:rsidRPr="007C6A42" w14:paraId="638414DB"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1A5DC01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6143" w:type="dxa"/>
            <w:tcBorders>
              <w:top w:val="single" w:sz="4" w:space="0" w:color="auto"/>
              <w:left w:val="single" w:sz="4" w:space="0" w:color="auto"/>
              <w:bottom w:val="single" w:sz="4" w:space="0" w:color="auto"/>
              <w:right w:val="single" w:sz="4" w:space="0" w:color="auto"/>
            </w:tcBorders>
          </w:tcPr>
          <w:p w14:paraId="199E287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une généreuse subsistance (50) / une bonne subsistance (58)</w:t>
            </w:r>
          </w:p>
        </w:tc>
      </w:tr>
      <w:tr w:rsidR="00A70B78" w:rsidRPr="007C6A42" w14:paraId="28F8B724" w14:textId="77777777" w:rsidTr="00F445C1">
        <w:trPr>
          <w:jc w:val="center"/>
        </w:trPr>
        <w:tc>
          <w:tcPr>
            <w:tcW w:w="1888" w:type="dxa"/>
            <w:tcBorders>
              <w:top w:val="single" w:sz="4" w:space="0" w:color="auto"/>
              <w:left w:val="single" w:sz="4" w:space="0" w:color="auto"/>
              <w:bottom w:val="single" w:sz="4" w:space="0" w:color="auto"/>
              <w:right w:val="single" w:sz="4" w:space="0" w:color="auto"/>
            </w:tcBorders>
          </w:tcPr>
          <w:p w14:paraId="5D21006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Haf. (2010)</w:t>
            </w:r>
          </w:p>
        </w:tc>
        <w:tc>
          <w:tcPr>
            <w:tcW w:w="6143" w:type="dxa"/>
            <w:tcBorders>
              <w:top w:val="single" w:sz="4" w:space="0" w:color="auto"/>
              <w:left w:val="single" w:sz="4" w:space="0" w:color="auto"/>
              <w:bottom w:val="single" w:sz="4" w:space="0" w:color="auto"/>
              <w:right w:val="single" w:sz="4" w:space="0" w:color="auto"/>
            </w:tcBorders>
          </w:tcPr>
          <w:p w14:paraId="5619705E"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de généreux dons (50) / une belle récompense (58)</w:t>
            </w:r>
          </w:p>
        </w:tc>
      </w:tr>
    </w:tbl>
    <w:p w14:paraId="6896B69E"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78E8C3BB"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Le champ sémantique de </w:t>
      </w:r>
      <w:r w:rsidRPr="007C6A42">
        <w:rPr>
          <w:rFonts w:asciiTheme="majorBidi" w:eastAsia="Times New Roman" w:hAnsiTheme="majorBidi" w:cstheme="majorBidi"/>
          <w:i/>
          <w:iCs/>
          <w:shd w:val="clear" w:color="auto" w:fill="FFFFFF"/>
          <w:lang w:bidi="ar-KW"/>
        </w:rPr>
        <w:t>rizq</w:t>
      </w:r>
      <w:r w:rsidRPr="007C6A42">
        <w:rPr>
          <w:rFonts w:asciiTheme="majorBidi" w:eastAsia="Times New Roman" w:hAnsiTheme="majorBidi" w:cstheme="majorBidi"/>
          <w:shd w:val="clear" w:color="auto" w:fill="FFFFFF"/>
          <w:lang w:bidi="ar-KW"/>
        </w:rPr>
        <w:t xml:space="preserve"> (substantif et nom d’action) est extrêmement vaste. Selon les dictionnaires, il désigne tout ce dont on peut tirer profit, ce dont on bénéficie (</w:t>
      </w:r>
      <w:r w:rsidRPr="007C6A42">
        <w:rPr>
          <w:rFonts w:asciiTheme="majorBidi" w:hAnsiTheme="majorBidi" w:cstheme="majorBidi"/>
          <w:rtl/>
        </w:rPr>
        <w:t>"ما يُنْتَفَعُ به"</w:t>
      </w:r>
      <w:r w:rsidRPr="007C6A42">
        <w:rPr>
          <w:rStyle w:val="apple-converted-space"/>
          <w:rFonts w:asciiTheme="majorBidi" w:hAnsiTheme="majorBidi" w:cstheme="majorBidi"/>
          <w:rtl/>
        </w:rPr>
        <w:t> </w:t>
      </w:r>
      <w:r w:rsidRPr="007C6A42">
        <w:rPr>
          <w:rFonts w:asciiTheme="majorBidi" w:eastAsia="Times New Roman" w:hAnsiTheme="majorBidi" w:cstheme="majorBidi"/>
          <w:shd w:val="clear" w:color="auto" w:fill="FFFFFF"/>
          <w:lang w:bidi="ar-KW"/>
        </w:rPr>
        <w:t>)</w:t>
      </w:r>
      <w:r w:rsidRPr="007C6A42">
        <w:rPr>
          <w:rStyle w:val="Appelnotedebasdep"/>
          <w:rFonts w:asciiTheme="majorBidi" w:hAnsiTheme="majorBidi" w:cstheme="majorBidi"/>
        </w:rPr>
        <w:footnoteReference w:id="514"/>
      </w:r>
      <w:r w:rsidRPr="007C6A42">
        <w:rPr>
          <w:rFonts w:asciiTheme="majorBidi" w:eastAsia="Times New Roman" w:hAnsiTheme="majorBidi" w:cstheme="majorBidi"/>
          <w:shd w:val="clear" w:color="auto" w:fill="FFFFFF"/>
          <w:lang w:bidi="ar-KW"/>
        </w:rPr>
        <w:t xml:space="preserve">. Ainsi, la pluie peut être dénommée </w:t>
      </w:r>
      <w:r w:rsidRPr="007C6A42">
        <w:rPr>
          <w:rFonts w:asciiTheme="majorBidi" w:eastAsia="Times New Roman" w:hAnsiTheme="majorBidi" w:cstheme="majorBidi"/>
          <w:i/>
          <w:iCs/>
          <w:shd w:val="clear" w:color="auto" w:fill="FFFFFF"/>
          <w:lang w:bidi="ar-KW"/>
        </w:rPr>
        <w:t>rizq</w:t>
      </w:r>
      <w:r w:rsidRPr="007C6A42">
        <w:rPr>
          <w:rFonts w:asciiTheme="majorBidi" w:eastAsia="Times New Roman" w:hAnsiTheme="majorBidi" w:cstheme="majorBidi"/>
          <w:shd w:val="clear" w:color="auto" w:fill="FFFFFF"/>
          <w:lang w:bidi="ar-KW"/>
        </w:rPr>
        <w:t>.</w:t>
      </w:r>
      <w:r w:rsidRPr="007C6A42">
        <w:rPr>
          <w:rStyle w:val="Appelnotedebasdep"/>
          <w:rFonts w:asciiTheme="majorBidi" w:hAnsiTheme="majorBidi" w:cstheme="majorBidi"/>
        </w:rPr>
        <w:footnoteReference w:id="515"/>
      </w:r>
      <w:r w:rsidRPr="007C6A42">
        <w:rPr>
          <w:rFonts w:asciiTheme="majorBidi" w:eastAsia="Times New Roman" w:hAnsiTheme="majorBidi" w:cstheme="majorBidi"/>
          <w:shd w:val="clear" w:color="auto" w:fill="FFFFFF"/>
          <w:lang w:bidi="ar-KW"/>
        </w:rPr>
        <w:t xml:space="preserve"> Le </w:t>
      </w:r>
      <w:r w:rsidRPr="007C6A42">
        <w:rPr>
          <w:rFonts w:asciiTheme="majorBidi" w:eastAsia="Times New Roman" w:hAnsiTheme="majorBidi" w:cstheme="majorBidi"/>
          <w:i/>
          <w:iCs/>
          <w:shd w:val="clear" w:color="auto" w:fill="FFFFFF"/>
          <w:lang w:bidi="ar-KW"/>
        </w:rPr>
        <w:t>rizq</w:t>
      </w:r>
      <w:r w:rsidRPr="007C6A42">
        <w:rPr>
          <w:rFonts w:asciiTheme="majorBidi" w:eastAsia="Times New Roman" w:hAnsiTheme="majorBidi" w:cstheme="majorBidi"/>
          <w:shd w:val="clear" w:color="auto" w:fill="FFFFFF"/>
          <w:lang w:bidi="ar-KW"/>
        </w:rPr>
        <w:t xml:space="preserve"> est le don ou le don ininterrompu (</w:t>
      </w:r>
      <w:r w:rsidRPr="007C6A42">
        <w:rPr>
          <w:rFonts w:asciiTheme="majorBidi" w:hAnsiTheme="majorBidi" w:cstheme="majorBidi"/>
          <w:rtl/>
        </w:rPr>
        <w:t>"الرزق: العطاء أو العطاء الجاري"</w:t>
      </w:r>
      <w:r w:rsidRPr="007C6A42">
        <w:rPr>
          <w:rFonts w:asciiTheme="majorBidi" w:eastAsia="Times New Roman" w:hAnsiTheme="majorBidi" w:cstheme="majorBidi"/>
          <w:shd w:val="clear" w:color="auto" w:fill="FFFFFF"/>
          <w:lang w:bidi="ar-KW"/>
        </w:rPr>
        <w:t>).</w:t>
      </w:r>
      <w:r w:rsidRPr="007C6A42">
        <w:rPr>
          <w:rStyle w:val="Appelnotedebasdep"/>
          <w:rFonts w:asciiTheme="majorBidi" w:hAnsiTheme="majorBidi" w:cstheme="majorBidi"/>
        </w:rPr>
        <w:footnoteReference w:id="516"/>
      </w:r>
      <w:r w:rsidRPr="007C6A42">
        <w:rPr>
          <w:rFonts w:asciiTheme="majorBidi" w:eastAsia="Times New Roman" w:hAnsiTheme="majorBidi" w:cstheme="majorBidi"/>
          <w:shd w:val="clear" w:color="auto" w:fill="FFFFFF"/>
          <w:lang w:bidi="ar-KW"/>
        </w:rPr>
        <w:t xml:space="preserve"> Aussi </w:t>
      </w:r>
      <w:r w:rsidRPr="007C6A42">
        <w:rPr>
          <w:rFonts w:asciiTheme="majorBidi" w:eastAsia="Times New Roman" w:hAnsiTheme="majorBidi" w:cstheme="majorBidi"/>
          <w:i/>
          <w:iCs/>
          <w:shd w:val="clear" w:color="auto" w:fill="FFFFFF"/>
          <w:lang w:bidi="ar-KW"/>
        </w:rPr>
        <w:t>ar-rāziq</w:t>
      </w:r>
      <w:r w:rsidRPr="007C6A42">
        <w:rPr>
          <w:rFonts w:asciiTheme="majorBidi" w:eastAsia="Times New Roman" w:hAnsiTheme="majorBidi" w:cstheme="majorBidi"/>
          <w:shd w:val="clear" w:color="auto" w:fill="FFFFFF"/>
          <w:lang w:bidi="ar-KW"/>
        </w:rPr>
        <w:t xml:space="preserve"> et </w:t>
      </w:r>
      <w:r w:rsidRPr="007C6A42">
        <w:rPr>
          <w:rFonts w:asciiTheme="majorBidi" w:eastAsia="Times New Roman" w:hAnsiTheme="majorBidi" w:cstheme="majorBidi"/>
          <w:i/>
          <w:iCs/>
          <w:shd w:val="clear" w:color="auto" w:fill="FFFFFF"/>
          <w:lang w:bidi="ar-KW"/>
        </w:rPr>
        <w:t>ar-razzāq</w:t>
      </w:r>
      <w:r w:rsidRPr="007C6A42">
        <w:rPr>
          <w:rFonts w:asciiTheme="majorBidi" w:eastAsia="Times New Roman" w:hAnsiTheme="majorBidi" w:cstheme="majorBidi"/>
          <w:shd w:val="clear" w:color="auto" w:fill="FFFFFF"/>
          <w:lang w:bidi="ar-KW"/>
        </w:rPr>
        <w:t xml:space="preserve"> sont-ils des noms de Dieu.</w:t>
      </w:r>
      <w:r w:rsidRPr="007C6A42">
        <w:rPr>
          <w:rStyle w:val="Appelnotedebasdep"/>
          <w:rFonts w:asciiTheme="majorBidi" w:hAnsiTheme="majorBidi" w:cstheme="majorBidi"/>
        </w:rPr>
        <w:footnoteReference w:id="517"/>
      </w:r>
    </w:p>
    <w:p w14:paraId="14A9D233" w14:textId="77777777" w:rsidR="00A70B78" w:rsidRPr="007C6A42" w:rsidRDefault="00A70B78" w:rsidP="00A70B78">
      <w:pPr>
        <w:spacing w:line="360" w:lineRule="auto"/>
        <w:ind w:firstLine="720"/>
        <w:jc w:val="both"/>
        <w:rPr>
          <w:rFonts w:asciiTheme="majorBidi" w:eastAsia="Times New Roman" w:hAnsiTheme="majorBidi" w:cstheme="majorBidi"/>
          <w:lang w:bidi="ar-EG"/>
        </w:rPr>
      </w:pPr>
      <w:r w:rsidRPr="007C6A42">
        <w:rPr>
          <w:rFonts w:asciiTheme="majorBidi" w:hAnsiTheme="majorBidi" w:cstheme="majorBidi"/>
        </w:rPr>
        <w:t xml:space="preserve">Selon les exégètes, il signifie : </w:t>
      </w:r>
      <w:r w:rsidRPr="007C6A42">
        <w:rPr>
          <w:rFonts w:asciiTheme="majorBidi" w:eastAsia="Times New Roman" w:hAnsiTheme="majorBidi" w:cstheme="majorBidi"/>
          <w:lang w:bidi="ar-EG"/>
        </w:rPr>
        <w:t xml:space="preserve">une rémunération, des moyens </w:t>
      </w:r>
      <w:r w:rsidRPr="007C6A42">
        <w:rPr>
          <w:rFonts w:asciiTheme="majorBidi" w:hAnsiTheme="majorBidi" w:cstheme="majorBidi"/>
        </w:rPr>
        <w:t>de subsistance</w:t>
      </w:r>
      <w:r w:rsidRPr="007C6A42">
        <w:rPr>
          <w:rFonts w:asciiTheme="majorBidi" w:eastAsia="Times New Roman" w:hAnsiTheme="majorBidi" w:cstheme="majorBidi"/>
          <w:lang w:bidi="ar-EG"/>
        </w:rPr>
        <w:t xml:space="preserve">, des récompenses, une rétribution, des fruits des révélations, une compensation des biens perdus, tout avantage, etc. Ce maṣdar [nom d’action] au singulier </w:t>
      </w:r>
      <w:r w:rsidRPr="007C6A42">
        <w:rPr>
          <w:rFonts w:asciiTheme="majorBidi" w:eastAsia="Times New Roman" w:hAnsiTheme="majorBidi" w:cstheme="majorBidi"/>
          <w:i/>
          <w:iCs/>
          <w:lang w:bidi="ar-EG"/>
        </w:rPr>
        <w:t>rizq</w:t>
      </w:r>
      <w:r w:rsidRPr="007C6A42">
        <w:rPr>
          <w:rFonts w:asciiTheme="majorBidi" w:eastAsia="Times New Roman" w:hAnsiTheme="majorBidi" w:cstheme="majorBidi"/>
          <w:lang w:bidi="ar-EG"/>
        </w:rPr>
        <w:t xml:space="preserve"> est traduit par :</w:t>
      </w:r>
    </w:p>
    <w:p w14:paraId="51F1AC58" w14:textId="77777777" w:rsidR="00A70B78" w:rsidRPr="007C6A42" w:rsidRDefault="00A70B78" w:rsidP="00876BB0">
      <w:pPr>
        <w:pStyle w:val="Paragraphedeliste"/>
        <w:numPr>
          <w:ilvl w:val="0"/>
          <w:numId w:val="113"/>
        </w:numPr>
        <w:bidi w:val="0"/>
        <w:spacing w:line="360" w:lineRule="auto"/>
        <w:jc w:val="both"/>
        <w:rPr>
          <w:rFonts w:asciiTheme="majorBidi" w:hAnsiTheme="majorBidi" w:cstheme="majorBidi"/>
          <w:sz w:val="24"/>
          <w:szCs w:val="24"/>
          <w:shd w:val="clear" w:color="auto" w:fill="FFFFFF"/>
          <w:lang w:bidi="ar-KW"/>
        </w:rPr>
      </w:pPr>
      <w:r w:rsidRPr="007C6A42">
        <w:rPr>
          <w:rFonts w:asciiTheme="majorBidi" w:hAnsiTheme="majorBidi" w:cstheme="majorBidi"/>
          <w:sz w:val="24"/>
          <w:szCs w:val="24"/>
        </w:rPr>
        <w:t>un substantif :</w:t>
      </w:r>
    </w:p>
    <w:p w14:paraId="3F6D8030" w14:textId="77777777" w:rsidR="00A70B78" w:rsidRPr="007C6A42" w:rsidRDefault="00A70B78" w:rsidP="00876BB0">
      <w:pPr>
        <w:pStyle w:val="Paragraphedeliste"/>
        <w:numPr>
          <w:ilvl w:val="1"/>
          <w:numId w:val="113"/>
        </w:numPr>
        <w:bidi w:val="0"/>
        <w:spacing w:line="360" w:lineRule="auto"/>
        <w:jc w:val="both"/>
        <w:rPr>
          <w:rFonts w:asciiTheme="majorBidi" w:hAnsiTheme="majorBidi" w:cstheme="majorBidi"/>
          <w:sz w:val="24"/>
          <w:szCs w:val="24"/>
          <w:shd w:val="clear" w:color="auto" w:fill="FFFFFF"/>
          <w:lang w:bidi="ar-KW"/>
        </w:rPr>
      </w:pPr>
      <w:r w:rsidRPr="007C6A42">
        <w:rPr>
          <w:rFonts w:asciiTheme="majorBidi" w:hAnsiTheme="majorBidi" w:cstheme="majorBidi"/>
          <w:sz w:val="24"/>
          <w:szCs w:val="24"/>
        </w:rPr>
        <w:t>singulier : « trésor », « une récompense » (5 fois), « un bien » (2 fois), « attribution » (5 fois), « rétribution », « une part de Ses bienfaits », « part » (2 fois), « Félicité », « une félicité », « dons » (2 fois), « le don », « un salaire », « provende » (2 fois), « une subsistance » (2 fois) ;</w:t>
      </w:r>
    </w:p>
    <w:p w14:paraId="66DB9192" w14:textId="77777777" w:rsidR="00A70B78" w:rsidRPr="007C6A42" w:rsidRDefault="00A70B78" w:rsidP="00876BB0">
      <w:pPr>
        <w:pStyle w:val="Paragraphedeliste"/>
        <w:numPr>
          <w:ilvl w:val="1"/>
          <w:numId w:val="113"/>
        </w:numPr>
        <w:bidi w:val="0"/>
        <w:spacing w:line="360" w:lineRule="auto"/>
        <w:jc w:val="both"/>
        <w:rPr>
          <w:rFonts w:asciiTheme="majorBidi" w:hAnsiTheme="majorBidi" w:cstheme="majorBidi"/>
          <w:sz w:val="24"/>
          <w:szCs w:val="24"/>
          <w:shd w:val="clear" w:color="auto" w:fill="FFFFFF"/>
          <w:lang w:bidi="ar-KW"/>
        </w:rPr>
      </w:pPr>
      <w:r w:rsidRPr="007C6A42">
        <w:rPr>
          <w:rFonts w:asciiTheme="majorBidi" w:hAnsiTheme="majorBidi" w:cstheme="majorBidi"/>
          <w:sz w:val="24"/>
          <w:szCs w:val="24"/>
        </w:rPr>
        <w:t>pluriel : « des biens », « des faveurs » (3 fois) ;</w:t>
      </w:r>
    </w:p>
    <w:p w14:paraId="106C699B" w14:textId="77777777" w:rsidR="00A70B78" w:rsidRPr="007C6A42" w:rsidRDefault="00A70B78" w:rsidP="00876BB0">
      <w:pPr>
        <w:pStyle w:val="Paragraphedeliste"/>
        <w:numPr>
          <w:ilvl w:val="0"/>
          <w:numId w:val="113"/>
        </w:numPr>
        <w:bidi w:val="0"/>
        <w:spacing w:line="360" w:lineRule="auto"/>
        <w:jc w:val="both"/>
        <w:rPr>
          <w:rFonts w:asciiTheme="majorBidi" w:hAnsiTheme="majorBidi" w:cstheme="majorBidi"/>
          <w:sz w:val="24"/>
          <w:szCs w:val="24"/>
          <w:shd w:val="clear" w:color="auto" w:fill="FFFFFF"/>
          <w:lang w:bidi="ar-KW"/>
        </w:rPr>
      </w:pPr>
      <w:r w:rsidRPr="007C6A42">
        <w:rPr>
          <w:rFonts w:asciiTheme="majorBidi" w:hAnsiTheme="majorBidi" w:cstheme="majorBidi"/>
          <w:sz w:val="24"/>
          <w:szCs w:val="24"/>
        </w:rPr>
        <w:t>un verbe : « seront récompensés par sa divine Majesté », « récompensera », « saura les récompenser », « seront favorisés », « seront rétribués ».</w:t>
      </w:r>
    </w:p>
    <w:p w14:paraId="2A1C1170" w14:textId="77777777" w:rsidR="00A70B78" w:rsidRPr="007C6A42" w:rsidRDefault="00A70B78" w:rsidP="00A70B78">
      <w:pPr>
        <w:shd w:val="clear" w:color="auto" w:fill="FFFFFF"/>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lang w:bidi="ar-EG"/>
        </w:rPr>
        <w:t>Pour un seul terme arabe (</w:t>
      </w:r>
      <w:r w:rsidRPr="007C6A42">
        <w:rPr>
          <w:rFonts w:asciiTheme="majorBidi" w:eastAsia="Times New Roman" w:hAnsiTheme="majorBidi" w:cstheme="majorBidi"/>
          <w:i/>
          <w:iCs/>
          <w:lang w:bidi="ar-EG"/>
        </w:rPr>
        <w:t>rizq</w:t>
      </w:r>
      <w:r w:rsidRPr="007C6A42">
        <w:rPr>
          <w:rFonts w:asciiTheme="majorBidi" w:eastAsia="Times New Roman" w:hAnsiTheme="majorBidi" w:cstheme="majorBidi"/>
          <w:iCs/>
          <w:lang w:bidi="ar-EG"/>
        </w:rPr>
        <w:t>)</w:t>
      </w:r>
      <w:r w:rsidRPr="007C6A42">
        <w:rPr>
          <w:rFonts w:asciiTheme="majorBidi" w:eastAsia="Times New Roman" w:hAnsiTheme="majorBidi" w:cstheme="majorBidi"/>
          <w:lang w:bidi="ar-EG"/>
        </w:rPr>
        <w:t>, les traducteurs proposent 17 versions françaises (</w:t>
      </w:r>
      <w:r w:rsidRPr="007C6A42">
        <w:rPr>
          <w:rFonts w:asciiTheme="majorBidi" w:hAnsiTheme="majorBidi" w:cstheme="majorBidi"/>
          <w:lang w:eastAsia="fr-CH"/>
        </w:rPr>
        <w:t xml:space="preserve">enrichissement quantitatif), qui révèlent une partie du champ sémantique du terme arabe. Il y a une exagération dans le mot « félicité » choisi par Ben Mahmoud, un terme qui désigne un bonheur parfait et en particulier le bonheur promis, dans le catholicisme, aux élus après leur mort. Il y a aussi une exagération dans les choix de Du </w:t>
      </w:r>
      <w:r w:rsidRPr="001570C5">
        <w:rPr>
          <w:rFonts w:asciiTheme="majorBidi" w:hAnsiTheme="majorBidi" w:cstheme="majorBidi"/>
          <w:lang w:eastAsia="fr-CH"/>
        </w:rPr>
        <w:t>Ryer : « </w:t>
      </w:r>
      <w:r w:rsidRPr="001570C5">
        <w:rPr>
          <w:rStyle w:val="lev"/>
          <w:rFonts w:asciiTheme="majorBidi" w:hAnsiTheme="majorBidi" w:cstheme="majorBidi"/>
          <w:b w:val="0"/>
          <w:bCs w:val="0"/>
        </w:rPr>
        <w:t>treʃor</w:t>
      </w:r>
      <w:r w:rsidRPr="001570C5">
        <w:rPr>
          <w:rFonts w:asciiTheme="majorBidi" w:eastAsia="Times New Roman" w:hAnsiTheme="majorBidi" w:cstheme="majorBidi"/>
        </w:rPr>
        <w:t> » et</w:t>
      </w:r>
      <w:r w:rsidRPr="001570C5">
        <w:rPr>
          <w:rFonts w:asciiTheme="majorBidi" w:hAnsiTheme="majorBidi" w:cstheme="majorBidi"/>
          <w:lang w:eastAsia="fr-CH"/>
        </w:rPr>
        <w:t xml:space="preserve"> « </w:t>
      </w:r>
      <w:r w:rsidRPr="001570C5">
        <w:rPr>
          <w:rStyle w:val="lev"/>
          <w:rFonts w:asciiTheme="majorBidi" w:hAnsiTheme="majorBidi" w:cstheme="majorBidi"/>
          <w:b w:val="0"/>
          <w:bCs w:val="0"/>
        </w:rPr>
        <w:t>ʃeront recompenʃez par</w:t>
      </w:r>
      <w:r w:rsidRPr="001570C5">
        <w:rPr>
          <w:rStyle w:val="apple-converted-space"/>
          <w:rFonts w:asciiTheme="majorBidi" w:hAnsiTheme="majorBidi" w:cstheme="majorBidi"/>
          <w:b/>
          <w:bCs/>
        </w:rPr>
        <w:t> </w:t>
      </w:r>
      <w:r w:rsidRPr="001570C5">
        <w:rPr>
          <w:rStyle w:val="lev"/>
          <w:rFonts w:asciiTheme="majorBidi" w:hAnsiTheme="majorBidi" w:cstheme="majorBidi"/>
          <w:b w:val="0"/>
          <w:bCs w:val="0"/>
        </w:rPr>
        <w:t>ʃa diuine Majeʃté</w:t>
      </w:r>
      <w:r w:rsidRPr="001570C5">
        <w:rPr>
          <w:rFonts w:asciiTheme="majorBidi" w:eastAsia="Times New Roman" w:hAnsiTheme="majorBidi" w:cstheme="majorBidi"/>
        </w:rPr>
        <w:t xml:space="preserve"> ». Le mot « trésor » indique </w:t>
      </w:r>
      <w:r w:rsidRPr="001570C5">
        <w:rPr>
          <w:rFonts w:asciiTheme="majorBidi" w:hAnsiTheme="majorBidi" w:cstheme="majorBidi"/>
        </w:rPr>
        <w:t>un ensemble</w:t>
      </w:r>
      <w:r w:rsidRPr="007C6A42">
        <w:rPr>
          <w:rFonts w:asciiTheme="majorBidi" w:hAnsiTheme="majorBidi" w:cstheme="majorBidi"/>
        </w:rPr>
        <w:t xml:space="preserve"> de choses de valeur, de toute façon, </w:t>
      </w:r>
      <w:r w:rsidRPr="007C6A42">
        <w:rPr>
          <w:rFonts w:asciiTheme="majorBidi" w:eastAsia="Times New Roman" w:hAnsiTheme="majorBidi" w:cstheme="majorBidi"/>
        </w:rPr>
        <w:t xml:space="preserve">un bien inestimable, une sublime récompense et non un simple rizq ; </w:t>
      </w:r>
      <w:r w:rsidRPr="007C6A42">
        <w:rPr>
          <w:rFonts w:asciiTheme="majorBidi" w:hAnsiTheme="majorBidi" w:cstheme="majorBidi"/>
        </w:rPr>
        <w:t xml:space="preserve">naturellement, seule  « ʃa diuine Majeʃté » aurait le titre d’attribuer cette sublime récompense, ce "trésor" ; en outre, selon une définition "vieillie" proposée par le site du Cnrtl (Centre National de Ressources </w:t>
      </w:r>
      <w:r w:rsidRPr="007C6A42">
        <w:rPr>
          <w:rFonts w:asciiTheme="majorBidi" w:hAnsiTheme="majorBidi" w:cstheme="majorBidi"/>
        </w:rPr>
        <w:lastRenderedPageBreak/>
        <w:t>Textuelles et Lexicales), le terme "trésor" possède un sens religieux et représente un ensemble de choses « bonnes ou mauvaises, qui peuvent aider l’homme, le récompenser ou le punir, selon sa conduite » ; ainsi, on parle alors du « trésor des miséricordes divines, des vengeances célestes » ou encore du « trésor des mérites de Jésus-Christ, des mérites des saints (Ac. 1798-1878) ». Une</w:t>
      </w:r>
      <w:r w:rsidRPr="007C6A42">
        <w:rPr>
          <w:rFonts w:asciiTheme="majorBidi" w:hAnsiTheme="majorBidi" w:cstheme="majorBidi"/>
          <w:i/>
          <w:iCs/>
        </w:rPr>
        <w:t xml:space="preserve"> </w:t>
      </w:r>
      <w:r w:rsidRPr="007C6A42">
        <w:rPr>
          <w:rFonts w:asciiTheme="majorBidi" w:hAnsiTheme="majorBidi" w:cstheme="majorBidi"/>
        </w:rPr>
        <w:t>telle connotation aurait peut-être induit le traducteur à "clarifier" sa traduction avec la périphrase « Divine Majesté », c’est-à-dire le Roi des Rois, Dieu ; ainsi, ce choix de traduction caractérisé par l’exagération (</w:t>
      </w:r>
      <w:r w:rsidRPr="007C6A42">
        <w:rPr>
          <w:rFonts w:asciiTheme="majorBidi" w:hAnsiTheme="majorBidi" w:cstheme="majorBidi"/>
          <w:i/>
          <w:iCs/>
        </w:rPr>
        <w:t>rizq</w:t>
      </w:r>
      <w:r w:rsidRPr="007C6A42">
        <w:rPr>
          <w:rFonts w:asciiTheme="majorBidi" w:hAnsiTheme="majorBidi" w:cstheme="majorBidi"/>
        </w:rPr>
        <w:t xml:space="preserve"> rendu par le terme « trésor ») comporterait une cohérence :  la « divine Majesté » ne peut pas posséder autre chose qu’un « précieux trésor » et, par conséquent, ne peut pas attribuer autre chose.</w:t>
      </w:r>
    </w:p>
    <w:p w14:paraId="11D5BD06" w14:textId="77777777" w:rsidR="00A70B78" w:rsidRPr="007C6A42" w:rsidRDefault="00A70B78" w:rsidP="00A70B78">
      <w:pPr>
        <w:spacing w:line="360" w:lineRule="auto"/>
        <w:jc w:val="both"/>
        <w:rPr>
          <w:rFonts w:asciiTheme="majorBidi" w:eastAsia="Times New Roman" w:hAnsiTheme="majorBidi" w:cstheme="majorBidi"/>
        </w:rPr>
      </w:pPr>
    </w:p>
    <w:p w14:paraId="4FC13FA8" w14:textId="77777777" w:rsidR="00A70B78" w:rsidRPr="007C6A42" w:rsidRDefault="00A70B78" w:rsidP="00A70B78">
      <w:pPr>
        <w:spacing w:line="360" w:lineRule="auto"/>
        <w:contextualSpacing/>
        <w:jc w:val="both"/>
        <w:rPr>
          <w:rFonts w:asciiTheme="majorBidi" w:hAnsiTheme="majorBidi" w:cstheme="majorBidi"/>
          <w:b/>
          <w:bCs/>
          <w:rtl/>
        </w:rPr>
      </w:pPr>
      <w:r w:rsidRPr="007C6A42">
        <w:rPr>
          <w:rFonts w:asciiTheme="majorBidi" w:hAnsiTheme="majorBidi" w:cstheme="majorBidi"/>
          <w:b/>
          <w:bCs/>
        </w:rPr>
        <w:t xml:space="preserve">Traduction des mots </w:t>
      </w:r>
      <w:r w:rsidRPr="007C6A42">
        <w:rPr>
          <w:rFonts w:asciiTheme="majorBidi" w:hAnsiTheme="majorBidi" w:cstheme="majorBidi"/>
          <w:b/>
          <w:bCs/>
          <w:i/>
          <w:iCs/>
        </w:rPr>
        <w:t>aẓ-ẓālimīna</w:t>
      </w:r>
      <w:r w:rsidRPr="007C6A42">
        <w:rPr>
          <w:rFonts w:asciiTheme="majorBidi" w:hAnsiTheme="majorBidi" w:cstheme="majorBidi"/>
          <w:b/>
          <w:bCs/>
        </w:rPr>
        <w:t xml:space="preserve"> (v. 53 &amp; 71) et </w:t>
      </w:r>
      <w:r w:rsidRPr="007C6A42">
        <w:rPr>
          <w:rFonts w:asciiTheme="majorBidi" w:hAnsiTheme="majorBidi" w:cstheme="majorBidi"/>
          <w:b/>
          <w:bCs/>
          <w:i/>
          <w:iCs/>
        </w:rPr>
        <w:t>ẓālima</w:t>
      </w:r>
      <w:r w:rsidRPr="007C6A42">
        <w:rPr>
          <w:rFonts w:asciiTheme="majorBidi" w:hAnsiTheme="majorBidi" w:cstheme="majorBidi"/>
          <w:b/>
          <w:bCs/>
        </w:rPr>
        <w:t xml:space="preserve"> (45 &amp; 48) :</w:t>
      </w:r>
    </w:p>
    <w:p w14:paraId="43B3FDE0"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hAnsiTheme="majorBidi" w:cstheme="majorBidi"/>
        </w:rPr>
        <w:t xml:space="preserve">Le participe actif </w:t>
      </w:r>
      <w:r w:rsidRPr="007C6A42">
        <w:rPr>
          <w:rFonts w:asciiTheme="majorBidi" w:hAnsiTheme="majorBidi" w:cstheme="majorBidi"/>
          <w:i/>
          <w:iCs/>
        </w:rPr>
        <w:t>ẓālim</w:t>
      </w:r>
      <w:r w:rsidRPr="007C6A42">
        <w:rPr>
          <w:rFonts w:asciiTheme="majorBidi" w:hAnsiTheme="majorBidi" w:cstheme="majorBidi"/>
        </w:rPr>
        <w:t xml:space="preserve"> signifie lexicalement : « injuste ». Le </w:t>
      </w:r>
      <w:r w:rsidRPr="007C6A42">
        <w:rPr>
          <w:rFonts w:asciiTheme="majorBidi" w:hAnsiTheme="majorBidi" w:cstheme="majorBidi"/>
          <w:i/>
          <w:iCs/>
        </w:rPr>
        <w:t>ẓulm</w:t>
      </w:r>
      <w:r w:rsidRPr="007C6A42">
        <w:rPr>
          <w:rFonts w:asciiTheme="majorBidi" w:hAnsiTheme="majorBidi" w:cstheme="majorBidi"/>
        </w:rPr>
        <w:t xml:space="preserve"> est, selon </w:t>
      </w:r>
      <w:r w:rsidRPr="007C6A42">
        <w:rPr>
          <w:rFonts w:asciiTheme="majorBidi" w:hAnsiTheme="majorBidi" w:cstheme="majorBidi"/>
          <w:i/>
          <w:iCs/>
        </w:rPr>
        <w:t>Lisān al-ʿArab</w:t>
      </w:r>
      <w:r w:rsidRPr="007C6A42">
        <w:rPr>
          <w:rFonts w:asciiTheme="majorBidi" w:hAnsiTheme="majorBidi" w:cstheme="majorBidi"/>
        </w:rPr>
        <w:t>, « mal placer une chose » (« </w:t>
      </w:r>
      <w:r w:rsidRPr="007C6A42">
        <w:rPr>
          <w:rFonts w:asciiTheme="majorBidi" w:hAnsiTheme="majorBidi" w:cstheme="majorBidi"/>
          <w:rtl/>
        </w:rPr>
        <w:t>و</w:t>
      </w:r>
      <w:r w:rsidRPr="007C6A42">
        <w:rPr>
          <w:rFonts w:asciiTheme="majorBidi" w:eastAsia="Times New Roman" w:hAnsiTheme="majorBidi" w:cstheme="majorBidi"/>
          <w:shd w:val="clear" w:color="auto" w:fill="FFFFFF"/>
          <w:rtl/>
        </w:rPr>
        <w:t>ضع الشيء في غير موضعه</w:t>
      </w:r>
      <w:r w:rsidRPr="007C6A42">
        <w:rPr>
          <w:rFonts w:asciiTheme="majorBidi" w:eastAsia="Times New Roman" w:hAnsiTheme="majorBidi" w:cstheme="majorBidi"/>
        </w:rPr>
        <w:t> »</w:t>
      </w:r>
      <w:r w:rsidRPr="007C6A42">
        <w:rPr>
          <w:rFonts w:asciiTheme="majorBidi" w:hAnsiTheme="majorBidi" w:cstheme="majorBidi"/>
        </w:rPr>
        <w:t xml:space="preserve">), et selon </w:t>
      </w:r>
      <w:r w:rsidRPr="007C6A42">
        <w:rPr>
          <w:rFonts w:asciiTheme="majorBidi" w:hAnsiTheme="majorBidi" w:cstheme="majorBidi"/>
          <w:i/>
          <w:iCs/>
        </w:rPr>
        <w:t>Tāj al-ʿArūs</w:t>
      </w:r>
      <w:r w:rsidRPr="007C6A42">
        <w:rPr>
          <w:rFonts w:asciiTheme="majorBidi" w:hAnsiTheme="majorBidi" w:cstheme="majorBidi"/>
        </w:rPr>
        <w:t>, « aller au-delà des limites », « excéder » (« </w:t>
      </w:r>
      <w:r w:rsidRPr="007C6A42">
        <w:rPr>
          <w:rFonts w:asciiTheme="majorBidi" w:hAnsiTheme="majorBidi" w:cstheme="majorBidi"/>
          <w:rtl/>
        </w:rPr>
        <w:t>مُجاوزة الحد</w:t>
      </w:r>
      <w:r w:rsidRPr="007C6A42">
        <w:rPr>
          <w:rFonts w:asciiTheme="majorBidi" w:hAnsiTheme="majorBidi" w:cstheme="majorBidi"/>
        </w:rPr>
        <w:t xml:space="preserve"> »). Selon l’exégèse, il signifie : </w:t>
      </w:r>
      <w:r w:rsidRPr="007C6A42">
        <w:rPr>
          <w:rFonts w:asciiTheme="majorBidi" w:eastAsia="Times New Roman" w:hAnsiTheme="majorBidi" w:cstheme="majorBidi"/>
        </w:rPr>
        <w:t>« injuste », « pécheur », « païen » (</w:t>
      </w:r>
      <w:r w:rsidRPr="007C6A42">
        <w:rPr>
          <w:rFonts w:asciiTheme="majorBidi" w:eastAsia="Times New Roman" w:hAnsiTheme="majorBidi" w:cstheme="majorBidi"/>
          <w:i/>
          <w:iCs/>
        </w:rPr>
        <w:t>mushrik</w:t>
      </w:r>
      <w:r w:rsidRPr="007C6A42">
        <w:rPr>
          <w:rFonts w:asciiTheme="majorBidi" w:eastAsia="Times New Roman" w:hAnsiTheme="majorBidi" w:cstheme="majorBidi"/>
        </w:rPr>
        <w:t>), « hypocrite », « celui qui dément les messagers de Dieu », etc.</w:t>
      </w:r>
    </w:p>
    <w:p w14:paraId="6B1F5F27"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rPr>
      </w:pPr>
      <w:r w:rsidRPr="007C6A42">
        <w:rPr>
          <w:rFonts w:asciiTheme="majorBidi" w:eastAsia="Times New Roman" w:hAnsiTheme="majorBidi" w:cstheme="majorBidi"/>
        </w:rPr>
        <w:t xml:space="preserve">Le sens coranique essentiel de </w:t>
      </w:r>
      <w:r w:rsidRPr="007C6A42">
        <w:rPr>
          <w:rFonts w:asciiTheme="majorBidi" w:hAnsiTheme="majorBidi" w:cstheme="majorBidi"/>
          <w:i/>
          <w:iCs/>
        </w:rPr>
        <w:t>ẓulm</w:t>
      </w:r>
      <w:r w:rsidRPr="007C6A42">
        <w:rPr>
          <w:rFonts w:asciiTheme="majorBidi" w:hAnsiTheme="majorBidi" w:cstheme="majorBidi"/>
        </w:rPr>
        <w:t xml:space="preserve"> est l’idolâtrie ou le polythéisme, suivant le verset XXXI, 13 : « </w:t>
      </w:r>
      <w:r w:rsidRPr="007C6A42">
        <w:rPr>
          <w:rFonts w:asciiTheme="majorBidi" w:eastAsia="Times New Roman" w:hAnsiTheme="majorBidi" w:cstheme="majorBidi"/>
          <w:shd w:val="clear" w:color="auto" w:fill="FFFFFF"/>
          <w:rtl/>
        </w:rPr>
        <w:t>إنَّ الشِّركَ لَظُلمٌ عظيم</w:t>
      </w:r>
      <w:r w:rsidRPr="007C6A42">
        <w:rPr>
          <w:rFonts w:asciiTheme="majorBidi" w:eastAsia="Times New Roman" w:hAnsiTheme="majorBidi" w:cstheme="majorBidi"/>
          <w:shd w:val="clear" w:color="auto" w:fill="FFFFFF"/>
        </w:rPr>
        <w:t xml:space="preserve"> » </w:t>
      </w:r>
      <w:r w:rsidRPr="007C6A42">
        <w:rPr>
          <w:rFonts w:asciiTheme="majorBidi" w:hAnsiTheme="majorBidi" w:cstheme="majorBidi"/>
        </w:rPr>
        <w:t>[« le polythéisme est une immense injustice » (Abdelaziz)]</w:t>
      </w:r>
      <w:r w:rsidRPr="007C6A42">
        <w:rPr>
          <w:rFonts w:asciiTheme="majorBidi" w:eastAsia="Times New Roman" w:hAnsiTheme="majorBidi" w:cstheme="majorBidi"/>
          <w:shd w:val="clear" w:color="auto" w:fill="FFFFFF"/>
        </w:rPr>
        <w:t>.</w:t>
      </w:r>
    </w:p>
    <w:p w14:paraId="2D9240C6"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eastAsia="fr-CH"/>
        </w:rPr>
      </w:pPr>
      <w:r w:rsidRPr="007C6A42">
        <w:rPr>
          <w:rFonts w:asciiTheme="majorBidi" w:eastAsia="Times New Roman" w:hAnsiTheme="majorBidi" w:cstheme="majorBidi"/>
          <w:shd w:val="clear" w:color="auto" w:fill="FFFFFF"/>
        </w:rPr>
        <w:t xml:space="preserve">Le participe actif au pluriel </w:t>
      </w:r>
      <w:r w:rsidRPr="007C6A42">
        <w:rPr>
          <w:rFonts w:asciiTheme="majorBidi" w:hAnsiTheme="majorBidi" w:cstheme="majorBidi"/>
          <w:i/>
          <w:iCs/>
        </w:rPr>
        <w:t>aẓ-ẓālimīna</w:t>
      </w:r>
      <w:r w:rsidRPr="007C6A42">
        <w:rPr>
          <w:rFonts w:asciiTheme="majorBidi" w:hAnsiTheme="majorBidi" w:cstheme="majorBidi"/>
        </w:rPr>
        <w:t xml:space="preserve"> </w:t>
      </w:r>
      <w:r w:rsidRPr="007C6A42">
        <w:rPr>
          <w:rFonts w:asciiTheme="majorBidi" w:eastAsia="Times New Roman" w:hAnsiTheme="majorBidi" w:cstheme="majorBidi"/>
          <w:shd w:val="clear" w:color="auto" w:fill="FFFFFF"/>
        </w:rPr>
        <w:t>est traduit par : « les infidèles », « les impies » (3 fois), « les méchants » (2 fois), « les injustes » (en minus. ou maj.) (9 fois), « </w:t>
      </w:r>
      <w:r w:rsidRPr="007C6A42">
        <w:rPr>
          <w:rFonts w:asciiTheme="majorBidi" w:hAnsiTheme="majorBidi" w:cstheme="majorBidi"/>
        </w:rPr>
        <w:t>les prévaricateurs », « les coupables », « les idolâtres », « les iniques » (2 fois), « </w:t>
      </w:r>
      <w:r w:rsidRPr="007C6A42">
        <w:rPr>
          <w:rFonts w:asciiTheme="majorBidi" w:eastAsia="Times New Roman" w:hAnsiTheme="majorBidi" w:cstheme="majorBidi"/>
        </w:rPr>
        <w:t>les fraudeurs », « </w:t>
      </w:r>
      <w:r w:rsidRPr="007C6A42">
        <w:rPr>
          <w:rFonts w:asciiTheme="majorBidi" w:eastAsia="Times New Roman" w:hAnsiTheme="majorBidi" w:cstheme="majorBidi"/>
          <w:lang w:eastAsia="fr-CH"/>
        </w:rPr>
        <w:t>Les oppresseurs ».</w:t>
      </w:r>
    </w:p>
    <w:p w14:paraId="5ECBAB18" w14:textId="77777777" w:rsidR="00A70B78" w:rsidRPr="007C6A42" w:rsidRDefault="00A70B78" w:rsidP="00A70B78">
      <w:pPr>
        <w:spacing w:line="360" w:lineRule="auto"/>
        <w:ind w:firstLine="284"/>
        <w:contextualSpacing/>
        <w:jc w:val="both"/>
        <w:rPr>
          <w:rFonts w:asciiTheme="majorBidi" w:eastAsia="Times New Roman" w:hAnsiTheme="majorBidi" w:cstheme="majorBidi"/>
          <w:rtl/>
        </w:rPr>
      </w:pPr>
      <w:r w:rsidRPr="007C6A42">
        <w:rPr>
          <w:rFonts w:asciiTheme="majorBidi" w:eastAsia="Times New Roman" w:hAnsiTheme="majorBidi" w:cstheme="majorBidi"/>
        </w:rPr>
        <w:t xml:space="preserve">Le trait distinctif central du champ sémantique du mot </w:t>
      </w:r>
      <w:r w:rsidRPr="007C6A42">
        <w:rPr>
          <w:rFonts w:asciiTheme="majorBidi" w:hAnsiTheme="majorBidi" w:cstheme="majorBidi"/>
          <w:i/>
          <w:iCs/>
        </w:rPr>
        <w:t>ẓālim</w:t>
      </w:r>
      <w:r w:rsidRPr="007C6A42">
        <w:rPr>
          <w:rFonts w:asciiTheme="majorBidi" w:hAnsiTheme="majorBidi" w:cstheme="majorBidi"/>
        </w:rPr>
        <w:t xml:space="preserve"> est « l’excès », « l’abus ». </w:t>
      </w:r>
      <w:r w:rsidRPr="007C6A42">
        <w:rPr>
          <w:rFonts w:asciiTheme="majorBidi" w:eastAsia="Times New Roman" w:hAnsiTheme="majorBidi" w:cstheme="majorBidi"/>
        </w:rPr>
        <w:t>Et le trait distinctif exégétique de ce terme</w:t>
      </w:r>
      <w:r w:rsidRPr="007C6A42">
        <w:rPr>
          <w:rFonts w:asciiTheme="majorBidi" w:hAnsiTheme="majorBidi" w:cstheme="majorBidi"/>
        </w:rPr>
        <w:t xml:space="preserve"> est : « ne pas être musulman ». </w:t>
      </w:r>
      <w:r w:rsidRPr="007C6A42">
        <w:rPr>
          <w:rFonts w:asciiTheme="majorBidi" w:eastAsia="Times New Roman" w:hAnsiTheme="majorBidi" w:cstheme="majorBidi"/>
          <w:lang w:eastAsia="fr-CH"/>
        </w:rPr>
        <w:t xml:space="preserve">Cependant, le mot « méchant » utilisé par Kazimirski et Guessous est un jugement qui met l’accent sur le fait de faire du mal à autrui. Le terme « prévaricateur » choisi par Hamidullah semble inapproprié car il met en exergue le fait de manquer à un devoir. Le terme « coupables » choisi par Grosjean désigne en français ceux qui ont commis une infraction et qui en sont responsables devant la loi ; il semble donc correspondre moins à </w:t>
      </w:r>
      <w:r w:rsidRPr="007C6A42">
        <w:rPr>
          <w:rFonts w:asciiTheme="majorBidi" w:hAnsiTheme="majorBidi" w:cstheme="majorBidi"/>
          <w:i/>
          <w:iCs/>
        </w:rPr>
        <w:t>ẓālimīna</w:t>
      </w:r>
      <w:r w:rsidRPr="007C6A42">
        <w:rPr>
          <w:rFonts w:asciiTheme="majorBidi" w:hAnsiTheme="majorBidi" w:cstheme="majorBidi"/>
        </w:rPr>
        <w:t xml:space="preserve"> qu’à </w:t>
      </w:r>
      <w:r w:rsidRPr="007C6A42">
        <w:rPr>
          <w:rFonts w:asciiTheme="majorBidi" w:hAnsiTheme="majorBidi" w:cstheme="majorBidi"/>
          <w:i/>
          <w:iCs/>
        </w:rPr>
        <w:t>mudhnib</w:t>
      </w:r>
      <w:r w:rsidRPr="007C6A42">
        <w:rPr>
          <w:rFonts w:asciiTheme="majorBidi" w:hAnsiTheme="majorBidi" w:cstheme="majorBidi"/>
        </w:rPr>
        <w:t>.</w:t>
      </w:r>
      <w:r w:rsidRPr="007C6A42">
        <w:rPr>
          <w:rFonts w:asciiTheme="majorBidi" w:eastAsia="Times New Roman" w:hAnsiTheme="majorBidi" w:cstheme="majorBidi"/>
          <w:lang w:eastAsia="fr-CH"/>
        </w:rPr>
        <w:t xml:space="preserve"> Le mot « </w:t>
      </w:r>
      <w:r w:rsidRPr="007C6A42">
        <w:rPr>
          <w:rFonts w:asciiTheme="majorBidi" w:eastAsia="Times New Roman" w:hAnsiTheme="majorBidi" w:cstheme="majorBidi"/>
        </w:rPr>
        <w:t>fraudeur » donné par Chouraqui désigne l’idée de « tromper » et correspond donc à des mots comme </w:t>
      </w:r>
      <w:r w:rsidRPr="007C6A42">
        <w:rPr>
          <w:rFonts w:asciiTheme="majorBidi" w:eastAsia="Times New Roman" w:hAnsiTheme="majorBidi" w:cstheme="majorBidi"/>
          <w:i/>
          <w:iCs/>
        </w:rPr>
        <w:t>ghashshāsh</w:t>
      </w:r>
      <w:r w:rsidRPr="007C6A42">
        <w:rPr>
          <w:rFonts w:asciiTheme="majorBidi" w:eastAsia="Times New Roman" w:hAnsiTheme="majorBidi" w:cstheme="majorBidi"/>
        </w:rPr>
        <w:t xml:space="preserve"> ou </w:t>
      </w:r>
      <w:r w:rsidRPr="007C6A42">
        <w:rPr>
          <w:rFonts w:asciiTheme="majorBidi" w:eastAsia="Times New Roman" w:hAnsiTheme="majorBidi" w:cstheme="majorBidi"/>
          <w:i/>
          <w:iCs/>
        </w:rPr>
        <w:t>mu</w:t>
      </w:r>
      <w:r w:rsidRPr="007C6A42">
        <w:rPr>
          <w:rFonts w:asciiTheme="majorBidi" w:hAnsiTheme="majorBidi" w:cstheme="majorBidi"/>
          <w:i/>
          <w:iCs/>
        </w:rPr>
        <w:t>ḥ</w:t>
      </w:r>
      <w:r w:rsidRPr="007C6A42">
        <w:rPr>
          <w:rFonts w:asciiTheme="majorBidi" w:eastAsia="Times New Roman" w:hAnsiTheme="majorBidi" w:cstheme="majorBidi"/>
          <w:i/>
          <w:iCs/>
        </w:rPr>
        <w:t>tāl</w:t>
      </w:r>
      <w:r w:rsidRPr="007C6A42">
        <w:rPr>
          <w:rFonts w:asciiTheme="majorBidi" w:eastAsia="Times New Roman" w:hAnsiTheme="majorBidi" w:cstheme="majorBidi"/>
        </w:rPr>
        <w:t xml:space="preserve">. Le mot « oppresseur » choisi par Aldeeb désigne un sens politique, à savoir celui qui impose sa domination par la force, un autoritaire, un tyran, un dictateur. Cette signification n’est </w:t>
      </w:r>
      <w:r w:rsidRPr="007C6A42">
        <w:rPr>
          <w:rFonts w:asciiTheme="majorBidi" w:eastAsia="Times New Roman" w:hAnsiTheme="majorBidi" w:cstheme="majorBidi"/>
        </w:rPr>
        <w:lastRenderedPageBreak/>
        <w:t xml:space="preserve">évoquée par aucun exégète. Le vocable « oppresseur » correspond en arabe à des mots comme : </w:t>
      </w:r>
      <w:r w:rsidRPr="007C6A42">
        <w:rPr>
          <w:rFonts w:asciiTheme="majorBidi" w:hAnsiTheme="majorBidi" w:cstheme="majorBidi"/>
          <w:i/>
          <w:iCs/>
        </w:rPr>
        <w:t>ṭāghya</w:t>
      </w:r>
      <w:r w:rsidRPr="007C6A42">
        <w:rPr>
          <w:rFonts w:asciiTheme="majorBidi" w:hAnsiTheme="majorBidi" w:cstheme="majorBidi"/>
        </w:rPr>
        <w:t xml:space="preserve"> et </w:t>
      </w:r>
      <w:r w:rsidRPr="007C6A42">
        <w:rPr>
          <w:rFonts w:asciiTheme="majorBidi" w:hAnsiTheme="majorBidi" w:cstheme="majorBidi"/>
          <w:i/>
          <w:iCs/>
        </w:rPr>
        <w:t>muḍṭahid</w:t>
      </w:r>
      <w:r w:rsidRPr="007C6A42">
        <w:rPr>
          <w:rFonts w:asciiTheme="majorBidi" w:hAnsiTheme="majorBidi" w:cstheme="majorBidi"/>
        </w:rPr>
        <w:t xml:space="preserve">. Et s’il l’on emploie </w:t>
      </w:r>
      <w:r w:rsidRPr="007C6A42">
        <w:rPr>
          <w:rFonts w:asciiTheme="majorBidi" w:hAnsiTheme="majorBidi" w:cstheme="majorBidi"/>
          <w:i/>
          <w:iCs/>
        </w:rPr>
        <w:t>ẓālim</w:t>
      </w:r>
      <w:r w:rsidRPr="007C6A42">
        <w:rPr>
          <w:rFonts w:asciiTheme="majorBidi" w:hAnsiTheme="majorBidi" w:cstheme="majorBidi"/>
        </w:rPr>
        <w:t xml:space="preserve">, c’est dans un sens politique comme synonyme de </w:t>
      </w:r>
      <w:r w:rsidRPr="007C6A42">
        <w:rPr>
          <w:rFonts w:asciiTheme="majorBidi" w:eastAsia="Times New Roman" w:hAnsiTheme="majorBidi" w:cstheme="majorBidi"/>
        </w:rPr>
        <w:t>« </w:t>
      </w:r>
      <w:r w:rsidRPr="007C6A42">
        <w:rPr>
          <w:rFonts w:asciiTheme="majorBidi" w:hAnsiTheme="majorBidi" w:cstheme="majorBidi"/>
          <w:i/>
          <w:iCs/>
        </w:rPr>
        <w:t>ṭāghiya</w:t>
      </w:r>
      <w:r w:rsidRPr="007C6A42">
        <w:rPr>
          <w:rFonts w:asciiTheme="majorBidi" w:hAnsiTheme="majorBidi" w:cstheme="majorBidi"/>
        </w:rPr>
        <w:t> ».</w:t>
      </w:r>
    </w:p>
    <w:p w14:paraId="466F9647" w14:textId="77777777" w:rsidR="00A70B78" w:rsidRPr="007C6A42" w:rsidRDefault="00A70B78" w:rsidP="00A70B78">
      <w:pPr>
        <w:spacing w:line="360" w:lineRule="auto"/>
        <w:ind w:firstLine="284"/>
        <w:contextualSpacing/>
        <w:jc w:val="both"/>
        <w:rPr>
          <w:rFonts w:asciiTheme="majorBidi" w:hAnsiTheme="majorBidi" w:cstheme="majorBidi"/>
          <w:rtl/>
        </w:rPr>
      </w:pPr>
      <w:r w:rsidRPr="007C6A42">
        <w:rPr>
          <w:rFonts w:asciiTheme="majorBidi" w:eastAsia="Times New Roman" w:hAnsiTheme="majorBidi" w:cstheme="majorBidi"/>
          <w:shd w:val="clear" w:color="auto" w:fill="FFFFFF"/>
        </w:rPr>
        <w:t>Certains traducteurs ont rendu le même terme par plusieurs signifiants en modifiant ainsi la valeur polysémique du texte de départ : Kazimirski et Guessous par : « méchants » et « impies » ; Berque et Chiadmi par : « iniques » et « injustes ».</w:t>
      </w:r>
    </w:p>
    <w:p w14:paraId="41E50479" w14:textId="77777777" w:rsidR="00A70B78" w:rsidRPr="007C6A42" w:rsidRDefault="00A70B78" w:rsidP="00A70B78">
      <w:pPr>
        <w:spacing w:line="360" w:lineRule="auto"/>
        <w:ind w:firstLine="720"/>
        <w:contextualSpacing/>
        <w:jc w:val="both"/>
        <w:rPr>
          <w:rFonts w:asciiTheme="majorBidi" w:hAnsiTheme="majorBidi" w:cstheme="majorBidi"/>
          <w:rtl/>
        </w:rPr>
      </w:pPr>
    </w:p>
    <w:p w14:paraId="09E97844" w14:textId="77777777" w:rsidR="00A70B78" w:rsidRPr="007C6A42" w:rsidRDefault="00A70B78" w:rsidP="00A70B78">
      <w:pPr>
        <w:spacing w:line="360" w:lineRule="auto"/>
        <w:ind w:firstLine="720"/>
        <w:jc w:val="both"/>
        <w:rPr>
          <w:rFonts w:asciiTheme="majorBidi" w:hAnsiTheme="majorBidi" w:cstheme="majorBidi"/>
        </w:rPr>
      </w:pPr>
      <w:r w:rsidRPr="007C6A42">
        <w:rPr>
          <w:rFonts w:asciiTheme="majorBidi" w:hAnsiTheme="majorBidi" w:cstheme="majorBidi"/>
        </w:rPr>
        <w:t xml:space="preserve">Quant au participe actif féminin singulier </w:t>
      </w:r>
      <w:r w:rsidRPr="007C6A42">
        <w:rPr>
          <w:rFonts w:asciiTheme="majorBidi" w:hAnsiTheme="majorBidi" w:cstheme="majorBidi"/>
          <w:i/>
          <w:iCs/>
        </w:rPr>
        <w:t>ẓālima</w:t>
      </w:r>
      <w:r w:rsidRPr="007C6A42">
        <w:rPr>
          <w:rFonts w:asciiTheme="majorBidi" w:hAnsiTheme="majorBidi" w:cstheme="majorBidi"/>
        </w:rPr>
        <w:t>, il est traduit par des termes simples : « criminelles » (3 fois), « injustes » (6 fois) et « coupables », ou par des phrases ou syntagmes : « à cause de leur impiété », « </w:t>
      </w:r>
      <w:r w:rsidRPr="007C6A42">
        <w:rPr>
          <w:rFonts w:asciiTheme="majorBidi" w:eastAsia="Times New Roman" w:hAnsiTheme="majorBidi" w:cstheme="majorBidi"/>
        </w:rPr>
        <w:t>où elles sont devenues coupables</w:t>
      </w:r>
      <w:r w:rsidRPr="007C6A42">
        <w:rPr>
          <w:rFonts w:asciiTheme="majorBidi" w:hAnsiTheme="majorBidi" w:cstheme="majorBidi"/>
        </w:rPr>
        <w:t xml:space="preserve"> », « en punition de leurs péchés », « malgré leurs fautes », </w:t>
      </w:r>
      <w:r w:rsidRPr="007C6A42">
        <w:rPr>
          <w:rFonts w:asciiTheme="majorBidi" w:eastAsia="Calibri" w:hAnsiTheme="majorBidi" w:cstheme="majorBidi"/>
          <w:lang w:bidi="ar-AE"/>
        </w:rPr>
        <w:t xml:space="preserve">« malgré leur iniquité », </w:t>
      </w:r>
      <w:r w:rsidRPr="007C6A42">
        <w:rPr>
          <w:rFonts w:asciiTheme="majorBidi" w:hAnsiTheme="majorBidi" w:cstheme="majorBidi"/>
        </w:rPr>
        <w:t>« </w:t>
      </w:r>
      <w:r w:rsidRPr="007C6A42">
        <w:rPr>
          <w:rFonts w:asciiTheme="majorBidi" w:eastAsia="Calibri" w:hAnsiTheme="majorBidi" w:cstheme="majorBidi"/>
          <w:lang w:bidi="ar-AE"/>
        </w:rPr>
        <w:t xml:space="preserve">pour leur iniquité », </w:t>
      </w:r>
      <w:r w:rsidRPr="007C6A42">
        <w:rPr>
          <w:rFonts w:asciiTheme="majorBidi" w:hAnsiTheme="majorBidi" w:cstheme="majorBidi"/>
        </w:rPr>
        <w:t>« elles prévariquaient », « Pratiquer pendant un certain temps l’iniquité », « elles étaient en pleine tyrannie », « elles commettaient des injustices ».</w:t>
      </w:r>
    </w:p>
    <w:p w14:paraId="5CB7882A" w14:textId="77777777" w:rsidR="00A70B78" w:rsidRPr="007C6A42" w:rsidRDefault="00A70B78" w:rsidP="00A70B78">
      <w:pPr>
        <w:spacing w:line="360" w:lineRule="auto"/>
        <w:ind w:firstLine="720"/>
        <w:jc w:val="both"/>
        <w:rPr>
          <w:rFonts w:asciiTheme="majorBidi" w:hAnsiTheme="majorBidi" w:cstheme="majorBidi"/>
        </w:rPr>
      </w:pPr>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2913"/>
        <w:gridCol w:w="4156"/>
      </w:tblGrid>
      <w:tr w:rsidR="00A70B78" w:rsidRPr="007C6A42" w14:paraId="365DCD4B" w14:textId="77777777" w:rsidTr="00AF4FC9">
        <w:trPr>
          <w:trHeight w:val="76"/>
          <w:jc w:val="center"/>
        </w:trPr>
        <w:tc>
          <w:tcPr>
            <w:tcW w:w="1524" w:type="dxa"/>
          </w:tcPr>
          <w:p w14:paraId="07EFADB2" w14:textId="77777777" w:rsidR="00A70B78" w:rsidRPr="007C6A42" w:rsidRDefault="00A70B78" w:rsidP="00AF4FC9">
            <w:pPr>
              <w:tabs>
                <w:tab w:val="right" w:pos="993"/>
              </w:tabs>
              <w:spacing w:line="360" w:lineRule="auto"/>
              <w:rPr>
                <w:rFonts w:asciiTheme="majorBidi" w:eastAsia="Calibri" w:hAnsiTheme="majorBidi" w:cstheme="majorBidi"/>
                <w:b/>
                <w:bCs/>
                <w:lang w:bidi="ar-AE"/>
              </w:rPr>
            </w:pPr>
          </w:p>
        </w:tc>
        <w:tc>
          <w:tcPr>
            <w:tcW w:w="2913" w:type="dxa"/>
          </w:tcPr>
          <w:p w14:paraId="10E73180" w14:textId="77777777" w:rsidR="00A70B78" w:rsidRPr="007C6A42" w:rsidRDefault="00A70B78" w:rsidP="00AF4FC9">
            <w:pPr>
              <w:tabs>
                <w:tab w:val="right" w:pos="993"/>
              </w:tabs>
              <w:bidi/>
              <w:spacing w:line="360" w:lineRule="auto"/>
              <w:jc w:val="center"/>
              <w:rPr>
                <w:rFonts w:asciiTheme="majorBidi" w:eastAsia="Calibri" w:hAnsiTheme="majorBidi" w:cstheme="majorBidi"/>
                <w:rtl/>
              </w:rPr>
            </w:pPr>
            <w:r w:rsidRPr="007C6A42">
              <w:rPr>
                <w:rFonts w:asciiTheme="majorBidi" w:eastAsia="Calibri" w:hAnsiTheme="majorBidi" w:cstheme="majorBidi"/>
                <w:rtl/>
              </w:rPr>
              <w:t>الظالمين (٥٣، ٧١)</w:t>
            </w:r>
          </w:p>
        </w:tc>
        <w:tc>
          <w:tcPr>
            <w:tcW w:w="4156" w:type="dxa"/>
          </w:tcPr>
          <w:p w14:paraId="1062B8F2" w14:textId="77777777" w:rsidR="00A70B78" w:rsidRPr="007C6A42" w:rsidRDefault="00A70B78" w:rsidP="00AF4FC9">
            <w:pPr>
              <w:bidi/>
              <w:jc w:val="center"/>
              <w:rPr>
                <w:rFonts w:asciiTheme="majorBidi" w:eastAsia="Times New Roman" w:hAnsiTheme="majorBidi" w:cstheme="majorBidi"/>
                <w:rtl/>
              </w:rPr>
            </w:pPr>
            <w:r w:rsidRPr="007C6A42">
              <w:rPr>
                <w:rFonts w:asciiTheme="majorBidi" w:eastAsia="Times New Roman" w:hAnsiTheme="majorBidi" w:cstheme="majorBidi"/>
                <w:shd w:val="clear" w:color="auto" w:fill="FFFFFF"/>
                <w:rtl/>
              </w:rPr>
              <w:t>ظالمة (٤٥، ٤٨)</w:t>
            </w:r>
          </w:p>
        </w:tc>
      </w:tr>
      <w:tr w:rsidR="00A70B78" w:rsidRPr="007C6A42" w14:paraId="06444D03" w14:textId="77777777" w:rsidTr="00AF4FC9">
        <w:trPr>
          <w:jc w:val="center"/>
        </w:trPr>
        <w:tc>
          <w:tcPr>
            <w:tcW w:w="1524" w:type="dxa"/>
          </w:tcPr>
          <w:p w14:paraId="4799849F"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D.R.</w:t>
            </w:r>
            <w:r w:rsidRPr="007C6A42">
              <w:rPr>
                <w:rFonts w:asciiTheme="majorBidi" w:eastAsia="Calibri" w:hAnsiTheme="majorBidi" w:cstheme="majorBidi"/>
                <w:lang w:bidi="ar-AE"/>
              </w:rPr>
              <w:t xml:space="preserve"> (1647)</w:t>
            </w:r>
          </w:p>
        </w:tc>
        <w:tc>
          <w:tcPr>
            <w:tcW w:w="2913" w:type="dxa"/>
          </w:tcPr>
          <w:p w14:paraId="6781A17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hAnsiTheme="majorBidi" w:cstheme="majorBidi"/>
              </w:rPr>
              <w:t>Les infidelles</w:t>
            </w:r>
          </w:p>
        </w:tc>
        <w:tc>
          <w:tcPr>
            <w:tcW w:w="4156" w:type="dxa"/>
          </w:tcPr>
          <w:p w14:paraId="731BA2DF"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hAnsiTheme="majorBidi" w:cstheme="majorBidi"/>
              </w:rPr>
              <w:t>à cauʃe de leur impieté</w:t>
            </w:r>
          </w:p>
        </w:tc>
      </w:tr>
      <w:tr w:rsidR="00A70B78" w:rsidRPr="007C6A42" w14:paraId="54EDC02D" w14:textId="77777777" w:rsidTr="00AF4FC9">
        <w:trPr>
          <w:jc w:val="center"/>
        </w:trPr>
        <w:tc>
          <w:tcPr>
            <w:tcW w:w="1524" w:type="dxa"/>
          </w:tcPr>
          <w:p w14:paraId="054B134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Sav.</w:t>
            </w:r>
            <w:r w:rsidRPr="007C6A42">
              <w:rPr>
                <w:rFonts w:asciiTheme="majorBidi" w:eastAsia="Calibri" w:hAnsiTheme="majorBidi" w:cstheme="majorBidi"/>
                <w:lang w:bidi="ar-AE"/>
              </w:rPr>
              <w:t xml:space="preserve"> (1782)</w:t>
            </w:r>
          </w:p>
        </w:tc>
        <w:tc>
          <w:tcPr>
            <w:tcW w:w="2913" w:type="dxa"/>
          </w:tcPr>
          <w:p w14:paraId="2C2F648F"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Les impies</w:t>
            </w:r>
          </w:p>
        </w:tc>
        <w:tc>
          <w:tcPr>
            <w:tcW w:w="4156" w:type="dxa"/>
          </w:tcPr>
          <w:p w14:paraId="31318CA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criminelles (45)/où elles sont devenues coupables (48)</w:t>
            </w:r>
          </w:p>
        </w:tc>
      </w:tr>
      <w:tr w:rsidR="00A70B78" w:rsidRPr="007C6A42" w14:paraId="634CBBE9" w14:textId="77777777" w:rsidTr="00AF4FC9">
        <w:trPr>
          <w:jc w:val="center"/>
        </w:trPr>
        <w:tc>
          <w:tcPr>
            <w:tcW w:w="1524" w:type="dxa"/>
          </w:tcPr>
          <w:p w14:paraId="3FF2729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p>
        </w:tc>
        <w:tc>
          <w:tcPr>
            <w:tcW w:w="2913" w:type="dxa"/>
          </w:tcPr>
          <w:p w14:paraId="5321CD96"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Les méchants / les impies</w:t>
            </w:r>
          </w:p>
        </w:tc>
        <w:tc>
          <w:tcPr>
            <w:tcW w:w="4156" w:type="dxa"/>
          </w:tcPr>
          <w:p w14:paraId="52D8D413" w14:textId="77777777" w:rsidR="00A70B78" w:rsidRPr="007C6A42" w:rsidRDefault="00A70B78" w:rsidP="00AF4FC9">
            <w:pPr>
              <w:spacing w:line="360" w:lineRule="auto"/>
              <w:ind w:right="113"/>
              <w:jc w:val="both"/>
              <w:rPr>
                <w:rFonts w:asciiTheme="majorBidi" w:eastAsia="Times New Roman" w:hAnsiTheme="majorBidi" w:cstheme="majorBidi"/>
                <w:rtl/>
              </w:rPr>
            </w:pPr>
            <w:r w:rsidRPr="007C6A42">
              <w:rPr>
                <w:rFonts w:asciiTheme="majorBidi" w:eastAsia="Times New Roman" w:hAnsiTheme="majorBidi" w:cstheme="majorBidi"/>
              </w:rPr>
              <w:t>criminelles</w:t>
            </w:r>
          </w:p>
        </w:tc>
      </w:tr>
      <w:tr w:rsidR="00A70B78" w:rsidRPr="007C6A42" w14:paraId="5F95FE46" w14:textId="77777777" w:rsidTr="00AF4FC9">
        <w:trPr>
          <w:jc w:val="center"/>
        </w:trPr>
        <w:tc>
          <w:tcPr>
            <w:tcW w:w="1524" w:type="dxa"/>
          </w:tcPr>
          <w:p w14:paraId="11D1BFC6"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 (1949)</w:t>
            </w:r>
          </w:p>
        </w:tc>
        <w:tc>
          <w:tcPr>
            <w:tcW w:w="2913" w:type="dxa"/>
          </w:tcPr>
          <w:p w14:paraId="36B6D883" w14:textId="77777777" w:rsidR="00A70B78" w:rsidRPr="007C6A42" w:rsidRDefault="00A70B78" w:rsidP="00AF4FC9">
            <w:pPr>
              <w:spacing w:line="360" w:lineRule="auto"/>
              <w:jc w:val="both"/>
              <w:rPr>
                <w:rFonts w:asciiTheme="majorBidi" w:eastAsia="Times New Roman" w:hAnsiTheme="majorBidi" w:cstheme="majorBidi"/>
                <w:iCs/>
              </w:rPr>
            </w:pPr>
            <w:r w:rsidRPr="007C6A42">
              <w:rPr>
                <w:rFonts w:asciiTheme="majorBidi" w:hAnsiTheme="majorBidi" w:cstheme="majorBidi"/>
                <w:iCs/>
              </w:rPr>
              <w:t>les Injustes</w:t>
            </w:r>
          </w:p>
        </w:tc>
        <w:tc>
          <w:tcPr>
            <w:tcW w:w="4156" w:type="dxa"/>
          </w:tcPr>
          <w:p w14:paraId="1F9CDB4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injustes</w:t>
            </w:r>
          </w:p>
        </w:tc>
      </w:tr>
      <w:tr w:rsidR="00A70B78" w:rsidRPr="007C6A42" w14:paraId="3691F1F8" w14:textId="77777777" w:rsidTr="00AF4FC9">
        <w:trPr>
          <w:jc w:val="center"/>
        </w:trPr>
        <w:tc>
          <w:tcPr>
            <w:tcW w:w="1524" w:type="dxa"/>
          </w:tcPr>
          <w:p w14:paraId="1848B37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Ghéd.</w:t>
            </w:r>
            <w:r w:rsidRPr="007C6A42">
              <w:rPr>
                <w:rFonts w:asciiTheme="majorBidi" w:eastAsia="SimSun" w:hAnsiTheme="majorBidi" w:cstheme="majorBidi"/>
                <w:lang w:eastAsia="zh-CN"/>
              </w:rPr>
              <w:t xml:space="preserve"> (1957</w:t>
            </w:r>
            <w:r w:rsidRPr="007C6A42">
              <w:rPr>
                <w:rFonts w:asciiTheme="majorBidi" w:eastAsia="Calibri" w:hAnsiTheme="majorBidi" w:cstheme="majorBidi"/>
                <w:lang w:bidi="ar-AE"/>
              </w:rPr>
              <w:t>)</w:t>
            </w:r>
          </w:p>
        </w:tc>
        <w:tc>
          <w:tcPr>
            <w:tcW w:w="2913" w:type="dxa"/>
          </w:tcPr>
          <w:p w14:paraId="38190B7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Injustes</w:t>
            </w:r>
          </w:p>
        </w:tc>
        <w:tc>
          <w:tcPr>
            <w:tcW w:w="4156" w:type="dxa"/>
          </w:tcPr>
          <w:p w14:paraId="33D968B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injustes</w:t>
            </w:r>
          </w:p>
        </w:tc>
      </w:tr>
      <w:tr w:rsidR="00A70B78" w:rsidRPr="007C6A42" w14:paraId="3A0D504E" w14:textId="77777777" w:rsidTr="00AF4FC9">
        <w:trPr>
          <w:jc w:val="center"/>
        </w:trPr>
        <w:tc>
          <w:tcPr>
            <w:tcW w:w="1524" w:type="dxa"/>
          </w:tcPr>
          <w:p w14:paraId="17FC7C4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 (1959)</w:t>
            </w:r>
          </w:p>
        </w:tc>
        <w:tc>
          <w:tcPr>
            <w:tcW w:w="2913" w:type="dxa"/>
          </w:tcPr>
          <w:p w14:paraId="4C37963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prévaricateurs</w:t>
            </w:r>
          </w:p>
        </w:tc>
        <w:tc>
          <w:tcPr>
            <w:tcW w:w="4156" w:type="dxa"/>
          </w:tcPr>
          <w:p w14:paraId="0B89A1B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elles prévariquaient</w:t>
            </w:r>
          </w:p>
        </w:tc>
      </w:tr>
      <w:tr w:rsidR="00A70B78" w:rsidRPr="007C6A42" w14:paraId="13FB633D" w14:textId="77777777" w:rsidTr="00AF4FC9">
        <w:trPr>
          <w:jc w:val="center"/>
        </w:trPr>
        <w:tc>
          <w:tcPr>
            <w:tcW w:w="1524" w:type="dxa"/>
          </w:tcPr>
          <w:p w14:paraId="2BCE98F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Mass. (1967)</w:t>
            </w:r>
          </w:p>
        </w:tc>
        <w:tc>
          <w:tcPr>
            <w:tcW w:w="2913" w:type="dxa"/>
          </w:tcPr>
          <w:p w14:paraId="2FCF841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injustes</w:t>
            </w:r>
          </w:p>
        </w:tc>
        <w:tc>
          <w:tcPr>
            <w:tcW w:w="4156" w:type="dxa"/>
          </w:tcPr>
          <w:p w14:paraId="470B34F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injustes</w:t>
            </w:r>
          </w:p>
        </w:tc>
      </w:tr>
      <w:tr w:rsidR="00A70B78" w:rsidRPr="007C6A42" w14:paraId="4DFBE754" w14:textId="77777777" w:rsidTr="00AF4FC9">
        <w:trPr>
          <w:jc w:val="center"/>
        </w:trPr>
        <w:tc>
          <w:tcPr>
            <w:tcW w:w="1524" w:type="dxa"/>
          </w:tcPr>
          <w:p w14:paraId="2E1AD289"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Gros. (1972)</w:t>
            </w:r>
          </w:p>
        </w:tc>
        <w:tc>
          <w:tcPr>
            <w:tcW w:w="2913" w:type="dxa"/>
          </w:tcPr>
          <w:p w14:paraId="560B8E2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coupables</w:t>
            </w:r>
          </w:p>
        </w:tc>
        <w:tc>
          <w:tcPr>
            <w:tcW w:w="4156" w:type="dxa"/>
          </w:tcPr>
          <w:p w14:paraId="1459A42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coupables</w:t>
            </w:r>
          </w:p>
        </w:tc>
      </w:tr>
      <w:tr w:rsidR="00A70B78" w:rsidRPr="007C6A42" w14:paraId="13968DC8" w14:textId="77777777" w:rsidTr="00AF4FC9">
        <w:trPr>
          <w:jc w:val="center"/>
        </w:trPr>
        <w:tc>
          <w:tcPr>
            <w:tcW w:w="1524" w:type="dxa"/>
          </w:tcPr>
          <w:p w14:paraId="53E655F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2913" w:type="dxa"/>
          </w:tcPr>
          <w:p w14:paraId="467C8D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idolâtres</w:t>
            </w:r>
          </w:p>
        </w:tc>
        <w:tc>
          <w:tcPr>
            <w:tcW w:w="4156" w:type="dxa"/>
          </w:tcPr>
          <w:p w14:paraId="333BAE3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en punition de leurs péchés (45)/malgré leurs fautes (48)</w:t>
            </w:r>
          </w:p>
        </w:tc>
      </w:tr>
      <w:tr w:rsidR="00A70B78" w:rsidRPr="007C6A42" w14:paraId="761E1E67" w14:textId="77777777" w:rsidTr="00AF4FC9">
        <w:trPr>
          <w:jc w:val="center"/>
        </w:trPr>
        <w:tc>
          <w:tcPr>
            <w:tcW w:w="1524" w:type="dxa"/>
          </w:tcPr>
          <w:p w14:paraId="11C9EE6D"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Berque (1990)</w:t>
            </w:r>
          </w:p>
        </w:tc>
        <w:tc>
          <w:tcPr>
            <w:tcW w:w="2913" w:type="dxa"/>
          </w:tcPr>
          <w:p w14:paraId="0ACC8AF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les iniques (53)/les injustes (71)</w:t>
            </w:r>
          </w:p>
        </w:tc>
        <w:tc>
          <w:tcPr>
            <w:tcW w:w="4156" w:type="dxa"/>
          </w:tcPr>
          <w:p w14:paraId="63FCD902"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pour leur iniquité (45)/malgré leur iniquité (48)</w:t>
            </w:r>
          </w:p>
        </w:tc>
      </w:tr>
      <w:tr w:rsidR="00A70B78" w:rsidRPr="007C6A42" w14:paraId="6A16836B" w14:textId="77777777" w:rsidTr="00AF4FC9">
        <w:trPr>
          <w:jc w:val="center"/>
        </w:trPr>
        <w:tc>
          <w:tcPr>
            <w:tcW w:w="1524" w:type="dxa"/>
          </w:tcPr>
          <w:p w14:paraId="7C815F3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Chour. (1990)</w:t>
            </w:r>
          </w:p>
        </w:tc>
        <w:tc>
          <w:tcPr>
            <w:tcW w:w="2913" w:type="dxa"/>
          </w:tcPr>
          <w:p w14:paraId="0A2E75F5"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color w:val="000000"/>
              </w:rPr>
              <w:t>les fraudeurs</w:t>
            </w:r>
          </w:p>
        </w:tc>
        <w:tc>
          <w:tcPr>
            <w:tcW w:w="4156" w:type="dxa"/>
          </w:tcPr>
          <w:p w14:paraId="336FFBAA"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frauduleuses</w:t>
            </w:r>
          </w:p>
        </w:tc>
      </w:tr>
      <w:tr w:rsidR="00A70B78" w:rsidRPr="007C6A42" w14:paraId="0BC9BDAC" w14:textId="77777777" w:rsidTr="00AF4FC9">
        <w:trPr>
          <w:jc w:val="center"/>
        </w:trPr>
        <w:tc>
          <w:tcPr>
            <w:tcW w:w="1524" w:type="dxa"/>
          </w:tcPr>
          <w:p w14:paraId="7CBC97D4"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 (1999)</w:t>
            </w:r>
          </w:p>
        </w:tc>
        <w:tc>
          <w:tcPr>
            <w:tcW w:w="2913" w:type="dxa"/>
          </w:tcPr>
          <w:p w14:paraId="6A1998C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méchants  (53)/les impies (71)</w:t>
            </w:r>
          </w:p>
        </w:tc>
        <w:tc>
          <w:tcPr>
            <w:tcW w:w="4156" w:type="dxa"/>
          </w:tcPr>
          <w:p w14:paraId="7307C2D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criminelles (45)/Pratiquer pendant un certain temps l’iniquité (48)</w:t>
            </w:r>
          </w:p>
        </w:tc>
      </w:tr>
      <w:tr w:rsidR="00A70B78" w:rsidRPr="007C6A42" w14:paraId="252B7ED5" w14:textId="77777777" w:rsidTr="00AF4FC9">
        <w:trPr>
          <w:jc w:val="center"/>
        </w:trPr>
        <w:tc>
          <w:tcPr>
            <w:tcW w:w="1524" w:type="dxa"/>
          </w:tcPr>
          <w:p w14:paraId="557E18C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2913" w:type="dxa"/>
          </w:tcPr>
          <w:p w14:paraId="61891AA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inique (53)/Ces injustes (71)</w:t>
            </w:r>
          </w:p>
        </w:tc>
        <w:tc>
          <w:tcPr>
            <w:tcW w:w="4156" w:type="dxa"/>
          </w:tcPr>
          <w:p w14:paraId="63CF5CE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en punition de leurs péchés (45)/elles étaient en pleine tyrannie (48)</w:t>
            </w:r>
          </w:p>
        </w:tc>
      </w:tr>
      <w:tr w:rsidR="00A70B78" w:rsidRPr="007C6A42" w14:paraId="4ABF180B" w14:textId="77777777" w:rsidTr="00AF4FC9">
        <w:trPr>
          <w:jc w:val="center"/>
        </w:trPr>
        <w:tc>
          <w:tcPr>
            <w:tcW w:w="1524" w:type="dxa"/>
          </w:tcPr>
          <w:p w14:paraId="10AD695B"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Méd. (2001)</w:t>
            </w:r>
          </w:p>
        </w:tc>
        <w:tc>
          <w:tcPr>
            <w:tcW w:w="2913" w:type="dxa"/>
          </w:tcPr>
          <w:p w14:paraId="67AF6F7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les injustes</w:t>
            </w:r>
          </w:p>
        </w:tc>
        <w:tc>
          <w:tcPr>
            <w:tcW w:w="4156" w:type="dxa"/>
          </w:tcPr>
          <w:p w14:paraId="50543D4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elles commettaient des tyrannies</w:t>
            </w:r>
          </w:p>
        </w:tc>
      </w:tr>
      <w:tr w:rsidR="00A70B78" w:rsidRPr="007C6A42" w14:paraId="52758FC2" w14:textId="77777777" w:rsidTr="00AF4FC9">
        <w:trPr>
          <w:jc w:val="center"/>
        </w:trPr>
        <w:tc>
          <w:tcPr>
            <w:tcW w:w="1524" w:type="dxa"/>
          </w:tcPr>
          <w:p w14:paraId="200A3CA2"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2913" w:type="dxa"/>
          </w:tcPr>
          <w:p w14:paraId="43C4D62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les injustes</w:t>
            </w:r>
          </w:p>
        </w:tc>
        <w:tc>
          <w:tcPr>
            <w:tcW w:w="4156" w:type="dxa"/>
          </w:tcPr>
          <w:p w14:paraId="7157DAE6"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injustes</w:t>
            </w:r>
          </w:p>
        </w:tc>
      </w:tr>
      <w:tr w:rsidR="00A70B78" w:rsidRPr="007C6A42" w14:paraId="16ED1E0C" w14:textId="77777777" w:rsidTr="00AF4FC9">
        <w:trPr>
          <w:jc w:val="center"/>
        </w:trPr>
        <w:tc>
          <w:tcPr>
            <w:tcW w:w="1524" w:type="dxa"/>
          </w:tcPr>
          <w:p w14:paraId="0318D607"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 (2008)</w:t>
            </w:r>
          </w:p>
        </w:tc>
        <w:tc>
          <w:tcPr>
            <w:tcW w:w="2913" w:type="dxa"/>
          </w:tcPr>
          <w:p w14:paraId="6AD78822"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Les oppresseurs</w:t>
            </w:r>
          </w:p>
        </w:tc>
        <w:tc>
          <w:tcPr>
            <w:tcW w:w="4156" w:type="dxa"/>
          </w:tcPr>
          <w:p w14:paraId="698E660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oppresseuses</w:t>
            </w:r>
          </w:p>
        </w:tc>
      </w:tr>
      <w:tr w:rsidR="00A70B78" w:rsidRPr="007C6A42" w14:paraId="00AF01DF" w14:textId="77777777" w:rsidTr="00AF4FC9">
        <w:trPr>
          <w:jc w:val="center"/>
        </w:trPr>
        <w:tc>
          <w:tcPr>
            <w:tcW w:w="1524" w:type="dxa"/>
          </w:tcPr>
          <w:p w14:paraId="21A65D5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2913" w:type="dxa"/>
          </w:tcPr>
          <w:p w14:paraId="0658C30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injustes</w:t>
            </w:r>
          </w:p>
        </w:tc>
        <w:tc>
          <w:tcPr>
            <w:tcW w:w="4156" w:type="dxa"/>
          </w:tcPr>
          <w:p w14:paraId="163EC24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injustes</w:t>
            </w:r>
          </w:p>
        </w:tc>
      </w:tr>
      <w:tr w:rsidR="00A70B78" w:rsidRPr="007C6A42" w14:paraId="06D009DE" w14:textId="77777777" w:rsidTr="00AF4FC9">
        <w:trPr>
          <w:jc w:val="center"/>
        </w:trPr>
        <w:tc>
          <w:tcPr>
            <w:tcW w:w="1524" w:type="dxa"/>
          </w:tcPr>
          <w:p w14:paraId="54E77BB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2913" w:type="dxa"/>
          </w:tcPr>
          <w:p w14:paraId="4F81DBB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injustes</w:t>
            </w:r>
          </w:p>
        </w:tc>
        <w:tc>
          <w:tcPr>
            <w:tcW w:w="4156" w:type="dxa"/>
          </w:tcPr>
          <w:p w14:paraId="43D6142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injustes (45)/elles commettaient des injustices (48)</w:t>
            </w:r>
          </w:p>
        </w:tc>
      </w:tr>
    </w:tbl>
    <w:p w14:paraId="76173A20" w14:textId="77777777" w:rsidR="00A70B78" w:rsidRPr="007C6A42" w:rsidRDefault="00A70B78" w:rsidP="00A70B78">
      <w:pPr>
        <w:spacing w:line="360" w:lineRule="auto"/>
        <w:jc w:val="both"/>
        <w:rPr>
          <w:rFonts w:asciiTheme="majorBidi" w:eastAsia="Times New Roman" w:hAnsiTheme="majorBidi" w:cstheme="majorBidi"/>
        </w:rPr>
      </w:pPr>
    </w:p>
    <w:p w14:paraId="741DCB78" w14:textId="77777777" w:rsidR="00A70B78" w:rsidRPr="007C6A42" w:rsidRDefault="00A70B78" w:rsidP="00A70B78">
      <w:pPr>
        <w:spacing w:line="360" w:lineRule="auto"/>
        <w:jc w:val="both"/>
        <w:outlineLvl w:val="0"/>
        <w:rPr>
          <w:rFonts w:asciiTheme="majorBidi" w:eastAsia="Times New Roman" w:hAnsiTheme="majorBidi" w:cstheme="majorBidi"/>
          <w:lang w:bidi="ar-EG"/>
        </w:rPr>
      </w:pPr>
      <w:r w:rsidRPr="007C6A42">
        <w:rPr>
          <w:rFonts w:asciiTheme="majorBidi" w:eastAsia="Times New Roman" w:hAnsiTheme="majorBidi" w:cstheme="majorBidi"/>
          <w:b/>
          <w:bCs/>
          <w:lang w:bidi="ar-EG"/>
        </w:rPr>
        <w:t xml:space="preserve">Traduction de l’adjectif </w:t>
      </w:r>
      <w:r w:rsidRPr="007C6A42">
        <w:rPr>
          <w:rFonts w:asciiTheme="majorBidi" w:eastAsia="Times New Roman" w:hAnsiTheme="majorBidi" w:cstheme="majorBidi"/>
          <w:b/>
          <w:bCs/>
          <w:i/>
          <w:iCs/>
          <w:lang w:bidi="ar-EG"/>
        </w:rPr>
        <w:t>ʿaqīm</w:t>
      </w:r>
      <w:r w:rsidRPr="007C6A42">
        <w:rPr>
          <w:rFonts w:asciiTheme="majorBidi" w:eastAsia="Times New Roman" w:hAnsiTheme="majorBidi" w:cstheme="majorBidi"/>
          <w:b/>
          <w:bCs/>
          <w:lang w:bidi="ar-EG"/>
        </w:rPr>
        <w:t xml:space="preserve"> (v. 55) :</w:t>
      </w:r>
    </w:p>
    <w:p w14:paraId="36139F86" w14:textId="77777777" w:rsidR="00A70B78" w:rsidRPr="007C6A42" w:rsidRDefault="00A70B78" w:rsidP="00A70B78">
      <w:pPr>
        <w:spacing w:line="360" w:lineRule="auto"/>
        <w:ind w:firstLine="284"/>
        <w:jc w:val="both"/>
        <w:outlineLvl w:val="0"/>
        <w:rPr>
          <w:rFonts w:asciiTheme="majorBidi" w:eastAsia="Times New Roman" w:hAnsiTheme="majorBidi" w:cstheme="majorBidi"/>
          <w:lang w:bidi="ar-EG"/>
        </w:rPr>
      </w:pPr>
      <w:r w:rsidRPr="007C6A42">
        <w:rPr>
          <w:rFonts w:asciiTheme="majorBidi" w:eastAsia="Times New Roman" w:hAnsiTheme="majorBidi" w:cstheme="majorBidi"/>
          <w:lang w:bidi="ar-EG"/>
        </w:rPr>
        <w:t xml:space="preserve">Le sens lexical de </w:t>
      </w:r>
      <w:r w:rsidRPr="007C6A42">
        <w:rPr>
          <w:rFonts w:asciiTheme="majorBidi" w:eastAsia="Times New Roman" w:hAnsiTheme="majorBidi" w:cstheme="majorBidi"/>
          <w:i/>
          <w:iCs/>
          <w:lang w:bidi="ar-EG"/>
        </w:rPr>
        <w:t>ʿaqīm</w:t>
      </w:r>
      <w:r w:rsidRPr="007C6A42">
        <w:rPr>
          <w:rFonts w:asciiTheme="majorBidi" w:eastAsia="Times New Roman" w:hAnsiTheme="majorBidi" w:cstheme="majorBidi"/>
          <w:b/>
          <w:bCs/>
          <w:lang w:bidi="ar-EG"/>
        </w:rPr>
        <w:t xml:space="preserve"> </w:t>
      </w:r>
      <w:r w:rsidRPr="007C6A42">
        <w:rPr>
          <w:rFonts w:asciiTheme="majorBidi" w:eastAsia="Times New Roman" w:hAnsiTheme="majorBidi" w:cstheme="majorBidi"/>
          <w:lang w:bidi="ar-EG"/>
        </w:rPr>
        <w:t>est : « stérile ». Nous avons vu que les significations exégétiques sont notamment : « allusion au jour de la fin du monde », « allusion au jour de bataille de Badr », « sans nuit », « sans retour à ce monde », « incomparablement intense », « sans aucune pitié », « sans pareil ». Cependant, les traducteurs ont donné quelque chose de différent.</w:t>
      </w:r>
    </w:p>
    <w:p w14:paraId="29DBA4EF" w14:textId="77777777" w:rsidR="00A70B78" w:rsidRPr="007C6A42" w:rsidRDefault="00A70B78" w:rsidP="00A70B78">
      <w:pPr>
        <w:spacing w:line="360" w:lineRule="auto"/>
        <w:jc w:val="both"/>
        <w:outlineLvl w:val="0"/>
        <w:rPr>
          <w:rFonts w:asciiTheme="majorBidi" w:eastAsia="Times New Roman" w:hAnsiTheme="majorBidi" w:cstheme="majorBidi"/>
          <w:lang w:bidi="ar-EG"/>
        </w:rPr>
      </w:pPr>
    </w:p>
    <w:tbl>
      <w:tblPr>
        <w:tblW w:w="7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013"/>
      </w:tblGrid>
      <w:tr w:rsidR="00A70B78" w:rsidRPr="007C6A42" w14:paraId="2CB1F922"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6A5322B6" w14:textId="77777777" w:rsidR="00A70B78" w:rsidRPr="007C6A42" w:rsidRDefault="00A70B78" w:rsidP="00AF4FC9">
            <w:pPr>
              <w:spacing w:line="360" w:lineRule="auto"/>
              <w:jc w:val="both"/>
              <w:rPr>
                <w:rFonts w:asciiTheme="majorBidi" w:eastAsia="Times New Roman" w:hAnsiTheme="majorBidi" w:cstheme="majorBidi"/>
              </w:rPr>
            </w:pPr>
          </w:p>
        </w:tc>
        <w:tc>
          <w:tcPr>
            <w:tcW w:w="6013" w:type="dxa"/>
            <w:tcBorders>
              <w:top w:val="single" w:sz="4" w:space="0" w:color="auto"/>
              <w:left w:val="single" w:sz="4" w:space="0" w:color="auto"/>
              <w:bottom w:val="single" w:sz="4" w:space="0" w:color="auto"/>
              <w:right w:val="single" w:sz="4" w:space="0" w:color="auto"/>
            </w:tcBorders>
          </w:tcPr>
          <w:p w14:paraId="1267A1A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tl/>
                <w:lang w:bidi="ar-AE"/>
              </w:rPr>
              <w:t>عقيم</w:t>
            </w:r>
          </w:p>
        </w:tc>
      </w:tr>
      <w:tr w:rsidR="00A70B78" w:rsidRPr="007C6A42" w14:paraId="32FE5449"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42AF694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6013" w:type="dxa"/>
            <w:tcBorders>
              <w:top w:val="single" w:sz="4" w:space="0" w:color="auto"/>
              <w:left w:val="single" w:sz="4" w:space="0" w:color="auto"/>
              <w:bottom w:val="single" w:sz="4" w:space="0" w:color="auto"/>
              <w:right w:val="single" w:sz="4" w:space="0" w:color="auto"/>
            </w:tcBorders>
          </w:tcPr>
          <w:p w14:paraId="5E6710D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tres-rigoureuʃement</w:t>
            </w:r>
          </w:p>
        </w:tc>
      </w:tr>
      <w:tr w:rsidR="00A70B78" w:rsidRPr="007C6A42" w14:paraId="6903CABF"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61F44D3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6013" w:type="dxa"/>
            <w:tcBorders>
              <w:top w:val="single" w:sz="4" w:space="0" w:color="auto"/>
              <w:left w:val="single" w:sz="4" w:space="0" w:color="auto"/>
              <w:bottom w:val="single" w:sz="4" w:space="0" w:color="auto"/>
              <w:right w:val="single" w:sz="4" w:space="0" w:color="auto"/>
            </w:tcBorders>
          </w:tcPr>
          <w:p w14:paraId="7443D30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terrible</w:t>
            </w:r>
          </w:p>
        </w:tc>
      </w:tr>
      <w:tr w:rsidR="00A70B78" w:rsidRPr="007C6A42" w14:paraId="332AF85D"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5185F08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6013" w:type="dxa"/>
            <w:tcBorders>
              <w:top w:val="single" w:sz="4" w:space="0" w:color="auto"/>
              <w:left w:val="single" w:sz="4" w:space="0" w:color="auto"/>
              <w:bottom w:val="single" w:sz="4" w:space="0" w:color="auto"/>
              <w:right w:val="single" w:sz="4" w:space="0" w:color="auto"/>
            </w:tcBorders>
          </w:tcPr>
          <w:p w14:paraId="1A686D0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exterminateur</w:t>
            </w:r>
          </w:p>
        </w:tc>
      </w:tr>
      <w:tr w:rsidR="00A70B78" w:rsidRPr="007C6A42" w14:paraId="3024BB21"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1286CD52"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6013" w:type="dxa"/>
            <w:tcBorders>
              <w:top w:val="single" w:sz="4" w:space="0" w:color="auto"/>
              <w:left w:val="single" w:sz="4" w:space="0" w:color="auto"/>
              <w:bottom w:val="single" w:sz="4" w:space="0" w:color="auto"/>
              <w:right w:val="single" w:sz="4" w:space="0" w:color="auto"/>
            </w:tcBorders>
          </w:tcPr>
          <w:p w14:paraId="587F8BD8" w14:textId="77777777" w:rsidR="00A70B78" w:rsidRPr="007C6A42" w:rsidRDefault="00A70B78" w:rsidP="00AF4FC9">
            <w:pPr>
              <w:tabs>
                <w:tab w:val="left" w:pos="284"/>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dévastateur</w:t>
            </w:r>
          </w:p>
        </w:tc>
      </w:tr>
      <w:tr w:rsidR="00A70B78" w:rsidRPr="007C6A42" w14:paraId="686B827B" w14:textId="77777777" w:rsidTr="00AF4FC9">
        <w:trPr>
          <w:trHeight w:val="430"/>
          <w:jc w:val="center"/>
        </w:trPr>
        <w:tc>
          <w:tcPr>
            <w:tcW w:w="1277" w:type="dxa"/>
            <w:tcBorders>
              <w:top w:val="single" w:sz="4" w:space="0" w:color="auto"/>
              <w:left w:val="single" w:sz="4" w:space="0" w:color="auto"/>
              <w:bottom w:val="single" w:sz="4" w:space="0" w:color="auto"/>
              <w:right w:val="single" w:sz="4" w:space="0" w:color="auto"/>
            </w:tcBorders>
          </w:tcPr>
          <w:p w14:paraId="0C2BBCC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6013" w:type="dxa"/>
            <w:tcBorders>
              <w:top w:val="single" w:sz="4" w:space="0" w:color="auto"/>
              <w:left w:val="single" w:sz="4" w:space="0" w:color="auto"/>
              <w:bottom w:val="single" w:sz="4" w:space="0" w:color="auto"/>
              <w:right w:val="single" w:sz="4" w:space="0" w:color="auto"/>
            </w:tcBorders>
          </w:tcPr>
          <w:p w14:paraId="04F5E554"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stérile* (*</w:t>
            </w:r>
            <w:r w:rsidRPr="007C6A42">
              <w:rPr>
                <w:rFonts w:asciiTheme="majorBidi" w:eastAsia="Calibri" w:hAnsiTheme="majorBidi" w:cstheme="majorBidi"/>
                <w:i/>
              </w:rPr>
              <w:t>le Jour stérile</w:t>
            </w:r>
            <w:r w:rsidRPr="007C6A42">
              <w:rPr>
                <w:rFonts w:asciiTheme="majorBidi" w:eastAsia="Calibri" w:hAnsiTheme="majorBidi" w:cstheme="majorBidi"/>
              </w:rPr>
              <w:t> : le Jour, l’Heure du Jugement ; où de comprendre enfin ne servira plus à rien. Jour sans lendemain sans possibilité de recommencer la vie et l’œuvre.)</w:t>
            </w:r>
          </w:p>
        </w:tc>
      </w:tr>
      <w:tr w:rsidR="00A70B78" w:rsidRPr="007C6A42" w14:paraId="698666E9"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7F79A70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6013" w:type="dxa"/>
            <w:tcBorders>
              <w:top w:val="single" w:sz="4" w:space="0" w:color="auto"/>
              <w:left w:val="single" w:sz="4" w:space="0" w:color="auto"/>
              <w:bottom w:val="single" w:sz="4" w:space="0" w:color="auto"/>
              <w:right w:val="single" w:sz="4" w:space="0" w:color="auto"/>
            </w:tcBorders>
          </w:tcPr>
          <w:p w14:paraId="7909015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dévastateur</w:t>
            </w:r>
          </w:p>
        </w:tc>
      </w:tr>
      <w:tr w:rsidR="00A70B78" w:rsidRPr="007C6A42" w14:paraId="05E43498"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6426EAE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Ghéd.</w:t>
            </w:r>
          </w:p>
        </w:tc>
        <w:tc>
          <w:tcPr>
            <w:tcW w:w="6013" w:type="dxa"/>
            <w:tcBorders>
              <w:top w:val="single" w:sz="4" w:space="0" w:color="auto"/>
              <w:left w:val="single" w:sz="4" w:space="0" w:color="auto"/>
              <w:bottom w:val="single" w:sz="4" w:space="0" w:color="auto"/>
              <w:right w:val="single" w:sz="4" w:space="0" w:color="auto"/>
            </w:tcBorders>
          </w:tcPr>
          <w:p w14:paraId="440EC68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néfaste</w:t>
            </w:r>
          </w:p>
        </w:tc>
      </w:tr>
      <w:tr w:rsidR="00A70B78" w:rsidRPr="007C6A42" w14:paraId="5661154D"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1EC25A2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6013" w:type="dxa"/>
            <w:tcBorders>
              <w:top w:val="single" w:sz="4" w:space="0" w:color="auto"/>
              <w:left w:val="single" w:sz="4" w:space="0" w:color="auto"/>
              <w:bottom w:val="single" w:sz="4" w:space="0" w:color="auto"/>
              <w:right w:val="single" w:sz="4" w:space="0" w:color="auto"/>
            </w:tcBorders>
          </w:tcPr>
          <w:p w14:paraId="21084C3A"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rPr>
              <w:t>néfaste</w:t>
            </w:r>
          </w:p>
        </w:tc>
      </w:tr>
      <w:tr w:rsidR="00A70B78" w:rsidRPr="007C6A42" w14:paraId="63766680"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657B08B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r w:rsidRPr="007C6A42">
              <w:rPr>
                <w:rFonts w:asciiTheme="majorBidi" w:eastAsia="Times New Roman" w:hAnsiTheme="majorBidi" w:cstheme="majorBidi"/>
              </w:rPr>
              <w:t>.</w:t>
            </w:r>
          </w:p>
        </w:tc>
        <w:tc>
          <w:tcPr>
            <w:tcW w:w="6013" w:type="dxa"/>
            <w:tcBorders>
              <w:top w:val="single" w:sz="4" w:space="0" w:color="auto"/>
              <w:left w:val="single" w:sz="4" w:space="0" w:color="auto"/>
              <w:bottom w:val="single" w:sz="4" w:space="0" w:color="auto"/>
              <w:right w:val="single" w:sz="4" w:space="0" w:color="auto"/>
            </w:tcBorders>
          </w:tcPr>
          <w:p w14:paraId="3C09EA8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terrifiant</w:t>
            </w:r>
          </w:p>
        </w:tc>
      </w:tr>
      <w:tr w:rsidR="00A70B78" w:rsidRPr="007C6A42" w14:paraId="71EDC0B3"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50471E3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w:t>
            </w:r>
          </w:p>
        </w:tc>
        <w:tc>
          <w:tcPr>
            <w:tcW w:w="6013" w:type="dxa"/>
            <w:tcBorders>
              <w:top w:val="single" w:sz="4" w:space="0" w:color="auto"/>
              <w:left w:val="single" w:sz="4" w:space="0" w:color="auto"/>
              <w:bottom w:val="single" w:sz="4" w:space="0" w:color="auto"/>
              <w:right w:val="single" w:sz="4" w:space="0" w:color="auto"/>
            </w:tcBorders>
          </w:tcPr>
          <w:p w14:paraId="535EABB2"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néfaste</w:t>
            </w:r>
          </w:p>
        </w:tc>
      </w:tr>
      <w:tr w:rsidR="00A70B78" w:rsidRPr="007C6A42" w14:paraId="5BA9D898"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4906889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6013" w:type="dxa"/>
            <w:tcBorders>
              <w:top w:val="single" w:sz="4" w:space="0" w:color="auto"/>
              <w:left w:val="single" w:sz="4" w:space="0" w:color="auto"/>
              <w:bottom w:val="single" w:sz="4" w:space="0" w:color="auto"/>
              <w:right w:val="single" w:sz="4" w:space="0" w:color="auto"/>
            </w:tcBorders>
          </w:tcPr>
          <w:p w14:paraId="1AB2E28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dévastateur</w:t>
            </w:r>
          </w:p>
        </w:tc>
      </w:tr>
      <w:tr w:rsidR="00A70B78" w:rsidRPr="007C6A42" w14:paraId="37935148"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1DE720D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6013" w:type="dxa"/>
            <w:tcBorders>
              <w:top w:val="single" w:sz="4" w:space="0" w:color="auto"/>
              <w:left w:val="single" w:sz="4" w:space="0" w:color="auto"/>
              <w:bottom w:val="single" w:sz="4" w:space="0" w:color="auto"/>
              <w:right w:val="single" w:sz="4" w:space="0" w:color="auto"/>
            </w:tcBorders>
          </w:tcPr>
          <w:p w14:paraId="46E418A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néfaste</w:t>
            </w:r>
          </w:p>
        </w:tc>
      </w:tr>
      <w:tr w:rsidR="00A70B78" w:rsidRPr="007C6A42" w14:paraId="03725A2A"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29A205F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6013" w:type="dxa"/>
            <w:tcBorders>
              <w:top w:val="single" w:sz="4" w:space="0" w:color="auto"/>
              <w:left w:val="single" w:sz="4" w:space="0" w:color="auto"/>
              <w:bottom w:val="single" w:sz="4" w:space="0" w:color="auto"/>
              <w:right w:val="single" w:sz="4" w:space="0" w:color="auto"/>
            </w:tcBorders>
          </w:tcPr>
          <w:p w14:paraId="47CC4B5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dévastateur</w:t>
            </w:r>
          </w:p>
        </w:tc>
      </w:tr>
      <w:tr w:rsidR="00A70B78" w:rsidRPr="007C6A42" w14:paraId="267A89D5"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54F9BAC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6013" w:type="dxa"/>
            <w:tcBorders>
              <w:top w:val="single" w:sz="4" w:space="0" w:color="auto"/>
              <w:left w:val="single" w:sz="4" w:space="0" w:color="auto"/>
              <w:bottom w:val="single" w:sz="4" w:space="0" w:color="auto"/>
              <w:right w:val="single" w:sz="4" w:space="0" w:color="auto"/>
            </w:tcBorders>
          </w:tcPr>
          <w:p w14:paraId="0B7F1CA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terrifiant</w:t>
            </w:r>
          </w:p>
        </w:tc>
      </w:tr>
      <w:tr w:rsidR="00A70B78" w:rsidRPr="007C6A42" w14:paraId="279DA884"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46068A7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6013" w:type="dxa"/>
            <w:tcBorders>
              <w:top w:val="single" w:sz="4" w:space="0" w:color="auto"/>
              <w:left w:val="single" w:sz="4" w:space="0" w:color="auto"/>
              <w:bottom w:val="single" w:sz="4" w:space="0" w:color="auto"/>
              <w:right w:val="single" w:sz="4" w:space="0" w:color="auto"/>
            </w:tcBorders>
          </w:tcPr>
          <w:p w14:paraId="03F9F7A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l’extermination</w:t>
            </w:r>
          </w:p>
        </w:tc>
      </w:tr>
      <w:tr w:rsidR="00A70B78" w:rsidRPr="007C6A42" w14:paraId="022DD392"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66569F4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6013" w:type="dxa"/>
            <w:tcBorders>
              <w:top w:val="single" w:sz="4" w:space="0" w:color="auto"/>
              <w:left w:val="single" w:sz="4" w:space="0" w:color="auto"/>
              <w:bottom w:val="single" w:sz="4" w:space="0" w:color="auto"/>
              <w:right w:val="single" w:sz="4" w:space="0" w:color="auto"/>
            </w:tcBorders>
          </w:tcPr>
          <w:p w14:paraId="242A348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l’extermination</w:t>
            </w:r>
          </w:p>
        </w:tc>
      </w:tr>
      <w:tr w:rsidR="00A70B78" w:rsidRPr="007C6A42" w14:paraId="1B55BA0B"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331A482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6013" w:type="dxa"/>
            <w:tcBorders>
              <w:top w:val="single" w:sz="4" w:space="0" w:color="auto"/>
              <w:left w:val="single" w:sz="4" w:space="0" w:color="auto"/>
              <w:bottom w:val="single" w:sz="4" w:space="0" w:color="auto"/>
              <w:right w:val="single" w:sz="4" w:space="0" w:color="auto"/>
            </w:tcBorders>
          </w:tcPr>
          <w:p w14:paraId="124FD2C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stérile</w:t>
            </w:r>
          </w:p>
        </w:tc>
      </w:tr>
      <w:tr w:rsidR="00A70B78" w:rsidRPr="007C6A42" w14:paraId="281857A6" w14:textId="77777777" w:rsidTr="00AF4FC9">
        <w:trPr>
          <w:jc w:val="center"/>
        </w:trPr>
        <w:tc>
          <w:tcPr>
            <w:tcW w:w="1277" w:type="dxa"/>
            <w:tcBorders>
              <w:top w:val="single" w:sz="4" w:space="0" w:color="auto"/>
              <w:left w:val="single" w:sz="4" w:space="0" w:color="auto"/>
              <w:bottom w:val="single" w:sz="4" w:space="0" w:color="auto"/>
              <w:right w:val="single" w:sz="4" w:space="0" w:color="auto"/>
            </w:tcBorders>
          </w:tcPr>
          <w:p w14:paraId="42CEEFB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6013" w:type="dxa"/>
            <w:tcBorders>
              <w:top w:val="single" w:sz="4" w:space="0" w:color="auto"/>
              <w:left w:val="single" w:sz="4" w:space="0" w:color="auto"/>
              <w:bottom w:val="single" w:sz="4" w:space="0" w:color="auto"/>
              <w:right w:val="single" w:sz="4" w:space="0" w:color="auto"/>
            </w:tcBorders>
          </w:tcPr>
          <w:p w14:paraId="17D02B4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stérile</w:t>
            </w:r>
          </w:p>
        </w:tc>
      </w:tr>
    </w:tbl>
    <w:p w14:paraId="48E73885"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69702F83"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rPr>
        <w:t>Pour homogénéiser leur traduction, les traducteurs ont donné au texte un coup de peigne, selon le mot du traducteur Boris Schloezer cité par Antoine Berman.</w:t>
      </w:r>
      <w:r w:rsidRPr="007C6A42">
        <w:rPr>
          <w:rStyle w:val="Appelnotedebasdep"/>
          <w:rFonts w:asciiTheme="majorBidi" w:hAnsiTheme="majorBidi" w:cstheme="majorBidi"/>
        </w:rPr>
        <w:footnoteReference w:id="518"/>
      </w:r>
    </w:p>
    <w:p w14:paraId="0FDBB5B2" w14:textId="19BFB831" w:rsidR="00A70B78" w:rsidRPr="007C6A42" w:rsidRDefault="00A70B78" w:rsidP="000B0DCE">
      <w:pPr>
        <w:spacing w:line="360" w:lineRule="auto"/>
        <w:ind w:firstLine="284"/>
        <w:jc w:val="both"/>
        <w:rPr>
          <w:rFonts w:asciiTheme="majorBidi" w:eastAsia="Times New Roman" w:hAnsiTheme="majorBidi" w:cstheme="majorBidi"/>
          <w:lang w:bidi="ar-AE"/>
        </w:rPr>
      </w:pPr>
      <w:r w:rsidRPr="007C6A42">
        <w:rPr>
          <w:rFonts w:asciiTheme="majorBidi" w:eastAsia="Times New Roman" w:hAnsiTheme="majorBidi" w:cstheme="majorBidi"/>
        </w:rPr>
        <w:t xml:space="preserve">Seuls trois traducteurs (Hamidullah, Abdelaziz et Aldeeb) ont rendu littéralement </w:t>
      </w:r>
      <w:r w:rsidRPr="007C6A42">
        <w:rPr>
          <w:rFonts w:asciiTheme="majorBidi" w:eastAsia="Times New Roman" w:hAnsiTheme="majorBidi" w:cstheme="majorBidi"/>
          <w:i/>
          <w:iCs/>
        </w:rPr>
        <w:t>ʿaqīm</w:t>
      </w:r>
      <w:r w:rsidRPr="007C6A42">
        <w:rPr>
          <w:rFonts w:asciiTheme="majorBidi" w:eastAsia="Times New Roman" w:hAnsiTheme="majorBidi" w:cstheme="majorBidi"/>
        </w:rPr>
        <w:t xml:space="preserve"> par son équivalent français : « stérile », tandis que </w:t>
      </w:r>
      <w:r w:rsidRPr="007C6A42">
        <w:rPr>
          <w:rFonts w:asciiTheme="majorBidi" w:eastAsia="Times New Roman" w:hAnsiTheme="majorBidi" w:cstheme="majorBidi"/>
          <w:lang w:bidi="ar-AE"/>
        </w:rPr>
        <w:t xml:space="preserve">quatre autres (Du Ryer, Savary, Complexe de Médine et Chiadmi) ont traduit ce mot </w:t>
      </w:r>
      <w:r w:rsidRPr="001A6D60">
        <w:rPr>
          <w:rFonts w:asciiTheme="majorBidi" w:eastAsia="Times New Roman" w:hAnsiTheme="majorBidi" w:cstheme="majorBidi"/>
          <w:lang w:bidi="ar-AE"/>
        </w:rPr>
        <w:t>par : « terrible », « terrifiant », « très rigoureusement », comme s’ils traduisaient </w:t>
      </w:r>
      <w:r w:rsidRPr="001A6D60">
        <w:rPr>
          <w:rFonts w:asciiTheme="majorBidi" w:eastAsia="Times New Roman" w:hAnsiTheme="majorBidi" w:cstheme="majorBidi"/>
          <w:i/>
          <w:iCs/>
          <w:lang w:bidi="ar-AE"/>
        </w:rPr>
        <w:t>ʿaẓīm</w:t>
      </w:r>
      <w:r w:rsidRPr="001A6D60">
        <w:rPr>
          <w:rFonts w:asciiTheme="majorBidi" w:eastAsia="Times New Roman" w:hAnsiTheme="majorBidi" w:cstheme="majorBidi"/>
          <w:lang w:bidi="ar-AE"/>
        </w:rPr>
        <w:t xml:space="preserve"> au lieu de </w:t>
      </w:r>
      <w:r w:rsidRPr="001A6D60">
        <w:rPr>
          <w:rFonts w:asciiTheme="majorBidi" w:eastAsia="Times New Roman" w:hAnsiTheme="majorBidi" w:cstheme="majorBidi"/>
          <w:i/>
          <w:iCs/>
        </w:rPr>
        <w:t>ʿaqīm</w:t>
      </w:r>
      <w:r w:rsidRPr="001A6D60">
        <w:rPr>
          <w:rFonts w:asciiTheme="majorBidi" w:eastAsia="Times New Roman" w:hAnsiTheme="majorBidi" w:cstheme="majorBidi"/>
          <w:lang w:bidi="ar-AE"/>
        </w:rPr>
        <w:t>.</w:t>
      </w:r>
      <w:r w:rsidR="000B0DCE" w:rsidRPr="001A6D60">
        <w:rPr>
          <w:rStyle w:val="Appelnotedebasdep"/>
          <w:rFonts w:eastAsia="Times New Roman"/>
          <w:lang w:bidi="ar-AE"/>
        </w:rPr>
        <w:footnoteReference w:id="519"/>
      </w:r>
      <w:r w:rsidRPr="001A6D60">
        <w:rPr>
          <w:rFonts w:asciiTheme="majorBidi" w:eastAsia="Times New Roman" w:hAnsiTheme="majorBidi" w:cstheme="majorBidi"/>
          <w:lang w:bidi="ar-AE"/>
        </w:rPr>
        <w:t xml:space="preserve"> Plusieurs autres font des choix très éloignés aussi bien des significations données aussi bien</w:t>
      </w:r>
      <w:r w:rsidRPr="007C6A42">
        <w:rPr>
          <w:rFonts w:asciiTheme="majorBidi" w:eastAsia="Times New Roman" w:hAnsiTheme="majorBidi" w:cstheme="majorBidi"/>
          <w:lang w:bidi="ar-AE"/>
        </w:rPr>
        <w:t xml:space="preserve"> par l’exégèse que des définitions des dictionnaires : « dévastateur », « de l’extermination », « exterminateur »). </w:t>
      </w:r>
    </w:p>
    <w:p w14:paraId="7AD61FDD"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p>
    <w:p w14:paraId="039155F4"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eastAsia="Times New Roman" w:hAnsiTheme="majorBidi" w:cstheme="majorBidi"/>
          <w:lang w:bidi="ar-AE"/>
        </w:rPr>
        <w:t xml:space="preserve">La littéralité de la traduction de Sami Aldeeb est due au fait qu’il est convaincu du caractère </w:t>
      </w:r>
      <w:r w:rsidRPr="007C6A42">
        <w:rPr>
          <w:rFonts w:asciiTheme="majorBidi" w:eastAsia="Times New Roman" w:hAnsiTheme="majorBidi" w:cstheme="majorBidi"/>
          <w:i/>
          <w:iCs/>
          <w:lang w:bidi="ar-AE"/>
        </w:rPr>
        <w:t>profane</w:t>
      </w:r>
      <w:r w:rsidRPr="007C6A42">
        <w:rPr>
          <w:rFonts w:asciiTheme="majorBidi" w:eastAsia="Times New Roman" w:hAnsiTheme="majorBidi" w:cstheme="majorBidi"/>
          <w:lang w:bidi="ar-AE"/>
        </w:rPr>
        <w:t xml:space="preserve"> du texte et qu’il a voulu donc en montrer les défauts, comme le montrent bien ses essais. Par contre, la littéralité de la traduction de </w:t>
      </w:r>
      <w:r w:rsidRPr="007C6A42">
        <w:rPr>
          <w:rFonts w:asciiTheme="majorBidi" w:eastAsia="Times New Roman" w:hAnsiTheme="majorBidi" w:cstheme="majorBidi"/>
        </w:rPr>
        <w:t>Hamidullah et d’Abdelaziz</w:t>
      </w:r>
      <w:r w:rsidRPr="007C6A42">
        <w:rPr>
          <w:rFonts w:asciiTheme="majorBidi" w:eastAsia="Times New Roman" w:hAnsiTheme="majorBidi" w:cstheme="majorBidi"/>
          <w:lang w:bidi="ar-AE"/>
        </w:rPr>
        <w:t xml:space="preserve"> est due au fait qu’ils sont convaincus du caractère </w:t>
      </w:r>
      <w:r w:rsidRPr="007C6A42">
        <w:rPr>
          <w:rFonts w:asciiTheme="majorBidi" w:eastAsia="Times New Roman" w:hAnsiTheme="majorBidi" w:cstheme="majorBidi"/>
          <w:i/>
          <w:iCs/>
          <w:lang w:bidi="ar-AE"/>
        </w:rPr>
        <w:t>sacré</w:t>
      </w:r>
      <w:r w:rsidRPr="007C6A42">
        <w:rPr>
          <w:rFonts w:asciiTheme="majorBidi" w:eastAsia="Times New Roman" w:hAnsiTheme="majorBidi" w:cstheme="majorBidi"/>
          <w:lang w:bidi="ar-AE"/>
        </w:rPr>
        <w:t xml:space="preserve"> du texte et qu’ils ont voulu donc en montrer les qualités inimitables.</w:t>
      </w:r>
    </w:p>
    <w:p w14:paraId="799B1E12"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p>
    <w:p w14:paraId="4EDD8DBA"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lastRenderedPageBreak/>
        <w:t xml:space="preserve">Toutes les traductions ont négligé un sens essentiel donné par les exégètes pour le mot </w:t>
      </w:r>
      <w:r w:rsidRPr="007C6A42">
        <w:rPr>
          <w:rFonts w:asciiTheme="majorBidi" w:eastAsia="Times New Roman" w:hAnsiTheme="majorBidi" w:cstheme="majorBidi"/>
          <w:i/>
          <w:iCs/>
        </w:rPr>
        <w:t>ʿaqīm</w:t>
      </w:r>
      <w:r w:rsidRPr="007C6A42">
        <w:rPr>
          <w:rFonts w:asciiTheme="majorBidi" w:eastAsia="Times New Roman" w:hAnsiTheme="majorBidi" w:cstheme="majorBidi"/>
          <w:lang w:bidi="ar-AE"/>
        </w:rPr>
        <w:t>, à savoir l’allusion à la bataille victorieuse de Badr (vers 624). Elles négligent également le sens d’un jour sans nuit et le sens de la mort sans retour (à l’exception de Hamidullah qui les évoque dans une note). En revanche, une majorité de traducteurs ont élargi et modifié la polysémie du terme par leurs choix (« </w:t>
      </w:r>
      <w:r w:rsidRPr="007C6A42">
        <w:rPr>
          <w:rFonts w:asciiTheme="majorBidi" w:eastAsia="Times New Roman" w:hAnsiTheme="majorBidi" w:cstheme="majorBidi"/>
          <w:iCs/>
          <w:lang w:bidi="ar-AE"/>
        </w:rPr>
        <w:t>néfaste »</w:t>
      </w:r>
      <w:r w:rsidRPr="007C6A42">
        <w:rPr>
          <w:rFonts w:asciiTheme="majorBidi" w:eastAsia="Times New Roman" w:hAnsiTheme="majorBidi" w:cstheme="majorBidi"/>
          <w:lang w:bidi="ar-AE"/>
        </w:rPr>
        <w:t>, « </w:t>
      </w:r>
      <w:r w:rsidRPr="007C6A42">
        <w:rPr>
          <w:rFonts w:asciiTheme="majorBidi" w:eastAsia="Times New Roman" w:hAnsiTheme="majorBidi" w:cstheme="majorBidi"/>
          <w:iCs/>
          <w:lang w:bidi="ar-AE"/>
        </w:rPr>
        <w:t>dévastateur »</w:t>
      </w:r>
      <w:r w:rsidRPr="007C6A42">
        <w:rPr>
          <w:rFonts w:asciiTheme="majorBidi" w:eastAsia="Times New Roman" w:hAnsiTheme="majorBidi" w:cstheme="majorBidi"/>
          <w:lang w:bidi="ar-AE"/>
        </w:rPr>
        <w:t>, « </w:t>
      </w:r>
      <w:r w:rsidRPr="007C6A42">
        <w:rPr>
          <w:rFonts w:asciiTheme="majorBidi" w:eastAsia="Times New Roman" w:hAnsiTheme="majorBidi" w:cstheme="majorBidi"/>
          <w:iCs/>
          <w:lang w:bidi="ar-AE"/>
        </w:rPr>
        <w:t>exterminateur »</w:t>
      </w:r>
      <w:r w:rsidRPr="007C6A42">
        <w:rPr>
          <w:rFonts w:asciiTheme="majorBidi" w:eastAsia="Times New Roman" w:hAnsiTheme="majorBidi" w:cstheme="majorBidi"/>
          <w:lang w:bidi="ar-AE"/>
        </w:rPr>
        <w:t>, « </w:t>
      </w:r>
      <w:r w:rsidRPr="007C6A42">
        <w:rPr>
          <w:rFonts w:asciiTheme="majorBidi" w:eastAsia="Times New Roman" w:hAnsiTheme="majorBidi" w:cstheme="majorBidi"/>
          <w:iCs/>
          <w:lang w:bidi="ar-AE"/>
        </w:rPr>
        <w:t>de l’extermination »</w:t>
      </w:r>
      <w:r w:rsidRPr="007C6A42">
        <w:rPr>
          <w:rFonts w:asciiTheme="majorBidi" w:eastAsia="Times New Roman" w:hAnsiTheme="majorBidi" w:cstheme="majorBidi"/>
          <w:lang w:bidi="ar-AE"/>
        </w:rPr>
        <w:t xml:space="preserve">). Les traducteurs tendent ici à décontextualiser le texte alors que les anciens exégètes ont voulu le contextualiser en le reliant à un événement historique précis, la bataille de Badr. </w:t>
      </w:r>
    </w:p>
    <w:p w14:paraId="2492F5B5"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p>
    <w:p w14:paraId="34E8F221"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L’adjectif « </w:t>
      </w:r>
      <w:r w:rsidRPr="007C6A42">
        <w:rPr>
          <w:rFonts w:asciiTheme="majorBidi" w:eastAsia="Times New Roman" w:hAnsiTheme="majorBidi" w:cstheme="majorBidi"/>
          <w:i/>
          <w:iCs/>
          <w:lang w:bidi="ar-AE"/>
        </w:rPr>
        <w:t>néfaste</w:t>
      </w:r>
      <w:r w:rsidRPr="007C6A42">
        <w:rPr>
          <w:rFonts w:asciiTheme="majorBidi" w:eastAsia="Times New Roman" w:hAnsiTheme="majorBidi" w:cstheme="majorBidi"/>
          <w:lang w:bidi="ar-AE"/>
        </w:rPr>
        <w:t> » (</w:t>
      </w:r>
      <w:r w:rsidRPr="007C6A42">
        <w:rPr>
          <w:rFonts w:asciiTheme="majorBidi" w:hAnsiTheme="majorBidi" w:cstheme="majorBidi"/>
        </w:rPr>
        <w:t>le choix de Ghédira, Berque, Chouraqui et Hafiane</w:t>
      </w:r>
      <w:r w:rsidRPr="007C6A42">
        <w:rPr>
          <w:rFonts w:asciiTheme="majorBidi" w:eastAsia="Times New Roman" w:hAnsiTheme="majorBidi" w:cstheme="majorBidi"/>
          <w:lang w:bidi="ar-AE"/>
        </w:rPr>
        <w:t>) dénote la</w:t>
      </w:r>
      <w:r w:rsidRPr="007C6A42">
        <w:rPr>
          <w:rFonts w:asciiTheme="majorBidi" w:eastAsia="Times New Roman" w:hAnsiTheme="majorBidi" w:cstheme="majorBidi"/>
          <w:i/>
          <w:iCs/>
          <w:lang w:bidi="ar-AE"/>
        </w:rPr>
        <w:t xml:space="preserve"> tristesse</w:t>
      </w:r>
      <w:r w:rsidRPr="007C6A42">
        <w:rPr>
          <w:rFonts w:asciiTheme="majorBidi" w:eastAsia="Times New Roman" w:hAnsiTheme="majorBidi" w:cstheme="majorBidi"/>
          <w:lang w:bidi="ar-AE"/>
        </w:rPr>
        <w:t xml:space="preserve">, le </w:t>
      </w:r>
      <w:r w:rsidRPr="007C6A42">
        <w:rPr>
          <w:rFonts w:asciiTheme="majorBidi" w:eastAsia="Times New Roman" w:hAnsiTheme="majorBidi" w:cstheme="majorBidi"/>
          <w:i/>
          <w:iCs/>
          <w:lang w:bidi="ar-AE"/>
        </w:rPr>
        <w:t>deuil</w:t>
      </w:r>
      <w:r w:rsidRPr="007C6A42">
        <w:rPr>
          <w:rFonts w:asciiTheme="majorBidi" w:eastAsia="Times New Roman" w:hAnsiTheme="majorBidi" w:cstheme="majorBidi"/>
          <w:lang w:bidi="ar-AE"/>
        </w:rPr>
        <w:t>, la</w:t>
      </w:r>
      <w:r w:rsidRPr="007C6A42">
        <w:rPr>
          <w:rFonts w:asciiTheme="majorBidi" w:eastAsia="Times New Roman" w:hAnsiTheme="majorBidi" w:cstheme="majorBidi"/>
          <w:i/>
          <w:iCs/>
          <w:lang w:bidi="ar-AE"/>
        </w:rPr>
        <w:t xml:space="preserve"> fatalité</w:t>
      </w:r>
      <w:r w:rsidRPr="007C6A42">
        <w:rPr>
          <w:rFonts w:asciiTheme="majorBidi" w:eastAsia="Times New Roman" w:hAnsiTheme="majorBidi" w:cstheme="majorBidi"/>
          <w:lang w:bidi="ar-AE"/>
        </w:rPr>
        <w:t xml:space="preserve"> (il fait allusion à un jour de deuil destiné à l’inaction et regardé comme funeste, en mémoire de quelque disgrâce du peuple romain dans l’Antiquité), alors que </w:t>
      </w:r>
      <w:r w:rsidRPr="007C6A42">
        <w:rPr>
          <w:rFonts w:asciiTheme="majorBidi" w:eastAsia="Times New Roman" w:hAnsiTheme="majorBidi" w:cstheme="majorBidi"/>
          <w:i/>
          <w:iCs/>
          <w:lang w:bidi="ar-AE"/>
        </w:rPr>
        <w:t>ʿaẓīm</w:t>
      </w:r>
      <w:r w:rsidRPr="007C6A42">
        <w:rPr>
          <w:rFonts w:asciiTheme="majorBidi" w:eastAsia="Times New Roman" w:hAnsiTheme="majorBidi" w:cstheme="majorBidi"/>
          <w:lang w:bidi="ar-AE"/>
        </w:rPr>
        <w:t xml:space="preserve"> et </w:t>
      </w:r>
      <w:r w:rsidRPr="007C6A42">
        <w:rPr>
          <w:rFonts w:asciiTheme="majorBidi" w:eastAsia="Times New Roman" w:hAnsiTheme="majorBidi" w:cstheme="majorBidi"/>
          <w:i/>
          <w:iCs/>
        </w:rPr>
        <w:t>ʿaqīm</w:t>
      </w:r>
      <w:r w:rsidRPr="007C6A42">
        <w:rPr>
          <w:rFonts w:asciiTheme="majorBidi" w:eastAsia="Times New Roman" w:hAnsiTheme="majorBidi" w:cstheme="majorBidi"/>
          <w:lang w:bidi="ar-AE"/>
        </w:rPr>
        <w:t xml:space="preserve"> soulignent respectivement : la </w:t>
      </w:r>
      <w:r w:rsidRPr="007C6A42">
        <w:rPr>
          <w:rFonts w:asciiTheme="majorBidi" w:eastAsia="Times New Roman" w:hAnsiTheme="majorBidi" w:cstheme="majorBidi"/>
          <w:i/>
          <w:iCs/>
          <w:lang w:bidi="ar-AE"/>
        </w:rPr>
        <w:t>grandeur</w:t>
      </w:r>
      <w:r w:rsidRPr="007C6A42">
        <w:rPr>
          <w:rFonts w:asciiTheme="majorBidi" w:eastAsia="Times New Roman" w:hAnsiTheme="majorBidi" w:cstheme="majorBidi"/>
          <w:lang w:bidi="ar-AE"/>
        </w:rPr>
        <w:t xml:space="preserve"> et la </w:t>
      </w:r>
      <w:r w:rsidRPr="007C6A42">
        <w:rPr>
          <w:rFonts w:asciiTheme="majorBidi" w:eastAsia="Times New Roman" w:hAnsiTheme="majorBidi" w:cstheme="majorBidi"/>
          <w:i/>
          <w:iCs/>
          <w:lang w:bidi="ar-AE"/>
        </w:rPr>
        <w:t>stérilité</w:t>
      </w:r>
      <w:r w:rsidRPr="007C6A42">
        <w:rPr>
          <w:rFonts w:asciiTheme="majorBidi" w:eastAsia="Times New Roman" w:hAnsiTheme="majorBidi" w:cstheme="majorBidi"/>
          <w:lang w:bidi="ar-AE"/>
        </w:rPr>
        <w:t>.</w:t>
      </w:r>
    </w:p>
    <w:p w14:paraId="679D9981"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p>
    <w:p w14:paraId="2416C893" w14:textId="77777777" w:rsidR="00A70B78" w:rsidRPr="007C6A42" w:rsidRDefault="00A70B78" w:rsidP="00A70B78">
      <w:pPr>
        <w:spacing w:line="360" w:lineRule="auto"/>
        <w:ind w:firstLine="708"/>
        <w:contextualSpacing/>
        <w:jc w:val="both"/>
        <w:rPr>
          <w:rFonts w:asciiTheme="majorBidi" w:eastAsia="Times New Roman" w:hAnsiTheme="majorBidi" w:cstheme="majorBidi"/>
          <w:lang w:bidi="ar-AE"/>
        </w:rPr>
      </w:pPr>
      <w:r w:rsidRPr="007C6A42">
        <w:rPr>
          <w:rFonts w:asciiTheme="majorBidi" w:hAnsiTheme="majorBidi" w:cstheme="majorBidi"/>
        </w:rPr>
        <w:t xml:space="preserve">Ce même choix de traduction (du mot </w:t>
      </w:r>
      <w:r w:rsidRPr="007C6A42">
        <w:rPr>
          <w:rFonts w:asciiTheme="majorBidi" w:eastAsia="Times New Roman" w:hAnsiTheme="majorBidi" w:cstheme="majorBidi"/>
          <w:i/>
          <w:iCs/>
        </w:rPr>
        <w:t>ʿaqīm</w:t>
      </w:r>
      <w:r w:rsidRPr="007C6A42">
        <w:rPr>
          <w:rFonts w:asciiTheme="majorBidi" w:eastAsia="Times New Roman" w:hAnsiTheme="majorBidi" w:cstheme="majorBidi"/>
        </w:rPr>
        <w:t xml:space="preserve"> [stérile] par « néfaste ») fait par </w:t>
      </w:r>
      <w:r w:rsidRPr="007C6A42">
        <w:rPr>
          <w:rFonts w:asciiTheme="majorBidi" w:hAnsiTheme="majorBidi" w:cstheme="majorBidi"/>
        </w:rPr>
        <w:t xml:space="preserve">Berque et Chouraqui ayant des méthodes différentes de traduction et qui se rencontrent très rarement peut s’expliquer par le fait que ces deux traducteurs ont peut-être repris la même traduction précédente (« néfaste »), celle d’Ameur Ghédira (1957). On pourrait aussi supposer que ces deux traducteurs n’ont pas vu délibérément dans le terme arabe </w:t>
      </w:r>
      <w:r w:rsidRPr="007C6A42">
        <w:rPr>
          <w:rFonts w:asciiTheme="majorBidi" w:eastAsia="Times New Roman" w:hAnsiTheme="majorBidi" w:cstheme="majorBidi"/>
          <w:i/>
          <w:iCs/>
        </w:rPr>
        <w:t>ʿaqīm</w:t>
      </w:r>
      <w:r w:rsidRPr="007C6A42">
        <w:rPr>
          <w:rFonts w:asciiTheme="majorBidi" w:hAnsiTheme="majorBidi" w:cstheme="majorBidi"/>
        </w:rPr>
        <w:t xml:space="preserve"> une connotation de peur et d’apocalypse donnée par les autres traducteurs avec des termes comme « terrible », « dévastateur », « exterminateur ». Ces termes renvoient évidemment à l’idée du « jour sans lendemain », alors que traduire </w:t>
      </w:r>
      <w:r w:rsidRPr="007C6A42">
        <w:rPr>
          <w:rFonts w:asciiTheme="majorBidi" w:hAnsiTheme="majorBidi" w:cstheme="majorBidi"/>
          <w:i/>
          <w:iCs/>
        </w:rPr>
        <w:t>ʿaqīm</w:t>
      </w:r>
      <w:r w:rsidRPr="007C6A42">
        <w:rPr>
          <w:rFonts w:asciiTheme="majorBidi" w:hAnsiTheme="majorBidi" w:cstheme="majorBidi"/>
        </w:rPr>
        <w:t xml:space="preserve"> par « néfaste » sous-tend le deuil, la tristesse, la commémoration d’un événement malheureux, ce qui conforte l’interprétation donnée par </w:t>
      </w:r>
      <w:r w:rsidRPr="007C6A42">
        <w:rPr>
          <w:rFonts w:asciiTheme="majorBidi" w:eastAsia="Times New Roman" w:hAnsiTheme="majorBidi" w:cstheme="majorBidi"/>
          <w:lang w:bidi="ar-AE"/>
        </w:rPr>
        <w:t>Aṭ-Ṭabarī</w:t>
      </w:r>
      <w:r w:rsidRPr="007C6A42">
        <w:rPr>
          <w:rFonts w:asciiTheme="majorBidi" w:hAnsiTheme="majorBidi" w:cstheme="majorBidi"/>
        </w:rPr>
        <w:t xml:space="preserve"> concernant le </w:t>
      </w:r>
      <w:r w:rsidRPr="007C6A42">
        <w:rPr>
          <w:rFonts w:asciiTheme="majorBidi" w:eastAsia="Times New Roman" w:hAnsiTheme="majorBidi" w:cstheme="majorBidi"/>
          <w:lang w:bidi="ar-AE"/>
        </w:rPr>
        <w:t>jour de la bataille de Badr. Enfin, il est possible que ce choix (« jour néfaste ») opéré par ces deux traducteurs soit motivé par le fait qu’il relève d’une caractérisation plus fréquente, plus banale, moins insolite que les syntagmes « jour stérile », « jour exterminateur/dévastateur).</w:t>
      </w:r>
    </w:p>
    <w:p w14:paraId="191979A9" w14:textId="77777777" w:rsidR="00A70B78" w:rsidRDefault="00A70B78" w:rsidP="00A70B78">
      <w:pPr>
        <w:spacing w:line="360" w:lineRule="auto"/>
        <w:contextualSpacing/>
        <w:jc w:val="both"/>
        <w:rPr>
          <w:rFonts w:asciiTheme="majorBidi" w:eastAsia="Times New Roman" w:hAnsiTheme="majorBidi" w:cstheme="majorBidi"/>
        </w:rPr>
      </w:pPr>
    </w:p>
    <w:p w14:paraId="342456C5" w14:textId="77777777" w:rsidR="00DD76D6" w:rsidRDefault="00DD76D6" w:rsidP="00A70B78">
      <w:pPr>
        <w:spacing w:line="360" w:lineRule="auto"/>
        <w:contextualSpacing/>
        <w:jc w:val="both"/>
        <w:rPr>
          <w:rFonts w:asciiTheme="majorBidi" w:eastAsia="Times New Roman" w:hAnsiTheme="majorBidi" w:cstheme="majorBidi"/>
        </w:rPr>
      </w:pPr>
    </w:p>
    <w:p w14:paraId="71219E27" w14:textId="77777777" w:rsidR="00DD76D6" w:rsidRDefault="00DD76D6" w:rsidP="00A70B78">
      <w:pPr>
        <w:spacing w:line="360" w:lineRule="auto"/>
        <w:contextualSpacing/>
        <w:jc w:val="both"/>
        <w:rPr>
          <w:rFonts w:asciiTheme="majorBidi" w:eastAsia="Times New Roman" w:hAnsiTheme="majorBidi" w:cstheme="majorBidi"/>
        </w:rPr>
      </w:pPr>
    </w:p>
    <w:p w14:paraId="31BD2F29" w14:textId="77777777" w:rsidR="00DD76D6" w:rsidRPr="007C6A42" w:rsidRDefault="00DD76D6" w:rsidP="00A70B78">
      <w:pPr>
        <w:spacing w:line="360" w:lineRule="auto"/>
        <w:contextualSpacing/>
        <w:jc w:val="both"/>
        <w:rPr>
          <w:rFonts w:asciiTheme="majorBidi" w:eastAsia="Times New Roman" w:hAnsiTheme="majorBidi" w:cstheme="majorBidi"/>
        </w:rPr>
      </w:pPr>
    </w:p>
    <w:p w14:paraId="015CFC19" w14:textId="77777777" w:rsidR="00A70B78" w:rsidRPr="007C6A42" w:rsidRDefault="00A70B78" w:rsidP="00A70B78">
      <w:pPr>
        <w:spacing w:line="360" w:lineRule="auto"/>
        <w:contextualSpacing/>
        <w:jc w:val="both"/>
        <w:rPr>
          <w:rFonts w:asciiTheme="majorBidi" w:eastAsia="Times New Roman" w:hAnsiTheme="majorBidi" w:cstheme="majorBidi"/>
          <w:b/>
          <w:bCs/>
          <w:lang w:bidi="ar-EG"/>
        </w:rPr>
      </w:pPr>
      <w:r w:rsidRPr="007C6A42">
        <w:rPr>
          <w:rFonts w:asciiTheme="majorBidi" w:eastAsia="Times New Roman" w:hAnsiTheme="majorBidi" w:cstheme="majorBidi"/>
          <w:b/>
          <w:bCs/>
        </w:rPr>
        <w:t>T</w:t>
      </w:r>
      <w:r w:rsidRPr="007C6A42">
        <w:rPr>
          <w:rFonts w:asciiTheme="majorBidi" w:eastAsia="Times New Roman" w:hAnsiTheme="majorBidi" w:cstheme="majorBidi"/>
          <w:b/>
          <w:bCs/>
          <w:lang w:bidi="ar-EG"/>
        </w:rPr>
        <w:t xml:space="preserve">raduction du mot générique </w:t>
      </w:r>
      <w:r w:rsidRPr="007C6A42">
        <w:rPr>
          <w:rFonts w:asciiTheme="majorBidi" w:eastAsia="Times New Roman" w:hAnsiTheme="majorBidi" w:cstheme="majorBidi"/>
          <w:b/>
          <w:bCs/>
          <w:i/>
          <w:iCs/>
          <w:lang w:bidi="ar-EG"/>
        </w:rPr>
        <w:t>al-amr</w:t>
      </w:r>
      <w:r w:rsidRPr="007C6A42">
        <w:rPr>
          <w:rFonts w:asciiTheme="majorBidi" w:eastAsia="Times New Roman" w:hAnsiTheme="majorBidi" w:cstheme="majorBidi"/>
          <w:b/>
          <w:bCs/>
          <w:lang w:bidi="ar-EG"/>
        </w:rPr>
        <w:t xml:space="preserve"> dans la phrase : « </w:t>
      </w:r>
      <w:r w:rsidRPr="007C6A42">
        <w:rPr>
          <w:rFonts w:asciiTheme="majorBidi" w:eastAsia="Times New Roman" w:hAnsiTheme="majorBidi" w:cstheme="majorBidi"/>
          <w:b/>
          <w:bCs/>
          <w:rtl/>
          <w:lang w:bidi="ar-EG"/>
        </w:rPr>
        <w:t>فلا يُنازعُنَّكَ في الأمر</w:t>
      </w:r>
      <w:r w:rsidRPr="007C6A42">
        <w:rPr>
          <w:rFonts w:asciiTheme="majorBidi" w:eastAsia="Times New Roman" w:hAnsiTheme="majorBidi" w:cstheme="majorBidi"/>
          <w:b/>
          <w:bCs/>
          <w:lang w:bidi="ar-EG"/>
        </w:rPr>
        <w:t> » (v. 67) :</w:t>
      </w: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6475"/>
      </w:tblGrid>
      <w:tr w:rsidR="00A70B78" w:rsidRPr="007C6A42" w14:paraId="18765B08"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67400B4B"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lastRenderedPageBreak/>
              <w:t>traducteur</w:t>
            </w:r>
          </w:p>
        </w:tc>
        <w:tc>
          <w:tcPr>
            <w:tcW w:w="6475" w:type="dxa"/>
            <w:tcBorders>
              <w:top w:val="single" w:sz="4" w:space="0" w:color="auto"/>
              <w:left w:val="single" w:sz="4" w:space="0" w:color="auto"/>
              <w:bottom w:val="single" w:sz="4" w:space="0" w:color="auto"/>
              <w:right w:val="single" w:sz="4" w:space="0" w:color="auto"/>
            </w:tcBorders>
          </w:tcPr>
          <w:p w14:paraId="1EFE2FA4" w14:textId="77777777" w:rsidR="00A70B78" w:rsidRPr="007C6A42" w:rsidRDefault="00A70B78" w:rsidP="00AF4FC9">
            <w:pPr>
              <w:spacing w:line="360" w:lineRule="auto"/>
              <w:rPr>
                <w:rFonts w:asciiTheme="majorBidi" w:eastAsia="Times New Roman" w:hAnsiTheme="majorBidi" w:cstheme="majorBidi"/>
                <w:rtl/>
              </w:rPr>
            </w:pPr>
            <w:r w:rsidRPr="007C6A42">
              <w:rPr>
                <w:rFonts w:asciiTheme="majorBidi" w:eastAsia="Times New Roman" w:hAnsiTheme="majorBidi" w:cstheme="majorBidi"/>
                <w:b/>
                <w:bCs/>
              </w:rPr>
              <w:t xml:space="preserve">Traduction de </w:t>
            </w:r>
            <w:r w:rsidRPr="007C6A42">
              <w:rPr>
                <w:rFonts w:asciiTheme="majorBidi" w:eastAsia="Times New Roman" w:hAnsiTheme="majorBidi" w:cstheme="majorBidi"/>
                <w:b/>
                <w:bCs/>
                <w:lang w:bidi="ar-EG"/>
              </w:rPr>
              <w:t>« </w:t>
            </w:r>
            <w:r w:rsidRPr="007C6A42">
              <w:rPr>
                <w:rFonts w:asciiTheme="majorBidi" w:eastAsia="Times New Roman" w:hAnsiTheme="majorBidi" w:cstheme="majorBidi"/>
                <w:b/>
                <w:bCs/>
                <w:i/>
                <w:iCs/>
                <w:lang w:bidi="ar-EG"/>
              </w:rPr>
              <w:t>fa-lā yunāziʿunna-ka fi-l-amr </w:t>
            </w:r>
            <w:r w:rsidRPr="007C6A42">
              <w:rPr>
                <w:rFonts w:asciiTheme="majorBidi" w:eastAsia="Times New Roman" w:hAnsiTheme="majorBidi" w:cstheme="majorBidi"/>
                <w:b/>
                <w:bCs/>
                <w:lang w:bidi="ar-EG"/>
              </w:rPr>
              <w:t>» (v. 67)</w:t>
            </w:r>
          </w:p>
        </w:tc>
      </w:tr>
      <w:tr w:rsidR="00A70B78" w:rsidRPr="007C6A42" w14:paraId="53420082"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0F8EFB1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6475" w:type="dxa"/>
            <w:tcBorders>
              <w:top w:val="single" w:sz="4" w:space="0" w:color="auto"/>
              <w:left w:val="single" w:sz="4" w:space="0" w:color="auto"/>
              <w:bottom w:val="single" w:sz="4" w:space="0" w:color="auto"/>
              <w:right w:val="single" w:sz="4" w:space="0" w:color="auto"/>
            </w:tcBorders>
          </w:tcPr>
          <w:p w14:paraId="7B42F87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ils ne diʃputeront pas contre toy</w:t>
            </w:r>
          </w:p>
        </w:tc>
      </w:tr>
      <w:tr w:rsidR="00A70B78" w:rsidRPr="007C6A42" w14:paraId="58275F83"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261A66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6475" w:type="dxa"/>
            <w:tcBorders>
              <w:top w:val="single" w:sz="4" w:space="0" w:color="auto"/>
              <w:left w:val="single" w:sz="4" w:space="0" w:color="auto"/>
              <w:bottom w:val="single" w:sz="4" w:space="0" w:color="auto"/>
              <w:right w:val="single" w:sz="4" w:space="0" w:color="auto"/>
            </w:tcBorders>
          </w:tcPr>
          <w:p w14:paraId="5DC7E19E"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qu’ils ne disputent point sur la religion.</w:t>
            </w:r>
          </w:p>
        </w:tc>
      </w:tr>
      <w:tr w:rsidR="00A70B78" w:rsidRPr="007C6A42" w14:paraId="070A42AD"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7987FAC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6475" w:type="dxa"/>
            <w:tcBorders>
              <w:top w:val="single" w:sz="4" w:space="0" w:color="auto"/>
              <w:left w:val="single" w:sz="4" w:space="0" w:color="auto"/>
              <w:bottom w:val="single" w:sz="4" w:space="0" w:color="auto"/>
              <w:right w:val="single" w:sz="4" w:space="0" w:color="auto"/>
            </w:tcBorders>
          </w:tcPr>
          <w:p w14:paraId="70ABB9F8"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Qu'ils cessent donc de disputer avec toi sur cette matière.</w:t>
            </w:r>
          </w:p>
        </w:tc>
      </w:tr>
      <w:tr w:rsidR="00A70B78" w:rsidRPr="007C6A42" w14:paraId="31DF3485" w14:textId="77777777" w:rsidTr="00AF4FC9">
        <w:trPr>
          <w:trHeight w:val="255"/>
          <w:jc w:val="center"/>
        </w:trPr>
        <w:tc>
          <w:tcPr>
            <w:tcW w:w="1651" w:type="dxa"/>
            <w:tcBorders>
              <w:top w:val="single" w:sz="4" w:space="0" w:color="auto"/>
              <w:left w:val="single" w:sz="4" w:space="0" w:color="auto"/>
              <w:bottom w:val="single" w:sz="4" w:space="0" w:color="auto"/>
              <w:right w:val="single" w:sz="4" w:space="0" w:color="auto"/>
            </w:tcBorders>
          </w:tcPr>
          <w:p w14:paraId="2FACA9C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6475" w:type="dxa"/>
            <w:tcBorders>
              <w:top w:val="single" w:sz="4" w:space="0" w:color="auto"/>
              <w:left w:val="single" w:sz="4" w:space="0" w:color="auto"/>
              <w:bottom w:val="single" w:sz="4" w:space="0" w:color="auto"/>
              <w:right w:val="single" w:sz="4" w:space="0" w:color="auto"/>
            </w:tcBorders>
          </w:tcPr>
          <w:p w14:paraId="0DF9593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ne disputent donc point contre toi [Prophète] au sujet de l’Ordre !</w:t>
            </w:r>
          </w:p>
        </w:tc>
      </w:tr>
      <w:tr w:rsidR="00A70B78" w:rsidRPr="007C6A42" w14:paraId="7B2F9E91"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5AEEA0F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6475" w:type="dxa"/>
            <w:tcBorders>
              <w:top w:val="single" w:sz="4" w:space="0" w:color="auto"/>
              <w:left w:val="single" w:sz="4" w:space="0" w:color="auto"/>
              <w:bottom w:val="single" w:sz="4" w:space="0" w:color="auto"/>
              <w:right w:val="single" w:sz="4" w:space="0" w:color="auto"/>
            </w:tcBorders>
          </w:tcPr>
          <w:p w14:paraId="0FA2FF7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Que toute controverse cesse donc entre vous à ce sujet.</w:t>
            </w:r>
          </w:p>
        </w:tc>
      </w:tr>
      <w:tr w:rsidR="00A70B78" w:rsidRPr="007C6A42" w14:paraId="5A6CA4EC"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6CE32A2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6475" w:type="dxa"/>
            <w:tcBorders>
              <w:top w:val="single" w:sz="4" w:space="0" w:color="auto"/>
              <w:left w:val="single" w:sz="4" w:space="0" w:color="auto"/>
              <w:bottom w:val="single" w:sz="4" w:space="0" w:color="auto"/>
              <w:right w:val="single" w:sz="4" w:space="0" w:color="auto"/>
            </w:tcBorders>
          </w:tcPr>
          <w:p w14:paraId="61D5997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ne disputent donc point avec toi dans le commandement !</w:t>
            </w:r>
          </w:p>
        </w:tc>
      </w:tr>
      <w:tr w:rsidR="00A70B78" w:rsidRPr="007C6A42" w14:paraId="0D2A3147"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14FFCAE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6475" w:type="dxa"/>
            <w:tcBorders>
              <w:top w:val="single" w:sz="4" w:space="0" w:color="auto"/>
              <w:left w:val="single" w:sz="4" w:space="0" w:color="auto"/>
              <w:bottom w:val="single" w:sz="4" w:space="0" w:color="auto"/>
              <w:right w:val="single" w:sz="4" w:space="0" w:color="auto"/>
            </w:tcBorders>
          </w:tcPr>
          <w:p w14:paraId="3417B93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cessent toute polémique avec toi sur ce point !</w:t>
            </w:r>
          </w:p>
        </w:tc>
      </w:tr>
      <w:tr w:rsidR="00A70B78" w:rsidRPr="007C6A42" w14:paraId="4CFD05F0"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26B13BA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6475" w:type="dxa"/>
            <w:tcBorders>
              <w:top w:val="single" w:sz="4" w:space="0" w:color="auto"/>
              <w:left w:val="single" w:sz="4" w:space="0" w:color="auto"/>
              <w:bottom w:val="single" w:sz="4" w:space="0" w:color="auto"/>
              <w:right w:val="single" w:sz="4" w:space="0" w:color="auto"/>
            </w:tcBorders>
          </w:tcPr>
          <w:p w14:paraId="784A146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ne discutent donc pas avec toi l’ordre reçu !</w:t>
            </w:r>
          </w:p>
        </w:tc>
      </w:tr>
      <w:tr w:rsidR="00A70B78" w:rsidRPr="007C6A42" w14:paraId="1CCB2996"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21D9984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6475" w:type="dxa"/>
            <w:tcBorders>
              <w:top w:val="single" w:sz="4" w:space="0" w:color="auto"/>
              <w:left w:val="single" w:sz="4" w:space="0" w:color="auto"/>
              <w:bottom w:val="single" w:sz="4" w:space="0" w:color="auto"/>
              <w:right w:val="single" w:sz="4" w:space="0" w:color="auto"/>
            </w:tcBorders>
          </w:tcPr>
          <w:p w14:paraId="33B409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Qu’on ne te querelle pas là-dessus.</w:t>
            </w:r>
          </w:p>
        </w:tc>
      </w:tr>
      <w:tr w:rsidR="00A70B78" w:rsidRPr="007C6A42" w14:paraId="2AA81FA6"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3907236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6475" w:type="dxa"/>
            <w:tcBorders>
              <w:top w:val="single" w:sz="4" w:space="0" w:color="auto"/>
              <w:left w:val="single" w:sz="4" w:space="0" w:color="auto"/>
              <w:bottom w:val="single" w:sz="4" w:space="0" w:color="auto"/>
              <w:right w:val="single" w:sz="4" w:space="0" w:color="auto"/>
            </w:tcBorders>
          </w:tcPr>
          <w:p w14:paraId="61E50971"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Qu’ils n’en contestent pas les ordres</w:t>
            </w:r>
          </w:p>
        </w:tc>
      </w:tr>
      <w:tr w:rsidR="00A70B78" w:rsidRPr="007C6A42" w14:paraId="26E1E11C" w14:textId="77777777" w:rsidTr="00AF4FC9">
        <w:trPr>
          <w:trHeight w:val="270"/>
          <w:jc w:val="center"/>
        </w:trPr>
        <w:tc>
          <w:tcPr>
            <w:tcW w:w="1651" w:type="dxa"/>
            <w:tcBorders>
              <w:top w:val="single" w:sz="4" w:space="0" w:color="auto"/>
              <w:left w:val="single" w:sz="4" w:space="0" w:color="auto"/>
              <w:bottom w:val="single" w:sz="4" w:space="0" w:color="auto"/>
              <w:right w:val="single" w:sz="4" w:space="0" w:color="auto"/>
            </w:tcBorders>
          </w:tcPr>
          <w:p w14:paraId="0ED2F6D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6475" w:type="dxa"/>
            <w:tcBorders>
              <w:top w:val="single" w:sz="4" w:space="0" w:color="auto"/>
              <w:left w:val="single" w:sz="4" w:space="0" w:color="auto"/>
              <w:bottom w:val="single" w:sz="4" w:space="0" w:color="auto"/>
              <w:right w:val="single" w:sz="4" w:space="0" w:color="auto"/>
            </w:tcBorders>
          </w:tcPr>
          <w:p w14:paraId="4E54D0FA"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Ne te laisse pas, non! contester sur cet article</w:t>
            </w:r>
          </w:p>
        </w:tc>
      </w:tr>
      <w:tr w:rsidR="00A70B78" w:rsidRPr="007C6A42" w14:paraId="3B2F881E"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4285C44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6475" w:type="dxa"/>
            <w:tcBorders>
              <w:top w:val="single" w:sz="4" w:space="0" w:color="auto"/>
              <w:left w:val="single" w:sz="4" w:space="0" w:color="auto"/>
              <w:bottom w:val="single" w:sz="4" w:space="0" w:color="auto"/>
              <w:right w:val="single" w:sz="4" w:space="0" w:color="auto"/>
            </w:tcBorders>
          </w:tcPr>
          <w:p w14:paraId="20C831E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Qu’ils cessent donc de se disputer avec toi sur le décret</w:t>
            </w:r>
          </w:p>
        </w:tc>
      </w:tr>
      <w:tr w:rsidR="00A70B78" w:rsidRPr="007C6A42" w14:paraId="44B4C9AD"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2985C3E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6475" w:type="dxa"/>
            <w:tcBorders>
              <w:top w:val="single" w:sz="4" w:space="0" w:color="auto"/>
              <w:left w:val="single" w:sz="4" w:space="0" w:color="auto"/>
              <w:bottom w:val="single" w:sz="4" w:space="0" w:color="auto"/>
              <w:right w:val="single" w:sz="4" w:space="0" w:color="auto"/>
            </w:tcBorders>
          </w:tcPr>
          <w:p w14:paraId="0BB89EE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cessent donc de discuter avec toi l’ordre reçu !</w:t>
            </w:r>
          </w:p>
        </w:tc>
      </w:tr>
      <w:tr w:rsidR="00A70B78" w:rsidRPr="007C6A42" w14:paraId="65F72A0C"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66A9CFC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6475" w:type="dxa"/>
            <w:tcBorders>
              <w:top w:val="single" w:sz="4" w:space="0" w:color="auto"/>
              <w:left w:val="single" w:sz="4" w:space="0" w:color="auto"/>
              <w:bottom w:val="single" w:sz="4" w:space="0" w:color="auto"/>
              <w:right w:val="single" w:sz="4" w:space="0" w:color="auto"/>
            </w:tcBorders>
          </w:tcPr>
          <w:p w14:paraId="1B960980"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ne disputent donc point avec toi l’ordre reçu !</w:t>
            </w:r>
          </w:p>
        </w:tc>
      </w:tr>
      <w:tr w:rsidR="00A70B78" w:rsidRPr="007C6A42" w14:paraId="49BB26CC"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5614F13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6475" w:type="dxa"/>
            <w:tcBorders>
              <w:top w:val="single" w:sz="4" w:space="0" w:color="auto"/>
              <w:left w:val="single" w:sz="4" w:space="0" w:color="auto"/>
              <w:bottom w:val="single" w:sz="4" w:space="0" w:color="auto"/>
              <w:right w:val="single" w:sz="4" w:space="0" w:color="auto"/>
            </w:tcBorders>
          </w:tcPr>
          <w:p w14:paraId="7C75AEA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Qu’ils ne disputent donc point avec toi à propos de l’affaire!</w:t>
            </w:r>
          </w:p>
        </w:tc>
      </w:tr>
      <w:tr w:rsidR="00A70B78" w:rsidRPr="007C6A42" w14:paraId="0D1C26E3"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2BCC35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6475" w:type="dxa"/>
            <w:tcBorders>
              <w:top w:val="single" w:sz="4" w:space="0" w:color="auto"/>
              <w:left w:val="single" w:sz="4" w:space="0" w:color="auto"/>
              <w:bottom w:val="single" w:sz="4" w:space="0" w:color="auto"/>
              <w:right w:val="single" w:sz="4" w:space="0" w:color="auto"/>
            </w:tcBorders>
          </w:tcPr>
          <w:p w14:paraId="541A397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cessent donc de spéculer à ce sujet.</w:t>
            </w:r>
          </w:p>
        </w:tc>
      </w:tr>
      <w:tr w:rsidR="00A70B78" w:rsidRPr="007C6A42" w14:paraId="4FC8CF25"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0C0C87F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6475" w:type="dxa"/>
            <w:tcBorders>
              <w:top w:val="single" w:sz="4" w:space="0" w:color="auto"/>
              <w:left w:val="single" w:sz="4" w:space="0" w:color="auto"/>
              <w:bottom w:val="single" w:sz="4" w:space="0" w:color="auto"/>
              <w:right w:val="single" w:sz="4" w:space="0" w:color="auto"/>
            </w:tcBorders>
          </w:tcPr>
          <w:p w14:paraId="57C8DCB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ne te contestent point dans l’ordre reçu !</w:t>
            </w:r>
          </w:p>
        </w:tc>
      </w:tr>
      <w:tr w:rsidR="00A70B78" w:rsidRPr="007C6A42" w14:paraId="14E7FF98"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65BF96C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6475" w:type="dxa"/>
            <w:tcBorders>
              <w:top w:val="single" w:sz="4" w:space="0" w:color="auto"/>
              <w:left w:val="single" w:sz="4" w:space="0" w:color="auto"/>
              <w:bottom w:val="single" w:sz="4" w:space="0" w:color="auto"/>
              <w:right w:val="single" w:sz="4" w:space="0" w:color="auto"/>
            </w:tcBorders>
          </w:tcPr>
          <w:p w14:paraId="0208566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Qu’ils ne discutent point donc avec toi sur ce sujet !</w:t>
            </w:r>
          </w:p>
        </w:tc>
      </w:tr>
    </w:tbl>
    <w:p w14:paraId="234530F5"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3073DD1A"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Selon les exégètes, et vu le contexte du verset, l’interprétation principale du mot </w:t>
      </w:r>
      <w:r w:rsidRPr="007C6A42">
        <w:rPr>
          <w:rFonts w:asciiTheme="majorBidi" w:eastAsia="Times New Roman" w:hAnsiTheme="majorBidi" w:cstheme="majorBidi"/>
          <w:i/>
          <w:iCs/>
          <w:shd w:val="clear" w:color="auto" w:fill="FFFFFF"/>
          <w:lang w:bidi="ar-KW"/>
        </w:rPr>
        <w:t>al-amr</w:t>
      </w:r>
      <w:r w:rsidRPr="007C6A42">
        <w:rPr>
          <w:rFonts w:asciiTheme="majorBidi" w:eastAsia="Times New Roman" w:hAnsiTheme="majorBidi" w:cstheme="majorBidi"/>
          <w:shd w:val="clear" w:color="auto" w:fill="FFFFFF"/>
          <w:lang w:bidi="ar-KW"/>
        </w:rPr>
        <w:t xml:space="preserve"> est l’abattage </w:t>
      </w:r>
      <w:r w:rsidRPr="007C6A42">
        <w:rPr>
          <w:rFonts w:asciiTheme="majorBidi" w:eastAsia="Times New Roman" w:hAnsiTheme="majorBidi" w:cstheme="majorBidi"/>
          <w:i/>
          <w:iCs/>
          <w:shd w:val="clear" w:color="auto" w:fill="FFFFFF"/>
          <w:lang w:bidi="ar-KW"/>
        </w:rPr>
        <w:t>halal</w:t>
      </w:r>
      <w:r w:rsidRPr="007C6A42">
        <w:rPr>
          <w:rFonts w:asciiTheme="majorBidi" w:eastAsia="Times New Roman" w:hAnsiTheme="majorBidi" w:cstheme="majorBidi"/>
          <w:shd w:val="clear" w:color="auto" w:fill="FFFFFF"/>
          <w:lang w:bidi="ar-KW"/>
        </w:rPr>
        <w:t xml:space="preserve">. Les autres interprétations sont : le pèlerinage, l’unicité de Dieu, tous les cultes musulmans, etc. Le terme arabe est vague. Le texte original ne veut pas rendre "clair" le vocable </w:t>
      </w:r>
      <w:r w:rsidRPr="007C6A42">
        <w:rPr>
          <w:rFonts w:asciiTheme="majorBidi" w:eastAsia="Times New Roman" w:hAnsiTheme="majorBidi" w:cstheme="majorBidi"/>
          <w:i/>
          <w:iCs/>
          <w:shd w:val="clear" w:color="auto" w:fill="FFFFFF"/>
          <w:lang w:bidi="ar-KW"/>
        </w:rPr>
        <w:t>al-amr</w:t>
      </w:r>
      <w:r w:rsidRPr="007C6A42">
        <w:rPr>
          <w:rFonts w:asciiTheme="majorBidi" w:eastAsia="Times New Roman" w:hAnsiTheme="majorBidi" w:cstheme="majorBidi"/>
          <w:shd w:val="clear" w:color="auto" w:fill="FFFFFF"/>
          <w:lang w:bidi="ar-KW"/>
        </w:rPr>
        <w:t>. C’est l’exégèse qui l’a clarifié. Mais la traduction n’a pas à se substituer à l’exégèse. Ici, les traductions maintiennent dans l’implicite ce que le texte original ne l’explicite pas.</w:t>
      </w:r>
    </w:p>
    <w:p w14:paraId="67F60DD4"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Cependant, certains traducteurs ont rendu le terme défini au singulier </w:t>
      </w:r>
      <w:r w:rsidRPr="007C6A42">
        <w:rPr>
          <w:rFonts w:asciiTheme="majorBidi" w:eastAsia="Times New Roman" w:hAnsiTheme="majorBidi" w:cstheme="majorBidi"/>
          <w:i/>
          <w:iCs/>
          <w:shd w:val="clear" w:color="auto" w:fill="FFFFFF"/>
          <w:lang w:bidi="ar-KW"/>
        </w:rPr>
        <w:t>al-amr</w:t>
      </w:r>
      <w:r w:rsidRPr="007C6A42">
        <w:rPr>
          <w:rFonts w:asciiTheme="majorBidi" w:eastAsia="Times New Roman" w:hAnsiTheme="majorBidi" w:cstheme="majorBidi"/>
          <w:shd w:val="clear" w:color="auto" w:fill="FFFFFF"/>
          <w:lang w:bidi="ar-KW"/>
        </w:rPr>
        <w:t xml:space="preserve"> par un mot générique dont le champ sémantique est plus vaste. Du Ryer ne l’a pas traduit. Savary l’a traduit par « la religion » ; et Chouraqui par un mot au pluriel « les ordres ». D’autres ont traduit le mot littéralement. Blachère donne une traduction littérale en majuscule (« l’Ordre »). Masson, </w:t>
      </w:r>
      <w:r w:rsidRPr="007C6A42">
        <w:rPr>
          <w:rFonts w:asciiTheme="majorBidi" w:eastAsia="Times New Roman" w:hAnsiTheme="majorBidi" w:cstheme="majorBidi"/>
          <w:shd w:val="clear" w:color="auto" w:fill="FFFFFF"/>
          <w:lang w:bidi="ar-KW"/>
        </w:rPr>
        <w:lastRenderedPageBreak/>
        <w:t>Chiadmi, le Complexe de Médine et Abdelaziz l’ont traduit littéralement avec allongement (« l’ordre reçu).</w:t>
      </w:r>
    </w:p>
    <w:p w14:paraId="657D609F"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p>
    <w:p w14:paraId="15F08F1A" w14:textId="77777777" w:rsidR="00A70B78" w:rsidRPr="007C6A42" w:rsidRDefault="00A70B78" w:rsidP="00A70B78">
      <w:pPr>
        <w:spacing w:line="360" w:lineRule="auto"/>
        <w:contextualSpacing/>
        <w:jc w:val="both"/>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 xml:space="preserve">Traduction du mot </w:t>
      </w:r>
      <w:r w:rsidRPr="007C6A42">
        <w:rPr>
          <w:rFonts w:asciiTheme="majorBidi" w:eastAsia="Times New Roman" w:hAnsiTheme="majorBidi" w:cstheme="majorBidi"/>
          <w:b/>
          <w:bCs/>
          <w:i/>
          <w:iCs/>
          <w:shd w:val="clear" w:color="auto" w:fill="FFFFFF"/>
          <w:lang w:bidi="ar-KW"/>
        </w:rPr>
        <w:t>ḥaraj</w:t>
      </w:r>
      <w:r w:rsidRPr="007C6A42">
        <w:rPr>
          <w:rFonts w:asciiTheme="majorBidi" w:eastAsia="Times New Roman" w:hAnsiTheme="majorBidi" w:cstheme="majorBidi"/>
          <w:b/>
          <w:bCs/>
          <w:shd w:val="clear" w:color="auto" w:fill="FFFFFF"/>
          <w:lang w:bidi="ar-KW"/>
        </w:rPr>
        <w:t xml:space="preserve"> (v. 78) :</w:t>
      </w:r>
    </w:p>
    <w:tbl>
      <w:tblPr>
        <w:tblW w:w="4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2833"/>
      </w:tblGrid>
      <w:tr w:rsidR="00A70B78" w:rsidRPr="007C6A42" w14:paraId="6DA4B299" w14:textId="77777777" w:rsidTr="00AF4FC9">
        <w:trPr>
          <w:jc w:val="center"/>
        </w:trPr>
        <w:tc>
          <w:tcPr>
            <w:tcW w:w="4609" w:type="dxa"/>
            <w:gridSpan w:val="2"/>
            <w:tcBorders>
              <w:top w:val="nil"/>
              <w:left w:val="single" w:sz="4" w:space="0" w:color="auto"/>
              <w:bottom w:val="single" w:sz="4" w:space="0" w:color="auto"/>
              <w:right w:val="single" w:sz="4" w:space="0" w:color="auto"/>
            </w:tcBorders>
          </w:tcPr>
          <w:p w14:paraId="48AE9C08" w14:textId="77777777" w:rsidR="00A70B78" w:rsidRPr="007C6A42" w:rsidRDefault="00A70B78" w:rsidP="00AF4FC9">
            <w:pPr>
              <w:bidi/>
              <w:spacing w:line="360" w:lineRule="auto"/>
              <w:jc w:val="center"/>
              <w:rPr>
                <w:rFonts w:asciiTheme="majorBidi" w:eastAsia="Times New Roman" w:hAnsiTheme="majorBidi" w:cstheme="majorBidi"/>
                <w:lang w:bidi="ar-KW"/>
              </w:rPr>
            </w:pPr>
            <w:r w:rsidRPr="007C6A42">
              <w:rPr>
                <w:rFonts w:asciiTheme="majorBidi" w:eastAsia="Times New Roman" w:hAnsiTheme="majorBidi" w:cstheme="majorBidi"/>
                <w:shd w:val="clear" w:color="auto" w:fill="FFFFFF"/>
                <w:rtl/>
              </w:rPr>
              <w:t>حَرَج</w:t>
            </w:r>
          </w:p>
        </w:tc>
      </w:tr>
      <w:tr w:rsidR="00A70B78" w:rsidRPr="007C6A42" w14:paraId="55B55EB4"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626493A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2833" w:type="dxa"/>
            <w:tcBorders>
              <w:top w:val="single" w:sz="4" w:space="0" w:color="auto"/>
              <w:left w:val="single" w:sz="4" w:space="0" w:color="auto"/>
              <w:bottom w:val="single" w:sz="4" w:space="0" w:color="auto"/>
              <w:right w:val="single" w:sz="4" w:space="0" w:color="auto"/>
            </w:tcBorders>
          </w:tcPr>
          <w:p w14:paraId="4781B2C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vne loy peʃante &amp; faʃcheuʃe</w:t>
            </w:r>
          </w:p>
        </w:tc>
      </w:tr>
      <w:tr w:rsidR="00A70B78" w:rsidRPr="007C6A42" w14:paraId="7999B63B"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29FEFF6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2833" w:type="dxa"/>
            <w:tcBorders>
              <w:top w:val="single" w:sz="4" w:space="0" w:color="auto"/>
              <w:left w:val="single" w:sz="4" w:space="0" w:color="auto"/>
              <w:bottom w:val="single" w:sz="4" w:space="0" w:color="auto"/>
              <w:right w:val="single" w:sz="4" w:space="0" w:color="auto"/>
            </w:tcBorders>
          </w:tcPr>
          <w:p w14:paraId="3697D380"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difficile</w:t>
            </w:r>
          </w:p>
        </w:tc>
      </w:tr>
      <w:tr w:rsidR="00A70B78" w:rsidRPr="007C6A42" w14:paraId="0F5132B3"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18F0E26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2833" w:type="dxa"/>
            <w:tcBorders>
              <w:top w:val="single" w:sz="4" w:space="0" w:color="auto"/>
              <w:left w:val="single" w:sz="4" w:space="0" w:color="auto"/>
              <w:bottom w:val="single" w:sz="4" w:space="0" w:color="auto"/>
              <w:right w:val="single" w:sz="4" w:space="0" w:color="auto"/>
            </w:tcBorders>
          </w:tcPr>
          <w:p w14:paraId="6C298145"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de difficile</w:t>
            </w:r>
          </w:p>
        </w:tc>
      </w:tr>
      <w:tr w:rsidR="00A70B78" w:rsidRPr="007C6A42" w14:paraId="7BC26878"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3912AF9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2833" w:type="dxa"/>
            <w:tcBorders>
              <w:top w:val="single" w:sz="4" w:space="0" w:color="auto"/>
              <w:left w:val="single" w:sz="4" w:space="0" w:color="auto"/>
              <w:bottom w:val="single" w:sz="4" w:space="0" w:color="auto"/>
              <w:right w:val="single" w:sz="4" w:space="0" w:color="auto"/>
            </w:tcBorders>
          </w:tcPr>
          <w:p w14:paraId="1CE7981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nulle gêne</w:t>
            </w:r>
          </w:p>
        </w:tc>
      </w:tr>
      <w:tr w:rsidR="00A70B78" w:rsidRPr="007C6A42" w14:paraId="412AF5A1"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6C2EB3A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2833" w:type="dxa"/>
            <w:tcBorders>
              <w:top w:val="single" w:sz="4" w:space="0" w:color="auto"/>
              <w:left w:val="single" w:sz="4" w:space="0" w:color="auto"/>
              <w:bottom w:val="single" w:sz="4" w:space="0" w:color="auto"/>
              <w:right w:val="single" w:sz="4" w:space="0" w:color="auto"/>
            </w:tcBorders>
          </w:tcPr>
          <w:p w14:paraId="56B03696"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de difficile</w:t>
            </w:r>
          </w:p>
        </w:tc>
      </w:tr>
      <w:tr w:rsidR="00A70B78" w:rsidRPr="007C6A42" w14:paraId="7283282E"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281DF2D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2833" w:type="dxa"/>
            <w:tcBorders>
              <w:top w:val="single" w:sz="4" w:space="0" w:color="auto"/>
              <w:left w:val="single" w:sz="4" w:space="0" w:color="auto"/>
              <w:bottom w:val="single" w:sz="4" w:space="0" w:color="auto"/>
              <w:right w:val="single" w:sz="4" w:space="0" w:color="auto"/>
            </w:tcBorders>
          </w:tcPr>
          <w:p w14:paraId="1FFAC5CE"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de gêne</w:t>
            </w:r>
          </w:p>
        </w:tc>
      </w:tr>
      <w:tr w:rsidR="00A70B78" w:rsidRPr="007C6A42" w14:paraId="37A6A937"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2CA95D5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2833" w:type="dxa"/>
            <w:tcBorders>
              <w:top w:val="single" w:sz="4" w:space="0" w:color="auto"/>
              <w:left w:val="single" w:sz="4" w:space="0" w:color="auto"/>
              <w:bottom w:val="single" w:sz="4" w:space="0" w:color="auto"/>
              <w:right w:val="single" w:sz="4" w:space="0" w:color="auto"/>
            </w:tcBorders>
          </w:tcPr>
          <w:p w14:paraId="786E39A7"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aucune obligation pénible</w:t>
            </w:r>
          </w:p>
        </w:tc>
      </w:tr>
      <w:tr w:rsidR="00A70B78" w:rsidRPr="007C6A42" w14:paraId="2354F040"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0FB66C0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2833" w:type="dxa"/>
            <w:tcBorders>
              <w:top w:val="single" w:sz="4" w:space="0" w:color="auto"/>
              <w:left w:val="single" w:sz="4" w:space="0" w:color="auto"/>
              <w:bottom w:val="single" w:sz="4" w:space="0" w:color="auto"/>
              <w:right w:val="single" w:sz="4" w:space="0" w:color="auto"/>
            </w:tcBorders>
          </w:tcPr>
          <w:p w14:paraId="645B72E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aucune gêne</w:t>
            </w:r>
          </w:p>
        </w:tc>
      </w:tr>
      <w:tr w:rsidR="00A70B78" w:rsidRPr="007C6A42" w14:paraId="3C393060"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0C918E4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Gros. (1979)</w:t>
            </w:r>
          </w:p>
        </w:tc>
        <w:tc>
          <w:tcPr>
            <w:tcW w:w="2833" w:type="dxa"/>
            <w:tcBorders>
              <w:top w:val="single" w:sz="4" w:space="0" w:color="auto"/>
              <w:left w:val="single" w:sz="4" w:space="0" w:color="auto"/>
              <w:bottom w:val="single" w:sz="4" w:space="0" w:color="auto"/>
              <w:right w:val="single" w:sz="4" w:space="0" w:color="auto"/>
            </w:tcBorders>
          </w:tcPr>
          <w:p w14:paraId="470C417D"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de gêne </w:t>
            </w:r>
          </w:p>
        </w:tc>
      </w:tr>
      <w:tr w:rsidR="00A70B78" w:rsidRPr="007C6A42" w14:paraId="4AD961C8"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7901B62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2833" w:type="dxa"/>
            <w:tcBorders>
              <w:top w:val="single" w:sz="4" w:space="0" w:color="auto"/>
              <w:left w:val="single" w:sz="4" w:space="0" w:color="auto"/>
              <w:bottom w:val="single" w:sz="4" w:space="0" w:color="auto"/>
              <w:right w:val="single" w:sz="4" w:space="0" w:color="auto"/>
            </w:tcBorders>
          </w:tcPr>
          <w:p w14:paraId="51B5E9DB"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lang w:bidi="ar-AE"/>
              </w:rPr>
              <w:t>aucune gêne</w:t>
            </w:r>
          </w:p>
        </w:tc>
      </w:tr>
      <w:tr w:rsidR="00A70B78" w:rsidRPr="007C6A42" w14:paraId="1C762CA3"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10890CB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2833" w:type="dxa"/>
            <w:tcBorders>
              <w:top w:val="single" w:sz="4" w:space="0" w:color="auto"/>
              <w:left w:val="single" w:sz="4" w:space="0" w:color="auto"/>
              <w:bottom w:val="single" w:sz="4" w:space="0" w:color="auto"/>
              <w:right w:val="single" w:sz="4" w:space="0" w:color="auto"/>
            </w:tcBorders>
          </w:tcPr>
          <w:p w14:paraId="74B9F197"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rPr>
              <w:t>aucune entrave de créance</w:t>
            </w:r>
          </w:p>
        </w:tc>
      </w:tr>
      <w:tr w:rsidR="00A70B78" w:rsidRPr="007C6A42" w14:paraId="242AE631"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7C9B299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 (1999)</w:t>
            </w:r>
          </w:p>
        </w:tc>
        <w:tc>
          <w:tcPr>
            <w:tcW w:w="2833" w:type="dxa"/>
            <w:tcBorders>
              <w:top w:val="single" w:sz="4" w:space="0" w:color="auto"/>
              <w:left w:val="single" w:sz="4" w:space="0" w:color="auto"/>
              <w:bottom w:val="single" w:sz="4" w:space="0" w:color="auto"/>
              <w:right w:val="single" w:sz="4" w:space="0" w:color="auto"/>
            </w:tcBorders>
          </w:tcPr>
          <w:p w14:paraId="6796EDBA"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nulle difficulté</w:t>
            </w:r>
          </w:p>
        </w:tc>
      </w:tr>
      <w:tr w:rsidR="00A70B78" w:rsidRPr="007C6A42" w14:paraId="3EA3152F"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1CCDB5A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2833" w:type="dxa"/>
            <w:tcBorders>
              <w:top w:val="single" w:sz="4" w:space="0" w:color="auto"/>
              <w:left w:val="single" w:sz="4" w:space="0" w:color="auto"/>
              <w:bottom w:val="single" w:sz="4" w:space="0" w:color="auto"/>
              <w:right w:val="single" w:sz="4" w:space="0" w:color="auto"/>
            </w:tcBorders>
          </w:tcPr>
          <w:p w14:paraId="1ABF7974"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aucune gêne</w:t>
            </w:r>
          </w:p>
        </w:tc>
      </w:tr>
      <w:tr w:rsidR="00A70B78" w:rsidRPr="007C6A42" w14:paraId="68EA0D46"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11706ED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2833" w:type="dxa"/>
            <w:tcBorders>
              <w:top w:val="single" w:sz="4" w:space="0" w:color="auto"/>
              <w:left w:val="single" w:sz="4" w:space="0" w:color="auto"/>
              <w:bottom w:val="single" w:sz="4" w:space="0" w:color="auto"/>
              <w:right w:val="single" w:sz="4" w:space="0" w:color="auto"/>
            </w:tcBorders>
          </w:tcPr>
          <w:p w14:paraId="2158DB8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aucune gêne</w:t>
            </w:r>
          </w:p>
        </w:tc>
      </w:tr>
      <w:tr w:rsidR="00A70B78" w:rsidRPr="007C6A42" w14:paraId="78E34787"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760C2AB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Abdel. (2002)</w:t>
            </w:r>
          </w:p>
        </w:tc>
        <w:tc>
          <w:tcPr>
            <w:tcW w:w="2833" w:type="dxa"/>
            <w:tcBorders>
              <w:top w:val="single" w:sz="4" w:space="0" w:color="auto"/>
              <w:left w:val="single" w:sz="4" w:space="0" w:color="auto"/>
              <w:bottom w:val="single" w:sz="4" w:space="0" w:color="auto"/>
              <w:right w:val="single" w:sz="4" w:space="0" w:color="auto"/>
            </w:tcBorders>
          </w:tcPr>
          <w:p w14:paraId="4BCFAB1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nulle gêne</w:t>
            </w:r>
          </w:p>
        </w:tc>
      </w:tr>
      <w:tr w:rsidR="00A70B78" w:rsidRPr="007C6A42" w14:paraId="6EB402CC"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423BEC6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2833" w:type="dxa"/>
            <w:tcBorders>
              <w:top w:val="single" w:sz="4" w:space="0" w:color="auto"/>
              <w:left w:val="single" w:sz="4" w:space="0" w:color="auto"/>
              <w:bottom w:val="single" w:sz="4" w:space="0" w:color="auto"/>
              <w:right w:val="single" w:sz="4" w:space="0" w:color="auto"/>
            </w:tcBorders>
          </w:tcPr>
          <w:p w14:paraId="0FE8BD54"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lang w:eastAsia="fr-CH"/>
              </w:rPr>
              <w:t>aucune gêne</w:t>
            </w:r>
          </w:p>
        </w:tc>
      </w:tr>
      <w:tr w:rsidR="00A70B78" w:rsidRPr="007C6A42" w14:paraId="7CCA6536"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0ADC50A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Cheb. (2009)</w:t>
            </w:r>
          </w:p>
        </w:tc>
        <w:tc>
          <w:tcPr>
            <w:tcW w:w="2833" w:type="dxa"/>
            <w:tcBorders>
              <w:top w:val="single" w:sz="4" w:space="0" w:color="auto"/>
              <w:left w:val="single" w:sz="4" w:space="0" w:color="auto"/>
              <w:bottom w:val="single" w:sz="4" w:space="0" w:color="auto"/>
              <w:right w:val="single" w:sz="4" w:space="0" w:color="auto"/>
            </w:tcBorders>
          </w:tcPr>
          <w:p w14:paraId="410F234F" w14:textId="77777777" w:rsidR="00A70B78" w:rsidRPr="007C6A42" w:rsidRDefault="00A70B78" w:rsidP="00AF4FC9">
            <w:pPr>
              <w:spacing w:line="360" w:lineRule="auto"/>
              <w:jc w:val="both"/>
              <w:rPr>
                <w:rFonts w:asciiTheme="majorBidi" w:eastAsia="Times New Roman" w:hAnsiTheme="majorBidi" w:cstheme="majorBidi"/>
                <w:lang w:eastAsia="fr-CH"/>
              </w:rPr>
            </w:pPr>
            <w:r w:rsidRPr="007C6A42">
              <w:rPr>
                <w:rFonts w:asciiTheme="majorBidi" w:eastAsia="Calibri" w:hAnsiTheme="majorBidi" w:cstheme="majorBidi"/>
              </w:rPr>
              <w:t>ne vous a point contrariés</w:t>
            </w:r>
          </w:p>
        </w:tc>
      </w:tr>
      <w:tr w:rsidR="00A70B78" w:rsidRPr="007C6A42" w14:paraId="4F883AF4" w14:textId="77777777" w:rsidTr="00AF4FC9">
        <w:trPr>
          <w:jc w:val="center"/>
        </w:trPr>
        <w:tc>
          <w:tcPr>
            <w:tcW w:w="1776" w:type="dxa"/>
            <w:tcBorders>
              <w:top w:val="single" w:sz="4" w:space="0" w:color="auto"/>
              <w:left w:val="single" w:sz="4" w:space="0" w:color="auto"/>
              <w:bottom w:val="single" w:sz="4" w:space="0" w:color="auto"/>
              <w:right w:val="single" w:sz="4" w:space="0" w:color="auto"/>
            </w:tcBorders>
          </w:tcPr>
          <w:p w14:paraId="7B99CEC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 (2010)</w:t>
            </w:r>
          </w:p>
        </w:tc>
        <w:tc>
          <w:tcPr>
            <w:tcW w:w="2833" w:type="dxa"/>
            <w:tcBorders>
              <w:top w:val="single" w:sz="4" w:space="0" w:color="auto"/>
              <w:left w:val="single" w:sz="4" w:space="0" w:color="auto"/>
              <w:bottom w:val="single" w:sz="4" w:space="0" w:color="auto"/>
              <w:right w:val="single" w:sz="4" w:space="0" w:color="auto"/>
            </w:tcBorders>
          </w:tcPr>
          <w:p w14:paraId="569FE7B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aucune gêne</w:t>
            </w:r>
          </w:p>
        </w:tc>
      </w:tr>
    </w:tbl>
    <w:p w14:paraId="384A91AF"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1FC3C7C2" w14:textId="77777777" w:rsidR="00A70B78" w:rsidRPr="007C6A42" w:rsidRDefault="00A70B78" w:rsidP="00A70B78">
      <w:pPr>
        <w:spacing w:line="360" w:lineRule="auto"/>
        <w:ind w:firstLine="720"/>
        <w:contextualSpacing/>
        <w:jc w:val="both"/>
        <w:rPr>
          <w:rFonts w:asciiTheme="majorBidi" w:eastAsia="Calibri" w:hAnsiTheme="majorBidi" w:cstheme="majorBidi"/>
        </w:rPr>
      </w:pPr>
      <w:r w:rsidRPr="007C6A42">
        <w:rPr>
          <w:rFonts w:asciiTheme="majorBidi" w:eastAsia="Times New Roman" w:hAnsiTheme="majorBidi" w:cstheme="majorBidi"/>
          <w:shd w:val="clear" w:color="auto" w:fill="FFFFFF"/>
          <w:lang w:bidi="ar-KW"/>
        </w:rPr>
        <w:t xml:space="preserve">Si l’exégèse a précisé le type de </w:t>
      </w:r>
      <w:r w:rsidRPr="007C6A42">
        <w:rPr>
          <w:rFonts w:asciiTheme="majorBidi" w:eastAsia="Times New Roman" w:hAnsiTheme="majorBidi" w:cstheme="majorBidi"/>
          <w:i/>
          <w:iCs/>
          <w:shd w:val="clear" w:color="auto" w:fill="FFFFFF"/>
          <w:lang w:bidi="ar-KW"/>
        </w:rPr>
        <w:t>ḥaraj</w:t>
      </w:r>
      <w:r w:rsidRPr="007C6A42">
        <w:rPr>
          <w:rFonts w:asciiTheme="majorBidi" w:eastAsia="Times New Roman" w:hAnsiTheme="majorBidi" w:cstheme="majorBidi"/>
          <w:shd w:val="clear" w:color="auto" w:fill="FFFFFF"/>
          <w:lang w:bidi="ar-KW"/>
        </w:rPr>
        <w:t xml:space="preserve"> </w:t>
      </w:r>
      <w:r w:rsidRPr="007C6A42">
        <w:rPr>
          <w:rFonts w:asciiTheme="majorBidi" w:hAnsiTheme="majorBidi" w:cstheme="majorBidi"/>
        </w:rPr>
        <w:t xml:space="preserve">[une contrainte] </w:t>
      </w:r>
      <w:r w:rsidRPr="007C6A42">
        <w:rPr>
          <w:rFonts w:asciiTheme="majorBidi" w:eastAsia="Times New Roman" w:hAnsiTheme="majorBidi" w:cstheme="majorBidi"/>
          <w:shd w:val="clear" w:color="auto" w:fill="FFFFFF"/>
          <w:lang w:bidi="ar-KW"/>
        </w:rPr>
        <w:t>par : « </w:t>
      </w:r>
      <w:r w:rsidRPr="007C6A42">
        <w:rPr>
          <w:rFonts w:asciiTheme="majorBidi" w:eastAsia="Times New Roman" w:hAnsiTheme="majorBidi" w:cstheme="majorBidi"/>
          <w:lang w:bidi="ar-AE"/>
        </w:rPr>
        <w:t>monogamie », « prière du voyageur », « ramadan pour voyageur » ou « djihad pour ceux qui ne peuvent pas le faire », les traducteurs montrent le sens lexical du terme : « une loi pesante », « difficile », « nulle gêne », « gêne », « aucune gêne » « </w:t>
      </w:r>
      <w:r w:rsidRPr="007C6A42">
        <w:rPr>
          <w:rFonts w:asciiTheme="majorBidi" w:eastAsia="Times New Roman" w:hAnsiTheme="majorBidi" w:cstheme="majorBidi"/>
        </w:rPr>
        <w:t>aucune entrave de créance », « nulle difficulté », « </w:t>
      </w:r>
      <w:r w:rsidRPr="007C6A42">
        <w:rPr>
          <w:rFonts w:asciiTheme="majorBidi" w:eastAsia="Calibri" w:hAnsiTheme="majorBidi" w:cstheme="majorBidi"/>
        </w:rPr>
        <w:t>aucune obligation pénible », « ne vous a point contrariés ».</w:t>
      </w:r>
    </w:p>
    <w:p w14:paraId="34D32782" w14:textId="77777777" w:rsidR="00A70B78" w:rsidRPr="007C6A42" w:rsidRDefault="00A70B78" w:rsidP="00A70B78">
      <w:pPr>
        <w:spacing w:line="360" w:lineRule="auto"/>
        <w:ind w:firstLine="720"/>
        <w:contextualSpacing/>
        <w:jc w:val="both"/>
        <w:rPr>
          <w:rFonts w:asciiTheme="majorBidi" w:eastAsia="Calibri" w:hAnsiTheme="majorBidi" w:cstheme="majorBidi"/>
        </w:rPr>
      </w:pPr>
    </w:p>
    <w:p w14:paraId="239F6B63" w14:textId="77777777" w:rsidR="00A70B78" w:rsidRPr="00FD384B" w:rsidRDefault="00A70B78" w:rsidP="00A70B78">
      <w:pPr>
        <w:spacing w:line="336" w:lineRule="auto"/>
        <w:ind w:firstLine="708"/>
        <w:jc w:val="both"/>
        <w:rPr>
          <w:rFonts w:asciiTheme="majorBidi" w:eastAsia="Times New Roman" w:hAnsiTheme="majorBidi" w:cstheme="majorBidi"/>
          <w:lang w:bidi="ar-AE"/>
        </w:rPr>
      </w:pPr>
      <w:r w:rsidRPr="007C6A42">
        <w:rPr>
          <w:rFonts w:asciiTheme="majorBidi" w:eastAsia="Times New Roman" w:hAnsiTheme="majorBidi" w:cstheme="majorBidi"/>
          <w:lang w:bidi="ar-AE"/>
        </w:rPr>
        <w:lastRenderedPageBreak/>
        <w:t xml:space="preserve">Pour traduire le concept de </w:t>
      </w:r>
      <w:r w:rsidRPr="007C6A42">
        <w:rPr>
          <w:rFonts w:asciiTheme="majorBidi" w:eastAsia="Times New Roman" w:hAnsiTheme="majorBidi" w:cstheme="majorBidi"/>
          <w:i/>
          <w:iCs/>
          <w:lang w:bidi="ar-AE"/>
        </w:rPr>
        <w:t>ḥaraj</w:t>
      </w:r>
      <w:r w:rsidRPr="007C6A42">
        <w:rPr>
          <w:rFonts w:asciiTheme="majorBidi" w:eastAsia="Times New Roman" w:hAnsiTheme="majorBidi" w:cstheme="majorBidi"/>
          <w:lang w:bidi="ar-AE"/>
        </w:rPr>
        <w:t xml:space="preserve">, les traducteurs qui ont opté pour « gêne » restent proches du champ sémantique du terme arabe, même si le contexte d’emploi du terme « gêne » est d’ordinaire tout à fait autre ; utiliser ce mot quand on parle de la liberté ou non de vivre sa propre religion peut produire un effet d’étrangeté aux yeux du lecteur contemporain ; en effet, dans l’acception de 1580 fournie par le dictionnaire </w:t>
      </w:r>
      <w:r w:rsidRPr="007C6A42">
        <w:rPr>
          <w:rFonts w:asciiTheme="majorBidi" w:eastAsia="Times New Roman" w:hAnsiTheme="majorBidi" w:cstheme="majorBidi"/>
          <w:i/>
          <w:lang w:bidi="ar-AE"/>
        </w:rPr>
        <w:t>Le Robert</w:t>
      </w:r>
      <w:r w:rsidRPr="007C6A42">
        <w:rPr>
          <w:rFonts w:asciiTheme="majorBidi" w:eastAsia="Times New Roman" w:hAnsiTheme="majorBidi" w:cstheme="majorBidi"/>
          <w:lang w:bidi="ar-AE"/>
        </w:rPr>
        <w:t xml:space="preserve"> et qui correspond à celle d’aujourd’hui, on entend par « </w:t>
      </w:r>
      <w:r w:rsidRPr="00FD384B">
        <w:rPr>
          <w:rFonts w:asciiTheme="majorBidi" w:eastAsia="Times New Roman" w:hAnsiTheme="majorBidi" w:cstheme="majorBidi"/>
          <w:lang w:bidi="ar-AE"/>
        </w:rPr>
        <w:t xml:space="preserve">gêne » </w:t>
      </w:r>
      <w:r w:rsidRPr="00FD384B">
        <w:rPr>
          <w:rStyle w:val="sdfn1"/>
          <w:rFonts w:asciiTheme="majorBidi" w:hAnsiTheme="majorBidi" w:cstheme="majorBidi"/>
          <w:color w:val="auto"/>
        </w:rPr>
        <w:t>un « malaise ou un trouble physique que l’on éprouve dans l’accomplissement de certaines fonctions ou de certains actes » et, dans son acception fixée en 1762 par ce</w:t>
      </w:r>
      <w:r w:rsidRPr="00FD384B">
        <w:rPr>
          <w:rFonts w:asciiTheme="majorBidi" w:eastAsia="Times New Roman" w:hAnsiTheme="majorBidi" w:cstheme="majorBidi"/>
          <w:lang w:bidi="ar-AE"/>
        </w:rPr>
        <w:t xml:space="preserve"> même dictionnaire,</w:t>
      </w:r>
      <w:r w:rsidRPr="00FD384B">
        <w:rPr>
          <w:rStyle w:val="sdfn1"/>
          <w:rFonts w:asciiTheme="majorBidi" w:hAnsiTheme="majorBidi" w:cstheme="majorBidi"/>
          <w:color w:val="auto"/>
        </w:rPr>
        <w:t xml:space="preserve"> </w:t>
      </w:r>
      <w:r w:rsidRPr="00FD384B">
        <w:rPr>
          <w:rFonts w:asciiTheme="majorBidi" w:eastAsia="Times New Roman" w:hAnsiTheme="majorBidi" w:cstheme="majorBidi"/>
          <w:lang w:bidi="ar-AE"/>
        </w:rPr>
        <w:t xml:space="preserve"> une situation embarrassante imposant une contrainte, un désagrément ; d’ailleurs, le terme « contrainte » ou même « limite », « frein », ou encore « interdiction » correspondraient mieux ; du reste, le syntagme « entrave de créance » comme l’a traduit Chouraqui, nous semble parfaitement adapté au contexte.</w:t>
      </w:r>
    </w:p>
    <w:p w14:paraId="35E7818B" w14:textId="77777777" w:rsidR="00A70B78" w:rsidRPr="007C6A42" w:rsidRDefault="00A70B78" w:rsidP="00A70B78">
      <w:pPr>
        <w:spacing w:line="336" w:lineRule="auto"/>
        <w:ind w:firstLine="708"/>
        <w:jc w:val="both"/>
        <w:rPr>
          <w:rFonts w:asciiTheme="majorBidi" w:eastAsia="Times New Roman" w:hAnsiTheme="majorBidi" w:cstheme="majorBidi"/>
          <w:lang w:bidi="ar-AE"/>
        </w:rPr>
      </w:pPr>
    </w:p>
    <w:p w14:paraId="0D617D67" w14:textId="77777777" w:rsidR="00A70B78" w:rsidRPr="007C6A42" w:rsidRDefault="00A70B78" w:rsidP="00A70B78">
      <w:pPr>
        <w:spacing w:line="336" w:lineRule="auto"/>
        <w:ind w:firstLine="708"/>
        <w:jc w:val="both"/>
        <w:rPr>
          <w:rStyle w:val="sdfn1"/>
          <w:rFonts w:asciiTheme="majorBidi" w:hAnsiTheme="majorBidi" w:cstheme="majorBidi"/>
        </w:rPr>
      </w:pPr>
      <w:r w:rsidRPr="007C6A42">
        <w:rPr>
          <w:rFonts w:asciiTheme="majorBidi" w:eastAsia="Times New Roman" w:hAnsiTheme="majorBidi" w:cstheme="majorBidi"/>
          <w:lang w:bidi="ar-AE"/>
        </w:rPr>
        <w:t>Cependant, l’effet d’étrangeté s’estompe si on émet l’hypothèse que le terme « gêne » renvoie, par croisement avec ce dernier, à « géhenne », non pas naturellement dans son sens « Séjour des réprouvés dans la Bible » - renvoyant à son tour au terme « enfer » représentant, dans la religion chrétienne, le lieu destiné au supplice des damnés - mais dans son sens qui équivaut à la « douleur », voire au « supplice », à la « torture ».</w:t>
      </w:r>
    </w:p>
    <w:p w14:paraId="70148BF7" w14:textId="77777777" w:rsidR="00A70B78" w:rsidRPr="007C6A42" w:rsidRDefault="00A70B78" w:rsidP="00A70B78">
      <w:pPr>
        <w:spacing w:line="336" w:lineRule="auto"/>
        <w:ind w:firstLine="708"/>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Quoi qu’il en soit, si on peut rapprocher le terme « gêne » de celui de « géhenne », on ne peut pas en faire autant quand on traduit le concept de </w:t>
      </w:r>
      <w:r w:rsidRPr="007C6A42">
        <w:rPr>
          <w:rFonts w:asciiTheme="majorBidi" w:eastAsia="Times New Roman" w:hAnsiTheme="majorBidi" w:cstheme="majorBidi"/>
          <w:i/>
          <w:iCs/>
          <w:lang w:bidi="ar-AE"/>
        </w:rPr>
        <w:t xml:space="preserve">ḥaraj </w:t>
      </w:r>
      <w:r w:rsidRPr="007C6A42">
        <w:rPr>
          <w:rFonts w:asciiTheme="majorBidi" w:eastAsia="Times New Roman" w:hAnsiTheme="majorBidi" w:cstheme="majorBidi"/>
          <w:lang w:bidi="ar-AE"/>
        </w:rPr>
        <w:t xml:space="preserve">par des termes comme « difficile » ou « difficulté » (Savary, Kazimirski, Ghédira et Guessous) ; dans ce cas, il semble qu’on s’éloigne encore plus de ce que désigne le </w:t>
      </w:r>
      <w:r w:rsidRPr="007C6A42">
        <w:rPr>
          <w:rFonts w:asciiTheme="majorBidi" w:eastAsia="Times New Roman" w:hAnsiTheme="majorBidi" w:cstheme="majorBidi"/>
          <w:i/>
          <w:iCs/>
          <w:lang w:bidi="ar-AE"/>
        </w:rPr>
        <w:t>ḥaraj</w:t>
      </w:r>
      <w:r w:rsidRPr="007C6A42">
        <w:rPr>
          <w:rFonts w:asciiTheme="majorBidi" w:eastAsia="Times New Roman" w:hAnsiTheme="majorBidi" w:cstheme="majorBidi"/>
          <w:lang w:bidi="ar-AE"/>
        </w:rPr>
        <w:t xml:space="preserve"> en tant que « contrainte » quand il s’agit de l’appliquer à la liberté ou non d’exercer sa propre religion ; de toute façon, le concept de « difficulté » n’est pas sur le même plan que celui de « contraint » ; en effet, entre les deux termes, on peut établir un rapport de cause-conséquence et, de surcroît, à sens unique : la contrainte peut entraîner  la difficulté et non l’inverse.</w:t>
      </w:r>
    </w:p>
    <w:p w14:paraId="5F4A81BB" w14:textId="77777777" w:rsidR="00A70B78" w:rsidRPr="007C6A42" w:rsidRDefault="00A70B78" w:rsidP="00A70B78">
      <w:pPr>
        <w:spacing w:line="336" w:lineRule="auto"/>
        <w:ind w:firstLine="708"/>
        <w:jc w:val="both"/>
        <w:rPr>
          <w:rFonts w:asciiTheme="majorBidi" w:eastAsia="Times New Roman" w:hAnsiTheme="majorBidi" w:cstheme="majorBidi"/>
          <w:lang w:bidi="ar-AE"/>
        </w:rPr>
      </w:pPr>
    </w:p>
    <w:p w14:paraId="485FDEA4"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Le concept </w:t>
      </w:r>
      <w:r w:rsidRPr="007C6A42">
        <w:rPr>
          <w:rFonts w:asciiTheme="majorBidi" w:eastAsia="Times New Roman" w:hAnsiTheme="majorBidi" w:cstheme="majorBidi"/>
          <w:i/>
          <w:iCs/>
          <w:shd w:val="clear" w:color="auto" w:fill="FFFFFF"/>
          <w:lang w:bidi="ar-KW"/>
        </w:rPr>
        <w:t>ḥaraj</w:t>
      </w:r>
      <w:r w:rsidRPr="007C6A42">
        <w:rPr>
          <w:rFonts w:asciiTheme="majorBidi" w:eastAsia="Times New Roman" w:hAnsiTheme="majorBidi" w:cstheme="majorBidi"/>
          <w:shd w:val="clear" w:color="auto" w:fill="FFFFFF"/>
          <w:lang w:bidi="ar-KW"/>
        </w:rPr>
        <w:t xml:space="preserve"> est donc rendu essentiellement par deux concepts différents : « difficile/difficulté » et « gêne ». Ces deux concepts ont été proposés pour la première fois par des orientalistes. Le terme « gêne » a été choisi pour la première fois par Blachère, puis repris par Hamidullah, Masson, Grosjean, Berque et Chiadmi, avant d’être approuvé par le Complexe de Médine, puis repris par Abdelaziz et Aldeeb. Le second concept (« difficile ») a été choisi pour la première fois par Savary, puis repris par Kazimirski, Ghédira et Guessous. En d’autres termes, Blachère et Savary ont eu une grande influence sur les traductions ultérieures. Dans ce </w:t>
      </w:r>
      <w:r w:rsidRPr="007C6A42">
        <w:rPr>
          <w:rFonts w:asciiTheme="majorBidi" w:eastAsia="Times New Roman" w:hAnsiTheme="majorBidi" w:cstheme="majorBidi"/>
          <w:shd w:val="clear" w:color="auto" w:fill="FFFFFF"/>
          <w:lang w:bidi="ar-KW"/>
        </w:rPr>
        <w:lastRenderedPageBreak/>
        <w:t xml:space="preserve">sens, les traducteurs musulmans, et surtout littéralistes comme Abdelaziz, ont utilisé, d’un côté, un terme non adapté proposé par des orientalistes, et de l’autre, ils ont reproché à ces orientalistes d’être </w:t>
      </w:r>
      <w:r w:rsidRPr="007C6A42">
        <w:rPr>
          <w:rFonts w:asciiTheme="majorBidi" w:eastAsia="Times New Roman" w:hAnsiTheme="majorBidi" w:cstheme="majorBidi"/>
        </w:rPr>
        <w:t>malveillants. Seuls Du Ryer, Ben Mahmoud, Chouraqui et Chebel ont proposé des traductions plus appropriées.</w:t>
      </w:r>
    </w:p>
    <w:p w14:paraId="20ED0F26" w14:textId="77777777" w:rsidR="00A70B78" w:rsidRPr="007C6A42" w:rsidRDefault="00A70B78" w:rsidP="00A70B78">
      <w:pPr>
        <w:spacing w:line="360" w:lineRule="auto"/>
        <w:ind w:firstLine="720"/>
        <w:contextualSpacing/>
        <w:jc w:val="both"/>
        <w:rPr>
          <w:rFonts w:asciiTheme="majorBidi" w:eastAsia="Times New Roman" w:hAnsiTheme="majorBidi" w:cstheme="majorBidi"/>
          <w:shd w:val="clear" w:color="auto" w:fill="FFFFFF"/>
          <w:lang w:bidi="ar-KW"/>
        </w:rPr>
      </w:pPr>
    </w:p>
    <w:p w14:paraId="416AE8EA" w14:textId="77777777" w:rsidR="00A70B78" w:rsidRPr="007C6A42" w:rsidRDefault="00A70B78" w:rsidP="00A70B78">
      <w:pPr>
        <w:spacing w:line="360" w:lineRule="auto"/>
        <w:ind w:firstLine="720"/>
        <w:contextualSpacing/>
        <w:jc w:val="both"/>
        <w:rPr>
          <w:rFonts w:asciiTheme="majorBidi" w:eastAsia="Times New Roman" w:hAnsiTheme="majorBidi" w:cstheme="majorBidi"/>
          <w:shd w:val="clear" w:color="auto" w:fill="FFFFFF"/>
          <w:lang w:bidi="ar-KW"/>
        </w:rPr>
      </w:pPr>
      <w:r w:rsidRPr="007C6A42">
        <w:rPr>
          <w:rFonts w:asciiTheme="majorBidi" w:eastAsia="Calibri" w:hAnsiTheme="majorBidi" w:cstheme="majorBidi"/>
        </w:rPr>
        <w:t xml:space="preserve">Les traductions qui tendent à être plus littérales ne reflètent pas ici les interprétations des exégètes. Ainsi, elles gardent l’ambiguïté du texte de départ. On ne sait pas de quel </w:t>
      </w:r>
      <w:r w:rsidRPr="007C6A42">
        <w:rPr>
          <w:rFonts w:asciiTheme="majorBidi" w:eastAsia="Times New Roman" w:hAnsiTheme="majorBidi" w:cstheme="majorBidi"/>
          <w:i/>
          <w:iCs/>
          <w:shd w:val="clear" w:color="auto" w:fill="FFFFFF"/>
          <w:lang w:bidi="ar-KW"/>
        </w:rPr>
        <w:t>ḥaraj</w:t>
      </w:r>
      <w:r w:rsidRPr="007C6A42">
        <w:rPr>
          <w:rFonts w:asciiTheme="majorBidi" w:eastAsia="Calibri" w:hAnsiTheme="majorBidi" w:cstheme="majorBidi"/>
        </w:rPr>
        <w:t xml:space="preserve"> il s’agit dans le verset arabe. C’est l’exégèse qui nous le dit. De même, on ne sait pas de quel « gêne », « difficulté », obligation pénible » il s’agit dans les traductions. Nous pouvons dire que l’ensemble des traductions montre bien les différentes significations du terme arabe. Cependant, Chebel a modifié la valeur sémantique et polysémique en traduisant ce substantif </w:t>
      </w:r>
      <w:r w:rsidRPr="007C6A42">
        <w:rPr>
          <w:rFonts w:asciiTheme="majorBidi" w:eastAsia="Times New Roman" w:hAnsiTheme="majorBidi" w:cstheme="majorBidi"/>
          <w:i/>
          <w:iCs/>
          <w:shd w:val="clear" w:color="auto" w:fill="FFFFFF"/>
          <w:lang w:bidi="ar-KW"/>
        </w:rPr>
        <w:t>ḥaraj</w:t>
      </w:r>
      <w:r w:rsidRPr="007C6A42">
        <w:rPr>
          <w:rFonts w:asciiTheme="majorBidi" w:eastAsia="Calibri" w:hAnsiTheme="majorBidi" w:cstheme="majorBidi"/>
        </w:rPr>
        <w:t xml:space="preserve"> par une phrase « [il] ne vous a point contrariés ».</w:t>
      </w:r>
      <w:r w:rsidRPr="007C6A42">
        <w:rPr>
          <w:rFonts w:asciiTheme="majorBidi" w:hAnsiTheme="majorBidi" w:cstheme="majorBidi"/>
        </w:rPr>
        <w:t xml:space="preserve"> Il fait passer l’original de l’abstrait (substantif générique) au concret (verbe), une sorte de clarification et de rationalisation.</w:t>
      </w:r>
    </w:p>
    <w:p w14:paraId="3D76371E"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7B2D5921"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b/>
          <w:bCs/>
          <w:shd w:val="clear" w:color="auto" w:fill="FFFFFF"/>
          <w:lang w:bidi="ar-KW"/>
        </w:rPr>
        <w:t xml:space="preserve">Traduction de </w:t>
      </w:r>
      <w:r w:rsidRPr="007C6A42">
        <w:rPr>
          <w:rFonts w:asciiTheme="majorBidi" w:eastAsia="Times New Roman" w:hAnsiTheme="majorBidi" w:cstheme="majorBidi"/>
          <w:b/>
          <w:bCs/>
          <w:i/>
          <w:iCs/>
          <w:shd w:val="clear" w:color="auto" w:fill="FFFFFF"/>
          <w:lang w:bidi="ar-KW"/>
        </w:rPr>
        <w:t>al-muslimīna</w:t>
      </w:r>
      <w:r w:rsidRPr="007C6A42">
        <w:rPr>
          <w:rFonts w:asciiTheme="majorBidi" w:eastAsia="Times New Roman" w:hAnsiTheme="majorBidi" w:cstheme="majorBidi"/>
          <w:b/>
          <w:bCs/>
          <w:shd w:val="clear" w:color="auto" w:fill="FFFFFF"/>
          <w:lang w:bidi="ar-KW"/>
        </w:rPr>
        <w:t xml:space="preserve"> (v. 78) :</w:t>
      </w:r>
    </w:p>
    <w:tbl>
      <w:tblPr>
        <w:tblW w:w="6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526"/>
      </w:tblGrid>
      <w:tr w:rsidR="00A70B78" w:rsidRPr="007C6A42" w14:paraId="320E9D8C" w14:textId="77777777" w:rsidTr="00AF4FC9">
        <w:trPr>
          <w:jc w:val="center"/>
        </w:trPr>
        <w:tc>
          <w:tcPr>
            <w:tcW w:w="6661" w:type="dxa"/>
            <w:gridSpan w:val="2"/>
            <w:tcBorders>
              <w:top w:val="nil"/>
              <w:left w:val="single" w:sz="4" w:space="0" w:color="auto"/>
              <w:bottom w:val="single" w:sz="4" w:space="0" w:color="auto"/>
              <w:right w:val="single" w:sz="4" w:space="0" w:color="auto"/>
            </w:tcBorders>
          </w:tcPr>
          <w:p w14:paraId="15C14206" w14:textId="77777777" w:rsidR="00A70B78" w:rsidRPr="007C6A42" w:rsidRDefault="00A70B78" w:rsidP="00AF4FC9">
            <w:pPr>
              <w:bidi/>
              <w:spacing w:line="360" w:lineRule="auto"/>
              <w:jc w:val="center"/>
              <w:rPr>
                <w:rFonts w:asciiTheme="majorBidi" w:eastAsia="Times New Roman" w:hAnsiTheme="majorBidi" w:cstheme="majorBidi"/>
                <w:lang w:bidi="ar-KW"/>
              </w:rPr>
            </w:pPr>
            <w:r w:rsidRPr="007C6A42">
              <w:rPr>
                <w:rFonts w:asciiTheme="majorBidi" w:eastAsia="Times New Roman" w:hAnsiTheme="majorBidi" w:cstheme="majorBidi"/>
                <w:shd w:val="clear" w:color="auto" w:fill="FFFFFF"/>
                <w:rtl/>
              </w:rPr>
              <w:t>"هو سمَّاكم المسلمين</w:t>
            </w:r>
            <w:r w:rsidRPr="007C6A42">
              <w:rPr>
                <w:rFonts w:asciiTheme="majorBidi" w:eastAsia="Times New Roman" w:hAnsiTheme="majorBidi" w:cstheme="majorBidi"/>
                <w:rtl/>
                <w:lang w:bidi="ar-KW"/>
              </w:rPr>
              <w:t xml:space="preserve">" </w:t>
            </w:r>
            <w:r w:rsidRPr="007C6A42">
              <w:rPr>
                <w:rFonts w:asciiTheme="majorBidi" w:eastAsia="Times New Roman" w:hAnsiTheme="majorBidi" w:cstheme="majorBidi"/>
                <w:rtl/>
              </w:rPr>
              <w:t>(الحج، 78)</w:t>
            </w:r>
          </w:p>
        </w:tc>
      </w:tr>
      <w:tr w:rsidR="00A70B78" w:rsidRPr="007C6A42" w14:paraId="7AA2B8B8"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75BED4A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5526" w:type="dxa"/>
            <w:tcBorders>
              <w:top w:val="single" w:sz="4" w:space="0" w:color="auto"/>
              <w:left w:val="single" w:sz="4" w:space="0" w:color="auto"/>
              <w:bottom w:val="single" w:sz="4" w:space="0" w:color="auto"/>
              <w:right w:val="single" w:sz="4" w:space="0" w:color="auto"/>
            </w:tcBorders>
          </w:tcPr>
          <w:p w14:paraId="34F01D5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 vous a nommé les reʃignez en Dieu</w:t>
            </w:r>
          </w:p>
        </w:tc>
      </w:tr>
      <w:tr w:rsidR="00A70B78" w:rsidRPr="007C6A42" w14:paraId="777F583D"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4F955F6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5526" w:type="dxa"/>
            <w:tcBorders>
              <w:top w:val="single" w:sz="4" w:space="0" w:color="auto"/>
              <w:left w:val="single" w:sz="4" w:space="0" w:color="auto"/>
              <w:bottom w:val="single" w:sz="4" w:space="0" w:color="auto"/>
              <w:right w:val="single" w:sz="4" w:space="0" w:color="auto"/>
            </w:tcBorders>
          </w:tcPr>
          <w:p w14:paraId="307AF114"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C’est lui qui vous nomma </w:t>
            </w:r>
            <w:r w:rsidRPr="007C6A42">
              <w:rPr>
                <w:rFonts w:asciiTheme="majorBidi" w:eastAsia="Times New Roman" w:hAnsiTheme="majorBidi" w:cstheme="majorBidi"/>
                <w:i/>
                <w:iCs/>
              </w:rPr>
              <w:t>musulmans</w:t>
            </w:r>
          </w:p>
        </w:tc>
      </w:tr>
      <w:tr w:rsidR="00A70B78" w:rsidRPr="007C6A42" w14:paraId="3D8D3C90"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6B69236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5526" w:type="dxa"/>
            <w:tcBorders>
              <w:top w:val="single" w:sz="4" w:space="0" w:color="auto"/>
              <w:left w:val="single" w:sz="4" w:space="0" w:color="auto"/>
              <w:bottom w:val="single" w:sz="4" w:space="0" w:color="auto"/>
              <w:right w:val="single" w:sz="4" w:space="0" w:color="auto"/>
            </w:tcBorders>
          </w:tcPr>
          <w:p w14:paraId="3B802160"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il vous a nommés musulmans (</w:t>
            </w:r>
            <w:r w:rsidRPr="007C6A42">
              <w:rPr>
                <w:rFonts w:asciiTheme="majorBidi" w:eastAsia="Times New Roman" w:hAnsiTheme="majorBidi" w:cstheme="majorBidi"/>
                <w:i/>
                <w:iCs/>
              </w:rPr>
              <w:t>qui s’abandonnent à Dieu</w:t>
            </w:r>
            <w:r w:rsidRPr="007C6A42">
              <w:rPr>
                <w:rFonts w:asciiTheme="majorBidi" w:eastAsia="Times New Roman" w:hAnsiTheme="majorBidi" w:cstheme="majorBidi"/>
              </w:rPr>
              <w:t>)</w:t>
            </w:r>
          </w:p>
        </w:tc>
      </w:tr>
      <w:tr w:rsidR="00A70B78" w:rsidRPr="007C6A42" w14:paraId="022F3BF5"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6E592E3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5526" w:type="dxa"/>
            <w:tcBorders>
              <w:top w:val="single" w:sz="4" w:space="0" w:color="auto"/>
              <w:left w:val="single" w:sz="4" w:space="0" w:color="auto"/>
              <w:bottom w:val="single" w:sz="4" w:space="0" w:color="auto"/>
              <w:right w:val="single" w:sz="4" w:space="0" w:color="auto"/>
            </w:tcBorders>
          </w:tcPr>
          <w:p w14:paraId="6E4FB0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nommés les Soumis</w:t>
            </w:r>
          </w:p>
        </w:tc>
      </w:tr>
      <w:tr w:rsidR="00A70B78" w:rsidRPr="007C6A42" w14:paraId="743CB214"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691BE61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5526" w:type="dxa"/>
            <w:tcBorders>
              <w:top w:val="single" w:sz="4" w:space="0" w:color="auto"/>
              <w:left w:val="single" w:sz="4" w:space="0" w:color="auto"/>
              <w:bottom w:val="single" w:sz="4" w:space="0" w:color="auto"/>
              <w:right w:val="single" w:sz="4" w:space="0" w:color="auto"/>
            </w:tcBorders>
          </w:tcPr>
          <w:p w14:paraId="6E55FFA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lequel vous a nommés « Soumis »</w:t>
            </w:r>
          </w:p>
        </w:tc>
      </w:tr>
      <w:tr w:rsidR="00A70B78" w:rsidRPr="007C6A42" w14:paraId="24179648"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5788AD5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5526" w:type="dxa"/>
            <w:tcBorders>
              <w:top w:val="single" w:sz="4" w:space="0" w:color="auto"/>
              <w:left w:val="single" w:sz="4" w:space="0" w:color="auto"/>
              <w:bottom w:val="single" w:sz="4" w:space="0" w:color="auto"/>
              <w:right w:val="single" w:sz="4" w:space="0" w:color="auto"/>
            </w:tcBorders>
          </w:tcPr>
          <w:p w14:paraId="316FAB9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C’est lui qui vous a donné le nom de « Musulmans »</w:t>
            </w:r>
          </w:p>
        </w:tc>
      </w:tr>
      <w:tr w:rsidR="00A70B78" w:rsidRPr="007C6A42" w14:paraId="264B679B"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37ECFF6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5526" w:type="dxa"/>
            <w:tcBorders>
              <w:top w:val="single" w:sz="4" w:space="0" w:color="auto"/>
              <w:left w:val="single" w:sz="4" w:space="0" w:color="auto"/>
              <w:bottom w:val="single" w:sz="4" w:space="0" w:color="auto"/>
              <w:right w:val="single" w:sz="4" w:space="0" w:color="auto"/>
            </w:tcBorders>
          </w:tcPr>
          <w:p w14:paraId="1A0E010F"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rPr>
              <w:t>Lui, jadis, vous a appelés les Pacifiés, al-muslimûn</w:t>
            </w:r>
          </w:p>
        </w:tc>
      </w:tr>
      <w:tr w:rsidR="00A70B78" w:rsidRPr="007C6A42" w14:paraId="7AA0F34D"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35D25FE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5526" w:type="dxa"/>
            <w:tcBorders>
              <w:top w:val="single" w:sz="4" w:space="0" w:color="auto"/>
              <w:left w:val="single" w:sz="4" w:space="0" w:color="auto"/>
              <w:bottom w:val="single" w:sz="4" w:space="0" w:color="auto"/>
              <w:right w:val="single" w:sz="4" w:space="0" w:color="auto"/>
            </w:tcBorders>
          </w:tcPr>
          <w:p w14:paraId="62B5FC67"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nommés Musulmans</w:t>
            </w:r>
          </w:p>
        </w:tc>
      </w:tr>
      <w:tr w:rsidR="00A70B78" w:rsidRPr="007C6A42" w14:paraId="69DF7711"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0BA2C2C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5526" w:type="dxa"/>
            <w:tcBorders>
              <w:top w:val="single" w:sz="4" w:space="0" w:color="auto"/>
              <w:left w:val="single" w:sz="4" w:space="0" w:color="auto"/>
              <w:bottom w:val="single" w:sz="4" w:space="0" w:color="auto"/>
              <w:right w:val="single" w:sz="4" w:space="0" w:color="auto"/>
            </w:tcBorders>
          </w:tcPr>
          <w:p w14:paraId="7E1795E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lequel vous a déjà nommés “Musulmans”</w:t>
            </w:r>
          </w:p>
        </w:tc>
      </w:tr>
      <w:tr w:rsidR="00A70B78" w:rsidRPr="007C6A42" w14:paraId="64C624C7"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3CE7BC9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5526" w:type="dxa"/>
            <w:tcBorders>
              <w:top w:val="single" w:sz="4" w:space="0" w:color="auto"/>
              <w:left w:val="single" w:sz="4" w:space="0" w:color="auto"/>
              <w:bottom w:val="single" w:sz="4" w:space="0" w:color="auto"/>
              <w:right w:val="single" w:sz="4" w:space="0" w:color="auto"/>
            </w:tcBorders>
          </w:tcPr>
          <w:p w14:paraId="213AB88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Calibri" w:hAnsiTheme="majorBidi" w:cstheme="majorBidi"/>
                <w:lang w:bidi="ar-AE"/>
              </w:rPr>
              <w:t>C’est lui qui jadis vous a nommés Ceux-qui-se-soumettent</w:t>
            </w:r>
          </w:p>
        </w:tc>
      </w:tr>
      <w:tr w:rsidR="00A70B78" w:rsidRPr="007C6A42" w14:paraId="61C32347"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207DCB4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5526" w:type="dxa"/>
            <w:tcBorders>
              <w:top w:val="single" w:sz="4" w:space="0" w:color="auto"/>
              <w:left w:val="single" w:sz="4" w:space="0" w:color="auto"/>
              <w:bottom w:val="single" w:sz="4" w:space="0" w:color="auto"/>
              <w:right w:val="single" w:sz="4" w:space="0" w:color="auto"/>
            </w:tcBorders>
          </w:tcPr>
          <w:p w14:paraId="14ECF6C2"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Et comme musulmans soumis IL vous a désignés.</w:t>
            </w:r>
          </w:p>
        </w:tc>
      </w:tr>
      <w:tr w:rsidR="00A70B78" w:rsidRPr="007C6A42" w14:paraId="2780BD8B"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162D3A7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5526" w:type="dxa"/>
            <w:tcBorders>
              <w:top w:val="single" w:sz="4" w:space="0" w:color="auto"/>
              <w:left w:val="single" w:sz="4" w:space="0" w:color="auto"/>
              <w:bottom w:val="single" w:sz="4" w:space="0" w:color="auto"/>
              <w:right w:val="single" w:sz="4" w:space="0" w:color="auto"/>
            </w:tcBorders>
          </w:tcPr>
          <w:p w14:paraId="6029326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C’est ce dernier qui vous a donné le nom de </w:t>
            </w:r>
            <w:r w:rsidRPr="007C6A42">
              <w:rPr>
                <w:rFonts w:asciiTheme="majorBidi" w:eastAsia="Times New Roman" w:hAnsiTheme="majorBidi" w:cstheme="majorBidi"/>
              </w:rPr>
              <w:lastRenderedPageBreak/>
              <w:t>musulmans</w:t>
            </w:r>
          </w:p>
        </w:tc>
      </w:tr>
      <w:tr w:rsidR="00A70B78" w:rsidRPr="007C6A42" w14:paraId="0F2109B0"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10F4429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Gros.</w:t>
            </w:r>
          </w:p>
        </w:tc>
        <w:tc>
          <w:tcPr>
            <w:tcW w:w="5526" w:type="dxa"/>
            <w:tcBorders>
              <w:top w:val="single" w:sz="4" w:space="0" w:color="auto"/>
              <w:left w:val="single" w:sz="4" w:space="0" w:color="auto"/>
              <w:bottom w:val="single" w:sz="4" w:space="0" w:color="auto"/>
              <w:right w:val="single" w:sz="4" w:space="0" w:color="auto"/>
            </w:tcBorders>
          </w:tcPr>
          <w:p w14:paraId="05AB13B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donné le nom de musulmans</w:t>
            </w:r>
          </w:p>
        </w:tc>
      </w:tr>
      <w:tr w:rsidR="00A70B78" w:rsidRPr="007C6A42" w14:paraId="5B81928A"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017D581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5526" w:type="dxa"/>
            <w:tcBorders>
              <w:top w:val="single" w:sz="4" w:space="0" w:color="auto"/>
              <w:left w:val="single" w:sz="4" w:space="0" w:color="auto"/>
              <w:bottom w:val="single" w:sz="4" w:space="0" w:color="auto"/>
              <w:right w:val="single" w:sz="4" w:space="0" w:color="auto"/>
            </w:tcBorders>
          </w:tcPr>
          <w:p w14:paraId="40AA2CB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lequel vous a lui-même déjà nommés « les musulmans »</w:t>
            </w:r>
          </w:p>
        </w:tc>
      </w:tr>
      <w:tr w:rsidR="00A70B78" w:rsidRPr="007C6A42" w14:paraId="13DCE4C9"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14DF905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5526" w:type="dxa"/>
            <w:tcBorders>
              <w:top w:val="single" w:sz="4" w:space="0" w:color="auto"/>
              <w:left w:val="single" w:sz="4" w:space="0" w:color="auto"/>
              <w:bottom w:val="single" w:sz="4" w:space="0" w:color="auto"/>
              <w:right w:val="single" w:sz="4" w:space="0" w:color="auto"/>
            </w:tcBorders>
          </w:tcPr>
          <w:p w14:paraId="5FB091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Dieu vous a donné le nom de musulmans</w:t>
            </w:r>
          </w:p>
        </w:tc>
      </w:tr>
      <w:tr w:rsidR="00A70B78" w:rsidRPr="007C6A42" w14:paraId="16FD3496"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1C41B9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5526" w:type="dxa"/>
            <w:tcBorders>
              <w:top w:val="single" w:sz="4" w:space="0" w:color="auto"/>
              <w:left w:val="single" w:sz="4" w:space="0" w:color="auto"/>
              <w:bottom w:val="single" w:sz="4" w:space="0" w:color="auto"/>
              <w:right w:val="single" w:sz="4" w:space="0" w:color="auto"/>
            </w:tcBorders>
          </w:tcPr>
          <w:p w14:paraId="206327DE"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nommés musulmans, soit ceux qui s’abandonnent à Dieu</w:t>
            </w:r>
          </w:p>
        </w:tc>
      </w:tr>
      <w:tr w:rsidR="00A70B78" w:rsidRPr="007C6A42" w14:paraId="0064EA79"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0AD7162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5526" w:type="dxa"/>
            <w:tcBorders>
              <w:top w:val="single" w:sz="4" w:space="0" w:color="auto"/>
              <w:left w:val="single" w:sz="4" w:space="0" w:color="auto"/>
              <w:bottom w:val="single" w:sz="4" w:space="0" w:color="auto"/>
              <w:right w:val="single" w:sz="4" w:space="0" w:color="auto"/>
            </w:tcBorders>
          </w:tcPr>
          <w:p w14:paraId="787A218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C’est Lui qui vous A déjà Nommés musulmans</w:t>
            </w:r>
          </w:p>
        </w:tc>
      </w:tr>
      <w:tr w:rsidR="00A70B78" w:rsidRPr="007C6A42" w14:paraId="4ADED2A3" w14:textId="77777777" w:rsidTr="00AF4FC9">
        <w:trPr>
          <w:jc w:val="center"/>
        </w:trPr>
        <w:tc>
          <w:tcPr>
            <w:tcW w:w="1135" w:type="dxa"/>
            <w:tcBorders>
              <w:top w:val="single" w:sz="4" w:space="0" w:color="auto"/>
              <w:left w:val="single" w:sz="4" w:space="0" w:color="auto"/>
              <w:bottom w:val="single" w:sz="4" w:space="0" w:color="auto"/>
              <w:right w:val="single" w:sz="4" w:space="0" w:color="auto"/>
            </w:tcBorders>
          </w:tcPr>
          <w:p w14:paraId="3A83E0E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5526" w:type="dxa"/>
            <w:tcBorders>
              <w:top w:val="single" w:sz="4" w:space="0" w:color="auto"/>
              <w:left w:val="single" w:sz="4" w:space="0" w:color="auto"/>
              <w:bottom w:val="single" w:sz="4" w:space="0" w:color="auto"/>
              <w:right w:val="single" w:sz="4" w:space="0" w:color="auto"/>
            </w:tcBorders>
          </w:tcPr>
          <w:p w14:paraId="7056BEB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C’est lui qui vous a nommés auparavant les soumis</w:t>
            </w:r>
          </w:p>
        </w:tc>
      </w:tr>
    </w:tbl>
    <w:p w14:paraId="6143898F"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770124B0"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Si le terme au pluriel </w:t>
      </w:r>
      <w:r w:rsidRPr="007C6A42">
        <w:rPr>
          <w:rFonts w:asciiTheme="majorBidi" w:eastAsia="Times New Roman" w:hAnsiTheme="majorBidi" w:cstheme="majorBidi"/>
          <w:i/>
          <w:iCs/>
          <w:shd w:val="clear" w:color="auto" w:fill="FFFFFF"/>
          <w:lang w:bidi="ar-KW"/>
        </w:rPr>
        <w:t>al-muslimīna</w:t>
      </w:r>
      <w:r w:rsidRPr="007C6A42">
        <w:rPr>
          <w:rFonts w:asciiTheme="majorBidi" w:eastAsia="Times New Roman" w:hAnsiTheme="majorBidi" w:cstheme="majorBidi"/>
          <w:shd w:val="clear" w:color="auto" w:fill="FFFFFF"/>
          <w:lang w:bidi="ar-KW"/>
        </w:rPr>
        <w:t xml:space="preserve"> ne pose pas de problème pour les exégètes, comme si son sens allait de soi, il semble poser problème aux traducteurs. Ces derniers oscillent entre le choix de le traduire par un terme renvoyant à une communauté et le choix de le traduire par un terme tenant compte de son étymologie. La plupart des traducteurs (Savary, Kazimirski, Blachère [dans la NDT], Hamidullah [dans la NDT], Masson, Chouraqui, Ghédira, Complexe de Médine, Guessous, Hafiane, Grosjean, Ben Mahmoud, Chebel, Abdelaziz) ont rendu ce mot par : « musulmans » ou « Musulmans » soulignant ainsi l’aspect identitaire du champ sémantique du mot arabe.</w:t>
      </w:r>
    </w:p>
    <w:p w14:paraId="01E969CE"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Cinq traducteurs ont donné aussi bien le nom de l’identité religieuse (« musulmans ») que le sens étymologique du terme (« Soumis » [Blachère &amp; Hamidullah], « soumis » [Guessous], « Pacifiés » [Chouraqui]) et « </w:t>
      </w:r>
      <w:r w:rsidRPr="007C6A42">
        <w:rPr>
          <w:rFonts w:asciiTheme="majorBidi" w:eastAsia="Calibri" w:hAnsiTheme="majorBidi" w:cstheme="majorBidi"/>
        </w:rPr>
        <w:t xml:space="preserve">soit ceux qui s’abandonnent à Dieu » </w:t>
      </w:r>
      <w:r w:rsidRPr="007C6A42">
        <w:rPr>
          <w:rFonts w:asciiTheme="majorBidi" w:eastAsia="Times New Roman" w:hAnsiTheme="majorBidi" w:cstheme="majorBidi"/>
          <w:shd w:val="clear" w:color="auto" w:fill="FFFFFF"/>
          <w:lang w:bidi="ar-KW"/>
        </w:rPr>
        <w:t>[Chebel]). L’ajout du sens étymologique allonge la traduction, mais provoquant parfois un effet pléonastique ; par exemple, Guessous rend deux fois l’idée de soumission avec le syntagme « </w:t>
      </w:r>
      <w:r w:rsidRPr="007C6A42">
        <w:rPr>
          <w:rFonts w:asciiTheme="majorBidi" w:eastAsia="Calibri" w:hAnsiTheme="majorBidi" w:cstheme="majorBidi"/>
        </w:rPr>
        <w:t>musulmans soumis », car le mot « musulman » contient déjà le sens de soumission, comme Berque l’exprime d’une manière explicite : « </w:t>
      </w:r>
      <w:r w:rsidRPr="007C6A42">
        <w:rPr>
          <w:rFonts w:asciiTheme="majorBidi" w:eastAsia="Calibri" w:hAnsiTheme="majorBidi" w:cstheme="majorBidi"/>
          <w:lang w:bidi="ar-AE"/>
        </w:rPr>
        <w:t>Ceux-qui-se-soumettent ».</w:t>
      </w:r>
    </w:p>
    <w:p w14:paraId="5347E54A" w14:textId="5AFEA636" w:rsidR="00A70B78" w:rsidRDefault="00A70B78" w:rsidP="00AD736F">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Seuls trois traducteurs l’ont rendu par son seul sens étymologique : Du Ryer (« résignés en Dieu »), Berque (« Ceux-qui-se-soumettent ») et Aldeeb (« soumis »). Ce dernier évite systématiquement d’utiliser le mot « musulman » dans sa traduction, au motif que selon lui, la communauté musulmane n’était pas encore formée quand le Coran a paru (c.à.d. en ayant recours à un critère non linguistique ni herméneutique ni exégétique) ; à l’opposé, la traduction </w:t>
      </w:r>
      <w:r w:rsidRPr="007C6A42">
        <w:rPr>
          <w:rFonts w:asciiTheme="majorBidi" w:eastAsia="Times New Roman" w:hAnsiTheme="majorBidi" w:cstheme="majorBidi"/>
          <w:shd w:val="clear" w:color="auto" w:fill="FFFFFF"/>
          <w:lang w:bidi="ar-KW"/>
        </w:rPr>
        <w:lastRenderedPageBreak/>
        <w:t>d’Abdelaziz regorge du mot « musulman »</w:t>
      </w:r>
      <w:r w:rsidRPr="007C6A42">
        <w:rPr>
          <w:rStyle w:val="Appelnotedebasdep"/>
          <w:rFonts w:asciiTheme="majorBidi" w:hAnsiTheme="majorBidi" w:cstheme="majorBidi"/>
        </w:rPr>
        <w:footnoteReference w:id="520"/>
      </w:r>
      <w:r w:rsidRPr="007C6A42">
        <w:rPr>
          <w:rFonts w:asciiTheme="majorBidi" w:eastAsia="Times New Roman" w:hAnsiTheme="majorBidi" w:cstheme="majorBidi"/>
          <w:shd w:val="clear" w:color="auto" w:fill="FFFFFF"/>
          <w:lang w:bidi="ar-KW"/>
        </w:rPr>
        <w:t>, même si le contexte ne favorise pas l’utilisation de ce mot et même quand les exégèses amèneraient un autre choix, ce qui signifierait que Zeinab Abdelaziz voit le Coran d’un œil plus ou moins nationaliste</w:t>
      </w:r>
      <w:r w:rsidRPr="007C6A42">
        <w:rPr>
          <w:rStyle w:val="Appelnotedebasdep"/>
          <w:rFonts w:asciiTheme="majorBidi" w:hAnsiTheme="majorBidi" w:cstheme="majorBidi"/>
        </w:rPr>
        <w:footnoteReference w:id="521"/>
      </w:r>
      <w:r w:rsidRPr="007C6A42">
        <w:rPr>
          <w:rFonts w:asciiTheme="majorBidi" w:eastAsia="Times New Roman" w:hAnsiTheme="majorBidi" w:cstheme="majorBidi"/>
          <w:shd w:val="clear" w:color="auto" w:fill="FFFFFF"/>
          <w:lang w:bidi="ar-KW"/>
        </w:rPr>
        <w:t xml:space="preserve"> en tant que livre arabe par excellence.</w:t>
      </w:r>
    </w:p>
    <w:p w14:paraId="77A83DF9" w14:textId="77777777" w:rsidR="00AD736F" w:rsidRPr="00AD736F" w:rsidRDefault="00AD736F" w:rsidP="00AD736F">
      <w:pPr>
        <w:spacing w:line="360" w:lineRule="auto"/>
        <w:ind w:firstLine="284"/>
        <w:contextualSpacing/>
        <w:jc w:val="both"/>
        <w:rPr>
          <w:rFonts w:asciiTheme="majorBidi" w:eastAsia="Times New Roman" w:hAnsiTheme="majorBidi" w:cstheme="majorBidi"/>
          <w:shd w:val="clear" w:color="auto" w:fill="FFFFFF"/>
          <w:lang w:bidi="ar-KW"/>
        </w:rPr>
      </w:pPr>
    </w:p>
    <w:p w14:paraId="08342B8B" w14:textId="27D0AA30" w:rsidR="00A70B78" w:rsidRPr="008F1B81" w:rsidRDefault="007B1884" w:rsidP="007B1884">
      <w:pPr>
        <w:jc w:val="both"/>
        <w:rPr>
          <w:rFonts w:asciiTheme="majorBidi" w:eastAsia="Times New Roman" w:hAnsiTheme="majorBidi" w:cstheme="majorBidi"/>
          <w:lang w:bidi="ar-AE"/>
        </w:rPr>
      </w:pPr>
      <w:r w:rsidRPr="008F1B81">
        <w:rPr>
          <w:rFonts w:asciiTheme="majorBidi" w:eastAsia="Times New Roman" w:hAnsiTheme="majorBidi" w:cstheme="majorBidi"/>
          <w:b/>
          <w:bCs/>
          <w:lang w:bidi="ar-AE"/>
        </w:rPr>
        <w:t xml:space="preserve">9.2. </w:t>
      </w:r>
      <w:r w:rsidR="00A70B78" w:rsidRPr="008F1B81">
        <w:rPr>
          <w:rFonts w:asciiTheme="majorBidi" w:eastAsia="Times New Roman" w:hAnsiTheme="majorBidi" w:cstheme="majorBidi"/>
          <w:b/>
          <w:bCs/>
          <w:lang w:bidi="ar-AE"/>
        </w:rPr>
        <w:t xml:space="preserve">Traduction des </w:t>
      </w:r>
      <w:r w:rsidR="00A70B78" w:rsidRPr="008F1B81">
        <w:rPr>
          <w:rFonts w:asciiTheme="majorBidi" w:eastAsia="Times New Roman" w:hAnsiTheme="majorBidi" w:cstheme="majorBidi"/>
          <w:b/>
          <w:bCs/>
          <w:i/>
          <w:iCs/>
          <w:lang w:bidi="ar-AE"/>
        </w:rPr>
        <w:t>hapax legomenon</w:t>
      </w:r>
      <w:r w:rsidRPr="008F1B81">
        <w:rPr>
          <w:rFonts w:asciiTheme="majorBidi" w:eastAsia="Times New Roman" w:hAnsiTheme="majorBidi" w:cstheme="majorBidi"/>
          <w:b/>
          <w:bCs/>
          <w:i/>
          <w:iCs/>
          <w:lang w:bidi="ar-AE"/>
        </w:rPr>
        <w:t> </w:t>
      </w:r>
      <w:r w:rsidRPr="008F1B81">
        <w:rPr>
          <w:rFonts w:asciiTheme="majorBidi" w:eastAsia="Times New Roman" w:hAnsiTheme="majorBidi" w:cstheme="majorBidi"/>
          <w:b/>
          <w:bCs/>
          <w:lang w:bidi="ar-AE"/>
        </w:rPr>
        <w:t>:</w:t>
      </w:r>
    </w:p>
    <w:p w14:paraId="547716F0" w14:textId="77777777" w:rsidR="00A70B78" w:rsidRPr="007C6A42" w:rsidRDefault="00A70B78" w:rsidP="007B1884">
      <w:pPr>
        <w:jc w:val="both"/>
        <w:rPr>
          <w:rFonts w:asciiTheme="majorBidi" w:eastAsia="Times New Roman" w:hAnsiTheme="majorBidi" w:cstheme="majorBidi"/>
          <w:lang w:bidi="ar-AE"/>
        </w:rPr>
      </w:pPr>
    </w:p>
    <w:p w14:paraId="77B7CBCD" w14:textId="77777777" w:rsidR="00A70B78" w:rsidRPr="007C6A42" w:rsidRDefault="00A70B78" w:rsidP="007B1884">
      <w:pPr>
        <w:spacing w:line="360" w:lineRule="auto"/>
        <w:jc w:val="both"/>
        <w:outlineLvl w:val="0"/>
        <w:rPr>
          <w:rFonts w:asciiTheme="majorBidi" w:eastAsia="Times New Roman" w:hAnsiTheme="majorBidi" w:cstheme="majorBidi"/>
          <w:b/>
          <w:bCs/>
          <w:lang w:bidi="ar-AE"/>
        </w:rPr>
      </w:pPr>
      <w:r w:rsidRPr="007C6A42">
        <w:rPr>
          <w:rFonts w:asciiTheme="majorBidi" w:eastAsia="Times New Roman" w:hAnsiTheme="majorBidi" w:cstheme="majorBidi"/>
          <w:b/>
          <w:bCs/>
          <w:lang w:bidi="ar-AE"/>
        </w:rPr>
        <w:t xml:space="preserve">La traduction du mot hapax </w:t>
      </w:r>
      <w:r w:rsidRPr="007C6A42">
        <w:rPr>
          <w:rFonts w:asciiTheme="majorBidi" w:eastAsia="Times New Roman" w:hAnsiTheme="majorBidi" w:cstheme="majorBidi"/>
          <w:b/>
          <w:bCs/>
          <w:i/>
          <w:iCs/>
          <w:lang w:bidi="ar-AE"/>
        </w:rPr>
        <w:t>ʿatīq</w:t>
      </w:r>
      <w:r w:rsidRPr="007C6A42">
        <w:rPr>
          <w:rFonts w:asciiTheme="majorBidi" w:eastAsia="Times New Roman" w:hAnsiTheme="majorBidi" w:cstheme="majorBidi"/>
          <w:b/>
          <w:bCs/>
          <w:lang w:bidi="ar-AE"/>
        </w:rPr>
        <w:t xml:space="preserve"> (v. 29) :</w:t>
      </w:r>
    </w:p>
    <w:tbl>
      <w:tblPr>
        <w:tblW w:w="8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0"/>
        <w:gridCol w:w="3399"/>
      </w:tblGrid>
      <w:tr w:rsidR="00A70B78" w:rsidRPr="007C6A42" w14:paraId="1C637B26" w14:textId="77777777" w:rsidTr="00AF4FC9">
        <w:trPr>
          <w:gridAfter w:val="1"/>
          <w:wAfter w:w="3402" w:type="dxa"/>
        </w:trPr>
        <w:tc>
          <w:tcPr>
            <w:tcW w:w="5245" w:type="dxa"/>
            <w:gridSpan w:val="2"/>
            <w:tcBorders>
              <w:top w:val="nil"/>
              <w:left w:val="nil"/>
              <w:bottom w:val="single" w:sz="4" w:space="0" w:color="auto"/>
              <w:right w:val="nil"/>
            </w:tcBorders>
          </w:tcPr>
          <w:p w14:paraId="611276C6" w14:textId="77777777" w:rsidR="00A70B78" w:rsidRPr="007C6A42" w:rsidRDefault="00A70B78" w:rsidP="00AF4FC9">
            <w:pPr>
              <w:tabs>
                <w:tab w:val="center" w:pos="5704"/>
                <w:tab w:val="left" w:pos="9725"/>
              </w:tabs>
              <w:bidi/>
              <w:spacing w:line="360" w:lineRule="auto"/>
              <w:rPr>
                <w:rFonts w:asciiTheme="majorBidi" w:eastAsia="Calibri" w:hAnsiTheme="majorBidi" w:cstheme="majorBidi"/>
                <w:lang w:bidi="ar-AE"/>
              </w:rPr>
            </w:pPr>
            <w:r w:rsidRPr="007C6A42">
              <w:rPr>
                <w:rFonts w:asciiTheme="majorBidi" w:eastAsia="Calibri" w:hAnsiTheme="majorBidi" w:cstheme="majorBidi"/>
                <w:rtl/>
                <w:lang w:bidi="ar-AE"/>
              </w:rPr>
              <w:t>"ولْيطَّوَّفوا بالبيت العتيق" (29)</w:t>
            </w:r>
          </w:p>
        </w:tc>
      </w:tr>
      <w:tr w:rsidR="00A70B78" w:rsidRPr="007C6A42" w14:paraId="0670D5B7" w14:textId="77777777" w:rsidTr="00AF4FC9">
        <w:tc>
          <w:tcPr>
            <w:tcW w:w="851" w:type="dxa"/>
            <w:tcBorders>
              <w:top w:val="single" w:sz="4" w:space="0" w:color="auto"/>
              <w:left w:val="single" w:sz="4" w:space="0" w:color="auto"/>
              <w:bottom w:val="single" w:sz="4" w:space="0" w:color="auto"/>
              <w:right w:val="single" w:sz="4" w:space="0" w:color="auto"/>
            </w:tcBorders>
          </w:tcPr>
          <w:p w14:paraId="2F7825E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7796" w:type="dxa"/>
            <w:gridSpan w:val="2"/>
            <w:tcBorders>
              <w:top w:val="single" w:sz="4" w:space="0" w:color="auto"/>
              <w:left w:val="single" w:sz="4" w:space="0" w:color="auto"/>
              <w:bottom w:val="single" w:sz="4" w:space="0" w:color="auto"/>
              <w:right w:val="single" w:sz="4" w:space="0" w:color="auto"/>
            </w:tcBorders>
          </w:tcPr>
          <w:p w14:paraId="2F52617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&amp; feront auʃʃi des proceʃʃions au vieil Temple</w:t>
            </w:r>
          </w:p>
        </w:tc>
      </w:tr>
      <w:tr w:rsidR="00A70B78" w:rsidRPr="007C6A42" w14:paraId="053B06AE" w14:textId="77777777" w:rsidTr="00AF4FC9">
        <w:tc>
          <w:tcPr>
            <w:tcW w:w="851" w:type="dxa"/>
            <w:tcBorders>
              <w:top w:val="single" w:sz="4" w:space="0" w:color="auto"/>
              <w:left w:val="single" w:sz="4" w:space="0" w:color="auto"/>
              <w:bottom w:val="single" w:sz="4" w:space="0" w:color="auto"/>
              <w:right w:val="single" w:sz="4" w:space="0" w:color="auto"/>
            </w:tcBorders>
          </w:tcPr>
          <w:p w14:paraId="31C380A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7796" w:type="dxa"/>
            <w:gridSpan w:val="2"/>
            <w:tcBorders>
              <w:top w:val="single" w:sz="4" w:space="0" w:color="auto"/>
              <w:left w:val="single" w:sz="4" w:space="0" w:color="auto"/>
              <w:bottom w:val="single" w:sz="4" w:space="0" w:color="auto"/>
              <w:right w:val="single" w:sz="4" w:space="0" w:color="auto"/>
            </w:tcBorders>
          </w:tcPr>
          <w:p w14:paraId="342B8932"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qu’ils fassent le tour de la maison antique</w:t>
            </w:r>
          </w:p>
        </w:tc>
      </w:tr>
      <w:tr w:rsidR="00A70B78" w:rsidRPr="007C6A42" w14:paraId="3BFB3832" w14:textId="77777777" w:rsidTr="00AF4FC9">
        <w:tc>
          <w:tcPr>
            <w:tcW w:w="851" w:type="dxa"/>
            <w:tcBorders>
              <w:top w:val="single" w:sz="4" w:space="0" w:color="auto"/>
              <w:left w:val="single" w:sz="4" w:space="0" w:color="auto"/>
              <w:bottom w:val="single" w:sz="4" w:space="0" w:color="auto"/>
              <w:right w:val="single" w:sz="4" w:space="0" w:color="auto"/>
            </w:tcBorders>
          </w:tcPr>
          <w:p w14:paraId="447BE79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7796" w:type="dxa"/>
            <w:gridSpan w:val="2"/>
            <w:tcBorders>
              <w:top w:val="single" w:sz="4" w:space="0" w:color="auto"/>
              <w:left w:val="single" w:sz="4" w:space="0" w:color="auto"/>
              <w:bottom w:val="single" w:sz="4" w:space="0" w:color="auto"/>
              <w:right w:val="single" w:sz="4" w:space="0" w:color="auto"/>
            </w:tcBorders>
          </w:tcPr>
          <w:p w14:paraId="606FCC3D"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et faites les tours de dévotion de la maison antique* (*C’est-à-dire du temple de La Mecque.)</w:t>
            </w:r>
          </w:p>
        </w:tc>
      </w:tr>
      <w:tr w:rsidR="00A70B78" w:rsidRPr="007C6A42" w14:paraId="4D86FF51" w14:textId="77777777" w:rsidTr="00AF4FC9">
        <w:tc>
          <w:tcPr>
            <w:tcW w:w="851" w:type="dxa"/>
            <w:tcBorders>
              <w:top w:val="single" w:sz="4" w:space="0" w:color="auto"/>
              <w:left w:val="single" w:sz="4" w:space="0" w:color="auto"/>
              <w:bottom w:val="single" w:sz="4" w:space="0" w:color="auto"/>
              <w:right w:val="single" w:sz="4" w:space="0" w:color="auto"/>
            </w:tcBorders>
          </w:tcPr>
          <w:p w14:paraId="2FA7AF8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7796" w:type="dxa"/>
            <w:gridSpan w:val="2"/>
            <w:tcBorders>
              <w:top w:val="single" w:sz="4" w:space="0" w:color="auto"/>
              <w:left w:val="single" w:sz="4" w:space="0" w:color="auto"/>
              <w:bottom w:val="single" w:sz="4" w:space="0" w:color="auto"/>
              <w:right w:val="single" w:sz="4" w:space="0" w:color="auto"/>
            </w:tcBorders>
          </w:tcPr>
          <w:p w14:paraId="4F06A8CF"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Qu’ils accomplissent la circumambulation autour du Temple Antique</w:t>
            </w:r>
          </w:p>
        </w:tc>
      </w:tr>
      <w:tr w:rsidR="00A70B78" w:rsidRPr="007C6A42" w14:paraId="5023107E" w14:textId="77777777" w:rsidTr="00AF4FC9">
        <w:tc>
          <w:tcPr>
            <w:tcW w:w="851" w:type="dxa"/>
            <w:tcBorders>
              <w:top w:val="single" w:sz="4" w:space="0" w:color="auto"/>
              <w:left w:val="single" w:sz="4" w:space="0" w:color="auto"/>
              <w:bottom w:val="single" w:sz="4" w:space="0" w:color="auto"/>
              <w:right w:val="single" w:sz="4" w:space="0" w:color="auto"/>
            </w:tcBorders>
          </w:tcPr>
          <w:p w14:paraId="4EFD926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7796" w:type="dxa"/>
            <w:gridSpan w:val="2"/>
            <w:tcBorders>
              <w:top w:val="single" w:sz="4" w:space="0" w:color="auto"/>
              <w:left w:val="single" w:sz="4" w:space="0" w:color="auto"/>
              <w:bottom w:val="single" w:sz="4" w:space="0" w:color="auto"/>
              <w:right w:val="single" w:sz="4" w:space="0" w:color="auto"/>
            </w:tcBorders>
          </w:tcPr>
          <w:p w14:paraId="70E65A4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qu’ils fassent les tours autour de l’Antique Maison</w:t>
            </w:r>
          </w:p>
        </w:tc>
      </w:tr>
      <w:tr w:rsidR="00A70B78" w:rsidRPr="007C6A42" w14:paraId="202CEA6B" w14:textId="77777777" w:rsidTr="00AF4FC9">
        <w:tc>
          <w:tcPr>
            <w:tcW w:w="851" w:type="dxa"/>
            <w:tcBorders>
              <w:top w:val="single" w:sz="4" w:space="0" w:color="auto"/>
              <w:left w:val="single" w:sz="4" w:space="0" w:color="auto"/>
              <w:bottom w:val="single" w:sz="4" w:space="0" w:color="auto"/>
              <w:right w:val="single" w:sz="4" w:space="0" w:color="auto"/>
            </w:tcBorders>
          </w:tcPr>
          <w:p w14:paraId="6C3C876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7796" w:type="dxa"/>
            <w:gridSpan w:val="2"/>
            <w:tcBorders>
              <w:top w:val="single" w:sz="4" w:space="0" w:color="auto"/>
              <w:left w:val="single" w:sz="4" w:space="0" w:color="auto"/>
              <w:bottom w:val="single" w:sz="4" w:space="0" w:color="auto"/>
              <w:right w:val="single" w:sz="4" w:space="0" w:color="auto"/>
            </w:tcBorders>
          </w:tcPr>
          <w:p w14:paraId="6923DEF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accomplissent les circuits autour de l’antique Maison</w:t>
            </w:r>
          </w:p>
        </w:tc>
      </w:tr>
      <w:tr w:rsidR="00A70B78" w:rsidRPr="007C6A42" w14:paraId="79E07F12" w14:textId="77777777" w:rsidTr="00AF4FC9">
        <w:tc>
          <w:tcPr>
            <w:tcW w:w="851" w:type="dxa"/>
            <w:tcBorders>
              <w:top w:val="single" w:sz="4" w:space="0" w:color="auto"/>
              <w:left w:val="single" w:sz="4" w:space="0" w:color="auto"/>
              <w:bottom w:val="single" w:sz="4" w:space="0" w:color="auto"/>
              <w:right w:val="single" w:sz="4" w:space="0" w:color="auto"/>
            </w:tcBorders>
          </w:tcPr>
          <w:p w14:paraId="7629D20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7796" w:type="dxa"/>
            <w:gridSpan w:val="2"/>
            <w:tcBorders>
              <w:top w:val="single" w:sz="4" w:space="0" w:color="auto"/>
              <w:left w:val="single" w:sz="4" w:space="0" w:color="auto"/>
              <w:bottom w:val="single" w:sz="4" w:space="0" w:color="auto"/>
              <w:right w:val="single" w:sz="4" w:space="0" w:color="auto"/>
            </w:tcBorders>
          </w:tcPr>
          <w:p w14:paraId="3D6C2BFE"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en contournant l’Antique Maison</w:t>
            </w:r>
          </w:p>
        </w:tc>
      </w:tr>
      <w:tr w:rsidR="00A70B78" w:rsidRPr="007C6A42" w14:paraId="47A395FF" w14:textId="77777777" w:rsidTr="00AF4FC9">
        <w:tc>
          <w:tcPr>
            <w:tcW w:w="851" w:type="dxa"/>
            <w:tcBorders>
              <w:top w:val="single" w:sz="4" w:space="0" w:color="auto"/>
              <w:left w:val="single" w:sz="4" w:space="0" w:color="auto"/>
              <w:bottom w:val="single" w:sz="4" w:space="0" w:color="auto"/>
              <w:right w:val="single" w:sz="4" w:space="0" w:color="auto"/>
            </w:tcBorders>
          </w:tcPr>
          <w:p w14:paraId="3477C08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7796" w:type="dxa"/>
            <w:gridSpan w:val="2"/>
            <w:tcBorders>
              <w:top w:val="single" w:sz="4" w:space="0" w:color="auto"/>
              <w:left w:val="single" w:sz="4" w:space="0" w:color="auto"/>
              <w:bottom w:val="single" w:sz="4" w:space="0" w:color="auto"/>
              <w:right w:val="single" w:sz="4" w:space="0" w:color="auto"/>
            </w:tcBorders>
          </w:tcPr>
          <w:p w14:paraId="7122304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qu’ils fassent la circumambulation autour de la Maison Antique.</w:t>
            </w:r>
          </w:p>
        </w:tc>
      </w:tr>
      <w:tr w:rsidR="00A70B78" w:rsidRPr="007C6A42" w14:paraId="49E93B29" w14:textId="77777777" w:rsidTr="00AF4FC9">
        <w:tc>
          <w:tcPr>
            <w:tcW w:w="851" w:type="dxa"/>
            <w:tcBorders>
              <w:top w:val="single" w:sz="4" w:space="0" w:color="auto"/>
              <w:left w:val="single" w:sz="4" w:space="0" w:color="auto"/>
              <w:bottom w:val="single" w:sz="4" w:space="0" w:color="auto"/>
              <w:right w:val="single" w:sz="4" w:space="0" w:color="auto"/>
            </w:tcBorders>
          </w:tcPr>
          <w:p w14:paraId="69BE2F1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7796" w:type="dxa"/>
            <w:gridSpan w:val="2"/>
            <w:tcBorders>
              <w:top w:val="single" w:sz="4" w:space="0" w:color="auto"/>
              <w:left w:val="single" w:sz="4" w:space="0" w:color="auto"/>
              <w:bottom w:val="single" w:sz="4" w:space="0" w:color="auto"/>
              <w:right w:val="single" w:sz="4" w:space="0" w:color="auto"/>
            </w:tcBorders>
          </w:tcPr>
          <w:p w14:paraId="4020EB22"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qu’ils fassent les circuits autour de l’Antique Maison</w:t>
            </w:r>
          </w:p>
        </w:tc>
      </w:tr>
      <w:tr w:rsidR="00A70B78" w:rsidRPr="007C6A42" w14:paraId="7CE8FDF1" w14:textId="77777777" w:rsidTr="00AF4FC9">
        <w:tc>
          <w:tcPr>
            <w:tcW w:w="851" w:type="dxa"/>
            <w:tcBorders>
              <w:top w:val="single" w:sz="4" w:space="0" w:color="auto"/>
              <w:left w:val="single" w:sz="4" w:space="0" w:color="auto"/>
              <w:bottom w:val="single" w:sz="4" w:space="0" w:color="auto"/>
              <w:right w:val="single" w:sz="4" w:space="0" w:color="auto"/>
            </w:tcBorders>
          </w:tcPr>
          <w:p w14:paraId="138F7C7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7796" w:type="dxa"/>
            <w:gridSpan w:val="2"/>
            <w:tcBorders>
              <w:top w:val="single" w:sz="4" w:space="0" w:color="auto"/>
              <w:left w:val="single" w:sz="4" w:space="0" w:color="auto"/>
              <w:bottom w:val="single" w:sz="4" w:space="0" w:color="auto"/>
              <w:right w:val="single" w:sz="4" w:space="0" w:color="auto"/>
            </w:tcBorders>
          </w:tcPr>
          <w:p w14:paraId="02A7DD7F"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qu’ils fassent le tour de la franche Maison.* (*</w:t>
            </w:r>
            <w:r w:rsidRPr="007C6A42">
              <w:rPr>
                <w:rFonts w:asciiTheme="majorBidi" w:eastAsia="Calibri" w:hAnsiTheme="majorBidi" w:cstheme="majorBidi"/>
                <w:i/>
                <w:iCs/>
                <w:lang w:bidi="ar-AE"/>
              </w:rPr>
              <w:t>v 29</w:t>
            </w:r>
            <w:r w:rsidRPr="007C6A42">
              <w:rPr>
                <w:rFonts w:asciiTheme="majorBidi" w:eastAsia="Calibri" w:hAnsiTheme="majorBidi" w:cstheme="majorBidi"/>
                <w:lang w:bidi="ar-AE"/>
              </w:rPr>
              <w:t xml:space="preserve">. « La franche Maison », plutôt que l’« antique », bien que ce sens soit aussi indiqué par le </w:t>
            </w:r>
            <w:r w:rsidRPr="007C6A42">
              <w:rPr>
                <w:rFonts w:asciiTheme="majorBidi" w:eastAsia="Calibri" w:hAnsiTheme="majorBidi" w:cstheme="majorBidi"/>
                <w:i/>
                <w:iCs/>
                <w:lang w:bidi="ar-AE"/>
              </w:rPr>
              <w:t>Lisân</w:t>
            </w:r>
            <w:r w:rsidRPr="007C6A42">
              <w:rPr>
                <w:rFonts w:asciiTheme="majorBidi" w:eastAsia="Calibri" w:hAnsiTheme="majorBidi" w:cstheme="majorBidi"/>
                <w:lang w:bidi="ar-AE"/>
              </w:rPr>
              <w:t>, en même temps que «rapide»,</w:t>
            </w:r>
            <w:r w:rsidRPr="007C6A42">
              <w:rPr>
                <w:rFonts w:asciiTheme="majorBidi" w:eastAsia="Calibri" w:hAnsiTheme="majorBidi" w:cstheme="majorBidi"/>
              </w:rPr>
              <w:t xml:space="preserve"> </w:t>
            </w:r>
            <w:r w:rsidRPr="007C6A42">
              <w:rPr>
                <w:rFonts w:asciiTheme="majorBidi" w:eastAsia="Calibri" w:hAnsiTheme="majorBidi" w:cstheme="majorBidi"/>
                <w:lang w:bidi="ar-AE"/>
              </w:rPr>
              <w:t xml:space="preserve">« authentique », et surtout qu’« affranchie ». Cette dernière acception est confirmée par deux </w:t>
            </w:r>
            <w:r w:rsidRPr="007C6A42">
              <w:rPr>
                <w:rFonts w:asciiTheme="majorBidi" w:eastAsia="Calibri" w:hAnsiTheme="majorBidi" w:cstheme="majorBidi"/>
                <w:i/>
                <w:iCs/>
                <w:lang w:bidi="ar-AE"/>
              </w:rPr>
              <w:t>hadîth</w:t>
            </w:r>
            <w:r w:rsidRPr="007C6A42">
              <w:rPr>
                <w:rFonts w:asciiTheme="majorBidi" w:eastAsia="Calibri" w:hAnsiTheme="majorBidi" w:cstheme="majorBidi"/>
                <w:lang w:bidi="ar-AE"/>
              </w:rPr>
              <w:t>, l’un glosant ce nom de Ka’ba, « car elle a été affranchie des tyrans », et l'autre concernant Abû Bakr, surnommé al-‘Atîq, puisque « affranchi » du feu de l’Enfer.)</w:t>
            </w:r>
          </w:p>
        </w:tc>
      </w:tr>
      <w:tr w:rsidR="00A70B78" w:rsidRPr="007C6A42" w14:paraId="59A690EB" w14:textId="77777777" w:rsidTr="00AF4FC9">
        <w:tc>
          <w:tcPr>
            <w:tcW w:w="851" w:type="dxa"/>
            <w:tcBorders>
              <w:top w:val="single" w:sz="4" w:space="0" w:color="auto"/>
              <w:left w:val="single" w:sz="4" w:space="0" w:color="auto"/>
              <w:bottom w:val="single" w:sz="4" w:space="0" w:color="auto"/>
              <w:right w:val="single" w:sz="4" w:space="0" w:color="auto"/>
            </w:tcBorders>
          </w:tcPr>
          <w:p w14:paraId="1162F83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Gues.</w:t>
            </w:r>
          </w:p>
        </w:tc>
        <w:tc>
          <w:tcPr>
            <w:tcW w:w="7796" w:type="dxa"/>
            <w:gridSpan w:val="2"/>
            <w:tcBorders>
              <w:top w:val="single" w:sz="4" w:space="0" w:color="auto"/>
              <w:left w:val="single" w:sz="4" w:space="0" w:color="auto"/>
              <w:bottom w:val="single" w:sz="4" w:space="0" w:color="auto"/>
              <w:right w:val="single" w:sz="4" w:space="0" w:color="auto"/>
            </w:tcBorders>
          </w:tcPr>
          <w:p w14:paraId="1CD95BE1" w14:textId="77777777" w:rsidR="00A70B78" w:rsidRPr="007C6A42" w:rsidRDefault="00A70B78" w:rsidP="00AF4FC9">
            <w:pPr>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faîtes autour de la maison antique la circumambulation demandée</w:t>
            </w:r>
          </w:p>
        </w:tc>
      </w:tr>
      <w:tr w:rsidR="00A70B78" w:rsidRPr="007C6A42" w14:paraId="5C90841C" w14:textId="77777777" w:rsidTr="00AF4FC9">
        <w:tc>
          <w:tcPr>
            <w:tcW w:w="851" w:type="dxa"/>
            <w:tcBorders>
              <w:top w:val="single" w:sz="4" w:space="0" w:color="auto"/>
              <w:left w:val="single" w:sz="4" w:space="0" w:color="auto"/>
              <w:bottom w:val="single" w:sz="4" w:space="0" w:color="auto"/>
              <w:right w:val="single" w:sz="4" w:space="0" w:color="auto"/>
            </w:tcBorders>
          </w:tcPr>
          <w:p w14:paraId="66125A7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7796" w:type="dxa"/>
            <w:gridSpan w:val="2"/>
            <w:tcBorders>
              <w:top w:val="single" w:sz="4" w:space="0" w:color="auto"/>
              <w:left w:val="single" w:sz="4" w:space="0" w:color="auto"/>
              <w:bottom w:val="single" w:sz="4" w:space="0" w:color="auto"/>
              <w:right w:val="single" w:sz="4" w:space="0" w:color="auto"/>
            </w:tcBorders>
          </w:tcPr>
          <w:p w14:paraId="692571ED" w14:textId="77777777" w:rsidR="00A70B78" w:rsidRPr="007C6A42" w:rsidRDefault="00A70B78" w:rsidP="00AF4FC9">
            <w:pPr>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qu’ils fassent des circuits autour de l’Antique Maison.</w:t>
            </w:r>
          </w:p>
        </w:tc>
      </w:tr>
      <w:tr w:rsidR="00A70B78" w:rsidRPr="007C6A42" w14:paraId="3084166B" w14:textId="77777777" w:rsidTr="00AF4FC9">
        <w:tc>
          <w:tcPr>
            <w:tcW w:w="851" w:type="dxa"/>
            <w:tcBorders>
              <w:top w:val="single" w:sz="4" w:space="0" w:color="auto"/>
              <w:left w:val="single" w:sz="4" w:space="0" w:color="auto"/>
              <w:bottom w:val="single" w:sz="4" w:space="0" w:color="auto"/>
              <w:right w:val="single" w:sz="4" w:space="0" w:color="auto"/>
            </w:tcBorders>
          </w:tcPr>
          <w:p w14:paraId="2F291F6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7796" w:type="dxa"/>
            <w:gridSpan w:val="2"/>
            <w:tcBorders>
              <w:top w:val="single" w:sz="4" w:space="0" w:color="auto"/>
              <w:left w:val="single" w:sz="4" w:space="0" w:color="auto"/>
              <w:bottom w:val="single" w:sz="4" w:space="0" w:color="auto"/>
              <w:right w:val="single" w:sz="4" w:space="0" w:color="auto"/>
            </w:tcBorders>
          </w:tcPr>
          <w:p w14:paraId="57A6AE9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tournent autour du temple antique</w:t>
            </w:r>
          </w:p>
        </w:tc>
      </w:tr>
      <w:tr w:rsidR="00A70B78" w:rsidRPr="007C6A42" w14:paraId="66BCAD94" w14:textId="77777777" w:rsidTr="00AF4FC9">
        <w:tc>
          <w:tcPr>
            <w:tcW w:w="851" w:type="dxa"/>
            <w:tcBorders>
              <w:top w:val="single" w:sz="4" w:space="0" w:color="auto"/>
              <w:left w:val="single" w:sz="4" w:space="0" w:color="auto"/>
              <w:bottom w:val="single" w:sz="4" w:space="0" w:color="auto"/>
              <w:right w:val="single" w:sz="4" w:space="0" w:color="auto"/>
            </w:tcBorders>
          </w:tcPr>
          <w:p w14:paraId="565CD89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7796" w:type="dxa"/>
            <w:gridSpan w:val="2"/>
            <w:tcBorders>
              <w:top w:val="single" w:sz="4" w:space="0" w:color="auto"/>
              <w:left w:val="single" w:sz="4" w:space="0" w:color="auto"/>
              <w:bottom w:val="single" w:sz="4" w:space="0" w:color="auto"/>
              <w:right w:val="single" w:sz="4" w:space="0" w:color="auto"/>
            </w:tcBorders>
          </w:tcPr>
          <w:p w14:paraId="42EF05C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effectuent autour du Temple antique* les circuits rituels (*Temple antique : la Ka’ba.)</w:t>
            </w:r>
          </w:p>
        </w:tc>
      </w:tr>
      <w:tr w:rsidR="00A70B78" w:rsidRPr="007C6A42" w14:paraId="6CED6BAC" w14:textId="77777777" w:rsidTr="00AF4FC9">
        <w:tc>
          <w:tcPr>
            <w:tcW w:w="851" w:type="dxa"/>
            <w:tcBorders>
              <w:top w:val="single" w:sz="4" w:space="0" w:color="auto"/>
              <w:left w:val="single" w:sz="4" w:space="0" w:color="auto"/>
              <w:bottom w:val="single" w:sz="4" w:space="0" w:color="auto"/>
              <w:right w:val="single" w:sz="4" w:space="0" w:color="auto"/>
            </w:tcBorders>
          </w:tcPr>
          <w:p w14:paraId="6F5BF94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7796" w:type="dxa"/>
            <w:gridSpan w:val="2"/>
            <w:tcBorders>
              <w:top w:val="single" w:sz="4" w:space="0" w:color="auto"/>
              <w:left w:val="single" w:sz="4" w:space="0" w:color="auto"/>
              <w:bottom w:val="single" w:sz="4" w:space="0" w:color="auto"/>
              <w:right w:val="single" w:sz="4" w:space="0" w:color="auto"/>
            </w:tcBorders>
          </w:tcPr>
          <w:p w14:paraId="3676216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qu’ils fassent le tour du Temple originel.</w:t>
            </w:r>
          </w:p>
        </w:tc>
      </w:tr>
      <w:tr w:rsidR="00A70B78" w:rsidRPr="007C6A42" w14:paraId="0174C4BE" w14:textId="77777777" w:rsidTr="00AF4FC9">
        <w:tc>
          <w:tcPr>
            <w:tcW w:w="851" w:type="dxa"/>
            <w:tcBorders>
              <w:top w:val="single" w:sz="4" w:space="0" w:color="auto"/>
              <w:left w:val="single" w:sz="4" w:space="0" w:color="auto"/>
              <w:bottom w:val="single" w:sz="4" w:space="0" w:color="auto"/>
              <w:right w:val="single" w:sz="4" w:space="0" w:color="auto"/>
            </w:tcBorders>
          </w:tcPr>
          <w:p w14:paraId="6B48A93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7796" w:type="dxa"/>
            <w:gridSpan w:val="2"/>
            <w:tcBorders>
              <w:top w:val="single" w:sz="4" w:space="0" w:color="auto"/>
              <w:left w:val="single" w:sz="4" w:space="0" w:color="auto"/>
              <w:bottom w:val="single" w:sz="4" w:space="0" w:color="auto"/>
              <w:right w:val="single" w:sz="4" w:space="0" w:color="auto"/>
            </w:tcBorders>
          </w:tcPr>
          <w:p w14:paraId="5D903CAE" w14:textId="77777777" w:rsidR="00A70B78" w:rsidRPr="007C6A42" w:rsidRDefault="00A70B78" w:rsidP="00AF4FC9">
            <w:pPr>
              <w:spacing w:line="360" w:lineRule="auto"/>
              <w:jc w:val="both"/>
              <w:rPr>
                <w:rFonts w:asciiTheme="majorBidi" w:eastAsia="BatangChe" w:hAnsiTheme="majorBidi" w:cstheme="majorBidi"/>
              </w:rPr>
            </w:pPr>
            <w:r w:rsidRPr="007C6A42">
              <w:rPr>
                <w:rFonts w:asciiTheme="majorBidi" w:eastAsia="Times New Roman" w:hAnsiTheme="majorBidi" w:cstheme="majorBidi"/>
              </w:rPr>
              <w:t>et ils effectuent les tours nécessaires autour du Temple antique*.</w:t>
            </w:r>
            <w:r w:rsidRPr="007C6A42">
              <w:rPr>
                <w:rFonts w:asciiTheme="majorBidi" w:eastAsia="BatangChe" w:hAnsiTheme="majorBidi" w:cstheme="majorBidi"/>
              </w:rPr>
              <w:t xml:space="preserve"> (*</w:t>
            </w:r>
            <w:r w:rsidRPr="007C6A42">
              <w:rPr>
                <w:rFonts w:asciiTheme="majorBidi" w:eastAsia="Times New Roman" w:hAnsiTheme="majorBidi" w:cstheme="majorBidi"/>
                <w:i/>
              </w:rPr>
              <w:t>Al-bayt al-‘atiq</w:t>
            </w:r>
            <w:r w:rsidRPr="007C6A42">
              <w:rPr>
                <w:rFonts w:asciiTheme="majorBidi" w:eastAsia="Times New Roman" w:hAnsiTheme="majorBidi" w:cstheme="majorBidi"/>
              </w:rPr>
              <w:t> : littéralement, la Maison antique.</w:t>
            </w:r>
            <w:r w:rsidRPr="007C6A42">
              <w:rPr>
                <w:rFonts w:asciiTheme="majorBidi" w:eastAsia="BatangChe" w:hAnsiTheme="majorBidi" w:cstheme="majorBidi"/>
              </w:rPr>
              <w:t>)</w:t>
            </w:r>
          </w:p>
        </w:tc>
      </w:tr>
      <w:tr w:rsidR="00A70B78" w:rsidRPr="007C6A42" w14:paraId="323EEC1A" w14:textId="77777777" w:rsidTr="00AF4FC9">
        <w:tc>
          <w:tcPr>
            <w:tcW w:w="851" w:type="dxa"/>
            <w:tcBorders>
              <w:top w:val="single" w:sz="4" w:space="0" w:color="auto"/>
              <w:left w:val="single" w:sz="4" w:space="0" w:color="auto"/>
              <w:bottom w:val="single" w:sz="4" w:space="0" w:color="auto"/>
              <w:right w:val="single" w:sz="4" w:space="0" w:color="auto"/>
            </w:tcBorders>
          </w:tcPr>
          <w:p w14:paraId="77AC653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7796" w:type="dxa"/>
            <w:gridSpan w:val="2"/>
            <w:tcBorders>
              <w:top w:val="single" w:sz="4" w:space="0" w:color="auto"/>
              <w:left w:val="single" w:sz="4" w:space="0" w:color="auto"/>
              <w:bottom w:val="single" w:sz="4" w:space="0" w:color="auto"/>
              <w:right w:val="single" w:sz="4" w:space="0" w:color="auto"/>
            </w:tcBorders>
          </w:tcPr>
          <w:p w14:paraId="2BB3F8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qu’ils fassent la circumambulation autour de la Maison antique. </w:t>
            </w:r>
          </w:p>
        </w:tc>
      </w:tr>
      <w:tr w:rsidR="00A70B78" w:rsidRPr="007C6A42" w14:paraId="262E520B" w14:textId="77777777" w:rsidTr="00AF4FC9">
        <w:tc>
          <w:tcPr>
            <w:tcW w:w="851" w:type="dxa"/>
            <w:tcBorders>
              <w:top w:val="single" w:sz="4" w:space="0" w:color="auto"/>
              <w:left w:val="single" w:sz="4" w:space="0" w:color="auto"/>
              <w:bottom w:val="single" w:sz="4" w:space="0" w:color="auto"/>
              <w:right w:val="single" w:sz="4" w:space="0" w:color="auto"/>
            </w:tcBorders>
          </w:tcPr>
          <w:p w14:paraId="32F466D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7796" w:type="dxa"/>
            <w:gridSpan w:val="2"/>
            <w:tcBorders>
              <w:top w:val="single" w:sz="4" w:space="0" w:color="auto"/>
              <w:left w:val="single" w:sz="4" w:space="0" w:color="auto"/>
              <w:bottom w:val="single" w:sz="4" w:space="0" w:color="auto"/>
              <w:right w:val="single" w:sz="4" w:space="0" w:color="auto"/>
            </w:tcBorders>
          </w:tcPr>
          <w:p w14:paraId="6519B47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et qu'ils tournent autour de l’antique Maison.</w:t>
            </w:r>
          </w:p>
        </w:tc>
      </w:tr>
    </w:tbl>
    <w:p w14:paraId="5A0E24AB"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6BA1A88F"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lang w:bidi="ar-AE"/>
        </w:rPr>
        <w:t xml:space="preserve">L’adjectif </w:t>
      </w:r>
      <w:r w:rsidRPr="007C6A42">
        <w:rPr>
          <w:rFonts w:asciiTheme="majorBidi" w:eastAsia="Times New Roman" w:hAnsiTheme="majorBidi" w:cstheme="majorBidi"/>
          <w:i/>
          <w:iCs/>
          <w:lang w:bidi="ar-AE"/>
        </w:rPr>
        <w:t>ʿatīq</w:t>
      </w:r>
      <w:r w:rsidRPr="007C6A42">
        <w:rPr>
          <w:rFonts w:asciiTheme="majorBidi" w:eastAsia="Times New Roman" w:hAnsiTheme="majorBidi" w:cstheme="majorBidi"/>
          <w:lang w:bidi="ar-AE"/>
        </w:rPr>
        <w:t xml:space="preserve">, qui n’apparaît (2 fois) que dans la sourate al-Ḥajj, est rendu par : « vieil » (Du Ryer), « antique » (Savary, Kazimirski, Masson, Guessous, Grosjean, Chiadmi, Chebel, Abdelaziz, Aldeeb), « Antique » (Blachère, Hamidullah, Chouraqui, Ghédira, Médine, Hafiane), « franche » (Berque), « originel » (Ben Mahmoud). La plupart des traducteurs (15 sur 18) ont choisi l’adjectif « antique » qui renvoie à une signification secondaire de </w:t>
      </w:r>
      <w:r w:rsidRPr="007C6A42">
        <w:rPr>
          <w:rFonts w:asciiTheme="majorBidi" w:eastAsia="Times New Roman" w:hAnsiTheme="majorBidi" w:cstheme="majorBidi"/>
          <w:i/>
          <w:iCs/>
          <w:lang w:bidi="ar-AE"/>
        </w:rPr>
        <w:t>ʿatīq</w:t>
      </w:r>
      <w:r w:rsidRPr="007C6A42">
        <w:rPr>
          <w:rFonts w:asciiTheme="majorBidi" w:eastAsia="Times New Roman" w:hAnsiTheme="majorBidi" w:cstheme="majorBidi"/>
          <w:lang w:bidi="ar-AE"/>
        </w:rPr>
        <w:t>, dont le sens premier est, selon les exégètes, « affranchie des tyrans ou échappée au Déluge ». Seul Berque le mentionne (en note). Kazimirski et Chiadmi ont réduit le champ sémantique du terme en clarifiant dans une note de bas de page qu’il s’agit du temple de La Mecque ou de la Ka’ba. Mais Chebel a fait un allongement redondant en soulignant en note que « </w:t>
      </w:r>
      <w:r w:rsidRPr="007C6A42">
        <w:rPr>
          <w:rFonts w:asciiTheme="majorBidi" w:eastAsia="Times New Roman" w:hAnsiTheme="majorBidi" w:cstheme="majorBidi"/>
          <w:i/>
        </w:rPr>
        <w:t>al-bayt al-ʿatīq</w:t>
      </w:r>
      <w:r w:rsidRPr="007C6A42">
        <w:rPr>
          <w:rFonts w:asciiTheme="majorBidi" w:eastAsia="Times New Roman" w:hAnsiTheme="majorBidi" w:cstheme="majorBidi"/>
        </w:rPr>
        <w:t xml:space="preserve"> signifie littéralement la Maison antique », ce qui est faux au plan lexical, étymologique et exégétique, car </w:t>
      </w:r>
      <w:r w:rsidRPr="007C6A42">
        <w:rPr>
          <w:rFonts w:asciiTheme="majorBidi" w:eastAsia="Times New Roman" w:hAnsiTheme="majorBidi" w:cstheme="majorBidi"/>
          <w:i/>
          <w:iCs/>
          <w:lang w:bidi="ar-AE"/>
        </w:rPr>
        <w:t>ʿatīq</w:t>
      </w:r>
      <w:r w:rsidRPr="007C6A42">
        <w:rPr>
          <w:rFonts w:asciiTheme="majorBidi" w:eastAsia="Times New Roman" w:hAnsiTheme="majorBidi" w:cstheme="majorBidi"/>
          <w:lang w:bidi="ar-AE"/>
        </w:rPr>
        <w:t xml:space="preserve"> est précisément l’antonyme de « esclave » [</w:t>
      </w:r>
      <w:r w:rsidRPr="007C6A42">
        <w:rPr>
          <w:rFonts w:asciiTheme="majorBidi" w:eastAsia="Times New Roman" w:hAnsiTheme="majorBidi" w:cstheme="majorBidi"/>
          <w:i/>
          <w:iCs/>
          <w:lang w:bidi="ar-AE"/>
        </w:rPr>
        <w:t>raqīq</w:t>
      </w:r>
      <w:r w:rsidRPr="007C6A42">
        <w:rPr>
          <w:rFonts w:asciiTheme="majorBidi" w:eastAsia="Times New Roman" w:hAnsiTheme="majorBidi" w:cstheme="majorBidi"/>
          <w:lang w:bidi="ar-AE"/>
        </w:rPr>
        <w:t xml:space="preserve"> ou </w:t>
      </w:r>
      <w:r w:rsidRPr="007C6A42">
        <w:rPr>
          <w:rFonts w:asciiTheme="majorBidi" w:eastAsia="Times New Roman" w:hAnsiTheme="majorBidi" w:cstheme="majorBidi"/>
          <w:i/>
          <w:iCs/>
          <w:lang w:bidi="ar-AE"/>
        </w:rPr>
        <w:t>ʿabd</w:t>
      </w:r>
      <w:r w:rsidRPr="007C6A42">
        <w:rPr>
          <w:rFonts w:asciiTheme="majorBidi" w:eastAsia="Times New Roman" w:hAnsiTheme="majorBidi" w:cstheme="majorBidi"/>
          <w:lang w:bidi="ar-AE"/>
        </w:rPr>
        <w:t>]. Enfin, la traduction de Ben Mahmoud (« originel ») s’éloigne curieusement des significations données par les exégètes et les dictionnaires.</w:t>
      </w:r>
    </w:p>
    <w:p w14:paraId="33CC5A21"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Tous les traducteurs, à l’exception de Berque, insistent donc sur le caractère ancien du Temple de La Mecque, alors que les exégètes mentionnent d’autres significations : </w:t>
      </w:r>
      <w:r w:rsidRPr="007C6A42">
        <w:rPr>
          <w:rFonts w:asciiTheme="majorBidi" w:eastAsia="Times New Roman" w:hAnsiTheme="majorBidi" w:cstheme="majorBidi"/>
        </w:rPr>
        <w:t>« </w:t>
      </w:r>
      <w:r w:rsidRPr="007C6A42">
        <w:rPr>
          <w:rFonts w:asciiTheme="majorBidi" w:eastAsia="Times New Roman" w:hAnsiTheme="majorBidi" w:cstheme="majorBidi"/>
          <w:lang w:bidi="ar-AE"/>
        </w:rPr>
        <w:t>sacrée », « affranchie des tyrans ou du Déluge de Noé », « qui a échappé à la destruction pendant la période préislamique », « là où les pécheurs sont pardonnés », « là où l’âme du pèlerin a été affranchie de l’Enfer et de Satan », etc. C’est le sens de l’affranchissement et de l’émancipation qui prime dans les exégèses, alors que le sens de l’ancienneté prime dans les traductions.</w:t>
      </w:r>
    </w:p>
    <w:p w14:paraId="41AA7848" w14:textId="77777777" w:rsidR="00A70B78" w:rsidRPr="007C6A42" w:rsidRDefault="00A70B78" w:rsidP="00A70B78">
      <w:pPr>
        <w:rPr>
          <w:rFonts w:asciiTheme="majorBidi" w:eastAsia="Times New Roman" w:hAnsiTheme="majorBidi" w:cstheme="majorBidi"/>
          <w:lang w:bidi="ar-AE"/>
        </w:rPr>
      </w:pPr>
    </w:p>
    <w:p w14:paraId="43D54942" w14:textId="77777777" w:rsidR="00A70B78" w:rsidRPr="007C6A42" w:rsidRDefault="00A70B78" w:rsidP="00A70B78">
      <w:pPr>
        <w:spacing w:line="360" w:lineRule="auto"/>
        <w:jc w:val="both"/>
        <w:outlineLvl w:val="0"/>
        <w:rPr>
          <w:rFonts w:asciiTheme="majorBidi" w:eastAsia="Times New Roman" w:hAnsiTheme="majorBidi" w:cstheme="majorBidi"/>
          <w:b/>
          <w:bCs/>
          <w:lang w:bidi="ar-AE"/>
        </w:rPr>
      </w:pPr>
      <w:r w:rsidRPr="007C6A42">
        <w:rPr>
          <w:rFonts w:asciiTheme="majorBidi" w:eastAsia="Times New Roman" w:hAnsiTheme="majorBidi" w:cstheme="majorBidi"/>
          <w:b/>
          <w:bCs/>
          <w:lang w:bidi="ar-AE"/>
        </w:rPr>
        <w:t xml:space="preserve">La traduction du hapax </w:t>
      </w:r>
      <w:r w:rsidRPr="007C6A42">
        <w:rPr>
          <w:rFonts w:asciiTheme="majorBidi" w:eastAsia="Times New Roman" w:hAnsiTheme="majorBidi" w:cstheme="majorBidi"/>
          <w:b/>
          <w:bCs/>
          <w:i/>
          <w:iCs/>
          <w:lang w:bidi="ar-AE"/>
        </w:rPr>
        <w:t>tafath</w:t>
      </w:r>
      <w:r w:rsidRPr="007C6A42">
        <w:rPr>
          <w:rFonts w:asciiTheme="majorBidi" w:eastAsia="Times New Roman" w:hAnsiTheme="majorBidi" w:cstheme="majorBidi"/>
          <w:b/>
          <w:bCs/>
          <w:lang w:bidi="ar-AE"/>
        </w:rPr>
        <w:t xml:space="preserve"> (v. 29) :</w:t>
      </w: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075"/>
      </w:tblGrid>
      <w:tr w:rsidR="00A70B78" w:rsidRPr="007C6A42" w14:paraId="027C21BD" w14:textId="77777777" w:rsidTr="00AF4FC9">
        <w:tc>
          <w:tcPr>
            <w:tcW w:w="9214" w:type="dxa"/>
            <w:gridSpan w:val="2"/>
            <w:tcBorders>
              <w:top w:val="nil"/>
              <w:left w:val="single" w:sz="4" w:space="0" w:color="auto"/>
              <w:bottom w:val="single" w:sz="4" w:space="0" w:color="auto"/>
              <w:right w:val="single" w:sz="4" w:space="0" w:color="auto"/>
            </w:tcBorders>
          </w:tcPr>
          <w:p w14:paraId="6868406A" w14:textId="77777777" w:rsidR="00A70B78" w:rsidRPr="007C6A42" w:rsidRDefault="00A70B78" w:rsidP="00AF4FC9">
            <w:pPr>
              <w:tabs>
                <w:tab w:val="center" w:pos="5704"/>
                <w:tab w:val="left" w:pos="9725"/>
              </w:tabs>
              <w:bidi/>
              <w:spacing w:line="360" w:lineRule="auto"/>
              <w:ind w:firstLine="708"/>
              <w:jc w:val="center"/>
              <w:rPr>
                <w:rFonts w:asciiTheme="majorBidi" w:eastAsia="Times New Roman" w:hAnsiTheme="majorBidi" w:cstheme="majorBidi"/>
                <w:lang w:bidi="ar-KW"/>
              </w:rPr>
            </w:pPr>
            <w:r w:rsidRPr="007C6A42">
              <w:rPr>
                <w:rFonts w:asciiTheme="majorBidi" w:eastAsia="Calibri" w:hAnsiTheme="majorBidi" w:cstheme="majorBidi"/>
                <w:rtl/>
                <w:lang w:bidi="ar-AE"/>
              </w:rPr>
              <w:t>"ثم لْيقْضوا تفَثَ</w:t>
            </w:r>
            <w:r w:rsidRPr="007C6A42">
              <w:rPr>
                <w:rFonts w:asciiTheme="majorBidi" w:eastAsia="Calibri" w:hAnsiTheme="majorBidi" w:cstheme="majorBidi"/>
                <w:rtl/>
                <w:lang w:bidi="ar-KW"/>
              </w:rPr>
              <w:t>ـــ</w:t>
            </w:r>
            <w:r w:rsidRPr="007C6A42">
              <w:rPr>
                <w:rFonts w:asciiTheme="majorBidi" w:eastAsia="Calibri" w:hAnsiTheme="majorBidi" w:cstheme="majorBidi"/>
                <w:rtl/>
                <w:lang w:bidi="ar-AE"/>
              </w:rPr>
              <w:t>هم" (29)</w:t>
            </w:r>
          </w:p>
        </w:tc>
      </w:tr>
      <w:tr w:rsidR="00A70B78" w:rsidRPr="007C6A42" w14:paraId="56DA1D99" w14:textId="77777777" w:rsidTr="00AF4FC9">
        <w:tc>
          <w:tcPr>
            <w:tcW w:w="1135" w:type="dxa"/>
            <w:tcBorders>
              <w:top w:val="single" w:sz="4" w:space="0" w:color="auto"/>
              <w:left w:val="single" w:sz="4" w:space="0" w:color="auto"/>
              <w:bottom w:val="single" w:sz="4" w:space="0" w:color="auto"/>
              <w:right w:val="single" w:sz="4" w:space="0" w:color="auto"/>
            </w:tcBorders>
          </w:tcPr>
          <w:p w14:paraId="6F27137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8079" w:type="dxa"/>
            <w:tcBorders>
              <w:top w:val="single" w:sz="4" w:space="0" w:color="auto"/>
              <w:left w:val="single" w:sz="4" w:space="0" w:color="auto"/>
              <w:bottom w:val="single" w:sz="4" w:space="0" w:color="auto"/>
              <w:right w:val="single" w:sz="4" w:space="0" w:color="auto"/>
            </w:tcBorders>
          </w:tcPr>
          <w:p w14:paraId="4922CB3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p>
        </w:tc>
      </w:tr>
      <w:tr w:rsidR="00A70B78" w:rsidRPr="007C6A42" w14:paraId="0E770877" w14:textId="77777777" w:rsidTr="00AF4FC9">
        <w:tc>
          <w:tcPr>
            <w:tcW w:w="1135" w:type="dxa"/>
            <w:tcBorders>
              <w:top w:val="single" w:sz="4" w:space="0" w:color="auto"/>
              <w:left w:val="single" w:sz="4" w:space="0" w:color="auto"/>
              <w:bottom w:val="single" w:sz="4" w:space="0" w:color="auto"/>
              <w:right w:val="single" w:sz="4" w:space="0" w:color="auto"/>
            </w:tcBorders>
          </w:tcPr>
          <w:p w14:paraId="08AE47A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8079" w:type="dxa"/>
            <w:tcBorders>
              <w:top w:val="single" w:sz="4" w:space="0" w:color="auto"/>
              <w:left w:val="single" w:sz="4" w:space="0" w:color="auto"/>
              <w:bottom w:val="single" w:sz="4" w:space="0" w:color="auto"/>
              <w:right w:val="single" w:sz="4" w:space="0" w:color="auto"/>
            </w:tcBorders>
          </w:tcPr>
          <w:p w14:paraId="20FFC00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quittent tout levain d’infidélité</w:t>
            </w:r>
          </w:p>
        </w:tc>
      </w:tr>
      <w:tr w:rsidR="00A70B78" w:rsidRPr="007C6A42" w14:paraId="687724EF" w14:textId="77777777" w:rsidTr="00AF4FC9">
        <w:tc>
          <w:tcPr>
            <w:tcW w:w="1135" w:type="dxa"/>
            <w:tcBorders>
              <w:top w:val="single" w:sz="4" w:space="0" w:color="auto"/>
              <w:left w:val="single" w:sz="4" w:space="0" w:color="auto"/>
              <w:bottom w:val="single" w:sz="4" w:space="0" w:color="auto"/>
              <w:right w:val="single" w:sz="4" w:space="0" w:color="auto"/>
            </w:tcBorders>
          </w:tcPr>
          <w:p w14:paraId="078C85F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8079" w:type="dxa"/>
            <w:tcBorders>
              <w:top w:val="single" w:sz="4" w:space="0" w:color="auto"/>
              <w:left w:val="single" w:sz="4" w:space="0" w:color="auto"/>
              <w:bottom w:val="single" w:sz="4" w:space="0" w:color="auto"/>
              <w:right w:val="single" w:sz="4" w:space="0" w:color="auto"/>
            </w:tcBorders>
          </w:tcPr>
          <w:p w14:paraId="34FCFCB3"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Mettez un terme à la négligence par rapport à votre extérieur* (*Par ce verset, Muhammad insinue aux musulmans de raser leurs têtes, couper leurs ongles, etc.)</w:t>
            </w:r>
          </w:p>
        </w:tc>
      </w:tr>
      <w:tr w:rsidR="00A70B78" w:rsidRPr="007C6A42" w14:paraId="5E9D7200" w14:textId="77777777" w:rsidTr="00AF4FC9">
        <w:tc>
          <w:tcPr>
            <w:tcW w:w="1135" w:type="dxa"/>
            <w:tcBorders>
              <w:top w:val="single" w:sz="4" w:space="0" w:color="auto"/>
              <w:left w:val="single" w:sz="4" w:space="0" w:color="auto"/>
              <w:bottom w:val="single" w:sz="4" w:space="0" w:color="auto"/>
              <w:right w:val="single" w:sz="4" w:space="0" w:color="auto"/>
            </w:tcBorders>
          </w:tcPr>
          <w:p w14:paraId="3DD0D0B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8079" w:type="dxa"/>
            <w:tcBorders>
              <w:top w:val="single" w:sz="4" w:space="0" w:color="auto"/>
              <w:left w:val="single" w:sz="4" w:space="0" w:color="auto"/>
              <w:bottom w:val="single" w:sz="4" w:space="0" w:color="auto"/>
              <w:right w:val="single" w:sz="4" w:space="0" w:color="auto"/>
            </w:tcBorders>
          </w:tcPr>
          <w:p w14:paraId="0EE4124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mettent fin ensuite à leurs interdits !* (*</w:t>
            </w:r>
            <w:r w:rsidRPr="007C6A42">
              <w:rPr>
                <w:rFonts w:asciiTheme="majorBidi" w:eastAsia="Times New Roman" w:hAnsiTheme="majorBidi" w:cstheme="majorBidi"/>
                <w:i/>
              </w:rPr>
              <w:t xml:space="preserve">Qu’ils mettent fin ensuite à leurs interdits. </w:t>
            </w:r>
            <w:r w:rsidRPr="007C6A42">
              <w:rPr>
                <w:rFonts w:asciiTheme="majorBidi" w:eastAsia="Times New Roman" w:hAnsiTheme="majorBidi" w:cstheme="majorBidi"/>
              </w:rPr>
              <w:t xml:space="preserve">Le Pèlerin, au cours du Pèlerinage, ne doit ni se parfumer, ni s’épiler, ni se tailler la barbe et les ongles. Ces interdits ne cessent qu’une fois le Pèlerinage achevé. // </w:t>
            </w:r>
            <w:r w:rsidRPr="007C6A42">
              <w:rPr>
                <w:rFonts w:asciiTheme="majorBidi" w:eastAsia="Times New Roman" w:hAnsiTheme="majorBidi" w:cstheme="majorBidi"/>
                <w:i/>
              </w:rPr>
              <w:t xml:space="preserve">Qu’ils accomplissent… Antique. </w:t>
            </w:r>
            <w:r w:rsidRPr="007C6A42">
              <w:rPr>
                <w:rFonts w:asciiTheme="majorBidi" w:eastAsia="Times New Roman" w:hAnsiTheme="majorBidi" w:cstheme="majorBidi"/>
              </w:rPr>
              <w:t>Ce rite, un des « piliers » du Pèlerinage, marque la désacralisation complète du Pèlerin qui voit par lui cesser l’interdit sexuel.)</w:t>
            </w:r>
          </w:p>
        </w:tc>
      </w:tr>
      <w:tr w:rsidR="00A70B78" w:rsidRPr="007C6A42" w14:paraId="4D724CD7" w14:textId="77777777" w:rsidTr="00AF4FC9">
        <w:tc>
          <w:tcPr>
            <w:tcW w:w="1135" w:type="dxa"/>
            <w:tcBorders>
              <w:top w:val="single" w:sz="4" w:space="0" w:color="auto"/>
              <w:left w:val="single" w:sz="4" w:space="0" w:color="auto"/>
              <w:bottom w:val="single" w:sz="4" w:space="0" w:color="auto"/>
              <w:right w:val="single" w:sz="4" w:space="0" w:color="auto"/>
            </w:tcBorders>
          </w:tcPr>
          <w:p w14:paraId="592B45C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8079" w:type="dxa"/>
            <w:tcBorders>
              <w:top w:val="single" w:sz="4" w:space="0" w:color="auto"/>
              <w:left w:val="single" w:sz="4" w:space="0" w:color="auto"/>
              <w:bottom w:val="single" w:sz="4" w:space="0" w:color="auto"/>
              <w:right w:val="single" w:sz="4" w:space="0" w:color="auto"/>
            </w:tcBorders>
          </w:tcPr>
          <w:p w14:paraId="6C211D6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ôtent ensuite leur crasse</w:t>
            </w:r>
          </w:p>
        </w:tc>
      </w:tr>
      <w:tr w:rsidR="00A70B78" w:rsidRPr="007C6A42" w14:paraId="2C06DC82" w14:textId="77777777" w:rsidTr="00AF4FC9">
        <w:tc>
          <w:tcPr>
            <w:tcW w:w="1135" w:type="dxa"/>
            <w:tcBorders>
              <w:top w:val="single" w:sz="4" w:space="0" w:color="auto"/>
              <w:left w:val="single" w:sz="4" w:space="0" w:color="auto"/>
              <w:bottom w:val="single" w:sz="4" w:space="0" w:color="auto"/>
              <w:right w:val="single" w:sz="4" w:space="0" w:color="auto"/>
            </w:tcBorders>
          </w:tcPr>
          <w:p w14:paraId="34FAAC2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8079" w:type="dxa"/>
            <w:tcBorders>
              <w:top w:val="single" w:sz="4" w:space="0" w:color="auto"/>
              <w:left w:val="single" w:sz="4" w:space="0" w:color="auto"/>
              <w:bottom w:val="single" w:sz="4" w:space="0" w:color="auto"/>
              <w:right w:val="single" w:sz="4" w:space="0" w:color="auto"/>
            </w:tcBorders>
          </w:tcPr>
          <w:p w14:paraId="0FAAF1B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mettent ensuite fin à leurs interdits</w:t>
            </w:r>
          </w:p>
        </w:tc>
      </w:tr>
      <w:tr w:rsidR="00A70B78" w:rsidRPr="007C6A42" w14:paraId="6412704A" w14:textId="77777777" w:rsidTr="00AF4FC9">
        <w:tc>
          <w:tcPr>
            <w:tcW w:w="1135" w:type="dxa"/>
            <w:tcBorders>
              <w:top w:val="single" w:sz="4" w:space="0" w:color="auto"/>
              <w:left w:val="single" w:sz="4" w:space="0" w:color="auto"/>
              <w:bottom w:val="single" w:sz="4" w:space="0" w:color="auto"/>
              <w:right w:val="single" w:sz="4" w:space="0" w:color="auto"/>
            </w:tcBorders>
          </w:tcPr>
          <w:p w14:paraId="1E462C7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8079" w:type="dxa"/>
            <w:tcBorders>
              <w:top w:val="single" w:sz="4" w:space="0" w:color="auto"/>
              <w:left w:val="single" w:sz="4" w:space="0" w:color="auto"/>
              <w:bottom w:val="single" w:sz="4" w:space="0" w:color="auto"/>
              <w:right w:val="single" w:sz="4" w:space="0" w:color="auto"/>
            </w:tcBorders>
          </w:tcPr>
          <w:p w14:paraId="05247E6B"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Ensuite qu’ils rompent leurs interdits</w:t>
            </w:r>
          </w:p>
        </w:tc>
      </w:tr>
      <w:tr w:rsidR="00A70B78" w:rsidRPr="007C6A42" w14:paraId="40E2CE79" w14:textId="77777777" w:rsidTr="00AF4FC9">
        <w:tc>
          <w:tcPr>
            <w:tcW w:w="1135" w:type="dxa"/>
            <w:tcBorders>
              <w:top w:val="single" w:sz="4" w:space="0" w:color="auto"/>
              <w:left w:val="single" w:sz="4" w:space="0" w:color="auto"/>
              <w:bottom w:val="single" w:sz="4" w:space="0" w:color="auto"/>
              <w:right w:val="single" w:sz="4" w:space="0" w:color="auto"/>
            </w:tcBorders>
          </w:tcPr>
          <w:p w14:paraId="326AA12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8079" w:type="dxa"/>
            <w:tcBorders>
              <w:top w:val="single" w:sz="4" w:space="0" w:color="auto"/>
              <w:left w:val="single" w:sz="4" w:space="0" w:color="auto"/>
              <w:bottom w:val="single" w:sz="4" w:space="0" w:color="auto"/>
              <w:right w:val="single" w:sz="4" w:space="0" w:color="auto"/>
            </w:tcBorders>
          </w:tcPr>
          <w:p w14:paraId="3FB5EA1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Ils auront ensuite à mettre fin à leur négligence physique</w:t>
            </w:r>
          </w:p>
        </w:tc>
      </w:tr>
      <w:tr w:rsidR="00A70B78" w:rsidRPr="007C6A42" w14:paraId="413E2DB7" w14:textId="77777777" w:rsidTr="00AF4FC9">
        <w:tc>
          <w:tcPr>
            <w:tcW w:w="1135" w:type="dxa"/>
            <w:tcBorders>
              <w:top w:val="single" w:sz="4" w:space="0" w:color="auto"/>
              <w:left w:val="single" w:sz="4" w:space="0" w:color="auto"/>
              <w:bottom w:val="single" w:sz="4" w:space="0" w:color="auto"/>
              <w:right w:val="single" w:sz="4" w:space="0" w:color="auto"/>
            </w:tcBorders>
          </w:tcPr>
          <w:p w14:paraId="5817C86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8079" w:type="dxa"/>
            <w:tcBorders>
              <w:top w:val="single" w:sz="4" w:space="0" w:color="auto"/>
              <w:left w:val="single" w:sz="4" w:space="0" w:color="auto"/>
              <w:bottom w:val="single" w:sz="4" w:space="0" w:color="auto"/>
              <w:right w:val="single" w:sz="4" w:space="0" w:color="auto"/>
            </w:tcBorders>
          </w:tcPr>
          <w:p w14:paraId="237100F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Puis qu’ils mettent fin à leurs interdits (qu’ils nettoient leurs corps)</w:t>
            </w:r>
          </w:p>
        </w:tc>
      </w:tr>
      <w:tr w:rsidR="00A70B78" w:rsidRPr="007C6A42" w14:paraId="7434538E" w14:textId="77777777" w:rsidTr="00AF4FC9">
        <w:tc>
          <w:tcPr>
            <w:tcW w:w="1135" w:type="dxa"/>
            <w:tcBorders>
              <w:top w:val="single" w:sz="4" w:space="0" w:color="auto"/>
              <w:left w:val="single" w:sz="4" w:space="0" w:color="auto"/>
              <w:bottom w:val="single" w:sz="4" w:space="0" w:color="auto"/>
              <w:right w:val="single" w:sz="4" w:space="0" w:color="auto"/>
            </w:tcBorders>
          </w:tcPr>
          <w:p w14:paraId="096C8B3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8079" w:type="dxa"/>
            <w:tcBorders>
              <w:top w:val="single" w:sz="4" w:space="0" w:color="auto"/>
              <w:left w:val="single" w:sz="4" w:space="0" w:color="auto"/>
              <w:bottom w:val="single" w:sz="4" w:space="0" w:color="auto"/>
              <w:right w:val="single" w:sz="4" w:space="0" w:color="auto"/>
            </w:tcBorders>
          </w:tcPr>
          <w:p w14:paraId="2426811F" w14:textId="77777777" w:rsidR="00A70B78" w:rsidRPr="007C6A42" w:rsidRDefault="00A70B78" w:rsidP="00AF4FC9">
            <w:pPr>
              <w:spacing w:line="360" w:lineRule="auto"/>
              <w:contextualSpacing/>
              <w:jc w:val="both"/>
              <w:rPr>
                <w:rFonts w:asciiTheme="majorBidi" w:eastAsia="Times New Roman" w:hAnsiTheme="majorBidi" w:cstheme="majorBidi"/>
                <w:lang w:bidi="ar-AE"/>
              </w:rPr>
            </w:pPr>
            <w:r w:rsidRPr="007C6A42">
              <w:rPr>
                <w:rFonts w:asciiTheme="majorBidi" w:eastAsia="Calibri" w:hAnsiTheme="majorBidi" w:cstheme="majorBidi"/>
                <w:lang w:bidi="ar-AE"/>
              </w:rPr>
              <w:t>et puis qu’ils éliminent leurs excroissances</w:t>
            </w:r>
          </w:p>
        </w:tc>
      </w:tr>
      <w:tr w:rsidR="00A70B78" w:rsidRPr="007C6A42" w14:paraId="2C99A0FE" w14:textId="77777777" w:rsidTr="00AF4FC9">
        <w:tc>
          <w:tcPr>
            <w:tcW w:w="1135" w:type="dxa"/>
            <w:tcBorders>
              <w:top w:val="single" w:sz="4" w:space="0" w:color="auto"/>
              <w:left w:val="single" w:sz="4" w:space="0" w:color="auto"/>
              <w:bottom w:val="single" w:sz="4" w:space="0" w:color="auto"/>
              <w:right w:val="single" w:sz="4" w:space="0" w:color="auto"/>
            </w:tcBorders>
          </w:tcPr>
          <w:p w14:paraId="167671D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8079" w:type="dxa"/>
            <w:tcBorders>
              <w:top w:val="single" w:sz="4" w:space="0" w:color="auto"/>
              <w:left w:val="single" w:sz="4" w:space="0" w:color="auto"/>
              <w:bottom w:val="single" w:sz="4" w:space="0" w:color="auto"/>
              <w:right w:val="single" w:sz="4" w:space="0" w:color="auto"/>
            </w:tcBorders>
          </w:tcPr>
          <w:p w14:paraId="58FAE7C0" w14:textId="77777777" w:rsidR="00A70B78" w:rsidRPr="007C6A42" w:rsidRDefault="00A70B78" w:rsidP="00AF4FC9">
            <w:pPr>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Purifiez-vous</w:t>
            </w:r>
          </w:p>
        </w:tc>
      </w:tr>
      <w:tr w:rsidR="00A70B78" w:rsidRPr="007C6A42" w14:paraId="5209952D" w14:textId="77777777" w:rsidTr="00AF4FC9">
        <w:tc>
          <w:tcPr>
            <w:tcW w:w="1135" w:type="dxa"/>
            <w:tcBorders>
              <w:top w:val="single" w:sz="4" w:space="0" w:color="auto"/>
              <w:left w:val="single" w:sz="4" w:space="0" w:color="auto"/>
              <w:bottom w:val="single" w:sz="4" w:space="0" w:color="auto"/>
              <w:right w:val="single" w:sz="4" w:space="0" w:color="auto"/>
            </w:tcBorders>
          </w:tcPr>
          <w:p w14:paraId="1CC20DD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8079" w:type="dxa"/>
            <w:tcBorders>
              <w:top w:val="single" w:sz="4" w:space="0" w:color="auto"/>
              <w:left w:val="single" w:sz="4" w:space="0" w:color="auto"/>
              <w:bottom w:val="single" w:sz="4" w:space="0" w:color="auto"/>
              <w:right w:val="single" w:sz="4" w:space="0" w:color="auto"/>
            </w:tcBorders>
          </w:tcPr>
          <w:p w14:paraId="5B9A85BD" w14:textId="77777777" w:rsidR="00A70B78" w:rsidRPr="007C6A42" w:rsidRDefault="00A70B78" w:rsidP="00AF4FC9">
            <w:pPr>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Puis, qu’ils mettent fin à leurs interdits</w:t>
            </w:r>
          </w:p>
        </w:tc>
      </w:tr>
      <w:tr w:rsidR="00A70B78" w:rsidRPr="007C6A42" w14:paraId="5D1BAF2C" w14:textId="77777777" w:rsidTr="00AF4FC9">
        <w:tc>
          <w:tcPr>
            <w:tcW w:w="1135" w:type="dxa"/>
            <w:tcBorders>
              <w:top w:val="single" w:sz="4" w:space="0" w:color="auto"/>
              <w:left w:val="single" w:sz="4" w:space="0" w:color="auto"/>
              <w:bottom w:val="single" w:sz="4" w:space="0" w:color="auto"/>
              <w:right w:val="single" w:sz="4" w:space="0" w:color="auto"/>
            </w:tcBorders>
          </w:tcPr>
          <w:p w14:paraId="54ACC04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8079" w:type="dxa"/>
            <w:tcBorders>
              <w:top w:val="single" w:sz="4" w:space="0" w:color="auto"/>
              <w:left w:val="single" w:sz="4" w:space="0" w:color="auto"/>
              <w:bottom w:val="single" w:sz="4" w:space="0" w:color="auto"/>
              <w:right w:val="single" w:sz="4" w:space="0" w:color="auto"/>
            </w:tcBorders>
          </w:tcPr>
          <w:p w14:paraId="025A4BD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mettent fin alors à leurs interdits</w:t>
            </w:r>
          </w:p>
        </w:tc>
      </w:tr>
      <w:tr w:rsidR="00A70B78" w:rsidRPr="007C6A42" w14:paraId="0947F2DB" w14:textId="77777777" w:rsidTr="00AF4FC9">
        <w:tc>
          <w:tcPr>
            <w:tcW w:w="1135" w:type="dxa"/>
            <w:tcBorders>
              <w:top w:val="single" w:sz="4" w:space="0" w:color="auto"/>
              <w:left w:val="single" w:sz="4" w:space="0" w:color="auto"/>
              <w:bottom w:val="single" w:sz="4" w:space="0" w:color="auto"/>
              <w:right w:val="single" w:sz="4" w:space="0" w:color="auto"/>
            </w:tcBorders>
          </w:tcPr>
          <w:p w14:paraId="0A1C1CC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8079" w:type="dxa"/>
            <w:tcBorders>
              <w:top w:val="single" w:sz="4" w:space="0" w:color="auto"/>
              <w:left w:val="single" w:sz="4" w:space="0" w:color="auto"/>
              <w:bottom w:val="single" w:sz="4" w:space="0" w:color="auto"/>
              <w:right w:val="single" w:sz="4" w:space="0" w:color="auto"/>
            </w:tcBorders>
          </w:tcPr>
          <w:p w14:paraId="7389D1F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Puis qu’ils se délient de leurs interdits* (*Après le sacrifice, le pèlerinage est pratiquement fini. Bien que le pèlerin doit rester en état de sacralisation (</w:t>
            </w:r>
            <w:r w:rsidRPr="007C6A42">
              <w:rPr>
                <w:rFonts w:asciiTheme="majorBidi" w:eastAsia="Times New Roman" w:hAnsiTheme="majorBidi" w:cstheme="majorBidi"/>
                <w:i/>
              </w:rPr>
              <w:t>ihrâm</w:t>
            </w:r>
            <w:r w:rsidRPr="007C6A42">
              <w:rPr>
                <w:rFonts w:asciiTheme="majorBidi" w:eastAsia="Times New Roman" w:hAnsiTheme="majorBidi" w:cstheme="majorBidi"/>
              </w:rPr>
              <w:t>), il lui est permis de se couper les ongles, les cheveux, et de faire ce qu’il lui était auparavant interdit, excepté d’avoir des rapports sexuels.)</w:t>
            </w:r>
          </w:p>
        </w:tc>
      </w:tr>
      <w:tr w:rsidR="00A70B78" w:rsidRPr="007C6A42" w14:paraId="19F748B1" w14:textId="77777777" w:rsidTr="00AF4FC9">
        <w:tc>
          <w:tcPr>
            <w:tcW w:w="1135" w:type="dxa"/>
            <w:tcBorders>
              <w:top w:val="single" w:sz="4" w:space="0" w:color="auto"/>
              <w:left w:val="single" w:sz="4" w:space="0" w:color="auto"/>
              <w:bottom w:val="single" w:sz="4" w:space="0" w:color="auto"/>
              <w:right w:val="single" w:sz="4" w:space="0" w:color="auto"/>
            </w:tcBorders>
          </w:tcPr>
          <w:p w14:paraId="283C69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8079" w:type="dxa"/>
            <w:tcBorders>
              <w:top w:val="single" w:sz="4" w:space="0" w:color="auto"/>
              <w:left w:val="single" w:sz="4" w:space="0" w:color="auto"/>
              <w:bottom w:val="single" w:sz="4" w:space="0" w:color="auto"/>
              <w:right w:val="single" w:sz="4" w:space="0" w:color="auto"/>
            </w:tcBorders>
          </w:tcPr>
          <w:p w14:paraId="3096884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Qu’ils donnent leurs soins au corps</w:t>
            </w:r>
          </w:p>
        </w:tc>
      </w:tr>
      <w:tr w:rsidR="00A70B78" w:rsidRPr="007C6A42" w14:paraId="200273D3" w14:textId="77777777" w:rsidTr="00AF4FC9">
        <w:tc>
          <w:tcPr>
            <w:tcW w:w="1135" w:type="dxa"/>
            <w:tcBorders>
              <w:top w:val="single" w:sz="4" w:space="0" w:color="auto"/>
              <w:left w:val="single" w:sz="4" w:space="0" w:color="auto"/>
              <w:bottom w:val="single" w:sz="4" w:space="0" w:color="auto"/>
              <w:right w:val="single" w:sz="4" w:space="0" w:color="auto"/>
            </w:tcBorders>
          </w:tcPr>
          <w:p w14:paraId="3EAC5E8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8079" w:type="dxa"/>
            <w:tcBorders>
              <w:top w:val="single" w:sz="4" w:space="0" w:color="auto"/>
              <w:left w:val="single" w:sz="4" w:space="0" w:color="auto"/>
              <w:bottom w:val="single" w:sz="4" w:space="0" w:color="auto"/>
              <w:right w:val="single" w:sz="4" w:space="0" w:color="auto"/>
            </w:tcBorders>
          </w:tcPr>
          <w:p w14:paraId="75B4468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Après quoi, ils mettent fin à leurs interdits</w:t>
            </w:r>
          </w:p>
        </w:tc>
      </w:tr>
      <w:tr w:rsidR="00A70B78" w:rsidRPr="007C6A42" w14:paraId="2A62350B" w14:textId="77777777" w:rsidTr="00AF4FC9">
        <w:tc>
          <w:tcPr>
            <w:tcW w:w="1135" w:type="dxa"/>
            <w:tcBorders>
              <w:top w:val="single" w:sz="4" w:space="0" w:color="auto"/>
              <w:left w:val="single" w:sz="4" w:space="0" w:color="auto"/>
              <w:bottom w:val="single" w:sz="4" w:space="0" w:color="auto"/>
              <w:right w:val="single" w:sz="4" w:space="0" w:color="auto"/>
            </w:tcBorders>
          </w:tcPr>
          <w:p w14:paraId="192223E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8079" w:type="dxa"/>
            <w:tcBorders>
              <w:top w:val="single" w:sz="4" w:space="0" w:color="auto"/>
              <w:left w:val="single" w:sz="4" w:space="0" w:color="auto"/>
              <w:bottom w:val="single" w:sz="4" w:space="0" w:color="auto"/>
              <w:right w:val="single" w:sz="4" w:space="0" w:color="auto"/>
            </w:tcBorders>
          </w:tcPr>
          <w:p w14:paraId="4DC8C60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Ensuite, qu’ils se délient de leurs interdits</w:t>
            </w:r>
          </w:p>
        </w:tc>
      </w:tr>
      <w:tr w:rsidR="00A70B78" w:rsidRPr="007C6A42" w14:paraId="5B551715" w14:textId="77777777" w:rsidTr="00AF4FC9">
        <w:tc>
          <w:tcPr>
            <w:tcW w:w="1135" w:type="dxa"/>
            <w:tcBorders>
              <w:top w:val="single" w:sz="4" w:space="0" w:color="auto"/>
              <w:left w:val="single" w:sz="4" w:space="0" w:color="auto"/>
              <w:bottom w:val="single" w:sz="4" w:space="0" w:color="auto"/>
              <w:right w:val="single" w:sz="4" w:space="0" w:color="auto"/>
            </w:tcBorders>
          </w:tcPr>
          <w:p w14:paraId="14999E7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8079" w:type="dxa"/>
            <w:tcBorders>
              <w:top w:val="single" w:sz="4" w:space="0" w:color="auto"/>
              <w:left w:val="single" w:sz="4" w:space="0" w:color="auto"/>
              <w:bottom w:val="single" w:sz="4" w:space="0" w:color="auto"/>
              <w:right w:val="single" w:sz="4" w:space="0" w:color="auto"/>
            </w:tcBorders>
          </w:tcPr>
          <w:p w14:paraId="64603EC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Puis qu’ils achèvent leurs interdits</w:t>
            </w:r>
          </w:p>
        </w:tc>
      </w:tr>
    </w:tbl>
    <w:p w14:paraId="6A6362B5" w14:textId="77777777" w:rsidR="00A70B78" w:rsidRPr="007C6A42" w:rsidRDefault="00A70B78" w:rsidP="00A70B78">
      <w:pPr>
        <w:spacing w:line="360" w:lineRule="auto"/>
        <w:ind w:firstLine="360"/>
        <w:contextualSpacing/>
        <w:jc w:val="both"/>
        <w:rPr>
          <w:rFonts w:asciiTheme="majorBidi" w:eastAsia="Times New Roman" w:hAnsiTheme="majorBidi" w:cstheme="majorBidi"/>
          <w:lang w:bidi="ar-AE"/>
        </w:rPr>
      </w:pPr>
    </w:p>
    <w:p w14:paraId="01CEB10B" w14:textId="77777777" w:rsidR="00A70B78" w:rsidRPr="007C6A42" w:rsidRDefault="00A70B78" w:rsidP="00A70B78">
      <w:pPr>
        <w:spacing w:line="360" w:lineRule="auto"/>
        <w:ind w:firstLine="360"/>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Inconnu de beaucoup d’exégètes et de linguistes arabes, le terme </w:t>
      </w:r>
      <w:r w:rsidRPr="007C6A42">
        <w:rPr>
          <w:rFonts w:asciiTheme="majorBidi" w:eastAsia="Times New Roman" w:hAnsiTheme="majorBidi" w:cstheme="majorBidi"/>
          <w:i/>
          <w:iCs/>
          <w:lang w:bidi="ar-AE"/>
        </w:rPr>
        <w:t>tafath</w:t>
      </w:r>
      <w:r w:rsidRPr="007C6A42">
        <w:rPr>
          <w:rFonts w:asciiTheme="majorBidi" w:eastAsia="Times New Roman" w:hAnsiTheme="majorBidi" w:cstheme="majorBidi"/>
          <w:lang w:bidi="ar-AE"/>
        </w:rPr>
        <w:t xml:space="preserve"> pourrait désigner : « la crasse », « le rituel d’éliminer la crasse », « la coupe des cheveux et des ongles », « les rites du sacrifice et de la lapidation de Satan », « le passage d’une étape à une autre dans le pèlerinage », « proférer des paroles mauvaises », « avoir droit à mettre du parfum », « la prière de l’aube à Muzdalifa », etc.</w:t>
      </w:r>
    </w:p>
    <w:p w14:paraId="716AAD10" w14:textId="77777777" w:rsidR="00A70B78" w:rsidRPr="007C6A42" w:rsidRDefault="00A70B78" w:rsidP="00A70B78">
      <w:pPr>
        <w:spacing w:line="360" w:lineRule="auto"/>
        <w:jc w:val="both"/>
        <w:rPr>
          <w:rFonts w:asciiTheme="majorBidi" w:eastAsia="Times New Roman" w:hAnsiTheme="majorBidi" w:cstheme="majorBidi"/>
          <w:lang w:bidi="ar-AE"/>
        </w:rPr>
      </w:pPr>
    </w:p>
    <w:p w14:paraId="247E3641" w14:textId="77777777" w:rsidR="00A70B78" w:rsidRPr="007C6A42" w:rsidRDefault="00A70B78" w:rsidP="00A70B78">
      <w:pPr>
        <w:spacing w:line="360" w:lineRule="auto"/>
        <w:ind w:firstLine="360"/>
        <w:jc w:val="both"/>
        <w:rPr>
          <w:rFonts w:asciiTheme="majorBidi" w:eastAsia="Calibri" w:hAnsiTheme="majorBidi" w:cstheme="majorBidi"/>
          <w:lang w:bidi="ar-AE"/>
        </w:rPr>
      </w:pPr>
      <w:r w:rsidRPr="007C6A42">
        <w:rPr>
          <w:rFonts w:asciiTheme="majorBidi" w:eastAsia="Times New Roman" w:hAnsiTheme="majorBidi" w:cstheme="majorBidi"/>
          <w:lang w:bidi="ar-AE"/>
        </w:rPr>
        <w:t xml:space="preserve">Les traductions françaises de </w:t>
      </w:r>
      <w:r w:rsidRPr="007C6A42">
        <w:rPr>
          <w:rFonts w:asciiTheme="majorBidi" w:eastAsia="Times New Roman" w:hAnsiTheme="majorBidi" w:cstheme="majorBidi"/>
          <w:i/>
          <w:iCs/>
          <w:lang w:bidi="ar-AE"/>
        </w:rPr>
        <w:t>tafath</w:t>
      </w:r>
      <w:r w:rsidRPr="007C6A42">
        <w:rPr>
          <w:rFonts w:asciiTheme="majorBidi" w:eastAsia="Times New Roman" w:hAnsiTheme="majorBidi" w:cstheme="majorBidi"/>
          <w:lang w:bidi="ar-AE"/>
        </w:rPr>
        <w:t xml:space="preserve"> (« </w:t>
      </w:r>
      <w:r w:rsidRPr="007C6A42">
        <w:rPr>
          <w:rFonts w:asciiTheme="majorBidi" w:eastAsia="Times New Roman" w:hAnsiTheme="majorBidi" w:cstheme="majorBidi"/>
        </w:rPr>
        <w:t>levain d’infidélité »</w:t>
      </w:r>
      <w:r w:rsidRPr="007C6A42">
        <w:rPr>
          <w:rFonts w:asciiTheme="majorBidi" w:eastAsia="Times New Roman" w:hAnsiTheme="majorBidi" w:cstheme="majorBidi"/>
          <w:lang w:bidi="ar-AE"/>
        </w:rPr>
        <w:t>, « </w:t>
      </w:r>
      <w:r w:rsidRPr="007C6A42">
        <w:rPr>
          <w:rFonts w:asciiTheme="majorBidi" w:eastAsia="Times New Roman" w:hAnsiTheme="majorBidi" w:cstheme="majorBidi"/>
        </w:rPr>
        <w:t>négligence par rapport à votre extérieur »</w:t>
      </w:r>
      <w:r w:rsidRPr="007C6A42">
        <w:rPr>
          <w:rFonts w:asciiTheme="majorBidi" w:eastAsia="Times New Roman" w:hAnsiTheme="majorBidi" w:cstheme="majorBidi"/>
          <w:lang w:bidi="ar-AE"/>
        </w:rPr>
        <w:t>,</w:t>
      </w:r>
      <w:r w:rsidRPr="007C6A42">
        <w:rPr>
          <w:rFonts w:asciiTheme="majorBidi" w:eastAsia="Times New Roman" w:hAnsiTheme="majorBidi" w:cstheme="majorBidi"/>
        </w:rPr>
        <w:t xml:space="preserve"> « négligence physique »</w:t>
      </w:r>
      <w:r w:rsidRPr="007C6A42">
        <w:rPr>
          <w:rFonts w:asciiTheme="majorBidi" w:eastAsia="Times New Roman" w:hAnsiTheme="majorBidi" w:cstheme="majorBidi"/>
          <w:lang w:bidi="ar-AE"/>
        </w:rPr>
        <w:t>, « </w:t>
      </w:r>
      <w:r w:rsidRPr="007C6A42">
        <w:rPr>
          <w:rFonts w:asciiTheme="majorBidi" w:eastAsia="Times New Roman" w:hAnsiTheme="majorBidi" w:cstheme="majorBidi"/>
        </w:rPr>
        <w:t>interdits »</w:t>
      </w:r>
      <w:r w:rsidRPr="007C6A42">
        <w:rPr>
          <w:rFonts w:asciiTheme="majorBidi" w:eastAsia="Times New Roman" w:hAnsiTheme="majorBidi" w:cstheme="majorBidi"/>
          <w:lang w:bidi="ar-AE"/>
        </w:rPr>
        <w:t xml:space="preserve"> (10 fois), « </w:t>
      </w:r>
      <w:r w:rsidRPr="007C6A42">
        <w:rPr>
          <w:rFonts w:asciiTheme="majorBidi" w:eastAsia="Times New Roman" w:hAnsiTheme="majorBidi" w:cstheme="majorBidi"/>
        </w:rPr>
        <w:t>crasse »</w:t>
      </w:r>
      <w:r w:rsidRPr="007C6A42">
        <w:rPr>
          <w:rFonts w:asciiTheme="majorBidi" w:eastAsia="Times New Roman" w:hAnsiTheme="majorBidi" w:cstheme="majorBidi"/>
          <w:lang w:bidi="ar-AE"/>
        </w:rPr>
        <w:t>, « </w:t>
      </w:r>
      <w:r w:rsidRPr="007C6A42">
        <w:rPr>
          <w:rFonts w:asciiTheme="majorBidi" w:eastAsia="Calibri" w:hAnsiTheme="majorBidi" w:cstheme="majorBidi"/>
          <w:lang w:bidi="ar-AE"/>
        </w:rPr>
        <w:t>Purifiez-vous », « </w:t>
      </w:r>
      <w:r w:rsidRPr="007C6A42">
        <w:rPr>
          <w:rFonts w:asciiTheme="majorBidi" w:eastAsia="Times New Roman" w:hAnsiTheme="majorBidi" w:cstheme="majorBidi"/>
        </w:rPr>
        <w:t>soins au corps »</w:t>
      </w:r>
      <w:r w:rsidRPr="007C6A42">
        <w:rPr>
          <w:rFonts w:asciiTheme="majorBidi" w:eastAsia="Calibri" w:hAnsiTheme="majorBidi" w:cstheme="majorBidi"/>
          <w:lang w:bidi="ar-AE"/>
        </w:rPr>
        <w:t>)</w:t>
      </w:r>
      <w:r w:rsidRPr="007C6A42">
        <w:rPr>
          <w:rFonts w:asciiTheme="majorBidi" w:eastAsia="Times New Roman" w:hAnsiTheme="majorBidi" w:cstheme="majorBidi"/>
          <w:b/>
          <w:bCs/>
          <w:lang w:bidi="ar-AE"/>
        </w:rPr>
        <w:t xml:space="preserve"> </w:t>
      </w:r>
      <w:r w:rsidRPr="007C6A42">
        <w:rPr>
          <w:rFonts w:asciiTheme="majorBidi" w:eastAsia="Times New Roman" w:hAnsiTheme="majorBidi" w:cstheme="majorBidi"/>
          <w:lang w:bidi="ar-AE"/>
        </w:rPr>
        <w:t>insiste généralement sur deux idées : la négligence physique et les interdits ;</w:t>
      </w:r>
      <w:r w:rsidRPr="007C6A42">
        <w:rPr>
          <w:rFonts w:asciiTheme="majorBidi" w:eastAsia="Calibri" w:hAnsiTheme="majorBidi" w:cstheme="majorBidi"/>
          <w:lang w:bidi="ar-AE"/>
        </w:rPr>
        <w:t xml:space="preserve"> alors que les interprétations du texte arabe parlent d’un « rituel » très précis, d’actes bien définis (physiques et moraux). Aussi Kazimirski, Blachère et Chiadmi l’ont-ils expliqué dans une note. L’idée que le terme hapax « </w:t>
      </w:r>
      <w:r w:rsidRPr="007C6A42">
        <w:rPr>
          <w:rFonts w:asciiTheme="majorBidi" w:eastAsia="Calibri" w:hAnsiTheme="majorBidi" w:cstheme="majorBidi"/>
          <w:i/>
          <w:iCs/>
          <w:lang w:bidi="ar-AE"/>
        </w:rPr>
        <w:t>tafath</w:t>
      </w:r>
      <w:r w:rsidRPr="007C6A42">
        <w:rPr>
          <w:rFonts w:asciiTheme="majorBidi" w:eastAsia="Calibri" w:hAnsiTheme="majorBidi" w:cstheme="majorBidi"/>
          <w:lang w:bidi="ar-AE"/>
        </w:rPr>
        <w:t xml:space="preserve"> » désigne un rituel est appuyée par le fait qu’il est en position de complément du verbe </w:t>
      </w:r>
      <w:r w:rsidRPr="007C6A42">
        <w:rPr>
          <w:rFonts w:asciiTheme="majorBidi" w:eastAsia="Calibri" w:hAnsiTheme="majorBidi" w:cstheme="majorBidi"/>
          <w:i/>
          <w:iCs/>
          <w:lang w:bidi="ar-AE"/>
        </w:rPr>
        <w:t>yaqḍī</w:t>
      </w:r>
      <w:r w:rsidRPr="007C6A42">
        <w:rPr>
          <w:rFonts w:asciiTheme="majorBidi" w:eastAsia="Calibri" w:hAnsiTheme="majorBidi" w:cstheme="majorBidi"/>
          <w:lang w:bidi="ar-AE"/>
        </w:rPr>
        <w:t>, qui a notamment le sens d’accomplir (un rituel).</w:t>
      </w:r>
    </w:p>
    <w:p w14:paraId="18F41456" w14:textId="77777777" w:rsidR="00A70B78" w:rsidRPr="007C6A42" w:rsidRDefault="00A70B78" w:rsidP="00A70B78">
      <w:pPr>
        <w:spacing w:line="360" w:lineRule="auto"/>
        <w:ind w:firstLine="360"/>
        <w:jc w:val="both"/>
        <w:rPr>
          <w:rFonts w:asciiTheme="majorBidi" w:eastAsia="Calibri" w:hAnsiTheme="majorBidi" w:cstheme="majorBidi"/>
          <w:lang w:bidi="ar-AE"/>
        </w:rPr>
      </w:pPr>
    </w:p>
    <w:p w14:paraId="66BCEDF9" w14:textId="77777777" w:rsidR="00A70B78" w:rsidRPr="007C6A42" w:rsidRDefault="00A70B78" w:rsidP="00A70B78">
      <w:pPr>
        <w:spacing w:line="360" w:lineRule="auto"/>
        <w:ind w:firstLine="360"/>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Deux traductions françaises de </w:t>
      </w:r>
      <w:r w:rsidRPr="007C6A42">
        <w:rPr>
          <w:rFonts w:asciiTheme="majorBidi" w:eastAsia="Times New Roman" w:hAnsiTheme="majorBidi" w:cstheme="majorBidi"/>
          <w:i/>
          <w:iCs/>
          <w:lang w:bidi="ar-AE"/>
        </w:rPr>
        <w:t>tafath</w:t>
      </w:r>
      <w:r w:rsidRPr="007C6A42">
        <w:rPr>
          <w:rFonts w:asciiTheme="majorBidi" w:eastAsia="Times New Roman" w:hAnsiTheme="majorBidi" w:cstheme="majorBidi"/>
          <w:lang w:bidi="ar-AE"/>
        </w:rPr>
        <w:t xml:space="preserve"> s’éloignent beaucoup de l’exégèse musulmane et semblent orienter le champ polysémique vers une autre direction : celles de Savary (« levain d’infidélité ») et de Guessous (« Purifiez-vous »). On ignore sur quelle exégèse Savary s’est appuyé pour arriver à cette étrange traduction.</w:t>
      </w:r>
    </w:p>
    <w:p w14:paraId="79025547" w14:textId="77777777" w:rsidR="00A70B78" w:rsidRPr="007C6A42" w:rsidRDefault="00A70B78" w:rsidP="00A70B78">
      <w:pPr>
        <w:spacing w:line="360" w:lineRule="auto"/>
        <w:ind w:firstLine="360"/>
        <w:contextualSpacing/>
        <w:jc w:val="both"/>
        <w:rPr>
          <w:rFonts w:asciiTheme="majorBidi" w:eastAsia="Times New Roman" w:hAnsiTheme="majorBidi" w:cstheme="majorBidi"/>
          <w:lang w:bidi="ar-AE"/>
        </w:rPr>
      </w:pPr>
    </w:p>
    <w:p w14:paraId="698E6D3E" w14:textId="77777777" w:rsidR="00A70B78" w:rsidRPr="007C6A42" w:rsidRDefault="00A70B78" w:rsidP="00A70B78">
      <w:pPr>
        <w:spacing w:line="360" w:lineRule="auto"/>
        <w:ind w:firstLine="360"/>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Les traductions françaises ne reproduisent pas toutes les significations données par les exégèses au mot </w:t>
      </w:r>
      <w:r w:rsidRPr="007C6A42">
        <w:rPr>
          <w:rFonts w:asciiTheme="majorBidi" w:eastAsia="Times New Roman" w:hAnsiTheme="majorBidi" w:cstheme="majorBidi"/>
          <w:i/>
          <w:iCs/>
          <w:lang w:bidi="ar-AE"/>
        </w:rPr>
        <w:t>tafath</w:t>
      </w:r>
      <w:r w:rsidRPr="007C6A42">
        <w:rPr>
          <w:rFonts w:asciiTheme="majorBidi" w:eastAsia="Times New Roman" w:hAnsiTheme="majorBidi" w:cstheme="majorBidi"/>
          <w:lang w:bidi="ar-AE"/>
        </w:rPr>
        <w:t>. Ainsi, aucune traduction ne reprend les significations suivantes : « la prière de l’aube à Muzdalifa », « proférer de mauvaises paroles », « le passage du sacré au profane ». Certains traducteurs ont rendu ce terme par « négligence physique » qui peut désigner : « être mal habillé avec des habits sales</w:t>
      </w:r>
      <w:r w:rsidRPr="007C6A42">
        <w:rPr>
          <w:rFonts w:asciiTheme="majorBidi" w:eastAsia="Times New Roman" w:hAnsiTheme="majorBidi" w:cstheme="majorBidi"/>
        </w:rPr>
        <w:t xml:space="preserve"> </w:t>
      </w:r>
      <w:r w:rsidRPr="007C6A42">
        <w:rPr>
          <w:rFonts w:asciiTheme="majorBidi" w:eastAsia="Times New Roman" w:hAnsiTheme="majorBidi" w:cstheme="majorBidi"/>
          <w:lang w:bidi="ar-AE"/>
        </w:rPr>
        <w:t>de surcroît », « ne pas se coiffer », « ne pas respecter le corps physique et ne pas le garder en bonne santé », « trop manger et grossir », « trop peu manger et être maigre rachitique », « mal manger », etc. Toutes ces significations qui découlent de cette traduction ne sont pas incluses dans les exégèses. La plupart des traducteurs ont traduit le mot au singulier « </w:t>
      </w:r>
      <w:r w:rsidRPr="007C6A42">
        <w:rPr>
          <w:rFonts w:asciiTheme="majorBidi" w:eastAsia="Times New Roman" w:hAnsiTheme="majorBidi" w:cstheme="majorBidi"/>
          <w:i/>
          <w:iCs/>
          <w:lang w:bidi="ar-AE"/>
        </w:rPr>
        <w:t>tafath</w:t>
      </w:r>
      <w:r w:rsidRPr="007C6A42">
        <w:rPr>
          <w:rFonts w:asciiTheme="majorBidi" w:eastAsia="Times New Roman" w:hAnsiTheme="majorBidi" w:cstheme="majorBidi"/>
          <w:lang w:bidi="ar-AE"/>
        </w:rPr>
        <w:t> » par le mot au pluriel « les interdits » qui désigne tout ce qui est défendu par la charia, tandis que le mot arabe peut désigner ce qui est fortement recommandé comme la prière de l’aube à Muzdalifa.</w:t>
      </w:r>
    </w:p>
    <w:p w14:paraId="1801C575"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1700DC7E" w14:textId="77777777" w:rsidR="00A70B78" w:rsidRPr="007C6A42" w:rsidRDefault="00A70B78" w:rsidP="00A70B78">
      <w:pPr>
        <w:shd w:val="clear" w:color="auto" w:fill="FFFFFF"/>
        <w:spacing w:line="360" w:lineRule="auto"/>
        <w:ind w:firstLine="360"/>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Le mot « crasse » désigne </w:t>
      </w:r>
      <w:r w:rsidRPr="007C6A42">
        <w:rPr>
          <w:rFonts w:asciiTheme="majorBidi" w:eastAsia="Calibri" w:hAnsiTheme="majorBidi" w:cstheme="majorBidi"/>
          <w:lang w:bidi="ar-AE"/>
        </w:rPr>
        <w:t xml:space="preserve">l’ordure qui s’accumule sur la peau, dans les zones pileuses du corps ou sur les vêtements, mais il ne désigne point le fait de couper les ongles, de </w:t>
      </w:r>
      <w:r w:rsidRPr="007C6A42">
        <w:rPr>
          <w:rFonts w:asciiTheme="majorBidi" w:eastAsia="Times New Roman" w:hAnsiTheme="majorBidi" w:cstheme="majorBidi"/>
          <w:lang w:bidi="ar-AE"/>
        </w:rPr>
        <w:t>se raser les moustaches, de se faire couper les cheveux, de se raser les aisselles, les poils pubiens. Ces dernières significations sont fondamentales dans l’exégèse musulmane.</w:t>
      </w:r>
    </w:p>
    <w:p w14:paraId="17179016" w14:textId="77777777" w:rsidR="00A70B78" w:rsidRPr="007C6A42" w:rsidRDefault="00A70B78" w:rsidP="00A70B78">
      <w:pPr>
        <w:spacing w:line="360" w:lineRule="auto"/>
        <w:jc w:val="both"/>
        <w:rPr>
          <w:rFonts w:asciiTheme="majorBidi" w:eastAsia="Times New Roman" w:hAnsiTheme="majorBidi" w:cstheme="majorBidi"/>
          <w:lang w:bidi="ar-AE"/>
        </w:rPr>
      </w:pPr>
    </w:p>
    <w:p w14:paraId="7DFF6C50" w14:textId="77777777" w:rsidR="00A70B78" w:rsidRPr="007C6A42" w:rsidRDefault="00A70B78" w:rsidP="00A70B78">
      <w:pPr>
        <w:spacing w:line="360" w:lineRule="auto"/>
        <w:jc w:val="both"/>
        <w:outlineLvl w:val="0"/>
        <w:rPr>
          <w:rFonts w:asciiTheme="majorBidi" w:eastAsia="Times New Roman" w:hAnsiTheme="majorBidi" w:cstheme="majorBidi"/>
          <w:lang w:bidi="ar-AE"/>
        </w:rPr>
      </w:pPr>
      <w:r w:rsidRPr="007C6A42">
        <w:rPr>
          <w:rFonts w:asciiTheme="majorBidi" w:eastAsia="Times New Roman" w:hAnsiTheme="majorBidi" w:cstheme="majorBidi"/>
          <w:b/>
          <w:bCs/>
          <w:lang w:bidi="ar-AE"/>
        </w:rPr>
        <w:t xml:space="preserve">Traduction des hapax </w:t>
      </w:r>
      <w:r w:rsidRPr="007C6A42">
        <w:rPr>
          <w:rFonts w:asciiTheme="majorBidi" w:eastAsia="Times New Roman" w:hAnsiTheme="majorBidi" w:cstheme="majorBidi"/>
          <w:b/>
          <w:bCs/>
          <w:i/>
          <w:iCs/>
          <w:lang w:bidi="ar-AE"/>
        </w:rPr>
        <w:t>ṣawāff</w:t>
      </w:r>
      <w:r w:rsidRPr="007C6A42">
        <w:rPr>
          <w:rFonts w:asciiTheme="majorBidi" w:eastAsia="Times New Roman" w:hAnsiTheme="majorBidi" w:cstheme="majorBidi"/>
          <w:b/>
          <w:bCs/>
          <w:lang w:bidi="ar-AE"/>
        </w:rPr>
        <w:t xml:space="preserve">, </w:t>
      </w:r>
      <w:r w:rsidRPr="007C6A42">
        <w:rPr>
          <w:rFonts w:asciiTheme="majorBidi" w:eastAsia="Calibri" w:hAnsiTheme="majorBidi" w:cstheme="majorBidi"/>
          <w:b/>
          <w:bCs/>
          <w:i/>
          <w:iCs/>
          <w:lang w:bidi="ar-SY"/>
        </w:rPr>
        <w:t>al-qāniʿ</w:t>
      </w:r>
      <w:r w:rsidRPr="007C6A42">
        <w:rPr>
          <w:rFonts w:asciiTheme="majorBidi" w:eastAsia="Calibri" w:hAnsiTheme="majorBidi" w:cstheme="majorBidi"/>
          <w:b/>
          <w:bCs/>
          <w:lang w:bidi="ar-SY"/>
        </w:rPr>
        <w:t xml:space="preserve"> et </w:t>
      </w:r>
      <w:r w:rsidRPr="007C6A42">
        <w:rPr>
          <w:rFonts w:asciiTheme="majorBidi" w:eastAsia="Calibri" w:hAnsiTheme="majorBidi" w:cstheme="majorBidi"/>
          <w:b/>
          <w:bCs/>
          <w:i/>
          <w:iCs/>
          <w:lang w:bidi="ar-SY"/>
        </w:rPr>
        <w:t>al-muʿtarr</w:t>
      </w:r>
      <w:r w:rsidRPr="007C6A42">
        <w:rPr>
          <w:rFonts w:asciiTheme="majorBidi" w:eastAsia="Calibri" w:hAnsiTheme="majorBidi" w:cstheme="majorBidi"/>
          <w:b/>
          <w:bCs/>
          <w:lang w:bidi="ar-SY"/>
        </w:rPr>
        <w:t xml:space="preserve"> </w:t>
      </w:r>
      <w:r w:rsidRPr="007C6A42">
        <w:rPr>
          <w:rFonts w:asciiTheme="majorBidi" w:eastAsia="Times New Roman" w:hAnsiTheme="majorBidi" w:cstheme="majorBidi"/>
          <w:b/>
          <w:bCs/>
          <w:lang w:bidi="ar-AE"/>
        </w:rPr>
        <w:t>(v. 36) :</w:t>
      </w:r>
    </w:p>
    <w:p w14:paraId="4AEB2E7A" w14:textId="77777777" w:rsidR="00A70B78" w:rsidRPr="007C6A42" w:rsidRDefault="00A70B78" w:rsidP="00A70B78">
      <w:pPr>
        <w:spacing w:line="360" w:lineRule="auto"/>
        <w:ind w:firstLine="284"/>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Rappelons d’abord les principales significations exégétiques de </w:t>
      </w:r>
      <w:r w:rsidRPr="007C6A42">
        <w:rPr>
          <w:rFonts w:asciiTheme="majorBidi" w:eastAsia="Times New Roman" w:hAnsiTheme="majorBidi" w:cstheme="majorBidi"/>
          <w:i/>
          <w:iCs/>
          <w:lang w:bidi="ar-AE"/>
        </w:rPr>
        <w:t>ṣawāff</w:t>
      </w:r>
      <w:r w:rsidRPr="007C6A42">
        <w:rPr>
          <w:rFonts w:asciiTheme="majorBidi" w:eastAsia="Times New Roman" w:hAnsiTheme="majorBidi" w:cstheme="majorBidi"/>
          <w:lang w:bidi="ar-AE"/>
        </w:rPr>
        <w:t> : « </w:t>
      </w:r>
      <w:r w:rsidRPr="007C6A42">
        <w:rPr>
          <w:rFonts w:asciiTheme="majorBidi" w:hAnsiTheme="majorBidi" w:cstheme="majorBidi"/>
          <w:lang w:bidi="ar-AE"/>
        </w:rPr>
        <w:t xml:space="preserve">être en rangs », « consacrées pour l’amour de Dieu », </w:t>
      </w:r>
      <w:r w:rsidRPr="007C6A42">
        <w:rPr>
          <w:rFonts w:asciiTheme="majorBidi" w:eastAsia="Times New Roman" w:hAnsiTheme="majorBidi" w:cstheme="majorBidi"/>
          <w:lang w:bidi="ar-AE"/>
        </w:rPr>
        <w:t>« </w:t>
      </w:r>
      <w:r w:rsidRPr="007C6A42">
        <w:rPr>
          <w:rFonts w:asciiTheme="majorBidi" w:hAnsiTheme="majorBidi" w:cstheme="majorBidi"/>
          <w:lang w:bidi="ar-AE"/>
        </w:rPr>
        <w:t xml:space="preserve">debout sur trois pattes », </w:t>
      </w:r>
      <w:r w:rsidRPr="007C6A42">
        <w:rPr>
          <w:rFonts w:asciiTheme="majorBidi" w:eastAsia="Times New Roman" w:hAnsiTheme="majorBidi" w:cstheme="majorBidi"/>
          <w:lang w:bidi="ar-AE"/>
        </w:rPr>
        <w:t>« </w:t>
      </w:r>
      <w:r w:rsidRPr="007C6A42">
        <w:rPr>
          <w:rFonts w:asciiTheme="majorBidi" w:hAnsiTheme="majorBidi" w:cstheme="majorBidi"/>
          <w:lang w:bidi="ar-AE"/>
        </w:rPr>
        <w:t xml:space="preserve">debout, une jambe repliée et entravée », « qui peuvent se mettre debout sans être ni faibles ni maigres », </w:t>
      </w:r>
      <w:r w:rsidRPr="007C6A42">
        <w:rPr>
          <w:rFonts w:asciiTheme="majorBidi" w:eastAsia="Times New Roman" w:hAnsiTheme="majorBidi" w:cstheme="majorBidi"/>
          <w:lang w:bidi="ar-AE"/>
        </w:rPr>
        <w:t>« assises, les pattes attachées », etc. Voyons maintenant ses traductions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57EF06E1" w14:textId="77777777" w:rsidTr="00AF4FC9">
        <w:tc>
          <w:tcPr>
            <w:tcW w:w="10920" w:type="dxa"/>
            <w:gridSpan w:val="2"/>
            <w:tcBorders>
              <w:top w:val="nil"/>
              <w:left w:val="single" w:sz="4" w:space="0" w:color="auto"/>
              <w:bottom w:val="single" w:sz="4" w:space="0" w:color="auto"/>
              <w:right w:val="single" w:sz="4" w:space="0" w:color="auto"/>
            </w:tcBorders>
          </w:tcPr>
          <w:p w14:paraId="3B62CA13" w14:textId="77777777" w:rsidR="00A70B78" w:rsidRPr="007C6A42" w:rsidRDefault="00A70B78" w:rsidP="00AF4FC9">
            <w:pPr>
              <w:bidi/>
              <w:spacing w:line="360" w:lineRule="auto"/>
              <w:jc w:val="both"/>
              <w:rPr>
                <w:rFonts w:asciiTheme="majorBidi" w:eastAsia="Times New Roman" w:hAnsiTheme="majorBidi" w:cstheme="majorBidi"/>
                <w:rtl/>
                <w:lang w:bidi="ar-KW"/>
              </w:rPr>
            </w:pPr>
            <w:r w:rsidRPr="007C6A42">
              <w:rPr>
                <w:rFonts w:asciiTheme="majorBidi" w:eastAsia="Times New Roman" w:hAnsiTheme="majorBidi" w:cstheme="majorBidi"/>
                <w:rtl/>
                <w:lang w:bidi="ar-AE"/>
              </w:rPr>
              <w:t>"والبُدْنَ جعلْناها لكم من شعائرِ اللهِ لكُم فيها خيرٌ فاذكروا اسمَ اللهِ عليها صوافَّ فإذا وَجَبَتْ جُنوبُها فكلُوا منها وأطع</w:t>
            </w:r>
            <w:r w:rsidRPr="007C6A42">
              <w:rPr>
                <w:rFonts w:asciiTheme="majorBidi" w:eastAsia="Times New Roman" w:hAnsiTheme="majorBidi" w:cstheme="majorBidi"/>
                <w:rtl/>
                <w:lang w:bidi="ar-KW"/>
              </w:rPr>
              <w:t>ِ</w:t>
            </w:r>
            <w:r w:rsidRPr="007C6A42">
              <w:rPr>
                <w:rFonts w:asciiTheme="majorBidi" w:eastAsia="Times New Roman" w:hAnsiTheme="majorBidi" w:cstheme="majorBidi"/>
                <w:rtl/>
                <w:lang w:bidi="ar-AE"/>
              </w:rPr>
              <w:t>موا القانعَ والمُعْـــتَـرَّ." (36)</w:t>
            </w:r>
          </w:p>
        </w:tc>
      </w:tr>
      <w:tr w:rsidR="00A70B78" w:rsidRPr="007C6A42" w14:paraId="74811DCC" w14:textId="77777777" w:rsidTr="00AF4FC9">
        <w:tc>
          <w:tcPr>
            <w:tcW w:w="851" w:type="dxa"/>
            <w:tcBorders>
              <w:top w:val="single" w:sz="4" w:space="0" w:color="auto"/>
              <w:left w:val="single" w:sz="4" w:space="0" w:color="auto"/>
              <w:bottom w:val="single" w:sz="4" w:space="0" w:color="auto"/>
              <w:right w:val="single" w:sz="4" w:space="0" w:color="auto"/>
            </w:tcBorders>
          </w:tcPr>
          <w:p w14:paraId="07E7C6A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10069" w:type="dxa"/>
            <w:tcBorders>
              <w:top w:val="single" w:sz="4" w:space="0" w:color="auto"/>
              <w:left w:val="single" w:sz="4" w:space="0" w:color="auto"/>
              <w:bottom w:val="single" w:sz="4" w:space="0" w:color="auto"/>
              <w:right w:val="single" w:sz="4" w:space="0" w:color="auto"/>
            </w:tcBorders>
          </w:tcPr>
          <w:p w14:paraId="61BB964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Nous auons créé la femelle du chameau pour ʃigne de noʃtre vnité, elle vous ʃerai vtile en ce monde, ʃouuenez-vous de proferer le nom de Dieu, lors que vous la ʃacrifierez droicte ʃur ʃes pieds, lors qu’elle ʃera tombée morte en terre mangez ʃa chair ʃi elle vous agrée, &amp; en donnez à manger à ceux qui vous en demanderont,</w:t>
            </w:r>
          </w:p>
        </w:tc>
      </w:tr>
      <w:tr w:rsidR="00A70B78" w:rsidRPr="007C6A42" w14:paraId="3FC351F8" w14:textId="77777777" w:rsidTr="00AF4FC9">
        <w:tc>
          <w:tcPr>
            <w:tcW w:w="851" w:type="dxa"/>
            <w:tcBorders>
              <w:top w:val="single" w:sz="4" w:space="0" w:color="auto"/>
              <w:left w:val="single" w:sz="4" w:space="0" w:color="auto"/>
              <w:bottom w:val="single" w:sz="4" w:space="0" w:color="auto"/>
              <w:right w:val="single" w:sz="4" w:space="0" w:color="auto"/>
            </w:tcBorders>
          </w:tcPr>
          <w:p w14:paraId="18610C8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10069" w:type="dxa"/>
            <w:tcBorders>
              <w:top w:val="single" w:sz="4" w:space="0" w:color="auto"/>
              <w:left w:val="single" w:sz="4" w:space="0" w:color="auto"/>
              <w:bottom w:val="single" w:sz="4" w:space="0" w:color="auto"/>
              <w:right w:val="single" w:sz="4" w:space="0" w:color="auto"/>
            </w:tcBorders>
          </w:tcPr>
          <w:p w14:paraId="5E2B575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Les chameaux doivent entrer dans l’hommage que vous rendez au Très-Haut. Vous en retirez des avantages multipliés. Invoquez le nom du Seigneur sur ceux que vous immolez. Qu’ils soient posés sur trois jambes, et liés par le pied gauche de devant. Lorsqu’ils auront été immolés, nourrissez-vous de leur chair, et en distribuez à tous ceux qui en demanderont.</w:t>
            </w:r>
          </w:p>
        </w:tc>
      </w:tr>
      <w:tr w:rsidR="00A70B78" w:rsidRPr="007C6A42" w14:paraId="7641303C" w14:textId="77777777" w:rsidTr="00AF4FC9">
        <w:tc>
          <w:tcPr>
            <w:tcW w:w="851" w:type="dxa"/>
            <w:tcBorders>
              <w:top w:val="single" w:sz="4" w:space="0" w:color="auto"/>
              <w:left w:val="single" w:sz="4" w:space="0" w:color="auto"/>
              <w:bottom w:val="single" w:sz="4" w:space="0" w:color="auto"/>
              <w:right w:val="single" w:sz="4" w:space="0" w:color="auto"/>
            </w:tcBorders>
          </w:tcPr>
          <w:p w14:paraId="432C60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10069" w:type="dxa"/>
            <w:tcBorders>
              <w:top w:val="single" w:sz="4" w:space="0" w:color="auto"/>
              <w:left w:val="single" w:sz="4" w:space="0" w:color="auto"/>
              <w:bottom w:val="single" w:sz="4" w:space="0" w:color="auto"/>
              <w:right w:val="single" w:sz="4" w:space="0" w:color="auto"/>
            </w:tcBorders>
          </w:tcPr>
          <w:p w14:paraId="186BAFBA"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lang w:bidi="ar-AE"/>
              </w:rPr>
              <w:t>Nous avons destiné les chameaux pour servir aux rites des sacrifices ; vous y trouverez aussi d’autres avantages. Prononcez donc le nom de Dieu sur ceux que vous allez immoler. Ils doivent rester sur trois pieds, attachés par le quatrième. Quand la victime tombe, mangez-en et donnez-en à celui qui se contente de ce qu'on lui donne, ainsi qu’à celui qui en demande.</w:t>
            </w:r>
          </w:p>
        </w:tc>
      </w:tr>
      <w:tr w:rsidR="00A70B78" w:rsidRPr="007C6A42" w14:paraId="37A0B527" w14:textId="77777777" w:rsidTr="00AF4FC9">
        <w:tc>
          <w:tcPr>
            <w:tcW w:w="851" w:type="dxa"/>
            <w:tcBorders>
              <w:top w:val="single" w:sz="4" w:space="0" w:color="auto"/>
              <w:left w:val="single" w:sz="4" w:space="0" w:color="auto"/>
              <w:bottom w:val="single" w:sz="4" w:space="0" w:color="auto"/>
              <w:right w:val="single" w:sz="4" w:space="0" w:color="auto"/>
            </w:tcBorders>
          </w:tcPr>
          <w:p w14:paraId="3DE45A72"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10069" w:type="dxa"/>
            <w:tcBorders>
              <w:top w:val="single" w:sz="4" w:space="0" w:color="auto"/>
              <w:left w:val="single" w:sz="4" w:space="0" w:color="auto"/>
              <w:bottom w:val="single" w:sz="4" w:space="0" w:color="auto"/>
              <w:right w:val="single" w:sz="4" w:space="0" w:color="auto"/>
            </w:tcBorders>
          </w:tcPr>
          <w:p w14:paraId="7C6E8993" w14:textId="77777777" w:rsidR="00A70B78" w:rsidRPr="007C6A42" w:rsidRDefault="00A70B78" w:rsidP="00AF4FC9">
            <w:pPr>
              <w:pStyle w:val="Notedebasdepage"/>
              <w:spacing w:line="360" w:lineRule="auto"/>
              <w:jc w:val="both"/>
              <w:rPr>
                <w:rFonts w:asciiTheme="majorBidi" w:hAnsiTheme="majorBidi" w:cstheme="majorBidi"/>
                <w:sz w:val="24"/>
                <w:szCs w:val="24"/>
              </w:rPr>
            </w:pPr>
            <w:r w:rsidRPr="007C6A42">
              <w:rPr>
                <w:rFonts w:asciiTheme="majorBidi" w:eastAsia="Times New Roman" w:hAnsiTheme="majorBidi" w:cstheme="majorBidi"/>
                <w:sz w:val="24"/>
                <w:szCs w:val="24"/>
                <w:lang w:eastAsia="fr-FR" w:bidi="ar-AE"/>
              </w:rPr>
              <w:t>Pour vous, Nous avons placé les animaux sacrifiés, parmi les choses sacrées d’Allah. Un bien s’y trouve pour vous. Invoquez sur eux, vivants* ( ?), le nom d’Allah ! Quand ils sont sans vie, mangez-en, nourrissez [-en] l’impécunieux et le démuni. (*</w:t>
            </w:r>
            <w:r w:rsidRPr="007C6A42">
              <w:rPr>
                <w:rFonts w:asciiTheme="majorBidi" w:eastAsia="Times New Roman" w:hAnsiTheme="majorBidi" w:cstheme="majorBidi"/>
                <w:i/>
                <w:iCs/>
                <w:sz w:val="24"/>
                <w:szCs w:val="24"/>
                <w:lang w:eastAsia="fr-FR" w:bidi="ar-AE"/>
              </w:rPr>
              <w:t>şawâffa </w:t>
            </w:r>
            <w:r w:rsidRPr="007C6A42">
              <w:rPr>
                <w:rFonts w:asciiTheme="majorBidi" w:eastAsia="Times New Roman" w:hAnsiTheme="majorBidi" w:cstheme="majorBidi"/>
                <w:sz w:val="24"/>
                <w:szCs w:val="24"/>
                <w:lang w:eastAsia="fr-FR" w:bidi="ar-AE"/>
              </w:rPr>
              <w:t xml:space="preserve"> « vivants ». Le terme, de valeur circonstancielle, s’applique aux victimes. Le sens en est incertain. On a les var. : </w:t>
            </w:r>
            <w:r w:rsidRPr="007C6A42">
              <w:rPr>
                <w:rFonts w:asciiTheme="majorBidi" w:eastAsia="Times New Roman" w:hAnsiTheme="majorBidi" w:cstheme="majorBidi"/>
                <w:i/>
                <w:iCs/>
                <w:sz w:val="24"/>
                <w:szCs w:val="24"/>
                <w:lang w:eastAsia="fr-FR" w:bidi="ar-AE"/>
              </w:rPr>
              <w:t>şawâfîna</w:t>
            </w:r>
            <w:r w:rsidRPr="007C6A42">
              <w:rPr>
                <w:rFonts w:asciiTheme="majorBidi" w:eastAsia="Times New Roman" w:hAnsiTheme="majorBidi" w:cstheme="majorBidi"/>
                <w:sz w:val="24"/>
                <w:szCs w:val="24"/>
                <w:lang w:eastAsia="fr-FR" w:bidi="ar-AE"/>
              </w:rPr>
              <w:t xml:space="preserve"> « ayant une patte entravée », şawâfiya « purs ». // </w:t>
            </w:r>
            <w:r w:rsidRPr="007C6A42">
              <w:rPr>
                <w:rFonts w:asciiTheme="majorBidi" w:eastAsia="Times New Roman" w:hAnsiTheme="majorBidi" w:cstheme="majorBidi"/>
                <w:i/>
                <w:iCs/>
                <w:sz w:val="24"/>
                <w:szCs w:val="24"/>
                <w:lang w:eastAsia="fr-FR" w:bidi="ar-AE"/>
              </w:rPr>
              <w:t xml:space="preserve">‘idâ wajabat junûbu-hâ </w:t>
            </w:r>
            <w:r w:rsidRPr="007C6A42">
              <w:rPr>
                <w:rFonts w:asciiTheme="majorBidi" w:eastAsia="Times New Roman" w:hAnsiTheme="majorBidi" w:cstheme="majorBidi"/>
                <w:sz w:val="24"/>
                <w:szCs w:val="24"/>
                <w:lang w:eastAsia="fr-FR" w:bidi="ar-AE"/>
              </w:rPr>
              <w:t>« quand elles sont en vie ». Text. : quand leurs flancs sont écroulés = quand elles gisent à terre.)</w:t>
            </w:r>
          </w:p>
        </w:tc>
      </w:tr>
      <w:tr w:rsidR="00A70B78" w:rsidRPr="007C6A42" w14:paraId="482A16F1" w14:textId="77777777" w:rsidTr="00AF4FC9">
        <w:tc>
          <w:tcPr>
            <w:tcW w:w="851" w:type="dxa"/>
            <w:tcBorders>
              <w:top w:val="single" w:sz="4" w:space="0" w:color="auto"/>
              <w:left w:val="single" w:sz="4" w:space="0" w:color="auto"/>
              <w:bottom w:val="single" w:sz="4" w:space="0" w:color="auto"/>
              <w:right w:val="single" w:sz="4" w:space="0" w:color="auto"/>
            </w:tcBorders>
          </w:tcPr>
          <w:p w14:paraId="2B52709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w:t>
            </w:r>
            <w:r w:rsidRPr="007C6A42">
              <w:rPr>
                <w:rFonts w:asciiTheme="majorBidi" w:eastAsia="Times New Roman" w:hAnsiTheme="majorBidi" w:cstheme="majorBidi"/>
              </w:rPr>
              <w:lastRenderedPageBreak/>
              <w:t>d.</w:t>
            </w:r>
          </w:p>
        </w:tc>
        <w:tc>
          <w:tcPr>
            <w:tcW w:w="10069" w:type="dxa"/>
            <w:tcBorders>
              <w:top w:val="single" w:sz="4" w:space="0" w:color="auto"/>
              <w:left w:val="single" w:sz="4" w:space="0" w:color="auto"/>
              <w:bottom w:val="single" w:sz="4" w:space="0" w:color="auto"/>
              <w:right w:val="single" w:sz="4" w:space="0" w:color="auto"/>
            </w:tcBorders>
          </w:tcPr>
          <w:p w14:paraId="14B6E98A"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lastRenderedPageBreak/>
              <w:t xml:space="preserve">Et quant aux bêtes de sacrifice, Nous vous les avons désignées comme des emblèmes de Dieu. Il y a là </w:t>
            </w:r>
            <w:r w:rsidRPr="007C6A42">
              <w:rPr>
                <w:rFonts w:asciiTheme="majorBidi" w:eastAsia="Times New Roman" w:hAnsiTheme="majorBidi" w:cstheme="majorBidi"/>
                <w:lang w:bidi="ar-AE"/>
              </w:rPr>
              <w:lastRenderedPageBreak/>
              <w:t>pour vous un bien. Rappelez donc sur elles le nom de Dieu, tandis qu’elles sont rangées. Puis, lorsqu’elles gisent sur le flanc, alors mangez-en, et faites-en repas à celui qui se contente, à celui aussi qui mendie.</w:t>
            </w:r>
          </w:p>
        </w:tc>
      </w:tr>
      <w:tr w:rsidR="00A70B78" w:rsidRPr="007C6A42" w14:paraId="25B988DA" w14:textId="77777777" w:rsidTr="00AF4FC9">
        <w:tc>
          <w:tcPr>
            <w:tcW w:w="851" w:type="dxa"/>
            <w:tcBorders>
              <w:top w:val="single" w:sz="4" w:space="0" w:color="auto"/>
              <w:left w:val="single" w:sz="4" w:space="0" w:color="auto"/>
              <w:bottom w:val="single" w:sz="4" w:space="0" w:color="auto"/>
              <w:right w:val="single" w:sz="4" w:space="0" w:color="auto"/>
            </w:tcBorders>
          </w:tcPr>
          <w:p w14:paraId="11BF042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Mass.</w:t>
            </w:r>
          </w:p>
        </w:tc>
        <w:tc>
          <w:tcPr>
            <w:tcW w:w="10069" w:type="dxa"/>
            <w:tcBorders>
              <w:top w:val="single" w:sz="4" w:space="0" w:color="auto"/>
              <w:left w:val="single" w:sz="4" w:space="0" w:color="auto"/>
              <w:bottom w:val="single" w:sz="4" w:space="0" w:color="auto"/>
              <w:right w:val="single" w:sz="4" w:space="0" w:color="auto"/>
            </w:tcBorders>
          </w:tcPr>
          <w:p w14:paraId="680F158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Nous avons placé les animaux sacrifiés au nombre des choses sacrées de Dieu. Il y a là un bien pour vous. Invoquez le nom de Dieu sur ces animaux prêts à être égorgés puis, quand ils gisent sur le flanc, mangez-en et nourrissez celui qui s’en contente et celui qui mendie.</w:t>
            </w:r>
          </w:p>
        </w:tc>
      </w:tr>
      <w:tr w:rsidR="00A70B78" w:rsidRPr="007C6A42" w14:paraId="6C040F26" w14:textId="77777777" w:rsidTr="00AF4FC9">
        <w:tc>
          <w:tcPr>
            <w:tcW w:w="851" w:type="dxa"/>
            <w:tcBorders>
              <w:top w:val="single" w:sz="4" w:space="0" w:color="auto"/>
              <w:left w:val="single" w:sz="4" w:space="0" w:color="auto"/>
              <w:bottom w:val="single" w:sz="4" w:space="0" w:color="auto"/>
              <w:right w:val="single" w:sz="4" w:space="0" w:color="auto"/>
            </w:tcBorders>
          </w:tcPr>
          <w:p w14:paraId="59C3DE7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10069" w:type="dxa"/>
            <w:tcBorders>
              <w:top w:val="single" w:sz="4" w:space="0" w:color="auto"/>
              <w:left w:val="single" w:sz="4" w:space="0" w:color="auto"/>
              <w:bottom w:val="single" w:sz="4" w:space="0" w:color="auto"/>
              <w:right w:val="single" w:sz="4" w:space="0" w:color="auto"/>
            </w:tcBorders>
          </w:tcPr>
          <w:p w14:paraId="4A3B9D08" w14:textId="77777777" w:rsidR="00A70B78" w:rsidRPr="007C6A42" w:rsidRDefault="00A70B78" w:rsidP="00AF4FC9">
            <w:pPr>
              <w:spacing w:line="360" w:lineRule="auto"/>
              <w:rPr>
                <w:rFonts w:asciiTheme="majorBidi" w:eastAsia="Times New Roman" w:hAnsiTheme="majorBidi" w:cstheme="majorBidi"/>
                <w:lang w:bidi="ar-AE"/>
              </w:rPr>
            </w:pPr>
            <w:r w:rsidRPr="007C6A42">
              <w:rPr>
                <w:rFonts w:asciiTheme="majorBidi" w:eastAsia="Times New Roman" w:hAnsiTheme="majorBidi" w:cstheme="majorBidi"/>
                <w:lang w:bidi="ar-AE"/>
              </w:rPr>
              <w:t>Nous vous donnons du bétail adipeux, pour les rites d’Allah : c’est pour vous le meilleur. Sur lui, encore vivant, invoquez le nom d’Allah, puis quand il s’écroule, sur son flanc, mangez-en aussi, en nourrissant l’indigent, le nécessiteux.</w:t>
            </w:r>
          </w:p>
        </w:tc>
      </w:tr>
      <w:tr w:rsidR="00A70B78" w:rsidRPr="007C6A42" w14:paraId="61760E4D" w14:textId="77777777" w:rsidTr="00AF4FC9">
        <w:tc>
          <w:tcPr>
            <w:tcW w:w="851" w:type="dxa"/>
            <w:tcBorders>
              <w:top w:val="single" w:sz="4" w:space="0" w:color="auto"/>
              <w:left w:val="single" w:sz="4" w:space="0" w:color="auto"/>
              <w:bottom w:val="single" w:sz="4" w:space="0" w:color="auto"/>
              <w:right w:val="single" w:sz="4" w:space="0" w:color="auto"/>
            </w:tcBorders>
          </w:tcPr>
          <w:p w14:paraId="72C61D7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10069" w:type="dxa"/>
            <w:tcBorders>
              <w:top w:val="single" w:sz="4" w:space="0" w:color="auto"/>
              <w:left w:val="single" w:sz="4" w:space="0" w:color="auto"/>
              <w:bottom w:val="single" w:sz="4" w:space="0" w:color="auto"/>
              <w:right w:val="single" w:sz="4" w:space="0" w:color="auto"/>
            </w:tcBorders>
          </w:tcPr>
          <w:p w14:paraId="35643C9C"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lang w:bidi="ar-AE"/>
              </w:rPr>
              <w:t>Nous avons destiné les chameaux pour faire partie des offrandes de Dieu ; vous y trouverez aussi d’autres avantages. Prononcez donc le nom de Dieu sur ceux que vous allez immoler, debout sur trois pattes, attachés par la quatrième. Quand la victime tombe sur le côté, mangez-en et donnez-en à celui qui accepte l’offre, ainsi qu’à celui qui la réclame.</w:t>
            </w:r>
          </w:p>
        </w:tc>
      </w:tr>
      <w:tr w:rsidR="00A70B78" w:rsidRPr="007C6A42" w14:paraId="4B8B493F" w14:textId="77777777" w:rsidTr="00AF4FC9">
        <w:tc>
          <w:tcPr>
            <w:tcW w:w="851" w:type="dxa"/>
            <w:tcBorders>
              <w:top w:val="single" w:sz="4" w:space="0" w:color="auto"/>
              <w:left w:val="single" w:sz="4" w:space="0" w:color="auto"/>
              <w:bottom w:val="single" w:sz="4" w:space="0" w:color="auto"/>
              <w:right w:val="single" w:sz="4" w:space="0" w:color="auto"/>
            </w:tcBorders>
          </w:tcPr>
          <w:p w14:paraId="090F93D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10069" w:type="dxa"/>
            <w:tcBorders>
              <w:top w:val="single" w:sz="4" w:space="0" w:color="auto"/>
              <w:left w:val="single" w:sz="4" w:space="0" w:color="auto"/>
              <w:bottom w:val="single" w:sz="4" w:space="0" w:color="auto"/>
              <w:right w:val="single" w:sz="4" w:space="0" w:color="auto"/>
            </w:tcBorders>
          </w:tcPr>
          <w:p w14:paraId="35A6655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Nous vous avons désigné les chameaux (et les vaches) bien portants pour certains rites établis par Allah. Il y a en eux pour vous un bien. Prononcez donc sur eux le nom d’Allah, quand ils ont eu la patte attachée, [prêts à être immolés]. Puis, lorsqu’ils gisent sur le flanc mangez-en, et nourrissez-en le besogneux discret et le mendiant.</w:t>
            </w:r>
          </w:p>
        </w:tc>
      </w:tr>
      <w:tr w:rsidR="00A70B78" w:rsidRPr="007C6A42" w14:paraId="5C212B1A" w14:textId="77777777" w:rsidTr="00AF4FC9">
        <w:tc>
          <w:tcPr>
            <w:tcW w:w="851" w:type="dxa"/>
            <w:tcBorders>
              <w:top w:val="single" w:sz="4" w:space="0" w:color="auto"/>
              <w:left w:val="single" w:sz="4" w:space="0" w:color="auto"/>
              <w:bottom w:val="single" w:sz="4" w:space="0" w:color="auto"/>
              <w:right w:val="single" w:sz="4" w:space="0" w:color="auto"/>
            </w:tcBorders>
          </w:tcPr>
          <w:p w14:paraId="3985D30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10069" w:type="dxa"/>
            <w:tcBorders>
              <w:top w:val="single" w:sz="4" w:space="0" w:color="auto"/>
              <w:left w:val="single" w:sz="4" w:space="0" w:color="auto"/>
              <w:bottom w:val="single" w:sz="4" w:space="0" w:color="auto"/>
              <w:right w:val="single" w:sz="4" w:space="0" w:color="auto"/>
            </w:tcBorders>
          </w:tcPr>
          <w:p w14:paraId="5DFD5E8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bidi="ar-AE"/>
              </w:rPr>
              <w:t>De (chamelles) ventrues Nous vous prescrivons (l’immolation) au titre d’observance de Dieu : elles vous seront bénéfiques ; rappelez sur elles, quand elles sont en rangs, le nom de Dieu ; une fois affalées sur le côté, mangez-en, donnez-en à manger au suppliant et au quémandeur.</w:t>
            </w:r>
          </w:p>
        </w:tc>
      </w:tr>
      <w:tr w:rsidR="00A70B78" w:rsidRPr="007C6A42" w14:paraId="4A5C9B60" w14:textId="77777777" w:rsidTr="00AF4FC9">
        <w:tc>
          <w:tcPr>
            <w:tcW w:w="851" w:type="dxa"/>
            <w:tcBorders>
              <w:top w:val="single" w:sz="4" w:space="0" w:color="auto"/>
              <w:left w:val="single" w:sz="4" w:space="0" w:color="auto"/>
              <w:bottom w:val="single" w:sz="4" w:space="0" w:color="auto"/>
              <w:right w:val="single" w:sz="4" w:space="0" w:color="auto"/>
            </w:tcBorders>
          </w:tcPr>
          <w:p w14:paraId="7F7F632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10069" w:type="dxa"/>
            <w:tcBorders>
              <w:top w:val="single" w:sz="4" w:space="0" w:color="auto"/>
              <w:left w:val="single" w:sz="4" w:space="0" w:color="auto"/>
              <w:bottom w:val="single" w:sz="4" w:space="0" w:color="auto"/>
              <w:right w:val="single" w:sz="4" w:space="0" w:color="auto"/>
            </w:tcBorders>
          </w:tcPr>
          <w:p w14:paraId="550BBFC9"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A votre intention, Nous avons placé des animaux sacrifiés</w:t>
            </w:r>
          </w:p>
          <w:p w14:paraId="3EC95C29"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Parmi les emblèmes divins sacrés</w:t>
            </w:r>
          </w:p>
          <w:p w14:paraId="4DE15813"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Vous y trouverez pour vous d’autres bienfaits</w:t>
            </w:r>
          </w:p>
          <w:p w14:paraId="58FCC02B"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Prononcez le nom de DIEU sur ceux qui sont rangés</w:t>
            </w:r>
          </w:p>
          <w:p w14:paraId="736527B5"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Quand la victime gît sur le flanc étalé,</w:t>
            </w:r>
          </w:p>
          <w:p w14:paraId="0AB12EC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lang w:bidi="ar-AE"/>
              </w:rPr>
              <w:t>Mangez-en et donnez-en à ceux qui quémandent et aux déshérités.</w:t>
            </w:r>
          </w:p>
        </w:tc>
      </w:tr>
      <w:tr w:rsidR="00A70B78" w:rsidRPr="007C6A42" w14:paraId="486B112D" w14:textId="77777777" w:rsidTr="00AF4FC9">
        <w:tc>
          <w:tcPr>
            <w:tcW w:w="851" w:type="dxa"/>
            <w:tcBorders>
              <w:top w:val="single" w:sz="4" w:space="0" w:color="auto"/>
              <w:left w:val="single" w:sz="4" w:space="0" w:color="auto"/>
              <w:bottom w:val="single" w:sz="4" w:space="0" w:color="auto"/>
              <w:right w:val="single" w:sz="4" w:space="0" w:color="auto"/>
            </w:tcBorders>
          </w:tcPr>
          <w:p w14:paraId="5DC1A13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10069" w:type="dxa"/>
            <w:tcBorders>
              <w:top w:val="single" w:sz="4" w:space="0" w:color="auto"/>
              <w:left w:val="single" w:sz="4" w:space="0" w:color="auto"/>
              <w:bottom w:val="single" w:sz="4" w:space="0" w:color="auto"/>
              <w:right w:val="single" w:sz="4" w:space="0" w:color="auto"/>
            </w:tcBorders>
          </w:tcPr>
          <w:p w14:paraId="6852B809"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Nous avons destiné les chameaux de belle prestance pour servir aux rites de Dieu : il y a là un bien pour vous. Invoquez le nom de Dieu sur ces animaux quand ils sont prêts à être immolés. Une fois le sacrifice accompli, mangez-en et nourrissez-en le besogneux et le mendiant ;</w:t>
            </w:r>
          </w:p>
        </w:tc>
      </w:tr>
      <w:tr w:rsidR="00A70B78" w:rsidRPr="007C6A42" w14:paraId="642BB392" w14:textId="77777777" w:rsidTr="00AF4FC9">
        <w:tc>
          <w:tcPr>
            <w:tcW w:w="851" w:type="dxa"/>
            <w:tcBorders>
              <w:top w:val="single" w:sz="4" w:space="0" w:color="auto"/>
              <w:left w:val="single" w:sz="4" w:space="0" w:color="auto"/>
              <w:bottom w:val="single" w:sz="4" w:space="0" w:color="auto"/>
              <w:right w:val="single" w:sz="4" w:space="0" w:color="auto"/>
            </w:tcBorders>
          </w:tcPr>
          <w:p w14:paraId="4E7ED85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10069" w:type="dxa"/>
            <w:tcBorders>
              <w:top w:val="single" w:sz="4" w:space="0" w:color="auto"/>
              <w:left w:val="single" w:sz="4" w:space="0" w:color="auto"/>
              <w:bottom w:val="single" w:sz="4" w:space="0" w:color="auto"/>
              <w:right w:val="single" w:sz="4" w:space="0" w:color="auto"/>
            </w:tcBorders>
          </w:tcPr>
          <w:p w14:paraId="733F73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 xml:space="preserve">Nous mettons les bêtes d’offrande parmi les sacrements de Dieu. C’est un bien pour vous. Invoquez </w:t>
            </w:r>
            <w:r w:rsidRPr="007C6A42">
              <w:rPr>
                <w:rFonts w:asciiTheme="majorBidi" w:eastAsia="Times New Roman" w:hAnsiTheme="majorBidi" w:cstheme="majorBidi"/>
                <w:lang w:bidi="ar-AE"/>
              </w:rPr>
              <w:lastRenderedPageBreak/>
              <w:t>sur elles le nom de Dieu quand elles sont apprêtées pour le sacrifice et, quand elles gisent sur le flanc, mangez-en et donnez-en au pauvre discret.</w:t>
            </w:r>
          </w:p>
        </w:tc>
      </w:tr>
      <w:tr w:rsidR="00A70B78" w:rsidRPr="007C6A42" w14:paraId="2CB11462" w14:textId="77777777" w:rsidTr="00AF4FC9">
        <w:tc>
          <w:tcPr>
            <w:tcW w:w="851" w:type="dxa"/>
            <w:tcBorders>
              <w:top w:val="single" w:sz="4" w:space="0" w:color="auto"/>
              <w:left w:val="single" w:sz="4" w:space="0" w:color="auto"/>
              <w:bottom w:val="single" w:sz="4" w:space="0" w:color="auto"/>
              <w:right w:val="single" w:sz="4" w:space="0" w:color="auto"/>
            </w:tcBorders>
          </w:tcPr>
          <w:p w14:paraId="7B94C98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Chiad.</w:t>
            </w:r>
          </w:p>
        </w:tc>
        <w:tc>
          <w:tcPr>
            <w:tcW w:w="10069" w:type="dxa"/>
            <w:tcBorders>
              <w:top w:val="single" w:sz="4" w:space="0" w:color="auto"/>
              <w:left w:val="single" w:sz="4" w:space="0" w:color="auto"/>
              <w:bottom w:val="single" w:sz="4" w:space="0" w:color="auto"/>
              <w:right w:val="single" w:sz="4" w:space="0" w:color="auto"/>
            </w:tcBorders>
          </w:tcPr>
          <w:p w14:paraId="1603D93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Nous avons désigné, à votre intention, les chameaux pour servir dans les rites sacrificiels. Et c’est là une décision bénéfique pour vous. Invoquez le Nom de Dieu sur ceux qui sont prêts à être sacrifiés. Et une fois que la bête est abattue, vous pourrez vous nourrir de sa chair et en distribuer aux nécessiteux discrets et aux pauvres mendiants.</w:t>
            </w:r>
          </w:p>
        </w:tc>
      </w:tr>
      <w:tr w:rsidR="00A70B78" w:rsidRPr="007C6A42" w14:paraId="452156C3" w14:textId="77777777" w:rsidTr="00AF4FC9">
        <w:tc>
          <w:tcPr>
            <w:tcW w:w="851" w:type="dxa"/>
            <w:tcBorders>
              <w:top w:val="single" w:sz="4" w:space="0" w:color="auto"/>
              <w:left w:val="single" w:sz="4" w:space="0" w:color="auto"/>
              <w:bottom w:val="single" w:sz="4" w:space="0" w:color="auto"/>
              <w:right w:val="single" w:sz="4" w:space="0" w:color="auto"/>
            </w:tcBorders>
          </w:tcPr>
          <w:p w14:paraId="2067C1A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10069" w:type="dxa"/>
            <w:tcBorders>
              <w:top w:val="single" w:sz="4" w:space="0" w:color="auto"/>
              <w:left w:val="single" w:sz="4" w:space="0" w:color="auto"/>
              <w:bottom w:val="single" w:sz="4" w:space="0" w:color="auto"/>
              <w:right w:val="single" w:sz="4" w:space="0" w:color="auto"/>
            </w:tcBorders>
          </w:tcPr>
          <w:p w14:paraId="477DEE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Nous avons compté les chameaux destinés au sacrifice parmi les choses sacrées. C’est là une décision heureuse. Prononcez le nom de Dieu sur ceux qui sont prêts à être sacrifiés. Quand ils sont abattus, nourrissez-vous de leur chair et distribuez-en aux humbles et aux nécessiteux.</w:t>
            </w:r>
          </w:p>
        </w:tc>
      </w:tr>
      <w:tr w:rsidR="00A70B78" w:rsidRPr="007C6A42" w14:paraId="056B1A50" w14:textId="77777777" w:rsidTr="00AF4FC9">
        <w:tc>
          <w:tcPr>
            <w:tcW w:w="851" w:type="dxa"/>
            <w:tcBorders>
              <w:top w:val="single" w:sz="4" w:space="0" w:color="auto"/>
              <w:left w:val="single" w:sz="4" w:space="0" w:color="auto"/>
              <w:bottom w:val="single" w:sz="4" w:space="0" w:color="auto"/>
              <w:right w:val="single" w:sz="4" w:space="0" w:color="auto"/>
            </w:tcBorders>
          </w:tcPr>
          <w:p w14:paraId="2B0A56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10069" w:type="dxa"/>
            <w:tcBorders>
              <w:top w:val="single" w:sz="4" w:space="0" w:color="auto"/>
              <w:left w:val="single" w:sz="4" w:space="0" w:color="auto"/>
              <w:bottom w:val="single" w:sz="4" w:space="0" w:color="auto"/>
              <w:right w:val="single" w:sz="4" w:space="0" w:color="auto"/>
            </w:tcBorders>
          </w:tcPr>
          <w:p w14:paraId="46B76A05" w14:textId="77777777" w:rsidR="00A70B78" w:rsidRPr="007C6A42" w:rsidRDefault="00A70B78" w:rsidP="00AF4FC9">
            <w:pPr>
              <w:pStyle w:val="Notedebasdepage"/>
              <w:spacing w:line="360" w:lineRule="auto"/>
              <w:jc w:val="both"/>
              <w:rPr>
                <w:rFonts w:asciiTheme="majorBidi" w:hAnsiTheme="majorBidi" w:cstheme="majorBidi"/>
                <w:sz w:val="24"/>
                <w:szCs w:val="24"/>
              </w:rPr>
            </w:pPr>
            <w:r w:rsidRPr="007C6A42">
              <w:rPr>
                <w:rFonts w:asciiTheme="majorBidi" w:eastAsia="Times New Roman" w:hAnsiTheme="majorBidi" w:cstheme="majorBidi"/>
                <w:sz w:val="24"/>
                <w:szCs w:val="24"/>
                <w:lang w:eastAsia="fr-FR" w:bidi="ar-AE"/>
              </w:rPr>
              <w:t>Les animaux ventrus* [*</w:t>
            </w:r>
            <w:r w:rsidRPr="007C6A42">
              <w:rPr>
                <w:rFonts w:asciiTheme="majorBidi" w:hAnsiTheme="majorBidi" w:cstheme="majorBidi"/>
                <w:sz w:val="24"/>
                <w:szCs w:val="24"/>
              </w:rPr>
              <w:t>Bêtes sacrifiées, bêtes d’offrandes (Grosjean). Des chameaux ?</w:t>
            </w:r>
            <w:r w:rsidRPr="007C6A42">
              <w:rPr>
                <w:rFonts w:asciiTheme="majorBidi" w:eastAsia="Times New Roman" w:hAnsiTheme="majorBidi" w:cstheme="majorBidi"/>
                <w:sz w:val="24"/>
                <w:szCs w:val="24"/>
                <w:lang w:eastAsia="fr-FR" w:bidi="ar-AE"/>
              </w:rPr>
              <w:t>] que Nous vous avons destinés en vue d’être sacrifiés au nom d’Allah constituent un bien pour vous. Prononcez sur eux le nom d’Allah alors qu’ils sont encore en vie. Dès lors qu’ils sont abattus, mangez-en et nourrissez-en ceux qui se satisfont de peu et les nécessiteux* [*</w:t>
            </w:r>
            <w:r w:rsidRPr="007C6A42">
              <w:rPr>
                <w:rFonts w:asciiTheme="majorBidi" w:hAnsiTheme="majorBidi" w:cstheme="majorBidi"/>
                <w:i/>
                <w:sz w:val="24"/>
                <w:szCs w:val="24"/>
              </w:rPr>
              <w:t>Al-mû’tar</w:t>
            </w:r>
            <w:r w:rsidRPr="007C6A42">
              <w:rPr>
                <w:rFonts w:asciiTheme="majorBidi" w:hAnsiTheme="majorBidi" w:cstheme="majorBidi"/>
                <w:sz w:val="24"/>
                <w:szCs w:val="24"/>
              </w:rPr>
              <w:t> : l’impécunieux, le nécessiteux, le démuni.</w:t>
            </w:r>
            <w:r w:rsidRPr="007C6A42">
              <w:rPr>
                <w:rFonts w:asciiTheme="majorBidi" w:eastAsia="Times New Roman" w:hAnsiTheme="majorBidi" w:cstheme="majorBidi"/>
                <w:sz w:val="24"/>
                <w:szCs w:val="24"/>
                <w:lang w:eastAsia="fr-FR" w:bidi="ar-AE"/>
              </w:rPr>
              <w:t>].</w:t>
            </w:r>
          </w:p>
        </w:tc>
      </w:tr>
      <w:tr w:rsidR="00A70B78" w:rsidRPr="007C6A42" w14:paraId="0EFA624F" w14:textId="77777777" w:rsidTr="00AF4FC9">
        <w:tc>
          <w:tcPr>
            <w:tcW w:w="851" w:type="dxa"/>
            <w:tcBorders>
              <w:top w:val="single" w:sz="4" w:space="0" w:color="auto"/>
              <w:left w:val="single" w:sz="4" w:space="0" w:color="auto"/>
              <w:bottom w:val="single" w:sz="4" w:space="0" w:color="auto"/>
              <w:right w:val="single" w:sz="4" w:space="0" w:color="auto"/>
            </w:tcBorders>
          </w:tcPr>
          <w:p w14:paraId="78DD10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10069" w:type="dxa"/>
            <w:tcBorders>
              <w:top w:val="single" w:sz="4" w:space="0" w:color="auto"/>
              <w:left w:val="single" w:sz="4" w:space="0" w:color="auto"/>
              <w:bottom w:val="single" w:sz="4" w:space="0" w:color="auto"/>
              <w:right w:val="single" w:sz="4" w:space="0" w:color="auto"/>
            </w:tcBorders>
          </w:tcPr>
          <w:p w14:paraId="53BCD9B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Et les chameaux, Nous les Prescrivîmes comme rites d’Allah, vous y avez du bien. Mentionnez donc le nom d’Allah (au moment de les sacrifier) en les alignant. Quand ils tombent sur leurs côtés, mangez-en et nourrissez le pauvre et le mendiant.</w:t>
            </w:r>
          </w:p>
        </w:tc>
      </w:tr>
      <w:tr w:rsidR="00A70B78" w:rsidRPr="007C6A42" w14:paraId="53E00913" w14:textId="77777777" w:rsidTr="00AF4FC9">
        <w:tc>
          <w:tcPr>
            <w:tcW w:w="851" w:type="dxa"/>
            <w:tcBorders>
              <w:top w:val="single" w:sz="4" w:space="0" w:color="auto"/>
              <w:left w:val="single" w:sz="4" w:space="0" w:color="auto"/>
              <w:bottom w:val="single" w:sz="4" w:space="0" w:color="auto"/>
              <w:right w:val="single" w:sz="4" w:space="0" w:color="auto"/>
            </w:tcBorders>
          </w:tcPr>
          <w:p w14:paraId="369A361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10069" w:type="dxa"/>
            <w:tcBorders>
              <w:top w:val="single" w:sz="4" w:space="0" w:color="auto"/>
              <w:left w:val="single" w:sz="4" w:space="0" w:color="auto"/>
              <w:bottom w:val="single" w:sz="4" w:space="0" w:color="auto"/>
              <w:right w:val="single" w:sz="4" w:space="0" w:color="auto"/>
            </w:tcBorders>
          </w:tcPr>
          <w:p w14:paraId="5519A51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 xml:space="preserve">Nous vous avons fait les animaux de chair pour certains rituels de Dieu. Vous y avez un bien. Rappelez-vous donc sur eux le nom de Dieu, quand ils sont en rangs. Lorsqu’ils gisent sur leurs côtés, mangez-en, et nourrissez-en le content de son sort et le </w:t>
            </w:r>
            <w:r w:rsidRPr="007C6A42">
              <w:rPr>
                <w:rFonts w:asciiTheme="majorBidi" w:eastAsia="Times New Roman" w:hAnsiTheme="majorBidi" w:cstheme="majorBidi"/>
                <w:lang w:bidi="ar-AE"/>
              </w:rPr>
              <w:t>mendiant</w:t>
            </w:r>
            <w:r w:rsidRPr="007C6A42">
              <w:rPr>
                <w:rFonts w:asciiTheme="majorBidi" w:eastAsia="Times New Roman" w:hAnsiTheme="majorBidi" w:cstheme="majorBidi"/>
                <w:lang w:eastAsia="fr-CH"/>
              </w:rPr>
              <w:t>.</w:t>
            </w:r>
          </w:p>
        </w:tc>
      </w:tr>
    </w:tbl>
    <w:p w14:paraId="54C8F8F0" w14:textId="77777777" w:rsidR="00A70B78" w:rsidRPr="007C6A42" w:rsidRDefault="00A70B78" w:rsidP="00A70B78">
      <w:pPr>
        <w:spacing w:line="360" w:lineRule="auto"/>
        <w:jc w:val="both"/>
        <w:rPr>
          <w:rFonts w:asciiTheme="majorBidi" w:eastAsia="Times New Roman" w:hAnsiTheme="majorBidi" w:cstheme="majorBidi"/>
          <w:shd w:val="clear" w:color="auto" w:fill="FFFFFF"/>
          <w:rtl/>
        </w:rPr>
      </w:pPr>
    </w:p>
    <w:p w14:paraId="3D0303A0" w14:textId="77777777" w:rsidR="00A70B78" w:rsidRPr="007C6A42" w:rsidRDefault="00A70B78" w:rsidP="00A70B78">
      <w:pPr>
        <w:spacing w:line="360" w:lineRule="auto"/>
        <w:ind w:firstLine="284"/>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L’adjectif pluriel interne équivoque </w:t>
      </w:r>
      <w:r w:rsidRPr="007C6A42">
        <w:rPr>
          <w:rFonts w:asciiTheme="majorBidi" w:eastAsia="Times New Roman" w:hAnsiTheme="majorBidi" w:cstheme="majorBidi"/>
          <w:i/>
          <w:iCs/>
          <w:lang w:bidi="ar-AE"/>
        </w:rPr>
        <w:t>ṣawāffa</w:t>
      </w:r>
      <w:r w:rsidRPr="007C6A42">
        <w:rPr>
          <w:rFonts w:asciiTheme="majorBidi" w:eastAsia="Times New Roman" w:hAnsiTheme="majorBidi" w:cstheme="majorBidi"/>
          <w:lang w:bidi="ar-AE"/>
        </w:rPr>
        <w:t xml:space="preserve"> est rendu dans les traductions par :</w:t>
      </w:r>
    </w:p>
    <w:p w14:paraId="37AEF54E"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droicte ʃur ʃes pieds » (Du Ryer) ;</w:t>
      </w:r>
    </w:p>
    <w:p w14:paraId="4E05858E"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posés sur trois jambes » (Savary) ;</w:t>
      </w:r>
    </w:p>
    <w:p w14:paraId="44E178B8"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Ils doivent rester sur trois pieds, attachés par le quatrième. » (Kazimirski) ;</w:t>
      </w:r>
    </w:p>
    <w:p w14:paraId="18E10669"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vivants* ( ?) (*</w:t>
      </w:r>
      <w:r w:rsidRPr="007C6A42">
        <w:rPr>
          <w:rFonts w:asciiTheme="majorBidi" w:hAnsiTheme="majorBidi" w:cstheme="majorBidi"/>
          <w:i/>
          <w:iCs/>
          <w:sz w:val="24"/>
          <w:szCs w:val="24"/>
          <w:lang w:bidi="ar-AE"/>
        </w:rPr>
        <w:t>şawâffa </w:t>
      </w:r>
      <w:r w:rsidRPr="007C6A42">
        <w:rPr>
          <w:rFonts w:asciiTheme="majorBidi" w:hAnsiTheme="majorBidi" w:cstheme="majorBidi"/>
          <w:sz w:val="24"/>
          <w:szCs w:val="24"/>
          <w:lang w:bidi="ar-AE"/>
        </w:rPr>
        <w:t xml:space="preserve">« vivants ». Le terme, de valeur circonstancielle, s’applique aux victimes. Le sens en est incertain. On a les var. : </w:t>
      </w:r>
      <w:r w:rsidRPr="007C6A42">
        <w:rPr>
          <w:rFonts w:asciiTheme="majorBidi" w:hAnsiTheme="majorBidi" w:cstheme="majorBidi"/>
          <w:i/>
          <w:iCs/>
          <w:sz w:val="24"/>
          <w:szCs w:val="24"/>
          <w:lang w:bidi="ar-AE"/>
        </w:rPr>
        <w:t>şawâfîna</w:t>
      </w:r>
      <w:r w:rsidRPr="007C6A42">
        <w:rPr>
          <w:rFonts w:asciiTheme="majorBidi" w:hAnsiTheme="majorBidi" w:cstheme="majorBidi"/>
          <w:sz w:val="24"/>
          <w:szCs w:val="24"/>
          <w:lang w:bidi="ar-AE"/>
        </w:rPr>
        <w:t xml:space="preserve"> « ayant une patte entravée », </w:t>
      </w:r>
      <w:r w:rsidRPr="007C6A42">
        <w:rPr>
          <w:rFonts w:asciiTheme="majorBidi" w:hAnsiTheme="majorBidi" w:cstheme="majorBidi"/>
          <w:i/>
          <w:iCs/>
          <w:sz w:val="24"/>
          <w:szCs w:val="24"/>
          <w:lang w:bidi="ar-AE"/>
        </w:rPr>
        <w:t>şawâfiya</w:t>
      </w:r>
      <w:r w:rsidRPr="007C6A42">
        <w:rPr>
          <w:rFonts w:asciiTheme="majorBidi" w:hAnsiTheme="majorBidi" w:cstheme="majorBidi"/>
          <w:sz w:val="24"/>
          <w:szCs w:val="24"/>
          <w:lang w:bidi="ar-AE"/>
        </w:rPr>
        <w:t xml:space="preserve"> « purs ».) » (Blachère) ;</w:t>
      </w:r>
    </w:p>
    <w:p w14:paraId="0BBF9C46"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rPr>
      </w:pPr>
      <w:r w:rsidRPr="007C6A42">
        <w:rPr>
          <w:rFonts w:asciiTheme="majorBidi" w:hAnsiTheme="majorBidi" w:cstheme="majorBidi"/>
          <w:sz w:val="24"/>
          <w:szCs w:val="24"/>
          <w:lang w:bidi="ar-AE"/>
        </w:rPr>
        <w:t>« </w:t>
      </w:r>
      <w:r w:rsidRPr="007C6A42">
        <w:rPr>
          <w:rFonts w:asciiTheme="majorBidi" w:hAnsiTheme="majorBidi" w:cstheme="majorBidi"/>
          <w:sz w:val="24"/>
          <w:szCs w:val="24"/>
        </w:rPr>
        <w:t>tandis qu’elles sont rangées</w:t>
      </w:r>
      <w:r w:rsidRPr="007C6A42">
        <w:rPr>
          <w:rFonts w:asciiTheme="majorBidi" w:hAnsiTheme="majorBidi" w:cstheme="majorBidi"/>
          <w:sz w:val="24"/>
          <w:szCs w:val="24"/>
          <w:lang w:eastAsia="fr-FR" w:bidi="ar-AE"/>
        </w:rPr>
        <w:t>*</w:t>
      </w:r>
      <w:r w:rsidRPr="007C6A42">
        <w:rPr>
          <w:rFonts w:asciiTheme="majorBidi" w:hAnsiTheme="majorBidi" w:cstheme="majorBidi"/>
          <w:sz w:val="24"/>
          <w:szCs w:val="24"/>
        </w:rPr>
        <w:t xml:space="preserve"> (</w:t>
      </w:r>
      <w:r w:rsidRPr="007C6A42">
        <w:rPr>
          <w:rFonts w:asciiTheme="majorBidi" w:hAnsiTheme="majorBidi" w:cstheme="majorBidi"/>
          <w:sz w:val="24"/>
          <w:szCs w:val="24"/>
          <w:lang w:eastAsia="fr-FR" w:bidi="ar-AE"/>
        </w:rPr>
        <w:t>*</w:t>
      </w:r>
      <w:r w:rsidRPr="007C6A42">
        <w:rPr>
          <w:rFonts w:asciiTheme="majorBidi" w:hAnsiTheme="majorBidi" w:cstheme="majorBidi"/>
          <w:i/>
          <w:sz w:val="24"/>
          <w:szCs w:val="24"/>
        </w:rPr>
        <w:t>pendant qu’elles sont rangées</w:t>
      </w:r>
      <w:r w:rsidRPr="007C6A42">
        <w:rPr>
          <w:rFonts w:asciiTheme="majorBidi" w:hAnsiTheme="majorBidi" w:cstheme="majorBidi"/>
          <w:sz w:val="24"/>
          <w:szCs w:val="24"/>
        </w:rPr>
        <w:t> : avant l’immolation.) » (Hamidullah) ;</w:t>
      </w:r>
    </w:p>
    <w:p w14:paraId="50DAF0C3"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rPr>
        <w:t>« </w:t>
      </w:r>
      <w:r w:rsidRPr="007C6A42">
        <w:rPr>
          <w:rFonts w:asciiTheme="majorBidi" w:hAnsiTheme="majorBidi" w:cstheme="majorBidi"/>
          <w:sz w:val="24"/>
          <w:szCs w:val="24"/>
          <w:lang w:bidi="ar-AE"/>
        </w:rPr>
        <w:t>ces animaux prêts à être égorgés » (Masson) ;</w:t>
      </w:r>
    </w:p>
    <w:p w14:paraId="7A533FAE"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lastRenderedPageBreak/>
        <w:t>« encore vivant » (Chouraqui) ;</w:t>
      </w:r>
    </w:p>
    <w:p w14:paraId="66BEE40E"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debout sur trois pattes, attachés par la quatrième » (Ghédira) ;</w:t>
      </w:r>
    </w:p>
    <w:p w14:paraId="443FD204"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rPr>
      </w:pPr>
      <w:r w:rsidRPr="007C6A42">
        <w:rPr>
          <w:rFonts w:asciiTheme="majorBidi" w:hAnsiTheme="majorBidi" w:cstheme="majorBidi"/>
          <w:sz w:val="24"/>
          <w:szCs w:val="24"/>
          <w:lang w:bidi="ar-AE"/>
        </w:rPr>
        <w:t>« </w:t>
      </w:r>
      <w:r w:rsidRPr="007C6A42">
        <w:rPr>
          <w:rFonts w:asciiTheme="majorBidi" w:hAnsiTheme="majorBidi" w:cstheme="majorBidi"/>
          <w:sz w:val="24"/>
          <w:szCs w:val="24"/>
        </w:rPr>
        <w:t>quand ils ont eu la patte attachée, [prêts à être immolés]. » (Complexe de Médine) ;</w:t>
      </w:r>
    </w:p>
    <w:p w14:paraId="5F68B0A1"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rPr>
        <w:t>« </w:t>
      </w:r>
      <w:r w:rsidRPr="007C6A42">
        <w:rPr>
          <w:rFonts w:asciiTheme="majorBidi" w:hAnsiTheme="majorBidi" w:cstheme="majorBidi"/>
          <w:sz w:val="24"/>
          <w:szCs w:val="24"/>
          <w:lang w:bidi="ar-AE"/>
        </w:rPr>
        <w:t>quand elles sont en rangs » (Berque) ;</w:t>
      </w:r>
    </w:p>
    <w:p w14:paraId="4E4CEDC6"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qui sont rangés » (Guessous) ;</w:t>
      </w:r>
    </w:p>
    <w:p w14:paraId="784AA43C"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quand ils sont prêts à être immolés » (Hafiane) ;</w:t>
      </w:r>
    </w:p>
    <w:p w14:paraId="628B93CC"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quand elles sont apprêtées pour le sacrifice » (Grosjean) ;</w:t>
      </w:r>
    </w:p>
    <w:p w14:paraId="1FB1D8A5"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lang w:bidi="ar-AE"/>
        </w:rPr>
      </w:pPr>
      <w:r w:rsidRPr="007C6A42">
        <w:rPr>
          <w:rFonts w:asciiTheme="majorBidi" w:hAnsiTheme="majorBidi" w:cstheme="majorBidi"/>
          <w:sz w:val="24"/>
          <w:szCs w:val="24"/>
          <w:lang w:bidi="ar-AE"/>
        </w:rPr>
        <w:t>« qui sont prêts à être sacrifiés » (Chiadmi) ;</w:t>
      </w:r>
    </w:p>
    <w:p w14:paraId="04D0FC20" w14:textId="77777777" w:rsidR="00A70B78" w:rsidRPr="007C6A42" w:rsidRDefault="00A70B78" w:rsidP="00876BB0">
      <w:pPr>
        <w:pStyle w:val="Paragraphedeliste"/>
        <w:numPr>
          <w:ilvl w:val="0"/>
          <w:numId w:val="111"/>
        </w:numPr>
        <w:bidi w:val="0"/>
        <w:spacing w:after="0" w:line="360" w:lineRule="auto"/>
        <w:jc w:val="both"/>
        <w:rPr>
          <w:rFonts w:asciiTheme="majorBidi" w:hAnsiTheme="majorBidi" w:cstheme="majorBidi"/>
          <w:sz w:val="24"/>
          <w:szCs w:val="24"/>
        </w:rPr>
      </w:pPr>
      <w:r w:rsidRPr="007C6A42">
        <w:rPr>
          <w:rFonts w:asciiTheme="majorBidi" w:hAnsiTheme="majorBidi" w:cstheme="majorBidi"/>
          <w:sz w:val="24"/>
          <w:szCs w:val="24"/>
        </w:rPr>
        <w:t>« </w:t>
      </w:r>
      <w:r w:rsidRPr="007C6A42">
        <w:rPr>
          <w:rFonts w:asciiTheme="majorBidi" w:hAnsiTheme="majorBidi" w:cstheme="majorBidi"/>
          <w:sz w:val="24"/>
          <w:szCs w:val="24"/>
          <w:lang w:bidi="ar-AE"/>
        </w:rPr>
        <w:t>qui sont prêts à être sacrifiés » (Ben Mahmoud) ;</w:t>
      </w:r>
    </w:p>
    <w:p w14:paraId="6065045B" w14:textId="77777777" w:rsidR="00A70B78" w:rsidRPr="007C6A42" w:rsidRDefault="00A70B78" w:rsidP="00876BB0">
      <w:pPr>
        <w:pStyle w:val="Paragraphedeliste"/>
        <w:numPr>
          <w:ilvl w:val="0"/>
          <w:numId w:val="111"/>
        </w:numPr>
        <w:bidi w:val="0"/>
        <w:spacing w:after="0" w:line="360" w:lineRule="auto"/>
        <w:contextualSpacing/>
        <w:jc w:val="both"/>
        <w:rPr>
          <w:rFonts w:asciiTheme="majorBidi" w:hAnsiTheme="majorBidi" w:cstheme="majorBidi"/>
          <w:sz w:val="24"/>
          <w:szCs w:val="24"/>
          <w:lang w:bidi="ar-AE"/>
        </w:rPr>
      </w:pPr>
      <w:r w:rsidRPr="007C6A42">
        <w:rPr>
          <w:rFonts w:asciiTheme="majorBidi" w:eastAsia="Calibri" w:hAnsiTheme="majorBidi" w:cstheme="majorBidi"/>
          <w:sz w:val="24"/>
          <w:szCs w:val="24"/>
          <w:lang w:bidi="ar-SY"/>
        </w:rPr>
        <w:t>« </w:t>
      </w:r>
      <w:r w:rsidRPr="007C6A42">
        <w:rPr>
          <w:rFonts w:asciiTheme="majorBidi" w:hAnsiTheme="majorBidi" w:cstheme="majorBidi"/>
          <w:sz w:val="24"/>
          <w:szCs w:val="24"/>
          <w:lang w:bidi="ar-AE"/>
        </w:rPr>
        <w:t>alors qu’ils sont encore en vie » (Chebel) ;</w:t>
      </w:r>
    </w:p>
    <w:p w14:paraId="1E6501C2" w14:textId="77777777" w:rsidR="00A70B78" w:rsidRPr="007C6A42" w:rsidRDefault="00A70B78" w:rsidP="00876BB0">
      <w:pPr>
        <w:pStyle w:val="Paragraphedeliste"/>
        <w:numPr>
          <w:ilvl w:val="0"/>
          <w:numId w:val="111"/>
        </w:numPr>
        <w:bidi w:val="0"/>
        <w:spacing w:after="0" w:line="360" w:lineRule="auto"/>
        <w:contextualSpacing/>
        <w:jc w:val="both"/>
        <w:rPr>
          <w:rFonts w:asciiTheme="majorBidi" w:hAnsiTheme="majorBidi" w:cstheme="majorBidi"/>
          <w:sz w:val="24"/>
          <w:szCs w:val="24"/>
          <w:lang w:bidi="ar-AE"/>
        </w:rPr>
      </w:pPr>
      <w:r w:rsidRPr="007C6A42">
        <w:rPr>
          <w:rFonts w:asciiTheme="majorBidi" w:eastAsia="Calibri" w:hAnsiTheme="majorBidi" w:cstheme="majorBidi"/>
          <w:sz w:val="24"/>
          <w:szCs w:val="24"/>
          <w:lang w:bidi="ar-SY"/>
        </w:rPr>
        <w:t>« </w:t>
      </w:r>
      <w:r w:rsidRPr="007C6A42">
        <w:rPr>
          <w:rFonts w:asciiTheme="majorBidi" w:hAnsiTheme="majorBidi" w:cstheme="majorBidi"/>
          <w:sz w:val="24"/>
          <w:szCs w:val="24"/>
          <w:lang w:bidi="ar-AE"/>
        </w:rPr>
        <w:t>en les alignant » (Abdelaziz) ;</w:t>
      </w:r>
    </w:p>
    <w:p w14:paraId="24013C21" w14:textId="77777777" w:rsidR="00A70B78" w:rsidRPr="007C6A42" w:rsidRDefault="00A70B78" w:rsidP="00876BB0">
      <w:pPr>
        <w:pStyle w:val="Paragraphedeliste"/>
        <w:numPr>
          <w:ilvl w:val="0"/>
          <w:numId w:val="111"/>
        </w:numPr>
        <w:bidi w:val="0"/>
        <w:spacing w:after="0" w:line="360" w:lineRule="auto"/>
        <w:contextualSpacing/>
        <w:jc w:val="both"/>
        <w:rPr>
          <w:rFonts w:asciiTheme="majorBidi" w:eastAsia="Calibri" w:hAnsiTheme="majorBidi" w:cstheme="majorBidi"/>
          <w:sz w:val="24"/>
          <w:szCs w:val="24"/>
          <w:lang w:bidi="ar-SY"/>
        </w:rPr>
      </w:pPr>
      <w:r w:rsidRPr="007C6A42">
        <w:rPr>
          <w:rFonts w:asciiTheme="majorBidi" w:eastAsia="Calibri" w:hAnsiTheme="majorBidi" w:cstheme="majorBidi"/>
          <w:sz w:val="24"/>
          <w:szCs w:val="24"/>
          <w:lang w:bidi="ar-SY"/>
        </w:rPr>
        <w:t>« </w:t>
      </w:r>
      <w:r w:rsidRPr="007C6A42">
        <w:rPr>
          <w:rFonts w:asciiTheme="majorBidi" w:hAnsiTheme="majorBidi" w:cstheme="majorBidi"/>
          <w:sz w:val="24"/>
          <w:szCs w:val="24"/>
          <w:lang w:eastAsia="fr-CH"/>
        </w:rPr>
        <w:t>quand ils sont en rangs » (Aldeeb).</w:t>
      </w:r>
    </w:p>
    <w:p w14:paraId="5E6C90DC" w14:textId="77777777" w:rsidR="00A70B78" w:rsidRPr="007C6A42" w:rsidRDefault="00A70B78" w:rsidP="00A70B78">
      <w:pPr>
        <w:spacing w:line="360" w:lineRule="auto"/>
        <w:ind w:firstLine="360"/>
        <w:contextualSpacing/>
        <w:jc w:val="both"/>
        <w:rPr>
          <w:rFonts w:asciiTheme="majorBidi" w:eastAsia="Calibri" w:hAnsiTheme="majorBidi" w:cstheme="majorBidi"/>
        </w:rPr>
      </w:pPr>
      <w:r w:rsidRPr="007C6A42">
        <w:rPr>
          <w:rFonts w:asciiTheme="majorBidi" w:eastAsia="Calibri" w:hAnsiTheme="majorBidi" w:cstheme="majorBidi"/>
          <w:lang w:bidi="ar-SY"/>
        </w:rPr>
        <w:t>Se référant à l’exégèse, les traducteurs ont donné des significations qui soulignent l’idée que les animaux sont alignés, attachés, posés sur leurs jambes et prêts à être immolés. Ils ont ainsi montré une partie de l’interprétation exégétique. Mais ils ont allongé et clarifié leur traduction, ce qui en modifie et réduit le champ sémantique. Tous les traducteurs ont traduit ici un seul mot par un syntagme de mots, ou une proposition subordonnée, voire une phrase entière. La traduction de Kazimirski (</w:t>
      </w:r>
      <w:r w:rsidRPr="007C6A42">
        <w:rPr>
          <w:rFonts w:asciiTheme="majorBidi" w:hAnsiTheme="majorBidi" w:cstheme="majorBidi"/>
          <w:lang w:bidi="ar-AE"/>
        </w:rPr>
        <w:t xml:space="preserve">« Ils doivent rester sur trois pieds, attachés par le quatrième ») n’a pas du tout la même signification ni la même valeur sémantique que l’adjectif au cas direct </w:t>
      </w:r>
      <w:r w:rsidRPr="007C6A42">
        <w:rPr>
          <w:rFonts w:asciiTheme="majorBidi" w:eastAsia="Times New Roman" w:hAnsiTheme="majorBidi" w:cstheme="majorBidi"/>
          <w:i/>
          <w:iCs/>
          <w:lang w:bidi="ar-AE"/>
        </w:rPr>
        <w:t>ṣawāffa</w:t>
      </w:r>
      <w:r w:rsidRPr="007C6A42">
        <w:rPr>
          <w:rFonts w:asciiTheme="majorBidi" w:eastAsia="Times New Roman" w:hAnsiTheme="majorBidi" w:cstheme="majorBidi"/>
          <w:lang w:bidi="ar-AE"/>
        </w:rPr>
        <w:t xml:space="preserve"> </w:t>
      </w:r>
      <w:r w:rsidRPr="007C6A42">
        <w:rPr>
          <w:rFonts w:asciiTheme="majorBidi" w:hAnsiTheme="majorBidi" w:cstheme="majorBidi"/>
          <w:lang w:bidi="ar-AE"/>
        </w:rPr>
        <w:t xml:space="preserve">qui a la fonction grammaticale de </w:t>
      </w:r>
      <w:r w:rsidRPr="007C6A42">
        <w:rPr>
          <w:rFonts w:asciiTheme="majorBidi" w:hAnsiTheme="majorBidi" w:cstheme="majorBidi"/>
          <w:i/>
          <w:iCs/>
          <w:lang w:bidi="ar-AE"/>
        </w:rPr>
        <w:t>ḥāl</w:t>
      </w:r>
      <w:r w:rsidRPr="007C6A42">
        <w:rPr>
          <w:rFonts w:asciiTheme="majorBidi" w:hAnsiTheme="majorBidi" w:cstheme="majorBidi"/>
          <w:lang w:bidi="ar-AE"/>
        </w:rPr>
        <w:t xml:space="preserve"> (complément circonstanciel d’état). Cette phrase détruit la rythmique, la musicalité et le systématisme textuel du texte-source. Elle a ajouté l’idée de « devoir » qui n’existe pas dans le champ sémantique du mot arabe.</w:t>
      </w:r>
    </w:p>
    <w:p w14:paraId="05FE1DB8"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hAnsiTheme="majorBidi" w:cstheme="majorBidi"/>
          <w:bdr w:val="none" w:sz="0" w:space="0" w:color="auto" w:frame="1"/>
        </w:rPr>
        <w:t xml:space="preserve">Trois traducteurs (Blachère, Chouraqui et Chebel) ont donné à </w:t>
      </w:r>
      <w:r w:rsidRPr="007C6A42">
        <w:rPr>
          <w:rFonts w:asciiTheme="majorBidi" w:eastAsia="Times New Roman" w:hAnsiTheme="majorBidi" w:cstheme="majorBidi"/>
          <w:i/>
          <w:iCs/>
          <w:lang w:bidi="ar-AE"/>
        </w:rPr>
        <w:t>ṣawāffa</w:t>
      </w:r>
      <w:r w:rsidRPr="007C6A42">
        <w:rPr>
          <w:rFonts w:asciiTheme="majorBidi" w:eastAsia="Times New Roman" w:hAnsiTheme="majorBidi" w:cstheme="majorBidi"/>
          <w:lang w:bidi="ar-AE"/>
        </w:rPr>
        <w:t xml:space="preserve"> </w:t>
      </w:r>
      <w:r w:rsidRPr="007C6A42">
        <w:rPr>
          <w:rFonts w:asciiTheme="majorBidi" w:hAnsiTheme="majorBidi" w:cstheme="majorBidi"/>
          <w:bdr w:val="none" w:sz="0" w:space="0" w:color="auto" w:frame="1"/>
        </w:rPr>
        <w:t>une signification qui n’existe dans aucune exégèse et qui porte sur l’idée que ces animaux sont en vie : « vivants », « encore vivant », « </w:t>
      </w:r>
      <w:r w:rsidRPr="007C6A42">
        <w:rPr>
          <w:rFonts w:asciiTheme="majorBidi" w:eastAsia="Times New Roman" w:hAnsiTheme="majorBidi" w:cstheme="majorBidi"/>
          <w:lang w:bidi="ar-AE"/>
        </w:rPr>
        <w:t>alors qu’ils sont encore en vie ». Si Chouraqui (</w:t>
      </w:r>
      <w:r w:rsidRPr="007C6A42">
        <w:rPr>
          <w:rFonts w:asciiTheme="majorBidi" w:eastAsia="Times New Roman" w:hAnsiTheme="majorBidi" w:cstheme="majorBidi"/>
        </w:rPr>
        <w:t>1990)</w:t>
      </w:r>
      <w:r w:rsidRPr="007C6A42">
        <w:rPr>
          <w:rFonts w:asciiTheme="majorBidi" w:eastAsia="Times New Roman" w:hAnsiTheme="majorBidi" w:cstheme="majorBidi"/>
          <w:lang w:bidi="ar-AE"/>
        </w:rPr>
        <w:t xml:space="preserve"> et Chebel </w:t>
      </w:r>
      <w:r w:rsidRPr="007C6A42">
        <w:rPr>
          <w:rFonts w:asciiTheme="majorBidi" w:eastAsia="Times New Roman" w:hAnsiTheme="majorBidi" w:cstheme="majorBidi"/>
        </w:rPr>
        <w:t>(2009)</w:t>
      </w:r>
      <w:r w:rsidRPr="007C6A42">
        <w:rPr>
          <w:rFonts w:asciiTheme="majorBidi" w:eastAsia="Times New Roman" w:hAnsiTheme="majorBidi" w:cstheme="majorBidi"/>
          <w:lang w:bidi="ar-AE"/>
        </w:rPr>
        <w:t xml:space="preserve"> ont probablement repris la traduction de Blachère </w:t>
      </w:r>
      <w:r w:rsidRPr="007C6A42">
        <w:rPr>
          <w:rFonts w:asciiTheme="majorBidi" w:eastAsia="Times New Roman" w:hAnsiTheme="majorBidi" w:cstheme="majorBidi"/>
        </w:rPr>
        <w:t>(1949)</w:t>
      </w:r>
      <w:r w:rsidRPr="007C6A42">
        <w:rPr>
          <w:rFonts w:asciiTheme="majorBidi" w:eastAsia="Times New Roman" w:hAnsiTheme="majorBidi" w:cstheme="majorBidi"/>
          <w:lang w:bidi="ar-AE"/>
        </w:rPr>
        <w:t xml:space="preserve">, on ignore d’où Blachère tire la sienne. Blachère souligne déjà en note que le sens du mot est incertain. Peut-être les traducteurs qui ont donné le sens de « vivants » ont-ils fait ce choix en opposant </w:t>
      </w:r>
      <w:r w:rsidRPr="007C6A42">
        <w:rPr>
          <w:rFonts w:asciiTheme="majorBidi" w:eastAsia="Times New Roman" w:hAnsiTheme="majorBidi" w:cstheme="majorBidi"/>
          <w:i/>
          <w:iCs/>
          <w:lang w:bidi="ar-AE"/>
        </w:rPr>
        <w:t>ṣawāffa</w:t>
      </w:r>
      <w:r w:rsidRPr="007C6A42">
        <w:rPr>
          <w:rFonts w:asciiTheme="majorBidi" w:eastAsia="Times New Roman" w:hAnsiTheme="majorBidi" w:cstheme="majorBidi"/>
          <w:lang w:bidi="ar-AE"/>
        </w:rPr>
        <w:t xml:space="preserve"> à la phrase qui suit (</w:t>
      </w:r>
      <w:r w:rsidRPr="007C6A42">
        <w:rPr>
          <w:rFonts w:asciiTheme="majorBidi" w:eastAsia="Times New Roman" w:hAnsiTheme="majorBidi" w:cstheme="majorBidi"/>
          <w:rtl/>
          <w:lang w:bidi="ar-AE"/>
        </w:rPr>
        <w:t>"فإذا وَجَبَتْ جُنوبُها</w:t>
      </w:r>
      <w:r w:rsidRPr="007C6A42">
        <w:rPr>
          <w:rFonts w:asciiTheme="majorBidi" w:eastAsia="Times New Roman" w:hAnsiTheme="majorBidi" w:cstheme="majorBidi"/>
          <w:rtl/>
        </w:rPr>
        <w:t>"</w:t>
      </w:r>
      <w:r w:rsidRPr="007C6A42">
        <w:rPr>
          <w:rFonts w:asciiTheme="majorBidi" w:eastAsia="Times New Roman" w:hAnsiTheme="majorBidi" w:cstheme="majorBidi"/>
          <w:lang w:bidi="ar-AE"/>
        </w:rPr>
        <w:t xml:space="preserve">) </w:t>
      </w:r>
      <w:r w:rsidRPr="007C6A42">
        <w:rPr>
          <w:rFonts w:asciiTheme="majorBidi" w:hAnsiTheme="majorBidi" w:cstheme="majorBidi"/>
        </w:rPr>
        <w:t>[« </w:t>
      </w:r>
      <w:r w:rsidRPr="007C6A42">
        <w:rPr>
          <w:rFonts w:asciiTheme="majorBidi" w:eastAsia="Times New Roman" w:hAnsiTheme="majorBidi" w:cstheme="majorBidi"/>
          <w:lang w:bidi="ar-AE"/>
        </w:rPr>
        <w:t>Quand ils tombent sur leurs côtés », c.à.d. quand ils sont morts</w:t>
      </w:r>
      <w:r w:rsidRPr="007C6A42">
        <w:rPr>
          <w:rFonts w:asciiTheme="majorBidi" w:hAnsiTheme="majorBidi" w:cstheme="majorBidi"/>
        </w:rPr>
        <w:t>]. Il se peut également qu’ils aient eu connaissance du hadith rapporté dans l’exégèse d’Ibn Kathīr : « </w:t>
      </w:r>
      <w:r w:rsidRPr="007C6A42">
        <w:rPr>
          <w:rFonts w:asciiTheme="majorBidi" w:hAnsiTheme="majorBidi" w:cstheme="majorBidi"/>
          <w:bdr w:val="none" w:sz="0" w:space="0" w:color="auto" w:frame="1"/>
          <w:rtl/>
        </w:rPr>
        <w:t>ما قُطِعَ مِن البهيمة وهي حية فهو ميت</w:t>
      </w:r>
      <w:r w:rsidRPr="007C6A42">
        <w:rPr>
          <w:rFonts w:asciiTheme="majorBidi" w:hAnsiTheme="majorBidi" w:cstheme="majorBidi"/>
          <w:bdr w:val="none" w:sz="0" w:space="0" w:color="auto" w:frame="1"/>
        </w:rPr>
        <w:t xml:space="preserve"> » </w:t>
      </w:r>
      <w:r w:rsidRPr="007C6A42">
        <w:rPr>
          <w:rFonts w:asciiTheme="majorBidi" w:hAnsiTheme="majorBidi" w:cstheme="majorBidi"/>
        </w:rPr>
        <w:t xml:space="preserve">[« Ce qui est coupé de l’animal alors qu’il est vivant est considéré </w:t>
      </w:r>
      <w:r w:rsidRPr="007C6A42">
        <w:rPr>
          <w:rFonts w:asciiTheme="majorBidi" w:hAnsiTheme="majorBidi" w:cstheme="majorBidi"/>
        </w:rPr>
        <w:lastRenderedPageBreak/>
        <w:t>comme cadavre »]</w:t>
      </w:r>
      <w:r w:rsidRPr="007C6A42">
        <w:rPr>
          <w:rStyle w:val="Appelnotedebasdep"/>
          <w:rFonts w:asciiTheme="majorBidi" w:hAnsiTheme="majorBidi" w:cstheme="majorBidi"/>
        </w:rPr>
        <w:footnoteReference w:id="522"/>
      </w:r>
      <w:r w:rsidRPr="007C6A42">
        <w:rPr>
          <w:rFonts w:asciiTheme="majorBidi" w:hAnsiTheme="majorBidi" w:cstheme="majorBidi"/>
        </w:rPr>
        <w:t xml:space="preserve">. Autrement dit, le musulman ne peut manger de l’animal quand il est encore vivant ; par suite, le mot </w:t>
      </w:r>
      <w:r w:rsidRPr="007C6A42">
        <w:rPr>
          <w:rFonts w:asciiTheme="majorBidi" w:eastAsia="Times New Roman" w:hAnsiTheme="majorBidi" w:cstheme="majorBidi"/>
          <w:i/>
          <w:iCs/>
          <w:lang w:bidi="ar-AE"/>
        </w:rPr>
        <w:t>ṣawāff</w:t>
      </w:r>
      <w:r w:rsidRPr="007C6A42">
        <w:rPr>
          <w:rFonts w:asciiTheme="majorBidi" w:eastAsia="Times New Roman" w:hAnsiTheme="majorBidi" w:cstheme="majorBidi"/>
          <w:lang w:bidi="ar-AE"/>
        </w:rPr>
        <w:t xml:space="preserve"> désignerait le fait que l’animal est encore en vie.</w:t>
      </w:r>
    </w:p>
    <w:p w14:paraId="00C6CE80" w14:textId="77777777" w:rsidR="00A70B78" w:rsidRPr="007C6A42" w:rsidRDefault="00A70B78" w:rsidP="00A70B78">
      <w:pPr>
        <w:spacing w:line="360" w:lineRule="auto"/>
        <w:contextualSpacing/>
        <w:jc w:val="both"/>
        <w:rPr>
          <w:rFonts w:asciiTheme="majorBidi" w:eastAsia="Calibri" w:hAnsiTheme="majorBidi" w:cstheme="majorBidi"/>
          <w:lang w:bidi="ar-SY"/>
        </w:rPr>
      </w:pPr>
    </w:p>
    <w:p w14:paraId="65ECAFE2" w14:textId="77777777" w:rsidR="00A70B78" w:rsidRPr="007C6A42" w:rsidRDefault="00A70B78" w:rsidP="00A70B78">
      <w:pPr>
        <w:spacing w:line="360" w:lineRule="auto"/>
        <w:ind w:firstLine="360"/>
        <w:contextualSpacing/>
        <w:jc w:val="both"/>
        <w:rPr>
          <w:rFonts w:asciiTheme="majorBidi" w:eastAsia="Calibri" w:hAnsiTheme="majorBidi" w:cstheme="majorBidi"/>
          <w:lang w:bidi="ar-SY"/>
        </w:rPr>
      </w:pPr>
      <w:r w:rsidRPr="007C6A42">
        <w:rPr>
          <w:rFonts w:asciiTheme="majorBidi" w:eastAsia="Calibri" w:hAnsiTheme="majorBidi" w:cstheme="majorBidi"/>
          <w:lang w:bidi="ar-SY"/>
        </w:rPr>
        <w:t xml:space="preserve">Concernant </w:t>
      </w:r>
      <w:r w:rsidRPr="007C6A42">
        <w:rPr>
          <w:rFonts w:asciiTheme="majorBidi" w:eastAsia="Calibri" w:hAnsiTheme="majorBidi" w:cstheme="majorBidi"/>
          <w:i/>
          <w:iCs/>
          <w:lang w:bidi="ar-SY"/>
        </w:rPr>
        <w:t>al-qāniʿ</w:t>
      </w:r>
      <w:r w:rsidRPr="007C6A42">
        <w:rPr>
          <w:rFonts w:asciiTheme="majorBidi" w:eastAsia="Calibri" w:hAnsiTheme="majorBidi" w:cstheme="majorBidi"/>
          <w:lang w:bidi="ar-SY"/>
        </w:rPr>
        <w:t xml:space="preserve"> et de </w:t>
      </w:r>
      <w:r w:rsidRPr="007C6A42">
        <w:rPr>
          <w:rFonts w:asciiTheme="majorBidi" w:eastAsia="Calibri" w:hAnsiTheme="majorBidi" w:cstheme="majorBidi"/>
          <w:i/>
          <w:iCs/>
          <w:lang w:bidi="ar-SY"/>
        </w:rPr>
        <w:t>al-muʿtarr</w:t>
      </w:r>
      <w:r w:rsidRPr="007C6A42">
        <w:rPr>
          <w:rFonts w:asciiTheme="majorBidi" w:eastAsia="Calibri" w:hAnsiTheme="majorBidi" w:cstheme="majorBidi"/>
          <w:lang w:bidi="ar-SY"/>
        </w:rPr>
        <w:t xml:space="preserve">, trois traducteurs (Du Ryer, Savary et Grosjean) ont appauvri quantitativement le texte en donnant pour les deux signifiants un seul signifié. Certains traducteurs ont traduit l’un des deux mots ou les deux par un syntagme de mots ou par une proposition relative (« celui qui… »), ce qui tend à modifier la valeur sémantique, </w:t>
      </w:r>
      <w:r w:rsidRPr="007C6A42">
        <w:rPr>
          <w:rFonts w:asciiTheme="majorBidi" w:hAnsiTheme="majorBidi" w:cstheme="majorBidi"/>
          <w:lang w:bidi="ar-AE"/>
        </w:rPr>
        <w:t xml:space="preserve">la rythmique et le systématisme du texte source. Chebel ajoute une note du traducteur largement redondante. Voici les traductions de ces termes : </w:t>
      </w:r>
    </w:p>
    <w:tbl>
      <w:tblPr>
        <w:tblW w:w="92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827"/>
        <w:gridCol w:w="4252"/>
      </w:tblGrid>
      <w:tr w:rsidR="00A70B78" w:rsidRPr="007C6A42" w14:paraId="3C1C19CC" w14:textId="77777777" w:rsidTr="00AF4FC9">
        <w:tc>
          <w:tcPr>
            <w:tcW w:w="4983" w:type="dxa"/>
            <w:gridSpan w:val="2"/>
            <w:tcBorders>
              <w:top w:val="nil"/>
              <w:left w:val="single" w:sz="4" w:space="0" w:color="auto"/>
              <w:bottom w:val="single" w:sz="4" w:space="0" w:color="auto"/>
              <w:right w:val="single" w:sz="4" w:space="0" w:color="auto"/>
            </w:tcBorders>
          </w:tcPr>
          <w:p w14:paraId="44245176" w14:textId="77777777" w:rsidR="00A70B78" w:rsidRPr="007C6A42" w:rsidRDefault="00A70B78" w:rsidP="00AF4FC9">
            <w:pPr>
              <w:bidi/>
              <w:spacing w:line="360" w:lineRule="auto"/>
              <w:jc w:val="center"/>
              <w:rPr>
                <w:rFonts w:asciiTheme="majorBidi" w:eastAsia="Times New Roman" w:hAnsiTheme="majorBidi" w:cstheme="majorBidi"/>
                <w:rtl/>
                <w:lang w:bidi="ar-KW"/>
              </w:rPr>
            </w:pPr>
            <w:r w:rsidRPr="007C6A42">
              <w:rPr>
                <w:rFonts w:asciiTheme="majorBidi" w:eastAsia="Times New Roman" w:hAnsiTheme="majorBidi" w:cstheme="majorBidi"/>
                <w:rtl/>
                <w:lang w:bidi="ar-AE"/>
              </w:rPr>
              <w:t>القانع</w:t>
            </w:r>
          </w:p>
        </w:tc>
        <w:tc>
          <w:tcPr>
            <w:tcW w:w="4252" w:type="dxa"/>
            <w:tcBorders>
              <w:top w:val="nil"/>
              <w:left w:val="single" w:sz="4" w:space="0" w:color="auto"/>
              <w:bottom w:val="single" w:sz="4" w:space="0" w:color="auto"/>
              <w:right w:val="single" w:sz="4" w:space="0" w:color="auto"/>
            </w:tcBorders>
          </w:tcPr>
          <w:p w14:paraId="4055F170" w14:textId="77777777" w:rsidR="00A70B78" w:rsidRPr="007C6A42" w:rsidRDefault="00A70B78" w:rsidP="00AF4FC9">
            <w:pPr>
              <w:bidi/>
              <w:spacing w:line="360" w:lineRule="auto"/>
              <w:jc w:val="center"/>
              <w:rPr>
                <w:rFonts w:asciiTheme="majorBidi" w:eastAsia="Times New Roman" w:hAnsiTheme="majorBidi" w:cstheme="majorBidi"/>
                <w:rtl/>
                <w:lang w:bidi="ar-KW"/>
              </w:rPr>
            </w:pPr>
            <w:r w:rsidRPr="007C6A42">
              <w:rPr>
                <w:rFonts w:asciiTheme="majorBidi" w:eastAsia="Times New Roman" w:hAnsiTheme="majorBidi" w:cstheme="majorBidi"/>
                <w:rtl/>
                <w:lang w:bidi="ar-AE"/>
              </w:rPr>
              <w:t>والمُعْـــتَـرّ</w:t>
            </w:r>
          </w:p>
        </w:tc>
      </w:tr>
      <w:tr w:rsidR="00A70B78" w:rsidRPr="007C6A42" w14:paraId="4BADC66F" w14:textId="77777777" w:rsidTr="00AF4FC9">
        <w:tc>
          <w:tcPr>
            <w:tcW w:w="1156" w:type="dxa"/>
            <w:tcBorders>
              <w:top w:val="single" w:sz="4" w:space="0" w:color="auto"/>
              <w:left w:val="single" w:sz="4" w:space="0" w:color="auto"/>
              <w:bottom w:val="single" w:sz="4" w:space="0" w:color="auto"/>
              <w:right w:val="single" w:sz="4" w:space="0" w:color="auto"/>
            </w:tcBorders>
          </w:tcPr>
          <w:p w14:paraId="1D16853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8079" w:type="dxa"/>
            <w:gridSpan w:val="2"/>
            <w:tcBorders>
              <w:top w:val="single" w:sz="4" w:space="0" w:color="auto"/>
              <w:left w:val="single" w:sz="4" w:space="0" w:color="auto"/>
              <w:bottom w:val="single" w:sz="4" w:space="0" w:color="auto"/>
              <w:right w:val="single" w:sz="4" w:space="0" w:color="auto"/>
            </w:tcBorders>
          </w:tcPr>
          <w:p w14:paraId="04019495" w14:textId="77777777" w:rsidR="00A70B78" w:rsidRPr="007C6A42" w:rsidRDefault="00A70B78" w:rsidP="00AF4FC9">
            <w:pPr>
              <w:spacing w:line="360" w:lineRule="auto"/>
              <w:jc w:val="center"/>
              <w:rPr>
                <w:rFonts w:asciiTheme="majorBidi" w:eastAsia="Times New Roman" w:hAnsiTheme="majorBidi" w:cstheme="majorBidi"/>
              </w:rPr>
            </w:pPr>
            <w:r w:rsidRPr="007C6A42">
              <w:rPr>
                <w:rFonts w:asciiTheme="majorBidi" w:eastAsia="Times New Roman" w:hAnsiTheme="majorBidi" w:cstheme="majorBidi"/>
                <w:lang w:bidi="ar-AE"/>
              </w:rPr>
              <w:t>ceux qui vous en demanderont</w:t>
            </w:r>
          </w:p>
        </w:tc>
      </w:tr>
      <w:tr w:rsidR="00A70B78" w:rsidRPr="007C6A42" w14:paraId="48D2AFA3" w14:textId="77777777" w:rsidTr="00AF4FC9">
        <w:tc>
          <w:tcPr>
            <w:tcW w:w="1156" w:type="dxa"/>
            <w:tcBorders>
              <w:top w:val="single" w:sz="4" w:space="0" w:color="auto"/>
              <w:left w:val="single" w:sz="4" w:space="0" w:color="auto"/>
              <w:bottom w:val="single" w:sz="4" w:space="0" w:color="auto"/>
              <w:right w:val="single" w:sz="4" w:space="0" w:color="auto"/>
            </w:tcBorders>
          </w:tcPr>
          <w:p w14:paraId="64A273E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8079" w:type="dxa"/>
            <w:gridSpan w:val="2"/>
            <w:tcBorders>
              <w:top w:val="single" w:sz="4" w:space="0" w:color="auto"/>
              <w:left w:val="single" w:sz="4" w:space="0" w:color="auto"/>
              <w:bottom w:val="single" w:sz="4" w:space="0" w:color="auto"/>
              <w:right w:val="single" w:sz="4" w:space="0" w:color="auto"/>
            </w:tcBorders>
          </w:tcPr>
          <w:p w14:paraId="47454E1E" w14:textId="77777777" w:rsidR="00A70B78" w:rsidRPr="007C6A42" w:rsidRDefault="00A70B78" w:rsidP="00AF4FC9">
            <w:pPr>
              <w:shd w:val="clear" w:color="auto" w:fill="FFFFFF"/>
              <w:spacing w:line="360" w:lineRule="auto"/>
              <w:jc w:val="center"/>
              <w:rPr>
                <w:rFonts w:asciiTheme="majorBidi" w:eastAsia="Times New Roman" w:hAnsiTheme="majorBidi" w:cstheme="majorBidi"/>
              </w:rPr>
            </w:pPr>
            <w:r w:rsidRPr="007C6A42">
              <w:rPr>
                <w:rFonts w:asciiTheme="majorBidi" w:eastAsia="Times New Roman" w:hAnsiTheme="majorBidi" w:cstheme="majorBidi"/>
                <w:lang w:bidi="ar-AE"/>
              </w:rPr>
              <w:t>tous ceux qui en demanderont</w:t>
            </w:r>
          </w:p>
        </w:tc>
      </w:tr>
      <w:tr w:rsidR="00A70B78" w:rsidRPr="007C6A42" w14:paraId="164D1A6E" w14:textId="77777777" w:rsidTr="00AF4FC9">
        <w:tc>
          <w:tcPr>
            <w:tcW w:w="1156" w:type="dxa"/>
            <w:tcBorders>
              <w:top w:val="single" w:sz="4" w:space="0" w:color="auto"/>
              <w:left w:val="single" w:sz="4" w:space="0" w:color="auto"/>
              <w:bottom w:val="single" w:sz="4" w:space="0" w:color="auto"/>
              <w:right w:val="single" w:sz="4" w:space="0" w:color="auto"/>
            </w:tcBorders>
          </w:tcPr>
          <w:p w14:paraId="55A8D8C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3827" w:type="dxa"/>
            <w:tcBorders>
              <w:top w:val="single" w:sz="4" w:space="0" w:color="auto"/>
              <w:left w:val="single" w:sz="4" w:space="0" w:color="auto"/>
              <w:bottom w:val="single" w:sz="4" w:space="0" w:color="auto"/>
              <w:right w:val="single" w:sz="4" w:space="0" w:color="auto"/>
            </w:tcBorders>
          </w:tcPr>
          <w:p w14:paraId="49913EF5"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lang w:bidi="ar-AE"/>
              </w:rPr>
              <w:t>celui qui se contente de ce qu’on lui donne,</w:t>
            </w:r>
          </w:p>
        </w:tc>
        <w:tc>
          <w:tcPr>
            <w:tcW w:w="4252" w:type="dxa"/>
            <w:tcBorders>
              <w:top w:val="single" w:sz="4" w:space="0" w:color="auto"/>
              <w:left w:val="single" w:sz="4" w:space="0" w:color="auto"/>
              <w:bottom w:val="single" w:sz="4" w:space="0" w:color="auto"/>
              <w:right w:val="single" w:sz="4" w:space="0" w:color="auto"/>
            </w:tcBorders>
          </w:tcPr>
          <w:p w14:paraId="64290FB9"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lang w:bidi="ar-AE"/>
              </w:rPr>
              <w:t>ainsi qu’à celui qui en demande</w:t>
            </w:r>
          </w:p>
        </w:tc>
      </w:tr>
      <w:tr w:rsidR="00A70B78" w:rsidRPr="007C6A42" w14:paraId="4509E6DD" w14:textId="77777777" w:rsidTr="00AF4FC9">
        <w:tc>
          <w:tcPr>
            <w:tcW w:w="1156" w:type="dxa"/>
            <w:tcBorders>
              <w:top w:val="single" w:sz="4" w:space="0" w:color="auto"/>
              <w:left w:val="single" w:sz="4" w:space="0" w:color="auto"/>
              <w:bottom w:val="single" w:sz="4" w:space="0" w:color="auto"/>
              <w:right w:val="single" w:sz="4" w:space="0" w:color="auto"/>
            </w:tcBorders>
          </w:tcPr>
          <w:p w14:paraId="26FBA8D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3827" w:type="dxa"/>
            <w:tcBorders>
              <w:top w:val="single" w:sz="4" w:space="0" w:color="auto"/>
              <w:left w:val="single" w:sz="4" w:space="0" w:color="auto"/>
              <w:bottom w:val="single" w:sz="4" w:space="0" w:color="auto"/>
              <w:right w:val="single" w:sz="4" w:space="0" w:color="auto"/>
            </w:tcBorders>
          </w:tcPr>
          <w:p w14:paraId="1F89AA8F" w14:textId="77777777" w:rsidR="00A70B78" w:rsidRPr="007C6A42" w:rsidRDefault="00A70B78" w:rsidP="00AF4FC9">
            <w:pPr>
              <w:pStyle w:val="Notedebasdepage"/>
              <w:spacing w:line="360" w:lineRule="auto"/>
              <w:jc w:val="both"/>
              <w:rPr>
                <w:rFonts w:asciiTheme="majorBidi" w:hAnsiTheme="majorBidi" w:cstheme="majorBidi"/>
                <w:sz w:val="24"/>
                <w:szCs w:val="24"/>
              </w:rPr>
            </w:pPr>
            <w:r w:rsidRPr="007C6A42">
              <w:rPr>
                <w:rFonts w:asciiTheme="majorBidi" w:eastAsia="Times New Roman" w:hAnsiTheme="majorBidi" w:cstheme="majorBidi"/>
                <w:sz w:val="24"/>
                <w:szCs w:val="24"/>
                <w:lang w:eastAsia="fr-FR" w:bidi="ar-AE"/>
              </w:rPr>
              <w:t>l’impécunieux</w:t>
            </w:r>
          </w:p>
        </w:tc>
        <w:tc>
          <w:tcPr>
            <w:tcW w:w="4252" w:type="dxa"/>
            <w:tcBorders>
              <w:top w:val="single" w:sz="4" w:space="0" w:color="auto"/>
              <w:left w:val="single" w:sz="4" w:space="0" w:color="auto"/>
              <w:bottom w:val="single" w:sz="4" w:space="0" w:color="auto"/>
              <w:right w:val="single" w:sz="4" w:space="0" w:color="auto"/>
            </w:tcBorders>
          </w:tcPr>
          <w:p w14:paraId="7F60F0FC" w14:textId="77777777" w:rsidR="00A70B78" w:rsidRPr="007C6A42" w:rsidRDefault="00A70B78" w:rsidP="00AF4FC9">
            <w:pPr>
              <w:pStyle w:val="Notedebasdepage"/>
              <w:spacing w:line="360" w:lineRule="auto"/>
              <w:jc w:val="both"/>
              <w:rPr>
                <w:rFonts w:asciiTheme="majorBidi" w:hAnsiTheme="majorBidi" w:cstheme="majorBidi"/>
                <w:sz w:val="24"/>
                <w:szCs w:val="24"/>
              </w:rPr>
            </w:pPr>
            <w:r w:rsidRPr="007C6A42">
              <w:rPr>
                <w:rFonts w:asciiTheme="majorBidi" w:eastAsia="Times New Roman" w:hAnsiTheme="majorBidi" w:cstheme="majorBidi"/>
                <w:sz w:val="24"/>
                <w:szCs w:val="24"/>
                <w:lang w:eastAsia="fr-FR" w:bidi="ar-AE"/>
              </w:rPr>
              <w:t>et le démuni</w:t>
            </w:r>
          </w:p>
        </w:tc>
      </w:tr>
      <w:tr w:rsidR="00A70B78" w:rsidRPr="007C6A42" w14:paraId="65C22B2E" w14:textId="77777777" w:rsidTr="00AF4FC9">
        <w:tc>
          <w:tcPr>
            <w:tcW w:w="1156" w:type="dxa"/>
            <w:tcBorders>
              <w:top w:val="single" w:sz="4" w:space="0" w:color="auto"/>
              <w:left w:val="single" w:sz="4" w:space="0" w:color="auto"/>
              <w:bottom w:val="single" w:sz="4" w:space="0" w:color="auto"/>
              <w:right w:val="single" w:sz="4" w:space="0" w:color="auto"/>
            </w:tcBorders>
          </w:tcPr>
          <w:p w14:paraId="27EA74B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3827" w:type="dxa"/>
            <w:tcBorders>
              <w:top w:val="single" w:sz="4" w:space="0" w:color="auto"/>
              <w:left w:val="single" w:sz="4" w:space="0" w:color="auto"/>
              <w:bottom w:val="single" w:sz="4" w:space="0" w:color="auto"/>
              <w:right w:val="single" w:sz="4" w:space="0" w:color="auto"/>
            </w:tcBorders>
          </w:tcPr>
          <w:p w14:paraId="688D694C"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à celui qui se contente,</w:t>
            </w:r>
          </w:p>
        </w:tc>
        <w:tc>
          <w:tcPr>
            <w:tcW w:w="4252" w:type="dxa"/>
            <w:tcBorders>
              <w:top w:val="single" w:sz="4" w:space="0" w:color="auto"/>
              <w:left w:val="single" w:sz="4" w:space="0" w:color="auto"/>
              <w:bottom w:val="single" w:sz="4" w:space="0" w:color="auto"/>
              <w:right w:val="single" w:sz="4" w:space="0" w:color="auto"/>
            </w:tcBorders>
          </w:tcPr>
          <w:p w14:paraId="140D855E"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à celui aussi qui mendie</w:t>
            </w:r>
          </w:p>
        </w:tc>
      </w:tr>
      <w:tr w:rsidR="00A70B78" w:rsidRPr="007C6A42" w14:paraId="295C57DF" w14:textId="77777777" w:rsidTr="00AF4FC9">
        <w:tc>
          <w:tcPr>
            <w:tcW w:w="1156" w:type="dxa"/>
            <w:tcBorders>
              <w:top w:val="single" w:sz="4" w:space="0" w:color="auto"/>
              <w:left w:val="single" w:sz="4" w:space="0" w:color="auto"/>
              <w:bottom w:val="single" w:sz="4" w:space="0" w:color="auto"/>
              <w:right w:val="single" w:sz="4" w:space="0" w:color="auto"/>
            </w:tcBorders>
          </w:tcPr>
          <w:p w14:paraId="64FF813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3827" w:type="dxa"/>
            <w:tcBorders>
              <w:top w:val="single" w:sz="4" w:space="0" w:color="auto"/>
              <w:left w:val="single" w:sz="4" w:space="0" w:color="auto"/>
              <w:bottom w:val="single" w:sz="4" w:space="0" w:color="auto"/>
              <w:right w:val="single" w:sz="4" w:space="0" w:color="auto"/>
            </w:tcBorders>
          </w:tcPr>
          <w:p w14:paraId="390CFE5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celui qui s’en contente</w:t>
            </w:r>
          </w:p>
        </w:tc>
        <w:tc>
          <w:tcPr>
            <w:tcW w:w="4252" w:type="dxa"/>
            <w:tcBorders>
              <w:top w:val="single" w:sz="4" w:space="0" w:color="auto"/>
              <w:left w:val="single" w:sz="4" w:space="0" w:color="auto"/>
              <w:bottom w:val="single" w:sz="4" w:space="0" w:color="auto"/>
              <w:right w:val="single" w:sz="4" w:space="0" w:color="auto"/>
            </w:tcBorders>
          </w:tcPr>
          <w:p w14:paraId="4285FD8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et celui qui mendie</w:t>
            </w:r>
          </w:p>
        </w:tc>
      </w:tr>
      <w:tr w:rsidR="00A70B78" w:rsidRPr="007C6A42" w14:paraId="5D66E45E" w14:textId="77777777" w:rsidTr="00AF4FC9">
        <w:tc>
          <w:tcPr>
            <w:tcW w:w="1156" w:type="dxa"/>
            <w:tcBorders>
              <w:top w:val="single" w:sz="4" w:space="0" w:color="auto"/>
              <w:left w:val="single" w:sz="4" w:space="0" w:color="auto"/>
              <w:bottom w:val="single" w:sz="4" w:space="0" w:color="auto"/>
              <w:right w:val="single" w:sz="4" w:space="0" w:color="auto"/>
            </w:tcBorders>
          </w:tcPr>
          <w:p w14:paraId="56A3DD7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3827" w:type="dxa"/>
            <w:tcBorders>
              <w:top w:val="single" w:sz="4" w:space="0" w:color="auto"/>
              <w:left w:val="single" w:sz="4" w:space="0" w:color="auto"/>
              <w:bottom w:val="single" w:sz="4" w:space="0" w:color="auto"/>
              <w:right w:val="single" w:sz="4" w:space="0" w:color="auto"/>
            </w:tcBorders>
          </w:tcPr>
          <w:p w14:paraId="67738401" w14:textId="77777777" w:rsidR="00A70B78" w:rsidRPr="007C6A42" w:rsidRDefault="00A70B78" w:rsidP="00AF4FC9">
            <w:pPr>
              <w:spacing w:line="360" w:lineRule="auto"/>
              <w:rPr>
                <w:rFonts w:asciiTheme="majorBidi" w:eastAsia="Times New Roman" w:hAnsiTheme="majorBidi" w:cstheme="majorBidi"/>
                <w:lang w:bidi="ar-AE"/>
              </w:rPr>
            </w:pPr>
            <w:r w:rsidRPr="007C6A42">
              <w:rPr>
                <w:rFonts w:asciiTheme="majorBidi" w:eastAsia="Times New Roman" w:hAnsiTheme="majorBidi" w:cstheme="majorBidi"/>
                <w:lang w:bidi="ar-AE"/>
              </w:rPr>
              <w:t>l’indigent,</w:t>
            </w:r>
          </w:p>
        </w:tc>
        <w:tc>
          <w:tcPr>
            <w:tcW w:w="4252" w:type="dxa"/>
            <w:tcBorders>
              <w:top w:val="single" w:sz="4" w:space="0" w:color="auto"/>
              <w:left w:val="single" w:sz="4" w:space="0" w:color="auto"/>
              <w:bottom w:val="single" w:sz="4" w:space="0" w:color="auto"/>
              <w:right w:val="single" w:sz="4" w:space="0" w:color="auto"/>
            </w:tcBorders>
          </w:tcPr>
          <w:p w14:paraId="559C0489" w14:textId="77777777" w:rsidR="00A70B78" w:rsidRPr="007C6A42" w:rsidRDefault="00A70B78" w:rsidP="00AF4FC9">
            <w:pPr>
              <w:spacing w:line="360" w:lineRule="auto"/>
              <w:rPr>
                <w:rFonts w:asciiTheme="majorBidi" w:eastAsia="Times New Roman" w:hAnsiTheme="majorBidi" w:cstheme="majorBidi"/>
                <w:lang w:bidi="ar-AE"/>
              </w:rPr>
            </w:pPr>
            <w:r w:rsidRPr="007C6A42">
              <w:rPr>
                <w:rFonts w:asciiTheme="majorBidi" w:eastAsia="Times New Roman" w:hAnsiTheme="majorBidi" w:cstheme="majorBidi"/>
                <w:lang w:bidi="ar-AE"/>
              </w:rPr>
              <w:t>le nécessiteux</w:t>
            </w:r>
          </w:p>
        </w:tc>
      </w:tr>
      <w:tr w:rsidR="00A70B78" w:rsidRPr="007C6A42" w14:paraId="7C8032BF" w14:textId="77777777" w:rsidTr="00AF4FC9">
        <w:tc>
          <w:tcPr>
            <w:tcW w:w="1156" w:type="dxa"/>
            <w:tcBorders>
              <w:top w:val="single" w:sz="4" w:space="0" w:color="auto"/>
              <w:left w:val="single" w:sz="4" w:space="0" w:color="auto"/>
              <w:bottom w:val="single" w:sz="4" w:space="0" w:color="auto"/>
              <w:right w:val="single" w:sz="4" w:space="0" w:color="auto"/>
            </w:tcBorders>
          </w:tcPr>
          <w:p w14:paraId="4F53D9D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3827" w:type="dxa"/>
            <w:tcBorders>
              <w:top w:val="single" w:sz="4" w:space="0" w:color="auto"/>
              <w:left w:val="single" w:sz="4" w:space="0" w:color="auto"/>
              <w:bottom w:val="single" w:sz="4" w:space="0" w:color="auto"/>
              <w:right w:val="single" w:sz="4" w:space="0" w:color="auto"/>
            </w:tcBorders>
          </w:tcPr>
          <w:p w14:paraId="5ED9ECD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lang w:bidi="ar-AE"/>
              </w:rPr>
              <w:t>celui qui accepte l’offre,</w:t>
            </w:r>
          </w:p>
        </w:tc>
        <w:tc>
          <w:tcPr>
            <w:tcW w:w="4252" w:type="dxa"/>
            <w:tcBorders>
              <w:top w:val="single" w:sz="4" w:space="0" w:color="auto"/>
              <w:left w:val="single" w:sz="4" w:space="0" w:color="auto"/>
              <w:bottom w:val="single" w:sz="4" w:space="0" w:color="auto"/>
              <w:right w:val="single" w:sz="4" w:space="0" w:color="auto"/>
            </w:tcBorders>
          </w:tcPr>
          <w:p w14:paraId="695EFF97"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lang w:bidi="ar-AE"/>
              </w:rPr>
              <w:t>ainsi qu’à celui qui la réclame</w:t>
            </w:r>
          </w:p>
        </w:tc>
      </w:tr>
      <w:tr w:rsidR="00A70B78" w:rsidRPr="007C6A42" w14:paraId="44F1FB99" w14:textId="77777777" w:rsidTr="00AF4FC9">
        <w:tc>
          <w:tcPr>
            <w:tcW w:w="1156" w:type="dxa"/>
            <w:tcBorders>
              <w:top w:val="single" w:sz="4" w:space="0" w:color="auto"/>
              <w:left w:val="single" w:sz="4" w:space="0" w:color="auto"/>
              <w:bottom w:val="single" w:sz="4" w:space="0" w:color="auto"/>
              <w:right w:val="single" w:sz="4" w:space="0" w:color="auto"/>
            </w:tcBorders>
          </w:tcPr>
          <w:p w14:paraId="5D27C2F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3827" w:type="dxa"/>
            <w:tcBorders>
              <w:top w:val="single" w:sz="4" w:space="0" w:color="auto"/>
              <w:left w:val="single" w:sz="4" w:space="0" w:color="auto"/>
              <w:bottom w:val="single" w:sz="4" w:space="0" w:color="auto"/>
              <w:right w:val="single" w:sz="4" w:space="0" w:color="auto"/>
            </w:tcBorders>
          </w:tcPr>
          <w:p w14:paraId="597082F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le besogneux discret</w:t>
            </w:r>
          </w:p>
        </w:tc>
        <w:tc>
          <w:tcPr>
            <w:tcW w:w="4252" w:type="dxa"/>
            <w:tcBorders>
              <w:top w:val="single" w:sz="4" w:space="0" w:color="auto"/>
              <w:left w:val="single" w:sz="4" w:space="0" w:color="auto"/>
              <w:bottom w:val="single" w:sz="4" w:space="0" w:color="auto"/>
              <w:right w:val="single" w:sz="4" w:space="0" w:color="auto"/>
            </w:tcBorders>
          </w:tcPr>
          <w:p w14:paraId="4C5DC8E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et le mendiant</w:t>
            </w:r>
          </w:p>
        </w:tc>
      </w:tr>
      <w:tr w:rsidR="00A70B78" w:rsidRPr="007C6A42" w14:paraId="6D9A9EB6" w14:textId="77777777" w:rsidTr="00AF4FC9">
        <w:tc>
          <w:tcPr>
            <w:tcW w:w="1156" w:type="dxa"/>
            <w:tcBorders>
              <w:top w:val="single" w:sz="4" w:space="0" w:color="auto"/>
              <w:left w:val="single" w:sz="4" w:space="0" w:color="auto"/>
              <w:bottom w:val="single" w:sz="4" w:space="0" w:color="auto"/>
              <w:right w:val="single" w:sz="4" w:space="0" w:color="auto"/>
            </w:tcBorders>
          </w:tcPr>
          <w:p w14:paraId="124DEBB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3827" w:type="dxa"/>
            <w:tcBorders>
              <w:top w:val="single" w:sz="4" w:space="0" w:color="auto"/>
              <w:left w:val="single" w:sz="4" w:space="0" w:color="auto"/>
              <w:bottom w:val="single" w:sz="4" w:space="0" w:color="auto"/>
              <w:right w:val="single" w:sz="4" w:space="0" w:color="auto"/>
            </w:tcBorders>
          </w:tcPr>
          <w:p w14:paraId="5258516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bidi="ar-AE"/>
              </w:rPr>
              <w:t>au suppliant</w:t>
            </w:r>
          </w:p>
        </w:tc>
        <w:tc>
          <w:tcPr>
            <w:tcW w:w="4252" w:type="dxa"/>
            <w:tcBorders>
              <w:top w:val="single" w:sz="4" w:space="0" w:color="auto"/>
              <w:left w:val="single" w:sz="4" w:space="0" w:color="auto"/>
              <w:bottom w:val="single" w:sz="4" w:space="0" w:color="auto"/>
              <w:right w:val="single" w:sz="4" w:space="0" w:color="auto"/>
            </w:tcBorders>
          </w:tcPr>
          <w:p w14:paraId="21379D4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bidi="ar-AE"/>
              </w:rPr>
              <w:t>et au quémandeur</w:t>
            </w:r>
          </w:p>
        </w:tc>
      </w:tr>
      <w:tr w:rsidR="00A70B78" w:rsidRPr="007C6A42" w14:paraId="7D9F2042" w14:textId="77777777" w:rsidTr="00AF4FC9">
        <w:tc>
          <w:tcPr>
            <w:tcW w:w="1156" w:type="dxa"/>
            <w:tcBorders>
              <w:top w:val="single" w:sz="4" w:space="0" w:color="auto"/>
              <w:left w:val="single" w:sz="4" w:space="0" w:color="auto"/>
              <w:bottom w:val="single" w:sz="4" w:space="0" w:color="auto"/>
              <w:right w:val="single" w:sz="4" w:space="0" w:color="auto"/>
            </w:tcBorders>
          </w:tcPr>
          <w:p w14:paraId="5FC7A31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3827" w:type="dxa"/>
            <w:tcBorders>
              <w:top w:val="single" w:sz="4" w:space="0" w:color="auto"/>
              <w:left w:val="single" w:sz="4" w:space="0" w:color="auto"/>
              <w:bottom w:val="single" w:sz="4" w:space="0" w:color="auto"/>
              <w:right w:val="single" w:sz="4" w:space="0" w:color="auto"/>
            </w:tcBorders>
          </w:tcPr>
          <w:p w14:paraId="08C9075F"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lang w:bidi="ar-AE"/>
              </w:rPr>
              <w:t>ceux qui quémandent</w:t>
            </w:r>
          </w:p>
        </w:tc>
        <w:tc>
          <w:tcPr>
            <w:tcW w:w="4252" w:type="dxa"/>
            <w:tcBorders>
              <w:top w:val="single" w:sz="4" w:space="0" w:color="auto"/>
              <w:left w:val="single" w:sz="4" w:space="0" w:color="auto"/>
              <w:bottom w:val="single" w:sz="4" w:space="0" w:color="auto"/>
              <w:right w:val="single" w:sz="4" w:space="0" w:color="auto"/>
            </w:tcBorders>
          </w:tcPr>
          <w:p w14:paraId="232C82B5"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lang w:bidi="ar-AE"/>
              </w:rPr>
              <w:t>et aux déshérités</w:t>
            </w:r>
          </w:p>
        </w:tc>
      </w:tr>
      <w:tr w:rsidR="00A70B78" w:rsidRPr="007C6A42" w14:paraId="0DF68898" w14:textId="77777777" w:rsidTr="00AF4FC9">
        <w:tc>
          <w:tcPr>
            <w:tcW w:w="1156" w:type="dxa"/>
            <w:tcBorders>
              <w:top w:val="single" w:sz="4" w:space="0" w:color="auto"/>
              <w:left w:val="single" w:sz="4" w:space="0" w:color="auto"/>
              <w:bottom w:val="single" w:sz="4" w:space="0" w:color="auto"/>
              <w:right w:val="single" w:sz="4" w:space="0" w:color="auto"/>
            </w:tcBorders>
          </w:tcPr>
          <w:p w14:paraId="5CA5814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3827" w:type="dxa"/>
            <w:tcBorders>
              <w:top w:val="single" w:sz="4" w:space="0" w:color="auto"/>
              <w:left w:val="single" w:sz="4" w:space="0" w:color="auto"/>
              <w:bottom w:val="single" w:sz="4" w:space="0" w:color="auto"/>
              <w:right w:val="single" w:sz="4" w:space="0" w:color="auto"/>
            </w:tcBorders>
          </w:tcPr>
          <w:p w14:paraId="545C8F6D"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le besogneux</w:t>
            </w:r>
          </w:p>
        </w:tc>
        <w:tc>
          <w:tcPr>
            <w:tcW w:w="4252" w:type="dxa"/>
            <w:tcBorders>
              <w:top w:val="single" w:sz="4" w:space="0" w:color="auto"/>
              <w:left w:val="single" w:sz="4" w:space="0" w:color="auto"/>
              <w:bottom w:val="single" w:sz="4" w:space="0" w:color="auto"/>
              <w:right w:val="single" w:sz="4" w:space="0" w:color="auto"/>
            </w:tcBorders>
          </w:tcPr>
          <w:p w14:paraId="7DF72940" w14:textId="77777777" w:rsidR="00A70B78" w:rsidRPr="007C6A42" w:rsidRDefault="00A70B78" w:rsidP="00AF4FC9">
            <w:pPr>
              <w:spacing w:line="360" w:lineRule="auto"/>
              <w:jc w:val="both"/>
              <w:rPr>
                <w:rFonts w:asciiTheme="majorBidi" w:eastAsia="Times New Roman" w:hAnsiTheme="majorBidi" w:cstheme="majorBidi"/>
                <w:lang w:bidi="ar-AE"/>
              </w:rPr>
            </w:pPr>
            <w:r w:rsidRPr="007C6A42">
              <w:rPr>
                <w:rFonts w:asciiTheme="majorBidi" w:eastAsia="Times New Roman" w:hAnsiTheme="majorBidi" w:cstheme="majorBidi"/>
                <w:lang w:bidi="ar-AE"/>
              </w:rPr>
              <w:t>et le mendiant</w:t>
            </w:r>
          </w:p>
        </w:tc>
      </w:tr>
      <w:tr w:rsidR="00A70B78" w:rsidRPr="007C6A42" w14:paraId="3565749B" w14:textId="77777777" w:rsidTr="00AF4FC9">
        <w:tc>
          <w:tcPr>
            <w:tcW w:w="1156" w:type="dxa"/>
            <w:tcBorders>
              <w:top w:val="single" w:sz="4" w:space="0" w:color="auto"/>
              <w:left w:val="single" w:sz="4" w:space="0" w:color="auto"/>
              <w:bottom w:val="single" w:sz="4" w:space="0" w:color="auto"/>
              <w:right w:val="single" w:sz="4" w:space="0" w:color="auto"/>
            </w:tcBorders>
          </w:tcPr>
          <w:p w14:paraId="45E2EAF0"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8079" w:type="dxa"/>
            <w:gridSpan w:val="2"/>
            <w:tcBorders>
              <w:top w:val="single" w:sz="4" w:space="0" w:color="auto"/>
              <w:left w:val="single" w:sz="4" w:space="0" w:color="auto"/>
              <w:bottom w:val="single" w:sz="4" w:space="0" w:color="auto"/>
              <w:right w:val="single" w:sz="4" w:space="0" w:color="auto"/>
            </w:tcBorders>
          </w:tcPr>
          <w:p w14:paraId="2D5BCA1D" w14:textId="77777777" w:rsidR="00A70B78" w:rsidRPr="007C6A42" w:rsidRDefault="00A70B78" w:rsidP="00AF4FC9">
            <w:pPr>
              <w:spacing w:line="360" w:lineRule="auto"/>
              <w:jc w:val="center"/>
              <w:rPr>
                <w:rFonts w:asciiTheme="majorBidi" w:eastAsia="Times New Roman" w:hAnsiTheme="majorBidi" w:cstheme="majorBidi"/>
              </w:rPr>
            </w:pPr>
            <w:r w:rsidRPr="007C6A42">
              <w:rPr>
                <w:rFonts w:asciiTheme="majorBidi" w:eastAsia="Times New Roman" w:hAnsiTheme="majorBidi" w:cstheme="majorBidi"/>
                <w:lang w:bidi="ar-AE"/>
              </w:rPr>
              <w:t>au pauvre discret</w:t>
            </w:r>
          </w:p>
        </w:tc>
      </w:tr>
      <w:tr w:rsidR="00A70B78" w:rsidRPr="007C6A42" w14:paraId="58905C9E" w14:textId="77777777" w:rsidTr="00AF4FC9">
        <w:tc>
          <w:tcPr>
            <w:tcW w:w="1156" w:type="dxa"/>
            <w:tcBorders>
              <w:top w:val="single" w:sz="4" w:space="0" w:color="auto"/>
              <w:left w:val="single" w:sz="4" w:space="0" w:color="auto"/>
              <w:bottom w:val="single" w:sz="4" w:space="0" w:color="auto"/>
              <w:right w:val="single" w:sz="4" w:space="0" w:color="auto"/>
            </w:tcBorders>
          </w:tcPr>
          <w:p w14:paraId="10372F6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3827" w:type="dxa"/>
            <w:tcBorders>
              <w:top w:val="single" w:sz="4" w:space="0" w:color="auto"/>
              <w:left w:val="single" w:sz="4" w:space="0" w:color="auto"/>
              <w:bottom w:val="single" w:sz="4" w:space="0" w:color="auto"/>
              <w:right w:val="single" w:sz="4" w:space="0" w:color="auto"/>
            </w:tcBorders>
          </w:tcPr>
          <w:p w14:paraId="30218A9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aux nécessiteux discrets</w:t>
            </w:r>
          </w:p>
        </w:tc>
        <w:tc>
          <w:tcPr>
            <w:tcW w:w="4252" w:type="dxa"/>
            <w:tcBorders>
              <w:top w:val="single" w:sz="4" w:space="0" w:color="auto"/>
              <w:left w:val="single" w:sz="4" w:space="0" w:color="auto"/>
              <w:bottom w:val="single" w:sz="4" w:space="0" w:color="auto"/>
              <w:right w:val="single" w:sz="4" w:space="0" w:color="auto"/>
            </w:tcBorders>
          </w:tcPr>
          <w:p w14:paraId="11CF4B8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et aux pauvres mendiants</w:t>
            </w:r>
          </w:p>
        </w:tc>
      </w:tr>
      <w:tr w:rsidR="00A70B78" w:rsidRPr="007C6A42" w14:paraId="13A17A86" w14:textId="77777777" w:rsidTr="00AF4FC9">
        <w:tc>
          <w:tcPr>
            <w:tcW w:w="1156" w:type="dxa"/>
            <w:tcBorders>
              <w:top w:val="single" w:sz="4" w:space="0" w:color="auto"/>
              <w:left w:val="single" w:sz="4" w:space="0" w:color="auto"/>
              <w:bottom w:val="single" w:sz="4" w:space="0" w:color="auto"/>
              <w:right w:val="single" w:sz="4" w:space="0" w:color="auto"/>
            </w:tcBorders>
          </w:tcPr>
          <w:p w14:paraId="353E018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3827" w:type="dxa"/>
            <w:tcBorders>
              <w:top w:val="single" w:sz="4" w:space="0" w:color="auto"/>
              <w:left w:val="single" w:sz="4" w:space="0" w:color="auto"/>
              <w:bottom w:val="single" w:sz="4" w:space="0" w:color="auto"/>
              <w:right w:val="single" w:sz="4" w:space="0" w:color="auto"/>
            </w:tcBorders>
          </w:tcPr>
          <w:p w14:paraId="26CE442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aux humbles</w:t>
            </w:r>
          </w:p>
        </w:tc>
        <w:tc>
          <w:tcPr>
            <w:tcW w:w="4252" w:type="dxa"/>
            <w:tcBorders>
              <w:top w:val="single" w:sz="4" w:space="0" w:color="auto"/>
              <w:left w:val="single" w:sz="4" w:space="0" w:color="auto"/>
              <w:bottom w:val="single" w:sz="4" w:space="0" w:color="auto"/>
              <w:right w:val="single" w:sz="4" w:space="0" w:color="auto"/>
            </w:tcBorders>
          </w:tcPr>
          <w:p w14:paraId="521891E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et aux nécessiteux</w:t>
            </w:r>
          </w:p>
        </w:tc>
      </w:tr>
      <w:tr w:rsidR="00A70B78" w:rsidRPr="007C6A42" w14:paraId="3A46F8B9" w14:textId="77777777" w:rsidTr="00AF4FC9">
        <w:tc>
          <w:tcPr>
            <w:tcW w:w="1156" w:type="dxa"/>
            <w:tcBorders>
              <w:top w:val="single" w:sz="4" w:space="0" w:color="auto"/>
              <w:left w:val="single" w:sz="4" w:space="0" w:color="auto"/>
              <w:bottom w:val="single" w:sz="4" w:space="0" w:color="auto"/>
              <w:right w:val="single" w:sz="4" w:space="0" w:color="auto"/>
            </w:tcBorders>
          </w:tcPr>
          <w:p w14:paraId="34E61DF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3827" w:type="dxa"/>
            <w:tcBorders>
              <w:top w:val="single" w:sz="4" w:space="0" w:color="auto"/>
              <w:left w:val="single" w:sz="4" w:space="0" w:color="auto"/>
              <w:bottom w:val="single" w:sz="4" w:space="0" w:color="auto"/>
              <w:right w:val="single" w:sz="4" w:space="0" w:color="auto"/>
            </w:tcBorders>
          </w:tcPr>
          <w:p w14:paraId="7B18DB9B" w14:textId="77777777" w:rsidR="00A70B78" w:rsidRPr="007C6A42" w:rsidRDefault="00A70B78" w:rsidP="00AF4FC9">
            <w:pPr>
              <w:pStyle w:val="Notedebasdepage"/>
              <w:spacing w:line="360" w:lineRule="auto"/>
              <w:jc w:val="both"/>
              <w:rPr>
                <w:rFonts w:asciiTheme="majorBidi" w:hAnsiTheme="majorBidi" w:cstheme="majorBidi"/>
                <w:sz w:val="24"/>
                <w:szCs w:val="24"/>
              </w:rPr>
            </w:pPr>
            <w:r w:rsidRPr="007C6A42">
              <w:rPr>
                <w:rFonts w:asciiTheme="majorBidi" w:eastAsia="Times New Roman" w:hAnsiTheme="majorBidi" w:cstheme="majorBidi"/>
                <w:sz w:val="24"/>
                <w:szCs w:val="24"/>
                <w:lang w:eastAsia="fr-FR" w:bidi="ar-AE"/>
              </w:rPr>
              <w:t>ceux qui se satisfont de peu</w:t>
            </w:r>
          </w:p>
        </w:tc>
        <w:tc>
          <w:tcPr>
            <w:tcW w:w="4252" w:type="dxa"/>
            <w:tcBorders>
              <w:top w:val="single" w:sz="4" w:space="0" w:color="auto"/>
              <w:left w:val="single" w:sz="4" w:space="0" w:color="auto"/>
              <w:bottom w:val="single" w:sz="4" w:space="0" w:color="auto"/>
              <w:right w:val="single" w:sz="4" w:space="0" w:color="auto"/>
            </w:tcBorders>
          </w:tcPr>
          <w:p w14:paraId="03ADB6B5" w14:textId="77777777" w:rsidR="00A70B78" w:rsidRPr="007C6A42" w:rsidRDefault="00A70B78" w:rsidP="00AF4FC9">
            <w:pPr>
              <w:pStyle w:val="Notedebasdepage"/>
              <w:spacing w:line="360" w:lineRule="auto"/>
              <w:jc w:val="both"/>
              <w:rPr>
                <w:rFonts w:asciiTheme="majorBidi" w:hAnsiTheme="majorBidi" w:cstheme="majorBidi"/>
                <w:sz w:val="24"/>
                <w:szCs w:val="24"/>
              </w:rPr>
            </w:pPr>
            <w:r w:rsidRPr="007C6A42">
              <w:rPr>
                <w:rFonts w:asciiTheme="majorBidi" w:eastAsia="Times New Roman" w:hAnsiTheme="majorBidi" w:cstheme="majorBidi"/>
                <w:sz w:val="24"/>
                <w:szCs w:val="24"/>
                <w:lang w:eastAsia="fr-FR" w:bidi="ar-AE"/>
              </w:rPr>
              <w:t>et les nécessiteux* [*</w:t>
            </w:r>
            <w:r w:rsidRPr="007C6A42">
              <w:rPr>
                <w:rFonts w:asciiTheme="majorBidi" w:hAnsiTheme="majorBidi" w:cstheme="majorBidi"/>
                <w:i/>
                <w:sz w:val="24"/>
                <w:szCs w:val="24"/>
              </w:rPr>
              <w:t>Al-mu‘tar</w:t>
            </w:r>
            <w:r w:rsidRPr="007C6A42">
              <w:rPr>
                <w:rFonts w:asciiTheme="majorBidi" w:hAnsiTheme="majorBidi" w:cstheme="majorBidi"/>
                <w:sz w:val="24"/>
                <w:szCs w:val="24"/>
              </w:rPr>
              <w:t xml:space="preserve"> : </w:t>
            </w:r>
            <w:r w:rsidRPr="007C6A42">
              <w:rPr>
                <w:rFonts w:asciiTheme="majorBidi" w:hAnsiTheme="majorBidi" w:cstheme="majorBidi"/>
                <w:sz w:val="24"/>
                <w:szCs w:val="24"/>
              </w:rPr>
              <w:lastRenderedPageBreak/>
              <w:t>l’impécunieux, le nécessiteux, le démuni.</w:t>
            </w:r>
            <w:r w:rsidRPr="007C6A42">
              <w:rPr>
                <w:rFonts w:asciiTheme="majorBidi" w:eastAsia="Times New Roman" w:hAnsiTheme="majorBidi" w:cstheme="majorBidi"/>
                <w:sz w:val="24"/>
                <w:szCs w:val="24"/>
                <w:lang w:eastAsia="fr-FR" w:bidi="ar-AE"/>
              </w:rPr>
              <w:t>]</w:t>
            </w:r>
          </w:p>
        </w:tc>
      </w:tr>
      <w:tr w:rsidR="00A70B78" w:rsidRPr="007C6A42" w14:paraId="23021DC4" w14:textId="77777777" w:rsidTr="00AF4FC9">
        <w:tc>
          <w:tcPr>
            <w:tcW w:w="1156" w:type="dxa"/>
            <w:tcBorders>
              <w:top w:val="single" w:sz="4" w:space="0" w:color="auto"/>
              <w:left w:val="single" w:sz="4" w:space="0" w:color="auto"/>
              <w:bottom w:val="single" w:sz="4" w:space="0" w:color="auto"/>
              <w:right w:val="single" w:sz="4" w:space="0" w:color="auto"/>
            </w:tcBorders>
          </w:tcPr>
          <w:p w14:paraId="4FC0A92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Abdel.</w:t>
            </w:r>
          </w:p>
        </w:tc>
        <w:tc>
          <w:tcPr>
            <w:tcW w:w="3827" w:type="dxa"/>
            <w:tcBorders>
              <w:top w:val="single" w:sz="4" w:space="0" w:color="auto"/>
              <w:left w:val="single" w:sz="4" w:space="0" w:color="auto"/>
              <w:bottom w:val="single" w:sz="4" w:space="0" w:color="auto"/>
              <w:right w:val="single" w:sz="4" w:space="0" w:color="auto"/>
            </w:tcBorders>
          </w:tcPr>
          <w:p w14:paraId="2D26E04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le pauvre</w:t>
            </w:r>
          </w:p>
        </w:tc>
        <w:tc>
          <w:tcPr>
            <w:tcW w:w="4252" w:type="dxa"/>
            <w:tcBorders>
              <w:top w:val="single" w:sz="4" w:space="0" w:color="auto"/>
              <w:left w:val="single" w:sz="4" w:space="0" w:color="auto"/>
              <w:bottom w:val="single" w:sz="4" w:space="0" w:color="auto"/>
              <w:right w:val="single" w:sz="4" w:space="0" w:color="auto"/>
            </w:tcBorders>
          </w:tcPr>
          <w:p w14:paraId="47765E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AE"/>
              </w:rPr>
              <w:t>et le mendiant</w:t>
            </w:r>
          </w:p>
        </w:tc>
      </w:tr>
      <w:tr w:rsidR="00A70B78" w:rsidRPr="007C6A42" w14:paraId="76FF064F" w14:textId="77777777" w:rsidTr="00AF4FC9">
        <w:tc>
          <w:tcPr>
            <w:tcW w:w="1156" w:type="dxa"/>
            <w:tcBorders>
              <w:top w:val="single" w:sz="4" w:space="0" w:color="auto"/>
              <w:left w:val="single" w:sz="4" w:space="0" w:color="auto"/>
              <w:bottom w:val="single" w:sz="4" w:space="0" w:color="auto"/>
              <w:right w:val="single" w:sz="4" w:space="0" w:color="auto"/>
            </w:tcBorders>
          </w:tcPr>
          <w:p w14:paraId="233CBF4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3827" w:type="dxa"/>
            <w:tcBorders>
              <w:top w:val="single" w:sz="4" w:space="0" w:color="auto"/>
              <w:left w:val="single" w:sz="4" w:space="0" w:color="auto"/>
              <w:bottom w:val="single" w:sz="4" w:space="0" w:color="auto"/>
              <w:right w:val="single" w:sz="4" w:space="0" w:color="auto"/>
            </w:tcBorders>
          </w:tcPr>
          <w:p w14:paraId="6C82967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le content de son sort</w:t>
            </w:r>
          </w:p>
        </w:tc>
        <w:tc>
          <w:tcPr>
            <w:tcW w:w="4252" w:type="dxa"/>
            <w:tcBorders>
              <w:top w:val="single" w:sz="4" w:space="0" w:color="auto"/>
              <w:left w:val="single" w:sz="4" w:space="0" w:color="auto"/>
              <w:bottom w:val="single" w:sz="4" w:space="0" w:color="auto"/>
              <w:right w:val="single" w:sz="4" w:space="0" w:color="auto"/>
            </w:tcBorders>
          </w:tcPr>
          <w:p w14:paraId="68D2B88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 xml:space="preserve">et le </w:t>
            </w:r>
            <w:r w:rsidRPr="007C6A42">
              <w:rPr>
                <w:rFonts w:asciiTheme="majorBidi" w:eastAsia="Times New Roman" w:hAnsiTheme="majorBidi" w:cstheme="majorBidi"/>
                <w:lang w:bidi="ar-AE"/>
              </w:rPr>
              <w:t>mendiant</w:t>
            </w:r>
          </w:p>
        </w:tc>
      </w:tr>
    </w:tbl>
    <w:p w14:paraId="30A20607" w14:textId="77777777" w:rsidR="00A70B78" w:rsidRPr="007C6A42" w:rsidRDefault="00A70B78" w:rsidP="00A70B78">
      <w:pPr>
        <w:spacing w:line="360" w:lineRule="auto"/>
        <w:contextualSpacing/>
        <w:jc w:val="both"/>
        <w:rPr>
          <w:rFonts w:asciiTheme="majorBidi" w:eastAsia="Calibri" w:hAnsiTheme="majorBidi" w:cstheme="majorBidi"/>
          <w:lang w:bidi="ar-SY"/>
        </w:rPr>
      </w:pPr>
    </w:p>
    <w:p w14:paraId="52CE01CD" w14:textId="77777777" w:rsidR="00A70B78" w:rsidRPr="007C6A42" w:rsidRDefault="00A70B78" w:rsidP="00A70B78">
      <w:pPr>
        <w:spacing w:line="360" w:lineRule="auto"/>
        <w:ind w:firstLine="720"/>
        <w:contextualSpacing/>
        <w:jc w:val="both"/>
        <w:rPr>
          <w:rFonts w:asciiTheme="majorBidi" w:hAnsiTheme="majorBidi" w:cstheme="majorBidi"/>
          <w:lang w:bidi="ar-AE"/>
        </w:rPr>
      </w:pPr>
      <w:r w:rsidRPr="007C6A42">
        <w:rPr>
          <w:rFonts w:asciiTheme="majorBidi" w:hAnsiTheme="majorBidi" w:cstheme="majorBidi"/>
          <w:shd w:val="clear" w:color="auto" w:fill="FFFFFF"/>
          <w:lang w:bidi="ar-KW"/>
        </w:rPr>
        <w:t xml:space="preserve">En effet, les traductions ne reflètent pas toutes les significations données par les exégètes (comme pour </w:t>
      </w:r>
      <w:r w:rsidRPr="007C6A42">
        <w:rPr>
          <w:rFonts w:asciiTheme="majorBidi" w:eastAsia="Times New Roman" w:hAnsiTheme="majorBidi" w:cstheme="majorBidi"/>
          <w:i/>
          <w:iCs/>
          <w:lang w:bidi="ar-AE"/>
        </w:rPr>
        <w:t>Al-qāniʿ</w:t>
      </w:r>
      <w:r w:rsidRPr="007C6A42">
        <w:rPr>
          <w:rFonts w:asciiTheme="majorBidi" w:eastAsia="Times New Roman" w:hAnsiTheme="majorBidi" w:cstheme="majorBidi"/>
          <w:lang w:bidi="ar-AE"/>
        </w:rPr>
        <w:t> :</w:t>
      </w:r>
      <w:r w:rsidRPr="007C6A42">
        <w:rPr>
          <w:rFonts w:asciiTheme="majorBidi" w:hAnsiTheme="majorBidi" w:cstheme="majorBidi"/>
          <w:shd w:val="clear" w:color="auto" w:fill="FFFFFF"/>
          <w:lang w:bidi="ar-KW"/>
        </w:rPr>
        <w:t xml:space="preserve"> « </w:t>
      </w:r>
      <w:r w:rsidRPr="007C6A42">
        <w:rPr>
          <w:rFonts w:asciiTheme="majorBidi" w:hAnsiTheme="majorBidi" w:cstheme="majorBidi"/>
          <w:lang w:bidi="ar-AE"/>
        </w:rPr>
        <w:t xml:space="preserve">le voisin », « le riche », « l’ami », « le convoiteur », « les Mecquois », etc. ; et pour </w:t>
      </w:r>
      <w:r w:rsidRPr="007C6A42">
        <w:rPr>
          <w:rFonts w:asciiTheme="majorBidi" w:eastAsia="Times New Roman" w:hAnsiTheme="majorBidi" w:cstheme="majorBidi"/>
          <w:i/>
          <w:iCs/>
          <w:lang w:bidi="ar-AE"/>
        </w:rPr>
        <w:t>Al-muʿtarr</w:t>
      </w:r>
      <w:r w:rsidRPr="007C6A42">
        <w:rPr>
          <w:rFonts w:asciiTheme="majorBidi" w:eastAsia="Times New Roman" w:hAnsiTheme="majorBidi" w:cstheme="majorBidi"/>
          <w:lang w:bidi="ar-AE"/>
        </w:rPr>
        <w:t> : « l’ami », « le visiteur », « celui qui demande de manger de la viande, qu’il soit pauvre ou riche », « tous les gens sauf les Mecquois », etc.).</w:t>
      </w:r>
    </w:p>
    <w:p w14:paraId="4427E559" w14:textId="77777777" w:rsidR="00A70B78" w:rsidRPr="007C6A42" w:rsidRDefault="00A70B78" w:rsidP="00A70B78">
      <w:pPr>
        <w:spacing w:line="360" w:lineRule="auto"/>
        <w:jc w:val="both"/>
        <w:rPr>
          <w:rFonts w:asciiTheme="majorBidi" w:eastAsia="Times New Roman" w:hAnsiTheme="majorBidi" w:cstheme="majorBidi"/>
          <w:shd w:val="clear" w:color="auto" w:fill="FFFFFF"/>
        </w:rPr>
      </w:pPr>
    </w:p>
    <w:p w14:paraId="499652EF"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b/>
          <w:bCs/>
          <w:shd w:val="clear" w:color="auto" w:fill="FFFFFF"/>
          <w:lang w:bidi="ar-KW"/>
        </w:rPr>
        <w:t xml:space="preserve">Traduction de l’hapax </w:t>
      </w:r>
      <w:r w:rsidRPr="007C6A42">
        <w:rPr>
          <w:rFonts w:asciiTheme="majorBidi" w:eastAsia="Times New Roman" w:hAnsiTheme="majorBidi" w:cstheme="majorBidi"/>
          <w:b/>
          <w:bCs/>
          <w:i/>
          <w:iCs/>
          <w:shd w:val="clear" w:color="auto" w:fill="FFFFFF"/>
          <w:lang w:bidi="ar-KW"/>
        </w:rPr>
        <w:t>ṣalawāt</w:t>
      </w:r>
      <w:r w:rsidRPr="007C6A42">
        <w:rPr>
          <w:rFonts w:asciiTheme="majorBidi" w:eastAsia="Times New Roman" w:hAnsiTheme="majorBidi" w:cstheme="majorBidi"/>
          <w:b/>
          <w:bCs/>
          <w:shd w:val="clear" w:color="auto" w:fill="FFFFFF"/>
          <w:lang w:bidi="ar-KW"/>
        </w:rPr>
        <w:t xml:space="preserve"> (v. 40) :</w:t>
      </w:r>
    </w:p>
    <w:p w14:paraId="26F87F3B"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La plupart des traducteurs ont opté pour « synagogues » alors que les exégèses parlent des lieux de culte en général (</w:t>
      </w:r>
      <w:r w:rsidRPr="007C6A42">
        <w:rPr>
          <w:rFonts w:asciiTheme="majorBidi" w:hAnsiTheme="majorBidi" w:cstheme="majorBidi"/>
        </w:rPr>
        <w:t>qu’ils soient</w:t>
      </w:r>
      <w:r w:rsidRPr="007C6A42">
        <w:rPr>
          <w:rFonts w:asciiTheme="majorBidi" w:eastAsia="Times New Roman" w:hAnsiTheme="majorBidi" w:cstheme="majorBidi"/>
        </w:rPr>
        <w:t xml:space="preserve"> juifs, chrétiens, sabéens ou musulmans</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rPr>
        <w:t>dans les déserts notamment</w:t>
      </w:r>
      <w:r w:rsidRPr="007C6A42">
        <w:rPr>
          <w:rFonts w:asciiTheme="majorBidi" w:hAnsiTheme="majorBidi" w:cstheme="majorBidi"/>
        </w:rPr>
        <w:t>. Cinq traductions font néanmoins le choix d’« oratoires », qui se rapproche de ce sens générique de lieu de culte (Blachère ajoutant un point d’interrogation entre parenthèses pour souligner l’incertitude du sens). La traduction d’Aldeeb (« </w:t>
      </w:r>
      <w:r w:rsidRPr="007C6A42">
        <w:rPr>
          <w:rFonts w:asciiTheme="majorBidi" w:eastAsia="Times New Roman" w:hAnsiTheme="majorBidi" w:cstheme="majorBidi"/>
          <w:lang w:eastAsia="fr-CH"/>
        </w:rPr>
        <w:t>des lieux de prière »</w:t>
      </w:r>
      <w:r w:rsidRPr="007C6A42">
        <w:rPr>
          <w:rFonts w:asciiTheme="majorBidi" w:hAnsiTheme="majorBidi" w:cstheme="majorBidi"/>
        </w:rPr>
        <w:t>) va dans le même sens, conforme à celui généralement donné par les exégètes arabes.</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25527F8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635BD32"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traducteur</w:t>
            </w:r>
          </w:p>
        </w:tc>
        <w:tc>
          <w:tcPr>
            <w:tcW w:w="4580" w:type="dxa"/>
            <w:tcBorders>
              <w:top w:val="single" w:sz="4" w:space="0" w:color="auto"/>
              <w:left w:val="single" w:sz="4" w:space="0" w:color="auto"/>
              <w:bottom w:val="single" w:sz="4" w:space="0" w:color="auto"/>
              <w:right w:val="single" w:sz="4" w:space="0" w:color="auto"/>
            </w:tcBorders>
          </w:tcPr>
          <w:p w14:paraId="76A7FAEE" w14:textId="77777777" w:rsidR="00A70B78" w:rsidRPr="007C6A42" w:rsidRDefault="00A70B78" w:rsidP="00AF4FC9">
            <w:pPr>
              <w:spacing w:line="360" w:lineRule="auto"/>
              <w:rPr>
                <w:rFonts w:asciiTheme="majorBidi" w:eastAsia="Times New Roman" w:hAnsiTheme="majorBidi" w:cstheme="majorBidi"/>
                <w:rtl/>
              </w:rPr>
            </w:pPr>
            <w:r w:rsidRPr="007C6A42">
              <w:rPr>
                <w:rFonts w:asciiTheme="majorBidi" w:eastAsia="Times New Roman" w:hAnsiTheme="majorBidi" w:cstheme="majorBidi"/>
                <w:b/>
                <w:bCs/>
              </w:rPr>
              <w:t xml:space="preserve">Traduction de </w:t>
            </w:r>
            <w:r w:rsidRPr="007C6A42">
              <w:rPr>
                <w:rFonts w:asciiTheme="majorBidi" w:eastAsia="Times New Roman" w:hAnsiTheme="majorBidi" w:cstheme="majorBidi"/>
                <w:b/>
                <w:bCs/>
                <w:i/>
                <w:iCs/>
                <w:shd w:val="clear" w:color="auto" w:fill="FFFFFF"/>
                <w:lang w:bidi="ar-KW"/>
              </w:rPr>
              <w:t>ṣalawāt</w:t>
            </w:r>
          </w:p>
        </w:tc>
      </w:tr>
      <w:tr w:rsidR="00A70B78" w:rsidRPr="007C6A42" w14:paraId="25E6CC8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8F2929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3CEE8811" w14:textId="77777777" w:rsidR="00A70B78" w:rsidRPr="007C6A42" w:rsidRDefault="00A70B78" w:rsidP="00AF4FC9">
            <w:pPr>
              <w:spacing w:line="360" w:lineRule="auto"/>
              <w:rPr>
                <w:rFonts w:asciiTheme="majorBidi" w:eastAsia="Times New Roman" w:hAnsiTheme="majorBidi" w:cstheme="majorBidi"/>
                <w:shd w:val="clear" w:color="auto" w:fill="FFFFFF"/>
                <w:lang w:bidi="ar-KW"/>
              </w:rPr>
            </w:pPr>
            <w:r w:rsidRPr="007C6A42">
              <w:rPr>
                <w:rFonts w:asciiTheme="majorBidi" w:hAnsiTheme="majorBidi" w:cstheme="majorBidi"/>
              </w:rPr>
              <w:t>les Sinagogues des Iuifs</w:t>
            </w:r>
          </w:p>
        </w:tc>
      </w:tr>
      <w:tr w:rsidR="00A70B78" w:rsidRPr="007C6A42" w14:paraId="1FF81DA0" w14:textId="77777777" w:rsidTr="00AF4FC9">
        <w:trPr>
          <w:trHeight w:val="311"/>
          <w:jc w:val="center"/>
        </w:trPr>
        <w:tc>
          <w:tcPr>
            <w:tcW w:w="2024" w:type="dxa"/>
            <w:tcBorders>
              <w:top w:val="single" w:sz="4" w:space="0" w:color="auto"/>
              <w:left w:val="single" w:sz="4" w:space="0" w:color="auto"/>
              <w:bottom w:val="single" w:sz="4" w:space="0" w:color="auto"/>
              <w:right w:val="single" w:sz="4" w:space="0" w:color="auto"/>
            </w:tcBorders>
          </w:tcPr>
          <w:p w14:paraId="2240C3B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29A0FC34"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les synagogues</w:t>
            </w:r>
          </w:p>
        </w:tc>
      </w:tr>
      <w:tr w:rsidR="00A70B78" w:rsidRPr="007C6A42" w14:paraId="0135638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C95489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560E6494" w14:textId="77777777" w:rsidR="00A70B78" w:rsidRPr="007C6A42" w:rsidRDefault="00A70B78" w:rsidP="00AF4FC9">
            <w:pPr>
              <w:spacing w:line="360" w:lineRule="auto"/>
              <w:ind w:right="113"/>
              <w:jc w:val="both"/>
              <w:rPr>
                <w:rFonts w:asciiTheme="majorBidi" w:eastAsia="Times New Roman" w:hAnsiTheme="majorBidi" w:cstheme="majorBidi"/>
                <w:b/>
                <w:bCs/>
              </w:rPr>
            </w:pPr>
            <w:r w:rsidRPr="007C6A42">
              <w:rPr>
                <w:rFonts w:asciiTheme="majorBidi" w:eastAsia="Times New Roman" w:hAnsiTheme="majorBidi" w:cstheme="majorBidi"/>
              </w:rPr>
              <w:t>les synagogues</w:t>
            </w:r>
          </w:p>
        </w:tc>
      </w:tr>
      <w:tr w:rsidR="00A70B78" w:rsidRPr="007C6A42" w14:paraId="2E235EB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838CD4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3627C0F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des oratoires ( ?)</w:t>
            </w:r>
          </w:p>
        </w:tc>
      </w:tr>
      <w:tr w:rsidR="00A70B78" w:rsidRPr="007C6A42" w14:paraId="35CA0A2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DF62E5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085B68A4"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synagogues</w:t>
            </w:r>
          </w:p>
        </w:tc>
      </w:tr>
      <w:tr w:rsidR="00A70B78" w:rsidRPr="007C6A42" w14:paraId="790C19B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2F5862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4028D1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oratoires</w:t>
            </w:r>
          </w:p>
        </w:tc>
      </w:tr>
      <w:tr w:rsidR="00A70B78" w:rsidRPr="007C6A42" w14:paraId="52D0D65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0428C2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7407303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synagogues</w:t>
            </w:r>
          </w:p>
        </w:tc>
      </w:tr>
      <w:tr w:rsidR="00A70B78" w:rsidRPr="007C6A42" w14:paraId="47D1962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0BAA77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03B8138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des oratoires</w:t>
            </w:r>
          </w:p>
        </w:tc>
      </w:tr>
      <w:tr w:rsidR="00A70B78" w:rsidRPr="007C6A42" w14:paraId="7E8443A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E794E6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1EC173CD"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les oratoires</w:t>
            </w:r>
          </w:p>
        </w:tc>
      </w:tr>
      <w:tr w:rsidR="00A70B78" w:rsidRPr="007C6A42" w14:paraId="5855CF6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32469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16E1325D"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synagogues</w:t>
            </w:r>
          </w:p>
        </w:tc>
      </w:tr>
      <w:tr w:rsidR="00A70B78" w:rsidRPr="007C6A42" w14:paraId="4A14ABF0"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6F03B14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7BB42C4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synagogues</w:t>
            </w:r>
          </w:p>
        </w:tc>
      </w:tr>
      <w:tr w:rsidR="00A70B78" w:rsidRPr="007C6A42" w14:paraId="7102529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614FCE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3E3777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synagogues</w:t>
            </w:r>
          </w:p>
        </w:tc>
      </w:tr>
      <w:tr w:rsidR="00A70B78" w:rsidRPr="007C6A42" w14:paraId="3F7A436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126469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Chiad. (1999)</w:t>
            </w:r>
          </w:p>
        </w:tc>
        <w:tc>
          <w:tcPr>
            <w:tcW w:w="4580" w:type="dxa"/>
            <w:tcBorders>
              <w:top w:val="single" w:sz="4" w:space="0" w:color="auto"/>
              <w:left w:val="single" w:sz="4" w:space="0" w:color="auto"/>
              <w:bottom w:val="single" w:sz="4" w:space="0" w:color="auto"/>
              <w:right w:val="single" w:sz="4" w:space="0" w:color="auto"/>
            </w:tcBorders>
          </w:tcPr>
          <w:p w14:paraId="346FC8E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des oratoires</w:t>
            </w:r>
          </w:p>
        </w:tc>
      </w:tr>
      <w:tr w:rsidR="00A70B78" w:rsidRPr="007C6A42" w14:paraId="44CEF43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0784EF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327B71F1"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les synagogues</w:t>
            </w:r>
          </w:p>
        </w:tc>
      </w:tr>
      <w:tr w:rsidR="00A70B78" w:rsidRPr="007C6A42" w14:paraId="6FAEC5C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27B5DE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61CF7B01"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des lieux de prière</w:t>
            </w:r>
          </w:p>
        </w:tc>
      </w:tr>
      <w:tr w:rsidR="00A70B78" w:rsidRPr="007C6A42" w14:paraId="3610748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EE568A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61EC01DD"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des synagogues</w:t>
            </w:r>
          </w:p>
        </w:tc>
      </w:tr>
      <w:tr w:rsidR="00A70B78" w:rsidRPr="007C6A42" w14:paraId="36472A2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052E8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Z. Abdel. (2002)</w:t>
            </w:r>
          </w:p>
        </w:tc>
        <w:tc>
          <w:tcPr>
            <w:tcW w:w="4580" w:type="dxa"/>
            <w:tcBorders>
              <w:top w:val="single" w:sz="4" w:space="0" w:color="auto"/>
              <w:left w:val="single" w:sz="4" w:space="0" w:color="auto"/>
              <w:bottom w:val="single" w:sz="4" w:space="0" w:color="auto"/>
              <w:right w:val="single" w:sz="4" w:space="0" w:color="auto"/>
            </w:tcBorders>
          </w:tcPr>
          <w:p w14:paraId="779F532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de synagogues</w:t>
            </w:r>
          </w:p>
        </w:tc>
      </w:tr>
      <w:tr w:rsidR="00A70B78" w:rsidRPr="007C6A42" w14:paraId="537242F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32A2D8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6420A54C"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des synagogues</w:t>
            </w:r>
          </w:p>
        </w:tc>
      </w:tr>
    </w:tbl>
    <w:p w14:paraId="61806003" w14:textId="77777777" w:rsidR="00A70B78" w:rsidRPr="007C6A42" w:rsidRDefault="00A70B78" w:rsidP="00A70B78">
      <w:pPr>
        <w:spacing w:line="360" w:lineRule="auto"/>
        <w:jc w:val="both"/>
        <w:rPr>
          <w:rFonts w:asciiTheme="majorBidi" w:eastAsia="Times New Roman" w:hAnsiTheme="majorBidi" w:cstheme="majorBidi"/>
          <w:lang w:bidi="ar-AE"/>
        </w:rPr>
      </w:pPr>
    </w:p>
    <w:p w14:paraId="14F04236" w14:textId="77777777" w:rsidR="00A70B78" w:rsidRPr="007C6A42" w:rsidRDefault="00A70B78" w:rsidP="00A70B78">
      <w:pPr>
        <w:spacing w:line="360" w:lineRule="auto"/>
        <w:jc w:val="both"/>
        <w:outlineLvl w:val="0"/>
        <w:rPr>
          <w:rFonts w:asciiTheme="majorBidi" w:eastAsia="Times New Roman" w:hAnsiTheme="majorBidi" w:cstheme="majorBidi"/>
        </w:rPr>
      </w:pPr>
      <w:r w:rsidRPr="007C6A42">
        <w:rPr>
          <w:rFonts w:asciiTheme="majorBidi" w:eastAsia="Times New Roman" w:hAnsiTheme="majorBidi" w:cstheme="majorBidi"/>
          <w:b/>
          <w:bCs/>
          <w:lang w:bidi="ar-AE"/>
        </w:rPr>
        <w:t xml:space="preserve">Traduction du verbe hapax </w:t>
      </w:r>
      <w:r w:rsidRPr="007C6A42">
        <w:rPr>
          <w:rFonts w:asciiTheme="majorBidi" w:eastAsia="Times New Roman" w:hAnsiTheme="majorBidi" w:cstheme="majorBidi"/>
          <w:b/>
          <w:bCs/>
          <w:i/>
          <w:iCs/>
          <w:lang w:bidi="ar-AE"/>
        </w:rPr>
        <w:t>yas</w:t>
      </w:r>
      <w:r w:rsidRPr="007C6A42">
        <w:rPr>
          <w:rFonts w:asciiTheme="majorBidi" w:hAnsiTheme="majorBidi" w:cstheme="majorBidi"/>
          <w:b/>
          <w:bCs/>
          <w:i/>
          <w:iCs/>
        </w:rPr>
        <w:t>ṭuna</w:t>
      </w:r>
      <w:r w:rsidRPr="007C6A42">
        <w:rPr>
          <w:rFonts w:asciiTheme="majorBidi" w:eastAsia="Times New Roman" w:hAnsiTheme="majorBidi" w:cstheme="majorBidi"/>
          <w:b/>
          <w:bCs/>
          <w:lang w:bidi="ar-AE"/>
        </w:rPr>
        <w:t xml:space="preserve"> </w:t>
      </w:r>
      <w:r w:rsidRPr="007C6A42">
        <w:rPr>
          <w:rFonts w:asciiTheme="majorBidi" w:eastAsia="Times New Roman" w:hAnsiTheme="majorBidi" w:cstheme="majorBidi"/>
          <w:b/>
          <w:bCs/>
        </w:rPr>
        <w:t>(v. 72)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3ACB05D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028D367" w14:textId="77777777" w:rsidR="00A70B78" w:rsidRPr="007C6A42" w:rsidRDefault="00A70B78" w:rsidP="00AF4FC9">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traducteur</w:t>
            </w:r>
          </w:p>
        </w:tc>
        <w:tc>
          <w:tcPr>
            <w:tcW w:w="4580" w:type="dxa"/>
            <w:tcBorders>
              <w:top w:val="single" w:sz="4" w:space="0" w:color="auto"/>
              <w:left w:val="single" w:sz="4" w:space="0" w:color="auto"/>
              <w:bottom w:val="single" w:sz="4" w:space="0" w:color="auto"/>
              <w:right w:val="single" w:sz="4" w:space="0" w:color="auto"/>
            </w:tcBorders>
          </w:tcPr>
          <w:p w14:paraId="194302B1" w14:textId="77777777" w:rsidR="00A70B78" w:rsidRPr="007C6A42" w:rsidRDefault="00A70B78" w:rsidP="00AF4FC9">
            <w:pPr>
              <w:spacing w:line="360" w:lineRule="auto"/>
              <w:jc w:val="center"/>
              <w:rPr>
                <w:rFonts w:asciiTheme="majorBidi" w:eastAsia="Times New Roman" w:hAnsiTheme="majorBidi" w:cstheme="majorBidi"/>
                <w:b/>
                <w:bCs/>
                <w:rtl/>
              </w:rPr>
            </w:pPr>
            <w:r w:rsidRPr="007C6A42">
              <w:rPr>
                <w:rFonts w:asciiTheme="majorBidi" w:eastAsia="Times New Roman" w:hAnsiTheme="majorBidi" w:cstheme="majorBidi"/>
                <w:b/>
                <w:bCs/>
              </w:rPr>
              <w:t xml:space="preserve">Traduction de </w:t>
            </w:r>
            <w:r w:rsidRPr="007C6A42">
              <w:rPr>
                <w:rFonts w:asciiTheme="majorBidi" w:eastAsia="Calibri" w:hAnsiTheme="majorBidi" w:cstheme="majorBidi"/>
                <w:b/>
                <w:bCs/>
                <w:i/>
                <w:iCs/>
                <w:lang w:bidi="ar-AE"/>
              </w:rPr>
              <w:t>yas</w:t>
            </w:r>
            <w:r w:rsidRPr="007C6A42">
              <w:rPr>
                <w:rFonts w:asciiTheme="majorBidi" w:eastAsia="Times New Roman" w:hAnsiTheme="majorBidi" w:cstheme="majorBidi"/>
                <w:b/>
                <w:bCs/>
                <w:i/>
                <w:iCs/>
              </w:rPr>
              <w:t>ṭ</w:t>
            </w:r>
            <w:r w:rsidRPr="007C6A42">
              <w:rPr>
                <w:rFonts w:asciiTheme="majorBidi" w:eastAsia="Calibri" w:hAnsiTheme="majorBidi" w:cstheme="majorBidi"/>
                <w:b/>
                <w:bCs/>
                <w:i/>
                <w:iCs/>
                <w:lang w:bidi="ar-AE"/>
              </w:rPr>
              <w:t>una bi-</w:t>
            </w:r>
          </w:p>
        </w:tc>
      </w:tr>
      <w:tr w:rsidR="00A70B78" w:rsidRPr="007C6A42" w14:paraId="6673F75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9ABABC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69EA8EC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Se jetter de colere sur</w:t>
            </w:r>
          </w:p>
        </w:tc>
      </w:tr>
      <w:tr w:rsidR="00A70B78" w:rsidRPr="007C6A42" w14:paraId="68A26BE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9E5251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36CCC4B0"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Se jeter sur </w:t>
            </w:r>
          </w:p>
        </w:tc>
      </w:tr>
      <w:tr w:rsidR="00A70B78" w:rsidRPr="007C6A42" w14:paraId="43AE036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A12603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6E0151DA"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Se jeter sur </w:t>
            </w:r>
          </w:p>
        </w:tc>
      </w:tr>
      <w:tr w:rsidR="00A70B78" w:rsidRPr="007C6A42" w14:paraId="628416B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5C5F70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16A2117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Molestent </w:t>
            </w:r>
          </w:p>
        </w:tc>
      </w:tr>
      <w:tr w:rsidR="00A70B78" w:rsidRPr="007C6A42" w14:paraId="5A5861D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06804D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318F1D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Ils se jetteraient sur</w:t>
            </w:r>
          </w:p>
        </w:tc>
      </w:tr>
      <w:tr w:rsidR="00A70B78" w:rsidRPr="007C6A42" w14:paraId="3C437A2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BAF53D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6030694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Se précipitent sur </w:t>
            </w:r>
          </w:p>
        </w:tc>
      </w:tr>
      <w:tr w:rsidR="00A70B78" w:rsidRPr="007C6A42" w14:paraId="091ACB4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3B2B85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7A577B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Ils forceraient sur </w:t>
            </w:r>
          </w:p>
        </w:tc>
      </w:tr>
      <w:tr w:rsidR="00A70B78" w:rsidRPr="007C6A42" w14:paraId="78F636A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3F4F7B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47CF5B8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Se précipitent sur </w:t>
            </w:r>
          </w:p>
        </w:tc>
      </w:tr>
      <w:tr w:rsidR="00A70B78" w:rsidRPr="007C6A42" w14:paraId="28879D0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89BC03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2A2A017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Se jettent sur</w:t>
            </w:r>
          </w:p>
        </w:tc>
      </w:tr>
      <w:tr w:rsidR="00A70B78" w:rsidRPr="007C6A42" w14:paraId="5AE6C04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5A105F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3D6EB371"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Ils agressent </w:t>
            </w:r>
          </w:p>
        </w:tc>
      </w:tr>
      <w:tr w:rsidR="00A70B78" w:rsidRPr="007C6A42" w14:paraId="4A0440E1"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616C4A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126F11A2"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Fassent violence à </w:t>
            </w:r>
          </w:p>
        </w:tc>
      </w:tr>
      <w:tr w:rsidR="00A70B78" w:rsidRPr="007C6A42" w14:paraId="45DE756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039C71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63977E8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Molester </w:t>
            </w:r>
          </w:p>
        </w:tc>
      </w:tr>
      <w:tr w:rsidR="00A70B78" w:rsidRPr="007C6A42" w14:paraId="1777142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24A17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6F652CD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Fassent violence à </w:t>
            </w:r>
          </w:p>
        </w:tc>
      </w:tr>
      <w:tr w:rsidR="00A70B78" w:rsidRPr="007C6A42" w14:paraId="1D9A2D2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E4BC12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4B3DD17B"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Se jettent sur </w:t>
            </w:r>
          </w:p>
        </w:tc>
      </w:tr>
      <w:tr w:rsidR="00A70B78" w:rsidRPr="007C6A42" w14:paraId="580FE08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C235D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3B982D5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bidi="ar-KW"/>
              </w:rPr>
              <w:t xml:space="preserve">Se jeter </w:t>
            </w:r>
          </w:p>
        </w:tc>
      </w:tr>
      <w:tr w:rsidR="00A70B78" w:rsidRPr="007C6A42" w14:paraId="18E9112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424B1C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3EC4A48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Se jettent sur </w:t>
            </w:r>
          </w:p>
        </w:tc>
      </w:tr>
      <w:tr w:rsidR="00A70B78" w:rsidRPr="007C6A42" w14:paraId="4FE3324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04503C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32ADC82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Attaquent </w:t>
            </w:r>
          </w:p>
        </w:tc>
      </w:tr>
      <w:tr w:rsidR="00A70B78" w:rsidRPr="007C6A42" w14:paraId="3A01FD5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A0C2ED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206E14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Se jettent sur</w:t>
            </w:r>
          </w:p>
        </w:tc>
      </w:tr>
    </w:tbl>
    <w:p w14:paraId="79600AE7" w14:textId="77777777" w:rsidR="00A70B78" w:rsidRPr="007C6A42" w:rsidRDefault="00A70B78" w:rsidP="00A70B78">
      <w:pPr>
        <w:spacing w:line="360" w:lineRule="auto"/>
        <w:jc w:val="both"/>
        <w:outlineLvl w:val="0"/>
        <w:rPr>
          <w:rFonts w:asciiTheme="majorBidi" w:eastAsia="Times New Roman" w:hAnsiTheme="majorBidi" w:cstheme="majorBidi"/>
          <w:lang w:bidi="ar-AE"/>
        </w:rPr>
      </w:pPr>
    </w:p>
    <w:p w14:paraId="748F3122"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rPr>
        <w:t>Ce verbe polysémique ne figurant qu’une seule fois dans le Coran signifie entre autres : « assommer », « attaquer », « molester », « entreprendre de tuer », « effrayer »</w:t>
      </w:r>
      <w:r w:rsidRPr="007C6A42">
        <w:rPr>
          <w:rFonts w:asciiTheme="majorBidi" w:eastAsia="Times New Roman" w:hAnsiTheme="majorBidi" w:cstheme="majorBidi"/>
          <w:lang w:bidi="ar-EG"/>
        </w:rPr>
        <w:t xml:space="preserve">. </w:t>
      </w:r>
      <w:r w:rsidRPr="007C6A42">
        <w:rPr>
          <w:rFonts w:asciiTheme="majorBidi" w:eastAsia="Times New Roman" w:hAnsiTheme="majorBidi" w:cstheme="majorBidi"/>
        </w:rPr>
        <w:t xml:space="preserve">Cependant la </w:t>
      </w:r>
      <w:r w:rsidRPr="007C6A42">
        <w:rPr>
          <w:rFonts w:asciiTheme="majorBidi" w:eastAsia="Times New Roman" w:hAnsiTheme="majorBidi" w:cstheme="majorBidi"/>
        </w:rPr>
        <w:lastRenderedPageBreak/>
        <w:t>moitié (9 sur 18) des traducteurs ont opté pour le verbe « se jeter » choisi par le premier traducteur du Coran en français, André Du Ryer et repris par Savary et Kazimirski. Nous pouvons dire ici que les traductions ont reflété en quelques sorte les différentes interprétations que l’on trouve dans les exégèses.</w:t>
      </w:r>
    </w:p>
    <w:p w14:paraId="61184E64" w14:textId="77777777" w:rsidR="00A96E5B" w:rsidRPr="00DC0511" w:rsidRDefault="00A96E5B" w:rsidP="00A96E5B">
      <w:pPr>
        <w:spacing w:line="360" w:lineRule="auto"/>
        <w:outlineLvl w:val="0"/>
        <w:rPr>
          <w:rFonts w:asciiTheme="majorBidi" w:eastAsia="Times New Roman" w:hAnsiTheme="majorBidi" w:cstheme="majorBidi"/>
        </w:rPr>
      </w:pPr>
    </w:p>
    <w:p w14:paraId="3F19EF20" w14:textId="5B974B93" w:rsidR="00A96E5B" w:rsidRPr="00DC0511" w:rsidRDefault="00A96E5B" w:rsidP="00A96E5B">
      <w:pPr>
        <w:spacing w:line="360" w:lineRule="auto"/>
        <w:outlineLvl w:val="0"/>
        <w:rPr>
          <w:rFonts w:asciiTheme="majorBidi" w:eastAsia="Calibri" w:hAnsiTheme="majorBidi" w:cstheme="majorBidi"/>
          <w:b/>
          <w:bCs/>
          <w:lang w:bidi="ar-AE"/>
        </w:rPr>
      </w:pPr>
      <w:r w:rsidRPr="00DC0511">
        <w:rPr>
          <w:rFonts w:asciiTheme="majorBidi" w:eastAsia="Times New Roman" w:hAnsiTheme="majorBidi" w:cstheme="majorBidi"/>
          <w:b/>
          <w:bCs/>
        </w:rPr>
        <w:t xml:space="preserve">9.3. </w:t>
      </w:r>
      <w:r w:rsidR="00A70B78" w:rsidRPr="00DC0511">
        <w:rPr>
          <w:rFonts w:asciiTheme="majorBidi" w:eastAsia="Calibri" w:hAnsiTheme="majorBidi" w:cstheme="majorBidi"/>
          <w:b/>
          <w:bCs/>
          <w:lang w:bidi="ar-AE"/>
        </w:rPr>
        <w:t>Polysémie des noms de Dieu</w:t>
      </w:r>
      <w:r w:rsidRPr="00DC0511">
        <w:rPr>
          <w:rFonts w:asciiTheme="majorBidi" w:eastAsia="Calibri" w:hAnsiTheme="majorBidi" w:cstheme="majorBidi"/>
          <w:b/>
          <w:bCs/>
          <w:lang w:bidi="ar-AE"/>
        </w:rPr>
        <w:t> :</w:t>
      </w:r>
    </w:p>
    <w:p w14:paraId="2B5E994D" w14:textId="77777777" w:rsidR="00A70B78" w:rsidRDefault="00A70B78" w:rsidP="00A70B78">
      <w:pPr>
        <w:spacing w:line="360" w:lineRule="auto"/>
        <w:ind w:firstLine="360"/>
        <w:jc w:val="both"/>
        <w:rPr>
          <w:rFonts w:asciiTheme="majorBidi" w:eastAsia="Calibri" w:hAnsiTheme="majorBidi" w:cstheme="majorBidi"/>
          <w:lang w:bidi="ar-AE"/>
        </w:rPr>
      </w:pPr>
      <w:r w:rsidRPr="007C6A42">
        <w:rPr>
          <w:rFonts w:asciiTheme="majorBidi" w:eastAsia="Calibri" w:hAnsiTheme="majorBidi" w:cstheme="majorBidi"/>
          <w:lang w:bidi="ar-AE"/>
        </w:rPr>
        <w:t>Les noms de Dieu sont polysémiques. Nous allons voir en guise d’exemples les traductions des noms suivants :</w:t>
      </w:r>
    </w:p>
    <w:p w14:paraId="6288D75E" w14:textId="77777777" w:rsidR="00742803" w:rsidRPr="007C6A42" w:rsidRDefault="00742803" w:rsidP="00A70B78">
      <w:pPr>
        <w:spacing w:line="360" w:lineRule="auto"/>
        <w:ind w:firstLine="360"/>
        <w:jc w:val="both"/>
        <w:rPr>
          <w:rFonts w:asciiTheme="majorBidi" w:eastAsia="Calibri" w:hAnsiTheme="majorBidi" w:cstheme="majorBidi"/>
          <w:lang w:bidi="ar-AE"/>
        </w:rPr>
      </w:pPr>
    </w:p>
    <w:p w14:paraId="672BF7FC" w14:textId="77777777" w:rsidR="00A70B78" w:rsidRPr="007C6A42" w:rsidRDefault="00A70B78" w:rsidP="00A70B78">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-1-</w:t>
      </w:r>
    </w:p>
    <w:p w14:paraId="1CD576A9" w14:textId="77777777" w:rsidR="00A70B78" w:rsidRPr="007C6A42" w:rsidRDefault="00A70B78" w:rsidP="00A70B78">
      <w:pPr>
        <w:spacing w:line="360" w:lineRule="auto"/>
        <w:jc w:val="center"/>
        <w:rPr>
          <w:rFonts w:asciiTheme="majorBidi" w:eastAsia="Calibri" w:hAnsiTheme="majorBidi" w:cstheme="majorBidi"/>
          <w:b/>
          <w:bCs/>
          <w:lang w:bidi="ar-AE"/>
        </w:rPr>
      </w:pPr>
      <w:r w:rsidRPr="007C6A42">
        <w:rPr>
          <w:rFonts w:asciiTheme="majorBidi" w:eastAsia="Times New Roman" w:hAnsiTheme="majorBidi" w:cstheme="majorBidi"/>
          <w:b/>
          <w:bCs/>
        </w:rPr>
        <w:t xml:space="preserve">Traduction du nom de Dieu </w:t>
      </w:r>
      <w:r w:rsidRPr="007C6A42">
        <w:rPr>
          <w:rFonts w:asciiTheme="majorBidi" w:eastAsia="Calibri" w:hAnsiTheme="majorBidi" w:cstheme="majorBidi"/>
          <w:b/>
          <w:bCs/>
          <w:i/>
          <w:iCs/>
          <w:lang w:bidi="ar-AE"/>
        </w:rPr>
        <w:t>qad</w:t>
      </w:r>
      <w:r w:rsidRPr="007C6A42">
        <w:rPr>
          <w:rFonts w:asciiTheme="majorBidi" w:eastAsia="Times New Roman" w:hAnsiTheme="majorBidi" w:cstheme="majorBidi"/>
          <w:b/>
          <w:bCs/>
          <w:i/>
          <w:iCs/>
        </w:rPr>
        <w:t>ī</w:t>
      </w:r>
      <w:r w:rsidRPr="007C6A42">
        <w:rPr>
          <w:rFonts w:asciiTheme="majorBidi" w:eastAsia="Calibri" w:hAnsiTheme="majorBidi" w:cstheme="majorBidi"/>
          <w:b/>
          <w:bCs/>
          <w:i/>
          <w:iCs/>
          <w:lang w:bidi="ar-AE"/>
        </w:rPr>
        <w:t>r</w:t>
      </w:r>
      <w:r w:rsidRPr="007C6A42">
        <w:rPr>
          <w:rFonts w:asciiTheme="majorBidi" w:eastAsia="Calibri" w:hAnsiTheme="majorBidi" w:cstheme="majorBidi"/>
          <w:b/>
          <w:bCs/>
          <w:lang w:bidi="ar-AE"/>
        </w:rPr>
        <w:t xml:space="preserve"> dans « </w:t>
      </w:r>
      <w:r w:rsidRPr="007C6A42">
        <w:rPr>
          <w:rFonts w:asciiTheme="majorBidi" w:eastAsia="Calibri" w:hAnsiTheme="majorBidi" w:cstheme="majorBidi"/>
          <w:b/>
          <w:bCs/>
          <w:rtl/>
          <w:lang w:bidi="ar-AE"/>
        </w:rPr>
        <w:t>على كل شيء قدير</w:t>
      </w:r>
      <w:r w:rsidRPr="007C6A42">
        <w:rPr>
          <w:rFonts w:asciiTheme="majorBidi" w:eastAsia="Calibri" w:hAnsiTheme="majorBidi" w:cstheme="majorBidi"/>
          <w:b/>
          <w:bCs/>
          <w:lang w:bidi="ar-AE"/>
        </w:rPr>
        <w:t> »</w:t>
      </w:r>
      <w:r w:rsidRPr="007C6A42">
        <w:rPr>
          <w:rFonts w:asciiTheme="majorBidi" w:eastAsia="Calibri" w:hAnsiTheme="majorBidi" w:cstheme="majorBidi"/>
          <w:b/>
          <w:bCs/>
          <w:i/>
          <w:iCs/>
          <w:lang w:bidi="ar-AE"/>
        </w:rPr>
        <w:t xml:space="preserve"> </w:t>
      </w:r>
      <w:r w:rsidRPr="007C6A42">
        <w:rPr>
          <w:rFonts w:asciiTheme="majorBidi" w:eastAsia="Calibri" w:hAnsiTheme="majorBidi" w:cstheme="majorBidi"/>
          <w:b/>
          <w:bCs/>
          <w:lang w:bidi="ar-AE"/>
        </w:rPr>
        <w:t>(v. 6) :</w:t>
      </w:r>
    </w:p>
    <w:p w14:paraId="4435EB64"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eastAsia="Times New Roman" w:hAnsiTheme="majorBidi" w:cstheme="majorBidi"/>
        </w:rPr>
        <w:t xml:space="preserve">Le nom </w:t>
      </w:r>
      <w:r w:rsidRPr="007C6A42">
        <w:rPr>
          <w:rFonts w:asciiTheme="majorBidi" w:eastAsia="Calibri" w:hAnsiTheme="majorBidi" w:cstheme="majorBidi"/>
          <w:i/>
          <w:iCs/>
          <w:lang w:bidi="ar-AE"/>
        </w:rPr>
        <w:t>qad</w:t>
      </w:r>
      <w:r w:rsidRPr="007C6A42">
        <w:rPr>
          <w:rFonts w:asciiTheme="majorBidi" w:eastAsia="Times New Roman" w:hAnsiTheme="majorBidi" w:cstheme="majorBidi"/>
          <w:i/>
          <w:iCs/>
        </w:rPr>
        <w:t>ī</w:t>
      </w:r>
      <w:r w:rsidRPr="007C6A42">
        <w:rPr>
          <w:rFonts w:asciiTheme="majorBidi" w:eastAsia="Calibri" w:hAnsiTheme="majorBidi" w:cstheme="majorBidi"/>
          <w:i/>
          <w:iCs/>
          <w:lang w:bidi="ar-AE"/>
        </w:rPr>
        <w:t>r</w:t>
      </w:r>
      <w:r w:rsidRPr="007C6A42">
        <w:rPr>
          <w:rFonts w:asciiTheme="majorBidi" w:eastAsia="Calibri" w:hAnsiTheme="majorBidi" w:cstheme="majorBidi"/>
          <w:lang w:bidi="ar-AE"/>
        </w:rPr>
        <w:t xml:space="preserve"> </w:t>
      </w:r>
      <w:r w:rsidRPr="007C6A42">
        <w:rPr>
          <w:rFonts w:asciiTheme="majorBidi" w:eastAsia="Times New Roman" w:hAnsiTheme="majorBidi" w:cstheme="majorBidi"/>
        </w:rPr>
        <w:t>est un adjectif assimilé au participe actif qui désigne un état ou une qualité permanent. Examinons ses différentes traductions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456CDF74" w14:textId="77777777" w:rsidTr="00AF4FC9">
        <w:trPr>
          <w:jc w:val="center"/>
        </w:trPr>
        <w:tc>
          <w:tcPr>
            <w:tcW w:w="6604" w:type="dxa"/>
            <w:gridSpan w:val="2"/>
            <w:tcBorders>
              <w:top w:val="nil"/>
              <w:left w:val="single" w:sz="4" w:space="0" w:color="auto"/>
              <w:bottom w:val="single" w:sz="4" w:space="0" w:color="auto"/>
              <w:right w:val="single" w:sz="4" w:space="0" w:color="auto"/>
            </w:tcBorders>
          </w:tcPr>
          <w:p w14:paraId="6394256E"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Calibri" w:hAnsiTheme="majorBidi" w:cstheme="majorBidi"/>
                <w:lang w:bidi="ar-AE"/>
              </w:rPr>
              <w:t>« </w:t>
            </w:r>
            <w:r w:rsidRPr="007C6A42">
              <w:rPr>
                <w:rFonts w:asciiTheme="majorBidi" w:eastAsia="Calibri" w:hAnsiTheme="majorBidi" w:cstheme="majorBidi"/>
                <w:rtl/>
                <w:lang w:bidi="ar-AE"/>
              </w:rPr>
              <w:t>قدير</w:t>
            </w:r>
            <w:r w:rsidRPr="007C6A42">
              <w:rPr>
                <w:rFonts w:asciiTheme="majorBidi" w:eastAsia="Calibri" w:hAnsiTheme="majorBidi" w:cstheme="majorBidi"/>
                <w:lang w:bidi="ar-AE"/>
              </w:rPr>
              <w:t> »</w:t>
            </w:r>
            <w:r w:rsidRPr="007C6A42">
              <w:rPr>
                <w:rFonts w:asciiTheme="majorBidi" w:eastAsia="Calibri" w:hAnsiTheme="majorBidi" w:cstheme="majorBidi"/>
                <w:i/>
                <w:iCs/>
                <w:lang w:bidi="ar-AE"/>
              </w:rPr>
              <w:t xml:space="preserve"> </w:t>
            </w:r>
            <w:r w:rsidRPr="007C6A42">
              <w:rPr>
                <w:rFonts w:asciiTheme="majorBidi" w:eastAsia="Calibri" w:hAnsiTheme="majorBidi" w:cstheme="majorBidi"/>
                <w:lang w:bidi="ar-AE"/>
              </w:rPr>
              <w:t>(v. 6)</w:t>
            </w:r>
          </w:p>
        </w:tc>
      </w:tr>
      <w:tr w:rsidR="00A70B78" w:rsidRPr="007C6A42" w14:paraId="60A75876" w14:textId="77777777" w:rsidTr="00AF4FC9">
        <w:trPr>
          <w:trHeight w:val="269"/>
          <w:jc w:val="center"/>
        </w:trPr>
        <w:tc>
          <w:tcPr>
            <w:tcW w:w="2024" w:type="dxa"/>
            <w:tcBorders>
              <w:top w:val="single" w:sz="4" w:space="0" w:color="auto"/>
              <w:left w:val="single" w:sz="4" w:space="0" w:color="auto"/>
              <w:bottom w:val="single" w:sz="4" w:space="0" w:color="auto"/>
              <w:right w:val="single" w:sz="4" w:space="0" w:color="auto"/>
            </w:tcBorders>
          </w:tcPr>
          <w:p w14:paraId="7CC52D9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337312DC"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tout-Puiʃʃant </w:t>
            </w:r>
          </w:p>
        </w:tc>
      </w:tr>
      <w:tr w:rsidR="00A70B78" w:rsidRPr="007C6A42" w14:paraId="2DBD957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EF99F3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195D5CCB"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sa puissance embrasse l’univers</w:t>
            </w:r>
          </w:p>
        </w:tc>
      </w:tr>
      <w:tr w:rsidR="00A70B78" w:rsidRPr="007C6A42" w14:paraId="7F77677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D1CA9A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2FA59CA6"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Il peut tout</w:t>
            </w:r>
          </w:p>
        </w:tc>
      </w:tr>
      <w:tr w:rsidR="00A70B78" w:rsidRPr="007C6A42" w14:paraId="432BC5F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2CA28C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408B82F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omnipotent</w:t>
            </w:r>
          </w:p>
        </w:tc>
      </w:tr>
      <w:tr w:rsidR="00A70B78" w:rsidRPr="007C6A42" w14:paraId="562894A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156BA8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773F659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omnipotent</w:t>
            </w:r>
          </w:p>
        </w:tc>
      </w:tr>
      <w:tr w:rsidR="00A70B78" w:rsidRPr="007C6A42" w14:paraId="567EAA5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DDB2DA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0C73EE0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capable</w:t>
            </w:r>
          </w:p>
        </w:tc>
      </w:tr>
      <w:tr w:rsidR="00A70B78" w:rsidRPr="007C6A42" w14:paraId="275437B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45A208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209FA39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sa puissance s’étend sur tout l’univers</w:t>
            </w:r>
          </w:p>
        </w:tc>
      </w:tr>
      <w:tr w:rsidR="00A70B78" w:rsidRPr="007C6A42" w14:paraId="57A53ED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4EB43F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309B7A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puissant</w:t>
            </w:r>
          </w:p>
        </w:tc>
      </w:tr>
      <w:tr w:rsidR="00A70B78" w:rsidRPr="007C6A42" w14:paraId="4CDCD70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9680E2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27F3BE6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il peut tout</w:t>
            </w:r>
          </w:p>
        </w:tc>
      </w:tr>
      <w:tr w:rsidR="00A70B78" w:rsidRPr="007C6A42" w14:paraId="37F4074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F31FE4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4BF60393"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puissant</w:t>
            </w:r>
          </w:p>
        </w:tc>
      </w:tr>
      <w:tr w:rsidR="00A70B78" w:rsidRPr="007C6A42" w14:paraId="21E67D92"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27C8FA3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64335F93"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Omnipotent</w:t>
            </w:r>
          </w:p>
        </w:tc>
      </w:tr>
      <w:tr w:rsidR="00A70B78" w:rsidRPr="007C6A42" w14:paraId="5FD9855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26C047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24F4D69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 xml:space="preserve">et </w:t>
            </w:r>
            <w:r w:rsidRPr="007C6A42">
              <w:rPr>
                <w:rFonts w:asciiTheme="majorBidi" w:hAnsiTheme="majorBidi" w:cstheme="majorBidi"/>
                <w:b/>
              </w:rPr>
              <w:t>IL</w:t>
            </w:r>
            <w:r w:rsidRPr="007C6A42">
              <w:rPr>
                <w:rFonts w:asciiTheme="majorBidi" w:hAnsiTheme="majorBidi" w:cstheme="majorBidi"/>
              </w:rPr>
              <w:t xml:space="preserve"> a toute possibilité</w:t>
            </w:r>
          </w:p>
        </w:tc>
      </w:tr>
      <w:tr w:rsidR="00A70B78" w:rsidRPr="007C6A42" w14:paraId="2A60E68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6DD720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686CA0C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Sa puissance s’étend sur toute chose</w:t>
            </w:r>
          </w:p>
        </w:tc>
      </w:tr>
      <w:tr w:rsidR="00A70B78" w:rsidRPr="007C6A42" w14:paraId="2A800FA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277D88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2AB98716"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Omnipotent</w:t>
            </w:r>
          </w:p>
        </w:tc>
      </w:tr>
      <w:tr w:rsidR="00A70B78" w:rsidRPr="007C6A42" w14:paraId="5754CDE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DE4C65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1C99E78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puissant</w:t>
            </w:r>
          </w:p>
        </w:tc>
      </w:tr>
      <w:tr w:rsidR="00A70B78" w:rsidRPr="007C6A42" w14:paraId="17C558B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B6D2F2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56B5CEA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Tout-Puissant</w:t>
            </w:r>
          </w:p>
        </w:tc>
      </w:tr>
      <w:tr w:rsidR="00A70B78" w:rsidRPr="007C6A42" w14:paraId="278D1E4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8E88CD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Abdel. (2002)</w:t>
            </w:r>
          </w:p>
        </w:tc>
        <w:tc>
          <w:tcPr>
            <w:tcW w:w="4580" w:type="dxa"/>
            <w:tcBorders>
              <w:top w:val="single" w:sz="4" w:space="0" w:color="auto"/>
              <w:left w:val="single" w:sz="4" w:space="0" w:color="auto"/>
              <w:bottom w:val="single" w:sz="4" w:space="0" w:color="auto"/>
              <w:right w:val="single" w:sz="4" w:space="0" w:color="auto"/>
            </w:tcBorders>
          </w:tcPr>
          <w:p w14:paraId="5C6EF3D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Omnipuissant</w:t>
            </w:r>
          </w:p>
        </w:tc>
      </w:tr>
      <w:tr w:rsidR="00A70B78" w:rsidRPr="007C6A42" w14:paraId="1A79B9B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BCF52D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0BAA2C7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Omnipotent</w:t>
            </w:r>
          </w:p>
        </w:tc>
      </w:tr>
    </w:tbl>
    <w:p w14:paraId="4AD65016" w14:textId="77777777" w:rsidR="00A70B78" w:rsidRPr="007C6A42" w:rsidRDefault="00A70B78" w:rsidP="00A70B78">
      <w:pPr>
        <w:spacing w:line="360" w:lineRule="auto"/>
        <w:jc w:val="both"/>
        <w:rPr>
          <w:rFonts w:asciiTheme="majorBidi" w:eastAsia="Times New Roman" w:hAnsiTheme="majorBidi" w:cstheme="majorBidi"/>
        </w:rPr>
      </w:pPr>
    </w:p>
    <w:p w14:paraId="1ACB3516"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rPr>
        <w:t>Certains traducteurs ont rendu ce nom par un seul nom en majuscule ou en minuscule. D’autres l’ont traduit par une phrase (clarification et allongement). Les mots choisis pour traduire ce nom sont : « tout-puissant » (2 fois), « omnipotent » en minuscule (2 fois), « Omnipotent » en majuscule (4 fois), « capable » (1 fois), « puissant » (3 fois).</w:t>
      </w:r>
    </w:p>
    <w:p w14:paraId="00C03F59"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eastAsia="Times New Roman" w:hAnsiTheme="majorBidi" w:cstheme="majorBidi"/>
        </w:rPr>
        <w:t>Six traducteurs ont rendu le seul terme par une phrase : 1) « sa puissance embrasse l’univers » (Savary) ; 2) « il peut tout » (Kazimirski et Grosjean) ; 3) « </w:t>
      </w:r>
      <w:r w:rsidRPr="007C6A42">
        <w:rPr>
          <w:rFonts w:asciiTheme="majorBidi" w:hAnsiTheme="majorBidi" w:cstheme="majorBidi"/>
        </w:rPr>
        <w:t xml:space="preserve">sa puissance s’étend sur tout l’univers » (Ben Mahmoud) ; 4) « et </w:t>
      </w:r>
      <w:r w:rsidRPr="007C6A42">
        <w:rPr>
          <w:rFonts w:asciiTheme="majorBidi" w:hAnsiTheme="majorBidi" w:cstheme="majorBidi"/>
          <w:b/>
        </w:rPr>
        <w:t>IL</w:t>
      </w:r>
      <w:r w:rsidRPr="007C6A42">
        <w:rPr>
          <w:rFonts w:asciiTheme="majorBidi" w:hAnsiTheme="majorBidi" w:cstheme="majorBidi"/>
        </w:rPr>
        <w:t xml:space="preserve"> a toute possibilité » (Guessous) ; 5) « Sa puissance s’étend sur toute chose » (Chiadmi). Il est évident que Guessous a choisi le substantif « possibilité » par contrainte d’assonance. Il imite ainsi le style arabe Coran.</w:t>
      </w:r>
    </w:p>
    <w:p w14:paraId="6A4AEF34"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hAnsiTheme="majorBidi" w:cstheme="majorBidi"/>
        </w:rPr>
        <w:t>Ainsi, on voit bien que l’adjectif « omnipotent » est le plus utilisé (6 fois). Ce nom de Dieu est rendu en français par neuf manières (mots ou phrases) qui montrent les différents aspects du champ sémantique du terme arabe.</w:t>
      </w:r>
    </w:p>
    <w:p w14:paraId="57C78EBC" w14:textId="77777777" w:rsidR="00A70B78" w:rsidRPr="007C6A42" w:rsidRDefault="00A70B78" w:rsidP="00A70B78">
      <w:pPr>
        <w:spacing w:line="360" w:lineRule="auto"/>
        <w:jc w:val="both"/>
        <w:rPr>
          <w:rFonts w:asciiTheme="majorBidi" w:eastAsia="Times New Roman" w:hAnsiTheme="majorBidi" w:cstheme="majorBidi"/>
        </w:rPr>
      </w:pPr>
    </w:p>
    <w:p w14:paraId="1DBB965E" w14:textId="77777777" w:rsidR="00A70B78" w:rsidRPr="007C6A42" w:rsidRDefault="00A70B78" w:rsidP="00A70B78">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-2-</w:t>
      </w:r>
    </w:p>
    <w:p w14:paraId="40846658" w14:textId="77777777" w:rsidR="00A70B78" w:rsidRPr="007C6A42" w:rsidRDefault="00A70B78" w:rsidP="00A70B78">
      <w:pPr>
        <w:spacing w:line="360" w:lineRule="auto"/>
        <w:jc w:val="center"/>
        <w:rPr>
          <w:rFonts w:asciiTheme="majorBidi" w:eastAsia="Calibri" w:hAnsiTheme="majorBidi" w:cstheme="majorBidi"/>
          <w:b/>
          <w:bCs/>
          <w:lang w:bidi="ar-AE"/>
        </w:rPr>
      </w:pPr>
      <w:r w:rsidRPr="007C6A42">
        <w:rPr>
          <w:rFonts w:asciiTheme="majorBidi" w:eastAsia="Times New Roman" w:hAnsiTheme="majorBidi" w:cstheme="majorBidi"/>
          <w:b/>
          <w:bCs/>
        </w:rPr>
        <w:t xml:space="preserve">Traduction du nom du Dieu </w:t>
      </w:r>
      <w:r w:rsidRPr="007C6A42">
        <w:rPr>
          <w:rFonts w:asciiTheme="majorBidi" w:eastAsia="Calibri" w:hAnsiTheme="majorBidi" w:cstheme="majorBidi"/>
          <w:b/>
          <w:bCs/>
          <w:i/>
          <w:iCs/>
          <w:lang w:bidi="ar-AE"/>
        </w:rPr>
        <w:t>shah</w:t>
      </w:r>
      <w:r w:rsidRPr="007C6A42">
        <w:rPr>
          <w:rFonts w:asciiTheme="majorBidi" w:eastAsia="Times New Roman" w:hAnsiTheme="majorBidi" w:cstheme="majorBidi"/>
          <w:b/>
          <w:bCs/>
          <w:i/>
          <w:iCs/>
        </w:rPr>
        <w:t>ī</w:t>
      </w:r>
      <w:r w:rsidRPr="007C6A42">
        <w:rPr>
          <w:rFonts w:asciiTheme="majorBidi" w:eastAsia="Calibri" w:hAnsiTheme="majorBidi" w:cstheme="majorBidi"/>
          <w:b/>
          <w:bCs/>
          <w:i/>
          <w:iCs/>
          <w:lang w:bidi="ar-AE"/>
        </w:rPr>
        <w:t>d</w:t>
      </w:r>
      <w:r w:rsidRPr="007C6A42">
        <w:rPr>
          <w:rFonts w:asciiTheme="majorBidi" w:eastAsia="Calibri" w:hAnsiTheme="majorBidi" w:cstheme="majorBidi"/>
          <w:b/>
          <w:bCs/>
          <w:lang w:bidi="ar-AE"/>
        </w:rPr>
        <w:t xml:space="preserve"> dans « </w:t>
      </w:r>
      <w:r w:rsidRPr="007C6A42">
        <w:rPr>
          <w:rFonts w:asciiTheme="majorBidi" w:eastAsia="Calibri" w:hAnsiTheme="majorBidi" w:cstheme="majorBidi"/>
          <w:b/>
          <w:bCs/>
          <w:rtl/>
          <w:lang w:bidi="ar-AE"/>
        </w:rPr>
        <w:t>على كل شيء شهيد</w:t>
      </w:r>
      <w:r w:rsidRPr="007C6A42">
        <w:rPr>
          <w:rFonts w:asciiTheme="majorBidi" w:eastAsia="Calibri" w:hAnsiTheme="majorBidi" w:cstheme="majorBidi"/>
          <w:b/>
          <w:bCs/>
          <w:lang w:bidi="ar-AE"/>
        </w:rPr>
        <w:t> »</w:t>
      </w:r>
      <w:r w:rsidRPr="007C6A42">
        <w:rPr>
          <w:rFonts w:asciiTheme="majorBidi" w:eastAsia="Calibri" w:hAnsiTheme="majorBidi" w:cstheme="majorBidi"/>
          <w:b/>
          <w:bCs/>
          <w:i/>
          <w:iCs/>
          <w:lang w:bidi="ar-AE"/>
        </w:rPr>
        <w:t xml:space="preserve"> </w:t>
      </w:r>
      <w:r w:rsidRPr="007C6A42">
        <w:rPr>
          <w:rFonts w:asciiTheme="majorBidi" w:eastAsia="Calibri" w:hAnsiTheme="majorBidi" w:cstheme="majorBidi"/>
          <w:b/>
          <w:bCs/>
          <w:lang w:bidi="ar-AE"/>
        </w:rPr>
        <w:t>(v. 17) :</w:t>
      </w:r>
    </w:p>
    <w:p w14:paraId="325721C6"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rPr>
        <w:t xml:space="preserve">Ce nom est rendu par la plupart (17 sur 18) par « témoin ». Berque, Chiadmi, Abdelaziz et Hafiane l’écrivent en majuscule. Guessous y ajoute un adjectif (« unique ») qui circonscrit le sens. Du Ryer le traduit par une phrase (« il sait tout ») qui ne correspond pas tout à fait à </w:t>
      </w:r>
      <w:r w:rsidRPr="007C6A42">
        <w:rPr>
          <w:rFonts w:asciiTheme="majorBidi" w:eastAsia="Calibri" w:hAnsiTheme="majorBidi" w:cstheme="majorBidi"/>
          <w:i/>
          <w:iCs/>
          <w:lang w:bidi="ar-AE"/>
        </w:rPr>
        <w:t>shah</w:t>
      </w:r>
      <w:r w:rsidRPr="007C6A42">
        <w:rPr>
          <w:rFonts w:asciiTheme="majorBidi" w:eastAsia="Times New Roman" w:hAnsiTheme="majorBidi" w:cstheme="majorBidi"/>
          <w:i/>
          <w:iCs/>
        </w:rPr>
        <w:t>ī</w:t>
      </w:r>
      <w:r w:rsidRPr="007C6A42">
        <w:rPr>
          <w:rFonts w:asciiTheme="majorBidi" w:eastAsia="Calibri" w:hAnsiTheme="majorBidi" w:cstheme="majorBidi"/>
          <w:i/>
          <w:iCs/>
          <w:lang w:bidi="ar-AE"/>
        </w:rPr>
        <w:t>d</w:t>
      </w:r>
      <w:r w:rsidRPr="007C6A42">
        <w:rPr>
          <w:rFonts w:asciiTheme="majorBidi" w:eastAsia="Times New Roman" w:hAnsiTheme="majorBidi" w:cstheme="majorBidi"/>
        </w:rPr>
        <w:t>, car l’idée de connaissance n’est pas présente dans le terme arabe. Il est possible que Du Ryer se soit référé à l’exégète Ṭabarī, qui explique ce nom par le fait que rien n’échappe à Dieu. Ce nom ne pose pas de problème aux traducteurs ni aux exégètes.</w:t>
      </w:r>
    </w:p>
    <w:tbl>
      <w:tblPr>
        <w:tblW w:w="6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580"/>
      </w:tblGrid>
      <w:tr w:rsidR="00A70B78" w:rsidRPr="007C6A42" w14:paraId="41D014DC" w14:textId="77777777" w:rsidTr="00AF4FC9">
        <w:trPr>
          <w:trHeight w:val="282"/>
          <w:jc w:val="center"/>
        </w:trPr>
        <w:tc>
          <w:tcPr>
            <w:tcW w:w="6564" w:type="dxa"/>
            <w:gridSpan w:val="2"/>
            <w:tcBorders>
              <w:top w:val="nil"/>
              <w:left w:val="single" w:sz="4" w:space="0" w:color="auto"/>
              <w:bottom w:val="single" w:sz="4" w:space="0" w:color="auto"/>
              <w:right w:val="single" w:sz="4" w:space="0" w:color="auto"/>
            </w:tcBorders>
          </w:tcPr>
          <w:p w14:paraId="53B780AB"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Calibri" w:hAnsiTheme="majorBidi" w:cstheme="majorBidi"/>
                <w:lang w:bidi="ar-AE"/>
              </w:rPr>
              <w:t>« </w:t>
            </w:r>
            <w:r w:rsidRPr="007C6A42">
              <w:rPr>
                <w:rFonts w:asciiTheme="majorBidi" w:eastAsia="Calibri" w:hAnsiTheme="majorBidi" w:cstheme="majorBidi"/>
                <w:rtl/>
                <w:lang w:bidi="ar-AE"/>
              </w:rPr>
              <w:t>شهيد</w:t>
            </w:r>
            <w:r w:rsidRPr="007C6A42">
              <w:rPr>
                <w:rFonts w:asciiTheme="majorBidi" w:eastAsia="Calibri" w:hAnsiTheme="majorBidi" w:cstheme="majorBidi"/>
                <w:lang w:bidi="ar-AE"/>
              </w:rPr>
              <w:t> »</w:t>
            </w:r>
            <w:r w:rsidRPr="007C6A42">
              <w:rPr>
                <w:rFonts w:asciiTheme="majorBidi" w:eastAsia="Calibri" w:hAnsiTheme="majorBidi" w:cstheme="majorBidi"/>
                <w:i/>
                <w:iCs/>
                <w:lang w:bidi="ar-AE"/>
              </w:rPr>
              <w:t xml:space="preserve"> </w:t>
            </w:r>
            <w:r w:rsidRPr="007C6A42">
              <w:rPr>
                <w:rFonts w:asciiTheme="majorBidi" w:eastAsia="Calibri" w:hAnsiTheme="majorBidi" w:cstheme="majorBidi"/>
                <w:lang w:bidi="ar-AE"/>
              </w:rPr>
              <w:t>(v. 17)</w:t>
            </w:r>
          </w:p>
        </w:tc>
      </w:tr>
      <w:tr w:rsidR="00A70B78" w:rsidRPr="007C6A42" w14:paraId="484BC633"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66BD159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7EF2EBC4"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ʃçait tout</w:t>
            </w:r>
          </w:p>
        </w:tc>
      </w:tr>
      <w:tr w:rsidR="00A70B78" w:rsidRPr="007C6A42" w14:paraId="0168329D"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1DFF601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6915B907"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témoin</w:t>
            </w:r>
          </w:p>
        </w:tc>
      </w:tr>
      <w:tr w:rsidR="00A70B78" w:rsidRPr="007C6A42" w14:paraId="5AC97EDF"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156A682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2E2BA0ED"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témoin</w:t>
            </w:r>
          </w:p>
        </w:tc>
      </w:tr>
      <w:tr w:rsidR="00A70B78" w:rsidRPr="007C6A42" w14:paraId="7C8B8BE7"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7F15203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6882C9F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témoin</w:t>
            </w:r>
          </w:p>
        </w:tc>
      </w:tr>
      <w:tr w:rsidR="00A70B78" w:rsidRPr="007C6A42" w14:paraId="79F58271"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1083287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12B30C8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témoin</w:t>
            </w:r>
          </w:p>
        </w:tc>
      </w:tr>
      <w:tr w:rsidR="00A70B78" w:rsidRPr="007C6A42" w14:paraId="5BC8B42F"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5A9A279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Hamid (1959)</w:t>
            </w:r>
          </w:p>
        </w:tc>
        <w:tc>
          <w:tcPr>
            <w:tcW w:w="4580" w:type="dxa"/>
            <w:tcBorders>
              <w:top w:val="single" w:sz="4" w:space="0" w:color="auto"/>
              <w:left w:val="single" w:sz="4" w:space="0" w:color="auto"/>
              <w:bottom w:val="single" w:sz="4" w:space="0" w:color="auto"/>
              <w:right w:val="single" w:sz="4" w:space="0" w:color="auto"/>
            </w:tcBorders>
          </w:tcPr>
          <w:p w14:paraId="66EE373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témoin</w:t>
            </w:r>
          </w:p>
        </w:tc>
      </w:tr>
      <w:tr w:rsidR="00A70B78" w:rsidRPr="007C6A42" w14:paraId="4D64F99B"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3DB5574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70E2F1D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le </w:t>
            </w:r>
            <w:r w:rsidRPr="007C6A42">
              <w:rPr>
                <w:rFonts w:asciiTheme="majorBidi" w:hAnsiTheme="majorBidi" w:cstheme="majorBidi"/>
              </w:rPr>
              <w:t>témoin</w:t>
            </w:r>
          </w:p>
        </w:tc>
      </w:tr>
      <w:tr w:rsidR="00A70B78" w:rsidRPr="007C6A42" w14:paraId="53C0E590"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35C89F2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6C8F627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témoin</w:t>
            </w:r>
          </w:p>
        </w:tc>
      </w:tr>
      <w:tr w:rsidR="00A70B78" w:rsidRPr="007C6A42" w14:paraId="5E461591"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2A33B50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1CB4C71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témoin</w:t>
            </w:r>
          </w:p>
        </w:tc>
      </w:tr>
      <w:tr w:rsidR="00A70B78" w:rsidRPr="007C6A42" w14:paraId="002D40CC"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41B64A9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0957964A"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le témoin</w:t>
            </w:r>
          </w:p>
        </w:tc>
      </w:tr>
      <w:tr w:rsidR="00A70B78" w:rsidRPr="007C6A42" w14:paraId="5E4FEF4D" w14:textId="77777777" w:rsidTr="00AF4FC9">
        <w:trPr>
          <w:trHeight w:val="270"/>
          <w:jc w:val="center"/>
        </w:trPr>
        <w:tc>
          <w:tcPr>
            <w:tcW w:w="1984" w:type="dxa"/>
            <w:tcBorders>
              <w:top w:val="single" w:sz="4" w:space="0" w:color="auto"/>
              <w:left w:val="single" w:sz="4" w:space="0" w:color="auto"/>
              <w:bottom w:val="single" w:sz="4" w:space="0" w:color="auto"/>
              <w:right w:val="single" w:sz="4" w:space="0" w:color="auto"/>
            </w:tcBorders>
          </w:tcPr>
          <w:p w14:paraId="631B702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2EAA8227"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Témoin</w:t>
            </w:r>
          </w:p>
        </w:tc>
      </w:tr>
      <w:tr w:rsidR="00A70B78" w:rsidRPr="007C6A42" w14:paraId="4CE2308F"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3B9C54B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776A87A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l’unique témoin</w:t>
            </w:r>
          </w:p>
        </w:tc>
      </w:tr>
      <w:tr w:rsidR="00A70B78" w:rsidRPr="007C6A42" w14:paraId="2DFDBB3D"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1C6DCE9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3B9A6AB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Témoin</w:t>
            </w:r>
          </w:p>
        </w:tc>
      </w:tr>
      <w:tr w:rsidR="00A70B78" w:rsidRPr="007C6A42" w14:paraId="70A2E6A5"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7A04E02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281960C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témoin</w:t>
            </w:r>
          </w:p>
        </w:tc>
      </w:tr>
      <w:tr w:rsidR="00A70B78" w:rsidRPr="007C6A42" w14:paraId="2EFABCF3"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347729C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5A8B59A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témoin</w:t>
            </w:r>
          </w:p>
        </w:tc>
      </w:tr>
      <w:tr w:rsidR="00A70B78" w:rsidRPr="007C6A42" w14:paraId="7A64C0E3"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642F7DF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0D00FFD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témoin</w:t>
            </w:r>
          </w:p>
        </w:tc>
      </w:tr>
      <w:tr w:rsidR="00A70B78" w:rsidRPr="007C6A42" w14:paraId="2CF8E92A"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0648AB1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2CD972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Témoin</w:t>
            </w:r>
          </w:p>
        </w:tc>
      </w:tr>
      <w:tr w:rsidR="00A70B78" w:rsidRPr="007C6A42" w14:paraId="536C2AF4" w14:textId="77777777" w:rsidTr="00AF4FC9">
        <w:trPr>
          <w:jc w:val="center"/>
        </w:trPr>
        <w:tc>
          <w:tcPr>
            <w:tcW w:w="1984" w:type="dxa"/>
            <w:tcBorders>
              <w:top w:val="single" w:sz="4" w:space="0" w:color="auto"/>
              <w:left w:val="single" w:sz="4" w:space="0" w:color="auto"/>
              <w:bottom w:val="single" w:sz="4" w:space="0" w:color="auto"/>
              <w:right w:val="single" w:sz="4" w:space="0" w:color="auto"/>
            </w:tcBorders>
          </w:tcPr>
          <w:p w14:paraId="6415A99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2E176AE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Témoin</w:t>
            </w:r>
          </w:p>
        </w:tc>
      </w:tr>
    </w:tbl>
    <w:p w14:paraId="77B8BE16" w14:textId="77777777" w:rsidR="00A70B78" w:rsidRPr="007C6A42" w:rsidRDefault="00A70B78" w:rsidP="00A70B78">
      <w:pPr>
        <w:spacing w:line="360" w:lineRule="auto"/>
        <w:jc w:val="both"/>
        <w:rPr>
          <w:rFonts w:asciiTheme="majorBidi" w:eastAsia="Times New Roman" w:hAnsiTheme="majorBidi" w:cstheme="majorBidi"/>
        </w:rPr>
      </w:pPr>
    </w:p>
    <w:p w14:paraId="05613DF8" w14:textId="77777777" w:rsidR="00A70B78" w:rsidRPr="007C6A42" w:rsidRDefault="00A70B78" w:rsidP="00A70B78">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-3-</w:t>
      </w:r>
    </w:p>
    <w:p w14:paraId="7E92FCD3" w14:textId="77777777" w:rsidR="00A70B78" w:rsidRPr="007C6A42" w:rsidRDefault="00A70B78" w:rsidP="00A70B78">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 xml:space="preserve">Traduction des noms </w:t>
      </w:r>
      <w:r w:rsidRPr="007C6A42">
        <w:rPr>
          <w:rFonts w:asciiTheme="majorBidi" w:eastAsia="Times New Roman" w:hAnsiTheme="majorBidi" w:cstheme="majorBidi"/>
          <w:b/>
          <w:bCs/>
          <w:i/>
          <w:iCs/>
        </w:rPr>
        <w:t>qawyyun</w:t>
      </w:r>
      <w:r w:rsidRPr="007C6A42">
        <w:rPr>
          <w:rFonts w:asciiTheme="majorBidi" w:eastAsia="Times New Roman" w:hAnsiTheme="majorBidi" w:cstheme="majorBidi"/>
          <w:b/>
          <w:bCs/>
          <w:i/>
          <w:iCs/>
          <w:vertAlign w:val="superscript"/>
        </w:rPr>
        <w:t xml:space="preserve"> </w:t>
      </w:r>
      <w:r w:rsidRPr="007C6A42">
        <w:rPr>
          <w:rFonts w:asciiTheme="majorBidi" w:eastAsia="Times New Roman" w:hAnsiTheme="majorBidi" w:cstheme="majorBidi"/>
          <w:b/>
          <w:bCs/>
          <w:i/>
          <w:iCs/>
        </w:rPr>
        <w:t>ʿazīz</w:t>
      </w:r>
      <w:r w:rsidRPr="007C6A42">
        <w:rPr>
          <w:rFonts w:asciiTheme="majorBidi" w:eastAsia="Times New Roman" w:hAnsiTheme="majorBidi" w:cstheme="majorBidi"/>
          <w:b/>
          <w:bCs/>
        </w:rPr>
        <w:t xml:space="preserve"> (v. 40 &amp; 74) :</w:t>
      </w:r>
    </w:p>
    <w:p w14:paraId="67FA3185" w14:textId="77777777" w:rsidR="00A70B78" w:rsidRPr="007C6A42" w:rsidRDefault="00A70B78" w:rsidP="00A70B78">
      <w:pPr>
        <w:spacing w:line="360" w:lineRule="auto"/>
        <w:ind w:firstLine="284"/>
        <w:jc w:val="both"/>
        <w:rPr>
          <w:rFonts w:asciiTheme="majorBidi" w:eastAsia="Times New Roman" w:hAnsiTheme="majorBidi" w:cstheme="majorBidi"/>
        </w:rPr>
      </w:pPr>
      <w:r w:rsidRPr="007C6A42">
        <w:rPr>
          <w:rFonts w:asciiTheme="majorBidi" w:eastAsia="Times New Roman" w:hAnsiTheme="majorBidi" w:cstheme="majorBidi"/>
        </w:rPr>
        <w:t xml:space="preserve">Le nom de Dieu </w:t>
      </w:r>
      <w:r w:rsidRPr="007C6A42">
        <w:rPr>
          <w:rFonts w:asciiTheme="majorBidi" w:eastAsia="Times New Roman" w:hAnsiTheme="majorBidi" w:cstheme="majorBidi"/>
          <w:i/>
          <w:iCs/>
        </w:rPr>
        <w:t>qawyy</w:t>
      </w:r>
      <w:r w:rsidRPr="007C6A42">
        <w:rPr>
          <w:rFonts w:asciiTheme="majorBidi" w:eastAsia="Times New Roman" w:hAnsiTheme="majorBidi" w:cstheme="majorBidi"/>
        </w:rPr>
        <w:t>, adjectif assimilé au participe actif (</w:t>
      </w:r>
      <w:r w:rsidRPr="007C6A42">
        <w:rPr>
          <w:rFonts w:asciiTheme="majorBidi" w:eastAsia="Times New Roman" w:hAnsiTheme="majorBidi" w:cstheme="majorBidi"/>
          <w:i/>
          <w:iCs/>
        </w:rPr>
        <w:t>ṣifa mushabbaha bi-sm al-fāʿil</w:t>
      </w:r>
      <w:r w:rsidRPr="007C6A42">
        <w:rPr>
          <w:rFonts w:asciiTheme="majorBidi" w:eastAsia="Times New Roman" w:hAnsiTheme="majorBidi" w:cstheme="majorBidi"/>
        </w:rPr>
        <w:t>), est rendu en français par : 1) un adjectif : « très-fort », « fort », « puissant » « Tout-Fort » ; 2) un substantif : « toute force » ; 3) une phrase : « </w:t>
      </w:r>
      <w:r w:rsidRPr="007C6A42">
        <w:rPr>
          <w:rFonts w:asciiTheme="majorBidi" w:hAnsiTheme="majorBidi" w:cstheme="majorBidi"/>
        </w:rPr>
        <w:t xml:space="preserve">la force et la puissance de Dieu n’ont point de limite », là où il y a une clarification et un allongement, ce qui rapproche la traduction de l’exégèse. Guessous ajoute des syntagmes de mots redondants pour obtenir une assonance (« en vérité », « par bonheur »).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41C3B218" w14:textId="77777777" w:rsidTr="00AF4FC9">
        <w:trPr>
          <w:jc w:val="center"/>
        </w:trPr>
        <w:tc>
          <w:tcPr>
            <w:tcW w:w="6604" w:type="dxa"/>
            <w:gridSpan w:val="2"/>
            <w:tcBorders>
              <w:top w:val="nil"/>
              <w:left w:val="single" w:sz="4" w:space="0" w:color="auto"/>
              <w:bottom w:val="single" w:sz="4" w:space="0" w:color="auto"/>
              <w:right w:val="single" w:sz="4" w:space="0" w:color="auto"/>
            </w:tcBorders>
          </w:tcPr>
          <w:p w14:paraId="044AB9B9"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Pr>
              <w:t>« </w:t>
            </w:r>
            <w:r w:rsidRPr="007C6A42">
              <w:rPr>
                <w:rFonts w:asciiTheme="majorBidi" w:eastAsia="Times New Roman" w:hAnsiTheme="majorBidi" w:cstheme="majorBidi"/>
                <w:rtl/>
              </w:rPr>
              <w:t>قوي عزيز</w:t>
            </w:r>
            <w:r w:rsidRPr="007C6A42">
              <w:rPr>
                <w:rFonts w:asciiTheme="majorBidi" w:eastAsia="Times New Roman" w:hAnsiTheme="majorBidi" w:cstheme="majorBidi"/>
              </w:rPr>
              <w:t> » (v. 40 &amp; 74)</w:t>
            </w:r>
          </w:p>
        </w:tc>
      </w:tr>
      <w:tr w:rsidR="00A70B78" w:rsidRPr="007C6A42" w14:paraId="3ED5B86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B940BE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499A485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tres-fort &amp; tres-puiʃʃant</w:t>
            </w:r>
          </w:p>
        </w:tc>
      </w:tr>
      <w:tr w:rsidR="00A70B78" w:rsidRPr="007C6A42" w14:paraId="49F7642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810F56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2DA2648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 fort et puissant (40)  / puissant et dominateur (74)</w:t>
            </w:r>
          </w:p>
        </w:tc>
      </w:tr>
      <w:tr w:rsidR="00A70B78" w:rsidRPr="007C6A42" w14:paraId="4C711B3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2CA5FE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18CEB136"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fort et puissant</w:t>
            </w:r>
          </w:p>
        </w:tc>
      </w:tr>
      <w:tr w:rsidR="00A70B78" w:rsidRPr="007C6A42" w14:paraId="35829C9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A2EDCF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62DF8F20" w14:textId="77777777" w:rsidR="00A70B78" w:rsidRPr="007C6A42" w:rsidRDefault="00A70B78" w:rsidP="00AF4FC9">
            <w:pPr>
              <w:spacing w:line="360" w:lineRule="auto"/>
              <w:jc w:val="both"/>
              <w:rPr>
                <w:rFonts w:asciiTheme="majorBidi" w:eastAsia="Times New Roman" w:hAnsiTheme="majorBidi" w:cstheme="majorBidi"/>
                <w:iCs/>
              </w:rPr>
            </w:pPr>
            <w:r w:rsidRPr="007C6A42">
              <w:rPr>
                <w:rFonts w:asciiTheme="majorBidi" w:hAnsiTheme="majorBidi" w:cstheme="majorBidi"/>
                <w:iCs/>
              </w:rPr>
              <w:t>fort et puissant</w:t>
            </w:r>
          </w:p>
        </w:tc>
      </w:tr>
      <w:tr w:rsidR="00A70B78" w:rsidRPr="007C6A42" w14:paraId="5C51691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EBDF7C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08D7DD4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  [Ø]  (40) / </w:t>
            </w:r>
            <w:r w:rsidRPr="007C6A42">
              <w:rPr>
                <w:rFonts w:asciiTheme="majorBidi" w:hAnsiTheme="majorBidi" w:cstheme="majorBidi"/>
              </w:rPr>
              <w:t>fort et puissant (74)</w:t>
            </w:r>
          </w:p>
        </w:tc>
      </w:tr>
      <w:tr w:rsidR="00A70B78" w:rsidRPr="007C6A42" w14:paraId="7CBCE45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A38EE2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3514DF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fort, puissant</w:t>
            </w:r>
          </w:p>
        </w:tc>
      </w:tr>
      <w:tr w:rsidR="00A70B78" w:rsidRPr="007C6A42" w14:paraId="73023CD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5918EE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B. M. (1962)</w:t>
            </w:r>
          </w:p>
        </w:tc>
        <w:tc>
          <w:tcPr>
            <w:tcW w:w="4580" w:type="dxa"/>
            <w:tcBorders>
              <w:top w:val="single" w:sz="4" w:space="0" w:color="auto"/>
              <w:left w:val="single" w:sz="4" w:space="0" w:color="auto"/>
              <w:bottom w:val="single" w:sz="4" w:space="0" w:color="auto"/>
              <w:right w:val="single" w:sz="4" w:space="0" w:color="auto"/>
            </w:tcBorders>
          </w:tcPr>
          <w:p w14:paraId="6C256E3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est toute force et toute gloire</w:t>
            </w:r>
          </w:p>
        </w:tc>
      </w:tr>
      <w:tr w:rsidR="00A70B78" w:rsidRPr="007C6A42" w14:paraId="719799C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7E631D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151214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fort et puissant</w:t>
            </w:r>
          </w:p>
        </w:tc>
      </w:tr>
      <w:tr w:rsidR="00A70B78" w:rsidRPr="007C6A42" w14:paraId="564C5CE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FF422F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33EE415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fort et puissant</w:t>
            </w:r>
          </w:p>
        </w:tc>
      </w:tr>
      <w:tr w:rsidR="00A70B78" w:rsidRPr="007C6A42" w14:paraId="2718C8D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A94BE4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47551BD0"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puissant, intransigeant (40) / le Puissant, l’Intransigeant (74)</w:t>
            </w:r>
          </w:p>
        </w:tc>
      </w:tr>
      <w:tr w:rsidR="00A70B78" w:rsidRPr="007C6A42" w14:paraId="68969A75"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7CDE99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02A0A996"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Fort, Tout-Puissant</w:t>
            </w:r>
          </w:p>
        </w:tc>
      </w:tr>
      <w:tr w:rsidR="00A70B78" w:rsidRPr="007C6A42" w14:paraId="1399A70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4B078D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31187DA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puissant et fort en vérité (40) / fort et puissant par bonheur (74)</w:t>
            </w:r>
          </w:p>
        </w:tc>
      </w:tr>
      <w:tr w:rsidR="00A70B78" w:rsidRPr="007C6A42" w14:paraId="3BC6383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8A9308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5DB6757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la force et la puissance de Dieu n’ont point de limite (40) / Fort et Puissant (74)</w:t>
            </w:r>
          </w:p>
        </w:tc>
      </w:tr>
      <w:tr w:rsidR="00A70B78" w:rsidRPr="007C6A42" w14:paraId="6F3796B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668C5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7F22A59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Fort et Puissant</w:t>
            </w:r>
          </w:p>
        </w:tc>
      </w:tr>
      <w:tr w:rsidR="00A70B78" w:rsidRPr="007C6A42" w14:paraId="3D80843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29D532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288CD2D2"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fort et fier</w:t>
            </w:r>
          </w:p>
        </w:tc>
      </w:tr>
      <w:tr w:rsidR="00A70B78" w:rsidRPr="007C6A42" w14:paraId="22C51F9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65D78E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4AF48CA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fort et puissant</w:t>
            </w:r>
          </w:p>
        </w:tc>
      </w:tr>
      <w:tr w:rsidR="00A70B78" w:rsidRPr="007C6A42" w14:paraId="3686A64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F58ADE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08155C6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Fort, Invincible (40) / Tout-Fort, Invincible (74)</w:t>
            </w:r>
          </w:p>
        </w:tc>
      </w:tr>
      <w:tr w:rsidR="00A70B78" w:rsidRPr="007C6A42" w14:paraId="0E31AD5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6A5908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78A5DD8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Fort et Tout-Puissant</w:t>
            </w:r>
          </w:p>
        </w:tc>
      </w:tr>
    </w:tbl>
    <w:p w14:paraId="22D395C9" w14:textId="77777777" w:rsidR="00A70B78" w:rsidRPr="007C6A42" w:rsidRDefault="00A70B78" w:rsidP="00A70B78">
      <w:pPr>
        <w:spacing w:line="360" w:lineRule="auto"/>
        <w:jc w:val="both"/>
        <w:rPr>
          <w:rFonts w:asciiTheme="majorBidi" w:eastAsia="Times New Roman" w:hAnsiTheme="majorBidi" w:cstheme="majorBidi"/>
        </w:rPr>
      </w:pPr>
    </w:p>
    <w:p w14:paraId="2A25F5D2"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rPr>
        <w:t>« </w:t>
      </w:r>
      <w:r w:rsidRPr="007C6A42">
        <w:rPr>
          <w:rFonts w:asciiTheme="majorBidi" w:eastAsia="Times New Roman" w:hAnsiTheme="majorBidi" w:cstheme="majorBidi"/>
          <w:i/>
          <w:iCs/>
        </w:rPr>
        <w:t>ʿazīz</w:t>
      </w:r>
      <w:r w:rsidRPr="007C6A42">
        <w:rPr>
          <w:rFonts w:asciiTheme="majorBidi" w:eastAsia="Times New Roman" w:hAnsiTheme="majorBidi" w:cstheme="majorBidi"/>
        </w:rPr>
        <w:t xml:space="preserve"> » </w:t>
      </w:r>
      <w:r w:rsidRPr="007C6A42">
        <w:rPr>
          <w:rFonts w:asciiTheme="majorBidi" w:hAnsiTheme="majorBidi" w:cstheme="majorBidi"/>
        </w:rPr>
        <w:t xml:space="preserve">est traduit par : « très-puissant », « Tout-Puissant », « puissant » (minus. ou maj.) , « dominateur », </w:t>
      </w:r>
      <w:r w:rsidRPr="007C6A42">
        <w:rPr>
          <w:rFonts w:asciiTheme="majorBidi" w:eastAsia="Times New Roman" w:hAnsiTheme="majorBidi" w:cstheme="majorBidi"/>
        </w:rPr>
        <w:t xml:space="preserve">« toute gloire », </w:t>
      </w:r>
      <w:r w:rsidRPr="007C6A42">
        <w:rPr>
          <w:rFonts w:asciiTheme="majorBidi" w:hAnsiTheme="majorBidi" w:cstheme="majorBidi"/>
        </w:rPr>
        <w:t>« </w:t>
      </w:r>
      <w:r w:rsidRPr="007C6A42">
        <w:rPr>
          <w:rFonts w:asciiTheme="majorBidi" w:eastAsia="Times New Roman" w:hAnsiTheme="majorBidi" w:cstheme="majorBidi"/>
        </w:rPr>
        <w:t>intransigeant », « fier », « Invincible ». Les traductions de Chouraqui (</w:t>
      </w:r>
      <w:r w:rsidRPr="007C6A42">
        <w:rPr>
          <w:rFonts w:asciiTheme="majorBidi" w:hAnsiTheme="majorBidi" w:cstheme="majorBidi"/>
        </w:rPr>
        <w:t>« </w:t>
      </w:r>
      <w:r w:rsidRPr="007C6A42">
        <w:rPr>
          <w:rFonts w:asciiTheme="majorBidi" w:eastAsia="Times New Roman" w:hAnsiTheme="majorBidi" w:cstheme="majorBidi"/>
        </w:rPr>
        <w:t>intransigeant »,) et Aldeeb (« fier ») s’écartent de l’exégèse musulmane. Notons que Ghédira a omis ces deux noms du verset 40, peut-être par inadvertance.</w:t>
      </w:r>
    </w:p>
    <w:p w14:paraId="0D543CCE"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Ainsi, la plupart des traducteurs (14 sur 18) utilisent des termes afférents à la puissance, faisant de </w:t>
      </w:r>
      <w:r w:rsidRPr="007C6A42">
        <w:rPr>
          <w:rFonts w:asciiTheme="majorBidi" w:eastAsia="Times New Roman" w:hAnsiTheme="majorBidi" w:cstheme="majorBidi"/>
          <w:i/>
        </w:rPr>
        <w:t>ʿ</w:t>
      </w:r>
      <w:r w:rsidRPr="007C6A42">
        <w:rPr>
          <w:rFonts w:asciiTheme="majorBidi" w:eastAsia="Times New Roman" w:hAnsiTheme="majorBidi" w:cstheme="majorBidi"/>
          <w:i/>
          <w:iCs/>
        </w:rPr>
        <w:t>azīz</w:t>
      </w:r>
      <w:r w:rsidRPr="007C6A42">
        <w:rPr>
          <w:rFonts w:asciiTheme="majorBidi" w:eastAsia="Times New Roman" w:hAnsiTheme="majorBidi" w:cstheme="majorBidi"/>
          <w:i/>
        </w:rPr>
        <w:t> </w:t>
      </w:r>
      <w:r w:rsidRPr="007C6A42">
        <w:rPr>
          <w:rFonts w:asciiTheme="majorBidi" w:eastAsia="Times New Roman" w:hAnsiTheme="majorBidi" w:cstheme="majorBidi"/>
        </w:rPr>
        <w:t>un quasi synonyme de </w:t>
      </w:r>
      <w:r w:rsidRPr="007C6A42">
        <w:rPr>
          <w:rFonts w:asciiTheme="majorBidi" w:eastAsia="Times New Roman" w:hAnsiTheme="majorBidi" w:cstheme="majorBidi"/>
          <w:i/>
          <w:iCs/>
        </w:rPr>
        <w:t>qawyy</w:t>
      </w:r>
      <w:r w:rsidRPr="007C6A42">
        <w:rPr>
          <w:rFonts w:asciiTheme="majorBidi" w:eastAsia="Times New Roman" w:hAnsiTheme="majorBidi" w:cstheme="majorBidi"/>
        </w:rPr>
        <w:t xml:space="preserve">. Or le champ sémantique du terme arabe contient d’autres traits tels : « inaccessible », « vainqueur », « vengeur », « celui qui ne peut pas être humilié ». Ces traits ne se voient pas dans les traductions. Ibn Kathīr écrit à propos de </w:t>
      </w:r>
      <w:r w:rsidRPr="007C6A42">
        <w:rPr>
          <w:rFonts w:asciiTheme="majorBidi" w:eastAsia="Times New Roman" w:hAnsiTheme="majorBidi" w:cstheme="majorBidi"/>
          <w:i/>
          <w:iCs/>
        </w:rPr>
        <w:t>ʿazīz</w:t>
      </w:r>
      <w:r w:rsidRPr="007C6A42">
        <w:rPr>
          <w:rFonts w:asciiTheme="majorBidi" w:eastAsia="Times New Roman" w:hAnsiTheme="majorBidi" w:cstheme="majorBidi"/>
        </w:rPr>
        <w:t> : « </w:t>
      </w:r>
      <w:r w:rsidRPr="007C6A42">
        <w:rPr>
          <w:rFonts w:asciiTheme="majorBidi" w:eastAsia="Times New Roman" w:hAnsiTheme="majorBidi" w:cstheme="majorBidi"/>
          <w:rtl/>
        </w:rPr>
        <w:t xml:space="preserve">فبِعِزَّتِه [...] </w:t>
      </w:r>
      <w:r w:rsidRPr="007C6A42">
        <w:rPr>
          <w:rFonts w:asciiTheme="majorBidi" w:eastAsia="Times New Roman" w:hAnsiTheme="majorBidi" w:cstheme="majorBidi"/>
          <w:shd w:val="clear" w:color="auto" w:fill="FFFFFF"/>
          <w:rtl/>
        </w:rPr>
        <w:t>كلُّ شيء ذليلٌ لديه، فقير إليه. ومَن كان القويُّ العزيزُ ناصرَه فهو المنصورُ، وعدوُّه هو المقهور</w:t>
      </w:r>
      <w:r w:rsidRPr="007C6A42">
        <w:rPr>
          <w:rFonts w:asciiTheme="majorBidi" w:eastAsia="Times New Roman" w:hAnsiTheme="majorBidi" w:cstheme="majorBidi"/>
        </w:rPr>
        <w:t xml:space="preserve"> » </w:t>
      </w:r>
      <w:r w:rsidRPr="007C6A42">
        <w:rPr>
          <w:rFonts w:asciiTheme="majorBidi" w:hAnsiTheme="majorBidi" w:cstheme="majorBidi"/>
        </w:rPr>
        <w:t xml:space="preserve">[« Par sa </w:t>
      </w:r>
      <w:r w:rsidRPr="007C6A42">
        <w:rPr>
          <w:rFonts w:asciiTheme="majorBidi" w:eastAsia="Times New Roman" w:hAnsiTheme="majorBidi" w:cstheme="majorBidi"/>
          <w:i/>
          <w:iCs/>
        </w:rPr>
        <w:t>ʿizza</w:t>
      </w:r>
      <w:r w:rsidRPr="007C6A42">
        <w:rPr>
          <w:rFonts w:asciiTheme="majorBidi" w:eastAsia="Times New Roman" w:hAnsiTheme="majorBidi" w:cstheme="majorBidi"/>
        </w:rPr>
        <w:t>, t</w:t>
      </w:r>
      <w:r w:rsidRPr="007C6A42">
        <w:rPr>
          <w:rFonts w:asciiTheme="majorBidi" w:hAnsiTheme="majorBidi" w:cstheme="majorBidi"/>
        </w:rPr>
        <w:t xml:space="preserve">out être est humilié devant Lui, a besoin de Lui. Et celui que le </w:t>
      </w:r>
      <w:r w:rsidRPr="007C6A42">
        <w:rPr>
          <w:rFonts w:asciiTheme="majorBidi" w:eastAsia="Times New Roman" w:hAnsiTheme="majorBidi" w:cstheme="majorBidi"/>
          <w:i/>
          <w:iCs/>
        </w:rPr>
        <w:t>Qawyy</w:t>
      </w:r>
      <w:r w:rsidRPr="007C6A42">
        <w:rPr>
          <w:rFonts w:asciiTheme="majorBidi" w:eastAsia="Times New Roman" w:hAnsiTheme="majorBidi" w:cstheme="majorBidi"/>
        </w:rPr>
        <w:t xml:space="preserve">, le </w:t>
      </w:r>
      <w:r w:rsidRPr="007C6A42">
        <w:rPr>
          <w:rFonts w:asciiTheme="majorBidi" w:eastAsia="Times New Roman" w:hAnsiTheme="majorBidi" w:cstheme="majorBidi"/>
          <w:i/>
          <w:iCs/>
        </w:rPr>
        <w:t>ʿAzīz</w:t>
      </w:r>
      <w:r w:rsidRPr="007C6A42">
        <w:rPr>
          <w:rFonts w:asciiTheme="majorBidi" w:eastAsia="Times New Roman" w:hAnsiTheme="majorBidi" w:cstheme="majorBidi"/>
        </w:rPr>
        <w:t xml:space="preserve"> secourt est le vainqueur et son ennemi est le vaincu »</w:t>
      </w:r>
      <w:r w:rsidRPr="007C6A42">
        <w:rPr>
          <w:rFonts w:asciiTheme="majorBidi" w:hAnsiTheme="majorBidi" w:cstheme="majorBidi"/>
        </w:rPr>
        <w:t>]. La victoire de l’allié de ce nom et l’humiliation de l’adversaire sont essentielles dans la lecture arabe du Coran mais moins présentes dans ses traductions.</w:t>
      </w:r>
    </w:p>
    <w:p w14:paraId="73AD5132"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p>
    <w:p w14:paraId="5B10EB5D" w14:textId="77777777" w:rsidR="00A70B78" w:rsidRPr="007C6A42" w:rsidRDefault="00A70B78" w:rsidP="00A70B78">
      <w:pPr>
        <w:spacing w:line="360" w:lineRule="auto"/>
        <w:ind w:left="360"/>
        <w:contextualSpacing/>
        <w:jc w:val="center"/>
        <w:rPr>
          <w:rFonts w:asciiTheme="majorBidi" w:hAnsiTheme="majorBidi" w:cstheme="majorBidi"/>
          <w:b/>
          <w:bCs/>
          <w:shd w:val="clear" w:color="auto" w:fill="FFFFFF"/>
          <w:lang w:bidi="ar-KW"/>
        </w:rPr>
      </w:pPr>
      <w:r w:rsidRPr="007C6A42">
        <w:rPr>
          <w:rFonts w:asciiTheme="majorBidi" w:hAnsiTheme="majorBidi" w:cstheme="majorBidi"/>
          <w:b/>
          <w:bCs/>
          <w:shd w:val="clear" w:color="auto" w:fill="FFFFFF"/>
          <w:lang w:bidi="ar-KW"/>
        </w:rPr>
        <w:lastRenderedPageBreak/>
        <w:t>-4-</w:t>
      </w:r>
    </w:p>
    <w:p w14:paraId="332246E5" w14:textId="77777777" w:rsidR="00A70B78" w:rsidRPr="007C6A42" w:rsidRDefault="00A70B78" w:rsidP="00A70B78">
      <w:pPr>
        <w:spacing w:line="360" w:lineRule="auto"/>
        <w:ind w:left="360"/>
        <w:contextualSpacing/>
        <w:jc w:val="center"/>
        <w:rPr>
          <w:rFonts w:asciiTheme="majorBidi" w:hAnsiTheme="majorBidi" w:cstheme="majorBidi"/>
          <w:b/>
          <w:bCs/>
          <w:shd w:val="clear" w:color="auto" w:fill="FFFFFF"/>
          <w:lang w:bidi="ar-KW"/>
        </w:rPr>
      </w:pPr>
      <w:r w:rsidRPr="007C6A42">
        <w:rPr>
          <w:rFonts w:asciiTheme="majorBidi" w:hAnsiTheme="majorBidi" w:cstheme="majorBidi"/>
          <w:b/>
          <w:bCs/>
          <w:shd w:val="clear" w:color="auto" w:fill="FFFFFF"/>
          <w:lang w:bidi="ar-KW"/>
        </w:rPr>
        <w:t xml:space="preserve">Traduction </w:t>
      </w:r>
      <w:r w:rsidRPr="007C6A42">
        <w:rPr>
          <w:rFonts w:asciiTheme="majorBidi" w:hAnsiTheme="majorBidi" w:cstheme="majorBidi"/>
          <w:b/>
          <w:bCs/>
          <w:lang w:bidi="ar-KW"/>
        </w:rPr>
        <w:t xml:space="preserve">des noms de Dieu </w:t>
      </w:r>
      <w:r w:rsidRPr="007C6A42">
        <w:rPr>
          <w:rFonts w:asciiTheme="majorBidi" w:hAnsiTheme="majorBidi" w:cstheme="majorBidi"/>
          <w:b/>
          <w:bCs/>
          <w:i/>
          <w:iCs/>
        </w:rPr>
        <w:t>ʿ</w:t>
      </w:r>
      <w:r w:rsidRPr="007C6A42">
        <w:rPr>
          <w:rFonts w:asciiTheme="majorBidi" w:hAnsiTheme="majorBidi" w:cstheme="majorBidi"/>
          <w:b/>
          <w:bCs/>
          <w:i/>
          <w:iCs/>
          <w:lang w:bidi="ar-KW"/>
        </w:rPr>
        <w:t>alīm</w:t>
      </w:r>
      <w:r w:rsidRPr="007C6A42">
        <w:rPr>
          <w:rFonts w:asciiTheme="majorBidi" w:hAnsiTheme="majorBidi" w:cstheme="majorBidi"/>
          <w:b/>
          <w:bCs/>
          <w:lang w:bidi="ar-KW"/>
        </w:rPr>
        <w:t xml:space="preserve"> </w:t>
      </w:r>
      <w:r w:rsidRPr="007C6A42">
        <w:rPr>
          <w:rFonts w:asciiTheme="majorBidi" w:hAnsiTheme="majorBidi" w:cstheme="majorBidi"/>
          <w:b/>
          <w:bCs/>
          <w:i/>
          <w:iCs/>
          <w:lang w:bidi="ar-KW"/>
        </w:rPr>
        <w:t>ḥakīm</w:t>
      </w:r>
      <w:r w:rsidRPr="007C6A42">
        <w:rPr>
          <w:rFonts w:asciiTheme="majorBidi" w:hAnsiTheme="majorBidi" w:cstheme="majorBidi"/>
          <w:b/>
          <w:bCs/>
          <w:lang w:bidi="ar-KW"/>
        </w:rPr>
        <w:t xml:space="preserve"> (v. 52) :</w:t>
      </w:r>
    </w:p>
    <w:p w14:paraId="45069F8D" w14:textId="77777777" w:rsidR="00A70B78" w:rsidRPr="007C6A42" w:rsidRDefault="00A70B78" w:rsidP="00A70B78">
      <w:pPr>
        <w:spacing w:line="360" w:lineRule="auto"/>
        <w:ind w:left="360" w:firstLine="360"/>
        <w:contextualSpacing/>
        <w:jc w:val="both"/>
        <w:rPr>
          <w:rFonts w:asciiTheme="majorBidi" w:hAnsiTheme="majorBidi" w:cstheme="majorBidi"/>
        </w:rPr>
      </w:pPr>
      <w:r w:rsidRPr="007C6A42">
        <w:rPr>
          <w:rFonts w:asciiTheme="majorBidi" w:hAnsiTheme="majorBidi" w:cstheme="majorBidi"/>
          <w:shd w:val="clear" w:color="auto" w:fill="FFFFFF"/>
        </w:rPr>
        <w:t xml:space="preserve">Du Ryer a omis ces deux noms qui prennent la forme intensive </w:t>
      </w:r>
      <w:r w:rsidRPr="007C6A42">
        <w:rPr>
          <w:rFonts w:asciiTheme="majorBidi" w:hAnsiTheme="majorBidi" w:cstheme="majorBidi"/>
          <w:i/>
          <w:iCs/>
          <w:shd w:val="clear" w:color="auto" w:fill="FFFFFF"/>
        </w:rPr>
        <w:t>faʿīl</w:t>
      </w:r>
      <w:r w:rsidRPr="007C6A42">
        <w:rPr>
          <w:rFonts w:asciiTheme="majorBidi" w:hAnsiTheme="majorBidi" w:cstheme="majorBidi"/>
          <w:shd w:val="clear" w:color="auto" w:fill="FFFFFF"/>
        </w:rPr>
        <w:t xml:space="preserve"> (</w:t>
      </w:r>
      <w:r w:rsidRPr="007C6A42">
        <w:rPr>
          <w:rFonts w:asciiTheme="majorBidi" w:hAnsiTheme="majorBidi" w:cstheme="majorBidi"/>
          <w:shd w:val="clear" w:color="auto" w:fill="FFFFFF"/>
          <w:rtl/>
        </w:rPr>
        <w:t>صيغة المبالَغة : "فعيل"</w:t>
      </w:r>
      <w:r w:rsidRPr="007C6A42">
        <w:rPr>
          <w:rFonts w:asciiTheme="majorBidi" w:hAnsiTheme="majorBidi" w:cstheme="majorBidi"/>
          <w:shd w:val="clear" w:color="auto" w:fill="FFFFFF"/>
        </w:rPr>
        <w:t xml:space="preserve">). Le nom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w:t>
      </w:r>
      <w:r w:rsidRPr="007C6A42">
        <w:rPr>
          <w:rFonts w:asciiTheme="majorBidi" w:hAnsiTheme="majorBidi" w:cstheme="majorBidi"/>
          <w:shd w:val="clear" w:color="auto" w:fill="FFFFFF"/>
        </w:rPr>
        <w:t xml:space="preserve">est rendu par : « savant » (6 fois), « omniscient » (minus. ou maj.) (5 fois), « celui qui sait » (2 fois), « Dieu sait » (1 fois), « connaisseur » (minus. ou maj.) (2 fois), « Tout-Scient » (1 fois). Traduire un nom par une proposition relative (« celui qui sait ») ou par une phrase (« Dieu sait ») c’est le modifier de point de vue rythmique et sémantique. En outre, traduire un mot en forme morphologique intensive (qualifiant le plus souvent Dieu) par un adjectif commun et générique (comme « savant » et « connaisseur ») c’est balayer toute l’imagerie religieuse musulmane. La valeur sémantique, suggestive et connotative de « savant » et de « connaisseur » n’est pas comme celle de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Le mot « savant » dénote principalement celui qui </w:t>
      </w:r>
      <w:r w:rsidRPr="007C6A42">
        <w:rPr>
          <w:rFonts w:asciiTheme="majorBidi" w:eastAsia="Times New Roman" w:hAnsiTheme="majorBidi" w:cstheme="majorBidi"/>
        </w:rPr>
        <w:t>a des connaissances étendues dans divers domaines (ou dans une discipline particulière) ou bien un animal que l’on a dressé à exécuter certains tours ou exercices.</w:t>
      </w:r>
      <w:r w:rsidRPr="007C6A42">
        <w:rPr>
          <w:rStyle w:val="Appelnotedebasdep"/>
          <w:rFonts w:asciiTheme="majorBidi" w:hAnsiTheme="majorBidi" w:cstheme="majorBidi"/>
        </w:rPr>
        <w:footnoteReference w:id="523"/>
      </w:r>
      <w:r w:rsidRPr="007C6A42">
        <w:rPr>
          <w:rFonts w:asciiTheme="majorBidi" w:eastAsia="Times New Roman" w:hAnsiTheme="majorBidi" w:cstheme="majorBidi"/>
        </w:rPr>
        <w:t xml:space="preserve"> Toutefois, le mot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dénote essentiellement Dieu omniscient et ne fait penser qu’à Dieu. </w:t>
      </w:r>
      <w:r w:rsidRPr="007C6A42">
        <w:rPr>
          <w:rFonts w:asciiTheme="majorBidi" w:hAnsiTheme="majorBidi" w:cstheme="majorBidi"/>
          <w:i/>
          <w:iCs/>
          <w:lang w:bidi="ar-KW"/>
        </w:rPr>
        <w:t>Allāh</w:t>
      </w:r>
      <w:r w:rsidRPr="007C6A42">
        <w:rPr>
          <w:rFonts w:asciiTheme="majorBidi" w:hAnsiTheme="majorBidi" w:cstheme="majorBidi"/>
          <w:lang w:bidi="ar-KW"/>
        </w:rPr>
        <w:t xml:space="preserve"> et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forment un set, un assortiment, un ensemble, qui est ancré dans l’inconscient arabe.</w:t>
      </w:r>
    </w:p>
    <w:tbl>
      <w:tblPr>
        <w:tblW w:w="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906"/>
      </w:tblGrid>
      <w:tr w:rsidR="00A70B78" w:rsidRPr="007C6A42" w14:paraId="35E398A5" w14:textId="77777777" w:rsidTr="00AF4FC9">
        <w:trPr>
          <w:jc w:val="center"/>
        </w:trPr>
        <w:tc>
          <w:tcPr>
            <w:tcW w:w="4148" w:type="dxa"/>
            <w:gridSpan w:val="2"/>
            <w:tcBorders>
              <w:top w:val="nil"/>
              <w:left w:val="single" w:sz="4" w:space="0" w:color="auto"/>
              <w:bottom w:val="single" w:sz="4" w:space="0" w:color="auto"/>
              <w:right w:val="single" w:sz="4" w:space="0" w:color="auto"/>
            </w:tcBorders>
          </w:tcPr>
          <w:p w14:paraId="2A23AE54" w14:textId="77777777" w:rsidR="00A70B78" w:rsidRPr="007C6A42" w:rsidRDefault="00A70B78" w:rsidP="00AF4FC9">
            <w:pPr>
              <w:bidi/>
              <w:spacing w:line="360" w:lineRule="auto"/>
              <w:ind w:firstLine="708"/>
              <w:jc w:val="center"/>
              <w:rPr>
                <w:rFonts w:asciiTheme="majorBidi" w:eastAsia="Calibri" w:hAnsiTheme="majorBidi" w:cstheme="majorBidi"/>
                <w:lang w:bidi="ar-AE"/>
              </w:rPr>
            </w:pPr>
            <w:r w:rsidRPr="007C6A42">
              <w:rPr>
                <w:rFonts w:asciiTheme="majorBidi" w:eastAsia="Calibri" w:hAnsiTheme="majorBidi" w:cstheme="majorBidi"/>
                <w:rtl/>
                <w:lang w:bidi="ar-AE"/>
              </w:rPr>
              <w:t>" عليمٌ حكيم</w:t>
            </w:r>
            <w:r w:rsidRPr="007C6A42">
              <w:rPr>
                <w:rFonts w:asciiTheme="majorBidi" w:eastAsia="Times New Roman" w:hAnsiTheme="majorBidi" w:cstheme="majorBidi"/>
                <w:rtl/>
                <w:lang w:bidi="ar-AE"/>
              </w:rPr>
              <w:t>" (الحج، 52)</w:t>
            </w:r>
          </w:p>
        </w:tc>
      </w:tr>
      <w:tr w:rsidR="00A70B78" w:rsidRPr="007C6A42" w14:paraId="430A3E6C"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7763BA6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2906" w:type="dxa"/>
            <w:tcBorders>
              <w:top w:val="single" w:sz="4" w:space="0" w:color="auto"/>
              <w:left w:val="single" w:sz="4" w:space="0" w:color="auto"/>
              <w:bottom w:val="single" w:sz="4" w:space="0" w:color="auto"/>
              <w:right w:val="single" w:sz="4" w:space="0" w:color="auto"/>
            </w:tcBorders>
          </w:tcPr>
          <w:p w14:paraId="47F2A75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[Ø]</w:t>
            </w:r>
          </w:p>
        </w:tc>
      </w:tr>
      <w:tr w:rsidR="00A70B78" w:rsidRPr="007C6A42" w14:paraId="62427B58"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7B09873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2906" w:type="dxa"/>
            <w:tcBorders>
              <w:top w:val="single" w:sz="4" w:space="0" w:color="auto"/>
              <w:left w:val="single" w:sz="4" w:space="0" w:color="auto"/>
              <w:bottom w:val="single" w:sz="4" w:space="0" w:color="auto"/>
              <w:right w:val="single" w:sz="4" w:space="0" w:color="auto"/>
            </w:tcBorders>
          </w:tcPr>
          <w:p w14:paraId="3794CB2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savant et sage.</w:t>
            </w:r>
          </w:p>
        </w:tc>
      </w:tr>
      <w:tr w:rsidR="00A70B78" w:rsidRPr="007C6A42" w14:paraId="2D8C3C9F"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2B82D98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2906" w:type="dxa"/>
            <w:tcBorders>
              <w:top w:val="single" w:sz="4" w:space="0" w:color="auto"/>
              <w:left w:val="single" w:sz="4" w:space="0" w:color="auto"/>
              <w:bottom w:val="single" w:sz="4" w:space="0" w:color="auto"/>
              <w:right w:val="single" w:sz="4" w:space="0" w:color="auto"/>
            </w:tcBorders>
          </w:tcPr>
          <w:p w14:paraId="55E0D65B"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savant et sage.</w:t>
            </w:r>
          </w:p>
        </w:tc>
      </w:tr>
      <w:tr w:rsidR="00A70B78" w:rsidRPr="007C6A42" w14:paraId="675B46C1"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77FE7840"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2906" w:type="dxa"/>
            <w:tcBorders>
              <w:top w:val="single" w:sz="4" w:space="0" w:color="auto"/>
              <w:left w:val="single" w:sz="4" w:space="0" w:color="auto"/>
              <w:bottom w:val="single" w:sz="4" w:space="0" w:color="auto"/>
              <w:right w:val="single" w:sz="4" w:space="0" w:color="auto"/>
            </w:tcBorders>
          </w:tcPr>
          <w:p w14:paraId="78581CF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omniscient et sage</w:t>
            </w:r>
          </w:p>
        </w:tc>
      </w:tr>
      <w:tr w:rsidR="00A70B78" w:rsidRPr="007C6A42" w14:paraId="6D015626"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33B6480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2906" w:type="dxa"/>
            <w:tcBorders>
              <w:top w:val="single" w:sz="4" w:space="0" w:color="auto"/>
              <w:left w:val="single" w:sz="4" w:space="0" w:color="auto"/>
              <w:bottom w:val="single" w:sz="4" w:space="0" w:color="auto"/>
              <w:right w:val="single" w:sz="4" w:space="0" w:color="auto"/>
            </w:tcBorders>
          </w:tcPr>
          <w:p w14:paraId="72F646A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savant, sage</w:t>
            </w:r>
          </w:p>
        </w:tc>
      </w:tr>
      <w:tr w:rsidR="00A70B78" w:rsidRPr="007C6A42" w14:paraId="08609296"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6752D5C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2906" w:type="dxa"/>
            <w:tcBorders>
              <w:top w:val="single" w:sz="4" w:space="0" w:color="auto"/>
              <w:left w:val="single" w:sz="4" w:space="0" w:color="auto"/>
              <w:bottom w:val="single" w:sz="4" w:space="0" w:color="auto"/>
              <w:right w:val="single" w:sz="4" w:space="0" w:color="auto"/>
            </w:tcBorders>
          </w:tcPr>
          <w:p w14:paraId="6FE03BB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sait, il est sage.</w:t>
            </w:r>
          </w:p>
        </w:tc>
      </w:tr>
      <w:tr w:rsidR="00A70B78" w:rsidRPr="007C6A42" w14:paraId="1B92FD20"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7BE43E8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2906" w:type="dxa"/>
            <w:tcBorders>
              <w:top w:val="single" w:sz="4" w:space="0" w:color="auto"/>
              <w:left w:val="single" w:sz="4" w:space="0" w:color="auto"/>
              <w:bottom w:val="single" w:sz="4" w:space="0" w:color="auto"/>
              <w:right w:val="single" w:sz="4" w:space="0" w:color="auto"/>
            </w:tcBorders>
          </w:tcPr>
          <w:p w14:paraId="7E40EB62"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savant, sage.</w:t>
            </w:r>
          </w:p>
        </w:tc>
      </w:tr>
      <w:tr w:rsidR="00A70B78" w:rsidRPr="007C6A42" w14:paraId="0353EFD1"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7105651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2906" w:type="dxa"/>
            <w:tcBorders>
              <w:top w:val="single" w:sz="4" w:space="0" w:color="auto"/>
              <w:left w:val="single" w:sz="4" w:space="0" w:color="auto"/>
              <w:bottom w:val="single" w:sz="4" w:space="0" w:color="auto"/>
              <w:right w:val="single" w:sz="4" w:space="0" w:color="auto"/>
            </w:tcBorders>
          </w:tcPr>
          <w:p w14:paraId="7704844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omniscient et sage.</w:t>
            </w:r>
          </w:p>
        </w:tc>
      </w:tr>
      <w:tr w:rsidR="00A70B78" w:rsidRPr="007C6A42" w14:paraId="78611A1D"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4623CBD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2906" w:type="dxa"/>
            <w:tcBorders>
              <w:top w:val="single" w:sz="4" w:space="0" w:color="auto"/>
              <w:left w:val="single" w:sz="4" w:space="0" w:color="auto"/>
              <w:bottom w:val="single" w:sz="4" w:space="0" w:color="auto"/>
              <w:right w:val="single" w:sz="4" w:space="0" w:color="auto"/>
            </w:tcBorders>
          </w:tcPr>
          <w:p w14:paraId="664ECED1"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Omniscient et Sage.</w:t>
            </w:r>
          </w:p>
        </w:tc>
      </w:tr>
      <w:tr w:rsidR="00A70B78" w:rsidRPr="007C6A42" w14:paraId="4DE41633"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4033C3D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2906" w:type="dxa"/>
            <w:tcBorders>
              <w:top w:val="single" w:sz="4" w:space="0" w:color="auto"/>
              <w:left w:val="single" w:sz="4" w:space="0" w:color="auto"/>
              <w:bottom w:val="single" w:sz="4" w:space="0" w:color="auto"/>
              <w:right w:val="single" w:sz="4" w:space="0" w:color="auto"/>
            </w:tcBorders>
          </w:tcPr>
          <w:p w14:paraId="1CED124F"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Connaisseur et Sage</w:t>
            </w:r>
          </w:p>
        </w:tc>
      </w:tr>
      <w:tr w:rsidR="00A70B78" w:rsidRPr="007C6A42" w14:paraId="21883DF5"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4234708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2906" w:type="dxa"/>
            <w:tcBorders>
              <w:top w:val="single" w:sz="4" w:space="0" w:color="auto"/>
              <w:left w:val="single" w:sz="4" w:space="0" w:color="auto"/>
              <w:bottom w:val="single" w:sz="4" w:space="0" w:color="auto"/>
              <w:right w:val="single" w:sz="4" w:space="0" w:color="auto"/>
            </w:tcBorders>
          </w:tcPr>
          <w:p w14:paraId="70CDC84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savant et sage</w:t>
            </w:r>
          </w:p>
        </w:tc>
      </w:tr>
      <w:tr w:rsidR="00A70B78" w:rsidRPr="007C6A42" w14:paraId="58553EB4"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02BD997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2906" w:type="dxa"/>
            <w:tcBorders>
              <w:top w:val="single" w:sz="4" w:space="0" w:color="auto"/>
              <w:left w:val="single" w:sz="4" w:space="0" w:color="auto"/>
              <w:bottom w:val="single" w:sz="4" w:space="0" w:color="auto"/>
              <w:right w:val="single" w:sz="4" w:space="0" w:color="auto"/>
            </w:tcBorders>
          </w:tcPr>
          <w:p w14:paraId="3EB59D0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Omniscient et Sage.</w:t>
            </w:r>
          </w:p>
        </w:tc>
      </w:tr>
      <w:tr w:rsidR="00A70B78" w:rsidRPr="007C6A42" w14:paraId="762BB6D2"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59535C3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Gros.</w:t>
            </w:r>
          </w:p>
        </w:tc>
        <w:tc>
          <w:tcPr>
            <w:tcW w:w="2906" w:type="dxa"/>
            <w:tcBorders>
              <w:top w:val="single" w:sz="4" w:space="0" w:color="auto"/>
              <w:left w:val="single" w:sz="4" w:space="0" w:color="auto"/>
              <w:bottom w:val="single" w:sz="4" w:space="0" w:color="auto"/>
              <w:right w:val="single" w:sz="4" w:space="0" w:color="auto"/>
            </w:tcBorders>
          </w:tcPr>
          <w:p w14:paraId="6E05F8E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sait, il est le sage.</w:t>
            </w:r>
          </w:p>
        </w:tc>
      </w:tr>
      <w:tr w:rsidR="00A70B78" w:rsidRPr="007C6A42" w14:paraId="246AA2A6"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061199F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2906" w:type="dxa"/>
            <w:tcBorders>
              <w:top w:val="single" w:sz="4" w:space="0" w:color="auto"/>
              <w:left w:val="single" w:sz="4" w:space="0" w:color="auto"/>
              <w:bottom w:val="single" w:sz="4" w:space="0" w:color="auto"/>
              <w:right w:val="single" w:sz="4" w:space="0" w:color="auto"/>
            </w:tcBorders>
          </w:tcPr>
          <w:p w14:paraId="6C4B6B9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Omniscient et Sage</w:t>
            </w:r>
          </w:p>
        </w:tc>
      </w:tr>
      <w:tr w:rsidR="00A70B78" w:rsidRPr="007C6A42" w14:paraId="36CDACB8"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29EE6F4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2906" w:type="dxa"/>
            <w:tcBorders>
              <w:top w:val="single" w:sz="4" w:space="0" w:color="auto"/>
              <w:left w:val="single" w:sz="4" w:space="0" w:color="auto"/>
              <w:bottom w:val="single" w:sz="4" w:space="0" w:color="auto"/>
              <w:right w:val="single" w:sz="4" w:space="0" w:color="auto"/>
            </w:tcBorders>
          </w:tcPr>
          <w:p w14:paraId="3B2FE0B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savant et sage.</w:t>
            </w:r>
          </w:p>
        </w:tc>
      </w:tr>
      <w:tr w:rsidR="00A70B78" w:rsidRPr="007C6A42" w14:paraId="55A3B14A"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0B67E49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2906" w:type="dxa"/>
            <w:tcBorders>
              <w:top w:val="single" w:sz="4" w:space="0" w:color="auto"/>
              <w:left w:val="single" w:sz="4" w:space="0" w:color="auto"/>
              <w:bottom w:val="single" w:sz="4" w:space="0" w:color="auto"/>
              <w:right w:val="single" w:sz="4" w:space="0" w:color="auto"/>
            </w:tcBorders>
          </w:tcPr>
          <w:p w14:paraId="2BB83A5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sait, Celui qui est sage.</w:t>
            </w:r>
          </w:p>
        </w:tc>
      </w:tr>
      <w:tr w:rsidR="00A70B78" w:rsidRPr="007C6A42" w14:paraId="4368832A"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03D543D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2906" w:type="dxa"/>
            <w:tcBorders>
              <w:top w:val="single" w:sz="4" w:space="0" w:color="auto"/>
              <w:left w:val="single" w:sz="4" w:space="0" w:color="auto"/>
              <w:bottom w:val="single" w:sz="4" w:space="0" w:color="auto"/>
              <w:right w:val="single" w:sz="4" w:space="0" w:color="auto"/>
            </w:tcBorders>
          </w:tcPr>
          <w:p w14:paraId="2799694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Tout-Scient, Sage</w:t>
            </w:r>
          </w:p>
        </w:tc>
      </w:tr>
      <w:tr w:rsidR="00A70B78" w:rsidRPr="007C6A42" w14:paraId="2099639B" w14:textId="77777777" w:rsidTr="00AF4FC9">
        <w:trPr>
          <w:jc w:val="center"/>
        </w:trPr>
        <w:tc>
          <w:tcPr>
            <w:tcW w:w="1242" w:type="dxa"/>
            <w:tcBorders>
              <w:top w:val="single" w:sz="4" w:space="0" w:color="auto"/>
              <w:left w:val="single" w:sz="4" w:space="0" w:color="auto"/>
              <w:bottom w:val="single" w:sz="4" w:space="0" w:color="auto"/>
              <w:right w:val="single" w:sz="4" w:space="0" w:color="auto"/>
            </w:tcBorders>
          </w:tcPr>
          <w:p w14:paraId="1B7CA8D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2906" w:type="dxa"/>
            <w:tcBorders>
              <w:top w:val="single" w:sz="4" w:space="0" w:color="auto"/>
              <w:left w:val="single" w:sz="4" w:space="0" w:color="auto"/>
              <w:bottom w:val="single" w:sz="4" w:space="0" w:color="auto"/>
              <w:right w:val="single" w:sz="4" w:space="0" w:color="auto"/>
            </w:tcBorders>
          </w:tcPr>
          <w:p w14:paraId="18661DF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connaisseur et sage.</w:t>
            </w:r>
          </w:p>
        </w:tc>
      </w:tr>
    </w:tbl>
    <w:p w14:paraId="378EEBFA" w14:textId="77777777" w:rsidR="00A70B78" w:rsidRPr="007C6A42" w:rsidRDefault="00A70B78" w:rsidP="00A70B78">
      <w:pPr>
        <w:spacing w:line="360" w:lineRule="auto"/>
        <w:contextualSpacing/>
        <w:jc w:val="both"/>
        <w:rPr>
          <w:rFonts w:asciiTheme="majorBidi" w:hAnsiTheme="majorBidi" w:cstheme="majorBidi"/>
          <w:shd w:val="clear" w:color="auto" w:fill="FFFFFF"/>
          <w:rtl/>
          <w:lang w:bidi="ar-KW"/>
        </w:rPr>
      </w:pPr>
    </w:p>
    <w:p w14:paraId="00FFB848" w14:textId="77777777" w:rsidR="00A70B78" w:rsidRPr="007C6A42" w:rsidRDefault="00A70B78" w:rsidP="00A70B78">
      <w:pPr>
        <w:spacing w:line="360" w:lineRule="auto"/>
        <w:ind w:left="360" w:firstLine="360"/>
        <w:contextualSpacing/>
        <w:jc w:val="both"/>
        <w:rPr>
          <w:rFonts w:asciiTheme="majorBidi" w:hAnsiTheme="majorBidi" w:cstheme="majorBidi"/>
        </w:rPr>
      </w:pPr>
      <w:r w:rsidRPr="007C6A42">
        <w:rPr>
          <w:rFonts w:asciiTheme="majorBidi" w:hAnsiTheme="majorBidi" w:cstheme="majorBidi"/>
        </w:rPr>
        <w:t xml:space="preserve">Le nom </w:t>
      </w:r>
      <w:r w:rsidRPr="007C6A42">
        <w:rPr>
          <w:rFonts w:asciiTheme="majorBidi" w:hAnsiTheme="majorBidi" w:cstheme="majorBidi"/>
          <w:i/>
          <w:iCs/>
          <w:lang w:bidi="ar-AE"/>
        </w:rPr>
        <w:t>ḥ</w:t>
      </w:r>
      <w:r w:rsidRPr="007C6A42">
        <w:rPr>
          <w:rFonts w:asciiTheme="majorBidi" w:hAnsiTheme="majorBidi" w:cstheme="majorBidi"/>
          <w:i/>
          <w:iCs/>
          <w:lang w:bidi="ar-KW"/>
        </w:rPr>
        <w:t>akīm</w:t>
      </w:r>
      <w:r w:rsidRPr="007C6A42">
        <w:rPr>
          <w:rFonts w:asciiTheme="majorBidi" w:hAnsiTheme="majorBidi" w:cstheme="majorBidi"/>
          <w:lang w:bidi="ar-AE"/>
        </w:rPr>
        <w:t xml:space="preserve"> </w:t>
      </w:r>
      <w:r w:rsidRPr="007C6A42">
        <w:rPr>
          <w:rFonts w:asciiTheme="majorBidi" w:hAnsiTheme="majorBidi" w:cstheme="majorBidi"/>
        </w:rPr>
        <w:t xml:space="preserve">ne pose pas de problème de traduction. Il est monosémique. Il est traduit ou bien par un terme (« sage » en minus. ou en maj.) ou bien par une proposition ou phrase (« il est sage », « il est le sage », « celui qui est sage »). Selon l’exégèse, et en plus du sens de « sage », </w:t>
      </w:r>
      <w:r w:rsidRPr="007C6A42">
        <w:rPr>
          <w:rFonts w:asciiTheme="majorBidi" w:eastAsia="Times New Roman" w:hAnsiTheme="majorBidi" w:cstheme="majorBidi"/>
        </w:rPr>
        <w:t>Ibn Kathīr explique ce nom par : « </w:t>
      </w:r>
      <w:r w:rsidRPr="007C6A42">
        <w:rPr>
          <w:rFonts w:asciiTheme="majorBidi" w:eastAsia="Times New Roman" w:hAnsiTheme="majorBidi" w:cstheme="majorBidi"/>
          <w:shd w:val="clear" w:color="auto" w:fill="FFFFFF"/>
          <w:rtl/>
        </w:rPr>
        <w:t>له الحكمة التامة والحجة البالغة</w:t>
      </w:r>
      <w:r w:rsidRPr="007C6A42">
        <w:rPr>
          <w:rFonts w:asciiTheme="majorBidi" w:eastAsia="Times New Roman" w:hAnsiTheme="majorBidi" w:cstheme="majorBidi"/>
        </w:rPr>
        <w:t xml:space="preserve"> » </w:t>
      </w:r>
      <w:r w:rsidRPr="007C6A42">
        <w:rPr>
          <w:rFonts w:asciiTheme="majorBidi" w:hAnsiTheme="majorBidi" w:cstheme="majorBidi"/>
        </w:rPr>
        <w:t>[« Il a la sagesse parfaite et l’argument extrêmement probant »]. Selon Ṭabarī, ce nom signifie : « celui qui dispose »</w:t>
      </w:r>
      <w:r w:rsidRPr="007C6A42">
        <w:rPr>
          <w:rFonts w:asciiTheme="majorBidi" w:eastAsia="Times New Roman" w:hAnsiTheme="majorBidi" w:cstheme="majorBidi"/>
        </w:rPr>
        <w:t xml:space="preserve"> (</w:t>
      </w:r>
      <w:r w:rsidRPr="007C6A42">
        <w:rPr>
          <w:rFonts w:asciiTheme="majorBidi" w:eastAsia="Times New Roman" w:hAnsiTheme="majorBidi" w:cstheme="majorBidi"/>
          <w:rtl/>
        </w:rPr>
        <w:t>"حكيم في تدبيره"</w:t>
      </w:r>
      <w:r w:rsidRPr="007C6A42">
        <w:rPr>
          <w:rFonts w:asciiTheme="majorBidi" w:eastAsia="Times New Roman" w:hAnsiTheme="majorBidi" w:cstheme="majorBidi"/>
        </w:rPr>
        <w:t>). Ces deux significations ne sont pas rendues dans les traductions.</w:t>
      </w:r>
    </w:p>
    <w:p w14:paraId="72635EA6" w14:textId="77777777" w:rsidR="00A96E5B" w:rsidRDefault="00A96E5B" w:rsidP="00A70B78">
      <w:pPr>
        <w:spacing w:line="360" w:lineRule="auto"/>
        <w:jc w:val="both"/>
        <w:rPr>
          <w:rFonts w:asciiTheme="majorBidi" w:eastAsia="Times New Roman" w:hAnsiTheme="majorBidi" w:cstheme="majorBidi"/>
        </w:rPr>
      </w:pPr>
    </w:p>
    <w:p w14:paraId="6932E8C2" w14:textId="77777777" w:rsidR="00A96E5B" w:rsidRPr="007C6A42" w:rsidRDefault="00A96E5B" w:rsidP="00A70B78">
      <w:pPr>
        <w:spacing w:line="360" w:lineRule="auto"/>
        <w:jc w:val="both"/>
        <w:rPr>
          <w:rFonts w:asciiTheme="majorBidi" w:eastAsia="Times New Roman" w:hAnsiTheme="majorBidi" w:cstheme="majorBidi"/>
        </w:rPr>
      </w:pPr>
    </w:p>
    <w:p w14:paraId="48FDCEFE" w14:textId="77777777" w:rsidR="00A70B78" w:rsidRPr="007C6A42" w:rsidRDefault="00A70B78" w:rsidP="00A70B78">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-5-</w:t>
      </w:r>
    </w:p>
    <w:p w14:paraId="4BFAC4C2" w14:textId="77777777" w:rsidR="00A70B78" w:rsidRPr="007C6A42" w:rsidRDefault="00A70B78" w:rsidP="00A70B78">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 xml:space="preserve">Traduction des noms </w:t>
      </w:r>
      <w:r w:rsidRPr="007C6A42">
        <w:rPr>
          <w:rFonts w:asciiTheme="majorBidi" w:eastAsia="Times New Roman" w:hAnsiTheme="majorBidi" w:cstheme="majorBidi"/>
          <w:b/>
          <w:bCs/>
          <w:i/>
          <w:iCs/>
        </w:rPr>
        <w:t>samīʿ baṣīr</w:t>
      </w:r>
      <w:r w:rsidRPr="007C6A42">
        <w:rPr>
          <w:rFonts w:asciiTheme="majorBidi" w:eastAsia="Times New Roman" w:hAnsiTheme="majorBidi" w:cstheme="majorBidi"/>
          <w:b/>
          <w:bCs/>
        </w:rPr>
        <w:t xml:space="preserve"> (v. 61 &amp; 75) :</w:t>
      </w:r>
    </w:p>
    <w:p w14:paraId="6E5B2230"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eastAsia="Times New Roman" w:hAnsiTheme="majorBidi" w:cstheme="majorBidi"/>
        </w:rPr>
        <w:t xml:space="preserve">Le nom </w:t>
      </w:r>
      <w:r w:rsidRPr="007C6A42">
        <w:rPr>
          <w:rFonts w:asciiTheme="majorBidi" w:eastAsia="Times New Roman" w:hAnsiTheme="majorBidi" w:cstheme="majorBidi"/>
          <w:i/>
          <w:iCs/>
        </w:rPr>
        <w:t>samīʿ</w:t>
      </w:r>
      <w:r w:rsidRPr="007C6A42">
        <w:rPr>
          <w:rFonts w:asciiTheme="majorBidi" w:eastAsia="Times New Roman" w:hAnsiTheme="majorBidi" w:cstheme="majorBidi"/>
        </w:rPr>
        <w:t xml:space="preserve"> (adjectif en forme intensive) est utilisé essentiellement pour Dieu. Il est traduit souvent (10 fois sur 18) par une phrase ou une proposition : 1) « </w:t>
      </w:r>
      <w:r w:rsidRPr="007C6A42">
        <w:rPr>
          <w:rFonts w:asciiTheme="majorBidi" w:hAnsiTheme="majorBidi" w:cstheme="majorBidi"/>
        </w:rPr>
        <w:t>il exauce les oraisons des vrais croyants » ; 2) « il entend tout ce qu’ils disent » ; 3) « </w:t>
      </w:r>
      <w:r w:rsidRPr="007C6A42">
        <w:rPr>
          <w:rFonts w:asciiTheme="majorBidi" w:eastAsia="Times New Roman" w:hAnsiTheme="majorBidi" w:cstheme="majorBidi"/>
        </w:rPr>
        <w:t>Il sait et apprécie toutes choses » ; 4) « Il entend » (3 fois) ; 5) « </w:t>
      </w:r>
      <w:r w:rsidRPr="007C6A42">
        <w:rPr>
          <w:rFonts w:asciiTheme="majorBidi" w:hAnsiTheme="majorBidi" w:cstheme="majorBidi"/>
        </w:rPr>
        <w:t>Dieu, cependant, entend » ; 6) « celui qui entend » (3 fois) ; 7) « Dieu entend ». Ces phrases qui clarifient et allongent la traduction et change la rythmique du texte exprime une action, alors que le nom arabe exprime une qualité absolue et éternelle. En ce sens, elles relèvent plus de la paraphrase, de l’explication, que de la traduction.</w:t>
      </w:r>
    </w:p>
    <w:p w14:paraId="393B71DD"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eastAsia="Times New Roman" w:hAnsiTheme="majorBidi" w:cstheme="majorBidi"/>
          <w:i/>
          <w:iCs/>
        </w:rPr>
        <w:t>Samīʿ</w:t>
      </w:r>
      <w:r w:rsidRPr="007C6A42">
        <w:rPr>
          <w:rFonts w:asciiTheme="majorBidi" w:eastAsia="Times New Roman" w:hAnsiTheme="majorBidi" w:cstheme="majorBidi"/>
        </w:rPr>
        <w:t xml:space="preserve"> est également traduit par un terme simple : « entendeur », « entendant », « audient » (en minus. ou en maj.), « Omni-Audiant », « écouteur ». La teneur sémantique des mots génériques « entendeur », « entendant » et « écouteur » n’est pas du tout celle de </w:t>
      </w:r>
      <w:r w:rsidRPr="007C6A42">
        <w:rPr>
          <w:rFonts w:asciiTheme="majorBidi" w:eastAsia="Times New Roman" w:hAnsiTheme="majorBidi" w:cstheme="majorBidi"/>
          <w:i/>
          <w:iCs/>
        </w:rPr>
        <w:t>samīʿ</w:t>
      </w:r>
      <w:r w:rsidRPr="007C6A42">
        <w:rPr>
          <w:rFonts w:asciiTheme="majorBidi" w:eastAsia="Times New Roman" w:hAnsiTheme="majorBidi" w:cstheme="majorBidi"/>
        </w:rPr>
        <w:t>. Dès qu’un locuteur arabophone entend ce mot, il pense à Dieu. En effet, il est à peu près exclusivement employé en arabe dans ce sens d’attribut divin, comme le montre une recherche rapide sur Google.</w:t>
      </w:r>
    </w:p>
    <w:p w14:paraId="388C10D0" w14:textId="77777777" w:rsidR="00A70B78" w:rsidRPr="007C6A42" w:rsidRDefault="00A70B78" w:rsidP="00A70B78">
      <w:pPr>
        <w:spacing w:line="360" w:lineRule="auto"/>
        <w:ind w:firstLine="720"/>
        <w:jc w:val="both"/>
        <w:rPr>
          <w:rFonts w:asciiTheme="majorBidi" w:eastAsia="Times New Roman" w:hAnsiTheme="majorBidi" w:cstheme="majorBidi"/>
        </w:rPr>
      </w:pPr>
    </w:p>
    <w:tbl>
      <w:tblPr>
        <w:tblW w:w="7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5622"/>
      </w:tblGrid>
      <w:tr w:rsidR="00A70B78" w:rsidRPr="007C6A42" w14:paraId="4155B9F1" w14:textId="77777777" w:rsidTr="00AF4FC9">
        <w:trPr>
          <w:jc w:val="center"/>
        </w:trPr>
        <w:tc>
          <w:tcPr>
            <w:tcW w:w="7273" w:type="dxa"/>
            <w:gridSpan w:val="2"/>
            <w:tcBorders>
              <w:top w:val="nil"/>
              <w:left w:val="single" w:sz="4" w:space="0" w:color="auto"/>
              <w:bottom w:val="single" w:sz="4" w:space="0" w:color="auto"/>
              <w:right w:val="single" w:sz="4" w:space="0" w:color="auto"/>
            </w:tcBorders>
          </w:tcPr>
          <w:p w14:paraId="706DDA1F"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Pr>
              <w:lastRenderedPageBreak/>
              <w:t>« </w:t>
            </w:r>
            <w:r w:rsidRPr="007C6A42">
              <w:rPr>
                <w:rFonts w:asciiTheme="majorBidi" w:eastAsia="Times New Roman" w:hAnsiTheme="majorBidi" w:cstheme="majorBidi"/>
                <w:rtl/>
              </w:rPr>
              <w:t>سميع بصير</w:t>
            </w:r>
            <w:r w:rsidRPr="007C6A42">
              <w:rPr>
                <w:rFonts w:asciiTheme="majorBidi" w:eastAsia="Times New Roman" w:hAnsiTheme="majorBidi" w:cstheme="majorBidi"/>
              </w:rPr>
              <w:t> » (v. 61 &amp; 75)</w:t>
            </w:r>
          </w:p>
        </w:tc>
      </w:tr>
      <w:tr w:rsidR="00A70B78" w:rsidRPr="007C6A42" w14:paraId="331762ED"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10CB34E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5622" w:type="dxa"/>
            <w:tcBorders>
              <w:top w:val="single" w:sz="4" w:space="0" w:color="auto"/>
              <w:left w:val="single" w:sz="4" w:space="0" w:color="auto"/>
              <w:bottom w:val="single" w:sz="4" w:space="0" w:color="auto"/>
              <w:right w:val="single" w:sz="4" w:space="0" w:color="auto"/>
            </w:tcBorders>
          </w:tcPr>
          <w:p w14:paraId="5EBA7B41"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exauce les oraiʃons des vray-coyans, &amp; voit tout ce qu’ils font, &amp; les protegera (61) / il entend tout ce qu’ils diʃsent, il void tout ce qu’ils font (75)</w:t>
            </w:r>
          </w:p>
        </w:tc>
      </w:tr>
      <w:tr w:rsidR="00A70B78" w:rsidRPr="007C6A42" w14:paraId="6B8F48EA" w14:textId="77777777" w:rsidTr="00AF4FC9">
        <w:trPr>
          <w:trHeight w:val="282"/>
          <w:jc w:val="center"/>
        </w:trPr>
        <w:tc>
          <w:tcPr>
            <w:tcW w:w="1651" w:type="dxa"/>
            <w:tcBorders>
              <w:top w:val="single" w:sz="4" w:space="0" w:color="auto"/>
              <w:left w:val="single" w:sz="4" w:space="0" w:color="auto"/>
              <w:bottom w:val="single" w:sz="4" w:space="0" w:color="auto"/>
              <w:right w:val="single" w:sz="4" w:space="0" w:color="auto"/>
            </w:tcBorders>
          </w:tcPr>
          <w:p w14:paraId="233AF0A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5622" w:type="dxa"/>
            <w:tcBorders>
              <w:top w:val="single" w:sz="4" w:space="0" w:color="auto"/>
              <w:left w:val="single" w:sz="4" w:space="0" w:color="auto"/>
              <w:bottom w:val="single" w:sz="4" w:space="0" w:color="auto"/>
              <w:right w:val="single" w:sz="4" w:space="0" w:color="auto"/>
            </w:tcBorders>
          </w:tcPr>
          <w:p w14:paraId="272FB068"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Il sait et apprécie toutes choses. (61) / Il apprécie tout. (75)</w:t>
            </w:r>
          </w:p>
        </w:tc>
      </w:tr>
      <w:tr w:rsidR="00A70B78" w:rsidRPr="007C6A42" w14:paraId="4F6B4436"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72ED2F9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5622" w:type="dxa"/>
            <w:tcBorders>
              <w:top w:val="single" w:sz="4" w:space="0" w:color="auto"/>
              <w:left w:val="single" w:sz="4" w:space="0" w:color="auto"/>
              <w:bottom w:val="single" w:sz="4" w:space="0" w:color="auto"/>
              <w:right w:val="single" w:sz="4" w:space="0" w:color="auto"/>
            </w:tcBorders>
          </w:tcPr>
          <w:p w14:paraId="1048AEEC"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Il entend et voit tout.</w:t>
            </w:r>
          </w:p>
        </w:tc>
      </w:tr>
      <w:tr w:rsidR="00A70B78" w:rsidRPr="007C6A42" w14:paraId="687D478B"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6124B97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5622" w:type="dxa"/>
            <w:tcBorders>
              <w:top w:val="single" w:sz="4" w:space="0" w:color="auto"/>
              <w:left w:val="single" w:sz="4" w:space="0" w:color="auto"/>
              <w:bottom w:val="single" w:sz="4" w:space="0" w:color="auto"/>
              <w:right w:val="single" w:sz="4" w:space="0" w:color="auto"/>
            </w:tcBorders>
          </w:tcPr>
          <w:p w14:paraId="58EBC8A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audient et clairvoyant</w:t>
            </w:r>
          </w:p>
        </w:tc>
      </w:tr>
      <w:tr w:rsidR="00A70B78" w:rsidRPr="007C6A42" w14:paraId="62F8D657"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292E85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5622" w:type="dxa"/>
            <w:tcBorders>
              <w:top w:val="single" w:sz="4" w:space="0" w:color="auto"/>
              <w:left w:val="single" w:sz="4" w:space="0" w:color="auto"/>
              <w:bottom w:val="single" w:sz="4" w:space="0" w:color="auto"/>
              <w:right w:val="single" w:sz="4" w:space="0" w:color="auto"/>
            </w:tcBorders>
          </w:tcPr>
          <w:p w14:paraId="78B215B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Il entend et voit tout. </w:t>
            </w:r>
          </w:p>
        </w:tc>
      </w:tr>
      <w:tr w:rsidR="00A70B78" w:rsidRPr="007C6A42" w14:paraId="7988A0EA"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7F43A9F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5622" w:type="dxa"/>
            <w:tcBorders>
              <w:top w:val="single" w:sz="4" w:space="0" w:color="auto"/>
              <w:left w:val="single" w:sz="4" w:space="0" w:color="auto"/>
              <w:bottom w:val="single" w:sz="4" w:space="0" w:color="auto"/>
              <w:right w:val="single" w:sz="4" w:space="0" w:color="auto"/>
            </w:tcBorders>
          </w:tcPr>
          <w:p w14:paraId="61DD155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Dieu, cependant, entend, Il observe, vraiment ! (61) / Oui, Dieu entend, observe. (75)</w:t>
            </w:r>
          </w:p>
        </w:tc>
      </w:tr>
      <w:tr w:rsidR="00A70B78" w:rsidRPr="007C6A42" w14:paraId="4493AE9F"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099229F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5622" w:type="dxa"/>
            <w:tcBorders>
              <w:top w:val="single" w:sz="4" w:space="0" w:color="auto"/>
              <w:left w:val="single" w:sz="4" w:space="0" w:color="auto"/>
              <w:bottom w:val="single" w:sz="4" w:space="0" w:color="auto"/>
              <w:right w:val="single" w:sz="4" w:space="0" w:color="auto"/>
            </w:tcBorders>
          </w:tcPr>
          <w:p w14:paraId="475FE2F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Il entend et voit tout.</w:t>
            </w:r>
          </w:p>
        </w:tc>
      </w:tr>
      <w:tr w:rsidR="00A70B78" w:rsidRPr="007C6A42" w14:paraId="5D0D80CF"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709ED1C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5622" w:type="dxa"/>
            <w:tcBorders>
              <w:top w:val="single" w:sz="4" w:space="0" w:color="auto"/>
              <w:left w:val="single" w:sz="4" w:space="0" w:color="auto"/>
              <w:bottom w:val="single" w:sz="4" w:space="0" w:color="auto"/>
              <w:right w:val="single" w:sz="4" w:space="0" w:color="auto"/>
            </w:tcBorders>
          </w:tcPr>
          <w:p w14:paraId="17E23B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celui qui entend et qui voit parfaitement</w:t>
            </w:r>
          </w:p>
        </w:tc>
      </w:tr>
      <w:tr w:rsidR="00A70B78" w:rsidRPr="007C6A42" w14:paraId="4D338ED7"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6A136D5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5622" w:type="dxa"/>
            <w:tcBorders>
              <w:top w:val="single" w:sz="4" w:space="0" w:color="auto"/>
              <w:left w:val="single" w:sz="4" w:space="0" w:color="auto"/>
              <w:bottom w:val="single" w:sz="4" w:space="0" w:color="auto"/>
              <w:right w:val="single" w:sz="4" w:space="0" w:color="auto"/>
            </w:tcBorders>
          </w:tcPr>
          <w:p w14:paraId="0656DB9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Dieu entend et il voit.</w:t>
            </w:r>
          </w:p>
        </w:tc>
      </w:tr>
      <w:tr w:rsidR="00A70B78" w:rsidRPr="007C6A42" w14:paraId="722E3464" w14:textId="77777777" w:rsidTr="00AF4FC9">
        <w:trPr>
          <w:trHeight w:val="367"/>
          <w:jc w:val="center"/>
        </w:trPr>
        <w:tc>
          <w:tcPr>
            <w:tcW w:w="1651" w:type="dxa"/>
            <w:tcBorders>
              <w:top w:val="single" w:sz="4" w:space="0" w:color="auto"/>
              <w:left w:val="single" w:sz="4" w:space="0" w:color="auto"/>
              <w:bottom w:val="single" w:sz="4" w:space="0" w:color="auto"/>
              <w:right w:val="single" w:sz="4" w:space="0" w:color="auto"/>
            </w:tcBorders>
          </w:tcPr>
          <w:p w14:paraId="4DFBBD8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5622" w:type="dxa"/>
            <w:tcBorders>
              <w:top w:val="single" w:sz="4" w:space="0" w:color="auto"/>
              <w:left w:val="single" w:sz="4" w:space="0" w:color="auto"/>
              <w:bottom w:val="single" w:sz="4" w:space="0" w:color="auto"/>
              <w:right w:val="single" w:sz="4" w:space="0" w:color="auto"/>
            </w:tcBorders>
          </w:tcPr>
          <w:p w14:paraId="4DA29B57"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entendeur, voyant</w:t>
            </w:r>
          </w:p>
        </w:tc>
      </w:tr>
      <w:tr w:rsidR="00A70B78" w:rsidRPr="007C6A42" w14:paraId="6A336D2C" w14:textId="77777777" w:rsidTr="00AF4FC9">
        <w:trPr>
          <w:trHeight w:val="270"/>
          <w:jc w:val="center"/>
        </w:trPr>
        <w:tc>
          <w:tcPr>
            <w:tcW w:w="1651" w:type="dxa"/>
            <w:tcBorders>
              <w:top w:val="single" w:sz="4" w:space="0" w:color="auto"/>
              <w:left w:val="single" w:sz="4" w:space="0" w:color="auto"/>
              <w:bottom w:val="single" w:sz="4" w:space="0" w:color="auto"/>
              <w:right w:val="single" w:sz="4" w:space="0" w:color="auto"/>
            </w:tcBorders>
          </w:tcPr>
          <w:p w14:paraId="719CCDB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5622" w:type="dxa"/>
            <w:tcBorders>
              <w:top w:val="single" w:sz="4" w:space="0" w:color="auto"/>
              <w:left w:val="single" w:sz="4" w:space="0" w:color="auto"/>
              <w:bottom w:val="single" w:sz="4" w:space="0" w:color="auto"/>
              <w:right w:val="single" w:sz="4" w:space="0" w:color="auto"/>
            </w:tcBorders>
          </w:tcPr>
          <w:p w14:paraId="278D138A" w14:textId="77777777" w:rsidR="00A70B78" w:rsidRPr="007C6A42" w:rsidRDefault="00A70B78" w:rsidP="00AF4FC9">
            <w:pPr>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Entendant, Connaissant (61) / Entendant, Clairvoyant (75)</w:t>
            </w:r>
          </w:p>
        </w:tc>
      </w:tr>
      <w:tr w:rsidR="00A70B78" w:rsidRPr="007C6A42" w14:paraId="6BF46998"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51F01B3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5622" w:type="dxa"/>
            <w:tcBorders>
              <w:top w:val="single" w:sz="4" w:space="0" w:color="auto"/>
              <w:left w:val="single" w:sz="4" w:space="0" w:color="auto"/>
              <w:bottom w:val="single" w:sz="4" w:space="0" w:color="auto"/>
              <w:right w:val="single" w:sz="4" w:space="0" w:color="auto"/>
            </w:tcBorders>
          </w:tcPr>
          <w:p w14:paraId="035196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audient et omniscient en vérité (61) / audient et clairvoyant sur la totalité (75)</w:t>
            </w:r>
          </w:p>
        </w:tc>
      </w:tr>
      <w:tr w:rsidR="00A70B78" w:rsidRPr="007C6A42" w14:paraId="61E0A326"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1A83E62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5622" w:type="dxa"/>
            <w:tcBorders>
              <w:top w:val="single" w:sz="4" w:space="0" w:color="auto"/>
              <w:left w:val="single" w:sz="4" w:space="0" w:color="auto"/>
              <w:bottom w:val="single" w:sz="4" w:space="0" w:color="auto"/>
              <w:right w:val="single" w:sz="4" w:space="0" w:color="auto"/>
            </w:tcBorders>
          </w:tcPr>
          <w:p w14:paraId="51205EC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Audient et Clairvoyant</w:t>
            </w:r>
          </w:p>
        </w:tc>
      </w:tr>
      <w:tr w:rsidR="00A70B78" w:rsidRPr="007C6A42" w14:paraId="19D97722"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01DFE51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5622" w:type="dxa"/>
            <w:tcBorders>
              <w:top w:val="single" w:sz="4" w:space="0" w:color="auto"/>
              <w:left w:val="single" w:sz="4" w:space="0" w:color="auto"/>
              <w:bottom w:val="single" w:sz="4" w:space="0" w:color="auto"/>
              <w:right w:val="single" w:sz="4" w:space="0" w:color="auto"/>
            </w:tcBorders>
          </w:tcPr>
          <w:p w14:paraId="05654A21"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Audient et Clairvoyant</w:t>
            </w:r>
          </w:p>
        </w:tc>
      </w:tr>
      <w:tr w:rsidR="00A70B78" w:rsidRPr="007C6A42" w14:paraId="660317F0"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46BC251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5622" w:type="dxa"/>
            <w:tcBorders>
              <w:top w:val="single" w:sz="4" w:space="0" w:color="auto"/>
              <w:left w:val="single" w:sz="4" w:space="0" w:color="auto"/>
              <w:bottom w:val="single" w:sz="4" w:space="0" w:color="auto"/>
              <w:right w:val="single" w:sz="4" w:space="0" w:color="auto"/>
            </w:tcBorders>
          </w:tcPr>
          <w:p w14:paraId="3AE7B47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écouteur, clairvoyant</w:t>
            </w:r>
          </w:p>
        </w:tc>
      </w:tr>
      <w:tr w:rsidR="00A70B78" w:rsidRPr="007C6A42" w14:paraId="21590822"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1FBA42C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5622" w:type="dxa"/>
            <w:tcBorders>
              <w:top w:val="single" w:sz="4" w:space="0" w:color="auto"/>
              <w:left w:val="single" w:sz="4" w:space="0" w:color="auto"/>
              <w:bottom w:val="single" w:sz="4" w:space="0" w:color="auto"/>
              <w:right w:val="single" w:sz="4" w:space="0" w:color="auto"/>
            </w:tcBorders>
          </w:tcPr>
          <w:p w14:paraId="47A1B2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celui qui entend et qui voit</w:t>
            </w:r>
          </w:p>
        </w:tc>
      </w:tr>
      <w:tr w:rsidR="00A70B78" w:rsidRPr="007C6A42" w14:paraId="223D4F1F"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6F99CD6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5622" w:type="dxa"/>
            <w:tcBorders>
              <w:top w:val="single" w:sz="4" w:space="0" w:color="auto"/>
              <w:left w:val="single" w:sz="4" w:space="0" w:color="auto"/>
              <w:bottom w:val="single" w:sz="4" w:space="0" w:color="auto"/>
              <w:right w:val="single" w:sz="4" w:space="0" w:color="auto"/>
            </w:tcBorders>
          </w:tcPr>
          <w:p w14:paraId="7A68D19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Omni-Audiant, Omnivoyant</w:t>
            </w:r>
          </w:p>
        </w:tc>
      </w:tr>
      <w:tr w:rsidR="00A70B78" w:rsidRPr="007C6A42" w14:paraId="7E98F975" w14:textId="77777777" w:rsidTr="00AF4FC9">
        <w:trPr>
          <w:jc w:val="center"/>
        </w:trPr>
        <w:tc>
          <w:tcPr>
            <w:tcW w:w="1651" w:type="dxa"/>
            <w:tcBorders>
              <w:top w:val="single" w:sz="4" w:space="0" w:color="auto"/>
              <w:left w:val="single" w:sz="4" w:space="0" w:color="auto"/>
              <w:bottom w:val="single" w:sz="4" w:space="0" w:color="auto"/>
              <w:right w:val="single" w:sz="4" w:space="0" w:color="auto"/>
            </w:tcBorders>
          </w:tcPr>
          <w:p w14:paraId="251113D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5622" w:type="dxa"/>
            <w:tcBorders>
              <w:top w:val="single" w:sz="4" w:space="0" w:color="auto"/>
              <w:left w:val="single" w:sz="4" w:space="0" w:color="auto"/>
              <w:bottom w:val="single" w:sz="4" w:space="0" w:color="auto"/>
              <w:right w:val="single" w:sz="4" w:space="0" w:color="auto"/>
            </w:tcBorders>
          </w:tcPr>
          <w:p w14:paraId="1B32955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Celui qui entend et Celui qui voit parfaitement</w:t>
            </w:r>
          </w:p>
        </w:tc>
      </w:tr>
    </w:tbl>
    <w:p w14:paraId="4DA6F431" w14:textId="77777777" w:rsidR="00A70B78" w:rsidRPr="007C6A42" w:rsidRDefault="00A70B78" w:rsidP="00A70B78">
      <w:pPr>
        <w:spacing w:line="360" w:lineRule="auto"/>
        <w:rPr>
          <w:rFonts w:asciiTheme="majorBidi" w:eastAsia="Times New Roman" w:hAnsiTheme="majorBidi" w:cstheme="majorBidi"/>
          <w:shd w:val="clear" w:color="auto" w:fill="FFFFFF"/>
          <w:lang w:bidi="ar-KW"/>
        </w:rPr>
      </w:pPr>
    </w:p>
    <w:p w14:paraId="18F2CADA"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eastAsia="Times New Roman" w:hAnsiTheme="majorBidi" w:cstheme="majorBidi"/>
          <w:i/>
          <w:iCs/>
        </w:rPr>
        <w:t>Baṣīr</w:t>
      </w:r>
      <w:r w:rsidRPr="007C6A42">
        <w:rPr>
          <w:rFonts w:asciiTheme="majorBidi" w:hAnsiTheme="majorBidi" w:cstheme="majorBidi"/>
        </w:rPr>
        <w:t xml:space="preserve"> est également rendu par : 1) une phrase (9 fois sur 18) : « voit tout ce qu’ils font, &amp; les protègera », « il voit tout ce qu’ils font », « </w:t>
      </w:r>
      <w:r w:rsidRPr="007C6A42">
        <w:rPr>
          <w:rFonts w:asciiTheme="majorBidi" w:eastAsia="Times New Roman" w:hAnsiTheme="majorBidi" w:cstheme="majorBidi"/>
        </w:rPr>
        <w:t>Il apprécie tout », « voit tout », « </w:t>
      </w:r>
      <w:r w:rsidRPr="007C6A42">
        <w:rPr>
          <w:rFonts w:asciiTheme="majorBidi" w:hAnsiTheme="majorBidi" w:cstheme="majorBidi"/>
        </w:rPr>
        <w:t xml:space="preserve">qui voit parfaitement », « il voit », « qui voit », « Il observe, vraiment ! », « observe » ; 2) ou par un mot simple : « clairvoyant » (avec ou sans majuscule), « voyant », « Connaissant », « omniscient », « Omnivoyant ». Le nom </w:t>
      </w:r>
      <w:r w:rsidRPr="007C6A42">
        <w:rPr>
          <w:rFonts w:asciiTheme="majorBidi" w:eastAsia="Times New Roman" w:hAnsiTheme="majorBidi" w:cstheme="majorBidi"/>
          <w:i/>
          <w:iCs/>
        </w:rPr>
        <w:t>baṣīr</w:t>
      </w:r>
      <w:r w:rsidRPr="007C6A42">
        <w:rPr>
          <w:rFonts w:asciiTheme="majorBidi" w:hAnsiTheme="majorBidi" w:cstheme="majorBidi"/>
        </w:rPr>
        <w:t xml:space="preserve"> signifie beaucoup plus que « il voit/observe » ou « voyant » ou </w:t>
      </w:r>
      <w:r w:rsidRPr="007C6A42">
        <w:rPr>
          <w:rFonts w:asciiTheme="majorBidi" w:hAnsiTheme="majorBidi" w:cstheme="majorBidi"/>
        </w:rPr>
        <w:lastRenderedPageBreak/>
        <w:t xml:space="preserve">« clairvoyant ». Dieu est </w:t>
      </w:r>
      <w:r w:rsidRPr="007C6A42">
        <w:rPr>
          <w:rFonts w:asciiTheme="majorBidi" w:eastAsia="Times New Roman" w:hAnsiTheme="majorBidi" w:cstheme="majorBidi"/>
          <w:i/>
          <w:iCs/>
        </w:rPr>
        <w:t>baṣīr</w:t>
      </w:r>
      <w:r w:rsidRPr="007C6A42">
        <w:rPr>
          <w:rFonts w:asciiTheme="majorBidi" w:eastAsia="Times New Roman" w:hAnsiTheme="majorBidi" w:cstheme="majorBidi"/>
          <w:i/>
          <w:iCs/>
          <w:u w:val="single"/>
        </w:rPr>
        <w:t>,</w:t>
      </w:r>
      <w:r w:rsidRPr="007C6A42">
        <w:rPr>
          <w:rFonts w:asciiTheme="majorBidi" w:hAnsiTheme="majorBidi" w:cstheme="majorBidi"/>
        </w:rPr>
        <w:t xml:space="preserve"> c’est-à-dire qu’ « il voit la marche lente de la fourmi noire sur le dur rocher dans la nuit noire » (</w:t>
      </w:r>
      <w:r w:rsidRPr="007C6A42">
        <w:rPr>
          <w:rFonts w:asciiTheme="majorBidi" w:eastAsia="Times New Roman" w:hAnsiTheme="majorBidi" w:cstheme="majorBidi"/>
          <w:shd w:val="clear" w:color="auto" w:fill="FFFFFF"/>
          <w:rtl/>
        </w:rPr>
        <w:t>"يرى دبيبَ النملة السوداء على الصخرة الصّمّاء في الليلة الظلماء"</w:t>
      </w:r>
      <w:r w:rsidRPr="007C6A42">
        <w:rPr>
          <w:rFonts w:asciiTheme="majorBidi" w:hAnsiTheme="majorBidi" w:cstheme="majorBidi"/>
        </w:rPr>
        <w:t>)</w:t>
      </w:r>
      <w:r w:rsidRPr="007C6A42">
        <w:rPr>
          <w:rStyle w:val="Appelnotedebasdep"/>
          <w:rFonts w:asciiTheme="majorBidi" w:hAnsiTheme="majorBidi" w:cstheme="majorBidi"/>
        </w:rPr>
        <w:footnoteReference w:id="524"/>
      </w:r>
      <w:r w:rsidRPr="007C6A42">
        <w:rPr>
          <w:rFonts w:asciiTheme="majorBidi" w:hAnsiTheme="majorBidi" w:cstheme="majorBidi"/>
        </w:rPr>
        <w:t>. En d’autres termes, il voit le visible (</w:t>
      </w:r>
      <w:r w:rsidRPr="007C6A42">
        <w:rPr>
          <w:rFonts w:asciiTheme="majorBidi" w:hAnsiTheme="majorBidi" w:cstheme="majorBidi"/>
          <w:i/>
          <w:iCs/>
        </w:rPr>
        <w:t>aẓ-ẓāhir</w:t>
      </w:r>
      <w:r w:rsidRPr="007C6A42">
        <w:rPr>
          <w:rFonts w:asciiTheme="majorBidi" w:hAnsiTheme="majorBidi" w:cstheme="majorBidi"/>
        </w:rPr>
        <w:t>) et l’invisible (</w:t>
      </w:r>
      <w:r w:rsidRPr="007C6A42">
        <w:rPr>
          <w:rFonts w:asciiTheme="majorBidi" w:hAnsiTheme="majorBidi" w:cstheme="majorBidi"/>
          <w:i/>
          <w:iCs/>
        </w:rPr>
        <w:t>al-bāṭin</w:t>
      </w:r>
      <w:r w:rsidRPr="007C6A42">
        <w:rPr>
          <w:rFonts w:asciiTheme="majorBidi" w:hAnsiTheme="majorBidi" w:cstheme="majorBidi"/>
        </w:rPr>
        <w:t>).</w:t>
      </w:r>
    </w:p>
    <w:p w14:paraId="355CD8E0"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hAnsiTheme="majorBidi" w:cstheme="majorBidi"/>
        </w:rPr>
        <w:t xml:space="preserve">La traduction de Guessous (« omniscient ») dénote le nom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w:t>
      </w:r>
      <w:r w:rsidRPr="007C6A42">
        <w:rPr>
          <w:rFonts w:asciiTheme="majorBidi" w:hAnsiTheme="majorBidi" w:cstheme="majorBidi"/>
        </w:rPr>
        <w:t xml:space="preserve">plutôt que </w:t>
      </w:r>
      <w:r w:rsidRPr="007C6A42">
        <w:rPr>
          <w:rFonts w:asciiTheme="majorBidi" w:eastAsia="Times New Roman" w:hAnsiTheme="majorBidi" w:cstheme="majorBidi"/>
          <w:i/>
          <w:iCs/>
        </w:rPr>
        <w:t>baṣīr</w:t>
      </w:r>
      <w:r w:rsidRPr="007C6A42">
        <w:rPr>
          <w:rFonts w:asciiTheme="majorBidi" w:hAnsiTheme="majorBidi" w:cstheme="majorBidi"/>
        </w:rPr>
        <w:t xml:space="preserve">. En outre, pour créer une assonance de la traduction, il a recours à l’allongement ou à la redondance en ajoutant « en vérité » et « sur la totalité ». De même, le mot « Connaissant » choisi par Berque ne rend plus </w:t>
      </w:r>
      <w:r w:rsidRPr="007C6A42">
        <w:rPr>
          <w:rFonts w:asciiTheme="majorBidi" w:hAnsiTheme="majorBidi" w:cstheme="majorBidi"/>
          <w:i/>
          <w:iCs/>
        </w:rPr>
        <w:t>ʿ</w:t>
      </w:r>
      <w:r w:rsidRPr="007C6A42">
        <w:rPr>
          <w:rFonts w:asciiTheme="majorBidi" w:hAnsiTheme="majorBidi" w:cstheme="majorBidi"/>
          <w:i/>
          <w:iCs/>
          <w:lang w:bidi="ar-KW"/>
        </w:rPr>
        <w:t>ālim</w:t>
      </w:r>
      <w:r w:rsidRPr="007C6A42">
        <w:rPr>
          <w:rFonts w:asciiTheme="majorBidi" w:hAnsiTheme="majorBidi" w:cstheme="majorBidi"/>
          <w:lang w:bidi="ar-KW"/>
        </w:rPr>
        <w:t> que</w:t>
      </w:r>
      <w:r w:rsidRPr="007C6A42">
        <w:rPr>
          <w:rFonts w:asciiTheme="majorBidi" w:eastAsia="Times New Roman" w:hAnsiTheme="majorBidi" w:cstheme="majorBidi"/>
        </w:rPr>
        <w:t> </w:t>
      </w:r>
      <w:r w:rsidRPr="007C6A42">
        <w:rPr>
          <w:rFonts w:asciiTheme="majorBidi" w:eastAsia="Times New Roman" w:hAnsiTheme="majorBidi" w:cstheme="majorBidi"/>
          <w:i/>
          <w:iCs/>
        </w:rPr>
        <w:t>baṣīr</w:t>
      </w:r>
      <w:r w:rsidRPr="007C6A42">
        <w:rPr>
          <w:rFonts w:asciiTheme="majorBidi" w:hAnsiTheme="majorBidi" w:cstheme="majorBidi"/>
          <w:lang w:bidi="ar-KW"/>
        </w:rPr>
        <w:t xml:space="preserve">. Qui plus est, Berque traduit </w:t>
      </w:r>
      <w:r w:rsidRPr="007C6A42">
        <w:rPr>
          <w:rFonts w:asciiTheme="majorBidi" w:eastAsia="Times New Roman" w:hAnsiTheme="majorBidi" w:cstheme="majorBidi"/>
          <w:i/>
          <w:iCs/>
        </w:rPr>
        <w:t>baṣīr</w:t>
      </w:r>
      <w:r w:rsidRPr="007C6A42">
        <w:rPr>
          <w:rFonts w:asciiTheme="majorBidi" w:eastAsia="Times New Roman" w:hAnsiTheme="majorBidi" w:cstheme="majorBidi"/>
        </w:rPr>
        <w:t xml:space="preserve"> une fois par </w:t>
      </w:r>
      <w:r w:rsidRPr="007C6A42">
        <w:rPr>
          <w:rFonts w:asciiTheme="majorBidi" w:hAnsiTheme="majorBidi" w:cstheme="majorBidi"/>
        </w:rPr>
        <w:t>« Connaissant » (v. 61) et une autre par « Clairvoyant » (v. 75). Cette tendance à l’enrichissement quantitatif modifie la teneur polysémique du mot.</w:t>
      </w:r>
    </w:p>
    <w:p w14:paraId="45F8CE62"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hAnsiTheme="majorBidi" w:cstheme="majorBidi"/>
        </w:rPr>
        <w:t xml:space="preserve">Savary s’éloigne beaucoup du texte de départ en traduisant l’ensemble des noms de Dieu </w:t>
      </w:r>
      <w:r w:rsidRPr="007C6A42">
        <w:rPr>
          <w:rFonts w:asciiTheme="majorBidi" w:eastAsia="Times New Roman" w:hAnsiTheme="majorBidi" w:cstheme="majorBidi"/>
          <w:i/>
          <w:iCs/>
        </w:rPr>
        <w:t>Samīʿ Baṣīr</w:t>
      </w:r>
      <w:r w:rsidRPr="007C6A42">
        <w:rPr>
          <w:rFonts w:asciiTheme="majorBidi" w:eastAsia="Times New Roman" w:hAnsiTheme="majorBidi" w:cstheme="majorBidi"/>
        </w:rPr>
        <w:t xml:space="preserve"> </w:t>
      </w:r>
      <w:r w:rsidRPr="007C6A42">
        <w:rPr>
          <w:rFonts w:asciiTheme="majorBidi" w:hAnsiTheme="majorBidi" w:cstheme="majorBidi"/>
        </w:rPr>
        <w:t>par : « </w:t>
      </w:r>
      <w:r w:rsidRPr="007C6A42">
        <w:rPr>
          <w:rFonts w:asciiTheme="majorBidi" w:eastAsia="Times New Roman" w:hAnsiTheme="majorBidi" w:cstheme="majorBidi"/>
        </w:rPr>
        <w:t>Il sait et apprécie toutes choses » (v. 61) et « Il apprécie tout » (v. 75).</w:t>
      </w:r>
    </w:p>
    <w:p w14:paraId="75126A9A" w14:textId="77777777" w:rsidR="00A70B78" w:rsidRDefault="00A70B78" w:rsidP="00A70B78">
      <w:pPr>
        <w:spacing w:line="360" w:lineRule="auto"/>
        <w:contextualSpacing/>
        <w:jc w:val="both"/>
        <w:rPr>
          <w:rFonts w:asciiTheme="majorBidi" w:hAnsiTheme="majorBidi" w:cstheme="majorBidi"/>
        </w:rPr>
      </w:pPr>
    </w:p>
    <w:p w14:paraId="76D4F05A" w14:textId="77777777" w:rsidR="00A96E5B" w:rsidRPr="007C6A42" w:rsidRDefault="00A96E5B" w:rsidP="00A70B78">
      <w:pPr>
        <w:spacing w:line="360" w:lineRule="auto"/>
        <w:contextualSpacing/>
        <w:jc w:val="both"/>
        <w:rPr>
          <w:rFonts w:asciiTheme="majorBidi" w:hAnsiTheme="majorBidi" w:cstheme="majorBidi"/>
        </w:rPr>
      </w:pPr>
    </w:p>
    <w:p w14:paraId="5E909074" w14:textId="77777777" w:rsidR="00A70B78" w:rsidRPr="007C6A42" w:rsidRDefault="00A70B78" w:rsidP="00A70B78">
      <w:pPr>
        <w:spacing w:line="360" w:lineRule="auto"/>
        <w:jc w:val="center"/>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-6-</w:t>
      </w:r>
    </w:p>
    <w:p w14:paraId="6B028B61" w14:textId="77777777" w:rsidR="00A70B78" w:rsidRPr="007C6A42" w:rsidRDefault="00A70B78" w:rsidP="00A70B78">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 xml:space="preserve">Traduction des noms </w:t>
      </w:r>
      <w:r w:rsidRPr="007C6A42">
        <w:rPr>
          <w:rFonts w:asciiTheme="majorBidi" w:eastAsia="Calibri" w:hAnsiTheme="majorBidi" w:cstheme="majorBidi"/>
          <w:b/>
          <w:bCs/>
          <w:i/>
          <w:iCs/>
          <w:lang w:bidi="ar-AE"/>
        </w:rPr>
        <w:t>la</w:t>
      </w:r>
      <w:r w:rsidRPr="007C6A42">
        <w:rPr>
          <w:rFonts w:asciiTheme="majorBidi" w:eastAsia="Times New Roman" w:hAnsiTheme="majorBidi" w:cstheme="majorBidi"/>
          <w:b/>
          <w:bCs/>
          <w:i/>
          <w:iCs/>
        </w:rPr>
        <w:t>ṭīf khabīr</w:t>
      </w:r>
      <w:r w:rsidRPr="007C6A42">
        <w:rPr>
          <w:rFonts w:asciiTheme="majorBidi" w:eastAsia="Times New Roman" w:hAnsiTheme="majorBidi" w:cstheme="majorBidi"/>
          <w:b/>
          <w:bCs/>
        </w:rPr>
        <w:t xml:space="preserve"> (v. 63) :</w:t>
      </w:r>
    </w:p>
    <w:p w14:paraId="5BA9EEE4" w14:textId="77777777" w:rsidR="00A70B78" w:rsidRPr="007C6A42" w:rsidRDefault="00A70B78" w:rsidP="00A70B78">
      <w:pPr>
        <w:spacing w:line="360" w:lineRule="auto"/>
        <w:ind w:firstLine="720"/>
        <w:jc w:val="both"/>
        <w:rPr>
          <w:rFonts w:asciiTheme="majorBidi" w:eastAsia="Times New Roman" w:hAnsiTheme="majorBidi" w:cstheme="majorBidi"/>
          <w:rtl/>
        </w:rPr>
      </w:pPr>
      <w:r w:rsidRPr="007C6A42">
        <w:rPr>
          <w:rFonts w:asciiTheme="majorBidi" w:eastAsia="Times New Roman" w:hAnsiTheme="majorBidi" w:cstheme="majorBidi"/>
        </w:rPr>
        <w:t xml:space="preserve">Le nom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pose un problème de compréhension et de traduction. Selon l’exégèse, les principaux aspects sémantiques de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sont :</w:t>
      </w:r>
      <w:r w:rsidRPr="007C6A42">
        <w:rPr>
          <w:rStyle w:val="Appelnotedebasdep"/>
          <w:rFonts w:asciiTheme="majorBidi" w:hAnsiTheme="majorBidi" w:cstheme="majorBidi"/>
        </w:rPr>
        <w:footnoteReference w:id="525"/>
      </w:r>
      <w:r w:rsidRPr="007C6A42">
        <w:rPr>
          <w:rFonts w:asciiTheme="majorBidi" w:eastAsia="Times New Roman" w:hAnsiTheme="majorBidi" w:cstheme="majorBidi"/>
        </w:rPr>
        <w:t xml:space="preserve"> 1) </w:t>
      </w:r>
      <w:r w:rsidRPr="007C6A42">
        <w:rPr>
          <w:rFonts w:asciiTheme="majorBidi" w:hAnsiTheme="majorBidi" w:cstheme="majorBidi"/>
        </w:rPr>
        <w:t>subtil : Dieu n’est pas perçu (</w:t>
      </w:r>
      <w:r w:rsidRPr="007C6A42">
        <w:rPr>
          <w:rFonts w:asciiTheme="majorBidi" w:hAnsiTheme="majorBidi" w:cstheme="majorBidi"/>
          <w:i/>
          <w:iCs/>
        </w:rPr>
        <w:t>ṣifat tanzīh</w:t>
      </w:r>
      <w:r w:rsidRPr="007C6A42">
        <w:rPr>
          <w:rFonts w:asciiTheme="majorBidi" w:hAnsiTheme="majorBidi" w:cstheme="majorBidi"/>
        </w:rPr>
        <w:t xml:space="preserve"> [qualité de transcendance]) ;</w:t>
      </w:r>
      <w:r w:rsidRPr="007C6A42">
        <w:rPr>
          <w:rFonts w:asciiTheme="majorBidi" w:eastAsia="Times New Roman" w:hAnsiTheme="majorBidi" w:cstheme="majorBidi"/>
        </w:rPr>
        <w:t xml:space="preserve"> 2) </w:t>
      </w:r>
      <w:r w:rsidRPr="007C6A42">
        <w:rPr>
          <w:rFonts w:asciiTheme="majorBidi" w:hAnsiTheme="majorBidi" w:cstheme="majorBidi"/>
        </w:rPr>
        <w:t>compénétrant : il a l’omniscience des finesses (</w:t>
      </w:r>
      <w:r w:rsidRPr="007C6A42">
        <w:rPr>
          <w:rFonts w:asciiTheme="majorBidi" w:hAnsiTheme="majorBidi" w:cstheme="majorBidi"/>
          <w:i/>
          <w:iCs/>
        </w:rPr>
        <w:t>daqāʾiq</w:t>
      </w:r>
      <w:r w:rsidRPr="007C6A42">
        <w:rPr>
          <w:rFonts w:asciiTheme="majorBidi" w:hAnsiTheme="majorBidi" w:cstheme="majorBidi"/>
        </w:rPr>
        <w:t>) propres aux choses et de leurs profondes réalités (</w:t>
      </w:r>
      <w:r w:rsidRPr="007C6A42">
        <w:rPr>
          <w:rFonts w:asciiTheme="majorBidi" w:hAnsiTheme="majorBidi" w:cstheme="majorBidi"/>
          <w:i/>
          <w:iCs/>
        </w:rPr>
        <w:t>ghawāmiḍ</w:t>
      </w:r>
      <w:r w:rsidRPr="007C6A42">
        <w:rPr>
          <w:rFonts w:asciiTheme="majorBidi" w:hAnsiTheme="majorBidi" w:cstheme="majorBidi"/>
        </w:rPr>
        <w:t>) (</w:t>
      </w:r>
      <w:r w:rsidRPr="007C6A42">
        <w:rPr>
          <w:rFonts w:asciiTheme="majorBidi" w:hAnsiTheme="majorBidi" w:cstheme="majorBidi"/>
          <w:i/>
          <w:iCs/>
        </w:rPr>
        <w:t>ṣifat dhāt</w:t>
      </w:r>
      <w:r w:rsidRPr="007C6A42">
        <w:rPr>
          <w:rFonts w:asciiTheme="majorBidi" w:hAnsiTheme="majorBidi" w:cstheme="majorBidi"/>
        </w:rPr>
        <w:t xml:space="preserve"> [qualité d’Essence]) ;</w:t>
      </w:r>
      <w:r w:rsidRPr="007C6A42">
        <w:rPr>
          <w:rFonts w:asciiTheme="majorBidi" w:eastAsia="Times New Roman" w:hAnsiTheme="majorBidi" w:cstheme="majorBidi"/>
        </w:rPr>
        <w:t xml:space="preserve"> </w:t>
      </w:r>
      <w:r w:rsidRPr="007C6A42">
        <w:rPr>
          <w:rFonts w:asciiTheme="majorBidi" w:hAnsiTheme="majorBidi" w:cstheme="majorBidi"/>
        </w:rPr>
        <w:t>bon : il est bienveillant avec ses serviteurs sans qu’ils ne sachent comment, grâce à son action subtile (</w:t>
      </w:r>
      <w:r w:rsidRPr="007C6A42">
        <w:rPr>
          <w:rFonts w:asciiTheme="majorBidi" w:hAnsiTheme="majorBidi" w:cstheme="majorBidi"/>
          <w:i/>
          <w:iCs/>
        </w:rPr>
        <w:t>luṭf</w:t>
      </w:r>
      <w:r w:rsidRPr="007C6A42">
        <w:rPr>
          <w:rFonts w:asciiTheme="majorBidi" w:hAnsiTheme="majorBidi" w:cstheme="majorBidi"/>
        </w:rPr>
        <w:t>). Il dispose ce qui leur convient d’une manière inattendue. Il agit avec bienveillance sans aucune dureté.</w:t>
      </w:r>
    </w:p>
    <w:p w14:paraId="213E74FA"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Les traductions de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w:t>
      </w:r>
      <w:r w:rsidRPr="007C6A42">
        <w:rPr>
          <w:rFonts w:asciiTheme="majorBidi" w:eastAsia="Times New Roman" w:hAnsiTheme="majorBidi" w:cstheme="majorBidi"/>
          <w:shd w:val="clear" w:color="auto" w:fill="FFFFFF"/>
          <w:lang w:bidi="ar-KW"/>
        </w:rPr>
        <w:t xml:space="preserve">sont diverses. En le traduisant par « bénin à son peuple », Du Ryer a allongé la traduction pour la clarifier, et du coup a réduit son champ sémantique. Il traduit ce nom de Dieu en tant qu’attribut de Dieu, le dieu des musulmans. Selon sa traduction, l’action de </w:t>
      </w:r>
      <w:r w:rsidRPr="007C6A42">
        <w:rPr>
          <w:rFonts w:asciiTheme="majorBidi" w:hAnsiTheme="majorBidi" w:cstheme="majorBidi"/>
          <w:i/>
          <w:iCs/>
        </w:rPr>
        <w:t xml:space="preserve">luṭf </w:t>
      </w:r>
      <w:r w:rsidRPr="007C6A42">
        <w:rPr>
          <w:rFonts w:asciiTheme="majorBidi" w:eastAsia="Times New Roman" w:hAnsiTheme="majorBidi" w:cstheme="majorBidi"/>
        </w:rPr>
        <w:t>ne concerne que les musulmans, tandis que selon l’exégèse elle concerne toutes les créatures, voire tout ce qui existe.</w:t>
      </w:r>
    </w:p>
    <w:p w14:paraId="741A4D9E"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Certains traducteurs ont traduit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par un adjectif : « habile », « plein de bonté » (4 fois), « sagace » (2 fois), « prévenant », « plein de mansuétude », « bienveillant » (2 fois), « doux », « le Subtil », « accommodant », « Affable ».</w:t>
      </w:r>
    </w:p>
    <w:p w14:paraId="3020AC72"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 xml:space="preserve">Les adjectifs « habile » et « sagace » changent la polysémie du mot et l’oriente vers un sens plus concret. Ben Mahmoud et Chebel ont rendu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par un substantif : « toute bonté ».</w:t>
      </w:r>
    </w:p>
    <w:p w14:paraId="7084699A" w14:textId="77777777" w:rsidR="00A70B78" w:rsidRPr="007C6A42" w:rsidRDefault="00A70B78" w:rsidP="00A70B78">
      <w:pPr>
        <w:spacing w:line="360" w:lineRule="auto"/>
        <w:ind w:firstLine="360"/>
        <w:jc w:val="both"/>
        <w:rPr>
          <w:rFonts w:asciiTheme="majorBidi" w:eastAsia="Times New Roman" w:hAnsiTheme="majorBidi" w:cstheme="majorBidi"/>
        </w:rPr>
      </w:pPr>
    </w:p>
    <w:p w14:paraId="416DA651" w14:textId="39F51AD6" w:rsidR="00A70B78" w:rsidRPr="00FD384B" w:rsidRDefault="00A70B78" w:rsidP="00FD384B">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Bien que l’ensemble des traductions consacre environ 12 termes pour traduire un seul terme arabe (il s’agit ici d’un enrichissement quantitatif par le cumul des traductions), prises individuellement, elles donnent lieu à un appauvrissement qualitatif, puisqu’un terme du texte de départ est remplacé par un terme n’ayant ni sa richesse sonore, ni sa richesse signifiante et iconique,</w:t>
      </w:r>
      <w:r w:rsidRPr="007C6A42">
        <w:rPr>
          <w:rFonts w:asciiTheme="majorBidi" w:eastAsia="Times New Roman" w:hAnsiTheme="majorBidi" w:cstheme="majorBidi"/>
          <w:shd w:val="clear" w:color="auto" w:fill="FFFFFF"/>
          <w:lang w:bidi="ar-KW"/>
        </w:rPr>
        <w:t xml:space="preserve"> éliminant ainsi une partie de l’imagerie théologique musulmane</w:t>
      </w:r>
      <w:r w:rsidRPr="007C6A42">
        <w:rPr>
          <w:rFonts w:asciiTheme="majorBidi" w:eastAsia="Times New Roman" w:hAnsiTheme="majorBidi" w:cstheme="majorBidi"/>
        </w:rPr>
        <w:t xml:space="preserve">. Le nom de Dieu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est extrêmement riche au plan sonore, iconique, culturel et linguistique. Ce terme vernaculaire savoureux, dru et coloré est plus imagé et plus emblématique que des termes relevant d’une langue cultivée comme « habile », « plein de bonté », « sagace », « prévenant », « plein de mansuétude », « bienveillant », « doux », « Subtil », « accommodant », « Affable ». De même pour le nom de Dieu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w:t>
      </w:r>
      <w:r w:rsidRPr="007C6A42">
        <w:rPr>
          <w:rFonts w:asciiTheme="majorBidi" w:eastAsia="Times New Roman" w:hAnsiTheme="majorBidi" w:cstheme="majorBidi"/>
        </w:rPr>
        <w:t>relevant de la langue vernaculaire et qui est utilisé dans la langue quotidienne voire dans les chansons.</w:t>
      </w:r>
      <w:r w:rsidRPr="007C6A42">
        <w:rPr>
          <w:rStyle w:val="Appelnotedebasdep"/>
          <w:rFonts w:asciiTheme="majorBidi" w:hAnsiTheme="majorBidi" w:cstheme="majorBidi"/>
        </w:rPr>
        <w:footnoteReference w:id="526"/>
      </w:r>
      <w:r w:rsidRPr="007C6A42">
        <w:rPr>
          <w:rFonts w:asciiTheme="majorBidi" w:eastAsia="Times New Roman" w:hAnsiTheme="majorBidi" w:cstheme="majorBidi"/>
        </w:rPr>
        <w:t xml:space="preserve"> Ainsi la traduction a détruit le réseau langagier vernaculaire du texte-source.</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526483A5" w14:textId="77777777" w:rsidTr="00AF4FC9">
        <w:trPr>
          <w:jc w:val="center"/>
        </w:trPr>
        <w:tc>
          <w:tcPr>
            <w:tcW w:w="6604" w:type="dxa"/>
            <w:gridSpan w:val="2"/>
            <w:tcBorders>
              <w:top w:val="nil"/>
              <w:left w:val="single" w:sz="4" w:space="0" w:color="auto"/>
              <w:bottom w:val="single" w:sz="4" w:space="0" w:color="auto"/>
              <w:right w:val="single" w:sz="4" w:space="0" w:color="auto"/>
            </w:tcBorders>
          </w:tcPr>
          <w:p w14:paraId="26923769"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Pr>
              <w:t>« </w:t>
            </w:r>
            <w:r w:rsidRPr="007C6A42">
              <w:rPr>
                <w:rFonts w:asciiTheme="majorBidi" w:eastAsia="Times New Roman" w:hAnsiTheme="majorBidi" w:cstheme="majorBidi"/>
                <w:rtl/>
              </w:rPr>
              <w:t>لطيف خبير</w:t>
            </w:r>
            <w:r w:rsidRPr="007C6A42">
              <w:rPr>
                <w:rFonts w:asciiTheme="majorBidi" w:eastAsia="Times New Roman" w:hAnsiTheme="majorBidi" w:cstheme="majorBidi"/>
              </w:rPr>
              <w:t> » (v. 63)</w:t>
            </w:r>
          </w:p>
        </w:tc>
      </w:tr>
      <w:tr w:rsidR="00A70B78" w:rsidRPr="007C6A42" w14:paraId="080D2C8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51B3C3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30E2CE32"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benin à ʃon peuple, &amp; ʃçait tout</w:t>
            </w:r>
          </w:p>
        </w:tc>
      </w:tr>
      <w:tr w:rsidR="00A70B78" w:rsidRPr="007C6A42" w14:paraId="7F3CA5A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C71309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1D6322D9"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habile et prévoyant</w:t>
            </w:r>
          </w:p>
        </w:tc>
      </w:tr>
      <w:tr w:rsidR="00A70B78" w:rsidRPr="007C6A42" w14:paraId="42AFA37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4AB51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4B4F77B1"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plein de bonté et instruit de tout </w:t>
            </w:r>
          </w:p>
        </w:tc>
      </w:tr>
      <w:tr w:rsidR="00A70B78" w:rsidRPr="007C6A42" w14:paraId="519229C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71E976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1BA2DA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sagace et bien informé</w:t>
            </w:r>
          </w:p>
        </w:tc>
      </w:tr>
      <w:tr w:rsidR="00A70B78" w:rsidRPr="007C6A42" w14:paraId="04B9BFF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F5AD50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0AAC07F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prévenant et instruit</w:t>
            </w:r>
          </w:p>
        </w:tc>
      </w:tr>
      <w:tr w:rsidR="00A70B78" w:rsidRPr="007C6A42" w14:paraId="1B206E3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506DDB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5373C38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plein de mansuétude, certes, oui, bien informé !</w:t>
            </w:r>
          </w:p>
        </w:tc>
      </w:tr>
      <w:tr w:rsidR="00A70B78" w:rsidRPr="007C6A42" w14:paraId="7E7702F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63187A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752DF0A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toute bonté et toute intuition</w:t>
            </w:r>
          </w:p>
        </w:tc>
      </w:tr>
      <w:tr w:rsidR="00A70B78" w:rsidRPr="007C6A42" w14:paraId="5D76380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6B9FA7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17CAE31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bienveillant et il est parfaitement informé</w:t>
            </w:r>
          </w:p>
        </w:tc>
      </w:tr>
      <w:tr w:rsidR="00A70B78" w:rsidRPr="007C6A42" w14:paraId="3FA2530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B5136F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Gros. (1972)</w:t>
            </w:r>
          </w:p>
        </w:tc>
        <w:tc>
          <w:tcPr>
            <w:tcW w:w="4580" w:type="dxa"/>
            <w:tcBorders>
              <w:top w:val="single" w:sz="4" w:space="0" w:color="auto"/>
              <w:left w:val="single" w:sz="4" w:space="0" w:color="auto"/>
              <w:bottom w:val="single" w:sz="4" w:space="0" w:color="auto"/>
              <w:right w:val="single" w:sz="4" w:space="0" w:color="auto"/>
            </w:tcBorders>
          </w:tcPr>
          <w:p w14:paraId="15B79A2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doux et bien renseigné</w:t>
            </w:r>
          </w:p>
        </w:tc>
      </w:tr>
      <w:tr w:rsidR="00A70B78" w:rsidRPr="007C6A42" w14:paraId="3A78D94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158844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4BD80D0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sagace, informé</w:t>
            </w:r>
          </w:p>
        </w:tc>
      </w:tr>
      <w:tr w:rsidR="00A70B78" w:rsidRPr="007C6A42" w14:paraId="22411541"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4935404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1AF0C84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le Subtil, l’Informé</w:t>
            </w:r>
          </w:p>
        </w:tc>
      </w:tr>
      <w:tr w:rsidR="00A70B78" w:rsidRPr="007C6A42" w14:paraId="6EAC703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5D92BF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6777816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instruit de tout et plein de bonté</w:t>
            </w:r>
          </w:p>
        </w:tc>
      </w:tr>
      <w:tr w:rsidR="00A70B78" w:rsidRPr="007C6A42" w14:paraId="550FA2E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859A4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51F592D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Bienveillant et parfaitement informé</w:t>
            </w:r>
          </w:p>
        </w:tc>
      </w:tr>
      <w:tr w:rsidR="00A70B78" w:rsidRPr="007C6A42" w14:paraId="61A4148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3E8DBA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27401CF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Plein de bonté et Parfaitement Connaisseur</w:t>
            </w:r>
          </w:p>
        </w:tc>
      </w:tr>
      <w:tr w:rsidR="00A70B78" w:rsidRPr="007C6A42" w14:paraId="02B7392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EB3A4D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7CC73E8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accommodant et informé</w:t>
            </w:r>
          </w:p>
        </w:tc>
      </w:tr>
      <w:tr w:rsidR="00A70B78" w:rsidRPr="007C6A42" w14:paraId="70E0FF2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A1790B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05177B4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toute bonté, Il est le plus informé.</w:t>
            </w:r>
          </w:p>
        </w:tc>
      </w:tr>
      <w:tr w:rsidR="00A70B78" w:rsidRPr="007C6A42" w14:paraId="05085F9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2A943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327D1E8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Affable, Omniconnaissant</w:t>
            </w:r>
          </w:p>
        </w:tc>
      </w:tr>
      <w:tr w:rsidR="00A70B78" w:rsidRPr="007C6A42" w14:paraId="5D1C3A1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D46C4D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0EFB634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Plein de bonté et Il est parfaitement Informé</w:t>
            </w:r>
          </w:p>
        </w:tc>
      </w:tr>
    </w:tbl>
    <w:p w14:paraId="1EEE4187"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3554AD76"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hAnsiTheme="majorBidi" w:cstheme="majorBidi"/>
        </w:rPr>
        <w:t xml:space="preserve">Quant à la traduction de l’adjectif </w:t>
      </w:r>
      <w:r w:rsidRPr="007C6A42">
        <w:rPr>
          <w:rFonts w:asciiTheme="majorBidi" w:hAnsiTheme="majorBidi" w:cstheme="majorBidi"/>
          <w:i/>
          <w:iCs/>
        </w:rPr>
        <w:t>khabīr</w:t>
      </w:r>
      <w:r w:rsidRPr="007C6A42">
        <w:rPr>
          <w:rFonts w:asciiTheme="majorBidi" w:hAnsiTheme="majorBidi" w:cstheme="majorBidi"/>
        </w:rPr>
        <w:t xml:space="preserve"> (toujours la même forme intensive), sa traduction par les participes « informé » (ou « bien informé », « parfaitement informé », « le plus informé »), « instruit de tout », « instruit », « bien renseigné », perd une dimension linguistique, sémantique et théologique. Selon ces formes qui ne contiennent pas l’idée d’augmentatif, Dieu perd une dimension d’Être sublime, tandis que l’adjectif intensif « </w:t>
      </w:r>
      <w:r w:rsidRPr="007C6A42">
        <w:rPr>
          <w:rFonts w:asciiTheme="majorBidi" w:hAnsiTheme="majorBidi" w:cstheme="majorBidi"/>
          <w:i/>
          <w:iCs/>
        </w:rPr>
        <w:t>Khabīr</w:t>
      </w:r>
      <w:r w:rsidRPr="007C6A42">
        <w:rPr>
          <w:rFonts w:asciiTheme="majorBidi" w:hAnsiTheme="majorBidi" w:cstheme="majorBidi"/>
        </w:rPr>
        <w:t> » laisse entendre un caractère inhérent, immanent, intrinsèque de Dieu. Dans le texte arabe, Dieu fait l’action, mais dans les traductions Il la reçoit. Le verbe donné par Du Ryer « sait tout » ne révèle pas les subtilités sémantiques de « </w:t>
      </w:r>
      <w:r w:rsidRPr="007C6A42">
        <w:rPr>
          <w:rFonts w:asciiTheme="majorBidi" w:hAnsiTheme="majorBidi" w:cstheme="majorBidi"/>
          <w:i/>
          <w:iCs/>
        </w:rPr>
        <w:t>khabīr</w:t>
      </w:r>
      <w:r w:rsidRPr="007C6A42">
        <w:rPr>
          <w:rFonts w:asciiTheme="majorBidi" w:hAnsiTheme="majorBidi" w:cstheme="majorBidi"/>
        </w:rPr>
        <w:t xml:space="preserve"> », ni même le mot « connaisseur » qui est déjà utilisé par Berque et Aldeeb pour traduire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(v. 52). En effet, la différence entre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et</w:t>
      </w:r>
      <w:r w:rsidRPr="007C6A42">
        <w:rPr>
          <w:rFonts w:asciiTheme="majorBidi" w:hAnsiTheme="majorBidi" w:cstheme="majorBidi"/>
        </w:rPr>
        <w:t> </w:t>
      </w:r>
      <w:r w:rsidRPr="007C6A42">
        <w:rPr>
          <w:rFonts w:asciiTheme="majorBidi" w:hAnsiTheme="majorBidi" w:cstheme="majorBidi"/>
          <w:i/>
          <w:iCs/>
        </w:rPr>
        <w:t>khabīr</w:t>
      </w:r>
      <w:r w:rsidRPr="007C6A42">
        <w:rPr>
          <w:rFonts w:asciiTheme="majorBidi" w:hAnsiTheme="majorBidi" w:cstheme="majorBidi"/>
        </w:rPr>
        <w:t xml:space="preserve"> est que le </w:t>
      </w:r>
      <w:r w:rsidRPr="007C6A42">
        <w:rPr>
          <w:rFonts w:asciiTheme="majorBidi" w:hAnsiTheme="majorBidi" w:cstheme="majorBidi"/>
          <w:i/>
          <w:iCs/>
        </w:rPr>
        <w:t>khabīr</w:t>
      </w:r>
      <w:r w:rsidRPr="007C6A42">
        <w:rPr>
          <w:rFonts w:asciiTheme="majorBidi" w:hAnsiTheme="majorBidi" w:cstheme="majorBidi"/>
        </w:rPr>
        <w:t xml:space="preserve"> connait les subtilités occultes des choses, leur quiddité, leur ipséité. Le célèbre théologien </w:t>
      </w:r>
      <w:r w:rsidRPr="007C6A42">
        <w:rPr>
          <w:rFonts w:asciiTheme="majorBidi" w:eastAsia="Times New Roman" w:hAnsiTheme="majorBidi" w:cstheme="majorBidi"/>
        </w:rPr>
        <w:t>Al-Ghazālī</w:t>
      </w:r>
      <w:r w:rsidRPr="007C6A42">
        <w:rPr>
          <w:rFonts w:asciiTheme="majorBidi" w:eastAsia="Times New Roman" w:hAnsiTheme="majorBidi" w:cstheme="majorBidi"/>
          <w:shd w:val="clear" w:color="auto" w:fill="FFFFFF"/>
        </w:rPr>
        <w:t xml:space="preserve"> souligne :</w:t>
      </w:r>
      <w:r w:rsidRPr="007C6A42">
        <w:rPr>
          <w:rStyle w:val="Appelnotedebasdep"/>
          <w:rFonts w:asciiTheme="majorBidi" w:hAnsiTheme="majorBidi" w:cstheme="majorBidi"/>
        </w:rPr>
        <w:footnoteReference w:id="527"/>
      </w:r>
    </w:p>
    <w:p w14:paraId="0C8F6468" w14:textId="77777777" w:rsidR="00A70B78" w:rsidRPr="007C6A42" w:rsidRDefault="00A70B78" w:rsidP="00A70B78">
      <w:pPr>
        <w:bidi/>
        <w:spacing w:line="360" w:lineRule="auto"/>
        <w:contextualSpacing/>
        <w:jc w:val="center"/>
        <w:rPr>
          <w:rFonts w:asciiTheme="majorBidi" w:hAnsiTheme="majorBidi" w:cstheme="majorBidi"/>
          <w:rtl/>
        </w:rPr>
      </w:pPr>
      <w:r w:rsidRPr="007C6A42">
        <w:rPr>
          <w:rFonts w:asciiTheme="majorBidi" w:hAnsiTheme="majorBidi" w:cstheme="majorBidi"/>
          <w:rtl/>
        </w:rPr>
        <w:t>"الخبير هو الذي لا تَعزُب عنه الأخبارُ الباطنة. [...] وهو بمعنى العليم، ولكن العلم إذا أضيف إلى الخفايا الباطنة سُمِّيَ خِبرةً ويُسمَّى صاحبُها خبيرًا."</w:t>
      </w:r>
    </w:p>
    <w:p w14:paraId="740BA9C4" w14:textId="77777777" w:rsidR="00A70B78" w:rsidRPr="007C6A42" w:rsidRDefault="00A70B78" w:rsidP="00A70B78">
      <w:pPr>
        <w:spacing w:line="360" w:lineRule="auto"/>
        <w:contextualSpacing/>
        <w:jc w:val="center"/>
        <w:rPr>
          <w:rFonts w:asciiTheme="majorBidi" w:hAnsiTheme="majorBidi" w:cstheme="majorBidi"/>
          <w:rtl/>
        </w:rPr>
      </w:pPr>
      <w:r w:rsidRPr="007C6A42">
        <w:rPr>
          <w:rFonts w:asciiTheme="majorBidi" w:hAnsiTheme="majorBidi" w:cstheme="majorBidi"/>
        </w:rPr>
        <w:t xml:space="preserve">[« Le </w:t>
      </w:r>
      <w:r w:rsidRPr="007C6A42">
        <w:rPr>
          <w:rFonts w:asciiTheme="majorBidi" w:hAnsiTheme="majorBidi" w:cstheme="majorBidi"/>
          <w:i/>
          <w:iCs/>
        </w:rPr>
        <w:t>khabīr</w:t>
      </w:r>
      <w:r w:rsidRPr="007C6A42">
        <w:rPr>
          <w:rFonts w:asciiTheme="majorBidi" w:hAnsiTheme="majorBidi" w:cstheme="majorBidi"/>
        </w:rPr>
        <w:t xml:space="preserve"> est celui à qui n’échappe aucune information cachée. […] Il est quasi synonyme de </w:t>
      </w:r>
      <w:r w:rsidRPr="007C6A42">
        <w:rPr>
          <w:rFonts w:asciiTheme="majorBidi" w:hAnsiTheme="majorBidi" w:cstheme="majorBidi"/>
          <w:i/>
          <w:iCs/>
        </w:rPr>
        <w:t>ʿ</w:t>
      </w:r>
      <w:r w:rsidRPr="007C6A42">
        <w:rPr>
          <w:rFonts w:asciiTheme="majorBidi" w:hAnsiTheme="majorBidi" w:cstheme="majorBidi"/>
          <w:i/>
          <w:iCs/>
          <w:lang w:bidi="ar-KW"/>
        </w:rPr>
        <w:t>alīm</w:t>
      </w:r>
      <w:r w:rsidRPr="007C6A42">
        <w:rPr>
          <w:rFonts w:asciiTheme="majorBidi" w:hAnsiTheme="majorBidi" w:cstheme="majorBidi"/>
          <w:lang w:bidi="ar-KW"/>
        </w:rPr>
        <w:t xml:space="preserve">, </w:t>
      </w:r>
      <w:r w:rsidRPr="007C6A42">
        <w:rPr>
          <w:rFonts w:asciiTheme="majorBidi" w:hAnsiTheme="majorBidi" w:cstheme="majorBidi"/>
        </w:rPr>
        <w:t xml:space="preserve">mais la connaissance, quand elle concerne les subtilités occultes, est appelée </w:t>
      </w:r>
      <w:r w:rsidRPr="007C6A42">
        <w:rPr>
          <w:rFonts w:asciiTheme="majorBidi" w:hAnsiTheme="majorBidi" w:cstheme="majorBidi"/>
          <w:i/>
          <w:iCs/>
        </w:rPr>
        <w:t>khibra</w:t>
      </w:r>
      <w:r w:rsidRPr="007C6A42">
        <w:rPr>
          <w:rFonts w:asciiTheme="majorBidi" w:hAnsiTheme="majorBidi" w:cstheme="majorBidi"/>
        </w:rPr>
        <w:t xml:space="preserve">, et celui qui la détient s’appelle </w:t>
      </w:r>
      <w:r w:rsidRPr="007C6A42">
        <w:rPr>
          <w:rFonts w:asciiTheme="majorBidi" w:hAnsiTheme="majorBidi" w:cstheme="majorBidi"/>
          <w:i/>
        </w:rPr>
        <w:t>k</w:t>
      </w:r>
      <w:r w:rsidRPr="007C6A42">
        <w:rPr>
          <w:rFonts w:asciiTheme="majorBidi" w:hAnsiTheme="majorBidi" w:cstheme="majorBidi"/>
          <w:i/>
          <w:iCs/>
        </w:rPr>
        <w:t>habīr</w:t>
      </w:r>
      <w:r w:rsidRPr="007C6A42">
        <w:rPr>
          <w:rFonts w:asciiTheme="majorBidi" w:hAnsiTheme="majorBidi" w:cstheme="majorBidi"/>
        </w:rPr>
        <w:t>.]</w:t>
      </w:r>
    </w:p>
    <w:p w14:paraId="7E7CC90C" w14:textId="77777777" w:rsidR="00A70B78" w:rsidRPr="007C6A42" w:rsidRDefault="00A70B78" w:rsidP="00A70B78">
      <w:pPr>
        <w:spacing w:line="360" w:lineRule="auto"/>
        <w:ind w:firstLine="720"/>
        <w:contextualSpacing/>
        <w:jc w:val="both"/>
        <w:rPr>
          <w:rFonts w:asciiTheme="majorBidi" w:hAnsiTheme="majorBidi" w:cstheme="majorBidi"/>
        </w:rPr>
      </w:pPr>
    </w:p>
    <w:p w14:paraId="1439D383"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hAnsiTheme="majorBidi" w:cstheme="majorBidi"/>
        </w:rPr>
        <w:lastRenderedPageBreak/>
        <w:t>Guessous a inversé l’ordre des noms pour avoir l’assonance voulue, d’où sa traduction : « instruit de tout et plein de bonté ». Cette modification n’est pas indifférente dans un texte dont l’ordre des mots est sacré et a un sens.</w:t>
      </w:r>
    </w:p>
    <w:p w14:paraId="09740FB3" w14:textId="77777777" w:rsidR="00A70B78" w:rsidRPr="007C6A42" w:rsidRDefault="00A70B78" w:rsidP="00A70B78">
      <w:pPr>
        <w:spacing w:line="360" w:lineRule="auto"/>
        <w:ind w:firstLine="720"/>
        <w:contextualSpacing/>
        <w:jc w:val="both"/>
        <w:rPr>
          <w:rFonts w:asciiTheme="majorBidi" w:hAnsiTheme="majorBidi" w:cstheme="majorBidi"/>
        </w:rPr>
      </w:pPr>
    </w:p>
    <w:p w14:paraId="448B07F7" w14:textId="77777777" w:rsidR="00A70B78" w:rsidRPr="007C6A42" w:rsidRDefault="00A70B78" w:rsidP="00A70B78">
      <w:pPr>
        <w:spacing w:line="360" w:lineRule="auto"/>
        <w:jc w:val="center"/>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-7-</w:t>
      </w:r>
    </w:p>
    <w:p w14:paraId="24BD6294" w14:textId="77777777" w:rsidR="00A70B78" w:rsidRPr="007C6A42" w:rsidRDefault="00A70B78" w:rsidP="00A70B78">
      <w:pPr>
        <w:spacing w:line="360" w:lineRule="auto"/>
        <w:jc w:val="center"/>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rPr>
        <w:t xml:space="preserve">Traduction des noms </w:t>
      </w:r>
      <w:r w:rsidRPr="007C6A42">
        <w:rPr>
          <w:rFonts w:asciiTheme="majorBidi" w:eastAsia="Times New Roman" w:hAnsiTheme="majorBidi" w:cstheme="majorBidi"/>
          <w:b/>
          <w:bCs/>
          <w:i/>
          <w:iCs/>
          <w:shd w:val="clear" w:color="auto" w:fill="FFFFFF"/>
          <w:lang w:bidi="ar-KW"/>
        </w:rPr>
        <w:t>al-ghanī al-ḥamīd</w:t>
      </w:r>
      <w:r w:rsidRPr="007C6A42">
        <w:rPr>
          <w:rFonts w:asciiTheme="majorBidi" w:eastAsia="Times New Roman" w:hAnsiTheme="majorBidi" w:cstheme="majorBidi"/>
          <w:b/>
          <w:bCs/>
          <w:shd w:val="clear" w:color="auto" w:fill="FFFFFF"/>
          <w:lang w:bidi="ar-KW"/>
        </w:rPr>
        <w:t xml:space="preserve"> (64) :</w:t>
      </w:r>
    </w:p>
    <w:p w14:paraId="107B850F" w14:textId="77777777" w:rsidR="00A70B78" w:rsidRPr="007C6A42" w:rsidRDefault="00A70B78" w:rsidP="00A70B78">
      <w:pPr>
        <w:spacing w:line="360" w:lineRule="auto"/>
        <w:ind w:firstLine="720"/>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Le nom défini </w:t>
      </w:r>
      <w:r w:rsidRPr="007C6A42">
        <w:rPr>
          <w:rFonts w:asciiTheme="majorBidi" w:eastAsia="Times New Roman" w:hAnsiTheme="majorBidi" w:cstheme="majorBidi"/>
          <w:i/>
          <w:shd w:val="clear" w:color="auto" w:fill="FFFFFF"/>
          <w:lang w:bidi="ar-KW"/>
        </w:rPr>
        <w:t>al-</w:t>
      </w:r>
      <w:r w:rsidRPr="007C6A42">
        <w:rPr>
          <w:rFonts w:asciiTheme="majorBidi" w:eastAsia="Times New Roman" w:hAnsiTheme="majorBidi" w:cstheme="majorBidi"/>
          <w:i/>
        </w:rPr>
        <w:t>g</w:t>
      </w:r>
      <w:r w:rsidRPr="007C6A42">
        <w:rPr>
          <w:rFonts w:asciiTheme="majorBidi" w:eastAsia="Times New Roman" w:hAnsiTheme="majorBidi" w:cstheme="majorBidi"/>
          <w:i/>
          <w:iCs/>
          <w:shd w:val="clear" w:color="auto" w:fill="FFFFFF"/>
          <w:lang w:bidi="ar-KW"/>
        </w:rPr>
        <w:t>han</w:t>
      </w:r>
      <w:r w:rsidRPr="007C6A42">
        <w:rPr>
          <w:rFonts w:asciiTheme="majorBidi" w:eastAsia="Times New Roman" w:hAnsiTheme="majorBidi" w:cstheme="majorBidi"/>
          <w:bCs/>
          <w:i/>
          <w:iCs/>
          <w:shd w:val="clear" w:color="auto" w:fill="FFFFFF"/>
          <w:lang w:bidi="ar-KW"/>
        </w:rPr>
        <w:t>ī</w:t>
      </w:r>
      <w:r w:rsidRPr="007C6A42">
        <w:rPr>
          <w:rFonts w:asciiTheme="majorBidi" w:eastAsia="Times New Roman" w:hAnsiTheme="majorBidi" w:cstheme="majorBidi"/>
          <w:shd w:val="clear" w:color="auto" w:fill="FFFFFF"/>
          <w:lang w:bidi="ar-KW"/>
        </w:rPr>
        <w:t xml:space="preserve"> désigne l’idée que Dieu ne dépend pas d’autre chose, qu’il est exempt (</w:t>
      </w:r>
      <w:r w:rsidRPr="007C6A42">
        <w:rPr>
          <w:rFonts w:asciiTheme="majorBidi" w:eastAsia="Times New Roman" w:hAnsiTheme="majorBidi" w:cstheme="majorBidi"/>
          <w:i/>
          <w:iCs/>
          <w:shd w:val="clear" w:color="auto" w:fill="FFFFFF"/>
          <w:lang w:bidi="ar-KW"/>
        </w:rPr>
        <w:t>munazzah</w:t>
      </w:r>
      <w:r w:rsidRPr="007C6A42">
        <w:rPr>
          <w:rFonts w:asciiTheme="majorBidi" w:eastAsia="Times New Roman" w:hAnsiTheme="majorBidi" w:cstheme="majorBidi"/>
          <w:shd w:val="clear" w:color="auto" w:fill="FFFFFF"/>
          <w:lang w:bidi="ar-KW"/>
        </w:rPr>
        <w:t>) de toute relation avec autrui et de tout besoin.</w:t>
      </w:r>
      <w:r w:rsidRPr="007C6A42">
        <w:rPr>
          <w:rStyle w:val="Appelnotedebasdep"/>
          <w:rFonts w:asciiTheme="majorBidi" w:hAnsiTheme="majorBidi" w:cstheme="majorBidi"/>
        </w:rPr>
        <w:footnoteReference w:id="528"/>
      </w:r>
      <w:r w:rsidRPr="007C6A42">
        <w:rPr>
          <w:rFonts w:asciiTheme="majorBidi" w:eastAsia="Times New Roman" w:hAnsiTheme="majorBidi" w:cstheme="majorBidi"/>
          <w:shd w:val="clear" w:color="auto" w:fill="FFFFFF"/>
          <w:lang w:bidi="ar-KW"/>
        </w:rPr>
        <w:t xml:space="preserve"> La traduction en français de cet adjectif assimilé au participe actif (</w:t>
      </w:r>
      <w:r w:rsidRPr="007C6A42">
        <w:rPr>
          <w:rFonts w:asciiTheme="majorBidi" w:eastAsia="Times New Roman" w:hAnsiTheme="majorBidi" w:cstheme="majorBidi"/>
          <w:i/>
          <w:iCs/>
          <w:shd w:val="clear" w:color="auto" w:fill="FFFFFF"/>
          <w:lang w:bidi="ar-KW"/>
        </w:rPr>
        <w:t>ṣifa mushabbaha bi-sm al-fāʿil)</w:t>
      </w:r>
      <w:r w:rsidRPr="007C6A42">
        <w:rPr>
          <w:rFonts w:asciiTheme="majorBidi" w:eastAsia="Times New Roman" w:hAnsiTheme="majorBidi" w:cstheme="majorBidi"/>
          <w:shd w:val="clear" w:color="auto" w:fill="FFFFFF"/>
          <w:lang w:bidi="ar-KW"/>
        </w:rPr>
        <w:t xml:space="preserve"> qui signifie « riche » est extrêmement riche. Il est rendu par :</w:t>
      </w:r>
    </w:p>
    <w:p w14:paraId="6DAC5A40" w14:textId="77777777" w:rsidR="00A70B78" w:rsidRPr="007C6A42" w:rsidRDefault="00A70B78" w:rsidP="00876BB0">
      <w:pPr>
        <w:pStyle w:val="Paragraphedeliste"/>
        <w:numPr>
          <w:ilvl w:val="0"/>
          <w:numId w:val="112"/>
        </w:numPr>
        <w:bidi w:val="0"/>
        <w:spacing w:line="360" w:lineRule="auto"/>
        <w:jc w:val="both"/>
        <w:rPr>
          <w:rFonts w:asciiTheme="majorBidi" w:eastAsiaTheme="minorHAnsi" w:hAnsiTheme="majorBidi" w:cstheme="majorBidi"/>
          <w:sz w:val="24"/>
          <w:szCs w:val="24"/>
        </w:rPr>
      </w:pPr>
      <w:r w:rsidRPr="007C6A42">
        <w:rPr>
          <w:rFonts w:asciiTheme="majorBidi" w:hAnsiTheme="majorBidi" w:cstheme="majorBidi"/>
          <w:sz w:val="24"/>
          <w:szCs w:val="24"/>
          <w:shd w:val="clear" w:color="auto" w:fill="FFFFFF"/>
          <w:lang w:bidi="ar-KW"/>
        </w:rPr>
        <w:t xml:space="preserve">des phrases ou propositions qui </w:t>
      </w:r>
      <w:r w:rsidRPr="007C6A42">
        <w:rPr>
          <w:rFonts w:asciiTheme="majorBidi" w:hAnsiTheme="majorBidi" w:cstheme="majorBidi"/>
          <w:sz w:val="24"/>
          <w:szCs w:val="24"/>
        </w:rPr>
        <w:t>modifient la rythmique :</w:t>
      </w:r>
      <w:r w:rsidRPr="007C6A42">
        <w:rPr>
          <w:rFonts w:asciiTheme="majorBidi" w:hAnsiTheme="majorBidi" w:cstheme="majorBidi"/>
          <w:sz w:val="24"/>
          <w:szCs w:val="24"/>
          <w:shd w:val="clear" w:color="auto" w:fill="FFFFFF"/>
          <w:lang w:bidi="ar-KW"/>
        </w:rPr>
        <w:t xml:space="preserve"> « il n’a pas affaire de son peuple », </w:t>
      </w:r>
      <w:r w:rsidRPr="007C6A42">
        <w:rPr>
          <w:rFonts w:asciiTheme="majorBidi" w:hAnsiTheme="majorBidi" w:cstheme="majorBidi"/>
          <w:sz w:val="24"/>
          <w:szCs w:val="24"/>
        </w:rPr>
        <w:t>« c’est Lui qui est au large », « celui qui se suffit à lui-même », « Dieu se suffit », « </w:t>
      </w:r>
      <w:r w:rsidRPr="007C6A42">
        <w:rPr>
          <w:rFonts w:asciiTheme="majorBidi" w:eastAsia="Calibri" w:hAnsiTheme="majorBidi" w:cstheme="majorBidi"/>
          <w:sz w:val="24"/>
          <w:szCs w:val="24"/>
          <w:lang w:bidi="ar-AE"/>
        </w:rPr>
        <w:t>Celui-qui-se-suffit », « </w:t>
      </w:r>
      <w:r w:rsidRPr="007C6A42">
        <w:rPr>
          <w:rFonts w:asciiTheme="majorBidi" w:hAnsiTheme="majorBidi" w:cstheme="majorBidi"/>
          <w:sz w:val="24"/>
          <w:szCs w:val="24"/>
        </w:rPr>
        <w:t>qui Se suffit à Lui-même », « le seul qui se suffit à Lui-Même », « Celui qui se suffit à Lui-même » ;</w:t>
      </w:r>
    </w:p>
    <w:p w14:paraId="080F463C" w14:textId="77777777" w:rsidR="00A70B78" w:rsidRPr="007C6A42" w:rsidRDefault="00A70B78" w:rsidP="00876BB0">
      <w:pPr>
        <w:pStyle w:val="Paragraphedeliste"/>
        <w:numPr>
          <w:ilvl w:val="0"/>
          <w:numId w:val="112"/>
        </w:numPr>
        <w:bidi w:val="0"/>
        <w:spacing w:line="360" w:lineRule="auto"/>
        <w:jc w:val="both"/>
        <w:rPr>
          <w:rFonts w:asciiTheme="majorBidi" w:hAnsiTheme="majorBidi" w:cstheme="majorBidi"/>
          <w:sz w:val="24"/>
          <w:szCs w:val="24"/>
        </w:rPr>
      </w:pPr>
      <w:r w:rsidRPr="007C6A42">
        <w:rPr>
          <w:rFonts w:asciiTheme="majorBidi" w:hAnsiTheme="majorBidi" w:cstheme="majorBidi"/>
          <w:sz w:val="24"/>
          <w:szCs w:val="24"/>
          <w:shd w:val="clear" w:color="auto" w:fill="FFFFFF"/>
          <w:lang w:bidi="ar-KW"/>
        </w:rPr>
        <w:t>des mots simples  ou des syntagmes de mots : « riche », « le riche », « le Riche », « </w:t>
      </w:r>
      <w:r w:rsidRPr="007C6A42">
        <w:rPr>
          <w:rFonts w:asciiTheme="majorBidi" w:hAnsiTheme="majorBidi" w:cstheme="majorBidi"/>
          <w:sz w:val="24"/>
          <w:szCs w:val="24"/>
        </w:rPr>
        <w:t>le Suffisant à Soi-même », « opulent », « le Magnanime », « la richesse », « </w:t>
      </w:r>
      <w:r w:rsidRPr="007C6A42">
        <w:rPr>
          <w:rFonts w:asciiTheme="majorBidi" w:hAnsiTheme="majorBidi" w:cstheme="majorBidi"/>
          <w:sz w:val="24"/>
          <w:szCs w:val="24"/>
          <w:lang w:eastAsia="fr-CH"/>
        </w:rPr>
        <w:t>L’autosuffisant », « </w:t>
      </w:r>
      <w:r w:rsidRPr="007C6A42">
        <w:rPr>
          <w:rFonts w:asciiTheme="majorBidi" w:hAnsiTheme="majorBidi" w:cstheme="majorBidi"/>
          <w:sz w:val="24"/>
          <w:szCs w:val="24"/>
        </w:rPr>
        <w:t xml:space="preserve">le plus fortuné », « le Tout-Riche ». Le terme « le Magnanime » choisi par Chouraqui ne transmet pas la signification de </w:t>
      </w:r>
      <w:r w:rsidRPr="007C6A42">
        <w:rPr>
          <w:rFonts w:asciiTheme="majorBidi" w:hAnsiTheme="majorBidi" w:cstheme="majorBidi"/>
          <w:i/>
          <w:sz w:val="24"/>
          <w:szCs w:val="24"/>
        </w:rPr>
        <w:t>g</w:t>
      </w:r>
      <w:r w:rsidRPr="007C6A42">
        <w:rPr>
          <w:rFonts w:asciiTheme="majorBidi" w:hAnsiTheme="majorBidi" w:cstheme="majorBidi"/>
          <w:i/>
          <w:iCs/>
          <w:sz w:val="24"/>
          <w:szCs w:val="24"/>
          <w:shd w:val="clear" w:color="auto" w:fill="FFFFFF"/>
          <w:lang w:bidi="ar-KW"/>
        </w:rPr>
        <w:t>han</w:t>
      </w:r>
      <w:r w:rsidRPr="007C6A42">
        <w:rPr>
          <w:rFonts w:asciiTheme="majorBidi" w:hAnsiTheme="majorBidi" w:cstheme="majorBidi"/>
          <w:bCs/>
          <w:i/>
          <w:iCs/>
          <w:sz w:val="24"/>
          <w:szCs w:val="24"/>
          <w:shd w:val="clear" w:color="auto" w:fill="FFFFFF"/>
          <w:lang w:bidi="ar-KW"/>
        </w:rPr>
        <w:t>ī</w:t>
      </w:r>
      <w:r w:rsidRPr="007C6A42">
        <w:rPr>
          <w:rFonts w:asciiTheme="majorBidi" w:hAnsiTheme="majorBidi" w:cstheme="majorBidi"/>
          <w:sz w:val="24"/>
          <w:szCs w:val="24"/>
          <w:shd w:val="clear" w:color="auto" w:fill="FFFFFF"/>
          <w:lang w:bidi="ar-KW"/>
        </w:rPr>
        <w:t xml:space="preserve">, mais plutôt une partie du sens d’autres noms de Dieu comme </w:t>
      </w:r>
      <w:r w:rsidRPr="007C6A42">
        <w:rPr>
          <w:rFonts w:asciiTheme="majorBidi" w:hAnsiTheme="majorBidi" w:cstheme="majorBidi"/>
          <w:i/>
          <w:iCs/>
          <w:sz w:val="24"/>
          <w:szCs w:val="24"/>
          <w:shd w:val="clear" w:color="auto" w:fill="FFFFFF"/>
          <w:lang w:bidi="ar-KW"/>
        </w:rPr>
        <w:t>al-</w:t>
      </w:r>
      <w:r w:rsidRPr="007C6A42">
        <w:rPr>
          <w:rFonts w:asciiTheme="majorBidi" w:hAnsiTheme="majorBidi" w:cstheme="majorBidi"/>
          <w:i/>
          <w:iCs/>
          <w:sz w:val="24"/>
          <w:szCs w:val="24"/>
        </w:rPr>
        <w:t>ʿafuww</w:t>
      </w:r>
      <w:r w:rsidRPr="007C6A42">
        <w:rPr>
          <w:rFonts w:asciiTheme="majorBidi" w:hAnsiTheme="majorBidi" w:cstheme="majorBidi"/>
          <w:sz w:val="24"/>
          <w:szCs w:val="24"/>
        </w:rPr>
        <w:t xml:space="preserve"> [l’indulgent], </w:t>
      </w:r>
      <w:r w:rsidRPr="007C6A42">
        <w:rPr>
          <w:rFonts w:asciiTheme="majorBidi" w:hAnsiTheme="majorBidi" w:cstheme="majorBidi"/>
          <w:i/>
          <w:iCs/>
          <w:sz w:val="24"/>
          <w:szCs w:val="24"/>
        </w:rPr>
        <w:t>al-ghafūr</w:t>
      </w:r>
      <w:r w:rsidRPr="007C6A42">
        <w:rPr>
          <w:rFonts w:asciiTheme="majorBidi" w:hAnsiTheme="majorBidi" w:cstheme="majorBidi"/>
          <w:sz w:val="24"/>
          <w:szCs w:val="24"/>
        </w:rPr>
        <w:t xml:space="preserve"> [le pardonneur], </w:t>
      </w:r>
      <w:r w:rsidRPr="007C6A42">
        <w:rPr>
          <w:rFonts w:asciiTheme="majorBidi" w:hAnsiTheme="majorBidi" w:cstheme="majorBidi"/>
          <w:i/>
          <w:iCs/>
          <w:sz w:val="24"/>
          <w:szCs w:val="24"/>
        </w:rPr>
        <w:t>al-ghaffār</w:t>
      </w:r>
      <w:r w:rsidRPr="007C6A42">
        <w:rPr>
          <w:rFonts w:asciiTheme="majorBidi" w:hAnsiTheme="majorBidi" w:cstheme="majorBidi"/>
          <w:sz w:val="24"/>
          <w:szCs w:val="24"/>
        </w:rPr>
        <w:t xml:space="preserve"> [l’absoluteur] et </w:t>
      </w:r>
      <w:r w:rsidRPr="007C6A42">
        <w:rPr>
          <w:rFonts w:asciiTheme="majorBidi" w:hAnsiTheme="majorBidi" w:cstheme="majorBidi"/>
          <w:i/>
          <w:iCs/>
          <w:sz w:val="24"/>
          <w:szCs w:val="24"/>
        </w:rPr>
        <w:t>ar-raḥmān</w:t>
      </w:r>
      <w:r w:rsidRPr="007C6A42">
        <w:rPr>
          <w:rFonts w:asciiTheme="majorBidi" w:hAnsiTheme="majorBidi" w:cstheme="majorBidi"/>
          <w:sz w:val="24"/>
          <w:szCs w:val="24"/>
        </w:rPr>
        <w:t xml:space="preserve"> [le clément].</w:t>
      </w:r>
    </w:p>
    <w:p w14:paraId="4D061E5F" w14:textId="77777777" w:rsidR="00A70B78" w:rsidRPr="007C6A42" w:rsidRDefault="00A70B78" w:rsidP="00A70B78">
      <w:pPr>
        <w:spacing w:line="360" w:lineRule="auto"/>
        <w:ind w:firstLine="360"/>
        <w:jc w:val="both"/>
        <w:rPr>
          <w:rFonts w:asciiTheme="majorBidi" w:hAnsiTheme="majorBidi" w:cstheme="majorBidi"/>
        </w:rPr>
      </w:pPr>
      <w:r w:rsidRPr="007C6A42">
        <w:rPr>
          <w:rFonts w:asciiTheme="majorBidi" w:hAnsiTheme="majorBidi" w:cstheme="majorBidi"/>
        </w:rPr>
        <w:t xml:space="preserve">Les termes « riche », « la richesse », « le Tout-Riche », « opulent », </w:t>
      </w:r>
      <w:r w:rsidRPr="007C6A42">
        <w:rPr>
          <w:rFonts w:asciiTheme="majorBidi" w:hAnsiTheme="majorBidi" w:cstheme="majorBidi"/>
          <w:lang w:eastAsia="fr-CH"/>
        </w:rPr>
        <w:t>« </w:t>
      </w:r>
      <w:r w:rsidRPr="007C6A42">
        <w:rPr>
          <w:rFonts w:asciiTheme="majorBidi" w:hAnsiTheme="majorBidi" w:cstheme="majorBidi"/>
        </w:rPr>
        <w:t xml:space="preserve">le plus fortuné » et « c’est Lui qui est au large » appauvrissent le sens en le réduisant à l’idée de possession et de multitude, alors que le noyau sémantique du nom arabe </w:t>
      </w:r>
      <w:r w:rsidRPr="007C6A42">
        <w:rPr>
          <w:rFonts w:asciiTheme="majorBidi" w:eastAsia="Times New Roman" w:hAnsiTheme="majorBidi" w:cstheme="majorBidi"/>
          <w:i/>
        </w:rPr>
        <w:t>g</w:t>
      </w:r>
      <w:r w:rsidRPr="007C6A42">
        <w:rPr>
          <w:rFonts w:asciiTheme="majorBidi" w:eastAsia="Times New Roman" w:hAnsiTheme="majorBidi" w:cstheme="majorBidi"/>
          <w:i/>
          <w:iCs/>
          <w:shd w:val="clear" w:color="auto" w:fill="FFFFFF"/>
          <w:lang w:bidi="ar-KW"/>
        </w:rPr>
        <w:t>han</w:t>
      </w:r>
      <w:r w:rsidRPr="007C6A42">
        <w:rPr>
          <w:rFonts w:asciiTheme="majorBidi" w:eastAsia="Times New Roman" w:hAnsiTheme="majorBidi" w:cstheme="majorBidi"/>
          <w:bCs/>
          <w:i/>
          <w:iCs/>
          <w:shd w:val="clear" w:color="auto" w:fill="FFFFFF"/>
          <w:lang w:bidi="ar-KW"/>
        </w:rPr>
        <w:t xml:space="preserve">ī </w:t>
      </w:r>
      <w:r w:rsidRPr="007C6A42">
        <w:rPr>
          <w:rFonts w:asciiTheme="majorBidi" w:hAnsiTheme="majorBidi" w:cstheme="majorBidi"/>
        </w:rPr>
        <w:t xml:space="preserve">consiste dans l’idée que Dieu est non relationnel, par opposition à Ses créatures qui sont des êtres de relation. Parmi les traits distinctifs de </w:t>
      </w:r>
      <w:r w:rsidRPr="007C6A42">
        <w:rPr>
          <w:rFonts w:asciiTheme="majorBidi" w:eastAsia="Times New Roman" w:hAnsiTheme="majorBidi" w:cstheme="majorBidi"/>
          <w:i/>
        </w:rPr>
        <w:t>g</w:t>
      </w:r>
      <w:r w:rsidRPr="007C6A42">
        <w:rPr>
          <w:rFonts w:asciiTheme="majorBidi" w:eastAsia="Times New Roman" w:hAnsiTheme="majorBidi" w:cstheme="majorBidi"/>
          <w:i/>
          <w:iCs/>
          <w:shd w:val="clear" w:color="auto" w:fill="FFFFFF"/>
          <w:lang w:bidi="ar-KW"/>
        </w:rPr>
        <w:t>han</w:t>
      </w:r>
      <w:r w:rsidRPr="007C6A42">
        <w:rPr>
          <w:rFonts w:asciiTheme="majorBidi" w:eastAsia="Times New Roman" w:hAnsiTheme="majorBidi" w:cstheme="majorBidi"/>
          <w:bCs/>
          <w:i/>
          <w:iCs/>
          <w:shd w:val="clear" w:color="auto" w:fill="FFFFFF"/>
          <w:lang w:bidi="ar-KW"/>
        </w:rPr>
        <w:t xml:space="preserve">ī </w:t>
      </w:r>
      <w:r w:rsidRPr="007C6A42">
        <w:rPr>
          <w:rFonts w:asciiTheme="majorBidi" w:hAnsiTheme="majorBidi" w:cstheme="majorBidi"/>
        </w:rPr>
        <w:t xml:space="preserve">(à savoir </w:t>
      </w:r>
      <w:r w:rsidRPr="007C6A42">
        <w:rPr>
          <w:rFonts w:asciiTheme="majorBidi" w:eastAsia="Times New Roman" w:hAnsiTheme="majorBidi" w:cstheme="majorBidi"/>
          <w:i/>
        </w:rPr>
        <w:t>g</w:t>
      </w:r>
      <w:r w:rsidRPr="007C6A42">
        <w:rPr>
          <w:rFonts w:asciiTheme="majorBidi" w:eastAsia="Times New Roman" w:hAnsiTheme="majorBidi" w:cstheme="majorBidi"/>
          <w:i/>
          <w:iCs/>
          <w:shd w:val="clear" w:color="auto" w:fill="FFFFFF"/>
          <w:lang w:bidi="ar-KW"/>
        </w:rPr>
        <w:t>han</w:t>
      </w:r>
      <w:r w:rsidRPr="007C6A42">
        <w:rPr>
          <w:rFonts w:asciiTheme="majorBidi" w:eastAsia="Times New Roman" w:hAnsiTheme="majorBidi" w:cstheme="majorBidi"/>
          <w:bCs/>
          <w:i/>
          <w:iCs/>
          <w:shd w:val="clear" w:color="auto" w:fill="FFFFFF"/>
          <w:lang w:bidi="ar-KW"/>
        </w:rPr>
        <w:t xml:space="preserve">ī </w:t>
      </w:r>
      <w:r w:rsidRPr="007C6A42">
        <w:rPr>
          <w:rFonts w:asciiTheme="majorBidi" w:hAnsiTheme="majorBidi" w:cstheme="majorBidi"/>
          <w:b/>
          <w:bCs/>
          <w:i/>
          <w:iCs/>
        </w:rPr>
        <w:t>ʿan</w:t>
      </w:r>
      <w:r w:rsidRPr="007C6A42">
        <w:rPr>
          <w:rFonts w:asciiTheme="majorBidi" w:hAnsiTheme="majorBidi" w:cstheme="majorBidi"/>
        </w:rPr>
        <w:t xml:space="preserve"> et non </w:t>
      </w:r>
      <w:r w:rsidRPr="007C6A42">
        <w:rPr>
          <w:rFonts w:asciiTheme="majorBidi" w:eastAsia="Times New Roman" w:hAnsiTheme="majorBidi" w:cstheme="majorBidi"/>
          <w:i/>
        </w:rPr>
        <w:t>g</w:t>
      </w:r>
      <w:r w:rsidRPr="007C6A42">
        <w:rPr>
          <w:rFonts w:asciiTheme="majorBidi" w:eastAsia="Times New Roman" w:hAnsiTheme="majorBidi" w:cstheme="majorBidi"/>
          <w:i/>
          <w:iCs/>
          <w:shd w:val="clear" w:color="auto" w:fill="FFFFFF"/>
          <w:lang w:bidi="ar-KW"/>
        </w:rPr>
        <w:t>han</w:t>
      </w:r>
      <w:r w:rsidRPr="007C6A42">
        <w:rPr>
          <w:rFonts w:asciiTheme="majorBidi" w:eastAsia="Times New Roman" w:hAnsiTheme="majorBidi" w:cstheme="majorBidi"/>
          <w:bCs/>
          <w:i/>
          <w:iCs/>
          <w:shd w:val="clear" w:color="auto" w:fill="FFFFFF"/>
          <w:lang w:bidi="ar-KW"/>
        </w:rPr>
        <w:t xml:space="preserve">ī </w:t>
      </w:r>
      <w:r w:rsidRPr="007C6A42">
        <w:rPr>
          <w:rFonts w:asciiTheme="majorBidi" w:hAnsiTheme="majorBidi" w:cstheme="majorBidi"/>
          <w:b/>
          <w:bCs/>
          <w:i/>
          <w:iCs/>
        </w:rPr>
        <w:t>bi-</w:t>
      </w:r>
      <w:r w:rsidRPr="007C6A42">
        <w:rPr>
          <w:rStyle w:val="Appelnotedebasdep"/>
          <w:rFonts w:asciiTheme="majorBidi" w:hAnsiTheme="majorBidi" w:cstheme="majorBidi"/>
        </w:rPr>
        <w:footnoteReference w:id="529"/>
      </w:r>
      <w:r w:rsidRPr="007C6A42">
        <w:rPr>
          <w:rFonts w:asciiTheme="majorBidi" w:hAnsiTheme="majorBidi" w:cstheme="majorBidi"/>
        </w:rPr>
        <w:t xml:space="preserve">), on trouve l’autonomie et l’indépendance. Les mots </w:t>
      </w:r>
      <w:r w:rsidRPr="007C6A42">
        <w:rPr>
          <w:rFonts w:asciiTheme="majorBidi" w:hAnsiTheme="majorBidi" w:cstheme="majorBidi"/>
          <w:shd w:val="clear" w:color="auto" w:fill="FFFFFF"/>
          <w:lang w:bidi="ar-KW"/>
        </w:rPr>
        <w:t>« </w:t>
      </w:r>
      <w:r w:rsidRPr="007C6A42">
        <w:rPr>
          <w:rFonts w:asciiTheme="majorBidi" w:hAnsiTheme="majorBidi" w:cstheme="majorBidi"/>
        </w:rPr>
        <w:t>le Suffisant à Soi-même », « </w:t>
      </w:r>
      <w:r w:rsidRPr="007C6A42">
        <w:rPr>
          <w:rFonts w:asciiTheme="majorBidi" w:hAnsiTheme="majorBidi" w:cstheme="majorBidi"/>
          <w:lang w:eastAsia="fr-CH"/>
        </w:rPr>
        <w:t xml:space="preserve">L’autosuffisant » montrent une partie </w:t>
      </w:r>
      <w:r w:rsidRPr="007C6A42">
        <w:rPr>
          <w:rFonts w:asciiTheme="majorBidi" w:hAnsiTheme="majorBidi" w:cstheme="majorBidi"/>
          <w:lang w:eastAsia="fr-CH"/>
        </w:rPr>
        <w:lastRenderedPageBreak/>
        <w:t xml:space="preserve">du sens. </w:t>
      </w:r>
      <w:r w:rsidRPr="007C6A42">
        <w:rPr>
          <w:rFonts w:asciiTheme="majorBidi" w:hAnsiTheme="majorBidi" w:cstheme="majorBidi"/>
        </w:rPr>
        <w:t>Conscient de l’insuffisance des traductions, Abdallah Penot traduit ce nom par « Celui qui Se suffit à Lui-même » et ajoute entre parenthèses en italique le nom arabe (</w:t>
      </w:r>
      <w:r w:rsidRPr="007C6A42">
        <w:rPr>
          <w:rFonts w:asciiTheme="majorBidi" w:hAnsiTheme="majorBidi" w:cstheme="majorBidi"/>
          <w:i/>
          <w:iCs/>
        </w:rPr>
        <w:t>al-Ghanî</w:t>
      </w:r>
      <w:r w:rsidRPr="007C6A42">
        <w:rPr>
          <w:rFonts w:asciiTheme="majorBidi" w:hAnsiTheme="majorBidi" w:cstheme="majorBidi"/>
        </w:rPr>
        <w:t>).</w:t>
      </w:r>
    </w:p>
    <w:p w14:paraId="7EC813A6" w14:textId="77777777" w:rsidR="00A70B78" w:rsidRPr="007C6A42" w:rsidRDefault="00A70B78" w:rsidP="00A70B78">
      <w:pPr>
        <w:spacing w:line="360" w:lineRule="auto"/>
        <w:ind w:firstLine="360"/>
        <w:jc w:val="both"/>
        <w:rPr>
          <w:rFonts w:asciiTheme="majorBidi" w:hAnsiTheme="majorBidi" w:cstheme="majorBidi"/>
        </w:rPr>
      </w:pP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06D8C59D" w14:textId="77777777" w:rsidTr="00AF4FC9">
        <w:trPr>
          <w:jc w:val="center"/>
        </w:trPr>
        <w:tc>
          <w:tcPr>
            <w:tcW w:w="6604" w:type="dxa"/>
            <w:gridSpan w:val="2"/>
            <w:tcBorders>
              <w:top w:val="nil"/>
              <w:left w:val="single" w:sz="4" w:space="0" w:color="auto"/>
              <w:bottom w:val="single" w:sz="4" w:space="0" w:color="auto"/>
              <w:right w:val="single" w:sz="4" w:space="0" w:color="auto"/>
            </w:tcBorders>
          </w:tcPr>
          <w:p w14:paraId="5CA6D225"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Pr>
              <w:t>« </w:t>
            </w:r>
            <w:r w:rsidRPr="007C6A42">
              <w:rPr>
                <w:rFonts w:asciiTheme="majorBidi" w:eastAsia="Times New Roman" w:hAnsiTheme="majorBidi" w:cstheme="majorBidi"/>
                <w:rtl/>
              </w:rPr>
              <w:t>الغنيُّ الحميد</w:t>
            </w:r>
            <w:r w:rsidRPr="007C6A42">
              <w:rPr>
                <w:rFonts w:asciiTheme="majorBidi" w:eastAsia="Times New Roman" w:hAnsiTheme="majorBidi" w:cstheme="majorBidi"/>
              </w:rPr>
              <w:t> »</w:t>
            </w:r>
            <w:r w:rsidRPr="007C6A42">
              <w:rPr>
                <w:rFonts w:asciiTheme="majorBidi" w:eastAsia="Times New Roman" w:hAnsiTheme="majorBidi" w:cstheme="majorBidi"/>
                <w:shd w:val="clear" w:color="auto" w:fill="FFFFFF"/>
                <w:lang w:bidi="ar-KW"/>
              </w:rPr>
              <w:t xml:space="preserve"> (64)</w:t>
            </w:r>
          </w:p>
        </w:tc>
      </w:tr>
      <w:tr w:rsidR="00A70B78" w:rsidRPr="007C6A42" w14:paraId="7086446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521C84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3C0D97D3"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n’a pas affaire de ʃon peuple, &amp; doit eʃtre exalté</w:t>
            </w:r>
          </w:p>
        </w:tc>
      </w:tr>
      <w:tr w:rsidR="00A70B78" w:rsidRPr="007C6A42" w14:paraId="1BF9342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9FC147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06A8FCDC"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riche, et sa louange est en lui-même</w:t>
            </w:r>
          </w:p>
        </w:tc>
      </w:tr>
      <w:tr w:rsidR="00A70B78" w:rsidRPr="007C6A42" w14:paraId="789387D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2537B4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17AD90AA"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le riche, le glorieux</w:t>
            </w:r>
          </w:p>
        </w:tc>
      </w:tr>
      <w:tr w:rsidR="00A70B78" w:rsidRPr="007C6A42" w14:paraId="47AE0A9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ED0661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2BE9E97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Suffisant à Soi-même, le Digne de louanges</w:t>
            </w:r>
          </w:p>
        </w:tc>
      </w:tr>
      <w:tr w:rsidR="00A70B78" w:rsidRPr="007C6A42" w14:paraId="6DA9990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AD8271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5160124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Riche, le Glorieux</w:t>
            </w:r>
          </w:p>
        </w:tc>
      </w:tr>
      <w:tr w:rsidR="00A70B78" w:rsidRPr="007C6A42" w14:paraId="2F03463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E60E26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05DA9E9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c’est Lui qui est au large, certes oui, qui est digne de louange !</w:t>
            </w:r>
          </w:p>
        </w:tc>
      </w:tr>
      <w:tr w:rsidR="00A70B78" w:rsidRPr="007C6A42" w14:paraId="006931D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BA9CF1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2C7ADC7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opulent et sublime</w:t>
            </w:r>
          </w:p>
        </w:tc>
      </w:tr>
      <w:tr w:rsidR="00A70B78" w:rsidRPr="007C6A42" w14:paraId="24FAB94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EA94F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2048D40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celui qui se suffit à lui-même, celui qui est digne de louanges</w:t>
            </w:r>
          </w:p>
        </w:tc>
      </w:tr>
      <w:tr w:rsidR="00A70B78" w:rsidRPr="007C6A42" w14:paraId="6CB52AB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1A3B7F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40D5FF6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se suffit, mais il mérite louanges</w:t>
            </w:r>
          </w:p>
        </w:tc>
      </w:tr>
      <w:tr w:rsidR="00A70B78" w:rsidRPr="007C6A42" w14:paraId="1995E6B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D340C0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50BDBA03"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le Magnanime, le Désiré</w:t>
            </w:r>
          </w:p>
        </w:tc>
      </w:tr>
      <w:tr w:rsidR="00A70B78" w:rsidRPr="007C6A42" w14:paraId="296F1B57"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26C114A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5843505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Celui-qui-se-suffit, le Louangé</w:t>
            </w:r>
          </w:p>
        </w:tc>
      </w:tr>
      <w:tr w:rsidR="00A70B78" w:rsidRPr="007C6A42" w14:paraId="6AAB3D8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6788F6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7A214D9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la richesse et digne d’être loué</w:t>
            </w:r>
          </w:p>
        </w:tc>
      </w:tr>
      <w:tr w:rsidR="00A70B78" w:rsidRPr="007C6A42" w14:paraId="6CF4FA3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665290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31E302F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 Se suffit à Lui-même, et Il est le Digne de louange.</w:t>
            </w:r>
          </w:p>
        </w:tc>
      </w:tr>
      <w:tr w:rsidR="00A70B78" w:rsidRPr="007C6A42" w14:paraId="0CBD176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D301D4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09E0B644" w14:textId="77777777" w:rsidR="00A70B78" w:rsidRPr="007C6A42" w:rsidRDefault="00A70B78" w:rsidP="00AF4FC9">
            <w:pPr>
              <w:shd w:val="clear" w:color="auto" w:fill="FFFFFF"/>
              <w:jc w:val="both"/>
              <w:rPr>
                <w:rFonts w:asciiTheme="majorBidi" w:eastAsia="Times New Roman" w:hAnsiTheme="majorBidi" w:cstheme="majorBidi"/>
              </w:rPr>
            </w:pPr>
            <w:r w:rsidRPr="007C6A42">
              <w:rPr>
                <w:rFonts w:asciiTheme="majorBidi" w:eastAsia="Times New Roman" w:hAnsiTheme="majorBidi" w:cstheme="majorBidi"/>
              </w:rPr>
              <w:t>le seul qui se suffit à Lui-Même et qui est Le Digne de louange !</w:t>
            </w:r>
          </w:p>
        </w:tc>
      </w:tr>
      <w:tr w:rsidR="00A70B78" w:rsidRPr="007C6A42" w14:paraId="58D8DFE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D36EBC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4F00480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L’autosuffisant, le louable</w:t>
            </w:r>
          </w:p>
        </w:tc>
      </w:tr>
      <w:tr w:rsidR="00A70B78" w:rsidRPr="007C6A42" w14:paraId="55E40A7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311ADA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2840B81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plus fortuné, le plus digne de louanges</w:t>
            </w:r>
          </w:p>
        </w:tc>
      </w:tr>
      <w:tr w:rsidR="00A70B78" w:rsidRPr="007C6A42" w14:paraId="3C28BFA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871B66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2D6FFC2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 Tout-Riche, le Tout-Louable</w:t>
            </w:r>
          </w:p>
        </w:tc>
      </w:tr>
      <w:tr w:rsidR="00A70B78" w:rsidRPr="007C6A42" w14:paraId="367ACBC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24E3E7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0EBE52C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Celui qui se suffit à Lui-même et Il est Celui qui est Digne de louanges.</w:t>
            </w:r>
          </w:p>
        </w:tc>
      </w:tr>
    </w:tbl>
    <w:p w14:paraId="1FE86B36" w14:textId="77777777" w:rsidR="00A70B78" w:rsidRPr="007C6A42" w:rsidRDefault="00A70B78" w:rsidP="00A70B78">
      <w:pPr>
        <w:spacing w:line="360" w:lineRule="auto"/>
        <w:rPr>
          <w:rFonts w:asciiTheme="majorBidi" w:eastAsia="Times New Roman" w:hAnsiTheme="majorBidi" w:cstheme="majorBidi"/>
          <w:shd w:val="clear" w:color="auto" w:fill="FFFFFF"/>
          <w:lang w:bidi="ar-KW"/>
        </w:rPr>
      </w:pPr>
    </w:p>
    <w:p w14:paraId="3265A8E5"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hAnsiTheme="majorBidi" w:cstheme="majorBidi"/>
        </w:rPr>
        <w:lastRenderedPageBreak/>
        <w:t xml:space="preserve">Le nom défini </w:t>
      </w:r>
      <w:r w:rsidRPr="007C6A42">
        <w:rPr>
          <w:rFonts w:asciiTheme="majorBidi" w:eastAsia="Times New Roman" w:hAnsiTheme="majorBidi" w:cstheme="majorBidi"/>
          <w:i/>
          <w:iCs/>
        </w:rPr>
        <w:t>al-</w:t>
      </w:r>
      <w:r w:rsidRPr="007C6A42">
        <w:rPr>
          <w:rFonts w:asciiTheme="majorBidi" w:eastAsia="Times New Roman" w:hAnsiTheme="majorBidi" w:cstheme="majorBidi"/>
          <w:i/>
          <w:iCs/>
          <w:shd w:val="clear" w:color="auto" w:fill="FFFFFF"/>
          <w:lang w:bidi="ar-KW"/>
        </w:rPr>
        <w:t>ḥamīd</w:t>
      </w:r>
      <w:r w:rsidRPr="007C6A42">
        <w:rPr>
          <w:rFonts w:asciiTheme="majorBidi" w:eastAsia="Times New Roman" w:hAnsiTheme="majorBidi" w:cstheme="majorBidi"/>
          <w:shd w:val="clear" w:color="auto" w:fill="FFFFFF"/>
          <w:lang w:bidi="ar-KW"/>
        </w:rPr>
        <w:t xml:space="preserve"> a deux dimensions : 1) Dieu s’exalte, se magnifie Soi-Même depuis l’éternité ; 2) Dieu est exalté et magnifié par Ses serviteurs parce qu’Il a les qualités parfaites et qu’Il n’a aucun défaut.</w:t>
      </w:r>
      <w:r w:rsidRPr="007C6A42">
        <w:rPr>
          <w:rStyle w:val="Appelnotedebasdep"/>
          <w:rFonts w:asciiTheme="majorBidi" w:hAnsiTheme="majorBidi" w:cstheme="majorBidi"/>
        </w:rPr>
        <w:footnoteReference w:id="530"/>
      </w:r>
      <w:r w:rsidRPr="007C6A42">
        <w:rPr>
          <w:rFonts w:asciiTheme="majorBidi" w:eastAsia="Times New Roman" w:hAnsiTheme="majorBidi" w:cstheme="majorBidi"/>
          <w:shd w:val="clear" w:color="auto" w:fill="FFFFFF"/>
          <w:lang w:bidi="ar-KW"/>
        </w:rPr>
        <w:t xml:space="preserve"> Ainsi, </w:t>
      </w:r>
      <w:r w:rsidRPr="007C6A42">
        <w:rPr>
          <w:rFonts w:asciiTheme="majorBidi" w:eastAsia="Times New Roman" w:hAnsiTheme="majorBidi" w:cstheme="majorBidi"/>
          <w:i/>
          <w:iCs/>
          <w:shd w:val="clear" w:color="auto" w:fill="FFFFFF"/>
          <w:lang w:bidi="ar-KW"/>
        </w:rPr>
        <w:t>ḥamīd</w:t>
      </w:r>
      <w:r w:rsidRPr="007C6A42">
        <w:rPr>
          <w:rFonts w:asciiTheme="majorBidi" w:eastAsia="Times New Roman" w:hAnsiTheme="majorBidi" w:cstheme="majorBidi"/>
          <w:shd w:val="clear" w:color="auto" w:fill="FFFFFF"/>
          <w:lang w:bidi="ar-KW"/>
        </w:rPr>
        <w:t xml:space="preserve"> signifie : « glorifié par Soi-Même et par Ses créatures du fait qu’Il est Parfait ».</w:t>
      </w:r>
    </w:p>
    <w:p w14:paraId="010D2E77"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eastAsia="Times New Roman" w:hAnsiTheme="majorBidi" w:cstheme="majorBidi"/>
          <w:shd w:val="clear" w:color="auto" w:fill="FFFFFF"/>
          <w:lang w:bidi="ar-KW"/>
        </w:rPr>
        <w:t xml:space="preserve">Les traductions montrent la seconde dimension de différentes manières et à différents degrés : </w:t>
      </w:r>
      <w:r w:rsidRPr="007C6A42">
        <w:rPr>
          <w:rFonts w:asciiTheme="majorBidi" w:hAnsiTheme="majorBidi" w:cstheme="majorBidi"/>
        </w:rPr>
        <w:t>« doit être exalté », « </w:t>
      </w:r>
      <w:r w:rsidRPr="007C6A42">
        <w:rPr>
          <w:rFonts w:asciiTheme="majorBidi" w:eastAsia="Times New Roman" w:hAnsiTheme="majorBidi" w:cstheme="majorBidi"/>
        </w:rPr>
        <w:t>sa louange est en lui-même », « le glorieux », « </w:t>
      </w:r>
      <w:r w:rsidRPr="007C6A42">
        <w:rPr>
          <w:rFonts w:asciiTheme="majorBidi" w:hAnsiTheme="majorBidi" w:cstheme="majorBidi"/>
        </w:rPr>
        <w:t>le Digne de louanges », « le Glorieux », « qui est digne de louange », « sublime », « celui qui est digne de louanges », « mais il mérite louanges », « </w:t>
      </w:r>
      <w:r w:rsidRPr="007C6A42">
        <w:rPr>
          <w:rFonts w:asciiTheme="majorBidi" w:eastAsia="Times New Roman" w:hAnsiTheme="majorBidi" w:cstheme="majorBidi"/>
        </w:rPr>
        <w:t>le Désiré », « </w:t>
      </w:r>
      <w:r w:rsidRPr="007C6A42">
        <w:rPr>
          <w:rFonts w:asciiTheme="majorBidi" w:eastAsia="Calibri" w:hAnsiTheme="majorBidi" w:cstheme="majorBidi"/>
          <w:lang w:bidi="ar-AE"/>
        </w:rPr>
        <w:t>le Louangé », « </w:t>
      </w:r>
      <w:r w:rsidRPr="007C6A42">
        <w:rPr>
          <w:rFonts w:asciiTheme="majorBidi" w:hAnsiTheme="majorBidi" w:cstheme="majorBidi"/>
        </w:rPr>
        <w:t>digne d’être loué », « Il est le Digne de louange », « </w:t>
      </w:r>
      <w:r w:rsidRPr="007C6A42">
        <w:rPr>
          <w:rFonts w:asciiTheme="majorBidi" w:eastAsia="Times New Roman" w:hAnsiTheme="majorBidi" w:cstheme="majorBidi"/>
        </w:rPr>
        <w:t>qui est Le Digne de louange », « le louable », « </w:t>
      </w:r>
      <w:r w:rsidRPr="007C6A42">
        <w:rPr>
          <w:rFonts w:asciiTheme="majorBidi" w:hAnsiTheme="majorBidi" w:cstheme="majorBidi"/>
        </w:rPr>
        <w:t>le plus digne de louanges », « le Tout-Louable », « Il est Celui qui est Digne de louanges ».</w:t>
      </w:r>
    </w:p>
    <w:p w14:paraId="71BC3377"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hAnsiTheme="majorBidi" w:cstheme="majorBidi"/>
        </w:rPr>
        <w:t xml:space="preserve">L’adjectif « sublime » donné par Ben Mahmoud ne désigne pas le sens de </w:t>
      </w:r>
      <w:r w:rsidRPr="007C6A42">
        <w:rPr>
          <w:rFonts w:asciiTheme="majorBidi" w:eastAsia="Times New Roman" w:hAnsiTheme="majorBidi" w:cstheme="majorBidi"/>
          <w:i/>
          <w:iCs/>
          <w:shd w:val="clear" w:color="auto" w:fill="FFFFFF"/>
          <w:lang w:bidi="ar-KW"/>
        </w:rPr>
        <w:t>ḥamīd</w:t>
      </w:r>
      <w:r w:rsidRPr="007C6A42">
        <w:rPr>
          <w:rFonts w:asciiTheme="majorBidi" w:eastAsia="Times New Roman" w:hAnsiTheme="majorBidi" w:cstheme="majorBidi"/>
          <w:shd w:val="clear" w:color="auto" w:fill="FFFFFF"/>
          <w:lang w:bidi="ar-KW"/>
        </w:rPr>
        <w:t xml:space="preserve"> mais celui de </w:t>
      </w:r>
      <w:r w:rsidRPr="007C6A42">
        <w:rPr>
          <w:rFonts w:asciiTheme="majorBidi" w:eastAsia="Times New Roman" w:hAnsiTheme="majorBidi" w:cstheme="majorBidi"/>
          <w:i/>
          <w:iCs/>
          <w:shd w:val="clear" w:color="auto" w:fill="FFFFFF"/>
          <w:lang w:bidi="ar-KW"/>
        </w:rPr>
        <w:t>jalīl</w:t>
      </w:r>
      <w:r w:rsidRPr="007C6A42">
        <w:rPr>
          <w:rFonts w:asciiTheme="majorBidi" w:eastAsia="Times New Roman" w:hAnsiTheme="majorBidi" w:cstheme="majorBidi"/>
          <w:shd w:val="clear" w:color="auto" w:fill="FFFFFF"/>
          <w:lang w:bidi="ar-KW"/>
        </w:rPr>
        <w:t xml:space="preserve">. Du Ryer a ajouté le sens de « devoir » en le traduisant par </w:t>
      </w:r>
      <w:r w:rsidRPr="007C6A42">
        <w:rPr>
          <w:rFonts w:asciiTheme="majorBidi" w:hAnsiTheme="majorBidi" w:cstheme="majorBidi"/>
        </w:rPr>
        <w:t xml:space="preserve">« doit être exalté ». Grosjean a ajouté la conjonction d’opposition « mais » en disant : « Dieu se suffit, mais il mérite louanges », comme si les deux noms </w:t>
      </w:r>
      <w:r w:rsidRPr="007C6A42">
        <w:rPr>
          <w:rFonts w:asciiTheme="majorBidi" w:eastAsia="Times New Roman" w:hAnsiTheme="majorBidi" w:cstheme="majorBidi"/>
          <w:i/>
          <w:iCs/>
          <w:shd w:val="clear" w:color="auto" w:fill="FFFFFF"/>
          <w:lang w:bidi="ar-KW"/>
        </w:rPr>
        <w:t>al-</w:t>
      </w:r>
      <w:r w:rsidRPr="007C6A42">
        <w:rPr>
          <w:rFonts w:asciiTheme="majorBidi" w:eastAsia="Times New Roman" w:hAnsiTheme="majorBidi" w:cstheme="majorBidi"/>
          <w:i/>
        </w:rPr>
        <w:t>g</w:t>
      </w:r>
      <w:r w:rsidRPr="007C6A42">
        <w:rPr>
          <w:rFonts w:asciiTheme="majorBidi" w:eastAsia="Times New Roman" w:hAnsiTheme="majorBidi" w:cstheme="majorBidi"/>
          <w:i/>
          <w:iCs/>
          <w:shd w:val="clear" w:color="auto" w:fill="FFFFFF"/>
          <w:lang w:bidi="ar-KW"/>
        </w:rPr>
        <w:t>han</w:t>
      </w:r>
      <w:r w:rsidRPr="007C6A42">
        <w:rPr>
          <w:rFonts w:asciiTheme="majorBidi" w:eastAsia="Times New Roman" w:hAnsiTheme="majorBidi" w:cstheme="majorBidi"/>
          <w:bCs/>
          <w:i/>
          <w:iCs/>
          <w:shd w:val="clear" w:color="auto" w:fill="FFFFFF"/>
          <w:lang w:bidi="ar-KW"/>
        </w:rPr>
        <w:t>ī</w:t>
      </w:r>
      <w:r w:rsidRPr="007C6A42">
        <w:rPr>
          <w:rFonts w:asciiTheme="majorBidi" w:eastAsia="Times New Roman" w:hAnsiTheme="majorBidi" w:cstheme="majorBidi"/>
          <w:i/>
          <w:iCs/>
          <w:shd w:val="clear" w:color="auto" w:fill="FFFFFF"/>
          <w:lang w:bidi="ar-KW"/>
        </w:rPr>
        <w:t xml:space="preserve"> </w:t>
      </w:r>
      <w:r w:rsidRPr="007C6A42">
        <w:rPr>
          <w:rFonts w:asciiTheme="majorBidi" w:eastAsia="Times New Roman" w:hAnsiTheme="majorBidi" w:cstheme="majorBidi"/>
          <w:shd w:val="clear" w:color="auto" w:fill="FFFFFF"/>
          <w:lang w:bidi="ar-KW"/>
        </w:rPr>
        <w:t xml:space="preserve">et </w:t>
      </w:r>
      <w:r w:rsidRPr="007C6A42">
        <w:rPr>
          <w:rFonts w:asciiTheme="majorBidi" w:eastAsia="Times New Roman" w:hAnsiTheme="majorBidi" w:cstheme="majorBidi"/>
          <w:i/>
          <w:iCs/>
          <w:shd w:val="clear" w:color="auto" w:fill="FFFFFF"/>
          <w:lang w:bidi="ar-KW"/>
        </w:rPr>
        <w:t>al-ḥamīd</w:t>
      </w:r>
      <w:r w:rsidRPr="007C6A42">
        <w:rPr>
          <w:rFonts w:asciiTheme="majorBidi" w:eastAsia="Times New Roman" w:hAnsiTheme="majorBidi" w:cstheme="majorBidi"/>
          <w:b/>
          <w:bCs/>
          <w:shd w:val="clear" w:color="auto" w:fill="FFFFFF"/>
          <w:lang w:bidi="ar-KW"/>
        </w:rPr>
        <w:t xml:space="preserve"> </w:t>
      </w:r>
      <w:r w:rsidRPr="007C6A42">
        <w:rPr>
          <w:rFonts w:asciiTheme="majorBidi" w:hAnsiTheme="majorBidi" w:cstheme="majorBidi"/>
        </w:rPr>
        <w:t>s’opposent.</w:t>
      </w:r>
    </w:p>
    <w:p w14:paraId="5C0F4AD3"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hAnsiTheme="majorBidi" w:cstheme="majorBidi"/>
        </w:rPr>
        <w:t>Le mot « </w:t>
      </w:r>
      <w:r w:rsidRPr="007C6A42">
        <w:rPr>
          <w:rFonts w:asciiTheme="majorBidi" w:eastAsia="Times New Roman" w:hAnsiTheme="majorBidi" w:cstheme="majorBidi"/>
        </w:rPr>
        <w:t xml:space="preserve">le Désiré » choisi par Chouraqui n’a rien à voir avec le sens lexical et étymologique de </w:t>
      </w:r>
      <w:r w:rsidRPr="007C6A42">
        <w:rPr>
          <w:rFonts w:asciiTheme="majorBidi" w:eastAsia="Times New Roman" w:hAnsiTheme="majorBidi" w:cstheme="majorBidi"/>
          <w:i/>
          <w:iCs/>
        </w:rPr>
        <w:t>al-</w:t>
      </w:r>
      <w:r w:rsidRPr="007C6A42">
        <w:rPr>
          <w:rFonts w:asciiTheme="majorBidi" w:eastAsia="Times New Roman" w:hAnsiTheme="majorBidi" w:cstheme="majorBidi"/>
          <w:i/>
          <w:iCs/>
          <w:shd w:val="clear" w:color="auto" w:fill="FFFFFF"/>
          <w:lang w:bidi="ar-KW"/>
        </w:rPr>
        <w:t>ḥamīd</w:t>
      </w:r>
      <w:r w:rsidRPr="007C6A42">
        <w:rPr>
          <w:rFonts w:asciiTheme="majorBidi" w:eastAsia="Times New Roman" w:hAnsiTheme="majorBidi" w:cstheme="majorBidi"/>
          <w:shd w:val="clear" w:color="auto" w:fill="FFFFFF"/>
          <w:lang w:bidi="ar-KW"/>
        </w:rPr>
        <w:t xml:space="preserve">. La racine </w:t>
      </w:r>
      <w:r w:rsidRPr="007C6A42">
        <w:rPr>
          <w:rFonts w:asciiTheme="majorBidi" w:eastAsia="Times New Roman" w:hAnsiTheme="majorBidi" w:cstheme="majorBidi"/>
          <w:i/>
          <w:iCs/>
          <w:shd w:val="clear" w:color="auto" w:fill="FFFFFF"/>
          <w:lang w:bidi="ar-KW"/>
        </w:rPr>
        <w:t>ḥamd</w:t>
      </w:r>
      <w:r w:rsidRPr="007C6A42">
        <w:rPr>
          <w:rFonts w:asciiTheme="majorBidi" w:eastAsia="Times New Roman" w:hAnsiTheme="majorBidi" w:cstheme="majorBidi"/>
          <w:shd w:val="clear" w:color="auto" w:fill="FFFFFF"/>
          <w:lang w:bidi="ar-KW"/>
        </w:rPr>
        <w:t xml:space="preserve"> signifie : « évoquer les qualités de la Perfection en tant que Perfection » (</w:t>
      </w:r>
      <w:r w:rsidRPr="007C6A42">
        <w:rPr>
          <w:rFonts w:asciiTheme="majorBidi" w:eastAsia="Times New Roman" w:hAnsiTheme="majorBidi" w:cstheme="majorBidi"/>
          <w:shd w:val="clear" w:color="auto" w:fill="FFFFFF"/>
          <w:rtl/>
        </w:rPr>
        <w:t>ذِكر أوصاف الكمال من حيث هو كمال</w:t>
      </w:r>
      <w:r w:rsidRPr="007C6A42">
        <w:rPr>
          <w:rFonts w:asciiTheme="majorBidi" w:eastAsia="Times New Roman" w:hAnsiTheme="majorBidi" w:cstheme="majorBidi"/>
          <w:shd w:val="clear" w:color="auto" w:fill="FFFFFF"/>
          <w:lang w:bidi="ar-KW"/>
        </w:rPr>
        <w:t>)</w:t>
      </w:r>
      <w:r w:rsidRPr="007C6A42">
        <w:rPr>
          <w:rStyle w:val="Appelnotedebasdep"/>
          <w:rFonts w:asciiTheme="majorBidi" w:hAnsiTheme="majorBidi" w:cstheme="majorBidi"/>
        </w:rPr>
        <w:footnoteReference w:id="531"/>
      </w:r>
      <w:r w:rsidRPr="007C6A42">
        <w:rPr>
          <w:rFonts w:asciiTheme="majorBidi" w:eastAsia="Times New Roman" w:hAnsiTheme="majorBidi" w:cstheme="majorBidi"/>
          <w:shd w:val="clear" w:color="auto" w:fill="FFFFFF"/>
          <w:lang w:bidi="ar-KW"/>
        </w:rPr>
        <w:t>.</w:t>
      </w:r>
    </w:p>
    <w:p w14:paraId="51B669ED" w14:textId="77777777" w:rsidR="00A70B78" w:rsidRPr="007C6A42" w:rsidRDefault="00A70B78" w:rsidP="00A70B78">
      <w:pPr>
        <w:spacing w:line="360" w:lineRule="auto"/>
        <w:rPr>
          <w:rFonts w:asciiTheme="majorBidi" w:eastAsia="Times New Roman" w:hAnsiTheme="majorBidi" w:cstheme="majorBidi"/>
          <w:shd w:val="clear" w:color="auto" w:fill="FFFFFF"/>
          <w:lang w:bidi="ar-KW"/>
        </w:rPr>
      </w:pPr>
    </w:p>
    <w:p w14:paraId="5E0A8ACD" w14:textId="77777777" w:rsidR="00A70B78" w:rsidRPr="007C6A42" w:rsidRDefault="00A70B78" w:rsidP="00A70B78">
      <w:pPr>
        <w:spacing w:line="360" w:lineRule="auto"/>
        <w:jc w:val="center"/>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-8-</w:t>
      </w:r>
    </w:p>
    <w:p w14:paraId="557BD547" w14:textId="77777777" w:rsidR="00A70B78" w:rsidRPr="007C6A42" w:rsidRDefault="00A70B78" w:rsidP="00A70B78">
      <w:pPr>
        <w:spacing w:line="360" w:lineRule="auto"/>
        <w:jc w:val="center"/>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rPr>
        <w:t xml:space="preserve">Traduction des noms </w:t>
      </w:r>
      <w:r w:rsidRPr="007C6A42">
        <w:rPr>
          <w:rFonts w:asciiTheme="majorBidi" w:eastAsia="Times New Roman" w:hAnsiTheme="majorBidi" w:cstheme="majorBidi"/>
          <w:b/>
          <w:bCs/>
          <w:i/>
          <w:iCs/>
          <w:shd w:val="clear" w:color="auto" w:fill="FFFFFF"/>
          <w:lang w:bidi="ar-KW"/>
        </w:rPr>
        <w:t>raʾūf raḥīm</w:t>
      </w:r>
      <w:r w:rsidRPr="007C6A42">
        <w:rPr>
          <w:rFonts w:asciiTheme="majorBidi" w:eastAsia="Times New Roman" w:hAnsiTheme="majorBidi" w:cstheme="majorBidi"/>
          <w:b/>
          <w:bCs/>
          <w:shd w:val="clear" w:color="auto" w:fill="FFFFFF"/>
          <w:lang w:bidi="ar-KW"/>
        </w:rPr>
        <w:t xml:space="preserve"> (65)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68CA2F93" w14:textId="77777777" w:rsidTr="00AF4FC9">
        <w:trPr>
          <w:jc w:val="center"/>
        </w:trPr>
        <w:tc>
          <w:tcPr>
            <w:tcW w:w="6604" w:type="dxa"/>
            <w:gridSpan w:val="2"/>
            <w:tcBorders>
              <w:top w:val="nil"/>
              <w:left w:val="single" w:sz="4" w:space="0" w:color="auto"/>
              <w:bottom w:val="single" w:sz="4" w:space="0" w:color="auto"/>
              <w:right w:val="single" w:sz="4" w:space="0" w:color="auto"/>
            </w:tcBorders>
          </w:tcPr>
          <w:p w14:paraId="0AB1F9D6" w14:textId="77777777" w:rsidR="00A70B78" w:rsidRPr="007C6A42" w:rsidRDefault="00A70B78" w:rsidP="00AF4FC9">
            <w:pPr>
              <w:spacing w:line="360" w:lineRule="auto"/>
              <w:jc w:val="center"/>
              <w:rPr>
                <w:rFonts w:asciiTheme="majorBidi" w:eastAsia="Times New Roman" w:hAnsiTheme="majorBidi" w:cstheme="majorBidi"/>
                <w:rtl/>
              </w:rPr>
            </w:pPr>
            <w:r w:rsidRPr="007C6A42">
              <w:rPr>
                <w:rFonts w:asciiTheme="majorBidi" w:eastAsia="Times New Roman" w:hAnsiTheme="majorBidi" w:cstheme="majorBidi"/>
              </w:rPr>
              <w:t>« </w:t>
            </w:r>
            <w:r w:rsidRPr="007C6A42">
              <w:rPr>
                <w:rFonts w:asciiTheme="majorBidi" w:eastAsia="Times New Roman" w:hAnsiTheme="majorBidi" w:cstheme="majorBidi"/>
                <w:rtl/>
              </w:rPr>
              <w:t>رؤوف رحيم</w:t>
            </w:r>
            <w:r w:rsidRPr="007C6A42">
              <w:rPr>
                <w:rFonts w:asciiTheme="majorBidi" w:eastAsia="Times New Roman" w:hAnsiTheme="majorBidi" w:cstheme="majorBidi"/>
              </w:rPr>
              <w:t> »</w:t>
            </w:r>
            <w:r w:rsidRPr="007C6A42">
              <w:rPr>
                <w:rFonts w:asciiTheme="majorBidi" w:eastAsia="Times New Roman" w:hAnsiTheme="majorBidi" w:cstheme="majorBidi"/>
                <w:shd w:val="clear" w:color="auto" w:fill="FFFFFF"/>
                <w:lang w:bidi="ar-KW"/>
              </w:rPr>
              <w:t xml:space="preserve"> (65)</w:t>
            </w:r>
          </w:p>
        </w:tc>
      </w:tr>
      <w:tr w:rsidR="00A70B78" w:rsidRPr="007C6A42" w14:paraId="276FA1E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F901A6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4650DE5E"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benin &amp; miʃericordieux</w:t>
            </w:r>
          </w:p>
        </w:tc>
      </w:tr>
      <w:tr w:rsidR="00A70B78" w:rsidRPr="007C6A42" w14:paraId="5075A1C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0A2E80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04ABDE23"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clément et miséricordieux</w:t>
            </w:r>
          </w:p>
        </w:tc>
      </w:tr>
      <w:tr w:rsidR="00A70B78" w:rsidRPr="007C6A42" w14:paraId="423F941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BCC5C6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7A023887"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plein de bonté et de miséricorde</w:t>
            </w:r>
          </w:p>
        </w:tc>
      </w:tr>
      <w:tr w:rsidR="00A70B78" w:rsidRPr="007C6A42" w14:paraId="1E3599D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C20484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1D81F8E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indulgent et miséricordieux</w:t>
            </w:r>
          </w:p>
        </w:tc>
      </w:tr>
      <w:tr w:rsidR="00A70B78" w:rsidRPr="007C6A42" w14:paraId="5A1760E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95BBF9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1FD2190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plein de bonté et de miséricorde</w:t>
            </w:r>
          </w:p>
        </w:tc>
      </w:tr>
      <w:tr w:rsidR="00A70B78" w:rsidRPr="007C6A42" w14:paraId="4BB7374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DEDA10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3047C0A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doux, certes oui, miséricordieux</w:t>
            </w:r>
          </w:p>
        </w:tc>
      </w:tr>
      <w:tr w:rsidR="00A70B78" w:rsidRPr="007C6A42" w14:paraId="4D10461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ECFE8B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191EC8F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plein de bonté et de pitié</w:t>
            </w:r>
          </w:p>
        </w:tc>
      </w:tr>
      <w:tr w:rsidR="00A70B78" w:rsidRPr="007C6A42" w14:paraId="45B28BB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45E514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315FDD1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bon et miséricordieux</w:t>
            </w:r>
          </w:p>
        </w:tc>
      </w:tr>
      <w:tr w:rsidR="00A70B78" w:rsidRPr="007C6A42" w14:paraId="2228F0C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DA6875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Gros. (1972)</w:t>
            </w:r>
          </w:p>
        </w:tc>
        <w:tc>
          <w:tcPr>
            <w:tcW w:w="4580" w:type="dxa"/>
            <w:tcBorders>
              <w:top w:val="single" w:sz="4" w:space="0" w:color="auto"/>
              <w:left w:val="single" w:sz="4" w:space="0" w:color="auto"/>
              <w:bottom w:val="single" w:sz="4" w:space="0" w:color="auto"/>
              <w:right w:val="single" w:sz="4" w:space="0" w:color="auto"/>
            </w:tcBorders>
          </w:tcPr>
          <w:p w14:paraId="28A3776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bon, il a pitié.</w:t>
            </w:r>
          </w:p>
        </w:tc>
      </w:tr>
      <w:tr w:rsidR="00A70B78" w:rsidRPr="007C6A42" w14:paraId="6A57067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7A8EE6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46CE1060"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le Suave, le Matriciel</w:t>
            </w:r>
          </w:p>
        </w:tc>
      </w:tr>
      <w:tr w:rsidR="00A70B78" w:rsidRPr="007C6A42" w14:paraId="68E67258"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27A104E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67454EA1"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Tendre, Miséricordieux</w:t>
            </w:r>
          </w:p>
        </w:tc>
      </w:tr>
      <w:tr w:rsidR="00A70B78" w:rsidRPr="007C6A42" w14:paraId="5000A95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BBD7D7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5F836D3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plein de bonté et de miséricorde</w:t>
            </w:r>
          </w:p>
        </w:tc>
      </w:tr>
      <w:tr w:rsidR="00A70B78" w:rsidRPr="007C6A42" w14:paraId="015236C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46E80A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5E4B142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Plein de compassion et de miséricorde</w:t>
            </w:r>
          </w:p>
        </w:tc>
      </w:tr>
      <w:tr w:rsidR="00A70B78" w:rsidRPr="007C6A42" w14:paraId="1FC2D92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A0C32C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5103F460"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Plein de bonté et de miséricorde</w:t>
            </w:r>
          </w:p>
        </w:tc>
      </w:tr>
      <w:tr w:rsidR="00A70B78" w:rsidRPr="007C6A42" w14:paraId="3243F2B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1114B3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5F7F509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compatissant et très miséricordieux</w:t>
            </w:r>
          </w:p>
        </w:tc>
      </w:tr>
      <w:tr w:rsidR="00A70B78" w:rsidRPr="007C6A42" w14:paraId="2052DA9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3C26CD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04D5FCE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indulgent. Il est le Miséricordieux.</w:t>
            </w:r>
          </w:p>
        </w:tc>
      </w:tr>
      <w:tr w:rsidR="00A70B78" w:rsidRPr="007C6A42" w14:paraId="33645A3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598BC0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6F733FD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Compatissant, Miséricordieux</w:t>
            </w:r>
          </w:p>
        </w:tc>
      </w:tr>
      <w:tr w:rsidR="00A70B78" w:rsidRPr="007C6A42" w14:paraId="33F2F56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BE5E4C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2D87206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Bienveillant. Il est Miséricordieux.</w:t>
            </w:r>
          </w:p>
        </w:tc>
      </w:tr>
    </w:tbl>
    <w:p w14:paraId="0ABD05B4" w14:textId="77777777" w:rsidR="00A70B78" w:rsidRPr="007C6A42" w:rsidRDefault="00A70B78" w:rsidP="00A70B78">
      <w:pPr>
        <w:spacing w:line="360" w:lineRule="auto"/>
        <w:rPr>
          <w:rFonts w:asciiTheme="majorBidi" w:eastAsia="Times New Roman" w:hAnsiTheme="majorBidi" w:cstheme="majorBidi"/>
          <w:shd w:val="clear" w:color="auto" w:fill="FFFFFF"/>
          <w:lang w:bidi="ar-KW"/>
        </w:rPr>
      </w:pPr>
    </w:p>
    <w:p w14:paraId="10906DFC"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hAnsiTheme="majorBidi" w:cstheme="majorBidi"/>
        </w:rPr>
        <w:t xml:space="preserve">Le nom </w:t>
      </w:r>
      <w:r w:rsidRPr="00FD384B">
        <w:rPr>
          <w:rFonts w:asciiTheme="majorBidi" w:eastAsia="Times New Roman" w:hAnsiTheme="majorBidi" w:cstheme="majorBidi"/>
          <w:i/>
          <w:iCs/>
          <w:shd w:val="clear" w:color="auto" w:fill="FFFFFF"/>
          <w:lang w:bidi="ar-KW"/>
        </w:rPr>
        <w:t>raʾūf</w:t>
      </w:r>
      <w:r w:rsidRPr="00FD384B">
        <w:rPr>
          <w:rFonts w:asciiTheme="majorBidi" w:eastAsia="Times New Roman" w:hAnsiTheme="majorBidi" w:cstheme="majorBidi"/>
          <w:shd w:val="clear" w:color="auto" w:fill="FFFFFF"/>
          <w:lang w:bidi="ar-KW"/>
        </w:rPr>
        <w:t xml:space="preserve"> (l’exagération du nom </w:t>
      </w:r>
      <w:r w:rsidRPr="00FD384B">
        <w:rPr>
          <w:rFonts w:asciiTheme="majorBidi" w:eastAsia="Times New Roman" w:hAnsiTheme="majorBidi" w:cstheme="majorBidi"/>
          <w:i/>
          <w:iCs/>
          <w:shd w:val="clear" w:color="auto" w:fill="FFFFFF"/>
          <w:lang w:bidi="ar-KW"/>
        </w:rPr>
        <w:t>raḥīm</w:t>
      </w:r>
      <w:r w:rsidRPr="00FD384B">
        <w:rPr>
          <w:rStyle w:val="Appelnotedebasdep"/>
          <w:rFonts w:asciiTheme="majorBidi" w:hAnsiTheme="majorBidi" w:cstheme="majorBidi"/>
        </w:rPr>
        <w:footnoteReference w:id="532"/>
      </w:r>
      <w:r w:rsidRPr="00FD384B">
        <w:rPr>
          <w:rFonts w:asciiTheme="majorBidi" w:eastAsia="Times New Roman" w:hAnsiTheme="majorBidi" w:cstheme="majorBidi"/>
          <w:shd w:val="clear" w:color="auto" w:fill="FFFFFF"/>
          <w:lang w:bidi="ar-KW"/>
        </w:rPr>
        <w:t>) est traduit</w:t>
      </w:r>
      <w:r w:rsidRPr="007C6A42">
        <w:rPr>
          <w:rFonts w:asciiTheme="majorBidi" w:eastAsia="Times New Roman" w:hAnsiTheme="majorBidi" w:cstheme="majorBidi"/>
          <w:shd w:val="clear" w:color="auto" w:fill="FFFFFF"/>
          <w:lang w:bidi="ar-KW"/>
        </w:rPr>
        <w:t xml:space="preserve"> par : « bénin », « clément », « plein de bonté » (5 fois), « indulgent » (2 fois), « doux », « bon » (2 fois), « le Suave », « Tendre », « plein de compassion », « compatissant », « Bienveillant ».</w:t>
      </w:r>
    </w:p>
    <w:p w14:paraId="0FD81ABE" w14:textId="77777777" w:rsidR="00A70B78" w:rsidRPr="00E358AC"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Bien que leurs objectifs de traduction soient opposés, Abdelaziz et Aldeeb ont choisi le même terme, Abdelaziz l’écrit en majuscule (« Compatissant ») et Aldeeb en minuscule (« compatissant »). On a recensé une quinzaine d’exemples sur la ressemblance flagrante entre la traduction littéraliste apologétique d’Abdelaziz et la traduction littéraliste dénigrante d’Aldeeb </w:t>
      </w:r>
      <w:r w:rsidRPr="00E358AC">
        <w:rPr>
          <w:rFonts w:asciiTheme="majorBidi" w:eastAsia="Times New Roman" w:hAnsiTheme="majorBidi" w:cstheme="majorBidi"/>
          <w:shd w:val="clear" w:color="auto" w:fill="FFFFFF"/>
          <w:lang w:bidi="ar-KW"/>
        </w:rPr>
        <w:t>(</w:t>
      </w:r>
      <w:r w:rsidRPr="00E358AC">
        <w:rPr>
          <w:rFonts w:asciiTheme="majorBidi" w:eastAsia="Times New Roman" w:hAnsiTheme="majorBidi" w:cstheme="majorBidi"/>
          <w:i/>
          <w:shd w:val="clear" w:color="auto" w:fill="FFFFFF"/>
          <w:lang w:bidi="ar-KW"/>
        </w:rPr>
        <w:t>cf</w:t>
      </w:r>
      <w:r w:rsidRPr="00E358AC">
        <w:rPr>
          <w:rFonts w:asciiTheme="majorBidi" w:eastAsia="Times New Roman" w:hAnsiTheme="majorBidi" w:cstheme="majorBidi"/>
          <w:shd w:val="clear" w:color="auto" w:fill="FFFFFF"/>
          <w:lang w:bidi="ar-KW"/>
        </w:rPr>
        <w:t xml:space="preserve">. </w:t>
      </w:r>
      <w:r w:rsidRPr="00E358AC">
        <w:rPr>
          <w:rFonts w:asciiTheme="majorBidi" w:eastAsia="Times New Roman" w:hAnsiTheme="majorBidi" w:cstheme="majorBidi"/>
          <w:i/>
          <w:shd w:val="clear" w:color="auto" w:fill="FFFFFF"/>
          <w:lang w:bidi="ar-KW"/>
        </w:rPr>
        <w:t>infra</w:t>
      </w:r>
      <w:r w:rsidRPr="00E358AC">
        <w:rPr>
          <w:rFonts w:asciiTheme="majorBidi" w:eastAsia="Times New Roman" w:hAnsiTheme="majorBidi" w:cstheme="majorBidi"/>
          <w:shd w:val="clear" w:color="auto" w:fill="FFFFFF"/>
          <w:lang w:bidi="ar-KW"/>
        </w:rPr>
        <w:t>, chapitre XI)</w:t>
      </w:r>
      <w:r w:rsidRPr="00E358AC">
        <w:rPr>
          <w:rFonts w:asciiTheme="majorBidi" w:hAnsiTheme="majorBidi" w:cstheme="majorBidi"/>
        </w:rPr>
        <w:t>.</w:t>
      </w:r>
    </w:p>
    <w:p w14:paraId="7086955B"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Les traducteurs confondent entre certains noms de Dieu. Les frontières entre les traductions des noms de Dieu ne sont pas claires. Les traductions ne sont pas fixes, dans le sens où le traducteur mélange entre les noms. Les champs sémantiques des traductions de certains noms sont flous. Les termes « plein de bonté », « doux » et « Bienveillant » utilisés ici pour traduire le nom </w:t>
      </w:r>
      <w:r w:rsidRPr="007C6A42">
        <w:rPr>
          <w:rFonts w:asciiTheme="majorBidi" w:eastAsia="Times New Roman" w:hAnsiTheme="majorBidi" w:cstheme="majorBidi"/>
          <w:i/>
          <w:iCs/>
          <w:shd w:val="clear" w:color="auto" w:fill="FFFFFF"/>
          <w:lang w:bidi="ar-KW"/>
        </w:rPr>
        <w:t>raʾūf</w:t>
      </w:r>
      <w:r w:rsidRPr="007C6A42">
        <w:rPr>
          <w:rFonts w:asciiTheme="majorBidi" w:eastAsia="Times New Roman" w:hAnsiTheme="majorBidi" w:cstheme="majorBidi"/>
          <w:shd w:val="clear" w:color="auto" w:fill="FFFFFF"/>
          <w:lang w:bidi="ar-KW"/>
        </w:rPr>
        <w:t xml:space="preserve"> ont été déjà utilisés pour traduire le nom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parfois par les mêmes traducteurs (Kazimirski et le Complexe de Médine : « plein de bonté »), alors que les frontières entre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et </w:t>
      </w:r>
      <w:r w:rsidRPr="007C6A42">
        <w:rPr>
          <w:rFonts w:asciiTheme="majorBidi" w:eastAsia="Times New Roman" w:hAnsiTheme="majorBidi" w:cstheme="majorBidi"/>
          <w:i/>
          <w:iCs/>
          <w:shd w:val="clear" w:color="auto" w:fill="FFFFFF"/>
          <w:lang w:bidi="ar-KW"/>
        </w:rPr>
        <w:t>raʾūf</w:t>
      </w:r>
      <w:r w:rsidRPr="007C6A42">
        <w:rPr>
          <w:rFonts w:asciiTheme="majorBidi" w:eastAsia="Times New Roman" w:hAnsiTheme="majorBidi" w:cstheme="majorBidi"/>
          <w:shd w:val="clear" w:color="auto" w:fill="FFFFFF"/>
          <w:lang w:bidi="ar-KW"/>
        </w:rPr>
        <w:t xml:space="preserve"> sont bien marquées en arabe.</w:t>
      </w:r>
      <w:r w:rsidRPr="007C6A42">
        <w:rPr>
          <w:rFonts w:asciiTheme="majorBidi" w:eastAsia="Times New Roman" w:hAnsiTheme="majorBidi" w:cstheme="majorBidi"/>
        </w:rPr>
        <w:t xml:space="preserve"> </w:t>
      </w:r>
      <w:r w:rsidRPr="007C6A42">
        <w:rPr>
          <w:rFonts w:asciiTheme="majorBidi" w:eastAsia="Times New Roman" w:hAnsiTheme="majorBidi" w:cstheme="majorBidi"/>
          <w:shd w:val="clear" w:color="auto" w:fill="FFFFFF"/>
          <w:lang w:bidi="ar-KW"/>
        </w:rPr>
        <w:t xml:space="preserve">Le Coran et les exégèses associent </w:t>
      </w:r>
      <w:r w:rsidRPr="007C6A42">
        <w:rPr>
          <w:rFonts w:asciiTheme="majorBidi" w:eastAsia="Times New Roman" w:hAnsiTheme="majorBidi" w:cstheme="majorBidi"/>
          <w:i/>
          <w:iCs/>
          <w:shd w:val="clear" w:color="auto" w:fill="FFFFFF"/>
          <w:lang w:bidi="ar-KW"/>
        </w:rPr>
        <w:t>raʾūf</w:t>
      </w:r>
      <w:r w:rsidRPr="007C6A42">
        <w:rPr>
          <w:rFonts w:asciiTheme="majorBidi" w:eastAsia="Times New Roman" w:hAnsiTheme="majorBidi" w:cstheme="majorBidi"/>
          <w:shd w:val="clear" w:color="auto" w:fill="FFFFFF"/>
          <w:lang w:bidi="ar-KW"/>
        </w:rPr>
        <w:t xml:space="preserve"> et </w:t>
      </w:r>
      <w:r w:rsidRPr="007C6A42">
        <w:rPr>
          <w:rFonts w:asciiTheme="majorBidi" w:eastAsia="Times New Roman" w:hAnsiTheme="majorBidi" w:cstheme="majorBidi"/>
          <w:i/>
          <w:iCs/>
          <w:shd w:val="clear" w:color="auto" w:fill="FFFFFF"/>
          <w:lang w:bidi="ar-KW"/>
        </w:rPr>
        <w:t>raḥīm</w:t>
      </w:r>
      <w:r w:rsidRPr="007C6A42">
        <w:rPr>
          <w:rFonts w:asciiTheme="majorBidi" w:eastAsia="Times New Roman" w:hAnsiTheme="majorBidi" w:cstheme="majorBidi"/>
          <w:shd w:val="clear" w:color="auto" w:fill="FFFFFF"/>
          <w:lang w:bidi="ar-KW"/>
        </w:rPr>
        <w:t xml:space="preserve">. Mais certains traducteurs associent </w:t>
      </w:r>
      <w:r w:rsidRPr="007C6A42">
        <w:rPr>
          <w:rFonts w:asciiTheme="majorBidi" w:eastAsia="Times New Roman" w:hAnsiTheme="majorBidi" w:cstheme="majorBidi"/>
          <w:i/>
          <w:iCs/>
          <w:shd w:val="clear" w:color="auto" w:fill="FFFFFF"/>
          <w:lang w:bidi="ar-KW"/>
        </w:rPr>
        <w:t>raʾūf</w:t>
      </w:r>
      <w:r w:rsidRPr="007C6A42">
        <w:rPr>
          <w:rFonts w:asciiTheme="majorBidi" w:eastAsia="Times New Roman" w:hAnsiTheme="majorBidi" w:cstheme="majorBidi"/>
          <w:shd w:val="clear" w:color="auto" w:fill="FFFFFF"/>
          <w:lang w:bidi="ar-KW"/>
        </w:rPr>
        <w:t xml:space="preserve"> et </w:t>
      </w:r>
      <w:r w:rsidRPr="007C6A42">
        <w:rPr>
          <w:rFonts w:asciiTheme="majorBidi" w:eastAsia="Times New Roman" w:hAnsiTheme="majorBidi" w:cstheme="majorBidi"/>
          <w:i/>
          <w:iCs/>
        </w:rPr>
        <w:t>laṭīf</w:t>
      </w:r>
      <w:r w:rsidRPr="007C6A42">
        <w:rPr>
          <w:rFonts w:asciiTheme="majorBidi" w:eastAsia="Times New Roman" w:hAnsiTheme="majorBidi" w:cstheme="majorBidi"/>
        </w:rPr>
        <w:t>.</w:t>
      </w:r>
    </w:p>
    <w:p w14:paraId="467D08B6" w14:textId="71B3D20C" w:rsidR="00A70B78" w:rsidRPr="007C6A42" w:rsidRDefault="00A70B78" w:rsidP="00521A6D">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rPr>
        <w:t>On trouve cette tendance d’appauvrissement quantitatif chez un même traducteur, quand il traduit deux mots différents par un seul mot. En guise d’exemple, Du Ryer utilise le terme « </w:t>
      </w:r>
      <w:r w:rsidRPr="007C6A42">
        <w:rPr>
          <w:rFonts w:asciiTheme="majorBidi" w:hAnsiTheme="majorBidi" w:cstheme="majorBidi"/>
        </w:rPr>
        <w:t xml:space="preserve">bénin » pour traduire </w:t>
      </w:r>
      <w:r w:rsidRPr="007C6A42">
        <w:rPr>
          <w:rFonts w:asciiTheme="majorBidi" w:eastAsia="Times New Roman" w:hAnsiTheme="majorBidi" w:cstheme="majorBidi"/>
          <w:i/>
          <w:iCs/>
          <w:shd w:val="clear" w:color="auto" w:fill="FFFFFF"/>
          <w:lang w:bidi="ar-KW"/>
        </w:rPr>
        <w:t>raʾūf</w:t>
      </w:r>
      <w:r w:rsidRPr="007C6A42">
        <w:rPr>
          <w:rFonts w:asciiTheme="majorBidi" w:eastAsia="Times New Roman" w:hAnsiTheme="majorBidi" w:cstheme="majorBidi"/>
          <w:shd w:val="clear" w:color="auto" w:fill="FFFFFF"/>
          <w:lang w:bidi="ar-KW"/>
        </w:rPr>
        <w:t xml:space="preserve"> et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mais en ajoutant pour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le syntagme prépositionnel « </w:t>
      </w:r>
      <w:r w:rsidRPr="007C6A42">
        <w:rPr>
          <w:rFonts w:asciiTheme="majorBidi" w:hAnsiTheme="majorBidi" w:cstheme="majorBidi"/>
        </w:rPr>
        <w:t xml:space="preserve">à </w:t>
      </w:r>
      <w:r w:rsidRPr="007C6A42">
        <w:rPr>
          <w:rFonts w:asciiTheme="majorBidi" w:hAnsiTheme="majorBidi" w:cstheme="majorBidi"/>
        </w:rPr>
        <w:lastRenderedPageBreak/>
        <w:t xml:space="preserve">son peuple ». De même, Kazimirski, Guessous et le Complexe de Médine traduisent les deux noms </w:t>
      </w:r>
      <w:r w:rsidRPr="007C6A42">
        <w:rPr>
          <w:rFonts w:asciiTheme="majorBidi" w:eastAsia="Times New Roman" w:hAnsiTheme="majorBidi" w:cstheme="majorBidi"/>
          <w:i/>
          <w:iCs/>
          <w:shd w:val="clear" w:color="auto" w:fill="FFFFFF"/>
          <w:lang w:bidi="ar-KW"/>
        </w:rPr>
        <w:t>raʾūf</w:t>
      </w:r>
      <w:r w:rsidRPr="007C6A42">
        <w:rPr>
          <w:rFonts w:asciiTheme="majorBidi" w:eastAsia="Times New Roman" w:hAnsiTheme="majorBidi" w:cstheme="majorBidi"/>
          <w:shd w:val="clear" w:color="auto" w:fill="FFFFFF"/>
          <w:lang w:bidi="ar-KW"/>
        </w:rPr>
        <w:t xml:space="preserve"> et</w:t>
      </w:r>
      <w:r w:rsidRPr="007C6A42">
        <w:rPr>
          <w:rFonts w:asciiTheme="majorBidi" w:eastAsia="Times New Roman" w:hAnsiTheme="majorBidi" w:cstheme="majorBidi"/>
        </w:rPr>
        <w:t> </w:t>
      </w:r>
      <w:r w:rsidRPr="007C6A42">
        <w:rPr>
          <w:rFonts w:asciiTheme="majorBidi" w:eastAsia="Times New Roman" w:hAnsiTheme="majorBidi" w:cstheme="majorBidi"/>
          <w:i/>
          <w:iCs/>
        </w:rPr>
        <w:t>laṭīf</w:t>
      </w:r>
      <w:r w:rsidRPr="007C6A42">
        <w:rPr>
          <w:rFonts w:asciiTheme="majorBidi" w:eastAsia="Times New Roman" w:hAnsiTheme="majorBidi" w:cstheme="majorBidi"/>
        </w:rPr>
        <w:t xml:space="preserve"> par un seul syntagme </w:t>
      </w:r>
      <w:r w:rsidRPr="007C6A42">
        <w:rPr>
          <w:rFonts w:asciiTheme="majorBidi" w:eastAsia="Times New Roman" w:hAnsiTheme="majorBidi" w:cstheme="majorBidi"/>
          <w:shd w:val="clear" w:color="auto" w:fill="FFFFFF"/>
          <w:lang w:bidi="ar-KW"/>
        </w:rPr>
        <w:t>« plein de bonté ».</w:t>
      </w:r>
    </w:p>
    <w:p w14:paraId="45C41B70"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Quant au nom </w:t>
      </w:r>
      <w:r w:rsidRPr="007C6A42">
        <w:rPr>
          <w:rFonts w:asciiTheme="majorBidi" w:eastAsia="Times New Roman" w:hAnsiTheme="majorBidi" w:cstheme="majorBidi"/>
          <w:i/>
          <w:iCs/>
          <w:shd w:val="clear" w:color="auto" w:fill="FFFFFF"/>
          <w:lang w:bidi="ar-KW"/>
        </w:rPr>
        <w:t>raḥīm</w:t>
      </w:r>
      <w:r w:rsidRPr="007C6A42">
        <w:rPr>
          <w:rFonts w:asciiTheme="majorBidi" w:eastAsia="Times New Roman" w:hAnsiTheme="majorBidi" w:cstheme="majorBidi"/>
          <w:shd w:val="clear" w:color="auto" w:fill="FFFFFF"/>
          <w:lang w:bidi="ar-KW"/>
        </w:rPr>
        <w:t>, il est traduit par la plupart des traducteurs par « miséricordieux » (en minus. ou en maj., avec ou sans article défini, avec ou sans l’adverbe qui marque un degré élevé « très »). D’autres traducteurs ont utilisé un syntagme qui contient le mot « miséricorde » : « plein de miséricorde ». La notion de « miséricorde » prime dans les traductions. Cependant, Ben Mahmoud, Grosjean et Chouraqui font exception en utilisant respectivement : « plein de pitié », « il a pitié » et « le Matriciel ».</w:t>
      </w:r>
    </w:p>
    <w:p w14:paraId="0F5D720E" w14:textId="77777777" w:rsidR="00A70B78" w:rsidRPr="007C6A42" w:rsidRDefault="00A70B78" w:rsidP="00A70B78">
      <w:pPr>
        <w:spacing w:line="360" w:lineRule="auto"/>
        <w:ind w:firstLine="284"/>
        <w:jc w:val="both"/>
        <w:rPr>
          <w:rFonts w:asciiTheme="majorBidi" w:eastAsia="Times New Roman" w:hAnsiTheme="majorBidi" w:cstheme="majorBidi"/>
          <w:rtl/>
        </w:rPr>
      </w:pPr>
      <w:r w:rsidRPr="007C6A42">
        <w:rPr>
          <w:rFonts w:asciiTheme="majorBidi" w:eastAsia="Times New Roman" w:hAnsiTheme="majorBidi" w:cstheme="majorBidi"/>
          <w:shd w:val="clear" w:color="auto" w:fill="FFFFFF"/>
          <w:lang w:bidi="ar-KW"/>
        </w:rPr>
        <w:t xml:space="preserve">Les expressions formées avec le mot « pitié » ne rendent pas la valeur sémantique, iconique, étymologique et culturelle du nom </w:t>
      </w:r>
      <w:r w:rsidRPr="007C6A42">
        <w:rPr>
          <w:rFonts w:asciiTheme="majorBidi" w:eastAsia="Times New Roman" w:hAnsiTheme="majorBidi" w:cstheme="majorBidi"/>
          <w:i/>
          <w:iCs/>
          <w:shd w:val="clear" w:color="auto" w:fill="FFFFFF"/>
          <w:lang w:bidi="ar-KW"/>
        </w:rPr>
        <w:t>raḥīm</w:t>
      </w:r>
      <w:r w:rsidRPr="007C6A42">
        <w:rPr>
          <w:rFonts w:asciiTheme="majorBidi" w:eastAsia="Times New Roman" w:hAnsiTheme="majorBidi" w:cstheme="majorBidi"/>
          <w:shd w:val="clear" w:color="auto" w:fill="FFFFFF"/>
          <w:lang w:bidi="ar-KW"/>
        </w:rPr>
        <w:t>. La pitié est un « sentiment d’affliction que l’on éprouve pour les maux et les souffrances d’autrui »</w:t>
      </w:r>
      <w:r w:rsidRPr="007C6A42">
        <w:rPr>
          <w:rStyle w:val="Appelnotedebasdep"/>
          <w:rFonts w:asciiTheme="majorBidi" w:hAnsiTheme="majorBidi" w:cstheme="majorBidi"/>
        </w:rPr>
        <w:footnoteReference w:id="533"/>
      </w:r>
      <w:r w:rsidRPr="007C6A42">
        <w:rPr>
          <w:rFonts w:asciiTheme="majorBidi" w:hAnsiTheme="majorBidi" w:cstheme="majorBidi"/>
        </w:rPr>
        <w:t>, un « </w:t>
      </w:r>
      <w:r w:rsidRPr="007C6A42">
        <w:rPr>
          <w:rFonts w:asciiTheme="majorBidi" w:eastAsia="Times New Roman" w:hAnsiTheme="majorBidi" w:cstheme="majorBidi"/>
          <w:bdr w:val="none" w:sz="0" w:space="0" w:color="auto" w:frame="1"/>
        </w:rPr>
        <w:t>sentiment</w:t>
      </w:r>
      <w:r w:rsidRPr="007C6A42">
        <w:rPr>
          <w:rStyle w:val="apple-converted-space"/>
          <w:rFonts w:asciiTheme="majorBidi" w:hAnsiTheme="majorBidi" w:cstheme="majorBidi"/>
          <w:shd w:val="clear" w:color="auto" w:fill="FFFFFF"/>
        </w:rPr>
        <w:t> </w:t>
      </w:r>
      <w:r w:rsidRPr="007C6A42">
        <w:rPr>
          <w:rFonts w:asciiTheme="majorBidi" w:eastAsia="Times New Roman" w:hAnsiTheme="majorBidi" w:cstheme="majorBidi"/>
          <w:shd w:val="clear" w:color="auto" w:fill="FFFFFF"/>
        </w:rPr>
        <w:t>qui porte à compatir aux souffrances ou à la faiblesse d’autrui</w:t>
      </w:r>
      <w:r w:rsidRPr="007C6A42">
        <w:rPr>
          <w:rFonts w:asciiTheme="majorBidi" w:eastAsia="Times New Roman" w:hAnsiTheme="majorBidi" w:cstheme="majorBidi"/>
        </w:rPr>
        <w:t> »</w:t>
      </w:r>
      <w:r w:rsidRPr="007C6A42">
        <w:rPr>
          <w:rStyle w:val="Appelnotedebasdep"/>
          <w:rFonts w:asciiTheme="majorBidi" w:hAnsiTheme="majorBidi" w:cstheme="majorBidi"/>
        </w:rPr>
        <w:footnoteReference w:id="534"/>
      </w:r>
      <w:r w:rsidRPr="007C6A42">
        <w:rPr>
          <w:rFonts w:asciiTheme="majorBidi" w:eastAsia="Times New Roman" w:hAnsiTheme="majorBidi" w:cstheme="majorBidi"/>
        </w:rPr>
        <w:t xml:space="preserve"> ; alors que la </w:t>
      </w:r>
      <w:r w:rsidRPr="007C6A42">
        <w:rPr>
          <w:rFonts w:asciiTheme="majorBidi" w:eastAsia="Times New Roman" w:hAnsiTheme="majorBidi" w:cstheme="majorBidi"/>
          <w:i/>
          <w:iCs/>
        </w:rPr>
        <w:t>raḥma</w:t>
      </w:r>
      <w:r w:rsidRPr="007C6A42">
        <w:rPr>
          <w:rFonts w:asciiTheme="majorBidi" w:eastAsia="Times New Roman" w:hAnsiTheme="majorBidi" w:cstheme="majorBidi"/>
        </w:rPr>
        <w:t xml:space="preserve"> de Dieu (l’action de son nom </w:t>
      </w:r>
      <w:r w:rsidRPr="007C6A42">
        <w:rPr>
          <w:rFonts w:asciiTheme="majorBidi" w:eastAsia="Times New Roman" w:hAnsiTheme="majorBidi" w:cstheme="majorBidi"/>
          <w:i/>
          <w:iCs/>
        </w:rPr>
        <w:t>Raḥīm</w:t>
      </w:r>
      <w:r w:rsidRPr="007C6A42">
        <w:rPr>
          <w:rFonts w:asciiTheme="majorBidi" w:eastAsia="Times New Roman" w:hAnsiTheme="majorBidi" w:cstheme="majorBidi"/>
        </w:rPr>
        <w:t>) consiste à vouloir et à faire le bien aussi bien avec celui qui le mérite qu’avec celui qui ne le mérite pas, ici-bas et dans l’au-delà.</w:t>
      </w:r>
      <w:r w:rsidRPr="007C6A42">
        <w:rPr>
          <w:rStyle w:val="Appelnotedebasdep"/>
          <w:rFonts w:asciiTheme="majorBidi" w:hAnsiTheme="majorBidi" w:cstheme="majorBidi"/>
        </w:rPr>
        <w:footnoteReference w:id="535"/>
      </w:r>
    </w:p>
    <w:p w14:paraId="3DA9401B" w14:textId="6F999346" w:rsidR="00A70B78" w:rsidRPr="00521A6D" w:rsidRDefault="00A70B78" w:rsidP="00521A6D">
      <w:pPr>
        <w:spacing w:line="360" w:lineRule="auto"/>
        <w:ind w:firstLine="284"/>
        <w:jc w:val="both"/>
        <w:rPr>
          <w:rFonts w:asciiTheme="majorBidi" w:hAnsiTheme="majorBidi" w:cstheme="majorBidi"/>
        </w:rPr>
      </w:pPr>
      <w:r w:rsidRPr="007C6A42">
        <w:rPr>
          <w:rFonts w:asciiTheme="majorBidi" w:eastAsia="Times New Roman" w:hAnsiTheme="majorBidi" w:cstheme="majorBidi"/>
        </w:rPr>
        <w:t>La traduction de Chouraqui (</w:t>
      </w:r>
      <w:r w:rsidRPr="007C6A42">
        <w:rPr>
          <w:rFonts w:asciiTheme="majorBidi" w:eastAsia="Times New Roman" w:hAnsiTheme="majorBidi" w:cstheme="majorBidi"/>
          <w:shd w:val="clear" w:color="auto" w:fill="FFFFFF"/>
          <w:lang w:bidi="ar-KW"/>
        </w:rPr>
        <w:t xml:space="preserve">« le Matriciel »), bien qu’elle soit </w:t>
      </w:r>
      <w:r w:rsidRPr="007C6A42">
        <w:rPr>
          <w:rFonts w:asciiTheme="majorBidi" w:eastAsia="Times New Roman" w:hAnsiTheme="majorBidi" w:cstheme="majorBidi"/>
        </w:rPr>
        <w:t xml:space="preserve">étrange et dépaysante, elle montre l’étymologie sémitique du nom arabe </w:t>
      </w:r>
      <w:r w:rsidRPr="007C6A42">
        <w:rPr>
          <w:rFonts w:asciiTheme="majorBidi" w:eastAsia="Times New Roman" w:hAnsiTheme="majorBidi" w:cstheme="majorBidi"/>
          <w:i/>
          <w:iCs/>
          <w:shd w:val="clear" w:color="auto" w:fill="FFFFFF"/>
          <w:lang w:bidi="ar-KW"/>
        </w:rPr>
        <w:t>raḥīm</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rPr>
        <w:t>et souligne le hadith de Muḥammad (</w:t>
      </w:r>
      <w:r w:rsidRPr="007C6A42">
        <w:rPr>
          <w:rFonts w:asciiTheme="majorBidi" w:eastAsia="Times New Roman" w:hAnsiTheme="majorBidi" w:cstheme="majorBidi"/>
          <w:shd w:val="clear" w:color="auto" w:fill="FFFFFF"/>
          <w:rtl/>
          <w:lang w:bidi="ar-KW"/>
        </w:rPr>
        <w:t>"</w:t>
      </w:r>
      <w:r w:rsidRPr="007C6A42">
        <w:rPr>
          <w:rFonts w:asciiTheme="majorBidi" w:eastAsia="Times New Roman" w:hAnsiTheme="majorBidi" w:cstheme="majorBidi"/>
          <w:bdr w:val="none" w:sz="0" w:space="0" w:color="auto" w:frame="1"/>
          <w:rtl/>
        </w:rPr>
        <w:t>إِنَّ الرَّحِمَ شَجْنَةٌ مِن الرَّحْمَنِ"</w:t>
      </w:r>
      <w:r w:rsidRPr="007C6A42">
        <w:rPr>
          <w:rFonts w:asciiTheme="majorBidi" w:eastAsia="Times New Roman" w:hAnsiTheme="majorBidi" w:cstheme="majorBidi"/>
          <w:bdr w:val="none" w:sz="0" w:space="0" w:color="auto" w:frame="1"/>
        </w:rPr>
        <w:t xml:space="preserve"> </w:t>
      </w:r>
      <w:r w:rsidRPr="007C6A42">
        <w:rPr>
          <w:rFonts w:asciiTheme="majorBidi" w:hAnsiTheme="majorBidi" w:cstheme="majorBidi"/>
        </w:rPr>
        <w:t xml:space="preserve">[« La matrice est une branche (ou morceau) du nom de Dieu </w:t>
      </w:r>
      <w:r w:rsidRPr="007C6A42">
        <w:rPr>
          <w:rFonts w:asciiTheme="majorBidi" w:hAnsiTheme="majorBidi" w:cstheme="majorBidi"/>
          <w:i/>
          <w:iCs/>
        </w:rPr>
        <w:t>Ar-Raḥmān </w:t>
      </w:r>
      <w:r w:rsidRPr="007C6A42">
        <w:rPr>
          <w:rFonts w:asciiTheme="majorBidi" w:hAnsiTheme="majorBidi" w:cstheme="majorBidi"/>
        </w:rPr>
        <w:t>»]</w:t>
      </w:r>
      <w:r w:rsidRPr="007C6A42">
        <w:rPr>
          <w:rStyle w:val="Appelnotedebasdep"/>
          <w:rFonts w:asciiTheme="majorBidi" w:hAnsiTheme="majorBidi" w:cstheme="majorBidi"/>
        </w:rPr>
        <w:footnoteReference w:id="536"/>
      </w:r>
      <w:r w:rsidRPr="007C6A42">
        <w:rPr>
          <w:rFonts w:asciiTheme="majorBidi" w:eastAsia="Times New Roman" w:hAnsiTheme="majorBidi" w:cstheme="majorBidi"/>
        </w:rPr>
        <w:t>).</w:t>
      </w:r>
    </w:p>
    <w:p w14:paraId="210D1CA9" w14:textId="77777777" w:rsidR="00A70B78" w:rsidRPr="00DC0511"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En général, les noms de Dieu sont rendus par un seul terme reflétant seulement une partie des significations du terme d’origine et n’ayant pas non plus le même impact. Pour exprimer le caractère absolu du nom, on utilise souvent : la majuscule, le préfixe « omni- », l’adjectif « tout- » (ayant une valeur d’intensif) ou des adverbes (« très », « parfaitement »). Parfois, le nom est traduit par une phrase (allongement), comme « il sait tout » (Du Ryer) pour le nom </w:t>
      </w:r>
      <w:r w:rsidRPr="007C6A42">
        <w:rPr>
          <w:rFonts w:asciiTheme="majorBidi" w:eastAsia="Calibri" w:hAnsiTheme="majorBidi" w:cstheme="majorBidi"/>
          <w:i/>
          <w:iCs/>
          <w:lang w:bidi="ar-AE"/>
        </w:rPr>
        <w:t>shah</w:t>
      </w:r>
      <w:r w:rsidRPr="007C6A42">
        <w:rPr>
          <w:rFonts w:asciiTheme="majorBidi" w:eastAsia="Times New Roman" w:hAnsiTheme="majorBidi" w:cstheme="majorBidi"/>
          <w:i/>
          <w:iCs/>
        </w:rPr>
        <w:t>ī</w:t>
      </w:r>
      <w:r w:rsidRPr="007C6A42">
        <w:rPr>
          <w:rFonts w:asciiTheme="majorBidi" w:eastAsia="Calibri" w:hAnsiTheme="majorBidi" w:cstheme="majorBidi"/>
          <w:i/>
          <w:iCs/>
          <w:lang w:bidi="ar-AE"/>
        </w:rPr>
        <w:t>d</w:t>
      </w:r>
      <w:r w:rsidRPr="007C6A42">
        <w:rPr>
          <w:rFonts w:asciiTheme="majorBidi" w:eastAsia="Calibri" w:hAnsiTheme="majorBidi" w:cstheme="majorBidi"/>
          <w:lang w:bidi="ar-AE"/>
        </w:rPr>
        <w:t xml:space="preserve"> (confusion avec l’autre nom</w:t>
      </w:r>
      <w:r w:rsidRPr="007C6A42">
        <w:rPr>
          <w:rFonts w:asciiTheme="majorBidi" w:hAnsiTheme="majorBidi" w:cstheme="majorBidi"/>
          <w:i/>
          <w:iCs/>
        </w:rPr>
        <w:t xml:space="preserve"> ʿ</w:t>
      </w:r>
      <w:r w:rsidRPr="007C6A42">
        <w:rPr>
          <w:rFonts w:asciiTheme="majorBidi" w:hAnsiTheme="majorBidi" w:cstheme="majorBidi"/>
          <w:i/>
          <w:iCs/>
          <w:lang w:bidi="ar-KW"/>
        </w:rPr>
        <w:t>alīm</w:t>
      </w:r>
      <w:r w:rsidRPr="007C6A42">
        <w:rPr>
          <w:rFonts w:asciiTheme="majorBidi" w:eastAsia="Calibri" w:hAnsiTheme="majorBidi" w:cstheme="majorBidi"/>
          <w:lang w:bidi="ar-AE"/>
        </w:rPr>
        <w:t xml:space="preserve">), ou en lui ajoutant un adjectif, comme par exemple « unique » dans « l’unique témoin » (Guessous) pour traduire </w:t>
      </w:r>
      <w:r w:rsidRPr="007C6A42">
        <w:rPr>
          <w:rFonts w:asciiTheme="majorBidi" w:eastAsia="Calibri" w:hAnsiTheme="majorBidi" w:cstheme="majorBidi"/>
          <w:i/>
          <w:iCs/>
          <w:lang w:bidi="ar-AE"/>
        </w:rPr>
        <w:t>shah</w:t>
      </w:r>
      <w:r w:rsidRPr="007C6A42">
        <w:rPr>
          <w:rFonts w:asciiTheme="majorBidi" w:eastAsia="Times New Roman" w:hAnsiTheme="majorBidi" w:cstheme="majorBidi"/>
          <w:i/>
          <w:iCs/>
        </w:rPr>
        <w:t>ī</w:t>
      </w:r>
      <w:r w:rsidRPr="007C6A42">
        <w:rPr>
          <w:rFonts w:asciiTheme="majorBidi" w:eastAsia="Calibri" w:hAnsiTheme="majorBidi" w:cstheme="majorBidi"/>
          <w:i/>
          <w:iCs/>
          <w:lang w:bidi="ar-AE"/>
        </w:rPr>
        <w:t>d</w:t>
      </w:r>
      <w:r w:rsidRPr="007C6A42">
        <w:rPr>
          <w:rFonts w:asciiTheme="majorBidi" w:eastAsia="Calibri" w:hAnsiTheme="majorBidi" w:cstheme="majorBidi"/>
          <w:lang w:bidi="ar-AE"/>
        </w:rPr>
        <w:t xml:space="preserve">. Certains noms de Dieu n’ont pas posé un grand problème de traduction et sont ainsi traduits par un seul terme par la très grande majorité des traducteurs, comme les mots : </w:t>
      </w:r>
      <w:r w:rsidRPr="007C6A42">
        <w:rPr>
          <w:rFonts w:asciiTheme="majorBidi" w:eastAsia="Calibri" w:hAnsiTheme="majorBidi" w:cstheme="majorBidi"/>
          <w:i/>
          <w:iCs/>
          <w:lang w:bidi="ar-AE"/>
        </w:rPr>
        <w:t>shah</w:t>
      </w:r>
      <w:r w:rsidRPr="007C6A42">
        <w:rPr>
          <w:rFonts w:asciiTheme="majorBidi" w:eastAsia="Times New Roman" w:hAnsiTheme="majorBidi" w:cstheme="majorBidi"/>
          <w:i/>
          <w:iCs/>
        </w:rPr>
        <w:t>ī</w:t>
      </w:r>
      <w:r w:rsidRPr="007C6A42">
        <w:rPr>
          <w:rFonts w:asciiTheme="majorBidi" w:eastAsia="Calibri" w:hAnsiTheme="majorBidi" w:cstheme="majorBidi"/>
          <w:i/>
          <w:iCs/>
          <w:lang w:bidi="ar-AE"/>
        </w:rPr>
        <w:t>d</w:t>
      </w:r>
      <w:r w:rsidRPr="007C6A42">
        <w:rPr>
          <w:rFonts w:asciiTheme="majorBidi" w:eastAsia="Calibri" w:hAnsiTheme="majorBidi" w:cstheme="majorBidi"/>
          <w:lang w:bidi="ar-AE"/>
        </w:rPr>
        <w:t xml:space="preserve"> (rendu par « témoin »), </w:t>
      </w:r>
      <w:r w:rsidRPr="007C6A42">
        <w:rPr>
          <w:rFonts w:asciiTheme="majorBidi" w:eastAsia="Calibri" w:hAnsiTheme="majorBidi" w:cstheme="majorBidi"/>
          <w:i/>
          <w:iCs/>
          <w:lang w:bidi="ar-AE"/>
        </w:rPr>
        <w:t>raḥīm</w:t>
      </w:r>
      <w:r w:rsidRPr="007C6A42">
        <w:rPr>
          <w:rFonts w:asciiTheme="majorBidi" w:eastAsia="Calibri" w:hAnsiTheme="majorBidi" w:cstheme="majorBidi"/>
          <w:lang w:bidi="ar-AE"/>
        </w:rPr>
        <w:t xml:space="preserve"> (traduit par « miséricordieux ») et </w:t>
      </w:r>
      <w:r w:rsidRPr="007C6A42">
        <w:rPr>
          <w:rFonts w:asciiTheme="majorBidi" w:eastAsia="Calibri" w:hAnsiTheme="majorBidi" w:cstheme="majorBidi"/>
          <w:i/>
          <w:iCs/>
          <w:lang w:bidi="ar-AE"/>
        </w:rPr>
        <w:t>ḥakīm</w:t>
      </w:r>
      <w:r w:rsidRPr="007C6A42">
        <w:rPr>
          <w:rFonts w:asciiTheme="majorBidi" w:eastAsia="Calibri" w:hAnsiTheme="majorBidi" w:cstheme="majorBidi"/>
          <w:lang w:bidi="ar-AE"/>
        </w:rPr>
        <w:t xml:space="preserve"> (rendu par : « sage ». Mais d’autres noms ont posé un problème, ce </w:t>
      </w:r>
      <w:r w:rsidRPr="007C6A42">
        <w:rPr>
          <w:rFonts w:asciiTheme="majorBidi" w:eastAsia="Calibri" w:hAnsiTheme="majorBidi" w:cstheme="majorBidi"/>
          <w:lang w:bidi="ar-AE"/>
        </w:rPr>
        <w:lastRenderedPageBreak/>
        <w:t xml:space="preserve">qui porte à plusieurs choix de traduction, comme </w:t>
      </w:r>
      <w:r w:rsidRPr="007C6A42">
        <w:rPr>
          <w:rFonts w:asciiTheme="majorBidi" w:eastAsia="Calibri" w:hAnsiTheme="majorBidi" w:cstheme="majorBidi"/>
          <w:i/>
          <w:iCs/>
          <w:lang w:bidi="ar-AE"/>
        </w:rPr>
        <w:t>ʿazīz</w:t>
      </w:r>
      <w:r w:rsidRPr="007C6A42">
        <w:rPr>
          <w:rFonts w:asciiTheme="majorBidi" w:eastAsia="Calibri" w:hAnsiTheme="majorBidi" w:cstheme="majorBidi"/>
          <w:lang w:bidi="ar-AE"/>
        </w:rPr>
        <w:t> rendu par : « (tout/très) puissant », « fier », « invincible », « dominateur », « intransigeant », « </w:t>
      </w:r>
      <w:r w:rsidRPr="007C6A42">
        <w:rPr>
          <w:rFonts w:asciiTheme="majorBidi" w:eastAsia="Times New Roman" w:hAnsiTheme="majorBidi" w:cstheme="majorBidi"/>
        </w:rPr>
        <w:t xml:space="preserve">toute gloire », ou encore comme le nom </w:t>
      </w:r>
      <w:r w:rsidRPr="007C6A42">
        <w:rPr>
          <w:rFonts w:asciiTheme="majorBidi" w:eastAsia="Times New Roman" w:hAnsiTheme="majorBidi" w:cstheme="majorBidi"/>
          <w:i/>
          <w:iCs/>
        </w:rPr>
        <w:t xml:space="preserve">laṭīf </w:t>
      </w:r>
      <w:r w:rsidRPr="007C6A42">
        <w:rPr>
          <w:rFonts w:asciiTheme="majorBidi" w:eastAsia="Times New Roman" w:hAnsiTheme="majorBidi" w:cstheme="majorBidi"/>
        </w:rPr>
        <w:t>qui est rendu de plusieurs façons : « </w:t>
      </w:r>
      <w:r w:rsidRPr="007C6A42">
        <w:rPr>
          <w:rFonts w:asciiTheme="majorBidi" w:eastAsia="Times New Roman" w:hAnsiTheme="majorBidi" w:cstheme="majorBidi"/>
          <w:shd w:val="clear" w:color="auto" w:fill="FFFFFF"/>
          <w:lang w:bidi="ar-KW"/>
        </w:rPr>
        <w:t xml:space="preserve">bénin à son peuple », </w:t>
      </w:r>
      <w:r w:rsidRPr="007C6A42">
        <w:rPr>
          <w:rFonts w:asciiTheme="majorBidi" w:eastAsia="Times New Roman" w:hAnsiTheme="majorBidi" w:cstheme="majorBidi"/>
        </w:rPr>
        <w:t>« </w:t>
      </w:r>
      <w:r w:rsidRPr="007C6A42">
        <w:rPr>
          <w:rFonts w:asciiTheme="majorBidi" w:eastAsia="Times New Roman" w:hAnsiTheme="majorBidi" w:cstheme="majorBidi"/>
          <w:shd w:val="clear" w:color="auto" w:fill="FFFFFF"/>
          <w:lang w:bidi="ar-KW"/>
        </w:rPr>
        <w:t xml:space="preserve">habile », </w:t>
      </w:r>
      <w:r w:rsidRPr="007C6A42">
        <w:rPr>
          <w:rFonts w:asciiTheme="majorBidi" w:eastAsia="Times New Roman" w:hAnsiTheme="majorBidi" w:cstheme="majorBidi"/>
        </w:rPr>
        <w:t>« </w:t>
      </w:r>
      <w:r w:rsidRPr="007C6A42">
        <w:rPr>
          <w:rFonts w:asciiTheme="majorBidi" w:eastAsia="Times New Roman" w:hAnsiTheme="majorBidi" w:cstheme="majorBidi"/>
          <w:shd w:val="clear" w:color="auto" w:fill="FFFFFF"/>
          <w:lang w:bidi="ar-KW"/>
        </w:rPr>
        <w:t xml:space="preserve">plein de </w:t>
      </w:r>
      <w:r w:rsidRPr="00DC0511">
        <w:rPr>
          <w:rFonts w:asciiTheme="majorBidi" w:eastAsia="Times New Roman" w:hAnsiTheme="majorBidi" w:cstheme="majorBidi"/>
          <w:shd w:val="clear" w:color="auto" w:fill="FFFFFF"/>
          <w:lang w:bidi="ar-KW"/>
        </w:rPr>
        <w:t xml:space="preserve">bonté », « sagace », « [B]bienveillant », « doux », </w:t>
      </w:r>
      <w:r w:rsidRPr="00DC0511">
        <w:rPr>
          <w:rFonts w:asciiTheme="majorBidi" w:eastAsia="Times New Roman" w:hAnsiTheme="majorBidi" w:cstheme="majorBidi"/>
        </w:rPr>
        <w:t xml:space="preserve">« le </w:t>
      </w:r>
      <w:r w:rsidRPr="00DC0511">
        <w:rPr>
          <w:rFonts w:asciiTheme="majorBidi" w:eastAsia="Times New Roman" w:hAnsiTheme="majorBidi" w:cstheme="majorBidi"/>
          <w:shd w:val="clear" w:color="auto" w:fill="FFFFFF"/>
          <w:lang w:bidi="ar-KW"/>
        </w:rPr>
        <w:t>Subtil ».</w:t>
      </w:r>
    </w:p>
    <w:p w14:paraId="4A26A362" w14:textId="77777777" w:rsidR="00ED65A7" w:rsidRPr="00DC0511" w:rsidRDefault="00ED65A7" w:rsidP="00ED65A7">
      <w:pPr>
        <w:contextualSpacing/>
        <w:jc w:val="both"/>
        <w:rPr>
          <w:rFonts w:asciiTheme="majorBidi" w:eastAsia="Times New Roman" w:hAnsiTheme="majorBidi" w:cstheme="majorBidi"/>
          <w:shd w:val="clear" w:color="auto" w:fill="FFFFFF"/>
          <w:lang w:bidi="ar-KW"/>
        </w:rPr>
      </w:pPr>
    </w:p>
    <w:p w14:paraId="4E09A068" w14:textId="349737BC" w:rsidR="00ED65A7" w:rsidRPr="00DC0511" w:rsidRDefault="00A70B78" w:rsidP="00876BB0">
      <w:pPr>
        <w:pStyle w:val="Paragraphedeliste"/>
        <w:numPr>
          <w:ilvl w:val="1"/>
          <w:numId w:val="123"/>
        </w:numPr>
        <w:bidi w:val="0"/>
        <w:contextualSpacing/>
        <w:jc w:val="both"/>
        <w:rPr>
          <w:rFonts w:asciiTheme="majorBidi" w:hAnsiTheme="majorBidi" w:cstheme="majorBidi"/>
          <w:b/>
          <w:bCs/>
          <w:sz w:val="24"/>
          <w:szCs w:val="24"/>
        </w:rPr>
      </w:pPr>
      <w:r w:rsidRPr="00DC0511">
        <w:rPr>
          <w:rFonts w:asciiTheme="majorBidi" w:hAnsiTheme="majorBidi" w:cstheme="majorBidi"/>
          <w:b/>
          <w:bCs/>
          <w:sz w:val="24"/>
          <w:szCs w:val="24"/>
        </w:rPr>
        <w:t xml:space="preserve">Traduction du terme </w:t>
      </w:r>
      <w:r w:rsidRPr="00DC0511">
        <w:rPr>
          <w:rFonts w:asciiTheme="majorBidi" w:hAnsiTheme="majorBidi" w:cstheme="majorBidi"/>
          <w:b/>
          <w:bCs/>
          <w:i/>
          <w:iCs/>
          <w:sz w:val="24"/>
          <w:szCs w:val="24"/>
        </w:rPr>
        <w:t>Allāh</w:t>
      </w:r>
      <w:r w:rsidRPr="00DC0511">
        <w:rPr>
          <w:rFonts w:asciiTheme="majorBidi" w:hAnsiTheme="majorBidi" w:cstheme="majorBidi"/>
          <w:b/>
          <w:bCs/>
          <w:sz w:val="24"/>
          <w:szCs w:val="24"/>
        </w:rPr>
        <w:t> :</w:t>
      </w:r>
    </w:p>
    <w:p w14:paraId="04E50F84"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eastAsia="Times New Roman" w:hAnsiTheme="majorBidi" w:cstheme="majorBidi"/>
          <w:shd w:val="clear" w:color="auto" w:fill="FFFFFF"/>
          <w:lang w:bidi="ar-KW"/>
        </w:rPr>
        <w:t xml:space="preserve">Avant tout, il convient de souligner que dans la traduction des termes religieux en général dont le mot </w:t>
      </w:r>
      <w:r w:rsidRPr="007C6A42">
        <w:rPr>
          <w:rFonts w:asciiTheme="majorBidi" w:eastAsia="Times New Roman" w:hAnsiTheme="majorBidi" w:cstheme="majorBidi"/>
          <w:i/>
          <w:iCs/>
          <w:shd w:val="clear" w:color="auto" w:fill="FFFFFF"/>
          <w:lang w:bidi="ar-KW"/>
        </w:rPr>
        <w:t>Allāh</w:t>
      </w:r>
      <w:r w:rsidRPr="007C6A42">
        <w:rPr>
          <w:rFonts w:asciiTheme="majorBidi" w:eastAsia="Times New Roman" w:hAnsiTheme="majorBidi" w:cstheme="majorBidi"/>
          <w:shd w:val="clear" w:color="auto" w:fill="FFFFFF"/>
          <w:lang w:bidi="ar-KW"/>
        </w:rPr>
        <w:t xml:space="preserve">, il y a un désaccord à propos du maintien du terme arabe ou de sa traduction par son "équivalent" français (Dieu). Certains traducteurs ont gardé la translittération des noms comme </w:t>
      </w:r>
      <w:r w:rsidRPr="007C6A42">
        <w:rPr>
          <w:rFonts w:asciiTheme="majorBidi" w:eastAsia="Times New Roman" w:hAnsiTheme="majorBidi" w:cstheme="majorBidi"/>
          <w:i/>
          <w:iCs/>
          <w:shd w:val="clear" w:color="auto" w:fill="FFFFFF"/>
          <w:lang w:bidi="ar-KW"/>
        </w:rPr>
        <w:t>ṣalāt</w:t>
      </w:r>
      <w:r w:rsidRPr="007C6A42">
        <w:rPr>
          <w:rFonts w:asciiTheme="majorBidi" w:eastAsia="Times New Roman" w:hAnsiTheme="majorBidi" w:cstheme="majorBidi"/>
          <w:shd w:val="clear" w:color="auto" w:fill="FFFFFF"/>
          <w:lang w:bidi="ar-KW"/>
        </w:rPr>
        <w:t xml:space="preserve"> </w:t>
      </w:r>
      <w:r w:rsidRPr="007C6A42">
        <w:rPr>
          <w:rFonts w:asciiTheme="majorBidi" w:hAnsiTheme="majorBidi" w:cstheme="majorBidi"/>
        </w:rPr>
        <w:t>[prière]</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zakāt</w:t>
      </w:r>
      <w:r w:rsidRPr="007C6A42">
        <w:rPr>
          <w:rFonts w:asciiTheme="majorBidi" w:eastAsia="Times New Roman" w:hAnsiTheme="majorBidi" w:cstheme="majorBidi"/>
          <w:shd w:val="clear" w:color="auto" w:fill="FFFFFF"/>
          <w:lang w:bidi="ar-KW"/>
        </w:rPr>
        <w:t xml:space="preserve"> </w:t>
      </w:r>
      <w:r w:rsidRPr="007C6A42">
        <w:rPr>
          <w:rFonts w:asciiTheme="majorBidi" w:hAnsiTheme="majorBidi" w:cstheme="majorBidi"/>
        </w:rPr>
        <w:t>[aumône légale]</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sūra</w:t>
      </w:r>
      <w:r w:rsidRPr="007C6A42">
        <w:rPr>
          <w:rFonts w:asciiTheme="majorBidi" w:eastAsia="Times New Roman" w:hAnsiTheme="majorBidi" w:cstheme="majorBidi"/>
          <w:shd w:val="clear" w:color="auto" w:fill="FFFFFF"/>
          <w:lang w:bidi="ar-KW"/>
        </w:rPr>
        <w:t xml:space="preserve"> </w:t>
      </w:r>
      <w:r w:rsidRPr="007C6A42">
        <w:rPr>
          <w:rFonts w:asciiTheme="majorBidi" w:hAnsiTheme="majorBidi" w:cstheme="majorBidi"/>
        </w:rPr>
        <w:t>[sourate]</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Allāh</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Qurʾān</w:t>
      </w:r>
      <w:r w:rsidRPr="007C6A42">
        <w:rPr>
          <w:rFonts w:asciiTheme="majorBidi" w:eastAsia="Times New Roman" w:hAnsiTheme="majorBidi" w:cstheme="majorBidi"/>
          <w:shd w:val="clear" w:color="auto" w:fill="FFFFFF"/>
          <w:lang w:bidi="ar-KW"/>
        </w:rPr>
        <w:t xml:space="preserve">. Zeinab Abdelaziz est allée jusqu’à conserver en transcription phonétique certains mots génériques accompagnés souvent par leur traduction entre parenthèses, comme </w:t>
      </w:r>
      <w:r w:rsidRPr="007C6A42">
        <w:rPr>
          <w:rFonts w:asciiTheme="majorBidi" w:eastAsia="Times New Roman" w:hAnsiTheme="majorBidi" w:cstheme="majorBidi"/>
          <w:i/>
          <w:iCs/>
          <w:shd w:val="clear" w:color="auto" w:fill="FFFFFF"/>
          <w:lang w:bidi="ar-KW"/>
        </w:rPr>
        <w:t>nuṭfa</w:t>
      </w:r>
      <w:r w:rsidRPr="007C6A42">
        <w:rPr>
          <w:rFonts w:asciiTheme="majorBidi" w:eastAsia="Times New Roman" w:hAnsiTheme="majorBidi" w:cstheme="majorBidi"/>
          <w:shd w:val="clear" w:color="auto" w:fill="FFFFFF"/>
          <w:lang w:bidi="ar-KW"/>
        </w:rPr>
        <w:t xml:space="preserve"> (gouttelette), </w:t>
      </w:r>
      <w:r w:rsidRPr="007C6A42">
        <w:rPr>
          <w:rFonts w:asciiTheme="majorBidi" w:eastAsia="Times New Roman" w:hAnsiTheme="majorBidi" w:cstheme="majorBidi"/>
          <w:i/>
          <w:iCs/>
          <w:shd w:val="clear" w:color="auto" w:fill="FFFFFF"/>
          <w:lang w:bidi="ar-KW"/>
        </w:rPr>
        <w:t>ʿalaqa</w:t>
      </w:r>
      <w:r w:rsidRPr="007C6A42">
        <w:rPr>
          <w:rFonts w:asciiTheme="majorBidi" w:eastAsia="Times New Roman" w:hAnsiTheme="majorBidi" w:cstheme="majorBidi"/>
          <w:shd w:val="clear" w:color="auto" w:fill="FFFFFF"/>
          <w:lang w:bidi="ar-KW"/>
        </w:rPr>
        <w:t xml:space="preserve"> (chose qui s’accroche), </w:t>
      </w:r>
      <w:r w:rsidRPr="007C6A42">
        <w:rPr>
          <w:rFonts w:asciiTheme="majorBidi" w:eastAsia="Times New Roman" w:hAnsiTheme="majorBidi" w:cstheme="majorBidi"/>
          <w:i/>
          <w:iCs/>
          <w:shd w:val="clear" w:color="auto" w:fill="FFFFFF"/>
          <w:lang w:bidi="ar-KW"/>
        </w:rPr>
        <w:t>muḍgha</w:t>
      </w:r>
      <w:r w:rsidRPr="007C6A42">
        <w:rPr>
          <w:rFonts w:asciiTheme="majorBidi" w:eastAsia="Times New Roman" w:hAnsiTheme="majorBidi" w:cstheme="majorBidi"/>
          <w:shd w:val="clear" w:color="auto" w:fill="FFFFFF"/>
          <w:lang w:bidi="ar-KW"/>
        </w:rPr>
        <w:t xml:space="preserve"> (mâchure), </w:t>
      </w:r>
      <w:r w:rsidRPr="007C6A42">
        <w:rPr>
          <w:rFonts w:asciiTheme="majorBidi" w:eastAsia="Times New Roman" w:hAnsiTheme="majorBidi" w:cstheme="majorBidi"/>
          <w:i/>
          <w:iCs/>
          <w:shd w:val="clear" w:color="auto" w:fill="FFFFFF"/>
          <w:lang w:bidi="ar-KW"/>
        </w:rPr>
        <w:t>Firdaws</w:t>
      </w:r>
      <w:r w:rsidRPr="007C6A42">
        <w:rPr>
          <w:rFonts w:asciiTheme="majorBidi" w:eastAsia="Times New Roman" w:hAnsiTheme="majorBidi" w:cstheme="majorBidi"/>
          <w:shd w:val="clear" w:color="auto" w:fill="FFFFFF"/>
          <w:lang w:bidi="ar-KW"/>
        </w:rPr>
        <w:t xml:space="preserve"> </w:t>
      </w:r>
      <w:r w:rsidRPr="007C6A42">
        <w:rPr>
          <w:rFonts w:asciiTheme="majorBidi" w:hAnsiTheme="majorBidi" w:cstheme="majorBidi"/>
        </w:rPr>
        <w:t>[paradis]</w:t>
      </w:r>
      <w:r w:rsidRPr="007C6A42">
        <w:rPr>
          <w:rFonts w:asciiTheme="majorBidi" w:eastAsia="Times New Roman" w:hAnsiTheme="majorBidi" w:cstheme="majorBidi"/>
          <w:shd w:val="clear" w:color="auto" w:fill="FFFFFF"/>
          <w:lang w:bidi="ar-KW"/>
        </w:rPr>
        <w:t>, etc. Hamidullah a mis la traduction et le mot arabe en translittération dans un binôme, comme : « </w:t>
      </w:r>
      <w:r w:rsidRPr="007C6A42">
        <w:rPr>
          <w:rFonts w:asciiTheme="majorBidi" w:hAnsiTheme="majorBidi" w:cstheme="majorBidi"/>
        </w:rPr>
        <w:t>l’Enfer-Sa’ïr », « l’Enfer-Harîc</w:t>
      </w:r>
      <w:r w:rsidRPr="007C6A42">
        <w:rPr>
          <w:rFonts w:asciiTheme="majorBidi" w:eastAsia="Times New Roman" w:hAnsiTheme="majorBidi" w:cstheme="majorBidi"/>
          <w:shd w:val="clear" w:color="auto" w:fill="FFFFFF"/>
          <w:lang w:bidi="ar-KW"/>
        </w:rPr>
        <w:t> », « </w:t>
      </w:r>
      <w:r w:rsidRPr="007C6A42">
        <w:rPr>
          <w:rFonts w:asciiTheme="majorBidi" w:hAnsiTheme="majorBidi" w:cstheme="majorBidi"/>
        </w:rPr>
        <w:t>l’Enfer-Jahîm ». Il semble ici que ces traducteurs veulent bien tracer, délimiter les frontières entre l’islam et le christianisme, frontières dont parlent Henri Awaiss et Gina Abou Fadel Saad</w:t>
      </w:r>
      <w:r w:rsidRPr="007C6A42">
        <w:rPr>
          <w:rFonts w:asciiTheme="majorBidi" w:hAnsiTheme="majorBidi" w:cstheme="majorBidi"/>
          <w:vertAlign w:val="superscript"/>
          <w:lang w:bidi="ar-AE"/>
        </w:rPr>
        <w:footnoteReference w:id="537"/>
      </w:r>
      <w:r w:rsidRPr="007C6A42">
        <w:rPr>
          <w:rFonts w:asciiTheme="majorBidi" w:hAnsiTheme="majorBidi" w:cstheme="majorBidi"/>
        </w:rPr>
        <w:t>.</w:t>
      </w:r>
    </w:p>
    <w:p w14:paraId="6290E0F1"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p>
    <w:p w14:paraId="6B125AE9"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rPr>
        <w:t xml:space="preserve">Quant au terme </w:t>
      </w:r>
      <w:r w:rsidRPr="007C6A42">
        <w:rPr>
          <w:rFonts w:asciiTheme="majorBidi" w:eastAsia="Times New Roman" w:hAnsiTheme="majorBidi" w:cstheme="majorBidi"/>
          <w:i/>
          <w:iCs/>
        </w:rPr>
        <w:t>Allāh</w:t>
      </w:r>
      <w:r w:rsidRPr="007C6A42">
        <w:rPr>
          <w:rFonts w:asciiTheme="majorBidi" w:eastAsia="Times New Roman" w:hAnsiTheme="majorBidi" w:cstheme="majorBidi"/>
          <w:shd w:val="clear" w:color="auto" w:fill="FFFFFF"/>
          <w:lang w:bidi="ar-KW"/>
        </w:rPr>
        <w:t xml:space="preserve"> qui signifie </w:t>
      </w:r>
      <w:r w:rsidRPr="007C6A42">
        <w:rPr>
          <w:rFonts w:asciiTheme="majorBidi" w:eastAsia="Times New Roman" w:hAnsiTheme="majorBidi" w:cstheme="majorBidi"/>
          <w:shd w:val="clear" w:color="auto" w:fill="FFFFFF"/>
        </w:rPr>
        <w:t>littéralement « le Dieu »</w:t>
      </w:r>
      <w:r w:rsidRPr="007C6A42">
        <w:rPr>
          <w:rStyle w:val="Appelnotedebasdep"/>
          <w:rFonts w:asciiTheme="majorBidi" w:hAnsiTheme="majorBidi" w:cstheme="majorBidi"/>
        </w:rPr>
        <w:footnoteReference w:id="538"/>
      </w:r>
      <w:r w:rsidRPr="007C6A42">
        <w:rPr>
          <w:rFonts w:asciiTheme="majorBidi" w:eastAsia="Times New Roman" w:hAnsiTheme="majorBidi" w:cstheme="majorBidi"/>
        </w:rPr>
        <w:t xml:space="preserve"> et qui désigne théologiquement </w:t>
      </w:r>
      <w:r w:rsidRPr="007C6A42">
        <w:rPr>
          <w:rFonts w:asciiTheme="majorBidi" w:eastAsia="Times New Roman" w:hAnsiTheme="majorBidi" w:cstheme="majorBidi"/>
          <w:i/>
          <w:iCs/>
        </w:rPr>
        <w:t xml:space="preserve">adh-dhāt </w:t>
      </w:r>
      <w:r w:rsidRPr="007C6A42">
        <w:rPr>
          <w:rFonts w:asciiTheme="majorBidi" w:eastAsia="Times New Roman" w:hAnsiTheme="majorBidi" w:cstheme="majorBidi"/>
        </w:rPr>
        <w:t>(l’Être, l’essence de Dieu)</w:t>
      </w:r>
      <w:r w:rsidRPr="007C6A42">
        <w:rPr>
          <w:rStyle w:val="Appelnotedebasdep"/>
          <w:rFonts w:asciiTheme="majorBidi" w:hAnsiTheme="majorBidi" w:cstheme="majorBidi"/>
        </w:rPr>
        <w:footnoteReference w:id="539"/>
      </w:r>
      <w:r w:rsidRPr="007C6A42">
        <w:rPr>
          <w:rFonts w:asciiTheme="majorBidi" w:eastAsia="Times New Roman" w:hAnsiTheme="majorBidi" w:cstheme="majorBidi"/>
          <w:shd w:val="clear" w:color="auto" w:fill="FFFFFF"/>
        </w:rPr>
        <w:t>, voici comment les traducteurs l’ont rendu en français :</w:t>
      </w: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5478"/>
      </w:tblGrid>
      <w:tr w:rsidR="00A70B78" w:rsidRPr="007C6A42" w14:paraId="1440A9F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A3682EC" w14:textId="77777777" w:rsidR="00A70B78" w:rsidRPr="007C6A42" w:rsidRDefault="00A70B78" w:rsidP="00AF4FC9">
            <w:pPr>
              <w:spacing w:line="360" w:lineRule="auto"/>
              <w:jc w:val="center"/>
              <w:rPr>
                <w:rFonts w:asciiTheme="majorBidi" w:eastAsia="Times New Roman" w:hAnsiTheme="majorBidi" w:cstheme="majorBidi"/>
                <w:b/>
                <w:bCs/>
              </w:rPr>
            </w:pPr>
            <w:r w:rsidRPr="007C6A42">
              <w:rPr>
                <w:rFonts w:asciiTheme="majorBidi" w:eastAsia="Times New Roman" w:hAnsiTheme="majorBidi" w:cstheme="majorBidi"/>
                <w:b/>
                <w:bCs/>
              </w:rPr>
              <w:t>traducteur</w:t>
            </w:r>
          </w:p>
        </w:tc>
        <w:tc>
          <w:tcPr>
            <w:tcW w:w="5478" w:type="dxa"/>
            <w:tcBorders>
              <w:top w:val="single" w:sz="4" w:space="0" w:color="auto"/>
              <w:left w:val="single" w:sz="4" w:space="0" w:color="auto"/>
              <w:bottom w:val="single" w:sz="4" w:space="0" w:color="auto"/>
              <w:right w:val="single" w:sz="4" w:space="0" w:color="auto"/>
            </w:tcBorders>
          </w:tcPr>
          <w:p w14:paraId="58496F53" w14:textId="77777777" w:rsidR="00A70B78" w:rsidRPr="007C6A42" w:rsidRDefault="00A70B78" w:rsidP="00AF4FC9">
            <w:pPr>
              <w:spacing w:line="360" w:lineRule="auto"/>
              <w:jc w:val="center"/>
              <w:rPr>
                <w:rFonts w:asciiTheme="majorBidi" w:eastAsia="Times New Roman" w:hAnsiTheme="majorBidi" w:cstheme="majorBidi"/>
                <w:b/>
                <w:bCs/>
                <w:rtl/>
              </w:rPr>
            </w:pPr>
            <w:r w:rsidRPr="007C6A42">
              <w:rPr>
                <w:rFonts w:asciiTheme="majorBidi" w:eastAsia="Times New Roman" w:hAnsiTheme="majorBidi" w:cstheme="majorBidi"/>
                <w:b/>
                <w:bCs/>
              </w:rPr>
              <w:t xml:space="preserve">Traduction de </w:t>
            </w:r>
            <w:r w:rsidRPr="007C6A42">
              <w:rPr>
                <w:rFonts w:asciiTheme="majorBidi" w:eastAsia="Calibri" w:hAnsiTheme="majorBidi" w:cstheme="majorBidi"/>
                <w:b/>
                <w:bCs/>
                <w:i/>
                <w:iCs/>
                <w:lang w:bidi="ar-AE"/>
              </w:rPr>
              <w:t>Allāh</w:t>
            </w:r>
          </w:p>
        </w:tc>
      </w:tr>
      <w:tr w:rsidR="00A70B78" w:rsidRPr="007C6A42" w14:paraId="3E02EFA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FC4D79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5478" w:type="dxa"/>
            <w:tcBorders>
              <w:top w:val="single" w:sz="4" w:space="0" w:color="auto"/>
              <w:left w:val="single" w:sz="4" w:space="0" w:color="auto"/>
              <w:bottom w:val="single" w:sz="4" w:space="0" w:color="auto"/>
              <w:right w:val="single" w:sz="4" w:space="0" w:color="auto"/>
            </w:tcBorders>
          </w:tcPr>
          <w:p w14:paraId="0D8EE56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4AAC97C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1B036E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Sav. (1782)</w:t>
            </w:r>
          </w:p>
        </w:tc>
        <w:tc>
          <w:tcPr>
            <w:tcW w:w="5478" w:type="dxa"/>
            <w:tcBorders>
              <w:top w:val="single" w:sz="4" w:space="0" w:color="auto"/>
              <w:left w:val="single" w:sz="4" w:space="0" w:color="auto"/>
              <w:bottom w:val="single" w:sz="4" w:space="0" w:color="auto"/>
              <w:right w:val="single" w:sz="4" w:space="0" w:color="auto"/>
            </w:tcBorders>
          </w:tcPr>
          <w:p w14:paraId="30370AF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 Dieu</w:t>
            </w:r>
          </w:p>
        </w:tc>
      </w:tr>
      <w:tr w:rsidR="00A70B78" w:rsidRPr="007C6A42" w14:paraId="35D4FAF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A474BF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5478" w:type="dxa"/>
            <w:tcBorders>
              <w:top w:val="single" w:sz="4" w:space="0" w:color="auto"/>
              <w:left w:val="single" w:sz="4" w:space="0" w:color="auto"/>
              <w:bottom w:val="single" w:sz="4" w:space="0" w:color="auto"/>
              <w:right w:val="single" w:sz="4" w:space="0" w:color="auto"/>
            </w:tcBorders>
          </w:tcPr>
          <w:p w14:paraId="7C391B30"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76A0F94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6ABEF2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5478" w:type="dxa"/>
            <w:tcBorders>
              <w:top w:val="single" w:sz="4" w:space="0" w:color="auto"/>
              <w:left w:val="single" w:sz="4" w:space="0" w:color="auto"/>
              <w:bottom w:val="single" w:sz="4" w:space="0" w:color="auto"/>
              <w:right w:val="single" w:sz="4" w:space="0" w:color="auto"/>
            </w:tcBorders>
          </w:tcPr>
          <w:p w14:paraId="4D0291D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w:t>
            </w:r>
          </w:p>
        </w:tc>
      </w:tr>
      <w:tr w:rsidR="00A70B78" w:rsidRPr="007C6A42" w14:paraId="41968F6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88830C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5478" w:type="dxa"/>
            <w:tcBorders>
              <w:top w:val="single" w:sz="4" w:space="0" w:color="auto"/>
              <w:left w:val="single" w:sz="4" w:space="0" w:color="auto"/>
              <w:bottom w:val="single" w:sz="4" w:space="0" w:color="auto"/>
              <w:right w:val="single" w:sz="4" w:space="0" w:color="auto"/>
            </w:tcBorders>
          </w:tcPr>
          <w:p w14:paraId="3BC2F75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68A9366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80940D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5478" w:type="dxa"/>
            <w:tcBorders>
              <w:top w:val="single" w:sz="4" w:space="0" w:color="auto"/>
              <w:left w:val="single" w:sz="4" w:space="0" w:color="auto"/>
              <w:bottom w:val="single" w:sz="4" w:space="0" w:color="auto"/>
              <w:right w:val="single" w:sz="4" w:space="0" w:color="auto"/>
            </w:tcBorders>
          </w:tcPr>
          <w:p w14:paraId="2609FFD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6D6932B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E999A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5478" w:type="dxa"/>
            <w:tcBorders>
              <w:top w:val="single" w:sz="4" w:space="0" w:color="auto"/>
              <w:left w:val="single" w:sz="4" w:space="0" w:color="auto"/>
              <w:bottom w:val="single" w:sz="4" w:space="0" w:color="auto"/>
              <w:right w:val="single" w:sz="4" w:space="0" w:color="auto"/>
            </w:tcBorders>
          </w:tcPr>
          <w:p w14:paraId="25BA0BF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1D1F3EB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7CB23E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5478" w:type="dxa"/>
            <w:tcBorders>
              <w:top w:val="single" w:sz="4" w:space="0" w:color="auto"/>
              <w:left w:val="single" w:sz="4" w:space="0" w:color="auto"/>
              <w:bottom w:val="single" w:sz="4" w:space="0" w:color="auto"/>
              <w:right w:val="single" w:sz="4" w:space="0" w:color="auto"/>
            </w:tcBorders>
          </w:tcPr>
          <w:p w14:paraId="472CCF7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6765BBE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2B6382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(1979)</w:t>
            </w:r>
          </w:p>
        </w:tc>
        <w:tc>
          <w:tcPr>
            <w:tcW w:w="5478" w:type="dxa"/>
            <w:tcBorders>
              <w:top w:val="single" w:sz="4" w:space="0" w:color="auto"/>
              <w:left w:val="single" w:sz="4" w:space="0" w:color="auto"/>
              <w:bottom w:val="single" w:sz="4" w:space="0" w:color="auto"/>
              <w:right w:val="single" w:sz="4" w:space="0" w:color="auto"/>
            </w:tcBorders>
          </w:tcPr>
          <w:p w14:paraId="33949D5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1A446B4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4E71CF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5478" w:type="dxa"/>
            <w:tcBorders>
              <w:top w:val="single" w:sz="4" w:space="0" w:color="auto"/>
              <w:left w:val="single" w:sz="4" w:space="0" w:color="auto"/>
              <w:bottom w:val="single" w:sz="4" w:space="0" w:color="auto"/>
              <w:right w:val="single" w:sz="4" w:space="0" w:color="auto"/>
            </w:tcBorders>
          </w:tcPr>
          <w:p w14:paraId="714FB7A0"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Allah</w:t>
            </w:r>
          </w:p>
        </w:tc>
      </w:tr>
      <w:tr w:rsidR="00A70B78" w:rsidRPr="007C6A42" w14:paraId="2DBD94F6"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4DD4BA9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5478" w:type="dxa"/>
            <w:tcBorders>
              <w:top w:val="single" w:sz="4" w:space="0" w:color="auto"/>
              <w:left w:val="single" w:sz="4" w:space="0" w:color="auto"/>
              <w:bottom w:val="single" w:sz="4" w:space="0" w:color="auto"/>
              <w:right w:val="single" w:sz="4" w:space="0" w:color="auto"/>
            </w:tcBorders>
          </w:tcPr>
          <w:p w14:paraId="75072259"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Dieu</w:t>
            </w:r>
          </w:p>
        </w:tc>
      </w:tr>
      <w:tr w:rsidR="00A70B78" w:rsidRPr="007C6A42" w14:paraId="0A4AD58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D08791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5478" w:type="dxa"/>
            <w:tcBorders>
              <w:top w:val="single" w:sz="4" w:space="0" w:color="auto"/>
              <w:left w:val="single" w:sz="4" w:space="0" w:color="auto"/>
              <w:bottom w:val="single" w:sz="4" w:space="0" w:color="auto"/>
              <w:right w:val="single" w:sz="4" w:space="0" w:color="auto"/>
            </w:tcBorders>
          </w:tcPr>
          <w:p w14:paraId="291AF58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b/>
                <w:bCs/>
              </w:rPr>
              <w:t>DIEU</w:t>
            </w:r>
            <w:r w:rsidRPr="007C6A42">
              <w:rPr>
                <w:rFonts w:asciiTheme="majorBidi" w:eastAsia="Times New Roman" w:hAnsiTheme="majorBidi" w:cstheme="majorBidi"/>
              </w:rPr>
              <w:t xml:space="preserve"> / </w:t>
            </w:r>
            <w:r w:rsidRPr="007C6A42">
              <w:rPr>
                <w:rFonts w:asciiTheme="majorBidi" w:eastAsia="Times New Roman" w:hAnsiTheme="majorBidi" w:cstheme="majorBidi"/>
                <w:b/>
                <w:bCs/>
              </w:rPr>
              <w:t>ALLAH</w:t>
            </w:r>
          </w:p>
        </w:tc>
      </w:tr>
      <w:tr w:rsidR="00A70B78" w:rsidRPr="007C6A42" w14:paraId="00879FC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3EF45F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5478" w:type="dxa"/>
            <w:tcBorders>
              <w:top w:val="single" w:sz="4" w:space="0" w:color="auto"/>
              <w:left w:val="single" w:sz="4" w:space="0" w:color="auto"/>
              <w:bottom w:val="single" w:sz="4" w:space="0" w:color="auto"/>
              <w:right w:val="single" w:sz="4" w:space="0" w:color="auto"/>
            </w:tcBorders>
          </w:tcPr>
          <w:p w14:paraId="3D5BA9A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r w:rsidR="00A70B78" w:rsidRPr="007C6A42" w14:paraId="31E5323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E08FBF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5478" w:type="dxa"/>
            <w:tcBorders>
              <w:top w:val="single" w:sz="4" w:space="0" w:color="auto"/>
              <w:left w:val="single" w:sz="4" w:space="0" w:color="auto"/>
              <w:bottom w:val="single" w:sz="4" w:space="0" w:color="auto"/>
              <w:right w:val="single" w:sz="4" w:space="0" w:color="auto"/>
            </w:tcBorders>
          </w:tcPr>
          <w:p w14:paraId="69B723C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 Dieu (v. 34)</w:t>
            </w:r>
          </w:p>
        </w:tc>
      </w:tr>
      <w:tr w:rsidR="00A70B78" w:rsidRPr="007C6A42" w14:paraId="260DABB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0C4FB9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Abdel. (2002)</w:t>
            </w:r>
          </w:p>
        </w:tc>
        <w:tc>
          <w:tcPr>
            <w:tcW w:w="5478" w:type="dxa"/>
            <w:tcBorders>
              <w:top w:val="single" w:sz="4" w:space="0" w:color="auto"/>
              <w:left w:val="single" w:sz="4" w:space="0" w:color="auto"/>
              <w:bottom w:val="single" w:sz="4" w:space="0" w:color="auto"/>
              <w:right w:val="single" w:sz="4" w:space="0" w:color="auto"/>
            </w:tcBorders>
          </w:tcPr>
          <w:p w14:paraId="5FF3C65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 Dieu (</w:t>
            </w:r>
            <w:r w:rsidRPr="007C6A42">
              <w:rPr>
                <w:rFonts w:asciiTheme="majorBidi" w:hAnsiTheme="majorBidi" w:cstheme="majorBidi"/>
              </w:rPr>
              <w:t>v. 34)</w:t>
            </w:r>
          </w:p>
        </w:tc>
      </w:tr>
      <w:tr w:rsidR="00A70B78" w:rsidRPr="007C6A42" w14:paraId="186101A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5813B5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5478" w:type="dxa"/>
            <w:tcBorders>
              <w:top w:val="single" w:sz="4" w:space="0" w:color="auto"/>
              <w:left w:val="single" w:sz="4" w:space="0" w:color="auto"/>
              <w:bottom w:val="single" w:sz="4" w:space="0" w:color="auto"/>
              <w:right w:val="single" w:sz="4" w:space="0" w:color="auto"/>
            </w:tcBorders>
          </w:tcPr>
          <w:p w14:paraId="79CF14E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bidi="ar-KW"/>
              </w:rPr>
              <w:t>Dieu</w:t>
            </w:r>
          </w:p>
        </w:tc>
      </w:tr>
      <w:tr w:rsidR="00A70B78" w:rsidRPr="007C6A42" w14:paraId="7177A89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C88947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5478" w:type="dxa"/>
            <w:tcBorders>
              <w:top w:val="single" w:sz="4" w:space="0" w:color="auto"/>
              <w:left w:val="single" w:sz="4" w:space="0" w:color="auto"/>
              <w:bottom w:val="single" w:sz="4" w:space="0" w:color="auto"/>
              <w:right w:val="single" w:sz="4" w:space="0" w:color="auto"/>
            </w:tcBorders>
          </w:tcPr>
          <w:p w14:paraId="7EB499A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Allah / </w:t>
            </w:r>
            <w:r w:rsidRPr="007C6A42">
              <w:rPr>
                <w:rFonts w:asciiTheme="majorBidi" w:hAnsiTheme="majorBidi" w:cstheme="majorBidi"/>
              </w:rPr>
              <w:t>Dieu</w:t>
            </w:r>
          </w:p>
        </w:tc>
      </w:tr>
      <w:tr w:rsidR="00A70B78" w:rsidRPr="007C6A42" w14:paraId="0B0D0B3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68C35C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5478" w:type="dxa"/>
            <w:tcBorders>
              <w:top w:val="single" w:sz="4" w:space="0" w:color="auto"/>
              <w:left w:val="single" w:sz="4" w:space="0" w:color="auto"/>
              <w:bottom w:val="single" w:sz="4" w:space="0" w:color="auto"/>
              <w:right w:val="single" w:sz="4" w:space="0" w:color="auto"/>
            </w:tcBorders>
          </w:tcPr>
          <w:p w14:paraId="1BF7C35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w:t>
            </w:r>
          </w:p>
        </w:tc>
      </w:tr>
    </w:tbl>
    <w:p w14:paraId="0E730795"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p>
    <w:p w14:paraId="6DF69C1E"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shd w:val="clear" w:color="auto" w:fill="FFFFFF"/>
        </w:rPr>
        <w:t>Nous voyons bien</w:t>
      </w:r>
      <w:r w:rsidRPr="007C6A42">
        <w:rPr>
          <w:rFonts w:asciiTheme="majorBidi" w:eastAsia="Times New Roman" w:hAnsiTheme="majorBidi" w:cstheme="majorBidi"/>
        </w:rPr>
        <w:t xml:space="preserve"> que six traducteurs (quatre musulmans et deux non-musulmans) ont utilisé le mot </w:t>
      </w:r>
      <w:r w:rsidRPr="007C6A42">
        <w:rPr>
          <w:rFonts w:asciiTheme="majorBidi" w:eastAsia="Times New Roman" w:hAnsiTheme="majorBidi" w:cstheme="majorBidi"/>
          <w:i/>
          <w:iCs/>
        </w:rPr>
        <w:t>Allah</w:t>
      </w:r>
      <w:r w:rsidRPr="007C6A42">
        <w:rPr>
          <w:rFonts w:asciiTheme="majorBidi" w:eastAsia="Times New Roman" w:hAnsiTheme="majorBidi" w:cstheme="majorBidi"/>
        </w:rPr>
        <w:t xml:space="preserve"> : Blachère (1949), Chouraqui (1990), Guessous (1999), le Complexe de roi Fahd de Médine (2001), Abdelaziz (2002) et Chebel (2009). Nous remarquons également que le terme </w:t>
      </w:r>
      <w:r w:rsidRPr="007C6A42">
        <w:rPr>
          <w:rFonts w:asciiTheme="majorBidi" w:eastAsia="Times New Roman" w:hAnsiTheme="majorBidi" w:cstheme="majorBidi"/>
          <w:i/>
          <w:iCs/>
        </w:rPr>
        <w:t>Allah</w:t>
      </w:r>
      <w:r w:rsidRPr="007C6A42">
        <w:rPr>
          <w:rFonts w:asciiTheme="majorBidi" w:eastAsia="Times New Roman" w:hAnsiTheme="majorBidi" w:cstheme="majorBidi"/>
        </w:rPr>
        <w:t xml:space="preserve"> n’apparaît pas dans les trois premières traductions les plus anciennes : Du Ryer</w:t>
      </w:r>
      <w:r w:rsidRPr="007C6A42">
        <w:rPr>
          <w:rFonts w:asciiTheme="majorBidi" w:eastAsia="Calibri" w:hAnsiTheme="majorBidi" w:cstheme="majorBidi"/>
          <w:lang w:bidi="ar-AE"/>
        </w:rPr>
        <w:t xml:space="preserve"> (1647)</w:t>
      </w:r>
      <w:r w:rsidRPr="007C6A42">
        <w:rPr>
          <w:rFonts w:asciiTheme="majorBidi" w:eastAsia="Times New Roman" w:hAnsiTheme="majorBidi" w:cstheme="majorBidi"/>
        </w:rPr>
        <w:t xml:space="preserve">, </w:t>
      </w:r>
      <w:r w:rsidRPr="007C6A42">
        <w:rPr>
          <w:rFonts w:asciiTheme="majorBidi" w:eastAsia="SimSun" w:hAnsiTheme="majorBidi" w:cstheme="majorBidi"/>
          <w:lang w:eastAsia="zh-CN"/>
        </w:rPr>
        <w:t>Savary</w:t>
      </w:r>
      <w:r w:rsidRPr="007C6A42">
        <w:rPr>
          <w:rFonts w:asciiTheme="majorBidi" w:eastAsia="Calibri" w:hAnsiTheme="majorBidi" w:cstheme="majorBidi"/>
          <w:lang w:bidi="ar-AE"/>
        </w:rPr>
        <w:t xml:space="preserve"> (1782)</w:t>
      </w:r>
      <w:r w:rsidRPr="007C6A42">
        <w:rPr>
          <w:rFonts w:asciiTheme="majorBidi" w:eastAsia="Times New Roman" w:hAnsiTheme="majorBidi" w:cstheme="majorBidi"/>
        </w:rPr>
        <w:t xml:space="preserve"> et </w:t>
      </w:r>
      <w:r w:rsidRPr="007C6A42">
        <w:rPr>
          <w:rFonts w:asciiTheme="majorBidi" w:eastAsia="SimSun" w:hAnsiTheme="majorBidi" w:cstheme="majorBidi"/>
          <w:lang w:eastAsia="zh-CN"/>
        </w:rPr>
        <w:t>Kazimirski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r w:rsidRPr="007C6A42">
        <w:rPr>
          <w:rFonts w:asciiTheme="majorBidi" w:eastAsia="Times New Roman" w:hAnsiTheme="majorBidi" w:cstheme="majorBidi"/>
        </w:rPr>
        <w:t xml:space="preserve">. C’est à partir de la traduction de Blachère (1949) que le vocable </w:t>
      </w:r>
      <w:r w:rsidRPr="007C6A42">
        <w:rPr>
          <w:rFonts w:asciiTheme="majorBidi" w:eastAsia="Times New Roman" w:hAnsiTheme="majorBidi" w:cstheme="majorBidi"/>
          <w:i/>
          <w:iCs/>
        </w:rPr>
        <w:t xml:space="preserve">Allah </w:t>
      </w:r>
      <w:r w:rsidRPr="007C6A42">
        <w:rPr>
          <w:rFonts w:asciiTheme="majorBidi" w:eastAsia="Times New Roman" w:hAnsiTheme="majorBidi" w:cstheme="majorBidi"/>
        </w:rPr>
        <w:t xml:space="preserve">apparaît. Ensuite, il disparaît complètement dans les cinq traductions suivantes (Ghédira [1957], Hamidullah [1959], Ben Mahmoud [1962], Masson [1967] et Grosjean [1972]) pour revenir dans la traduction de Chouraqui (1990), puis dans celle de Guessous (1999) avec des </w:t>
      </w:r>
      <w:r w:rsidRPr="007C6A42">
        <w:rPr>
          <w:rFonts w:asciiTheme="majorBidi" w:hAnsiTheme="majorBidi" w:cstheme="majorBidi"/>
        </w:rPr>
        <w:t>majuscules en caractères gras</w:t>
      </w:r>
      <w:r w:rsidRPr="007C6A42">
        <w:rPr>
          <w:rFonts w:asciiTheme="majorBidi" w:eastAsia="Times New Roman" w:hAnsiTheme="majorBidi" w:cstheme="majorBidi"/>
        </w:rPr>
        <w:t xml:space="preserve"> (</w:t>
      </w:r>
      <w:r w:rsidRPr="007C6A42">
        <w:rPr>
          <w:rFonts w:asciiTheme="majorBidi" w:eastAsia="Times New Roman" w:hAnsiTheme="majorBidi" w:cstheme="majorBidi"/>
          <w:b/>
          <w:bCs/>
        </w:rPr>
        <w:t>ALLAH</w:t>
      </w:r>
      <w:r w:rsidRPr="007C6A42">
        <w:rPr>
          <w:rFonts w:asciiTheme="majorBidi" w:eastAsia="Times New Roman" w:hAnsiTheme="majorBidi" w:cstheme="majorBidi"/>
        </w:rPr>
        <w:t>), et ensuite dans celles du Complexe de Médine (2001), d’Abdelaziz (2002) et de Chebel (2009).</w:t>
      </w:r>
    </w:p>
    <w:p w14:paraId="28D0258F"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p>
    <w:p w14:paraId="543D9FC3" w14:textId="77777777" w:rsidR="00A70B78" w:rsidRPr="007C6A42" w:rsidRDefault="00A70B78" w:rsidP="00A70B78">
      <w:pPr>
        <w:spacing w:line="360" w:lineRule="auto"/>
        <w:ind w:firstLine="284"/>
        <w:contextualSpacing/>
        <w:jc w:val="both"/>
        <w:rPr>
          <w:rFonts w:asciiTheme="majorBidi" w:hAnsiTheme="majorBidi" w:cstheme="majorBidi"/>
        </w:rPr>
      </w:pPr>
      <w:r w:rsidRPr="007C6A42">
        <w:rPr>
          <w:rFonts w:asciiTheme="majorBidi" w:eastAsia="Times New Roman" w:hAnsiTheme="majorBidi" w:cstheme="majorBidi"/>
        </w:rPr>
        <w:t xml:space="preserve">Mais à partir de la traduction de Guessous, nous remarquons une hésitation entre « Allah » et « Dieu ». Guessous utilise </w:t>
      </w:r>
      <w:r w:rsidRPr="007C6A42">
        <w:rPr>
          <w:rFonts w:asciiTheme="majorBidi" w:eastAsia="Times New Roman" w:hAnsiTheme="majorBidi" w:cstheme="majorBidi"/>
          <w:b/>
          <w:bCs/>
        </w:rPr>
        <w:t>ALLAH</w:t>
      </w:r>
      <w:r w:rsidRPr="007C6A42">
        <w:rPr>
          <w:rFonts w:asciiTheme="majorBidi" w:eastAsia="Times New Roman" w:hAnsiTheme="majorBidi" w:cstheme="majorBidi"/>
        </w:rPr>
        <w:t xml:space="preserve"> dans certaines situations : 1) dans la </w:t>
      </w:r>
      <w:r w:rsidRPr="007C6A42">
        <w:rPr>
          <w:rFonts w:asciiTheme="majorBidi" w:eastAsia="Times New Roman" w:hAnsiTheme="majorBidi" w:cstheme="majorBidi"/>
          <w:i/>
          <w:iCs/>
        </w:rPr>
        <w:t>basmala </w:t>
      </w:r>
      <w:r w:rsidRPr="007C6A42">
        <w:rPr>
          <w:rFonts w:asciiTheme="majorBidi" w:eastAsia="Times New Roman" w:hAnsiTheme="majorBidi" w:cstheme="majorBidi"/>
        </w:rPr>
        <w:t xml:space="preserve">; 2) quand il </w:t>
      </w:r>
      <w:r w:rsidRPr="007C6A42">
        <w:rPr>
          <w:rFonts w:asciiTheme="majorBidi" w:eastAsia="Times New Roman" w:hAnsiTheme="majorBidi" w:cstheme="majorBidi"/>
        </w:rPr>
        <w:lastRenderedPageBreak/>
        <w:t>s’agit de Dieu qui est : la vérité, l’adoré, le juste, l’invoqué, le défenseur des croyants, l’arbitre</w:t>
      </w:r>
      <w:r w:rsidRPr="007C6A42">
        <w:rPr>
          <w:rFonts w:asciiTheme="majorBidi" w:hAnsiTheme="majorBidi" w:cstheme="majorBidi"/>
        </w:rPr>
        <w:t xml:space="preserve"> le jour de la Résurrection </w:t>
      </w:r>
      <w:r w:rsidRPr="007C6A42">
        <w:rPr>
          <w:rFonts w:asciiTheme="majorBidi" w:eastAsia="Times New Roman" w:hAnsiTheme="majorBidi" w:cstheme="majorBidi"/>
        </w:rPr>
        <w:t xml:space="preserve">; 3) quand ce terme </w:t>
      </w:r>
      <w:r w:rsidRPr="007C6A42">
        <w:rPr>
          <w:rFonts w:asciiTheme="majorBidi" w:eastAsia="Times New Roman" w:hAnsiTheme="majorBidi" w:cstheme="majorBidi"/>
          <w:i/>
          <w:iCs/>
        </w:rPr>
        <w:t>Allāh</w:t>
      </w:r>
      <w:r w:rsidRPr="007C6A42">
        <w:rPr>
          <w:rFonts w:asciiTheme="majorBidi" w:eastAsia="Times New Roman" w:hAnsiTheme="majorBidi" w:cstheme="majorBidi"/>
        </w:rPr>
        <w:t xml:space="preserve"> est lié à un nom de Dieu comme : « </w:t>
      </w:r>
      <w:r w:rsidRPr="007C6A42">
        <w:rPr>
          <w:rFonts w:asciiTheme="majorBidi" w:hAnsiTheme="majorBidi" w:cstheme="majorBidi"/>
          <w:b/>
        </w:rPr>
        <w:t>ALLAH</w:t>
      </w:r>
      <w:r w:rsidRPr="007C6A42">
        <w:rPr>
          <w:rFonts w:asciiTheme="majorBidi" w:hAnsiTheme="majorBidi" w:cstheme="majorBidi"/>
        </w:rPr>
        <w:t xml:space="preserve"> est omniscient », « </w:t>
      </w:r>
      <w:r w:rsidRPr="007C6A42">
        <w:rPr>
          <w:rFonts w:asciiTheme="majorBidi" w:hAnsiTheme="majorBidi" w:cstheme="majorBidi"/>
          <w:b/>
        </w:rPr>
        <w:t>ALLAH</w:t>
      </w:r>
      <w:r w:rsidRPr="007C6A42">
        <w:rPr>
          <w:rFonts w:asciiTheme="majorBidi" w:hAnsiTheme="majorBidi" w:cstheme="majorBidi"/>
        </w:rPr>
        <w:t xml:space="preserve"> est audient »,</w:t>
      </w:r>
      <w:r w:rsidRPr="007C6A42">
        <w:rPr>
          <w:rFonts w:asciiTheme="majorBidi" w:eastAsia="Times New Roman" w:hAnsiTheme="majorBidi" w:cstheme="majorBidi"/>
        </w:rPr>
        <w:t xml:space="preserve"> « </w:t>
      </w:r>
      <w:r w:rsidRPr="007C6A42">
        <w:rPr>
          <w:rFonts w:asciiTheme="majorBidi" w:hAnsiTheme="majorBidi" w:cstheme="majorBidi"/>
          <w:b/>
        </w:rPr>
        <w:t xml:space="preserve">ALLAH </w:t>
      </w:r>
      <w:r w:rsidRPr="007C6A42">
        <w:rPr>
          <w:rFonts w:asciiTheme="majorBidi" w:hAnsiTheme="majorBidi" w:cstheme="majorBidi"/>
        </w:rPr>
        <w:t>est le grand</w:t>
      </w:r>
      <w:r w:rsidRPr="007C6A42">
        <w:rPr>
          <w:rFonts w:asciiTheme="majorBidi" w:eastAsia="Times New Roman" w:hAnsiTheme="majorBidi" w:cstheme="majorBidi"/>
        </w:rPr>
        <w:t> », « </w:t>
      </w:r>
      <w:r w:rsidRPr="007C6A42">
        <w:rPr>
          <w:rFonts w:asciiTheme="majorBidi" w:hAnsiTheme="majorBidi" w:cstheme="majorBidi"/>
          <w:b/>
        </w:rPr>
        <w:t xml:space="preserve">ALLAH </w:t>
      </w:r>
      <w:r w:rsidRPr="007C6A42">
        <w:rPr>
          <w:rFonts w:asciiTheme="majorBidi" w:hAnsiTheme="majorBidi" w:cstheme="majorBidi"/>
        </w:rPr>
        <w:t>est certes la richesse », « </w:t>
      </w:r>
      <w:r w:rsidRPr="007C6A42">
        <w:rPr>
          <w:rFonts w:asciiTheme="majorBidi" w:hAnsiTheme="majorBidi" w:cstheme="majorBidi"/>
          <w:b/>
        </w:rPr>
        <w:t>ALLAH</w:t>
      </w:r>
      <w:r w:rsidRPr="007C6A42">
        <w:rPr>
          <w:rFonts w:asciiTheme="majorBidi" w:hAnsiTheme="majorBidi" w:cstheme="majorBidi"/>
        </w:rPr>
        <w:t xml:space="preserve"> est plein de bonté et de miséricorde » ; 4) et</w:t>
      </w:r>
      <w:r w:rsidRPr="007C6A42">
        <w:rPr>
          <w:rFonts w:asciiTheme="majorBidi" w:eastAsia="Times New Roman" w:hAnsiTheme="majorBidi" w:cstheme="majorBidi"/>
        </w:rPr>
        <w:t xml:space="preserve"> dans des locutions comme : « le nom d’</w:t>
      </w:r>
      <w:r w:rsidRPr="007C6A42">
        <w:rPr>
          <w:rFonts w:asciiTheme="majorBidi" w:eastAsia="Times New Roman" w:hAnsiTheme="majorBidi" w:cstheme="majorBidi"/>
          <w:b/>
          <w:bCs/>
        </w:rPr>
        <w:t>ALLAH »</w:t>
      </w:r>
      <w:r w:rsidRPr="007C6A42">
        <w:rPr>
          <w:rFonts w:asciiTheme="majorBidi" w:eastAsia="Times New Roman" w:hAnsiTheme="majorBidi" w:cstheme="majorBidi"/>
        </w:rPr>
        <w:t>, « </w:t>
      </w:r>
      <w:r w:rsidRPr="007C6A42">
        <w:rPr>
          <w:rFonts w:asciiTheme="majorBidi" w:hAnsiTheme="majorBidi" w:cstheme="majorBidi"/>
          <w:b/>
        </w:rPr>
        <w:t>ALLAH</w:t>
      </w:r>
      <w:r w:rsidRPr="007C6A42">
        <w:rPr>
          <w:rFonts w:asciiTheme="majorBidi" w:hAnsiTheme="majorBidi" w:cstheme="majorBidi"/>
        </w:rPr>
        <w:t xml:space="preserve"> est notre </w:t>
      </w:r>
      <w:r w:rsidRPr="007C6A42">
        <w:rPr>
          <w:rFonts w:asciiTheme="majorBidi" w:hAnsiTheme="majorBidi" w:cstheme="majorBidi"/>
          <w:b/>
        </w:rPr>
        <w:t>Seigneur</w:t>
      </w:r>
      <w:r w:rsidRPr="007C6A42">
        <w:rPr>
          <w:rFonts w:asciiTheme="majorBidi" w:hAnsiTheme="majorBidi" w:cstheme="majorBidi"/>
          <w:bCs/>
        </w:rPr>
        <w:t> », « </w:t>
      </w:r>
      <w:r w:rsidRPr="007C6A42">
        <w:rPr>
          <w:rFonts w:asciiTheme="majorBidi" w:hAnsiTheme="majorBidi" w:cstheme="majorBidi"/>
        </w:rPr>
        <w:t xml:space="preserve">Combattez pour </w:t>
      </w:r>
      <w:r w:rsidRPr="007C6A42">
        <w:rPr>
          <w:rFonts w:asciiTheme="majorBidi" w:hAnsiTheme="majorBidi" w:cstheme="majorBidi"/>
          <w:b/>
        </w:rPr>
        <w:t>ALLAH »</w:t>
      </w:r>
      <w:r w:rsidRPr="007C6A42">
        <w:rPr>
          <w:rFonts w:asciiTheme="majorBidi" w:hAnsiTheme="majorBidi" w:cstheme="majorBidi"/>
          <w:bCs/>
        </w:rPr>
        <w:t>. À l’exception des cas susmentionnés, Guessous utilise le terme (</w:t>
      </w:r>
      <w:r w:rsidRPr="007C6A42">
        <w:rPr>
          <w:rFonts w:asciiTheme="majorBidi" w:eastAsia="Times New Roman" w:hAnsiTheme="majorBidi" w:cstheme="majorBidi"/>
          <w:b/>
          <w:bCs/>
        </w:rPr>
        <w:t>DIEU</w:t>
      </w:r>
      <w:r w:rsidRPr="007C6A42">
        <w:rPr>
          <w:rFonts w:asciiTheme="majorBidi" w:hAnsiTheme="majorBidi" w:cstheme="majorBidi"/>
          <w:bCs/>
        </w:rPr>
        <w:t xml:space="preserve">) toujours </w:t>
      </w:r>
      <w:r w:rsidRPr="007C6A42">
        <w:rPr>
          <w:rFonts w:asciiTheme="majorBidi" w:eastAsia="Times New Roman" w:hAnsiTheme="majorBidi" w:cstheme="majorBidi"/>
        </w:rPr>
        <w:t xml:space="preserve">avec des </w:t>
      </w:r>
      <w:r w:rsidRPr="007C6A42">
        <w:rPr>
          <w:rFonts w:asciiTheme="majorBidi" w:hAnsiTheme="majorBidi" w:cstheme="majorBidi"/>
        </w:rPr>
        <w:t>majuscules en caractères gras.</w:t>
      </w:r>
      <w:r w:rsidRPr="007C6A42">
        <w:rPr>
          <w:rFonts w:asciiTheme="majorBidi" w:eastAsia="Times New Roman" w:hAnsiTheme="majorBidi" w:cstheme="majorBidi"/>
        </w:rPr>
        <w:t xml:space="preserve"> </w:t>
      </w:r>
      <w:r w:rsidRPr="007C6A42">
        <w:rPr>
          <w:rFonts w:asciiTheme="majorBidi" w:eastAsia="Times New Roman" w:hAnsiTheme="majorBidi" w:cstheme="majorBidi"/>
          <w:lang w:bidi="ar-KW"/>
        </w:rPr>
        <w:t xml:space="preserve">La traduction du Complexe de Médine utilise toujours </w:t>
      </w:r>
      <w:r w:rsidRPr="007C6A42">
        <w:rPr>
          <w:rFonts w:asciiTheme="majorBidi" w:eastAsia="Times New Roman" w:hAnsiTheme="majorBidi" w:cstheme="majorBidi"/>
          <w:i/>
          <w:iCs/>
        </w:rPr>
        <w:t>Allah</w:t>
      </w:r>
      <w:r w:rsidRPr="007C6A42">
        <w:rPr>
          <w:rFonts w:asciiTheme="majorBidi" w:eastAsia="Times New Roman" w:hAnsiTheme="majorBidi" w:cstheme="majorBidi"/>
        </w:rPr>
        <w:t xml:space="preserve"> sauf dans la phrase : « Votre Dieu est certes un Dieu unique » (v. 34). Pareillement, Abdelaziz garde le terme arabe </w:t>
      </w:r>
      <w:r w:rsidRPr="007C6A42">
        <w:rPr>
          <w:rFonts w:asciiTheme="majorBidi" w:eastAsia="Times New Roman" w:hAnsiTheme="majorBidi" w:cstheme="majorBidi"/>
          <w:i/>
          <w:iCs/>
        </w:rPr>
        <w:t>Allah</w:t>
      </w:r>
      <w:r w:rsidRPr="007C6A42">
        <w:rPr>
          <w:rFonts w:asciiTheme="majorBidi" w:eastAsia="Times New Roman" w:hAnsiTheme="majorBidi" w:cstheme="majorBidi"/>
        </w:rPr>
        <w:t xml:space="preserve"> sauf dans la phrase : « car votre Dieu Est un Dieu Unique » (v. 34). Enfin, Chebel, lui aussi, hésite entre « Allah » et « Dieu ». En général, Malek Chebel utilise</w:t>
      </w:r>
      <w:r w:rsidRPr="007C6A42">
        <w:rPr>
          <w:rFonts w:asciiTheme="majorBidi" w:eastAsia="Times New Roman" w:hAnsiTheme="majorBidi" w:cstheme="majorBidi"/>
          <w:i/>
          <w:iCs/>
        </w:rPr>
        <w:t xml:space="preserve"> Allah</w:t>
      </w:r>
      <w:r w:rsidRPr="007C6A42">
        <w:rPr>
          <w:rFonts w:asciiTheme="majorBidi" w:eastAsia="Times New Roman" w:hAnsiTheme="majorBidi" w:cstheme="majorBidi"/>
        </w:rPr>
        <w:t xml:space="preserve"> sauf dans les phrases suivantes : 1) « [Dieu] lui fera perdre son chemin » (v. 4) ; 2) « Votre Dieu est un Dieu unique. » (v. 34) ; 3) « pour mériter l’intérêt de Dieu, seule la crainte révérencieuse que vous exprimerez à Son égard vous sera d’un réel apport » (v. 37) ; 4) « Il vous a nommés musulmans, soit ceux qui s’abandonnent à Dieu » (v. 78). Nous pouvons déduire la logique de l’usage binomial (</w:t>
      </w:r>
      <w:r w:rsidRPr="007C6A42">
        <w:rPr>
          <w:rFonts w:asciiTheme="majorBidi" w:eastAsia="Times New Roman" w:hAnsiTheme="majorBidi" w:cstheme="majorBidi"/>
          <w:b/>
          <w:bCs/>
        </w:rPr>
        <w:t>DIEU</w:t>
      </w:r>
      <w:r w:rsidRPr="007C6A42">
        <w:rPr>
          <w:rFonts w:asciiTheme="majorBidi" w:eastAsia="Times New Roman" w:hAnsiTheme="majorBidi" w:cstheme="majorBidi"/>
        </w:rPr>
        <w:t>/</w:t>
      </w:r>
      <w:r w:rsidRPr="007C6A42">
        <w:rPr>
          <w:rFonts w:asciiTheme="majorBidi" w:eastAsia="Times New Roman" w:hAnsiTheme="majorBidi" w:cstheme="majorBidi"/>
          <w:b/>
          <w:bCs/>
        </w:rPr>
        <w:t>ALLAH</w:t>
      </w:r>
      <w:r w:rsidRPr="007C6A42">
        <w:rPr>
          <w:rFonts w:asciiTheme="majorBidi" w:eastAsia="Times New Roman" w:hAnsiTheme="majorBidi" w:cstheme="majorBidi"/>
        </w:rPr>
        <w:t>) chez Guessous, mais pas chez Chebel qui semble utiliser arbitrairement « Allah/</w:t>
      </w:r>
      <w:r w:rsidRPr="007C6A42">
        <w:rPr>
          <w:rFonts w:asciiTheme="majorBidi" w:hAnsiTheme="majorBidi" w:cstheme="majorBidi"/>
        </w:rPr>
        <w:t>Dieu ». En effet, et d’une manière générale, Guessous utilise « </w:t>
      </w:r>
      <w:r w:rsidRPr="007C6A42">
        <w:rPr>
          <w:rFonts w:asciiTheme="majorBidi" w:hAnsiTheme="majorBidi" w:cstheme="majorBidi"/>
          <w:b/>
          <w:bCs/>
        </w:rPr>
        <w:t>DIEU</w:t>
      </w:r>
      <w:r w:rsidRPr="007C6A42">
        <w:rPr>
          <w:rFonts w:asciiTheme="majorBidi" w:hAnsiTheme="majorBidi" w:cstheme="majorBidi"/>
        </w:rPr>
        <w:t xml:space="preserve"> » quand il veut souligner le concept théologique et/ou philosophique général (ex. : « Il est des hommes dénués de science qui sur </w:t>
      </w:r>
      <w:r w:rsidRPr="007C6A42">
        <w:rPr>
          <w:rFonts w:asciiTheme="majorBidi" w:hAnsiTheme="majorBidi" w:cstheme="majorBidi"/>
          <w:b/>
          <w:bCs/>
        </w:rPr>
        <w:t>DIEU</w:t>
      </w:r>
      <w:r w:rsidRPr="007C6A42">
        <w:rPr>
          <w:rFonts w:asciiTheme="majorBidi" w:hAnsiTheme="majorBidi" w:cstheme="majorBidi"/>
        </w:rPr>
        <w:t xml:space="preserve"> ne font qu’ergoter » (v. 3) ; « Parmi vous, certains sont vers </w:t>
      </w:r>
      <w:r w:rsidRPr="007C6A42">
        <w:rPr>
          <w:rFonts w:asciiTheme="majorBidi" w:hAnsiTheme="majorBidi" w:cstheme="majorBidi"/>
          <w:b/>
          <w:bCs/>
        </w:rPr>
        <w:t>DIEU</w:t>
      </w:r>
      <w:r w:rsidRPr="007C6A42">
        <w:rPr>
          <w:rFonts w:asciiTheme="majorBidi" w:hAnsiTheme="majorBidi" w:cstheme="majorBidi"/>
        </w:rPr>
        <w:t xml:space="preserve"> rappelés » (v. 5) ; « il en est qui discutent sur </w:t>
      </w:r>
      <w:r w:rsidRPr="007C6A42">
        <w:rPr>
          <w:rFonts w:asciiTheme="majorBidi" w:hAnsiTheme="majorBidi" w:cstheme="majorBidi"/>
          <w:b/>
          <w:bCs/>
        </w:rPr>
        <w:t>DIEU</w:t>
      </w:r>
      <w:r w:rsidRPr="007C6A42">
        <w:rPr>
          <w:rFonts w:asciiTheme="majorBidi" w:hAnsiTheme="majorBidi" w:cstheme="majorBidi"/>
        </w:rPr>
        <w:t xml:space="preserve"> sans connaissance » (v. 8) ; « Ne Nous associe aucun autre </w:t>
      </w:r>
      <w:r w:rsidRPr="007C6A42">
        <w:rPr>
          <w:rFonts w:asciiTheme="majorBidi" w:hAnsiTheme="majorBidi" w:cstheme="majorBidi"/>
          <w:b/>
          <w:bCs/>
        </w:rPr>
        <w:t xml:space="preserve">DIEU </w:t>
      </w:r>
      <w:r w:rsidRPr="007C6A42">
        <w:rPr>
          <w:rFonts w:asciiTheme="majorBidi" w:hAnsiTheme="majorBidi" w:cstheme="majorBidi"/>
        </w:rPr>
        <w:t xml:space="preserve">dans l’adoration » (v. 26) ; « C’est à </w:t>
      </w:r>
      <w:r w:rsidRPr="007C6A42">
        <w:rPr>
          <w:rFonts w:asciiTheme="majorBidi" w:hAnsiTheme="majorBidi" w:cstheme="majorBidi"/>
          <w:b/>
        </w:rPr>
        <w:t>DIEU</w:t>
      </w:r>
      <w:r w:rsidRPr="007C6A42">
        <w:rPr>
          <w:rFonts w:asciiTheme="majorBidi" w:hAnsiTheme="majorBidi" w:cstheme="majorBidi"/>
        </w:rPr>
        <w:t xml:space="preserve"> qu’appartient, en toutes choses, la finalité. » (v. 41), etc.). En revanche, il utilise « </w:t>
      </w:r>
      <w:r w:rsidRPr="007C6A42">
        <w:rPr>
          <w:rFonts w:asciiTheme="majorBidi" w:eastAsia="Times New Roman" w:hAnsiTheme="majorBidi" w:cstheme="majorBidi"/>
          <w:b/>
          <w:bCs/>
        </w:rPr>
        <w:t>ALLAH</w:t>
      </w:r>
      <w:r w:rsidRPr="007C6A42">
        <w:rPr>
          <w:rFonts w:asciiTheme="majorBidi" w:eastAsia="Times New Roman" w:hAnsiTheme="majorBidi" w:cstheme="majorBidi"/>
        </w:rPr>
        <w:t xml:space="preserve"> » quand il veut mettre l’accent sur le caractère musulman et rituel de Dieu. Par exemple, dans la </w:t>
      </w:r>
      <w:r w:rsidRPr="007C6A42">
        <w:rPr>
          <w:rFonts w:asciiTheme="majorBidi" w:eastAsia="Times New Roman" w:hAnsiTheme="majorBidi" w:cstheme="majorBidi"/>
          <w:i/>
          <w:iCs/>
        </w:rPr>
        <w:t>basmala</w:t>
      </w:r>
      <w:r w:rsidRPr="007C6A42">
        <w:rPr>
          <w:rFonts w:asciiTheme="majorBidi" w:eastAsia="Times New Roman" w:hAnsiTheme="majorBidi" w:cstheme="majorBidi"/>
        </w:rPr>
        <w:t xml:space="preserve"> et l’évocation de Dieu en tant que récitations rituelles, il faut absolument prononcer le terme arabe « </w:t>
      </w:r>
      <w:r w:rsidRPr="007C6A42">
        <w:rPr>
          <w:rFonts w:asciiTheme="majorBidi" w:eastAsia="Times New Roman" w:hAnsiTheme="majorBidi" w:cstheme="majorBidi"/>
          <w:i/>
          <w:iCs/>
        </w:rPr>
        <w:t>Allāh</w:t>
      </w:r>
      <w:r w:rsidRPr="007C6A42">
        <w:rPr>
          <w:rFonts w:asciiTheme="majorBidi" w:eastAsia="Times New Roman" w:hAnsiTheme="majorBidi" w:cstheme="majorBidi"/>
        </w:rPr>
        <w:t xml:space="preserve"> » considéré comme </w:t>
      </w:r>
      <w:r w:rsidRPr="007C6A42">
        <w:rPr>
          <w:rFonts w:asciiTheme="majorBidi" w:eastAsia="Times New Roman" w:hAnsiTheme="majorBidi" w:cstheme="majorBidi"/>
          <w:i/>
          <w:iCs/>
        </w:rPr>
        <w:t>aʿẓam al-ʾasmāʾ</w:t>
      </w:r>
      <w:r w:rsidRPr="007C6A42">
        <w:rPr>
          <w:rFonts w:asciiTheme="majorBidi" w:eastAsia="Times New Roman" w:hAnsiTheme="majorBidi" w:cstheme="majorBidi"/>
        </w:rPr>
        <w:t xml:space="preserve"> [le plus sublime des noms]</w:t>
      </w:r>
      <w:r w:rsidRPr="007C6A42">
        <w:rPr>
          <w:rStyle w:val="Appelnotedebasdep"/>
          <w:rFonts w:asciiTheme="majorBidi" w:hAnsiTheme="majorBidi" w:cstheme="majorBidi"/>
        </w:rPr>
        <w:footnoteReference w:id="540"/>
      </w:r>
      <w:r w:rsidRPr="007C6A42">
        <w:rPr>
          <w:rFonts w:asciiTheme="majorBidi" w:eastAsia="Times New Roman" w:hAnsiTheme="majorBidi" w:cstheme="majorBidi"/>
        </w:rPr>
        <w:t>.</w:t>
      </w:r>
      <w:r w:rsidRPr="007C6A42">
        <w:rPr>
          <w:rFonts w:asciiTheme="majorBidi" w:hAnsiTheme="majorBidi" w:cstheme="majorBidi"/>
        </w:rPr>
        <w:t xml:space="preserve"> </w:t>
      </w:r>
      <w:r w:rsidRPr="007C6A42">
        <w:rPr>
          <w:rFonts w:asciiTheme="majorBidi" w:eastAsia="Times New Roman" w:hAnsiTheme="majorBidi" w:cstheme="majorBidi"/>
        </w:rPr>
        <w:t>Ainsi, quand il s’agit des quatre-vingt-dix-neuf attributs (ou noms) de Dieu, Guessous utilise « </w:t>
      </w:r>
      <w:r w:rsidRPr="007C6A42">
        <w:rPr>
          <w:rFonts w:asciiTheme="majorBidi" w:eastAsia="Times New Roman" w:hAnsiTheme="majorBidi" w:cstheme="majorBidi"/>
          <w:b/>
          <w:bCs/>
        </w:rPr>
        <w:t>ALLAH</w:t>
      </w:r>
      <w:r w:rsidRPr="007C6A42">
        <w:rPr>
          <w:rFonts w:asciiTheme="majorBidi" w:eastAsia="Times New Roman" w:hAnsiTheme="majorBidi" w:cstheme="majorBidi"/>
        </w:rPr>
        <w:t> », car ce sont les noms de Dieu selon le point de vue musulman. Il traduit ainsi la phrase « </w:t>
      </w:r>
      <w:r w:rsidRPr="007C6A42">
        <w:rPr>
          <w:rFonts w:asciiTheme="majorBidi" w:eastAsia="Times New Roman" w:hAnsiTheme="majorBidi" w:cstheme="majorBidi"/>
          <w:rtl/>
        </w:rPr>
        <w:t>وأن الله هو العلي الكبير</w:t>
      </w:r>
      <w:r w:rsidRPr="007C6A42">
        <w:rPr>
          <w:rFonts w:asciiTheme="majorBidi" w:eastAsia="Times New Roman" w:hAnsiTheme="majorBidi" w:cstheme="majorBidi"/>
        </w:rPr>
        <w:t> » (v. 62) par « </w:t>
      </w:r>
      <w:r w:rsidRPr="007C6A42">
        <w:rPr>
          <w:rFonts w:asciiTheme="majorBidi" w:hAnsiTheme="majorBidi" w:cstheme="majorBidi"/>
          <w:b/>
        </w:rPr>
        <w:t xml:space="preserve">ALLAH </w:t>
      </w:r>
      <w:r w:rsidRPr="007C6A42">
        <w:rPr>
          <w:rFonts w:asciiTheme="majorBidi" w:hAnsiTheme="majorBidi" w:cstheme="majorBidi"/>
        </w:rPr>
        <w:t>est le grand et l’Auguste majesté », et la phrase « </w:t>
      </w:r>
      <w:r w:rsidRPr="007C6A42">
        <w:rPr>
          <w:rFonts w:asciiTheme="majorBidi" w:hAnsiTheme="majorBidi" w:cstheme="majorBidi"/>
          <w:rtl/>
        </w:rPr>
        <w:t>وإن الله لهو الغني الحميد</w:t>
      </w:r>
      <w:r w:rsidRPr="007C6A42">
        <w:rPr>
          <w:rFonts w:asciiTheme="majorBidi" w:hAnsiTheme="majorBidi" w:cstheme="majorBidi"/>
        </w:rPr>
        <w:t> » (v. 64)</w:t>
      </w:r>
      <w:r w:rsidRPr="007C6A42">
        <w:rPr>
          <w:rFonts w:asciiTheme="majorBidi" w:eastAsia="Times New Roman" w:hAnsiTheme="majorBidi" w:cstheme="majorBidi"/>
        </w:rPr>
        <w:t xml:space="preserve"> p</w:t>
      </w:r>
      <w:r w:rsidRPr="007C6A42">
        <w:rPr>
          <w:rFonts w:asciiTheme="majorBidi" w:hAnsiTheme="majorBidi" w:cstheme="majorBidi"/>
        </w:rPr>
        <w:t>ar : « </w:t>
      </w:r>
      <w:r w:rsidRPr="007C6A42">
        <w:rPr>
          <w:rFonts w:asciiTheme="majorBidi" w:hAnsiTheme="majorBidi" w:cstheme="majorBidi"/>
          <w:b/>
        </w:rPr>
        <w:t xml:space="preserve">ALLAH </w:t>
      </w:r>
      <w:r w:rsidRPr="007C6A42">
        <w:rPr>
          <w:rFonts w:asciiTheme="majorBidi" w:hAnsiTheme="majorBidi" w:cstheme="majorBidi"/>
        </w:rPr>
        <w:t xml:space="preserve">est certes la richesse et digne d’être loué ». En outre, quand Guessous veut souligner l’image ou l’identité musulmane de Dieu, il utilise généralement </w:t>
      </w:r>
      <w:r w:rsidRPr="007C6A42">
        <w:rPr>
          <w:rFonts w:asciiTheme="majorBidi" w:eastAsia="Times New Roman" w:hAnsiTheme="majorBidi" w:cstheme="majorBidi"/>
        </w:rPr>
        <w:t>« </w:t>
      </w:r>
      <w:r w:rsidRPr="007C6A42">
        <w:rPr>
          <w:rFonts w:asciiTheme="majorBidi" w:hAnsiTheme="majorBidi" w:cstheme="majorBidi"/>
          <w:b/>
        </w:rPr>
        <w:t>ALLAH</w:t>
      </w:r>
      <w:r w:rsidRPr="007C6A42">
        <w:rPr>
          <w:rFonts w:asciiTheme="majorBidi" w:hAnsiTheme="majorBidi" w:cstheme="majorBidi"/>
        </w:rPr>
        <w:t> »</w:t>
      </w:r>
      <w:r w:rsidRPr="007C6A42">
        <w:rPr>
          <w:rFonts w:asciiTheme="majorBidi" w:hAnsiTheme="majorBidi" w:cstheme="majorBidi"/>
          <w:bCs/>
        </w:rPr>
        <w:t xml:space="preserve"> (ex. : </w:t>
      </w:r>
      <w:r w:rsidRPr="007C6A42">
        <w:rPr>
          <w:rFonts w:asciiTheme="majorBidi" w:eastAsia="Times New Roman" w:hAnsiTheme="majorBidi" w:cstheme="majorBidi"/>
        </w:rPr>
        <w:t>« </w:t>
      </w:r>
      <w:r w:rsidRPr="007C6A42">
        <w:rPr>
          <w:rFonts w:asciiTheme="majorBidi" w:hAnsiTheme="majorBidi" w:cstheme="majorBidi"/>
          <w:b/>
        </w:rPr>
        <w:t>ALLAH</w:t>
      </w:r>
      <w:r w:rsidRPr="007C6A42">
        <w:rPr>
          <w:rFonts w:asciiTheme="majorBidi" w:hAnsiTheme="majorBidi" w:cstheme="majorBidi"/>
        </w:rPr>
        <w:t xml:space="preserve"> est notre </w:t>
      </w:r>
      <w:r w:rsidRPr="007C6A42">
        <w:rPr>
          <w:rFonts w:asciiTheme="majorBidi" w:hAnsiTheme="majorBidi" w:cstheme="majorBidi"/>
          <w:b/>
        </w:rPr>
        <w:t>Seigneur</w:t>
      </w:r>
      <w:r w:rsidRPr="007C6A42">
        <w:rPr>
          <w:rFonts w:asciiTheme="majorBidi" w:hAnsiTheme="majorBidi" w:cstheme="majorBidi"/>
          <w:bCs/>
        </w:rPr>
        <w:t> » (v. 40), « </w:t>
      </w:r>
      <w:r w:rsidRPr="007C6A42">
        <w:rPr>
          <w:rFonts w:asciiTheme="majorBidi" w:hAnsiTheme="majorBidi" w:cstheme="majorBidi"/>
        </w:rPr>
        <w:t xml:space="preserve">Combattez pour </w:t>
      </w:r>
      <w:r w:rsidRPr="007C6A42">
        <w:rPr>
          <w:rFonts w:asciiTheme="majorBidi" w:hAnsiTheme="majorBidi" w:cstheme="majorBidi"/>
          <w:b/>
        </w:rPr>
        <w:t>ALLAH</w:t>
      </w:r>
      <w:r w:rsidRPr="007C6A42">
        <w:rPr>
          <w:rFonts w:asciiTheme="majorBidi" w:hAnsiTheme="majorBidi" w:cstheme="majorBidi"/>
          <w:bCs/>
        </w:rPr>
        <w:t> » (v. 78)).</w:t>
      </w:r>
    </w:p>
    <w:p w14:paraId="5B26DA40" w14:textId="77777777" w:rsidR="00A70B78" w:rsidRPr="007C6A42" w:rsidRDefault="00A70B78" w:rsidP="00A70B78">
      <w:pPr>
        <w:spacing w:line="360" w:lineRule="auto"/>
        <w:ind w:firstLine="284"/>
        <w:contextualSpacing/>
        <w:jc w:val="both"/>
        <w:rPr>
          <w:rFonts w:asciiTheme="majorBidi" w:hAnsiTheme="majorBidi" w:cstheme="majorBidi"/>
        </w:rPr>
      </w:pPr>
    </w:p>
    <w:p w14:paraId="7C8F9DFE" w14:textId="77777777" w:rsidR="00A70B78" w:rsidRPr="007C6A42" w:rsidRDefault="00A70B78" w:rsidP="00A70B78">
      <w:pPr>
        <w:spacing w:line="360" w:lineRule="auto"/>
        <w:ind w:firstLine="284"/>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Quant au </w:t>
      </w:r>
      <w:r w:rsidRPr="007C6A42">
        <w:rPr>
          <w:rFonts w:asciiTheme="majorBidi" w:eastAsia="Times New Roman" w:hAnsiTheme="majorBidi" w:cstheme="majorBidi"/>
          <w:i/>
          <w:iCs/>
        </w:rPr>
        <w:t>skopos</w:t>
      </w:r>
      <w:r w:rsidRPr="007C6A42">
        <w:rPr>
          <w:rFonts w:asciiTheme="majorBidi" w:eastAsia="Times New Roman" w:hAnsiTheme="majorBidi" w:cstheme="majorBidi"/>
        </w:rPr>
        <w:t xml:space="preserve"> de la traduction, certains traducteurs mais pas tous ont justifié les raisons pour lesquelles ils ont choisi « Dieu » ou « Allah ».</w:t>
      </w:r>
      <w:r w:rsidRPr="007C6A42">
        <w:rPr>
          <w:rFonts w:asciiTheme="majorBidi" w:hAnsiTheme="majorBidi" w:cstheme="majorBidi"/>
        </w:rPr>
        <w:t xml:space="preserve"> </w:t>
      </w:r>
      <w:r w:rsidRPr="007C6A42">
        <w:rPr>
          <w:rFonts w:asciiTheme="majorBidi" w:eastAsia="Times New Roman" w:hAnsiTheme="majorBidi" w:cstheme="majorBidi"/>
        </w:rPr>
        <w:t xml:space="preserve">Le Complexe de Médine préfère conserver le mot arabe </w:t>
      </w:r>
      <w:r w:rsidRPr="007C6A42">
        <w:rPr>
          <w:rFonts w:asciiTheme="majorBidi" w:eastAsia="Times New Roman" w:hAnsiTheme="majorBidi" w:cstheme="majorBidi"/>
          <w:i/>
          <w:iCs/>
        </w:rPr>
        <w:t>Allah</w:t>
      </w:r>
      <w:r w:rsidRPr="007C6A42">
        <w:rPr>
          <w:rFonts w:asciiTheme="majorBidi" w:eastAsia="Times New Roman" w:hAnsiTheme="majorBidi" w:cstheme="majorBidi"/>
        </w:rPr>
        <w:t xml:space="preserve"> parce qu’il désigne « Dieu l’Unique ». Parmi les modifications les plus importantes que le Complexe de Médine a apportées à la traduction de Hamidullah, figure celle de remplacer « Dieu » par </w:t>
      </w:r>
      <w:r w:rsidRPr="007C6A42">
        <w:rPr>
          <w:rFonts w:asciiTheme="majorBidi" w:eastAsia="Times New Roman" w:hAnsiTheme="majorBidi" w:cstheme="majorBidi"/>
          <w:i/>
          <w:iCs/>
        </w:rPr>
        <w:t>Allah</w:t>
      </w:r>
      <w:r w:rsidRPr="007C6A42">
        <w:rPr>
          <w:rFonts w:asciiTheme="majorBidi" w:eastAsia="Times New Roman" w:hAnsiTheme="majorBidi" w:cstheme="majorBidi"/>
        </w:rPr>
        <w:t>. Cependant, Mohammed</w:t>
      </w:r>
      <w:r w:rsidRPr="007C6A42">
        <w:rPr>
          <w:rFonts w:asciiTheme="majorBidi" w:eastAsia="Times New Roman" w:hAnsiTheme="majorBidi" w:cstheme="majorBidi"/>
          <w:shd w:val="clear" w:color="auto" w:fill="FFFFFF"/>
          <w:lang w:bidi="ar-KW"/>
        </w:rPr>
        <w:t xml:space="preserve"> Chiadmi </w:t>
      </w:r>
      <w:r w:rsidRPr="007C6A42">
        <w:rPr>
          <w:rFonts w:asciiTheme="majorBidi" w:eastAsia="SimSun" w:hAnsiTheme="majorBidi" w:cstheme="majorBidi"/>
          <w:lang w:eastAsia="zh-CN"/>
        </w:rPr>
        <w:t>emploie le vocable « Dieu » au lieu d’</w:t>
      </w:r>
      <w:r w:rsidRPr="007C6A42">
        <w:rPr>
          <w:rFonts w:asciiTheme="majorBidi" w:eastAsia="SimSun" w:hAnsiTheme="majorBidi" w:cstheme="majorBidi"/>
          <w:i/>
          <w:iCs/>
          <w:lang w:eastAsia="zh-CN"/>
        </w:rPr>
        <w:t>Allāh</w:t>
      </w:r>
      <w:r w:rsidRPr="007C6A42">
        <w:rPr>
          <w:rFonts w:asciiTheme="majorBidi" w:eastAsia="SimSun" w:hAnsiTheme="majorBidi" w:cstheme="majorBidi"/>
          <w:lang w:eastAsia="zh-CN"/>
        </w:rPr>
        <w:t xml:space="preserve"> afin d’en élargir le champ sémantique. Mais quand Zeinab Abdelaziz utilise la translittération de certains mots comm</w:t>
      </w:r>
      <w:r w:rsidRPr="007C6A42">
        <w:rPr>
          <w:rFonts w:asciiTheme="majorBidi" w:eastAsia="Times New Roman" w:hAnsiTheme="majorBidi" w:cstheme="majorBidi"/>
          <w:shd w:val="clear" w:color="auto" w:fill="FFFFFF"/>
          <w:lang w:bidi="ar-KW"/>
        </w:rPr>
        <w:t xml:space="preserve">e </w:t>
      </w:r>
      <w:r w:rsidRPr="007C6A42">
        <w:rPr>
          <w:rFonts w:asciiTheme="majorBidi" w:eastAsia="Times New Roman" w:hAnsiTheme="majorBidi" w:cstheme="majorBidi"/>
          <w:i/>
          <w:iCs/>
          <w:shd w:val="clear" w:color="auto" w:fill="FFFFFF"/>
          <w:lang w:bidi="ar-KW"/>
        </w:rPr>
        <w:t xml:space="preserve">Allāh </w:t>
      </w:r>
      <w:r w:rsidRPr="007C6A42">
        <w:rPr>
          <w:rFonts w:asciiTheme="majorBidi" w:eastAsia="Times New Roman" w:hAnsiTheme="majorBidi" w:cstheme="majorBidi"/>
          <w:shd w:val="clear" w:color="auto" w:fill="FFFFFF"/>
          <w:lang w:bidi="ar-KW"/>
        </w:rPr>
        <w:t xml:space="preserve">et </w:t>
      </w:r>
      <w:r w:rsidRPr="007C6A42">
        <w:rPr>
          <w:rFonts w:asciiTheme="majorBidi" w:eastAsia="Times New Roman" w:hAnsiTheme="majorBidi" w:cstheme="majorBidi"/>
          <w:i/>
          <w:iCs/>
          <w:shd w:val="clear" w:color="auto" w:fill="FFFFFF"/>
          <w:lang w:bidi="ar-KW"/>
        </w:rPr>
        <w:t>zakāt</w:t>
      </w:r>
      <w:r w:rsidRPr="007C6A42">
        <w:rPr>
          <w:rFonts w:asciiTheme="majorBidi" w:eastAsia="Times New Roman" w:hAnsiTheme="majorBidi" w:cstheme="majorBidi"/>
          <w:shd w:val="clear" w:color="auto" w:fill="FFFFFF"/>
          <w:lang w:bidi="ar-KW"/>
        </w:rPr>
        <w:t xml:space="preserve"> </w:t>
      </w:r>
      <w:r w:rsidRPr="007C6A42">
        <w:rPr>
          <w:rFonts w:asciiTheme="majorBidi" w:hAnsiTheme="majorBidi" w:cstheme="majorBidi"/>
        </w:rPr>
        <w:t>[aumône légale]</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rPr>
        <w:t xml:space="preserve">c’est parce qu’elle rejette l’influence théologique chrétienne. </w:t>
      </w:r>
      <w:r w:rsidRPr="007C6A42">
        <w:rPr>
          <w:rFonts w:asciiTheme="majorBidi" w:hAnsiTheme="majorBidi" w:cstheme="majorBidi"/>
        </w:rPr>
        <w:t>Son dessein de traductrice était de</w:t>
      </w:r>
      <w:r w:rsidRPr="007C6A42">
        <w:rPr>
          <w:rFonts w:asciiTheme="majorBidi" w:eastAsia="Times New Roman" w:hAnsiTheme="majorBidi" w:cstheme="majorBidi"/>
        </w:rPr>
        <w:t xml:space="preserve"> ne pas christianiser sa traduction. Elle </w:t>
      </w:r>
      <w:r w:rsidRPr="007C6A42">
        <w:rPr>
          <w:rFonts w:asciiTheme="majorBidi" w:hAnsiTheme="majorBidi" w:cstheme="majorBidi"/>
        </w:rPr>
        <w:t xml:space="preserve">ne voulait pas que de sa traduction se dégage </w:t>
      </w:r>
      <w:r w:rsidRPr="007C6A42">
        <w:rPr>
          <w:rFonts w:asciiTheme="majorBidi" w:eastAsia="Times New Roman" w:hAnsiTheme="majorBidi" w:cstheme="majorBidi"/>
        </w:rPr>
        <w:t>l’idée de la trinité qui est « une forme de polythéisme inadmissible ou inconcevable »</w:t>
      </w:r>
      <w:r w:rsidRPr="007C6A42">
        <w:rPr>
          <w:rStyle w:val="Appelnotedebasdep"/>
          <w:rFonts w:asciiTheme="majorBidi" w:hAnsiTheme="majorBidi" w:cstheme="majorBidi"/>
        </w:rPr>
        <w:footnoteReference w:id="541"/>
      </w:r>
      <w:r w:rsidRPr="007C6A42">
        <w:rPr>
          <w:rFonts w:asciiTheme="majorBidi" w:eastAsia="Times New Roman" w:hAnsiTheme="majorBidi" w:cstheme="majorBidi"/>
        </w:rPr>
        <w:t xml:space="preserve"> pour les musulmans. Cependant, certains traducteurs musulmans utilisent le mot « Dieu » sans craindre une influence chrétienne (</w:t>
      </w:r>
      <w:r w:rsidRPr="007C6A42">
        <w:rPr>
          <w:rFonts w:asciiTheme="majorBidi" w:hAnsiTheme="majorBidi" w:cstheme="majorBidi"/>
        </w:rPr>
        <w:t xml:space="preserve">Ameur Ghédira, Muhammad Hamidullah, </w:t>
      </w:r>
      <w:r w:rsidRPr="007C6A42">
        <w:rPr>
          <w:rFonts w:asciiTheme="majorBidi" w:eastAsia="Times New Roman" w:hAnsiTheme="majorBidi" w:cstheme="majorBidi"/>
        </w:rPr>
        <w:t xml:space="preserve">Noureddine Ben Mahmoud, Hachemi Hafiane et Mohammed Chiadmi). </w:t>
      </w:r>
      <w:r w:rsidRPr="007C6A42">
        <w:rPr>
          <w:rFonts w:asciiTheme="majorBidi" w:hAnsiTheme="majorBidi" w:cstheme="majorBidi"/>
        </w:rPr>
        <w:t>Mais comme l’intention d’Abdelaziz était de produire une traduction</w:t>
      </w:r>
      <w:r w:rsidRPr="007C6A42">
        <w:rPr>
          <w:rFonts w:asciiTheme="majorBidi" w:eastAsia="Times New Roman" w:hAnsiTheme="majorBidi" w:cstheme="majorBidi"/>
        </w:rPr>
        <w:t xml:space="preserve"> purement musulmane et exempte de toute contamination de trinité « polythéiste », elle a ainsi figé le sens dans l’image musulmane de la divinité, ce qui peut placer l’islam loin de la ligne abrahamique. En outre, quand Abdelaziz </w:t>
      </w:r>
      <w:r w:rsidRPr="007C6A42">
        <w:rPr>
          <w:rFonts w:asciiTheme="majorBidi" w:hAnsiTheme="majorBidi" w:cstheme="majorBidi"/>
        </w:rPr>
        <w:t xml:space="preserve">éprouve la nécessité de </w:t>
      </w:r>
      <w:r w:rsidRPr="007C6A42">
        <w:rPr>
          <w:rFonts w:asciiTheme="majorBidi" w:eastAsia="Times New Roman" w:hAnsiTheme="majorBidi" w:cstheme="majorBidi"/>
        </w:rPr>
        <w:t xml:space="preserve">conserver la transcription du terme </w:t>
      </w:r>
      <w:r w:rsidRPr="007C6A42">
        <w:rPr>
          <w:rFonts w:asciiTheme="majorBidi" w:eastAsia="Times New Roman" w:hAnsiTheme="majorBidi" w:cstheme="majorBidi"/>
          <w:i/>
          <w:iCs/>
        </w:rPr>
        <w:t>Allah</w:t>
      </w:r>
      <w:r w:rsidRPr="007C6A42">
        <w:rPr>
          <w:rFonts w:asciiTheme="majorBidi" w:eastAsia="Times New Roman" w:hAnsiTheme="majorBidi" w:cstheme="majorBidi"/>
        </w:rPr>
        <w:t>, c’est aussi parce qu’elle le considère comme un nom propre</w:t>
      </w:r>
      <w:r w:rsidRPr="007C6A42">
        <w:rPr>
          <w:rStyle w:val="Appelnotedebasdep"/>
          <w:rFonts w:asciiTheme="majorBidi" w:hAnsiTheme="majorBidi" w:cstheme="majorBidi"/>
        </w:rPr>
        <w:footnoteReference w:id="542"/>
      </w:r>
      <w:r w:rsidRPr="007C6A42">
        <w:rPr>
          <w:rFonts w:asciiTheme="majorBidi" w:eastAsia="Times New Roman" w:hAnsiTheme="majorBidi" w:cstheme="majorBidi"/>
        </w:rPr>
        <w:t xml:space="preserve">. </w:t>
      </w:r>
      <w:r w:rsidRPr="007C6A42">
        <w:rPr>
          <w:rFonts w:asciiTheme="majorBidi" w:hAnsiTheme="majorBidi" w:cstheme="majorBidi"/>
          <w:shd w:val="clear" w:color="auto" w:fill="FFFFFF"/>
          <w:lang w:bidi="ar-KW"/>
        </w:rPr>
        <w:t>Mais si elle a gardé la transcription des noms tel</w:t>
      </w:r>
      <w:r w:rsidRPr="007C6A42">
        <w:rPr>
          <w:rFonts w:asciiTheme="majorBidi" w:hAnsiTheme="majorBidi" w:cstheme="majorBidi"/>
        </w:rPr>
        <w:t>s qu’</w:t>
      </w:r>
      <w:r w:rsidRPr="007C6A42">
        <w:rPr>
          <w:rFonts w:asciiTheme="majorBidi" w:hAnsiTheme="majorBidi" w:cstheme="majorBidi"/>
          <w:i/>
          <w:iCs/>
          <w:shd w:val="clear" w:color="auto" w:fill="FFFFFF"/>
          <w:lang w:bidi="ar-KW"/>
        </w:rPr>
        <w:t>Allāh</w:t>
      </w:r>
      <w:r w:rsidRPr="007C6A42">
        <w:rPr>
          <w:rFonts w:asciiTheme="majorBidi" w:hAnsiTheme="majorBidi" w:cstheme="majorBidi"/>
        </w:rPr>
        <w:t xml:space="preserve"> et </w:t>
      </w:r>
      <w:r w:rsidRPr="007C6A42">
        <w:rPr>
          <w:rFonts w:asciiTheme="majorBidi" w:hAnsiTheme="majorBidi" w:cstheme="majorBidi"/>
          <w:i/>
          <w:iCs/>
        </w:rPr>
        <w:t>muslim-ūn/īn</w:t>
      </w:r>
      <w:r w:rsidRPr="007C6A42">
        <w:rPr>
          <w:rFonts w:asciiTheme="majorBidi" w:hAnsiTheme="majorBidi" w:cstheme="majorBidi"/>
        </w:rPr>
        <w:t xml:space="preserve">, elle transpose en revanche des noms propres comme </w:t>
      </w:r>
      <w:r w:rsidRPr="007C6A42">
        <w:rPr>
          <w:rFonts w:asciiTheme="majorBidi" w:hAnsiTheme="majorBidi" w:cstheme="majorBidi"/>
          <w:i/>
          <w:iCs/>
        </w:rPr>
        <w:t>Yūnus</w:t>
      </w:r>
      <w:r w:rsidRPr="007C6A42">
        <w:rPr>
          <w:rFonts w:asciiTheme="majorBidi" w:hAnsiTheme="majorBidi" w:cstheme="majorBidi"/>
        </w:rPr>
        <w:t xml:space="preserve"> et </w:t>
      </w:r>
      <w:r w:rsidRPr="007C6A42">
        <w:rPr>
          <w:rFonts w:asciiTheme="majorBidi" w:hAnsiTheme="majorBidi" w:cstheme="majorBidi"/>
          <w:i/>
          <w:iCs/>
        </w:rPr>
        <w:t>Yūsuf</w:t>
      </w:r>
      <w:r w:rsidRPr="007C6A42">
        <w:rPr>
          <w:rFonts w:asciiTheme="majorBidi" w:hAnsiTheme="majorBidi" w:cstheme="majorBidi"/>
        </w:rPr>
        <w:t xml:space="preserve"> en </w:t>
      </w:r>
      <w:r w:rsidRPr="007C6A42">
        <w:rPr>
          <w:rFonts w:asciiTheme="majorBidi" w:hAnsiTheme="majorBidi" w:cstheme="majorBidi"/>
          <w:i/>
          <w:iCs/>
        </w:rPr>
        <w:t>Jonas</w:t>
      </w:r>
      <w:r w:rsidRPr="007C6A42">
        <w:rPr>
          <w:rFonts w:asciiTheme="majorBidi" w:hAnsiTheme="majorBidi" w:cstheme="majorBidi"/>
        </w:rPr>
        <w:t xml:space="preserve"> (v. X, 98 : « sauf les gens de Jonas ») et </w:t>
      </w:r>
      <w:r w:rsidRPr="007C6A42">
        <w:rPr>
          <w:rFonts w:asciiTheme="majorBidi" w:hAnsiTheme="majorBidi" w:cstheme="majorBidi"/>
          <w:i/>
          <w:iCs/>
        </w:rPr>
        <w:t>Joseph</w:t>
      </w:r>
      <w:r w:rsidRPr="007C6A42">
        <w:rPr>
          <w:rFonts w:asciiTheme="majorBidi" w:hAnsiTheme="majorBidi" w:cstheme="majorBidi"/>
        </w:rPr>
        <w:t xml:space="preserve"> (v. XII, 4, 7, 9, 10, 11, 17, 29, 46, 51, 58, 69, 80, 84, 90, 94, 99), comme si elle n’était pas cohérente avec son choix de traduction.</w:t>
      </w:r>
      <w:r w:rsidRPr="007C6A42">
        <w:rPr>
          <w:rFonts w:asciiTheme="majorBidi" w:eastAsia="Times New Roman" w:hAnsiTheme="majorBidi" w:cstheme="majorBidi"/>
        </w:rPr>
        <w:t xml:space="preserve"> Cependant, Grosjean n’utilise pas la translittération </w:t>
      </w:r>
      <w:r w:rsidRPr="007C6A42">
        <w:rPr>
          <w:rFonts w:asciiTheme="majorBidi" w:hAnsiTheme="majorBidi" w:cstheme="majorBidi"/>
        </w:rPr>
        <w:t>dans l’intention de</w:t>
      </w:r>
      <w:r w:rsidRPr="007C6A42">
        <w:rPr>
          <w:rFonts w:asciiTheme="majorBidi" w:eastAsia="Times New Roman" w:hAnsiTheme="majorBidi" w:cstheme="majorBidi"/>
        </w:rPr>
        <w:t xml:space="preserve"> montrer que l’islam est une continuité des monothéismes précédents</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rPr>
        <w:t>et parce que les chrétiens arabophones utilisent le mot « Allah » dans le sens de « Dieu » sans craindre une influence musulmane.</w:t>
      </w:r>
      <w:r w:rsidRPr="007C6A42">
        <w:rPr>
          <w:rStyle w:val="Appelnotedebasdep"/>
          <w:rFonts w:asciiTheme="majorBidi" w:hAnsiTheme="majorBidi" w:cstheme="majorBidi"/>
        </w:rPr>
        <w:footnoteReference w:id="543"/>
      </w:r>
      <w:r w:rsidRPr="007C6A42">
        <w:rPr>
          <w:rFonts w:asciiTheme="majorBidi" w:eastAsia="Times New Roman" w:hAnsiTheme="majorBidi" w:cstheme="majorBidi"/>
        </w:rPr>
        <w:t xml:space="preserve"> Masson opte, elle aussi, pour le terme « Dieu » et non pas </w:t>
      </w:r>
      <w:r w:rsidRPr="007C6A42">
        <w:rPr>
          <w:rFonts w:asciiTheme="majorBidi" w:eastAsia="Times New Roman" w:hAnsiTheme="majorBidi" w:cstheme="majorBidi"/>
          <w:i/>
          <w:iCs/>
        </w:rPr>
        <w:t>Allah</w:t>
      </w:r>
      <w:r w:rsidRPr="007C6A42">
        <w:rPr>
          <w:rFonts w:asciiTheme="majorBidi" w:eastAsia="Times New Roman" w:hAnsiTheme="majorBidi" w:cstheme="majorBidi"/>
        </w:rPr>
        <w:t xml:space="preserve"> pour insister sur </w:t>
      </w:r>
      <w:r w:rsidRPr="007C6A42">
        <w:rPr>
          <w:rFonts w:asciiTheme="majorBidi" w:eastAsia="Times New Roman" w:hAnsiTheme="majorBidi" w:cstheme="majorBidi"/>
        </w:rPr>
        <w:lastRenderedPageBreak/>
        <w:t xml:space="preserve">l’idée coranique de l’islam comme une continuité des deux révélations précédentes. Quant à Sami Aldeeb, </w:t>
      </w:r>
      <w:r w:rsidRPr="007C6A42">
        <w:rPr>
          <w:rFonts w:asciiTheme="majorBidi" w:hAnsiTheme="majorBidi" w:cstheme="majorBidi"/>
        </w:rPr>
        <w:t>s’il traduit par</w:t>
      </w:r>
      <w:r w:rsidRPr="007C6A42">
        <w:rPr>
          <w:rFonts w:asciiTheme="majorBidi" w:eastAsia="Times New Roman" w:hAnsiTheme="majorBidi" w:cstheme="majorBidi"/>
        </w:rPr>
        <w:t xml:space="preserve"> « Dieu », c’est pour des raisons purement linguistiques. Pour lui, les mots francisés et les mots qui ont un équivalent français doivent être mis en français. Ainsi, il a utilisé « Jésus » et non pas </w:t>
      </w:r>
      <w:r w:rsidRPr="007C6A42">
        <w:rPr>
          <w:rFonts w:asciiTheme="majorBidi" w:eastAsia="Times New Roman" w:hAnsiTheme="majorBidi" w:cstheme="majorBidi"/>
          <w:i/>
          <w:iCs/>
        </w:rPr>
        <w:t>ʿIssā</w:t>
      </w:r>
      <w:r w:rsidRPr="007C6A42">
        <w:rPr>
          <w:rFonts w:asciiTheme="majorBidi" w:eastAsia="Times New Roman" w:hAnsiTheme="majorBidi" w:cstheme="majorBidi"/>
        </w:rPr>
        <w:t xml:space="preserve">, « Mahomet » et non pas </w:t>
      </w:r>
      <w:r w:rsidRPr="007C6A42">
        <w:rPr>
          <w:rFonts w:asciiTheme="majorBidi" w:eastAsia="Times New Roman" w:hAnsiTheme="majorBidi" w:cstheme="majorBidi"/>
          <w:i/>
          <w:iCs/>
        </w:rPr>
        <w:t>Muḥammad</w:t>
      </w:r>
      <w:r w:rsidRPr="007C6A42">
        <w:rPr>
          <w:rFonts w:asciiTheme="majorBidi" w:eastAsia="Times New Roman" w:hAnsiTheme="majorBidi" w:cstheme="majorBidi"/>
        </w:rPr>
        <w:t xml:space="preserve">, « Dieu » et non pas </w:t>
      </w:r>
      <w:r w:rsidRPr="007C6A42">
        <w:rPr>
          <w:rFonts w:asciiTheme="majorBidi" w:eastAsia="Times New Roman" w:hAnsiTheme="majorBidi" w:cstheme="majorBidi"/>
          <w:i/>
          <w:iCs/>
        </w:rPr>
        <w:t>Allāh</w:t>
      </w:r>
      <w:r w:rsidRPr="007C6A42">
        <w:rPr>
          <w:rFonts w:asciiTheme="majorBidi" w:eastAsia="Times New Roman" w:hAnsiTheme="majorBidi" w:cstheme="majorBidi"/>
        </w:rPr>
        <w:t>, et ainsi de suite.</w:t>
      </w:r>
    </w:p>
    <w:p w14:paraId="2CAD03D3" w14:textId="77777777" w:rsidR="00A70B78" w:rsidRPr="007C6A42" w:rsidRDefault="00A70B78" w:rsidP="00A70B78">
      <w:pPr>
        <w:spacing w:line="360" w:lineRule="auto"/>
        <w:jc w:val="both"/>
        <w:rPr>
          <w:rFonts w:asciiTheme="majorBidi" w:hAnsiTheme="majorBidi" w:cstheme="majorBidi"/>
        </w:rPr>
      </w:pPr>
    </w:p>
    <w:p w14:paraId="04787485"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hAnsiTheme="majorBidi" w:cstheme="majorBidi"/>
        </w:rPr>
        <w:t>De manière générale, nous pouvons dire que les traducteurs essayent de se rapprocher de la littéralité du texte arabe à travers la modification de certains termes des traductions précédentes et, si possible, de les embellir. Cependant, Berman indique que Ortega y Gasset propose que la traduction de l’avenir soit une traduction laide</w:t>
      </w:r>
      <w:r w:rsidRPr="007C6A42">
        <w:rPr>
          <w:rStyle w:val="Appelnotedebasdep"/>
          <w:rFonts w:asciiTheme="majorBidi" w:hAnsiTheme="majorBidi" w:cstheme="majorBidi"/>
        </w:rPr>
        <w:footnoteReference w:id="544"/>
      </w:r>
      <w:r w:rsidRPr="007C6A42">
        <w:rPr>
          <w:rFonts w:asciiTheme="majorBidi" w:hAnsiTheme="majorBidi" w:cstheme="majorBidi"/>
        </w:rPr>
        <w:t xml:space="preserve"> pour remédier à l’ennoblissement en tant que tendance déformante de la traduction.</w:t>
      </w:r>
    </w:p>
    <w:p w14:paraId="1C1AD501" w14:textId="77777777" w:rsidR="00A70B78" w:rsidRPr="007C6A42" w:rsidRDefault="00A70B78" w:rsidP="00A70B78">
      <w:pPr>
        <w:spacing w:line="360" w:lineRule="auto"/>
        <w:ind w:firstLine="284"/>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Parmi les conséquences de la littéralité de la traduction figure la traduction d’un mot polysémique en arabe par un mot moins polysémique en français. La différence entre l’interprétation des hapax par les exégètes et leur traduction en français est que ces termes posent un problème de compréhension en arabe (et ils sont par conséquent polysémiques), alors qu’en général ils ne posent pas de problème de traduction (ils sont plus ou moins monosémiques) ; par exemple, le </w:t>
      </w:r>
      <w:r w:rsidRPr="007C6A42">
        <w:rPr>
          <w:rFonts w:asciiTheme="majorBidi" w:eastAsia="Calibri" w:hAnsiTheme="majorBidi" w:cstheme="majorBidi"/>
          <w:i/>
          <w:iCs/>
          <w:lang w:bidi="ar-AE"/>
        </w:rPr>
        <w:t>tafath</w:t>
      </w:r>
      <w:r w:rsidRPr="007C6A42">
        <w:rPr>
          <w:rFonts w:asciiTheme="majorBidi" w:eastAsia="Calibri" w:hAnsiTheme="majorBidi" w:cstheme="majorBidi"/>
          <w:lang w:bidi="ar-AE"/>
        </w:rPr>
        <w:t xml:space="preserve"> est les interdits, les </w:t>
      </w:r>
      <w:r w:rsidRPr="007C6A42">
        <w:rPr>
          <w:rFonts w:asciiTheme="majorBidi" w:eastAsia="Calibri" w:hAnsiTheme="majorBidi" w:cstheme="majorBidi"/>
          <w:i/>
          <w:iCs/>
          <w:lang w:bidi="ar-AE"/>
        </w:rPr>
        <w:t>ṣalawāt</w:t>
      </w:r>
      <w:r w:rsidRPr="007C6A42">
        <w:rPr>
          <w:rFonts w:asciiTheme="majorBidi" w:eastAsia="Calibri" w:hAnsiTheme="majorBidi" w:cstheme="majorBidi"/>
          <w:lang w:bidi="ar-AE"/>
        </w:rPr>
        <w:t xml:space="preserve"> sont les synagogues, etc.</w:t>
      </w:r>
    </w:p>
    <w:p w14:paraId="4C6A542A" w14:textId="77777777" w:rsidR="00A70B78" w:rsidRPr="007C6A42" w:rsidRDefault="00A70B78" w:rsidP="00A70B78">
      <w:pPr>
        <w:spacing w:line="360" w:lineRule="auto"/>
        <w:jc w:val="both"/>
        <w:rPr>
          <w:rFonts w:asciiTheme="majorBidi" w:hAnsiTheme="majorBidi" w:cstheme="majorBidi"/>
        </w:rPr>
      </w:pPr>
    </w:p>
    <w:p w14:paraId="262BB011" w14:textId="77777777" w:rsidR="00A70B78" w:rsidRPr="007C6A42" w:rsidRDefault="00A70B78" w:rsidP="00A70B78">
      <w:pPr>
        <w:spacing w:line="360" w:lineRule="auto"/>
        <w:ind w:firstLine="284"/>
        <w:jc w:val="both"/>
        <w:rPr>
          <w:rFonts w:asciiTheme="majorBidi" w:hAnsiTheme="majorBidi" w:cstheme="majorBidi"/>
        </w:rPr>
      </w:pPr>
      <w:r w:rsidRPr="007C6A42">
        <w:rPr>
          <w:rFonts w:asciiTheme="majorBidi" w:hAnsiTheme="majorBidi" w:cstheme="majorBidi"/>
        </w:rPr>
        <w:t>Les traducteurs s’intéressent à la traduction des mots indépendamment du contexte en partant d’une traduction précédente et en modifiant un ou de plusieurs mots de la traduction par fidélité à l’original. Dans ce sens, nous pouvons dire que la différence entre les traductions du Coran est textuelle et non pas conceptuelle, car « l’idée d’une "adaptation" du texte coranique à la culture ou aux représentations du public de la langue cible, défendue par Nida à propos des traductions bibliques, est profondément étrangère à la tradition islamique ».</w:t>
      </w:r>
      <w:r w:rsidRPr="007C6A42">
        <w:rPr>
          <w:rStyle w:val="Appelnotedebasdep"/>
          <w:rFonts w:asciiTheme="majorBidi" w:hAnsiTheme="majorBidi" w:cstheme="majorBidi"/>
        </w:rPr>
        <w:footnoteReference w:id="545"/>
      </w:r>
    </w:p>
    <w:p w14:paraId="750E49B9" w14:textId="77777777" w:rsidR="00A70B78" w:rsidRPr="007C6A42" w:rsidRDefault="00A70B78" w:rsidP="00A70B78">
      <w:pPr>
        <w:spacing w:line="360" w:lineRule="auto"/>
        <w:ind w:firstLine="284"/>
        <w:jc w:val="both"/>
        <w:rPr>
          <w:rFonts w:asciiTheme="majorBidi" w:hAnsiTheme="majorBidi" w:cstheme="majorBidi"/>
        </w:rPr>
      </w:pPr>
    </w:p>
    <w:p w14:paraId="402F3E56" w14:textId="77777777" w:rsidR="00A70B78" w:rsidRPr="007C6A42" w:rsidRDefault="00A70B78" w:rsidP="00A70B78">
      <w:pPr>
        <w:spacing w:line="360" w:lineRule="auto"/>
        <w:ind w:firstLine="284"/>
        <w:jc w:val="both"/>
        <w:rPr>
          <w:rFonts w:asciiTheme="majorBidi" w:eastAsia="Times New Roman" w:hAnsiTheme="majorBidi" w:cstheme="majorBidi"/>
          <w:lang w:bidi="ar-EG"/>
        </w:rPr>
      </w:pPr>
      <w:r w:rsidRPr="007C6A42">
        <w:rPr>
          <w:rFonts w:asciiTheme="majorBidi" w:hAnsiTheme="majorBidi" w:cstheme="majorBidi"/>
        </w:rPr>
        <w:t>Il est fort probable que l’arabe en tant que langue sémitique est plus polysémique que le français.</w:t>
      </w:r>
      <w:r w:rsidRPr="007C6A42">
        <w:rPr>
          <w:rStyle w:val="Appelnotedebasdep"/>
          <w:rFonts w:asciiTheme="majorBidi" w:hAnsiTheme="majorBidi" w:cstheme="majorBidi"/>
        </w:rPr>
        <w:footnoteReference w:id="546"/>
      </w:r>
      <w:r w:rsidRPr="007C6A42">
        <w:rPr>
          <w:rFonts w:asciiTheme="majorBidi" w:hAnsiTheme="majorBidi" w:cstheme="majorBidi"/>
        </w:rPr>
        <w:t xml:space="preserve"> Le champ sémantique d’un mot arabe est plus flexible que celui du terme </w:t>
      </w:r>
      <w:r w:rsidRPr="007C6A42">
        <w:rPr>
          <w:rFonts w:asciiTheme="majorBidi" w:hAnsiTheme="majorBidi" w:cstheme="majorBidi"/>
        </w:rPr>
        <w:lastRenderedPageBreak/>
        <w:t xml:space="preserve">"équivalent" en français, et peut s’élargir vers les champs sémantiques d’autres mots voisins. Par exemple, le terme </w:t>
      </w:r>
      <w:r w:rsidRPr="007C6A42">
        <w:rPr>
          <w:rFonts w:asciiTheme="majorBidi" w:hAnsiTheme="majorBidi" w:cstheme="majorBidi"/>
          <w:i/>
          <w:iCs/>
        </w:rPr>
        <w:t>sāʿa</w:t>
      </w:r>
      <w:r w:rsidRPr="007C6A42">
        <w:rPr>
          <w:rFonts w:asciiTheme="majorBidi" w:hAnsiTheme="majorBidi" w:cstheme="majorBidi"/>
        </w:rPr>
        <w:t xml:space="preserve"> [heure] peut désigner la mort en usage elliptique (</w:t>
      </w:r>
      <w:r w:rsidRPr="007C6A42">
        <w:rPr>
          <w:rFonts w:asciiTheme="majorBidi" w:hAnsiTheme="majorBidi" w:cstheme="majorBidi"/>
          <w:i/>
          <w:iCs/>
        </w:rPr>
        <w:t>as-sāʿa</w:t>
      </w:r>
      <w:r w:rsidRPr="007C6A42">
        <w:rPr>
          <w:rFonts w:asciiTheme="majorBidi" w:hAnsiTheme="majorBidi" w:cstheme="majorBidi"/>
        </w:rPr>
        <w:t xml:space="preserve"> peut vouloir dire : </w:t>
      </w:r>
      <w:r w:rsidRPr="007C6A42">
        <w:rPr>
          <w:rFonts w:asciiTheme="majorBidi" w:hAnsiTheme="majorBidi" w:cstheme="majorBidi"/>
          <w:i/>
          <w:iCs/>
        </w:rPr>
        <w:t>as-sāʿa al-akhīra</w:t>
      </w:r>
      <w:r w:rsidRPr="007C6A42">
        <w:rPr>
          <w:rFonts w:asciiTheme="majorBidi" w:hAnsiTheme="majorBidi" w:cstheme="majorBidi"/>
        </w:rPr>
        <w:t xml:space="preserve">, la dernière heure ou l’heure suprême, la mort), le même usage en français, mais les frontières extensibles du champ sémantique de ce terme peuvent aussi s’étendre pour désigner : </w:t>
      </w:r>
      <w:r w:rsidRPr="007C6A42">
        <w:rPr>
          <w:rFonts w:asciiTheme="majorBidi" w:hAnsiTheme="majorBidi" w:cstheme="majorBidi"/>
          <w:i/>
          <w:iCs/>
        </w:rPr>
        <w:t>yawm al-qiyāma</w:t>
      </w:r>
      <w:r w:rsidRPr="007C6A42">
        <w:rPr>
          <w:rFonts w:asciiTheme="majorBidi" w:hAnsiTheme="majorBidi" w:cstheme="majorBidi"/>
        </w:rPr>
        <w:t xml:space="preserve">, le jour du Jugement dernier ou </w:t>
      </w:r>
      <w:r w:rsidRPr="007C6A42">
        <w:rPr>
          <w:rFonts w:asciiTheme="majorBidi" w:eastAsia="Times New Roman" w:hAnsiTheme="majorBidi" w:cstheme="majorBidi"/>
          <w:iCs/>
          <w:lang w:bidi="ar-EG"/>
        </w:rPr>
        <w:t xml:space="preserve">l’heure de la souffrance en général </w:t>
      </w:r>
      <w:r w:rsidRPr="007C6A42">
        <w:rPr>
          <w:rFonts w:asciiTheme="majorBidi" w:eastAsia="Times New Roman" w:hAnsiTheme="majorBidi" w:cstheme="majorBidi"/>
          <w:lang w:bidi="ar-EG"/>
        </w:rPr>
        <w:t xml:space="preserve">selon Ibn ʿArabī, ou encore </w:t>
      </w:r>
      <w:r w:rsidRPr="007C6A42">
        <w:rPr>
          <w:rFonts w:asciiTheme="majorBidi" w:eastAsia="Times New Roman" w:hAnsiTheme="majorBidi" w:cstheme="majorBidi"/>
          <w:iCs/>
          <w:lang w:bidi="ar-EG"/>
        </w:rPr>
        <w:t>le retour et la domination du vrai et de la justice</w:t>
      </w:r>
      <w:r w:rsidRPr="007C6A42">
        <w:rPr>
          <w:rFonts w:asciiTheme="majorBidi" w:eastAsia="Times New Roman" w:hAnsiTheme="majorBidi" w:cstheme="majorBidi"/>
          <w:lang w:bidi="ar-EG"/>
        </w:rPr>
        <w:t xml:space="preserve"> selon l’interprétation druze</w:t>
      </w:r>
      <w:r w:rsidRPr="007C6A42">
        <w:rPr>
          <w:rStyle w:val="Appelnotedebasdep"/>
          <w:rFonts w:asciiTheme="majorBidi" w:hAnsiTheme="majorBidi" w:cstheme="majorBidi"/>
        </w:rPr>
        <w:footnoteReference w:id="547"/>
      </w:r>
      <w:r w:rsidRPr="007C6A42">
        <w:rPr>
          <w:rFonts w:asciiTheme="majorBidi" w:eastAsia="Times New Roman" w:hAnsiTheme="majorBidi" w:cstheme="majorBidi"/>
          <w:lang w:bidi="ar-EG"/>
        </w:rPr>
        <w:t>. Cette flexibilité sémantique du terme arabe semble beaucoup plus grande que celle du terme français. Devant cette extensibilité, les traducteurs font généralement leurs choix en excluant toute interprétation hétérodoxe, ancienne ou bien reliée à un événement précis contemporain au Prophète, de toute façon, une interprétation qui voulait réduire les différentes significations, et cela dans une volonté surtout chez les musulmans d’ « universaliser le message »</w:t>
      </w:r>
      <w:r w:rsidRPr="007C6A42">
        <w:rPr>
          <w:rStyle w:val="Appelnotedebasdep"/>
          <w:rFonts w:asciiTheme="majorBidi" w:hAnsiTheme="majorBidi" w:cstheme="majorBidi"/>
        </w:rPr>
        <w:footnoteReference w:id="548"/>
      </w:r>
      <w:r w:rsidRPr="007C6A42">
        <w:rPr>
          <w:rFonts w:asciiTheme="majorBidi" w:eastAsia="Times New Roman" w:hAnsiTheme="majorBidi" w:cstheme="majorBidi"/>
          <w:lang w:bidi="ar-EG"/>
        </w:rPr>
        <w:t xml:space="preserve"> coranique.</w:t>
      </w:r>
    </w:p>
    <w:p w14:paraId="6F773418" w14:textId="77777777" w:rsidR="00A70B78" w:rsidRPr="007C6A42" w:rsidRDefault="00A70B78" w:rsidP="00A70B78">
      <w:pPr>
        <w:spacing w:line="360" w:lineRule="auto"/>
        <w:jc w:val="both"/>
        <w:rPr>
          <w:rFonts w:asciiTheme="majorBidi" w:eastAsia="Times New Roman" w:hAnsiTheme="majorBidi" w:cstheme="majorBidi"/>
          <w:shd w:val="clear" w:color="auto" w:fill="FFFFFF"/>
          <w:lang w:bidi="ar-KW"/>
        </w:rPr>
      </w:pPr>
    </w:p>
    <w:p w14:paraId="4B16682A"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br w:type="page"/>
      </w:r>
    </w:p>
    <w:p w14:paraId="62A00A32" w14:textId="3B246B4C" w:rsidR="00A70B78" w:rsidRPr="007C6A42" w:rsidRDefault="00592809" w:rsidP="00A70B78">
      <w:pPr>
        <w:spacing w:line="360" w:lineRule="auto"/>
        <w:jc w:val="center"/>
        <w:rPr>
          <w:rFonts w:asciiTheme="majorBidi" w:eastAsia="Calibri" w:hAnsiTheme="majorBidi" w:cstheme="majorBidi"/>
          <w:b/>
          <w:bCs/>
          <w:lang w:bidi="ar-AE"/>
        </w:rPr>
      </w:pPr>
      <w:r>
        <w:rPr>
          <w:rFonts w:asciiTheme="majorBidi" w:eastAsia="Calibri" w:hAnsiTheme="majorBidi" w:cstheme="majorBidi"/>
          <w:b/>
          <w:bCs/>
          <w:lang w:bidi="ar-AE"/>
        </w:rPr>
        <w:lastRenderedPageBreak/>
        <w:t>Chapitre X</w:t>
      </w:r>
    </w:p>
    <w:p w14:paraId="30B417D3" w14:textId="77777777" w:rsidR="00A70B78" w:rsidRPr="007C6A42" w:rsidRDefault="00A70B78" w:rsidP="00A70B78">
      <w:pPr>
        <w:spacing w:line="360" w:lineRule="auto"/>
        <w:jc w:val="center"/>
        <w:outlineLvl w:val="0"/>
        <w:rPr>
          <w:rFonts w:asciiTheme="majorBidi" w:eastAsia="Calibri" w:hAnsiTheme="majorBidi" w:cstheme="majorBidi"/>
          <w:b/>
          <w:bCs/>
          <w:lang w:bidi="ar-AE"/>
        </w:rPr>
      </w:pPr>
      <w:r w:rsidRPr="007C6A42">
        <w:rPr>
          <w:rFonts w:asciiTheme="majorBidi" w:eastAsia="Calibri" w:hAnsiTheme="majorBidi" w:cstheme="majorBidi"/>
          <w:b/>
          <w:bCs/>
          <w:lang w:bidi="ar-AE"/>
        </w:rPr>
        <w:t>Polysémie des énoncés dans les traductions</w:t>
      </w:r>
    </w:p>
    <w:p w14:paraId="0802D691"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6FEE3524" w14:textId="77777777" w:rsidR="00A70B78" w:rsidRPr="007C6A42" w:rsidRDefault="00A70B78" w:rsidP="00A70B78">
      <w:pPr>
        <w:spacing w:line="360" w:lineRule="auto"/>
        <w:jc w:val="both"/>
        <w:rPr>
          <w:rFonts w:asciiTheme="majorBidi" w:hAnsiTheme="majorBidi" w:cstheme="majorBidi"/>
        </w:rPr>
      </w:pPr>
      <w:r w:rsidRPr="007C6A42">
        <w:rPr>
          <w:rFonts w:asciiTheme="majorBidi" w:hAnsiTheme="majorBidi" w:cstheme="majorBidi"/>
        </w:rPr>
        <w:tab/>
        <w:t xml:space="preserve">Nous avons vu dans la première partie que des aspects syntaxiques, rhétoriques et grammaticaux comme </w:t>
      </w:r>
      <w:r w:rsidRPr="007C6A42">
        <w:rPr>
          <w:rFonts w:asciiTheme="majorBidi" w:eastAsia="Times New Roman" w:hAnsiTheme="majorBidi" w:cstheme="majorBidi"/>
        </w:rPr>
        <w:t xml:space="preserve">l’omission, la </w:t>
      </w:r>
      <w:r w:rsidRPr="007C6A42">
        <w:rPr>
          <w:rFonts w:asciiTheme="majorBidi" w:hAnsiTheme="majorBidi" w:cstheme="majorBidi"/>
        </w:rPr>
        <w:t>ponctuation, l’</w:t>
      </w:r>
      <w:r w:rsidRPr="007C6A42">
        <w:rPr>
          <w:rFonts w:asciiTheme="majorBidi" w:hAnsiTheme="majorBidi" w:cstheme="majorBidi"/>
          <w:lang w:bidi="ar-AE"/>
        </w:rPr>
        <w:t xml:space="preserve">anastrophe et </w:t>
      </w:r>
      <w:r w:rsidRPr="007C6A42">
        <w:rPr>
          <w:rFonts w:asciiTheme="majorBidi" w:hAnsiTheme="majorBidi" w:cstheme="majorBidi"/>
        </w:rPr>
        <w:t>les figures de style</w:t>
      </w:r>
      <w:r w:rsidRPr="007C6A42">
        <w:rPr>
          <w:rFonts w:asciiTheme="majorBidi" w:hAnsiTheme="majorBidi" w:cstheme="majorBidi"/>
          <w:lang w:bidi="ar-AE"/>
        </w:rPr>
        <w:t xml:space="preserve"> </w:t>
      </w:r>
      <w:r w:rsidRPr="007C6A42">
        <w:rPr>
          <w:rFonts w:asciiTheme="majorBidi" w:eastAsia="Times New Roman" w:hAnsiTheme="majorBidi" w:cstheme="majorBidi"/>
        </w:rPr>
        <w:t>pouvaient rendre la phrase arabe polysémique. Quelle est l’attitude des traducteurs devant l’omission, la ponctuation, l’anastrophe ? Ont-ils comblé les vides dans le texte ? Comment ont-ils rendu les images du texte arabe ? Voilà ce que nous allons voir dans ce chapitre. Nous allons voir des exemples sur ces aspects qui dépassent le niveau lexical du texte et qui touchent la phrase toute entière.</w:t>
      </w:r>
    </w:p>
    <w:p w14:paraId="20799653"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Nous allons voir des exemples sur la traduction des phrases, des figures de style, de l’</w:t>
      </w:r>
      <w:r w:rsidRPr="007C6A42">
        <w:rPr>
          <w:rFonts w:asciiTheme="majorBidi" w:hAnsiTheme="majorBidi" w:cstheme="majorBidi"/>
          <w:lang w:bidi="ar-AE"/>
        </w:rPr>
        <w:t>anastrophe [</w:t>
      </w:r>
      <w:r w:rsidRPr="007C6A42">
        <w:rPr>
          <w:rFonts w:asciiTheme="majorBidi" w:hAnsiTheme="majorBidi" w:cstheme="majorBidi"/>
          <w:i/>
          <w:iCs/>
          <w:lang w:bidi="ar-AE"/>
        </w:rPr>
        <w:t>at-taqdīm wa-at-taʾkhīr</w:t>
      </w:r>
      <w:r w:rsidRPr="007C6A42">
        <w:rPr>
          <w:rFonts w:asciiTheme="majorBidi" w:hAnsiTheme="majorBidi" w:cstheme="majorBidi"/>
          <w:lang w:bidi="ar-AE"/>
        </w:rPr>
        <w:t>]</w:t>
      </w:r>
      <w:r w:rsidRPr="007C6A42">
        <w:rPr>
          <w:rFonts w:asciiTheme="majorBidi" w:hAnsiTheme="majorBidi" w:cstheme="majorBidi"/>
        </w:rPr>
        <w:t>, de la ponctuation, de l’omission, et des aspects idéologiques et politiques, etc.</w:t>
      </w:r>
    </w:p>
    <w:p w14:paraId="2B4A9077" w14:textId="77777777" w:rsidR="007B3DC7" w:rsidRDefault="007B3DC7" w:rsidP="00A70B78">
      <w:pPr>
        <w:spacing w:line="360" w:lineRule="auto"/>
        <w:contextualSpacing/>
        <w:jc w:val="both"/>
        <w:outlineLvl w:val="0"/>
        <w:rPr>
          <w:rFonts w:asciiTheme="majorBidi" w:eastAsia="Times New Roman" w:hAnsiTheme="majorBidi" w:cstheme="majorBidi"/>
        </w:rPr>
      </w:pPr>
    </w:p>
    <w:p w14:paraId="5C42E86F" w14:textId="6694EE49" w:rsidR="00A70B78" w:rsidRPr="007B3DC7" w:rsidRDefault="007B3DC7" w:rsidP="00A70B78">
      <w:pPr>
        <w:spacing w:line="360" w:lineRule="auto"/>
        <w:contextualSpacing/>
        <w:jc w:val="both"/>
        <w:outlineLvl w:val="0"/>
        <w:rPr>
          <w:rFonts w:asciiTheme="majorBidi" w:eastAsia="Times New Roman" w:hAnsiTheme="majorBidi" w:cstheme="majorBidi"/>
          <w:b/>
          <w:bCs/>
        </w:rPr>
      </w:pPr>
      <w:r w:rsidRPr="007B3DC7">
        <w:rPr>
          <w:rFonts w:asciiTheme="majorBidi" w:eastAsia="Times New Roman" w:hAnsiTheme="majorBidi" w:cstheme="majorBidi"/>
          <w:b/>
          <w:bCs/>
        </w:rPr>
        <w:t xml:space="preserve">10.1. </w:t>
      </w:r>
      <w:r w:rsidR="00A70B78" w:rsidRPr="007B3DC7">
        <w:rPr>
          <w:rFonts w:asciiTheme="majorBidi" w:eastAsia="Times New Roman" w:hAnsiTheme="majorBidi" w:cstheme="majorBidi"/>
          <w:b/>
          <w:bCs/>
        </w:rPr>
        <w:t>Traduction de la phrase « </w:t>
      </w:r>
      <w:r w:rsidR="00A70B78" w:rsidRPr="007B3DC7">
        <w:rPr>
          <w:rFonts w:asciiTheme="majorBidi" w:eastAsia="Times New Roman" w:hAnsiTheme="majorBidi" w:cstheme="majorBidi"/>
          <w:b/>
          <w:bCs/>
          <w:rtl/>
        </w:rPr>
        <w:t>تضع كلُّ ذات حَمل حَملها</w:t>
      </w:r>
      <w:r w:rsidR="00A70B78" w:rsidRPr="007B3DC7">
        <w:rPr>
          <w:rFonts w:asciiTheme="majorBidi" w:eastAsia="Times New Roman" w:hAnsiTheme="majorBidi" w:cstheme="majorBidi"/>
          <w:b/>
          <w:bCs/>
          <w:i/>
          <w:iCs/>
        </w:rPr>
        <w:t> </w:t>
      </w:r>
      <w:r w:rsidR="00A70B78" w:rsidRPr="007B3DC7">
        <w:rPr>
          <w:rFonts w:asciiTheme="majorBidi" w:eastAsia="Times New Roman" w:hAnsiTheme="majorBidi" w:cstheme="majorBidi"/>
          <w:b/>
          <w:bCs/>
        </w:rPr>
        <w:t>» (v. 2)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6"/>
        <w:gridCol w:w="6662"/>
      </w:tblGrid>
      <w:tr w:rsidR="00A70B78" w:rsidRPr="007C6A42" w14:paraId="45573608" w14:textId="77777777" w:rsidTr="00AF4FC9">
        <w:trPr>
          <w:trHeight w:val="377"/>
        </w:trPr>
        <w:tc>
          <w:tcPr>
            <w:tcW w:w="10348" w:type="dxa"/>
            <w:gridSpan w:val="3"/>
            <w:tcBorders>
              <w:top w:val="nil"/>
              <w:left w:val="single" w:sz="4" w:space="0" w:color="auto"/>
              <w:bottom w:val="single" w:sz="4" w:space="0" w:color="auto"/>
              <w:right w:val="single" w:sz="4" w:space="0" w:color="auto"/>
            </w:tcBorders>
          </w:tcPr>
          <w:p w14:paraId="0DDBD3C0"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Verset 2</w:t>
            </w:r>
          </w:p>
        </w:tc>
      </w:tr>
      <w:tr w:rsidR="00A70B78" w:rsidRPr="007C6A42" w14:paraId="6781C46D" w14:textId="77777777" w:rsidTr="00AF4FC9">
        <w:tc>
          <w:tcPr>
            <w:tcW w:w="1560" w:type="dxa"/>
            <w:tcBorders>
              <w:top w:val="single" w:sz="4" w:space="0" w:color="auto"/>
              <w:left w:val="single" w:sz="4" w:space="0" w:color="auto"/>
              <w:bottom w:val="single" w:sz="4" w:space="0" w:color="auto"/>
              <w:right w:val="single" w:sz="4" w:space="0" w:color="auto"/>
            </w:tcBorders>
          </w:tcPr>
          <w:p w14:paraId="3DC09D1C"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Texte-source</w:t>
            </w:r>
          </w:p>
        </w:tc>
        <w:tc>
          <w:tcPr>
            <w:tcW w:w="2126" w:type="dxa"/>
            <w:tcBorders>
              <w:top w:val="single" w:sz="4" w:space="0" w:color="auto"/>
              <w:left w:val="single" w:sz="4" w:space="0" w:color="auto"/>
              <w:bottom w:val="single" w:sz="4" w:space="0" w:color="auto"/>
              <w:right w:val="single" w:sz="4" w:space="0" w:color="auto"/>
            </w:tcBorders>
          </w:tcPr>
          <w:p w14:paraId="21580A99"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Traducteur</w:t>
            </w:r>
          </w:p>
        </w:tc>
        <w:tc>
          <w:tcPr>
            <w:tcW w:w="6662" w:type="dxa"/>
            <w:tcBorders>
              <w:top w:val="single" w:sz="4" w:space="0" w:color="auto"/>
              <w:left w:val="single" w:sz="4" w:space="0" w:color="auto"/>
              <w:bottom w:val="single" w:sz="4" w:space="0" w:color="auto"/>
              <w:right w:val="single" w:sz="4" w:space="0" w:color="auto"/>
            </w:tcBorders>
          </w:tcPr>
          <w:p w14:paraId="499B57BD"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Texte-cible</w:t>
            </w:r>
          </w:p>
        </w:tc>
      </w:tr>
      <w:tr w:rsidR="00A70B78" w:rsidRPr="007C6A42" w14:paraId="78CA3011" w14:textId="77777777" w:rsidTr="00AF4FC9">
        <w:tc>
          <w:tcPr>
            <w:tcW w:w="1560" w:type="dxa"/>
            <w:vMerge w:val="restart"/>
            <w:tcBorders>
              <w:top w:val="single" w:sz="4" w:space="0" w:color="auto"/>
              <w:left w:val="single" w:sz="4" w:space="0" w:color="auto"/>
              <w:bottom w:val="single" w:sz="4" w:space="0" w:color="auto"/>
              <w:right w:val="single" w:sz="4" w:space="0" w:color="auto"/>
            </w:tcBorders>
          </w:tcPr>
          <w:p w14:paraId="78597079" w14:textId="77777777" w:rsidR="00A70B78" w:rsidRPr="007C6A42" w:rsidRDefault="00A70B78" w:rsidP="00AF4FC9">
            <w:pPr>
              <w:bidi/>
              <w:spacing w:line="360" w:lineRule="auto"/>
              <w:contextualSpacing/>
              <w:jc w:val="both"/>
              <w:rPr>
                <w:rFonts w:asciiTheme="majorBidi" w:eastAsia="Times New Roman" w:hAnsiTheme="majorBidi" w:cstheme="majorBidi"/>
                <w:lang w:bidi="ar-KW"/>
              </w:rPr>
            </w:pPr>
            <w:r w:rsidRPr="007C6A42">
              <w:rPr>
                <w:rFonts w:asciiTheme="majorBidi" w:eastAsia="Times New Roman" w:hAnsiTheme="majorBidi" w:cstheme="majorBidi"/>
                <w:rtl/>
              </w:rPr>
              <w:t>وتَضَعُ كُلُّ ذَاتِ حَمْلٍ حَمْلَهَا (٢)</w:t>
            </w:r>
          </w:p>
        </w:tc>
        <w:tc>
          <w:tcPr>
            <w:tcW w:w="2126" w:type="dxa"/>
            <w:tcBorders>
              <w:top w:val="single" w:sz="4" w:space="0" w:color="auto"/>
              <w:left w:val="single" w:sz="4" w:space="0" w:color="auto"/>
              <w:bottom w:val="single" w:sz="4" w:space="0" w:color="auto"/>
              <w:right w:val="single" w:sz="4" w:space="0" w:color="auto"/>
            </w:tcBorders>
          </w:tcPr>
          <w:p w14:paraId="1A3CBADC"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Du Ryer</w:t>
            </w:r>
            <w:r w:rsidRPr="007C6A42">
              <w:rPr>
                <w:rFonts w:asciiTheme="majorBidi" w:eastAsia="Calibri" w:hAnsiTheme="majorBidi" w:cstheme="majorBidi"/>
                <w:lang w:bidi="ar-AE"/>
              </w:rPr>
              <w:t xml:space="preserve"> (1647)</w:t>
            </w:r>
          </w:p>
        </w:tc>
        <w:tc>
          <w:tcPr>
            <w:tcW w:w="6662" w:type="dxa"/>
            <w:tcBorders>
              <w:top w:val="single" w:sz="4" w:space="0" w:color="auto"/>
              <w:left w:val="single" w:sz="4" w:space="0" w:color="auto"/>
              <w:bottom w:val="single" w:sz="4" w:space="0" w:color="auto"/>
              <w:right w:val="single" w:sz="4" w:space="0" w:color="auto"/>
            </w:tcBorders>
          </w:tcPr>
          <w:p w14:paraId="26D948C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&amp; que chacun portera son fardeau</w:t>
            </w:r>
          </w:p>
        </w:tc>
      </w:tr>
      <w:tr w:rsidR="00A70B78" w:rsidRPr="007C6A42" w14:paraId="69E5B7F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FA2EF56"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28C4BD7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Savary</w:t>
            </w:r>
            <w:r w:rsidRPr="007C6A42">
              <w:rPr>
                <w:rFonts w:asciiTheme="majorBidi" w:eastAsia="Calibri" w:hAnsiTheme="majorBidi" w:cstheme="majorBidi"/>
                <w:lang w:bidi="ar-AE"/>
              </w:rPr>
              <w:t xml:space="preserve"> (1782)</w:t>
            </w:r>
          </w:p>
        </w:tc>
        <w:tc>
          <w:tcPr>
            <w:tcW w:w="6662" w:type="dxa"/>
            <w:tcBorders>
              <w:top w:val="single" w:sz="4" w:space="0" w:color="auto"/>
              <w:left w:val="single" w:sz="4" w:space="0" w:color="auto"/>
              <w:bottom w:val="single" w:sz="4" w:space="0" w:color="auto"/>
              <w:right w:val="single" w:sz="4" w:space="0" w:color="auto"/>
            </w:tcBorders>
          </w:tcPr>
          <w:p w14:paraId="1EA63902"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la femme enceinte enfantera</w:t>
            </w:r>
          </w:p>
        </w:tc>
      </w:tr>
      <w:tr w:rsidR="00A70B78" w:rsidRPr="007C6A42" w14:paraId="16844ACE"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2CCFB8C7"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37F084A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Kazimirski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p>
        </w:tc>
        <w:tc>
          <w:tcPr>
            <w:tcW w:w="6662" w:type="dxa"/>
            <w:tcBorders>
              <w:top w:val="single" w:sz="4" w:space="0" w:color="auto"/>
              <w:left w:val="single" w:sz="4" w:space="0" w:color="auto"/>
              <w:bottom w:val="single" w:sz="4" w:space="0" w:color="auto"/>
              <w:right w:val="single" w:sz="4" w:space="0" w:color="auto"/>
            </w:tcBorders>
          </w:tcPr>
          <w:p w14:paraId="211DFD1F"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la femme enceinte accoucher</w:t>
            </w:r>
          </w:p>
        </w:tc>
      </w:tr>
      <w:tr w:rsidR="00A70B78" w:rsidRPr="007C6A42" w14:paraId="28EC9064"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C3691AE"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047FC00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Blachère (1949)</w:t>
            </w:r>
          </w:p>
        </w:tc>
        <w:tc>
          <w:tcPr>
            <w:tcW w:w="6662" w:type="dxa"/>
            <w:tcBorders>
              <w:top w:val="single" w:sz="4" w:space="0" w:color="auto"/>
              <w:left w:val="single" w:sz="4" w:space="0" w:color="auto"/>
              <w:bottom w:val="single" w:sz="4" w:space="0" w:color="auto"/>
              <w:right w:val="single" w:sz="4" w:space="0" w:color="auto"/>
            </w:tcBorders>
          </w:tcPr>
          <w:p w14:paraId="33F714F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w:t>
            </w:r>
            <w:r w:rsidRPr="007C6A42">
              <w:rPr>
                <w:rFonts w:asciiTheme="majorBidi" w:eastAsia="Calibri" w:hAnsiTheme="majorBidi" w:cstheme="majorBidi"/>
                <w:i/>
                <w:iCs/>
                <w:lang w:bidi="ar-AE"/>
              </w:rPr>
              <w:t>où</w:t>
            </w:r>
            <w:r w:rsidRPr="007C6A42">
              <w:rPr>
                <w:rFonts w:asciiTheme="majorBidi" w:eastAsia="Calibri" w:hAnsiTheme="majorBidi" w:cstheme="majorBidi"/>
                <w:lang w:bidi="ar-AE"/>
              </w:rPr>
              <w:t>] chaque femelle fécondée [</w:t>
            </w:r>
            <w:r w:rsidRPr="007C6A42">
              <w:rPr>
                <w:rFonts w:asciiTheme="majorBidi" w:eastAsia="Calibri" w:hAnsiTheme="majorBidi" w:cstheme="majorBidi"/>
                <w:i/>
                <w:iCs/>
                <w:lang w:bidi="ar-AE"/>
              </w:rPr>
              <w:t>, de terreur,</w:t>
            </w:r>
            <w:r w:rsidRPr="007C6A42">
              <w:rPr>
                <w:rFonts w:asciiTheme="majorBidi" w:eastAsia="Calibri" w:hAnsiTheme="majorBidi" w:cstheme="majorBidi"/>
                <w:lang w:bidi="ar-AE"/>
              </w:rPr>
              <w:t>] mettra bas ce qu’elle porte</w:t>
            </w:r>
          </w:p>
        </w:tc>
      </w:tr>
      <w:tr w:rsidR="00A70B78" w:rsidRPr="007C6A42" w14:paraId="0119B7A4"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66C1071"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4ABF76CC"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Ghédira</w:t>
            </w:r>
            <w:r w:rsidRPr="007C6A42">
              <w:rPr>
                <w:rFonts w:asciiTheme="majorBidi" w:eastAsia="SimSun" w:hAnsiTheme="majorBidi" w:cstheme="majorBidi"/>
                <w:lang w:eastAsia="zh-CN"/>
              </w:rPr>
              <w:t xml:space="preserve"> (1957</w:t>
            </w:r>
            <w:r w:rsidRPr="007C6A42">
              <w:rPr>
                <w:rFonts w:asciiTheme="majorBidi" w:eastAsia="Calibri" w:hAnsiTheme="majorBidi" w:cstheme="majorBidi"/>
                <w:lang w:bidi="ar-AE"/>
              </w:rPr>
              <w:t>)</w:t>
            </w:r>
          </w:p>
        </w:tc>
        <w:tc>
          <w:tcPr>
            <w:tcW w:w="6662" w:type="dxa"/>
            <w:tcBorders>
              <w:top w:val="single" w:sz="4" w:space="0" w:color="auto"/>
              <w:left w:val="single" w:sz="4" w:space="0" w:color="auto"/>
              <w:bottom w:val="single" w:sz="4" w:space="0" w:color="auto"/>
              <w:right w:val="single" w:sz="4" w:space="0" w:color="auto"/>
            </w:tcBorders>
          </w:tcPr>
          <w:p w14:paraId="2E3D4F5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de frayeur, toute femelle mettra bas ce qu’elle porte.</w:t>
            </w:r>
          </w:p>
        </w:tc>
      </w:tr>
      <w:tr w:rsidR="00A70B78" w:rsidRPr="007C6A42" w14:paraId="030C7C73"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2A6CBCB"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63E513F2"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Hamidullah (1959)</w:t>
            </w:r>
          </w:p>
        </w:tc>
        <w:tc>
          <w:tcPr>
            <w:tcW w:w="6662" w:type="dxa"/>
            <w:tcBorders>
              <w:top w:val="single" w:sz="4" w:space="0" w:color="auto"/>
              <w:left w:val="single" w:sz="4" w:space="0" w:color="auto"/>
              <w:bottom w:val="single" w:sz="4" w:space="0" w:color="auto"/>
              <w:right w:val="single" w:sz="4" w:space="0" w:color="auto"/>
            </w:tcBorders>
          </w:tcPr>
          <w:p w14:paraId="663B111D"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toute femelle engrossée avortera sa grossesse.</w:t>
            </w:r>
          </w:p>
        </w:tc>
      </w:tr>
      <w:tr w:rsidR="00A70B78" w:rsidRPr="007C6A42" w14:paraId="4306AF8A"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10F055F"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084DCCD5"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Masson (1967)</w:t>
            </w:r>
          </w:p>
        </w:tc>
        <w:tc>
          <w:tcPr>
            <w:tcW w:w="6662" w:type="dxa"/>
            <w:tcBorders>
              <w:top w:val="single" w:sz="4" w:space="0" w:color="auto"/>
              <w:left w:val="single" w:sz="4" w:space="0" w:color="auto"/>
              <w:bottom w:val="single" w:sz="4" w:space="0" w:color="auto"/>
              <w:right w:val="single" w:sz="4" w:space="0" w:color="auto"/>
            </w:tcBorders>
          </w:tcPr>
          <w:p w14:paraId="2BB7BE2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toute femme enceinte avortera.</w:t>
            </w:r>
          </w:p>
        </w:tc>
      </w:tr>
      <w:tr w:rsidR="00A70B78" w:rsidRPr="007C6A42" w14:paraId="511A45A2"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2892502"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125DC2CD"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Grosjean (1972)</w:t>
            </w:r>
          </w:p>
        </w:tc>
        <w:tc>
          <w:tcPr>
            <w:tcW w:w="6662" w:type="dxa"/>
            <w:tcBorders>
              <w:top w:val="single" w:sz="4" w:space="0" w:color="auto"/>
              <w:left w:val="single" w:sz="4" w:space="0" w:color="auto"/>
              <w:bottom w:val="single" w:sz="4" w:space="0" w:color="auto"/>
              <w:right w:val="single" w:sz="4" w:space="0" w:color="auto"/>
            </w:tcBorders>
          </w:tcPr>
          <w:p w14:paraId="3206FCB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toute femme enceinte avortera</w:t>
            </w:r>
          </w:p>
        </w:tc>
      </w:tr>
      <w:tr w:rsidR="00A70B78" w:rsidRPr="007C6A42" w14:paraId="3636BE87"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7EE3E6D"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09DDCEF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Ben Mahmoud (1962)</w:t>
            </w:r>
          </w:p>
        </w:tc>
        <w:tc>
          <w:tcPr>
            <w:tcW w:w="6662" w:type="dxa"/>
            <w:tcBorders>
              <w:top w:val="single" w:sz="4" w:space="0" w:color="auto"/>
              <w:left w:val="single" w:sz="4" w:space="0" w:color="auto"/>
              <w:bottom w:val="single" w:sz="4" w:space="0" w:color="auto"/>
              <w:right w:val="single" w:sz="4" w:space="0" w:color="auto"/>
            </w:tcBorders>
          </w:tcPr>
          <w:p w14:paraId="1D5A8F4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la femme enceinte avortera</w:t>
            </w:r>
          </w:p>
        </w:tc>
      </w:tr>
      <w:tr w:rsidR="00A70B78" w:rsidRPr="007C6A42" w14:paraId="3BB8B4DB"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D381BEE"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1C945FF7"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Berque (1990)</w:t>
            </w:r>
          </w:p>
        </w:tc>
        <w:tc>
          <w:tcPr>
            <w:tcW w:w="6662" w:type="dxa"/>
            <w:tcBorders>
              <w:top w:val="single" w:sz="4" w:space="0" w:color="auto"/>
              <w:left w:val="single" w:sz="4" w:space="0" w:color="auto"/>
              <w:bottom w:val="single" w:sz="4" w:space="0" w:color="auto"/>
              <w:right w:val="single" w:sz="4" w:space="0" w:color="auto"/>
            </w:tcBorders>
          </w:tcPr>
          <w:p w14:paraId="03324CCB"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rtl/>
                <w:lang w:bidi="ar-AE"/>
              </w:rPr>
              <w:tab/>
            </w:r>
            <w:r w:rsidRPr="007C6A42">
              <w:rPr>
                <w:rFonts w:asciiTheme="majorBidi" w:eastAsia="Calibri" w:hAnsiTheme="majorBidi" w:cstheme="majorBidi"/>
                <w:lang w:bidi="ar-AE"/>
              </w:rPr>
              <w:t>toute enceinte en perdra son fruit !</w:t>
            </w:r>
          </w:p>
        </w:tc>
      </w:tr>
      <w:tr w:rsidR="00A70B78" w:rsidRPr="007C6A42" w14:paraId="1C22914E"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37FEF660"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4B3E8FED"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Chouraqui (1990)</w:t>
            </w:r>
          </w:p>
        </w:tc>
        <w:tc>
          <w:tcPr>
            <w:tcW w:w="6662" w:type="dxa"/>
            <w:tcBorders>
              <w:top w:val="single" w:sz="4" w:space="0" w:color="auto"/>
              <w:left w:val="single" w:sz="4" w:space="0" w:color="auto"/>
              <w:bottom w:val="single" w:sz="4" w:space="0" w:color="auto"/>
              <w:right w:val="single" w:sz="4" w:space="0" w:color="auto"/>
            </w:tcBorders>
          </w:tcPr>
          <w:p w14:paraId="3A2442C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toute porteuse d’un faix plaquer son faix.</w:t>
            </w:r>
          </w:p>
        </w:tc>
      </w:tr>
      <w:tr w:rsidR="00A70B78" w:rsidRPr="007C6A42" w14:paraId="5C0E9DBE"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52D1BF9"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5E9719F7"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Guessous (1999)</w:t>
            </w:r>
          </w:p>
        </w:tc>
        <w:tc>
          <w:tcPr>
            <w:tcW w:w="6662" w:type="dxa"/>
            <w:tcBorders>
              <w:top w:val="single" w:sz="4" w:space="0" w:color="auto"/>
              <w:left w:val="single" w:sz="4" w:space="0" w:color="auto"/>
              <w:bottom w:val="single" w:sz="4" w:space="0" w:color="auto"/>
              <w:right w:val="single" w:sz="4" w:space="0" w:color="auto"/>
            </w:tcBorders>
          </w:tcPr>
          <w:p w14:paraId="65CBF1F8"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chaque femelle fécondée mettre bas et avorter</w:t>
            </w:r>
          </w:p>
        </w:tc>
      </w:tr>
      <w:tr w:rsidR="00A70B78" w:rsidRPr="007C6A42" w14:paraId="0F58A6EC"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37C67C62"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549E86D4"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Médine (2001)</w:t>
            </w:r>
          </w:p>
        </w:tc>
        <w:tc>
          <w:tcPr>
            <w:tcW w:w="6662" w:type="dxa"/>
            <w:tcBorders>
              <w:top w:val="single" w:sz="4" w:space="0" w:color="auto"/>
              <w:left w:val="single" w:sz="4" w:space="0" w:color="auto"/>
              <w:bottom w:val="single" w:sz="4" w:space="0" w:color="auto"/>
              <w:right w:val="single" w:sz="4" w:space="0" w:color="auto"/>
            </w:tcBorders>
          </w:tcPr>
          <w:p w14:paraId="60A75AF1"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lang w:bidi="ar-AE"/>
              </w:rPr>
              <w:t>et toute femelle enceinte avortera de ce qu’elle portait.</w:t>
            </w:r>
          </w:p>
        </w:tc>
      </w:tr>
      <w:tr w:rsidR="00A70B78" w:rsidRPr="007C6A42" w14:paraId="37A2123D"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7085744"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7608B9F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Chiadmi (1999)</w:t>
            </w:r>
          </w:p>
        </w:tc>
        <w:tc>
          <w:tcPr>
            <w:tcW w:w="6662" w:type="dxa"/>
            <w:tcBorders>
              <w:top w:val="single" w:sz="4" w:space="0" w:color="auto"/>
              <w:left w:val="single" w:sz="4" w:space="0" w:color="auto"/>
              <w:bottom w:val="single" w:sz="4" w:space="0" w:color="auto"/>
              <w:right w:val="single" w:sz="4" w:space="0" w:color="auto"/>
            </w:tcBorders>
          </w:tcPr>
          <w:p w14:paraId="47D453DD" w14:textId="77777777" w:rsidR="00A70B78" w:rsidRPr="007C6A42" w:rsidRDefault="00A70B78" w:rsidP="00AF4FC9">
            <w:pPr>
              <w:tabs>
                <w:tab w:val="right" w:pos="993"/>
              </w:tabs>
              <w:spacing w:line="360" w:lineRule="auto"/>
              <w:rPr>
                <w:rFonts w:asciiTheme="majorBidi" w:eastAsia="Calibri" w:hAnsiTheme="majorBidi" w:cstheme="majorBidi"/>
                <w:lang w:bidi="ar-AE"/>
              </w:rPr>
            </w:pPr>
            <w:r w:rsidRPr="007C6A42">
              <w:rPr>
                <w:rFonts w:asciiTheme="majorBidi" w:eastAsia="Calibri" w:hAnsiTheme="majorBidi" w:cstheme="majorBidi"/>
                <w:lang w:bidi="ar-AE"/>
              </w:rPr>
              <w:t>toute femelle enceinte enfantera avant terme</w:t>
            </w:r>
          </w:p>
        </w:tc>
      </w:tr>
      <w:tr w:rsidR="00A70B78" w:rsidRPr="007C6A42" w14:paraId="4624E45B"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FA2768A"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76AA77CD"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Aldeeb (2008)</w:t>
            </w:r>
          </w:p>
        </w:tc>
        <w:tc>
          <w:tcPr>
            <w:tcW w:w="6662" w:type="dxa"/>
            <w:tcBorders>
              <w:top w:val="single" w:sz="4" w:space="0" w:color="auto"/>
              <w:left w:val="single" w:sz="4" w:space="0" w:color="auto"/>
              <w:bottom w:val="single" w:sz="4" w:space="0" w:color="auto"/>
              <w:right w:val="single" w:sz="4" w:space="0" w:color="auto"/>
            </w:tcBorders>
          </w:tcPr>
          <w:p w14:paraId="04C2F45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toute [femelle] porteuse mettra bas sa portée.</w:t>
            </w:r>
          </w:p>
        </w:tc>
      </w:tr>
      <w:tr w:rsidR="00A70B78" w:rsidRPr="007C6A42" w14:paraId="08F8F254"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05951BA"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4DA0F7C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Chebel (2009)</w:t>
            </w:r>
          </w:p>
        </w:tc>
        <w:tc>
          <w:tcPr>
            <w:tcW w:w="6662" w:type="dxa"/>
            <w:tcBorders>
              <w:top w:val="single" w:sz="4" w:space="0" w:color="auto"/>
              <w:left w:val="single" w:sz="4" w:space="0" w:color="auto"/>
              <w:bottom w:val="single" w:sz="4" w:space="0" w:color="auto"/>
              <w:right w:val="single" w:sz="4" w:space="0" w:color="auto"/>
            </w:tcBorders>
          </w:tcPr>
          <w:p w14:paraId="334F6C42"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toute femelle enceinte déposera son faix sans l’avoir voulu</w:t>
            </w:r>
          </w:p>
        </w:tc>
      </w:tr>
      <w:tr w:rsidR="00A70B78" w:rsidRPr="007C6A42" w14:paraId="43E7386D"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1752588"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162DA1E8"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Abdelaziz (2002)</w:t>
            </w:r>
          </w:p>
        </w:tc>
        <w:tc>
          <w:tcPr>
            <w:tcW w:w="6662" w:type="dxa"/>
            <w:tcBorders>
              <w:top w:val="single" w:sz="4" w:space="0" w:color="auto"/>
              <w:left w:val="single" w:sz="4" w:space="0" w:color="auto"/>
              <w:bottom w:val="single" w:sz="4" w:space="0" w:color="auto"/>
              <w:right w:val="single" w:sz="4" w:space="0" w:color="auto"/>
            </w:tcBorders>
          </w:tcPr>
          <w:p w14:paraId="6FA9106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chacune en état de grossesse délivrera ce qu’elle porte</w:t>
            </w:r>
          </w:p>
        </w:tc>
      </w:tr>
      <w:tr w:rsidR="00A70B78" w:rsidRPr="007C6A42" w14:paraId="4D13C54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86C94ED" w14:textId="77777777" w:rsidR="00A70B78" w:rsidRPr="007C6A42" w:rsidRDefault="00A70B78" w:rsidP="00AF4FC9">
            <w:pPr>
              <w:spacing w:line="360" w:lineRule="auto"/>
              <w:rPr>
                <w:rFonts w:asciiTheme="majorBidi" w:eastAsia="Times New Roman" w:hAnsiTheme="majorBidi" w:cstheme="majorBidi"/>
                <w:lang w:bidi="ar-KW"/>
              </w:rPr>
            </w:pPr>
          </w:p>
        </w:tc>
        <w:tc>
          <w:tcPr>
            <w:tcW w:w="2126" w:type="dxa"/>
            <w:tcBorders>
              <w:top w:val="single" w:sz="4" w:space="0" w:color="auto"/>
              <w:left w:val="single" w:sz="4" w:space="0" w:color="auto"/>
              <w:bottom w:val="single" w:sz="4" w:space="0" w:color="auto"/>
              <w:right w:val="single" w:sz="4" w:space="0" w:color="auto"/>
            </w:tcBorders>
          </w:tcPr>
          <w:p w14:paraId="189A0E1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Hafiane (2010)</w:t>
            </w:r>
          </w:p>
        </w:tc>
        <w:tc>
          <w:tcPr>
            <w:tcW w:w="6662" w:type="dxa"/>
            <w:tcBorders>
              <w:top w:val="single" w:sz="4" w:space="0" w:color="auto"/>
              <w:left w:val="single" w:sz="4" w:space="0" w:color="auto"/>
              <w:bottom w:val="single" w:sz="4" w:space="0" w:color="auto"/>
              <w:right w:val="single" w:sz="4" w:space="0" w:color="auto"/>
            </w:tcBorders>
          </w:tcPr>
          <w:p w14:paraId="691B082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et toute femme enceinte avortera</w:t>
            </w:r>
          </w:p>
        </w:tc>
      </w:tr>
    </w:tbl>
    <w:p w14:paraId="0A845F8F"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1352A2DB" w14:textId="77777777" w:rsidR="00A70B78" w:rsidRPr="007C6A42" w:rsidRDefault="00A70B78" w:rsidP="00A70B78">
      <w:pPr>
        <w:spacing w:line="360" w:lineRule="auto"/>
        <w:ind w:firstLine="708"/>
        <w:contextualSpacing/>
        <w:jc w:val="both"/>
        <w:rPr>
          <w:rFonts w:asciiTheme="majorBidi" w:eastAsia="Times New Roman" w:hAnsiTheme="majorBidi" w:cstheme="majorBidi"/>
          <w:lang w:bidi="ar-AE"/>
        </w:rPr>
      </w:pPr>
    </w:p>
    <w:p w14:paraId="643E5DFC" w14:textId="77777777" w:rsidR="00A70B78" w:rsidRPr="007C6A42" w:rsidRDefault="00A70B78" w:rsidP="00A70B78">
      <w:pPr>
        <w:spacing w:line="360" w:lineRule="auto"/>
        <w:ind w:firstLine="708"/>
        <w:contextualSpacing/>
        <w:jc w:val="both"/>
        <w:rPr>
          <w:rFonts w:asciiTheme="majorBidi" w:eastAsia="Times New Roman" w:hAnsiTheme="majorBidi" w:cstheme="majorBidi"/>
          <w:lang w:bidi="ar-KW"/>
        </w:rPr>
      </w:pPr>
      <w:r w:rsidRPr="007C6A42">
        <w:rPr>
          <w:rFonts w:asciiTheme="majorBidi" w:eastAsia="Times New Roman" w:hAnsiTheme="majorBidi" w:cstheme="majorBidi"/>
          <w:lang w:bidi="ar-AE"/>
        </w:rPr>
        <w:t>Le champ sémantique de la phrase « </w:t>
      </w:r>
      <w:r w:rsidRPr="007C6A42">
        <w:rPr>
          <w:rFonts w:asciiTheme="majorBidi" w:eastAsia="Times New Roman" w:hAnsiTheme="majorBidi" w:cstheme="majorBidi"/>
          <w:rtl/>
          <w:lang w:bidi="ar-AE"/>
        </w:rPr>
        <w:t>وتضع</w:t>
      </w:r>
      <w:r w:rsidRPr="007C6A42">
        <w:rPr>
          <w:rFonts w:asciiTheme="majorBidi" w:eastAsia="Times New Roman" w:hAnsiTheme="majorBidi" w:cstheme="majorBidi"/>
          <w:rtl/>
        </w:rPr>
        <w:t>ُ</w:t>
      </w:r>
      <w:r w:rsidRPr="007C6A42">
        <w:rPr>
          <w:rFonts w:asciiTheme="majorBidi" w:eastAsia="Times New Roman" w:hAnsiTheme="majorBidi" w:cstheme="majorBidi"/>
          <w:rtl/>
          <w:lang w:bidi="ar-AE"/>
        </w:rPr>
        <w:t xml:space="preserve"> كلُّ ذاتِ حَملٍ حَملَها</w:t>
      </w:r>
      <w:r w:rsidRPr="007C6A42">
        <w:rPr>
          <w:rFonts w:asciiTheme="majorBidi" w:eastAsia="Times New Roman" w:hAnsiTheme="majorBidi" w:cstheme="majorBidi"/>
          <w:lang w:bidi="ar-AE"/>
        </w:rPr>
        <w:t> » qui désigne l’image qu’une femelle, un arbre (</w:t>
      </w:r>
      <w:r w:rsidRPr="007C6A42">
        <w:rPr>
          <w:rFonts w:asciiTheme="majorBidi" w:eastAsia="Times New Roman" w:hAnsiTheme="majorBidi" w:cstheme="majorBidi"/>
          <w:i/>
          <w:iCs/>
          <w:lang w:bidi="ar-AE"/>
        </w:rPr>
        <w:t>shajara</w:t>
      </w:r>
      <w:r w:rsidRPr="007C6A42">
        <w:rPr>
          <w:rFonts w:asciiTheme="majorBidi" w:eastAsia="Times New Roman" w:hAnsiTheme="majorBidi" w:cstheme="majorBidi"/>
          <w:lang w:bidi="ar-AE"/>
        </w:rPr>
        <w:t xml:space="preserve">, un substantif féminin en arabe) ou une âme dépose ce qu’ils portent, est beaucoup plus vaste et plus général que les champs sémantiques de ses traductions en français. </w:t>
      </w:r>
      <w:r w:rsidRPr="007C6A42">
        <w:rPr>
          <w:rFonts w:asciiTheme="majorBidi" w:eastAsia="Times New Roman" w:hAnsiTheme="majorBidi" w:cstheme="majorBidi"/>
          <w:lang w:bidi="ar-KW"/>
        </w:rPr>
        <w:t xml:space="preserve">Rappelons que l’exégète Al-Alūsī souligne qu’il peut s’agir ici d’un arbre. L’exégète Amīn Shaykhū insiste sur l’idée que l’âme oubliera ses désirs. N’oublions pas qu’Ibn ʿArabī souligne l’idée que les forces psychiques </w:t>
      </w:r>
      <w:r w:rsidRPr="007C6A42">
        <w:rPr>
          <w:rFonts w:asciiTheme="majorBidi" w:eastAsia="Times New Roman" w:hAnsiTheme="majorBidi" w:cstheme="majorBidi"/>
          <w:lang w:bidi="ar-AE"/>
        </w:rPr>
        <w:t>abandonneront leurs qualités et leurs images en les extériorisant.</w:t>
      </w:r>
    </w:p>
    <w:p w14:paraId="47A86FC0" w14:textId="77777777" w:rsidR="00A70B78" w:rsidRPr="007C6A42" w:rsidRDefault="00A70B78" w:rsidP="00A70B78">
      <w:pPr>
        <w:spacing w:line="360" w:lineRule="auto"/>
        <w:ind w:firstLine="708"/>
        <w:contextualSpacing/>
        <w:jc w:val="both"/>
        <w:rPr>
          <w:rFonts w:asciiTheme="majorBidi" w:eastAsia="Times New Roman" w:hAnsiTheme="majorBidi" w:cstheme="majorBidi"/>
          <w:lang w:bidi="ar-KW"/>
        </w:rPr>
      </w:pPr>
      <w:r w:rsidRPr="007C6A42">
        <w:rPr>
          <w:rFonts w:asciiTheme="majorBidi" w:eastAsia="Times New Roman" w:hAnsiTheme="majorBidi" w:cstheme="majorBidi"/>
          <w:lang w:bidi="ar-AE"/>
        </w:rPr>
        <w:t>À l’exception de Du Ryer (qui a donné une traduction s’éloignant de l’image arabe : « </w:t>
      </w:r>
      <w:r w:rsidRPr="007C6A42">
        <w:rPr>
          <w:rFonts w:asciiTheme="majorBidi" w:eastAsia="Times New Roman" w:hAnsiTheme="majorBidi" w:cstheme="majorBidi"/>
          <w:i/>
          <w:iCs/>
          <w:lang w:bidi="ar-AE"/>
        </w:rPr>
        <w:t>chacun portera son fardeau</w:t>
      </w:r>
      <w:r w:rsidRPr="007C6A42">
        <w:rPr>
          <w:rFonts w:asciiTheme="majorBidi" w:eastAsia="Times New Roman" w:hAnsiTheme="majorBidi" w:cstheme="majorBidi"/>
          <w:lang w:bidi="ar-AE"/>
        </w:rPr>
        <w:t> ») et de Chouraqui (qui utilise un verbe familier « plaquer » et le substantif « faix » désignant une charge pesante), tous les traducteurs se contentent de rendre un seul aspect du champ sémantique de la phrase </w:t>
      </w:r>
      <w:r w:rsidRPr="007C6A42">
        <w:rPr>
          <w:rFonts w:asciiTheme="majorBidi" w:eastAsia="Times New Roman" w:hAnsiTheme="majorBidi" w:cstheme="majorBidi"/>
          <w:lang w:bidi="ar-KW"/>
        </w:rPr>
        <w:t>: une femelle enceinte qui mettra bas sa portée (accouchement ou avortement). En outre, Blachère et Ghédira ajoutent à cette image l’élément de la « terreur », et Chebel ajoute : « sans l’avoir voulu ».</w:t>
      </w:r>
    </w:p>
    <w:p w14:paraId="23D40579" w14:textId="77777777" w:rsidR="00A70B78" w:rsidRPr="007C6A42" w:rsidRDefault="00A70B78" w:rsidP="00A70B78">
      <w:pPr>
        <w:spacing w:line="360" w:lineRule="auto"/>
        <w:ind w:firstLine="708"/>
        <w:contextualSpacing/>
        <w:jc w:val="both"/>
        <w:rPr>
          <w:rFonts w:asciiTheme="majorBidi" w:eastAsia="Times New Roman" w:hAnsiTheme="majorBidi" w:cstheme="majorBidi"/>
          <w:lang w:bidi="ar-KW"/>
        </w:rPr>
      </w:pPr>
      <w:r w:rsidRPr="007C6A42">
        <w:rPr>
          <w:rFonts w:asciiTheme="majorBidi" w:eastAsia="Times New Roman" w:hAnsiTheme="majorBidi" w:cstheme="majorBidi"/>
          <w:lang w:bidi="ar-KW"/>
        </w:rPr>
        <w:t xml:space="preserve">Il y a une différence entre la valeur iconique de </w:t>
      </w:r>
      <w:r w:rsidRPr="007C6A42">
        <w:rPr>
          <w:rFonts w:asciiTheme="majorBidi" w:eastAsia="Times New Roman" w:hAnsiTheme="majorBidi" w:cstheme="majorBidi"/>
          <w:lang w:bidi="ar-AE"/>
        </w:rPr>
        <w:t>« </w:t>
      </w:r>
      <w:r w:rsidRPr="007C6A42">
        <w:rPr>
          <w:rFonts w:asciiTheme="majorBidi" w:eastAsia="Times New Roman" w:hAnsiTheme="majorBidi" w:cstheme="majorBidi"/>
          <w:rtl/>
          <w:lang w:bidi="ar-AE"/>
        </w:rPr>
        <w:t>وتضع</w:t>
      </w:r>
      <w:r w:rsidRPr="007C6A42">
        <w:rPr>
          <w:rFonts w:asciiTheme="majorBidi" w:eastAsia="Times New Roman" w:hAnsiTheme="majorBidi" w:cstheme="majorBidi"/>
          <w:rtl/>
        </w:rPr>
        <w:t>ُ</w:t>
      </w:r>
      <w:r w:rsidRPr="007C6A42">
        <w:rPr>
          <w:rFonts w:asciiTheme="majorBidi" w:eastAsia="Times New Roman" w:hAnsiTheme="majorBidi" w:cstheme="majorBidi"/>
          <w:rtl/>
          <w:lang w:bidi="ar-AE"/>
        </w:rPr>
        <w:t xml:space="preserve"> كلُّ ذاتِ حَملٍ حَملَها</w:t>
      </w:r>
      <w:r w:rsidRPr="007C6A42">
        <w:rPr>
          <w:rFonts w:asciiTheme="majorBidi" w:eastAsia="Times New Roman" w:hAnsiTheme="majorBidi" w:cstheme="majorBidi"/>
          <w:lang w:bidi="ar-AE"/>
        </w:rPr>
        <w:t xml:space="preserve"> » et la valeur iconique de ses traductions comme : « la femme enceinte accoucher », « de frayeur, toute femelle mettra bas ce qu’elle porte », « toute femme enceinte avortera », « toute femelle enceinte enfantera avant terme », etc. </w:t>
      </w:r>
      <w:r w:rsidRPr="007C6A42">
        <w:rPr>
          <w:rFonts w:asciiTheme="majorBidi" w:eastAsia="Times New Roman" w:hAnsiTheme="majorBidi" w:cstheme="majorBidi"/>
          <w:lang w:bidi="ar-KW"/>
        </w:rPr>
        <w:t>L’image en arabe montre qu’à force du tremblement de l’heure toute porteuse déposera sa charge. Les images en français qui montrent une femme ou femelle qui accouche ou avorte révèlent un seul élément de l’image arabe. La traduction littéraliste et dépaysante de Chouraqui (« </w:t>
      </w:r>
      <w:r w:rsidRPr="007C6A42">
        <w:rPr>
          <w:rFonts w:asciiTheme="majorBidi" w:eastAsia="Calibri" w:hAnsiTheme="majorBidi" w:cstheme="majorBidi"/>
          <w:i/>
          <w:iCs/>
          <w:lang w:bidi="ar-AE"/>
        </w:rPr>
        <w:t>toute porteuse d’un faix plaquer son faix </w:t>
      </w:r>
      <w:r w:rsidRPr="007C6A42">
        <w:rPr>
          <w:rFonts w:asciiTheme="majorBidi" w:eastAsia="Calibri" w:hAnsiTheme="majorBidi" w:cstheme="majorBidi"/>
          <w:lang w:bidi="ar-AE"/>
        </w:rPr>
        <w:t>»</w:t>
      </w:r>
      <w:r w:rsidRPr="007C6A42">
        <w:rPr>
          <w:rFonts w:asciiTheme="majorBidi" w:eastAsia="Times New Roman" w:hAnsiTheme="majorBidi" w:cstheme="majorBidi"/>
          <w:lang w:bidi="ar-KW"/>
        </w:rPr>
        <w:t>) est la plus proche de l’image-source. Les autres traductions présentent l’interprétation exégétique la plus répandue.</w:t>
      </w:r>
    </w:p>
    <w:p w14:paraId="17E2BBF1" w14:textId="77777777" w:rsidR="00A70B78" w:rsidRPr="007C6A42" w:rsidRDefault="00A70B78" w:rsidP="00A70B78">
      <w:pPr>
        <w:spacing w:line="360" w:lineRule="auto"/>
        <w:ind w:firstLine="708"/>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lastRenderedPageBreak/>
        <w:t>Dans certaines traductions, le changement du registre de langue est manifeste : Hamidullah utilise un registre vulgaire (« Engrossée ») ; le registre de langue de Chouraqui est familier (« plaquer »).</w:t>
      </w:r>
    </w:p>
    <w:p w14:paraId="7050BCE0" w14:textId="77777777" w:rsidR="00A70B78" w:rsidRPr="007C6A42" w:rsidRDefault="00A70B78" w:rsidP="00A70B78">
      <w:pPr>
        <w:spacing w:line="360" w:lineRule="auto"/>
        <w:contextualSpacing/>
        <w:jc w:val="both"/>
        <w:rPr>
          <w:rFonts w:asciiTheme="majorBidi" w:eastAsia="Times New Roman" w:hAnsiTheme="majorBidi" w:cstheme="majorBidi"/>
          <w:lang w:bidi="ar-KW"/>
        </w:rPr>
      </w:pPr>
    </w:p>
    <w:p w14:paraId="646AE3A5" w14:textId="0A9B46FD" w:rsidR="00A70B78" w:rsidRPr="007C6A42" w:rsidRDefault="004B1274" w:rsidP="00A70B78">
      <w:pPr>
        <w:spacing w:line="360" w:lineRule="auto"/>
        <w:contextualSpacing/>
        <w:jc w:val="both"/>
        <w:outlineLvl w:val="0"/>
        <w:rPr>
          <w:rFonts w:asciiTheme="majorBidi" w:eastAsia="Times New Roman" w:hAnsiTheme="majorBidi" w:cstheme="majorBidi"/>
          <w:lang w:bidi="ar-KW"/>
        </w:rPr>
      </w:pPr>
      <w:r>
        <w:rPr>
          <w:rFonts w:asciiTheme="majorBidi" w:eastAsia="Times New Roman" w:hAnsiTheme="majorBidi" w:cstheme="majorBidi"/>
          <w:b/>
          <w:bCs/>
          <w:lang w:bidi="ar-KW"/>
        </w:rPr>
        <w:t xml:space="preserve">10.2. </w:t>
      </w:r>
      <w:r w:rsidR="00A70B78" w:rsidRPr="007C6A42">
        <w:rPr>
          <w:rFonts w:asciiTheme="majorBidi" w:eastAsia="Times New Roman" w:hAnsiTheme="majorBidi" w:cstheme="majorBidi"/>
          <w:b/>
          <w:bCs/>
          <w:lang w:bidi="ar-KW"/>
        </w:rPr>
        <w:t>Traduction du verset 15 :</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403"/>
        <w:gridCol w:w="8250"/>
      </w:tblGrid>
      <w:tr w:rsidR="00A70B78" w:rsidRPr="007C6A42" w14:paraId="2D064B39" w14:textId="77777777" w:rsidTr="00AF4FC9">
        <w:tc>
          <w:tcPr>
            <w:tcW w:w="11057" w:type="dxa"/>
            <w:gridSpan w:val="3"/>
            <w:tcBorders>
              <w:top w:val="nil"/>
              <w:left w:val="single" w:sz="4" w:space="0" w:color="auto"/>
              <w:bottom w:val="single" w:sz="4" w:space="0" w:color="auto"/>
              <w:right w:val="single" w:sz="4" w:space="0" w:color="auto"/>
            </w:tcBorders>
          </w:tcPr>
          <w:p w14:paraId="73AC1DF6"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lang w:bidi="ar-AE"/>
              </w:rPr>
              <w:t xml:space="preserve"> </w:t>
            </w:r>
            <w:r w:rsidRPr="007C6A42">
              <w:rPr>
                <w:rFonts w:asciiTheme="majorBidi" w:eastAsia="Calibri" w:hAnsiTheme="majorBidi" w:cstheme="majorBidi"/>
                <w:b/>
                <w:bCs/>
                <w:lang w:bidi="ar-AE"/>
              </w:rPr>
              <w:t>Verset 15</w:t>
            </w:r>
          </w:p>
        </w:tc>
      </w:tr>
      <w:tr w:rsidR="00A70B78" w:rsidRPr="007C6A42" w14:paraId="5458589D" w14:textId="77777777" w:rsidTr="00AF4FC9">
        <w:tc>
          <w:tcPr>
            <w:tcW w:w="1418" w:type="dxa"/>
            <w:tcBorders>
              <w:top w:val="single" w:sz="4" w:space="0" w:color="auto"/>
              <w:left w:val="single" w:sz="4" w:space="0" w:color="auto"/>
              <w:bottom w:val="single" w:sz="4" w:space="0" w:color="auto"/>
              <w:right w:val="single" w:sz="4" w:space="0" w:color="auto"/>
            </w:tcBorders>
          </w:tcPr>
          <w:p w14:paraId="65809010"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Texte-source</w:t>
            </w:r>
          </w:p>
        </w:tc>
        <w:tc>
          <w:tcPr>
            <w:tcW w:w="1205" w:type="dxa"/>
            <w:tcBorders>
              <w:top w:val="nil"/>
              <w:left w:val="single" w:sz="4" w:space="0" w:color="auto"/>
              <w:bottom w:val="single" w:sz="4" w:space="0" w:color="auto"/>
              <w:right w:val="single" w:sz="4" w:space="0" w:color="auto"/>
            </w:tcBorders>
          </w:tcPr>
          <w:p w14:paraId="1023A529"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Traducteur</w:t>
            </w:r>
          </w:p>
        </w:tc>
        <w:tc>
          <w:tcPr>
            <w:tcW w:w="8434" w:type="dxa"/>
            <w:tcBorders>
              <w:top w:val="nil"/>
              <w:left w:val="single" w:sz="4" w:space="0" w:color="auto"/>
              <w:bottom w:val="single" w:sz="4" w:space="0" w:color="auto"/>
              <w:right w:val="single" w:sz="4" w:space="0" w:color="auto"/>
            </w:tcBorders>
          </w:tcPr>
          <w:p w14:paraId="4283C639" w14:textId="77777777" w:rsidR="00A70B78" w:rsidRPr="007C6A42" w:rsidRDefault="00A70B78" w:rsidP="00AF4FC9">
            <w:pPr>
              <w:tabs>
                <w:tab w:val="right" w:pos="993"/>
              </w:tabs>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Texte-cible</w:t>
            </w:r>
          </w:p>
        </w:tc>
      </w:tr>
      <w:tr w:rsidR="00A70B78" w:rsidRPr="007C6A42" w14:paraId="560A2BF5" w14:textId="77777777" w:rsidTr="00AF4FC9">
        <w:tc>
          <w:tcPr>
            <w:tcW w:w="1418" w:type="dxa"/>
            <w:vMerge w:val="restart"/>
            <w:tcBorders>
              <w:top w:val="single" w:sz="4" w:space="0" w:color="auto"/>
              <w:left w:val="single" w:sz="4" w:space="0" w:color="auto"/>
              <w:bottom w:val="single" w:sz="4" w:space="0" w:color="auto"/>
              <w:right w:val="single" w:sz="4" w:space="0" w:color="auto"/>
            </w:tcBorders>
          </w:tcPr>
          <w:p w14:paraId="5C4C6C0E" w14:textId="77777777" w:rsidR="00A70B78" w:rsidRPr="007C6A42" w:rsidRDefault="00A70B78" w:rsidP="00AF4FC9">
            <w:pPr>
              <w:bidi/>
              <w:spacing w:line="360" w:lineRule="auto"/>
              <w:jc w:val="center"/>
              <w:rPr>
                <w:rFonts w:asciiTheme="majorBidi" w:eastAsia="Times New Roman" w:hAnsiTheme="majorBidi" w:cstheme="majorBidi"/>
                <w:lang w:bidi="ar-KW"/>
              </w:rPr>
            </w:pPr>
            <w:r w:rsidRPr="007C6A42">
              <w:rPr>
                <w:rFonts w:asciiTheme="majorBidi" w:eastAsia="Times New Roman" w:hAnsiTheme="majorBidi" w:cstheme="majorBidi"/>
                <w:rtl/>
                <w:lang w:bidi="ar-AE"/>
              </w:rPr>
              <w:t>مَن كانَ يظُنُّ أنْ لن ينصرَهُ اللهُ في الدنيا والآخرةِ فلْيَمْدُدْ بسببٍ إلى السماء ثم ليقطَعْ فلْينظُرْ هل يُذْهِبَنَّ كيدُه ما يَغيظ.</w:t>
            </w:r>
          </w:p>
        </w:tc>
        <w:tc>
          <w:tcPr>
            <w:tcW w:w="1205" w:type="dxa"/>
            <w:tcBorders>
              <w:top w:val="single" w:sz="4" w:space="0" w:color="auto"/>
              <w:left w:val="single" w:sz="4" w:space="0" w:color="auto"/>
              <w:bottom w:val="single" w:sz="4" w:space="0" w:color="auto"/>
              <w:right w:val="single" w:sz="4" w:space="0" w:color="auto"/>
            </w:tcBorders>
          </w:tcPr>
          <w:p w14:paraId="7ADA39F0"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Du Ryer</w:t>
            </w:r>
            <w:r w:rsidRPr="007C6A42">
              <w:rPr>
                <w:rFonts w:asciiTheme="majorBidi" w:eastAsia="Calibri" w:hAnsiTheme="majorBidi" w:cstheme="majorBidi"/>
                <w:lang w:bidi="ar-AE"/>
              </w:rPr>
              <w:t xml:space="preserve"> (1647)</w:t>
            </w:r>
          </w:p>
        </w:tc>
        <w:tc>
          <w:tcPr>
            <w:tcW w:w="8434" w:type="dxa"/>
            <w:tcBorders>
              <w:top w:val="single" w:sz="4" w:space="0" w:color="auto"/>
              <w:left w:val="single" w:sz="4" w:space="0" w:color="auto"/>
              <w:bottom w:val="single" w:sz="4" w:space="0" w:color="auto"/>
              <w:right w:val="single" w:sz="4" w:space="0" w:color="auto"/>
            </w:tcBorders>
          </w:tcPr>
          <w:p w14:paraId="20ED98C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Celuy qui eʃt faʃché de ce que Dieu donne ʃecours &amp; protection à Mahomet en ce monde &amp; en l’autre, qu’il attache vne corde au plancher de ʃa maison, &amp; qu’il s’eʃtrangle, il verra ʃe ʃa colere paʃʃera.</w:t>
            </w:r>
          </w:p>
        </w:tc>
      </w:tr>
      <w:tr w:rsidR="00A70B78" w:rsidRPr="007C6A42" w14:paraId="61EE5B9D"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F453BE8"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7E180E5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Savary</w:t>
            </w:r>
            <w:r w:rsidRPr="007C6A42">
              <w:rPr>
                <w:rFonts w:asciiTheme="majorBidi" w:eastAsia="Calibri" w:hAnsiTheme="majorBidi" w:cstheme="majorBidi"/>
                <w:lang w:bidi="ar-AE"/>
              </w:rPr>
              <w:t xml:space="preserve"> (1782)</w:t>
            </w:r>
          </w:p>
        </w:tc>
        <w:tc>
          <w:tcPr>
            <w:tcW w:w="8434" w:type="dxa"/>
            <w:tcBorders>
              <w:top w:val="single" w:sz="4" w:space="0" w:color="auto"/>
              <w:left w:val="single" w:sz="4" w:space="0" w:color="auto"/>
              <w:bottom w:val="single" w:sz="4" w:space="0" w:color="auto"/>
              <w:right w:val="single" w:sz="4" w:space="0" w:color="auto"/>
            </w:tcBorders>
          </w:tcPr>
          <w:p w14:paraId="7BEA2DD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que le prophète sera privé du secours divin dans ce monde et dans l’autre, attache une corde au toit de sa maison, et s’étrangle. Il verra si son stratagème rendra vain ce qui l’irrite.</w:t>
            </w:r>
          </w:p>
        </w:tc>
      </w:tr>
      <w:tr w:rsidR="00A70B78" w:rsidRPr="007C6A42" w14:paraId="4DCA81AF"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03D7845"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213BA791"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SimSun" w:hAnsiTheme="majorBidi" w:cstheme="majorBidi"/>
                <w:lang w:eastAsia="zh-CN"/>
              </w:rPr>
              <w:t>Kazimirski (</w:t>
            </w:r>
            <w:r w:rsidRPr="007C6A42">
              <w:rPr>
                <w:rFonts w:asciiTheme="majorBidi" w:eastAsia="Times New Roman" w:hAnsiTheme="majorBidi" w:cstheme="majorBidi"/>
                <w:lang w:eastAsia="en-AU"/>
              </w:rPr>
              <w:t>1832</w:t>
            </w:r>
            <w:r w:rsidRPr="007C6A42">
              <w:rPr>
                <w:rFonts w:asciiTheme="majorBidi" w:eastAsia="Calibri" w:hAnsiTheme="majorBidi" w:cstheme="majorBidi"/>
                <w:lang w:bidi="ar-AE"/>
              </w:rPr>
              <w:t>)</w:t>
            </w:r>
          </w:p>
        </w:tc>
        <w:tc>
          <w:tcPr>
            <w:tcW w:w="8434" w:type="dxa"/>
            <w:tcBorders>
              <w:top w:val="single" w:sz="4" w:space="0" w:color="auto"/>
              <w:left w:val="single" w:sz="4" w:space="0" w:color="auto"/>
              <w:bottom w:val="single" w:sz="4" w:space="0" w:color="auto"/>
              <w:right w:val="single" w:sz="4" w:space="0" w:color="auto"/>
            </w:tcBorders>
          </w:tcPr>
          <w:p w14:paraId="08981782"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Que celui qui pense que Dieu ne le secourra pas (</w:t>
            </w:r>
            <w:r w:rsidRPr="007C6A42">
              <w:rPr>
                <w:rFonts w:asciiTheme="majorBidi" w:eastAsia="Times New Roman" w:hAnsiTheme="majorBidi" w:cstheme="majorBidi"/>
                <w:i/>
                <w:iCs/>
              </w:rPr>
              <w:t>Mohammed</w:t>
            </w:r>
            <w:r w:rsidRPr="007C6A42">
              <w:rPr>
                <w:rFonts w:asciiTheme="majorBidi" w:eastAsia="Times New Roman" w:hAnsiTheme="majorBidi" w:cstheme="majorBidi"/>
              </w:rPr>
              <w:t>) dans ce monde et dans l’autre, allonge la corde vers le ciel et la coupe ; il verra si ses artifices rendront vain ce qui l’irrite.</w:t>
            </w:r>
          </w:p>
        </w:tc>
      </w:tr>
      <w:tr w:rsidR="00A70B78" w:rsidRPr="007C6A42" w14:paraId="4B61E1E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CDDFDE6"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1B624CE7"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Blachère (1949)</w:t>
            </w:r>
          </w:p>
        </w:tc>
        <w:tc>
          <w:tcPr>
            <w:tcW w:w="8434" w:type="dxa"/>
            <w:tcBorders>
              <w:top w:val="single" w:sz="4" w:space="0" w:color="auto"/>
              <w:left w:val="single" w:sz="4" w:space="0" w:color="auto"/>
              <w:bottom w:val="single" w:sz="4" w:space="0" w:color="auto"/>
              <w:right w:val="single" w:sz="4" w:space="0" w:color="auto"/>
            </w:tcBorders>
          </w:tcPr>
          <w:p w14:paraId="252D069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qu’Allah ne le secourra pas, dans la [</w:t>
            </w:r>
            <w:r w:rsidRPr="007C6A42">
              <w:rPr>
                <w:rFonts w:asciiTheme="majorBidi" w:eastAsia="Times New Roman" w:hAnsiTheme="majorBidi" w:cstheme="majorBidi"/>
                <w:i/>
              </w:rPr>
              <w:t>Vie</w:t>
            </w:r>
            <w:r w:rsidRPr="007C6A42">
              <w:rPr>
                <w:rFonts w:asciiTheme="majorBidi" w:eastAsia="Times New Roman" w:hAnsiTheme="majorBidi" w:cstheme="majorBidi"/>
              </w:rPr>
              <w:t>] Immédiate et la [</w:t>
            </w:r>
            <w:r w:rsidRPr="007C6A42">
              <w:rPr>
                <w:rFonts w:asciiTheme="majorBidi" w:eastAsia="Times New Roman" w:hAnsiTheme="majorBidi" w:cstheme="majorBidi"/>
                <w:i/>
              </w:rPr>
              <w:t>Vie</w:t>
            </w:r>
            <w:r w:rsidRPr="007C6A42">
              <w:rPr>
                <w:rFonts w:asciiTheme="majorBidi" w:eastAsia="Times New Roman" w:hAnsiTheme="majorBidi" w:cstheme="majorBidi"/>
              </w:rPr>
              <w:t>] Dernière, tende une corde jusqu’au ciel, puis qu’il la tranche et qu’il considère si son stratagème dissipera ce qui [l’]irrite.</w:t>
            </w:r>
          </w:p>
        </w:tc>
      </w:tr>
      <w:tr w:rsidR="00A70B78" w:rsidRPr="007C6A42" w14:paraId="4C27B812"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5247D71"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63ED0AB3"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Ghédira</w:t>
            </w:r>
            <w:r w:rsidRPr="007C6A42">
              <w:rPr>
                <w:rFonts w:asciiTheme="majorBidi" w:eastAsia="SimSun" w:hAnsiTheme="majorBidi" w:cstheme="majorBidi"/>
                <w:lang w:eastAsia="zh-CN"/>
              </w:rPr>
              <w:t xml:space="preserve"> (1957</w:t>
            </w:r>
            <w:r w:rsidRPr="007C6A42">
              <w:rPr>
                <w:rFonts w:asciiTheme="majorBidi" w:eastAsia="Calibri" w:hAnsiTheme="majorBidi" w:cstheme="majorBidi"/>
                <w:lang w:bidi="ar-AE"/>
              </w:rPr>
              <w:t>)</w:t>
            </w:r>
          </w:p>
        </w:tc>
        <w:tc>
          <w:tcPr>
            <w:tcW w:w="8434" w:type="dxa"/>
            <w:tcBorders>
              <w:top w:val="single" w:sz="4" w:space="0" w:color="auto"/>
              <w:left w:val="single" w:sz="4" w:space="0" w:color="auto"/>
              <w:bottom w:val="single" w:sz="4" w:space="0" w:color="auto"/>
              <w:right w:val="single" w:sz="4" w:space="0" w:color="auto"/>
            </w:tcBorders>
          </w:tcPr>
          <w:p w14:paraId="17C06D2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que Dieu ne secourra pas [Muhammad] ni dans ce monde ni dans l’autre, suspende une corde vers le haut, s’y attache et la tranche : il verra si ses artifices feront disparaître ce qui l’irrite.</w:t>
            </w:r>
          </w:p>
        </w:tc>
      </w:tr>
      <w:tr w:rsidR="00A70B78" w:rsidRPr="007C6A42" w14:paraId="4E9596BB"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2ACD7B02"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27F4C7D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Hamidullah (1959)</w:t>
            </w:r>
          </w:p>
        </w:tc>
        <w:tc>
          <w:tcPr>
            <w:tcW w:w="8434" w:type="dxa"/>
            <w:tcBorders>
              <w:top w:val="single" w:sz="4" w:space="0" w:color="auto"/>
              <w:left w:val="single" w:sz="4" w:space="0" w:color="auto"/>
              <w:bottom w:val="single" w:sz="4" w:space="0" w:color="auto"/>
              <w:right w:val="single" w:sz="4" w:space="0" w:color="auto"/>
            </w:tcBorders>
          </w:tcPr>
          <w:p w14:paraId="74A3E50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Quiconque pense qu’en vérité Dieu ne viendra pas au secours de celui-ci* ni dans l’ici-bas ni dans l’au-delà, eh bien qu’il tende une corde jusqu’au ciel, puis qu’il coupe, puis, qu’il voie si sa ruse va faire disparaître quoi que ce soit de ce qui le fait enrager.</w:t>
            </w:r>
          </w:p>
        </w:tc>
      </w:tr>
      <w:tr w:rsidR="00A70B78" w:rsidRPr="007C6A42" w14:paraId="0B59F78D"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BC45A79"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16CFCC4B"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rPr>
              <w:t>Masson (1967)</w:t>
            </w:r>
          </w:p>
        </w:tc>
        <w:tc>
          <w:tcPr>
            <w:tcW w:w="8434" w:type="dxa"/>
            <w:tcBorders>
              <w:top w:val="single" w:sz="4" w:space="0" w:color="auto"/>
              <w:left w:val="single" w:sz="4" w:space="0" w:color="auto"/>
              <w:bottom w:val="single" w:sz="4" w:space="0" w:color="auto"/>
              <w:right w:val="single" w:sz="4" w:space="0" w:color="auto"/>
            </w:tcBorders>
          </w:tcPr>
          <w:p w14:paraId="3CDD282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que Dieu ne le secourra ni en cette vie, ni dans l’autre, tende une corde jusqu’au ciel, puis il la tranche ; il verra si sa ruse anéantit ce qui l’irrite ! </w:t>
            </w:r>
          </w:p>
        </w:tc>
      </w:tr>
      <w:tr w:rsidR="00A70B78" w:rsidRPr="007C6A42" w14:paraId="2C4A4008"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157A831D"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1804AD6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Grosjean </w:t>
            </w:r>
            <w:r w:rsidRPr="007C6A42">
              <w:rPr>
                <w:rFonts w:asciiTheme="majorBidi" w:eastAsia="Times New Roman" w:hAnsiTheme="majorBidi" w:cstheme="majorBidi"/>
              </w:rPr>
              <w:lastRenderedPageBreak/>
              <w:t>(1972)</w:t>
            </w:r>
          </w:p>
        </w:tc>
        <w:tc>
          <w:tcPr>
            <w:tcW w:w="8434" w:type="dxa"/>
            <w:tcBorders>
              <w:top w:val="single" w:sz="4" w:space="0" w:color="auto"/>
              <w:left w:val="single" w:sz="4" w:space="0" w:color="auto"/>
              <w:bottom w:val="single" w:sz="4" w:space="0" w:color="auto"/>
              <w:right w:val="single" w:sz="4" w:space="0" w:color="auto"/>
            </w:tcBorders>
          </w:tcPr>
          <w:p w14:paraId="067E09C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Quiconque pense que Dieu ne le secourra ni en cette vie ni dans l’autre, qu’il tende </w:t>
            </w:r>
            <w:r w:rsidRPr="007C6A42">
              <w:rPr>
                <w:rFonts w:asciiTheme="majorBidi" w:eastAsia="Times New Roman" w:hAnsiTheme="majorBidi" w:cstheme="majorBidi"/>
              </w:rPr>
              <w:lastRenderedPageBreak/>
              <w:t>une corde jusqu’au ciel et qu’il la tranche, il verra si sa ruse détruit ce qui l’irrite.</w:t>
            </w:r>
          </w:p>
        </w:tc>
      </w:tr>
      <w:tr w:rsidR="00A70B78" w:rsidRPr="007C6A42" w14:paraId="318CB902"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37874ED8"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5CE88970"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8434" w:type="dxa"/>
            <w:tcBorders>
              <w:top w:val="single" w:sz="4" w:space="0" w:color="auto"/>
              <w:left w:val="single" w:sz="4" w:space="0" w:color="auto"/>
              <w:bottom w:val="single" w:sz="4" w:space="0" w:color="auto"/>
              <w:right w:val="single" w:sz="4" w:space="0" w:color="auto"/>
            </w:tcBorders>
          </w:tcPr>
          <w:p w14:paraId="5FED66C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désespère de Dieu en ce monde et dans l’autre tente par un moyen quelconque d’accéder au ciel et d’y pénétrer ! Il verra si une telle expérience peut calmer son dépit.</w:t>
            </w:r>
          </w:p>
        </w:tc>
      </w:tr>
      <w:tr w:rsidR="00A70B78" w:rsidRPr="007C6A42" w14:paraId="54F513A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EA25DF6"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35FB9736"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Berque (1990)</w:t>
            </w:r>
          </w:p>
        </w:tc>
        <w:tc>
          <w:tcPr>
            <w:tcW w:w="8434" w:type="dxa"/>
            <w:tcBorders>
              <w:top w:val="single" w:sz="4" w:space="0" w:color="auto"/>
              <w:left w:val="single" w:sz="4" w:space="0" w:color="auto"/>
              <w:bottom w:val="single" w:sz="4" w:space="0" w:color="auto"/>
              <w:right w:val="single" w:sz="4" w:space="0" w:color="auto"/>
            </w:tcBorders>
          </w:tcPr>
          <w:p w14:paraId="0FE4BB60"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Celui qui conjecturait que Dieu laisserait (le Prophète) sans secours en ce monde et dans l’autre n’a qu’à tendre une corde jusqu’au ciel et puis la couper : qu’il voie si son stratagème va supprimer l’objet de sa rage !</w:t>
            </w:r>
          </w:p>
        </w:tc>
      </w:tr>
      <w:tr w:rsidR="00A70B78" w:rsidRPr="007C6A42" w14:paraId="4BC592BA"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90026AA"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75D833A7"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André Chouraqui (1990)</w:t>
            </w:r>
          </w:p>
        </w:tc>
        <w:tc>
          <w:tcPr>
            <w:tcW w:w="8434" w:type="dxa"/>
            <w:tcBorders>
              <w:top w:val="single" w:sz="4" w:space="0" w:color="auto"/>
              <w:left w:val="single" w:sz="4" w:space="0" w:color="auto"/>
              <w:bottom w:val="single" w:sz="4" w:space="0" w:color="auto"/>
              <w:right w:val="single" w:sz="4" w:space="0" w:color="auto"/>
            </w:tcBorders>
          </w:tcPr>
          <w:p w14:paraId="02427D17"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Qui imagine qu’Allah ne l’aide pas en ce monde ni dans l’Autre, qu’il accroche une corde aux ciels, puis la coupe. Il guettera si son stratagème dissipe ce qui l’irritait.</w:t>
            </w:r>
          </w:p>
        </w:tc>
      </w:tr>
      <w:tr w:rsidR="00A70B78" w:rsidRPr="007C6A42" w14:paraId="2189FC29"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759ACC53"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4E9D8C6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Guessous (1999)</w:t>
            </w:r>
          </w:p>
        </w:tc>
        <w:tc>
          <w:tcPr>
            <w:tcW w:w="8434" w:type="dxa"/>
            <w:tcBorders>
              <w:top w:val="single" w:sz="4" w:space="0" w:color="auto"/>
              <w:left w:val="single" w:sz="4" w:space="0" w:color="auto"/>
              <w:bottom w:val="single" w:sz="4" w:space="0" w:color="auto"/>
              <w:right w:val="single" w:sz="4" w:space="0" w:color="auto"/>
            </w:tcBorders>
          </w:tcPr>
          <w:p w14:paraId="0D21309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Que celui qui pense ne point être par ALLAH assisté, </w:t>
            </w:r>
          </w:p>
          <w:p w14:paraId="4D52593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Dans la vie immédiate ou dans l’Éternité, </w:t>
            </w:r>
          </w:p>
          <w:p w14:paraId="6B35619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Tende une corde vers le ciel puis qu’elle soit coupée</w:t>
            </w:r>
          </w:p>
          <w:p w14:paraId="79ED595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Il verra si ces artifices dissiperont ce qui l’a irrité. </w:t>
            </w:r>
          </w:p>
        </w:tc>
      </w:tr>
      <w:tr w:rsidR="00A70B78" w:rsidRPr="007C6A42" w14:paraId="52B301DD"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459B6D5D"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76BF52A9"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Complexe Médine (2001)</w:t>
            </w:r>
          </w:p>
        </w:tc>
        <w:tc>
          <w:tcPr>
            <w:tcW w:w="8434" w:type="dxa"/>
            <w:tcBorders>
              <w:top w:val="single" w:sz="4" w:space="0" w:color="auto"/>
              <w:left w:val="single" w:sz="4" w:space="0" w:color="auto"/>
              <w:bottom w:val="single" w:sz="4" w:space="0" w:color="auto"/>
              <w:right w:val="single" w:sz="4" w:space="0" w:color="auto"/>
            </w:tcBorders>
          </w:tcPr>
          <w:p w14:paraId="24D3215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pense qu’Allah ne le secourra pas dans l’ici-bas et dans l’au-delà, qu’il tende une corde jusqu’au ciel, puis qu’il la coupe, et qu’il voie si sa ruse va faire disparaître ce qui l’enrage.</w:t>
            </w:r>
          </w:p>
        </w:tc>
      </w:tr>
      <w:tr w:rsidR="00A70B78" w:rsidRPr="007C6A42" w14:paraId="2022A058"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385B4D68"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21B56B9F"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Chiadmi (1999)</w:t>
            </w:r>
          </w:p>
        </w:tc>
        <w:tc>
          <w:tcPr>
            <w:tcW w:w="8434" w:type="dxa"/>
            <w:tcBorders>
              <w:top w:val="single" w:sz="4" w:space="0" w:color="auto"/>
              <w:left w:val="single" w:sz="4" w:space="0" w:color="auto"/>
              <w:bottom w:val="single" w:sz="4" w:space="0" w:color="auto"/>
              <w:right w:val="single" w:sz="4" w:space="0" w:color="auto"/>
            </w:tcBorders>
          </w:tcPr>
          <w:p w14:paraId="47EE684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 celui qui pense que Dieu ne secourra pas son Prophète, ni en ce monde ni dans la vie future, se pende à une corde haut placée et qu’il tente de la couper. Il verra alors si ce moyen est de nature à dissiper ses rancœurs.</w:t>
            </w:r>
          </w:p>
        </w:tc>
      </w:tr>
      <w:tr w:rsidR="00A70B78" w:rsidRPr="007C6A42" w14:paraId="256755E6"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6B6E06D0"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77085843"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Aldeeb (2008)</w:t>
            </w:r>
          </w:p>
        </w:tc>
        <w:tc>
          <w:tcPr>
            <w:tcW w:w="8434" w:type="dxa"/>
            <w:tcBorders>
              <w:top w:val="single" w:sz="4" w:space="0" w:color="auto"/>
              <w:left w:val="single" w:sz="4" w:space="0" w:color="auto"/>
              <w:bottom w:val="single" w:sz="4" w:space="0" w:color="auto"/>
              <w:right w:val="single" w:sz="4" w:space="0" w:color="auto"/>
            </w:tcBorders>
          </w:tcPr>
          <w:p w14:paraId="162F088A" w14:textId="77777777" w:rsidR="00A70B78" w:rsidRPr="007C6A42" w:rsidRDefault="00A70B78" w:rsidP="00AF4FC9">
            <w:pPr>
              <w:tabs>
                <w:tab w:val="right" w:pos="993"/>
              </w:tabs>
              <w:spacing w:line="360" w:lineRule="auto"/>
              <w:jc w:val="both"/>
              <w:rPr>
                <w:rFonts w:asciiTheme="majorBidi" w:eastAsia="Calibri" w:hAnsiTheme="majorBidi" w:cstheme="majorBidi"/>
                <w:lang w:bidi="ar-AE"/>
              </w:rPr>
            </w:pPr>
            <w:r w:rsidRPr="007C6A42">
              <w:rPr>
                <w:rFonts w:asciiTheme="majorBidi" w:eastAsia="Times New Roman" w:hAnsiTheme="majorBidi" w:cstheme="majorBidi"/>
                <w:lang w:eastAsia="fr-CH"/>
              </w:rPr>
              <w:t>Celui qui présume que Dieu ne le secourra pas dans la [vie] ici-bas et la [vie] dernière, qu’il tende une corde jusqu’au ciel, puis qu’il la coupe*, et qu'il regarde si sa ruse fera disparaître ce qui l’enrage.</w:t>
            </w:r>
          </w:p>
        </w:tc>
      </w:tr>
      <w:tr w:rsidR="00A70B78" w:rsidRPr="007C6A42" w14:paraId="18CF2393"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08572223"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11C55A6E"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Chebel (2009)</w:t>
            </w:r>
          </w:p>
        </w:tc>
        <w:tc>
          <w:tcPr>
            <w:tcW w:w="8434" w:type="dxa"/>
            <w:tcBorders>
              <w:top w:val="single" w:sz="4" w:space="0" w:color="auto"/>
              <w:left w:val="single" w:sz="4" w:space="0" w:color="auto"/>
              <w:bottom w:val="single" w:sz="4" w:space="0" w:color="auto"/>
              <w:right w:val="single" w:sz="4" w:space="0" w:color="auto"/>
            </w:tcBorders>
          </w:tcPr>
          <w:p w14:paraId="5B2AEC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Celui qui a pensé qu’Allah ne le sauvera ni dans la vie immédiate ni dans l’au-delà peut toujours tendre une corde vers le ciel, puis la couper, il constatera par lui-même si sa ruse dissipe sa colère.</w:t>
            </w:r>
          </w:p>
        </w:tc>
      </w:tr>
      <w:tr w:rsidR="00A70B78" w:rsidRPr="007C6A42" w14:paraId="30DAE661"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D948715"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260F11D0"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Zeinab Abdelaziz (2002)</w:t>
            </w:r>
          </w:p>
        </w:tc>
        <w:tc>
          <w:tcPr>
            <w:tcW w:w="8434" w:type="dxa"/>
            <w:tcBorders>
              <w:top w:val="single" w:sz="4" w:space="0" w:color="auto"/>
              <w:left w:val="single" w:sz="4" w:space="0" w:color="auto"/>
              <w:bottom w:val="single" w:sz="4" w:space="0" w:color="auto"/>
              <w:right w:val="single" w:sz="4" w:space="0" w:color="auto"/>
            </w:tcBorders>
          </w:tcPr>
          <w:p w14:paraId="2B2B229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Quiconque croyait qu’Allah ne lui Donnerait pas victoire (au Prophète), dans le monde et dans la vie Future, qu’il tende alors une corde vers le toit, ensuite qu’il se pende : qu’il regarde si sa ruse a dissipé ce qui l’enrage !</w:t>
            </w:r>
          </w:p>
        </w:tc>
      </w:tr>
      <w:tr w:rsidR="00A70B78" w:rsidRPr="007C6A42" w14:paraId="4A161D1A" w14:textId="77777777" w:rsidTr="00AF4FC9">
        <w:tc>
          <w:tcPr>
            <w:tcW w:w="0" w:type="auto"/>
            <w:vMerge/>
            <w:tcBorders>
              <w:top w:val="single" w:sz="4" w:space="0" w:color="auto"/>
              <w:left w:val="single" w:sz="4" w:space="0" w:color="auto"/>
              <w:bottom w:val="single" w:sz="4" w:space="0" w:color="auto"/>
              <w:right w:val="single" w:sz="4" w:space="0" w:color="auto"/>
            </w:tcBorders>
            <w:vAlign w:val="center"/>
          </w:tcPr>
          <w:p w14:paraId="58C4E3D0" w14:textId="77777777" w:rsidR="00A70B78" w:rsidRPr="007C6A42" w:rsidRDefault="00A70B78" w:rsidP="00AF4FC9">
            <w:pPr>
              <w:spacing w:line="360" w:lineRule="auto"/>
              <w:rPr>
                <w:rFonts w:asciiTheme="majorBidi" w:eastAsia="Times New Roman" w:hAnsiTheme="majorBidi" w:cstheme="majorBidi"/>
                <w:lang w:bidi="ar-KW"/>
              </w:rPr>
            </w:pPr>
          </w:p>
        </w:tc>
        <w:tc>
          <w:tcPr>
            <w:tcW w:w="1205" w:type="dxa"/>
            <w:tcBorders>
              <w:top w:val="single" w:sz="4" w:space="0" w:color="auto"/>
              <w:left w:val="single" w:sz="4" w:space="0" w:color="auto"/>
              <w:bottom w:val="single" w:sz="4" w:space="0" w:color="auto"/>
              <w:right w:val="single" w:sz="4" w:space="0" w:color="auto"/>
            </w:tcBorders>
          </w:tcPr>
          <w:p w14:paraId="146494D5" w14:textId="77777777" w:rsidR="00A70B78" w:rsidRPr="007C6A42" w:rsidRDefault="00A70B78" w:rsidP="00AF4FC9">
            <w:pPr>
              <w:tabs>
                <w:tab w:val="right" w:pos="993"/>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Hafiane </w:t>
            </w:r>
            <w:r w:rsidRPr="007C6A42">
              <w:rPr>
                <w:rFonts w:asciiTheme="majorBidi" w:eastAsia="Times New Roman" w:hAnsiTheme="majorBidi" w:cstheme="majorBidi"/>
              </w:rPr>
              <w:lastRenderedPageBreak/>
              <w:t>(2010)</w:t>
            </w:r>
          </w:p>
        </w:tc>
        <w:tc>
          <w:tcPr>
            <w:tcW w:w="8434" w:type="dxa"/>
            <w:tcBorders>
              <w:top w:val="single" w:sz="4" w:space="0" w:color="auto"/>
              <w:left w:val="single" w:sz="4" w:space="0" w:color="auto"/>
              <w:bottom w:val="single" w:sz="4" w:space="0" w:color="auto"/>
              <w:right w:val="single" w:sz="4" w:space="0" w:color="auto"/>
            </w:tcBorders>
          </w:tcPr>
          <w:p w14:paraId="71AE62E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Que celui qui pense que Dieu ne secourra pas Mohammed dans ce monde et dans </w:t>
            </w:r>
            <w:r w:rsidRPr="007C6A42">
              <w:rPr>
                <w:rFonts w:asciiTheme="majorBidi" w:eastAsia="Times New Roman" w:hAnsiTheme="majorBidi" w:cstheme="majorBidi"/>
              </w:rPr>
              <w:lastRenderedPageBreak/>
              <w:t xml:space="preserve">l’autre tende une corde vers le ciel, puis qu’il la coupe pour se pendre : il verra si sa ruse mettra fin à ce qui l’irrite. </w:t>
            </w:r>
          </w:p>
        </w:tc>
      </w:tr>
    </w:tbl>
    <w:p w14:paraId="4D6743CA"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0DA071F4"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Nous avons recensé dans le chapitre </w:t>
      </w:r>
      <w:r w:rsidRPr="00F53A23">
        <w:rPr>
          <w:rFonts w:asciiTheme="majorBidi" w:eastAsia="Times New Roman" w:hAnsiTheme="majorBidi" w:cstheme="majorBidi"/>
        </w:rPr>
        <w:t>de la polysémie des énoncés du texte-source huit interprétations du verset 15 qu’on peut classer en trois types : 1) exégèse politique soulignant le</w:t>
      </w:r>
      <w:r w:rsidRPr="007C6A42">
        <w:rPr>
          <w:rFonts w:asciiTheme="majorBidi" w:eastAsia="Times New Roman" w:hAnsiTheme="majorBidi" w:cstheme="majorBidi"/>
        </w:rPr>
        <w:t xml:space="preserve"> conflit entre Muḥammad et ses adversaires et la victoire du prophète, 2) exégèse psychologique, 3) et exégèse ambiguë (entre les deux). Nous remarquons que toutes les traductions ont adopté explicitement ou implicitement une exégèse soulignant le conflit, à l’exception de celle de Noureddine Ben Mahmoud (1962)</w:t>
      </w:r>
      <w:r w:rsidRPr="007C6A42">
        <w:rPr>
          <w:rFonts w:asciiTheme="majorBidi" w:eastAsia="Times New Roman" w:hAnsiTheme="majorBidi" w:cstheme="majorBidi"/>
          <w:lang w:bidi="ar-AE"/>
        </w:rPr>
        <w:t xml:space="preserve"> qui a choisi un sens psychologique un peu proche de l’exégèse d’Al-Qummī et de l’exégèse mystique naqshbandite d’Amīn Shaykhū et de </w:t>
      </w:r>
      <w:r w:rsidRPr="007C6A42">
        <w:rPr>
          <w:rFonts w:asciiTheme="majorBidi" w:hAnsiTheme="majorBidi" w:cstheme="majorBidi"/>
        </w:rPr>
        <w:t>ʿ</w:t>
      </w:r>
      <w:r w:rsidRPr="007C6A42">
        <w:rPr>
          <w:rFonts w:asciiTheme="majorBidi" w:eastAsia="Times New Roman" w:hAnsiTheme="majorBidi" w:cstheme="majorBidi"/>
          <w:lang w:bidi="ar-AE"/>
        </w:rPr>
        <w:t xml:space="preserve">Abd al-Hādī </w:t>
      </w:r>
      <w:r w:rsidRPr="007C6A42">
        <w:rPr>
          <w:rFonts w:asciiTheme="majorBidi" w:eastAsia="Calibri" w:hAnsiTheme="majorBidi" w:cstheme="majorBidi"/>
        </w:rPr>
        <w:t>Al-Bānī</w:t>
      </w:r>
      <w:r w:rsidRPr="007C6A42">
        <w:rPr>
          <w:rFonts w:asciiTheme="majorBidi" w:eastAsia="Times New Roman" w:hAnsiTheme="majorBidi" w:cstheme="majorBidi"/>
        </w:rPr>
        <w:t>. Les traductions qui montrent le plus clairement le sens de la victoire du prophète et de l’étranglement de ses ennemis sont celles de Du Ryer (1647), de Savary (1782) et de Zeinab Abdelaziz (2002).</w:t>
      </w:r>
    </w:p>
    <w:p w14:paraId="5F4061C0"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43F2E0DC"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En général, les traductions de la métaphore du verset ne sont pas très claires ; et cette ambiguïté est due à l’ambiguïté du verset arabe lui-même. Il est à noter que Blachère attire l’attention sur le manque de pertinence entre ce verset (plutôt son interprétation répandue) et le contexte de la sourate, en soulignant : « Ce verset est sans lien avec ce qui précède et paraît introduire un développement formé d’éléments hétérogènes ». Cependant, l’interprétation </w:t>
      </w:r>
      <w:r w:rsidRPr="007C6A42">
        <w:rPr>
          <w:rFonts w:asciiTheme="majorBidi" w:eastAsia="Times New Roman" w:hAnsiTheme="majorBidi" w:cstheme="majorBidi"/>
          <w:lang w:bidi="ar-AE"/>
        </w:rPr>
        <w:t>d’Al-Qummī et de Shaykhū</w:t>
      </w:r>
      <w:r w:rsidRPr="007C6A42">
        <w:rPr>
          <w:rFonts w:asciiTheme="majorBidi" w:eastAsia="Times New Roman" w:hAnsiTheme="majorBidi" w:cstheme="majorBidi"/>
        </w:rPr>
        <w:t xml:space="preserve"> a essayé de rétablir la pertinence et l’harmonie à ce verset avec son contexte. Cette incohérence a poussé Kazimirski à expliquer dans une NDT : « Voici quel peut être le sens de ce passage : Dieu secourra le prophète, quels que soient les artifices de ses ennemis. Mahomet leur dit en les narguant : Il ne vous reste qu’à vous pendre de désespoir et de dépit. Les mots : </w:t>
      </w:r>
      <w:r w:rsidRPr="007C6A42">
        <w:rPr>
          <w:rFonts w:asciiTheme="majorBidi" w:eastAsia="Times New Roman" w:hAnsiTheme="majorBidi" w:cstheme="majorBidi"/>
          <w:i/>
          <w:iCs/>
        </w:rPr>
        <w:t>vers le ciel</w:t>
      </w:r>
      <w:r w:rsidRPr="007C6A42">
        <w:rPr>
          <w:rFonts w:asciiTheme="majorBidi" w:eastAsia="Times New Roman" w:hAnsiTheme="majorBidi" w:cstheme="majorBidi"/>
        </w:rPr>
        <w:t>, veulent dire seulement : </w:t>
      </w:r>
      <w:r w:rsidRPr="007C6A42">
        <w:rPr>
          <w:rFonts w:asciiTheme="majorBidi" w:eastAsia="Times New Roman" w:hAnsiTheme="majorBidi" w:cstheme="majorBidi"/>
          <w:i/>
          <w:iCs/>
        </w:rPr>
        <w:t>en haut</w:t>
      </w:r>
      <w:r w:rsidRPr="007C6A42">
        <w:rPr>
          <w:rFonts w:asciiTheme="majorBidi" w:eastAsia="Times New Roman" w:hAnsiTheme="majorBidi" w:cstheme="majorBidi"/>
        </w:rPr>
        <w:t>, </w:t>
      </w:r>
      <w:r w:rsidRPr="007C6A42">
        <w:rPr>
          <w:rFonts w:asciiTheme="majorBidi" w:eastAsia="Times New Roman" w:hAnsiTheme="majorBidi" w:cstheme="majorBidi"/>
          <w:i/>
          <w:iCs/>
        </w:rPr>
        <w:t>en haut du plancher de sa maison</w:t>
      </w:r>
      <w:r w:rsidRPr="007C6A42">
        <w:rPr>
          <w:rFonts w:asciiTheme="majorBidi" w:eastAsia="Times New Roman" w:hAnsiTheme="majorBidi" w:cstheme="majorBidi"/>
        </w:rPr>
        <w:t>. » Et Hamidullah de préciser également dans une NDT : « </w:t>
      </w:r>
      <w:r w:rsidRPr="007C6A42">
        <w:rPr>
          <w:rFonts w:asciiTheme="majorBidi" w:eastAsia="Times New Roman" w:hAnsiTheme="majorBidi" w:cstheme="majorBidi"/>
          <w:i/>
        </w:rPr>
        <w:t>au secours de celui-ci</w:t>
      </w:r>
      <w:r w:rsidRPr="007C6A42">
        <w:rPr>
          <w:rFonts w:asciiTheme="majorBidi" w:eastAsia="Times New Roman" w:hAnsiTheme="majorBidi" w:cstheme="majorBidi"/>
        </w:rPr>
        <w:t> (de Muhammad) : les mécréants peuvent bien se pendre de colère : l’Islam n’en continuera pas moins sans que soit retranché un mot de ce qui les irrite. »</w:t>
      </w:r>
    </w:p>
    <w:p w14:paraId="57A93728" w14:textId="77777777" w:rsidR="00A70B78" w:rsidRPr="007C6A42" w:rsidRDefault="00A70B78" w:rsidP="00A70B78">
      <w:pPr>
        <w:spacing w:line="360" w:lineRule="auto"/>
        <w:ind w:firstLine="708"/>
        <w:contextualSpacing/>
        <w:jc w:val="both"/>
        <w:rPr>
          <w:rFonts w:asciiTheme="majorBidi" w:eastAsia="Calibri" w:hAnsiTheme="majorBidi" w:cstheme="majorBidi"/>
          <w:lang w:bidi="ar-AE"/>
        </w:rPr>
      </w:pPr>
      <w:r w:rsidRPr="007C6A42">
        <w:rPr>
          <w:rFonts w:asciiTheme="majorBidi" w:eastAsia="Times New Roman" w:hAnsiTheme="majorBidi" w:cstheme="majorBidi"/>
        </w:rPr>
        <w:t xml:space="preserve">L’ambiguïté du verset oblige Aldeeb à donner une traduction plus ou moins littérale du verbe </w:t>
      </w:r>
      <w:r w:rsidRPr="007C6A42">
        <w:rPr>
          <w:rFonts w:asciiTheme="majorBidi" w:eastAsia="Times New Roman" w:hAnsiTheme="majorBidi" w:cstheme="majorBidi"/>
          <w:i/>
          <w:iCs/>
        </w:rPr>
        <w:t>yaqṭaʿ </w:t>
      </w:r>
      <w:r w:rsidRPr="007C6A42">
        <w:rPr>
          <w:rFonts w:asciiTheme="majorBidi" w:eastAsia="Times New Roman" w:hAnsiTheme="majorBidi" w:cstheme="majorBidi"/>
        </w:rPr>
        <w:t>(« qu’il la coupe</w:t>
      </w:r>
      <w:r w:rsidRPr="007C6A42">
        <w:rPr>
          <w:rFonts w:asciiTheme="majorBidi" w:eastAsia="Calibri" w:hAnsiTheme="majorBidi" w:cstheme="majorBidi"/>
          <w:lang w:bidi="ar-AE"/>
        </w:rPr>
        <w:t>*</w:t>
      </w:r>
      <w:r w:rsidRPr="007C6A42">
        <w:rPr>
          <w:rFonts w:asciiTheme="majorBidi" w:eastAsia="Times New Roman" w:hAnsiTheme="majorBidi" w:cstheme="majorBidi"/>
        </w:rPr>
        <w:t> ») et à ajouter dans une NDT explicative la traduction éclaircissante de Zeinab Abdelaziz : « </w:t>
      </w:r>
      <w:r w:rsidRPr="007C6A42">
        <w:rPr>
          <w:rFonts w:asciiTheme="majorBidi" w:eastAsia="Calibri" w:hAnsiTheme="majorBidi" w:cstheme="majorBidi"/>
          <w:lang w:bidi="ar-AE"/>
        </w:rPr>
        <w:t>*</w:t>
      </w:r>
      <w:r w:rsidRPr="007C6A42">
        <w:rPr>
          <w:rFonts w:asciiTheme="majorBidi" w:eastAsia="Times New Roman" w:hAnsiTheme="majorBidi" w:cstheme="majorBidi"/>
        </w:rPr>
        <w:t>qu’il se pende (Abdelaziz).</w:t>
      </w:r>
      <w:r w:rsidRPr="007C6A42">
        <w:rPr>
          <w:rFonts w:asciiTheme="majorBidi" w:eastAsia="Calibri" w:hAnsiTheme="majorBidi" w:cstheme="majorBidi"/>
          <w:lang w:bidi="ar-AE"/>
        </w:rPr>
        <w:t> ».</w:t>
      </w:r>
    </w:p>
    <w:p w14:paraId="11B5CE34"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06B45E1C"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rPr>
        <w:lastRenderedPageBreak/>
        <w:t>À propos du registre de langue, Guessous qui cherche à imiter le style coranique va plus loin en découpant le verset en sous-versets et en ajoutant des assonances à l’intérieur du même verset. Ce qui l’amène à modifier le sens et à ajouter des concepts comme « l’Éternité » qui n’existe pas dans le verset d’origine.</w:t>
      </w:r>
    </w:p>
    <w:p w14:paraId="508B1B02"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0397F678"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Les traductions françaises du verset 15 reflètent ne rendent pratiquement qu’un seul sens parmi ceux évoqués par les exégètes, celui développé par les premiers grands exégètes comme Aṭ-Ṭabarī. En réduisant la polysémie du verset, les traductions fermeraient le texte.</w:t>
      </w:r>
    </w:p>
    <w:p w14:paraId="77D70BCB"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0FEC5F6A" w14:textId="231E6584" w:rsidR="00A70B78" w:rsidRPr="007C6A42" w:rsidRDefault="004B1274" w:rsidP="00A70B78">
      <w:pPr>
        <w:spacing w:line="360" w:lineRule="auto"/>
        <w:jc w:val="both"/>
        <w:outlineLvl w:val="0"/>
        <w:rPr>
          <w:rFonts w:asciiTheme="majorBidi" w:eastAsia="Times New Roman" w:hAnsiTheme="majorBidi" w:cstheme="majorBidi"/>
          <w:shd w:val="clear" w:color="auto" w:fill="FFFFFF"/>
          <w:lang w:bidi="ar-KW"/>
        </w:rPr>
      </w:pPr>
      <w:r>
        <w:rPr>
          <w:rFonts w:asciiTheme="majorBidi" w:eastAsia="Times New Roman" w:hAnsiTheme="majorBidi" w:cstheme="majorBidi"/>
          <w:b/>
          <w:bCs/>
          <w:shd w:val="clear" w:color="auto" w:fill="FFFFFF"/>
          <w:lang w:bidi="ar-KW"/>
        </w:rPr>
        <w:t xml:space="preserve">10.3. </w:t>
      </w:r>
      <w:r w:rsidR="00A70B78" w:rsidRPr="007C6A42">
        <w:rPr>
          <w:rFonts w:asciiTheme="majorBidi" w:eastAsia="Times New Roman" w:hAnsiTheme="majorBidi" w:cstheme="majorBidi"/>
          <w:b/>
          <w:bCs/>
          <w:shd w:val="clear" w:color="auto" w:fill="FFFFFF"/>
          <w:lang w:bidi="ar-KW"/>
        </w:rPr>
        <w:t xml:space="preserve">La traduction du concept de prédestination dans le verbe </w:t>
      </w:r>
      <w:r w:rsidR="00A70B78" w:rsidRPr="007C6A42">
        <w:rPr>
          <w:rFonts w:asciiTheme="majorBidi" w:eastAsia="Times New Roman" w:hAnsiTheme="majorBidi" w:cstheme="majorBidi"/>
          <w:b/>
          <w:bCs/>
          <w:i/>
          <w:iCs/>
          <w:shd w:val="clear" w:color="auto" w:fill="FFFFFF"/>
          <w:lang w:bidi="ar-KW"/>
        </w:rPr>
        <w:t>kutiba</w:t>
      </w:r>
      <w:r w:rsidR="00A70B78" w:rsidRPr="007C6A42">
        <w:rPr>
          <w:rFonts w:asciiTheme="majorBidi" w:eastAsia="Times New Roman" w:hAnsiTheme="majorBidi" w:cstheme="majorBidi"/>
          <w:b/>
          <w:bCs/>
          <w:shd w:val="clear" w:color="auto" w:fill="FFFFFF"/>
          <w:lang w:bidi="ar-KW"/>
        </w:rPr>
        <w:t xml:space="preserve"> (v. 4) :</w:t>
      </w:r>
    </w:p>
    <w:p w14:paraId="7A1511F0" w14:textId="77777777" w:rsidR="00A70B78" w:rsidRPr="007C6A42" w:rsidRDefault="00A70B78" w:rsidP="00A70B78">
      <w:pPr>
        <w:spacing w:line="360" w:lineRule="auto"/>
        <w:ind w:firstLine="720"/>
        <w:jc w:val="both"/>
        <w:outlineLvl w:val="0"/>
        <w:rPr>
          <w:rFonts w:asciiTheme="majorBidi" w:eastAsia="Times New Roman" w:hAnsiTheme="majorBidi" w:cstheme="majorBidi"/>
          <w:shd w:val="clear" w:color="auto" w:fill="FFFFFF"/>
          <w:lang w:bidi="ar-KW"/>
        </w:rPr>
      </w:pPr>
      <w:r w:rsidRPr="007C6A42">
        <w:rPr>
          <w:rFonts w:asciiTheme="majorBidi" w:eastAsia="Calibri" w:hAnsiTheme="majorBidi" w:cstheme="majorBidi"/>
          <w:lang w:bidi="ar-AE"/>
        </w:rPr>
        <w:t xml:space="preserve">Les exégètes parlent ici </w:t>
      </w:r>
      <w:r w:rsidRPr="007C6A42">
        <w:rPr>
          <w:rFonts w:asciiTheme="majorBidi" w:eastAsia="Times New Roman" w:hAnsiTheme="majorBidi" w:cstheme="majorBidi"/>
          <w:lang w:bidi="ar-AE"/>
        </w:rPr>
        <w:t>d’une prédestination (</w:t>
      </w:r>
      <w:r w:rsidRPr="007C6A42">
        <w:rPr>
          <w:rFonts w:asciiTheme="majorBidi" w:eastAsia="Times New Roman" w:hAnsiTheme="majorBidi" w:cstheme="majorBidi"/>
          <w:i/>
          <w:iCs/>
          <w:lang w:bidi="ar-AE"/>
        </w:rPr>
        <w:t>qa</w:t>
      </w:r>
      <w:r w:rsidRPr="007C6A42">
        <w:rPr>
          <w:rFonts w:asciiTheme="majorBidi" w:hAnsiTheme="majorBidi" w:cstheme="majorBidi"/>
          <w:i/>
          <w:iCs/>
        </w:rPr>
        <w:t>ḍāʾ wa qadar</w:t>
      </w:r>
      <w:r w:rsidRPr="007C6A42">
        <w:rPr>
          <w:rFonts w:asciiTheme="majorBidi" w:hAnsiTheme="majorBidi" w:cstheme="majorBidi"/>
        </w:rPr>
        <w:t>). Seul Shaykhū parle d’une loi divine.</w:t>
      </w:r>
      <w:r w:rsidRPr="007C6A42">
        <w:rPr>
          <w:rFonts w:asciiTheme="majorBidi" w:eastAsia="Calibri" w:hAnsiTheme="majorBidi" w:cstheme="majorBidi"/>
          <w:lang w:bidi="ar-AE"/>
        </w:rPr>
        <w:t xml:space="preserve"> Le verbe au passif et à l’accompli </w:t>
      </w:r>
      <w:r w:rsidRPr="007C6A42">
        <w:rPr>
          <w:rFonts w:asciiTheme="majorBidi" w:eastAsia="Calibri" w:hAnsiTheme="majorBidi" w:cstheme="majorBidi"/>
          <w:i/>
          <w:iCs/>
          <w:lang w:bidi="ar-AE"/>
        </w:rPr>
        <w:t>kutiba</w:t>
      </w:r>
      <w:r w:rsidRPr="007C6A42">
        <w:rPr>
          <w:rFonts w:asciiTheme="majorBidi" w:eastAsia="Calibri" w:hAnsiTheme="majorBidi" w:cstheme="majorBidi"/>
          <w:lang w:bidi="ar-AE"/>
        </w:rPr>
        <w:t xml:space="preserve"> est traduit ainsi : « il est écrit » (Du Ryer, Chouraqui, Savary, Berque, Masson, Hafiane, Grosjean, Chebel) ; « il est constant » (Ben Mahmoud) ; « prédestiné à » (Chiadmi) ; « il a été écrit » (Ghédira, Blachère) ; « il a été décidé » (Kazimirski) ; « il a été décrété » (Guessous) ; « il a été prescrit » (Hamidullah &amp; Médine), « il lui a été prescrit » (Abdelaziz) ; « on lui a prescrit » (Aldeeb).</w:t>
      </w:r>
    </w:p>
    <w:p w14:paraId="155E1961"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C’est la traduction littérale qui est le plus utilisée (au présent « il est écrit » ou au passé « il a été écrit »). </w:t>
      </w:r>
      <w:r w:rsidRPr="007C6A42">
        <w:rPr>
          <w:rFonts w:asciiTheme="majorBidi" w:eastAsia="Calibri" w:hAnsiTheme="majorBidi" w:cstheme="majorBidi"/>
          <w:lang w:bidi="ar-AE"/>
        </w:rPr>
        <w:t>La traduction avec les verbes génériques « prescrire », « décider » et « décréter » semble ne pas correspondre au verbe arabe à connotation religieuse. Dans le champ sémantique de « prescrire », il y a les concepts d’</w:t>
      </w:r>
      <w:r w:rsidRPr="007C6A42">
        <w:rPr>
          <w:rFonts w:asciiTheme="majorBidi" w:eastAsia="Calibri" w:hAnsiTheme="majorBidi" w:cstheme="majorBidi"/>
          <w:i/>
          <w:iCs/>
          <w:lang w:bidi="ar-AE"/>
        </w:rPr>
        <w:t>ordonner</w:t>
      </w:r>
      <w:r w:rsidRPr="007C6A42">
        <w:rPr>
          <w:rFonts w:asciiTheme="majorBidi" w:eastAsia="Calibri" w:hAnsiTheme="majorBidi" w:cstheme="majorBidi"/>
          <w:lang w:bidi="ar-AE"/>
        </w:rPr>
        <w:t>, d’</w:t>
      </w:r>
      <w:r w:rsidRPr="007C6A42">
        <w:rPr>
          <w:rFonts w:asciiTheme="majorBidi" w:eastAsia="Calibri" w:hAnsiTheme="majorBidi" w:cstheme="majorBidi"/>
          <w:i/>
          <w:iCs/>
          <w:lang w:bidi="ar-AE"/>
        </w:rPr>
        <w:t>imposer</w:t>
      </w:r>
      <w:r w:rsidRPr="007C6A42">
        <w:rPr>
          <w:rFonts w:asciiTheme="majorBidi" w:eastAsia="Calibri" w:hAnsiTheme="majorBidi" w:cstheme="majorBidi"/>
          <w:lang w:bidi="ar-AE"/>
        </w:rPr>
        <w:t>, de</w:t>
      </w:r>
      <w:r w:rsidRPr="007C6A42">
        <w:rPr>
          <w:rFonts w:asciiTheme="majorBidi" w:eastAsia="Calibri" w:hAnsiTheme="majorBidi" w:cstheme="majorBidi"/>
          <w:rtl/>
          <w:lang w:bidi="ar-AE"/>
        </w:rPr>
        <w:t xml:space="preserve"> </w:t>
      </w:r>
      <w:r w:rsidRPr="007C6A42">
        <w:rPr>
          <w:rFonts w:asciiTheme="majorBidi" w:eastAsia="Calibri" w:hAnsiTheme="majorBidi" w:cstheme="majorBidi"/>
          <w:i/>
          <w:iCs/>
          <w:lang w:bidi="ar-AE"/>
        </w:rPr>
        <w:t>commander par des ordres précis</w:t>
      </w:r>
      <w:r w:rsidRPr="007C6A42">
        <w:rPr>
          <w:rFonts w:asciiTheme="majorBidi" w:eastAsia="Calibri" w:hAnsiTheme="majorBidi" w:cstheme="majorBidi"/>
          <w:lang w:bidi="ar-AE"/>
        </w:rPr>
        <w:t>. Le verbe arabe « </w:t>
      </w:r>
      <w:r w:rsidRPr="007C6A42">
        <w:rPr>
          <w:rFonts w:asciiTheme="majorBidi" w:eastAsia="Calibri" w:hAnsiTheme="majorBidi" w:cstheme="majorBidi"/>
          <w:i/>
          <w:iCs/>
          <w:lang w:bidi="ar-AE"/>
        </w:rPr>
        <w:t>kutiba</w:t>
      </w:r>
      <w:r w:rsidRPr="007C6A42">
        <w:rPr>
          <w:rFonts w:asciiTheme="majorBidi" w:eastAsia="Calibri" w:hAnsiTheme="majorBidi" w:cstheme="majorBidi"/>
          <w:lang w:bidi="ar-AE"/>
        </w:rPr>
        <w:t xml:space="preserve"> » peut être mieux rendu par le verbe « prédestiner » (choix de Chiadmi) qui exprime l’idée théologique de vouer d’avance, depuis l’éternité, et de manière inéluctable, au salut ou à la damnation. </w:t>
      </w:r>
      <w:r w:rsidRPr="007C6A42">
        <w:rPr>
          <w:rFonts w:asciiTheme="majorBidi" w:eastAsia="Times New Roman" w:hAnsiTheme="majorBidi" w:cstheme="majorBidi"/>
          <w:shd w:val="clear" w:color="auto" w:fill="FFFFFF"/>
          <w:lang w:bidi="ar-KW"/>
        </w:rPr>
        <w:t>La traduction de Ben Mahmoud (</w:t>
      </w:r>
      <w:r w:rsidRPr="007C6A42">
        <w:rPr>
          <w:rFonts w:asciiTheme="majorBidi" w:eastAsia="Calibri" w:hAnsiTheme="majorBidi" w:cstheme="majorBidi"/>
          <w:lang w:bidi="ar-AE"/>
        </w:rPr>
        <w:t xml:space="preserve">« il est constant que… ») ajoute le sens de la certitude, de l’affirmation et omet le sens de la prédestination. </w:t>
      </w:r>
      <w:r w:rsidRPr="007C6A42">
        <w:rPr>
          <w:rFonts w:asciiTheme="majorBidi" w:eastAsia="Times New Roman" w:hAnsiTheme="majorBidi" w:cstheme="majorBidi"/>
        </w:rPr>
        <w:t>Ainsi, la plupart des traductions ont perdu la dimension théologique et déterministe ou fataliste.</w:t>
      </w:r>
    </w:p>
    <w:p w14:paraId="56005503"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65CA2576" w14:textId="60294B39" w:rsidR="00A70B78" w:rsidRPr="007C6A42" w:rsidRDefault="004B1274" w:rsidP="00A70B78">
      <w:pPr>
        <w:spacing w:line="360" w:lineRule="auto"/>
        <w:contextualSpacing/>
        <w:jc w:val="both"/>
        <w:rPr>
          <w:rFonts w:asciiTheme="majorBidi" w:eastAsia="Times New Roman" w:hAnsiTheme="majorBidi" w:cstheme="majorBidi"/>
          <w:b/>
          <w:bCs/>
        </w:rPr>
      </w:pPr>
      <w:r>
        <w:rPr>
          <w:rFonts w:asciiTheme="majorBidi" w:eastAsia="Times New Roman" w:hAnsiTheme="majorBidi" w:cstheme="majorBidi"/>
          <w:b/>
          <w:bCs/>
        </w:rPr>
        <w:t xml:space="preserve">10.4. </w:t>
      </w:r>
      <w:r w:rsidR="00A70B78" w:rsidRPr="007C6A42">
        <w:rPr>
          <w:rFonts w:asciiTheme="majorBidi" w:eastAsia="Times New Roman" w:hAnsiTheme="majorBidi" w:cstheme="majorBidi"/>
          <w:b/>
          <w:bCs/>
        </w:rPr>
        <w:t xml:space="preserve">La forme du verbe </w:t>
      </w:r>
      <w:r w:rsidR="00A70B78" w:rsidRPr="007C6A42">
        <w:rPr>
          <w:rFonts w:asciiTheme="majorBidi" w:eastAsia="Times New Roman" w:hAnsiTheme="majorBidi" w:cstheme="majorBidi"/>
          <w:b/>
          <w:bCs/>
          <w:i/>
          <w:iCs/>
        </w:rPr>
        <w:t>yuqātalūna</w:t>
      </w:r>
      <w:r w:rsidR="00A70B78" w:rsidRPr="007C6A42">
        <w:rPr>
          <w:rFonts w:asciiTheme="majorBidi" w:eastAsia="Times New Roman" w:hAnsiTheme="majorBidi" w:cstheme="majorBidi"/>
          <w:b/>
          <w:bCs/>
        </w:rPr>
        <w:t xml:space="preserve"> (passif) ou </w:t>
      </w:r>
      <w:r w:rsidR="00A70B78" w:rsidRPr="007C6A42">
        <w:rPr>
          <w:rFonts w:asciiTheme="majorBidi" w:eastAsia="Times New Roman" w:hAnsiTheme="majorBidi" w:cstheme="majorBidi"/>
          <w:b/>
          <w:bCs/>
          <w:i/>
          <w:iCs/>
        </w:rPr>
        <w:t>yuqātilūna</w:t>
      </w:r>
      <w:r w:rsidR="00A70B78" w:rsidRPr="007C6A42">
        <w:rPr>
          <w:rFonts w:asciiTheme="majorBidi" w:eastAsia="Times New Roman" w:hAnsiTheme="majorBidi" w:cstheme="majorBidi"/>
          <w:b/>
          <w:bCs/>
        </w:rPr>
        <w:t xml:space="preserve"> (actif) ? (v. 39) :</w:t>
      </w:r>
    </w:p>
    <w:p w14:paraId="170C03C0" w14:textId="77777777" w:rsidR="00A70B78" w:rsidRPr="007C6A42" w:rsidRDefault="00A70B78" w:rsidP="00A70B78">
      <w:pPr>
        <w:spacing w:line="360" w:lineRule="auto"/>
        <w:ind w:firstLine="720"/>
        <w:jc w:val="both"/>
        <w:outlineLvl w:val="0"/>
        <w:rPr>
          <w:rFonts w:asciiTheme="majorBidi" w:eastAsia="Times New Roman" w:hAnsiTheme="majorBidi" w:cstheme="majorBidi"/>
        </w:rPr>
      </w:pPr>
      <w:r w:rsidRPr="007C6A42">
        <w:rPr>
          <w:rFonts w:asciiTheme="majorBidi" w:eastAsia="Times New Roman" w:hAnsiTheme="majorBidi" w:cstheme="majorBidi"/>
        </w:rPr>
        <w:t>Dans le verset 39 « </w:t>
      </w:r>
      <w:r w:rsidRPr="007C6A42">
        <w:rPr>
          <w:rFonts w:asciiTheme="majorBidi" w:eastAsia="Times New Roman" w:hAnsiTheme="majorBidi" w:cstheme="majorBidi"/>
          <w:i/>
          <w:iCs/>
        </w:rPr>
        <w:t xml:space="preserve">Udhina li-lladhīna </w:t>
      </w:r>
      <w:r w:rsidRPr="007C6A42">
        <w:rPr>
          <w:rFonts w:asciiTheme="majorBidi" w:eastAsia="Times New Roman" w:hAnsiTheme="majorBidi" w:cstheme="majorBidi"/>
        </w:rPr>
        <w:t>yuqātalūna</w:t>
      </w:r>
      <w:r w:rsidRPr="007C6A42">
        <w:rPr>
          <w:rFonts w:asciiTheme="majorBidi" w:eastAsia="Times New Roman" w:hAnsiTheme="majorBidi" w:cstheme="majorBidi"/>
          <w:i/>
          <w:iCs/>
        </w:rPr>
        <w:t xml:space="preserve"> </w:t>
      </w:r>
      <w:r w:rsidRPr="007C6A42">
        <w:rPr>
          <w:rFonts w:asciiTheme="majorBidi" w:hAnsiTheme="majorBidi" w:cstheme="majorBidi"/>
        </w:rPr>
        <w:t xml:space="preserve">[passif] (ou </w:t>
      </w:r>
      <w:r w:rsidRPr="007C6A42">
        <w:rPr>
          <w:rFonts w:asciiTheme="majorBidi" w:eastAsia="Times New Roman" w:hAnsiTheme="majorBidi" w:cstheme="majorBidi"/>
        </w:rPr>
        <w:t>yuqātilūna</w:t>
      </w:r>
      <w:r w:rsidRPr="007C6A42">
        <w:rPr>
          <w:rFonts w:asciiTheme="majorBidi" w:eastAsia="Times New Roman" w:hAnsiTheme="majorBidi" w:cstheme="majorBidi"/>
          <w:i/>
          <w:iCs/>
        </w:rPr>
        <w:t xml:space="preserve"> </w:t>
      </w:r>
      <w:r w:rsidRPr="007C6A42">
        <w:rPr>
          <w:rFonts w:asciiTheme="majorBidi" w:hAnsiTheme="majorBidi" w:cstheme="majorBidi"/>
        </w:rPr>
        <w:t>[actif]) » (</w:t>
      </w:r>
      <w:r w:rsidRPr="007C6A42">
        <w:rPr>
          <w:rFonts w:asciiTheme="majorBidi" w:eastAsia="Calibri" w:hAnsiTheme="majorBidi" w:cstheme="majorBidi"/>
          <w:lang w:bidi="ar-AE"/>
        </w:rPr>
        <w:t xml:space="preserve">« Permission est donnée à ceux qui </w:t>
      </w:r>
      <w:r w:rsidRPr="007C6A42">
        <w:rPr>
          <w:rFonts w:asciiTheme="majorBidi" w:eastAsia="Calibri" w:hAnsiTheme="majorBidi" w:cstheme="majorBidi"/>
          <w:i/>
          <w:iCs/>
          <w:lang w:bidi="ar-AE"/>
        </w:rPr>
        <w:t>sont combattus</w:t>
      </w:r>
      <w:r w:rsidRPr="007C6A42">
        <w:rPr>
          <w:rFonts w:asciiTheme="majorBidi" w:eastAsia="Calibri" w:hAnsiTheme="majorBidi" w:cstheme="majorBidi"/>
          <w:lang w:bidi="ar-AE"/>
        </w:rPr>
        <w:t xml:space="preserve"> (ou </w:t>
      </w:r>
      <w:r w:rsidRPr="007C6A42">
        <w:rPr>
          <w:rFonts w:asciiTheme="majorBidi" w:eastAsia="Calibri" w:hAnsiTheme="majorBidi" w:cstheme="majorBidi"/>
          <w:i/>
          <w:iCs/>
          <w:lang w:bidi="ar-AE"/>
        </w:rPr>
        <w:t>combattent</w:t>
      </w:r>
      <w:r w:rsidRPr="007C6A42">
        <w:rPr>
          <w:rFonts w:asciiTheme="majorBidi" w:eastAsia="Calibri" w:hAnsiTheme="majorBidi" w:cstheme="majorBidi"/>
          <w:lang w:bidi="ar-AE"/>
        </w:rPr>
        <w:t>)), il y a deux lectures :</w:t>
      </w:r>
    </w:p>
    <w:p w14:paraId="42F89519" w14:textId="77777777" w:rsidR="00A70B78" w:rsidRPr="007C6A42" w:rsidRDefault="00A70B78" w:rsidP="00876BB0">
      <w:pPr>
        <w:pStyle w:val="Paragraphedeliste"/>
        <w:numPr>
          <w:ilvl w:val="0"/>
          <w:numId w:val="105"/>
        </w:numPr>
        <w:bidi w:val="0"/>
        <w:spacing w:after="0" w:line="360" w:lineRule="auto"/>
        <w:ind w:left="0"/>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rPr>
        <w:t xml:space="preserve">La lecture répandue : </w:t>
      </w:r>
      <w:r w:rsidRPr="007C6A42">
        <w:rPr>
          <w:rFonts w:asciiTheme="majorBidi" w:hAnsiTheme="majorBidi" w:cstheme="majorBidi"/>
          <w:i/>
          <w:iCs/>
          <w:sz w:val="24"/>
          <w:szCs w:val="24"/>
        </w:rPr>
        <w:t xml:space="preserve">yuqātalūna </w:t>
      </w:r>
      <w:r w:rsidRPr="007C6A42">
        <w:rPr>
          <w:rFonts w:asciiTheme="majorBidi" w:hAnsiTheme="majorBidi" w:cstheme="majorBidi"/>
          <w:sz w:val="24"/>
          <w:szCs w:val="24"/>
        </w:rPr>
        <w:t>[passif] (</w:t>
      </w:r>
      <w:r w:rsidRPr="007C6A42">
        <w:rPr>
          <w:rFonts w:asciiTheme="majorBidi" w:eastAsia="Calibri" w:hAnsiTheme="majorBidi" w:cstheme="majorBidi"/>
          <w:i/>
          <w:iCs/>
          <w:sz w:val="24"/>
          <w:szCs w:val="24"/>
          <w:lang w:bidi="ar-AE"/>
        </w:rPr>
        <w:t>sont combattus</w:t>
      </w:r>
      <w:r w:rsidRPr="007C6A42">
        <w:rPr>
          <w:rFonts w:asciiTheme="majorBidi" w:hAnsiTheme="majorBidi" w:cstheme="majorBidi"/>
          <w:sz w:val="24"/>
          <w:szCs w:val="24"/>
        </w:rPr>
        <w:t>) : elle marque le commencement de la guerre défensive (autodéfense) ;</w:t>
      </w:r>
    </w:p>
    <w:p w14:paraId="557CAA56" w14:textId="77777777" w:rsidR="00A70B78" w:rsidRPr="007C6A42" w:rsidRDefault="00A70B78" w:rsidP="00876BB0">
      <w:pPr>
        <w:pStyle w:val="Paragraphedeliste"/>
        <w:numPr>
          <w:ilvl w:val="0"/>
          <w:numId w:val="105"/>
        </w:numPr>
        <w:bidi w:val="0"/>
        <w:spacing w:after="0" w:line="360" w:lineRule="auto"/>
        <w:ind w:left="0"/>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rPr>
        <w:lastRenderedPageBreak/>
        <w:t>La lecture moins répandue :</w:t>
      </w:r>
      <w:r w:rsidRPr="007C6A42">
        <w:rPr>
          <w:rFonts w:asciiTheme="majorBidi" w:eastAsia="Calibri" w:hAnsiTheme="majorBidi" w:cstheme="majorBidi"/>
          <w:sz w:val="24"/>
          <w:szCs w:val="24"/>
          <w:lang w:bidi="ar-AE"/>
        </w:rPr>
        <w:t xml:space="preserve"> </w:t>
      </w:r>
      <w:r w:rsidRPr="007C6A42">
        <w:rPr>
          <w:rFonts w:asciiTheme="majorBidi" w:hAnsiTheme="majorBidi" w:cstheme="majorBidi"/>
          <w:i/>
          <w:iCs/>
          <w:sz w:val="24"/>
          <w:szCs w:val="24"/>
        </w:rPr>
        <w:t>yuqātilūna</w:t>
      </w:r>
      <w:r w:rsidRPr="007C6A42">
        <w:rPr>
          <w:rFonts w:asciiTheme="majorBidi" w:hAnsiTheme="majorBidi" w:cstheme="majorBidi"/>
          <w:sz w:val="24"/>
          <w:szCs w:val="24"/>
        </w:rPr>
        <w:t xml:space="preserve"> [actif] : elle peut laisser croire qu’il s’agit d’une guerre offensive (attaque).</w:t>
      </w:r>
    </w:p>
    <w:p w14:paraId="2A9F7F4F"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Tous les exégètes et les théologiens musulmans sont d’accord sur l’idée que les premiers musulmans ont été victimes des agressions et que pour cette raison Dieu leur a permis de se défendre. Ainsi, ils privilégient tous la lecture du verbe au passif pour montrer que ce ne sont pas les musulmans qui ont été les agresseurs. En revanche, aṭ-Ṭabarī souligne que ces lectures reviennent au même. Malgré cela, c’est le passif qui prévaut probablement pour éviter ou exclure toute allusion à la guerre offensive des musulmans. À l’instar des exégètes, la plupart des traducteurs ont opté pour le sens passif. Seuls six traducteurs ont montré le sens actif : Du Ryer, Blachère, Ghédira, Chouraqui, Berque et Chebel. En général, on peut dire la traduction de ces derniers dont quatre ne sont pas musulmans est plus ou moins mal reçue par les musulmans.</w:t>
      </w:r>
    </w:p>
    <w:tbl>
      <w:tblPr>
        <w:tblpPr w:leftFromText="141" w:rightFromText="141" w:vertAnchor="text" w:horzAnchor="page" w:tblpXSpec="center" w:tblpY="461"/>
        <w:tblW w:w="7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6051"/>
      </w:tblGrid>
      <w:tr w:rsidR="00A70B78" w:rsidRPr="007C6A42" w14:paraId="0AC70F9F" w14:textId="77777777" w:rsidTr="00AF4FC9">
        <w:tc>
          <w:tcPr>
            <w:tcW w:w="1317" w:type="dxa"/>
            <w:tcBorders>
              <w:top w:val="single" w:sz="4" w:space="0" w:color="auto"/>
              <w:left w:val="single" w:sz="4" w:space="0" w:color="auto"/>
              <w:bottom w:val="single" w:sz="4" w:space="0" w:color="auto"/>
              <w:right w:val="single" w:sz="4" w:space="0" w:color="auto"/>
            </w:tcBorders>
          </w:tcPr>
          <w:p w14:paraId="43E3B9EA" w14:textId="77777777" w:rsidR="00A70B78" w:rsidRPr="007C6A42" w:rsidRDefault="00A70B78" w:rsidP="00AF4FC9">
            <w:pPr>
              <w:spacing w:line="360" w:lineRule="auto"/>
              <w:contextualSpacing/>
              <w:jc w:val="both"/>
              <w:rPr>
                <w:rFonts w:asciiTheme="majorBidi" w:eastAsia="Times New Roman" w:hAnsiTheme="majorBidi" w:cstheme="majorBidi"/>
                <w:b/>
                <w:bCs/>
              </w:rPr>
            </w:pPr>
          </w:p>
        </w:tc>
        <w:tc>
          <w:tcPr>
            <w:tcW w:w="6051" w:type="dxa"/>
            <w:tcBorders>
              <w:top w:val="single" w:sz="4" w:space="0" w:color="auto"/>
              <w:left w:val="single" w:sz="4" w:space="0" w:color="auto"/>
              <w:bottom w:val="single" w:sz="4" w:space="0" w:color="auto"/>
              <w:right w:val="single" w:sz="4" w:space="0" w:color="auto"/>
            </w:tcBorders>
          </w:tcPr>
          <w:p w14:paraId="1260130A" w14:textId="77777777" w:rsidR="00A70B78" w:rsidRPr="007C6A42" w:rsidRDefault="00A70B78" w:rsidP="00AF4FC9">
            <w:pPr>
              <w:bidi/>
              <w:spacing w:line="360" w:lineRule="auto"/>
              <w:contextualSpacing/>
              <w:jc w:val="center"/>
              <w:rPr>
                <w:rFonts w:asciiTheme="majorBidi" w:eastAsia="Times New Roman" w:hAnsiTheme="majorBidi" w:cstheme="majorBidi"/>
                <w:rtl/>
              </w:rPr>
            </w:pPr>
            <w:r w:rsidRPr="007C6A42">
              <w:rPr>
                <w:rFonts w:asciiTheme="majorBidi" w:eastAsia="Times New Roman" w:hAnsiTheme="majorBidi" w:cstheme="majorBidi"/>
                <w:rtl/>
              </w:rPr>
              <w:t>"أُذِنَ للذين يقاتلون" (مبني للمعلوم أو للمجهول) (الحج، ٣٩)</w:t>
            </w:r>
          </w:p>
        </w:tc>
      </w:tr>
      <w:tr w:rsidR="00A70B78" w:rsidRPr="007C6A42" w14:paraId="1FCEC1C3" w14:textId="77777777" w:rsidTr="00AF4FC9">
        <w:tc>
          <w:tcPr>
            <w:tcW w:w="1317" w:type="dxa"/>
            <w:tcBorders>
              <w:top w:val="single" w:sz="4" w:space="0" w:color="auto"/>
              <w:left w:val="single" w:sz="4" w:space="0" w:color="auto"/>
              <w:bottom w:val="single" w:sz="4" w:space="0" w:color="auto"/>
              <w:right w:val="single" w:sz="4" w:space="0" w:color="auto"/>
            </w:tcBorders>
          </w:tcPr>
          <w:p w14:paraId="11AF07F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6051" w:type="dxa"/>
            <w:tcBorders>
              <w:top w:val="single" w:sz="4" w:space="0" w:color="auto"/>
              <w:left w:val="single" w:sz="4" w:space="0" w:color="auto"/>
              <w:bottom w:val="single" w:sz="4" w:space="0" w:color="auto"/>
              <w:right w:val="single" w:sz="4" w:space="0" w:color="auto"/>
            </w:tcBorders>
          </w:tcPr>
          <w:p w14:paraId="02D0D02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Annonce</w:t>
            </w:r>
            <w:r w:rsidRPr="007C6A42">
              <w:rPr>
                <w:rStyle w:val="Appelnotedebasdep"/>
                <w:rFonts w:asciiTheme="majorBidi" w:hAnsiTheme="majorBidi" w:cstheme="majorBidi"/>
              </w:rPr>
              <w:footnoteReference w:id="549"/>
            </w:r>
            <w:r w:rsidRPr="007C6A42">
              <w:rPr>
                <w:rFonts w:asciiTheme="majorBidi" w:hAnsiTheme="majorBidi" w:cstheme="majorBidi"/>
              </w:rPr>
              <w:t xml:space="preserve"> à ceux qui combattent les infidelles</w:t>
            </w:r>
          </w:p>
        </w:tc>
      </w:tr>
      <w:tr w:rsidR="00A70B78" w:rsidRPr="007C6A42" w14:paraId="1320B7A8" w14:textId="77777777" w:rsidTr="00AF4FC9">
        <w:tc>
          <w:tcPr>
            <w:tcW w:w="1317" w:type="dxa"/>
            <w:tcBorders>
              <w:top w:val="single" w:sz="4" w:space="0" w:color="auto"/>
              <w:left w:val="single" w:sz="4" w:space="0" w:color="auto"/>
              <w:bottom w:val="single" w:sz="4" w:space="0" w:color="auto"/>
              <w:right w:val="single" w:sz="4" w:space="0" w:color="auto"/>
            </w:tcBorders>
          </w:tcPr>
          <w:p w14:paraId="59EC1B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6051" w:type="dxa"/>
            <w:tcBorders>
              <w:top w:val="single" w:sz="4" w:space="0" w:color="auto"/>
              <w:left w:val="single" w:sz="4" w:space="0" w:color="auto"/>
              <w:bottom w:val="single" w:sz="4" w:space="0" w:color="auto"/>
              <w:right w:val="single" w:sz="4" w:space="0" w:color="auto"/>
            </w:tcBorders>
          </w:tcPr>
          <w:p w14:paraId="51F7310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 a permis à ceux qui ont reçu des outrages, de combattre</w:t>
            </w:r>
          </w:p>
        </w:tc>
      </w:tr>
      <w:tr w:rsidR="00A70B78" w:rsidRPr="007C6A42" w14:paraId="6FB92812" w14:textId="77777777" w:rsidTr="00AF4FC9">
        <w:tc>
          <w:tcPr>
            <w:tcW w:w="1317" w:type="dxa"/>
            <w:tcBorders>
              <w:top w:val="single" w:sz="4" w:space="0" w:color="auto"/>
              <w:left w:val="single" w:sz="4" w:space="0" w:color="auto"/>
              <w:bottom w:val="single" w:sz="4" w:space="0" w:color="auto"/>
              <w:right w:val="single" w:sz="4" w:space="0" w:color="auto"/>
            </w:tcBorders>
          </w:tcPr>
          <w:p w14:paraId="693260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w:t>
            </w:r>
          </w:p>
        </w:tc>
        <w:tc>
          <w:tcPr>
            <w:tcW w:w="6051" w:type="dxa"/>
            <w:tcBorders>
              <w:top w:val="single" w:sz="4" w:space="0" w:color="auto"/>
              <w:left w:val="single" w:sz="4" w:space="0" w:color="auto"/>
              <w:bottom w:val="single" w:sz="4" w:space="0" w:color="auto"/>
              <w:right w:val="single" w:sz="4" w:space="0" w:color="auto"/>
            </w:tcBorders>
          </w:tcPr>
          <w:p w14:paraId="4CBC529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 a promis à ceux qui ont reçu des outrages de combattre leurs ennemis </w:t>
            </w:r>
          </w:p>
        </w:tc>
      </w:tr>
      <w:tr w:rsidR="00A70B78" w:rsidRPr="007C6A42" w14:paraId="4D4CF59F" w14:textId="77777777" w:rsidTr="00AF4FC9">
        <w:tc>
          <w:tcPr>
            <w:tcW w:w="1317" w:type="dxa"/>
            <w:tcBorders>
              <w:top w:val="single" w:sz="4" w:space="0" w:color="auto"/>
              <w:left w:val="single" w:sz="4" w:space="0" w:color="auto"/>
              <w:bottom w:val="single" w:sz="4" w:space="0" w:color="auto"/>
              <w:right w:val="single" w:sz="4" w:space="0" w:color="auto"/>
            </w:tcBorders>
          </w:tcPr>
          <w:p w14:paraId="2D4323B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6051" w:type="dxa"/>
            <w:tcBorders>
              <w:top w:val="single" w:sz="4" w:space="0" w:color="auto"/>
              <w:left w:val="single" w:sz="4" w:space="0" w:color="auto"/>
              <w:bottom w:val="single" w:sz="4" w:space="0" w:color="auto"/>
              <w:right w:val="single" w:sz="4" w:space="0" w:color="auto"/>
            </w:tcBorders>
          </w:tcPr>
          <w:p w14:paraId="03BEE46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Permission est donnée [</w:t>
            </w:r>
            <w:r w:rsidRPr="007C6A42">
              <w:rPr>
                <w:rFonts w:asciiTheme="majorBidi" w:hAnsiTheme="majorBidi" w:cstheme="majorBidi"/>
                <w:i/>
              </w:rPr>
              <w:t>de combattre</w:t>
            </w:r>
            <w:r w:rsidRPr="007C6A42">
              <w:rPr>
                <w:rFonts w:asciiTheme="majorBidi" w:hAnsiTheme="majorBidi" w:cstheme="majorBidi"/>
              </w:rPr>
              <w:t>] à ceux qui combattent</w:t>
            </w:r>
          </w:p>
        </w:tc>
      </w:tr>
      <w:tr w:rsidR="00A70B78" w:rsidRPr="007C6A42" w14:paraId="7C3EA29F" w14:textId="77777777" w:rsidTr="00AF4FC9">
        <w:tc>
          <w:tcPr>
            <w:tcW w:w="1317" w:type="dxa"/>
            <w:tcBorders>
              <w:top w:val="single" w:sz="4" w:space="0" w:color="auto"/>
              <w:left w:val="single" w:sz="4" w:space="0" w:color="auto"/>
              <w:bottom w:val="single" w:sz="4" w:space="0" w:color="auto"/>
              <w:right w:val="single" w:sz="4" w:space="0" w:color="auto"/>
            </w:tcBorders>
          </w:tcPr>
          <w:p w14:paraId="1C77A31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6051" w:type="dxa"/>
            <w:tcBorders>
              <w:top w:val="single" w:sz="4" w:space="0" w:color="auto"/>
              <w:left w:val="single" w:sz="4" w:space="0" w:color="auto"/>
              <w:bottom w:val="single" w:sz="4" w:space="0" w:color="auto"/>
              <w:right w:val="single" w:sz="4" w:space="0" w:color="auto"/>
            </w:tcBorders>
          </w:tcPr>
          <w:p w14:paraId="34B76F8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L’autorisation a été donnée aux Musulmans de combattre</w:t>
            </w:r>
          </w:p>
        </w:tc>
      </w:tr>
      <w:tr w:rsidR="00A70B78" w:rsidRPr="007C6A42" w14:paraId="558F31B9" w14:textId="77777777" w:rsidTr="00AF4FC9">
        <w:tc>
          <w:tcPr>
            <w:tcW w:w="1317" w:type="dxa"/>
            <w:tcBorders>
              <w:top w:val="single" w:sz="4" w:space="0" w:color="auto"/>
              <w:left w:val="single" w:sz="4" w:space="0" w:color="auto"/>
              <w:bottom w:val="single" w:sz="4" w:space="0" w:color="auto"/>
              <w:right w:val="single" w:sz="4" w:space="0" w:color="auto"/>
            </w:tcBorders>
          </w:tcPr>
          <w:p w14:paraId="09F1B56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6051" w:type="dxa"/>
            <w:tcBorders>
              <w:top w:val="single" w:sz="4" w:space="0" w:color="auto"/>
              <w:left w:val="single" w:sz="4" w:space="0" w:color="auto"/>
              <w:bottom w:val="single" w:sz="4" w:space="0" w:color="auto"/>
              <w:right w:val="single" w:sz="4" w:space="0" w:color="auto"/>
            </w:tcBorders>
          </w:tcPr>
          <w:p w14:paraId="18C841C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Toute autorisation est donnée à ceux qui sont combattus</w:t>
            </w:r>
          </w:p>
        </w:tc>
      </w:tr>
      <w:tr w:rsidR="00A70B78" w:rsidRPr="007C6A42" w14:paraId="0F8AF527" w14:textId="77777777" w:rsidTr="00AF4FC9">
        <w:tc>
          <w:tcPr>
            <w:tcW w:w="1317" w:type="dxa"/>
            <w:tcBorders>
              <w:top w:val="single" w:sz="4" w:space="0" w:color="auto"/>
              <w:left w:val="single" w:sz="4" w:space="0" w:color="auto"/>
              <w:bottom w:val="single" w:sz="4" w:space="0" w:color="auto"/>
              <w:right w:val="single" w:sz="4" w:space="0" w:color="auto"/>
            </w:tcBorders>
          </w:tcPr>
          <w:p w14:paraId="7173714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6051" w:type="dxa"/>
            <w:tcBorders>
              <w:top w:val="single" w:sz="4" w:space="0" w:color="auto"/>
              <w:left w:val="single" w:sz="4" w:space="0" w:color="auto"/>
              <w:bottom w:val="single" w:sz="4" w:space="0" w:color="auto"/>
              <w:right w:val="single" w:sz="4" w:space="0" w:color="auto"/>
            </w:tcBorders>
          </w:tcPr>
          <w:p w14:paraId="74CDA04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Témoignage est donné aux victimes d’une agression</w:t>
            </w:r>
          </w:p>
        </w:tc>
      </w:tr>
      <w:tr w:rsidR="00A70B78" w:rsidRPr="007C6A42" w14:paraId="6E03367C" w14:textId="77777777" w:rsidTr="00AF4FC9">
        <w:tc>
          <w:tcPr>
            <w:tcW w:w="1317" w:type="dxa"/>
            <w:tcBorders>
              <w:top w:val="single" w:sz="4" w:space="0" w:color="auto"/>
              <w:left w:val="single" w:sz="4" w:space="0" w:color="auto"/>
              <w:bottom w:val="single" w:sz="4" w:space="0" w:color="auto"/>
              <w:right w:val="single" w:sz="4" w:space="0" w:color="auto"/>
            </w:tcBorders>
          </w:tcPr>
          <w:p w14:paraId="60EB8A8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6051" w:type="dxa"/>
            <w:tcBorders>
              <w:top w:val="single" w:sz="4" w:space="0" w:color="auto"/>
              <w:left w:val="single" w:sz="4" w:space="0" w:color="auto"/>
              <w:bottom w:val="single" w:sz="4" w:space="0" w:color="auto"/>
              <w:right w:val="single" w:sz="4" w:space="0" w:color="auto"/>
            </w:tcBorders>
          </w:tcPr>
          <w:p w14:paraId="472EEB3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Toute autorisation de se défendre est donnée à ceux qui ont été attaqués</w:t>
            </w:r>
          </w:p>
        </w:tc>
      </w:tr>
      <w:tr w:rsidR="00A70B78" w:rsidRPr="007C6A42" w14:paraId="24AD0461" w14:textId="77777777" w:rsidTr="00AF4FC9">
        <w:tc>
          <w:tcPr>
            <w:tcW w:w="1317" w:type="dxa"/>
            <w:tcBorders>
              <w:top w:val="single" w:sz="4" w:space="0" w:color="auto"/>
              <w:left w:val="single" w:sz="4" w:space="0" w:color="auto"/>
              <w:bottom w:val="single" w:sz="4" w:space="0" w:color="auto"/>
              <w:right w:val="single" w:sz="4" w:space="0" w:color="auto"/>
            </w:tcBorders>
          </w:tcPr>
          <w:p w14:paraId="0C4E1D2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6051" w:type="dxa"/>
            <w:tcBorders>
              <w:top w:val="single" w:sz="4" w:space="0" w:color="auto"/>
              <w:left w:val="single" w:sz="4" w:space="0" w:color="auto"/>
              <w:bottom w:val="single" w:sz="4" w:space="0" w:color="auto"/>
              <w:right w:val="single" w:sz="4" w:space="0" w:color="auto"/>
            </w:tcBorders>
          </w:tcPr>
          <w:p w14:paraId="2BC0F61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Combattre est permis à ceux qui sont lésés, parce qu’ils sont attaqués</w:t>
            </w:r>
          </w:p>
        </w:tc>
      </w:tr>
      <w:tr w:rsidR="00A70B78" w:rsidRPr="007C6A42" w14:paraId="570D4DDB" w14:textId="77777777" w:rsidTr="00AF4FC9">
        <w:trPr>
          <w:trHeight w:val="411"/>
        </w:trPr>
        <w:tc>
          <w:tcPr>
            <w:tcW w:w="1317" w:type="dxa"/>
            <w:tcBorders>
              <w:top w:val="single" w:sz="4" w:space="0" w:color="auto"/>
              <w:left w:val="single" w:sz="4" w:space="0" w:color="auto"/>
              <w:bottom w:val="single" w:sz="4" w:space="0" w:color="auto"/>
              <w:right w:val="single" w:sz="4" w:space="0" w:color="auto"/>
            </w:tcBorders>
          </w:tcPr>
          <w:p w14:paraId="1C8DD00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6051" w:type="dxa"/>
            <w:tcBorders>
              <w:top w:val="single" w:sz="4" w:space="0" w:color="auto"/>
              <w:left w:val="single" w:sz="4" w:space="0" w:color="auto"/>
              <w:bottom w:val="single" w:sz="4" w:space="0" w:color="auto"/>
              <w:right w:val="single" w:sz="4" w:space="0" w:color="auto"/>
            </w:tcBorders>
          </w:tcPr>
          <w:p w14:paraId="0772B81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Permission de se défendre est donnée à ceux qui ont combattu</w:t>
            </w:r>
          </w:p>
        </w:tc>
      </w:tr>
      <w:tr w:rsidR="00A70B78" w:rsidRPr="007C6A42" w14:paraId="24AA3151" w14:textId="77777777" w:rsidTr="00AF4FC9">
        <w:trPr>
          <w:trHeight w:val="270"/>
        </w:trPr>
        <w:tc>
          <w:tcPr>
            <w:tcW w:w="1317" w:type="dxa"/>
            <w:tcBorders>
              <w:top w:val="single" w:sz="4" w:space="0" w:color="auto"/>
              <w:left w:val="single" w:sz="4" w:space="0" w:color="auto"/>
              <w:bottom w:val="single" w:sz="4" w:space="0" w:color="auto"/>
              <w:right w:val="single" w:sz="4" w:space="0" w:color="auto"/>
            </w:tcBorders>
          </w:tcPr>
          <w:p w14:paraId="34709BE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Berque</w:t>
            </w:r>
          </w:p>
        </w:tc>
        <w:tc>
          <w:tcPr>
            <w:tcW w:w="6051" w:type="dxa"/>
            <w:tcBorders>
              <w:top w:val="single" w:sz="4" w:space="0" w:color="auto"/>
              <w:left w:val="single" w:sz="4" w:space="0" w:color="auto"/>
              <w:bottom w:val="single" w:sz="4" w:space="0" w:color="auto"/>
              <w:right w:val="single" w:sz="4" w:space="0" w:color="auto"/>
            </w:tcBorders>
          </w:tcPr>
          <w:p w14:paraId="5F1ADD57"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Permission est donnée à ceux qui combattent</w:t>
            </w:r>
          </w:p>
        </w:tc>
      </w:tr>
      <w:tr w:rsidR="00A70B78" w:rsidRPr="007C6A42" w14:paraId="508F8701" w14:textId="77777777" w:rsidTr="00AF4FC9">
        <w:tc>
          <w:tcPr>
            <w:tcW w:w="1317" w:type="dxa"/>
            <w:tcBorders>
              <w:top w:val="single" w:sz="4" w:space="0" w:color="auto"/>
              <w:left w:val="single" w:sz="4" w:space="0" w:color="auto"/>
              <w:bottom w:val="single" w:sz="4" w:space="0" w:color="auto"/>
              <w:right w:val="single" w:sz="4" w:space="0" w:color="auto"/>
            </w:tcBorders>
          </w:tcPr>
          <w:p w14:paraId="3032BAA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6051" w:type="dxa"/>
            <w:tcBorders>
              <w:top w:val="single" w:sz="4" w:space="0" w:color="auto"/>
              <w:left w:val="single" w:sz="4" w:space="0" w:color="auto"/>
              <w:bottom w:val="single" w:sz="4" w:space="0" w:color="auto"/>
              <w:right w:val="single" w:sz="4" w:space="0" w:color="auto"/>
            </w:tcBorders>
          </w:tcPr>
          <w:p w14:paraId="25307F4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IL a autorisé le combat à ceux qui sont lésés</w:t>
            </w:r>
          </w:p>
        </w:tc>
      </w:tr>
      <w:tr w:rsidR="00A70B78" w:rsidRPr="007C6A42" w14:paraId="340CC96B" w14:textId="77777777" w:rsidTr="00AF4FC9">
        <w:tc>
          <w:tcPr>
            <w:tcW w:w="1317" w:type="dxa"/>
            <w:tcBorders>
              <w:top w:val="single" w:sz="4" w:space="0" w:color="auto"/>
              <w:left w:val="single" w:sz="4" w:space="0" w:color="auto"/>
              <w:bottom w:val="single" w:sz="4" w:space="0" w:color="auto"/>
              <w:right w:val="single" w:sz="4" w:space="0" w:color="auto"/>
            </w:tcBorders>
          </w:tcPr>
          <w:p w14:paraId="2D3B24C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6051" w:type="dxa"/>
            <w:tcBorders>
              <w:top w:val="single" w:sz="4" w:space="0" w:color="auto"/>
              <w:left w:val="single" w:sz="4" w:space="0" w:color="auto"/>
              <w:bottom w:val="single" w:sz="4" w:space="0" w:color="auto"/>
              <w:right w:val="single" w:sz="4" w:space="0" w:color="auto"/>
            </w:tcBorders>
          </w:tcPr>
          <w:p w14:paraId="50FDCF7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Toute autorisation de se défendre est donnée aux victimes d’une agression</w:t>
            </w:r>
          </w:p>
        </w:tc>
      </w:tr>
      <w:tr w:rsidR="00A70B78" w:rsidRPr="007C6A42" w14:paraId="5ACEA33E" w14:textId="77777777" w:rsidTr="00AF4FC9">
        <w:tc>
          <w:tcPr>
            <w:tcW w:w="1317" w:type="dxa"/>
            <w:tcBorders>
              <w:top w:val="single" w:sz="4" w:space="0" w:color="auto"/>
              <w:left w:val="single" w:sz="4" w:space="0" w:color="auto"/>
              <w:bottom w:val="single" w:sz="4" w:space="0" w:color="auto"/>
              <w:right w:val="single" w:sz="4" w:space="0" w:color="auto"/>
            </w:tcBorders>
          </w:tcPr>
          <w:p w14:paraId="6997E8C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6051" w:type="dxa"/>
            <w:tcBorders>
              <w:top w:val="single" w:sz="4" w:space="0" w:color="auto"/>
              <w:left w:val="single" w:sz="4" w:space="0" w:color="auto"/>
              <w:bottom w:val="single" w:sz="4" w:space="0" w:color="auto"/>
              <w:right w:val="single" w:sz="4" w:space="0" w:color="auto"/>
            </w:tcBorders>
          </w:tcPr>
          <w:p w14:paraId="03C940F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Autorisation est donnée à ceux qui sont attaqués (de se défendre)</w:t>
            </w:r>
          </w:p>
        </w:tc>
      </w:tr>
      <w:tr w:rsidR="00A70B78" w:rsidRPr="007C6A42" w14:paraId="5672C930" w14:textId="77777777" w:rsidTr="00AF4FC9">
        <w:tc>
          <w:tcPr>
            <w:tcW w:w="1317" w:type="dxa"/>
            <w:tcBorders>
              <w:top w:val="single" w:sz="4" w:space="0" w:color="auto"/>
              <w:left w:val="single" w:sz="4" w:space="0" w:color="auto"/>
              <w:bottom w:val="single" w:sz="4" w:space="0" w:color="auto"/>
              <w:right w:val="single" w:sz="4" w:space="0" w:color="auto"/>
            </w:tcBorders>
          </w:tcPr>
          <w:p w14:paraId="445954F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Abdelel.</w:t>
            </w:r>
          </w:p>
        </w:tc>
        <w:tc>
          <w:tcPr>
            <w:tcW w:w="6051" w:type="dxa"/>
            <w:tcBorders>
              <w:top w:val="single" w:sz="4" w:space="0" w:color="auto"/>
              <w:left w:val="single" w:sz="4" w:space="0" w:color="auto"/>
              <w:bottom w:val="single" w:sz="4" w:space="0" w:color="auto"/>
              <w:right w:val="single" w:sz="4" w:space="0" w:color="auto"/>
            </w:tcBorders>
          </w:tcPr>
          <w:p w14:paraId="321E7B7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Il a été permis à ceux qui sont combattus</w:t>
            </w:r>
          </w:p>
        </w:tc>
      </w:tr>
      <w:tr w:rsidR="00A70B78" w:rsidRPr="007C6A42" w14:paraId="6F6F9F0D" w14:textId="77777777" w:rsidTr="00AF4FC9">
        <w:tc>
          <w:tcPr>
            <w:tcW w:w="1317" w:type="dxa"/>
            <w:tcBorders>
              <w:top w:val="single" w:sz="4" w:space="0" w:color="auto"/>
              <w:left w:val="single" w:sz="4" w:space="0" w:color="auto"/>
              <w:bottom w:val="single" w:sz="4" w:space="0" w:color="auto"/>
              <w:right w:val="single" w:sz="4" w:space="0" w:color="auto"/>
            </w:tcBorders>
          </w:tcPr>
          <w:p w14:paraId="0C9D0B2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6051" w:type="dxa"/>
            <w:tcBorders>
              <w:top w:val="single" w:sz="4" w:space="0" w:color="auto"/>
              <w:left w:val="single" w:sz="4" w:space="0" w:color="auto"/>
              <w:bottom w:val="single" w:sz="4" w:space="0" w:color="auto"/>
              <w:right w:val="single" w:sz="4" w:space="0" w:color="auto"/>
            </w:tcBorders>
          </w:tcPr>
          <w:p w14:paraId="7FC2CE4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Autorisation est donnée à ceux qui sont combattus [de combattre]</w:t>
            </w:r>
          </w:p>
        </w:tc>
      </w:tr>
      <w:tr w:rsidR="00A70B78" w:rsidRPr="007C6A42" w14:paraId="2D19AEDC" w14:textId="77777777" w:rsidTr="00AF4FC9">
        <w:tc>
          <w:tcPr>
            <w:tcW w:w="1317" w:type="dxa"/>
            <w:tcBorders>
              <w:top w:val="single" w:sz="4" w:space="0" w:color="auto"/>
              <w:left w:val="single" w:sz="4" w:space="0" w:color="auto"/>
              <w:bottom w:val="single" w:sz="4" w:space="0" w:color="auto"/>
              <w:right w:val="single" w:sz="4" w:space="0" w:color="auto"/>
            </w:tcBorders>
          </w:tcPr>
          <w:p w14:paraId="2835B74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6051" w:type="dxa"/>
            <w:tcBorders>
              <w:top w:val="single" w:sz="4" w:space="0" w:color="auto"/>
              <w:left w:val="single" w:sz="4" w:space="0" w:color="auto"/>
              <w:bottom w:val="single" w:sz="4" w:space="0" w:color="auto"/>
              <w:right w:val="single" w:sz="4" w:space="0" w:color="auto"/>
            </w:tcBorders>
          </w:tcPr>
          <w:p w14:paraId="2FC4D48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Permission est donnée à ceux qui combattent</w:t>
            </w:r>
          </w:p>
        </w:tc>
      </w:tr>
      <w:tr w:rsidR="00A70B78" w:rsidRPr="007C6A42" w14:paraId="7A96F919" w14:textId="77777777" w:rsidTr="00AF4FC9">
        <w:tc>
          <w:tcPr>
            <w:tcW w:w="1317" w:type="dxa"/>
            <w:tcBorders>
              <w:top w:val="single" w:sz="4" w:space="0" w:color="auto"/>
              <w:left w:val="single" w:sz="4" w:space="0" w:color="auto"/>
              <w:bottom w:val="single" w:sz="4" w:space="0" w:color="auto"/>
              <w:right w:val="single" w:sz="4" w:space="0" w:color="auto"/>
            </w:tcBorders>
          </w:tcPr>
          <w:p w14:paraId="4D55FEC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w:t>
            </w:r>
          </w:p>
        </w:tc>
        <w:tc>
          <w:tcPr>
            <w:tcW w:w="6051" w:type="dxa"/>
            <w:tcBorders>
              <w:top w:val="single" w:sz="4" w:space="0" w:color="auto"/>
              <w:left w:val="single" w:sz="4" w:space="0" w:color="auto"/>
              <w:bottom w:val="single" w:sz="4" w:space="0" w:color="auto"/>
              <w:right w:val="single" w:sz="4" w:space="0" w:color="auto"/>
            </w:tcBorders>
          </w:tcPr>
          <w:p w14:paraId="771BA5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Ceux qui sont attaqués injustement sont autorisés à combattre</w:t>
            </w:r>
          </w:p>
        </w:tc>
      </w:tr>
    </w:tbl>
    <w:p w14:paraId="0CDF2228"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672E0590"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6B984585"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4BAFE1D9"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35781647"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5AFB7077"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7B167ACA"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2871975D"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28C8878E"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300511FA"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4D8F70EC"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12EBE40E" w14:textId="77777777" w:rsidR="00A70B78" w:rsidRPr="007C6A42" w:rsidRDefault="00A70B78" w:rsidP="00A70B78">
      <w:pPr>
        <w:spacing w:line="360" w:lineRule="auto"/>
        <w:contextualSpacing/>
        <w:jc w:val="both"/>
        <w:rPr>
          <w:rFonts w:asciiTheme="majorBidi" w:eastAsia="Times New Roman" w:hAnsiTheme="majorBidi" w:cstheme="majorBidi"/>
          <w:b/>
          <w:bCs/>
        </w:rPr>
      </w:pPr>
    </w:p>
    <w:p w14:paraId="305A687E" w14:textId="77777777" w:rsidR="00CA74A9" w:rsidRDefault="00CA74A9" w:rsidP="00A70B78">
      <w:pPr>
        <w:spacing w:line="360" w:lineRule="auto"/>
        <w:contextualSpacing/>
        <w:jc w:val="both"/>
        <w:rPr>
          <w:rFonts w:asciiTheme="majorBidi" w:eastAsia="Times New Roman" w:hAnsiTheme="majorBidi" w:cstheme="majorBidi"/>
          <w:b/>
          <w:bCs/>
        </w:rPr>
      </w:pPr>
    </w:p>
    <w:p w14:paraId="17678244" w14:textId="77777777" w:rsidR="00CA74A9" w:rsidRDefault="00CA74A9" w:rsidP="00A70B78">
      <w:pPr>
        <w:spacing w:line="360" w:lineRule="auto"/>
        <w:contextualSpacing/>
        <w:jc w:val="both"/>
        <w:rPr>
          <w:rFonts w:asciiTheme="majorBidi" w:eastAsia="Times New Roman" w:hAnsiTheme="majorBidi" w:cstheme="majorBidi"/>
          <w:b/>
          <w:bCs/>
        </w:rPr>
      </w:pPr>
    </w:p>
    <w:p w14:paraId="78FD3208" w14:textId="77777777" w:rsidR="00CA74A9" w:rsidRDefault="00CA74A9" w:rsidP="00A70B78">
      <w:pPr>
        <w:spacing w:line="360" w:lineRule="auto"/>
        <w:contextualSpacing/>
        <w:jc w:val="both"/>
        <w:rPr>
          <w:rFonts w:asciiTheme="majorBidi" w:eastAsia="Times New Roman" w:hAnsiTheme="majorBidi" w:cstheme="majorBidi"/>
          <w:b/>
          <w:bCs/>
        </w:rPr>
      </w:pPr>
    </w:p>
    <w:p w14:paraId="24755A1D" w14:textId="77777777" w:rsidR="00CA74A9" w:rsidRDefault="00CA74A9" w:rsidP="00A70B78">
      <w:pPr>
        <w:spacing w:line="360" w:lineRule="auto"/>
        <w:contextualSpacing/>
        <w:jc w:val="both"/>
        <w:rPr>
          <w:rFonts w:asciiTheme="majorBidi" w:eastAsia="Times New Roman" w:hAnsiTheme="majorBidi" w:cstheme="majorBidi"/>
          <w:b/>
          <w:bCs/>
        </w:rPr>
      </w:pPr>
    </w:p>
    <w:p w14:paraId="450ED217" w14:textId="77777777" w:rsidR="00CA74A9" w:rsidRDefault="00CA74A9" w:rsidP="00A70B78">
      <w:pPr>
        <w:spacing w:line="360" w:lineRule="auto"/>
        <w:contextualSpacing/>
        <w:jc w:val="both"/>
        <w:rPr>
          <w:rFonts w:asciiTheme="majorBidi" w:eastAsia="Times New Roman" w:hAnsiTheme="majorBidi" w:cstheme="majorBidi"/>
          <w:b/>
          <w:bCs/>
        </w:rPr>
      </w:pPr>
    </w:p>
    <w:p w14:paraId="649EA81A" w14:textId="77777777" w:rsidR="00CA74A9" w:rsidRDefault="00CA74A9" w:rsidP="00A70B78">
      <w:pPr>
        <w:spacing w:line="360" w:lineRule="auto"/>
        <w:contextualSpacing/>
        <w:jc w:val="both"/>
        <w:rPr>
          <w:rFonts w:asciiTheme="majorBidi" w:eastAsia="Times New Roman" w:hAnsiTheme="majorBidi" w:cstheme="majorBidi"/>
          <w:b/>
          <w:bCs/>
        </w:rPr>
      </w:pPr>
    </w:p>
    <w:p w14:paraId="35A3CEEE" w14:textId="77777777" w:rsidR="00CA74A9" w:rsidRDefault="00CA74A9" w:rsidP="00A70B78">
      <w:pPr>
        <w:spacing w:line="360" w:lineRule="auto"/>
        <w:contextualSpacing/>
        <w:jc w:val="both"/>
        <w:rPr>
          <w:rFonts w:asciiTheme="majorBidi" w:eastAsia="Times New Roman" w:hAnsiTheme="majorBidi" w:cstheme="majorBidi"/>
          <w:b/>
          <w:bCs/>
        </w:rPr>
      </w:pPr>
    </w:p>
    <w:p w14:paraId="68463FFF" w14:textId="77777777" w:rsidR="00CA74A9" w:rsidRDefault="00CA74A9" w:rsidP="00A70B78">
      <w:pPr>
        <w:spacing w:line="360" w:lineRule="auto"/>
        <w:contextualSpacing/>
        <w:jc w:val="both"/>
        <w:rPr>
          <w:rFonts w:asciiTheme="majorBidi" w:eastAsia="Times New Roman" w:hAnsiTheme="majorBidi" w:cstheme="majorBidi"/>
          <w:b/>
          <w:bCs/>
        </w:rPr>
      </w:pPr>
    </w:p>
    <w:p w14:paraId="6A121B09" w14:textId="77777777" w:rsidR="00CA74A9" w:rsidRDefault="00CA74A9" w:rsidP="00A70B78">
      <w:pPr>
        <w:spacing w:line="360" w:lineRule="auto"/>
        <w:contextualSpacing/>
        <w:jc w:val="both"/>
        <w:rPr>
          <w:rFonts w:asciiTheme="majorBidi" w:eastAsia="Times New Roman" w:hAnsiTheme="majorBidi" w:cstheme="majorBidi"/>
          <w:b/>
          <w:bCs/>
        </w:rPr>
      </w:pPr>
    </w:p>
    <w:p w14:paraId="53A41CB5" w14:textId="77777777" w:rsidR="00CA74A9" w:rsidRDefault="00CA74A9" w:rsidP="00A70B78">
      <w:pPr>
        <w:spacing w:line="360" w:lineRule="auto"/>
        <w:contextualSpacing/>
        <w:jc w:val="both"/>
        <w:rPr>
          <w:rFonts w:asciiTheme="majorBidi" w:eastAsia="Times New Roman" w:hAnsiTheme="majorBidi" w:cstheme="majorBidi"/>
          <w:b/>
          <w:bCs/>
        </w:rPr>
      </w:pPr>
    </w:p>
    <w:p w14:paraId="21B1B80C" w14:textId="77777777" w:rsidR="00CA74A9" w:rsidRDefault="00CA74A9" w:rsidP="00A70B78">
      <w:pPr>
        <w:spacing w:line="360" w:lineRule="auto"/>
        <w:contextualSpacing/>
        <w:jc w:val="both"/>
        <w:rPr>
          <w:rFonts w:asciiTheme="majorBidi" w:eastAsia="Times New Roman" w:hAnsiTheme="majorBidi" w:cstheme="majorBidi"/>
          <w:b/>
          <w:bCs/>
        </w:rPr>
      </w:pPr>
    </w:p>
    <w:p w14:paraId="7E98AA26" w14:textId="6E3033B3" w:rsidR="00A70B78" w:rsidRPr="007C6A42" w:rsidRDefault="006401B7" w:rsidP="00A70B78">
      <w:pPr>
        <w:spacing w:line="360" w:lineRule="auto"/>
        <w:contextualSpacing/>
        <w:jc w:val="both"/>
        <w:rPr>
          <w:rFonts w:asciiTheme="majorBidi" w:eastAsia="Times New Roman" w:hAnsiTheme="majorBidi" w:cstheme="majorBidi"/>
        </w:rPr>
      </w:pPr>
      <w:r>
        <w:rPr>
          <w:rFonts w:asciiTheme="majorBidi" w:eastAsia="Times New Roman" w:hAnsiTheme="majorBidi" w:cstheme="majorBidi"/>
          <w:b/>
          <w:bCs/>
        </w:rPr>
        <w:t xml:space="preserve">10.5. </w:t>
      </w:r>
      <w:r w:rsidR="00A70B78" w:rsidRPr="007C6A42">
        <w:rPr>
          <w:rFonts w:asciiTheme="majorBidi" w:eastAsia="Times New Roman" w:hAnsiTheme="majorBidi" w:cstheme="majorBidi"/>
          <w:b/>
          <w:bCs/>
        </w:rPr>
        <w:t xml:space="preserve">La traduction du concept du </w:t>
      </w:r>
      <w:r w:rsidR="00A70B78" w:rsidRPr="007C6A42">
        <w:rPr>
          <w:rFonts w:asciiTheme="majorBidi" w:eastAsia="Times New Roman" w:hAnsiTheme="majorBidi" w:cstheme="majorBidi"/>
          <w:b/>
          <w:bCs/>
          <w:i/>
          <w:iCs/>
        </w:rPr>
        <w:t>baʿth</w:t>
      </w:r>
      <w:r w:rsidR="00A70B78" w:rsidRPr="007C6A42">
        <w:rPr>
          <w:rFonts w:asciiTheme="majorBidi" w:eastAsia="Times New Roman" w:hAnsiTheme="majorBidi" w:cstheme="majorBidi"/>
          <w:b/>
          <w:bCs/>
        </w:rPr>
        <w:t> (v. 5)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28D9E018" w14:textId="77777777" w:rsidTr="00AF4FC9">
        <w:tc>
          <w:tcPr>
            <w:tcW w:w="10920" w:type="dxa"/>
            <w:gridSpan w:val="2"/>
          </w:tcPr>
          <w:p w14:paraId="41C4756E" w14:textId="77777777" w:rsidR="00A70B78" w:rsidRPr="007C6A42" w:rsidRDefault="00A70B78" w:rsidP="00AF4FC9">
            <w:pPr>
              <w:bidi/>
              <w:spacing w:line="360" w:lineRule="auto"/>
              <w:jc w:val="both"/>
              <w:rPr>
                <w:rFonts w:asciiTheme="majorBidi" w:eastAsia="Calibri" w:hAnsiTheme="majorBidi" w:cstheme="majorBidi"/>
                <w:rtl/>
                <w:lang w:bidi="ar-KW"/>
              </w:rPr>
            </w:pPr>
            <w:r w:rsidRPr="007C6A42">
              <w:rPr>
                <w:rFonts w:asciiTheme="majorBidi" w:eastAsia="Calibri" w:hAnsiTheme="majorBidi" w:cstheme="majorBidi"/>
                <w:rtl/>
                <w:lang w:bidi="ar-AE"/>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 (الحج، 5)</w:t>
            </w:r>
          </w:p>
        </w:tc>
      </w:tr>
      <w:tr w:rsidR="00A70B78" w:rsidRPr="007C6A42" w14:paraId="122C6EC0" w14:textId="77777777" w:rsidTr="00AF4FC9">
        <w:tc>
          <w:tcPr>
            <w:tcW w:w="851" w:type="dxa"/>
          </w:tcPr>
          <w:p w14:paraId="4976B8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10069" w:type="dxa"/>
          </w:tcPr>
          <w:p w14:paraId="6A81D74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 xml:space="preserve">O peuple ʃi vous doutez de la reʃurrection, conʃiderez comme nous vous auons creé de la pouʃʃiere de la terre auec vn peu d’eau reʃpanduë deʃʃus de la bouë, de ʃang congelé, &amp; d’vn peu de chair entierement formée, &amp; non entierement formée, ie forme dans le ventre des femmes ce que bon ʃemble juʃques au temps ordonné, je vous en faits ʃortir enfans, puis ie vous donne la vie, &amp; vous faits </w:t>
            </w:r>
            <w:r w:rsidRPr="007C6A42">
              <w:rPr>
                <w:rFonts w:asciiTheme="majorBidi" w:eastAsia="Calibri" w:hAnsiTheme="majorBidi" w:cstheme="majorBidi"/>
              </w:rPr>
              <w:lastRenderedPageBreak/>
              <w:t>arriuer à l’aage de virilité, les vns meurent ieunes, &amp; les autres arriuent à l’extremité de la vieilleʃʃe afin qu’ils apprennent à bien viuvre. Conʃidere la terre ʃeiché, morte, &amp; arride ; lorsque nous aurons fait tomber la pluye elle changera de face, elle produira &amp; nourrira ʃes fruicts de toute force, beaux &amp; agreables,</w:t>
            </w:r>
          </w:p>
        </w:tc>
      </w:tr>
      <w:tr w:rsidR="00A70B78" w:rsidRPr="007C6A42" w14:paraId="3A2DA56B" w14:textId="77777777" w:rsidTr="00AF4FC9">
        <w:tc>
          <w:tcPr>
            <w:tcW w:w="851" w:type="dxa"/>
          </w:tcPr>
          <w:p w14:paraId="4DA178D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Sav.</w:t>
            </w:r>
          </w:p>
        </w:tc>
        <w:tc>
          <w:tcPr>
            <w:tcW w:w="10069" w:type="dxa"/>
          </w:tcPr>
          <w:p w14:paraId="46A4C530"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Mortels, si vous doutez de la résurrection, considérez les degrés par où nous vous avons fait passer. Nous vous avons formés de terre, ensuite de sperme, puis de sang congelé qui s’est changé en fœtus à moitié informe. Nous avons marqué le temps que vous deviez rester dans le sein de vos mères. Nous vous en retirons enfans. Vous parvenez à l’âge viril. Beaucoup meurent avant de l’avoir atteint. Quelques-uns arrivent à la décrépitude, et oublient tout ce qu’ils avaient appris. Considère la terre que la sécheresse a rendue stérile. Nous y versons la pluie. Son sein s’émeut, et elle produit toutes les plantes qui composent sa richesse et sa parure.</w:t>
            </w:r>
          </w:p>
        </w:tc>
      </w:tr>
      <w:tr w:rsidR="00A70B78" w:rsidRPr="007C6A42" w14:paraId="500BF9B9" w14:textId="77777777" w:rsidTr="00AF4FC9">
        <w:tc>
          <w:tcPr>
            <w:tcW w:w="851" w:type="dxa"/>
          </w:tcPr>
          <w:p w14:paraId="042FD1B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10069" w:type="dxa"/>
          </w:tcPr>
          <w:p w14:paraId="398C2248"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Ô hommes ! si vous doutez de la résurrection, considérez que nous vous avons créés de poussière, puis d’une goutte de sperme, qui devint un grumeau de sang ; puis d’un morceau de chair tantôt formé tantôt informe. Pour vous démontrer notre puissance, nous laissons demeurer dans les entrailles ce qu’il nous plaît jusqu’à un terme marqué, et puis nous vous en faisons sortir tendres enfants. Vous atteignez ensuite l’âge décrépit, au point d’oublier tout ce qu’ils savaient autrefois. Tu as vu tantôt la terre séchée ; mais que nous y fassions descendre de l’eau, la voilà qui s’ébranle, se gonfle et fait germer toute espèce de végétaux luxuriants.</w:t>
            </w:r>
          </w:p>
        </w:tc>
      </w:tr>
      <w:tr w:rsidR="00A70B78" w:rsidRPr="007C6A42" w14:paraId="56078E06" w14:textId="77777777" w:rsidTr="00AF4FC9">
        <w:tc>
          <w:tcPr>
            <w:tcW w:w="851" w:type="dxa"/>
          </w:tcPr>
          <w:p w14:paraId="767818A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10069" w:type="dxa"/>
          </w:tcPr>
          <w:p w14:paraId="7857A951"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Hommes ! Si vous êtes en un doute au sujet du Rappel [</w:t>
            </w:r>
            <w:r w:rsidRPr="007C6A42">
              <w:rPr>
                <w:rFonts w:asciiTheme="majorBidi" w:eastAsia="Calibri" w:hAnsiTheme="majorBidi" w:cstheme="majorBidi"/>
                <w:i/>
              </w:rPr>
              <w:t>des trépassés, souvenez-vous que</w:t>
            </w:r>
            <w:r w:rsidRPr="007C6A42">
              <w:rPr>
                <w:rFonts w:asciiTheme="majorBidi" w:eastAsia="Calibri" w:hAnsiTheme="majorBidi" w:cstheme="majorBidi"/>
              </w:rPr>
              <w:t>] Nous vous avons créés de poussière, puis d’une éjaculation, puis d’une adhérence, puis d’une masse flasque élaborée ( ?) ou non élaborée ( ?), afin de faire éclater l’évidence à vos yeux. [</w:t>
            </w:r>
            <w:r w:rsidRPr="007C6A42">
              <w:rPr>
                <w:rFonts w:asciiTheme="majorBidi" w:eastAsia="Calibri" w:hAnsiTheme="majorBidi" w:cstheme="majorBidi"/>
                <w:i/>
              </w:rPr>
              <w:t>Souvenez-vous, que</w:t>
            </w:r>
            <w:r w:rsidRPr="007C6A42">
              <w:rPr>
                <w:rFonts w:asciiTheme="majorBidi" w:eastAsia="Calibri" w:hAnsiTheme="majorBidi" w:cstheme="majorBidi"/>
              </w:rPr>
              <w:t>] Nous déposons dans les utérus ce que Nous voulons, jusqu’à un terme fixé, que Nous vous [</w:t>
            </w:r>
            <w:r w:rsidRPr="007C6A42">
              <w:rPr>
                <w:rFonts w:asciiTheme="majorBidi" w:eastAsia="Calibri" w:hAnsiTheme="majorBidi" w:cstheme="majorBidi"/>
                <w:i/>
              </w:rPr>
              <w:t>en</w:t>
            </w:r>
            <w:r w:rsidRPr="007C6A42">
              <w:rPr>
                <w:rFonts w:asciiTheme="majorBidi" w:eastAsia="Calibri" w:hAnsiTheme="majorBidi" w:cstheme="majorBidi"/>
              </w:rPr>
              <w:t>] faisons sortir ensuite, petit enfant, pour qu’ensuite vous atteigniez votre puberté. Parmi vous, il en est qui seront rappelés [</w:t>
            </w:r>
            <w:r w:rsidRPr="007C6A42">
              <w:rPr>
                <w:rFonts w:asciiTheme="majorBidi" w:eastAsia="Calibri" w:hAnsiTheme="majorBidi" w:cstheme="majorBidi"/>
                <w:i/>
              </w:rPr>
              <w:t>au Seigneur</w:t>
            </w:r>
            <w:r w:rsidRPr="007C6A42">
              <w:rPr>
                <w:rFonts w:asciiTheme="majorBidi" w:eastAsia="Calibri" w:hAnsiTheme="majorBidi" w:cstheme="majorBidi"/>
              </w:rPr>
              <w:t>] (tawaffä) [</w:t>
            </w:r>
            <w:r w:rsidRPr="007C6A42">
              <w:rPr>
                <w:rFonts w:asciiTheme="majorBidi" w:eastAsia="Calibri" w:hAnsiTheme="majorBidi" w:cstheme="majorBidi"/>
                <w:i/>
              </w:rPr>
              <w:t>avant la vieillesse</w:t>
            </w:r>
            <w:r w:rsidRPr="007C6A42">
              <w:rPr>
                <w:rFonts w:asciiTheme="majorBidi" w:eastAsia="Calibri" w:hAnsiTheme="majorBidi" w:cstheme="majorBidi"/>
              </w:rPr>
              <w:t>] ; parmi vous, il en est qui sont rejetés jusqu’à l’âge le plus vil, afin qu’après avoir su ils ne sachent plus rien. [</w:t>
            </w:r>
            <w:r w:rsidRPr="007C6A42">
              <w:rPr>
                <w:rFonts w:asciiTheme="majorBidi" w:eastAsia="Calibri" w:hAnsiTheme="majorBidi" w:cstheme="majorBidi"/>
                <w:i/>
              </w:rPr>
              <w:t>De même</w:t>
            </w:r>
            <w:r w:rsidRPr="007C6A42">
              <w:rPr>
                <w:rFonts w:asciiTheme="majorBidi" w:eastAsia="Calibri" w:hAnsiTheme="majorBidi" w:cstheme="majorBidi"/>
              </w:rPr>
              <w:t>,] tu vois la terre prostrée. Or, quand Nous faisons descendre sur elle l’eau [</w:t>
            </w:r>
            <w:r w:rsidRPr="007C6A42">
              <w:rPr>
                <w:rFonts w:asciiTheme="majorBidi" w:eastAsia="Calibri" w:hAnsiTheme="majorBidi" w:cstheme="majorBidi"/>
                <w:i/>
              </w:rPr>
              <w:t>du ciel</w:t>
            </w:r>
            <w:r w:rsidRPr="007C6A42">
              <w:rPr>
                <w:rFonts w:asciiTheme="majorBidi" w:eastAsia="Calibri" w:hAnsiTheme="majorBidi" w:cstheme="majorBidi"/>
              </w:rPr>
              <w:t>], elle s’ébroue, se redresse, fait pousser tout magnifique couple [</w:t>
            </w:r>
            <w:r w:rsidRPr="007C6A42">
              <w:rPr>
                <w:rFonts w:asciiTheme="majorBidi" w:eastAsia="Calibri" w:hAnsiTheme="majorBidi" w:cstheme="majorBidi"/>
                <w:i/>
              </w:rPr>
              <w:t>végétal</w:t>
            </w:r>
            <w:r w:rsidRPr="007C6A42">
              <w:rPr>
                <w:rFonts w:asciiTheme="majorBidi" w:eastAsia="Calibri" w:hAnsiTheme="majorBidi" w:cstheme="majorBidi"/>
              </w:rPr>
              <w:t xml:space="preserve">]. </w:t>
            </w:r>
          </w:p>
        </w:tc>
      </w:tr>
      <w:tr w:rsidR="00A70B78" w:rsidRPr="007C6A42" w14:paraId="6B80A762" w14:textId="77777777" w:rsidTr="00AF4FC9">
        <w:tc>
          <w:tcPr>
            <w:tcW w:w="851" w:type="dxa"/>
          </w:tcPr>
          <w:p w14:paraId="7AE050E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10069" w:type="dxa"/>
          </w:tcPr>
          <w:p w14:paraId="0A8D584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Ho, les gens ! Si vous êtes en doute au sujet de la résurrection, eh bien, c’est Nous qui vous avons créés de poussière, puis de sperme, puis de caillot, puis de chair, formée aussi bien qu’informe, - pour tout vous expliquer ; - et Nous déposons dans les matrices ce que Nous voulons, jusqu’à un terme dénommé ; puis Nous vous faisons sortir bébés pour qu’ensuite vous atteigniez vos pleines forces. Tel </w:t>
            </w:r>
            <w:r w:rsidRPr="007C6A42">
              <w:rPr>
                <w:rFonts w:asciiTheme="majorBidi" w:eastAsia="Calibri" w:hAnsiTheme="majorBidi" w:cstheme="majorBidi"/>
              </w:rPr>
              <w:lastRenderedPageBreak/>
              <w:t>d’entre vous est achevé ; tel d’entre vous est reconduit jusqu’au plus vil de l’âge de sorte qu’après avoir su il ne sait plus rien. De même, tu verras la terre éteinte : dès que Nous y faisons descendre de l’eau, elle remue, et gonfle, et pousse toute sorte de couple joli.</w:t>
            </w:r>
          </w:p>
        </w:tc>
      </w:tr>
      <w:tr w:rsidR="00A70B78" w:rsidRPr="007C6A42" w14:paraId="6611DE24" w14:textId="77777777" w:rsidTr="00AF4FC9">
        <w:tc>
          <w:tcPr>
            <w:tcW w:w="851" w:type="dxa"/>
          </w:tcPr>
          <w:p w14:paraId="41A243A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Mass.</w:t>
            </w:r>
          </w:p>
        </w:tc>
        <w:tc>
          <w:tcPr>
            <w:tcW w:w="10069" w:type="dxa"/>
          </w:tcPr>
          <w:p w14:paraId="090A2A9F"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Ô vous les hommes ! Si vous êtes dans le doute au sujet de la Résurrection, sachez qu’en vérité, c’est nous qui vous avons créés de poussière, puis d’une goutte de sperme, puis d’un caillot de sang, puis d’une masse flasque, formée ou non. – Nous vous l’expliquons ainsi. – Nous déposons dans les matrices ce que nous voulons jusqu’à un terme fixé ; puis nous faisons sortir les petits enfants pour que vous atteigniez plus tard votre maturité. Tel d’entre vous meurt ; un autre parvient à l’âge de la décrépitude au point de ne plus rien savoir de ce qu’il savait. Tu vois la terre désertique, mais dès que nous y faisons descendre de l’eau, elle remue, elle gonfle, elle fait pousser toutes sortes de belles espèces de plantes. </w:t>
            </w:r>
          </w:p>
        </w:tc>
      </w:tr>
      <w:tr w:rsidR="00A70B78" w:rsidRPr="007C6A42" w14:paraId="543BDC73" w14:textId="77777777" w:rsidTr="00AF4FC9">
        <w:tc>
          <w:tcPr>
            <w:tcW w:w="851" w:type="dxa"/>
          </w:tcPr>
          <w:p w14:paraId="5683F6C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10069" w:type="dxa"/>
          </w:tcPr>
          <w:p w14:paraId="1F9DFE44"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Ohé, les humains, si vous êtes dans le doute pour la Résurrection, voici, nous vous avons créés de poussière, puis de sperme, puis d’un embryon, puis d’un fœtus, formé ou non, une évidence pour vous ! Nous déposons dans les matrices ce que nous voulons jusqu’à terme, et nous en sortons un bambin qui atteindra sa maturité.</w:t>
            </w:r>
          </w:p>
          <w:p w14:paraId="0B303A5E"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Parmi vous, certains trépassent, d’autres descendent à la décrépitude de l’existence : après avoir su jadis, ils ne savent plus rien. Tu vois la terre s’éteindre, mais, quand nous lui faisons descendre de l’eau, elle s’ébroue, se gonfle et produit tous les couples splendides.</w:t>
            </w:r>
          </w:p>
        </w:tc>
      </w:tr>
      <w:tr w:rsidR="00A70B78" w:rsidRPr="007C6A42" w14:paraId="6814F7F4" w14:textId="77777777" w:rsidTr="00AF4FC9">
        <w:tc>
          <w:tcPr>
            <w:tcW w:w="851" w:type="dxa"/>
          </w:tcPr>
          <w:p w14:paraId="1784F96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10069" w:type="dxa"/>
          </w:tcPr>
          <w:p w14:paraId="635FAA4B"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Hommes ! Si vous doutez de la Résurrection, considérez que Nous vous avons créés de poussière, puis d’une goutte de sperme, qui devint grumeau de sang ; puis d’un morceau de chair tantôt formé, tantôt informe pour vous démontrer Notre puissance. Nous laissons demeurer dans les entrailles ce qu’il Nous plaît jusqu’à un terme marqué, et puis ; Nous vous en faisons sortir, tendres enfants. Puis, Nous vous laissons atteindre l’âge mûr ; les uns meurent avant, d’autres parviennent à l’âge décrépit, au point d’oublier tout ce qu’ils savaient autrefois. Tu vois la terre inerte ; que Nous y fassions descendre de l’eau, la voilà qui palpite, se gonfle, et fait germer toute espèce de végétaux luxuriants. </w:t>
            </w:r>
          </w:p>
        </w:tc>
      </w:tr>
      <w:tr w:rsidR="00A70B78" w:rsidRPr="007C6A42" w14:paraId="6C21BC91" w14:textId="77777777" w:rsidTr="00AF4FC9">
        <w:tc>
          <w:tcPr>
            <w:tcW w:w="851" w:type="dxa"/>
          </w:tcPr>
          <w:p w14:paraId="07793D6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r w:rsidRPr="007C6A42">
              <w:rPr>
                <w:rFonts w:asciiTheme="majorBidi" w:eastAsia="Times New Roman" w:hAnsiTheme="majorBidi" w:cstheme="majorBidi"/>
              </w:rPr>
              <w:t>.</w:t>
            </w:r>
          </w:p>
        </w:tc>
        <w:tc>
          <w:tcPr>
            <w:tcW w:w="10069" w:type="dxa"/>
          </w:tcPr>
          <w:p w14:paraId="5134A81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Ô hommes ! Si vous doutez au sujet de la Résurrection, C’est Nous qui vous avons créés de terre, puis d’une goutte de sperme, puis d’une adhérence puis d’un embryon [normalement] formé aussi bien qu’informe pour vous montrer [Notre Omnipotence] et Nous déposerons dans les matrices ce que Nous voulons jusqu’à un terme fixé. Puis Nous vous en sortirons [à l’état] de bébé, pour qu’ensuite vous atteigniez votre maturité. Il en est parmi vous qui meurent [jeunes] tandis que d’autres parviennent au plus vil de l’âge si bien qu’ils ne savent plus rien de ce qu’ils connaissaient </w:t>
            </w:r>
            <w:r w:rsidRPr="007C6A42">
              <w:rPr>
                <w:rFonts w:asciiTheme="majorBidi" w:eastAsia="Times New Roman" w:hAnsiTheme="majorBidi" w:cstheme="majorBidi"/>
              </w:rPr>
              <w:lastRenderedPageBreak/>
              <w:t>auparavant. De même tu vois la terre desséchée : dès que Nous y faisons descendre de l’eau elle remue, se gonfle, et fait pousser toutes sortes de splendides couples de végétaux.</w:t>
            </w:r>
          </w:p>
        </w:tc>
      </w:tr>
      <w:tr w:rsidR="00A70B78" w:rsidRPr="007C6A42" w14:paraId="2C143AE7" w14:textId="77777777" w:rsidTr="00AF4FC9">
        <w:tc>
          <w:tcPr>
            <w:tcW w:w="851" w:type="dxa"/>
          </w:tcPr>
          <w:p w14:paraId="654BFFA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Berque</w:t>
            </w:r>
          </w:p>
        </w:tc>
        <w:tc>
          <w:tcPr>
            <w:tcW w:w="10069" w:type="dxa"/>
          </w:tcPr>
          <w:p w14:paraId="2F9CC3E7" w14:textId="77777777" w:rsidR="00A70B78" w:rsidRPr="007C6A42" w:rsidRDefault="00A70B78" w:rsidP="00AF4FC9">
            <w:pPr>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Humains, vous demeureriez dans le doute quant à la Résurrection ? Eh bien ! nous vous avons créés de poussière, puis d’un peu de liquide, puis d’une adhérence, puis d’une mâchure, soumise à création échelonnée, cela pour vous démontrer (Notre pouvoir). Et Nous fixons dans les matrices ce que bon Nous semble, jusqu’à un terme déterminé, et puis enfin Nous vous faisons sortir enfant, après quoi Nous visons à vous faire atteindre votre force adulte ; et certains parmi vous sont recouvrés (jeunes), et d’autres ramenés au plus débile de l’âge, au point de ne rien connaître après avoir connu. Ainsi vois-tu la terre languir, et quand Nous faisons descendre de l’eau sur elle, s’émouvoir, gonfler, faire pousser un peu de chaque merveilleuse espèce</w:t>
            </w:r>
          </w:p>
        </w:tc>
      </w:tr>
      <w:tr w:rsidR="00A70B78" w:rsidRPr="007C6A42" w14:paraId="56D8CEA0" w14:textId="77777777" w:rsidTr="00AF4FC9">
        <w:tc>
          <w:tcPr>
            <w:tcW w:w="851" w:type="dxa"/>
          </w:tcPr>
          <w:p w14:paraId="1F247C6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10069" w:type="dxa"/>
          </w:tcPr>
          <w:p w14:paraId="55C6002B"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Hommes ! Si de la Résurrection vous veniez à douter, </w:t>
            </w:r>
          </w:p>
          <w:p w14:paraId="28014FA8"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Considérez que </w:t>
            </w:r>
            <w:r w:rsidRPr="007C6A42">
              <w:rPr>
                <w:rFonts w:asciiTheme="majorBidi" w:eastAsia="Calibri" w:hAnsiTheme="majorBidi" w:cstheme="majorBidi"/>
                <w:b/>
              </w:rPr>
              <w:t>Nous</w:t>
            </w:r>
            <w:r w:rsidRPr="007C6A42">
              <w:rPr>
                <w:rFonts w:asciiTheme="majorBidi" w:eastAsia="Calibri" w:hAnsiTheme="majorBidi" w:cstheme="majorBidi"/>
              </w:rPr>
              <w:t xml:space="preserve"> vous avons, à partir de poussière, créés</w:t>
            </w:r>
          </w:p>
          <w:p w14:paraId="5559B84C"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Puis de sperme qui en globules de sang s’est transformé</w:t>
            </w:r>
          </w:p>
          <w:p w14:paraId="6E001466"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Puis d’un morceau de chair tantôt informe et tantôt formé</w:t>
            </w:r>
          </w:p>
          <w:p w14:paraId="141B7043"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Ceci pour vous expliciter en toute clarté</w:t>
            </w:r>
          </w:p>
          <w:p w14:paraId="7BAE80B2"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Puis </w:t>
            </w:r>
            <w:r w:rsidRPr="007C6A42">
              <w:rPr>
                <w:rFonts w:asciiTheme="majorBidi" w:eastAsia="Calibri" w:hAnsiTheme="majorBidi" w:cstheme="majorBidi"/>
                <w:b/>
              </w:rPr>
              <w:t xml:space="preserve">Nous </w:t>
            </w:r>
            <w:r w:rsidRPr="007C6A42">
              <w:rPr>
                <w:rFonts w:asciiTheme="majorBidi" w:eastAsia="Calibri" w:hAnsiTheme="majorBidi" w:cstheme="majorBidi"/>
              </w:rPr>
              <w:t xml:space="preserve">déposons dans les matrices ce qui </w:t>
            </w:r>
            <w:r w:rsidRPr="007C6A42">
              <w:rPr>
                <w:rFonts w:asciiTheme="majorBidi" w:eastAsia="Calibri" w:hAnsiTheme="majorBidi" w:cstheme="majorBidi"/>
                <w:b/>
              </w:rPr>
              <w:t xml:space="preserve">Nous </w:t>
            </w:r>
            <w:r w:rsidRPr="007C6A42">
              <w:rPr>
                <w:rFonts w:asciiTheme="majorBidi" w:eastAsia="Calibri" w:hAnsiTheme="majorBidi" w:cstheme="majorBidi"/>
              </w:rPr>
              <w:t xml:space="preserve">plaît </w:t>
            </w:r>
          </w:p>
          <w:p w14:paraId="708C1C0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Jusqu’à un terme marqué pour en faire sortir des bébés</w:t>
            </w:r>
          </w:p>
          <w:p w14:paraId="4A1B4F9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Vous atteignez ensuite votre puberté</w:t>
            </w:r>
          </w:p>
          <w:p w14:paraId="14C85B9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Parmi vous, certains sont vers </w:t>
            </w:r>
            <w:r w:rsidRPr="007C6A42">
              <w:rPr>
                <w:rFonts w:asciiTheme="majorBidi" w:eastAsia="Calibri" w:hAnsiTheme="majorBidi" w:cstheme="majorBidi"/>
                <w:b/>
              </w:rPr>
              <w:t>DIEU</w:t>
            </w:r>
            <w:r w:rsidRPr="007C6A42">
              <w:rPr>
                <w:rFonts w:asciiTheme="majorBidi" w:eastAsia="Calibri" w:hAnsiTheme="majorBidi" w:cstheme="majorBidi"/>
              </w:rPr>
              <w:t xml:space="preserve"> rappelés </w:t>
            </w:r>
          </w:p>
          <w:p w14:paraId="656EC1F7"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D’autres parviennent à l’âge de la sénilité</w:t>
            </w:r>
          </w:p>
          <w:p w14:paraId="65140236"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Au point d’oublier tout ce qu’ils savaient </w:t>
            </w:r>
          </w:p>
          <w:p w14:paraId="4BA5B785"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Tu as vu la terre parfois desséchée</w:t>
            </w:r>
          </w:p>
          <w:p w14:paraId="2F7E445B"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Or, dès qu’elle est par l’eau céleste arrosée</w:t>
            </w:r>
          </w:p>
          <w:p w14:paraId="1A112523"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Elle est vivifiée, se gonfle et fait germer</w:t>
            </w:r>
          </w:p>
          <w:p w14:paraId="1ECA6D88"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Toutes espèces de végétaux luxuriants et couplés.</w:t>
            </w:r>
          </w:p>
        </w:tc>
      </w:tr>
      <w:tr w:rsidR="00A70B78" w:rsidRPr="007C6A42" w14:paraId="5ACC199F" w14:textId="77777777" w:rsidTr="00AF4FC9">
        <w:tc>
          <w:tcPr>
            <w:tcW w:w="851" w:type="dxa"/>
          </w:tcPr>
          <w:p w14:paraId="567BB042"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10069" w:type="dxa"/>
          </w:tcPr>
          <w:p w14:paraId="6225AF8A"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Ô hommes ! Si vous êtes dans le doute au sujet de la Résurrection, sachez qu’en vérité c’est Nous qui vous avons créés de terre, puis d’une goutte de sperme, puis d’une jonction cellulaire, puis d’un embryon formé normalement ou bien informe. Nous vous l’expliquons ainsi. Nous maintenons dans les matrices ce que Nous voulons jusqu’à un terme fixé. Puis, Nous vous en faisons sortir petit enfant pour que vous atteigniez ensuite votre maturité. Il en est parmi vous qui meurent encore jeunes, tandis que d’autres parviennent à l’âge de la décrépitude au point de ne plus rien savoir de ce qu’ils savaient </w:t>
            </w:r>
            <w:r w:rsidRPr="007C6A42">
              <w:rPr>
                <w:rFonts w:asciiTheme="majorBidi" w:eastAsia="Calibri" w:hAnsiTheme="majorBidi" w:cstheme="majorBidi"/>
              </w:rPr>
              <w:lastRenderedPageBreak/>
              <w:t xml:space="preserve">auparavant. De même, tu vois la terre desséchée, mais dès que Nous y faisons descendre de l’eau, elle remue, se gonfle et fait germer toutes sortes de couples de belles espèces de plantes. </w:t>
            </w:r>
          </w:p>
        </w:tc>
      </w:tr>
      <w:tr w:rsidR="00A70B78" w:rsidRPr="007C6A42" w14:paraId="3D19A6D0" w14:textId="77777777" w:rsidTr="00AF4FC9">
        <w:tc>
          <w:tcPr>
            <w:tcW w:w="851" w:type="dxa"/>
          </w:tcPr>
          <w:p w14:paraId="62FFD67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Gros.</w:t>
            </w:r>
          </w:p>
        </w:tc>
        <w:tc>
          <w:tcPr>
            <w:tcW w:w="10069" w:type="dxa"/>
          </w:tcPr>
          <w:p w14:paraId="0BD31D59"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Hommes, si vous doutez de l’avertissement, nous vous avons créés de poussière, puis de sperme, puis de caillot, puis de masse flasque formée ou non. Nous vous l’expliquons. Nous déposons dans la matrice ce que nous voulons jusqu’à un terme fixé et nous vous en faisons sortir, enfants jusqu’à l’âge mûr. Puis certains sont rappelés et d’autres rejetés à la décrépitude jusqu’à ne plus savoir ce qu’ils savaient. Tu vois la terre morte et, quand nous faisons pleuvoir, elle remue, elle gonfle, elle fait pousser de tout par beaux couples. </w:t>
            </w:r>
          </w:p>
        </w:tc>
      </w:tr>
      <w:tr w:rsidR="00A70B78" w:rsidRPr="007C6A42" w14:paraId="279377C9" w14:textId="77777777" w:rsidTr="00AF4FC9">
        <w:tc>
          <w:tcPr>
            <w:tcW w:w="851" w:type="dxa"/>
          </w:tcPr>
          <w:p w14:paraId="1C215E5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10069" w:type="dxa"/>
          </w:tcPr>
          <w:p w14:paraId="472D1535"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Ô hommes ! Si vous êtes dans le doute au sujet de la Résurrection, sachez que c’est Nous qui vous avons tirés de terre puis d’une goutte de sperme, puis d’une adhérence, puis d’un embryon dont une partie est déjà formée et une autre non encore formée. C’est ainsi que Nous vous donnons une idée de Notre puissance. Nous maintenons dans les matrices ce que Nous voulons jusqu’au terme fixé pour vous en faire ensuite sortir à l’état de bébé, et vous atteindrez ainsi plus tard votre maturité. Il en est parmi vous qui meurent encore jeunes, tandis que d’autres arrivent jusqu’à l’âge de la décrépitude au point de ne plus se souvenir de ce qu’ils savaient. Ne vois-tu pas comment la terre desséchée reprend vie, dès que Nous l’arrosons de pluie, pour se gonfler et se couvrir de toutes sortes de couples de plantes luxuriantes ?</w:t>
            </w:r>
          </w:p>
        </w:tc>
      </w:tr>
      <w:tr w:rsidR="00A70B78" w:rsidRPr="007C6A42" w14:paraId="02C9F7B4" w14:textId="77777777" w:rsidTr="00AF4FC9">
        <w:tc>
          <w:tcPr>
            <w:tcW w:w="851" w:type="dxa"/>
          </w:tcPr>
          <w:p w14:paraId="5F67123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10069" w:type="dxa"/>
          </w:tcPr>
          <w:p w14:paraId="1032AAAA"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O hommes ! Si vous doutez de la résurrection, souvenez-vous que nous vous avons tirés de la terre. Vous avez été successivement une goutte de sperme, un caillot de sang, puis un fœtus viable ou non. Nous vous avons montré ainsi notre puissance. Nous maintenons dans le sein de vos mères les germes fécondés jusqu’au terme fixé puis nous en tirons des enfants. Vous atteignez ensuite l’âge adulte. Certains d’entre vous meurent ; d’autres arrivent à un âge si avancé qu’ils perdent toutes leurs facultés. La terre a été stérile. Mais à peine l’avons-nous arrosée de pluie qu’elle a palpité et, s’épanouissant, a donné la vie à une magnifique variété de plantes. </w:t>
            </w:r>
          </w:p>
        </w:tc>
      </w:tr>
      <w:tr w:rsidR="00A70B78" w:rsidRPr="007C6A42" w14:paraId="1A2945B1" w14:textId="77777777" w:rsidTr="00AF4FC9">
        <w:tc>
          <w:tcPr>
            <w:tcW w:w="851" w:type="dxa"/>
          </w:tcPr>
          <w:p w14:paraId="193073D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10069" w:type="dxa"/>
          </w:tcPr>
          <w:p w14:paraId="72D96CA1"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Ô vous les hommes, si vous êtes dans le doute en matière de résurrection, sachez que Nous vous avons créés de poussière, puis d’une goutte de sperme, puis d’une petite adhérence, puis d’un grumeau de chair à la fois précis et encore indéterminé, afin que Nous vous montrions [ce dont Nous sommes capables]. Nous déposons dans les matrices ce que Nous voulons, et cela jusqu’à une période précise, puis Nous vous faisons naître comme petits enfants, avant d’atteindre votre maturité. Il y a ceux d’entre vous qui meurent et d’autres qui sont laissés pour compte jusqu’à un âge où ils seront humiliés au point de ne plus rien savoir de ce qu’ils auront acquis. Tu verras la terre desséchée et </w:t>
            </w:r>
            <w:r w:rsidRPr="007C6A42">
              <w:rPr>
                <w:rFonts w:asciiTheme="majorBidi" w:eastAsia="Calibri" w:hAnsiTheme="majorBidi" w:cstheme="majorBidi"/>
              </w:rPr>
              <w:lastRenderedPageBreak/>
              <w:t xml:space="preserve">stérile, mais dès lors qu’une eau descendue du ciel l’arrosera, elle s’éveillera soudain, s’ébrouera, enflera de ce qu’elle porte et donnera naissance à de luxuriants couples de végétaux. </w:t>
            </w:r>
          </w:p>
        </w:tc>
      </w:tr>
      <w:tr w:rsidR="00A70B78" w:rsidRPr="007C6A42" w14:paraId="66C524CE" w14:textId="77777777" w:rsidTr="00AF4FC9">
        <w:tc>
          <w:tcPr>
            <w:tcW w:w="851" w:type="dxa"/>
          </w:tcPr>
          <w:p w14:paraId="3C634BA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Abdel.</w:t>
            </w:r>
          </w:p>
        </w:tc>
        <w:tc>
          <w:tcPr>
            <w:tcW w:w="10069" w:type="dxa"/>
          </w:tcPr>
          <w:p w14:paraId="485B046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O Hommes ! Si vous êtes dans le doute à propos de la Résurrection, c’est Nous qui vous Créâmes de poussière, puis d’une nutfah (gouttelette), puis d’une ‘alaqah (chose qui s’accroche), puis d’une mudǧah, (machûre) structurée et non structurée, pour vous expliquer. Et Nous stabilisons, dans les matrices, ce que Nous Voulons jusqu’à un terme fixé, puis Nous vous Faisons sortir un enfant, pour que vous atteigniez ensuite la force de l’âge. Et il en est d’entre vous qui est Rappelé, et d’entre vous qui est Réduit au plus décrépit des âges, afin qu’il ne sache plus rien, après avoir eu science. Et tu vois la terre inerte ; si alors Nous y Déversons de l’eau, elle s’émeut, s’accroît, et fait pousser de chaque sorte resplendissante. </w:t>
            </w:r>
          </w:p>
        </w:tc>
      </w:tr>
      <w:tr w:rsidR="00A70B78" w:rsidRPr="007C6A42" w14:paraId="6F3F761C" w14:textId="77777777" w:rsidTr="00AF4FC9">
        <w:tc>
          <w:tcPr>
            <w:tcW w:w="851" w:type="dxa"/>
          </w:tcPr>
          <w:p w14:paraId="3421EBE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10069" w:type="dxa"/>
          </w:tcPr>
          <w:p w14:paraId="1464849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Ô humains ! Si vous êtes dans la suspicion au sujet de la résurrection, c’est nous qui vous avons créés de terre, puis d’une goutte [de sperme], puis d'une adhérence, puis d’un embryon créé complètement ou incomplètement pour vous manifester [notre puissance]. Ensuite, nous fixons dans les matrices ce que nous souhaitons jusqu’à un terme nommé. Puis nous vous faisons sortir enfants, pour qu’ensuite vous parveniez à votre plus fort. Il en est parmi vous qui sera rappelé [jeunes], et tel autre parmi vous parviendra à l’âge le plus humiliant au point qu’après avoir eu une connaissance, il n’en saura plus rien. Tu vois la terre éteinte. Puis aussitôt que nous faisons descendre l'eau sur elle, elle se remue, s’accroît, et fait pousser toutes [sortes] de magnifiques couples [de végétaux].</w:t>
            </w:r>
          </w:p>
        </w:tc>
      </w:tr>
    </w:tbl>
    <w:p w14:paraId="70A30788" w14:textId="77777777" w:rsidR="00A70B78" w:rsidRPr="007C6A42" w:rsidRDefault="00A70B78" w:rsidP="00A70B78">
      <w:pPr>
        <w:spacing w:line="360" w:lineRule="auto"/>
        <w:contextualSpacing/>
        <w:jc w:val="both"/>
        <w:rPr>
          <w:rFonts w:asciiTheme="majorBidi" w:eastAsia="Times New Roman" w:hAnsiTheme="majorBidi" w:cstheme="majorBidi"/>
          <w:lang w:bidi="ar-KW"/>
        </w:rPr>
      </w:pPr>
    </w:p>
    <w:p w14:paraId="3964D3E2" w14:textId="77777777" w:rsidR="00A70B78" w:rsidRPr="007C6A42" w:rsidRDefault="00A70B78" w:rsidP="00A70B78">
      <w:pPr>
        <w:shd w:val="clear" w:color="auto" w:fill="FFFFFF"/>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Nous savons que A. Berman a élaboré le concept d’un réseau signifiant sous-jacent à tout texte.</w:t>
      </w:r>
      <w:r w:rsidRPr="007C6A42">
        <w:rPr>
          <w:rFonts w:asciiTheme="majorBidi" w:eastAsia="Times New Roman" w:hAnsiTheme="majorBidi" w:cstheme="majorBidi"/>
          <w:vertAlign w:val="superscript"/>
        </w:rPr>
        <w:footnoteReference w:id="550"/>
      </w:r>
      <w:r w:rsidRPr="007C6A42">
        <w:rPr>
          <w:rFonts w:asciiTheme="majorBidi" w:eastAsia="Times New Roman" w:hAnsiTheme="majorBidi" w:cstheme="majorBidi"/>
        </w:rPr>
        <w:t xml:space="preserve"> Nous pourrions reprendre ce concept pour l’appliquer au texte arabe du verset 5 et nous demander s’il n’existe pas un réseau signifiant de même nature qui puisse souligner la réincarnation, idée que soutiendraient les alaouites et les druzes alors que les exégèses sunnites et chiites, elles, ont rejeté un tel réseau sous-jacent. Ici, certains signifiants clé se répondraient et s’enchaîneraient en formant ainsi un réseau sous la "surface" du verset pour faire allusion à la réincarnation. </w:t>
      </w:r>
    </w:p>
    <w:p w14:paraId="6C215918" w14:textId="77777777" w:rsidR="00A70B78" w:rsidRPr="007C6A42" w:rsidRDefault="00A70B78" w:rsidP="00A70B78">
      <w:pPr>
        <w:shd w:val="clear" w:color="auto" w:fill="FFFFFF"/>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À l’instar des exégètes, les traducteurs aussi ont détruit ce réseau. Par conséquent, les traductions ne dépendraient-elles pas de l’exégèse ? Elles seraient alors une exégèse désherbée, débroussaillée, voire nettoyée de tout ce qui est concret et tendraient donc vers l’abstraction et la généralisation.</w:t>
      </w:r>
    </w:p>
    <w:p w14:paraId="5663DF4F" w14:textId="77777777" w:rsidR="00A70B78" w:rsidRPr="007C6A42" w:rsidRDefault="00A70B78" w:rsidP="00A70B78">
      <w:pPr>
        <w:spacing w:line="360" w:lineRule="auto"/>
        <w:contextualSpacing/>
        <w:jc w:val="both"/>
        <w:rPr>
          <w:rFonts w:asciiTheme="majorBidi" w:hAnsiTheme="majorBidi" w:cstheme="majorBidi"/>
        </w:rPr>
      </w:pPr>
    </w:p>
    <w:p w14:paraId="507AC1A0"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hAnsiTheme="majorBidi" w:cstheme="majorBidi"/>
        </w:rPr>
        <w:t xml:space="preserve">Le </w:t>
      </w:r>
      <w:r w:rsidRPr="007C6A42">
        <w:rPr>
          <w:rFonts w:asciiTheme="majorBidi" w:eastAsia="Times New Roman" w:hAnsiTheme="majorBidi" w:cstheme="majorBidi"/>
          <w:i/>
          <w:iCs/>
        </w:rPr>
        <w:t>baʿth</w:t>
      </w:r>
      <w:r w:rsidRPr="007C6A42">
        <w:rPr>
          <w:rFonts w:asciiTheme="majorBidi" w:eastAsia="Times New Roman" w:hAnsiTheme="majorBidi" w:cstheme="majorBidi"/>
        </w:rPr>
        <w:t> coranique consiste dans le passage d’une phase (</w:t>
      </w:r>
      <w:r w:rsidRPr="007C6A42">
        <w:rPr>
          <w:rFonts w:asciiTheme="majorBidi" w:hAnsiTheme="majorBidi" w:cstheme="majorBidi"/>
          <w:i/>
          <w:iCs/>
        </w:rPr>
        <w:t>ṭ</w:t>
      </w:r>
      <w:r w:rsidRPr="007C6A42">
        <w:rPr>
          <w:rFonts w:asciiTheme="majorBidi" w:eastAsia="Times New Roman" w:hAnsiTheme="majorBidi" w:cstheme="majorBidi"/>
          <w:i/>
          <w:iCs/>
        </w:rPr>
        <w:t>awr</w:t>
      </w:r>
      <w:r w:rsidRPr="007C6A42">
        <w:rPr>
          <w:rStyle w:val="Appelnotedebasdep"/>
          <w:rFonts w:asciiTheme="majorBidi" w:eastAsia="Times New Roman" w:hAnsiTheme="majorBidi" w:cstheme="majorBidi"/>
        </w:rPr>
        <w:footnoteReference w:id="551"/>
      </w:r>
      <w:r w:rsidRPr="007C6A42">
        <w:rPr>
          <w:rFonts w:asciiTheme="majorBidi" w:eastAsia="Times New Roman" w:hAnsiTheme="majorBidi" w:cstheme="majorBidi"/>
        </w:rPr>
        <w:t>) à une autre et a pour démonstration ou argument deux images similaires : 1) la création de l’être humain : étape de poussières puis de sperme puis de fœtus puis de l’enfance, puis de la maturité, puis de la mort (</w:t>
      </w:r>
      <w:r w:rsidRPr="007C6A42">
        <w:rPr>
          <w:rFonts w:asciiTheme="majorBidi" w:eastAsia="Times New Roman" w:hAnsiTheme="majorBidi" w:cstheme="majorBidi"/>
          <w:i/>
          <w:iCs/>
        </w:rPr>
        <w:t>turāb</w:t>
      </w:r>
      <w:r w:rsidRPr="007C6A42">
        <w:rPr>
          <w:rFonts w:asciiTheme="majorBidi" w:eastAsia="Times New Roman" w:hAnsiTheme="majorBidi" w:cstheme="majorBidi"/>
        </w:rPr>
        <w:t xml:space="preserve"> [poussière/terre], </w:t>
      </w:r>
      <w:r w:rsidRPr="007C6A42">
        <w:rPr>
          <w:rFonts w:asciiTheme="majorBidi" w:eastAsia="Times New Roman" w:hAnsiTheme="majorBidi" w:cstheme="majorBidi"/>
          <w:i/>
          <w:iCs/>
        </w:rPr>
        <w:t>thumma</w:t>
      </w:r>
      <w:r w:rsidRPr="007C6A42">
        <w:rPr>
          <w:rFonts w:asciiTheme="majorBidi" w:eastAsia="Times New Roman" w:hAnsiTheme="majorBidi" w:cstheme="majorBidi"/>
        </w:rPr>
        <w:t xml:space="preserve"> [puis], </w:t>
      </w:r>
      <w:r w:rsidRPr="007C6A42">
        <w:rPr>
          <w:rFonts w:asciiTheme="majorBidi" w:eastAsia="Times New Roman" w:hAnsiTheme="majorBidi" w:cstheme="majorBidi"/>
          <w:i/>
          <w:iCs/>
        </w:rPr>
        <w:t>nuṭfa</w:t>
      </w:r>
      <w:r w:rsidRPr="007C6A42">
        <w:rPr>
          <w:rFonts w:asciiTheme="majorBidi" w:eastAsia="Times New Roman" w:hAnsiTheme="majorBidi" w:cstheme="majorBidi"/>
        </w:rPr>
        <w:t xml:space="preserve"> [goutte de sperme], </w:t>
      </w:r>
      <w:r w:rsidRPr="007C6A42">
        <w:rPr>
          <w:rFonts w:asciiTheme="majorBidi" w:eastAsia="Times New Roman" w:hAnsiTheme="majorBidi" w:cstheme="majorBidi"/>
          <w:i/>
          <w:iCs/>
        </w:rPr>
        <w:t>ʿalaqa</w:t>
      </w:r>
      <w:r w:rsidRPr="007C6A42">
        <w:rPr>
          <w:rFonts w:asciiTheme="majorBidi" w:eastAsia="Times New Roman" w:hAnsiTheme="majorBidi" w:cstheme="majorBidi"/>
        </w:rPr>
        <w:t xml:space="preserve"> [adhérence], </w:t>
      </w:r>
      <w:r w:rsidRPr="007C6A42">
        <w:rPr>
          <w:rFonts w:asciiTheme="majorBidi" w:eastAsia="Times New Roman" w:hAnsiTheme="majorBidi" w:cstheme="majorBidi"/>
          <w:i/>
          <w:iCs/>
        </w:rPr>
        <w:t>muḍgha</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mâchure/morceau de chair</w:t>
      </w:r>
      <w:r w:rsidRPr="007C6A42">
        <w:rPr>
          <w:rFonts w:asciiTheme="majorBidi" w:eastAsia="Times New Roman" w:hAnsiTheme="majorBidi" w:cstheme="majorBidi"/>
        </w:rPr>
        <w:t xml:space="preserve">], </w:t>
      </w:r>
      <w:r w:rsidRPr="007C6A42">
        <w:rPr>
          <w:rFonts w:asciiTheme="majorBidi" w:hAnsiTheme="majorBidi" w:cstheme="majorBidi"/>
          <w:i/>
          <w:iCs/>
        </w:rPr>
        <w:t>ṭ</w:t>
      </w:r>
      <w:r w:rsidRPr="007C6A42">
        <w:rPr>
          <w:rFonts w:asciiTheme="majorBidi" w:eastAsia="Times New Roman" w:hAnsiTheme="majorBidi" w:cstheme="majorBidi"/>
          <w:i/>
          <w:iCs/>
        </w:rPr>
        <w:t>ifl</w:t>
      </w:r>
      <w:r w:rsidRPr="007C6A42">
        <w:rPr>
          <w:rFonts w:asciiTheme="majorBidi" w:eastAsia="Times New Roman" w:hAnsiTheme="majorBidi" w:cstheme="majorBidi"/>
        </w:rPr>
        <w:t xml:space="preserve"> [enfant], </w:t>
      </w:r>
      <w:r w:rsidRPr="007C6A42">
        <w:rPr>
          <w:rFonts w:asciiTheme="majorBidi" w:eastAsia="Times New Roman" w:hAnsiTheme="majorBidi" w:cstheme="majorBidi"/>
          <w:i/>
          <w:iCs/>
        </w:rPr>
        <w:t>achudd</w:t>
      </w:r>
      <w:r w:rsidRPr="007C6A42">
        <w:rPr>
          <w:rFonts w:asciiTheme="majorBidi" w:eastAsia="Times New Roman" w:hAnsiTheme="majorBidi" w:cstheme="majorBidi"/>
        </w:rPr>
        <w:t xml:space="preserve"> [maturité], </w:t>
      </w:r>
      <w:r w:rsidRPr="007C6A42">
        <w:rPr>
          <w:rFonts w:asciiTheme="majorBidi" w:eastAsia="Times New Roman" w:hAnsiTheme="majorBidi" w:cstheme="majorBidi"/>
          <w:i/>
          <w:iCs/>
        </w:rPr>
        <w:t>yutawaffā</w:t>
      </w:r>
      <w:r w:rsidRPr="007C6A42">
        <w:rPr>
          <w:rFonts w:asciiTheme="majorBidi" w:eastAsia="Times New Roman" w:hAnsiTheme="majorBidi" w:cstheme="majorBidi"/>
        </w:rPr>
        <w:t xml:space="preserve"> [mourir]) ; 2) la pousse des plantes dans une terre desséchée grâce à la pluie (</w:t>
      </w:r>
      <w:r w:rsidRPr="007C6A42">
        <w:rPr>
          <w:rFonts w:asciiTheme="majorBidi" w:eastAsia="Times New Roman" w:hAnsiTheme="majorBidi" w:cstheme="majorBidi"/>
          <w:i/>
          <w:iCs/>
        </w:rPr>
        <w:t>l-arḍ</w:t>
      </w:r>
      <w:r w:rsidRPr="007C6A42">
        <w:rPr>
          <w:rFonts w:asciiTheme="majorBidi" w:eastAsia="Times New Roman" w:hAnsiTheme="majorBidi" w:cstheme="majorBidi"/>
        </w:rPr>
        <w:t xml:space="preserve"> » [la terre], </w:t>
      </w:r>
      <w:r w:rsidRPr="007C6A42">
        <w:rPr>
          <w:rFonts w:asciiTheme="majorBidi" w:eastAsia="Times New Roman" w:hAnsiTheme="majorBidi" w:cstheme="majorBidi"/>
          <w:i/>
          <w:iCs/>
        </w:rPr>
        <w:t>hāmida</w:t>
      </w:r>
      <w:r w:rsidRPr="007C6A42">
        <w:rPr>
          <w:rFonts w:asciiTheme="majorBidi" w:eastAsia="Times New Roman" w:hAnsiTheme="majorBidi" w:cstheme="majorBidi"/>
        </w:rPr>
        <w:t xml:space="preserve"> [éteinte/morte], </w:t>
      </w:r>
      <w:r w:rsidRPr="007C6A42">
        <w:rPr>
          <w:rFonts w:asciiTheme="majorBidi" w:eastAsia="Times New Roman" w:hAnsiTheme="majorBidi" w:cstheme="majorBidi"/>
          <w:i/>
          <w:iCs/>
        </w:rPr>
        <w:t>anzala</w:t>
      </w:r>
      <w:r w:rsidRPr="007C6A42">
        <w:rPr>
          <w:rFonts w:asciiTheme="majorBidi" w:eastAsia="Times New Roman" w:hAnsiTheme="majorBidi" w:cstheme="majorBidi"/>
        </w:rPr>
        <w:t xml:space="preserve"> [faire descendre], </w:t>
      </w:r>
      <w:r w:rsidRPr="007C6A42">
        <w:rPr>
          <w:rFonts w:asciiTheme="majorBidi" w:eastAsia="Times New Roman" w:hAnsiTheme="majorBidi" w:cstheme="majorBidi"/>
          <w:i/>
          <w:iCs/>
        </w:rPr>
        <w:t>al-mā</w:t>
      </w:r>
      <w:r w:rsidRPr="007C6A42">
        <w:rPr>
          <w:rFonts w:asciiTheme="majorBidi" w:hAnsiTheme="majorBidi" w:cstheme="majorBidi"/>
          <w:i/>
          <w:iCs/>
        </w:rPr>
        <w:t>ʾ</w:t>
      </w:r>
      <w:r w:rsidRPr="007C6A42">
        <w:rPr>
          <w:rFonts w:asciiTheme="majorBidi" w:eastAsia="Times New Roman" w:hAnsiTheme="majorBidi" w:cstheme="majorBidi"/>
        </w:rPr>
        <w:t xml:space="preserve"> [l’eau], </w:t>
      </w:r>
      <w:r w:rsidRPr="007C6A42">
        <w:rPr>
          <w:rFonts w:asciiTheme="majorBidi" w:eastAsia="Times New Roman" w:hAnsiTheme="majorBidi" w:cstheme="majorBidi"/>
          <w:i/>
          <w:iCs/>
        </w:rPr>
        <w:t>ihtazza</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s’émouvoir</w:t>
      </w:r>
      <w:r w:rsidRPr="007C6A42">
        <w:rPr>
          <w:rFonts w:asciiTheme="majorBidi" w:eastAsia="Times New Roman" w:hAnsiTheme="majorBidi" w:cstheme="majorBidi"/>
        </w:rPr>
        <w:t xml:space="preserve">], </w:t>
      </w:r>
      <w:r w:rsidRPr="007C6A42">
        <w:rPr>
          <w:rFonts w:asciiTheme="majorBidi" w:eastAsia="Times New Roman" w:hAnsiTheme="majorBidi" w:cstheme="majorBidi"/>
          <w:i/>
          <w:iCs/>
        </w:rPr>
        <w:t>anbata</w:t>
      </w:r>
      <w:r w:rsidRPr="007C6A42">
        <w:rPr>
          <w:rFonts w:asciiTheme="majorBidi" w:eastAsia="Times New Roman" w:hAnsiTheme="majorBidi" w:cstheme="majorBidi"/>
        </w:rPr>
        <w:t xml:space="preserve"> [faire pousser], </w:t>
      </w:r>
      <w:r w:rsidRPr="007C6A42">
        <w:rPr>
          <w:rFonts w:asciiTheme="majorBidi" w:eastAsia="Times New Roman" w:hAnsiTheme="majorBidi" w:cstheme="majorBidi"/>
          <w:i/>
          <w:iCs/>
        </w:rPr>
        <w:t>zawj</w:t>
      </w:r>
      <w:r w:rsidRPr="007C6A42">
        <w:rPr>
          <w:rFonts w:asciiTheme="majorBidi" w:eastAsia="Times New Roman" w:hAnsiTheme="majorBidi" w:cstheme="majorBidi"/>
        </w:rPr>
        <w:t xml:space="preserve"> [couple]).</w:t>
      </w:r>
    </w:p>
    <w:p w14:paraId="1062EE7F" w14:textId="77777777" w:rsidR="00A70B78" w:rsidRPr="007C6A42" w:rsidRDefault="00A70B78" w:rsidP="00A70B78">
      <w:pPr>
        <w:spacing w:line="360" w:lineRule="auto"/>
        <w:ind w:firstLine="708"/>
        <w:contextualSpacing/>
        <w:jc w:val="both"/>
        <w:rPr>
          <w:rFonts w:asciiTheme="majorBidi" w:hAnsiTheme="majorBidi" w:cstheme="majorBidi"/>
        </w:rPr>
      </w:pPr>
      <w:r w:rsidRPr="007C6A42">
        <w:rPr>
          <w:rFonts w:asciiTheme="majorBidi" w:eastAsia="Times New Roman" w:hAnsiTheme="majorBidi" w:cstheme="majorBidi"/>
        </w:rPr>
        <w:t xml:space="preserve">Ces deux groupes de mots interdépendants et mis en comparaison forment un réseau sous-jacent qui dénote plus </w:t>
      </w:r>
      <w:r w:rsidRPr="007C6A42">
        <w:rPr>
          <w:rFonts w:asciiTheme="majorBidi" w:eastAsia="Times New Roman" w:hAnsiTheme="majorBidi" w:cstheme="majorBidi"/>
          <w:lang w:bidi="ar-AE"/>
        </w:rPr>
        <w:t xml:space="preserve">la renaissance cyclique de la nature que la résurrection universelle à la fin des temps. Il existe en arabe une synonymie, un parallélisme entre les principaux mots du premier groupe et les principaux mots du second groupe : </w:t>
      </w:r>
      <w:r w:rsidRPr="007C6A42">
        <w:rPr>
          <w:rFonts w:asciiTheme="majorBidi" w:eastAsia="Times New Roman" w:hAnsiTheme="majorBidi" w:cstheme="majorBidi"/>
          <w:i/>
          <w:iCs/>
          <w:lang w:bidi="ar-AE"/>
        </w:rPr>
        <w:t>khalaqa</w:t>
      </w:r>
      <w:r w:rsidRPr="007C6A42">
        <w:rPr>
          <w:rFonts w:asciiTheme="majorBidi" w:eastAsia="Times New Roman" w:hAnsiTheme="majorBidi" w:cstheme="majorBidi"/>
          <w:lang w:bidi="ar-AE"/>
        </w:rPr>
        <w:t xml:space="preserve"> [créer] et </w:t>
      </w:r>
      <w:r w:rsidRPr="007C6A42">
        <w:rPr>
          <w:rFonts w:asciiTheme="majorBidi" w:eastAsia="Times New Roman" w:hAnsiTheme="majorBidi" w:cstheme="majorBidi"/>
          <w:i/>
          <w:iCs/>
          <w:lang w:bidi="ar-AE"/>
        </w:rPr>
        <w:t>anbata</w:t>
      </w:r>
      <w:r w:rsidRPr="007C6A42">
        <w:rPr>
          <w:rFonts w:asciiTheme="majorBidi" w:eastAsia="Times New Roman" w:hAnsiTheme="majorBidi" w:cstheme="majorBidi"/>
          <w:lang w:bidi="ar-AE"/>
        </w:rPr>
        <w:t xml:space="preserve"> [faire pousser] sont synonymes</w:t>
      </w:r>
      <w:r w:rsidRPr="007C6A42">
        <w:rPr>
          <w:rStyle w:val="Appelnotedebasdep"/>
          <w:rFonts w:asciiTheme="majorBidi" w:eastAsia="Times New Roman" w:hAnsiTheme="majorBidi" w:cstheme="majorBidi"/>
          <w:lang w:bidi="ar-AE"/>
        </w:rPr>
        <w:footnoteReference w:id="552"/>
      </w:r>
      <w:r w:rsidRPr="007C6A42">
        <w:rPr>
          <w:rFonts w:asciiTheme="majorBidi" w:eastAsia="Times New Roman" w:hAnsiTheme="majorBidi" w:cstheme="majorBidi"/>
          <w:lang w:bidi="ar-AE"/>
        </w:rPr>
        <w:t xml:space="preserve"> ; </w:t>
      </w:r>
      <w:r w:rsidRPr="007C6A42">
        <w:rPr>
          <w:rFonts w:asciiTheme="majorBidi" w:eastAsia="Times New Roman" w:hAnsiTheme="majorBidi" w:cstheme="majorBidi"/>
          <w:i/>
          <w:iCs/>
        </w:rPr>
        <w:t>turāb</w:t>
      </w:r>
      <w:r w:rsidRPr="007C6A42">
        <w:rPr>
          <w:rFonts w:asciiTheme="majorBidi" w:eastAsia="Times New Roman" w:hAnsiTheme="majorBidi" w:cstheme="majorBidi"/>
          <w:lang w:bidi="ar-AE"/>
        </w:rPr>
        <w:t xml:space="preserve"> [terre/poussière]</w:t>
      </w:r>
      <w:r w:rsidRPr="007C6A42">
        <w:rPr>
          <w:rFonts w:asciiTheme="majorBidi" w:eastAsia="Times New Roman" w:hAnsiTheme="majorBidi" w:cstheme="majorBidi"/>
        </w:rPr>
        <w:t xml:space="preserve"> et </w:t>
      </w:r>
      <w:r w:rsidRPr="007C6A42">
        <w:rPr>
          <w:rFonts w:asciiTheme="majorBidi" w:eastAsia="Times New Roman" w:hAnsiTheme="majorBidi" w:cstheme="majorBidi"/>
          <w:i/>
          <w:iCs/>
        </w:rPr>
        <w:t>l-arḍ</w:t>
      </w:r>
      <w:r w:rsidRPr="007C6A42">
        <w:rPr>
          <w:rFonts w:asciiTheme="majorBidi" w:eastAsia="Times New Roman" w:hAnsiTheme="majorBidi" w:cstheme="majorBidi"/>
          <w:lang w:bidi="ar-AE"/>
        </w:rPr>
        <w:t xml:space="preserve"> [la terre] </w:t>
      </w:r>
      <w:r w:rsidRPr="007C6A42">
        <w:rPr>
          <w:rFonts w:asciiTheme="majorBidi" w:eastAsia="Times New Roman" w:hAnsiTheme="majorBidi" w:cstheme="majorBidi"/>
        </w:rPr>
        <w:t xml:space="preserve">sont synonymes ; </w:t>
      </w:r>
      <w:r w:rsidRPr="007C6A42">
        <w:rPr>
          <w:rFonts w:asciiTheme="majorBidi" w:eastAsia="Times New Roman" w:hAnsiTheme="majorBidi" w:cstheme="majorBidi"/>
          <w:i/>
          <w:iCs/>
        </w:rPr>
        <w:t>nuṭfa</w:t>
      </w:r>
      <w:r w:rsidRPr="007C6A42">
        <w:rPr>
          <w:rFonts w:asciiTheme="majorBidi" w:eastAsia="Times New Roman" w:hAnsiTheme="majorBidi" w:cstheme="majorBidi"/>
          <w:lang w:bidi="ar-AE"/>
        </w:rPr>
        <w:t xml:space="preserve"> [sperme/goutte d’eau] </w:t>
      </w:r>
      <w:r w:rsidRPr="007C6A42">
        <w:rPr>
          <w:rFonts w:asciiTheme="majorBidi" w:eastAsia="Times New Roman" w:hAnsiTheme="majorBidi" w:cstheme="majorBidi"/>
        </w:rPr>
        <w:t xml:space="preserve">et </w:t>
      </w:r>
      <w:r w:rsidRPr="007C6A42">
        <w:rPr>
          <w:rFonts w:asciiTheme="majorBidi" w:eastAsia="Times New Roman" w:hAnsiTheme="majorBidi" w:cstheme="majorBidi"/>
          <w:i/>
          <w:iCs/>
        </w:rPr>
        <w:t>al-mā</w:t>
      </w:r>
      <w:r w:rsidRPr="007C6A42">
        <w:rPr>
          <w:rFonts w:asciiTheme="majorBidi" w:hAnsiTheme="majorBidi" w:cstheme="majorBidi"/>
          <w:i/>
          <w:iCs/>
        </w:rPr>
        <w:t>ʾ</w:t>
      </w:r>
      <w:r w:rsidRPr="007C6A42">
        <w:rPr>
          <w:rFonts w:asciiTheme="majorBidi" w:eastAsia="Times New Roman" w:hAnsiTheme="majorBidi" w:cstheme="majorBidi"/>
          <w:lang w:bidi="ar-AE"/>
        </w:rPr>
        <w:t xml:space="preserve"> [de l’eau]</w:t>
      </w:r>
      <w:r w:rsidRPr="007C6A42">
        <w:rPr>
          <w:rFonts w:asciiTheme="majorBidi" w:hAnsiTheme="majorBidi" w:cstheme="majorBidi"/>
        </w:rPr>
        <w:t xml:space="preserve"> sont synonymes ; </w:t>
      </w:r>
      <w:r w:rsidRPr="007C6A42">
        <w:rPr>
          <w:rFonts w:asciiTheme="majorBidi" w:hAnsiTheme="majorBidi" w:cstheme="majorBidi"/>
          <w:i/>
          <w:iCs/>
        </w:rPr>
        <w:t>hāmida</w:t>
      </w:r>
      <w:r w:rsidRPr="007C6A42">
        <w:rPr>
          <w:rFonts w:asciiTheme="majorBidi" w:hAnsiTheme="majorBidi" w:cstheme="majorBidi"/>
        </w:rPr>
        <w:t xml:space="preserve"> </w:t>
      </w:r>
      <w:r w:rsidRPr="007C6A42">
        <w:rPr>
          <w:rFonts w:asciiTheme="majorBidi" w:eastAsia="Times New Roman" w:hAnsiTheme="majorBidi" w:cstheme="majorBidi"/>
          <w:lang w:bidi="ar-AE"/>
        </w:rPr>
        <w:t xml:space="preserve">[desséchée/morte] </w:t>
      </w:r>
      <w:r w:rsidRPr="007C6A42">
        <w:rPr>
          <w:rFonts w:asciiTheme="majorBidi" w:hAnsiTheme="majorBidi" w:cstheme="majorBidi"/>
        </w:rPr>
        <w:t xml:space="preserve">et </w:t>
      </w:r>
      <w:r w:rsidRPr="007C6A42">
        <w:rPr>
          <w:rFonts w:asciiTheme="majorBidi" w:hAnsiTheme="majorBidi" w:cstheme="majorBidi"/>
          <w:i/>
          <w:iCs/>
        </w:rPr>
        <w:t>yutawaffā</w:t>
      </w:r>
      <w:r w:rsidRPr="007C6A42">
        <w:rPr>
          <w:rFonts w:asciiTheme="majorBidi" w:eastAsia="Times New Roman" w:hAnsiTheme="majorBidi" w:cstheme="majorBidi"/>
          <w:lang w:bidi="ar-AE"/>
        </w:rPr>
        <w:t xml:space="preserve"> [mourir]</w:t>
      </w:r>
      <w:r w:rsidRPr="007C6A42">
        <w:rPr>
          <w:rFonts w:asciiTheme="majorBidi" w:hAnsiTheme="majorBidi" w:cstheme="majorBidi"/>
        </w:rPr>
        <w:t xml:space="preserve"> sont synonymes. En outre, dans la deuxième image de la pousse des plantes, le choix des mots fait allusion à l’acte sexuel humain : </w:t>
      </w:r>
      <w:r w:rsidRPr="007C6A42">
        <w:rPr>
          <w:rFonts w:asciiTheme="majorBidi" w:hAnsiTheme="majorBidi" w:cstheme="majorBidi"/>
          <w:i/>
          <w:iCs/>
        </w:rPr>
        <w:t>anzala</w:t>
      </w:r>
      <w:r w:rsidRPr="007C6A42">
        <w:rPr>
          <w:rFonts w:asciiTheme="majorBidi" w:hAnsiTheme="majorBidi" w:cstheme="majorBidi"/>
        </w:rPr>
        <w:t xml:space="preserve"> </w:t>
      </w:r>
      <w:r w:rsidRPr="007C6A42">
        <w:rPr>
          <w:rFonts w:asciiTheme="majorBidi" w:eastAsia="Times New Roman" w:hAnsiTheme="majorBidi" w:cstheme="majorBidi"/>
          <w:lang w:bidi="ar-AE"/>
        </w:rPr>
        <w:t>[éjaculer/faire descendre]</w:t>
      </w:r>
      <w:r w:rsidRPr="007C6A42">
        <w:rPr>
          <w:rFonts w:asciiTheme="majorBidi" w:hAnsiTheme="majorBidi" w:cstheme="majorBidi"/>
        </w:rPr>
        <w:t xml:space="preserve">, </w:t>
      </w:r>
      <w:r w:rsidRPr="007C6A42">
        <w:rPr>
          <w:rFonts w:asciiTheme="majorBidi" w:eastAsia="Times New Roman" w:hAnsiTheme="majorBidi" w:cstheme="majorBidi"/>
          <w:i/>
          <w:iCs/>
        </w:rPr>
        <w:t>al-mā</w:t>
      </w:r>
      <w:r w:rsidRPr="007C6A42">
        <w:rPr>
          <w:rFonts w:asciiTheme="majorBidi" w:hAnsiTheme="majorBidi" w:cstheme="majorBidi"/>
          <w:i/>
          <w:iCs/>
        </w:rPr>
        <w:t>ʾ</w:t>
      </w:r>
      <w:r w:rsidRPr="007C6A42">
        <w:rPr>
          <w:rFonts w:asciiTheme="majorBidi" w:hAnsiTheme="majorBidi" w:cstheme="majorBidi"/>
        </w:rPr>
        <w:t xml:space="preserve"> </w:t>
      </w:r>
      <w:r w:rsidRPr="007C6A42">
        <w:rPr>
          <w:rFonts w:asciiTheme="majorBidi" w:eastAsia="Times New Roman" w:hAnsiTheme="majorBidi" w:cstheme="majorBidi"/>
          <w:lang w:bidi="ar-AE"/>
        </w:rPr>
        <w:t>[le sperme/l’eau]</w:t>
      </w:r>
      <w:r w:rsidRPr="007C6A42">
        <w:rPr>
          <w:rFonts w:asciiTheme="majorBidi" w:hAnsiTheme="majorBidi" w:cstheme="majorBidi"/>
        </w:rPr>
        <w:t xml:space="preserve">, </w:t>
      </w:r>
      <w:r w:rsidRPr="007C6A42">
        <w:rPr>
          <w:rFonts w:asciiTheme="majorBidi" w:hAnsiTheme="majorBidi" w:cstheme="majorBidi"/>
          <w:i/>
          <w:iCs/>
        </w:rPr>
        <w:t>ihtazza</w:t>
      </w:r>
      <w:r w:rsidRPr="007C6A42">
        <w:rPr>
          <w:rFonts w:asciiTheme="majorBidi" w:eastAsia="Times New Roman" w:hAnsiTheme="majorBidi" w:cstheme="majorBidi"/>
          <w:lang w:bidi="ar-AE"/>
        </w:rPr>
        <w:t xml:space="preserve"> [atteindre l’orgasme/être secoué]</w:t>
      </w:r>
      <w:r w:rsidRPr="007C6A42">
        <w:rPr>
          <w:rFonts w:asciiTheme="majorBidi" w:hAnsiTheme="majorBidi" w:cstheme="majorBidi"/>
        </w:rPr>
        <w:t xml:space="preserve"> et </w:t>
      </w:r>
      <w:r w:rsidRPr="007C6A42">
        <w:rPr>
          <w:rFonts w:asciiTheme="majorBidi" w:hAnsiTheme="majorBidi" w:cstheme="majorBidi"/>
          <w:i/>
          <w:iCs/>
        </w:rPr>
        <w:t>zawj</w:t>
      </w:r>
      <w:r w:rsidRPr="007C6A42">
        <w:rPr>
          <w:rFonts w:asciiTheme="majorBidi" w:hAnsiTheme="majorBidi" w:cstheme="majorBidi"/>
        </w:rPr>
        <w:t xml:space="preserve"> </w:t>
      </w:r>
      <w:r w:rsidRPr="007C6A42">
        <w:rPr>
          <w:rFonts w:asciiTheme="majorBidi" w:eastAsia="Times New Roman" w:hAnsiTheme="majorBidi" w:cstheme="majorBidi"/>
          <w:lang w:bidi="ar-AE"/>
        </w:rPr>
        <w:t>[couple]</w:t>
      </w:r>
      <w:r w:rsidRPr="007C6A42">
        <w:rPr>
          <w:rFonts w:asciiTheme="majorBidi" w:hAnsiTheme="majorBidi" w:cstheme="majorBidi"/>
        </w:rPr>
        <w:t>.</w:t>
      </w:r>
    </w:p>
    <w:p w14:paraId="3E6429AC" w14:textId="77777777" w:rsidR="00A70B78" w:rsidRPr="007C6A42" w:rsidRDefault="00A70B78" w:rsidP="00A70B78">
      <w:pPr>
        <w:spacing w:line="360" w:lineRule="auto"/>
        <w:ind w:firstLine="708"/>
        <w:contextualSpacing/>
        <w:jc w:val="both"/>
        <w:rPr>
          <w:rFonts w:asciiTheme="majorBidi" w:hAnsiTheme="majorBidi" w:cstheme="majorBidi"/>
        </w:rPr>
      </w:pPr>
    </w:p>
    <w:p w14:paraId="239F736B"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Les traductions ne montrent pas les mêmes relations de synonymie que le texte arabe. Le terme « résurrection » (ou rappel/avertissement de la résurrection) utilisé par les traducteurs pour traduire </w:t>
      </w:r>
      <w:r w:rsidRPr="007C6A42">
        <w:rPr>
          <w:rFonts w:asciiTheme="majorBidi" w:eastAsia="Times New Roman" w:hAnsiTheme="majorBidi" w:cstheme="majorBidi"/>
          <w:i/>
          <w:iCs/>
        </w:rPr>
        <w:t>baʿth</w:t>
      </w:r>
      <w:r w:rsidRPr="007C6A42">
        <w:rPr>
          <w:rFonts w:asciiTheme="majorBidi" w:eastAsia="Times New Roman" w:hAnsiTheme="majorBidi" w:cstheme="majorBidi"/>
        </w:rPr>
        <w:t xml:space="preserve"> dénote fortement le sens de la résurrection universelle à la fin des temps exactement comme le terme arabe. Les traducteurs sont soucieux d’expliquer dans une NDT certains mots équivoques (comme </w:t>
      </w:r>
      <w:r w:rsidRPr="007C6A42">
        <w:rPr>
          <w:rFonts w:asciiTheme="majorBidi" w:eastAsia="Times New Roman" w:hAnsiTheme="majorBidi" w:cstheme="majorBidi"/>
          <w:i/>
          <w:iCs/>
        </w:rPr>
        <w:t>mukhallaqa wa-ghayr mukhallaqa</w:t>
      </w:r>
      <w:r w:rsidRPr="007C6A42">
        <w:rPr>
          <w:rFonts w:asciiTheme="majorBidi" w:eastAsia="Times New Roman" w:hAnsiTheme="majorBidi" w:cstheme="majorBidi"/>
        </w:rPr>
        <w:t xml:space="preserve"> et </w:t>
      </w:r>
      <w:r w:rsidRPr="007C6A42">
        <w:rPr>
          <w:rFonts w:asciiTheme="majorBidi" w:eastAsia="Times New Roman" w:hAnsiTheme="majorBidi" w:cstheme="majorBidi"/>
          <w:i/>
          <w:iCs/>
        </w:rPr>
        <w:t>ʿalaqa</w:t>
      </w:r>
      <w:r w:rsidRPr="007C6A42">
        <w:rPr>
          <w:rFonts w:asciiTheme="majorBidi" w:eastAsia="Times New Roman" w:hAnsiTheme="majorBidi" w:cstheme="majorBidi"/>
        </w:rPr>
        <w:t>) sans se soucier du réseau signifiant sous-jacent. Dans des NDT, les traducteurs musulmans (Hamidullah, Abdelaziz et Chebel</w:t>
      </w:r>
      <w:r w:rsidRPr="007C6A42">
        <w:rPr>
          <w:rStyle w:val="Appelnotedebasdep"/>
          <w:rFonts w:asciiTheme="majorBidi" w:eastAsia="Times New Roman" w:hAnsiTheme="majorBidi" w:cstheme="majorBidi"/>
        </w:rPr>
        <w:footnoteReference w:id="553"/>
      </w:r>
      <w:r w:rsidRPr="007C6A42">
        <w:rPr>
          <w:rFonts w:asciiTheme="majorBidi" w:eastAsia="Times New Roman" w:hAnsiTheme="majorBidi" w:cstheme="majorBidi"/>
        </w:rPr>
        <w:t xml:space="preserve">) parlent, dans un esprit concordiste, de la conformité entre ce verset et les </w:t>
      </w:r>
      <w:r w:rsidRPr="007C6A42">
        <w:rPr>
          <w:rFonts w:asciiTheme="majorBidi" w:eastAsia="Times New Roman" w:hAnsiTheme="majorBidi" w:cstheme="majorBidi"/>
        </w:rPr>
        <w:lastRenderedPageBreak/>
        <w:t>sciences gynécologiques et embryologiques modernes. Il est normal « que le traducteur est conditionné par son époque, la façon d’écrire qui domine, l’idée qu’on se fait de la traduction, etc. »</w:t>
      </w:r>
      <w:r w:rsidRPr="007C6A42">
        <w:rPr>
          <w:rStyle w:val="Appelnotedebasdep"/>
          <w:rFonts w:asciiTheme="majorBidi" w:hAnsiTheme="majorBidi" w:cstheme="majorBidi"/>
        </w:rPr>
        <w:footnoteReference w:id="554"/>
      </w:r>
      <w:r w:rsidRPr="007C6A42">
        <w:rPr>
          <w:rFonts w:asciiTheme="majorBidi" w:eastAsia="Times New Roman" w:hAnsiTheme="majorBidi" w:cstheme="majorBidi"/>
        </w:rPr>
        <w:t xml:space="preserve"> Les traducteurs s’intéressent au sens exégétique des mots séparés sans prendre en compte le sens global et la conformité entre les deux images (celle de la création de l’homme et celle de la germination des plantes).</w:t>
      </w:r>
    </w:p>
    <w:p w14:paraId="371B91BC"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rPr>
        <w:t>Aussi ont-ils donné des traductions difficiles à comprendre. À la première lecture, ces traductions peuvent montrer à leur lecteur le concept</w:t>
      </w:r>
      <w:r w:rsidRPr="007C6A42">
        <w:rPr>
          <w:rFonts w:asciiTheme="majorBidi" w:eastAsia="Times New Roman" w:hAnsiTheme="majorBidi" w:cstheme="majorBidi"/>
          <w:i/>
          <w:iCs/>
        </w:rPr>
        <w:t xml:space="preserve"> </w:t>
      </w:r>
      <w:r w:rsidRPr="007C6A42">
        <w:rPr>
          <w:rFonts w:asciiTheme="majorBidi" w:eastAsia="Times New Roman" w:hAnsiTheme="majorBidi" w:cstheme="majorBidi"/>
        </w:rPr>
        <w:t xml:space="preserve">de la création et du destin de l’homme qui reste dans les mains du « créateur ». Le lecteur doute aussi que </w:t>
      </w:r>
      <w:r w:rsidRPr="007C6A42">
        <w:rPr>
          <w:rFonts w:asciiTheme="majorBidi" w:hAnsiTheme="majorBidi" w:cstheme="majorBidi"/>
        </w:rPr>
        <w:t>« Toute la "science" embryologique [soit] déclinée dans ce verset » et que « En effet, plusieurs étapes cruciales de la fécondation et de la grossesse humaine y [soient] exposées, dans une succession étonnamment précise »</w:t>
      </w:r>
      <w:r w:rsidRPr="007C6A42">
        <w:rPr>
          <w:rStyle w:val="Appelnotedebasdep"/>
          <w:rFonts w:asciiTheme="majorBidi" w:hAnsiTheme="majorBidi" w:cstheme="majorBidi"/>
        </w:rPr>
        <w:footnoteReference w:id="555"/>
      </w:r>
      <w:r w:rsidRPr="007C6A42">
        <w:rPr>
          <w:rFonts w:asciiTheme="majorBidi" w:hAnsiTheme="majorBidi" w:cstheme="majorBidi"/>
        </w:rPr>
        <w:t xml:space="preserve">, </w:t>
      </w:r>
      <w:r w:rsidRPr="007C6A42">
        <w:rPr>
          <w:rFonts w:asciiTheme="majorBidi" w:eastAsia="Times New Roman" w:hAnsiTheme="majorBidi" w:cstheme="majorBidi"/>
        </w:rPr>
        <w:t>comme le soutient le traducteur musulman Chebel dans une NDT, et aussi, à sa manière, Zeinab Abdelaziz (qui souligne dans une NDT : « </w:t>
      </w:r>
      <w:r w:rsidRPr="007C6A42">
        <w:rPr>
          <w:rFonts w:asciiTheme="majorBidi" w:hAnsiTheme="majorBidi" w:cstheme="majorBidi"/>
        </w:rPr>
        <w:t>La fixation de l’œuf dans l’utérus a lieu grâce au développement de villosités qui vont puiser, dans l’épaisseur de la paroi, ce qui est nécessaire à sa croissance. Ces villosités accrochent littéralement l’œuf à l’utérus. Cette réalité bien établie date des temps modernes. » « Au début de sa formation, l’embryon est une petite masse qui a cet aspect de chair mâchée, à une certaine étape de son développement. »</w:t>
      </w:r>
      <w:r w:rsidRPr="007C6A42">
        <w:rPr>
          <w:rFonts w:asciiTheme="majorBidi" w:eastAsia="Times New Roman" w:hAnsiTheme="majorBidi" w:cstheme="majorBidi"/>
        </w:rPr>
        <w:t>) Leur interprétation est plutôt forcée, et tout biologiste digne de ce nom doit rire à la lecture de ce verset</w:t>
      </w:r>
      <w:r w:rsidRPr="007C6A42">
        <w:rPr>
          <w:rStyle w:val="apple-converted-space"/>
          <w:rFonts w:asciiTheme="majorBidi" w:hAnsiTheme="majorBidi" w:cstheme="majorBidi"/>
        </w:rPr>
        <w:t> </w:t>
      </w:r>
      <w:r w:rsidRPr="007C6A42">
        <w:rPr>
          <w:rFonts w:asciiTheme="majorBidi" w:eastAsia="Times New Roman" w:hAnsiTheme="majorBidi" w:cstheme="majorBidi"/>
        </w:rPr>
        <w:t>- sympathiquement, bien sûr, car il comprendra que, à l’époque, le savoir scientifique était encore très limité.</w:t>
      </w:r>
    </w:p>
    <w:p w14:paraId="37B2A62D"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p>
    <w:p w14:paraId="5B9DCDC2" w14:textId="77777777" w:rsidR="00A70B78" w:rsidRPr="007C6A42" w:rsidRDefault="00A70B78" w:rsidP="00A70B78">
      <w:pPr>
        <w:shd w:val="clear" w:color="auto" w:fill="FFFFFF"/>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Il semble que les traducteurs soient ici plus attachés à la littéralité du verset de départ qu’à restituer le sens global du verset. Ce qui semble intéressant de voir dans les traductions, c’est la comparaison entre les termes (conjonctions ou connecteurs) qui relient les différentes parties du verset en arabe et leurs équivalents dans les traductions. Le verset 5 est composé en réalité d’une seule phrase conditionnelle : la protase (l’hypothèse) est : « </w:t>
      </w:r>
      <w:r w:rsidRPr="007C6A42">
        <w:rPr>
          <w:rFonts w:asciiTheme="majorBidi" w:eastAsia="Times New Roman" w:hAnsiTheme="majorBidi" w:cstheme="majorBidi"/>
          <w:rtl/>
        </w:rPr>
        <w:t>إن كنتم في ريب من البعث</w:t>
      </w:r>
      <w:r w:rsidRPr="007C6A42">
        <w:rPr>
          <w:rFonts w:asciiTheme="majorBidi" w:eastAsia="Times New Roman" w:hAnsiTheme="majorBidi" w:cstheme="majorBidi"/>
        </w:rPr>
        <w:t>, » et l’apodose (la conséquence de l’hypothèse) correspond au reste du verset : « </w:t>
      </w:r>
      <w:r w:rsidRPr="007C6A42">
        <w:rPr>
          <w:rFonts w:asciiTheme="majorBidi" w:eastAsia="Times New Roman" w:hAnsiTheme="majorBidi" w:cstheme="majorBidi"/>
          <w:rtl/>
        </w:rPr>
        <w:t xml:space="preserve">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w:t>
      </w:r>
      <w:r w:rsidRPr="007C6A42">
        <w:rPr>
          <w:rFonts w:asciiTheme="majorBidi" w:eastAsia="Times New Roman" w:hAnsiTheme="majorBidi" w:cstheme="majorBidi"/>
          <w:rtl/>
        </w:rPr>
        <w:lastRenderedPageBreak/>
        <w:t>الْمَاء اهْتَزَّتْ وَرَبَتْ وَأَنبَتَتْ مِن كُلِّ زَوْجٍ بَهِيج</w:t>
      </w:r>
      <w:r w:rsidRPr="007C6A42">
        <w:rPr>
          <w:rFonts w:asciiTheme="majorBidi" w:eastAsia="Times New Roman" w:hAnsiTheme="majorBidi" w:cstheme="majorBidi"/>
        </w:rPr>
        <w:t> ». Le verset veut dire : Si vous doutez de la résurrection [</w:t>
      </w:r>
      <w:r w:rsidRPr="007C6A42">
        <w:rPr>
          <w:rFonts w:asciiTheme="majorBidi" w:eastAsia="Times New Roman" w:hAnsiTheme="majorBidi" w:cstheme="majorBidi"/>
          <w:i/>
          <w:iCs/>
        </w:rPr>
        <w:t>protase</w:t>
      </w:r>
      <w:r w:rsidRPr="007C6A42">
        <w:rPr>
          <w:rFonts w:asciiTheme="majorBidi" w:eastAsia="Times New Roman" w:hAnsiTheme="majorBidi" w:cstheme="majorBidi"/>
        </w:rPr>
        <w:t xml:space="preserve">], vous voyez que nous vous avons créés par étapes </w:t>
      </w:r>
      <w:r w:rsidRPr="007C6A42">
        <w:rPr>
          <w:rFonts w:asciiTheme="majorBidi" w:eastAsia="Times New Roman" w:hAnsiTheme="majorBidi" w:cstheme="majorBidi"/>
          <w:b/>
          <w:bCs/>
        </w:rPr>
        <w:t>et</w:t>
      </w:r>
      <w:r w:rsidRPr="007C6A42">
        <w:rPr>
          <w:rFonts w:asciiTheme="majorBidi" w:eastAsia="Times New Roman" w:hAnsiTheme="majorBidi" w:cstheme="majorBidi"/>
        </w:rPr>
        <w:t xml:space="preserve"> vous voyez aussi comment les plantes poussent [</w:t>
      </w:r>
      <w:r w:rsidRPr="007C6A42">
        <w:rPr>
          <w:rFonts w:asciiTheme="majorBidi" w:eastAsia="Times New Roman" w:hAnsiTheme="majorBidi" w:cstheme="majorBidi"/>
          <w:i/>
          <w:iCs/>
        </w:rPr>
        <w:t>apodose</w:t>
      </w:r>
      <w:r w:rsidRPr="007C6A42">
        <w:rPr>
          <w:rFonts w:asciiTheme="majorBidi" w:eastAsia="Times New Roman" w:hAnsiTheme="majorBidi" w:cstheme="majorBidi"/>
        </w:rPr>
        <w:t xml:space="preserve">]. Dans les traductions, nous remarquons que le second argument est mis dans une phrase indépendante sans un terme charnière qui permet de comprendre où est la fin du premier argument et la fin du second. </w:t>
      </w:r>
      <w:r w:rsidRPr="007C6A42">
        <w:rPr>
          <w:rFonts w:asciiTheme="majorBidi" w:eastAsia="Calibri" w:hAnsiTheme="majorBidi" w:cstheme="majorBidi"/>
        </w:rPr>
        <w:t>Bref, ils ont ignoré tout lien entre les deux arguments ne permettant plus de repérer le passage du premier argument au second.</w:t>
      </w:r>
      <w:r w:rsidRPr="007C6A42">
        <w:rPr>
          <w:rFonts w:asciiTheme="majorBidi" w:eastAsia="Times New Roman" w:hAnsiTheme="majorBidi" w:cstheme="majorBidi"/>
        </w:rPr>
        <w:t xml:space="preserve"> Examinons donc les parties du verset traduit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3292"/>
        <w:gridCol w:w="4962"/>
        <w:gridCol w:w="1812"/>
      </w:tblGrid>
      <w:tr w:rsidR="00A70B78" w:rsidRPr="007C6A42" w14:paraId="15FC1BF2" w14:textId="77777777" w:rsidTr="00AF4FC9">
        <w:tc>
          <w:tcPr>
            <w:tcW w:w="854" w:type="dxa"/>
          </w:tcPr>
          <w:p w14:paraId="4FEB7B45" w14:textId="77777777" w:rsidR="00A70B78" w:rsidRPr="007C6A42" w:rsidRDefault="00A70B78" w:rsidP="00AF4FC9">
            <w:pPr>
              <w:bidi/>
              <w:spacing w:line="360" w:lineRule="auto"/>
              <w:rPr>
                <w:rFonts w:asciiTheme="majorBidi" w:eastAsia="Calibri" w:hAnsiTheme="majorBidi" w:cstheme="majorBidi"/>
                <w:rtl/>
                <w:lang w:bidi="ar-KW"/>
              </w:rPr>
            </w:pPr>
          </w:p>
        </w:tc>
        <w:tc>
          <w:tcPr>
            <w:tcW w:w="3292" w:type="dxa"/>
          </w:tcPr>
          <w:p w14:paraId="17E4E035" w14:textId="77777777" w:rsidR="00A70B78" w:rsidRPr="007C6A42" w:rsidRDefault="00A70B78" w:rsidP="00AF4FC9">
            <w:pPr>
              <w:bidi/>
              <w:spacing w:line="360" w:lineRule="auto"/>
              <w:rPr>
                <w:rFonts w:asciiTheme="majorBidi" w:eastAsia="Calibri" w:hAnsiTheme="majorBidi" w:cstheme="majorBidi"/>
                <w:rtl/>
                <w:lang w:bidi="ar-KW"/>
              </w:rPr>
            </w:pPr>
            <w:r w:rsidRPr="007C6A42">
              <w:rPr>
                <w:rFonts w:asciiTheme="majorBidi" w:eastAsia="Calibri" w:hAnsiTheme="majorBidi" w:cstheme="majorBidi"/>
                <w:rtl/>
                <w:lang w:bidi="ar-AE"/>
              </w:rPr>
              <w:t>إن كنتم في ريب</w:t>
            </w:r>
            <w:r w:rsidRPr="007C6A42">
              <w:rPr>
                <w:rFonts w:asciiTheme="majorBidi" w:eastAsia="Calibri" w:hAnsiTheme="majorBidi" w:cstheme="majorBidi"/>
                <w:lang w:bidi="ar-AE"/>
              </w:rPr>
              <w:t xml:space="preserve"> </w:t>
            </w:r>
          </w:p>
        </w:tc>
        <w:tc>
          <w:tcPr>
            <w:tcW w:w="4962" w:type="dxa"/>
          </w:tcPr>
          <w:p w14:paraId="427A1870" w14:textId="77777777" w:rsidR="00A70B78" w:rsidRPr="007C6A42" w:rsidRDefault="00A70B78" w:rsidP="00AF4FC9">
            <w:pPr>
              <w:bidi/>
              <w:spacing w:line="360" w:lineRule="auto"/>
              <w:rPr>
                <w:rFonts w:asciiTheme="majorBidi" w:eastAsia="Calibri" w:hAnsiTheme="majorBidi" w:cstheme="majorBidi"/>
                <w:rtl/>
                <w:lang w:bidi="ar-KW"/>
              </w:rPr>
            </w:pPr>
            <w:r w:rsidRPr="007C6A42">
              <w:rPr>
                <w:rFonts w:asciiTheme="majorBidi" w:eastAsia="Calibri" w:hAnsiTheme="majorBidi" w:cstheme="majorBidi"/>
                <w:rtl/>
                <w:lang w:bidi="ar-AE"/>
              </w:rPr>
              <w:t>فإنا</w:t>
            </w:r>
            <w:r w:rsidRPr="007C6A42">
              <w:rPr>
                <w:rFonts w:asciiTheme="majorBidi" w:eastAsia="Calibri" w:hAnsiTheme="majorBidi" w:cstheme="majorBidi"/>
                <w:lang w:bidi="ar-AE"/>
              </w:rPr>
              <w:t xml:space="preserve"> </w:t>
            </w:r>
            <w:r w:rsidRPr="007C6A42">
              <w:rPr>
                <w:rFonts w:asciiTheme="majorBidi" w:eastAsia="Calibri" w:hAnsiTheme="majorBidi" w:cstheme="majorBidi"/>
                <w:rtl/>
                <w:lang w:bidi="ar-AE"/>
              </w:rPr>
              <w:t>خلقناكم</w:t>
            </w:r>
          </w:p>
        </w:tc>
        <w:tc>
          <w:tcPr>
            <w:tcW w:w="1812" w:type="dxa"/>
          </w:tcPr>
          <w:p w14:paraId="61084997" w14:textId="77777777" w:rsidR="00A70B78" w:rsidRPr="007C6A42" w:rsidRDefault="00A70B78" w:rsidP="00AF4FC9">
            <w:pPr>
              <w:bidi/>
              <w:spacing w:line="360" w:lineRule="auto"/>
              <w:rPr>
                <w:rFonts w:asciiTheme="majorBidi" w:eastAsia="Calibri" w:hAnsiTheme="majorBidi" w:cstheme="majorBidi"/>
                <w:rtl/>
                <w:lang w:bidi="ar-KW"/>
              </w:rPr>
            </w:pPr>
            <w:r w:rsidRPr="007C6A42">
              <w:rPr>
                <w:rFonts w:asciiTheme="majorBidi" w:eastAsia="Calibri" w:hAnsiTheme="majorBidi" w:cstheme="majorBidi"/>
                <w:rtl/>
                <w:lang w:bidi="ar-AE"/>
              </w:rPr>
              <w:t>وتَرى</w:t>
            </w:r>
          </w:p>
        </w:tc>
      </w:tr>
      <w:tr w:rsidR="00A70B78" w:rsidRPr="007C6A42" w14:paraId="6302EC85" w14:textId="77777777" w:rsidTr="00AF4FC9">
        <w:tc>
          <w:tcPr>
            <w:tcW w:w="854" w:type="dxa"/>
          </w:tcPr>
          <w:p w14:paraId="03C8D09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3292" w:type="dxa"/>
          </w:tcPr>
          <w:p w14:paraId="49F6AA6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ʃi vous doutez […]</w:t>
            </w:r>
            <w:r w:rsidRPr="007C6A42">
              <w:rPr>
                <w:rFonts w:asciiTheme="majorBidi" w:eastAsia="Calibri" w:hAnsiTheme="majorBidi" w:cstheme="majorBidi"/>
                <w:b/>
                <w:bCs/>
              </w:rPr>
              <w:t>,</w:t>
            </w:r>
          </w:p>
        </w:tc>
        <w:tc>
          <w:tcPr>
            <w:tcW w:w="4962" w:type="dxa"/>
          </w:tcPr>
          <w:p w14:paraId="16F46686"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conʃiderez comme nous vous auons creé […]</w:t>
            </w:r>
            <w:r w:rsidRPr="007C6A42">
              <w:rPr>
                <w:rFonts w:asciiTheme="majorBidi" w:eastAsia="Calibri" w:hAnsiTheme="majorBidi" w:cstheme="majorBidi"/>
                <w:b/>
                <w:bCs/>
              </w:rPr>
              <w:t>.</w:t>
            </w:r>
          </w:p>
        </w:tc>
        <w:tc>
          <w:tcPr>
            <w:tcW w:w="1812" w:type="dxa"/>
          </w:tcPr>
          <w:p w14:paraId="390DD72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b/>
                <w:bCs/>
              </w:rPr>
              <w:t>C</w:t>
            </w:r>
            <w:r w:rsidRPr="007C6A42">
              <w:rPr>
                <w:rFonts w:asciiTheme="majorBidi" w:eastAsia="Calibri" w:hAnsiTheme="majorBidi" w:cstheme="majorBidi"/>
              </w:rPr>
              <w:t>onʃidere</w:t>
            </w:r>
          </w:p>
        </w:tc>
      </w:tr>
      <w:tr w:rsidR="00A70B78" w:rsidRPr="007C6A42" w14:paraId="5765DB1F" w14:textId="77777777" w:rsidTr="00AF4FC9">
        <w:tc>
          <w:tcPr>
            <w:tcW w:w="854" w:type="dxa"/>
          </w:tcPr>
          <w:p w14:paraId="02389AD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3292" w:type="dxa"/>
          </w:tcPr>
          <w:p w14:paraId="5099BD04"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si vous doutez </w:t>
            </w:r>
            <w:r w:rsidRPr="007C6A42">
              <w:rPr>
                <w:rFonts w:asciiTheme="majorBidi" w:eastAsia="Calibri" w:hAnsiTheme="majorBidi" w:cstheme="majorBidi"/>
              </w:rPr>
              <w:t>[…]</w:t>
            </w:r>
            <w:r w:rsidRPr="007C6A42">
              <w:rPr>
                <w:rFonts w:asciiTheme="majorBidi" w:eastAsia="Calibri" w:hAnsiTheme="majorBidi" w:cstheme="majorBidi"/>
                <w:b/>
                <w:bCs/>
              </w:rPr>
              <w:t>,</w:t>
            </w:r>
          </w:p>
        </w:tc>
        <w:tc>
          <w:tcPr>
            <w:tcW w:w="4962" w:type="dxa"/>
          </w:tcPr>
          <w:p w14:paraId="34F52D2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considérez les degrés par où nous vous avons fait passer. </w:t>
            </w:r>
          </w:p>
          <w:p w14:paraId="3CD214D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vous avons formés […]</w:t>
            </w:r>
            <w:r w:rsidRPr="007C6A42">
              <w:rPr>
                <w:rFonts w:asciiTheme="majorBidi" w:eastAsia="Times New Roman" w:hAnsiTheme="majorBidi" w:cstheme="majorBidi"/>
                <w:b/>
                <w:bCs/>
              </w:rPr>
              <w:t>.</w:t>
            </w:r>
          </w:p>
        </w:tc>
        <w:tc>
          <w:tcPr>
            <w:tcW w:w="1812" w:type="dxa"/>
          </w:tcPr>
          <w:p w14:paraId="6275AC74"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b/>
                <w:bCs/>
              </w:rPr>
              <w:t>C</w:t>
            </w:r>
            <w:r w:rsidRPr="007C6A42">
              <w:rPr>
                <w:rFonts w:asciiTheme="majorBidi" w:eastAsia="Times New Roman" w:hAnsiTheme="majorBidi" w:cstheme="majorBidi"/>
              </w:rPr>
              <w:t>onsidère</w:t>
            </w:r>
          </w:p>
        </w:tc>
      </w:tr>
      <w:tr w:rsidR="00A70B78" w:rsidRPr="007C6A42" w14:paraId="4123036E" w14:textId="77777777" w:rsidTr="00AF4FC9">
        <w:tc>
          <w:tcPr>
            <w:tcW w:w="854" w:type="dxa"/>
          </w:tcPr>
          <w:p w14:paraId="79940D3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3292" w:type="dxa"/>
          </w:tcPr>
          <w:p w14:paraId="3FCB4EAB"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si vous doutez </w:t>
            </w:r>
            <w:r w:rsidRPr="007C6A42">
              <w:rPr>
                <w:rFonts w:asciiTheme="majorBidi" w:eastAsia="Calibri" w:hAnsiTheme="majorBidi" w:cstheme="majorBidi"/>
              </w:rPr>
              <w:t>[…]</w:t>
            </w:r>
            <w:r w:rsidRPr="007C6A42">
              <w:rPr>
                <w:rFonts w:asciiTheme="majorBidi" w:eastAsia="Calibri" w:hAnsiTheme="majorBidi" w:cstheme="majorBidi"/>
                <w:b/>
                <w:bCs/>
              </w:rPr>
              <w:t>,</w:t>
            </w:r>
          </w:p>
        </w:tc>
        <w:tc>
          <w:tcPr>
            <w:tcW w:w="4962" w:type="dxa"/>
          </w:tcPr>
          <w:p w14:paraId="7595DABF"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considérez que nous vous avons créés  […]</w:t>
            </w:r>
            <w:r w:rsidRPr="007C6A42">
              <w:rPr>
                <w:rFonts w:asciiTheme="majorBidi" w:eastAsia="Times New Roman" w:hAnsiTheme="majorBidi" w:cstheme="majorBidi"/>
                <w:b/>
                <w:bCs/>
              </w:rPr>
              <w:t>.</w:t>
            </w:r>
          </w:p>
        </w:tc>
        <w:tc>
          <w:tcPr>
            <w:tcW w:w="1812" w:type="dxa"/>
          </w:tcPr>
          <w:p w14:paraId="10F5CF6B"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b/>
                <w:bCs/>
              </w:rPr>
              <w:t>T</w:t>
            </w:r>
            <w:r w:rsidRPr="007C6A42">
              <w:rPr>
                <w:rFonts w:asciiTheme="majorBidi" w:eastAsia="Times New Roman" w:hAnsiTheme="majorBidi" w:cstheme="majorBidi"/>
              </w:rPr>
              <w:t>u as vu</w:t>
            </w:r>
          </w:p>
        </w:tc>
      </w:tr>
      <w:tr w:rsidR="00A70B78" w:rsidRPr="007C6A42" w14:paraId="534B5B37" w14:textId="77777777" w:rsidTr="00AF4FC9">
        <w:tc>
          <w:tcPr>
            <w:tcW w:w="854" w:type="dxa"/>
          </w:tcPr>
          <w:p w14:paraId="7747585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3292" w:type="dxa"/>
          </w:tcPr>
          <w:p w14:paraId="07150974"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Si vous êtes en un doute […]</w:t>
            </w:r>
            <w:r w:rsidRPr="007C6A42">
              <w:rPr>
                <w:rFonts w:asciiTheme="majorBidi" w:eastAsia="Calibri" w:hAnsiTheme="majorBidi" w:cstheme="majorBidi"/>
                <w:b/>
                <w:bCs/>
              </w:rPr>
              <w:t>,</w:t>
            </w:r>
          </w:p>
        </w:tc>
        <w:tc>
          <w:tcPr>
            <w:tcW w:w="4962" w:type="dxa"/>
          </w:tcPr>
          <w:p w14:paraId="4D1866C1"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Nous vous avons créés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3C2ADC1F"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w:t>
            </w:r>
            <w:r w:rsidRPr="007C6A42">
              <w:rPr>
                <w:rFonts w:asciiTheme="majorBidi" w:eastAsia="Calibri" w:hAnsiTheme="majorBidi" w:cstheme="majorBidi"/>
                <w:b/>
                <w:bCs/>
                <w:i/>
              </w:rPr>
              <w:t>D</w:t>
            </w:r>
            <w:r w:rsidRPr="007C6A42">
              <w:rPr>
                <w:rFonts w:asciiTheme="majorBidi" w:eastAsia="Calibri" w:hAnsiTheme="majorBidi" w:cstheme="majorBidi"/>
                <w:i/>
              </w:rPr>
              <w:t>e même</w:t>
            </w:r>
            <w:r w:rsidRPr="007C6A42">
              <w:rPr>
                <w:rFonts w:asciiTheme="majorBidi" w:eastAsia="Calibri" w:hAnsiTheme="majorBidi" w:cstheme="majorBidi"/>
              </w:rPr>
              <w:t>,] tu vois</w:t>
            </w:r>
          </w:p>
        </w:tc>
      </w:tr>
      <w:tr w:rsidR="00A70B78" w:rsidRPr="007C6A42" w14:paraId="41A2C546" w14:textId="77777777" w:rsidTr="00AF4FC9">
        <w:tc>
          <w:tcPr>
            <w:tcW w:w="854" w:type="dxa"/>
          </w:tcPr>
          <w:p w14:paraId="0CF7318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3292" w:type="dxa"/>
          </w:tcPr>
          <w:p w14:paraId="0234257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êtes en doute […]</w:t>
            </w:r>
            <w:r w:rsidRPr="007C6A42">
              <w:rPr>
                <w:rFonts w:asciiTheme="majorBidi" w:eastAsia="Calibri" w:hAnsiTheme="majorBidi" w:cstheme="majorBidi"/>
                <w:b/>
                <w:bCs/>
              </w:rPr>
              <w:t>,</w:t>
            </w:r>
          </w:p>
          <w:p w14:paraId="258E3820" w14:textId="77777777" w:rsidR="00A70B78" w:rsidRPr="007C6A42" w:rsidRDefault="00A70B78" w:rsidP="00AF4FC9">
            <w:pPr>
              <w:spacing w:line="360" w:lineRule="auto"/>
              <w:jc w:val="both"/>
              <w:rPr>
                <w:rFonts w:asciiTheme="majorBidi" w:eastAsia="Calibri" w:hAnsiTheme="majorBidi" w:cstheme="majorBidi"/>
              </w:rPr>
            </w:pPr>
          </w:p>
        </w:tc>
        <w:tc>
          <w:tcPr>
            <w:tcW w:w="4962" w:type="dxa"/>
          </w:tcPr>
          <w:p w14:paraId="5C0BDAB3"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eh bien, c’est Nous qui vous avons créés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p w14:paraId="4DD1E2E9" w14:textId="77777777" w:rsidR="00A70B78" w:rsidRPr="007C6A42" w:rsidRDefault="00A70B78" w:rsidP="00AF4FC9">
            <w:pPr>
              <w:spacing w:line="360" w:lineRule="auto"/>
              <w:jc w:val="both"/>
              <w:rPr>
                <w:rFonts w:asciiTheme="majorBidi" w:eastAsia="Calibri" w:hAnsiTheme="majorBidi" w:cstheme="majorBidi"/>
              </w:rPr>
            </w:pPr>
          </w:p>
        </w:tc>
        <w:tc>
          <w:tcPr>
            <w:tcW w:w="1812" w:type="dxa"/>
          </w:tcPr>
          <w:p w14:paraId="07FAF557"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b/>
                <w:bCs/>
              </w:rPr>
              <w:t>D</w:t>
            </w:r>
            <w:r w:rsidRPr="007C6A42">
              <w:rPr>
                <w:rFonts w:asciiTheme="majorBidi" w:eastAsia="Calibri" w:hAnsiTheme="majorBidi" w:cstheme="majorBidi"/>
              </w:rPr>
              <w:t>e même, tu verras</w:t>
            </w:r>
          </w:p>
        </w:tc>
      </w:tr>
      <w:tr w:rsidR="00A70B78" w:rsidRPr="007C6A42" w14:paraId="523C7177" w14:textId="77777777" w:rsidTr="00AF4FC9">
        <w:tc>
          <w:tcPr>
            <w:tcW w:w="854" w:type="dxa"/>
          </w:tcPr>
          <w:p w14:paraId="1C76F0E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3292" w:type="dxa"/>
          </w:tcPr>
          <w:p w14:paraId="1A0401DE"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êtes dans le doute […]</w:t>
            </w:r>
            <w:r w:rsidRPr="007C6A42">
              <w:rPr>
                <w:rFonts w:asciiTheme="majorBidi" w:eastAsia="Calibri" w:hAnsiTheme="majorBidi" w:cstheme="majorBidi"/>
                <w:b/>
                <w:bCs/>
              </w:rPr>
              <w:t>,</w:t>
            </w:r>
          </w:p>
        </w:tc>
        <w:tc>
          <w:tcPr>
            <w:tcW w:w="4962" w:type="dxa"/>
          </w:tcPr>
          <w:p w14:paraId="26C86D7A"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sachez qu’en vérité, c’est nous qui vous avons créés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721CB443"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b/>
                <w:bCs/>
              </w:rPr>
              <w:t>T</w:t>
            </w:r>
            <w:r w:rsidRPr="007C6A42">
              <w:rPr>
                <w:rFonts w:asciiTheme="majorBidi" w:eastAsia="Calibri" w:hAnsiTheme="majorBidi" w:cstheme="majorBidi"/>
              </w:rPr>
              <w:t>u vois</w:t>
            </w:r>
          </w:p>
        </w:tc>
      </w:tr>
      <w:tr w:rsidR="00A70B78" w:rsidRPr="007C6A42" w14:paraId="78C1A749" w14:textId="77777777" w:rsidTr="00AF4FC9">
        <w:tc>
          <w:tcPr>
            <w:tcW w:w="854" w:type="dxa"/>
          </w:tcPr>
          <w:p w14:paraId="73D9B74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3292" w:type="dxa"/>
          </w:tcPr>
          <w:p w14:paraId="0258D87E"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si vous êtes dans le doute </w:t>
            </w:r>
            <w:r w:rsidRPr="007C6A42">
              <w:rPr>
                <w:rFonts w:asciiTheme="majorBidi" w:eastAsia="Calibri" w:hAnsiTheme="majorBidi" w:cstheme="majorBidi"/>
              </w:rPr>
              <w:t>[…]</w:t>
            </w:r>
            <w:r w:rsidRPr="007C6A42">
              <w:rPr>
                <w:rFonts w:asciiTheme="majorBidi" w:eastAsia="Calibri" w:hAnsiTheme="majorBidi" w:cstheme="majorBidi"/>
                <w:b/>
                <w:bCs/>
              </w:rPr>
              <w:t>,</w:t>
            </w:r>
          </w:p>
          <w:p w14:paraId="2576082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 </w:t>
            </w:r>
          </w:p>
          <w:p w14:paraId="3C23AAB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 </w:t>
            </w:r>
          </w:p>
        </w:tc>
        <w:tc>
          <w:tcPr>
            <w:tcW w:w="4962" w:type="dxa"/>
          </w:tcPr>
          <w:p w14:paraId="3F592A90"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voici, nous vous avons créés </w:t>
            </w:r>
            <w:r w:rsidRPr="007C6A42">
              <w:rPr>
                <w:rFonts w:asciiTheme="majorBidi" w:eastAsia="Calibri" w:hAnsiTheme="majorBidi" w:cstheme="majorBidi"/>
              </w:rPr>
              <w:t>[</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5AC2A85C"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b/>
                <w:bCs/>
              </w:rPr>
              <w:t>T</w:t>
            </w:r>
            <w:r w:rsidRPr="007C6A42">
              <w:rPr>
                <w:rFonts w:asciiTheme="majorBidi" w:eastAsia="Times New Roman" w:hAnsiTheme="majorBidi" w:cstheme="majorBidi"/>
              </w:rPr>
              <w:t>u vois</w:t>
            </w:r>
          </w:p>
        </w:tc>
      </w:tr>
      <w:tr w:rsidR="00A70B78" w:rsidRPr="007C6A42" w14:paraId="53172C31" w14:textId="77777777" w:rsidTr="00AF4FC9">
        <w:tc>
          <w:tcPr>
            <w:tcW w:w="854" w:type="dxa"/>
          </w:tcPr>
          <w:p w14:paraId="383BA1D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3292" w:type="dxa"/>
          </w:tcPr>
          <w:p w14:paraId="62BD8F5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doutez […]</w:t>
            </w:r>
            <w:r w:rsidRPr="007C6A42">
              <w:rPr>
                <w:rFonts w:asciiTheme="majorBidi" w:eastAsia="Calibri" w:hAnsiTheme="majorBidi" w:cstheme="majorBidi"/>
                <w:b/>
                <w:bCs/>
              </w:rPr>
              <w:t>,</w:t>
            </w:r>
          </w:p>
        </w:tc>
        <w:tc>
          <w:tcPr>
            <w:tcW w:w="4962" w:type="dxa"/>
          </w:tcPr>
          <w:p w14:paraId="1D31310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considérez que Nous vous avons créés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0332E8BC"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b/>
                <w:bCs/>
              </w:rPr>
              <w:t>T</w:t>
            </w:r>
            <w:r w:rsidRPr="007C6A42">
              <w:rPr>
                <w:rFonts w:asciiTheme="majorBidi" w:eastAsia="Calibri" w:hAnsiTheme="majorBidi" w:cstheme="majorBidi"/>
              </w:rPr>
              <w:t>u vois</w:t>
            </w:r>
          </w:p>
        </w:tc>
      </w:tr>
      <w:tr w:rsidR="00A70B78" w:rsidRPr="007C6A42" w14:paraId="5BEF59FA" w14:textId="77777777" w:rsidTr="00AF4FC9">
        <w:tc>
          <w:tcPr>
            <w:tcW w:w="854" w:type="dxa"/>
          </w:tcPr>
          <w:p w14:paraId="3B0740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r w:rsidRPr="007C6A42">
              <w:rPr>
                <w:rFonts w:asciiTheme="majorBidi" w:eastAsia="Times New Roman" w:hAnsiTheme="majorBidi" w:cstheme="majorBidi"/>
              </w:rPr>
              <w:t>.</w:t>
            </w:r>
          </w:p>
        </w:tc>
        <w:tc>
          <w:tcPr>
            <w:tcW w:w="3292" w:type="dxa"/>
          </w:tcPr>
          <w:p w14:paraId="205473E4"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Si vous doutez </w:t>
            </w:r>
            <w:r w:rsidRPr="007C6A42">
              <w:rPr>
                <w:rFonts w:asciiTheme="majorBidi" w:eastAsia="Calibri" w:hAnsiTheme="majorBidi" w:cstheme="majorBidi"/>
              </w:rPr>
              <w:t>[…]</w:t>
            </w:r>
            <w:r w:rsidRPr="007C6A42">
              <w:rPr>
                <w:rFonts w:asciiTheme="majorBidi" w:eastAsia="Calibri" w:hAnsiTheme="majorBidi" w:cstheme="majorBidi"/>
                <w:b/>
                <w:bCs/>
              </w:rPr>
              <w:t>,</w:t>
            </w:r>
          </w:p>
        </w:tc>
        <w:tc>
          <w:tcPr>
            <w:tcW w:w="4962" w:type="dxa"/>
          </w:tcPr>
          <w:p w14:paraId="62EEA6B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b/>
                <w:bCs/>
              </w:rPr>
              <w:t>C</w:t>
            </w:r>
            <w:r w:rsidRPr="007C6A42">
              <w:rPr>
                <w:rFonts w:asciiTheme="majorBidi" w:eastAsia="Times New Roman" w:hAnsiTheme="majorBidi" w:cstheme="majorBidi"/>
              </w:rPr>
              <w:t xml:space="preserve">’est Nous qui vous avons créés </w:t>
            </w:r>
            <w:r w:rsidRPr="007C6A42">
              <w:rPr>
                <w:rFonts w:asciiTheme="majorBidi" w:eastAsia="Calibri" w:hAnsiTheme="majorBidi" w:cstheme="majorBidi"/>
              </w:rPr>
              <w:t>[</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787F108C" w14:textId="77777777" w:rsidR="00A70B78" w:rsidRPr="007C6A42" w:rsidRDefault="00A70B78" w:rsidP="00AF4FC9">
            <w:pPr>
              <w:rPr>
                <w:rFonts w:asciiTheme="majorBidi" w:eastAsia="Times New Roman" w:hAnsiTheme="majorBidi" w:cstheme="majorBidi"/>
              </w:rPr>
            </w:pPr>
            <w:r w:rsidRPr="007C6A42">
              <w:rPr>
                <w:rFonts w:asciiTheme="majorBidi" w:eastAsia="Times New Roman" w:hAnsiTheme="majorBidi" w:cstheme="majorBidi"/>
                <w:b/>
                <w:bCs/>
              </w:rPr>
              <w:t>D</w:t>
            </w:r>
            <w:r w:rsidRPr="007C6A42">
              <w:rPr>
                <w:rFonts w:asciiTheme="majorBidi" w:eastAsia="Times New Roman" w:hAnsiTheme="majorBidi" w:cstheme="majorBidi"/>
              </w:rPr>
              <w:t>e même tu vois</w:t>
            </w:r>
          </w:p>
          <w:p w14:paraId="3DAAC90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p>
        </w:tc>
      </w:tr>
      <w:tr w:rsidR="00A70B78" w:rsidRPr="007C6A42" w14:paraId="4AF588CB" w14:textId="77777777" w:rsidTr="00AF4FC9">
        <w:tc>
          <w:tcPr>
            <w:tcW w:w="854" w:type="dxa"/>
          </w:tcPr>
          <w:p w14:paraId="085BA16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3292" w:type="dxa"/>
          </w:tcPr>
          <w:p w14:paraId="3E4B3D70" w14:textId="77777777" w:rsidR="00A70B78" w:rsidRPr="007C6A42" w:rsidRDefault="00A70B78" w:rsidP="00AF4FC9">
            <w:pPr>
              <w:spacing w:line="360" w:lineRule="auto"/>
              <w:jc w:val="both"/>
              <w:rPr>
                <w:rFonts w:asciiTheme="majorBidi" w:eastAsia="Calibri" w:hAnsiTheme="majorBidi" w:cstheme="majorBidi"/>
                <w:lang w:bidi="ar-AE"/>
              </w:rPr>
            </w:pPr>
            <w:r w:rsidRPr="007C6A42">
              <w:rPr>
                <w:rFonts w:asciiTheme="majorBidi" w:eastAsia="Calibri" w:hAnsiTheme="majorBidi" w:cstheme="majorBidi"/>
                <w:lang w:bidi="ar-AE"/>
              </w:rPr>
              <w:t>vous demeureriez dans le doute </w:t>
            </w:r>
            <w:r w:rsidRPr="007C6A42">
              <w:rPr>
                <w:rFonts w:asciiTheme="majorBidi" w:eastAsia="Calibri" w:hAnsiTheme="majorBidi" w:cstheme="majorBidi"/>
                <w:b/>
                <w:bCs/>
                <w:lang w:bidi="ar-AE"/>
              </w:rPr>
              <w:t>?</w:t>
            </w:r>
          </w:p>
        </w:tc>
        <w:tc>
          <w:tcPr>
            <w:tcW w:w="4962" w:type="dxa"/>
          </w:tcPr>
          <w:p w14:paraId="6780CFCC" w14:textId="77777777" w:rsidR="00A70B78" w:rsidRPr="007C6A42" w:rsidRDefault="00A70B78" w:rsidP="00AF4FC9">
            <w:pPr>
              <w:spacing w:line="360" w:lineRule="auto"/>
              <w:jc w:val="both"/>
              <w:rPr>
                <w:rFonts w:asciiTheme="majorBidi" w:eastAsia="Calibri" w:hAnsiTheme="majorBidi" w:cstheme="majorBidi"/>
                <w:lang w:bidi="ar-AE"/>
              </w:rPr>
            </w:pPr>
            <w:r w:rsidRPr="007C6A42">
              <w:rPr>
                <w:rFonts w:asciiTheme="majorBidi" w:eastAsia="Calibri" w:hAnsiTheme="majorBidi" w:cstheme="majorBidi"/>
                <w:b/>
                <w:bCs/>
                <w:lang w:bidi="ar-AE"/>
              </w:rPr>
              <w:t>E</w:t>
            </w:r>
            <w:r w:rsidRPr="007C6A42">
              <w:rPr>
                <w:rFonts w:asciiTheme="majorBidi" w:eastAsia="Calibri" w:hAnsiTheme="majorBidi" w:cstheme="majorBidi"/>
                <w:lang w:bidi="ar-AE"/>
              </w:rPr>
              <w:t xml:space="preserve">h bien ! nous vous avons créés </w:t>
            </w:r>
            <w:r w:rsidRPr="007C6A42">
              <w:rPr>
                <w:rFonts w:asciiTheme="majorBidi" w:eastAsia="Calibri" w:hAnsiTheme="majorBidi" w:cstheme="majorBidi"/>
              </w:rPr>
              <w:t>[</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53B0A458" w14:textId="77777777" w:rsidR="00A70B78" w:rsidRPr="007C6A42" w:rsidRDefault="00A70B78" w:rsidP="00AF4FC9">
            <w:pPr>
              <w:rPr>
                <w:rFonts w:asciiTheme="majorBidi" w:eastAsia="Calibri" w:hAnsiTheme="majorBidi" w:cstheme="majorBidi"/>
                <w:lang w:bidi="ar-AE"/>
              </w:rPr>
            </w:pPr>
            <w:r w:rsidRPr="007C6A42">
              <w:rPr>
                <w:rFonts w:asciiTheme="majorBidi" w:eastAsia="Calibri" w:hAnsiTheme="majorBidi" w:cstheme="majorBidi"/>
                <w:b/>
                <w:bCs/>
                <w:lang w:bidi="ar-AE"/>
              </w:rPr>
              <w:t>A</w:t>
            </w:r>
            <w:r w:rsidRPr="007C6A42">
              <w:rPr>
                <w:rFonts w:asciiTheme="majorBidi" w:eastAsia="Calibri" w:hAnsiTheme="majorBidi" w:cstheme="majorBidi"/>
                <w:lang w:bidi="ar-AE"/>
              </w:rPr>
              <w:t>insi vois-tu</w:t>
            </w:r>
          </w:p>
          <w:p w14:paraId="3A9D98A3" w14:textId="77777777" w:rsidR="00A70B78" w:rsidRPr="007C6A42" w:rsidRDefault="00A70B78" w:rsidP="00AF4FC9">
            <w:pPr>
              <w:spacing w:line="360" w:lineRule="auto"/>
              <w:jc w:val="both"/>
              <w:rPr>
                <w:rFonts w:asciiTheme="majorBidi" w:eastAsia="Calibri" w:hAnsiTheme="majorBidi" w:cstheme="majorBidi"/>
                <w:lang w:bidi="ar-AE"/>
              </w:rPr>
            </w:pPr>
          </w:p>
        </w:tc>
      </w:tr>
      <w:tr w:rsidR="00A70B78" w:rsidRPr="007C6A42" w14:paraId="3962E24E" w14:textId="77777777" w:rsidTr="00AF4FC9">
        <w:tc>
          <w:tcPr>
            <w:tcW w:w="854" w:type="dxa"/>
          </w:tcPr>
          <w:p w14:paraId="488DBCF2"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3292" w:type="dxa"/>
          </w:tcPr>
          <w:p w14:paraId="00966AA8"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 vous veniez à douter</w:t>
            </w:r>
            <w:r w:rsidRPr="007C6A42">
              <w:rPr>
                <w:rFonts w:asciiTheme="majorBidi" w:eastAsia="Calibri" w:hAnsiTheme="majorBidi" w:cstheme="majorBidi"/>
                <w:b/>
                <w:bCs/>
              </w:rPr>
              <w:t>,</w:t>
            </w:r>
          </w:p>
        </w:tc>
        <w:tc>
          <w:tcPr>
            <w:tcW w:w="4962" w:type="dxa"/>
          </w:tcPr>
          <w:p w14:paraId="2586613C"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b/>
                <w:bCs/>
              </w:rPr>
              <w:t>C</w:t>
            </w:r>
            <w:r w:rsidRPr="007C6A42">
              <w:rPr>
                <w:rFonts w:asciiTheme="majorBidi" w:eastAsia="Calibri" w:hAnsiTheme="majorBidi" w:cstheme="majorBidi"/>
              </w:rPr>
              <w:t xml:space="preserve">onsidérez que </w:t>
            </w:r>
            <w:r w:rsidRPr="007C6A42">
              <w:rPr>
                <w:rFonts w:asciiTheme="majorBidi" w:eastAsia="Calibri" w:hAnsiTheme="majorBidi" w:cstheme="majorBidi"/>
                <w:b/>
              </w:rPr>
              <w:t>Nous</w:t>
            </w:r>
            <w:r w:rsidRPr="007C6A42">
              <w:rPr>
                <w:rFonts w:asciiTheme="majorBidi" w:eastAsia="Calibri" w:hAnsiTheme="majorBidi" w:cstheme="majorBidi"/>
              </w:rPr>
              <w:t xml:space="preserve"> vous avons, à partir de poussière, créés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2F4D0919"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b/>
                <w:bCs/>
              </w:rPr>
              <w:t>T</w:t>
            </w:r>
            <w:r w:rsidRPr="007C6A42">
              <w:rPr>
                <w:rFonts w:asciiTheme="majorBidi" w:eastAsia="Calibri" w:hAnsiTheme="majorBidi" w:cstheme="majorBidi"/>
              </w:rPr>
              <w:t>u as vu</w:t>
            </w:r>
          </w:p>
        </w:tc>
      </w:tr>
      <w:tr w:rsidR="00A70B78" w:rsidRPr="007C6A42" w14:paraId="28492A9E" w14:textId="77777777" w:rsidTr="00AF4FC9">
        <w:tc>
          <w:tcPr>
            <w:tcW w:w="854" w:type="dxa"/>
          </w:tcPr>
          <w:p w14:paraId="2190A0D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3292" w:type="dxa"/>
          </w:tcPr>
          <w:p w14:paraId="447739D0"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êtes dans le doute […]</w:t>
            </w:r>
            <w:r w:rsidRPr="007C6A42">
              <w:rPr>
                <w:rFonts w:asciiTheme="majorBidi" w:eastAsia="Calibri" w:hAnsiTheme="majorBidi" w:cstheme="majorBidi"/>
                <w:b/>
                <w:bCs/>
              </w:rPr>
              <w:t>,</w:t>
            </w:r>
          </w:p>
        </w:tc>
        <w:tc>
          <w:tcPr>
            <w:tcW w:w="4962" w:type="dxa"/>
          </w:tcPr>
          <w:p w14:paraId="2CF1B502"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rPr>
              <w:t xml:space="preserve">sachez qu’en vérité c’est Nous qui vous avons </w:t>
            </w:r>
            <w:r w:rsidRPr="007C6A42">
              <w:rPr>
                <w:rFonts w:asciiTheme="majorBidi" w:eastAsia="Calibri" w:hAnsiTheme="majorBidi" w:cstheme="majorBidi"/>
              </w:rPr>
              <w:lastRenderedPageBreak/>
              <w:t>créés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4FB9DC67" w14:textId="77777777" w:rsidR="00A70B78" w:rsidRPr="007C6A42" w:rsidRDefault="00A70B78" w:rsidP="00AF4FC9">
            <w:pPr>
              <w:rPr>
                <w:rFonts w:asciiTheme="majorBidi" w:hAnsiTheme="majorBidi" w:cstheme="majorBidi"/>
              </w:rPr>
            </w:pPr>
            <w:r w:rsidRPr="007C6A42">
              <w:rPr>
                <w:rFonts w:asciiTheme="majorBidi" w:eastAsia="Calibri" w:hAnsiTheme="majorBidi" w:cstheme="majorBidi"/>
                <w:b/>
                <w:bCs/>
              </w:rPr>
              <w:lastRenderedPageBreak/>
              <w:t>D</w:t>
            </w:r>
            <w:r w:rsidRPr="007C6A42">
              <w:rPr>
                <w:rFonts w:asciiTheme="majorBidi" w:eastAsia="Calibri" w:hAnsiTheme="majorBidi" w:cstheme="majorBidi"/>
              </w:rPr>
              <w:t>e même, tu vois</w:t>
            </w:r>
          </w:p>
        </w:tc>
      </w:tr>
      <w:tr w:rsidR="00A70B78" w:rsidRPr="007C6A42" w14:paraId="38619E78" w14:textId="77777777" w:rsidTr="00AF4FC9">
        <w:tc>
          <w:tcPr>
            <w:tcW w:w="854" w:type="dxa"/>
          </w:tcPr>
          <w:p w14:paraId="19F4C90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3292" w:type="dxa"/>
          </w:tcPr>
          <w:p w14:paraId="5ED05B38"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doutez […]</w:t>
            </w:r>
            <w:r w:rsidRPr="007C6A42">
              <w:rPr>
                <w:rFonts w:asciiTheme="majorBidi" w:eastAsia="Calibri" w:hAnsiTheme="majorBidi" w:cstheme="majorBidi"/>
                <w:b/>
                <w:bCs/>
              </w:rPr>
              <w:t>,</w:t>
            </w:r>
          </w:p>
        </w:tc>
        <w:tc>
          <w:tcPr>
            <w:tcW w:w="4962" w:type="dxa"/>
          </w:tcPr>
          <w:p w14:paraId="7A485918" w14:textId="77777777" w:rsidR="00A70B78" w:rsidRPr="007C6A42" w:rsidRDefault="00A70B78" w:rsidP="00AF4FC9">
            <w:pPr>
              <w:rPr>
                <w:rFonts w:asciiTheme="majorBidi" w:hAnsiTheme="majorBidi" w:cstheme="majorBidi"/>
              </w:rPr>
            </w:pPr>
            <w:r w:rsidRPr="007C6A42">
              <w:rPr>
                <w:rFonts w:asciiTheme="majorBidi" w:eastAsia="Calibri" w:hAnsiTheme="majorBidi" w:cstheme="majorBidi"/>
              </w:rPr>
              <w:t>nous vous avons créés</w:t>
            </w:r>
            <w:r w:rsidRPr="007C6A42">
              <w:rPr>
                <w:rFonts w:asciiTheme="majorBidi" w:hAnsiTheme="majorBidi" w:cstheme="majorBidi"/>
              </w:rPr>
              <w:t xml:space="preserve"> </w:t>
            </w:r>
            <w:r w:rsidRPr="007C6A42">
              <w:rPr>
                <w:rFonts w:asciiTheme="majorBidi" w:eastAsia="Calibri" w:hAnsiTheme="majorBidi" w:cstheme="majorBidi"/>
              </w:rPr>
              <w:t>[</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448EE12F" w14:textId="77777777" w:rsidR="00A70B78" w:rsidRPr="007C6A42" w:rsidRDefault="00A70B78" w:rsidP="00AF4FC9">
            <w:pPr>
              <w:rPr>
                <w:rFonts w:asciiTheme="majorBidi" w:hAnsiTheme="majorBidi" w:cstheme="majorBidi"/>
              </w:rPr>
            </w:pPr>
            <w:r w:rsidRPr="007C6A42">
              <w:rPr>
                <w:rFonts w:asciiTheme="majorBidi" w:eastAsia="Calibri" w:hAnsiTheme="majorBidi" w:cstheme="majorBidi"/>
                <w:b/>
                <w:bCs/>
              </w:rPr>
              <w:t>T</w:t>
            </w:r>
            <w:r w:rsidRPr="007C6A42">
              <w:rPr>
                <w:rFonts w:asciiTheme="majorBidi" w:eastAsia="Calibri" w:hAnsiTheme="majorBidi" w:cstheme="majorBidi"/>
              </w:rPr>
              <w:t>u vois</w:t>
            </w:r>
          </w:p>
        </w:tc>
      </w:tr>
      <w:tr w:rsidR="00A70B78" w:rsidRPr="007C6A42" w14:paraId="3752ACF1" w14:textId="77777777" w:rsidTr="00AF4FC9">
        <w:tc>
          <w:tcPr>
            <w:tcW w:w="854" w:type="dxa"/>
          </w:tcPr>
          <w:p w14:paraId="140925A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3292" w:type="dxa"/>
          </w:tcPr>
          <w:p w14:paraId="3DF568A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êtes dans le doute […]</w:t>
            </w:r>
            <w:r w:rsidRPr="007C6A42">
              <w:rPr>
                <w:rFonts w:asciiTheme="majorBidi" w:eastAsia="Calibri" w:hAnsiTheme="majorBidi" w:cstheme="majorBidi"/>
                <w:b/>
                <w:bCs/>
              </w:rPr>
              <w:t>,</w:t>
            </w:r>
          </w:p>
        </w:tc>
        <w:tc>
          <w:tcPr>
            <w:tcW w:w="4962" w:type="dxa"/>
          </w:tcPr>
          <w:p w14:paraId="0ABBCBD9" w14:textId="77777777" w:rsidR="00A70B78" w:rsidRPr="007C6A42" w:rsidRDefault="00A70B78" w:rsidP="00AF4FC9">
            <w:pPr>
              <w:rPr>
                <w:rFonts w:asciiTheme="majorBidi" w:hAnsiTheme="majorBidi" w:cstheme="majorBidi"/>
              </w:rPr>
            </w:pPr>
            <w:r w:rsidRPr="007C6A42">
              <w:rPr>
                <w:rFonts w:asciiTheme="majorBidi" w:eastAsia="Calibri" w:hAnsiTheme="majorBidi" w:cstheme="majorBidi"/>
              </w:rPr>
              <w:t>sachez que c’est Nous qui vous avons tirés de terre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6187F1C3" w14:textId="77777777" w:rsidR="00A70B78" w:rsidRPr="007C6A42" w:rsidRDefault="00A70B78" w:rsidP="00AF4FC9">
            <w:pPr>
              <w:rPr>
                <w:rFonts w:asciiTheme="majorBidi" w:hAnsiTheme="majorBidi" w:cstheme="majorBidi"/>
              </w:rPr>
            </w:pPr>
            <w:r w:rsidRPr="007C6A42">
              <w:rPr>
                <w:rFonts w:asciiTheme="majorBidi" w:eastAsia="Calibri" w:hAnsiTheme="majorBidi" w:cstheme="majorBidi"/>
                <w:b/>
                <w:bCs/>
              </w:rPr>
              <w:t>N</w:t>
            </w:r>
            <w:r w:rsidRPr="007C6A42">
              <w:rPr>
                <w:rFonts w:asciiTheme="majorBidi" w:eastAsia="Calibri" w:hAnsiTheme="majorBidi" w:cstheme="majorBidi"/>
              </w:rPr>
              <w:t>e vois-tu pas</w:t>
            </w:r>
          </w:p>
        </w:tc>
      </w:tr>
      <w:tr w:rsidR="00A70B78" w:rsidRPr="007C6A42" w14:paraId="71F97BFB" w14:textId="77777777" w:rsidTr="00AF4FC9">
        <w:tc>
          <w:tcPr>
            <w:tcW w:w="854" w:type="dxa"/>
          </w:tcPr>
          <w:p w14:paraId="79C170F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3292" w:type="dxa"/>
          </w:tcPr>
          <w:p w14:paraId="0D189924"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doutez […]</w:t>
            </w:r>
            <w:r w:rsidRPr="007C6A42">
              <w:rPr>
                <w:rFonts w:asciiTheme="majorBidi" w:eastAsia="Calibri" w:hAnsiTheme="majorBidi" w:cstheme="majorBidi"/>
                <w:b/>
                <w:bCs/>
              </w:rPr>
              <w:t>,</w:t>
            </w:r>
          </w:p>
        </w:tc>
        <w:tc>
          <w:tcPr>
            <w:tcW w:w="4962" w:type="dxa"/>
          </w:tcPr>
          <w:p w14:paraId="03B7BE0B" w14:textId="77777777" w:rsidR="00A70B78" w:rsidRPr="007C6A42" w:rsidRDefault="00A70B78" w:rsidP="00AF4FC9">
            <w:pPr>
              <w:rPr>
                <w:rFonts w:asciiTheme="majorBidi" w:hAnsiTheme="majorBidi" w:cstheme="majorBidi"/>
              </w:rPr>
            </w:pPr>
            <w:r w:rsidRPr="007C6A42">
              <w:rPr>
                <w:rFonts w:asciiTheme="majorBidi" w:eastAsia="Calibri" w:hAnsiTheme="majorBidi" w:cstheme="majorBidi"/>
              </w:rPr>
              <w:t>souvenez-vous que nous vous avons tirés de la terre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p w14:paraId="3B0255CF" w14:textId="77777777" w:rsidR="00A70B78" w:rsidRPr="007C6A42" w:rsidRDefault="00A70B78" w:rsidP="00AF4FC9">
            <w:pPr>
              <w:spacing w:line="360" w:lineRule="auto"/>
              <w:jc w:val="both"/>
              <w:rPr>
                <w:rFonts w:asciiTheme="majorBidi" w:hAnsiTheme="majorBidi" w:cstheme="majorBidi"/>
              </w:rPr>
            </w:pPr>
          </w:p>
        </w:tc>
        <w:tc>
          <w:tcPr>
            <w:tcW w:w="1812" w:type="dxa"/>
          </w:tcPr>
          <w:p w14:paraId="63A2A74F"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b/>
                <w:bCs/>
              </w:rPr>
              <w:t>[ø]</w:t>
            </w:r>
          </w:p>
        </w:tc>
      </w:tr>
      <w:tr w:rsidR="00A70B78" w:rsidRPr="007C6A42" w14:paraId="3A844632" w14:textId="77777777" w:rsidTr="00AF4FC9">
        <w:tc>
          <w:tcPr>
            <w:tcW w:w="854" w:type="dxa"/>
          </w:tcPr>
          <w:p w14:paraId="0B1636C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3292" w:type="dxa"/>
          </w:tcPr>
          <w:p w14:paraId="6E4168F4"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si vous êtes dans le doute […]</w:t>
            </w:r>
            <w:r w:rsidRPr="007C6A42">
              <w:rPr>
                <w:rFonts w:asciiTheme="majorBidi" w:eastAsia="Calibri" w:hAnsiTheme="majorBidi" w:cstheme="majorBidi"/>
                <w:b/>
                <w:bCs/>
              </w:rPr>
              <w:t>,</w:t>
            </w:r>
          </w:p>
        </w:tc>
        <w:tc>
          <w:tcPr>
            <w:tcW w:w="4962" w:type="dxa"/>
          </w:tcPr>
          <w:p w14:paraId="5E645CF6" w14:textId="77777777" w:rsidR="00A70B78" w:rsidRPr="007C6A42" w:rsidRDefault="00A70B78" w:rsidP="00AF4FC9">
            <w:pPr>
              <w:rPr>
                <w:rFonts w:asciiTheme="majorBidi" w:hAnsiTheme="majorBidi" w:cstheme="majorBidi"/>
              </w:rPr>
            </w:pPr>
            <w:r w:rsidRPr="007C6A42">
              <w:rPr>
                <w:rFonts w:asciiTheme="majorBidi" w:eastAsia="Calibri" w:hAnsiTheme="majorBidi" w:cstheme="majorBidi"/>
              </w:rPr>
              <w:t>sachez que Nous vous avons créés [</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4B4F412D" w14:textId="77777777" w:rsidR="00A70B78" w:rsidRPr="007C6A42" w:rsidRDefault="00A70B78" w:rsidP="00AF4FC9">
            <w:pPr>
              <w:spacing w:line="360" w:lineRule="auto"/>
              <w:jc w:val="both"/>
              <w:rPr>
                <w:rFonts w:asciiTheme="majorBidi" w:hAnsiTheme="majorBidi" w:cstheme="majorBidi"/>
              </w:rPr>
            </w:pPr>
            <w:r w:rsidRPr="007C6A42">
              <w:rPr>
                <w:rFonts w:asciiTheme="majorBidi" w:eastAsia="Calibri" w:hAnsiTheme="majorBidi" w:cstheme="majorBidi"/>
                <w:b/>
                <w:bCs/>
              </w:rPr>
              <w:t>T</w:t>
            </w:r>
            <w:r w:rsidRPr="007C6A42">
              <w:rPr>
                <w:rFonts w:asciiTheme="majorBidi" w:eastAsia="Calibri" w:hAnsiTheme="majorBidi" w:cstheme="majorBidi"/>
              </w:rPr>
              <w:t>u verras</w:t>
            </w:r>
          </w:p>
        </w:tc>
      </w:tr>
      <w:tr w:rsidR="00A70B78" w:rsidRPr="007C6A42" w14:paraId="53499CFE" w14:textId="77777777" w:rsidTr="00AF4FC9">
        <w:tc>
          <w:tcPr>
            <w:tcW w:w="854" w:type="dxa"/>
          </w:tcPr>
          <w:p w14:paraId="7F85C6C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3292" w:type="dxa"/>
          </w:tcPr>
          <w:p w14:paraId="4A26A4B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Si vous êtes dans le doute </w:t>
            </w:r>
            <w:r w:rsidRPr="007C6A42">
              <w:rPr>
                <w:rFonts w:asciiTheme="majorBidi" w:eastAsia="Calibri" w:hAnsiTheme="majorBidi" w:cstheme="majorBidi"/>
              </w:rPr>
              <w:t>[…]</w:t>
            </w:r>
            <w:r w:rsidRPr="007C6A42">
              <w:rPr>
                <w:rFonts w:asciiTheme="majorBidi" w:eastAsia="Calibri" w:hAnsiTheme="majorBidi" w:cstheme="majorBidi"/>
                <w:b/>
                <w:bCs/>
              </w:rPr>
              <w:t>,</w:t>
            </w:r>
          </w:p>
        </w:tc>
        <w:tc>
          <w:tcPr>
            <w:tcW w:w="4962" w:type="dxa"/>
          </w:tcPr>
          <w:p w14:paraId="478AE39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c’est Nous qui vous Créâmes </w:t>
            </w:r>
            <w:r w:rsidRPr="007C6A42">
              <w:rPr>
                <w:rFonts w:asciiTheme="majorBidi" w:eastAsia="Calibri" w:hAnsiTheme="majorBidi" w:cstheme="majorBidi"/>
              </w:rPr>
              <w:t>[</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364903A6" w14:textId="77777777" w:rsidR="00A70B78" w:rsidRPr="007C6A42" w:rsidRDefault="00A70B78" w:rsidP="00AF4FC9">
            <w:pPr>
              <w:rPr>
                <w:rFonts w:asciiTheme="majorBidi" w:hAnsiTheme="majorBidi" w:cstheme="majorBidi"/>
              </w:rPr>
            </w:pPr>
            <w:r w:rsidRPr="007C6A42">
              <w:rPr>
                <w:rFonts w:asciiTheme="majorBidi" w:hAnsiTheme="majorBidi" w:cstheme="majorBidi"/>
                <w:b/>
                <w:bCs/>
              </w:rPr>
              <w:t>Et</w:t>
            </w:r>
            <w:r w:rsidRPr="007C6A42">
              <w:rPr>
                <w:rFonts w:asciiTheme="majorBidi" w:hAnsiTheme="majorBidi" w:cstheme="majorBidi"/>
              </w:rPr>
              <w:t xml:space="preserve"> tu vois</w:t>
            </w:r>
          </w:p>
          <w:p w14:paraId="2A1DC635" w14:textId="77777777" w:rsidR="00A70B78" w:rsidRPr="007C6A42" w:rsidRDefault="00A70B78" w:rsidP="00AF4FC9">
            <w:pPr>
              <w:spacing w:line="360" w:lineRule="auto"/>
              <w:jc w:val="both"/>
              <w:rPr>
                <w:rFonts w:asciiTheme="majorBidi" w:hAnsiTheme="majorBidi" w:cstheme="majorBidi"/>
              </w:rPr>
            </w:pPr>
          </w:p>
        </w:tc>
      </w:tr>
      <w:tr w:rsidR="00A70B78" w:rsidRPr="007C6A42" w14:paraId="750DEE4E" w14:textId="77777777" w:rsidTr="00AF4FC9">
        <w:tc>
          <w:tcPr>
            <w:tcW w:w="854" w:type="dxa"/>
          </w:tcPr>
          <w:p w14:paraId="4A18AFE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3292" w:type="dxa"/>
          </w:tcPr>
          <w:p w14:paraId="30207BB8" w14:textId="77777777" w:rsidR="00A70B78" w:rsidRPr="007C6A42" w:rsidRDefault="00A70B78" w:rsidP="00AF4FC9">
            <w:pPr>
              <w:spacing w:line="360" w:lineRule="auto"/>
              <w:jc w:val="both"/>
              <w:rPr>
                <w:rFonts w:asciiTheme="majorBidi" w:eastAsia="Times New Roman" w:hAnsiTheme="majorBidi" w:cstheme="majorBidi"/>
                <w:lang w:eastAsia="fr-CH"/>
              </w:rPr>
            </w:pPr>
            <w:r w:rsidRPr="007C6A42">
              <w:rPr>
                <w:rFonts w:asciiTheme="majorBidi" w:eastAsia="Times New Roman" w:hAnsiTheme="majorBidi" w:cstheme="majorBidi"/>
                <w:lang w:eastAsia="fr-CH"/>
              </w:rPr>
              <w:t xml:space="preserve">Si vous êtes dans la suspicion </w:t>
            </w:r>
            <w:r w:rsidRPr="007C6A42">
              <w:rPr>
                <w:rFonts w:asciiTheme="majorBidi" w:eastAsia="Calibri" w:hAnsiTheme="majorBidi" w:cstheme="majorBidi"/>
              </w:rPr>
              <w:t>[…]</w:t>
            </w:r>
            <w:r w:rsidRPr="007C6A42">
              <w:rPr>
                <w:rFonts w:asciiTheme="majorBidi" w:eastAsia="Calibri" w:hAnsiTheme="majorBidi" w:cstheme="majorBidi"/>
                <w:b/>
                <w:bCs/>
              </w:rPr>
              <w:t>,</w:t>
            </w:r>
          </w:p>
        </w:tc>
        <w:tc>
          <w:tcPr>
            <w:tcW w:w="4962" w:type="dxa"/>
          </w:tcPr>
          <w:p w14:paraId="69371D07" w14:textId="77777777" w:rsidR="00A70B78" w:rsidRPr="007C6A42" w:rsidRDefault="00A70B78" w:rsidP="00AF4FC9">
            <w:pPr>
              <w:rPr>
                <w:rFonts w:asciiTheme="majorBidi" w:eastAsia="Times New Roman" w:hAnsiTheme="majorBidi" w:cstheme="majorBidi"/>
                <w:lang w:bidi="ar-KW"/>
              </w:rPr>
            </w:pPr>
            <w:r w:rsidRPr="007C6A42">
              <w:rPr>
                <w:rFonts w:asciiTheme="majorBidi" w:eastAsia="Times New Roman" w:hAnsiTheme="majorBidi" w:cstheme="majorBidi"/>
                <w:lang w:eastAsia="fr-CH"/>
              </w:rPr>
              <w:t xml:space="preserve">c’est nous qui vous avons créés de terre </w:t>
            </w:r>
            <w:r w:rsidRPr="007C6A42">
              <w:rPr>
                <w:rFonts w:asciiTheme="majorBidi" w:hAnsiTheme="majorBidi" w:cstheme="majorBidi"/>
              </w:rPr>
              <w:t xml:space="preserve"> </w:t>
            </w:r>
            <w:r w:rsidRPr="007C6A42">
              <w:rPr>
                <w:rFonts w:asciiTheme="majorBidi" w:eastAsia="Calibri" w:hAnsiTheme="majorBidi" w:cstheme="majorBidi"/>
              </w:rPr>
              <w:t>[</w:t>
            </w:r>
            <w:r w:rsidRPr="007C6A42">
              <w:rPr>
                <w:rFonts w:asciiTheme="majorBidi" w:eastAsia="Times New Roman" w:hAnsiTheme="majorBidi" w:cstheme="majorBidi"/>
              </w:rPr>
              <w:t>…]</w:t>
            </w:r>
            <w:r w:rsidRPr="007C6A42">
              <w:rPr>
                <w:rFonts w:asciiTheme="majorBidi" w:eastAsia="Times New Roman" w:hAnsiTheme="majorBidi" w:cstheme="majorBidi"/>
                <w:b/>
                <w:bCs/>
              </w:rPr>
              <w:t>.</w:t>
            </w:r>
          </w:p>
        </w:tc>
        <w:tc>
          <w:tcPr>
            <w:tcW w:w="1812" w:type="dxa"/>
          </w:tcPr>
          <w:p w14:paraId="026197EC" w14:textId="77777777" w:rsidR="00A70B78" w:rsidRPr="007C6A42" w:rsidRDefault="00A70B78" w:rsidP="00AF4FC9">
            <w:pPr>
              <w:rPr>
                <w:rFonts w:asciiTheme="majorBidi" w:eastAsia="Times New Roman" w:hAnsiTheme="majorBidi" w:cstheme="majorBidi"/>
                <w:lang w:bidi="ar-KW"/>
              </w:rPr>
            </w:pPr>
            <w:r w:rsidRPr="007C6A42">
              <w:rPr>
                <w:rFonts w:asciiTheme="majorBidi" w:eastAsia="Times New Roman" w:hAnsiTheme="majorBidi" w:cstheme="majorBidi"/>
                <w:b/>
                <w:bCs/>
                <w:lang w:eastAsia="fr-CH"/>
              </w:rPr>
              <w:t>T</w:t>
            </w:r>
            <w:r w:rsidRPr="007C6A42">
              <w:rPr>
                <w:rFonts w:asciiTheme="majorBidi" w:eastAsia="Times New Roman" w:hAnsiTheme="majorBidi" w:cstheme="majorBidi"/>
                <w:lang w:eastAsia="fr-CH"/>
              </w:rPr>
              <w:t>u vois</w:t>
            </w:r>
          </w:p>
        </w:tc>
      </w:tr>
    </w:tbl>
    <w:p w14:paraId="327C21AC" w14:textId="77777777" w:rsidR="00A70B78" w:rsidRPr="007C6A42" w:rsidRDefault="00A70B78" w:rsidP="00A70B78">
      <w:pPr>
        <w:shd w:val="clear" w:color="auto" w:fill="FFFFFF"/>
        <w:spacing w:line="360" w:lineRule="auto"/>
        <w:ind w:firstLine="708"/>
        <w:jc w:val="both"/>
        <w:rPr>
          <w:rFonts w:asciiTheme="majorBidi" w:eastAsia="Times New Roman" w:hAnsiTheme="majorBidi" w:cstheme="majorBidi"/>
        </w:rPr>
      </w:pPr>
    </w:p>
    <w:p w14:paraId="5F248D4A" w14:textId="77777777" w:rsidR="00A70B78" w:rsidRPr="007C6A42" w:rsidRDefault="00A70B78" w:rsidP="00A70B78">
      <w:pPr>
        <w:shd w:val="clear" w:color="auto" w:fill="FFFFFF"/>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Cependant, certains traducteurs utilisent des connecteurs (adverbe, locution adverbiale ou conjonction de coordination) qui montrent le lien entre le second argument et ce qui précède : « </w:t>
      </w:r>
      <w:r w:rsidRPr="007C6A42">
        <w:rPr>
          <w:rFonts w:asciiTheme="majorBidi" w:eastAsia="Calibri" w:hAnsiTheme="majorBidi" w:cstheme="majorBidi"/>
        </w:rPr>
        <w:t>[</w:t>
      </w:r>
      <w:r w:rsidRPr="007C6A42">
        <w:rPr>
          <w:rFonts w:asciiTheme="majorBidi" w:eastAsia="Calibri" w:hAnsiTheme="majorBidi" w:cstheme="majorBidi"/>
          <w:i/>
        </w:rPr>
        <w:t>De même</w:t>
      </w:r>
      <w:r w:rsidRPr="007C6A42">
        <w:rPr>
          <w:rFonts w:asciiTheme="majorBidi" w:eastAsia="Calibri" w:hAnsiTheme="majorBidi" w:cstheme="majorBidi"/>
        </w:rPr>
        <w:t xml:space="preserve">,] » </w:t>
      </w:r>
      <w:r w:rsidRPr="007C6A42">
        <w:rPr>
          <w:rFonts w:asciiTheme="majorBidi" w:eastAsia="Times New Roman" w:hAnsiTheme="majorBidi" w:cstheme="majorBidi"/>
        </w:rPr>
        <w:t>(Blachère) ; « </w:t>
      </w:r>
      <w:r w:rsidRPr="007C6A42">
        <w:rPr>
          <w:rFonts w:asciiTheme="majorBidi" w:eastAsia="Calibri" w:hAnsiTheme="majorBidi" w:cstheme="majorBidi"/>
        </w:rPr>
        <w:t>De même » (Hamidullah, complexe de Médine et Hafiane) ; « Ainsi » (Berque) ; « Et » (Abdelaziz). Mais Berque, lui, a modifié la nature du lien entre ces deux arguments passant d’un lien de coordination (avec un simple « et » ou bien « de même ») à un lien de subordination (« ainsi »), établissant entre ces deux arguments un rapport cause-conséquence.</w:t>
      </w:r>
    </w:p>
    <w:p w14:paraId="184D2681" w14:textId="77777777" w:rsidR="00A70B78" w:rsidRPr="007C6A42" w:rsidRDefault="00A70B78" w:rsidP="00A70B78">
      <w:pPr>
        <w:spacing w:line="360" w:lineRule="auto"/>
        <w:jc w:val="both"/>
        <w:rPr>
          <w:rFonts w:asciiTheme="majorBidi" w:eastAsia="Times New Roman" w:hAnsiTheme="majorBidi" w:cstheme="majorBidi"/>
          <w:lang w:bidi="ar-EG"/>
        </w:rPr>
      </w:pPr>
    </w:p>
    <w:p w14:paraId="62CAD570" w14:textId="7D064874" w:rsidR="00A70B78" w:rsidRPr="007C6A42" w:rsidRDefault="006401B7" w:rsidP="00A70B78">
      <w:pPr>
        <w:spacing w:line="360" w:lineRule="auto"/>
        <w:jc w:val="both"/>
        <w:rPr>
          <w:rFonts w:asciiTheme="majorBidi" w:hAnsiTheme="majorBidi" w:cstheme="majorBidi"/>
          <w:lang w:bidi="ar-AE"/>
        </w:rPr>
      </w:pPr>
      <w:r>
        <w:rPr>
          <w:rFonts w:asciiTheme="majorBidi" w:eastAsia="Times New Roman" w:hAnsiTheme="majorBidi" w:cstheme="majorBidi"/>
          <w:b/>
          <w:bCs/>
          <w:lang w:bidi="ar-EG"/>
        </w:rPr>
        <w:t xml:space="preserve">10.6. </w:t>
      </w:r>
      <w:r w:rsidR="00A70B78" w:rsidRPr="007C6A42">
        <w:rPr>
          <w:rFonts w:asciiTheme="majorBidi" w:eastAsia="Times New Roman" w:hAnsiTheme="majorBidi" w:cstheme="majorBidi"/>
          <w:b/>
          <w:bCs/>
          <w:lang w:bidi="ar-EG"/>
        </w:rPr>
        <w:t xml:space="preserve">Traduction </w:t>
      </w:r>
      <w:r w:rsidR="00A70B78" w:rsidRPr="007C6A42">
        <w:rPr>
          <w:rFonts w:asciiTheme="majorBidi" w:hAnsiTheme="majorBidi" w:cstheme="majorBidi"/>
          <w:b/>
          <w:bCs/>
        </w:rPr>
        <w:t>de l’</w:t>
      </w:r>
      <w:r w:rsidR="00A70B78" w:rsidRPr="007C6A42">
        <w:rPr>
          <w:rFonts w:asciiTheme="majorBidi" w:hAnsiTheme="majorBidi" w:cstheme="majorBidi"/>
          <w:b/>
          <w:bCs/>
          <w:lang w:bidi="ar-AE"/>
        </w:rPr>
        <w:t>anastrophe [</w:t>
      </w:r>
      <w:r w:rsidR="00A70B78" w:rsidRPr="007C6A42">
        <w:rPr>
          <w:rFonts w:asciiTheme="majorBidi" w:hAnsiTheme="majorBidi" w:cstheme="majorBidi"/>
          <w:b/>
          <w:bCs/>
          <w:i/>
          <w:iCs/>
          <w:lang w:bidi="ar-AE"/>
        </w:rPr>
        <w:t>at-taqdīm wa-at-taʾkhīr</w:t>
      </w:r>
      <w:r w:rsidR="00A70B78" w:rsidRPr="007C6A42">
        <w:rPr>
          <w:rFonts w:asciiTheme="majorBidi" w:hAnsiTheme="majorBidi" w:cstheme="majorBidi"/>
          <w:b/>
          <w:bCs/>
          <w:lang w:bidi="ar-AE"/>
        </w:rPr>
        <w:t>] :</w:t>
      </w:r>
    </w:p>
    <w:p w14:paraId="1A6B1AD5"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lang w:bidi="ar-AE"/>
        </w:rPr>
        <w:t>Puisque le Coran est un texte sacré, par conséquent l’ordre des mots devrait l’être aussi.</w:t>
      </w:r>
      <w:r w:rsidRPr="007C6A42">
        <w:rPr>
          <w:rStyle w:val="Appelnotedebasdep"/>
          <w:rFonts w:asciiTheme="majorBidi" w:eastAsia="Times New Roman" w:hAnsiTheme="majorBidi" w:cstheme="majorBidi"/>
          <w:lang w:bidi="ar-AE"/>
        </w:rPr>
        <w:footnoteReference w:id="556"/>
      </w:r>
      <w:r w:rsidRPr="007C6A42">
        <w:rPr>
          <w:rFonts w:asciiTheme="majorBidi" w:eastAsia="Times New Roman" w:hAnsiTheme="majorBidi" w:cstheme="majorBidi"/>
          <w:color w:val="C00000"/>
          <w:lang w:bidi="ar-AE"/>
        </w:rPr>
        <w:t xml:space="preserve"> </w:t>
      </w:r>
      <w:r w:rsidRPr="007C6A42">
        <w:rPr>
          <w:rFonts w:asciiTheme="majorBidi" w:eastAsia="Times New Roman" w:hAnsiTheme="majorBidi" w:cstheme="majorBidi"/>
          <w:lang w:bidi="ar-AE"/>
        </w:rPr>
        <w:t>On peut même en tirer des lois théologiques (</w:t>
      </w:r>
      <w:r w:rsidRPr="007C6A42">
        <w:rPr>
          <w:rFonts w:asciiTheme="majorBidi" w:eastAsia="Times New Roman" w:hAnsiTheme="majorBidi" w:cstheme="majorBidi"/>
          <w:i/>
          <w:iCs/>
          <w:lang w:bidi="ar-AE"/>
        </w:rPr>
        <w:t>aḥkām</w:t>
      </w:r>
      <w:r w:rsidRPr="007C6A42">
        <w:rPr>
          <w:rFonts w:asciiTheme="majorBidi" w:eastAsia="Times New Roman" w:hAnsiTheme="majorBidi" w:cstheme="majorBidi"/>
          <w:lang w:bidi="ar-AE"/>
        </w:rPr>
        <w:t xml:space="preserve">) ; à titre d’exemple, dans le verset </w:t>
      </w:r>
      <w:r w:rsidRPr="007C6A42">
        <w:rPr>
          <w:rFonts w:asciiTheme="majorBidi" w:eastAsia="Times New Roman" w:hAnsiTheme="majorBidi" w:cstheme="majorBidi"/>
          <w:lang w:bidi="ar-AE"/>
        </w:rPr>
        <w:lastRenderedPageBreak/>
        <w:t>28 (« </w:t>
      </w:r>
      <w:r w:rsidRPr="007C6A42">
        <w:rPr>
          <w:rFonts w:asciiTheme="majorBidi" w:eastAsia="Times New Roman" w:hAnsiTheme="majorBidi" w:cstheme="majorBidi"/>
          <w:shd w:val="clear" w:color="auto" w:fill="FFFFFF"/>
          <w:rtl/>
        </w:rPr>
        <w:t>فكُلوا منها وأطعِموا البائسَ الفقير</w:t>
      </w:r>
      <w:r w:rsidRPr="007C6A42">
        <w:rPr>
          <w:rFonts w:asciiTheme="majorBidi" w:eastAsia="Times New Roman" w:hAnsiTheme="majorBidi" w:cstheme="majorBidi"/>
        </w:rPr>
        <w:t> » [</w:t>
      </w:r>
      <w:r w:rsidRPr="007C6A42">
        <w:rPr>
          <w:rFonts w:asciiTheme="majorBidi" w:eastAsia="Calibri" w:hAnsiTheme="majorBidi" w:cstheme="majorBidi"/>
          <w:lang w:bidi="ar-AE"/>
        </w:rPr>
        <w:t>« Mangez-en et  nourrissez-en le malheureux indigent »</w:t>
      </w:r>
      <w:r w:rsidRPr="007C6A42">
        <w:rPr>
          <w:rFonts w:asciiTheme="majorBidi" w:eastAsia="Times New Roman" w:hAnsiTheme="majorBidi" w:cstheme="majorBidi"/>
        </w:rPr>
        <w:t xml:space="preserve">]), le fait que le verbe à l’impératif </w:t>
      </w:r>
      <w:r w:rsidRPr="007C6A42">
        <w:rPr>
          <w:rFonts w:asciiTheme="majorBidi" w:eastAsia="Times New Roman" w:hAnsiTheme="majorBidi" w:cstheme="majorBidi"/>
          <w:i/>
          <w:iCs/>
        </w:rPr>
        <w:t>kulū</w:t>
      </w:r>
      <w:r w:rsidRPr="007C6A42">
        <w:rPr>
          <w:rFonts w:asciiTheme="majorBidi" w:eastAsia="Times New Roman" w:hAnsiTheme="majorBidi" w:cstheme="majorBidi"/>
        </w:rPr>
        <w:t xml:space="preserve"> [mangez] est placé avant le verbe </w:t>
      </w:r>
      <w:r w:rsidRPr="007C6A42">
        <w:rPr>
          <w:rFonts w:asciiTheme="majorBidi" w:hAnsiTheme="majorBidi" w:cstheme="majorBidi"/>
          <w:i/>
          <w:iCs/>
        </w:rPr>
        <w:t>aṭʿim</w:t>
      </w:r>
      <w:r w:rsidRPr="007C6A42">
        <w:rPr>
          <w:rFonts w:asciiTheme="majorBidi" w:eastAsia="Times New Roman" w:hAnsiTheme="majorBidi" w:cstheme="majorBidi"/>
          <w:i/>
          <w:iCs/>
        </w:rPr>
        <w:t>ū</w:t>
      </w:r>
      <w:r w:rsidRPr="007C6A42">
        <w:rPr>
          <w:rFonts w:asciiTheme="majorBidi" w:eastAsia="Times New Roman" w:hAnsiTheme="majorBidi" w:cstheme="majorBidi"/>
        </w:rPr>
        <w:t xml:space="preserve"> [donnez à manger] implique selon le </w:t>
      </w:r>
      <w:r w:rsidRPr="007C6A42">
        <w:rPr>
          <w:rFonts w:asciiTheme="majorBidi" w:eastAsia="Times New Roman" w:hAnsiTheme="majorBidi" w:cstheme="majorBidi"/>
          <w:i/>
        </w:rPr>
        <w:t>fiqh</w:t>
      </w:r>
      <w:r w:rsidRPr="007C6A42">
        <w:rPr>
          <w:rFonts w:asciiTheme="majorBidi" w:eastAsia="Times New Roman" w:hAnsiTheme="majorBidi" w:cstheme="majorBidi"/>
        </w:rPr>
        <w:t xml:space="preserve"> que manger de l’animal sacrifié prime sur le fait d’en donner de l’aumône (</w:t>
      </w:r>
      <w:r w:rsidRPr="007C6A42">
        <w:rPr>
          <w:rFonts w:asciiTheme="majorBidi" w:eastAsia="Times New Roman" w:hAnsiTheme="majorBidi" w:cstheme="majorBidi"/>
          <w:i/>
          <w:iCs/>
        </w:rPr>
        <w:t>ṣadaqa</w:t>
      </w:r>
      <w:r w:rsidRPr="007C6A42">
        <w:rPr>
          <w:rFonts w:asciiTheme="majorBidi" w:eastAsia="Times New Roman" w:hAnsiTheme="majorBidi" w:cstheme="majorBidi"/>
        </w:rPr>
        <w:t>).</w:t>
      </w:r>
      <w:r w:rsidRPr="007C6A42">
        <w:rPr>
          <w:rFonts w:asciiTheme="majorBidi" w:eastAsia="Calibri" w:hAnsiTheme="majorBidi" w:cstheme="majorBidi"/>
          <w:vertAlign w:val="superscript"/>
          <w:lang w:bidi="ar-AE"/>
        </w:rPr>
        <w:footnoteReference w:id="557"/>
      </w:r>
    </w:p>
    <w:p w14:paraId="19F11B7F" w14:textId="77777777" w:rsidR="00A70B78" w:rsidRPr="007C6A42" w:rsidRDefault="00A70B78" w:rsidP="00A70B78">
      <w:pPr>
        <w:spacing w:line="360" w:lineRule="auto"/>
        <w:ind w:firstLine="720"/>
        <w:jc w:val="both"/>
        <w:rPr>
          <w:rFonts w:asciiTheme="majorBidi" w:eastAsia="Times New Roman" w:hAnsiTheme="majorBidi" w:cstheme="majorBidi"/>
        </w:rPr>
      </w:pPr>
    </w:p>
    <w:p w14:paraId="51B8A0DE" w14:textId="77777777" w:rsidR="00A70B78" w:rsidRPr="007C6A42" w:rsidRDefault="00A70B78" w:rsidP="00A70B78">
      <w:pPr>
        <w:spacing w:line="360" w:lineRule="auto"/>
        <w:jc w:val="both"/>
        <w:rPr>
          <w:rFonts w:asciiTheme="majorBidi" w:eastAsia="Times New Roman" w:hAnsiTheme="majorBidi" w:cstheme="majorBidi"/>
          <w:b/>
          <w:bCs/>
          <w:lang w:bidi="ar-EG"/>
        </w:rPr>
      </w:pPr>
      <w:r w:rsidRPr="007C6A42">
        <w:rPr>
          <w:rFonts w:asciiTheme="majorBidi" w:eastAsia="Times New Roman" w:hAnsiTheme="majorBidi" w:cstheme="majorBidi"/>
          <w:b/>
          <w:bCs/>
          <w:lang w:bidi="ar-EG"/>
        </w:rPr>
        <w:t>Traduction de l’anastrophe du verset 20 :</w:t>
      </w:r>
    </w:p>
    <w:p w14:paraId="3300344C" w14:textId="77777777" w:rsidR="00A70B78" w:rsidRPr="007C6A42" w:rsidRDefault="00A70B78" w:rsidP="00A70B78">
      <w:pPr>
        <w:spacing w:line="360" w:lineRule="auto"/>
        <w:ind w:firstLine="720"/>
        <w:contextualSpacing/>
        <w:jc w:val="both"/>
        <w:rPr>
          <w:rFonts w:asciiTheme="majorBidi" w:hAnsiTheme="majorBidi" w:cstheme="majorBidi"/>
          <w:lang w:bidi="ar-AE"/>
        </w:rPr>
      </w:pPr>
      <w:r w:rsidRPr="007C6A42">
        <w:rPr>
          <w:rFonts w:asciiTheme="majorBidi" w:hAnsiTheme="majorBidi" w:cstheme="majorBidi"/>
          <w:lang w:bidi="ar-AE"/>
        </w:rPr>
        <w:t xml:space="preserve">Dans le verset 20, </w:t>
      </w:r>
      <w:r w:rsidRPr="007C6A42">
        <w:rPr>
          <w:rFonts w:asciiTheme="majorBidi" w:eastAsia="Times New Roman" w:hAnsiTheme="majorBidi" w:cstheme="majorBidi"/>
          <w:lang w:bidi="ar-AE"/>
        </w:rPr>
        <w:t xml:space="preserve">le mot </w:t>
      </w:r>
      <w:r w:rsidRPr="007C6A42">
        <w:rPr>
          <w:rFonts w:asciiTheme="majorBidi" w:eastAsia="Times New Roman" w:hAnsiTheme="majorBidi" w:cstheme="majorBidi"/>
          <w:i/>
          <w:iCs/>
          <w:lang w:bidi="ar-AE"/>
        </w:rPr>
        <w:t>buṭūn</w:t>
      </w:r>
      <w:r w:rsidRPr="007C6A42">
        <w:rPr>
          <w:rFonts w:asciiTheme="majorBidi" w:eastAsia="Times New Roman" w:hAnsiTheme="majorBidi" w:cstheme="majorBidi"/>
          <w:lang w:bidi="ar-AE"/>
        </w:rPr>
        <w:t xml:space="preserve"> [ventres/entrailles] est utilisé avant </w:t>
      </w:r>
      <w:r w:rsidRPr="007C6A42">
        <w:rPr>
          <w:rFonts w:asciiTheme="majorBidi" w:eastAsia="Times New Roman" w:hAnsiTheme="majorBidi" w:cstheme="majorBidi"/>
          <w:i/>
          <w:iCs/>
          <w:lang w:bidi="ar-AE"/>
        </w:rPr>
        <w:t xml:space="preserve">julūd </w:t>
      </w:r>
      <w:r w:rsidRPr="007C6A42">
        <w:rPr>
          <w:rFonts w:asciiTheme="majorBidi" w:eastAsia="Times New Roman" w:hAnsiTheme="majorBidi" w:cstheme="majorBidi"/>
          <w:lang w:bidi="ar-AE"/>
        </w:rPr>
        <w:t>[peaux], alors qu’il fallait utiliser l’ordre inverse car l’Enfer devra brûler la peau avant les entrailles.</w:t>
      </w:r>
      <w:r w:rsidRPr="007C6A42">
        <w:rPr>
          <w:rFonts w:asciiTheme="majorBidi" w:hAnsiTheme="majorBidi" w:cstheme="majorBidi"/>
          <w:lang w:bidi="ar-AE"/>
        </w:rPr>
        <w:t xml:space="preserve"> Mais selon les exégètes le plus important c’est le fond et pas la forme</w:t>
      </w:r>
      <w:r w:rsidRPr="007C6A42">
        <w:rPr>
          <w:rFonts w:asciiTheme="majorBidi" w:eastAsia="Calibri" w:hAnsiTheme="majorBidi" w:cstheme="majorBidi"/>
          <w:vertAlign w:val="superscript"/>
          <w:lang w:bidi="ar-AE"/>
        </w:rPr>
        <w:footnoteReference w:id="558"/>
      </w:r>
      <w:r w:rsidRPr="007C6A42">
        <w:rPr>
          <w:rFonts w:asciiTheme="majorBidi" w:hAnsiTheme="majorBidi" w:cstheme="majorBidi"/>
          <w:lang w:bidi="ar-AE"/>
        </w:rPr>
        <w:t xml:space="preserve">. Cependant, la vraie raison de cette anastrophe est, semble-t-il, d’obtenir pour le verset l’assonance / </w:t>
      </w:r>
      <w:r w:rsidRPr="007C6A42">
        <w:rPr>
          <w:rFonts w:asciiTheme="majorBidi" w:hAnsiTheme="majorBidi" w:cstheme="majorBidi"/>
          <w:b/>
          <w:bCs/>
          <w:i/>
          <w:iCs/>
          <w:lang w:bidi="ar-AE"/>
        </w:rPr>
        <w:t>d</w:t>
      </w:r>
      <w:r w:rsidRPr="007C6A42">
        <w:rPr>
          <w:rFonts w:asciiTheme="majorBidi" w:hAnsiTheme="majorBidi" w:cstheme="majorBidi"/>
          <w:lang w:bidi="ar-AE"/>
        </w:rPr>
        <w:t xml:space="preserve"> / (</w:t>
      </w:r>
      <w:r w:rsidRPr="007C6A42">
        <w:rPr>
          <w:rFonts w:asciiTheme="majorBidi" w:eastAsia="Times New Roman" w:hAnsiTheme="majorBidi" w:cstheme="majorBidi"/>
          <w:i/>
          <w:iCs/>
          <w:lang w:bidi="ar-AE"/>
        </w:rPr>
        <w:t>julū</w:t>
      </w:r>
      <w:r w:rsidRPr="007C6A42">
        <w:rPr>
          <w:rFonts w:asciiTheme="majorBidi" w:eastAsia="Times New Roman" w:hAnsiTheme="majorBidi" w:cstheme="majorBidi"/>
          <w:b/>
          <w:bCs/>
          <w:i/>
          <w:iCs/>
          <w:lang w:bidi="ar-AE"/>
        </w:rPr>
        <w:t>d</w:t>
      </w:r>
      <w:r w:rsidRPr="007C6A42">
        <w:rPr>
          <w:rFonts w:asciiTheme="majorBidi" w:hAnsiTheme="majorBidi" w:cstheme="majorBidi"/>
          <w:lang w:bidi="ar-AE"/>
        </w:rPr>
        <w:t xml:space="preserve">) qui doit être conforme à l’assonance du verset suivant qui se termine par </w:t>
      </w:r>
      <w:r w:rsidRPr="007C6A42">
        <w:rPr>
          <w:rFonts w:asciiTheme="majorBidi" w:hAnsiTheme="majorBidi" w:cstheme="majorBidi"/>
          <w:i/>
          <w:iCs/>
          <w:lang w:bidi="ar-AE"/>
        </w:rPr>
        <w:t>ḥadī</w:t>
      </w:r>
      <w:r w:rsidRPr="007C6A42">
        <w:rPr>
          <w:rFonts w:asciiTheme="majorBidi" w:hAnsiTheme="majorBidi" w:cstheme="majorBidi"/>
          <w:b/>
          <w:bCs/>
          <w:i/>
          <w:iCs/>
          <w:lang w:bidi="ar-AE"/>
        </w:rPr>
        <w:t>d</w:t>
      </w:r>
      <w:r w:rsidRPr="007C6A42">
        <w:rPr>
          <w:rFonts w:asciiTheme="majorBidi" w:hAnsiTheme="majorBidi" w:cstheme="majorBidi"/>
          <w:lang w:bidi="ar-AE"/>
        </w:rPr>
        <w:t xml:space="preserve">. Autrement dit, le Coran ne veut pas dire </w:t>
      </w:r>
      <w:r w:rsidRPr="007C6A42">
        <w:rPr>
          <w:rFonts w:asciiTheme="majorBidi" w:hAnsiTheme="majorBidi" w:cstheme="majorBidi"/>
          <w:rtl/>
        </w:rPr>
        <w:t>يُصهرُ به الجلودُ وما في بُطونهم</w:t>
      </w:r>
      <w:r w:rsidRPr="007C6A42">
        <w:rPr>
          <w:rFonts w:asciiTheme="majorBidi" w:hAnsiTheme="majorBidi" w:cstheme="majorBidi"/>
        </w:rPr>
        <w:t xml:space="preserve"> [</w:t>
      </w:r>
      <w:r w:rsidRPr="007C6A42">
        <w:rPr>
          <w:rFonts w:asciiTheme="majorBidi" w:eastAsia="Calibri" w:hAnsiTheme="majorBidi" w:cstheme="majorBidi"/>
          <w:lang w:bidi="ar-AE"/>
        </w:rPr>
        <w:t>de quoi leur dissoudre la peau et les entrailles</w:t>
      </w:r>
      <w:r w:rsidRPr="007C6A42">
        <w:rPr>
          <w:rFonts w:asciiTheme="majorBidi" w:hAnsiTheme="majorBidi" w:cstheme="majorBidi"/>
        </w:rPr>
        <w:t>] (en respectant l’ordre des mots tel qu’il se produit naturellement dans cette situation) car le mot final (</w:t>
      </w:r>
      <w:r w:rsidRPr="007C6A42">
        <w:rPr>
          <w:rFonts w:asciiTheme="majorBidi" w:hAnsiTheme="majorBidi" w:cstheme="majorBidi"/>
          <w:rtl/>
        </w:rPr>
        <w:t>بطونهم</w:t>
      </w:r>
      <w:r w:rsidRPr="007C6A42">
        <w:rPr>
          <w:rFonts w:asciiTheme="majorBidi" w:hAnsiTheme="majorBidi" w:cstheme="majorBidi"/>
        </w:rPr>
        <w:t>) n’est pas musicalement en assonance avec le mot final du verset suivant (</w:t>
      </w:r>
      <w:r w:rsidRPr="007C6A42">
        <w:rPr>
          <w:rFonts w:asciiTheme="majorBidi" w:hAnsiTheme="majorBidi" w:cstheme="majorBidi"/>
          <w:rtl/>
        </w:rPr>
        <w:t>حديد</w:t>
      </w:r>
      <w:r w:rsidRPr="007C6A42">
        <w:rPr>
          <w:rFonts w:asciiTheme="majorBidi" w:hAnsiTheme="majorBidi" w:cstheme="majorBidi"/>
        </w:rPr>
        <w:t>)</w:t>
      </w:r>
      <w:r w:rsidRPr="007C6A42">
        <w:rPr>
          <w:rFonts w:asciiTheme="majorBidi" w:hAnsiTheme="majorBidi" w:cstheme="majorBidi"/>
          <w:lang w:bidi="ar-AE"/>
        </w:rPr>
        <w:t>.</w:t>
      </w:r>
    </w:p>
    <w:p w14:paraId="29E324AC" w14:textId="77777777" w:rsidR="00A70B78" w:rsidRPr="007C6A42" w:rsidRDefault="00A70B78" w:rsidP="00A70B78">
      <w:pPr>
        <w:spacing w:line="360" w:lineRule="auto"/>
        <w:ind w:firstLine="720"/>
        <w:contextualSpacing/>
        <w:jc w:val="both"/>
        <w:rPr>
          <w:rFonts w:asciiTheme="majorBidi" w:hAnsiTheme="majorBidi" w:cstheme="majorBidi"/>
          <w:lang w:bidi="ar-AE"/>
        </w:rPr>
      </w:pPr>
      <w:r w:rsidRPr="007C6A42">
        <w:rPr>
          <w:rFonts w:asciiTheme="majorBidi" w:hAnsiTheme="majorBidi" w:cstheme="majorBidi"/>
          <w:lang w:bidi="ar-AE"/>
        </w:rPr>
        <w:t>Comparons entre l’usage actuel avec l’anastrophe et l’usage sans anastrophe :</w:t>
      </w:r>
    </w:p>
    <w:tbl>
      <w:tblPr>
        <w:tblStyle w:val="Grilledutableau"/>
        <w:tblW w:w="0" w:type="auto"/>
        <w:tblLook w:val="04A0" w:firstRow="1" w:lastRow="0" w:firstColumn="1" w:lastColumn="0" w:noHBand="0" w:noVBand="1"/>
      </w:tblPr>
      <w:tblGrid>
        <w:gridCol w:w="1384"/>
        <w:gridCol w:w="4949"/>
        <w:gridCol w:w="3167"/>
      </w:tblGrid>
      <w:tr w:rsidR="00A70B78" w:rsidRPr="007C6A42" w14:paraId="021C0F75" w14:textId="77777777" w:rsidTr="00AF4FC9">
        <w:tc>
          <w:tcPr>
            <w:tcW w:w="1384" w:type="dxa"/>
          </w:tcPr>
          <w:p w14:paraId="0A02A4E4" w14:textId="77777777" w:rsidR="00A70B78" w:rsidRPr="007C6A42" w:rsidRDefault="00A70B78" w:rsidP="00AF4FC9">
            <w:pPr>
              <w:spacing w:line="360" w:lineRule="auto"/>
              <w:contextualSpacing/>
              <w:jc w:val="both"/>
              <w:rPr>
                <w:rFonts w:asciiTheme="majorBidi" w:hAnsiTheme="majorBidi" w:cstheme="majorBidi"/>
                <w:lang w:bidi="ar-AE"/>
              </w:rPr>
            </w:pPr>
          </w:p>
        </w:tc>
        <w:tc>
          <w:tcPr>
            <w:tcW w:w="4949" w:type="dxa"/>
          </w:tcPr>
          <w:p w14:paraId="227C8078" w14:textId="77777777" w:rsidR="00A70B78" w:rsidRPr="007C6A42" w:rsidRDefault="00A70B78" w:rsidP="00AF4FC9">
            <w:pPr>
              <w:spacing w:line="360" w:lineRule="auto"/>
              <w:contextualSpacing/>
              <w:jc w:val="center"/>
              <w:rPr>
                <w:rFonts w:asciiTheme="majorBidi" w:hAnsiTheme="majorBidi" w:cstheme="majorBidi"/>
                <w:b/>
                <w:bCs/>
                <w:lang w:bidi="ar-AE"/>
              </w:rPr>
            </w:pPr>
            <w:r w:rsidRPr="007C6A42">
              <w:rPr>
                <w:rFonts w:asciiTheme="majorBidi" w:hAnsiTheme="majorBidi" w:cstheme="majorBidi"/>
                <w:b/>
                <w:bCs/>
                <w:lang w:bidi="ar-AE"/>
              </w:rPr>
              <w:t>Ordre actuelle avec assonance</w:t>
            </w:r>
          </w:p>
        </w:tc>
        <w:tc>
          <w:tcPr>
            <w:tcW w:w="3167" w:type="dxa"/>
          </w:tcPr>
          <w:p w14:paraId="1D593391" w14:textId="77777777" w:rsidR="00A70B78" w:rsidRPr="007C6A42" w:rsidRDefault="00A70B78" w:rsidP="00AF4FC9">
            <w:pPr>
              <w:spacing w:line="360" w:lineRule="auto"/>
              <w:contextualSpacing/>
              <w:jc w:val="center"/>
              <w:rPr>
                <w:rFonts w:asciiTheme="majorBidi" w:hAnsiTheme="majorBidi" w:cstheme="majorBidi"/>
                <w:b/>
                <w:bCs/>
                <w:lang w:bidi="ar-AE"/>
              </w:rPr>
            </w:pPr>
            <w:r w:rsidRPr="007C6A42">
              <w:rPr>
                <w:rFonts w:asciiTheme="majorBidi" w:hAnsiTheme="majorBidi" w:cstheme="majorBidi"/>
                <w:b/>
                <w:bCs/>
                <w:lang w:bidi="ar-AE"/>
              </w:rPr>
              <w:t>Ordre de base</w:t>
            </w:r>
          </w:p>
        </w:tc>
      </w:tr>
      <w:tr w:rsidR="00A70B78" w:rsidRPr="007C6A42" w14:paraId="21C12F91" w14:textId="77777777" w:rsidTr="00AF4FC9">
        <w:tc>
          <w:tcPr>
            <w:tcW w:w="1384" w:type="dxa"/>
          </w:tcPr>
          <w:p w14:paraId="09899D73" w14:textId="77777777" w:rsidR="00A70B78" w:rsidRPr="007C6A42" w:rsidRDefault="00A70B78" w:rsidP="00AF4FC9">
            <w:pPr>
              <w:spacing w:line="360" w:lineRule="auto"/>
              <w:contextualSpacing/>
              <w:jc w:val="both"/>
              <w:rPr>
                <w:rFonts w:asciiTheme="majorBidi" w:hAnsiTheme="majorBidi" w:cstheme="majorBidi"/>
                <w:lang w:bidi="ar-AE"/>
              </w:rPr>
            </w:pPr>
            <w:r w:rsidRPr="007C6A42">
              <w:rPr>
                <w:rFonts w:asciiTheme="majorBidi" w:hAnsiTheme="majorBidi" w:cstheme="majorBidi"/>
                <w:lang w:bidi="ar-AE"/>
              </w:rPr>
              <w:t>Verset 20</w:t>
            </w:r>
          </w:p>
        </w:tc>
        <w:tc>
          <w:tcPr>
            <w:tcW w:w="4949" w:type="dxa"/>
          </w:tcPr>
          <w:p w14:paraId="7F6A031E" w14:textId="77777777" w:rsidR="00A70B78" w:rsidRPr="007C6A42" w:rsidRDefault="00A70B78" w:rsidP="00AF4FC9">
            <w:pPr>
              <w:bidi/>
              <w:spacing w:line="360" w:lineRule="auto"/>
              <w:contextualSpacing/>
              <w:jc w:val="both"/>
              <w:rPr>
                <w:rFonts w:asciiTheme="majorBidi" w:hAnsiTheme="majorBidi" w:cstheme="majorBidi"/>
                <w:lang w:bidi="ar-AE"/>
              </w:rPr>
            </w:pPr>
            <w:r w:rsidRPr="007C6A42">
              <w:rPr>
                <w:rFonts w:asciiTheme="majorBidi" w:hAnsiTheme="majorBidi" w:cstheme="majorBidi"/>
                <w:rtl/>
                <w:lang w:bidi="ar-AE"/>
              </w:rPr>
              <w:t xml:space="preserve">يُصهَرُ به ما في بُطونِهم </w:t>
            </w:r>
            <w:r w:rsidRPr="007C6A42">
              <w:rPr>
                <w:rFonts w:asciiTheme="majorBidi" w:hAnsiTheme="majorBidi" w:cstheme="majorBidi"/>
                <w:b/>
                <w:bCs/>
                <w:rtl/>
                <w:lang w:bidi="ar-AE"/>
              </w:rPr>
              <w:t>والْجُلود</w:t>
            </w:r>
            <w:r w:rsidRPr="007C6A42">
              <w:rPr>
                <w:rFonts w:asciiTheme="majorBidi" w:hAnsiTheme="majorBidi" w:cstheme="majorBidi"/>
                <w:rtl/>
                <w:lang w:bidi="ar-AE"/>
              </w:rPr>
              <w:t>.</w:t>
            </w:r>
          </w:p>
          <w:p w14:paraId="21068B87" w14:textId="77777777" w:rsidR="00A70B78" w:rsidRPr="007C6A42" w:rsidRDefault="00A70B78" w:rsidP="00AF4FC9">
            <w:pPr>
              <w:spacing w:line="360" w:lineRule="auto"/>
              <w:contextualSpacing/>
              <w:jc w:val="both"/>
              <w:rPr>
                <w:rFonts w:asciiTheme="majorBidi" w:hAnsiTheme="majorBidi" w:cstheme="majorBidi"/>
              </w:rPr>
            </w:pPr>
            <w:r w:rsidRPr="007C6A42">
              <w:rPr>
                <w:rFonts w:asciiTheme="majorBidi" w:hAnsiTheme="majorBidi" w:cstheme="majorBidi"/>
              </w:rPr>
              <w:t>[</w:t>
            </w:r>
            <w:r w:rsidRPr="007C6A42">
              <w:rPr>
                <w:rFonts w:asciiTheme="majorBidi" w:eastAsia="Calibri" w:hAnsiTheme="majorBidi" w:cstheme="majorBidi"/>
                <w:lang w:bidi="ar-AE"/>
              </w:rPr>
              <w:t xml:space="preserve">de quoi leur dissoudre les entrailles et </w:t>
            </w:r>
            <w:r w:rsidRPr="007C6A42">
              <w:rPr>
                <w:rFonts w:asciiTheme="majorBidi" w:eastAsia="Calibri" w:hAnsiTheme="majorBidi" w:cstheme="majorBidi"/>
                <w:b/>
                <w:bCs/>
                <w:lang w:bidi="ar-AE"/>
              </w:rPr>
              <w:t>la peau</w:t>
            </w:r>
            <w:r w:rsidRPr="007C6A42">
              <w:rPr>
                <w:rFonts w:asciiTheme="majorBidi" w:hAnsiTheme="majorBidi" w:cstheme="majorBidi"/>
              </w:rPr>
              <w:t>]</w:t>
            </w:r>
          </w:p>
        </w:tc>
        <w:tc>
          <w:tcPr>
            <w:tcW w:w="3167" w:type="dxa"/>
          </w:tcPr>
          <w:p w14:paraId="13238B7E" w14:textId="77777777" w:rsidR="00A70B78" w:rsidRPr="007C6A42" w:rsidRDefault="00A70B78" w:rsidP="00AF4FC9">
            <w:pPr>
              <w:bidi/>
              <w:spacing w:line="360" w:lineRule="auto"/>
              <w:contextualSpacing/>
              <w:jc w:val="both"/>
              <w:rPr>
                <w:rFonts w:asciiTheme="majorBidi" w:hAnsiTheme="majorBidi" w:cstheme="majorBidi"/>
                <w:lang w:bidi="ar-AE"/>
              </w:rPr>
            </w:pPr>
            <w:r w:rsidRPr="007C6A42">
              <w:rPr>
                <w:rFonts w:asciiTheme="majorBidi" w:hAnsiTheme="majorBidi" w:cstheme="majorBidi"/>
                <w:rtl/>
                <w:lang w:bidi="ar-AE"/>
              </w:rPr>
              <w:t>يُصهَرُ به الجُلودُ</w:t>
            </w:r>
            <w:r w:rsidRPr="007C6A42">
              <w:rPr>
                <w:rFonts w:asciiTheme="majorBidi" w:hAnsiTheme="majorBidi" w:cstheme="majorBidi"/>
                <w:lang w:bidi="ar-AE"/>
              </w:rPr>
              <w:t xml:space="preserve"> </w:t>
            </w:r>
            <w:r w:rsidRPr="007C6A42">
              <w:rPr>
                <w:rFonts w:asciiTheme="majorBidi" w:hAnsiTheme="majorBidi" w:cstheme="majorBidi"/>
                <w:rtl/>
                <w:lang w:bidi="ar-AE"/>
              </w:rPr>
              <w:t xml:space="preserve">وما في </w:t>
            </w:r>
            <w:r w:rsidRPr="007C6A42">
              <w:rPr>
                <w:rFonts w:asciiTheme="majorBidi" w:hAnsiTheme="majorBidi" w:cstheme="majorBidi"/>
                <w:b/>
                <w:bCs/>
                <w:rtl/>
                <w:lang w:bidi="ar-AE"/>
              </w:rPr>
              <w:t>بُطونِهم</w:t>
            </w:r>
            <w:r w:rsidRPr="007C6A42">
              <w:rPr>
                <w:rFonts w:asciiTheme="majorBidi" w:hAnsiTheme="majorBidi" w:cstheme="majorBidi"/>
                <w:rtl/>
                <w:lang w:bidi="ar-AE"/>
              </w:rPr>
              <w:t>.</w:t>
            </w:r>
          </w:p>
          <w:p w14:paraId="55AB2542" w14:textId="77777777" w:rsidR="00A70B78" w:rsidRPr="007C6A42" w:rsidRDefault="00A70B78" w:rsidP="00AF4FC9">
            <w:pPr>
              <w:spacing w:line="360" w:lineRule="auto"/>
              <w:contextualSpacing/>
              <w:jc w:val="both"/>
              <w:rPr>
                <w:rFonts w:asciiTheme="majorBidi" w:hAnsiTheme="majorBidi" w:cstheme="majorBidi"/>
                <w:lang w:bidi="ar-AE"/>
              </w:rPr>
            </w:pPr>
            <w:r w:rsidRPr="007C6A42">
              <w:rPr>
                <w:rFonts w:asciiTheme="majorBidi" w:hAnsiTheme="majorBidi" w:cstheme="majorBidi"/>
              </w:rPr>
              <w:t>[</w:t>
            </w:r>
            <w:r w:rsidRPr="007C6A42">
              <w:rPr>
                <w:rFonts w:asciiTheme="majorBidi" w:eastAsia="Calibri" w:hAnsiTheme="majorBidi" w:cstheme="majorBidi"/>
                <w:lang w:bidi="ar-AE"/>
              </w:rPr>
              <w:t xml:space="preserve">de quoi leur dissoudre la peau et </w:t>
            </w:r>
            <w:r w:rsidRPr="007C6A42">
              <w:rPr>
                <w:rFonts w:asciiTheme="majorBidi" w:eastAsia="Calibri" w:hAnsiTheme="majorBidi" w:cstheme="majorBidi"/>
                <w:b/>
                <w:bCs/>
                <w:lang w:bidi="ar-AE"/>
              </w:rPr>
              <w:t>les entrailles</w:t>
            </w:r>
            <w:r w:rsidRPr="007C6A42">
              <w:rPr>
                <w:rFonts w:asciiTheme="majorBidi" w:hAnsiTheme="majorBidi" w:cstheme="majorBidi"/>
              </w:rPr>
              <w:t>]</w:t>
            </w:r>
          </w:p>
        </w:tc>
      </w:tr>
      <w:tr w:rsidR="00A70B78" w:rsidRPr="007C6A42" w14:paraId="1B21CC13" w14:textId="77777777" w:rsidTr="00AF4FC9">
        <w:tc>
          <w:tcPr>
            <w:tcW w:w="1384" w:type="dxa"/>
          </w:tcPr>
          <w:p w14:paraId="0B4A984F" w14:textId="77777777" w:rsidR="00A70B78" w:rsidRPr="007C6A42" w:rsidRDefault="00A70B78" w:rsidP="00AF4FC9">
            <w:pPr>
              <w:spacing w:line="360" w:lineRule="auto"/>
              <w:contextualSpacing/>
              <w:jc w:val="both"/>
              <w:rPr>
                <w:rFonts w:asciiTheme="majorBidi" w:hAnsiTheme="majorBidi" w:cstheme="majorBidi"/>
                <w:lang w:bidi="ar-AE"/>
              </w:rPr>
            </w:pPr>
            <w:r w:rsidRPr="007C6A42">
              <w:rPr>
                <w:rFonts w:asciiTheme="majorBidi" w:hAnsiTheme="majorBidi" w:cstheme="majorBidi"/>
                <w:lang w:bidi="ar-AE"/>
              </w:rPr>
              <w:t>Verset 21</w:t>
            </w:r>
          </w:p>
        </w:tc>
        <w:tc>
          <w:tcPr>
            <w:tcW w:w="4949" w:type="dxa"/>
          </w:tcPr>
          <w:p w14:paraId="47C1BEE1" w14:textId="77777777" w:rsidR="00A70B78" w:rsidRPr="007C6A42" w:rsidRDefault="00A70B78" w:rsidP="00AF4FC9">
            <w:pPr>
              <w:bidi/>
              <w:spacing w:line="360" w:lineRule="auto"/>
              <w:contextualSpacing/>
              <w:jc w:val="both"/>
              <w:rPr>
                <w:rFonts w:asciiTheme="majorBidi" w:hAnsiTheme="majorBidi" w:cstheme="majorBidi"/>
                <w:lang w:bidi="ar-AE"/>
              </w:rPr>
            </w:pPr>
            <w:r w:rsidRPr="007C6A42">
              <w:rPr>
                <w:rFonts w:asciiTheme="majorBidi" w:hAnsiTheme="majorBidi" w:cstheme="majorBidi"/>
                <w:rtl/>
                <w:lang w:bidi="ar-AE"/>
              </w:rPr>
              <w:t xml:space="preserve">ولهُم مَقامِعُ مِن </w:t>
            </w:r>
            <w:r w:rsidRPr="007C6A42">
              <w:rPr>
                <w:rFonts w:asciiTheme="majorBidi" w:hAnsiTheme="majorBidi" w:cstheme="majorBidi"/>
                <w:b/>
                <w:bCs/>
                <w:rtl/>
                <w:lang w:bidi="ar-AE"/>
              </w:rPr>
              <w:t>حدِيد</w:t>
            </w:r>
            <w:r w:rsidRPr="007C6A42">
              <w:rPr>
                <w:rFonts w:asciiTheme="majorBidi" w:hAnsiTheme="majorBidi" w:cstheme="majorBidi"/>
                <w:rtl/>
                <w:lang w:bidi="ar-AE"/>
              </w:rPr>
              <w:t>.</w:t>
            </w:r>
          </w:p>
          <w:p w14:paraId="6EC48FB5" w14:textId="77777777" w:rsidR="00A70B78" w:rsidRPr="007C6A42" w:rsidRDefault="00A70B78" w:rsidP="00AF4FC9">
            <w:pPr>
              <w:contextualSpacing/>
              <w:jc w:val="both"/>
              <w:rPr>
                <w:rFonts w:asciiTheme="majorBidi" w:eastAsia="Calibri" w:hAnsiTheme="majorBidi" w:cstheme="majorBidi"/>
                <w:lang w:bidi="ar-AE"/>
              </w:rPr>
            </w:pPr>
            <w:r w:rsidRPr="007C6A42">
              <w:rPr>
                <w:rFonts w:asciiTheme="majorBidi" w:hAnsiTheme="majorBidi" w:cstheme="majorBidi"/>
                <w:lang w:bidi="ar-AE"/>
              </w:rPr>
              <w:t>[</w:t>
            </w:r>
            <w:r w:rsidRPr="007C6A42">
              <w:rPr>
                <w:rFonts w:asciiTheme="majorBidi" w:eastAsia="Calibri" w:hAnsiTheme="majorBidi" w:cstheme="majorBidi"/>
                <w:lang w:bidi="ar-AE"/>
              </w:rPr>
              <w:t>et les accablent les verges de</w:t>
            </w:r>
            <w:r w:rsidRPr="007C6A42">
              <w:rPr>
                <w:rFonts w:asciiTheme="majorBidi" w:eastAsia="Calibri" w:hAnsiTheme="majorBidi" w:cstheme="majorBidi"/>
                <w:b/>
                <w:bCs/>
                <w:lang w:bidi="ar-AE"/>
              </w:rPr>
              <w:t xml:space="preserve"> fer</w:t>
            </w:r>
            <w:r w:rsidRPr="007C6A42">
              <w:rPr>
                <w:rFonts w:asciiTheme="majorBidi" w:hAnsiTheme="majorBidi" w:cstheme="majorBidi"/>
                <w:lang w:bidi="ar-AE"/>
              </w:rPr>
              <w:t>]</w:t>
            </w:r>
          </w:p>
        </w:tc>
        <w:tc>
          <w:tcPr>
            <w:tcW w:w="3167" w:type="dxa"/>
          </w:tcPr>
          <w:p w14:paraId="05CA0805" w14:textId="77777777" w:rsidR="00A70B78" w:rsidRPr="007C6A42" w:rsidRDefault="00A70B78" w:rsidP="00AF4FC9">
            <w:pPr>
              <w:bidi/>
              <w:spacing w:line="360" w:lineRule="auto"/>
              <w:contextualSpacing/>
              <w:jc w:val="both"/>
              <w:rPr>
                <w:rFonts w:asciiTheme="majorBidi" w:hAnsiTheme="majorBidi" w:cstheme="majorBidi"/>
                <w:lang w:bidi="ar-AE"/>
              </w:rPr>
            </w:pPr>
            <w:r w:rsidRPr="007C6A42">
              <w:rPr>
                <w:rFonts w:asciiTheme="majorBidi" w:hAnsiTheme="majorBidi" w:cstheme="majorBidi"/>
                <w:rtl/>
                <w:lang w:bidi="ar-AE"/>
              </w:rPr>
              <w:t xml:space="preserve">ولهُم مَقامِعُ مِن </w:t>
            </w:r>
            <w:r w:rsidRPr="007C6A42">
              <w:rPr>
                <w:rFonts w:asciiTheme="majorBidi" w:hAnsiTheme="majorBidi" w:cstheme="majorBidi"/>
                <w:b/>
                <w:bCs/>
                <w:rtl/>
                <w:lang w:bidi="ar-AE"/>
              </w:rPr>
              <w:t>حدِيد</w:t>
            </w:r>
            <w:r w:rsidRPr="007C6A42">
              <w:rPr>
                <w:rFonts w:asciiTheme="majorBidi" w:hAnsiTheme="majorBidi" w:cstheme="majorBidi"/>
                <w:rtl/>
                <w:lang w:bidi="ar-AE"/>
              </w:rPr>
              <w:t>.</w:t>
            </w:r>
          </w:p>
          <w:p w14:paraId="32A265A2" w14:textId="77777777" w:rsidR="00A70B78" w:rsidRPr="007C6A42" w:rsidRDefault="00A70B78" w:rsidP="00AF4FC9">
            <w:pPr>
              <w:spacing w:line="360" w:lineRule="auto"/>
              <w:contextualSpacing/>
              <w:jc w:val="both"/>
              <w:rPr>
                <w:rFonts w:asciiTheme="majorBidi" w:hAnsiTheme="majorBidi" w:cstheme="majorBidi"/>
                <w:lang w:bidi="ar-AE"/>
              </w:rPr>
            </w:pPr>
            <w:r w:rsidRPr="007C6A42">
              <w:rPr>
                <w:rFonts w:asciiTheme="majorBidi" w:hAnsiTheme="majorBidi" w:cstheme="majorBidi"/>
                <w:lang w:bidi="ar-AE"/>
              </w:rPr>
              <w:t>[</w:t>
            </w:r>
            <w:r w:rsidRPr="007C6A42">
              <w:rPr>
                <w:rFonts w:asciiTheme="majorBidi" w:eastAsia="Calibri" w:hAnsiTheme="majorBidi" w:cstheme="majorBidi"/>
                <w:lang w:bidi="ar-AE"/>
              </w:rPr>
              <w:t xml:space="preserve">et les accablent les verges de </w:t>
            </w:r>
            <w:r w:rsidRPr="007C6A42">
              <w:rPr>
                <w:rFonts w:asciiTheme="majorBidi" w:eastAsia="Calibri" w:hAnsiTheme="majorBidi" w:cstheme="majorBidi"/>
                <w:b/>
                <w:bCs/>
                <w:lang w:bidi="ar-AE"/>
              </w:rPr>
              <w:t>fer</w:t>
            </w:r>
            <w:r w:rsidRPr="007C6A42">
              <w:rPr>
                <w:rFonts w:asciiTheme="majorBidi" w:hAnsiTheme="majorBidi" w:cstheme="majorBidi"/>
                <w:lang w:bidi="ar-AE"/>
              </w:rPr>
              <w:t>]</w:t>
            </w:r>
          </w:p>
        </w:tc>
      </w:tr>
    </w:tbl>
    <w:p w14:paraId="7A9EAEAB" w14:textId="77777777" w:rsidR="00A70B78" w:rsidRPr="007C6A42" w:rsidRDefault="00A70B78" w:rsidP="00A70B78">
      <w:pPr>
        <w:spacing w:line="360" w:lineRule="auto"/>
        <w:ind w:firstLine="720"/>
        <w:contextualSpacing/>
        <w:jc w:val="both"/>
        <w:rPr>
          <w:rFonts w:asciiTheme="majorBidi" w:hAnsiTheme="majorBidi" w:cstheme="majorBidi"/>
          <w:lang w:bidi="ar-AE"/>
        </w:rPr>
      </w:pPr>
    </w:p>
    <w:p w14:paraId="349FD80C" w14:textId="77777777" w:rsidR="00A70B78" w:rsidRPr="007C6A42" w:rsidRDefault="00A70B78" w:rsidP="00A70B78">
      <w:pPr>
        <w:spacing w:line="360" w:lineRule="auto"/>
        <w:ind w:firstLine="720"/>
        <w:contextualSpacing/>
        <w:jc w:val="both"/>
        <w:rPr>
          <w:rFonts w:asciiTheme="majorBidi" w:hAnsiTheme="majorBidi" w:cstheme="majorBidi"/>
          <w:lang w:bidi="ar-AE"/>
        </w:rPr>
      </w:pPr>
      <w:r w:rsidRPr="007C6A42">
        <w:rPr>
          <w:rFonts w:asciiTheme="majorBidi" w:hAnsiTheme="majorBidi" w:cstheme="majorBidi"/>
          <w:lang w:bidi="ar-AE"/>
        </w:rPr>
        <w:t>Cette anastrophe est généralement respectée dans les traductions. Seul Savary n’a pas suivi cet ordre (« </w:t>
      </w:r>
      <w:r w:rsidRPr="007C6A42">
        <w:rPr>
          <w:rFonts w:asciiTheme="majorBidi" w:eastAsia="Times New Roman" w:hAnsiTheme="majorBidi" w:cstheme="majorBidi"/>
        </w:rPr>
        <w:t>Elle dévorera leur peau et leurs entrailles »</w:t>
      </w:r>
      <w:r w:rsidRPr="007C6A42">
        <w:rPr>
          <w:rFonts w:asciiTheme="majorBidi" w:hAnsiTheme="majorBidi" w:cstheme="majorBidi"/>
          <w:lang w:bidi="ar-AE"/>
        </w:rPr>
        <w:t>).</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6F8E4BD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3301CFF" w14:textId="77777777" w:rsidR="00A70B78" w:rsidRPr="007C6A42" w:rsidRDefault="00A70B78" w:rsidP="00AF4FC9">
            <w:pPr>
              <w:jc w:val="both"/>
              <w:rPr>
                <w:rFonts w:asciiTheme="majorBidi" w:eastAsia="Times New Roman" w:hAnsiTheme="majorBidi" w:cstheme="majorBidi"/>
              </w:rPr>
            </w:pPr>
          </w:p>
        </w:tc>
        <w:tc>
          <w:tcPr>
            <w:tcW w:w="4580" w:type="dxa"/>
            <w:tcBorders>
              <w:top w:val="single" w:sz="4" w:space="0" w:color="auto"/>
              <w:left w:val="single" w:sz="4" w:space="0" w:color="auto"/>
              <w:bottom w:val="single" w:sz="4" w:space="0" w:color="auto"/>
              <w:right w:val="single" w:sz="4" w:space="0" w:color="auto"/>
            </w:tcBorders>
          </w:tcPr>
          <w:p w14:paraId="17D55E45" w14:textId="77777777" w:rsidR="00A70B78" w:rsidRPr="007C6A42" w:rsidRDefault="00A70B78" w:rsidP="00AF4FC9">
            <w:pPr>
              <w:bidi/>
              <w:spacing w:before="100" w:beforeAutospacing="1" w:after="100" w:afterAutospacing="1"/>
              <w:jc w:val="center"/>
              <w:rPr>
                <w:rFonts w:asciiTheme="majorBidi" w:hAnsiTheme="majorBidi" w:cstheme="majorBidi"/>
                <w:rtl/>
              </w:rPr>
            </w:pPr>
            <w:r w:rsidRPr="007C6A42">
              <w:rPr>
                <w:rFonts w:asciiTheme="majorBidi" w:hAnsiTheme="majorBidi" w:cstheme="majorBidi"/>
                <w:rtl/>
              </w:rPr>
              <w:t>يُصْهَرُ به ما في بطونهم والجلودُ (الحج، ٢٠)</w:t>
            </w:r>
          </w:p>
        </w:tc>
      </w:tr>
      <w:tr w:rsidR="00A70B78" w:rsidRPr="007C6A42" w14:paraId="50F98FD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0FF6718" w14:textId="77777777" w:rsidR="00A70B78" w:rsidRPr="007C6A42" w:rsidRDefault="00A70B78" w:rsidP="00AF4FC9">
            <w:pPr>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2122D95D" w14:textId="77777777" w:rsidR="00A70B78" w:rsidRPr="007C6A42" w:rsidRDefault="00A70B78" w:rsidP="00AF4FC9">
            <w:pPr>
              <w:jc w:val="both"/>
              <w:rPr>
                <w:rFonts w:asciiTheme="majorBidi" w:eastAsia="Times New Roman" w:hAnsiTheme="majorBidi" w:cstheme="majorBidi"/>
                <w:b/>
                <w:bCs/>
              </w:rPr>
            </w:pPr>
            <w:r w:rsidRPr="007C6A42">
              <w:rPr>
                <w:rFonts w:asciiTheme="majorBidi" w:hAnsiTheme="majorBidi" w:cstheme="majorBidi"/>
              </w:rPr>
              <w:t xml:space="preserve">le feu bruʃlera ce qui est dans leur ventre, &amp; </w:t>
            </w:r>
            <w:r w:rsidRPr="007C6A42">
              <w:rPr>
                <w:rFonts w:asciiTheme="majorBidi" w:hAnsiTheme="majorBidi" w:cstheme="majorBidi"/>
              </w:rPr>
              <w:lastRenderedPageBreak/>
              <w:t>rotira leur peau</w:t>
            </w:r>
          </w:p>
        </w:tc>
      </w:tr>
      <w:tr w:rsidR="00A70B78" w:rsidRPr="007C6A42" w14:paraId="23209CC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110EB47" w14:textId="77777777" w:rsidR="00A70B78" w:rsidRPr="007C6A42" w:rsidRDefault="00A70B78" w:rsidP="00AF4FC9">
            <w:pPr>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Sav. (1782)</w:t>
            </w:r>
          </w:p>
        </w:tc>
        <w:tc>
          <w:tcPr>
            <w:tcW w:w="4580" w:type="dxa"/>
            <w:tcBorders>
              <w:top w:val="single" w:sz="4" w:space="0" w:color="auto"/>
              <w:left w:val="single" w:sz="4" w:space="0" w:color="auto"/>
              <w:bottom w:val="single" w:sz="4" w:space="0" w:color="auto"/>
              <w:right w:val="single" w:sz="4" w:space="0" w:color="auto"/>
            </w:tcBorders>
          </w:tcPr>
          <w:p w14:paraId="511EBC0A" w14:textId="77777777" w:rsidR="00A70B78" w:rsidRPr="007C6A42" w:rsidRDefault="00A70B78" w:rsidP="00AF4FC9">
            <w:pPr>
              <w:shd w:val="clear" w:color="auto" w:fill="FFFFFF"/>
              <w:jc w:val="both"/>
              <w:rPr>
                <w:rFonts w:asciiTheme="majorBidi" w:eastAsia="Times New Roman" w:hAnsiTheme="majorBidi" w:cstheme="majorBidi"/>
                <w:b/>
                <w:bCs/>
              </w:rPr>
            </w:pPr>
            <w:r w:rsidRPr="007C6A42">
              <w:rPr>
                <w:rFonts w:asciiTheme="majorBidi" w:eastAsia="Times New Roman" w:hAnsiTheme="majorBidi" w:cstheme="majorBidi"/>
              </w:rPr>
              <w:t>Elle dévorera leur peau et leurs entrailles.</w:t>
            </w:r>
          </w:p>
        </w:tc>
      </w:tr>
      <w:tr w:rsidR="00A70B78" w:rsidRPr="007C6A42" w14:paraId="173DA77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52B73A2" w14:textId="77777777" w:rsidR="00A70B78" w:rsidRPr="007C6A42" w:rsidRDefault="00A70B78" w:rsidP="00AF4FC9">
            <w:pPr>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5EFFD28F" w14:textId="77777777" w:rsidR="00A70B78" w:rsidRPr="007C6A42" w:rsidRDefault="00A70B78" w:rsidP="00AF4FC9">
            <w:pPr>
              <w:ind w:right="113"/>
              <w:jc w:val="both"/>
              <w:rPr>
                <w:rFonts w:asciiTheme="majorBidi" w:eastAsia="Times New Roman" w:hAnsiTheme="majorBidi" w:cstheme="majorBidi"/>
                <w:b/>
                <w:bCs/>
              </w:rPr>
            </w:pPr>
            <w:r w:rsidRPr="007C6A42">
              <w:rPr>
                <w:rFonts w:asciiTheme="majorBidi" w:eastAsia="Times New Roman" w:hAnsiTheme="majorBidi" w:cstheme="majorBidi"/>
              </w:rPr>
              <w:t>Leurs entrailles et leur peau en seront consumées ;</w:t>
            </w:r>
          </w:p>
        </w:tc>
      </w:tr>
      <w:tr w:rsidR="00A70B78" w:rsidRPr="007C6A42" w14:paraId="3EEB6F25" w14:textId="77777777" w:rsidTr="00AF4FC9">
        <w:trPr>
          <w:trHeight w:val="605"/>
          <w:jc w:val="center"/>
        </w:trPr>
        <w:tc>
          <w:tcPr>
            <w:tcW w:w="2024" w:type="dxa"/>
            <w:tcBorders>
              <w:top w:val="single" w:sz="4" w:space="0" w:color="auto"/>
              <w:left w:val="single" w:sz="4" w:space="0" w:color="auto"/>
              <w:bottom w:val="single" w:sz="4" w:space="0" w:color="auto"/>
              <w:right w:val="single" w:sz="4" w:space="0" w:color="auto"/>
            </w:tcBorders>
          </w:tcPr>
          <w:p w14:paraId="334D7EAE" w14:textId="77777777" w:rsidR="00A70B78" w:rsidRPr="007C6A42" w:rsidRDefault="00A70B78" w:rsidP="00AF4FC9">
            <w:pPr>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3F01B0E1" w14:textId="77777777" w:rsidR="00A70B78" w:rsidRPr="007C6A42" w:rsidRDefault="00A70B78" w:rsidP="00AF4FC9">
            <w:pPr>
              <w:jc w:val="both"/>
              <w:rPr>
                <w:rFonts w:asciiTheme="majorBidi" w:eastAsia="Times New Roman" w:hAnsiTheme="majorBidi" w:cstheme="majorBidi"/>
              </w:rPr>
            </w:pPr>
            <w:r w:rsidRPr="007C6A42">
              <w:rPr>
                <w:rFonts w:asciiTheme="majorBidi" w:hAnsiTheme="majorBidi" w:cstheme="majorBidi"/>
              </w:rPr>
              <w:t>par laquelle seront consumées leurs entrailles et leur peau ;</w:t>
            </w:r>
          </w:p>
        </w:tc>
      </w:tr>
      <w:tr w:rsidR="00A70B78" w:rsidRPr="007C6A42" w14:paraId="1FA9519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913BC40"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Ghéd. (1957)</w:t>
            </w:r>
          </w:p>
        </w:tc>
        <w:tc>
          <w:tcPr>
            <w:tcW w:w="4580" w:type="dxa"/>
            <w:tcBorders>
              <w:top w:val="single" w:sz="4" w:space="0" w:color="auto"/>
              <w:left w:val="single" w:sz="4" w:space="0" w:color="auto"/>
              <w:bottom w:val="single" w:sz="4" w:space="0" w:color="auto"/>
              <w:right w:val="single" w:sz="4" w:space="0" w:color="auto"/>
            </w:tcBorders>
          </w:tcPr>
          <w:p w14:paraId="3529CCFA" w14:textId="77777777" w:rsidR="00A70B78" w:rsidRPr="007C6A42" w:rsidRDefault="00A70B78" w:rsidP="00AF4FC9">
            <w:pPr>
              <w:jc w:val="both"/>
              <w:rPr>
                <w:rFonts w:asciiTheme="majorBidi" w:eastAsia="Times New Roman" w:hAnsiTheme="majorBidi" w:cstheme="majorBidi"/>
                <w:b/>
                <w:bCs/>
                <w:color w:val="FF0000"/>
              </w:rPr>
            </w:pPr>
            <w:r w:rsidRPr="007C6A42">
              <w:rPr>
                <w:rFonts w:asciiTheme="majorBidi" w:hAnsiTheme="majorBidi" w:cstheme="majorBidi"/>
              </w:rPr>
              <w:t>Leurs entrailles et leur peau en seront consumées ;</w:t>
            </w:r>
          </w:p>
        </w:tc>
      </w:tr>
      <w:tr w:rsidR="00A70B78" w:rsidRPr="007C6A42" w14:paraId="260E49B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DACAFC1"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Hamid (1959)</w:t>
            </w:r>
          </w:p>
        </w:tc>
        <w:tc>
          <w:tcPr>
            <w:tcW w:w="4580" w:type="dxa"/>
            <w:tcBorders>
              <w:top w:val="single" w:sz="4" w:space="0" w:color="auto"/>
              <w:left w:val="single" w:sz="4" w:space="0" w:color="auto"/>
              <w:bottom w:val="single" w:sz="4" w:space="0" w:color="auto"/>
              <w:right w:val="single" w:sz="4" w:space="0" w:color="auto"/>
            </w:tcBorders>
          </w:tcPr>
          <w:p w14:paraId="24DF500A"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de quoi seront fondus ce qui est dans leurs ventres, et les peaux aussi.</w:t>
            </w:r>
          </w:p>
        </w:tc>
      </w:tr>
      <w:tr w:rsidR="00A70B78" w:rsidRPr="007C6A42" w14:paraId="7B31FCF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D2E4F77" w14:textId="77777777" w:rsidR="00A70B78" w:rsidRPr="007C6A42" w:rsidRDefault="00A70B78" w:rsidP="00AF4FC9">
            <w:pPr>
              <w:jc w:val="both"/>
              <w:rPr>
                <w:rFonts w:asciiTheme="majorBidi" w:eastAsia="Times New Roman" w:hAnsiTheme="majorBidi" w:cstheme="majorBidi"/>
              </w:rPr>
            </w:pPr>
            <w:r w:rsidRPr="007C6A42">
              <w:rPr>
                <w:rFonts w:asciiTheme="majorBidi" w:eastAsia="Times New Roman" w:hAnsiTheme="majorBidi" w:cstheme="majorBidi"/>
                <w:color w:val="000000"/>
              </w:rPr>
              <w:t>B. M. (1962)</w:t>
            </w:r>
          </w:p>
        </w:tc>
        <w:tc>
          <w:tcPr>
            <w:tcW w:w="4580" w:type="dxa"/>
            <w:tcBorders>
              <w:top w:val="single" w:sz="4" w:space="0" w:color="auto"/>
              <w:left w:val="single" w:sz="4" w:space="0" w:color="auto"/>
              <w:bottom w:val="single" w:sz="4" w:space="0" w:color="auto"/>
              <w:right w:val="single" w:sz="4" w:space="0" w:color="auto"/>
            </w:tcBorders>
          </w:tcPr>
          <w:p w14:paraId="44AB503D" w14:textId="77777777" w:rsidR="00A70B78" w:rsidRPr="007C6A42" w:rsidRDefault="00A70B78" w:rsidP="00AF4FC9">
            <w:pPr>
              <w:jc w:val="both"/>
              <w:rPr>
                <w:rFonts w:asciiTheme="majorBidi" w:eastAsia="Times New Roman" w:hAnsiTheme="majorBidi" w:cstheme="majorBidi"/>
                <w:color w:val="FF0000"/>
              </w:rPr>
            </w:pPr>
            <w:r w:rsidRPr="007C6A42">
              <w:rPr>
                <w:rFonts w:asciiTheme="majorBidi" w:hAnsiTheme="majorBidi" w:cstheme="majorBidi"/>
              </w:rPr>
              <w:t>qui mettra à vif leurs entrailles et leur peau.</w:t>
            </w:r>
          </w:p>
        </w:tc>
      </w:tr>
      <w:tr w:rsidR="00A70B78" w:rsidRPr="007C6A42" w14:paraId="766F437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7C36507"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Mass. (1967)</w:t>
            </w:r>
          </w:p>
        </w:tc>
        <w:tc>
          <w:tcPr>
            <w:tcW w:w="4580" w:type="dxa"/>
            <w:tcBorders>
              <w:top w:val="single" w:sz="4" w:space="0" w:color="auto"/>
              <w:left w:val="single" w:sz="4" w:space="0" w:color="auto"/>
              <w:bottom w:val="single" w:sz="4" w:space="0" w:color="auto"/>
              <w:right w:val="single" w:sz="4" w:space="0" w:color="auto"/>
            </w:tcBorders>
          </w:tcPr>
          <w:p w14:paraId="2E07A5C5"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 xml:space="preserve">qui brûlera leurs entrailles et leur peau. </w:t>
            </w:r>
          </w:p>
        </w:tc>
      </w:tr>
      <w:tr w:rsidR="00A70B78" w:rsidRPr="007C6A42" w14:paraId="0853BA6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57B2DD4" w14:textId="77777777" w:rsidR="00A70B78" w:rsidRPr="007C6A42" w:rsidRDefault="00A70B78" w:rsidP="00AF4FC9">
            <w:pPr>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Gros. (1972)</w:t>
            </w:r>
          </w:p>
        </w:tc>
        <w:tc>
          <w:tcPr>
            <w:tcW w:w="4580" w:type="dxa"/>
            <w:tcBorders>
              <w:top w:val="single" w:sz="4" w:space="0" w:color="auto"/>
              <w:left w:val="single" w:sz="4" w:space="0" w:color="auto"/>
              <w:bottom w:val="single" w:sz="4" w:space="0" w:color="auto"/>
              <w:right w:val="single" w:sz="4" w:space="0" w:color="auto"/>
            </w:tcBorders>
          </w:tcPr>
          <w:p w14:paraId="0199E78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Leurs entrailles et leur peau en seront consumées.</w:t>
            </w:r>
          </w:p>
        </w:tc>
      </w:tr>
      <w:tr w:rsidR="00A70B78" w:rsidRPr="007C6A42" w14:paraId="2F629B33" w14:textId="77777777" w:rsidTr="00AF4FC9">
        <w:trPr>
          <w:trHeight w:val="339"/>
          <w:jc w:val="center"/>
        </w:trPr>
        <w:tc>
          <w:tcPr>
            <w:tcW w:w="2024" w:type="dxa"/>
            <w:tcBorders>
              <w:top w:val="single" w:sz="4" w:space="0" w:color="auto"/>
              <w:left w:val="single" w:sz="4" w:space="0" w:color="auto"/>
              <w:bottom w:val="single" w:sz="4" w:space="0" w:color="auto"/>
              <w:right w:val="single" w:sz="4" w:space="0" w:color="auto"/>
            </w:tcBorders>
          </w:tcPr>
          <w:p w14:paraId="0F23AAAA"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Chour. (1990)</w:t>
            </w:r>
          </w:p>
        </w:tc>
        <w:tc>
          <w:tcPr>
            <w:tcW w:w="4580" w:type="dxa"/>
            <w:tcBorders>
              <w:top w:val="single" w:sz="4" w:space="0" w:color="auto"/>
              <w:left w:val="single" w:sz="4" w:space="0" w:color="auto"/>
              <w:bottom w:val="single" w:sz="4" w:space="0" w:color="auto"/>
              <w:right w:val="single" w:sz="4" w:space="0" w:color="auto"/>
            </w:tcBorders>
          </w:tcPr>
          <w:p w14:paraId="6656EA2D" w14:textId="77777777" w:rsidR="00A70B78" w:rsidRPr="007C6A42" w:rsidRDefault="00A70B78" w:rsidP="00AF4FC9">
            <w:pPr>
              <w:rPr>
                <w:rFonts w:asciiTheme="majorBidi" w:eastAsia="Times New Roman" w:hAnsiTheme="majorBidi" w:cstheme="majorBidi"/>
                <w:color w:val="00B0F0"/>
              </w:rPr>
            </w:pPr>
            <w:r w:rsidRPr="007C6A42">
              <w:rPr>
                <w:rFonts w:asciiTheme="majorBidi" w:eastAsia="Times New Roman" w:hAnsiTheme="majorBidi" w:cstheme="majorBidi"/>
                <w:color w:val="000000"/>
              </w:rPr>
              <w:t xml:space="preserve">Leurs entrailles se consumeront en eux </w:t>
            </w:r>
            <w:r w:rsidRPr="007C6A42">
              <w:rPr>
                <w:rFonts w:asciiTheme="majorBidi" w:eastAsia="Times New Roman" w:hAnsiTheme="majorBidi" w:cstheme="majorBidi"/>
              </w:rPr>
              <w:t>avec</w:t>
            </w:r>
            <w:r w:rsidRPr="007C6A42">
              <w:rPr>
                <w:rFonts w:asciiTheme="majorBidi" w:eastAsia="Times New Roman" w:hAnsiTheme="majorBidi" w:cstheme="majorBidi"/>
                <w:color w:val="000000"/>
              </w:rPr>
              <w:t xml:space="preserve"> leur peau.</w:t>
            </w:r>
          </w:p>
        </w:tc>
      </w:tr>
      <w:tr w:rsidR="00A70B78" w:rsidRPr="007C6A42" w14:paraId="44C92E4C" w14:textId="77777777" w:rsidTr="00AF4FC9">
        <w:trPr>
          <w:trHeight w:val="311"/>
          <w:jc w:val="center"/>
        </w:trPr>
        <w:tc>
          <w:tcPr>
            <w:tcW w:w="2024" w:type="dxa"/>
            <w:tcBorders>
              <w:top w:val="single" w:sz="4" w:space="0" w:color="auto"/>
              <w:left w:val="single" w:sz="4" w:space="0" w:color="auto"/>
              <w:bottom w:val="single" w:sz="4" w:space="0" w:color="auto"/>
              <w:right w:val="single" w:sz="4" w:space="0" w:color="auto"/>
            </w:tcBorders>
          </w:tcPr>
          <w:p w14:paraId="74E8C366"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209D1206" w14:textId="77777777" w:rsidR="00A70B78" w:rsidRPr="007C6A42" w:rsidRDefault="00A70B78" w:rsidP="00AF4FC9">
            <w:pPr>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de quoi leur dissoudre les entrailles et la peau</w:t>
            </w:r>
          </w:p>
        </w:tc>
      </w:tr>
      <w:tr w:rsidR="00A70B78" w:rsidRPr="007C6A42" w14:paraId="69C2AABF" w14:textId="77777777" w:rsidTr="00AF4FC9">
        <w:trPr>
          <w:trHeight w:val="254"/>
          <w:jc w:val="center"/>
        </w:trPr>
        <w:tc>
          <w:tcPr>
            <w:tcW w:w="2024" w:type="dxa"/>
            <w:tcBorders>
              <w:top w:val="single" w:sz="4" w:space="0" w:color="auto"/>
              <w:left w:val="single" w:sz="4" w:space="0" w:color="auto"/>
              <w:bottom w:val="single" w:sz="4" w:space="0" w:color="auto"/>
              <w:right w:val="single" w:sz="4" w:space="0" w:color="auto"/>
            </w:tcBorders>
          </w:tcPr>
          <w:p w14:paraId="7501E356" w14:textId="77777777" w:rsidR="00A70B78" w:rsidRPr="007C6A42" w:rsidRDefault="00A70B78" w:rsidP="00AF4FC9">
            <w:pPr>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Gues. (1999)</w:t>
            </w:r>
          </w:p>
        </w:tc>
        <w:tc>
          <w:tcPr>
            <w:tcW w:w="4580" w:type="dxa"/>
            <w:tcBorders>
              <w:top w:val="single" w:sz="4" w:space="0" w:color="auto"/>
              <w:left w:val="single" w:sz="4" w:space="0" w:color="auto"/>
              <w:bottom w:val="single" w:sz="4" w:space="0" w:color="auto"/>
              <w:right w:val="single" w:sz="4" w:space="0" w:color="auto"/>
            </w:tcBorders>
          </w:tcPr>
          <w:p w14:paraId="647B5041"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Leurs entrailles et leurs peaux seront consumées.</w:t>
            </w:r>
          </w:p>
        </w:tc>
      </w:tr>
      <w:tr w:rsidR="00A70B78" w:rsidRPr="007C6A42" w14:paraId="7F86E9DC" w14:textId="77777777" w:rsidTr="00AF4FC9">
        <w:trPr>
          <w:trHeight w:val="101"/>
          <w:jc w:val="center"/>
        </w:trPr>
        <w:tc>
          <w:tcPr>
            <w:tcW w:w="2024" w:type="dxa"/>
            <w:tcBorders>
              <w:top w:val="single" w:sz="4" w:space="0" w:color="auto"/>
              <w:left w:val="single" w:sz="4" w:space="0" w:color="auto"/>
              <w:bottom w:val="single" w:sz="4" w:space="0" w:color="auto"/>
              <w:right w:val="single" w:sz="4" w:space="0" w:color="auto"/>
            </w:tcBorders>
          </w:tcPr>
          <w:p w14:paraId="6C1D591F"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3CF0DE24" w14:textId="77777777" w:rsidR="00A70B78" w:rsidRPr="007C6A42" w:rsidRDefault="00A70B78" w:rsidP="00AF4FC9">
            <w:pPr>
              <w:jc w:val="both"/>
              <w:rPr>
                <w:rFonts w:asciiTheme="majorBidi" w:eastAsia="Times New Roman" w:hAnsiTheme="majorBidi" w:cstheme="majorBidi"/>
                <w:color w:val="0070C0"/>
              </w:rPr>
            </w:pPr>
            <w:r w:rsidRPr="007C6A42">
              <w:rPr>
                <w:rFonts w:asciiTheme="majorBidi" w:hAnsiTheme="majorBidi" w:cstheme="majorBidi"/>
              </w:rPr>
              <w:t>qui fera fondre leurs entrailles et leur peau,</w:t>
            </w:r>
          </w:p>
        </w:tc>
      </w:tr>
      <w:tr w:rsidR="00A70B78" w:rsidRPr="007C6A42" w14:paraId="4204F9A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5C69481"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5E3C152B" w14:textId="77777777" w:rsidR="00A70B78" w:rsidRPr="007C6A42" w:rsidRDefault="00A70B78" w:rsidP="00AF4FC9">
            <w:pPr>
              <w:shd w:val="clear" w:color="auto" w:fill="FFFFFF"/>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qui fera fondre ce qui est dans leurs ventres de même que leurs peaux.</w:t>
            </w:r>
          </w:p>
        </w:tc>
      </w:tr>
      <w:tr w:rsidR="00A70B78" w:rsidRPr="007C6A42" w14:paraId="2ABB2D9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3EA25C7" w14:textId="77777777" w:rsidR="00A70B78" w:rsidRPr="007C6A42" w:rsidRDefault="00A70B78" w:rsidP="00AF4FC9">
            <w:pPr>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Abdel. (2002)</w:t>
            </w:r>
          </w:p>
        </w:tc>
        <w:tc>
          <w:tcPr>
            <w:tcW w:w="4580" w:type="dxa"/>
            <w:tcBorders>
              <w:top w:val="single" w:sz="4" w:space="0" w:color="auto"/>
              <w:left w:val="single" w:sz="4" w:space="0" w:color="auto"/>
              <w:bottom w:val="single" w:sz="4" w:space="0" w:color="auto"/>
              <w:right w:val="single" w:sz="4" w:space="0" w:color="auto"/>
            </w:tcBorders>
          </w:tcPr>
          <w:p w14:paraId="58B82047"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 xml:space="preserve">par laquelle sera fondu ce qui est dans leurs ventres, et les peaux, </w:t>
            </w:r>
          </w:p>
        </w:tc>
      </w:tr>
      <w:tr w:rsidR="00A70B78" w:rsidRPr="007C6A42" w14:paraId="1E001AF5" w14:textId="77777777" w:rsidTr="00AF4FC9">
        <w:trPr>
          <w:trHeight w:val="563"/>
          <w:jc w:val="center"/>
        </w:trPr>
        <w:tc>
          <w:tcPr>
            <w:tcW w:w="2024" w:type="dxa"/>
            <w:tcBorders>
              <w:top w:val="single" w:sz="4" w:space="0" w:color="auto"/>
              <w:left w:val="single" w:sz="4" w:space="0" w:color="auto"/>
              <w:bottom w:val="single" w:sz="4" w:space="0" w:color="auto"/>
              <w:right w:val="single" w:sz="4" w:space="0" w:color="auto"/>
            </w:tcBorders>
          </w:tcPr>
          <w:p w14:paraId="69D0E5FA"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0E1385C9" w14:textId="77777777" w:rsidR="00A70B78" w:rsidRPr="007C6A42" w:rsidRDefault="00A70B78" w:rsidP="00AF4FC9">
            <w:pPr>
              <w:jc w:val="both"/>
              <w:rPr>
                <w:rFonts w:asciiTheme="majorBidi" w:eastAsia="Times New Roman" w:hAnsiTheme="majorBidi" w:cstheme="majorBidi"/>
                <w:b/>
                <w:bCs/>
                <w:color w:val="FF0000"/>
                <w:lang w:bidi="ar-KW"/>
              </w:rPr>
            </w:pPr>
            <w:r w:rsidRPr="007C6A42">
              <w:rPr>
                <w:rFonts w:asciiTheme="majorBidi" w:eastAsia="Times New Roman" w:hAnsiTheme="majorBidi" w:cstheme="majorBidi"/>
                <w:lang w:eastAsia="fr-CH"/>
              </w:rPr>
              <w:t>qui fera fondre ce qui est dans leurs ventres et leurs peaux.</w:t>
            </w:r>
          </w:p>
        </w:tc>
      </w:tr>
      <w:tr w:rsidR="00A70B78" w:rsidRPr="007C6A42" w14:paraId="459A6DF7" w14:textId="77777777" w:rsidTr="00AF4FC9">
        <w:trPr>
          <w:trHeight w:val="548"/>
          <w:jc w:val="center"/>
        </w:trPr>
        <w:tc>
          <w:tcPr>
            <w:tcW w:w="2024" w:type="dxa"/>
            <w:tcBorders>
              <w:top w:val="single" w:sz="4" w:space="0" w:color="auto"/>
              <w:left w:val="single" w:sz="4" w:space="0" w:color="auto"/>
              <w:bottom w:val="single" w:sz="4" w:space="0" w:color="auto"/>
              <w:right w:val="single" w:sz="4" w:space="0" w:color="auto"/>
            </w:tcBorders>
          </w:tcPr>
          <w:p w14:paraId="0516DF8E" w14:textId="77777777" w:rsidR="00A70B78" w:rsidRPr="007C6A42" w:rsidRDefault="00A70B78" w:rsidP="00AF4FC9">
            <w:pPr>
              <w:jc w:val="both"/>
              <w:rPr>
                <w:rFonts w:asciiTheme="majorBidi" w:eastAsia="Times New Roman" w:hAnsiTheme="majorBidi" w:cstheme="majorBidi"/>
              </w:rPr>
            </w:pPr>
            <w:r w:rsidRPr="007C6A42">
              <w:rPr>
                <w:rFonts w:asciiTheme="majorBidi" w:eastAsia="Times New Roman" w:hAnsiTheme="majorBidi" w:cstheme="majorBidi"/>
                <w:color w:val="000000"/>
              </w:rPr>
              <w:t>Cheb. (2009)</w:t>
            </w:r>
          </w:p>
        </w:tc>
        <w:tc>
          <w:tcPr>
            <w:tcW w:w="4580" w:type="dxa"/>
            <w:tcBorders>
              <w:top w:val="single" w:sz="4" w:space="0" w:color="auto"/>
              <w:left w:val="single" w:sz="4" w:space="0" w:color="auto"/>
              <w:bottom w:val="single" w:sz="4" w:space="0" w:color="auto"/>
              <w:right w:val="single" w:sz="4" w:space="0" w:color="auto"/>
            </w:tcBorders>
          </w:tcPr>
          <w:p w14:paraId="598B070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De façon que leurs entrailles soient consumées, ainsi que leur peau.</w:t>
            </w:r>
          </w:p>
        </w:tc>
      </w:tr>
      <w:tr w:rsidR="00A70B78" w:rsidRPr="007C6A42" w14:paraId="0C6B1E0B" w14:textId="77777777" w:rsidTr="00AF4FC9">
        <w:trPr>
          <w:trHeight w:val="199"/>
          <w:jc w:val="center"/>
        </w:trPr>
        <w:tc>
          <w:tcPr>
            <w:tcW w:w="2024" w:type="dxa"/>
            <w:tcBorders>
              <w:top w:val="single" w:sz="4" w:space="0" w:color="auto"/>
              <w:left w:val="single" w:sz="4" w:space="0" w:color="auto"/>
              <w:bottom w:val="single" w:sz="4" w:space="0" w:color="auto"/>
              <w:right w:val="single" w:sz="4" w:space="0" w:color="auto"/>
            </w:tcBorders>
          </w:tcPr>
          <w:p w14:paraId="50797A51" w14:textId="77777777" w:rsidR="00A70B78" w:rsidRPr="007C6A42" w:rsidRDefault="00A70B78" w:rsidP="00AF4FC9">
            <w:pPr>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Haf. (2010)</w:t>
            </w:r>
          </w:p>
        </w:tc>
        <w:tc>
          <w:tcPr>
            <w:tcW w:w="4580" w:type="dxa"/>
            <w:tcBorders>
              <w:top w:val="single" w:sz="4" w:space="0" w:color="auto"/>
              <w:left w:val="single" w:sz="4" w:space="0" w:color="auto"/>
              <w:bottom w:val="single" w:sz="4" w:space="0" w:color="auto"/>
              <w:right w:val="single" w:sz="4" w:space="0" w:color="auto"/>
            </w:tcBorders>
          </w:tcPr>
          <w:p w14:paraId="5F564A3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qui consumera leurs entrailles et leur peau ;</w:t>
            </w:r>
          </w:p>
        </w:tc>
      </w:tr>
    </w:tbl>
    <w:p w14:paraId="046C4698" w14:textId="77777777" w:rsidR="00A70B78" w:rsidRPr="007C6A42" w:rsidRDefault="00A70B78" w:rsidP="00A70B78">
      <w:pPr>
        <w:spacing w:line="360" w:lineRule="auto"/>
        <w:ind w:firstLine="720"/>
        <w:contextualSpacing/>
        <w:jc w:val="both"/>
        <w:rPr>
          <w:rFonts w:asciiTheme="majorBidi" w:hAnsiTheme="majorBidi" w:cstheme="majorBidi"/>
          <w:lang w:bidi="ar-AE"/>
        </w:rPr>
      </w:pPr>
    </w:p>
    <w:p w14:paraId="48DCEA58" w14:textId="77777777" w:rsidR="00A70B78" w:rsidRPr="007C6A42" w:rsidRDefault="00A70B78" w:rsidP="00A70B78">
      <w:pPr>
        <w:spacing w:line="360" w:lineRule="auto"/>
        <w:jc w:val="both"/>
        <w:rPr>
          <w:rFonts w:asciiTheme="majorBidi" w:eastAsia="Times New Roman" w:hAnsiTheme="majorBidi" w:cstheme="majorBidi"/>
          <w:lang w:bidi="ar-EG"/>
        </w:rPr>
      </w:pPr>
      <w:r w:rsidRPr="007C6A42">
        <w:rPr>
          <w:rFonts w:asciiTheme="majorBidi" w:eastAsia="Times New Roman" w:hAnsiTheme="majorBidi" w:cstheme="majorBidi"/>
          <w:b/>
          <w:bCs/>
          <w:lang w:bidi="ar-EG"/>
        </w:rPr>
        <w:t>Traduction de l’anastrophe du verset 34 :</w:t>
      </w:r>
    </w:p>
    <w:p w14:paraId="5E17037D"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lang w:bidi="ar-EG"/>
        </w:rPr>
        <w:t>Le Coran utilise le syntagme prépositionnel « </w:t>
      </w:r>
      <w:r w:rsidRPr="007C6A42">
        <w:rPr>
          <w:rFonts w:asciiTheme="majorBidi" w:eastAsia="Times New Roman" w:hAnsiTheme="majorBidi" w:cstheme="majorBidi"/>
          <w:i/>
          <w:iCs/>
          <w:lang w:bidi="ar-EG"/>
        </w:rPr>
        <w:t>li-kulli ummatin </w:t>
      </w:r>
      <w:r w:rsidRPr="007C6A42">
        <w:rPr>
          <w:rFonts w:asciiTheme="majorBidi" w:eastAsia="Times New Roman" w:hAnsiTheme="majorBidi" w:cstheme="majorBidi"/>
          <w:lang w:bidi="ar-EG"/>
        </w:rPr>
        <w:t>» [</w:t>
      </w:r>
      <w:r w:rsidRPr="007C6A42">
        <w:rPr>
          <w:rFonts w:asciiTheme="majorBidi" w:eastAsia="Calibri" w:hAnsiTheme="majorBidi" w:cstheme="majorBidi"/>
          <w:lang w:bidi="ar-AE"/>
        </w:rPr>
        <w:t>À chaque communauté</w:t>
      </w:r>
      <w:r w:rsidRPr="007C6A42">
        <w:rPr>
          <w:rFonts w:asciiTheme="majorBidi" w:eastAsia="Times New Roman" w:hAnsiTheme="majorBidi" w:cstheme="majorBidi"/>
          <w:lang w:bidi="ar-EG"/>
        </w:rPr>
        <w:t xml:space="preserve">] en tête de la phrase. Selon le grammairien Az-Zamakhsharī </w:t>
      </w:r>
      <w:r w:rsidRPr="007C6A42">
        <w:rPr>
          <w:rFonts w:asciiTheme="majorBidi" w:eastAsia="Times New Roman" w:hAnsiTheme="majorBidi" w:cstheme="majorBidi"/>
          <w:shd w:val="clear" w:color="auto" w:fill="FFFFFF"/>
        </w:rPr>
        <w:t>(1075-1144)</w:t>
      </w:r>
      <w:r w:rsidRPr="007C6A42">
        <w:rPr>
          <w:rFonts w:asciiTheme="majorBidi" w:eastAsia="Times New Roman" w:hAnsiTheme="majorBidi" w:cstheme="majorBidi"/>
          <w:lang w:bidi="ar-EG"/>
        </w:rPr>
        <w:t>, l’anastrophe du syntagme prépositionnel a pour objet la spécialisation ou la particularisation (« </w:t>
      </w:r>
      <w:r w:rsidRPr="007C6A42">
        <w:rPr>
          <w:rFonts w:asciiTheme="majorBidi" w:eastAsia="Times New Roman" w:hAnsiTheme="majorBidi" w:cstheme="majorBidi"/>
          <w:rtl/>
        </w:rPr>
        <w:t>تقديم الجارّ والمجرور للاختصاص</w:t>
      </w:r>
      <w:r w:rsidRPr="007C6A42">
        <w:rPr>
          <w:rFonts w:asciiTheme="majorBidi" w:eastAsia="Times New Roman" w:hAnsiTheme="majorBidi" w:cstheme="majorBidi"/>
        </w:rPr>
        <w:t> »</w:t>
      </w:r>
      <w:r w:rsidRPr="007C6A42">
        <w:rPr>
          <w:rFonts w:asciiTheme="majorBidi" w:eastAsia="Times New Roman" w:hAnsiTheme="majorBidi" w:cstheme="majorBidi"/>
          <w:lang w:bidi="ar-EG"/>
        </w:rPr>
        <w:t>).</w:t>
      </w:r>
      <w:r w:rsidRPr="007C6A42">
        <w:rPr>
          <w:rFonts w:asciiTheme="majorBidi" w:eastAsia="Calibri" w:hAnsiTheme="majorBidi" w:cstheme="majorBidi"/>
          <w:vertAlign w:val="superscript"/>
          <w:lang w:bidi="ar-AE"/>
        </w:rPr>
        <w:footnoteReference w:id="559"/>
      </w:r>
    </w:p>
    <w:p w14:paraId="33EDC43A"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lang w:bidi="ar-EG"/>
        </w:rPr>
        <w:t xml:space="preserve">Dix traducteurs (Blachère, Ghédira, Hamidullah, Chouraqui, Berque, Chiadmi, le Complexe de Médine, Abdelaziz, Aldeeb et Chebel) ont utilisé l’anastrophe. Huit traducteurs </w:t>
      </w:r>
      <w:r w:rsidRPr="007C6A42">
        <w:rPr>
          <w:rFonts w:asciiTheme="majorBidi" w:eastAsia="Times New Roman" w:hAnsiTheme="majorBidi" w:cstheme="majorBidi"/>
          <w:lang w:bidi="ar-EG"/>
        </w:rPr>
        <w:lastRenderedPageBreak/>
        <w:t>(Du Ryer, Savary, Kazimirski, Ben Mahmoud, Masson, Grosjean, Guessous et Hafiane) n’ont pas respecté l’anastrophe arabe.</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2087D9B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38DBB8A" w14:textId="77777777" w:rsidR="00A70B78" w:rsidRPr="007C6A42" w:rsidRDefault="00A70B78" w:rsidP="00AF4FC9">
            <w:pPr>
              <w:spacing w:line="360" w:lineRule="auto"/>
              <w:jc w:val="both"/>
              <w:rPr>
                <w:rFonts w:asciiTheme="majorBidi" w:eastAsia="Times New Roman" w:hAnsiTheme="majorBidi" w:cstheme="majorBidi"/>
              </w:rPr>
            </w:pPr>
          </w:p>
        </w:tc>
        <w:tc>
          <w:tcPr>
            <w:tcW w:w="4580" w:type="dxa"/>
            <w:tcBorders>
              <w:top w:val="single" w:sz="4" w:space="0" w:color="auto"/>
              <w:left w:val="single" w:sz="4" w:space="0" w:color="auto"/>
              <w:bottom w:val="single" w:sz="4" w:space="0" w:color="auto"/>
              <w:right w:val="single" w:sz="4" w:space="0" w:color="auto"/>
            </w:tcBorders>
          </w:tcPr>
          <w:p w14:paraId="2F606823" w14:textId="77777777" w:rsidR="00A70B78" w:rsidRPr="007C6A42" w:rsidRDefault="00A70B78" w:rsidP="00AF4FC9">
            <w:pPr>
              <w:bidi/>
              <w:rPr>
                <w:rFonts w:asciiTheme="majorBidi" w:eastAsia="Times New Roman" w:hAnsiTheme="majorBidi" w:cstheme="majorBidi"/>
                <w:rtl/>
              </w:rPr>
            </w:pPr>
            <w:r w:rsidRPr="007C6A42">
              <w:rPr>
                <w:rFonts w:asciiTheme="majorBidi" w:eastAsia="Times New Roman" w:hAnsiTheme="majorBidi" w:cstheme="majorBidi"/>
                <w:shd w:val="clear" w:color="auto" w:fill="FFFFFF"/>
                <w:rtl/>
              </w:rPr>
              <w:t>ولكل أمةٍ جَعلْنا مَنسكًا (الحج، ٣٤)</w:t>
            </w:r>
          </w:p>
        </w:tc>
      </w:tr>
      <w:tr w:rsidR="00A70B78" w:rsidRPr="007C6A42" w14:paraId="312D0BE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6B8E5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4E370E5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auons donné à toutes les nations du monde vne loy pour faire leurs ʃacrifices</w:t>
            </w:r>
          </w:p>
        </w:tc>
      </w:tr>
      <w:tr w:rsidR="00A70B78" w:rsidRPr="007C6A42" w14:paraId="50F1080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82F360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363957FB"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avons donné à chaque nation ses rites sacrés</w:t>
            </w:r>
          </w:p>
        </w:tc>
      </w:tr>
      <w:tr w:rsidR="00A70B78" w:rsidRPr="007C6A42" w14:paraId="2D439AC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9CEF30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234F1E21"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Nous avons donné à chaque nation ses rites sacrés</w:t>
            </w:r>
          </w:p>
        </w:tc>
      </w:tr>
      <w:tr w:rsidR="00A70B78" w:rsidRPr="007C6A42" w14:paraId="2558D64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5948B8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7EB94A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 chaque communauté, Nous avons donné une pratique cultuelle ( ?) (</w:t>
            </w:r>
            <w:r w:rsidRPr="007C6A42">
              <w:rPr>
                <w:rFonts w:asciiTheme="majorBidi" w:hAnsiTheme="majorBidi" w:cstheme="majorBidi"/>
                <w:i/>
              </w:rPr>
              <w:t>mansak</w:t>
            </w:r>
            <w:r w:rsidRPr="007C6A42">
              <w:rPr>
                <w:rFonts w:asciiTheme="majorBidi" w:hAnsiTheme="majorBidi" w:cstheme="majorBidi"/>
              </w:rPr>
              <w:t>)</w:t>
            </w:r>
          </w:p>
        </w:tc>
      </w:tr>
      <w:tr w:rsidR="00A70B78" w:rsidRPr="007C6A42" w14:paraId="5618766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C21AB2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12AEC71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Pour chaque communauté, Nous avons institué un rite de sacrifice</w:t>
            </w:r>
          </w:p>
        </w:tc>
      </w:tr>
      <w:tr w:rsidR="00A70B78" w:rsidRPr="007C6A42" w14:paraId="0C6C06C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382237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3298010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Et à chaque communauté Nous avons assigné un rite</w:t>
            </w:r>
          </w:p>
        </w:tc>
      </w:tr>
      <w:tr w:rsidR="00A70B78" w:rsidRPr="007C6A42" w14:paraId="5E8BA87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74C60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382E2D4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institué pour chaque nation un mode d’offrande</w:t>
            </w:r>
          </w:p>
        </w:tc>
      </w:tr>
      <w:tr w:rsidR="00A70B78" w:rsidRPr="007C6A42" w14:paraId="7E7BFFD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ECB263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4284DF6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établi des rites pour chaque communauté</w:t>
            </w:r>
          </w:p>
        </w:tc>
      </w:tr>
      <w:tr w:rsidR="00A70B78" w:rsidRPr="007C6A42" w14:paraId="761D1ED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6137BA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647BA2B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donné à chaque nation ses rites</w:t>
            </w:r>
          </w:p>
        </w:tc>
      </w:tr>
      <w:tr w:rsidR="00A70B78" w:rsidRPr="007C6A42" w14:paraId="655B343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635F7D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6F713716"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Pour toute matrie, nous instituons des rites</w:t>
            </w:r>
          </w:p>
        </w:tc>
      </w:tr>
      <w:tr w:rsidR="00A70B78" w:rsidRPr="007C6A42" w14:paraId="40EC4035"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76EFDBB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6ACC7688"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À chaque communauté Nous avons établi un lieu rituel</w:t>
            </w:r>
          </w:p>
        </w:tc>
      </w:tr>
      <w:tr w:rsidR="00A70B78" w:rsidRPr="007C6A42" w14:paraId="72B9452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2681462"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2DE2D95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b/>
              </w:rPr>
              <w:t>Nous</w:t>
            </w:r>
            <w:r w:rsidRPr="007C6A42">
              <w:rPr>
                <w:rFonts w:asciiTheme="majorBidi" w:hAnsiTheme="majorBidi" w:cstheme="majorBidi"/>
              </w:rPr>
              <w:t xml:space="preserve"> avons institué un rite pour chaque communauté</w:t>
            </w:r>
          </w:p>
        </w:tc>
      </w:tr>
      <w:tr w:rsidR="00A70B78" w:rsidRPr="007C6A42" w14:paraId="73AC429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89F0C3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18A4570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 chaque communauté, Nous avons assigné un rite sacrificiel</w:t>
            </w:r>
          </w:p>
        </w:tc>
      </w:tr>
      <w:tr w:rsidR="00A70B78" w:rsidRPr="007C6A42" w14:paraId="0B302D5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284B0B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277D40EB"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 chaque communauté, Nous avons assigné un rite sacrificiel</w:t>
            </w:r>
          </w:p>
        </w:tc>
      </w:tr>
      <w:tr w:rsidR="00A70B78" w:rsidRPr="007C6A42" w14:paraId="1948F08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247743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1A430CA6"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 xml:space="preserve">Et à chaque communauté Nous Prescrivîmes </w:t>
            </w:r>
            <w:r w:rsidRPr="007C6A42">
              <w:rPr>
                <w:rFonts w:asciiTheme="majorBidi" w:hAnsiTheme="majorBidi" w:cstheme="majorBidi"/>
              </w:rPr>
              <w:lastRenderedPageBreak/>
              <w:t>un lieu d’offrande</w:t>
            </w:r>
          </w:p>
        </w:tc>
      </w:tr>
      <w:tr w:rsidR="00A70B78" w:rsidRPr="007C6A42" w14:paraId="72C14C8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E405C0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Ald. (2008)</w:t>
            </w:r>
          </w:p>
        </w:tc>
        <w:tc>
          <w:tcPr>
            <w:tcW w:w="4580" w:type="dxa"/>
            <w:tcBorders>
              <w:top w:val="single" w:sz="4" w:space="0" w:color="auto"/>
              <w:left w:val="single" w:sz="4" w:space="0" w:color="auto"/>
              <w:bottom w:val="single" w:sz="4" w:space="0" w:color="auto"/>
              <w:right w:val="single" w:sz="4" w:space="0" w:color="auto"/>
            </w:tcBorders>
          </w:tcPr>
          <w:p w14:paraId="26179BD0"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À chaque nation, nous avons fait un rituel</w:t>
            </w:r>
          </w:p>
        </w:tc>
      </w:tr>
      <w:tr w:rsidR="00A70B78" w:rsidRPr="007C6A42" w14:paraId="287F544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CA1F2A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6BE76E4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A chaque communauté, Nous avons prévu des pratiques et rituels</w:t>
            </w:r>
          </w:p>
        </w:tc>
      </w:tr>
      <w:tr w:rsidR="00A70B78" w:rsidRPr="007C6A42" w14:paraId="5F7BB78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7D09BE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58F8E52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institué à chaque communauté un rite sacrificiel</w:t>
            </w:r>
          </w:p>
        </w:tc>
      </w:tr>
    </w:tbl>
    <w:p w14:paraId="283D6069" w14:textId="77777777" w:rsidR="00A70B78" w:rsidRPr="007C6A42" w:rsidRDefault="00A70B78" w:rsidP="00A70B78">
      <w:pPr>
        <w:spacing w:line="360" w:lineRule="auto"/>
        <w:ind w:firstLine="720"/>
        <w:jc w:val="both"/>
        <w:rPr>
          <w:rFonts w:asciiTheme="majorBidi" w:eastAsia="Times New Roman" w:hAnsiTheme="majorBidi" w:cstheme="majorBidi"/>
          <w:lang w:bidi="ar-EG"/>
        </w:rPr>
      </w:pPr>
    </w:p>
    <w:p w14:paraId="55A85ADC" w14:textId="77777777" w:rsidR="00A70B78" w:rsidRPr="007C6A42" w:rsidRDefault="00A70B78" w:rsidP="00A70B78">
      <w:pPr>
        <w:spacing w:line="360" w:lineRule="auto"/>
        <w:ind w:firstLine="720"/>
        <w:jc w:val="both"/>
        <w:rPr>
          <w:rFonts w:asciiTheme="majorBidi" w:hAnsiTheme="majorBidi" w:cstheme="majorBidi"/>
        </w:rPr>
      </w:pPr>
      <w:r w:rsidRPr="007C6A42">
        <w:rPr>
          <w:rFonts w:asciiTheme="majorBidi" w:eastAsia="Times New Roman" w:hAnsiTheme="majorBidi" w:cstheme="majorBidi"/>
          <w:lang w:bidi="ar-EG"/>
        </w:rPr>
        <w:t>Dans la traduction de cette phrase (« </w:t>
      </w:r>
      <w:r w:rsidRPr="007C6A42">
        <w:rPr>
          <w:rFonts w:asciiTheme="majorBidi" w:eastAsia="Times New Roman" w:hAnsiTheme="majorBidi" w:cstheme="majorBidi"/>
          <w:rtl/>
          <w:lang w:bidi="ar-EG"/>
        </w:rPr>
        <w:t>ولكل أمة جعلنا منسكاً</w:t>
      </w:r>
      <w:r w:rsidRPr="007C6A42">
        <w:rPr>
          <w:rFonts w:asciiTheme="majorBidi" w:eastAsia="Times New Roman" w:hAnsiTheme="majorBidi" w:cstheme="majorBidi"/>
          <w:i/>
          <w:iCs/>
          <w:lang w:bidi="ar-EG"/>
        </w:rPr>
        <w:t> </w:t>
      </w:r>
      <w:r w:rsidRPr="007C6A42">
        <w:rPr>
          <w:rFonts w:asciiTheme="majorBidi" w:eastAsia="Times New Roman" w:hAnsiTheme="majorBidi" w:cstheme="majorBidi"/>
          <w:lang w:bidi="ar-EG"/>
        </w:rPr>
        <w:t>»), le traducteur musulman Chiadmi s’intéresse à justifier dans une NDT apologétique pourquoi Dieu ordonne le sacrifice (expiation des péchés, symbole de dévotion et acte de charité destiné aux pauvres), puis il tente d’absoudre l’islam de la violence commise contre les animaux en soulignant que « </w:t>
      </w:r>
      <w:r w:rsidRPr="007C6A42">
        <w:rPr>
          <w:rFonts w:asciiTheme="majorBidi" w:hAnsiTheme="majorBidi" w:cstheme="majorBidi"/>
        </w:rPr>
        <w:t>l’islam enjoint de faire attention à la bête destinée au sacrifice, de ne pas l’effrayer, de l’apaiser, de faire en sorte qu’elle ne souffre pas ». Ainsi sa traduction sert à réfuter des accusations. Des critères sociopolitiques non-linguistiques jouent un rôle crucial dans les choix des traducteurs. Le sacrifice de la grande fête musulmane de l’Aïd al-Adha (</w:t>
      </w:r>
      <w:r w:rsidRPr="007C6A42">
        <w:rPr>
          <w:rFonts w:asciiTheme="majorBidi" w:hAnsiTheme="majorBidi" w:cstheme="majorBidi"/>
          <w:i/>
          <w:iCs/>
        </w:rPr>
        <w:t>ʿīd al-aḍḥā</w:t>
      </w:r>
      <w:r w:rsidRPr="007C6A42">
        <w:rPr>
          <w:rFonts w:asciiTheme="majorBidi" w:hAnsiTheme="majorBidi" w:cstheme="majorBidi"/>
        </w:rPr>
        <w:t>) faisait et fait toujours l’objet de critiques et de controverses.</w:t>
      </w:r>
      <w:r w:rsidRPr="007C6A42">
        <w:rPr>
          <w:rStyle w:val="Appelnotedebasdep"/>
          <w:rFonts w:asciiTheme="majorBidi" w:hAnsiTheme="majorBidi" w:cstheme="majorBidi"/>
        </w:rPr>
        <w:footnoteReference w:id="560"/>
      </w:r>
    </w:p>
    <w:p w14:paraId="36B28509" w14:textId="77777777" w:rsidR="00A70B78" w:rsidRPr="007C6A42" w:rsidRDefault="00A70B78" w:rsidP="00A70B78">
      <w:pPr>
        <w:spacing w:line="360" w:lineRule="auto"/>
        <w:ind w:firstLine="720"/>
        <w:jc w:val="both"/>
        <w:rPr>
          <w:rFonts w:asciiTheme="majorBidi" w:eastAsia="Times New Roman" w:hAnsiTheme="majorBidi" w:cstheme="majorBidi"/>
          <w:rtl/>
        </w:rPr>
      </w:pPr>
    </w:p>
    <w:p w14:paraId="79A67F4F" w14:textId="77777777" w:rsidR="00A70B78" w:rsidRPr="007C6A42" w:rsidRDefault="00A70B78" w:rsidP="00A70B78">
      <w:pPr>
        <w:spacing w:line="360" w:lineRule="auto"/>
        <w:jc w:val="both"/>
        <w:rPr>
          <w:rFonts w:asciiTheme="majorBidi" w:eastAsia="Times New Roman" w:hAnsiTheme="majorBidi" w:cstheme="majorBidi"/>
          <w:lang w:bidi="ar-EG"/>
        </w:rPr>
      </w:pPr>
      <w:r w:rsidRPr="007C6A42">
        <w:rPr>
          <w:rFonts w:asciiTheme="majorBidi" w:eastAsia="Times New Roman" w:hAnsiTheme="majorBidi" w:cstheme="majorBidi"/>
          <w:b/>
          <w:bCs/>
          <w:lang w:bidi="ar-EG"/>
        </w:rPr>
        <w:t>Traduction de l’anastrophe du verset 36 :</w:t>
      </w:r>
    </w:p>
    <w:p w14:paraId="036F0020"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lang w:bidi="ar-EG"/>
        </w:rPr>
        <w:t xml:space="preserve">Le second COD </w:t>
      </w:r>
      <w:r w:rsidRPr="007C6A42">
        <w:rPr>
          <w:rFonts w:asciiTheme="majorBidi" w:eastAsia="Times New Roman" w:hAnsiTheme="majorBidi" w:cstheme="majorBidi"/>
          <w:i/>
          <w:iCs/>
          <w:lang w:bidi="ar-EG"/>
        </w:rPr>
        <w:t>al-budn</w:t>
      </w:r>
      <w:r w:rsidRPr="007C6A42">
        <w:rPr>
          <w:rFonts w:asciiTheme="majorBidi" w:eastAsia="Times New Roman" w:hAnsiTheme="majorBidi" w:cstheme="majorBidi"/>
          <w:lang w:bidi="ar-EG"/>
        </w:rPr>
        <w:t xml:space="preserve"> utilisé en tête de la phrase précède son verbe doublement transitif </w:t>
      </w:r>
      <w:r w:rsidRPr="007C6A42">
        <w:rPr>
          <w:rFonts w:asciiTheme="majorBidi" w:eastAsia="Times New Roman" w:hAnsiTheme="majorBidi" w:cstheme="majorBidi"/>
          <w:i/>
          <w:iCs/>
          <w:lang w:bidi="ar-EG"/>
        </w:rPr>
        <w:t>jaʿalnā-hā</w:t>
      </w:r>
      <w:r w:rsidRPr="007C6A42">
        <w:rPr>
          <w:rFonts w:asciiTheme="majorBidi" w:eastAsia="Times New Roman" w:hAnsiTheme="majorBidi" w:cstheme="majorBidi"/>
          <w:lang w:bidi="ar-EG"/>
        </w:rPr>
        <w:t xml:space="preserve"> pour le mettre en valeur, </w:t>
      </w:r>
      <w:r w:rsidRPr="007C6A42">
        <w:rPr>
          <w:rFonts w:asciiTheme="majorBidi" w:eastAsia="Times New Roman" w:hAnsiTheme="majorBidi" w:cstheme="majorBidi"/>
        </w:rPr>
        <w:t>le rehausser.</w:t>
      </w:r>
      <w:r w:rsidRPr="007C6A42">
        <w:rPr>
          <w:rFonts w:asciiTheme="majorBidi" w:eastAsia="Calibri" w:hAnsiTheme="majorBidi" w:cstheme="majorBidi"/>
          <w:vertAlign w:val="superscript"/>
          <w:lang w:bidi="ar-AE"/>
        </w:rPr>
        <w:footnoteReference w:id="561"/>
      </w:r>
      <w:r w:rsidRPr="007C6A42">
        <w:rPr>
          <w:rFonts w:asciiTheme="majorBidi" w:eastAsia="Times New Roman" w:hAnsiTheme="majorBidi" w:cstheme="majorBidi"/>
        </w:rPr>
        <w:t xml:space="preserve"> Savary, Hamidullah, Berque, Abdelaziz et Chebel ont imité l’usage arabe. Les treize autres traducteurs ont perdu cette mise en valeur.</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564469B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4647A01" w14:textId="77777777" w:rsidR="00A70B78" w:rsidRPr="007C6A42" w:rsidRDefault="00A70B78" w:rsidP="00AF4FC9">
            <w:pPr>
              <w:spacing w:line="360" w:lineRule="auto"/>
              <w:jc w:val="both"/>
              <w:rPr>
                <w:rFonts w:asciiTheme="majorBidi" w:eastAsia="Times New Roman" w:hAnsiTheme="majorBidi" w:cstheme="majorBidi"/>
              </w:rPr>
            </w:pPr>
          </w:p>
        </w:tc>
        <w:tc>
          <w:tcPr>
            <w:tcW w:w="4580" w:type="dxa"/>
            <w:tcBorders>
              <w:top w:val="single" w:sz="4" w:space="0" w:color="auto"/>
              <w:left w:val="single" w:sz="4" w:space="0" w:color="auto"/>
              <w:bottom w:val="single" w:sz="4" w:space="0" w:color="auto"/>
              <w:right w:val="single" w:sz="4" w:space="0" w:color="auto"/>
            </w:tcBorders>
          </w:tcPr>
          <w:p w14:paraId="2DA962EA" w14:textId="77777777" w:rsidR="00A70B78" w:rsidRPr="007C6A42" w:rsidRDefault="00A70B78" w:rsidP="00AF4FC9">
            <w:pPr>
              <w:bidi/>
              <w:rPr>
                <w:rFonts w:asciiTheme="majorBidi" w:eastAsia="Times New Roman" w:hAnsiTheme="majorBidi" w:cstheme="majorBidi"/>
                <w:rtl/>
              </w:rPr>
            </w:pPr>
            <w:r w:rsidRPr="007C6A42">
              <w:rPr>
                <w:rFonts w:asciiTheme="majorBidi" w:eastAsia="Times New Roman" w:hAnsiTheme="majorBidi" w:cstheme="majorBidi"/>
                <w:shd w:val="clear" w:color="auto" w:fill="FFFFFF"/>
                <w:rtl/>
              </w:rPr>
              <w:t>والْبُدْنَ جَعلناها لكم من شعائر الله (الحج، ٣٦)</w:t>
            </w:r>
          </w:p>
        </w:tc>
      </w:tr>
      <w:tr w:rsidR="00A70B78" w:rsidRPr="007C6A42" w14:paraId="0E3EF27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998B95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130A53D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auons créé la femelle du chameau pour ʃigne de noʃtre vnité</w:t>
            </w:r>
          </w:p>
        </w:tc>
      </w:tr>
      <w:tr w:rsidR="00A70B78" w:rsidRPr="007C6A42" w14:paraId="29D9998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FE7874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103DB1C5"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Les chameaux doivent entrer dans </w:t>
            </w:r>
            <w:r w:rsidRPr="007C6A42">
              <w:rPr>
                <w:rFonts w:asciiTheme="majorBidi" w:eastAsia="Times New Roman" w:hAnsiTheme="majorBidi" w:cstheme="majorBidi"/>
              </w:rPr>
              <w:lastRenderedPageBreak/>
              <w:t>l’hommage que vous rendez au Très-Haut.</w:t>
            </w:r>
          </w:p>
        </w:tc>
      </w:tr>
      <w:tr w:rsidR="00A70B78" w:rsidRPr="007C6A42" w14:paraId="70B7E68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BE3840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Kaz. (1840)</w:t>
            </w:r>
          </w:p>
        </w:tc>
        <w:tc>
          <w:tcPr>
            <w:tcW w:w="4580" w:type="dxa"/>
            <w:tcBorders>
              <w:top w:val="single" w:sz="4" w:space="0" w:color="auto"/>
              <w:left w:val="single" w:sz="4" w:space="0" w:color="auto"/>
              <w:bottom w:val="single" w:sz="4" w:space="0" w:color="auto"/>
              <w:right w:val="single" w:sz="4" w:space="0" w:color="auto"/>
            </w:tcBorders>
          </w:tcPr>
          <w:p w14:paraId="024D7616"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Nous avons destiné les chameaux pour servir aux rites des sacrifices</w:t>
            </w:r>
          </w:p>
        </w:tc>
      </w:tr>
      <w:tr w:rsidR="00A70B78" w:rsidRPr="007C6A42" w14:paraId="6B36AFC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A13E69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48832BD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Pour vous, Nous avons placé les animaux sacrifiés, parmi les choses sacrées d’Allah.</w:t>
            </w:r>
          </w:p>
        </w:tc>
      </w:tr>
      <w:tr w:rsidR="00A70B78" w:rsidRPr="007C6A42" w14:paraId="60C521C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C022DC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6AA1EB1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destiné les chameaux pour faire partie des offrandes de Dieu</w:t>
            </w:r>
          </w:p>
        </w:tc>
      </w:tr>
      <w:tr w:rsidR="00A70B78" w:rsidRPr="007C6A42" w14:paraId="36DD948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5AEC21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1C59AA0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Et quant aux bêtes de sacrifice, Nous vous les avons désignées comme des emblèmes de Dieu.</w:t>
            </w:r>
          </w:p>
        </w:tc>
      </w:tr>
      <w:tr w:rsidR="00A70B78" w:rsidRPr="007C6A42" w14:paraId="486A94B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D98F1A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1F7AE33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compté les chameaux destinés au sacrifice parmi les choses sacrées.</w:t>
            </w:r>
          </w:p>
        </w:tc>
      </w:tr>
      <w:tr w:rsidR="00A70B78" w:rsidRPr="007C6A42" w14:paraId="55E350D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BD7CFA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614602B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placé les animaux sacrifiés au nombre des choses sacrées de Dieu.</w:t>
            </w:r>
          </w:p>
        </w:tc>
      </w:tr>
      <w:tr w:rsidR="00A70B78" w:rsidRPr="007C6A42" w14:paraId="50E7172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CA23070"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4528FFB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mettons les bêtes d’offrande parmi les sacrements de Dieu.</w:t>
            </w:r>
          </w:p>
        </w:tc>
      </w:tr>
      <w:tr w:rsidR="00A70B78" w:rsidRPr="007C6A42" w14:paraId="59FD964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C70F15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23E66D5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Nous vous donnons du bétail adipeux, pour les rites d’Allah</w:t>
            </w:r>
          </w:p>
        </w:tc>
      </w:tr>
      <w:tr w:rsidR="00A70B78" w:rsidRPr="007C6A42" w14:paraId="7D27CFED"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707BA67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52AE20A9"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De (chamelles) ventrues Nous vous prescrivons (l’immolation) au titre d’observance de Dieu</w:t>
            </w:r>
          </w:p>
        </w:tc>
      </w:tr>
      <w:tr w:rsidR="00A70B78" w:rsidRPr="007C6A42" w14:paraId="0213FD9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B60C3C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4A44E13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A votre intention, </w:t>
            </w:r>
            <w:r w:rsidRPr="007C6A42">
              <w:rPr>
                <w:rFonts w:asciiTheme="majorBidi" w:hAnsiTheme="majorBidi" w:cstheme="majorBidi"/>
                <w:b/>
              </w:rPr>
              <w:t xml:space="preserve">Nous </w:t>
            </w:r>
            <w:r w:rsidRPr="007C6A42">
              <w:rPr>
                <w:rFonts w:asciiTheme="majorBidi" w:hAnsiTheme="majorBidi" w:cstheme="majorBidi"/>
              </w:rPr>
              <w:t>avons placé des animaux sacrifiés</w:t>
            </w:r>
          </w:p>
          <w:p w14:paraId="4F8024E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Parmi les emblèmes divins sacrés</w:t>
            </w:r>
          </w:p>
        </w:tc>
      </w:tr>
      <w:tr w:rsidR="00A70B78" w:rsidRPr="007C6A42" w14:paraId="462B4CB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3F5787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0B1BD79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désigné, à votre intention, les chameaux pour servir dans les rites sacrificiels.</w:t>
            </w:r>
          </w:p>
        </w:tc>
      </w:tr>
      <w:tr w:rsidR="00A70B78" w:rsidRPr="007C6A42" w14:paraId="2CEC977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62C03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618B0285"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vous avons désigné les chameaux (et les vaches) bien portants pour certains rites établis par Allah.</w:t>
            </w:r>
          </w:p>
        </w:tc>
      </w:tr>
      <w:tr w:rsidR="00A70B78" w:rsidRPr="007C6A42" w14:paraId="4C1BFFF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B7A657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Abdel. (2002)</w:t>
            </w:r>
          </w:p>
        </w:tc>
        <w:tc>
          <w:tcPr>
            <w:tcW w:w="4580" w:type="dxa"/>
            <w:tcBorders>
              <w:top w:val="single" w:sz="4" w:space="0" w:color="auto"/>
              <w:left w:val="single" w:sz="4" w:space="0" w:color="auto"/>
              <w:bottom w:val="single" w:sz="4" w:space="0" w:color="auto"/>
              <w:right w:val="single" w:sz="4" w:space="0" w:color="auto"/>
            </w:tcBorders>
          </w:tcPr>
          <w:p w14:paraId="7193BF3A"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Et les chameaux, Nous les Prescrivîmes comme rites d’Allah</w:t>
            </w:r>
          </w:p>
        </w:tc>
      </w:tr>
      <w:tr w:rsidR="00A70B78" w:rsidRPr="007C6A42" w14:paraId="42796A0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937962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14880D7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Nous vous avons fait les animaux de chair pour certains rituels</w:t>
            </w:r>
          </w:p>
        </w:tc>
      </w:tr>
      <w:tr w:rsidR="00A70B78" w:rsidRPr="007C6A42" w14:paraId="7070793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6E508D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5B914E2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Les animaux ventrus que Nous vous avons destinés en vue d’être sacrifiés au nom d’Allah constituent un bien pour vous.</w:t>
            </w:r>
          </w:p>
        </w:tc>
      </w:tr>
      <w:tr w:rsidR="00A70B78" w:rsidRPr="007C6A42" w14:paraId="37B535E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5E762F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38CD515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Nous avons destiné les chameaux de belle prestance pour servir aux rites de Dieu</w:t>
            </w:r>
          </w:p>
        </w:tc>
      </w:tr>
    </w:tbl>
    <w:p w14:paraId="3DE13EC6" w14:textId="77777777" w:rsidR="00A70B78" w:rsidRPr="007C6A42" w:rsidRDefault="00A70B78" w:rsidP="00A70B78">
      <w:pPr>
        <w:spacing w:line="360" w:lineRule="auto"/>
        <w:jc w:val="both"/>
        <w:rPr>
          <w:rFonts w:asciiTheme="majorBidi" w:eastAsia="Times New Roman" w:hAnsiTheme="majorBidi" w:cstheme="majorBidi"/>
          <w:lang w:bidi="ar-EG"/>
        </w:rPr>
      </w:pPr>
    </w:p>
    <w:p w14:paraId="05320EB2" w14:textId="77777777" w:rsidR="00A70B78" w:rsidRPr="007C6A42" w:rsidRDefault="00A70B78" w:rsidP="00A70B78">
      <w:pPr>
        <w:spacing w:line="360" w:lineRule="auto"/>
        <w:jc w:val="both"/>
        <w:rPr>
          <w:rFonts w:asciiTheme="majorBidi" w:eastAsia="Times New Roman" w:hAnsiTheme="majorBidi" w:cstheme="majorBidi"/>
          <w:lang w:bidi="ar-EG"/>
        </w:rPr>
      </w:pPr>
    </w:p>
    <w:p w14:paraId="6C6A7131" w14:textId="2885B703" w:rsidR="00A70B78" w:rsidRPr="007C4445" w:rsidRDefault="004052A2" w:rsidP="007C4445">
      <w:pPr>
        <w:spacing w:line="360" w:lineRule="auto"/>
        <w:contextualSpacing/>
        <w:rPr>
          <w:rFonts w:asciiTheme="majorBidi" w:eastAsia="Times New Roman" w:hAnsiTheme="majorBidi" w:cstheme="majorBidi"/>
          <w:b/>
          <w:bCs/>
        </w:rPr>
      </w:pPr>
      <w:r>
        <w:rPr>
          <w:rFonts w:asciiTheme="majorBidi" w:eastAsia="Times New Roman" w:hAnsiTheme="majorBidi" w:cstheme="majorBidi"/>
          <w:b/>
          <w:bCs/>
        </w:rPr>
        <w:t xml:space="preserve">10.7. </w:t>
      </w:r>
      <w:r w:rsidR="00A70B78" w:rsidRPr="007C4445">
        <w:rPr>
          <w:rFonts w:asciiTheme="majorBidi" w:eastAsia="Times New Roman" w:hAnsiTheme="majorBidi" w:cstheme="majorBidi"/>
          <w:b/>
          <w:bCs/>
        </w:rPr>
        <w:t xml:space="preserve">Traduction de </w:t>
      </w:r>
      <w:r w:rsidR="007C4445" w:rsidRPr="007C4445">
        <w:rPr>
          <w:rFonts w:asciiTheme="majorBidi" w:hAnsiTheme="majorBidi" w:cstheme="majorBidi"/>
          <w:b/>
          <w:bCs/>
        </w:rPr>
        <w:t>l’omission et de la ponctuation :</w:t>
      </w:r>
    </w:p>
    <w:p w14:paraId="4A855D49" w14:textId="77777777" w:rsidR="00A70B78" w:rsidRPr="007C6A42" w:rsidRDefault="00A70B78" w:rsidP="00A70B78">
      <w:pPr>
        <w:spacing w:line="360" w:lineRule="auto"/>
        <w:contextualSpacing/>
        <w:jc w:val="both"/>
        <w:outlineLvl w:val="0"/>
        <w:rPr>
          <w:rFonts w:asciiTheme="majorBidi" w:eastAsia="Times New Roman" w:hAnsiTheme="majorBidi" w:cstheme="majorBidi"/>
        </w:rPr>
      </w:pPr>
      <w:r w:rsidRPr="007C6A42">
        <w:rPr>
          <w:rFonts w:asciiTheme="majorBidi" w:eastAsia="Times New Roman" w:hAnsiTheme="majorBidi" w:cstheme="majorBidi"/>
          <w:b/>
          <w:bCs/>
        </w:rPr>
        <w:t>Comment on a traduit l’ajout et l’omission dans le verset 22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568CFCEB" w14:textId="77777777" w:rsidTr="00AF4FC9">
        <w:tc>
          <w:tcPr>
            <w:tcW w:w="10916" w:type="dxa"/>
            <w:gridSpan w:val="2"/>
            <w:tcBorders>
              <w:top w:val="nil"/>
              <w:left w:val="single" w:sz="4" w:space="0" w:color="auto"/>
              <w:bottom w:val="single" w:sz="4" w:space="0" w:color="auto"/>
              <w:right w:val="single" w:sz="4" w:space="0" w:color="auto"/>
            </w:tcBorders>
          </w:tcPr>
          <w:p w14:paraId="7958965A" w14:textId="77777777" w:rsidR="00A70B78" w:rsidRPr="007C6A42" w:rsidRDefault="00A70B78" w:rsidP="00AF4FC9">
            <w:pPr>
              <w:bidi/>
              <w:spacing w:line="360" w:lineRule="auto"/>
              <w:ind w:firstLine="708"/>
              <w:jc w:val="center"/>
              <w:rPr>
                <w:rFonts w:asciiTheme="majorBidi" w:eastAsia="Times New Roman" w:hAnsiTheme="majorBidi" w:cstheme="majorBidi"/>
                <w:lang w:bidi="ar-KW"/>
              </w:rPr>
            </w:pPr>
            <w:r w:rsidRPr="007C6A42">
              <w:rPr>
                <w:rFonts w:asciiTheme="majorBidi" w:eastAsia="Calibri" w:hAnsiTheme="majorBidi" w:cstheme="majorBidi"/>
                <w:rtl/>
                <w:lang w:bidi="ar-AE"/>
              </w:rPr>
              <w:t>"كُلَّما أرادوا أنْ يَخرجوا منها منْ غَمٍّ أُعيدوا فيها و[</w:t>
            </w:r>
            <w:r w:rsidRPr="007C6A42">
              <w:rPr>
                <w:rFonts w:asciiTheme="majorBidi" w:eastAsia="Calibri" w:hAnsiTheme="majorBidi" w:cstheme="majorBidi"/>
                <w:lang w:bidi="ar-AE"/>
              </w:rPr>
              <w:t>ø</w:t>
            </w:r>
            <w:r w:rsidRPr="007C6A42">
              <w:rPr>
                <w:rFonts w:asciiTheme="majorBidi" w:eastAsia="Calibri" w:hAnsiTheme="majorBidi" w:cstheme="majorBidi"/>
                <w:rtl/>
                <w:lang w:bidi="ar-AE"/>
              </w:rPr>
              <w:t>] ذوقوا عذابَ الحريق"</w:t>
            </w:r>
            <w:r w:rsidRPr="007C6A42">
              <w:rPr>
                <w:rFonts w:asciiTheme="majorBidi" w:eastAsia="Calibri" w:hAnsiTheme="majorBidi" w:cstheme="majorBidi"/>
                <w:rtl/>
              </w:rPr>
              <w:t xml:space="preserve"> (الحج، 22)</w:t>
            </w:r>
          </w:p>
        </w:tc>
      </w:tr>
      <w:tr w:rsidR="00A70B78" w:rsidRPr="007C6A42" w14:paraId="741D1B7F" w14:textId="77777777" w:rsidTr="00AF4FC9">
        <w:tc>
          <w:tcPr>
            <w:tcW w:w="851" w:type="dxa"/>
            <w:tcBorders>
              <w:top w:val="single" w:sz="4" w:space="0" w:color="auto"/>
              <w:left w:val="single" w:sz="4" w:space="0" w:color="auto"/>
              <w:bottom w:val="single" w:sz="4" w:space="0" w:color="auto"/>
              <w:right w:val="single" w:sz="4" w:space="0" w:color="auto"/>
            </w:tcBorders>
          </w:tcPr>
          <w:p w14:paraId="79CFB7E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10065" w:type="dxa"/>
            <w:tcBorders>
              <w:top w:val="single" w:sz="4" w:space="0" w:color="auto"/>
              <w:left w:val="single" w:sz="4" w:space="0" w:color="auto"/>
              <w:bottom w:val="single" w:sz="4" w:space="0" w:color="auto"/>
              <w:right w:val="single" w:sz="4" w:space="0" w:color="auto"/>
            </w:tcBorders>
          </w:tcPr>
          <w:p w14:paraId="30CE444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lorsqu’ils penʃeront ʃortir de ce braʃier […] ils y rentreront plus auant &amp; [</w:t>
            </w:r>
            <w:r w:rsidRPr="007C6A42">
              <w:rPr>
                <w:rFonts w:asciiTheme="majorBidi" w:eastAsia="Calibri" w:hAnsiTheme="majorBidi" w:cstheme="majorBidi"/>
                <w:lang w:bidi="ar-AE"/>
              </w:rPr>
              <w:t>ø</w:t>
            </w:r>
            <w:r w:rsidRPr="007C6A42">
              <w:rPr>
                <w:rFonts w:asciiTheme="majorBidi" w:eastAsia="Times New Roman" w:hAnsiTheme="majorBidi" w:cstheme="majorBidi"/>
              </w:rPr>
              <w:t>] ʃeront eternellement tourmentez.</w:t>
            </w:r>
          </w:p>
        </w:tc>
      </w:tr>
      <w:tr w:rsidR="00A70B78" w:rsidRPr="007C6A42" w14:paraId="5F8B92D6" w14:textId="77777777" w:rsidTr="00AF4FC9">
        <w:tc>
          <w:tcPr>
            <w:tcW w:w="851" w:type="dxa"/>
            <w:tcBorders>
              <w:top w:val="single" w:sz="4" w:space="0" w:color="auto"/>
              <w:left w:val="single" w:sz="4" w:space="0" w:color="auto"/>
              <w:bottom w:val="single" w:sz="4" w:space="0" w:color="auto"/>
              <w:right w:val="single" w:sz="4" w:space="0" w:color="auto"/>
            </w:tcBorders>
          </w:tcPr>
          <w:p w14:paraId="1BB4C59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10065" w:type="dxa"/>
            <w:tcBorders>
              <w:top w:val="single" w:sz="4" w:space="0" w:color="auto"/>
              <w:left w:val="single" w:sz="4" w:space="0" w:color="auto"/>
              <w:bottom w:val="single" w:sz="4" w:space="0" w:color="auto"/>
              <w:right w:val="single" w:sz="4" w:space="0" w:color="auto"/>
            </w:tcBorders>
          </w:tcPr>
          <w:p w14:paraId="010CB515"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Toutes les fois que la douleur les fera s’élancer des flammes […], ils y seront replongés, et on leur dira : Goûtez la peine du feu.</w:t>
            </w:r>
          </w:p>
        </w:tc>
      </w:tr>
      <w:tr w:rsidR="00A70B78" w:rsidRPr="007C6A42" w14:paraId="4E5ABEAC" w14:textId="77777777" w:rsidTr="00AF4FC9">
        <w:tc>
          <w:tcPr>
            <w:tcW w:w="851" w:type="dxa"/>
            <w:tcBorders>
              <w:top w:val="single" w:sz="4" w:space="0" w:color="auto"/>
              <w:left w:val="single" w:sz="4" w:space="0" w:color="auto"/>
              <w:bottom w:val="single" w:sz="4" w:space="0" w:color="auto"/>
              <w:right w:val="single" w:sz="4" w:space="0" w:color="auto"/>
            </w:tcBorders>
          </w:tcPr>
          <w:p w14:paraId="088CFC0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10065" w:type="dxa"/>
            <w:tcBorders>
              <w:top w:val="single" w:sz="4" w:space="0" w:color="auto"/>
              <w:left w:val="single" w:sz="4" w:space="0" w:color="auto"/>
              <w:bottom w:val="single" w:sz="4" w:space="0" w:color="auto"/>
              <w:right w:val="single" w:sz="4" w:space="0" w:color="auto"/>
            </w:tcBorders>
          </w:tcPr>
          <w:p w14:paraId="23AD6725"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Toutes les fois que, transis de douleur, ils voudront s'en évader, on les y fera rentrer et on leur criera : Subissez le supplice du feu.</w:t>
            </w:r>
          </w:p>
        </w:tc>
      </w:tr>
      <w:tr w:rsidR="00A70B78" w:rsidRPr="007C6A42" w14:paraId="54F5ED5B" w14:textId="77777777" w:rsidTr="00AF4FC9">
        <w:tc>
          <w:tcPr>
            <w:tcW w:w="851" w:type="dxa"/>
            <w:tcBorders>
              <w:top w:val="single" w:sz="4" w:space="0" w:color="auto"/>
              <w:left w:val="single" w:sz="4" w:space="0" w:color="auto"/>
              <w:bottom w:val="single" w:sz="4" w:space="0" w:color="auto"/>
              <w:right w:val="single" w:sz="4" w:space="0" w:color="auto"/>
            </w:tcBorders>
          </w:tcPr>
          <w:p w14:paraId="0A51AA3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10065" w:type="dxa"/>
            <w:tcBorders>
              <w:top w:val="single" w:sz="4" w:space="0" w:color="auto"/>
              <w:left w:val="single" w:sz="4" w:space="0" w:color="auto"/>
              <w:bottom w:val="single" w:sz="4" w:space="0" w:color="auto"/>
              <w:right w:val="single" w:sz="4" w:space="0" w:color="auto"/>
            </w:tcBorders>
          </w:tcPr>
          <w:p w14:paraId="79FC091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chaque fois que, de chagrin, ils voudront sortir de ce Feu, ils y seront ramenés [et il leur sera crié] : « Goûtez le tourment de la Calcination ! »</w:t>
            </w:r>
          </w:p>
        </w:tc>
      </w:tr>
      <w:tr w:rsidR="00A70B78" w:rsidRPr="007C6A42" w14:paraId="238DE4DF" w14:textId="77777777" w:rsidTr="00AF4FC9">
        <w:tc>
          <w:tcPr>
            <w:tcW w:w="851" w:type="dxa"/>
            <w:tcBorders>
              <w:top w:val="single" w:sz="4" w:space="0" w:color="auto"/>
              <w:left w:val="single" w:sz="4" w:space="0" w:color="auto"/>
              <w:bottom w:val="single" w:sz="4" w:space="0" w:color="auto"/>
              <w:right w:val="single" w:sz="4" w:space="0" w:color="auto"/>
            </w:tcBorders>
          </w:tcPr>
          <w:p w14:paraId="799F9DD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10065" w:type="dxa"/>
            <w:tcBorders>
              <w:top w:val="single" w:sz="4" w:space="0" w:color="auto"/>
              <w:left w:val="single" w:sz="4" w:space="0" w:color="auto"/>
              <w:bottom w:val="single" w:sz="4" w:space="0" w:color="auto"/>
              <w:right w:val="single" w:sz="4" w:space="0" w:color="auto"/>
            </w:tcBorders>
          </w:tcPr>
          <w:p w14:paraId="7B771C8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toutes les fois que, de chagrin, ils voudront en sortir, on les y remettra et [</w:t>
            </w:r>
            <w:r w:rsidRPr="007C6A42">
              <w:rPr>
                <w:rFonts w:asciiTheme="majorBidi" w:eastAsia="Calibri" w:hAnsiTheme="majorBidi" w:cstheme="majorBidi"/>
                <w:lang w:bidi="ar-AE"/>
              </w:rPr>
              <w:t>ø</w:t>
            </w:r>
            <w:r w:rsidRPr="007C6A42">
              <w:rPr>
                <w:rFonts w:asciiTheme="majorBidi" w:eastAsia="Times New Roman" w:hAnsiTheme="majorBidi" w:cstheme="majorBidi"/>
              </w:rPr>
              <w:t>] : « Goûtez au châtiment de l’Enfer-Harîc »</w:t>
            </w:r>
          </w:p>
        </w:tc>
      </w:tr>
      <w:tr w:rsidR="00A70B78" w:rsidRPr="007C6A42" w14:paraId="5920C0E8" w14:textId="77777777" w:rsidTr="00AF4FC9">
        <w:tc>
          <w:tcPr>
            <w:tcW w:w="851" w:type="dxa"/>
            <w:tcBorders>
              <w:top w:val="single" w:sz="4" w:space="0" w:color="auto"/>
              <w:left w:val="single" w:sz="4" w:space="0" w:color="auto"/>
              <w:bottom w:val="single" w:sz="4" w:space="0" w:color="auto"/>
              <w:right w:val="single" w:sz="4" w:space="0" w:color="auto"/>
            </w:tcBorders>
          </w:tcPr>
          <w:p w14:paraId="15920EA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10065" w:type="dxa"/>
            <w:tcBorders>
              <w:top w:val="single" w:sz="4" w:space="0" w:color="auto"/>
              <w:left w:val="single" w:sz="4" w:space="0" w:color="auto"/>
              <w:bottom w:val="single" w:sz="4" w:space="0" w:color="auto"/>
              <w:right w:val="single" w:sz="4" w:space="0" w:color="auto"/>
            </w:tcBorders>
          </w:tcPr>
          <w:p w14:paraId="1F49467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Chaque fois que, poussés par la souffrance, ils voudront sortir de là, ils y seront ramenés [</w:t>
            </w:r>
            <w:r w:rsidRPr="007C6A42">
              <w:rPr>
                <w:rFonts w:asciiTheme="majorBidi" w:eastAsia="Calibri" w:hAnsiTheme="majorBidi" w:cstheme="majorBidi"/>
                <w:lang w:bidi="ar-AE"/>
              </w:rPr>
              <w:t>ø</w:t>
            </w:r>
            <w:r w:rsidRPr="007C6A42">
              <w:rPr>
                <w:rFonts w:asciiTheme="majorBidi" w:eastAsia="Times New Roman" w:hAnsiTheme="majorBidi" w:cstheme="majorBidi"/>
              </w:rPr>
              <w:t>] : « Goûtez le châtiment du feu. »</w:t>
            </w:r>
          </w:p>
        </w:tc>
      </w:tr>
      <w:tr w:rsidR="00A70B78" w:rsidRPr="007C6A42" w14:paraId="67B5838C" w14:textId="77777777" w:rsidTr="00AF4FC9">
        <w:tc>
          <w:tcPr>
            <w:tcW w:w="851" w:type="dxa"/>
            <w:tcBorders>
              <w:top w:val="single" w:sz="4" w:space="0" w:color="auto"/>
              <w:left w:val="single" w:sz="4" w:space="0" w:color="auto"/>
              <w:bottom w:val="single" w:sz="4" w:space="0" w:color="auto"/>
              <w:right w:val="single" w:sz="4" w:space="0" w:color="auto"/>
            </w:tcBorders>
          </w:tcPr>
          <w:p w14:paraId="58956C4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10065" w:type="dxa"/>
            <w:tcBorders>
              <w:top w:val="single" w:sz="4" w:space="0" w:color="auto"/>
              <w:left w:val="single" w:sz="4" w:space="0" w:color="auto"/>
              <w:bottom w:val="single" w:sz="4" w:space="0" w:color="auto"/>
              <w:right w:val="single" w:sz="4" w:space="0" w:color="auto"/>
            </w:tcBorders>
          </w:tcPr>
          <w:p w14:paraId="7767E47D"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chaque fois qu’ils voudront s’échapper en suffoquant, ils seront ramenés là [</w:t>
            </w:r>
            <w:r w:rsidRPr="007C6A42">
              <w:rPr>
                <w:rFonts w:asciiTheme="majorBidi" w:eastAsia="Calibri" w:hAnsiTheme="majorBidi" w:cstheme="majorBidi"/>
                <w:lang w:bidi="ar-AE"/>
              </w:rPr>
              <w:t>ø</w:t>
            </w:r>
            <w:r w:rsidRPr="007C6A42">
              <w:rPr>
                <w:rFonts w:asciiTheme="majorBidi" w:eastAsia="Times New Roman" w:hAnsiTheme="majorBidi" w:cstheme="majorBidi"/>
              </w:rPr>
              <w:t>] : « Goûtez le supplice de la Calcination. »</w:t>
            </w:r>
          </w:p>
        </w:tc>
      </w:tr>
      <w:tr w:rsidR="00A70B78" w:rsidRPr="007C6A42" w14:paraId="38E114CE" w14:textId="77777777" w:rsidTr="00AF4FC9">
        <w:tc>
          <w:tcPr>
            <w:tcW w:w="851" w:type="dxa"/>
            <w:tcBorders>
              <w:top w:val="single" w:sz="4" w:space="0" w:color="auto"/>
              <w:left w:val="single" w:sz="4" w:space="0" w:color="auto"/>
              <w:bottom w:val="single" w:sz="4" w:space="0" w:color="auto"/>
              <w:right w:val="single" w:sz="4" w:space="0" w:color="auto"/>
            </w:tcBorders>
          </w:tcPr>
          <w:p w14:paraId="398480A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10065" w:type="dxa"/>
            <w:tcBorders>
              <w:top w:val="single" w:sz="4" w:space="0" w:color="auto"/>
              <w:left w:val="single" w:sz="4" w:space="0" w:color="auto"/>
              <w:bottom w:val="single" w:sz="4" w:space="0" w:color="auto"/>
              <w:right w:val="single" w:sz="4" w:space="0" w:color="auto"/>
            </w:tcBorders>
          </w:tcPr>
          <w:p w14:paraId="2B495F7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Toutes les fois que, transis de douleur, ils voudront s’en évader, on les y fera rentrer et on leur criera : Goûtez le supplice de la brûlure.</w:t>
            </w:r>
          </w:p>
        </w:tc>
      </w:tr>
      <w:tr w:rsidR="00A70B78" w:rsidRPr="007C6A42" w14:paraId="328E4B86" w14:textId="77777777" w:rsidTr="00AF4FC9">
        <w:tc>
          <w:tcPr>
            <w:tcW w:w="851" w:type="dxa"/>
            <w:tcBorders>
              <w:top w:val="single" w:sz="4" w:space="0" w:color="auto"/>
              <w:left w:val="single" w:sz="4" w:space="0" w:color="auto"/>
              <w:bottom w:val="single" w:sz="4" w:space="0" w:color="auto"/>
              <w:right w:val="single" w:sz="4" w:space="0" w:color="auto"/>
            </w:tcBorders>
          </w:tcPr>
          <w:p w14:paraId="2DE7E6D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Méd.</w:t>
            </w:r>
          </w:p>
        </w:tc>
        <w:tc>
          <w:tcPr>
            <w:tcW w:w="10065" w:type="dxa"/>
            <w:tcBorders>
              <w:top w:val="single" w:sz="4" w:space="0" w:color="auto"/>
              <w:left w:val="single" w:sz="4" w:space="0" w:color="auto"/>
              <w:bottom w:val="single" w:sz="4" w:space="0" w:color="auto"/>
              <w:right w:val="single" w:sz="4" w:space="0" w:color="auto"/>
            </w:tcBorders>
          </w:tcPr>
          <w:p w14:paraId="3490D02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Toutes les fois qu’ils voudront en sortir (pour échapper) à la détresse, on les y remettra et (on leur dira) : “Goûtez au châtiment de la Fournaise”.</w:t>
            </w:r>
          </w:p>
        </w:tc>
      </w:tr>
      <w:tr w:rsidR="00A70B78" w:rsidRPr="007C6A42" w14:paraId="1907DF65" w14:textId="77777777" w:rsidTr="00AF4FC9">
        <w:tc>
          <w:tcPr>
            <w:tcW w:w="851" w:type="dxa"/>
            <w:tcBorders>
              <w:top w:val="single" w:sz="4" w:space="0" w:color="auto"/>
              <w:left w:val="single" w:sz="4" w:space="0" w:color="auto"/>
              <w:bottom w:val="single" w:sz="4" w:space="0" w:color="auto"/>
              <w:right w:val="single" w:sz="4" w:space="0" w:color="auto"/>
            </w:tcBorders>
          </w:tcPr>
          <w:p w14:paraId="17F427F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10065" w:type="dxa"/>
            <w:tcBorders>
              <w:top w:val="single" w:sz="4" w:space="0" w:color="auto"/>
              <w:left w:val="single" w:sz="4" w:space="0" w:color="auto"/>
              <w:bottom w:val="single" w:sz="4" w:space="0" w:color="auto"/>
              <w:right w:val="single" w:sz="4" w:space="0" w:color="auto"/>
            </w:tcBorders>
          </w:tcPr>
          <w:p w14:paraId="0CAE6290"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chaque fois que de chagrin ils en veulent sortir, ils y sont ramenés </w:t>
            </w: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 :</w:t>
            </w:r>
            <w:r w:rsidRPr="007C6A42">
              <w:rPr>
                <w:rFonts w:asciiTheme="majorBidi" w:eastAsia="Calibri" w:hAnsiTheme="majorBidi" w:cstheme="majorBidi"/>
                <w:lang w:bidi="ar-AE"/>
              </w:rPr>
              <w:t xml:space="preserve"> "Savourez le tourment du feu dévorant".</w:t>
            </w:r>
          </w:p>
        </w:tc>
      </w:tr>
      <w:tr w:rsidR="00A70B78" w:rsidRPr="007C6A42" w14:paraId="75C0FECD" w14:textId="77777777" w:rsidTr="00AF4FC9">
        <w:tc>
          <w:tcPr>
            <w:tcW w:w="851" w:type="dxa"/>
            <w:tcBorders>
              <w:top w:val="single" w:sz="4" w:space="0" w:color="auto"/>
              <w:left w:val="single" w:sz="4" w:space="0" w:color="auto"/>
              <w:bottom w:val="single" w:sz="4" w:space="0" w:color="auto"/>
              <w:right w:val="single" w:sz="4" w:space="0" w:color="auto"/>
            </w:tcBorders>
          </w:tcPr>
          <w:p w14:paraId="5E11D831"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10065" w:type="dxa"/>
            <w:tcBorders>
              <w:top w:val="single" w:sz="4" w:space="0" w:color="auto"/>
              <w:left w:val="single" w:sz="4" w:space="0" w:color="auto"/>
              <w:bottom w:val="single" w:sz="4" w:space="0" w:color="auto"/>
              <w:right w:val="single" w:sz="4" w:space="0" w:color="auto"/>
            </w:tcBorders>
          </w:tcPr>
          <w:p w14:paraId="6D9FB9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Toutes les fois que de douleur, ils voudront s’en échapper</w:t>
            </w:r>
          </w:p>
          <w:p w14:paraId="23AE6E0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Ils y seront ramenés [</w:t>
            </w:r>
            <w:r w:rsidRPr="007C6A42">
              <w:rPr>
                <w:rFonts w:asciiTheme="majorBidi" w:eastAsia="Calibri" w:hAnsiTheme="majorBidi" w:cstheme="majorBidi"/>
                <w:lang w:bidi="ar-AE"/>
              </w:rPr>
              <w:t>ø</w:t>
            </w:r>
            <w:r w:rsidRPr="007C6A42">
              <w:rPr>
                <w:rFonts w:asciiTheme="majorBidi" w:eastAsia="Times New Roman" w:hAnsiTheme="majorBidi" w:cstheme="majorBidi"/>
              </w:rPr>
              <w:t>] : "Goûtez le supplice du feu et subissez !"</w:t>
            </w:r>
          </w:p>
        </w:tc>
      </w:tr>
      <w:tr w:rsidR="00A70B78" w:rsidRPr="007C6A42" w14:paraId="33532B2E" w14:textId="77777777" w:rsidTr="00AF4FC9">
        <w:tc>
          <w:tcPr>
            <w:tcW w:w="851" w:type="dxa"/>
            <w:tcBorders>
              <w:top w:val="single" w:sz="4" w:space="0" w:color="auto"/>
              <w:left w:val="single" w:sz="4" w:space="0" w:color="auto"/>
              <w:bottom w:val="single" w:sz="4" w:space="0" w:color="auto"/>
              <w:right w:val="single" w:sz="4" w:space="0" w:color="auto"/>
            </w:tcBorders>
          </w:tcPr>
          <w:p w14:paraId="07FBF80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10065" w:type="dxa"/>
            <w:tcBorders>
              <w:top w:val="single" w:sz="4" w:space="0" w:color="auto"/>
              <w:left w:val="single" w:sz="4" w:space="0" w:color="auto"/>
              <w:bottom w:val="single" w:sz="4" w:space="0" w:color="auto"/>
              <w:right w:val="single" w:sz="4" w:space="0" w:color="auto"/>
            </w:tcBorders>
          </w:tcPr>
          <w:p w14:paraId="6866302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chaque fois qu’ils voudront sortir de l’Enfer pour échapper à la souffrance, ils y seront ramenés [</w:t>
            </w:r>
            <w:r w:rsidRPr="007C6A42">
              <w:rPr>
                <w:rFonts w:asciiTheme="majorBidi" w:eastAsia="Calibri" w:hAnsiTheme="majorBidi" w:cstheme="majorBidi"/>
                <w:lang w:bidi="ar-AE"/>
              </w:rPr>
              <w:t>ø</w:t>
            </w:r>
            <w:r w:rsidRPr="007C6A42">
              <w:rPr>
                <w:rFonts w:asciiTheme="majorBidi" w:eastAsia="Times New Roman" w:hAnsiTheme="majorBidi" w:cstheme="majorBidi"/>
              </w:rPr>
              <w:t>] : « Goûtez au châtiment du Feu ! »</w:t>
            </w:r>
          </w:p>
        </w:tc>
      </w:tr>
      <w:tr w:rsidR="00A70B78" w:rsidRPr="007C6A42" w14:paraId="38F8333B" w14:textId="77777777" w:rsidTr="00AF4FC9">
        <w:tc>
          <w:tcPr>
            <w:tcW w:w="851" w:type="dxa"/>
            <w:tcBorders>
              <w:top w:val="single" w:sz="4" w:space="0" w:color="auto"/>
              <w:left w:val="single" w:sz="4" w:space="0" w:color="auto"/>
              <w:bottom w:val="single" w:sz="4" w:space="0" w:color="auto"/>
              <w:right w:val="single" w:sz="4" w:space="0" w:color="auto"/>
            </w:tcBorders>
          </w:tcPr>
          <w:p w14:paraId="18AC4EB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10065" w:type="dxa"/>
            <w:tcBorders>
              <w:top w:val="single" w:sz="4" w:space="0" w:color="auto"/>
              <w:left w:val="single" w:sz="4" w:space="0" w:color="auto"/>
              <w:bottom w:val="single" w:sz="4" w:space="0" w:color="auto"/>
              <w:right w:val="single" w:sz="4" w:space="0" w:color="auto"/>
            </w:tcBorders>
          </w:tcPr>
          <w:p w14:paraId="2554958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Chaque fois qu’ils voudront en sortir poussés par la souffrance, on les y ramènera [</w:t>
            </w:r>
            <w:r w:rsidRPr="007C6A42">
              <w:rPr>
                <w:rFonts w:asciiTheme="majorBidi" w:eastAsia="Calibri" w:hAnsiTheme="majorBidi" w:cstheme="majorBidi"/>
                <w:lang w:bidi="ar-AE"/>
              </w:rPr>
              <w:t>ø</w:t>
            </w:r>
            <w:r w:rsidRPr="007C6A42">
              <w:rPr>
                <w:rFonts w:asciiTheme="majorBidi" w:eastAsia="Times New Roman" w:hAnsiTheme="majorBidi" w:cstheme="majorBidi"/>
              </w:rPr>
              <w:t>] : Goûtez le tourment de la calcination.</w:t>
            </w:r>
          </w:p>
        </w:tc>
      </w:tr>
      <w:tr w:rsidR="00A70B78" w:rsidRPr="007C6A42" w14:paraId="2D605D11" w14:textId="77777777" w:rsidTr="00AF4FC9">
        <w:tc>
          <w:tcPr>
            <w:tcW w:w="851" w:type="dxa"/>
            <w:tcBorders>
              <w:top w:val="single" w:sz="4" w:space="0" w:color="auto"/>
              <w:left w:val="single" w:sz="4" w:space="0" w:color="auto"/>
              <w:bottom w:val="single" w:sz="4" w:space="0" w:color="auto"/>
              <w:right w:val="single" w:sz="4" w:space="0" w:color="auto"/>
            </w:tcBorders>
          </w:tcPr>
          <w:p w14:paraId="24D22F3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10065" w:type="dxa"/>
            <w:tcBorders>
              <w:top w:val="single" w:sz="4" w:space="0" w:color="auto"/>
              <w:left w:val="single" w:sz="4" w:space="0" w:color="auto"/>
              <w:bottom w:val="single" w:sz="4" w:space="0" w:color="auto"/>
              <w:right w:val="single" w:sz="4" w:space="0" w:color="auto"/>
            </w:tcBorders>
          </w:tcPr>
          <w:p w14:paraId="2E69D6C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toutes les fois que, transis de douleur, ils tenteront de s’en évader, on les y ramènera et on leur dira : « Goûtez donc le supplice de l’Enfer ! »</w:t>
            </w:r>
          </w:p>
        </w:tc>
      </w:tr>
      <w:tr w:rsidR="00A70B78" w:rsidRPr="007C6A42" w14:paraId="228BD622" w14:textId="77777777" w:rsidTr="00AF4FC9">
        <w:tc>
          <w:tcPr>
            <w:tcW w:w="851" w:type="dxa"/>
            <w:tcBorders>
              <w:top w:val="single" w:sz="4" w:space="0" w:color="auto"/>
              <w:left w:val="single" w:sz="4" w:space="0" w:color="auto"/>
              <w:bottom w:val="single" w:sz="4" w:space="0" w:color="auto"/>
              <w:right w:val="single" w:sz="4" w:space="0" w:color="auto"/>
            </w:tcBorders>
          </w:tcPr>
          <w:p w14:paraId="64DF1C6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10065" w:type="dxa"/>
            <w:tcBorders>
              <w:top w:val="single" w:sz="4" w:space="0" w:color="auto"/>
              <w:left w:val="single" w:sz="4" w:space="0" w:color="auto"/>
              <w:bottom w:val="single" w:sz="4" w:space="0" w:color="auto"/>
              <w:right w:val="single" w:sz="4" w:space="0" w:color="auto"/>
            </w:tcBorders>
          </w:tcPr>
          <w:p w14:paraId="5E529E3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Toutes les fois qu’ils voudront sortir de ces lieux de douleur, on les y fera rentrer et [</w:t>
            </w:r>
            <w:r w:rsidRPr="007C6A42">
              <w:rPr>
                <w:rFonts w:asciiTheme="majorBidi" w:eastAsia="Calibri" w:hAnsiTheme="majorBidi" w:cstheme="majorBidi"/>
                <w:lang w:bidi="ar-AE"/>
              </w:rPr>
              <w:t>ø</w:t>
            </w:r>
            <w:r w:rsidRPr="007C6A42">
              <w:rPr>
                <w:rFonts w:asciiTheme="majorBidi" w:eastAsia="Times New Roman" w:hAnsiTheme="majorBidi" w:cstheme="majorBidi"/>
              </w:rPr>
              <w:t xml:space="preserve">] ils purgeront la peine du feu. </w:t>
            </w:r>
          </w:p>
        </w:tc>
      </w:tr>
      <w:tr w:rsidR="00A70B78" w:rsidRPr="007C6A42" w14:paraId="7C289AE8" w14:textId="77777777" w:rsidTr="00AF4FC9">
        <w:tc>
          <w:tcPr>
            <w:tcW w:w="851" w:type="dxa"/>
            <w:tcBorders>
              <w:top w:val="single" w:sz="4" w:space="0" w:color="auto"/>
              <w:left w:val="single" w:sz="4" w:space="0" w:color="auto"/>
              <w:bottom w:val="single" w:sz="4" w:space="0" w:color="auto"/>
              <w:right w:val="single" w:sz="4" w:space="0" w:color="auto"/>
            </w:tcBorders>
          </w:tcPr>
          <w:p w14:paraId="69A2946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10065" w:type="dxa"/>
            <w:tcBorders>
              <w:top w:val="single" w:sz="4" w:space="0" w:color="auto"/>
              <w:left w:val="single" w:sz="4" w:space="0" w:color="auto"/>
              <w:bottom w:val="single" w:sz="4" w:space="0" w:color="auto"/>
              <w:right w:val="single" w:sz="4" w:space="0" w:color="auto"/>
            </w:tcBorders>
          </w:tcPr>
          <w:p w14:paraId="1D23A97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chaque fois qu’ils voudront sortir, au bord de l’évanouissement, ils y sont ramenés, [</w:t>
            </w:r>
            <w:r w:rsidRPr="007C6A42">
              <w:rPr>
                <w:rFonts w:asciiTheme="majorBidi" w:eastAsia="Calibri" w:hAnsiTheme="majorBidi" w:cstheme="majorBidi"/>
                <w:lang w:bidi="ar-AE"/>
              </w:rPr>
              <w:t>ø</w:t>
            </w:r>
            <w:r w:rsidRPr="007C6A42">
              <w:rPr>
                <w:rFonts w:asciiTheme="majorBidi" w:eastAsia="Times New Roman" w:hAnsiTheme="majorBidi" w:cstheme="majorBidi"/>
              </w:rPr>
              <w:t>] où ils goûteront les tourments du feu.</w:t>
            </w:r>
          </w:p>
        </w:tc>
      </w:tr>
      <w:tr w:rsidR="00A70B78" w:rsidRPr="007C6A42" w14:paraId="687AF7F2" w14:textId="77777777" w:rsidTr="00AF4FC9">
        <w:trPr>
          <w:trHeight w:val="716"/>
        </w:trPr>
        <w:tc>
          <w:tcPr>
            <w:tcW w:w="851" w:type="dxa"/>
            <w:tcBorders>
              <w:top w:val="single" w:sz="4" w:space="0" w:color="auto"/>
              <w:left w:val="single" w:sz="4" w:space="0" w:color="auto"/>
              <w:bottom w:val="single" w:sz="4" w:space="0" w:color="auto"/>
              <w:right w:val="single" w:sz="4" w:space="0" w:color="auto"/>
            </w:tcBorders>
          </w:tcPr>
          <w:p w14:paraId="3CCBB95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10065" w:type="dxa"/>
            <w:tcBorders>
              <w:top w:val="single" w:sz="4" w:space="0" w:color="auto"/>
              <w:left w:val="single" w:sz="4" w:space="0" w:color="auto"/>
              <w:bottom w:val="single" w:sz="4" w:space="0" w:color="auto"/>
              <w:right w:val="single" w:sz="4" w:space="0" w:color="auto"/>
            </w:tcBorders>
          </w:tcPr>
          <w:p w14:paraId="6E91BFE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Chaque fois qu’ils voudront en sortir, à cause d’un tourment, ils y seront ramenés [</w:t>
            </w:r>
            <w:r w:rsidRPr="007C6A42">
              <w:rPr>
                <w:rFonts w:asciiTheme="majorBidi" w:eastAsia="Calibri" w:hAnsiTheme="majorBidi" w:cstheme="majorBidi"/>
                <w:lang w:bidi="ar-AE"/>
              </w:rPr>
              <w:t>ø</w:t>
            </w:r>
            <w:r w:rsidRPr="007C6A42">
              <w:rPr>
                <w:rFonts w:asciiTheme="majorBidi" w:eastAsia="Times New Roman" w:hAnsiTheme="majorBidi" w:cstheme="majorBidi"/>
              </w:rPr>
              <w:t>] : « Subissez le châtiment du Feu ardent ! »</w:t>
            </w:r>
          </w:p>
        </w:tc>
      </w:tr>
      <w:tr w:rsidR="00A70B78" w:rsidRPr="007C6A42" w14:paraId="0A0DBB9E" w14:textId="77777777" w:rsidTr="00AF4FC9">
        <w:tc>
          <w:tcPr>
            <w:tcW w:w="851" w:type="dxa"/>
            <w:tcBorders>
              <w:top w:val="single" w:sz="4" w:space="0" w:color="auto"/>
              <w:left w:val="single" w:sz="4" w:space="0" w:color="auto"/>
              <w:bottom w:val="single" w:sz="4" w:space="0" w:color="auto"/>
              <w:right w:val="single" w:sz="4" w:space="0" w:color="auto"/>
            </w:tcBorders>
          </w:tcPr>
          <w:p w14:paraId="5086FD9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10065" w:type="dxa"/>
            <w:tcBorders>
              <w:top w:val="single" w:sz="4" w:space="0" w:color="auto"/>
              <w:left w:val="single" w:sz="4" w:space="0" w:color="auto"/>
              <w:bottom w:val="single" w:sz="4" w:space="0" w:color="auto"/>
              <w:right w:val="single" w:sz="4" w:space="0" w:color="auto"/>
            </w:tcBorders>
          </w:tcPr>
          <w:p w14:paraId="65BC762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Chaque fois qu'ils voudront en sortir à cause de la détresse, on les y retournera</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ø</w:t>
            </w:r>
            <w:r w:rsidRPr="007C6A42">
              <w:rPr>
                <w:rFonts w:asciiTheme="majorBidi" w:eastAsia="Times New Roman" w:hAnsiTheme="majorBidi" w:cstheme="majorBidi"/>
              </w:rPr>
              <w:t>]</w:t>
            </w:r>
            <w:r w:rsidRPr="007C6A42">
              <w:rPr>
                <w:rFonts w:asciiTheme="majorBidi" w:eastAsia="Times New Roman" w:hAnsiTheme="majorBidi" w:cstheme="majorBidi"/>
                <w:lang w:eastAsia="fr-CH"/>
              </w:rPr>
              <w:t> : "Goûtez le châtiment du feu brûlant".</w:t>
            </w:r>
          </w:p>
        </w:tc>
      </w:tr>
    </w:tbl>
    <w:p w14:paraId="4BE36321" w14:textId="77777777" w:rsidR="00A70B78" w:rsidRPr="007C6A42" w:rsidRDefault="00A70B78" w:rsidP="00A70B78">
      <w:pPr>
        <w:bidi/>
        <w:spacing w:line="360" w:lineRule="auto"/>
        <w:contextualSpacing/>
        <w:jc w:val="both"/>
        <w:rPr>
          <w:rFonts w:asciiTheme="majorBidi" w:eastAsia="Times New Roman" w:hAnsiTheme="majorBidi" w:cstheme="majorBidi"/>
          <w:shd w:val="clear" w:color="auto" w:fill="FFFFFF"/>
          <w:rtl/>
        </w:rPr>
      </w:pPr>
    </w:p>
    <w:p w14:paraId="6D5ED4CF"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lang w:bidi="ar-KW"/>
        </w:rPr>
        <w:t>En comparant le verset 22 susmentionné avec le verset XXXII, 20 (</w:t>
      </w:r>
      <w:r w:rsidRPr="007C6A42">
        <w:rPr>
          <w:rFonts w:asciiTheme="majorBidi" w:eastAsia="Calibri" w:hAnsiTheme="majorBidi" w:cstheme="majorBidi"/>
          <w:rtl/>
          <w:lang w:bidi="ar-KW"/>
        </w:rPr>
        <w:t>كلما أرادوا أن يَخرُجوا منها أعيدوا فيها وقيل لهم ذوقوا عذابَ النار</w:t>
      </w:r>
      <w:r w:rsidRPr="007C6A42">
        <w:rPr>
          <w:rFonts w:asciiTheme="majorBidi" w:eastAsia="Times New Roman" w:hAnsiTheme="majorBidi" w:cstheme="majorBidi"/>
          <w:lang w:bidi="ar-KW"/>
        </w:rPr>
        <w:t xml:space="preserve">), </w:t>
      </w:r>
      <w:r w:rsidRPr="007C6A42">
        <w:rPr>
          <w:rFonts w:asciiTheme="majorBidi" w:eastAsia="Times New Roman" w:hAnsiTheme="majorBidi" w:cstheme="majorBidi"/>
          <w:lang w:bidi="ar-AE"/>
        </w:rPr>
        <w:t>il semble que le syntagme « </w:t>
      </w:r>
      <w:r w:rsidRPr="007C6A42">
        <w:rPr>
          <w:rFonts w:asciiTheme="majorBidi" w:eastAsia="Times New Roman" w:hAnsiTheme="majorBidi" w:cstheme="majorBidi"/>
          <w:rtl/>
          <w:lang w:bidi="ar-AE"/>
        </w:rPr>
        <w:t>من غمٍّ</w:t>
      </w:r>
      <w:r w:rsidRPr="007C6A42">
        <w:rPr>
          <w:rFonts w:asciiTheme="majorBidi" w:eastAsia="Times New Roman" w:hAnsiTheme="majorBidi" w:cstheme="majorBidi"/>
          <w:lang w:bidi="ar-AE"/>
        </w:rPr>
        <w:t> » a été ajouté au texte et que le syntagme : « </w:t>
      </w:r>
      <w:r w:rsidRPr="007C6A42">
        <w:rPr>
          <w:rFonts w:asciiTheme="majorBidi" w:eastAsia="Calibri" w:hAnsiTheme="majorBidi" w:cstheme="majorBidi"/>
          <w:rtl/>
          <w:lang w:bidi="ar-KW"/>
        </w:rPr>
        <w:t>وقيلَ لهم</w:t>
      </w:r>
      <w:r w:rsidRPr="007C6A42">
        <w:rPr>
          <w:rFonts w:asciiTheme="majorBidi" w:eastAsia="Times New Roman" w:hAnsiTheme="majorBidi" w:cstheme="majorBidi"/>
          <w:lang w:bidi="ar-KW"/>
        </w:rPr>
        <w:t> » a été omis juste avant le verbe à l’impératif « </w:t>
      </w:r>
      <w:r w:rsidRPr="007C6A42">
        <w:rPr>
          <w:rFonts w:asciiTheme="majorBidi" w:eastAsia="Times New Roman" w:hAnsiTheme="majorBidi" w:cstheme="majorBidi"/>
          <w:rtl/>
          <w:lang w:bidi="ar-KW"/>
        </w:rPr>
        <w:t>ذوقوا</w:t>
      </w:r>
      <w:r w:rsidRPr="007C6A42">
        <w:rPr>
          <w:rFonts w:asciiTheme="majorBidi" w:eastAsia="Times New Roman" w:hAnsiTheme="majorBidi" w:cstheme="majorBidi"/>
          <w:lang w:bidi="ar-KW"/>
        </w:rPr>
        <w:t> ».</w:t>
      </w:r>
      <w:r w:rsidRPr="007C6A42">
        <w:rPr>
          <w:rStyle w:val="Appelnotedebasdep"/>
          <w:rFonts w:asciiTheme="majorBidi" w:eastAsia="Times New Roman" w:hAnsiTheme="majorBidi" w:cstheme="majorBidi"/>
          <w:color w:val="C00000"/>
          <w:lang w:bidi="ar-KW"/>
        </w:rPr>
        <w:footnoteReference w:id="562"/>
      </w:r>
      <w:r w:rsidRPr="007C6A42">
        <w:rPr>
          <w:rFonts w:asciiTheme="majorBidi" w:eastAsia="Times New Roman" w:hAnsiTheme="majorBidi" w:cstheme="majorBidi"/>
          <w:lang w:bidi="ar-KW"/>
        </w:rPr>
        <w:t xml:space="preserve"> L’ajout possible du groupe prépositionnel </w:t>
      </w:r>
      <w:r w:rsidRPr="007C6A42">
        <w:rPr>
          <w:rFonts w:asciiTheme="majorBidi" w:eastAsia="Times New Roman" w:hAnsiTheme="majorBidi" w:cstheme="majorBidi"/>
          <w:lang w:bidi="ar-AE"/>
        </w:rPr>
        <w:t>« </w:t>
      </w:r>
      <w:r w:rsidRPr="007C6A42">
        <w:rPr>
          <w:rFonts w:asciiTheme="majorBidi" w:eastAsia="Times New Roman" w:hAnsiTheme="majorBidi" w:cstheme="majorBidi"/>
          <w:rtl/>
          <w:lang w:bidi="ar-AE"/>
        </w:rPr>
        <w:t>من غَمٍّ</w:t>
      </w:r>
      <w:r w:rsidRPr="007C6A42">
        <w:rPr>
          <w:rFonts w:asciiTheme="majorBidi" w:eastAsia="Times New Roman" w:hAnsiTheme="majorBidi" w:cstheme="majorBidi"/>
          <w:lang w:bidi="ar-AE"/>
        </w:rPr>
        <w:t> »</w:t>
      </w:r>
      <w:r w:rsidRPr="007C6A42">
        <w:rPr>
          <w:rFonts w:asciiTheme="majorBidi" w:eastAsia="Times New Roman" w:hAnsiTheme="majorBidi" w:cstheme="majorBidi"/>
          <w:lang w:bidi="ar-KW"/>
        </w:rPr>
        <w:t xml:space="preserve"> [de chagrin] n’ajouterait rien au sens du verset et n’expliquerait </w:t>
      </w:r>
      <w:r w:rsidRPr="007C6A42">
        <w:rPr>
          <w:rFonts w:asciiTheme="majorBidi" w:eastAsia="Times New Roman" w:hAnsiTheme="majorBidi" w:cstheme="majorBidi"/>
          <w:lang w:bidi="ar-KW"/>
        </w:rPr>
        <w:lastRenderedPageBreak/>
        <w:t>pas le haut degré de la torture à l’Enfer. C’est la raison pour laquelle certains exégètes l’ont interprété par le tourment, et certains traducteurs ont rationalisé leurs traductions en augmentant le degré de ce syntagme en le traduisant par : « de ce brasier » (Du Ryer), « des flammes » (Savary), « transis de douleurs » (Kazimirski, Ghédira et Chiadmi), « p</w:t>
      </w:r>
      <w:r w:rsidRPr="007C6A42">
        <w:rPr>
          <w:rFonts w:asciiTheme="majorBidi" w:eastAsia="Times New Roman" w:hAnsiTheme="majorBidi" w:cstheme="majorBidi"/>
        </w:rPr>
        <w:t>oussés par la souffrance » (Masson et Grosjean), « de ces lieux de douleur » (Ben Mahmoud), « au bord de l’évanouissement » (au bord de l’évanouissement », « à cause d’un tourment » (Abdelaziz).</w:t>
      </w:r>
    </w:p>
    <w:p w14:paraId="6A16F1A6" w14:textId="77777777" w:rsidR="00A70B78" w:rsidRPr="007C6A42" w:rsidRDefault="00A70B78" w:rsidP="00A70B78">
      <w:pPr>
        <w:spacing w:line="360" w:lineRule="auto"/>
        <w:ind w:firstLine="360"/>
        <w:jc w:val="both"/>
        <w:rPr>
          <w:rFonts w:asciiTheme="majorBidi" w:eastAsia="Times New Roman" w:hAnsiTheme="majorBidi" w:cstheme="majorBidi"/>
          <w:lang w:bidi="ar-KW"/>
        </w:rPr>
      </w:pPr>
      <w:r w:rsidRPr="007C6A42">
        <w:rPr>
          <w:rFonts w:asciiTheme="majorBidi" w:eastAsia="Times New Roman" w:hAnsiTheme="majorBidi" w:cstheme="majorBidi"/>
          <w:lang w:bidi="ar-KW"/>
        </w:rPr>
        <w:t xml:space="preserve">Le langage coranique utilise toujours le mot </w:t>
      </w:r>
      <w:r w:rsidRPr="007C6A42">
        <w:rPr>
          <w:rFonts w:asciiTheme="majorBidi" w:eastAsia="Times New Roman" w:hAnsiTheme="majorBidi" w:cstheme="majorBidi"/>
          <w:i/>
          <w:lang w:bidi="ar-KW"/>
        </w:rPr>
        <w:t>ghamm</w:t>
      </w:r>
      <w:r w:rsidRPr="007C6A42">
        <w:rPr>
          <w:rFonts w:asciiTheme="majorBidi" w:eastAsia="Times New Roman" w:hAnsiTheme="majorBidi" w:cstheme="majorBidi"/>
          <w:lang w:bidi="ar-KW"/>
        </w:rPr>
        <w:t xml:space="preserve"> dans le sens du chagrin (v. III, 153 et 154 ; v. XXI, 88 ; XX, 40). Il se peut que le syntagme </w:t>
      </w:r>
      <w:r w:rsidRPr="007C6A42">
        <w:rPr>
          <w:rFonts w:asciiTheme="majorBidi" w:eastAsia="Times New Roman" w:hAnsiTheme="majorBidi" w:cstheme="majorBidi"/>
          <w:lang w:bidi="ar-AE"/>
        </w:rPr>
        <w:t>« </w:t>
      </w:r>
      <w:r w:rsidRPr="007C6A42">
        <w:rPr>
          <w:rFonts w:asciiTheme="majorBidi" w:eastAsia="Times New Roman" w:hAnsiTheme="majorBidi" w:cstheme="majorBidi"/>
          <w:rtl/>
          <w:lang w:bidi="ar-AE"/>
        </w:rPr>
        <w:t>من غم</w:t>
      </w:r>
      <w:r w:rsidRPr="007C6A42">
        <w:rPr>
          <w:rFonts w:asciiTheme="majorBidi" w:eastAsia="Times New Roman" w:hAnsiTheme="majorBidi" w:cstheme="majorBidi"/>
          <w:lang w:bidi="ar-AE"/>
        </w:rPr>
        <w:t> »</w:t>
      </w:r>
      <w:r w:rsidRPr="007C6A42">
        <w:rPr>
          <w:rFonts w:asciiTheme="majorBidi" w:eastAsia="Times New Roman" w:hAnsiTheme="majorBidi" w:cstheme="majorBidi"/>
          <w:lang w:bidi="ar-KW"/>
        </w:rPr>
        <w:t xml:space="preserve"> ne soit pas intrus au verset, et à ce moment-là, il devrait y avoir une erreur d’orthographe. Partant de l’idée que le Coran s’est inspirée probablement des textes apocryphes et ésotériques, et si on s’inspire de la doctrine ésotérique musulmane (druze et alaouite) qui considère la vie d’ici-bas comme l’Enfer, nous pouvons deviner que le bon syntagme pourrait être quelque chose comme : « </w:t>
      </w:r>
      <w:r w:rsidRPr="007C6A42">
        <w:rPr>
          <w:rFonts w:asciiTheme="majorBidi" w:eastAsia="Times New Roman" w:hAnsiTheme="majorBidi" w:cstheme="majorBidi"/>
          <w:rtl/>
          <w:lang w:bidi="ar-KW"/>
        </w:rPr>
        <w:t>مِن عُــمرٍ</w:t>
      </w:r>
      <w:r w:rsidRPr="007C6A42">
        <w:rPr>
          <w:rFonts w:asciiTheme="majorBidi" w:eastAsia="Times New Roman" w:hAnsiTheme="majorBidi" w:cstheme="majorBidi"/>
          <w:lang w:bidi="ar-KW"/>
        </w:rPr>
        <w:t xml:space="preserve"> » [d’une vie] pour signifier que </w:t>
      </w:r>
      <w:r w:rsidRPr="007C6A42">
        <w:rPr>
          <w:rFonts w:asciiTheme="majorBidi" w:eastAsia="Calibri" w:hAnsiTheme="majorBidi" w:cstheme="majorBidi"/>
          <w:lang w:bidi="ar-AE"/>
        </w:rPr>
        <w:t xml:space="preserve">chaque fois que </w:t>
      </w:r>
      <w:r w:rsidRPr="007C6A42">
        <w:rPr>
          <w:rFonts w:asciiTheme="majorBidi" w:eastAsia="Calibri" w:hAnsiTheme="majorBidi" w:cstheme="majorBidi"/>
          <w:i/>
          <w:iCs/>
          <w:lang w:bidi="ar-AE"/>
        </w:rPr>
        <w:t>alladhīna kafarū</w:t>
      </w:r>
      <w:r w:rsidRPr="007C6A42">
        <w:rPr>
          <w:rFonts w:asciiTheme="majorBidi" w:eastAsia="Calibri" w:hAnsiTheme="majorBidi" w:cstheme="majorBidi"/>
          <w:lang w:bidi="ar-AE"/>
        </w:rPr>
        <w:t xml:space="preserve"> [ceux qui n’ont pas cru] veulent sortir définitivement de l’ici-bas, ils y sont ramenés.</w:t>
      </w:r>
    </w:p>
    <w:p w14:paraId="0D414F3D" w14:textId="77777777" w:rsidR="00A70B78" w:rsidRPr="007C6A42" w:rsidRDefault="00A70B78" w:rsidP="00A70B78">
      <w:pPr>
        <w:spacing w:line="360" w:lineRule="auto"/>
        <w:ind w:firstLine="360"/>
        <w:jc w:val="both"/>
        <w:rPr>
          <w:rFonts w:asciiTheme="majorBidi" w:eastAsia="Times New Roman" w:hAnsiTheme="majorBidi" w:cstheme="majorBidi"/>
          <w:lang w:bidi="ar-KW"/>
        </w:rPr>
      </w:pPr>
    </w:p>
    <w:tbl>
      <w:tblPr>
        <w:tblW w:w="723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433"/>
        <w:gridCol w:w="2520"/>
      </w:tblGrid>
      <w:tr w:rsidR="00A70B78" w:rsidRPr="007C6A42" w14:paraId="713A22C1" w14:textId="77777777" w:rsidTr="00AF4FC9">
        <w:tc>
          <w:tcPr>
            <w:tcW w:w="1276" w:type="dxa"/>
            <w:tcBorders>
              <w:top w:val="single" w:sz="4" w:space="0" w:color="auto"/>
              <w:left w:val="single" w:sz="4" w:space="0" w:color="auto"/>
              <w:bottom w:val="single" w:sz="4" w:space="0" w:color="auto"/>
              <w:right w:val="single" w:sz="4" w:space="0" w:color="auto"/>
            </w:tcBorders>
          </w:tcPr>
          <w:p w14:paraId="1D899A26" w14:textId="77777777" w:rsidR="00A70B78" w:rsidRPr="007C6A42" w:rsidRDefault="00A70B78" w:rsidP="00AF4FC9">
            <w:pPr>
              <w:spacing w:line="360" w:lineRule="auto"/>
              <w:jc w:val="both"/>
              <w:rPr>
                <w:rFonts w:asciiTheme="majorBidi" w:eastAsia="Times New Roman" w:hAnsiTheme="majorBidi" w:cstheme="majorBidi"/>
              </w:rPr>
            </w:pPr>
          </w:p>
        </w:tc>
        <w:tc>
          <w:tcPr>
            <w:tcW w:w="3433" w:type="dxa"/>
            <w:tcBorders>
              <w:top w:val="single" w:sz="4" w:space="0" w:color="auto"/>
              <w:left w:val="single" w:sz="4" w:space="0" w:color="auto"/>
              <w:bottom w:val="single" w:sz="4" w:space="0" w:color="auto"/>
              <w:right w:val="single" w:sz="4" w:space="0" w:color="auto"/>
            </w:tcBorders>
          </w:tcPr>
          <w:p w14:paraId="42EB661E" w14:textId="77777777" w:rsidR="00A70B78" w:rsidRPr="007C6A42" w:rsidRDefault="00A70B78" w:rsidP="00AF4FC9">
            <w:pPr>
              <w:spacing w:line="360" w:lineRule="auto"/>
              <w:jc w:val="center"/>
              <w:rPr>
                <w:rFonts w:asciiTheme="majorBidi" w:eastAsia="Times New Roman" w:hAnsiTheme="majorBidi" w:cstheme="majorBidi"/>
              </w:rPr>
            </w:pPr>
            <w:r w:rsidRPr="007C6A42">
              <w:rPr>
                <w:rFonts w:asciiTheme="majorBidi" w:eastAsia="Times New Roman" w:hAnsiTheme="majorBidi" w:cstheme="majorBidi"/>
                <w:rtl/>
                <w:lang w:bidi="ar-AE"/>
              </w:rPr>
              <w:t>من غَمٍّ</w:t>
            </w:r>
          </w:p>
        </w:tc>
        <w:tc>
          <w:tcPr>
            <w:tcW w:w="2520" w:type="dxa"/>
            <w:tcBorders>
              <w:top w:val="single" w:sz="4" w:space="0" w:color="auto"/>
              <w:left w:val="single" w:sz="4" w:space="0" w:color="auto"/>
              <w:bottom w:val="single" w:sz="4" w:space="0" w:color="auto"/>
              <w:right w:val="single" w:sz="4" w:space="0" w:color="auto"/>
            </w:tcBorders>
          </w:tcPr>
          <w:p w14:paraId="5BB95D3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 </w:t>
            </w:r>
            <w:r w:rsidRPr="007C6A42">
              <w:rPr>
                <w:rFonts w:asciiTheme="majorBidi" w:eastAsia="Times New Roman" w:hAnsiTheme="majorBidi" w:cstheme="majorBidi"/>
                <w:rtl/>
              </w:rPr>
              <w:t xml:space="preserve"> و</w:t>
            </w: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32BA80A4" w14:textId="77777777" w:rsidTr="00AF4FC9">
        <w:tc>
          <w:tcPr>
            <w:tcW w:w="1276" w:type="dxa"/>
            <w:tcBorders>
              <w:top w:val="single" w:sz="4" w:space="0" w:color="auto"/>
              <w:left w:val="single" w:sz="4" w:space="0" w:color="auto"/>
              <w:bottom w:val="single" w:sz="4" w:space="0" w:color="auto"/>
              <w:right w:val="single" w:sz="4" w:space="0" w:color="auto"/>
            </w:tcBorders>
          </w:tcPr>
          <w:p w14:paraId="5E54382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3433" w:type="dxa"/>
            <w:tcBorders>
              <w:top w:val="single" w:sz="4" w:space="0" w:color="auto"/>
              <w:left w:val="single" w:sz="4" w:space="0" w:color="auto"/>
              <w:bottom w:val="single" w:sz="4" w:space="0" w:color="auto"/>
              <w:right w:val="single" w:sz="4" w:space="0" w:color="auto"/>
            </w:tcBorders>
          </w:tcPr>
          <w:p w14:paraId="5FFB1BB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ce braʃier […]</w:t>
            </w:r>
          </w:p>
        </w:tc>
        <w:tc>
          <w:tcPr>
            <w:tcW w:w="2520" w:type="dxa"/>
            <w:tcBorders>
              <w:top w:val="single" w:sz="4" w:space="0" w:color="auto"/>
              <w:left w:val="single" w:sz="4" w:space="0" w:color="auto"/>
              <w:bottom w:val="single" w:sz="4" w:space="0" w:color="auto"/>
              <w:right w:val="single" w:sz="4" w:space="0" w:color="auto"/>
            </w:tcBorders>
          </w:tcPr>
          <w:p w14:paraId="3F6221E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&amp; [</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45A3C6E5" w14:textId="77777777" w:rsidTr="00AF4FC9">
        <w:tc>
          <w:tcPr>
            <w:tcW w:w="1276" w:type="dxa"/>
            <w:tcBorders>
              <w:top w:val="single" w:sz="4" w:space="0" w:color="auto"/>
              <w:left w:val="single" w:sz="4" w:space="0" w:color="auto"/>
              <w:bottom w:val="single" w:sz="4" w:space="0" w:color="auto"/>
              <w:right w:val="single" w:sz="4" w:space="0" w:color="auto"/>
            </w:tcBorders>
          </w:tcPr>
          <w:p w14:paraId="37E5ED7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3433" w:type="dxa"/>
            <w:tcBorders>
              <w:top w:val="single" w:sz="4" w:space="0" w:color="auto"/>
              <w:left w:val="single" w:sz="4" w:space="0" w:color="auto"/>
              <w:bottom w:val="single" w:sz="4" w:space="0" w:color="auto"/>
              <w:right w:val="single" w:sz="4" w:space="0" w:color="auto"/>
            </w:tcBorders>
          </w:tcPr>
          <w:p w14:paraId="0AD4D36B"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des flammes […]</w:t>
            </w:r>
          </w:p>
        </w:tc>
        <w:tc>
          <w:tcPr>
            <w:tcW w:w="2520" w:type="dxa"/>
            <w:tcBorders>
              <w:top w:val="single" w:sz="4" w:space="0" w:color="auto"/>
              <w:left w:val="single" w:sz="4" w:space="0" w:color="auto"/>
              <w:bottom w:val="single" w:sz="4" w:space="0" w:color="auto"/>
              <w:right w:val="single" w:sz="4" w:space="0" w:color="auto"/>
            </w:tcBorders>
          </w:tcPr>
          <w:p w14:paraId="21BF5EC7"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on leur dira</w:t>
            </w:r>
          </w:p>
        </w:tc>
      </w:tr>
      <w:tr w:rsidR="00A70B78" w:rsidRPr="007C6A42" w14:paraId="07A0591C" w14:textId="77777777" w:rsidTr="00AF4FC9">
        <w:tc>
          <w:tcPr>
            <w:tcW w:w="1276" w:type="dxa"/>
            <w:tcBorders>
              <w:top w:val="single" w:sz="4" w:space="0" w:color="auto"/>
              <w:left w:val="single" w:sz="4" w:space="0" w:color="auto"/>
              <w:bottom w:val="single" w:sz="4" w:space="0" w:color="auto"/>
              <w:right w:val="single" w:sz="4" w:space="0" w:color="auto"/>
            </w:tcBorders>
          </w:tcPr>
          <w:p w14:paraId="3712076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3433" w:type="dxa"/>
            <w:tcBorders>
              <w:top w:val="single" w:sz="4" w:space="0" w:color="auto"/>
              <w:left w:val="single" w:sz="4" w:space="0" w:color="auto"/>
              <w:bottom w:val="single" w:sz="4" w:space="0" w:color="auto"/>
              <w:right w:val="single" w:sz="4" w:space="0" w:color="auto"/>
            </w:tcBorders>
          </w:tcPr>
          <w:p w14:paraId="49B397F8"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transis de douleur</w:t>
            </w:r>
          </w:p>
        </w:tc>
        <w:tc>
          <w:tcPr>
            <w:tcW w:w="2520" w:type="dxa"/>
            <w:tcBorders>
              <w:top w:val="single" w:sz="4" w:space="0" w:color="auto"/>
              <w:left w:val="single" w:sz="4" w:space="0" w:color="auto"/>
              <w:bottom w:val="single" w:sz="4" w:space="0" w:color="auto"/>
              <w:right w:val="single" w:sz="4" w:space="0" w:color="auto"/>
            </w:tcBorders>
          </w:tcPr>
          <w:p w14:paraId="09D9E7DA"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on leur criera</w:t>
            </w:r>
          </w:p>
        </w:tc>
      </w:tr>
      <w:tr w:rsidR="00A70B78" w:rsidRPr="007C6A42" w14:paraId="58C1F622" w14:textId="77777777" w:rsidTr="00AF4FC9">
        <w:tc>
          <w:tcPr>
            <w:tcW w:w="1276" w:type="dxa"/>
            <w:tcBorders>
              <w:top w:val="single" w:sz="4" w:space="0" w:color="auto"/>
              <w:left w:val="single" w:sz="4" w:space="0" w:color="auto"/>
              <w:bottom w:val="single" w:sz="4" w:space="0" w:color="auto"/>
              <w:right w:val="single" w:sz="4" w:space="0" w:color="auto"/>
            </w:tcBorders>
          </w:tcPr>
          <w:p w14:paraId="2D87428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3433" w:type="dxa"/>
            <w:tcBorders>
              <w:top w:val="single" w:sz="4" w:space="0" w:color="auto"/>
              <w:left w:val="single" w:sz="4" w:space="0" w:color="auto"/>
              <w:bottom w:val="single" w:sz="4" w:space="0" w:color="auto"/>
              <w:right w:val="single" w:sz="4" w:space="0" w:color="auto"/>
            </w:tcBorders>
          </w:tcPr>
          <w:p w14:paraId="390F96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chagrin</w:t>
            </w:r>
          </w:p>
        </w:tc>
        <w:tc>
          <w:tcPr>
            <w:tcW w:w="2520" w:type="dxa"/>
            <w:tcBorders>
              <w:top w:val="single" w:sz="4" w:space="0" w:color="auto"/>
              <w:left w:val="single" w:sz="4" w:space="0" w:color="auto"/>
              <w:bottom w:val="single" w:sz="4" w:space="0" w:color="auto"/>
              <w:right w:val="single" w:sz="4" w:space="0" w:color="auto"/>
            </w:tcBorders>
          </w:tcPr>
          <w:p w14:paraId="260995B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il leur sera crié]</w:t>
            </w:r>
          </w:p>
        </w:tc>
      </w:tr>
      <w:tr w:rsidR="00A70B78" w:rsidRPr="007C6A42" w14:paraId="038F23F4" w14:textId="77777777" w:rsidTr="00AF4FC9">
        <w:tc>
          <w:tcPr>
            <w:tcW w:w="1276" w:type="dxa"/>
            <w:tcBorders>
              <w:top w:val="single" w:sz="4" w:space="0" w:color="auto"/>
              <w:left w:val="single" w:sz="4" w:space="0" w:color="auto"/>
              <w:bottom w:val="single" w:sz="4" w:space="0" w:color="auto"/>
              <w:right w:val="single" w:sz="4" w:space="0" w:color="auto"/>
            </w:tcBorders>
          </w:tcPr>
          <w:p w14:paraId="240C4FF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3433" w:type="dxa"/>
            <w:tcBorders>
              <w:top w:val="single" w:sz="4" w:space="0" w:color="auto"/>
              <w:left w:val="single" w:sz="4" w:space="0" w:color="auto"/>
              <w:bottom w:val="single" w:sz="4" w:space="0" w:color="auto"/>
              <w:right w:val="single" w:sz="4" w:space="0" w:color="auto"/>
            </w:tcBorders>
          </w:tcPr>
          <w:p w14:paraId="076499D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chagrin</w:t>
            </w:r>
          </w:p>
        </w:tc>
        <w:tc>
          <w:tcPr>
            <w:tcW w:w="2520" w:type="dxa"/>
            <w:tcBorders>
              <w:top w:val="single" w:sz="4" w:space="0" w:color="auto"/>
              <w:left w:val="single" w:sz="4" w:space="0" w:color="auto"/>
              <w:bottom w:val="single" w:sz="4" w:space="0" w:color="auto"/>
              <w:right w:val="single" w:sz="4" w:space="0" w:color="auto"/>
            </w:tcBorders>
          </w:tcPr>
          <w:p w14:paraId="396F72A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2C02D9A8" w14:textId="77777777" w:rsidTr="00AF4FC9">
        <w:tc>
          <w:tcPr>
            <w:tcW w:w="1276" w:type="dxa"/>
            <w:tcBorders>
              <w:top w:val="single" w:sz="4" w:space="0" w:color="auto"/>
              <w:left w:val="single" w:sz="4" w:space="0" w:color="auto"/>
              <w:bottom w:val="single" w:sz="4" w:space="0" w:color="auto"/>
              <w:right w:val="single" w:sz="4" w:space="0" w:color="auto"/>
            </w:tcBorders>
          </w:tcPr>
          <w:p w14:paraId="2562F79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3433" w:type="dxa"/>
            <w:tcBorders>
              <w:top w:val="single" w:sz="4" w:space="0" w:color="auto"/>
              <w:left w:val="single" w:sz="4" w:space="0" w:color="auto"/>
              <w:bottom w:val="single" w:sz="4" w:space="0" w:color="auto"/>
              <w:right w:val="single" w:sz="4" w:space="0" w:color="auto"/>
            </w:tcBorders>
          </w:tcPr>
          <w:p w14:paraId="60C165A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poussés par la souffrance</w:t>
            </w:r>
          </w:p>
        </w:tc>
        <w:tc>
          <w:tcPr>
            <w:tcW w:w="2520" w:type="dxa"/>
            <w:tcBorders>
              <w:top w:val="single" w:sz="4" w:space="0" w:color="auto"/>
              <w:left w:val="single" w:sz="4" w:space="0" w:color="auto"/>
              <w:bottom w:val="single" w:sz="4" w:space="0" w:color="auto"/>
              <w:right w:val="single" w:sz="4" w:space="0" w:color="auto"/>
            </w:tcBorders>
          </w:tcPr>
          <w:p w14:paraId="76656C9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0EF899B0" w14:textId="77777777" w:rsidTr="00AF4FC9">
        <w:tc>
          <w:tcPr>
            <w:tcW w:w="1276" w:type="dxa"/>
            <w:tcBorders>
              <w:top w:val="single" w:sz="4" w:space="0" w:color="auto"/>
              <w:left w:val="single" w:sz="4" w:space="0" w:color="auto"/>
              <w:bottom w:val="single" w:sz="4" w:space="0" w:color="auto"/>
              <w:right w:val="single" w:sz="4" w:space="0" w:color="auto"/>
            </w:tcBorders>
          </w:tcPr>
          <w:p w14:paraId="0464D9E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3433" w:type="dxa"/>
            <w:tcBorders>
              <w:top w:val="single" w:sz="4" w:space="0" w:color="auto"/>
              <w:left w:val="single" w:sz="4" w:space="0" w:color="auto"/>
              <w:bottom w:val="single" w:sz="4" w:space="0" w:color="auto"/>
              <w:right w:val="single" w:sz="4" w:space="0" w:color="auto"/>
            </w:tcBorders>
          </w:tcPr>
          <w:p w14:paraId="2C090F0C"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en suffoquant</w:t>
            </w:r>
          </w:p>
        </w:tc>
        <w:tc>
          <w:tcPr>
            <w:tcW w:w="2520" w:type="dxa"/>
            <w:tcBorders>
              <w:top w:val="single" w:sz="4" w:space="0" w:color="auto"/>
              <w:left w:val="single" w:sz="4" w:space="0" w:color="auto"/>
              <w:bottom w:val="single" w:sz="4" w:space="0" w:color="auto"/>
              <w:right w:val="single" w:sz="4" w:space="0" w:color="auto"/>
            </w:tcBorders>
          </w:tcPr>
          <w:p w14:paraId="729310CE"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6396D7D8" w14:textId="77777777" w:rsidTr="00AF4FC9">
        <w:tc>
          <w:tcPr>
            <w:tcW w:w="1276" w:type="dxa"/>
            <w:tcBorders>
              <w:top w:val="single" w:sz="4" w:space="0" w:color="auto"/>
              <w:left w:val="single" w:sz="4" w:space="0" w:color="auto"/>
              <w:bottom w:val="single" w:sz="4" w:space="0" w:color="auto"/>
              <w:right w:val="single" w:sz="4" w:space="0" w:color="auto"/>
            </w:tcBorders>
          </w:tcPr>
          <w:p w14:paraId="722CA94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3433" w:type="dxa"/>
            <w:tcBorders>
              <w:top w:val="single" w:sz="4" w:space="0" w:color="auto"/>
              <w:left w:val="single" w:sz="4" w:space="0" w:color="auto"/>
              <w:bottom w:val="single" w:sz="4" w:space="0" w:color="auto"/>
              <w:right w:val="single" w:sz="4" w:space="0" w:color="auto"/>
            </w:tcBorders>
          </w:tcPr>
          <w:p w14:paraId="36683AA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transis de douleur</w:t>
            </w:r>
          </w:p>
        </w:tc>
        <w:tc>
          <w:tcPr>
            <w:tcW w:w="2520" w:type="dxa"/>
            <w:tcBorders>
              <w:top w:val="single" w:sz="4" w:space="0" w:color="auto"/>
              <w:left w:val="single" w:sz="4" w:space="0" w:color="auto"/>
              <w:bottom w:val="single" w:sz="4" w:space="0" w:color="auto"/>
              <w:right w:val="single" w:sz="4" w:space="0" w:color="auto"/>
            </w:tcBorders>
          </w:tcPr>
          <w:p w14:paraId="579E00F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on leur criera</w:t>
            </w:r>
          </w:p>
        </w:tc>
      </w:tr>
      <w:tr w:rsidR="00A70B78" w:rsidRPr="007C6A42" w14:paraId="441B54FE" w14:textId="77777777" w:rsidTr="00AF4FC9">
        <w:tc>
          <w:tcPr>
            <w:tcW w:w="1276" w:type="dxa"/>
            <w:tcBorders>
              <w:top w:val="single" w:sz="4" w:space="0" w:color="auto"/>
              <w:left w:val="single" w:sz="4" w:space="0" w:color="auto"/>
              <w:bottom w:val="single" w:sz="4" w:space="0" w:color="auto"/>
              <w:right w:val="single" w:sz="4" w:space="0" w:color="auto"/>
            </w:tcBorders>
          </w:tcPr>
          <w:p w14:paraId="2CE35F7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3433" w:type="dxa"/>
            <w:tcBorders>
              <w:top w:val="single" w:sz="4" w:space="0" w:color="auto"/>
              <w:left w:val="single" w:sz="4" w:space="0" w:color="auto"/>
              <w:bottom w:val="single" w:sz="4" w:space="0" w:color="auto"/>
              <w:right w:val="single" w:sz="4" w:space="0" w:color="auto"/>
            </w:tcBorders>
          </w:tcPr>
          <w:p w14:paraId="29D17A6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 (pour échapper) à la détresse</w:t>
            </w:r>
          </w:p>
        </w:tc>
        <w:tc>
          <w:tcPr>
            <w:tcW w:w="2520" w:type="dxa"/>
            <w:tcBorders>
              <w:top w:val="single" w:sz="4" w:space="0" w:color="auto"/>
              <w:left w:val="single" w:sz="4" w:space="0" w:color="auto"/>
              <w:bottom w:val="single" w:sz="4" w:space="0" w:color="auto"/>
              <w:right w:val="single" w:sz="4" w:space="0" w:color="auto"/>
            </w:tcBorders>
          </w:tcPr>
          <w:p w14:paraId="64524B30"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(on leur dira)</w:t>
            </w:r>
          </w:p>
        </w:tc>
      </w:tr>
      <w:tr w:rsidR="00A70B78" w:rsidRPr="007C6A42" w14:paraId="7DB6D16D" w14:textId="77777777" w:rsidTr="00AF4FC9">
        <w:tc>
          <w:tcPr>
            <w:tcW w:w="1276" w:type="dxa"/>
            <w:tcBorders>
              <w:top w:val="single" w:sz="4" w:space="0" w:color="auto"/>
              <w:left w:val="single" w:sz="4" w:space="0" w:color="auto"/>
              <w:bottom w:val="single" w:sz="4" w:space="0" w:color="auto"/>
              <w:right w:val="single" w:sz="4" w:space="0" w:color="auto"/>
            </w:tcBorders>
          </w:tcPr>
          <w:p w14:paraId="679864F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3433" w:type="dxa"/>
            <w:tcBorders>
              <w:top w:val="single" w:sz="4" w:space="0" w:color="auto"/>
              <w:left w:val="single" w:sz="4" w:space="0" w:color="auto"/>
              <w:bottom w:val="single" w:sz="4" w:space="0" w:color="auto"/>
              <w:right w:val="single" w:sz="4" w:space="0" w:color="auto"/>
            </w:tcBorders>
          </w:tcPr>
          <w:p w14:paraId="5C666FFC"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de chagrin</w:t>
            </w:r>
          </w:p>
        </w:tc>
        <w:tc>
          <w:tcPr>
            <w:tcW w:w="2520" w:type="dxa"/>
            <w:tcBorders>
              <w:top w:val="single" w:sz="4" w:space="0" w:color="auto"/>
              <w:left w:val="single" w:sz="4" w:space="0" w:color="auto"/>
              <w:bottom w:val="single" w:sz="4" w:space="0" w:color="auto"/>
              <w:right w:val="single" w:sz="4" w:space="0" w:color="auto"/>
            </w:tcBorders>
          </w:tcPr>
          <w:p w14:paraId="60E2F3FB"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3FBA2A0F" w14:textId="77777777" w:rsidTr="00AF4FC9">
        <w:tc>
          <w:tcPr>
            <w:tcW w:w="1276" w:type="dxa"/>
            <w:tcBorders>
              <w:top w:val="single" w:sz="4" w:space="0" w:color="auto"/>
              <w:left w:val="single" w:sz="4" w:space="0" w:color="auto"/>
              <w:bottom w:val="single" w:sz="4" w:space="0" w:color="auto"/>
              <w:right w:val="single" w:sz="4" w:space="0" w:color="auto"/>
            </w:tcBorders>
          </w:tcPr>
          <w:p w14:paraId="698D3C5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3433" w:type="dxa"/>
            <w:tcBorders>
              <w:top w:val="single" w:sz="4" w:space="0" w:color="auto"/>
              <w:left w:val="single" w:sz="4" w:space="0" w:color="auto"/>
              <w:bottom w:val="single" w:sz="4" w:space="0" w:color="auto"/>
              <w:right w:val="single" w:sz="4" w:space="0" w:color="auto"/>
            </w:tcBorders>
          </w:tcPr>
          <w:p w14:paraId="6A514F5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douleur</w:t>
            </w:r>
          </w:p>
        </w:tc>
        <w:tc>
          <w:tcPr>
            <w:tcW w:w="2520" w:type="dxa"/>
            <w:tcBorders>
              <w:top w:val="single" w:sz="4" w:space="0" w:color="auto"/>
              <w:left w:val="single" w:sz="4" w:space="0" w:color="auto"/>
              <w:bottom w:val="single" w:sz="4" w:space="0" w:color="auto"/>
              <w:right w:val="single" w:sz="4" w:space="0" w:color="auto"/>
            </w:tcBorders>
          </w:tcPr>
          <w:p w14:paraId="4C5DA61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197493FE" w14:textId="77777777" w:rsidTr="00AF4FC9">
        <w:tc>
          <w:tcPr>
            <w:tcW w:w="1276" w:type="dxa"/>
            <w:tcBorders>
              <w:top w:val="single" w:sz="4" w:space="0" w:color="auto"/>
              <w:left w:val="single" w:sz="4" w:space="0" w:color="auto"/>
              <w:bottom w:val="single" w:sz="4" w:space="0" w:color="auto"/>
              <w:right w:val="single" w:sz="4" w:space="0" w:color="auto"/>
            </w:tcBorders>
          </w:tcPr>
          <w:p w14:paraId="63EC498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3433" w:type="dxa"/>
            <w:tcBorders>
              <w:top w:val="single" w:sz="4" w:space="0" w:color="auto"/>
              <w:left w:val="single" w:sz="4" w:space="0" w:color="auto"/>
              <w:bottom w:val="single" w:sz="4" w:space="0" w:color="auto"/>
              <w:right w:val="single" w:sz="4" w:space="0" w:color="auto"/>
            </w:tcBorders>
          </w:tcPr>
          <w:p w14:paraId="7ACDB63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pour échapper à la souffrance</w:t>
            </w:r>
          </w:p>
        </w:tc>
        <w:tc>
          <w:tcPr>
            <w:tcW w:w="2520" w:type="dxa"/>
            <w:tcBorders>
              <w:top w:val="single" w:sz="4" w:space="0" w:color="auto"/>
              <w:left w:val="single" w:sz="4" w:space="0" w:color="auto"/>
              <w:bottom w:val="single" w:sz="4" w:space="0" w:color="auto"/>
              <w:right w:val="single" w:sz="4" w:space="0" w:color="auto"/>
            </w:tcBorders>
          </w:tcPr>
          <w:p w14:paraId="40D3D3E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7DFC69B2" w14:textId="77777777" w:rsidTr="00AF4FC9">
        <w:tc>
          <w:tcPr>
            <w:tcW w:w="1276" w:type="dxa"/>
            <w:tcBorders>
              <w:top w:val="single" w:sz="4" w:space="0" w:color="auto"/>
              <w:left w:val="single" w:sz="4" w:space="0" w:color="auto"/>
              <w:bottom w:val="single" w:sz="4" w:space="0" w:color="auto"/>
              <w:right w:val="single" w:sz="4" w:space="0" w:color="auto"/>
            </w:tcBorders>
          </w:tcPr>
          <w:p w14:paraId="285E39A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3433" w:type="dxa"/>
            <w:tcBorders>
              <w:top w:val="single" w:sz="4" w:space="0" w:color="auto"/>
              <w:left w:val="single" w:sz="4" w:space="0" w:color="auto"/>
              <w:bottom w:val="single" w:sz="4" w:space="0" w:color="auto"/>
              <w:right w:val="single" w:sz="4" w:space="0" w:color="auto"/>
            </w:tcBorders>
          </w:tcPr>
          <w:p w14:paraId="41D6DFB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poussés par la souffrance</w:t>
            </w:r>
          </w:p>
        </w:tc>
        <w:tc>
          <w:tcPr>
            <w:tcW w:w="2520" w:type="dxa"/>
            <w:tcBorders>
              <w:top w:val="single" w:sz="4" w:space="0" w:color="auto"/>
              <w:left w:val="single" w:sz="4" w:space="0" w:color="auto"/>
              <w:bottom w:val="single" w:sz="4" w:space="0" w:color="auto"/>
              <w:right w:val="single" w:sz="4" w:space="0" w:color="auto"/>
            </w:tcBorders>
          </w:tcPr>
          <w:p w14:paraId="6B502DD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239D1519" w14:textId="77777777" w:rsidTr="00AF4FC9">
        <w:tc>
          <w:tcPr>
            <w:tcW w:w="1276" w:type="dxa"/>
            <w:tcBorders>
              <w:top w:val="single" w:sz="4" w:space="0" w:color="auto"/>
              <w:left w:val="single" w:sz="4" w:space="0" w:color="auto"/>
              <w:bottom w:val="single" w:sz="4" w:space="0" w:color="auto"/>
              <w:right w:val="single" w:sz="4" w:space="0" w:color="auto"/>
            </w:tcBorders>
          </w:tcPr>
          <w:p w14:paraId="576FDFF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3433" w:type="dxa"/>
            <w:tcBorders>
              <w:top w:val="single" w:sz="4" w:space="0" w:color="auto"/>
              <w:left w:val="single" w:sz="4" w:space="0" w:color="auto"/>
              <w:bottom w:val="single" w:sz="4" w:space="0" w:color="auto"/>
              <w:right w:val="single" w:sz="4" w:space="0" w:color="auto"/>
            </w:tcBorders>
          </w:tcPr>
          <w:p w14:paraId="79EF6B1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transis de douleur</w:t>
            </w:r>
          </w:p>
        </w:tc>
        <w:tc>
          <w:tcPr>
            <w:tcW w:w="2520" w:type="dxa"/>
            <w:tcBorders>
              <w:top w:val="single" w:sz="4" w:space="0" w:color="auto"/>
              <w:left w:val="single" w:sz="4" w:space="0" w:color="auto"/>
              <w:bottom w:val="single" w:sz="4" w:space="0" w:color="auto"/>
              <w:right w:val="single" w:sz="4" w:space="0" w:color="auto"/>
            </w:tcBorders>
          </w:tcPr>
          <w:p w14:paraId="70EBDD7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on leur dira</w:t>
            </w:r>
          </w:p>
        </w:tc>
      </w:tr>
      <w:tr w:rsidR="00A70B78" w:rsidRPr="007C6A42" w14:paraId="3005A355" w14:textId="77777777" w:rsidTr="00AF4FC9">
        <w:tc>
          <w:tcPr>
            <w:tcW w:w="1276" w:type="dxa"/>
            <w:tcBorders>
              <w:top w:val="single" w:sz="4" w:space="0" w:color="auto"/>
              <w:left w:val="single" w:sz="4" w:space="0" w:color="auto"/>
              <w:bottom w:val="single" w:sz="4" w:space="0" w:color="auto"/>
              <w:right w:val="single" w:sz="4" w:space="0" w:color="auto"/>
            </w:tcBorders>
          </w:tcPr>
          <w:p w14:paraId="5C3F305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B. M.</w:t>
            </w:r>
          </w:p>
        </w:tc>
        <w:tc>
          <w:tcPr>
            <w:tcW w:w="3433" w:type="dxa"/>
            <w:tcBorders>
              <w:top w:val="single" w:sz="4" w:space="0" w:color="auto"/>
              <w:left w:val="single" w:sz="4" w:space="0" w:color="auto"/>
              <w:bottom w:val="single" w:sz="4" w:space="0" w:color="auto"/>
              <w:right w:val="single" w:sz="4" w:space="0" w:color="auto"/>
            </w:tcBorders>
          </w:tcPr>
          <w:p w14:paraId="7F2DF4F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de ces lieux de douleur</w:t>
            </w:r>
          </w:p>
        </w:tc>
        <w:tc>
          <w:tcPr>
            <w:tcW w:w="2520" w:type="dxa"/>
            <w:tcBorders>
              <w:top w:val="single" w:sz="4" w:space="0" w:color="auto"/>
              <w:left w:val="single" w:sz="4" w:space="0" w:color="auto"/>
              <w:bottom w:val="single" w:sz="4" w:space="0" w:color="auto"/>
              <w:right w:val="single" w:sz="4" w:space="0" w:color="auto"/>
            </w:tcBorders>
          </w:tcPr>
          <w:p w14:paraId="211B512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2ECA22FA" w14:textId="77777777" w:rsidTr="00AF4FC9">
        <w:tc>
          <w:tcPr>
            <w:tcW w:w="1276" w:type="dxa"/>
            <w:tcBorders>
              <w:top w:val="single" w:sz="4" w:space="0" w:color="auto"/>
              <w:left w:val="single" w:sz="4" w:space="0" w:color="auto"/>
              <w:bottom w:val="single" w:sz="4" w:space="0" w:color="auto"/>
              <w:right w:val="single" w:sz="4" w:space="0" w:color="auto"/>
            </w:tcBorders>
          </w:tcPr>
          <w:p w14:paraId="6357BD0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3433" w:type="dxa"/>
            <w:tcBorders>
              <w:top w:val="single" w:sz="4" w:space="0" w:color="auto"/>
              <w:left w:val="single" w:sz="4" w:space="0" w:color="auto"/>
              <w:bottom w:val="single" w:sz="4" w:space="0" w:color="auto"/>
              <w:right w:val="single" w:sz="4" w:space="0" w:color="auto"/>
            </w:tcBorders>
          </w:tcPr>
          <w:p w14:paraId="37FADA5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au bord de l’évanouissement</w:t>
            </w:r>
          </w:p>
        </w:tc>
        <w:tc>
          <w:tcPr>
            <w:tcW w:w="2520" w:type="dxa"/>
            <w:tcBorders>
              <w:top w:val="single" w:sz="4" w:space="0" w:color="auto"/>
              <w:left w:val="single" w:sz="4" w:space="0" w:color="auto"/>
              <w:bottom w:val="single" w:sz="4" w:space="0" w:color="auto"/>
              <w:right w:val="single" w:sz="4" w:space="0" w:color="auto"/>
            </w:tcBorders>
          </w:tcPr>
          <w:p w14:paraId="2D97ACB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 où</w:t>
            </w:r>
          </w:p>
        </w:tc>
      </w:tr>
      <w:tr w:rsidR="00A70B78" w:rsidRPr="007C6A42" w14:paraId="09F833A7" w14:textId="77777777" w:rsidTr="00AF4FC9">
        <w:tc>
          <w:tcPr>
            <w:tcW w:w="1276" w:type="dxa"/>
            <w:tcBorders>
              <w:top w:val="single" w:sz="4" w:space="0" w:color="auto"/>
              <w:left w:val="single" w:sz="4" w:space="0" w:color="auto"/>
              <w:bottom w:val="single" w:sz="4" w:space="0" w:color="auto"/>
              <w:right w:val="single" w:sz="4" w:space="0" w:color="auto"/>
            </w:tcBorders>
          </w:tcPr>
          <w:p w14:paraId="1BACAEA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3433" w:type="dxa"/>
            <w:tcBorders>
              <w:top w:val="single" w:sz="4" w:space="0" w:color="auto"/>
              <w:left w:val="single" w:sz="4" w:space="0" w:color="auto"/>
              <w:bottom w:val="single" w:sz="4" w:space="0" w:color="auto"/>
              <w:right w:val="single" w:sz="4" w:space="0" w:color="auto"/>
            </w:tcBorders>
          </w:tcPr>
          <w:p w14:paraId="4AB4403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à cause d’un tourment</w:t>
            </w:r>
          </w:p>
        </w:tc>
        <w:tc>
          <w:tcPr>
            <w:tcW w:w="2520" w:type="dxa"/>
            <w:tcBorders>
              <w:top w:val="single" w:sz="4" w:space="0" w:color="auto"/>
              <w:left w:val="single" w:sz="4" w:space="0" w:color="auto"/>
              <w:bottom w:val="single" w:sz="4" w:space="0" w:color="auto"/>
              <w:right w:val="single" w:sz="4" w:space="0" w:color="auto"/>
            </w:tcBorders>
          </w:tcPr>
          <w:p w14:paraId="00103CC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r w:rsidR="00A70B78" w:rsidRPr="007C6A42" w14:paraId="592403BF" w14:textId="77777777" w:rsidTr="00AF4FC9">
        <w:tc>
          <w:tcPr>
            <w:tcW w:w="1276" w:type="dxa"/>
            <w:tcBorders>
              <w:top w:val="single" w:sz="4" w:space="0" w:color="auto"/>
              <w:left w:val="single" w:sz="4" w:space="0" w:color="auto"/>
              <w:bottom w:val="single" w:sz="4" w:space="0" w:color="auto"/>
              <w:right w:val="single" w:sz="4" w:space="0" w:color="auto"/>
            </w:tcBorders>
          </w:tcPr>
          <w:p w14:paraId="11E2383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3433" w:type="dxa"/>
            <w:tcBorders>
              <w:top w:val="single" w:sz="4" w:space="0" w:color="auto"/>
              <w:left w:val="single" w:sz="4" w:space="0" w:color="auto"/>
              <w:bottom w:val="single" w:sz="4" w:space="0" w:color="auto"/>
              <w:right w:val="single" w:sz="4" w:space="0" w:color="auto"/>
            </w:tcBorders>
          </w:tcPr>
          <w:p w14:paraId="2E93F729"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à cause de la détresse</w:t>
            </w:r>
          </w:p>
        </w:tc>
        <w:tc>
          <w:tcPr>
            <w:tcW w:w="2520" w:type="dxa"/>
            <w:tcBorders>
              <w:top w:val="single" w:sz="4" w:space="0" w:color="auto"/>
              <w:left w:val="single" w:sz="4" w:space="0" w:color="auto"/>
              <w:bottom w:val="single" w:sz="4" w:space="0" w:color="auto"/>
              <w:right w:val="single" w:sz="4" w:space="0" w:color="auto"/>
            </w:tcBorders>
          </w:tcPr>
          <w:p w14:paraId="7D7DAB5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w:t>
            </w:r>
            <w:r w:rsidRPr="007C6A42">
              <w:rPr>
                <w:rFonts w:asciiTheme="majorBidi" w:eastAsia="Calibri" w:hAnsiTheme="majorBidi" w:cstheme="majorBidi"/>
                <w:lang w:bidi="ar-AE"/>
              </w:rPr>
              <w:t>ø</w:t>
            </w:r>
            <w:r w:rsidRPr="007C6A42">
              <w:rPr>
                <w:rFonts w:asciiTheme="majorBidi" w:eastAsia="Times New Roman" w:hAnsiTheme="majorBidi" w:cstheme="majorBidi"/>
              </w:rPr>
              <w:t>]</w:t>
            </w:r>
          </w:p>
        </w:tc>
      </w:tr>
    </w:tbl>
    <w:p w14:paraId="55B0A50E"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74B8EEC9"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rtl/>
          <w:lang w:bidi="ar-KW"/>
        </w:rPr>
      </w:pPr>
      <w:r w:rsidRPr="007C6A42">
        <w:rPr>
          <w:rFonts w:asciiTheme="majorBidi" w:eastAsia="Times New Roman" w:hAnsiTheme="majorBidi" w:cstheme="majorBidi"/>
          <w:shd w:val="clear" w:color="auto" w:fill="FFFFFF"/>
          <w:lang w:bidi="ar-KW"/>
        </w:rPr>
        <w:t>L’ambiguïté et l’inadéquation de « </w:t>
      </w:r>
      <w:r w:rsidRPr="007C6A42">
        <w:rPr>
          <w:rFonts w:asciiTheme="majorBidi" w:eastAsia="Times New Roman" w:hAnsiTheme="majorBidi" w:cstheme="majorBidi"/>
          <w:rtl/>
          <w:lang w:bidi="ar-AE"/>
        </w:rPr>
        <w:t>من غم</w:t>
      </w:r>
      <w:r w:rsidRPr="007C6A42">
        <w:rPr>
          <w:rFonts w:asciiTheme="majorBidi" w:eastAsia="Times New Roman" w:hAnsiTheme="majorBidi" w:cstheme="majorBidi"/>
          <w:shd w:val="clear" w:color="auto" w:fill="FFFFFF"/>
          <w:lang w:bidi="ar-KW"/>
        </w:rPr>
        <w:t> » ont ainsi perturbé les traducteurs. Ayant deux sens selon les exégètes (</w:t>
      </w:r>
      <w:r w:rsidRPr="007C6A42">
        <w:rPr>
          <w:rFonts w:asciiTheme="majorBidi" w:eastAsia="Times New Roman" w:hAnsiTheme="majorBidi" w:cstheme="majorBidi"/>
          <w:i/>
          <w:iCs/>
          <w:shd w:val="clear" w:color="auto" w:fill="FFFFFF"/>
          <w:lang w:bidi="ar-KW"/>
        </w:rPr>
        <w:t>chagrin</w:t>
      </w:r>
      <w:r w:rsidRPr="007C6A42">
        <w:rPr>
          <w:rFonts w:asciiTheme="majorBidi" w:eastAsia="Times New Roman" w:hAnsiTheme="majorBidi" w:cstheme="majorBidi"/>
          <w:shd w:val="clear" w:color="auto" w:fill="FFFFFF"/>
          <w:lang w:bidi="ar-KW"/>
        </w:rPr>
        <w:t xml:space="preserve"> et </w:t>
      </w:r>
      <w:r w:rsidRPr="007C6A42">
        <w:rPr>
          <w:rFonts w:asciiTheme="majorBidi" w:eastAsia="Times New Roman" w:hAnsiTheme="majorBidi" w:cstheme="majorBidi"/>
          <w:i/>
          <w:iCs/>
          <w:shd w:val="clear" w:color="auto" w:fill="FFFFFF"/>
          <w:lang w:bidi="ar-KW"/>
        </w:rPr>
        <w:t>feu</w:t>
      </w:r>
      <w:r w:rsidRPr="007C6A42">
        <w:rPr>
          <w:rFonts w:asciiTheme="majorBidi" w:eastAsia="Times New Roman" w:hAnsiTheme="majorBidi" w:cstheme="majorBidi"/>
          <w:shd w:val="clear" w:color="auto" w:fill="FFFFFF"/>
          <w:lang w:bidi="ar-KW"/>
        </w:rPr>
        <w:t xml:space="preserve">), le mot </w:t>
      </w:r>
      <w:r w:rsidRPr="007C6A42">
        <w:rPr>
          <w:rFonts w:asciiTheme="majorBidi" w:eastAsia="Times New Roman" w:hAnsiTheme="majorBidi" w:cstheme="majorBidi"/>
          <w:i/>
          <w:shd w:val="clear" w:color="auto" w:fill="FFFFFF"/>
          <w:lang w:bidi="ar-KW"/>
        </w:rPr>
        <w:t>ghamm</w:t>
      </w:r>
      <w:r w:rsidRPr="007C6A42">
        <w:rPr>
          <w:rFonts w:asciiTheme="majorBidi" w:eastAsia="Times New Roman" w:hAnsiTheme="majorBidi" w:cstheme="majorBidi"/>
          <w:shd w:val="clear" w:color="auto" w:fill="FFFFFF"/>
          <w:lang w:bidi="ar-KW"/>
        </w:rPr>
        <w:t xml:space="preserve"> en a donc pris plusieurs chez les traducteurs : </w:t>
      </w:r>
      <w:r w:rsidRPr="007C6A42">
        <w:rPr>
          <w:rFonts w:asciiTheme="majorBidi" w:eastAsia="Times New Roman" w:hAnsiTheme="majorBidi" w:cstheme="majorBidi"/>
          <w:i/>
          <w:iCs/>
          <w:shd w:val="clear" w:color="auto" w:fill="FFFFFF"/>
          <w:lang w:bidi="ar-KW"/>
        </w:rPr>
        <w:t>brasier</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flammes</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douleur</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chagrin</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souffrance</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en suffoquant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détresse</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évanouissement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tourment</w:t>
      </w:r>
      <w:r w:rsidRPr="007C6A42">
        <w:rPr>
          <w:rFonts w:asciiTheme="majorBidi" w:eastAsia="Times New Roman" w:hAnsiTheme="majorBidi" w:cstheme="majorBidi"/>
          <w:shd w:val="clear" w:color="auto" w:fill="FFFFFF"/>
          <w:lang w:bidi="ar-KW"/>
        </w:rPr>
        <w:t>. Cette différence entre la polysémie du mot dans les exégèses et sa polysémie dans les traductions peut s’expliquer par le manque de la pertinence de ce mot d’un côté, et de l’autre par les efforts déployés par les traducteurs pour « réparer les défauts » du texte et donner un message intelligible.</w:t>
      </w:r>
    </w:p>
    <w:p w14:paraId="75AD9A04"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Quant à l’omission de « </w:t>
      </w:r>
      <w:r w:rsidRPr="007C6A42">
        <w:rPr>
          <w:rFonts w:asciiTheme="majorBidi" w:eastAsia="Times New Roman" w:hAnsiTheme="majorBidi" w:cstheme="majorBidi"/>
          <w:shd w:val="clear" w:color="auto" w:fill="FFFFFF"/>
          <w:rtl/>
          <w:lang w:bidi="ar-KW"/>
        </w:rPr>
        <w:t>وقيل لهم</w:t>
      </w:r>
      <w:r w:rsidRPr="007C6A42">
        <w:rPr>
          <w:rFonts w:asciiTheme="majorBidi" w:eastAsia="Times New Roman" w:hAnsiTheme="majorBidi" w:cstheme="majorBidi"/>
          <w:shd w:val="clear" w:color="auto" w:fill="FFFFFF"/>
          <w:lang w:bidi="ar-KW"/>
        </w:rPr>
        <w:t> » dans le verset arabe, six traducteurs (Savary, Kazimirski, Blachère, Ghédira, Complexe Médine et Chiadmi) l’ont ajouté dans leurs traductions : « </w:t>
      </w:r>
      <w:r w:rsidRPr="007C6A42">
        <w:rPr>
          <w:rFonts w:asciiTheme="majorBidi" w:eastAsia="Times New Roman" w:hAnsiTheme="majorBidi" w:cstheme="majorBidi"/>
          <w:i/>
          <w:iCs/>
          <w:shd w:val="clear" w:color="auto" w:fill="FFFFFF"/>
          <w:lang w:bidi="ar-KW"/>
        </w:rPr>
        <w:t>on leur dira</w:t>
      </w:r>
      <w:r w:rsidRPr="007C6A42">
        <w:rPr>
          <w:rFonts w:asciiTheme="majorBidi" w:eastAsia="Times New Roman" w:hAnsiTheme="majorBidi" w:cstheme="majorBidi"/>
          <w:shd w:val="clear" w:color="auto" w:fill="FFFFFF"/>
          <w:lang w:bidi="ar-KW"/>
        </w:rPr>
        <w:t> », « </w:t>
      </w:r>
      <w:r w:rsidRPr="007C6A42">
        <w:rPr>
          <w:rFonts w:asciiTheme="majorBidi" w:eastAsia="Times New Roman" w:hAnsiTheme="majorBidi" w:cstheme="majorBidi"/>
          <w:i/>
          <w:iCs/>
          <w:shd w:val="clear" w:color="auto" w:fill="FFFFFF"/>
          <w:lang w:bidi="ar-KW"/>
        </w:rPr>
        <w:t>on leur criera</w:t>
      </w:r>
      <w:r w:rsidRPr="007C6A42">
        <w:rPr>
          <w:rFonts w:asciiTheme="majorBidi" w:eastAsia="Times New Roman" w:hAnsiTheme="majorBidi" w:cstheme="majorBidi"/>
          <w:shd w:val="clear" w:color="auto" w:fill="FFFFFF"/>
          <w:lang w:bidi="ar-KW"/>
        </w:rPr>
        <w:t> », « </w:t>
      </w:r>
      <w:r w:rsidRPr="007C6A42">
        <w:rPr>
          <w:rFonts w:asciiTheme="majorBidi" w:eastAsia="Times New Roman" w:hAnsiTheme="majorBidi" w:cstheme="majorBidi"/>
          <w:i/>
          <w:iCs/>
        </w:rPr>
        <w:t>[et il leur sera crié]</w:t>
      </w:r>
      <w:r w:rsidRPr="007C6A42">
        <w:rPr>
          <w:rFonts w:asciiTheme="majorBidi" w:eastAsia="Times New Roman" w:hAnsiTheme="majorBidi" w:cstheme="majorBidi"/>
        </w:rPr>
        <w:t> »</w:t>
      </w:r>
      <w:r w:rsidRPr="007C6A42">
        <w:rPr>
          <w:rFonts w:asciiTheme="majorBidi" w:eastAsia="Times New Roman" w:hAnsiTheme="majorBidi" w:cstheme="majorBidi"/>
          <w:shd w:val="clear" w:color="auto" w:fill="FFFFFF"/>
          <w:lang w:bidi="ar-KW"/>
        </w:rPr>
        <w:t>. Cet ajout par les traducteurs « </w:t>
      </w:r>
      <w:r w:rsidRPr="007C6A42">
        <w:rPr>
          <w:rFonts w:asciiTheme="majorBidi" w:hAnsiTheme="majorBidi" w:cstheme="majorBidi"/>
        </w:rPr>
        <w:t>n’ajoute rien et ne fait qu’accroître la masse brute du texte », pour reprendre les termes d’Antoine Berman, car « l’allongement est un relâchement portant atteinte à la rythmique de l’œuvre » et au style rhétorique du texte arabe de départ.</w:t>
      </w:r>
    </w:p>
    <w:p w14:paraId="1FFA752E"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666E2493" w14:textId="77777777" w:rsidR="00A70B78" w:rsidRPr="007C6A42" w:rsidRDefault="00A70B78" w:rsidP="00A70B78">
      <w:pPr>
        <w:spacing w:line="360" w:lineRule="auto"/>
        <w:contextualSpacing/>
        <w:jc w:val="both"/>
        <w:outlineLvl w:val="0"/>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b/>
          <w:bCs/>
          <w:shd w:val="clear" w:color="auto" w:fill="FFFFFF"/>
          <w:lang w:bidi="ar-KW"/>
        </w:rPr>
        <w:t>Comment on a traduit l’omission de l’information de la particule « </w:t>
      </w:r>
      <w:r w:rsidRPr="007C6A42">
        <w:rPr>
          <w:rFonts w:asciiTheme="majorBidi" w:eastAsia="Times New Roman" w:hAnsiTheme="majorBidi" w:cstheme="majorBidi"/>
          <w:b/>
          <w:bCs/>
          <w:i/>
          <w:iCs/>
          <w:shd w:val="clear" w:color="auto" w:fill="FFFFFF"/>
          <w:lang w:bidi="ar-KW"/>
        </w:rPr>
        <w:t>ʾinna</w:t>
      </w:r>
      <w:r w:rsidRPr="007C6A42">
        <w:rPr>
          <w:rFonts w:asciiTheme="majorBidi" w:eastAsia="Times New Roman" w:hAnsiTheme="majorBidi" w:cstheme="majorBidi"/>
          <w:b/>
          <w:bCs/>
          <w:shd w:val="clear" w:color="auto" w:fill="FFFFFF"/>
          <w:lang w:bidi="ar-KW"/>
        </w:rPr>
        <w:t> » dans le verset 25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3F7DA2F1" w14:textId="77777777" w:rsidTr="00AF4FC9">
        <w:tc>
          <w:tcPr>
            <w:tcW w:w="10920" w:type="dxa"/>
            <w:gridSpan w:val="2"/>
            <w:tcBorders>
              <w:top w:val="nil"/>
              <w:left w:val="single" w:sz="4" w:space="0" w:color="auto"/>
              <w:bottom w:val="single" w:sz="4" w:space="0" w:color="auto"/>
              <w:right w:val="single" w:sz="4" w:space="0" w:color="auto"/>
            </w:tcBorders>
          </w:tcPr>
          <w:p w14:paraId="2A7E0474" w14:textId="77777777" w:rsidR="00A70B78" w:rsidRPr="007C6A42" w:rsidRDefault="00A70B78" w:rsidP="00AF4FC9">
            <w:pPr>
              <w:bidi/>
              <w:spacing w:line="360" w:lineRule="auto"/>
              <w:ind w:firstLine="708"/>
              <w:jc w:val="center"/>
              <w:rPr>
                <w:rFonts w:asciiTheme="majorBidi" w:eastAsia="Times New Roman" w:hAnsiTheme="majorBidi" w:cstheme="majorBidi"/>
                <w:lang w:bidi="ar-KW"/>
              </w:rPr>
            </w:pPr>
            <w:r w:rsidRPr="007C6A42">
              <w:rPr>
                <w:rFonts w:asciiTheme="majorBidi" w:eastAsia="Calibri" w:hAnsiTheme="majorBidi" w:cstheme="majorBidi"/>
                <w:rtl/>
                <w:lang w:bidi="ar-AE"/>
              </w:rPr>
              <w:t>"إنَّ الذين كَفروا ويَصُدُّون عن سبيلِ اللهِ والمسجد الحرامِ الذي جعلناه للناسِ سواء العاكف فيه والبادِ</w:t>
            </w:r>
            <w:r w:rsidRPr="007C6A42">
              <w:rPr>
                <w:rFonts w:asciiTheme="majorBidi" w:eastAsia="Calibri" w:hAnsiTheme="majorBidi" w:cstheme="majorBidi"/>
                <w:rtl/>
                <w:lang w:bidi="ar-KW"/>
              </w:rPr>
              <w:t xml:space="preserve"> </w:t>
            </w:r>
            <w:r w:rsidRPr="007C6A42">
              <w:rPr>
                <w:rFonts w:asciiTheme="majorBidi" w:eastAsia="Calibri" w:hAnsiTheme="majorBidi" w:cstheme="majorBidi"/>
                <w:rtl/>
                <w:lang w:bidi="ar-AE"/>
              </w:rPr>
              <w:t>ومن يُرِدْ فيه بإلحادٍ بظلمٍ نُذِقْه من عذابٍ أليمٍ.</w:t>
            </w:r>
            <w:r w:rsidRPr="007C6A42">
              <w:rPr>
                <w:rFonts w:asciiTheme="majorBidi" w:eastAsia="Times New Roman" w:hAnsiTheme="majorBidi" w:cstheme="majorBidi"/>
                <w:rtl/>
                <w:lang w:bidi="ar-AE"/>
              </w:rPr>
              <w:t>" (الحج، 25)</w:t>
            </w:r>
          </w:p>
        </w:tc>
      </w:tr>
      <w:tr w:rsidR="00A70B78" w:rsidRPr="007C6A42" w14:paraId="57204038" w14:textId="77777777" w:rsidTr="00AF4FC9">
        <w:tc>
          <w:tcPr>
            <w:tcW w:w="851" w:type="dxa"/>
            <w:tcBorders>
              <w:top w:val="single" w:sz="4" w:space="0" w:color="auto"/>
              <w:left w:val="single" w:sz="4" w:space="0" w:color="auto"/>
              <w:bottom w:val="single" w:sz="4" w:space="0" w:color="auto"/>
              <w:right w:val="single" w:sz="4" w:space="0" w:color="auto"/>
            </w:tcBorders>
          </w:tcPr>
          <w:p w14:paraId="51E0D85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10069" w:type="dxa"/>
            <w:tcBorders>
              <w:top w:val="single" w:sz="4" w:space="0" w:color="auto"/>
              <w:left w:val="single" w:sz="4" w:space="0" w:color="auto"/>
              <w:bottom w:val="single" w:sz="4" w:space="0" w:color="auto"/>
              <w:right w:val="single" w:sz="4" w:space="0" w:color="auto"/>
            </w:tcBorders>
          </w:tcPr>
          <w:p w14:paraId="39D90E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&amp; les infidelles reʃʃentiront de grands tourmens, parce qu’ils ont empeʃché le peuple d’embraʃʃer la foy, &amp; de viʃiter le Tèple de la Mecque, que Dieu a eʃtably pour y eʃtre adoré de tout le monde, celuy qui ʃe fera ʃoliciter de le viʃiter, &amp; qui entrera auec deʃʃein de retourner en ʃon impieté, ʃera rigoureuʃement chaʃtié.</w:t>
            </w:r>
          </w:p>
        </w:tc>
      </w:tr>
      <w:tr w:rsidR="00A70B78" w:rsidRPr="007C6A42" w14:paraId="04668961" w14:textId="77777777" w:rsidTr="00AF4FC9">
        <w:tc>
          <w:tcPr>
            <w:tcW w:w="851" w:type="dxa"/>
            <w:tcBorders>
              <w:top w:val="single" w:sz="4" w:space="0" w:color="auto"/>
              <w:left w:val="single" w:sz="4" w:space="0" w:color="auto"/>
              <w:bottom w:val="single" w:sz="4" w:space="0" w:color="auto"/>
              <w:right w:val="single" w:sz="4" w:space="0" w:color="auto"/>
            </w:tcBorders>
          </w:tcPr>
          <w:p w14:paraId="0B4C956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10069" w:type="dxa"/>
            <w:tcBorders>
              <w:top w:val="single" w:sz="4" w:space="0" w:color="auto"/>
              <w:left w:val="single" w:sz="4" w:space="0" w:color="auto"/>
              <w:bottom w:val="single" w:sz="4" w:space="0" w:color="auto"/>
              <w:right w:val="single" w:sz="4" w:space="0" w:color="auto"/>
            </w:tcBorders>
          </w:tcPr>
          <w:p w14:paraId="140CBAA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Les infidèles qui écarteront les croyans du sentier de Dieu et du temple saint, que tous les hommes, soit étrangers, soit habitans de la Mecque, doivent visiter ;</w:t>
            </w:r>
          </w:p>
          <w:p w14:paraId="47618CE2"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ceux qui voudraient le profaner, éprouveront la rigueur de nos châtimens.</w:t>
            </w:r>
          </w:p>
        </w:tc>
      </w:tr>
      <w:tr w:rsidR="00A70B78" w:rsidRPr="007C6A42" w14:paraId="65A26E6C" w14:textId="77777777" w:rsidTr="00AF4FC9">
        <w:tc>
          <w:tcPr>
            <w:tcW w:w="851" w:type="dxa"/>
            <w:tcBorders>
              <w:top w:val="single" w:sz="4" w:space="0" w:color="auto"/>
              <w:left w:val="single" w:sz="4" w:space="0" w:color="auto"/>
              <w:bottom w:val="single" w:sz="4" w:space="0" w:color="auto"/>
              <w:right w:val="single" w:sz="4" w:space="0" w:color="auto"/>
            </w:tcBorders>
          </w:tcPr>
          <w:p w14:paraId="6CB1087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 xml:space="preserve">Kaz. </w:t>
            </w:r>
          </w:p>
        </w:tc>
        <w:tc>
          <w:tcPr>
            <w:tcW w:w="10069" w:type="dxa"/>
            <w:tcBorders>
              <w:top w:val="single" w:sz="4" w:space="0" w:color="auto"/>
              <w:left w:val="single" w:sz="4" w:space="0" w:color="auto"/>
              <w:bottom w:val="single" w:sz="4" w:space="0" w:color="auto"/>
              <w:right w:val="single" w:sz="4" w:space="0" w:color="auto"/>
            </w:tcBorders>
          </w:tcPr>
          <w:p w14:paraId="5E9E4F83"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Les incrédules sont ceux qui éloignent les hommes du chemin de Dieu et les écartent de l'oratoire sacré que nous avons établi pour tous les hommes, que les habitants de La Mecque ont le droit de visiter, aussi bien que les externes.</w:t>
            </w:r>
          </w:p>
          <w:p w14:paraId="7A5D3AB7"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Et ceux qui voudraient le profaner dans leur iniquité éprouveront un châtiment douloureux.</w:t>
            </w:r>
          </w:p>
        </w:tc>
      </w:tr>
      <w:tr w:rsidR="00A70B78" w:rsidRPr="007C6A42" w14:paraId="746C44CC" w14:textId="77777777" w:rsidTr="00AF4FC9">
        <w:tc>
          <w:tcPr>
            <w:tcW w:w="851" w:type="dxa"/>
            <w:tcBorders>
              <w:top w:val="single" w:sz="4" w:space="0" w:color="auto"/>
              <w:left w:val="single" w:sz="4" w:space="0" w:color="auto"/>
              <w:bottom w:val="single" w:sz="4" w:space="0" w:color="auto"/>
              <w:right w:val="single" w:sz="4" w:space="0" w:color="auto"/>
            </w:tcBorders>
          </w:tcPr>
          <w:p w14:paraId="23730D7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10069" w:type="dxa"/>
            <w:tcBorders>
              <w:top w:val="single" w:sz="4" w:space="0" w:color="auto"/>
              <w:left w:val="single" w:sz="4" w:space="0" w:color="auto"/>
              <w:bottom w:val="single" w:sz="4" w:space="0" w:color="auto"/>
              <w:right w:val="single" w:sz="4" w:space="0" w:color="auto"/>
            </w:tcBorders>
          </w:tcPr>
          <w:p w14:paraId="0FD834BF"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Ceux qui sont infidèles écartent du Chemin d’Allah et de la Mosquée Sacrée que Nous avons placée pour [</w:t>
            </w:r>
            <w:r w:rsidRPr="007C6A42">
              <w:rPr>
                <w:rFonts w:asciiTheme="majorBidi" w:eastAsia="Calibri" w:hAnsiTheme="majorBidi" w:cstheme="majorBidi"/>
                <w:i/>
              </w:rPr>
              <w:t>tous</w:t>
            </w:r>
            <w:r w:rsidRPr="007C6A42">
              <w:rPr>
                <w:rFonts w:asciiTheme="majorBidi" w:eastAsia="Calibri" w:hAnsiTheme="majorBidi" w:cstheme="majorBidi"/>
              </w:rPr>
              <w:t>] les Hommes également, [</w:t>
            </w:r>
            <w:r w:rsidRPr="007C6A42">
              <w:rPr>
                <w:rFonts w:asciiTheme="majorBidi" w:eastAsia="Calibri" w:hAnsiTheme="majorBidi" w:cstheme="majorBidi"/>
                <w:i/>
              </w:rPr>
              <w:t>pour</w:t>
            </w:r>
            <w:r w:rsidRPr="007C6A42">
              <w:rPr>
                <w:rFonts w:asciiTheme="majorBidi" w:eastAsia="Calibri" w:hAnsiTheme="majorBidi" w:cstheme="majorBidi"/>
              </w:rPr>
              <w:t>] celui qui réside près d’elle et [</w:t>
            </w:r>
            <w:r w:rsidRPr="007C6A42">
              <w:rPr>
                <w:rFonts w:asciiTheme="majorBidi" w:eastAsia="Calibri" w:hAnsiTheme="majorBidi" w:cstheme="majorBidi"/>
                <w:i/>
              </w:rPr>
              <w:t>pour</w:t>
            </w:r>
            <w:r w:rsidRPr="007C6A42">
              <w:rPr>
                <w:rFonts w:asciiTheme="majorBidi" w:eastAsia="Calibri" w:hAnsiTheme="majorBidi" w:cstheme="majorBidi"/>
              </w:rPr>
              <w:t>] celui du dehors. Or Nous ferons goûter un tourment cruel à quiconque, à l’égard de [cette Mosquée], voudra [</w:t>
            </w:r>
            <w:r w:rsidRPr="007C6A42">
              <w:rPr>
                <w:rFonts w:asciiTheme="majorBidi" w:eastAsia="Calibri" w:hAnsiTheme="majorBidi" w:cstheme="majorBidi"/>
                <w:i/>
              </w:rPr>
              <w:t>agir</w:t>
            </w:r>
            <w:r w:rsidRPr="007C6A42">
              <w:rPr>
                <w:rFonts w:asciiTheme="majorBidi" w:eastAsia="Calibri" w:hAnsiTheme="majorBidi" w:cstheme="majorBidi"/>
              </w:rPr>
              <w:t>] par sacrilège ( ?), par injustice.</w:t>
            </w:r>
          </w:p>
        </w:tc>
      </w:tr>
      <w:tr w:rsidR="00A70B78" w:rsidRPr="007C6A42" w14:paraId="20C03BB5" w14:textId="77777777" w:rsidTr="00AF4FC9">
        <w:tc>
          <w:tcPr>
            <w:tcW w:w="851" w:type="dxa"/>
            <w:tcBorders>
              <w:top w:val="single" w:sz="4" w:space="0" w:color="auto"/>
              <w:left w:val="single" w:sz="4" w:space="0" w:color="auto"/>
              <w:bottom w:val="single" w:sz="4" w:space="0" w:color="auto"/>
              <w:right w:val="single" w:sz="4" w:space="0" w:color="auto"/>
            </w:tcBorders>
          </w:tcPr>
          <w:p w14:paraId="789835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10069" w:type="dxa"/>
            <w:tcBorders>
              <w:top w:val="single" w:sz="4" w:space="0" w:color="auto"/>
              <w:left w:val="single" w:sz="4" w:space="0" w:color="auto"/>
              <w:bottom w:val="single" w:sz="4" w:space="0" w:color="auto"/>
              <w:right w:val="single" w:sz="4" w:space="0" w:color="auto"/>
            </w:tcBorders>
          </w:tcPr>
          <w:p w14:paraId="0258B91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Oui, ceux qui mécroient et qui empêchent du sentier de Dieu, ainsi que de la Sainte Mosquée* que Nous avons assignée aux gens… - celui qui s’y retire et celui qui y est de passage sont égaux ; - et quiconque lui en veut en quoi que ce soit, par sacrilège, par prévarication, Nous le ferons goûter au châtiment douloureux.</w:t>
            </w:r>
          </w:p>
        </w:tc>
      </w:tr>
      <w:tr w:rsidR="00A70B78" w:rsidRPr="007C6A42" w14:paraId="079B590F" w14:textId="77777777" w:rsidTr="00AF4FC9">
        <w:tc>
          <w:tcPr>
            <w:tcW w:w="851" w:type="dxa"/>
            <w:tcBorders>
              <w:top w:val="single" w:sz="4" w:space="0" w:color="auto"/>
              <w:left w:val="single" w:sz="4" w:space="0" w:color="auto"/>
              <w:bottom w:val="single" w:sz="4" w:space="0" w:color="auto"/>
              <w:right w:val="single" w:sz="4" w:space="0" w:color="auto"/>
            </w:tcBorders>
          </w:tcPr>
          <w:p w14:paraId="09BF5EA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10069" w:type="dxa"/>
            <w:tcBorders>
              <w:top w:val="single" w:sz="4" w:space="0" w:color="auto"/>
              <w:left w:val="single" w:sz="4" w:space="0" w:color="auto"/>
              <w:bottom w:val="single" w:sz="4" w:space="0" w:color="auto"/>
              <w:right w:val="single" w:sz="4" w:space="0" w:color="auto"/>
            </w:tcBorders>
          </w:tcPr>
          <w:p w14:paraId="0D9E291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 ceux qui sont incrédules, à ceux qui écartent les hommes du chemin de Dieu et de la Mosquée sacrée que nous avons établie pour les gens, - celui qui y réside et le nomade y sont égaux – à quiconque veut la profaner par perversité, nous ferons goûter un châtiment douloureux.</w:t>
            </w:r>
          </w:p>
        </w:tc>
      </w:tr>
      <w:tr w:rsidR="00A70B78" w:rsidRPr="007C6A42" w14:paraId="7970ED85" w14:textId="77777777" w:rsidTr="00AF4FC9">
        <w:tc>
          <w:tcPr>
            <w:tcW w:w="851" w:type="dxa"/>
            <w:tcBorders>
              <w:top w:val="single" w:sz="4" w:space="0" w:color="auto"/>
              <w:left w:val="single" w:sz="4" w:space="0" w:color="auto"/>
              <w:bottom w:val="single" w:sz="4" w:space="0" w:color="auto"/>
              <w:right w:val="single" w:sz="4" w:space="0" w:color="auto"/>
            </w:tcBorders>
          </w:tcPr>
          <w:p w14:paraId="6DB4580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10069" w:type="dxa"/>
            <w:tcBorders>
              <w:top w:val="single" w:sz="4" w:space="0" w:color="auto"/>
              <w:left w:val="single" w:sz="4" w:space="0" w:color="auto"/>
              <w:bottom w:val="single" w:sz="4" w:space="0" w:color="auto"/>
              <w:right w:val="single" w:sz="4" w:space="0" w:color="auto"/>
            </w:tcBorders>
          </w:tcPr>
          <w:p w14:paraId="3AA224F7"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Ceux qui effacent écartent du sentier d’Allah et de la Mosquée Interdite, que nous avons établie pour les hommes, pour le résident comme pour le nomade. Qui veut agir en fraude, contre lui, nous lui faisons goûter le supplice terrible.</w:t>
            </w:r>
          </w:p>
        </w:tc>
      </w:tr>
      <w:tr w:rsidR="00A70B78" w:rsidRPr="007C6A42" w14:paraId="7C10B6D6" w14:textId="77777777" w:rsidTr="00AF4FC9">
        <w:tc>
          <w:tcPr>
            <w:tcW w:w="851" w:type="dxa"/>
            <w:tcBorders>
              <w:top w:val="single" w:sz="4" w:space="0" w:color="auto"/>
              <w:left w:val="single" w:sz="4" w:space="0" w:color="auto"/>
              <w:bottom w:val="single" w:sz="4" w:space="0" w:color="auto"/>
              <w:right w:val="single" w:sz="4" w:space="0" w:color="auto"/>
            </w:tcBorders>
          </w:tcPr>
          <w:p w14:paraId="7C5506B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10069" w:type="dxa"/>
            <w:tcBorders>
              <w:top w:val="single" w:sz="4" w:space="0" w:color="auto"/>
              <w:left w:val="single" w:sz="4" w:space="0" w:color="auto"/>
              <w:bottom w:val="single" w:sz="4" w:space="0" w:color="auto"/>
              <w:right w:val="single" w:sz="4" w:space="0" w:color="auto"/>
            </w:tcBorders>
          </w:tcPr>
          <w:p w14:paraId="64EEAC6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Ceux qui ont été incrédules, qui empêchent l’accès du chemin de Dieu et de la Mosquée Sacrée que Nous avons établis pour tous les Hommes (ceux qui y font retraite comme ceux de passage), </w:t>
            </w:r>
          </w:p>
          <w:p w14:paraId="3359189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Ceux qui voudraient le profaner en commettant une injustice ; à tous ceux-là, Nous ferons goûter un tourment cruel.</w:t>
            </w:r>
          </w:p>
        </w:tc>
      </w:tr>
      <w:tr w:rsidR="00A70B78" w:rsidRPr="007C6A42" w14:paraId="071549C7" w14:textId="77777777" w:rsidTr="00AF4FC9">
        <w:tc>
          <w:tcPr>
            <w:tcW w:w="851" w:type="dxa"/>
            <w:tcBorders>
              <w:top w:val="single" w:sz="4" w:space="0" w:color="auto"/>
              <w:left w:val="single" w:sz="4" w:space="0" w:color="auto"/>
              <w:bottom w:val="single" w:sz="4" w:space="0" w:color="auto"/>
              <w:right w:val="single" w:sz="4" w:space="0" w:color="auto"/>
            </w:tcBorders>
          </w:tcPr>
          <w:p w14:paraId="28431E1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10069" w:type="dxa"/>
            <w:tcBorders>
              <w:top w:val="single" w:sz="4" w:space="0" w:color="auto"/>
              <w:left w:val="single" w:sz="4" w:space="0" w:color="auto"/>
              <w:bottom w:val="single" w:sz="4" w:space="0" w:color="auto"/>
              <w:right w:val="single" w:sz="4" w:space="0" w:color="auto"/>
            </w:tcBorders>
          </w:tcPr>
          <w:p w14:paraId="31E70771"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Mais ceux qui mécroient et qui obstruent le sentier d’Allah et celui de la Mosquée sacrée, que Nous avons établie pour les gens : aussi bien les résidents que ceux de passage... Quiconque cherche à y commettre un sacrilège injustement, Nous lui ferons goûter un châtiment douloureux,</w:t>
            </w:r>
          </w:p>
        </w:tc>
      </w:tr>
      <w:tr w:rsidR="00A70B78" w:rsidRPr="007C6A42" w14:paraId="3ACFB3AE" w14:textId="77777777" w:rsidTr="00AF4FC9">
        <w:tc>
          <w:tcPr>
            <w:tcW w:w="851" w:type="dxa"/>
            <w:tcBorders>
              <w:top w:val="single" w:sz="4" w:space="0" w:color="auto"/>
              <w:left w:val="single" w:sz="4" w:space="0" w:color="auto"/>
              <w:bottom w:val="single" w:sz="4" w:space="0" w:color="auto"/>
              <w:right w:val="single" w:sz="4" w:space="0" w:color="auto"/>
            </w:tcBorders>
          </w:tcPr>
          <w:p w14:paraId="56BC14F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10069" w:type="dxa"/>
            <w:tcBorders>
              <w:top w:val="single" w:sz="4" w:space="0" w:color="auto"/>
              <w:left w:val="single" w:sz="4" w:space="0" w:color="auto"/>
              <w:bottom w:val="single" w:sz="4" w:space="0" w:color="auto"/>
              <w:right w:val="single" w:sz="4" w:space="0" w:color="auto"/>
            </w:tcBorders>
          </w:tcPr>
          <w:p w14:paraId="087CE7A7" w14:textId="77777777" w:rsidR="00A70B78" w:rsidRPr="007C6A42" w:rsidRDefault="00A70B78" w:rsidP="00AF4FC9">
            <w:pPr>
              <w:spacing w:line="360" w:lineRule="auto"/>
              <w:contextualSpacing/>
              <w:rPr>
                <w:rFonts w:asciiTheme="majorBidi" w:eastAsia="Times New Roman" w:hAnsiTheme="majorBidi" w:cstheme="majorBidi"/>
                <w:lang w:bidi="ar-AE"/>
              </w:rPr>
            </w:pPr>
            <w:r w:rsidRPr="007C6A42">
              <w:rPr>
                <w:rFonts w:asciiTheme="majorBidi" w:eastAsia="Times New Roman" w:hAnsiTheme="majorBidi" w:cstheme="majorBidi"/>
                <w:lang w:bidi="ar-AE"/>
              </w:rPr>
              <w:t>Les dénégateurs, ceux qui dressent des obstacles sur le chemin de Dieu, et de l’Oratoire consacré que Nous avons institué pour les hommes, à égalité pour le résidant et l’itinérant… et quiconque aurait volonté d’injustice et de déviation, Nous lui ferions goûter d’un châtiment douloureux.</w:t>
            </w:r>
          </w:p>
        </w:tc>
      </w:tr>
      <w:tr w:rsidR="00A70B78" w:rsidRPr="007C6A42" w14:paraId="22502F86" w14:textId="77777777" w:rsidTr="00AF4FC9">
        <w:tc>
          <w:tcPr>
            <w:tcW w:w="851" w:type="dxa"/>
            <w:tcBorders>
              <w:top w:val="single" w:sz="4" w:space="0" w:color="auto"/>
              <w:left w:val="single" w:sz="4" w:space="0" w:color="auto"/>
              <w:bottom w:val="single" w:sz="4" w:space="0" w:color="auto"/>
              <w:right w:val="single" w:sz="4" w:space="0" w:color="auto"/>
            </w:tcBorders>
          </w:tcPr>
          <w:p w14:paraId="4D2CF50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10069" w:type="dxa"/>
            <w:tcBorders>
              <w:top w:val="single" w:sz="4" w:space="0" w:color="auto"/>
              <w:left w:val="single" w:sz="4" w:space="0" w:color="auto"/>
              <w:bottom w:val="single" w:sz="4" w:space="0" w:color="auto"/>
              <w:right w:val="single" w:sz="4" w:space="0" w:color="auto"/>
            </w:tcBorders>
          </w:tcPr>
          <w:p w14:paraId="50C0C6B6" w14:textId="77777777" w:rsidR="00A70B78" w:rsidRPr="007C6A42" w:rsidRDefault="00A70B78" w:rsidP="00AF4FC9">
            <w:pPr>
              <w:spacing w:line="360" w:lineRule="auto"/>
              <w:jc w:val="both"/>
              <w:rPr>
                <w:rFonts w:asciiTheme="majorBidi" w:eastAsia="BatangChe" w:hAnsiTheme="majorBidi" w:cstheme="majorBidi"/>
              </w:rPr>
            </w:pPr>
            <w:r w:rsidRPr="007C6A42">
              <w:rPr>
                <w:rFonts w:asciiTheme="majorBidi" w:eastAsia="BatangChe" w:hAnsiTheme="majorBidi" w:cstheme="majorBidi"/>
              </w:rPr>
              <w:t>Les infidèles sont ceux qui éloignent les autres du divin sentier</w:t>
            </w:r>
          </w:p>
          <w:p w14:paraId="0E9424AA" w14:textId="77777777" w:rsidR="00A70B78" w:rsidRPr="007C6A42" w:rsidRDefault="00A70B78" w:rsidP="00AF4FC9">
            <w:pPr>
              <w:spacing w:line="360" w:lineRule="auto"/>
              <w:jc w:val="both"/>
              <w:rPr>
                <w:rFonts w:asciiTheme="majorBidi" w:eastAsia="BatangChe" w:hAnsiTheme="majorBidi" w:cstheme="majorBidi"/>
              </w:rPr>
            </w:pPr>
            <w:r w:rsidRPr="007C6A42">
              <w:rPr>
                <w:rFonts w:asciiTheme="majorBidi" w:eastAsia="BatangChe" w:hAnsiTheme="majorBidi" w:cstheme="majorBidi"/>
              </w:rPr>
              <w:t xml:space="preserve">Comme de l’oratoire sacré que Nous avons édifié pour l’humanité. </w:t>
            </w:r>
          </w:p>
          <w:p w14:paraId="644F3A7D" w14:textId="77777777" w:rsidR="00A70B78" w:rsidRPr="007C6A42" w:rsidRDefault="00A70B78" w:rsidP="00AF4FC9">
            <w:pPr>
              <w:spacing w:line="360" w:lineRule="auto"/>
              <w:jc w:val="both"/>
              <w:rPr>
                <w:rFonts w:asciiTheme="majorBidi" w:eastAsia="BatangChe" w:hAnsiTheme="majorBidi" w:cstheme="majorBidi"/>
              </w:rPr>
            </w:pPr>
            <w:r w:rsidRPr="007C6A42">
              <w:rPr>
                <w:rFonts w:asciiTheme="majorBidi" w:eastAsia="BatangChe" w:hAnsiTheme="majorBidi" w:cstheme="majorBidi"/>
              </w:rPr>
              <w:lastRenderedPageBreak/>
              <w:t>Ceux qui y résident comme ceux qui transitent y sont à égalité.</w:t>
            </w:r>
          </w:p>
          <w:p w14:paraId="4E83B81C" w14:textId="77777777" w:rsidR="00A70B78" w:rsidRPr="007C6A42" w:rsidRDefault="00A70B78" w:rsidP="00AF4FC9">
            <w:pPr>
              <w:spacing w:line="360" w:lineRule="auto"/>
              <w:jc w:val="both"/>
              <w:rPr>
                <w:rFonts w:asciiTheme="majorBidi" w:eastAsia="BatangChe" w:hAnsiTheme="majorBidi" w:cstheme="majorBidi"/>
              </w:rPr>
            </w:pPr>
            <w:r w:rsidRPr="007C6A42">
              <w:rPr>
                <w:rFonts w:asciiTheme="majorBidi" w:eastAsia="BatangChe" w:hAnsiTheme="majorBidi" w:cstheme="majorBidi"/>
              </w:rPr>
              <w:t>Et ceux qui, par méchanceté, voudraient le profaner,</w:t>
            </w:r>
          </w:p>
          <w:p w14:paraId="2E3AD6D3" w14:textId="77777777" w:rsidR="00A70B78" w:rsidRPr="007C6A42" w:rsidRDefault="00A70B78" w:rsidP="00AF4FC9">
            <w:pPr>
              <w:spacing w:line="360" w:lineRule="auto"/>
              <w:jc w:val="both"/>
              <w:rPr>
                <w:rFonts w:asciiTheme="majorBidi" w:eastAsia="BatangChe" w:hAnsiTheme="majorBidi" w:cstheme="majorBidi"/>
              </w:rPr>
            </w:pPr>
            <w:r w:rsidRPr="007C6A42">
              <w:rPr>
                <w:rFonts w:asciiTheme="majorBidi" w:eastAsia="BatangChe" w:hAnsiTheme="majorBidi" w:cstheme="majorBidi"/>
              </w:rPr>
              <w:t xml:space="preserve">Nous les éprouverons par un châtiment sans pitié. </w:t>
            </w:r>
          </w:p>
        </w:tc>
      </w:tr>
      <w:tr w:rsidR="00A70B78" w:rsidRPr="007C6A42" w14:paraId="4B719934" w14:textId="77777777" w:rsidTr="00AF4FC9">
        <w:tc>
          <w:tcPr>
            <w:tcW w:w="851" w:type="dxa"/>
            <w:tcBorders>
              <w:top w:val="single" w:sz="4" w:space="0" w:color="auto"/>
              <w:left w:val="single" w:sz="4" w:space="0" w:color="auto"/>
              <w:bottom w:val="single" w:sz="4" w:space="0" w:color="auto"/>
              <w:right w:val="single" w:sz="4" w:space="0" w:color="auto"/>
            </w:tcBorders>
          </w:tcPr>
          <w:p w14:paraId="793BFD7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Haf.</w:t>
            </w:r>
          </w:p>
        </w:tc>
        <w:tc>
          <w:tcPr>
            <w:tcW w:w="10069" w:type="dxa"/>
            <w:tcBorders>
              <w:top w:val="single" w:sz="4" w:space="0" w:color="auto"/>
              <w:left w:val="single" w:sz="4" w:space="0" w:color="auto"/>
              <w:bottom w:val="single" w:sz="4" w:space="0" w:color="auto"/>
              <w:right w:val="single" w:sz="4" w:space="0" w:color="auto"/>
            </w:tcBorders>
          </w:tcPr>
          <w:p w14:paraId="0D77E3F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 ceux qui sont incroyants,</w:t>
            </w:r>
            <w:r w:rsidRPr="007C6A42">
              <w:rPr>
                <w:rFonts w:asciiTheme="majorBidi" w:eastAsia="Times New Roman" w:hAnsiTheme="majorBidi" w:cstheme="majorBidi"/>
                <w:lang w:bidi="ar-AE"/>
              </w:rPr>
              <w:t xml:space="preserve"> </w:t>
            </w:r>
            <w:r w:rsidRPr="007C6A42">
              <w:rPr>
                <w:rFonts w:asciiTheme="majorBidi" w:eastAsia="Times New Roman" w:hAnsiTheme="majorBidi" w:cstheme="majorBidi"/>
              </w:rPr>
              <w:t>qui éloignent les hommes du chemin de Dieu et de la Mosquée Sacrée que Nous avons établie pour les gens, qu’ils soient résidents ou de passage ; à ceux d’entre eux qui cherchent à commettre un sacrilège injustement, Nous leur ferons goûter un châtiment douloureux.</w:t>
            </w:r>
          </w:p>
        </w:tc>
      </w:tr>
      <w:tr w:rsidR="00A70B78" w:rsidRPr="007C6A42" w14:paraId="32DAEC30" w14:textId="77777777" w:rsidTr="00AF4FC9">
        <w:tc>
          <w:tcPr>
            <w:tcW w:w="851" w:type="dxa"/>
            <w:tcBorders>
              <w:top w:val="single" w:sz="4" w:space="0" w:color="auto"/>
              <w:left w:val="single" w:sz="4" w:space="0" w:color="auto"/>
              <w:bottom w:val="single" w:sz="4" w:space="0" w:color="auto"/>
              <w:right w:val="single" w:sz="4" w:space="0" w:color="auto"/>
            </w:tcBorders>
          </w:tcPr>
          <w:p w14:paraId="600F403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10069" w:type="dxa"/>
            <w:tcBorders>
              <w:top w:val="single" w:sz="4" w:space="0" w:color="auto"/>
              <w:left w:val="single" w:sz="4" w:space="0" w:color="auto"/>
              <w:bottom w:val="single" w:sz="4" w:space="0" w:color="auto"/>
              <w:right w:val="single" w:sz="4" w:space="0" w:color="auto"/>
            </w:tcBorders>
          </w:tcPr>
          <w:p w14:paraId="4420A15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Ceux qui n’ont pas cru et qui s’écartent du sentier de Dieu et de la mosquée sainte que nous avons établie pour les hommes, qu’ils résident près d’elle ou qu’ils soient nomades, eh bien, quiconque la profane par injustice, nous lui ferons goûter l’affreux tourment.</w:t>
            </w:r>
          </w:p>
        </w:tc>
      </w:tr>
      <w:tr w:rsidR="00A70B78" w:rsidRPr="007C6A42" w14:paraId="4CB477FC" w14:textId="77777777" w:rsidTr="00AF4FC9">
        <w:tc>
          <w:tcPr>
            <w:tcW w:w="851" w:type="dxa"/>
            <w:tcBorders>
              <w:top w:val="single" w:sz="4" w:space="0" w:color="auto"/>
              <w:left w:val="single" w:sz="4" w:space="0" w:color="auto"/>
              <w:bottom w:val="single" w:sz="4" w:space="0" w:color="auto"/>
              <w:right w:val="single" w:sz="4" w:space="0" w:color="auto"/>
            </w:tcBorders>
          </w:tcPr>
          <w:p w14:paraId="13A3B5E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10069" w:type="dxa"/>
            <w:tcBorders>
              <w:top w:val="single" w:sz="4" w:space="0" w:color="auto"/>
              <w:left w:val="single" w:sz="4" w:space="0" w:color="auto"/>
              <w:bottom w:val="single" w:sz="4" w:space="0" w:color="auto"/>
              <w:right w:val="single" w:sz="4" w:space="0" w:color="auto"/>
            </w:tcBorders>
          </w:tcPr>
          <w:p w14:paraId="0A85DE7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Mais les négateurs qui s’emploient à éloigner leurs semblables de la Voie de Dieu et du Temple sacré que Nous avons établi pour tous les hommes, aussi bien pour les résidents que pour ceux qui sont de passage, ainsi que quiconque s’avise d’y commettre un sacrilège par méchanceté, Nous leur ferons goûter un châtiment douloureux.</w:t>
            </w:r>
          </w:p>
        </w:tc>
      </w:tr>
      <w:tr w:rsidR="00A70B78" w:rsidRPr="007C6A42" w14:paraId="2EE8F371" w14:textId="77777777" w:rsidTr="00AF4FC9">
        <w:tc>
          <w:tcPr>
            <w:tcW w:w="851" w:type="dxa"/>
            <w:tcBorders>
              <w:top w:val="single" w:sz="4" w:space="0" w:color="auto"/>
              <w:left w:val="single" w:sz="4" w:space="0" w:color="auto"/>
              <w:bottom w:val="single" w:sz="4" w:space="0" w:color="auto"/>
              <w:right w:val="single" w:sz="4" w:space="0" w:color="auto"/>
            </w:tcBorders>
          </w:tcPr>
          <w:p w14:paraId="426BE8F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10069" w:type="dxa"/>
            <w:tcBorders>
              <w:top w:val="single" w:sz="4" w:space="0" w:color="auto"/>
              <w:left w:val="single" w:sz="4" w:space="0" w:color="auto"/>
              <w:bottom w:val="single" w:sz="4" w:space="0" w:color="auto"/>
              <w:right w:val="single" w:sz="4" w:space="0" w:color="auto"/>
            </w:tcBorders>
          </w:tcPr>
          <w:p w14:paraId="40D4630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Ceux qui nient nos signes et écartent leurs semblables de la voie de Dieu et du Temple sacré que nous avons créé à l’usage de tous, gens de la campagne comme gens de la ville, ceux qui tentent d’imposer un schisme par violence, ceux-là nous leur ferons subir un châtiment terrible.</w:t>
            </w:r>
          </w:p>
        </w:tc>
      </w:tr>
      <w:tr w:rsidR="00A70B78" w:rsidRPr="007C6A42" w14:paraId="44ADBEFB" w14:textId="77777777" w:rsidTr="00AF4FC9">
        <w:tc>
          <w:tcPr>
            <w:tcW w:w="851" w:type="dxa"/>
            <w:tcBorders>
              <w:top w:val="single" w:sz="4" w:space="0" w:color="auto"/>
              <w:left w:val="single" w:sz="4" w:space="0" w:color="auto"/>
              <w:bottom w:val="single" w:sz="4" w:space="0" w:color="auto"/>
              <w:right w:val="single" w:sz="4" w:space="0" w:color="auto"/>
            </w:tcBorders>
          </w:tcPr>
          <w:p w14:paraId="39D00A5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10069" w:type="dxa"/>
            <w:tcBorders>
              <w:top w:val="single" w:sz="4" w:space="0" w:color="auto"/>
              <w:left w:val="single" w:sz="4" w:space="0" w:color="auto"/>
              <w:bottom w:val="single" w:sz="4" w:space="0" w:color="auto"/>
              <w:right w:val="single" w:sz="4" w:space="0" w:color="auto"/>
            </w:tcBorders>
          </w:tcPr>
          <w:p w14:paraId="7D29B911" w14:textId="77777777" w:rsidR="00A70B78" w:rsidRPr="007C6A42" w:rsidRDefault="00A70B78" w:rsidP="00AF4FC9">
            <w:pPr>
              <w:spacing w:line="360" w:lineRule="auto"/>
              <w:jc w:val="both"/>
              <w:rPr>
                <w:rFonts w:asciiTheme="majorBidi" w:eastAsia="BatangChe" w:hAnsiTheme="majorBidi" w:cstheme="majorBidi"/>
              </w:rPr>
            </w:pPr>
            <w:r w:rsidRPr="007C6A42">
              <w:rPr>
                <w:rFonts w:asciiTheme="majorBidi" w:eastAsia="BatangChe" w:hAnsiTheme="majorBidi" w:cstheme="majorBidi"/>
              </w:rPr>
              <w:t>Quant à ceux qui n’ont pas cru et qui dans leur infidélité ont poussé d’autres à s’écarter de la bonne voie qui mène à Allah, les éloignant de la Mosquée sacrée, celle-là même que Nous avons établie de manière équitable pour tous les hommes, celui qui habite à côté comme le bédouin,</w:t>
            </w:r>
            <w:r w:rsidRPr="007C6A42">
              <w:rPr>
                <w:rFonts w:asciiTheme="majorBidi" w:eastAsia="Times New Roman" w:hAnsiTheme="majorBidi" w:cstheme="majorBidi"/>
              </w:rPr>
              <w:t xml:space="preserve"> </w:t>
            </w:r>
            <w:r w:rsidRPr="007C6A42">
              <w:rPr>
                <w:rFonts w:asciiTheme="majorBidi" w:eastAsia="BatangChe" w:hAnsiTheme="majorBidi" w:cstheme="majorBidi"/>
              </w:rPr>
              <w:t>ceux-là donc goûteront un châtiment cruel en raison même de la profanation dont ils pourraient se rendre coupables.</w:t>
            </w:r>
          </w:p>
        </w:tc>
      </w:tr>
      <w:tr w:rsidR="00A70B78" w:rsidRPr="007C6A42" w14:paraId="60552DE5" w14:textId="77777777" w:rsidTr="00AF4FC9">
        <w:tc>
          <w:tcPr>
            <w:tcW w:w="851" w:type="dxa"/>
            <w:tcBorders>
              <w:top w:val="single" w:sz="4" w:space="0" w:color="auto"/>
              <w:left w:val="single" w:sz="4" w:space="0" w:color="auto"/>
              <w:bottom w:val="single" w:sz="4" w:space="0" w:color="auto"/>
              <w:right w:val="single" w:sz="4" w:space="0" w:color="auto"/>
            </w:tcBorders>
          </w:tcPr>
          <w:p w14:paraId="58847C1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10069" w:type="dxa"/>
            <w:tcBorders>
              <w:top w:val="single" w:sz="4" w:space="0" w:color="auto"/>
              <w:left w:val="single" w:sz="4" w:space="0" w:color="auto"/>
              <w:bottom w:val="single" w:sz="4" w:space="0" w:color="auto"/>
              <w:right w:val="single" w:sz="4" w:space="0" w:color="auto"/>
            </w:tcBorders>
          </w:tcPr>
          <w:p w14:paraId="6D9AA26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Certes, ceux qui devinrent mécréants et rebutent de la Cause d’Allah et de la Mosquée Sacrée, que Nous Avons Faite pour tous les hommes, en totalité : celui qui y fait la retraite pieuse, et le passager. Et quiconque y voudrait sacrilège, par injustice : Nous lui Ferons subir un douloureux châtiment. </w:t>
            </w:r>
          </w:p>
        </w:tc>
      </w:tr>
      <w:tr w:rsidR="00A70B78" w:rsidRPr="007C6A42" w14:paraId="25636293" w14:textId="77777777" w:rsidTr="00AF4FC9">
        <w:tc>
          <w:tcPr>
            <w:tcW w:w="851" w:type="dxa"/>
            <w:tcBorders>
              <w:top w:val="single" w:sz="4" w:space="0" w:color="auto"/>
              <w:left w:val="single" w:sz="4" w:space="0" w:color="auto"/>
              <w:bottom w:val="single" w:sz="4" w:space="0" w:color="auto"/>
              <w:right w:val="single" w:sz="4" w:space="0" w:color="auto"/>
            </w:tcBorders>
          </w:tcPr>
          <w:p w14:paraId="3ECE9A5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10069" w:type="dxa"/>
            <w:tcBorders>
              <w:top w:val="single" w:sz="4" w:space="0" w:color="auto"/>
              <w:left w:val="single" w:sz="4" w:space="0" w:color="auto"/>
              <w:bottom w:val="single" w:sz="4" w:space="0" w:color="auto"/>
              <w:right w:val="single" w:sz="4" w:space="0" w:color="auto"/>
            </w:tcBorders>
          </w:tcPr>
          <w:p w14:paraId="1704920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Ceux qui ont mécru et rebuté [les autres] de la voie de Dieu et du Sanctuaire interdit, celui que nous avons fait pour les humains : C’est égal qu’il y soit attaché au culte ou bédouin […]. Quiconque y veut une déformation [et] une oppression, nous lui ferons goûter un châtiment affligeant.</w:t>
            </w:r>
          </w:p>
        </w:tc>
      </w:tr>
    </w:tbl>
    <w:p w14:paraId="70C96C2E"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7A480530"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Ce type d’omission dont regorge le Coran a été considéré comme éloquent </w:t>
      </w:r>
      <w:r w:rsidRPr="007C6A42">
        <w:rPr>
          <w:rFonts w:asciiTheme="majorBidi" w:eastAsia="Times New Roman" w:hAnsiTheme="majorBidi" w:cstheme="majorBidi"/>
        </w:rPr>
        <w:t>par Sayyid Quṭb</w:t>
      </w:r>
      <w:r w:rsidRPr="007C6A42">
        <w:rPr>
          <w:rFonts w:asciiTheme="majorBidi" w:eastAsia="Times New Roman" w:hAnsiTheme="majorBidi" w:cstheme="majorBidi"/>
          <w:shd w:val="clear" w:color="auto" w:fill="FFFFFF"/>
          <w:lang w:bidi="ar-KW"/>
        </w:rPr>
        <w:t xml:space="preserve"> pour donner l’idée que le châtiment est évident. À propos de l’omission de l’information [la réponse, l’apodose] de </w:t>
      </w:r>
      <w:r w:rsidRPr="007C6A42">
        <w:rPr>
          <w:rFonts w:asciiTheme="majorBidi" w:eastAsia="Times New Roman" w:hAnsiTheme="majorBidi" w:cstheme="majorBidi"/>
          <w:i/>
          <w:iCs/>
          <w:shd w:val="clear" w:color="auto" w:fill="FFFFFF"/>
          <w:lang w:bidi="ar-KW"/>
        </w:rPr>
        <w:t>lammā</w:t>
      </w:r>
      <w:r w:rsidRPr="007C6A42">
        <w:rPr>
          <w:rFonts w:asciiTheme="majorBidi" w:eastAsia="Times New Roman" w:hAnsiTheme="majorBidi" w:cstheme="majorBidi"/>
          <w:shd w:val="clear" w:color="auto" w:fill="FFFFFF"/>
          <w:lang w:bidi="ar-KW"/>
        </w:rPr>
        <w:t xml:space="preserve"> [lorsque] dans un autre verset (XII, 15), l’exégète Ibn ʿĀshūr, dans </w:t>
      </w:r>
      <w:r w:rsidRPr="007C6A42">
        <w:rPr>
          <w:rFonts w:asciiTheme="majorBidi" w:eastAsia="Times New Roman" w:hAnsiTheme="majorBidi" w:cstheme="majorBidi"/>
          <w:i/>
          <w:iCs/>
          <w:shd w:val="clear" w:color="auto" w:fill="FFFFFF"/>
          <w:lang w:bidi="ar-KW"/>
        </w:rPr>
        <w:lastRenderedPageBreak/>
        <w:t>At-Taḥrīr wa-at-Tanwīr</w:t>
      </w:r>
      <w:r w:rsidRPr="007C6A42">
        <w:rPr>
          <w:rFonts w:asciiTheme="majorBidi" w:eastAsia="Times New Roman" w:hAnsiTheme="majorBidi" w:cstheme="majorBidi"/>
          <w:shd w:val="clear" w:color="auto" w:fill="FFFFFF"/>
          <w:lang w:bidi="ar-KW"/>
        </w:rPr>
        <w:t xml:space="preserve">, souligne que cette suppression est fréquente dans le Coran et qu’il s’agit d’un style concis </w:t>
      </w:r>
      <w:r w:rsidRPr="007C6A42">
        <w:rPr>
          <w:rFonts w:asciiTheme="majorBidi" w:eastAsia="Times New Roman" w:hAnsiTheme="majorBidi" w:cstheme="majorBidi"/>
          <w:i/>
          <w:iCs/>
          <w:shd w:val="clear" w:color="auto" w:fill="FFFFFF"/>
          <w:lang w:bidi="ar-KW"/>
        </w:rPr>
        <w:t>propre</w:t>
      </w:r>
      <w:r w:rsidRPr="007C6A42">
        <w:rPr>
          <w:rFonts w:asciiTheme="majorBidi" w:eastAsia="Times New Roman" w:hAnsiTheme="majorBidi" w:cstheme="majorBidi"/>
          <w:shd w:val="clear" w:color="auto" w:fill="FFFFFF"/>
          <w:lang w:bidi="ar-KW"/>
        </w:rPr>
        <w:t xml:space="preserve"> au Coran.</w:t>
      </w:r>
    </w:p>
    <w:p w14:paraId="37FBF29B"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Certains traducteurs (Du Ryer, Kazimirski, Blachère, Masson, Chouraqui, Ghédira, Guessous, Hafiane, Chiadmi, Ben Mahmoud et Chebel [traduction adaptée]) ont ajouté l’information de « </w:t>
      </w:r>
      <w:r w:rsidRPr="007C6A42">
        <w:rPr>
          <w:rFonts w:asciiTheme="majorBidi" w:eastAsia="Times New Roman" w:hAnsiTheme="majorBidi" w:cstheme="majorBidi"/>
          <w:i/>
          <w:iCs/>
          <w:shd w:val="clear" w:color="auto" w:fill="FFFFFF"/>
          <w:lang w:bidi="ar-KW"/>
        </w:rPr>
        <w:t>inna</w:t>
      </w:r>
      <w:r w:rsidRPr="007C6A42">
        <w:rPr>
          <w:rFonts w:asciiTheme="majorBidi" w:eastAsia="Times New Roman" w:hAnsiTheme="majorBidi" w:cstheme="majorBidi"/>
          <w:shd w:val="clear" w:color="auto" w:fill="FFFFFF"/>
          <w:lang w:bidi="ar-KW"/>
        </w:rPr>
        <w:t> », et ont ainsi comblé le vide, clarifié et rationalisé leur traduction. Ce qui rend la phrase moins ambiguë, plus claire. Cette clarification et cette rationalisation ne font que modifier la valeur rhétorique, rythmique et sémantique du texte. D’autres (Savary, Hamidullah, complexe Médine, Berque, Abdelaziz et Aldeeb) ont supprimé l’information à l’instar du texte-source.</w:t>
      </w:r>
    </w:p>
    <w:p w14:paraId="5796FB00"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Blachère relève dans une NDT que la conjonction </w:t>
      </w:r>
      <w:r w:rsidRPr="007C6A42">
        <w:rPr>
          <w:rFonts w:asciiTheme="majorBidi" w:eastAsia="Times New Roman" w:hAnsiTheme="majorBidi" w:cstheme="majorBidi"/>
          <w:i/>
          <w:iCs/>
          <w:shd w:val="clear" w:color="auto" w:fill="FFFFFF"/>
          <w:lang w:bidi="ar-KW"/>
        </w:rPr>
        <w:t>wa-</w:t>
      </w:r>
      <w:r w:rsidRPr="007C6A42">
        <w:rPr>
          <w:rFonts w:asciiTheme="majorBidi" w:eastAsia="Times New Roman" w:hAnsiTheme="majorBidi" w:cstheme="majorBidi"/>
          <w:shd w:val="clear" w:color="auto" w:fill="FFFFFF"/>
          <w:lang w:bidi="ar-KW"/>
        </w:rPr>
        <w:t xml:space="preserve"> créait des difficultés que les commentateurs ne parvenaient pas à surmonter. Cependant, Hamidullah justifie cette anomalie en soulignant dans une NDT que la phrase reste en suspens, mais qu’elle est reprise, pour l’idée, au v. 26 qui donne la conclusion, c’est-à-dire que l’information doit être incluse dans la seconde partie de la phrase (« et quiconque lui en veut en quoi que ce soit, par sacrilège, par prévarication, Nous le ferons goûter au châtiment douloureux. »).</w:t>
      </w:r>
    </w:p>
    <w:p w14:paraId="56280EE8" w14:textId="77777777" w:rsidR="00A70B78" w:rsidRPr="007C6A42" w:rsidRDefault="00A70B78" w:rsidP="00A70B78">
      <w:pPr>
        <w:spacing w:line="360" w:lineRule="auto"/>
        <w:ind w:firstLine="284"/>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Cet écart a été utilisé et justifié par les exégètes musulmans, mais rationalisé par la plupart des traducteurs.</w:t>
      </w:r>
    </w:p>
    <w:p w14:paraId="59D0C74D"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AE"/>
        </w:rPr>
      </w:pPr>
    </w:p>
    <w:p w14:paraId="397AB9D4" w14:textId="77777777" w:rsidR="00A70B78" w:rsidRPr="007C6A42" w:rsidRDefault="00A70B78" w:rsidP="00A70B78">
      <w:pPr>
        <w:spacing w:line="360" w:lineRule="auto"/>
        <w:ind w:firstLine="284"/>
        <w:contextualSpacing/>
        <w:jc w:val="both"/>
        <w:rPr>
          <w:rFonts w:asciiTheme="majorBidi" w:eastAsia="Times New Roman" w:hAnsiTheme="majorBidi" w:cstheme="majorBidi"/>
          <w:b/>
          <w:bCs/>
          <w:shd w:val="clear" w:color="auto" w:fill="FFFFFF"/>
          <w:lang w:bidi="ar-KW"/>
        </w:rPr>
      </w:pPr>
      <w:r w:rsidRPr="007C6A42">
        <w:rPr>
          <w:rFonts w:asciiTheme="majorBidi" w:eastAsia="Times New Roman" w:hAnsiTheme="majorBidi" w:cstheme="majorBidi"/>
          <w:b/>
          <w:bCs/>
          <w:shd w:val="clear" w:color="auto" w:fill="FFFFFF"/>
          <w:lang w:bidi="ar-KW"/>
        </w:rPr>
        <w:t xml:space="preserve">Traduire l’omission et la ponctuation dans le verset 78 : </w:t>
      </w:r>
    </w:p>
    <w:p w14:paraId="3437C039" w14:textId="77777777" w:rsidR="00A70B78" w:rsidRPr="007C6A42" w:rsidRDefault="00A70B78" w:rsidP="00A70B78">
      <w:pPr>
        <w:spacing w:line="360" w:lineRule="auto"/>
        <w:ind w:firstLine="284"/>
        <w:contextualSpacing/>
        <w:jc w:val="both"/>
        <w:rPr>
          <w:rFonts w:asciiTheme="majorBidi" w:eastAsia="Times New Roman" w:hAnsiTheme="majorBidi" w:cstheme="majorBidi"/>
          <w:lang w:bidi="ar-KW"/>
        </w:rPr>
      </w:pPr>
      <w:r w:rsidRPr="007C6A42">
        <w:rPr>
          <w:rFonts w:asciiTheme="majorBidi" w:eastAsia="Times New Roman" w:hAnsiTheme="majorBidi" w:cstheme="majorBidi"/>
          <w:shd w:val="clear" w:color="auto" w:fill="FFFFFF"/>
          <w:lang w:bidi="ar-KW"/>
        </w:rPr>
        <w:t>Dans le verset 78 (</w:t>
      </w:r>
      <w:r w:rsidRPr="007C6A42">
        <w:rPr>
          <w:rFonts w:asciiTheme="majorBidi" w:eastAsia="Times New Roman" w:hAnsiTheme="majorBidi" w:cstheme="majorBidi"/>
          <w:shd w:val="clear" w:color="auto" w:fill="FFFFFF"/>
          <w:rtl/>
          <w:lang w:bidi="ar-KW"/>
        </w:rPr>
        <w:t>"هو اجتباكم وما جَعلَ عليكم في الدين من حَرَجٍ [...] مِلَّةَ أبيكم إبراهيم"</w:t>
      </w:r>
      <w:r w:rsidRPr="007C6A42">
        <w:rPr>
          <w:rFonts w:asciiTheme="majorBidi" w:eastAsia="Times New Roman" w:hAnsiTheme="majorBidi" w:cstheme="majorBidi"/>
          <w:shd w:val="clear" w:color="auto" w:fill="FFFFFF"/>
          <w:lang w:bidi="ar-KW"/>
        </w:rPr>
        <w:t xml:space="preserve">), il existe une omission entre le mot </w:t>
      </w:r>
      <w:r w:rsidRPr="007C6A42">
        <w:rPr>
          <w:rFonts w:asciiTheme="majorBidi" w:eastAsia="Times New Roman" w:hAnsiTheme="majorBidi" w:cstheme="majorBidi"/>
          <w:i/>
          <w:iCs/>
          <w:shd w:val="clear" w:color="auto" w:fill="FFFFFF"/>
          <w:lang w:bidi="ar-KW"/>
        </w:rPr>
        <w:t>ḥaraj</w:t>
      </w:r>
      <w:r w:rsidRPr="007C6A42">
        <w:rPr>
          <w:rFonts w:asciiTheme="majorBidi" w:eastAsia="Times New Roman" w:hAnsiTheme="majorBidi" w:cstheme="majorBidi"/>
          <w:shd w:val="clear" w:color="auto" w:fill="FFFFFF"/>
          <w:lang w:bidi="ar-KW"/>
        </w:rPr>
        <w:t xml:space="preserve"> [gêne] et le terme au cas direct </w:t>
      </w:r>
      <w:r w:rsidRPr="007C6A42">
        <w:rPr>
          <w:rFonts w:asciiTheme="majorBidi" w:eastAsia="Times New Roman" w:hAnsiTheme="majorBidi" w:cstheme="majorBidi"/>
          <w:i/>
          <w:iCs/>
          <w:shd w:val="clear" w:color="auto" w:fill="FFFFFF"/>
          <w:lang w:bidi="ar-KW"/>
        </w:rPr>
        <w:t>milla</w:t>
      </w:r>
      <w:r w:rsidRPr="007C6A42">
        <w:rPr>
          <w:rFonts w:asciiTheme="majorBidi" w:eastAsia="Times New Roman" w:hAnsiTheme="majorBidi" w:cstheme="majorBidi"/>
          <w:i/>
          <w:iCs/>
          <w:shd w:val="clear" w:color="auto" w:fill="FFFFFF"/>
          <w:vertAlign w:val="superscript"/>
          <w:lang w:bidi="ar-KW"/>
        </w:rPr>
        <w:t>ta</w:t>
      </w:r>
      <w:r w:rsidRPr="007C6A42">
        <w:rPr>
          <w:rFonts w:asciiTheme="majorBidi" w:eastAsia="Times New Roman" w:hAnsiTheme="majorBidi" w:cstheme="majorBidi"/>
          <w:shd w:val="clear" w:color="auto" w:fill="FFFFFF"/>
          <w:lang w:bidi="ar-KW"/>
        </w:rPr>
        <w:t xml:space="preserve"> [doctrine/religion]. Le mot omis serait selon les exégètes : </w:t>
      </w:r>
      <w:r w:rsidRPr="007C6A42">
        <w:rPr>
          <w:rFonts w:asciiTheme="majorBidi" w:eastAsia="Times New Roman" w:hAnsiTheme="majorBidi" w:cstheme="majorBidi"/>
          <w:lang w:bidi="ar-AE"/>
        </w:rPr>
        <w:t>« suivez », « observez », « </w:t>
      </w:r>
      <w:r w:rsidRPr="007C6A42">
        <w:rPr>
          <w:rFonts w:asciiTheme="majorBidi" w:eastAsia="Times New Roman" w:hAnsiTheme="majorBidi" w:cstheme="majorBidi"/>
          <w:lang w:bidi="ar-KW"/>
        </w:rPr>
        <w:t>comme », « faîtes le bien selon », « c’est », etc. Aṭ-Ṭabarī ajoute que ce vide peut signifier qu’Allah a rendu votre religion facile comme celle de votre père Abraham. L’exégète syrien contemporain Amīn Shaykhū interprète le vide par le verbe « réfléchissez comme ». L’exégèse ahmadie souligne que le vide signifie que votre religion n’est pas nouvelle et qu’elle est facile comme celle d’Abraham</w:t>
      </w:r>
      <w:r w:rsidRPr="007C6A42">
        <w:rPr>
          <w:rStyle w:val="Appelnotedebasdep"/>
          <w:rFonts w:asciiTheme="majorBidi" w:eastAsia="Times New Roman" w:hAnsiTheme="majorBidi" w:cstheme="majorBidi"/>
          <w:lang w:bidi="ar-KW"/>
        </w:rPr>
        <w:footnoteReference w:id="563"/>
      </w:r>
      <w:r w:rsidRPr="007C6A42">
        <w:rPr>
          <w:rFonts w:asciiTheme="majorBidi" w:eastAsia="Times New Roman" w:hAnsiTheme="majorBidi" w:cstheme="majorBidi"/>
          <w:lang w:bidi="ar-KW"/>
        </w:rPr>
        <w:t>.</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08673379" w14:textId="77777777" w:rsidTr="00AF4FC9">
        <w:tc>
          <w:tcPr>
            <w:tcW w:w="10916" w:type="dxa"/>
            <w:gridSpan w:val="2"/>
            <w:tcBorders>
              <w:top w:val="nil"/>
              <w:left w:val="single" w:sz="4" w:space="0" w:color="auto"/>
              <w:bottom w:val="single" w:sz="4" w:space="0" w:color="auto"/>
              <w:right w:val="single" w:sz="4" w:space="0" w:color="auto"/>
            </w:tcBorders>
          </w:tcPr>
          <w:p w14:paraId="59D62C1D" w14:textId="77777777" w:rsidR="00A70B78" w:rsidRPr="007C6A42" w:rsidRDefault="00A70B78" w:rsidP="00AF4FC9">
            <w:pPr>
              <w:bidi/>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shd w:val="clear" w:color="auto" w:fill="FFFFFF"/>
                <w:rtl/>
              </w:rPr>
              <w:t>"</w:t>
            </w:r>
            <w:r w:rsidRPr="007C6A42">
              <w:rPr>
                <w:rFonts w:asciiTheme="majorBidi" w:eastAsia="Times New Roman" w:hAnsiTheme="majorBidi" w:cstheme="majorBidi"/>
                <w:shd w:val="clear" w:color="auto" w:fill="FFFFFF"/>
                <w:rtl/>
                <w:lang w:bidi="ar-KW"/>
              </w:rPr>
              <w:t xml:space="preserve">هو اجتباكم </w:t>
            </w:r>
            <w:r w:rsidRPr="007C6A42">
              <w:rPr>
                <w:rFonts w:asciiTheme="majorBidi" w:eastAsia="Times New Roman" w:hAnsiTheme="majorBidi" w:cstheme="majorBidi"/>
                <w:shd w:val="clear" w:color="auto" w:fill="FFFFFF"/>
                <w:rtl/>
              </w:rPr>
              <w:t>وما جَعلَ عليكم في الدِّين من حَرَجٍ [...] ملَّةَ أبيكم إبراهيمَ هو سمَّاكم المسلمين</w:t>
            </w:r>
            <w:r w:rsidRPr="007C6A42">
              <w:rPr>
                <w:rFonts w:asciiTheme="majorBidi" w:eastAsia="Times New Roman" w:hAnsiTheme="majorBidi" w:cstheme="majorBidi"/>
                <w:rtl/>
              </w:rPr>
              <w:t xml:space="preserve"> </w:t>
            </w:r>
            <w:r w:rsidRPr="007C6A42">
              <w:rPr>
                <w:rFonts w:asciiTheme="majorBidi" w:eastAsia="Times New Roman" w:hAnsiTheme="majorBidi" w:cstheme="majorBidi"/>
                <w:rtl/>
                <w:lang w:bidi="ar-KW"/>
              </w:rPr>
              <w:t xml:space="preserve">من قبلُ </w:t>
            </w:r>
            <w:r w:rsidRPr="007C6A42">
              <w:rPr>
                <w:rFonts w:asciiTheme="majorBidi" w:eastAsia="Calibri" w:hAnsiTheme="majorBidi" w:cstheme="majorBidi"/>
                <w:rtl/>
              </w:rPr>
              <w:t>وفي هذا ليكونَ الرسولُ شهيدًا عليكم وتكونوا شهداءَ ع</w:t>
            </w:r>
            <w:r w:rsidRPr="007C6A42">
              <w:rPr>
                <w:rFonts w:asciiTheme="majorBidi" w:eastAsia="Times New Roman" w:hAnsiTheme="majorBidi" w:cstheme="majorBidi"/>
                <w:rtl/>
              </w:rPr>
              <w:t>لى الناس</w:t>
            </w:r>
            <w:r w:rsidRPr="007C6A42">
              <w:rPr>
                <w:rFonts w:asciiTheme="majorBidi" w:eastAsia="Times New Roman" w:hAnsiTheme="majorBidi" w:cstheme="majorBidi"/>
                <w:rtl/>
                <w:lang w:bidi="ar-KW"/>
              </w:rPr>
              <w:t xml:space="preserve">" </w:t>
            </w:r>
            <w:r w:rsidRPr="007C6A42">
              <w:rPr>
                <w:rFonts w:asciiTheme="majorBidi" w:eastAsia="Times New Roman" w:hAnsiTheme="majorBidi" w:cstheme="majorBidi"/>
                <w:rtl/>
              </w:rPr>
              <w:t>(الحج، 78)</w:t>
            </w:r>
          </w:p>
        </w:tc>
      </w:tr>
      <w:tr w:rsidR="00A70B78" w:rsidRPr="007C6A42" w14:paraId="35D17157" w14:textId="77777777" w:rsidTr="00AF4FC9">
        <w:tc>
          <w:tcPr>
            <w:tcW w:w="851" w:type="dxa"/>
            <w:tcBorders>
              <w:top w:val="single" w:sz="4" w:space="0" w:color="auto"/>
              <w:left w:val="single" w:sz="4" w:space="0" w:color="auto"/>
              <w:bottom w:val="single" w:sz="4" w:space="0" w:color="auto"/>
              <w:right w:val="single" w:sz="4" w:space="0" w:color="auto"/>
            </w:tcBorders>
          </w:tcPr>
          <w:p w14:paraId="7A2E61C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10065" w:type="dxa"/>
            <w:tcBorders>
              <w:top w:val="single" w:sz="4" w:space="0" w:color="auto"/>
              <w:left w:val="single" w:sz="4" w:space="0" w:color="auto"/>
              <w:bottom w:val="single" w:sz="4" w:space="0" w:color="auto"/>
              <w:right w:val="single" w:sz="4" w:space="0" w:color="auto"/>
            </w:tcBorders>
          </w:tcPr>
          <w:p w14:paraId="6068F6D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il vous a eʃleu pour la fuiure, il ne vous a pas donné vne loy peʃante &amp; faʃcheuʃe ; C’eʃt la loy d’Abraham voʃtre pere, il vous a nommé les reʃignez en Dieu auant la venüe de l’Alcoran, le Prophete </w:t>
            </w:r>
            <w:r w:rsidRPr="007C6A42">
              <w:rPr>
                <w:rFonts w:asciiTheme="majorBidi" w:eastAsia="Times New Roman" w:hAnsiTheme="majorBidi" w:cstheme="majorBidi"/>
              </w:rPr>
              <w:lastRenderedPageBreak/>
              <w:t>ʃera teʃmoin contre vous au iour du Iugement, &amp; vous ʃerez teʃmoins contre le peuple</w:t>
            </w:r>
          </w:p>
        </w:tc>
      </w:tr>
      <w:tr w:rsidR="00A70B78" w:rsidRPr="007C6A42" w14:paraId="2043EA54" w14:textId="77777777" w:rsidTr="00AF4FC9">
        <w:tc>
          <w:tcPr>
            <w:tcW w:w="851" w:type="dxa"/>
            <w:tcBorders>
              <w:top w:val="single" w:sz="4" w:space="0" w:color="auto"/>
              <w:left w:val="single" w:sz="4" w:space="0" w:color="auto"/>
              <w:bottom w:val="single" w:sz="4" w:space="0" w:color="auto"/>
              <w:right w:val="single" w:sz="4" w:space="0" w:color="auto"/>
            </w:tcBorders>
          </w:tcPr>
          <w:p w14:paraId="3EF5E00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lastRenderedPageBreak/>
              <w:t>Sav.</w:t>
            </w:r>
          </w:p>
        </w:tc>
        <w:tc>
          <w:tcPr>
            <w:tcW w:w="10065" w:type="dxa"/>
            <w:tcBorders>
              <w:top w:val="single" w:sz="4" w:space="0" w:color="auto"/>
              <w:left w:val="single" w:sz="4" w:space="0" w:color="auto"/>
              <w:bottom w:val="single" w:sz="4" w:space="0" w:color="auto"/>
              <w:right w:val="single" w:sz="4" w:space="0" w:color="auto"/>
            </w:tcBorders>
          </w:tcPr>
          <w:p w14:paraId="79A09368"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Vous êtes ses élus. Il ne vous a rien commandé de difficile dans votre religion. C’est la foi de votre père Abraham que vous professez. C’est lui qui vous nomma </w:t>
            </w:r>
            <w:r w:rsidRPr="007C6A42">
              <w:rPr>
                <w:rFonts w:asciiTheme="majorBidi" w:eastAsia="Times New Roman" w:hAnsiTheme="majorBidi" w:cstheme="majorBidi"/>
                <w:i/>
                <w:iCs/>
              </w:rPr>
              <w:t>musulmans</w:t>
            </w:r>
            <w:r w:rsidRPr="007C6A42">
              <w:rPr>
                <w:rFonts w:asciiTheme="majorBidi" w:eastAsia="Times New Roman" w:hAnsiTheme="majorBidi" w:cstheme="majorBidi"/>
              </w:rPr>
              <w:t>. Le Coran vous confirme ce titre glorieux. Mon envoyé sera témoin contre vous, au jour de la résurrection. Vous porterez témoignage contre le genre humain.</w:t>
            </w:r>
          </w:p>
        </w:tc>
      </w:tr>
      <w:tr w:rsidR="00A70B78" w:rsidRPr="007C6A42" w14:paraId="102CDDD1" w14:textId="77777777" w:rsidTr="00AF4FC9">
        <w:tc>
          <w:tcPr>
            <w:tcW w:w="851" w:type="dxa"/>
            <w:tcBorders>
              <w:top w:val="single" w:sz="4" w:space="0" w:color="auto"/>
              <w:left w:val="single" w:sz="4" w:space="0" w:color="auto"/>
              <w:bottom w:val="single" w:sz="4" w:space="0" w:color="auto"/>
              <w:right w:val="single" w:sz="4" w:space="0" w:color="auto"/>
            </w:tcBorders>
          </w:tcPr>
          <w:p w14:paraId="6881619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10065" w:type="dxa"/>
            <w:tcBorders>
              <w:top w:val="single" w:sz="4" w:space="0" w:color="auto"/>
              <w:left w:val="single" w:sz="4" w:space="0" w:color="auto"/>
              <w:bottom w:val="single" w:sz="4" w:space="0" w:color="auto"/>
              <w:right w:val="single" w:sz="4" w:space="0" w:color="auto"/>
            </w:tcBorders>
          </w:tcPr>
          <w:p w14:paraId="4688FBB3"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vous êtes ses élus. Il ne vous a rien commandé de difficile dans votre religion, dans la religion de votre père Abraham, il vous a nommés musulmans. Il y a longtemps qu’il vous a ainsi nommés dans le Coran, afin que votre prophète soit témoin contre vous et que vous soyez témoins contre le reste des hommes.</w:t>
            </w:r>
          </w:p>
        </w:tc>
      </w:tr>
      <w:tr w:rsidR="00A70B78" w:rsidRPr="007C6A42" w14:paraId="288D1C36" w14:textId="77777777" w:rsidTr="00AF4FC9">
        <w:tc>
          <w:tcPr>
            <w:tcW w:w="851" w:type="dxa"/>
            <w:tcBorders>
              <w:top w:val="single" w:sz="4" w:space="0" w:color="auto"/>
              <w:left w:val="single" w:sz="4" w:space="0" w:color="auto"/>
              <w:bottom w:val="single" w:sz="4" w:space="0" w:color="auto"/>
              <w:right w:val="single" w:sz="4" w:space="0" w:color="auto"/>
            </w:tcBorders>
          </w:tcPr>
          <w:p w14:paraId="244661F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10065" w:type="dxa"/>
            <w:tcBorders>
              <w:top w:val="single" w:sz="4" w:space="0" w:color="auto"/>
              <w:left w:val="single" w:sz="4" w:space="0" w:color="auto"/>
              <w:bottom w:val="single" w:sz="4" w:space="0" w:color="auto"/>
              <w:right w:val="single" w:sz="4" w:space="0" w:color="auto"/>
            </w:tcBorders>
          </w:tcPr>
          <w:p w14:paraId="3B28D55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choisis et, sur vous, Il n’a placé nulle gêne en la Religion (</w:t>
            </w:r>
            <w:r w:rsidRPr="007C6A42">
              <w:rPr>
                <w:rFonts w:asciiTheme="majorBidi" w:eastAsia="Calibri" w:hAnsiTheme="majorBidi" w:cstheme="majorBidi"/>
                <w:i/>
                <w:iCs/>
              </w:rPr>
              <w:t>dîn</w:t>
            </w:r>
            <w:r w:rsidRPr="007C6A42">
              <w:rPr>
                <w:rFonts w:asciiTheme="majorBidi" w:eastAsia="Calibri" w:hAnsiTheme="majorBidi" w:cstheme="majorBidi"/>
              </w:rPr>
              <w:t>), la religion (</w:t>
            </w:r>
            <w:r w:rsidRPr="007C6A42">
              <w:rPr>
                <w:rFonts w:asciiTheme="majorBidi" w:eastAsia="Calibri" w:hAnsiTheme="majorBidi" w:cstheme="majorBidi"/>
                <w:i/>
                <w:iCs/>
              </w:rPr>
              <w:t>milla</w:t>
            </w:r>
            <w:r w:rsidRPr="007C6A42">
              <w:rPr>
                <w:rFonts w:asciiTheme="majorBidi" w:eastAsia="Calibri" w:hAnsiTheme="majorBidi" w:cstheme="majorBidi"/>
              </w:rPr>
              <w:t>) de votre père Abraham. Il Vous a nommés les Soumis, auparavant et en cette Révélation, afin que l’Apôtre soit témoin à votre encontre et que vous soyez témoins à l’encontre des Hommes.</w:t>
            </w:r>
          </w:p>
        </w:tc>
      </w:tr>
      <w:tr w:rsidR="00A70B78" w:rsidRPr="007C6A42" w14:paraId="554A64F1" w14:textId="77777777" w:rsidTr="00AF4FC9">
        <w:tc>
          <w:tcPr>
            <w:tcW w:w="851" w:type="dxa"/>
            <w:tcBorders>
              <w:top w:val="single" w:sz="4" w:space="0" w:color="auto"/>
              <w:left w:val="single" w:sz="4" w:space="0" w:color="auto"/>
              <w:bottom w:val="single" w:sz="4" w:space="0" w:color="auto"/>
              <w:right w:val="single" w:sz="4" w:space="0" w:color="auto"/>
            </w:tcBorders>
          </w:tcPr>
          <w:p w14:paraId="4880008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10065" w:type="dxa"/>
            <w:tcBorders>
              <w:top w:val="single" w:sz="4" w:space="0" w:color="auto"/>
              <w:left w:val="single" w:sz="4" w:space="0" w:color="auto"/>
              <w:bottom w:val="single" w:sz="4" w:space="0" w:color="auto"/>
              <w:right w:val="single" w:sz="4" w:space="0" w:color="auto"/>
            </w:tcBorders>
          </w:tcPr>
          <w:p w14:paraId="71A15518"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C’est Lui qui vous a élus ; et Il ne vous a pas assigné de gêne dans la religion comme culte de votre père Abraham, lequel vous a nommés « Soumis », autrefois, - et ici aussi,- afin que le messager soit témoin sur vous et que vous soyez témoins sur les gens.</w:t>
            </w:r>
          </w:p>
        </w:tc>
      </w:tr>
      <w:tr w:rsidR="00A70B78" w:rsidRPr="007C6A42" w14:paraId="1034AE54" w14:textId="77777777" w:rsidTr="00AF4FC9">
        <w:tc>
          <w:tcPr>
            <w:tcW w:w="851" w:type="dxa"/>
            <w:tcBorders>
              <w:top w:val="single" w:sz="4" w:space="0" w:color="auto"/>
              <w:left w:val="single" w:sz="4" w:space="0" w:color="auto"/>
              <w:bottom w:val="single" w:sz="4" w:space="0" w:color="auto"/>
              <w:right w:val="single" w:sz="4" w:space="0" w:color="auto"/>
            </w:tcBorders>
          </w:tcPr>
          <w:p w14:paraId="220F48B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10065" w:type="dxa"/>
            <w:tcBorders>
              <w:top w:val="single" w:sz="4" w:space="0" w:color="auto"/>
              <w:left w:val="single" w:sz="4" w:space="0" w:color="auto"/>
              <w:bottom w:val="single" w:sz="4" w:space="0" w:color="auto"/>
              <w:right w:val="single" w:sz="4" w:space="0" w:color="auto"/>
            </w:tcBorders>
          </w:tcPr>
          <w:p w14:paraId="3F6491A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C’est lui qui vous a choisis. Il ne vous a jamais imposé aucune gêne dans la Religion, la Religion de votre père Abraham. C’est lui qui vous a donné le nom de « Musulmans » autrefois déjà, et ici même, afin que le Prophète soit témoin contre vous et que vous soyez témoins contre les hommes.</w:t>
            </w:r>
          </w:p>
        </w:tc>
      </w:tr>
      <w:tr w:rsidR="00A70B78" w:rsidRPr="007C6A42" w14:paraId="1478C7F4" w14:textId="77777777" w:rsidTr="00AF4FC9">
        <w:tc>
          <w:tcPr>
            <w:tcW w:w="851" w:type="dxa"/>
            <w:tcBorders>
              <w:top w:val="single" w:sz="4" w:space="0" w:color="auto"/>
              <w:left w:val="single" w:sz="4" w:space="0" w:color="auto"/>
              <w:bottom w:val="single" w:sz="4" w:space="0" w:color="auto"/>
              <w:right w:val="single" w:sz="4" w:space="0" w:color="auto"/>
            </w:tcBorders>
          </w:tcPr>
          <w:p w14:paraId="50108D4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10065" w:type="dxa"/>
            <w:tcBorders>
              <w:top w:val="single" w:sz="4" w:space="0" w:color="auto"/>
              <w:left w:val="single" w:sz="4" w:space="0" w:color="auto"/>
              <w:bottom w:val="single" w:sz="4" w:space="0" w:color="auto"/>
              <w:right w:val="single" w:sz="4" w:space="0" w:color="auto"/>
            </w:tcBorders>
          </w:tcPr>
          <w:p w14:paraId="2607CE0E"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rPr>
              <w:t>Il vous a choisis, et n’a mis contre vous aucune entrave de créance, dans la doctrine de votre père Ibrâhim. Lui, jadis, vous a appelés les Pacifiés, al-muslimûn, et cela pour que l’Envoyé soit votre témoin et que vous soyez des témoins pour les hommes</w:t>
            </w:r>
          </w:p>
        </w:tc>
      </w:tr>
      <w:tr w:rsidR="00A70B78" w:rsidRPr="007C6A42" w14:paraId="25F93D98" w14:textId="77777777" w:rsidTr="00AF4FC9">
        <w:tc>
          <w:tcPr>
            <w:tcW w:w="851" w:type="dxa"/>
            <w:tcBorders>
              <w:top w:val="single" w:sz="4" w:space="0" w:color="auto"/>
              <w:left w:val="single" w:sz="4" w:space="0" w:color="auto"/>
              <w:bottom w:val="single" w:sz="4" w:space="0" w:color="auto"/>
              <w:right w:val="single" w:sz="4" w:space="0" w:color="auto"/>
            </w:tcBorders>
          </w:tcPr>
          <w:p w14:paraId="789B9F7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w:t>
            </w:r>
          </w:p>
        </w:tc>
        <w:tc>
          <w:tcPr>
            <w:tcW w:w="10065" w:type="dxa"/>
            <w:tcBorders>
              <w:top w:val="single" w:sz="4" w:space="0" w:color="auto"/>
              <w:left w:val="single" w:sz="4" w:space="0" w:color="auto"/>
              <w:bottom w:val="single" w:sz="4" w:space="0" w:color="auto"/>
              <w:right w:val="single" w:sz="4" w:space="0" w:color="auto"/>
            </w:tcBorders>
          </w:tcPr>
          <w:p w14:paraId="0540E762"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c’est Lui qui vous a élus. Il ne vous a rien commandé de difficile dans votre religion, la religion de votre père Abraham ; Il vous a nommés Musulmans bien avant le Coran. Et dans ce Coran aussi, afin que l’Apôtre soit Témoin contre vous et que vous soyez Témoins contre le reste des Hommes.</w:t>
            </w:r>
          </w:p>
        </w:tc>
      </w:tr>
      <w:tr w:rsidR="00A70B78" w:rsidRPr="007C6A42" w14:paraId="4DF27562" w14:textId="77777777" w:rsidTr="00AF4FC9">
        <w:tc>
          <w:tcPr>
            <w:tcW w:w="851" w:type="dxa"/>
            <w:tcBorders>
              <w:top w:val="single" w:sz="4" w:space="0" w:color="auto"/>
              <w:left w:val="single" w:sz="4" w:space="0" w:color="auto"/>
              <w:bottom w:val="single" w:sz="4" w:space="0" w:color="auto"/>
              <w:right w:val="single" w:sz="4" w:space="0" w:color="auto"/>
            </w:tcBorders>
          </w:tcPr>
          <w:p w14:paraId="65BCC36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10065" w:type="dxa"/>
            <w:tcBorders>
              <w:top w:val="single" w:sz="4" w:space="0" w:color="auto"/>
              <w:left w:val="single" w:sz="4" w:space="0" w:color="auto"/>
              <w:bottom w:val="single" w:sz="4" w:space="0" w:color="auto"/>
              <w:right w:val="single" w:sz="4" w:space="0" w:color="auto"/>
            </w:tcBorders>
          </w:tcPr>
          <w:p w14:paraId="15A09EA2"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C’est Lui qui vous a élus ; et Il ne vous a imposé aucune gêne dans la religion,</w:t>
            </w:r>
            <w:r w:rsidRPr="007C6A42">
              <w:rPr>
                <w:rFonts w:asciiTheme="majorBidi" w:eastAsia="Calibri" w:hAnsiTheme="majorBidi" w:cstheme="majorBidi"/>
              </w:rPr>
              <w:t xml:space="preserve"> </w:t>
            </w:r>
            <w:r w:rsidRPr="007C6A42">
              <w:rPr>
                <w:rFonts w:asciiTheme="majorBidi" w:eastAsia="Times New Roman" w:hAnsiTheme="majorBidi" w:cstheme="majorBidi"/>
              </w:rPr>
              <w:t>celle de votre père Abraham, lequel vous a déjà nommés “Musulmans” avant (ce Livre) et dans ce (Livre), afin que le Messager soit témoin contre vous, et que vous soyez vous-mêmes témoins contre les gens.</w:t>
            </w:r>
          </w:p>
        </w:tc>
      </w:tr>
      <w:tr w:rsidR="00A70B78" w:rsidRPr="007C6A42" w14:paraId="2B2AC638" w14:textId="77777777" w:rsidTr="00AF4FC9">
        <w:tc>
          <w:tcPr>
            <w:tcW w:w="851" w:type="dxa"/>
            <w:tcBorders>
              <w:top w:val="single" w:sz="4" w:space="0" w:color="auto"/>
              <w:left w:val="single" w:sz="4" w:space="0" w:color="auto"/>
              <w:bottom w:val="single" w:sz="4" w:space="0" w:color="auto"/>
              <w:right w:val="single" w:sz="4" w:space="0" w:color="auto"/>
            </w:tcBorders>
          </w:tcPr>
          <w:p w14:paraId="698E03D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10065" w:type="dxa"/>
            <w:tcBorders>
              <w:top w:val="single" w:sz="4" w:space="0" w:color="auto"/>
              <w:left w:val="single" w:sz="4" w:space="0" w:color="auto"/>
              <w:bottom w:val="single" w:sz="4" w:space="0" w:color="auto"/>
              <w:right w:val="single" w:sz="4" w:space="0" w:color="auto"/>
            </w:tcBorders>
          </w:tcPr>
          <w:p w14:paraId="08366E1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Calibri" w:hAnsiTheme="majorBidi" w:cstheme="majorBidi"/>
                <w:lang w:bidi="ar-AE"/>
              </w:rPr>
              <w:t>Il vous a élus. Il ne met aucune gêne pour vous dans la religion, en tant que fidèles à la communauté de votre père Abraham. C’est lui qui jadis vous a nommés Ceux-qui-se-soumettent. Qu’en cela l’Envoyé soit votre témoin, et vous les témoins des hommes.</w:t>
            </w:r>
          </w:p>
        </w:tc>
      </w:tr>
      <w:tr w:rsidR="00A70B78" w:rsidRPr="007C6A42" w14:paraId="2BB93C04" w14:textId="77777777" w:rsidTr="00AF4FC9">
        <w:tc>
          <w:tcPr>
            <w:tcW w:w="851" w:type="dxa"/>
            <w:tcBorders>
              <w:top w:val="single" w:sz="4" w:space="0" w:color="auto"/>
              <w:left w:val="single" w:sz="4" w:space="0" w:color="auto"/>
              <w:bottom w:val="single" w:sz="4" w:space="0" w:color="auto"/>
              <w:right w:val="single" w:sz="4" w:space="0" w:color="auto"/>
            </w:tcBorders>
          </w:tcPr>
          <w:p w14:paraId="230325F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Gues.</w:t>
            </w:r>
          </w:p>
        </w:tc>
        <w:tc>
          <w:tcPr>
            <w:tcW w:w="10065" w:type="dxa"/>
            <w:tcBorders>
              <w:top w:val="single" w:sz="4" w:space="0" w:color="auto"/>
              <w:left w:val="single" w:sz="4" w:space="0" w:color="auto"/>
              <w:bottom w:val="single" w:sz="4" w:space="0" w:color="auto"/>
              <w:right w:val="single" w:sz="4" w:space="0" w:color="auto"/>
            </w:tcBorders>
          </w:tcPr>
          <w:p w14:paraId="4AD4437B"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élus dans votre religion IL n’a mis nulle difficulté</w:t>
            </w:r>
          </w:p>
          <w:p w14:paraId="4C2D9BDA"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 xml:space="preserve">Pas plus que celle de votre père ABRAHAM qui vous a précédé, </w:t>
            </w:r>
          </w:p>
          <w:p w14:paraId="0CC0CFB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Et comme musulmans soumis IL vous a désignés.</w:t>
            </w:r>
          </w:p>
          <w:p w14:paraId="5BEC7671"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Auparavant et en cette Révélation afin que votre Envoyé,</w:t>
            </w:r>
          </w:p>
          <w:p w14:paraId="1988AF49"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Puisse à votre égard témoigner comme vous le ferez pour l’humanité.</w:t>
            </w:r>
          </w:p>
        </w:tc>
      </w:tr>
      <w:tr w:rsidR="00A70B78" w:rsidRPr="007C6A42" w14:paraId="08E8842B" w14:textId="77777777" w:rsidTr="00AF4FC9">
        <w:tc>
          <w:tcPr>
            <w:tcW w:w="851" w:type="dxa"/>
            <w:tcBorders>
              <w:top w:val="single" w:sz="4" w:space="0" w:color="auto"/>
              <w:left w:val="single" w:sz="4" w:space="0" w:color="auto"/>
              <w:bottom w:val="single" w:sz="4" w:space="0" w:color="auto"/>
              <w:right w:val="single" w:sz="4" w:space="0" w:color="auto"/>
            </w:tcBorders>
          </w:tcPr>
          <w:p w14:paraId="7C403DA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10065" w:type="dxa"/>
            <w:tcBorders>
              <w:top w:val="single" w:sz="4" w:space="0" w:color="auto"/>
              <w:left w:val="single" w:sz="4" w:space="0" w:color="auto"/>
              <w:bottom w:val="single" w:sz="4" w:space="0" w:color="auto"/>
              <w:right w:val="single" w:sz="4" w:space="0" w:color="auto"/>
            </w:tcBorders>
          </w:tcPr>
          <w:p w14:paraId="4789B4C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C’est Lui qui vous a élus. Il ne vous a imposé aucune gêne dans la religion, </w:t>
            </w:r>
            <w:r w:rsidRPr="007C6A42">
              <w:rPr>
                <w:rFonts w:asciiTheme="majorBidi" w:eastAsia="Calibri" w:hAnsiTheme="majorBidi" w:cstheme="majorBidi"/>
              </w:rPr>
              <w:t xml:space="preserve">[…] </w:t>
            </w:r>
            <w:r w:rsidRPr="007C6A42">
              <w:rPr>
                <w:rFonts w:asciiTheme="majorBidi" w:eastAsia="Times New Roman" w:hAnsiTheme="majorBidi" w:cstheme="majorBidi"/>
              </w:rPr>
              <w:t>celle de votre père Abraham. C’est ce dernier qui vous a donné le nom de musulmans, autrefois et dans ce Coran, afin que le Messager soit témoin contre vous et que vous soyez témoin vous-mêmes contre les hommes.</w:t>
            </w:r>
          </w:p>
        </w:tc>
      </w:tr>
      <w:tr w:rsidR="00A70B78" w:rsidRPr="007C6A42" w14:paraId="6A81E17F" w14:textId="77777777" w:rsidTr="00AF4FC9">
        <w:tc>
          <w:tcPr>
            <w:tcW w:w="851" w:type="dxa"/>
            <w:tcBorders>
              <w:top w:val="single" w:sz="4" w:space="0" w:color="auto"/>
              <w:left w:val="single" w:sz="4" w:space="0" w:color="auto"/>
              <w:bottom w:val="single" w:sz="4" w:space="0" w:color="auto"/>
              <w:right w:val="single" w:sz="4" w:space="0" w:color="auto"/>
            </w:tcBorders>
          </w:tcPr>
          <w:p w14:paraId="5B232B9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10065" w:type="dxa"/>
            <w:tcBorders>
              <w:top w:val="single" w:sz="4" w:space="0" w:color="auto"/>
              <w:left w:val="single" w:sz="4" w:space="0" w:color="auto"/>
              <w:bottom w:val="single" w:sz="4" w:space="0" w:color="auto"/>
              <w:right w:val="single" w:sz="4" w:space="0" w:color="auto"/>
            </w:tcBorders>
          </w:tcPr>
          <w:p w14:paraId="6F4CA5C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choisis, il ne vous a pas imposé de gêne dans votre religion, la religion de votre père Abraham. Il vous a donné le nom de musulmans comme autrefois pour que l’apôtre soit témoin contre vous et que vous soyez témoins contre les hommes.</w:t>
            </w:r>
          </w:p>
        </w:tc>
      </w:tr>
      <w:tr w:rsidR="00A70B78" w:rsidRPr="007C6A42" w14:paraId="45F11B0A" w14:textId="77777777" w:rsidTr="00AF4FC9">
        <w:tc>
          <w:tcPr>
            <w:tcW w:w="851" w:type="dxa"/>
            <w:tcBorders>
              <w:top w:val="single" w:sz="4" w:space="0" w:color="auto"/>
              <w:left w:val="single" w:sz="4" w:space="0" w:color="auto"/>
              <w:bottom w:val="single" w:sz="4" w:space="0" w:color="auto"/>
              <w:right w:val="single" w:sz="4" w:space="0" w:color="auto"/>
            </w:tcBorders>
          </w:tcPr>
          <w:p w14:paraId="13B4A32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10065" w:type="dxa"/>
            <w:tcBorders>
              <w:top w:val="single" w:sz="4" w:space="0" w:color="auto"/>
              <w:left w:val="single" w:sz="4" w:space="0" w:color="auto"/>
              <w:bottom w:val="single" w:sz="4" w:space="0" w:color="auto"/>
              <w:right w:val="single" w:sz="4" w:space="0" w:color="auto"/>
            </w:tcBorders>
          </w:tcPr>
          <w:p w14:paraId="13E4A74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C’est Lui qui vous a élus, sans vous imposer aucune gêne dans votre religion, qui est la religion de votre père Abraham, lequel vous a lui-même déjà nommés « les musulmans », nom que vous portez encore dans ce Coran, afin que le Prophète soit témoin contre vous, et que vous soyez vous-mêmes témoins contre les hommes.</w:t>
            </w:r>
          </w:p>
        </w:tc>
      </w:tr>
      <w:tr w:rsidR="00A70B78" w:rsidRPr="007C6A42" w14:paraId="1E9D5D37" w14:textId="77777777" w:rsidTr="00AF4FC9">
        <w:tc>
          <w:tcPr>
            <w:tcW w:w="851" w:type="dxa"/>
            <w:tcBorders>
              <w:top w:val="single" w:sz="4" w:space="0" w:color="auto"/>
              <w:left w:val="single" w:sz="4" w:space="0" w:color="auto"/>
              <w:bottom w:val="single" w:sz="4" w:space="0" w:color="auto"/>
              <w:right w:val="single" w:sz="4" w:space="0" w:color="auto"/>
            </w:tcBorders>
          </w:tcPr>
          <w:p w14:paraId="4DA731D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10065" w:type="dxa"/>
            <w:tcBorders>
              <w:top w:val="single" w:sz="4" w:space="0" w:color="auto"/>
              <w:left w:val="single" w:sz="4" w:space="0" w:color="auto"/>
              <w:bottom w:val="single" w:sz="4" w:space="0" w:color="auto"/>
              <w:right w:val="single" w:sz="4" w:space="0" w:color="auto"/>
            </w:tcBorders>
          </w:tcPr>
          <w:p w14:paraId="222FCB7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élus. Sa religion ne comporte aucune obligation pénible. C’est la religion de votre père Abraham. Dieu vous a donné le nom de musulmans. Il vous l’a donné dans ce Livre afin que le Prophète soit votre témoin et que vous soyez des témoins des autres hommes.</w:t>
            </w:r>
          </w:p>
        </w:tc>
      </w:tr>
      <w:tr w:rsidR="00A70B78" w:rsidRPr="007C6A42" w14:paraId="1801F455" w14:textId="77777777" w:rsidTr="00AF4FC9">
        <w:tc>
          <w:tcPr>
            <w:tcW w:w="851" w:type="dxa"/>
            <w:tcBorders>
              <w:top w:val="single" w:sz="4" w:space="0" w:color="auto"/>
              <w:left w:val="single" w:sz="4" w:space="0" w:color="auto"/>
              <w:bottom w:val="single" w:sz="4" w:space="0" w:color="auto"/>
              <w:right w:val="single" w:sz="4" w:space="0" w:color="auto"/>
            </w:tcBorders>
          </w:tcPr>
          <w:p w14:paraId="160DB75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10065" w:type="dxa"/>
            <w:tcBorders>
              <w:top w:val="single" w:sz="4" w:space="0" w:color="auto"/>
              <w:left w:val="single" w:sz="4" w:space="0" w:color="auto"/>
              <w:bottom w:val="single" w:sz="4" w:space="0" w:color="auto"/>
              <w:right w:val="single" w:sz="4" w:space="0" w:color="auto"/>
            </w:tcBorders>
          </w:tcPr>
          <w:p w14:paraId="273E319C"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choisis et ne vous a point contrariés dans le choix du culte de votre père Abraham. Il vous a nommés musulmans, soit ceux qui s’abandonnent à Dieu, et cela de manière anticipée, afin que vous soyez témoins des hommes de la même façon que le Prophète est votre témoin.</w:t>
            </w:r>
          </w:p>
        </w:tc>
      </w:tr>
      <w:tr w:rsidR="00A70B78" w:rsidRPr="007C6A42" w14:paraId="6CBE8540" w14:textId="77777777" w:rsidTr="00AF4FC9">
        <w:tc>
          <w:tcPr>
            <w:tcW w:w="851" w:type="dxa"/>
            <w:tcBorders>
              <w:top w:val="single" w:sz="4" w:space="0" w:color="auto"/>
              <w:left w:val="single" w:sz="4" w:space="0" w:color="auto"/>
              <w:bottom w:val="single" w:sz="4" w:space="0" w:color="auto"/>
              <w:right w:val="single" w:sz="4" w:space="0" w:color="auto"/>
            </w:tcBorders>
          </w:tcPr>
          <w:p w14:paraId="1E071F5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Abdel.</w:t>
            </w:r>
          </w:p>
        </w:tc>
        <w:tc>
          <w:tcPr>
            <w:tcW w:w="10065" w:type="dxa"/>
            <w:tcBorders>
              <w:top w:val="single" w:sz="4" w:space="0" w:color="auto"/>
              <w:left w:val="single" w:sz="4" w:space="0" w:color="auto"/>
              <w:bottom w:val="single" w:sz="4" w:space="0" w:color="auto"/>
              <w:right w:val="single" w:sz="4" w:space="0" w:color="auto"/>
            </w:tcBorders>
          </w:tcPr>
          <w:p w14:paraId="124B45B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Elus et ne vous Imposa nulle gêne en religion, la confession de votre père Abraham. C’est Lui qui vous A déjà Nommés musulmans, auparavant, et dans ceci (le Qur’ān) : afin que le Messager soit témoin sur vous et que vous soyez témoins sur les hommes.</w:t>
            </w:r>
          </w:p>
        </w:tc>
      </w:tr>
      <w:tr w:rsidR="00A70B78" w:rsidRPr="007C6A42" w14:paraId="6071EC5E" w14:textId="77777777" w:rsidTr="00AF4FC9">
        <w:tc>
          <w:tcPr>
            <w:tcW w:w="851" w:type="dxa"/>
            <w:tcBorders>
              <w:top w:val="single" w:sz="4" w:space="0" w:color="auto"/>
              <w:left w:val="single" w:sz="4" w:space="0" w:color="auto"/>
              <w:bottom w:val="single" w:sz="4" w:space="0" w:color="auto"/>
              <w:right w:val="single" w:sz="4" w:space="0" w:color="auto"/>
            </w:tcBorders>
          </w:tcPr>
          <w:p w14:paraId="640AC72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10065" w:type="dxa"/>
            <w:tcBorders>
              <w:top w:val="single" w:sz="4" w:space="0" w:color="auto"/>
              <w:left w:val="single" w:sz="4" w:space="0" w:color="auto"/>
              <w:bottom w:val="single" w:sz="4" w:space="0" w:color="auto"/>
              <w:right w:val="single" w:sz="4" w:space="0" w:color="auto"/>
            </w:tcBorders>
          </w:tcPr>
          <w:p w14:paraId="0C883550"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C’est lui qui vous a élus. Il ne vous a fait aucune gêne dans la religion,</w:t>
            </w:r>
            <w:r w:rsidRPr="007C6A42">
              <w:rPr>
                <w:rFonts w:asciiTheme="majorBidi" w:eastAsia="Calibri" w:hAnsiTheme="majorBidi" w:cstheme="majorBidi"/>
              </w:rPr>
              <w:t xml:space="preserve"> </w:t>
            </w:r>
            <w:r w:rsidRPr="007C6A42">
              <w:rPr>
                <w:rFonts w:asciiTheme="majorBidi" w:eastAsia="Times New Roman" w:hAnsiTheme="majorBidi" w:cstheme="majorBidi"/>
                <w:lang w:eastAsia="fr-CH"/>
              </w:rPr>
              <w:t>celle de votre père Abraham. C’est lui qui vous a nommés auparavant les soumis, comme dans ce [Livre], afin que l’envoyé soit témoin à l’encontre de vous, et que vous soyez témoins à l'encontre des humains.</w:t>
            </w:r>
          </w:p>
        </w:tc>
      </w:tr>
    </w:tbl>
    <w:p w14:paraId="0D85B5BB"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5D9989C5" w14:textId="77777777" w:rsidR="00A70B78" w:rsidRPr="007C6A42" w:rsidRDefault="00A70B78" w:rsidP="00A70B78">
      <w:pPr>
        <w:spacing w:line="360" w:lineRule="auto"/>
        <w:ind w:firstLine="720"/>
        <w:contextualSpacing/>
        <w:jc w:val="both"/>
        <w:rPr>
          <w:rFonts w:asciiTheme="majorBidi" w:eastAsia="Calibri" w:hAnsiTheme="majorBidi" w:cstheme="majorBidi"/>
        </w:rPr>
      </w:pPr>
      <w:r w:rsidRPr="007C6A42">
        <w:rPr>
          <w:rFonts w:asciiTheme="majorBidi" w:eastAsia="Times New Roman" w:hAnsiTheme="majorBidi" w:cstheme="majorBidi"/>
          <w:shd w:val="clear" w:color="auto" w:fill="FFFFFF"/>
          <w:lang w:bidi="ar-KW"/>
        </w:rPr>
        <w:t>Certains traducteurs ont ajouté un mot pour combler ce vide et rationaliser la traduction : « c’est » (Du Ryer, Savary et Ben Mahmoud), « </w:t>
      </w:r>
      <w:r w:rsidRPr="007C6A42">
        <w:rPr>
          <w:rFonts w:asciiTheme="majorBidi" w:eastAsia="Times New Roman" w:hAnsiTheme="majorBidi" w:cstheme="majorBidi"/>
        </w:rPr>
        <w:t xml:space="preserve">dans » (Kazimirski et Chouraqui), « comme » </w:t>
      </w:r>
      <w:r w:rsidRPr="007C6A42">
        <w:rPr>
          <w:rFonts w:asciiTheme="majorBidi" w:eastAsia="Times New Roman" w:hAnsiTheme="majorBidi" w:cstheme="majorBidi"/>
        </w:rPr>
        <w:lastRenderedPageBreak/>
        <w:t>(Hamidullah), « </w:t>
      </w:r>
      <w:r w:rsidRPr="007C6A42">
        <w:rPr>
          <w:rFonts w:asciiTheme="majorBidi" w:eastAsia="Calibri" w:hAnsiTheme="majorBidi" w:cstheme="majorBidi"/>
          <w:lang w:bidi="ar-AE"/>
        </w:rPr>
        <w:t>en tant que fidèles à » (Berque), « </w:t>
      </w:r>
      <w:r w:rsidRPr="007C6A42">
        <w:rPr>
          <w:rFonts w:asciiTheme="majorBidi" w:eastAsia="Calibri" w:hAnsiTheme="majorBidi" w:cstheme="majorBidi"/>
        </w:rPr>
        <w:t>Pas plus que » (Guessous), « qui est » (Chiadmi), « dans le choix du culte de » (Chebel).</w:t>
      </w:r>
    </w:p>
    <w:p w14:paraId="6647254D" w14:textId="77777777" w:rsidR="00A70B78" w:rsidRPr="007C6A42" w:rsidRDefault="00A70B78" w:rsidP="00A70B78">
      <w:pPr>
        <w:spacing w:line="360" w:lineRule="auto"/>
        <w:ind w:firstLine="720"/>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D’autres traducteurs ont gardé le même vide que le texte arabe (Blachère, Masson, Ghédira, Complexe de Médine, Hafiane, Grosjean, Abdelaziz et Aldeeb).</w:t>
      </w:r>
    </w:p>
    <w:p w14:paraId="526EF9E6"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r w:rsidRPr="007C6A42">
        <w:rPr>
          <w:rFonts w:asciiTheme="majorBidi" w:eastAsia="Times New Roman" w:hAnsiTheme="majorBidi" w:cstheme="majorBidi"/>
          <w:color w:val="C00000"/>
          <w:lang w:bidi="ar-AE"/>
        </w:rPr>
        <w:tab/>
      </w:r>
    </w:p>
    <w:p w14:paraId="0675E139" w14:textId="77777777" w:rsidR="00A70B78" w:rsidRPr="007C6A42" w:rsidRDefault="00A70B78" w:rsidP="00A70B78">
      <w:pPr>
        <w:spacing w:line="360" w:lineRule="auto"/>
        <w:ind w:firstLine="720"/>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Dans les traductions du verset 78, nous remarquons un appauvrissement quantitatif qui réduit la polysémie ; la plupart des traducteurs rendent les deux termes </w:t>
      </w:r>
      <w:r w:rsidRPr="007C6A42">
        <w:rPr>
          <w:rFonts w:asciiTheme="majorBidi" w:eastAsia="Times New Roman" w:hAnsiTheme="majorBidi" w:cstheme="majorBidi"/>
          <w:i/>
          <w:iCs/>
          <w:lang w:bidi="ar-AE"/>
        </w:rPr>
        <w:t>ad-dīn</w:t>
      </w:r>
      <w:r w:rsidRPr="007C6A42">
        <w:rPr>
          <w:rFonts w:asciiTheme="majorBidi" w:eastAsia="Times New Roman" w:hAnsiTheme="majorBidi" w:cstheme="majorBidi"/>
          <w:lang w:bidi="ar-AE"/>
        </w:rPr>
        <w:t xml:space="preserve"> et </w:t>
      </w:r>
      <w:r w:rsidRPr="007C6A42">
        <w:rPr>
          <w:rFonts w:asciiTheme="majorBidi" w:eastAsia="Times New Roman" w:hAnsiTheme="majorBidi" w:cstheme="majorBidi"/>
          <w:i/>
          <w:iCs/>
          <w:lang w:bidi="ar-AE"/>
        </w:rPr>
        <w:t>milla</w:t>
      </w:r>
      <w:r w:rsidRPr="007C6A42">
        <w:rPr>
          <w:rFonts w:asciiTheme="majorBidi" w:eastAsia="Times New Roman" w:hAnsiTheme="majorBidi" w:cstheme="majorBidi"/>
          <w:lang w:bidi="ar-AE"/>
        </w:rPr>
        <w:t xml:space="preserve"> par un seul : « une/la loi » (Du Ryer), « religion » (Kazimirski, Blachère, Masson, Ghédira, Complexe de Médine, Guessous, Hafiane, Grosjean, Chiadmi, Ben Mahmoud et Aldeeb), « la doctrine » (Chouraqui), « culte » (Chebel). Seuls quatre traducteurs ont traduit chacun des deux termes : « votre religion / la foi » (Savary), « la religion / culte » (Hamidullah), « la religion / la communauté » (Berque), « religion / la confession » (Abdelaziz). Mais Blachère, conscient de la différence sémantique entre </w:t>
      </w:r>
      <w:r w:rsidRPr="007C6A42">
        <w:rPr>
          <w:rFonts w:asciiTheme="majorBidi" w:eastAsia="Times New Roman" w:hAnsiTheme="majorBidi" w:cstheme="majorBidi"/>
          <w:i/>
          <w:iCs/>
          <w:lang w:bidi="ar-AE"/>
        </w:rPr>
        <w:t>ad-dīn</w:t>
      </w:r>
      <w:r w:rsidRPr="007C6A42">
        <w:rPr>
          <w:rFonts w:asciiTheme="majorBidi" w:eastAsia="Times New Roman" w:hAnsiTheme="majorBidi" w:cstheme="majorBidi"/>
          <w:lang w:bidi="ar-AE"/>
        </w:rPr>
        <w:t xml:space="preserve"> et </w:t>
      </w:r>
      <w:r w:rsidRPr="007C6A42">
        <w:rPr>
          <w:rFonts w:asciiTheme="majorBidi" w:eastAsia="Times New Roman" w:hAnsiTheme="majorBidi" w:cstheme="majorBidi"/>
          <w:i/>
          <w:iCs/>
          <w:lang w:bidi="ar-AE"/>
        </w:rPr>
        <w:t>milla</w:t>
      </w:r>
      <w:r w:rsidRPr="007C6A42">
        <w:rPr>
          <w:rFonts w:asciiTheme="majorBidi" w:eastAsia="Times New Roman" w:hAnsiTheme="majorBidi" w:cstheme="majorBidi"/>
          <w:lang w:bidi="ar-AE"/>
        </w:rPr>
        <w:t>, donne le terme arabe entre parenthèses, ainsi : « en la Religion (</w:t>
      </w:r>
      <w:r w:rsidRPr="007C6A42">
        <w:rPr>
          <w:rFonts w:asciiTheme="majorBidi" w:eastAsia="Times New Roman" w:hAnsiTheme="majorBidi" w:cstheme="majorBidi"/>
          <w:i/>
          <w:iCs/>
          <w:lang w:bidi="ar-AE"/>
        </w:rPr>
        <w:t>dîn</w:t>
      </w:r>
      <w:r w:rsidRPr="007C6A42">
        <w:rPr>
          <w:rFonts w:asciiTheme="majorBidi" w:eastAsia="Times New Roman" w:hAnsiTheme="majorBidi" w:cstheme="majorBidi"/>
          <w:lang w:bidi="ar-AE"/>
        </w:rPr>
        <w:t>), la religion (</w:t>
      </w:r>
      <w:r w:rsidRPr="007C6A42">
        <w:rPr>
          <w:rFonts w:asciiTheme="majorBidi" w:eastAsia="Times New Roman" w:hAnsiTheme="majorBidi" w:cstheme="majorBidi"/>
          <w:i/>
          <w:iCs/>
          <w:lang w:bidi="ar-AE"/>
        </w:rPr>
        <w:t>milla</w:t>
      </w:r>
      <w:r w:rsidRPr="007C6A42">
        <w:rPr>
          <w:rFonts w:asciiTheme="majorBidi" w:eastAsia="Times New Roman" w:hAnsiTheme="majorBidi" w:cstheme="majorBidi"/>
          <w:lang w:bidi="ar-AE"/>
        </w:rPr>
        <w:t>) ».</w:t>
      </w:r>
    </w:p>
    <w:p w14:paraId="734DF410" w14:textId="77777777" w:rsidR="00A70B78" w:rsidRPr="007C6A42" w:rsidRDefault="00A70B78" w:rsidP="00A70B78">
      <w:pPr>
        <w:spacing w:line="360" w:lineRule="auto"/>
        <w:ind w:firstLine="720"/>
        <w:contextualSpacing/>
        <w:jc w:val="both"/>
        <w:rPr>
          <w:rFonts w:asciiTheme="majorBidi" w:eastAsia="Times New Roman" w:hAnsiTheme="majorBidi" w:cstheme="majorBidi"/>
        </w:rPr>
      </w:pPr>
      <w:r w:rsidRPr="007C6A42">
        <w:rPr>
          <w:rFonts w:asciiTheme="majorBidi" w:eastAsia="Times New Roman" w:hAnsiTheme="majorBidi" w:cstheme="majorBidi"/>
          <w:lang w:bidi="ar-AE"/>
        </w:rPr>
        <w:t xml:space="preserve">Autre modification importante dans le verset 78, ce sont les ajouts dans certaines traductions ; cet allongement diminue considérablement dans les traductions modernes. Du Ryer ajoute : « pour la suivre » et « &amp; fâcheuse ». Savary ajoute : « que vous professez » et « Le Coran vous confirme ce titre glorieux ». Abdelaziz ajoute : « (le Qur’ān) ». </w:t>
      </w:r>
    </w:p>
    <w:p w14:paraId="1098F809" w14:textId="77777777" w:rsidR="00A70B78" w:rsidRPr="007C6A42" w:rsidRDefault="00A70B78" w:rsidP="00A70B78">
      <w:pPr>
        <w:spacing w:line="360" w:lineRule="auto"/>
        <w:ind w:firstLine="720"/>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Certains traducteurs ont modifié l’article défini du terme </w:t>
      </w:r>
      <w:r w:rsidRPr="007C6A42">
        <w:rPr>
          <w:rFonts w:asciiTheme="majorBidi" w:eastAsia="Times New Roman" w:hAnsiTheme="majorBidi" w:cstheme="majorBidi"/>
          <w:b/>
          <w:bCs/>
          <w:lang w:bidi="ar-AE"/>
        </w:rPr>
        <w:t>al</w:t>
      </w:r>
      <w:r w:rsidRPr="007C6A42">
        <w:rPr>
          <w:rFonts w:asciiTheme="majorBidi" w:eastAsia="Times New Roman" w:hAnsiTheme="majorBidi" w:cstheme="majorBidi"/>
          <w:i/>
          <w:iCs/>
          <w:lang w:bidi="ar-AE"/>
        </w:rPr>
        <w:t>-dīn</w:t>
      </w:r>
      <w:r w:rsidRPr="007C6A42">
        <w:rPr>
          <w:rFonts w:asciiTheme="majorBidi" w:eastAsia="Times New Roman" w:hAnsiTheme="majorBidi" w:cstheme="majorBidi"/>
          <w:lang w:bidi="ar-AE"/>
        </w:rPr>
        <w:t xml:space="preserve"> [</w:t>
      </w:r>
      <w:r w:rsidRPr="007C6A42">
        <w:rPr>
          <w:rFonts w:asciiTheme="majorBidi" w:eastAsia="Times New Roman" w:hAnsiTheme="majorBidi" w:cstheme="majorBidi"/>
          <w:b/>
          <w:bCs/>
          <w:i/>
          <w:iCs/>
          <w:lang w:bidi="ar-AE"/>
        </w:rPr>
        <w:t>la</w:t>
      </w:r>
      <w:r w:rsidRPr="007C6A42">
        <w:rPr>
          <w:rFonts w:asciiTheme="majorBidi" w:eastAsia="Times New Roman" w:hAnsiTheme="majorBidi" w:cstheme="majorBidi"/>
          <w:lang w:bidi="ar-AE"/>
        </w:rPr>
        <w:t xml:space="preserve"> religion] en utilisant un adjectif possessif : « </w:t>
      </w:r>
      <w:r w:rsidRPr="007C6A42">
        <w:rPr>
          <w:rFonts w:asciiTheme="majorBidi" w:eastAsia="Times New Roman" w:hAnsiTheme="majorBidi" w:cstheme="majorBidi"/>
          <w:b/>
          <w:bCs/>
          <w:i/>
          <w:iCs/>
          <w:lang w:bidi="ar-AE"/>
        </w:rPr>
        <w:t>votre</w:t>
      </w:r>
      <w:r w:rsidRPr="007C6A42">
        <w:rPr>
          <w:rFonts w:asciiTheme="majorBidi" w:eastAsia="Times New Roman" w:hAnsiTheme="majorBidi" w:cstheme="majorBidi"/>
          <w:lang w:bidi="ar-AE"/>
        </w:rPr>
        <w:t xml:space="preserve"> religion » (Savary, Kazimirski, Ghédira, Guessous, Grosjean, Chiadmi). Ce qui peut réduire le champ sémantique du terme pour désigner seulement l’islam, alors que le terme arabe désigne la religion en général en tant que telle.</w:t>
      </w:r>
    </w:p>
    <w:p w14:paraId="57702C3D" w14:textId="77777777" w:rsidR="00A70B78" w:rsidRPr="007C6A42" w:rsidRDefault="00A70B78" w:rsidP="00A70B78">
      <w:pPr>
        <w:spacing w:line="360" w:lineRule="auto"/>
        <w:ind w:firstLine="720"/>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Le syntagme </w:t>
      </w:r>
      <w:r w:rsidRPr="007C6A42">
        <w:rPr>
          <w:rFonts w:asciiTheme="majorBidi" w:eastAsia="Times New Roman" w:hAnsiTheme="majorBidi" w:cstheme="majorBidi"/>
          <w:i/>
          <w:iCs/>
          <w:lang w:bidi="ar-AE"/>
        </w:rPr>
        <w:t>shahīdan ʿalaykum</w:t>
      </w:r>
      <w:r w:rsidRPr="007C6A42">
        <w:rPr>
          <w:rFonts w:asciiTheme="majorBidi" w:eastAsia="Times New Roman" w:hAnsiTheme="majorBidi" w:cstheme="majorBidi"/>
          <w:lang w:bidi="ar-AE"/>
        </w:rPr>
        <w:t xml:space="preserve"> </w:t>
      </w:r>
      <w:r w:rsidRPr="007C6A42">
        <w:rPr>
          <w:rFonts w:asciiTheme="majorBidi" w:eastAsia="Times New Roman" w:hAnsiTheme="majorBidi" w:cstheme="majorBidi"/>
        </w:rPr>
        <w:t>qui n’a pas posé de problème dans l’exégèse est rendu de plusieurs façons qui sont parfois contradictoires : « témoin contre vous », « témoin à votre encontre », « témoin à l’encontre de vous », « à votre égard témoigner », « votre témoin », « témoin sur vous ».</w:t>
      </w:r>
    </w:p>
    <w:p w14:paraId="055DF821"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0104C6E9"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r w:rsidRPr="007C6A42">
        <w:rPr>
          <w:rFonts w:asciiTheme="majorBidi" w:eastAsia="Times New Roman" w:hAnsiTheme="majorBidi" w:cstheme="majorBidi"/>
          <w:b/>
          <w:bCs/>
          <w:lang w:bidi="ar-AE"/>
        </w:rPr>
        <w:t>Changement de ponctuation et de découpage de versets :</w:t>
      </w:r>
    </w:p>
    <w:p w14:paraId="2F4F7F9C" w14:textId="77777777" w:rsidR="00A70B78" w:rsidRPr="007C6A42" w:rsidRDefault="00A70B78" w:rsidP="00A70B78">
      <w:pPr>
        <w:spacing w:line="360" w:lineRule="auto"/>
        <w:ind w:firstLine="720"/>
        <w:contextualSpacing/>
        <w:jc w:val="both"/>
        <w:rPr>
          <w:rFonts w:asciiTheme="majorBidi" w:eastAsia="Times New Roman" w:hAnsiTheme="majorBidi" w:cstheme="majorBidi"/>
          <w:lang w:bidi="ar-AE"/>
        </w:rPr>
      </w:pPr>
      <w:r w:rsidRPr="007C6A42">
        <w:rPr>
          <w:rFonts w:asciiTheme="majorBidi" w:eastAsia="Times New Roman" w:hAnsiTheme="majorBidi" w:cstheme="majorBidi"/>
          <w:lang w:bidi="ar-AE"/>
        </w:rPr>
        <w:t>Dans la phrase (</w:t>
      </w:r>
      <w:r w:rsidRPr="007C6A42">
        <w:rPr>
          <w:rFonts w:asciiTheme="majorBidi" w:eastAsia="Times New Roman" w:hAnsiTheme="majorBidi" w:cstheme="majorBidi"/>
          <w:shd w:val="clear" w:color="auto" w:fill="FFFFFF"/>
          <w:rtl/>
        </w:rPr>
        <w:t>"هو سمَّاكم المسلمين</w:t>
      </w:r>
      <w:r w:rsidRPr="007C6A42">
        <w:rPr>
          <w:rFonts w:asciiTheme="majorBidi" w:eastAsia="Times New Roman" w:hAnsiTheme="majorBidi" w:cstheme="majorBidi"/>
          <w:rtl/>
        </w:rPr>
        <w:t xml:space="preserve"> </w:t>
      </w:r>
      <w:r w:rsidRPr="007C6A42">
        <w:rPr>
          <w:rFonts w:asciiTheme="majorBidi" w:eastAsia="Times New Roman" w:hAnsiTheme="majorBidi" w:cstheme="majorBidi"/>
          <w:rtl/>
          <w:lang w:bidi="ar-KW"/>
        </w:rPr>
        <w:t xml:space="preserve">من قبلُ </w:t>
      </w:r>
      <w:r w:rsidRPr="007C6A42">
        <w:rPr>
          <w:rFonts w:asciiTheme="majorBidi" w:eastAsia="Calibri" w:hAnsiTheme="majorBidi" w:cstheme="majorBidi"/>
          <w:rtl/>
        </w:rPr>
        <w:t>وفي هذا ليكونَ الرسولُ شهيدًا عليكم</w:t>
      </w:r>
      <w:r w:rsidRPr="007C6A42">
        <w:rPr>
          <w:rFonts w:asciiTheme="majorBidi" w:eastAsia="Times New Roman" w:hAnsiTheme="majorBidi" w:cstheme="majorBidi"/>
          <w:rtl/>
          <w:lang w:bidi="ar-KW"/>
        </w:rPr>
        <w:t>"</w:t>
      </w:r>
      <w:r w:rsidRPr="007C6A42">
        <w:rPr>
          <w:rFonts w:asciiTheme="majorBidi" w:eastAsia="Times New Roman" w:hAnsiTheme="majorBidi" w:cstheme="majorBidi"/>
          <w:lang w:bidi="ar-AE"/>
        </w:rPr>
        <w:t>) (v. 78), la ponctuation est équivoque. On ne sait pas si le syntagme prépositionnel (</w:t>
      </w:r>
      <w:r w:rsidRPr="007C6A42">
        <w:rPr>
          <w:rFonts w:asciiTheme="majorBidi" w:eastAsia="Times New Roman" w:hAnsiTheme="majorBidi" w:cstheme="majorBidi"/>
          <w:rtl/>
          <w:lang w:bidi="ar-AE"/>
        </w:rPr>
        <w:t>"</w:t>
      </w:r>
      <w:r w:rsidRPr="007C6A42">
        <w:rPr>
          <w:rFonts w:asciiTheme="majorBidi" w:eastAsia="Calibri" w:hAnsiTheme="majorBidi" w:cstheme="majorBidi"/>
          <w:rtl/>
        </w:rPr>
        <w:t>وفي هذا"</w:t>
      </w:r>
      <w:r w:rsidRPr="007C6A42">
        <w:rPr>
          <w:rFonts w:asciiTheme="majorBidi" w:eastAsia="Calibri" w:hAnsiTheme="majorBidi" w:cstheme="majorBidi"/>
        </w:rPr>
        <w:t xml:space="preserve"> [dans ceci]</w:t>
      </w:r>
      <w:r w:rsidRPr="007C6A42">
        <w:rPr>
          <w:rFonts w:asciiTheme="majorBidi" w:eastAsia="Times New Roman" w:hAnsiTheme="majorBidi" w:cstheme="majorBidi"/>
          <w:lang w:bidi="ar-AE"/>
        </w:rPr>
        <w:t>) est coordonné au syntagme précédent (</w:t>
      </w:r>
      <w:r w:rsidRPr="007C6A42">
        <w:rPr>
          <w:rFonts w:asciiTheme="majorBidi" w:eastAsia="Times New Roman" w:hAnsiTheme="majorBidi" w:cstheme="majorBidi"/>
          <w:rtl/>
          <w:lang w:bidi="ar-KW"/>
        </w:rPr>
        <w:t>من قبلُ</w:t>
      </w:r>
      <w:r w:rsidRPr="007C6A42">
        <w:rPr>
          <w:rFonts w:asciiTheme="majorBidi" w:eastAsia="Times New Roman" w:hAnsiTheme="majorBidi" w:cstheme="majorBidi"/>
          <w:lang w:bidi="ar-KW"/>
        </w:rPr>
        <w:t xml:space="preserve"> [jadis/auparavant]</w:t>
      </w:r>
      <w:r w:rsidRPr="007C6A42">
        <w:rPr>
          <w:rFonts w:asciiTheme="majorBidi" w:eastAsia="Times New Roman" w:hAnsiTheme="majorBidi" w:cstheme="majorBidi"/>
          <w:lang w:bidi="ar-AE"/>
        </w:rPr>
        <w:t xml:space="preserve">) ou s’il est le début d’une autre </w:t>
      </w:r>
      <w:r w:rsidRPr="007C6A42">
        <w:rPr>
          <w:rFonts w:asciiTheme="majorBidi" w:eastAsia="Times New Roman" w:hAnsiTheme="majorBidi" w:cstheme="majorBidi"/>
          <w:lang w:bidi="ar-AE"/>
        </w:rPr>
        <w:lastRenderedPageBreak/>
        <w:t>phrase. En général, l’exégèse considère qu’il s’agit d’une seule phrase. Mais les traducteurs ont découpé cette phrase de plusieurs manières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6BEE6BF9" w14:textId="77777777" w:rsidTr="00AF4FC9">
        <w:tc>
          <w:tcPr>
            <w:tcW w:w="10920" w:type="dxa"/>
            <w:gridSpan w:val="2"/>
            <w:tcBorders>
              <w:top w:val="nil"/>
              <w:left w:val="single" w:sz="4" w:space="0" w:color="auto"/>
              <w:bottom w:val="single" w:sz="4" w:space="0" w:color="auto"/>
              <w:right w:val="single" w:sz="4" w:space="0" w:color="auto"/>
            </w:tcBorders>
          </w:tcPr>
          <w:p w14:paraId="17DF4889" w14:textId="77777777" w:rsidR="00A70B78" w:rsidRPr="007C6A42" w:rsidRDefault="00A70B78" w:rsidP="00AF4FC9">
            <w:pPr>
              <w:bidi/>
              <w:spacing w:line="360" w:lineRule="auto"/>
              <w:jc w:val="center"/>
              <w:rPr>
                <w:rFonts w:asciiTheme="majorBidi" w:eastAsia="Times New Roman" w:hAnsiTheme="majorBidi" w:cstheme="majorBidi"/>
                <w:color w:val="000000"/>
                <w:lang w:bidi="ar-KW"/>
              </w:rPr>
            </w:pPr>
            <w:r w:rsidRPr="007C6A42">
              <w:rPr>
                <w:rFonts w:asciiTheme="majorBidi" w:eastAsia="Times New Roman" w:hAnsiTheme="majorBidi" w:cstheme="majorBidi"/>
                <w:color w:val="000000"/>
                <w:shd w:val="clear" w:color="auto" w:fill="FFFFFF"/>
                <w:rtl/>
              </w:rPr>
              <w:t>"</w:t>
            </w:r>
            <w:r w:rsidRPr="007C6A42">
              <w:rPr>
                <w:rFonts w:asciiTheme="majorBidi" w:eastAsia="Times New Roman" w:hAnsiTheme="majorBidi" w:cstheme="majorBidi"/>
                <w:shd w:val="clear" w:color="auto" w:fill="FFFFFF"/>
                <w:rtl/>
              </w:rPr>
              <w:t>هو سمَّاكم المسلمين</w:t>
            </w:r>
            <w:r w:rsidRPr="007C6A42">
              <w:rPr>
                <w:rFonts w:asciiTheme="majorBidi" w:eastAsia="Times New Roman" w:hAnsiTheme="majorBidi" w:cstheme="majorBidi"/>
                <w:rtl/>
              </w:rPr>
              <w:t xml:space="preserve"> </w:t>
            </w:r>
            <w:r w:rsidRPr="007C6A42">
              <w:rPr>
                <w:rFonts w:asciiTheme="majorBidi" w:eastAsia="Times New Roman" w:hAnsiTheme="majorBidi" w:cstheme="majorBidi"/>
                <w:rtl/>
                <w:lang w:bidi="ar-KW"/>
              </w:rPr>
              <w:t xml:space="preserve">من قبلُ </w:t>
            </w:r>
            <w:r w:rsidRPr="007C6A42">
              <w:rPr>
                <w:rFonts w:asciiTheme="majorBidi" w:eastAsia="Calibri" w:hAnsiTheme="majorBidi" w:cstheme="majorBidi"/>
                <w:rtl/>
              </w:rPr>
              <w:t>وفي هذا ليكونَ الرسولُ شهيدًا عليكم</w:t>
            </w:r>
            <w:r w:rsidRPr="007C6A42">
              <w:rPr>
                <w:rFonts w:asciiTheme="majorBidi" w:eastAsia="Times New Roman" w:hAnsiTheme="majorBidi" w:cstheme="majorBidi"/>
                <w:rtl/>
                <w:lang w:bidi="ar-KW"/>
              </w:rPr>
              <w:t xml:space="preserve">" </w:t>
            </w:r>
            <w:r w:rsidRPr="007C6A42">
              <w:rPr>
                <w:rFonts w:asciiTheme="majorBidi" w:eastAsia="Times New Roman" w:hAnsiTheme="majorBidi" w:cstheme="majorBidi"/>
                <w:rtl/>
              </w:rPr>
              <w:t>(الحج، 78)</w:t>
            </w:r>
          </w:p>
        </w:tc>
      </w:tr>
      <w:tr w:rsidR="00A70B78" w:rsidRPr="007C6A42" w14:paraId="308A3343" w14:textId="77777777" w:rsidTr="00AF4FC9">
        <w:tc>
          <w:tcPr>
            <w:tcW w:w="851" w:type="dxa"/>
            <w:tcBorders>
              <w:top w:val="single" w:sz="4" w:space="0" w:color="auto"/>
              <w:left w:val="single" w:sz="4" w:space="0" w:color="auto"/>
              <w:bottom w:val="single" w:sz="4" w:space="0" w:color="auto"/>
              <w:right w:val="single" w:sz="4" w:space="0" w:color="auto"/>
            </w:tcBorders>
          </w:tcPr>
          <w:p w14:paraId="34B11A7E"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D.R.</w:t>
            </w:r>
          </w:p>
        </w:tc>
        <w:tc>
          <w:tcPr>
            <w:tcW w:w="10069" w:type="dxa"/>
            <w:tcBorders>
              <w:top w:val="single" w:sz="4" w:space="0" w:color="auto"/>
              <w:left w:val="single" w:sz="4" w:space="0" w:color="auto"/>
              <w:bottom w:val="single" w:sz="4" w:space="0" w:color="auto"/>
              <w:right w:val="single" w:sz="4" w:space="0" w:color="auto"/>
            </w:tcBorders>
          </w:tcPr>
          <w:p w14:paraId="09522CB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 vous a nommé les reʃignez en Dieu auant la venüe de l’Alcoran</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rPr>
              <w:t>le Prophete ʃera teʃmoin contre vous au iour du Iugement</w:t>
            </w:r>
            <w:r w:rsidRPr="007C6A42">
              <w:rPr>
                <w:rFonts w:asciiTheme="majorBidi" w:eastAsia="Times New Roman" w:hAnsiTheme="majorBidi" w:cstheme="majorBidi"/>
                <w:b/>
                <w:bCs/>
              </w:rPr>
              <w:t>,</w:t>
            </w:r>
          </w:p>
        </w:tc>
      </w:tr>
      <w:tr w:rsidR="00A70B78" w:rsidRPr="007C6A42" w14:paraId="375B9E72" w14:textId="77777777" w:rsidTr="00AF4FC9">
        <w:tc>
          <w:tcPr>
            <w:tcW w:w="851" w:type="dxa"/>
            <w:tcBorders>
              <w:top w:val="single" w:sz="4" w:space="0" w:color="auto"/>
              <w:left w:val="single" w:sz="4" w:space="0" w:color="auto"/>
              <w:bottom w:val="single" w:sz="4" w:space="0" w:color="auto"/>
              <w:right w:val="single" w:sz="4" w:space="0" w:color="auto"/>
            </w:tcBorders>
          </w:tcPr>
          <w:p w14:paraId="40DD4F75"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Sav.</w:t>
            </w:r>
          </w:p>
        </w:tc>
        <w:tc>
          <w:tcPr>
            <w:tcW w:w="10069" w:type="dxa"/>
            <w:tcBorders>
              <w:top w:val="single" w:sz="4" w:space="0" w:color="auto"/>
              <w:left w:val="single" w:sz="4" w:space="0" w:color="auto"/>
              <w:bottom w:val="single" w:sz="4" w:space="0" w:color="auto"/>
              <w:right w:val="single" w:sz="4" w:space="0" w:color="auto"/>
            </w:tcBorders>
          </w:tcPr>
          <w:p w14:paraId="053E053D"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C’est lui qui vous nomma </w:t>
            </w:r>
            <w:r w:rsidRPr="007C6A42">
              <w:rPr>
                <w:rFonts w:asciiTheme="majorBidi" w:eastAsia="Times New Roman" w:hAnsiTheme="majorBidi" w:cstheme="majorBidi"/>
                <w:i/>
                <w:iCs/>
              </w:rPr>
              <w:t>musulmans</w:t>
            </w:r>
            <w:r w:rsidRPr="007C6A42">
              <w:rPr>
                <w:rFonts w:asciiTheme="majorBidi" w:eastAsia="Times New Roman" w:hAnsiTheme="majorBidi" w:cstheme="majorBidi"/>
                <w:b/>
                <w:bCs/>
              </w:rPr>
              <w:t xml:space="preserve">. </w:t>
            </w:r>
            <w:r w:rsidRPr="007C6A42">
              <w:rPr>
                <w:rFonts w:asciiTheme="majorBidi" w:eastAsia="Times New Roman" w:hAnsiTheme="majorBidi" w:cstheme="majorBidi"/>
              </w:rPr>
              <w:t>Le Coran vous confirme ce titre glorieux</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Mon envoyé sera témoin contre vous, au jour de la résurrection.</w:t>
            </w:r>
          </w:p>
        </w:tc>
      </w:tr>
      <w:tr w:rsidR="00A70B78" w:rsidRPr="007C6A42" w14:paraId="68854335" w14:textId="77777777" w:rsidTr="00AF4FC9">
        <w:tc>
          <w:tcPr>
            <w:tcW w:w="851" w:type="dxa"/>
            <w:tcBorders>
              <w:top w:val="single" w:sz="4" w:space="0" w:color="auto"/>
              <w:left w:val="single" w:sz="4" w:space="0" w:color="auto"/>
              <w:bottom w:val="single" w:sz="4" w:space="0" w:color="auto"/>
              <w:right w:val="single" w:sz="4" w:space="0" w:color="auto"/>
            </w:tcBorders>
          </w:tcPr>
          <w:p w14:paraId="50DA5879"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 xml:space="preserve">Kaz. </w:t>
            </w:r>
          </w:p>
        </w:tc>
        <w:tc>
          <w:tcPr>
            <w:tcW w:w="10069" w:type="dxa"/>
            <w:tcBorders>
              <w:top w:val="single" w:sz="4" w:space="0" w:color="auto"/>
              <w:left w:val="single" w:sz="4" w:space="0" w:color="auto"/>
              <w:bottom w:val="single" w:sz="4" w:space="0" w:color="auto"/>
              <w:right w:val="single" w:sz="4" w:space="0" w:color="auto"/>
            </w:tcBorders>
          </w:tcPr>
          <w:p w14:paraId="63810AB9"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b/>
                <w:bCs/>
              </w:rPr>
              <w:t>i</w:t>
            </w:r>
            <w:r w:rsidRPr="007C6A42">
              <w:rPr>
                <w:rFonts w:asciiTheme="majorBidi" w:eastAsia="Times New Roman" w:hAnsiTheme="majorBidi" w:cstheme="majorBidi"/>
              </w:rPr>
              <w:t>l vous a nommés musulmans</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w:t>
            </w:r>
            <w:r w:rsidRPr="007C6A42">
              <w:rPr>
                <w:rFonts w:asciiTheme="majorBidi" w:eastAsia="Times New Roman" w:hAnsiTheme="majorBidi" w:cstheme="majorBidi"/>
                <w:b/>
                <w:bCs/>
              </w:rPr>
              <w:t>[78]</w:t>
            </w:r>
            <w:r w:rsidRPr="007C6A42">
              <w:rPr>
                <w:rFonts w:asciiTheme="majorBidi" w:eastAsia="Times New Roman" w:hAnsiTheme="majorBidi" w:cstheme="majorBidi"/>
              </w:rPr>
              <w:t xml:space="preserve"> Il y a longtemps qu’il vous a ainsi nommés dans le Coran</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afin que votre prophète soit témoin contre vous</w:t>
            </w:r>
          </w:p>
        </w:tc>
      </w:tr>
      <w:tr w:rsidR="00A70B78" w:rsidRPr="007C6A42" w14:paraId="2A73DB29" w14:textId="77777777" w:rsidTr="00AF4FC9">
        <w:tc>
          <w:tcPr>
            <w:tcW w:w="851" w:type="dxa"/>
            <w:tcBorders>
              <w:top w:val="single" w:sz="4" w:space="0" w:color="auto"/>
              <w:left w:val="single" w:sz="4" w:space="0" w:color="auto"/>
              <w:bottom w:val="single" w:sz="4" w:space="0" w:color="auto"/>
              <w:right w:val="single" w:sz="4" w:space="0" w:color="auto"/>
            </w:tcBorders>
          </w:tcPr>
          <w:p w14:paraId="5B70269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Blach.</w:t>
            </w:r>
          </w:p>
        </w:tc>
        <w:tc>
          <w:tcPr>
            <w:tcW w:w="10069" w:type="dxa"/>
            <w:tcBorders>
              <w:top w:val="single" w:sz="4" w:space="0" w:color="auto"/>
              <w:left w:val="single" w:sz="4" w:space="0" w:color="auto"/>
              <w:bottom w:val="single" w:sz="4" w:space="0" w:color="auto"/>
              <w:right w:val="single" w:sz="4" w:space="0" w:color="auto"/>
            </w:tcBorders>
          </w:tcPr>
          <w:p w14:paraId="78853CA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nommés les Soumis</w:t>
            </w:r>
            <w:r w:rsidRPr="007C6A42">
              <w:rPr>
                <w:rFonts w:asciiTheme="majorBidi" w:eastAsia="Calibri" w:hAnsiTheme="majorBidi" w:cstheme="majorBidi"/>
                <w:b/>
                <w:bCs/>
              </w:rPr>
              <w:t>,</w:t>
            </w:r>
            <w:r w:rsidRPr="007C6A42">
              <w:rPr>
                <w:rFonts w:asciiTheme="majorBidi" w:eastAsia="Calibri" w:hAnsiTheme="majorBidi" w:cstheme="majorBidi"/>
              </w:rPr>
              <w:t xml:space="preserve"> auparavant et en cette Révélation</w:t>
            </w:r>
            <w:r w:rsidRPr="007C6A42">
              <w:rPr>
                <w:rFonts w:asciiTheme="majorBidi" w:eastAsia="Calibri" w:hAnsiTheme="majorBidi" w:cstheme="majorBidi"/>
                <w:b/>
                <w:bCs/>
              </w:rPr>
              <w:t>,</w:t>
            </w:r>
            <w:r w:rsidRPr="007C6A42">
              <w:rPr>
                <w:rFonts w:asciiTheme="majorBidi" w:eastAsia="Calibri" w:hAnsiTheme="majorBidi" w:cstheme="majorBidi"/>
              </w:rPr>
              <w:t xml:space="preserve"> afin que l’Apôtre soit témoin à votre encontre</w:t>
            </w:r>
          </w:p>
        </w:tc>
      </w:tr>
      <w:tr w:rsidR="00A70B78" w:rsidRPr="007C6A42" w14:paraId="07C33D81" w14:textId="77777777" w:rsidTr="00AF4FC9">
        <w:tc>
          <w:tcPr>
            <w:tcW w:w="851" w:type="dxa"/>
            <w:tcBorders>
              <w:top w:val="single" w:sz="4" w:space="0" w:color="auto"/>
              <w:left w:val="single" w:sz="4" w:space="0" w:color="auto"/>
              <w:bottom w:val="single" w:sz="4" w:space="0" w:color="auto"/>
              <w:right w:val="single" w:sz="4" w:space="0" w:color="auto"/>
            </w:tcBorders>
          </w:tcPr>
          <w:p w14:paraId="39AB724F"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Hamid</w:t>
            </w:r>
          </w:p>
        </w:tc>
        <w:tc>
          <w:tcPr>
            <w:tcW w:w="10069" w:type="dxa"/>
            <w:tcBorders>
              <w:top w:val="single" w:sz="4" w:space="0" w:color="auto"/>
              <w:left w:val="single" w:sz="4" w:space="0" w:color="auto"/>
              <w:bottom w:val="single" w:sz="4" w:space="0" w:color="auto"/>
              <w:right w:val="single" w:sz="4" w:space="0" w:color="auto"/>
            </w:tcBorders>
          </w:tcPr>
          <w:p w14:paraId="014D264E"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b/>
                <w:bCs/>
              </w:rPr>
              <w:t>l</w:t>
            </w:r>
            <w:r w:rsidRPr="007C6A42">
              <w:rPr>
                <w:rFonts w:asciiTheme="majorBidi" w:eastAsia="Calibri" w:hAnsiTheme="majorBidi" w:cstheme="majorBidi"/>
              </w:rPr>
              <w:t>equel vous a nommés « Soumis »</w:t>
            </w:r>
            <w:r w:rsidRPr="007C6A42">
              <w:rPr>
                <w:rFonts w:asciiTheme="majorBidi" w:eastAsia="Calibri" w:hAnsiTheme="majorBidi" w:cstheme="majorBidi"/>
                <w:b/>
                <w:bCs/>
              </w:rPr>
              <w:t>,</w:t>
            </w:r>
            <w:r w:rsidRPr="007C6A42">
              <w:rPr>
                <w:rFonts w:asciiTheme="majorBidi" w:eastAsia="Calibri" w:hAnsiTheme="majorBidi" w:cstheme="majorBidi"/>
              </w:rPr>
              <w:t xml:space="preserve"> autrefois</w:t>
            </w:r>
            <w:r w:rsidRPr="007C6A42">
              <w:rPr>
                <w:rFonts w:asciiTheme="majorBidi" w:eastAsia="Calibri" w:hAnsiTheme="majorBidi" w:cstheme="majorBidi"/>
                <w:b/>
                <w:bCs/>
              </w:rPr>
              <w:t>,</w:t>
            </w:r>
            <w:r w:rsidRPr="007C6A42">
              <w:rPr>
                <w:rFonts w:asciiTheme="majorBidi" w:eastAsia="Calibri" w:hAnsiTheme="majorBidi" w:cstheme="majorBidi"/>
              </w:rPr>
              <w:t xml:space="preserve"> </w:t>
            </w:r>
            <w:r w:rsidRPr="007C6A42">
              <w:rPr>
                <w:rFonts w:asciiTheme="majorBidi" w:eastAsia="Calibri" w:hAnsiTheme="majorBidi" w:cstheme="majorBidi"/>
                <w:b/>
                <w:bCs/>
              </w:rPr>
              <w:t>-</w:t>
            </w:r>
            <w:r w:rsidRPr="007C6A42">
              <w:rPr>
                <w:rFonts w:asciiTheme="majorBidi" w:eastAsia="Calibri" w:hAnsiTheme="majorBidi" w:cstheme="majorBidi"/>
              </w:rPr>
              <w:t xml:space="preserve"> et ici aussi</w:t>
            </w:r>
            <w:r w:rsidRPr="007C6A42">
              <w:rPr>
                <w:rFonts w:asciiTheme="majorBidi" w:eastAsia="Calibri" w:hAnsiTheme="majorBidi" w:cstheme="majorBidi"/>
                <w:b/>
                <w:bCs/>
              </w:rPr>
              <w:t xml:space="preserve">,- </w:t>
            </w:r>
            <w:r w:rsidRPr="007C6A42">
              <w:rPr>
                <w:rFonts w:asciiTheme="majorBidi" w:eastAsia="Calibri" w:hAnsiTheme="majorBidi" w:cstheme="majorBidi"/>
              </w:rPr>
              <w:t>afin que le messager soit témoin sur vous</w:t>
            </w:r>
          </w:p>
        </w:tc>
      </w:tr>
      <w:tr w:rsidR="00A70B78" w:rsidRPr="007C6A42" w14:paraId="4E91D07B" w14:textId="77777777" w:rsidTr="00AF4FC9">
        <w:tc>
          <w:tcPr>
            <w:tcW w:w="851" w:type="dxa"/>
            <w:tcBorders>
              <w:top w:val="single" w:sz="4" w:space="0" w:color="auto"/>
              <w:left w:val="single" w:sz="4" w:space="0" w:color="auto"/>
              <w:bottom w:val="single" w:sz="4" w:space="0" w:color="auto"/>
              <w:right w:val="single" w:sz="4" w:space="0" w:color="auto"/>
            </w:tcBorders>
          </w:tcPr>
          <w:p w14:paraId="681B360F"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Mass.</w:t>
            </w:r>
          </w:p>
        </w:tc>
        <w:tc>
          <w:tcPr>
            <w:tcW w:w="10069" w:type="dxa"/>
            <w:tcBorders>
              <w:top w:val="single" w:sz="4" w:space="0" w:color="auto"/>
              <w:left w:val="single" w:sz="4" w:space="0" w:color="auto"/>
              <w:bottom w:val="single" w:sz="4" w:space="0" w:color="auto"/>
              <w:right w:val="single" w:sz="4" w:space="0" w:color="auto"/>
            </w:tcBorders>
          </w:tcPr>
          <w:p w14:paraId="76F5CBA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C’est lui qui vous a donné le nom de « Musulmans » autrefois déjà</w:t>
            </w:r>
            <w:r w:rsidRPr="007C6A42">
              <w:rPr>
                <w:rFonts w:asciiTheme="majorBidi" w:eastAsia="Calibri" w:hAnsiTheme="majorBidi" w:cstheme="majorBidi"/>
                <w:b/>
                <w:bCs/>
              </w:rPr>
              <w:t>,</w:t>
            </w:r>
            <w:r w:rsidRPr="007C6A42">
              <w:rPr>
                <w:rFonts w:asciiTheme="majorBidi" w:eastAsia="Calibri" w:hAnsiTheme="majorBidi" w:cstheme="majorBidi"/>
              </w:rPr>
              <w:t xml:space="preserve"> et ici même</w:t>
            </w:r>
            <w:r w:rsidRPr="007C6A42">
              <w:rPr>
                <w:rFonts w:asciiTheme="majorBidi" w:eastAsia="Calibri" w:hAnsiTheme="majorBidi" w:cstheme="majorBidi"/>
                <w:b/>
                <w:bCs/>
              </w:rPr>
              <w:t>,</w:t>
            </w:r>
            <w:r w:rsidRPr="007C6A42">
              <w:rPr>
                <w:rFonts w:asciiTheme="majorBidi" w:eastAsia="Calibri" w:hAnsiTheme="majorBidi" w:cstheme="majorBidi"/>
              </w:rPr>
              <w:t xml:space="preserve"> afin que le Prophète soit témoin contre vous</w:t>
            </w:r>
          </w:p>
        </w:tc>
      </w:tr>
      <w:tr w:rsidR="00A70B78" w:rsidRPr="007C6A42" w14:paraId="632848E5" w14:textId="77777777" w:rsidTr="00AF4FC9">
        <w:tc>
          <w:tcPr>
            <w:tcW w:w="851" w:type="dxa"/>
            <w:tcBorders>
              <w:top w:val="single" w:sz="4" w:space="0" w:color="auto"/>
              <w:left w:val="single" w:sz="4" w:space="0" w:color="auto"/>
              <w:bottom w:val="single" w:sz="4" w:space="0" w:color="auto"/>
              <w:right w:val="single" w:sz="4" w:space="0" w:color="auto"/>
            </w:tcBorders>
          </w:tcPr>
          <w:p w14:paraId="4AF7D53A"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Chour.</w:t>
            </w:r>
          </w:p>
        </w:tc>
        <w:tc>
          <w:tcPr>
            <w:tcW w:w="10069" w:type="dxa"/>
            <w:tcBorders>
              <w:top w:val="single" w:sz="4" w:space="0" w:color="auto"/>
              <w:left w:val="single" w:sz="4" w:space="0" w:color="auto"/>
              <w:bottom w:val="single" w:sz="4" w:space="0" w:color="auto"/>
              <w:right w:val="single" w:sz="4" w:space="0" w:color="auto"/>
            </w:tcBorders>
          </w:tcPr>
          <w:p w14:paraId="20BBE40B"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Times New Roman" w:hAnsiTheme="majorBidi" w:cstheme="majorBidi"/>
              </w:rPr>
              <w:t>Lui, jadis, vous a appelés les Pacifiés</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al-muslimûn</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et cela pour que l’Envoyé soit votre témoin et que vous soyez des témoins pour les hommes</w:t>
            </w:r>
          </w:p>
        </w:tc>
      </w:tr>
      <w:tr w:rsidR="00A70B78" w:rsidRPr="007C6A42" w14:paraId="0752512E" w14:textId="77777777" w:rsidTr="00AF4FC9">
        <w:tc>
          <w:tcPr>
            <w:tcW w:w="851" w:type="dxa"/>
            <w:tcBorders>
              <w:top w:val="single" w:sz="4" w:space="0" w:color="auto"/>
              <w:left w:val="single" w:sz="4" w:space="0" w:color="auto"/>
              <w:bottom w:val="single" w:sz="4" w:space="0" w:color="auto"/>
              <w:right w:val="single" w:sz="4" w:space="0" w:color="auto"/>
            </w:tcBorders>
          </w:tcPr>
          <w:p w14:paraId="1B815D4C"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Ghéd.</w:t>
            </w:r>
          </w:p>
        </w:tc>
        <w:tc>
          <w:tcPr>
            <w:tcW w:w="10069" w:type="dxa"/>
            <w:tcBorders>
              <w:top w:val="single" w:sz="4" w:space="0" w:color="auto"/>
              <w:left w:val="single" w:sz="4" w:space="0" w:color="auto"/>
              <w:bottom w:val="single" w:sz="4" w:space="0" w:color="auto"/>
              <w:right w:val="single" w:sz="4" w:space="0" w:color="auto"/>
            </w:tcBorders>
          </w:tcPr>
          <w:p w14:paraId="4CE4F9DC"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nommés Musulmans bien avant le Coran</w:t>
            </w:r>
            <w:r w:rsidRPr="007C6A42">
              <w:rPr>
                <w:rFonts w:asciiTheme="majorBidi" w:eastAsia="Calibri" w:hAnsiTheme="majorBidi" w:cstheme="majorBidi"/>
                <w:b/>
                <w:bCs/>
              </w:rPr>
              <w:t>.</w:t>
            </w:r>
            <w:r w:rsidRPr="007C6A42">
              <w:rPr>
                <w:rFonts w:asciiTheme="majorBidi" w:eastAsia="Calibri" w:hAnsiTheme="majorBidi" w:cstheme="majorBidi"/>
              </w:rPr>
              <w:t xml:space="preserve"> Et dans ce Coran aussi, afin que l’Apôtre soit Témoin contre vous</w:t>
            </w:r>
          </w:p>
        </w:tc>
      </w:tr>
      <w:tr w:rsidR="00A70B78" w:rsidRPr="007C6A42" w14:paraId="03398199" w14:textId="77777777" w:rsidTr="00AF4FC9">
        <w:tc>
          <w:tcPr>
            <w:tcW w:w="851" w:type="dxa"/>
            <w:tcBorders>
              <w:top w:val="single" w:sz="4" w:space="0" w:color="auto"/>
              <w:left w:val="single" w:sz="4" w:space="0" w:color="auto"/>
              <w:bottom w:val="single" w:sz="4" w:space="0" w:color="auto"/>
              <w:right w:val="single" w:sz="4" w:space="0" w:color="auto"/>
            </w:tcBorders>
          </w:tcPr>
          <w:p w14:paraId="7C010688"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Méd.</w:t>
            </w:r>
          </w:p>
        </w:tc>
        <w:tc>
          <w:tcPr>
            <w:tcW w:w="10069" w:type="dxa"/>
            <w:tcBorders>
              <w:top w:val="single" w:sz="4" w:space="0" w:color="auto"/>
              <w:left w:val="single" w:sz="4" w:space="0" w:color="auto"/>
              <w:bottom w:val="single" w:sz="4" w:space="0" w:color="auto"/>
              <w:right w:val="single" w:sz="4" w:space="0" w:color="auto"/>
            </w:tcBorders>
          </w:tcPr>
          <w:p w14:paraId="4E6491C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lequel vous a déjà nommés “Musulmans” avant (ce Livre) et dans ce (Livre), afin que le Messager soit témoin contre vous,</w:t>
            </w:r>
          </w:p>
        </w:tc>
      </w:tr>
      <w:tr w:rsidR="00A70B78" w:rsidRPr="007C6A42" w14:paraId="37EDCDC3" w14:textId="77777777" w:rsidTr="00AF4FC9">
        <w:tc>
          <w:tcPr>
            <w:tcW w:w="851" w:type="dxa"/>
            <w:tcBorders>
              <w:top w:val="single" w:sz="4" w:space="0" w:color="auto"/>
              <w:left w:val="single" w:sz="4" w:space="0" w:color="auto"/>
              <w:bottom w:val="single" w:sz="4" w:space="0" w:color="auto"/>
              <w:right w:val="single" w:sz="4" w:space="0" w:color="auto"/>
            </w:tcBorders>
          </w:tcPr>
          <w:p w14:paraId="502D7930"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Berque</w:t>
            </w:r>
          </w:p>
        </w:tc>
        <w:tc>
          <w:tcPr>
            <w:tcW w:w="10069" w:type="dxa"/>
            <w:tcBorders>
              <w:top w:val="single" w:sz="4" w:space="0" w:color="auto"/>
              <w:left w:val="single" w:sz="4" w:space="0" w:color="auto"/>
              <w:bottom w:val="single" w:sz="4" w:space="0" w:color="auto"/>
              <w:right w:val="single" w:sz="4" w:space="0" w:color="auto"/>
            </w:tcBorders>
          </w:tcPr>
          <w:p w14:paraId="7B8EFF8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Calibri" w:hAnsiTheme="majorBidi" w:cstheme="majorBidi"/>
                <w:lang w:bidi="ar-AE"/>
              </w:rPr>
              <w:t>C’est lui qui jadis vous a nommés Ceux-qui-se-soumettent</w:t>
            </w:r>
            <w:r w:rsidRPr="007C6A42">
              <w:rPr>
                <w:rFonts w:asciiTheme="majorBidi" w:eastAsia="Calibri" w:hAnsiTheme="majorBidi" w:cstheme="majorBidi"/>
                <w:b/>
                <w:bCs/>
                <w:lang w:bidi="ar-AE"/>
              </w:rPr>
              <w:t>.</w:t>
            </w:r>
            <w:r w:rsidRPr="007C6A42">
              <w:rPr>
                <w:rFonts w:asciiTheme="majorBidi" w:eastAsia="Calibri" w:hAnsiTheme="majorBidi" w:cstheme="majorBidi"/>
                <w:lang w:bidi="ar-AE"/>
              </w:rPr>
              <w:t xml:space="preserve"> Qu’en cela l’Envoyé soit votre témoin,</w:t>
            </w:r>
          </w:p>
        </w:tc>
      </w:tr>
      <w:tr w:rsidR="00A70B78" w:rsidRPr="007C6A42" w14:paraId="305A5148" w14:textId="77777777" w:rsidTr="00AF4FC9">
        <w:tc>
          <w:tcPr>
            <w:tcW w:w="851" w:type="dxa"/>
            <w:tcBorders>
              <w:top w:val="single" w:sz="4" w:space="0" w:color="auto"/>
              <w:left w:val="single" w:sz="4" w:space="0" w:color="auto"/>
              <w:bottom w:val="single" w:sz="4" w:space="0" w:color="auto"/>
              <w:right w:val="single" w:sz="4" w:space="0" w:color="auto"/>
            </w:tcBorders>
          </w:tcPr>
          <w:p w14:paraId="38FB851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Gues.</w:t>
            </w:r>
          </w:p>
        </w:tc>
        <w:tc>
          <w:tcPr>
            <w:tcW w:w="10069" w:type="dxa"/>
            <w:tcBorders>
              <w:top w:val="single" w:sz="4" w:space="0" w:color="auto"/>
              <w:left w:val="single" w:sz="4" w:space="0" w:color="auto"/>
              <w:bottom w:val="single" w:sz="4" w:space="0" w:color="auto"/>
              <w:right w:val="single" w:sz="4" w:space="0" w:color="auto"/>
            </w:tcBorders>
          </w:tcPr>
          <w:p w14:paraId="242D6F44"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Et comme musulmans soumis IL vous a désignés</w:t>
            </w:r>
            <w:r w:rsidRPr="007C6A42">
              <w:rPr>
                <w:rFonts w:asciiTheme="majorBidi" w:eastAsia="Calibri" w:hAnsiTheme="majorBidi" w:cstheme="majorBidi"/>
                <w:b/>
                <w:bCs/>
              </w:rPr>
              <w:t>.</w:t>
            </w:r>
          </w:p>
          <w:p w14:paraId="7E12481C"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Auparavant et en cette Révélation afin que votre Envoyé,</w:t>
            </w:r>
          </w:p>
          <w:p w14:paraId="1E655428"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Puisse à votre égard témoigner</w:t>
            </w:r>
          </w:p>
        </w:tc>
      </w:tr>
      <w:tr w:rsidR="00A70B78" w:rsidRPr="007C6A42" w14:paraId="0E49E373" w14:textId="77777777" w:rsidTr="00AF4FC9">
        <w:tc>
          <w:tcPr>
            <w:tcW w:w="851" w:type="dxa"/>
            <w:tcBorders>
              <w:top w:val="single" w:sz="4" w:space="0" w:color="auto"/>
              <w:left w:val="single" w:sz="4" w:space="0" w:color="auto"/>
              <w:bottom w:val="single" w:sz="4" w:space="0" w:color="auto"/>
              <w:right w:val="single" w:sz="4" w:space="0" w:color="auto"/>
            </w:tcBorders>
          </w:tcPr>
          <w:p w14:paraId="13ED0D5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Haf.</w:t>
            </w:r>
          </w:p>
        </w:tc>
        <w:tc>
          <w:tcPr>
            <w:tcW w:w="10069" w:type="dxa"/>
            <w:tcBorders>
              <w:top w:val="single" w:sz="4" w:space="0" w:color="auto"/>
              <w:left w:val="single" w:sz="4" w:space="0" w:color="auto"/>
              <w:bottom w:val="single" w:sz="4" w:space="0" w:color="auto"/>
              <w:right w:val="single" w:sz="4" w:space="0" w:color="auto"/>
            </w:tcBorders>
          </w:tcPr>
          <w:p w14:paraId="0824FEA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C’est ce dernier qui vous a donné le nom de musulmans</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autrefois et dans ce Coran</w:t>
            </w:r>
            <w:r w:rsidRPr="007C6A42">
              <w:rPr>
                <w:rFonts w:asciiTheme="majorBidi" w:eastAsia="Times New Roman" w:hAnsiTheme="majorBidi" w:cstheme="majorBidi"/>
                <w:b/>
                <w:bCs/>
              </w:rPr>
              <w:t>,</w:t>
            </w:r>
            <w:r w:rsidRPr="007C6A42">
              <w:rPr>
                <w:rFonts w:asciiTheme="majorBidi" w:eastAsia="Times New Roman" w:hAnsiTheme="majorBidi" w:cstheme="majorBidi"/>
              </w:rPr>
              <w:t xml:space="preserve"> afin que le Messager soit témoin contre vous</w:t>
            </w:r>
          </w:p>
        </w:tc>
      </w:tr>
      <w:tr w:rsidR="00A70B78" w:rsidRPr="007C6A42" w14:paraId="590F26A9" w14:textId="77777777" w:rsidTr="00AF4FC9">
        <w:tc>
          <w:tcPr>
            <w:tcW w:w="851" w:type="dxa"/>
            <w:tcBorders>
              <w:top w:val="single" w:sz="4" w:space="0" w:color="auto"/>
              <w:left w:val="single" w:sz="4" w:space="0" w:color="auto"/>
              <w:bottom w:val="single" w:sz="4" w:space="0" w:color="auto"/>
              <w:right w:val="single" w:sz="4" w:space="0" w:color="auto"/>
            </w:tcBorders>
          </w:tcPr>
          <w:p w14:paraId="43A76EA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Gros.</w:t>
            </w:r>
          </w:p>
        </w:tc>
        <w:tc>
          <w:tcPr>
            <w:tcW w:w="10069" w:type="dxa"/>
            <w:tcBorders>
              <w:top w:val="single" w:sz="4" w:space="0" w:color="auto"/>
              <w:left w:val="single" w:sz="4" w:space="0" w:color="auto"/>
              <w:bottom w:val="single" w:sz="4" w:space="0" w:color="auto"/>
              <w:right w:val="single" w:sz="4" w:space="0" w:color="auto"/>
            </w:tcBorders>
          </w:tcPr>
          <w:p w14:paraId="094C8EC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Il vous a donné le nom de musulmans comme autrefois pour que l’apôtre soit témoin contre vous</w:t>
            </w:r>
          </w:p>
        </w:tc>
      </w:tr>
      <w:tr w:rsidR="00A70B78" w:rsidRPr="007C6A42" w14:paraId="1C58A0B4" w14:textId="77777777" w:rsidTr="00AF4FC9">
        <w:tc>
          <w:tcPr>
            <w:tcW w:w="851" w:type="dxa"/>
            <w:tcBorders>
              <w:top w:val="single" w:sz="4" w:space="0" w:color="auto"/>
              <w:left w:val="single" w:sz="4" w:space="0" w:color="auto"/>
              <w:bottom w:val="single" w:sz="4" w:space="0" w:color="auto"/>
              <w:right w:val="single" w:sz="4" w:space="0" w:color="auto"/>
            </w:tcBorders>
          </w:tcPr>
          <w:p w14:paraId="354B1995"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rPr>
              <w:t>Chiad.</w:t>
            </w:r>
          </w:p>
        </w:tc>
        <w:tc>
          <w:tcPr>
            <w:tcW w:w="10069" w:type="dxa"/>
            <w:tcBorders>
              <w:top w:val="single" w:sz="4" w:space="0" w:color="auto"/>
              <w:left w:val="single" w:sz="4" w:space="0" w:color="auto"/>
              <w:bottom w:val="single" w:sz="4" w:space="0" w:color="auto"/>
              <w:right w:val="single" w:sz="4" w:space="0" w:color="auto"/>
            </w:tcBorders>
          </w:tcPr>
          <w:p w14:paraId="1D212A1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b/>
                <w:bCs/>
              </w:rPr>
              <w:t>l</w:t>
            </w:r>
            <w:r w:rsidRPr="007C6A42">
              <w:rPr>
                <w:rFonts w:asciiTheme="majorBidi" w:eastAsia="Calibri" w:hAnsiTheme="majorBidi" w:cstheme="majorBidi"/>
              </w:rPr>
              <w:t>equel vous a lui-même déjà nommés « les musulmans »</w:t>
            </w:r>
            <w:r w:rsidRPr="007C6A42">
              <w:rPr>
                <w:rFonts w:asciiTheme="majorBidi" w:eastAsia="Calibri" w:hAnsiTheme="majorBidi" w:cstheme="majorBidi"/>
                <w:b/>
                <w:bCs/>
              </w:rPr>
              <w:t>,</w:t>
            </w:r>
            <w:r w:rsidRPr="007C6A42">
              <w:rPr>
                <w:rFonts w:asciiTheme="majorBidi" w:eastAsia="Calibri" w:hAnsiTheme="majorBidi" w:cstheme="majorBidi"/>
              </w:rPr>
              <w:t xml:space="preserve"> nom que vous portez encore dans ce Coran</w:t>
            </w:r>
            <w:r w:rsidRPr="007C6A42">
              <w:rPr>
                <w:rFonts w:asciiTheme="majorBidi" w:eastAsia="Calibri" w:hAnsiTheme="majorBidi" w:cstheme="majorBidi"/>
                <w:b/>
                <w:bCs/>
              </w:rPr>
              <w:t>,</w:t>
            </w:r>
            <w:r w:rsidRPr="007C6A42">
              <w:rPr>
                <w:rFonts w:asciiTheme="majorBidi" w:eastAsia="Calibri" w:hAnsiTheme="majorBidi" w:cstheme="majorBidi"/>
              </w:rPr>
              <w:t xml:space="preserve"> </w:t>
            </w:r>
            <w:r w:rsidRPr="007C6A42">
              <w:rPr>
                <w:rFonts w:asciiTheme="majorBidi" w:eastAsia="Calibri" w:hAnsiTheme="majorBidi" w:cstheme="majorBidi"/>
              </w:rPr>
              <w:lastRenderedPageBreak/>
              <w:t>afin que le Prophète soit témoin contre vous, et que vous soyez vous-mêmes témoins contre les hommes.</w:t>
            </w:r>
          </w:p>
        </w:tc>
      </w:tr>
      <w:tr w:rsidR="00A70B78" w:rsidRPr="007C6A42" w14:paraId="4CD674A9" w14:textId="77777777" w:rsidTr="00AF4FC9">
        <w:tc>
          <w:tcPr>
            <w:tcW w:w="851" w:type="dxa"/>
            <w:tcBorders>
              <w:top w:val="single" w:sz="4" w:space="0" w:color="auto"/>
              <w:left w:val="single" w:sz="4" w:space="0" w:color="auto"/>
              <w:bottom w:val="single" w:sz="4" w:space="0" w:color="auto"/>
              <w:right w:val="single" w:sz="4" w:space="0" w:color="auto"/>
            </w:tcBorders>
          </w:tcPr>
          <w:p w14:paraId="0F19E5E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lastRenderedPageBreak/>
              <w:t>B. M.</w:t>
            </w:r>
          </w:p>
        </w:tc>
        <w:tc>
          <w:tcPr>
            <w:tcW w:w="10069" w:type="dxa"/>
            <w:tcBorders>
              <w:top w:val="single" w:sz="4" w:space="0" w:color="auto"/>
              <w:left w:val="single" w:sz="4" w:space="0" w:color="auto"/>
              <w:bottom w:val="single" w:sz="4" w:space="0" w:color="auto"/>
              <w:right w:val="single" w:sz="4" w:space="0" w:color="auto"/>
            </w:tcBorders>
          </w:tcPr>
          <w:p w14:paraId="6F95471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Dieu vous a donné le nom de musulmans</w:t>
            </w:r>
            <w:r w:rsidRPr="007C6A42">
              <w:rPr>
                <w:rFonts w:asciiTheme="majorBidi" w:eastAsia="Calibri" w:hAnsiTheme="majorBidi" w:cstheme="majorBidi"/>
                <w:b/>
                <w:bCs/>
              </w:rPr>
              <w:t>.</w:t>
            </w:r>
            <w:r w:rsidRPr="007C6A42">
              <w:rPr>
                <w:rFonts w:asciiTheme="majorBidi" w:eastAsia="Calibri" w:hAnsiTheme="majorBidi" w:cstheme="majorBidi"/>
              </w:rPr>
              <w:t xml:space="preserve"> Il vous l’a donné dans ce Livre afin que le Prophète soit votre témoin</w:t>
            </w:r>
          </w:p>
        </w:tc>
      </w:tr>
      <w:tr w:rsidR="00A70B78" w:rsidRPr="007C6A42" w14:paraId="4B475B2B" w14:textId="77777777" w:rsidTr="00AF4FC9">
        <w:tc>
          <w:tcPr>
            <w:tcW w:w="851" w:type="dxa"/>
            <w:tcBorders>
              <w:top w:val="single" w:sz="4" w:space="0" w:color="auto"/>
              <w:left w:val="single" w:sz="4" w:space="0" w:color="auto"/>
              <w:bottom w:val="single" w:sz="4" w:space="0" w:color="auto"/>
              <w:right w:val="single" w:sz="4" w:space="0" w:color="auto"/>
            </w:tcBorders>
          </w:tcPr>
          <w:p w14:paraId="5A464FB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Cheb.</w:t>
            </w:r>
          </w:p>
        </w:tc>
        <w:tc>
          <w:tcPr>
            <w:tcW w:w="10069" w:type="dxa"/>
            <w:tcBorders>
              <w:top w:val="single" w:sz="4" w:space="0" w:color="auto"/>
              <w:left w:val="single" w:sz="4" w:space="0" w:color="auto"/>
              <w:bottom w:val="single" w:sz="4" w:space="0" w:color="auto"/>
              <w:right w:val="single" w:sz="4" w:space="0" w:color="auto"/>
            </w:tcBorders>
          </w:tcPr>
          <w:p w14:paraId="566DBF0E"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Il vous a nommés musulmans, soit ceux qui s’abandonnent à Dieu</w:t>
            </w:r>
            <w:r w:rsidRPr="007C6A42">
              <w:rPr>
                <w:rFonts w:asciiTheme="majorBidi" w:eastAsia="Calibri" w:hAnsiTheme="majorBidi" w:cstheme="majorBidi"/>
                <w:b/>
                <w:bCs/>
              </w:rPr>
              <w:t xml:space="preserve">, et </w:t>
            </w:r>
            <w:r w:rsidRPr="007C6A42">
              <w:rPr>
                <w:rFonts w:asciiTheme="majorBidi" w:eastAsia="Calibri" w:hAnsiTheme="majorBidi" w:cstheme="majorBidi"/>
              </w:rPr>
              <w:t>cela de manière anticipée</w:t>
            </w:r>
            <w:r w:rsidRPr="007C6A42">
              <w:rPr>
                <w:rFonts w:asciiTheme="majorBidi" w:eastAsia="Calibri" w:hAnsiTheme="majorBidi" w:cstheme="majorBidi"/>
                <w:b/>
                <w:bCs/>
              </w:rPr>
              <w:t>,</w:t>
            </w:r>
            <w:r w:rsidRPr="007C6A42">
              <w:rPr>
                <w:rFonts w:asciiTheme="majorBidi" w:eastAsia="Calibri" w:hAnsiTheme="majorBidi" w:cstheme="majorBidi"/>
              </w:rPr>
              <w:t xml:space="preserve"> afin que vous soyez témoins des hommes de la même façon que le Prophète est votre témoin.</w:t>
            </w:r>
          </w:p>
        </w:tc>
      </w:tr>
      <w:tr w:rsidR="00A70B78" w:rsidRPr="007C6A42" w14:paraId="5EE7FF6C" w14:textId="77777777" w:rsidTr="00AF4FC9">
        <w:tc>
          <w:tcPr>
            <w:tcW w:w="851" w:type="dxa"/>
            <w:tcBorders>
              <w:top w:val="single" w:sz="4" w:space="0" w:color="auto"/>
              <w:left w:val="single" w:sz="4" w:space="0" w:color="auto"/>
              <w:bottom w:val="single" w:sz="4" w:space="0" w:color="auto"/>
              <w:right w:val="single" w:sz="4" w:space="0" w:color="auto"/>
            </w:tcBorders>
          </w:tcPr>
          <w:p w14:paraId="0B816DB8"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Abdel.</w:t>
            </w:r>
          </w:p>
        </w:tc>
        <w:tc>
          <w:tcPr>
            <w:tcW w:w="10069" w:type="dxa"/>
            <w:tcBorders>
              <w:top w:val="single" w:sz="4" w:space="0" w:color="auto"/>
              <w:left w:val="single" w:sz="4" w:space="0" w:color="auto"/>
              <w:bottom w:val="single" w:sz="4" w:space="0" w:color="auto"/>
              <w:right w:val="single" w:sz="4" w:space="0" w:color="auto"/>
            </w:tcBorders>
          </w:tcPr>
          <w:p w14:paraId="7F5AF14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Calibri" w:hAnsiTheme="majorBidi" w:cstheme="majorBidi"/>
              </w:rPr>
              <w:t xml:space="preserve"> C’est Lui qui vous A déjà Nommés musulmans</w:t>
            </w:r>
            <w:r w:rsidRPr="007C6A42">
              <w:rPr>
                <w:rFonts w:asciiTheme="majorBidi" w:eastAsia="Calibri" w:hAnsiTheme="majorBidi" w:cstheme="majorBidi"/>
                <w:b/>
                <w:bCs/>
              </w:rPr>
              <w:t>,</w:t>
            </w:r>
            <w:r w:rsidRPr="007C6A42">
              <w:rPr>
                <w:rFonts w:asciiTheme="majorBidi" w:eastAsia="Calibri" w:hAnsiTheme="majorBidi" w:cstheme="majorBidi"/>
              </w:rPr>
              <w:t xml:space="preserve"> auparavant</w:t>
            </w:r>
            <w:r w:rsidRPr="007C6A42">
              <w:rPr>
                <w:rFonts w:asciiTheme="majorBidi" w:eastAsia="Calibri" w:hAnsiTheme="majorBidi" w:cstheme="majorBidi"/>
                <w:b/>
                <w:bCs/>
              </w:rPr>
              <w:t>,</w:t>
            </w:r>
            <w:r w:rsidRPr="007C6A42">
              <w:rPr>
                <w:rFonts w:asciiTheme="majorBidi" w:eastAsia="Calibri" w:hAnsiTheme="majorBidi" w:cstheme="majorBidi"/>
              </w:rPr>
              <w:t xml:space="preserve"> et dans ceci (le Qur’ān) </w:t>
            </w:r>
            <w:r w:rsidRPr="007C6A42">
              <w:rPr>
                <w:rFonts w:asciiTheme="majorBidi" w:eastAsia="Calibri" w:hAnsiTheme="majorBidi" w:cstheme="majorBidi"/>
                <w:b/>
                <w:bCs/>
              </w:rPr>
              <w:t>:</w:t>
            </w:r>
            <w:r w:rsidRPr="007C6A42">
              <w:rPr>
                <w:rFonts w:asciiTheme="majorBidi" w:eastAsia="Calibri" w:hAnsiTheme="majorBidi" w:cstheme="majorBidi"/>
              </w:rPr>
              <w:t xml:space="preserve"> afin que le Messager soit témoin sur vous</w:t>
            </w:r>
          </w:p>
        </w:tc>
      </w:tr>
      <w:tr w:rsidR="00A70B78" w:rsidRPr="007C6A42" w14:paraId="7FF55AFB" w14:textId="77777777" w:rsidTr="00AF4FC9">
        <w:tc>
          <w:tcPr>
            <w:tcW w:w="851" w:type="dxa"/>
            <w:tcBorders>
              <w:top w:val="single" w:sz="4" w:space="0" w:color="auto"/>
              <w:left w:val="single" w:sz="4" w:space="0" w:color="auto"/>
              <w:bottom w:val="single" w:sz="4" w:space="0" w:color="auto"/>
              <w:right w:val="single" w:sz="4" w:space="0" w:color="auto"/>
            </w:tcBorders>
          </w:tcPr>
          <w:p w14:paraId="053EB42B"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Ald.</w:t>
            </w:r>
          </w:p>
        </w:tc>
        <w:tc>
          <w:tcPr>
            <w:tcW w:w="10069" w:type="dxa"/>
            <w:tcBorders>
              <w:top w:val="single" w:sz="4" w:space="0" w:color="auto"/>
              <w:left w:val="single" w:sz="4" w:space="0" w:color="auto"/>
              <w:bottom w:val="single" w:sz="4" w:space="0" w:color="auto"/>
              <w:right w:val="single" w:sz="4" w:space="0" w:color="auto"/>
            </w:tcBorders>
          </w:tcPr>
          <w:p w14:paraId="5192989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C’est lui qui vous a nommés auparavant les soumis</w:t>
            </w:r>
            <w:r w:rsidRPr="007C6A42">
              <w:rPr>
                <w:rFonts w:asciiTheme="majorBidi" w:eastAsia="Times New Roman" w:hAnsiTheme="majorBidi" w:cstheme="majorBidi"/>
                <w:b/>
                <w:bCs/>
                <w:lang w:eastAsia="fr-CH"/>
              </w:rPr>
              <w:t>,</w:t>
            </w:r>
            <w:r w:rsidRPr="007C6A42">
              <w:rPr>
                <w:rFonts w:asciiTheme="majorBidi" w:eastAsia="Times New Roman" w:hAnsiTheme="majorBidi" w:cstheme="majorBidi"/>
                <w:lang w:eastAsia="fr-CH"/>
              </w:rPr>
              <w:t xml:space="preserve"> comme dans ce [Livre]</w:t>
            </w:r>
            <w:r w:rsidRPr="007C6A42">
              <w:rPr>
                <w:rFonts w:asciiTheme="majorBidi" w:eastAsia="Times New Roman" w:hAnsiTheme="majorBidi" w:cstheme="majorBidi"/>
                <w:b/>
                <w:bCs/>
                <w:lang w:eastAsia="fr-CH"/>
              </w:rPr>
              <w:t>,</w:t>
            </w:r>
            <w:r w:rsidRPr="007C6A42">
              <w:rPr>
                <w:rFonts w:asciiTheme="majorBidi" w:eastAsia="Times New Roman" w:hAnsiTheme="majorBidi" w:cstheme="majorBidi"/>
                <w:lang w:eastAsia="fr-CH"/>
              </w:rPr>
              <w:t xml:space="preserve"> afin que l’envoyé soit témoin à l’encontre de vous,</w:t>
            </w:r>
          </w:p>
        </w:tc>
      </w:tr>
    </w:tbl>
    <w:p w14:paraId="02B045E0"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3F754B10" w14:textId="77777777" w:rsidR="00A70B78" w:rsidRPr="007C6A42" w:rsidRDefault="00A70B78" w:rsidP="00A70B78">
      <w:pPr>
        <w:spacing w:line="360" w:lineRule="auto"/>
        <w:ind w:firstLine="720"/>
        <w:contextualSpacing/>
        <w:jc w:val="both"/>
        <w:rPr>
          <w:rFonts w:asciiTheme="majorBidi" w:hAnsiTheme="majorBidi" w:cstheme="majorBidi"/>
        </w:rPr>
      </w:pPr>
      <w:r w:rsidRPr="007C6A42">
        <w:rPr>
          <w:rFonts w:asciiTheme="majorBidi" w:eastAsia="Times New Roman" w:hAnsiTheme="majorBidi" w:cstheme="majorBidi"/>
          <w:lang w:bidi="ar-AE"/>
        </w:rPr>
        <w:t>Un autre exemple du changement de ponctuation qui change le sens, c’est la traduction des versets 40 &amp; 41 par Ghédira qui</w:t>
      </w:r>
      <w:r w:rsidRPr="007C6A42">
        <w:rPr>
          <w:rFonts w:asciiTheme="majorBidi" w:eastAsia="Times New Roman" w:hAnsiTheme="majorBidi" w:cstheme="majorBidi"/>
        </w:rPr>
        <w:t xml:space="preserve"> a fusionné les deux versets et a omis la clausule du verset 40 (</w:t>
      </w:r>
      <w:r w:rsidRPr="007C6A42">
        <w:rPr>
          <w:rFonts w:asciiTheme="majorBidi" w:eastAsia="Times New Roman" w:hAnsiTheme="majorBidi" w:cstheme="majorBidi"/>
          <w:rtl/>
        </w:rPr>
        <w:t>"</w:t>
      </w:r>
      <w:r w:rsidRPr="007C6A42">
        <w:rPr>
          <w:rFonts w:asciiTheme="majorBidi" w:hAnsiTheme="majorBidi" w:cstheme="majorBidi"/>
          <w:rtl/>
        </w:rPr>
        <w:t>إن اللَّه لَقوي عزيز"</w:t>
      </w:r>
      <w:r w:rsidRPr="007C6A42">
        <w:rPr>
          <w:rFonts w:asciiTheme="majorBidi" w:eastAsia="Times New Roman" w:hAnsiTheme="majorBidi" w:cstheme="majorBidi"/>
        </w:rPr>
        <w:t>). Le verset 48 expose une idée générale proche d’une loi karmique (</w:t>
      </w:r>
      <w:r w:rsidRPr="007C6A42">
        <w:rPr>
          <w:rFonts w:asciiTheme="majorBidi" w:hAnsiTheme="majorBidi" w:cstheme="majorBidi"/>
          <w:rtl/>
        </w:rPr>
        <w:t>ولينصرَنَّ اللَّهُ من ينصره</w:t>
      </w:r>
      <w:r w:rsidRPr="007C6A42">
        <w:rPr>
          <w:rFonts w:asciiTheme="majorBidi" w:eastAsia="Times New Roman" w:hAnsiTheme="majorBidi" w:cstheme="majorBidi"/>
        </w:rPr>
        <w:t>) [</w:t>
      </w:r>
      <w:r w:rsidRPr="007C6A42">
        <w:rPr>
          <w:rFonts w:asciiTheme="majorBidi" w:eastAsia="Calibri" w:hAnsiTheme="majorBidi" w:cstheme="majorBidi"/>
          <w:lang w:bidi="ar-AE"/>
        </w:rPr>
        <w:t>Dieu secoure qui Le secoure !</w:t>
      </w:r>
      <w:r w:rsidRPr="007C6A42">
        <w:rPr>
          <w:rFonts w:asciiTheme="majorBidi" w:eastAsia="Times New Roman" w:hAnsiTheme="majorBidi" w:cstheme="majorBidi"/>
        </w:rPr>
        <w:t>]. Mais Ghédira le réduit au groupe mentionné dans le verset suivant (41) en disant : « </w:t>
      </w:r>
      <w:r w:rsidRPr="007C6A42">
        <w:rPr>
          <w:rFonts w:asciiTheme="majorBidi" w:hAnsiTheme="majorBidi" w:cstheme="majorBidi"/>
        </w:rPr>
        <w:t>Il assistera ceux qui […] observent exactement la Prière […] ».</w:t>
      </w:r>
    </w:p>
    <w:p w14:paraId="11CD707F" w14:textId="77777777" w:rsidR="00A70B78" w:rsidRPr="007C6A42" w:rsidRDefault="00A70B78" w:rsidP="00A70B78">
      <w:pPr>
        <w:spacing w:line="360" w:lineRule="auto"/>
        <w:ind w:firstLine="720"/>
        <w:contextualSpacing/>
        <w:jc w:val="both"/>
        <w:rPr>
          <w:rFonts w:asciiTheme="majorBidi" w:eastAsia="Times New Roman" w:hAnsiTheme="majorBidi" w:cstheme="majorBidi"/>
          <w:color w:val="FF0000"/>
          <w:rtl/>
        </w:rPr>
      </w:pPr>
    </w:p>
    <w:tbl>
      <w:tblPr>
        <w:tblStyle w:val="Grilledutableau"/>
        <w:tblW w:w="0" w:type="auto"/>
        <w:tblInd w:w="-318" w:type="dxa"/>
        <w:tblLook w:val="04A0" w:firstRow="1" w:lastRow="0" w:firstColumn="1" w:lastColumn="0" w:noHBand="0" w:noVBand="1"/>
      </w:tblPr>
      <w:tblGrid>
        <w:gridCol w:w="5068"/>
        <w:gridCol w:w="4750"/>
      </w:tblGrid>
      <w:tr w:rsidR="00A70B78" w:rsidRPr="007C6A42" w14:paraId="40E1F2F9" w14:textId="77777777" w:rsidTr="00880EEE">
        <w:tc>
          <w:tcPr>
            <w:tcW w:w="5068" w:type="dxa"/>
          </w:tcPr>
          <w:p w14:paraId="11616DC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40) Ce sont ceux qui ont été injustement chassés de leurs foyers, uniquement pour avoir dit : Notre Seigneur est Dieu ! Si Dieu n’eût repoussé une partie des hommes par les autres, monastères, églises, synagogues et mosquées (où pourtant le nom de Dieu est invoqué sans cesse) auraient été détruits de fond en comble.</w:t>
            </w:r>
          </w:p>
        </w:tc>
        <w:tc>
          <w:tcPr>
            <w:tcW w:w="4750" w:type="dxa"/>
          </w:tcPr>
          <w:p w14:paraId="61BD93F4" w14:textId="77777777" w:rsidR="00A70B78" w:rsidRPr="007C6A42" w:rsidRDefault="00A70B78" w:rsidP="00AF4FC9">
            <w:pPr>
              <w:bidi/>
              <w:spacing w:before="100" w:beforeAutospacing="1" w:after="100" w:afterAutospacing="1" w:line="360" w:lineRule="auto"/>
              <w:rPr>
                <w:rFonts w:asciiTheme="majorBidi" w:hAnsiTheme="majorBidi" w:cstheme="majorBidi"/>
              </w:rPr>
            </w:pPr>
            <w:r w:rsidRPr="007C6A42">
              <w:rPr>
                <w:rFonts w:asciiTheme="majorBidi" w:hAnsiTheme="majorBidi" w:cstheme="majorBidi"/>
                <w:rtl/>
              </w:rPr>
              <w:t>(٤٠)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w:t>
            </w:r>
          </w:p>
        </w:tc>
      </w:tr>
      <w:tr w:rsidR="00A70B78" w:rsidRPr="007C6A42" w14:paraId="34DF75A4" w14:textId="77777777" w:rsidTr="00880EEE">
        <w:tc>
          <w:tcPr>
            <w:tcW w:w="5068" w:type="dxa"/>
          </w:tcPr>
          <w:p w14:paraId="3733138C" w14:textId="77777777" w:rsidR="00A70B78" w:rsidRPr="007C6A42" w:rsidRDefault="00A70B78" w:rsidP="00AF4FC9">
            <w:pPr>
              <w:spacing w:line="360" w:lineRule="auto"/>
              <w:contextualSpacing/>
              <w:jc w:val="both"/>
              <w:rPr>
                <w:rFonts w:asciiTheme="majorBidi" w:hAnsiTheme="majorBidi" w:cstheme="majorBidi"/>
                <w:lang w:bidi="ar-AE"/>
              </w:rPr>
            </w:pPr>
            <w:r w:rsidRPr="007C6A42">
              <w:rPr>
                <w:rFonts w:asciiTheme="majorBidi" w:hAnsiTheme="majorBidi" w:cstheme="majorBidi"/>
              </w:rPr>
              <w:t>(v.41) Il assistera ceux qui, installés par Nous sur la terre, observent exactement la Prière, font l’Aumône légale, ordonnent le Bien et interdisent le Mal. Vers Dieu est la fin de toute chose.</w:t>
            </w:r>
          </w:p>
        </w:tc>
        <w:tc>
          <w:tcPr>
            <w:tcW w:w="4750" w:type="dxa"/>
          </w:tcPr>
          <w:p w14:paraId="3D81BA93" w14:textId="77777777" w:rsidR="00A70B78" w:rsidRPr="007C6A42" w:rsidRDefault="00A70B78" w:rsidP="00AF4FC9">
            <w:pPr>
              <w:bidi/>
              <w:spacing w:before="100" w:beforeAutospacing="1" w:after="100" w:afterAutospacing="1" w:line="360" w:lineRule="auto"/>
              <w:rPr>
                <w:rFonts w:asciiTheme="majorBidi" w:hAnsiTheme="majorBidi" w:cstheme="majorBidi"/>
              </w:rPr>
            </w:pPr>
            <w:r w:rsidRPr="007C6A42">
              <w:rPr>
                <w:rFonts w:asciiTheme="majorBidi" w:hAnsiTheme="majorBidi" w:cstheme="majorBidi"/>
                <w:rtl/>
              </w:rPr>
              <w:t>(٤١) الذين إن مكّنّاهم في الأرضِ أقاموا الصلاة وآتوا الزكاة وأمروا بالمعروف ونهوا عن المنكر وللَّهِ عاقبة الأمور.</w:t>
            </w:r>
          </w:p>
        </w:tc>
      </w:tr>
    </w:tbl>
    <w:p w14:paraId="7BB0DF0E" w14:textId="77777777" w:rsidR="00A70B78" w:rsidRPr="007C6A42" w:rsidRDefault="00A70B78" w:rsidP="00A70B78">
      <w:pPr>
        <w:spacing w:line="360" w:lineRule="auto"/>
        <w:jc w:val="both"/>
        <w:rPr>
          <w:rFonts w:asciiTheme="majorBidi" w:hAnsiTheme="majorBidi" w:cstheme="majorBidi"/>
        </w:rPr>
      </w:pPr>
    </w:p>
    <w:p w14:paraId="3E36F260" w14:textId="7B749B55" w:rsidR="00A70B78" w:rsidRPr="007C6A42" w:rsidRDefault="004052A2" w:rsidP="00880EEE">
      <w:pPr>
        <w:spacing w:line="360" w:lineRule="auto"/>
        <w:contextualSpacing/>
        <w:jc w:val="both"/>
        <w:outlineLvl w:val="0"/>
        <w:rPr>
          <w:rFonts w:asciiTheme="majorBidi" w:eastAsia="Times New Roman" w:hAnsiTheme="majorBidi" w:cstheme="majorBidi"/>
          <w:b/>
          <w:bCs/>
          <w:lang w:bidi="ar-AE"/>
        </w:rPr>
      </w:pPr>
      <w:r>
        <w:rPr>
          <w:rFonts w:asciiTheme="majorBidi" w:eastAsia="Times New Roman" w:hAnsiTheme="majorBidi" w:cstheme="majorBidi"/>
          <w:b/>
          <w:bCs/>
          <w:lang w:bidi="ar-AE"/>
        </w:rPr>
        <w:t xml:space="preserve">10.8. </w:t>
      </w:r>
      <w:r w:rsidR="00A70B78" w:rsidRPr="007C6A42">
        <w:rPr>
          <w:rFonts w:asciiTheme="majorBidi" w:eastAsia="Times New Roman" w:hAnsiTheme="majorBidi" w:cstheme="majorBidi"/>
          <w:b/>
          <w:bCs/>
          <w:lang w:bidi="ar-AE"/>
        </w:rPr>
        <w:t>Aspects idéologiques :</w:t>
      </w:r>
      <w:r w:rsidR="00880EEE">
        <w:rPr>
          <w:rFonts w:asciiTheme="majorBidi" w:eastAsia="Times New Roman" w:hAnsiTheme="majorBidi" w:cstheme="majorBidi"/>
          <w:b/>
          <w:bCs/>
          <w:lang w:bidi="ar-AE"/>
        </w:rPr>
        <w:t xml:space="preserve"> </w:t>
      </w:r>
      <w:r w:rsidR="00A70B78" w:rsidRPr="007C6A42">
        <w:rPr>
          <w:rFonts w:asciiTheme="majorBidi" w:eastAsia="Times New Roman" w:hAnsiTheme="majorBidi" w:cstheme="majorBidi"/>
          <w:b/>
          <w:bCs/>
          <w:lang w:bidi="ar-AE"/>
        </w:rPr>
        <w:t>Traduction du verset 41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760DF44C" w14:textId="77777777" w:rsidTr="00AF4FC9">
        <w:tc>
          <w:tcPr>
            <w:tcW w:w="10916" w:type="dxa"/>
            <w:gridSpan w:val="2"/>
            <w:tcBorders>
              <w:top w:val="nil"/>
              <w:left w:val="single" w:sz="4" w:space="0" w:color="auto"/>
              <w:bottom w:val="single" w:sz="4" w:space="0" w:color="auto"/>
              <w:right w:val="single" w:sz="4" w:space="0" w:color="auto"/>
            </w:tcBorders>
          </w:tcPr>
          <w:p w14:paraId="5CFD21FE" w14:textId="77777777" w:rsidR="00A70B78" w:rsidRPr="007C6A42" w:rsidRDefault="00A70B78" w:rsidP="00AF4FC9">
            <w:pPr>
              <w:bidi/>
              <w:spacing w:line="360" w:lineRule="auto"/>
              <w:ind w:firstLine="708"/>
              <w:jc w:val="center"/>
              <w:rPr>
                <w:rFonts w:asciiTheme="majorBidi" w:eastAsia="Times New Roman" w:hAnsiTheme="majorBidi" w:cstheme="majorBidi"/>
                <w:lang w:bidi="ar-AE"/>
              </w:rPr>
            </w:pPr>
            <w:r w:rsidRPr="007C6A42">
              <w:rPr>
                <w:rFonts w:asciiTheme="majorBidi" w:eastAsia="Calibri" w:hAnsiTheme="majorBidi" w:cstheme="majorBidi"/>
                <w:rtl/>
                <w:lang w:bidi="ar-AE"/>
              </w:rPr>
              <w:lastRenderedPageBreak/>
              <w:t>"الذين إنْ مكَّــنَّاهم في الأرض أقاموا الصلاة وآتَوُا الزكاةَ وأَمروا بالمعروف ونهوا عن المنكر وللهِ عاقبةُ الأمور.</w:t>
            </w:r>
            <w:r w:rsidRPr="007C6A42">
              <w:rPr>
                <w:rFonts w:asciiTheme="majorBidi" w:eastAsia="Times New Roman" w:hAnsiTheme="majorBidi" w:cstheme="majorBidi"/>
                <w:rtl/>
                <w:lang w:bidi="ar-AE"/>
              </w:rPr>
              <w:t>" (41)</w:t>
            </w:r>
          </w:p>
        </w:tc>
      </w:tr>
      <w:tr w:rsidR="00A70B78" w:rsidRPr="007C6A42" w14:paraId="1E654A99" w14:textId="77777777" w:rsidTr="00AF4FC9">
        <w:tc>
          <w:tcPr>
            <w:tcW w:w="851" w:type="dxa"/>
            <w:tcBorders>
              <w:top w:val="single" w:sz="4" w:space="0" w:color="auto"/>
              <w:left w:val="single" w:sz="4" w:space="0" w:color="auto"/>
              <w:bottom w:val="single" w:sz="4" w:space="0" w:color="auto"/>
              <w:right w:val="single" w:sz="4" w:space="0" w:color="auto"/>
            </w:tcBorders>
          </w:tcPr>
          <w:p w14:paraId="1061FE73"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D.R.</w:t>
            </w:r>
          </w:p>
        </w:tc>
        <w:tc>
          <w:tcPr>
            <w:tcW w:w="10065" w:type="dxa"/>
            <w:tcBorders>
              <w:top w:val="single" w:sz="4" w:space="0" w:color="auto"/>
              <w:left w:val="single" w:sz="4" w:space="0" w:color="auto"/>
              <w:bottom w:val="single" w:sz="4" w:space="0" w:color="auto"/>
              <w:right w:val="single" w:sz="4" w:space="0" w:color="auto"/>
            </w:tcBorders>
          </w:tcPr>
          <w:p w14:paraId="1A6B388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Ceux que Dieu a eʃtably en terre auec victoire ʃur leurs ennemis font leurs prieres ainʃi qu’il eʃt ordóné, ils payent les dix-mes, ils ordonnent de faire ce qui eʃt honneʃte &amp; civil, ils deffendent de faire ce qui eʃt prohibé de Dieu qui ʃçait la fin de toute choʃe.</w:t>
            </w:r>
          </w:p>
        </w:tc>
      </w:tr>
      <w:tr w:rsidR="00A70B78" w:rsidRPr="007C6A42" w14:paraId="588CF400" w14:textId="77777777" w:rsidTr="00AF4FC9">
        <w:tc>
          <w:tcPr>
            <w:tcW w:w="851" w:type="dxa"/>
            <w:tcBorders>
              <w:top w:val="single" w:sz="4" w:space="0" w:color="auto"/>
              <w:left w:val="single" w:sz="4" w:space="0" w:color="auto"/>
              <w:bottom w:val="single" w:sz="4" w:space="0" w:color="auto"/>
              <w:right w:val="single" w:sz="4" w:space="0" w:color="auto"/>
            </w:tcBorders>
          </w:tcPr>
          <w:p w14:paraId="2EEB8D19"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lang w:bidi="ar-KW"/>
              </w:rPr>
              <w:t>Sav.</w:t>
            </w:r>
          </w:p>
        </w:tc>
        <w:tc>
          <w:tcPr>
            <w:tcW w:w="10065" w:type="dxa"/>
            <w:tcBorders>
              <w:top w:val="single" w:sz="4" w:space="0" w:color="auto"/>
              <w:left w:val="single" w:sz="4" w:space="0" w:color="auto"/>
              <w:bottom w:val="single" w:sz="4" w:space="0" w:color="auto"/>
              <w:right w:val="single" w:sz="4" w:space="0" w:color="auto"/>
            </w:tcBorders>
          </w:tcPr>
          <w:p w14:paraId="1D90D6CB"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Affermis par nos mains sur la terre, ils feront la prière, l’aumône ; ils exerceront la justice, et aboliront l’iniquité. Dieu est le terme de toutes choses.</w:t>
            </w:r>
          </w:p>
        </w:tc>
      </w:tr>
      <w:tr w:rsidR="00A70B78" w:rsidRPr="007C6A42" w14:paraId="12F69969" w14:textId="77777777" w:rsidTr="00AF4FC9">
        <w:tc>
          <w:tcPr>
            <w:tcW w:w="851" w:type="dxa"/>
            <w:tcBorders>
              <w:top w:val="single" w:sz="4" w:space="0" w:color="auto"/>
              <w:left w:val="single" w:sz="4" w:space="0" w:color="auto"/>
              <w:bottom w:val="single" w:sz="4" w:space="0" w:color="auto"/>
              <w:right w:val="single" w:sz="4" w:space="0" w:color="auto"/>
            </w:tcBorders>
          </w:tcPr>
          <w:p w14:paraId="32797E11"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lang w:bidi="ar-KW"/>
              </w:rPr>
              <w:t xml:space="preserve">Kaz. </w:t>
            </w:r>
          </w:p>
        </w:tc>
        <w:tc>
          <w:tcPr>
            <w:tcW w:w="10065" w:type="dxa"/>
            <w:tcBorders>
              <w:top w:val="single" w:sz="4" w:space="0" w:color="auto"/>
              <w:left w:val="single" w:sz="4" w:space="0" w:color="auto"/>
              <w:bottom w:val="single" w:sz="4" w:space="0" w:color="auto"/>
              <w:right w:val="single" w:sz="4" w:space="0" w:color="auto"/>
            </w:tcBorders>
          </w:tcPr>
          <w:p w14:paraId="79E61263"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Il assistera ceux qui, mis en possession de ce pays, observent exactement la prière, font l’aumône, commandent le bien et interdisent le mal. Dieu est le terme de toutes choses.</w:t>
            </w:r>
          </w:p>
          <w:p w14:paraId="0A5C535C"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 xml:space="preserve">(autre traduction : </w:t>
            </w:r>
            <w:r w:rsidRPr="007C6A42">
              <w:rPr>
                <w:rFonts w:asciiTheme="majorBidi" w:eastAsia="Times New Roman" w:hAnsiTheme="majorBidi" w:cstheme="majorBidi"/>
                <w:i/>
                <w:iCs/>
              </w:rPr>
              <w:t>Il assistera ceux</w:t>
            </w:r>
            <w:r w:rsidRPr="007C6A42">
              <w:rPr>
                <w:rFonts w:asciiTheme="majorBidi" w:eastAsia="Times New Roman" w:hAnsiTheme="majorBidi" w:cstheme="majorBidi"/>
              </w:rPr>
              <w:t> qui, mis en possession de ce pays, observent exactement la prière, font l’aumône, commandent le bien et interdisent le mal. C’est à Dieu qu’appartient la dernière issue de toutes choses.)</w:t>
            </w:r>
          </w:p>
        </w:tc>
      </w:tr>
      <w:tr w:rsidR="00A70B78" w:rsidRPr="007C6A42" w14:paraId="75E042B4" w14:textId="77777777" w:rsidTr="00AF4FC9">
        <w:tc>
          <w:tcPr>
            <w:tcW w:w="851" w:type="dxa"/>
            <w:tcBorders>
              <w:top w:val="single" w:sz="4" w:space="0" w:color="auto"/>
              <w:left w:val="single" w:sz="4" w:space="0" w:color="auto"/>
              <w:bottom w:val="single" w:sz="4" w:space="0" w:color="auto"/>
              <w:right w:val="single" w:sz="4" w:space="0" w:color="auto"/>
            </w:tcBorders>
          </w:tcPr>
          <w:p w14:paraId="19681256"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b/>
                <w:bCs/>
              </w:rPr>
              <w:t>Blach.</w:t>
            </w:r>
          </w:p>
        </w:tc>
        <w:tc>
          <w:tcPr>
            <w:tcW w:w="10065" w:type="dxa"/>
            <w:tcBorders>
              <w:top w:val="single" w:sz="4" w:space="0" w:color="auto"/>
              <w:left w:val="single" w:sz="4" w:space="0" w:color="auto"/>
              <w:bottom w:val="single" w:sz="4" w:space="0" w:color="auto"/>
              <w:right w:val="single" w:sz="4" w:space="0" w:color="auto"/>
            </w:tcBorders>
          </w:tcPr>
          <w:p w14:paraId="489421C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w:t>
            </w:r>
            <w:r w:rsidRPr="007C6A42">
              <w:rPr>
                <w:rFonts w:asciiTheme="majorBidi" w:eastAsia="Times New Roman" w:hAnsiTheme="majorBidi" w:cstheme="majorBidi"/>
                <w:i/>
              </w:rPr>
              <w:t>Il secourra</w:t>
            </w:r>
            <w:r w:rsidRPr="007C6A42">
              <w:rPr>
                <w:rFonts w:asciiTheme="majorBidi" w:eastAsia="Times New Roman" w:hAnsiTheme="majorBidi" w:cstheme="majorBidi"/>
              </w:rPr>
              <w:t>] ceux qui, s’ils sont bien établis par Nous sur la terre, accomplissent la Prière, donnent l’Aumône (</w:t>
            </w:r>
            <w:r w:rsidRPr="007C6A42">
              <w:rPr>
                <w:rFonts w:asciiTheme="majorBidi" w:eastAsia="Times New Roman" w:hAnsiTheme="majorBidi" w:cstheme="majorBidi"/>
                <w:i/>
              </w:rPr>
              <w:t>zakât</w:t>
            </w:r>
            <w:r w:rsidRPr="007C6A42">
              <w:rPr>
                <w:rFonts w:asciiTheme="majorBidi" w:eastAsia="Times New Roman" w:hAnsiTheme="majorBidi" w:cstheme="majorBidi"/>
              </w:rPr>
              <w:t xml:space="preserve">), ordonnent le Convenable et interdisent le Blâmable. À Allah la fin des choses. </w:t>
            </w:r>
          </w:p>
        </w:tc>
      </w:tr>
      <w:tr w:rsidR="00A70B78" w:rsidRPr="007C6A42" w14:paraId="0A3BB3F5" w14:textId="77777777" w:rsidTr="00AF4FC9">
        <w:tc>
          <w:tcPr>
            <w:tcW w:w="851" w:type="dxa"/>
            <w:tcBorders>
              <w:top w:val="single" w:sz="4" w:space="0" w:color="auto"/>
              <w:left w:val="single" w:sz="4" w:space="0" w:color="auto"/>
              <w:bottom w:val="single" w:sz="4" w:space="0" w:color="auto"/>
              <w:right w:val="single" w:sz="4" w:space="0" w:color="auto"/>
            </w:tcBorders>
          </w:tcPr>
          <w:p w14:paraId="376BDFD0"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Hamid</w:t>
            </w:r>
          </w:p>
        </w:tc>
        <w:tc>
          <w:tcPr>
            <w:tcW w:w="10065" w:type="dxa"/>
            <w:tcBorders>
              <w:top w:val="single" w:sz="4" w:space="0" w:color="auto"/>
              <w:left w:val="single" w:sz="4" w:space="0" w:color="auto"/>
              <w:bottom w:val="single" w:sz="4" w:space="0" w:color="auto"/>
              <w:right w:val="single" w:sz="4" w:space="0" w:color="auto"/>
            </w:tcBorders>
          </w:tcPr>
          <w:p w14:paraId="407602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à ceux qui, si Nous leur donnons la puissance sur terre, établiront l’Office, et acquitteront l’impôt, et ordonneront le convenable, et interdiront le blâmable. Cependant, la finale des affaires est à Dieu.</w:t>
            </w:r>
          </w:p>
        </w:tc>
      </w:tr>
      <w:tr w:rsidR="00A70B78" w:rsidRPr="007C6A42" w14:paraId="79ABF0CA" w14:textId="77777777" w:rsidTr="00AF4FC9">
        <w:tc>
          <w:tcPr>
            <w:tcW w:w="851" w:type="dxa"/>
            <w:tcBorders>
              <w:top w:val="single" w:sz="4" w:space="0" w:color="auto"/>
              <w:left w:val="single" w:sz="4" w:space="0" w:color="auto"/>
              <w:bottom w:val="single" w:sz="4" w:space="0" w:color="auto"/>
              <w:right w:val="single" w:sz="4" w:space="0" w:color="auto"/>
            </w:tcBorders>
          </w:tcPr>
          <w:p w14:paraId="2F7371EE"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Mass.</w:t>
            </w:r>
          </w:p>
        </w:tc>
        <w:tc>
          <w:tcPr>
            <w:tcW w:w="10065" w:type="dxa"/>
            <w:tcBorders>
              <w:top w:val="single" w:sz="4" w:space="0" w:color="auto"/>
              <w:left w:val="single" w:sz="4" w:space="0" w:color="auto"/>
              <w:bottom w:val="single" w:sz="4" w:space="0" w:color="auto"/>
              <w:right w:val="single" w:sz="4" w:space="0" w:color="auto"/>
            </w:tcBorders>
          </w:tcPr>
          <w:p w14:paraId="7AE68C9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Toute autorisation de se défendre est donnée à ceux qui, si nous leur accordons le pouvoir sur la terre s’acquittent de la prière, font l’aumône, ordonnent ce qui est convenable et interdisent ce qui est blâmable. – La fin de toute chose appartient à Dieu -.</w:t>
            </w:r>
          </w:p>
        </w:tc>
      </w:tr>
      <w:tr w:rsidR="00A70B78" w:rsidRPr="007C6A42" w14:paraId="0FDB3314" w14:textId="77777777" w:rsidTr="00AF4FC9">
        <w:tc>
          <w:tcPr>
            <w:tcW w:w="851" w:type="dxa"/>
            <w:tcBorders>
              <w:top w:val="single" w:sz="4" w:space="0" w:color="auto"/>
              <w:left w:val="single" w:sz="4" w:space="0" w:color="auto"/>
              <w:bottom w:val="single" w:sz="4" w:space="0" w:color="auto"/>
              <w:right w:val="single" w:sz="4" w:space="0" w:color="auto"/>
            </w:tcBorders>
          </w:tcPr>
          <w:p w14:paraId="54416C4B"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Chour.</w:t>
            </w:r>
          </w:p>
        </w:tc>
        <w:tc>
          <w:tcPr>
            <w:tcW w:w="10065" w:type="dxa"/>
            <w:tcBorders>
              <w:top w:val="single" w:sz="4" w:space="0" w:color="auto"/>
              <w:left w:val="single" w:sz="4" w:space="0" w:color="auto"/>
              <w:bottom w:val="single" w:sz="4" w:space="0" w:color="auto"/>
              <w:right w:val="single" w:sz="4" w:space="0" w:color="auto"/>
            </w:tcBorders>
          </w:tcPr>
          <w:p w14:paraId="6CE45D46"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Il est avec ceux qui gouvernent la terre s’ils élèvent la prière, donnent la dîme, ordonnent le convenable, repoussent le blâmable. La sanction des ordres appartient à Allah.</w:t>
            </w:r>
          </w:p>
        </w:tc>
      </w:tr>
      <w:tr w:rsidR="00A70B78" w:rsidRPr="007C6A42" w14:paraId="43E93BA0" w14:textId="77777777" w:rsidTr="00AF4FC9">
        <w:tc>
          <w:tcPr>
            <w:tcW w:w="851" w:type="dxa"/>
            <w:tcBorders>
              <w:top w:val="single" w:sz="4" w:space="0" w:color="auto"/>
              <w:left w:val="single" w:sz="4" w:space="0" w:color="auto"/>
              <w:bottom w:val="single" w:sz="4" w:space="0" w:color="auto"/>
              <w:right w:val="single" w:sz="4" w:space="0" w:color="auto"/>
            </w:tcBorders>
          </w:tcPr>
          <w:p w14:paraId="6743486D"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Ghéd.</w:t>
            </w:r>
          </w:p>
        </w:tc>
        <w:tc>
          <w:tcPr>
            <w:tcW w:w="10065" w:type="dxa"/>
            <w:tcBorders>
              <w:top w:val="single" w:sz="4" w:space="0" w:color="auto"/>
              <w:left w:val="single" w:sz="4" w:space="0" w:color="auto"/>
              <w:bottom w:val="single" w:sz="4" w:space="0" w:color="auto"/>
              <w:right w:val="single" w:sz="4" w:space="0" w:color="auto"/>
            </w:tcBorders>
          </w:tcPr>
          <w:p w14:paraId="1B3E665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 assistera ceux qui, installés par Nous sur la terre, observent exactement la Prière, font l’Aumône légale, ordonnent le Bien et interdisent le Mal. Vers Dieu est la fin de toute chose.</w:t>
            </w:r>
          </w:p>
        </w:tc>
      </w:tr>
      <w:tr w:rsidR="00A70B78" w:rsidRPr="007C6A42" w14:paraId="406F2B91" w14:textId="77777777" w:rsidTr="00AF4FC9">
        <w:tc>
          <w:tcPr>
            <w:tcW w:w="851" w:type="dxa"/>
            <w:tcBorders>
              <w:top w:val="single" w:sz="4" w:space="0" w:color="auto"/>
              <w:left w:val="single" w:sz="4" w:space="0" w:color="auto"/>
              <w:bottom w:val="single" w:sz="4" w:space="0" w:color="auto"/>
              <w:right w:val="single" w:sz="4" w:space="0" w:color="auto"/>
            </w:tcBorders>
          </w:tcPr>
          <w:p w14:paraId="65A1340D"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lang w:bidi="ar-KW"/>
              </w:rPr>
              <w:t>Méd.</w:t>
            </w:r>
          </w:p>
        </w:tc>
        <w:tc>
          <w:tcPr>
            <w:tcW w:w="10065" w:type="dxa"/>
            <w:tcBorders>
              <w:top w:val="single" w:sz="4" w:space="0" w:color="auto"/>
              <w:left w:val="single" w:sz="4" w:space="0" w:color="auto"/>
              <w:bottom w:val="single" w:sz="4" w:space="0" w:color="auto"/>
              <w:right w:val="single" w:sz="4" w:space="0" w:color="auto"/>
            </w:tcBorders>
          </w:tcPr>
          <w:p w14:paraId="7456C923"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ceux qui, si Nous leur donnons la puissance sur terre, accomplissent la Salat, acquittent la Zakat, ordonnent le convenable et interdisent le blâmable. Cependant, l’issue finale de toute chose appartient à Allah.</w:t>
            </w:r>
          </w:p>
        </w:tc>
      </w:tr>
      <w:tr w:rsidR="00A70B78" w:rsidRPr="007C6A42" w14:paraId="30C52913" w14:textId="77777777" w:rsidTr="00AF4FC9">
        <w:tc>
          <w:tcPr>
            <w:tcW w:w="851" w:type="dxa"/>
            <w:tcBorders>
              <w:top w:val="single" w:sz="4" w:space="0" w:color="auto"/>
              <w:left w:val="single" w:sz="4" w:space="0" w:color="auto"/>
              <w:bottom w:val="single" w:sz="4" w:space="0" w:color="auto"/>
              <w:right w:val="single" w:sz="4" w:space="0" w:color="auto"/>
            </w:tcBorders>
          </w:tcPr>
          <w:p w14:paraId="03E72A3A"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lang w:bidi="ar-KW"/>
              </w:rPr>
              <w:t>Berque</w:t>
            </w:r>
          </w:p>
        </w:tc>
        <w:tc>
          <w:tcPr>
            <w:tcW w:w="10065" w:type="dxa"/>
            <w:tcBorders>
              <w:top w:val="single" w:sz="4" w:space="0" w:color="auto"/>
              <w:left w:val="single" w:sz="4" w:space="0" w:color="auto"/>
              <w:bottom w:val="single" w:sz="4" w:space="0" w:color="auto"/>
              <w:right w:val="single" w:sz="4" w:space="0" w:color="auto"/>
            </w:tcBorders>
          </w:tcPr>
          <w:p w14:paraId="564BB0A9"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à ceux qui, si Nous leur en donnons capacité sur la terre, accomplissent la prière, acquittent la purification, prescrivent le convenable et proscrivent le blâmable. – À Dieu la fin de toute chose!...</w:t>
            </w:r>
          </w:p>
        </w:tc>
      </w:tr>
      <w:tr w:rsidR="00A70B78" w:rsidRPr="007C6A42" w14:paraId="0F3560C6" w14:textId="77777777" w:rsidTr="00AF4FC9">
        <w:tc>
          <w:tcPr>
            <w:tcW w:w="851" w:type="dxa"/>
            <w:tcBorders>
              <w:top w:val="single" w:sz="4" w:space="0" w:color="auto"/>
              <w:left w:val="single" w:sz="4" w:space="0" w:color="auto"/>
              <w:bottom w:val="single" w:sz="4" w:space="0" w:color="auto"/>
              <w:right w:val="single" w:sz="4" w:space="0" w:color="auto"/>
            </w:tcBorders>
          </w:tcPr>
          <w:p w14:paraId="16C5840A"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b/>
                <w:bCs/>
              </w:rPr>
              <w:t>Gues.</w:t>
            </w:r>
          </w:p>
        </w:tc>
        <w:tc>
          <w:tcPr>
            <w:tcW w:w="10065" w:type="dxa"/>
            <w:tcBorders>
              <w:top w:val="single" w:sz="4" w:space="0" w:color="auto"/>
              <w:left w:val="single" w:sz="4" w:space="0" w:color="auto"/>
              <w:bottom w:val="single" w:sz="4" w:space="0" w:color="auto"/>
              <w:right w:val="single" w:sz="4" w:space="0" w:color="auto"/>
            </w:tcBorders>
          </w:tcPr>
          <w:p w14:paraId="326727B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À ceux qui par </w:t>
            </w:r>
            <w:r w:rsidRPr="007C6A42">
              <w:rPr>
                <w:rFonts w:asciiTheme="majorBidi" w:eastAsia="Times New Roman" w:hAnsiTheme="majorBidi" w:cstheme="majorBidi"/>
                <w:b/>
              </w:rPr>
              <w:t>Nous</w:t>
            </w:r>
            <w:r w:rsidRPr="007C6A42">
              <w:rPr>
                <w:rFonts w:asciiTheme="majorBidi" w:eastAsia="Times New Roman" w:hAnsiTheme="majorBidi" w:cstheme="majorBidi"/>
              </w:rPr>
              <w:t xml:space="preserve"> sur terre sont installés</w:t>
            </w:r>
          </w:p>
          <w:p w14:paraId="3A6B2DC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Font la prière, la charité, ordonnent le bien et interdisent le mauvais. </w:t>
            </w:r>
          </w:p>
          <w:p w14:paraId="3CC93CF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C’est à </w:t>
            </w:r>
            <w:r w:rsidRPr="007C6A42">
              <w:rPr>
                <w:rFonts w:asciiTheme="majorBidi" w:eastAsia="Times New Roman" w:hAnsiTheme="majorBidi" w:cstheme="majorBidi"/>
                <w:b/>
              </w:rPr>
              <w:t>DIEU</w:t>
            </w:r>
            <w:r w:rsidRPr="007C6A42">
              <w:rPr>
                <w:rFonts w:asciiTheme="majorBidi" w:eastAsia="Times New Roman" w:hAnsiTheme="majorBidi" w:cstheme="majorBidi"/>
              </w:rPr>
              <w:t xml:space="preserve"> qu’appartient, en toutes choses, la finalité.</w:t>
            </w:r>
          </w:p>
        </w:tc>
      </w:tr>
      <w:tr w:rsidR="00A70B78" w:rsidRPr="007C6A42" w14:paraId="61DE9B37" w14:textId="77777777" w:rsidTr="00AF4FC9">
        <w:tc>
          <w:tcPr>
            <w:tcW w:w="851" w:type="dxa"/>
            <w:tcBorders>
              <w:top w:val="single" w:sz="4" w:space="0" w:color="auto"/>
              <w:left w:val="single" w:sz="4" w:space="0" w:color="auto"/>
              <w:bottom w:val="single" w:sz="4" w:space="0" w:color="auto"/>
              <w:right w:val="single" w:sz="4" w:space="0" w:color="auto"/>
            </w:tcBorders>
          </w:tcPr>
          <w:p w14:paraId="0DCE3B83"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b/>
                <w:bCs/>
              </w:rPr>
              <w:lastRenderedPageBreak/>
              <w:t>Haf.</w:t>
            </w:r>
          </w:p>
        </w:tc>
        <w:tc>
          <w:tcPr>
            <w:tcW w:w="10065" w:type="dxa"/>
            <w:tcBorders>
              <w:top w:val="single" w:sz="4" w:space="0" w:color="auto"/>
              <w:left w:val="single" w:sz="4" w:space="0" w:color="auto"/>
              <w:bottom w:val="single" w:sz="4" w:space="0" w:color="auto"/>
              <w:right w:val="single" w:sz="4" w:space="0" w:color="auto"/>
            </w:tcBorders>
          </w:tcPr>
          <w:p w14:paraId="3BCDD12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assistera ceux qui, si Nous leur accordons le pouvoir sur la terre, accomplissent la prière, s’acquittent de l’aumône légale, ordonnent le bien et interdisent le mal. La fin de toute chose appartient à Dieu.</w:t>
            </w:r>
          </w:p>
        </w:tc>
      </w:tr>
      <w:tr w:rsidR="00A70B78" w:rsidRPr="007C6A42" w14:paraId="67C77126" w14:textId="77777777" w:rsidTr="00AF4FC9">
        <w:tc>
          <w:tcPr>
            <w:tcW w:w="851" w:type="dxa"/>
            <w:tcBorders>
              <w:top w:val="single" w:sz="4" w:space="0" w:color="auto"/>
              <w:left w:val="single" w:sz="4" w:space="0" w:color="auto"/>
              <w:bottom w:val="single" w:sz="4" w:space="0" w:color="auto"/>
              <w:right w:val="single" w:sz="4" w:space="0" w:color="auto"/>
            </w:tcBorders>
          </w:tcPr>
          <w:p w14:paraId="33F56E17"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b/>
                <w:bCs/>
              </w:rPr>
              <w:t>Gros.</w:t>
            </w:r>
          </w:p>
        </w:tc>
        <w:tc>
          <w:tcPr>
            <w:tcW w:w="10065" w:type="dxa"/>
            <w:tcBorders>
              <w:top w:val="single" w:sz="4" w:space="0" w:color="auto"/>
              <w:left w:val="single" w:sz="4" w:space="0" w:color="auto"/>
              <w:bottom w:val="single" w:sz="4" w:space="0" w:color="auto"/>
              <w:right w:val="single" w:sz="4" w:space="0" w:color="auto"/>
            </w:tcBorders>
          </w:tcPr>
          <w:p w14:paraId="698D2B6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pour ceux qui, établis par nous sur terre, font la prière et acquittent l’aumône, ordonnent le bien et interdisent le mal. Et la fin de tout est à Dieu.</w:t>
            </w:r>
          </w:p>
        </w:tc>
      </w:tr>
      <w:tr w:rsidR="00A70B78" w:rsidRPr="007C6A42" w14:paraId="5289B758" w14:textId="77777777" w:rsidTr="00AF4FC9">
        <w:tc>
          <w:tcPr>
            <w:tcW w:w="851" w:type="dxa"/>
            <w:tcBorders>
              <w:top w:val="single" w:sz="4" w:space="0" w:color="auto"/>
              <w:left w:val="single" w:sz="4" w:space="0" w:color="auto"/>
              <w:bottom w:val="single" w:sz="4" w:space="0" w:color="auto"/>
              <w:right w:val="single" w:sz="4" w:space="0" w:color="auto"/>
            </w:tcBorders>
          </w:tcPr>
          <w:p w14:paraId="694CB15E"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Chiad.</w:t>
            </w:r>
          </w:p>
        </w:tc>
        <w:tc>
          <w:tcPr>
            <w:tcW w:w="10065" w:type="dxa"/>
            <w:tcBorders>
              <w:top w:val="single" w:sz="4" w:space="0" w:color="auto"/>
              <w:left w:val="single" w:sz="4" w:space="0" w:color="auto"/>
              <w:bottom w:val="single" w:sz="4" w:space="0" w:color="auto"/>
              <w:right w:val="single" w:sz="4" w:space="0" w:color="auto"/>
            </w:tcBorders>
          </w:tcPr>
          <w:p w14:paraId="3E3D58F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Dieu prêtera assistance à ceux qui, une fois leur position consolidée, accompliront la salât, s’acquitteront de la zakât, ordonneront le Bien et dénonceront le Mal. En définitive, c’est à Dieu qu’appartient l’issue de toute chose.</w:t>
            </w:r>
          </w:p>
        </w:tc>
      </w:tr>
      <w:tr w:rsidR="00A70B78" w:rsidRPr="007C6A42" w14:paraId="1256B0E3" w14:textId="77777777" w:rsidTr="00AF4FC9">
        <w:tc>
          <w:tcPr>
            <w:tcW w:w="851" w:type="dxa"/>
            <w:tcBorders>
              <w:top w:val="single" w:sz="4" w:space="0" w:color="auto"/>
              <w:left w:val="single" w:sz="4" w:space="0" w:color="auto"/>
              <w:bottom w:val="single" w:sz="4" w:space="0" w:color="auto"/>
              <w:right w:val="single" w:sz="4" w:space="0" w:color="auto"/>
            </w:tcBorders>
          </w:tcPr>
          <w:p w14:paraId="084B81BD"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B. M.</w:t>
            </w:r>
          </w:p>
        </w:tc>
        <w:tc>
          <w:tcPr>
            <w:tcW w:w="10065" w:type="dxa"/>
            <w:tcBorders>
              <w:top w:val="single" w:sz="4" w:space="0" w:color="auto"/>
              <w:left w:val="single" w:sz="4" w:space="0" w:color="auto"/>
              <w:bottom w:val="single" w:sz="4" w:space="0" w:color="auto"/>
              <w:right w:val="single" w:sz="4" w:space="0" w:color="auto"/>
            </w:tcBorders>
          </w:tcPr>
          <w:p w14:paraId="53BCF02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Il défend ceux qui, après avoir été consolidés sur terre, observent leurs prières, font l’aumône, recommandent les bonnes actions et condamnent les mauvaises. C’est Dieu qui arbitre toutes choses.</w:t>
            </w:r>
          </w:p>
        </w:tc>
      </w:tr>
      <w:tr w:rsidR="00A70B78" w:rsidRPr="007C6A42" w14:paraId="3C1F357A" w14:textId="77777777" w:rsidTr="00AF4FC9">
        <w:tc>
          <w:tcPr>
            <w:tcW w:w="851" w:type="dxa"/>
            <w:tcBorders>
              <w:top w:val="single" w:sz="4" w:space="0" w:color="auto"/>
              <w:left w:val="single" w:sz="4" w:space="0" w:color="auto"/>
              <w:bottom w:val="single" w:sz="4" w:space="0" w:color="auto"/>
              <w:right w:val="single" w:sz="4" w:space="0" w:color="auto"/>
            </w:tcBorders>
          </w:tcPr>
          <w:p w14:paraId="22CCB355"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Cheb.</w:t>
            </w:r>
          </w:p>
        </w:tc>
        <w:tc>
          <w:tcPr>
            <w:tcW w:w="10065" w:type="dxa"/>
            <w:tcBorders>
              <w:top w:val="single" w:sz="4" w:space="0" w:color="auto"/>
              <w:left w:val="single" w:sz="4" w:space="0" w:color="auto"/>
              <w:bottom w:val="single" w:sz="4" w:space="0" w:color="auto"/>
              <w:right w:val="single" w:sz="4" w:space="0" w:color="auto"/>
            </w:tcBorders>
          </w:tcPr>
          <w:p w14:paraId="2208869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Ainsi ceux que Nous aurons établis sur terre et qui, ce faisant, observent le rituel des prières, font l'aumône, incitent au bien et récusent le mal. A Allah, cependant, est la décision finale.</w:t>
            </w:r>
          </w:p>
        </w:tc>
      </w:tr>
      <w:tr w:rsidR="00A70B78" w:rsidRPr="007C6A42" w14:paraId="33AE24E6" w14:textId="77777777" w:rsidTr="00AF4FC9">
        <w:tc>
          <w:tcPr>
            <w:tcW w:w="851" w:type="dxa"/>
            <w:tcBorders>
              <w:top w:val="single" w:sz="4" w:space="0" w:color="auto"/>
              <w:left w:val="single" w:sz="4" w:space="0" w:color="auto"/>
              <w:bottom w:val="single" w:sz="4" w:space="0" w:color="auto"/>
              <w:right w:val="single" w:sz="4" w:space="0" w:color="auto"/>
            </w:tcBorders>
          </w:tcPr>
          <w:p w14:paraId="14536A21"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rPr>
              <w:t>Abdel.</w:t>
            </w:r>
          </w:p>
        </w:tc>
        <w:tc>
          <w:tcPr>
            <w:tcW w:w="10065" w:type="dxa"/>
            <w:tcBorders>
              <w:top w:val="single" w:sz="4" w:space="0" w:color="auto"/>
              <w:left w:val="single" w:sz="4" w:space="0" w:color="auto"/>
              <w:bottom w:val="single" w:sz="4" w:space="0" w:color="auto"/>
              <w:right w:val="single" w:sz="4" w:space="0" w:color="auto"/>
            </w:tcBorders>
          </w:tcPr>
          <w:p w14:paraId="5F1B418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Ceux qui, si Nous leur Accordons pouvoir sur terre, accomplissent la prière, s’acquittent de la </w:t>
            </w:r>
            <w:r w:rsidRPr="007C6A42">
              <w:rPr>
                <w:rFonts w:asciiTheme="majorBidi" w:eastAsia="Times New Roman" w:hAnsiTheme="majorBidi" w:cstheme="majorBidi"/>
                <w:b/>
              </w:rPr>
              <w:t>Zakāt</w:t>
            </w:r>
            <w:r w:rsidRPr="007C6A42">
              <w:rPr>
                <w:rFonts w:asciiTheme="majorBidi" w:eastAsia="Times New Roman" w:hAnsiTheme="majorBidi" w:cstheme="majorBidi"/>
              </w:rPr>
              <w:t>, commandant le bon usage et interdisant le répréhensible. Et c’est à Allah qu’appartient l’issue des choses.</w:t>
            </w:r>
          </w:p>
        </w:tc>
      </w:tr>
      <w:tr w:rsidR="00A70B78" w:rsidRPr="007C6A42" w14:paraId="07652C44" w14:textId="77777777" w:rsidTr="00AF4FC9">
        <w:trPr>
          <w:trHeight w:val="570"/>
        </w:trPr>
        <w:tc>
          <w:tcPr>
            <w:tcW w:w="851" w:type="dxa"/>
            <w:tcBorders>
              <w:top w:val="single" w:sz="4" w:space="0" w:color="auto"/>
              <w:left w:val="single" w:sz="4" w:space="0" w:color="auto"/>
              <w:bottom w:val="single" w:sz="4" w:space="0" w:color="auto"/>
              <w:right w:val="single" w:sz="4" w:space="0" w:color="auto"/>
            </w:tcBorders>
          </w:tcPr>
          <w:p w14:paraId="3ACA5642"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b/>
                <w:bCs/>
                <w:lang w:bidi="ar-KW"/>
              </w:rPr>
              <w:t>Ald.</w:t>
            </w:r>
          </w:p>
        </w:tc>
        <w:tc>
          <w:tcPr>
            <w:tcW w:w="10065" w:type="dxa"/>
            <w:tcBorders>
              <w:top w:val="single" w:sz="4" w:space="0" w:color="auto"/>
              <w:left w:val="single" w:sz="4" w:space="0" w:color="auto"/>
              <w:bottom w:val="single" w:sz="4" w:space="0" w:color="auto"/>
              <w:right w:val="single" w:sz="4" w:space="0" w:color="auto"/>
            </w:tcBorders>
          </w:tcPr>
          <w:p w14:paraId="7F5BFF7C"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Ceux qui, lorsque nous leur donnons le pouvoir sur terre, ont élevé la prière, donné l’[aumône] épuratrice, ordonné le convenable et interdit le répugnant. La fin de [toutes] les affaires [revient] à Dieu.</w:t>
            </w:r>
          </w:p>
        </w:tc>
      </w:tr>
    </w:tbl>
    <w:p w14:paraId="4F5FD5B0" w14:textId="77777777" w:rsidR="00A70B78" w:rsidRPr="007C6A42" w:rsidRDefault="00A70B78" w:rsidP="00A70B78">
      <w:pPr>
        <w:spacing w:line="360" w:lineRule="auto"/>
        <w:contextualSpacing/>
        <w:jc w:val="both"/>
        <w:rPr>
          <w:rFonts w:asciiTheme="majorBidi" w:eastAsia="Times New Roman" w:hAnsiTheme="majorBidi" w:cstheme="majorBidi"/>
          <w:lang w:bidi="ar-AE"/>
        </w:rPr>
      </w:pPr>
    </w:p>
    <w:p w14:paraId="2A95A87D"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lang w:bidi="ar-EG"/>
        </w:rPr>
        <w:t>Nous avons vu que le verset 41 peut laisser entendre</w:t>
      </w:r>
      <w:r w:rsidRPr="007C6A42">
        <w:rPr>
          <w:rFonts w:asciiTheme="majorBidi" w:eastAsia="Times New Roman" w:hAnsiTheme="majorBidi" w:cstheme="majorBidi"/>
          <w:b/>
          <w:bCs/>
          <w:lang w:bidi="ar-EG"/>
        </w:rPr>
        <w:t xml:space="preserve"> </w:t>
      </w:r>
      <w:r w:rsidRPr="007C6A42">
        <w:rPr>
          <w:rFonts w:asciiTheme="majorBidi" w:eastAsia="Times New Roman" w:hAnsiTheme="majorBidi" w:cstheme="majorBidi"/>
          <w:lang w:bidi="ar-EG"/>
        </w:rPr>
        <w:t>qu’on ne peut pas séparer la religion de l’État en Islam, selon les exégèses (Aṭ-Ṭabarī met l’accent sur l’aspect belliqueux de ce verset, c.à.d. la victoire de l’islam contre les polythéistes</w:t>
      </w:r>
      <w:r w:rsidRPr="007C6A42">
        <w:rPr>
          <w:rStyle w:val="Appelnotedebasdep"/>
          <w:rFonts w:asciiTheme="majorBidi" w:eastAsia="Times New Roman" w:hAnsiTheme="majorBidi" w:cstheme="majorBidi"/>
          <w:lang w:bidi="ar-EG"/>
        </w:rPr>
        <w:footnoteReference w:id="564"/>
      </w:r>
      <w:r w:rsidRPr="007C6A42">
        <w:rPr>
          <w:rFonts w:asciiTheme="majorBidi" w:eastAsia="Times New Roman" w:hAnsiTheme="majorBidi" w:cstheme="majorBidi"/>
          <w:lang w:bidi="ar-EG"/>
        </w:rPr>
        <w:t>. À une période qui nous est tout à fait contemporaine, Al-</w:t>
      </w:r>
      <w:r w:rsidRPr="007C6A42">
        <w:rPr>
          <w:rFonts w:asciiTheme="majorBidi" w:hAnsiTheme="majorBidi" w:cstheme="majorBidi"/>
        </w:rPr>
        <w:t>Qara</w:t>
      </w:r>
      <w:r w:rsidRPr="007C6A42">
        <w:rPr>
          <w:rFonts w:asciiTheme="majorBidi" w:eastAsia="Times New Roman" w:hAnsiTheme="majorBidi" w:cstheme="majorBidi"/>
        </w:rPr>
        <w:t>ḍ</w:t>
      </w:r>
      <w:r w:rsidRPr="007C6A42">
        <w:rPr>
          <w:rFonts w:asciiTheme="majorBidi" w:hAnsiTheme="majorBidi" w:cstheme="majorBidi"/>
        </w:rPr>
        <w:t xml:space="preserve">āwī affirme clairement en citant le verset 41 que </w:t>
      </w:r>
      <w:r w:rsidRPr="007C6A42">
        <w:rPr>
          <w:rFonts w:asciiTheme="majorBidi" w:eastAsia="Times New Roman" w:hAnsiTheme="majorBidi" w:cstheme="majorBidi"/>
          <w:shd w:val="clear" w:color="auto" w:fill="FFFFFF"/>
        </w:rPr>
        <w:t>l’État laïque est refusé chez les Musulmans</w:t>
      </w:r>
      <w:r w:rsidRPr="007C6A42">
        <w:rPr>
          <w:rStyle w:val="Appelnotedebasdep"/>
          <w:rFonts w:asciiTheme="majorBidi" w:eastAsia="Times New Roman" w:hAnsiTheme="majorBidi" w:cstheme="majorBidi"/>
        </w:rPr>
        <w:footnoteReference w:id="565"/>
      </w:r>
      <w:r w:rsidRPr="007C6A42">
        <w:rPr>
          <w:rFonts w:asciiTheme="majorBidi" w:eastAsia="Times New Roman" w:hAnsiTheme="majorBidi" w:cstheme="majorBidi"/>
        </w:rPr>
        <w:t>)</w:t>
      </w:r>
      <w:r w:rsidRPr="007C6A42">
        <w:rPr>
          <w:rFonts w:asciiTheme="majorBidi" w:eastAsia="Times New Roman" w:hAnsiTheme="majorBidi" w:cstheme="majorBidi"/>
          <w:lang w:bidi="ar-EG"/>
        </w:rPr>
        <w:t xml:space="preserve">. Ce verset est donc considéré par les exégètes comme une phrase injonctive même si sa forme est déclarative. Cependant, </w:t>
      </w:r>
      <w:r w:rsidRPr="007C6A42">
        <w:rPr>
          <w:rFonts w:asciiTheme="majorBidi" w:eastAsia="Times New Roman" w:hAnsiTheme="majorBidi" w:cstheme="majorBidi"/>
        </w:rPr>
        <w:t>on ne voit rien dans l’une ou l’autre des traductions qui pourrait faire allusion même que très légèrement, superficiellement à l’impossibilité de la laïcité en Islam. Les traducteurs ont traduit la forme déclarative de la phrase.</w:t>
      </w:r>
    </w:p>
    <w:p w14:paraId="4A6D9E4C" w14:textId="77777777" w:rsidR="00A70B78" w:rsidRPr="007C6A42" w:rsidRDefault="00A70B78" w:rsidP="00A70B78">
      <w:pPr>
        <w:spacing w:line="360" w:lineRule="auto"/>
        <w:ind w:firstLine="360"/>
        <w:jc w:val="both"/>
        <w:rPr>
          <w:rFonts w:asciiTheme="majorBidi" w:eastAsia="Times New Roman" w:hAnsiTheme="majorBidi" w:cstheme="majorBidi"/>
        </w:rPr>
      </w:pPr>
    </w:p>
    <w:p w14:paraId="6A5EB01C"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lastRenderedPageBreak/>
        <w:t xml:space="preserve"> Dans la traduction de ce verset 41, Du Ryer montre bien l’interprétation des exégètes (« ceux que Dieu a établi en terre avec victoire sur leurs ennemis ». Il traduit ainsi la compréhension sunnite du verset et pas le verset lui-même. Sa traduction est plus proche du</w:t>
      </w:r>
      <w:r w:rsidRPr="007C6A42">
        <w:rPr>
          <w:rFonts w:asciiTheme="majorBidi" w:eastAsia="Times New Roman" w:hAnsiTheme="majorBidi" w:cstheme="majorBidi"/>
          <w:i/>
          <w:iCs/>
        </w:rPr>
        <w:t xml:space="preserve"> tafsīr </w:t>
      </w:r>
      <w:r w:rsidRPr="007C6A42">
        <w:rPr>
          <w:rFonts w:asciiTheme="majorBidi" w:eastAsia="Times New Roman" w:hAnsiTheme="majorBidi" w:cstheme="majorBidi"/>
        </w:rPr>
        <w:t>que de la traduction proprement dite. Il ajoute les syntagmes : « avec victoire sur leurs ennemis », « ainsi qu’il est ordonné », ce qui réduit la polysémie du verset et fige le sens dans une seule interprétation. Cependant, Savary s’approche plus de la littéralité du verset arabe et</w:t>
      </w:r>
      <w:r w:rsidRPr="007C6A42">
        <w:rPr>
          <w:rFonts w:asciiTheme="majorBidi" w:eastAsia="Times New Roman" w:hAnsiTheme="majorBidi" w:cstheme="majorBidi"/>
          <w:color w:val="C00000"/>
        </w:rPr>
        <w:t xml:space="preserve"> </w:t>
      </w:r>
      <w:r w:rsidRPr="007C6A42">
        <w:rPr>
          <w:rFonts w:asciiTheme="majorBidi" w:eastAsia="Times New Roman" w:hAnsiTheme="majorBidi" w:cstheme="majorBidi"/>
        </w:rPr>
        <w:t>s’est libéré de l’exégèse. Mais sa traduction laisse entendre que ce verset parle à travers l’emploi du futur d’une promesse, d’une action qui se réalisera. Sachant que selon les exégètes le verset parle : d’un événement historique [</w:t>
      </w:r>
      <w:r w:rsidRPr="007C6A42">
        <w:rPr>
          <w:rFonts w:asciiTheme="majorBidi" w:eastAsia="Times New Roman" w:hAnsiTheme="majorBidi" w:cstheme="majorBidi"/>
          <w:i/>
          <w:iCs/>
        </w:rPr>
        <w:t>khabar</w:t>
      </w:r>
      <w:r w:rsidRPr="007C6A42">
        <w:rPr>
          <w:rFonts w:asciiTheme="majorBidi" w:eastAsia="Times New Roman" w:hAnsiTheme="majorBidi" w:cstheme="majorBidi"/>
        </w:rPr>
        <w:t>] (la victoire des compagnons du Prophète) ou d’une vérité générale (l’aspect rituel des pratiquants qui font les cinq prières ou de toute la communauté musulmane).  En outre, al-Māturīdī souligne dans son exégèse</w:t>
      </w:r>
      <w:r w:rsidRPr="007C6A42">
        <w:rPr>
          <w:rStyle w:val="Appelnotedebasdep"/>
          <w:rFonts w:asciiTheme="majorBidi" w:eastAsia="Times New Roman" w:hAnsiTheme="majorBidi" w:cstheme="majorBidi"/>
        </w:rPr>
        <w:footnoteReference w:id="566"/>
      </w:r>
      <w:r w:rsidRPr="007C6A42">
        <w:rPr>
          <w:rFonts w:asciiTheme="majorBidi" w:eastAsia="Times New Roman" w:hAnsiTheme="majorBidi" w:cstheme="majorBidi"/>
        </w:rPr>
        <w:t xml:space="preserve"> que ce verset parle en réalité d’un ordre, d’un commandement même s’il semble parler apparemment d’un </w:t>
      </w:r>
      <w:r w:rsidRPr="007C6A42">
        <w:rPr>
          <w:rFonts w:asciiTheme="majorBidi" w:eastAsia="Times New Roman" w:hAnsiTheme="majorBidi" w:cstheme="majorBidi"/>
          <w:i/>
          <w:iCs/>
        </w:rPr>
        <w:t>khabar</w:t>
      </w:r>
      <w:r w:rsidRPr="007C6A42">
        <w:rPr>
          <w:rFonts w:asciiTheme="majorBidi" w:eastAsia="Times New Roman" w:hAnsiTheme="majorBidi" w:cstheme="majorBidi"/>
        </w:rPr>
        <w:t xml:space="preserve"> [récit] ou d’un </w:t>
      </w:r>
      <w:r w:rsidRPr="007C6A42">
        <w:rPr>
          <w:rFonts w:asciiTheme="majorBidi" w:eastAsia="Times New Roman" w:hAnsiTheme="majorBidi" w:cstheme="majorBidi"/>
          <w:i/>
          <w:iCs/>
        </w:rPr>
        <w:t>waʿd</w:t>
      </w:r>
      <w:r w:rsidRPr="007C6A42">
        <w:rPr>
          <w:rFonts w:asciiTheme="majorBidi" w:eastAsia="Times New Roman" w:hAnsiTheme="majorBidi" w:cstheme="majorBidi"/>
        </w:rPr>
        <w:t xml:space="preserve"> [promesse].</w:t>
      </w:r>
    </w:p>
    <w:p w14:paraId="4D970E98" w14:textId="77777777" w:rsidR="00A70B78" w:rsidRPr="007C6A42" w:rsidRDefault="00A70B78" w:rsidP="00A70B78">
      <w:pPr>
        <w:spacing w:line="360" w:lineRule="auto"/>
        <w:ind w:firstLine="360"/>
        <w:jc w:val="both"/>
        <w:rPr>
          <w:rFonts w:asciiTheme="majorBidi" w:eastAsia="Times New Roman" w:hAnsiTheme="majorBidi" w:cstheme="majorBidi"/>
        </w:rPr>
      </w:pPr>
    </w:p>
    <w:p w14:paraId="3717B0B1"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Kazimirski, Ghédira et Hafiane ajoutent (en réutilisant un verbe du verset précédent) : « Il/Dieu assistera » comme si le verset parlait d’une promesse de secourir ceux qui font déjà la prière et l’aumône, ordonnait déjà le bien et interdisait le mal. De même, Blachère et Chiadmi ajoutent respectivement : « [</w:t>
      </w:r>
      <w:r w:rsidRPr="007C6A42">
        <w:rPr>
          <w:rFonts w:asciiTheme="majorBidi" w:eastAsia="Times New Roman" w:hAnsiTheme="majorBidi" w:cstheme="majorBidi"/>
          <w:i/>
          <w:iCs/>
        </w:rPr>
        <w:t>Il secourra</w:t>
      </w:r>
      <w:r w:rsidRPr="007C6A42">
        <w:rPr>
          <w:rFonts w:asciiTheme="majorBidi" w:eastAsia="Times New Roman" w:hAnsiTheme="majorBidi" w:cstheme="majorBidi"/>
        </w:rPr>
        <w:t>] », « Dieu prêtera assistance », comme si le secours de Dieu est une conséquence de la pratique de la religion : Dieu secourra ceux qui pratiquent déjà la religion. Hamidullah, au contraire, conjugue au futur les verbes qui parlent de la pratique de la religion.</w:t>
      </w:r>
    </w:p>
    <w:p w14:paraId="22E2371E"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Masson ajoute toute une phrase explicative (clarification) : « Toute autorisation de se défendre est donnée à […] » ; c’est à partir de sa traduction que l’on voit apparaître le concept du « pouvoir sur la terre » (au lieu de l’installation sur la terre), idée qui est implicite dans le verset arabe. Ce mot « pouvoir » réapparaît dans les traductions d’Abdelaziz, Hafiane et Aldeeb. Chouraqui va plus loin en utilisant « gouvernent la terre ».</w:t>
      </w:r>
    </w:p>
    <w:p w14:paraId="5B6931F2"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Quant à la traduction de la phrase « </w:t>
      </w:r>
      <w:r w:rsidRPr="007C6A42">
        <w:rPr>
          <w:rFonts w:asciiTheme="majorBidi" w:eastAsia="Calibri" w:hAnsiTheme="majorBidi" w:cstheme="majorBidi"/>
          <w:rtl/>
          <w:lang w:bidi="ar-AE"/>
        </w:rPr>
        <w:t>أقاموا الصلاة</w:t>
      </w:r>
      <w:r w:rsidRPr="007C6A42">
        <w:rPr>
          <w:rFonts w:asciiTheme="majorBidi" w:eastAsia="Calibri" w:hAnsiTheme="majorBidi" w:cstheme="majorBidi"/>
          <w:lang w:bidi="ar-AE"/>
        </w:rPr>
        <w:t> », la plupart des traducteurs rendent un aspect du sens intensif de la phrase. En effet, les théologiens distinguent entre « </w:t>
      </w:r>
      <w:r w:rsidRPr="007C6A42">
        <w:rPr>
          <w:rFonts w:asciiTheme="majorBidi" w:eastAsia="Calibri" w:hAnsiTheme="majorBidi" w:cstheme="majorBidi"/>
          <w:rtl/>
        </w:rPr>
        <w:t>صلّى</w:t>
      </w:r>
      <w:r w:rsidRPr="007C6A42">
        <w:rPr>
          <w:rFonts w:asciiTheme="majorBidi" w:eastAsia="Calibri" w:hAnsiTheme="majorBidi" w:cstheme="majorBidi"/>
        </w:rPr>
        <w:t> » [prier] et « </w:t>
      </w:r>
      <w:r w:rsidRPr="007C6A42">
        <w:rPr>
          <w:rFonts w:asciiTheme="majorBidi" w:eastAsia="Calibri" w:hAnsiTheme="majorBidi" w:cstheme="majorBidi"/>
          <w:rtl/>
        </w:rPr>
        <w:t>أقام الصلاة</w:t>
      </w:r>
      <w:r w:rsidRPr="007C6A42">
        <w:rPr>
          <w:rFonts w:asciiTheme="majorBidi" w:eastAsia="Calibri" w:hAnsiTheme="majorBidi" w:cstheme="majorBidi"/>
        </w:rPr>
        <w:t xml:space="preserve"> » [accomplir la prière comme il faut, d’une manière complète et continue]. Ainsi, </w:t>
      </w:r>
      <w:r w:rsidRPr="007C6A42">
        <w:rPr>
          <w:rFonts w:asciiTheme="majorBidi" w:eastAsia="Times New Roman" w:hAnsiTheme="majorBidi" w:cstheme="majorBidi"/>
        </w:rPr>
        <w:t>« </w:t>
      </w:r>
      <w:r w:rsidRPr="007C6A42">
        <w:rPr>
          <w:rFonts w:asciiTheme="majorBidi" w:eastAsia="Calibri" w:hAnsiTheme="majorBidi" w:cstheme="majorBidi"/>
          <w:rtl/>
          <w:lang w:bidi="ar-AE"/>
        </w:rPr>
        <w:t>أقاموا الصلاة</w:t>
      </w:r>
      <w:r w:rsidRPr="007C6A42">
        <w:rPr>
          <w:rFonts w:asciiTheme="majorBidi" w:eastAsia="Calibri" w:hAnsiTheme="majorBidi" w:cstheme="majorBidi"/>
          <w:lang w:bidi="ar-AE"/>
        </w:rPr>
        <w:t xml:space="preserve"> » ne signifie pas seulement : « font/feront la prière », comme le traduisent Savary, </w:t>
      </w:r>
      <w:r w:rsidRPr="007C6A42">
        <w:rPr>
          <w:rFonts w:asciiTheme="majorBidi" w:eastAsia="Calibri" w:hAnsiTheme="majorBidi" w:cstheme="majorBidi"/>
          <w:lang w:bidi="ar-AE"/>
        </w:rPr>
        <w:lastRenderedPageBreak/>
        <w:t xml:space="preserve">Grosjean et Guessous. Pour rendre ce sens spécifique de </w:t>
      </w:r>
      <w:r w:rsidRPr="007C6A42">
        <w:rPr>
          <w:rFonts w:asciiTheme="majorBidi" w:eastAsia="Times New Roman" w:hAnsiTheme="majorBidi" w:cstheme="majorBidi"/>
        </w:rPr>
        <w:t>« </w:t>
      </w:r>
      <w:r w:rsidRPr="007C6A42">
        <w:rPr>
          <w:rFonts w:asciiTheme="majorBidi" w:eastAsia="Calibri" w:hAnsiTheme="majorBidi" w:cstheme="majorBidi"/>
          <w:rtl/>
          <w:lang w:bidi="ar-AE"/>
        </w:rPr>
        <w:t>أقاموا</w:t>
      </w:r>
      <w:r w:rsidRPr="007C6A42">
        <w:rPr>
          <w:rFonts w:asciiTheme="majorBidi" w:eastAsia="Calibri" w:hAnsiTheme="majorBidi" w:cstheme="majorBidi"/>
          <w:lang w:bidi="ar-AE"/>
        </w:rPr>
        <w:t> », Du Ryer et Kazimirski ont ajouté respectivement : « ainsi qu’il est ordonné » et « exactement ». Après, les traductions tendent vers la littéralité et optent pour des verbes moins génériques que le verbe « faire » : « établir », « s’acquitter », « accomplir », « observer », « élever ».</w:t>
      </w:r>
    </w:p>
    <w:p w14:paraId="6DADE5A8" w14:textId="77777777" w:rsidR="00A70B78" w:rsidRPr="007C6A42" w:rsidRDefault="00A70B78" w:rsidP="00A70B78">
      <w:pPr>
        <w:spacing w:line="360" w:lineRule="auto"/>
        <w:ind w:firstLine="360"/>
        <w:jc w:val="both"/>
        <w:rPr>
          <w:rFonts w:asciiTheme="majorBidi" w:eastAsia="Times New Roman" w:hAnsiTheme="majorBidi" w:cstheme="majorBidi"/>
        </w:rPr>
      </w:pPr>
    </w:p>
    <w:p w14:paraId="43504894" w14:textId="5EB8CD27" w:rsidR="00A70B78" w:rsidRPr="007C6A42" w:rsidRDefault="004052A2" w:rsidP="00A70B78">
      <w:pPr>
        <w:spacing w:line="360" w:lineRule="auto"/>
        <w:jc w:val="both"/>
        <w:rPr>
          <w:rFonts w:asciiTheme="majorBidi" w:eastAsia="Times New Roman" w:hAnsiTheme="majorBidi" w:cstheme="majorBidi"/>
          <w:b/>
          <w:bCs/>
          <w:lang w:bidi="ar-KW"/>
        </w:rPr>
      </w:pPr>
      <w:r>
        <w:rPr>
          <w:rFonts w:asciiTheme="majorBidi" w:eastAsia="Times New Roman" w:hAnsiTheme="majorBidi" w:cstheme="majorBidi"/>
          <w:b/>
          <w:bCs/>
          <w:shd w:val="clear" w:color="auto" w:fill="FFFFFF"/>
          <w:lang w:bidi="ar-KW"/>
        </w:rPr>
        <w:t xml:space="preserve">10.9. </w:t>
      </w:r>
      <w:r w:rsidR="00A70B78" w:rsidRPr="007C6A42">
        <w:rPr>
          <w:rFonts w:asciiTheme="majorBidi" w:eastAsia="Times New Roman" w:hAnsiTheme="majorBidi" w:cstheme="majorBidi"/>
          <w:b/>
          <w:bCs/>
          <w:shd w:val="clear" w:color="auto" w:fill="FFFFFF"/>
          <w:lang w:bidi="ar-KW"/>
        </w:rPr>
        <w:t>Polysémie des énoncés liée</w:t>
      </w:r>
      <w:r w:rsidR="00A70B78" w:rsidRPr="007C6A42">
        <w:rPr>
          <w:rFonts w:asciiTheme="majorBidi" w:eastAsia="Times New Roman" w:hAnsiTheme="majorBidi" w:cstheme="majorBidi"/>
          <w:b/>
          <w:bCs/>
        </w:rPr>
        <w:t xml:space="preserve"> aux circonstances de rédaction du Coran (</w:t>
      </w:r>
      <w:r w:rsidR="00A70B78" w:rsidRPr="007C6A42">
        <w:rPr>
          <w:rFonts w:asciiTheme="majorBidi" w:eastAsia="Times New Roman" w:hAnsiTheme="majorBidi" w:cstheme="majorBidi"/>
          <w:b/>
          <w:bCs/>
          <w:i/>
          <w:iCs/>
        </w:rPr>
        <w:t>asbāb an-nuzūl</w:t>
      </w:r>
      <w:r w:rsidR="00A70B78" w:rsidRPr="007C6A42">
        <w:rPr>
          <w:rFonts w:asciiTheme="majorBidi" w:eastAsia="Times New Roman" w:hAnsiTheme="majorBidi" w:cstheme="majorBidi"/>
          <w:b/>
          <w:bCs/>
        </w:rPr>
        <w:t>)) :</w:t>
      </w:r>
    </w:p>
    <w:p w14:paraId="79FD3AFE" w14:textId="77777777" w:rsidR="00A70B78" w:rsidRPr="007C6A42" w:rsidRDefault="00A70B78" w:rsidP="00A70B78">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b/>
          <w:bCs/>
          <w:lang w:bidi="ar-KW"/>
        </w:rPr>
        <w:t>La traduction de l’histoire des versets sataniques :</w:t>
      </w:r>
    </w:p>
    <w:p w14:paraId="02CD0B54"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Examinons les différentes traductions du verset 52 :</w:t>
      </w:r>
    </w:p>
    <w:tbl>
      <w:tblPr>
        <w:tblW w:w="1092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069"/>
      </w:tblGrid>
      <w:tr w:rsidR="00A70B78" w:rsidRPr="007C6A42" w14:paraId="7B66A030" w14:textId="77777777" w:rsidTr="00AF4FC9">
        <w:tc>
          <w:tcPr>
            <w:tcW w:w="10916" w:type="dxa"/>
            <w:gridSpan w:val="2"/>
            <w:tcBorders>
              <w:top w:val="nil"/>
              <w:left w:val="single" w:sz="4" w:space="0" w:color="auto"/>
              <w:bottom w:val="single" w:sz="4" w:space="0" w:color="auto"/>
              <w:right w:val="single" w:sz="4" w:space="0" w:color="auto"/>
            </w:tcBorders>
          </w:tcPr>
          <w:p w14:paraId="0F383C1B" w14:textId="77777777" w:rsidR="00A70B78" w:rsidRPr="007C6A42" w:rsidRDefault="00A70B78" w:rsidP="00AF4FC9">
            <w:pPr>
              <w:bidi/>
              <w:spacing w:line="360" w:lineRule="auto"/>
              <w:ind w:firstLine="708"/>
              <w:jc w:val="center"/>
              <w:rPr>
                <w:rFonts w:asciiTheme="majorBidi" w:eastAsia="Times New Roman" w:hAnsiTheme="majorBidi" w:cstheme="majorBidi"/>
                <w:lang w:bidi="ar-KW"/>
              </w:rPr>
            </w:pPr>
            <w:r w:rsidRPr="007C6A42">
              <w:rPr>
                <w:rFonts w:asciiTheme="majorBidi" w:eastAsia="Calibri" w:hAnsiTheme="majorBidi" w:cstheme="majorBidi"/>
                <w:rtl/>
                <w:lang w:bidi="ar-AE"/>
              </w:rPr>
              <w:t>"وما أرسلنا مِن قبلِكَ مِن رسولٍ ولا نبيٍّ إلاَّ إذا تمنَّى ألقى الشيطانُ في أُمنيَّتِه فيَنسَخُ اللهُ ما يُــلْقي الشيطانُ ثم يُحْكِمُ اللهُ آياتِه واللهُ عليمٌ حكيم</w:t>
            </w:r>
            <w:r w:rsidRPr="007C6A42">
              <w:rPr>
                <w:rFonts w:asciiTheme="majorBidi" w:eastAsia="Times New Roman" w:hAnsiTheme="majorBidi" w:cstheme="majorBidi"/>
                <w:rtl/>
                <w:lang w:bidi="ar-AE"/>
              </w:rPr>
              <w:t>" (الحج، 52)</w:t>
            </w:r>
          </w:p>
        </w:tc>
      </w:tr>
      <w:tr w:rsidR="00A70B78" w:rsidRPr="007C6A42" w14:paraId="6BC66107" w14:textId="77777777" w:rsidTr="00AF4FC9">
        <w:tc>
          <w:tcPr>
            <w:tcW w:w="851" w:type="dxa"/>
            <w:tcBorders>
              <w:top w:val="single" w:sz="4" w:space="0" w:color="auto"/>
              <w:left w:val="single" w:sz="4" w:space="0" w:color="auto"/>
              <w:bottom w:val="single" w:sz="4" w:space="0" w:color="auto"/>
              <w:right w:val="single" w:sz="4" w:space="0" w:color="auto"/>
            </w:tcBorders>
          </w:tcPr>
          <w:p w14:paraId="2B1C541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w:t>
            </w:r>
          </w:p>
        </w:tc>
        <w:tc>
          <w:tcPr>
            <w:tcW w:w="10065" w:type="dxa"/>
            <w:tcBorders>
              <w:top w:val="single" w:sz="4" w:space="0" w:color="auto"/>
              <w:left w:val="single" w:sz="4" w:space="0" w:color="auto"/>
              <w:bottom w:val="single" w:sz="4" w:space="0" w:color="auto"/>
              <w:right w:val="single" w:sz="4" w:space="0" w:color="auto"/>
            </w:tcBorders>
          </w:tcPr>
          <w:p w14:paraId="78D3ADF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n’auons enuoyé nos Prophetes que pour lire au peuple nos commadements, les infidelles ont leu pluʃieurs choʃes qui ne ʃont pas dans l’Alcoran, mais Dieu a aneanty</w:t>
            </w:r>
            <w:r w:rsidRPr="007C6A42">
              <w:rPr>
                <w:rFonts w:asciiTheme="majorBidi" w:eastAsia="Times New Roman" w:hAnsiTheme="majorBidi" w:cstheme="majorBidi"/>
                <w:i/>
                <w:iCs/>
              </w:rPr>
              <w:t xml:space="preserve"> </w:t>
            </w:r>
            <w:r w:rsidRPr="007C6A42">
              <w:rPr>
                <w:rFonts w:asciiTheme="majorBidi" w:eastAsia="Times New Roman" w:hAnsiTheme="majorBidi" w:cstheme="majorBidi"/>
              </w:rPr>
              <w:t>ce que le Diable y auoit adiouʃté, &amp; a confirmé les preceptes de ʃa foy</w:t>
            </w:r>
          </w:p>
        </w:tc>
      </w:tr>
      <w:tr w:rsidR="00A70B78" w:rsidRPr="007C6A42" w14:paraId="65BE4D65" w14:textId="77777777" w:rsidTr="00AF4FC9">
        <w:tc>
          <w:tcPr>
            <w:tcW w:w="851" w:type="dxa"/>
            <w:tcBorders>
              <w:top w:val="single" w:sz="4" w:space="0" w:color="auto"/>
              <w:left w:val="single" w:sz="4" w:space="0" w:color="auto"/>
              <w:bottom w:val="single" w:sz="4" w:space="0" w:color="auto"/>
              <w:right w:val="single" w:sz="4" w:space="0" w:color="auto"/>
            </w:tcBorders>
          </w:tcPr>
          <w:p w14:paraId="34854AA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w:t>
            </w:r>
          </w:p>
        </w:tc>
        <w:tc>
          <w:tcPr>
            <w:tcW w:w="10065" w:type="dxa"/>
            <w:tcBorders>
              <w:top w:val="single" w:sz="4" w:space="0" w:color="auto"/>
              <w:left w:val="single" w:sz="4" w:space="0" w:color="auto"/>
              <w:bottom w:val="single" w:sz="4" w:space="0" w:color="auto"/>
              <w:right w:val="single" w:sz="4" w:space="0" w:color="auto"/>
            </w:tcBorders>
          </w:tcPr>
          <w:p w14:paraId="788D7494"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point envoyé de prophètes, que Satan n’ait mêlé des erreurs dans leur doctrine ; mais Dieu détruit</w:t>
            </w:r>
            <w:r w:rsidRPr="007C6A42">
              <w:rPr>
                <w:rFonts w:asciiTheme="majorBidi" w:eastAsia="Times New Roman" w:hAnsiTheme="majorBidi" w:cstheme="majorBidi"/>
                <w:i/>
                <w:iCs/>
              </w:rPr>
              <w:t xml:space="preserve"> </w:t>
            </w:r>
            <w:r w:rsidRPr="007C6A42">
              <w:rPr>
                <w:rFonts w:asciiTheme="majorBidi" w:eastAsia="Times New Roman" w:hAnsiTheme="majorBidi" w:cstheme="majorBidi"/>
              </w:rPr>
              <w:t>ses artifices, et les préceptes divins restent dans leur pureté. Il est savant et sage.</w:t>
            </w:r>
          </w:p>
        </w:tc>
      </w:tr>
      <w:tr w:rsidR="00A70B78" w:rsidRPr="007C6A42" w14:paraId="45B44CDB" w14:textId="77777777" w:rsidTr="00AF4FC9">
        <w:tc>
          <w:tcPr>
            <w:tcW w:w="851" w:type="dxa"/>
            <w:tcBorders>
              <w:top w:val="single" w:sz="4" w:space="0" w:color="auto"/>
              <w:left w:val="single" w:sz="4" w:space="0" w:color="auto"/>
              <w:bottom w:val="single" w:sz="4" w:space="0" w:color="auto"/>
              <w:right w:val="single" w:sz="4" w:space="0" w:color="auto"/>
            </w:tcBorders>
          </w:tcPr>
          <w:p w14:paraId="50AC10C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p>
        </w:tc>
        <w:tc>
          <w:tcPr>
            <w:tcW w:w="10065" w:type="dxa"/>
            <w:tcBorders>
              <w:top w:val="single" w:sz="4" w:space="0" w:color="auto"/>
              <w:left w:val="single" w:sz="4" w:space="0" w:color="auto"/>
              <w:bottom w:val="single" w:sz="4" w:space="0" w:color="auto"/>
              <w:right w:val="single" w:sz="4" w:space="0" w:color="auto"/>
            </w:tcBorders>
          </w:tcPr>
          <w:p w14:paraId="740D8500"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Nous n’avons envoyé avant toi aucun apôtre que Satan ne lui eût suggéré des erreurs dans la lecture d’un livre divin ; mais Dieu met au néant ce que Satan suggère, et affermit le sens de ses signes. Car Dieu est savant et sage.</w:t>
            </w:r>
          </w:p>
        </w:tc>
      </w:tr>
      <w:tr w:rsidR="00A70B78" w:rsidRPr="007C6A42" w14:paraId="1EFBAFC0" w14:textId="77777777" w:rsidTr="00AF4FC9">
        <w:tc>
          <w:tcPr>
            <w:tcW w:w="851" w:type="dxa"/>
            <w:tcBorders>
              <w:top w:val="single" w:sz="4" w:space="0" w:color="auto"/>
              <w:left w:val="single" w:sz="4" w:space="0" w:color="auto"/>
              <w:bottom w:val="single" w:sz="4" w:space="0" w:color="auto"/>
              <w:right w:val="single" w:sz="4" w:space="0" w:color="auto"/>
            </w:tcBorders>
          </w:tcPr>
          <w:p w14:paraId="30F5512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w:t>
            </w:r>
          </w:p>
        </w:tc>
        <w:tc>
          <w:tcPr>
            <w:tcW w:w="10065" w:type="dxa"/>
            <w:tcBorders>
              <w:top w:val="single" w:sz="4" w:space="0" w:color="auto"/>
              <w:left w:val="single" w:sz="4" w:space="0" w:color="auto"/>
              <w:bottom w:val="single" w:sz="4" w:space="0" w:color="auto"/>
              <w:right w:val="single" w:sz="4" w:space="0" w:color="auto"/>
            </w:tcBorders>
          </w:tcPr>
          <w:p w14:paraId="4E3694EA" w14:textId="77777777" w:rsidR="00A70B78" w:rsidRPr="007C6A42" w:rsidRDefault="00A70B78" w:rsidP="00AF4FC9">
            <w:pPr>
              <w:spacing w:line="360" w:lineRule="auto"/>
              <w:jc w:val="both"/>
              <w:rPr>
                <w:rFonts w:asciiTheme="majorBidi" w:eastAsia="Calibri" w:hAnsiTheme="majorBidi" w:cstheme="majorBidi"/>
              </w:rPr>
            </w:pPr>
            <w:r w:rsidRPr="007C6A42">
              <w:rPr>
                <w:rFonts w:asciiTheme="majorBidi" w:eastAsia="Calibri" w:hAnsiTheme="majorBidi" w:cstheme="majorBidi"/>
              </w:rPr>
              <w:t>Avant toi, Nous n’avons envoyé nul Apôtre et nul Prophète, sans que le Démon jetât [</w:t>
            </w:r>
            <w:r w:rsidRPr="007C6A42">
              <w:rPr>
                <w:rFonts w:asciiTheme="majorBidi" w:eastAsia="Calibri" w:hAnsiTheme="majorBidi" w:cstheme="majorBidi"/>
                <w:i/>
              </w:rPr>
              <w:t>l’impureté</w:t>
            </w:r>
            <w:r w:rsidRPr="007C6A42">
              <w:rPr>
                <w:rFonts w:asciiTheme="majorBidi" w:eastAsia="Calibri" w:hAnsiTheme="majorBidi" w:cstheme="majorBidi"/>
              </w:rPr>
              <w:t xml:space="preserve"> ( ?)] dans leur souhait, quand ils [</w:t>
            </w:r>
            <w:r w:rsidRPr="007C6A42">
              <w:rPr>
                <w:rFonts w:asciiTheme="majorBidi" w:eastAsia="Calibri" w:hAnsiTheme="majorBidi" w:cstheme="majorBidi"/>
                <w:i/>
              </w:rPr>
              <w:t>le</w:t>
            </w:r>
            <w:r w:rsidRPr="007C6A42">
              <w:rPr>
                <w:rFonts w:asciiTheme="majorBidi" w:eastAsia="Calibri" w:hAnsiTheme="majorBidi" w:cstheme="majorBidi"/>
              </w:rPr>
              <w:t>] formulaient. Allah abrogera donc ce que le Démon jette [</w:t>
            </w:r>
            <w:r w:rsidRPr="007C6A42">
              <w:rPr>
                <w:rFonts w:asciiTheme="majorBidi" w:eastAsia="Calibri" w:hAnsiTheme="majorBidi" w:cstheme="majorBidi"/>
                <w:i/>
              </w:rPr>
              <w:t xml:space="preserve">d’impur </w:t>
            </w:r>
            <w:r w:rsidRPr="007C6A42">
              <w:rPr>
                <w:rFonts w:asciiTheme="majorBidi" w:eastAsia="Calibri" w:hAnsiTheme="majorBidi" w:cstheme="majorBidi"/>
              </w:rPr>
              <w:t xml:space="preserve">( ?) </w:t>
            </w:r>
            <w:r w:rsidRPr="007C6A42">
              <w:rPr>
                <w:rFonts w:asciiTheme="majorBidi" w:eastAsia="Calibri" w:hAnsiTheme="majorBidi" w:cstheme="majorBidi"/>
                <w:i/>
              </w:rPr>
              <w:t>en ton message</w:t>
            </w:r>
            <w:r w:rsidRPr="007C6A42">
              <w:rPr>
                <w:rFonts w:asciiTheme="majorBidi" w:eastAsia="Calibri" w:hAnsiTheme="majorBidi" w:cstheme="majorBidi"/>
              </w:rPr>
              <w:t>], puis Allah confirmera Ses aya. Allah est omniscient et sage.</w:t>
            </w:r>
          </w:p>
        </w:tc>
      </w:tr>
      <w:tr w:rsidR="00A70B78" w:rsidRPr="007C6A42" w14:paraId="021FF047" w14:textId="77777777" w:rsidTr="00AF4FC9">
        <w:tc>
          <w:tcPr>
            <w:tcW w:w="851" w:type="dxa"/>
            <w:tcBorders>
              <w:top w:val="single" w:sz="4" w:space="0" w:color="auto"/>
              <w:left w:val="single" w:sz="4" w:space="0" w:color="auto"/>
              <w:bottom w:val="single" w:sz="4" w:space="0" w:color="auto"/>
              <w:right w:val="single" w:sz="4" w:space="0" w:color="auto"/>
            </w:tcBorders>
          </w:tcPr>
          <w:p w14:paraId="38920AF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w:t>
            </w:r>
          </w:p>
        </w:tc>
        <w:tc>
          <w:tcPr>
            <w:tcW w:w="10065" w:type="dxa"/>
            <w:tcBorders>
              <w:top w:val="single" w:sz="4" w:space="0" w:color="auto"/>
              <w:left w:val="single" w:sz="4" w:space="0" w:color="auto"/>
              <w:bottom w:val="single" w:sz="4" w:space="0" w:color="auto"/>
              <w:right w:val="single" w:sz="4" w:space="0" w:color="auto"/>
            </w:tcBorders>
          </w:tcPr>
          <w:p w14:paraId="55BB00F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Nous n’avons envoyé, avant toi, messager ni prophète qui n’ait eu quelque désir que le Diable ait lancé dans son désir ! Puis, Dieu abroge ce que le Diable lance. Puis Dieu renforce Ses signes, - tandis que Dieu est savant, sage ;</w:t>
            </w:r>
          </w:p>
        </w:tc>
      </w:tr>
      <w:tr w:rsidR="00A70B78" w:rsidRPr="007C6A42" w14:paraId="382D844B" w14:textId="77777777" w:rsidTr="00AF4FC9">
        <w:tc>
          <w:tcPr>
            <w:tcW w:w="851" w:type="dxa"/>
            <w:tcBorders>
              <w:top w:val="single" w:sz="4" w:space="0" w:color="auto"/>
              <w:left w:val="single" w:sz="4" w:space="0" w:color="auto"/>
              <w:bottom w:val="single" w:sz="4" w:space="0" w:color="auto"/>
              <w:right w:val="single" w:sz="4" w:space="0" w:color="auto"/>
            </w:tcBorders>
          </w:tcPr>
          <w:p w14:paraId="1E51754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w:t>
            </w:r>
          </w:p>
        </w:tc>
        <w:tc>
          <w:tcPr>
            <w:tcW w:w="10065" w:type="dxa"/>
            <w:tcBorders>
              <w:top w:val="single" w:sz="4" w:space="0" w:color="auto"/>
              <w:left w:val="single" w:sz="4" w:space="0" w:color="auto"/>
              <w:bottom w:val="single" w:sz="4" w:space="0" w:color="auto"/>
              <w:right w:val="single" w:sz="4" w:space="0" w:color="auto"/>
            </w:tcBorders>
          </w:tcPr>
          <w:p w14:paraId="360D52C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envoyé avant toi ni prophète, ni apôtre sans que le Démon intervienne dans ses désirs. Mais Dieu abroge ce que lance le Démon. Dieu confirme ensuite ses Versets. Dieu est celui qui sait, il est sage.</w:t>
            </w:r>
          </w:p>
        </w:tc>
      </w:tr>
      <w:tr w:rsidR="00A70B78" w:rsidRPr="007C6A42" w14:paraId="58B85096" w14:textId="77777777" w:rsidTr="00AF4FC9">
        <w:tc>
          <w:tcPr>
            <w:tcW w:w="851" w:type="dxa"/>
            <w:tcBorders>
              <w:top w:val="single" w:sz="4" w:space="0" w:color="auto"/>
              <w:left w:val="single" w:sz="4" w:space="0" w:color="auto"/>
              <w:bottom w:val="single" w:sz="4" w:space="0" w:color="auto"/>
              <w:right w:val="single" w:sz="4" w:space="0" w:color="auto"/>
            </w:tcBorders>
          </w:tcPr>
          <w:p w14:paraId="45390F9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w:t>
            </w:r>
          </w:p>
        </w:tc>
        <w:tc>
          <w:tcPr>
            <w:tcW w:w="10065" w:type="dxa"/>
            <w:tcBorders>
              <w:top w:val="single" w:sz="4" w:space="0" w:color="auto"/>
              <w:left w:val="single" w:sz="4" w:space="0" w:color="auto"/>
              <w:bottom w:val="single" w:sz="4" w:space="0" w:color="auto"/>
              <w:right w:val="single" w:sz="4" w:space="0" w:color="auto"/>
            </w:tcBorders>
          </w:tcPr>
          <w:p w14:paraId="391794E8"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 xml:space="preserve">Nous n’avons envoyé, avant toi, aucun Envoyé, aucun Nabi sans que, lors d’un souhait, le Shaïtân n’attaque en son souhait. Mais Allah annule ce qu’attaque le Shaïtân. Allah confirme alors ses Signes, </w:t>
            </w:r>
            <w:r w:rsidRPr="007C6A42">
              <w:rPr>
                <w:rFonts w:asciiTheme="majorBidi" w:eastAsia="Times New Roman" w:hAnsiTheme="majorBidi" w:cstheme="majorBidi"/>
              </w:rPr>
              <w:lastRenderedPageBreak/>
              <w:t>Allah, savant, sage.</w:t>
            </w:r>
          </w:p>
        </w:tc>
      </w:tr>
      <w:tr w:rsidR="00A70B78" w:rsidRPr="007C6A42" w14:paraId="6E3B0EC1" w14:textId="77777777" w:rsidTr="00AF4FC9">
        <w:tc>
          <w:tcPr>
            <w:tcW w:w="851" w:type="dxa"/>
            <w:tcBorders>
              <w:top w:val="single" w:sz="4" w:space="0" w:color="auto"/>
              <w:left w:val="single" w:sz="4" w:space="0" w:color="auto"/>
              <w:bottom w:val="single" w:sz="4" w:space="0" w:color="auto"/>
              <w:right w:val="single" w:sz="4" w:space="0" w:color="auto"/>
            </w:tcBorders>
          </w:tcPr>
          <w:p w14:paraId="31F86F3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Ghéd.</w:t>
            </w:r>
          </w:p>
        </w:tc>
        <w:tc>
          <w:tcPr>
            <w:tcW w:w="10065" w:type="dxa"/>
            <w:tcBorders>
              <w:top w:val="single" w:sz="4" w:space="0" w:color="auto"/>
              <w:left w:val="single" w:sz="4" w:space="0" w:color="auto"/>
              <w:bottom w:val="single" w:sz="4" w:space="0" w:color="auto"/>
              <w:right w:val="single" w:sz="4" w:space="0" w:color="auto"/>
            </w:tcBorders>
          </w:tcPr>
          <w:p w14:paraId="22CEAFC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envoyé avant toi aucun Apôtre, aucun Prophète que le Démon ne troublât, dans la lecture du Livre révélé, par quelque addition étrange ; mais Dieu abroge ce que le Démon glisse et Il établit solidement Ses versets. Dieu est omniscient et sage.</w:t>
            </w:r>
          </w:p>
        </w:tc>
      </w:tr>
      <w:tr w:rsidR="00A70B78" w:rsidRPr="007C6A42" w14:paraId="52B40900" w14:textId="77777777" w:rsidTr="00AF4FC9">
        <w:tc>
          <w:tcPr>
            <w:tcW w:w="851" w:type="dxa"/>
            <w:tcBorders>
              <w:top w:val="single" w:sz="4" w:space="0" w:color="auto"/>
              <w:left w:val="single" w:sz="4" w:space="0" w:color="auto"/>
              <w:bottom w:val="single" w:sz="4" w:space="0" w:color="auto"/>
              <w:right w:val="single" w:sz="4" w:space="0" w:color="auto"/>
            </w:tcBorders>
          </w:tcPr>
          <w:p w14:paraId="6AB206A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w:t>
            </w:r>
          </w:p>
        </w:tc>
        <w:tc>
          <w:tcPr>
            <w:tcW w:w="10065" w:type="dxa"/>
            <w:tcBorders>
              <w:top w:val="single" w:sz="4" w:space="0" w:color="auto"/>
              <w:left w:val="single" w:sz="4" w:space="0" w:color="auto"/>
              <w:bottom w:val="single" w:sz="4" w:space="0" w:color="auto"/>
              <w:right w:val="single" w:sz="4" w:space="0" w:color="auto"/>
            </w:tcBorders>
          </w:tcPr>
          <w:p w14:paraId="4AB667AC"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envoyé, avant toi, ni Messager ni prophète qui n’ait récité (ce qui lui a été révélé) sans que le Diable n’ait essayé d’intervenir [pour semer le doute dans le cœur des gens au sujet] de sa récitation. Allah abroge ce que le Diable suggère, et Allah renforce Ses versets. Allah est Omniscient et Sage.</w:t>
            </w:r>
          </w:p>
        </w:tc>
      </w:tr>
      <w:tr w:rsidR="00A70B78" w:rsidRPr="007C6A42" w14:paraId="6FB595EF" w14:textId="77777777" w:rsidTr="00AF4FC9">
        <w:tc>
          <w:tcPr>
            <w:tcW w:w="851" w:type="dxa"/>
            <w:tcBorders>
              <w:top w:val="single" w:sz="4" w:space="0" w:color="auto"/>
              <w:left w:val="single" w:sz="4" w:space="0" w:color="auto"/>
              <w:bottom w:val="single" w:sz="4" w:space="0" w:color="auto"/>
              <w:right w:val="single" w:sz="4" w:space="0" w:color="auto"/>
            </w:tcBorders>
          </w:tcPr>
          <w:p w14:paraId="5FCA24D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w:t>
            </w:r>
          </w:p>
        </w:tc>
        <w:tc>
          <w:tcPr>
            <w:tcW w:w="10065" w:type="dxa"/>
            <w:tcBorders>
              <w:top w:val="single" w:sz="4" w:space="0" w:color="auto"/>
              <w:left w:val="single" w:sz="4" w:space="0" w:color="auto"/>
              <w:bottom w:val="single" w:sz="4" w:space="0" w:color="auto"/>
              <w:right w:val="single" w:sz="4" w:space="0" w:color="auto"/>
            </w:tcBorders>
          </w:tcPr>
          <w:p w14:paraId="68F3E56E"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Nous n’avons pas envoyé avant toi d’envoyé ou de prophète en qui Satan, quand ils éprouvaient une aspiration, n’y mêlât de ses projections. Mais Dieu abroge les projections de Satan, et de plus rend péremptoires Ses propres signes… - Dieu est Connaisseur et Sage.</w:t>
            </w:r>
          </w:p>
        </w:tc>
      </w:tr>
      <w:tr w:rsidR="00A70B78" w:rsidRPr="007C6A42" w14:paraId="7E4BF1B0" w14:textId="77777777" w:rsidTr="00AF4FC9">
        <w:tc>
          <w:tcPr>
            <w:tcW w:w="851" w:type="dxa"/>
            <w:tcBorders>
              <w:top w:val="single" w:sz="4" w:space="0" w:color="auto"/>
              <w:left w:val="single" w:sz="4" w:space="0" w:color="auto"/>
              <w:bottom w:val="single" w:sz="4" w:space="0" w:color="auto"/>
              <w:right w:val="single" w:sz="4" w:space="0" w:color="auto"/>
            </w:tcBorders>
          </w:tcPr>
          <w:p w14:paraId="2445DE0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w:t>
            </w:r>
          </w:p>
        </w:tc>
        <w:tc>
          <w:tcPr>
            <w:tcW w:w="10065" w:type="dxa"/>
            <w:tcBorders>
              <w:top w:val="single" w:sz="4" w:space="0" w:color="auto"/>
              <w:left w:val="single" w:sz="4" w:space="0" w:color="auto"/>
              <w:bottom w:val="single" w:sz="4" w:space="0" w:color="auto"/>
              <w:right w:val="single" w:sz="4" w:space="0" w:color="auto"/>
            </w:tcBorders>
          </w:tcPr>
          <w:p w14:paraId="27634AB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Avant toi, Nous n’avons délégué ni Apôtre ni Envoyé</w:t>
            </w:r>
          </w:p>
          <w:p w14:paraId="27374E9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Sans que Satan ne jetât dans leur souhait, quand ils le formulaient, </w:t>
            </w:r>
          </w:p>
          <w:p w14:paraId="0FCDC79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Quelque mauvaise pensée ou quelque impureté.</w:t>
            </w:r>
          </w:p>
          <w:p w14:paraId="646F17E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Mais tout ce que le Démon a suscité est par DIEU abrogé.</w:t>
            </w:r>
          </w:p>
          <w:p w14:paraId="14F4617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ALLAH est savant et sage et Ses signes sont confirmés.</w:t>
            </w:r>
          </w:p>
        </w:tc>
      </w:tr>
      <w:tr w:rsidR="00A70B78" w:rsidRPr="007C6A42" w14:paraId="004B4709" w14:textId="77777777" w:rsidTr="00AF4FC9">
        <w:tc>
          <w:tcPr>
            <w:tcW w:w="851" w:type="dxa"/>
            <w:tcBorders>
              <w:top w:val="single" w:sz="4" w:space="0" w:color="auto"/>
              <w:left w:val="single" w:sz="4" w:space="0" w:color="auto"/>
              <w:bottom w:val="single" w:sz="4" w:space="0" w:color="auto"/>
              <w:right w:val="single" w:sz="4" w:space="0" w:color="auto"/>
            </w:tcBorders>
          </w:tcPr>
          <w:p w14:paraId="4283D683"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Haf.</w:t>
            </w:r>
          </w:p>
        </w:tc>
        <w:tc>
          <w:tcPr>
            <w:tcW w:w="10065" w:type="dxa"/>
            <w:tcBorders>
              <w:top w:val="single" w:sz="4" w:space="0" w:color="auto"/>
              <w:left w:val="single" w:sz="4" w:space="0" w:color="auto"/>
              <w:bottom w:val="single" w:sz="4" w:space="0" w:color="auto"/>
              <w:right w:val="single" w:sz="4" w:space="0" w:color="auto"/>
            </w:tcBorders>
          </w:tcPr>
          <w:p w14:paraId="56C936E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envoyé avant toi ni Messager ni Prophète sans que Satan ne fasse des suggestions coupables dans ses désirs ; mais Dieu abroge ce que le démon suggère. Dieu confirme ensuite Ses versets. Dieu est Omniscient et Sage.</w:t>
            </w:r>
          </w:p>
        </w:tc>
      </w:tr>
      <w:tr w:rsidR="00A70B78" w:rsidRPr="007C6A42" w14:paraId="441AE758" w14:textId="77777777" w:rsidTr="00AF4FC9">
        <w:tc>
          <w:tcPr>
            <w:tcW w:w="851" w:type="dxa"/>
            <w:tcBorders>
              <w:top w:val="single" w:sz="4" w:space="0" w:color="auto"/>
              <w:left w:val="single" w:sz="4" w:space="0" w:color="auto"/>
              <w:bottom w:val="single" w:sz="4" w:space="0" w:color="auto"/>
              <w:right w:val="single" w:sz="4" w:space="0" w:color="auto"/>
            </w:tcBorders>
          </w:tcPr>
          <w:p w14:paraId="62F0C9F5"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w:t>
            </w:r>
          </w:p>
        </w:tc>
        <w:tc>
          <w:tcPr>
            <w:tcW w:w="10065" w:type="dxa"/>
            <w:tcBorders>
              <w:top w:val="single" w:sz="4" w:space="0" w:color="auto"/>
              <w:left w:val="single" w:sz="4" w:space="0" w:color="auto"/>
              <w:bottom w:val="single" w:sz="4" w:space="0" w:color="auto"/>
              <w:right w:val="single" w:sz="4" w:space="0" w:color="auto"/>
            </w:tcBorders>
          </w:tcPr>
          <w:p w14:paraId="4A80A3D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jamais envoyé d’apôtres ou de prophètes avant toi sans que le satan intervienne dans les vœux qu’ils formulent. Mais Dieu abroge ce que lance le satan et il confirme ses versets, car Dieu sait, il est le sage.</w:t>
            </w:r>
          </w:p>
        </w:tc>
      </w:tr>
      <w:tr w:rsidR="00A70B78" w:rsidRPr="007C6A42" w14:paraId="675204F9" w14:textId="77777777" w:rsidTr="00AF4FC9">
        <w:tc>
          <w:tcPr>
            <w:tcW w:w="851" w:type="dxa"/>
            <w:tcBorders>
              <w:top w:val="single" w:sz="4" w:space="0" w:color="auto"/>
              <w:left w:val="single" w:sz="4" w:space="0" w:color="auto"/>
              <w:bottom w:val="single" w:sz="4" w:space="0" w:color="auto"/>
              <w:right w:val="single" w:sz="4" w:space="0" w:color="auto"/>
            </w:tcBorders>
          </w:tcPr>
          <w:p w14:paraId="5729EC3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w:t>
            </w:r>
          </w:p>
        </w:tc>
        <w:tc>
          <w:tcPr>
            <w:tcW w:w="10065" w:type="dxa"/>
            <w:tcBorders>
              <w:top w:val="single" w:sz="4" w:space="0" w:color="auto"/>
              <w:left w:val="single" w:sz="4" w:space="0" w:color="auto"/>
              <w:bottom w:val="single" w:sz="4" w:space="0" w:color="auto"/>
              <w:right w:val="single" w:sz="4" w:space="0" w:color="auto"/>
            </w:tcBorders>
          </w:tcPr>
          <w:p w14:paraId="7E56E9B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envoyé avant toi aucun messager ni prophète sans que le diable ait tenté d’altérer le sens des versets qui leur étaient révélés. Mais Dieu a toujours aboli les suggestions du diable et rétabli le sens véritable de Ses versets. Dieu est Omniscient et Sage.</w:t>
            </w:r>
          </w:p>
        </w:tc>
      </w:tr>
      <w:tr w:rsidR="00A70B78" w:rsidRPr="007C6A42" w14:paraId="294A622F" w14:textId="77777777" w:rsidTr="00AF4FC9">
        <w:tc>
          <w:tcPr>
            <w:tcW w:w="851" w:type="dxa"/>
            <w:tcBorders>
              <w:top w:val="single" w:sz="4" w:space="0" w:color="auto"/>
              <w:left w:val="single" w:sz="4" w:space="0" w:color="auto"/>
              <w:bottom w:val="single" w:sz="4" w:space="0" w:color="auto"/>
              <w:right w:val="single" w:sz="4" w:space="0" w:color="auto"/>
            </w:tcBorders>
          </w:tcPr>
          <w:p w14:paraId="5095B47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w:t>
            </w:r>
          </w:p>
        </w:tc>
        <w:tc>
          <w:tcPr>
            <w:tcW w:w="10065" w:type="dxa"/>
            <w:tcBorders>
              <w:top w:val="single" w:sz="4" w:space="0" w:color="auto"/>
              <w:left w:val="single" w:sz="4" w:space="0" w:color="auto"/>
              <w:bottom w:val="single" w:sz="4" w:space="0" w:color="auto"/>
              <w:right w:val="single" w:sz="4" w:space="0" w:color="auto"/>
            </w:tcBorders>
          </w:tcPr>
          <w:p w14:paraId="1A39750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Nous n’avons pas envoyé avant toi un seul prophète ou apôtre auquel Satan n’ait tenté de ravir ses espoirs. Mais Dieu décèle les tentatives de Satan. Puis il raffermit ses propres preuves. Il est savant et sage.</w:t>
            </w:r>
          </w:p>
        </w:tc>
      </w:tr>
      <w:tr w:rsidR="00A70B78" w:rsidRPr="007C6A42" w14:paraId="7204ADAB" w14:textId="77777777" w:rsidTr="00AF4FC9">
        <w:tc>
          <w:tcPr>
            <w:tcW w:w="851" w:type="dxa"/>
            <w:tcBorders>
              <w:top w:val="single" w:sz="4" w:space="0" w:color="auto"/>
              <w:left w:val="single" w:sz="4" w:space="0" w:color="auto"/>
              <w:bottom w:val="single" w:sz="4" w:space="0" w:color="auto"/>
              <w:right w:val="single" w:sz="4" w:space="0" w:color="auto"/>
            </w:tcBorders>
          </w:tcPr>
          <w:p w14:paraId="25A56F1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w:t>
            </w:r>
          </w:p>
        </w:tc>
        <w:tc>
          <w:tcPr>
            <w:tcW w:w="10065" w:type="dxa"/>
            <w:tcBorders>
              <w:top w:val="single" w:sz="4" w:space="0" w:color="auto"/>
              <w:left w:val="single" w:sz="4" w:space="0" w:color="auto"/>
              <w:bottom w:val="single" w:sz="4" w:space="0" w:color="auto"/>
              <w:right w:val="single" w:sz="4" w:space="0" w:color="auto"/>
            </w:tcBorders>
          </w:tcPr>
          <w:p w14:paraId="56A423F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 xml:space="preserve">D’ailleurs, Nous n’avons envoyé avant toi ni prophète ni messager sans que Satan intervienne pour les décourager et ruiner leurs espoirs. Mais Allah abolit ce que le démon apporte et impose. Ses propres </w:t>
            </w:r>
            <w:r w:rsidRPr="007C6A42">
              <w:rPr>
                <w:rFonts w:asciiTheme="majorBidi" w:eastAsia="Times New Roman" w:hAnsiTheme="majorBidi" w:cstheme="majorBidi"/>
              </w:rPr>
              <w:lastRenderedPageBreak/>
              <w:t>versets. Allah est Celui qui sait, Celui qui est sage.</w:t>
            </w:r>
          </w:p>
        </w:tc>
      </w:tr>
      <w:tr w:rsidR="00A70B78" w:rsidRPr="007C6A42" w14:paraId="418C0640" w14:textId="77777777" w:rsidTr="00AF4FC9">
        <w:tc>
          <w:tcPr>
            <w:tcW w:w="851" w:type="dxa"/>
            <w:tcBorders>
              <w:top w:val="single" w:sz="4" w:space="0" w:color="auto"/>
              <w:left w:val="single" w:sz="4" w:space="0" w:color="auto"/>
              <w:bottom w:val="single" w:sz="4" w:space="0" w:color="auto"/>
              <w:right w:val="single" w:sz="4" w:space="0" w:color="auto"/>
            </w:tcBorders>
          </w:tcPr>
          <w:p w14:paraId="38876B6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Abdel</w:t>
            </w:r>
          </w:p>
        </w:tc>
        <w:tc>
          <w:tcPr>
            <w:tcW w:w="10065" w:type="dxa"/>
            <w:tcBorders>
              <w:top w:val="single" w:sz="4" w:space="0" w:color="auto"/>
              <w:left w:val="single" w:sz="4" w:space="0" w:color="auto"/>
              <w:bottom w:val="single" w:sz="4" w:space="0" w:color="auto"/>
              <w:right w:val="single" w:sz="4" w:space="0" w:color="auto"/>
            </w:tcBorders>
          </w:tcPr>
          <w:p w14:paraId="3E2F8EF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Et Nous n’Avons point Envoyé avant toi de Messager ni de Prophète sans que, s’il désire quoi ce soit, Satan lui insufflât dans sa pensée. Alors qu’Allah Abroge ce qu’insuffle Satan, puis Allah Confirme Ses Versets. Allah Est Tout-Scient, Sage.</w:t>
            </w:r>
          </w:p>
        </w:tc>
      </w:tr>
      <w:tr w:rsidR="00A70B78" w:rsidRPr="007C6A42" w14:paraId="259E759E" w14:textId="77777777" w:rsidTr="00AF4FC9">
        <w:tc>
          <w:tcPr>
            <w:tcW w:w="851" w:type="dxa"/>
            <w:tcBorders>
              <w:top w:val="single" w:sz="4" w:space="0" w:color="auto"/>
              <w:left w:val="single" w:sz="4" w:space="0" w:color="auto"/>
              <w:bottom w:val="single" w:sz="4" w:space="0" w:color="auto"/>
              <w:right w:val="single" w:sz="4" w:space="0" w:color="auto"/>
            </w:tcBorders>
          </w:tcPr>
          <w:p w14:paraId="33D8966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w:t>
            </w:r>
          </w:p>
        </w:tc>
        <w:tc>
          <w:tcPr>
            <w:tcW w:w="10065" w:type="dxa"/>
            <w:tcBorders>
              <w:top w:val="single" w:sz="4" w:space="0" w:color="auto"/>
              <w:left w:val="single" w:sz="4" w:space="0" w:color="auto"/>
              <w:bottom w:val="single" w:sz="4" w:space="0" w:color="auto"/>
              <w:right w:val="single" w:sz="4" w:space="0" w:color="auto"/>
            </w:tcBorders>
          </w:tcPr>
          <w:p w14:paraId="170E960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lang w:eastAsia="fr-CH"/>
              </w:rPr>
              <w:t>Nous n’avons envoyé, avant toi, ni envoyé ni prophète qui ait souhaité sans que le satan n’ait lancé [le doute] dans son souhait. Dieu abroge ce que le satan lance, et puis Dieu rend décisifs ses signes. Dieu est connaisseur et sage.</w:t>
            </w:r>
          </w:p>
        </w:tc>
      </w:tr>
    </w:tbl>
    <w:p w14:paraId="4B12F787"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31AEDAAC" w14:textId="77777777" w:rsidR="00A70B78" w:rsidRPr="007C6A42" w:rsidRDefault="00A70B78" w:rsidP="00A70B78">
      <w:pPr>
        <w:spacing w:line="360" w:lineRule="auto"/>
        <w:ind w:firstLine="708"/>
        <w:contextualSpacing/>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L’ambiguïté dans ce verset 52 est due d’abord à l’omission des COD des deux verbes transitifs </w:t>
      </w:r>
      <w:r w:rsidRPr="007C6A42">
        <w:rPr>
          <w:rFonts w:asciiTheme="majorBidi" w:eastAsia="Times New Roman" w:hAnsiTheme="majorBidi" w:cstheme="majorBidi"/>
          <w:i/>
          <w:iCs/>
          <w:shd w:val="clear" w:color="auto" w:fill="FFFFFF"/>
          <w:lang w:bidi="ar-KW"/>
        </w:rPr>
        <w:t>tamannā</w:t>
      </w:r>
      <w:r w:rsidRPr="007C6A42">
        <w:rPr>
          <w:rFonts w:asciiTheme="majorBidi" w:eastAsia="Times New Roman" w:hAnsiTheme="majorBidi" w:cstheme="majorBidi"/>
          <w:shd w:val="clear" w:color="auto" w:fill="FFFFFF"/>
          <w:lang w:bidi="ar-KW"/>
        </w:rPr>
        <w:t xml:space="preserve"> et </w:t>
      </w:r>
      <w:r w:rsidRPr="007C6A42">
        <w:rPr>
          <w:rFonts w:asciiTheme="majorBidi" w:eastAsia="Times New Roman" w:hAnsiTheme="majorBidi" w:cstheme="majorBidi"/>
          <w:i/>
          <w:iCs/>
          <w:shd w:val="clear" w:color="auto" w:fill="FFFFFF"/>
          <w:lang w:bidi="ar-KW"/>
        </w:rPr>
        <w:t>ʾalqā</w:t>
      </w:r>
      <w:r w:rsidRPr="007C6A42">
        <w:rPr>
          <w:rFonts w:asciiTheme="majorBidi" w:eastAsia="Times New Roman" w:hAnsiTheme="majorBidi" w:cstheme="majorBidi"/>
          <w:shd w:val="clear" w:color="auto" w:fill="FFFFFF"/>
          <w:lang w:bidi="ar-KW"/>
        </w:rPr>
        <w:t xml:space="preserve">. Qui plus est, le sens de ces deux verbes n’est pas clair. </w:t>
      </w:r>
      <w:r w:rsidRPr="007C6A42">
        <w:rPr>
          <w:rFonts w:asciiTheme="majorBidi" w:eastAsia="Times New Roman" w:hAnsiTheme="majorBidi" w:cstheme="majorBidi"/>
        </w:rPr>
        <w:t xml:space="preserve">Le verbe </w:t>
      </w:r>
      <w:r w:rsidRPr="007C6A42">
        <w:rPr>
          <w:rFonts w:asciiTheme="majorBidi" w:eastAsia="Times New Roman" w:hAnsiTheme="majorBidi" w:cstheme="majorBidi"/>
          <w:i/>
          <w:iCs/>
        </w:rPr>
        <w:t>tamannā</w:t>
      </w:r>
      <w:r w:rsidRPr="007C6A42">
        <w:rPr>
          <w:rFonts w:asciiTheme="majorBidi" w:eastAsia="Times New Roman" w:hAnsiTheme="majorBidi" w:cstheme="majorBidi"/>
        </w:rPr>
        <w:t xml:space="preserve"> peut signifier : 1) il a désiré ; 2) il a monologué ; 3) il a raconté ; 4) il a lu ; 5) il a récité ; 6) il a aimé être accompagné de ʿAlī Fāṭima, Al-Ḥasan et Al-Ḥusayn ; etc.</w:t>
      </w:r>
      <w:r w:rsidRPr="007C6A42">
        <w:rPr>
          <w:rFonts w:asciiTheme="majorBidi" w:eastAsia="Times New Roman" w:hAnsiTheme="majorBidi" w:cstheme="majorBidi"/>
          <w:shd w:val="clear" w:color="auto" w:fill="FFFFFF"/>
          <w:lang w:bidi="ar-KW"/>
        </w:rPr>
        <w:t xml:space="preserve"> Ainsi, </w:t>
      </w:r>
      <w:r w:rsidRPr="007C6A42">
        <w:rPr>
          <w:rFonts w:asciiTheme="majorBidi" w:eastAsia="Times New Roman" w:hAnsiTheme="majorBidi" w:cstheme="majorBidi"/>
        </w:rPr>
        <w:t xml:space="preserve">le mot </w:t>
      </w:r>
      <w:r w:rsidRPr="007C6A42">
        <w:rPr>
          <w:rFonts w:asciiTheme="majorBidi" w:eastAsia="Times New Roman" w:hAnsiTheme="majorBidi" w:cstheme="majorBidi"/>
          <w:i/>
          <w:iCs/>
        </w:rPr>
        <w:t xml:space="preserve">ʾumnīyatihi </w:t>
      </w:r>
      <w:r w:rsidRPr="007C6A42">
        <w:rPr>
          <w:rFonts w:asciiTheme="majorBidi" w:eastAsia="Times New Roman" w:hAnsiTheme="majorBidi" w:cstheme="majorBidi"/>
        </w:rPr>
        <w:t>peut signifier : « son désir », « sa récitation », « sa lecture », « le cœur de celui que le prophète voulait guider », ou « le souhait du prophète d’être accompagné par sa fille, son gendre et leurs deux enfants », etc.</w:t>
      </w:r>
    </w:p>
    <w:p w14:paraId="1C07D027"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shd w:val="clear" w:color="auto" w:fill="FFFFFF"/>
          <w:lang w:bidi="ar-KW"/>
        </w:rPr>
        <w:t xml:space="preserve">Le verbe à l’accompli </w:t>
      </w:r>
      <w:r w:rsidRPr="007C6A42">
        <w:rPr>
          <w:rFonts w:asciiTheme="majorBidi" w:eastAsia="Times New Roman" w:hAnsiTheme="majorBidi" w:cstheme="majorBidi"/>
          <w:i/>
          <w:iCs/>
          <w:shd w:val="clear" w:color="auto" w:fill="FFFFFF"/>
          <w:lang w:bidi="ar-KW"/>
        </w:rPr>
        <w:t>tamannā</w:t>
      </w:r>
      <w:r w:rsidRPr="007C6A42">
        <w:rPr>
          <w:rFonts w:asciiTheme="majorBidi" w:eastAsia="Times New Roman" w:hAnsiTheme="majorBidi" w:cstheme="majorBidi"/>
          <w:shd w:val="clear" w:color="auto" w:fill="FFFFFF"/>
          <w:lang w:bidi="ar-KW"/>
        </w:rPr>
        <w:t xml:space="preserve"> est traduit :</w:t>
      </w:r>
    </w:p>
    <w:p w14:paraId="72C92F92" w14:textId="77777777" w:rsidR="00A70B78" w:rsidRPr="007C6A42" w:rsidRDefault="00A70B78" w:rsidP="00876BB0">
      <w:pPr>
        <w:pStyle w:val="Paragraphedeliste"/>
        <w:numPr>
          <w:ilvl w:val="0"/>
          <w:numId w:val="109"/>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shd w:val="clear" w:color="auto" w:fill="FFFFFF"/>
          <w:lang w:bidi="ar-KW"/>
        </w:rPr>
        <w:t>par un allongement et clarification :</w:t>
      </w:r>
    </w:p>
    <w:p w14:paraId="2B32F837" w14:textId="77777777" w:rsidR="00A70B78" w:rsidRPr="007C6A42" w:rsidRDefault="00A70B78" w:rsidP="00876BB0">
      <w:pPr>
        <w:pStyle w:val="Paragraphedeliste"/>
        <w:numPr>
          <w:ilvl w:val="0"/>
          <w:numId w:val="110"/>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shd w:val="clear" w:color="auto" w:fill="FFFFFF"/>
          <w:lang w:bidi="ar-KW"/>
        </w:rPr>
        <w:t>« </w:t>
      </w:r>
      <w:r w:rsidRPr="007C6A42">
        <w:rPr>
          <w:rFonts w:asciiTheme="majorBidi" w:hAnsiTheme="majorBidi" w:cstheme="majorBidi"/>
          <w:sz w:val="24"/>
          <w:szCs w:val="24"/>
        </w:rPr>
        <w:t>lire au peuple nos commandements »</w:t>
      </w:r>
      <w:r w:rsidRPr="007C6A42">
        <w:rPr>
          <w:rFonts w:asciiTheme="majorBidi" w:hAnsiTheme="majorBidi" w:cstheme="majorBidi"/>
          <w:sz w:val="24"/>
          <w:szCs w:val="24"/>
          <w:shd w:val="clear" w:color="auto" w:fill="FFFFFF"/>
          <w:lang w:bidi="ar-KW"/>
        </w:rPr>
        <w:t xml:space="preserve"> (Du Ryer),</w:t>
      </w:r>
    </w:p>
    <w:p w14:paraId="5D691957" w14:textId="77777777" w:rsidR="00A70B78" w:rsidRPr="007C6A42" w:rsidRDefault="00A70B78" w:rsidP="00876BB0">
      <w:pPr>
        <w:pStyle w:val="Paragraphedeliste"/>
        <w:numPr>
          <w:ilvl w:val="0"/>
          <w:numId w:val="110"/>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shd w:val="clear" w:color="auto" w:fill="FFFFFF"/>
          <w:lang w:bidi="ar-KW"/>
        </w:rPr>
        <w:t>« </w:t>
      </w:r>
      <w:r w:rsidRPr="007C6A42">
        <w:rPr>
          <w:rFonts w:asciiTheme="majorBidi" w:eastAsia="Calibri" w:hAnsiTheme="majorBidi" w:cstheme="majorBidi"/>
          <w:sz w:val="24"/>
          <w:szCs w:val="24"/>
        </w:rPr>
        <w:t>ils [</w:t>
      </w:r>
      <w:r w:rsidRPr="007C6A42">
        <w:rPr>
          <w:rFonts w:asciiTheme="majorBidi" w:eastAsia="Calibri" w:hAnsiTheme="majorBidi" w:cstheme="majorBidi"/>
          <w:i/>
          <w:sz w:val="24"/>
          <w:szCs w:val="24"/>
        </w:rPr>
        <w:t>le</w:t>
      </w:r>
      <w:r w:rsidRPr="007C6A42">
        <w:rPr>
          <w:rFonts w:asciiTheme="majorBidi" w:eastAsia="Calibri" w:hAnsiTheme="majorBidi" w:cstheme="majorBidi"/>
          <w:sz w:val="24"/>
          <w:szCs w:val="24"/>
        </w:rPr>
        <w:t>] formulaient</w:t>
      </w:r>
      <w:r w:rsidRPr="007C6A42">
        <w:rPr>
          <w:rFonts w:asciiTheme="majorBidi" w:hAnsiTheme="majorBidi" w:cstheme="majorBidi"/>
          <w:sz w:val="24"/>
          <w:szCs w:val="24"/>
          <w:shd w:val="clear" w:color="auto" w:fill="FFFFFF"/>
          <w:lang w:bidi="ar-KW"/>
        </w:rPr>
        <w:t> » (Blachère),</w:t>
      </w:r>
    </w:p>
    <w:p w14:paraId="23FE03C3" w14:textId="77777777" w:rsidR="00A70B78" w:rsidRPr="007C6A42" w:rsidRDefault="00A70B78" w:rsidP="00876BB0">
      <w:pPr>
        <w:pStyle w:val="Paragraphedeliste"/>
        <w:numPr>
          <w:ilvl w:val="0"/>
          <w:numId w:val="110"/>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shd w:val="clear" w:color="auto" w:fill="FFFFFF"/>
          <w:lang w:bidi="ar-KW"/>
        </w:rPr>
        <w:t>« </w:t>
      </w:r>
      <w:r w:rsidRPr="007C6A42">
        <w:rPr>
          <w:rFonts w:asciiTheme="majorBidi" w:hAnsiTheme="majorBidi" w:cstheme="majorBidi"/>
          <w:sz w:val="24"/>
          <w:szCs w:val="24"/>
        </w:rPr>
        <w:t>n’ait eu quelque désir » (avec note explicative) (Hamidullah),</w:t>
      </w:r>
    </w:p>
    <w:p w14:paraId="62E30B8E" w14:textId="77777777" w:rsidR="00A70B78" w:rsidRPr="007C6A42" w:rsidRDefault="00A70B78" w:rsidP="00876BB0">
      <w:pPr>
        <w:pStyle w:val="Paragraphedeliste"/>
        <w:numPr>
          <w:ilvl w:val="0"/>
          <w:numId w:val="110"/>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rPr>
        <w:t>« n’ait récité (ce qui lui a été révélé) » (Complexe de Médine),</w:t>
      </w:r>
    </w:p>
    <w:p w14:paraId="3B3F3DDF" w14:textId="77777777" w:rsidR="00A70B78" w:rsidRPr="007C6A42" w:rsidRDefault="00A70B78" w:rsidP="00876BB0">
      <w:pPr>
        <w:pStyle w:val="Paragraphedeliste"/>
        <w:numPr>
          <w:ilvl w:val="0"/>
          <w:numId w:val="110"/>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rPr>
        <w:t>« </w:t>
      </w:r>
      <w:r w:rsidRPr="007C6A42">
        <w:rPr>
          <w:rFonts w:asciiTheme="majorBidi" w:eastAsia="Calibri" w:hAnsiTheme="majorBidi" w:cstheme="majorBidi"/>
          <w:sz w:val="24"/>
          <w:szCs w:val="24"/>
          <w:lang w:bidi="ar-AE"/>
        </w:rPr>
        <w:t xml:space="preserve">ils éprouvaient une aspiration » (avec une longue </w:t>
      </w:r>
      <w:r w:rsidRPr="007C6A42">
        <w:rPr>
          <w:rFonts w:asciiTheme="majorBidi" w:hAnsiTheme="majorBidi" w:cstheme="majorBidi"/>
          <w:sz w:val="24"/>
          <w:szCs w:val="24"/>
        </w:rPr>
        <w:t>note explicative</w:t>
      </w:r>
      <w:r w:rsidRPr="007C6A42">
        <w:rPr>
          <w:rFonts w:asciiTheme="majorBidi" w:eastAsia="Calibri" w:hAnsiTheme="majorBidi" w:cstheme="majorBidi"/>
          <w:sz w:val="24"/>
          <w:szCs w:val="24"/>
          <w:lang w:bidi="ar-AE"/>
        </w:rPr>
        <w:t>) (Berque</w:t>
      </w:r>
      <w:r w:rsidRPr="007C6A42">
        <w:rPr>
          <w:rFonts w:asciiTheme="majorBidi" w:hAnsiTheme="majorBidi" w:cstheme="majorBidi"/>
          <w:sz w:val="24"/>
          <w:szCs w:val="24"/>
        </w:rPr>
        <w:t>),</w:t>
      </w:r>
    </w:p>
    <w:p w14:paraId="04357473" w14:textId="77777777" w:rsidR="00A70B78" w:rsidRPr="007C6A42" w:rsidRDefault="00A70B78" w:rsidP="00876BB0">
      <w:pPr>
        <w:pStyle w:val="Paragraphedeliste"/>
        <w:numPr>
          <w:ilvl w:val="0"/>
          <w:numId w:val="110"/>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rPr>
        <w:t>« ils le formulaient » (Guessous).</w:t>
      </w:r>
    </w:p>
    <w:p w14:paraId="11C10A7D" w14:textId="77777777" w:rsidR="00A70B78" w:rsidRPr="007C6A42" w:rsidRDefault="00A70B78" w:rsidP="00876BB0">
      <w:pPr>
        <w:pStyle w:val="Paragraphedeliste"/>
        <w:numPr>
          <w:ilvl w:val="0"/>
          <w:numId w:val="109"/>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rPr>
        <w:t>Littéralement : 1) « lors d’un souhait » (Chouraqui), 2) « il désire » (Abdelaziz), 3) « </w:t>
      </w:r>
      <w:r w:rsidRPr="007C6A42">
        <w:rPr>
          <w:rFonts w:asciiTheme="majorBidi" w:hAnsiTheme="majorBidi" w:cstheme="majorBidi"/>
          <w:sz w:val="24"/>
          <w:szCs w:val="24"/>
          <w:lang w:eastAsia="fr-CH"/>
        </w:rPr>
        <w:t>ait souhaité » (Aldeeb).</w:t>
      </w:r>
    </w:p>
    <w:p w14:paraId="35BC256B" w14:textId="77777777" w:rsidR="00A70B78" w:rsidRPr="007C6A42" w:rsidRDefault="00A70B78" w:rsidP="00876BB0">
      <w:pPr>
        <w:pStyle w:val="Paragraphedeliste"/>
        <w:numPr>
          <w:ilvl w:val="0"/>
          <w:numId w:val="109"/>
        </w:numPr>
        <w:bidi w:val="0"/>
        <w:spacing w:line="360" w:lineRule="auto"/>
        <w:contextualSpacing/>
        <w:jc w:val="both"/>
        <w:rPr>
          <w:rFonts w:asciiTheme="majorBidi" w:eastAsia="Calibri" w:hAnsiTheme="majorBidi" w:cstheme="majorBidi"/>
          <w:sz w:val="24"/>
          <w:szCs w:val="24"/>
          <w:lang w:bidi="ar-AE"/>
        </w:rPr>
      </w:pPr>
      <w:r w:rsidRPr="007C6A42">
        <w:rPr>
          <w:rFonts w:asciiTheme="majorBidi" w:hAnsiTheme="majorBidi" w:cstheme="majorBidi"/>
          <w:sz w:val="24"/>
          <w:szCs w:val="24"/>
          <w:lang w:eastAsia="fr-CH"/>
        </w:rPr>
        <w:t xml:space="preserve">Mais </w:t>
      </w:r>
      <w:r w:rsidRPr="007C6A42">
        <w:rPr>
          <w:rFonts w:asciiTheme="majorBidi" w:hAnsiTheme="majorBidi" w:cstheme="majorBidi"/>
          <w:sz w:val="24"/>
          <w:szCs w:val="24"/>
          <w:shd w:val="clear" w:color="auto" w:fill="FFFFFF"/>
          <w:lang w:bidi="ar-KW"/>
        </w:rPr>
        <w:t xml:space="preserve">il est négligé par Savary, Kazimirski, Masson, Ghédira, Hafiane, Grosjean, Chiadmi, Ben Mahmoud et Chebel, comme s’ils le considèrent comme redondant dans la phrase arabe. </w:t>
      </w:r>
      <w:r w:rsidRPr="007C6A42">
        <w:rPr>
          <w:rFonts w:asciiTheme="majorBidi" w:hAnsiTheme="majorBidi" w:cstheme="majorBidi"/>
          <w:sz w:val="24"/>
          <w:szCs w:val="24"/>
        </w:rPr>
        <w:t xml:space="preserve">Le sens chiite a été négligé par </w:t>
      </w:r>
      <w:r w:rsidRPr="007C6A42">
        <w:rPr>
          <w:rFonts w:asciiTheme="majorBidi" w:hAnsiTheme="majorBidi" w:cstheme="majorBidi"/>
          <w:sz w:val="24"/>
          <w:szCs w:val="24"/>
          <w:shd w:val="clear" w:color="auto" w:fill="FFFFFF"/>
          <w:lang w:bidi="ar-KW"/>
        </w:rPr>
        <w:t>toutes les traductions qui ont reflété en partie l’exégèse sunnite.</w:t>
      </w:r>
    </w:p>
    <w:p w14:paraId="0DF442B4"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lastRenderedPageBreak/>
        <w:t xml:space="preserve">Le verbe </w:t>
      </w:r>
      <w:r w:rsidRPr="007C6A42">
        <w:rPr>
          <w:rFonts w:asciiTheme="majorBidi" w:eastAsia="Times New Roman" w:hAnsiTheme="majorBidi" w:cstheme="majorBidi"/>
          <w:i/>
          <w:iCs/>
          <w:shd w:val="clear" w:color="auto" w:fill="FFFFFF"/>
          <w:lang w:bidi="ar-KW"/>
        </w:rPr>
        <w:t>alqā</w:t>
      </w:r>
      <w:r w:rsidRPr="007C6A42">
        <w:rPr>
          <w:rFonts w:asciiTheme="majorBidi" w:eastAsia="Times New Roman" w:hAnsiTheme="majorBidi" w:cstheme="majorBidi"/>
          <w:shd w:val="clear" w:color="auto" w:fill="FFFFFF"/>
          <w:lang w:bidi="ar-KW"/>
        </w:rPr>
        <w:t xml:space="preserve"> [jeter, lancer] n’est pas expliqué par les exégètes comme si le sens était évident ; alors que, selon Al-Baghawī, les exégètes se sont divisés en ce qui concerne la façon par laquelle Satan a jeté quoi ce soit : Est-ce que c’est pendant ou en dehors de la prière ? Est-ce que c’est quand le prophète a sommeillé, ou quand il a récité des versets par distraction ? Est-ce que le prophète a vraiment récité la parole de Satan ou bien c’est le Satan qui l’a prononcé ? Et comment ? Ces trois vides (i. e. l’omission des deux COD et la manière de jeter par Satan) donnent lieu à la polysémie. Ce qui a permis aux exégètes de donner au moins quatre</w:t>
      </w:r>
      <w:r w:rsidRPr="007C6A42">
        <w:rPr>
          <w:rFonts w:asciiTheme="majorBidi" w:eastAsia="Times New Roman" w:hAnsiTheme="majorBidi" w:cstheme="majorBidi"/>
        </w:rPr>
        <w:t xml:space="preserve"> interprétations principales, comme nous l’avons vu : 1) l’incident des</w:t>
      </w:r>
      <w:r w:rsidRPr="007C6A42">
        <w:rPr>
          <w:rFonts w:asciiTheme="majorBidi" w:eastAsia="Times New Roman" w:hAnsiTheme="majorBidi" w:cstheme="majorBidi"/>
          <w:i/>
          <w:iCs/>
        </w:rPr>
        <w:t xml:space="preserve"> gharānīq </w:t>
      </w:r>
      <w:r w:rsidRPr="007C6A42">
        <w:rPr>
          <w:rFonts w:asciiTheme="majorBidi" w:eastAsia="Times New Roman" w:hAnsiTheme="majorBidi" w:cstheme="majorBidi"/>
        </w:rPr>
        <w:t>(exégèse sunnite) ; 2) le souhait du Prophète d’être accompagné par ʿAlī puis l’arrivée des deux adversaires hypocrites (exégèse chiite) ; 3) les obstacles mis par Satan (exégèse sunnite moderne) ; 4) la victoire de Muḥammad contre toutes les religions (exégèse ahmadie).</w:t>
      </w:r>
      <w:r w:rsidRPr="007C6A42">
        <w:rPr>
          <w:rFonts w:asciiTheme="majorBidi" w:eastAsia="Times New Roman" w:hAnsiTheme="majorBidi" w:cstheme="majorBidi"/>
          <w:shd w:val="clear" w:color="auto" w:fill="FFFFFF"/>
          <w:lang w:bidi="ar-KW"/>
        </w:rPr>
        <w:t xml:space="preserve"> Toutes les traductions en français ont reflété en partie l’exégèse sunnite.</w:t>
      </w:r>
    </w:p>
    <w:p w14:paraId="6EAFBC25"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66D1BF97"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Neuf traducteurs ont omis la traduction de la proposition subordonnée de temps « </w:t>
      </w:r>
      <w:r w:rsidRPr="007C6A42">
        <w:rPr>
          <w:rFonts w:asciiTheme="majorBidi" w:eastAsia="Times New Roman" w:hAnsiTheme="majorBidi" w:cstheme="majorBidi"/>
          <w:i/>
          <w:iCs/>
          <w:shd w:val="clear" w:color="auto" w:fill="FFFFFF"/>
          <w:lang w:bidi="ar-KW"/>
        </w:rPr>
        <w:t>idhā tamannā</w:t>
      </w:r>
      <w:r w:rsidRPr="007C6A42">
        <w:rPr>
          <w:rFonts w:asciiTheme="majorBidi" w:eastAsia="Times New Roman" w:hAnsiTheme="majorBidi" w:cstheme="majorBidi"/>
          <w:shd w:val="clear" w:color="auto" w:fill="FFFFFF"/>
          <w:lang w:bidi="ar-KW"/>
        </w:rPr>
        <w:t> » [lorsqu’il désire (quelque chose)] comme si elle n’était qu’un élément circonstanciel de la phrase.</w:t>
      </w:r>
      <w:r w:rsidRPr="007C6A42">
        <w:rPr>
          <w:rFonts w:asciiTheme="majorBidi" w:eastAsia="Times New Roman" w:hAnsiTheme="majorBidi" w:cstheme="majorBidi"/>
          <w:shd w:val="clear" w:color="auto" w:fill="FFFFFF"/>
        </w:rPr>
        <w:t xml:space="preserve"> D’habitude, les traducteurs ont tendance à combler les vides, à allonger la traduction ; ici nous voyons la tendance de "l’appauvrissement quantitatif."</w:t>
      </w:r>
      <w:r w:rsidRPr="007C6A42">
        <w:rPr>
          <w:rFonts w:asciiTheme="majorBidi" w:eastAsia="Times New Roman" w:hAnsiTheme="majorBidi" w:cstheme="majorBidi"/>
          <w:shd w:val="clear" w:color="auto" w:fill="FFFFFF"/>
          <w:lang w:bidi="ar-KW"/>
        </w:rPr>
        <w:t xml:space="preserve"> De plus, ceux qui la traduisent, ils ont traduit littéralement le temps du verbe </w:t>
      </w:r>
      <w:r w:rsidRPr="007C6A42">
        <w:rPr>
          <w:rFonts w:asciiTheme="majorBidi" w:eastAsia="Times New Roman" w:hAnsiTheme="majorBidi" w:cstheme="majorBidi"/>
          <w:i/>
          <w:iCs/>
          <w:shd w:val="clear" w:color="auto" w:fill="FFFFFF"/>
          <w:lang w:bidi="ar-KW"/>
        </w:rPr>
        <w:t xml:space="preserve">tamannā </w:t>
      </w:r>
      <w:r w:rsidRPr="007C6A42">
        <w:rPr>
          <w:rFonts w:asciiTheme="majorBidi" w:eastAsia="Times New Roman" w:hAnsiTheme="majorBidi" w:cstheme="majorBidi"/>
          <w:shd w:val="clear" w:color="auto" w:fill="FFFFFF"/>
          <w:lang w:bidi="ar-KW"/>
        </w:rPr>
        <w:t>(forme de l’accompli) : « ils [le] formulaient » (Blachère) ; « n’ait eu quelque désir » (Hamidullah) ; « n’ait récité (ce qui lui a été révélé) » (Complexe de Médine) ; « ils éprouvaient une aspiration » (Berque) ; « ils le formulaient » (Guessous) ; « qui ait souhaité » (Aldeeb). Cette traduction du verbe au passé n’est pas juste car le verbe arabe prend certes, après la particule</w:t>
      </w:r>
      <w:r w:rsidRPr="007C6A42">
        <w:rPr>
          <w:rFonts w:asciiTheme="majorBidi" w:eastAsia="Times New Roman" w:hAnsiTheme="majorBidi" w:cstheme="majorBidi"/>
          <w:i/>
          <w:iCs/>
          <w:shd w:val="clear" w:color="auto" w:fill="FFFFFF"/>
          <w:lang w:bidi="ar-KW"/>
        </w:rPr>
        <w:t xml:space="preserve"> idhā</w:t>
      </w:r>
      <w:r w:rsidRPr="007C6A42">
        <w:rPr>
          <w:rFonts w:asciiTheme="majorBidi" w:eastAsia="Times New Roman" w:hAnsiTheme="majorBidi" w:cstheme="majorBidi"/>
          <w:shd w:val="clear" w:color="auto" w:fill="FFFFFF"/>
          <w:lang w:bidi="ar-KW"/>
        </w:rPr>
        <w:t>, la forme de l’accompli, mais il désigne le présent ou le futur. Seule Abdelaziz donne la traduction juste du temps du verbe (il désire).</w:t>
      </w:r>
    </w:p>
    <w:p w14:paraId="17AFF048"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53A1A743"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Seuls Du Ryer (1647), Ghédira (1957) et le Complexe de Médine (2001) ont traduit </w:t>
      </w:r>
      <w:r w:rsidRPr="007C6A42">
        <w:rPr>
          <w:rFonts w:asciiTheme="majorBidi" w:eastAsia="Times New Roman" w:hAnsiTheme="majorBidi" w:cstheme="majorBidi"/>
          <w:i/>
          <w:iCs/>
          <w:shd w:val="clear" w:color="auto" w:fill="FFFFFF"/>
          <w:lang w:bidi="ar-KW"/>
        </w:rPr>
        <w:t>tamannā</w:t>
      </w:r>
      <w:r w:rsidRPr="007C6A42">
        <w:rPr>
          <w:rFonts w:asciiTheme="majorBidi" w:eastAsia="Times New Roman" w:hAnsiTheme="majorBidi" w:cstheme="majorBidi"/>
          <w:shd w:val="clear" w:color="auto" w:fill="FFFFFF"/>
          <w:lang w:bidi="ar-KW"/>
        </w:rPr>
        <w:t xml:space="preserve"> (et </w:t>
      </w:r>
      <w:r w:rsidRPr="007C6A42">
        <w:rPr>
          <w:rFonts w:asciiTheme="majorBidi" w:eastAsia="Times New Roman" w:hAnsiTheme="majorBidi" w:cstheme="majorBidi"/>
          <w:i/>
          <w:iCs/>
        </w:rPr>
        <w:t>umnīyatihi</w:t>
      </w:r>
      <w:r w:rsidRPr="007C6A42">
        <w:rPr>
          <w:rFonts w:asciiTheme="majorBidi" w:eastAsia="Times New Roman" w:hAnsiTheme="majorBidi" w:cstheme="majorBidi"/>
          <w:shd w:val="clear" w:color="auto" w:fill="FFFFFF"/>
          <w:lang w:bidi="ar-KW"/>
        </w:rPr>
        <w:t>) par « lire » (et « lecture du Livre révélé ») et « ait récité (ce qui lui a été révélé) ». Les autres traducteurs ont opté pour « souhait », « désir », aspiration », « espoir », « pensée ». Cependant, l’</w:t>
      </w:r>
      <w:r w:rsidRPr="007C6A42">
        <w:rPr>
          <w:rFonts w:asciiTheme="majorBidi" w:eastAsia="Times New Roman" w:hAnsiTheme="majorBidi" w:cstheme="majorBidi"/>
          <w:i/>
          <w:iCs/>
          <w:shd w:val="clear" w:color="auto" w:fill="FFFFFF"/>
          <w:lang w:bidi="ar-KW"/>
        </w:rPr>
        <w:t>Al-Muntakhab fī tafsīr al-Qurʾān</w:t>
      </w:r>
      <w:r w:rsidRPr="007C6A42">
        <w:rPr>
          <w:rFonts w:asciiTheme="majorBidi" w:eastAsia="Times New Roman" w:hAnsiTheme="majorBidi" w:cstheme="majorBidi"/>
          <w:shd w:val="clear" w:color="auto" w:fill="FFFFFF"/>
          <w:lang w:bidi="ar-KW"/>
        </w:rPr>
        <w:t xml:space="preserve"> d’Al-Azhar, une exégèse officielle (18</w:t>
      </w:r>
      <w:r w:rsidRPr="007C6A42">
        <w:rPr>
          <w:rFonts w:asciiTheme="majorBidi" w:eastAsia="Times New Roman" w:hAnsiTheme="majorBidi" w:cstheme="majorBidi"/>
          <w:shd w:val="clear" w:color="auto" w:fill="FFFFFF"/>
          <w:vertAlign w:val="superscript"/>
          <w:lang w:bidi="ar-KW"/>
        </w:rPr>
        <w:t>ème</w:t>
      </w:r>
      <w:r w:rsidRPr="007C6A42">
        <w:rPr>
          <w:rFonts w:asciiTheme="majorBidi" w:eastAsia="Times New Roman" w:hAnsiTheme="majorBidi" w:cstheme="majorBidi"/>
          <w:shd w:val="clear" w:color="auto" w:fill="FFFFFF"/>
          <w:lang w:bidi="ar-KW"/>
        </w:rPr>
        <w:t xml:space="preserve"> éd., 1995) a adopté le sens de « lire » sans mentionner l’histoire de </w:t>
      </w:r>
      <w:r w:rsidRPr="007C6A42">
        <w:rPr>
          <w:rFonts w:asciiTheme="majorBidi" w:eastAsia="Times New Roman" w:hAnsiTheme="majorBidi" w:cstheme="majorBidi"/>
          <w:i/>
          <w:iCs/>
          <w:shd w:val="clear" w:color="auto" w:fill="FFFFFF"/>
          <w:lang w:bidi="ar-KW"/>
        </w:rPr>
        <w:t>qharānīq</w:t>
      </w:r>
      <w:r w:rsidRPr="007C6A42">
        <w:rPr>
          <w:rFonts w:asciiTheme="majorBidi" w:eastAsia="Times New Roman" w:hAnsiTheme="majorBidi" w:cstheme="majorBidi"/>
          <w:shd w:val="clear" w:color="auto" w:fill="FFFFFF"/>
          <w:lang w:bidi="ar-KW"/>
        </w:rPr>
        <w:t xml:space="preserve"> que Kazimirski et Berque ont souligné dans une NDT.</w:t>
      </w:r>
    </w:p>
    <w:p w14:paraId="7B9A9C83"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7573525C"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Pour clarifier le sens, les traducteurs ont ajouté un COD pour le verbe « </w:t>
      </w:r>
      <w:r w:rsidRPr="007C6A42">
        <w:rPr>
          <w:rFonts w:asciiTheme="majorBidi" w:eastAsia="Times New Roman" w:hAnsiTheme="majorBidi" w:cstheme="majorBidi"/>
          <w:i/>
          <w:iCs/>
          <w:shd w:val="clear" w:color="auto" w:fill="FFFFFF"/>
          <w:lang w:bidi="ar-KW"/>
        </w:rPr>
        <w:t>ʾalqā</w:t>
      </w:r>
      <w:r w:rsidRPr="007C6A42">
        <w:rPr>
          <w:rFonts w:asciiTheme="majorBidi" w:eastAsia="Times New Roman" w:hAnsiTheme="majorBidi" w:cstheme="majorBidi"/>
          <w:shd w:val="clear" w:color="auto" w:fill="FFFFFF"/>
          <w:lang w:bidi="ar-KW"/>
        </w:rPr>
        <w:t> »</w:t>
      </w:r>
      <w:r w:rsidRPr="007C6A42">
        <w:rPr>
          <w:rFonts w:asciiTheme="majorBidi" w:eastAsia="Times New Roman" w:hAnsiTheme="majorBidi" w:cstheme="majorBidi"/>
          <w:i/>
          <w:iCs/>
          <w:shd w:val="clear" w:color="auto" w:fill="FFFFFF"/>
          <w:lang w:bidi="ar-KW"/>
        </w:rPr>
        <w:t xml:space="preserve"> </w:t>
      </w:r>
      <w:r w:rsidRPr="007C6A42">
        <w:rPr>
          <w:rFonts w:asciiTheme="majorBidi" w:eastAsia="Times New Roman" w:hAnsiTheme="majorBidi" w:cstheme="majorBidi"/>
          <w:shd w:val="clear" w:color="auto" w:fill="FFFFFF"/>
          <w:lang w:bidi="ar-KW"/>
        </w:rPr>
        <w:t>[lancer, jeter, suggérer] ou un complément de phrase : « plusieurs choses qui ne sont pas dans l’Alcoran », « des erreurs dans leur doctrine », « des erreurs dans la lecture d’un livre divin », « </w:t>
      </w:r>
      <w:r w:rsidRPr="007C6A42">
        <w:rPr>
          <w:rFonts w:asciiTheme="majorBidi" w:eastAsia="Times New Roman" w:hAnsiTheme="majorBidi" w:cstheme="majorBidi"/>
        </w:rPr>
        <w:t xml:space="preserve">quelque désir », </w:t>
      </w:r>
      <w:r w:rsidRPr="007C6A42">
        <w:rPr>
          <w:rFonts w:asciiTheme="majorBidi" w:eastAsia="Times New Roman" w:hAnsiTheme="majorBidi" w:cstheme="majorBidi"/>
          <w:shd w:val="clear" w:color="auto" w:fill="FFFFFF"/>
          <w:lang w:bidi="ar-KW"/>
        </w:rPr>
        <w:t>« </w:t>
      </w:r>
      <w:r w:rsidRPr="007C6A42">
        <w:rPr>
          <w:rFonts w:asciiTheme="majorBidi" w:eastAsia="Times New Roman" w:hAnsiTheme="majorBidi" w:cstheme="majorBidi"/>
        </w:rPr>
        <w:t>[</w:t>
      </w:r>
      <w:r w:rsidRPr="007C6A42">
        <w:rPr>
          <w:rFonts w:asciiTheme="majorBidi" w:eastAsia="Times New Roman" w:hAnsiTheme="majorBidi" w:cstheme="majorBidi"/>
          <w:i/>
        </w:rPr>
        <w:t>l’impureté</w:t>
      </w:r>
      <w:r w:rsidRPr="007C6A42">
        <w:rPr>
          <w:rFonts w:asciiTheme="majorBidi" w:eastAsia="Times New Roman" w:hAnsiTheme="majorBidi" w:cstheme="majorBidi"/>
        </w:rPr>
        <w:t xml:space="preserve"> ( ?)]</w:t>
      </w:r>
      <w:r w:rsidRPr="007C6A42">
        <w:rPr>
          <w:rFonts w:asciiTheme="majorBidi" w:eastAsia="Times New Roman" w:hAnsiTheme="majorBidi" w:cstheme="majorBidi"/>
          <w:shd w:val="clear" w:color="auto" w:fill="FFFFFF"/>
          <w:lang w:bidi="ar-KW"/>
        </w:rPr>
        <w:t> », « par quelque addition étrange, « </w:t>
      </w:r>
      <w:r w:rsidRPr="007C6A42">
        <w:rPr>
          <w:rFonts w:asciiTheme="majorBidi" w:eastAsia="Times New Roman" w:hAnsiTheme="majorBidi" w:cstheme="majorBidi"/>
        </w:rPr>
        <w:t>[pour semer le doute dans le cœur des gens au sujet] de sa récitation</w:t>
      </w:r>
      <w:r w:rsidRPr="007C6A42">
        <w:rPr>
          <w:rFonts w:asciiTheme="majorBidi" w:eastAsia="Times New Roman" w:hAnsiTheme="majorBidi" w:cstheme="majorBidi"/>
          <w:shd w:val="clear" w:color="auto" w:fill="FFFFFF"/>
          <w:lang w:bidi="ar-KW"/>
        </w:rPr>
        <w:t xml:space="preserve"> », « ses projections », « des suggestions coupables », « [le doute] », </w:t>
      </w:r>
      <w:r w:rsidRPr="007C6A42">
        <w:rPr>
          <w:rFonts w:asciiTheme="majorBidi" w:eastAsia="Times New Roman" w:hAnsiTheme="majorBidi" w:cstheme="majorBidi"/>
        </w:rPr>
        <w:t>« Quelque mauvaise pensée ou quelque impureté ».</w:t>
      </w:r>
    </w:p>
    <w:p w14:paraId="642B8E87"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rPr>
      </w:pPr>
      <w:r w:rsidRPr="007C6A42">
        <w:rPr>
          <w:rFonts w:asciiTheme="majorBidi" w:eastAsia="Times New Roman" w:hAnsiTheme="majorBidi" w:cstheme="majorBidi"/>
          <w:shd w:val="clear" w:color="auto" w:fill="FFFFFF"/>
          <w:lang w:bidi="ar-KW"/>
        </w:rPr>
        <w:t>D’autres traducteurs ont évité le COD en utilisant les verbes : « intervenir », « attaquer », « troubler », « insuffler ». Hamidullah a respecté le texte arabe en supprimant le COD (« a lancé »). Du Ryer, Chiadmi, Guessous et Chebel ont donné une traduction avec adaptation. Des termes comme « erreurs » (Savary et Kazimirski), « coupables » (Hafiane), « étrange » (Ghédira), « mauvais » (Guessous), « impureté » (Blachère &amp; Guessous) modifient le sens de fond en comble et donnent un jugement qui n’existe pas dans le verset arabe.</w:t>
      </w:r>
    </w:p>
    <w:p w14:paraId="7607BBAA" w14:textId="77777777" w:rsidR="00A70B78" w:rsidRPr="007C6A42" w:rsidRDefault="00A70B78" w:rsidP="00A70B78">
      <w:pPr>
        <w:spacing w:line="360" w:lineRule="auto"/>
        <w:contextualSpacing/>
        <w:jc w:val="both"/>
        <w:rPr>
          <w:rFonts w:asciiTheme="majorBidi" w:eastAsia="Times New Roman" w:hAnsiTheme="majorBidi" w:cstheme="majorBidi"/>
          <w:shd w:val="clear" w:color="auto" w:fill="FFFFFF"/>
          <w:lang w:bidi="ar-KW"/>
        </w:rPr>
      </w:pPr>
    </w:p>
    <w:p w14:paraId="21B754CE"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En général, le texte arabe possède grâce à l’omission une force de </w:t>
      </w:r>
      <w:r w:rsidRPr="007C6A42">
        <w:rPr>
          <w:rFonts w:asciiTheme="majorBidi" w:eastAsia="Times New Roman" w:hAnsiTheme="majorBidi" w:cstheme="majorBidi"/>
          <w:i/>
          <w:iCs/>
          <w:shd w:val="clear" w:color="auto" w:fill="FFFFFF"/>
          <w:lang w:bidi="ar-KW"/>
        </w:rPr>
        <w:t>différance</w:t>
      </w:r>
      <w:r w:rsidRPr="007C6A42">
        <w:rPr>
          <w:rFonts w:asciiTheme="majorBidi" w:eastAsia="Times New Roman" w:hAnsiTheme="majorBidi" w:cstheme="majorBidi"/>
          <w:shd w:val="clear" w:color="auto" w:fill="FFFFFF"/>
          <w:lang w:bidi="ar-KW"/>
        </w:rPr>
        <w:t xml:space="preserve"> (une capacité à différer le sens) plus grande que celle des traductions en français. Cela a peut-être permis au chiites de donner une interprétation complètement différente de celle des sunnites, aux mystiques de donner une signification spirituelle, et aux contemporains de donner un sens plus ou moins libéré des contraintes de l’histoire (</w:t>
      </w:r>
      <w:r w:rsidRPr="007C6A42">
        <w:rPr>
          <w:rFonts w:asciiTheme="majorBidi" w:eastAsia="Times New Roman" w:hAnsiTheme="majorBidi" w:cstheme="majorBidi"/>
          <w:i/>
          <w:iCs/>
          <w:shd w:val="clear" w:color="auto" w:fill="FFFFFF"/>
          <w:lang w:bidi="ar-KW"/>
        </w:rPr>
        <w:t>Tafsīr Al-Muntakhab</w:t>
      </w:r>
      <w:r w:rsidRPr="007C6A42">
        <w:rPr>
          <w:rFonts w:asciiTheme="majorBidi" w:eastAsia="Times New Roman" w:hAnsiTheme="majorBidi" w:cstheme="majorBidi"/>
          <w:shd w:val="clear" w:color="auto" w:fill="FFFFFF"/>
          <w:lang w:bidi="ar-KW"/>
        </w:rPr>
        <w:t xml:space="preserve"> d’Al-Azhar).</w:t>
      </w:r>
    </w:p>
    <w:p w14:paraId="113D39FB" w14:textId="77777777" w:rsidR="00A70B78" w:rsidRPr="007C6A42"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 xml:space="preserve">Les exégètes modernes évitent de faire allusion à l’incident des </w:t>
      </w:r>
      <w:r w:rsidRPr="007C6A42">
        <w:rPr>
          <w:rFonts w:asciiTheme="majorBidi" w:eastAsia="Times New Roman" w:hAnsiTheme="majorBidi" w:cstheme="majorBidi"/>
          <w:i/>
          <w:iCs/>
          <w:shd w:val="clear" w:color="auto" w:fill="FFFFFF"/>
          <w:lang w:bidi="ar-KW"/>
        </w:rPr>
        <w:t>gharānīq</w:t>
      </w:r>
      <w:r w:rsidRPr="007C6A42">
        <w:rPr>
          <w:rFonts w:asciiTheme="majorBidi" w:eastAsia="Times New Roman" w:hAnsiTheme="majorBidi" w:cstheme="majorBidi"/>
          <w:shd w:val="clear" w:color="auto" w:fill="FFFFFF"/>
          <w:lang w:bidi="ar-KW"/>
        </w:rPr>
        <w:t xml:space="preserve"> (versets sataniques) qui peut mettre en cause la révélation du Coran. Cependant, certains traducteurs l’évoquent directement ou indirectement en note (Kazimirski, Blachère et Berque).</w:t>
      </w:r>
    </w:p>
    <w:p w14:paraId="74E60F2C" w14:textId="77777777" w:rsidR="00A70B78" w:rsidRDefault="00A70B78"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6A578E83" w14:textId="77777777" w:rsidR="00715F3F" w:rsidRPr="007C6A42" w:rsidRDefault="00715F3F" w:rsidP="00A70B78">
      <w:pPr>
        <w:spacing w:line="360" w:lineRule="auto"/>
        <w:ind w:firstLine="708"/>
        <w:contextualSpacing/>
        <w:jc w:val="both"/>
        <w:rPr>
          <w:rFonts w:asciiTheme="majorBidi" w:eastAsia="Times New Roman" w:hAnsiTheme="majorBidi" w:cstheme="majorBidi"/>
          <w:shd w:val="clear" w:color="auto" w:fill="FFFFFF"/>
          <w:lang w:bidi="ar-KW"/>
        </w:rPr>
      </w:pPr>
    </w:p>
    <w:p w14:paraId="38E105A5" w14:textId="2B1A21B5" w:rsidR="00A70B78" w:rsidRPr="007C6A42" w:rsidRDefault="00D36762" w:rsidP="002666F3">
      <w:pPr>
        <w:spacing w:line="360" w:lineRule="auto"/>
        <w:contextualSpacing/>
        <w:outlineLvl w:val="0"/>
        <w:rPr>
          <w:rFonts w:asciiTheme="majorBidi" w:hAnsiTheme="majorBidi" w:cstheme="majorBidi"/>
          <w:b/>
          <w:bCs/>
        </w:rPr>
      </w:pPr>
      <w:r>
        <w:rPr>
          <w:rFonts w:asciiTheme="majorBidi" w:eastAsia="Times New Roman" w:hAnsiTheme="majorBidi" w:cstheme="majorBidi"/>
          <w:b/>
          <w:bCs/>
          <w:lang w:bidi="ar-KW"/>
        </w:rPr>
        <w:t xml:space="preserve">10.10. </w:t>
      </w:r>
      <w:r w:rsidR="00A70B78" w:rsidRPr="007C6A42">
        <w:rPr>
          <w:rFonts w:asciiTheme="majorBidi" w:eastAsia="Times New Roman" w:hAnsiTheme="majorBidi" w:cstheme="majorBidi"/>
          <w:b/>
          <w:bCs/>
          <w:lang w:bidi="ar-KW"/>
        </w:rPr>
        <w:t xml:space="preserve">Traduction de certaines images </w:t>
      </w:r>
      <w:r w:rsidR="00A70B78" w:rsidRPr="007C6A42">
        <w:rPr>
          <w:rFonts w:asciiTheme="majorBidi" w:hAnsiTheme="majorBidi" w:cstheme="majorBidi"/>
          <w:b/>
          <w:bCs/>
        </w:rPr>
        <w:t>qui relèvent du vernaculaire</w:t>
      </w:r>
    </w:p>
    <w:p w14:paraId="2BA24BC2" w14:textId="77777777" w:rsidR="00A70B78" w:rsidRPr="007C6A42" w:rsidRDefault="00A70B78" w:rsidP="00876BB0">
      <w:pPr>
        <w:pStyle w:val="Paragraphedeliste"/>
        <w:numPr>
          <w:ilvl w:val="0"/>
          <w:numId w:val="115"/>
        </w:numPr>
        <w:bidi w:val="0"/>
        <w:spacing w:line="360" w:lineRule="auto"/>
        <w:contextualSpacing/>
        <w:jc w:val="both"/>
        <w:rPr>
          <w:rFonts w:asciiTheme="majorBidi" w:hAnsiTheme="majorBidi" w:cstheme="majorBidi"/>
          <w:b/>
          <w:bCs/>
          <w:sz w:val="24"/>
          <w:szCs w:val="24"/>
        </w:rPr>
      </w:pPr>
      <w:r w:rsidRPr="007C6A42">
        <w:rPr>
          <w:rFonts w:asciiTheme="majorBidi" w:hAnsiTheme="majorBidi" w:cstheme="majorBidi"/>
          <w:b/>
          <w:bCs/>
          <w:sz w:val="24"/>
          <w:szCs w:val="24"/>
        </w:rPr>
        <w:t>La traduction de l’image « </w:t>
      </w:r>
      <w:r w:rsidRPr="007C6A42">
        <w:rPr>
          <w:rFonts w:asciiTheme="majorBidi" w:hAnsiTheme="majorBidi" w:cstheme="majorBidi"/>
          <w:b/>
          <w:bCs/>
          <w:sz w:val="24"/>
          <w:szCs w:val="24"/>
          <w:rtl/>
        </w:rPr>
        <w:t>يعبد الله على حرف</w:t>
      </w:r>
      <w:r w:rsidRPr="007C6A42">
        <w:rPr>
          <w:rFonts w:asciiTheme="majorBidi" w:hAnsiTheme="majorBidi" w:cstheme="majorBidi"/>
          <w:b/>
          <w:bCs/>
          <w:i/>
          <w:iCs/>
          <w:sz w:val="24"/>
          <w:szCs w:val="24"/>
        </w:rPr>
        <w:t> </w:t>
      </w:r>
      <w:r w:rsidRPr="007C6A42">
        <w:rPr>
          <w:rFonts w:asciiTheme="majorBidi" w:hAnsiTheme="majorBidi" w:cstheme="majorBidi"/>
          <w:b/>
          <w:bCs/>
          <w:sz w:val="24"/>
          <w:szCs w:val="24"/>
        </w:rPr>
        <w:t>» :</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975"/>
      </w:tblGrid>
      <w:tr w:rsidR="00A70B78" w:rsidRPr="007C6A42" w14:paraId="325CCFC9"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0C410987" w14:textId="77777777" w:rsidR="00A70B78" w:rsidRPr="007C6A42" w:rsidRDefault="00A70B78" w:rsidP="00AF4FC9">
            <w:pPr>
              <w:spacing w:line="360" w:lineRule="auto"/>
              <w:jc w:val="both"/>
              <w:rPr>
                <w:rFonts w:asciiTheme="majorBidi" w:eastAsia="Times New Roman" w:hAnsiTheme="majorBidi" w:cstheme="majorBidi"/>
                <w:b/>
                <w:bCs/>
              </w:rPr>
            </w:pPr>
          </w:p>
        </w:tc>
        <w:tc>
          <w:tcPr>
            <w:tcW w:w="5975" w:type="dxa"/>
            <w:tcBorders>
              <w:top w:val="single" w:sz="4" w:space="0" w:color="auto"/>
              <w:left w:val="single" w:sz="4" w:space="0" w:color="auto"/>
              <w:bottom w:val="single" w:sz="4" w:space="0" w:color="auto"/>
              <w:right w:val="single" w:sz="4" w:space="0" w:color="auto"/>
            </w:tcBorders>
          </w:tcPr>
          <w:p w14:paraId="36172E6D" w14:textId="77777777" w:rsidR="00A70B78" w:rsidRPr="007C6A42" w:rsidRDefault="00A70B78" w:rsidP="00AF4FC9">
            <w:pPr>
              <w:bidi/>
              <w:spacing w:line="360" w:lineRule="auto"/>
              <w:rPr>
                <w:rFonts w:asciiTheme="majorBidi" w:eastAsia="Times New Roman" w:hAnsiTheme="majorBidi" w:cstheme="majorBidi"/>
                <w:rtl/>
              </w:rPr>
            </w:pPr>
            <w:r w:rsidRPr="007C6A42">
              <w:rPr>
                <w:rFonts w:asciiTheme="majorBidi" w:hAnsiTheme="majorBidi" w:cstheme="majorBidi"/>
                <w:rtl/>
              </w:rPr>
              <w:t>"ومِن الناسِ مَن يَعبُدُ اللَّهَ على حَرف" (آية ١١)</w:t>
            </w:r>
          </w:p>
        </w:tc>
      </w:tr>
      <w:tr w:rsidR="00A70B78" w:rsidRPr="007C6A42" w14:paraId="0766AC31"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2D9C10B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5975" w:type="dxa"/>
            <w:tcBorders>
              <w:top w:val="single" w:sz="4" w:space="0" w:color="auto"/>
              <w:left w:val="single" w:sz="4" w:space="0" w:color="auto"/>
              <w:bottom w:val="single" w:sz="4" w:space="0" w:color="auto"/>
              <w:right w:val="single" w:sz="4" w:space="0" w:color="auto"/>
            </w:tcBorders>
          </w:tcPr>
          <w:p w14:paraId="573AD769"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y des perʃonnes qui l’adorent auec doute</w:t>
            </w:r>
          </w:p>
        </w:tc>
      </w:tr>
      <w:tr w:rsidR="00A70B78" w:rsidRPr="007C6A42" w14:paraId="1213838C"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08E88D8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5975" w:type="dxa"/>
            <w:tcBorders>
              <w:top w:val="single" w:sz="4" w:space="0" w:color="auto"/>
              <w:left w:val="single" w:sz="4" w:space="0" w:color="auto"/>
              <w:bottom w:val="single" w:sz="4" w:space="0" w:color="auto"/>
              <w:right w:val="single" w:sz="4" w:space="0" w:color="auto"/>
            </w:tcBorders>
          </w:tcPr>
          <w:p w14:paraId="5C8915BB"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Il en est qui, peu fermes dans la foi</w:t>
            </w:r>
          </w:p>
        </w:tc>
      </w:tr>
      <w:tr w:rsidR="00A70B78" w:rsidRPr="007C6A42" w14:paraId="526306F8"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11AA58D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5975" w:type="dxa"/>
            <w:tcBorders>
              <w:top w:val="single" w:sz="4" w:space="0" w:color="auto"/>
              <w:left w:val="single" w:sz="4" w:space="0" w:color="auto"/>
              <w:bottom w:val="single" w:sz="4" w:space="0" w:color="auto"/>
              <w:right w:val="single" w:sz="4" w:space="0" w:color="auto"/>
            </w:tcBorders>
          </w:tcPr>
          <w:p w14:paraId="4F1E244A" w14:textId="77777777" w:rsidR="00A70B78" w:rsidRPr="007C6A42" w:rsidRDefault="00A70B78" w:rsidP="00AF4FC9">
            <w:pPr>
              <w:spacing w:line="360" w:lineRule="auto"/>
              <w:ind w:right="113"/>
              <w:jc w:val="both"/>
              <w:rPr>
                <w:rFonts w:asciiTheme="majorBidi" w:eastAsia="Times New Roman" w:hAnsiTheme="majorBidi" w:cstheme="majorBidi"/>
                <w:b/>
                <w:bCs/>
              </w:rPr>
            </w:pPr>
            <w:r w:rsidRPr="007C6A42">
              <w:rPr>
                <w:rFonts w:asciiTheme="majorBidi" w:eastAsia="Times New Roman" w:hAnsiTheme="majorBidi" w:cstheme="majorBidi"/>
              </w:rPr>
              <w:t>Il en est qui servent Dieu ; mais, incertains et méchants,</w:t>
            </w:r>
          </w:p>
        </w:tc>
      </w:tr>
      <w:tr w:rsidR="00A70B78" w:rsidRPr="007C6A42" w14:paraId="4139414C"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3C0F3B00"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Blach. (1949)</w:t>
            </w:r>
          </w:p>
        </w:tc>
        <w:tc>
          <w:tcPr>
            <w:tcW w:w="5975" w:type="dxa"/>
            <w:tcBorders>
              <w:top w:val="single" w:sz="4" w:space="0" w:color="auto"/>
              <w:left w:val="single" w:sz="4" w:space="0" w:color="auto"/>
              <w:bottom w:val="single" w:sz="4" w:space="0" w:color="auto"/>
              <w:right w:val="single" w:sz="4" w:space="0" w:color="auto"/>
            </w:tcBorders>
          </w:tcPr>
          <w:p w14:paraId="2F573FD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Parmi les Hommes, il en est qui adorent Allah, en balance.</w:t>
            </w:r>
          </w:p>
        </w:tc>
      </w:tr>
      <w:tr w:rsidR="00A70B78" w:rsidRPr="007C6A42" w14:paraId="77E052F1"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4C8AD5C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5975" w:type="dxa"/>
            <w:tcBorders>
              <w:top w:val="single" w:sz="4" w:space="0" w:color="auto"/>
              <w:left w:val="single" w:sz="4" w:space="0" w:color="auto"/>
              <w:bottom w:val="single" w:sz="4" w:space="0" w:color="auto"/>
              <w:right w:val="single" w:sz="4" w:space="0" w:color="auto"/>
            </w:tcBorders>
          </w:tcPr>
          <w:p w14:paraId="05390779"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Tel parmi les hommes adore Dieu mais en équilibre instable ;</w:t>
            </w:r>
          </w:p>
        </w:tc>
      </w:tr>
      <w:tr w:rsidR="00A70B78" w:rsidRPr="007C6A42" w14:paraId="56C03116"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73DAEB4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5975" w:type="dxa"/>
            <w:tcBorders>
              <w:top w:val="single" w:sz="4" w:space="0" w:color="auto"/>
              <w:left w:val="single" w:sz="4" w:space="0" w:color="auto"/>
              <w:bottom w:val="single" w:sz="4" w:space="0" w:color="auto"/>
              <w:right w:val="single" w:sz="4" w:space="0" w:color="auto"/>
            </w:tcBorders>
          </w:tcPr>
          <w:p w14:paraId="3080C2D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Tel d’entre eux adore Dieu sur le bord.</w:t>
            </w:r>
          </w:p>
        </w:tc>
      </w:tr>
      <w:tr w:rsidR="00A70B78" w:rsidRPr="007C6A42" w14:paraId="42B88639" w14:textId="77777777" w:rsidTr="00715F3F">
        <w:trPr>
          <w:trHeight w:val="339"/>
          <w:jc w:val="center"/>
        </w:trPr>
        <w:tc>
          <w:tcPr>
            <w:tcW w:w="2126" w:type="dxa"/>
            <w:tcBorders>
              <w:top w:val="single" w:sz="4" w:space="0" w:color="auto"/>
              <w:left w:val="single" w:sz="4" w:space="0" w:color="auto"/>
              <w:bottom w:val="single" w:sz="4" w:space="0" w:color="auto"/>
              <w:right w:val="single" w:sz="4" w:space="0" w:color="auto"/>
            </w:tcBorders>
          </w:tcPr>
          <w:p w14:paraId="2627F78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5975" w:type="dxa"/>
            <w:tcBorders>
              <w:top w:val="single" w:sz="4" w:space="0" w:color="auto"/>
              <w:left w:val="single" w:sz="4" w:space="0" w:color="auto"/>
              <w:bottom w:val="single" w:sz="4" w:space="0" w:color="auto"/>
              <w:right w:val="single" w:sz="4" w:space="0" w:color="auto"/>
            </w:tcBorders>
          </w:tcPr>
          <w:p w14:paraId="6650BEE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Il est des hommes à la foi indécise.</w:t>
            </w:r>
          </w:p>
        </w:tc>
      </w:tr>
      <w:tr w:rsidR="00A70B78" w:rsidRPr="007C6A42" w14:paraId="799CA74C"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3C021E8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5975" w:type="dxa"/>
            <w:tcBorders>
              <w:top w:val="single" w:sz="4" w:space="0" w:color="auto"/>
              <w:left w:val="single" w:sz="4" w:space="0" w:color="auto"/>
              <w:bottom w:val="single" w:sz="4" w:space="0" w:color="auto"/>
              <w:right w:val="single" w:sz="4" w:space="0" w:color="auto"/>
            </w:tcBorders>
          </w:tcPr>
          <w:p w14:paraId="385A41D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Tel, parmi les hommes, adore Dieu en hésitant.</w:t>
            </w:r>
          </w:p>
        </w:tc>
      </w:tr>
      <w:tr w:rsidR="00A70B78" w:rsidRPr="007C6A42" w14:paraId="57F7C1A5"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09CB18C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5975" w:type="dxa"/>
            <w:tcBorders>
              <w:top w:val="single" w:sz="4" w:space="0" w:color="auto"/>
              <w:left w:val="single" w:sz="4" w:space="0" w:color="auto"/>
              <w:bottom w:val="single" w:sz="4" w:space="0" w:color="auto"/>
              <w:right w:val="single" w:sz="4" w:space="0" w:color="auto"/>
            </w:tcBorders>
          </w:tcPr>
          <w:p w14:paraId="4F82620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Il y a des hommes qui n’adorent Dieu qu’avec hésitation.</w:t>
            </w:r>
          </w:p>
        </w:tc>
      </w:tr>
      <w:tr w:rsidR="00A70B78" w:rsidRPr="007C6A42" w14:paraId="0BBA2E21"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56CCB0A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5975" w:type="dxa"/>
            <w:tcBorders>
              <w:top w:val="single" w:sz="4" w:space="0" w:color="auto"/>
              <w:left w:val="single" w:sz="4" w:space="0" w:color="auto"/>
              <w:bottom w:val="single" w:sz="4" w:space="0" w:color="auto"/>
              <w:right w:val="single" w:sz="4" w:space="0" w:color="auto"/>
            </w:tcBorders>
          </w:tcPr>
          <w:p w14:paraId="05A0FA97"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Parmi les humains, certains servent Allah, par à-coups :</w:t>
            </w:r>
          </w:p>
        </w:tc>
      </w:tr>
      <w:tr w:rsidR="00A70B78" w:rsidRPr="007C6A42" w14:paraId="69D1F859" w14:textId="77777777" w:rsidTr="00715F3F">
        <w:trPr>
          <w:trHeight w:val="270"/>
          <w:jc w:val="center"/>
        </w:trPr>
        <w:tc>
          <w:tcPr>
            <w:tcW w:w="2126" w:type="dxa"/>
            <w:tcBorders>
              <w:top w:val="single" w:sz="4" w:space="0" w:color="auto"/>
              <w:left w:val="single" w:sz="4" w:space="0" w:color="auto"/>
              <w:bottom w:val="single" w:sz="4" w:space="0" w:color="auto"/>
              <w:right w:val="single" w:sz="4" w:space="0" w:color="auto"/>
            </w:tcBorders>
          </w:tcPr>
          <w:p w14:paraId="00884F1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5975" w:type="dxa"/>
            <w:tcBorders>
              <w:top w:val="single" w:sz="4" w:space="0" w:color="auto"/>
              <w:left w:val="single" w:sz="4" w:space="0" w:color="auto"/>
              <w:bottom w:val="single" w:sz="4" w:space="0" w:color="auto"/>
              <w:right w:val="single" w:sz="4" w:space="0" w:color="auto"/>
            </w:tcBorders>
          </w:tcPr>
          <w:p w14:paraId="084F6B3F"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Et cependant il en est parmi les hommes pour n’adorer Dieu que de guingois :</w:t>
            </w:r>
          </w:p>
        </w:tc>
      </w:tr>
      <w:tr w:rsidR="00A70B78" w:rsidRPr="007C6A42" w14:paraId="55F6D4C3"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373156F8"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5975" w:type="dxa"/>
            <w:tcBorders>
              <w:top w:val="single" w:sz="4" w:space="0" w:color="auto"/>
              <w:left w:val="single" w:sz="4" w:space="0" w:color="auto"/>
              <w:bottom w:val="single" w:sz="4" w:space="0" w:color="auto"/>
              <w:right w:val="single" w:sz="4" w:space="0" w:color="auto"/>
            </w:tcBorders>
          </w:tcPr>
          <w:p w14:paraId="7AE24826" w14:textId="77777777" w:rsidR="00A70B78" w:rsidRPr="007C6A42" w:rsidRDefault="00A70B78" w:rsidP="00AF4FC9">
            <w:pPr>
              <w:spacing w:line="360" w:lineRule="auto"/>
              <w:jc w:val="both"/>
              <w:rPr>
                <w:rFonts w:asciiTheme="majorBidi" w:hAnsiTheme="majorBidi" w:cstheme="majorBidi"/>
                <w:b/>
              </w:rPr>
            </w:pPr>
            <w:r w:rsidRPr="007C6A42">
              <w:rPr>
                <w:rFonts w:asciiTheme="majorBidi" w:hAnsiTheme="majorBidi" w:cstheme="majorBidi"/>
              </w:rPr>
              <w:t xml:space="preserve">Tel parmi les hommes, adore </w:t>
            </w:r>
            <w:r w:rsidRPr="007C6A42">
              <w:rPr>
                <w:rFonts w:asciiTheme="majorBidi" w:hAnsiTheme="majorBidi" w:cstheme="majorBidi"/>
                <w:b/>
              </w:rPr>
              <w:t xml:space="preserve">DIEU </w:t>
            </w:r>
            <w:r w:rsidRPr="007C6A42">
              <w:rPr>
                <w:rFonts w:asciiTheme="majorBidi" w:hAnsiTheme="majorBidi" w:cstheme="majorBidi"/>
              </w:rPr>
              <w:t>sur un critère vacillant.</w:t>
            </w:r>
          </w:p>
        </w:tc>
      </w:tr>
      <w:tr w:rsidR="00A70B78" w:rsidRPr="007C6A42" w14:paraId="2D5F8956"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794D198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5975" w:type="dxa"/>
            <w:tcBorders>
              <w:top w:val="single" w:sz="4" w:space="0" w:color="auto"/>
              <w:left w:val="single" w:sz="4" w:space="0" w:color="auto"/>
              <w:bottom w:val="single" w:sz="4" w:space="0" w:color="auto"/>
              <w:right w:val="single" w:sz="4" w:space="0" w:color="auto"/>
            </w:tcBorders>
          </w:tcPr>
          <w:p w14:paraId="1DD91D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Tel autre, parmi les hommes, adore Dieu d’une manière indécise.</w:t>
            </w:r>
          </w:p>
        </w:tc>
      </w:tr>
      <w:tr w:rsidR="00A70B78" w:rsidRPr="007C6A42" w14:paraId="1DD3AA8A"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452484B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5975" w:type="dxa"/>
            <w:tcBorders>
              <w:top w:val="single" w:sz="4" w:space="0" w:color="auto"/>
              <w:left w:val="single" w:sz="4" w:space="0" w:color="auto"/>
              <w:bottom w:val="single" w:sz="4" w:space="0" w:color="auto"/>
              <w:right w:val="single" w:sz="4" w:space="0" w:color="auto"/>
            </w:tcBorders>
          </w:tcPr>
          <w:p w14:paraId="2503CCC7"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Il en est parmi les gens qui adorent Allah marginalement.</w:t>
            </w:r>
          </w:p>
        </w:tc>
      </w:tr>
      <w:tr w:rsidR="00A70B78" w:rsidRPr="007C6A42" w14:paraId="54F0F42C"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5C42251B"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Abdel. (2002)</w:t>
            </w:r>
          </w:p>
        </w:tc>
        <w:tc>
          <w:tcPr>
            <w:tcW w:w="5975" w:type="dxa"/>
            <w:tcBorders>
              <w:top w:val="single" w:sz="4" w:space="0" w:color="auto"/>
              <w:left w:val="single" w:sz="4" w:space="0" w:color="auto"/>
              <w:bottom w:val="single" w:sz="4" w:space="0" w:color="auto"/>
              <w:right w:val="single" w:sz="4" w:space="0" w:color="auto"/>
            </w:tcBorders>
          </w:tcPr>
          <w:p w14:paraId="709666C1"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hAnsiTheme="majorBidi" w:cstheme="majorBidi"/>
              </w:rPr>
              <w:t>Et il est parmi les hommes celui qui adore Allah avec défiance :</w:t>
            </w:r>
          </w:p>
        </w:tc>
      </w:tr>
      <w:tr w:rsidR="00A70B78" w:rsidRPr="007C6A42" w14:paraId="3F092072"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3AD411C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5975" w:type="dxa"/>
            <w:tcBorders>
              <w:top w:val="single" w:sz="4" w:space="0" w:color="auto"/>
              <w:left w:val="single" w:sz="4" w:space="0" w:color="auto"/>
              <w:bottom w:val="single" w:sz="4" w:space="0" w:color="auto"/>
              <w:right w:val="single" w:sz="4" w:space="0" w:color="auto"/>
            </w:tcBorders>
          </w:tcPr>
          <w:p w14:paraId="74BAD84E"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Parmi les humains, il en est qui adore Dieu marginalement.</w:t>
            </w:r>
          </w:p>
        </w:tc>
      </w:tr>
      <w:tr w:rsidR="00A70B78" w:rsidRPr="007C6A42" w14:paraId="24D96A4A"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5C2E95D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5975" w:type="dxa"/>
            <w:tcBorders>
              <w:top w:val="single" w:sz="4" w:space="0" w:color="auto"/>
              <w:left w:val="single" w:sz="4" w:space="0" w:color="auto"/>
              <w:bottom w:val="single" w:sz="4" w:space="0" w:color="auto"/>
              <w:right w:val="single" w:sz="4" w:space="0" w:color="auto"/>
            </w:tcBorders>
          </w:tcPr>
          <w:p w14:paraId="023776E9"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est bien des gens qui vénèrent Allah sur le bord [d’un ravin].</w:t>
            </w:r>
          </w:p>
        </w:tc>
      </w:tr>
      <w:tr w:rsidR="00A70B78" w:rsidRPr="007C6A42" w14:paraId="2B71C83F" w14:textId="77777777" w:rsidTr="00715F3F">
        <w:trPr>
          <w:jc w:val="center"/>
        </w:trPr>
        <w:tc>
          <w:tcPr>
            <w:tcW w:w="2126" w:type="dxa"/>
            <w:tcBorders>
              <w:top w:val="single" w:sz="4" w:space="0" w:color="auto"/>
              <w:left w:val="single" w:sz="4" w:space="0" w:color="auto"/>
              <w:bottom w:val="single" w:sz="4" w:space="0" w:color="auto"/>
              <w:right w:val="single" w:sz="4" w:space="0" w:color="auto"/>
            </w:tcBorders>
          </w:tcPr>
          <w:p w14:paraId="43CF61B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5975" w:type="dxa"/>
            <w:tcBorders>
              <w:top w:val="single" w:sz="4" w:space="0" w:color="auto"/>
              <w:left w:val="single" w:sz="4" w:space="0" w:color="auto"/>
              <w:bottom w:val="single" w:sz="4" w:space="0" w:color="auto"/>
              <w:right w:val="single" w:sz="4" w:space="0" w:color="auto"/>
            </w:tcBorders>
          </w:tcPr>
          <w:p w14:paraId="05E4893E"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Tel parmi les hommes adore Dieu avec hésitation :</w:t>
            </w:r>
          </w:p>
        </w:tc>
      </w:tr>
    </w:tbl>
    <w:p w14:paraId="471BDF9E" w14:textId="77777777" w:rsidR="00A70B78" w:rsidRPr="007C6A42" w:rsidRDefault="00A70B78" w:rsidP="00A70B78">
      <w:pPr>
        <w:spacing w:line="360" w:lineRule="auto"/>
        <w:contextualSpacing/>
        <w:jc w:val="both"/>
        <w:rPr>
          <w:rFonts w:asciiTheme="majorBidi" w:hAnsiTheme="majorBidi" w:cstheme="majorBidi"/>
        </w:rPr>
      </w:pPr>
    </w:p>
    <w:p w14:paraId="135E9C39" w14:textId="77777777" w:rsidR="00A70B78" w:rsidRPr="007C6A42" w:rsidRDefault="00A70B78" w:rsidP="00A70B78">
      <w:pPr>
        <w:spacing w:line="360" w:lineRule="auto"/>
        <w:ind w:firstLine="720"/>
        <w:contextualSpacing/>
        <w:jc w:val="both"/>
        <w:rPr>
          <w:rFonts w:asciiTheme="majorBidi" w:eastAsia="Times New Roman" w:hAnsiTheme="majorBidi" w:cstheme="majorBidi"/>
          <w:lang w:bidi="ar-AE"/>
        </w:rPr>
      </w:pPr>
      <w:r w:rsidRPr="007C6A42">
        <w:rPr>
          <w:rFonts w:asciiTheme="majorBidi" w:hAnsiTheme="majorBidi" w:cstheme="majorBidi"/>
        </w:rPr>
        <w:t xml:space="preserve">L’image que donne l’expression coranique </w:t>
      </w:r>
      <w:r w:rsidRPr="007C6A42">
        <w:rPr>
          <w:rFonts w:asciiTheme="majorBidi" w:hAnsiTheme="majorBidi" w:cstheme="majorBidi"/>
          <w:i/>
          <w:iCs/>
        </w:rPr>
        <w:t>ʿalā ḥarf</w:t>
      </w:r>
      <w:r w:rsidRPr="007C6A42">
        <w:rPr>
          <w:rFonts w:asciiTheme="majorBidi" w:hAnsiTheme="majorBidi" w:cstheme="majorBidi"/>
        </w:rPr>
        <w:t xml:space="preserve"> [</w:t>
      </w:r>
      <w:r w:rsidRPr="007C6A42">
        <w:rPr>
          <w:rFonts w:asciiTheme="majorBidi" w:hAnsiTheme="majorBidi" w:cstheme="majorBidi"/>
          <w:i/>
          <w:iCs/>
        </w:rPr>
        <w:t>litt. </w:t>
      </w:r>
      <w:r w:rsidRPr="007C6A42">
        <w:rPr>
          <w:rFonts w:asciiTheme="majorBidi" w:hAnsiTheme="majorBidi" w:cstheme="majorBidi"/>
        </w:rPr>
        <w:t>: sur un bord] (v. 11) n’est pas du tout comme celle que donnent les traductions en français</w:t>
      </w:r>
      <w:r w:rsidRPr="007C6A42">
        <w:rPr>
          <w:rFonts w:asciiTheme="majorBidi" w:eastAsia="Calibri" w:hAnsiTheme="majorBidi" w:cstheme="majorBidi"/>
          <w:lang w:bidi="ar-AE"/>
        </w:rPr>
        <w:t xml:space="preserve">. On imagine celui qui adore Dieu </w:t>
      </w:r>
      <w:r w:rsidRPr="007C6A42">
        <w:rPr>
          <w:rFonts w:asciiTheme="majorBidi" w:hAnsiTheme="majorBidi" w:cstheme="majorBidi"/>
          <w:i/>
          <w:iCs/>
        </w:rPr>
        <w:t>ʿalā ḥarf</w:t>
      </w:r>
      <w:r w:rsidRPr="007C6A42">
        <w:rPr>
          <w:rFonts w:asciiTheme="majorBidi" w:hAnsiTheme="majorBidi" w:cstheme="majorBidi"/>
        </w:rPr>
        <w:t xml:space="preserve"> comme </w:t>
      </w:r>
      <w:r w:rsidRPr="007C6A42">
        <w:rPr>
          <w:rFonts w:asciiTheme="majorBidi" w:eastAsia="Calibri" w:hAnsiTheme="majorBidi" w:cstheme="majorBidi"/>
          <w:lang w:bidi="ar-AE"/>
        </w:rPr>
        <w:t>un danseur de corde qui pratique la slackline et qui risque à tout moment de tomber.</w:t>
      </w:r>
      <w:r w:rsidRPr="007C6A42">
        <w:rPr>
          <w:rStyle w:val="Appelnotedebasdep"/>
          <w:rFonts w:asciiTheme="majorBidi" w:eastAsia="Calibri" w:hAnsiTheme="majorBidi" w:cstheme="majorBidi"/>
          <w:lang w:bidi="ar-AE"/>
        </w:rPr>
        <w:footnoteReference w:id="567"/>
      </w:r>
      <w:r w:rsidRPr="007C6A42">
        <w:rPr>
          <w:rFonts w:asciiTheme="majorBidi" w:eastAsia="Calibri" w:hAnsiTheme="majorBidi" w:cstheme="majorBidi"/>
          <w:lang w:bidi="ar-AE"/>
        </w:rPr>
        <w:t xml:space="preserve"> </w:t>
      </w:r>
      <w:r w:rsidRPr="007C6A42">
        <w:rPr>
          <w:rFonts w:asciiTheme="majorBidi" w:eastAsia="Times New Roman" w:hAnsiTheme="majorBidi" w:cstheme="majorBidi"/>
          <w:lang w:bidi="ar-AE"/>
        </w:rPr>
        <w:t xml:space="preserve">Parmi les autres interprétations que les exégètes ont données à ce verset : le doute ; la </w:t>
      </w:r>
      <w:r w:rsidRPr="007C6A42">
        <w:rPr>
          <w:rFonts w:asciiTheme="majorBidi" w:eastAsia="Times New Roman" w:hAnsiTheme="majorBidi" w:cstheme="majorBidi"/>
          <w:lang w:bidi="ar-AE"/>
        </w:rPr>
        <w:lastRenderedPageBreak/>
        <w:t>marginalisation ; l’hypocrisie ; l’instabilité ; la conditionnalité ; l’anxiété ; sans foi ; dans une seul situation, à savoir dans la prospérité et pas dans l’adversité</w:t>
      </w:r>
      <w:r w:rsidRPr="007C6A42">
        <w:rPr>
          <w:rStyle w:val="Appelnotedebasdep"/>
          <w:rFonts w:asciiTheme="majorBidi" w:eastAsia="Times New Roman" w:hAnsiTheme="majorBidi" w:cstheme="majorBidi"/>
          <w:lang w:bidi="ar-AE"/>
        </w:rPr>
        <w:footnoteReference w:id="568"/>
      </w:r>
      <w:r w:rsidRPr="007C6A42">
        <w:rPr>
          <w:rFonts w:asciiTheme="majorBidi" w:eastAsia="Times New Roman" w:hAnsiTheme="majorBidi" w:cstheme="majorBidi"/>
          <w:lang w:bidi="ar-AE"/>
        </w:rPr>
        <w:t> ; etc.</w:t>
      </w:r>
    </w:p>
    <w:p w14:paraId="2F9BF8CC" w14:textId="77777777" w:rsidR="00A70B78" w:rsidRPr="007C6A42" w:rsidRDefault="00A70B78" w:rsidP="00A70B78">
      <w:pPr>
        <w:spacing w:line="360" w:lineRule="auto"/>
        <w:ind w:firstLine="720"/>
        <w:contextualSpacing/>
        <w:jc w:val="both"/>
        <w:rPr>
          <w:rFonts w:asciiTheme="majorBidi" w:eastAsia="Times New Roman" w:hAnsiTheme="majorBidi" w:cstheme="majorBidi"/>
          <w:lang w:bidi="ar-AE"/>
        </w:rPr>
      </w:pPr>
    </w:p>
    <w:p w14:paraId="0DA46588" w14:textId="77777777" w:rsidR="00A70B78" w:rsidRPr="007C6A42" w:rsidRDefault="00A70B78" w:rsidP="00A70B78">
      <w:pPr>
        <w:spacing w:line="360" w:lineRule="auto"/>
        <w:ind w:firstLine="720"/>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 xml:space="preserve">Les expressions qu’utilisent les traducteurs montrent certaines images et en donnent d’autres : </w:t>
      </w:r>
      <w:r w:rsidRPr="007C6A42">
        <w:rPr>
          <w:rFonts w:asciiTheme="majorBidi" w:hAnsiTheme="majorBidi" w:cstheme="majorBidi"/>
        </w:rPr>
        <w:t>« avec doute », « peu fermes dans la foi », « incertains et méchants », « en balance », « en équilibre instable », « sur le bord », « sur le bord [d’un ravin] », « à la foi indécise », « en hésitant », « avec hésitation » (2 fois), « par à-coups », « de guingois », « sur un critère vacillant », « d’une manière indécise », « marginalement » (2 fois), « avec défiance ».</w:t>
      </w:r>
    </w:p>
    <w:p w14:paraId="76D7C774" w14:textId="77777777" w:rsidR="00A70B78" w:rsidRPr="007C6A42" w:rsidRDefault="00A70B78" w:rsidP="00A70B78">
      <w:pPr>
        <w:spacing w:line="360" w:lineRule="auto"/>
        <w:ind w:firstLine="720"/>
        <w:contextualSpacing/>
        <w:jc w:val="both"/>
        <w:rPr>
          <w:rFonts w:asciiTheme="majorBidi" w:eastAsia="Calibri" w:hAnsiTheme="majorBidi" w:cstheme="majorBidi"/>
          <w:rtl/>
        </w:rPr>
      </w:pPr>
      <w:r w:rsidRPr="007C6A42">
        <w:rPr>
          <w:rFonts w:asciiTheme="majorBidi" w:eastAsia="Calibri" w:hAnsiTheme="majorBidi" w:cstheme="majorBidi"/>
          <w:lang w:bidi="ar-AE"/>
        </w:rPr>
        <w:t>Le choix de Berque (« de guingois ») donne l’image de quelqu’un qui marche de travers, qui n’est pas droit, ou de quelque chose qui va mal.</w:t>
      </w:r>
    </w:p>
    <w:p w14:paraId="4F0B9E0F" w14:textId="77777777" w:rsidR="00A70B78" w:rsidRPr="007C6A42" w:rsidRDefault="00A70B78" w:rsidP="00A70B78">
      <w:pPr>
        <w:spacing w:line="360" w:lineRule="auto"/>
        <w:contextualSpacing/>
        <w:jc w:val="both"/>
        <w:rPr>
          <w:rFonts w:asciiTheme="majorBidi" w:eastAsia="Calibri" w:hAnsiTheme="majorBidi" w:cstheme="majorBidi"/>
        </w:rPr>
      </w:pPr>
    </w:p>
    <w:p w14:paraId="0BBB751A" w14:textId="77777777" w:rsidR="00A70B78" w:rsidRPr="007C6A42" w:rsidRDefault="00A70B78" w:rsidP="00A70B78">
      <w:pPr>
        <w:spacing w:line="360" w:lineRule="auto"/>
        <w:ind w:firstLine="720"/>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La traduction de Chouraqui « par à-coups » indique la répétition par intermittences, irrégulièrement, sporadiquement. Cette interprétation existe dans le champ sémantique profond du verset de départ, et Chouraqui l’a sortie à la surface.</w:t>
      </w:r>
    </w:p>
    <w:p w14:paraId="31881D25" w14:textId="77777777" w:rsidR="00A70B78" w:rsidRPr="007C6A42" w:rsidRDefault="00A70B78" w:rsidP="00A70B78">
      <w:pPr>
        <w:spacing w:line="360" w:lineRule="auto"/>
        <w:ind w:firstLine="720"/>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Les choix de Masson (« en hésitant »), de Grosjean et de Hafiane (« avec hésitation ») donne un sens qui n’existe pas dans le texte-source. Kazimirski va plus loin et s’écarte beaucoup de l’ensemble des significations données par les exégètes en donnant une traduction avec un jugement (« méchants »)</w:t>
      </w:r>
    </w:p>
    <w:p w14:paraId="4DD2DED8" w14:textId="77777777" w:rsidR="00A70B78" w:rsidRPr="007C6A42" w:rsidRDefault="00A70B78" w:rsidP="00A70B78">
      <w:pPr>
        <w:spacing w:line="360" w:lineRule="auto"/>
        <w:ind w:firstLine="720"/>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Les deux traductions littéralistes du Complexe de Médine et d’Aldeeb (qui ont deux objectifs opposés) ont le même choix qui montrent un aspect des significations exégétiques : « marginalement », ce qui prouve la théorie des extrêmes qui se touchent dont nous allons parler.</w:t>
      </w:r>
    </w:p>
    <w:p w14:paraId="2DBBEC78" w14:textId="77777777" w:rsidR="00A70B78" w:rsidRPr="007C6A42" w:rsidRDefault="00A70B78" w:rsidP="00A70B78">
      <w:pPr>
        <w:spacing w:line="360" w:lineRule="auto"/>
        <w:ind w:firstLine="360"/>
        <w:contextualSpacing/>
        <w:jc w:val="both"/>
        <w:rPr>
          <w:rFonts w:asciiTheme="majorBidi" w:eastAsia="Calibri" w:hAnsiTheme="majorBidi" w:cstheme="majorBidi"/>
        </w:rPr>
      </w:pPr>
      <w:r w:rsidRPr="007C6A42">
        <w:rPr>
          <w:rFonts w:asciiTheme="majorBidi" w:eastAsia="Calibri" w:hAnsiTheme="majorBidi" w:cstheme="majorBidi"/>
          <w:lang w:bidi="ar-AE"/>
        </w:rPr>
        <w:t>En général, les traducteurs ont révélé la plupart des aspects sémantiques du verset arabe</w:t>
      </w:r>
      <w:r w:rsidRPr="007C6A42">
        <w:rPr>
          <w:rFonts w:asciiTheme="majorBidi" w:eastAsia="Calibri" w:hAnsiTheme="majorBidi" w:cstheme="majorBidi"/>
        </w:rPr>
        <w:t xml:space="preserve">, mais pas la saveur rhétorique (la métaphore) que donne notamment le terme </w:t>
      </w:r>
      <w:r w:rsidRPr="007C6A42">
        <w:rPr>
          <w:rFonts w:asciiTheme="majorBidi" w:eastAsia="Calibri" w:hAnsiTheme="majorBidi" w:cstheme="majorBidi"/>
          <w:i/>
          <w:iCs/>
        </w:rPr>
        <w:t>ḥarf</w:t>
      </w:r>
      <w:r w:rsidRPr="007C6A42">
        <w:rPr>
          <w:rFonts w:asciiTheme="majorBidi" w:eastAsia="Calibri" w:hAnsiTheme="majorBidi" w:cstheme="majorBidi"/>
        </w:rPr>
        <w:t xml:space="preserve"> dans lequel se trouve un mystère esthétique</w:t>
      </w:r>
      <w:r w:rsidRPr="007C6A42">
        <w:rPr>
          <w:rStyle w:val="Appelnotedebasdep"/>
          <w:rFonts w:asciiTheme="majorBidi" w:eastAsia="Calibri" w:hAnsiTheme="majorBidi" w:cstheme="majorBidi"/>
        </w:rPr>
        <w:footnoteReference w:id="569"/>
      </w:r>
      <w:r w:rsidRPr="007C6A42">
        <w:rPr>
          <w:rFonts w:asciiTheme="majorBidi" w:eastAsia="Calibri" w:hAnsiTheme="majorBidi" w:cstheme="majorBidi"/>
        </w:rPr>
        <w:t>.</w:t>
      </w:r>
    </w:p>
    <w:p w14:paraId="1D6B95EE" w14:textId="77777777" w:rsidR="00A70B78" w:rsidRPr="007C6A42" w:rsidRDefault="00A70B78" w:rsidP="00A70B78">
      <w:pPr>
        <w:spacing w:line="360" w:lineRule="auto"/>
        <w:contextualSpacing/>
        <w:jc w:val="both"/>
        <w:rPr>
          <w:rFonts w:asciiTheme="majorBidi" w:eastAsia="Calibri" w:hAnsiTheme="majorBidi" w:cstheme="majorBidi"/>
          <w:lang w:bidi="ar-AE"/>
        </w:rPr>
      </w:pPr>
    </w:p>
    <w:p w14:paraId="4363993D" w14:textId="77777777" w:rsidR="00A70B78" w:rsidRPr="007C6A42" w:rsidRDefault="00A70B78" w:rsidP="00876BB0">
      <w:pPr>
        <w:pStyle w:val="Paragraphedeliste"/>
        <w:numPr>
          <w:ilvl w:val="0"/>
          <w:numId w:val="115"/>
        </w:numPr>
        <w:bidi w:val="0"/>
        <w:spacing w:line="360" w:lineRule="auto"/>
        <w:contextualSpacing/>
        <w:jc w:val="both"/>
        <w:rPr>
          <w:rFonts w:asciiTheme="majorBidi" w:hAnsiTheme="majorBidi" w:cstheme="majorBidi"/>
          <w:b/>
          <w:bCs/>
          <w:sz w:val="24"/>
          <w:szCs w:val="24"/>
        </w:rPr>
      </w:pPr>
      <w:r w:rsidRPr="007C6A42">
        <w:rPr>
          <w:rFonts w:asciiTheme="majorBidi" w:eastAsia="Calibri" w:hAnsiTheme="majorBidi" w:cstheme="majorBidi"/>
          <w:b/>
          <w:bCs/>
          <w:sz w:val="24"/>
          <w:szCs w:val="24"/>
          <w:lang w:bidi="ar-AE"/>
        </w:rPr>
        <w:t>Traduction de l’image « </w:t>
      </w:r>
      <w:r w:rsidRPr="007C6A42">
        <w:rPr>
          <w:rFonts w:asciiTheme="majorBidi" w:eastAsia="Calibri" w:hAnsiTheme="majorBidi" w:cstheme="majorBidi"/>
          <w:b/>
          <w:bCs/>
          <w:sz w:val="24"/>
          <w:szCs w:val="24"/>
          <w:rtl/>
          <w:lang w:bidi="ar-AE"/>
        </w:rPr>
        <w:t>خاويةٌ على عروشها</w:t>
      </w:r>
      <w:r w:rsidRPr="007C6A42">
        <w:rPr>
          <w:rFonts w:asciiTheme="majorBidi" w:hAnsiTheme="majorBidi" w:cstheme="majorBidi"/>
          <w:b/>
          <w:bCs/>
          <w:i/>
          <w:iCs/>
          <w:sz w:val="24"/>
          <w:szCs w:val="24"/>
        </w:rPr>
        <w:t> </w:t>
      </w:r>
      <w:r w:rsidRPr="007C6A42">
        <w:rPr>
          <w:rFonts w:asciiTheme="majorBidi" w:hAnsiTheme="majorBidi" w:cstheme="majorBidi"/>
          <w:b/>
          <w:bCs/>
          <w:sz w:val="24"/>
          <w:szCs w:val="24"/>
        </w:rPr>
        <w:t>» (v. 45) :</w:t>
      </w:r>
    </w:p>
    <w:p w14:paraId="5EFA8177" w14:textId="77777777" w:rsidR="00A70B78" w:rsidRPr="007C6A42" w:rsidRDefault="00A70B78" w:rsidP="00A70B78">
      <w:pPr>
        <w:spacing w:line="360" w:lineRule="auto"/>
        <w:ind w:firstLine="720"/>
        <w:contextualSpacing/>
        <w:jc w:val="both"/>
        <w:rPr>
          <w:rFonts w:asciiTheme="majorBidi" w:hAnsiTheme="majorBidi" w:cstheme="majorBidi"/>
          <w:rtl/>
        </w:rPr>
      </w:pPr>
      <w:r w:rsidRPr="007C6A42">
        <w:rPr>
          <w:rFonts w:asciiTheme="majorBidi" w:hAnsiTheme="majorBidi" w:cstheme="majorBidi"/>
        </w:rPr>
        <w:lastRenderedPageBreak/>
        <w:t>L’exégète al-Bayḍāwī explique cette image ainsi : « </w:t>
      </w:r>
      <w:r w:rsidRPr="007C6A42">
        <w:rPr>
          <w:rFonts w:asciiTheme="majorBidi" w:hAnsiTheme="majorBidi" w:cstheme="majorBidi"/>
          <w:rtl/>
        </w:rPr>
        <w:t>ساقطة حيطانها على سقوفها، أو خالية مع بقاء البناء</w:t>
      </w:r>
      <w:r w:rsidRPr="007C6A42">
        <w:rPr>
          <w:rFonts w:asciiTheme="majorBidi" w:hAnsiTheme="majorBidi" w:cstheme="majorBidi"/>
        </w:rPr>
        <w:t> » [dont les murs sont tombés sur leurs toits [déjà écroulés], ou désertes bien que le bâtiment soit debout].</w:t>
      </w:r>
    </w:p>
    <w:p w14:paraId="4B4596EF" w14:textId="77777777" w:rsidR="00A70B78" w:rsidRPr="007C6A42" w:rsidRDefault="00A70B78" w:rsidP="00A70B78">
      <w:pPr>
        <w:spacing w:line="360" w:lineRule="auto"/>
        <w:ind w:firstLine="720"/>
        <w:contextualSpacing/>
        <w:jc w:val="both"/>
        <w:rPr>
          <w:rFonts w:asciiTheme="majorBidi" w:hAnsiTheme="majorBidi" w:cstheme="majorBidi"/>
          <w:rtl/>
        </w:rPr>
      </w:pPr>
      <w:r w:rsidRPr="007C6A42">
        <w:rPr>
          <w:rFonts w:asciiTheme="majorBidi" w:hAnsiTheme="majorBidi" w:cstheme="majorBidi"/>
        </w:rPr>
        <w:t xml:space="preserve">L’image </w:t>
      </w:r>
      <w:r w:rsidRPr="007C6A42">
        <w:rPr>
          <w:rFonts w:asciiTheme="majorBidi" w:hAnsiTheme="majorBidi" w:cstheme="majorBidi"/>
          <w:rtl/>
        </w:rPr>
        <w:t>"خاويةٌ على عُروشِها"</w:t>
      </w:r>
      <w:r w:rsidRPr="007C6A42">
        <w:rPr>
          <w:rFonts w:asciiTheme="majorBidi" w:hAnsiTheme="majorBidi" w:cstheme="majorBidi"/>
        </w:rPr>
        <w:t xml:space="preserve"> est savoureuse, drue, éloquente. Fādī b. Maḥmūd ar-Rayāḥna souligne qu’il n’y a pas plus éloquent que ce verset : </w:t>
      </w:r>
      <w:r w:rsidRPr="007C6A42">
        <w:rPr>
          <w:rFonts w:asciiTheme="majorBidi" w:hAnsiTheme="majorBidi" w:cstheme="majorBidi"/>
          <w:rtl/>
        </w:rPr>
        <w:t xml:space="preserve">"وهل أبلغ في العبرة والعِظة من هذه الآية؟ لأنه أراد: أفلم يسيروا [...] فيرَوا مِن تلك الآثارِ بيوتاً خاوية قد سقطت على عروشها" </w:t>
      </w:r>
      <w:r w:rsidRPr="007C6A42">
        <w:rPr>
          <w:rFonts w:asciiTheme="majorBidi" w:hAnsiTheme="majorBidi" w:cstheme="majorBidi"/>
        </w:rPr>
        <w:t xml:space="preserve"> [« Y a-t-il plus éloquent que ce verset pour exprimer la morale et la leçon ? Car il voulait dire : "</w:t>
      </w:r>
      <w:r w:rsidRPr="007C6A42">
        <w:rPr>
          <w:rFonts w:asciiTheme="majorBidi" w:eastAsia="Calibri" w:hAnsiTheme="majorBidi" w:cstheme="majorBidi"/>
          <w:lang w:bidi="ar-AE"/>
        </w:rPr>
        <w:t>n’ont-ils pas cheminé sur la terre</w:t>
      </w:r>
      <w:r w:rsidRPr="007C6A42">
        <w:rPr>
          <w:rFonts w:asciiTheme="majorBidi" w:hAnsiTheme="majorBidi" w:cstheme="majorBidi"/>
        </w:rPr>
        <w:t xml:space="preserve"> […] et vu parmi ces vestiges des maisons vides et tombées sur leurs assises". »]</w:t>
      </w:r>
      <w:r w:rsidRPr="007C6A42">
        <w:rPr>
          <w:rStyle w:val="Appelnotedebasdep"/>
          <w:rFonts w:asciiTheme="majorBidi" w:hAnsiTheme="majorBidi" w:cstheme="majorBidi"/>
        </w:rPr>
        <w:footnoteReference w:id="570"/>
      </w:r>
      <w:r w:rsidRPr="007C6A42">
        <w:rPr>
          <w:rFonts w:asciiTheme="majorBidi" w:hAnsiTheme="majorBidi" w:cstheme="majorBidi"/>
        </w:rPr>
        <w:t xml:space="preserve">. </w:t>
      </w:r>
    </w:p>
    <w:p w14:paraId="47BC2D75" w14:textId="77777777" w:rsidR="00A70B78" w:rsidRPr="007C6A42" w:rsidRDefault="00A70B78" w:rsidP="00A70B78">
      <w:pPr>
        <w:spacing w:line="360" w:lineRule="auto"/>
        <w:ind w:firstLine="720"/>
        <w:contextualSpacing/>
        <w:jc w:val="both"/>
        <w:rPr>
          <w:rFonts w:asciiTheme="majorBidi" w:hAnsiTheme="majorBidi" w:cstheme="majorBidi"/>
        </w:rPr>
      </w:pPr>
      <w:r w:rsidRPr="007C6A42">
        <w:rPr>
          <w:rFonts w:asciiTheme="majorBidi" w:hAnsiTheme="majorBidi" w:cstheme="majorBidi"/>
        </w:rPr>
        <w:t>Bien que les traducteurs reflètent les significations essentielles de cette image, ils ne peuvent pas en rendre le caractère iconique, sonore, savoureux et rhétorique. Guessous a fait un erreur en conjuguant le verbe au futur (« elles seront ») alors que la phrase arabe est au présent (phrase nominale sans verbe). Certains traducteurs ne montrent pas l’image de la destruction (comme Du Ryer, Blachère, Ghédira).</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0BD0E3E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928CB28" w14:textId="77777777" w:rsidR="00A70B78" w:rsidRPr="007C6A42" w:rsidRDefault="00A70B78" w:rsidP="00AF4FC9">
            <w:pPr>
              <w:spacing w:line="360" w:lineRule="auto"/>
              <w:jc w:val="both"/>
              <w:rPr>
                <w:rFonts w:asciiTheme="majorBidi" w:eastAsia="Times New Roman" w:hAnsiTheme="majorBidi" w:cstheme="majorBidi"/>
                <w:b/>
                <w:bCs/>
              </w:rPr>
            </w:pPr>
          </w:p>
        </w:tc>
        <w:tc>
          <w:tcPr>
            <w:tcW w:w="4580" w:type="dxa"/>
            <w:tcBorders>
              <w:top w:val="single" w:sz="4" w:space="0" w:color="auto"/>
              <w:left w:val="single" w:sz="4" w:space="0" w:color="auto"/>
              <w:bottom w:val="single" w:sz="4" w:space="0" w:color="auto"/>
              <w:right w:val="single" w:sz="4" w:space="0" w:color="auto"/>
            </w:tcBorders>
          </w:tcPr>
          <w:p w14:paraId="4D06755A" w14:textId="77777777" w:rsidR="00A70B78" w:rsidRPr="007C6A42" w:rsidRDefault="00A70B78" w:rsidP="00AF4FC9">
            <w:pPr>
              <w:bidi/>
              <w:spacing w:line="360" w:lineRule="auto"/>
              <w:jc w:val="center"/>
              <w:rPr>
                <w:rFonts w:asciiTheme="majorBidi" w:eastAsia="Times New Roman" w:hAnsiTheme="majorBidi" w:cstheme="majorBidi"/>
                <w:rtl/>
              </w:rPr>
            </w:pPr>
            <w:r w:rsidRPr="007C6A42">
              <w:rPr>
                <w:rFonts w:asciiTheme="majorBidi" w:hAnsiTheme="majorBidi" w:cstheme="majorBidi"/>
                <w:rtl/>
              </w:rPr>
              <w:t>"فهي خاويةٌ على عُروشِها" (٤٥)</w:t>
            </w:r>
          </w:p>
        </w:tc>
      </w:tr>
      <w:tr w:rsidR="00A70B78" w:rsidRPr="007C6A42" w14:paraId="6BBF2AB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7C3BF1A"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D.R. (1647)</w:t>
            </w:r>
          </w:p>
        </w:tc>
        <w:tc>
          <w:tcPr>
            <w:tcW w:w="4580" w:type="dxa"/>
            <w:tcBorders>
              <w:top w:val="single" w:sz="4" w:space="0" w:color="auto"/>
              <w:left w:val="single" w:sz="4" w:space="0" w:color="auto"/>
              <w:bottom w:val="single" w:sz="4" w:space="0" w:color="auto"/>
              <w:right w:val="single" w:sz="4" w:space="0" w:color="auto"/>
            </w:tcBorders>
          </w:tcPr>
          <w:p w14:paraId="5B872C66"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nous les auons bouleuerʃées</w:t>
            </w:r>
          </w:p>
        </w:tc>
      </w:tr>
      <w:tr w:rsidR="00A70B78" w:rsidRPr="007C6A42" w14:paraId="7CE43E1B"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FD7346F"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1E033A67"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Elles sont maintenant ensevelies sous leurs ruines.</w:t>
            </w:r>
          </w:p>
        </w:tc>
      </w:tr>
      <w:tr w:rsidR="00A70B78" w:rsidRPr="007C6A42" w14:paraId="7A6194E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B2F96F4"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4BBF064D" w14:textId="77777777" w:rsidR="00A70B78" w:rsidRPr="007C6A42" w:rsidRDefault="00A70B78" w:rsidP="00AF4FC9">
            <w:pPr>
              <w:spacing w:line="360" w:lineRule="auto"/>
              <w:ind w:right="113"/>
              <w:jc w:val="both"/>
              <w:rPr>
                <w:rFonts w:asciiTheme="majorBidi" w:eastAsia="Times New Roman" w:hAnsiTheme="majorBidi" w:cstheme="majorBidi"/>
                <w:b/>
                <w:bCs/>
              </w:rPr>
            </w:pPr>
            <w:r w:rsidRPr="007C6A42">
              <w:rPr>
                <w:rFonts w:asciiTheme="majorBidi" w:eastAsia="Times New Roman" w:hAnsiTheme="majorBidi" w:cstheme="majorBidi"/>
              </w:rPr>
              <w:t>A l’heure qu’il est elles sont désertes et rasées ;</w:t>
            </w:r>
          </w:p>
        </w:tc>
      </w:tr>
      <w:tr w:rsidR="00A70B78" w:rsidRPr="007C6A42" w14:paraId="69AB4CD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C9984E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Blach. (1949)</w:t>
            </w:r>
          </w:p>
        </w:tc>
        <w:tc>
          <w:tcPr>
            <w:tcW w:w="4580" w:type="dxa"/>
            <w:tcBorders>
              <w:top w:val="single" w:sz="4" w:space="0" w:color="auto"/>
              <w:left w:val="single" w:sz="4" w:space="0" w:color="auto"/>
              <w:bottom w:val="single" w:sz="4" w:space="0" w:color="auto"/>
              <w:right w:val="single" w:sz="4" w:space="0" w:color="auto"/>
            </w:tcBorders>
          </w:tcPr>
          <w:p w14:paraId="788D8EC6" w14:textId="77777777" w:rsidR="00A70B78" w:rsidRPr="007C6A42" w:rsidRDefault="00A70B78" w:rsidP="00AF4FC9">
            <w:pPr>
              <w:spacing w:line="360" w:lineRule="auto"/>
              <w:jc w:val="both"/>
              <w:rPr>
                <w:rFonts w:asciiTheme="majorBidi" w:eastAsia="Times New Roman" w:hAnsiTheme="majorBidi" w:cstheme="majorBidi"/>
                <w:iCs/>
              </w:rPr>
            </w:pPr>
            <w:r w:rsidRPr="007C6A42">
              <w:rPr>
                <w:rFonts w:asciiTheme="majorBidi" w:hAnsiTheme="majorBidi" w:cstheme="majorBidi"/>
                <w:iCs/>
              </w:rPr>
              <w:t>sont [aujourd’hui] désertes bien que debout ( ?) !</w:t>
            </w:r>
          </w:p>
        </w:tc>
      </w:tr>
      <w:tr w:rsidR="00A70B78" w:rsidRPr="007C6A42" w14:paraId="0063B73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BAFF1AD"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Ghéd. (1957)</w:t>
            </w:r>
          </w:p>
        </w:tc>
        <w:tc>
          <w:tcPr>
            <w:tcW w:w="4580" w:type="dxa"/>
            <w:tcBorders>
              <w:top w:val="single" w:sz="4" w:space="0" w:color="auto"/>
              <w:left w:val="single" w:sz="4" w:space="0" w:color="auto"/>
              <w:bottom w:val="single" w:sz="4" w:space="0" w:color="auto"/>
              <w:right w:val="single" w:sz="4" w:space="0" w:color="auto"/>
            </w:tcBorders>
          </w:tcPr>
          <w:p w14:paraId="57D779AD"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A présent, ce ne sont que des toits n’abritant personne ;</w:t>
            </w:r>
          </w:p>
        </w:tc>
      </w:tr>
      <w:tr w:rsidR="00A70B78" w:rsidRPr="007C6A42" w14:paraId="6EEEA83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C77A85F"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Hamid (1959)</w:t>
            </w:r>
          </w:p>
        </w:tc>
        <w:tc>
          <w:tcPr>
            <w:tcW w:w="4580" w:type="dxa"/>
            <w:tcBorders>
              <w:top w:val="single" w:sz="4" w:space="0" w:color="auto"/>
              <w:left w:val="single" w:sz="4" w:space="0" w:color="auto"/>
              <w:bottom w:val="single" w:sz="4" w:space="0" w:color="auto"/>
              <w:right w:val="single" w:sz="4" w:space="0" w:color="auto"/>
            </w:tcBorders>
          </w:tcPr>
          <w:p w14:paraId="6583089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qui en furent réduites aux toits écroulés !</w:t>
            </w:r>
          </w:p>
        </w:tc>
      </w:tr>
      <w:tr w:rsidR="00A70B78" w:rsidRPr="007C6A42" w14:paraId="271D683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4B96A6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B. M. (1962)</w:t>
            </w:r>
          </w:p>
        </w:tc>
        <w:tc>
          <w:tcPr>
            <w:tcW w:w="4580" w:type="dxa"/>
            <w:tcBorders>
              <w:top w:val="single" w:sz="4" w:space="0" w:color="auto"/>
              <w:left w:val="single" w:sz="4" w:space="0" w:color="auto"/>
              <w:bottom w:val="single" w:sz="4" w:space="0" w:color="auto"/>
              <w:right w:val="single" w:sz="4" w:space="0" w:color="auto"/>
            </w:tcBorders>
          </w:tcPr>
          <w:p w14:paraId="6833D27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Elles gisent solitaires au milieu de leurs ruines,</w:t>
            </w:r>
          </w:p>
        </w:tc>
      </w:tr>
      <w:tr w:rsidR="00A70B78" w:rsidRPr="007C6A42" w14:paraId="3EF5910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E349333"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Mass. (1967)</w:t>
            </w:r>
          </w:p>
        </w:tc>
        <w:tc>
          <w:tcPr>
            <w:tcW w:w="4580" w:type="dxa"/>
            <w:tcBorders>
              <w:top w:val="single" w:sz="4" w:space="0" w:color="auto"/>
              <w:left w:val="single" w:sz="4" w:space="0" w:color="auto"/>
              <w:bottom w:val="single" w:sz="4" w:space="0" w:color="auto"/>
              <w:right w:val="single" w:sz="4" w:space="0" w:color="auto"/>
            </w:tcBorders>
          </w:tcPr>
          <w:p w14:paraId="31FFD75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Elles sont maintenant écroulées sur elles-mêmes</w:t>
            </w:r>
          </w:p>
        </w:tc>
      </w:tr>
      <w:tr w:rsidR="00A70B78" w:rsidRPr="007C6A42" w14:paraId="3ACA108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DC8B01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lastRenderedPageBreak/>
              <w:t>Gros. (1972)</w:t>
            </w:r>
          </w:p>
        </w:tc>
        <w:tc>
          <w:tcPr>
            <w:tcW w:w="4580" w:type="dxa"/>
            <w:tcBorders>
              <w:top w:val="single" w:sz="4" w:space="0" w:color="auto"/>
              <w:left w:val="single" w:sz="4" w:space="0" w:color="auto"/>
              <w:bottom w:val="single" w:sz="4" w:space="0" w:color="auto"/>
              <w:right w:val="single" w:sz="4" w:space="0" w:color="auto"/>
            </w:tcBorders>
          </w:tcPr>
          <w:p w14:paraId="47199085"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Et les voilà sous leurs toits écroulés.</w:t>
            </w:r>
          </w:p>
        </w:tc>
      </w:tr>
      <w:tr w:rsidR="00A70B78" w:rsidRPr="007C6A42" w14:paraId="578EFFC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4E85564"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Chour. (1990)</w:t>
            </w:r>
          </w:p>
        </w:tc>
        <w:tc>
          <w:tcPr>
            <w:tcW w:w="4580" w:type="dxa"/>
            <w:tcBorders>
              <w:top w:val="single" w:sz="4" w:space="0" w:color="auto"/>
              <w:left w:val="single" w:sz="4" w:space="0" w:color="auto"/>
              <w:bottom w:val="single" w:sz="4" w:space="0" w:color="auto"/>
              <w:right w:val="single" w:sz="4" w:space="0" w:color="auto"/>
            </w:tcBorders>
          </w:tcPr>
          <w:p w14:paraId="1020DB70"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elles, dépouillées de leurs toitures,</w:t>
            </w:r>
          </w:p>
        </w:tc>
      </w:tr>
      <w:tr w:rsidR="00A70B78" w:rsidRPr="007C6A42" w14:paraId="02FFA49B"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23F72F97"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5CE97378"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Les voilà toutes vides sur leurs assises,</w:t>
            </w:r>
          </w:p>
        </w:tc>
      </w:tr>
      <w:tr w:rsidR="00A70B78" w:rsidRPr="007C6A42" w14:paraId="225D3EE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45A71E7"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Gues. (1999)</w:t>
            </w:r>
          </w:p>
        </w:tc>
        <w:tc>
          <w:tcPr>
            <w:tcW w:w="4580" w:type="dxa"/>
            <w:tcBorders>
              <w:top w:val="single" w:sz="4" w:space="0" w:color="auto"/>
              <w:left w:val="single" w:sz="4" w:space="0" w:color="auto"/>
              <w:bottom w:val="single" w:sz="4" w:space="0" w:color="auto"/>
              <w:right w:val="single" w:sz="4" w:space="0" w:color="auto"/>
            </w:tcBorders>
          </w:tcPr>
          <w:p w14:paraId="3CD0691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Elles seront écroulées, toits affaissés,</w:t>
            </w:r>
          </w:p>
        </w:tc>
      </w:tr>
      <w:tr w:rsidR="00A70B78" w:rsidRPr="007C6A42" w14:paraId="3BE87E5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E41D9D5"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6F4EC5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et dont il ne reste plus que de vagues vestiges :</w:t>
            </w:r>
          </w:p>
        </w:tc>
      </w:tr>
      <w:tr w:rsidR="00A70B78" w:rsidRPr="007C6A42" w14:paraId="002C286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142EA3A"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5F209620"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color w:val="FF0000"/>
              </w:rPr>
            </w:pPr>
            <w:r w:rsidRPr="007C6A42">
              <w:rPr>
                <w:rFonts w:asciiTheme="majorBidi" w:eastAsia="Times New Roman" w:hAnsiTheme="majorBidi" w:cstheme="majorBidi"/>
                <w:color w:val="000000"/>
              </w:rPr>
              <w:t>Elles sont réduites à des toits écroulés :</w:t>
            </w:r>
          </w:p>
        </w:tc>
      </w:tr>
      <w:tr w:rsidR="00A70B78" w:rsidRPr="007C6A42" w14:paraId="7B80A0B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917155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color w:val="000000"/>
              </w:rPr>
              <w:t>Abdel. (2002)</w:t>
            </w:r>
          </w:p>
        </w:tc>
        <w:tc>
          <w:tcPr>
            <w:tcW w:w="4580" w:type="dxa"/>
            <w:tcBorders>
              <w:top w:val="single" w:sz="4" w:space="0" w:color="auto"/>
              <w:left w:val="single" w:sz="4" w:space="0" w:color="auto"/>
              <w:bottom w:val="single" w:sz="4" w:space="0" w:color="auto"/>
              <w:right w:val="single" w:sz="4" w:space="0" w:color="auto"/>
            </w:tcBorders>
          </w:tcPr>
          <w:p w14:paraId="459B8D18"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color w:val="FF0000"/>
              </w:rPr>
            </w:pPr>
            <w:r w:rsidRPr="007C6A42">
              <w:rPr>
                <w:rFonts w:asciiTheme="majorBidi" w:hAnsiTheme="majorBidi" w:cstheme="majorBidi"/>
              </w:rPr>
              <w:t>Les voilà désertes dans leurs ruines,</w:t>
            </w:r>
          </w:p>
        </w:tc>
      </w:tr>
      <w:tr w:rsidR="00A70B78" w:rsidRPr="007C6A42" w14:paraId="025EBFD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0A19160"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2152D915" w14:textId="77777777" w:rsidR="00A70B78" w:rsidRPr="007C6A42" w:rsidRDefault="00A70B78" w:rsidP="00AF4FC9">
            <w:pPr>
              <w:spacing w:line="360" w:lineRule="auto"/>
              <w:jc w:val="both"/>
              <w:rPr>
                <w:rFonts w:asciiTheme="majorBidi" w:eastAsia="Times New Roman" w:hAnsiTheme="majorBidi" w:cstheme="majorBidi"/>
                <w:b/>
                <w:bCs/>
                <w:color w:val="FF0000"/>
                <w:lang w:bidi="ar-KW"/>
              </w:rPr>
            </w:pPr>
            <w:r w:rsidRPr="007C6A42">
              <w:rPr>
                <w:rFonts w:asciiTheme="majorBidi" w:eastAsia="Times New Roman" w:hAnsiTheme="majorBidi" w:cstheme="majorBidi"/>
                <w:lang w:eastAsia="fr-CH"/>
              </w:rPr>
              <w:t>Les voilà vides dans leurs ruines,</w:t>
            </w:r>
          </w:p>
        </w:tc>
      </w:tr>
      <w:tr w:rsidR="00A70B78" w:rsidRPr="007C6A42" w14:paraId="2BF3112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7F354D5"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color w:val="000000"/>
              </w:rPr>
              <w:t>Cheb. (2009)</w:t>
            </w:r>
          </w:p>
        </w:tc>
        <w:tc>
          <w:tcPr>
            <w:tcW w:w="4580" w:type="dxa"/>
            <w:tcBorders>
              <w:top w:val="single" w:sz="4" w:space="0" w:color="auto"/>
              <w:left w:val="single" w:sz="4" w:space="0" w:color="auto"/>
              <w:bottom w:val="single" w:sz="4" w:space="0" w:color="auto"/>
              <w:right w:val="single" w:sz="4" w:space="0" w:color="auto"/>
            </w:tcBorders>
          </w:tcPr>
          <w:p w14:paraId="1D0A372A"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Elles gisent maintenant sombres, abandonnées et inhabitées par leurs occupants,</w:t>
            </w:r>
          </w:p>
        </w:tc>
      </w:tr>
      <w:tr w:rsidR="00A70B78" w:rsidRPr="007C6A42" w14:paraId="70A84EF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6E6CE84" w14:textId="77777777" w:rsidR="00A70B78" w:rsidRPr="007C6A42" w:rsidRDefault="00A70B78" w:rsidP="00AF4FC9">
            <w:pPr>
              <w:spacing w:line="360" w:lineRule="auto"/>
              <w:jc w:val="both"/>
              <w:rPr>
                <w:rFonts w:asciiTheme="majorBidi" w:eastAsia="Times New Roman" w:hAnsiTheme="majorBidi" w:cstheme="majorBidi"/>
                <w:color w:val="000000"/>
              </w:rPr>
            </w:pPr>
            <w:r w:rsidRPr="007C6A42">
              <w:rPr>
                <w:rFonts w:asciiTheme="majorBidi" w:eastAsia="Times New Roman" w:hAnsiTheme="majorBidi" w:cstheme="majorBidi"/>
                <w:color w:val="000000"/>
              </w:rPr>
              <w:t>Haf. (2010)</w:t>
            </w:r>
          </w:p>
        </w:tc>
        <w:tc>
          <w:tcPr>
            <w:tcW w:w="4580" w:type="dxa"/>
            <w:tcBorders>
              <w:top w:val="single" w:sz="4" w:space="0" w:color="auto"/>
              <w:left w:val="single" w:sz="4" w:space="0" w:color="auto"/>
              <w:bottom w:val="single" w:sz="4" w:space="0" w:color="auto"/>
              <w:right w:val="single" w:sz="4" w:space="0" w:color="auto"/>
            </w:tcBorders>
          </w:tcPr>
          <w:p w14:paraId="7F8D7401"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Elles sont désertes et leurs toits se sont effondrés.</w:t>
            </w:r>
          </w:p>
        </w:tc>
      </w:tr>
    </w:tbl>
    <w:p w14:paraId="03E996D3" w14:textId="77777777" w:rsidR="00A70B78" w:rsidRPr="007C6A42" w:rsidRDefault="00A70B78" w:rsidP="00A70B78">
      <w:pPr>
        <w:spacing w:line="360" w:lineRule="auto"/>
        <w:contextualSpacing/>
        <w:jc w:val="both"/>
        <w:rPr>
          <w:rFonts w:asciiTheme="majorBidi" w:eastAsia="Calibri" w:hAnsiTheme="majorBidi" w:cstheme="majorBidi"/>
          <w:rtl/>
        </w:rPr>
      </w:pPr>
    </w:p>
    <w:p w14:paraId="334BC856" w14:textId="77777777" w:rsidR="00A70B78" w:rsidRPr="007C6A42" w:rsidRDefault="00A70B78" w:rsidP="00876BB0">
      <w:pPr>
        <w:pStyle w:val="Paragraphedeliste"/>
        <w:numPr>
          <w:ilvl w:val="0"/>
          <w:numId w:val="115"/>
        </w:numPr>
        <w:bidi w:val="0"/>
        <w:spacing w:line="360" w:lineRule="auto"/>
        <w:contextualSpacing/>
        <w:jc w:val="both"/>
        <w:rPr>
          <w:rFonts w:asciiTheme="majorBidi" w:hAnsiTheme="majorBidi" w:cstheme="majorBidi"/>
          <w:b/>
          <w:bCs/>
          <w:sz w:val="24"/>
          <w:szCs w:val="24"/>
        </w:rPr>
      </w:pPr>
      <w:r w:rsidRPr="007C6A42">
        <w:rPr>
          <w:rFonts w:asciiTheme="majorBidi" w:hAnsiTheme="majorBidi" w:cstheme="majorBidi"/>
          <w:b/>
          <w:bCs/>
          <w:sz w:val="24"/>
          <w:szCs w:val="24"/>
        </w:rPr>
        <w:t>Traduction de l’image « </w:t>
      </w:r>
      <w:r w:rsidRPr="007C6A42">
        <w:rPr>
          <w:rFonts w:asciiTheme="majorBidi" w:hAnsiTheme="majorBidi" w:cstheme="majorBidi"/>
          <w:b/>
          <w:bCs/>
          <w:sz w:val="24"/>
          <w:szCs w:val="24"/>
          <w:rtl/>
        </w:rPr>
        <w:t>فإنها لا تعمى الأبصارُ ولكن تعمى القلوبُ التي في الصدور</w:t>
      </w:r>
      <w:r w:rsidRPr="007C6A42">
        <w:rPr>
          <w:rFonts w:asciiTheme="majorBidi" w:hAnsiTheme="majorBidi" w:cstheme="majorBidi"/>
          <w:b/>
          <w:bCs/>
          <w:sz w:val="24"/>
          <w:szCs w:val="24"/>
        </w:rPr>
        <w:t> » (v. 46) :</w:t>
      </w:r>
    </w:p>
    <w:p w14:paraId="7D51611B" w14:textId="77777777" w:rsidR="00A70B78" w:rsidRPr="007C6A42" w:rsidRDefault="00A70B78" w:rsidP="00A70B78">
      <w:pPr>
        <w:spacing w:line="360" w:lineRule="auto"/>
        <w:ind w:firstLine="720"/>
        <w:contextualSpacing/>
        <w:jc w:val="both"/>
        <w:rPr>
          <w:rFonts w:asciiTheme="majorBidi" w:hAnsiTheme="majorBidi" w:cstheme="majorBidi"/>
        </w:rPr>
      </w:pPr>
      <w:r w:rsidRPr="007C6A42">
        <w:rPr>
          <w:rFonts w:asciiTheme="majorBidi" w:hAnsiTheme="majorBidi" w:cstheme="majorBidi"/>
        </w:rPr>
        <w:t>Cette image qui passe presque comme un proverbe souligne la force de la perspicacité, du discernement, et la capacité de tirer des leçons des vestiges. Elle voudrait dire que la vraie cécité est l’absence du discernement. Les traducteurs donnent une traduction plus ou moins littérale qui puisse garder les détails de l’image d’origine au détriment de sa saveur rhétorique et proverbiale. Cette image contient une sorte de métaphore complexe ou proverbiale (</w:t>
      </w:r>
      <w:r w:rsidRPr="007C6A42">
        <w:rPr>
          <w:rFonts w:asciiTheme="majorBidi" w:hAnsiTheme="majorBidi" w:cstheme="majorBidi"/>
          <w:i/>
          <w:iCs/>
        </w:rPr>
        <w:t>istiʿāra murakkaba aw tamthīlyya</w:t>
      </w:r>
      <w:r w:rsidRPr="007C6A42">
        <w:rPr>
          <w:rFonts w:asciiTheme="majorBidi" w:hAnsiTheme="majorBidi" w:cstheme="majorBidi"/>
        </w:rPr>
        <w:t>).</w:t>
      </w:r>
      <w:r w:rsidRPr="007C6A42">
        <w:rPr>
          <w:rStyle w:val="Appelnotedebasdep"/>
          <w:rFonts w:asciiTheme="majorBidi" w:hAnsiTheme="majorBidi" w:cstheme="majorBidi"/>
        </w:rPr>
        <w:footnoteReference w:id="571"/>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7D41E22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6074F28" w14:textId="77777777" w:rsidR="00A70B78" w:rsidRPr="007C6A42" w:rsidRDefault="00A70B78" w:rsidP="00AF4FC9">
            <w:pPr>
              <w:spacing w:line="360" w:lineRule="auto"/>
              <w:jc w:val="both"/>
              <w:rPr>
                <w:rFonts w:asciiTheme="majorBidi" w:eastAsia="Times New Roman" w:hAnsiTheme="majorBidi" w:cstheme="majorBidi"/>
                <w:b/>
                <w:bCs/>
              </w:rPr>
            </w:pPr>
          </w:p>
        </w:tc>
        <w:tc>
          <w:tcPr>
            <w:tcW w:w="4580" w:type="dxa"/>
            <w:tcBorders>
              <w:top w:val="single" w:sz="4" w:space="0" w:color="auto"/>
              <w:left w:val="single" w:sz="4" w:space="0" w:color="auto"/>
              <w:bottom w:val="single" w:sz="4" w:space="0" w:color="auto"/>
              <w:right w:val="single" w:sz="4" w:space="0" w:color="auto"/>
            </w:tcBorders>
          </w:tcPr>
          <w:p w14:paraId="51747F3B" w14:textId="77777777" w:rsidR="00A70B78" w:rsidRPr="007C6A42" w:rsidRDefault="00A70B78" w:rsidP="00AF4FC9">
            <w:pPr>
              <w:bidi/>
              <w:spacing w:line="360" w:lineRule="auto"/>
              <w:rPr>
                <w:rFonts w:asciiTheme="majorBidi" w:eastAsia="Times New Roman" w:hAnsiTheme="majorBidi" w:cstheme="majorBidi"/>
                <w:rtl/>
              </w:rPr>
            </w:pPr>
            <w:r w:rsidRPr="007C6A42">
              <w:rPr>
                <w:rFonts w:asciiTheme="majorBidi" w:hAnsiTheme="majorBidi" w:cstheme="majorBidi"/>
                <w:rtl/>
              </w:rPr>
              <w:t xml:space="preserve">"فإنها لا تَعمى الأبصارُ ولكن تعمى القلوبُ التي في </w:t>
            </w:r>
            <w:r w:rsidRPr="007C6A42">
              <w:rPr>
                <w:rFonts w:asciiTheme="majorBidi" w:hAnsiTheme="majorBidi" w:cstheme="majorBidi"/>
                <w:rtl/>
              </w:rPr>
              <w:lastRenderedPageBreak/>
              <w:t>الصدور" (٤٦)</w:t>
            </w:r>
          </w:p>
        </w:tc>
      </w:tr>
      <w:tr w:rsidR="00A70B78" w:rsidRPr="007C6A42" w14:paraId="5627E65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638D1B2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lastRenderedPageBreak/>
              <w:t>D.R. (1647)</w:t>
            </w:r>
          </w:p>
        </w:tc>
        <w:tc>
          <w:tcPr>
            <w:tcW w:w="4580" w:type="dxa"/>
            <w:tcBorders>
              <w:top w:val="single" w:sz="4" w:space="0" w:color="auto"/>
              <w:left w:val="single" w:sz="4" w:space="0" w:color="auto"/>
              <w:bottom w:val="single" w:sz="4" w:space="0" w:color="auto"/>
              <w:right w:val="single" w:sz="4" w:space="0" w:color="auto"/>
            </w:tcBorders>
          </w:tcPr>
          <w:p w14:paraId="37586BAF"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Leurs yeux ne ʃont pas aueuglez, mais leurs cœurs ʃont abeugles &amp; endurcis</w:t>
            </w:r>
          </w:p>
        </w:tc>
      </w:tr>
      <w:tr w:rsidR="00A70B78" w:rsidRPr="007C6A42" w14:paraId="6CB7570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3BCD30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0DF78BB5"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Leurs yeux ne sont point fermés à la lumière ; mais leurs cœurs sont aveugles.</w:t>
            </w:r>
          </w:p>
        </w:tc>
      </w:tr>
      <w:tr w:rsidR="00A70B78" w:rsidRPr="007C6A42" w14:paraId="0BBABB7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0926AD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1C19255A" w14:textId="77777777" w:rsidR="00A70B78" w:rsidRPr="007C6A42" w:rsidRDefault="00A70B78" w:rsidP="00AF4FC9">
            <w:pPr>
              <w:spacing w:line="360" w:lineRule="auto"/>
              <w:ind w:right="113"/>
              <w:jc w:val="both"/>
              <w:rPr>
                <w:rFonts w:asciiTheme="majorBidi" w:eastAsia="Times New Roman" w:hAnsiTheme="majorBidi" w:cstheme="majorBidi"/>
              </w:rPr>
            </w:pPr>
            <w:r w:rsidRPr="007C6A42">
              <w:rPr>
                <w:rFonts w:asciiTheme="majorBidi" w:eastAsia="Times New Roman" w:hAnsiTheme="majorBidi" w:cstheme="majorBidi"/>
              </w:rPr>
              <w:t>Leurs yeux ne sont point privés de la vue, mais leurs cœurs, ensevelis dans leurs poitrines, sont aveugles.</w:t>
            </w:r>
          </w:p>
        </w:tc>
      </w:tr>
      <w:tr w:rsidR="00A70B78" w:rsidRPr="007C6A42" w14:paraId="4BA2B8A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5B6D94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22B9C40C" w14:textId="77777777" w:rsidR="00A70B78" w:rsidRPr="007C6A42" w:rsidRDefault="00A70B78" w:rsidP="00AF4FC9">
            <w:pPr>
              <w:tabs>
                <w:tab w:val="left" w:pos="0"/>
              </w:tabs>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Non ! Ce ne sont pas les yeux qui sont aveugles, mais ce sont les cœurs dans les poitrines qui sont aveugles.</w:t>
            </w:r>
          </w:p>
        </w:tc>
      </w:tr>
      <w:tr w:rsidR="00A70B78" w:rsidRPr="007C6A42" w14:paraId="014FFBC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C91E22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439D36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Non ! Ce ne sont pas leurs yeux qui ne voient pas, mais ce sont leurs cœurs palpitant dans leurs poitrines, qui sont aveugles.</w:t>
            </w:r>
          </w:p>
        </w:tc>
      </w:tr>
      <w:tr w:rsidR="00A70B78" w:rsidRPr="007C6A42" w14:paraId="7C328D9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47A120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0A12542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Car ce ne sont pas les yeux qui s’aveuglent, en vérité ; mais ce sont les cœurs, dans les poitrines, qui s’aveuglent.</w:t>
            </w:r>
          </w:p>
        </w:tc>
      </w:tr>
      <w:tr w:rsidR="00A70B78" w:rsidRPr="007C6A42" w14:paraId="6AEA518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A6DDF20"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2415946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Ce ne sont pas leurs yeux qui ne voient pas. Ce sont leurs esprits qui, faute de s’extérioriser, ne voient pas.</w:t>
            </w:r>
          </w:p>
        </w:tc>
      </w:tr>
      <w:tr w:rsidR="00A70B78" w:rsidRPr="007C6A42" w14:paraId="4ECC21D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A47D29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706787A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Ce ne sont pas leurs yeux qui sont aveugles, mais ce sont leurs cœurs qui sont aveugles dans leurs poitrines.</w:t>
            </w:r>
          </w:p>
        </w:tc>
      </w:tr>
      <w:tr w:rsidR="00A70B78" w:rsidRPr="007C6A42" w14:paraId="3B6B8825"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83AAE24"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Gros. (1972)</w:t>
            </w:r>
          </w:p>
        </w:tc>
        <w:tc>
          <w:tcPr>
            <w:tcW w:w="4580" w:type="dxa"/>
            <w:tcBorders>
              <w:top w:val="single" w:sz="4" w:space="0" w:color="auto"/>
              <w:left w:val="single" w:sz="4" w:space="0" w:color="auto"/>
              <w:bottom w:val="single" w:sz="4" w:space="0" w:color="auto"/>
              <w:right w:val="single" w:sz="4" w:space="0" w:color="auto"/>
            </w:tcBorders>
          </w:tcPr>
          <w:p w14:paraId="4E3752A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Car ce ne sont pas les yeux qui s’aveuglent, mais les cœurs dans les poitrines.</w:t>
            </w:r>
          </w:p>
        </w:tc>
      </w:tr>
      <w:tr w:rsidR="00A70B78" w:rsidRPr="007C6A42" w14:paraId="1164D7E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752D05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2F0FEF87"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Leurs regards ne sont pas aveugles, mais aveugles les cœurs dans les poitrines.</w:t>
            </w:r>
          </w:p>
        </w:tc>
      </w:tr>
      <w:tr w:rsidR="00A70B78" w:rsidRPr="007C6A42" w14:paraId="7B1597D2"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64BC5651"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28485C9C"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Or, ce ne sont pas les regards qui sont aveugles, mais s’aveuglent les cœurs qui battent dans les poitrines.</w:t>
            </w:r>
          </w:p>
        </w:tc>
      </w:tr>
      <w:tr w:rsidR="00A70B78" w:rsidRPr="007C6A42" w14:paraId="7647E41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66E5A9D"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Gues. (1999)</w:t>
            </w:r>
          </w:p>
        </w:tc>
        <w:tc>
          <w:tcPr>
            <w:tcW w:w="4580" w:type="dxa"/>
            <w:tcBorders>
              <w:top w:val="single" w:sz="4" w:space="0" w:color="auto"/>
              <w:left w:val="single" w:sz="4" w:space="0" w:color="auto"/>
              <w:bottom w:val="single" w:sz="4" w:space="0" w:color="auto"/>
              <w:right w:val="single" w:sz="4" w:space="0" w:color="auto"/>
            </w:tcBorders>
          </w:tcPr>
          <w:p w14:paraId="5296EE4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Leurs yeux ne sont point atteints de cécité, </w:t>
            </w:r>
          </w:p>
          <w:p w14:paraId="03412C2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Mais leurs cœurs dans leurs poitrines sont aveuglés.</w:t>
            </w:r>
          </w:p>
        </w:tc>
      </w:tr>
      <w:tr w:rsidR="00A70B78" w:rsidRPr="007C6A42" w14:paraId="79DABC3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F06B70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7FA86294"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En vérité, ce ne sont pas les yeux qui se trouvent atteints de cécité, mais ce sont les cœurs qui battent dans les poitrines qui s’aveuglent.</w:t>
            </w:r>
          </w:p>
        </w:tc>
      </w:tr>
      <w:tr w:rsidR="00A70B78" w:rsidRPr="007C6A42" w14:paraId="6BD7674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772FB38"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711C7592"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Car ce ne sont pas les yeux qui s’aveuglent, mais, ce sont les cœurs dans les poitrines qui s’aveuglent.</w:t>
            </w:r>
          </w:p>
        </w:tc>
      </w:tr>
      <w:tr w:rsidR="00A70B78" w:rsidRPr="007C6A42" w14:paraId="50C5480C"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1A14DAE"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642DEC0B"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hAnsiTheme="majorBidi" w:cstheme="majorBidi"/>
              </w:rPr>
              <w:t>En fait, ce ne sont pas les yeux qui s’aveuglent, ce qui s’aveugle, ce sont les cœurs qui sont dans les poitrines.</w:t>
            </w:r>
          </w:p>
        </w:tc>
      </w:tr>
      <w:tr w:rsidR="00A70B78" w:rsidRPr="007C6A42" w14:paraId="73BFA7D4"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B69DD5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675CF213"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Car ce ne sont pas les regards qui s’aveuglent, mais ce sont les cœurs dans les poitrines qui s’aveuglent.</w:t>
            </w:r>
          </w:p>
        </w:tc>
      </w:tr>
      <w:tr w:rsidR="00A70B78" w:rsidRPr="007C6A42" w14:paraId="4C1DD910"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1A96638F"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16761C06"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Ce ne sont pas les yeux qui cessent de voir, mais les cœurs qui, au sein des poitrines, sont atteints de cécité.</w:t>
            </w:r>
          </w:p>
        </w:tc>
      </w:tr>
      <w:tr w:rsidR="00A70B78" w:rsidRPr="007C6A42" w14:paraId="34DA7C6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01D0E3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65B6E776"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Ce ne sont pas les yeux qui sont aveugles, mais ce sont les cœurs contenus dans les poitrines qui sont atteints de cécité.</w:t>
            </w:r>
          </w:p>
        </w:tc>
      </w:tr>
    </w:tbl>
    <w:p w14:paraId="3CE3296D" w14:textId="77777777" w:rsidR="00A70B78" w:rsidRPr="007C6A42" w:rsidRDefault="00A70B78" w:rsidP="00A70B78">
      <w:pPr>
        <w:spacing w:line="360" w:lineRule="auto"/>
        <w:contextualSpacing/>
        <w:jc w:val="both"/>
        <w:rPr>
          <w:rFonts w:asciiTheme="majorBidi" w:eastAsia="Calibri" w:hAnsiTheme="majorBidi" w:cstheme="majorBidi"/>
          <w:lang w:bidi="ar-AE"/>
        </w:rPr>
      </w:pPr>
    </w:p>
    <w:p w14:paraId="71B9024D" w14:textId="77777777" w:rsidR="00A70B78" w:rsidRPr="007C6A42" w:rsidRDefault="00A70B78" w:rsidP="00A70B78">
      <w:pPr>
        <w:spacing w:line="360" w:lineRule="auto"/>
        <w:ind w:firstLine="360"/>
        <w:contextualSpacing/>
        <w:jc w:val="both"/>
        <w:rPr>
          <w:rFonts w:asciiTheme="majorBidi" w:eastAsia="Calibri" w:hAnsiTheme="majorBidi" w:cstheme="majorBidi"/>
        </w:rPr>
      </w:pPr>
      <w:r w:rsidRPr="007C6A42">
        <w:rPr>
          <w:rFonts w:asciiTheme="majorBidi" w:eastAsia="Calibri" w:hAnsiTheme="majorBidi" w:cstheme="majorBidi"/>
          <w:lang w:bidi="ar-AE"/>
        </w:rPr>
        <w:t>Bien que les traductions susmentionnées du verset 46 soient littérales, certains traducteurs font des ajouts explicatifs ou stylistiques : « et endurcis » (Du Ryer), « à la lumière » (Savary), « ensevelis » (Kazimirski), « palpitant » (Ghédira), « faute de s’extérioriser » (Ben Mahmoud), « qui battent » (Berque &amp; Chiadmi). En revanche, Du Ryer et Savary font des omissions en ignorant de traduire « </w:t>
      </w:r>
      <w:r w:rsidRPr="007C6A42">
        <w:rPr>
          <w:rFonts w:asciiTheme="majorBidi" w:eastAsia="Calibri" w:hAnsiTheme="majorBidi" w:cstheme="majorBidi"/>
          <w:rtl/>
        </w:rPr>
        <w:t>التي في الصدور</w:t>
      </w:r>
      <w:r w:rsidRPr="007C6A42">
        <w:rPr>
          <w:rFonts w:asciiTheme="majorBidi" w:eastAsia="Calibri" w:hAnsiTheme="majorBidi" w:cstheme="majorBidi"/>
        </w:rPr>
        <w:t xml:space="preserve"> ». Nous remarquons aussi que les trois traducteurs maghrébins (Guessous, Chebel et Hafiane) ont choisi la même traduction différente des autres pour le verbe </w:t>
      </w:r>
      <w:r w:rsidRPr="007C6A42">
        <w:rPr>
          <w:rFonts w:asciiTheme="majorBidi" w:eastAsia="Calibri" w:hAnsiTheme="majorBidi" w:cstheme="majorBidi"/>
          <w:i/>
          <w:iCs/>
        </w:rPr>
        <w:t>taʿmā</w:t>
      </w:r>
      <w:r w:rsidRPr="007C6A42">
        <w:rPr>
          <w:rFonts w:asciiTheme="majorBidi" w:eastAsia="Calibri" w:hAnsiTheme="majorBidi" w:cstheme="majorBidi"/>
        </w:rPr>
        <w:t xml:space="preserve"> [</w:t>
      </w:r>
      <w:r w:rsidRPr="007C6A42">
        <w:rPr>
          <w:rFonts w:asciiTheme="majorBidi" w:eastAsia="Calibri" w:hAnsiTheme="majorBidi" w:cstheme="majorBidi"/>
          <w:i/>
          <w:iCs/>
        </w:rPr>
        <w:t>litt.</w:t>
      </w:r>
      <w:r w:rsidRPr="007C6A42">
        <w:rPr>
          <w:rFonts w:asciiTheme="majorBidi" w:eastAsia="Calibri" w:hAnsiTheme="majorBidi" w:cstheme="majorBidi"/>
        </w:rPr>
        <w:t xml:space="preserve"> : elle s’aveugle] : « atteints de cécité ». </w:t>
      </w:r>
    </w:p>
    <w:p w14:paraId="619A3DA8" w14:textId="77777777" w:rsidR="00A70B78" w:rsidRPr="007C6A42" w:rsidRDefault="00A70B78" w:rsidP="00A70B78">
      <w:pPr>
        <w:spacing w:line="360" w:lineRule="auto"/>
        <w:ind w:firstLine="360"/>
        <w:contextualSpacing/>
        <w:jc w:val="both"/>
        <w:rPr>
          <w:rFonts w:asciiTheme="majorBidi" w:eastAsia="Calibri" w:hAnsiTheme="majorBidi" w:cstheme="majorBidi"/>
        </w:rPr>
      </w:pPr>
      <w:r w:rsidRPr="007C6A42">
        <w:rPr>
          <w:rFonts w:asciiTheme="majorBidi" w:eastAsia="Calibri" w:hAnsiTheme="majorBidi" w:cstheme="majorBidi"/>
        </w:rPr>
        <w:lastRenderedPageBreak/>
        <w:t xml:space="preserve">Si le verset arabe emploie les termes </w:t>
      </w:r>
      <w:r w:rsidRPr="007C6A42">
        <w:rPr>
          <w:rFonts w:asciiTheme="majorBidi" w:eastAsia="Calibri" w:hAnsiTheme="majorBidi" w:cstheme="majorBidi"/>
          <w:i/>
          <w:iCs/>
        </w:rPr>
        <w:t>al-abṣār</w:t>
      </w:r>
      <w:r w:rsidRPr="007C6A42">
        <w:rPr>
          <w:rFonts w:asciiTheme="majorBidi" w:eastAsia="Calibri" w:hAnsiTheme="majorBidi" w:cstheme="majorBidi"/>
        </w:rPr>
        <w:t xml:space="preserve"> et </w:t>
      </w:r>
      <w:r w:rsidRPr="007C6A42">
        <w:rPr>
          <w:rFonts w:asciiTheme="majorBidi" w:eastAsia="Calibri" w:hAnsiTheme="majorBidi" w:cstheme="majorBidi"/>
          <w:i/>
          <w:iCs/>
        </w:rPr>
        <w:t>al-qulūb</w:t>
      </w:r>
      <w:r w:rsidRPr="007C6A42">
        <w:rPr>
          <w:rFonts w:asciiTheme="majorBidi" w:eastAsia="Calibri" w:hAnsiTheme="majorBidi" w:cstheme="majorBidi"/>
        </w:rPr>
        <w:t xml:space="preserve"> comme définis sans adjectifs possessifs, pour indiquer une vérité générale qui passe pour un proverbe, sept traducteurs (Du Ryer, Savary, Kazimirski, Ghédira, Ben Mahmoud, Masson et Chouraqui) ont modifié le déterminant de ces deux termes en employant l’adjectif possessif « leurs ». Les autres ont respecté la littéralité du verset d’origine.</w:t>
      </w:r>
    </w:p>
    <w:p w14:paraId="753C2F45" w14:textId="77777777" w:rsidR="00A70B78" w:rsidRPr="007C6A42" w:rsidRDefault="00A70B78" w:rsidP="00A70B78">
      <w:pPr>
        <w:spacing w:line="360" w:lineRule="auto"/>
        <w:ind w:firstLine="360"/>
        <w:contextualSpacing/>
        <w:jc w:val="both"/>
        <w:rPr>
          <w:rFonts w:asciiTheme="majorBidi" w:eastAsia="Calibri" w:hAnsiTheme="majorBidi" w:cstheme="majorBidi"/>
        </w:rPr>
      </w:pPr>
      <w:r w:rsidRPr="007C6A42">
        <w:rPr>
          <w:rFonts w:asciiTheme="majorBidi" w:eastAsia="Calibri" w:hAnsiTheme="majorBidi" w:cstheme="majorBidi"/>
        </w:rPr>
        <w:t>Le phrase en question (qui est la clausule du verset 46) commence par une conjonction de coordination « </w:t>
      </w:r>
      <w:r w:rsidRPr="007C6A42">
        <w:rPr>
          <w:rFonts w:asciiTheme="majorBidi" w:eastAsia="Calibri" w:hAnsiTheme="majorBidi" w:cstheme="majorBidi"/>
          <w:i/>
          <w:iCs/>
        </w:rPr>
        <w:t>fa-</w:t>
      </w:r>
      <w:r w:rsidRPr="007C6A42">
        <w:rPr>
          <w:rFonts w:asciiTheme="majorBidi" w:eastAsia="Calibri" w:hAnsiTheme="majorBidi" w:cstheme="majorBidi"/>
        </w:rPr>
        <w:t> » (« </w:t>
      </w:r>
      <w:r w:rsidRPr="007C6A42">
        <w:rPr>
          <w:rFonts w:asciiTheme="majorBidi" w:eastAsia="Calibri" w:hAnsiTheme="majorBidi" w:cstheme="majorBidi"/>
          <w:b/>
          <w:bCs/>
          <w:rtl/>
        </w:rPr>
        <w:t>فـ</w:t>
      </w:r>
      <w:r w:rsidRPr="007C6A42">
        <w:rPr>
          <w:rFonts w:asciiTheme="majorBidi" w:eastAsia="Calibri" w:hAnsiTheme="majorBidi" w:cstheme="majorBidi"/>
          <w:rtl/>
        </w:rPr>
        <w:t>ــإنها لا تعمى الأبصار</w:t>
      </w:r>
      <w:r w:rsidRPr="007C6A42">
        <w:rPr>
          <w:rFonts w:asciiTheme="majorBidi" w:eastAsia="Calibri" w:hAnsiTheme="majorBidi" w:cstheme="majorBidi"/>
        </w:rPr>
        <w:t xml:space="preserve"> ») qui explique ou justifie ce qui précède. Ce connecteur est omis par la plupart des traducteurs. Cependant, certains traducteurs le traduisent par : « car » (Hamidullah, Grosjean et Aldeeb), « or » (Berque) et « en fait » (Abdelaziz). </w:t>
      </w:r>
    </w:p>
    <w:p w14:paraId="20EE50B8" w14:textId="77777777" w:rsidR="00A70B78" w:rsidRPr="007C6A42" w:rsidRDefault="00A70B78" w:rsidP="00A70B78">
      <w:pPr>
        <w:spacing w:line="360" w:lineRule="auto"/>
        <w:ind w:firstLine="360"/>
        <w:contextualSpacing/>
        <w:jc w:val="both"/>
        <w:rPr>
          <w:rFonts w:asciiTheme="majorBidi" w:eastAsia="Calibri" w:hAnsiTheme="majorBidi" w:cstheme="majorBidi"/>
          <w:lang w:bidi="ar-AE"/>
        </w:rPr>
      </w:pPr>
    </w:p>
    <w:p w14:paraId="719B76FC" w14:textId="77777777" w:rsidR="00A70B78" w:rsidRPr="007C6A42" w:rsidRDefault="00A70B78" w:rsidP="00876BB0">
      <w:pPr>
        <w:pStyle w:val="Paragraphedeliste"/>
        <w:numPr>
          <w:ilvl w:val="0"/>
          <w:numId w:val="115"/>
        </w:numPr>
        <w:bidi w:val="0"/>
        <w:spacing w:line="360" w:lineRule="auto"/>
        <w:contextualSpacing/>
        <w:jc w:val="both"/>
        <w:rPr>
          <w:rFonts w:asciiTheme="majorBidi" w:eastAsia="Calibri" w:hAnsiTheme="majorBidi" w:cstheme="majorBidi"/>
          <w:b/>
          <w:bCs/>
          <w:sz w:val="24"/>
          <w:szCs w:val="24"/>
          <w:lang w:bidi="ar-AE"/>
        </w:rPr>
      </w:pPr>
      <w:r w:rsidRPr="007C6A42">
        <w:rPr>
          <w:rFonts w:asciiTheme="majorBidi" w:eastAsia="Calibri" w:hAnsiTheme="majorBidi" w:cstheme="majorBidi"/>
          <w:b/>
          <w:bCs/>
          <w:sz w:val="24"/>
          <w:szCs w:val="24"/>
          <w:lang w:bidi="ar-AE"/>
        </w:rPr>
        <w:t>Traduction de l’image « </w:t>
      </w:r>
      <w:r w:rsidRPr="007C6A42">
        <w:rPr>
          <w:rFonts w:asciiTheme="majorBidi" w:eastAsia="Calibri" w:hAnsiTheme="majorBidi" w:cstheme="majorBidi"/>
          <w:b/>
          <w:bCs/>
          <w:sz w:val="24"/>
          <w:szCs w:val="24"/>
          <w:rtl/>
          <w:lang w:bidi="ar-AE"/>
        </w:rPr>
        <w:t>يولج الليلَ في النهار ويولج النهارِ في الليل</w:t>
      </w:r>
      <w:r w:rsidRPr="007C6A42">
        <w:rPr>
          <w:rFonts w:asciiTheme="majorBidi" w:eastAsia="Calibri" w:hAnsiTheme="majorBidi" w:cstheme="majorBidi"/>
          <w:b/>
          <w:bCs/>
          <w:i/>
          <w:iCs/>
          <w:sz w:val="24"/>
          <w:szCs w:val="24"/>
          <w:lang w:bidi="ar-AE"/>
        </w:rPr>
        <w:t> </w:t>
      </w:r>
      <w:r w:rsidRPr="007C6A42">
        <w:rPr>
          <w:rFonts w:asciiTheme="majorBidi" w:eastAsia="Calibri" w:hAnsiTheme="majorBidi" w:cstheme="majorBidi"/>
          <w:b/>
          <w:bCs/>
          <w:sz w:val="24"/>
          <w:szCs w:val="24"/>
          <w:lang w:bidi="ar-AE"/>
        </w:rPr>
        <w:t>» (v. 61) :</w:t>
      </w:r>
    </w:p>
    <w:tbl>
      <w:tblPr>
        <w:tblW w:w="6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4580"/>
      </w:tblGrid>
      <w:tr w:rsidR="00A70B78" w:rsidRPr="007C6A42" w14:paraId="053A536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430A112" w14:textId="77777777" w:rsidR="00A70B78" w:rsidRPr="007C6A42" w:rsidRDefault="00A70B78" w:rsidP="00AF4FC9">
            <w:pPr>
              <w:spacing w:line="360" w:lineRule="auto"/>
              <w:jc w:val="both"/>
              <w:rPr>
                <w:rFonts w:asciiTheme="majorBidi" w:eastAsia="Times New Roman" w:hAnsiTheme="majorBidi" w:cstheme="majorBidi"/>
                <w:b/>
                <w:bCs/>
              </w:rPr>
            </w:pPr>
          </w:p>
        </w:tc>
        <w:tc>
          <w:tcPr>
            <w:tcW w:w="4580" w:type="dxa"/>
            <w:tcBorders>
              <w:top w:val="single" w:sz="4" w:space="0" w:color="auto"/>
              <w:left w:val="single" w:sz="4" w:space="0" w:color="auto"/>
              <w:bottom w:val="single" w:sz="4" w:space="0" w:color="auto"/>
              <w:right w:val="single" w:sz="4" w:space="0" w:color="auto"/>
            </w:tcBorders>
          </w:tcPr>
          <w:p w14:paraId="08A035BD" w14:textId="77777777" w:rsidR="00A70B78" w:rsidRPr="007C6A42" w:rsidRDefault="00A70B78" w:rsidP="00AF4FC9">
            <w:pPr>
              <w:bidi/>
              <w:spacing w:line="360" w:lineRule="auto"/>
              <w:rPr>
                <w:rFonts w:asciiTheme="majorBidi" w:eastAsia="Times New Roman" w:hAnsiTheme="majorBidi" w:cstheme="majorBidi"/>
                <w:rtl/>
              </w:rPr>
            </w:pPr>
            <w:r w:rsidRPr="007C6A42">
              <w:rPr>
                <w:rFonts w:asciiTheme="majorBidi" w:hAnsiTheme="majorBidi" w:cstheme="majorBidi"/>
                <w:rtl/>
              </w:rPr>
              <w:t>"ذلك بأن الله يُولِجُ الليلَ في النهار ويُولجُ النهارَ في الليل" (٦١)</w:t>
            </w:r>
          </w:p>
        </w:tc>
      </w:tr>
      <w:tr w:rsidR="00A70B78" w:rsidRPr="007C6A42" w14:paraId="5AA05889"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299F462E"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4580" w:type="dxa"/>
            <w:tcBorders>
              <w:top w:val="single" w:sz="4" w:space="0" w:color="auto"/>
              <w:left w:val="single" w:sz="4" w:space="0" w:color="auto"/>
              <w:bottom w:val="single" w:sz="4" w:space="0" w:color="auto"/>
              <w:right w:val="single" w:sz="4" w:space="0" w:color="auto"/>
            </w:tcBorders>
          </w:tcPr>
          <w:p w14:paraId="5E54146C"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fait entrer le iour dans la nuit, &amp; la nuit dans le iour</w:t>
            </w:r>
          </w:p>
        </w:tc>
      </w:tr>
      <w:tr w:rsidR="00A70B78" w:rsidRPr="007C6A42" w14:paraId="3ACA83F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4716FC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4580" w:type="dxa"/>
            <w:tcBorders>
              <w:top w:val="single" w:sz="4" w:space="0" w:color="auto"/>
              <w:left w:val="single" w:sz="4" w:space="0" w:color="auto"/>
              <w:bottom w:val="single" w:sz="4" w:space="0" w:color="auto"/>
              <w:right w:val="single" w:sz="4" w:space="0" w:color="auto"/>
            </w:tcBorders>
          </w:tcPr>
          <w:p w14:paraId="1EDA6111"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Il fait succéder la nuit au jour, et le jour à la nuit.</w:t>
            </w:r>
          </w:p>
        </w:tc>
      </w:tr>
      <w:tr w:rsidR="00A70B78" w:rsidRPr="007C6A42" w14:paraId="025FD6BD"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63697A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Kaz. (1840)</w:t>
            </w:r>
          </w:p>
        </w:tc>
        <w:tc>
          <w:tcPr>
            <w:tcW w:w="4580" w:type="dxa"/>
            <w:tcBorders>
              <w:top w:val="single" w:sz="4" w:space="0" w:color="auto"/>
              <w:left w:val="single" w:sz="4" w:space="0" w:color="auto"/>
              <w:bottom w:val="single" w:sz="4" w:space="0" w:color="auto"/>
              <w:right w:val="single" w:sz="4" w:space="0" w:color="auto"/>
            </w:tcBorders>
          </w:tcPr>
          <w:p w14:paraId="77654047" w14:textId="77777777" w:rsidR="00A70B78" w:rsidRPr="007C6A42" w:rsidRDefault="00A70B78" w:rsidP="00AF4FC9">
            <w:pPr>
              <w:spacing w:line="360" w:lineRule="auto"/>
              <w:ind w:right="113"/>
              <w:jc w:val="both"/>
              <w:rPr>
                <w:rFonts w:asciiTheme="majorBidi" w:eastAsia="Times New Roman" w:hAnsiTheme="majorBidi" w:cstheme="majorBidi"/>
                <w:b/>
                <w:bCs/>
              </w:rPr>
            </w:pPr>
            <w:r w:rsidRPr="007C6A42">
              <w:rPr>
                <w:rFonts w:asciiTheme="majorBidi" w:eastAsia="Times New Roman" w:hAnsiTheme="majorBidi" w:cstheme="majorBidi"/>
              </w:rPr>
              <w:t>C’est parce que Dieu fait entrer la nuit dans le jour et le jour dans la nuit ;</w:t>
            </w:r>
          </w:p>
        </w:tc>
      </w:tr>
      <w:tr w:rsidR="00A70B78" w:rsidRPr="007C6A42" w14:paraId="40225E7A"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1BDB65A"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4580" w:type="dxa"/>
            <w:tcBorders>
              <w:top w:val="single" w:sz="4" w:space="0" w:color="auto"/>
              <w:left w:val="single" w:sz="4" w:space="0" w:color="auto"/>
              <w:bottom w:val="single" w:sz="4" w:space="0" w:color="auto"/>
              <w:right w:val="single" w:sz="4" w:space="0" w:color="auto"/>
            </w:tcBorders>
          </w:tcPr>
          <w:p w14:paraId="56095C2F" w14:textId="77777777" w:rsidR="00A70B78" w:rsidRPr="007C6A42" w:rsidRDefault="00A70B78" w:rsidP="00AF4FC9">
            <w:pPr>
              <w:spacing w:line="360" w:lineRule="auto"/>
              <w:jc w:val="both"/>
              <w:rPr>
                <w:rFonts w:asciiTheme="majorBidi" w:eastAsia="Times New Roman" w:hAnsiTheme="majorBidi" w:cstheme="majorBidi"/>
                <w:iCs/>
              </w:rPr>
            </w:pPr>
            <w:r w:rsidRPr="007C6A42">
              <w:rPr>
                <w:rFonts w:asciiTheme="majorBidi" w:hAnsiTheme="majorBidi" w:cstheme="majorBidi"/>
                <w:iCs/>
              </w:rPr>
              <w:t>C’est qu’Allah fait pénétrer la nuit dans le jour, qu’Il fait pénétrer le jour dans la nuit.</w:t>
            </w:r>
          </w:p>
        </w:tc>
      </w:tr>
      <w:tr w:rsidR="00A70B78" w:rsidRPr="007C6A42" w14:paraId="63E254D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18F3B4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4580" w:type="dxa"/>
            <w:tcBorders>
              <w:top w:val="single" w:sz="4" w:space="0" w:color="auto"/>
              <w:left w:val="single" w:sz="4" w:space="0" w:color="auto"/>
              <w:bottom w:val="single" w:sz="4" w:space="0" w:color="auto"/>
              <w:right w:val="single" w:sz="4" w:space="0" w:color="auto"/>
            </w:tcBorders>
          </w:tcPr>
          <w:p w14:paraId="6EE1B4CF"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en est ainsi de la puissance de Dieu qui fait entrer la nuit dans le jour et le jour dans la nuit ;</w:t>
            </w:r>
          </w:p>
        </w:tc>
      </w:tr>
      <w:tr w:rsidR="00A70B78" w:rsidRPr="007C6A42" w14:paraId="1CCB0842"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CDED523"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4580" w:type="dxa"/>
            <w:tcBorders>
              <w:top w:val="single" w:sz="4" w:space="0" w:color="auto"/>
              <w:left w:val="single" w:sz="4" w:space="0" w:color="auto"/>
              <w:bottom w:val="single" w:sz="4" w:space="0" w:color="auto"/>
              <w:right w:val="single" w:sz="4" w:space="0" w:color="auto"/>
            </w:tcBorders>
          </w:tcPr>
          <w:p w14:paraId="0BA38FA9" w14:textId="77777777" w:rsidR="00A70B78" w:rsidRPr="007C6A42" w:rsidRDefault="00A70B78" w:rsidP="00AF4FC9">
            <w:pPr>
              <w:pStyle w:val="Notedebasdepage"/>
              <w:spacing w:line="360" w:lineRule="auto"/>
              <w:jc w:val="both"/>
              <w:rPr>
                <w:rFonts w:asciiTheme="majorBidi" w:hAnsiTheme="majorBidi" w:cstheme="majorBidi"/>
                <w:sz w:val="24"/>
                <w:szCs w:val="24"/>
              </w:rPr>
            </w:pPr>
            <w:r w:rsidRPr="007C6A42">
              <w:rPr>
                <w:rFonts w:asciiTheme="majorBidi" w:hAnsiTheme="majorBidi" w:cstheme="majorBidi"/>
                <w:sz w:val="24"/>
                <w:szCs w:val="24"/>
              </w:rPr>
              <w:t>C’est qu’en vérité Dieu fait que la nuit pénètre dans le jour, et que le jour pénètre dans la nuit.</w:t>
            </w:r>
          </w:p>
        </w:tc>
      </w:tr>
      <w:tr w:rsidR="00A70B78" w:rsidRPr="007C6A42" w14:paraId="59637BE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40898D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4580" w:type="dxa"/>
            <w:tcBorders>
              <w:top w:val="single" w:sz="4" w:space="0" w:color="auto"/>
              <w:left w:val="single" w:sz="4" w:space="0" w:color="auto"/>
              <w:bottom w:val="single" w:sz="4" w:space="0" w:color="auto"/>
              <w:right w:val="single" w:sz="4" w:space="0" w:color="auto"/>
            </w:tcBorders>
          </w:tcPr>
          <w:p w14:paraId="48DCCAF9"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Dieu allonge tantôt les nuits, tantôt les jours.</w:t>
            </w:r>
          </w:p>
        </w:tc>
      </w:tr>
      <w:tr w:rsidR="00A70B78" w:rsidRPr="007C6A42" w14:paraId="3B15BCAE"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8948D9A"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4580" w:type="dxa"/>
            <w:tcBorders>
              <w:top w:val="single" w:sz="4" w:space="0" w:color="auto"/>
              <w:left w:val="single" w:sz="4" w:space="0" w:color="auto"/>
              <w:bottom w:val="single" w:sz="4" w:space="0" w:color="auto"/>
              <w:right w:val="single" w:sz="4" w:space="0" w:color="auto"/>
            </w:tcBorders>
          </w:tcPr>
          <w:p w14:paraId="56093A7D"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 xml:space="preserve">Il en est ainsi : parce que Dieu fait pénétrer la nuit dans le jour et qu’il fait pénétrer le </w:t>
            </w:r>
            <w:r w:rsidRPr="007C6A42">
              <w:rPr>
                <w:rFonts w:asciiTheme="majorBidi" w:hAnsiTheme="majorBidi" w:cstheme="majorBidi"/>
              </w:rPr>
              <w:lastRenderedPageBreak/>
              <w:t>jour dans la nuit.</w:t>
            </w:r>
          </w:p>
        </w:tc>
      </w:tr>
      <w:tr w:rsidR="00A70B78" w:rsidRPr="007C6A42" w14:paraId="714519D7"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BF42EE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lastRenderedPageBreak/>
              <w:t>Gros. (1972)</w:t>
            </w:r>
          </w:p>
        </w:tc>
        <w:tc>
          <w:tcPr>
            <w:tcW w:w="4580" w:type="dxa"/>
            <w:tcBorders>
              <w:top w:val="single" w:sz="4" w:space="0" w:color="auto"/>
              <w:left w:val="single" w:sz="4" w:space="0" w:color="auto"/>
              <w:bottom w:val="single" w:sz="4" w:space="0" w:color="auto"/>
              <w:right w:val="single" w:sz="4" w:space="0" w:color="auto"/>
            </w:tcBorders>
          </w:tcPr>
          <w:p w14:paraId="71B96ADA"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Car Dieu fait entrer la nuit dans le jour et il fait entrer le jour dans la nuit.</w:t>
            </w:r>
          </w:p>
        </w:tc>
      </w:tr>
      <w:tr w:rsidR="00A70B78" w:rsidRPr="007C6A42" w14:paraId="4AD2BD5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2FD35A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4580" w:type="dxa"/>
            <w:tcBorders>
              <w:top w:val="single" w:sz="4" w:space="0" w:color="auto"/>
              <w:left w:val="single" w:sz="4" w:space="0" w:color="auto"/>
              <w:bottom w:val="single" w:sz="4" w:space="0" w:color="auto"/>
              <w:right w:val="single" w:sz="4" w:space="0" w:color="auto"/>
            </w:tcBorders>
          </w:tcPr>
          <w:p w14:paraId="46FF4A50" w14:textId="77777777" w:rsidR="00A70B78" w:rsidRPr="007C6A42" w:rsidRDefault="00A70B78" w:rsidP="00AF4FC9">
            <w:pPr>
              <w:spacing w:line="360" w:lineRule="auto"/>
              <w:rPr>
                <w:rFonts w:asciiTheme="majorBidi" w:eastAsia="Times New Roman" w:hAnsiTheme="majorBidi" w:cstheme="majorBidi"/>
              </w:rPr>
            </w:pPr>
            <w:r w:rsidRPr="007C6A42">
              <w:rPr>
                <w:rFonts w:asciiTheme="majorBidi" w:eastAsia="Times New Roman" w:hAnsiTheme="majorBidi" w:cstheme="majorBidi"/>
              </w:rPr>
              <w:t>Cela, le voici: Allah insère la nuit dans le jour, il insère le jour dans la nuit.</w:t>
            </w:r>
          </w:p>
        </w:tc>
      </w:tr>
      <w:tr w:rsidR="00A70B78" w:rsidRPr="007C6A42" w14:paraId="282BC883" w14:textId="77777777" w:rsidTr="00AF4FC9">
        <w:trPr>
          <w:trHeight w:val="270"/>
          <w:jc w:val="center"/>
        </w:trPr>
        <w:tc>
          <w:tcPr>
            <w:tcW w:w="2024" w:type="dxa"/>
            <w:tcBorders>
              <w:top w:val="single" w:sz="4" w:space="0" w:color="auto"/>
              <w:left w:val="single" w:sz="4" w:space="0" w:color="auto"/>
              <w:bottom w:val="single" w:sz="4" w:space="0" w:color="auto"/>
              <w:right w:val="single" w:sz="4" w:space="0" w:color="auto"/>
            </w:tcBorders>
          </w:tcPr>
          <w:p w14:paraId="11B5F6F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4580" w:type="dxa"/>
            <w:tcBorders>
              <w:top w:val="single" w:sz="4" w:space="0" w:color="auto"/>
              <w:left w:val="single" w:sz="4" w:space="0" w:color="auto"/>
              <w:bottom w:val="single" w:sz="4" w:space="0" w:color="auto"/>
              <w:right w:val="single" w:sz="4" w:space="0" w:color="auto"/>
            </w:tcBorders>
          </w:tcPr>
          <w:p w14:paraId="0CD02518" w14:textId="77777777" w:rsidR="00A70B78" w:rsidRPr="007C6A42" w:rsidRDefault="00A70B78" w:rsidP="00AF4FC9">
            <w:pPr>
              <w:spacing w:line="360" w:lineRule="auto"/>
              <w:contextualSpacing/>
              <w:jc w:val="both"/>
              <w:rPr>
                <w:rFonts w:asciiTheme="majorBidi" w:eastAsia="Calibri" w:hAnsiTheme="majorBidi" w:cstheme="majorBidi"/>
                <w:lang w:bidi="ar-AE"/>
              </w:rPr>
            </w:pPr>
            <w:r w:rsidRPr="007C6A42">
              <w:rPr>
                <w:rFonts w:asciiTheme="majorBidi" w:eastAsia="Calibri" w:hAnsiTheme="majorBidi" w:cstheme="majorBidi"/>
                <w:lang w:bidi="ar-AE"/>
              </w:rPr>
              <w:t>et cela de la même façon que Dieu, qui fait entrer la nuit dans le jour, fait entrer le jour dans la nuit.</w:t>
            </w:r>
          </w:p>
        </w:tc>
      </w:tr>
      <w:tr w:rsidR="00A70B78" w:rsidRPr="007C6A42" w14:paraId="05104C3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32B8054F"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Gues. (1999)</w:t>
            </w:r>
          </w:p>
        </w:tc>
        <w:tc>
          <w:tcPr>
            <w:tcW w:w="4580" w:type="dxa"/>
            <w:tcBorders>
              <w:top w:val="single" w:sz="4" w:space="0" w:color="auto"/>
              <w:left w:val="single" w:sz="4" w:space="0" w:color="auto"/>
              <w:bottom w:val="single" w:sz="4" w:space="0" w:color="auto"/>
              <w:right w:val="single" w:sz="4" w:space="0" w:color="auto"/>
            </w:tcBorders>
          </w:tcPr>
          <w:p w14:paraId="58B0789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C’est parce que </w:t>
            </w:r>
            <w:r w:rsidRPr="007C6A42">
              <w:rPr>
                <w:rFonts w:asciiTheme="majorBidi" w:hAnsiTheme="majorBidi" w:cstheme="majorBidi"/>
                <w:b/>
              </w:rPr>
              <w:t xml:space="preserve">DIEU </w:t>
            </w:r>
            <w:r w:rsidRPr="007C6A42">
              <w:rPr>
                <w:rFonts w:asciiTheme="majorBidi" w:hAnsiTheme="majorBidi" w:cstheme="majorBidi"/>
              </w:rPr>
              <w:t>fait succéder le jour à la nuit et la réciprocité</w:t>
            </w:r>
          </w:p>
        </w:tc>
      </w:tr>
      <w:tr w:rsidR="00A70B78" w:rsidRPr="007C6A42" w14:paraId="5E087973"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D47EB3C"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4580" w:type="dxa"/>
            <w:tcBorders>
              <w:top w:val="single" w:sz="4" w:space="0" w:color="auto"/>
              <w:left w:val="single" w:sz="4" w:space="0" w:color="auto"/>
              <w:bottom w:val="single" w:sz="4" w:space="0" w:color="auto"/>
              <w:right w:val="single" w:sz="4" w:space="0" w:color="auto"/>
            </w:tcBorders>
          </w:tcPr>
          <w:p w14:paraId="2B184B2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hAnsiTheme="majorBidi" w:cstheme="majorBidi"/>
              </w:rPr>
              <w:t>Il en est ainsi, parce que Dieu insère la nuit dans le jour et le jour dans la nuit.</w:t>
            </w:r>
          </w:p>
        </w:tc>
      </w:tr>
      <w:tr w:rsidR="00A70B78" w:rsidRPr="007C6A42" w14:paraId="131B01E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6281FE6"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4580" w:type="dxa"/>
            <w:tcBorders>
              <w:top w:val="single" w:sz="4" w:space="0" w:color="auto"/>
              <w:left w:val="single" w:sz="4" w:space="0" w:color="auto"/>
              <w:bottom w:val="single" w:sz="4" w:space="0" w:color="auto"/>
              <w:right w:val="single" w:sz="4" w:space="0" w:color="auto"/>
            </w:tcBorders>
          </w:tcPr>
          <w:p w14:paraId="4C5C7C57" w14:textId="77777777" w:rsidR="00A70B78" w:rsidRPr="007C6A42" w:rsidRDefault="00A70B78" w:rsidP="00AF4FC9">
            <w:pPr>
              <w:shd w:val="clear" w:color="auto" w:fill="FFFFFF"/>
              <w:spacing w:line="360" w:lineRule="auto"/>
              <w:jc w:val="both"/>
              <w:rPr>
                <w:rFonts w:asciiTheme="majorBidi" w:eastAsia="Times New Roman" w:hAnsiTheme="majorBidi" w:cstheme="majorBidi"/>
                <w:b/>
                <w:bCs/>
              </w:rPr>
            </w:pPr>
            <w:r w:rsidRPr="007C6A42">
              <w:rPr>
                <w:rFonts w:asciiTheme="majorBidi" w:eastAsia="Times New Roman" w:hAnsiTheme="majorBidi" w:cstheme="majorBidi"/>
              </w:rPr>
              <w:t>C’est ainsi qu’Allah fait pénétrer la nuit dans le jour, et fait pénétrer le jour dans la nuit.</w:t>
            </w:r>
          </w:p>
        </w:tc>
      </w:tr>
      <w:tr w:rsidR="00A70B78" w:rsidRPr="007C6A42" w14:paraId="1F100AB6"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0E23DA46" w14:textId="77777777" w:rsidR="00A70B78" w:rsidRPr="007C6A42" w:rsidRDefault="00A70B78" w:rsidP="00AF4FC9">
            <w:pPr>
              <w:spacing w:line="360" w:lineRule="auto"/>
              <w:jc w:val="both"/>
              <w:rPr>
                <w:rFonts w:asciiTheme="majorBidi" w:eastAsia="Times New Roman" w:hAnsiTheme="majorBidi" w:cstheme="majorBidi"/>
                <w:lang w:bidi="ar-KW"/>
              </w:rPr>
            </w:pPr>
            <w:r w:rsidRPr="007C6A42">
              <w:rPr>
                <w:rFonts w:asciiTheme="majorBidi" w:eastAsia="Times New Roman" w:hAnsiTheme="majorBidi" w:cstheme="majorBidi"/>
              </w:rPr>
              <w:t>Abdel. (2002)</w:t>
            </w:r>
          </w:p>
        </w:tc>
        <w:tc>
          <w:tcPr>
            <w:tcW w:w="4580" w:type="dxa"/>
            <w:tcBorders>
              <w:top w:val="single" w:sz="4" w:space="0" w:color="auto"/>
              <w:left w:val="single" w:sz="4" w:space="0" w:color="auto"/>
              <w:bottom w:val="single" w:sz="4" w:space="0" w:color="auto"/>
              <w:right w:val="single" w:sz="4" w:space="0" w:color="auto"/>
            </w:tcBorders>
          </w:tcPr>
          <w:p w14:paraId="1079787D" w14:textId="77777777" w:rsidR="00A70B78" w:rsidRPr="007C6A42" w:rsidRDefault="00A70B78" w:rsidP="00AF4FC9">
            <w:pPr>
              <w:shd w:val="clear" w:color="auto" w:fill="FFFFFF"/>
              <w:spacing w:line="360" w:lineRule="auto"/>
              <w:jc w:val="both"/>
              <w:rPr>
                <w:rFonts w:asciiTheme="majorBidi" w:eastAsia="Times New Roman" w:hAnsiTheme="majorBidi" w:cstheme="majorBidi"/>
              </w:rPr>
            </w:pPr>
            <w:r w:rsidRPr="007C6A42">
              <w:rPr>
                <w:rFonts w:asciiTheme="majorBidi" w:hAnsiTheme="majorBidi" w:cstheme="majorBidi"/>
              </w:rPr>
              <w:t>C’est ainsi, car Allah Fait pénétrer la nuit dans le jour et Fait pénétrer le jour dans la nuit.</w:t>
            </w:r>
          </w:p>
        </w:tc>
      </w:tr>
      <w:tr w:rsidR="00A70B78" w:rsidRPr="007C6A42" w14:paraId="702BB05F"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45779D8B"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4580" w:type="dxa"/>
            <w:tcBorders>
              <w:top w:val="single" w:sz="4" w:space="0" w:color="auto"/>
              <w:left w:val="single" w:sz="4" w:space="0" w:color="auto"/>
              <w:bottom w:val="single" w:sz="4" w:space="0" w:color="auto"/>
              <w:right w:val="single" w:sz="4" w:space="0" w:color="auto"/>
            </w:tcBorders>
          </w:tcPr>
          <w:p w14:paraId="18E3A488" w14:textId="77777777" w:rsidR="00A70B78" w:rsidRPr="007C6A42" w:rsidRDefault="00A70B78" w:rsidP="00AF4FC9">
            <w:pPr>
              <w:spacing w:line="360" w:lineRule="auto"/>
              <w:jc w:val="both"/>
              <w:rPr>
                <w:rFonts w:asciiTheme="majorBidi" w:eastAsia="Times New Roman" w:hAnsiTheme="majorBidi" w:cstheme="majorBidi"/>
                <w:b/>
                <w:bCs/>
                <w:lang w:bidi="ar-KW"/>
              </w:rPr>
            </w:pPr>
            <w:r w:rsidRPr="007C6A42">
              <w:rPr>
                <w:rFonts w:asciiTheme="majorBidi" w:eastAsia="Times New Roman" w:hAnsiTheme="majorBidi" w:cstheme="majorBidi"/>
                <w:lang w:eastAsia="fr-CH"/>
              </w:rPr>
              <w:t>Cela parce que Dieu fait pénétrer la nuit dans le jour, et fait pénétrer le jour dans la nuit.</w:t>
            </w:r>
          </w:p>
        </w:tc>
      </w:tr>
      <w:tr w:rsidR="00A70B78" w:rsidRPr="007C6A42" w14:paraId="37132C08"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571A2AD7"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Cheb. (2009)</w:t>
            </w:r>
          </w:p>
        </w:tc>
        <w:tc>
          <w:tcPr>
            <w:tcW w:w="4580" w:type="dxa"/>
            <w:tcBorders>
              <w:top w:val="single" w:sz="4" w:space="0" w:color="auto"/>
              <w:left w:val="single" w:sz="4" w:space="0" w:color="auto"/>
              <w:bottom w:val="single" w:sz="4" w:space="0" w:color="auto"/>
              <w:right w:val="single" w:sz="4" w:space="0" w:color="auto"/>
            </w:tcBorders>
          </w:tcPr>
          <w:p w14:paraId="21EA5D8A"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Du fait même qu’Allah fait fondre la nuit dans le jour et fait fondre le jour dans la nuit.</w:t>
            </w:r>
          </w:p>
        </w:tc>
      </w:tr>
      <w:tr w:rsidR="00A70B78" w:rsidRPr="007C6A42" w14:paraId="1014E481" w14:textId="77777777" w:rsidTr="00AF4FC9">
        <w:trPr>
          <w:jc w:val="center"/>
        </w:trPr>
        <w:tc>
          <w:tcPr>
            <w:tcW w:w="2024" w:type="dxa"/>
            <w:tcBorders>
              <w:top w:val="single" w:sz="4" w:space="0" w:color="auto"/>
              <w:left w:val="single" w:sz="4" w:space="0" w:color="auto"/>
              <w:bottom w:val="single" w:sz="4" w:space="0" w:color="auto"/>
              <w:right w:val="single" w:sz="4" w:space="0" w:color="auto"/>
            </w:tcBorders>
          </w:tcPr>
          <w:p w14:paraId="758D11E2" w14:textId="77777777" w:rsidR="00A70B78" w:rsidRPr="007C6A42" w:rsidRDefault="00A70B78" w:rsidP="00AF4FC9">
            <w:pPr>
              <w:spacing w:line="360" w:lineRule="auto"/>
              <w:jc w:val="both"/>
              <w:rPr>
                <w:rFonts w:asciiTheme="majorBidi" w:eastAsia="Times New Roman" w:hAnsiTheme="majorBidi" w:cstheme="majorBidi"/>
              </w:rPr>
            </w:pPr>
            <w:r w:rsidRPr="007C6A42">
              <w:rPr>
                <w:rFonts w:asciiTheme="majorBidi" w:eastAsia="Times New Roman" w:hAnsiTheme="majorBidi" w:cstheme="majorBidi"/>
              </w:rPr>
              <w:t>Haf. (2010)</w:t>
            </w:r>
          </w:p>
        </w:tc>
        <w:tc>
          <w:tcPr>
            <w:tcW w:w="4580" w:type="dxa"/>
            <w:tcBorders>
              <w:top w:val="single" w:sz="4" w:space="0" w:color="auto"/>
              <w:left w:val="single" w:sz="4" w:space="0" w:color="auto"/>
              <w:bottom w:val="single" w:sz="4" w:space="0" w:color="auto"/>
              <w:right w:val="single" w:sz="4" w:space="0" w:color="auto"/>
            </w:tcBorders>
          </w:tcPr>
          <w:p w14:paraId="3FF40948" w14:textId="77777777" w:rsidR="00A70B78" w:rsidRPr="007C6A42" w:rsidRDefault="00A70B78" w:rsidP="00AF4FC9">
            <w:pPr>
              <w:spacing w:line="360" w:lineRule="auto"/>
              <w:jc w:val="both"/>
              <w:rPr>
                <w:rFonts w:asciiTheme="majorBidi" w:eastAsia="Times New Roman" w:hAnsiTheme="majorBidi" w:cstheme="majorBidi"/>
                <w:b/>
                <w:bCs/>
              </w:rPr>
            </w:pPr>
            <w:r w:rsidRPr="007C6A42">
              <w:rPr>
                <w:rFonts w:asciiTheme="majorBidi" w:hAnsiTheme="majorBidi" w:cstheme="majorBidi"/>
              </w:rPr>
              <w:t>Il en est ainsi parce que Dieu fait pénétrer la nuit dans le jour et qu’Il fait pénétrer le jour dans la nuit.</w:t>
            </w:r>
          </w:p>
        </w:tc>
      </w:tr>
    </w:tbl>
    <w:p w14:paraId="0C8ED812" w14:textId="77777777" w:rsidR="00A70B78" w:rsidRPr="007C6A42" w:rsidRDefault="00A70B78" w:rsidP="00A70B78">
      <w:pPr>
        <w:spacing w:line="360" w:lineRule="auto"/>
        <w:rPr>
          <w:rFonts w:asciiTheme="majorBidi" w:eastAsia="Times New Roman" w:hAnsiTheme="majorBidi" w:cstheme="majorBidi"/>
          <w:shd w:val="clear" w:color="auto" w:fill="FFFFFF"/>
          <w:lang w:bidi="ar-KW"/>
        </w:rPr>
      </w:pPr>
    </w:p>
    <w:p w14:paraId="5F03EEA6" w14:textId="77777777" w:rsidR="00A70B78" w:rsidRPr="007C6A42" w:rsidRDefault="00A70B78" w:rsidP="00A70B78">
      <w:pPr>
        <w:spacing w:line="360" w:lineRule="auto"/>
        <w:ind w:firstLine="708"/>
        <w:jc w:val="both"/>
        <w:rPr>
          <w:rFonts w:asciiTheme="majorBidi" w:eastAsia="Times New Roman" w:hAnsiTheme="majorBidi" w:cstheme="majorBidi"/>
          <w:lang w:bidi="ar-AE"/>
        </w:rPr>
      </w:pPr>
      <w:r w:rsidRPr="007C6A42">
        <w:rPr>
          <w:rFonts w:asciiTheme="majorBidi" w:eastAsia="Times New Roman" w:hAnsiTheme="majorBidi" w:cstheme="majorBidi"/>
          <w:lang w:bidi="ar-AE"/>
        </w:rPr>
        <w:t xml:space="preserve">Selon les premiers exégètes, cette phrase met en lumière </w:t>
      </w:r>
      <w:r w:rsidRPr="007C6A42">
        <w:rPr>
          <w:rFonts w:asciiTheme="majorBidi" w:eastAsia="Times New Roman" w:hAnsiTheme="majorBidi" w:cstheme="majorBidi"/>
        </w:rPr>
        <w:t xml:space="preserve">la force infinie et universelle d’Allah et notamment sa capacité </w:t>
      </w:r>
      <w:r w:rsidRPr="007C6A42">
        <w:rPr>
          <w:rFonts w:asciiTheme="majorBidi" w:eastAsia="Times New Roman" w:hAnsiTheme="majorBidi" w:cstheme="majorBidi"/>
          <w:lang w:bidi="ar-AE"/>
        </w:rPr>
        <w:t>de soutenir Muḥammad contre ses ennemis. L’exégèse moderne ne parle plus de la victoire de Muḥammad, mais elle a élargi et généralisé le sens pour parler de la capacité de Dieu de disposer les affaires de l’être humain, pour indiquer le cycle circadien ou nycthéméral ou pour souligner qu’Allah allonge tantôt les nuits tantôt les jours.</w:t>
      </w:r>
    </w:p>
    <w:p w14:paraId="34E7346A"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lang w:bidi="ar-AE"/>
        </w:rPr>
        <w:lastRenderedPageBreak/>
        <w:t xml:space="preserve">Les traducteurs ont généralement donné une traduction littérale et </w:t>
      </w:r>
      <w:r w:rsidRPr="007C6A42">
        <w:rPr>
          <w:rFonts w:asciiTheme="majorBidi" w:hAnsiTheme="majorBidi" w:cstheme="majorBidi"/>
        </w:rPr>
        <w:t>ont montré les mêmes concepts donnés par les exégètes (« faire entrer », « faire pénétrer », « pénétrer », « insérer », « faire succéder »)</w:t>
      </w:r>
      <w:r w:rsidRPr="007C6A42">
        <w:rPr>
          <w:rFonts w:asciiTheme="majorBidi" w:eastAsia="Times New Roman" w:hAnsiTheme="majorBidi" w:cstheme="majorBidi"/>
          <w:lang w:bidi="ar-AE"/>
        </w:rPr>
        <w:t>. Cependant, Ben Mahmoud a interprété la phrase en donnant une traduction avec adaptation et en traduisant ainsi un aspect de l’exégèse et non pas le texte coranique lui-même : « </w:t>
      </w:r>
      <w:r w:rsidRPr="007C6A42">
        <w:rPr>
          <w:rFonts w:asciiTheme="majorBidi" w:hAnsiTheme="majorBidi" w:cstheme="majorBidi"/>
        </w:rPr>
        <w:t>Dieu allonge tantôt les nuits, tantôt les jours ».</w:t>
      </w:r>
    </w:p>
    <w:p w14:paraId="24D2A5BE"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hAnsiTheme="majorBidi" w:cstheme="majorBidi"/>
        </w:rPr>
        <w:t xml:space="preserve">Chebel donne le sens de « faire fondre » qui n’existe pas dans la phrase d’origine. </w:t>
      </w:r>
      <w:r w:rsidRPr="007C6A42">
        <w:rPr>
          <w:rFonts w:asciiTheme="majorBidi" w:hAnsiTheme="majorBidi" w:cstheme="majorBidi"/>
          <w:lang w:bidi="ar-AE"/>
        </w:rPr>
        <w:t xml:space="preserve">La traduction du musulman sunnite Hamidullah souligne dans une NDT l’exégèse ahmadie qui parle de l’alternance de l’adversité et de la prospérité et qui insiste sur l’idée que les musulmans ne doivent pas se désespérer : </w:t>
      </w:r>
      <w:r w:rsidRPr="007C6A42">
        <w:rPr>
          <w:rFonts w:asciiTheme="majorBidi" w:hAnsiTheme="majorBidi" w:cstheme="majorBidi"/>
          <w:iCs/>
        </w:rPr>
        <w:t>« </w:t>
      </w:r>
      <w:r w:rsidRPr="007C6A42">
        <w:rPr>
          <w:rFonts w:asciiTheme="majorBidi" w:hAnsiTheme="majorBidi" w:cstheme="majorBidi"/>
          <w:i/>
        </w:rPr>
        <w:t>C’est que Dieu fait que la nuit pénètre dans le jour</w:t>
      </w:r>
      <w:r w:rsidRPr="007C6A42">
        <w:rPr>
          <w:rFonts w:asciiTheme="majorBidi" w:hAnsiTheme="majorBidi" w:cstheme="majorBidi"/>
        </w:rPr>
        <w:t>. Le Croyant n’a pas à désespérer des revers : Dieu l’en secourra (v. 60/59). C’est qu’Il fait à Son gré se succéder revers et victoires ; comme la nuit et le jour. » Malgré l’antipathie entre l’islam orthodoxe (sunnite et chiite) et la religion ahmadie naissante, Hamidullah ne s’empêche pas de recourir à leur exégèse tant qu’elle sert son objectif et ne contredit pas l’esprit du sunnisme.</w:t>
      </w:r>
    </w:p>
    <w:p w14:paraId="402D3EB1" w14:textId="77777777" w:rsidR="00A70B78" w:rsidRPr="007C6A42" w:rsidRDefault="00A70B78" w:rsidP="00A70B78">
      <w:pPr>
        <w:spacing w:line="360" w:lineRule="auto"/>
        <w:ind w:firstLine="720"/>
        <w:contextualSpacing/>
        <w:jc w:val="both"/>
        <w:rPr>
          <w:rFonts w:asciiTheme="majorBidi" w:eastAsia="Times New Roman" w:hAnsiTheme="majorBidi" w:cstheme="majorBidi"/>
          <w:shd w:val="clear" w:color="auto" w:fill="FFFFFF"/>
          <w:lang w:bidi="ar-KW"/>
        </w:rPr>
      </w:pPr>
      <w:r w:rsidRPr="007C6A42">
        <w:rPr>
          <w:rFonts w:asciiTheme="majorBidi" w:eastAsia="Times New Roman" w:hAnsiTheme="majorBidi" w:cstheme="majorBidi"/>
          <w:shd w:val="clear" w:color="auto" w:fill="FFFFFF"/>
          <w:lang w:bidi="ar-KW"/>
        </w:rPr>
        <w:t>La traduction littéraliste et dénigrante d’Aldeeb est très proche des traductions littéralistes apologétiques de Hamidullah, du Complexe de Médine et de Zeinab Abdelaziz.</w:t>
      </w:r>
    </w:p>
    <w:tbl>
      <w:tblPr>
        <w:tblStyle w:val="Grilledutableau"/>
        <w:tblpPr w:leftFromText="141" w:rightFromText="141" w:vertAnchor="text" w:horzAnchor="page" w:tblpX="910" w:tblpY="257"/>
        <w:tblW w:w="10065" w:type="dxa"/>
        <w:tblLook w:val="04A0" w:firstRow="1" w:lastRow="0" w:firstColumn="1" w:lastColumn="0" w:noHBand="0" w:noVBand="1"/>
      </w:tblPr>
      <w:tblGrid>
        <w:gridCol w:w="1745"/>
        <w:gridCol w:w="2126"/>
        <w:gridCol w:w="2083"/>
        <w:gridCol w:w="2126"/>
        <w:gridCol w:w="1985"/>
      </w:tblGrid>
      <w:tr w:rsidR="00A70B78" w:rsidRPr="007C6A42" w14:paraId="689B6E2B" w14:textId="77777777" w:rsidTr="00AF4FC9">
        <w:trPr>
          <w:trHeight w:val="114"/>
        </w:trPr>
        <w:tc>
          <w:tcPr>
            <w:tcW w:w="1745" w:type="dxa"/>
          </w:tcPr>
          <w:p w14:paraId="22CAEFE2" w14:textId="77777777" w:rsidR="00A70B78" w:rsidRPr="007C6A42" w:rsidRDefault="00A70B78" w:rsidP="00AF4FC9">
            <w:pPr>
              <w:jc w:val="center"/>
              <w:rPr>
                <w:rFonts w:asciiTheme="majorBidi" w:hAnsiTheme="majorBidi" w:cstheme="majorBidi"/>
                <w:b/>
                <w:bCs/>
              </w:rPr>
            </w:pPr>
            <w:r w:rsidRPr="007C6A42">
              <w:rPr>
                <w:rFonts w:asciiTheme="majorBidi" w:hAnsiTheme="majorBidi" w:cstheme="majorBidi"/>
                <w:b/>
                <w:bCs/>
              </w:rPr>
              <w:t>Texte arabe</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p>
        </w:tc>
        <w:tc>
          <w:tcPr>
            <w:tcW w:w="2126" w:type="dxa"/>
          </w:tcPr>
          <w:p w14:paraId="5E6173F0" w14:textId="77777777" w:rsidR="00A70B78" w:rsidRPr="007C6A42" w:rsidRDefault="00A70B78" w:rsidP="00AF4FC9">
            <w:pPr>
              <w:jc w:val="center"/>
              <w:rPr>
                <w:rFonts w:asciiTheme="majorBidi" w:hAnsiTheme="majorBidi" w:cstheme="majorBidi"/>
                <w:b/>
                <w:bCs/>
                <w:rtl/>
              </w:rPr>
            </w:pPr>
            <w:r w:rsidRPr="007C6A42">
              <w:rPr>
                <w:rFonts w:asciiTheme="majorBidi" w:hAnsiTheme="majorBidi" w:cstheme="majorBidi"/>
                <w:b/>
                <w:bCs/>
              </w:rPr>
              <w:t>Traduction d’Aldeeb</w:t>
            </w:r>
          </w:p>
        </w:tc>
        <w:tc>
          <w:tcPr>
            <w:tcW w:w="2083" w:type="dxa"/>
          </w:tcPr>
          <w:p w14:paraId="5BA998ED" w14:textId="77777777" w:rsidR="00A70B78" w:rsidRPr="007C6A42" w:rsidRDefault="00A70B78" w:rsidP="00AF4FC9">
            <w:pPr>
              <w:jc w:val="center"/>
              <w:rPr>
                <w:rFonts w:asciiTheme="majorBidi" w:hAnsiTheme="majorBidi" w:cstheme="majorBidi"/>
                <w:b/>
                <w:bCs/>
              </w:rPr>
            </w:pPr>
            <w:r w:rsidRPr="007C6A42">
              <w:rPr>
                <w:rFonts w:asciiTheme="majorBidi" w:hAnsiTheme="majorBidi" w:cstheme="majorBidi"/>
                <w:b/>
                <w:bCs/>
              </w:rPr>
              <w:t>Traduction de Ḥamidullāh</w:t>
            </w:r>
          </w:p>
        </w:tc>
        <w:tc>
          <w:tcPr>
            <w:tcW w:w="2126" w:type="dxa"/>
          </w:tcPr>
          <w:p w14:paraId="145C94AA" w14:textId="77777777" w:rsidR="00A70B78" w:rsidRPr="007C6A42" w:rsidRDefault="00A70B78" w:rsidP="00AF4FC9">
            <w:pPr>
              <w:jc w:val="center"/>
              <w:rPr>
                <w:rFonts w:asciiTheme="majorBidi" w:hAnsiTheme="majorBidi" w:cstheme="majorBidi"/>
                <w:b/>
                <w:bCs/>
              </w:rPr>
            </w:pPr>
            <w:r w:rsidRPr="007C6A42">
              <w:rPr>
                <w:rFonts w:asciiTheme="majorBidi" w:hAnsiTheme="majorBidi" w:cstheme="majorBidi"/>
                <w:b/>
                <w:bCs/>
              </w:rPr>
              <w:t>Traduction du Complexe de Médine</w:t>
            </w:r>
          </w:p>
        </w:tc>
        <w:tc>
          <w:tcPr>
            <w:tcW w:w="1985" w:type="dxa"/>
          </w:tcPr>
          <w:p w14:paraId="3EC00C0F" w14:textId="77777777" w:rsidR="00A70B78" w:rsidRPr="007C6A42" w:rsidRDefault="00A70B78" w:rsidP="00AF4FC9">
            <w:pPr>
              <w:jc w:val="center"/>
              <w:rPr>
                <w:rFonts w:asciiTheme="majorBidi" w:hAnsiTheme="majorBidi" w:cstheme="majorBidi"/>
                <w:b/>
                <w:bCs/>
              </w:rPr>
            </w:pPr>
            <w:r w:rsidRPr="007C6A42">
              <w:rPr>
                <w:rFonts w:asciiTheme="majorBidi" w:hAnsiTheme="majorBidi" w:cstheme="majorBidi"/>
                <w:b/>
                <w:bCs/>
              </w:rPr>
              <w:t>Traduction d’Abdelaziz</w:t>
            </w:r>
          </w:p>
        </w:tc>
      </w:tr>
      <w:tr w:rsidR="00A70B78" w:rsidRPr="007C6A42" w14:paraId="6D0C4DCC" w14:textId="77777777" w:rsidTr="00AF4FC9">
        <w:trPr>
          <w:trHeight w:val="396"/>
        </w:trPr>
        <w:tc>
          <w:tcPr>
            <w:tcW w:w="1745" w:type="dxa"/>
          </w:tcPr>
          <w:p w14:paraId="2DDE55D8"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 xml:space="preserve">الله يولج الليل في النهار ويولج النهار في الليل (٦١) </w:t>
            </w:r>
            <w:r w:rsidRPr="007C6A42">
              <w:rPr>
                <w:rFonts w:asciiTheme="majorBidi" w:hAnsiTheme="majorBidi" w:cstheme="majorBidi"/>
                <w:rtl/>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p>
        </w:tc>
        <w:tc>
          <w:tcPr>
            <w:tcW w:w="2126" w:type="dxa"/>
          </w:tcPr>
          <w:p w14:paraId="458FFA5D"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Dieu fait pénétrer la nuit dans le jour, et fait pénétrer le jour dans la nuit.</w:t>
            </w:r>
          </w:p>
        </w:tc>
        <w:tc>
          <w:tcPr>
            <w:tcW w:w="2083" w:type="dxa"/>
          </w:tcPr>
          <w:p w14:paraId="3F8492C8"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Dieu fait que la nuit pénètre dans le jour, et que le jour pénètre dans la nuit.</w:t>
            </w:r>
          </w:p>
        </w:tc>
        <w:tc>
          <w:tcPr>
            <w:tcW w:w="2126" w:type="dxa"/>
          </w:tcPr>
          <w:p w14:paraId="5BFFEA0E"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Allah fait pénétrer la nuit dans le jour, et fait pénétrer le jour dans la nuit.</w:t>
            </w:r>
          </w:p>
        </w:tc>
        <w:tc>
          <w:tcPr>
            <w:tcW w:w="1985" w:type="dxa"/>
          </w:tcPr>
          <w:p w14:paraId="03C30E68"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Allah Fait pénétrer la nuit dans le jour, et Fait pénétrer le jour dans la nuit.</w:t>
            </w:r>
          </w:p>
        </w:tc>
      </w:tr>
    </w:tbl>
    <w:p w14:paraId="0C1176C9" w14:textId="77777777" w:rsidR="00A70B78" w:rsidRPr="007C6A42" w:rsidRDefault="00A70B78" w:rsidP="00A70B78">
      <w:pPr>
        <w:spacing w:line="360" w:lineRule="auto"/>
        <w:contextualSpacing/>
        <w:jc w:val="both"/>
        <w:rPr>
          <w:rFonts w:asciiTheme="majorBidi" w:eastAsia="Times New Roman" w:hAnsiTheme="majorBidi" w:cstheme="majorBidi"/>
        </w:rPr>
      </w:pPr>
    </w:p>
    <w:p w14:paraId="1506B13F"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Il s’agit là de la théorie du « fer à cheval » (« </w:t>
      </w:r>
      <w:r w:rsidRPr="007C6A42">
        <w:rPr>
          <w:rFonts w:asciiTheme="majorBidi" w:hAnsiTheme="majorBidi" w:cstheme="majorBidi"/>
          <w:i/>
          <w:iCs/>
          <w:lang w:val="en-GB"/>
        </w:rPr>
        <w:t>horseshoe</w:t>
      </w:r>
      <w:r w:rsidRPr="007C6A42">
        <w:rPr>
          <w:rFonts w:asciiTheme="majorBidi" w:hAnsiTheme="majorBidi" w:cstheme="majorBidi"/>
          <w:i/>
          <w:iCs/>
        </w:rPr>
        <w:t xml:space="preserve"> theory</w:t>
      </w:r>
      <w:r w:rsidRPr="007C6A42">
        <w:rPr>
          <w:rFonts w:asciiTheme="majorBidi" w:hAnsiTheme="majorBidi" w:cstheme="majorBidi"/>
        </w:rPr>
        <w:t> ») de Jean-Pierre Faye, selon laquelle les extrêmes opposés se touchent, théorie que nous allons expliquer dans le chapitre suivant.</w:t>
      </w:r>
    </w:p>
    <w:p w14:paraId="3CCA8884" w14:textId="77777777" w:rsidR="00A70B78" w:rsidRPr="007C6A42" w:rsidRDefault="00A70B78" w:rsidP="00A70B78">
      <w:pPr>
        <w:pStyle w:val="Paragraphedeliste"/>
        <w:bidi w:val="0"/>
        <w:spacing w:after="0" w:line="360" w:lineRule="auto"/>
        <w:contextualSpacing/>
        <w:jc w:val="both"/>
        <w:rPr>
          <w:rFonts w:asciiTheme="majorBidi" w:hAnsiTheme="majorBidi" w:cstheme="majorBidi"/>
          <w:sz w:val="24"/>
          <w:szCs w:val="24"/>
        </w:rPr>
      </w:pPr>
    </w:p>
    <w:p w14:paraId="40E4067F"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br w:type="page"/>
      </w:r>
    </w:p>
    <w:p w14:paraId="7575E912" w14:textId="69047543" w:rsidR="00A70B78" w:rsidRPr="007C6A42" w:rsidRDefault="00592809" w:rsidP="00A70B78">
      <w:pPr>
        <w:spacing w:line="360" w:lineRule="auto"/>
        <w:jc w:val="center"/>
        <w:rPr>
          <w:rFonts w:asciiTheme="majorBidi" w:eastAsia="Calibri" w:hAnsiTheme="majorBidi" w:cstheme="majorBidi"/>
          <w:b/>
          <w:bCs/>
          <w:lang w:bidi="ar-AE"/>
        </w:rPr>
      </w:pPr>
      <w:r>
        <w:rPr>
          <w:rFonts w:asciiTheme="majorBidi" w:eastAsia="Calibri" w:hAnsiTheme="majorBidi" w:cstheme="majorBidi"/>
          <w:b/>
          <w:bCs/>
          <w:lang w:bidi="ar-AE"/>
        </w:rPr>
        <w:lastRenderedPageBreak/>
        <w:t>Chapitre X</w:t>
      </w:r>
      <w:r w:rsidR="00A70B78" w:rsidRPr="007C6A42">
        <w:rPr>
          <w:rFonts w:asciiTheme="majorBidi" w:eastAsia="Calibri" w:hAnsiTheme="majorBidi" w:cstheme="majorBidi"/>
          <w:b/>
          <w:bCs/>
          <w:lang w:bidi="ar-AE"/>
        </w:rPr>
        <w:t>I</w:t>
      </w:r>
    </w:p>
    <w:p w14:paraId="477B3BA5" w14:textId="77777777" w:rsidR="00A70B78" w:rsidRPr="007C6A42" w:rsidRDefault="00A70B78" w:rsidP="00A70B78">
      <w:pPr>
        <w:spacing w:line="360" w:lineRule="auto"/>
        <w:jc w:val="center"/>
        <w:rPr>
          <w:rFonts w:asciiTheme="majorBidi" w:eastAsia="Calibri" w:hAnsiTheme="majorBidi" w:cstheme="majorBidi"/>
          <w:b/>
          <w:bCs/>
          <w:lang w:bidi="ar-AE"/>
        </w:rPr>
      </w:pPr>
      <w:r w:rsidRPr="007C6A42">
        <w:rPr>
          <w:rFonts w:asciiTheme="majorBidi" w:eastAsia="Calibri" w:hAnsiTheme="majorBidi" w:cstheme="majorBidi"/>
          <w:b/>
          <w:bCs/>
          <w:lang w:bidi="ar-AE"/>
        </w:rPr>
        <w:t>Convergences et divergences dans les traductions</w:t>
      </w:r>
    </w:p>
    <w:p w14:paraId="5DABF631" w14:textId="77777777" w:rsidR="00A70B78" w:rsidRPr="007C6A42" w:rsidRDefault="00A70B78" w:rsidP="00A70B78">
      <w:pPr>
        <w:spacing w:line="360" w:lineRule="auto"/>
        <w:jc w:val="both"/>
        <w:rPr>
          <w:rFonts w:asciiTheme="majorBidi" w:hAnsiTheme="majorBidi" w:cstheme="majorBidi"/>
        </w:rPr>
      </w:pPr>
    </w:p>
    <w:p w14:paraId="0D182992" w14:textId="7AFD5F9D" w:rsidR="002666F3" w:rsidRPr="002666F3" w:rsidRDefault="002666F3" w:rsidP="002666F3">
      <w:pPr>
        <w:spacing w:line="360" w:lineRule="auto"/>
        <w:jc w:val="both"/>
        <w:outlineLvl w:val="0"/>
        <w:rPr>
          <w:rFonts w:asciiTheme="majorBidi" w:hAnsiTheme="majorBidi" w:cstheme="majorBidi"/>
          <w:b/>
          <w:bCs/>
        </w:rPr>
      </w:pPr>
      <w:r>
        <w:rPr>
          <w:rFonts w:asciiTheme="majorBidi" w:hAnsiTheme="majorBidi" w:cstheme="majorBidi"/>
          <w:b/>
          <w:bCs/>
        </w:rPr>
        <w:t xml:space="preserve">11.1. </w:t>
      </w:r>
      <w:r w:rsidR="00A70B78" w:rsidRPr="002666F3">
        <w:rPr>
          <w:rFonts w:asciiTheme="majorBidi" w:hAnsiTheme="majorBidi" w:cstheme="majorBidi"/>
          <w:b/>
          <w:bCs/>
        </w:rPr>
        <w:t>Les extrêmes se touchent :</w:t>
      </w:r>
    </w:p>
    <w:p w14:paraId="7CF2E645"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La théorie politique du « fer à cheval » (« </w:t>
      </w:r>
      <w:r w:rsidRPr="007C6A42">
        <w:rPr>
          <w:rFonts w:asciiTheme="majorBidi" w:hAnsiTheme="majorBidi" w:cstheme="majorBidi"/>
          <w:i/>
          <w:iCs/>
          <w:lang w:val="en-GB"/>
        </w:rPr>
        <w:t>horseshoe</w:t>
      </w:r>
      <w:r w:rsidRPr="007C6A42">
        <w:rPr>
          <w:rFonts w:asciiTheme="majorBidi" w:hAnsiTheme="majorBidi" w:cstheme="majorBidi"/>
          <w:i/>
          <w:iCs/>
        </w:rPr>
        <w:t xml:space="preserve"> theory</w:t>
      </w:r>
      <w:r w:rsidRPr="007C6A42">
        <w:rPr>
          <w:rFonts w:asciiTheme="majorBidi" w:hAnsiTheme="majorBidi" w:cstheme="majorBidi"/>
        </w:rPr>
        <w:t> ») de Jean-Pierre Faye (né en 1925)</w:t>
      </w:r>
      <w:r w:rsidRPr="007C6A42">
        <w:rPr>
          <w:rStyle w:val="Appelnotedebasdep"/>
          <w:rFonts w:asciiTheme="majorBidi" w:hAnsiTheme="majorBidi" w:cstheme="majorBidi"/>
        </w:rPr>
        <w:footnoteReference w:id="572"/>
      </w:r>
      <w:r w:rsidRPr="007C6A42">
        <w:rPr>
          <w:rFonts w:asciiTheme="majorBidi" w:hAnsiTheme="majorBidi" w:cstheme="majorBidi"/>
        </w:rPr>
        <w:t>, selon laquelle les extrêmes opposés en politique se rejoignent (sont plus proches entre eux qu’ils ne sont proches du centre), peut se vérifier dans la traduction du Coran.</w:t>
      </w:r>
    </w:p>
    <w:p w14:paraId="0D78E772" w14:textId="77777777" w:rsidR="00A70B78" w:rsidRPr="007C6A42" w:rsidRDefault="00A70B78" w:rsidP="00A70B78">
      <w:pPr>
        <w:spacing w:line="360" w:lineRule="auto"/>
        <w:ind w:firstLine="708"/>
        <w:jc w:val="both"/>
        <w:rPr>
          <w:rFonts w:asciiTheme="majorBidi" w:hAnsiTheme="majorBidi" w:cstheme="majorBidi"/>
        </w:rPr>
      </w:pPr>
    </w:p>
    <w:p w14:paraId="7253B5FC"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La traduction du Complexe du Roi Fahd de Médine (2001) qui n’est qu’une correction et révision de la traduction de Mohammad Hamidullah (qui, quant à lui, s’est référé à Blachère), est plus ou moins littérale, sourcière, apologétique et prosélytique. Cependant, Aldeeb voudrait indirectement montrer les incohérences du texte coranique, et pour ce faire il a proposé une traduction aussi littérale que celle du Complexe de Médine et de Hamidullah. Contrairement aux traductions littérales apologétiques de Hamidullah et du Complexe, la traduction littérale d’Aldeeb se veut critique et détractrice en adoptant souvent les mêmes choix des traducteurs littéralistes apologétiques. Aldeeb commet des erreurs en voulant à tout prix démontrer que le Coran déborde d’erreurs linguistiques et stylistique et d’incitation à la violence. Aldeeb voudrait avilir sa traduction. Abdelaziz et le Complexe de Médine voudraient ennoblir leur traduction. Dans ces trois traductions, on trouve souvent la même traduction littérale. L’ennoblissement et l’avilissement se rejoignent.</w:t>
      </w:r>
    </w:p>
    <w:p w14:paraId="10797FE2" w14:textId="77777777" w:rsidR="00A70B78" w:rsidRPr="007C6A42" w:rsidRDefault="00A70B78" w:rsidP="00A70B78">
      <w:pPr>
        <w:spacing w:line="360" w:lineRule="auto"/>
        <w:jc w:val="both"/>
        <w:rPr>
          <w:rFonts w:asciiTheme="majorBidi" w:hAnsiTheme="majorBidi" w:cstheme="majorBidi"/>
        </w:rPr>
      </w:pPr>
    </w:p>
    <w:p w14:paraId="202BB3FB"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Nous allons passer en revue des exemples sur les similitudes quasi complètes entre les traductions. Nous allons commencer par voir les points de rencontre entre quatre traductions, trois apologétiques réalisées par des musulmans (Hamidullah, Complexe de Médine et Zeinab Abdelaziz) et une traduction détractrice et réfutative (celle d’Aldeeb). Les premiers, musulmans, voudraient montrer la beauté et l’inimitabilité du Coran. Le dernier, chrétien, voudrait montrer les défauts et les incohérences du texte.</w:t>
      </w:r>
    </w:p>
    <w:p w14:paraId="47A46479" w14:textId="77777777" w:rsidR="00A70B78" w:rsidRPr="007C6A42" w:rsidRDefault="00A70B78" w:rsidP="00A70B78">
      <w:pPr>
        <w:spacing w:line="360" w:lineRule="auto"/>
        <w:ind w:firstLine="708"/>
        <w:jc w:val="both"/>
        <w:rPr>
          <w:rFonts w:asciiTheme="majorBidi" w:hAnsiTheme="majorBidi" w:cstheme="majorBidi"/>
        </w:rPr>
      </w:pPr>
    </w:p>
    <w:tbl>
      <w:tblPr>
        <w:tblStyle w:val="Grilledutableau"/>
        <w:tblpPr w:leftFromText="141" w:rightFromText="141" w:vertAnchor="text" w:horzAnchor="page" w:tblpX="910" w:tblpY="257"/>
        <w:tblW w:w="10065" w:type="dxa"/>
        <w:tblLook w:val="04A0" w:firstRow="1" w:lastRow="0" w:firstColumn="1" w:lastColumn="0" w:noHBand="0" w:noVBand="1"/>
      </w:tblPr>
      <w:tblGrid>
        <w:gridCol w:w="1745"/>
        <w:gridCol w:w="2126"/>
        <w:gridCol w:w="2083"/>
        <w:gridCol w:w="2126"/>
        <w:gridCol w:w="1985"/>
      </w:tblGrid>
      <w:tr w:rsidR="00A70B78" w:rsidRPr="007C6A42" w14:paraId="3B0DE977" w14:textId="77777777" w:rsidTr="00AF4FC9">
        <w:trPr>
          <w:trHeight w:val="311"/>
        </w:trPr>
        <w:tc>
          <w:tcPr>
            <w:tcW w:w="1745" w:type="dxa"/>
            <w:vMerge w:val="restart"/>
          </w:tcPr>
          <w:p w14:paraId="08AF49F5" w14:textId="77777777" w:rsidR="00A70B78" w:rsidRPr="007C6A42" w:rsidRDefault="00A70B78" w:rsidP="00AF4FC9">
            <w:pPr>
              <w:jc w:val="center"/>
              <w:rPr>
                <w:rFonts w:asciiTheme="majorBidi" w:hAnsiTheme="majorBidi" w:cstheme="majorBidi"/>
                <w:b/>
                <w:bCs/>
              </w:rPr>
            </w:pPr>
            <w:r w:rsidRPr="007C6A42">
              <w:rPr>
                <w:rFonts w:asciiTheme="majorBidi" w:hAnsiTheme="majorBidi" w:cstheme="majorBidi"/>
                <w:b/>
                <w:bCs/>
              </w:rPr>
              <w:t>Texte arabe</w:t>
            </w:r>
          </w:p>
        </w:tc>
        <w:tc>
          <w:tcPr>
            <w:tcW w:w="2126" w:type="dxa"/>
            <w:vMerge w:val="restart"/>
          </w:tcPr>
          <w:p w14:paraId="47B4E0DE" w14:textId="77777777" w:rsidR="00A70B78" w:rsidRPr="007C6A42" w:rsidRDefault="00A70B78" w:rsidP="00AF4FC9">
            <w:pPr>
              <w:jc w:val="center"/>
              <w:rPr>
                <w:rFonts w:asciiTheme="majorBidi" w:hAnsiTheme="majorBidi" w:cstheme="majorBidi"/>
                <w:b/>
                <w:bCs/>
              </w:rPr>
            </w:pPr>
            <w:r w:rsidRPr="007C6A42">
              <w:rPr>
                <w:rFonts w:asciiTheme="majorBidi" w:hAnsiTheme="majorBidi" w:cstheme="majorBidi"/>
                <w:b/>
                <w:bCs/>
              </w:rPr>
              <w:t xml:space="preserve">Traduction </w:t>
            </w:r>
            <w:r w:rsidRPr="007C6A42">
              <w:rPr>
                <w:rFonts w:asciiTheme="majorBidi" w:hAnsiTheme="majorBidi" w:cstheme="majorBidi"/>
                <w:b/>
                <w:bCs/>
              </w:rPr>
              <w:lastRenderedPageBreak/>
              <w:t>d’Aldeeb (2008)</w:t>
            </w:r>
          </w:p>
          <w:p w14:paraId="01238C94" w14:textId="77777777" w:rsidR="00A70B78" w:rsidRPr="007C6A42" w:rsidRDefault="00A70B78" w:rsidP="00AF4FC9">
            <w:pPr>
              <w:jc w:val="center"/>
              <w:rPr>
                <w:rFonts w:asciiTheme="majorBidi" w:hAnsiTheme="majorBidi" w:cstheme="majorBidi"/>
                <w:b/>
                <w:bCs/>
              </w:rPr>
            </w:pPr>
          </w:p>
        </w:tc>
        <w:tc>
          <w:tcPr>
            <w:tcW w:w="6194" w:type="dxa"/>
            <w:gridSpan w:val="3"/>
          </w:tcPr>
          <w:p w14:paraId="4BD4BAC5" w14:textId="77777777" w:rsidR="00A70B78" w:rsidRPr="007C6A42" w:rsidRDefault="00A70B78" w:rsidP="00AF4FC9">
            <w:pPr>
              <w:jc w:val="center"/>
              <w:rPr>
                <w:rFonts w:asciiTheme="majorBidi" w:hAnsiTheme="majorBidi" w:cstheme="majorBidi"/>
                <w:b/>
                <w:bCs/>
              </w:rPr>
            </w:pPr>
            <w:r w:rsidRPr="007C6A42">
              <w:rPr>
                <w:rFonts w:asciiTheme="majorBidi" w:hAnsiTheme="majorBidi" w:cstheme="majorBidi"/>
                <w:b/>
                <w:bCs/>
              </w:rPr>
              <w:lastRenderedPageBreak/>
              <w:t>La traduction musulmane la plus proche</w:t>
            </w:r>
          </w:p>
        </w:tc>
      </w:tr>
      <w:tr w:rsidR="00A70B78" w:rsidRPr="007C6A42" w14:paraId="4C28F19B" w14:textId="77777777" w:rsidTr="00AF4FC9">
        <w:trPr>
          <w:trHeight w:val="627"/>
        </w:trPr>
        <w:tc>
          <w:tcPr>
            <w:tcW w:w="1745" w:type="dxa"/>
            <w:vMerge/>
          </w:tcPr>
          <w:p w14:paraId="1FC24DA1" w14:textId="77777777" w:rsidR="00A70B78" w:rsidRPr="007C6A42" w:rsidRDefault="00A70B78" w:rsidP="00AF4FC9">
            <w:pPr>
              <w:jc w:val="both"/>
              <w:rPr>
                <w:rFonts w:asciiTheme="majorBidi" w:hAnsiTheme="majorBidi" w:cstheme="majorBidi"/>
              </w:rPr>
            </w:pPr>
          </w:p>
        </w:tc>
        <w:tc>
          <w:tcPr>
            <w:tcW w:w="2126" w:type="dxa"/>
            <w:vMerge/>
          </w:tcPr>
          <w:p w14:paraId="7C28D354" w14:textId="77777777" w:rsidR="00A70B78" w:rsidRPr="007C6A42" w:rsidRDefault="00A70B78" w:rsidP="00AF4FC9">
            <w:pPr>
              <w:jc w:val="both"/>
              <w:rPr>
                <w:rFonts w:asciiTheme="majorBidi" w:hAnsiTheme="majorBidi" w:cstheme="majorBidi"/>
              </w:rPr>
            </w:pPr>
          </w:p>
        </w:tc>
        <w:tc>
          <w:tcPr>
            <w:tcW w:w="2083" w:type="dxa"/>
          </w:tcPr>
          <w:p w14:paraId="45404669" w14:textId="77777777" w:rsidR="00A70B78" w:rsidRPr="007C6A42" w:rsidRDefault="00A70B78" w:rsidP="00AF4FC9">
            <w:pPr>
              <w:jc w:val="both"/>
              <w:rPr>
                <w:rFonts w:asciiTheme="majorBidi" w:hAnsiTheme="majorBidi" w:cstheme="majorBidi"/>
                <w:b/>
                <w:bCs/>
              </w:rPr>
            </w:pPr>
            <w:r w:rsidRPr="007C6A42">
              <w:rPr>
                <w:rFonts w:asciiTheme="majorBidi" w:hAnsiTheme="majorBidi" w:cstheme="majorBidi"/>
                <w:b/>
                <w:bCs/>
              </w:rPr>
              <w:t>Traduction de Hamidullah (1959)</w:t>
            </w:r>
          </w:p>
        </w:tc>
        <w:tc>
          <w:tcPr>
            <w:tcW w:w="2126" w:type="dxa"/>
          </w:tcPr>
          <w:p w14:paraId="4DD9FE97" w14:textId="77777777" w:rsidR="00A70B78" w:rsidRPr="007C6A42" w:rsidRDefault="00A70B78" w:rsidP="00AF4FC9">
            <w:pPr>
              <w:jc w:val="both"/>
              <w:rPr>
                <w:rFonts w:asciiTheme="majorBidi" w:hAnsiTheme="majorBidi" w:cstheme="majorBidi"/>
                <w:b/>
                <w:bCs/>
              </w:rPr>
            </w:pPr>
            <w:r w:rsidRPr="007C6A42">
              <w:rPr>
                <w:rFonts w:asciiTheme="majorBidi" w:hAnsiTheme="majorBidi" w:cstheme="majorBidi"/>
                <w:b/>
                <w:bCs/>
              </w:rPr>
              <w:t>Traduction du Complexe de Médine (2001)</w:t>
            </w:r>
          </w:p>
        </w:tc>
        <w:tc>
          <w:tcPr>
            <w:tcW w:w="1985" w:type="dxa"/>
          </w:tcPr>
          <w:p w14:paraId="3F08B588" w14:textId="77777777" w:rsidR="00A70B78" w:rsidRPr="007C6A42" w:rsidRDefault="00A70B78" w:rsidP="00AF4FC9">
            <w:pPr>
              <w:jc w:val="both"/>
              <w:rPr>
                <w:rFonts w:asciiTheme="majorBidi" w:hAnsiTheme="majorBidi" w:cstheme="majorBidi"/>
                <w:b/>
                <w:bCs/>
              </w:rPr>
            </w:pPr>
            <w:r w:rsidRPr="007C6A42">
              <w:rPr>
                <w:rFonts w:asciiTheme="majorBidi" w:hAnsiTheme="majorBidi" w:cstheme="majorBidi"/>
                <w:b/>
                <w:bCs/>
              </w:rPr>
              <w:t>Traduction de Zeinab Abdelaziz (2002)</w:t>
            </w:r>
          </w:p>
        </w:tc>
      </w:tr>
      <w:tr w:rsidR="00A70B78" w:rsidRPr="007C6A42" w14:paraId="63FF4477" w14:textId="77777777" w:rsidTr="00AF4FC9">
        <w:tc>
          <w:tcPr>
            <w:tcW w:w="1745" w:type="dxa"/>
          </w:tcPr>
          <w:p w14:paraId="59C9A0EC"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اتقوا ربَّكم (١)</w:t>
            </w:r>
          </w:p>
        </w:tc>
        <w:tc>
          <w:tcPr>
            <w:tcW w:w="2126" w:type="dxa"/>
          </w:tcPr>
          <w:p w14:paraId="272F60D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Craignez votre Seigneur</w:t>
            </w:r>
          </w:p>
        </w:tc>
        <w:tc>
          <w:tcPr>
            <w:tcW w:w="2083" w:type="dxa"/>
          </w:tcPr>
          <w:p w14:paraId="5FA3E409"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Craignez votre Seigneur</w:t>
            </w:r>
          </w:p>
        </w:tc>
        <w:tc>
          <w:tcPr>
            <w:tcW w:w="2126" w:type="dxa"/>
          </w:tcPr>
          <w:p w14:paraId="2D7020B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Craignez votre Seigneur</w:t>
            </w:r>
          </w:p>
        </w:tc>
        <w:tc>
          <w:tcPr>
            <w:tcW w:w="1985" w:type="dxa"/>
          </w:tcPr>
          <w:p w14:paraId="41A4A29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Craignez votre Seigneur</w:t>
            </w:r>
          </w:p>
        </w:tc>
      </w:tr>
      <w:tr w:rsidR="00A70B78" w:rsidRPr="007C6A42" w14:paraId="7055DBE3" w14:textId="77777777" w:rsidTr="00AF4FC9">
        <w:tc>
          <w:tcPr>
            <w:tcW w:w="1745" w:type="dxa"/>
          </w:tcPr>
          <w:p w14:paraId="52F2647E"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يومَ ترونها (٢)</w:t>
            </w:r>
          </w:p>
        </w:tc>
        <w:tc>
          <w:tcPr>
            <w:tcW w:w="2126" w:type="dxa"/>
          </w:tcPr>
          <w:p w14:paraId="380618C1"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 xml:space="preserve">Le jour où vous </w:t>
            </w:r>
            <w:r w:rsidRPr="007C6A42">
              <w:rPr>
                <w:rFonts w:asciiTheme="majorBidi" w:hAnsiTheme="majorBidi" w:cstheme="majorBidi"/>
                <w:b/>
                <w:bCs/>
              </w:rPr>
              <w:t xml:space="preserve">la </w:t>
            </w:r>
            <w:r w:rsidRPr="007C6A42">
              <w:rPr>
                <w:rFonts w:asciiTheme="majorBidi" w:hAnsiTheme="majorBidi" w:cstheme="majorBidi"/>
              </w:rPr>
              <w:t>verrez</w:t>
            </w:r>
          </w:p>
        </w:tc>
        <w:tc>
          <w:tcPr>
            <w:tcW w:w="2083" w:type="dxa"/>
          </w:tcPr>
          <w:p w14:paraId="5CF07BE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 xml:space="preserve">Le jour où vous </w:t>
            </w:r>
            <w:r w:rsidRPr="007C6A42">
              <w:rPr>
                <w:rFonts w:asciiTheme="majorBidi" w:hAnsiTheme="majorBidi" w:cstheme="majorBidi"/>
                <w:b/>
                <w:bCs/>
              </w:rPr>
              <w:t xml:space="preserve">le </w:t>
            </w:r>
            <w:r w:rsidRPr="007C6A42">
              <w:rPr>
                <w:rFonts w:asciiTheme="majorBidi" w:hAnsiTheme="majorBidi" w:cstheme="majorBidi"/>
              </w:rPr>
              <w:t>verrez</w:t>
            </w:r>
          </w:p>
        </w:tc>
        <w:tc>
          <w:tcPr>
            <w:tcW w:w="2126" w:type="dxa"/>
          </w:tcPr>
          <w:p w14:paraId="10CF2EC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 xml:space="preserve">Le jour où vous </w:t>
            </w:r>
            <w:r w:rsidRPr="007C6A42">
              <w:rPr>
                <w:rFonts w:asciiTheme="majorBidi" w:hAnsiTheme="majorBidi" w:cstheme="majorBidi"/>
                <w:b/>
                <w:bCs/>
              </w:rPr>
              <w:t xml:space="preserve">le </w:t>
            </w:r>
            <w:r w:rsidRPr="007C6A42">
              <w:rPr>
                <w:rFonts w:asciiTheme="majorBidi" w:hAnsiTheme="majorBidi" w:cstheme="majorBidi"/>
              </w:rPr>
              <w:t>verrez</w:t>
            </w:r>
          </w:p>
        </w:tc>
        <w:tc>
          <w:tcPr>
            <w:tcW w:w="1985" w:type="dxa"/>
          </w:tcPr>
          <w:p w14:paraId="77436A67"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 xml:space="preserve">Le jour où vous </w:t>
            </w:r>
            <w:r w:rsidRPr="007C6A42">
              <w:rPr>
                <w:rFonts w:asciiTheme="majorBidi" w:hAnsiTheme="majorBidi" w:cstheme="majorBidi"/>
                <w:b/>
                <w:bCs/>
              </w:rPr>
              <w:t>la</w:t>
            </w:r>
            <w:r w:rsidRPr="007C6A42">
              <w:rPr>
                <w:rFonts w:asciiTheme="majorBidi" w:hAnsiTheme="majorBidi" w:cstheme="majorBidi"/>
              </w:rPr>
              <w:t xml:space="preserve"> verrez</w:t>
            </w:r>
          </w:p>
        </w:tc>
      </w:tr>
      <w:tr w:rsidR="00A70B78" w:rsidRPr="007C6A42" w14:paraId="15AC1E21" w14:textId="77777777" w:rsidTr="00AF4FC9">
        <w:tc>
          <w:tcPr>
            <w:tcW w:w="1745" w:type="dxa"/>
          </w:tcPr>
          <w:p w14:paraId="28E19804" w14:textId="77777777" w:rsidR="00A70B78" w:rsidRPr="007C6A42" w:rsidRDefault="00A70B78" w:rsidP="00AF4FC9">
            <w:pPr>
              <w:bidi/>
              <w:jc w:val="both"/>
              <w:rPr>
                <w:rFonts w:asciiTheme="majorBidi" w:hAnsiTheme="majorBidi" w:cstheme="majorBidi"/>
                <w:rtl/>
              </w:rPr>
            </w:pPr>
            <w:r w:rsidRPr="007C6A42">
              <w:rPr>
                <w:rFonts w:asciiTheme="majorBidi" w:hAnsiTheme="majorBidi" w:cstheme="majorBidi"/>
                <w:rtl/>
              </w:rPr>
              <w:t>إن كنتم في ريبٍ من البعث فإنَّا خلقناكم من تراب ثم من نطفة ثم من علقة ثم من مضغة (٥)</w:t>
            </w:r>
          </w:p>
        </w:tc>
        <w:tc>
          <w:tcPr>
            <w:tcW w:w="2126" w:type="dxa"/>
          </w:tcPr>
          <w:p w14:paraId="7191915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Si </w:t>
            </w:r>
            <w:r w:rsidRPr="007C6A42">
              <w:rPr>
                <w:rFonts w:asciiTheme="majorBidi" w:hAnsiTheme="majorBidi" w:cstheme="majorBidi"/>
                <w:b/>
                <w:bCs/>
                <w:lang w:eastAsia="fr-CH"/>
              </w:rPr>
              <w:t xml:space="preserve">vous êtes dans la suspicion </w:t>
            </w:r>
            <w:r w:rsidRPr="007C6A42">
              <w:rPr>
                <w:rFonts w:asciiTheme="majorBidi" w:hAnsiTheme="majorBidi" w:cstheme="majorBidi"/>
                <w:lang w:eastAsia="fr-CH"/>
              </w:rPr>
              <w:t>au sujet de la résurrection, c’est nous qui vous avons créés de terre, puis d’une goutte [de sperme], puis d’une adhérence, puis d’un embryon</w:t>
            </w:r>
          </w:p>
        </w:tc>
        <w:tc>
          <w:tcPr>
            <w:tcW w:w="2083" w:type="dxa"/>
          </w:tcPr>
          <w:p w14:paraId="78829AA9"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45744B97"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Si </w:t>
            </w:r>
            <w:r w:rsidRPr="007C6A42">
              <w:rPr>
                <w:rFonts w:asciiTheme="majorBidi" w:hAnsiTheme="majorBidi" w:cstheme="majorBidi"/>
                <w:b/>
                <w:bCs/>
                <w:lang w:eastAsia="fr-CH"/>
              </w:rPr>
              <w:t>vous doutez</w:t>
            </w:r>
            <w:r w:rsidRPr="007C6A42">
              <w:rPr>
                <w:rFonts w:asciiTheme="majorBidi" w:hAnsiTheme="majorBidi" w:cstheme="majorBidi"/>
                <w:lang w:eastAsia="fr-CH"/>
              </w:rPr>
              <w:t xml:space="preserve"> au sujet de la résurrection, c’est </w:t>
            </w:r>
            <w:r w:rsidRPr="007C6A42">
              <w:rPr>
                <w:rFonts w:asciiTheme="majorBidi" w:hAnsiTheme="majorBidi" w:cstheme="majorBidi"/>
                <w:b/>
                <w:bCs/>
                <w:lang w:eastAsia="fr-CH"/>
              </w:rPr>
              <w:t>N</w:t>
            </w:r>
            <w:r w:rsidRPr="007C6A42">
              <w:rPr>
                <w:rFonts w:asciiTheme="majorBidi" w:hAnsiTheme="majorBidi" w:cstheme="majorBidi"/>
                <w:lang w:eastAsia="fr-CH"/>
              </w:rPr>
              <w:t>ous qui vous avons créés de terre, puis d’une goutte de sperme, puis d’une adhérence, puis d’un embryon</w:t>
            </w:r>
          </w:p>
        </w:tc>
        <w:tc>
          <w:tcPr>
            <w:tcW w:w="1985" w:type="dxa"/>
          </w:tcPr>
          <w:p w14:paraId="1984C5FC"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582C1E65" w14:textId="77777777" w:rsidTr="00AF4FC9">
        <w:tc>
          <w:tcPr>
            <w:tcW w:w="1745" w:type="dxa"/>
          </w:tcPr>
          <w:p w14:paraId="070C99B4"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ثم نُخرِجُكم طِفلًا (٥)</w:t>
            </w:r>
          </w:p>
        </w:tc>
        <w:tc>
          <w:tcPr>
            <w:tcW w:w="2126" w:type="dxa"/>
          </w:tcPr>
          <w:p w14:paraId="09714D5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Puis nous vous faisons sortir </w:t>
            </w:r>
            <w:r w:rsidRPr="007C6A42">
              <w:rPr>
                <w:rFonts w:asciiTheme="majorBidi" w:hAnsiTheme="majorBidi" w:cstheme="majorBidi"/>
                <w:b/>
                <w:bCs/>
                <w:lang w:eastAsia="fr-CH"/>
              </w:rPr>
              <w:t>enfants</w:t>
            </w:r>
          </w:p>
        </w:tc>
        <w:tc>
          <w:tcPr>
            <w:tcW w:w="2083" w:type="dxa"/>
          </w:tcPr>
          <w:p w14:paraId="5AB07F88"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40197373"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1985" w:type="dxa"/>
          </w:tcPr>
          <w:p w14:paraId="2B6EE3F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Puis </w:t>
            </w:r>
            <w:r w:rsidRPr="007C6A42">
              <w:rPr>
                <w:rFonts w:asciiTheme="majorBidi" w:hAnsiTheme="majorBidi" w:cstheme="majorBidi"/>
                <w:b/>
                <w:bCs/>
                <w:lang w:eastAsia="fr-CH"/>
              </w:rPr>
              <w:t>N</w:t>
            </w:r>
            <w:r w:rsidRPr="007C6A42">
              <w:rPr>
                <w:rFonts w:asciiTheme="majorBidi" w:hAnsiTheme="majorBidi" w:cstheme="majorBidi"/>
                <w:lang w:eastAsia="fr-CH"/>
              </w:rPr>
              <w:t xml:space="preserve">ous vous </w:t>
            </w:r>
            <w:r w:rsidRPr="007C6A42">
              <w:rPr>
                <w:rFonts w:asciiTheme="majorBidi" w:hAnsiTheme="majorBidi" w:cstheme="majorBidi"/>
                <w:b/>
                <w:bCs/>
                <w:lang w:eastAsia="fr-CH"/>
              </w:rPr>
              <w:t>F</w:t>
            </w:r>
            <w:r w:rsidRPr="007C6A42">
              <w:rPr>
                <w:rFonts w:asciiTheme="majorBidi" w:hAnsiTheme="majorBidi" w:cstheme="majorBidi"/>
                <w:lang w:eastAsia="fr-CH"/>
              </w:rPr>
              <w:t xml:space="preserve">aisons sortir </w:t>
            </w:r>
            <w:r w:rsidRPr="007C6A42">
              <w:rPr>
                <w:rFonts w:asciiTheme="majorBidi" w:hAnsiTheme="majorBidi" w:cstheme="majorBidi"/>
                <w:b/>
                <w:bCs/>
                <w:lang w:eastAsia="fr-CH"/>
              </w:rPr>
              <w:t>un</w:t>
            </w:r>
            <w:r w:rsidRPr="007C6A42">
              <w:rPr>
                <w:rFonts w:asciiTheme="majorBidi" w:hAnsiTheme="majorBidi" w:cstheme="majorBidi"/>
                <w:lang w:eastAsia="fr-CH"/>
              </w:rPr>
              <w:t xml:space="preserve"> enfant</w:t>
            </w:r>
          </w:p>
        </w:tc>
      </w:tr>
      <w:tr w:rsidR="00A70B78" w:rsidRPr="007C6A42" w14:paraId="791D3AD4" w14:textId="77777777" w:rsidTr="00AF4FC9">
        <w:tc>
          <w:tcPr>
            <w:tcW w:w="1745" w:type="dxa"/>
          </w:tcPr>
          <w:p w14:paraId="2F96F437"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وأنَّ اللهَ يَبعث مَن في القبور. (٧)</w:t>
            </w:r>
          </w:p>
        </w:tc>
        <w:tc>
          <w:tcPr>
            <w:tcW w:w="2126" w:type="dxa"/>
          </w:tcPr>
          <w:p w14:paraId="4D23AE8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et </w:t>
            </w:r>
            <w:r w:rsidRPr="007C6A42">
              <w:rPr>
                <w:rFonts w:asciiTheme="majorBidi" w:hAnsiTheme="majorBidi" w:cstheme="majorBidi"/>
                <w:b/>
                <w:bCs/>
                <w:lang w:eastAsia="fr-CH"/>
              </w:rPr>
              <w:t>Dieu</w:t>
            </w:r>
            <w:r w:rsidRPr="007C6A42">
              <w:rPr>
                <w:rFonts w:asciiTheme="majorBidi" w:hAnsiTheme="majorBidi" w:cstheme="majorBidi"/>
                <w:lang w:eastAsia="fr-CH"/>
              </w:rPr>
              <w:t xml:space="preserve"> ressuscitera ceux qui sont dans les </w:t>
            </w:r>
            <w:r w:rsidRPr="007C6A42">
              <w:rPr>
                <w:rFonts w:asciiTheme="majorBidi" w:hAnsiTheme="majorBidi" w:cstheme="majorBidi"/>
                <w:b/>
                <w:bCs/>
                <w:lang w:eastAsia="fr-CH"/>
              </w:rPr>
              <w:t>tombes</w:t>
            </w:r>
            <w:r w:rsidRPr="007C6A42">
              <w:rPr>
                <w:rFonts w:asciiTheme="majorBidi" w:hAnsiTheme="majorBidi" w:cstheme="majorBidi"/>
                <w:lang w:eastAsia="fr-CH"/>
              </w:rPr>
              <w:t>.</w:t>
            </w:r>
          </w:p>
        </w:tc>
        <w:tc>
          <w:tcPr>
            <w:tcW w:w="2083" w:type="dxa"/>
          </w:tcPr>
          <w:p w14:paraId="6CEC6FD9"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et que </w:t>
            </w:r>
            <w:r w:rsidRPr="007C6A42">
              <w:rPr>
                <w:rFonts w:asciiTheme="majorBidi" w:hAnsiTheme="majorBidi" w:cstheme="majorBidi"/>
                <w:b/>
                <w:bCs/>
                <w:lang w:eastAsia="fr-CH"/>
              </w:rPr>
              <w:t>Dieu</w:t>
            </w:r>
            <w:r w:rsidRPr="007C6A42">
              <w:rPr>
                <w:rFonts w:asciiTheme="majorBidi" w:hAnsiTheme="majorBidi" w:cstheme="majorBidi"/>
                <w:lang w:eastAsia="fr-CH"/>
              </w:rPr>
              <w:t xml:space="preserve"> ressuscitera ceux qui sont dans les </w:t>
            </w:r>
            <w:r w:rsidRPr="007C6A42">
              <w:rPr>
                <w:rFonts w:asciiTheme="majorBidi" w:hAnsiTheme="majorBidi" w:cstheme="majorBidi"/>
                <w:b/>
                <w:bCs/>
                <w:lang w:eastAsia="fr-CH"/>
              </w:rPr>
              <w:t>tombeaux</w:t>
            </w:r>
            <w:r w:rsidRPr="007C6A42">
              <w:rPr>
                <w:rFonts w:asciiTheme="majorBidi" w:hAnsiTheme="majorBidi" w:cstheme="majorBidi"/>
                <w:lang w:eastAsia="fr-CH"/>
              </w:rPr>
              <w:t>.</w:t>
            </w:r>
          </w:p>
        </w:tc>
        <w:tc>
          <w:tcPr>
            <w:tcW w:w="2126" w:type="dxa"/>
          </w:tcPr>
          <w:p w14:paraId="458BD81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Et qu’</w:t>
            </w:r>
            <w:r w:rsidRPr="007C6A42">
              <w:rPr>
                <w:rFonts w:asciiTheme="majorBidi" w:hAnsiTheme="majorBidi" w:cstheme="majorBidi"/>
                <w:b/>
                <w:bCs/>
                <w:lang w:eastAsia="fr-CH"/>
              </w:rPr>
              <w:t>Allah</w:t>
            </w:r>
            <w:r w:rsidRPr="007C6A42">
              <w:rPr>
                <w:rFonts w:asciiTheme="majorBidi" w:hAnsiTheme="majorBidi" w:cstheme="majorBidi"/>
                <w:lang w:eastAsia="fr-CH"/>
              </w:rPr>
              <w:t xml:space="preserve"> ressuscitera ceux qui sont dans les </w:t>
            </w:r>
            <w:r w:rsidRPr="007C6A42">
              <w:rPr>
                <w:rFonts w:asciiTheme="majorBidi" w:hAnsiTheme="majorBidi" w:cstheme="majorBidi"/>
                <w:b/>
                <w:bCs/>
                <w:lang w:eastAsia="fr-CH"/>
              </w:rPr>
              <w:t>tombeaux</w:t>
            </w:r>
            <w:r w:rsidRPr="007C6A42">
              <w:rPr>
                <w:rFonts w:asciiTheme="majorBidi" w:hAnsiTheme="majorBidi" w:cstheme="majorBidi"/>
                <w:lang w:eastAsia="fr-CH"/>
              </w:rPr>
              <w:t>.</w:t>
            </w:r>
          </w:p>
        </w:tc>
        <w:tc>
          <w:tcPr>
            <w:tcW w:w="1985" w:type="dxa"/>
          </w:tcPr>
          <w:p w14:paraId="20EE82D0"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Et qu’</w:t>
            </w:r>
            <w:r w:rsidRPr="007C6A42">
              <w:rPr>
                <w:rFonts w:asciiTheme="majorBidi" w:hAnsiTheme="majorBidi" w:cstheme="majorBidi"/>
                <w:b/>
                <w:bCs/>
                <w:lang w:eastAsia="fr-CH"/>
              </w:rPr>
              <w:t>Allah</w:t>
            </w:r>
            <w:r w:rsidRPr="007C6A42">
              <w:rPr>
                <w:rFonts w:asciiTheme="majorBidi" w:hAnsiTheme="majorBidi" w:cstheme="majorBidi"/>
                <w:lang w:eastAsia="fr-CH"/>
              </w:rPr>
              <w:t xml:space="preserve"> </w:t>
            </w:r>
            <w:r w:rsidRPr="007C6A42">
              <w:rPr>
                <w:rFonts w:asciiTheme="majorBidi" w:hAnsiTheme="majorBidi" w:cstheme="majorBidi"/>
                <w:b/>
                <w:bCs/>
                <w:lang w:eastAsia="fr-CH"/>
              </w:rPr>
              <w:t>R</w:t>
            </w:r>
            <w:r w:rsidRPr="007C6A42">
              <w:rPr>
                <w:rFonts w:asciiTheme="majorBidi" w:hAnsiTheme="majorBidi" w:cstheme="majorBidi"/>
                <w:lang w:eastAsia="fr-CH"/>
              </w:rPr>
              <w:t>essuscit</w:t>
            </w:r>
            <w:r w:rsidRPr="007C6A42">
              <w:rPr>
                <w:rFonts w:asciiTheme="majorBidi" w:hAnsiTheme="majorBidi" w:cstheme="majorBidi"/>
                <w:b/>
                <w:bCs/>
                <w:lang w:eastAsia="fr-CH"/>
              </w:rPr>
              <w:t>e</w:t>
            </w:r>
            <w:r w:rsidRPr="007C6A42">
              <w:rPr>
                <w:rFonts w:asciiTheme="majorBidi" w:hAnsiTheme="majorBidi" w:cstheme="majorBidi"/>
                <w:lang w:eastAsia="fr-CH"/>
              </w:rPr>
              <w:t xml:space="preserve"> </w:t>
            </w:r>
            <w:r w:rsidRPr="007C6A42">
              <w:rPr>
                <w:rFonts w:asciiTheme="majorBidi" w:hAnsiTheme="majorBidi" w:cstheme="majorBidi"/>
                <w:b/>
                <w:bCs/>
                <w:lang w:eastAsia="fr-CH"/>
              </w:rPr>
              <w:t>vraiment</w:t>
            </w:r>
            <w:r w:rsidRPr="007C6A42">
              <w:rPr>
                <w:rFonts w:asciiTheme="majorBidi" w:hAnsiTheme="majorBidi" w:cstheme="majorBidi"/>
                <w:lang w:eastAsia="fr-CH"/>
              </w:rPr>
              <w:t xml:space="preserve"> ceux qui sont dans les </w:t>
            </w:r>
            <w:r w:rsidRPr="007C6A42">
              <w:rPr>
                <w:rFonts w:asciiTheme="majorBidi" w:hAnsiTheme="majorBidi" w:cstheme="majorBidi"/>
                <w:b/>
                <w:bCs/>
                <w:lang w:eastAsia="fr-CH"/>
              </w:rPr>
              <w:t>tombes</w:t>
            </w:r>
            <w:r w:rsidRPr="007C6A42">
              <w:rPr>
                <w:rFonts w:asciiTheme="majorBidi" w:hAnsiTheme="majorBidi" w:cstheme="majorBidi"/>
                <w:lang w:eastAsia="fr-CH"/>
              </w:rPr>
              <w:t>.</w:t>
            </w:r>
          </w:p>
        </w:tc>
      </w:tr>
      <w:tr w:rsidR="00A70B78" w:rsidRPr="007C6A42" w14:paraId="7DB04773" w14:textId="77777777" w:rsidTr="00AF4FC9">
        <w:tc>
          <w:tcPr>
            <w:tcW w:w="1745" w:type="dxa"/>
          </w:tcPr>
          <w:p w14:paraId="7166CBFA" w14:textId="77777777" w:rsidR="00A70B78" w:rsidRPr="007C6A42" w:rsidRDefault="00A70B78" w:rsidP="00AF4FC9">
            <w:pPr>
              <w:bidi/>
              <w:jc w:val="both"/>
              <w:rPr>
                <w:rFonts w:asciiTheme="majorBidi" w:hAnsiTheme="majorBidi" w:cstheme="majorBidi"/>
                <w:rtl/>
              </w:rPr>
            </w:pPr>
            <w:r w:rsidRPr="007C6A42">
              <w:rPr>
                <w:rFonts w:asciiTheme="majorBidi" w:hAnsiTheme="majorBidi" w:cstheme="majorBidi"/>
                <w:rtl/>
              </w:rPr>
              <w:t>بما قدَّمَت يداكَ (١٠)</w:t>
            </w:r>
          </w:p>
        </w:tc>
        <w:tc>
          <w:tcPr>
            <w:tcW w:w="2126" w:type="dxa"/>
          </w:tcPr>
          <w:p w14:paraId="0FAC247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pour ce que tes deux mains ont préparé.</w:t>
            </w:r>
          </w:p>
        </w:tc>
        <w:tc>
          <w:tcPr>
            <w:tcW w:w="2083" w:type="dxa"/>
          </w:tcPr>
          <w:p w14:paraId="5A00B430"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Pour ce que tes deux mains ont préparé.</w:t>
            </w:r>
          </w:p>
        </w:tc>
        <w:tc>
          <w:tcPr>
            <w:tcW w:w="2126" w:type="dxa"/>
          </w:tcPr>
          <w:p w14:paraId="680D7B0A"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Pour ce que tes deux mains ont préparé.</w:t>
            </w:r>
          </w:p>
        </w:tc>
        <w:tc>
          <w:tcPr>
            <w:tcW w:w="1985" w:type="dxa"/>
          </w:tcPr>
          <w:p w14:paraId="68361429"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77F6BDE8" w14:textId="77777777" w:rsidTr="00AF4FC9">
        <w:tc>
          <w:tcPr>
            <w:tcW w:w="1745" w:type="dxa"/>
          </w:tcPr>
          <w:p w14:paraId="6EB20FD2"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مَن يعبد اللهَ على حَرف (١١)</w:t>
            </w:r>
          </w:p>
        </w:tc>
        <w:tc>
          <w:tcPr>
            <w:tcW w:w="2126" w:type="dxa"/>
          </w:tcPr>
          <w:p w14:paraId="4015CDA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qui adore </w:t>
            </w:r>
            <w:r w:rsidRPr="007C6A42">
              <w:rPr>
                <w:rFonts w:asciiTheme="majorBidi" w:hAnsiTheme="majorBidi" w:cstheme="majorBidi"/>
                <w:b/>
                <w:bCs/>
                <w:lang w:eastAsia="fr-CH"/>
              </w:rPr>
              <w:t xml:space="preserve">Dieu </w:t>
            </w:r>
            <w:r w:rsidRPr="007C6A42">
              <w:rPr>
                <w:rFonts w:asciiTheme="majorBidi" w:hAnsiTheme="majorBidi" w:cstheme="majorBidi"/>
                <w:lang w:eastAsia="fr-CH"/>
              </w:rPr>
              <w:t>marginalement.</w:t>
            </w:r>
          </w:p>
        </w:tc>
        <w:tc>
          <w:tcPr>
            <w:tcW w:w="2083" w:type="dxa"/>
          </w:tcPr>
          <w:p w14:paraId="1F8005FF"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0D72B83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qui adore</w:t>
            </w:r>
            <w:r w:rsidRPr="007C6A42">
              <w:rPr>
                <w:rFonts w:asciiTheme="majorBidi" w:hAnsiTheme="majorBidi" w:cstheme="majorBidi"/>
                <w:b/>
                <w:bCs/>
                <w:lang w:eastAsia="fr-CH"/>
              </w:rPr>
              <w:t xml:space="preserve">nt Allah </w:t>
            </w:r>
            <w:r w:rsidRPr="007C6A42">
              <w:rPr>
                <w:rFonts w:asciiTheme="majorBidi" w:hAnsiTheme="majorBidi" w:cstheme="majorBidi"/>
                <w:lang w:eastAsia="fr-CH"/>
              </w:rPr>
              <w:t>marginalement.</w:t>
            </w:r>
          </w:p>
        </w:tc>
        <w:tc>
          <w:tcPr>
            <w:tcW w:w="1985" w:type="dxa"/>
          </w:tcPr>
          <w:p w14:paraId="0510FE41"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11A1BEEB" w14:textId="77777777" w:rsidTr="00AF4FC9">
        <w:tc>
          <w:tcPr>
            <w:tcW w:w="1745" w:type="dxa"/>
          </w:tcPr>
          <w:p w14:paraId="4FE05342"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ما لا يضرُّه ،ما لا ينفعه (١٢)</w:t>
            </w:r>
          </w:p>
        </w:tc>
        <w:tc>
          <w:tcPr>
            <w:tcW w:w="2126" w:type="dxa"/>
          </w:tcPr>
          <w:p w14:paraId="6BE6ED0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ce qui ne peut ni </w:t>
            </w:r>
            <w:r w:rsidRPr="007C6A42">
              <w:rPr>
                <w:rFonts w:asciiTheme="majorBidi" w:hAnsiTheme="majorBidi" w:cstheme="majorBidi"/>
                <w:b/>
                <w:bCs/>
                <w:lang w:eastAsia="fr-CH"/>
              </w:rPr>
              <w:t>lui</w:t>
            </w:r>
            <w:r w:rsidRPr="007C6A42">
              <w:rPr>
                <w:rFonts w:asciiTheme="majorBidi" w:hAnsiTheme="majorBidi" w:cstheme="majorBidi"/>
                <w:lang w:eastAsia="fr-CH"/>
              </w:rPr>
              <w:t xml:space="preserve"> nuire ni </w:t>
            </w:r>
            <w:r w:rsidRPr="007C6A42">
              <w:rPr>
                <w:rFonts w:asciiTheme="majorBidi" w:hAnsiTheme="majorBidi" w:cstheme="majorBidi"/>
                <w:b/>
                <w:bCs/>
                <w:lang w:eastAsia="fr-CH"/>
              </w:rPr>
              <w:t xml:space="preserve">lui </w:t>
            </w:r>
            <w:r w:rsidRPr="007C6A42">
              <w:rPr>
                <w:rFonts w:asciiTheme="majorBidi" w:hAnsiTheme="majorBidi" w:cstheme="majorBidi"/>
                <w:lang w:eastAsia="fr-CH"/>
              </w:rPr>
              <w:t>profiter.</w:t>
            </w:r>
          </w:p>
        </w:tc>
        <w:tc>
          <w:tcPr>
            <w:tcW w:w="2083" w:type="dxa"/>
          </w:tcPr>
          <w:p w14:paraId="15212960"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343D01F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ce qui ne peut ni </w:t>
            </w:r>
            <w:r w:rsidRPr="007C6A42">
              <w:rPr>
                <w:rFonts w:asciiTheme="majorBidi" w:hAnsiTheme="majorBidi" w:cstheme="majorBidi"/>
                <w:b/>
                <w:bCs/>
                <w:lang w:eastAsia="fr-CH"/>
              </w:rPr>
              <w:t>leur</w:t>
            </w:r>
            <w:r w:rsidRPr="007C6A42">
              <w:rPr>
                <w:rFonts w:asciiTheme="majorBidi" w:hAnsiTheme="majorBidi" w:cstheme="majorBidi"/>
                <w:lang w:eastAsia="fr-CH"/>
              </w:rPr>
              <w:t xml:space="preserve"> nuire ni</w:t>
            </w:r>
            <w:r w:rsidRPr="007C6A42">
              <w:rPr>
                <w:rFonts w:asciiTheme="majorBidi" w:hAnsiTheme="majorBidi" w:cstheme="majorBidi"/>
                <w:b/>
                <w:bCs/>
                <w:lang w:eastAsia="fr-CH"/>
              </w:rPr>
              <w:t xml:space="preserve"> leur</w:t>
            </w:r>
            <w:r w:rsidRPr="007C6A42">
              <w:rPr>
                <w:rFonts w:asciiTheme="majorBidi" w:hAnsiTheme="majorBidi" w:cstheme="majorBidi"/>
                <w:lang w:eastAsia="fr-CH"/>
              </w:rPr>
              <w:t xml:space="preserve"> profiter.</w:t>
            </w:r>
          </w:p>
        </w:tc>
        <w:tc>
          <w:tcPr>
            <w:tcW w:w="1985" w:type="dxa"/>
          </w:tcPr>
          <w:p w14:paraId="238071FD"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64B1C63C" w14:textId="77777777" w:rsidTr="00AF4FC9">
        <w:tc>
          <w:tcPr>
            <w:tcW w:w="1745" w:type="dxa"/>
          </w:tcPr>
          <w:p w14:paraId="05260635"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من كان يظن أنْ لن ينصرَه اللهُ في الدنيا والآخرة فليمدد بسبب إلى السماء ثم ليقطع فلينظر هل يُذهِبَنَّ كيدُه ما يَغيظ. (١٥)</w:t>
            </w:r>
          </w:p>
        </w:tc>
        <w:tc>
          <w:tcPr>
            <w:tcW w:w="2126" w:type="dxa"/>
          </w:tcPr>
          <w:p w14:paraId="1EC8C1A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Celui qui</w:t>
            </w:r>
            <w:r w:rsidRPr="007C6A42">
              <w:rPr>
                <w:rFonts w:asciiTheme="majorBidi" w:hAnsiTheme="majorBidi" w:cstheme="majorBidi"/>
                <w:b/>
                <w:bCs/>
                <w:lang w:eastAsia="fr-CH"/>
              </w:rPr>
              <w:t xml:space="preserve"> présume </w:t>
            </w:r>
            <w:r w:rsidRPr="007C6A42">
              <w:rPr>
                <w:rFonts w:asciiTheme="majorBidi" w:hAnsiTheme="majorBidi" w:cstheme="majorBidi"/>
                <w:lang w:eastAsia="fr-CH"/>
              </w:rPr>
              <w:t xml:space="preserve">que </w:t>
            </w:r>
            <w:r w:rsidRPr="007C6A42">
              <w:rPr>
                <w:rFonts w:asciiTheme="majorBidi" w:hAnsiTheme="majorBidi" w:cstheme="majorBidi"/>
                <w:b/>
                <w:bCs/>
                <w:lang w:eastAsia="fr-CH"/>
              </w:rPr>
              <w:t xml:space="preserve">Dieu </w:t>
            </w:r>
            <w:r w:rsidRPr="007C6A42">
              <w:rPr>
                <w:rFonts w:asciiTheme="majorBidi" w:hAnsiTheme="majorBidi" w:cstheme="majorBidi"/>
                <w:lang w:eastAsia="fr-CH"/>
              </w:rPr>
              <w:t xml:space="preserve">ne le secourra pas dans la [vie] ici-bas et la [vie] dernière, qu’il tende une corde jusqu’au ciel, puis qu’il la coupe, et qu’il </w:t>
            </w:r>
            <w:r w:rsidRPr="007C6A42">
              <w:rPr>
                <w:rFonts w:asciiTheme="majorBidi" w:hAnsiTheme="majorBidi" w:cstheme="majorBidi"/>
                <w:b/>
                <w:bCs/>
                <w:lang w:eastAsia="fr-CH"/>
              </w:rPr>
              <w:t>regarde</w:t>
            </w:r>
            <w:r w:rsidRPr="007C6A42">
              <w:rPr>
                <w:rFonts w:asciiTheme="majorBidi" w:hAnsiTheme="majorBidi" w:cstheme="majorBidi"/>
                <w:lang w:eastAsia="fr-CH"/>
              </w:rPr>
              <w:t xml:space="preserve"> si sa ruse </w:t>
            </w:r>
            <w:r w:rsidRPr="007C6A42">
              <w:rPr>
                <w:rFonts w:asciiTheme="majorBidi" w:hAnsiTheme="majorBidi" w:cstheme="majorBidi"/>
                <w:b/>
                <w:bCs/>
                <w:lang w:eastAsia="fr-CH"/>
              </w:rPr>
              <w:t>fera</w:t>
            </w:r>
            <w:r w:rsidRPr="007C6A42">
              <w:rPr>
                <w:rFonts w:asciiTheme="majorBidi" w:hAnsiTheme="majorBidi" w:cstheme="majorBidi"/>
                <w:lang w:eastAsia="fr-CH"/>
              </w:rPr>
              <w:t xml:space="preserve"> disparaître ce qui l’enrage.</w:t>
            </w:r>
          </w:p>
        </w:tc>
        <w:tc>
          <w:tcPr>
            <w:tcW w:w="2083" w:type="dxa"/>
          </w:tcPr>
          <w:p w14:paraId="16B9BF18"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lang w:eastAsia="fr-CH"/>
              </w:rPr>
              <w:t>---</w:t>
            </w:r>
          </w:p>
        </w:tc>
        <w:tc>
          <w:tcPr>
            <w:tcW w:w="2126" w:type="dxa"/>
          </w:tcPr>
          <w:p w14:paraId="6EE4C1A0"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Celui qui </w:t>
            </w:r>
            <w:r w:rsidRPr="007C6A42">
              <w:rPr>
                <w:rFonts w:asciiTheme="majorBidi" w:hAnsiTheme="majorBidi" w:cstheme="majorBidi"/>
                <w:b/>
                <w:bCs/>
                <w:lang w:eastAsia="fr-CH"/>
              </w:rPr>
              <w:t>pense</w:t>
            </w:r>
            <w:r w:rsidRPr="007C6A42">
              <w:rPr>
                <w:rFonts w:asciiTheme="majorBidi" w:hAnsiTheme="majorBidi" w:cstheme="majorBidi"/>
                <w:lang w:eastAsia="fr-CH"/>
              </w:rPr>
              <w:t xml:space="preserve"> qu’</w:t>
            </w:r>
            <w:r w:rsidRPr="007C6A42">
              <w:rPr>
                <w:rFonts w:asciiTheme="majorBidi" w:hAnsiTheme="majorBidi" w:cstheme="majorBidi"/>
                <w:b/>
                <w:bCs/>
                <w:lang w:eastAsia="fr-CH"/>
              </w:rPr>
              <w:t>Allah</w:t>
            </w:r>
            <w:r w:rsidRPr="007C6A42">
              <w:rPr>
                <w:rFonts w:asciiTheme="majorBidi" w:hAnsiTheme="majorBidi" w:cstheme="majorBidi"/>
                <w:lang w:eastAsia="fr-CH"/>
              </w:rPr>
              <w:t xml:space="preserve"> ne le secourra pas dans </w:t>
            </w:r>
            <w:r w:rsidRPr="007C6A42">
              <w:rPr>
                <w:rFonts w:asciiTheme="majorBidi" w:hAnsiTheme="majorBidi" w:cstheme="majorBidi"/>
                <w:b/>
                <w:bCs/>
                <w:lang w:eastAsia="fr-CH"/>
              </w:rPr>
              <w:t>l’</w:t>
            </w:r>
            <w:r w:rsidRPr="007C6A42">
              <w:rPr>
                <w:rFonts w:asciiTheme="majorBidi" w:hAnsiTheme="majorBidi" w:cstheme="majorBidi"/>
                <w:lang w:eastAsia="fr-CH"/>
              </w:rPr>
              <w:t xml:space="preserve">ici-bas et </w:t>
            </w:r>
            <w:r w:rsidRPr="007C6A42">
              <w:rPr>
                <w:rFonts w:asciiTheme="majorBidi" w:hAnsiTheme="majorBidi" w:cstheme="majorBidi"/>
                <w:b/>
                <w:bCs/>
                <w:lang w:eastAsia="fr-CH"/>
              </w:rPr>
              <w:t>dans l’au-delà</w:t>
            </w:r>
            <w:r w:rsidRPr="007C6A42">
              <w:rPr>
                <w:rFonts w:asciiTheme="majorBidi" w:hAnsiTheme="majorBidi" w:cstheme="majorBidi"/>
                <w:lang w:eastAsia="fr-CH"/>
              </w:rPr>
              <w:t xml:space="preserve">, qu’il tende une corde jusqu’au ciel, puis qu’il la coupe, et qu’il </w:t>
            </w:r>
            <w:r w:rsidRPr="007C6A42">
              <w:rPr>
                <w:rFonts w:asciiTheme="majorBidi" w:hAnsiTheme="majorBidi" w:cstheme="majorBidi"/>
                <w:b/>
                <w:bCs/>
                <w:lang w:eastAsia="fr-CH"/>
              </w:rPr>
              <w:t>voie</w:t>
            </w:r>
            <w:r w:rsidRPr="007C6A42">
              <w:rPr>
                <w:rFonts w:asciiTheme="majorBidi" w:hAnsiTheme="majorBidi" w:cstheme="majorBidi"/>
                <w:lang w:eastAsia="fr-CH"/>
              </w:rPr>
              <w:t xml:space="preserve"> si sa ruse </w:t>
            </w:r>
            <w:r w:rsidRPr="007C6A42">
              <w:rPr>
                <w:rFonts w:asciiTheme="majorBidi" w:hAnsiTheme="majorBidi" w:cstheme="majorBidi"/>
                <w:b/>
                <w:bCs/>
                <w:lang w:eastAsia="fr-CH"/>
              </w:rPr>
              <w:t>va faire</w:t>
            </w:r>
            <w:r w:rsidRPr="007C6A42">
              <w:rPr>
                <w:rFonts w:asciiTheme="majorBidi" w:hAnsiTheme="majorBidi" w:cstheme="majorBidi"/>
                <w:lang w:eastAsia="fr-CH"/>
              </w:rPr>
              <w:t xml:space="preserve"> disparaître ce qui l’enrage.</w:t>
            </w:r>
          </w:p>
        </w:tc>
        <w:tc>
          <w:tcPr>
            <w:tcW w:w="1985" w:type="dxa"/>
          </w:tcPr>
          <w:p w14:paraId="58E50305"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7F55F548" w14:textId="77777777" w:rsidTr="00AF4FC9">
        <w:tc>
          <w:tcPr>
            <w:tcW w:w="1745" w:type="dxa"/>
          </w:tcPr>
          <w:p w14:paraId="130EC976"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lastRenderedPageBreak/>
              <w:t>إن الذين آمنوا والذين هادوا والصابئين والنصارى (١٧)</w:t>
            </w:r>
          </w:p>
        </w:tc>
        <w:tc>
          <w:tcPr>
            <w:tcW w:w="2126" w:type="dxa"/>
          </w:tcPr>
          <w:p w14:paraId="3953694B"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Ceux qui ont cru, les juifs, les sabéens, les nazaréens, les mages</w:t>
            </w:r>
          </w:p>
        </w:tc>
        <w:tc>
          <w:tcPr>
            <w:tcW w:w="2083" w:type="dxa"/>
          </w:tcPr>
          <w:p w14:paraId="4FFB2947"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716B6A1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Ceux qui ont cru, les </w:t>
            </w:r>
            <w:r w:rsidRPr="007C6A42">
              <w:rPr>
                <w:rFonts w:asciiTheme="majorBidi" w:hAnsiTheme="majorBidi" w:cstheme="majorBidi"/>
                <w:b/>
                <w:bCs/>
                <w:lang w:eastAsia="fr-CH"/>
              </w:rPr>
              <w:t>J</w:t>
            </w:r>
            <w:r w:rsidRPr="007C6A42">
              <w:rPr>
                <w:rFonts w:asciiTheme="majorBidi" w:hAnsiTheme="majorBidi" w:cstheme="majorBidi"/>
                <w:lang w:eastAsia="fr-CH"/>
              </w:rPr>
              <w:t xml:space="preserve">uifs, les </w:t>
            </w:r>
            <w:r w:rsidRPr="007C6A42">
              <w:rPr>
                <w:rFonts w:asciiTheme="majorBidi" w:hAnsiTheme="majorBidi" w:cstheme="majorBidi"/>
                <w:b/>
                <w:bCs/>
                <w:lang w:eastAsia="fr-CH"/>
              </w:rPr>
              <w:t>S</w:t>
            </w:r>
            <w:r w:rsidRPr="007C6A42">
              <w:rPr>
                <w:rFonts w:asciiTheme="majorBidi" w:hAnsiTheme="majorBidi" w:cstheme="majorBidi"/>
                <w:lang w:eastAsia="fr-CH"/>
              </w:rPr>
              <w:t xml:space="preserve">abéens </w:t>
            </w:r>
            <w:r w:rsidRPr="007C6A42">
              <w:rPr>
                <w:rFonts w:asciiTheme="majorBidi" w:hAnsiTheme="majorBidi" w:cstheme="majorBidi"/>
                <w:b/>
                <w:bCs/>
                <w:lang w:eastAsia="fr-CH"/>
              </w:rPr>
              <w:t>[les adorateurs des étoiles]</w:t>
            </w:r>
            <w:r w:rsidRPr="007C6A42">
              <w:rPr>
                <w:rFonts w:asciiTheme="majorBidi" w:hAnsiTheme="majorBidi" w:cstheme="majorBidi"/>
                <w:lang w:eastAsia="fr-CH"/>
              </w:rPr>
              <w:t>, les Nazaréens, les mages</w:t>
            </w:r>
          </w:p>
        </w:tc>
        <w:tc>
          <w:tcPr>
            <w:tcW w:w="1985" w:type="dxa"/>
          </w:tcPr>
          <w:p w14:paraId="40D32597"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4DD36F23" w14:textId="77777777" w:rsidTr="00AF4FC9">
        <w:tc>
          <w:tcPr>
            <w:tcW w:w="1745" w:type="dxa"/>
          </w:tcPr>
          <w:p w14:paraId="1FAFCCC9"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إن الله على كل شيء شهيد. (١٧)</w:t>
            </w:r>
          </w:p>
        </w:tc>
        <w:tc>
          <w:tcPr>
            <w:tcW w:w="2126" w:type="dxa"/>
          </w:tcPr>
          <w:p w14:paraId="364FF7CA"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Dieu</w:t>
            </w:r>
            <w:r w:rsidRPr="007C6A42">
              <w:rPr>
                <w:rFonts w:asciiTheme="majorBidi" w:hAnsiTheme="majorBidi" w:cstheme="majorBidi"/>
                <w:lang w:eastAsia="fr-CH"/>
              </w:rPr>
              <w:t xml:space="preserve"> est témoin de toute chose.</w:t>
            </w:r>
          </w:p>
        </w:tc>
        <w:tc>
          <w:tcPr>
            <w:tcW w:w="2083" w:type="dxa"/>
          </w:tcPr>
          <w:p w14:paraId="34E1BFC6"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5386DC08"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Allah</w:t>
            </w:r>
            <w:r w:rsidRPr="007C6A42">
              <w:rPr>
                <w:rFonts w:asciiTheme="majorBidi" w:hAnsiTheme="majorBidi" w:cstheme="majorBidi"/>
                <w:lang w:eastAsia="fr-CH"/>
              </w:rPr>
              <w:t xml:space="preserve"> est </w:t>
            </w:r>
            <w:r w:rsidRPr="007C6A42">
              <w:rPr>
                <w:rFonts w:asciiTheme="majorBidi" w:hAnsiTheme="majorBidi" w:cstheme="majorBidi"/>
                <w:b/>
                <w:bCs/>
                <w:lang w:eastAsia="fr-CH"/>
              </w:rPr>
              <w:t>certes</w:t>
            </w:r>
            <w:r w:rsidRPr="007C6A42">
              <w:rPr>
                <w:rFonts w:asciiTheme="majorBidi" w:hAnsiTheme="majorBidi" w:cstheme="majorBidi"/>
                <w:lang w:eastAsia="fr-CH"/>
              </w:rPr>
              <w:t xml:space="preserve"> témoin de toute chose.</w:t>
            </w:r>
          </w:p>
        </w:tc>
        <w:tc>
          <w:tcPr>
            <w:tcW w:w="1985" w:type="dxa"/>
          </w:tcPr>
          <w:p w14:paraId="77B3F538"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2C7C0999" w14:textId="77777777" w:rsidTr="00AF4FC9">
        <w:tc>
          <w:tcPr>
            <w:tcW w:w="1745" w:type="dxa"/>
          </w:tcPr>
          <w:p w14:paraId="435B6D0D"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 (١٨)</w:t>
            </w:r>
          </w:p>
        </w:tc>
        <w:tc>
          <w:tcPr>
            <w:tcW w:w="2126" w:type="dxa"/>
          </w:tcPr>
          <w:p w14:paraId="257375A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N’as-tu pas vu que devant Dieu se prosternent ceux qui sont dans les cieux et la terre, le soleil, la lune, les astres, les montagnes, les arbres, les animaux, et beaucoup d’humains ? Il y en a beaucoup contre qui le châtiment s’avère juste. Quiconque Dieu humilie n’a personne pour l’honorer. Dieu fait ce qu’il souhaite.</w:t>
            </w:r>
          </w:p>
        </w:tc>
        <w:tc>
          <w:tcPr>
            <w:tcW w:w="2083" w:type="dxa"/>
          </w:tcPr>
          <w:p w14:paraId="59761B2E" w14:textId="77777777" w:rsidR="00A70B78" w:rsidRPr="007C6A42" w:rsidRDefault="00A70B78" w:rsidP="00AF4FC9">
            <w:pPr>
              <w:rPr>
                <w:rFonts w:asciiTheme="majorBidi" w:hAnsiTheme="majorBidi" w:cstheme="majorBidi"/>
              </w:rPr>
            </w:pPr>
            <w:r w:rsidRPr="007C6A42">
              <w:rPr>
                <w:rFonts w:asciiTheme="majorBidi" w:hAnsiTheme="majorBidi" w:cstheme="majorBidi"/>
                <w:lang w:eastAsia="fr-CH"/>
              </w:rPr>
              <w:t xml:space="preserve">N’as-tu pas vu que c’est devant </w:t>
            </w:r>
            <w:r w:rsidRPr="007C6A42">
              <w:rPr>
                <w:rFonts w:asciiTheme="majorBidi" w:hAnsiTheme="majorBidi" w:cstheme="majorBidi"/>
                <w:b/>
                <w:bCs/>
                <w:lang w:eastAsia="fr-CH"/>
              </w:rPr>
              <w:t>Dieu</w:t>
            </w:r>
            <w:r w:rsidRPr="007C6A42">
              <w:rPr>
                <w:rFonts w:asciiTheme="majorBidi" w:hAnsiTheme="majorBidi" w:cstheme="majorBidi"/>
                <w:lang w:eastAsia="fr-CH"/>
              </w:rPr>
              <w:t xml:space="preserve"> que se prosternent tous ceux qui sont dans les cieux et tous ceux qui sont sur la terre, et le soleil, </w:t>
            </w:r>
            <w:r w:rsidRPr="007C6A42">
              <w:rPr>
                <w:rFonts w:asciiTheme="majorBidi" w:hAnsiTheme="majorBidi" w:cstheme="majorBidi"/>
                <w:b/>
                <w:bCs/>
                <w:lang w:eastAsia="fr-CH"/>
              </w:rPr>
              <w:t>et</w:t>
            </w:r>
            <w:r w:rsidRPr="007C6A42">
              <w:rPr>
                <w:rFonts w:asciiTheme="majorBidi" w:hAnsiTheme="majorBidi" w:cstheme="majorBidi"/>
                <w:lang w:eastAsia="fr-CH"/>
              </w:rPr>
              <w:t xml:space="preserve"> la lune,</w:t>
            </w:r>
            <w:r w:rsidRPr="007C6A42">
              <w:rPr>
                <w:rFonts w:asciiTheme="majorBidi" w:hAnsiTheme="majorBidi" w:cstheme="majorBidi"/>
                <w:b/>
                <w:bCs/>
                <w:lang w:eastAsia="fr-CH"/>
              </w:rPr>
              <w:t xml:space="preserve"> et</w:t>
            </w:r>
            <w:r w:rsidRPr="007C6A42">
              <w:rPr>
                <w:rFonts w:asciiTheme="majorBidi" w:hAnsiTheme="majorBidi" w:cstheme="majorBidi"/>
                <w:lang w:eastAsia="fr-CH"/>
              </w:rPr>
              <w:t xml:space="preserve"> les étoiles, </w:t>
            </w:r>
            <w:r w:rsidRPr="007C6A42">
              <w:rPr>
                <w:rFonts w:asciiTheme="majorBidi" w:hAnsiTheme="majorBidi" w:cstheme="majorBidi"/>
                <w:b/>
                <w:bCs/>
                <w:lang w:eastAsia="fr-CH"/>
              </w:rPr>
              <w:t>et</w:t>
            </w:r>
            <w:r w:rsidRPr="007C6A42">
              <w:rPr>
                <w:rFonts w:asciiTheme="majorBidi" w:hAnsiTheme="majorBidi" w:cstheme="majorBidi"/>
                <w:lang w:eastAsia="fr-CH"/>
              </w:rPr>
              <w:t xml:space="preserve"> les montagnes, </w:t>
            </w:r>
            <w:r w:rsidRPr="007C6A42">
              <w:rPr>
                <w:rFonts w:asciiTheme="majorBidi" w:hAnsiTheme="majorBidi" w:cstheme="majorBidi"/>
                <w:b/>
                <w:bCs/>
                <w:lang w:eastAsia="fr-CH"/>
              </w:rPr>
              <w:t>et</w:t>
            </w:r>
            <w:r w:rsidRPr="007C6A42">
              <w:rPr>
                <w:rFonts w:asciiTheme="majorBidi" w:hAnsiTheme="majorBidi" w:cstheme="majorBidi"/>
                <w:lang w:eastAsia="fr-CH"/>
              </w:rPr>
              <w:t xml:space="preserve"> les arbres, </w:t>
            </w:r>
            <w:r w:rsidRPr="007C6A42">
              <w:rPr>
                <w:rFonts w:asciiTheme="majorBidi" w:hAnsiTheme="majorBidi" w:cstheme="majorBidi"/>
                <w:b/>
                <w:bCs/>
                <w:lang w:eastAsia="fr-CH"/>
              </w:rPr>
              <w:t>et</w:t>
            </w:r>
            <w:r w:rsidRPr="007C6A42">
              <w:rPr>
                <w:rFonts w:asciiTheme="majorBidi" w:hAnsiTheme="majorBidi" w:cstheme="majorBidi"/>
                <w:lang w:eastAsia="fr-CH"/>
              </w:rPr>
              <w:t xml:space="preserve"> les animaux, ainsi que beaucoup de gens ? Il y en a aussi beaucoup contre qui le châtiment s’avère. Et quiconque </w:t>
            </w:r>
            <w:r w:rsidRPr="007C6A42">
              <w:rPr>
                <w:rFonts w:asciiTheme="majorBidi" w:hAnsiTheme="majorBidi" w:cstheme="majorBidi"/>
                <w:b/>
                <w:bCs/>
                <w:lang w:eastAsia="fr-CH"/>
              </w:rPr>
              <w:t>Dieu</w:t>
            </w:r>
            <w:r w:rsidRPr="007C6A42">
              <w:rPr>
                <w:rFonts w:asciiTheme="majorBidi" w:hAnsiTheme="majorBidi" w:cstheme="majorBidi"/>
                <w:lang w:eastAsia="fr-CH"/>
              </w:rPr>
              <w:t xml:space="preserve"> avilit n’a personne </w:t>
            </w:r>
            <w:r w:rsidRPr="007C6A42">
              <w:rPr>
                <w:rFonts w:asciiTheme="majorBidi" w:hAnsiTheme="majorBidi" w:cstheme="majorBidi"/>
                <w:b/>
                <w:bCs/>
                <w:lang w:eastAsia="fr-CH"/>
              </w:rPr>
              <w:t xml:space="preserve">qui </w:t>
            </w:r>
            <w:r w:rsidRPr="007C6A42">
              <w:rPr>
                <w:rFonts w:asciiTheme="majorBidi" w:hAnsiTheme="majorBidi" w:cstheme="majorBidi"/>
                <w:lang w:eastAsia="fr-CH"/>
              </w:rPr>
              <w:t>l’honore</w:t>
            </w:r>
            <w:r w:rsidRPr="007C6A42">
              <w:rPr>
                <w:rFonts w:asciiTheme="majorBidi" w:hAnsiTheme="majorBidi" w:cstheme="majorBidi"/>
                <w:b/>
                <w:bCs/>
                <w:lang w:eastAsia="fr-CH"/>
              </w:rPr>
              <w:t>.</w:t>
            </w:r>
            <w:r w:rsidRPr="007C6A42">
              <w:rPr>
                <w:rFonts w:asciiTheme="majorBidi" w:hAnsiTheme="majorBidi" w:cstheme="majorBidi"/>
                <w:lang w:eastAsia="fr-CH"/>
              </w:rPr>
              <w:t xml:space="preserve"> </w:t>
            </w:r>
            <w:r w:rsidRPr="007C6A42">
              <w:rPr>
                <w:rFonts w:asciiTheme="majorBidi" w:hAnsiTheme="majorBidi" w:cstheme="majorBidi"/>
                <w:b/>
                <w:bCs/>
                <w:lang w:eastAsia="fr-CH"/>
              </w:rPr>
              <w:t>Dieu</w:t>
            </w:r>
            <w:r w:rsidRPr="007C6A42">
              <w:rPr>
                <w:rFonts w:asciiTheme="majorBidi" w:hAnsiTheme="majorBidi" w:cstheme="majorBidi"/>
                <w:lang w:eastAsia="fr-CH"/>
              </w:rPr>
              <w:t xml:space="preserve"> fait ce qu’</w:t>
            </w:r>
            <w:r w:rsidRPr="007C6A42">
              <w:rPr>
                <w:rFonts w:asciiTheme="majorBidi" w:hAnsiTheme="majorBidi" w:cstheme="majorBidi"/>
                <w:b/>
                <w:bCs/>
                <w:lang w:eastAsia="fr-CH"/>
              </w:rPr>
              <w:t>I</w:t>
            </w:r>
            <w:r w:rsidRPr="007C6A42">
              <w:rPr>
                <w:rFonts w:asciiTheme="majorBidi" w:hAnsiTheme="majorBidi" w:cstheme="majorBidi"/>
                <w:lang w:eastAsia="fr-CH"/>
              </w:rPr>
              <w:t>l veut</w:t>
            </w:r>
            <w:r w:rsidRPr="007C6A42">
              <w:rPr>
                <w:rFonts w:asciiTheme="majorBidi" w:hAnsiTheme="majorBidi" w:cstheme="majorBidi"/>
                <w:b/>
                <w:bCs/>
                <w:lang w:eastAsia="fr-CH"/>
              </w:rPr>
              <w:t>, vraiment</w:t>
            </w:r>
            <w:r w:rsidRPr="007C6A42">
              <w:rPr>
                <w:rFonts w:asciiTheme="majorBidi" w:hAnsiTheme="majorBidi" w:cstheme="majorBidi"/>
                <w:lang w:eastAsia="fr-CH"/>
              </w:rPr>
              <w:t>.</w:t>
            </w:r>
          </w:p>
        </w:tc>
        <w:tc>
          <w:tcPr>
            <w:tcW w:w="2126" w:type="dxa"/>
          </w:tcPr>
          <w:p w14:paraId="22FD896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N’as-tu pas vu que c’est devant </w:t>
            </w:r>
            <w:r w:rsidRPr="007C6A42">
              <w:rPr>
                <w:rFonts w:asciiTheme="majorBidi" w:hAnsiTheme="majorBidi" w:cstheme="majorBidi"/>
                <w:b/>
                <w:bCs/>
                <w:lang w:eastAsia="fr-CH"/>
              </w:rPr>
              <w:t>Allah</w:t>
            </w:r>
            <w:r w:rsidRPr="007C6A42">
              <w:rPr>
                <w:rFonts w:asciiTheme="majorBidi" w:hAnsiTheme="majorBidi" w:cstheme="majorBidi"/>
                <w:lang w:eastAsia="fr-CH"/>
              </w:rPr>
              <w:t xml:space="preserve"> que se prosternent tous ceux qui sont dans les cieux et tous ceux qui sont sur la terre, le soleil, la lune, les étoiles, les montagnes, les arbres, les animaux, ainsi que beaucoup de gens ? Il y en a aussi beaucoup qui méritent le châtiment. Et quiconque </w:t>
            </w:r>
            <w:r w:rsidRPr="007C6A42">
              <w:rPr>
                <w:rFonts w:asciiTheme="majorBidi" w:hAnsiTheme="majorBidi" w:cstheme="majorBidi"/>
                <w:b/>
                <w:bCs/>
                <w:lang w:eastAsia="fr-CH"/>
              </w:rPr>
              <w:t>Allah</w:t>
            </w:r>
            <w:r w:rsidRPr="007C6A42">
              <w:rPr>
                <w:rFonts w:asciiTheme="majorBidi" w:hAnsiTheme="majorBidi" w:cstheme="majorBidi"/>
                <w:lang w:eastAsia="fr-CH"/>
              </w:rPr>
              <w:t xml:space="preserve"> avilit n’a personne pour l’honorer</w:t>
            </w:r>
            <w:r w:rsidRPr="007C6A42">
              <w:rPr>
                <w:rFonts w:asciiTheme="majorBidi" w:hAnsiTheme="majorBidi" w:cstheme="majorBidi"/>
                <w:b/>
                <w:bCs/>
                <w:lang w:eastAsia="fr-CH"/>
              </w:rPr>
              <w:t xml:space="preserve">, car Allah </w:t>
            </w:r>
            <w:r w:rsidRPr="007C6A42">
              <w:rPr>
                <w:rFonts w:asciiTheme="majorBidi" w:hAnsiTheme="majorBidi" w:cstheme="majorBidi"/>
                <w:lang w:eastAsia="fr-CH"/>
              </w:rPr>
              <w:t>fait ce qu’il veut.</w:t>
            </w:r>
          </w:p>
        </w:tc>
        <w:tc>
          <w:tcPr>
            <w:tcW w:w="1985" w:type="dxa"/>
          </w:tcPr>
          <w:p w14:paraId="738E1301"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6B1252EC" w14:textId="77777777" w:rsidTr="00AF4FC9">
        <w:trPr>
          <w:trHeight w:val="265"/>
        </w:trPr>
        <w:tc>
          <w:tcPr>
            <w:tcW w:w="1745" w:type="dxa"/>
          </w:tcPr>
          <w:p w14:paraId="2D88EC5A"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يصهر به ما في بطونهم والجلود. (٢٠)</w:t>
            </w:r>
          </w:p>
        </w:tc>
        <w:tc>
          <w:tcPr>
            <w:tcW w:w="2126" w:type="dxa"/>
          </w:tcPr>
          <w:p w14:paraId="78E01441"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qui fera fondre ce qui est dans leurs ventres </w:t>
            </w:r>
            <w:r w:rsidRPr="007C6A42">
              <w:rPr>
                <w:rFonts w:asciiTheme="majorBidi" w:hAnsiTheme="majorBidi" w:cstheme="majorBidi"/>
                <w:b/>
                <w:bCs/>
                <w:lang w:eastAsia="fr-CH"/>
              </w:rPr>
              <w:t>et</w:t>
            </w:r>
            <w:r w:rsidRPr="007C6A42">
              <w:rPr>
                <w:rFonts w:asciiTheme="majorBidi" w:hAnsiTheme="majorBidi" w:cstheme="majorBidi"/>
                <w:lang w:eastAsia="fr-CH"/>
              </w:rPr>
              <w:t xml:space="preserve"> leurs peaux.</w:t>
            </w:r>
          </w:p>
        </w:tc>
        <w:tc>
          <w:tcPr>
            <w:tcW w:w="2083" w:type="dxa"/>
          </w:tcPr>
          <w:p w14:paraId="47760077"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lang w:eastAsia="fr-CH"/>
              </w:rPr>
              <w:t>---</w:t>
            </w:r>
          </w:p>
        </w:tc>
        <w:tc>
          <w:tcPr>
            <w:tcW w:w="2126" w:type="dxa"/>
          </w:tcPr>
          <w:p w14:paraId="14FCC301"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qui fera fondre ce qui est dans leurs ventres </w:t>
            </w:r>
            <w:r w:rsidRPr="007C6A42">
              <w:rPr>
                <w:rFonts w:asciiTheme="majorBidi" w:hAnsiTheme="majorBidi" w:cstheme="majorBidi"/>
                <w:b/>
                <w:bCs/>
                <w:lang w:eastAsia="fr-CH"/>
              </w:rPr>
              <w:t>de même que</w:t>
            </w:r>
            <w:r w:rsidRPr="007C6A42">
              <w:rPr>
                <w:rFonts w:asciiTheme="majorBidi" w:hAnsiTheme="majorBidi" w:cstheme="majorBidi"/>
                <w:lang w:eastAsia="fr-CH"/>
              </w:rPr>
              <w:t xml:space="preserve"> leurs peaux.</w:t>
            </w:r>
          </w:p>
        </w:tc>
        <w:tc>
          <w:tcPr>
            <w:tcW w:w="1985" w:type="dxa"/>
          </w:tcPr>
          <w:p w14:paraId="3FD1B4D0"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1A43577D" w14:textId="77777777" w:rsidTr="00AF4FC9">
        <w:tc>
          <w:tcPr>
            <w:tcW w:w="1745" w:type="dxa"/>
          </w:tcPr>
          <w:p w14:paraId="39040CE3"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ولهم مقامع من حديد. (٢١)</w:t>
            </w:r>
          </w:p>
        </w:tc>
        <w:tc>
          <w:tcPr>
            <w:tcW w:w="2126" w:type="dxa"/>
          </w:tcPr>
          <w:p w14:paraId="6B6F42B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Il y aura pour eux des maillets de fer</w:t>
            </w:r>
            <w:r w:rsidRPr="007C6A42">
              <w:rPr>
                <w:rFonts w:asciiTheme="majorBidi" w:hAnsiTheme="majorBidi" w:cstheme="majorBidi"/>
                <w:b/>
                <w:bCs/>
                <w:lang w:eastAsia="fr-CH"/>
              </w:rPr>
              <w:t>.</w:t>
            </w:r>
          </w:p>
        </w:tc>
        <w:tc>
          <w:tcPr>
            <w:tcW w:w="2083" w:type="dxa"/>
          </w:tcPr>
          <w:p w14:paraId="265E858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Et pour eux des maillets de fer </w:t>
            </w:r>
            <w:r w:rsidRPr="007C6A42">
              <w:rPr>
                <w:rFonts w:asciiTheme="majorBidi" w:hAnsiTheme="majorBidi" w:cstheme="majorBidi"/>
                <w:b/>
                <w:bCs/>
                <w:lang w:eastAsia="fr-CH"/>
              </w:rPr>
              <w:t>:</w:t>
            </w:r>
          </w:p>
        </w:tc>
        <w:tc>
          <w:tcPr>
            <w:tcW w:w="2126" w:type="dxa"/>
          </w:tcPr>
          <w:p w14:paraId="13353E0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Et il y aura pour eux des maillets de fer</w:t>
            </w:r>
            <w:r w:rsidRPr="007C6A42">
              <w:rPr>
                <w:rFonts w:asciiTheme="majorBidi" w:hAnsiTheme="majorBidi" w:cstheme="majorBidi"/>
                <w:b/>
                <w:bCs/>
                <w:lang w:eastAsia="fr-CH"/>
              </w:rPr>
              <w:t>.</w:t>
            </w:r>
          </w:p>
        </w:tc>
        <w:tc>
          <w:tcPr>
            <w:tcW w:w="1985" w:type="dxa"/>
          </w:tcPr>
          <w:p w14:paraId="7C992592"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0186FDC4" w14:textId="77777777" w:rsidTr="00AF4FC9">
        <w:tc>
          <w:tcPr>
            <w:tcW w:w="1745" w:type="dxa"/>
          </w:tcPr>
          <w:p w14:paraId="24801D38"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كلما أرادوا أن يخرجوا منها من غم أعيدوا فيها وذوقوا عذاب الحريق. (٢٢)</w:t>
            </w:r>
          </w:p>
        </w:tc>
        <w:tc>
          <w:tcPr>
            <w:tcW w:w="2126" w:type="dxa"/>
          </w:tcPr>
          <w:p w14:paraId="61EDB9C5"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 xml:space="preserve">Chaque </w:t>
            </w:r>
            <w:r w:rsidRPr="007C6A42">
              <w:rPr>
                <w:rFonts w:asciiTheme="majorBidi" w:hAnsiTheme="majorBidi" w:cstheme="majorBidi"/>
                <w:lang w:eastAsia="fr-CH"/>
              </w:rPr>
              <w:t xml:space="preserve">fois qu’ils voudront en sortir à cause de la détresse, on les y retournera: "Goûtez </w:t>
            </w:r>
            <w:r w:rsidRPr="007C6A42">
              <w:rPr>
                <w:rFonts w:asciiTheme="majorBidi" w:hAnsiTheme="majorBidi" w:cstheme="majorBidi"/>
                <w:b/>
                <w:bCs/>
                <w:lang w:eastAsia="fr-CH"/>
              </w:rPr>
              <w:t>le</w:t>
            </w:r>
            <w:r w:rsidRPr="007C6A42">
              <w:rPr>
                <w:rFonts w:asciiTheme="majorBidi" w:hAnsiTheme="majorBidi" w:cstheme="majorBidi"/>
                <w:lang w:eastAsia="fr-CH"/>
              </w:rPr>
              <w:t xml:space="preserve"> châtiment du </w:t>
            </w:r>
            <w:r w:rsidRPr="007C6A42">
              <w:rPr>
                <w:rFonts w:asciiTheme="majorBidi" w:hAnsiTheme="majorBidi" w:cstheme="majorBidi"/>
                <w:b/>
                <w:bCs/>
                <w:lang w:eastAsia="fr-CH"/>
              </w:rPr>
              <w:t>feu brûlant</w:t>
            </w:r>
            <w:r w:rsidRPr="007C6A42">
              <w:rPr>
                <w:rFonts w:asciiTheme="majorBidi" w:hAnsiTheme="majorBidi" w:cstheme="majorBidi"/>
                <w:lang w:eastAsia="fr-CH"/>
              </w:rPr>
              <w:t>".</w:t>
            </w:r>
          </w:p>
        </w:tc>
        <w:tc>
          <w:tcPr>
            <w:tcW w:w="2083" w:type="dxa"/>
          </w:tcPr>
          <w:p w14:paraId="77FC9EE4" w14:textId="77777777" w:rsidR="00A70B78" w:rsidRPr="007C6A42" w:rsidRDefault="00A70B78" w:rsidP="00AF4FC9">
            <w:pPr>
              <w:jc w:val="center"/>
              <w:rPr>
                <w:rFonts w:asciiTheme="majorBidi" w:hAnsiTheme="majorBidi" w:cstheme="majorBidi"/>
                <w:rtl/>
              </w:rPr>
            </w:pPr>
            <w:r w:rsidRPr="007C6A42">
              <w:rPr>
                <w:rFonts w:asciiTheme="majorBidi" w:hAnsiTheme="majorBidi" w:cstheme="majorBidi"/>
              </w:rPr>
              <w:t>---</w:t>
            </w:r>
          </w:p>
        </w:tc>
        <w:tc>
          <w:tcPr>
            <w:tcW w:w="2126" w:type="dxa"/>
          </w:tcPr>
          <w:p w14:paraId="31689959"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Toutes les</w:t>
            </w:r>
            <w:r w:rsidRPr="007C6A42">
              <w:rPr>
                <w:rFonts w:asciiTheme="majorBidi" w:hAnsiTheme="majorBidi" w:cstheme="majorBidi"/>
                <w:lang w:eastAsia="fr-CH"/>
              </w:rPr>
              <w:t xml:space="preserve"> fois qu’ils voudront en sortir </w:t>
            </w:r>
            <w:r w:rsidRPr="007C6A42">
              <w:rPr>
                <w:rFonts w:asciiTheme="majorBidi" w:hAnsiTheme="majorBidi" w:cstheme="majorBidi"/>
                <w:b/>
                <w:bCs/>
                <w:lang w:eastAsia="fr-CH"/>
              </w:rPr>
              <w:t>(pour échapper)</w:t>
            </w:r>
            <w:r w:rsidRPr="007C6A42">
              <w:rPr>
                <w:rFonts w:asciiTheme="majorBidi" w:hAnsiTheme="majorBidi" w:cstheme="majorBidi"/>
                <w:lang w:eastAsia="fr-CH"/>
              </w:rPr>
              <w:t xml:space="preserve"> à cause de la détresse, on les y </w:t>
            </w:r>
            <w:r w:rsidRPr="007C6A42">
              <w:rPr>
                <w:rFonts w:asciiTheme="majorBidi" w:hAnsiTheme="majorBidi" w:cstheme="majorBidi"/>
                <w:b/>
                <w:bCs/>
                <w:lang w:eastAsia="fr-CH"/>
              </w:rPr>
              <w:t>remettra et (on leur dira)</w:t>
            </w:r>
            <w:r w:rsidRPr="007C6A42">
              <w:rPr>
                <w:rFonts w:asciiTheme="majorBidi" w:hAnsiTheme="majorBidi" w:cstheme="majorBidi"/>
                <w:lang w:eastAsia="fr-CH"/>
              </w:rPr>
              <w:t xml:space="preserve"> : </w:t>
            </w:r>
            <w:r w:rsidRPr="007C6A42">
              <w:rPr>
                <w:rFonts w:asciiTheme="majorBidi" w:hAnsiTheme="majorBidi" w:cstheme="majorBidi"/>
                <w:lang w:eastAsia="fr-CH"/>
              </w:rPr>
              <w:lastRenderedPageBreak/>
              <w:t xml:space="preserve">"Goûtez </w:t>
            </w:r>
            <w:r w:rsidRPr="007C6A42">
              <w:rPr>
                <w:rFonts w:asciiTheme="majorBidi" w:hAnsiTheme="majorBidi" w:cstheme="majorBidi"/>
                <w:b/>
                <w:bCs/>
                <w:lang w:eastAsia="fr-CH"/>
              </w:rPr>
              <w:t>au</w:t>
            </w:r>
            <w:r w:rsidRPr="007C6A42">
              <w:rPr>
                <w:rFonts w:asciiTheme="majorBidi" w:hAnsiTheme="majorBidi" w:cstheme="majorBidi"/>
                <w:lang w:eastAsia="fr-CH"/>
              </w:rPr>
              <w:t xml:space="preserve"> châtiment </w:t>
            </w:r>
            <w:r w:rsidRPr="007C6A42">
              <w:rPr>
                <w:rFonts w:asciiTheme="majorBidi" w:hAnsiTheme="majorBidi" w:cstheme="majorBidi"/>
                <w:b/>
                <w:bCs/>
                <w:lang w:eastAsia="fr-CH"/>
              </w:rPr>
              <w:t>de la Fournaise</w:t>
            </w:r>
            <w:r w:rsidRPr="007C6A42">
              <w:rPr>
                <w:rFonts w:asciiTheme="majorBidi" w:hAnsiTheme="majorBidi" w:cstheme="majorBidi"/>
                <w:lang w:eastAsia="fr-CH"/>
              </w:rPr>
              <w:t>".</w:t>
            </w:r>
          </w:p>
        </w:tc>
        <w:tc>
          <w:tcPr>
            <w:tcW w:w="1985" w:type="dxa"/>
          </w:tcPr>
          <w:p w14:paraId="14CFC360"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lang w:eastAsia="fr-CH"/>
              </w:rPr>
              <w:lastRenderedPageBreak/>
              <w:t>---</w:t>
            </w:r>
          </w:p>
        </w:tc>
      </w:tr>
      <w:tr w:rsidR="00A70B78" w:rsidRPr="007C6A42" w14:paraId="36C6C3AC" w14:textId="77777777" w:rsidTr="00AF4FC9">
        <w:tc>
          <w:tcPr>
            <w:tcW w:w="1745" w:type="dxa"/>
          </w:tcPr>
          <w:p w14:paraId="32C1EB0C" w14:textId="77777777" w:rsidR="00A70B78" w:rsidRPr="007C6A42" w:rsidRDefault="00A70B78" w:rsidP="00AF4FC9">
            <w:pPr>
              <w:bidi/>
              <w:jc w:val="both"/>
              <w:rPr>
                <w:rFonts w:asciiTheme="majorBidi" w:hAnsiTheme="majorBidi" w:cstheme="majorBidi"/>
                <w:rtl/>
              </w:rPr>
            </w:pPr>
            <w:r w:rsidRPr="007C6A42">
              <w:rPr>
                <w:rFonts w:asciiTheme="majorBidi" w:hAnsiTheme="majorBidi" w:cstheme="majorBidi"/>
                <w:rtl/>
              </w:rPr>
              <w:t>لا تشركْ بي شيئًا وطهّر بيتي للطائفين (٢٦)</w:t>
            </w:r>
          </w:p>
        </w:tc>
        <w:tc>
          <w:tcPr>
            <w:tcW w:w="2126" w:type="dxa"/>
          </w:tcPr>
          <w:p w14:paraId="5462F098"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Ne m’associe rien et purifie ma Maison pour ceux qui tournent autour</w:t>
            </w:r>
          </w:p>
        </w:tc>
        <w:tc>
          <w:tcPr>
            <w:tcW w:w="2083" w:type="dxa"/>
          </w:tcPr>
          <w:p w14:paraId="72B4D643" w14:textId="77777777" w:rsidR="00A70B78" w:rsidRPr="007C6A42" w:rsidRDefault="00A70B78" w:rsidP="00AF4FC9">
            <w:pPr>
              <w:jc w:val="both"/>
              <w:rPr>
                <w:rFonts w:asciiTheme="majorBidi" w:hAnsiTheme="majorBidi" w:cstheme="majorBidi"/>
              </w:rPr>
            </w:pPr>
          </w:p>
        </w:tc>
        <w:tc>
          <w:tcPr>
            <w:tcW w:w="2126" w:type="dxa"/>
          </w:tcPr>
          <w:p w14:paraId="1E8CC52C"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 xml:space="preserve">Ne </w:t>
            </w:r>
            <w:r w:rsidRPr="007C6A42">
              <w:rPr>
                <w:rFonts w:asciiTheme="majorBidi" w:hAnsiTheme="majorBidi" w:cstheme="majorBidi"/>
                <w:b/>
                <w:bCs/>
                <w:lang w:eastAsia="fr-CH"/>
              </w:rPr>
              <w:t>M</w:t>
            </w:r>
            <w:r w:rsidRPr="007C6A42">
              <w:rPr>
                <w:rFonts w:asciiTheme="majorBidi" w:hAnsiTheme="majorBidi" w:cstheme="majorBidi"/>
                <w:lang w:eastAsia="fr-CH"/>
              </w:rPr>
              <w:t>’associe rien </w:t>
            </w:r>
            <w:r w:rsidRPr="007C6A42">
              <w:rPr>
                <w:rFonts w:asciiTheme="majorBidi" w:hAnsiTheme="majorBidi" w:cstheme="majorBidi"/>
                <w:b/>
                <w:bCs/>
                <w:lang w:eastAsia="fr-CH"/>
              </w:rPr>
              <w:t>;</w:t>
            </w:r>
            <w:r w:rsidRPr="007C6A42">
              <w:rPr>
                <w:rFonts w:asciiTheme="majorBidi" w:hAnsiTheme="majorBidi" w:cstheme="majorBidi"/>
                <w:lang w:eastAsia="fr-CH"/>
              </w:rPr>
              <w:t xml:space="preserve"> et purifie ma Maison pour ceux qui tournent autour</w:t>
            </w:r>
          </w:p>
        </w:tc>
        <w:tc>
          <w:tcPr>
            <w:tcW w:w="1985" w:type="dxa"/>
          </w:tcPr>
          <w:p w14:paraId="1974F424" w14:textId="77777777" w:rsidR="00A70B78" w:rsidRPr="007C6A42" w:rsidRDefault="00A70B78" w:rsidP="00AF4FC9">
            <w:pPr>
              <w:jc w:val="both"/>
              <w:rPr>
                <w:rFonts w:asciiTheme="majorBidi" w:hAnsiTheme="majorBidi" w:cstheme="majorBidi"/>
              </w:rPr>
            </w:pPr>
          </w:p>
        </w:tc>
      </w:tr>
      <w:tr w:rsidR="00A70B78" w:rsidRPr="007C6A42" w14:paraId="075BFD2B" w14:textId="77777777" w:rsidTr="00AF4FC9">
        <w:trPr>
          <w:trHeight w:val="1186"/>
        </w:trPr>
        <w:tc>
          <w:tcPr>
            <w:tcW w:w="1745" w:type="dxa"/>
          </w:tcPr>
          <w:p w14:paraId="024D78FA"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يأتوك رجالاً وعلى كل ضامر يأتين من كل فج عميق</w:t>
            </w:r>
            <w:r w:rsidRPr="007C6A42">
              <w:rPr>
                <w:rFonts w:asciiTheme="majorBidi" w:hAnsiTheme="majorBidi" w:cstheme="majorBidi"/>
                <w:rtl/>
              </w:rPr>
              <w:t>‬. (٢٧)</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p>
        </w:tc>
        <w:tc>
          <w:tcPr>
            <w:tcW w:w="2126" w:type="dxa"/>
          </w:tcPr>
          <w:p w14:paraId="7126B9FA"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Ils viendront vers toi, à pied, et aussi sur toute </w:t>
            </w:r>
            <w:r w:rsidRPr="007C6A42">
              <w:rPr>
                <w:rFonts w:asciiTheme="majorBidi" w:hAnsiTheme="majorBidi" w:cstheme="majorBidi"/>
                <w:b/>
                <w:bCs/>
                <w:lang w:eastAsia="fr-CH"/>
              </w:rPr>
              <w:t>bête</w:t>
            </w:r>
            <w:r w:rsidRPr="007C6A42">
              <w:rPr>
                <w:rFonts w:asciiTheme="majorBidi" w:hAnsiTheme="majorBidi" w:cstheme="majorBidi"/>
                <w:lang w:eastAsia="fr-CH"/>
              </w:rPr>
              <w:t xml:space="preserve"> amaigrie, venant de tout </w:t>
            </w:r>
            <w:r w:rsidRPr="007C6A42">
              <w:rPr>
                <w:rFonts w:asciiTheme="majorBidi" w:hAnsiTheme="majorBidi" w:cstheme="majorBidi"/>
                <w:b/>
                <w:bCs/>
                <w:lang w:eastAsia="fr-CH"/>
              </w:rPr>
              <w:t>profond défilé</w:t>
            </w:r>
            <w:r w:rsidRPr="007C6A42">
              <w:rPr>
                <w:rFonts w:asciiTheme="majorBidi" w:hAnsiTheme="majorBidi" w:cstheme="majorBidi"/>
                <w:lang w:eastAsia="fr-CH"/>
              </w:rPr>
              <w:t>.</w:t>
            </w:r>
          </w:p>
        </w:tc>
        <w:tc>
          <w:tcPr>
            <w:tcW w:w="2083" w:type="dxa"/>
          </w:tcPr>
          <w:p w14:paraId="75B99DA3" w14:textId="77777777" w:rsidR="00A70B78" w:rsidRPr="007C6A42" w:rsidRDefault="00A70B78" w:rsidP="00AF4FC9">
            <w:pPr>
              <w:jc w:val="both"/>
              <w:rPr>
                <w:rFonts w:asciiTheme="majorBidi" w:hAnsiTheme="majorBidi" w:cstheme="majorBidi"/>
              </w:rPr>
            </w:pPr>
          </w:p>
        </w:tc>
        <w:tc>
          <w:tcPr>
            <w:tcW w:w="2126" w:type="dxa"/>
          </w:tcPr>
          <w:p w14:paraId="6CE163A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Ils viendront vers toi, à pied, et aussi sur toute </w:t>
            </w:r>
            <w:r w:rsidRPr="007C6A42">
              <w:rPr>
                <w:rFonts w:asciiTheme="majorBidi" w:hAnsiTheme="majorBidi" w:cstheme="majorBidi"/>
                <w:b/>
                <w:bCs/>
                <w:lang w:eastAsia="fr-CH"/>
              </w:rPr>
              <w:t>monture</w:t>
            </w:r>
            <w:r w:rsidRPr="007C6A42">
              <w:rPr>
                <w:rFonts w:asciiTheme="majorBidi" w:hAnsiTheme="majorBidi" w:cstheme="majorBidi"/>
                <w:lang w:eastAsia="fr-CH"/>
              </w:rPr>
              <w:t xml:space="preserve"> amaigrie, venant de tout </w:t>
            </w:r>
            <w:r w:rsidRPr="007C6A42">
              <w:rPr>
                <w:rFonts w:asciiTheme="majorBidi" w:hAnsiTheme="majorBidi" w:cstheme="majorBidi"/>
                <w:b/>
                <w:bCs/>
                <w:lang w:eastAsia="fr-CH"/>
              </w:rPr>
              <w:t>chemin éloigné</w:t>
            </w:r>
            <w:r w:rsidRPr="007C6A42">
              <w:rPr>
                <w:rFonts w:asciiTheme="majorBidi" w:hAnsiTheme="majorBidi" w:cstheme="majorBidi"/>
                <w:lang w:eastAsia="fr-CH"/>
              </w:rPr>
              <w:t>.</w:t>
            </w:r>
          </w:p>
        </w:tc>
        <w:tc>
          <w:tcPr>
            <w:tcW w:w="1985" w:type="dxa"/>
          </w:tcPr>
          <w:p w14:paraId="1DBA18F4" w14:textId="77777777" w:rsidR="00A70B78" w:rsidRPr="007C6A42" w:rsidRDefault="00A70B78" w:rsidP="00AF4FC9">
            <w:pPr>
              <w:jc w:val="both"/>
              <w:rPr>
                <w:rFonts w:asciiTheme="majorBidi" w:hAnsiTheme="majorBidi" w:cstheme="majorBidi"/>
              </w:rPr>
            </w:pPr>
          </w:p>
        </w:tc>
      </w:tr>
      <w:tr w:rsidR="00A70B78" w:rsidRPr="007C6A42" w14:paraId="42ABD98A" w14:textId="77777777" w:rsidTr="00AF4FC9">
        <w:tc>
          <w:tcPr>
            <w:tcW w:w="1745" w:type="dxa"/>
          </w:tcPr>
          <w:p w14:paraId="6F0C1AC2"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فاجتنبوا الرجسَ من الأوثان واجتنبوا قولَ الزور (٣٠)</w:t>
            </w:r>
          </w:p>
        </w:tc>
        <w:tc>
          <w:tcPr>
            <w:tcW w:w="2126" w:type="dxa"/>
          </w:tcPr>
          <w:p w14:paraId="3E6B70E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Abstenez-vous de </w:t>
            </w:r>
            <w:r w:rsidRPr="007C6A42">
              <w:rPr>
                <w:rFonts w:asciiTheme="majorBidi" w:hAnsiTheme="majorBidi" w:cstheme="majorBidi"/>
                <w:b/>
                <w:bCs/>
                <w:lang w:eastAsia="fr-CH"/>
              </w:rPr>
              <w:t>l’opprobre</w:t>
            </w:r>
            <w:r w:rsidRPr="007C6A42">
              <w:rPr>
                <w:rFonts w:asciiTheme="majorBidi" w:hAnsiTheme="majorBidi" w:cstheme="majorBidi"/>
                <w:lang w:eastAsia="fr-CH"/>
              </w:rPr>
              <w:t xml:space="preserve"> des idoles et abstenez-vous des paroles mensongères.</w:t>
            </w:r>
          </w:p>
        </w:tc>
        <w:tc>
          <w:tcPr>
            <w:tcW w:w="2083" w:type="dxa"/>
          </w:tcPr>
          <w:p w14:paraId="3AD6FB1A"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646BDC3A"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Abstenez-vous de la </w:t>
            </w:r>
            <w:r w:rsidRPr="007C6A42">
              <w:rPr>
                <w:rFonts w:asciiTheme="majorBidi" w:hAnsiTheme="majorBidi" w:cstheme="majorBidi"/>
                <w:b/>
                <w:bCs/>
                <w:lang w:eastAsia="fr-CH"/>
              </w:rPr>
              <w:t>souillure</w:t>
            </w:r>
            <w:r w:rsidRPr="007C6A42">
              <w:rPr>
                <w:rFonts w:asciiTheme="majorBidi" w:hAnsiTheme="majorBidi" w:cstheme="majorBidi"/>
                <w:lang w:eastAsia="fr-CH"/>
              </w:rPr>
              <w:t xml:space="preserve"> des idoles et abstenez-vous des paroles mensongères.</w:t>
            </w:r>
          </w:p>
        </w:tc>
        <w:tc>
          <w:tcPr>
            <w:tcW w:w="1985" w:type="dxa"/>
          </w:tcPr>
          <w:p w14:paraId="18EC775D"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65E5E30E" w14:textId="77777777" w:rsidTr="00AF4FC9">
        <w:tc>
          <w:tcPr>
            <w:tcW w:w="1745" w:type="dxa"/>
          </w:tcPr>
          <w:p w14:paraId="55C56A29"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فتخطفه الطيرُ (٣١)</w:t>
            </w:r>
          </w:p>
        </w:tc>
        <w:tc>
          <w:tcPr>
            <w:tcW w:w="2126" w:type="dxa"/>
          </w:tcPr>
          <w:p w14:paraId="1186775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et que les oiseaux le ravissent</w:t>
            </w:r>
          </w:p>
        </w:tc>
        <w:tc>
          <w:tcPr>
            <w:tcW w:w="2083" w:type="dxa"/>
          </w:tcPr>
          <w:p w14:paraId="6E9E2E22"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455CB826"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1985" w:type="dxa"/>
          </w:tcPr>
          <w:p w14:paraId="111175E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et que les oiseaux le ravissent</w:t>
            </w:r>
          </w:p>
        </w:tc>
      </w:tr>
      <w:tr w:rsidR="00A70B78" w:rsidRPr="007C6A42" w14:paraId="688E162D" w14:textId="77777777" w:rsidTr="00AF4FC9">
        <w:tc>
          <w:tcPr>
            <w:tcW w:w="1745" w:type="dxa"/>
          </w:tcPr>
          <w:p w14:paraId="3F4487BF"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ثم مَحِلُّها إلى البيت العتيق (٣٣)</w:t>
            </w:r>
          </w:p>
        </w:tc>
        <w:tc>
          <w:tcPr>
            <w:tcW w:w="2126" w:type="dxa"/>
          </w:tcPr>
          <w:p w14:paraId="4318874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 xml:space="preserve">Puis leur lieu </w:t>
            </w:r>
            <w:r w:rsidRPr="007C6A42">
              <w:rPr>
                <w:rFonts w:asciiTheme="majorBidi" w:hAnsiTheme="majorBidi" w:cstheme="majorBidi"/>
                <w:b/>
                <w:bCs/>
              </w:rPr>
              <w:t>[</w:t>
            </w:r>
            <w:r w:rsidRPr="007C6A42">
              <w:rPr>
                <w:rFonts w:asciiTheme="majorBidi" w:hAnsiTheme="majorBidi" w:cstheme="majorBidi"/>
              </w:rPr>
              <w:t>d’immolation</w:t>
            </w:r>
            <w:r w:rsidRPr="007C6A42">
              <w:rPr>
                <w:rFonts w:asciiTheme="majorBidi" w:hAnsiTheme="majorBidi" w:cstheme="majorBidi"/>
                <w:b/>
                <w:bCs/>
              </w:rPr>
              <w:t>]</w:t>
            </w:r>
            <w:r w:rsidRPr="007C6A42">
              <w:rPr>
                <w:rFonts w:asciiTheme="majorBidi" w:hAnsiTheme="majorBidi" w:cstheme="majorBidi"/>
              </w:rPr>
              <w:t xml:space="preserve"> est auprès de l’</w:t>
            </w:r>
            <w:r w:rsidRPr="007C6A42">
              <w:rPr>
                <w:rFonts w:asciiTheme="majorBidi" w:hAnsiTheme="majorBidi" w:cstheme="majorBidi"/>
                <w:b/>
                <w:bCs/>
              </w:rPr>
              <w:t>a</w:t>
            </w:r>
            <w:r w:rsidRPr="007C6A42">
              <w:rPr>
                <w:rFonts w:asciiTheme="majorBidi" w:hAnsiTheme="majorBidi" w:cstheme="majorBidi"/>
              </w:rPr>
              <w:t>ntique Maison.</w:t>
            </w:r>
          </w:p>
        </w:tc>
        <w:tc>
          <w:tcPr>
            <w:tcW w:w="2083" w:type="dxa"/>
          </w:tcPr>
          <w:p w14:paraId="1F0B5171"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Puis</w:t>
            </w:r>
            <w:r w:rsidRPr="007C6A42">
              <w:rPr>
                <w:rFonts w:asciiTheme="majorBidi" w:hAnsiTheme="majorBidi" w:cstheme="majorBidi"/>
                <w:b/>
                <w:bCs/>
              </w:rPr>
              <w:t>,</w:t>
            </w:r>
            <w:r w:rsidRPr="007C6A42">
              <w:rPr>
                <w:rFonts w:asciiTheme="majorBidi" w:hAnsiTheme="majorBidi" w:cstheme="majorBidi"/>
              </w:rPr>
              <w:t xml:space="preserve"> vers l’</w:t>
            </w:r>
            <w:r w:rsidRPr="007C6A42">
              <w:rPr>
                <w:rFonts w:asciiTheme="majorBidi" w:hAnsiTheme="majorBidi" w:cstheme="majorBidi"/>
                <w:b/>
                <w:bCs/>
              </w:rPr>
              <w:t>A</w:t>
            </w:r>
            <w:r w:rsidRPr="007C6A42">
              <w:rPr>
                <w:rFonts w:asciiTheme="majorBidi" w:hAnsiTheme="majorBidi" w:cstheme="majorBidi"/>
              </w:rPr>
              <w:t>ntique Maison est leur lieu d’immolation.</w:t>
            </w:r>
          </w:p>
        </w:tc>
        <w:tc>
          <w:tcPr>
            <w:tcW w:w="2126" w:type="dxa"/>
          </w:tcPr>
          <w:p w14:paraId="104025E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Puis leur lieu d’immolation est auprès de l’</w:t>
            </w:r>
            <w:r w:rsidRPr="007C6A42">
              <w:rPr>
                <w:rFonts w:asciiTheme="majorBidi" w:hAnsiTheme="majorBidi" w:cstheme="majorBidi"/>
                <w:b/>
                <w:bCs/>
              </w:rPr>
              <w:t>A</w:t>
            </w:r>
            <w:r w:rsidRPr="007C6A42">
              <w:rPr>
                <w:rFonts w:asciiTheme="majorBidi" w:hAnsiTheme="majorBidi" w:cstheme="majorBidi"/>
              </w:rPr>
              <w:t>ntique Maison.</w:t>
            </w:r>
          </w:p>
        </w:tc>
        <w:tc>
          <w:tcPr>
            <w:tcW w:w="1985" w:type="dxa"/>
          </w:tcPr>
          <w:p w14:paraId="07FBF90D"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66DDD5E0" w14:textId="77777777" w:rsidTr="00AF4FC9">
        <w:tc>
          <w:tcPr>
            <w:tcW w:w="1745" w:type="dxa"/>
          </w:tcPr>
          <w:p w14:paraId="2DF5ADDE"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فله أسلِموا وبشِّرِ المُخبتين (٣٤)</w:t>
            </w:r>
          </w:p>
        </w:tc>
        <w:tc>
          <w:tcPr>
            <w:tcW w:w="2126" w:type="dxa"/>
          </w:tcPr>
          <w:p w14:paraId="451BD83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Soumettez-vous donc à lui. Fais la bonne annonce </w:t>
            </w:r>
            <w:r w:rsidRPr="007C6A42">
              <w:rPr>
                <w:rFonts w:asciiTheme="majorBidi" w:hAnsiTheme="majorBidi" w:cstheme="majorBidi"/>
                <w:b/>
                <w:bCs/>
                <w:lang w:eastAsia="fr-CH"/>
              </w:rPr>
              <w:t>aux humbles</w:t>
            </w:r>
            <w:r w:rsidRPr="007C6A42">
              <w:rPr>
                <w:rFonts w:asciiTheme="majorBidi" w:hAnsiTheme="majorBidi" w:cstheme="majorBidi"/>
                <w:lang w:eastAsia="fr-CH"/>
              </w:rPr>
              <w:t>,</w:t>
            </w:r>
          </w:p>
        </w:tc>
        <w:tc>
          <w:tcPr>
            <w:tcW w:w="2083" w:type="dxa"/>
          </w:tcPr>
          <w:p w14:paraId="58439E02" w14:textId="77777777" w:rsidR="00A70B78" w:rsidRPr="007C6A42" w:rsidRDefault="00A70B78" w:rsidP="00AF4FC9">
            <w:pPr>
              <w:jc w:val="both"/>
              <w:rPr>
                <w:rFonts w:asciiTheme="majorBidi" w:hAnsiTheme="majorBidi" w:cstheme="majorBidi"/>
              </w:rPr>
            </w:pPr>
          </w:p>
        </w:tc>
        <w:tc>
          <w:tcPr>
            <w:tcW w:w="2126" w:type="dxa"/>
          </w:tcPr>
          <w:p w14:paraId="3511AA9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Soumettez-vous donc à lui. Et fais la bonne annonce à ceux qui s’humilient,</w:t>
            </w:r>
          </w:p>
        </w:tc>
        <w:tc>
          <w:tcPr>
            <w:tcW w:w="1985" w:type="dxa"/>
          </w:tcPr>
          <w:p w14:paraId="01CB147E"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Soumettez-vous donc à lui. Et fais la bonne annonce à ceux qui s’humilient,</w:t>
            </w:r>
          </w:p>
        </w:tc>
      </w:tr>
      <w:tr w:rsidR="00A70B78" w:rsidRPr="007C6A42" w14:paraId="410E9665" w14:textId="77777777" w:rsidTr="00AF4FC9">
        <w:tc>
          <w:tcPr>
            <w:tcW w:w="1745" w:type="dxa"/>
          </w:tcPr>
          <w:p w14:paraId="6762E3BE"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وَبَشِّرِ المحسِنِين (٣٧)</w:t>
            </w:r>
          </w:p>
        </w:tc>
        <w:tc>
          <w:tcPr>
            <w:tcW w:w="2126" w:type="dxa"/>
          </w:tcPr>
          <w:p w14:paraId="57C7DA0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Fais la bonne annonce aux bienfaisants.</w:t>
            </w:r>
          </w:p>
        </w:tc>
        <w:tc>
          <w:tcPr>
            <w:tcW w:w="2083" w:type="dxa"/>
          </w:tcPr>
          <w:p w14:paraId="2904D906"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b/>
                <w:bCs/>
                <w:lang w:eastAsia="fr-CH"/>
              </w:rPr>
              <w:t>Et</w:t>
            </w:r>
            <w:r w:rsidRPr="007C6A42">
              <w:rPr>
                <w:rFonts w:asciiTheme="majorBidi" w:hAnsiTheme="majorBidi" w:cstheme="majorBidi"/>
                <w:lang w:eastAsia="fr-CH"/>
              </w:rPr>
              <w:t xml:space="preserve"> fais bonne annonce aux </w:t>
            </w:r>
            <w:r w:rsidRPr="007C6A42">
              <w:rPr>
                <w:rFonts w:asciiTheme="majorBidi" w:hAnsiTheme="majorBidi" w:cstheme="majorBidi"/>
                <w:b/>
                <w:bCs/>
                <w:lang w:eastAsia="fr-CH"/>
              </w:rPr>
              <w:t>gens</w:t>
            </w:r>
            <w:r w:rsidRPr="007C6A42">
              <w:rPr>
                <w:rFonts w:asciiTheme="majorBidi" w:hAnsiTheme="majorBidi" w:cstheme="majorBidi"/>
                <w:lang w:eastAsia="fr-CH"/>
              </w:rPr>
              <w:t xml:space="preserve"> bienfaisants.</w:t>
            </w:r>
          </w:p>
          <w:p w14:paraId="3A068CC7" w14:textId="77777777" w:rsidR="00A70B78" w:rsidRPr="007C6A42" w:rsidRDefault="00A70B78" w:rsidP="00AF4FC9">
            <w:pPr>
              <w:jc w:val="both"/>
              <w:rPr>
                <w:rFonts w:asciiTheme="majorBidi" w:hAnsiTheme="majorBidi" w:cstheme="majorBidi"/>
              </w:rPr>
            </w:pPr>
          </w:p>
        </w:tc>
        <w:tc>
          <w:tcPr>
            <w:tcW w:w="2126" w:type="dxa"/>
          </w:tcPr>
          <w:p w14:paraId="285380B7"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Et annonce</w:t>
            </w:r>
            <w:r w:rsidRPr="007C6A42">
              <w:rPr>
                <w:rFonts w:asciiTheme="majorBidi" w:hAnsiTheme="majorBidi" w:cstheme="majorBidi"/>
                <w:lang w:eastAsia="fr-CH"/>
              </w:rPr>
              <w:t xml:space="preserve"> la bonne </w:t>
            </w:r>
            <w:r w:rsidRPr="007C6A42">
              <w:rPr>
                <w:rFonts w:asciiTheme="majorBidi" w:hAnsiTheme="majorBidi" w:cstheme="majorBidi"/>
                <w:b/>
                <w:bCs/>
                <w:lang w:eastAsia="fr-CH"/>
              </w:rPr>
              <w:t>nouvelle</w:t>
            </w:r>
            <w:r w:rsidRPr="007C6A42">
              <w:rPr>
                <w:rFonts w:asciiTheme="majorBidi" w:hAnsiTheme="majorBidi" w:cstheme="majorBidi"/>
                <w:lang w:eastAsia="fr-CH"/>
              </w:rPr>
              <w:t xml:space="preserve"> aux bienfaisants.</w:t>
            </w:r>
          </w:p>
        </w:tc>
        <w:tc>
          <w:tcPr>
            <w:tcW w:w="1985" w:type="dxa"/>
          </w:tcPr>
          <w:p w14:paraId="267DBED4" w14:textId="77777777" w:rsidR="00A70B78" w:rsidRPr="007C6A42" w:rsidRDefault="00A70B78" w:rsidP="00AF4FC9">
            <w:pPr>
              <w:jc w:val="center"/>
              <w:rPr>
                <w:rFonts w:asciiTheme="majorBidi" w:hAnsiTheme="majorBidi" w:cstheme="majorBidi"/>
                <w:rtl/>
              </w:rPr>
            </w:pPr>
            <w:r w:rsidRPr="007C6A42">
              <w:rPr>
                <w:rFonts w:asciiTheme="majorBidi" w:hAnsiTheme="majorBidi" w:cstheme="majorBidi"/>
              </w:rPr>
              <w:t>---</w:t>
            </w:r>
          </w:p>
        </w:tc>
      </w:tr>
      <w:tr w:rsidR="00A70B78" w:rsidRPr="007C6A42" w14:paraId="4B5533D2" w14:textId="77777777" w:rsidTr="00AF4FC9">
        <w:tc>
          <w:tcPr>
            <w:tcW w:w="1745" w:type="dxa"/>
          </w:tcPr>
          <w:p w14:paraId="67AC7030"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إن الله لا يحب كل خَوَّان كفور (٣٨)</w:t>
            </w:r>
          </w:p>
        </w:tc>
        <w:tc>
          <w:tcPr>
            <w:tcW w:w="2126" w:type="dxa"/>
          </w:tcPr>
          <w:p w14:paraId="5D58D6E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Dieu n’aime aucun traître ingrat.</w:t>
            </w:r>
          </w:p>
        </w:tc>
        <w:tc>
          <w:tcPr>
            <w:tcW w:w="2083" w:type="dxa"/>
          </w:tcPr>
          <w:p w14:paraId="343A14B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Oui,</w:t>
            </w:r>
            <w:r w:rsidRPr="007C6A42">
              <w:rPr>
                <w:rFonts w:asciiTheme="majorBidi" w:hAnsiTheme="majorBidi" w:cstheme="majorBidi"/>
                <w:lang w:eastAsia="fr-CH"/>
              </w:rPr>
              <w:t xml:space="preserve"> Dieu n’aime aucun </w:t>
            </w:r>
            <w:r w:rsidRPr="007C6A42">
              <w:rPr>
                <w:rFonts w:asciiTheme="majorBidi" w:hAnsiTheme="majorBidi" w:cstheme="majorBidi"/>
                <w:b/>
                <w:bCs/>
                <w:lang w:eastAsia="fr-CH"/>
              </w:rPr>
              <w:t>grand</w:t>
            </w:r>
            <w:r w:rsidRPr="007C6A42">
              <w:rPr>
                <w:rFonts w:asciiTheme="majorBidi" w:hAnsiTheme="majorBidi" w:cstheme="majorBidi"/>
                <w:lang w:eastAsia="fr-CH"/>
              </w:rPr>
              <w:t xml:space="preserve"> traître ingrat.</w:t>
            </w:r>
          </w:p>
        </w:tc>
        <w:tc>
          <w:tcPr>
            <w:tcW w:w="2126" w:type="dxa"/>
          </w:tcPr>
          <w:p w14:paraId="333AA447"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Allah</w:t>
            </w:r>
            <w:r w:rsidRPr="007C6A42">
              <w:rPr>
                <w:rFonts w:asciiTheme="majorBidi" w:hAnsiTheme="majorBidi" w:cstheme="majorBidi"/>
                <w:lang w:eastAsia="fr-CH"/>
              </w:rPr>
              <w:t xml:space="preserve"> n’aime aucun traître ingrat.</w:t>
            </w:r>
          </w:p>
        </w:tc>
        <w:tc>
          <w:tcPr>
            <w:tcW w:w="1985" w:type="dxa"/>
          </w:tcPr>
          <w:p w14:paraId="6BBCF6CE"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53F7CB39" w14:textId="77777777" w:rsidTr="00AF4FC9">
        <w:tc>
          <w:tcPr>
            <w:tcW w:w="1745" w:type="dxa"/>
          </w:tcPr>
          <w:p w14:paraId="1EB1EA37"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أُذِنَ لِلَّذِينَ يُقَاتَلُونَ (٣٩)</w:t>
            </w:r>
          </w:p>
        </w:tc>
        <w:tc>
          <w:tcPr>
            <w:tcW w:w="2126" w:type="dxa"/>
          </w:tcPr>
          <w:p w14:paraId="2A72FB2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Autorisation est donnée à ceux qui sont combattus </w:t>
            </w:r>
            <w:r w:rsidRPr="007C6A42">
              <w:rPr>
                <w:rFonts w:asciiTheme="majorBidi" w:hAnsiTheme="majorBidi" w:cstheme="majorBidi"/>
                <w:b/>
                <w:bCs/>
                <w:lang w:eastAsia="fr-CH"/>
              </w:rPr>
              <w:t>[de combattre]</w:t>
            </w:r>
          </w:p>
        </w:tc>
        <w:tc>
          <w:tcPr>
            <w:tcW w:w="2083" w:type="dxa"/>
          </w:tcPr>
          <w:p w14:paraId="181AB3D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Toute</w:t>
            </w:r>
            <w:r w:rsidRPr="007C6A42">
              <w:rPr>
                <w:rFonts w:asciiTheme="majorBidi" w:hAnsiTheme="majorBidi" w:cstheme="majorBidi"/>
                <w:lang w:eastAsia="fr-CH"/>
              </w:rPr>
              <w:t xml:space="preserve"> autorisation est donnée à ceux qui sont combattus</w:t>
            </w:r>
          </w:p>
        </w:tc>
        <w:tc>
          <w:tcPr>
            <w:tcW w:w="2126" w:type="dxa"/>
          </w:tcPr>
          <w:p w14:paraId="5372AF79"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Autorisation est donnée à ceux qui sont </w:t>
            </w:r>
            <w:r w:rsidRPr="007C6A42">
              <w:rPr>
                <w:rFonts w:asciiTheme="majorBidi" w:hAnsiTheme="majorBidi" w:cstheme="majorBidi"/>
                <w:b/>
                <w:bCs/>
                <w:lang w:eastAsia="fr-CH"/>
              </w:rPr>
              <w:t>attaqués (de se défendre)</w:t>
            </w:r>
          </w:p>
        </w:tc>
        <w:tc>
          <w:tcPr>
            <w:tcW w:w="1985" w:type="dxa"/>
          </w:tcPr>
          <w:p w14:paraId="71C2A9C4" w14:textId="77777777" w:rsidR="00A70B78" w:rsidRPr="007C6A42" w:rsidRDefault="00A70B78" w:rsidP="00AF4FC9">
            <w:pPr>
              <w:jc w:val="both"/>
              <w:rPr>
                <w:rFonts w:asciiTheme="majorBidi" w:hAnsiTheme="majorBidi" w:cstheme="majorBidi"/>
              </w:rPr>
            </w:pPr>
          </w:p>
        </w:tc>
      </w:tr>
      <w:tr w:rsidR="00A70B78" w:rsidRPr="007C6A42" w14:paraId="5814F429" w14:textId="77777777" w:rsidTr="00AF4FC9">
        <w:tc>
          <w:tcPr>
            <w:tcW w:w="1745" w:type="dxa"/>
          </w:tcPr>
          <w:p w14:paraId="643C2FD5"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فكيف كان نكيرِ؟ (٤٤)</w:t>
            </w:r>
          </w:p>
        </w:tc>
        <w:tc>
          <w:tcPr>
            <w:tcW w:w="2126" w:type="dxa"/>
          </w:tcPr>
          <w:p w14:paraId="7403EE5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Quelle fut ma réprobation !</w:t>
            </w:r>
          </w:p>
        </w:tc>
        <w:tc>
          <w:tcPr>
            <w:tcW w:w="2083" w:type="dxa"/>
          </w:tcPr>
          <w:p w14:paraId="55DAA7D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Et</w:t>
            </w:r>
            <w:r w:rsidRPr="007C6A42">
              <w:rPr>
                <w:rFonts w:asciiTheme="majorBidi" w:hAnsiTheme="majorBidi" w:cstheme="majorBidi"/>
                <w:lang w:eastAsia="fr-CH"/>
              </w:rPr>
              <w:t xml:space="preserve"> quelle réprobation </w:t>
            </w:r>
            <w:r w:rsidRPr="007C6A42">
              <w:rPr>
                <w:rFonts w:asciiTheme="majorBidi" w:hAnsiTheme="majorBidi" w:cstheme="majorBidi"/>
                <w:b/>
                <w:bCs/>
                <w:lang w:eastAsia="fr-CH"/>
              </w:rPr>
              <w:t>que la Mienne </w:t>
            </w:r>
            <w:r w:rsidRPr="007C6A42">
              <w:rPr>
                <w:rFonts w:asciiTheme="majorBidi" w:hAnsiTheme="majorBidi" w:cstheme="majorBidi"/>
                <w:lang w:eastAsia="fr-CH"/>
              </w:rPr>
              <w:t>!</w:t>
            </w:r>
          </w:p>
        </w:tc>
        <w:tc>
          <w:tcPr>
            <w:tcW w:w="2126" w:type="dxa"/>
          </w:tcPr>
          <w:p w14:paraId="4066AEAA"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Et</w:t>
            </w:r>
            <w:r w:rsidRPr="007C6A42">
              <w:rPr>
                <w:rFonts w:asciiTheme="majorBidi" w:hAnsiTheme="majorBidi" w:cstheme="majorBidi"/>
                <w:lang w:eastAsia="fr-CH"/>
              </w:rPr>
              <w:t xml:space="preserve"> quelle fut </w:t>
            </w:r>
            <w:r w:rsidRPr="007C6A42">
              <w:rPr>
                <w:rFonts w:asciiTheme="majorBidi" w:hAnsiTheme="majorBidi" w:cstheme="majorBidi"/>
                <w:b/>
                <w:bCs/>
                <w:lang w:eastAsia="fr-CH"/>
              </w:rPr>
              <w:t>M</w:t>
            </w:r>
            <w:r w:rsidRPr="007C6A42">
              <w:rPr>
                <w:rFonts w:asciiTheme="majorBidi" w:hAnsiTheme="majorBidi" w:cstheme="majorBidi"/>
                <w:lang w:eastAsia="fr-CH"/>
              </w:rPr>
              <w:t>a réprobation !</w:t>
            </w:r>
          </w:p>
        </w:tc>
        <w:tc>
          <w:tcPr>
            <w:tcW w:w="1985" w:type="dxa"/>
          </w:tcPr>
          <w:p w14:paraId="3E47806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Quelle </w:t>
            </w:r>
            <w:r w:rsidRPr="007C6A42">
              <w:rPr>
                <w:rFonts w:asciiTheme="majorBidi" w:hAnsiTheme="majorBidi" w:cstheme="majorBidi"/>
                <w:b/>
                <w:bCs/>
                <w:lang w:eastAsia="fr-CH"/>
              </w:rPr>
              <w:t>ne</w:t>
            </w:r>
            <w:r w:rsidRPr="007C6A42">
              <w:rPr>
                <w:rFonts w:asciiTheme="majorBidi" w:hAnsiTheme="majorBidi" w:cstheme="majorBidi"/>
                <w:lang w:eastAsia="fr-CH"/>
              </w:rPr>
              <w:t xml:space="preserve"> fut </w:t>
            </w:r>
            <w:r w:rsidRPr="007C6A42">
              <w:rPr>
                <w:rFonts w:asciiTheme="majorBidi" w:hAnsiTheme="majorBidi" w:cstheme="majorBidi"/>
                <w:b/>
                <w:bCs/>
                <w:lang w:eastAsia="fr-CH"/>
              </w:rPr>
              <w:t>alors</w:t>
            </w:r>
            <w:r w:rsidRPr="007C6A42">
              <w:rPr>
                <w:rFonts w:asciiTheme="majorBidi" w:hAnsiTheme="majorBidi" w:cstheme="majorBidi"/>
                <w:lang w:eastAsia="fr-CH"/>
              </w:rPr>
              <w:t xml:space="preserve"> </w:t>
            </w:r>
            <w:r w:rsidRPr="007C6A42">
              <w:rPr>
                <w:rFonts w:asciiTheme="majorBidi" w:hAnsiTheme="majorBidi" w:cstheme="majorBidi"/>
                <w:b/>
                <w:bCs/>
                <w:lang w:eastAsia="fr-CH"/>
              </w:rPr>
              <w:t>M</w:t>
            </w:r>
            <w:r w:rsidRPr="007C6A42">
              <w:rPr>
                <w:rFonts w:asciiTheme="majorBidi" w:hAnsiTheme="majorBidi" w:cstheme="majorBidi"/>
                <w:lang w:eastAsia="fr-CH"/>
              </w:rPr>
              <w:t xml:space="preserve">a </w:t>
            </w:r>
            <w:r w:rsidRPr="007C6A42">
              <w:rPr>
                <w:rFonts w:asciiTheme="majorBidi" w:hAnsiTheme="majorBidi" w:cstheme="majorBidi"/>
                <w:b/>
                <w:bCs/>
                <w:lang w:eastAsia="fr-CH"/>
              </w:rPr>
              <w:t>R</w:t>
            </w:r>
            <w:r w:rsidRPr="007C6A42">
              <w:rPr>
                <w:rFonts w:asciiTheme="majorBidi" w:hAnsiTheme="majorBidi" w:cstheme="majorBidi"/>
                <w:lang w:eastAsia="fr-CH"/>
              </w:rPr>
              <w:t>éprobation !</w:t>
            </w:r>
          </w:p>
        </w:tc>
      </w:tr>
      <w:tr w:rsidR="00A70B78" w:rsidRPr="007C6A42" w14:paraId="463C986A" w14:textId="77777777" w:rsidTr="00AF4FC9">
        <w:tc>
          <w:tcPr>
            <w:tcW w:w="1745" w:type="dxa"/>
          </w:tcPr>
          <w:p w14:paraId="36E7AA74"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 xml:space="preserve">فإنها لا تعمى الأبصارُ ولكنْ تعمى القلوبُ التي في </w:t>
            </w:r>
            <w:r w:rsidRPr="007C6A42">
              <w:rPr>
                <w:rFonts w:asciiTheme="majorBidi" w:hAnsiTheme="majorBidi" w:cstheme="majorBidi"/>
                <w:rtl/>
              </w:rPr>
              <w:lastRenderedPageBreak/>
              <w:t>الصدور. (٤٦)</w:t>
            </w:r>
          </w:p>
        </w:tc>
        <w:tc>
          <w:tcPr>
            <w:tcW w:w="2126" w:type="dxa"/>
          </w:tcPr>
          <w:p w14:paraId="7082EAA5"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lastRenderedPageBreak/>
              <w:t xml:space="preserve">Car ce ne sont pas les </w:t>
            </w:r>
            <w:r w:rsidRPr="007C6A42">
              <w:rPr>
                <w:rFonts w:asciiTheme="majorBidi" w:hAnsiTheme="majorBidi" w:cstheme="majorBidi"/>
                <w:b/>
                <w:bCs/>
                <w:lang w:eastAsia="fr-CH"/>
              </w:rPr>
              <w:t>regards</w:t>
            </w:r>
            <w:r w:rsidRPr="007C6A42">
              <w:rPr>
                <w:rFonts w:asciiTheme="majorBidi" w:hAnsiTheme="majorBidi" w:cstheme="majorBidi"/>
                <w:lang w:eastAsia="fr-CH"/>
              </w:rPr>
              <w:t xml:space="preserve"> qui s’aveuglent, mais </w:t>
            </w:r>
            <w:r w:rsidRPr="007C6A42">
              <w:rPr>
                <w:rFonts w:asciiTheme="majorBidi" w:hAnsiTheme="majorBidi" w:cstheme="majorBidi"/>
                <w:lang w:eastAsia="fr-CH"/>
              </w:rPr>
              <w:lastRenderedPageBreak/>
              <w:t>ce sont les cœurs dans les poitrines qui s’aveuglent.</w:t>
            </w:r>
          </w:p>
        </w:tc>
        <w:tc>
          <w:tcPr>
            <w:tcW w:w="2083" w:type="dxa"/>
          </w:tcPr>
          <w:p w14:paraId="6970B938"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lastRenderedPageBreak/>
              <w:t xml:space="preserve">Car ce ne sont pas les </w:t>
            </w:r>
            <w:r w:rsidRPr="007C6A42">
              <w:rPr>
                <w:rFonts w:asciiTheme="majorBidi" w:hAnsiTheme="majorBidi" w:cstheme="majorBidi"/>
                <w:b/>
                <w:bCs/>
                <w:lang w:eastAsia="fr-CH"/>
              </w:rPr>
              <w:t>yeux</w:t>
            </w:r>
            <w:r w:rsidRPr="007C6A42">
              <w:rPr>
                <w:rFonts w:asciiTheme="majorBidi" w:hAnsiTheme="majorBidi" w:cstheme="majorBidi"/>
                <w:lang w:eastAsia="fr-CH"/>
              </w:rPr>
              <w:t xml:space="preserve"> qui s’aveuglent, </w:t>
            </w:r>
            <w:r w:rsidRPr="007C6A42">
              <w:rPr>
                <w:rFonts w:asciiTheme="majorBidi" w:hAnsiTheme="majorBidi" w:cstheme="majorBidi"/>
                <w:b/>
                <w:bCs/>
                <w:lang w:eastAsia="fr-CH"/>
              </w:rPr>
              <w:t xml:space="preserve">en </w:t>
            </w:r>
            <w:r w:rsidRPr="007C6A42">
              <w:rPr>
                <w:rFonts w:asciiTheme="majorBidi" w:hAnsiTheme="majorBidi" w:cstheme="majorBidi"/>
                <w:b/>
                <w:bCs/>
                <w:lang w:eastAsia="fr-CH"/>
              </w:rPr>
              <w:lastRenderedPageBreak/>
              <w:t>vérité ;</w:t>
            </w:r>
            <w:r w:rsidRPr="007C6A42">
              <w:rPr>
                <w:rFonts w:asciiTheme="majorBidi" w:hAnsiTheme="majorBidi" w:cstheme="majorBidi"/>
                <w:lang w:eastAsia="fr-CH"/>
              </w:rPr>
              <w:t xml:space="preserve"> mais ce sont les cœurs</w:t>
            </w:r>
            <w:r w:rsidRPr="007C6A42">
              <w:rPr>
                <w:rFonts w:asciiTheme="majorBidi" w:hAnsiTheme="majorBidi" w:cstheme="majorBidi"/>
                <w:b/>
                <w:bCs/>
                <w:lang w:eastAsia="fr-CH"/>
              </w:rPr>
              <w:t>,</w:t>
            </w:r>
            <w:r w:rsidRPr="007C6A42">
              <w:rPr>
                <w:rFonts w:asciiTheme="majorBidi" w:hAnsiTheme="majorBidi" w:cstheme="majorBidi"/>
                <w:lang w:eastAsia="fr-CH"/>
              </w:rPr>
              <w:t xml:space="preserve"> dans les poitrines</w:t>
            </w:r>
            <w:r w:rsidRPr="007C6A42">
              <w:rPr>
                <w:rFonts w:asciiTheme="majorBidi" w:hAnsiTheme="majorBidi" w:cstheme="majorBidi"/>
                <w:b/>
                <w:bCs/>
                <w:lang w:eastAsia="fr-CH"/>
              </w:rPr>
              <w:t>,</w:t>
            </w:r>
            <w:r w:rsidRPr="007C6A42">
              <w:rPr>
                <w:rFonts w:asciiTheme="majorBidi" w:hAnsiTheme="majorBidi" w:cstheme="majorBidi"/>
                <w:lang w:eastAsia="fr-CH"/>
              </w:rPr>
              <w:t xml:space="preserve"> qui s’aveuglent.</w:t>
            </w:r>
          </w:p>
        </w:tc>
        <w:tc>
          <w:tcPr>
            <w:tcW w:w="2126" w:type="dxa"/>
          </w:tcPr>
          <w:p w14:paraId="247E8E29"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lastRenderedPageBreak/>
              <w:t xml:space="preserve">Car ce ne sont pas les </w:t>
            </w:r>
            <w:r w:rsidRPr="007C6A42">
              <w:rPr>
                <w:rFonts w:asciiTheme="majorBidi" w:hAnsiTheme="majorBidi" w:cstheme="majorBidi"/>
                <w:b/>
                <w:bCs/>
                <w:lang w:eastAsia="fr-CH"/>
              </w:rPr>
              <w:t>yeux</w:t>
            </w:r>
            <w:r w:rsidRPr="007C6A42">
              <w:rPr>
                <w:rFonts w:asciiTheme="majorBidi" w:hAnsiTheme="majorBidi" w:cstheme="majorBidi"/>
                <w:lang w:eastAsia="fr-CH"/>
              </w:rPr>
              <w:t xml:space="preserve"> qui s’aveuglent, mais</w:t>
            </w:r>
            <w:r w:rsidRPr="007C6A42">
              <w:rPr>
                <w:rFonts w:asciiTheme="majorBidi" w:hAnsiTheme="majorBidi" w:cstheme="majorBidi"/>
                <w:b/>
                <w:bCs/>
                <w:lang w:eastAsia="fr-CH"/>
              </w:rPr>
              <w:t>,</w:t>
            </w:r>
            <w:r w:rsidRPr="007C6A42">
              <w:rPr>
                <w:rFonts w:asciiTheme="majorBidi" w:hAnsiTheme="majorBidi" w:cstheme="majorBidi"/>
                <w:lang w:eastAsia="fr-CH"/>
              </w:rPr>
              <w:t xml:space="preserve"> </w:t>
            </w:r>
            <w:r w:rsidRPr="007C6A42">
              <w:rPr>
                <w:rFonts w:asciiTheme="majorBidi" w:hAnsiTheme="majorBidi" w:cstheme="majorBidi"/>
                <w:lang w:eastAsia="fr-CH"/>
              </w:rPr>
              <w:lastRenderedPageBreak/>
              <w:t>ce sont les cœurs dans les poitrines qui s’aveuglent.</w:t>
            </w:r>
          </w:p>
        </w:tc>
        <w:tc>
          <w:tcPr>
            <w:tcW w:w="1985" w:type="dxa"/>
          </w:tcPr>
          <w:p w14:paraId="26207531"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lastRenderedPageBreak/>
              <w:t>---</w:t>
            </w:r>
          </w:p>
        </w:tc>
      </w:tr>
      <w:tr w:rsidR="00A70B78" w:rsidRPr="007C6A42" w14:paraId="11BB0434" w14:textId="77777777" w:rsidTr="00AF4FC9">
        <w:trPr>
          <w:trHeight w:val="487"/>
        </w:trPr>
        <w:tc>
          <w:tcPr>
            <w:tcW w:w="1745" w:type="dxa"/>
          </w:tcPr>
          <w:p w14:paraId="1DAFFC84"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لَيُدْخِلَنَّهُمْ مُدْخَلًا يَرْضَوْنَهُ (٥٩)</w:t>
            </w:r>
          </w:p>
        </w:tc>
        <w:tc>
          <w:tcPr>
            <w:tcW w:w="2126" w:type="dxa"/>
          </w:tcPr>
          <w:p w14:paraId="03771DE9"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Il les fera entrer </w:t>
            </w:r>
            <w:r w:rsidRPr="007C6A42">
              <w:rPr>
                <w:rFonts w:asciiTheme="majorBidi" w:hAnsiTheme="majorBidi" w:cstheme="majorBidi"/>
                <w:b/>
                <w:bCs/>
                <w:lang w:eastAsia="fr-CH"/>
              </w:rPr>
              <w:t xml:space="preserve">par </w:t>
            </w:r>
            <w:r w:rsidRPr="007C6A42">
              <w:rPr>
                <w:rFonts w:asciiTheme="majorBidi" w:hAnsiTheme="majorBidi" w:cstheme="majorBidi"/>
                <w:lang w:eastAsia="fr-CH"/>
              </w:rPr>
              <w:t>une entrée qu’ils agréent.</w:t>
            </w:r>
          </w:p>
        </w:tc>
        <w:tc>
          <w:tcPr>
            <w:tcW w:w="2083" w:type="dxa"/>
          </w:tcPr>
          <w:p w14:paraId="0BC331D7"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Il les fera entrer </w:t>
            </w:r>
            <w:r w:rsidRPr="007C6A42">
              <w:rPr>
                <w:rFonts w:asciiTheme="majorBidi" w:hAnsiTheme="majorBidi" w:cstheme="majorBidi"/>
                <w:b/>
                <w:bCs/>
                <w:lang w:eastAsia="fr-CH"/>
              </w:rPr>
              <w:t>d’</w:t>
            </w:r>
            <w:r w:rsidRPr="007C6A42">
              <w:rPr>
                <w:rFonts w:asciiTheme="majorBidi" w:hAnsiTheme="majorBidi" w:cstheme="majorBidi"/>
                <w:lang w:eastAsia="fr-CH"/>
              </w:rPr>
              <w:t xml:space="preserve">une entrée </w:t>
            </w:r>
            <w:r w:rsidRPr="007C6A42">
              <w:rPr>
                <w:rFonts w:asciiTheme="majorBidi" w:hAnsiTheme="majorBidi" w:cstheme="majorBidi"/>
                <w:b/>
                <w:bCs/>
                <w:lang w:eastAsia="fr-CH"/>
              </w:rPr>
              <w:t>qui leur sera agréable</w:t>
            </w:r>
            <w:r w:rsidRPr="007C6A42">
              <w:rPr>
                <w:rFonts w:asciiTheme="majorBidi" w:hAnsiTheme="majorBidi" w:cstheme="majorBidi"/>
                <w:lang w:eastAsia="fr-CH"/>
              </w:rPr>
              <w:t>.</w:t>
            </w:r>
          </w:p>
        </w:tc>
        <w:tc>
          <w:tcPr>
            <w:tcW w:w="2126" w:type="dxa"/>
          </w:tcPr>
          <w:p w14:paraId="5A5BAF70" w14:textId="77777777" w:rsidR="00A70B78" w:rsidRPr="007C6A42" w:rsidRDefault="00A70B78" w:rsidP="00AF4FC9">
            <w:pPr>
              <w:jc w:val="both"/>
              <w:rPr>
                <w:rFonts w:asciiTheme="majorBidi" w:hAnsiTheme="majorBidi" w:cstheme="majorBidi"/>
              </w:rPr>
            </w:pPr>
          </w:p>
        </w:tc>
        <w:tc>
          <w:tcPr>
            <w:tcW w:w="1985" w:type="dxa"/>
          </w:tcPr>
          <w:p w14:paraId="0A664D95" w14:textId="77777777" w:rsidR="00A70B78" w:rsidRPr="007C6A42" w:rsidRDefault="00A70B78" w:rsidP="00AF4FC9">
            <w:pPr>
              <w:jc w:val="both"/>
              <w:rPr>
                <w:rFonts w:asciiTheme="majorBidi" w:hAnsiTheme="majorBidi" w:cstheme="majorBidi"/>
              </w:rPr>
            </w:pPr>
          </w:p>
        </w:tc>
      </w:tr>
      <w:tr w:rsidR="00A70B78" w:rsidRPr="007C6A42" w14:paraId="3FFF0EF2" w14:textId="77777777" w:rsidTr="00AF4FC9">
        <w:tc>
          <w:tcPr>
            <w:tcW w:w="1745" w:type="dxa"/>
          </w:tcPr>
          <w:p w14:paraId="4E9D05C6"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 xml:space="preserve">الله يولج الليل في النهار ويولج النهار في الليل (٦١) </w:t>
            </w:r>
            <w:r w:rsidRPr="007C6A42">
              <w:rPr>
                <w:rFonts w:asciiTheme="majorBidi" w:hAnsiTheme="majorBidi" w:cstheme="majorBidi"/>
                <w:rtl/>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r w:rsidRPr="007C6A42">
              <w:rPr>
                <w:rFonts w:asciiTheme="majorBidi" w:hAnsiTheme="majorBidi" w:cstheme="majorBidi"/>
              </w:rPr>
              <w:t>‬</w:t>
            </w:r>
          </w:p>
        </w:tc>
        <w:tc>
          <w:tcPr>
            <w:tcW w:w="2126" w:type="dxa"/>
          </w:tcPr>
          <w:p w14:paraId="78F35052" w14:textId="77777777" w:rsidR="00A70B78" w:rsidRPr="007C6A42" w:rsidRDefault="00A70B78" w:rsidP="00AF4FC9">
            <w:pPr>
              <w:jc w:val="both"/>
              <w:rPr>
                <w:rFonts w:asciiTheme="majorBidi" w:hAnsiTheme="majorBidi" w:cstheme="majorBidi"/>
                <w:rtl/>
              </w:rPr>
            </w:pPr>
            <w:r w:rsidRPr="007C6A42">
              <w:rPr>
                <w:rFonts w:asciiTheme="majorBidi" w:hAnsiTheme="majorBidi" w:cstheme="majorBidi"/>
                <w:lang w:eastAsia="fr-CH"/>
              </w:rPr>
              <w:t>Dieu fait pénétrer la nuit dans le jour, et fait pénétrer le jour dans la nuit.</w:t>
            </w:r>
          </w:p>
        </w:tc>
        <w:tc>
          <w:tcPr>
            <w:tcW w:w="2083" w:type="dxa"/>
          </w:tcPr>
          <w:p w14:paraId="295D605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Dieu fait </w:t>
            </w:r>
            <w:r w:rsidRPr="007C6A42">
              <w:rPr>
                <w:rFonts w:asciiTheme="majorBidi" w:hAnsiTheme="majorBidi" w:cstheme="majorBidi"/>
                <w:b/>
                <w:bCs/>
                <w:lang w:eastAsia="fr-CH"/>
              </w:rPr>
              <w:t>que</w:t>
            </w:r>
            <w:r w:rsidRPr="007C6A42">
              <w:rPr>
                <w:rFonts w:asciiTheme="majorBidi" w:hAnsiTheme="majorBidi" w:cstheme="majorBidi"/>
                <w:lang w:eastAsia="fr-CH"/>
              </w:rPr>
              <w:t xml:space="preserve"> la nuit pénètre dans le jour, et </w:t>
            </w:r>
            <w:r w:rsidRPr="007C6A42">
              <w:rPr>
                <w:rFonts w:asciiTheme="majorBidi" w:hAnsiTheme="majorBidi" w:cstheme="majorBidi"/>
                <w:b/>
                <w:bCs/>
                <w:lang w:eastAsia="fr-CH"/>
              </w:rPr>
              <w:t>que</w:t>
            </w:r>
            <w:r w:rsidRPr="007C6A42">
              <w:rPr>
                <w:rFonts w:asciiTheme="majorBidi" w:hAnsiTheme="majorBidi" w:cstheme="majorBidi"/>
                <w:lang w:eastAsia="fr-CH"/>
              </w:rPr>
              <w:t xml:space="preserve"> le jour pénètre dans la nuit.</w:t>
            </w:r>
          </w:p>
        </w:tc>
        <w:tc>
          <w:tcPr>
            <w:tcW w:w="2126" w:type="dxa"/>
          </w:tcPr>
          <w:p w14:paraId="7E468BF3"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Allah</w:t>
            </w:r>
            <w:r w:rsidRPr="007C6A42">
              <w:rPr>
                <w:rFonts w:asciiTheme="majorBidi" w:hAnsiTheme="majorBidi" w:cstheme="majorBidi"/>
                <w:lang w:eastAsia="fr-CH"/>
              </w:rPr>
              <w:t xml:space="preserve"> fait pénétrer la nuit dans le jour, et fait pénétrer le jour dans la nuit.</w:t>
            </w:r>
          </w:p>
        </w:tc>
        <w:tc>
          <w:tcPr>
            <w:tcW w:w="1985" w:type="dxa"/>
          </w:tcPr>
          <w:p w14:paraId="7373E40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Allah F</w:t>
            </w:r>
            <w:r w:rsidRPr="007C6A42">
              <w:rPr>
                <w:rFonts w:asciiTheme="majorBidi" w:hAnsiTheme="majorBidi" w:cstheme="majorBidi"/>
                <w:lang w:eastAsia="fr-CH"/>
              </w:rPr>
              <w:t xml:space="preserve">ait pénétrer la nuit dans le jour, et </w:t>
            </w:r>
            <w:r w:rsidRPr="007C6A42">
              <w:rPr>
                <w:rFonts w:asciiTheme="majorBidi" w:hAnsiTheme="majorBidi" w:cstheme="majorBidi"/>
                <w:b/>
                <w:bCs/>
                <w:lang w:eastAsia="fr-CH"/>
              </w:rPr>
              <w:t>F</w:t>
            </w:r>
            <w:r w:rsidRPr="007C6A42">
              <w:rPr>
                <w:rFonts w:asciiTheme="majorBidi" w:hAnsiTheme="majorBidi" w:cstheme="majorBidi"/>
                <w:lang w:eastAsia="fr-CH"/>
              </w:rPr>
              <w:t>ait pénétrer le jour dans la nuit.</w:t>
            </w:r>
          </w:p>
        </w:tc>
      </w:tr>
      <w:tr w:rsidR="00A70B78" w:rsidRPr="007C6A42" w14:paraId="5F16BD53" w14:textId="77777777" w:rsidTr="00AF4FC9">
        <w:trPr>
          <w:trHeight w:val="208"/>
        </w:trPr>
        <w:tc>
          <w:tcPr>
            <w:tcW w:w="1745" w:type="dxa"/>
          </w:tcPr>
          <w:p w14:paraId="36ED3B3F"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ألمْ ترَ أن الله أنزل من السماء ماءً فتصبح الأرض مخضرَّةً (٦٣)</w:t>
            </w:r>
          </w:p>
        </w:tc>
        <w:tc>
          <w:tcPr>
            <w:tcW w:w="2126" w:type="dxa"/>
          </w:tcPr>
          <w:p w14:paraId="4606B7DA"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N’as-tu pas vu que Dieu fait descendre du ciel de l’eau, et la terre devient alors </w:t>
            </w:r>
            <w:r w:rsidRPr="007C6A42">
              <w:rPr>
                <w:rFonts w:asciiTheme="majorBidi" w:hAnsiTheme="majorBidi" w:cstheme="majorBidi"/>
                <w:b/>
                <w:bCs/>
                <w:lang w:eastAsia="fr-CH"/>
              </w:rPr>
              <w:t>verdoyante</w:t>
            </w:r>
            <w:r w:rsidRPr="007C6A42">
              <w:rPr>
                <w:rFonts w:asciiTheme="majorBidi" w:hAnsiTheme="majorBidi" w:cstheme="majorBidi"/>
                <w:lang w:eastAsia="fr-CH"/>
              </w:rPr>
              <w:t> ?</w:t>
            </w:r>
          </w:p>
        </w:tc>
        <w:tc>
          <w:tcPr>
            <w:tcW w:w="2083" w:type="dxa"/>
          </w:tcPr>
          <w:p w14:paraId="0AC8097B"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N’as-tu pas vu qu</w:t>
            </w:r>
            <w:r w:rsidRPr="007C6A42">
              <w:rPr>
                <w:rFonts w:asciiTheme="majorBidi" w:hAnsiTheme="majorBidi" w:cstheme="majorBidi"/>
                <w:b/>
                <w:bCs/>
                <w:lang w:eastAsia="fr-CH"/>
              </w:rPr>
              <w:t>’en</w:t>
            </w:r>
            <w:r w:rsidRPr="007C6A42">
              <w:rPr>
                <w:rFonts w:asciiTheme="majorBidi" w:hAnsiTheme="majorBidi" w:cstheme="majorBidi"/>
                <w:lang w:eastAsia="fr-CH"/>
              </w:rPr>
              <w:t xml:space="preserve"> </w:t>
            </w:r>
            <w:r w:rsidRPr="007C6A42">
              <w:rPr>
                <w:rFonts w:asciiTheme="majorBidi" w:hAnsiTheme="majorBidi" w:cstheme="majorBidi"/>
                <w:b/>
                <w:bCs/>
                <w:lang w:eastAsia="fr-CH"/>
              </w:rPr>
              <w:t>vérité</w:t>
            </w:r>
            <w:r w:rsidRPr="007C6A42">
              <w:rPr>
                <w:rFonts w:asciiTheme="majorBidi" w:hAnsiTheme="majorBidi" w:cstheme="majorBidi"/>
                <w:lang w:eastAsia="fr-CH"/>
              </w:rPr>
              <w:t xml:space="preserve"> Dieu fait</w:t>
            </w:r>
            <w:r w:rsidRPr="007C6A42">
              <w:rPr>
                <w:rFonts w:asciiTheme="majorBidi" w:hAnsiTheme="majorBidi" w:cstheme="majorBidi"/>
                <w:b/>
                <w:bCs/>
                <w:lang w:eastAsia="fr-CH"/>
              </w:rPr>
              <w:t>,</w:t>
            </w:r>
            <w:r w:rsidRPr="007C6A42">
              <w:rPr>
                <w:rFonts w:asciiTheme="majorBidi" w:hAnsiTheme="majorBidi" w:cstheme="majorBidi"/>
                <w:lang w:eastAsia="fr-CH"/>
              </w:rPr>
              <w:t xml:space="preserve">  du ciel, descendre l’eau, </w:t>
            </w:r>
            <w:r w:rsidRPr="007C6A42">
              <w:rPr>
                <w:rFonts w:asciiTheme="majorBidi" w:hAnsiTheme="majorBidi" w:cstheme="majorBidi"/>
                <w:b/>
                <w:bCs/>
                <w:lang w:eastAsia="fr-CH"/>
              </w:rPr>
              <w:t>puis</w:t>
            </w:r>
            <w:r w:rsidRPr="007C6A42">
              <w:rPr>
                <w:rFonts w:asciiTheme="majorBidi" w:hAnsiTheme="majorBidi" w:cstheme="majorBidi"/>
                <w:lang w:eastAsia="fr-CH"/>
              </w:rPr>
              <w:t xml:space="preserve"> la terre devient </w:t>
            </w:r>
            <w:r w:rsidRPr="007C6A42">
              <w:rPr>
                <w:rFonts w:asciiTheme="majorBidi" w:hAnsiTheme="majorBidi" w:cstheme="majorBidi"/>
                <w:b/>
                <w:bCs/>
                <w:lang w:eastAsia="fr-CH"/>
              </w:rPr>
              <w:t>verte</w:t>
            </w:r>
            <w:r w:rsidRPr="007C6A42">
              <w:rPr>
                <w:rFonts w:asciiTheme="majorBidi" w:hAnsiTheme="majorBidi" w:cstheme="majorBidi"/>
                <w:lang w:eastAsia="fr-CH"/>
              </w:rPr>
              <w:t> ?</w:t>
            </w:r>
          </w:p>
        </w:tc>
        <w:tc>
          <w:tcPr>
            <w:tcW w:w="2126" w:type="dxa"/>
          </w:tcPr>
          <w:p w14:paraId="37205AA6"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N’as-tu pas vu qu’Allah fait descendre l’eau du ciel, et la terre devient alors </w:t>
            </w:r>
            <w:r w:rsidRPr="007C6A42">
              <w:rPr>
                <w:rFonts w:asciiTheme="majorBidi" w:hAnsiTheme="majorBidi" w:cstheme="majorBidi"/>
                <w:b/>
                <w:bCs/>
                <w:lang w:eastAsia="fr-CH"/>
              </w:rPr>
              <w:t>verte</w:t>
            </w:r>
            <w:r w:rsidRPr="007C6A42">
              <w:rPr>
                <w:rFonts w:asciiTheme="majorBidi" w:hAnsiTheme="majorBidi" w:cstheme="majorBidi"/>
                <w:lang w:eastAsia="fr-CH"/>
              </w:rPr>
              <w:t> ?</w:t>
            </w:r>
          </w:p>
        </w:tc>
        <w:tc>
          <w:tcPr>
            <w:tcW w:w="1985" w:type="dxa"/>
          </w:tcPr>
          <w:p w14:paraId="6F425729"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N’as-tu pas vu </w:t>
            </w:r>
            <w:r w:rsidRPr="007C6A42">
              <w:rPr>
                <w:rFonts w:asciiTheme="majorBidi" w:hAnsiTheme="majorBidi" w:cstheme="majorBidi"/>
                <w:b/>
                <w:bCs/>
                <w:lang w:eastAsia="fr-CH"/>
              </w:rPr>
              <w:t>qu’Allah A F</w:t>
            </w:r>
            <w:r w:rsidRPr="007C6A42">
              <w:rPr>
                <w:rFonts w:asciiTheme="majorBidi" w:hAnsiTheme="majorBidi" w:cstheme="majorBidi"/>
                <w:lang w:eastAsia="fr-CH"/>
              </w:rPr>
              <w:t xml:space="preserve">ait descendre du ciel une eau, </w:t>
            </w:r>
            <w:r w:rsidRPr="007C6A42">
              <w:rPr>
                <w:rFonts w:asciiTheme="majorBidi" w:hAnsiTheme="majorBidi" w:cstheme="majorBidi"/>
                <w:b/>
                <w:bCs/>
                <w:lang w:eastAsia="fr-CH"/>
              </w:rPr>
              <w:t>alors</w:t>
            </w:r>
            <w:r w:rsidRPr="007C6A42">
              <w:rPr>
                <w:rFonts w:asciiTheme="majorBidi" w:hAnsiTheme="majorBidi" w:cstheme="majorBidi"/>
                <w:lang w:eastAsia="fr-CH"/>
              </w:rPr>
              <w:t xml:space="preserve"> la terre devient </w:t>
            </w:r>
            <w:r w:rsidRPr="007C6A42">
              <w:rPr>
                <w:rFonts w:asciiTheme="majorBidi" w:hAnsiTheme="majorBidi" w:cstheme="majorBidi"/>
                <w:b/>
                <w:bCs/>
                <w:lang w:eastAsia="fr-CH"/>
              </w:rPr>
              <w:t>verdoyante</w:t>
            </w:r>
            <w:r w:rsidRPr="007C6A42">
              <w:rPr>
                <w:rFonts w:asciiTheme="majorBidi" w:hAnsiTheme="majorBidi" w:cstheme="majorBidi"/>
                <w:lang w:eastAsia="fr-CH"/>
              </w:rPr>
              <w:t> ?</w:t>
            </w:r>
          </w:p>
        </w:tc>
      </w:tr>
      <w:tr w:rsidR="00A70B78" w:rsidRPr="007C6A42" w14:paraId="70E9DAC8" w14:textId="77777777" w:rsidTr="00AF4FC9">
        <w:tc>
          <w:tcPr>
            <w:tcW w:w="1745" w:type="dxa"/>
          </w:tcPr>
          <w:p w14:paraId="0669F5B1"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ألم ترَ أن الله سخَّرَ لكم ما في الأرض (٦٥)</w:t>
            </w:r>
          </w:p>
        </w:tc>
        <w:tc>
          <w:tcPr>
            <w:tcW w:w="2126" w:type="dxa"/>
          </w:tcPr>
          <w:p w14:paraId="2A03474B"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N’as-tu pas vu que Dieu vous a soumis tout ce qui est sur la terre</w:t>
            </w:r>
          </w:p>
        </w:tc>
        <w:tc>
          <w:tcPr>
            <w:tcW w:w="2083" w:type="dxa"/>
          </w:tcPr>
          <w:p w14:paraId="5AD2C05E"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c>
          <w:tcPr>
            <w:tcW w:w="2126" w:type="dxa"/>
          </w:tcPr>
          <w:p w14:paraId="622AB1D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N’as-tu pas vu qu’</w:t>
            </w:r>
            <w:r w:rsidRPr="007C6A42">
              <w:rPr>
                <w:rFonts w:asciiTheme="majorBidi" w:hAnsiTheme="majorBidi" w:cstheme="majorBidi"/>
                <w:b/>
                <w:bCs/>
                <w:lang w:eastAsia="fr-CH"/>
              </w:rPr>
              <w:t>Allah</w:t>
            </w:r>
            <w:r w:rsidRPr="007C6A42">
              <w:rPr>
                <w:rFonts w:asciiTheme="majorBidi" w:hAnsiTheme="majorBidi" w:cstheme="majorBidi"/>
                <w:lang w:eastAsia="fr-CH"/>
              </w:rPr>
              <w:t xml:space="preserve"> vous a soumis tout ce qui est sur la terre</w:t>
            </w:r>
          </w:p>
        </w:tc>
        <w:tc>
          <w:tcPr>
            <w:tcW w:w="1985" w:type="dxa"/>
          </w:tcPr>
          <w:p w14:paraId="1AF62B5A" w14:textId="77777777" w:rsidR="00A70B78" w:rsidRPr="007C6A42" w:rsidRDefault="00A70B78" w:rsidP="00AF4FC9">
            <w:pPr>
              <w:jc w:val="center"/>
              <w:rPr>
                <w:rFonts w:asciiTheme="majorBidi" w:hAnsiTheme="majorBidi" w:cstheme="majorBidi"/>
              </w:rPr>
            </w:pPr>
            <w:r w:rsidRPr="007C6A42">
              <w:rPr>
                <w:rFonts w:asciiTheme="majorBidi" w:hAnsiTheme="majorBidi" w:cstheme="majorBidi"/>
              </w:rPr>
              <w:t>---</w:t>
            </w:r>
          </w:p>
        </w:tc>
      </w:tr>
      <w:tr w:rsidR="00A70B78" w:rsidRPr="007C6A42" w14:paraId="69093300" w14:textId="77777777" w:rsidTr="00AF4FC9">
        <w:trPr>
          <w:trHeight w:val="711"/>
        </w:trPr>
        <w:tc>
          <w:tcPr>
            <w:tcW w:w="1745" w:type="dxa"/>
          </w:tcPr>
          <w:p w14:paraId="567B289C"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ويمسك السماءَ أن تقعَ على الأرض (٦٥)</w:t>
            </w:r>
          </w:p>
        </w:tc>
        <w:tc>
          <w:tcPr>
            <w:tcW w:w="2126" w:type="dxa"/>
          </w:tcPr>
          <w:p w14:paraId="4DD1CF8C"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Il retient le ciel de tomber sur la terre</w:t>
            </w:r>
          </w:p>
        </w:tc>
        <w:tc>
          <w:tcPr>
            <w:tcW w:w="2083" w:type="dxa"/>
          </w:tcPr>
          <w:p w14:paraId="051416C3"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b/>
                <w:bCs/>
                <w:lang w:eastAsia="fr-CH"/>
              </w:rPr>
              <w:t>Et c’est lui qui</w:t>
            </w:r>
            <w:r w:rsidRPr="007C6A42">
              <w:rPr>
                <w:rFonts w:asciiTheme="majorBidi" w:hAnsiTheme="majorBidi" w:cstheme="majorBidi"/>
                <w:lang w:eastAsia="fr-CH"/>
              </w:rPr>
              <w:t xml:space="preserve"> retient le ciel de tomber sur la terre</w:t>
            </w:r>
          </w:p>
        </w:tc>
        <w:tc>
          <w:tcPr>
            <w:tcW w:w="2126" w:type="dxa"/>
          </w:tcPr>
          <w:p w14:paraId="6EB9F5B4"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Il retient le ciel de tomber sur la terre</w:t>
            </w:r>
          </w:p>
        </w:tc>
        <w:tc>
          <w:tcPr>
            <w:tcW w:w="1985" w:type="dxa"/>
          </w:tcPr>
          <w:p w14:paraId="6F13E370"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Il </w:t>
            </w:r>
            <w:r w:rsidRPr="007C6A42">
              <w:rPr>
                <w:rFonts w:asciiTheme="majorBidi" w:hAnsiTheme="majorBidi" w:cstheme="majorBidi"/>
                <w:b/>
                <w:bCs/>
                <w:lang w:eastAsia="fr-CH"/>
              </w:rPr>
              <w:t>R</w:t>
            </w:r>
            <w:r w:rsidRPr="007C6A42">
              <w:rPr>
                <w:rFonts w:asciiTheme="majorBidi" w:hAnsiTheme="majorBidi" w:cstheme="majorBidi"/>
                <w:lang w:eastAsia="fr-CH"/>
              </w:rPr>
              <w:t xml:space="preserve">etient le </w:t>
            </w:r>
            <w:r w:rsidRPr="007C6A42">
              <w:rPr>
                <w:rFonts w:asciiTheme="majorBidi" w:hAnsiTheme="majorBidi" w:cstheme="majorBidi"/>
                <w:b/>
                <w:bCs/>
                <w:lang w:eastAsia="fr-CH"/>
              </w:rPr>
              <w:t>C</w:t>
            </w:r>
            <w:r w:rsidRPr="007C6A42">
              <w:rPr>
                <w:rFonts w:asciiTheme="majorBidi" w:hAnsiTheme="majorBidi" w:cstheme="majorBidi"/>
                <w:lang w:eastAsia="fr-CH"/>
              </w:rPr>
              <w:t>iel de tomber sur la terre</w:t>
            </w:r>
          </w:p>
        </w:tc>
      </w:tr>
      <w:tr w:rsidR="00A70B78" w:rsidRPr="007C6A42" w14:paraId="698CADEC" w14:textId="77777777" w:rsidTr="00AF4FC9">
        <w:tc>
          <w:tcPr>
            <w:tcW w:w="1745" w:type="dxa"/>
          </w:tcPr>
          <w:p w14:paraId="20F675D2"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اللَّهُ يَحْكُمُ بَيْنَكُم يَوْمَ القيامةِ فِيما كنتم فيه تَختلفون. (٦٩)</w:t>
            </w:r>
          </w:p>
        </w:tc>
        <w:tc>
          <w:tcPr>
            <w:tcW w:w="2126" w:type="dxa"/>
          </w:tcPr>
          <w:p w14:paraId="2A12C591"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Dieu jugera parmi vous, au jour de la résurrection, ce en quoi vous divergiez.</w:t>
            </w:r>
          </w:p>
        </w:tc>
        <w:tc>
          <w:tcPr>
            <w:tcW w:w="2083" w:type="dxa"/>
          </w:tcPr>
          <w:p w14:paraId="2D32221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 xml:space="preserve">Dieu jugera </w:t>
            </w:r>
            <w:r w:rsidRPr="007C6A42">
              <w:rPr>
                <w:rFonts w:asciiTheme="majorBidi" w:hAnsiTheme="majorBidi" w:cstheme="majorBidi"/>
                <w:b/>
                <w:bCs/>
                <w:lang w:eastAsia="fr-CH"/>
              </w:rPr>
              <w:t>entre</w:t>
            </w:r>
            <w:r w:rsidRPr="007C6A42">
              <w:rPr>
                <w:rFonts w:asciiTheme="majorBidi" w:hAnsiTheme="majorBidi" w:cstheme="majorBidi"/>
                <w:lang w:eastAsia="fr-CH"/>
              </w:rPr>
              <w:t xml:space="preserve"> vous, au jour de la résurrection, ce en quoi vous divergiez.</w:t>
            </w:r>
          </w:p>
        </w:tc>
        <w:tc>
          <w:tcPr>
            <w:tcW w:w="2126" w:type="dxa"/>
          </w:tcPr>
          <w:p w14:paraId="7751D092"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lang w:eastAsia="fr-CH"/>
              </w:rPr>
              <w:t>Dieu jugera</w:t>
            </w:r>
            <w:r w:rsidRPr="007C6A42">
              <w:rPr>
                <w:rFonts w:asciiTheme="majorBidi" w:hAnsiTheme="majorBidi" w:cstheme="majorBidi"/>
                <w:b/>
                <w:bCs/>
                <w:lang w:eastAsia="fr-CH"/>
              </w:rPr>
              <w:t xml:space="preserve"> entre </w:t>
            </w:r>
            <w:r w:rsidRPr="007C6A42">
              <w:rPr>
                <w:rFonts w:asciiTheme="majorBidi" w:hAnsiTheme="majorBidi" w:cstheme="majorBidi"/>
                <w:lang w:eastAsia="fr-CH"/>
              </w:rPr>
              <w:t xml:space="preserve">vous, au </w:t>
            </w:r>
            <w:r w:rsidRPr="007C6A42">
              <w:rPr>
                <w:rFonts w:asciiTheme="majorBidi" w:hAnsiTheme="majorBidi" w:cstheme="majorBidi"/>
                <w:b/>
                <w:bCs/>
                <w:lang w:eastAsia="fr-CH"/>
              </w:rPr>
              <w:t>J</w:t>
            </w:r>
            <w:r w:rsidRPr="007C6A42">
              <w:rPr>
                <w:rFonts w:asciiTheme="majorBidi" w:hAnsiTheme="majorBidi" w:cstheme="majorBidi"/>
                <w:lang w:eastAsia="fr-CH"/>
              </w:rPr>
              <w:t xml:space="preserve">our de la </w:t>
            </w:r>
            <w:r w:rsidRPr="007C6A42">
              <w:rPr>
                <w:rFonts w:asciiTheme="majorBidi" w:hAnsiTheme="majorBidi" w:cstheme="majorBidi"/>
                <w:b/>
                <w:bCs/>
                <w:lang w:eastAsia="fr-CH"/>
              </w:rPr>
              <w:t>R</w:t>
            </w:r>
            <w:r w:rsidRPr="007C6A42">
              <w:rPr>
                <w:rFonts w:asciiTheme="majorBidi" w:hAnsiTheme="majorBidi" w:cstheme="majorBidi"/>
                <w:lang w:eastAsia="fr-CH"/>
              </w:rPr>
              <w:t>ésurrection, ce en quoi vous divergiez.</w:t>
            </w:r>
          </w:p>
        </w:tc>
        <w:tc>
          <w:tcPr>
            <w:tcW w:w="1985" w:type="dxa"/>
          </w:tcPr>
          <w:p w14:paraId="18BB6E8C" w14:textId="77777777" w:rsidR="00A70B78" w:rsidRPr="007C6A42" w:rsidRDefault="00A70B78" w:rsidP="00AF4FC9">
            <w:pPr>
              <w:rPr>
                <w:rFonts w:asciiTheme="majorBidi" w:hAnsiTheme="majorBidi" w:cstheme="majorBidi"/>
              </w:rPr>
            </w:pPr>
            <w:r w:rsidRPr="007C6A42">
              <w:rPr>
                <w:rFonts w:asciiTheme="majorBidi" w:hAnsiTheme="majorBidi" w:cstheme="majorBidi"/>
                <w:b/>
                <w:bCs/>
                <w:lang w:eastAsia="fr-CH"/>
              </w:rPr>
              <w:t>Allah</w:t>
            </w:r>
            <w:r w:rsidRPr="007C6A42">
              <w:rPr>
                <w:rFonts w:asciiTheme="majorBidi" w:hAnsiTheme="majorBidi" w:cstheme="majorBidi"/>
                <w:lang w:eastAsia="fr-CH"/>
              </w:rPr>
              <w:t xml:space="preserve"> jugera </w:t>
            </w:r>
            <w:r w:rsidRPr="007C6A42">
              <w:rPr>
                <w:rFonts w:asciiTheme="majorBidi" w:hAnsiTheme="majorBidi" w:cstheme="majorBidi"/>
                <w:b/>
                <w:bCs/>
                <w:lang w:eastAsia="fr-CH"/>
              </w:rPr>
              <w:t xml:space="preserve">entre </w:t>
            </w:r>
            <w:r w:rsidRPr="007C6A42">
              <w:rPr>
                <w:rFonts w:asciiTheme="majorBidi" w:hAnsiTheme="majorBidi" w:cstheme="majorBidi"/>
                <w:lang w:eastAsia="fr-CH"/>
              </w:rPr>
              <w:t xml:space="preserve">vous, </w:t>
            </w:r>
            <w:r w:rsidRPr="007C6A42">
              <w:rPr>
                <w:rFonts w:asciiTheme="majorBidi" w:hAnsiTheme="majorBidi" w:cstheme="majorBidi"/>
                <w:b/>
                <w:bCs/>
                <w:lang w:eastAsia="fr-CH"/>
              </w:rPr>
              <w:t>le</w:t>
            </w:r>
            <w:r w:rsidRPr="007C6A42">
              <w:rPr>
                <w:rFonts w:asciiTheme="majorBidi" w:hAnsiTheme="majorBidi" w:cstheme="majorBidi"/>
                <w:lang w:eastAsia="fr-CH"/>
              </w:rPr>
              <w:t xml:space="preserve"> jour de la </w:t>
            </w:r>
            <w:r w:rsidRPr="007C6A42">
              <w:rPr>
                <w:rFonts w:asciiTheme="majorBidi" w:hAnsiTheme="majorBidi" w:cstheme="majorBidi"/>
                <w:b/>
                <w:bCs/>
                <w:lang w:eastAsia="fr-CH"/>
              </w:rPr>
              <w:t>R</w:t>
            </w:r>
            <w:r w:rsidRPr="007C6A42">
              <w:rPr>
                <w:rFonts w:asciiTheme="majorBidi" w:hAnsiTheme="majorBidi" w:cstheme="majorBidi"/>
                <w:lang w:eastAsia="fr-CH"/>
              </w:rPr>
              <w:t xml:space="preserve">ésurrection, ce </w:t>
            </w:r>
            <w:r w:rsidRPr="007C6A42">
              <w:rPr>
                <w:rFonts w:asciiTheme="majorBidi" w:hAnsiTheme="majorBidi" w:cstheme="majorBidi"/>
                <w:b/>
                <w:bCs/>
                <w:lang w:eastAsia="fr-CH"/>
              </w:rPr>
              <w:t>sur</w:t>
            </w:r>
            <w:r w:rsidRPr="007C6A42">
              <w:rPr>
                <w:rFonts w:asciiTheme="majorBidi" w:hAnsiTheme="majorBidi" w:cstheme="majorBidi"/>
                <w:lang w:eastAsia="fr-CH"/>
              </w:rPr>
              <w:t xml:space="preserve"> quoi vous divergiez.</w:t>
            </w:r>
          </w:p>
        </w:tc>
      </w:tr>
      <w:tr w:rsidR="00A70B78" w:rsidRPr="007C6A42" w14:paraId="620C685B" w14:textId="77777777" w:rsidTr="00AF4FC9">
        <w:tc>
          <w:tcPr>
            <w:tcW w:w="1745" w:type="dxa"/>
          </w:tcPr>
          <w:p w14:paraId="54F9385C" w14:textId="77777777" w:rsidR="00A70B78" w:rsidRPr="007C6A42" w:rsidRDefault="00A70B78" w:rsidP="00AF4FC9">
            <w:pPr>
              <w:bidi/>
              <w:jc w:val="both"/>
              <w:rPr>
                <w:rFonts w:asciiTheme="majorBidi" w:hAnsiTheme="majorBidi" w:cstheme="majorBidi"/>
              </w:rPr>
            </w:pPr>
          </w:p>
          <w:p w14:paraId="77F40466" w14:textId="77777777" w:rsidR="00A70B78" w:rsidRPr="007C6A42" w:rsidRDefault="00A70B78" w:rsidP="00AF4FC9">
            <w:pPr>
              <w:bidi/>
              <w:jc w:val="both"/>
              <w:rPr>
                <w:rFonts w:asciiTheme="majorBidi" w:hAnsiTheme="majorBidi" w:cstheme="majorBidi"/>
                <w:rtl/>
              </w:rPr>
            </w:pPr>
            <w:r w:rsidRPr="007C6A42">
              <w:rPr>
                <w:rFonts w:asciiTheme="majorBidi" w:hAnsiTheme="majorBidi" w:cstheme="majorBidi"/>
                <w:rtl/>
              </w:rPr>
              <w:t>وما ليس لهم به عِلْمٌ (٧١)</w:t>
            </w:r>
          </w:p>
        </w:tc>
        <w:tc>
          <w:tcPr>
            <w:tcW w:w="2126" w:type="dxa"/>
          </w:tcPr>
          <w:p w14:paraId="6759BB3B"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et ce dont ils n’ont aucune connaissance</w:t>
            </w:r>
          </w:p>
        </w:tc>
        <w:tc>
          <w:tcPr>
            <w:tcW w:w="2083" w:type="dxa"/>
          </w:tcPr>
          <w:p w14:paraId="7870C223" w14:textId="77777777" w:rsidR="00A70B78" w:rsidRPr="007C6A42" w:rsidRDefault="00A70B78" w:rsidP="00AF4FC9">
            <w:pPr>
              <w:jc w:val="center"/>
              <w:rPr>
                <w:rFonts w:asciiTheme="majorBidi" w:hAnsiTheme="majorBidi" w:cstheme="majorBidi"/>
                <w:lang w:eastAsia="fr-CH"/>
              </w:rPr>
            </w:pPr>
            <w:r w:rsidRPr="007C6A42">
              <w:rPr>
                <w:rFonts w:asciiTheme="majorBidi" w:hAnsiTheme="majorBidi" w:cstheme="majorBidi"/>
                <w:lang w:eastAsia="fr-CH"/>
              </w:rPr>
              <w:t>---</w:t>
            </w:r>
          </w:p>
        </w:tc>
        <w:tc>
          <w:tcPr>
            <w:tcW w:w="2126" w:type="dxa"/>
          </w:tcPr>
          <w:p w14:paraId="18D4B4A6"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et ce dont ils n’ont aucune connaissance</w:t>
            </w:r>
          </w:p>
        </w:tc>
        <w:tc>
          <w:tcPr>
            <w:tcW w:w="1985" w:type="dxa"/>
          </w:tcPr>
          <w:p w14:paraId="33230891" w14:textId="77777777" w:rsidR="00A70B78" w:rsidRPr="007C6A42" w:rsidRDefault="00A70B78" w:rsidP="00AF4FC9">
            <w:pPr>
              <w:jc w:val="center"/>
              <w:rPr>
                <w:rFonts w:asciiTheme="majorBidi" w:hAnsiTheme="majorBidi" w:cstheme="majorBidi"/>
                <w:lang w:eastAsia="fr-CH"/>
              </w:rPr>
            </w:pPr>
            <w:r w:rsidRPr="007C6A42">
              <w:rPr>
                <w:rFonts w:asciiTheme="majorBidi" w:hAnsiTheme="majorBidi" w:cstheme="majorBidi"/>
                <w:lang w:eastAsia="fr-CH"/>
              </w:rPr>
              <w:t>---</w:t>
            </w:r>
          </w:p>
        </w:tc>
      </w:tr>
      <w:tr w:rsidR="00A70B78" w:rsidRPr="007C6A42" w14:paraId="45ED4BCA" w14:textId="77777777" w:rsidTr="00AF4FC9">
        <w:tc>
          <w:tcPr>
            <w:tcW w:w="1745" w:type="dxa"/>
          </w:tcPr>
          <w:p w14:paraId="110C686B"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يَعلم ما بين أيديهم وما خَلْفَهم (٧٦)</w:t>
            </w:r>
          </w:p>
          <w:p w14:paraId="240E7FEE" w14:textId="77777777" w:rsidR="00A70B78" w:rsidRPr="007C6A42" w:rsidRDefault="00A70B78" w:rsidP="00AF4FC9">
            <w:pPr>
              <w:bidi/>
              <w:jc w:val="both"/>
              <w:rPr>
                <w:rFonts w:asciiTheme="majorBidi" w:hAnsiTheme="majorBidi" w:cstheme="majorBidi"/>
              </w:rPr>
            </w:pPr>
          </w:p>
        </w:tc>
        <w:tc>
          <w:tcPr>
            <w:tcW w:w="2126" w:type="dxa"/>
          </w:tcPr>
          <w:p w14:paraId="5B4E83A2"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Il sait ce qui est devant eux et derrière eux.</w:t>
            </w:r>
          </w:p>
        </w:tc>
        <w:tc>
          <w:tcPr>
            <w:tcW w:w="2083" w:type="dxa"/>
          </w:tcPr>
          <w:p w14:paraId="6E1CC433" w14:textId="77777777" w:rsidR="00A70B78" w:rsidRPr="007C6A42" w:rsidRDefault="00A70B78" w:rsidP="00AF4FC9">
            <w:pPr>
              <w:rPr>
                <w:rFonts w:asciiTheme="majorBidi" w:hAnsiTheme="majorBidi" w:cstheme="majorBidi"/>
                <w:lang w:eastAsia="fr-CH"/>
              </w:rPr>
            </w:pPr>
            <w:r w:rsidRPr="007C6A42">
              <w:rPr>
                <w:rFonts w:asciiTheme="majorBidi" w:hAnsiTheme="majorBidi" w:cstheme="majorBidi"/>
                <w:lang w:eastAsia="fr-CH"/>
              </w:rPr>
              <w:t>Il sait ce qui est devant eux</w:t>
            </w:r>
            <w:r w:rsidRPr="007C6A42">
              <w:rPr>
                <w:rFonts w:asciiTheme="majorBidi" w:hAnsiTheme="majorBidi" w:cstheme="majorBidi"/>
                <w:b/>
                <w:bCs/>
                <w:lang w:eastAsia="fr-CH"/>
              </w:rPr>
              <w:t>,</w:t>
            </w:r>
            <w:r w:rsidRPr="007C6A42">
              <w:rPr>
                <w:rFonts w:asciiTheme="majorBidi" w:hAnsiTheme="majorBidi" w:cstheme="majorBidi"/>
                <w:lang w:eastAsia="fr-CH"/>
              </w:rPr>
              <w:t xml:space="preserve"> et derrière eux </w:t>
            </w:r>
            <w:r w:rsidRPr="007C6A42">
              <w:rPr>
                <w:rFonts w:asciiTheme="majorBidi" w:hAnsiTheme="majorBidi" w:cstheme="majorBidi"/>
                <w:b/>
                <w:bCs/>
                <w:lang w:eastAsia="fr-CH"/>
              </w:rPr>
              <w:t>aussi</w:t>
            </w:r>
            <w:r w:rsidRPr="007C6A42">
              <w:rPr>
                <w:rFonts w:asciiTheme="majorBidi" w:hAnsiTheme="majorBidi" w:cstheme="majorBidi"/>
                <w:lang w:eastAsia="fr-CH"/>
              </w:rPr>
              <w:t>.</w:t>
            </w:r>
          </w:p>
        </w:tc>
        <w:tc>
          <w:tcPr>
            <w:tcW w:w="2126" w:type="dxa"/>
          </w:tcPr>
          <w:p w14:paraId="609FDD60"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Il sait ce qui est devant eux et derrière eux.</w:t>
            </w:r>
          </w:p>
        </w:tc>
        <w:tc>
          <w:tcPr>
            <w:tcW w:w="1985" w:type="dxa"/>
          </w:tcPr>
          <w:p w14:paraId="6FFC87A9" w14:textId="77777777" w:rsidR="00A70B78" w:rsidRPr="007C6A42" w:rsidRDefault="00A70B78" w:rsidP="00AF4FC9">
            <w:pPr>
              <w:jc w:val="center"/>
              <w:rPr>
                <w:rFonts w:asciiTheme="majorBidi" w:hAnsiTheme="majorBidi" w:cstheme="majorBidi"/>
                <w:lang w:eastAsia="fr-CH"/>
              </w:rPr>
            </w:pPr>
          </w:p>
        </w:tc>
      </w:tr>
      <w:tr w:rsidR="00A70B78" w:rsidRPr="007C6A42" w14:paraId="0F07EB77" w14:textId="77777777" w:rsidTr="00AF4FC9">
        <w:tc>
          <w:tcPr>
            <w:tcW w:w="1745" w:type="dxa"/>
          </w:tcPr>
          <w:p w14:paraId="3B8165B7" w14:textId="77777777" w:rsidR="00A70B78" w:rsidRPr="007C6A42" w:rsidRDefault="00A70B78" w:rsidP="00AF4FC9">
            <w:pPr>
              <w:bidi/>
              <w:jc w:val="both"/>
              <w:rPr>
                <w:rFonts w:asciiTheme="majorBidi" w:hAnsiTheme="majorBidi" w:cstheme="majorBidi"/>
              </w:rPr>
            </w:pPr>
            <w:r w:rsidRPr="007C6A42">
              <w:rPr>
                <w:rFonts w:asciiTheme="majorBidi" w:hAnsiTheme="majorBidi" w:cstheme="majorBidi"/>
                <w:rtl/>
              </w:rPr>
              <w:t>واعبدوا ربَّكم وافعلوا الخيرَ لعلكم تُفلِحون (٧٧)</w:t>
            </w:r>
          </w:p>
          <w:p w14:paraId="6E27F572" w14:textId="77777777" w:rsidR="00A70B78" w:rsidRPr="007C6A42" w:rsidRDefault="00A70B78" w:rsidP="00AF4FC9">
            <w:pPr>
              <w:bidi/>
              <w:jc w:val="both"/>
              <w:rPr>
                <w:rFonts w:asciiTheme="majorBidi" w:hAnsiTheme="majorBidi" w:cstheme="majorBidi"/>
              </w:rPr>
            </w:pPr>
          </w:p>
        </w:tc>
        <w:tc>
          <w:tcPr>
            <w:tcW w:w="2126" w:type="dxa"/>
          </w:tcPr>
          <w:p w14:paraId="0DFFF9B3"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adorez votre Seigneur, et faites le bien. Peut-être réussirez-vous !</w:t>
            </w:r>
          </w:p>
        </w:tc>
        <w:tc>
          <w:tcPr>
            <w:tcW w:w="2083" w:type="dxa"/>
          </w:tcPr>
          <w:p w14:paraId="301AEF11" w14:textId="77777777" w:rsidR="00A70B78" w:rsidRPr="007C6A42" w:rsidRDefault="00A70B78" w:rsidP="00AF4FC9">
            <w:pPr>
              <w:jc w:val="center"/>
              <w:rPr>
                <w:rFonts w:asciiTheme="majorBidi" w:hAnsiTheme="majorBidi" w:cstheme="majorBidi"/>
                <w:lang w:eastAsia="fr-CH"/>
              </w:rPr>
            </w:pPr>
          </w:p>
        </w:tc>
        <w:tc>
          <w:tcPr>
            <w:tcW w:w="2126" w:type="dxa"/>
          </w:tcPr>
          <w:p w14:paraId="14522B02"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adorez votre Seigneur, et faites le bien. Peut-être réussirez-vous !</w:t>
            </w:r>
          </w:p>
        </w:tc>
        <w:tc>
          <w:tcPr>
            <w:tcW w:w="1985" w:type="dxa"/>
          </w:tcPr>
          <w:p w14:paraId="2F48984F" w14:textId="77777777" w:rsidR="00A70B78" w:rsidRPr="007C6A42" w:rsidRDefault="00A70B78" w:rsidP="00AF4FC9">
            <w:pPr>
              <w:jc w:val="center"/>
              <w:rPr>
                <w:rFonts w:asciiTheme="majorBidi" w:hAnsiTheme="majorBidi" w:cstheme="majorBidi"/>
                <w:lang w:eastAsia="fr-CH"/>
              </w:rPr>
            </w:pPr>
          </w:p>
        </w:tc>
      </w:tr>
      <w:tr w:rsidR="00A70B78" w:rsidRPr="007C6A42" w14:paraId="06AD6D83" w14:textId="77777777" w:rsidTr="00AF4FC9">
        <w:tc>
          <w:tcPr>
            <w:tcW w:w="1745" w:type="dxa"/>
          </w:tcPr>
          <w:p w14:paraId="3DE0E2C3" w14:textId="77777777" w:rsidR="00A70B78" w:rsidRPr="007C6A42" w:rsidRDefault="00A70B78" w:rsidP="00AF4FC9">
            <w:pPr>
              <w:bidi/>
              <w:jc w:val="both"/>
              <w:rPr>
                <w:rFonts w:asciiTheme="majorBidi" w:hAnsiTheme="majorBidi" w:cstheme="majorBidi"/>
                <w:rtl/>
              </w:rPr>
            </w:pPr>
            <w:r w:rsidRPr="007C6A42">
              <w:rPr>
                <w:rFonts w:asciiTheme="majorBidi" w:hAnsiTheme="majorBidi" w:cstheme="majorBidi"/>
                <w:rtl/>
              </w:rPr>
              <w:t>وجاهِدوا في الله حقَّ جِهادِه (٧٨)</w:t>
            </w:r>
          </w:p>
        </w:tc>
        <w:tc>
          <w:tcPr>
            <w:tcW w:w="2126" w:type="dxa"/>
          </w:tcPr>
          <w:p w14:paraId="776824F5" w14:textId="77777777" w:rsidR="00A70B78" w:rsidRPr="007C6A42" w:rsidRDefault="00A70B78" w:rsidP="00AF4FC9">
            <w:pPr>
              <w:jc w:val="both"/>
              <w:rPr>
                <w:rFonts w:asciiTheme="majorBidi" w:hAnsiTheme="majorBidi" w:cstheme="majorBidi"/>
                <w:lang w:eastAsia="fr-CH"/>
              </w:rPr>
            </w:pPr>
            <w:r w:rsidRPr="007C6A42">
              <w:rPr>
                <w:rFonts w:asciiTheme="majorBidi" w:hAnsiTheme="majorBidi" w:cstheme="majorBidi"/>
                <w:lang w:eastAsia="fr-CH"/>
              </w:rPr>
              <w:t>Luttez pour Dieu comme il doit être lutté pour lui.</w:t>
            </w:r>
          </w:p>
        </w:tc>
        <w:tc>
          <w:tcPr>
            <w:tcW w:w="2083" w:type="dxa"/>
          </w:tcPr>
          <w:p w14:paraId="715ECE33" w14:textId="77777777" w:rsidR="00A70B78" w:rsidRPr="007C6A42" w:rsidRDefault="00A70B78" w:rsidP="00AF4FC9">
            <w:pPr>
              <w:jc w:val="center"/>
              <w:rPr>
                <w:rFonts w:asciiTheme="majorBidi" w:hAnsiTheme="majorBidi" w:cstheme="majorBidi"/>
                <w:lang w:eastAsia="fr-CH"/>
              </w:rPr>
            </w:pPr>
            <w:r w:rsidRPr="007C6A42">
              <w:rPr>
                <w:rFonts w:asciiTheme="majorBidi" w:hAnsiTheme="majorBidi" w:cstheme="majorBidi"/>
                <w:lang w:eastAsia="fr-CH"/>
              </w:rPr>
              <w:t>---</w:t>
            </w:r>
          </w:p>
        </w:tc>
        <w:tc>
          <w:tcPr>
            <w:tcW w:w="2126" w:type="dxa"/>
          </w:tcPr>
          <w:p w14:paraId="5D197CD4" w14:textId="77777777" w:rsidR="00A70B78" w:rsidRPr="007C6A42" w:rsidRDefault="00A70B78" w:rsidP="00AF4FC9">
            <w:pPr>
              <w:jc w:val="center"/>
              <w:rPr>
                <w:rFonts w:asciiTheme="majorBidi" w:hAnsiTheme="majorBidi" w:cstheme="majorBidi"/>
                <w:lang w:eastAsia="fr-CH"/>
              </w:rPr>
            </w:pPr>
            <w:r w:rsidRPr="007C6A42">
              <w:rPr>
                <w:rFonts w:asciiTheme="majorBidi" w:hAnsiTheme="majorBidi" w:cstheme="majorBidi"/>
                <w:lang w:eastAsia="fr-CH"/>
              </w:rPr>
              <w:t>----</w:t>
            </w:r>
          </w:p>
        </w:tc>
        <w:tc>
          <w:tcPr>
            <w:tcW w:w="1985" w:type="dxa"/>
          </w:tcPr>
          <w:p w14:paraId="35D6A60F" w14:textId="77777777" w:rsidR="00A70B78" w:rsidRPr="007C6A42" w:rsidRDefault="00A70B78" w:rsidP="00AF4FC9">
            <w:pPr>
              <w:rPr>
                <w:rFonts w:asciiTheme="majorBidi" w:hAnsiTheme="majorBidi" w:cstheme="majorBidi"/>
                <w:lang w:eastAsia="fr-CH"/>
              </w:rPr>
            </w:pPr>
            <w:r w:rsidRPr="007C6A42">
              <w:rPr>
                <w:rFonts w:asciiTheme="majorBidi" w:hAnsiTheme="majorBidi" w:cstheme="majorBidi"/>
                <w:lang w:eastAsia="fr-CH"/>
              </w:rPr>
              <w:t xml:space="preserve">Luttez pour </w:t>
            </w:r>
            <w:r w:rsidRPr="007C6A42">
              <w:rPr>
                <w:rFonts w:asciiTheme="majorBidi" w:hAnsiTheme="majorBidi" w:cstheme="majorBidi"/>
                <w:b/>
                <w:bCs/>
                <w:lang w:eastAsia="fr-CH"/>
              </w:rPr>
              <w:t>Allah</w:t>
            </w:r>
            <w:r w:rsidRPr="007C6A42">
              <w:rPr>
                <w:rFonts w:asciiTheme="majorBidi" w:hAnsiTheme="majorBidi" w:cstheme="majorBidi"/>
                <w:lang w:eastAsia="fr-CH"/>
              </w:rPr>
              <w:t xml:space="preserve"> comme il </w:t>
            </w:r>
            <w:r w:rsidRPr="007C6A42">
              <w:rPr>
                <w:rFonts w:asciiTheme="majorBidi" w:hAnsiTheme="majorBidi" w:cstheme="majorBidi"/>
                <w:b/>
                <w:bCs/>
                <w:lang w:eastAsia="fr-CH"/>
              </w:rPr>
              <w:t>se</w:t>
            </w:r>
            <w:r w:rsidRPr="007C6A42">
              <w:rPr>
                <w:rFonts w:asciiTheme="majorBidi" w:hAnsiTheme="majorBidi" w:cstheme="majorBidi"/>
                <w:lang w:eastAsia="fr-CH"/>
              </w:rPr>
              <w:t xml:space="preserve"> doit </w:t>
            </w:r>
            <w:r w:rsidRPr="007C6A42">
              <w:rPr>
                <w:rFonts w:asciiTheme="majorBidi" w:hAnsiTheme="majorBidi" w:cstheme="majorBidi"/>
                <w:b/>
                <w:bCs/>
                <w:lang w:eastAsia="fr-CH"/>
              </w:rPr>
              <w:t>de</w:t>
            </w:r>
            <w:r w:rsidRPr="007C6A42">
              <w:rPr>
                <w:rFonts w:asciiTheme="majorBidi" w:hAnsiTheme="majorBidi" w:cstheme="majorBidi"/>
                <w:lang w:eastAsia="fr-CH"/>
              </w:rPr>
              <w:t xml:space="preserve"> lutt</w:t>
            </w:r>
            <w:r w:rsidRPr="007C6A42">
              <w:rPr>
                <w:rFonts w:asciiTheme="majorBidi" w:hAnsiTheme="majorBidi" w:cstheme="majorBidi"/>
                <w:b/>
                <w:bCs/>
                <w:lang w:eastAsia="fr-CH"/>
              </w:rPr>
              <w:t>er</w:t>
            </w:r>
            <w:r w:rsidRPr="007C6A42">
              <w:rPr>
                <w:rFonts w:asciiTheme="majorBidi" w:hAnsiTheme="majorBidi" w:cstheme="majorBidi"/>
                <w:lang w:eastAsia="fr-CH"/>
              </w:rPr>
              <w:t xml:space="preserve"> pour </w:t>
            </w:r>
            <w:r w:rsidRPr="007C6A42">
              <w:rPr>
                <w:rFonts w:asciiTheme="majorBidi" w:hAnsiTheme="majorBidi" w:cstheme="majorBidi"/>
                <w:b/>
                <w:bCs/>
                <w:lang w:eastAsia="fr-CH"/>
              </w:rPr>
              <w:t>L</w:t>
            </w:r>
            <w:r w:rsidRPr="007C6A42">
              <w:rPr>
                <w:rFonts w:asciiTheme="majorBidi" w:hAnsiTheme="majorBidi" w:cstheme="majorBidi"/>
                <w:lang w:eastAsia="fr-CH"/>
              </w:rPr>
              <w:t>ui.</w:t>
            </w:r>
          </w:p>
        </w:tc>
      </w:tr>
    </w:tbl>
    <w:p w14:paraId="464EE8D2" w14:textId="77777777" w:rsidR="00A70B78" w:rsidRPr="007C6A42" w:rsidRDefault="00A70B78" w:rsidP="00A70B78">
      <w:pPr>
        <w:spacing w:line="360" w:lineRule="auto"/>
        <w:jc w:val="both"/>
        <w:rPr>
          <w:rFonts w:asciiTheme="majorBidi" w:hAnsiTheme="majorBidi" w:cstheme="majorBidi"/>
        </w:rPr>
      </w:pPr>
    </w:p>
    <w:p w14:paraId="5C469CE6" w14:textId="77777777" w:rsidR="00A70B78" w:rsidRPr="007C6A42" w:rsidRDefault="00A70B78" w:rsidP="00A70B78">
      <w:pPr>
        <w:spacing w:line="360" w:lineRule="auto"/>
        <w:ind w:firstLine="708"/>
        <w:jc w:val="both"/>
        <w:rPr>
          <w:rFonts w:asciiTheme="majorBidi" w:eastAsia="Times New Roman" w:hAnsiTheme="majorBidi" w:cstheme="majorBidi"/>
          <w:color w:val="C00000"/>
        </w:rPr>
      </w:pPr>
      <w:r w:rsidRPr="007C6A42">
        <w:rPr>
          <w:rFonts w:asciiTheme="majorBidi" w:hAnsiTheme="majorBidi" w:cstheme="majorBidi"/>
        </w:rPr>
        <w:t xml:space="preserve">Nous constatons qu’Aldeeb est plus littéraliste que les traducteurs musulmans. Il a revu la traduction du Complexe de Médine mais en se rapprochant plus de la littéralité du texte arabe. En guise d’exemple, il a traduit </w:t>
      </w:r>
      <w:r w:rsidRPr="007C6A42">
        <w:rPr>
          <w:rFonts w:asciiTheme="majorBidi" w:hAnsiTheme="majorBidi" w:cstheme="majorBidi"/>
          <w:rtl/>
        </w:rPr>
        <w:t>ثاني عِطْفِه</w:t>
      </w:r>
      <w:r w:rsidRPr="007C6A42">
        <w:rPr>
          <w:rFonts w:asciiTheme="majorBidi" w:hAnsiTheme="majorBidi" w:cstheme="majorBidi"/>
        </w:rPr>
        <w:t xml:space="preserve"> (v. 9) par : « pliant le cou » alors que les autres ont traduit ainsi : « ployant de la hanche » (Hamidullah), « affichant une attitude orgueilleuse » (Complexe de Médine), « prenant un air hautain » (Abdelaziz). Il a traduit le verbe </w:t>
      </w:r>
      <w:r w:rsidRPr="007C6A42">
        <w:rPr>
          <w:rFonts w:asciiTheme="majorBidi" w:hAnsiTheme="majorBidi" w:cstheme="majorBidi"/>
          <w:rtl/>
        </w:rPr>
        <w:t>قُطِّعَتْ</w:t>
      </w:r>
      <w:r w:rsidRPr="007C6A42">
        <w:rPr>
          <w:rFonts w:asciiTheme="majorBidi" w:hAnsiTheme="majorBidi" w:cstheme="majorBidi"/>
        </w:rPr>
        <w:t xml:space="preserve"> (v. 19) par : « on coupera » tandis que les autres l’ont traduit par : « on leur taillera » (Hamidullah), « on taillera » (Complexe de Médine), « on leur a taillé » (Abdelaziz). Il a traduit le verbe </w:t>
      </w:r>
      <w:r w:rsidRPr="007C6A42">
        <w:rPr>
          <w:rFonts w:asciiTheme="majorBidi" w:hAnsiTheme="majorBidi" w:cstheme="majorBidi"/>
          <w:rtl/>
        </w:rPr>
        <w:t>تجري</w:t>
      </w:r>
      <w:r w:rsidRPr="007C6A42">
        <w:rPr>
          <w:rFonts w:asciiTheme="majorBidi" w:hAnsiTheme="majorBidi" w:cstheme="majorBidi"/>
        </w:rPr>
        <w:t xml:space="preserve"> (v. 23) par : « courent », alors que les autres l’ont a traduit par : « coulent ». Il commet parfois des anachronismes ; il a traduit par exemple le mot </w:t>
      </w:r>
      <w:r w:rsidRPr="007C6A42">
        <w:rPr>
          <w:rFonts w:asciiTheme="majorBidi" w:hAnsiTheme="majorBidi" w:cstheme="majorBidi"/>
          <w:rtl/>
        </w:rPr>
        <w:t>أُمَّة</w:t>
      </w:r>
      <w:r w:rsidRPr="007C6A42">
        <w:rPr>
          <w:rFonts w:asciiTheme="majorBidi" w:hAnsiTheme="majorBidi" w:cstheme="majorBidi"/>
        </w:rPr>
        <w:t xml:space="preserve"> (v. 34</w:t>
      </w:r>
      <w:r w:rsidRPr="007C6A42">
        <w:rPr>
          <w:rFonts w:asciiTheme="majorBidi" w:hAnsiTheme="majorBidi" w:cstheme="majorBidi"/>
          <w:rtl/>
        </w:rPr>
        <w:t xml:space="preserve"> </w:t>
      </w:r>
      <w:r w:rsidRPr="007C6A42">
        <w:rPr>
          <w:rFonts w:asciiTheme="majorBidi" w:hAnsiTheme="majorBidi" w:cstheme="majorBidi"/>
        </w:rPr>
        <w:t xml:space="preserve">&amp; 67) par : « nation » alors que les autres l’ont traduit par : « communauté ». Aldeeb a traduit la phrase </w:t>
      </w:r>
      <w:r w:rsidRPr="007C6A42">
        <w:rPr>
          <w:rFonts w:asciiTheme="majorBidi" w:hAnsiTheme="majorBidi" w:cstheme="majorBidi"/>
          <w:rtl/>
        </w:rPr>
        <w:t>أقاموا الصلاةَ</w:t>
      </w:r>
      <w:r w:rsidRPr="007C6A42">
        <w:rPr>
          <w:rFonts w:asciiTheme="majorBidi" w:hAnsiTheme="majorBidi" w:cstheme="majorBidi"/>
        </w:rPr>
        <w:t xml:space="preserve"> (v. 41) littéralement par : « ont élevé la prière », cependant que les autres littéralistes ont traduit le sens : Hamidullah a choisi « établirons l’Office », un terme chrétien qui va disparaître dans la traduction littéraliste et musulmane du Complexe de Médine et être remplacé par le terme islamisé : « accomplissent la </w:t>
      </w:r>
      <w:r w:rsidRPr="007C6A42">
        <w:rPr>
          <w:rFonts w:asciiTheme="majorBidi" w:eastAsia="Times New Roman" w:hAnsiTheme="majorBidi" w:cstheme="majorBidi"/>
        </w:rPr>
        <w:t>Ṣalāt ». Abdelaziz l’a traduit ainsi : « accomplissent la prière ».</w:t>
      </w:r>
    </w:p>
    <w:p w14:paraId="1BFE10E1" w14:textId="77777777" w:rsidR="00A70B78" w:rsidRPr="007C6A42" w:rsidRDefault="00A70B78" w:rsidP="00A70B78">
      <w:pPr>
        <w:spacing w:line="360" w:lineRule="auto"/>
        <w:ind w:firstLine="708"/>
        <w:jc w:val="both"/>
        <w:rPr>
          <w:rFonts w:asciiTheme="majorBidi" w:hAnsiTheme="majorBidi" w:cstheme="majorBidi"/>
        </w:rPr>
      </w:pPr>
    </w:p>
    <w:tbl>
      <w:tblPr>
        <w:tblStyle w:val="Grilledutableau"/>
        <w:tblW w:w="9257" w:type="dxa"/>
        <w:tblInd w:w="-568" w:type="dxa"/>
        <w:tblLook w:val="04A0" w:firstRow="1" w:lastRow="0" w:firstColumn="1" w:lastColumn="0" w:noHBand="0" w:noVBand="1"/>
      </w:tblPr>
      <w:tblGrid>
        <w:gridCol w:w="1461"/>
        <w:gridCol w:w="1828"/>
        <w:gridCol w:w="2566"/>
        <w:gridCol w:w="1701"/>
        <w:gridCol w:w="1701"/>
      </w:tblGrid>
      <w:tr w:rsidR="00A70B78" w:rsidRPr="007C6A42" w14:paraId="6B5B4F78" w14:textId="77777777" w:rsidTr="00AF4FC9">
        <w:tc>
          <w:tcPr>
            <w:tcW w:w="1461" w:type="dxa"/>
          </w:tcPr>
          <w:p w14:paraId="7CDA3BBC" w14:textId="77777777" w:rsidR="00A70B78" w:rsidRPr="007C6A42" w:rsidRDefault="00A70B78" w:rsidP="00AF4FC9">
            <w:pPr>
              <w:jc w:val="right"/>
              <w:rPr>
                <w:rFonts w:asciiTheme="majorBidi" w:hAnsiTheme="majorBidi" w:cstheme="majorBidi"/>
              </w:rPr>
            </w:pPr>
          </w:p>
        </w:tc>
        <w:tc>
          <w:tcPr>
            <w:tcW w:w="1828" w:type="dxa"/>
          </w:tcPr>
          <w:p w14:paraId="5B329DBF" w14:textId="77777777" w:rsidR="00A70B78" w:rsidRPr="007C6A42" w:rsidRDefault="00A70B78" w:rsidP="00AF4FC9">
            <w:pPr>
              <w:jc w:val="right"/>
              <w:rPr>
                <w:rFonts w:asciiTheme="majorBidi" w:hAnsiTheme="majorBidi" w:cstheme="majorBidi"/>
                <w:b/>
                <w:bCs/>
              </w:rPr>
            </w:pPr>
            <w:r w:rsidRPr="007C6A42">
              <w:rPr>
                <w:rFonts w:asciiTheme="majorBidi" w:hAnsiTheme="majorBidi" w:cstheme="majorBidi"/>
                <w:b/>
                <w:bCs/>
              </w:rPr>
              <w:t>Hamidullah (1959)</w:t>
            </w:r>
          </w:p>
        </w:tc>
        <w:tc>
          <w:tcPr>
            <w:tcW w:w="2566" w:type="dxa"/>
          </w:tcPr>
          <w:p w14:paraId="3FDA8B5E" w14:textId="77777777" w:rsidR="00A70B78" w:rsidRPr="007C6A42" w:rsidRDefault="00A70B78" w:rsidP="00AF4FC9">
            <w:pPr>
              <w:jc w:val="both"/>
              <w:rPr>
                <w:rFonts w:asciiTheme="majorBidi" w:hAnsiTheme="majorBidi" w:cstheme="majorBidi"/>
                <w:b/>
                <w:bCs/>
              </w:rPr>
            </w:pPr>
            <w:r w:rsidRPr="007C6A42">
              <w:rPr>
                <w:rFonts w:asciiTheme="majorBidi" w:hAnsiTheme="majorBidi" w:cstheme="majorBidi"/>
                <w:b/>
                <w:bCs/>
              </w:rPr>
              <w:t>Complexe de Médine (2001)</w:t>
            </w:r>
          </w:p>
        </w:tc>
        <w:tc>
          <w:tcPr>
            <w:tcW w:w="1701" w:type="dxa"/>
          </w:tcPr>
          <w:p w14:paraId="3E216CF7" w14:textId="77777777" w:rsidR="00A70B78" w:rsidRPr="007C6A42" w:rsidRDefault="00A70B78" w:rsidP="00AF4FC9">
            <w:pPr>
              <w:jc w:val="both"/>
              <w:rPr>
                <w:rFonts w:asciiTheme="majorBidi" w:hAnsiTheme="majorBidi" w:cstheme="majorBidi"/>
                <w:b/>
                <w:bCs/>
              </w:rPr>
            </w:pPr>
            <w:r w:rsidRPr="007C6A42">
              <w:rPr>
                <w:rFonts w:asciiTheme="majorBidi" w:hAnsiTheme="majorBidi" w:cstheme="majorBidi"/>
                <w:b/>
                <w:bCs/>
              </w:rPr>
              <w:t>Abdelaziz (2002)</w:t>
            </w:r>
          </w:p>
        </w:tc>
        <w:tc>
          <w:tcPr>
            <w:tcW w:w="1701" w:type="dxa"/>
          </w:tcPr>
          <w:p w14:paraId="235E1513" w14:textId="77777777" w:rsidR="00A70B78" w:rsidRPr="007C6A42" w:rsidRDefault="00A70B78" w:rsidP="00AF4FC9">
            <w:pPr>
              <w:jc w:val="both"/>
              <w:rPr>
                <w:rFonts w:asciiTheme="majorBidi" w:hAnsiTheme="majorBidi" w:cstheme="majorBidi"/>
                <w:b/>
                <w:bCs/>
              </w:rPr>
            </w:pPr>
            <w:r w:rsidRPr="007C6A42">
              <w:rPr>
                <w:rFonts w:asciiTheme="majorBidi" w:hAnsiTheme="majorBidi" w:cstheme="majorBidi"/>
                <w:b/>
                <w:bCs/>
              </w:rPr>
              <w:t>Aldeeb (2008)</w:t>
            </w:r>
          </w:p>
        </w:tc>
      </w:tr>
      <w:tr w:rsidR="00A70B78" w:rsidRPr="007C6A42" w14:paraId="6483843C" w14:textId="77777777" w:rsidTr="00AF4FC9">
        <w:tc>
          <w:tcPr>
            <w:tcW w:w="1461" w:type="dxa"/>
          </w:tcPr>
          <w:p w14:paraId="29049912" w14:textId="77777777" w:rsidR="00A70B78" w:rsidRPr="007C6A42" w:rsidRDefault="00A70B78" w:rsidP="00AF4FC9">
            <w:pPr>
              <w:bidi/>
              <w:jc w:val="both"/>
              <w:rPr>
                <w:rFonts w:asciiTheme="majorBidi" w:hAnsiTheme="majorBidi" w:cstheme="majorBidi"/>
                <w:rtl/>
              </w:rPr>
            </w:pPr>
            <w:r w:rsidRPr="007C6A42">
              <w:rPr>
                <w:rFonts w:asciiTheme="majorBidi" w:hAnsiTheme="majorBidi" w:cstheme="majorBidi"/>
                <w:rtl/>
              </w:rPr>
              <w:t>أقاموا الصلاةَ (٤١)</w:t>
            </w:r>
          </w:p>
        </w:tc>
        <w:tc>
          <w:tcPr>
            <w:tcW w:w="1828" w:type="dxa"/>
          </w:tcPr>
          <w:p w14:paraId="3070FF5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établirons l’Office</w:t>
            </w:r>
          </w:p>
        </w:tc>
        <w:tc>
          <w:tcPr>
            <w:tcW w:w="2566" w:type="dxa"/>
          </w:tcPr>
          <w:p w14:paraId="7A01529F"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accomplissent la Ṣalāt</w:t>
            </w:r>
          </w:p>
        </w:tc>
        <w:tc>
          <w:tcPr>
            <w:tcW w:w="1701" w:type="dxa"/>
          </w:tcPr>
          <w:p w14:paraId="1FCB94AD"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accomplissent la prière</w:t>
            </w:r>
          </w:p>
        </w:tc>
        <w:tc>
          <w:tcPr>
            <w:tcW w:w="1701" w:type="dxa"/>
          </w:tcPr>
          <w:p w14:paraId="60136E83" w14:textId="77777777" w:rsidR="00A70B78" w:rsidRPr="007C6A42" w:rsidRDefault="00A70B78" w:rsidP="00AF4FC9">
            <w:pPr>
              <w:jc w:val="both"/>
              <w:rPr>
                <w:rFonts w:asciiTheme="majorBidi" w:hAnsiTheme="majorBidi" w:cstheme="majorBidi"/>
              </w:rPr>
            </w:pPr>
            <w:r w:rsidRPr="007C6A42">
              <w:rPr>
                <w:rFonts w:asciiTheme="majorBidi" w:hAnsiTheme="majorBidi" w:cstheme="majorBidi"/>
              </w:rPr>
              <w:t>ont élevé la prière</w:t>
            </w:r>
          </w:p>
        </w:tc>
      </w:tr>
    </w:tbl>
    <w:p w14:paraId="2474DA2D" w14:textId="77777777" w:rsidR="00A70B78" w:rsidRPr="007C6A42" w:rsidRDefault="00A70B78" w:rsidP="00A70B78">
      <w:pPr>
        <w:spacing w:line="360" w:lineRule="auto"/>
        <w:ind w:firstLine="708"/>
        <w:jc w:val="both"/>
        <w:rPr>
          <w:rFonts w:asciiTheme="majorBidi" w:hAnsiTheme="majorBidi" w:cstheme="majorBidi"/>
        </w:rPr>
      </w:pPr>
    </w:p>
    <w:p w14:paraId="31E2A4CC"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En confrontant plusieurs traductions, Aldeeb a opté pour la plus proche littéralement du texte arabe. Par exemple, il a adopté le choix de Hamidullah « mesurer Dieu » pour traduire « </w:t>
      </w:r>
      <w:r w:rsidRPr="007C6A42">
        <w:rPr>
          <w:rFonts w:asciiTheme="majorBidi" w:eastAsia="Times New Roman" w:hAnsiTheme="majorBidi" w:cstheme="majorBidi"/>
          <w:i/>
          <w:iCs/>
        </w:rPr>
        <w:t>qadarū Allāh </w:t>
      </w:r>
      <w:r w:rsidRPr="007C6A42">
        <w:rPr>
          <w:rFonts w:asciiTheme="majorBidi" w:eastAsia="Times New Roman" w:hAnsiTheme="majorBidi" w:cstheme="majorBidi"/>
        </w:rPr>
        <w:t xml:space="preserve">» (v. 74) et non pas la traduction du Complexe « estimer Allah ». Et pour traduire </w:t>
      </w:r>
      <w:r w:rsidRPr="007C6A42">
        <w:rPr>
          <w:rFonts w:asciiTheme="majorBidi" w:eastAsia="Times New Roman" w:hAnsiTheme="majorBidi" w:cstheme="majorBidi"/>
          <w:b/>
          <w:bCs/>
        </w:rPr>
        <w:t>« </w:t>
      </w:r>
      <w:r w:rsidRPr="007C6A42">
        <w:rPr>
          <w:rFonts w:asciiTheme="majorBidi" w:eastAsia="Calibri" w:hAnsiTheme="majorBidi" w:cstheme="majorBidi"/>
          <w:i/>
          <w:iCs/>
          <w:lang w:bidi="ar-AE"/>
        </w:rPr>
        <w:t>yas</w:t>
      </w:r>
      <w:r w:rsidRPr="007C6A42">
        <w:rPr>
          <w:rFonts w:asciiTheme="majorBidi" w:eastAsia="Times New Roman" w:hAnsiTheme="majorBidi" w:cstheme="majorBidi"/>
          <w:i/>
          <w:iCs/>
        </w:rPr>
        <w:t>ṭ</w:t>
      </w:r>
      <w:r w:rsidRPr="007C6A42">
        <w:rPr>
          <w:rFonts w:asciiTheme="majorBidi" w:eastAsia="Calibri" w:hAnsiTheme="majorBidi" w:cstheme="majorBidi"/>
          <w:i/>
          <w:iCs/>
          <w:lang w:bidi="ar-AE"/>
        </w:rPr>
        <w:t>una bi-</w:t>
      </w:r>
      <w:r w:rsidRPr="007C6A42">
        <w:rPr>
          <w:rFonts w:asciiTheme="majorBidi" w:eastAsia="Calibri" w:hAnsiTheme="majorBidi" w:cstheme="majorBidi"/>
          <w:lang w:bidi="ar-AE"/>
        </w:rPr>
        <w:t> » (v. 72), il a choisi la traduction du Complexe « se jeter sur » et non pas celle de Hamidullah « se précipiter sur ».</w:t>
      </w:r>
    </w:p>
    <w:p w14:paraId="5ED905A4"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46BA551F"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Lors de la traduction du verset 52, Aldeeb est parti de la traduction littérale de Hamidullah et l’a modifiée pour donner sa traduction littérale, mais, en plus, et pour augmenter son littéralisme, il a choisi le verbe « souhaiter » pour traduire le verbe « </w:t>
      </w:r>
      <w:r w:rsidRPr="007C6A42">
        <w:rPr>
          <w:rFonts w:asciiTheme="majorBidi" w:eastAsia="Times New Roman" w:hAnsiTheme="majorBidi" w:cstheme="majorBidi"/>
          <w:i/>
          <w:iCs/>
        </w:rPr>
        <w:t>tamannā</w:t>
      </w:r>
      <w:r w:rsidRPr="007C6A42">
        <w:rPr>
          <w:rFonts w:asciiTheme="majorBidi" w:eastAsia="Times New Roman" w:hAnsiTheme="majorBidi" w:cstheme="majorBidi"/>
        </w:rPr>
        <w:t xml:space="preserve"> » bien que le Complexe de Médine ait précisé dans une NDT que ce verbe arabe signifiait </w:t>
      </w:r>
      <w:r w:rsidRPr="007C6A42">
        <w:rPr>
          <w:rFonts w:asciiTheme="majorBidi" w:eastAsia="Times New Roman" w:hAnsiTheme="majorBidi" w:cstheme="majorBidi"/>
          <w:i/>
          <w:iCs/>
        </w:rPr>
        <w:t>littéralement</w:t>
      </w:r>
      <w:r w:rsidRPr="007C6A42">
        <w:rPr>
          <w:rFonts w:asciiTheme="majorBidi" w:eastAsia="Times New Roman" w:hAnsiTheme="majorBidi" w:cstheme="majorBidi"/>
        </w:rPr>
        <w:t> : « souhaiter » et que le contexte du verset lui donnait le sens de « réciter ».</w:t>
      </w:r>
    </w:p>
    <w:p w14:paraId="7560595B" w14:textId="77777777" w:rsidR="00A70B78" w:rsidRPr="007C6A42" w:rsidRDefault="00A70B78" w:rsidP="00A70B78">
      <w:pPr>
        <w:spacing w:line="360" w:lineRule="auto"/>
        <w:jc w:val="both"/>
        <w:rPr>
          <w:rFonts w:asciiTheme="majorBidi" w:eastAsia="Times New Roman" w:hAnsiTheme="majorBidi" w:cstheme="majorBidi"/>
          <w:color w:val="C00000"/>
        </w:rPr>
      </w:pPr>
    </w:p>
    <w:p w14:paraId="0C50E2C3"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Bien qu’il soit littéraliste et commette parfois l’anachronisme, Aldeeb évite souvent de translittérer des termes musulmans comme « </w:t>
      </w:r>
      <w:r w:rsidRPr="007C6A42">
        <w:rPr>
          <w:rFonts w:asciiTheme="majorBidi" w:eastAsia="Times New Roman" w:hAnsiTheme="majorBidi" w:cstheme="majorBidi"/>
          <w:i/>
          <w:iCs/>
        </w:rPr>
        <w:t>ṣalāt</w:t>
      </w:r>
      <w:r w:rsidRPr="007C6A42">
        <w:rPr>
          <w:rFonts w:asciiTheme="majorBidi" w:eastAsia="Times New Roman" w:hAnsiTheme="majorBidi" w:cstheme="majorBidi"/>
        </w:rPr>
        <w:t> » [prière] ou « z</w:t>
      </w:r>
      <w:r w:rsidRPr="007C6A42">
        <w:rPr>
          <w:rFonts w:asciiTheme="majorBidi" w:eastAsia="Times New Roman" w:hAnsiTheme="majorBidi" w:cstheme="majorBidi"/>
          <w:i/>
          <w:iCs/>
        </w:rPr>
        <w:t>akāt</w:t>
      </w:r>
      <w:r w:rsidRPr="007C6A42">
        <w:rPr>
          <w:rFonts w:asciiTheme="majorBidi" w:eastAsia="Times New Roman" w:hAnsiTheme="majorBidi" w:cstheme="majorBidi"/>
        </w:rPr>
        <w:t> » [aumône], ce que font souvent le Complexe de Médine et Zeinab Abdelaziz. Il a même évité de traduire « </w:t>
      </w:r>
      <w:r w:rsidRPr="007C6A42">
        <w:rPr>
          <w:rFonts w:asciiTheme="majorBidi" w:eastAsia="Times New Roman" w:hAnsiTheme="majorBidi" w:cstheme="majorBidi"/>
          <w:i/>
          <w:iCs/>
        </w:rPr>
        <w:t>masājid</w:t>
      </w:r>
      <w:r w:rsidRPr="007C6A42">
        <w:rPr>
          <w:rFonts w:asciiTheme="majorBidi" w:eastAsia="Times New Roman" w:hAnsiTheme="majorBidi" w:cstheme="majorBidi"/>
        </w:rPr>
        <w:t> » par « mosquées » (v. 40), mais il l’a traduit par « sanctuaires », alors que la plupart des traducteurs (comme : Blachère, Complexe de Médine, Hamidullah, Abdelaziz, Berque, Chouraqui, Guessous, Ghédira, Masson, Hafiane, Grosjean, Chebel, Chiadmi, Ben Mahmoud, etc.)</w:t>
      </w:r>
      <w:r w:rsidRPr="007C6A42">
        <w:rPr>
          <w:rFonts w:asciiTheme="majorBidi" w:hAnsiTheme="majorBidi" w:cstheme="majorBidi"/>
        </w:rPr>
        <w:t xml:space="preserve"> </w:t>
      </w:r>
      <w:r w:rsidRPr="007C6A42">
        <w:rPr>
          <w:rFonts w:asciiTheme="majorBidi" w:eastAsia="Times New Roman" w:hAnsiTheme="majorBidi" w:cstheme="majorBidi"/>
        </w:rPr>
        <w:t>ont opté pour le mot « mosquées ». Cependant, Du Ryer (1647) a évité le mot « mosquées » et a choisi « temples de fidelles ». Savary et Kazimirski ont donné des mots proches de « mosquées » de caractère musulman : « le temple de la Mecque » (Savary) et « l’oratoire des musulmans » (Kazimirski). Est-ce qu’en évitant le mot « mosquées » Aldeeb évite ici un anachronisme ? Il faut rappeler qu’Aṭ-Ṭabarī, l’un des plus anciens exégètes, n’a pas tranché à propos du sens de « </w:t>
      </w:r>
      <w:r w:rsidRPr="007C6A42">
        <w:rPr>
          <w:rFonts w:asciiTheme="majorBidi" w:eastAsia="Times New Roman" w:hAnsiTheme="majorBidi" w:cstheme="majorBidi"/>
          <w:i/>
          <w:iCs/>
        </w:rPr>
        <w:t>masājid</w:t>
      </w:r>
      <w:r w:rsidRPr="007C6A42">
        <w:rPr>
          <w:rFonts w:asciiTheme="majorBidi" w:eastAsia="Times New Roman" w:hAnsiTheme="majorBidi" w:cstheme="majorBidi"/>
        </w:rPr>
        <w:t xml:space="preserve"> », en précisant : </w:t>
      </w:r>
      <w:r w:rsidRPr="007C6A42">
        <w:rPr>
          <w:rFonts w:asciiTheme="majorBidi" w:eastAsia="Times New Roman" w:hAnsiTheme="majorBidi" w:cstheme="majorBidi"/>
          <w:rtl/>
        </w:rPr>
        <w:t>اختُلِفَ في المساجد التي أريدت بهذا القول</w:t>
      </w:r>
      <w:r w:rsidRPr="007C6A42">
        <w:rPr>
          <w:rFonts w:asciiTheme="majorBidi" w:eastAsia="Times New Roman" w:hAnsiTheme="majorBidi" w:cstheme="majorBidi"/>
        </w:rPr>
        <w:t xml:space="preserve"> [les opinions ont divergé quant à la signification du mot « </w:t>
      </w:r>
      <w:r w:rsidRPr="007C6A42">
        <w:rPr>
          <w:rFonts w:asciiTheme="majorBidi" w:eastAsia="Times New Roman" w:hAnsiTheme="majorBidi" w:cstheme="majorBidi"/>
          <w:i/>
          <w:iCs/>
        </w:rPr>
        <w:t>masājid</w:t>
      </w:r>
      <w:r w:rsidRPr="007C6A42">
        <w:rPr>
          <w:rFonts w:asciiTheme="majorBidi" w:eastAsia="Times New Roman" w:hAnsiTheme="majorBidi" w:cstheme="majorBidi"/>
        </w:rPr>
        <w:t> » dans ce contexte].</w:t>
      </w:r>
    </w:p>
    <w:p w14:paraId="1617F922" w14:textId="77777777" w:rsidR="00A70B78" w:rsidRPr="007C6A42" w:rsidRDefault="00A70B78" w:rsidP="00A70B78">
      <w:pPr>
        <w:spacing w:line="360" w:lineRule="auto"/>
        <w:jc w:val="both"/>
        <w:rPr>
          <w:rFonts w:asciiTheme="majorBidi" w:hAnsiTheme="majorBidi" w:cstheme="majorBidi"/>
        </w:rPr>
      </w:pPr>
    </w:p>
    <w:p w14:paraId="30BD39DC"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Toutefois, il est à noter que le littéralisme de Hamidullah, du Complexe du Médine et d’Aldeeb concerne plus le vocabulaire que l’ordre des mots dans le verset (littéralisme lexical), alors que le littéralisme d’Abdelaziz concerne plutôt l’agencement des mots dans la phrase autant que le français le permet (littéralisme ordinal).</w:t>
      </w:r>
    </w:p>
    <w:p w14:paraId="666182B6" w14:textId="77777777" w:rsidR="00A70B78" w:rsidRPr="007C6A42" w:rsidRDefault="00A70B78" w:rsidP="00A70B78">
      <w:pPr>
        <w:spacing w:line="360" w:lineRule="auto"/>
        <w:ind w:firstLine="708"/>
        <w:jc w:val="both"/>
        <w:rPr>
          <w:rFonts w:asciiTheme="majorBidi" w:hAnsiTheme="majorBidi" w:cstheme="majorBidi"/>
        </w:rPr>
      </w:pPr>
    </w:p>
    <w:p w14:paraId="45E07F7F"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 xml:space="preserve">Donnons quelques exemples. Elle a traduit la phrase </w:t>
      </w:r>
      <w:r w:rsidRPr="007C6A42">
        <w:rPr>
          <w:rFonts w:asciiTheme="majorBidi" w:hAnsiTheme="majorBidi" w:cstheme="majorBidi"/>
          <w:rtl/>
        </w:rPr>
        <w:t>الذين إذا ذُكِرَ اللَّهُ وَجِلَتْ قلوبُهم</w:t>
      </w:r>
      <w:r w:rsidRPr="007C6A42">
        <w:rPr>
          <w:rFonts w:asciiTheme="majorBidi" w:hAnsiTheme="majorBidi" w:cstheme="majorBidi"/>
        </w:rPr>
        <w:t xml:space="preserve"> (v. 35) en respectant l’ordre des vocables du texte-source ainsi : « ceux qui, si le nom d’Allah Est mentionné, leurs cœurs se sentent confus », alors que la traduction du Complexe de Médine est : « ceux dont les cœurs frémissent quand le nom d’Allah est mentionné ». La phrase </w:t>
      </w:r>
      <w:r w:rsidRPr="007C6A42">
        <w:rPr>
          <w:rFonts w:asciiTheme="majorBidi" w:hAnsiTheme="majorBidi" w:cstheme="majorBidi"/>
          <w:rtl/>
        </w:rPr>
        <w:t>والبُدْنَ جَعَلْنَاهَا لَكُم مِّن شَعَائِرِ اللَّهِ</w:t>
      </w:r>
      <w:r w:rsidRPr="007C6A42">
        <w:rPr>
          <w:rFonts w:asciiTheme="majorBidi" w:hAnsiTheme="majorBidi" w:cstheme="majorBidi"/>
        </w:rPr>
        <w:t xml:space="preserve"> (v. 36) a été rendue littéralement par Abdelaziz : « Et les chameaux, Nous les Prescrivîmes comme rites d’Allah », alors qu’elle est rendue par le Complexe de Médine ainsi : « nous vous avons désigné les chameaux (et les vaches) bien portants pour certains rites établis par Allah ». Il est à remarquer que, si méticuleuse et littéraliste soit-elle, Abdelaziz a oublié de traduire le syntagme pronominal prépositionnel « </w:t>
      </w:r>
      <w:r w:rsidRPr="007C6A42">
        <w:rPr>
          <w:rFonts w:asciiTheme="majorBidi" w:hAnsiTheme="majorBidi" w:cstheme="majorBidi"/>
          <w:i/>
          <w:iCs/>
        </w:rPr>
        <w:t>la-kum </w:t>
      </w:r>
      <w:r w:rsidRPr="007C6A42">
        <w:rPr>
          <w:rFonts w:asciiTheme="majorBidi" w:hAnsiTheme="majorBidi" w:cstheme="majorBidi"/>
        </w:rPr>
        <w:t xml:space="preserve">» [à vous]. Elle a traduit la phrase </w:t>
      </w:r>
      <w:r w:rsidRPr="007C6A42">
        <w:rPr>
          <w:rFonts w:asciiTheme="majorBidi" w:hAnsiTheme="majorBidi" w:cstheme="majorBidi"/>
          <w:rtl/>
        </w:rPr>
        <w:t>لن يَنالَ اللَّهَ لُحُومُها ولا دِماؤُها ولكن يَنالُه التَّقوى منكم</w:t>
      </w:r>
      <w:r w:rsidRPr="007C6A42">
        <w:rPr>
          <w:rFonts w:asciiTheme="majorBidi" w:hAnsiTheme="majorBidi" w:cstheme="majorBidi"/>
        </w:rPr>
        <w:t xml:space="preserve"> (v. 37) en respectant l’ordre des mots en arabe : « Ne parviendra point à Allah ni leurs chairs, ni leurs sangs, mais il Lui parvient la piété de votre </w:t>
      </w:r>
      <w:r w:rsidRPr="007C6A42">
        <w:rPr>
          <w:rFonts w:asciiTheme="majorBidi" w:hAnsiTheme="majorBidi" w:cstheme="majorBidi"/>
        </w:rPr>
        <w:lastRenderedPageBreak/>
        <w:t xml:space="preserve">part. », alors que le Complexe de Médine l’a traduit : « Ni leurs chairs ni leurs sangs n’atteindront Allah, mais ce qui L’atteint de votre part c’est la piété. ». Elle a traduit cette proposition mot à mot : </w:t>
      </w:r>
      <w:r w:rsidRPr="007C6A42">
        <w:rPr>
          <w:rFonts w:asciiTheme="majorBidi" w:hAnsiTheme="majorBidi" w:cstheme="majorBidi"/>
          <w:rtl/>
        </w:rPr>
        <w:t>اللَّهَ أَنزَلَ مِنَ السَّمَاء ماءً</w:t>
      </w:r>
      <w:r w:rsidRPr="007C6A42">
        <w:rPr>
          <w:rFonts w:asciiTheme="majorBidi" w:hAnsiTheme="majorBidi" w:cstheme="majorBidi"/>
        </w:rPr>
        <w:t xml:space="preserve"> (v. 63) par : « Allah A Fait descendre du ciel une eau », sachant que la traduction du Complexe de Médine est : « Allah fait descendre l’eau du ciel » et que celle de Hamidullah est : « Dieu fait, du ciel, descendre l’eau ». En traduisant la phrase « </w:t>
      </w:r>
      <w:r w:rsidRPr="007C6A42">
        <w:rPr>
          <w:rFonts w:asciiTheme="majorBidi" w:hAnsiTheme="majorBidi" w:cstheme="majorBidi"/>
          <w:rtl/>
        </w:rPr>
        <w:t>وترى الناسَ سُكارى وما هم بسكارى</w:t>
      </w:r>
      <w:r w:rsidRPr="007C6A42">
        <w:rPr>
          <w:rFonts w:asciiTheme="majorBidi" w:hAnsiTheme="majorBidi" w:cstheme="majorBidi"/>
        </w:rPr>
        <w:t> », Z. Abdelaziz a respecté l’ordre des mots mot pour mot contrairement à Berque et au Complexe de Médine :</w:t>
      </w:r>
    </w:p>
    <w:tbl>
      <w:tblPr>
        <w:tblStyle w:val="Grilledutableau"/>
        <w:tblW w:w="0" w:type="auto"/>
        <w:tblInd w:w="-430" w:type="dxa"/>
        <w:tblLook w:val="04A0" w:firstRow="1" w:lastRow="0" w:firstColumn="1" w:lastColumn="0" w:noHBand="0" w:noVBand="1"/>
      </w:tblPr>
      <w:tblGrid>
        <w:gridCol w:w="455"/>
        <w:gridCol w:w="1430"/>
        <w:gridCol w:w="1660"/>
        <w:gridCol w:w="992"/>
        <w:gridCol w:w="605"/>
        <w:gridCol w:w="1275"/>
        <w:gridCol w:w="750"/>
        <w:gridCol w:w="1522"/>
      </w:tblGrid>
      <w:tr w:rsidR="00A70B78" w:rsidRPr="007C6A42" w14:paraId="1181E37D" w14:textId="77777777" w:rsidTr="00AF4FC9">
        <w:tc>
          <w:tcPr>
            <w:tcW w:w="455" w:type="dxa"/>
          </w:tcPr>
          <w:p w14:paraId="5087FCE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و</w:t>
            </w:r>
          </w:p>
        </w:tc>
        <w:tc>
          <w:tcPr>
            <w:tcW w:w="1430" w:type="dxa"/>
          </w:tcPr>
          <w:p w14:paraId="0BFD4A7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ترى</w:t>
            </w:r>
          </w:p>
        </w:tc>
        <w:tc>
          <w:tcPr>
            <w:tcW w:w="1660" w:type="dxa"/>
          </w:tcPr>
          <w:p w14:paraId="0F1E5AF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الناسَ</w:t>
            </w:r>
          </w:p>
        </w:tc>
        <w:tc>
          <w:tcPr>
            <w:tcW w:w="992" w:type="dxa"/>
          </w:tcPr>
          <w:p w14:paraId="1A94CE9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سُكارى</w:t>
            </w:r>
          </w:p>
        </w:tc>
        <w:tc>
          <w:tcPr>
            <w:tcW w:w="605" w:type="dxa"/>
          </w:tcPr>
          <w:p w14:paraId="59C618F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و</w:t>
            </w:r>
          </w:p>
        </w:tc>
        <w:tc>
          <w:tcPr>
            <w:tcW w:w="1275" w:type="dxa"/>
          </w:tcPr>
          <w:p w14:paraId="1FB7EE8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ما هم</w:t>
            </w:r>
          </w:p>
        </w:tc>
        <w:tc>
          <w:tcPr>
            <w:tcW w:w="750" w:type="dxa"/>
          </w:tcPr>
          <w:p w14:paraId="6E4793F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بِـــ</w:t>
            </w:r>
          </w:p>
        </w:tc>
        <w:tc>
          <w:tcPr>
            <w:tcW w:w="1522" w:type="dxa"/>
          </w:tcPr>
          <w:p w14:paraId="4B04C83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tl/>
              </w:rPr>
              <w:t>سُكارى</w:t>
            </w:r>
          </w:p>
        </w:tc>
      </w:tr>
      <w:tr w:rsidR="00A70B78" w:rsidRPr="007C6A42" w14:paraId="4E93E096" w14:textId="77777777" w:rsidTr="00AF4FC9">
        <w:tc>
          <w:tcPr>
            <w:tcW w:w="455" w:type="dxa"/>
          </w:tcPr>
          <w:p w14:paraId="3F00EF6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et </w:t>
            </w:r>
          </w:p>
        </w:tc>
        <w:tc>
          <w:tcPr>
            <w:tcW w:w="1430" w:type="dxa"/>
          </w:tcPr>
          <w:p w14:paraId="21ED16B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tu verras</w:t>
            </w:r>
          </w:p>
        </w:tc>
        <w:tc>
          <w:tcPr>
            <w:tcW w:w="1660" w:type="dxa"/>
          </w:tcPr>
          <w:p w14:paraId="1F8D2B3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les hommes</w:t>
            </w:r>
          </w:p>
        </w:tc>
        <w:tc>
          <w:tcPr>
            <w:tcW w:w="992" w:type="dxa"/>
          </w:tcPr>
          <w:p w14:paraId="05BFDAC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enivrés</w:t>
            </w:r>
          </w:p>
        </w:tc>
        <w:tc>
          <w:tcPr>
            <w:tcW w:w="605" w:type="dxa"/>
          </w:tcPr>
          <w:p w14:paraId="2C3929E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et</w:t>
            </w:r>
          </w:p>
        </w:tc>
        <w:tc>
          <w:tcPr>
            <w:tcW w:w="1275" w:type="dxa"/>
          </w:tcPr>
          <w:p w14:paraId="2808AD4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Ils ne sont</w:t>
            </w:r>
          </w:p>
        </w:tc>
        <w:tc>
          <w:tcPr>
            <w:tcW w:w="750" w:type="dxa"/>
          </w:tcPr>
          <w:p w14:paraId="6FEC3F0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point</w:t>
            </w:r>
          </w:p>
        </w:tc>
        <w:tc>
          <w:tcPr>
            <w:tcW w:w="1522" w:type="dxa"/>
          </w:tcPr>
          <w:p w14:paraId="553ADF4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ivres</w:t>
            </w:r>
          </w:p>
        </w:tc>
      </w:tr>
    </w:tbl>
    <w:p w14:paraId="1A1BACC4"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En revanche, le Complexe a remplacé le second mot « </w:t>
      </w:r>
      <w:r w:rsidRPr="007C6A42">
        <w:rPr>
          <w:rFonts w:asciiTheme="majorBidi" w:hAnsiTheme="majorBidi" w:cstheme="majorBidi"/>
          <w:i/>
          <w:iCs/>
        </w:rPr>
        <w:t>suk</w:t>
      </w:r>
      <w:r w:rsidRPr="007C6A42">
        <w:rPr>
          <w:rFonts w:asciiTheme="majorBidi" w:eastAsia="Times New Roman" w:hAnsiTheme="majorBidi" w:cstheme="majorBidi"/>
          <w:i/>
          <w:iCs/>
        </w:rPr>
        <w:t>ārā</w:t>
      </w:r>
      <w:r w:rsidRPr="007C6A42">
        <w:rPr>
          <w:rFonts w:asciiTheme="majorBidi" w:eastAsia="Times New Roman" w:hAnsiTheme="majorBidi" w:cstheme="majorBidi"/>
        </w:rPr>
        <w:t xml:space="preserve"> » par le </w:t>
      </w:r>
      <w:r w:rsidRPr="007C6A42">
        <w:rPr>
          <w:rFonts w:asciiTheme="majorBidi" w:hAnsiTheme="majorBidi" w:cstheme="majorBidi"/>
        </w:rPr>
        <w:t xml:space="preserve">pronom : « le » : « Et tu verras les gens </w:t>
      </w:r>
      <w:r w:rsidRPr="007C6A42">
        <w:rPr>
          <w:rFonts w:asciiTheme="majorBidi" w:hAnsiTheme="majorBidi" w:cstheme="majorBidi"/>
          <w:u w:val="single"/>
        </w:rPr>
        <w:t>ivres</w:t>
      </w:r>
      <w:r w:rsidRPr="007C6A42">
        <w:rPr>
          <w:rFonts w:asciiTheme="majorBidi" w:hAnsiTheme="majorBidi" w:cstheme="majorBidi"/>
        </w:rPr>
        <w:t xml:space="preserve">, alors qu’ils ne </w:t>
      </w:r>
      <w:r w:rsidRPr="007C6A42">
        <w:rPr>
          <w:rFonts w:asciiTheme="majorBidi" w:hAnsiTheme="majorBidi" w:cstheme="majorBidi"/>
          <w:u w:val="single"/>
        </w:rPr>
        <w:t>le</w:t>
      </w:r>
      <w:r w:rsidRPr="007C6A42">
        <w:rPr>
          <w:rFonts w:asciiTheme="majorBidi" w:hAnsiTheme="majorBidi" w:cstheme="majorBidi"/>
        </w:rPr>
        <w:t xml:space="preserve"> sont pas ». À l’instar d’Abdelaziz, Aldeeb a opté pour le mot à mot en répétant le mot « ivres » comme en arabe : « Tu verras les humains </w:t>
      </w:r>
      <w:r w:rsidRPr="007C6A42">
        <w:rPr>
          <w:rFonts w:asciiTheme="majorBidi" w:hAnsiTheme="majorBidi" w:cstheme="majorBidi"/>
          <w:u w:val="single"/>
        </w:rPr>
        <w:t>ivres</w:t>
      </w:r>
      <w:r w:rsidRPr="007C6A42">
        <w:rPr>
          <w:rFonts w:asciiTheme="majorBidi" w:hAnsiTheme="majorBidi" w:cstheme="majorBidi"/>
        </w:rPr>
        <w:t xml:space="preserve">, alors qu’ils ne sont pas </w:t>
      </w:r>
      <w:r w:rsidRPr="007C6A42">
        <w:rPr>
          <w:rFonts w:asciiTheme="majorBidi" w:hAnsiTheme="majorBidi" w:cstheme="majorBidi"/>
          <w:u w:val="single"/>
        </w:rPr>
        <w:t>ivres</w:t>
      </w:r>
      <w:r w:rsidRPr="007C6A42">
        <w:rPr>
          <w:rFonts w:asciiTheme="majorBidi" w:hAnsiTheme="majorBidi" w:cstheme="majorBidi"/>
        </w:rPr>
        <w:t> » ; l’on sait bien qu’il n’a pas pu utiliser un synonyme car dès le début il s’est engagé à unifier les termes.</w:t>
      </w:r>
    </w:p>
    <w:p w14:paraId="32BF9F9D" w14:textId="77777777" w:rsidR="00A70B78" w:rsidRPr="007C6A42" w:rsidRDefault="00A70B78" w:rsidP="00A70B78">
      <w:pPr>
        <w:spacing w:line="360" w:lineRule="auto"/>
        <w:ind w:firstLine="708"/>
        <w:jc w:val="both"/>
        <w:rPr>
          <w:rFonts w:asciiTheme="majorBidi" w:hAnsiTheme="majorBidi" w:cstheme="majorBidi"/>
        </w:rPr>
      </w:pPr>
    </w:p>
    <w:p w14:paraId="7C5B1DA7"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Quant à la polysémie dans les quatre traductions, les choix des quatre traducteurs sont très proches, ce qui diminue fortement la richesse polysémique. Nous remarquons qu’en général les choix pris par les premiers traducteurs ont fortement influencé les successeurs et fixé leurs choix. Par exemple, la traduction quasi identique du verset 61 chez les quatre traducteurs était en fait à l’origine le choix de Blachère (1949) qui était à son tour une reformulation de celle de Du Ryer (1647). En d’autres termes, la traduction du verset 61 par Blachère (</w:t>
      </w:r>
      <w:r w:rsidRPr="007C6A42">
        <w:rPr>
          <w:rFonts w:asciiTheme="majorBidi" w:hAnsiTheme="majorBidi" w:cstheme="majorBidi"/>
          <w:i/>
        </w:rPr>
        <w:t>Allah fait pénétrer la nuit dans le jour, qu’Il fait pénétrer le jour dans la nuit</w:t>
      </w:r>
      <w:r w:rsidRPr="007C6A42">
        <w:rPr>
          <w:rFonts w:asciiTheme="majorBidi" w:hAnsiTheme="majorBidi" w:cstheme="majorBidi"/>
        </w:rPr>
        <w:t>) a été repris plus tard (avec très légères modifications) par Hamidullah (1959), Masson (1967), le Complexe de Médine (2001), Abdelaziz (2002), Aldeeb (2008) et Hafiane (2010).</w:t>
      </w:r>
    </w:p>
    <w:p w14:paraId="4E8D84C8" w14:textId="77777777" w:rsidR="00A70B78" w:rsidRPr="007C6A42" w:rsidRDefault="00A70B78" w:rsidP="00A70B78">
      <w:pPr>
        <w:spacing w:line="360" w:lineRule="auto"/>
        <w:ind w:firstLine="708"/>
        <w:jc w:val="both"/>
        <w:rPr>
          <w:rFonts w:asciiTheme="majorBidi" w:hAnsiTheme="majorBidi" w:cstheme="majorBidi"/>
        </w:rPr>
      </w:pPr>
    </w:p>
    <w:p w14:paraId="262BC2E7"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 xml:space="preserve">À vrai dire, Du Ryer (1647) a bien influé sur les traducteurs qui viennent après et qui ne font, semble-t-il, qu’améliorer sa traduction. En guise d’exemple, la phrase </w:t>
      </w:r>
      <w:r w:rsidRPr="007C6A42">
        <w:rPr>
          <w:rFonts w:asciiTheme="majorBidi" w:hAnsiTheme="majorBidi" w:cstheme="majorBidi"/>
          <w:rtl/>
        </w:rPr>
        <w:t>ألم ترَ أن الله سخَّرَ لكم ما في الأرض</w:t>
      </w:r>
      <w:r w:rsidRPr="007C6A42">
        <w:rPr>
          <w:rFonts w:asciiTheme="majorBidi" w:hAnsiTheme="majorBidi" w:cstheme="majorBidi"/>
        </w:rPr>
        <w:t xml:space="preserve"> (v. 65) a été traduit par Du Ryer de cette manière : « ne voids-tu pas que Dieu vous a ʃouʃmis tous les animaux qui ʃont ʃur la terre ? » Blachère l’a légèrement modifiée : « N’as-tu pas vu qu’Allah vous a soumis ce qui est sur la terre ». Le Complexe de Médine (2001) a pris cette dernière : « </w:t>
      </w:r>
      <w:r w:rsidRPr="007C6A42">
        <w:rPr>
          <w:rFonts w:asciiTheme="majorBidi" w:eastAsia="Times New Roman" w:hAnsiTheme="majorBidi" w:cstheme="majorBidi"/>
          <w:lang w:eastAsia="fr-CH"/>
        </w:rPr>
        <w:t xml:space="preserve">N’as-tu pas vu qu’Allah vous a soumis tout ce qui est sur la terre ». Hafiane </w:t>
      </w:r>
      <w:r w:rsidRPr="007C6A42">
        <w:rPr>
          <w:rFonts w:asciiTheme="majorBidi" w:eastAsia="Times New Roman" w:hAnsiTheme="majorBidi" w:cstheme="majorBidi"/>
          <w:lang w:eastAsia="fr-CH"/>
        </w:rPr>
        <w:lastRenderedPageBreak/>
        <w:t>(2010) l’a prise en gardant le temps du verbe proposé par Du Ryer : « </w:t>
      </w:r>
      <w:r w:rsidRPr="007C6A42">
        <w:rPr>
          <w:rFonts w:asciiTheme="majorBidi" w:hAnsiTheme="majorBidi" w:cstheme="majorBidi"/>
        </w:rPr>
        <w:t>Ne vois-tu pas que Dieu vous a soumis tout ce qui est sur la terre ». Guessous qui a proposé une traduction rimée a modifié légèrement la même traduction : « N’as-tu point vu qu’</w:t>
      </w:r>
      <w:r w:rsidRPr="007C6A42">
        <w:rPr>
          <w:rFonts w:asciiTheme="majorBidi" w:hAnsiTheme="majorBidi" w:cstheme="majorBidi"/>
          <w:b/>
        </w:rPr>
        <w:t>ALLAH</w:t>
      </w:r>
      <w:r w:rsidRPr="007C6A42">
        <w:rPr>
          <w:rFonts w:asciiTheme="majorBidi" w:hAnsiTheme="majorBidi" w:cstheme="majorBidi"/>
        </w:rPr>
        <w:t xml:space="preserve"> vous a soumis le contenu de la terre ». Et Ghédira de proposer de remplacer le « animaux » dans la traduction de Du Ryer par les « bêtes de somme » : « N’as-tu pas que vu que Dieu vous a soumis les bêtes de somme ». Et Grosjean de proposer une petite modification : « Ne vois-tu pas que Dieu vous a soumis les êtres de la terre », et ainsi de suite.</w:t>
      </w:r>
    </w:p>
    <w:p w14:paraId="77E0CE03" w14:textId="77777777" w:rsidR="00A70B78" w:rsidRPr="007C6A42" w:rsidRDefault="00A70B78" w:rsidP="00A70B78">
      <w:pPr>
        <w:spacing w:line="360" w:lineRule="auto"/>
        <w:ind w:firstLine="708"/>
        <w:jc w:val="both"/>
        <w:rPr>
          <w:rFonts w:asciiTheme="majorBidi" w:hAnsiTheme="majorBidi" w:cstheme="majorBidi"/>
        </w:rPr>
      </w:pPr>
    </w:p>
    <w:p w14:paraId="064C4ED7"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Nonobstant, ces quatre traductions littérales proches (mais celle d’Abdelaziz l’est beaucoup moins) ont montré parfois plusieurs aspects sémantiques de certains mots ordinaires qui ne sont pas forcément des termes techniques, des mots hapax ou des mots équivoques.</w:t>
      </w:r>
    </w:p>
    <w:p w14:paraId="38794A6C" w14:textId="77777777" w:rsidR="00A70B78" w:rsidRPr="007C6A42" w:rsidRDefault="00A70B78" w:rsidP="00A70B78">
      <w:pPr>
        <w:spacing w:line="360" w:lineRule="auto"/>
        <w:ind w:firstLine="708"/>
        <w:jc w:val="both"/>
        <w:rPr>
          <w:rFonts w:asciiTheme="majorBidi" w:hAnsiTheme="majorBidi" w:cstheme="majorBidi"/>
        </w:rPr>
      </w:pPr>
    </w:p>
    <w:p w14:paraId="2028F38B"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Donnons les deux exemples suivants :</w:t>
      </w:r>
    </w:p>
    <w:p w14:paraId="5E13DAF5" w14:textId="77777777" w:rsidR="00A70B78" w:rsidRPr="007C6A42" w:rsidRDefault="00A70B78" w:rsidP="00A70B78">
      <w:pPr>
        <w:spacing w:line="360" w:lineRule="auto"/>
        <w:ind w:firstLine="708"/>
        <w:jc w:val="both"/>
        <w:rPr>
          <w:rFonts w:asciiTheme="majorBidi" w:hAnsiTheme="majorBidi" w:cstheme="majorBidi"/>
        </w:rPr>
      </w:pPr>
    </w:p>
    <w:tbl>
      <w:tblPr>
        <w:tblStyle w:val="Grilledutableau"/>
        <w:tblW w:w="9257" w:type="dxa"/>
        <w:tblInd w:w="-568" w:type="dxa"/>
        <w:tblLook w:val="04A0" w:firstRow="1" w:lastRow="0" w:firstColumn="1" w:lastColumn="0" w:noHBand="0" w:noVBand="1"/>
      </w:tblPr>
      <w:tblGrid>
        <w:gridCol w:w="1461"/>
        <w:gridCol w:w="1828"/>
        <w:gridCol w:w="2566"/>
        <w:gridCol w:w="1701"/>
        <w:gridCol w:w="1701"/>
      </w:tblGrid>
      <w:tr w:rsidR="00A70B78" w:rsidRPr="007C6A42" w14:paraId="54448725" w14:textId="77777777" w:rsidTr="00AF4FC9">
        <w:tc>
          <w:tcPr>
            <w:tcW w:w="1461" w:type="dxa"/>
          </w:tcPr>
          <w:p w14:paraId="3AC3E370" w14:textId="77777777" w:rsidR="00A70B78" w:rsidRPr="007C6A42" w:rsidRDefault="00A70B78" w:rsidP="00AF4FC9">
            <w:pPr>
              <w:spacing w:line="360" w:lineRule="auto"/>
              <w:jc w:val="right"/>
              <w:rPr>
                <w:rFonts w:asciiTheme="majorBidi" w:hAnsiTheme="majorBidi" w:cstheme="majorBidi"/>
              </w:rPr>
            </w:pPr>
          </w:p>
        </w:tc>
        <w:tc>
          <w:tcPr>
            <w:tcW w:w="1828" w:type="dxa"/>
          </w:tcPr>
          <w:p w14:paraId="07F911E3" w14:textId="77777777" w:rsidR="00A70B78" w:rsidRPr="007C6A42" w:rsidRDefault="00A70B78" w:rsidP="00AF4FC9">
            <w:pPr>
              <w:spacing w:line="360" w:lineRule="auto"/>
              <w:jc w:val="right"/>
              <w:rPr>
                <w:rFonts w:asciiTheme="majorBidi" w:hAnsiTheme="majorBidi" w:cstheme="majorBidi"/>
                <w:bCs/>
              </w:rPr>
            </w:pPr>
            <w:r w:rsidRPr="007C6A42">
              <w:rPr>
                <w:rFonts w:asciiTheme="majorBidi" w:hAnsiTheme="majorBidi" w:cstheme="majorBidi"/>
                <w:bCs/>
              </w:rPr>
              <w:t>Hamidullah (1959)</w:t>
            </w:r>
          </w:p>
        </w:tc>
        <w:tc>
          <w:tcPr>
            <w:tcW w:w="2566" w:type="dxa"/>
          </w:tcPr>
          <w:p w14:paraId="792FEEE7" w14:textId="77777777" w:rsidR="00A70B78" w:rsidRPr="007C6A42" w:rsidRDefault="00A70B78" w:rsidP="00AF4FC9">
            <w:pPr>
              <w:spacing w:line="360" w:lineRule="auto"/>
              <w:jc w:val="both"/>
              <w:rPr>
                <w:rFonts w:asciiTheme="majorBidi" w:hAnsiTheme="majorBidi" w:cstheme="majorBidi"/>
                <w:bCs/>
              </w:rPr>
            </w:pPr>
            <w:r w:rsidRPr="007C6A42">
              <w:rPr>
                <w:rFonts w:asciiTheme="majorBidi" w:hAnsiTheme="majorBidi" w:cstheme="majorBidi"/>
                <w:bCs/>
              </w:rPr>
              <w:t>Complexe de Médine (2001)</w:t>
            </w:r>
          </w:p>
        </w:tc>
        <w:tc>
          <w:tcPr>
            <w:tcW w:w="1701" w:type="dxa"/>
          </w:tcPr>
          <w:p w14:paraId="3EED1206" w14:textId="77777777" w:rsidR="00A70B78" w:rsidRPr="007C6A42" w:rsidRDefault="00A70B78" w:rsidP="00AF4FC9">
            <w:pPr>
              <w:spacing w:line="360" w:lineRule="auto"/>
              <w:jc w:val="both"/>
              <w:rPr>
                <w:rFonts w:asciiTheme="majorBidi" w:hAnsiTheme="majorBidi" w:cstheme="majorBidi"/>
                <w:bCs/>
              </w:rPr>
            </w:pPr>
            <w:r w:rsidRPr="007C6A42">
              <w:rPr>
                <w:rFonts w:asciiTheme="majorBidi" w:hAnsiTheme="majorBidi" w:cstheme="majorBidi"/>
                <w:bCs/>
              </w:rPr>
              <w:t>Abdelaziz (2002)</w:t>
            </w:r>
          </w:p>
        </w:tc>
        <w:tc>
          <w:tcPr>
            <w:tcW w:w="1701" w:type="dxa"/>
          </w:tcPr>
          <w:p w14:paraId="27D93EA2" w14:textId="77777777" w:rsidR="00A70B78" w:rsidRPr="007C6A42" w:rsidRDefault="00A70B78" w:rsidP="00AF4FC9">
            <w:pPr>
              <w:spacing w:line="360" w:lineRule="auto"/>
              <w:jc w:val="both"/>
              <w:rPr>
                <w:rFonts w:asciiTheme="majorBidi" w:hAnsiTheme="majorBidi" w:cstheme="majorBidi"/>
                <w:bCs/>
              </w:rPr>
            </w:pPr>
            <w:r w:rsidRPr="007C6A42">
              <w:rPr>
                <w:rFonts w:asciiTheme="majorBidi" w:hAnsiTheme="majorBidi" w:cstheme="majorBidi"/>
                <w:bCs/>
              </w:rPr>
              <w:t>Aldeeb (2008)</w:t>
            </w:r>
          </w:p>
        </w:tc>
      </w:tr>
      <w:tr w:rsidR="00A70B78" w:rsidRPr="007C6A42" w14:paraId="6ACC1E94" w14:textId="77777777" w:rsidTr="00AF4FC9">
        <w:tc>
          <w:tcPr>
            <w:tcW w:w="1461" w:type="dxa"/>
          </w:tcPr>
          <w:p w14:paraId="64017C6B"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يُعظِّم حُرُماتِ الله (٣٠)</w:t>
            </w:r>
          </w:p>
        </w:tc>
        <w:tc>
          <w:tcPr>
            <w:tcW w:w="1828" w:type="dxa"/>
          </w:tcPr>
          <w:p w14:paraId="280EF6E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exalte les interdits de Dieu</w:t>
            </w:r>
          </w:p>
        </w:tc>
        <w:tc>
          <w:tcPr>
            <w:tcW w:w="2566" w:type="dxa"/>
          </w:tcPr>
          <w:p w14:paraId="6121DFB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prend en haute considération les limites sacrées d’Allah</w:t>
            </w:r>
          </w:p>
        </w:tc>
        <w:tc>
          <w:tcPr>
            <w:tcW w:w="1701" w:type="dxa"/>
          </w:tcPr>
          <w:p w14:paraId="6B8F6DD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magnifie les choses sacrées d’Allah</w:t>
            </w:r>
          </w:p>
        </w:tc>
        <w:tc>
          <w:tcPr>
            <w:tcW w:w="1701" w:type="dxa"/>
          </w:tcPr>
          <w:p w14:paraId="78763B4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élève les interdits de Dieu</w:t>
            </w:r>
          </w:p>
        </w:tc>
      </w:tr>
      <w:tr w:rsidR="00A70B78" w:rsidRPr="007C6A42" w14:paraId="4862B596" w14:textId="77777777" w:rsidTr="00AF4FC9">
        <w:trPr>
          <w:trHeight w:val="208"/>
        </w:trPr>
        <w:tc>
          <w:tcPr>
            <w:tcW w:w="1461" w:type="dxa"/>
          </w:tcPr>
          <w:p w14:paraId="33BDF83F"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المُلْك (٥٦)</w:t>
            </w:r>
          </w:p>
        </w:tc>
        <w:tc>
          <w:tcPr>
            <w:tcW w:w="1828" w:type="dxa"/>
          </w:tcPr>
          <w:p w14:paraId="19E952B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la royauté</w:t>
            </w:r>
          </w:p>
        </w:tc>
        <w:tc>
          <w:tcPr>
            <w:tcW w:w="2566" w:type="dxa"/>
          </w:tcPr>
          <w:p w14:paraId="271626E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la souveraineté </w:t>
            </w:r>
          </w:p>
        </w:tc>
        <w:tc>
          <w:tcPr>
            <w:tcW w:w="1701" w:type="dxa"/>
          </w:tcPr>
          <w:p w14:paraId="17DFDE5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le pouvoir</w:t>
            </w:r>
          </w:p>
        </w:tc>
        <w:tc>
          <w:tcPr>
            <w:tcW w:w="1701" w:type="dxa"/>
          </w:tcPr>
          <w:p w14:paraId="02606DD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le royaume</w:t>
            </w:r>
          </w:p>
        </w:tc>
      </w:tr>
    </w:tbl>
    <w:p w14:paraId="0DDD053A" w14:textId="77777777" w:rsidR="00A70B78" w:rsidRPr="007C6A42" w:rsidRDefault="00A70B78" w:rsidP="00A70B78">
      <w:pPr>
        <w:spacing w:line="360" w:lineRule="auto"/>
        <w:ind w:firstLine="708"/>
        <w:jc w:val="both"/>
        <w:rPr>
          <w:rFonts w:asciiTheme="majorBidi" w:hAnsiTheme="majorBidi" w:cstheme="majorBidi"/>
          <w:rtl/>
        </w:rPr>
      </w:pPr>
    </w:p>
    <w:p w14:paraId="731E425B"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hAnsiTheme="majorBidi" w:cstheme="majorBidi"/>
        </w:rPr>
        <w:t xml:space="preserve">Ici, chaque traduction a montré un aspect sémantique différent du terme ou de la phrase. Le verbe </w:t>
      </w:r>
      <w:r w:rsidRPr="007C6A42">
        <w:rPr>
          <w:rFonts w:asciiTheme="majorBidi" w:hAnsiTheme="majorBidi" w:cstheme="majorBidi"/>
          <w:i/>
          <w:iCs/>
        </w:rPr>
        <w:t>yu</w:t>
      </w:r>
      <w:r w:rsidRPr="007C6A42">
        <w:rPr>
          <w:rFonts w:asciiTheme="majorBidi" w:eastAsia="Times New Roman" w:hAnsiTheme="majorBidi" w:cstheme="majorBidi"/>
          <w:i/>
          <w:iCs/>
        </w:rPr>
        <w:t>ʿaẓẓim</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il glorifie</w:t>
      </w:r>
      <w:r w:rsidRPr="007C6A42">
        <w:rPr>
          <w:rFonts w:asciiTheme="majorBidi" w:eastAsia="Times New Roman" w:hAnsiTheme="majorBidi" w:cstheme="majorBidi"/>
        </w:rPr>
        <w:t xml:space="preserve">] a pris les synonymes de : « exalter », « prendre en haute considération », « magnifier » et « élever ». Le mot </w:t>
      </w:r>
      <w:r w:rsidRPr="007C6A42">
        <w:rPr>
          <w:rFonts w:asciiTheme="majorBidi" w:eastAsia="Times New Roman" w:hAnsiTheme="majorBidi" w:cstheme="majorBidi"/>
          <w:i/>
          <w:iCs/>
        </w:rPr>
        <w:t>mulk</w:t>
      </w:r>
      <w:r w:rsidRPr="007C6A42">
        <w:rPr>
          <w:rFonts w:asciiTheme="majorBidi" w:eastAsia="Times New Roman" w:hAnsiTheme="majorBidi" w:cstheme="majorBidi"/>
        </w:rPr>
        <w:t xml:space="preserve"> a pris les significations de : « royauté », « souveraineté », « pouvoir » et « royaume ». Il nous semble ici qu’il n’est pas tout à fait juste de privilégier une traduction sur une autre et que ces traductions se complètent.</w:t>
      </w:r>
      <w:r w:rsidRPr="007C6A42">
        <w:rPr>
          <w:rStyle w:val="Appelnotedebasdep"/>
          <w:rFonts w:asciiTheme="majorBidi" w:eastAsia="Times New Roman" w:hAnsiTheme="majorBidi" w:cstheme="majorBidi"/>
        </w:rPr>
        <w:footnoteReference w:id="573"/>
      </w:r>
    </w:p>
    <w:p w14:paraId="6AE4976A" w14:textId="77777777" w:rsidR="00A70B78" w:rsidRPr="007C6A42" w:rsidRDefault="00A70B78" w:rsidP="00A70B78">
      <w:pPr>
        <w:spacing w:line="360" w:lineRule="auto"/>
        <w:ind w:firstLine="708"/>
        <w:jc w:val="both"/>
        <w:rPr>
          <w:rFonts w:asciiTheme="majorBidi" w:hAnsiTheme="majorBidi" w:cstheme="majorBidi"/>
        </w:rPr>
      </w:pPr>
    </w:p>
    <w:p w14:paraId="5E91AF2C"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hAnsiTheme="majorBidi" w:cstheme="majorBidi"/>
        </w:rPr>
        <w:lastRenderedPageBreak/>
        <w:t xml:space="preserve">Une autre chose importante, c’est que chaque traduction, quoique littéraliste et proche, a montré un aspect exégétique, liturgique, cultuel, théologique ou historique différent. En d’autres termes, chaque traduction a un </w:t>
      </w:r>
      <w:r w:rsidRPr="007C6A42">
        <w:rPr>
          <w:rFonts w:asciiTheme="majorBidi" w:hAnsiTheme="majorBidi" w:cstheme="majorBidi"/>
          <w:i/>
        </w:rPr>
        <w:t>skopos</w:t>
      </w:r>
      <w:r w:rsidRPr="007C6A42">
        <w:rPr>
          <w:rFonts w:asciiTheme="majorBidi" w:hAnsiTheme="majorBidi" w:cstheme="majorBidi"/>
        </w:rPr>
        <w:t xml:space="preserve"> (objectif) propre à elle. Par exemple, le skopos du Complexe de Médine est le musulman qui n’a pas accès au texte arabe du Coran, c’est la raison pour laquelle il indique en note les versets où le musulman doit se prosterner. Par contre, Aldeeb a négligé cet aspect cultuel qui n’intéresse apparemment qu’un musulman pratiquant, voire il a négligé le contexte de certains versets ainsi que les exégèses, mais il a ajouté des renvois de bas de pages vers les textes juifs et chrétiens et parfois des autres traductions, en plus de l’ordre chronologique des sourates. Dans ce sens, Aldeeb a fait exactement ce qu’a fait </w:t>
      </w:r>
      <w:r w:rsidRPr="007C6A42">
        <w:rPr>
          <w:rFonts w:asciiTheme="majorBidi" w:eastAsia="Times New Roman" w:hAnsiTheme="majorBidi" w:cstheme="majorBidi"/>
          <w:lang w:bidi="ar-AE"/>
        </w:rPr>
        <w:t xml:space="preserve">dans </w:t>
      </w:r>
      <w:r w:rsidRPr="007C6A42">
        <w:rPr>
          <w:rFonts w:asciiTheme="majorBidi" w:eastAsia="Calibri" w:hAnsiTheme="majorBidi" w:cstheme="majorBidi"/>
          <w:i/>
          <w:iCs/>
        </w:rPr>
        <w:t>Le Prêtre et le Prophète</w:t>
      </w:r>
      <w:r w:rsidRPr="007C6A42">
        <w:rPr>
          <w:rStyle w:val="Appelnotedebasdep"/>
          <w:rFonts w:asciiTheme="majorBidi" w:eastAsia="Calibri" w:hAnsiTheme="majorBidi" w:cstheme="majorBidi"/>
        </w:rPr>
        <w:footnoteReference w:id="574"/>
      </w:r>
      <w:r w:rsidRPr="007C6A42">
        <w:rPr>
          <w:rFonts w:asciiTheme="majorBidi" w:eastAsia="Calibri" w:hAnsiTheme="majorBidi" w:cstheme="majorBidi"/>
        </w:rPr>
        <w:t xml:space="preserve"> </w:t>
      </w:r>
      <w:r w:rsidRPr="007C6A42">
        <w:rPr>
          <w:rFonts w:asciiTheme="majorBidi" w:hAnsiTheme="majorBidi" w:cstheme="majorBidi"/>
        </w:rPr>
        <w:t xml:space="preserve">le prêtre libanais Joseph </w:t>
      </w:r>
      <w:r w:rsidRPr="007C6A42">
        <w:rPr>
          <w:rFonts w:asciiTheme="majorBidi" w:eastAsia="Times New Roman" w:hAnsiTheme="majorBidi" w:cstheme="majorBidi"/>
          <w:lang w:bidi="ar-AE"/>
        </w:rPr>
        <w:t>Azzi</w:t>
      </w:r>
      <w:r w:rsidRPr="007C6A42">
        <w:rPr>
          <w:rFonts w:asciiTheme="majorBidi" w:hAnsiTheme="majorBidi" w:cstheme="majorBidi"/>
        </w:rPr>
        <w:t xml:space="preserve"> </w:t>
      </w:r>
      <w:r w:rsidRPr="007C6A42">
        <w:rPr>
          <w:rFonts w:asciiTheme="majorBidi" w:eastAsia="Times New Roman" w:hAnsiTheme="majorBidi" w:cstheme="majorBidi"/>
          <w:lang w:bidi="ar-AE"/>
        </w:rPr>
        <w:t xml:space="preserve">[Abū Mūsā Al-Ḥarīrī] </w:t>
      </w:r>
      <w:r w:rsidRPr="007C6A42">
        <w:rPr>
          <w:rFonts w:asciiTheme="majorBidi" w:eastAsia="Calibri" w:hAnsiTheme="majorBidi" w:cstheme="majorBidi"/>
        </w:rPr>
        <w:t>qui a cherché les origines du Coran dans le christianisme et le judaïsme.</w:t>
      </w:r>
      <w:r w:rsidRPr="007C6A42">
        <w:rPr>
          <w:rFonts w:asciiTheme="majorBidi" w:hAnsiTheme="majorBidi" w:cstheme="majorBidi"/>
        </w:rPr>
        <w:t xml:space="preserve"> Qui plus est, Aldeeb a exposé de manière quasi exhaustive les différentes lectures (</w:t>
      </w:r>
      <w:r w:rsidRPr="007C6A42">
        <w:rPr>
          <w:rFonts w:asciiTheme="majorBidi" w:hAnsiTheme="majorBidi" w:cstheme="majorBidi"/>
          <w:i/>
          <w:iCs/>
        </w:rPr>
        <w:t>qir</w:t>
      </w:r>
      <w:r w:rsidRPr="007C6A42">
        <w:rPr>
          <w:rFonts w:asciiTheme="majorBidi" w:eastAsia="Times New Roman" w:hAnsiTheme="majorBidi" w:cstheme="majorBidi"/>
          <w:i/>
          <w:iCs/>
        </w:rPr>
        <w:t>āʾāt</w:t>
      </w:r>
      <w:r w:rsidRPr="007C6A42">
        <w:rPr>
          <w:rFonts w:asciiTheme="majorBidi" w:eastAsia="Times New Roman" w:hAnsiTheme="majorBidi" w:cstheme="majorBidi"/>
        </w:rPr>
        <w:t>). Il a par exemple cité presque toutes les différentes lectures du mot « </w:t>
      </w:r>
      <w:r w:rsidRPr="007C6A42">
        <w:rPr>
          <w:rFonts w:asciiTheme="majorBidi" w:eastAsia="Times New Roman" w:hAnsiTheme="majorBidi" w:cstheme="majorBidi"/>
          <w:i/>
          <w:iCs/>
        </w:rPr>
        <w:t>ṣalawāt</w:t>
      </w:r>
      <w:r w:rsidRPr="007C6A42">
        <w:rPr>
          <w:rFonts w:asciiTheme="majorBidi" w:eastAsia="Times New Roman" w:hAnsiTheme="majorBidi" w:cstheme="majorBidi"/>
        </w:rPr>
        <w:t xml:space="preserve"> » [lieux de prière ?] (v. 40) : </w:t>
      </w:r>
      <w:r w:rsidRPr="007C6A42">
        <w:rPr>
          <w:rFonts w:asciiTheme="majorBidi" w:eastAsia="Times New Roman" w:hAnsiTheme="majorBidi" w:cstheme="majorBidi"/>
          <w:i/>
          <w:iCs/>
          <w:shd w:val="clear" w:color="auto" w:fill="FFFFFF"/>
          <w:lang w:bidi="ar-KW"/>
        </w:rPr>
        <w:t>ṣuluwāt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ṣilwāt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ṣulawāt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ṣalwāt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ṣulūt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ṣulūta</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ṣuluwath</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ṣulūthā</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ṣulawāth</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ṣilawāth</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ṣulūb</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ṣalūt</w:t>
      </w:r>
      <w:r w:rsidRPr="007C6A42">
        <w:rPr>
          <w:rFonts w:asciiTheme="majorBidi" w:eastAsia="Times New Roman" w:hAnsiTheme="majorBidi" w:cstheme="majorBidi"/>
          <w:shd w:val="clear" w:color="auto" w:fill="FFFFFF"/>
          <w:lang w:bidi="ar-KW"/>
        </w:rPr>
        <w:t xml:space="preserve">, </w:t>
      </w:r>
      <w:r w:rsidRPr="007C6A42">
        <w:rPr>
          <w:rFonts w:asciiTheme="majorBidi" w:eastAsia="Times New Roman" w:hAnsiTheme="majorBidi" w:cstheme="majorBidi"/>
          <w:i/>
          <w:iCs/>
          <w:shd w:val="clear" w:color="auto" w:fill="FFFFFF"/>
          <w:lang w:bidi="ar-KW"/>
        </w:rPr>
        <w:t>ṣulūlā</w:t>
      </w:r>
      <w:r w:rsidRPr="007C6A42">
        <w:rPr>
          <w:rFonts w:asciiTheme="majorBidi" w:eastAsia="Times New Roman" w:hAnsiTheme="majorBidi" w:cstheme="majorBidi"/>
          <w:shd w:val="clear" w:color="auto" w:fill="FFFFFF"/>
          <w:lang w:bidi="ar-KW"/>
        </w:rPr>
        <w:t>.</w:t>
      </w:r>
      <w:r w:rsidRPr="007C6A42">
        <w:rPr>
          <w:rFonts w:asciiTheme="majorBidi" w:eastAsia="Times New Roman" w:hAnsiTheme="majorBidi" w:cstheme="majorBidi"/>
        </w:rPr>
        <w:t xml:space="preserve"> Il a fait de même avec des mots tels que : </w:t>
      </w:r>
      <w:r w:rsidRPr="007C6A42">
        <w:rPr>
          <w:rFonts w:asciiTheme="majorBidi" w:eastAsia="Times New Roman" w:hAnsiTheme="majorBidi" w:cstheme="majorBidi"/>
          <w:i/>
          <w:iCs/>
        </w:rPr>
        <w:t>sukārā</w:t>
      </w:r>
      <w:r w:rsidRPr="007C6A42">
        <w:rPr>
          <w:rFonts w:asciiTheme="majorBidi" w:eastAsia="Times New Roman" w:hAnsiTheme="majorBidi" w:cstheme="majorBidi"/>
        </w:rPr>
        <w:t xml:space="preserve"> [ivres] (v. 2), </w:t>
      </w:r>
      <w:r w:rsidRPr="007C6A42">
        <w:rPr>
          <w:rFonts w:asciiTheme="majorBidi" w:eastAsia="Times New Roman" w:hAnsiTheme="majorBidi" w:cstheme="majorBidi"/>
          <w:i/>
          <w:iCs/>
        </w:rPr>
        <w:t>nuqirr</w:t>
      </w:r>
      <w:r w:rsidRPr="007C6A42">
        <w:rPr>
          <w:rFonts w:asciiTheme="majorBidi" w:eastAsia="Times New Roman" w:hAnsiTheme="majorBidi" w:cstheme="majorBidi"/>
          <w:i/>
          <w:iCs/>
          <w:vertAlign w:val="superscript"/>
        </w:rPr>
        <w:t>u</w:t>
      </w:r>
      <w:r w:rsidRPr="007C6A42">
        <w:rPr>
          <w:rFonts w:asciiTheme="majorBidi" w:eastAsia="Times New Roman" w:hAnsiTheme="majorBidi" w:cstheme="majorBidi"/>
        </w:rPr>
        <w:t xml:space="preserve"> [nous fixons] &amp; </w:t>
      </w:r>
      <w:r w:rsidRPr="007C6A42">
        <w:rPr>
          <w:rFonts w:asciiTheme="majorBidi" w:eastAsia="Times New Roman" w:hAnsiTheme="majorBidi" w:cstheme="majorBidi"/>
          <w:i/>
          <w:iCs/>
        </w:rPr>
        <w:t>nukhriju-kum</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Nous vous faisons sortir</w:t>
      </w:r>
      <w:r w:rsidRPr="007C6A42">
        <w:rPr>
          <w:rFonts w:asciiTheme="majorBidi" w:eastAsia="Times New Roman" w:hAnsiTheme="majorBidi" w:cstheme="majorBidi"/>
        </w:rPr>
        <w:t xml:space="preserve">] (v. 5), </w:t>
      </w:r>
      <w:r w:rsidRPr="007C6A42">
        <w:rPr>
          <w:rFonts w:asciiTheme="majorBidi" w:eastAsia="Times New Roman" w:hAnsiTheme="majorBidi" w:cstheme="majorBidi"/>
          <w:i/>
          <w:iCs/>
        </w:rPr>
        <w:t>luʾluʾ</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perles</w:t>
      </w:r>
      <w:r w:rsidRPr="007C6A42">
        <w:rPr>
          <w:rFonts w:asciiTheme="majorBidi" w:eastAsia="Times New Roman" w:hAnsiTheme="majorBidi" w:cstheme="majorBidi"/>
        </w:rPr>
        <w:t xml:space="preserve">] (v. 23), </w:t>
      </w:r>
      <w:r w:rsidRPr="007C6A42">
        <w:rPr>
          <w:rFonts w:asciiTheme="majorBidi" w:eastAsia="Times New Roman" w:hAnsiTheme="majorBidi" w:cstheme="majorBidi"/>
          <w:i/>
          <w:iCs/>
        </w:rPr>
        <w:t>fa-takhṭafu-hu</w:t>
      </w:r>
      <w:r w:rsidRPr="007C6A42">
        <w:rPr>
          <w:rFonts w:asciiTheme="majorBidi" w:eastAsia="Times New Roman" w:hAnsiTheme="majorBidi" w:cstheme="majorBidi"/>
        </w:rPr>
        <w:t xml:space="preserve"> [alors il </w:t>
      </w:r>
      <w:r w:rsidRPr="007C6A42">
        <w:rPr>
          <w:rFonts w:asciiTheme="majorBidi" w:eastAsia="Calibri" w:hAnsiTheme="majorBidi" w:cstheme="majorBidi"/>
          <w:lang w:bidi="ar-AE"/>
        </w:rPr>
        <w:t>le happe</w:t>
      </w:r>
      <w:r w:rsidRPr="007C6A42">
        <w:rPr>
          <w:rFonts w:asciiTheme="majorBidi" w:eastAsia="Times New Roman" w:hAnsiTheme="majorBidi" w:cstheme="majorBidi"/>
        </w:rPr>
        <w:t xml:space="preserve">] (v. 31), </w:t>
      </w:r>
      <w:r w:rsidRPr="007C6A42">
        <w:rPr>
          <w:rFonts w:asciiTheme="majorBidi" w:eastAsia="Times New Roman" w:hAnsiTheme="majorBidi" w:cstheme="majorBidi"/>
          <w:i/>
          <w:iCs/>
        </w:rPr>
        <w:t>ṣawāffa</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en rangs</w:t>
      </w:r>
      <w:r w:rsidRPr="007C6A42">
        <w:rPr>
          <w:rFonts w:asciiTheme="majorBidi" w:eastAsia="Times New Roman" w:hAnsiTheme="majorBidi" w:cstheme="majorBidi"/>
        </w:rPr>
        <w:t xml:space="preserve">] (v. 36), </w:t>
      </w:r>
      <w:r w:rsidRPr="007C6A42">
        <w:rPr>
          <w:rFonts w:asciiTheme="majorBidi" w:eastAsia="Times New Roman" w:hAnsiTheme="majorBidi" w:cstheme="majorBidi"/>
          <w:i/>
          <w:iCs/>
        </w:rPr>
        <w:t>wa-kaʾayyin</w:t>
      </w:r>
      <w:r w:rsidRPr="007C6A42">
        <w:rPr>
          <w:rFonts w:asciiTheme="majorBidi" w:eastAsia="Times New Roman" w:hAnsiTheme="majorBidi" w:cstheme="majorBidi"/>
        </w:rPr>
        <w:t xml:space="preserve"> [</w:t>
      </w:r>
      <w:r w:rsidRPr="007C6A42">
        <w:rPr>
          <w:rFonts w:asciiTheme="majorBidi" w:eastAsia="Calibri" w:hAnsiTheme="majorBidi" w:cstheme="majorBidi"/>
          <w:lang w:bidi="ar-AE"/>
        </w:rPr>
        <w:t>À combien</w:t>
      </w:r>
      <w:r w:rsidRPr="007C6A42">
        <w:rPr>
          <w:rFonts w:asciiTheme="majorBidi" w:eastAsia="Times New Roman" w:hAnsiTheme="majorBidi" w:cstheme="majorBidi"/>
        </w:rPr>
        <w:t xml:space="preserve">] (v. 48), etc. </w:t>
      </w:r>
    </w:p>
    <w:p w14:paraId="15FA19F5"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36C27FDB" w14:textId="77777777" w:rsidR="00A70B78" w:rsidRPr="007C6A42" w:rsidRDefault="00A70B78" w:rsidP="00A70B78">
      <w:pPr>
        <w:spacing w:line="360" w:lineRule="auto"/>
        <w:ind w:firstLine="708"/>
        <w:jc w:val="both"/>
        <w:rPr>
          <w:rFonts w:asciiTheme="majorBidi" w:eastAsia="Times New Roman" w:hAnsiTheme="majorBidi" w:cstheme="majorBidi"/>
        </w:rPr>
      </w:pPr>
      <w:r w:rsidRPr="007C6A42">
        <w:rPr>
          <w:rFonts w:asciiTheme="majorBidi" w:eastAsia="Times New Roman" w:hAnsiTheme="majorBidi" w:cstheme="majorBidi"/>
        </w:rPr>
        <w:t>Quant à Z. Abdelaziz, elle s’est engagée à prêcher l’inimitabilité linguistique et scientifique du Coran. En plus, elle a voulu nettoyer la traduction de toute influence non musulmane et donner une traduction très différente de celle de Jacques Berque afin de montrer la malveillance des traducteurs non musulmans. Pour ce faire, elle a essayé autant que faire se peut de garder la translittération des termes musulmans, voire des mots communs, ainsi que l’ordre des mots. En plus des majuscules au début des noms, elle a utilisé des majuscules au début des verbes et des adjectifs quand le sujet est Allah ; ex. : « Allah A Fait descendre du ciel une eau, […] Allah Est Affable, Omniconnaissant » (v. 63). Elle a choisi délibérément, semble-t-il, des mots et tournures différents de ceux utilisés par Berque. Abdelaziz semble « vindicative » vis-à-vis de Berque, et sa traduction est à juste titre anti-Berque.</w:t>
      </w:r>
    </w:p>
    <w:p w14:paraId="5EAFC2B5" w14:textId="77777777" w:rsidR="00A70B78" w:rsidRPr="007C6A42" w:rsidRDefault="00A70B78" w:rsidP="00A70B78">
      <w:pPr>
        <w:spacing w:line="360" w:lineRule="auto"/>
        <w:ind w:firstLine="708"/>
        <w:jc w:val="both"/>
        <w:rPr>
          <w:rFonts w:asciiTheme="majorBidi" w:hAnsiTheme="majorBidi" w:cstheme="majorBidi"/>
        </w:rPr>
      </w:pPr>
    </w:p>
    <w:p w14:paraId="17CD84E7"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lastRenderedPageBreak/>
        <w:t xml:space="preserve">Pour démontrer la prétendue inimitabilité scientifique du Coran, Abdelaziz a sauvegardé la translittération des mots communs en indiquant leur sens entre parenthèses, comme : « nutfah » (gouttelette), « ‘alaqah » (chose qui s’accroche), « mudǧah » (machûre), et en ajoutant des NDT explicatives de point de vue médical en précisant : « Cette réalité bien établie date des temps modernes ». Elle souligne déjà dans son Avant-propos (p. 11) : « De même, l’extrême minutie avec laquelle le </w:t>
      </w:r>
      <w:r w:rsidRPr="007C6A42">
        <w:rPr>
          <w:rFonts w:asciiTheme="majorBidi" w:hAnsiTheme="majorBidi" w:cstheme="majorBidi"/>
          <w:b/>
          <w:bCs/>
        </w:rPr>
        <w:t>Qur’</w:t>
      </w:r>
      <w:r w:rsidRPr="007C6A42">
        <w:rPr>
          <w:rFonts w:asciiTheme="majorBidi" w:eastAsia="Times New Roman" w:hAnsiTheme="majorBidi" w:cstheme="majorBidi"/>
          <w:b/>
          <w:bCs/>
        </w:rPr>
        <w:t xml:space="preserve">ān </w:t>
      </w:r>
      <w:r w:rsidRPr="007C6A42">
        <w:rPr>
          <w:rFonts w:asciiTheme="majorBidi" w:eastAsia="Times New Roman" w:hAnsiTheme="majorBidi" w:cstheme="majorBidi"/>
        </w:rPr>
        <w:t xml:space="preserve">décrit la formation de l’embryon, poussa le docteur Keith Moore, Professeur d’anatomie et d’embryologie à l’Université d’Ottawa, au Canada, à déclarer, lors du colloque tenu au Caire, en 1986, sur la </w:t>
      </w:r>
      <w:r w:rsidRPr="002A0322">
        <w:rPr>
          <w:rFonts w:asciiTheme="majorBidi" w:eastAsia="Times New Roman" w:hAnsiTheme="majorBidi" w:cstheme="majorBidi"/>
        </w:rPr>
        <w:t>persuasivité*</w:t>
      </w:r>
      <w:r w:rsidRPr="002A0322">
        <w:rPr>
          <w:rStyle w:val="Appelnotedebasdep"/>
          <w:rFonts w:asciiTheme="majorBidi" w:eastAsia="Times New Roman" w:hAnsiTheme="majorBidi" w:cstheme="majorBidi"/>
        </w:rPr>
        <w:footnoteReference w:id="575"/>
      </w:r>
      <w:r w:rsidRPr="002A0322">
        <w:rPr>
          <w:rFonts w:asciiTheme="majorBidi" w:eastAsia="Times New Roman" w:hAnsiTheme="majorBidi" w:cstheme="majorBidi"/>
        </w:rPr>
        <w:t xml:space="preserve"> [*inimitabilité] scientifique</w:t>
      </w:r>
      <w:r w:rsidRPr="007C6A42">
        <w:rPr>
          <w:rFonts w:asciiTheme="majorBidi" w:eastAsia="Times New Roman" w:hAnsiTheme="majorBidi" w:cstheme="majorBidi"/>
        </w:rPr>
        <w:t xml:space="preserve"> du </w:t>
      </w:r>
      <w:r w:rsidRPr="007C6A42">
        <w:rPr>
          <w:rFonts w:asciiTheme="majorBidi" w:hAnsiTheme="majorBidi" w:cstheme="majorBidi"/>
          <w:b/>
          <w:bCs/>
        </w:rPr>
        <w:t>Qur’</w:t>
      </w:r>
      <w:r w:rsidRPr="007C6A42">
        <w:rPr>
          <w:rFonts w:asciiTheme="majorBidi" w:eastAsia="Times New Roman" w:hAnsiTheme="majorBidi" w:cstheme="majorBidi"/>
          <w:b/>
          <w:bCs/>
        </w:rPr>
        <w:t>ān</w:t>
      </w:r>
      <w:r w:rsidRPr="007C6A42">
        <w:rPr>
          <w:rFonts w:asciiTheme="majorBidi" w:hAnsiTheme="majorBidi" w:cstheme="majorBidi"/>
        </w:rPr>
        <w:t xml:space="preserve">, qu’il n’y a en aucune langue de termes équivalents, en leur précision, à ceux qui décrivent la formation de l’embryon dans le </w:t>
      </w:r>
      <w:r w:rsidRPr="007C6A42">
        <w:rPr>
          <w:rFonts w:asciiTheme="majorBidi" w:hAnsiTheme="majorBidi" w:cstheme="majorBidi"/>
          <w:b/>
          <w:bCs/>
        </w:rPr>
        <w:t>Qur’</w:t>
      </w:r>
      <w:r w:rsidRPr="007C6A42">
        <w:rPr>
          <w:rFonts w:asciiTheme="majorBidi" w:eastAsia="Times New Roman" w:hAnsiTheme="majorBidi" w:cstheme="majorBidi"/>
          <w:b/>
          <w:bCs/>
        </w:rPr>
        <w:t>ān</w:t>
      </w:r>
      <w:r w:rsidRPr="007C6A42">
        <w:rPr>
          <w:rFonts w:asciiTheme="majorBidi" w:hAnsiTheme="majorBidi" w:cstheme="majorBidi"/>
        </w:rPr>
        <w:t xml:space="preserve">, et proposa de les introduire dans le langage médical ou </w:t>
      </w:r>
      <w:r w:rsidRPr="002A0322">
        <w:rPr>
          <w:rFonts w:asciiTheme="majorBidi" w:hAnsiTheme="majorBidi" w:cstheme="majorBidi"/>
        </w:rPr>
        <w:t>courant. »</w:t>
      </w:r>
      <w:r w:rsidRPr="002A0322">
        <w:rPr>
          <w:rStyle w:val="Appelnotedebasdep"/>
          <w:rFonts w:asciiTheme="majorBidi" w:hAnsiTheme="majorBidi" w:cstheme="majorBidi"/>
        </w:rPr>
        <w:footnoteReference w:id="576"/>
      </w:r>
      <w:r w:rsidRPr="002A0322">
        <w:rPr>
          <w:rFonts w:asciiTheme="majorBidi" w:hAnsiTheme="majorBidi" w:cstheme="majorBidi"/>
        </w:rPr>
        <w:t xml:space="preserve"> Nous voyons</w:t>
      </w:r>
      <w:r w:rsidRPr="007C6A42">
        <w:rPr>
          <w:rFonts w:asciiTheme="majorBidi" w:hAnsiTheme="majorBidi" w:cstheme="majorBidi"/>
        </w:rPr>
        <w:t xml:space="preserve"> clairement que ces croyances avaient une forte influence sur le choix des mots chez Abdelaziz. Mais si cette dernière respecte l’ordre des mots pour montrer le caractère sacré et inimitable du Coran, Aldeeb fait de même mais pour montrer son caractère profane et banal.</w:t>
      </w:r>
    </w:p>
    <w:p w14:paraId="42706204" w14:textId="77777777" w:rsidR="00A70B78" w:rsidRPr="007C6A42" w:rsidRDefault="00A70B78" w:rsidP="00A70B78">
      <w:pPr>
        <w:spacing w:line="360" w:lineRule="auto"/>
        <w:contextualSpacing/>
        <w:rPr>
          <w:rFonts w:asciiTheme="majorBidi" w:hAnsiTheme="majorBidi" w:cstheme="majorBidi"/>
          <w:rtl/>
        </w:rPr>
      </w:pPr>
    </w:p>
    <w:p w14:paraId="6C6D13F5" w14:textId="77777777" w:rsidR="00A70B78" w:rsidRPr="007C6A42" w:rsidRDefault="00A70B78" w:rsidP="00A70B78">
      <w:pPr>
        <w:spacing w:line="360" w:lineRule="auto"/>
        <w:contextualSpacing/>
        <w:rPr>
          <w:rFonts w:asciiTheme="majorBidi" w:hAnsiTheme="majorBidi" w:cstheme="majorBidi"/>
          <w:b/>
          <w:bCs/>
          <w:rtl/>
        </w:rPr>
      </w:pPr>
      <w:r w:rsidRPr="007C6A42">
        <w:rPr>
          <w:rFonts w:asciiTheme="majorBidi" w:hAnsiTheme="majorBidi" w:cstheme="majorBidi"/>
          <w:b/>
          <w:bCs/>
        </w:rPr>
        <w:t>Croisement des choix entre des traductions éloignées ou opposées :</w:t>
      </w:r>
    </w:p>
    <w:tbl>
      <w:tblPr>
        <w:tblStyle w:val="Grilledutableau"/>
        <w:tblW w:w="10207" w:type="dxa"/>
        <w:tblInd w:w="-710" w:type="dxa"/>
        <w:tblLook w:val="04A0" w:firstRow="1" w:lastRow="0" w:firstColumn="1" w:lastColumn="0" w:noHBand="0" w:noVBand="1"/>
      </w:tblPr>
      <w:tblGrid>
        <w:gridCol w:w="2510"/>
        <w:gridCol w:w="7697"/>
      </w:tblGrid>
      <w:tr w:rsidR="00A70B78" w:rsidRPr="007C6A42" w14:paraId="450CD7FB" w14:textId="77777777" w:rsidTr="00AF4FC9">
        <w:tc>
          <w:tcPr>
            <w:tcW w:w="2510" w:type="dxa"/>
          </w:tcPr>
          <w:p w14:paraId="2FA39C69" w14:textId="77777777" w:rsidR="00A70B78" w:rsidRPr="007C6A42" w:rsidRDefault="00A70B78" w:rsidP="00AF4FC9">
            <w:pPr>
              <w:widowControl w:val="0"/>
              <w:tabs>
                <w:tab w:val="left" w:pos="220"/>
                <w:tab w:val="left" w:pos="720"/>
              </w:tabs>
              <w:autoSpaceDE w:val="0"/>
              <w:autoSpaceDN w:val="0"/>
              <w:adjustRightInd w:val="0"/>
              <w:contextualSpacing/>
              <w:jc w:val="center"/>
              <w:rPr>
                <w:rFonts w:asciiTheme="majorBidi" w:hAnsiTheme="majorBidi" w:cstheme="majorBidi"/>
                <w:rtl/>
              </w:rPr>
            </w:pPr>
          </w:p>
        </w:tc>
        <w:tc>
          <w:tcPr>
            <w:tcW w:w="7697" w:type="dxa"/>
          </w:tcPr>
          <w:p w14:paraId="32B42C1B" w14:textId="77777777" w:rsidR="00A70B78" w:rsidRPr="007C6A42" w:rsidRDefault="00A70B78" w:rsidP="00AF4FC9">
            <w:pPr>
              <w:widowControl w:val="0"/>
              <w:tabs>
                <w:tab w:val="left" w:pos="220"/>
                <w:tab w:val="left" w:pos="720"/>
              </w:tabs>
              <w:autoSpaceDE w:val="0"/>
              <w:autoSpaceDN w:val="0"/>
              <w:adjustRightInd w:val="0"/>
              <w:contextualSpacing/>
              <w:jc w:val="center"/>
              <w:rPr>
                <w:rFonts w:asciiTheme="majorBidi" w:hAnsiTheme="majorBidi" w:cstheme="majorBidi"/>
                <w:rtl/>
              </w:rPr>
            </w:pPr>
            <w:r w:rsidRPr="007C6A42">
              <w:rPr>
                <w:rFonts w:asciiTheme="majorBidi" w:hAnsiTheme="majorBidi" w:cstheme="majorBidi"/>
                <w:rtl/>
              </w:rPr>
              <w:t xml:space="preserve">"ولا يَزالُ الذين كَفَروا في مِريةٍ مِنهُ حتى تأتيَهم الساعةُ بَغتةً أو يأتيَهم عذابُ يومٍ </w:t>
            </w:r>
            <w:r w:rsidRPr="007C6A42">
              <w:rPr>
                <w:rFonts w:asciiTheme="majorBidi" w:hAnsiTheme="majorBidi" w:cstheme="majorBidi"/>
                <w:b/>
                <w:bCs/>
                <w:rtl/>
              </w:rPr>
              <w:t>عقيم</w:t>
            </w:r>
            <w:r w:rsidRPr="007C6A42">
              <w:rPr>
                <w:rFonts w:asciiTheme="majorBidi" w:hAnsiTheme="majorBidi" w:cstheme="majorBidi"/>
                <w:rtl/>
              </w:rPr>
              <w:t>" (الحج، ٥٥)</w:t>
            </w:r>
          </w:p>
        </w:tc>
      </w:tr>
      <w:tr w:rsidR="00A70B78" w:rsidRPr="007C6A42" w14:paraId="5A14E9AF" w14:textId="77777777" w:rsidTr="00AF4FC9">
        <w:tc>
          <w:tcPr>
            <w:tcW w:w="2510" w:type="dxa"/>
          </w:tcPr>
          <w:p w14:paraId="18C69FAA" w14:textId="77777777" w:rsidR="00A70B78" w:rsidRPr="007C6A42" w:rsidRDefault="00A70B78" w:rsidP="00AF4FC9">
            <w:pPr>
              <w:widowControl w:val="0"/>
              <w:tabs>
                <w:tab w:val="left" w:pos="220"/>
                <w:tab w:val="left" w:pos="720"/>
              </w:tabs>
              <w:autoSpaceDE w:val="0"/>
              <w:autoSpaceDN w:val="0"/>
              <w:adjustRightInd w:val="0"/>
              <w:contextualSpacing/>
              <w:rPr>
                <w:rFonts w:asciiTheme="majorBidi" w:hAnsiTheme="majorBidi" w:cstheme="majorBidi"/>
                <w:b/>
                <w:bCs/>
                <w:rtl/>
              </w:rPr>
            </w:pPr>
            <w:r w:rsidRPr="007C6A42">
              <w:rPr>
                <w:rFonts w:asciiTheme="majorBidi" w:eastAsia="SimSun" w:hAnsiTheme="majorBidi" w:cstheme="majorBidi"/>
                <w:lang w:eastAsia="zh-CN"/>
              </w:rPr>
              <w:t xml:space="preserve">Ameur </w:t>
            </w:r>
            <w:r w:rsidRPr="007C6A42">
              <w:rPr>
                <w:rFonts w:asciiTheme="majorBidi" w:hAnsiTheme="majorBidi" w:cstheme="majorBidi"/>
              </w:rPr>
              <w:t>Ghédira</w:t>
            </w:r>
            <w:r w:rsidRPr="007C6A42">
              <w:rPr>
                <w:rFonts w:asciiTheme="majorBidi" w:eastAsia="SimSun" w:hAnsiTheme="majorBidi" w:cstheme="majorBidi"/>
                <w:b/>
                <w:bCs/>
                <w:lang w:eastAsia="zh-CN"/>
              </w:rPr>
              <w:t xml:space="preserve"> (1957</w:t>
            </w:r>
            <w:r w:rsidRPr="007C6A42">
              <w:rPr>
                <w:rFonts w:asciiTheme="majorBidi" w:eastAsia="Calibri" w:hAnsiTheme="majorBidi" w:cstheme="majorBidi"/>
                <w:b/>
                <w:bCs/>
                <w:lang w:bidi="ar-AE"/>
              </w:rPr>
              <w:t>)</w:t>
            </w:r>
          </w:p>
        </w:tc>
        <w:tc>
          <w:tcPr>
            <w:tcW w:w="7697" w:type="dxa"/>
          </w:tcPr>
          <w:p w14:paraId="16E7EA51" w14:textId="77777777" w:rsidR="00A70B78" w:rsidRPr="007C6A42" w:rsidRDefault="00A70B78" w:rsidP="00AF4FC9">
            <w:pPr>
              <w:contextualSpacing/>
              <w:rPr>
                <w:rFonts w:asciiTheme="majorBidi" w:hAnsiTheme="majorBidi" w:cstheme="majorBidi"/>
                <w:rtl/>
              </w:rPr>
            </w:pPr>
            <w:r w:rsidRPr="007C6A42">
              <w:rPr>
                <w:rFonts w:asciiTheme="majorBidi" w:hAnsiTheme="majorBidi" w:cstheme="majorBidi"/>
              </w:rPr>
              <w:t xml:space="preserve">« Les Infidèles ne cesseront point d’en douter jusqu’à ce que la Mort les surprenne soudain, ou qu’un châtiment par un jour </w:t>
            </w:r>
            <w:r w:rsidRPr="007C6A42">
              <w:rPr>
                <w:rFonts w:asciiTheme="majorBidi" w:hAnsiTheme="majorBidi" w:cstheme="majorBidi"/>
                <w:b/>
                <w:bCs/>
              </w:rPr>
              <w:t>néfaste</w:t>
            </w:r>
            <w:r w:rsidRPr="007C6A42">
              <w:rPr>
                <w:rFonts w:asciiTheme="majorBidi" w:hAnsiTheme="majorBidi" w:cstheme="majorBidi"/>
              </w:rPr>
              <w:t xml:space="preserve"> les visite. »</w:t>
            </w:r>
          </w:p>
        </w:tc>
      </w:tr>
      <w:tr w:rsidR="00A70B78" w:rsidRPr="007C6A42" w14:paraId="5F351D9B" w14:textId="77777777" w:rsidTr="00AF4FC9">
        <w:tc>
          <w:tcPr>
            <w:tcW w:w="2510" w:type="dxa"/>
          </w:tcPr>
          <w:p w14:paraId="6F55CA9E" w14:textId="77777777" w:rsidR="00A70B78" w:rsidRPr="007C6A42" w:rsidRDefault="00A70B78" w:rsidP="00AF4FC9">
            <w:pPr>
              <w:contextualSpacing/>
              <w:rPr>
                <w:rFonts w:asciiTheme="majorBidi" w:eastAsia="Calibri" w:hAnsiTheme="majorBidi" w:cstheme="majorBidi"/>
                <w:b/>
                <w:bCs/>
                <w:lang w:bidi="ar-AE"/>
              </w:rPr>
            </w:pPr>
            <w:r w:rsidRPr="007C6A42">
              <w:rPr>
                <w:rFonts w:asciiTheme="majorBidi" w:eastAsia="Calibri" w:hAnsiTheme="majorBidi" w:cstheme="majorBidi"/>
                <w:lang w:bidi="ar-AE"/>
              </w:rPr>
              <w:t>Jacques Berque</w:t>
            </w:r>
            <w:r w:rsidRPr="007C6A42">
              <w:rPr>
                <w:rFonts w:asciiTheme="majorBidi" w:eastAsia="Calibri" w:hAnsiTheme="majorBidi" w:cstheme="majorBidi"/>
                <w:b/>
                <w:bCs/>
                <w:lang w:bidi="ar-AE"/>
              </w:rPr>
              <w:t xml:space="preserve"> </w:t>
            </w:r>
            <w:r w:rsidRPr="007C6A42">
              <w:rPr>
                <w:rFonts w:asciiTheme="majorBidi" w:hAnsiTheme="majorBidi" w:cstheme="majorBidi"/>
                <w:b/>
                <w:bCs/>
              </w:rPr>
              <w:t>(1990)</w:t>
            </w:r>
          </w:p>
        </w:tc>
        <w:tc>
          <w:tcPr>
            <w:tcW w:w="7697" w:type="dxa"/>
          </w:tcPr>
          <w:p w14:paraId="494B0CC1" w14:textId="77777777" w:rsidR="00A70B78" w:rsidRPr="007C6A42" w:rsidRDefault="00A70B78" w:rsidP="00AF4FC9">
            <w:pPr>
              <w:contextualSpacing/>
              <w:rPr>
                <w:rFonts w:asciiTheme="majorBidi" w:eastAsia="Calibri" w:hAnsiTheme="majorBidi" w:cstheme="majorBidi"/>
                <w:lang w:bidi="ar-AE"/>
              </w:rPr>
            </w:pPr>
            <w:r w:rsidRPr="007C6A42">
              <w:rPr>
                <w:rFonts w:asciiTheme="majorBidi" w:eastAsia="Calibri" w:hAnsiTheme="majorBidi" w:cstheme="majorBidi"/>
                <w:lang w:bidi="ar-AE"/>
              </w:rPr>
              <w:t xml:space="preserve">« Il est vrai que les dénégateurs resteront en chicane sur le message jusqu’à ce que l’Heure ne leur advienne à l’improviste, ou le tourment d’un Jour </w:t>
            </w:r>
            <w:r w:rsidRPr="007C6A42">
              <w:rPr>
                <w:rFonts w:asciiTheme="majorBidi" w:eastAsia="Calibri" w:hAnsiTheme="majorBidi" w:cstheme="majorBidi"/>
                <w:b/>
                <w:bCs/>
                <w:lang w:bidi="ar-AE"/>
              </w:rPr>
              <w:t>néfaste</w:t>
            </w:r>
            <w:r w:rsidRPr="007C6A42">
              <w:rPr>
                <w:rFonts w:asciiTheme="majorBidi" w:eastAsia="Calibri" w:hAnsiTheme="majorBidi" w:cstheme="majorBidi"/>
                <w:lang w:bidi="ar-AE"/>
              </w:rPr>
              <w:t> »</w:t>
            </w:r>
          </w:p>
        </w:tc>
      </w:tr>
      <w:tr w:rsidR="00A70B78" w:rsidRPr="007C6A42" w14:paraId="618F599B" w14:textId="77777777" w:rsidTr="00AF4FC9">
        <w:tc>
          <w:tcPr>
            <w:tcW w:w="2510" w:type="dxa"/>
          </w:tcPr>
          <w:p w14:paraId="13BDA6D1" w14:textId="77777777" w:rsidR="00A70B78" w:rsidRPr="007C6A42" w:rsidRDefault="00A70B78" w:rsidP="00AF4FC9">
            <w:pPr>
              <w:contextualSpacing/>
              <w:rPr>
                <w:rFonts w:asciiTheme="majorBidi" w:hAnsiTheme="majorBidi" w:cstheme="majorBidi"/>
                <w:b/>
                <w:bCs/>
              </w:rPr>
            </w:pPr>
            <w:r w:rsidRPr="007C6A42">
              <w:rPr>
                <w:rFonts w:asciiTheme="majorBidi" w:eastAsia="Calibri" w:hAnsiTheme="majorBidi" w:cstheme="majorBidi"/>
                <w:lang w:bidi="ar-AE"/>
              </w:rPr>
              <w:t>André Chouraqui</w:t>
            </w:r>
            <w:r w:rsidRPr="007C6A42">
              <w:rPr>
                <w:rFonts w:asciiTheme="majorBidi" w:eastAsia="Calibri" w:hAnsiTheme="majorBidi" w:cstheme="majorBidi"/>
                <w:b/>
                <w:bCs/>
                <w:lang w:bidi="ar-AE"/>
              </w:rPr>
              <w:t xml:space="preserve"> (1990)</w:t>
            </w:r>
          </w:p>
        </w:tc>
        <w:tc>
          <w:tcPr>
            <w:tcW w:w="7697" w:type="dxa"/>
          </w:tcPr>
          <w:p w14:paraId="6DB55BCB" w14:textId="77777777" w:rsidR="00A70B78" w:rsidRPr="007C6A42" w:rsidRDefault="00A70B78" w:rsidP="00AF4FC9">
            <w:pPr>
              <w:contextualSpacing/>
              <w:rPr>
                <w:rFonts w:asciiTheme="majorBidi" w:hAnsiTheme="majorBidi" w:cstheme="majorBidi"/>
              </w:rPr>
            </w:pPr>
            <w:r w:rsidRPr="007C6A42">
              <w:rPr>
                <w:rFonts w:asciiTheme="majorBidi" w:hAnsiTheme="majorBidi" w:cstheme="majorBidi"/>
              </w:rPr>
              <w:t>« Ceux qui effacent ne cessent de douter de Lui, jusqu’à ce que l’Heure arrive soudain pour eux et arrive le supplice du Jour</w:t>
            </w:r>
            <w:r w:rsidRPr="007C6A42">
              <w:rPr>
                <w:rFonts w:asciiTheme="majorBidi" w:hAnsiTheme="majorBidi" w:cstheme="majorBidi"/>
                <w:b/>
                <w:bCs/>
              </w:rPr>
              <w:t xml:space="preserve"> néfaste</w:t>
            </w:r>
            <w:r w:rsidRPr="007C6A42">
              <w:rPr>
                <w:rFonts w:asciiTheme="majorBidi" w:hAnsiTheme="majorBidi" w:cstheme="majorBidi"/>
              </w:rPr>
              <w:t>.</w:t>
            </w:r>
            <w:r w:rsidRPr="007C6A42">
              <w:rPr>
                <w:rFonts w:asciiTheme="majorBidi" w:eastAsia="Calibri" w:hAnsiTheme="majorBidi" w:cstheme="majorBidi"/>
                <w:lang w:bidi="ar-AE"/>
              </w:rPr>
              <w:t> »</w:t>
            </w:r>
          </w:p>
        </w:tc>
      </w:tr>
      <w:tr w:rsidR="00A70B78" w:rsidRPr="007C6A42" w14:paraId="3136E3E6" w14:textId="77777777" w:rsidTr="00AF4FC9">
        <w:tc>
          <w:tcPr>
            <w:tcW w:w="2510" w:type="dxa"/>
          </w:tcPr>
          <w:p w14:paraId="536D67A6" w14:textId="77777777" w:rsidR="00A70B78" w:rsidRPr="007C6A42" w:rsidRDefault="00A70B78" w:rsidP="00AF4FC9">
            <w:pPr>
              <w:contextualSpacing/>
              <w:rPr>
                <w:rFonts w:asciiTheme="majorBidi" w:hAnsiTheme="majorBidi" w:cstheme="majorBidi"/>
                <w:b/>
                <w:bCs/>
              </w:rPr>
            </w:pPr>
            <w:r w:rsidRPr="007C6A42">
              <w:rPr>
                <w:rFonts w:asciiTheme="majorBidi" w:hAnsiTheme="majorBidi" w:cstheme="majorBidi"/>
              </w:rPr>
              <w:t>Hachemi Hafiane</w:t>
            </w:r>
            <w:r w:rsidRPr="007C6A42">
              <w:rPr>
                <w:rFonts w:asciiTheme="majorBidi" w:hAnsiTheme="majorBidi" w:cstheme="majorBidi"/>
                <w:b/>
                <w:bCs/>
              </w:rPr>
              <w:t xml:space="preserve"> (2010)</w:t>
            </w:r>
          </w:p>
        </w:tc>
        <w:tc>
          <w:tcPr>
            <w:tcW w:w="7697" w:type="dxa"/>
          </w:tcPr>
          <w:p w14:paraId="272E2B11" w14:textId="77777777" w:rsidR="00A70B78" w:rsidRPr="007C6A42" w:rsidRDefault="00A70B78" w:rsidP="00AF4FC9">
            <w:pPr>
              <w:contextualSpacing/>
              <w:rPr>
                <w:rFonts w:asciiTheme="majorBidi" w:hAnsiTheme="majorBidi" w:cstheme="majorBidi"/>
              </w:rPr>
            </w:pPr>
            <w:r w:rsidRPr="007C6A42">
              <w:rPr>
                <w:rFonts w:asciiTheme="majorBidi" w:hAnsiTheme="majorBidi" w:cstheme="majorBidi"/>
              </w:rPr>
              <w:t xml:space="preserve">« Les mécréants ne cesseront jamais d’en douter, jusqu’à ce que l’Heure les surprenne à l’improviste ou que les atteigne le châtiment le jour </w:t>
            </w:r>
            <w:r w:rsidRPr="007C6A42">
              <w:rPr>
                <w:rFonts w:asciiTheme="majorBidi" w:hAnsiTheme="majorBidi" w:cstheme="majorBidi"/>
                <w:b/>
                <w:bCs/>
              </w:rPr>
              <w:t>néfaste</w:t>
            </w:r>
            <w:r w:rsidRPr="007C6A42">
              <w:rPr>
                <w:rFonts w:asciiTheme="majorBidi" w:hAnsiTheme="majorBidi" w:cstheme="majorBidi"/>
              </w:rPr>
              <w:t>. »</w:t>
            </w:r>
          </w:p>
        </w:tc>
      </w:tr>
    </w:tbl>
    <w:p w14:paraId="21D1B54A" w14:textId="77777777" w:rsidR="00A70B78" w:rsidRPr="007C6A42" w:rsidRDefault="00A70B78" w:rsidP="00A70B78">
      <w:pPr>
        <w:spacing w:line="360" w:lineRule="auto"/>
        <w:contextualSpacing/>
        <w:jc w:val="both"/>
        <w:rPr>
          <w:rFonts w:asciiTheme="majorBidi" w:hAnsiTheme="majorBidi" w:cstheme="majorBidi"/>
        </w:rPr>
      </w:pPr>
    </w:p>
    <w:p w14:paraId="05249D58" w14:textId="77777777" w:rsidR="00A70B78" w:rsidRPr="007C6A42" w:rsidRDefault="00A70B78" w:rsidP="00A70B78">
      <w:pPr>
        <w:spacing w:line="360" w:lineRule="auto"/>
        <w:ind w:firstLine="708"/>
        <w:contextualSpacing/>
        <w:jc w:val="both"/>
        <w:rPr>
          <w:rFonts w:asciiTheme="majorBidi" w:hAnsiTheme="majorBidi" w:cstheme="majorBidi"/>
        </w:rPr>
      </w:pPr>
      <w:r w:rsidRPr="007C6A42">
        <w:rPr>
          <w:rFonts w:asciiTheme="majorBidi" w:hAnsiTheme="majorBidi" w:cstheme="majorBidi"/>
        </w:rPr>
        <w:t xml:space="preserve">Berque et Chouraqui, qui ont adopté deux méthodes différentes, voire opposées, ont choisi la même traduction du mot </w:t>
      </w:r>
      <w:r w:rsidRPr="007C6A42">
        <w:rPr>
          <w:rFonts w:asciiTheme="majorBidi" w:eastAsia="Times New Roman" w:hAnsiTheme="majorBidi" w:cstheme="majorBidi"/>
          <w:i/>
          <w:iCs/>
        </w:rPr>
        <w:t>ʿaqīm</w:t>
      </w:r>
      <w:r w:rsidRPr="007C6A42">
        <w:rPr>
          <w:rFonts w:asciiTheme="majorBidi" w:eastAsia="Times New Roman" w:hAnsiTheme="majorBidi" w:cstheme="majorBidi"/>
        </w:rPr>
        <w:t xml:space="preserve"> [stérile] (néfaste)</w:t>
      </w:r>
      <w:r w:rsidRPr="007C6A42">
        <w:rPr>
          <w:rFonts w:asciiTheme="majorBidi" w:hAnsiTheme="majorBidi" w:cstheme="majorBidi"/>
        </w:rPr>
        <w:t>. En outre, Berque et Hafiane ont des traductions trop différentes. Malgré cela, ils se sont rencontrés sur la traduction de ce mot équivoque (</w:t>
      </w:r>
      <w:r w:rsidRPr="007C6A42">
        <w:rPr>
          <w:rFonts w:asciiTheme="majorBidi" w:eastAsia="Times New Roman" w:hAnsiTheme="majorBidi" w:cstheme="majorBidi"/>
          <w:i/>
          <w:iCs/>
        </w:rPr>
        <w:t>ʿaqīm</w:t>
      </w:r>
      <w:r w:rsidRPr="007C6A42">
        <w:rPr>
          <w:rFonts w:asciiTheme="majorBidi" w:hAnsiTheme="majorBidi" w:cstheme="majorBidi"/>
        </w:rPr>
        <w:t xml:space="preserve">). La seule explication serait peut-être que les traducteurs consultent les </w:t>
      </w:r>
      <w:r w:rsidRPr="007C6A42">
        <w:rPr>
          <w:rFonts w:asciiTheme="majorBidi" w:hAnsiTheme="majorBidi" w:cstheme="majorBidi"/>
        </w:rPr>
        <w:lastRenderedPageBreak/>
        <w:t>traductions de leurs prédécesseurs et choisissent ce qui apparaît à leurs yeux la meilleure solution.</w:t>
      </w:r>
    </w:p>
    <w:p w14:paraId="68B4FB0E" w14:textId="77777777" w:rsidR="00A70B78" w:rsidRPr="007C6A42" w:rsidRDefault="00A70B78" w:rsidP="00A70B78">
      <w:pPr>
        <w:spacing w:line="360" w:lineRule="auto"/>
        <w:ind w:firstLine="708"/>
        <w:contextualSpacing/>
        <w:jc w:val="both"/>
        <w:rPr>
          <w:rFonts w:asciiTheme="majorBidi" w:hAnsiTheme="majorBidi" w:cstheme="majorBidi"/>
        </w:rPr>
      </w:pPr>
    </w:p>
    <w:p w14:paraId="021029DF" w14:textId="77777777" w:rsidR="00A70B78" w:rsidRPr="007C6A42" w:rsidRDefault="00A70B78" w:rsidP="00A70B78">
      <w:pPr>
        <w:spacing w:line="360" w:lineRule="auto"/>
        <w:ind w:firstLine="708"/>
        <w:contextualSpacing/>
        <w:jc w:val="both"/>
        <w:rPr>
          <w:rFonts w:asciiTheme="majorBidi" w:hAnsiTheme="majorBidi" w:cstheme="majorBidi"/>
        </w:rPr>
      </w:pPr>
      <w:r w:rsidRPr="007C6A42">
        <w:rPr>
          <w:rFonts w:asciiTheme="majorBidi" w:hAnsiTheme="majorBidi" w:cstheme="majorBidi"/>
        </w:rPr>
        <w:t xml:space="preserve">Berque et Chouraqui se rencontrent également dans la traduction d’autres termes, comme dans la traduction du syntagme </w:t>
      </w:r>
      <w:r w:rsidRPr="007C6A42">
        <w:rPr>
          <w:rFonts w:asciiTheme="majorBidi" w:hAnsiTheme="majorBidi" w:cstheme="majorBidi"/>
          <w:i/>
          <w:iCs/>
        </w:rPr>
        <w:t>wa-lā hudan</w:t>
      </w:r>
      <w:r w:rsidRPr="007C6A42">
        <w:rPr>
          <w:rFonts w:asciiTheme="majorBidi" w:hAnsiTheme="majorBidi" w:cstheme="majorBidi"/>
        </w:rPr>
        <w:t xml:space="preserve"> [</w:t>
      </w:r>
      <w:r w:rsidRPr="007C6A42">
        <w:rPr>
          <w:rFonts w:asciiTheme="majorBidi" w:hAnsiTheme="majorBidi" w:cstheme="majorBidi"/>
          <w:i/>
          <w:iCs/>
        </w:rPr>
        <w:t>litt.</w:t>
      </w:r>
      <w:r w:rsidRPr="007C6A42">
        <w:rPr>
          <w:rFonts w:asciiTheme="majorBidi" w:hAnsiTheme="majorBidi" w:cstheme="majorBidi"/>
        </w:rPr>
        <w:t xml:space="preserve"> : et sans indication/direction] et du terme </w:t>
      </w:r>
      <w:r w:rsidRPr="007C6A42">
        <w:rPr>
          <w:rFonts w:asciiTheme="majorBidi" w:hAnsiTheme="majorBidi" w:cstheme="majorBidi"/>
          <w:i/>
          <w:iCs/>
        </w:rPr>
        <w:t>kaydu-hu</w:t>
      </w:r>
      <w:r w:rsidRPr="007C6A42">
        <w:rPr>
          <w:rFonts w:asciiTheme="majorBidi" w:hAnsiTheme="majorBidi" w:cstheme="majorBidi"/>
        </w:rPr>
        <w:t xml:space="preserve"> [</w:t>
      </w:r>
      <w:r w:rsidRPr="007C6A42">
        <w:rPr>
          <w:rFonts w:asciiTheme="majorBidi" w:hAnsiTheme="majorBidi" w:cstheme="majorBidi"/>
          <w:i/>
          <w:iCs/>
        </w:rPr>
        <w:t>litt. </w:t>
      </w:r>
      <w:r w:rsidRPr="007C6A42">
        <w:rPr>
          <w:rFonts w:asciiTheme="majorBidi" w:hAnsiTheme="majorBidi" w:cstheme="majorBidi"/>
        </w:rPr>
        <w:t xml:space="preserve">: son astuce]. Seuls Berque et Chouraqui ont traduit </w:t>
      </w:r>
      <w:r w:rsidRPr="007C6A42">
        <w:rPr>
          <w:rFonts w:asciiTheme="majorBidi" w:hAnsiTheme="majorBidi" w:cstheme="majorBidi"/>
          <w:i/>
          <w:iCs/>
        </w:rPr>
        <w:t>wa-lā hudan</w:t>
      </w:r>
      <w:r w:rsidRPr="007C6A42">
        <w:rPr>
          <w:rFonts w:asciiTheme="majorBidi" w:hAnsiTheme="majorBidi" w:cstheme="majorBidi"/>
        </w:rPr>
        <w:t xml:space="preserve"> par : « </w:t>
      </w:r>
      <w:r w:rsidRPr="007C6A42">
        <w:rPr>
          <w:rFonts w:asciiTheme="majorBidi" w:eastAsia="Times New Roman" w:hAnsiTheme="majorBidi" w:cstheme="majorBidi"/>
        </w:rPr>
        <w:t>sans guidance », alors que les autres l’ont traduit par des syntagmes comme : « sans avoir reçu aucune direction » (</w:t>
      </w:r>
      <w:r w:rsidRPr="007C6A42">
        <w:rPr>
          <w:rFonts w:asciiTheme="majorBidi" w:hAnsiTheme="majorBidi" w:cstheme="majorBidi"/>
        </w:rPr>
        <w:t>Kazimirski), « ni Direction » (Blachère), « sans guidée » (Hamidullah), « sans une trace de lumière » (Ben Mahmoud », « sans guide » (Grosjean), « ni de la bonne orientation* [NDT] *</w:t>
      </w:r>
      <w:r w:rsidRPr="007C6A42">
        <w:rPr>
          <w:rFonts w:asciiTheme="majorBidi" w:hAnsiTheme="majorBidi" w:cstheme="majorBidi"/>
          <w:i/>
        </w:rPr>
        <w:t>Hûdan</w:t>
      </w:r>
      <w:r w:rsidRPr="007C6A42">
        <w:rPr>
          <w:rFonts w:asciiTheme="majorBidi" w:hAnsiTheme="majorBidi" w:cstheme="majorBidi"/>
        </w:rPr>
        <w:t xml:space="preserve"> » (Chebel). Berque et Chouraqui traduisent </w:t>
      </w:r>
      <w:r w:rsidRPr="007C6A42">
        <w:rPr>
          <w:rFonts w:asciiTheme="majorBidi" w:hAnsiTheme="majorBidi" w:cstheme="majorBidi"/>
          <w:i/>
          <w:iCs/>
        </w:rPr>
        <w:t>kaydu-hu</w:t>
      </w:r>
      <w:r w:rsidRPr="007C6A42">
        <w:rPr>
          <w:rFonts w:asciiTheme="majorBidi" w:hAnsiTheme="majorBidi" w:cstheme="majorBidi"/>
        </w:rPr>
        <w:t xml:space="preserve"> par : « son stratagème », le même choix que leurs prédécesseurs Savary et Blachère. Cependant, les autres traducteurs l’ont rendu par : « </w:t>
      </w:r>
      <w:r w:rsidRPr="007C6A42">
        <w:rPr>
          <w:rFonts w:asciiTheme="majorBidi" w:eastAsia="Times New Roman" w:hAnsiTheme="majorBidi" w:cstheme="majorBidi"/>
        </w:rPr>
        <w:t xml:space="preserve">sa colère » (Du Ryer), « ses artifices » (Kazimirski, Ghédira &amp; Guessous), « sa ruse » (Hamidullah, Masson, Grosjean, Complexe de Médine, Aldeeb, Chebel, Abdelaziz &amp; Hafiane), « une telle expérience » (Ben Mahmoud), « ce moyen » (Chiadmi). Il convient de souligner que, dans l’ensemble, les traductions ont montré la richesse polysémique du terme arabe </w:t>
      </w:r>
      <w:r w:rsidRPr="007C6A42">
        <w:rPr>
          <w:rFonts w:asciiTheme="majorBidi" w:hAnsiTheme="majorBidi" w:cstheme="majorBidi"/>
          <w:i/>
          <w:iCs/>
        </w:rPr>
        <w:t>kaydu-hu</w:t>
      </w:r>
      <w:r w:rsidRPr="007C6A42">
        <w:rPr>
          <w:rFonts w:asciiTheme="majorBidi" w:eastAsia="Times New Roman" w:hAnsiTheme="majorBidi" w:cstheme="majorBidi"/>
        </w:rPr>
        <w:t xml:space="preserve">. Mais elles ont négligé le sens du « gain et profit » donné par les exégètes et ajouté le sens de « la colère ». En outre, les traductions de Hafiane et de Médine d’une part et celles de Masson et de Grosjean de l’autre, bien qu’elles s’éloignent dans le skopos et la méthode, se rejoignent dans la traduction de ce terme polysémique </w:t>
      </w:r>
      <w:r w:rsidRPr="007C6A42">
        <w:rPr>
          <w:rFonts w:asciiTheme="majorBidi" w:hAnsiTheme="majorBidi" w:cstheme="majorBidi"/>
          <w:i/>
          <w:iCs/>
        </w:rPr>
        <w:t>kaydu-hu</w:t>
      </w:r>
      <w:r w:rsidRPr="007C6A42">
        <w:rPr>
          <w:rFonts w:asciiTheme="majorBidi" w:hAnsiTheme="majorBidi" w:cstheme="majorBidi"/>
        </w:rPr>
        <w:t>. Les traductions de Du Ryer (« sa colère »), de Ben Mahmoud (</w:t>
      </w:r>
      <w:r w:rsidRPr="007C6A42">
        <w:rPr>
          <w:rFonts w:asciiTheme="majorBidi" w:eastAsia="Times New Roman" w:hAnsiTheme="majorBidi" w:cstheme="majorBidi"/>
        </w:rPr>
        <w:t>« une telle expérience »</w:t>
      </w:r>
      <w:r w:rsidRPr="007C6A42">
        <w:rPr>
          <w:rFonts w:asciiTheme="majorBidi" w:hAnsiTheme="majorBidi" w:cstheme="majorBidi"/>
        </w:rPr>
        <w:t>) et de Chiadmi (</w:t>
      </w:r>
      <w:r w:rsidRPr="007C6A42">
        <w:rPr>
          <w:rFonts w:asciiTheme="majorBidi" w:eastAsia="Times New Roman" w:hAnsiTheme="majorBidi" w:cstheme="majorBidi"/>
        </w:rPr>
        <w:t>« ce moyen »</w:t>
      </w:r>
      <w:r w:rsidRPr="007C6A42">
        <w:rPr>
          <w:rFonts w:asciiTheme="majorBidi" w:hAnsiTheme="majorBidi" w:cstheme="majorBidi"/>
        </w:rPr>
        <w:t>) ont fourni, par leurs choix uniques, un apport important pour refléter la richesse polysémique du texte de départ.</w:t>
      </w:r>
    </w:p>
    <w:p w14:paraId="41230510" w14:textId="77777777" w:rsidR="00A70B78" w:rsidRPr="007C6A42" w:rsidRDefault="00A70B78" w:rsidP="00A70B78">
      <w:pPr>
        <w:bidi/>
        <w:spacing w:line="360" w:lineRule="auto"/>
        <w:ind w:firstLine="708"/>
        <w:contextualSpacing/>
        <w:jc w:val="both"/>
        <w:rPr>
          <w:rFonts w:asciiTheme="majorBidi" w:hAnsiTheme="majorBidi" w:cstheme="majorBidi"/>
          <w:rtl/>
        </w:rPr>
      </w:pPr>
    </w:p>
    <w:p w14:paraId="7786015E"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 xml:space="preserve">Même entre les traductions les plus éloignées dans le temps, le skopos et la méthode, nous trouvons des similitudes dans le choix de la traduction des termes polysémiques ou des syntagmes, voire des phrases toutes entières. Entre la traduction de Hafiane (2010) et celle de Savary </w:t>
      </w:r>
      <w:r w:rsidRPr="007C6A42">
        <w:rPr>
          <w:rFonts w:asciiTheme="majorBidi" w:eastAsia="Calibri" w:hAnsiTheme="majorBidi" w:cstheme="majorBidi"/>
          <w:lang w:bidi="ar-AE"/>
        </w:rPr>
        <w:t>(1782)</w:t>
      </w:r>
      <w:r w:rsidRPr="007C6A42">
        <w:rPr>
          <w:rFonts w:asciiTheme="majorBidi" w:hAnsiTheme="majorBidi" w:cstheme="majorBidi"/>
        </w:rPr>
        <w:t>, il n’y a pas beaucoup de ressemblances. Elles se rencontrent essentiellement dans des termes, syntagmes et propositions comme : « femme enceinte » ; « les hommes » ; « il est écrit qu’il égarera » (</w:t>
      </w:r>
      <w:r w:rsidRPr="007C6A42">
        <w:rPr>
          <w:rFonts w:asciiTheme="majorBidi" w:hAnsiTheme="majorBidi" w:cstheme="majorBidi"/>
          <w:i/>
          <w:iCs/>
        </w:rPr>
        <w:t>ici Hafiane ajoute un syntagme explicatif : « à l’égard de ce dernier » exactement comme le fait le Complexe de Médine</w:t>
      </w:r>
      <w:r w:rsidRPr="007C6A42">
        <w:rPr>
          <w:rFonts w:asciiTheme="majorBidi" w:hAnsiTheme="majorBidi" w:cstheme="majorBidi"/>
        </w:rPr>
        <w:t xml:space="preserve">) ; « Dieu introduira » ; « ce qu’il irrite » ; « des </w:t>
      </w:r>
      <w:r w:rsidRPr="007C6A42">
        <w:rPr>
          <w:rFonts w:asciiTheme="majorBidi" w:hAnsiTheme="majorBidi" w:cstheme="majorBidi"/>
        </w:rPr>
        <w:lastRenderedPageBreak/>
        <w:t xml:space="preserve">contrées les plus éloignées ». Le dernier syntagme (v. 27) a été utilisé pour la première fois par Savary </w:t>
      </w:r>
      <w:r w:rsidRPr="007C6A42">
        <w:rPr>
          <w:rFonts w:asciiTheme="majorBidi" w:eastAsia="Calibri" w:hAnsiTheme="majorBidi" w:cstheme="majorBidi"/>
          <w:lang w:bidi="ar-AE"/>
        </w:rPr>
        <w:t>(1782)</w:t>
      </w:r>
      <w:r w:rsidRPr="007C6A42">
        <w:rPr>
          <w:rFonts w:asciiTheme="majorBidi" w:hAnsiTheme="majorBidi" w:cstheme="majorBidi"/>
        </w:rPr>
        <w:t>, ensuite réutilisé par Chiadmi (1999) et enfin par Hafiane (2010).</w:t>
      </w:r>
    </w:p>
    <w:tbl>
      <w:tblPr>
        <w:tblW w:w="5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3685"/>
      </w:tblGrid>
      <w:tr w:rsidR="00A70B78" w:rsidRPr="007C6A42" w14:paraId="7B5201AB" w14:textId="77777777" w:rsidTr="00AF4FC9">
        <w:trPr>
          <w:jc w:val="center"/>
        </w:trPr>
        <w:tc>
          <w:tcPr>
            <w:tcW w:w="5389" w:type="dxa"/>
            <w:gridSpan w:val="2"/>
            <w:tcBorders>
              <w:top w:val="nil"/>
              <w:left w:val="single" w:sz="4" w:space="0" w:color="auto"/>
              <w:bottom w:val="single" w:sz="4" w:space="0" w:color="auto"/>
              <w:right w:val="single" w:sz="4" w:space="0" w:color="auto"/>
            </w:tcBorders>
          </w:tcPr>
          <w:p w14:paraId="6AEF59B9" w14:textId="77777777" w:rsidR="00A70B78" w:rsidRPr="007C6A42" w:rsidRDefault="00A70B78" w:rsidP="00AF4FC9">
            <w:pPr>
              <w:bidi/>
              <w:contextualSpacing/>
              <w:jc w:val="center"/>
              <w:rPr>
                <w:rFonts w:asciiTheme="majorBidi" w:eastAsia="Times New Roman" w:hAnsiTheme="majorBidi" w:cstheme="majorBidi"/>
                <w:lang w:bidi="ar-AE"/>
              </w:rPr>
            </w:pPr>
            <w:r w:rsidRPr="007C6A42">
              <w:rPr>
                <w:rFonts w:asciiTheme="majorBidi" w:eastAsia="Calibri" w:hAnsiTheme="majorBidi" w:cstheme="majorBidi"/>
                <w:rtl/>
                <w:lang w:bidi="ar-AE"/>
              </w:rPr>
              <w:t xml:space="preserve"> "من كلِّ فَجٍّ عميق" (27)</w:t>
            </w:r>
          </w:p>
        </w:tc>
      </w:tr>
      <w:tr w:rsidR="00A70B78" w:rsidRPr="007C6A42" w14:paraId="643092F1"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1416F9E1"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D.R. (1647)</w:t>
            </w:r>
          </w:p>
        </w:tc>
        <w:tc>
          <w:tcPr>
            <w:tcW w:w="3685" w:type="dxa"/>
            <w:tcBorders>
              <w:top w:val="single" w:sz="4" w:space="0" w:color="auto"/>
              <w:left w:val="single" w:sz="4" w:space="0" w:color="auto"/>
              <w:bottom w:val="single" w:sz="4" w:space="0" w:color="auto"/>
              <w:right w:val="single" w:sz="4" w:space="0" w:color="auto"/>
            </w:tcBorders>
          </w:tcPr>
          <w:p w14:paraId="507CF0D9"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 xml:space="preserve">de tous coʃtez </w:t>
            </w:r>
          </w:p>
        </w:tc>
      </w:tr>
      <w:tr w:rsidR="00A70B78" w:rsidRPr="007C6A42" w14:paraId="1E584085"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368206C9"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lang w:bidi="ar-KW"/>
              </w:rPr>
              <w:t>Sav. (1782)</w:t>
            </w:r>
          </w:p>
        </w:tc>
        <w:tc>
          <w:tcPr>
            <w:tcW w:w="3685" w:type="dxa"/>
            <w:tcBorders>
              <w:top w:val="single" w:sz="4" w:space="0" w:color="auto"/>
              <w:left w:val="single" w:sz="4" w:space="0" w:color="auto"/>
              <w:bottom w:val="single" w:sz="4" w:space="0" w:color="auto"/>
              <w:right w:val="single" w:sz="4" w:space="0" w:color="auto"/>
            </w:tcBorders>
          </w:tcPr>
          <w:p w14:paraId="354B21B1" w14:textId="77777777" w:rsidR="00A70B78" w:rsidRPr="007C6A42" w:rsidRDefault="00A70B78" w:rsidP="00AF4FC9">
            <w:pPr>
              <w:shd w:val="clear" w:color="auto" w:fill="FFFFFF"/>
              <w:contextualSpacing/>
              <w:jc w:val="both"/>
              <w:rPr>
                <w:rFonts w:asciiTheme="majorBidi" w:eastAsia="Times New Roman" w:hAnsiTheme="majorBidi" w:cstheme="majorBidi"/>
              </w:rPr>
            </w:pPr>
            <w:r w:rsidRPr="007C6A42">
              <w:rPr>
                <w:rFonts w:asciiTheme="majorBidi" w:eastAsia="Times New Roman" w:hAnsiTheme="majorBidi" w:cstheme="majorBidi"/>
              </w:rPr>
              <w:t>des contrées les plus éloignées</w:t>
            </w:r>
          </w:p>
        </w:tc>
      </w:tr>
      <w:tr w:rsidR="00A70B78" w:rsidRPr="007C6A42" w14:paraId="7F777FD8"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3AAFF127"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lang w:bidi="ar-KW"/>
              </w:rPr>
              <w:t xml:space="preserve">Kaz. </w:t>
            </w:r>
            <w:r w:rsidRPr="007C6A42">
              <w:rPr>
                <w:rFonts w:asciiTheme="majorBidi" w:eastAsia="SimSun" w:hAnsiTheme="majorBidi" w:cstheme="majorBidi"/>
                <w:lang w:eastAsia="zh-CN"/>
              </w:rPr>
              <w:t>(</w:t>
            </w:r>
            <w:r w:rsidRPr="007C6A42">
              <w:rPr>
                <w:rFonts w:asciiTheme="majorBidi" w:eastAsia="Times New Roman" w:hAnsiTheme="majorBidi" w:cstheme="majorBidi"/>
                <w:lang w:eastAsia="en-AU"/>
              </w:rPr>
              <w:t>1840</w:t>
            </w:r>
            <w:r w:rsidRPr="007C6A42">
              <w:rPr>
                <w:rFonts w:asciiTheme="majorBidi" w:eastAsia="Calibri" w:hAnsiTheme="majorBidi" w:cstheme="majorBidi"/>
                <w:lang w:bidi="ar-AE"/>
              </w:rPr>
              <w:t>)</w:t>
            </w:r>
          </w:p>
        </w:tc>
        <w:tc>
          <w:tcPr>
            <w:tcW w:w="3685" w:type="dxa"/>
            <w:tcBorders>
              <w:top w:val="single" w:sz="4" w:space="0" w:color="auto"/>
              <w:left w:val="single" w:sz="4" w:space="0" w:color="auto"/>
              <w:bottom w:val="single" w:sz="4" w:space="0" w:color="auto"/>
              <w:right w:val="single" w:sz="4" w:space="0" w:color="auto"/>
            </w:tcBorders>
          </w:tcPr>
          <w:p w14:paraId="0AC33FE9" w14:textId="77777777" w:rsidR="00A70B78" w:rsidRPr="007C6A42" w:rsidRDefault="00A70B78" w:rsidP="00AF4FC9">
            <w:pPr>
              <w:ind w:right="113"/>
              <w:contextualSpacing/>
              <w:jc w:val="both"/>
              <w:rPr>
                <w:rFonts w:asciiTheme="majorBidi" w:eastAsia="Times New Roman" w:hAnsiTheme="majorBidi" w:cstheme="majorBidi"/>
              </w:rPr>
            </w:pPr>
            <w:r w:rsidRPr="007C6A42">
              <w:rPr>
                <w:rFonts w:asciiTheme="majorBidi" w:eastAsia="Times New Roman" w:hAnsiTheme="majorBidi" w:cstheme="majorBidi"/>
              </w:rPr>
              <w:t>des contrées éloignées.</w:t>
            </w:r>
          </w:p>
        </w:tc>
      </w:tr>
      <w:tr w:rsidR="00A70B78" w:rsidRPr="007C6A42" w14:paraId="58E185A1"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26707622" w14:textId="77777777" w:rsidR="00A70B78" w:rsidRPr="007C6A42" w:rsidRDefault="00A70B78" w:rsidP="00AF4FC9">
            <w:pPr>
              <w:contextualSpacing/>
              <w:jc w:val="both"/>
              <w:rPr>
                <w:rFonts w:asciiTheme="majorBidi" w:eastAsia="Times New Roman" w:hAnsiTheme="majorBidi" w:cstheme="majorBidi"/>
                <w:lang w:bidi="ar-KW"/>
              </w:rPr>
            </w:pPr>
            <w:r w:rsidRPr="007C6A42">
              <w:rPr>
                <w:rFonts w:asciiTheme="majorBidi" w:eastAsia="Times New Roman" w:hAnsiTheme="majorBidi" w:cstheme="majorBidi"/>
              </w:rPr>
              <w:t>Blach. (1949)</w:t>
            </w:r>
          </w:p>
        </w:tc>
        <w:tc>
          <w:tcPr>
            <w:tcW w:w="3685" w:type="dxa"/>
            <w:tcBorders>
              <w:top w:val="single" w:sz="4" w:space="0" w:color="auto"/>
              <w:left w:val="single" w:sz="4" w:space="0" w:color="auto"/>
              <w:bottom w:val="single" w:sz="4" w:space="0" w:color="auto"/>
              <w:right w:val="single" w:sz="4" w:space="0" w:color="auto"/>
            </w:tcBorders>
          </w:tcPr>
          <w:p w14:paraId="4370C926"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par tout passage encaissé</w:t>
            </w:r>
          </w:p>
        </w:tc>
      </w:tr>
      <w:tr w:rsidR="00A70B78" w:rsidRPr="007C6A42" w14:paraId="5AC2E904"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5ED04E9F"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Ghéd. (1957)</w:t>
            </w:r>
          </w:p>
        </w:tc>
        <w:tc>
          <w:tcPr>
            <w:tcW w:w="3685" w:type="dxa"/>
            <w:tcBorders>
              <w:top w:val="single" w:sz="4" w:space="0" w:color="auto"/>
              <w:left w:val="single" w:sz="4" w:space="0" w:color="auto"/>
              <w:bottom w:val="single" w:sz="4" w:space="0" w:color="auto"/>
              <w:right w:val="single" w:sz="4" w:space="0" w:color="auto"/>
            </w:tcBorders>
          </w:tcPr>
          <w:p w14:paraId="7865217E"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des chemins les plus éloignés</w:t>
            </w:r>
          </w:p>
        </w:tc>
      </w:tr>
      <w:tr w:rsidR="00A70B78" w:rsidRPr="007C6A42" w14:paraId="02754B8D"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02721D3E"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Hamid. (1959)</w:t>
            </w:r>
          </w:p>
        </w:tc>
        <w:tc>
          <w:tcPr>
            <w:tcW w:w="3685" w:type="dxa"/>
            <w:tcBorders>
              <w:top w:val="single" w:sz="4" w:space="0" w:color="auto"/>
              <w:left w:val="single" w:sz="4" w:space="0" w:color="auto"/>
              <w:bottom w:val="single" w:sz="4" w:space="0" w:color="auto"/>
              <w:right w:val="single" w:sz="4" w:space="0" w:color="auto"/>
            </w:tcBorders>
          </w:tcPr>
          <w:p w14:paraId="6ED87E61" w14:textId="77777777" w:rsidR="00A70B78" w:rsidRPr="007C6A42" w:rsidRDefault="00A70B78" w:rsidP="00AF4FC9">
            <w:pPr>
              <w:contextualSpacing/>
              <w:jc w:val="both"/>
              <w:rPr>
                <w:rFonts w:asciiTheme="majorBidi" w:eastAsia="Calibri" w:hAnsiTheme="majorBidi" w:cstheme="majorBidi"/>
              </w:rPr>
            </w:pPr>
            <w:r w:rsidRPr="007C6A42">
              <w:rPr>
                <w:rFonts w:asciiTheme="majorBidi" w:eastAsia="Calibri" w:hAnsiTheme="majorBidi" w:cstheme="majorBidi"/>
              </w:rPr>
              <w:t xml:space="preserve">de tout chemin creux. (NDT : </w:t>
            </w:r>
            <w:r w:rsidRPr="007C6A42">
              <w:rPr>
                <w:rFonts w:asciiTheme="majorBidi" w:eastAsia="Calibri" w:hAnsiTheme="majorBidi" w:cstheme="majorBidi"/>
                <w:i/>
              </w:rPr>
              <w:t>de tout chemin creux</w:t>
            </w:r>
            <w:r w:rsidRPr="007C6A42">
              <w:rPr>
                <w:rFonts w:asciiTheme="majorBidi" w:eastAsia="Calibri" w:hAnsiTheme="majorBidi" w:cstheme="majorBidi"/>
              </w:rPr>
              <w:t>. Littéralement : profond (dans le sens difficile et lointain).</w:t>
            </w:r>
          </w:p>
        </w:tc>
      </w:tr>
      <w:tr w:rsidR="00A70B78" w:rsidRPr="007C6A42" w14:paraId="619BD9B3"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68E01173"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B. M. (1962)</w:t>
            </w:r>
          </w:p>
        </w:tc>
        <w:tc>
          <w:tcPr>
            <w:tcW w:w="3685" w:type="dxa"/>
            <w:tcBorders>
              <w:top w:val="single" w:sz="4" w:space="0" w:color="auto"/>
              <w:left w:val="single" w:sz="4" w:space="0" w:color="auto"/>
              <w:bottom w:val="single" w:sz="4" w:space="0" w:color="auto"/>
              <w:right w:val="single" w:sz="4" w:space="0" w:color="auto"/>
            </w:tcBorders>
          </w:tcPr>
          <w:p w14:paraId="770A4F94" w14:textId="77777777" w:rsidR="00A70B78" w:rsidRPr="007C6A42" w:rsidRDefault="00A70B78" w:rsidP="00AF4FC9">
            <w:pPr>
              <w:contextualSpacing/>
              <w:jc w:val="both"/>
              <w:rPr>
                <w:rFonts w:asciiTheme="majorBidi" w:eastAsia="Calibri" w:hAnsiTheme="majorBidi" w:cstheme="majorBidi"/>
              </w:rPr>
            </w:pPr>
            <w:r w:rsidRPr="007C6A42">
              <w:rPr>
                <w:rFonts w:asciiTheme="majorBidi" w:eastAsia="Batang" w:hAnsiTheme="majorBidi" w:cstheme="majorBidi"/>
              </w:rPr>
              <w:t>de tous les points de l’univers !</w:t>
            </w:r>
          </w:p>
        </w:tc>
      </w:tr>
      <w:tr w:rsidR="00A70B78" w:rsidRPr="007C6A42" w14:paraId="2F04D08F" w14:textId="77777777" w:rsidTr="00AF4FC9">
        <w:trPr>
          <w:trHeight w:val="250"/>
          <w:jc w:val="center"/>
        </w:trPr>
        <w:tc>
          <w:tcPr>
            <w:tcW w:w="1704" w:type="dxa"/>
            <w:tcBorders>
              <w:top w:val="single" w:sz="4" w:space="0" w:color="auto"/>
              <w:left w:val="single" w:sz="4" w:space="0" w:color="auto"/>
              <w:bottom w:val="single" w:sz="4" w:space="0" w:color="auto"/>
              <w:right w:val="single" w:sz="4" w:space="0" w:color="auto"/>
            </w:tcBorders>
          </w:tcPr>
          <w:p w14:paraId="32FB8876"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Mass. (1967)</w:t>
            </w:r>
          </w:p>
        </w:tc>
        <w:tc>
          <w:tcPr>
            <w:tcW w:w="3685" w:type="dxa"/>
            <w:tcBorders>
              <w:top w:val="single" w:sz="4" w:space="0" w:color="auto"/>
              <w:left w:val="single" w:sz="4" w:space="0" w:color="auto"/>
              <w:bottom w:val="single" w:sz="4" w:space="0" w:color="auto"/>
              <w:right w:val="single" w:sz="4" w:space="0" w:color="auto"/>
            </w:tcBorders>
          </w:tcPr>
          <w:p w14:paraId="76AEE7F0"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par des chemins encaissés</w:t>
            </w:r>
          </w:p>
        </w:tc>
      </w:tr>
      <w:tr w:rsidR="00A70B78" w:rsidRPr="007C6A42" w14:paraId="37E3A130" w14:textId="77777777" w:rsidTr="00AF4FC9">
        <w:trPr>
          <w:trHeight w:val="250"/>
          <w:jc w:val="center"/>
        </w:trPr>
        <w:tc>
          <w:tcPr>
            <w:tcW w:w="1704" w:type="dxa"/>
            <w:tcBorders>
              <w:top w:val="single" w:sz="4" w:space="0" w:color="auto"/>
              <w:left w:val="single" w:sz="4" w:space="0" w:color="auto"/>
              <w:bottom w:val="single" w:sz="4" w:space="0" w:color="auto"/>
              <w:right w:val="single" w:sz="4" w:space="0" w:color="auto"/>
            </w:tcBorders>
          </w:tcPr>
          <w:p w14:paraId="66C1C6DA"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Gros. (1979)</w:t>
            </w:r>
          </w:p>
        </w:tc>
        <w:tc>
          <w:tcPr>
            <w:tcW w:w="3685" w:type="dxa"/>
            <w:tcBorders>
              <w:top w:val="single" w:sz="4" w:space="0" w:color="auto"/>
              <w:left w:val="single" w:sz="4" w:space="0" w:color="auto"/>
              <w:bottom w:val="single" w:sz="4" w:space="0" w:color="auto"/>
              <w:right w:val="single" w:sz="4" w:space="0" w:color="auto"/>
            </w:tcBorders>
          </w:tcPr>
          <w:p w14:paraId="32F68F49"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Batang" w:hAnsiTheme="majorBidi" w:cstheme="majorBidi"/>
              </w:rPr>
              <w:t>par tout défilé</w:t>
            </w:r>
          </w:p>
        </w:tc>
      </w:tr>
      <w:tr w:rsidR="00A70B78" w:rsidRPr="007C6A42" w14:paraId="644E0228" w14:textId="77777777" w:rsidTr="00AF4FC9">
        <w:trPr>
          <w:trHeight w:val="250"/>
          <w:jc w:val="center"/>
        </w:trPr>
        <w:tc>
          <w:tcPr>
            <w:tcW w:w="1704" w:type="dxa"/>
            <w:tcBorders>
              <w:top w:val="single" w:sz="4" w:space="0" w:color="auto"/>
              <w:left w:val="single" w:sz="4" w:space="0" w:color="auto"/>
              <w:bottom w:val="single" w:sz="4" w:space="0" w:color="auto"/>
              <w:right w:val="single" w:sz="4" w:space="0" w:color="auto"/>
            </w:tcBorders>
          </w:tcPr>
          <w:p w14:paraId="32AB74B9"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lang w:bidi="ar-KW"/>
              </w:rPr>
              <w:t>Berque (1990)</w:t>
            </w:r>
          </w:p>
        </w:tc>
        <w:tc>
          <w:tcPr>
            <w:tcW w:w="3685" w:type="dxa"/>
            <w:tcBorders>
              <w:top w:val="single" w:sz="4" w:space="0" w:color="auto"/>
              <w:left w:val="single" w:sz="4" w:space="0" w:color="auto"/>
              <w:bottom w:val="single" w:sz="4" w:space="0" w:color="auto"/>
              <w:right w:val="single" w:sz="4" w:space="0" w:color="auto"/>
            </w:tcBorders>
          </w:tcPr>
          <w:p w14:paraId="76A99F37" w14:textId="77777777" w:rsidR="00A70B78" w:rsidRPr="007C6A42" w:rsidRDefault="00A70B78" w:rsidP="00AF4FC9">
            <w:pPr>
              <w:contextualSpacing/>
              <w:jc w:val="both"/>
              <w:rPr>
                <w:rFonts w:asciiTheme="majorBidi" w:eastAsia="Batang" w:hAnsiTheme="majorBidi" w:cstheme="majorBidi"/>
              </w:rPr>
            </w:pPr>
            <w:r w:rsidRPr="007C6A42">
              <w:rPr>
                <w:rFonts w:asciiTheme="majorBidi" w:eastAsia="Calibri" w:hAnsiTheme="majorBidi" w:cstheme="majorBidi"/>
                <w:lang w:bidi="ar-AE"/>
              </w:rPr>
              <w:t>de tout profond défilé</w:t>
            </w:r>
          </w:p>
        </w:tc>
      </w:tr>
      <w:tr w:rsidR="00A70B78" w:rsidRPr="007C6A42" w14:paraId="153D0C28"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1FB59811"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Chour. (1990)</w:t>
            </w:r>
          </w:p>
        </w:tc>
        <w:tc>
          <w:tcPr>
            <w:tcW w:w="3685" w:type="dxa"/>
            <w:tcBorders>
              <w:top w:val="single" w:sz="4" w:space="0" w:color="auto"/>
              <w:left w:val="single" w:sz="4" w:space="0" w:color="auto"/>
              <w:bottom w:val="single" w:sz="4" w:space="0" w:color="auto"/>
              <w:right w:val="single" w:sz="4" w:space="0" w:color="auto"/>
            </w:tcBorders>
          </w:tcPr>
          <w:p w14:paraId="14978E5C" w14:textId="77777777" w:rsidR="00A70B78" w:rsidRPr="007C6A42" w:rsidRDefault="00A70B78" w:rsidP="00AF4FC9">
            <w:pPr>
              <w:contextualSpacing/>
              <w:rPr>
                <w:rFonts w:asciiTheme="majorBidi" w:eastAsia="Times New Roman" w:hAnsiTheme="majorBidi" w:cstheme="majorBidi"/>
              </w:rPr>
            </w:pPr>
            <w:r w:rsidRPr="007C6A42">
              <w:rPr>
                <w:rFonts w:asciiTheme="majorBidi" w:eastAsia="Times New Roman" w:hAnsiTheme="majorBidi" w:cstheme="majorBidi"/>
              </w:rPr>
              <w:t>de toute gorge profonde</w:t>
            </w:r>
          </w:p>
        </w:tc>
      </w:tr>
      <w:tr w:rsidR="00A70B78" w:rsidRPr="007C6A42" w14:paraId="29E017D8"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62081EDD"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Gues. (1999)</w:t>
            </w:r>
          </w:p>
        </w:tc>
        <w:tc>
          <w:tcPr>
            <w:tcW w:w="3685" w:type="dxa"/>
            <w:tcBorders>
              <w:top w:val="single" w:sz="4" w:space="0" w:color="auto"/>
              <w:left w:val="single" w:sz="4" w:space="0" w:color="auto"/>
              <w:bottom w:val="single" w:sz="4" w:space="0" w:color="auto"/>
              <w:right w:val="single" w:sz="4" w:space="0" w:color="auto"/>
            </w:tcBorders>
          </w:tcPr>
          <w:p w14:paraId="6C94F74C" w14:textId="77777777" w:rsidR="00A70B78" w:rsidRPr="007C6A42" w:rsidRDefault="00A70B78" w:rsidP="00AF4FC9">
            <w:pPr>
              <w:contextualSpacing/>
              <w:rPr>
                <w:rFonts w:asciiTheme="majorBidi" w:eastAsia="Times New Roman" w:hAnsiTheme="majorBidi" w:cstheme="majorBidi"/>
              </w:rPr>
            </w:pPr>
            <w:r w:rsidRPr="007C6A42">
              <w:rPr>
                <w:rFonts w:asciiTheme="majorBidi" w:eastAsia="Times New Roman" w:hAnsiTheme="majorBidi" w:cstheme="majorBidi"/>
              </w:rPr>
              <w:t>des contrées fort éloignées</w:t>
            </w:r>
          </w:p>
        </w:tc>
      </w:tr>
      <w:tr w:rsidR="00A70B78" w:rsidRPr="007C6A42" w14:paraId="0EE40697"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14FF8F6A"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rPr>
              <w:t>Chiad. (1999)</w:t>
            </w:r>
          </w:p>
        </w:tc>
        <w:tc>
          <w:tcPr>
            <w:tcW w:w="3685" w:type="dxa"/>
            <w:tcBorders>
              <w:top w:val="single" w:sz="4" w:space="0" w:color="auto"/>
              <w:left w:val="single" w:sz="4" w:space="0" w:color="auto"/>
              <w:bottom w:val="single" w:sz="4" w:space="0" w:color="auto"/>
              <w:right w:val="single" w:sz="4" w:space="0" w:color="auto"/>
            </w:tcBorders>
          </w:tcPr>
          <w:p w14:paraId="2B2D9619" w14:textId="77777777" w:rsidR="00A70B78" w:rsidRPr="007C6A42" w:rsidRDefault="00A70B78" w:rsidP="00AF4FC9">
            <w:pPr>
              <w:contextualSpacing/>
              <w:rPr>
                <w:rFonts w:asciiTheme="majorBidi" w:eastAsia="Times New Roman" w:hAnsiTheme="majorBidi" w:cstheme="majorBidi"/>
              </w:rPr>
            </w:pPr>
            <w:r w:rsidRPr="007C6A42">
              <w:rPr>
                <w:rFonts w:asciiTheme="majorBidi" w:hAnsiTheme="majorBidi" w:cstheme="majorBidi"/>
              </w:rPr>
              <w:t xml:space="preserve">des contrées </w:t>
            </w:r>
            <w:r w:rsidRPr="007C6A42">
              <w:rPr>
                <w:rFonts w:asciiTheme="majorBidi" w:eastAsia="Batang" w:hAnsiTheme="majorBidi" w:cstheme="majorBidi"/>
              </w:rPr>
              <w:t>les plus éloignées</w:t>
            </w:r>
          </w:p>
        </w:tc>
      </w:tr>
      <w:tr w:rsidR="00A70B78" w:rsidRPr="007C6A42" w14:paraId="7811C201"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5CDD8999"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lang w:bidi="ar-KW"/>
              </w:rPr>
              <w:t>Méd. (2001)</w:t>
            </w:r>
          </w:p>
        </w:tc>
        <w:tc>
          <w:tcPr>
            <w:tcW w:w="3685" w:type="dxa"/>
            <w:tcBorders>
              <w:top w:val="single" w:sz="4" w:space="0" w:color="auto"/>
              <w:left w:val="single" w:sz="4" w:space="0" w:color="auto"/>
              <w:bottom w:val="single" w:sz="4" w:space="0" w:color="auto"/>
              <w:right w:val="single" w:sz="4" w:space="0" w:color="auto"/>
            </w:tcBorders>
          </w:tcPr>
          <w:p w14:paraId="39F49C02" w14:textId="77777777" w:rsidR="00A70B78" w:rsidRPr="007C6A42" w:rsidRDefault="00A70B78" w:rsidP="00AF4FC9">
            <w:pPr>
              <w:shd w:val="clear" w:color="auto" w:fill="FFFFFF"/>
              <w:contextualSpacing/>
              <w:jc w:val="both"/>
              <w:rPr>
                <w:rFonts w:asciiTheme="majorBidi" w:eastAsia="Times New Roman" w:hAnsiTheme="majorBidi" w:cstheme="majorBidi"/>
              </w:rPr>
            </w:pPr>
            <w:r w:rsidRPr="007C6A42">
              <w:rPr>
                <w:rFonts w:asciiTheme="majorBidi" w:eastAsia="Times New Roman" w:hAnsiTheme="majorBidi" w:cstheme="majorBidi"/>
              </w:rPr>
              <w:t>de tout chemin éloigné</w:t>
            </w:r>
          </w:p>
        </w:tc>
      </w:tr>
      <w:tr w:rsidR="00A70B78" w:rsidRPr="007C6A42" w14:paraId="1BAC437E"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5C4C92ED" w14:textId="77777777" w:rsidR="00A70B78" w:rsidRPr="007C6A42" w:rsidRDefault="00A70B78" w:rsidP="00AF4FC9">
            <w:pPr>
              <w:contextualSpacing/>
              <w:jc w:val="both"/>
              <w:rPr>
                <w:rFonts w:asciiTheme="majorBidi" w:eastAsia="Times New Roman" w:hAnsiTheme="majorBidi" w:cstheme="majorBidi"/>
                <w:lang w:bidi="ar-KW"/>
              </w:rPr>
            </w:pPr>
            <w:r w:rsidRPr="007C6A42">
              <w:rPr>
                <w:rFonts w:asciiTheme="majorBidi" w:eastAsia="Times New Roman" w:hAnsiTheme="majorBidi" w:cstheme="majorBidi"/>
              </w:rPr>
              <w:t>Abdel. (2002)</w:t>
            </w:r>
          </w:p>
        </w:tc>
        <w:tc>
          <w:tcPr>
            <w:tcW w:w="3685" w:type="dxa"/>
            <w:tcBorders>
              <w:top w:val="single" w:sz="4" w:space="0" w:color="auto"/>
              <w:left w:val="single" w:sz="4" w:space="0" w:color="auto"/>
              <w:bottom w:val="single" w:sz="4" w:space="0" w:color="auto"/>
              <w:right w:val="single" w:sz="4" w:space="0" w:color="auto"/>
            </w:tcBorders>
          </w:tcPr>
          <w:p w14:paraId="00AD83F7" w14:textId="77777777" w:rsidR="00A70B78" w:rsidRPr="007C6A42" w:rsidRDefault="00A70B78" w:rsidP="00AF4FC9">
            <w:pPr>
              <w:shd w:val="clear" w:color="auto" w:fill="FFFFFF"/>
              <w:contextualSpacing/>
              <w:jc w:val="both"/>
              <w:rPr>
                <w:rFonts w:asciiTheme="majorBidi" w:eastAsia="Times New Roman" w:hAnsiTheme="majorBidi" w:cstheme="majorBidi"/>
              </w:rPr>
            </w:pPr>
            <w:r w:rsidRPr="007C6A42">
              <w:rPr>
                <w:rFonts w:asciiTheme="majorBidi" w:eastAsia="Times New Roman" w:hAnsiTheme="majorBidi" w:cstheme="majorBidi"/>
              </w:rPr>
              <w:t>de tout ravin éloigné.</w:t>
            </w:r>
          </w:p>
        </w:tc>
      </w:tr>
      <w:tr w:rsidR="00A70B78" w:rsidRPr="007C6A42" w14:paraId="196B99C1"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3AA60B6C" w14:textId="77777777" w:rsidR="00A70B78" w:rsidRPr="007C6A42" w:rsidRDefault="00A70B78" w:rsidP="00AF4FC9">
            <w:pPr>
              <w:contextualSpacing/>
              <w:jc w:val="both"/>
              <w:rPr>
                <w:rFonts w:asciiTheme="majorBidi" w:eastAsia="Times New Roman" w:hAnsiTheme="majorBidi" w:cstheme="majorBidi"/>
              </w:rPr>
            </w:pPr>
            <w:r w:rsidRPr="007C6A42">
              <w:rPr>
                <w:rFonts w:asciiTheme="majorBidi" w:eastAsia="Times New Roman" w:hAnsiTheme="majorBidi" w:cstheme="majorBidi"/>
                <w:lang w:bidi="ar-KW"/>
              </w:rPr>
              <w:t>Ald. (2008)</w:t>
            </w:r>
          </w:p>
        </w:tc>
        <w:tc>
          <w:tcPr>
            <w:tcW w:w="3685" w:type="dxa"/>
            <w:tcBorders>
              <w:top w:val="single" w:sz="4" w:space="0" w:color="auto"/>
              <w:left w:val="single" w:sz="4" w:space="0" w:color="auto"/>
              <w:bottom w:val="single" w:sz="4" w:space="0" w:color="auto"/>
              <w:right w:val="single" w:sz="4" w:space="0" w:color="auto"/>
            </w:tcBorders>
          </w:tcPr>
          <w:p w14:paraId="0F10FAA1" w14:textId="77777777" w:rsidR="00A70B78" w:rsidRPr="007C6A42" w:rsidRDefault="00A70B78" w:rsidP="00AF4FC9">
            <w:pPr>
              <w:shd w:val="clear" w:color="auto" w:fill="FFFFFF"/>
              <w:contextualSpacing/>
              <w:jc w:val="both"/>
              <w:rPr>
                <w:rFonts w:asciiTheme="majorBidi" w:eastAsia="Times New Roman" w:hAnsiTheme="majorBidi" w:cstheme="majorBidi"/>
              </w:rPr>
            </w:pPr>
            <w:r w:rsidRPr="007C6A42">
              <w:rPr>
                <w:rFonts w:asciiTheme="majorBidi" w:eastAsia="Times New Roman" w:hAnsiTheme="majorBidi" w:cstheme="majorBidi"/>
                <w:lang w:eastAsia="fr-CH"/>
              </w:rPr>
              <w:t>de tout profond défilé.</w:t>
            </w:r>
          </w:p>
        </w:tc>
      </w:tr>
      <w:tr w:rsidR="00A70B78" w:rsidRPr="007C6A42" w14:paraId="33EE6060" w14:textId="77777777" w:rsidTr="00AF4FC9">
        <w:trPr>
          <w:jc w:val="center"/>
        </w:trPr>
        <w:tc>
          <w:tcPr>
            <w:tcW w:w="1704" w:type="dxa"/>
            <w:tcBorders>
              <w:top w:val="single" w:sz="4" w:space="0" w:color="auto"/>
              <w:left w:val="single" w:sz="4" w:space="0" w:color="auto"/>
              <w:bottom w:val="single" w:sz="4" w:space="0" w:color="auto"/>
              <w:right w:val="single" w:sz="4" w:space="0" w:color="auto"/>
            </w:tcBorders>
          </w:tcPr>
          <w:p w14:paraId="4FF63B7B" w14:textId="77777777" w:rsidR="00A70B78" w:rsidRPr="007C6A42" w:rsidRDefault="00A70B78" w:rsidP="00AF4FC9">
            <w:pPr>
              <w:contextualSpacing/>
              <w:jc w:val="both"/>
              <w:rPr>
                <w:rFonts w:asciiTheme="majorBidi" w:eastAsia="Times New Roman" w:hAnsiTheme="majorBidi" w:cstheme="majorBidi"/>
                <w:lang w:bidi="ar-KW"/>
              </w:rPr>
            </w:pPr>
            <w:r w:rsidRPr="007C6A42">
              <w:rPr>
                <w:rFonts w:asciiTheme="majorBidi" w:eastAsia="Times New Roman" w:hAnsiTheme="majorBidi" w:cstheme="majorBidi"/>
              </w:rPr>
              <w:t>Cheb. (2009)</w:t>
            </w:r>
          </w:p>
        </w:tc>
        <w:tc>
          <w:tcPr>
            <w:tcW w:w="3685" w:type="dxa"/>
            <w:tcBorders>
              <w:top w:val="single" w:sz="4" w:space="0" w:color="auto"/>
              <w:left w:val="single" w:sz="4" w:space="0" w:color="auto"/>
              <w:bottom w:val="single" w:sz="4" w:space="0" w:color="auto"/>
              <w:right w:val="single" w:sz="4" w:space="0" w:color="auto"/>
            </w:tcBorders>
          </w:tcPr>
          <w:p w14:paraId="3454CAA1" w14:textId="77777777" w:rsidR="00A70B78" w:rsidRPr="007C6A42" w:rsidRDefault="00A70B78" w:rsidP="00AF4FC9">
            <w:pPr>
              <w:shd w:val="clear" w:color="auto" w:fill="FFFFFF"/>
              <w:contextualSpacing/>
              <w:jc w:val="both"/>
              <w:rPr>
                <w:rFonts w:asciiTheme="majorBidi" w:eastAsia="Times New Roman" w:hAnsiTheme="majorBidi" w:cstheme="majorBidi"/>
                <w:lang w:eastAsia="fr-CH"/>
              </w:rPr>
            </w:pPr>
            <w:r w:rsidRPr="007C6A42">
              <w:rPr>
                <w:rFonts w:asciiTheme="majorBidi" w:eastAsia="Calibri" w:hAnsiTheme="majorBidi" w:cstheme="majorBidi"/>
              </w:rPr>
              <w:t>de chaque profond défilé</w:t>
            </w:r>
          </w:p>
        </w:tc>
      </w:tr>
      <w:tr w:rsidR="00A70B78" w:rsidRPr="007C6A42" w14:paraId="4D4B9431" w14:textId="77777777" w:rsidTr="00AF4FC9">
        <w:trPr>
          <w:trHeight w:val="208"/>
          <w:jc w:val="center"/>
        </w:trPr>
        <w:tc>
          <w:tcPr>
            <w:tcW w:w="1704" w:type="dxa"/>
            <w:tcBorders>
              <w:top w:val="single" w:sz="4" w:space="0" w:color="auto"/>
              <w:left w:val="single" w:sz="4" w:space="0" w:color="auto"/>
              <w:bottom w:val="single" w:sz="4" w:space="0" w:color="auto"/>
              <w:right w:val="single" w:sz="4" w:space="0" w:color="auto"/>
            </w:tcBorders>
          </w:tcPr>
          <w:p w14:paraId="5AF40D34" w14:textId="77777777" w:rsidR="00A70B78" w:rsidRPr="007C6A42" w:rsidRDefault="00A70B78" w:rsidP="00AF4FC9">
            <w:pPr>
              <w:contextualSpacing/>
              <w:jc w:val="both"/>
              <w:rPr>
                <w:rFonts w:asciiTheme="majorBidi" w:eastAsia="Times New Roman" w:hAnsiTheme="majorBidi" w:cstheme="majorBidi"/>
                <w:lang w:bidi="ar-KW"/>
              </w:rPr>
            </w:pPr>
            <w:r w:rsidRPr="007C6A42">
              <w:rPr>
                <w:rFonts w:asciiTheme="majorBidi" w:eastAsia="Times New Roman" w:hAnsiTheme="majorBidi" w:cstheme="majorBidi"/>
              </w:rPr>
              <w:t>Haf. (2010)</w:t>
            </w:r>
          </w:p>
        </w:tc>
        <w:tc>
          <w:tcPr>
            <w:tcW w:w="3685" w:type="dxa"/>
            <w:tcBorders>
              <w:top w:val="single" w:sz="4" w:space="0" w:color="auto"/>
              <w:left w:val="single" w:sz="4" w:space="0" w:color="auto"/>
              <w:bottom w:val="single" w:sz="4" w:space="0" w:color="auto"/>
              <w:right w:val="single" w:sz="4" w:space="0" w:color="auto"/>
            </w:tcBorders>
          </w:tcPr>
          <w:p w14:paraId="5FAB64EC" w14:textId="77777777" w:rsidR="00A70B78" w:rsidRPr="007C6A42" w:rsidRDefault="00A70B78" w:rsidP="00AF4FC9">
            <w:pPr>
              <w:contextualSpacing/>
              <w:jc w:val="both"/>
              <w:rPr>
                <w:rFonts w:asciiTheme="majorBidi" w:eastAsia="Batang" w:hAnsiTheme="majorBidi" w:cstheme="majorBidi"/>
              </w:rPr>
            </w:pPr>
            <w:r w:rsidRPr="007C6A42">
              <w:rPr>
                <w:rFonts w:asciiTheme="majorBidi" w:eastAsia="Batang" w:hAnsiTheme="majorBidi" w:cstheme="majorBidi"/>
              </w:rPr>
              <w:t>des contrées les plus éloignées</w:t>
            </w:r>
          </w:p>
        </w:tc>
      </w:tr>
    </w:tbl>
    <w:p w14:paraId="6780E933" w14:textId="77777777" w:rsidR="00A70B78" w:rsidRPr="007C6A42" w:rsidRDefault="00A70B78" w:rsidP="00A70B78">
      <w:pPr>
        <w:spacing w:line="360" w:lineRule="auto"/>
        <w:jc w:val="both"/>
        <w:rPr>
          <w:rFonts w:asciiTheme="majorBidi" w:hAnsiTheme="majorBidi" w:cstheme="majorBidi"/>
        </w:rPr>
      </w:pPr>
    </w:p>
    <w:p w14:paraId="577F3BB8"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Il convient de souligner que le syntagme « des contrées les plus éloignées » modifie le sens de l’original en ajoutant le superlatif, en explicitant le sens de « contrées » et de « éloignées », et en employant le pluriel. D’ailleurs aucune traduction n’a montré la saveur de cette image arabe qui ferait allusion à la sphéricité de la Terre selon les partisans de l’inimitabilité scientifique</w:t>
      </w:r>
      <w:r w:rsidRPr="007C6A42">
        <w:rPr>
          <w:rStyle w:val="Appelnotedebasdep"/>
          <w:rFonts w:asciiTheme="majorBidi" w:hAnsiTheme="majorBidi" w:cstheme="majorBidi"/>
        </w:rPr>
        <w:footnoteReference w:id="577"/>
      </w:r>
      <w:r w:rsidRPr="007C6A42">
        <w:rPr>
          <w:rFonts w:asciiTheme="majorBidi" w:hAnsiTheme="majorBidi" w:cstheme="majorBidi"/>
        </w:rPr>
        <w:t>. Pour essayer de mieux voir le grand écart sémantique entre le syntagme « des contrées les plus éloignées » et le syntagme original, on peut le retraduire littéralement en arabe : « </w:t>
      </w:r>
      <w:r w:rsidRPr="007C6A42">
        <w:rPr>
          <w:rFonts w:asciiTheme="majorBidi" w:hAnsiTheme="majorBidi" w:cstheme="majorBidi"/>
          <w:rtl/>
        </w:rPr>
        <w:t>مِن الأقطارِ الأبعدِ</w:t>
      </w:r>
      <w:r w:rsidRPr="007C6A42">
        <w:rPr>
          <w:rFonts w:asciiTheme="majorBidi" w:hAnsiTheme="majorBidi" w:cstheme="majorBidi"/>
        </w:rPr>
        <w:t> », puis comparer cette dernière traduction avec le syntagme d’origine « </w:t>
      </w:r>
      <w:r w:rsidRPr="007C6A42">
        <w:rPr>
          <w:rFonts w:asciiTheme="majorBidi" w:hAnsiTheme="majorBidi" w:cstheme="majorBidi"/>
          <w:rtl/>
        </w:rPr>
        <w:t>مِن كلِّ فَجٍّ عميق</w:t>
      </w:r>
      <w:r w:rsidRPr="007C6A42">
        <w:rPr>
          <w:rFonts w:asciiTheme="majorBidi" w:hAnsiTheme="majorBidi" w:cstheme="majorBidi"/>
        </w:rPr>
        <w:t> ». Il est évident que les deux syntagmes (« </w:t>
      </w:r>
      <w:r w:rsidRPr="007C6A42">
        <w:rPr>
          <w:rFonts w:asciiTheme="majorBidi" w:hAnsiTheme="majorBidi" w:cstheme="majorBidi"/>
          <w:rtl/>
        </w:rPr>
        <w:t>مِن الأقطارِ الأبعدِ</w:t>
      </w:r>
      <w:r w:rsidRPr="007C6A42">
        <w:rPr>
          <w:rFonts w:asciiTheme="majorBidi" w:hAnsiTheme="majorBidi" w:cstheme="majorBidi"/>
        </w:rPr>
        <w:t> » et « </w:t>
      </w:r>
      <w:r w:rsidRPr="007C6A42">
        <w:rPr>
          <w:rFonts w:asciiTheme="majorBidi" w:hAnsiTheme="majorBidi" w:cstheme="majorBidi"/>
          <w:rtl/>
        </w:rPr>
        <w:t>مِن كلِّ فَجٍّ عميق</w:t>
      </w:r>
      <w:r w:rsidRPr="007C6A42">
        <w:rPr>
          <w:rFonts w:asciiTheme="majorBidi" w:hAnsiTheme="majorBidi" w:cstheme="majorBidi"/>
        </w:rPr>
        <w:t xml:space="preserve"> ») désignent deux images différentes mais sémantiquement proches. Ainsi, ce syntagme s’éloigne du texte original. Ce que font certains traducteurs ultérieurs c’est reprendre </w:t>
      </w:r>
      <w:r w:rsidRPr="007C6A42">
        <w:rPr>
          <w:rFonts w:asciiTheme="majorBidi" w:hAnsiTheme="majorBidi" w:cstheme="majorBidi"/>
        </w:rPr>
        <w:lastRenderedPageBreak/>
        <w:t>ce syntagme, puis le modifier dans le but de s’approcher de la littéralité de la phrase arabe. Kazimirski reprend cette traduction de Savary en supprimant le superlatif qui n’existe pas dans le texte arabe (</w:t>
      </w:r>
      <w:r w:rsidRPr="007C6A42">
        <w:rPr>
          <w:rFonts w:asciiTheme="majorBidi" w:hAnsiTheme="majorBidi" w:cstheme="majorBidi"/>
          <w:i/>
          <w:iCs/>
        </w:rPr>
        <w:t>rapprochement linguistique</w:t>
      </w:r>
      <w:r w:rsidRPr="007C6A42">
        <w:rPr>
          <w:rFonts w:asciiTheme="majorBidi" w:hAnsiTheme="majorBidi" w:cstheme="majorBidi"/>
        </w:rPr>
        <w:t>). Cependant, Ghédira garde le superlatif et remplace le mot « contrées » par « chemins », sens donné par les exégètes</w:t>
      </w:r>
      <w:r w:rsidRPr="007C6A42">
        <w:rPr>
          <w:rFonts w:asciiTheme="majorBidi" w:hAnsiTheme="majorBidi" w:cstheme="majorBidi"/>
          <w:i/>
          <w:iCs/>
        </w:rPr>
        <w:t xml:space="preserve"> </w:t>
      </w:r>
      <w:r w:rsidRPr="007C6A42">
        <w:rPr>
          <w:rFonts w:asciiTheme="majorBidi" w:hAnsiTheme="majorBidi" w:cstheme="majorBidi"/>
        </w:rPr>
        <w:t>(</w:t>
      </w:r>
      <w:r w:rsidRPr="007C6A42">
        <w:rPr>
          <w:rFonts w:asciiTheme="majorBidi" w:hAnsiTheme="majorBidi" w:cstheme="majorBidi"/>
          <w:i/>
          <w:iCs/>
        </w:rPr>
        <w:t>rapprochement exégétique</w:t>
      </w:r>
      <w:r w:rsidRPr="007C6A42">
        <w:rPr>
          <w:rFonts w:asciiTheme="majorBidi" w:hAnsiTheme="majorBidi" w:cstheme="majorBidi"/>
        </w:rPr>
        <w:t xml:space="preserve">). </w:t>
      </w:r>
    </w:p>
    <w:p w14:paraId="4722D4CA"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Entre la traduction de Hamidullah (« d</w:t>
      </w:r>
      <w:r w:rsidRPr="007C6A42">
        <w:rPr>
          <w:rFonts w:asciiTheme="majorBidi" w:eastAsia="Times New Roman" w:hAnsiTheme="majorBidi" w:cstheme="majorBidi"/>
        </w:rPr>
        <w:t>e tout chemin creux »</w:t>
      </w:r>
      <w:r w:rsidRPr="007C6A42">
        <w:rPr>
          <w:rFonts w:asciiTheme="majorBidi" w:hAnsiTheme="majorBidi" w:cstheme="majorBidi"/>
        </w:rPr>
        <w:t>) et celle de Savary (« </w:t>
      </w:r>
      <w:r w:rsidRPr="007C6A42">
        <w:rPr>
          <w:rFonts w:asciiTheme="majorBidi" w:eastAsia="Times New Roman" w:hAnsiTheme="majorBidi" w:cstheme="majorBidi"/>
        </w:rPr>
        <w:t>des contrées les plus éloignées »</w:t>
      </w:r>
      <w:r w:rsidRPr="007C6A42">
        <w:rPr>
          <w:rFonts w:asciiTheme="majorBidi" w:hAnsiTheme="majorBidi" w:cstheme="majorBidi"/>
        </w:rPr>
        <w:t xml:space="preserve">), il existe cinq modifications qui rapprochent la traduction de Hamidullah plus du texte arabe : 1) enlever le pluriel ; 2) ajouter « tout » pour traduire le terme arabe </w:t>
      </w:r>
      <w:r w:rsidRPr="007C6A42">
        <w:rPr>
          <w:rFonts w:asciiTheme="majorBidi" w:hAnsiTheme="majorBidi" w:cstheme="majorBidi"/>
          <w:i/>
          <w:iCs/>
        </w:rPr>
        <w:t>kull</w:t>
      </w:r>
      <w:r w:rsidRPr="007C6A42">
        <w:rPr>
          <w:rFonts w:asciiTheme="majorBidi" w:hAnsiTheme="majorBidi" w:cstheme="majorBidi"/>
        </w:rPr>
        <w:t xml:space="preserve"> ; 3) remplacer « contrées » par « chemin » qui correspond mieux au terme arabe </w:t>
      </w:r>
      <w:r w:rsidRPr="007C6A42">
        <w:rPr>
          <w:rFonts w:asciiTheme="majorBidi" w:hAnsiTheme="majorBidi" w:cstheme="majorBidi"/>
          <w:i/>
          <w:iCs/>
        </w:rPr>
        <w:t>fajj</w:t>
      </w:r>
      <w:r w:rsidRPr="007C6A42">
        <w:rPr>
          <w:rFonts w:asciiTheme="majorBidi" w:hAnsiTheme="majorBidi" w:cstheme="majorBidi"/>
        </w:rPr>
        <w:t> ; 4) supprimer le superlatif ; 5) remplacer « éloignées » par « creux ».</w:t>
      </w:r>
    </w:p>
    <w:p w14:paraId="1E4A2625"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En général, la traduction de Hamidullah est beaucoup plus proche de la traduction précédente de son confrère Ameur Ghédira que de celles de Savary, Kazimirski et Blachère. On peut l’apprécier en comparant le nombre des mots communs entre la traduction de Hamidullah et celles de ces prédécesseurs :</w:t>
      </w:r>
    </w:p>
    <w:tbl>
      <w:tblPr>
        <w:tblStyle w:val="Grilledutableau"/>
        <w:tblW w:w="9467" w:type="dxa"/>
        <w:tblLook w:val="04A0" w:firstRow="1" w:lastRow="0" w:firstColumn="1" w:lastColumn="0" w:noHBand="0" w:noVBand="1"/>
      </w:tblPr>
      <w:tblGrid>
        <w:gridCol w:w="1841"/>
        <w:gridCol w:w="1841"/>
        <w:gridCol w:w="1841"/>
        <w:gridCol w:w="1841"/>
        <w:gridCol w:w="2103"/>
      </w:tblGrid>
      <w:tr w:rsidR="00A70B78" w:rsidRPr="007C6A42" w14:paraId="4A256774" w14:textId="77777777" w:rsidTr="00AF4FC9">
        <w:tc>
          <w:tcPr>
            <w:tcW w:w="1841" w:type="dxa"/>
          </w:tcPr>
          <w:p w14:paraId="1DA62E56" w14:textId="77777777" w:rsidR="00A70B78" w:rsidRPr="007C6A42" w:rsidRDefault="00A70B78" w:rsidP="00AF4FC9">
            <w:pPr>
              <w:spacing w:line="360" w:lineRule="auto"/>
              <w:jc w:val="both"/>
              <w:rPr>
                <w:rFonts w:asciiTheme="majorBidi" w:hAnsiTheme="majorBidi" w:cstheme="majorBidi"/>
              </w:rPr>
            </w:pPr>
          </w:p>
        </w:tc>
        <w:tc>
          <w:tcPr>
            <w:tcW w:w="1841" w:type="dxa"/>
          </w:tcPr>
          <w:p w14:paraId="0B4C6B5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Traduction de Savary</w:t>
            </w:r>
          </w:p>
          <w:p w14:paraId="0DBFABA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(1782)</w:t>
            </w:r>
          </w:p>
        </w:tc>
        <w:tc>
          <w:tcPr>
            <w:tcW w:w="1841" w:type="dxa"/>
          </w:tcPr>
          <w:p w14:paraId="0D27CEA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Traduction de Kazimirski</w:t>
            </w:r>
          </w:p>
          <w:p w14:paraId="4B2E9E2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(1840)</w:t>
            </w:r>
          </w:p>
        </w:tc>
        <w:tc>
          <w:tcPr>
            <w:tcW w:w="1841" w:type="dxa"/>
          </w:tcPr>
          <w:p w14:paraId="56750ED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Traduction de Blachère</w:t>
            </w:r>
          </w:p>
          <w:p w14:paraId="63C7001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(1949)</w:t>
            </w:r>
          </w:p>
        </w:tc>
        <w:tc>
          <w:tcPr>
            <w:tcW w:w="2103" w:type="dxa"/>
          </w:tcPr>
          <w:p w14:paraId="645B056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Traduction de Ghédira</w:t>
            </w:r>
          </w:p>
          <w:p w14:paraId="12EA860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(1957)</w:t>
            </w:r>
          </w:p>
        </w:tc>
      </w:tr>
      <w:tr w:rsidR="00A70B78" w:rsidRPr="007C6A42" w14:paraId="303598EC" w14:textId="77777777" w:rsidTr="00AF4FC9">
        <w:tc>
          <w:tcPr>
            <w:tcW w:w="1841" w:type="dxa"/>
          </w:tcPr>
          <w:p w14:paraId="17FEB8F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Traduction de Hamidullah (1959)</w:t>
            </w:r>
          </w:p>
        </w:tc>
        <w:tc>
          <w:tcPr>
            <w:tcW w:w="1841" w:type="dxa"/>
          </w:tcPr>
          <w:p w14:paraId="220A9DD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10 mots</w:t>
            </w:r>
          </w:p>
        </w:tc>
        <w:tc>
          <w:tcPr>
            <w:tcW w:w="1841" w:type="dxa"/>
          </w:tcPr>
          <w:p w14:paraId="0C553CB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35 mots</w:t>
            </w:r>
          </w:p>
        </w:tc>
        <w:tc>
          <w:tcPr>
            <w:tcW w:w="1841" w:type="dxa"/>
          </w:tcPr>
          <w:p w14:paraId="3D06C72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40 mots</w:t>
            </w:r>
          </w:p>
        </w:tc>
        <w:tc>
          <w:tcPr>
            <w:tcW w:w="2103" w:type="dxa"/>
          </w:tcPr>
          <w:p w14:paraId="4813872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80 mots</w:t>
            </w:r>
          </w:p>
        </w:tc>
      </w:tr>
    </w:tbl>
    <w:p w14:paraId="13386BD4" w14:textId="77777777" w:rsidR="00A70B78" w:rsidRPr="007C6A42" w:rsidRDefault="00A70B78" w:rsidP="00A70B78">
      <w:pPr>
        <w:spacing w:line="360" w:lineRule="auto"/>
        <w:jc w:val="both"/>
        <w:rPr>
          <w:rFonts w:asciiTheme="majorBidi" w:hAnsiTheme="majorBidi" w:cstheme="majorBidi"/>
        </w:rPr>
      </w:pPr>
      <w:r w:rsidRPr="007C6A42">
        <w:rPr>
          <w:rFonts w:asciiTheme="majorBidi" w:hAnsiTheme="majorBidi" w:cstheme="majorBidi"/>
        </w:rPr>
        <w:t>.</w:t>
      </w:r>
    </w:p>
    <w:p w14:paraId="768D728A"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Plus tard, le Complexe de Médine, qui part de la traduction de Hamidullah, apporte deux modifications à la traduction de ce dernier (« d</w:t>
      </w:r>
      <w:r w:rsidRPr="007C6A42">
        <w:rPr>
          <w:rFonts w:asciiTheme="majorBidi" w:eastAsia="Times New Roman" w:hAnsiTheme="majorBidi" w:cstheme="majorBidi"/>
        </w:rPr>
        <w:t>e tout chemin creux »</w:t>
      </w:r>
      <w:r w:rsidRPr="007C6A42">
        <w:rPr>
          <w:rFonts w:asciiTheme="majorBidi" w:hAnsiTheme="majorBidi" w:cstheme="majorBidi"/>
        </w:rPr>
        <w:t>) : 1) remplacer « creux » par « éloigné » (qui est le choix de cinq traducteurs prédécesseurs : Savary, Kazimirski, Ghédira, Guessous et Chiadmi) ; 2) supprimer la note du traducteur. Par ces deux modifications, le Complexe de Médine s’approche encore plus de la littéralité du texte arabe.</w:t>
      </w:r>
    </w:p>
    <w:p w14:paraId="2B6FFFC3" w14:textId="77777777" w:rsidR="00A70B78" w:rsidRPr="007C6A42" w:rsidRDefault="00A70B78" w:rsidP="00A70B78">
      <w:pPr>
        <w:spacing w:line="360" w:lineRule="auto"/>
        <w:jc w:val="both"/>
        <w:rPr>
          <w:rFonts w:asciiTheme="majorBidi" w:hAnsiTheme="majorBidi" w:cstheme="majorBidi"/>
        </w:rPr>
      </w:pPr>
    </w:p>
    <w:p w14:paraId="02B39769"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Entre la traduction de Hafiane (2010) et celle Kazimirski (1840), il existe plus de ressemblances. En plus des termes (comme : « Ô hommes », « son nourrisson »), Hafiane reprend de Savary des syntagmes et des phrases plus longues, comme : « tu verras les hommes comme ivres » (</w:t>
      </w:r>
      <w:r w:rsidRPr="007C6A42">
        <w:rPr>
          <w:rFonts w:asciiTheme="majorBidi" w:hAnsiTheme="majorBidi" w:cstheme="majorBidi"/>
          <w:i/>
          <w:iCs/>
        </w:rPr>
        <w:t>ici Hafiane supprime : « comme » pour être plus littéral</w:t>
      </w:r>
      <w:r w:rsidRPr="007C6A42">
        <w:rPr>
          <w:rFonts w:asciiTheme="majorBidi" w:hAnsiTheme="majorBidi" w:cstheme="majorBidi"/>
        </w:rPr>
        <w:t>) ; « le châtiment de Dieu » ; « suivent tout démon » ; « qui éloignent les hommes du chemin de Dieu » (</w:t>
      </w:r>
      <w:r w:rsidRPr="007C6A42">
        <w:rPr>
          <w:rFonts w:asciiTheme="majorBidi" w:hAnsiTheme="majorBidi" w:cstheme="majorBidi"/>
          <w:i/>
          <w:iCs/>
        </w:rPr>
        <w:t xml:space="preserve">seuls </w:t>
      </w:r>
      <w:r w:rsidRPr="007C6A42">
        <w:rPr>
          <w:rFonts w:asciiTheme="majorBidi" w:hAnsiTheme="majorBidi" w:cstheme="majorBidi"/>
          <w:i/>
          <w:iCs/>
        </w:rPr>
        <w:lastRenderedPageBreak/>
        <w:t>Kazimirski et Hafiane ont choisi cette traduction, alors que Berque par exemple le rend ainsi : « </w:t>
      </w:r>
      <w:r w:rsidRPr="007C6A42">
        <w:rPr>
          <w:rFonts w:asciiTheme="majorBidi" w:eastAsia="Calibri" w:hAnsiTheme="majorBidi" w:cstheme="majorBidi"/>
          <w:i/>
          <w:iCs/>
          <w:lang w:bidi="ar-AE"/>
        </w:rPr>
        <w:t>qui dressent des obstacles sur le chemin de Dieu », et Blachère : « </w:t>
      </w:r>
      <w:r w:rsidRPr="007C6A42">
        <w:rPr>
          <w:rFonts w:asciiTheme="majorBidi" w:hAnsiTheme="majorBidi" w:cstheme="majorBidi"/>
          <w:i/>
          <w:iCs/>
        </w:rPr>
        <w:t>écartent du Chemin d’Allah »</w:t>
      </w:r>
      <w:r w:rsidRPr="007C6A42">
        <w:rPr>
          <w:rFonts w:asciiTheme="majorBidi" w:hAnsiTheme="majorBidi" w:cstheme="majorBidi"/>
        </w:rPr>
        <w:t>) ; « Souviens-toi que » ; « animaux consacrés aux offrandes de nombreux avantages » (</w:t>
      </w:r>
      <w:r w:rsidRPr="007C6A42">
        <w:rPr>
          <w:rFonts w:asciiTheme="majorBidi" w:hAnsiTheme="majorBidi" w:cstheme="majorBidi"/>
          <w:i/>
          <w:iCs/>
        </w:rPr>
        <w:t>aussi le choix de Ghédira</w:t>
      </w:r>
      <w:r w:rsidRPr="007C6A42">
        <w:rPr>
          <w:rFonts w:asciiTheme="majorBidi" w:hAnsiTheme="majorBidi" w:cstheme="majorBidi"/>
        </w:rPr>
        <w:t>) ; « Nous avons destiné les chameaux pour servir aux rites » (</w:t>
      </w:r>
      <w:r w:rsidRPr="007C6A42">
        <w:rPr>
          <w:rFonts w:asciiTheme="majorBidi" w:hAnsiTheme="majorBidi" w:cstheme="majorBidi"/>
          <w:i/>
          <w:iCs/>
        </w:rPr>
        <w:t>ici Hafiane ajoute après « chameaux » : « de belle prestance », qui est le choix de Boubakeur, et il réunit par la suite la traduction de Kazimirski et de Boubakeur dans une tendance d’embellissement et de clarification</w:t>
      </w:r>
      <w:r w:rsidRPr="007C6A42">
        <w:rPr>
          <w:rFonts w:asciiTheme="majorBidi" w:hAnsiTheme="majorBidi" w:cstheme="majorBidi"/>
        </w:rPr>
        <w:t>) ; « Dieu accordera une belle récompense à ceux qui ont émigré pour la cause de Dieu » (</w:t>
      </w:r>
      <w:r w:rsidRPr="007C6A42">
        <w:rPr>
          <w:rFonts w:asciiTheme="majorBidi" w:hAnsiTheme="majorBidi" w:cstheme="majorBidi"/>
          <w:i/>
          <w:iCs/>
        </w:rPr>
        <w:t>ici Hafiane modifie seulement le temps : « auront émigré », il s’agit là aussi du choix de Blachère</w:t>
      </w:r>
      <w:r w:rsidRPr="007C6A42">
        <w:rPr>
          <w:rFonts w:asciiTheme="majorBidi" w:hAnsiTheme="majorBidi" w:cstheme="majorBidi"/>
        </w:rPr>
        <w:t xml:space="preserve">). Cette tendance d’assemblage et de compilation dans la traduction est fréquente chez les traducteurs, dans le sens où le traducteur confronte plusieurs traductions pour donner la sienne. Cela donne lieu à des rencontres inattendues entre les traductions les plus opposées. Par exemple, Abdelaziz et Berque se rencontrent dans certaines traductions comme : </w:t>
      </w:r>
      <w:r w:rsidRPr="007C6A42">
        <w:rPr>
          <w:rFonts w:asciiTheme="majorBidi" w:hAnsiTheme="majorBidi" w:cstheme="majorBidi"/>
          <w:i/>
          <w:iCs/>
        </w:rPr>
        <w:t>yuʿaẓẓim</w:t>
      </w:r>
      <w:r w:rsidRPr="007C6A42">
        <w:rPr>
          <w:rFonts w:asciiTheme="majorBidi" w:hAnsiTheme="majorBidi" w:cstheme="majorBidi"/>
        </w:rPr>
        <w:t xml:space="preserve"> (v. 30) : « magnifie » ; </w:t>
      </w:r>
      <w:r w:rsidRPr="007C6A42">
        <w:rPr>
          <w:rFonts w:asciiTheme="majorBidi" w:hAnsiTheme="majorBidi" w:cstheme="majorBidi"/>
          <w:i/>
          <w:iCs/>
        </w:rPr>
        <w:t>min dyāri-him </w:t>
      </w:r>
      <w:r w:rsidRPr="007C6A42">
        <w:rPr>
          <w:rFonts w:asciiTheme="majorBidi" w:hAnsiTheme="majorBidi" w:cstheme="majorBidi"/>
        </w:rPr>
        <w:t>: « de leurs demeures » (v. 40) ; « </w:t>
      </w:r>
      <w:r w:rsidRPr="007C6A42">
        <w:rPr>
          <w:rFonts w:asciiTheme="majorBidi" w:hAnsiTheme="majorBidi" w:cstheme="majorBidi"/>
          <w:rtl/>
        </w:rPr>
        <w:t>إِن يُكَذِّبُوكَ</w:t>
      </w:r>
      <w:r w:rsidRPr="007C6A42">
        <w:rPr>
          <w:rFonts w:asciiTheme="majorBidi" w:hAnsiTheme="majorBidi" w:cstheme="majorBidi"/>
        </w:rPr>
        <w:t> » (v. 42) : « </w:t>
      </w:r>
      <w:r w:rsidRPr="007C6A42">
        <w:rPr>
          <w:rFonts w:asciiTheme="majorBidi" w:eastAsia="Calibri" w:hAnsiTheme="majorBidi" w:cstheme="majorBidi"/>
          <w:lang w:bidi="ar-AE"/>
        </w:rPr>
        <w:t>Ils te démentent ? » (Berque) et « </w:t>
      </w:r>
      <w:r w:rsidRPr="007C6A42">
        <w:rPr>
          <w:rFonts w:asciiTheme="majorBidi" w:hAnsiTheme="majorBidi" w:cstheme="majorBidi"/>
        </w:rPr>
        <w:t>Et ils te démentent » (Abdelaziz).</w:t>
      </w:r>
    </w:p>
    <w:p w14:paraId="3EC45A21" w14:textId="77777777" w:rsidR="00A70B78" w:rsidRDefault="00A70B78" w:rsidP="00A70B78">
      <w:pPr>
        <w:spacing w:line="360" w:lineRule="auto"/>
        <w:ind w:firstLine="708"/>
        <w:jc w:val="both"/>
        <w:rPr>
          <w:rFonts w:asciiTheme="majorBidi" w:hAnsiTheme="majorBidi" w:cstheme="majorBidi"/>
        </w:rPr>
      </w:pPr>
    </w:p>
    <w:p w14:paraId="75C6282A" w14:textId="77777777" w:rsidR="000741F3" w:rsidRPr="007C6A42" w:rsidRDefault="000741F3" w:rsidP="00A70B78">
      <w:pPr>
        <w:spacing w:line="360" w:lineRule="auto"/>
        <w:ind w:firstLine="708"/>
        <w:jc w:val="both"/>
        <w:rPr>
          <w:rFonts w:asciiTheme="majorBidi" w:hAnsiTheme="majorBidi" w:cstheme="majorBidi"/>
        </w:rPr>
      </w:pPr>
    </w:p>
    <w:p w14:paraId="0DC28CAB" w14:textId="0ACB5362" w:rsidR="00A70B78" w:rsidRPr="000741F3" w:rsidRDefault="00A70B78" w:rsidP="00482E9A">
      <w:pPr>
        <w:pStyle w:val="Paragraphedeliste"/>
        <w:numPr>
          <w:ilvl w:val="1"/>
          <w:numId w:val="47"/>
        </w:numPr>
        <w:bidi w:val="0"/>
        <w:spacing w:after="0" w:line="360" w:lineRule="auto"/>
        <w:contextualSpacing/>
        <w:jc w:val="both"/>
        <w:rPr>
          <w:rFonts w:asciiTheme="majorBidi" w:hAnsiTheme="majorBidi" w:cstheme="majorBidi"/>
          <w:b/>
          <w:bCs/>
          <w:sz w:val="24"/>
          <w:szCs w:val="24"/>
        </w:rPr>
      </w:pPr>
      <w:r w:rsidRPr="000741F3">
        <w:rPr>
          <w:rFonts w:asciiTheme="majorBidi" w:hAnsiTheme="majorBidi" w:cstheme="majorBidi"/>
          <w:b/>
          <w:bCs/>
          <w:sz w:val="24"/>
          <w:szCs w:val="24"/>
        </w:rPr>
        <w:t>Différences entre la traduction de Hamidullah et celle du Complexe de Médine :</w:t>
      </w:r>
    </w:p>
    <w:p w14:paraId="7B9B3D15" w14:textId="77777777" w:rsidR="00A70B78" w:rsidRPr="007C6A42" w:rsidRDefault="00A70B78" w:rsidP="00482E9A">
      <w:pPr>
        <w:spacing w:line="360" w:lineRule="auto"/>
        <w:ind w:firstLine="708"/>
        <w:contextualSpacing/>
        <w:jc w:val="both"/>
        <w:rPr>
          <w:rFonts w:asciiTheme="majorBidi" w:hAnsiTheme="majorBidi" w:cstheme="majorBidi"/>
        </w:rPr>
      </w:pPr>
      <w:r w:rsidRPr="007C6A42">
        <w:rPr>
          <w:rFonts w:asciiTheme="majorBidi" w:hAnsiTheme="majorBidi" w:cstheme="majorBidi"/>
        </w:rPr>
        <w:t>Cependant les différences entre les premières traductions et les traductions contemporaines sont beaucoup plus grandes que leurs similitudes, ce qui peut signifier que les traductions ont beaucoup changé vers plus de respect de la littéralité du texte arabe. Pourtant, on peut trouver des ajouts ou des libertés de traduction chez les traducteurs contemporains.</w:t>
      </w:r>
    </w:p>
    <w:p w14:paraId="0D833AFB"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Il est important donc de voir les différences, surtout entre les traductions qui ont un objectif et une méthode proche l’un de l’autre. Nous allons voir des exemples sur les changements que le Complexe de Médine a apportés à la traduction de Hamidullah. Nous pouvons résumer ces modifications dans les points essentiels suivants :</w:t>
      </w:r>
    </w:p>
    <w:p w14:paraId="7E7A5578" w14:textId="77777777" w:rsidR="00A70B78" w:rsidRPr="007C6A42" w:rsidRDefault="00A70B78" w:rsidP="00876BB0">
      <w:pPr>
        <w:pStyle w:val="Paragraphedeliste"/>
        <w:numPr>
          <w:ilvl w:val="0"/>
          <w:numId w:val="117"/>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xml:space="preserve">En plus de remplacer « Dieu » par « Allah », modifier les noms de Dieu en utilisant la majuscule et en choisissant un terme plus précis parmi les choix des traducteurs prédécesseurs. Ainsi, dans les traductions des noms de Dieu, les choix du Complexe et de ses prédécesseurs (notamment Blachère, Kazimirski et Berque) se rejoignent </w:t>
      </w:r>
      <w:r w:rsidRPr="007C6A42">
        <w:rPr>
          <w:rFonts w:asciiTheme="majorBidi" w:hAnsiTheme="majorBidi" w:cstheme="majorBidi"/>
          <w:sz w:val="24"/>
          <w:szCs w:val="24"/>
        </w:rPr>
        <w:lastRenderedPageBreak/>
        <w:t>souvent. Alors que Hamidullah et le Complexe (qui ont le même skopos de traduction) divergent entre eux sur ce thème musulman.</w:t>
      </w:r>
    </w:p>
    <w:tbl>
      <w:tblPr>
        <w:tblStyle w:val="Grilledutableau"/>
        <w:tblW w:w="0" w:type="auto"/>
        <w:tblInd w:w="-627" w:type="dxa"/>
        <w:tblLook w:val="04A0" w:firstRow="1" w:lastRow="0" w:firstColumn="1" w:lastColumn="0" w:noHBand="0" w:noVBand="1"/>
      </w:tblPr>
      <w:tblGrid>
        <w:gridCol w:w="733"/>
        <w:gridCol w:w="998"/>
        <w:gridCol w:w="2263"/>
        <w:gridCol w:w="3010"/>
        <w:gridCol w:w="2905"/>
      </w:tblGrid>
      <w:tr w:rsidR="00A70B78" w:rsidRPr="007C6A42" w14:paraId="52BA8E4D" w14:textId="77777777" w:rsidTr="00AF4FC9">
        <w:tc>
          <w:tcPr>
            <w:tcW w:w="733" w:type="dxa"/>
          </w:tcPr>
          <w:p w14:paraId="362DD5D4" w14:textId="77777777" w:rsidR="00A70B78" w:rsidRPr="007C6A42" w:rsidRDefault="00A70B78" w:rsidP="00AF4FC9">
            <w:pPr>
              <w:spacing w:line="360" w:lineRule="auto"/>
              <w:jc w:val="both"/>
              <w:rPr>
                <w:rFonts w:asciiTheme="majorBidi" w:hAnsiTheme="majorBidi" w:cstheme="majorBidi"/>
              </w:rPr>
            </w:pPr>
          </w:p>
        </w:tc>
        <w:tc>
          <w:tcPr>
            <w:tcW w:w="998" w:type="dxa"/>
          </w:tcPr>
          <w:p w14:paraId="1770FBF6" w14:textId="77777777" w:rsidR="00A70B78" w:rsidRPr="007C6A42" w:rsidRDefault="00A70B78" w:rsidP="00AF4FC9">
            <w:pPr>
              <w:bidi/>
              <w:spacing w:line="360" w:lineRule="auto"/>
              <w:jc w:val="both"/>
              <w:rPr>
                <w:rFonts w:asciiTheme="majorBidi" w:hAnsiTheme="majorBidi" w:cstheme="majorBidi"/>
              </w:rPr>
            </w:pPr>
          </w:p>
        </w:tc>
        <w:tc>
          <w:tcPr>
            <w:tcW w:w="2263" w:type="dxa"/>
          </w:tcPr>
          <w:p w14:paraId="647ECCF4" w14:textId="77777777" w:rsidR="00A70B78" w:rsidRPr="007C6A42" w:rsidRDefault="00A70B78" w:rsidP="00AF4FC9">
            <w:pPr>
              <w:spacing w:line="360" w:lineRule="auto"/>
              <w:jc w:val="both"/>
              <w:rPr>
                <w:rFonts w:asciiTheme="majorBidi" w:hAnsiTheme="majorBidi" w:cstheme="majorBidi"/>
                <w:b/>
                <w:bCs/>
              </w:rPr>
            </w:pPr>
            <w:r w:rsidRPr="007C6A42">
              <w:rPr>
                <w:rFonts w:asciiTheme="majorBidi" w:hAnsiTheme="majorBidi" w:cstheme="majorBidi"/>
                <w:b/>
                <w:bCs/>
              </w:rPr>
              <w:t>Traduction de Hamidullah</w:t>
            </w:r>
          </w:p>
        </w:tc>
        <w:tc>
          <w:tcPr>
            <w:tcW w:w="3010" w:type="dxa"/>
          </w:tcPr>
          <w:p w14:paraId="6F899C82" w14:textId="77777777" w:rsidR="00A70B78" w:rsidRPr="007C6A42" w:rsidRDefault="00A70B78" w:rsidP="00AF4FC9">
            <w:pPr>
              <w:spacing w:line="360" w:lineRule="auto"/>
              <w:jc w:val="both"/>
              <w:rPr>
                <w:rFonts w:asciiTheme="majorBidi" w:hAnsiTheme="majorBidi" w:cstheme="majorBidi"/>
                <w:b/>
                <w:bCs/>
              </w:rPr>
            </w:pPr>
            <w:r w:rsidRPr="007C6A42">
              <w:rPr>
                <w:rFonts w:asciiTheme="majorBidi" w:hAnsiTheme="majorBidi" w:cstheme="majorBidi"/>
                <w:b/>
                <w:bCs/>
              </w:rPr>
              <w:t>Traduction du Complexe de Médine</w:t>
            </w:r>
          </w:p>
        </w:tc>
        <w:tc>
          <w:tcPr>
            <w:tcW w:w="2905" w:type="dxa"/>
          </w:tcPr>
          <w:p w14:paraId="0D460856" w14:textId="77777777" w:rsidR="00A70B78" w:rsidRPr="007C6A42" w:rsidRDefault="00A70B78" w:rsidP="00AF4FC9">
            <w:pPr>
              <w:spacing w:line="360" w:lineRule="auto"/>
              <w:jc w:val="both"/>
              <w:rPr>
                <w:rFonts w:asciiTheme="majorBidi" w:hAnsiTheme="majorBidi" w:cstheme="majorBidi"/>
                <w:b/>
                <w:bCs/>
              </w:rPr>
            </w:pPr>
            <w:r w:rsidRPr="007C6A42">
              <w:rPr>
                <w:rFonts w:asciiTheme="majorBidi" w:hAnsiTheme="majorBidi" w:cstheme="majorBidi"/>
                <w:b/>
                <w:bCs/>
              </w:rPr>
              <w:t>Les traducteurs qui ont déjà choisi le terme pour lequel opte le Complexe</w:t>
            </w:r>
          </w:p>
        </w:tc>
      </w:tr>
      <w:tr w:rsidR="00A70B78" w:rsidRPr="007C6A42" w14:paraId="3D730858" w14:textId="77777777" w:rsidTr="00AF4FC9">
        <w:tc>
          <w:tcPr>
            <w:tcW w:w="733" w:type="dxa"/>
          </w:tcPr>
          <w:p w14:paraId="59F20F9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6</w:t>
            </w:r>
          </w:p>
        </w:tc>
        <w:tc>
          <w:tcPr>
            <w:tcW w:w="998" w:type="dxa"/>
          </w:tcPr>
          <w:p w14:paraId="364DEC9A"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"على كل شيءٍ قدير"</w:t>
            </w:r>
          </w:p>
        </w:tc>
        <w:tc>
          <w:tcPr>
            <w:tcW w:w="2263" w:type="dxa"/>
          </w:tcPr>
          <w:p w14:paraId="667A9F5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capable de tout »</w:t>
            </w:r>
          </w:p>
        </w:tc>
        <w:tc>
          <w:tcPr>
            <w:tcW w:w="3010" w:type="dxa"/>
          </w:tcPr>
          <w:p w14:paraId="0940C7A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Omnipotent »</w:t>
            </w:r>
          </w:p>
        </w:tc>
        <w:tc>
          <w:tcPr>
            <w:tcW w:w="2905" w:type="dxa"/>
          </w:tcPr>
          <w:p w14:paraId="1538C1E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Blachère, Ghédira &amp; Berque (choix repris plus tard par Hafiane)</w:t>
            </w:r>
          </w:p>
        </w:tc>
      </w:tr>
      <w:tr w:rsidR="00A70B78" w:rsidRPr="007C6A42" w14:paraId="4E39410D" w14:textId="77777777" w:rsidTr="00AF4FC9">
        <w:tc>
          <w:tcPr>
            <w:tcW w:w="733" w:type="dxa"/>
          </w:tcPr>
          <w:p w14:paraId="0113DA8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59</w:t>
            </w:r>
          </w:p>
        </w:tc>
        <w:tc>
          <w:tcPr>
            <w:tcW w:w="998" w:type="dxa"/>
          </w:tcPr>
          <w:p w14:paraId="71B26C17"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"لعليمٌ حليم"</w:t>
            </w:r>
          </w:p>
        </w:tc>
        <w:tc>
          <w:tcPr>
            <w:tcW w:w="2263" w:type="dxa"/>
          </w:tcPr>
          <w:p w14:paraId="64E9976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certes oui, savant, patient »</w:t>
            </w:r>
          </w:p>
        </w:tc>
        <w:tc>
          <w:tcPr>
            <w:tcW w:w="3010" w:type="dxa"/>
          </w:tcPr>
          <w:p w14:paraId="7062491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certes Omniscient et Indulgent »</w:t>
            </w:r>
          </w:p>
        </w:tc>
        <w:tc>
          <w:tcPr>
            <w:tcW w:w="2905" w:type="dxa"/>
          </w:tcPr>
          <w:p w14:paraId="059C0A0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Blachère &amp; Ghédira (« Omniscient »). Kazimirski &amp; Blachère (« Indulgent ») </w:t>
            </w:r>
          </w:p>
        </w:tc>
      </w:tr>
      <w:tr w:rsidR="00A70B78" w:rsidRPr="007C6A42" w14:paraId="4C0066C6" w14:textId="77777777" w:rsidTr="00AF4FC9">
        <w:tc>
          <w:tcPr>
            <w:tcW w:w="733" w:type="dxa"/>
          </w:tcPr>
          <w:p w14:paraId="0581646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60</w:t>
            </w:r>
          </w:p>
        </w:tc>
        <w:tc>
          <w:tcPr>
            <w:tcW w:w="998" w:type="dxa"/>
          </w:tcPr>
          <w:p w14:paraId="4FF533E8"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"لَعَفوٌّ غفور"</w:t>
            </w:r>
          </w:p>
        </w:tc>
        <w:tc>
          <w:tcPr>
            <w:tcW w:w="2263" w:type="dxa"/>
          </w:tcPr>
          <w:p w14:paraId="0CD5347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maître d’absolution, pardonneur, vraiment »</w:t>
            </w:r>
          </w:p>
        </w:tc>
        <w:tc>
          <w:tcPr>
            <w:tcW w:w="3010" w:type="dxa"/>
          </w:tcPr>
          <w:p w14:paraId="6A4B2D6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certainement Absoluteur et Pardonneur »</w:t>
            </w:r>
          </w:p>
        </w:tc>
        <w:tc>
          <w:tcPr>
            <w:tcW w:w="2905" w:type="dxa"/>
          </w:tcPr>
          <w:p w14:paraId="611A60C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Blachère</w:t>
            </w:r>
          </w:p>
        </w:tc>
      </w:tr>
      <w:tr w:rsidR="00A70B78" w:rsidRPr="007C6A42" w14:paraId="0DD39A46" w14:textId="77777777" w:rsidTr="00AF4FC9">
        <w:tc>
          <w:tcPr>
            <w:tcW w:w="733" w:type="dxa"/>
          </w:tcPr>
          <w:p w14:paraId="46738CA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61 &amp; 75</w:t>
            </w:r>
          </w:p>
        </w:tc>
        <w:tc>
          <w:tcPr>
            <w:tcW w:w="998" w:type="dxa"/>
          </w:tcPr>
          <w:p w14:paraId="59E7AA86"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"سميعٌ بصير"</w:t>
            </w:r>
          </w:p>
        </w:tc>
        <w:tc>
          <w:tcPr>
            <w:tcW w:w="2263" w:type="dxa"/>
          </w:tcPr>
          <w:p w14:paraId="2785B7F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entend, Il observe »</w:t>
            </w:r>
          </w:p>
        </w:tc>
        <w:tc>
          <w:tcPr>
            <w:tcW w:w="3010" w:type="dxa"/>
          </w:tcPr>
          <w:p w14:paraId="4FEE432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Audient et Clairvoyant »</w:t>
            </w:r>
          </w:p>
        </w:tc>
        <w:tc>
          <w:tcPr>
            <w:tcW w:w="2905" w:type="dxa"/>
          </w:tcPr>
          <w:p w14:paraId="0294497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Blachère, Berque, Guessous &amp; Chiadmi</w:t>
            </w:r>
          </w:p>
        </w:tc>
      </w:tr>
    </w:tbl>
    <w:p w14:paraId="09D237D1" w14:textId="77777777" w:rsidR="00A70B78" w:rsidRPr="007C6A42" w:rsidRDefault="00A70B78" w:rsidP="00A70B78">
      <w:pPr>
        <w:spacing w:line="360" w:lineRule="auto"/>
        <w:ind w:left="708"/>
        <w:jc w:val="both"/>
        <w:rPr>
          <w:rFonts w:asciiTheme="majorBidi" w:hAnsiTheme="majorBidi" w:cstheme="majorBidi"/>
        </w:rPr>
      </w:pPr>
    </w:p>
    <w:p w14:paraId="60B402DF" w14:textId="77777777" w:rsidR="00A70B78" w:rsidRPr="007C6A42" w:rsidRDefault="00A70B78" w:rsidP="00876BB0">
      <w:pPr>
        <w:pStyle w:val="Paragraphedeliste"/>
        <w:numPr>
          <w:ilvl w:val="0"/>
          <w:numId w:val="117"/>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Rétablir l’ordre du texte-source : La phrase « </w:t>
      </w:r>
      <w:r w:rsidRPr="007C6A42">
        <w:rPr>
          <w:rFonts w:asciiTheme="majorBidi" w:hAnsiTheme="majorBidi" w:cstheme="majorBidi"/>
          <w:sz w:val="24"/>
          <w:szCs w:val="24"/>
          <w:rtl/>
        </w:rPr>
        <w:t>إن زلزلة الساعة شيء عظيم</w:t>
      </w:r>
      <w:r w:rsidRPr="007C6A42">
        <w:rPr>
          <w:rFonts w:asciiTheme="majorBidi" w:hAnsiTheme="majorBidi" w:cstheme="majorBidi"/>
          <w:sz w:val="24"/>
          <w:szCs w:val="24"/>
        </w:rPr>
        <w:t> » (v. 1) est rendue par Hamidullah avec modification de l’ordre original : « c’est une chose énorme que le tremblement de l’Heure ». Le Complexe rétablit ainsi l’ordre : « Le séisme [qui précédera] l’Heure est une chose terrible ». Hamidullah a changé l’ordre de cette phrase « </w:t>
      </w:r>
      <w:r w:rsidRPr="007C6A42">
        <w:rPr>
          <w:rFonts w:asciiTheme="majorBidi" w:hAnsiTheme="majorBidi" w:cstheme="majorBidi"/>
          <w:sz w:val="24"/>
          <w:szCs w:val="24"/>
          <w:rtl/>
        </w:rPr>
        <w:t>وترى الناسَ سُكارى</w:t>
      </w:r>
      <w:r w:rsidRPr="007C6A42">
        <w:rPr>
          <w:rFonts w:asciiTheme="majorBidi" w:hAnsiTheme="majorBidi" w:cstheme="majorBidi"/>
          <w:sz w:val="24"/>
          <w:szCs w:val="24"/>
        </w:rPr>
        <w:t> » (v. 2) en traduisant ainsi : « Et tu verras ivres les gens ». Le Complexe rétablit l’ordre du verset arabe : « Et tu verras les gens ivres ». L’ordre de la phrase « </w:t>
      </w:r>
      <w:r w:rsidRPr="007C6A42">
        <w:rPr>
          <w:rFonts w:asciiTheme="majorBidi" w:hAnsiTheme="majorBidi" w:cstheme="majorBidi"/>
          <w:sz w:val="24"/>
          <w:szCs w:val="24"/>
          <w:rtl/>
        </w:rPr>
        <w:t>لا ريبَ فيها</w:t>
      </w:r>
      <w:r w:rsidRPr="007C6A42">
        <w:rPr>
          <w:rFonts w:asciiTheme="majorBidi" w:hAnsiTheme="majorBidi" w:cstheme="majorBidi"/>
          <w:sz w:val="24"/>
          <w:szCs w:val="24"/>
        </w:rPr>
        <w:t> » inversé par Hamidullah (« là-dessus, pas de doute ») a été rétabli dans la traduction du Complexe : « pas de doute à son sujet ».</w:t>
      </w:r>
    </w:p>
    <w:p w14:paraId="74DF1CD2" w14:textId="77777777" w:rsidR="00A70B78" w:rsidRPr="007C6A42" w:rsidRDefault="00A70B78" w:rsidP="00876BB0">
      <w:pPr>
        <w:pStyle w:val="Paragraphedeliste"/>
        <w:numPr>
          <w:ilvl w:val="0"/>
          <w:numId w:val="117"/>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Réduire l’allongement : par exemple, le syntagme « toute femme qui allaite » [« </w:t>
      </w:r>
      <w:r w:rsidRPr="007C6A42">
        <w:rPr>
          <w:rFonts w:asciiTheme="majorBidi" w:hAnsiTheme="majorBidi" w:cstheme="majorBidi"/>
          <w:sz w:val="24"/>
          <w:szCs w:val="24"/>
          <w:rtl/>
        </w:rPr>
        <w:t>كُلُّ مُرضِعةٍ</w:t>
      </w:r>
      <w:r w:rsidRPr="007C6A42">
        <w:rPr>
          <w:rFonts w:asciiTheme="majorBidi" w:hAnsiTheme="majorBidi" w:cstheme="majorBidi"/>
          <w:sz w:val="24"/>
          <w:szCs w:val="24"/>
        </w:rPr>
        <w:t> »] (v. 2) (Hamidullah) devient : « toute nourrice » (Complexe) ; et le syntagme « quoi que ce soit de ce qui le fait enrager » [« </w:t>
      </w:r>
      <w:r w:rsidRPr="007C6A42">
        <w:rPr>
          <w:rFonts w:asciiTheme="majorBidi" w:hAnsiTheme="majorBidi" w:cstheme="majorBidi"/>
          <w:sz w:val="24"/>
          <w:szCs w:val="24"/>
          <w:rtl/>
        </w:rPr>
        <w:t>ما يَغيظ</w:t>
      </w:r>
      <w:r w:rsidRPr="007C6A42">
        <w:rPr>
          <w:rFonts w:asciiTheme="majorBidi" w:hAnsiTheme="majorBidi" w:cstheme="majorBidi"/>
          <w:sz w:val="24"/>
          <w:szCs w:val="24"/>
        </w:rPr>
        <w:t> »] (v. 15) devient dans la traduction du Complexe : « ce qui l’enrage ».</w:t>
      </w:r>
    </w:p>
    <w:p w14:paraId="2E618F23" w14:textId="77777777" w:rsidR="00A70B78" w:rsidRPr="007C6A42" w:rsidRDefault="00A70B78" w:rsidP="00876BB0">
      <w:pPr>
        <w:pStyle w:val="Paragraphedeliste"/>
        <w:numPr>
          <w:ilvl w:val="0"/>
          <w:numId w:val="117"/>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lastRenderedPageBreak/>
        <w:t>Supprimer des mots comme : « oui » (v. 1 &amp; 3), « certes » (v. 4), « Sa’ïr » (v. 4), « eh bien » (v. 5), « Lui » (v. 6), « vraiment » (v. 10), « en vérité » (v. 15), « en nourriture » (v. 28), etc.</w:t>
      </w:r>
    </w:p>
    <w:p w14:paraId="6FBD0C73" w14:textId="77777777" w:rsidR="00A70B78" w:rsidRPr="007C6A42" w:rsidRDefault="00A70B78" w:rsidP="00876BB0">
      <w:pPr>
        <w:pStyle w:val="Paragraphedeliste"/>
        <w:numPr>
          <w:ilvl w:val="0"/>
          <w:numId w:val="117"/>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Supprimer les notes du traducteur.</w:t>
      </w:r>
    </w:p>
    <w:p w14:paraId="429396B5" w14:textId="77777777" w:rsidR="00A70B78" w:rsidRPr="007C6A42" w:rsidRDefault="00A70B78" w:rsidP="00876BB0">
      <w:pPr>
        <w:pStyle w:val="Paragraphedeliste"/>
        <w:numPr>
          <w:ilvl w:val="0"/>
          <w:numId w:val="117"/>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Ajouter des mots ou des syntagmes explicatifs ou stylistiques dans le corps de la traduction, pour compenser la suppression des NDT de Hamidullah et mettre en valeur l’exégèse sunnite en essayant, autant que faire se peut, d’être plus proche de la littéralité du texte arabe. À titre d’exemples, le Complexe de Médine ajoute : « [qui précédera] » (v. 1) ; « [normalement] » (v. 5) ; « [à l’état] » (v. 5) ; « [notre Omnipotence] » (v. 5) ; « auparavant » (v. 5) ; « [jeunes] » (v. 5) ; « de végétaux » (v. 5) ; « (ici-bas) » (v. 10) ; « certainement » (v. 13) ; « (le Coran) » (v. 16 &amp; 54) ; « [les adorateurs des étoiles] » (v. 17) ; l’adjectif possessif « </w:t>
      </w:r>
      <w:r w:rsidRPr="007C6A42">
        <w:rPr>
          <w:rFonts w:asciiTheme="majorBidi" w:hAnsiTheme="majorBidi" w:cstheme="majorBidi"/>
          <w:i/>
          <w:iCs/>
          <w:sz w:val="24"/>
          <w:szCs w:val="24"/>
        </w:rPr>
        <w:t>leur</w:t>
      </w:r>
      <w:r w:rsidRPr="007C6A42">
        <w:rPr>
          <w:rFonts w:asciiTheme="majorBidi" w:hAnsiTheme="majorBidi" w:cstheme="majorBidi"/>
          <w:sz w:val="24"/>
          <w:szCs w:val="24"/>
        </w:rPr>
        <w:t> » dans : « leurs peaux » (v. 20) ; « (on leur dira) » (v. 22) ; « (la Kaaba) [en lui disant] » (v. 26) ; « (qu’ils nettoient leurs corps) » (v. 29) ; « [ce qui doit être observé] » (v. 30) ; « [ce qui est prescrit] » (v. 32) ; « (de se défendre) » (v. 39) ; « (et désertés aussi) » (v. 45) ; « [l’arrivée] » (v. 47) ; « (au châtiment mentionné dans) » (v. 51) ; « (ce qui lui a été révélé) » (v. 52) ; « [pour semer le doute dans le cœur des gens au sujet] » (v. 52) ; etc. Dans ces ajouts, il y a une tendance de clarification, d’allongement et de limitation du sens pour être conforme à l’une des interprétations données par les exégètes.</w:t>
      </w:r>
    </w:p>
    <w:p w14:paraId="33096C34" w14:textId="77777777" w:rsidR="00A70B78" w:rsidRPr="007C6A42" w:rsidRDefault="00A70B78" w:rsidP="00876BB0">
      <w:pPr>
        <w:pStyle w:val="Paragraphedeliste"/>
        <w:numPr>
          <w:ilvl w:val="0"/>
          <w:numId w:val="117"/>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Changer le temps des verbes : certains verbes au futur (comme : « seront », « sera ») sont conjugués au présent, ou l’inverse (« quiconque le prend » (v. 4) devient dans la version du Complexe : « quiconque le prendra »).</w:t>
      </w:r>
    </w:p>
    <w:p w14:paraId="0B88E78D"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Voici des exemples significatifs des modifications que le Complexe apporte à la traduction de Hamidullah :</w:t>
      </w:r>
    </w:p>
    <w:tbl>
      <w:tblPr>
        <w:tblStyle w:val="Grilledutableau"/>
        <w:tblW w:w="0" w:type="auto"/>
        <w:tblInd w:w="-354" w:type="dxa"/>
        <w:tblLook w:val="04A0" w:firstRow="1" w:lastRow="0" w:firstColumn="1" w:lastColumn="0" w:noHBand="0" w:noVBand="1"/>
      </w:tblPr>
      <w:tblGrid>
        <w:gridCol w:w="646"/>
        <w:gridCol w:w="2082"/>
        <w:gridCol w:w="3436"/>
        <w:gridCol w:w="3401"/>
      </w:tblGrid>
      <w:tr w:rsidR="00A70B78" w:rsidRPr="007C6A42" w14:paraId="758B9304" w14:textId="77777777" w:rsidTr="00AF4FC9">
        <w:tc>
          <w:tcPr>
            <w:tcW w:w="2728" w:type="dxa"/>
            <w:gridSpan w:val="2"/>
          </w:tcPr>
          <w:p w14:paraId="1E27CBD7" w14:textId="77777777" w:rsidR="00A70B78" w:rsidRPr="007C6A42" w:rsidRDefault="00A70B78" w:rsidP="00AF4FC9">
            <w:pPr>
              <w:spacing w:line="360" w:lineRule="auto"/>
              <w:jc w:val="center"/>
              <w:rPr>
                <w:rFonts w:asciiTheme="majorBidi" w:hAnsiTheme="majorBidi" w:cstheme="majorBidi"/>
                <w:b/>
                <w:bCs/>
              </w:rPr>
            </w:pPr>
            <w:r w:rsidRPr="007C6A42">
              <w:rPr>
                <w:rFonts w:asciiTheme="majorBidi" w:hAnsiTheme="majorBidi" w:cstheme="majorBidi"/>
                <w:b/>
                <w:bCs/>
              </w:rPr>
              <w:t>Mot/syntagme arabe</w:t>
            </w:r>
          </w:p>
        </w:tc>
        <w:tc>
          <w:tcPr>
            <w:tcW w:w="3436" w:type="dxa"/>
          </w:tcPr>
          <w:p w14:paraId="77C3B2BF" w14:textId="77777777" w:rsidR="00A70B78" w:rsidRPr="007C6A42" w:rsidRDefault="00A70B78" w:rsidP="00AF4FC9">
            <w:pPr>
              <w:spacing w:line="360" w:lineRule="auto"/>
              <w:jc w:val="center"/>
              <w:rPr>
                <w:rFonts w:asciiTheme="majorBidi" w:hAnsiTheme="majorBidi" w:cstheme="majorBidi"/>
                <w:b/>
                <w:bCs/>
              </w:rPr>
            </w:pPr>
            <w:r w:rsidRPr="007C6A42">
              <w:rPr>
                <w:rFonts w:asciiTheme="majorBidi" w:hAnsiTheme="majorBidi" w:cstheme="majorBidi"/>
                <w:b/>
                <w:bCs/>
              </w:rPr>
              <w:t>Traduction de Hamidullah</w:t>
            </w:r>
          </w:p>
        </w:tc>
        <w:tc>
          <w:tcPr>
            <w:tcW w:w="3401" w:type="dxa"/>
          </w:tcPr>
          <w:p w14:paraId="29AD39B5" w14:textId="77777777" w:rsidR="00A70B78" w:rsidRPr="007C6A42" w:rsidRDefault="00A70B78" w:rsidP="00AF4FC9">
            <w:pPr>
              <w:spacing w:line="360" w:lineRule="auto"/>
              <w:jc w:val="center"/>
              <w:rPr>
                <w:rFonts w:asciiTheme="majorBidi" w:hAnsiTheme="majorBidi" w:cstheme="majorBidi"/>
                <w:b/>
                <w:bCs/>
              </w:rPr>
            </w:pPr>
            <w:r w:rsidRPr="007C6A42">
              <w:rPr>
                <w:rFonts w:asciiTheme="majorBidi" w:hAnsiTheme="majorBidi" w:cstheme="majorBidi"/>
                <w:b/>
                <w:bCs/>
              </w:rPr>
              <w:t>Traduction du Complexe</w:t>
            </w:r>
          </w:p>
        </w:tc>
      </w:tr>
      <w:tr w:rsidR="00A70B78" w:rsidRPr="007C6A42" w14:paraId="7AD26A4C" w14:textId="77777777" w:rsidTr="00AF4FC9">
        <w:tc>
          <w:tcPr>
            <w:tcW w:w="646" w:type="dxa"/>
          </w:tcPr>
          <w:p w14:paraId="0693FE7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7696A29A"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"من تراب"</w:t>
            </w:r>
          </w:p>
        </w:tc>
        <w:tc>
          <w:tcPr>
            <w:tcW w:w="3436" w:type="dxa"/>
          </w:tcPr>
          <w:p w14:paraId="0BE8D9B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poussière »</w:t>
            </w:r>
          </w:p>
        </w:tc>
        <w:tc>
          <w:tcPr>
            <w:tcW w:w="3401" w:type="dxa"/>
          </w:tcPr>
          <w:p w14:paraId="7EF43CE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terre »</w:t>
            </w:r>
          </w:p>
        </w:tc>
      </w:tr>
      <w:tr w:rsidR="00A70B78" w:rsidRPr="007C6A42" w14:paraId="47D2D187" w14:textId="77777777" w:rsidTr="00AF4FC9">
        <w:tc>
          <w:tcPr>
            <w:tcW w:w="646" w:type="dxa"/>
          </w:tcPr>
          <w:p w14:paraId="7544DEE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6E28BA34"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"من نطفة"</w:t>
            </w:r>
          </w:p>
        </w:tc>
        <w:tc>
          <w:tcPr>
            <w:tcW w:w="3436" w:type="dxa"/>
          </w:tcPr>
          <w:p w14:paraId="2B7C5F3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sperme »</w:t>
            </w:r>
          </w:p>
        </w:tc>
        <w:tc>
          <w:tcPr>
            <w:tcW w:w="3401" w:type="dxa"/>
          </w:tcPr>
          <w:p w14:paraId="5D5CAFD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d’une goutte de sperme »</w:t>
            </w:r>
          </w:p>
        </w:tc>
      </w:tr>
      <w:tr w:rsidR="00A70B78" w:rsidRPr="007C6A42" w14:paraId="60A9E260" w14:textId="77777777" w:rsidTr="00AF4FC9">
        <w:tc>
          <w:tcPr>
            <w:tcW w:w="646" w:type="dxa"/>
          </w:tcPr>
          <w:p w14:paraId="7DBCFCA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5634D5D3"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"من علقة"</w:t>
            </w:r>
          </w:p>
        </w:tc>
        <w:tc>
          <w:tcPr>
            <w:tcW w:w="3436" w:type="dxa"/>
          </w:tcPr>
          <w:p w14:paraId="43FBECF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caillot »</w:t>
            </w:r>
          </w:p>
        </w:tc>
        <w:tc>
          <w:tcPr>
            <w:tcW w:w="3401" w:type="dxa"/>
          </w:tcPr>
          <w:p w14:paraId="32BEE6D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d’adhérence »</w:t>
            </w:r>
          </w:p>
        </w:tc>
      </w:tr>
      <w:tr w:rsidR="00A70B78" w:rsidRPr="007C6A42" w14:paraId="3CEBD083" w14:textId="77777777" w:rsidTr="00AF4FC9">
        <w:tc>
          <w:tcPr>
            <w:tcW w:w="646" w:type="dxa"/>
          </w:tcPr>
          <w:p w14:paraId="705E5FC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6F8D4C80"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"من مضغة"</w:t>
            </w:r>
          </w:p>
        </w:tc>
        <w:tc>
          <w:tcPr>
            <w:tcW w:w="3436" w:type="dxa"/>
          </w:tcPr>
          <w:p w14:paraId="1ABCCA6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chair »</w:t>
            </w:r>
          </w:p>
        </w:tc>
        <w:tc>
          <w:tcPr>
            <w:tcW w:w="3401" w:type="dxa"/>
          </w:tcPr>
          <w:p w14:paraId="57ADADA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d’un embryon »</w:t>
            </w:r>
          </w:p>
        </w:tc>
      </w:tr>
      <w:tr w:rsidR="00A70B78" w:rsidRPr="007C6A42" w14:paraId="4AD066A2" w14:textId="77777777" w:rsidTr="00AF4FC9">
        <w:tc>
          <w:tcPr>
            <w:tcW w:w="646" w:type="dxa"/>
          </w:tcPr>
          <w:p w14:paraId="3DAAFA3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634D2A60"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"لنبيِّنَ لكم"</w:t>
            </w:r>
          </w:p>
        </w:tc>
        <w:tc>
          <w:tcPr>
            <w:tcW w:w="3436" w:type="dxa"/>
          </w:tcPr>
          <w:p w14:paraId="225F996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pour tout vous expliquer »</w:t>
            </w:r>
          </w:p>
        </w:tc>
        <w:tc>
          <w:tcPr>
            <w:tcW w:w="3401" w:type="dxa"/>
          </w:tcPr>
          <w:p w14:paraId="488C561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 pour vous montrer [notre </w:t>
            </w:r>
            <w:r w:rsidRPr="007C6A42">
              <w:rPr>
                <w:rFonts w:asciiTheme="majorBidi" w:hAnsiTheme="majorBidi" w:cstheme="majorBidi"/>
              </w:rPr>
              <w:lastRenderedPageBreak/>
              <w:t>Omnipotence] »</w:t>
            </w:r>
          </w:p>
        </w:tc>
      </w:tr>
      <w:tr w:rsidR="00A70B78" w:rsidRPr="007C6A42" w14:paraId="302C840B" w14:textId="77777777" w:rsidTr="00AF4FC9">
        <w:tc>
          <w:tcPr>
            <w:tcW w:w="646" w:type="dxa"/>
          </w:tcPr>
          <w:p w14:paraId="37FE355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lastRenderedPageBreak/>
              <w:t>v. 5</w:t>
            </w:r>
          </w:p>
        </w:tc>
        <w:tc>
          <w:tcPr>
            <w:tcW w:w="2082" w:type="dxa"/>
          </w:tcPr>
          <w:p w14:paraId="2E51E277"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"مسمَّى"</w:t>
            </w:r>
          </w:p>
        </w:tc>
        <w:tc>
          <w:tcPr>
            <w:tcW w:w="3436" w:type="dxa"/>
          </w:tcPr>
          <w:p w14:paraId="1669B31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dénommé »</w:t>
            </w:r>
          </w:p>
        </w:tc>
        <w:tc>
          <w:tcPr>
            <w:tcW w:w="3401" w:type="dxa"/>
          </w:tcPr>
          <w:p w14:paraId="70094F1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fixé »</w:t>
            </w:r>
          </w:p>
        </w:tc>
      </w:tr>
      <w:tr w:rsidR="00A70B78" w:rsidRPr="007C6A42" w14:paraId="57B94F69" w14:textId="77777777" w:rsidTr="00AF4FC9">
        <w:tc>
          <w:tcPr>
            <w:tcW w:w="646" w:type="dxa"/>
          </w:tcPr>
          <w:p w14:paraId="36D26D8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41C13547"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"ومنكم من يُتوفَّى"</w:t>
            </w:r>
          </w:p>
        </w:tc>
        <w:tc>
          <w:tcPr>
            <w:tcW w:w="3436" w:type="dxa"/>
          </w:tcPr>
          <w:p w14:paraId="2C25BF1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Tel d’entre vous est achevé »</w:t>
            </w:r>
          </w:p>
        </w:tc>
        <w:tc>
          <w:tcPr>
            <w:tcW w:w="3401" w:type="dxa"/>
          </w:tcPr>
          <w:p w14:paraId="3F205DB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Il en est parmi vous qui meurent [jeunes] »</w:t>
            </w:r>
          </w:p>
        </w:tc>
      </w:tr>
      <w:tr w:rsidR="00A70B78" w:rsidRPr="007C6A42" w14:paraId="12814621" w14:textId="77777777" w:rsidTr="00AF4FC9">
        <w:tc>
          <w:tcPr>
            <w:tcW w:w="646" w:type="dxa"/>
          </w:tcPr>
          <w:p w14:paraId="7B2865F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57DD2B2B"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"هامدة"</w:t>
            </w:r>
          </w:p>
        </w:tc>
        <w:tc>
          <w:tcPr>
            <w:tcW w:w="3436" w:type="dxa"/>
          </w:tcPr>
          <w:p w14:paraId="5ACDFA7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éteinte »</w:t>
            </w:r>
          </w:p>
        </w:tc>
        <w:tc>
          <w:tcPr>
            <w:tcW w:w="3401" w:type="dxa"/>
          </w:tcPr>
          <w:p w14:paraId="2B0FA6D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desséchée »</w:t>
            </w:r>
          </w:p>
        </w:tc>
      </w:tr>
      <w:tr w:rsidR="00A70B78" w:rsidRPr="007C6A42" w14:paraId="384960B5" w14:textId="77777777" w:rsidTr="00AF4FC9">
        <w:tc>
          <w:tcPr>
            <w:tcW w:w="646" w:type="dxa"/>
          </w:tcPr>
          <w:p w14:paraId="046C0B4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w:t>
            </w:r>
          </w:p>
        </w:tc>
        <w:tc>
          <w:tcPr>
            <w:tcW w:w="2082" w:type="dxa"/>
          </w:tcPr>
          <w:p w14:paraId="3FFA3C00"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"بهيج"</w:t>
            </w:r>
          </w:p>
        </w:tc>
        <w:tc>
          <w:tcPr>
            <w:tcW w:w="3436" w:type="dxa"/>
          </w:tcPr>
          <w:p w14:paraId="7DDC9A3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joli »</w:t>
            </w:r>
          </w:p>
        </w:tc>
        <w:tc>
          <w:tcPr>
            <w:tcW w:w="3401" w:type="dxa"/>
          </w:tcPr>
          <w:p w14:paraId="13156ED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splendide »</w:t>
            </w:r>
          </w:p>
        </w:tc>
      </w:tr>
      <w:tr w:rsidR="00A70B78" w:rsidRPr="007C6A42" w14:paraId="62E61AC2" w14:textId="77777777" w:rsidTr="00AF4FC9">
        <w:tc>
          <w:tcPr>
            <w:tcW w:w="646" w:type="dxa"/>
          </w:tcPr>
          <w:p w14:paraId="720FC13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6</w:t>
            </w:r>
          </w:p>
        </w:tc>
        <w:tc>
          <w:tcPr>
            <w:tcW w:w="2082" w:type="dxa"/>
          </w:tcPr>
          <w:p w14:paraId="617537EB"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"يحيي الموتى"</w:t>
            </w:r>
          </w:p>
        </w:tc>
        <w:tc>
          <w:tcPr>
            <w:tcW w:w="3436" w:type="dxa"/>
          </w:tcPr>
          <w:p w14:paraId="68EF2ED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 donne au morts la vie »</w:t>
            </w:r>
          </w:p>
        </w:tc>
        <w:tc>
          <w:tcPr>
            <w:tcW w:w="3401" w:type="dxa"/>
          </w:tcPr>
          <w:p w14:paraId="3AE4498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 rend la vie aux morts »</w:t>
            </w:r>
          </w:p>
        </w:tc>
      </w:tr>
      <w:tr w:rsidR="00A70B78" w:rsidRPr="007C6A42" w14:paraId="719AEA4E" w14:textId="77777777" w:rsidTr="00AF4FC9">
        <w:tc>
          <w:tcPr>
            <w:tcW w:w="646" w:type="dxa"/>
          </w:tcPr>
          <w:p w14:paraId="309D665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7</w:t>
            </w:r>
          </w:p>
        </w:tc>
        <w:tc>
          <w:tcPr>
            <w:tcW w:w="2082" w:type="dxa"/>
          </w:tcPr>
          <w:p w14:paraId="216BAD43"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"آتية"</w:t>
            </w:r>
          </w:p>
        </w:tc>
        <w:tc>
          <w:tcPr>
            <w:tcW w:w="3436" w:type="dxa"/>
          </w:tcPr>
          <w:p w14:paraId="3AE2A9C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est en route »</w:t>
            </w:r>
          </w:p>
        </w:tc>
        <w:tc>
          <w:tcPr>
            <w:tcW w:w="3401" w:type="dxa"/>
          </w:tcPr>
          <w:p w14:paraId="2497E0E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arrivera »</w:t>
            </w:r>
          </w:p>
        </w:tc>
      </w:tr>
      <w:tr w:rsidR="00A70B78" w:rsidRPr="007C6A42" w14:paraId="2E5B414D" w14:textId="77777777" w:rsidTr="00AF4FC9">
        <w:tc>
          <w:tcPr>
            <w:tcW w:w="646" w:type="dxa"/>
          </w:tcPr>
          <w:p w14:paraId="5F1BB8F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8</w:t>
            </w:r>
          </w:p>
        </w:tc>
        <w:tc>
          <w:tcPr>
            <w:tcW w:w="2082" w:type="dxa"/>
          </w:tcPr>
          <w:p w14:paraId="45945EC2"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"بغير عِلْم"</w:t>
            </w:r>
          </w:p>
        </w:tc>
        <w:tc>
          <w:tcPr>
            <w:tcW w:w="3436" w:type="dxa"/>
          </w:tcPr>
          <w:p w14:paraId="68040FB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sans savoir »</w:t>
            </w:r>
          </w:p>
        </w:tc>
        <w:tc>
          <w:tcPr>
            <w:tcW w:w="3401" w:type="dxa"/>
          </w:tcPr>
          <w:p w14:paraId="7EDAE39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sans aucune science »</w:t>
            </w:r>
          </w:p>
        </w:tc>
      </w:tr>
      <w:tr w:rsidR="00A70B78" w:rsidRPr="007C6A42" w14:paraId="6C168B42" w14:textId="77777777" w:rsidTr="00AF4FC9">
        <w:tc>
          <w:tcPr>
            <w:tcW w:w="646" w:type="dxa"/>
          </w:tcPr>
          <w:p w14:paraId="7DE4E83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9</w:t>
            </w:r>
          </w:p>
        </w:tc>
        <w:tc>
          <w:tcPr>
            <w:tcW w:w="2082" w:type="dxa"/>
          </w:tcPr>
          <w:p w14:paraId="51AE27A7"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"ثاني عِطفِه"</w:t>
            </w:r>
          </w:p>
        </w:tc>
        <w:tc>
          <w:tcPr>
            <w:tcW w:w="3436" w:type="dxa"/>
          </w:tcPr>
          <w:p w14:paraId="2134143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ployant de la hanche »</w:t>
            </w:r>
          </w:p>
        </w:tc>
        <w:tc>
          <w:tcPr>
            <w:tcW w:w="3401" w:type="dxa"/>
          </w:tcPr>
          <w:p w14:paraId="65F7BCE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affichant une attitude orgueilleuse »</w:t>
            </w:r>
          </w:p>
        </w:tc>
      </w:tr>
      <w:tr w:rsidR="00A70B78" w:rsidRPr="007C6A42" w14:paraId="38DC983A" w14:textId="77777777" w:rsidTr="00AF4FC9">
        <w:tc>
          <w:tcPr>
            <w:tcW w:w="646" w:type="dxa"/>
          </w:tcPr>
          <w:p w14:paraId="37E95CA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10</w:t>
            </w:r>
          </w:p>
        </w:tc>
        <w:tc>
          <w:tcPr>
            <w:tcW w:w="2082" w:type="dxa"/>
          </w:tcPr>
          <w:p w14:paraId="0E9498A3"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"ظَلاَّم للعبيد"</w:t>
            </w:r>
          </w:p>
        </w:tc>
        <w:tc>
          <w:tcPr>
            <w:tcW w:w="3436" w:type="dxa"/>
          </w:tcPr>
          <w:p w14:paraId="75B0658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prévaricateur, vraiment, envers les Esclaves »</w:t>
            </w:r>
          </w:p>
        </w:tc>
        <w:tc>
          <w:tcPr>
            <w:tcW w:w="3401" w:type="dxa"/>
          </w:tcPr>
          <w:p w14:paraId="0B32D9D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injuste envers Ses serviteurs »</w:t>
            </w:r>
          </w:p>
        </w:tc>
      </w:tr>
      <w:tr w:rsidR="00A70B78" w:rsidRPr="007C6A42" w14:paraId="0D96F41F" w14:textId="77777777" w:rsidTr="00AF4FC9">
        <w:tc>
          <w:tcPr>
            <w:tcW w:w="646" w:type="dxa"/>
          </w:tcPr>
          <w:p w14:paraId="01C8B19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11</w:t>
            </w:r>
          </w:p>
        </w:tc>
        <w:tc>
          <w:tcPr>
            <w:tcW w:w="2082" w:type="dxa"/>
          </w:tcPr>
          <w:p w14:paraId="0B523432"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"على حرف"</w:t>
            </w:r>
          </w:p>
        </w:tc>
        <w:tc>
          <w:tcPr>
            <w:tcW w:w="3436" w:type="dxa"/>
          </w:tcPr>
          <w:p w14:paraId="6BA90E1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sur le bord »</w:t>
            </w:r>
          </w:p>
        </w:tc>
        <w:tc>
          <w:tcPr>
            <w:tcW w:w="3401" w:type="dxa"/>
          </w:tcPr>
          <w:p w14:paraId="4F8DCA4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marginalement »</w:t>
            </w:r>
          </w:p>
        </w:tc>
      </w:tr>
      <w:tr w:rsidR="00A70B78" w:rsidRPr="007C6A42" w14:paraId="23B9C4A4" w14:textId="77777777" w:rsidTr="00AF4FC9">
        <w:tc>
          <w:tcPr>
            <w:tcW w:w="646" w:type="dxa"/>
          </w:tcPr>
          <w:p w14:paraId="731FFE4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11</w:t>
            </w:r>
          </w:p>
        </w:tc>
        <w:tc>
          <w:tcPr>
            <w:tcW w:w="2082" w:type="dxa"/>
          </w:tcPr>
          <w:p w14:paraId="2D6C0D9E"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"فتنة"</w:t>
            </w:r>
          </w:p>
        </w:tc>
        <w:tc>
          <w:tcPr>
            <w:tcW w:w="3436" w:type="dxa"/>
          </w:tcPr>
          <w:p w14:paraId="2553360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une tentation »</w:t>
            </w:r>
          </w:p>
        </w:tc>
        <w:tc>
          <w:tcPr>
            <w:tcW w:w="3401" w:type="dxa"/>
          </w:tcPr>
          <w:p w14:paraId="044D476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une épreuve »</w:t>
            </w:r>
          </w:p>
        </w:tc>
      </w:tr>
      <w:tr w:rsidR="00A70B78" w:rsidRPr="007C6A42" w14:paraId="1DC9279D" w14:textId="77777777" w:rsidTr="00AF4FC9">
        <w:tc>
          <w:tcPr>
            <w:tcW w:w="646" w:type="dxa"/>
          </w:tcPr>
          <w:p w14:paraId="28B9893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11</w:t>
            </w:r>
          </w:p>
        </w:tc>
        <w:tc>
          <w:tcPr>
            <w:tcW w:w="2082" w:type="dxa"/>
          </w:tcPr>
          <w:p w14:paraId="70D1E150"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"انقلبَ على وجهِه"</w:t>
            </w:r>
          </w:p>
        </w:tc>
        <w:tc>
          <w:tcPr>
            <w:tcW w:w="3436" w:type="dxa"/>
          </w:tcPr>
          <w:p w14:paraId="3EBDAE3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il pivote sur son visage »</w:t>
            </w:r>
          </w:p>
        </w:tc>
        <w:tc>
          <w:tcPr>
            <w:tcW w:w="3401" w:type="dxa"/>
          </w:tcPr>
          <w:p w14:paraId="0DD0C95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ils détournent leur visage »</w:t>
            </w:r>
          </w:p>
        </w:tc>
      </w:tr>
      <w:tr w:rsidR="00A70B78" w:rsidRPr="007C6A42" w14:paraId="534930AC" w14:textId="77777777" w:rsidTr="00AF4FC9">
        <w:tc>
          <w:tcPr>
            <w:tcW w:w="646" w:type="dxa"/>
          </w:tcPr>
          <w:p w14:paraId="4901621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12</w:t>
            </w:r>
          </w:p>
        </w:tc>
        <w:tc>
          <w:tcPr>
            <w:tcW w:w="2082" w:type="dxa"/>
          </w:tcPr>
          <w:p w14:paraId="551BEA36"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"الضلال البعيد"</w:t>
            </w:r>
          </w:p>
        </w:tc>
        <w:tc>
          <w:tcPr>
            <w:tcW w:w="3436" w:type="dxa"/>
          </w:tcPr>
          <w:p w14:paraId="2AF4F0C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 l’égarement au loin » </w:t>
            </w:r>
          </w:p>
        </w:tc>
        <w:tc>
          <w:tcPr>
            <w:tcW w:w="3401" w:type="dxa"/>
          </w:tcPr>
          <w:p w14:paraId="11C525D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l’égarement profond »</w:t>
            </w:r>
          </w:p>
        </w:tc>
      </w:tr>
      <w:tr w:rsidR="00A70B78" w:rsidRPr="007C6A42" w14:paraId="607AAF83" w14:textId="77777777" w:rsidTr="00AF4FC9">
        <w:tc>
          <w:tcPr>
            <w:tcW w:w="646" w:type="dxa"/>
          </w:tcPr>
          <w:p w14:paraId="39DD1D9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13</w:t>
            </w:r>
          </w:p>
        </w:tc>
        <w:tc>
          <w:tcPr>
            <w:tcW w:w="2082" w:type="dxa"/>
          </w:tcPr>
          <w:p w14:paraId="72C4DAEE"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"المولى"</w:t>
            </w:r>
          </w:p>
        </w:tc>
        <w:tc>
          <w:tcPr>
            <w:tcW w:w="3436" w:type="dxa"/>
          </w:tcPr>
          <w:p w14:paraId="050FDBB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patron »</w:t>
            </w:r>
          </w:p>
        </w:tc>
        <w:tc>
          <w:tcPr>
            <w:tcW w:w="3401" w:type="dxa"/>
          </w:tcPr>
          <w:p w14:paraId="4C6BD94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allié »</w:t>
            </w:r>
          </w:p>
        </w:tc>
      </w:tr>
      <w:tr w:rsidR="00A70B78" w:rsidRPr="007C6A42" w14:paraId="5EB375A8" w14:textId="77777777" w:rsidTr="00AF4FC9">
        <w:tc>
          <w:tcPr>
            <w:tcW w:w="646" w:type="dxa"/>
          </w:tcPr>
          <w:p w14:paraId="5DAC1C1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13</w:t>
            </w:r>
          </w:p>
        </w:tc>
        <w:tc>
          <w:tcPr>
            <w:tcW w:w="2082" w:type="dxa"/>
          </w:tcPr>
          <w:p w14:paraId="2EBD8C19"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"العشير"</w:t>
            </w:r>
          </w:p>
        </w:tc>
        <w:tc>
          <w:tcPr>
            <w:tcW w:w="3436" w:type="dxa"/>
          </w:tcPr>
          <w:p w14:paraId="38B45F5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client »</w:t>
            </w:r>
          </w:p>
        </w:tc>
        <w:tc>
          <w:tcPr>
            <w:tcW w:w="3401" w:type="dxa"/>
          </w:tcPr>
          <w:p w14:paraId="7ABA78A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compagnon »</w:t>
            </w:r>
          </w:p>
        </w:tc>
      </w:tr>
      <w:tr w:rsidR="00A70B78" w:rsidRPr="007C6A42" w14:paraId="07D0E649" w14:textId="77777777" w:rsidTr="00AF4FC9">
        <w:tc>
          <w:tcPr>
            <w:tcW w:w="646" w:type="dxa"/>
          </w:tcPr>
          <w:p w14:paraId="25B5A9E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15</w:t>
            </w:r>
          </w:p>
        </w:tc>
        <w:tc>
          <w:tcPr>
            <w:tcW w:w="2082" w:type="dxa"/>
          </w:tcPr>
          <w:p w14:paraId="45434CF8"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"ما يَغيظ"</w:t>
            </w:r>
          </w:p>
        </w:tc>
        <w:tc>
          <w:tcPr>
            <w:tcW w:w="3436" w:type="dxa"/>
          </w:tcPr>
          <w:p w14:paraId="41ECA85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quoi que ce soit de ce qui le fait enrager »</w:t>
            </w:r>
          </w:p>
        </w:tc>
        <w:tc>
          <w:tcPr>
            <w:tcW w:w="3401" w:type="dxa"/>
          </w:tcPr>
          <w:p w14:paraId="2F02570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 qui l’enrage »</w:t>
            </w:r>
          </w:p>
        </w:tc>
      </w:tr>
      <w:tr w:rsidR="00A70B78" w:rsidRPr="007C6A42" w14:paraId="4B561E4A" w14:textId="77777777" w:rsidTr="00AF4FC9">
        <w:tc>
          <w:tcPr>
            <w:tcW w:w="646" w:type="dxa"/>
          </w:tcPr>
          <w:p w14:paraId="741F29F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16</w:t>
            </w:r>
          </w:p>
        </w:tc>
        <w:tc>
          <w:tcPr>
            <w:tcW w:w="2082" w:type="dxa"/>
          </w:tcPr>
          <w:p w14:paraId="6A9A4325"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"آياتٍ بيّنات"</w:t>
            </w:r>
          </w:p>
        </w:tc>
        <w:tc>
          <w:tcPr>
            <w:tcW w:w="3436" w:type="dxa"/>
          </w:tcPr>
          <w:p w14:paraId="3B0ECED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versets probants »</w:t>
            </w:r>
          </w:p>
        </w:tc>
        <w:tc>
          <w:tcPr>
            <w:tcW w:w="3401" w:type="dxa"/>
          </w:tcPr>
          <w:p w14:paraId="4222C7C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versets clairs »</w:t>
            </w:r>
          </w:p>
        </w:tc>
      </w:tr>
      <w:tr w:rsidR="00A70B78" w:rsidRPr="007C6A42" w14:paraId="216F5C3E" w14:textId="77777777" w:rsidTr="00AF4FC9">
        <w:tc>
          <w:tcPr>
            <w:tcW w:w="646" w:type="dxa"/>
          </w:tcPr>
          <w:p w14:paraId="41D4DB4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v. </w:t>
            </w:r>
            <w:r w:rsidRPr="007C6A42">
              <w:rPr>
                <w:rFonts w:asciiTheme="majorBidi" w:hAnsiTheme="majorBidi" w:cstheme="majorBidi"/>
              </w:rPr>
              <w:lastRenderedPageBreak/>
              <w:t>17</w:t>
            </w:r>
          </w:p>
        </w:tc>
        <w:tc>
          <w:tcPr>
            <w:tcW w:w="2082" w:type="dxa"/>
          </w:tcPr>
          <w:p w14:paraId="1DEDA0FE"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lastRenderedPageBreak/>
              <w:t>"الذين آمنوا"</w:t>
            </w:r>
          </w:p>
        </w:tc>
        <w:tc>
          <w:tcPr>
            <w:tcW w:w="3436" w:type="dxa"/>
          </w:tcPr>
          <w:p w14:paraId="4045F47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croyants »</w:t>
            </w:r>
          </w:p>
        </w:tc>
        <w:tc>
          <w:tcPr>
            <w:tcW w:w="3401" w:type="dxa"/>
          </w:tcPr>
          <w:p w14:paraId="56C0119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ceux qui ont cru »</w:t>
            </w:r>
          </w:p>
        </w:tc>
      </w:tr>
      <w:tr w:rsidR="00A70B78" w:rsidRPr="007C6A42" w14:paraId="339BBE02" w14:textId="77777777" w:rsidTr="00AF4FC9">
        <w:tc>
          <w:tcPr>
            <w:tcW w:w="646" w:type="dxa"/>
          </w:tcPr>
          <w:p w14:paraId="48328B9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20</w:t>
            </w:r>
          </w:p>
        </w:tc>
        <w:tc>
          <w:tcPr>
            <w:tcW w:w="2082" w:type="dxa"/>
          </w:tcPr>
          <w:p w14:paraId="562119BC"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"والجلود"</w:t>
            </w:r>
          </w:p>
        </w:tc>
        <w:tc>
          <w:tcPr>
            <w:tcW w:w="3436" w:type="dxa"/>
          </w:tcPr>
          <w:p w14:paraId="4EE515E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et les peaux aussi »</w:t>
            </w:r>
          </w:p>
        </w:tc>
        <w:tc>
          <w:tcPr>
            <w:tcW w:w="3401" w:type="dxa"/>
          </w:tcPr>
          <w:p w14:paraId="4585A87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même que leurs peaux »</w:t>
            </w:r>
          </w:p>
        </w:tc>
      </w:tr>
      <w:tr w:rsidR="00A70B78" w:rsidRPr="007C6A42" w14:paraId="1A98558E" w14:textId="77777777" w:rsidTr="00AF4FC9">
        <w:tc>
          <w:tcPr>
            <w:tcW w:w="646" w:type="dxa"/>
          </w:tcPr>
          <w:p w14:paraId="78D52D1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22</w:t>
            </w:r>
          </w:p>
        </w:tc>
        <w:tc>
          <w:tcPr>
            <w:tcW w:w="2082" w:type="dxa"/>
          </w:tcPr>
          <w:p w14:paraId="252FA772"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"مِن غَمّ"</w:t>
            </w:r>
          </w:p>
        </w:tc>
        <w:tc>
          <w:tcPr>
            <w:tcW w:w="3436" w:type="dxa"/>
          </w:tcPr>
          <w:p w14:paraId="30377D0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chagrin »</w:t>
            </w:r>
          </w:p>
        </w:tc>
        <w:tc>
          <w:tcPr>
            <w:tcW w:w="3401" w:type="dxa"/>
          </w:tcPr>
          <w:p w14:paraId="5BC473B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(pour échapper) à la détresse »</w:t>
            </w:r>
          </w:p>
        </w:tc>
      </w:tr>
      <w:tr w:rsidR="00A70B78" w:rsidRPr="007C6A42" w14:paraId="26B873BB" w14:textId="77777777" w:rsidTr="00AF4FC9">
        <w:tc>
          <w:tcPr>
            <w:tcW w:w="646" w:type="dxa"/>
          </w:tcPr>
          <w:p w14:paraId="6116D7C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24</w:t>
            </w:r>
          </w:p>
        </w:tc>
        <w:tc>
          <w:tcPr>
            <w:tcW w:w="2082" w:type="dxa"/>
          </w:tcPr>
          <w:p w14:paraId="44614ADB"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"الطيّب من القول"</w:t>
            </w:r>
          </w:p>
        </w:tc>
        <w:tc>
          <w:tcPr>
            <w:tcW w:w="3436" w:type="dxa"/>
          </w:tcPr>
          <w:p w14:paraId="638191A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une excellente parole »</w:t>
            </w:r>
          </w:p>
        </w:tc>
        <w:tc>
          <w:tcPr>
            <w:tcW w:w="3401" w:type="dxa"/>
          </w:tcPr>
          <w:p w14:paraId="7CBE2C5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la bonne parole »</w:t>
            </w:r>
          </w:p>
        </w:tc>
      </w:tr>
      <w:tr w:rsidR="00A70B78" w:rsidRPr="007C6A42" w14:paraId="4AF27021" w14:textId="77777777" w:rsidTr="00AF4FC9">
        <w:tc>
          <w:tcPr>
            <w:tcW w:w="646" w:type="dxa"/>
          </w:tcPr>
          <w:p w14:paraId="0D3C8A4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25</w:t>
            </w:r>
          </w:p>
        </w:tc>
        <w:tc>
          <w:tcPr>
            <w:tcW w:w="2082" w:type="dxa"/>
          </w:tcPr>
          <w:p w14:paraId="66927CBE"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"ويصدّون عن سبيل الله"</w:t>
            </w:r>
          </w:p>
        </w:tc>
        <w:tc>
          <w:tcPr>
            <w:tcW w:w="3436" w:type="dxa"/>
          </w:tcPr>
          <w:p w14:paraId="1CC87DE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 empêchent du sentier de Dieu »</w:t>
            </w:r>
          </w:p>
        </w:tc>
        <w:tc>
          <w:tcPr>
            <w:tcW w:w="3401" w:type="dxa"/>
          </w:tcPr>
          <w:p w14:paraId="5292206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 obstruent le sentier d’Allah »</w:t>
            </w:r>
          </w:p>
        </w:tc>
      </w:tr>
      <w:tr w:rsidR="00A70B78" w:rsidRPr="007C6A42" w14:paraId="427FCEB3" w14:textId="77777777" w:rsidTr="00AF4FC9">
        <w:tc>
          <w:tcPr>
            <w:tcW w:w="646" w:type="dxa"/>
          </w:tcPr>
          <w:p w14:paraId="51C471D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27</w:t>
            </w:r>
          </w:p>
        </w:tc>
        <w:tc>
          <w:tcPr>
            <w:tcW w:w="2082" w:type="dxa"/>
          </w:tcPr>
          <w:p w14:paraId="7850F6E2"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"بالحج"</w:t>
            </w:r>
          </w:p>
        </w:tc>
        <w:tc>
          <w:tcPr>
            <w:tcW w:w="3436" w:type="dxa"/>
          </w:tcPr>
          <w:p w14:paraId="551C46D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pour le Pèlerinage »</w:t>
            </w:r>
          </w:p>
        </w:tc>
        <w:tc>
          <w:tcPr>
            <w:tcW w:w="3401" w:type="dxa"/>
          </w:tcPr>
          <w:p w14:paraId="38D79BC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pour le Hajj »</w:t>
            </w:r>
          </w:p>
        </w:tc>
      </w:tr>
      <w:tr w:rsidR="00A70B78" w:rsidRPr="007C6A42" w14:paraId="087F6FF7" w14:textId="77777777" w:rsidTr="00AF4FC9">
        <w:tc>
          <w:tcPr>
            <w:tcW w:w="646" w:type="dxa"/>
          </w:tcPr>
          <w:p w14:paraId="3C2985B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28</w:t>
            </w:r>
          </w:p>
        </w:tc>
        <w:tc>
          <w:tcPr>
            <w:tcW w:w="2082" w:type="dxa"/>
          </w:tcPr>
          <w:p w14:paraId="1FFB8B68"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"على كل ضامر"</w:t>
            </w:r>
          </w:p>
        </w:tc>
        <w:tc>
          <w:tcPr>
            <w:tcW w:w="3436" w:type="dxa"/>
          </w:tcPr>
          <w:p w14:paraId="101FEB0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à dromadaire de toute espèce »</w:t>
            </w:r>
          </w:p>
        </w:tc>
        <w:tc>
          <w:tcPr>
            <w:tcW w:w="3401" w:type="dxa"/>
          </w:tcPr>
          <w:p w14:paraId="338821A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sur toute monture »</w:t>
            </w:r>
          </w:p>
        </w:tc>
      </w:tr>
      <w:tr w:rsidR="00A70B78" w:rsidRPr="007C6A42" w14:paraId="3AC724E2" w14:textId="77777777" w:rsidTr="00AF4FC9">
        <w:tc>
          <w:tcPr>
            <w:tcW w:w="646" w:type="dxa"/>
          </w:tcPr>
          <w:p w14:paraId="1BF712F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29</w:t>
            </w:r>
          </w:p>
        </w:tc>
        <w:tc>
          <w:tcPr>
            <w:tcW w:w="2082" w:type="dxa"/>
          </w:tcPr>
          <w:p w14:paraId="709FB5CB"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"ثم ليقضوا تفثَهم"</w:t>
            </w:r>
          </w:p>
        </w:tc>
        <w:tc>
          <w:tcPr>
            <w:tcW w:w="3436" w:type="dxa"/>
          </w:tcPr>
          <w:p w14:paraId="3A0E16B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Qu’ils ôtent ensuite leur crasse »</w:t>
            </w:r>
          </w:p>
        </w:tc>
        <w:tc>
          <w:tcPr>
            <w:tcW w:w="3401" w:type="dxa"/>
          </w:tcPr>
          <w:p w14:paraId="49897E8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Puis qu’ils mettent fin à leurs interdits (qu’ils nettoient leurs corps) »</w:t>
            </w:r>
          </w:p>
        </w:tc>
      </w:tr>
      <w:tr w:rsidR="00A70B78" w:rsidRPr="007C6A42" w14:paraId="42759C5C" w14:textId="77777777" w:rsidTr="00AF4FC9">
        <w:tc>
          <w:tcPr>
            <w:tcW w:w="646" w:type="dxa"/>
          </w:tcPr>
          <w:p w14:paraId="04DEBBE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30</w:t>
            </w:r>
          </w:p>
        </w:tc>
        <w:tc>
          <w:tcPr>
            <w:tcW w:w="2082" w:type="dxa"/>
          </w:tcPr>
          <w:p w14:paraId="6FDB89E5"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"ومن يُعظِّم حرماتِ الله"</w:t>
            </w:r>
          </w:p>
        </w:tc>
        <w:tc>
          <w:tcPr>
            <w:tcW w:w="3436" w:type="dxa"/>
          </w:tcPr>
          <w:p w14:paraId="5446157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quiconque exalte les interdits de Dieu »</w:t>
            </w:r>
          </w:p>
        </w:tc>
        <w:tc>
          <w:tcPr>
            <w:tcW w:w="3401" w:type="dxa"/>
          </w:tcPr>
          <w:p w14:paraId="1FB373F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quiconque prend en haute considération les limites sacrées d’Allah »</w:t>
            </w:r>
          </w:p>
        </w:tc>
      </w:tr>
      <w:tr w:rsidR="00A70B78" w:rsidRPr="007C6A42" w14:paraId="3A71D3C5" w14:textId="77777777" w:rsidTr="00AF4FC9">
        <w:tc>
          <w:tcPr>
            <w:tcW w:w="646" w:type="dxa"/>
          </w:tcPr>
          <w:p w14:paraId="34FC3B0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31</w:t>
            </w:r>
          </w:p>
        </w:tc>
        <w:tc>
          <w:tcPr>
            <w:tcW w:w="2082" w:type="dxa"/>
          </w:tcPr>
          <w:p w14:paraId="4B7171EE"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"حنفاءَ لله"</w:t>
            </w:r>
          </w:p>
        </w:tc>
        <w:tc>
          <w:tcPr>
            <w:tcW w:w="3436" w:type="dxa"/>
          </w:tcPr>
          <w:p w14:paraId="5A2C910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sincères envers Dieu »</w:t>
            </w:r>
          </w:p>
        </w:tc>
        <w:tc>
          <w:tcPr>
            <w:tcW w:w="3401" w:type="dxa"/>
          </w:tcPr>
          <w:p w14:paraId="7AC3892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(Soyez) exclusivement [acquis à la religion] d’Allah »</w:t>
            </w:r>
          </w:p>
        </w:tc>
      </w:tr>
      <w:tr w:rsidR="00A70B78" w:rsidRPr="007C6A42" w14:paraId="5650FF66" w14:textId="77777777" w:rsidTr="00AF4FC9">
        <w:tc>
          <w:tcPr>
            <w:tcW w:w="646" w:type="dxa"/>
          </w:tcPr>
          <w:p w14:paraId="3BD5F95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31</w:t>
            </w:r>
          </w:p>
        </w:tc>
        <w:tc>
          <w:tcPr>
            <w:tcW w:w="2082" w:type="dxa"/>
          </w:tcPr>
          <w:p w14:paraId="1ACC6BF5"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"في مكانٍ سحيق"</w:t>
            </w:r>
          </w:p>
        </w:tc>
        <w:tc>
          <w:tcPr>
            <w:tcW w:w="3436" w:type="dxa"/>
          </w:tcPr>
          <w:p w14:paraId="2F56638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à l’en pulvériser »</w:t>
            </w:r>
          </w:p>
        </w:tc>
        <w:tc>
          <w:tcPr>
            <w:tcW w:w="3401" w:type="dxa"/>
          </w:tcPr>
          <w:p w14:paraId="2036185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dans un abîme très profond »</w:t>
            </w:r>
          </w:p>
        </w:tc>
      </w:tr>
      <w:tr w:rsidR="00A70B78" w:rsidRPr="007C6A42" w14:paraId="44C9847F" w14:textId="77777777" w:rsidTr="00AF4FC9">
        <w:tc>
          <w:tcPr>
            <w:tcW w:w="646" w:type="dxa"/>
          </w:tcPr>
          <w:p w14:paraId="7C62C99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32</w:t>
            </w:r>
          </w:p>
        </w:tc>
        <w:tc>
          <w:tcPr>
            <w:tcW w:w="2082" w:type="dxa"/>
          </w:tcPr>
          <w:p w14:paraId="74DB8D86"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"شعائرَ الله"</w:t>
            </w:r>
          </w:p>
        </w:tc>
        <w:tc>
          <w:tcPr>
            <w:tcW w:w="3436" w:type="dxa"/>
          </w:tcPr>
          <w:p w14:paraId="25D1436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les emblème de Dieu »</w:t>
            </w:r>
          </w:p>
        </w:tc>
        <w:tc>
          <w:tcPr>
            <w:tcW w:w="3401" w:type="dxa"/>
          </w:tcPr>
          <w:p w14:paraId="68133AF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les injonctions sacrées d’Allah »</w:t>
            </w:r>
          </w:p>
        </w:tc>
      </w:tr>
      <w:tr w:rsidR="00A70B78" w:rsidRPr="007C6A42" w14:paraId="2018F62A" w14:textId="77777777" w:rsidTr="00AF4FC9">
        <w:tc>
          <w:tcPr>
            <w:tcW w:w="646" w:type="dxa"/>
          </w:tcPr>
          <w:p w14:paraId="01ECDE8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34</w:t>
            </w:r>
          </w:p>
        </w:tc>
        <w:tc>
          <w:tcPr>
            <w:tcW w:w="2082" w:type="dxa"/>
          </w:tcPr>
          <w:p w14:paraId="77215ABF"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"ليَذكروا"</w:t>
            </w:r>
          </w:p>
        </w:tc>
        <w:tc>
          <w:tcPr>
            <w:tcW w:w="3436" w:type="dxa"/>
          </w:tcPr>
          <w:p w14:paraId="55A347B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afin qu’ils rappellent »</w:t>
            </w:r>
          </w:p>
        </w:tc>
        <w:tc>
          <w:tcPr>
            <w:tcW w:w="3401" w:type="dxa"/>
          </w:tcPr>
          <w:p w14:paraId="7402879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afin qu’ils prononcent »</w:t>
            </w:r>
          </w:p>
        </w:tc>
      </w:tr>
      <w:tr w:rsidR="00A70B78" w:rsidRPr="007C6A42" w14:paraId="03607118" w14:textId="77777777" w:rsidTr="00AF4FC9">
        <w:tc>
          <w:tcPr>
            <w:tcW w:w="646" w:type="dxa"/>
          </w:tcPr>
          <w:p w14:paraId="78A86D3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39</w:t>
            </w:r>
          </w:p>
        </w:tc>
        <w:tc>
          <w:tcPr>
            <w:tcW w:w="2082" w:type="dxa"/>
          </w:tcPr>
          <w:p w14:paraId="7072CD84"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"يقاتَـلون"</w:t>
            </w:r>
          </w:p>
        </w:tc>
        <w:tc>
          <w:tcPr>
            <w:tcW w:w="3436" w:type="dxa"/>
          </w:tcPr>
          <w:p w14:paraId="7F43289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sont combattus »</w:t>
            </w:r>
          </w:p>
        </w:tc>
        <w:tc>
          <w:tcPr>
            <w:tcW w:w="3401" w:type="dxa"/>
          </w:tcPr>
          <w:p w14:paraId="4E7897B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sont attaqués »</w:t>
            </w:r>
          </w:p>
        </w:tc>
      </w:tr>
      <w:tr w:rsidR="00A70B78" w:rsidRPr="007C6A42" w14:paraId="1EF568FA" w14:textId="77777777" w:rsidTr="00AF4FC9">
        <w:tc>
          <w:tcPr>
            <w:tcW w:w="646" w:type="dxa"/>
          </w:tcPr>
          <w:p w14:paraId="25DF48A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v. </w:t>
            </w:r>
            <w:r w:rsidRPr="007C6A42">
              <w:rPr>
                <w:rFonts w:asciiTheme="majorBidi" w:hAnsiTheme="majorBidi" w:cstheme="majorBidi"/>
              </w:rPr>
              <w:lastRenderedPageBreak/>
              <w:t>40</w:t>
            </w:r>
          </w:p>
        </w:tc>
        <w:tc>
          <w:tcPr>
            <w:tcW w:w="2082" w:type="dxa"/>
          </w:tcPr>
          <w:p w14:paraId="01F2616C"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lastRenderedPageBreak/>
              <w:t>"بِيَعٌ وصلواتٌ"</w:t>
            </w:r>
          </w:p>
        </w:tc>
        <w:tc>
          <w:tcPr>
            <w:tcW w:w="3436" w:type="dxa"/>
          </w:tcPr>
          <w:p w14:paraId="4A90154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xml:space="preserve">« les synagogues et les </w:t>
            </w:r>
            <w:r w:rsidRPr="007C6A42">
              <w:rPr>
                <w:rFonts w:asciiTheme="majorBidi" w:hAnsiTheme="majorBidi" w:cstheme="majorBidi"/>
              </w:rPr>
              <w:lastRenderedPageBreak/>
              <w:t>oratoires »</w:t>
            </w:r>
          </w:p>
        </w:tc>
        <w:tc>
          <w:tcPr>
            <w:tcW w:w="3401" w:type="dxa"/>
          </w:tcPr>
          <w:p w14:paraId="148DCCC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lastRenderedPageBreak/>
              <w:t>« les églises et les synagogues »</w:t>
            </w:r>
          </w:p>
        </w:tc>
      </w:tr>
      <w:tr w:rsidR="00A70B78" w:rsidRPr="007C6A42" w14:paraId="03AB494E" w14:textId="77777777" w:rsidTr="00AF4FC9">
        <w:tc>
          <w:tcPr>
            <w:tcW w:w="646" w:type="dxa"/>
          </w:tcPr>
          <w:p w14:paraId="47C8F64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41</w:t>
            </w:r>
          </w:p>
        </w:tc>
        <w:tc>
          <w:tcPr>
            <w:tcW w:w="2082" w:type="dxa"/>
          </w:tcPr>
          <w:p w14:paraId="039C786E"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"أقاموا الصلاةَ وآتَوُا الزكاةَ"</w:t>
            </w:r>
          </w:p>
        </w:tc>
        <w:tc>
          <w:tcPr>
            <w:tcW w:w="3436" w:type="dxa"/>
          </w:tcPr>
          <w:p w14:paraId="24C4D2C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établiront l’Office, et acquitteront l’impôt »</w:t>
            </w:r>
          </w:p>
        </w:tc>
        <w:tc>
          <w:tcPr>
            <w:tcW w:w="3401" w:type="dxa"/>
          </w:tcPr>
          <w:p w14:paraId="2DD5F1D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accomplissent la Salat, acquittent la Zakat »</w:t>
            </w:r>
          </w:p>
        </w:tc>
      </w:tr>
      <w:tr w:rsidR="00A70B78" w:rsidRPr="007C6A42" w14:paraId="05DF18FC" w14:textId="77777777" w:rsidTr="00AF4FC9">
        <w:tc>
          <w:tcPr>
            <w:tcW w:w="646" w:type="dxa"/>
          </w:tcPr>
          <w:p w14:paraId="5D27EF6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45</w:t>
            </w:r>
          </w:p>
        </w:tc>
        <w:tc>
          <w:tcPr>
            <w:tcW w:w="2082" w:type="dxa"/>
          </w:tcPr>
          <w:p w14:paraId="601839DA"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"مَشِيد"</w:t>
            </w:r>
          </w:p>
        </w:tc>
        <w:tc>
          <w:tcPr>
            <w:tcW w:w="3436" w:type="dxa"/>
          </w:tcPr>
          <w:p w14:paraId="1C704E9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crépis »</w:t>
            </w:r>
          </w:p>
        </w:tc>
        <w:tc>
          <w:tcPr>
            <w:tcW w:w="3401" w:type="dxa"/>
          </w:tcPr>
          <w:p w14:paraId="1B82D98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édifiés (et désertés aussi) »</w:t>
            </w:r>
          </w:p>
        </w:tc>
      </w:tr>
      <w:tr w:rsidR="00A70B78" w:rsidRPr="007C6A42" w14:paraId="1D54CC14" w14:textId="77777777" w:rsidTr="00AF4FC9">
        <w:tc>
          <w:tcPr>
            <w:tcW w:w="646" w:type="dxa"/>
          </w:tcPr>
          <w:p w14:paraId="5ACE3D5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50</w:t>
            </w:r>
          </w:p>
        </w:tc>
        <w:tc>
          <w:tcPr>
            <w:tcW w:w="2082" w:type="dxa"/>
          </w:tcPr>
          <w:p w14:paraId="3513D227"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"رِزقٌ كريم"</w:t>
            </w:r>
          </w:p>
        </w:tc>
        <w:tc>
          <w:tcPr>
            <w:tcW w:w="3436" w:type="dxa"/>
          </w:tcPr>
          <w:p w14:paraId="5471E7B3"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noble part »</w:t>
            </w:r>
          </w:p>
        </w:tc>
        <w:tc>
          <w:tcPr>
            <w:tcW w:w="3401" w:type="dxa"/>
          </w:tcPr>
          <w:p w14:paraId="30D2AD7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faveurs généreuses »</w:t>
            </w:r>
          </w:p>
        </w:tc>
      </w:tr>
      <w:tr w:rsidR="00A70B78" w:rsidRPr="007C6A42" w14:paraId="51766968" w14:textId="77777777" w:rsidTr="00AF4FC9">
        <w:tc>
          <w:tcPr>
            <w:tcW w:w="646" w:type="dxa"/>
          </w:tcPr>
          <w:p w14:paraId="5925D0B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51</w:t>
            </w:r>
          </w:p>
        </w:tc>
        <w:tc>
          <w:tcPr>
            <w:tcW w:w="2082" w:type="dxa"/>
          </w:tcPr>
          <w:p w14:paraId="1AC3DD56"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"والذين سَعَوا في آياتنا مُعاجزين"</w:t>
            </w:r>
          </w:p>
        </w:tc>
        <w:tc>
          <w:tcPr>
            <w:tcW w:w="3436" w:type="dxa"/>
          </w:tcPr>
          <w:p w14:paraId="670EE73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ceux qui courent pour rendre impuissants Nos signes »</w:t>
            </w:r>
          </w:p>
        </w:tc>
        <w:tc>
          <w:tcPr>
            <w:tcW w:w="3401" w:type="dxa"/>
          </w:tcPr>
          <w:p w14:paraId="41C8DA9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ceux qui s’efforcent à échapper (au châtiment mentionné dans) Nos versets »</w:t>
            </w:r>
          </w:p>
        </w:tc>
      </w:tr>
      <w:tr w:rsidR="00A70B78" w:rsidRPr="007C6A42" w14:paraId="0B51DBD0" w14:textId="77777777" w:rsidTr="00AF4FC9">
        <w:tc>
          <w:tcPr>
            <w:tcW w:w="646" w:type="dxa"/>
          </w:tcPr>
          <w:p w14:paraId="46B6AE7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52</w:t>
            </w:r>
          </w:p>
        </w:tc>
        <w:tc>
          <w:tcPr>
            <w:tcW w:w="2082" w:type="dxa"/>
          </w:tcPr>
          <w:p w14:paraId="69501CD0"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"إذا تمنّى"</w:t>
            </w:r>
          </w:p>
        </w:tc>
        <w:tc>
          <w:tcPr>
            <w:tcW w:w="3436" w:type="dxa"/>
          </w:tcPr>
          <w:p w14:paraId="416E54F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 n’ait eu quelque désir »</w:t>
            </w:r>
          </w:p>
        </w:tc>
        <w:tc>
          <w:tcPr>
            <w:tcW w:w="3401" w:type="dxa"/>
          </w:tcPr>
          <w:p w14:paraId="40BF70A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qui n’ait récité (ce qui lui a été révélé) »</w:t>
            </w:r>
          </w:p>
        </w:tc>
      </w:tr>
      <w:tr w:rsidR="00A70B78" w:rsidRPr="007C6A42" w14:paraId="31CEDE55" w14:textId="77777777" w:rsidTr="00AF4FC9">
        <w:tc>
          <w:tcPr>
            <w:tcW w:w="646" w:type="dxa"/>
          </w:tcPr>
          <w:p w14:paraId="5E6A7AE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52</w:t>
            </w:r>
          </w:p>
        </w:tc>
        <w:tc>
          <w:tcPr>
            <w:tcW w:w="2082" w:type="dxa"/>
          </w:tcPr>
          <w:p w14:paraId="35FAB110"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"ألقى الشيطانُ في أُمنيَّته"</w:t>
            </w:r>
          </w:p>
        </w:tc>
        <w:tc>
          <w:tcPr>
            <w:tcW w:w="3436" w:type="dxa"/>
          </w:tcPr>
          <w:p w14:paraId="6D6779E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le Diable ait lancé dans son désir »</w:t>
            </w:r>
          </w:p>
        </w:tc>
        <w:tc>
          <w:tcPr>
            <w:tcW w:w="3401" w:type="dxa"/>
          </w:tcPr>
          <w:p w14:paraId="35BD14A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le Diable n’ait essayé d’intervenir [pour semer le doute dans le cœur des gens au sujet] de sa récitation »</w:t>
            </w:r>
          </w:p>
        </w:tc>
      </w:tr>
      <w:tr w:rsidR="00A70B78" w:rsidRPr="007C6A42" w14:paraId="0D076168" w14:textId="77777777" w:rsidTr="00AF4FC9">
        <w:tc>
          <w:tcPr>
            <w:tcW w:w="646" w:type="dxa"/>
          </w:tcPr>
          <w:p w14:paraId="6834202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54</w:t>
            </w:r>
          </w:p>
        </w:tc>
        <w:tc>
          <w:tcPr>
            <w:tcW w:w="2082" w:type="dxa"/>
          </w:tcPr>
          <w:p w14:paraId="32C301CA"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"أنه الحق"</w:t>
            </w:r>
          </w:p>
        </w:tc>
        <w:tc>
          <w:tcPr>
            <w:tcW w:w="3436" w:type="dxa"/>
          </w:tcPr>
          <w:p w14:paraId="7E2878F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que voilà en effet la Vérité »</w:t>
            </w:r>
          </w:p>
        </w:tc>
        <w:tc>
          <w:tcPr>
            <w:tcW w:w="3401" w:type="dxa"/>
          </w:tcPr>
          <w:p w14:paraId="71B6CDF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que (le Coran) est en effet la Vérité »</w:t>
            </w:r>
          </w:p>
        </w:tc>
      </w:tr>
      <w:tr w:rsidR="00A70B78" w:rsidRPr="007C6A42" w14:paraId="7F09D771" w14:textId="77777777" w:rsidTr="00AF4FC9">
        <w:tc>
          <w:tcPr>
            <w:tcW w:w="646" w:type="dxa"/>
          </w:tcPr>
          <w:p w14:paraId="6F3097F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55</w:t>
            </w:r>
          </w:p>
        </w:tc>
        <w:tc>
          <w:tcPr>
            <w:tcW w:w="2082" w:type="dxa"/>
          </w:tcPr>
          <w:p w14:paraId="3641C521"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"يوم عقيم"</w:t>
            </w:r>
          </w:p>
        </w:tc>
        <w:tc>
          <w:tcPr>
            <w:tcW w:w="3436" w:type="dxa"/>
          </w:tcPr>
          <w:p w14:paraId="14344F0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un Jour stérile »</w:t>
            </w:r>
          </w:p>
        </w:tc>
        <w:tc>
          <w:tcPr>
            <w:tcW w:w="3401" w:type="dxa"/>
          </w:tcPr>
          <w:p w14:paraId="35C91A7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un jour terrifiant »</w:t>
            </w:r>
          </w:p>
        </w:tc>
      </w:tr>
      <w:tr w:rsidR="00A70B78" w:rsidRPr="007C6A42" w14:paraId="159CECF3" w14:textId="77777777" w:rsidTr="00AF4FC9">
        <w:tc>
          <w:tcPr>
            <w:tcW w:w="646" w:type="dxa"/>
          </w:tcPr>
          <w:p w14:paraId="379B066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56</w:t>
            </w:r>
          </w:p>
        </w:tc>
        <w:tc>
          <w:tcPr>
            <w:tcW w:w="2082" w:type="dxa"/>
          </w:tcPr>
          <w:p w14:paraId="515297E1"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"المُلك"</w:t>
            </w:r>
          </w:p>
        </w:tc>
        <w:tc>
          <w:tcPr>
            <w:tcW w:w="3436" w:type="dxa"/>
          </w:tcPr>
          <w:p w14:paraId="68997E7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la royauté »</w:t>
            </w:r>
          </w:p>
        </w:tc>
        <w:tc>
          <w:tcPr>
            <w:tcW w:w="3401" w:type="dxa"/>
          </w:tcPr>
          <w:p w14:paraId="63963C8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la souveraineté »</w:t>
            </w:r>
          </w:p>
        </w:tc>
      </w:tr>
      <w:tr w:rsidR="00A70B78" w:rsidRPr="007C6A42" w14:paraId="58AA322B" w14:textId="77777777" w:rsidTr="00AF4FC9">
        <w:tc>
          <w:tcPr>
            <w:tcW w:w="646" w:type="dxa"/>
          </w:tcPr>
          <w:p w14:paraId="403ADAF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71</w:t>
            </w:r>
          </w:p>
        </w:tc>
        <w:tc>
          <w:tcPr>
            <w:tcW w:w="2082" w:type="dxa"/>
          </w:tcPr>
          <w:p w14:paraId="2CEE90B8"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"سلطاناً"</w:t>
            </w:r>
          </w:p>
        </w:tc>
        <w:tc>
          <w:tcPr>
            <w:tcW w:w="3436" w:type="dxa"/>
          </w:tcPr>
          <w:p w14:paraId="5732A0A9"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autorité »</w:t>
            </w:r>
          </w:p>
        </w:tc>
        <w:tc>
          <w:tcPr>
            <w:tcW w:w="3401" w:type="dxa"/>
          </w:tcPr>
          <w:p w14:paraId="4C4A479D"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preuve »</w:t>
            </w:r>
          </w:p>
        </w:tc>
      </w:tr>
      <w:tr w:rsidR="00A70B78" w:rsidRPr="007C6A42" w14:paraId="5EED0785" w14:textId="77777777" w:rsidTr="00AF4FC9">
        <w:tc>
          <w:tcPr>
            <w:tcW w:w="646" w:type="dxa"/>
          </w:tcPr>
          <w:p w14:paraId="1453773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71</w:t>
            </w:r>
          </w:p>
        </w:tc>
        <w:tc>
          <w:tcPr>
            <w:tcW w:w="2082" w:type="dxa"/>
          </w:tcPr>
          <w:p w14:paraId="61101E90"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"نصير"</w:t>
            </w:r>
          </w:p>
        </w:tc>
        <w:tc>
          <w:tcPr>
            <w:tcW w:w="3436" w:type="dxa"/>
          </w:tcPr>
          <w:p w14:paraId="4271680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secoureur »</w:t>
            </w:r>
          </w:p>
        </w:tc>
        <w:tc>
          <w:tcPr>
            <w:tcW w:w="3401" w:type="dxa"/>
          </w:tcPr>
          <w:p w14:paraId="13AFEB9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protecteur »</w:t>
            </w:r>
          </w:p>
        </w:tc>
      </w:tr>
      <w:tr w:rsidR="00A70B78" w:rsidRPr="007C6A42" w14:paraId="4BEE1E3A" w14:textId="77777777" w:rsidTr="00AF4FC9">
        <w:tc>
          <w:tcPr>
            <w:tcW w:w="646" w:type="dxa"/>
          </w:tcPr>
          <w:p w14:paraId="46465E1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72</w:t>
            </w:r>
          </w:p>
        </w:tc>
        <w:tc>
          <w:tcPr>
            <w:tcW w:w="2082" w:type="dxa"/>
          </w:tcPr>
          <w:p w14:paraId="1494A453"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"تُتلى عليهم"</w:t>
            </w:r>
          </w:p>
        </w:tc>
        <w:tc>
          <w:tcPr>
            <w:tcW w:w="3436" w:type="dxa"/>
          </w:tcPr>
          <w:p w14:paraId="2570C35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on récite sur eux »</w:t>
            </w:r>
          </w:p>
        </w:tc>
        <w:tc>
          <w:tcPr>
            <w:tcW w:w="3401" w:type="dxa"/>
          </w:tcPr>
          <w:p w14:paraId="7201D8FC"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on leur récite »</w:t>
            </w:r>
          </w:p>
        </w:tc>
      </w:tr>
      <w:tr w:rsidR="00A70B78" w:rsidRPr="007C6A42" w14:paraId="128B03DC" w14:textId="77777777" w:rsidTr="00AF4FC9">
        <w:tc>
          <w:tcPr>
            <w:tcW w:w="646" w:type="dxa"/>
          </w:tcPr>
          <w:p w14:paraId="090A7974"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72</w:t>
            </w:r>
          </w:p>
        </w:tc>
        <w:tc>
          <w:tcPr>
            <w:tcW w:w="2082" w:type="dxa"/>
          </w:tcPr>
          <w:p w14:paraId="71E21D92"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"بِـشَـرٍّ من ذلكم"</w:t>
            </w:r>
          </w:p>
        </w:tc>
        <w:tc>
          <w:tcPr>
            <w:tcW w:w="3436" w:type="dxa"/>
          </w:tcPr>
          <w:p w14:paraId="0A95605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quelque chose de pire »</w:t>
            </w:r>
          </w:p>
        </w:tc>
        <w:tc>
          <w:tcPr>
            <w:tcW w:w="3401" w:type="dxa"/>
          </w:tcPr>
          <w:p w14:paraId="1F9E2F58"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de quelque chose de plus terrible »</w:t>
            </w:r>
          </w:p>
        </w:tc>
      </w:tr>
      <w:tr w:rsidR="00A70B78" w:rsidRPr="007C6A42" w14:paraId="27FA9CCC" w14:textId="77777777" w:rsidTr="00AF4FC9">
        <w:tc>
          <w:tcPr>
            <w:tcW w:w="646" w:type="dxa"/>
          </w:tcPr>
          <w:p w14:paraId="7A1FCDE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lastRenderedPageBreak/>
              <w:t>v. 73</w:t>
            </w:r>
          </w:p>
        </w:tc>
        <w:tc>
          <w:tcPr>
            <w:tcW w:w="2082" w:type="dxa"/>
          </w:tcPr>
          <w:p w14:paraId="312C40D0"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"ضُرِبَ مَثلٌ"</w:t>
            </w:r>
          </w:p>
        </w:tc>
        <w:tc>
          <w:tcPr>
            <w:tcW w:w="3436" w:type="dxa"/>
          </w:tcPr>
          <w:p w14:paraId="09BF302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Voici frappé une parabole »</w:t>
            </w:r>
          </w:p>
        </w:tc>
        <w:tc>
          <w:tcPr>
            <w:tcW w:w="3401" w:type="dxa"/>
          </w:tcPr>
          <w:p w14:paraId="06A5F6D2"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Une parabole vous est proposée »</w:t>
            </w:r>
          </w:p>
        </w:tc>
      </w:tr>
      <w:tr w:rsidR="00A70B78" w:rsidRPr="007C6A42" w14:paraId="1A27D1B2" w14:textId="77777777" w:rsidTr="00AF4FC9">
        <w:tc>
          <w:tcPr>
            <w:tcW w:w="646" w:type="dxa"/>
          </w:tcPr>
          <w:p w14:paraId="545E1506"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74</w:t>
            </w:r>
          </w:p>
        </w:tc>
        <w:tc>
          <w:tcPr>
            <w:tcW w:w="2082" w:type="dxa"/>
          </w:tcPr>
          <w:p w14:paraId="38597BFE" w14:textId="77777777" w:rsidR="00A70B78" w:rsidRPr="007C6A42" w:rsidRDefault="00A70B78" w:rsidP="00AF4FC9">
            <w:pPr>
              <w:bidi/>
              <w:spacing w:line="360" w:lineRule="auto"/>
              <w:jc w:val="both"/>
              <w:rPr>
                <w:rFonts w:asciiTheme="majorBidi" w:hAnsiTheme="majorBidi" w:cstheme="majorBidi"/>
              </w:rPr>
            </w:pPr>
            <w:r w:rsidRPr="007C6A42">
              <w:rPr>
                <w:rFonts w:asciiTheme="majorBidi" w:hAnsiTheme="majorBidi" w:cstheme="majorBidi"/>
                <w:rtl/>
              </w:rPr>
              <w:t>"ما قَدَروا اللهَ حَقَّ قَدرِه"</w:t>
            </w:r>
          </w:p>
        </w:tc>
        <w:tc>
          <w:tcPr>
            <w:tcW w:w="3436" w:type="dxa"/>
          </w:tcPr>
          <w:p w14:paraId="5BF69FEE"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Et ils ne mesurent pas Dieu à Sa vraie mesure »</w:t>
            </w:r>
          </w:p>
        </w:tc>
        <w:tc>
          <w:tcPr>
            <w:tcW w:w="3401" w:type="dxa"/>
          </w:tcPr>
          <w:p w14:paraId="1F62537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Ils n’ont pas estimé Allah à sa juste valeur »</w:t>
            </w:r>
          </w:p>
        </w:tc>
      </w:tr>
      <w:tr w:rsidR="00A70B78" w:rsidRPr="007C6A42" w14:paraId="607D27C9" w14:textId="77777777" w:rsidTr="00AF4FC9">
        <w:tc>
          <w:tcPr>
            <w:tcW w:w="646" w:type="dxa"/>
          </w:tcPr>
          <w:p w14:paraId="04A4639F"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v. 78</w:t>
            </w:r>
          </w:p>
        </w:tc>
        <w:tc>
          <w:tcPr>
            <w:tcW w:w="2082" w:type="dxa"/>
          </w:tcPr>
          <w:p w14:paraId="318E88F4"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"المسلمون"</w:t>
            </w:r>
          </w:p>
        </w:tc>
        <w:tc>
          <w:tcPr>
            <w:tcW w:w="3436" w:type="dxa"/>
          </w:tcPr>
          <w:p w14:paraId="4428C957"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 Soumis » »</w:t>
            </w:r>
          </w:p>
        </w:tc>
        <w:tc>
          <w:tcPr>
            <w:tcW w:w="3401" w:type="dxa"/>
          </w:tcPr>
          <w:p w14:paraId="6BC0DA21"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"Musulmans" »</w:t>
            </w:r>
          </w:p>
        </w:tc>
      </w:tr>
    </w:tbl>
    <w:p w14:paraId="3C6C3757" w14:textId="77777777" w:rsidR="00A70B78" w:rsidRPr="007C6A42" w:rsidRDefault="00A70B78" w:rsidP="00A70B78">
      <w:pPr>
        <w:spacing w:line="360" w:lineRule="auto"/>
        <w:jc w:val="both"/>
        <w:rPr>
          <w:rFonts w:asciiTheme="majorBidi" w:hAnsiTheme="majorBidi" w:cstheme="majorBidi"/>
        </w:rPr>
      </w:pPr>
    </w:p>
    <w:p w14:paraId="1E93DEF9"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La traduction du Complexe est littéraliste, plus concordiste, avec plus d’embellissement, et moins d’allongement. Il essaie de respecter plus l’exégèse sunnite, d’islamiser la traduction (en translittérant avec majuscule des noms communs comme : le Hajj [le pèlerinage], la Salat [la prière] et la Zakat [l’aumône]).</w:t>
      </w:r>
    </w:p>
    <w:p w14:paraId="29DDAC2F" w14:textId="77777777" w:rsidR="00A70B78" w:rsidRPr="007C6A42" w:rsidRDefault="00A70B78" w:rsidP="00A70B78">
      <w:pPr>
        <w:spacing w:line="360" w:lineRule="auto"/>
        <w:ind w:firstLine="708"/>
        <w:jc w:val="both"/>
        <w:rPr>
          <w:rFonts w:asciiTheme="majorBidi" w:hAnsiTheme="majorBidi" w:cstheme="majorBidi"/>
        </w:rPr>
      </w:pPr>
    </w:p>
    <w:p w14:paraId="3823439E"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 xml:space="preserve">Quand le complexe modifie un terme par un autre, il change la polysémie du texte. Quand il remplace, par exemple, « probants » par « clairs », il modifie le sens pour désigner des versets faciles à comprendre au lieu des versets convaincants. Ces deux sens coexistent dans l’exégèse, et la traduction opte pour l’un des deux. Quand le Complexe remplace « crépis » par « édifiés (et désertés aussi) » pour traduire </w:t>
      </w:r>
      <w:r w:rsidRPr="007C6A42">
        <w:rPr>
          <w:rFonts w:asciiTheme="majorBidi" w:hAnsiTheme="majorBidi" w:cstheme="majorBidi"/>
          <w:i/>
          <w:iCs/>
        </w:rPr>
        <w:t>mashīd</w:t>
      </w:r>
      <w:r w:rsidRPr="007C6A42">
        <w:rPr>
          <w:rFonts w:asciiTheme="majorBidi" w:hAnsiTheme="majorBidi" w:cstheme="majorBidi"/>
        </w:rPr>
        <w:t xml:space="preserve">, il ajoute le sens de « édifiés » et de « désertés ». Il modifie également le sens donné par l’exégèse quand il ajoute l’adjectif « désertés », car le terme </w:t>
      </w:r>
      <w:r w:rsidRPr="007C6A42">
        <w:rPr>
          <w:rFonts w:asciiTheme="majorBidi" w:hAnsiTheme="majorBidi" w:cstheme="majorBidi"/>
          <w:i/>
          <w:iCs/>
        </w:rPr>
        <w:t>mashīd</w:t>
      </w:r>
      <w:r w:rsidRPr="007C6A42">
        <w:rPr>
          <w:rFonts w:asciiTheme="majorBidi" w:hAnsiTheme="majorBidi" w:cstheme="majorBidi"/>
        </w:rPr>
        <w:t xml:space="preserve"> peut signifier : « édifié » mais pas « déserté ».   Il en est de même pour « patron » (remplacé par : « allié ») et « client » (remplacé par : « compagnon »). </w:t>
      </w:r>
    </w:p>
    <w:p w14:paraId="3BE5D53F" w14:textId="77777777" w:rsidR="00A70B78" w:rsidRPr="007C6A42" w:rsidRDefault="00A70B78" w:rsidP="00A70B78">
      <w:pPr>
        <w:spacing w:line="360" w:lineRule="auto"/>
        <w:ind w:firstLine="708"/>
        <w:jc w:val="both"/>
        <w:rPr>
          <w:rFonts w:asciiTheme="majorBidi" w:hAnsiTheme="majorBidi" w:cstheme="majorBidi"/>
        </w:rPr>
      </w:pPr>
    </w:p>
    <w:p w14:paraId="7B32AB59"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Mais quand le Complexe remplace « croyants » par « ceux qui ont cru », il s’attache ici à la littéralité du texte original tant que le contexte de la traduction le permet. De même, pour être plus proche de l’origine, il traduit « </w:t>
      </w:r>
      <w:r w:rsidRPr="007C6A42">
        <w:rPr>
          <w:rFonts w:asciiTheme="majorBidi" w:hAnsiTheme="majorBidi" w:cstheme="majorBidi"/>
          <w:rtl/>
        </w:rPr>
        <w:t>الطيّب من القول</w:t>
      </w:r>
      <w:r w:rsidRPr="007C6A42">
        <w:rPr>
          <w:rFonts w:asciiTheme="majorBidi" w:hAnsiTheme="majorBidi" w:cstheme="majorBidi"/>
        </w:rPr>
        <w:t> » par : « la bonne parole » (au lieu de : « une excellente parole ») et « </w:t>
      </w:r>
      <w:r w:rsidRPr="007C6A42">
        <w:rPr>
          <w:rFonts w:asciiTheme="majorBidi" w:hAnsiTheme="majorBidi" w:cstheme="majorBidi"/>
          <w:rtl/>
        </w:rPr>
        <w:t>على كل ضامر</w:t>
      </w:r>
      <w:r w:rsidRPr="007C6A42">
        <w:rPr>
          <w:rFonts w:asciiTheme="majorBidi" w:hAnsiTheme="majorBidi" w:cstheme="majorBidi"/>
        </w:rPr>
        <w:t> » par : « sur toute monture » (au lieu de : « à dromadaire de toute espèce »). Cependant, la littéralité ne s’applique pas là où le terme (ou la phrase) est équivoque. Ainsi, le Complexe ajoute des termes clarifants. Par exemple, il modifie, allonge et clarifie la traduction de Hamidullah : « Qu’ils ôtent ensuite leur crasse » ["</w:t>
      </w:r>
      <w:r w:rsidRPr="007C6A42">
        <w:rPr>
          <w:rFonts w:asciiTheme="majorBidi" w:hAnsiTheme="majorBidi" w:cstheme="majorBidi"/>
          <w:rtl/>
        </w:rPr>
        <w:t>ثم ليقضوا تفثَهم</w:t>
      </w:r>
      <w:r w:rsidRPr="007C6A42">
        <w:rPr>
          <w:rFonts w:asciiTheme="majorBidi" w:hAnsiTheme="majorBidi" w:cstheme="majorBidi"/>
        </w:rPr>
        <w:t>"] pour devenir : « Puis qu’ils mettent fin à leurs interdits (qu’ils nettoient leurs corps) ».</w:t>
      </w:r>
    </w:p>
    <w:p w14:paraId="61E470E3" w14:textId="77777777" w:rsidR="00A70B78" w:rsidRPr="007C6A42" w:rsidRDefault="00A70B78" w:rsidP="00A70B78">
      <w:pPr>
        <w:spacing w:line="360" w:lineRule="auto"/>
        <w:ind w:firstLine="708"/>
        <w:jc w:val="both"/>
        <w:rPr>
          <w:rFonts w:asciiTheme="majorBidi" w:hAnsiTheme="majorBidi" w:cstheme="majorBidi"/>
        </w:rPr>
      </w:pPr>
    </w:p>
    <w:p w14:paraId="13CBA28A"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lastRenderedPageBreak/>
        <w:t>Dans cette tendance littéraliste du Complexe, nous remarquons, dans le choix des termes, une volonté apologétique qui consiste dans l’idée de « </w:t>
      </w:r>
      <w:r w:rsidRPr="007C6A42">
        <w:rPr>
          <w:rFonts w:asciiTheme="majorBidi" w:hAnsiTheme="majorBidi" w:cstheme="majorBidi"/>
          <w:i/>
          <w:iCs/>
        </w:rPr>
        <w:t>ar-radd ʿalā sh-shubuhāt</w:t>
      </w:r>
      <w:r w:rsidRPr="007C6A42">
        <w:rPr>
          <w:rFonts w:asciiTheme="majorBidi" w:hAnsiTheme="majorBidi" w:cstheme="majorBidi"/>
        </w:rPr>
        <w:t> »</w:t>
      </w:r>
      <w:r w:rsidRPr="007C6A42">
        <w:rPr>
          <w:rFonts w:asciiTheme="majorBidi" w:hAnsiTheme="majorBidi" w:cstheme="majorBidi"/>
          <w:i/>
          <w:iCs/>
        </w:rPr>
        <w:t xml:space="preserve"> </w:t>
      </w:r>
      <w:r w:rsidRPr="007C6A42">
        <w:rPr>
          <w:rFonts w:asciiTheme="majorBidi" w:hAnsiTheme="majorBidi" w:cstheme="majorBidi"/>
        </w:rPr>
        <w:t>[La réfutation des soupçons]. Il semble que le choix de « sont attaqués » (v. 39) qui est opéré par le Complexe et qui est d’ailleurs le choix de Grosjean (au lieu de : « combattent » (Du Ryer &amp; Blachère), « sont combattus » (Hamidullah)), a pour objectif de cacher l’idée du combat, de la guerre agressive, de réfuter l’idée que l’islam s’est propagé par la guerre et d’insister sur l’aspect défensif du message coranique. Ainsi, l’idée du combat et de la guerre est complètement absente de la traduction du Complexe qui rend la phrase « </w:t>
      </w:r>
      <w:r w:rsidRPr="007C6A42">
        <w:rPr>
          <w:rFonts w:asciiTheme="majorBidi" w:hAnsiTheme="majorBidi" w:cstheme="majorBidi"/>
          <w:rtl/>
        </w:rPr>
        <w:t>أُذِنَ للذين يقاتلون</w:t>
      </w:r>
      <w:r w:rsidRPr="007C6A42">
        <w:rPr>
          <w:rFonts w:asciiTheme="majorBidi" w:hAnsiTheme="majorBidi" w:cstheme="majorBidi"/>
        </w:rPr>
        <w:t> » ainsi : « Autorisation est donnée à ceux qui sont attaqués (de se défendre) », sachant que le texte arabe d’origine évoque explicitement l’idée du combat dans le terme « </w:t>
      </w:r>
      <w:r w:rsidRPr="007C6A42">
        <w:rPr>
          <w:rFonts w:asciiTheme="majorBidi" w:eastAsia="Times New Roman" w:hAnsiTheme="majorBidi" w:cstheme="majorBidi"/>
          <w:i/>
          <w:iCs/>
        </w:rPr>
        <w:t>yuqāt</w:t>
      </w:r>
      <w:r w:rsidRPr="007C6A42">
        <w:rPr>
          <w:rFonts w:asciiTheme="majorBidi" w:eastAsia="Times New Roman" w:hAnsiTheme="majorBidi" w:cstheme="majorBidi"/>
          <w:b/>
          <w:bCs/>
          <w:i/>
          <w:iCs/>
        </w:rPr>
        <w:t>a</w:t>
      </w:r>
      <w:r w:rsidRPr="007C6A42">
        <w:rPr>
          <w:rFonts w:asciiTheme="majorBidi" w:eastAsia="Times New Roman" w:hAnsiTheme="majorBidi" w:cstheme="majorBidi"/>
          <w:i/>
          <w:iCs/>
        </w:rPr>
        <w:t>lūna/yuqāt</w:t>
      </w:r>
      <w:r w:rsidRPr="007C6A42">
        <w:rPr>
          <w:rFonts w:asciiTheme="majorBidi" w:eastAsia="Times New Roman" w:hAnsiTheme="majorBidi" w:cstheme="majorBidi"/>
          <w:b/>
          <w:bCs/>
          <w:i/>
          <w:iCs/>
        </w:rPr>
        <w:t>i</w:t>
      </w:r>
      <w:r w:rsidRPr="007C6A42">
        <w:rPr>
          <w:rFonts w:asciiTheme="majorBidi" w:eastAsia="Times New Roman" w:hAnsiTheme="majorBidi" w:cstheme="majorBidi"/>
          <w:i/>
          <w:iCs/>
        </w:rPr>
        <w:t>lūna </w:t>
      </w:r>
      <w:r w:rsidRPr="007C6A42">
        <w:rPr>
          <w:rFonts w:asciiTheme="majorBidi" w:eastAsia="Times New Roman" w:hAnsiTheme="majorBidi" w:cstheme="majorBidi"/>
        </w:rPr>
        <w:t>»</w:t>
      </w:r>
      <w:r w:rsidRPr="007C6A42">
        <w:rPr>
          <w:rFonts w:asciiTheme="majorBidi" w:hAnsiTheme="majorBidi" w:cstheme="majorBidi"/>
        </w:rPr>
        <w:t>. Autre exemple de cette tendance apologétique, la traduction de « </w:t>
      </w:r>
      <w:r w:rsidRPr="007C6A42">
        <w:rPr>
          <w:rFonts w:asciiTheme="majorBidi" w:hAnsiTheme="majorBidi" w:cstheme="majorBidi"/>
          <w:rtl/>
        </w:rPr>
        <w:t xml:space="preserve">إذا </w:t>
      </w:r>
      <w:r w:rsidRPr="007C6A42">
        <w:rPr>
          <w:rFonts w:asciiTheme="majorBidi" w:hAnsiTheme="majorBidi" w:cstheme="majorBidi"/>
          <w:b/>
          <w:bCs/>
          <w:rtl/>
        </w:rPr>
        <w:t>تمنّى</w:t>
      </w:r>
      <w:r w:rsidRPr="007C6A42">
        <w:rPr>
          <w:rFonts w:asciiTheme="majorBidi" w:hAnsiTheme="majorBidi" w:cstheme="majorBidi"/>
        </w:rPr>
        <w:t> » et de « </w:t>
      </w:r>
      <w:r w:rsidRPr="007C6A42">
        <w:rPr>
          <w:rFonts w:asciiTheme="majorBidi" w:hAnsiTheme="majorBidi" w:cstheme="majorBidi"/>
          <w:rtl/>
        </w:rPr>
        <w:t xml:space="preserve">ألقى الشيطانُ في </w:t>
      </w:r>
      <w:r w:rsidRPr="007C6A42">
        <w:rPr>
          <w:rFonts w:asciiTheme="majorBidi" w:hAnsiTheme="majorBidi" w:cstheme="majorBidi"/>
          <w:b/>
          <w:bCs/>
          <w:rtl/>
        </w:rPr>
        <w:t>أُمنيّتِه</w:t>
      </w:r>
      <w:r w:rsidRPr="007C6A42">
        <w:rPr>
          <w:rFonts w:asciiTheme="majorBidi" w:hAnsiTheme="majorBidi" w:cstheme="majorBidi"/>
        </w:rPr>
        <w:t> » (v. 52) respectivement par : « qui n’</w:t>
      </w:r>
      <w:r w:rsidRPr="007C6A42">
        <w:rPr>
          <w:rFonts w:asciiTheme="majorBidi" w:hAnsiTheme="majorBidi" w:cstheme="majorBidi"/>
          <w:b/>
          <w:bCs/>
        </w:rPr>
        <w:t>ait récité</w:t>
      </w:r>
      <w:r w:rsidRPr="007C6A42">
        <w:rPr>
          <w:rFonts w:asciiTheme="majorBidi" w:hAnsiTheme="majorBidi" w:cstheme="majorBidi"/>
        </w:rPr>
        <w:t xml:space="preserve"> (ce qui lui a été révélé) » et « le Diable n’ait essayé d’intervenir [pour semer le doute dans le cœur des gens au sujet] de </w:t>
      </w:r>
      <w:r w:rsidRPr="007C6A42">
        <w:rPr>
          <w:rFonts w:asciiTheme="majorBidi" w:hAnsiTheme="majorBidi" w:cstheme="majorBidi"/>
          <w:b/>
          <w:bCs/>
        </w:rPr>
        <w:t>sa récitation</w:t>
      </w:r>
      <w:r w:rsidRPr="007C6A42">
        <w:rPr>
          <w:rFonts w:asciiTheme="majorBidi" w:hAnsiTheme="majorBidi" w:cstheme="majorBidi"/>
        </w:rPr>
        <w:t xml:space="preserve"> », dans le but de cacher l’idée du « désir » chez le prophète, idée qui pourrait mettre en cause l’infaillibilité prophétique (bien que le sens lexical, donné aussi par l’exégèse, des termes </w:t>
      </w:r>
      <w:r w:rsidRPr="007C6A42">
        <w:rPr>
          <w:rFonts w:asciiTheme="majorBidi" w:hAnsiTheme="majorBidi" w:cstheme="majorBidi"/>
          <w:i/>
          <w:iCs/>
        </w:rPr>
        <w:t>tamannā</w:t>
      </w:r>
      <w:r w:rsidRPr="007C6A42">
        <w:rPr>
          <w:rFonts w:asciiTheme="majorBidi" w:hAnsiTheme="majorBidi" w:cstheme="majorBidi"/>
        </w:rPr>
        <w:t xml:space="preserve"> et </w:t>
      </w:r>
      <w:r w:rsidRPr="007C6A42">
        <w:rPr>
          <w:rFonts w:asciiTheme="majorBidi" w:hAnsiTheme="majorBidi" w:cstheme="majorBidi"/>
          <w:i/>
          <w:iCs/>
        </w:rPr>
        <w:t>umnīyati-hi</w:t>
      </w:r>
      <w:r w:rsidRPr="007C6A42">
        <w:rPr>
          <w:rFonts w:asciiTheme="majorBidi" w:hAnsiTheme="majorBidi" w:cstheme="majorBidi"/>
        </w:rPr>
        <w:t xml:space="preserve"> est respectivement : « désirer » et « désir »). C’est probablement la raison pour laquelle le Complexe a changé la traduction de Hamidullah (« qui n’ait eu quelque désir » et « le Diable ait lancé dans son désir »).</w:t>
      </w:r>
    </w:p>
    <w:p w14:paraId="06273518" w14:textId="77777777" w:rsidR="00A70B78" w:rsidRPr="007C6A42" w:rsidRDefault="00A70B78" w:rsidP="00A70B78">
      <w:pPr>
        <w:spacing w:line="360" w:lineRule="auto"/>
        <w:ind w:firstLine="708"/>
        <w:jc w:val="both"/>
        <w:rPr>
          <w:rFonts w:asciiTheme="majorBidi" w:hAnsiTheme="majorBidi" w:cstheme="majorBidi"/>
        </w:rPr>
      </w:pPr>
    </w:p>
    <w:p w14:paraId="292C8C99"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 xml:space="preserve">Il convient de souligner que, pour améliorer la traduction de Hamidullah, le Complexe profite des apports des traducteurs prédécesseurs et surtout des orientalistes. Quand il modifie la traduction de Hamidullah : « dénommé » (une traduction littérale de </w:t>
      </w:r>
      <w:r w:rsidRPr="007C6A42">
        <w:rPr>
          <w:rFonts w:asciiTheme="majorBidi" w:hAnsiTheme="majorBidi" w:cstheme="majorBidi"/>
          <w:i/>
          <w:iCs/>
        </w:rPr>
        <w:t>musammā</w:t>
      </w:r>
      <w:r w:rsidRPr="007C6A42">
        <w:rPr>
          <w:rFonts w:asciiTheme="majorBidi" w:hAnsiTheme="majorBidi" w:cstheme="majorBidi"/>
        </w:rPr>
        <w:t>), il opte pour « fixé », qui était déjà le choix de Blachère, de Masson et de Grosjean. De même pour le choix du terme « leurs interdits » qui est la traduction de Blachère, Masson et Grosjean. Le syntagme « versets clairs » était le choix de Grosjean. Le choix « de terre » était déjà celui de Savary. Le terme « adhérence » a été déjà choisi par Blachère et Berque. Pour modifier « noble part » [</w:t>
      </w:r>
      <w:r w:rsidRPr="007C6A42">
        <w:rPr>
          <w:rFonts w:asciiTheme="majorBidi" w:hAnsiTheme="majorBidi" w:cstheme="majorBidi"/>
          <w:i/>
          <w:iCs/>
        </w:rPr>
        <w:t>rizq karīm</w:t>
      </w:r>
      <w:r w:rsidRPr="007C6A42">
        <w:rPr>
          <w:rFonts w:asciiTheme="majorBidi" w:hAnsiTheme="majorBidi" w:cstheme="majorBidi"/>
        </w:rPr>
        <w:t xml:space="preserve">], le Complexe choisit la traduction de Kazimirski, c.à.d. « faveurs généreuses ». Le syntagme « d’une goutte de sperme » a été choisi par Kazimirski, Ghédira et Masson avant le Complexe. L’adjectif « desséchée » a été choisi par Chiadmi et Guessous avant d’être repris par le Complexe puis par Hafiane. La proposition relative « qui rend la vie aux morts » déjà choisie par Masson a été reprise littéralement par le Complexe. La phrase « Puis qu’ils mettent fin à </w:t>
      </w:r>
      <w:r w:rsidRPr="007C6A42">
        <w:rPr>
          <w:rFonts w:asciiTheme="majorBidi" w:hAnsiTheme="majorBidi" w:cstheme="majorBidi"/>
        </w:rPr>
        <w:lastRenderedPageBreak/>
        <w:t>leurs interdits » (v. 29) choisie par le Complexe de Médine, pour remplacer celle de Hamidullah (« </w:t>
      </w:r>
      <w:r w:rsidRPr="007C6A42">
        <w:rPr>
          <w:rFonts w:asciiTheme="majorBidi" w:eastAsia="Times New Roman" w:hAnsiTheme="majorBidi" w:cstheme="majorBidi"/>
        </w:rPr>
        <w:t>Qu’ils ôtent ensuite leur crasse »),</w:t>
      </w:r>
      <w:r w:rsidRPr="007C6A42">
        <w:rPr>
          <w:rFonts w:asciiTheme="majorBidi" w:hAnsiTheme="majorBidi" w:cstheme="majorBidi"/>
        </w:rPr>
        <w:t xml:space="preserve"> était le choix de Blachère (« </w:t>
      </w:r>
      <w:r w:rsidRPr="007C6A42">
        <w:rPr>
          <w:rFonts w:asciiTheme="majorBidi" w:eastAsia="Times New Roman" w:hAnsiTheme="majorBidi" w:cstheme="majorBidi"/>
        </w:rPr>
        <w:t>Qu’ils mettent fin ensuite à leurs interdits »</w:t>
      </w:r>
      <w:r w:rsidRPr="007C6A42">
        <w:rPr>
          <w:rFonts w:asciiTheme="majorBidi" w:hAnsiTheme="majorBidi" w:cstheme="majorBidi"/>
        </w:rPr>
        <w:t>) et de Masson (</w:t>
      </w:r>
      <w:r w:rsidRPr="007C6A42">
        <w:rPr>
          <w:rFonts w:asciiTheme="majorBidi" w:eastAsia="Times New Roman" w:hAnsiTheme="majorBidi" w:cstheme="majorBidi"/>
        </w:rPr>
        <w:t>Qu’ils mettent ensuite fin à leurs interdits</w:t>
      </w:r>
      <w:r w:rsidRPr="007C6A42">
        <w:rPr>
          <w:rFonts w:asciiTheme="majorBidi" w:hAnsiTheme="majorBidi" w:cstheme="majorBidi"/>
        </w:rPr>
        <w:t xml:space="preserve">). Même le Complexe de Médine et Chouraqui (les plus opposés) se rejoignent dans la traduction du syntagme </w:t>
      </w:r>
      <w:r w:rsidRPr="007C6A42">
        <w:rPr>
          <w:rFonts w:asciiTheme="majorBidi" w:hAnsiTheme="majorBidi" w:cstheme="majorBidi"/>
          <w:i/>
          <w:iCs/>
        </w:rPr>
        <w:t>zawj bahīj </w:t>
      </w:r>
      <w:r w:rsidRPr="007C6A42">
        <w:rPr>
          <w:rFonts w:asciiTheme="majorBidi" w:hAnsiTheme="majorBidi" w:cstheme="majorBidi"/>
        </w:rPr>
        <w:t>: « splendides couples » (Complexe), « </w:t>
      </w:r>
      <w:r w:rsidRPr="007C6A42">
        <w:rPr>
          <w:rFonts w:asciiTheme="majorBidi" w:eastAsia="Times New Roman" w:hAnsiTheme="majorBidi" w:cstheme="majorBidi"/>
        </w:rPr>
        <w:t>couples splendides » (</w:t>
      </w:r>
      <w:r w:rsidRPr="007C6A42">
        <w:rPr>
          <w:rFonts w:asciiTheme="majorBidi" w:hAnsiTheme="majorBidi" w:cstheme="majorBidi"/>
        </w:rPr>
        <w:t>Chouraqui).</w:t>
      </w:r>
    </w:p>
    <w:p w14:paraId="2D1A89DF" w14:textId="77777777" w:rsidR="00A70B78" w:rsidRPr="007C6A42" w:rsidRDefault="00A70B78" w:rsidP="00A70B78">
      <w:pPr>
        <w:spacing w:line="360" w:lineRule="auto"/>
        <w:ind w:firstLine="708"/>
        <w:jc w:val="both"/>
        <w:rPr>
          <w:rFonts w:asciiTheme="majorBidi" w:hAnsiTheme="majorBidi" w:cstheme="majorBidi"/>
        </w:rPr>
      </w:pPr>
    </w:p>
    <w:p w14:paraId="6E280401"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 xml:space="preserve">Basée sur la traduction de Hamidullah, la traduction du Complexe de Médine a été influencée par les traductions de Kazimirski, de Blachère et de Grosjean et a influencé celles de Hafiane et de Chebel. En modifiant la traduction littéraliste de Hamidullah (qui réduit déjà la polysémie du texte arabe), le Complexe de Médine a réduit à son tour la polysémie de Hamidullah en ajoutant une explication entre parenthèses ou entre guillemets ou en optant pour la traduction d’un traducteur antérieur. Hafiane part de la traduction du Complexe pour y introduire des modifications qui rapprochent parfois la traduction encore plus de la littéralité du texte arabe. Ainsi, Hafiane supprime tous les ajouts entre parenthèses ou guillemets (comme : « [qui précédera] », « [Notre Omnipotence] », « (ici-bas) »). Mais pour garder le sens donné par le Complexe, il intègre parfois les ajouts du Complexe dans le corps de la traduction en supprimant les parenthèses ou les guillemets. En guise d’exemple, le Complexe a clarifié entre parenthèse le pronom </w:t>
      </w:r>
      <w:r w:rsidRPr="007C6A42">
        <w:rPr>
          <w:rFonts w:asciiTheme="majorBidi" w:hAnsiTheme="majorBidi" w:cstheme="majorBidi"/>
          <w:i/>
          <w:iCs/>
        </w:rPr>
        <w:t>-hu</w:t>
      </w:r>
      <w:r w:rsidRPr="007C6A42">
        <w:rPr>
          <w:rFonts w:asciiTheme="majorBidi" w:hAnsiTheme="majorBidi" w:cstheme="majorBidi"/>
        </w:rPr>
        <w:t xml:space="preserve"> dans la phrase « </w:t>
      </w:r>
      <w:r w:rsidRPr="007C6A42">
        <w:rPr>
          <w:rFonts w:asciiTheme="majorBidi" w:hAnsiTheme="majorBidi" w:cstheme="majorBidi"/>
          <w:rtl/>
        </w:rPr>
        <w:t>وكذلك أنزلناه</w:t>
      </w:r>
      <w:r w:rsidRPr="007C6A42">
        <w:rPr>
          <w:rFonts w:asciiTheme="majorBidi" w:hAnsiTheme="majorBidi" w:cstheme="majorBidi"/>
        </w:rPr>
        <w:t> » en traduisant ainsi : « </w:t>
      </w:r>
      <w:r w:rsidRPr="007C6A42">
        <w:rPr>
          <w:rFonts w:asciiTheme="majorBidi" w:eastAsia="Times New Roman" w:hAnsiTheme="majorBidi" w:cstheme="majorBidi"/>
        </w:rPr>
        <w:t>C’est ainsi que Nous le fîmes descendre (le Coran) » ; Hafiane intègre le mot en supprimant les parenthèses : « </w:t>
      </w:r>
      <w:r w:rsidRPr="007C6A42">
        <w:rPr>
          <w:rFonts w:asciiTheme="majorBidi" w:hAnsiTheme="majorBidi" w:cstheme="majorBidi"/>
        </w:rPr>
        <w:t>C’est ainsi que Nous fîmes révéler le Coran ». Cependant, contrairement au Complexe de Médine, Hafiane ne respecte pas toujours l’ordre de la phrase d’origine. Voici un exemple :</w:t>
      </w:r>
    </w:p>
    <w:tbl>
      <w:tblPr>
        <w:tblStyle w:val="Grilledutableau"/>
        <w:tblW w:w="0" w:type="auto"/>
        <w:tblLook w:val="04A0" w:firstRow="1" w:lastRow="0" w:firstColumn="1" w:lastColumn="0" w:noHBand="0" w:noVBand="1"/>
      </w:tblPr>
      <w:tblGrid>
        <w:gridCol w:w="1244"/>
        <w:gridCol w:w="7962"/>
      </w:tblGrid>
      <w:tr w:rsidR="00A70B78" w:rsidRPr="007C6A42" w14:paraId="1A154D0B" w14:textId="77777777" w:rsidTr="00AF4FC9">
        <w:tc>
          <w:tcPr>
            <w:tcW w:w="1244" w:type="dxa"/>
          </w:tcPr>
          <w:p w14:paraId="102E8BF5" w14:textId="77777777" w:rsidR="00A70B78" w:rsidRPr="007C6A42" w:rsidRDefault="00A70B78" w:rsidP="00AF4FC9">
            <w:pPr>
              <w:spacing w:line="360" w:lineRule="auto"/>
              <w:jc w:val="both"/>
              <w:rPr>
                <w:rFonts w:asciiTheme="majorBidi" w:hAnsiTheme="majorBidi" w:cstheme="majorBidi"/>
              </w:rPr>
            </w:pPr>
          </w:p>
        </w:tc>
        <w:tc>
          <w:tcPr>
            <w:tcW w:w="7962" w:type="dxa"/>
          </w:tcPr>
          <w:p w14:paraId="64BBF790" w14:textId="77777777" w:rsidR="00A70B78" w:rsidRPr="007C6A42" w:rsidRDefault="00A70B78" w:rsidP="00AF4FC9">
            <w:pPr>
              <w:bidi/>
              <w:spacing w:line="360" w:lineRule="auto"/>
              <w:jc w:val="both"/>
              <w:rPr>
                <w:rFonts w:asciiTheme="majorBidi" w:hAnsiTheme="majorBidi" w:cstheme="majorBidi"/>
                <w:rtl/>
              </w:rPr>
            </w:pPr>
            <w:r w:rsidRPr="007C6A42">
              <w:rPr>
                <w:rFonts w:asciiTheme="majorBidi" w:hAnsiTheme="majorBidi" w:cstheme="majorBidi"/>
                <w:rtl/>
              </w:rPr>
              <w:t>"إن الذين آمنوا والذين هادوا والصابئين والنصارى والمجوسَ والذين أشركوا إن الله يَفصِلُ بينهم يومَ القيامة."</w:t>
            </w:r>
          </w:p>
        </w:tc>
      </w:tr>
      <w:tr w:rsidR="00A70B78" w:rsidRPr="007C6A42" w14:paraId="4BAC927D" w14:textId="77777777" w:rsidTr="00AF4FC9">
        <w:tc>
          <w:tcPr>
            <w:tcW w:w="1244" w:type="dxa"/>
          </w:tcPr>
          <w:p w14:paraId="3E3970E5"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Complexe</w:t>
            </w:r>
          </w:p>
        </w:tc>
        <w:tc>
          <w:tcPr>
            <w:tcW w:w="7962" w:type="dxa"/>
          </w:tcPr>
          <w:p w14:paraId="3CACC920"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 Certes, ceux qui ont cru, les Juifs, les Sabéens [ils adorateurs des étoiles], les Nazaréens, les Mages et ceux qui donnent à Allah des associés, Allah tranchera entre eux le jour de Jugement,</w:t>
            </w:r>
          </w:p>
        </w:tc>
      </w:tr>
      <w:tr w:rsidR="00A70B78" w:rsidRPr="007C6A42" w14:paraId="2A6A470A" w14:textId="77777777" w:rsidTr="00AF4FC9">
        <w:tc>
          <w:tcPr>
            <w:tcW w:w="1244" w:type="dxa"/>
          </w:tcPr>
          <w:p w14:paraId="367C924A"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Hafiane</w:t>
            </w:r>
          </w:p>
        </w:tc>
        <w:tc>
          <w:tcPr>
            <w:tcW w:w="7962" w:type="dxa"/>
          </w:tcPr>
          <w:p w14:paraId="6404E24B" w14:textId="77777777" w:rsidR="00A70B78" w:rsidRPr="007C6A42" w:rsidRDefault="00A70B78" w:rsidP="00AF4FC9">
            <w:pPr>
              <w:spacing w:line="360" w:lineRule="auto"/>
              <w:jc w:val="both"/>
              <w:rPr>
                <w:rFonts w:asciiTheme="majorBidi" w:hAnsiTheme="majorBidi" w:cstheme="majorBidi"/>
              </w:rPr>
            </w:pPr>
            <w:r w:rsidRPr="007C6A42">
              <w:rPr>
                <w:rFonts w:asciiTheme="majorBidi" w:hAnsiTheme="majorBidi" w:cstheme="majorBidi"/>
              </w:rPr>
              <w:t>Le jour de la Résurrection, Dieu jugera entre les croyants, les Juifs, les sabéens, les chrétiens, les mages et les idolâtres.</w:t>
            </w:r>
          </w:p>
        </w:tc>
      </w:tr>
    </w:tbl>
    <w:p w14:paraId="4A3424C5" w14:textId="77777777" w:rsidR="00A70B78" w:rsidRPr="007C6A42" w:rsidRDefault="00A70B78" w:rsidP="00A70B78">
      <w:pPr>
        <w:spacing w:line="360" w:lineRule="auto"/>
        <w:jc w:val="both"/>
        <w:rPr>
          <w:rFonts w:asciiTheme="majorBidi" w:hAnsiTheme="majorBidi" w:cstheme="majorBidi"/>
        </w:rPr>
      </w:pPr>
    </w:p>
    <w:p w14:paraId="4D73871C" w14:textId="77777777" w:rsidR="00A70B78" w:rsidRPr="007C6A42" w:rsidRDefault="00A70B78" w:rsidP="00A70B78">
      <w:pPr>
        <w:spacing w:line="360" w:lineRule="auto"/>
        <w:ind w:firstLine="708"/>
        <w:jc w:val="both"/>
        <w:rPr>
          <w:rFonts w:asciiTheme="majorBidi" w:hAnsiTheme="majorBidi" w:cstheme="majorBidi"/>
          <w:rtl/>
        </w:rPr>
      </w:pPr>
      <w:r w:rsidRPr="007C6A42">
        <w:rPr>
          <w:rFonts w:asciiTheme="majorBidi" w:hAnsiTheme="majorBidi" w:cstheme="majorBidi"/>
        </w:rPr>
        <w:lastRenderedPageBreak/>
        <w:t>Dans ce cas, la traduction du Complexe reste plus littéraliste que celle de Hafiane. Bref, la traduction du Complexe semble comme une compilation entre celle de Hamidullah (comme point de départ), celles de Kazimirski, de Blachère, de Ghédira et de Grosjean.</w:t>
      </w:r>
    </w:p>
    <w:p w14:paraId="64132C70"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t>Cependant, parmi les rares traductions que seul le Complexe de Médine a choisies, nous citons :</w:t>
      </w:r>
    </w:p>
    <w:p w14:paraId="4E9CBAC6" w14:textId="77777777" w:rsidR="00A70B78" w:rsidRPr="007C6A42" w:rsidRDefault="00A70B78" w:rsidP="00876BB0">
      <w:pPr>
        <w:pStyle w:val="Paragraphedeliste"/>
        <w:numPr>
          <w:ilvl w:val="0"/>
          <w:numId w:val="11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prend en haute considération » [</w:t>
      </w:r>
      <w:r w:rsidRPr="007C6A42">
        <w:rPr>
          <w:rFonts w:asciiTheme="majorBidi" w:hAnsiTheme="majorBidi" w:cstheme="majorBidi"/>
          <w:i/>
          <w:iCs/>
          <w:sz w:val="24"/>
          <w:szCs w:val="24"/>
        </w:rPr>
        <w:t>yuʿaẓẓim</w:t>
      </w:r>
      <w:r w:rsidRPr="007C6A42">
        <w:rPr>
          <w:rFonts w:asciiTheme="majorBidi" w:hAnsiTheme="majorBidi" w:cstheme="majorBidi"/>
          <w:sz w:val="24"/>
          <w:szCs w:val="24"/>
        </w:rPr>
        <w:t>] (v. 30) : déjà traduit par : « révèrera » (Du Ryer), « redoutera l’anathème du ciel » (Savary), « respectera » (Kazimirski), « respecte » (Blachère, Chouraqui, Guessous &amp; Chiadmi), « respecter » (Ghédira &amp; Masson), « exalte » (Hamidullah &amp; Grosjean), « vénérer » (Ben Mahmoud), « magnifie » (Berque) ;</w:t>
      </w:r>
    </w:p>
    <w:p w14:paraId="6DB621F5" w14:textId="77777777" w:rsidR="00A70B78" w:rsidRPr="007C6A42" w:rsidRDefault="00A70B78" w:rsidP="00876BB0">
      <w:pPr>
        <w:pStyle w:val="Paragraphedeliste"/>
        <w:numPr>
          <w:ilvl w:val="0"/>
          <w:numId w:val="11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(Soyez) exclusivement [acquis à la religion] d’Allah » [</w:t>
      </w:r>
      <w:r w:rsidRPr="007C6A42">
        <w:rPr>
          <w:rFonts w:asciiTheme="majorBidi" w:hAnsiTheme="majorBidi" w:cstheme="majorBidi"/>
          <w:i/>
          <w:iCs/>
          <w:sz w:val="24"/>
          <w:szCs w:val="24"/>
        </w:rPr>
        <w:t>ḥunafāʾ li-Llāh</w:t>
      </w:r>
      <w:r w:rsidRPr="007C6A42">
        <w:rPr>
          <w:rFonts w:asciiTheme="majorBidi" w:hAnsiTheme="majorBidi" w:cstheme="majorBidi"/>
          <w:sz w:val="24"/>
          <w:szCs w:val="24"/>
        </w:rPr>
        <w:t xml:space="preserve">] (v. 31) : déjà traduit par : « ʃoyez obeïʃʃants à Dieu » (Du Ryer), « Adorez l’unité de Dieu » (Savary), « Soyez pieux » (Kazimirski), « en </w:t>
      </w:r>
      <w:r w:rsidRPr="007C6A42">
        <w:rPr>
          <w:rFonts w:asciiTheme="majorBidi" w:hAnsiTheme="majorBidi" w:cstheme="majorBidi"/>
          <w:i/>
          <w:iCs/>
          <w:sz w:val="24"/>
          <w:szCs w:val="24"/>
        </w:rPr>
        <w:t>ḥanîf</w:t>
      </w:r>
      <w:r w:rsidRPr="007C6A42">
        <w:rPr>
          <w:rFonts w:asciiTheme="majorBidi" w:hAnsiTheme="majorBidi" w:cstheme="majorBidi"/>
          <w:sz w:val="24"/>
          <w:szCs w:val="24"/>
        </w:rPr>
        <w:t xml:space="preserve"> envers Allah » (Blachère), « Soyez </w:t>
      </w:r>
      <w:r w:rsidRPr="007C6A42">
        <w:rPr>
          <w:rFonts w:asciiTheme="majorBidi" w:hAnsiTheme="majorBidi" w:cstheme="majorBidi"/>
          <w:i/>
          <w:sz w:val="24"/>
          <w:szCs w:val="24"/>
        </w:rPr>
        <w:t>hânifs</w:t>
      </w:r>
      <w:r w:rsidRPr="007C6A42">
        <w:rPr>
          <w:rFonts w:asciiTheme="majorBidi" w:hAnsiTheme="majorBidi" w:cstheme="majorBidi"/>
          <w:iCs/>
          <w:sz w:val="24"/>
          <w:szCs w:val="24"/>
        </w:rPr>
        <w:t xml:space="preserve"> </w:t>
      </w:r>
      <w:r w:rsidRPr="007C6A42">
        <w:rPr>
          <w:rFonts w:asciiTheme="majorBidi" w:hAnsiTheme="majorBidi" w:cstheme="majorBidi"/>
          <w:sz w:val="24"/>
          <w:szCs w:val="24"/>
        </w:rPr>
        <w:t>envers Dieu » (Ghédira), « sincères envers Dieu » (Hamidullah), « Soyez droits » (Ben Mahmoud), « comme de vrais croyants en Dieu » (Masson), « soyez sincères envers Dieu » (Grosjean), « </w:t>
      </w:r>
      <w:r w:rsidRPr="007C6A42">
        <w:rPr>
          <w:rFonts w:asciiTheme="majorBidi" w:eastAsia="Calibri" w:hAnsiTheme="majorBidi" w:cstheme="majorBidi"/>
          <w:sz w:val="24"/>
          <w:szCs w:val="24"/>
          <w:lang w:bidi="ar-AE"/>
        </w:rPr>
        <w:t>en croyants originels à l’égard de Dieu » (Berque), « </w:t>
      </w:r>
      <w:r w:rsidRPr="007C6A42">
        <w:rPr>
          <w:rFonts w:asciiTheme="majorBidi" w:hAnsiTheme="majorBidi" w:cstheme="majorBidi"/>
          <w:sz w:val="24"/>
          <w:szCs w:val="24"/>
        </w:rPr>
        <w:t xml:space="preserve">soyez fervents envers Allah » (Chouraqui), « tout à </w:t>
      </w:r>
      <w:r w:rsidRPr="007C6A42">
        <w:rPr>
          <w:rFonts w:asciiTheme="majorBidi" w:hAnsiTheme="majorBidi" w:cstheme="majorBidi"/>
          <w:b/>
          <w:sz w:val="24"/>
          <w:szCs w:val="24"/>
        </w:rPr>
        <w:t>LUI</w:t>
      </w:r>
      <w:r w:rsidRPr="007C6A42">
        <w:rPr>
          <w:rFonts w:asciiTheme="majorBidi" w:hAnsiTheme="majorBidi" w:cstheme="majorBidi"/>
          <w:sz w:val="24"/>
          <w:szCs w:val="24"/>
        </w:rPr>
        <w:t xml:space="preserve"> voué » (Guessous), « Soyez des monothéistes sincères » (Chiadmi) ;</w:t>
      </w:r>
    </w:p>
    <w:p w14:paraId="7F41A0A5" w14:textId="77777777" w:rsidR="00A70B78" w:rsidRPr="007C6A42" w:rsidRDefault="00A70B78" w:rsidP="00876BB0">
      <w:pPr>
        <w:pStyle w:val="Paragraphedeliste"/>
        <w:numPr>
          <w:ilvl w:val="0"/>
          <w:numId w:val="118"/>
        </w:numPr>
        <w:bidi w:val="0"/>
        <w:spacing w:after="0" w:line="360" w:lineRule="auto"/>
        <w:contextualSpacing/>
        <w:jc w:val="both"/>
        <w:rPr>
          <w:rFonts w:asciiTheme="majorBidi" w:hAnsiTheme="majorBidi" w:cstheme="majorBidi"/>
          <w:sz w:val="24"/>
          <w:szCs w:val="24"/>
        </w:rPr>
      </w:pPr>
      <w:r w:rsidRPr="007C6A42">
        <w:rPr>
          <w:rFonts w:asciiTheme="majorBidi" w:hAnsiTheme="majorBidi" w:cstheme="majorBidi"/>
          <w:sz w:val="24"/>
          <w:szCs w:val="24"/>
        </w:rPr>
        <w:t>« marginalement » [</w:t>
      </w:r>
      <w:r w:rsidRPr="007C6A42">
        <w:rPr>
          <w:rFonts w:asciiTheme="majorBidi" w:hAnsiTheme="majorBidi" w:cstheme="majorBidi"/>
          <w:i/>
          <w:iCs/>
          <w:sz w:val="24"/>
          <w:szCs w:val="24"/>
        </w:rPr>
        <w:t>ʿalā ḥarf</w:t>
      </w:r>
      <w:r w:rsidRPr="007C6A42">
        <w:rPr>
          <w:rFonts w:asciiTheme="majorBidi" w:hAnsiTheme="majorBidi" w:cstheme="majorBidi"/>
          <w:sz w:val="24"/>
          <w:szCs w:val="24"/>
        </w:rPr>
        <w:t xml:space="preserve">, </w:t>
      </w:r>
      <w:r w:rsidRPr="007C6A42">
        <w:rPr>
          <w:rFonts w:asciiTheme="majorBidi" w:hAnsiTheme="majorBidi" w:cstheme="majorBidi"/>
          <w:i/>
          <w:iCs/>
          <w:sz w:val="24"/>
          <w:szCs w:val="24"/>
        </w:rPr>
        <w:t>litt. </w:t>
      </w:r>
      <w:r w:rsidRPr="007C6A42">
        <w:rPr>
          <w:rFonts w:asciiTheme="majorBidi" w:hAnsiTheme="majorBidi" w:cstheme="majorBidi"/>
          <w:sz w:val="24"/>
          <w:szCs w:val="24"/>
        </w:rPr>
        <w:t>: sur un bord] : déjà traduit par : « avec doute » (Du Ryer), « peu fermes dans la foi » (Savary), « incertains et méchants » (Kazimirski), « en balance » (Blachère), « en équilibre instable » (Ghédira), « sur le bord » (Hamidullah), « à la foi indécise » (Ben Mahmoud), « en hésitant » (Masson), « avec hésitation » (Grosjean), « par à-coups » (Chouraqui), « </w:t>
      </w:r>
      <w:r w:rsidRPr="007C6A42">
        <w:rPr>
          <w:rFonts w:asciiTheme="majorBidi" w:eastAsia="Calibri" w:hAnsiTheme="majorBidi" w:cstheme="majorBidi"/>
          <w:sz w:val="24"/>
          <w:szCs w:val="24"/>
          <w:lang w:bidi="ar-AE"/>
        </w:rPr>
        <w:t>de guingois » (Berque), « </w:t>
      </w:r>
      <w:r w:rsidRPr="007C6A42">
        <w:rPr>
          <w:rFonts w:asciiTheme="majorBidi" w:hAnsiTheme="majorBidi" w:cstheme="majorBidi"/>
          <w:sz w:val="24"/>
          <w:szCs w:val="24"/>
        </w:rPr>
        <w:t>sur un critère vacillant » (Guessous), « d’une manière indécise » (Chiadmi). Plus tard, ce choix du Complexe du Médine a été repris seulement par Aldeeb, bien que l’objectif du Complexe et celui d’Aldeeb soient opposés, le premier est apologétique prosélytique, et le second est dénigrant.</w:t>
      </w:r>
    </w:p>
    <w:p w14:paraId="13BCE8D5" w14:textId="77777777" w:rsidR="00A70B78" w:rsidRPr="007C6A42" w:rsidRDefault="00A70B78" w:rsidP="00A70B78">
      <w:pPr>
        <w:spacing w:line="360" w:lineRule="auto"/>
        <w:ind w:left="360"/>
        <w:jc w:val="both"/>
        <w:rPr>
          <w:rFonts w:asciiTheme="majorBidi" w:eastAsia="Times New Roman" w:hAnsiTheme="majorBidi" w:cstheme="majorBidi"/>
        </w:rPr>
      </w:pPr>
    </w:p>
    <w:p w14:paraId="513CF5D7"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br w:type="page"/>
      </w:r>
    </w:p>
    <w:p w14:paraId="2AB0175E" w14:textId="77777777" w:rsidR="00A70B78" w:rsidRPr="007C6A42" w:rsidRDefault="00A70B78" w:rsidP="00A70B78">
      <w:pPr>
        <w:spacing w:line="360" w:lineRule="auto"/>
        <w:jc w:val="both"/>
        <w:rPr>
          <w:rFonts w:asciiTheme="majorBidi" w:hAnsiTheme="majorBidi" w:cstheme="majorBidi"/>
          <w:color w:val="0070C0"/>
        </w:rPr>
      </w:pPr>
    </w:p>
    <w:p w14:paraId="407D37F5" w14:textId="77777777" w:rsidR="00A70B78" w:rsidRPr="007C6A42" w:rsidRDefault="00A70B78" w:rsidP="00A70B78">
      <w:pPr>
        <w:spacing w:line="360" w:lineRule="auto"/>
        <w:jc w:val="center"/>
        <w:outlineLvl w:val="0"/>
        <w:rPr>
          <w:rFonts w:asciiTheme="majorBidi" w:eastAsia="Calibri" w:hAnsiTheme="majorBidi" w:cstheme="majorBidi"/>
          <w:lang w:bidi="ar-AE"/>
        </w:rPr>
      </w:pPr>
      <w:r w:rsidRPr="007C6A42">
        <w:rPr>
          <w:rFonts w:asciiTheme="majorBidi" w:eastAsia="Times New Roman" w:hAnsiTheme="majorBidi" w:cstheme="majorBidi"/>
          <w:b/>
          <w:bCs/>
        </w:rPr>
        <w:t>Conclusion</w:t>
      </w:r>
    </w:p>
    <w:p w14:paraId="1ED87E6F" w14:textId="77777777" w:rsidR="00A70B78" w:rsidRPr="007C6A42" w:rsidRDefault="00A70B78" w:rsidP="00A70B78">
      <w:pPr>
        <w:spacing w:line="360" w:lineRule="auto"/>
        <w:jc w:val="both"/>
        <w:rPr>
          <w:rFonts w:asciiTheme="majorBidi" w:eastAsia="Times New Roman" w:hAnsiTheme="majorBidi" w:cstheme="majorBidi"/>
          <w:bCs/>
        </w:rPr>
      </w:pPr>
    </w:p>
    <w:p w14:paraId="7277264A"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 xml:space="preserve">Dans son </w:t>
      </w:r>
      <w:r w:rsidRPr="007C6A42">
        <w:rPr>
          <w:rFonts w:asciiTheme="majorBidi" w:eastAsia="Times New Roman" w:hAnsiTheme="majorBidi" w:cstheme="majorBidi"/>
          <w:i/>
          <w:iCs/>
        </w:rPr>
        <w:t>Introduction à la traductologie</w:t>
      </w:r>
      <w:r w:rsidRPr="007C6A42">
        <w:rPr>
          <w:rFonts w:asciiTheme="majorBidi" w:eastAsia="Times New Roman" w:hAnsiTheme="majorBidi" w:cstheme="majorBidi"/>
        </w:rPr>
        <w:t>,</w:t>
      </w:r>
      <w:r w:rsidRPr="007C6A42">
        <w:rPr>
          <w:rFonts w:asciiTheme="majorBidi" w:eastAsia="Times New Roman" w:hAnsiTheme="majorBidi" w:cstheme="majorBidi"/>
          <w:i/>
          <w:iCs/>
        </w:rPr>
        <w:t> </w:t>
      </w:r>
      <w:r w:rsidRPr="007C6A42">
        <w:rPr>
          <w:rFonts w:asciiTheme="majorBidi" w:eastAsia="Times New Roman" w:hAnsiTheme="majorBidi" w:cstheme="majorBidi"/>
        </w:rPr>
        <w:t xml:space="preserve"> Mathieu Guidère rappelle qu’il existe deux méthodes de traduction selon Friedrich Schleiermacher (1768-1834)</w:t>
      </w:r>
      <w:r w:rsidRPr="007C6A42">
        <w:rPr>
          <w:rStyle w:val="Appelnotedebasdep"/>
          <w:rFonts w:asciiTheme="majorBidi" w:eastAsia="Times New Roman" w:hAnsiTheme="majorBidi" w:cstheme="majorBidi"/>
        </w:rPr>
        <w:footnoteReference w:id="578"/>
      </w:r>
      <w:r w:rsidRPr="007C6A42">
        <w:rPr>
          <w:rFonts w:asciiTheme="majorBidi" w:eastAsia="Times New Roman" w:hAnsiTheme="majorBidi" w:cstheme="majorBidi"/>
        </w:rPr>
        <w:t> :</w:t>
      </w:r>
    </w:p>
    <w:p w14:paraId="6004C70A" w14:textId="77777777" w:rsidR="00A70B78" w:rsidRPr="007C6A42" w:rsidRDefault="00A70B78" w:rsidP="00876BB0">
      <w:pPr>
        <w:numPr>
          <w:ilvl w:val="0"/>
          <w:numId w:val="101"/>
        </w:num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Le traducteur amène le lecteur à l’auteur, à la source. Le lecteur va à la rencontre de l’auteur (« </w:t>
      </w:r>
      <w:r w:rsidRPr="007C6A42">
        <w:rPr>
          <w:rFonts w:asciiTheme="majorBidi" w:eastAsia="Times New Roman" w:hAnsiTheme="majorBidi" w:cstheme="majorBidi"/>
          <w:i/>
          <w:iCs/>
        </w:rPr>
        <w:t>foreignizing strategy</w:t>
      </w:r>
      <w:r w:rsidRPr="007C6A42">
        <w:rPr>
          <w:rFonts w:asciiTheme="majorBidi" w:eastAsia="Times New Roman" w:hAnsiTheme="majorBidi" w:cstheme="majorBidi"/>
        </w:rPr>
        <w:t> » [stratégie dépaysante ou défamiliarisante], selon Lawrence Venuti)</w:t>
      </w:r>
      <w:r w:rsidRPr="007C6A42">
        <w:rPr>
          <w:rStyle w:val="Appelnotedebasdep"/>
          <w:rFonts w:asciiTheme="majorBidi" w:eastAsia="Times New Roman" w:hAnsiTheme="majorBidi" w:cstheme="majorBidi"/>
        </w:rPr>
        <w:footnoteReference w:id="579"/>
      </w:r>
      <w:r w:rsidRPr="007C6A42">
        <w:rPr>
          <w:rFonts w:asciiTheme="majorBidi" w:eastAsia="Times New Roman" w:hAnsiTheme="majorBidi" w:cstheme="majorBidi"/>
        </w:rPr>
        <w:t xml:space="preserve">. Le traducteur essaie de communiquer au lecteur la même image et la même impression qu’il a obtenu du texte-source (une sorte d’imitation) en introduisant des éléments étrangers et en donnant au lecteur l’impression qu’il se trouve face à un texte étranger. Il met en évidence l’écart avec l’original et le passage d’une langue à l’autre. </w:t>
      </w:r>
      <w:r w:rsidRPr="007C6A42">
        <w:rPr>
          <w:rFonts w:asciiTheme="majorBidi" w:hAnsiTheme="majorBidi" w:cstheme="majorBidi"/>
        </w:rPr>
        <w:t xml:space="preserve">Cette méthode sourcière est proche de </w:t>
      </w:r>
      <w:r w:rsidRPr="007C6A42">
        <w:rPr>
          <w:rFonts w:asciiTheme="majorBidi" w:hAnsiTheme="majorBidi" w:cstheme="majorBidi"/>
          <w:u w:color="0000E9"/>
        </w:rPr>
        <w:t>la traduction « littérale », non ethnocentrique préconisée par</w:t>
      </w:r>
      <w:r w:rsidRPr="007C6A42">
        <w:rPr>
          <w:rFonts w:asciiTheme="majorBidi" w:hAnsiTheme="majorBidi" w:cstheme="majorBidi"/>
        </w:rPr>
        <w:t xml:space="preserve"> Antoine Berman,</w:t>
      </w:r>
      <w:r w:rsidRPr="007C6A42">
        <w:rPr>
          <w:rFonts w:asciiTheme="majorBidi" w:hAnsiTheme="majorBidi" w:cstheme="majorBidi"/>
          <w:u w:color="0000E9"/>
        </w:rPr>
        <w:t xml:space="preserve"> une méthode qui exige un travail important sur la langue traduisante, une créativité de la part du traducteur</w:t>
      </w:r>
      <w:r w:rsidRPr="007C6A42">
        <w:rPr>
          <w:rStyle w:val="Appelnotedebasdep"/>
          <w:rFonts w:asciiTheme="majorBidi" w:hAnsiTheme="majorBidi" w:cstheme="majorBidi"/>
          <w:u w:color="0000E9"/>
        </w:rPr>
        <w:footnoteReference w:id="580"/>
      </w:r>
      <w:r w:rsidRPr="007C6A42">
        <w:rPr>
          <w:rFonts w:asciiTheme="majorBidi" w:hAnsiTheme="majorBidi" w:cstheme="majorBidi"/>
          <w:u w:color="0000E9"/>
        </w:rPr>
        <w:t xml:space="preserve">. Comme on l’a vu </w:t>
      </w:r>
      <w:r w:rsidRPr="007C6A42">
        <w:rPr>
          <w:rFonts w:asciiTheme="majorBidi" w:hAnsiTheme="majorBidi" w:cstheme="majorBidi"/>
          <w:i/>
          <w:u w:color="0000E9"/>
        </w:rPr>
        <w:t>supra</w:t>
      </w:r>
      <w:r w:rsidRPr="007C6A42">
        <w:rPr>
          <w:rStyle w:val="Appelnotedebasdep"/>
          <w:rFonts w:asciiTheme="majorBidi" w:hAnsiTheme="majorBidi" w:cstheme="majorBidi"/>
          <w:iCs/>
          <w:u w:color="0000E9"/>
        </w:rPr>
        <w:footnoteReference w:id="581"/>
      </w:r>
      <w:r w:rsidRPr="007C6A42">
        <w:rPr>
          <w:rFonts w:asciiTheme="majorBidi" w:hAnsiTheme="majorBidi" w:cstheme="majorBidi"/>
          <w:iCs/>
          <w:u w:color="0000E9"/>
        </w:rPr>
        <w:t>,</w:t>
      </w:r>
      <w:r w:rsidRPr="007C6A42">
        <w:rPr>
          <w:rFonts w:asciiTheme="majorBidi" w:hAnsiTheme="majorBidi" w:cstheme="majorBidi"/>
          <w:u w:color="0000E9"/>
        </w:rPr>
        <w:t xml:space="preserve"> on peut trouver dans le texte original arabe du Coran les marques de nombreuses opérations de traduction de type dépaysant.</w:t>
      </w:r>
    </w:p>
    <w:p w14:paraId="3254A2AD" w14:textId="77777777" w:rsidR="00A70B78" w:rsidRPr="007C6A42" w:rsidRDefault="00A70B78" w:rsidP="00876BB0">
      <w:pPr>
        <w:numPr>
          <w:ilvl w:val="0"/>
          <w:numId w:val="101"/>
        </w:numPr>
        <w:spacing w:line="360" w:lineRule="auto"/>
        <w:contextualSpacing/>
        <w:jc w:val="both"/>
        <w:rPr>
          <w:rFonts w:asciiTheme="majorBidi" w:eastAsia="Times New Roman" w:hAnsiTheme="majorBidi" w:cstheme="majorBidi"/>
        </w:rPr>
      </w:pPr>
      <w:r w:rsidRPr="007C6A42">
        <w:rPr>
          <w:rFonts w:asciiTheme="majorBidi" w:eastAsia="Times New Roman" w:hAnsiTheme="majorBidi" w:cstheme="majorBidi"/>
        </w:rPr>
        <w:t>Le traducteur conduit l’auteur vers le lecteur, la cible. L’auteur va à la rencontre du lecteur (« </w:t>
      </w:r>
      <w:r w:rsidRPr="007C6A42">
        <w:rPr>
          <w:rFonts w:asciiTheme="majorBidi" w:eastAsia="Times New Roman" w:hAnsiTheme="majorBidi" w:cstheme="majorBidi"/>
          <w:i/>
          <w:iCs/>
        </w:rPr>
        <w:t>domesticating strategy</w:t>
      </w:r>
      <w:r w:rsidRPr="007C6A42">
        <w:rPr>
          <w:rFonts w:asciiTheme="majorBidi" w:eastAsia="Times New Roman" w:hAnsiTheme="majorBidi" w:cstheme="majorBidi"/>
        </w:rPr>
        <w:t xml:space="preserve"> » [stratégie naturalisante] selon Venuti). Le traducteur essaie de reproduire l’œuvre comme s’il avait été écrit par l’auteur dans la langue-cible et de rendre l’auteur semblable aux récepteurs du texte traduit. Cette méthode cibliste est, selon </w:t>
      </w:r>
      <w:r w:rsidRPr="007C6A42">
        <w:rPr>
          <w:rFonts w:asciiTheme="majorBidi" w:hAnsiTheme="majorBidi" w:cstheme="majorBidi"/>
        </w:rPr>
        <w:t xml:space="preserve">Antoine Berman, l’équivalent de la traduction ethnocentrique, dont l’axiome principal est de traduire l’œuvre étrangère de façon à ce que l’on ne « sente » pas la </w:t>
      </w:r>
      <w:r w:rsidRPr="007C6A42">
        <w:rPr>
          <w:rFonts w:asciiTheme="majorBidi" w:hAnsiTheme="majorBidi" w:cstheme="majorBidi"/>
        </w:rPr>
        <w:lastRenderedPageBreak/>
        <w:t>traduction, de façon à donner l’impression que c’est ce que l’auteur aurait écrit s’il avait écrit dans la langue traduisante</w:t>
      </w:r>
      <w:r w:rsidRPr="007C6A42">
        <w:rPr>
          <w:rFonts w:asciiTheme="majorBidi" w:hAnsiTheme="majorBidi" w:cstheme="majorBidi"/>
          <w:u w:color="0000E9"/>
        </w:rPr>
        <w:t>.</w:t>
      </w:r>
      <w:r w:rsidRPr="007C6A42">
        <w:rPr>
          <w:rStyle w:val="Appelnotedebasdep"/>
          <w:rFonts w:asciiTheme="majorBidi" w:hAnsiTheme="majorBidi" w:cstheme="majorBidi"/>
          <w:u w:color="0000E9"/>
        </w:rPr>
        <w:footnoteReference w:id="582"/>
      </w:r>
    </w:p>
    <w:p w14:paraId="73F18ABB"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hAnsiTheme="majorBidi" w:cstheme="majorBidi"/>
        </w:rPr>
        <w:t>Ce type de traduction cibliste proche de la théorie d’Eugene Nida</w:t>
      </w:r>
      <w:r w:rsidRPr="007C6A42">
        <w:rPr>
          <w:rStyle w:val="Appelnotedebasdep"/>
          <w:rFonts w:asciiTheme="majorBidi" w:hAnsiTheme="majorBidi" w:cstheme="majorBidi"/>
        </w:rPr>
        <w:footnoteReference w:id="583"/>
      </w:r>
      <w:r w:rsidRPr="007C6A42">
        <w:rPr>
          <w:rFonts w:asciiTheme="majorBidi" w:hAnsiTheme="majorBidi" w:cstheme="majorBidi"/>
        </w:rPr>
        <w:t xml:space="preserve">, </w:t>
      </w:r>
      <w:r w:rsidRPr="007C6A42">
        <w:rPr>
          <w:rFonts w:asciiTheme="majorBidi" w:hAnsiTheme="majorBidi" w:cstheme="majorBidi"/>
          <w:i/>
          <w:iCs/>
        </w:rPr>
        <w:t>la théorie de l’équivalence dynamique</w:t>
      </w:r>
      <w:r w:rsidRPr="007C6A42">
        <w:rPr>
          <w:rFonts w:asciiTheme="majorBidi" w:hAnsiTheme="majorBidi" w:cstheme="majorBidi"/>
        </w:rPr>
        <w:t xml:space="preserve"> (</w:t>
      </w:r>
      <w:r w:rsidRPr="007C6A42">
        <w:rPr>
          <w:rFonts w:asciiTheme="majorBidi" w:eastAsia="SimSun" w:hAnsiTheme="majorBidi" w:cstheme="majorBidi"/>
          <w:lang w:eastAsia="zh-CN"/>
        </w:rPr>
        <w:t>que, dans le but de l’appliquer sur la traduction du Coran, Ferhat Mameri</w:t>
      </w:r>
      <w:r w:rsidRPr="007C6A42">
        <w:rPr>
          <w:rFonts w:asciiTheme="majorBidi" w:eastAsia="Calibri" w:hAnsiTheme="majorBidi" w:cstheme="majorBidi"/>
          <w:vertAlign w:val="superscript"/>
          <w:lang w:bidi="ar-AE"/>
        </w:rPr>
        <w:footnoteReference w:id="584"/>
      </w:r>
      <w:r w:rsidRPr="007C6A42">
        <w:rPr>
          <w:rFonts w:asciiTheme="majorBidi" w:eastAsia="SimSun" w:hAnsiTheme="majorBidi" w:cstheme="majorBidi"/>
          <w:lang w:eastAsia="zh-CN"/>
        </w:rPr>
        <w:t xml:space="preserve"> a étudiée en 2005 et que Majdi Ibrahim Haji</w:t>
      </w:r>
      <w:r w:rsidRPr="007C6A42">
        <w:rPr>
          <w:rFonts w:asciiTheme="majorBidi" w:eastAsia="Calibri" w:hAnsiTheme="majorBidi" w:cstheme="majorBidi"/>
          <w:vertAlign w:val="superscript"/>
          <w:lang w:bidi="ar-AE"/>
        </w:rPr>
        <w:footnoteReference w:id="585"/>
      </w:r>
      <w:r w:rsidRPr="007C6A42">
        <w:rPr>
          <w:rFonts w:asciiTheme="majorBidi" w:eastAsia="SimSun" w:hAnsiTheme="majorBidi" w:cstheme="majorBidi"/>
          <w:lang w:eastAsia="zh-CN"/>
        </w:rPr>
        <w:t xml:space="preserve"> a examinée en 2009) </w:t>
      </w:r>
      <w:r w:rsidRPr="007C6A42">
        <w:rPr>
          <w:rFonts w:asciiTheme="majorBidi" w:eastAsia="Times New Roman" w:hAnsiTheme="majorBidi" w:cstheme="majorBidi"/>
        </w:rPr>
        <w:t xml:space="preserve">modifierait énormément la polysémie du texte de départ. D’ailleurs, </w:t>
      </w:r>
      <w:r w:rsidRPr="007C6A42">
        <w:rPr>
          <w:rFonts w:asciiTheme="majorBidi" w:eastAsia="SimSun" w:hAnsiTheme="majorBidi" w:cstheme="majorBidi"/>
          <w:lang w:eastAsia="zh-CN"/>
        </w:rPr>
        <w:t>Rémi Brague demande déjà si c’est bien le Coran que l’on lit à travers ces traductions, et déjà, si c’est bien le Coran que les traducteurs on traduit.</w:t>
      </w:r>
      <w:r w:rsidRPr="007C6A42">
        <w:rPr>
          <w:rFonts w:asciiTheme="majorBidi" w:eastAsia="Calibri" w:hAnsiTheme="majorBidi" w:cstheme="majorBidi"/>
          <w:vertAlign w:val="superscript"/>
          <w:lang w:bidi="ar-AE"/>
        </w:rPr>
        <w:footnoteReference w:id="586"/>
      </w:r>
    </w:p>
    <w:p w14:paraId="14641781"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p>
    <w:p w14:paraId="5EE6752C" w14:textId="77777777" w:rsidR="00A70B78" w:rsidRPr="007C6A42" w:rsidRDefault="00A70B78" w:rsidP="00A70B78">
      <w:pPr>
        <w:spacing w:line="360" w:lineRule="auto"/>
        <w:ind w:firstLine="360"/>
        <w:jc w:val="both"/>
        <w:rPr>
          <w:rFonts w:asciiTheme="majorBidi" w:eastAsia="Calibri" w:hAnsiTheme="majorBidi" w:cstheme="majorBidi"/>
        </w:rPr>
      </w:pPr>
      <w:r w:rsidRPr="007C6A42">
        <w:rPr>
          <w:rFonts w:asciiTheme="majorBidi" w:eastAsia="Times New Roman" w:hAnsiTheme="majorBidi" w:cstheme="majorBidi"/>
        </w:rPr>
        <w:t>Les traductions du Coran effectuées par quelques traducteurs musulmans (comme Zeinab Abdel Aziz et Hamidullah) semblent comme une tentative pour amener le lecteur à l’auteur (</w:t>
      </w:r>
      <w:r w:rsidRPr="007C6A42">
        <w:rPr>
          <w:rFonts w:asciiTheme="majorBidi" w:eastAsia="Times New Roman" w:hAnsiTheme="majorBidi" w:cstheme="majorBidi"/>
          <w:i/>
          <w:iCs/>
        </w:rPr>
        <w:t>foreignizing</w:t>
      </w:r>
      <w:r w:rsidRPr="007C6A42">
        <w:rPr>
          <w:rFonts w:asciiTheme="majorBidi" w:eastAsia="Times New Roman" w:hAnsiTheme="majorBidi" w:cstheme="majorBidi"/>
        </w:rPr>
        <w:t xml:space="preserve">), pour intégrer le lecteur dans l’islam, comme en écho au dogme de la </w:t>
      </w:r>
      <w:r w:rsidRPr="007C6A42">
        <w:rPr>
          <w:rFonts w:asciiTheme="majorBidi" w:eastAsia="Times New Roman" w:hAnsiTheme="majorBidi" w:cstheme="majorBidi"/>
          <w:i/>
          <w:iCs/>
        </w:rPr>
        <w:t>da</w:t>
      </w:r>
      <w:r w:rsidRPr="007C6A42">
        <w:rPr>
          <w:rFonts w:asciiTheme="majorBidi" w:eastAsia="Calibri" w:hAnsiTheme="majorBidi" w:cstheme="majorBidi"/>
          <w:i/>
          <w:iCs/>
        </w:rPr>
        <w:t>ʿwa</w:t>
      </w:r>
      <w:r w:rsidRPr="007C6A42">
        <w:rPr>
          <w:rFonts w:asciiTheme="majorBidi" w:eastAsia="Calibri" w:hAnsiTheme="majorBidi" w:cstheme="majorBidi"/>
        </w:rPr>
        <w:t xml:space="preserve"> (diffuser l’islam auprès des populations francophones) ou comme un essai de résistance à la fusion dans la culture dominante en s’attachant fortement à leur culture dominée.</w:t>
      </w:r>
      <w:r w:rsidRPr="007C6A42">
        <w:rPr>
          <w:rFonts w:asciiTheme="majorBidi" w:eastAsia="Times New Roman" w:hAnsiTheme="majorBidi" w:cstheme="majorBidi"/>
        </w:rPr>
        <w:t xml:space="preserve"> Cela ne s’applique pas à tous les traducteurs musulmans. Ce n’est pas le cas pour la traduction rimée d’Ahmed Guessous, traduction </w:t>
      </w:r>
      <w:r w:rsidRPr="007C6A42">
        <w:rPr>
          <w:rFonts w:asciiTheme="majorBidi" w:eastAsia="Times New Roman" w:hAnsiTheme="majorBidi" w:cstheme="majorBidi"/>
          <w:i/>
          <w:iCs/>
        </w:rPr>
        <w:t>naturalisante</w:t>
      </w:r>
      <w:r w:rsidRPr="007C6A42">
        <w:rPr>
          <w:rFonts w:asciiTheme="majorBidi" w:eastAsia="Times New Roman" w:hAnsiTheme="majorBidi" w:cstheme="majorBidi"/>
        </w:rPr>
        <w:t xml:space="preserve"> qui veut conduire l’auteur vers le lecteur.</w:t>
      </w:r>
    </w:p>
    <w:p w14:paraId="4A29F37F" w14:textId="77777777" w:rsidR="00A70B78" w:rsidRPr="007C6A42" w:rsidRDefault="00A70B78" w:rsidP="00A70B78">
      <w:pPr>
        <w:spacing w:line="360" w:lineRule="auto"/>
        <w:jc w:val="both"/>
        <w:rPr>
          <w:rFonts w:asciiTheme="majorBidi" w:eastAsia="Times New Roman" w:hAnsiTheme="majorBidi" w:cstheme="majorBidi"/>
        </w:rPr>
      </w:pPr>
    </w:p>
    <w:p w14:paraId="466F3929" w14:textId="77777777" w:rsidR="00A70B78" w:rsidRPr="007C6A42" w:rsidRDefault="00A70B78" w:rsidP="00A70B78">
      <w:pPr>
        <w:spacing w:line="360" w:lineRule="auto"/>
        <w:ind w:firstLine="360"/>
        <w:contextualSpacing/>
        <w:jc w:val="both"/>
        <w:rPr>
          <w:rFonts w:asciiTheme="majorBidi" w:eastAsia="Times New Roman" w:hAnsiTheme="majorBidi" w:cstheme="majorBidi"/>
        </w:rPr>
      </w:pPr>
      <w:r w:rsidRPr="007C6A42">
        <w:rPr>
          <w:rFonts w:asciiTheme="majorBidi" w:eastAsia="Times New Roman" w:hAnsiTheme="majorBidi" w:cstheme="majorBidi"/>
        </w:rPr>
        <w:t>Par contre, les traductions effectuées par certains non musulmans (à l’exception de Chouraqui), et en particulier celle de Berque, semblent comme une tentative de conduire l’auteur vers le lecteur (</w:t>
      </w:r>
      <w:r w:rsidRPr="007C6A42">
        <w:rPr>
          <w:rFonts w:asciiTheme="majorBidi" w:eastAsia="Times New Roman" w:hAnsiTheme="majorBidi" w:cstheme="majorBidi"/>
          <w:i/>
          <w:iCs/>
        </w:rPr>
        <w:t>naturalisation</w:t>
      </w:r>
      <w:r w:rsidRPr="007C6A42">
        <w:rPr>
          <w:rFonts w:asciiTheme="majorBidi" w:eastAsia="Times New Roman" w:hAnsiTheme="majorBidi" w:cstheme="majorBidi"/>
        </w:rPr>
        <w:t xml:space="preserve">), d’intégrer l’islam dans la culture française ; aussi la traduction de Berque a-t-elle rencontré une forte opposition chez les musulmans car elle est considérée comme un essai de francisation du Coran. </w:t>
      </w:r>
      <w:r w:rsidRPr="007C6A42">
        <w:rPr>
          <w:rFonts w:asciiTheme="majorBidi" w:hAnsiTheme="majorBidi" w:cstheme="majorBidi"/>
          <w:bdr w:val="none" w:sz="0" w:space="0" w:color="auto" w:frame="1"/>
        </w:rPr>
        <w:t xml:space="preserve">Muḥammad Rajab al-Bayyūmī (né en 1923, ancien rédacteur en chef de la revue d’Al-Azhar et ancien doyen de la Faculté de langue arabe à Mansoura en </w:t>
      </w:r>
      <w:r w:rsidRPr="007C6A42">
        <w:rPr>
          <w:rFonts w:asciiTheme="majorBidi" w:hAnsiTheme="majorBidi" w:cstheme="majorBidi"/>
          <w:bdr w:val="none" w:sz="0" w:space="0" w:color="auto" w:frame="1"/>
        </w:rPr>
        <w:lastRenderedPageBreak/>
        <w:t>Égypte) consacre un ouvrage</w:t>
      </w:r>
      <w:r w:rsidRPr="007C6A42">
        <w:rPr>
          <w:rFonts w:asciiTheme="majorBidi" w:eastAsia="Calibri" w:hAnsiTheme="majorBidi" w:cstheme="majorBidi"/>
          <w:vertAlign w:val="superscript"/>
          <w:lang w:bidi="ar-AE"/>
        </w:rPr>
        <w:footnoteReference w:id="587"/>
      </w:r>
      <w:r w:rsidRPr="007C6A42">
        <w:rPr>
          <w:rFonts w:asciiTheme="majorBidi" w:hAnsiTheme="majorBidi" w:cstheme="majorBidi"/>
          <w:bdr w:val="none" w:sz="0" w:space="0" w:color="auto" w:frame="1"/>
        </w:rPr>
        <w:t xml:space="preserve"> à l’énumération des erreurs et des falsifications de Berque dans sa traduction du texte coranique. Son compatriote</w:t>
      </w:r>
      <w:r w:rsidRPr="007C6A42">
        <w:rPr>
          <w:rFonts w:asciiTheme="majorBidi" w:eastAsia="Times New Roman" w:hAnsiTheme="majorBidi" w:cstheme="majorBidi"/>
          <w:lang w:bidi="ar-AE"/>
        </w:rPr>
        <w:t xml:space="preserve"> Ibrahīm </w:t>
      </w:r>
      <w:r w:rsidRPr="007C6A42">
        <w:rPr>
          <w:rFonts w:asciiTheme="majorBidi" w:hAnsiTheme="majorBidi" w:cstheme="majorBidi"/>
          <w:i/>
          <w:iCs/>
        </w:rPr>
        <w:t>ʿ</w:t>
      </w:r>
      <w:r w:rsidRPr="007C6A42">
        <w:rPr>
          <w:rFonts w:asciiTheme="majorBidi" w:eastAsia="Times New Roman" w:hAnsiTheme="majorBidi" w:cstheme="majorBidi"/>
          <w:lang w:bidi="ar-AE"/>
        </w:rPr>
        <w:t>Awa</w:t>
      </w:r>
      <w:r w:rsidRPr="007C6A42">
        <w:rPr>
          <w:rFonts w:asciiTheme="majorBidi" w:eastAsia="Times New Roman" w:hAnsiTheme="majorBidi" w:cstheme="majorBidi"/>
        </w:rPr>
        <w:t>ḍ</w:t>
      </w:r>
      <w:r w:rsidRPr="007C6A42">
        <w:rPr>
          <w:rFonts w:asciiTheme="majorBidi" w:eastAsia="Times New Roman" w:hAnsiTheme="majorBidi" w:cstheme="majorBidi"/>
          <w:lang w:bidi="ar-AE"/>
        </w:rPr>
        <w:t xml:space="preserve"> (né en 1948) fait de même dans ouvrage</w:t>
      </w:r>
      <w:r w:rsidRPr="007C6A42">
        <w:rPr>
          <w:rFonts w:asciiTheme="majorBidi" w:hAnsiTheme="majorBidi" w:cstheme="majorBidi"/>
          <w:vertAlign w:val="superscript"/>
          <w:lang w:bidi="ar-AE"/>
        </w:rPr>
        <w:footnoteReference w:id="588"/>
      </w:r>
      <w:r w:rsidRPr="007C6A42">
        <w:rPr>
          <w:rFonts w:asciiTheme="majorBidi" w:eastAsia="Times New Roman" w:hAnsiTheme="majorBidi" w:cstheme="majorBidi"/>
          <w:lang w:bidi="ar-AE"/>
        </w:rPr>
        <w:t xml:space="preserve"> où il étudie la traduction de Berque en comparaison avec celles de Savary, Montet, Blachère, Hamidullah, Boubakeur et Kechrid.</w:t>
      </w:r>
      <w:r w:rsidRPr="007C6A42">
        <w:rPr>
          <w:rFonts w:asciiTheme="majorBidi" w:eastAsia="Times New Roman" w:hAnsiTheme="majorBidi" w:cstheme="majorBidi"/>
          <w:color w:val="C00000"/>
        </w:rPr>
        <w:t xml:space="preserve"> </w:t>
      </w:r>
      <w:r w:rsidRPr="007C6A42">
        <w:rPr>
          <w:rFonts w:asciiTheme="majorBidi" w:hAnsiTheme="majorBidi" w:cstheme="majorBidi"/>
        </w:rPr>
        <w:t>Pour la traductrice du Coran Zeinab Abdelaziz</w:t>
      </w:r>
      <w:r w:rsidRPr="007C6A42">
        <w:rPr>
          <w:rFonts w:asciiTheme="majorBidi" w:hAnsiTheme="majorBidi" w:cstheme="majorBidi"/>
          <w:vertAlign w:val="superscript"/>
          <w:lang w:bidi="ar-AE"/>
        </w:rPr>
        <w:footnoteReference w:id="589"/>
      </w:r>
      <w:r w:rsidRPr="007C6A42">
        <w:rPr>
          <w:rFonts w:asciiTheme="majorBidi" w:hAnsiTheme="majorBidi" w:cstheme="majorBidi"/>
        </w:rPr>
        <w:t>, la traduction de Berque, œuvre  d’un  orientaliste, est tendancieuse, pleine de fautes, subjective, malintentionnée, voire dangereuse car elle a pour but de déformer l’islam.</w:t>
      </w:r>
      <w:r w:rsidRPr="007C6A42">
        <w:rPr>
          <w:rFonts w:asciiTheme="majorBidi" w:hAnsiTheme="majorBidi" w:cstheme="majorBidi"/>
          <w:vertAlign w:val="superscript"/>
          <w:lang w:bidi="ar-AE"/>
        </w:rPr>
        <w:footnoteReference w:id="590"/>
      </w:r>
      <w:r w:rsidRPr="007C6A42">
        <w:rPr>
          <w:rFonts w:asciiTheme="majorBidi" w:hAnsiTheme="majorBidi" w:cstheme="majorBidi"/>
        </w:rPr>
        <w:t xml:space="preserve"> </w:t>
      </w:r>
      <w:r w:rsidRPr="007C6A42">
        <w:rPr>
          <w:rFonts w:asciiTheme="majorBidi" w:eastAsia="Times New Roman" w:hAnsiTheme="majorBidi" w:cstheme="majorBidi"/>
          <w:lang w:bidi="ar-AE"/>
        </w:rPr>
        <w:t>Ḥasan b. Idrīs ʿ</w:t>
      </w:r>
      <w:r w:rsidRPr="007C6A42">
        <w:rPr>
          <w:rFonts w:asciiTheme="majorBidi" w:hAnsiTheme="majorBidi" w:cstheme="majorBidi"/>
        </w:rPr>
        <w:t>Azzūzī</w:t>
      </w:r>
      <w:r w:rsidRPr="007C6A42">
        <w:rPr>
          <w:rFonts w:asciiTheme="majorBidi" w:eastAsia="Times New Roman" w:hAnsiTheme="majorBidi" w:cstheme="majorBidi"/>
          <w:lang w:bidi="ar-AE"/>
        </w:rPr>
        <w:t xml:space="preserve"> critique sévèrement la traduction de Berque en la considérant comme tendancieuse et en considérant Berque comme un ennemi de l’islam.</w:t>
      </w:r>
      <w:r w:rsidRPr="007C6A42">
        <w:rPr>
          <w:rFonts w:asciiTheme="majorBidi" w:hAnsiTheme="majorBidi" w:cstheme="majorBidi"/>
          <w:vertAlign w:val="superscript"/>
          <w:lang w:bidi="ar-AE"/>
        </w:rPr>
        <w:footnoteReference w:id="591"/>
      </w:r>
      <w:r w:rsidRPr="007C6A42">
        <w:rPr>
          <w:rFonts w:asciiTheme="majorBidi" w:eastAsia="Times New Roman" w:hAnsiTheme="majorBidi" w:cstheme="majorBidi"/>
          <w:lang w:bidi="ar-AE"/>
        </w:rPr>
        <w:t xml:space="preserve"> </w:t>
      </w:r>
      <w:r w:rsidRPr="007C6A42">
        <w:rPr>
          <w:rFonts w:asciiTheme="majorBidi" w:eastAsia="SimSun" w:hAnsiTheme="majorBidi" w:cstheme="majorBidi"/>
          <w:lang w:eastAsia="zh-CN"/>
        </w:rPr>
        <w:t xml:space="preserve">Cependant, bien que la traduction de Chouraqui ne soit pas une traduction cibliste qui veut </w:t>
      </w:r>
      <w:r w:rsidRPr="007C6A42">
        <w:rPr>
          <w:rFonts w:asciiTheme="majorBidi" w:eastAsia="Times New Roman" w:hAnsiTheme="majorBidi" w:cstheme="majorBidi"/>
        </w:rPr>
        <w:t xml:space="preserve">conduire l’auteur vers le lecteur, elle est aussi, critiquée par </w:t>
      </w:r>
      <w:r w:rsidRPr="007C6A42">
        <w:rPr>
          <w:rFonts w:asciiTheme="majorBidi" w:eastAsia="SimSun" w:hAnsiTheme="majorBidi" w:cstheme="majorBidi"/>
          <w:lang w:eastAsia="zh-CN"/>
        </w:rPr>
        <w:t>Abdallah Cheikh-Moussa (</w:t>
      </w:r>
      <w:r w:rsidRPr="007C6A42">
        <w:rPr>
          <w:rFonts w:asciiTheme="majorBidi" w:hAnsiTheme="majorBidi" w:cstheme="majorBidi"/>
        </w:rPr>
        <w:t>professeur de littérature arabe à l’Université Paris-Sorbonne</w:t>
      </w:r>
      <w:r w:rsidRPr="007C6A42">
        <w:rPr>
          <w:rFonts w:asciiTheme="majorBidi" w:eastAsia="SimSun" w:hAnsiTheme="majorBidi" w:cstheme="majorBidi"/>
          <w:lang w:eastAsia="zh-CN"/>
        </w:rPr>
        <w:t>)</w:t>
      </w:r>
      <w:r w:rsidRPr="007C6A42">
        <w:rPr>
          <w:rFonts w:asciiTheme="majorBidi" w:eastAsia="Calibri" w:hAnsiTheme="majorBidi" w:cstheme="majorBidi"/>
          <w:vertAlign w:val="superscript"/>
          <w:lang w:bidi="ar-AE"/>
        </w:rPr>
        <w:footnoteReference w:id="592"/>
      </w:r>
      <w:r w:rsidRPr="007C6A42">
        <w:rPr>
          <w:rFonts w:asciiTheme="majorBidi" w:eastAsia="SimSun" w:hAnsiTheme="majorBidi" w:cstheme="majorBidi"/>
          <w:lang w:eastAsia="zh-CN"/>
        </w:rPr>
        <w:t xml:space="preserve"> qui </w:t>
      </w:r>
      <w:r w:rsidRPr="007C6A42">
        <w:rPr>
          <w:rFonts w:asciiTheme="majorBidi" w:hAnsiTheme="majorBidi" w:cstheme="majorBidi"/>
        </w:rPr>
        <w:t>procède au relevé des erreurs, des contresens et des confusions qui émaillent cette traduction.</w:t>
      </w:r>
    </w:p>
    <w:p w14:paraId="33F0B48F" w14:textId="77777777" w:rsidR="00A70B78" w:rsidRPr="007C6A42" w:rsidRDefault="00A70B78" w:rsidP="00A70B78">
      <w:pPr>
        <w:spacing w:line="360" w:lineRule="auto"/>
        <w:ind w:firstLine="360"/>
        <w:jc w:val="both"/>
        <w:rPr>
          <w:rFonts w:asciiTheme="majorBidi" w:eastAsia="Times New Roman" w:hAnsiTheme="majorBidi" w:cstheme="majorBidi"/>
        </w:rPr>
      </w:pPr>
    </w:p>
    <w:p w14:paraId="344BA38C"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On peut dire que la traduction apparaît comme le moyen pour la culture dominante d’assimiler ou d’intégrer la culture dominée. « La traduction des "idées" serait ainsi l’apanage du vainqueur, sorte d’ultime victoire remportée sur l’ennemi conquis jusque dans sa langue ».</w:t>
      </w:r>
      <w:r w:rsidRPr="007C6A42">
        <w:rPr>
          <w:rStyle w:val="Appelnotedebasdep"/>
          <w:rFonts w:asciiTheme="majorBidi" w:eastAsia="Times New Roman" w:hAnsiTheme="majorBidi" w:cstheme="majorBidi"/>
        </w:rPr>
        <w:footnoteReference w:id="593"/>
      </w:r>
    </w:p>
    <w:p w14:paraId="54CE0448" w14:textId="77777777" w:rsidR="00A70B78" w:rsidRPr="007C6A42" w:rsidRDefault="00A70B78" w:rsidP="00A70B78">
      <w:pPr>
        <w:spacing w:line="360" w:lineRule="auto"/>
        <w:jc w:val="both"/>
        <w:rPr>
          <w:rFonts w:asciiTheme="majorBidi" w:eastAsia="Times New Roman" w:hAnsiTheme="majorBidi" w:cstheme="majorBidi"/>
        </w:rPr>
      </w:pPr>
    </w:p>
    <w:p w14:paraId="7E871080"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Mais que la traduction soit sourcière (</w:t>
      </w:r>
      <w:r w:rsidRPr="007C6A42">
        <w:rPr>
          <w:rFonts w:asciiTheme="majorBidi" w:eastAsia="Times New Roman" w:hAnsiTheme="majorBidi" w:cstheme="majorBidi"/>
          <w:i/>
          <w:iCs/>
        </w:rPr>
        <w:t>foreignizing</w:t>
      </w:r>
      <w:r w:rsidRPr="007C6A42">
        <w:rPr>
          <w:rFonts w:asciiTheme="majorBidi" w:eastAsia="Times New Roman" w:hAnsiTheme="majorBidi" w:cstheme="majorBidi"/>
        </w:rPr>
        <w:t xml:space="preserve">, dépaysante, </w:t>
      </w:r>
      <w:r w:rsidRPr="007C6A42">
        <w:rPr>
          <w:rFonts w:asciiTheme="majorBidi" w:hAnsiTheme="majorBidi" w:cstheme="majorBidi"/>
          <w:u w:color="0000E9"/>
        </w:rPr>
        <w:t>non ethnocentrique</w:t>
      </w:r>
      <w:r w:rsidRPr="007C6A42">
        <w:rPr>
          <w:rFonts w:asciiTheme="majorBidi" w:eastAsia="Times New Roman" w:hAnsiTheme="majorBidi" w:cstheme="majorBidi"/>
        </w:rPr>
        <w:t>) ou cibliste (</w:t>
      </w:r>
      <w:r w:rsidRPr="007C6A42">
        <w:rPr>
          <w:rFonts w:asciiTheme="majorBidi" w:eastAsia="Times New Roman" w:hAnsiTheme="majorBidi" w:cstheme="majorBidi"/>
          <w:i/>
          <w:iCs/>
        </w:rPr>
        <w:t>domesticating</w:t>
      </w:r>
      <w:r w:rsidRPr="007C6A42">
        <w:rPr>
          <w:rFonts w:asciiTheme="majorBidi" w:eastAsia="Times New Roman" w:hAnsiTheme="majorBidi" w:cstheme="majorBidi"/>
        </w:rPr>
        <w:t xml:space="preserve">, naturalisante, </w:t>
      </w:r>
      <w:r w:rsidRPr="007C6A42">
        <w:rPr>
          <w:rFonts w:asciiTheme="majorBidi" w:hAnsiTheme="majorBidi" w:cstheme="majorBidi"/>
        </w:rPr>
        <w:t>ethnocentrique</w:t>
      </w:r>
      <w:r w:rsidRPr="007C6A42">
        <w:rPr>
          <w:rFonts w:asciiTheme="majorBidi" w:eastAsia="Times New Roman" w:hAnsiTheme="majorBidi" w:cstheme="majorBidi"/>
        </w:rPr>
        <w:t xml:space="preserve">), </w:t>
      </w:r>
      <w:r w:rsidRPr="007C6A42">
        <w:rPr>
          <w:rFonts w:asciiTheme="majorBidi" w:eastAsia="SimSun" w:hAnsiTheme="majorBidi" w:cstheme="majorBidi"/>
          <w:lang w:eastAsia="zh-CN"/>
        </w:rPr>
        <w:t xml:space="preserve">les traductions des textes sacrés portent </w:t>
      </w:r>
      <w:r w:rsidRPr="007C6A42">
        <w:rPr>
          <w:rFonts w:asciiTheme="majorBidi" w:eastAsia="SimSun" w:hAnsiTheme="majorBidi" w:cstheme="majorBidi"/>
          <w:lang w:eastAsia="zh-CN"/>
        </w:rPr>
        <w:lastRenderedPageBreak/>
        <w:t xml:space="preserve">l’empreinte des changements politiques, philosophiques et idéologiques des époques où elles furent produites, comme le soulignent </w:t>
      </w:r>
      <w:r w:rsidRPr="007C6A42">
        <w:rPr>
          <w:rFonts w:asciiTheme="majorBidi" w:hAnsiTheme="majorBidi" w:cstheme="majorBidi"/>
        </w:rPr>
        <w:t>Jean Delisle et Judith Woodsworth.</w:t>
      </w:r>
      <w:r w:rsidRPr="007C6A42">
        <w:rPr>
          <w:rFonts w:asciiTheme="majorBidi" w:hAnsiTheme="majorBidi" w:cstheme="majorBidi"/>
          <w:vertAlign w:val="superscript"/>
          <w:lang w:bidi="ar-AE"/>
        </w:rPr>
        <w:footnoteReference w:id="594"/>
      </w:r>
    </w:p>
    <w:p w14:paraId="1E90F03E" w14:textId="77777777" w:rsidR="00A70B78" w:rsidRPr="007C6A42" w:rsidRDefault="00A70B78" w:rsidP="00A70B78">
      <w:pPr>
        <w:spacing w:line="360" w:lineRule="auto"/>
        <w:jc w:val="both"/>
        <w:rPr>
          <w:rFonts w:asciiTheme="majorBidi" w:eastAsia="Times New Roman" w:hAnsiTheme="majorBidi" w:cstheme="majorBidi"/>
        </w:rPr>
      </w:pPr>
    </w:p>
    <w:p w14:paraId="395D4A2C"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 xml:space="preserve">Toutes les traductions ne sont pas acceptées en tant que texte indépendant de l’original, mais comme une paraphrase. Elles ne sont pas non plus une imitation du texte arabe, car on ne peut pas imiter un texte très polysémique contenant des éléments ambigus, mais on peut imiter l’un des aspects du texte avec adaptation créative et non servile. « Désormais, il ne suffit plus de traduire ; il faut imiter l’original car la </w:t>
      </w:r>
      <w:r w:rsidRPr="007C6A42">
        <w:rPr>
          <w:rFonts w:asciiTheme="majorBidi" w:eastAsia="Times New Roman" w:hAnsiTheme="majorBidi" w:cstheme="majorBidi"/>
          <w:i/>
          <w:iCs/>
        </w:rPr>
        <w:t>mimèsis</w:t>
      </w:r>
      <w:r w:rsidRPr="007C6A42">
        <w:rPr>
          <w:rFonts w:asciiTheme="majorBidi" w:eastAsia="Times New Roman" w:hAnsiTheme="majorBidi" w:cstheme="majorBidi"/>
        </w:rPr>
        <w:t xml:space="preserve"> est le principe même de l’art selon Aristote ».</w:t>
      </w:r>
      <w:r w:rsidRPr="007C6A42">
        <w:rPr>
          <w:rStyle w:val="Appelnotedebasdep"/>
          <w:rFonts w:asciiTheme="majorBidi" w:eastAsia="Times New Roman" w:hAnsiTheme="majorBidi" w:cstheme="majorBidi"/>
        </w:rPr>
        <w:footnoteReference w:id="595"/>
      </w:r>
    </w:p>
    <w:p w14:paraId="4AF3570C" w14:textId="77777777" w:rsidR="00A70B78" w:rsidRPr="007C6A42" w:rsidRDefault="00A70B78" w:rsidP="00A70B78">
      <w:pPr>
        <w:spacing w:line="360" w:lineRule="auto"/>
        <w:jc w:val="both"/>
        <w:rPr>
          <w:rFonts w:asciiTheme="majorBidi" w:eastAsia="Times New Roman" w:hAnsiTheme="majorBidi" w:cstheme="majorBidi"/>
        </w:rPr>
      </w:pPr>
    </w:p>
    <w:p w14:paraId="745F31C3" w14:textId="77777777" w:rsidR="00A70B78" w:rsidRPr="007C6A42" w:rsidRDefault="00A70B78" w:rsidP="00A70B78">
      <w:pPr>
        <w:spacing w:line="360" w:lineRule="auto"/>
        <w:ind w:firstLine="360"/>
        <w:jc w:val="both"/>
        <w:rPr>
          <w:rFonts w:asciiTheme="majorBidi" w:eastAsia="SimSun" w:hAnsiTheme="majorBidi" w:cstheme="majorBidi"/>
          <w:lang w:eastAsia="zh-CN"/>
        </w:rPr>
      </w:pPr>
      <w:r w:rsidRPr="007C6A42">
        <w:rPr>
          <w:rFonts w:asciiTheme="majorBidi" w:eastAsia="Times New Roman" w:hAnsiTheme="majorBidi" w:cstheme="majorBidi"/>
        </w:rPr>
        <w:t xml:space="preserve">La comparaison entre les </w:t>
      </w:r>
      <w:r w:rsidRPr="007C6A42">
        <w:rPr>
          <w:rFonts w:asciiTheme="majorBidi" w:eastAsia="Times New Roman" w:hAnsiTheme="majorBidi" w:cstheme="majorBidi"/>
          <w:i/>
          <w:iCs/>
        </w:rPr>
        <w:t>tafsīr</w:t>
      </w:r>
      <w:r w:rsidRPr="007C6A42">
        <w:rPr>
          <w:rFonts w:asciiTheme="majorBidi" w:eastAsia="Times New Roman" w:hAnsiTheme="majorBidi" w:cstheme="majorBidi"/>
        </w:rPr>
        <w:t xml:space="preserve"> et les traductions de la sourate XXII peut nous montrer que l’ensemble des traductions du Coran constitue un espace quasi indépendant, un monde plus ou moins clos ; elles nagent dans le même bassin, dans le sens où elles évoluent indépendamment de l’exégèse. Une nouvelle traduction se base essentiellement sur les traductions précédentes et nourrit généralement la(les) traduction(s) ultérieures. Les relations que les traductions établissent entre elles sont beaucoup plus étroites que celles entre les traductions et les exégèses. Il n’y a que la première traduction en français, celle de Du Ryer (1647), qui s’est référée seulement à l’exégèse</w:t>
      </w:r>
      <w:r w:rsidRPr="007C6A42">
        <w:rPr>
          <w:rStyle w:val="Appelnotedebasdep"/>
          <w:rFonts w:asciiTheme="majorBidi" w:eastAsia="Times New Roman" w:hAnsiTheme="majorBidi" w:cstheme="majorBidi"/>
        </w:rPr>
        <w:footnoteReference w:id="596"/>
      </w:r>
      <w:r w:rsidRPr="007C6A42">
        <w:rPr>
          <w:rFonts w:asciiTheme="majorBidi" w:eastAsia="Times New Roman" w:hAnsiTheme="majorBidi" w:cstheme="majorBidi"/>
        </w:rPr>
        <w:t xml:space="preserve">. Cela nous rappelle l’idée de la complémentarité des traductions soutenue par </w:t>
      </w:r>
      <w:r w:rsidRPr="007C6A42">
        <w:rPr>
          <w:rFonts w:asciiTheme="majorBidi" w:eastAsia="Calibri" w:hAnsiTheme="majorBidi" w:cstheme="majorBidi"/>
        </w:rPr>
        <w:t>Maurice Borrmans</w:t>
      </w:r>
      <w:r w:rsidRPr="007C6A42">
        <w:rPr>
          <w:rFonts w:asciiTheme="majorBidi" w:eastAsia="Calibri" w:hAnsiTheme="majorBidi" w:cstheme="majorBidi"/>
          <w:vertAlign w:val="superscript"/>
          <w:lang w:bidi="ar-AE"/>
        </w:rPr>
        <w:footnoteReference w:id="597"/>
      </w:r>
      <w:r w:rsidRPr="007C6A42">
        <w:rPr>
          <w:rFonts w:asciiTheme="majorBidi" w:eastAsia="SimSun" w:hAnsiTheme="majorBidi" w:cstheme="majorBidi"/>
          <w:lang w:eastAsia="zh-CN"/>
        </w:rPr>
        <w:t xml:space="preserve"> </w:t>
      </w:r>
      <w:r w:rsidRPr="007C6A42">
        <w:rPr>
          <w:rFonts w:asciiTheme="majorBidi" w:hAnsiTheme="majorBidi" w:cstheme="majorBidi"/>
        </w:rPr>
        <w:t xml:space="preserve">et </w:t>
      </w:r>
      <w:r w:rsidRPr="007C6A42">
        <w:rPr>
          <w:rFonts w:asciiTheme="majorBidi" w:eastAsia="Calibri" w:hAnsiTheme="majorBidi" w:cstheme="majorBidi"/>
        </w:rPr>
        <w:t>Christiane Dieterlé</w:t>
      </w:r>
      <w:r w:rsidRPr="007C6A42">
        <w:rPr>
          <w:rFonts w:asciiTheme="majorBidi" w:eastAsia="Calibri" w:hAnsiTheme="majorBidi" w:cstheme="majorBidi"/>
          <w:vertAlign w:val="superscript"/>
          <w:lang w:bidi="ar-AE"/>
        </w:rPr>
        <w:footnoteReference w:id="598"/>
      </w:r>
      <w:r w:rsidRPr="007C6A42">
        <w:rPr>
          <w:rFonts w:asciiTheme="majorBidi" w:hAnsiTheme="majorBidi" w:cstheme="majorBidi"/>
        </w:rPr>
        <w:t>. C</w:t>
      </w:r>
      <w:r w:rsidRPr="007C6A42">
        <w:rPr>
          <w:rFonts w:asciiTheme="majorBidi" w:eastAsia="Times New Roman" w:hAnsiTheme="majorBidi" w:cstheme="majorBidi"/>
        </w:rPr>
        <w:t xml:space="preserve">’est en accumulant les traductions que nous pouvons atteindre la riche polysémie du </w:t>
      </w:r>
      <w:r w:rsidRPr="007C6A42">
        <w:rPr>
          <w:rFonts w:asciiTheme="majorBidi" w:eastAsia="SimSun" w:hAnsiTheme="majorBidi" w:cstheme="majorBidi"/>
          <w:lang w:eastAsia="zh-CN"/>
        </w:rPr>
        <w:t>texte de départ.</w:t>
      </w:r>
    </w:p>
    <w:p w14:paraId="0304EDD8" w14:textId="77777777" w:rsidR="00A70B78" w:rsidRPr="007C6A42" w:rsidRDefault="00A70B78" w:rsidP="00A70B78">
      <w:pPr>
        <w:spacing w:line="360" w:lineRule="auto"/>
        <w:ind w:firstLine="360"/>
        <w:jc w:val="both"/>
        <w:rPr>
          <w:rFonts w:asciiTheme="majorBidi" w:hAnsiTheme="majorBidi" w:cstheme="majorBidi"/>
        </w:rPr>
      </w:pPr>
    </w:p>
    <w:p w14:paraId="6F252F70"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hAnsiTheme="majorBidi" w:cstheme="majorBidi"/>
        </w:rPr>
        <w:t>La faible relation entre la traduction et l’exégèse (orthodoxe) est critiquée par Chédia Trabelsi (Professeur à l’Université de Tunis I)</w:t>
      </w:r>
      <w:r w:rsidRPr="007C6A42">
        <w:rPr>
          <w:rFonts w:asciiTheme="majorBidi" w:eastAsia="Calibri" w:hAnsiTheme="majorBidi" w:cstheme="majorBidi"/>
          <w:vertAlign w:val="superscript"/>
          <w:lang w:bidi="ar-AE"/>
        </w:rPr>
        <w:footnoteReference w:id="599"/>
      </w:r>
      <w:r w:rsidRPr="007C6A42">
        <w:rPr>
          <w:rFonts w:asciiTheme="majorBidi" w:hAnsiTheme="majorBidi" w:cstheme="majorBidi"/>
        </w:rPr>
        <w:t xml:space="preserve">. Cette dernière signale qu’il existe deux tendances qui se sont développées parmi les traducteurs : certains optent pour une langue châtiée afin de s’approcher autant que possible de la richesse du style arabe. D’autres préfèrent imiter ce style afin d’essayer d’en refléter la beauté. À propos de la problématique de la traduction du texte coranique, Trabelsi considère que les traducteurs ont fait des traductions comportant des </w:t>
      </w:r>
      <w:r w:rsidRPr="007C6A42">
        <w:rPr>
          <w:rFonts w:asciiTheme="majorBidi" w:hAnsiTheme="majorBidi" w:cstheme="majorBidi"/>
        </w:rPr>
        <w:lastRenderedPageBreak/>
        <w:t xml:space="preserve">erreurs d’interprétation de deux sortes : 1) des erreurs personnelles (rétrécissement du sens, omission, manque de clarté, ambiguïté, etc.) ; 2) et des erreurs d’ordre général, parce qu’ils n’ont pas suffisamment lu d’exégèses coraniques, ou parce qu’ils se sont contentés d’exégèses dites « faibles » (c’est-à-dire non accréditées par la plupart des grands exégètes) ou encore parce qu’ils n’ont pas la compétence linguistique arabe ou française requise. </w:t>
      </w:r>
      <w:r w:rsidRPr="007C6A42">
        <w:rPr>
          <w:rFonts w:asciiTheme="majorBidi" w:eastAsia="Times New Roman" w:hAnsiTheme="majorBidi" w:cstheme="majorBidi"/>
        </w:rPr>
        <w:t xml:space="preserve">Trabelsi souligne </w:t>
      </w:r>
      <w:r w:rsidRPr="007C6A42">
        <w:rPr>
          <w:rFonts w:asciiTheme="majorBidi" w:eastAsia="Times New Roman" w:hAnsiTheme="majorBidi" w:cstheme="majorBidi"/>
          <w:i/>
          <w:iCs/>
        </w:rPr>
        <w:t>l’importance, pour un traducteur du Coran, de se conformer au patrimoine exégétique du Coran, sinon il commettra des erreurs</w:t>
      </w:r>
      <w:r w:rsidRPr="007C6A42">
        <w:rPr>
          <w:rFonts w:asciiTheme="majorBidi" w:eastAsia="Times New Roman" w:hAnsiTheme="majorBidi" w:cstheme="majorBidi"/>
        </w:rPr>
        <w:t xml:space="preserve">. En d’autres termes, la traduction du Coran, pour être admise, doit être conforme à l’orthodoxie musulmane, à la lecture répandue et officiellement reconnue. D’ailleurs, </w:t>
      </w:r>
      <w:r w:rsidRPr="007C6A42">
        <w:rPr>
          <w:rFonts w:asciiTheme="majorBidi" w:hAnsiTheme="majorBidi" w:cstheme="majorBidi"/>
        </w:rPr>
        <w:t>Afnan Fatani [Anfān</w:t>
      </w:r>
      <w:r w:rsidRPr="007C6A42">
        <w:rPr>
          <w:rFonts w:asciiTheme="majorBidi" w:hAnsiTheme="majorBidi" w:cstheme="majorBidi"/>
          <w:color w:val="C00000"/>
        </w:rPr>
        <w:t xml:space="preserve"> </w:t>
      </w:r>
      <w:r w:rsidRPr="007C6A42">
        <w:rPr>
          <w:rFonts w:asciiTheme="majorBidi" w:hAnsiTheme="majorBidi" w:cstheme="majorBidi"/>
        </w:rPr>
        <w:t>Fa</w:t>
      </w:r>
      <w:r w:rsidRPr="007C6A42">
        <w:rPr>
          <w:rFonts w:asciiTheme="majorBidi" w:eastAsia="Times New Roman" w:hAnsiTheme="majorBidi" w:cstheme="majorBidi"/>
        </w:rPr>
        <w:t>ṭānī</w:t>
      </w:r>
      <w:r w:rsidRPr="007C6A42">
        <w:rPr>
          <w:rFonts w:asciiTheme="majorBidi" w:hAnsiTheme="majorBidi" w:cstheme="majorBidi"/>
        </w:rPr>
        <w:t>] précise que la seule traduction admise par les musulmans est la traduction interprétative, exégétique, explicative, qui est accompagnée du texte original.</w:t>
      </w:r>
      <w:r w:rsidRPr="007C6A42">
        <w:rPr>
          <w:rFonts w:asciiTheme="majorBidi" w:eastAsia="Calibri" w:hAnsiTheme="majorBidi" w:cstheme="majorBidi"/>
          <w:vertAlign w:val="superscript"/>
          <w:lang w:bidi="ar-AE"/>
        </w:rPr>
        <w:footnoteReference w:id="600"/>
      </w:r>
    </w:p>
    <w:p w14:paraId="0099CFD5" w14:textId="77777777" w:rsidR="00A70B78" w:rsidRPr="007C6A42" w:rsidRDefault="00A70B78" w:rsidP="00A70B78">
      <w:pPr>
        <w:spacing w:line="360" w:lineRule="auto"/>
        <w:ind w:firstLine="708"/>
        <w:jc w:val="both"/>
        <w:rPr>
          <w:rFonts w:asciiTheme="majorBidi" w:eastAsia="Times New Roman" w:hAnsiTheme="majorBidi" w:cstheme="majorBidi"/>
        </w:rPr>
      </w:pPr>
    </w:p>
    <w:p w14:paraId="27C6D767" w14:textId="77777777" w:rsidR="00A70B78" w:rsidRPr="007C6A42" w:rsidRDefault="00A70B78" w:rsidP="00A70B78">
      <w:pPr>
        <w:spacing w:line="360" w:lineRule="auto"/>
        <w:ind w:firstLine="720"/>
        <w:jc w:val="both"/>
        <w:rPr>
          <w:rFonts w:asciiTheme="majorBidi" w:eastAsia="Times New Roman" w:hAnsiTheme="majorBidi" w:cstheme="majorBidi"/>
          <w:strike/>
        </w:rPr>
      </w:pPr>
      <w:r w:rsidRPr="007C6A42">
        <w:rPr>
          <w:rFonts w:asciiTheme="majorBidi" w:eastAsia="Times New Roman" w:hAnsiTheme="majorBidi" w:cstheme="majorBidi"/>
        </w:rPr>
        <w:t xml:space="preserve">L’exégèse va du particulier vers l’universel, ou de l’universel vers le particulier. L’exégèse a tendance, d’un côté, à privilégier un sens parmi d’autres en fonction du </w:t>
      </w:r>
      <w:r w:rsidRPr="007C6A42">
        <w:rPr>
          <w:rFonts w:asciiTheme="majorBidi" w:eastAsia="Times New Roman" w:hAnsiTheme="majorBidi" w:cstheme="majorBidi"/>
          <w:i/>
          <w:iCs/>
        </w:rPr>
        <w:t>consensus omnium</w:t>
      </w:r>
      <w:r w:rsidRPr="007C6A42">
        <w:rPr>
          <w:rFonts w:asciiTheme="majorBidi" w:eastAsia="Times New Roman" w:hAnsiTheme="majorBidi" w:cstheme="majorBidi"/>
        </w:rPr>
        <w:t>, c’est-à-dire à fermer le texte, et d’un autre côté à ouvrir le texte en concluant par le fameux énoncé « </w:t>
      </w:r>
      <w:r w:rsidRPr="007C6A42">
        <w:rPr>
          <w:rFonts w:asciiTheme="majorBidi" w:eastAsia="Times New Roman" w:hAnsiTheme="majorBidi" w:cstheme="majorBidi"/>
          <w:i/>
          <w:iCs/>
        </w:rPr>
        <w:t>wa-llāhu ʾaʿlam !</w:t>
      </w:r>
      <w:r w:rsidRPr="007C6A42">
        <w:rPr>
          <w:rFonts w:asciiTheme="majorBidi" w:eastAsia="Times New Roman" w:hAnsiTheme="majorBidi" w:cstheme="majorBidi"/>
        </w:rPr>
        <w:t> » (</w:t>
      </w:r>
      <w:r w:rsidRPr="007C6A42">
        <w:rPr>
          <w:rFonts w:asciiTheme="majorBidi" w:eastAsia="Times New Roman" w:hAnsiTheme="majorBidi" w:cstheme="majorBidi"/>
          <w:rtl/>
        </w:rPr>
        <w:t>"واللهُ أعلم !"</w:t>
      </w:r>
      <w:r w:rsidRPr="007C6A42">
        <w:rPr>
          <w:rFonts w:asciiTheme="majorBidi" w:eastAsia="Times New Roman" w:hAnsiTheme="majorBidi" w:cstheme="majorBidi"/>
        </w:rPr>
        <w:t>), énoncé qui laisse la porte ouverte à la polysémie. Les premiers musulmans étaient plus libres à lire et à interpréter le texte (comme Muḥammad lui-même, ʿAbd Allāh ibn ʿAbbās et ʿUmar ibn Al-Khaṭṭāb). On remarque que les exégèses ont tendance à fixer le texte, à le limiter.</w:t>
      </w:r>
    </w:p>
    <w:p w14:paraId="124246AA" w14:textId="77777777" w:rsidR="00A70B78" w:rsidRPr="007C6A42" w:rsidRDefault="00A70B78" w:rsidP="00A70B78">
      <w:pPr>
        <w:spacing w:line="360" w:lineRule="auto"/>
        <w:ind w:firstLine="720"/>
        <w:jc w:val="both"/>
        <w:rPr>
          <w:rFonts w:asciiTheme="majorBidi" w:eastAsia="Times New Roman" w:hAnsiTheme="majorBidi" w:cstheme="majorBidi"/>
        </w:rPr>
      </w:pPr>
    </w:p>
    <w:p w14:paraId="139DA83D" w14:textId="77777777" w:rsidR="00A70B78" w:rsidRPr="007C6A42" w:rsidRDefault="00A70B78" w:rsidP="00A70B78">
      <w:pPr>
        <w:spacing w:line="360" w:lineRule="auto"/>
        <w:ind w:firstLine="360"/>
        <w:jc w:val="both"/>
        <w:rPr>
          <w:rFonts w:asciiTheme="majorBidi" w:eastAsia="Times New Roman" w:hAnsiTheme="majorBidi" w:cstheme="majorBidi"/>
        </w:rPr>
      </w:pPr>
      <w:r w:rsidRPr="007C6A42">
        <w:rPr>
          <w:rFonts w:asciiTheme="majorBidi" w:eastAsia="Times New Roman" w:hAnsiTheme="majorBidi" w:cstheme="majorBidi"/>
        </w:rPr>
        <w:t xml:space="preserve">Cependant, les traducteurs confrontent les traductions précédentes pour choisir la leur, en se référant, si besoin est, à l’exégèse. Ils choisissent la traduction qui répond à leur besoin et qui est compatible avec leur objectif, et ont tendance à augmenter le ton et à élever le style. En effet, confronter </w:t>
      </w:r>
      <w:r w:rsidRPr="007C6A42">
        <w:rPr>
          <w:rFonts w:asciiTheme="majorBidi" w:eastAsia="SimSun" w:hAnsiTheme="majorBidi" w:cstheme="majorBidi"/>
          <w:lang w:eastAsia="zh-CN"/>
        </w:rPr>
        <w:t>plusieurs traductions pour évaluer une traduction ou donner une autre</w:t>
      </w:r>
      <w:r w:rsidRPr="007C6A42">
        <w:rPr>
          <w:rFonts w:asciiTheme="majorBidi" w:hAnsiTheme="majorBidi" w:cstheme="majorBidi"/>
        </w:rPr>
        <w:t xml:space="preserve"> est recommandé par Mahmoud Azab [Maḥmūd al-ʿAzab] (1947-2014) (ancien professeur de langues sémitiques [hébreu, arabe] à Al Azhar au Caire et professeur d’arabe et d’islamologie à l’INALCO à Paris), mais il faut aussi se référer à l’exégèse</w:t>
      </w:r>
      <w:r w:rsidRPr="007C6A42">
        <w:rPr>
          <w:rFonts w:asciiTheme="majorBidi" w:eastAsia="Calibri" w:hAnsiTheme="majorBidi" w:cstheme="majorBidi"/>
          <w:vertAlign w:val="superscript"/>
          <w:lang w:bidi="ar-AE"/>
        </w:rPr>
        <w:footnoteReference w:id="601"/>
      </w:r>
      <w:r w:rsidRPr="007C6A42">
        <w:rPr>
          <w:rFonts w:asciiTheme="majorBidi" w:hAnsiTheme="majorBidi" w:cstheme="majorBidi"/>
        </w:rPr>
        <w:t>, car, pour lui, la traduction est déjà une sorte d’exégèse</w:t>
      </w:r>
      <w:r w:rsidRPr="007C6A42">
        <w:rPr>
          <w:rFonts w:asciiTheme="majorBidi" w:eastAsia="Calibri" w:hAnsiTheme="majorBidi" w:cstheme="majorBidi"/>
          <w:vertAlign w:val="superscript"/>
          <w:lang w:bidi="ar-AE"/>
        </w:rPr>
        <w:footnoteReference w:id="602"/>
      </w:r>
      <w:r w:rsidRPr="007C6A42">
        <w:rPr>
          <w:rFonts w:asciiTheme="majorBidi" w:hAnsiTheme="majorBidi" w:cstheme="majorBidi"/>
        </w:rPr>
        <w:t>.</w:t>
      </w:r>
    </w:p>
    <w:p w14:paraId="224BD808" w14:textId="77777777" w:rsidR="00A70B78" w:rsidRPr="007C6A42" w:rsidRDefault="00A70B78" w:rsidP="00A70B78">
      <w:pPr>
        <w:spacing w:line="360" w:lineRule="auto"/>
        <w:ind w:firstLine="720"/>
        <w:jc w:val="both"/>
        <w:rPr>
          <w:rFonts w:asciiTheme="majorBidi" w:hAnsiTheme="majorBidi" w:cstheme="majorBidi"/>
        </w:rPr>
      </w:pPr>
    </w:p>
    <w:p w14:paraId="52AB7F03" w14:textId="77777777" w:rsidR="00A70B78" w:rsidRPr="007C6A42" w:rsidRDefault="00A70B78" w:rsidP="00A70B78">
      <w:pPr>
        <w:spacing w:line="360" w:lineRule="auto"/>
        <w:ind w:firstLine="720"/>
        <w:jc w:val="both"/>
        <w:rPr>
          <w:rFonts w:asciiTheme="majorBidi" w:hAnsiTheme="majorBidi" w:cstheme="majorBidi"/>
          <w:color w:val="632423" w:themeColor="accent2" w:themeShade="80"/>
        </w:rPr>
      </w:pPr>
      <w:r w:rsidRPr="007C6A42">
        <w:rPr>
          <w:rFonts w:asciiTheme="majorBidi" w:eastAsia="Times New Roman" w:hAnsiTheme="majorBidi" w:cstheme="majorBidi"/>
        </w:rPr>
        <w:lastRenderedPageBreak/>
        <w:t>Dans toutes les traductions, il existe des tendances déformantes. Elles contiennent beaucoup d’allongements, de clarifications, d’homogénéisations et de rationalisations. Malgré cela, les traductions évoluent, en général, vers plus de respect de la littéralité du texte arabe et tendent à la généralité et à l’abstraction.</w:t>
      </w:r>
    </w:p>
    <w:p w14:paraId="18347EF4" w14:textId="77777777" w:rsidR="00A70B78" w:rsidRPr="007C6A42" w:rsidRDefault="00A70B78" w:rsidP="00A70B78">
      <w:pPr>
        <w:spacing w:line="360" w:lineRule="auto"/>
        <w:ind w:firstLine="360"/>
        <w:jc w:val="both"/>
        <w:rPr>
          <w:rFonts w:asciiTheme="majorBidi" w:eastAsia="Times New Roman" w:hAnsiTheme="majorBidi" w:cstheme="majorBidi"/>
        </w:rPr>
      </w:pPr>
    </w:p>
    <w:p w14:paraId="30F7252B"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rPr>
        <w:t>La visée des traducteurs est de débroussailler, de désherber le texte-source pour le rendre accessible, lisible à un maximum de lecteurs. La simplification est une manipulation, une modification de la valeur polysémique. Et la large diffusion est un rétrécissement du message. Antoine Berman cite Pierre Guiraud : « Plus la diffusion s’étend, plus le contenu du message se rétrécit […] On dit tout à tout le monde, mais on le dit d’une manière si vague que le message se dissout dans le néant. »</w:t>
      </w:r>
      <w:r w:rsidRPr="007C6A42">
        <w:rPr>
          <w:rStyle w:val="Appelnotedebasdep"/>
          <w:rFonts w:asciiTheme="majorBidi" w:eastAsia="Times New Roman" w:hAnsiTheme="majorBidi" w:cstheme="majorBidi"/>
        </w:rPr>
        <w:footnoteReference w:id="603"/>
      </w:r>
      <w:r w:rsidRPr="007C6A42">
        <w:rPr>
          <w:rFonts w:asciiTheme="majorBidi" w:eastAsia="Times New Roman" w:hAnsiTheme="majorBidi" w:cstheme="majorBidi"/>
        </w:rPr>
        <w:t xml:space="preserve"> Berman affirme déjà que « l’œuvre ne transmet aucune espèce d’information, même si elle en contient ; elle ouvre à l’expérience du monde. […] un texte n’est jamais un message. »</w:t>
      </w:r>
      <w:r w:rsidRPr="007C6A42">
        <w:rPr>
          <w:rStyle w:val="Appelnotedebasdep"/>
          <w:rFonts w:asciiTheme="majorBidi" w:eastAsia="Times New Roman" w:hAnsiTheme="majorBidi" w:cstheme="majorBidi"/>
        </w:rPr>
        <w:t xml:space="preserve"> </w:t>
      </w:r>
      <w:r w:rsidRPr="007C6A42">
        <w:rPr>
          <w:rStyle w:val="Appelnotedebasdep"/>
          <w:rFonts w:asciiTheme="majorBidi" w:eastAsia="Times New Roman" w:hAnsiTheme="majorBidi" w:cstheme="majorBidi"/>
        </w:rPr>
        <w:footnoteReference w:id="604"/>
      </w:r>
      <w:r w:rsidRPr="007C6A42">
        <w:rPr>
          <w:rFonts w:asciiTheme="majorBidi" w:eastAsia="Times New Roman" w:hAnsiTheme="majorBidi" w:cstheme="majorBidi"/>
        </w:rPr>
        <w:t xml:space="preserve"> « Le traducteur qui traduit </w:t>
      </w:r>
      <w:r w:rsidRPr="007C6A42">
        <w:rPr>
          <w:rFonts w:asciiTheme="majorBidi" w:eastAsia="Times New Roman" w:hAnsiTheme="majorBidi" w:cstheme="majorBidi"/>
          <w:i/>
          <w:iCs/>
        </w:rPr>
        <w:t>pour</w:t>
      </w:r>
      <w:r w:rsidRPr="007C6A42">
        <w:rPr>
          <w:rFonts w:asciiTheme="majorBidi" w:eastAsia="Times New Roman" w:hAnsiTheme="majorBidi" w:cstheme="majorBidi"/>
        </w:rPr>
        <w:t xml:space="preserve"> le public, affirme Berman, est amené à trahir l’original, à lui préférer son public ».</w:t>
      </w:r>
      <w:r w:rsidRPr="007C6A42">
        <w:rPr>
          <w:rStyle w:val="Appelnotedebasdep"/>
          <w:rFonts w:asciiTheme="majorBidi" w:eastAsia="Times New Roman" w:hAnsiTheme="majorBidi" w:cstheme="majorBidi"/>
        </w:rPr>
        <w:footnoteReference w:id="605"/>
      </w:r>
    </w:p>
    <w:p w14:paraId="1459A3E3" w14:textId="77777777" w:rsidR="00A70B78" w:rsidRPr="007C6A42" w:rsidRDefault="00A70B78" w:rsidP="00A70B78">
      <w:pPr>
        <w:spacing w:line="360" w:lineRule="auto"/>
        <w:jc w:val="both"/>
        <w:rPr>
          <w:rFonts w:asciiTheme="majorBidi" w:eastAsia="Times New Roman" w:hAnsiTheme="majorBidi" w:cstheme="majorBidi"/>
        </w:rPr>
      </w:pPr>
    </w:p>
    <w:p w14:paraId="4DF0F6F5"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rPr>
        <w:t xml:space="preserve">Les traductions ont également négligé ou changé l’aspect musical et psalmodique du texte, aspect qui constitue l’essence du Coran. En effet, le Coran a été conçu pour être psalmodié, alors que les traductions ont été conçues pour une lecture silencieuse. D’ailleurs, les théologiens musulmans considèrent les traductions comme une sorte de </w:t>
      </w:r>
      <w:r w:rsidRPr="007C6A42">
        <w:rPr>
          <w:rFonts w:asciiTheme="majorBidi" w:eastAsia="Times New Roman" w:hAnsiTheme="majorBidi" w:cstheme="majorBidi"/>
          <w:i/>
          <w:iCs/>
        </w:rPr>
        <w:t>tafsīr</w:t>
      </w:r>
      <w:r w:rsidRPr="007C6A42">
        <w:rPr>
          <w:rFonts w:asciiTheme="majorBidi" w:eastAsia="Times New Roman" w:hAnsiTheme="majorBidi" w:cstheme="majorBidi"/>
        </w:rPr>
        <w:t xml:space="preserve">. Le changement radical de la forme doit aboutir au changement du fond. Cependant, Ahmed Guessous a essayé de refléter une partie de cet aspect musical en proposant une traduction rimée. Le théologien tunisien cheikh </w:t>
      </w:r>
      <w:r w:rsidRPr="007C6A42">
        <w:rPr>
          <w:rFonts w:asciiTheme="majorBidi" w:hAnsiTheme="majorBidi" w:cstheme="majorBidi"/>
        </w:rPr>
        <w:t>Maḥmūd</w:t>
      </w:r>
      <w:r w:rsidRPr="007C6A42">
        <w:rPr>
          <w:rFonts w:asciiTheme="majorBidi" w:eastAsia="Times New Roman" w:hAnsiTheme="majorBidi" w:cstheme="majorBidi"/>
        </w:rPr>
        <w:t xml:space="preserve"> </w:t>
      </w:r>
      <w:r w:rsidRPr="007C6A42">
        <w:rPr>
          <w:rFonts w:asciiTheme="majorBidi" w:hAnsiTheme="majorBidi" w:cstheme="majorBidi"/>
        </w:rPr>
        <w:t>ash-Shab</w:t>
      </w:r>
      <w:r w:rsidRPr="007C6A42">
        <w:rPr>
          <w:rFonts w:asciiTheme="majorBidi" w:eastAsia="Times New Roman" w:hAnsiTheme="majorBidi" w:cstheme="majorBidi"/>
        </w:rPr>
        <w:t>ʿ</w:t>
      </w:r>
      <w:r w:rsidRPr="007C6A42">
        <w:rPr>
          <w:rFonts w:asciiTheme="majorBidi" w:hAnsiTheme="majorBidi" w:cstheme="majorBidi"/>
        </w:rPr>
        <w:t xml:space="preserve">ān (1928-1983), </w:t>
      </w:r>
      <w:r w:rsidRPr="007C6A42">
        <w:rPr>
          <w:rFonts w:asciiTheme="majorBidi" w:eastAsia="Times New Roman" w:hAnsiTheme="majorBidi" w:cstheme="majorBidi"/>
        </w:rPr>
        <w:t xml:space="preserve">a déjà souligné en 1984 la perte, dans les traductions françaises du Coran, de la musicalité, du rythme, du </w:t>
      </w:r>
      <w:r w:rsidRPr="007C6A42">
        <w:rPr>
          <w:rFonts w:asciiTheme="majorBidi" w:eastAsia="Times New Roman" w:hAnsiTheme="majorBidi" w:cstheme="majorBidi"/>
          <w:i/>
          <w:iCs/>
        </w:rPr>
        <w:t xml:space="preserve">naẓm </w:t>
      </w:r>
      <w:r w:rsidRPr="007C6A42">
        <w:rPr>
          <w:rFonts w:asciiTheme="majorBidi" w:eastAsia="Times New Roman" w:hAnsiTheme="majorBidi" w:cstheme="majorBidi"/>
        </w:rPr>
        <w:t>(composition), des figures de style, de la ponctuation, etc.</w:t>
      </w:r>
      <w:r w:rsidRPr="007C6A42">
        <w:rPr>
          <w:rFonts w:asciiTheme="majorBidi" w:hAnsiTheme="majorBidi" w:cstheme="majorBidi"/>
          <w:vertAlign w:val="superscript"/>
          <w:lang w:bidi="ar-AE"/>
        </w:rPr>
        <w:footnoteReference w:id="606"/>
      </w:r>
      <w:r w:rsidRPr="007C6A42">
        <w:rPr>
          <w:rFonts w:asciiTheme="majorBidi" w:eastAsia="Times New Roman" w:hAnsiTheme="majorBidi" w:cstheme="majorBidi"/>
        </w:rPr>
        <w:t xml:space="preserve">, ce qui l’a amené à préconiser de traduire l’exégèse seulement. Dans son ouvrage </w:t>
      </w:r>
      <w:r w:rsidRPr="007C6A42">
        <w:rPr>
          <w:rFonts w:asciiTheme="majorBidi" w:hAnsiTheme="majorBidi" w:cstheme="majorBidi"/>
          <w:i/>
          <w:iCs/>
        </w:rPr>
        <w:t>Ayna min l-qurʾān tarājim al-qurʾān</w:t>
      </w:r>
      <w:r w:rsidRPr="007C6A42">
        <w:rPr>
          <w:rFonts w:asciiTheme="majorBidi" w:eastAsia="Times New Roman" w:hAnsiTheme="majorBidi" w:cstheme="majorBidi"/>
        </w:rPr>
        <w:t xml:space="preserve">, </w:t>
      </w:r>
      <w:r w:rsidRPr="007C6A42">
        <w:rPr>
          <w:rFonts w:asciiTheme="majorBidi" w:hAnsiTheme="majorBidi" w:cstheme="majorBidi"/>
        </w:rPr>
        <w:t>ash-Shab</w:t>
      </w:r>
      <w:r w:rsidRPr="007C6A42">
        <w:rPr>
          <w:rFonts w:asciiTheme="majorBidi" w:eastAsia="Times New Roman" w:hAnsiTheme="majorBidi" w:cstheme="majorBidi"/>
        </w:rPr>
        <w:t>ʿ</w:t>
      </w:r>
      <w:r w:rsidRPr="007C6A42">
        <w:rPr>
          <w:rFonts w:asciiTheme="majorBidi" w:hAnsiTheme="majorBidi" w:cstheme="majorBidi"/>
        </w:rPr>
        <w:t xml:space="preserve">ān </w:t>
      </w:r>
      <w:r w:rsidRPr="007C6A42">
        <w:rPr>
          <w:rFonts w:asciiTheme="majorBidi" w:eastAsia="Times New Roman" w:hAnsiTheme="majorBidi" w:cstheme="majorBidi"/>
        </w:rPr>
        <w:t xml:space="preserve">compare six traductions françaises du Coran (celles de Masson, de Kazimirski, de Mazigh, de Hamidullah, de Blachère et de Grosjean) pour en conclure que la traduction de ce texte sacré est impossible. Pour évaluer la traduction du </w:t>
      </w:r>
      <w:r w:rsidRPr="007C6A42">
        <w:rPr>
          <w:rFonts w:asciiTheme="majorBidi" w:eastAsia="Times New Roman" w:hAnsiTheme="majorBidi" w:cstheme="majorBidi"/>
        </w:rPr>
        <w:lastRenderedPageBreak/>
        <w:t>Coran produite par un orientaliste, il retraduit en langue arabe la traduction française, aboutissant naturellement à un résultat qui n’est pas conforme à l’original arabe.</w:t>
      </w:r>
      <w:r w:rsidRPr="007C6A42">
        <w:rPr>
          <w:rFonts w:asciiTheme="majorBidi" w:eastAsia="Times New Roman" w:hAnsiTheme="majorBidi" w:cstheme="majorBidi"/>
          <w:vertAlign w:val="superscript"/>
        </w:rPr>
        <w:footnoteReference w:id="607"/>
      </w:r>
      <w:r w:rsidRPr="007C6A42">
        <w:rPr>
          <w:rFonts w:asciiTheme="majorBidi" w:eastAsia="Times New Roman" w:hAnsiTheme="majorBidi" w:cstheme="majorBidi"/>
        </w:rPr>
        <w:t xml:space="preserve"> </w:t>
      </w:r>
    </w:p>
    <w:p w14:paraId="303EF763" w14:textId="77777777" w:rsidR="00A70B78" w:rsidRPr="007C6A42" w:rsidRDefault="00A70B78" w:rsidP="00A70B78">
      <w:pPr>
        <w:spacing w:line="360" w:lineRule="auto"/>
        <w:jc w:val="both"/>
        <w:rPr>
          <w:rFonts w:asciiTheme="majorBidi" w:eastAsia="Times New Roman" w:hAnsiTheme="majorBidi" w:cstheme="majorBidi"/>
        </w:rPr>
      </w:pPr>
    </w:p>
    <w:p w14:paraId="7AA55765" w14:textId="77777777" w:rsidR="00A70B78" w:rsidRPr="007C6A42" w:rsidRDefault="00A70B78" w:rsidP="00A70B78">
      <w:pPr>
        <w:spacing w:line="360" w:lineRule="auto"/>
        <w:ind w:firstLine="720"/>
        <w:jc w:val="both"/>
        <w:rPr>
          <w:rFonts w:asciiTheme="majorBidi" w:hAnsiTheme="majorBidi" w:cstheme="majorBidi"/>
        </w:rPr>
      </w:pPr>
      <w:r w:rsidRPr="007C6A42">
        <w:rPr>
          <w:rFonts w:asciiTheme="majorBidi" w:eastAsia="Times New Roman" w:hAnsiTheme="majorBidi" w:cstheme="majorBidi"/>
        </w:rPr>
        <w:t xml:space="preserve">En plus de la modification de l’aspect musical qui semble inévitable, l’une des plus importantes modifications que les traducteurs apportent à la polysémie du texte source est la modification de la ponctuation et de l’agencement des mots dans le texte de départ, comme nous l’avons vu dans le chapitre qui aborde la polysémie des énoncés dans les traductions, et ce dans un objectif de rationaliser et de clarifier la traduction. L’on sait bien que l’ordre des mots dans la phrase, la musicalité, </w:t>
      </w:r>
      <w:r w:rsidRPr="007C6A42">
        <w:rPr>
          <w:rFonts w:asciiTheme="majorBidi" w:hAnsiTheme="majorBidi" w:cstheme="majorBidi"/>
        </w:rPr>
        <w:t xml:space="preserve">le </w:t>
      </w:r>
      <w:r w:rsidRPr="007C6A42">
        <w:rPr>
          <w:rFonts w:asciiTheme="majorBidi" w:hAnsiTheme="majorBidi" w:cstheme="majorBidi"/>
          <w:i/>
          <w:iCs/>
        </w:rPr>
        <w:t>na</w:t>
      </w:r>
      <w:r w:rsidRPr="007C6A42">
        <w:rPr>
          <w:rFonts w:asciiTheme="majorBidi" w:eastAsia="Times New Roman" w:hAnsiTheme="majorBidi" w:cstheme="majorBidi"/>
          <w:i/>
          <w:iCs/>
        </w:rPr>
        <w:t>ẓ</w:t>
      </w:r>
      <w:r w:rsidRPr="007C6A42">
        <w:rPr>
          <w:rFonts w:asciiTheme="majorBidi" w:hAnsiTheme="majorBidi" w:cstheme="majorBidi"/>
          <w:i/>
          <w:iCs/>
        </w:rPr>
        <w:t>m</w:t>
      </w:r>
      <w:r w:rsidRPr="007C6A42">
        <w:rPr>
          <w:rFonts w:asciiTheme="majorBidi" w:hAnsiTheme="majorBidi" w:cstheme="majorBidi"/>
        </w:rPr>
        <w:t xml:space="preserve"> (la composition), le style, la </w:t>
      </w:r>
      <w:r w:rsidRPr="007C6A42">
        <w:rPr>
          <w:rFonts w:asciiTheme="majorBidi" w:hAnsiTheme="majorBidi" w:cstheme="majorBidi"/>
          <w:i/>
          <w:iCs/>
        </w:rPr>
        <w:t>jazāla</w:t>
      </w:r>
      <w:r w:rsidRPr="007C6A42">
        <w:rPr>
          <w:rFonts w:asciiTheme="majorBidi" w:hAnsiTheme="majorBidi" w:cstheme="majorBidi"/>
        </w:rPr>
        <w:t xml:space="preserve"> (l’éloquence), le </w:t>
      </w:r>
      <w:r w:rsidRPr="007C6A42">
        <w:rPr>
          <w:rFonts w:asciiTheme="majorBidi" w:hAnsiTheme="majorBidi" w:cstheme="majorBidi"/>
          <w:i/>
          <w:iCs/>
        </w:rPr>
        <w:t>taṣarruf</w:t>
      </w:r>
      <w:r w:rsidRPr="007C6A42">
        <w:rPr>
          <w:rFonts w:asciiTheme="majorBidi" w:hAnsiTheme="majorBidi" w:cstheme="majorBidi"/>
        </w:rPr>
        <w:t xml:space="preserve"> (la disposition des mots ou l’arrangement des parties dont un discours est</w:t>
      </w:r>
      <w:r w:rsidRPr="007C6A42">
        <w:rPr>
          <w:rFonts w:asciiTheme="majorBidi" w:hAnsiTheme="majorBidi" w:cstheme="majorBidi"/>
          <w:color w:val="C00000"/>
        </w:rPr>
        <w:t xml:space="preserve"> </w:t>
      </w:r>
      <w:r w:rsidRPr="007C6A42">
        <w:rPr>
          <w:rFonts w:asciiTheme="majorBidi" w:hAnsiTheme="majorBidi" w:cstheme="majorBidi"/>
        </w:rPr>
        <w:t>composé)</w:t>
      </w:r>
      <w:r w:rsidRPr="007C6A42">
        <w:rPr>
          <w:rFonts w:asciiTheme="majorBidi" w:eastAsia="Times New Roman" w:hAnsiTheme="majorBidi" w:cstheme="majorBidi"/>
        </w:rPr>
        <w:t xml:space="preserve"> font partie de l’inimitabilité du Coran.</w:t>
      </w:r>
      <w:r w:rsidRPr="007C6A42">
        <w:rPr>
          <w:rStyle w:val="Appelnotedebasdep"/>
          <w:rFonts w:asciiTheme="majorBidi" w:eastAsia="Times New Roman" w:hAnsiTheme="majorBidi" w:cstheme="majorBidi"/>
        </w:rPr>
        <w:footnoteReference w:id="608"/>
      </w:r>
      <w:r w:rsidRPr="007C6A42">
        <w:rPr>
          <w:rFonts w:asciiTheme="majorBidi" w:eastAsia="Times New Roman" w:hAnsiTheme="majorBidi" w:cstheme="majorBidi"/>
        </w:rPr>
        <w:t xml:space="preserve"> Tout cela se perd à la traduction. C’est la raison pour laquelle les théologiens musulmans soulignent l’intraduisibilité du Coran. Car </w:t>
      </w:r>
      <w:r w:rsidRPr="007C6A42">
        <w:rPr>
          <w:rFonts w:asciiTheme="majorBidi" w:hAnsiTheme="majorBidi" w:cstheme="majorBidi"/>
        </w:rPr>
        <w:t xml:space="preserve">comme le </w:t>
      </w:r>
      <w:r w:rsidRPr="007C6A42">
        <w:rPr>
          <w:rFonts w:asciiTheme="majorBidi" w:eastAsia="Times New Roman" w:hAnsiTheme="majorBidi" w:cstheme="majorBidi"/>
        </w:rPr>
        <w:t>souligne Richard Jacquemond, « [d]</w:t>
      </w:r>
      <w:r w:rsidRPr="007C6A42">
        <w:rPr>
          <w:rFonts w:asciiTheme="majorBidi" w:hAnsiTheme="majorBidi" w:cstheme="majorBidi"/>
        </w:rPr>
        <w:t xml:space="preserve">e l’inimitabilité découle logiquement l’intraduisibilité », </w:t>
      </w:r>
      <w:r w:rsidRPr="007C6A42">
        <w:rPr>
          <w:rFonts w:asciiTheme="majorBidi" w:eastAsia="Times New Roman" w:hAnsiTheme="majorBidi" w:cstheme="majorBidi"/>
        </w:rPr>
        <w:t>à juste titre</w:t>
      </w:r>
      <w:r w:rsidRPr="007C6A42">
        <w:rPr>
          <w:rFonts w:asciiTheme="majorBidi" w:hAnsiTheme="majorBidi" w:cstheme="majorBidi"/>
        </w:rPr>
        <w:t>. [C’est pourquoi] les traductions du Coran sont souvent présentées comme des "interprétations" ou des "essais d’interprétation" du Coran ou des "sens du Coran" ».</w:t>
      </w:r>
      <w:r w:rsidRPr="007C6A42">
        <w:rPr>
          <w:rStyle w:val="Appelnotedebasdep"/>
          <w:rFonts w:asciiTheme="majorBidi" w:hAnsiTheme="majorBidi" w:cstheme="majorBidi"/>
        </w:rPr>
        <w:footnoteReference w:id="609"/>
      </w:r>
      <w:r w:rsidRPr="007C6A42">
        <w:rPr>
          <w:rFonts w:asciiTheme="majorBidi" w:eastAsia="Times New Roman" w:hAnsiTheme="majorBidi" w:cstheme="majorBidi"/>
        </w:rPr>
        <w:t xml:space="preserve"> ʿ</w:t>
      </w:r>
      <w:r w:rsidRPr="007C6A42">
        <w:rPr>
          <w:rFonts w:asciiTheme="majorBidi" w:hAnsiTheme="majorBidi" w:cstheme="majorBidi"/>
        </w:rPr>
        <w:t xml:space="preserve">Uthmān </w:t>
      </w:r>
      <w:r w:rsidRPr="007C6A42">
        <w:rPr>
          <w:rFonts w:asciiTheme="majorBidi" w:eastAsia="Times New Roman" w:hAnsiTheme="majorBidi" w:cstheme="majorBidi"/>
        </w:rPr>
        <w:t>ʿ</w:t>
      </w:r>
      <w:r w:rsidRPr="007C6A42">
        <w:rPr>
          <w:rFonts w:asciiTheme="majorBidi" w:hAnsiTheme="majorBidi" w:cstheme="majorBidi"/>
        </w:rPr>
        <w:t>Abd al-Qādir a</w:t>
      </w:r>
      <w:r w:rsidRPr="007C6A42">
        <w:rPr>
          <w:rFonts w:asciiTheme="majorBidi" w:eastAsia="Times New Roman" w:hAnsiTheme="majorBidi" w:cstheme="majorBidi"/>
        </w:rPr>
        <w:t>ṣ</w:t>
      </w:r>
      <w:r w:rsidRPr="007C6A42">
        <w:rPr>
          <w:rFonts w:asciiTheme="majorBidi" w:hAnsiTheme="majorBidi" w:cstheme="majorBidi"/>
        </w:rPr>
        <w:t>-</w:t>
      </w:r>
      <w:r w:rsidRPr="007C6A42">
        <w:rPr>
          <w:rFonts w:asciiTheme="majorBidi" w:eastAsia="Times New Roman" w:hAnsiTheme="majorBidi" w:cstheme="majorBidi"/>
        </w:rPr>
        <w:t>Ṣ</w:t>
      </w:r>
      <w:r w:rsidRPr="007C6A42">
        <w:rPr>
          <w:rFonts w:asciiTheme="majorBidi" w:hAnsiTheme="majorBidi" w:cstheme="majorBidi"/>
        </w:rPr>
        <w:t xml:space="preserve">āfī </w:t>
      </w:r>
      <w:r w:rsidRPr="007C6A42">
        <w:rPr>
          <w:rFonts w:asciiTheme="majorBidi" w:hAnsiTheme="majorBidi" w:cstheme="majorBidi"/>
          <w:lang w:bidi="ar-AE"/>
        </w:rPr>
        <w:t>insiste sur l’impossibilité de traduire la beauté et la saveur du Coran, car l’esthétique du texte coranique réside aussi bien dans la forme arabe sacrée que dans le fond.</w:t>
      </w:r>
      <w:r w:rsidRPr="007C6A42">
        <w:rPr>
          <w:rFonts w:asciiTheme="majorBidi" w:eastAsia="Calibri" w:hAnsiTheme="majorBidi" w:cstheme="majorBidi"/>
          <w:vertAlign w:val="superscript"/>
          <w:lang w:bidi="ar-AE"/>
        </w:rPr>
        <w:footnoteReference w:id="610"/>
      </w:r>
      <w:r w:rsidRPr="007C6A42">
        <w:rPr>
          <w:rFonts w:asciiTheme="majorBidi" w:eastAsia="Times New Roman" w:hAnsiTheme="majorBidi" w:cstheme="majorBidi"/>
        </w:rPr>
        <w:t xml:space="preserve"> </w:t>
      </w:r>
      <w:r w:rsidRPr="007C6A42">
        <w:rPr>
          <w:rFonts w:asciiTheme="majorBidi" w:hAnsiTheme="majorBidi" w:cstheme="majorBidi"/>
        </w:rPr>
        <w:t xml:space="preserve">De même, Leila Abd ar-Razzāq </w:t>
      </w:r>
      <w:r w:rsidRPr="007C6A42">
        <w:rPr>
          <w:rFonts w:asciiTheme="majorBidi" w:eastAsia="Times New Roman" w:hAnsiTheme="majorBidi" w:cstheme="majorBidi"/>
        </w:rPr>
        <w:t>ʿ</w:t>
      </w:r>
      <w:r w:rsidRPr="007C6A42">
        <w:rPr>
          <w:rFonts w:asciiTheme="majorBidi" w:hAnsiTheme="majorBidi" w:cstheme="majorBidi"/>
        </w:rPr>
        <w:t>Uthmān, professeur d’anglais à al-Azhar, considère que la forme du Coran fait partie intégrante du sa signification. Ce qui implique que toute traduction n’est qu’une sorte d’exégèse.</w:t>
      </w:r>
      <w:r w:rsidRPr="007C6A42">
        <w:rPr>
          <w:rFonts w:asciiTheme="majorBidi" w:eastAsia="Calibri" w:hAnsiTheme="majorBidi" w:cstheme="majorBidi"/>
          <w:vertAlign w:val="superscript"/>
          <w:lang w:bidi="ar-AE"/>
        </w:rPr>
        <w:footnoteReference w:id="611"/>
      </w:r>
      <w:r w:rsidRPr="007C6A42">
        <w:rPr>
          <w:rFonts w:asciiTheme="majorBidi" w:hAnsiTheme="majorBidi" w:cstheme="majorBidi"/>
        </w:rPr>
        <w:t xml:space="preserve"> La communication des deux traducteurs libanais Henri Awaiss et Gina Abou Fadel </w:t>
      </w:r>
      <w:r w:rsidRPr="007C6A42">
        <w:rPr>
          <w:rFonts w:asciiTheme="majorBidi" w:hAnsiTheme="majorBidi" w:cstheme="majorBidi"/>
        </w:rPr>
        <w:lastRenderedPageBreak/>
        <w:t>Saad (de l’Université Saint-Joseph, Beyrouth)</w:t>
      </w:r>
      <w:r w:rsidRPr="007C6A42">
        <w:rPr>
          <w:rFonts w:asciiTheme="majorBidi" w:hAnsiTheme="majorBidi" w:cstheme="majorBidi"/>
          <w:vertAlign w:val="superscript"/>
          <w:lang w:bidi="ar-AE"/>
        </w:rPr>
        <w:footnoteReference w:id="612"/>
      </w:r>
      <w:r w:rsidRPr="007C6A42">
        <w:rPr>
          <w:rFonts w:asciiTheme="majorBidi" w:hAnsiTheme="majorBidi" w:cstheme="majorBidi"/>
        </w:rPr>
        <w:t xml:space="preserve"> soulignent également une problématique majeure dans la traduction des textes sacrés, c’est le fait que la forme fait partie du sens.</w:t>
      </w:r>
    </w:p>
    <w:p w14:paraId="3416B401" w14:textId="77777777" w:rsidR="00A70B78" w:rsidRPr="007C6A42" w:rsidRDefault="00A70B78" w:rsidP="00A70B78">
      <w:pPr>
        <w:spacing w:line="360" w:lineRule="auto"/>
        <w:ind w:firstLine="720"/>
        <w:jc w:val="both"/>
        <w:rPr>
          <w:rFonts w:asciiTheme="majorBidi" w:eastAsia="SimSun" w:hAnsiTheme="majorBidi" w:cstheme="majorBidi"/>
          <w:lang w:eastAsia="zh-CN"/>
        </w:rPr>
      </w:pPr>
      <w:r w:rsidRPr="007C6A42">
        <w:rPr>
          <w:rFonts w:asciiTheme="majorBidi" w:hAnsiTheme="majorBidi" w:cstheme="majorBidi"/>
        </w:rPr>
        <w:t xml:space="preserve">À propos de la modification de l’agencement des mots et des parties de la phrase ainsi que de la modification de la ponctuation par la traduction, Mahmoud Azab, en révisant la traduction de Jacques Berque, à la demande de l’ancien imam d’Al-Azhar Cheikh Jād al-Ḥaqq ʿAlī Jād al-Ḥaqq, </w:t>
      </w:r>
      <w:r w:rsidRPr="007C6A42">
        <w:rPr>
          <w:rFonts w:asciiTheme="majorBidi" w:eastAsia="SimSun" w:hAnsiTheme="majorBidi" w:cstheme="majorBidi"/>
          <w:lang w:eastAsia="zh-CN"/>
        </w:rPr>
        <w:t>souligne deux défauts graves aussi bien dans les traductions du Coran en hébreu que dans les versions françaises :</w:t>
      </w:r>
      <w:r w:rsidRPr="007C6A42">
        <w:rPr>
          <w:rFonts w:asciiTheme="majorBidi" w:hAnsiTheme="majorBidi" w:cstheme="majorBidi"/>
        </w:rPr>
        <w:t xml:space="preserve"> </w:t>
      </w:r>
      <w:r w:rsidRPr="007C6A42">
        <w:rPr>
          <w:rFonts w:asciiTheme="majorBidi" w:eastAsia="SimSun" w:hAnsiTheme="majorBidi" w:cstheme="majorBidi"/>
          <w:lang w:eastAsia="zh-CN"/>
        </w:rPr>
        <w:t xml:space="preserve">le premier est la division des versets longs en plusieurs parties ou versets ; </w:t>
      </w:r>
      <w:r w:rsidRPr="007C6A42">
        <w:rPr>
          <w:rFonts w:asciiTheme="majorBidi" w:hAnsiTheme="majorBidi" w:cstheme="majorBidi"/>
        </w:rPr>
        <w:t>et l</w:t>
      </w:r>
      <w:r w:rsidRPr="007C6A42">
        <w:rPr>
          <w:rFonts w:asciiTheme="majorBidi" w:eastAsia="SimSun" w:hAnsiTheme="majorBidi" w:cstheme="majorBidi"/>
          <w:lang w:eastAsia="zh-CN"/>
        </w:rPr>
        <w:t>e second est la fusion des versets courts en un seul verset.</w:t>
      </w:r>
      <w:r w:rsidRPr="007C6A42">
        <w:rPr>
          <w:rFonts w:asciiTheme="majorBidi" w:eastAsia="Calibri" w:hAnsiTheme="majorBidi" w:cstheme="majorBidi"/>
          <w:vertAlign w:val="superscript"/>
          <w:lang w:bidi="ar-AE"/>
        </w:rPr>
        <w:footnoteReference w:id="613"/>
      </w:r>
      <w:r w:rsidRPr="007C6A42">
        <w:rPr>
          <w:rFonts w:asciiTheme="majorBidi" w:eastAsia="SimSun" w:hAnsiTheme="majorBidi" w:cstheme="majorBidi"/>
          <w:lang w:eastAsia="zh-CN"/>
        </w:rPr>
        <w:t xml:space="preserve"> En soulignant l’intégrité scientifiques des orientalistes, Azab critique ces derniers d’avoir négligé la dimension religieuse du Coran et le regard du croyant vis-à-vis de son Livre en se contentant d’étudier la dimension archéologique, historique et philologique.</w:t>
      </w:r>
      <w:r w:rsidRPr="007C6A42">
        <w:rPr>
          <w:rFonts w:asciiTheme="majorBidi" w:hAnsiTheme="majorBidi" w:cstheme="majorBidi"/>
        </w:rPr>
        <w:t xml:space="preserve"> </w:t>
      </w:r>
      <w:r w:rsidRPr="007C6A42">
        <w:rPr>
          <w:rFonts w:asciiTheme="majorBidi" w:eastAsia="SimSun" w:hAnsiTheme="majorBidi" w:cstheme="majorBidi"/>
          <w:lang w:eastAsia="zh-CN"/>
        </w:rPr>
        <w:t>Azab discerne deux problèmes que le traducteur du Coran rencontre : 1) problème linguistique et culturel : les traducteurs non arabes ont des lacunes dans la compréhension du texte coranique ; 2) l’influence de l’arrière-plan religieux et culturel du traducteur sur la traduction.</w:t>
      </w:r>
      <w:r w:rsidRPr="007C6A42">
        <w:rPr>
          <w:rFonts w:asciiTheme="majorBidi" w:eastAsia="Calibri" w:hAnsiTheme="majorBidi" w:cstheme="majorBidi"/>
          <w:vertAlign w:val="superscript"/>
          <w:lang w:bidi="ar-AE"/>
        </w:rPr>
        <w:footnoteReference w:id="614"/>
      </w:r>
    </w:p>
    <w:p w14:paraId="66045D02" w14:textId="77777777" w:rsidR="00A70B78" w:rsidRPr="007C6A42" w:rsidRDefault="00A70B78" w:rsidP="00A70B78">
      <w:pPr>
        <w:spacing w:line="360" w:lineRule="auto"/>
        <w:ind w:firstLine="720"/>
        <w:jc w:val="both"/>
        <w:rPr>
          <w:rFonts w:asciiTheme="majorBidi" w:eastAsia="SimSun" w:hAnsiTheme="majorBidi" w:cstheme="majorBidi"/>
          <w:lang w:eastAsia="zh-CN"/>
        </w:rPr>
      </w:pPr>
    </w:p>
    <w:p w14:paraId="5070FCFA" w14:textId="77777777" w:rsidR="00A70B78" w:rsidRPr="007C6A42" w:rsidRDefault="00A70B78" w:rsidP="00A70B78">
      <w:pPr>
        <w:spacing w:line="360" w:lineRule="auto"/>
        <w:ind w:firstLine="720"/>
        <w:jc w:val="both"/>
        <w:rPr>
          <w:rFonts w:asciiTheme="majorBidi" w:eastAsia="SimSun" w:hAnsiTheme="majorBidi" w:cstheme="majorBidi"/>
          <w:lang w:eastAsia="zh-CN"/>
        </w:rPr>
      </w:pPr>
      <w:r w:rsidRPr="007C6A42">
        <w:rPr>
          <w:rFonts w:asciiTheme="majorBidi" w:eastAsia="SimSun" w:hAnsiTheme="majorBidi" w:cstheme="majorBidi"/>
          <w:lang w:eastAsia="zh-CN"/>
        </w:rPr>
        <w:t>Azab définit deux dangers devant le traducteur du Coran : 1) le manque de la connaissance des contextes coraniques et de l’interprétation des versets équivoques ; 2) et l’influence des convictions idéologiques et culturelles.</w:t>
      </w:r>
      <w:r w:rsidRPr="007C6A42">
        <w:rPr>
          <w:rFonts w:asciiTheme="majorBidi" w:eastAsia="Calibri" w:hAnsiTheme="majorBidi" w:cstheme="majorBidi"/>
          <w:vertAlign w:val="superscript"/>
          <w:lang w:bidi="ar-AE"/>
        </w:rPr>
        <w:footnoteReference w:id="615"/>
      </w:r>
      <w:r w:rsidRPr="007C6A42">
        <w:rPr>
          <w:rFonts w:asciiTheme="majorBidi" w:eastAsia="SimSun" w:hAnsiTheme="majorBidi" w:cstheme="majorBidi"/>
          <w:lang w:eastAsia="zh-CN"/>
        </w:rPr>
        <w:t xml:space="preserve"> En confrontant la traduction de Berque avec celle de Hamidullah et de Masson, Azab distingue cinq types d’erreurs chez Berque : 1) omission des mots, des syntagmes, voire des phrases ; 2) erreurs liées à des concepts propres à l’islam ; 3) erreurs dues à la mauvaise compréhension d’un terme ou d’un contexte ; 4) erreurs liées aux pronoms clitiques et pronoms sous-entendus ; 5) erreurs liées aux problématiques relatives aux différences des exégèses coraniques (erreurs dues à la polysémie du Coran).</w:t>
      </w:r>
      <w:r w:rsidRPr="007C6A42">
        <w:rPr>
          <w:rFonts w:asciiTheme="majorBidi" w:eastAsia="Calibri" w:hAnsiTheme="majorBidi" w:cstheme="majorBidi"/>
          <w:vertAlign w:val="superscript"/>
          <w:lang w:bidi="ar-AE"/>
        </w:rPr>
        <w:footnoteReference w:id="616"/>
      </w:r>
    </w:p>
    <w:p w14:paraId="19A5E833" w14:textId="77777777" w:rsidR="00A70B78" w:rsidRPr="007C6A42" w:rsidRDefault="00A70B78" w:rsidP="00A70B78">
      <w:pPr>
        <w:spacing w:line="360" w:lineRule="auto"/>
        <w:ind w:firstLine="720"/>
        <w:jc w:val="both"/>
        <w:rPr>
          <w:rFonts w:asciiTheme="majorBidi" w:eastAsia="SimSun" w:hAnsiTheme="majorBidi" w:cstheme="majorBidi"/>
          <w:lang w:eastAsia="zh-CN"/>
        </w:rPr>
      </w:pPr>
    </w:p>
    <w:p w14:paraId="0CC9BD27" w14:textId="77777777" w:rsidR="00A70B78" w:rsidRPr="007C6A42" w:rsidRDefault="00A70B78" w:rsidP="00A70B78">
      <w:pPr>
        <w:spacing w:line="360" w:lineRule="auto"/>
        <w:ind w:firstLine="720"/>
        <w:jc w:val="both"/>
        <w:rPr>
          <w:rFonts w:asciiTheme="majorBidi" w:eastAsia="Times New Roman" w:hAnsiTheme="majorBidi" w:cstheme="majorBidi"/>
        </w:rPr>
      </w:pPr>
      <w:r w:rsidRPr="007C6A42">
        <w:rPr>
          <w:rFonts w:asciiTheme="majorBidi" w:eastAsia="Times New Roman" w:hAnsiTheme="majorBidi" w:cstheme="majorBidi"/>
        </w:rPr>
        <w:lastRenderedPageBreak/>
        <w:t>Azab admet enfin que la polysémie « infinie »</w:t>
      </w:r>
      <w:r w:rsidRPr="007C6A42">
        <w:rPr>
          <w:rStyle w:val="Appelnotedebasdep"/>
          <w:rFonts w:asciiTheme="majorBidi" w:eastAsia="Times New Roman" w:hAnsiTheme="majorBidi" w:cstheme="majorBidi"/>
        </w:rPr>
        <w:footnoteReference w:id="617"/>
      </w:r>
      <w:r w:rsidRPr="007C6A42">
        <w:rPr>
          <w:rFonts w:asciiTheme="majorBidi" w:eastAsia="Times New Roman" w:hAnsiTheme="majorBidi" w:cstheme="majorBidi"/>
        </w:rPr>
        <w:t xml:space="preserve"> qui est l’un des caractéristiques du texte coranique (caractéristique qui est déjà reconnu par les grammairiens, les linguistes, les rhéteurs et les exégètes) constitue une vraie problématique de traduction et que la nature du vocabulaire sémitique, et en particulier l’arabe, oblige aussi bien l’exégète que le traducteur à réfléchir mille fois avant d’opter pour un terme au lieu d’un autre.</w:t>
      </w:r>
      <w:r w:rsidRPr="007C6A42">
        <w:rPr>
          <w:rFonts w:asciiTheme="majorBidi" w:eastAsia="Calibri" w:hAnsiTheme="majorBidi" w:cstheme="majorBidi"/>
          <w:vertAlign w:val="superscript"/>
          <w:lang w:bidi="ar-AE"/>
        </w:rPr>
        <w:footnoteReference w:id="618"/>
      </w:r>
    </w:p>
    <w:p w14:paraId="326A45BA" w14:textId="77777777" w:rsidR="00A70B78" w:rsidRPr="007C6A42" w:rsidRDefault="00A70B78" w:rsidP="00A70B78">
      <w:pPr>
        <w:spacing w:line="360" w:lineRule="auto"/>
        <w:ind w:firstLine="720"/>
        <w:jc w:val="both"/>
        <w:rPr>
          <w:rFonts w:asciiTheme="majorBidi" w:eastAsia="Times New Roman" w:hAnsiTheme="majorBidi" w:cstheme="majorBidi"/>
          <w:rtl/>
        </w:rPr>
      </w:pPr>
    </w:p>
    <w:p w14:paraId="3201D221" w14:textId="77777777" w:rsidR="00A70B78" w:rsidRPr="007C6A42" w:rsidRDefault="00A70B78" w:rsidP="00A70B78">
      <w:pPr>
        <w:shd w:val="clear" w:color="auto" w:fill="FFFFFF"/>
        <w:spacing w:line="360" w:lineRule="auto"/>
        <w:ind w:firstLine="708"/>
        <w:contextualSpacing/>
        <w:jc w:val="both"/>
        <w:rPr>
          <w:rFonts w:asciiTheme="majorBidi" w:eastAsia="Times New Roman" w:hAnsiTheme="majorBidi" w:cstheme="majorBidi"/>
          <w:lang w:eastAsia="it-IT"/>
        </w:rPr>
      </w:pPr>
      <w:r w:rsidRPr="007C6A42">
        <w:rPr>
          <w:rFonts w:asciiTheme="majorBidi" w:eastAsia="Times New Roman" w:hAnsiTheme="majorBidi" w:cstheme="majorBidi"/>
          <w:lang w:eastAsia="it-IT"/>
        </w:rPr>
        <w:t>Enfin, nous pourrions dire que la polysémie localisée dans le texte arabe est disséminée dans toutes les traductions, c’est-à-dire elle est répartie, se propage sur toutes les traductions, chacune d’elles reflétant une partie de cette polysémie, mais ne restituant pas, en tout cas, toute la dimension polysémique du texte arabe.</w:t>
      </w:r>
    </w:p>
    <w:p w14:paraId="0AE70280" w14:textId="77777777" w:rsidR="00A70B78" w:rsidRPr="007C6A42" w:rsidRDefault="00A70B78" w:rsidP="00A70B78">
      <w:pPr>
        <w:spacing w:line="360" w:lineRule="auto"/>
        <w:ind w:firstLine="708"/>
        <w:jc w:val="both"/>
        <w:rPr>
          <w:rFonts w:asciiTheme="majorBidi" w:hAnsiTheme="majorBidi" w:cstheme="majorBidi"/>
        </w:rPr>
      </w:pPr>
      <w:r w:rsidRPr="007C6A42">
        <w:rPr>
          <w:rFonts w:asciiTheme="majorBidi" w:hAnsiTheme="majorBidi" w:cstheme="majorBidi"/>
        </w:rPr>
        <w:br w:type="page"/>
      </w:r>
    </w:p>
    <w:p w14:paraId="5B57990D" w14:textId="77777777" w:rsidR="00A70B78" w:rsidRPr="00CE4FCD" w:rsidRDefault="00A70B78" w:rsidP="00A70B78">
      <w:pPr>
        <w:spacing w:line="360" w:lineRule="auto"/>
        <w:contextualSpacing/>
        <w:jc w:val="center"/>
        <w:rPr>
          <w:rFonts w:asciiTheme="majorBidi" w:eastAsia="Times New Roman" w:hAnsiTheme="majorBidi" w:cstheme="majorBidi"/>
          <w:b/>
          <w:bCs/>
          <w:sz w:val="20"/>
          <w:szCs w:val="20"/>
        </w:rPr>
      </w:pPr>
      <w:r w:rsidRPr="00CE4FCD">
        <w:rPr>
          <w:rFonts w:asciiTheme="majorBidi" w:eastAsia="Times New Roman" w:hAnsiTheme="majorBidi" w:cstheme="majorBidi"/>
          <w:b/>
          <w:bCs/>
          <w:sz w:val="20"/>
          <w:szCs w:val="20"/>
        </w:rPr>
        <w:lastRenderedPageBreak/>
        <w:t>Bibliographie</w:t>
      </w:r>
    </w:p>
    <w:p w14:paraId="4A977C89" w14:textId="77777777" w:rsidR="00A70B78" w:rsidRPr="00CE4FCD" w:rsidRDefault="00A70B78" w:rsidP="00A70B78">
      <w:pPr>
        <w:spacing w:line="360" w:lineRule="auto"/>
        <w:contextualSpacing/>
        <w:jc w:val="both"/>
        <w:rPr>
          <w:rFonts w:asciiTheme="majorBidi" w:eastAsia="Times New Roman" w:hAnsiTheme="majorBidi" w:cstheme="majorBidi"/>
          <w:sz w:val="20"/>
          <w:szCs w:val="20"/>
        </w:rPr>
      </w:pPr>
    </w:p>
    <w:p w14:paraId="3091746E" w14:textId="77777777" w:rsidR="00A70B78" w:rsidRPr="00CE4FCD" w:rsidRDefault="00A70B78" w:rsidP="00A70B78">
      <w:pPr>
        <w:spacing w:line="360" w:lineRule="auto"/>
        <w:contextualSpacing/>
        <w:jc w:val="both"/>
        <w:outlineLvl w:val="0"/>
        <w:rPr>
          <w:rFonts w:asciiTheme="majorBidi" w:eastAsia="Times New Roman" w:hAnsiTheme="majorBidi" w:cstheme="majorBidi"/>
          <w:b/>
          <w:bCs/>
          <w:sz w:val="20"/>
          <w:szCs w:val="20"/>
        </w:rPr>
      </w:pPr>
      <w:r w:rsidRPr="00CE4FCD">
        <w:rPr>
          <w:rFonts w:asciiTheme="majorBidi" w:eastAsia="Times New Roman" w:hAnsiTheme="majorBidi" w:cstheme="majorBidi"/>
          <w:b/>
          <w:bCs/>
          <w:sz w:val="20"/>
          <w:szCs w:val="20"/>
          <w:u w:val="single"/>
        </w:rPr>
        <w:t>Corpus des traductions françaises du Coran</w:t>
      </w:r>
      <w:r w:rsidRPr="00CE4FCD">
        <w:rPr>
          <w:rFonts w:asciiTheme="majorBidi" w:eastAsia="Times New Roman" w:hAnsiTheme="majorBidi" w:cstheme="majorBidi"/>
          <w:b/>
          <w:bCs/>
          <w:sz w:val="20"/>
          <w:szCs w:val="20"/>
        </w:rPr>
        <w:t> :</w:t>
      </w:r>
    </w:p>
    <w:p w14:paraId="572C5F93"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Calibri" w:hAnsiTheme="majorBidi" w:cstheme="majorBidi"/>
          <w:sz w:val="20"/>
          <w:szCs w:val="20"/>
        </w:rPr>
        <w:t>ABDELAZIZ</w:t>
      </w:r>
      <w:r w:rsidRPr="00CE4FCD">
        <w:rPr>
          <w:rFonts w:asciiTheme="majorBidi" w:eastAsia="Times New Roman" w:hAnsiTheme="majorBidi" w:cstheme="majorBidi"/>
          <w:sz w:val="20"/>
          <w:szCs w:val="20"/>
        </w:rPr>
        <w:t xml:space="preserve">, Zeinab, </w:t>
      </w:r>
      <w:r w:rsidRPr="00CE4FCD">
        <w:rPr>
          <w:rFonts w:asciiTheme="majorBidi" w:eastAsia="Calibri" w:hAnsiTheme="majorBidi" w:cstheme="majorBidi"/>
          <w:i/>
          <w:iCs/>
          <w:sz w:val="20"/>
          <w:szCs w:val="20"/>
        </w:rPr>
        <w:t>Le Qur’ān. Traduction du sens de ses Versets</w:t>
      </w:r>
      <w:r w:rsidRPr="00CE4FCD">
        <w:rPr>
          <w:rFonts w:asciiTheme="majorBidi" w:eastAsia="Calibri" w:hAnsiTheme="majorBidi" w:cstheme="majorBidi"/>
          <w:sz w:val="20"/>
          <w:szCs w:val="20"/>
        </w:rPr>
        <w:t xml:space="preserve">, Jamʿīyat Tablīgh al-Islām [Conveying Islamic Message Society], Alexandrie, </w:t>
      </w:r>
      <w:r w:rsidRPr="00CE4FCD">
        <w:rPr>
          <w:rFonts w:asciiTheme="majorBidi" w:eastAsia="Times New Roman" w:hAnsiTheme="majorBidi" w:cstheme="majorBidi"/>
          <w:sz w:val="20"/>
          <w:szCs w:val="20"/>
        </w:rPr>
        <w:t>2002.</w:t>
      </w:r>
    </w:p>
    <w:p w14:paraId="5C5B6C68"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Times New Roman" w:hAnsiTheme="majorBidi" w:cstheme="majorBidi"/>
          <w:sz w:val="20"/>
          <w:szCs w:val="20"/>
        </w:rPr>
        <w:t xml:space="preserve">ALDEEB ABU-SAHLIEH, Sami Awad, </w:t>
      </w:r>
      <w:r w:rsidRPr="00CE4FCD">
        <w:rPr>
          <w:rFonts w:asciiTheme="majorBidi" w:eastAsia="Times New Roman" w:hAnsiTheme="majorBidi" w:cstheme="majorBidi"/>
          <w:i/>
          <w:iCs/>
          <w:sz w:val="20"/>
          <w:szCs w:val="20"/>
        </w:rPr>
        <w:t>al-Qurʾān al-karīm, Le Coran</w:t>
      </w:r>
      <w:r w:rsidRPr="00CE4FCD">
        <w:rPr>
          <w:rFonts w:asciiTheme="majorBidi" w:eastAsia="Times New Roman" w:hAnsiTheme="majorBidi" w:cstheme="majorBidi"/>
          <w:sz w:val="20"/>
          <w:szCs w:val="20"/>
        </w:rPr>
        <w:t> </w:t>
      </w:r>
      <w:r w:rsidRPr="00CE4FCD">
        <w:rPr>
          <w:rFonts w:asciiTheme="majorBidi" w:eastAsia="Times New Roman" w:hAnsiTheme="majorBidi" w:cstheme="majorBidi"/>
          <w:i/>
          <w:sz w:val="20"/>
          <w:szCs w:val="20"/>
        </w:rPr>
        <w:t>: texte arabe et traduction française par ordre chronologique selon l’Azhar avec renvoi aux variantes, aux abrogations et aux écrits juifs et chrétiens</w:t>
      </w:r>
      <w:r w:rsidRPr="00CE4FCD">
        <w:rPr>
          <w:rFonts w:asciiTheme="majorBidi" w:eastAsia="Times New Roman" w:hAnsiTheme="majorBidi" w:cstheme="majorBidi"/>
          <w:sz w:val="20"/>
          <w:szCs w:val="20"/>
        </w:rPr>
        <w:t>, Éd. de l’Aire, Vevey, 2008.</w:t>
      </w:r>
    </w:p>
    <w:p w14:paraId="3A5AC219"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bidi="ar-AE"/>
        </w:rPr>
        <w:t xml:space="preserve">BEN MAHMOUD, Noureddine, </w:t>
      </w:r>
      <w:r w:rsidRPr="00CE4FCD">
        <w:rPr>
          <w:rFonts w:asciiTheme="majorBidi" w:eastAsia="SimSun" w:hAnsiTheme="majorBidi" w:cstheme="majorBidi"/>
          <w:i/>
          <w:iCs/>
          <w:sz w:val="20"/>
          <w:szCs w:val="20"/>
          <w:lang w:eastAsia="zh-CN" w:bidi="ar-AE"/>
        </w:rPr>
        <w:t>Le Coran</w:t>
      </w:r>
      <w:r w:rsidRPr="00CE4FCD">
        <w:rPr>
          <w:rFonts w:asciiTheme="majorBidi" w:eastAsia="SimSun" w:hAnsiTheme="majorBidi" w:cstheme="majorBidi"/>
          <w:sz w:val="20"/>
          <w:szCs w:val="20"/>
          <w:lang w:eastAsia="zh-CN" w:bidi="ar-AE"/>
        </w:rPr>
        <w:t>, Carthage, 1962.</w:t>
      </w:r>
    </w:p>
    <w:p w14:paraId="46D51DA3" w14:textId="77777777" w:rsidR="00A70B78" w:rsidRPr="00CE4FCD" w:rsidRDefault="00A70B78" w:rsidP="00876BB0">
      <w:pPr>
        <w:numPr>
          <w:ilvl w:val="0"/>
          <w:numId w:val="120"/>
        </w:numPr>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BERQUE, Jacques, </w:t>
      </w:r>
      <w:r w:rsidRPr="00CE4FCD">
        <w:rPr>
          <w:rFonts w:asciiTheme="majorBidi" w:eastAsia="SimSun" w:hAnsiTheme="majorBidi" w:cstheme="majorBidi"/>
          <w:i/>
          <w:iCs/>
          <w:sz w:val="20"/>
          <w:szCs w:val="20"/>
          <w:lang w:eastAsia="zh-CN"/>
        </w:rPr>
        <w:t>Le Coran, Essai de traduction de l’arabe</w:t>
      </w:r>
      <w:r w:rsidRPr="00CE4FCD">
        <w:rPr>
          <w:rFonts w:asciiTheme="majorBidi" w:eastAsia="SimSun" w:hAnsiTheme="majorBidi" w:cstheme="majorBidi"/>
          <w:sz w:val="20"/>
          <w:szCs w:val="20"/>
          <w:lang w:eastAsia="zh-CN"/>
        </w:rPr>
        <w:t xml:space="preserve"> annoté et suivi d’une étude exégétique par Berque, Éditions Sindbad, Paris, 1990 (rééd. Albin Michel, Paris, 1995)</w:t>
      </w:r>
    </w:p>
    <w:p w14:paraId="78DEC6E9" w14:textId="77777777" w:rsidR="00A70B78" w:rsidRPr="00CE4FCD" w:rsidRDefault="00A70B78" w:rsidP="00876BB0">
      <w:pPr>
        <w:numPr>
          <w:ilvl w:val="0"/>
          <w:numId w:val="120"/>
        </w:numPr>
        <w:spacing w:line="360" w:lineRule="auto"/>
        <w:contextualSpacing/>
        <w:jc w:val="both"/>
        <w:rPr>
          <w:rFonts w:asciiTheme="majorBidi" w:eastAsia="SimSun" w:hAnsiTheme="majorBidi" w:cstheme="majorBidi"/>
          <w:sz w:val="20"/>
          <w:szCs w:val="20"/>
          <w:lang w:eastAsia="zh-CN"/>
        </w:rPr>
      </w:pPr>
      <w:r w:rsidRPr="00CE4FCD">
        <w:rPr>
          <w:rFonts w:asciiTheme="majorBidi" w:eastAsia="Times New Roman" w:hAnsiTheme="majorBidi" w:cstheme="majorBidi"/>
          <w:sz w:val="20"/>
          <w:szCs w:val="20"/>
        </w:rPr>
        <w:t xml:space="preserve">BLACHÈRE, Régis, </w:t>
      </w:r>
      <w:r w:rsidRPr="00CE4FCD">
        <w:rPr>
          <w:rFonts w:asciiTheme="majorBidi" w:eastAsia="Times New Roman" w:hAnsiTheme="majorBidi" w:cstheme="majorBidi"/>
          <w:i/>
          <w:iCs/>
          <w:sz w:val="20"/>
          <w:szCs w:val="20"/>
        </w:rPr>
        <w:t>Le Coran</w:t>
      </w:r>
      <w:r w:rsidRPr="00CE4FCD">
        <w:rPr>
          <w:rFonts w:asciiTheme="majorBidi" w:eastAsia="Times New Roman" w:hAnsiTheme="majorBidi" w:cstheme="majorBidi"/>
          <w:sz w:val="20"/>
          <w:szCs w:val="20"/>
        </w:rPr>
        <w:t xml:space="preserve">, </w:t>
      </w:r>
      <w:r w:rsidRPr="00CE4FCD">
        <w:rPr>
          <w:rFonts w:asciiTheme="majorBidi" w:eastAsia="SimSun" w:hAnsiTheme="majorBidi" w:cstheme="majorBidi"/>
          <w:sz w:val="20"/>
          <w:szCs w:val="20"/>
          <w:lang w:eastAsia="zh-CN"/>
        </w:rPr>
        <w:t>Paris, G.-P. Maisonneuve et Larose, 1956.</w:t>
      </w:r>
    </w:p>
    <w:p w14:paraId="1581CA8A"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CHEBEL, Malek, </w:t>
      </w:r>
      <w:r w:rsidRPr="00CE4FCD">
        <w:rPr>
          <w:rFonts w:asciiTheme="majorBidi" w:eastAsia="SimSun" w:hAnsiTheme="majorBidi" w:cstheme="majorBidi"/>
          <w:i/>
          <w:iCs/>
          <w:sz w:val="20"/>
          <w:szCs w:val="20"/>
          <w:lang w:eastAsia="zh-CN"/>
        </w:rPr>
        <w:t>Le Coran. Nouvelle traduction</w:t>
      </w:r>
      <w:r w:rsidRPr="00CE4FCD">
        <w:rPr>
          <w:rFonts w:asciiTheme="majorBidi" w:eastAsia="SimSun" w:hAnsiTheme="majorBidi" w:cstheme="majorBidi"/>
          <w:sz w:val="20"/>
          <w:szCs w:val="20"/>
          <w:lang w:eastAsia="zh-CN"/>
        </w:rPr>
        <w:t>, Paris, Fayard, 2009.</w:t>
      </w:r>
    </w:p>
    <w:p w14:paraId="2F43C735" w14:textId="77777777" w:rsidR="00A70B78" w:rsidRPr="00CE4FCD" w:rsidRDefault="00A70B78" w:rsidP="00876BB0">
      <w:pPr>
        <w:numPr>
          <w:ilvl w:val="0"/>
          <w:numId w:val="120"/>
        </w:numPr>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CHIADMI, Mohammed, </w:t>
      </w:r>
      <w:r w:rsidRPr="00CE4FCD">
        <w:rPr>
          <w:rFonts w:asciiTheme="majorBidi" w:eastAsia="SimSun" w:hAnsiTheme="majorBidi" w:cstheme="majorBidi"/>
          <w:i/>
          <w:iCs/>
          <w:sz w:val="20"/>
          <w:szCs w:val="20"/>
          <w:lang w:eastAsia="zh-CN"/>
        </w:rPr>
        <w:t>Le Noble Coran, Nouvelle traduction française du sens de ses versets</w:t>
      </w:r>
      <w:r w:rsidRPr="00CE4FCD">
        <w:rPr>
          <w:rFonts w:asciiTheme="majorBidi" w:eastAsia="SimSun" w:hAnsiTheme="majorBidi" w:cstheme="majorBidi"/>
          <w:sz w:val="20"/>
          <w:szCs w:val="20"/>
          <w:lang w:eastAsia="zh-CN"/>
        </w:rPr>
        <w:t>, Lyon, Éditions Tawhid, 2004. (Préfaces de Shaykh Zakaria Seddiki, du Professeur Tariq Ramadan et du Shaykh Yusuf Ibram [Imam de la Mosquée de Zurich] : “ Sens et fidélité”).</w:t>
      </w:r>
    </w:p>
    <w:p w14:paraId="563E0323"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Times New Roman" w:hAnsiTheme="majorBidi" w:cstheme="majorBidi"/>
          <w:sz w:val="20"/>
          <w:szCs w:val="20"/>
          <w:lang w:eastAsia="en-AU"/>
        </w:rPr>
        <w:t xml:space="preserve">CHOURAQUI, André, </w:t>
      </w:r>
      <w:r w:rsidRPr="00CE4FCD">
        <w:rPr>
          <w:rFonts w:asciiTheme="majorBidi" w:eastAsia="Times New Roman" w:hAnsiTheme="majorBidi" w:cstheme="majorBidi"/>
          <w:i/>
          <w:iCs/>
          <w:sz w:val="20"/>
          <w:szCs w:val="20"/>
          <w:lang w:eastAsia="en-AU"/>
        </w:rPr>
        <w:t>Le Coran. L’Appel</w:t>
      </w:r>
      <w:r w:rsidRPr="00CE4FCD">
        <w:rPr>
          <w:rFonts w:asciiTheme="majorBidi" w:eastAsia="Times New Roman" w:hAnsiTheme="majorBidi" w:cstheme="majorBidi"/>
          <w:sz w:val="20"/>
          <w:szCs w:val="20"/>
          <w:lang w:eastAsia="en-AU"/>
        </w:rPr>
        <w:t>, Robert Laffont, 1990.</w:t>
      </w:r>
      <w:r w:rsidRPr="00CE4FCD">
        <w:rPr>
          <w:rFonts w:asciiTheme="majorBidi" w:eastAsia="SimSun" w:hAnsiTheme="majorBidi" w:cstheme="majorBidi"/>
          <w:sz w:val="20"/>
          <w:szCs w:val="20"/>
          <w:lang w:eastAsia="zh-CN"/>
        </w:rPr>
        <w:t xml:space="preserve"> </w:t>
      </w:r>
    </w:p>
    <w:p w14:paraId="240B291D"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Complexe du roi Fahd, </w:t>
      </w:r>
      <w:r w:rsidRPr="00CE4FCD">
        <w:rPr>
          <w:rFonts w:asciiTheme="majorBidi" w:eastAsia="SimSun" w:hAnsiTheme="majorBidi" w:cstheme="majorBidi"/>
          <w:i/>
          <w:iCs/>
          <w:sz w:val="20"/>
          <w:szCs w:val="20"/>
          <w:lang w:eastAsia="zh-CN"/>
        </w:rPr>
        <w:t>Le Noble Coran</w:t>
      </w:r>
      <w:r w:rsidRPr="00CE4FCD">
        <w:rPr>
          <w:rFonts w:asciiTheme="majorBidi" w:eastAsia="SimSun" w:hAnsiTheme="majorBidi" w:cstheme="majorBidi"/>
          <w:sz w:val="20"/>
          <w:szCs w:val="20"/>
          <w:lang w:eastAsia="zh-CN"/>
        </w:rPr>
        <w:t>, Al-Madinah Al-Munawwarah, 1424 de l’Hégire.</w:t>
      </w:r>
    </w:p>
    <w:p w14:paraId="5B34F761" w14:textId="77777777" w:rsidR="00A70B78" w:rsidRPr="00CE4FCD" w:rsidRDefault="00A70B78" w:rsidP="00876BB0">
      <w:pPr>
        <w:numPr>
          <w:ilvl w:val="0"/>
          <w:numId w:val="120"/>
        </w:numPr>
        <w:tabs>
          <w:tab w:val="right" w:pos="851"/>
        </w:tabs>
        <w:spacing w:line="360" w:lineRule="auto"/>
        <w:contextualSpacing/>
        <w:jc w:val="both"/>
        <w:rPr>
          <w:rStyle w:val="Lienhypertexte"/>
          <w:rFonts w:asciiTheme="majorBidi" w:hAnsiTheme="majorBidi" w:cstheme="majorBidi"/>
          <w:sz w:val="20"/>
          <w:szCs w:val="20"/>
        </w:rPr>
      </w:pPr>
      <w:r w:rsidRPr="00CE4FCD">
        <w:rPr>
          <w:rFonts w:asciiTheme="majorBidi" w:eastAsia="Times New Roman" w:hAnsiTheme="majorBidi" w:cstheme="majorBidi"/>
          <w:sz w:val="20"/>
          <w:szCs w:val="20"/>
        </w:rPr>
        <w:t>DU RYER, André</w:t>
      </w:r>
      <w:r w:rsidRPr="00CE4FCD">
        <w:rPr>
          <w:rFonts w:asciiTheme="majorBidi" w:eastAsia="Calibri" w:hAnsiTheme="majorBidi" w:cstheme="majorBidi"/>
          <w:sz w:val="20"/>
          <w:szCs w:val="20"/>
          <w:lang w:bidi="ar-AE"/>
        </w:rPr>
        <w:t xml:space="preserve">, </w:t>
      </w:r>
      <w:r w:rsidRPr="00CE4FCD">
        <w:rPr>
          <w:rFonts w:asciiTheme="majorBidi" w:eastAsia="Calibri" w:hAnsiTheme="majorBidi" w:cstheme="majorBidi"/>
          <w:i/>
          <w:iCs/>
          <w:sz w:val="20"/>
          <w:szCs w:val="20"/>
          <w:lang w:bidi="ar-AE"/>
        </w:rPr>
        <w:t xml:space="preserve">L’alcoran de Mahomet. Translaté </w:t>
      </w:r>
      <w:r w:rsidRPr="00CE4FCD">
        <w:rPr>
          <w:rFonts w:asciiTheme="majorBidi" w:eastAsia="Times New Roman" w:hAnsiTheme="majorBidi" w:cstheme="majorBidi"/>
          <w:i/>
          <w:iCs/>
          <w:sz w:val="20"/>
          <w:szCs w:val="20"/>
        </w:rPr>
        <w:t>d’arabe en françois</w:t>
      </w:r>
      <w:r w:rsidRPr="00CE4FCD">
        <w:rPr>
          <w:rFonts w:asciiTheme="majorBidi" w:eastAsia="Calibri" w:hAnsiTheme="majorBidi" w:cstheme="majorBidi"/>
          <w:i/>
          <w:iCs/>
          <w:sz w:val="20"/>
          <w:szCs w:val="20"/>
          <w:lang w:bidi="ar-AE"/>
        </w:rPr>
        <w:t>, par le Sieur Du Ryer, sieur de La Garde Malezair</w:t>
      </w:r>
      <w:r w:rsidRPr="00CE4FCD">
        <w:rPr>
          <w:rFonts w:asciiTheme="majorBidi" w:eastAsia="Calibri" w:hAnsiTheme="majorBidi" w:cstheme="majorBidi"/>
          <w:sz w:val="20"/>
          <w:szCs w:val="20"/>
          <w:lang w:bidi="ar-AE"/>
        </w:rPr>
        <w:t>, Éditions d’Antoine de Sommaville, Paris, 1647</w:t>
      </w:r>
      <w:r w:rsidRPr="00CE4FCD">
        <w:rPr>
          <w:rFonts w:asciiTheme="majorBidi" w:eastAsia="Times New Roman" w:hAnsiTheme="majorBidi" w:cstheme="majorBidi"/>
          <w:sz w:val="20"/>
          <w:szCs w:val="20"/>
        </w:rPr>
        <w:t> (</w:t>
      </w:r>
      <w:r w:rsidRPr="00CE4FCD">
        <w:rPr>
          <w:rFonts w:asciiTheme="majorBidi" w:hAnsiTheme="majorBidi" w:cstheme="majorBidi"/>
          <w:sz w:val="20"/>
          <w:szCs w:val="20"/>
        </w:rPr>
        <w:t>disponible en ligne : BnF Gallica).</w:t>
      </w:r>
    </w:p>
    <w:p w14:paraId="1A0326C6" w14:textId="77777777" w:rsidR="00A70B78" w:rsidRPr="00CE4FCD" w:rsidRDefault="00A70B78" w:rsidP="00876BB0">
      <w:pPr>
        <w:numPr>
          <w:ilvl w:val="0"/>
          <w:numId w:val="120"/>
        </w:numPr>
        <w:spacing w:line="360" w:lineRule="auto"/>
        <w:contextualSpacing/>
        <w:jc w:val="both"/>
        <w:rPr>
          <w:rFonts w:asciiTheme="majorBidi" w:eastAsia="SimSun" w:hAnsiTheme="majorBidi" w:cstheme="majorBidi"/>
          <w:sz w:val="20"/>
          <w:szCs w:val="20"/>
          <w:lang w:eastAsia="zh-CN"/>
        </w:rPr>
      </w:pPr>
      <w:r w:rsidRPr="00CE4FCD">
        <w:rPr>
          <w:rFonts w:asciiTheme="majorBidi" w:eastAsia="Calibri" w:hAnsiTheme="majorBidi" w:cstheme="majorBidi"/>
          <w:sz w:val="20"/>
          <w:szCs w:val="20"/>
          <w:lang w:bidi="ar-AE"/>
        </w:rPr>
        <w:t xml:space="preserve">GHÉDIRA, Ameur, </w:t>
      </w:r>
      <w:r w:rsidRPr="00CE4FCD">
        <w:rPr>
          <w:rFonts w:asciiTheme="majorBidi" w:eastAsia="Calibri" w:hAnsiTheme="majorBidi" w:cstheme="majorBidi"/>
          <w:i/>
          <w:iCs/>
          <w:sz w:val="20"/>
          <w:szCs w:val="20"/>
          <w:lang w:bidi="ar-AE"/>
        </w:rPr>
        <w:t>Le Coran. Nouvelle traduction</w:t>
      </w:r>
      <w:r w:rsidRPr="00CE4FCD">
        <w:rPr>
          <w:rFonts w:asciiTheme="majorBidi" w:eastAsia="Calibri" w:hAnsiTheme="majorBidi" w:cstheme="majorBidi"/>
          <w:sz w:val="20"/>
          <w:szCs w:val="20"/>
          <w:lang w:bidi="ar-AE"/>
        </w:rPr>
        <w:t>, Enluminures de Jean Gradassi, Lyon, Éditions du Fleuve, imprimerie Audin, 1957.</w:t>
      </w:r>
    </w:p>
    <w:p w14:paraId="05F327F1"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Times New Roman" w:hAnsiTheme="majorBidi" w:cstheme="majorBidi"/>
          <w:sz w:val="20"/>
          <w:szCs w:val="20"/>
          <w:lang w:eastAsia="en-AU"/>
        </w:rPr>
        <w:t xml:space="preserve">GROSJEAN, Jean, </w:t>
      </w:r>
      <w:r w:rsidRPr="00CE4FCD">
        <w:rPr>
          <w:rFonts w:asciiTheme="majorBidi" w:eastAsia="Times New Roman" w:hAnsiTheme="majorBidi" w:cstheme="majorBidi"/>
          <w:i/>
          <w:iCs/>
          <w:sz w:val="20"/>
          <w:szCs w:val="20"/>
          <w:lang w:eastAsia="en-AU"/>
        </w:rPr>
        <w:t xml:space="preserve">Le Coran </w:t>
      </w:r>
      <w:r w:rsidRPr="00CE4FCD">
        <w:rPr>
          <w:rFonts w:asciiTheme="majorBidi" w:hAnsiTheme="majorBidi" w:cstheme="majorBidi"/>
          <w:i/>
          <w:sz w:val="20"/>
          <w:szCs w:val="20"/>
        </w:rPr>
        <w:t>traduit de l’arabe</w:t>
      </w:r>
      <w:r w:rsidRPr="00CE4FCD">
        <w:rPr>
          <w:rFonts w:asciiTheme="majorBidi" w:eastAsia="Times New Roman" w:hAnsiTheme="majorBidi" w:cstheme="majorBidi"/>
          <w:sz w:val="20"/>
          <w:szCs w:val="20"/>
          <w:lang w:eastAsia="en-AU"/>
        </w:rPr>
        <w:t xml:space="preserve">, </w:t>
      </w:r>
      <w:r w:rsidRPr="00CE4FCD">
        <w:rPr>
          <w:rFonts w:asciiTheme="majorBidi" w:hAnsiTheme="majorBidi" w:cstheme="majorBidi"/>
          <w:sz w:val="20"/>
          <w:szCs w:val="20"/>
        </w:rPr>
        <w:t>Éditions Philippe Lebaud, 1972.</w:t>
      </w:r>
    </w:p>
    <w:p w14:paraId="5C4FE9E4" w14:textId="77777777" w:rsidR="00A70B78" w:rsidRPr="00CE4FCD" w:rsidRDefault="00A70B78" w:rsidP="00876BB0">
      <w:pPr>
        <w:numPr>
          <w:ilvl w:val="0"/>
          <w:numId w:val="120"/>
        </w:numPr>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GUESSOUS, Ahmed, </w:t>
      </w:r>
      <w:r w:rsidRPr="00CE4FCD">
        <w:rPr>
          <w:rFonts w:asciiTheme="majorBidi" w:eastAsia="SimSun" w:hAnsiTheme="majorBidi" w:cstheme="majorBidi"/>
          <w:i/>
          <w:iCs/>
          <w:sz w:val="20"/>
          <w:szCs w:val="20"/>
          <w:lang w:eastAsia="zh-CN"/>
        </w:rPr>
        <w:t>Le Coran ou les Versets Magnifiques, Essai d’interprétation</w:t>
      </w:r>
      <w:r w:rsidRPr="00CE4FCD">
        <w:rPr>
          <w:rFonts w:asciiTheme="majorBidi" w:eastAsia="SimSun" w:hAnsiTheme="majorBidi" w:cstheme="majorBidi"/>
          <w:sz w:val="20"/>
          <w:szCs w:val="20"/>
          <w:lang w:eastAsia="zh-CN"/>
        </w:rPr>
        <w:t>, Éditions Afrique Orient, Maroc, 1999 &amp; 2000. (Texte français sans l’original).</w:t>
      </w:r>
    </w:p>
    <w:p w14:paraId="00CCC984" w14:textId="77777777" w:rsidR="00A70B78" w:rsidRPr="00CE4FCD" w:rsidRDefault="00A70B78" w:rsidP="00876BB0">
      <w:pPr>
        <w:numPr>
          <w:ilvl w:val="0"/>
          <w:numId w:val="120"/>
        </w:numPr>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HAFIANE, Hachemi, </w:t>
      </w:r>
      <w:r w:rsidRPr="00CE4FCD">
        <w:rPr>
          <w:rFonts w:asciiTheme="majorBidi" w:eastAsia="SimSun" w:hAnsiTheme="majorBidi" w:cstheme="majorBidi"/>
          <w:i/>
          <w:iCs/>
          <w:sz w:val="20"/>
          <w:szCs w:val="20"/>
          <w:lang w:eastAsia="zh-CN"/>
        </w:rPr>
        <w:t>Le Saint Coran et la traduction du sens de ses versets en claire langue française</w:t>
      </w:r>
      <w:r w:rsidRPr="00CE4FCD">
        <w:rPr>
          <w:rFonts w:asciiTheme="majorBidi" w:eastAsia="SimSun" w:hAnsiTheme="majorBidi" w:cstheme="majorBidi"/>
          <w:sz w:val="20"/>
          <w:szCs w:val="20"/>
          <w:lang w:eastAsia="zh-CN"/>
        </w:rPr>
        <w:t>, Presses du Châtelet, Paris, 2010. (Traduction accompagnée de l’original arabe).</w:t>
      </w:r>
    </w:p>
    <w:p w14:paraId="4B5B7FD4" w14:textId="77777777" w:rsidR="00A70B78" w:rsidRPr="00CE4FCD" w:rsidRDefault="00A70B78" w:rsidP="00876BB0">
      <w:pPr>
        <w:numPr>
          <w:ilvl w:val="0"/>
          <w:numId w:val="120"/>
        </w:numPr>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HAMIDULLAH, Muhammad, </w:t>
      </w:r>
      <w:r w:rsidRPr="00CE4FCD">
        <w:rPr>
          <w:rFonts w:asciiTheme="majorBidi" w:eastAsia="SimSun" w:hAnsiTheme="majorBidi" w:cstheme="majorBidi"/>
          <w:i/>
          <w:iCs/>
          <w:sz w:val="20"/>
          <w:szCs w:val="20"/>
          <w:lang w:eastAsia="zh-CN"/>
        </w:rPr>
        <w:t>Le Saint Coran</w:t>
      </w:r>
      <w:r w:rsidRPr="00CE4FCD">
        <w:rPr>
          <w:rFonts w:asciiTheme="majorBidi" w:eastAsia="SimSun" w:hAnsiTheme="majorBidi" w:cstheme="majorBidi"/>
          <w:sz w:val="20"/>
          <w:szCs w:val="20"/>
          <w:lang w:eastAsia="zh-CN"/>
        </w:rPr>
        <w:t>, avec la collaboration de Michel Léturmy. Préface de Louis Massignon, le Club Français du Livre, 1959.</w:t>
      </w:r>
    </w:p>
    <w:p w14:paraId="1043CEAC"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KAZIMIRSKI, </w:t>
      </w:r>
      <w:r w:rsidRPr="00CE4FCD">
        <w:rPr>
          <w:rFonts w:asciiTheme="majorBidi" w:eastAsia="SimSun" w:hAnsiTheme="majorBidi" w:cstheme="majorBidi"/>
          <w:i/>
          <w:iCs/>
          <w:sz w:val="20"/>
          <w:szCs w:val="20"/>
          <w:lang w:eastAsia="zh-CN"/>
        </w:rPr>
        <w:t>Le Coran</w:t>
      </w:r>
      <w:r w:rsidRPr="00CE4FCD">
        <w:rPr>
          <w:rFonts w:asciiTheme="majorBidi" w:eastAsia="SimSun" w:hAnsiTheme="majorBidi" w:cstheme="majorBidi"/>
          <w:sz w:val="20"/>
          <w:szCs w:val="20"/>
          <w:lang w:eastAsia="zh-CN"/>
        </w:rPr>
        <w:t xml:space="preserve">, Paris, Garnier-Flammarion, 1970 </w:t>
      </w:r>
      <w:r w:rsidRPr="00CE4FCD">
        <w:rPr>
          <w:rFonts w:asciiTheme="majorBidi" w:eastAsia="Times New Roman" w:hAnsiTheme="majorBidi" w:cstheme="majorBidi"/>
          <w:sz w:val="20"/>
          <w:szCs w:val="20"/>
          <w:lang w:eastAsia="en-AU"/>
        </w:rPr>
        <w:t>(1</w:t>
      </w:r>
      <w:r w:rsidRPr="00CE4FCD">
        <w:rPr>
          <w:rFonts w:asciiTheme="majorBidi" w:eastAsia="Times New Roman" w:hAnsiTheme="majorBidi" w:cstheme="majorBidi"/>
          <w:sz w:val="20"/>
          <w:szCs w:val="20"/>
          <w:vertAlign w:val="superscript"/>
          <w:lang w:eastAsia="en-AU"/>
        </w:rPr>
        <w:t>ère</w:t>
      </w:r>
      <w:r w:rsidRPr="00CE4FCD">
        <w:rPr>
          <w:rFonts w:asciiTheme="majorBidi" w:eastAsia="Times New Roman" w:hAnsiTheme="majorBidi" w:cstheme="majorBidi"/>
          <w:sz w:val="20"/>
          <w:szCs w:val="20"/>
          <w:lang w:eastAsia="en-AU"/>
        </w:rPr>
        <w:t xml:space="preserve"> éd. 1840).</w:t>
      </w:r>
    </w:p>
    <w:p w14:paraId="145C5595"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eastAsia="Times New Roman" w:hAnsiTheme="majorBidi" w:cstheme="majorBidi"/>
          <w:sz w:val="20"/>
          <w:szCs w:val="20"/>
        </w:rPr>
        <w:t xml:space="preserve">MASSON, Denise, </w:t>
      </w:r>
      <w:r w:rsidRPr="00CE4FCD">
        <w:rPr>
          <w:rFonts w:asciiTheme="majorBidi" w:eastAsia="Times New Roman" w:hAnsiTheme="majorBidi" w:cstheme="majorBidi"/>
          <w:i/>
          <w:iCs/>
          <w:sz w:val="20"/>
          <w:szCs w:val="20"/>
        </w:rPr>
        <w:t>Essai d’interprétation du CORAN inimitable</w:t>
      </w:r>
      <w:r w:rsidRPr="00CE4FCD">
        <w:rPr>
          <w:rFonts w:asciiTheme="majorBidi" w:eastAsia="Times New Roman" w:hAnsiTheme="majorBidi" w:cstheme="majorBidi"/>
          <w:sz w:val="20"/>
          <w:szCs w:val="20"/>
        </w:rPr>
        <w:t>, revue par Dr. Sobhi El-Saleh, préface de Jean Grosjean, Gallimard, Paris, 1967. (Traduction française accompagnée de l’original arabe)</w:t>
      </w:r>
      <w:r w:rsidRPr="00CE4FCD">
        <w:rPr>
          <w:rFonts w:asciiTheme="majorBidi" w:eastAsia="SimSun" w:hAnsiTheme="majorBidi" w:cstheme="majorBidi"/>
          <w:sz w:val="20"/>
          <w:szCs w:val="20"/>
          <w:lang w:eastAsia="zh-CN"/>
        </w:rPr>
        <w:t>.</w:t>
      </w:r>
    </w:p>
    <w:p w14:paraId="354BF857" w14:textId="77777777" w:rsidR="00A70B78" w:rsidRPr="00CE4FCD" w:rsidRDefault="00A70B78" w:rsidP="00876BB0">
      <w:pPr>
        <w:numPr>
          <w:ilvl w:val="0"/>
          <w:numId w:val="120"/>
        </w:numPr>
        <w:tabs>
          <w:tab w:val="right" w:pos="851"/>
        </w:tabs>
        <w:spacing w:line="360" w:lineRule="auto"/>
        <w:contextualSpacing/>
        <w:jc w:val="both"/>
        <w:rPr>
          <w:rFonts w:asciiTheme="majorBidi" w:eastAsia="SimSun" w:hAnsiTheme="majorBidi" w:cstheme="majorBidi"/>
          <w:sz w:val="20"/>
          <w:szCs w:val="20"/>
          <w:lang w:eastAsia="zh-CN"/>
        </w:rPr>
      </w:pPr>
      <w:r w:rsidRPr="00CE4FCD">
        <w:rPr>
          <w:rFonts w:asciiTheme="majorBidi" w:hAnsiTheme="majorBidi" w:cstheme="majorBidi"/>
          <w:sz w:val="20"/>
          <w:szCs w:val="20"/>
        </w:rPr>
        <w:t>SAVARY, Claude-Étienne,</w:t>
      </w:r>
      <w:r w:rsidRPr="00CE4FCD">
        <w:rPr>
          <w:rFonts w:asciiTheme="majorBidi" w:hAnsiTheme="majorBidi" w:cstheme="majorBidi"/>
          <w:i/>
          <w:iCs/>
          <w:sz w:val="20"/>
          <w:szCs w:val="20"/>
        </w:rPr>
        <w:t xml:space="preserve"> Le Coran, traduit de l’arabe, accompagné de notes, précédé d’un abrégé de la vie de Mahomet, tiré des écrivains orientaux les plus estimés</w:t>
      </w:r>
      <w:r w:rsidRPr="00CE4FCD">
        <w:rPr>
          <w:rFonts w:asciiTheme="majorBidi" w:hAnsiTheme="majorBidi" w:cstheme="majorBidi"/>
          <w:sz w:val="20"/>
          <w:szCs w:val="20"/>
        </w:rPr>
        <w:t>, G. Dufour, Libraire, Paris et Amsterdam 1782.</w:t>
      </w:r>
    </w:p>
    <w:p w14:paraId="3E82F8D3" w14:textId="77777777" w:rsidR="00A70B78" w:rsidRPr="00CE4FCD" w:rsidRDefault="00A70B78" w:rsidP="00A70B78">
      <w:pPr>
        <w:spacing w:line="360" w:lineRule="auto"/>
        <w:contextualSpacing/>
        <w:jc w:val="both"/>
        <w:rPr>
          <w:rFonts w:asciiTheme="majorBidi" w:eastAsia="Times New Roman" w:hAnsiTheme="majorBidi" w:cstheme="majorBidi"/>
          <w:sz w:val="20"/>
          <w:szCs w:val="20"/>
        </w:rPr>
      </w:pPr>
    </w:p>
    <w:p w14:paraId="41907A9D" w14:textId="77777777" w:rsidR="00A70B78" w:rsidRPr="00CE4FCD" w:rsidRDefault="00A70B78" w:rsidP="00A70B78">
      <w:pPr>
        <w:spacing w:line="360" w:lineRule="auto"/>
        <w:contextualSpacing/>
        <w:jc w:val="both"/>
        <w:rPr>
          <w:rFonts w:asciiTheme="majorBidi" w:eastAsia="Times New Roman" w:hAnsiTheme="majorBidi" w:cstheme="majorBidi"/>
          <w:sz w:val="20"/>
          <w:szCs w:val="20"/>
          <w:rtl/>
        </w:rPr>
      </w:pPr>
    </w:p>
    <w:p w14:paraId="5EBCA935" w14:textId="77777777" w:rsidR="00A70B78" w:rsidRPr="00CE4FCD" w:rsidRDefault="00A70B78" w:rsidP="00A70B78">
      <w:pPr>
        <w:spacing w:line="360" w:lineRule="auto"/>
        <w:contextualSpacing/>
        <w:jc w:val="both"/>
        <w:rPr>
          <w:rFonts w:asciiTheme="majorBidi" w:eastAsia="Times New Roman" w:hAnsiTheme="majorBidi" w:cstheme="majorBidi"/>
          <w:b/>
          <w:bCs/>
          <w:sz w:val="20"/>
          <w:szCs w:val="20"/>
          <w:u w:val="single"/>
        </w:rPr>
      </w:pPr>
      <w:r w:rsidRPr="00CE4FCD">
        <w:rPr>
          <w:rFonts w:asciiTheme="majorBidi" w:hAnsiTheme="majorBidi" w:cstheme="majorBidi"/>
          <w:b/>
          <w:bCs/>
          <w:sz w:val="20"/>
          <w:szCs w:val="20"/>
          <w:u w:val="single"/>
        </w:rPr>
        <w:lastRenderedPageBreak/>
        <w:t>Autres traductions françaises du Coran mentionnées dans la thèse :</w:t>
      </w:r>
    </w:p>
    <w:p w14:paraId="06B43DBC" w14:textId="77777777" w:rsidR="00A70B78" w:rsidRPr="00CE4FCD" w:rsidRDefault="00A70B78" w:rsidP="00876BB0">
      <w:pPr>
        <w:pStyle w:val="Paragraphedeliste"/>
        <w:numPr>
          <w:ilvl w:val="0"/>
          <w:numId w:val="104"/>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hAnsiTheme="majorBidi" w:cstheme="majorBidi"/>
          <w:sz w:val="20"/>
          <w:szCs w:val="20"/>
          <w:lang w:eastAsia="en-AU"/>
        </w:rPr>
        <w:t xml:space="preserve">BOUBAKEUR, Si Hamza, </w:t>
      </w:r>
      <w:r w:rsidRPr="00CE4FCD">
        <w:rPr>
          <w:rFonts w:asciiTheme="majorBidi" w:hAnsiTheme="majorBidi" w:cstheme="majorBidi"/>
          <w:i/>
          <w:iCs/>
          <w:sz w:val="20"/>
          <w:szCs w:val="20"/>
          <w:lang w:eastAsia="en-AU"/>
        </w:rPr>
        <w:t xml:space="preserve">Le Coran : </w:t>
      </w:r>
      <w:r w:rsidRPr="00CE4FCD">
        <w:rPr>
          <w:rFonts w:asciiTheme="majorBidi" w:hAnsiTheme="majorBidi" w:cstheme="majorBidi"/>
          <w:i/>
          <w:iCs/>
          <w:sz w:val="20"/>
          <w:szCs w:val="20"/>
        </w:rPr>
        <w:t>traduction française et commentaire d’après la tradition, les différentes écoles de lecture, d’exégèse, de jurisprudence, et de théologie, les interprétations mystiques, les tendances schismatiques et les doctrines hérétiques de l’Islâm, et à la lumière des théories scientifiques, philosophiques et politiques modernes</w:t>
      </w:r>
      <w:r w:rsidRPr="00CE4FCD">
        <w:rPr>
          <w:rFonts w:asciiTheme="majorBidi" w:hAnsiTheme="majorBidi" w:cstheme="majorBidi"/>
          <w:sz w:val="20"/>
          <w:szCs w:val="20"/>
          <w:lang w:eastAsia="en-AU"/>
        </w:rPr>
        <w:t xml:space="preserve">, Fayard/Denoël, 2 vol., 1972, </w:t>
      </w:r>
      <w:r w:rsidRPr="00CE4FCD">
        <w:rPr>
          <w:rFonts w:asciiTheme="majorBidi" w:eastAsia="SimSun" w:hAnsiTheme="majorBidi" w:cstheme="majorBidi"/>
          <w:sz w:val="20"/>
          <w:szCs w:val="20"/>
          <w:lang w:eastAsia="zh-CN"/>
        </w:rPr>
        <w:t>(rééd.</w:t>
      </w:r>
      <w:r w:rsidRPr="00CE4FCD">
        <w:rPr>
          <w:rFonts w:asciiTheme="majorBidi" w:hAnsiTheme="majorBidi" w:cstheme="majorBidi"/>
          <w:sz w:val="20"/>
          <w:szCs w:val="20"/>
        </w:rPr>
        <w:t xml:space="preserve"> 1979, 1985, Maisonneuve &amp; Larose, 1995</w:t>
      </w:r>
      <w:r w:rsidRPr="00CE4FCD">
        <w:rPr>
          <w:rFonts w:asciiTheme="majorBidi" w:hAnsiTheme="majorBidi" w:cstheme="majorBidi"/>
          <w:sz w:val="20"/>
          <w:szCs w:val="20"/>
          <w:lang w:eastAsia="en-AU"/>
        </w:rPr>
        <w:t>) (Traduction accompagnée du texte arabe original et de nombreux commentaires issus de l’exégèse coranique de différentes écoles).</w:t>
      </w:r>
    </w:p>
    <w:p w14:paraId="4BB102DA" w14:textId="77777777" w:rsidR="00A70B78" w:rsidRPr="00CE4FCD" w:rsidRDefault="00A70B78" w:rsidP="00876BB0">
      <w:pPr>
        <w:pStyle w:val="Paragraphedeliste"/>
        <w:numPr>
          <w:ilvl w:val="0"/>
          <w:numId w:val="104"/>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KECHRID, Salah ed-Dine, </w:t>
      </w:r>
      <w:r w:rsidRPr="00CE4FCD">
        <w:rPr>
          <w:rFonts w:asciiTheme="majorBidi" w:eastAsia="SimSun" w:hAnsiTheme="majorBidi" w:cstheme="majorBidi"/>
          <w:i/>
          <w:iCs/>
          <w:sz w:val="20"/>
          <w:szCs w:val="20"/>
          <w:lang w:eastAsia="zh-CN"/>
        </w:rPr>
        <w:t>Initiation à l’interprétation objective du texte intraduisible du Saint Coran</w:t>
      </w:r>
      <w:r w:rsidRPr="00CE4FCD">
        <w:rPr>
          <w:rFonts w:asciiTheme="majorBidi" w:eastAsia="SimSun" w:hAnsiTheme="majorBidi" w:cstheme="majorBidi"/>
          <w:sz w:val="20"/>
          <w:szCs w:val="20"/>
          <w:lang w:eastAsia="zh-CN"/>
        </w:rPr>
        <w:t>, Traduction et notes du Dr. Kechrid, Éditeur : Graphic Arts Services, Beyrouth, Liban, 1985.</w:t>
      </w:r>
    </w:p>
    <w:p w14:paraId="60C74FD1" w14:textId="77777777" w:rsidR="00A70B78" w:rsidRPr="00CE4FCD" w:rsidRDefault="00A70B78" w:rsidP="00876BB0">
      <w:pPr>
        <w:pStyle w:val="Paragraphedeliste"/>
        <w:numPr>
          <w:ilvl w:val="0"/>
          <w:numId w:val="104"/>
        </w:numPr>
        <w:bidi w:val="0"/>
        <w:spacing w:after="0"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KHAWAM, René, </w:t>
      </w:r>
      <w:r w:rsidRPr="00CE4FCD">
        <w:rPr>
          <w:rFonts w:asciiTheme="majorBidi" w:hAnsiTheme="majorBidi" w:cstheme="majorBidi"/>
          <w:i/>
          <w:iCs/>
          <w:sz w:val="20"/>
          <w:szCs w:val="20"/>
        </w:rPr>
        <w:t>Le Qoran : texte intégral</w:t>
      </w:r>
      <w:r w:rsidRPr="00CE4FCD">
        <w:rPr>
          <w:rFonts w:asciiTheme="majorBidi" w:hAnsiTheme="majorBidi" w:cstheme="majorBidi"/>
          <w:sz w:val="20"/>
          <w:szCs w:val="20"/>
        </w:rPr>
        <w:t>, trad. sur la Vulgate arabe, Paris, Maisonneuve et Larose, 1990.</w:t>
      </w:r>
    </w:p>
    <w:p w14:paraId="594DF0F9" w14:textId="77777777" w:rsidR="00A70B78" w:rsidRPr="00CE4FCD" w:rsidRDefault="00A70B78" w:rsidP="00876BB0">
      <w:pPr>
        <w:pStyle w:val="Paragraphedeliste"/>
        <w:numPr>
          <w:ilvl w:val="0"/>
          <w:numId w:val="104"/>
        </w:numPr>
        <w:bidi w:val="0"/>
        <w:spacing w:after="0"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OULD BAH, Mohamed El-Moktar, traduction révisée par Dr. BELLO MANA, éditée par le Complexe du Roi Fahd pour l’impression du Noble Coran à Médine, 2007 </w:t>
      </w:r>
      <w:r w:rsidRPr="00CE4FCD">
        <w:rPr>
          <w:rFonts w:asciiTheme="majorBidi" w:eastAsia="Calibri" w:hAnsiTheme="majorBidi" w:cstheme="majorBidi"/>
          <w:sz w:val="20"/>
          <w:szCs w:val="20"/>
          <w:lang w:bidi="ar-AE"/>
        </w:rPr>
        <w:t>(traduction accompagnée du texte arabe en regard, à droite).</w:t>
      </w:r>
    </w:p>
    <w:p w14:paraId="1E225773" w14:textId="77777777" w:rsidR="00A70B78" w:rsidRPr="00CE4FCD" w:rsidRDefault="00A70B78" w:rsidP="00A70B78">
      <w:pPr>
        <w:spacing w:line="360" w:lineRule="auto"/>
        <w:contextualSpacing/>
        <w:jc w:val="both"/>
        <w:rPr>
          <w:rFonts w:asciiTheme="majorBidi" w:eastAsia="Times New Roman" w:hAnsiTheme="majorBidi" w:cstheme="majorBidi"/>
          <w:sz w:val="20"/>
          <w:szCs w:val="20"/>
        </w:rPr>
      </w:pPr>
    </w:p>
    <w:p w14:paraId="2681AC33" w14:textId="77777777" w:rsidR="00A70B78" w:rsidRPr="00CE4FCD" w:rsidRDefault="00A70B78" w:rsidP="00A70B78">
      <w:pPr>
        <w:spacing w:line="360" w:lineRule="auto"/>
        <w:contextualSpacing/>
        <w:jc w:val="both"/>
        <w:rPr>
          <w:rFonts w:asciiTheme="majorBidi" w:eastAsia="Times New Roman" w:hAnsiTheme="majorBidi" w:cstheme="majorBidi"/>
          <w:b/>
          <w:bCs/>
          <w:sz w:val="20"/>
          <w:szCs w:val="20"/>
          <w:u w:val="single"/>
        </w:rPr>
      </w:pPr>
      <w:r w:rsidRPr="00CE4FCD">
        <w:rPr>
          <w:rFonts w:asciiTheme="majorBidi" w:hAnsiTheme="majorBidi" w:cstheme="majorBidi"/>
          <w:b/>
          <w:bCs/>
          <w:sz w:val="20"/>
          <w:szCs w:val="20"/>
          <w:u w:val="single"/>
        </w:rPr>
        <w:t>Références islamiques et islamologiques en langues européennes</w:t>
      </w:r>
      <w:r w:rsidRPr="00CE4FCD">
        <w:rPr>
          <w:rFonts w:asciiTheme="majorBidi" w:eastAsia="Times New Roman" w:hAnsiTheme="majorBidi" w:cstheme="majorBidi"/>
          <w:b/>
          <w:bCs/>
          <w:sz w:val="20"/>
          <w:szCs w:val="20"/>
          <w:u w:val="single"/>
        </w:rPr>
        <w:t> :</w:t>
      </w:r>
    </w:p>
    <w:p w14:paraId="57B7D6B3"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ABDEL MÉGUID, Noha, </w:t>
      </w:r>
      <w:r w:rsidRPr="00CE4FCD">
        <w:rPr>
          <w:rFonts w:asciiTheme="majorBidi" w:eastAsia="SimSun" w:hAnsiTheme="majorBidi" w:cstheme="majorBidi"/>
          <w:i/>
          <w:iCs/>
          <w:sz w:val="20"/>
          <w:szCs w:val="20"/>
          <w:lang w:eastAsia="zh-CN"/>
        </w:rPr>
        <w:t>Rhétorique du texte traduit et Interprétation(s) du sens. Application sur une sourate du Coran dans les traductions de Régis Blachère et de Jacques Berque</w:t>
      </w:r>
      <w:r w:rsidRPr="00CE4FCD">
        <w:rPr>
          <w:rFonts w:asciiTheme="majorBidi" w:eastAsia="SimSun" w:hAnsiTheme="majorBidi" w:cstheme="majorBidi"/>
          <w:sz w:val="20"/>
          <w:szCs w:val="20"/>
          <w:lang w:eastAsia="zh-CN"/>
        </w:rPr>
        <w:t>, Université de Paris III [Sorbonne Nouvelle], Université de Helwan, Mai 2011.</w:t>
      </w:r>
    </w:p>
    <w:p w14:paraId="42B47761" w14:textId="77777777" w:rsidR="00A70B78" w:rsidRPr="00CE4FCD" w:rsidRDefault="00A70B78" w:rsidP="00876BB0">
      <w:pPr>
        <w:numPr>
          <w:ilvl w:val="0"/>
          <w:numId w:val="116"/>
        </w:numPr>
        <w:tabs>
          <w:tab w:val="left" w:pos="851"/>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AMIR-MOEZZI, Mohammad Ali, </w:t>
      </w:r>
      <w:r w:rsidRPr="00CE4FCD">
        <w:rPr>
          <w:rFonts w:asciiTheme="majorBidi" w:eastAsia="Times New Roman" w:hAnsiTheme="majorBidi" w:cstheme="majorBidi"/>
          <w:i/>
          <w:iCs/>
          <w:sz w:val="20"/>
          <w:szCs w:val="20"/>
        </w:rPr>
        <w:t>Dictionnaire du Coran</w:t>
      </w:r>
      <w:r w:rsidRPr="00CE4FCD">
        <w:rPr>
          <w:rFonts w:asciiTheme="majorBidi" w:eastAsia="Times New Roman" w:hAnsiTheme="majorBidi" w:cstheme="majorBidi"/>
          <w:sz w:val="20"/>
          <w:szCs w:val="20"/>
        </w:rPr>
        <w:t>, Paris, éd. Robert Laffont, coll. « Bouquins », 2007.</w:t>
      </w:r>
    </w:p>
    <w:p w14:paraId="2054A2BA" w14:textId="77777777" w:rsidR="00A70B78" w:rsidRPr="00CE4FCD" w:rsidRDefault="00A70B78" w:rsidP="00876BB0">
      <w:pPr>
        <w:numPr>
          <w:ilvl w:val="0"/>
          <w:numId w:val="116"/>
        </w:numPr>
        <w:tabs>
          <w:tab w:val="right" w:pos="993"/>
        </w:tabs>
        <w:spacing w:line="360" w:lineRule="auto"/>
        <w:contextualSpacing/>
        <w:jc w:val="both"/>
        <w:rPr>
          <w:rFonts w:asciiTheme="majorBidi" w:eastAsia="Times New Roman" w:hAnsiTheme="majorBidi" w:cstheme="majorBidi"/>
          <w:sz w:val="20"/>
          <w:szCs w:val="20"/>
        </w:rPr>
      </w:pPr>
      <w:r w:rsidRPr="00CE4FCD">
        <w:rPr>
          <w:rFonts w:asciiTheme="majorBidi" w:eastAsia="Calibri" w:hAnsiTheme="majorBidi" w:cstheme="majorBidi"/>
          <w:sz w:val="20"/>
          <w:szCs w:val="20"/>
        </w:rPr>
        <w:t xml:space="preserve">AZZI, Joseph, </w:t>
      </w:r>
      <w:r w:rsidRPr="00CE4FCD">
        <w:rPr>
          <w:rFonts w:asciiTheme="majorBidi" w:eastAsia="Calibri" w:hAnsiTheme="majorBidi" w:cstheme="majorBidi"/>
          <w:i/>
          <w:iCs/>
          <w:sz w:val="20"/>
          <w:szCs w:val="20"/>
        </w:rPr>
        <w:t>Le Prêtre et le Prophète : aux sources du Coran</w:t>
      </w:r>
      <w:r w:rsidRPr="00CE4FCD">
        <w:rPr>
          <w:rFonts w:asciiTheme="majorBidi" w:eastAsia="Calibri" w:hAnsiTheme="majorBidi" w:cstheme="majorBidi"/>
          <w:sz w:val="20"/>
          <w:szCs w:val="20"/>
        </w:rPr>
        <w:t xml:space="preserve">, traduit de l’arabe par Maurice S. Garnier, Maisonneuve et Larose, Paris 2001 (éd. originale, Beyrouth, 1979 sous le titre : </w:t>
      </w:r>
      <w:r w:rsidRPr="00CE4FCD">
        <w:rPr>
          <w:rFonts w:asciiTheme="majorBidi" w:eastAsia="Calibri" w:hAnsiTheme="majorBidi" w:cstheme="majorBidi"/>
          <w:sz w:val="20"/>
          <w:szCs w:val="20"/>
          <w:rtl/>
        </w:rPr>
        <w:t>قِس ونبي. بحث في نشأة الإسلام</w:t>
      </w:r>
      <w:r w:rsidRPr="00CE4FCD">
        <w:rPr>
          <w:rFonts w:asciiTheme="majorBidi" w:eastAsia="Calibri" w:hAnsiTheme="majorBidi" w:cstheme="majorBidi"/>
          <w:sz w:val="20"/>
          <w:szCs w:val="20"/>
        </w:rPr>
        <w:t>).</w:t>
      </w:r>
    </w:p>
    <w:p w14:paraId="69F36EEB"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BLACHÈRE, Régis, </w:t>
      </w:r>
      <w:r w:rsidRPr="00CE4FCD">
        <w:rPr>
          <w:rFonts w:asciiTheme="majorBidi" w:hAnsiTheme="majorBidi" w:cstheme="majorBidi"/>
          <w:i/>
          <w:iCs/>
          <w:sz w:val="20"/>
          <w:szCs w:val="20"/>
        </w:rPr>
        <w:t>Introduction au Coran</w:t>
      </w:r>
      <w:r w:rsidRPr="00CE4FCD">
        <w:rPr>
          <w:rFonts w:asciiTheme="majorBidi" w:hAnsiTheme="majorBidi" w:cstheme="majorBidi"/>
          <w:sz w:val="20"/>
          <w:szCs w:val="20"/>
        </w:rPr>
        <w:t>, Paris, Librairie orientale et américaine, Maisonneuve &amp; Larose, 1947 (rééd. 1959 &amp; 1991).</w:t>
      </w:r>
    </w:p>
    <w:p w14:paraId="3AF313CC"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hAnsiTheme="majorBidi" w:cstheme="majorBidi"/>
          <w:sz w:val="20"/>
          <w:szCs w:val="20"/>
          <w:lang w:val="en-US"/>
        </w:rPr>
        <w:t>BOBZIN, Ha</w:t>
      </w:r>
      <w:r w:rsidRPr="00CE4FCD">
        <w:rPr>
          <w:rFonts w:asciiTheme="majorBidi" w:hAnsiTheme="majorBidi" w:cstheme="majorBidi"/>
          <w:sz w:val="20"/>
          <w:szCs w:val="20"/>
        </w:rPr>
        <w:t>rtmut, « Translation of the Qur’</w:t>
      </w:r>
      <w:r w:rsidRPr="00CE4FCD">
        <w:rPr>
          <w:rFonts w:asciiTheme="majorBidi" w:hAnsiTheme="majorBidi" w:cstheme="majorBidi"/>
          <w:sz w:val="20"/>
          <w:szCs w:val="20"/>
          <w:lang w:val="en-US"/>
        </w:rPr>
        <w:t xml:space="preserve">ân », in </w:t>
      </w:r>
      <w:r w:rsidRPr="00CE4FCD">
        <w:rPr>
          <w:rFonts w:asciiTheme="majorBidi" w:hAnsiTheme="majorBidi" w:cstheme="majorBidi"/>
          <w:i/>
          <w:iCs/>
          <w:sz w:val="20"/>
          <w:szCs w:val="20"/>
        </w:rPr>
        <w:t>Encyclopaedia of the Qur’</w:t>
      </w:r>
      <w:r w:rsidRPr="00CE4FCD">
        <w:rPr>
          <w:rFonts w:asciiTheme="majorBidi" w:hAnsiTheme="majorBidi" w:cstheme="majorBidi"/>
          <w:i/>
          <w:iCs/>
          <w:sz w:val="20"/>
          <w:szCs w:val="20"/>
          <w:lang w:val="en-US"/>
        </w:rPr>
        <w:t>ân</w:t>
      </w:r>
      <w:r w:rsidRPr="00CE4FCD">
        <w:rPr>
          <w:rFonts w:asciiTheme="majorBidi" w:hAnsiTheme="majorBidi" w:cstheme="majorBidi"/>
          <w:sz w:val="20"/>
          <w:szCs w:val="20"/>
          <w:lang w:val="en-US"/>
        </w:rPr>
        <w:t>, vol. V, Jane Dammen McAuliffe (ed.), Brill, Leiden, 2006.</w:t>
      </w:r>
    </w:p>
    <w:p w14:paraId="1A4B5E91"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hAnsiTheme="majorBidi" w:cstheme="majorBidi"/>
          <w:sz w:val="20"/>
          <w:szCs w:val="20"/>
        </w:rPr>
        <w:t>CARTER, Michael G., « </w:t>
      </w:r>
      <w:r w:rsidRPr="00CE4FCD">
        <w:rPr>
          <w:rFonts w:asciiTheme="majorBidi" w:hAnsiTheme="majorBidi" w:cstheme="majorBidi"/>
          <w:iCs/>
          <w:sz w:val="20"/>
          <w:szCs w:val="20"/>
        </w:rPr>
        <w:t>Language Control as People Control in Medieval Islam: The Aims of the Grammarians in their Cultural Context </w:t>
      </w:r>
      <w:r w:rsidRPr="00CE4FCD">
        <w:rPr>
          <w:rFonts w:asciiTheme="majorBidi" w:hAnsiTheme="majorBidi" w:cstheme="majorBidi"/>
          <w:i/>
          <w:iCs/>
          <w:sz w:val="20"/>
          <w:szCs w:val="20"/>
        </w:rPr>
        <w:t>»</w:t>
      </w:r>
      <w:r w:rsidRPr="00CE4FCD">
        <w:rPr>
          <w:rFonts w:asciiTheme="majorBidi" w:hAnsiTheme="majorBidi" w:cstheme="majorBidi"/>
          <w:sz w:val="20"/>
          <w:szCs w:val="20"/>
        </w:rPr>
        <w:t xml:space="preserve">, </w:t>
      </w:r>
      <w:r w:rsidRPr="00CE4FCD">
        <w:rPr>
          <w:rFonts w:asciiTheme="majorBidi" w:hAnsiTheme="majorBidi" w:cstheme="majorBidi"/>
          <w:i/>
          <w:iCs/>
          <w:sz w:val="20"/>
          <w:szCs w:val="20"/>
        </w:rPr>
        <w:t>Al-Abḥāth</w:t>
      </w:r>
      <w:r w:rsidRPr="00CE4FCD">
        <w:rPr>
          <w:rFonts w:asciiTheme="majorBidi" w:hAnsiTheme="majorBidi" w:cstheme="majorBidi"/>
          <w:sz w:val="20"/>
          <w:szCs w:val="20"/>
        </w:rPr>
        <w:t>, XXXI [1983], 65-84.</w:t>
      </w:r>
    </w:p>
    <w:p w14:paraId="587791E7" w14:textId="77777777" w:rsidR="00A70B78" w:rsidRPr="00CE4FCD" w:rsidRDefault="00A70B78" w:rsidP="00876BB0">
      <w:pPr>
        <w:numPr>
          <w:ilvl w:val="0"/>
          <w:numId w:val="116"/>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CHELLI, Moncef, </w:t>
      </w:r>
      <w:r w:rsidRPr="00CE4FCD">
        <w:rPr>
          <w:rFonts w:asciiTheme="majorBidi" w:eastAsia="Times New Roman" w:hAnsiTheme="majorBidi" w:cstheme="majorBidi"/>
          <w:i/>
          <w:iCs/>
          <w:sz w:val="20"/>
          <w:szCs w:val="20"/>
        </w:rPr>
        <w:t>La parole arabe : Une théorie de la relativité des cultures</w:t>
      </w:r>
      <w:r w:rsidRPr="00CE4FCD">
        <w:rPr>
          <w:rFonts w:asciiTheme="majorBidi" w:eastAsia="Times New Roman" w:hAnsiTheme="majorBidi" w:cstheme="majorBidi"/>
          <w:sz w:val="20"/>
          <w:szCs w:val="20"/>
        </w:rPr>
        <w:t>, Sindbad, Paris, 1980.</w:t>
      </w:r>
    </w:p>
    <w:p w14:paraId="7E2531B7" w14:textId="77777777" w:rsidR="00A70B78" w:rsidRPr="00CE4FCD" w:rsidRDefault="00A70B78" w:rsidP="00876BB0">
      <w:pPr>
        <w:numPr>
          <w:ilvl w:val="0"/>
          <w:numId w:val="116"/>
        </w:numPr>
        <w:tabs>
          <w:tab w:val="right" w:pos="993"/>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DE PRÉMARE, Alfred-Louis, </w:t>
      </w:r>
      <w:r w:rsidRPr="00CE4FCD">
        <w:rPr>
          <w:rFonts w:asciiTheme="majorBidi" w:eastAsia="Times New Roman" w:hAnsiTheme="majorBidi" w:cstheme="majorBidi"/>
          <w:i/>
          <w:iCs/>
          <w:sz w:val="20"/>
          <w:szCs w:val="20"/>
        </w:rPr>
        <w:t>Aux origines du Coran</w:t>
      </w:r>
      <w:r w:rsidRPr="00CE4FCD">
        <w:rPr>
          <w:rFonts w:asciiTheme="majorBidi" w:eastAsia="Times New Roman" w:hAnsiTheme="majorBidi" w:cstheme="majorBidi"/>
          <w:sz w:val="20"/>
          <w:szCs w:val="20"/>
        </w:rPr>
        <w:t>, Tétraèdre, Paris, 2005.</w:t>
      </w:r>
    </w:p>
    <w:p w14:paraId="73F141C6" w14:textId="77777777" w:rsidR="00A70B78" w:rsidRPr="00CE4FCD" w:rsidRDefault="00A70B78" w:rsidP="00876BB0">
      <w:pPr>
        <w:pStyle w:val="NormalWeb"/>
        <w:numPr>
          <w:ilvl w:val="0"/>
          <w:numId w:val="116"/>
        </w:numPr>
        <w:spacing w:before="0" w:beforeAutospacing="0" w:after="0" w:afterAutospacing="0"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DÉROCHE, François, </w:t>
      </w:r>
      <w:r w:rsidRPr="00CE4FCD">
        <w:rPr>
          <w:rFonts w:asciiTheme="majorBidi" w:hAnsiTheme="majorBidi" w:cstheme="majorBidi"/>
          <w:i/>
          <w:iCs/>
          <w:sz w:val="20"/>
          <w:szCs w:val="20"/>
        </w:rPr>
        <w:t>Éléments d’une histoire du Coran</w:t>
      </w:r>
      <w:r w:rsidRPr="00CE4FCD">
        <w:rPr>
          <w:rFonts w:asciiTheme="majorBidi" w:hAnsiTheme="majorBidi" w:cstheme="majorBidi"/>
          <w:sz w:val="20"/>
          <w:szCs w:val="20"/>
        </w:rPr>
        <w:t>, Presses Universitaires de France, Paris, 2005.</w:t>
      </w:r>
    </w:p>
    <w:p w14:paraId="0975325C"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hAnsiTheme="majorBidi" w:cstheme="majorBidi"/>
          <w:sz w:val="20"/>
          <w:szCs w:val="20"/>
          <w:lang w:val="en-US"/>
        </w:rPr>
      </w:pPr>
      <w:r w:rsidRPr="00CE4FCD">
        <w:rPr>
          <w:rFonts w:asciiTheme="majorBidi" w:hAnsiTheme="majorBidi" w:cstheme="majorBidi"/>
          <w:sz w:val="20"/>
          <w:szCs w:val="20"/>
          <w:lang w:val="en-US"/>
        </w:rPr>
        <w:t xml:space="preserve">ELMARSAFY, Ziad, </w:t>
      </w:r>
      <w:r w:rsidRPr="00CE4FCD">
        <w:rPr>
          <w:rFonts w:asciiTheme="majorBidi" w:hAnsiTheme="majorBidi" w:cstheme="majorBidi"/>
          <w:i/>
          <w:iCs/>
          <w:sz w:val="20"/>
          <w:szCs w:val="20"/>
          <w:lang w:val="en-US"/>
        </w:rPr>
        <w:t>The Enlightenment Qur'an. The Politics of Translation and the Construction of Islam</w:t>
      </w:r>
      <w:r w:rsidRPr="00CE4FCD">
        <w:rPr>
          <w:rFonts w:asciiTheme="majorBidi" w:hAnsiTheme="majorBidi" w:cstheme="majorBidi"/>
          <w:sz w:val="20"/>
          <w:szCs w:val="20"/>
          <w:lang w:val="en-US"/>
        </w:rPr>
        <w:t>, Oneworld, Oxford, Royaume-Uni, 2009.</w:t>
      </w:r>
    </w:p>
    <w:p w14:paraId="70199669" w14:textId="77777777" w:rsidR="00A70B78" w:rsidRPr="00CE4FCD" w:rsidRDefault="00A70B78" w:rsidP="00876BB0">
      <w:pPr>
        <w:numPr>
          <w:ilvl w:val="0"/>
          <w:numId w:val="116"/>
        </w:numPr>
        <w:tabs>
          <w:tab w:val="right" w:pos="851"/>
        </w:tabs>
        <w:spacing w:line="360" w:lineRule="auto"/>
        <w:contextualSpacing/>
        <w:jc w:val="both"/>
        <w:rPr>
          <w:rFonts w:asciiTheme="majorBidi" w:eastAsia="Times New Roman" w:hAnsiTheme="majorBidi" w:cstheme="majorBidi"/>
          <w:sz w:val="20"/>
          <w:szCs w:val="20"/>
          <w:lang w:bidi="ar-AE"/>
        </w:rPr>
      </w:pPr>
      <w:r w:rsidRPr="00CE4FCD">
        <w:rPr>
          <w:rFonts w:asciiTheme="majorBidi" w:hAnsiTheme="majorBidi" w:cstheme="majorBidi"/>
          <w:sz w:val="20"/>
          <w:szCs w:val="20"/>
        </w:rPr>
        <w:t xml:space="preserve">GRESH, Alain, </w:t>
      </w:r>
      <w:r w:rsidRPr="00CE4FCD">
        <w:rPr>
          <w:rFonts w:asciiTheme="majorBidi" w:hAnsiTheme="majorBidi" w:cstheme="majorBidi"/>
          <w:i/>
          <w:iCs/>
          <w:sz w:val="20"/>
          <w:szCs w:val="20"/>
        </w:rPr>
        <w:t>L'islam, la république et le monde</w:t>
      </w:r>
      <w:r w:rsidRPr="00CE4FCD">
        <w:rPr>
          <w:rFonts w:asciiTheme="majorBidi" w:hAnsiTheme="majorBidi" w:cstheme="majorBidi"/>
          <w:sz w:val="20"/>
          <w:szCs w:val="20"/>
        </w:rPr>
        <w:t xml:space="preserve">, Hachette, coll. </w:t>
      </w:r>
      <w:r w:rsidRPr="00CE4FCD">
        <w:rPr>
          <w:rFonts w:asciiTheme="majorBidi" w:hAnsiTheme="majorBidi" w:cstheme="majorBidi"/>
          <w:iCs/>
          <w:sz w:val="20"/>
          <w:szCs w:val="20"/>
        </w:rPr>
        <w:t>Pluriel</w:t>
      </w:r>
      <w:r w:rsidRPr="00CE4FCD">
        <w:rPr>
          <w:rFonts w:asciiTheme="majorBidi" w:hAnsiTheme="majorBidi" w:cstheme="majorBidi"/>
          <w:sz w:val="20"/>
          <w:szCs w:val="20"/>
        </w:rPr>
        <w:t>, 2006 (1</w:t>
      </w:r>
      <w:r w:rsidRPr="00CE4FCD">
        <w:rPr>
          <w:rFonts w:asciiTheme="majorBidi" w:hAnsiTheme="majorBidi" w:cstheme="majorBidi"/>
          <w:sz w:val="20"/>
          <w:szCs w:val="20"/>
          <w:vertAlign w:val="superscript"/>
        </w:rPr>
        <w:t>ère</w:t>
      </w:r>
      <w:r w:rsidRPr="00CE4FCD">
        <w:rPr>
          <w:rFonts w:asciiTheme="majorBidi" w:hAnsiTheme="majorBidi" w:cstheme="majorBidi"/>
          <w:sz w:val="20"/>
          <w:szCs w:val="20"/>
        </w:rPr>
        <w:t xml:space="preserve"> éd. Fayard, 2004).</w:t>
      </w:r>
    </w:p>
    <w:p w14:paraId="20AC33AE"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hAnsiTheme="majorBidi" w:cstheme="majorBidi"/>
          <w:sz w:val="20"/>
          <w:szCs w:val="20"/>
        </w:rPr>
        <w:t xml:space="preserve">KARJOUSLI (AL-), Soufian, </w:t>
      </w:r>
      <w:r w:rsidRPr="00CE4FCD">
        <w:rPr>
          <w:rFonts w:asciiTheme="majorBidi" w:hAnsiTheme="majorBidi" w:cstheme="majorBidi"/>
          <w:i/>
          <w:iCs/>
          <w:kern w:val="36"/>
          <w:sz w:val="20"/>
          <w:szCs w:val="20"/>
        </w:rPr>
        <w:t>La polysémie et le Coran</w:t>
      </w:r>
      <w:r w:rsidRPr="00CE4FCD">
        <w:rPr>
          <w:rFonts w:asciiTheme="majorBidi" w:hAnsiTheme="majorBidi" w:cstheme="majorBidi"/>
          <w:sz w:val="20"/>
          <w:szCs w:val="20"/>
        </w:rPr>
        <w:t>, Atelier national de reproduction des thèses, Rennes, 2005.</w:t>
      </w:r>
    </w:p>
    <w:p w14:paraId="094765AB"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lastRenderedPageBreak/>
        <w:t xml:space="preserve">LARZUL, Sylvette, « Les premières traductions françaises du Coran, (XVIIe-XIXe siècles) », </w:t>
      </w:r>
      <w:r w:rsidRPr="00CE4FCD">
        <w:rPr>
          <w:rFonts w:asciiTheme="majorBidi" w:hAnsiTheme="majorBidi" w:cstheme="majorBidi"/>
          <w:i/>
          <w:iCs/>
          <w:sz w:val="20"/>
          <w:szCs w:val="20"/>
        </w:rPr>
        <w:t>Archives de sciences sociales des religions</w:t>
      </w:r>
      <w:r w:rsidRPr="00CE4FCD">
        <w:rPr>
          <w:rFonts w:asciiTheme="majorBidi" w:hAnsiTheme="majorBidi" w:cstheme="majorBidi"/>
          <w:sz w:val="20"/>
          <w:szCs w:val="20"/>
        </w:rPr>
        <w:t>, juillet-septembre 2009, 54</w:t>
      </w:r>
      <w:r w:rsidRPr="00CE4FCD">
        <w:rPr>
          <w:rFonts w:asciiTheme="majorBidi" w:hAnsiTheme="majorBidi" w:cstheme="majorBidi"/>
          <w:sz w:val="20"/>
          <w:szCs w:val="20"/>
          <w:vertAlign w:val="superscript"/>
        </w:rPr>
        <w:t>e</w:t>
      </w:r>
      <w:r w:rsidRPr="00CE4FCD">
        <w:rPr>
          <w:rFonts w:asciiTheme="majorBidi" w:hAnsiTheme="majorBidi" w:cstheme="majorBidi"/>
          <w:sz w:val="20"/>
          <w:szCs w:val="20"/>
        </w:rPr>
        <w:t xml:space="preserve"> année, n° 147, pp. 147-165.</w:t>
      </w:r>
    </w:p>
    <w:p w14:paraId="1314013A" w14:textId="77777777" w:rsidR="00A70B78" w:rsidRPr="00CE4FCD" w:rsidRDefault="00A70B78" w:rsidP="00876BB0">
      <w:pPr>
        <w:numPr>
          <w:ilvl w:val="0"/>
          <w:numId w:val="116"/>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LORY, Pierre, </w:t>
      </w:r>
      <w:r w:rsidRPr="00CE4FCD">
        <w:rPr>
          <w:rFonts w:asciiTheme="majorBidi" w:eastAsia="Times New Roman" w:hAnsiTheme="majorBidi" w:cstheme="majorBidi"/>
          <w:i/>
          <w:iCs/>
          <w:sz w:val="20"/>
          <w:szCs w:val="20"/>
        </w:rPr>
        <w:t>Les commentaires ésotériques du Coran d’après ‘Abd al-Razzāq al-Qāshānī</w:t>
      </w:r>
      <w:r w:rsidRPr="00CE4FCD">
        <w:rPr>
          <w:rFonts w:asciiTheme="majorBidi" w:eastAsia="Times New Roman" w:hAnsiTheme="majorBidi" w:cstheme="majorBidi"/>
          <w:sz w:val="20"/>
          <w:szCs w:val="20"/>
        </w:rPr>
        <w:t>, Les Deux Océans, Paris, 1980.</w:t>
      </w:r>
    </w:p>
    <w:p w14:paraId="017FD914" w14:textId="77777777" w:rsidR="00A70B78" w:rsidRPr="00CE4FCD" w:rsidRDefault="00A70B78" w:rsidP="00876BB0">
      <w:pPr>
        <w:numPr>
          <w:ilvl w:val="0"/>
          <w:numId w:val="116"/>
        </w:numPr>
        <w:tabs>
          <w:tab w:val="right" w:pos="993"/>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LUXENBERG,</w:t>
      </w:r>
      <w:r w:rsidRPr="00CE4FCD">
        <w:rPr>
          <w:rFonts w:asciiTheme="majorBidi" w:eastAsia="Times New Roman" w:hAnsiTheme="majorBidi" w:cstheme="majorBidi"/>
          <w:i/>
          <w:iCs/>
          <w:sz w:val="20"/>
          <w:szCs w:val="20"/>
        </w:rPr>
        <w:t xml:space="preserve"> </w:t>
      </w:r>
      <w:r w:rsidRPr="00CE4FCD">
        <w:rPr>
          <w:rFonts w:asciiTheme="majorBidi" w:eastAsia="Times New Roman" w:hAnsiTheme="majorBidi" w:cstheme="majorBidi"/>
          <w:sz w:val="20"/>
          <w:szCs w:val="20"/>
        </w:rPr>
        <w:t xml:space="preserve">Christoph, </w:t>
      </w:r>
      <w:r w:rsidRPr="00CE4FCD">
        <w:rPr>
          <w:rFonts w:asciiTheme="majorBidi" w:eastAsia="Times New Roman" w:hAnsiTheme="majorBidi" w:cstheme="majorBidi"/>
          <w:i/>
          <w:iCs/>
          <w:sz w:val="20"/>
          <w:szCs w:val="20"/>
        </w:rPr>
        <w:t>Die Syro-Aramäische Lesart des Koran : Ein Beitrag zur Entschlüsselung der Koransprache</w:t>
      </w:r>
      <w:r w:rsidRPr="00CE4FCD">
        <w:rPr>
          <w:rFonts w:asciiTheme="majorBidi" w:eastAsia="Times New Roman" w:hAnsiTheme="majorBidi" w:cstheme="majorBidi"/>
          <w:sz w:val="20"/>
          <w:szCs w:val="20"/>
        </w:rPr>
        <w:t xml:space="preserve"> (</w:t>
      </w:r>
      <w:r w:rsidRPr="00CE4FCD">
        <w:rPr>
          <w:rFonts w:asciiTheme="majorBidi" w:eastAsia="Times New Roman" w:hAnsiTheme="majorBidi" w:cstheme="majorBidi"/>
          <w:i/>
          <w:iCs/>
          <w:sz w:val="20"/>
          <w:szCs w:val="20"/>
        </w:rPr>
        <w:t>Lecture syro-araméenne du Coran : une contribution pour décoder la langue du Coran</w:t>
      </w:r>
      <w:r w:rsidRPr="00CE4FCD">
        <w:rPr>
          <w:rFonts w:asciiTheme="majorBidi" w:eastAsia="Times New Roman" w:hAnsiTheme="majorBidi" w:cstheme="majorBidi"/>
          <w:sz w:val="20"/>
          <w:szCs w:val="20"/>
        </w:rPr>
        <w:t>), publiée en allemand en 2004 et en anglais en 2007 par Verlag Hans Schiler.</w:t>
      </w:r>
    </w:p>
    <w:p w14:paraId="20B780ED"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hAnsiTheme="majorBidi" w:cstheme="majorBidi"/>
          <w:sz w:val="20"/>
          <w:szCs w:val="20"/>
        </w:rPr>
        <w:t xml:space="preserve">NEUVE-ÉGLISE, Amélie, « Les traductions françaises du Coran : de l’orientalisme à une lecture plus musulmane ? », </w:t>
      </w:r>
      <w:r w:rsidRPr="00CE4FCD">
        <w:rPr>
          <w:rFonts w:asciiTheme="majorBidi" w:hAnsiTheme="majorBidi" w:cstheme="majorBidi"/>
          <w:i/>
          <w:iCs/>
          <w:sz w:val="20"/>
          <w:szCs w:val="20"/>
        </w:rPr>
        <w:t>Revue de Téhéran</w:t>
      </w:r>
      <w:r w:rsidRPr="00CE4FCD">
        <w:rPr>
          <w:rFonts w:asciiTheme="majorBidi" w:hAnsiTheme="majorBidi" w:cstheme="majorBidi"/>
          <w:sz w:val="20"/>
          <w:szCs w:val="20"/>
        </w:rPr>
        <w:t>, n° 11, octobre 2006.</w:t>
      </w:r>
    </w:p>
    <w:p w14:paraId="3AD9C177"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hAnsiTheme="majorBidi" w:cstheme="majorBidi"/>
          <w:sz w:val="20"/>
          <w:szCs w:val="20"/>
        </w:rPr>
        <w:t xml:space="preserve">ORCEL, Michel, </w:t>
      </w:r>
      <w:r w:rsidRPr="00CE4FCD">
        <w:rPr>
          <w:rFonts w:asciiTheme="majorBidi" w:hAnsiTheme="majorBidi" w:cstheme="majorBidi"/>
          <w:i/>
          <w:iCs/>
          <w:sz w:val="20"/>
          <w:szCs w:val="20"/>
        </w:rPr>
        <w:t>L’invention de l’islam : Enquête historique sur les origines</w:t>
      </w:r>
      <w:r w:rsidRPr="00CE4FCD">
        <w:rPr>
          <w:rFonts w:asciiTheme="majorBidi" w:hAnsiTheme="majorBidi" w:cstheme="majorBidi"/>
          <w:sz w:val="20"/>
          <w:szCs w:val="20"/>
        </w:rPr>
        <w:t>, Perrin, Paris, 2012.</w:t>
      </w:r>
    </w:p>
    <w:p w14:paraId="4EDFCE81" w14:textId="77777777" w:rsidR="00A70B78" w:rsidRPr="00CE4FCD" w:rsidRDefault="00A70B78" w:rsidP="00876BB0">
      <w:pPr>
        <w:numPr>
          <w:ilvl w:val="0"/>
          <w:numId w:val="116"/>
        </w:numPr>
        <w:tabs>
          <w:tab w:val="right" w:pos="851"/>
        </w:tabs>
        <w:spacing w:line="360" w:lineRule="auto"/>
        <w:contextualSpacing/>
        <w:jc w:val="both"/>
        <w:rPr>
          <w:rFonts w:asciiTheme="majorBidi" w:eastAsia="Times New Roman" w:hAnsiTheme="majorBidi" w:cstheme="majorBidi"/>
          <w:sz w:val="20"/>
          <w:szCs w:val="20"/>
          <w:lang w:bidi="ar-AE"/>
        </w:rPr>
      </w:pPr>
      <w:r w:rsidRPr="00CE4FCD">
        <w:rPr>
          <w:rFonts w:asciiTheme="majorBidi" w:hAnsiTheme="majorBidi" w:cstheme="majorBidi"/>
          <w:sz w:val="20"/>
          <w:szCs w:val="20"/>
        </w:rPr>
        <w:t>RODINSON, Maxime,</w:t>
      </w:r>
      <w:r w:rsidRPr="00CE4FCD">
        <w:rPr>
          <w:rFonts w:asciiTheme="majorBidi" w:hAnsiTheme="majorBidi" w:cstheme="majorBidi"/>
          <w:i/>
          <w:iCs/>
          <w:sz w:val="20"/>
          <w:szCs w:val="20"/>
        </w:rPr>
        <w:t xml:space="preserve"> La fascination de l’Islam. Les étapes du regard occidental sur le monde musulman. Les études arabes et islamiques en Europe</w:t>
      </w:r>
      <w:r w:rsidRPr="00CE4FCD">
        <w:rPr>
          <w:rFonts w:asciiTheme="majorBidi" w:hAnsiTheme="majorBidi" w:cstheme="majorBidi"/>
          <w:sz w:val="20"/>
          <w:szCs w:val="20"/>
        </w:rPr>
        <w:t>, Librairie François Maspero, Paris, 1980.</w:t>
      </w:r>
    </w:p>
    <w:p w14:paraId="7B020BF8" w14:textId="77777777" w:rsidR="00A70B78" w:rsidRPr="00CE4FCD" w:rsidRDefault="00A70B78" w:rsidP="00876BB0">
      <w:pPr>
        <w:numPr>
          <w:ilvl w:val="0"/>
          <w:numId w:val="116"/>
        </w:numPr>
        <w:tabs>
          <w:tab w:val="right" w:pos="993"/>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lang w:bidi="ar-AE"/>
        </w:rPr>
        <w:t xml:space="preserve">SFAR, Mondher, </w:t>
      </w:r>
      <w:r w:rsidRPr="00CE4FCD">
        <w:rPr>
          <w:rFonts w:asciiTheme="majorBidi" w:eastAsia="Times New Roman" w:hAnsiTheme="majorBidi" w:cstheme="majorBidi"/>
          <w:i/>
          <w:iCs/>
          <w:sz w:val="20"/>
          <w:szCs w:val="20"/>
          <w:lang w:bidi="ar-AE"/>
        </w:rPr>
        <w:t>Le Coran est-il authentique ?</w:t>
      </w:r>
      <w:r w:rsidRPr="00CE4FCD">
        <w:rPr>
          <w:rFonts w:asciiTheme="majorBidi" w:eastAsia="Times New Roman" w:hAnsiTheme="majorBidi" w:cstheme="majorBidi"/>
          <w:sz w:val="20"/>
          <w:szCs w:val="20"/>
          <w:lang w:bidi="ar-AE"/>
        </w:rPr>
        <w:t>, Éditions Sfar, Paris, 2000.</w:t>
      </w:r>
    </w:p>
    <w:p w14:paraId="18921285" w14:textId="77777777" w:rsidR="00A70B78" w:rsidRPr="00CE4FCD" w:rsidRDefault="00A70B78" w:rsidP="00876BB0">
      <w:pPr>
        <w:numPr>
          <w:ilvl w:val="0"/>
          <w:numId w:val="116"/>
        </w:numPr>
        <w:tabs>
          <w:tab w:val="left" w:pos="851"/>
        </w:tabs>
        <w:spacing w:line="360" w:lineRule="auto"/>
        <w:contextualSpacing/>
        <w:jc w:val="both"/>
        <w:rPr>
          <w:rFonts w:asciiTheme="majorBidi" w:eastAsia="Times New Roman" w:hAnsiTheme="majorBidi" w:cstheme="majorBidi"/>
          <w:sz w:val="20"/>
          <w:szCs w:val="20"/>
        </w:rPr>
      </w:pPr>
      <w:r w:rsidRPr="00CE4FCD">
        <w:rPr>
          <w:rFonts w:asciiTheme="majorBidi" w:eastAsia="Calibri" w:hAnsiTheme="majorBidi" w:cstheme="majorBidi"/>
          <w:sz w:val="20"/>
          <w:szCs w:val="20"/>
        </w:rPr>
        <w:t xml:space="preserve">TARTAR, George (pasteur), </w:t>
      </w:r>
      <w:r w:rsidRPr="00CE4FCD">
        <w:rPr>
          <w:rFonts w:asciiTheme="majorBidi" w:eastAsia="Calibri" w:hAnsiTheme="majorBidi" w:cstheme="majorBidi"/>
          <w:i/>
          <w:iCs/>
          <w:sz w:val="20"/>
          <w:szCs w:val="20"/>
        </w:rPr>
        <w:t>Dialogue islamo-chrétien sous le calife al-Maʾmūn (813-834). Les épîtres d’al-Hāshimī et d’al-Kindī</w:t>
      </w:r>
      <w:r w:rsidRPr="00CE4FCD">
        <w:rPr>
          <w:rFonts w:asciiTheme="majorBidi" w:eastAsia="Calibri" w:hAnsiTheme="majorBidi" w:cstheme="majorBidi"/>
          <w:sz w:val="20"/>
          <w:szCs w:val="20"/>
        </w:rPr>
        <w:t>, (Strasbourg, 1977), Nouvelle Éditions Latines, Paris, 1985.</w:t>
      </w:r>
    </w:p>
    <w:p w14:paraId="36DD41AC" w14:textId="77777777" w:rsidR="00A70B78" w:rsidRPr="00CE4FCD" w:rsidRDefault="00A70B78" w:rsidP="00876BB0">
      <w:pPr>
        <w:pStyle w:val="Paragraphedeliste"/>
        <w:numPr>
          <w:ilvl w:val="0"/>
          <w:numId w:val="116"/>
        </w:numPr>
        <w:bidi w:val="0"/>
        <w:spacing w:after="0" w:line="360" w:lineRule="auto"/>
        <w:contextualSpacing/>
        <w:jc w:val="both"/>
        <w:rPr>
          <w:rFonts w:asciiTheme="majorBidi" w:eastAsia="SimSun" w:hAnsiTheme="majorBidi" w:cstheme="majorBidi"/>
          <w:sz w:val="20"/>
          <w:szCs w:val="20"/>
          <w:lang w:eastAsia="zh-CN"/>
        </w:rPr>
      </w:pPr>
      <w:r w:rsidRPr="00CE4FCD">
        <w:rPr>
          <w:rFonts w:asciiTheme="majorBidi" w:eastAsia="SimSun" w:hAnsiTheme="majorBidi" w:cstheme="majorBidi"/>
          <w:sz w:val="20"/>
          <w:szCs w:val="20"/>
          <w:lang w:eastAsia="zh-CN"/>
        </w:rPr>
        <w:t xml:space="preserve">ʿĀMIR, Inās ʿAbd al-Fattāḥ, </w:t>
      </w:r>
      <w:r w:rsidRPr="00CE4FCD">
        <w:rPr>
          <w:rFonts w:asciiTheme="majorBidi" w:eastAsia="SimSun" w:hAnsiTheme="majorBidi" w:cstheme="majorBidi"/>
          <w:i/>
          <w:iCs/>
          <w:sz w:val="20"/>
          <w:szCs w:val="20"/>
          <w:lang w:eastAsia="zh-CN"/>
        </w:rPr>
        <w:t>La sourate yā sīn et ses diverses interprétations françaises</w:t>
      </w:r>
      <w:r w:rsidRPr="00CE4FCD">
        <w:rPr>
          <w:rFonts w:asciiTheme="majorBidi" w:eastAsia="SimSun" w:hAnsiTheme="majorBidi" w:cstheme="majorBidi"/>
          <w:sz w:val="20"/>
          <w:szCs w:val="20"/>
          <w:lang w:eastAsia="zh-CN"/>
        </w:rPr>
        <w:t>, thèse de magistère, Le Caire, Université d’Al-Azhar, 1991.</w:t>
      </w:r>
    </w:p>
    <w:p w14:paraId="612D36A7" w14:textId="77777777" w:rsidR="00A70B78" w:rsidRPr="00CE4FCD" w:rsidRDefault="00A70B78" w:rsidP="00A70B78">
      <w:pPr>
        <w:spacing w:line="360" w:lineRule="auto"/>
        <w:contextualSpacing/>
        <w:jc w:val="both"/>
        <w:rPr>
          <w:rFonts w:asciiTheme="majorBidi" w:hAnsiTheme="majorBidi" w:cstheme="majorBidi"/>
          <w:sz w:val="20"/>
          <w:szCs w:val="20"/>
        </w:rPr>
      </w:pPr>
    </w:p>
    <w:p w14:paraId="1E969656" w14:textId="77777777" w:rsidR="00A70B78" w:rsidRPr="00CE4FCD" w:rsidRDefault="00A70B78" w:rsidP="00A70B78">
      <w:pPr>
        <w:spacing w:line="360" w:lineRule="auto"/>
        <w:contextualSpacing/>
        <w:jc w:val="both"/>
        <w:rPr>
          <w:rFonts w:asciiTheme="majorBidi" w:eastAsia="Times New Roman" w:hAnsiTheme="majorBidi" w:cstheme="majorBidi"/>
          <w:b/>
          <w:bCs/>
          <w:sz w:val="20"/>
          <w:szCs w:val="20"/>
          <w:u w:val="single"/>
        </w:rPr>
      </w:pPr>
      <w:r w:rsidRPr="00CE4FCD">
        <w:rPr>
          <w:rFonts w:asciiTheme="majorBidi" w:eastAsia="Times New Roman" w:hAnsiTheme="majorBidi" w:cstheme="majorBidi"/>
          <w:b/>
          <w:bCs/>
          <w:sz w:val="20"/>
          <w:szCs w:val="20"/>
          <w:u w:val="single"/>
        </w:rPr>
        <w:t>Bibliographie herméneutique et traductologique :</w:t>
      </w:r>
    </w:p>
    <w:p w14:paraId="121229C7"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AWAISS, Henri, &amp; ABOU FADEL SAAD, Gina, « Quand la parole de Dieu passe par la plume du traducteur », colloque international sur « La Traduction du langage religieux en tant que dialogue interculturel et interconfessionnel », Université de Ştefan cel Mare, Suceava, Roumanie, les 11, 12 et 13 juillet 2008.</w:t>
      </w:r>
    </w:p>
    <w:p w14:paraId="5DD9642C" w14:textId="77777777" w:rsidR="00A70B78" w:rsidRPr="00CE4FCD" w:rsidRDefault="00A70B78" w:rsidP="00876BB0">
      <w:pPr>
        <w:numPr>
          <w:ilvl w:val="0"/>
          <w:numId w:val="103"/>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BELLOS, David, </w:t>
      </w:r>
      <w:r w:rsidRPr="00CE4FCD">
        <w:rPr>
          <w:rFonts w:asciiTheme="majorBidi" w:eastAsia="Times New Roman" w:hAnsiTheme="majorBidi" w:cstheme="majorBidi"/>
          <w:i/>
          <w:iCs/>
          <w:sz w:val="20"/>
          <w:szCs w:val="20"/>
        </w:rPr>
        <w:t>Le poisson et le bananier : Une histoire fabuleuse de la traduction</w:t>
      </w:r>
      <w:r w:rsidRPr="00CE4FCD">
        <w:rPr>
          <w:rFonts w:asciiTheme="majorBidi" w:eastAsia="Times New Roman" w:hAnsiTheme="majorBidi" w:cstheme="majorBidi"/>
          <w:sz w:val="20"/>
          <w:szCs w:val="20"/>
        </w:rPr>
        <w:t>, traduit par Daniel Loayza, Flammarion, Paris, 2012.</w:t>
      </w:r>
    </w:p>
    <w:p w14:paraId="77E4E49E" w14:textId="77777777" w:rsidR="00A70B78" w:rsidRPr="00CE4FCD" w:rsidRDefault="00A70B78" w:rsidP="00876BB0">
      <w:pPr>
        <w:numPr>
          <w:ilvl w:val="0"/>
          <w:numId w:val="103"/>
        </w:numPr>
        <w:tabs>
          <w:tab w:val="right" w:pos="851"/>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BERMAN, Antoine, </w:t>
      </w:r>
      <w:r w:rsidRPr="00CE4FCD">
        <w:rPr>
          <w:rFonts w:asciiTheme="majorBidi" w:eastAsia="Times New Roman" w:hAnsiTheme="majorBidi" w:cstheme="majorBidi"/>
          <w:i/>
          <w:iCs/>
          <w:sz w:val="20"/>
          <w:szCs w:val="20"/>
        </w:rPr>
        <w:t>La traduction et la lettre ou l’auberge du lointain</w:t>
      </w:r>
      <w:r w:rsidRPr="00CE4FCD">
        <w:rPr>
          <w:rFonts w:asciiTheme="majorBidi" w:eastAsia="Times New Roman" w:hAnsiTheme="majorBidi" w:cstheme="majorBidi"/>
          <w:sz w:val="20"/>
          <w:szCs w:val="20"/>
        </w:rPr>
        <w:t>, Éditions du Seuil, Paris, 1999.</w:t>
      </w:r>
    </w:p>
    <w:p w14:paraId="23236C2C"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color w:val="C00000"/>
          <w:sz w:val="20"/>
          <w:szCs w:val="20"/>
        </w:rPr>
      </w:pPr>
      <w:r w:rsidRPr="00CE4FCD">
        <w:rPr>
          <w:rFonts w:asciiTheme="majorBidi" w:hAnsiTheme="majorBidi" w:cstheme="majorBidi"/>
          <w:sz w:val="20"/>
          <w:szCs w:val="20"/>
        </w:rPr>
        <w:t>BORRMANS, Maurice, « Les traductions françaises du Coran : présentation et évaluation »,</w:t>
      </w:r>
      <w:r w:rsidRPr="00CE4FCD">
        <w:rPr>
          <w:rFonts w:asciiTheme="majorBidi" w:hAnsiTheme="majorBidi" w:cstheme="majorBidi"/>
          <w:i/>
          <w:iCs/>
          <w:sz w:val="20"/>
          <w:szCs w:val="20"/>
        </w:rPr>
        <w:t xml:space="preserve"> </w:t>
      </w:r>
      <w:r w:rsidRPr="00CE4FCD">
        <w:rPr>
          <w:rFonts w:asciiTheme="majorBidi" w:hAnsiTheme="majorBidi" w:cstheme="majorBidi"/>
          <w:i/>
          <w:sz w:val="20"/>
          <w:szCs w:val="20"/>
        </w:rPr>
        <w:t>ARCRE (Action pour la Rencontre des Cultures et Religions en Europe</w:t>
      </w:r>
      <w:r w:rsidRPr="00CE4FCD">
        <w:rPr>
          <w:rFonts w:asciiTheme="majorBidi" w:hAnsiTheme="majorBidi" w:cstheme="majorBidi"/>
          <w:sz w:val="20"/>
          <w:szCs w:val="20"/>
        </w:rPr>
        <w:t>), 19 octobre 2014 [</w:t>
      </w:r>
      <w:hyperlink r:id="rId26" w:history="1">
        <w:r w:rsidRPr="00CE4FCD">
          <w:rPr>
            <w:rStyle w:val="Lienhypertexte"/>
            <w:rFonts w:asciiTheme="majorBidi" w:hAnsiTheme="majorBidi" w:cstheme="majorBidi"/>
            <w:sz w:val="20"/>
            <w:szCs w:val="20"/>
          </w:rPr>
          <w:t>http://www.arcre.org/p-maurice-borrmans-les-traductions-francaises-du-coran-presentation-et-evaluation/</w:t>
        </w:r>
      </w:hyperlink>
      <w:r w:rsidRPr="00CE4FCD">
        <w:rPr>
          <w:rFonts w:asciiTheme="majorBidi" w:hAnsiTheme="majorBidi" w:cstheme="majorBidi"/>
          <w:sz w:val="20"/>
          <w:szCs w:val="20"/>
        </w:rPr>
        <w:t>].</w:t>
      </w:r>
    </w:p>
    <w:p w14:paraId="20F9A7AE"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BRAGUE, Rémi, « Le Coran : Sortir du cercle ? » [« The Koran : leaving the circle ? »], </w:t>
      </w:r>
      <w:r w:rsidRPr="00CE4FCD">
        <w:rPr>
          <w:rFonts w:asciiTheme="majorBidi" w:hAnsiTheme="majorBidi" w:cstheme="majorBidi"/>
          <w:i/>
          <w:iCs/>
          <w:sz w:val="20"/>
          <w:szCs w:val="20"/>
        </w:rPr>
        <w:t>Critique</w:t>
      </w:r>
      <w:r w:rsidRPr="00CE4FCD">
        <w:rPr>
          <w:rFonts w:asciiTheme="majorBidi" w:hAnsiTheme="majorBidi" w:cstheme="majorBidi"/>
          <w:sz w:val="20"/>
          <w:szCs w:val="20"/>
        </w:rPr>
        <w:t>, avril 2003, n° 671, p.232-251.</w:t>
      </w:r>
    </w:p>
    <w:p w14:paraId="24A293EE"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BUFFART-MORET, Brigitte, </w:t>
      </w:r>
      <w:r w:rsidRPr="00CE4FCD">
        <w:rPr>
          <w:rFonts w:asciiTheme="majorBidi" w:hAnsiTheme="majorBidi" w:cstheme="majorBidi"/>
          <w:i/>
          <w:iCs/>
          <w:sz w:val="20"/>
          <w:szCs w:val="20"/>
        </w:rPr>
        <w:t>Introduction à la stylistique</w:t>
      </w:r>
      <w:r w:rsidRPr="00CE4FCD">
        <w:rPr>
          <w:rFonts w:asciiTheme="majorBidi" w:hAnsiTheme="majorBidi" w:cstheme="majorBidi"/>
          <w:sz w:val="20"/>
          <w:szCs w:val="20"/>
        </w:rPr>
        <w:t>, Paris, Armand Colin, 2007.</w:t>
      </w:r>
    </w:p>
    <w:p w14:paraId="0C11E383" w14:textId="77777777" w:rsidR="00A70B78" w:rsidRPr="00CE4FCD" w:rsidRDefault="00A70B78" w:rsidP="00876BB0">
      <w:pPr>
        <w:pStyle w:val="Notedebasdepage"/>
        <w:numPr>
          <w:ilvl w:val="0"/>
          <w:numId w:val="103"/>
        </w:numPr>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CHEIKH-MOUSSA, Abdallah, « Méthodes et débats de l’hébraïsation moderne du Coran. À propos de la traduction du Coran par A. Chouraqui » [« Methods and Debates of The Modern Hebraization of Koran. About Traduction of Coran by A. Chouraqui »], </w:t>
      </w:r>
      <w:r w:rsidRPr="00CE4FCD">
        <w:rPr>
          <w:rFonts w:asciiTheme="majorBidi" w:hAnsiTheme="majorBidi" w:cstheme="majorBidi"/>
          <w:i/>
          <w:iCs/>
          <w:sz w:val="20"/>
          <w:szCs w:val="20"/>
        </w:rPr>
        <w:t>dans</w:t>
      </w:r>
      <w:r w:rsidRPr="00CE4FCD">
        <w:rPr>
          <w:rFonts w:asciiTheme="majorBidi" w:hAnsiTheme="majorBidi" w:cstheme="majorBidi"/>
          <w:sz w:val="20"/>
          <w:szCs w:val="20"/>
        </w:rPr>
        <w:t xml:space="preserve"> : </w:t>
      </w:r>
      <w:r w:rsidRPr="00CE4FCD">
        <w:rPr>
          <w:rFonts w:asciiTheme="majorBidi" w:hAnsiTheme="majorBidi" w:cstheme="majorBidi"/>
          <w:i/>
          <w:iCs/>
          <w:sz w:val="20"/>
          <w:szCs w:val="20"/>
        </w:rPr>
        <w:t>Arabica</w:t>
      </w:r>
      <w:r w:rsidRPr="00CE4FCD">
        <w:rPr>
          <w:rFonts w:asciiTheme="majorBidi" w:hAnsiTheme="majorBidi" w:cstheme="majorBidi"/>
          <w:sz w:val="20"/>
          <w:szCs w:val="20"/>
        </w:rPr>
        <w:t>, Vol. 42, n° 1 pp.107-126, Brill, Leyde [Leiden], Pays-Bas, 1995.</w:t>
      </w:r>
    </w:p>
    <w:p w14:paraId="2551C819"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tl/>
        </w:rPr>
      </w:pPr>
      <w:r w:rsidRPr="00CE4FCD">
        <w:rPr>
          <w:rFonts w:asciiTheme="majorBidi" w:hAnsiTheme="majorBidi" w:cstheme="majorBidi"/>
          <w:sz w:val="20"/>
          <w:szCs w:val="20"/>
        </w:rPr>
        <w:lastRenderedPageBreak/>
        <w:t>DELISLE, Jean, et WOODSWORTH, Judith,</w:t>
      </w:r>
      <w:r w:rsidRPr="00CE4FCD">
        <w:rPr>
          <w:rFonts w:asciiTheme="majorBidi" w:hAnsiTheme="majorBidi" w:cstheme="majorBidi"/>
          <w:i/>
          <w:iCs/>
          <w:sz w:val="20"/>
          <w:szCs w:val="20"/>
        </w:rPr>
        <w:t xml:space="preserve"> Les traducteurs dans l’histoire</w:t>
      </w:r>
      <w:r w:rsidRPr="00CE4FCD">
        <w:rPr>
          <w:rFonts w:asciiTheme="majorBidi" w:hAnsiTheme="majorBidi" w:cstheme="majorBidi"/>
          <w:sz w:val="20"/>
          <w:szCs w:val="20"/>
        </w:rPr>
        <w:t>, Presses de l’Université d’Ottawa, 1995.</w:t>
      </w:r>
    </w:p>
    <w:p w14:paraId="4D7620B4" w14:textId="77777777" w:rsidR="00A70B78" w:rsidRPr="00CE4FCD" w:rsidRDefault="00A70B78" w:rsidP="00876BB0">
      <w:pPr>
        <w:numPr>
          <w:ilvl w:val="0"/>
          <w:numId w:val="103"/>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DERRIDA, Jacques, </w:t>
      </w:r>
      <w:r w:rsidRPr="00CE4FCD">
        <w:rPr>
          <w:rFonts w:asciiTheme="majorBidi" w:eastAsia="Times New Roman" w:hAnsiTheme="majorBidi" w:cstheme="majorBidi"/>
          <w:i/>
          <w:iCs/>
          <w:sz w:val="20"/>
          <w:szCs w:val="20"/>
        </w:rPr>
        <w:t>De la grammatologie</w:t>
      </w:r>
      <w:r w:rsidRPr="00CE4FCD">
        <w:rPr>
          <w:rFonts w:asciiTheme="majorBidi" w:eastAsia="Times New Roman" w:hAnsiTheme="majorBidi" w:cstheme="majorBidi"/>
          <w:sz w:val="20"/>
          <w:szCs w:val="20"/>
        </w:rPr>
        <w:t xml:space="preserve">, Collection “ Critique”, Éditions de Minuit, </w:t>
      </w:r>
      <w:r w:rsidRPr="00CE4FCD">
        <w:rPr>
          <w:rFonts w:asciiTheme="majorBidi" w:hAnsiTheme="majorBidi" w:cstheme="majorBidi"/>
          <w:sz w:val="20"/>
          <w:szCs w:val="20"/>
          <w:lang w:bidi="ar-AE"/>
        </w:rPr>
        <w:t xml:space="preserve">Paris, </w:t>
      </w:r>
      <w:r w:rsidRPr="00CE4FCD">
        <w:rPr>
          <w:rFonts w:asciiTheme="majorBidi" w:eastAsia="Times New Roman" w:hAnsiTheme="majorBidi" w:cstheme="majorBidi"/>
          <w:sz w:val="20"/>
          <w:szCs w:val="20"/>
        </w:rPr>
        <w:t>1967.</w:t>
      </w:r>
    </w:p>
    <w:p w14:paraId="47D16704" w14:textId="77777777" w:rsidR="00A70B78" w:rsidRPr="00CE4FCD" w:rsidRDefault="00A70B78" w:rsidP="00876BB0">
      <w:pPr>
        <w:numPr>
          <w:ilvl w:val="0"/>
          <w:numId w:val="103"/>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lang w:bidi="ar-AE"/>
        </w:rPr>
        <w:t>DERRIDA, Jacques,</w:t>
      </w:r>
      <w:r w:rsidRPr="00CE4FCD">
        <w:rPr>
          <w:rFonts w:asciiTheme="majorBidi" w:hAnsiTheme="majorBidi" w:cstheme="majorBidi"/>
          <w:i/>
          <w:iCs/>
          <w:sz w:val="20"/>
          <w:szCs w:val="20"/>
          <w:lang w:bidi="ar-AE"/>
        </w:rPr>
        <w:t xml:space="preserve"> Positions</w:t>
      </w:r>
      <w:r w:rsidRPr="00CE4FCD">
        <w:rPr>
          <w:rFonts w:asciiTheme="majorBidi" w:hAnsiTheme="majorBidi" w:cstheme="majorBidi"/>
          <w:sz w:val="20"/>
          <w:szCs w:val="20"/>
          <w:lang w:bidi="ar-AE"/>
        </w:rPr>
        <w:t>, Éditions de Minuit, Paris, 1972.</w:t>
      </w:r>
    </w:p>
    <w:p w14:paraId="4769E52F"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DIETERLÉ, Christiane, « La Bible au risques des traductions », Foi &amp; Vie, </w:t>
      </w:r>
      <w:r w:rsidRPr="00CE4FCD">
        <w:rPr>
          <w:rFonts w:asciiTheme="majorBidi" w:hAnsiTheme="majorBidi" w:cstheme="majorBidi"/>
          <w:i/>
          <w:iCs/>
          <w:sz w:val="20"/>
          <w:szCs w:val="20"/>
        </w:rPr>
        <w:t>Cahier Biblique</w:t>
      </w:r>
      <w:r w:rsidRPr="00CE4FCD">
        <w:rPr>
          <w:rFonts w:asciiTheme="majorBidi" w:hAnsiTheme="majorBidi" w:cstheme="majorBidi"/>
          <w:sz w:val="20"/>
          <w:szCs w:val="20"/>
        </w:rPr>
        <w:t xml:space="preserve"> n° 41, Septembre 2002.</w:t>
      </w:r>
    </w:p>
    <w:p w14:paraId="448A2905" w14:textId="77777777" w:rsidR="00A70B78" w:rsidRPr="00CE4FCD" w:rsidRDefault="00A70B78" w:rsidP="00876BB0">
      <w:pPr>
        <w:numPr>
          <w:ilvl w:val="0"/>
          <w:numId w:val="103"/>
        </w:numPr>
        <w:tabs>
          <w:tab w:val="right" w:pos="993"/>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ECO, Umberto, </w:t>
      </w:r>
      <w:r w:rsidRPr="00CE4FCD">
        <w:rPr>
          <w:rFonts w:asciiTheme="majorBidi" w:eastAsia="Times New Roman" w:hAnsiTheme="majorBidi" w:cstheme="majorBidi"/>
          <w:i/>
          <w:iCs/>
          <w:sz w:val="20"/>
          <w:szCs w:val="20"/>
        </w:rPr>
        <w:t>Les Limites de l’interprétation</w:t>
      </w:r>
      <w:r w:rsidRPr="00CE4FCD">
        <w:rPr>
          <w:rFonts w:asciiTheme="majorBidi" w:eastAsia="Times New Roman" w:hAnsiTheme="majorBidi" w:cstheme="majorBidi"/>
          <w:sz w:val="20"/>
          <w:szCs w:val="20"/>
        </w:rPr>
        <w:t>, Grasset, Paris, 1992 (éd. or. 1990).</w:t>
      </w:r>
    </w:p>
    <w:p w14:paraId="035482B5"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lang w:val="en-US"/>
        </w:rPr>
        <w:t xml:space="preserve">FATANI, Afnan, « Translation and the Qur'an », in Olivier Leaman (ed.), </w:t>
      </w:r>
      <w:r w:rsidRPr="00CE4FCD">
        <w:rPr>
          <w:rFonts w:asciiTheme="majorBidi" w:hAnsiTheme="majorBidi" w:cstheme="majorBidi"/>
          <w:i/>
          <w:iCs/>
          <w:sz w:val="20"/>
          <w:szCs w:val="20"/>
          <w:lang w:val="en-US"/>
        </w:rPr>
        <w:t>The Qur'an: An Encyclopedia</w:t>
      </w:r>
      <w:r w:rsidRPr="00CE4FCD">
        <w:rPr>
          <w:rFonts w:asciiTheme="majorBidi" w:hAnsiTheme="majorBidi" w:cstheme="majorBidi"/>
          <w:sz w:val="20"/>
          <w:szCs w:val="20"/>
          <w:lang w:val="en-US"/>
        </w:rPr>
        <w:t xml:space="preserve">, Routledge, </w:t>
      </w:r>
      <w:r w:rsidRPr="00CE4FCD">
        <w:rPr>
          <w:rFonts w:asciiTheme="majorBidi" w:hAnsiTheme="majorBidi" w:cstheme="majorBidi"/>
          <w:sz w:val="20"/>
          <w:szCs w:val="20"/>
        </w:rPr>
        <w:t>Londres</w:t>
      </w:r>
      <w:r w:rsidRPr="00CE4FCD">
        <w:rPr>
          <w:rFonts w:asciiTheme="majorBidi" w:hAnsiTheme="majorBidi" w:cstheme="majorBidi"/>
          <w:sz w:val="20"/>
          <w:szCs w:val="20"/>
          <w:lang w:val="en-US"/>
        </w:rPr>
        <w:t xml:space="preserve"> et New York, 2006, pp. 657-670.</w:t>
      </w:r>
    </w:p>
    <w:p w14:paraId="5C26FDB8" w14:textId="77777777" w:rsidR="00A70B78" w:rsidRPr="00CE4FCD" w:rsidRDefault="00A70B78" w:rsidP="00876BB0">
      <w:pPr>
        <w:pStyle w:val="NormalWeb"/>
        <w:numPr>
          <w:ilvl w:val="0"/>
          <w:numId w:val="103"/>
        </w:numPr>
        <w:spacing w:before="0" w:beforeAutospacing="0" w:after="0" w:afterAutospacing="0"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GABORIEAU, Marc, « Traductions, impressions et usages du Coran dans le sous-continent indien (1786-1975) », </w:t>
      </w:r>
      <w:r w:rsidRPr="00CE4FCD">
        <w:rPr>
          <w:rFonts w:asciiTheme="majorBidi" w:hAnsiTheme="majorBidi" w:cstheme="majorBidi"/>
          <w:i/>
          <w:sz w:val="20"/>
          <w:szCs w:val="20"/>
        </w:rPr>
        <w:t>Revue de l’histoire des religions</w:t>
      </w:r>
      <w:r w:rsidRPr="00CE4FCD">
        <w:rPr>
          <w:rFonts w:asciiTheme="majorBidi" w:hAnsiTheme="majorBidi" w:cstheme="majorBidi"/>
          <w:sz w:val="20"/>
          <w:szCs w:val="20"/>
        </w:rPr>
        <w:t>, tome 218 n°1, 2001, pp. 97-111.</w:t>
      </w:r>
    </w:p>
    <w:p w14:paraId="5EE05CE0"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GORLÉE, Dinda, </w:t>
      </w:r>
      <w:r w:rsidRPr="00CE4FCD">
        <w:rPr>
          <w:rFonts w:asciiTheme="majorBidi" w:hAnsiTheme="majorBidi" w:cstheme="majorBidi"/>
          <w:i/>
          <w:iCs/>
          <w:sz w:val="20"/>
          <w:szCs w:val="20"/>
        </w:rPr>
        <w:t>Semiotics and the Problem of Translation : With Special Reference to the Semiotics of Charles Sanders Peirce</w:t>
      </w:r>
      <w:r w:rsidRPr="00CE4FCD">
        <w:rPr>
          <w:rFonts w:asciiTheme="majorBidi" w:hAnsiTheme="majorBidi" w:cstheme="majorBidi"/>
          <w:sz w:val="20"/>
          <w:szCs w:val="20"/>
        </w:rPr>
        <w:t>, Rodopi, Amsterdam and Atlanta, 1994.</w:t>
      </w:r>
    </w:p>
    <w:p w14:paraId="6057F6D5" w14:textId="77777777" w:rsidR="00A70B78" w:rsidRPr="00CE4FCD" w:rsidRDefault="00A70B78" w:rsidP="00876BB0">
      <w:pPr>
        <w:numPr>
          <w:ilvl w:val="0"/>
          <w:numId w:val="103"/>
        </w:numPr>
        <w:tabs>
          <w:tab w:val="right" w:pos="851"/>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GUIDÈRE, Mathieu, </w:t>
      </w:r>
      <w:r w:rsidRPr="00CE4FCD">
        <w:rPr>
          <w:rFonts w:asciiTheme="majorBidi" w:eastAsia="Times New Roman" w:hAnsiTheme="majorBidi" w:cstheme="majorBidi"/>
          <w:i/>
          <w:iCs/>
          <w:sz w:val="20"/>
          <w:szCs w:val="20"/>
        </w:rPr>
        <w:t>Introduction à la traductologie : Penser la traduction : hier, aujourd’hui, demain</w:t>
      </w:r>
      <w:r w:rsidRPr="00CE4FCD">
        <w:rPr>
          <w:rFonts w:asciiTheme="majorBidi" w:eastAsia="Times New Roman" w:hAnsiTheme="majorBidi" w:cstheme="majorBidi"/>
          <w:sz w:val="20"/>
          <w:szCs w:val="20"/>
        </w:rPr>
        <w:t>, Groupe De Boeck, Bruxelles, 2008.</w:t>
      </w:r>
    </w:p>
    <w:p w14:paraId="29A53414"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HAJI, Majdi Ibrahim, « La problématique de l’équivalence dynamique dans la traduction du Saint Coran: Une perspective linguistique: la traduction en malais comme modèle », </w:t>
      </w:r>
      <w:r w:rsidRPr="00CE4FCD">
        <w:rPr>
          <w:rFonts w:asciiTheme="majorBidi" w:hAnsiTheme="majorBidi" w:cstheme="majorBidi"/>
          <w:i/>
          <w:sz w:val="20"/>
          <w:szCs w:val="20"/>
        </w:rPr>
        <w:t>Revue de l’Université de Sharjah pour les sciences humaines et sociales</w:t>
      </w:r>
      <w:r w:rsidRPr="00CE4FCD">
        <w:rPr>
          <w:rFonts w:asciiTheme="majorBidi" w:hAnsiTheme="majorBidi" w:cstheme="majorBidi"/>
          <w:sz w:val="20"/>
          <w:szCs w:val="20"/>
        </w:rPr>
        <w:t>, n° 293, 2009.</w:t>
      </w:r>
    </w:p>
    <w:p w14:paraId="41CBAFEB" w14:textId="77777777" w:rsidR="00A70B78" w:rsidRPr="00CE4FCD" w:rsidRDefault="00A70B78" w:rsidP="00876BB0">
      <w:pPr>
        <w:pStyle w:val="Notedebasdepage"/>
        <w:numPr>
          <w:ilvl w:val="0"/>
          <w:numId w:val="103"/>
        </w:numPr>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JACQUEMOND, Richard, </w:t>
      </w:r>
      <w:r w:rsidRPr="00CE4FCD">
        <w:rPr>
          <w:rFonts w:asciiTheme="majorBidi" w:hAnsiTheme="majorBidi" w:cstheme="majorBidi"/>
          <w:i/>
          <w:sz w:val="20"/>
          <w:szCs w:val="20"/>
        </w:rPr>
        <w:t>Recherches sur la production littéraire arabe moderne et sur les mouvements de traduction contemporains de et vers l’arabe</w:t>
      </w:r>
      <w:r w:rsidRPr="00CE4FCD">
        <w:rPr>
          <w:rFonts w:asciiTheme="majorBidi" w:hAnsiTheme="majorBidi" w:cstheme="majorBidi"/>
          <w:sz w:val="20"/>
          <w:szCs w:val="20"/>
        </w:rPr>
        <w:t xml:space="preserve"> (Dossier de synthèse pour l’Habilitation à Diriger des Recherches [HDR]), Université Aix-Marseille I - Université de Provence, 2006.</w:t>
      </w:r>
    </w:p>
    <w:p w14:paraId="3E289D3E"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lang w:bidi="ar-AE"/>
        </w:rPr>
        <w:t xml:space="preserve">JANKOVIC, Zoran, </w:t>
      </w:r>
      <w:r w:rsidRPr="00CE4FCD">
        <w:rPr>
          <w:rFonts w:asciiTheme="majorBidi" w:hAnsiTheme="majorBidi" w:cstheme="majorBidi"/>
          <w:i/>
          <w:iCs/>
          <w:sz w:val="20"/>
          <w:szCs w:val="20"/>
          <w:lang w:bidi="ar-AE"/>
        </w:rPr>
        <w:t>Au-delà du signe. Gadamer et Derrida : Le dépassement herméneutique et déconstructiviste du Dasein</w:t>
      </w:r>
      <w:r w:rsidRPr="00CE4FCD">
        <w:rPr>
          <w:rFonts w:asciiTheme="majorBidi" w:hAnsiTheme="majorBidi" w:cstheme="majorBidi"/>
          <w:sz w:val="20"/>
          <w:szCs w:val="20"/>
          <w:lang w:bidi="ar-AE"/>
        </w:rPr>
        <w:t>, L’Harmattan, Paris, 2003</w:t>
      </w:r>
      <w:r w:rsidRPr="00CE4FCD">
        <w:rPr>
          <w:rFonts w:asciiTheme="majorBidi" w:hAnsiTheme="majorBidi" w:cstheme="majorBidi"/>
          <w:sz w:val="20"/>
          <w:szCs w:val="20"/>
        </w:rPr>
        <w:t>.</w:t>
      </w:r>
    </w:p>
    <w:p w14:paraId="37252951" w14:textId="77777777" w:rsidR="00A70B78" w:rsidRPr="00CE4FCD" w:rsidRDefault="00A70B78" w:rsidP="00876BB0">
      <w:pPr>
        <w:numPr>
          <w:ilvl w:val="0"/>
          <w:numId w:val="103"/>
        </w:numPr>
        <w:tabs>
          <w:tab w:val="right" w:pos="851"/>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JAUSS Hans Robert, </w:t>
      </w:r>
      <w:r w:rsidRPr="00CE4FCD">
        <w:rPr>
          <w:rFonts w:asciiTheme="majorBidi" w:eastAsia="Times New Roman" w:hAnsiTheme="majorBidi" w:cstheme="majorBidi"/>
          <w:i/>
          <w:iCs/>
          <w:sz w:val="20"/>
          <w:szCs w:val="20"/>
        </w:rPr>
        <w:t>Pour une herméneutique littéraire</w:t>
      </w:r>
      <w:r w:rsidRPr="00CE4FCD">
        <w:rPr>
          <w:rFonts w:asciiTheme="majorBidi" w:eastAsia="Times New Roman" w:hAnsiTheme="majorBidi" w:cstheme="majorBidi"/>
          <w:sz w:val="20"/>
          <w:szCs w:val="20"/>
        </w:rPr>
        <w:t>, Gallimard, Coll. Bibliothèque des idées, Paris, 1988.</w:t>
      </w:r>
    </w:p>
    <w:p w14:paraId="27AEE171"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color w:val="C00000"/>
          <w:sz w:val="20"/>
          <w:szCs w:val="20"/>
        </w:rPr>
      </w:pPr>
      <w:r w:rsidRPr="00CE4FCD">
        <w:rPr>
          <w:rFonts w:asciiTheme="majorBidi" w:eastAsia="Calibri" w:hAnsiTheme="majorBidi" w:cstheme="majorBidi"/>
          <w:sz w:val="20"/>
          <w:szCs w:val="20"/>
          <w:lang w:bidi="ar-AE"/>
        </w:rPr>
        <w:t xml:space="preserve">KLEIBER Georges, </w:t>
      </w:r>
      <w:r w:rsidRPr="00CE4FCD">
        <w:rPr>
          <w:rFonts w:asciiTheme="majorBidi" w:eastAsia="Calibri" w:hAnsiTheme="majorBidi" w:cstheme="majorBidi"/>
          <w:i/>
          <w:iCs/>
          <w:sz w:val="20"/>
          <w:szCs w:val="20"/>
          <w:lang w:bidi="ar-AE"/>
        </w:rPr>
        <w:t>Problèmes de sémantique. La polysémie en questions</w:t>
      </w:r>
      <w:r w:rsidRPr="00CE4FCD">
        <w:rPr>
          <w:rFonts w:asciiTheme="majorBidi" w:eastAsia="Calibri" w:hAnsiTheme="majorBidi" w:cstheme="majorBidi"/>
          <w:sz w:val="20"/>
          <w:szCs w:val="20"/>
          <w:lang w:bidi="ar-AE"/>
        </w:rPr>
        <w:t>, Lille, Éditions du Septentrion, 1999.</w:t>
      </w:r>
    </w:p>
    <w:p w14:paraId="7B0B7DCB" w14:textId="77777777" w:rsidR="00A70B78" w:rsidRPr="00CE4FCD" w:rsidRDefault="00A70B78" w:rsidP="00876BB0">
      <w:pPr>
        <w:numPr>
          <w:ilvl w:val="0"/>
          <w:numId w:val="103"/>
        </w:numPr>
        <w:tabs>
          <w:tab w:val="right" w:pos="851"/>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LADMIRAL, Jean-René,</w:t>
      </w:r>
      <w:r w:rsidRPr="00CE4FCD">
        <w:rPr>
          <w:rFonts w:asciiTheme="majorBidi" w:eastAsia="Times New Roman" w:hAnsiTheme="majorBidi" w:cstheme="majorBidi"/>
          <w:i/>
          <w:iCs/>
          <w:sz w:val="20"/>
          <w:szCs w:val="20"/>
        </w:rPr>
        <w:t xml:space="preserve"> Traduire : théorèmes pour la traduction</w:t>
      </w:r>
      <w:r w:rsidRPr="00CE4FCD">
        <w:rPr>
          <w:rFonts w:asciiTheme="majorBidi" w:eastAsia="Times New Roman" w:hAnsiTheme="majorBidi" w:cstheme="majorBidi"/>
          <w:sz w:val="20"/>
          <w:szCs w:val="20"/>
        </w:rPr>
        <w:t>, Paris, Payot, 1979.</w:t>
      </w:r>
    </w:p>
    <w:p w14:paraId="02E5DB79"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MAMERI, Ferhat,</w:t>
      </w:r>
      <w:r w:rsidRPr="00CE4FCD">
        <w:rPr>
          <w:rFonts w:asciiTheme="majorBidi" w:eastAsia="SimSun" w:hAnsiTheme="majorBidi" w:cstheme="majorBidi"/>
          <w:sz w:val="20"/>
          <w:szCs w:val="20"/>
          <w:lang w:eastAsia="zh-CN"/>
        </w:rPr>
        <w:t xml:space="preserve"> </w:t>
      </w:r>
      <w:r w:rsidRPr="00CE4FCD">
        <w:rPr>
          <w:rFonts w:asciiTheme="majorBidi" w:eastAsia="SimSun" w:hAnsiTheme="majorBidi" w:cstheme="majorBidi"/>
          <w:i/>
          <w:iCs/>
          <w:sz w:val="20"/>
          <w:szCs w:val="20"/>
          <w:lang w:eastAsia="zh-CN"/>
        </w:rPr>
        <w:t>Le Concept de Littéralité dans la traduction du Coran. Le cas de trois traductions (</w:t>
      </w:r>
      <w:r w:rsidRPr="00CE4FCD">
        <w:rPr>
          <w:rFonts w:asciiTheme="majorBidi" w:eastAsia="SimSun" w:hAnsiTheme="majorBidi" w:cstheme="majorBidi"/>
          <w:sz w:val="20"/>
          <w:szCs w:val="20"/>
          <w:lang w:eastAsia="zh-CN"/>
        </w:rPr>
        <w:t>thèse de Doctorat),</w:t>
      </w:r>
      <w:r w:rsidRPr="00CE4FCD">
        <w:rPr>
          <w:rFonts w:asciiTheme="majorBidi" w:hAnsiTheme="majorBidi" w:cstheme="majorBidi"/>
          <w:sz w:val="20"/>
          <w:szCs w:val="20"/>
        </w:rPr>
        <w:t xml:space="preserve"> Département de traduction, Faculté des Lettres et des Langues, Université Mentouri, Constantine, Algérie, </w:t>
      </w:r>
      <w:r w:rsidRPr="00CE4FCD">
        <w:rPr>
          <w:rFonts w:asciiTheme="majorBidi" w:eastAsia="SimSun" w:hAnsiTheme="majorBidi" w:cstheme="majorBidi"/>
          <w:sz w:val="20"/>
          <w:szCs w:val="20"/>
          <w:lang w:eastAsia="zh-CN"/>
        </w:rPr>
        <w:t>2005.</w:t>
      </w:r>
    </w:p>
    <w:p w14:paraId="472154D9"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eastAsia="Calibri" w:hAnsiTheme="majorBidi" w:cstheme="majorBidi"/>
          <w:sz w:val="20"/>
          <w:szCs w:val="20"/>
          <w:lang w:bidi="ar-AE"/>
        </w:rPr>
        <w:t>MAZALEYRAT, Hélène,</w:t>
      </w:r>
      <w:r w:rsidRPr="00CE4FCD">
        <w:rPr>
          <w:rFonts w:asciiTheme="majorBidi" w:eastAsia="Calibri" w:hAnsiTheme="majorBidi" w:cstheme="majorBidi"/>
          <w:i/>
          <w:iCs/>
          <w:sz w:val="20"/>
          <w:szCs w:val="20"/>
          <w:lang w:bidi="ar-AE"/>
        </w:rPr>
        <w:t xml:space="preserve"> Vers une approche linguistico-cognitive de la polysémie</w:t>
      </w:r>
      <w:r w:rsidRPr="00CE4FCD">
        <w:rPr>
          <w:rFonts w:asciiTheme="majorBidi" w:eastAsia="Calibri" w:hAnsiTheme="majorBidi" w:cstheme="majorBidi"/>
          <w:sz w:val="20"/>
          <w:szCs w:val="20"/>
          <w:lang w:bidi="ar-AE"/>
        </w:rPr>
        <w:t>.</w:t>
      </w:r>
      <w:r w:rsidRPr="00CE4FCD">
        <w:rPr>
          <w:rFonts w:asciiTheme="majorBidi" w:eastAsia="Calibri" w:hAnsiTheme="majorBidi" w:cstheme="majorBidi"/>
          <w:i/>
          <w:iCs/>
          <w:sz w:val="20"/>
          <w:szCs w:val="20"/>
          <w:lang w:bidi="ar-AE"/>
        </w:rPr>
        <w:t xml:space="preserve"> Représentation de la signification et construction du sens</w:t>
      </w:r>
      <w:r w:rsidRPr="00CE4FCD">
        <w:rPr>
          <w:rFonts w:asciiTheme="majorBidi" w:eastAsia="Calibri" w:hAnsiTheme="majorBidi" w:cstheme="majorBidi"/>
          <w:sz w:val="20"/>
          <w:szCs w:val="20"/>
          <w:lang w:bidi="ar-AE"/>
        </w:rPr>
        <w:t>. Linguistique. Université Blaise Pascal - Clermont- Ferrand II, 2010.</w:t>
      </w:r>
    </w:p>
    <w:p w14:paraId="64C0E2E5" w14:textId="77777777" w:rsidR="00A70B78" w:rsidRPr="00CE4FCD" w:rsidRDefault="00A70B78" w:rsidP="00876BB0">
      <w:pPr>
        <w:numPr>
          <w:ilvl w:val="0"/>
          <w:numId w:val="103"/>
        </w:numPr>
        <w:tabs>
          <w:tab w:val="right" w:pos="851"/>
        </w:tabs>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MESCHONNIC, Henri, </w:t>
      </w:r>
      <w:r w:rsidRPr="00CE4FCD">
        <w:rPr>
          <w:rFonts w:asciiTheme="majorBidi" w:hAnsiTheme="majorBidi" w:cstheme="majorBidi"/>
          <w:i/>
          <w:iCs/>
          <w:sz w:val="20"/>
          <w:szCs w:val="20"/>
        </w:rPr>
        <w:t>Les états de la poétique</w:t>
      </w:r>
      <w:r w:rsidRPr="00CE4FCD">
        <w:rPr>
          <w:rFonts w:asciiTheme="majorBidi" w:hAnsiTheme="majorBidi" w:cstheme="majorBidi"/>
          <w:sz w:val="20"/>
          <w:szCs w:val="20"/>
        </w:rPr>
        <w:t>, Paris, Presses Universitaires de France, 1985.</w:t>
      </w:r>
    </w:p>
    <w:p w14:paraId="56CD68C5"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MOLINIÉ, Georges, </w:t>
      </w:r>
      <w:r w:rsidRPr="00CE4FCD">
        <w:rPr>
          <w:rFonts w:asciiTheme="majorBidi" w:hAnsiTheme="majorBidi" w:cstheme="majorBidi"/>
          <w:i/>
          <w:iCs/>
          <w:sz w:val="20"/>
          <w:szCs w:val="20"/>
        </w:rPr>
        <w:t xml:space="preserve">Éléments de stylistique française, </w:t>
      </w:r>
      <w:r w:rsidRPr="00CE4FCD">
        <w:rPr>
          <w:rFonts w:asciiTheme="majorBidi" w:hAnsiTheme="majorBidi" w:cstheme="majorBidi"/>
          <w:sz w:val="20"/>
          <w:szCs w:val="20"/>
        </w:rPr>
        <w:t>Paris, Presses Universitaires de France, 1991.</w:t>
      </w:r>
    </w:p>
    <w:p w14:paraId="213937E4" w14:textId="77777777" w:rsidR="00A70B78" w:rsidRPr="00CE4FCD" w:rsidRDefault="00A70B78" w:rsidP="00876BB0">
      <w:pPr>
        <w:numPr>
          <w:ilvl w:val="0"/>
          <w:numId w:val="103"/>
        </w:numPr>
        <w:tabs>
          <w:tab w:val="right" w:pos="851"/>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MOUNIN, Georges,</w:t>
      </w:r>
      <w:r w:rsidRPr="00CE4FCD">
        <w:rPr>
          <w:rFonts w:asciiTheme="majorBidi" w:eastAsia="Times New Roman" w:hAnsiTheme="majorBidi" w:cstheme="majorBidi"/>
          <w:i/>
          <w:iCs/>
          <w:sz w:val="20"/>
          <w:szCs w:val="20"/>
        </w:rPr>
        <w:t xml:space="preserve"> Les Belles infidèles. Essai sur la traduction</w:t>
      </w:r>
      <w:r w:rsidRPr="00CE4FCD">
        <w:rPr>
          <w:rFonts w:asciiTheme="majorBidi" w:eastAsia="Times New Roman" w:hAnsiTheme="majorBidi" w:cstheme="majorBidi"/>
          <w:sz w:val="20"/>
          <w:szCs w:val="20"/>
        </w:rPr>
        <w:t>, Lille, Presses universitaires de Lille, 1994 (</w:t>
      </w:r>
      <w:r w:rsidRPr="00CE4FCD">
        <w:rPr>
          <w:rFonts w:asciiTheme="majorBidi" w:hAnsiTheme="majorBidi" w:cstheme="majorBidi"/>
          <w:sz w:val="20"/>
          <w:szCs w:val="20"/>
        </w:rPr>
        <w:t>1</w:t>
      </w:r>
      <w:r w:rsidRPr="00CE4FCD">
        <w:rPr>
          <w:rFonts w:asciiTheme="majorBidi" w:hAnsiTheme="majorBidi" w:cstheme="majorBidi"/>
          <w:sz w:val="20"/>
          <w:szCs w:val="20"/>
          <w:vertAlign w:val="superscript"/>
        </w:rPr>
        <w:t>ère</w:t>
      </w:r>
      <w:r w:rsidRPr="00CE4FCD">
        <w:rPr>
          <w:rFonts w:asciiTheme="majorBidi" w:hAnsiTheme="majorBidi" w:cstheme="majorBidi"/>
          <w:sz w:val="20"/>
          <w:szCs w:val="20"/>
        </w:rPr>
        <w:t xml:space="preserve"> éd. </w:t>
      </w:r>
      <w:r w:rsidRPr="00CE4FCD">
        <w:rPr>
          <w:rFonts w:asciiTheme="majorBidi" w:eastAsia="Times New Roman" w:hAnsiTheme="majorBidi" w:cstheme="majorBidi"/>
          <w:sz w:val="20"/>
          <w:szCs w:val="20"/>
        </w:rPr>
        <w:t>Cahiers du Sud, 1955).</w:t>
      </w:r>
    </w:p>
    <w:p w14:paraId="2B21F601" w14:textId="77777777" w:rsidR="00A70B78" w:rsidRPr="00CE4FCD" w:rsidRDefault="00A70B78" w:rsidP="00876BB0">
      <w:pPr>
        <w:numPr>
          <w:ilvl w:val="0"/>
          <w:numId w:val="103"/>
        </w:numPr>
        <w:tabs>
          <w:tab w:val="right" w:pos="851"/>
        </w:tabs>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lastRenderedPageBreak/>
        <w:t>MOUNIN, Georges,</w:t>
      </w:r>
      <w:r w:rsidRPr="00CE4FCD">
        <w:rPr>
          <w:rFonts w:asciiTheme="majorBidi" w:eastAsia="Times New Roman" w:hAnsiTheme="majorBidi" w:cstheme="majorBidi"/>
          <w:i/>
          <w:iCs/>
          <w:sz w:val="20"/>
          <w:szCs w:val="20"/>
        </w:rPr>
        <w:t xml:space="preserve"> Les Problèmes théoriques de la traduction</w:t>
      </w:r>
      <w:r w:rsidRPr="00CE4FCD">
        <w:rPr>
          <w:rFonts w:asciiTheme="majorBidi" w:eastAsia="Times New Roman" w:hAnsiTheme="majorBidi" w:cstheme="majorBidi"/>
          <w:sz w:val="20"/>
          <w:szCs w:val="20"/>
        </w:rPr>
        <w:t>, Gallimard, 1976.</w:t>
      </w:r>
    </w:p>
    <w:p w14:paraId="50E7457A"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NIDA, Eugene, </w:t>
      </w:r>
      <w:r w:rsidRPr="00CE4FCD">
        <w:rPr>
          <w:rFonts w:asciiTheme="majorBidi" w:hAnsiTheme="majorBidi" w:cstheme="majorBidi"/>
          <w:i/>
          <w:iCs/>
          <w:sz w:val="20"/>
          <w:szCs w:val="20"/>
        </w:rPr>
        <w:t>Towards a Science of Translating, </w:t>
      </w:r>
      <w:r w:rsidRPr="00CE4FCD">
        <w:rPr>
          <w:rFonts w:asciiTheme="majorBidi" w:hAnsiTheme="majorBidi" w:cstheme="majorBidi"/>
          <w:sz w:val="20"/>
          <w:szCs w:val="20"/>
        </w:rPr>
        <w:t>Leiden, E. J. Brill, 1964.</w:t>
      </w:r>
    </w:p>
    <w:p w14:paraId="53612D3D" w14:textId="77777777" w:rsidR="00A70B78" w:rsidRPr="00CE4FCD" w:rsidRDefault="00A70B78" w:rsidP="00876BB0">
      <w:pPr>
        <w:numPr>
          <w:ilvl w:val="0"/>
          <w:numId w:val="103"/>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OSEKI-DÉPRÉ, Inês, </w:t>
      </w:r>
      <w:r w:rsidRPr="00CE4FCD">
        <w:rPr>
          <w:rFonts w:asciiTheme="majorBidi" w:eastAsia="Times New Roman" w:hAnsiTheme="majorBidi" w:cstheme="majorBidi"/>
          <w:i/>
          <w:iCs/>
          <w:sz w:val="20"/>
          <w:szCs w:val="20"/>
        </w:rPr>
        <w:t>Théories et pratiques de la traduction littéraire</w:t>
      </w:r>
      <w:r w:rsidRPr="00CE4FCD">
        <w:rPr>
          <w:rFonts w:asciiTheme="majorBidi" w:eastAsia="Times New Roman" w:hAnsiTheme="majorBidi" w:cstheme="majorBidi"/>
          <w:sz w:val="20"/>
          <w:szCs w:val="20"/>
        </w:rPr>
        <w:t>, Paris, Armand Colin, 1999.</w:t>
      </w:r>
    </w:p>
    <w:p w14:paraId="521167C8"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QUINE, Willard Van Orman, </w:t>
      </w:r>
      <w:r w:rsidRPr="00CE4FCD">
        <w:rPr>
          <w:rFonts w:asciiTheme="majorBidi" w:hAnsiTheme="majorBidi" w:cstheme="majorBidi"/>
          <w:i/>
          <w:iCs/>
          <w:sz w:val="20"/>
          <w:szCs w:val="20"/>
        </w:rPr>
        <w:t>Le Mot et la Chose</w:t>
      </w:r>
      <w:r w:rsidRPr="00CE4FCD">
        <w:rPr>
          <w:rFonts w:asciiTheme="majorBidi" w:hAnsiTheme="majorBidi" w:cstheme="majorBidi"/>
          <w:sz w:val="20"/>
          <w:szCs w:val="20"/>
        </w:rPr>
        <w:t>, trad. J. Dopp &amp; P. Gochet, avant-propos de P. Gochet, Flammarion, coll. “ Champs”, Paris, 1977.</w:t>
      </w:r>
    </w:p>
    <w:p w14:paraId="00C74FB5" w14:textId="77777777" w:rsidR="00A70B78" w:rsidRPr="00CE4FCD" w:rsidRDefault="00A70B78" w:rsidP="00876BB0">
      <w:pPr>
        <w:numPr>
          <w:ilvl w:val="0"/>
          <w:numId w:val="103"/>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REISS</w:t>
      </w:r>
      <w:r w:rsidRPr="00CE4FCD">
        <w:rPr>
          <w:rFonts w:asciiTheme="majorBidi" w:hAnsiTheme="majorBidi" w:cstheme="majorBidi"/>
          <w:sz w:val="20"/>
          <w:szCs w:val="20"/>
        </w:rPr>
        <w:t xml:space="preserve">, </w:t>
      </w:r>
      <w:r w:rsidRPr="00CE4FCD">
        <w:rPr>
          <w:rFonts w:asciiTheme="majorBidi" w:eastAsia="Times New Roman" w:hAnsiTheme="majorBidi" w:cstheme="majorBidi"/>
          <w:sz w:val="20"/>
          <w:szCs w:val="20"/>
        </w:rPr>
        <w:t>Katharina</w:t>
      </w:r>
      <w:r w:rsidRPr="00CE4FCD">
        <w:rPr>
          <w:rFonts w:asciiTheme="majorBidi" w:hAnsiTheme="majorBidi" w:cstheme="majorBidi"/>
          <w:sz w:val="20"/>
          <w:szCs w:val="20"/>
        </w:rPr>
        <w:t>,</w:t>
      </w:r>
      <w:r w:rsidRPr="00CE4FCD">
        <w:rPr>
          <w:rFonts w:asciiTheme="majorBidi" w:eastAsia="Times New Roman" w:hAnsiTheme="majorBidi" w:cstheme="majorBidi"/>
          <w:sz w:val="20"/>
          <w:szCs w:val="20"/>
        </w:rPr>
        <w:t xml:space="preserve"> </w:t>
      </w:r>
      <w:r w:rsidRPr="00CE4FCD">
        <w:rPr>
          <w:rFonts w:asciiTheme="majorBidi" w:eastAsia="Times New Roman" w:hAnsiTheme="majorBidi" w:cstheme="majorBidi"/>
          <w:i/>
          <w:iCs/>
          <w:sz w:val="20"/>
          <w:szCs w:val="20"/>
        </w:rPr>
        <w:t>Problématiques de la traduction</w:t>
      </w:r>
      <w:r w:rsidRPr="00CE4FCD">
        <w:rPr>
          <w:rFonts w:asciiTheme="majorBidi" w:hAnsiTheme="majorBidi" w:cstheme="majorBidi"/>
          <w:i/>
          <w:iCs/>
          <w:sz w:val="20"/>
          <w:szCs w:val="20"/>
        </w:rPr>
        <w:t> : les conférences de Vienne</w:t>
      </w:r>
      <w:r w:rsidRPr="00CE4FCD">
        <w:rPr>
          <w:rFonts w:asciiTheme="majorBidi" w:eastAsia="Times New Roman" w:hAnsiTheme="majorBidi" w:cstheme="majorBidi"/>
          <w:sz w:val="20"/>
          <w:szCs w:val="20"/>
        </w:rPr>
        <w:t xml:space="preserve">, </w:t>
      </w:r>
      <w:r w:rsidRPr="00CE4FCD">
        <w:rPr>
          <w:rFonts w:asciiTheme="majorBidi" w:hAnsiTheme="majorBidi" w:cstheme="majorBidi"/>
          <w:sz w:val="20"/>
          <w:szCs w:val="20"/>
        </w:rPr>
        <w:t xml:space="preserve">préface de Jean-René Ladmiral, traduction et notes de Catherine A. Bocquet, Éditions Economica : Anthropos, Paris, </w:t>
      </w:r>
      <w:r w:rsidRPr="00CE4FCD">
        <w:rPr>
          <w:rFonts w:asciiTheme="majorBidi" w:eastAsia="Times New Roman" w:hAnsiTheme="majorBidi" w:cstheme="majorBidi"/>
          <w:sz w:val="20"/>
          <w:szCs w:val="20"/>
        </w:rPr>
        <w:t>2009.</w:t>
      </w:r>
    </w:p>
    <w:p w14:paraId="79498361"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RICO, Christophe, « La linguistique peut-elle définir l’acte de traduction ? », in J.-M. Poffet (dir.), </w:t>
      </w:r>
      <w:r w:rsidRPr="00CE4FCD">
        <w:rPr>
          <w:rFonts w:asciiTheme="majorBidi" w:hAnsiTheme="majorBidi" w:cstheme="majorBidi"/>
          <w:i/>
          <w:iCs/>
          <w:sz w:val="20"/>
          <w:szCs w:val="20"/>
        </w:rPr>
        <w:t>L’autorité de l’Écriture</w:t>
      </w:r>
      <w:r w:rsidRPr="00CE4FCD">
        <w:rPr>
          <w:rFonts w:asciiTheme="majorBidi" w:hAnsiTheme="majorBidi" w:cstheme="majorBidi"/>
          <w:sz w:val="20"/>
          <w:szCs w:val="20"/>
        </w:rPr>
        <w:t>, Hors-série, Le Cerf, Paris, 2002.</w:t>
      </w:r>
    </w:p>
    <w:p w14:paraId="14421C06"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RICŒUR, Paul, </w:t>
      </w:r>
      <w:r w:rsidRPr="00CE4FCD">
        <w:rPr>
          <w:rFonts w:asciiTheme="majorBidi" w:eastAsia="Times New Roman" w:hAnsiTheme="majorBidi" w:cstheme="majorBidi"/>
          <w:i/>
          <w:iCs/>
          <w:sz w:val="20"/>
          <w:szCs w:val="20"/>
        </w:rPr>
        <w:t>De l’interprétation. Essai sur Freud</w:t>
      </w:r>
      <w:r w:rsidRPr="00CE4FCD">
        <w:rPr>
          <w:rFonts w:asciiTheme="majorBidi" w:eastAsia="Times New Roman" w:hAnsiTheme="majorBidi" w:cstheme="majorBidi"/>
          <w:sz w:val="20"/>
          <w:szCs w:val="20"/>
        </w:rPr>
        <w:t xml:space="preserve">, Le Seuil, coll. </w:t>
      </w:r>
      <w:r w:rsidRPr="00CE4FCD">
        <w:rPr>
          <w:rFonts w:asciiTheme="majorBidi" w:eastAsia="Times New Roman" w:hAnsiTheme="majorBidi" w:cstheme="majorBidi"/>
          <w:iCs/>
          <w:sz w:val="20"/>
          <w:szCs w:val="20"/>
        </w:rPr>
        <w:t>L’Ordre philosophique</w:t>
      </w:r>
      <w:r w:rsidRPr="00CE4FCD">
        <w:rPr>
          <w:rFonts w:asciiTheme="majorBidi" w:eastAsia="Times New Roman" w:hAnsiTheme="majorBidi" w:cstheme="majorBidi"/>
          <w:sz w:val="20"/>
          <w:szCs w:val="20"/>
        </w:rPr>
        <w:t xml:space="preserve">, Paris, 1965. </w:t>
      </w:r>
    </w:p>
    <w:p w14:paraId="4739D3E4"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RICŒUR, Paul,</w:t>
      </w:r>
      <w:r w:rsidRPr="00CE4FCD">
        <w:rPr>
          <w:rFonts w:asciiTheme="majorBidi" w:hAnsiTheme="majorBidi" w:cstheme="majorBidi"/>
          <w:i/>
          <w:iCs/>
          <w:sz w:val="20"/>
          <w:szCs w:val="20"/>
        </w:rPr>
        <w:t xml:space="preserve"> La critique et la conviction,</w:t>
      </w:r>
      <w:r w:rsidRPr="00CE4FCD">
        <w:rPr>
          <w:rFonts w:asciiTheme="majorBidi" w:hAnsiTheme="majorBidi" w:cstheme="majorBidi"/>
          <w:sz w:val="20"/>
          <w:szCs w:val="20"/>
        </w:rPr>
        <w:t xml:space="preserve"> </w:t>
      </w:r>
      <w:r w:rsidRPr="00CE4FCD">
        <w:rPr>
          <w:rFonts w:asciiTheme="majorBidi" w:hAnsiTheme="majorBidi" w:cstheme="majorBidi"/>
          <w:i/>
          <w:iCs/>
          <w:sz w:val="20"/>
          <w:szCs w:val="20"/>
          <w:shd w:val="clear" w:color="auto" w:fill="FFFFFF"/>
        </w:rPr>
        <w:t>Entretiens avec François Azouvi et Marc de Launay</w:t>
      </w:r>
      <w:r w:rsidRPr="00CE4FCD">
        <w:rPr>
          <w:rFonts w:asciiTheme="majorBidi" w:hAnsiTheme="majorBidi" w:cstheme="majorBidi"/>
          <w:sz w:val="20"/>
          <w:szCs w:val="20"/>
        </w:rPr>
        <w:t>, Calmann-Lévy, Paris, 1995.</w:t>
      </w:r>
    </w:p>
    <w:p w14:paraId="1082B722"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RICŒUR, Paul, </w:t>
      </w:r>
      <w:r w:rsidRPr="00CE4FCD">
        <w:rPr>
          <w:rFonts w:asciiTheme="majorBidi" w:eastAsia="Times New Roman" w:hAnsiTheme="majorBidi" w:cstheme="majorBidi"/>
          <w:i/>
          <w:iCs/>
          <w:sz w:val="20"/>
          <w:szCs w:val="20"/>
        </w:rPr>
        <w:t>Le conflit des interprétations</w:t>
      </w:r>
      <w:r w:rsidRPr="00CE4FCD">
        <w:rPr>
          <w:rFonts w:asciiTheme="majorBidi" w:eastAsia="Times New Roman" w:hAnsiTheme="majorBidi" w:cstheme="majorBidi"/>
          <w:sz w:val="20"/>
          <w:szCs w:val="20"/>
        </w:rPr>
        <w:t>, Le Seuil, Coll. Esprit, Paris, 1969.</w:t>
      </w:r>
    </w:p>
    <w:p w14:paraId="01B85D03"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RICŒUR, Paul, </w:t>
      </w:r>
      <w:r w:rsidRPr="00CE4FCD">
        <w:rPr>
          <w:rFonts w:asciiTheme="majorBidi" w:eastAsia="Times New Roman" w:hAnsiTheme="majorBidi" w:cstheme="majorBidi"/>
          <w:i/>
          <w:iCs/>
          <w:sz w:val="20"/>
          <w:szCs w:val="20"/>
        </w:rPr>
        <w:t>Sur la traduction</w:t>
      </w:r>
      <w:r w:rsidRPr="00CE4FCD">
        <w:rPr>
          <w:rFonts w:asciiTheme="majorBidi" w:eastAsia="Times New Roman" w:hAnsiTheme="majorBidi" w:cstheme="majorBidi"/>
          <w:sz w:val="20"/>
          <w:szCs w:val="20"/>
        </w:rPr>
        <w:t>, Bayard Culture, 2004</w:t>
      </w:r>
      <w:r w:rsidRPr="00CE4FCD">
        <w:rPr>
          <w:rFonts w:asciiTheme="majorBidi" w:eastAsia="Times New Roman" w:hAnsiTheme="majorBidi" w:cstheme="majorBidi"/>
          <w:sz w:val="20"/>
          <w:szCs w:val="20"/>
          <w:rtl/>
        </w:rPr>
        <w:t>.</w:t>
      </w:r>
    </w:p>
    <w:p w14:paraId="18D4DE69" w14:textId="77777777" w:rsidR="00A70B78" w:rsidRPr="00CE4FCD" w:rsidRDefault="00A70B78" w:rsidP="00876BB0">
      <w:pPr>
        <w:numPr>
          <w:ilvl w:val="0"/>
          <w:numId w:val="103"/>
        </w:numPr>
        <w:tabs>
          <w:tab w:val="right" w:pos="851"/>
        </w:tabs>
        <w:spacing w:line="360" w:lineRule="auto"/>
        <w:ind w:left="714" w:hanging="357"/>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STOLZ, Claire, </w:t>
      </w:r>
      <w:r w:rsidRPr="00CE4FCD">
        <w:rPr>
          <w:rFonts w:asciiTheme="majorBidi" w:hAnsiTheme="majorBidi" w:cstheme="majorBidi"/>
          <w:i/>
          <w:iCs/>
          <w:sz w:val="20"/>
          <w:szCs w:val="20"/>
        </w:rPr>
        <w:t>Initiation à la stylistique</w:t>
      </w:r>
      <w:r w:rsidRPr="00CE4FCD">
        <w:rPr>
          <w:rFonts w:asciiTheme="majorBidi" w:hAnsiTheme="majorBidi" w:cstheme="majorBidi"/>
          <w:sz w:val="20"/>
          <w:szCs w:val="20"/>
        </w:rPr>
        <w:t>, Ellipses, Paris, 1999.</w:t>
      </w:r>
    </w:p>
    <w:p w14:paraId="39651CF7"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SUHAMY, Henri, </w:t>
      </w:r>
      <w:r w:rsidRPr="00CE4FCD">
        <w:rPr>
          <w:rFonts w:asciiTheme="majorBidi" w:hAnsiTheme="majorBidi" w:cstheme="majorBidi"/>
          <w:i/>
          <w:iCs/>
          <w:sz w:val="20"/>
          <w:szCs w:val="20"/>
        </w:rPr>
        <w:t>Les figures de style</w:t>
      </w:r>
      <w:r w:rsidRPr="00CE4FCD">
        <w:rPr>
          <w:rFonts w:asciiTheme="majorBidi" w:hAnsiTheme="majorBidi" w:cstheme="majorBidi"/>
          <w:sz w:val="20"/>
          <w:szCs w:val="20"/>
        </w:rPr>
        <w:t>, Presses universitaires de France, Paris, 1995.</w:t>
      </w:r>
    </w:p>
    <w:p w14:paraId="771510C2" w14:textId="77777777" w:rsidR="00A70B78" w:rsidRPr="00CE4FCD" w:rsidRDefault="00A70B78" w:rsidP="00876BB0">
      <w:pPr>
        <w:pStyle w:val="n1"/>
        <w:numPr>
          <w:ilvl w:val="0"/>
          <w:numId w:val="103"/>
        </w:numPr>
        <w:bidi w:val="0"/>
        <w:spacing w:line="360" w:lineRule="auto"/>
        <w:contextualSpacing/>
        <w:jc w:val="both"/>
        <w:rPr>
          <w:rFonts w:asciiTheme="majorBidi" w:hAnsiTheme="majorBidi" w:cstheme="majorBidi"/>
          <w:sz w:val="20"/>
          <w:szCs w:val="20"/>
        </w:rPr>
      </w:pPr>
      <w:r w:rsidRPr="00CE4FCD">
        <w:rPr>
          <w:rFonts w:asciiTheme="majorBidi" w:hAnsiTheme="majorBidi" w:cstheme="majorBidi"/>
          <w:sz w:val="20"/>
          <w:szCs w:val="20"/>
        </w:rPr>
        <w:t xml:space="preserve">TRABELSI, Chédia, « La problématique de la traduction du Coran : étude comparative de quatre traductions françaises de la sourate "La lumière" », </w:t>
      </w:r>
      <w:r w:rsidRPr="00CE4FCD">
        <w:rPr>
          <w:rFonts w:asciiTheme="majorBidi" w:hAnsiTheme="majorBidi" w:cstheme="majorBidi"/>
          <w:i/>
          <w:iCs/>
          <w:sz w:val="20"/>
          <w:szCs w:val="20"/>
        </w:rPr>
        <w:t>Meta</w:t>
      </w:r>
      <w:r w:rsidRPr="00CE4FCD">
        <w:rPr>
          <w:rFonts w:asciiTheme="majorBidi" w:hAnsiTheme="majorBidi" w:cstheme="majorBidi"/>
          <w:sz w:val="20"/>
          <w:szCs w:val="20"/>
        </w:rPr>
        <w:t>, vol. 45, n° 3, 2000, p. 400-411.</w:t>
      </w:r>
    </w:p>
    <w:p w14:paraId="7E30EB4B" w14:textId="77777777" w:rsidR="00A70B78" w:rsidRPr="00CE4FCD" w:rsidRDefault="00A70B78" w:rsidP="00A70B78">
      <w:pPr>
        <w:spacing w:line="360" w:lineRule="auto"/>
        <w:contextualSpacing/>
        <w:jc w:val="both"/>
        <w:rPr>
          <w:rFonts w:asciiTheme="majorBidi" w:eastAsia="Calibri" w:hAnsiTheme="majorBidi" w:cstheme="majorBidi"/>
          <w:sz w:val="20"/>
          <w:szCs w:val="20"/>
        </w:rPr>
      </w:pPr>
    </w:p>
    <w:p w14:paraId="35BF9029" w14:textId="77777777" w:rsidR="00A70B78" w:rsidRPr="00CE4FCD" w:rsidRDefault="00A70B78" w:rsidP="00A70B78">
      <w:pPr>
        <w:spacing w:line="360" w:lineRule="auto"/>
        <w:contextualSpacing/>
        <w:jc w:val="both"/>
        <w:rPr>
          <w:rFonts w:asciiTheme="majorBidi" w:eastAsia="Calibri" w:hAnsiTheme="majorBidi" w:cstheme="majorBidi"/>
          <w:sz w:val="20"/>
          <w:szCs w:val="20"/>
        </w:rPr>
      </w:pPr>
    </w:p>
    <w:p w14:paraId="110A4EBD" w14:textId="77777777" w:rsidR="00A70B78" w:rsidRPr="00CE4FCD" w:rsidRDefault="00A70B78" w:rsidP="00A70B78">
      <w:pPr>
        <w:spacing w:line="360" w:lineRule="auto"/>
        <w:contextualSpacing/>
        <w:jc w:val="both"/>
        <w:rPr>
          <w:rFonts w:asciiTheme="majorBidi" w:eastAsia="Times New Roman" w:hAnsiTheme="majorBidi" w:cstheme="majorBidi"/>
          <w:b/>
          <w:bCs/>
          <w:sz w:val="20"/>
          <w:szCs w:val="20"/>
          <w:u w:val="single"/>
          <w:lang w:bidi="ar-AE"/>
        </w:rPr>
      </w:pPr>
      <w:r w:rsidRPr="00CE4FCD">
        <w:rPr>
          <w:rFonts w:asciiTheme="majorBidi" w:eastAsia="Times New Roman" w:hAnsiTheme="majorBidi" w:cstheme="majorBidi"/>
          <w:b/>
          <w:bCs/>
          <w:sz w:val="20"/>
          <w:szCs w:val="20"/>
          <w:u w:val="single"/>
          <w:lang w:bidi="ar-EG"/>
        </w:rPr>
        <w:t>Bibliographie arabe :</w:t>
      </w:r>
    </w:p>
    <w:p w14:paraId="537B53F8" w14:textId="77777777" w:rsidR="00A70B78" w:rsidRPr="00CE4FCD" w:rsidRDefault="00A70B78" w:rsidP="00A70B78">
      <w:pPr>
        <w:spacing w:line="360" w:lineRule="auto"/>
        <w:ind w:right="720"/>
        <w:contextualSpacing/>
        <w:jc w:val="both"/>
        <w:rPr>
          <w:rFonts w:asciiTheme="majorBidi" w:eastAsia="Times New Roman" w:hAnsiTheme="majorBidi" w:cstheme="majorBidi"/>
          <w:b/>
          <w:bCs/>
          <w:sz w:val="20"/>
          <w:szCs w:val="20"/>
          <w:u w:val="single"/>
          <w:rtl/>
          <w:lang w:val="en-AU" w:eastAsia="en-AU"/>
        </w:rPr>
      </w:pPr>
      <w:r w:rsidRPr="00CE4FCD">
        <w:rPr>
          <w:rFonts w:asciiTheme="majorBidi" w:eastAsia="Times New Roman" w:hAnsiTheme="majorBidi" w:cstheme="majorBidi"/>
          <w:b/>
          <w:bCs/>
          <w:sz w:val="20"/>
          <w:szCs w:val="20"/>
          <w:u w:val="single"/>
          <w:lang w:val="en-AU" w:eastAsia="en-AU"/>
        </w:rPr>
        <w:t xml:space="preserve">Question de </w:t>
      </w:r>
      <w:r w:rsidRPr="00CE4FCD">
        <w:rPr>
          <w:rFonts w:asciiTheme="majorBidi" w:eastAsia="Times New Roman" w:hAnsiTheme="majorBidi" w:cstheme="majorBidi"/>
          <w:b/>
          <w:bCs/>
          <w:sz w:val="20"/>
          <w:szCs w:val="20"/>
          <w:u w:val="single"/>
          <w:lang w:eastAsia="en-AU"/>
        </w:rPr>
        <w:t>traductions</w:t>
      </w:r>
      <w:r w:rsidRPr="00CE4FCD">
        <w:rPr>
          <w:rFonts w:asciiTheme="majorBidi" w:eastAsia="Times New Roman" w:hAnsiTheme="majorBidi" w:cstheme="majorBidi"/>
          <w:b/>
          <w:bCs/>
          <w:sz w:val="20"/>
          <w:szCs w:val="20"/>
          <w:u w:val="single"/>
          <w:lang w:val="en-AU" w:eastAsia="en-AU"/>
        </w:rPr>
        <w:t xml:space="preserve"> et traduction du Coran:</w:t>
      </w:r>
    </w:p>
    <w:p w14:paraId="3D512A7C"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الندوي، عبد الله عباس،</w:t>
      </w:r>
      <w:r w:rsidRPr="00E14D01">
        <w:rPr>
          <w:rFonts w:asciiTheme="majorBidi" w:eastAsia="Times New Roman" w:hAnsiTheme="majorBidi" w:cs="Al Bayan Plain"/>
          <w:i/>
          <w:iCs/>
          <w:rtl/>
          <w:lang w:val="en-AU" w:eastAsia="en-AU"/>
        </w:rPr>
        <w:t xml:space="preserve"> ترجمات معاني القرآن وتطور فهمه عند الغرب</w:t>
      </w:r>
      <w:r w:rsidRPr="00E14D01">
        <w:rPr>
          <w:rFonts w:asciiTheme="majorBidi" w:eastAsia="Times New Roman" w:hAnsiTheme="majorBidi" w:cs="Al Bayan Plain"/>
          <w:rtl/>
          <w:lang w:val="en-AU" w:eastAsia="en-AU"/>
        </w:rPr>
        <w:t xml:space="preserve">، دار الفتح، جدة، </w:t>
      </w:r>
      <w:r w:rsidRPr="00E14D01">
        <w:rPr>
          <w:rFonts w:ascii="Calibri" w:eastAsia="Calibri" w:hAnsi="Calibri" w:cs="Calibri"/>
          <w:rtl/>
          <w:lang w:val="en-AU" w:eastAsia="en-AU"/>
        </w:rPr>
        <w:t>1972</w:t>
      </w:r>
      <w:r w:rsidRPr="00E14D01">
        <w:rPr>
          <w:rFonts w:asciiTheme="majorBidi" w:eastAsia="Times New Roman" w:hAnsiTheme="majorBidi" w:cs="Al Bayan Plain"/>
          <w:rtl/>
          <w:lang w:val="en-AU" w:eastAsia="en-AU"/>
        </w:rPr>
        <w:t>.</w:t>
      </w:r>
    </w:p>
    <w:p w14:paraId="6DD7A545"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rtl/>
          <w:lang w:val="en-AU" w:eastAsia="en-AU"/>
        </w:rPr>
      </w:pPr>
      <w:r w:rsidRPr="00E14D01">
        <w:rPr>
          <w:rFonts w:asciiTheme="majorBidi" w:eastAsia="Times New Roman" w:hAnsiTheme="majorBidi" w:cs="Al Bayan Plain"/>
          <w:rtl/>
          <w:lang w:val="en-AU" w:eastAsia="en-AU"/>
        </w:rPr>
        <w:t>بنداق (الـ)</w:t>
      </w:r>
      <w:r w:rsidRPr="00E14D01">
        <w:rPr>
          <w:rFonts w:asciiTheme="majorBidi" w:eastAsia="Times New Roman" w:hAnsiTheme="majorBidi" w:cs="Al Bayan Plain"/>
          <w:rtl/>
          <w:lang w:eastAsia="en-AU" w:bidi="ar-KW"/>
        </w:rPr>
        <w:t>،</w:t>
      </w:r>
      <w:r w:rsidRPr="00E14D01">
        <w:rPr>
          <w:rFonts w:asciiTheme="majorBidi" w:eastAsia="Times New Roman" w:hAnsiTheme="majorBidi" w:cs="Al Bayan Plain"/>
          <w:rtl/>
          <w:lang w:val="en-AU" w:eastAsia="en-AU"/>
        </w:rPr>
        <w:t xml:space="preserve"> محمد صالح، </w:t>
      </w:r>
      <w:r w:rsidRPr="00E14D01">
        <w:rPr>
          <w:rFonts w:asciiTheme="majorBidi" w:eastAsia="Times New Roman" w:hAnsiTheme="majorBidi" w:cs="Al Bayan Plain"/>
          <w:i/>
          <w:iCs/>
          <w:rtl/>
          <w:lang w:val="en-AU" w:eastAsia="en-AU"/>
        </w:rPr>
        <w:t>المستشرقون وترجمة القرآن الكريم</w:t>
      </w:r>
      <w:r w:rsidRPr="00E14D01">
        <w:rPr>
          <w:rFonts w:asciiTheme="majorBidi" w:eastAsia="Times New Roman" w:hAnsiTheme="majorBidi" w:cs="Al Bayan Plain"/>
          <w:rtl/>
          <w:lang w:val="en-AU" w:eastAsia="en-AU"/>
        </w:rPr>
        <w:t xml:space="preserve">، منشورات دار الآفاق الجديدة بيروت، ط ثانية، </w:t>
      </w:r>
      <w:r w:rsidRPr="00E14D01">
        <w:rPr>
          <w:rFonts w:ascii="Calibri" w:eastAsia="Calibri" w:hAnsi="Calibri" w:cs="Calibri"/>
          <w:rtl/>
          <w:lang w:val="en-AU" w:eastAsia="en-AU"/>
        </w:rPr>
        <w:t>1983</w:t>
      </w:r>
      <w:r w:rsidRPr="00E14D01">
        <w:rPr>
          <w:rFonts w:asciiTheme="majorBidi" w:eastAsia="Times New Roman" w:hAnsiTheme="majorBidi" w:cs="Al Bayan Plain"/>
          <w:rtl/>
          <w:lang w:val="en-AU" w:eastAsia="en-AU"/>
        </w:rPr>
        <w:t>.</w:t>
      </w:r>
    </w:p>
    <w:p w14:paraId="04EC3A30" w14:textId="77777777" w:rsidR="00A70B78" w:rsidRPr="00E14D01" w:rsidRDefault="00A70B78" w:rsidP="00876BB0">
      <w:pPr>
        <w:numPr>
          <w:ilvl w:val="0"/>
          <w:numId w:val="119"/>
        </w:numPr>
        <w:bidi/>
        <w:spacing w:line="360" w:lineRule="auto"/>
        <w:ind w:left="360" w:right="720" w:hanging="357"/>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بيومي (الـ)،</w:t>
      </w:r>
      <w:r w:rsidRPr="00E14D01">
        <w:rPr>
          <w:rFonts w:asciiTheme="majorBidi" w:eastAsia="Calibri" w:hAnsiTheme="majorBidi" w:cs="Al Bayan Plain"/>
          <w:rtl/>
          <w:lang w:val="en-AU" w:eastAsia="en-AU"/>
        </w:rPr>
        <w:t xml:space="preserve"> </w:t>
      </w:r>
      <w:r w:rsidRPr="00E14D01">
        <w:rPr>
          <w:rFonts w:asciiTheme="majorBidi" w:eastAsia="Times New Roman" w:hAnsiTheme="majorBidi" w:cs="Al Bayan Plain"/>
          <w:rtl/>
          <w:lang w:val="en-AU" w:eastAsia="en-AU"/>
        </w:rPr>
        <w:t>محمد</w:t>
      </w:r>
      <w:r w:rsidRPr="00E14D01">
        <w:rPr>
          <w:rFonts w:asciiTheme="majorBidi" w:eastAsia="Times New Roman" w:hAnsiTheme="majorBidi" w:cs="Al Bayan Plain"/>
          <w:i/>
          <w:iCs/>
          <w:rtl/>
          <w:lang w:val="en-AU" w:eastAsia="en-AU"/>
        </w:rPr>
        <w:t xml:space="preserve"> رجب</w:t>
      </w:r>
      <w:r w:rsidRPr="00E14D01">
        <w:rPr>
          <w:rFonts w:asciiTheme="majorBidi" w:eastAsia="Times New Roman" w:hAnsiTheme="majorBidi" w:cs="Al Bayan Plain"/>
          <w:rtl/>
          <w:lang w:val="en-AU" w:eastAsia="en-AU"/>
        </w:rPr>
        <w:t xml:space="preserve"> (يرد على جاك بيرك)، </w:t>
      </w:r>
      <w:r w:rsidRPr="00E14D01">
        <w:rPr>
          <w:rFonts w:asciiTheme="majorBidi" w:eastAsia="Times New Roman" w:hAnsiTheme="majorBidi" w:cs="Al Bayan Plain"/>
          <w:i/>
          <w:iCs/>
          <w:rtl/>
          <w:lang w:val="en-AU" w:eastAsia="en-AU"/>
        </w:rPr>
        <w:t>إعادة قراءة القرآن الكريم</w:t>
      </w:r>
      <w:r w:rsidRPr="00E14D01">
        <w:rPr>
          <w:rFonts w:asciiTheme="majorBidi" w:eastAsia="Times New Roman" w:hAnsiTheme="majorBidi" w:cs="Al Bayan Plain"/>
          <w:rtl/>
          <w:lang w:val="en-AU" w:eastAsia="en-AU"/>
        </w:rPr>
        <w:t xml:space="preserve">، دار الهلال، </w:t>
      </w:r>
      <w:r w:rsidRPr="00E14D01">
        <w:rPr>
          <w:rFonts w:ascii="Calibri" w:eastAsia="Calibri" w:hAnsi="Calibri" w:cs="Calibri"/>
          <w:rtl/>
          <w:lang w:val="en-AU" w:eastAsia="en-AU"/>
        </w:rPr>
        <w:t>1999</w:t>
      </w:r>
      <w:r w:rsidRPr="00E14D01">
        <w:rPr>
          <w:rFonts w:asciiTheme="majorBidi" w:eastAsia="Times New Roman" w:hAnsiTheme="majorBidi" w:cs="Al Bayan Plain"/>
          <w:rtl/>
          <w:lang w:val="en-AU" w:eastAsia="en-AU"/>
        </w:rPr>
        <w:t>.</w:t>
      </w:r>
    </w:p>
    <w:p w14:paraId="7580E920"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خورشيد</w:t>
      </w:r>
      <w:r w:rsidRPr="00E14D01">
        <w:rPr>
          <w:rFonts w:asciiTheme="majorBidi" w:eastAsia="Calibri" w:hAnsiTheme="majorBidi" w:cs="Al Bayan Plain"/>
          <w:rtl/>
          <w:lang w:val="en-AU" w:eastAsia="en-AU"/>
        </w:rPr>
        <w:t>،</w:t>
      </w:r>
      <w:r w:rsidRPr="00E14D01">
        <w:rPr>
          <w:rFonts w:asciiTheme="majorBidi" w:eastAsia="Times New Roman" w:hAnsiTheme="majorBidi" w:cs="Al Bayan Plain"/>
          <w:rtl/>
          <w:lang w:val="en-AU" w:eastAsia="en-AU"/>
        </w:rPr>
        <w:t xml:space="preserve"> إبراهيم زكي،</w:t>
      </w:r>
      <w:r w:rsidRPr="00E14D01">
        <w:rPr>
          <w:rFonts w:asciiTheme="majorBidi" w:eastAsia="Times New Roman" w:hAnsiTheme="majorBidi" w:cs="Al Bayan Plain"/>
          <w:i/>
          <w:iCs/>
          <w:rtl/>
          <w:lang w:val="en-AU" w:eastAsia="en-AU"/>
        </w:rPr>
        <w:t xml:space="preserve"> الترجمة ومشكلاتها</w:t>
      </w:r>
      <w:r w:rsidRPr="00E14D01">
        <w:rPr>
          <w:rFonts w:asciiTheme="majorBidi" w:eastAsia="Times New Roman" w:hAnsiTheme="majorBidi" w:cs="Al Bayan Plain"/>
          <w:rtl/>
          <w:lang w:val="en-AU" w:eastAsia="en-AU"/>
        </w:rPr>
        <w:t xml:space="preserve">، الهيئة المصرية العامة للكتاب، </w:t>
      </w:r>
      <w:r w:rsidRPr="00E14D01">
        <w:rPr>
          <w:rFonts w:ascii="Calibri" w:eastAsia="Calibri" w:hAnsi="Calibri" w:cs="Calibri"/>
          <w:rtl/>
          <w:lang w:val="en-AU" w:eastAsia="en-AU"/>
        </w:rPr>
        <w:t>1985</w:t>
      </w:r>
      <w:r w:rsidRPr="00E14D01">
        <w:rPr>
          <w:rFonts w:asciiTheme="majorBidi" w:eastAsia="Times New Roman" w:hAnsiTheme="majorBidi" w:cs="Al Bayan Plain"/>
          <w:rtl/>
          <w:lang w:val="en-AU" w:eastAsia="en-AU"/>
        </w:rPr>
        <w:t>.</w:t>
      </w:r>
    </w:p>
    <w:p w14:paraId="6D7C5879"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خوري (الـ)، شحادة،</w:t>
      </w:r>
      <w:r w:rsidRPr="00E14D01">
        <w:rPr>
          <w:rFonts w:asciiTheme="majorBidi" w:eastAsia="Times New Roman" w:hAnsiTheme="majorBidi" w:cs="Al Bayan Plain"/>
          <w:i/>
          <w:iCs/>
          <w:rtl/>
          <w:lang w:val="en-AU" w:eastAsia="en-AU"/>
        </w:rPr>
        <w:t xml:space="preserve"> الترجمة قديمًا وحديًثا</w:t>
      </w:r>
      <w:r w:rsidRPr="00E14D01">
        <w:rPr>
          <w:rFonts w:asciiTheme="majorBidi" w:eastAsia="Times New Roman" w:hAnsiTheme="majorBidi" w:cs="Al Bayan Plain"/>
          <w:rtl/>
          <w:lang w:val="en-AU" w:eastAsia="en-AU"/>
        </w:rPr>
        <w:t>،</w:t>
      </w:r>
      <w:r w:rsidRPr="00E14D01">
        <w:rPr>
          <w:rFonts w:asciiTheme="majorBidi" w:eastAsia="Times New Roman" w:hAnsiTheme="majorBidi" w:cs="Al Bayan Plain"/>
          <w:i/>
          <w:iCs/>
          <w:rtl/>
          <w:lang w:val="en-AU" w:eastAsia="en-AU"/>
        </w:rPr>
        <w:t xml:space="preserve"> </w:t>
      </w:r>
      <w:r w:rsidRPr="00E14D01">
        <w:rPr>
          <w:rFonts w:asciiTheme="majorBidi" w:eastAsia="Times New Roman" w:hAnsiTheme="majorBidi" w:cs="Al Bayan Plain"/>
          <w:rtl/>
          <w:lang w:val="en-AU" w:eastAsia="en-AU"/>
        </w:rPr>
        <w:t xml:space="preserve">دار المعارف سوسة، تونس، ط أولى، </w:t>
      </w:r>
      <w:r w:rsidRPr="00E14D01">
        <w:rPr>
          <w:rFonts w:ascii="Calibri" w:eastAsia="Calibri" w:hAnsi="Calibri" w:cs="Calibri"/>
          <w:rtl/>
          <w:lang w:val="en-AU" w:eastAsia="en-AU"/>
        </w:rPr>
        <w:t>1988</w:t>
      </w:r>
      <w:r w:rsidRPr="00E14D01">
        <w:rPr>
          <w:rFonts w:asciiTheme="majorBidi" w:eastAsia="Times New Roman" w:hAnsiTheme="majorBidi" w:cs="Al Bayan Plain"/>
          <w:rtl/>
          <w:lang w:val="en-AU" w:eastAsia="en-AU"/>
        </w:rPr>
        <w:t>.</w:t>
      </w:r>
    </w:p>
    <w:p w14:paraId="565B10DE"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 xml:space="preserve">ذاكر، عبد النبي، </w:t>
      </w:r>
      <w:r w:rsidRPr="00E14D01">
        <w:rPr>
          <w:rFonts w:asciiTheme="majorBidi" w:eastAsia="Times New Roman" w:hAnsiTheme="majorBidi" w:cs="Al Bayan Plain"/>
          <w:i/>
          <w:iCs/>
          <w:rtl/>
          <w:lang w:val="en-AU" w:eastAsia="en-AU"/>
        </w:rPr>
        <w:t>قضايا ترجمة القرآن</w:t>
      </w:r>
      <w:r w:rsidRPr="00E14D01">
        <w:rPr>
          <w:rFonts w:asciiTheme="majorBidi" w:eastAsia="Times New Roman" w:hAnsiTheme="majorBidi" w:cs="Al Bayan Plain"/>
          <w:rtl/>
          <w:lang w:val="en-AU" w:eastAsia="en-AU"/>
        </w:rPr>
        <w:t xml:space="preserve">، مجلة الشراع (نصف شهرية)، العدد </w:t>
      </w:r>
      <w:r w:rsidRPr="00E14D01">
        <w:rPr>
          <w:rFonts w:ascii="Calibri" w:eastAsia="Calibri" w:hAnsi="Calibri" w:cs="Calibri"/>
          <w:rtl/>
          <w:lang w:val="en-AU" w:eastAsia="en-AU"/>
        </w:rPr>
        <w:t>45</w:t>
      </w:r>
      <w:r w:rsidRPr="00E14D01">
        <w:rPr>
          <w:rFonts w:asciiTheme="majorBidi" w:eastAsia="Times New Roman" w:hAnsiTheme="majorBidi" w:cs="Al Bayan Plain"/>
          <w:rtl/>
          <w:lang w:val="en-AU" w:eastAsia="en-AU"/>
        </w:rPr>
        <w:t xml:space="preserve">، سنة </w:t>
      </w:r>
      <w:r w:rsidRPr="00E14D01">
        <w:rPr>
          <w:rFonts w:ascii="Calibri" w:eastAsia="Calibri" w:hAnsi="Calibri" w:cs="Calibri"/>
          <w:rtl/>
          <w:lang w:val="en-AU" w:eastAsia="en-AU"/>
        </w:rPr>
        <w:t>1998</w:t>
      </w:r>
      <w:r w:rsidRPr="00E14D01">
        <w:rPr>
          <w:rFonts w:asciiTheme="majorBidi" w:eastAsia="Times New Roman" w:hAnsiTheme="majorBidi" w:cs="Al Bayan Plain"/>
          <w:rtl/>
          <w:lang w:val="en-AU" w:eastAsia="en-AU"/>
        </w:rPr>
        <w:t xml:space="preserve">، طنجة، المغرب، </w:t>
      </w:r>
      <w:r w:rsidRPr="00E14D01">
        <w:rPr>
          <w:rFonts w:ascii="Calibri" w:eastAsia="Calibri" w:hAnsi="Calibri" w:cs="Calibri"/>
          <w:rtl/>
          <w:lang w:val="en-AU" w:eastAsia="en-AU"/>
        </w:rPr>
        <w:t>90</w:t>
      </w:r>
      <w:r w:rsidRPr="00E14D01">
        <w:rPr>
          <w:rFonts w:asciiTheme="majorBidi" w:eastAsia="Times New Roman" w:hAnsiTheme="majorBidi" w:cs="Al Bayan Plain"/>
          <w:rtl/>
          <w:lang w:val="en-AU" w:eastAsia="en-AU"/>
        </w:rPr>
        <w:t xml:space="preserve"> صفحة.</w:t>
      </w:r>
    </w:p>
    <w:p w14:paraId="7EA2F8AD"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 xml:space="preserve">رضا، محمد رشيد، </w:t>
      </w:r>
      <w:r w:rsidRPr="00E14D01">
        <w:rPr>
          <w:rFonts w:asciiTheme="majorBidi" w:eastAsia="Times New Roman" w:hAnsiTheme="majorBidi" w:cs="Al Bayan Plain"/>
          <w:i/>
          <w:iCs/>
          <w:rtl/>
          <w:lang w:val="en-AU" w:eastAsia="en-AU"/>
        </w:rPr>
        <w:t>ترجمات القرآن وما فيها من المفاسد ومنافاة الإسلام</w:t>
      </w:r>
      <w:r w:rsidRPr="00E14D01">
        <w:rPr>
          <w:rFonts w:asciiTheme="majorBidi" w:eastAsia="Times New Roman" w:hAnsiTheme="majorBidi" w:cs="Al Bayan Plain"/>
          <w:rtl/>
          <w:lang w:val="en-AU" w:eastAsia="en-AU"/>
        </w:rPr>
        <w:t xml:space="preserve">، دار النشر للجامعات المصرية، دار المنار، </w:t>
      </w:r>
      <w:r w:rsidRPr="00E14D01">
        <w:rPr>
          <w:rFonts w:ascii="Calibri" w:eastAsia="Calibri" w:hAnsi="Calibri" w:cs="Calibri"/>
          <w:rtl/>
          <w:lang w:val="en-AU" w:eastAsia="en-AU"/>
        </w:rPr>
        <w:t>2008</w:t>
      </w:r>
      <w:r w:rsidRPr="00E14D01">
        <w:rPr>
          <w:rFonts w:asciiTheme="majorBidi" w:eastAsia="Times New Roman" w:hAnsiTheme="majorBidi" w:cs="Al Bayan Plain"/>
          <w:rtl/>
          <w:lang w:val="en-AU" w:eastAsia="en-AU"/>
        </w:rPr>
        <w:t>.</w:t>
      </w:r>
    </w:p>
    <w:p w14:paraId="4D2AF17E"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rtl/>
          <w:lang w:val="en-AU" w:eastAsia="en-AU"/>
        </w:rPr>
      </w:pPr>
      <w:r w:rsidRPr="00E14D01">
        <w:rPr>
          <w:rFonts w:asciiTheme="majorBidi" w:eastAsia="Times New Roman" w:hAnsiTheme="majorBidi" w:cs="Al Bayan Plain"/>
          <w:rtl/>
        </w:rPr>
        <w:t>سقال، دزيره [ديزيريه] (</w:t>
      </w:r>
      <w:r w:rsidRPr="00E14D01">
        <w:rPr>
          <w:rFonts w:asciiTheme="majorBidi" w:hAnsiTheme="majorBidi" w:cs="Al Bayan Plain"/>
        </w:rPr>
        <w:t>Désiré</w:t>
      </w:r>
      <w:r w:rsidRPr="00E14D01">
        <w:rPr>
          <w:rFonts w:asciiTheme="majorBidi" w:hAnsiTheme="majorBidi" w:cs="Al Bayan Plain"/>
          <w:lang w:bidi="ar-KW"/>
        </w:rPr>
        <w:t xml:space="preserve"> Saqqāl</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نشأة المعاجم العربية وتطورها</w:t>
      </w:r>
      <w:r w:rsidRPr="00E14D01">
        <w:rPr>
          <w:rFonts w:asciiTheme="majorBidi" w:eastAsia="Times New Roman" w:hAnsiTheme="majorBidi" w:cs="Al Bayan Plain"/>
          <w:rtl/>
        </w:rPr>
        <w:t>، دار الصداقة العربية، بيروت، ١٩٩٥.</w:t>
      </w:r>
    </w:p>
    <w:p w14:paraId="037F574D" w14:textId="77777777" w:rsidR="00A70B78" w:rsidRPr="00E14D01" w:rsidRDefault="00A70B78" w:rsidP="00876BB0">
      <w:pPr>
        <w:numPr>
          <w:ilvl w:val="0"/>
          <w:numId w:val="119"/>
        </w:numPr>
        <w:bidi/>
        <w:spacing w:line="360" w:lineRule="auto"/>
        <w:ind w:left="360" w:right="720"/>
        <w:contextualSpacing/>
        <w:jc w:val="both"/>
        <w:rPr>
          <w:rFonts w:asciiTheme="majorBidi" w:eastAsia="SimSun" w:hAnsiTheme="majorBidi" w:cs="Al Bayan Plain"/>
          <w:lang w:eastAsia="zh-CN" w:bidi="ar-EG"/>
        </w:rPr>
      </w:pPr>
      <w:r w:rsidRPr="00E14D01">
        <w:rPr>
          <w:rFonts w:asciiTheme="majorBidi" w:eastAsia="SimSun" w:hAnsiTheme="majorBidi" w:cs="Al Bayan Plain"/>
          <w:rtl/>
          <w:lang w:eastAsia="zh-CN" w:bidi="ar-EG"/>
        </w:rPr>
        <w:t>شبعان (الـ)، محمود،</w:t>
      </w:r>
      <w:r w:rsidRPr="00E14D01">
        <w:rPr>
          <w:rFonts w:asciiTheme="majorBidi" w:eastAsia="Calibri" w:hAnsiTheme="majorBidi" w:cs="Al Bayan Plain"/>
          <w:rtl/>
          <w:lang w:eastAsia="zh-CN" w:bidi="ar-EG"/>
        </w:rPr>
        <w:t xml:space="preserve"> </w:t>
      </w:r>
      <w:r w:rsidRPr="00E14D01">
        <w:rPr>
          <w:rFonts w:asciiTheme="majorBidi" w:eastAsia="SimSun" w:hAnsiTheme="majorBidi" w:cs="Al Bayan Plain"/>
          <w:i/>
          <w:iCs/>
          <w:rtl/>
          <w:lang w:eastAsia="zh-CN" w:bidi="ar-EG"/>
        </w:rPr>
        <w:t>أين مِنَ القرآنِ تَراجِمُ القرآن؟</w:t>
      </w:r>
      <w:r w:rsidRPr="00E14D01">
        <w:rPr>
          <w:rFonts w:asciiTheme="majorBidi" w:eastAsia="Calibri" w:hAnsiTheme="majorBidi" w:cs="Al Bayan Plain"/>
          <w:rtl/>
          <w:lang w:eastAsia="zh-CN" w:bidi="ar-EG"/>
        </w:rPr>
        <w:t>،</w:t>
      </w:r>
      <w:r w:rsidRPr="00E14D01">
        <w:rPr>
          <w:rFonts w:asciiTheme="majorBidi" w:eastAsia="SimSun" w:hAnsiTheme="majorBidi" w:cs="Al Bayan Plain"/>
          <w:rtl/>
          <w:lang w:eastAsia="zh-CN" w:bidi="ar-EG"/>
        </w:rPr>
        <w:t xml:space="preserve"> تونس</w:t>
      </w:r>
      <w:r w:rsidRPr="00E14D01">
        <w:rPr>
          <w:rFonts w:asciiTheme="majorBidi" w:eastAsia="Calibri" w:hAnsiTheme="majorBidi" w:cs="Al Bayan Plain"/>
          <w:rtl/>
          <w:lang w:eastAsia="zh-CN" w:bidi="ar-EG"/>
        </w:rPr>
        <w:t>،</w:t>
      </w:r>
      <w:r w:rsidRPr="00E14D01">
        <w:rPr>
          <w:rFonts w:asciiTheme="majorBidi" w:eastAsia="SimSun" w:hAnsiTheme="majorBidi" w:cs="Al Bayan Plain"/>
          <w:rtl/>
          <w:lang w:eastAsia="zh-CN" w:bidi="ar-EG"/>
        </w:rPr>
        <w:t xml:space="preserve"> دار العلماء</w:t>
      </w:r>
      <w:r w:rsidRPr="00E14D01">
        <w:rPr>
          <w:rFonts w:asciiTheme="majorBidi" w:eastAsia="Calibri" w:hAnsiTheme="majorBidi" w:cs="Al Bayan Plain"/>
          <w:rtl/>
          <w:lang w:eastAsia="zh-CN" w:bidi="ar-EG"/>
        </w:rPr>
        <w:t>،</w:t>
      </w:r>
      <w:r w:rsidRPr="00E14D01">
        <w:rPr>
          <w:rFonts w:asciiTheme="majorBidi" w:eastAsia="SimSun" w:hAnsiTheme="majorBidi" w:cs="Al Bayan Plain"/>
          <w:rtl/>
          <w:lang w:eastAsia="zh-CN" w:bidi="ar-EG"/>
        </w:rPr>
        <w:t xml:space="preserve"> </w:t>
      </w:r>
      <w:r w:rsidRPr="00E14D01">
        <w:rPr>
          <w:rFonts w:ascii="Calibri" w:eastAsia="Calibri" w:hAnsi="Calibri" w:cs="Calibri"/>
          <w:rtl/>
          <w:lang w:eastAsia="zh-CN" w:bidi="ar-EG"/>
        </w:rPr>
        <w:t>1984</w:t>
      </w:r>
      <w:r w:rsidRPr="00E14D01">
        <w:rPr>
          <w:rFonts w:asciiTheme="majorBidi" w:eastAsia="SimSun" w:hAnsiTheme="majorBidi" w:cs="Al Bayan Plain"/>
          <w:rtl/>
          <w:lang w:eastAsia="zh-CN" w:bidi="ar-EG"/>
        </w:rPr>
        <w:t>.</w:t>
      </w:r>
    </w:p>
    <w:p w14:paraId="4744E75C"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lastRenderedPageBreak/>
        <w:t xml:space="preserve">صافي، عثمان عبد القادر، </w:t>
      </w:r>
      <w:r w:rsidRPr="00E14D01">
        <w:rPr>
          <w:rFonts w:asciiTheme="majorBidi" w:eastAsia="Times New Roman" w:hAnsiTheme="majorBidi" w:cs="Al Bayan Plain"/>
          <w:i/>
          <w:iCs/>
          <w:rtl/>
          <w:lang w:val="en-AU" w:eastAsia="en-AU"/>
        </w:rPr>
        <w:t>القرآن الكريم: بدعية ترجمة ألفاظه ومعانيه وتفسيره وخطر الترجمة على مسار الدعوة ونشر رسالة الإسلام</w:t>
      </w:r>
      <w:r w:rsidRPr="00E14D01">
        <w:rPr>
          <w:rFonts w:asciiTheme="majorBidi" w:eastAsia="Times New Roman" w:hAnsiTheme="majorBidi" w:cs="Al Bayan Plain"/>
          <w:rtl/>
          <w:lang w:val="en-AU" w:eastAsia="en-AU"/>
        </w:rPr>
        <w:t>، الدار العربية للعلوم، المكتب الإسلامي للطباعة والنشر، بيروت، ١٩٩٢.</w:t>
      </w:r>
    </w:p>
    <w:p w14:paraId="396C8BB7" w14:textId="77777777" w:rsidR="00A70B78" w:rsidRPr="00E14D01" w:rsidRDefault="00A70B78" w:rsidP="00876BB0">
      <w:pPr>
        <w:numPr>
          <w:ilvl w:val="0"/>
          <w:numId w:val="119"/>
        </w:numPr>
        <w:bidi/>
        <w:spacing w:line="360" w:lineRule="auto"/>
        <w:ind w:left="360" w:right="720"/>
        <w:contextualSpacing/>
        <w:jc w:val="both"/>
        <w:rPr>
          <w:rFonts w:asciiTheme="majorBidi" w:eastAsia="SimSun" w:hAnsiTheme="majorBidi" w:cs="Al Bayan Plain"/>
          <w:lang w:eastAsia="zh-CN" w:bidi="ar-EG"/>
        </w:rPr>
      </w:pPr>
      <w:r w:rsidRPr="00E14D01">
        <w:rPr>
          <w:rFonts w:asciiTheme="majorBidi" w:eastAsia="SimSun" w:hAnsiTheme="majorBidi" w:cs="Al Bayan Plain"/>
          <w:rtl/>
          <w:lang w:eastAsia="zh-CN"/>
        </w:rPr>
        <w:t>عارف، عزيز</w:t>
      </w:r>
      <w:r w:rsidRPr="00E14D01">
        <w:rPr>
          <w:rFonts w:asciiTheme="majorBidi" w:eastAsia="Calibri" w:hAnsiTheme="majorBidi" w:cs="Al Bayan Plain"/>
          <w:rtl/>
          <w:lang w:eastAsia="zh-CN"/>
        </w:rPr>
        <w:t>،</w:t>
      </w:r>
      <w:r w:rsidRPr="00E14D01">
        <w:rPr>
          <w:rFonts w:asciiTheme="majorBidi" w:eastAsia="SimSun" w:hAnsiTheme="majorBidi" w:cs="Al Bayan Plain"/>
          <w:rtl/>
          <w:lang w:eastAsia="zh-CN"/>
        </w:rPr>
        <w:t xml:space="preserve"> </w:t>
      </w:r>
      <w:r w:rsidRPr="00E14D01">
        <w:rPr>
          <w:rFonts w:asciiTheme="majorBidi" w:eastAsia="SimSun" w:hAnsiTheme="majorBidi" w:cs="Al Bayan Plain"/>
          <w:i/>
          <w:iCs/>
          <w:rtl/>
          <w:lang w:eastAsia="zh-CN"/>
        </w:rPr>
        <w:t>نماذج من الخلل في ترجمة القرآن الكريم بالإنكليزية والفرنسية</w:t>
      </w:r>
      <w:r w:rsidRPr="00E14D01">
        <w:rPr>
          <w:rFonts w:asciiTheme="majorBidi" w:eastAsia="Calibri" w:hAnsiTheme="majorBidi" w:cs="Al Bayan Plain"/>
          <w:rtl/>
          <w:lang w:eastAsia="zh-CN"/>
        </w:rPr>
        <w:t>،</w:t>
      </w:r>
      <w:r w:rsidRPr="00E14D01">
        <w:rPr>
          <w:rFonts w:asciiTheme="majorBidi" w:eastAsia="SimSun" w:hAnsiTheme="majorBidi" w:cs="Al Bayan Plain"/>
          <w:rtl/>
          <w:lang w:eastAsia="zh-CN"/>
        </w:rPr>
        <w:t xml:space="preserve"> بغداد</w:t>
      </w:r>
      <w:r w:rsidRPr="00E14D01">
        <w:rPr>
          <w:rFonts w:asciiTheme="majorBidi" w:eastAsia="Calibri" w:hAnsiTheme="majorBidi" w:cs="Al Bayan Plain"/>
          <w:rtl/>
          <w:lang w:eastAsia="zh-CN"/>
        </w:rPr>
        <w:t>،</w:t>
      </w:r>
      <w:r w:rsidRPr="00E14D01">
        <w:rPr>
          <w:rFonts w:asciiTheme="majorBidi" w:eastAsia="SimSun" w:hAnsiTheme="majorBidi" w:cs="Al Bayan Plain"/>
          <w:rtl/>
          <w:lang w:eastAsia="zh-CN"/>
        </w:rPr>
        <w:t xml:space="preserve"> دار الشؤون الثقافية العامة</w:t>
      </w:r>
      <w:r w:rsidRPr="00E14D01">
        <w:rPr>
          <w:rFonts w:asciiTheme="majorBidi" w:eastAsia="Calibri" w:hAnsiTheme="majorBidi" w:cs="Al Bayan Plain"/>
          <w:rtl/>
          <w:lang w:eastAsia="zh-CN"/>
        </w:rPr>
        <w:t>،</w:t>
      </w:r>
      <w:r w:rsidRPr="00E14D01">
        <w:rPr>
          <w:rFonts w:asciiTheme="majorBidi" w:eastAsia="SimSun" w:hAnsiTheme="majorBidi" w:cs="Al Bayan Plain"/>
          <w:rtl/>
          <w:lang w:eastAsia="zh-CN"/>
        </w:rPr>
        <w:t xml:space="preserve"> </w:t>
      </w:r>
      <w:r w:rsidRPr="00E14D01">
        <w:rPr>
          <w:rFonts w:ascii="Calibri" w:eastAsia="Calibri" w:hAnsi="Calibri" w:cs="Calibri"/>
          <w:rtl/>
          <w:lang w:eastAsia="zh-CN"/>
        </w:rPr>
        <w:t>2005</w:t>
      </w:r>
      <w:r w:rsidRPr="00E14D01">
        <w:rPr>
          <w:rFonts w:asciiTheme="majorBidi" w:eastAsia="SimSun" w:hAnsiTheme="majorBidi" w:cs="Al Bayan Plain"/>
          <w:rtl/>
          <w:lang w:eastAsia="zh-CN"/>
        </w:rPr>
        <w:t>.</w:t>
      </w:r>
    </w:p>
    <w:p w14:paraId="1438B669" w14:textId="77777777" w:rsidR="00A70B78" w:rsidRPr="00E14D01" w:rsidRDefault="00A70B78" w:rsidP="00876BB0">
      <w:pPr>
        <w:numPr>
          <w:ilvl w:val="0"/>
          <w:numId w:val="119"/>
        </w:numPr>
        <w:bidi/>
        <w:spacing w:line="360" w:lineRule="auto"/>
        <w:ind w:left="360" w:right="720"/>
        <w:contextualSpacing/>
        <w:jc w:val="both"/>
        <w:rPr>
          <w:rFonts w:asciiTheme="majorBidi" w:eastAsia="SimSun" w:hAnsiTheme="majorBidi" w:cs="Al Bayan Plain"/>
          <w:lang w:eastAsia="zh-CN" w:bidi="ar-EG"/>
        </w:rPr>
      </w:pPr>
      <w:r w:rsidRPr="00E14D01">
        <w:rPr>
          <w:rFonts w:asciiTheme="majorBidi" w:eastAsia="SimSun" w:hAnsiTheme="majorBidi" w:cs="Al Bayan Plain"/>
          <w:rtl/>
          <w:lang w:eastAsia="zh-CN" w:bidi="ar-EG"/>
        </w:rPr>
        <w:t>عبد العزيز</w:t>
      </w:r>
      <w:r w:rsidRPr="00E14D01">
        <w:rPr>
          <w:rFonts w:asciiTheme="majorBidi" w:eastAsia="Calibri" w:hAnsiTheme="majorBidi" w:cs="Al Bayan Plain"/>
          <w:rtl/>
          <w:lang w:eastAsia="zh-CN" w:bidi="ar-EG"/>
        </w:rPr>
        <w:t>،</w:t>
      </w:r>
      <w:r w:rsidRPr="00E14D01">
        <w:rPr>
          <w:rFonts w:asciiTheme="majorBidi" w:eastAsia="SimSun" w:hAnsiTheme="majorBidi" w:cs="Al Bayan Plain"/>
          <w:rtl/>
          <w:lang w:eastAsia="zh-CN" w:bidi="ar-EG"/>
        </w:rPr>
        <w:t xml:space="preserve"> زينب</w:t>
      </w:r>
      <w:r w:rsidRPr="00E14D01">
        <w:rPr>
          <w:rFonts w:asciiTheme="majorBidi" w:eastAsia="Calibri" w:hAnsiTheme="majorBidi" w:cs="Al Bayan Plain"/>
          <w:rtl/>
          <w:lang w:eastAsia="zh-CN" w:bidi="ar-EG"/>
        </w:rPr>
        <w:t>،</w:t>
      </w:r>
      <w:r w:rsidRPr="00E14D01">
        <w:rPr>
          <w:rFonts w:asciiTheme="majorBidi" w:eastAsia="SimSun" w:hAnsiTheme="majorBidi" w:cs="Al Bayan Plain"/>
          <w:i/>
          <w:iCs/>
          <w:rtl/>
          <w:lang w:eastAsia="zh-CN" w:bidi="ar-EG"/>
        </w:rPr>
        <w:t xml:space="preserve"> ترجمات القرآن إلى أين</w:t>
      </w:r>
      <w:r w:rsidRPr="00E14D01">
        <w:rPr>
          <w:rFonts w:asciiTheme="majorBidi" w:eastAsia="Calibri" w:hAnsiTheme="majorBidi" w:cs="Al Bayan Plain"/>
          <w:i/>
          <w:iCs/>
          <w:rtl/>
          <w:lang w:eastAsia="zh-CN" w:bidi="ar-EG"/>
        </w:rPr>
        <w:t>،</w:t>
      </w:r>
      <w:r w:rsidRPr="00E14D01">
        <w:rPr>
          <w:rFonts w:asciiTheme="majorBidi" w:eastAsia="SimSun" w:hAnsiTheme="majorBidi" w:cs="Al Bayan Plain"/>
          <w:i/>
          <w:iCs/>
          <w:rtl/>
          <w:lang w:eastAsia="zh-CN" w:bidi="ar-EG"/>
        </w:rPr>
        <w:t xml:space="preserve"> وجهان لجاك بيرك</w:t>
      </w:r>
      <w:r w:rsidRPr="00E14D01">
        <w:rPr>
          <w:rFonts w:asciiTheme="majorBidi" w:eastAsia="Calibri" w:hAnsiTheme="majorBidi" w:cs="Al Bayan Plain"/>
          <w:rtl/>
          <w:lang w:eastAsia="zh-CN" w:bidi="ar-EG"/>
        </w:rPr>
        <w:t>،</w:t>
      </w:r>
      <w:r w:rsidRPr="00E14D01">
        <w:rPr>
          <w:rFonts w:asciiTheme="majorBidi" w:eastAsia="SimSun" w:hAnsiTheme="majorBidi" w:cs="Al Bayan Plain"/>
          <w:rtl/>
          <w:lang w:eastAsia="zh-CN" w:bidi="ar-EG"/>
        </w:rPr>
        <w:t>القاهرة</w:t>
      </w:r>
      <w:r w:rsidRPr="00E14D01">
        <w:rPr>
          <w:rFonts w:asciiTheme="majorBidi" w:eastAsia="Calibri" w:hAnsiTheme="majorBidi" w:cs="Al Bayan Plain"/>
          <w:rtl/>
          <w:lang w:eastAsia="zh-CN" w:bidi="ar-EG"/>
        </w:rPr>
        <w:t>،</w:t>
      </w:r>
      <w:r w:rsidRPr="00E14D01">
        <w:rPr>
          <w:rFonts w:asciiTheme="majorBidi" w:eastAsia="SimSun" w:hAnsiTheme="majorBidi" w:cs="Al Bayan Plain"/>
          <w:rtl/>
          <w:lang w:eastAsia="zh-CN" w:bidi="ar-EG"/>
        </w:rPr>
        <w:t xml:space="preserve"> النهار للطبع والنشر والتوزيع</w:t>
      </w:r>
      <w:r w:rsidRPr="00E14D01">
        <w:rPr>
          <w:rFonts w:asciiTheme="majorBidi" w:eastAsia="Calibri" w:hAnsiTheme="majorBidi" w:cs="Al Bayan Plain"/>
          <w:rtl/>
          <w:lang w:eastAsia="zh-CN" w:bidi="ar-EG"/>
        </w:rPr>
        <w:t>،</w:t>
      </w:r>
      <w:r w:rsidRPr="00E14D01">
        <w:rPr>
          <w:rFonts w:asciiTheme="majorBidi" w:eastAsia="SimSun" w:hAnsiTheme="majorBidi" w:cs="Al Bayan Plain"/>
          <w:rtl/>
          <w:lang w:eastAsia="zh-CN" w:bidi="ar-EG"/>
        </w:rPr>
        <w:t xml:space="preserve"> </w:t>
      </w:r>
      <w:r w:rsidRPr="00E14D01">
        <w:rPr>
          <w:rFonts w:ascii="Calibri" w:eastAsia="Calibri" w:hAnsi="Calibri" w:cs="Calibri"/>
          <w:rtl/>
          <w:lang w:eastAsia="zh-CN" w:bidi="ar-EG"/>
        </w:rPr>
        <w:t>2001</w:t>
      </w:r>
      <w:r w:rsidRPr="00E14D01">
        <w:rPr>
          <w:rFonts w:asciiTheme="majorBidi" w:eastAsia="SimSun" w:hAnsiTheme="majorBidi" w:cs="Al Bayan Plain"/>
          <w:rtl/>
          <w:lang w:eastAsia="zh-CN" w:bidi="ar-EG"/>
        </w:rPr>
        <w:t>.</w:t>
      </w:r>
    </w:p>
    <w:p w14:paraId="5EBAA632"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عثمان، ليلى عبد الرزاق، "إشكالية ترجمة معاني القرآن الكريم، ٢٠٠٣، موقع إسلام ويب.</w:t>
      </w:r>
    </w:p>
    <w:p w14:paraId="3986B404"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rPr>
      </w:pPr>
      <w:r w:rsidRPr="00E14D01">
        <w:rPr>
          <w:rFonts w:asciiTheme="majorBidi" w:eastAsia="Times New Roman" w:hAnsiTheme="majorBidi" w:cs="Al Bayan Plain"/>
          <w:rtl/>
          <w:lang w:bidi="ar-EG"/>
        </w:rPr>
        <w:t>عزب</w:t>
      </w:r>
      <w:r w:rsidRPr="00E14D01">
        <w:rPr>
          <w:rFonts w:asciiTheme="majorBidi" w:eastAsia="Calibri" w:hAnsiTheme="majorBidi" w:cs="Al Bayan Plain"/>
          <w:rtl/>
          <w:lang w:bidi="ar-EG"/>
        </w:rPr>
        <w:t>،</w:t>
      </w:r>
      <w:r w:rsidRPr="00E14D01">
        <w:rPr>
          <w:rFonts w:asciiTheme="majorBidi" w:eastAsia="Times New Roman" w:hAnsiTheme="majorBidi" w:cs="Al Bayan Plain"/>
          <w:rtl/>
          <w:lang w:bidi="ar-EG"/>
        </w:rPr>
        <w:t xml:space="preserve"> محمود</w:t>
      </w:r>
      <w:r w:rsidRPr="00E14D01">
        <w:rPr>
          <w:rFonts w:asciiTheme="majorBidi" w:eastAsia="Calibri" w:hAnsiTheme="majorBidi" w:cs="Al Bayan Plain"/>
          <w:rtl/>
          <w:lang w:bidi="ar-EG"/>
        </w:rPr>
        <w:t>،</w:t>
      </w:r>
      <w:r w:rsidRPr="00E14D01">
        <w:rPr>
          <w:rFonts w:asciiTheme="majorBidi" w:eastAsia="Times New Roman" w:hAnsiTheme="majorBidi" w:cs="Al Bayan Plain"/>
          <w:rtl/>
          <w:lang w:bidi="ar-EG"/>
        </w:rPr>
        <w:t xml:space="preserve"> </w:t>
      </w:r>
      <w:r w:rsidRPr="00E14D01">
        <w:rPr>
          <w:rFonts w:asciiTheme="majorBidi" w:eastAsia="Times New Roman" w:hAnsiTheme="majorBidi" w:cs="Al Bayan Plain"/>
          <w:i/>
          <w:iCs/>
          <w:rtl/>
          <w:lang w:bidi="ar-EG"/>
        </w:rPr>
        <w:t>إشكاليات ترجمة معاني القرآن الكريم</w:t>
      </w:r>
      <w:r w:rsidRPr="00E14D01">
        <w:rPr>
          <w:rFonts w:asciiTheme="majorBidi" w:eastAsia="Calibri" w:hAnsiTheme="majorBidi" w:cs="Al Bayan Plain"/>
          <w:rtl/>
          <w:lang w:bidi="ar-EG"/>
        </w:rPr>
        <w:t>،</w:t>
      </w:r>
      <w:r w:rsidRPr="00E14D01">
        <w:rPr>
          <w:rFonts w:asciiTheme="majorBidi" w:eastAsia="Times New Roman" w:hAnsiTheme="majorBidi" w:cs="Al Bayan Plain"/>
          <w:rtl/>
          <w:lang w:bidi="ar-EG"/>
        </w:rPr>
        <w:t xml:space="preserve"> القاهرة</w:t>
      </w:r>
      <w:r w:rsidRPr="00E14D01">
        <w:rPr>
          <w:rFonts w:asciiTheme="majorBidi" w:eastAsia="Calibri" w:hAnsiTheme="majorBidi" w:cs="Al Bayan Plain"/>
          <w:rtl/>
          <w:lang w:bidi="ar-EG"/>
        </w:rPr>
        <w:t>،</w:t>
      </w:r>
      <w:r w:rsidRPr="00E14D01">
        <w:rPr>
          <w:rFonts w:asciiTheme="majorBidi" w:eastAsia="Times New Roman" w:hAnsiTheme="majorBidi" w:cs="Al Bayan Plain"/>
          <w:rtl/>
          <w:lang w:bidi="ar-EG"/>
        </w:rPr>
        <w:t xml:space="preserve"> نهضة مصر للطباعة والنشر والتوزيع</w:t>
      </w:r>
      <w:r w:rsidRPr="00E14D01">
        <w:rPr>
          <w:rFonts w:ascii="Calibri" w:eastAsia="Calibri" w:hAnsi="Calibri" w:cs="Calibri"/>
          <w:rtl/>
          <w:lang w:bidi="ar-EG"/>
        </w:rPr>
        <w:t>,</w:t>
      </w:r>
      <w:r w:rsidRPr="00E14D01">
        <w:rPr>
          <w:rFonts w:asciiTheme="majorBidi" w:eastAsia="Times New Roman" w:hAnsiTheme="majorBidi" w:cs="Al Bayan Plain"/>
          <w:rtl/>
          <w:lang w:bidi="ar-EG"/>
        </w:rPr>
        <w:t xml:space="preserve"> </w:t>
      </w:r>
      <w:r w:rsidRPr="00E14D01">
        <w:rPr>
          <w:rFonts w:ascii="Calibri" w:eastAsia="Calibri" w:hAnsi="Calibri" w:cs="Calibri"/>
          <w:rtl/>
          <w:lang w:bidi="ar-EG"/>
        </w:rPr>
        <w:t>2006</w:t>
      </w:r>
      <w:r w:rsidRPr="00E14D01">
        <w:rPr>
          <w:rFonts w:asciiTheme="majorBidi" w:eastAsia="Times New Roman" w:hAnsiTheme="majorBidi" w:cs="Al Bayan Plain"/>
          <w:rtl/>
          <w:lang w:bidi="ar-EG"/>
        </w:rPr>
        <w:t>.</w:t>
      </w:r>
    </w:p>
    <w:p w14:paraId="7FB4CDD9"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عزوزي، حسن بن إدريس، "ملاحظات على ترجمة معاني القرآن الكريم للمستشرق الفرنسي جاك بيرك"، مؤتمر ترجمة معاني القرآن الكريم، المدينة، السعودية، ٢٠٠٢.</w:t>
      </w:r>
    </w:p>
    <w:p w14:paraId="5649FA36"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 xml:space="preserve">علوش (الـ)، جلال الدين بن طاهر، </w:t>
      </w:r>
      <w:r w:rsidRPr="00E14D01">
        <w:rPr>
          <w:rFonts w:asciiTheme="majorBidi" w:eastAsia="Times New Roman" w:hAnsiTheme="majorBidi" w:cs="Al Bayan Plain"/>
          <w:i/>
          <w:iCs/>
          <w:rtl/>
          <w:lang w:val="en-AU" w:eastAsia="en-AU"/>
        </w:rPr>
        <w:t>أحكام ترجمة القرآن الكريم</w:t>
      </w:r>
      <w:r w:rsidRPr="00E14D01">
        <w:rPr>
          <w:rFonts w:asciiTheme="majorBidi" w:eastAsia="Times New Roman" w:hAnsiTheme="majorBidi" w:cs="Al Bayan Plain"/>
          <w:rtl/>
          <w:lang w:val="en-AU" w:eastAsia="en-AU"/>
        </w:rPr>
        <w:t xml:space="preserve">، دار ابن حزم، بيروت، </w:t>
      </w:r>
      <w:r w:rsidRPr="00E14D01">
        <w:rPr>
          <w:rFonts w:ascii="Calibri" w:eastAsia="Calibri" w:hAnsi="Calibri" w:cs="Calibri"/>
          <w:rtl/>
          <w:lang w:val="en-AU" w:eastAsia="en-AU"/>
        </w:rPr>
        <w:t>2008</w:t>
      </w:r>
      <w:r w:rsidRPr="00E14D01">
        <w:rPr>
          <w:rFonts w:asciiTheme="majorBidi" w:eastAsia="Times New Roman" w:hAnsiTheme="majorBidi" w:cs="Al Bayan Plain"/>
          <w:rtl/>
          <w:lang w:val="en-AU" w:eastAsia="en-AU"/>
        </w:rPr>
        <w:t>.</w:t>
      </w:r>
    </w:p>
    <w:p w14:paraId="6F10D789"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rPr>
      </w:pPr>
      <w:r w:rsidRPr="00E14D01">
        <w:rPr>
          <w:rFonts w:asciiTheme="majorBidi" w:eastAsia="Times New Roman" w:hAnsiTheme="majorBidi" w:cs="Al Bayan Plain"/>
          <w:rtl/>
          <w:lang w:bidi="ar-EG"/>
        </w:rPr>
        <w:t>عوض، إبراهيم</w:t>
      </w:r>
      <w:r w:rsidRPr="00E14D01">
        <w:rPr>
          <w:rFonts w:asciiTheme="majorBidi" w:eastAsia="Calibri" w:hAnsiTheme="majorBidi" w:cs="Al Bayan Plain"/>
          <w:rtl/>
          <w:lang w:bidi="ar-EG"/>
        </w:rPr>
        <w:t>،</w:t>
      </w:r>
      <w:r w:rsidRPr="00E14D01">
        <w:rPr>
          <w:rFonts w:asciiTheme="majorBidi" w:eastAsia="Times New Roman" w:hAnsiTheme="majorBidi" w:cs="Al Bayan Plain"/>
          <w:i/>
          <w:iCs/>
          <w:rtl/>
          <w:lang w:bidi="ar-EG"/>
        </w:rPr>
        <w:t xml:space="preserve"> من معارك الاستشراق ضد المصحف الشريف. ترجمة جاك بيرك للقرآن الكريم بين المادحين والقادحين</w:t>
      </w:r>
      <w:r w:rsidRPr="00E14D01">
        <w:rPr>
          <w:rFonts w:ascii="Calibri" w:eastAsia="Calibri" w:hAnsi="Calibri" w:cs="Calibri"/>
          <w:rtl/>
          <w:lang w:bidi="ar-EG"/>
        </w:rPr>
        <w:t>,</w:t>
      </w:r>
      <w:r w:rsidRPr="00E14D01">
        <w:rPr>
          <w:rFonts w:asciiTheme="majorBidi" w:eastAsia="Times New Roman" w:hAnsiTheme="majorBidi" w:cs="Al Bayan Plain"/>
          <w:rtl/>
          <w:lang w:bidi="ar-EG"/>
        </w:rPr>
        <w:t xml:space="preserve"> القاهرة</w:t>
      </w:r>
      <w:r w:rsidRPr="00E14D01">
        <w:rPr>
          <w:rFonts w:ascii="Calibri" w:eastAsia="Calibri" w:hAnsi="Calibri" w:cs="Calibri"/>
          <w:rtl/>
          <w:lang w:bidi="ar-EG"/>
        </w:rPr>
        <w:t>,</w:t>
      </w:r>
      <w:r w:rsidRPr="00E14D01">
        <w:rPr>
          <w:rFonts w:asciiTheme="majorBidi" w:eastAsia="Times New Roman" w:hAnsiTheme="majorBidi" w:cs="Al Bayan Plain"/>
          <w:rtl/>
          <w:lang w:bidi="ar-EG"/>
        </w:rPr>
        <w:t xml:space="preserve"> مكتبة زهراء الشرق</w:t>
      </w:r>
      <w:r w:rsidRPr="00E14D01">
        <w:rPr>
          <w:rFonts w:ascii="Calibri" w:eastAsia="Calibri" w:hAnsi="Calibri" w:cs="Calibri"/>
          <w:rtl/>
          <w:lang w:bidi="ar-EG"/>
        </w:rPr>
        <w:t>,</w:t>
      </w:r>
      <w:r w:rsidRPr="00E14D01">
        <w:rPr>
          <w:rFonts w:asciiTheme="majorBidi" w:eastAsia="Times New Roman" w:hAnsiTheme="majorBidi" w:cs="Al Bayan Plain"/>
          <w:rtl/>
          <w:lang w:bidi="ar-EG"/>
        </w:rPr>
        <w:t xml:space="preserve"> </w:t>
      </w:r>
      <w:r w:rsidRPr="00E14D01">
        <w:rPr>
          <w:rFonts w:ascii="Calibri" w:eastAsia="Calibri" w:hAnsi="Calibri" w:cs="Calibri"/>
          <w:rtl/>
          <w:lang w:bidi="ar-EG"/>
        </w:rPr>
        <w:t>2000</w:t>
      </w:r>
      <w:r w:rsidRPr="00E14D01">
        <w:rPr>
          <w:rFonts w:asciiTheme="majorBidi" w:eastAsia="Times New Roman" w:hAnsiTheme="majorBidi" w:cs="Al Bayan Plain"/>
          <w:rtl/>
          <w:lang w:bidi="ar-EG"/>
        </w:rPr>
        <w:t>.</w:t>
      </w:r>
    </w:p>
    <w:p w14:paraId="74298E83" w14:textId="77777777" w:rsidR="00A70B78" w:rsidRPr="00E14D01" w:rsidRDefault="00A70B78" w:rsidP="00876BB0">
      <w:pPr>
        <w:numPr>
          <w:ilvl w:val="0"/>
          <w:numId w:val="119"/>
        </w:numPr>
        <w:bidi/>
        <w:spacing w:line="360" w:lineRule="auto"/>
        <w:ind w:left="360" w:right="-57"/>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لاوندي (الـ)، سعيد، </w:t>
      </w:r>
      <w:r w:rsidRPr="00E14D01">
        <w:rPr>
          <w:rFonts w:asciiTheme="majorBidi" w:eastAsia="Times New Roman" w:hAnsiTheme="majorBidi" w:cs="Al Bayan Plain"/>
          <w:i/>
          <w:iCs/>
          <w:rtl/>
        </w:rPr>
        <w:t>إشكالية ترجمة معاني القرآن</w:t>
      </w:r>
      <w:r w:rsidRPr="00E14D01">
        <w:rPr>
          <w:rFonts w:asciiTheme="majorBidi" w:eastAsia="Times New Roman" w:hAnsiTheme="majorBidi" w:cs="Al Bayan Plain"/>
          <w:rtl/>
        </w:rPr>
        <w:t xml:space="preserve">، مركز الحضارة العربية، القاهرة </w:t>
      </w:r>
      <w:r w:rsidRPr="00E14D01">
        <w:rPr>
          <w:rFonts w:ascii="Calibri" w:eastAsia="Calibri" w:hAnsi="Calibri" w:cs="Calibri"/>
          <w:rtl/>
        </w:rPr>
        <w:t>2001</w:t>
      </w:r>
      <w:r w:rsidRPr="00E14D01">
        <w:rPr>
          <w:rFonts w:asciiTheme="majorBidi" w:eastAsia="Times New Roman" w:hAnsiTheme="majorBidi" w:cs="Al Bayan Plain"/>
          <w:rtl/>
        </w:rPr>
        <w:t>.</w:t>
      </w:r>
    </w:p>
    <w:p w14:paraId="794D3F95"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 xml:space="preserve">مجدلاوي، فاروق، </w:t>
      </w:r>
      <w:r w:rsidRPr="00E14D01">
        <w:rPr>
          <w:rFonts w:asciiTheme="majorBidi" w:eastAsia="Times New Roman" w:hAnsiTheme="majorBidi" w:cs="Al Bayan Plain"/>
          <w:i/>
          <w:iCs/>
          <w:rtl/>
          <w:lang w:val="en-AU" w:eastAsia="en-AU"/>
        </w:rPr>
        <w:t>قراءة في ترجمة معاني القرآن الكريم عبر التاريخ</w:t>
      </w:r>
      <w:r w:rsidRPr="00E14D01">
        <w:rPr>
          <w:rFonts w:asciiTheme="majorBidi" w:eastAsia="Times New Roman" w:hAnsiTheme="majorBidi" w:cs="Al Bayan Plain"/>
          <w:rtl/>
          <w:lang w:val="en-AU" w:eastAsia="en-AU"/>
        </w:rPr>
        <w:t>، منشورات روائع مجدلاوي، الأردن، ١٩٩٩.</w:t>
      </w:r>
    </w:p>
    <w:p w14:paraId="238D2B0C"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محمد فوزي عطية،</w:t>
      </w:r>
      <w:r w:rsidRPr="00E14D01">
        <w:rPr>
          <w:rFonts w:asciiTheme="majorBidi" w:eastAsia="Times New Roman" w:hAnsiTheme="majorBidi" w:cs="Al Bayan Plain"/>
          <w:i/>
          <w:iCs/>
          <w:rtl/>
          <w:lang w:val="en-AU" w:eastAsia="en-AU"/>
        </w:rPr>
        <w:t xml:space="preserve"> علم الترجمة مدخل لغوي</w:t>
      </w:r>
      <w:r w:rsidRPr="00E14D01">
        <w:rPr>
          <w:rFonts w:asciiTheme="majorBidi" w:eastAsia="Times New Roman" w:hAnsiTheme="majorBidi" w:cs="Al Bayan Plain"/>
          <w:rtl/>
          <w:lang w:val="en-AU" w:eastAsia="en-AU"/>
        </w:rPr>
        <w:t xml:space="preserve">، دار الثقافة الجديدة، </w:t>
      </w:r>
      <w:r w:rsidRPr="00E14D01">
        <w:rPr>
          <w:rFonts w:ascii="Calibri" w:eastAsia="Calibri" w:hAnsi="Calibri" w:cs="Calibri"/>
          <w:rtl/>
          <w:lang w:val="en-AU" w:eastAsia="en-AU"/>
        </w:rPr>
        <w:t>1986</w:t>
      </w:r>
      <w:r w:rsidRPr="00E14D01">
        <w:rPr>
          <w:rFonts w:asciiTheme="majorBidi" w:eastAsia="Times New Roman" w:hAnsiTheme="majorBidi" w:cs="Al Bayan Plain"/>
          <w:rtl/>
          <w:lang w:val="en-AU" w:eastAsia="en-AU"/>
        </w:rPr>
        <w:t>.</w:t>
      </w:r>
    </w:p>
    <w:p w14:paraId="79B91ED5" w14:textId="77777777" w:rsidR="00A70B78" w:rsidRPr="00E14D01" w:rsidRDefault="00A70B78" w:rsidP="00876BB0">
      <w:pPr>
        <w:numPr>
          <w:ilvl w:val="0"/>
          <w:numId w:val="119"/>
        </w:numPr>
        <w:tabs>
          <w:tab w:val="left" w:pos="566"/>
        </w:tabs>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مخلوف، محمد حسنين،</w:t>
      </w:r>
      <w:r w:rsidRPr="00E14D01">
        <w:rPr>
          <w:rFonts w:asciiTheme="majorBidi" w:eastAsia="Times New Roman" w:hAnsiTheme="majorBidi" w:cs="Al Bayan Plain"/>
          <w:i/>
          <w:iCs/>
          <w:rtl/>
          <w:lang w:val="en-AU" w:eastAsia="en-AU"/>
        </w:rPr>
        <w:t xml:space="preserve"> رسالة في حكم ترجمة القرآن وقراءته وكتابته بغير اللغة العربية</w:t>
      </w:r>
      <w:r w:rsidRPr="00E14D01">
        <w:rPr>
          <w:rFonts w:asciiTheme="majorBidi" w:eastAsia="Times New Roman" w:hAnsiTheme="majorBidi" w:cs="Al Bayan Plain"/>
          <w:rtl/>
          <w:lang w:val="en-AU" w:eastAsia="en-AU"/>
        </w:rPr>
        <w:t xml:space="preserve">، مطبعة مصر بمصر </w:t>
      </w:r>
      <w:r w:rsidRPr="00E14D01">
        <w:rPr>
          <w:rFonts w:ascii="Calibri" w:eastAsia="Calibri" w:hAnsi="Calibri" w:cs="Calibri"/>
          <w:rtl/>
          <w:lang w:val="en-AU" w:eastAsia="en-AU"/>
        </w:rPr>
        <w:t>–</w:t>
      </w:r>
      <w:r w:rsidRPr="00E14D01">
        <w:rPr>
          <w:rFonts w:asciiTheme="majorBidi" w:eastAsia="Times New Roman" w:hAnsiTheme="majorBidi" w:cs="Al Bayan Plain"/>
          <w:rtl/>
          <w:lang w:val="en-AU" w:eastAsia="en-AU"/>
        </w:rPr>
        <w:t xml:space="preserve"> بدون تاريخ.</w:t>
      </w:r>
    </w:p>
    <w:p w14:paraId="4DE0C96A"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مراغي (الـ)، محمد مصطفى،</w:t>
      </w:r>
      <w:r w:rsidRPr="00E14D01">
        <w:rPr>
          <w:rFonts w:asciiTheme="majorBidi" w:eastAsia="Times New Roman" w:hAnsiTheme="majorBidi" w:cs="Al Bayan Plain"/>
          <w:i/>
          <w:iCs/>
          <w:rtl/>
          <w:lang w:val="en-AU" w:eastAsia="en-AU"/>
        </w:rPr>
        <w:t xml:space="preserve"> بحث في ترجمة القرآن الكريم وأحكامها</w:t>
      </w:r>
      <w:r w:rsidRPr="00E14D01">
        <w:rPr>
          <w:rFonts w:asciiTheme="majorBidi" w:eastAsia="Times New Roman" w:hAnsiTheme="majorBidi" w:cs="Al Bayan Plain"/>
          <w:rtl/>
          <w:lang w:val="en-AU" w:eastAsia="en-AU"/>
        </w:rPr>
        <w:t xml:space="preserve">، دار الكتاب الجديد، مطبعة الرغائب، </w:t>
      </w:r>
      <w:r w:rsidRPr="00E14D01">
        <w:rPr>
          <w:rFonts w:ascii="Calibri" w:eastAsia="Calibri" w:hAnsi="Calibri" w:cs="Calibri"/>
          <w:rtl/>
          <w:lang w:val="en-AU" w:eastAsia="en-AU"/>
        </w:rPr>
        <w:t>1936</w:t>
      </w:r>
      <w:r w:rsidRPr="00E14D01">
        <w:rPr>
          <w:rFonts w:asciiTheme="majorBidi" w:eastAsia="Times New Roman" w:hAnsiTheme="majorBidi" w:cs="Al Bayan Plain"/>
          <w:rtl/>
          <w:lang w:val="en-AU" w:eastAsia="en-AU"/>
        </w:rPr>
        <w:t>.</w:t>
      </w:r>
    </w:p>
    <w:p w14:paraId="439BC10C"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مهنا، أحمد إبراهيم،</w:t>
      </w:r>
      <w:r w:rsidRPr="00E14D01">
        <w:rPr>
          <w:rFonts w:asciiTheme="majorBidi" w:eastAsia="Times New Roman" w:hAnsiTheme="majorBidi" w:cs="Al Bayan Plain"/>
          <w:i/>
          <w:iCs/>
          <w:rtl/>
          <w:lang w:val="en-AU" w:eastAsia="en-AU"/>
        </w:rPr>
        <w:t xml:space="preserve"> دراسة حول ترجمة القرآن الكريم</w:t>
      </w:r>
      <w:r w:rsidRPr="00E14D01">
        <w:rPr>
          <w:rFonts w:asciiTheme="majorBidi" w:eastAsia="Times New Roman" w:hAnsiTheme="majorBidi" w:cs="Al Bayan Plain"/>
          <w:rtl/>
          <w:lang w:val="en-AU" w:eastAsia="en-AU"/>
        </w:rPr>
        <w:t xml:space="preserve">، مطبوعات دار الشعب، </w:t>
      </w:r>
      <w:r w:rsidRPr="00E14D01">
        <w:rPr>
          <w:rFonts w:ascii="Calibri" w:eastAsia="Calibri" w:hAnsi="Calibri" w:cs="Calibri"/>
          <w:rtl/>
          <w:lang w:val="en-AU" w:eastAsia="en-AU"/>
        </w:rPr>
        <w:t>1978</w:t>
      </w:r>
      <w:r w:rsidRPr="00E14D01">
        <w:rPr>
          <w:rFonts w:asciiTheme="majorBidi" w:eastAsia="Times New Roman" w:hAnsiTheme="majorBidi" w:cs="Al Bayan Plain"/>
          <w:rtl/>
          <w:lang w:val="en-AU" w:eastAsia="en-AU"/>
        </w:rPr>
        <w:t>.</w:t>
      </w:r>
    </w:p>
    <w:p w14:paraId="4949C585" w14:textId="77777777" w:rsidR="00A70B78" w:rsidRPr="00E14D01" w:rsidRDefault="00A70B78" w:rsidP="00876BB0">
      <w:pPr>
        <w:numPr>
          <w:ilvl w:val="0"/>
          <w:numId w:val="119"/>
        </w:numPr>
        <w:bidi/>
        <w:spacing w:line="360" w:lineRule="auto"/>
        <w:ind w:left="360" w:right="720"/>
        <w:contextualSpacing/>
        <w:jc w:val="both"/>
        <w:rPr>
          <w:rFonts w:asciiTheme="majorBidi" w:eastAsia="Times New Roman" w:hAnsiTheme="majorBidi" w:cs="Al Bayan Plain"/>
          <w:lang w:val="en-AU" w:eastAsia="en-AU"/>
        </w:rPr>
      </w:pPr>
      <w:r w:rsidRPr="00E14D01">
        <w:rPr>
          <w:rFonts w:asciiTheme="majorBidi" w:eastAsia="Times New Roman" w:hAnsiTheme="majorBidi" w:cs="Al Bayan Plain"/>
          <w:rtl/>
          <w:lang w:val="en-AU" w:eastAsia="en-AU"/>
        </w:rPr>
        <w:t>وجدي، محمد فريد،</w:t>
      </w:r>
      <w:r w:rsidRPr="00E14D01">
        <w:rPr>
          <w:rFonts w:asciiTheme="majorBidi" w:eastAsia="Times New Roman" w:hAnsiTheme="majorBidi" w:cs="Al Bayan Plain"/>
          <w:i/>
          <w:iCs/>
          <w:rtl/>
          <w:lang w:val="en-AU" w:eastAsia="en-AU"/>
        </w:rPr>
        <w:t xml:space="preserve"> الأدلة العلمية على جواز ترجمة معاني القرآن إلى اللغات الأجنبية</w:t>
      </w:r>
      <w:r w:rsidRPr="00E14D01">
        <w:rPr>
          <w:rFonts w:asciiTheme="majorBidi" w:eastAsia="Times New Roman" w:hAnsiTheme="majorBidi" w:cs="Al Bayan Plain"/>
          <w:rtl/>
          <w:lang w:val="en-AU" w:eastAsia="en-AU"/>
        </w:rPr>
        <w:t xml:space="preserve">، مطبعة الرغائب، </w:t>
      </w:r>
      <w:r w:rsidRPr="00E14D01">
        <w:rPr>
          <w:rFonts w:ascii="Calibri" w:eastAsia="Calibri" w:hAnsi="Calibri" w:cs="Calibri"/>
          <w:rtl/>
          <w:lang w:val="en-AU" w:eastAsia="en-AU"/>
        </w:rPr>
        <w:t>1936</w:t>
      </w:r>
      <w:r w:rsidRPr="00E14D01">
        <w:rPr>
          <w:rFonts w:asciiTheme="majorBidi" w:eastAsia="Times New Roman" w:hAnsiTheme="majorBidi" w:cs="Al Bayan Plain"/>
          <w:rtl/>
          <w:lang w:val="en-AU" w:eastAsia="en-AU"/>
        </w:rPr>
        <w:t>.</w:t>
      </w:r>
    </w:p>
    <w:p w14:paraId="2E2B6931" w14:textId="77777777" w:rsidR="00A70B78" w:rsidRDefault="00A70B78" w:rsidP="00A70B78">
      <w:pPr>
        <w:bidi/>
        <w:spacing w:line="360" w:lineRule="auto"/>
        <w:ind w:right="720"/>
        <w:contextualSpacing/>
        <w:jc w:val="both"/>
        <w:rPr>
          <w:rFonts w:asciiTheme="majorBidi" w:eastAsia="Times New Roman" w:hAnsiTheme="majorBidi" w:cs="Al Bayan Plain"/>
          <w:sz w:val="20"/>
          <w:szCs w:val="20"/>
          <w:lang w:val="en-AU" w:eastAsia="en-AU"/>
        </w:rPr>
      </w:pPr>
    </w:p>
    <w:p w14:paraId="4E2ECB5D" w14:textId="77777777" w:rsidR="002A11DF" w:rsidRDefault="002A11DF" w:rsidP="002A11DF">
      <w:pPr>
        <w:bidi/>
        <w:spacing w:line="360" w:lineRule="auto"/>
        <w:ind w:right="720"/>
        <w:contextualSpacing/>
        <w:jc w:val="both"/>
        <w:rPr>
          <w:rFonts w:asciiTheme="majorBidi" w:eastAsia="Times New Roman" w:hAnsiTheme="majorBidi" w:cs="Al Bayan Plain"/>
          <w:sz w:val="20"/>
          <w:szCs w:val="20"/>
          <w:lang w:val="en-AU" w:eastAsia="en-AU"/>
        </w:rPr>
      </w:pPr>
    </w:p>
    <w:p w14:paraId="743C81E1" w14:textId="77777777" w:rsidR="002A11DF" w:rsidRDefault="002A11DF" w:rsidP="002A11DF">
      <w:pPr>
        <w:bidi/>
        <w:spacing w:line="360" w:lineRule="auto"/>
        <w:ind w:right="720"/>
        <w:contextualSpacing/>
        <w:jc w:val="both"/>
        <w:rPr>
          <w:rFonts w:asciiTheme="majorBidi" w:eastAsia="Times New Roman" w:hAnsiTheme="majorBidi" w:cs="Al Bayan Plain"/>
          <w:sz w:val="20"/>
          <w:szCs w:val="20"/>
          <w:lang w:val="en-AU" w:eastAsia="en-AU"/>
        </w:rPr>
      </w:pPr>
    </w:p>
    <w:p w14:paraId="504F7F6F" w14:textId="77777777" w:rsidR="002A11DF" w:rsidRPr="00CE4FCD" w:rsidRDefault="002A11DF" w:rsidP="002A11DF">
      <w:pPr>
        <w:bidi/>
        <w:spacing w:line="360" w:lineRule="auto"/>
        <w:ind w:right="720"/>
        <w:contextualSpacing/>
        <w:jc w:val="both"/>
        <w:rPr>
          <w:rFonts w:asciiTheme="majorBidi" w:eastAsia="Times New Roman" w:hAnsiTheme="majorBidi" w:cs="Al Bayan Plain"/>
          <w:sz w:val="20"/>
          <w:szCs w:val="20"/>
          <w:rtl/>
          <w:lang w:val="en-AU" w:eastAsia="en-AU"/>
        </w:rPr>
      </w:pPr>
    </w:p>
    <w:p w14:paraId="526F4987" w14:textId="77777777" w:rsidR="00A70B78" w:rsidRPr="00CE4FCD" w:rsidRDefault="00A70B78" w:rsidP="00A70B78">
      <w:pPr>
        <w:spacing w:line="360" w:lineRule="auto"/>
        <w:contextualSpacing/>
        <w:jc w:val="both"/>
        <w:rPr>
          <w:rFonts w:asciiTheme="majorBidi" w:eastAsia="Times New Roman" w:hAnsiTheme="majorBidi" w:cs="Al Bayan Plain"/>
          <w:b/>
          <w:bCs/>
          <w:sz w:val="20"/>
          <w:szCs w:val="20"/>
          <w:u w:val="single"/>
          <w:lang w:bidi="ar-AE"/>
        </w:rPr>
      </w:pPr>
      <w:r w:rsidRPr="00CE4FCD">
        <w:rPr>
          <w:rFonts w:asciiTheme="majorBidi" w:eastAsia="Times New Roman" w:hAnsiTheme="majorBidi" w:cs="Al Bayan Plain"/>
          <w:b/>
          <w:bCs/>
          <w:sz w:val="20"/>
          <w:szCs w:val="20"/>
          <w:u w:val="single"/>
          <w:lang w:bidi="ar-AE"/>
        </w:rPr>
        <w:t>Références islamiques et islamologiques :</w:t>
      </w:r>
    </w:p>
    <w:p w14:paraId="126499E3"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ابن الجزري الدمشقي، شهاب الدين أبو بكر بن أحمد بن محمد، </w:t>
      </w:r>
      <w:r w:rsidRPr="00E14D01">
        <w:rPr>
          <w:rFonts w:asciiTheme="majorBidi" w:eastAsia="Times New Roman" w:hAnsiTheme="majorBidi" w:cs="Al Bayan Plain"/>
          <w:i/>
          <w:iCs/>
          <w:rtl/>
        </w:rPr>
        <w:t>شرح طَيّبة النشر في القراءات العشر</w:t>
      </w:r>
      <w:r w:rsidRPr="00E14D01">
        <w:rPr>
          <w:rFonts w:asciiTheme="majorBidi" w:eastAsia="Times New Roman" w:hAnsiTheme="majorBidi" w:cs="Al Bayan Plain"/>
          <w:rtl/>
        </w:rPr>
        <w:t>، تحقيق: أنس مهرة، منشورات دار الكتب العلمية، بيروت، ١٩٩٧.</w:t>
      </w:r>
    </w:p>
    <w:p w14:paraId="387044C6"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lastRenderedPageBreak/>
        <w:t xml:space="preserve">ابن الجوزي، أبو الفرج عبد الرحمن بن أبي الحسن علي بن محمد القرشي التيمي البكري، </w:t>
      </w:r>
      <w:r w:rsidRPr="00E14D01">
        <w:rPr>
          <w:rFonts w:asciiTheme="majorBidi" w:eastAsia="Times New Roman" w:hAnsiTheme="majorBidi" w:cs="Al Bayan Plain"/>
          <w:i/>
          <w:iCs/>
          <w:rtl/>
        </w:rPr>
        <w:t>زاد المسير في علم التفسير</w:t>
      </w:r>
      <w:r w:rsidRPr="00E14D01">
        <w:rPr>
          <w:rFonts w:asciiTheme="majorBidi" w:eastAsia="Times New Roman" w:hAnsiTheme="majorBidi" w:cs="Al Bayan Plain"/>
          <w:rtl/>
        </w:rPr>
        <w:t xml:space="preserve">، المحقق: محمد زهير الشاويش، شعيب الأرناؤوط، عبد القادر الأرناؤوط، المكتب الإسلامي، دار ابن حزم، بيروت، الطبعة الثالثة، </w:t>
      </w:r>
      <w:r w:rsidRPr="00E14D01">
        <w:rPr>
          <w:rFonts w:ascii="Calibri" w:eastAsia="Calibri" w:hAnsi="Calibri" w:cs="Calibri"/>
          <w:rtl/>
        </w:rPr>
        <w:t>1983</w:t>
      </w:r>
      <w:r w:rsidRPr="00E14D01">
        <w:rPr>
          <w:rFonts w:asciiTheme="majorBidi" w:eastAsia="Times New Roman" w:hAnsiTheme="majorBidi" w:cs="Al Bayan Plain"/>
          <w:rtl/>
        </w:rPr>
        <w:t xml:space="preserve">، </w:t>
      </w:r>
      <w:r w:rsidRPr="00E14D01">
        <w:rPr>
          <w:rFonts w:ascii="Calibri" w:eastAsia="Calibri" w:hAnsi="Calibri" w:cs="Calibri"/>
          <w:rtl/>
        </w:rPr>
        <w:t>9</w:t>
      </w:r>
      <w:r w:rsidRPr="00E14D01">
        <w:rPr>
          <w:rFonts w:asciiTheme="majorBidi" w:eastAsia="Times New Roman" w:hAnsiTheme="majorBidi" w:cs="Al Bayan Plain"/>
          <w:rtl/>
        </w:rPr>
        <w:t xml:space="preserve"> مجلدات.</w:t>
      </w:r>
    </w:p>
    <w:p w14:paraId="460B3952" w14:textId="77777777" w:rsidR="00A70B78" w:rsidRPr="00E14D01" w:rsidRDefault="00A70B78" w:rsidP="00876BB0">
      <w:pPr>
        <w:pStyle w:val="Paragraphedeliste"/>
        <w:numPr>
          <w:ilvl w:val="0"/>
          <w:numId w:val="107"/>
        </w:numPr>
        <w:tabs>
          <w:tab w:val="left" w:pos="849"/>
        </w:tabs>
        <w:spacing w:after="0" w:line="360" w:lineRule="auto"/>
        <w:contextualSpacing/>
        <w:jc w:val="both"/>
        <w:rPr>
          <w:rFonts w:asciiTheme="majorBidi" w:hAnsiTheme="majorBidi" w:cs="Al Bayan Plain"/>
          <w:sz w:val="24"/>
          <w:szCs w:val="24"/>
        </w:rPr>
      </w:pPr>
      <w:r w:rsidRPr="00E14D01">
        <w:rPr>
          <w:rFonts w:asciiTheme="majorBidi" w:hAnsiTheme="majorBidi" w:cs="Al Bayan Plain"/>
          <w:sz w:val="24"/>
          <w:szCs w:val="24"/>
          <w:rtl/>
          <w:lang w:eastAsia="fr-FR" w:bidi="ar-EG"/>
        </w:rPr>
        <w:t xml:space="preserve">ابن الحاجب، </w:t>
      </w:r>
      <w:r w:rsidRPr="00E14D01">
        <w:rPr>
          <w:rFonts w:asciiTheme="majorBidi" w:hAnsiTheme="majorBidi" w:cs="Al Bayan Plain"/>
          <w:i/>
          <w:iCs/>
          <w:sz w:val="24"/>
          <w:szCs w:val="24"/>
          <w:rtl/>
          <w:lang w:eastAsia="fr-FR" w:bidi="ar-EG"/>
        </w:rPr>
        <w:t>الإيضاح في شرح المفصل</w:t>
      </w:r>
      <w:r w:rsidRPr="00E14D01">
        <w:rPr>
          <w:rFonts w:asciiTheme="majorBidi" w:hAnsiTheme="majorBidi" w:cs="Al Bayan Plain"/>
          <w:sz w:val="24"/>
          <w:szCs w:val="24"/>
          <w:rtl/>
          <w:lang w:eastAsia="fr-FR" w:bidi="ar-EG"/>
        </w:rPr>
        <w:t xml:space="preserve">، تحقيق، إبراهيم محمد عبد الله، دار سعد الدين، </w:t>
      </w:r>
      <w:r w:rsidRPr="00E14D01">
        <w:rPr>
          <w:rFonts w:eastAsia="Calibri" w:cs="Calibri"/>
          <w:sz w:val="24"/>
          <w:szCs w:val="24"/>
          <w:rtl/>
          <w:lang w:eastAsia="fr-FR" w:bidi="ar-EG"/>
        </w:rPr>
        <w:t>2005</w:t>
      </w:r>
      <w:r w:rsidRPr="00E14D01">
        <w:rPr>
          <w:rFonts w:asciiTheme="majorBidi" w:hAnsiTheme="majorBidi" w:cs="Al Bayan Plain"/>
          <w:sz w:val="24"/>
          <w:szCs w:val="24"/>
          <w:rtl/>
          <w:lang w:eastAsia="fr-FR" w:bidi="ar-EG"/>
        </w:rPr>
        <w:t xml:space="preserve"> م، عدد الأجزاء: </w:t>
      </w:r>
      <w:r w:rsidRPr="00E14D01">
        <w:rPr>
          <w:rFonts w:eastAsia="Calibri" w:cs="Calibri"/>
          <w:sz w:val="24"/>
          <w:szCs w:val="24"/>
          <w:rtl/>
          <w:lang w:eastAsia="fr-FR" w:bidi="ar-EG"/>
        </w:rPr>
        <w:t>2</w:t>
      </w:r>
      <w:r w:rsidRPr="00E14D01">
        <w:rPr>
          <w:rFonts w:asciiTheme="majorBidi" w:hAnsiTheme="majorBidi" w:cs="Al Bayan Plain"/>
          <w:sz w:val="24"/>
          <w:szCs w:val="24"/>
          <w:rtl/>
          <w:lang w:eastAsia="fr-FR" w:bidi="ar-EG"/>
        </w:rPr>
        <w:t>.</w:t>
      </w:r>
    </w:p>
    <w:p w14:paraId="37A2CD04"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ابن المثـنّـى، أبو عُبيدة مَعمر بن المثنى التيمي، </w:t>
      </w:r>
      <w:r w:rsidRPr="00E14D01">
        <w:rPr>
          <w:rFonts w:asciiTheme="majorBidi" w:eastAsia="Times New Roman" w:hAnsiTheme="majorBidi" w:cs="Al Bayan Plain"/>
          <w:i/>
          <w:iCs/>
          <w:rtl/>
        </w:rPr>
        <w:t>مجاز القرآن</w:t>
      </w:r>
      <w:r w:rsidRPr="00E14D01">
        <w:rPr>
          <w:rFonts w:asciiTheme="majorBidi" w:eastAsia="Times New Roman" w:hAnsiTheme="majorBidi" w:cs="Al Bayan Plain"/>
          <w:rtl/>
        </w:rPr>
        <w:t>، تحقيق: محمد فؤاد سزكين، مكتبة الخانجي، القاهرة، ١٩٥٤.</w:t>
      </w:r>
    </w:p>
    <w:p w14:paraId="7B9FDE34"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ابن المنذر، إبراهيم بن المنذر النيسابوري أبو بكر، </w:t>
      </w:r>
      <w:r w:rsidRPr="00E14D01">
        <w:rPr>
          <w:rFonts w:asciiTheme="majorBidi" w:eastAsia="Times New Roman" w:hAnsiTheme="majorBidi" w:cs="Al Bayan Plain"/>
          <w:i/>
          <w:iCs/>
          <w:rtl/>
        </w:rPr>
        <w:t>كتاب تفسير القرآن</w:t>
      </w:r>
      <w:r w:rsidRPr="00E14D01">
        <w:rPr>
          <w:rFonts w:asciiTheme="majorBidi" w:eastAsia="Times New Roman" w:hAnsiTheme="majorBidi" w:cs="Al Bayan Plain"/>
          <w:rtl/>
        </w:rPr>
        <w:t xml:space="preserve">، تحقيق: سعد بن محمد السعد، دار المآثر، </w:t>
      </w:r>
      <w:r w:rsidRPr="00E14D01">
        <w:rPr>
          <w:rFonts w:ascii="Calibri" w:eastAsia="Calibri" w:hAnsi="Calibri" w:cs="Calibri"/>
          <w:rtl/>
        </w:rPr>
        <w:t>2002</w:t>
      </w:r>
      <w:r w:rsidRPr="00E14D01">
        <w:rPr>
          <w:rFonts w:asciiTheme="majorBidi" w:eastAsia="Times New Roman" w:hAnsiTheme="majorBidi" w:cs="Al Bayan Plain"/>
          <w:rtl/>
        </w:rPr>
        <w:t xml:space="preserve">، عدد المجلدات: </w:t>
      </w:r>
      <w:r w:rsidRPr="00E14D01">
        <w:rPr>
          <w:rFonts w:ascii="Calibri" w:eastAsia="Calibri" w:hAnsi="Calibri" w:cs="Calibri"/>
          <w:rtl/>
        </w:rPr>
        <w:t>2</w:t>
      </w:r>
      <w:r w:rsidRPr="00E14D01">
        <w:rPr>
          <w:rFonts w:asciiTheme="majorBidi" w:eastAsia="Times New Roman" w:hAnsiTheme="majorBidi" w:cs="Al Bayan Plain"/>
          <w:rtl/>
        </w:rPr>
        <w:t>.</w:t>
      </w:r>
    </w:p>
    <w:p w14:paraId="3F1C633B"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ابن تيمية، </w:t>
      </w:r>
      <w:r w:rsidRPr="00E14D01">
        <w:rPr>
          <w:rFonts w:asciiTheme="majorBidi" w:eastAsia="Times New Roman" w:hAnsiTheme="majorBidi" w:cs="Al Bayan Plain"/>
          <w:i/>
          <w:iCs/>
          <w:rtl/>
        </w:rPr>
        <w:t>دقائق التفسير الجامع لتفسير ابن تيمية</w:t>
      </w:r>
      <w:r w:rsidRPr="00E14D01">
        <w:rPr>
          <w:rFonts w:asciiTheme="majorBidi" w:eastAsia="Times New Roman" w:hAnsiTheme="majorBidi" w:cs="Al Bayan Plain"/>
          <w:rtl/>
        </w:rPr>
        <w:t xml:space="preserve">، جمع وتقديم وتحقيق: محمد السيد الجليند، مؤسسة علوم القرآن، دمشق، بيروت، الطبعة الثانية، </w:t>
      </w:r>
      <w:r w:rsidRPr="00E14D01">
        <w:rPr>
          <w:rFonts w:ascii="Calibri" w:eastAsia="Calibri" w:hAnsi="Calibri" w:cs="Calibri"/>
          <w:rtl/>
        </w:rPr>
        <w:t>1984</w:t>
      </w:r>
      <w:r w:rsidRPr="00E14D01">
        <w:rPr>
          <w:rFonts w:asciiTheme="majorBidi" w:eastAsia="Times New Roman" w:hAnsiTheme="majorBidi" w:cs="Al Bayan Plain"/>
          <w:rtl/>
        </w:rPr>
        <w:t>.</w:t>
      </w:r>
    </w:p>
    <w:p w14:paraId="3F17AF7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ابن تيمية، فتاوى ابن تيمية، مجمع الملك فهد، ١٩٩٥، ٣٧ جزءاً.</w:t>
      </w:r>
    </w:p>
    <w:p w14:paraId="0AB34AB1"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ابن عاشور، محمد الطاهر، </w:t>
      </w:r>
      <w:r w:rsidRPr="00E14D01">
        <w:rPr>
          <w:rFonts w:asciiTheme="majorBidi" w:eastAsia="Calibri" w:hAnsiTheme="majorBidi" w:cs="Al Bayan Plain"/>
          <w:i/>
          <w:iCs/>
          <w:rtl/>
          <w:lang w:bidi="ar-AE"/>
        </w:rPr>
        <w:t>تفسير التحرير والتنوير</w:t>
      </w:r>
      <w:r w:rsidRPr="00E14D01">
        <w:rPr>
          <w:rFonts w:asciiTheme="majorBidi" w:eastAsia="Calibri" w:hAnsiTheme="majorBidi" w:cs="Al Bayan Plain"/>
          <w:rtl/>
          <w:lang w:bidi="ar-AE"/>
        </w:rPr>
        <w:t xml:space="preserve">، الدار التونسية للنشر، تونس، </w:t>
      </w:r>
      <w:r w:rsidRPr="00E14D01">
        <w:rPr>
          <w:rFonts w:ascii="Calibri" w:eastAsia="Calibri" w:hAnsi="Calibri" w:cs="Calibri"/>
          <w:rtl/>
          <w:lang w:bidi="ar-AE"/>
        </w:rPr>
        <w:t>1984</w:t>
      </w:r>
      <w:r w:rsidRPr="00E14D01">
        <w:rPr>
          <w:rFonts w:asciiTheme="majorBidi" w:eastAsia="Calibri" w:hAnsiTheme="majorBidi" w:cs="Al Bayan Plain"/>
          <w:rtl/>
          <w:lang w:bidi="ar-AE"/>
        </w:rPr>
        <w:t xml:space="preserve">، عدد المجلدات: </w:t>
      </w:r>
      <w:r w:rsidRPr="00E14D01">
        <w:rPr>
          <w:rFonts w:ascii="Calibri" w:eastAsia="Calibri" w:hAnsi="Calibri" w:cs="Calibri"/>
          <w:rtl/>
          <w:lang w:bidi="ar-AE"/>
        </w:rPr>
        <w:t>30</w:t>
      </w:r>
      <w:r w:rsidRPr="00E14D01">
        <w:rPr>
          <w:rFonts w:asciiTheme="majorBidi" w:eastAsia="Calibri" w:hAnsiTheme="majorBidi" w:cs="Al Bayan Plain"/>
          <w:rtl/>
          <w:lang w:bidi="ar-AE"/>
        </w:rPr>
        <w:t>.</w:t>
      </w:r>
    </w:p>
    <w:p w14:paraId="1B450F5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ابن عباس، عبد الله، </w:t>
      </w:r>
      <w:r w:rsidRPr="00E14D01">
        <w:rPr>
          <w:rFonts w:asciiTheme="majorBidi" w:eastAsia="Times New Roman" w:hAnsiTheme="majorBidi" w:cs="Al Bayan Plain"/>
          <w:i/>
          <w:iCs/>
          <w:rtl/>
        </w:rPr>
        <w:t>تنوير المقباس من تفسير ابن عباس</w:t>
      </w:r>
      <w:r w:rsidRPr="00E14D01">
        <w:rPr>
          <w:rFonts w:asciiTheme="majorBidi" w:eastAsia="Times New Roman" w:hAnsiTheme="majorBidi" w:cs="Al Bayan Plain"/>
          <w:rtl/>
        </w:rPr>
        <w:t xml:space="preserve">، جمعه: مجد الدين أبو طاهر محمد بن يعقوب الفيروز أبادي، دار الكتب العلمية، </w:t>
      </w:r>
      <w:r w:rsidRPr="00E14D01">
        <w:rPr>
          <w:rFonts w:ascii="Calibri" w:eastAsia="Calibri" w:hAnsi="Calibri" w:cs="Calibri"/>
          <w:rtl/>
        </w:rPr>
        <w:t>1992</w:t>
      </w:r>
      <w:r w:rsidRPr="00E14D01">
        <w:rPr>
          <w:rFonts w:asciiTheme="majorBidi" w:eastAsia="Times New Roman" w:hAnsiTheme="majorBidi" w:cs="Al Bayan Plain"/>
          <w:rtl/>
        </w:rPr>
        <w:t xml:space="preserve">، عدد المجلدات: </w:t>
      </w:r>
      <w:r w:rsidRPr="00E14D01">
        <w:rPr>
          <w:rFonts w:ascii="Calibri" w:eastAsia="Calibri" w:hAnsi="Calibri" w:cs="Calibri"/>
          <w:rtl/>
        </w:rPr>
        <w:t>1</w:t>
      </w:r>
      <w:r w:rsidRPr="00E14D01">
        <w:rPr>
          <w:rFonts w:asciiTheme="majorBidi" w:eastAsia="Times New Roman" w:hAnsiTheme="majorBidi" w:cs="Al Bayan Plain"/>
          <w:rtl/>
        </w:rPr>
        <w:t xml:space="preserve">، عدد الصفحات: </w:t>
      </w:r>
      <w:r w:rsidRPr="00E14D01">
        <w:rPr>
          <w:rFonts w:ascii="Calibri" w:eastAsia="Calibri" w:hAnsi="Calibri" w:cs="Calibri"/>
          <w:rtl/>
        </w:rPr>
        <w:t>664</w:t>
      </w:r>
      <w:r w:rsidRPr="00E14D01">
        <w:rPr>
          <w:rFonts w:asciiTheme="majorBidi" w:eastAsia="Times New Roman" w:hAnsiTheme="majorBidi" w:cs="Al Bayan Plain"/>
          <w:rtl/>
        </w:rPr>
        <w:t>.</w:t>
      </w:r>
    </w:p>
    <w:p w14:paraId="436A486F" w14:textId="77777777" w:rsidR="00A70B78" w:rsidRPr="00E14D01" w:rsidRDefault="00A70B78" w:rsidP="00876BB0">
      <w:pPr>
        <w:pStyle w:val="Paragraphedeliste"/>
        <w:numPr>
          <w:ilvl w:val="0"/>
          <w:numId w:val="107"/>
        </w:numPr>
        <w:spacing w:after="0" w:line="360" w:lineRule="auto"/>
        <w:contextualSpacing/>
        <w:jc w:val="both"/>
        <w:rPr>
          <w:rFonts w:asciiTheme="majorBidi" w:hAnsiTheme="majorBidi" w:cs="Al Bayan Plain"/>
          <w:sz w:val="24"/>
          <w:szCs w:val="24"/>
          <w:lang w:eastAsia="fr-FR" w:bidi="ar-EG"/>
        </w:rPr>
      </w:pPr>
      <w:r w:rsidRPr="00E14D01">
        <w:rPr>
          <w:rFonts w:asciiTheme="majorBidi" w:eastAsia="Calibri" w:hAnsiTheme="majorBidi" w:cs="Al Bayan Plain"/>
          <w:sz w:val="24"/>
          <w:szCs w:val="24"/>
          <w:rtl/>
          <w:lang w:bidi="ar-AE"/>
        </w:rPr>
        <w:t xml:space="preserve">ابن عربي، محي الدين، </w:t>
      </w:r>
      <w:r w:rsidRPr="00E14D01">
        <w:rPr>
          <w:rFonts w:asciiTheme="majorBidi" w:eastAsia="Calibri" w:hAnsiTheme="majorBidi" w:cs="Al Bayan Plain"/>
          <w:i/>
          <w:iCs/>
          <w:sz w:val="24"/>
          <w:szCs w:val="24"/>
          <w:rtl/>
          <w:lang w:bidi="ar-AE"/>
        </w:rPr>
        <w:t>تفسير ابن عربي</w:t>
      </w:r>
      <w:r w:rsidRPr="00E14D01">
        <w:rPr>
          <w:rFonts w:asciiTheme="majorBidi" w:eastAsia="Calibri" w:hAnsiTheme="majorBidi" w:cs="Al Bayan Plain"/>
          <w:sz w:val="24"/>
          <w:szCs w:val="24"/>
          <w:rtl/>
          <w:lang w:bidi="ar-AE"/>
        </w:rPr>
        <w:t xml:space="preserve">، تحقيق: عبد الوارث محمد علي، دار الكتب العلمية، بيروت، </w:t>
      </w:r>
      <w:r w:rsidRPr="00E14D01">
        <w:rPr>
          <w:rFonts w:eastAsia="Calibri" w:cs="Calibri"/>
          <w:sz w:val="24"/>
          <w:szCs w:val="24"/>
          <w:rtl/>
          <w:lang w:bidi="ar-AE"/>
        </w:rPr>
        <w:t>2001</w:t>
      </w:r>
      <w:r w:rsidRPr="00E14D01">
        <w:rPr>
          <w:rFonts w:asciiTheme="majorBidi" w:eastAsia="Calibri" w:hAnsiTheme="majorBidi" w:cs="Al Bayan Plain"/>
          <w:sz w:val="24"/>
          <w:szCs w:val="24"/>
          <w:rtl/>
          <w:lang w:bidi="ar-AE"/>
        </w:rPr>
        <w:t xml:space="preserve">، عدد الصفحات: </w:t>
      </w:r>
      <w:r w:rsidRPr="00E14D01">
        <w:rPr>
          <w:rFonts w:eastAsia="Calibri" w:cs="Calibri"/>
          <w:sz w:val="24"/>
          <w:szCs w:val="24"/>
          <w:rtl/>
          <w:lang w:bidi="ar-AE"/>
        </w:rPr>
        <w:t>876</w:t>
      </w:r>
      <w:r w:rsidRPr="00E14D01">
        <w:rPr>
          <w:rFonts w:asciiTheme="majorBidi" w:eastAsia="Calibri" w:hAnsiTheme="majorBidi" w:cs="Al Bayan Plain"/>
          <w:sz w:val="24"/>
          <w:szCs w:val="24"/>
          <w:rtl/>
          <w:lang w:bidi="ar-AE"/>
        </w:rPr>
        <w:t xml:space="preserve"> صفحة، مجلَّدان.</w:t>
      </w:r>
    </w:p>
    <w:p w14:paraId="5F699D45"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ابن عطية، عبد الحق بن غالب بن عطية الأندلسي أبو محمد ، </w:t>
      </w:r>
      <w:r w:rsidRPr="00E14D01">
        <w:rPr>
          <w:rFonts w:asciiTheme="majorBidi" w:eastAsia="Times New Roman" w:hAnsiTheme="majorBidi" w:cs="Al Bayan Plain"/>
          <w:i/>
          <w:iCs/>
          <w:rtl/>
        </w:rPr>
        <w:t>المحرر الوجيز في تفسير الكتاب العزيز</w:t>
      </w:r>
      <w:r w:rsidRPr="00E14D01">
        <w:rPr>
          <w:rFonts w:asciiTheme="majorBidi" w:eastAsia="Times New Roman" w:hAnsiTheme="majorBidi" w:cs="Al Bayan Plain"/>
          <w:rtl/>
        </w:rPr>
        <w:t xml:space="preserve">، دار الكتب العلمية، لبنان، </w:t>
      </w:r>
      <w:r w:rsidRPr="00E14D01">
        <w:rPr>
          <w:rFonts w:ascii="Calibri" w:eastAsia="Calibri" w:hAnsi="Calibri" w:cs="Calibri"/>
          <w:rtl/>
        </w:rPr>
        <w:t>1993</w:t>
      </w:r>
      <w:r w:rsidRPr="00E14D01">
        <w:rPr>
          <w:rFonts w:asciiTheme="majorBidi" w:eastAsia="Times New Roman" w:hAnsiTheme="majorBidi" w:cs="Al Bayan Plain"/>
          <w:rtl/>
        </w:rPr>
        <w:t xml:space="preserve">، عدد الأجزاء: </w:t>
      </w:r>
      <w:r w:rsidRPr="00E14D01">
        <w:rPr>
          <w:rFonts w:ascii="Calibri" w:eastAsia="Calibri" w:hAnsi="Calibri" w:cs="Calibri"/>
          <w:rtl/>
        </w:rPr>
        <w:t>5</w:t>
      </w:r>
      <w:r w:rsidRPr="00E14D01">
        <w:rPr>
          <w:rFonts w:asciiTheme="majorBidi" w:eastAsia="Times New Roman" w:hAnsiTheme="majorBidi" w:cs="Al Bayan Plain"/>
          <w:rtl/>
        </w:rPr>
        <w:t>، تحقيق: عبد السلام عبد الشافي محمد.</w:t>
      </w:r>
    </w:p>
    <w:p w14:paraId="71C33CD3"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ابن كثير، أبو الفداء إسماعيل بن عمر القرشي الدمشقي، </w:t>
      </w:r>
      <w:r w:rsidRPr="00E14D01">
        <w:rPr>
          <w:rFonts w:asciiTheme="majorBidi" w:eastAsia="Times New Roman" w:hAnsiTheme="majorBidi" w:cs="Al Bayan Plain"/>
          <w:i/>
          <w:iCs/>
          <w:rtl/>
        </w:rPr>
        <w:t>تفسير القرآن العظيم</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تفسير ابن كثير</w:t>
      </w:r>
      <w:r w:rsidRPr="00E14D01">
        <w:rPr>
          <w:rFonts w:asciiTheme="majorBidi" w:eastAsia="Times New Roman" w:hAnsiTheme="majorBidi" w:cs="Al Bayan Plain"/>
          <w:rtl/>
        </w:rPr>
        <w:t xml:space="preserve">)، دار الفكر، </w:t>
      </w:r>
      <w:r w:rsidRPr="00E14D01">
        <w:rPr>
          <w:rFonts w:ascii="Calibri" w:eastAsia="Calibri" w:hAnsi="Calibri" w:cs="Calibri"/>
          <w:rtl/>
        </w:rPr>
        <w:t>1994</w:t>
      </w:r>
      <w:r w:rsidRPr="00E14D01">
        <w:rPr>
          <w:rFonts w:asciiTheme="majorBidi" w:eastAsia="Times New Roman" w:hAnsiTheme="majorBidi" w:cs="Al Bayan Plain"/>
          <w:rtl/>
        </w:rPr>
        <w:t>.</w:t>
      </w:r>
    </w:p>
    <w:p w14:paraId="6A0165E8"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أبو السعود محمد بن العمادي، </w:t>
      </w:r>
      <w:r w:rsidRPr="00E14D01">
        <w:rPr>
          <w:rFonts w:asciiTheme="majorBidi" w:eastAsia="Times New Roman" w:hAnsiTheme="majorBidi" w:cs="Al Bayan Plain"/>
          <w:i/>
          <w:iCs/>
          <w:rtl/>
        </w:rPr>
        <w:t>تفسير أبو السعود أو إرشاد العقل السليم إلى مزايا الكتاب الكريم</w:t>
      </w:r>
      <w:r w:rsidRPr="00E14D01">
        <w:rPr>
          <w:rFonts w:asciiTheme="majorBidi" w:eastAsia="Times New Roman" w:hAnsiTheme="majorBidi" w:cs="Al Bayan Plain"/>
          <w:rtl/>
        </w:rPr>
        <w:t>، تحقيق: عبد القادر أحمد عطا، الناشر: مكتبة الرياض الحديثة، الرياض.</w:t>
      </w:r>
    </w:p>
    <w:p w14:paraId="52AF6DD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أبو الفتوح الرازي، جمال الدين أبو الفتوح الحسين بن علي بن محمد بن أحمد بن الحسين بن أحمد الخزاعي، </w:t>
      </w:r>
      <w:r w:rsidRPr="00E14D01">
        <w:rPr>
          <w:rFonts w:asciiTheme="majorBidi" w:eastAsia="Calibri" w:hAnsiTheme="majorBidi" w:cs="Al Bayan Plain"/>
          <w:i/>
          <w:iCs/>
          <w:rtl/>
          <w:lang w:bidi="ar-AE"/>
        </w:rPr>
        <w:t>رَوض الجِنان ورَوح الجَنان</w:t>
      </w:r>
      <w:r w:rsidRPr="00E14D01">
        <w:rPr>
          <w:rFonts w:asciiTheme="majorBidi" w:eastAsia="Calibri" w:hAnsiTheme="majorBidi" w:cs="Al Bayan Plain"/>
          <w:rtl/>
          <w:lang w:bidi="ar-AE"/>
        </w:rPr>
        <w:t xml:space="preserve"> (</w:t>
      </w:r>
      <w:r w:rsidRPr="00E14D01">
        <w:rPr>
          <w:rFonts w:asciiTheme="majorBidi" w:eastAsia="Calibri" w:hAnsiTheme="majorBidi" w:cs="Al Bayan Plain"/>
          <w:i/>
          <w:iCs/>
          <w:rtl/>
          <w:lang w:bidi="ar-AE"/>
        </w:rPr>
        <w:t>تفسير أبو الفتوح</w:t>
      </w:r>
      <w:r w:rsidRPr="00E14D01">
        <w:rPr>
          <w:rFonts w:asciiTheme="majorBidi" w:eastAsia="Calibri" w:hAnsiTheme="majorBidi" w:cs="Al Bayan Plain"/>
          <w:rtl/>
          <w:lang w:bidi="ar-AE"/>
        </w:rPr>
        <w:t>) (باللغة الفارسية).</w:t>
      </w:r>
    </w:p>
    <w:p w14:paraId="2F15B4E9"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أصفهاني (الـ)، ميرزا مهدي، </w:t>
      </w:r>
      <w:r w:rsidRPr="00E14D01">
        <w:rPr>
          <w:rFonts w:asciiTheme="majorBidi" w:eastAsia="Times New Roman" w:hAnsiTheme="majorBidi" w:cs="Al Bayan Plain"/>
          <w:i/>
          <w:iCs/>
          <w:rtl/>
        </w:rPr>
        <w:t>أبواب الهدى</w:t>
      </w:r>
      <w:r w:rsidRPr="00E14D01">
        <w:rPr>
          <w:rFonts w:asciiTheme="majorBidi" w:eastAsia="Times New Roman" w:hAnsiTheme="majorBidi" w:cs="Al Bayan Plain"/>
          <w:rtl/>
        </w:rPr>
        <w:t>، ط١، ٢٠٠٨، مؤسسة بستان كتاب، قُم، إيران.</w:t>
      </w:r>
    </w:p>
    <w:p w14:paraId="6ECA2662"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lastRenderedPageBreak/>
        <w:t xml:space="preserve">الأنباري، محمد، </w:t>
      </w:r>
      <w:r w:rsidRPr="00E14D01">
        <w:rPr>
          <w:rFonts w:asciiTheme="majorBidi" w:eastAsia="Times New Roman" w:hAnsiTheme="majorBidi" w:cs="Al Bayan Plain"/>
          <w:i/>
          <w:iCs/>
          <w:rtl/>
        </w:rPr>
        <w:t>كتاب الأضداد</w:t>
      </w:r>
      <w:r w:rsidRPr="00E14D01">
        <w:rPr>
          <w:rFonts w:asciiTheme="majorBidi" w:eastAsia="Times New Roman" w:hAnsiTheme="majorBidi" w:cs="Al Bayan Plain"/>
          <w:rtl/>
        </w:rPr>
        <w:t>، المكتبة العصرية، بيروت، ٢٠٠٦، ٣١٢ صفحة.</w:t>
      </w:r>
    </w:p>
    <w:p w14:paraId="5C2F725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الفيض الكاشاني، الملا محسن الملقب بالفيض محمد بن مرتضى (</w:t>
      </w:r>
      <w:r w:rsidRPr="00E14D01">
        <w:rPr>
          <w:rFonts w:ascii="Calibri" w:eastAsia="Calibri" w:hAnsi="Calibri" w:cs="Calibri"/>
          <w:rtl/>
          <w:lang w:bidi="ar-AE"/>
        </w:rPr>
        <w:t>1091</w:t>
      </w:r>
      <w:r w:rsidRPr="00E14D01">
        <w:rPr>
          <w:rFonts w:asciiTheme="majorBidi" w:eastAsia="Calibri" w:hAnsiTheme="majorBidi" w:cs="Al Bayan Plain"/>
          <w:rtl/>
          <w:lang w:bidi="ar-AE"/>
        </w:rPr>
        <w:t xml:space="preserve"> هـ)، </w:t>
      </w:r>
      <w:r w:rsidRPr="00E14D01">
        <w:rPr>
          <w:rFonts w:asciiTheme="majorBidi" w:eastAsia="Calibri" w:hAnsiTheme="majorBidi" w:cs="Al Bayan Plain"/>
          <w:i/>
          <w:iCs/>
          <w:rtl/>
          <w:lang w:bidi="ar-AE"/>
        </w:rPr>
        <w:t>الصافي في تفسير كلام الله الوافي</w:t>
      </w:r>
      <w:r w:rsidRPr="00E14D01">
        <w:rPr>
          <w:rFonts w:asciiTheme="majorBidi" w:eastAsia="Calibri" w:hAnsiTheme="majorBidi" w:cs="Al Bayan Plain"/>
          <w:rtl/>
          <w:lang w:bidi="ar-AE"/>
        </w:rPr>
        <w:t>، طهران، منشورات المكتبة الإسلامية.</w:t>
      </w:r>
    </w:p>
    <w:p w14:paraId="23424D72"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المنتخَب في تفسير القرآن الكريم، لجنة من علماء الأزهر، ط ١٨، ١٩٩٥.</w:t>
      </w:r>
    </w:p>
    <w:p w14:paraId="41A1E016"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ألوسي (الـ)، شهاب الدين محمود ابن عبد الله الحسيني البغدادي، </w:t>
      </w:r>
      <w:r w:rsidRPr="00E14D01">
        <w:rPr>
          <w:rFonts w:asciiTheme="majorBidi" w:eastAsia="Times New Roman" w:hAnsiTheme="majorBidi" w:cs="Al Bayan Plain"/>
          <w:i/>
          <w:iCs/>
          <w:rtl/>
        </w:rPr>
        <w:t>روح المعاني في تفسير القرآن العظيم والسبع المثاني</w:t>
      </w:r>
      <w:r w:rsidRPr="00E14D01">
        <w:rPr>
          <w:rFonts w:asciiTheme="majorBidi" w:eastAsia="Times New Roman" w:hAnsiTheme="majorBidi" w:cs="Al Bayan Plain"/>
          <w:rtl/>
        </w:rPr>
        <w:t xml:space="preserve">، دار الكتب العلمية، بيروت، تحقيق: على عبد الباري عطية، </w:t>
      </w:r>
      <w:r w:rsidRPr="00E14D01">
        <w:rPr>
          <w:rFonts w:ascii="Calibri" w:eastAsia="Calibri" w:hAnsi="Calibri" w:cs="Calibri"/>
          <w:rtl/>
        </w:rPr>
        <w:t>1994</w:t>
      </w:r>
      <w:r w:rsidRPr="00E14D01">
        <w:rPr>
          <w:rFonts w:asciiTheme="majorBidi" w:eastAsia="Times New Roman" w:hAnsiTheme="majorBidi" w:cs="Al Bayan Plain"/>
          <w:rtl/>
        </w:rPr>
        <w:t xml:space="preserve">، عدد الأجزاء : </w:t>
      </w:r>
      <w:r w:rsidRPr="00E14D01">
        <w:rPr>
          <w:rFonts w:ascii="Calibri" w:eastAsia="Calibri" w:hAnsi="Calibri" w:cs="Calibri"/>
          <w:rtl/>
        </w:rPr>
        <w:t>16</w:t>
      </w:r>
      <w:r w:rsidRPr="00E14D01">
        <w:rPr>
          <w:rFonts w:asciiTheme="majorBidi" w:eastAsia="Times New Roman" w:hAnsiTheme="majorBidi" w:cs="Al Bayan Plain"/>
          <w:rtl/>
        </w:rPr>
        <w:t xml:space="preserve"> مع الفهارس.</w:t>
      </w:r>
    </w:p>
    <w:p w14:paraId="7A1E8561" w14:textId="77777777" w:rsidR="00A70B78" w:rsidRPr="00E14D01" w:rsidRDefault="00A70B78" w:rsidP="00876BB0">
      <w:pPr>
        <w:pStyle w:val="Paragraphedeliste"/>
        <w:numPr>
          <w:ilvl w:val="0"/>
          <w:numId w:val="107"/>
        </w:numPr>
        <w:spacing w:after="0" w:line="360" w:lineRule="auto"/>
        <w:contextualSpacing/>
        <w:jc w:val="both"/>
        <w:rPr>
          <w:rFonts w:asciiTheme="majorBidi" w:hAnsiTheme="majorBidi" w:cs="Al Bayan Plain"/>
          <w:sz w:val="24"/>
          <w:szCs w:val="24"/>
        </w:rPr>
      </w:pPr>
      <w:r w:rsidRPr="00E14D01">
        <w:rPr>
          <w:rFonts w:asciiTheme="majorBidi" w:eastAsia="Calibri" w:hAnsiTheme="majorBidi" w:cs="Al Bayan Plain"/>
          <w:sz w:val="24"/>
          <w:szCs w:val="24"/>
          <w:rtl/>
          <w:lang w:bidi="ar-AE"/>
        </w:rPr>
        <w:t xml:space="preserve">باشا (الـ)، محمد خليل [مؤلف </w:t>
      </w:r>
      <w:r w:rsidRPr="00E14D01">
        <w:rPr>
          <w:rFonts w:asciiTheme="majorBidi" w:eastAsia="Calibri" w:hAnsiTheme="majorBidi" w:cs="Al Bayan Plain"/>
          <w:i/>
          <w:iCs/>
          <w:sz w:val="24"/>
          <w:szCs w:val="24"/>
          <w:rtl/>
          <w:lang w:bidi="ar-AE"/>
        </w:rPr>
        <w:t>معجم أعلام الدروز</w:t>
      </w:r>
      <w:r w:rsidRPr="00E14D01">
        <w:rPr>
          <w:rFonts w:asciiTheme="majorBidi" w:eastAsia="Calibri" w:hAnsiTheme="majorBidi" w:cs="Al Bayan Plain"/>
          <w:sz w:val="24"/>
          <w:szCs w:val="24"/>
          <w:rtl/>
          <w:lang w:bidi="ar-AE"/>
        </w:rPr>
        <w:t xml:space="preserve">]، </w:t>
      </w:r>
      <w:r w:rsidRPr="00E14D01">
        <w:rPr>
          <w:rFonts w:asciiTheme="majorBidi" w:eastAsia="Calibri" w:hAnsiTheme="majorBidi" w:cs="Al Bayan Plain"/>
          <w:i/>
          <w:iCs/>
          <w:sz w:val="24"/>
          <w:szCs w:val="24"/>
          <w:rtl/>
          <w:lang w:bidi="ar-AE"/>
        </w:rPr>
        <w:t>الإنسان وتقلباته في الآفاق</w:t>
      </w:r>
      <w:r w:rsidRPr="00E14D01">
        <w:rPr>
          <w:rFonts w:asciiTheme="majorBidi" w:eastAsia="Calibri" w:hAnsiTheme="majorBidi" w:cs="Al Bayan Plain"/>
          <w:sz w:val="24"/>
          <w:szCs w:val="24"/>
          <w:rtl/>
          <w:lang w:bidi="ar-AE"/>
        </w:rPr>
        <w:t xml:space="preserve">، دار نوفل، بيروت، </w:t>
      </w:r>
      <w:r w:rsidRPr="00E14D01">
        <w:rPr>
          <w:rFonts w:eastAsia="Calibri" w:cs="Calibri"/>
          <w:sz w:val="24"/>
          <w:szCs w:val="24"/>
          <w:rtl/>
          <w:lang w:bidi="ar-AE"/>
        </w:rPr>
        <w:t>1994</w:t>
      </w:r>
      <w:r w:rsidRPr="00E14D01">
        <w:rPr>
          <w:rFonts w:asciiTheme="majorBidi" w:eastAsia="Calibri" w:hAnsiTheme="majorBidi" w:cs="Al Bayan Plain"/>
          <w:sz w:val="24"/>
          <w:szCs w:val="24"/>
          <w:rtl/>
          <w:lang w:bidi="ar-AE"/>
        </w:rPr>
        <w:t>.</w:t>
      </w:r>
    </w:p>
    <w:p w14:paraId="7FEFCED3"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بدوي، عبد الرحمن، </w:t>
      </w:r>
      <w:r w:rsidRPr="00E14D01">
        <w:rPr>
          <w:rFonts w:asciiTheme="majorBidi" w:eastAsia="Times New Roman" w:hAnsiTheme="majorBidi" w:cs="Al Bayan Plain"/>
          <w:i/>
          <w:iCs/>
          <w:rtl/>
        </w:rPr>
        <w:t>النُّصيرية</w:t>
      </w:r>
      <w:r w:rsidRPr="00E14D01">
        <w:rPr>
          <w:rFonts w:asciiTheme="majorBidi" w:eastAsia="Times New Roman" w:hAnsiTheme="majorBidi" w:cs="Al Bayan Plain"/>
          <w:rtl/>
        </w:rPr>
        <w:t>، بيروت، ط١، ١٩٧٣.</w:t>
      </w:r>
    </w:p>
    <w:p w14:paraId="2DDE66C5" w14:textId="77777777" w:rsidR="00A70B78" w:rsidRPr="00E14D01" w:rsidRDefault="00A70B78" w:rsidP="00876BB0">
      <w:pPr>
        <w:pStyle w:val="Paragraphedeliste"/>
        <w:numPr>
          <w:ilvl w:val="0"/>
          <w:numId w:val="107"/>
        </w:numPr>
        <w:spacing w:after="0" w:line="360" w:lineRule="auto"/>
        <w:contextualSpacing/>
        <w:jc w:val="both"/>
        <w:rPr>
          <w:rFonts w:asciiTheme="majorBidi" w:hAnsiTheme="majorBidi" w:cs="Al Bayan Plain"/>
          <w:sz w:val="24"/>
          <w:szCs w:val="24"/>
          <w:lang w:eastAsia="fr-FR" w:bidi="ar-EG"/>
        </w:rPr>
      </w:pPr>
      <w:r w:rsidRPr="00E14D01">
        <w:rPr>
          <w:rFonts w:asciiTheme="majorBidi" w:eastAsia="Calibri" w:hAnsiTheme="majorBidi" w:cs="Al Bayan Plain"/>
          <w:sz w:val="24"/>
          <w:szCs w:val="24"/>
          <w:rtl/>
          <w:lang w:bidi="ar-AE"/>
        </w:rPr>
        <w:t xml:space="preserve">بروسوي (الـ)، إسماعيل حقي بن مصطفى الإستانبولي الآيدوسي الحنفي الجلوتي أبو الفداء (المتوفَّى: </w:t>
      </w:r>
      <w:r w:rsidRPr="00E14D01">
        <w:rPr>
          <w:rFonts w:eastAsia="Calibri" w:cs="Calibri"/>
          <w:sz w:val="24"/>
          <w:szCs w:val="24"/>
          <w:rtl/>
          <w:lang w:bidi="ar-AE"/>
        </w:rPr>
        <w:t>1127</w:t>
      </w:r>
      <w:r w:rsidRPr="00E14D01">
        <w:rPr>
          <w:rFonts w:asciiTheme="majorBidi" w:eastAsia="Calibri" w:hAnsiTheme="majorBidi" w:cs="Al Bayan Plain"/>
          <w:sz w:val="24"/>
          <w:szCs w:val="24"/>
          <w:rtl/>
          <w:lang w:bidi="ar-AE"/>
        </w:rPr>
        <w:t xml:space="preserve"> هـ)، </w:t>
      </w:r>
      <w:r w:rsidRPr="00E14D01">
        <w:rPr>
          <w:rFonts w:asciiTheme="majorBidi" w:eastAsia="Calibri" w:hAnsiTheme="majorBidi" w:cs="Al Bayan Plain"/>
          <w:i/>
          <w:iCs/>
          <w:sz w:val="24"/>
          <w:szCs w:val="24"/>
          <w:rtl/>
          <w:lang w:bidi="ar-AE"/>
        </w:rPr>
        <w:t>تفسير روح البيان</w:t>
      </w:r>
      <w:r w:rsidRPr="00E14D01">
        <w:rPr>
          <w:rFonts w:asciiTheme="majorBidi" w:eastAsia="Calibri" w:hAnsiTheme="majorBidi" w:cs="Al Bayan Plain"/>
          <w:sz w:val="24"/>
          <w:szCs w:val="24"/>
          <w:rtl/>
          <w:lang w:bidi="ar-AE"/>
        </w:rPr>
        <w:t xml:space="preserve">، إستانبول، </w:t>
      </w:r>
      <w:r w:rsidRPr="00E14D01">
        <w:rPr>
          <w:rFonts w:eastAsia="Calibri" w:cs="Calibri"/>
          <w:sz w:val="24"/>
          <w:szCs w:val="24"/>
          <w:rtl/>
          <w:lang w:bidi="ar-AE"/>
        </w:rPr>
        <w:t>1928</w:t>
      </w:r>
      <w:r w:rsidRPr="00E14D01">
        <w:rPr>
          <w:rFonts w:asciiTheme="majorBidi" w:eastAsia="Calibri" w:hAnsiTheme="majorBidi" w:cs="Al Bayan Plain"/>
          <w:sz w:val="24"/>
          <w:szCs w:val="24"/>
          <w:rtl/>
          <w:lang w:bidi="ar-AE"/>
        </w:rPr>
        <w:t xml:space="preserve">. مصر </w:t>
      </w:r>
      <w:r w:rsidRPr="00E14D01">
        <w:rPr>
          <w:rFonts w:eastAsia="Calibri" w:cs="Calibri"/>
          <w:sz w:val="24"/>
          <w:szCs w:val="24"/>
          <w:rtl/>
          <w:lang w:bidi="ar-AE"/>
        </w:rPr>
        <w:t>1839</w:t>
      </w:r>
      <w:r w:rsidRPr="00E14D01">
        <w:rPr>
          <w:rFonts w:asciiTheme="majorBidi" w:eastAsia="Calibri" w:hAnsiTheme="majorBidi" w:cs="Al Bayan Plain"/>
          <w:sz w:val="24"/>
          <w:szCs w:val="24"/>
          <w:rtl/>
          <w:lang w:bidi="ar-AE"/>
        </w:rPr>
        <w:t xml:space="preserve">. دار إحياء التراث العربي، عشرة أجزاء. دار الكتب العلمية، بيروت، </w:t>
      </w:r>
      <w:r w:rsidRPr="00E14D01">
        <w:rPr>
          <w:rFonts w:eastAsia="Calibri" w:cs="Calibri"/>
          <w:sz w:val="24"/>
          <w:szCs w:val="24"/>
          <w:rtl/>
          <w:lang w:bidi="ar-AE"/>
        </w:rPr>
        <w:t>2003</w:t>
      </w:r>
      <w:r w:rsidRPr="00E14D01">
        <w:rPr>
          <w:rFonts w:asciiTheme="majorBidi" w:eastAsia="Calibri" w:hAnsiTheme="majorBidi" w:cs="Al Bayan Plain"/>
          <w:sz w:val="24"/>
          <w:szCs w:val="24"/>
          <w:rtl/>
          <w:lang w:bidi="ar-AE"/>
        </w:rPr>
        <w:t xml:space="preserve">، تحقيق: عبد اللطيف حسن عبد الرحمن، عشرة مجلَّدات. قام محمد علي الصابوني باختصاره وطبعه في أربعة أجزاء بعنوان: </w:t>
      </w:r>
      <w:r w:rsidRPr="00E14D01">
        <w:rPr>
          <w:rFonts w:asciiTheme="majorBidi" w:eastAsia="Calibri" w:hAnsiTheme="majorBidi" w:cs="Al Bayan Plain"/>
          <w:i/>
          <w:iCs/>
          <w:sz w:val="24"/>
          <w:szCs w:val="24"/>
          <w:rtl/>
          <w:lang w:bidi="ar-AE"/>
        </w:rPr>
        <w:t>تنوير الأذهان من تفسير روح البيان</w:t>
      </w:r>
      <w:r w:rsidRPr="00E14D01">
        <w:rPr>
          <w:rFonts w:asciiTheme="majorBidi" w:eastAsia="Calibri" w:hAnsiTheme="majorBidi" w:cs="Al Bayan Plain"/>
          <w:sz w:val="24"/>
          <w:szCs w:val="24"/>
          <w:rtl/>
          <w:lang w:bidi="ar-AE"/>
        </w:rPr>
        <w:t xml:space="preserve">، دار القلم، دمشق، </w:t>
      </w:r>
      <w:r w:rsidRPr="00E14D01">
        <w:rPr>
          <w:rFonts w:eastAsia="Calibri" w:cs="Calibri"/>
          <w:sz w:val="24"/>
          <w:szCs w:val="24"/>
          <w:rtl/>
          <w:lang w:bidi="ar-AE"/>
        </w:rPr>
        <w:t>1989</w:t>
      </w:r>
      <w:r w:rsidRPr="00E14D01">
        <w:rPr>
          <w:rFonts w:asciiTheme="majorBidi" w:eastAsia="Calibri" w:hAnsiTheme="majorBidi" w:cs="Al Bayan Plain"/>
          <w:sz w:val="24"/>
          <w:szCs w:val="24"/>
          <w:rtl/>
          <w:lang w:bidi="ar-AE"/>
        </w:rPr>
        <w:t>.</w:t>
      </w:r>
    </w:p>
    <w:p w14:paraId="48195F9E"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بغوي (الـ)، الحسين بن مسعود أبو محمد، </w:t>
      </w:r>
      <w:r w:rsidRPr="00E14D01">
        <w:rPr>
          <w:rFonts w:asciiTheme="majorBidi" w:eastAsia="Calibri" w:hAnsiTheme="majorBidi" w:cs="Al Bayan Plain"/>
          <w:i/>
          <w:iCs/>
          <w:rtl/>
          <w:lang w:bidi="ar-AE"/>
        </w:rPr>
        <w:t>معالم التنزيل</w:t>
      </w:r>
      <w:r w:rsidRPr="00E14D01">
        <w:rPr>
          <w:rFonts w:asciiTheme="majorBidi" w:eastAsia="Calibri" w:hAnsiTheme="majorBidi" w:cs="Al Bayan Plain"/>
          <w:rtl/>
          <w:lang w:bidi="ar-AE"/>
        </w:rPr>
        <w:t xml:space="preserve"> (</w:t>
      </w:r>
      <w:r w:rsidRPr="00E14D01">
        <w:rPr>
          <w:rFonts w:asciiTheme="majorBidi" w:eastAsia="Calibri" w:hAnsiTheme="majorBidi" w:cs="Al Bayan Plain"/>
          <w:i/>
          <w:iCs/>
          <w:rtl/>
          <w:lang w:bidi="ar-AE"/>
        </w:rPr>
        <w:t>تفسير البغوي</w:t>
      </w:r>
      <w:r w:rsidRPr="00E14D01">
        <w:rPr>
          <w:rFonts w:asciiTheme="majorBidi" w:eastAsia="Calibri" w:hAnsiTheme="majorBidi" w:cs="Al Bayan Plain"/>
          <w:rtl/>
          <w:lang w:bidi="ar-AE"/>
        </w:rPr>
        <w:t>)، تحقيق: محمد عبد الله النمر وعثمان جمعة ضميرية وسليمان مسلم الحرش،</w:t>
      </w:r>
      <w:r w:rsidRPr="00E14D01">
        <w:rPr>
          <w:rFonts w:asciiTheme="majorBidi" w:eastAsia="Times New Roman" w:hAnsiTheme="majorBidi" w:cs="Al Bayan Plain"/>
          <w:rtl/>
          <w:lang w:bidi="ar-AE"/>
        </w:rPr>
        <w:t xml:space="preserve"> </w:t>
      </w:r>
      <w:r w:rsidRPr="00E14D01">
        <w:rPr>
          <w:rFonts w:asciiTheme="majorBidi" w:eastAsia="Calibri" w:hAnsiTheme="majorBidi" w:cs="Al Bayan Plain"/>
          <w:rtl/>
          <w:lang w:bidi="ar-AE"/>
        </w:rPr>
        <w:t xml:space="preserve">دار طيبة، </w:t>
      </w:r>
      <w:r w:rsidRPr="00E14D01">
        <w:rPr>
          <w:rFonts w:ascii="Calibri" w:eastAsia="Calibri" w:hAnsi="Calibri" w:cs="Calibri"/>
          <w:rtl/>
          <w:lang w:bidi="ar-AE"/>
        </w:rPr>
        <w:t>1989</w:t>
      </w:r>
      <w:r w:rsidRPr="00E14D01">
        <w:rPr>
          <w:rFonts w:asciiTheme="majorBidi" w:eastAsia="Calibri" w:hAnsiTheme="majorBidi" w:cs="Al Bayan Plain"/>
          <w:rtl/>
          <w:lang w:bidi="ar-AE"/>
        </w:rPr>
        <w:t xml:space="preserve">، عدد المجلدات: </w:t>
      </w:r>
      <w:r w:rsidRPr="00E14D01">
        <w:rPr>
          <w:rFonts w:ascii="Calibri" w:eastAsia="Calibri" w:hAnsi="Calibri" w:cs="Calibri"/>
          <w:rtl/>
          <w:lang w:bidi="ar-AE"/>
        </w:rPr>
        <w:t>8</w:t>
      </w:r>
      <w:r w:rsidRPr="00E14D01">
        <w:rPr>
          <w:rFonts w:asciiTheme="majorBidi" w:eastAsia="Calibri" w:hAnsiTheme="majorBidi" w:cs="Al Bayan Plain"/>
          <w:rtl/>
          <w:lang w:bidi="ar-AE"/>
        </w:rPr>
        <w:t>.</w:t>
      </w:r>
    </w:p>
    <w:p w14:paraId="10761841"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بيضاوي (الـ)، </w:t>
      </w:r>
      <w:r w:rsidRPr="00E14D01">
        <w:rPr>
          <w:rFonts w:asciiTheme="majorBidi" w:eastAsia="Times New Roman" w:hAnsiTheme="majorBidi" w:cs="Al Bayan Plain"/>
          <w:i/>
          <w:iCs/>
          <w:rtl/>
        </w:rPr>
        <w:t>تفسير البيضاوي</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أنوار التنزيل وأسرار التأويل</w:t>
      </w:r>
      <w:r w:rsidRPr="00E14D01">
        <w:rPr>
          <w:rFonts w:asciiTheme="majorBidi" w:eastAsia="Times New Roman" w:hAnsiTheme="majorBidi" w:cs="Al Bayan Plain"/>
          <w:rtl/>
        </w:rPr>
        <w:t xml:space="preserve">)، دار الفكر، بيروت، عدد الأجزاء: </w:t>
      </w:r>
      <w:r w:rsidRPr="00E14D01">
        <w:rPr>
          <w:rFonts w:ascii="Calibri" w:eastAsia="Calibri" w:hAnsi="Calibri" w:cs="Calibri"/>
          <w:rtl/>
        </w:rPr>
        <w:t>5</w:t>
      </w:r>
      <w:r w:rsidRPr="00E14D01">
        <w:rPr>
          <w:rFonts w:asciiTheme="majorBidi" w:eastAsia="Times New Roman" w:hAnsiTheme="majorBidi" w:cs="Al Bayan Plain"/>
          <w:rtl/>
        </w:rPr>
        <w:t>.</w:t>
      </w:r>
    </w:p>
    <w:p w14:paraId="1D8D1FA7" w14:textId="77777777" w:rsidR="00A70B78" w:rsidRPr="00E14D01" w:rsidRDefault="00A70B78" w:rsidP="00876BB0">
      <w:pPr>
        <w:pStyle w:val="Paragraphedeliste"/>
        <w:numPr>
          <w:ilvl w:val="0"/>
          <w:numId w:val="107"/>
        </w:numPr>
        <w:spacing w:after="0" w:line="360" w:lineRule="auto"/>
        <w:contextualSpacing/>
        <w:jc w:val="both"/>
        <w:rPr>
          <w:rFonts w:asciiTheme="majorBidi" w:hAnsiTheme="majorBidi" w:cs="Al Bayan Plain"/>
          <w:sz w:val="24"/>
          <w:szCs w:val="24"/>
          <w:lang w:eastAsia="fr-FR" w:bidi="ar-EG"/>
        </w:rPr>
      </w:pPr>
      <w:r w:rsidRPr="00E14D01">
        <w:rPr>
          <w:rFonts w:asciiTheme="majorBidi" w:eastAsia="Calibri" w:hAnsiTheme="majorBidi" w:cs="Al Bayan Plain"/>
          <w:sz w:val="24"/>
          <w:szCs w:val="24"/>
          <w:rtl/>
          <w:lang w:bidi="ar-AE"/>
        </w:rPr>
        <w:t>تُستري (الـ)</w:t>
      </w:r>
      <w:r w:rsidRPr="00E14D01">
        <w:rPr>
          <w:rFonts w:asciiTheme="majorBidi" w:hAnsiTheme="majorBidi" w:cs="Al Bayan Plain"/>
          <w:sz w:val="24"/>
          <w:szCs w:val="24"/>
          <w:rtl/>
          <w:lang w:bidi="ar-AE"/>
        </w:rPr>
        <w:t xml:space="preserve"> </w:t>
      </w:r>
      <w:r w:rsidRPr="00E14D01">
        <w:rPr>
          <w:rFonts w:asciiTheme="majorBidi" w:eastAsia="Calibri" w:hAnsiTheme="majorBidi" w:cs="Al Bayan Plain"/>
          <w:sz w:val="24"/>
          <w:szCs w:val="24"/>
          <w:rtl/>
          <w:lang w:bidi="ar-AE"/>
        </w:rPr>
        <w:t xml:space="preserve">[الطوستري]، أبو محمد سهل بن عبد الله بن يونس بن رفيع (المتوفى: </w:t>
      </w:r>
      <w:r w:rsidRPr="00E14D01">
        <w:rPr>
          <w:rFonts w:eastAsia="Calibri" w:cs="Calibri"/>
          <w:sz w:val="24"/>
          <w:szCs w:val="24"/>
          <w:rtl/>
          <w:lang w:bidi="ar-AE"/>
        </w:rPr>
        <w:t>283</w:t>
      </w:r>
      <w:r w:rsidRPr="00E14D01">
        <w:rPr>
          <w:rFonts w:asciiTheme="majorBidi" w:eastAsia="Calibri" w:hAnsiTheme="majorBidi" w:cs="Al Bayan Plain"/>
          <w:sz w:val="24"/>
          <w:szCs w:val="24"/>
          <w:rtl/>
          <w:lang w:bidi="ar-AE"/>
        </w:rPr>
        <w:t xml:space="preserve"> هـ/</w:t>
      </w:r>
      <w:r w:rsidRPr="00E14D01">
        <w:rPr>
          <w:rFonts w:eastAsia="Calibri" w:cs="Calibri"/>
          <w:sz w:val="24"/>
          <w:szCs w:val="24"/>
          <w:rtl/>
          <w:lang w:bidi="ar-AE"/>
        </w:rPr>
        <w:t>896</w:t>
      </w:r>
      <w:r w:rsidRPr="00E14D01">
        <w:rPr>
          <w:rFonts w:asciiTheme="majorBidi" w:eastAsia="Calibri" w:hAnsiTheme="majorBidi" w:cs="Al Bayan Plain"/>
          <w:sz w:val="24"/>
          <w:szCs w:val="24"/>
          <w:rtl/>
          <w:lang w:bidi="ar-AE"/>
        </w:rPr>
        <w:t xml:space="preserve"> م)، </w:t>
      </w:r>
      <w:r w:rsidRPr="00E14D01">
        <w:rPr>
          <w:rFonts w:asciiTheme="majorBidi" w:eastAsia="Calibri" w:hAnsiTheme="majorBidi" w:cs="Al Bayan Plain"/>
          <w:i/>
          <w:iCs/>
          <w:sz w:val="24"/>
          <w:szCs w:val="24"/>
          <w:rtl/>
          <w:lang w:bidi="ar-AE"/>
        </w:rPr>
        <w:t>تفسير التُّستري</w:t>
      </w:r>
      <w:r w:rsidRPr="00E14D01">
        <w:rPr>
          <w:rFonts w:asciiTheme="majorBidi" w:eastAsia="Calibri" w:hAnsiTheme="majorBidi" w:cs="Al Bayan Plain"/>
          <w:sz w:val="24"/>
          <w:szCs w:val="24"/>
          <w:rtl/>
          <w:lang w:bidi="ar-AE"/>
        </w:rPr>
        <w:t xml:space="preserve"> (تفسير سُـنِّي صوفي مختصر)، جمعه: أبو بكر محمد البلدي، تحقيق: محمد باسل عيون السود، منشورات محمد علي بيضون، دار الكتب العلمية، بيروت، </w:t>
      </w:r>
      <w:r w:rsidRPr="00E14D01">
        <w:rPr>
          <w:rFonts w:eastAsia="Calibri" w:cs="Calibri"/>
          <w:sz w:val="24"/>
          <w:szCs w:val="24"/>
          <w:rtl/>
          <w:lang w:bidi="ar-AE"/>
        </w:rPr>
        <w:t>2002</w:t>
      </w:r>
      <w:r w:rsidRPr="00E14D01">
        <w:rPr>
          <w:rFonts w:asciiTheme="majorBidi" w:eastAsia="Calibri" w:hAnsiTheme="majorBidi" w:cs="Al Bayan Plain"/>
          <w:sz w:val="24"/>
          <w:szCs w:val="24"/>
          <w:rtl/>
          <w:lang w:bidi="ar-AE"/>
        </w:rPr>
        <w:t>.</w:t>
      </w:r>
    </w:p>
    <w:p w14:paraId="4A03F952" w14:textId="77777777" w:rsidR="00A70B78" w:rsidRPr="00E14D01" w:rsidRDefault="00A70B78" w:rsidP="00876BB0">
      <w:pPr>
        <w:numPr>
          <w:ilvl w:val="0"/>
          <w:numId w:val="107"/>
        </w:numPr>
        <w:tabs>
          <w:tab w:val="left" w:pos="849"/>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ثعالبي (الـ)، أبو زيد عبد الرحمن بن محمد بن مخلوف، </w:t>
      </w:r>
      <w:r w:rsidRPr="00E14D01">
        <w:rPr>
          <w:rFonts w:asciiTheme="majorBidi" w:eastAsia="Times New Roman" w:hAnsiTheme="majorBidi" w:cs="Al Bayan Plain"/>
          <w:i/>
          <w:iCs/>
          <w:rtl/>
        </w:rPr>
        <w:t>تفسير الثعالبي</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الجواهر الحسان في تفسير القرآن</w:t>
      </w:r>
      <w:r w:rsidRPr="00E14D01">
        <w:rPr>
          <w:rFonts w:asciiTheme="majorBidi" w:eastAsia="Times New Roman" w:hAnsiTheme="majorBidi" w:cs="Al Bayan Plain"/>
          <w:rtl/>
        </w:rPr>
        <w:t xml:space="preserve">)، تحقيق: محمد علي معوض وعادل أحمد عبد الموجود، دار إحياء التراث العربي، بيروت، </w:t>
      </w:r>
      <w:r w:rsidRPr="00E14D01">
        <w:rPr>
          <w:rFonts w:ascii="Calibri" w:eastAsia="Calibri" w:hAnsi="Calibri" w:cs="Calibri"/>
          <w:rtl/>
        </w:rPr>
        <w:t>1418</w:t>
      </w:r>
      <w:r w:rsidRPr="00E14D01">
        <w:rPr>
          <w:rFonts w:asciiTheme="majorBidi" w:eastAsia="Times New Roman" w:hAnsiTheme="majorBidi" w:cs="Al Bayan Plain"/>
          <w:rtl/>
        </w:rPr>
        <w:t xml:space="preserve"> هـ.</w:t>
      </w:r>
    </w:p>
    <w:p w14:paraId="1580ACB6"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ثعلبي (الـ)، أحمد أبو إسحاق (ت. ٤٢٧ هـ)، </w:t>
      </w:r>
      <w:r w:rsidRPr="00E14D01">
        <w:rPr>
          <w:rFonts w:asciiTheme="majorBidi" w:eastAsia="Times New Roman" w:hAnsiTheme="majorBidi" w:cs="Al Bayan Plain"/>
          <w:i/>
          <w:iCs/>
          <w:rtl/>
        </w:rPr>
        <w:t xml:space="preserve">الكشف والبيان عن تفسير القرآن </w:t>
      </w:r>
      <w:r w:rsidRPr="00E14D01">
        <w:rPr>
          <w:rFonts w:asciiTheme="majorBidi" w:eastAsia="Times New Roman" w:hAnsiTheme="majorBidi" w:cs="Al Bayan Plain"/>
          <w:rtl/>
        </w:rPr>
        <w:t>(</w:t>
      </w:r>
      <w:r w:rsidRPr="00E14D01">
        <w:rPr>
          <w:rFonts w:asciiTheme="majorBidi" w:eastAsia="Times New Roman" w:hAnsiTheme="majorBidi" w:cs="Al Bayan Plain"/>
          <w:i/>
          <w:iCs/>
          <w:rtl/>
        </w:rPr>
        <w:t>تفسير الثعلبي</w:t>
      </w:r>
      <w:r w:rsidRPr="00E14D01">
        <w:rPr>
          <w:rFonts w:asciiTheme="majorBidi" w:eastAsia="Times New Roman" w:hAnsiTheme="majorBidi" w:cs="Al Bayan Plain"/>
          <w:rtl/>
        </w:rPr>
        <w:t>)، تحقيق: صالح بن نمران الحارثي وناصر بن محمد الصائغ، إشراف: صلاح باعثمان وحسن الغزالي وزيد مهارش وأمين باشه، المجلّد الثامن عشر، دار التفسير، جدّة، ٢٠١٥، عدد المجلدات ٣٣ مجلَّدًا.</w:t>
      </w:r>
    </w:p>
    <w:p w14:paraId="046E8781"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lastRenderedPageBreak/>
        <w:t xml:space="preserve">ثمالي (الـ)، أبو حمزة ثابت بن دينار، </w:t>
      </w:r>
      <w:r w:rsidRPr="00E14D01">
        <w:rPr>
          <w:rFonts w:asciiTheme="majorBidi" w:eastAsia="Calibri" w:hAnsiTheme="majorBidi" w:cs="Al Bayan Plain"/>
          <w:i/>
          <w:iCs/>
          <w:rtl/>
          <w:lang w:bidi="ar-AE"/>
        </w:rPr>
        <w:t>تفسير القرآن الكريم</w:t>
      </w:r>
      <w:r w:rsidRPr="00E14D01">
        <w:rPr>
          <w:rFonts w:asciiTheme="majorBidi" w:eastAsia="Calibri" w:hAnsiTheme="majorBidi" w:cs="Al Bayan Plain"/>
          <w:rtl/>
          <w:lang w:bidi="ar-AE"/>
        </w:rPr>
        <w:t xml:space="preserve">، جمع: عبد الرزاق محمد حسين حرز الدين، مراجعة وتقديم: سماحة العلامة الشيخ محمد هادي معرفة، مطبعة الهادي، </w:t>
      </w:r>
      <w:r w:rsidRPr="00E14D01">
        <w:rPr>
          <w:rFonts w:ascii="Calibri" w:eastAsia="Calibri" w:hAnsi="Calibri" w:cs="Calibri"/>
          <w:rtl/>
          <w:lang w:bidi="ar-AE"/>
        </w:rPr>
        <w:t>1999</w:t>
      </w:r>
      <w:r w:rsidRPr="00E14D01">
        <w:rPr>
          <w:rFonts w:asciiTheme="majorBidi" w:eastAsia="Calibri" w:hAnsiTheme="majorBidi" w:cs="Al Bayan Plain"/>
          <w:rtl/>
          <w:lang w:bidi="ar-AE"/>
        </w:rPr>
        <w:t>، قُـمْ، إيران.</w:t>
      </w:r>
    </w:p>
    <w:p w14:paraId="1F511AFC"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ثوري (الـ)، سفيان بن سعيد بن مسروق، </w:t>
      </w:r>
      <w:r w:rsidRPr="00E14D01">
        <w:rPr>
          <w:rFonts w:asciiTheme="majorBidi" w:eastAsia="Times New Roman" w:hAnsiTheme="majorBidi" w:cs="Al Bayan Plain"/>
          <w:i/>
          <w:iCs/>
          <w:rtl/>
        </w:rPr>
        <w:t>تفسير الثوري</w:t>
      </w:r>
      <w:r w:rsidRPr="00E14D01">
        <w:rPr>
          <w:rFonts w:asciiTheme="majorBidi" w:eastAsia="Times New Roman" w:hAnsiTheme="majorBidi" w:cs="Al Bayan Plain"/>
          <w:rtl/>
        </w:rPr>
        <w:t xml:space="preserve">، دار الكتب العلمية، بيروت، لبنان، </w:t>
      </w:r>
      <w:r w:rsidRPr="00E14D01">
        <w:rPr>
          <w:rFonts w:ascii="Calibri" w:eastAsia="Calibri" w:hAnsi="Calibri" w:cs="Calibri"/>
          <w:rtl/>
        </w:rPr>
        <w:t>1983</w:t>
      </w:r>
      <w:r w:rsidRPr="00E14D01">
        <w:rPr>
          <w:rFonts w:asciiTheme="majorBidi" w:eastAsia="Times New Roman" w:hAnsiTheme="majorBidi" w:cs="Al Bayan Plain"/>
          <w:rtl/>
        </w:rPr>
        <w:t>.</w:t>
      </w:r>
    </w:p>
    <w:p w14:paraId="0584F51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جوزية (الـ)، ابن القيم، بدائع الفوائد، مكتبة دار البيان، بيروت، ١٩٩٤.</w:t>
      </w:r>
    </w:p>
    <w:p w14:paraId="58BB280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حويزي (الـ)، عبد علي بن جمعة العروسي، </w:t>
      </w:r>
      <w:r w:rsidRPr="00E14D01">
        <w:rPr>
          <w:rFonts w:asciiTheme="majorBidi" w:eastAsia="Calibri" w:hAnsiTheme="majorBidi" w:cs="Al Bayan Plain"/>
          <w:i/>
          <w:iCs/>
          <w:rtl/>
          <w:lang w:bidi="ar-AE"/>
        </w:rPr>
        <w:t>تفسير نور الثقلين</w:t>
      </w:r>
      <w:r w:rsidRPr="00E14D01">
        <w:rPr>
          <w:rFonts w:asciiTheme="majorBidi" w:eastAsia="Calibri" w:hAnsiTheme="majorBidi" w:cs="Al Bayan Plain"/>
          <w:rtl/>
          <w:lang w:bidi="ar-AE"/>
        </w:rPr>
        <w:t xml:space="preserve">، صححه وعلَّق عليه هاشم الرسولي المحلاتي، مؤسسة ء اسماعيليان، الطبعة الرابعة، </w:t>
      </w:r>
      <w:r w:rsidRPr="00E14D01">
        <w:rPr>
          <w:rFonts w:ascii="Calibri" w:eastAsia="Calibri" w:hAnsi="Calibri" w:cs="Calibri"/>
          <w:rtl/>
          <w:lang w:bidi="ar-AE"/>
        </w:rPr>
        <w:t>1991</w:t>
      </w:r>
      <w:r w:rsidRPr="00E14D01">
        <w:rPr>
          <w:rFonts w:asciiTheme="majorBidi" w:eastAsia="Calibri" w:hAnsiTheme="majorBidi" w:cs="Al Bayan Plain"/>
          <w:rtl/>
          <w:lang w:bidi="ar-AE"/>
        </w:rPr>
        <w:t>، قُـمْ، إيران.</w:t>
      </w:r>
    </w:p>
    <w:p w14:paraId="1EFB88FC"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ديلمي (الـ)، أبو شُجاع، </w:t>
      </w:r>
      <w:r w:rsidRPr="00E14D01">
        <w:rPr>
          <w:rFonts w:asciiTheme="majorBidi" w:eastAsia="Times New Roman" w:hAnsiTheme="majorBidi" w:cs="Al Bayan Plain"/>
          <w:i/>
          <w:iCs/>
          <w:rtl/>
        </w:rPr>
        <w:t>الفردوس بمأثور الخِطاب</w:t>
      </w:r>
      <w:r w:rsidRPr="00E14D01">
        <w:rPr>
          <w:rFonts w:asciiTheme="majorBidi" w:eastAsia="Times New Roman" w:hAnsiTheme="majorBidi" w:cs="Al Bayan Plain"/>
          <w:rtl/>
        </w:rPr>
        <w:t>، دار الكتب العلمية، ١٩٨٦.</w:t>
      </w:r>
    </w:p>
    <w:p w14:paraId="32C2E95D"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ذهبي (الـ)، محمد حسين، </w:t>
      </w:r>
      <w:r w:rsidRPr="00E14D01">
        <w:rPr>
          <w:rFonts w:asciiTheme="majorBidi" w:eastAsia="Times New Roman" w:hAnsiTheme="majorBidi" w:cs="Al Bayan Plain"/>
          <w:i/>
          <w:iCs/>
          <w:rtl/>
        </w:rPr>
        <w:t>التفسير والمفسرون</w:t>
      </w:r>
      <w:r w:rsidRPr="00E14D01">
        <w:rPr>
          <w:rFonts w:asciiTheme="majorBidi" w:eastAsia="Times New Roman" w:hAnsiTheme="majorBidi" w:cs="Al Bayan Plain"/>
          <w:rtl/>
        </w:rPr>
        <w:t>، ٣ أجزاء، مكتبة وهبة، القاهرة، ٢٠٠٠.</w:t>
      </w:r>
    </w:p>
    <w:p w14:paraId="7A7F6900"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رازي (الـ)، فخر الدين، </w:t>
      </w:r>
      <w:r w:rsidRPr="00E14D01">
        <w:rPr>
          <w:rFonts w:asciiTheme="majorBidi" w:eastAsia="Times New Roman" w:hAnsiTheme="majorBidi" w:cs="Al Bayan Plain"/>
          <w:i/>
          <w:iCs/>
          <w:rtl/>
        </w:rPr>
        <w:t>التفسير الكبير أو مفاتيح الغيب</w:t>
      </w:r>
      <w:r w:rsidRPr="00E14D01">
        <w:rPr>
          <w:rFonts w:asciiTheme="majorBidi" w:eastAsia="Times New Roman" w:hAnsiTheme="majorBidi" w:cs="Al Bayan Plain"/>
          <w:rtl/>
        </w:rPr>
        <w:t xml:space="preserve">، دار الكتب العلمية، بيروت، </w:t>
      </w:r>
      <w:r w:rsidRPr="00E14D01">
        <w:rPr>
          <w:rFonts w:ascii="Calibri" w:eastAsia="Calibri" w:hAnsi="Calibri" w:cs="Calibri"/>
          <w:rtl/>
        </w:rPr>
        <w:t>2004</w:t>
      </w:r>
      <w:r w:rsidRPr="00E14D01">
        <w:rPr>
          <w:rFonts w:asciiTheme="majorBidi" w:eastAsia="Times New Roman" w:hAnsiTheme="majorBidi" w:cs="Al Bayan Plain"/>
          <w:rtl/>
        </w:rPr>
        <w:t>، ستة عشر مجلداً.</w:t>
      </w:r>
    </w:p>
    <w:p w14:paraId="04EC2B80"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زحيلي (الـ)، وهبة، التفسير المنير في العقيدة والشريعة والمنهج، دار الفكر المعاصر، دمشق، الطبعة الثانية، </w:t>
      </w:r>
      <w:r w:rsidRPr="00E14D01">
        <w:rPr>
          <w:rFonts w:ascii="Calibri" w:eastAsia="Calibri" w:hAnsi="Calibri" w:cs="Calibri"/>
          <w:rtl/>
          <w:lang w:bidi="ar-AE"/>
        </w:rPr>
        <w:t>1418</w:t>
      </w:r>
      <w:r w:rsidRPr="00E14D01">
        <w:rPr>
          <w:rFonts w:asciiTheme="majorBidi" w:eastAsia="Calibri" w:hAnsiTheme="majorBidi" w:cs="Al Bayan Plain"/>
          <w:rtl/>
          <w:lang w:bidi="ar-AE"/>
        </w:rPr>
        <w:t xml:space="preserve"> هـ (</w:t>
      </w:r>
      <w:r w:rsidRPr="00E14D01">
        <w:rPr>
          <w:rFonts w:ascii="Calibri" w:eastAsia="Calibri" w:hAnsi="Calibri" w:cs="Calibri"/>
          <w:rtl/>
          <w:lang w:bidi="ar-AE"/>
        </w:rPr>
        <w:t>1997</w:t>
      </w:r>
      <w:r w:rsidRPr="00E14D01">
        <w:rPr>
          <w:rFonts w:asciiTheme="majorBidi" w:eastAsia="Calibri" w:hAnsiTheme="majorBidi" w:cs="Al Bayan Plain"/>
          <w:rtl/>
          <w:lang w:bidi="ar-AE"/>
        </w:rPr>
        <w:t>).</w:t>
      </w:r>
    </w:p>
    <w:p w14:paraId="734D82C5"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زركشي (الـ)، بدر الدين، </w:t>
      </w:r>
      <w:r w:rsidRPr="00E14D01">
        <w:rPr>
          <w:rFonts w:asciiTheme="majorBidi" w:eastAsia="Calibri" w:hAnsiTheme="majorBidi" w:cs="Al Bayan Plain"/>
          <w:i/>
          <w:iCs/>
          <w:rtl/>
          <w:lang w:bidi="ar-AE"/>
        </w:rPr>
        <w:t>البرهان في علوم القرآن</w:t>
      </w:r>
      <w:r w:rsidRPr="00E14D01">
        <w:rPr>
          <w:rFonts w:asciiTheme="majorBidi" w:eastAsia="Calibri" w:hAnsiTheme="majorBidi" w:cs="Al Bayan Plain"/>
          <w:rtl/>
          <w:lang w:bidi="ar-AE"/>
        </w:rPr>
        <w:t xml:space="preserve">، دار المعرفة، </w:t>
      </w:r>
      <w:r w:rsidRPr="00E14D01">
        <w:rPr>
          <w:rFonts w:ascii="Calibri" w:eastAsia="Calibri" w:hAnsi="Calibri" w:cs="Calibri"/>
          <w:rtl/>
          <w:lang w:bidi="ar-AE"/>
        </w:rPr>
        <w:t>1990</w:t>
      </w:r>
      <w:r w:rsidRPr="00E14D01">
        <w:rPr>
          <w:rFonts w:asciiTheme="majorBidi" w:eastAsia="Calibri" w:hAnsiTheme="majorBidi" w:cs="Al Bayan Plain"/>
          <w:rtl/>
          <w:lang w:bidi="ar-AE"/>
        </w:rPr>
        <w:t>، أربع مجلَّدات</w:t>
      </w:r>
      <w:r w:rsidRPr="00E14D01">
        <w:rPr>
          <w:rFonts w:asciiTheme="majorBidi" w:eastAsia="Calibri" w:hAnsiTheme="majorBidi" w:cs="Al Bayan Plain"/>
          <w:rtl/>
        </w:rPr>
        <w:t xml:space="preserve">. </w:t>
      </w:r>
      <w:r w:rsidRPr="00E14D01">
        <w:rPr>
          <w:rFonts w:asciiTheme="majorBidi" w:eastAsia="Calibri" w:hAnsiTheme="majorBidi" w:cs="Al Bayan Plain"/>
          <w:rtl/>
          <w:lang w:bidi="ar-AE"/>
        </w:rPr>
        <w:t>(نشرتْه أيضاً مكتبة دار التراث بتحقيق: محمد أبو الفضل إبراهيم).</w:t>
      </w:r>
    </w:p>
    <w:p w14:paraId="7F9EC563"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lang w:bidi="ar-AE"/>
        </w:rPr>
        <w:t xml:space="preserve">زمخشري (الـ)، أبو القاسم محمود بن عمرو بن أحمد، </w:t>
      </w:r>
      <w:r w:rsidRPr="00E14D01">
        <w:rPr>
          <w:rFonts w:asciiTheme="majorBidi" w:eastAsia="Times New Roman" w:hAnsiTheme="majorBidi" w:cs="Al Bayan Plain"/>
          <w:i/>
          <w:iCs/>
          <w:rtl/>
          <w:lang w:bidi="ar-AE"/>
        </w:rPr>
        <w:t>الكشاف عن حقائق غوامض التنزيل</w:t>
      </w:r>
      <w:r w:rsidRPr="00E14D01">
        <w:rPr>
          <w:rFonts w:asciiTheme="majorBidi" w:eastAsia="Times New Roman" w:hAnsiTheme="majorBidi" w:cs="Al Bayan Plain"/>
          <w:rtl/>
          <w:lang w:bidi="ar-AE"/>
        </w:rPr>
        <w:t xml:space="preserve">، دار الكتاب العربي، بيروت، الطبعة الثالثة، </w:t>
      </w:r>
      <w:r w:rsidRPr="00E14D01">
        <w:rPr>
          <w:rFonts w:ascii="Calibri" w:eastAsia="Calibri" w:hAnsi="Calibri" w:cs="Calibri"/>
          <w:rtl/>
          <w:lang w:bidi="ar-AE"/>
        </w:rPr>
        <w:t>1986</w:t>
      </w:r>
      <w:r w:rsidRPr="00E14D01">
        <w:rPr>
          <w:rFonts w:asciiTheme="majorBidi" w:eastAsia="Times New Roman" w:hAnsiTheme="majorBidi" w:cs="Al Bayan Plain"/>
          <w:rtl/>
          <w:lang w:bidi="ar-AE"/>
        </w:rPr>
        <w:t>.</w:t>
      </w:r>
    </w:p>
    <w:p w14:paraId="090750B1"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سعدي (الـ)، عبد الرحمن بن ناصر، </w:t>
      </w:r>
      <w:r w:rsidRPr="00E14D01">
        <w:rPr>
          <w:rFonts w:asciiTheme="majorBidi" w:eastAsia="Calibri" w:hAnsiTheme="majorBidi" w:cs="Al Bayan Plain"/>
          <w:i/>
          <w:iCs/>
          <w:rtl/>
          <w:lang w:bidi="ar-AE"/>
        </w:rPr>
        <w:t>تيسير الكريم الرحمن في تفسير كلام المنان</w:t>
      </w:r>
      <w:r w:rsidRPr="00E14D01">
        <w:rPr>
          <w:rFonts w:asciiTheme="majorBidi" w:eastAsia="Calibri" w:hAnsiTheme="majorBidi" w:cs="Al Bayan Plain"/>
          <w:rtl/>
          <w:lang w:bidi="ar-AE"/>
        </w:rPr>
        <w:t xml:space="preserve"> (</w:t>
      </w:r>
      <w:r w:rsidRPr="00E14D01">
        <w:rPr>
          <w:rFonts w:asciiTheme="majorBidi" w:eastAsia="Calibri" w:hAnsiTheme="majorBidi" w:cs="Al Bayan Plain"/>
          <w:i/>
          <w:iCs/>
          <w:rtl/>
          <w:lang w:bidi="ar-AE"/>
        </w:rPr>
        <w:t>تفسير السعدي</w:t>
      </w:r>
      <w:r w:rsidRPr="00E14D01">
        <w:rPr>
          <w:rFonts w:asciiTheme="majorBidi" w:eastAsia="Calibri" w:hAnsiTheme="majorBidi" w:cs="Al Bayan Plain"/>
          <w:rtl/>
          <w:lang w:bidi="ar-AE"/>
        </w:rPr>
        <w:t xml:space="preserve">)، مؤسسة الرسالة، </w:t>
      </w:r>
      <w:r w:rsidRPr="00E14D01">
        <w:rPr>
          <w:rFonts w:ascii="Calibri" w:eastAsia="Calibri" w:hAnsi="Calibri" w:cs="Calibri"/>
          <w:rtl/>
          <w:lang w:bidi="ar-AE"/>
        </w:rPr>
        <w:t>2002</w:t>
      </w:r>
      <w:r w:rsidRPr="00E14D01">
        <w:rPr>
          <w:rFonts w:asciiTheme="majorBidi" w:eastAsia="Calibri" w:hAnsiTheme="majorBidi" w:cs="Al Bayan Plain"/>
          <w:rtl/>
          <w:lang w:bidi="ar-AE"/>
        </w:rPr>
        <w:t>.</w:t>
      </w:r>
    </w:p>
    <w:p w14:paraId="78AF552A"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سلمي (الـ)، أبو عبد الرحمن محمد بن الحسين بن موسى الأزدي، </w:t>
      </w:r>
      <w:r w:rsidRPr="00E14D01">
        <w:rPr>
          <w:rFonts w:asciiTheme="majorBidi" w:eastAsia="Times New Roman" w:hAnsiTheme="majorBidi" w:cs="Al Bayan Plain"/>
          <w:i/>
          <w:iCs/>
          <w:rtl/>
        </w:rPr>
        <w:t>تفسير السلمي</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حقائق التفسير</w:t>
      </w:r>
      <w:r w:rsidRPr="00E14D01">
        <w:rPr>
          <w:rFonts w:asciiTheme="majorBidi" w:eastAsia="Times New Roman" w:hAnsiTheme="majorBidi" w:cs="Al Bayan Plain"/>
          <w:rtl/>
        </w:rPr>
        <w:t xml:space="preserve">)، تحقيق سيد عمران، دار الكتب العلمية، </w:t>
      </w:r>
      <w:r w:rsidRPr="00E14D01">
        <w:rPr>
          <w:rFonts w:ascii="Calibri" w:eastAsia="Calibri" w:hAnsi="Calibri" w:cs="Calibri"/>
          <w:rtl/>
        </w:rPr>
        <w:t>2001</w:t>
      </w:r>
      <w:r w:rsidRPr="00E14D01">
        <w:rPr>
          <w:rFonts w:asciiTheme="majorBidi" w:eastAsia="Times New Roman" w:hAnsiTheme="majorBidi" w:cs="Al Bayan Plain"/>
          <w:rtl/>
        </w:rPr>
        <w:t xml:space="preserve">، بيروت، عدد الأجزاء </w:t>
      </w:r>
      <w:r w:rsidRPr="00E14D01">
        <w:rPr>
          <w:rFonts w:ascii="Calibri" w:eastAsia="Calibri" w:hAnsi="Calibri" w:cs="Calibri"/>
          <w:rtl/>
        </w:rPr>
        <w:t>2</w:t>
      </w:r>
      <w:r w:rsidRPr="00E14D01">
        <w:rPr>
          <w:rFonts w:asciiTheme="majorBidi" w:eastAsia="Times New Roman" w:hAnsiTheme="majorBidi" w:cs="Al Bayan Plain"/>
          <w:rtl/>
        </w:rPr>
        <w:t>.</w:t>
      </w:r>
    </w:p>
    <w:p w14:paraId="7963154E"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سمرقندي (الـ)، نصر بن محمد بن أحمد بن إبراهيم، </w:t>
      </w:r>
      <w:r w:rsidRPr="00E14D01">
        <w:rPr>
          <w:rFonts w:asciiTheme="majorBidi" w:eastAsia="Times New Roman" w:hAnsiTheme="majorBidi" w:cs="Al Bayan Plain"/>
          <w:i/>
          <w:iCs/>
          <w:rtl/>
        </w:rPr>
        <w:t>بحر العلوم</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تفسير السمرقندي</w:t>
      </w:r>
      <w:r w:rsidRPr="00E14D01">
        <w:rPr>
          <w:rFonts w:asciiTheme="majorBidi" w:eastAsia="Times New Roman" w:hAnsiTheme="majorBidi" w:cs="Al Bayan Plain"/>
          <w:rtl/>
        </w:rPr>
        <w:t xml:space="preserve">)، دار الكتب العلمية، بيروت، عدد المجلدات: </w:t>
      </w:r>
      <w:r w:rsidRPr="00E14D01">
        <w:rPr>
          <w:rFonts w:ascii="Calibri" w:eastAsia="Calibri" w:hAnsi="Calibri" w:cs="Calibri"/>
          <w:rtl/>
        </w:rPr>
        <w:t>3</w:t>
      </w:r>
      <w:r w:rsidRPr="00E14D01">
        <w:rPr>
          <w:rFonts w:asciiTheme="majorBidi" w:eastAsia="Times New Roman" w:hAnsiTheme="majorBidi" w:cs="Al Bayan Plain"/>
          <w:rtl/>
        </w:rPr>
        <w:t>.</w:t>
      </w:r>
    </w:p>
    <w:p w14:paraId="693544A6"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سمعاني (الـ)، أبو المظفر منصور بن محمد بن عبد الجبار، </w:t>
      </w:r>
      <w:r w:rsidRPr="00E14D01">
        <w:rPr>
          <w:rFonts w:asciiTheme="majorBidi" w:eastAsia="Times New Roman" w:hAnsiTheme="majorBidi" w:cs="Al Bayan Plain"/>
          <w:i/>
          <w:iCs/>
          <w:rtl/>
        </w:rPr>
        <w:t>تفسير القرآن</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تفسير السمعاني</w:t>
      </w:r>
      <w:r w:rsidRPr="00E14D01">
        <w:rPr>
          <w:rFonts w:asciiTheme="majorBidi" w:eastAsia="Times New Roman" w:hAnsiTheme="majorBidi" w:cs="Al Bayan Plain"/>
          <w:rtl/>
        </w:rPr>
        <w:t xml:space="preserve">)، تحقيق: ياسر بن إبراهيم وغنيم بن عباس بن غنيم، دار الوطن، الرياض، السعودية، </w:t>
      </w:r>
      <w:r w:rsidRPr="00E14D01">
        <w:rPr>
          <w:rFonts w:ascii="Calibri" w:eastAsia="Calibri" w:hAnsi="Calibri" w:cs="Calibri"/>
          <w:rtl/>
        </w:rPr>
        <w:t>1997</w:t>
      </w:r>
      <w:r w:rsidRPr="00E14D01">
        <w:rPr>
          <w:rFonts w:asciiTheme="majorBidi" w:eastAsia="Times New Roman" w:hAnsiTheme="majorBidi" w:cs="Al Bayan Plain"/>
          <w:rtl/>
        </w:rPr>
        <w:t>.</w:t>
      </w:r>
    </w:p>
    <w:p w14:paraId="3B978320"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سيد قطب،</w:t>
      </w:r>
      <w:r w:rsidRPr="00E14D01">
        <w:rPr>
          <w:rFonts w:asciiTheme="majorBidi" w:eastAsia="Times New Roman" w:hAnsiTheme="majorBidi" w:cs="Al Bayan Plain"/>
          <w:rtl/>
          <w:lang w:bidi="ar-AE"/>
        </w:rPr>
        <w:t xml:space="preserve"> </w:t>
      </w:r>
      <w:r w:rsidRPr="00E14D01">
        <w:rPr>
          <w:rFonts w:asciiTheme="majorBidi" w:eastAsia="Calibri" w:hAnsiTheme="majorBidi" w:cs="Al Bayan Plain"/>
          <w:i/>
          <w:iCs/>
          <w:rtl/>
          <w:lang w:bidi="ar-AE"/>
        </w:rPr>
        <w:t>في ظلال القرآن</w:t>
      </w:r>
      <w:r w:rsidRPr="00E14D01">
        <w:rPr>
          <w:rFonts w:asciiTheme="majorBidi" w:eastAsia="Calibri" w:hAnsiTheme="majorBidi" w:cs="Al Bayan Plain"/>
          <w:rtl/>
          <w:lang w:bidi="ar-AE"/>
        </w:rPr>
        <w:t xml:space="preserve">، دار الشروق، القاهرة، بيروت، </w:t>
      </w:r>
      <w:r w:rsidRPr="00E14D01">
        <w:rPr>
          <w:rFonts w:ascii="Calibri" w:eastAsia="Calibri" w:hAnsi="Calibri" w:cs="Calibri"/>
          <w:rtl/>
          <w:lang w:bidi="ar-AE"/>
        </w:rPr>
        <w:t>1981</w:t>
      </w:r>
      <w:r w:rsidRPr="00E14D01">
        <w:rPr>
          <w:rFonts w:asciiTheme="majorBidi" w:eastAsia="Calibri" w:hAnsiTheme="majorBidi" w:cs="Al Bayan Plain"/>
          <w:rtl/>
          <w:lang w:bidi="ar-AE"/>
        </w:rPr>
        <w:t>.</w:t>
      </w:r>
    </w:p>
    <w:p w14:paraId="3E8E2EE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lastRenderedPageBreak/>
        <w:t xml:space="preserve">سيوطي (الـ)، جلال الدين عبد الرحمن بن أبي بكر، محلي (الـ)، جلال الدين محمد بن أحمد، </w:t>
      </w:r>
      <w:r w:rsidRPr="00E14D01">
        <w:rPr>
          <w:rFonts w:asciiTheme="majorBidi" w:eastAsia="Times New Roman" w:hAnsiTheme="majorBidi" w:cs="Al Bayan Plain"/>
          <w:i/>
          <w:iCs/>
          <w:rtl/>
        </w:rPr>
        <w:t>تفسير الجلالين</w:t>
      </w:r>
      <w:r w:rsidRPr="00E14D01">
        <w:rPr>
          <w:rFonts w:asciiTheme="majorBidi" w:eastAsia="Times New Roman" w:hAnsiTheme="majorBidi" w:cs="Al Bayan Plain"/>
          <w:rtl/>
        </w:rPr>
        <w:t>، دار الحديث، القاهرة.</w:t>
      </w:r>
    </w:p>
    <w:p w14:paraId="6FAA2A4F"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tl/>
        </w:rPr>
      </w:pPr>
      <w:r w:rsidRPr="00E14D01">
        <w:rPr>
          <w:rFonts w:asciiTheme="majorBidi" w:eastAsia="Times New Roman" w:hAnsiTheme="majorBidi" w:cs="Al Bayan Plain"/>
          <w:rtl/>
        </w:rPr>
        <w:t xml:space="preserve">سيوطي (الـ)، جلال الدين، </w:t>
      </w:r>
      <w:r w:rsidRPr="00E14D01">
        <w:rPr>
          <w:rFonts w:asciiTheme="majorBidi" w:eastAsia="Times New Roman" w:hAnsiTheme="majorBidi" w:cs="Al Bayan Plain"/>
          <w:i/>
          <w:iCs/>
          <w:rtl/>
        </w:rPr>
        <w:t>الدر المنثور في التفسير بالمأثور</w:t>
      </w:r>
      <w:r w:rsidRPr="00E14D01">
        <w:rPr>
          <w:rFonts w:asciiTheme="majorBidi" w:eastAsia="Times New Roman" w:hAnsiTheme="majorBidi" w:cs="Al Bayan Plain"/>
          <w:rtl/>
        </w:rPr>
        <w:t xml:space="preserve">، تحقيق: عبد الله بن عبد المحسن التركي، مركز هجر للدراسات والبحوث العربية الإسلامية، القاهرة، </w:t>
      </w:r>
      <w:r w:rsidRPr="00E14D01">
        <w:rPr>
          <w:rFonts w:ascii="Calibri" w:eastAsia="Calibri" w:hAnsi="Calibri" w:cs="Calibri"/>
          <w:rtl/>
        </w:rPr>
        <w:t>2003</w:t>
      </w:r>
      <w:r w:rsidRPr="00E14D01">
        <w:rPr>
          <w:rFonts w:asciiTheme="majorBidi" w:eastAsia="Times New Roman" w:hAnsiTheme="majorBidi" w:cs="Al Bayan Plain"/>
          <w:rtl/>
        </w:rPr>
        <w:t>.</w:t>
      </w:r>
    </w:p>
    <w:p w14:paraId="6E260318"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شحرور، محمد، </w:t>
      </w:r>
      <w:r w:rsidRPr="00E14D01">
        <w:rPr>
          <w:rFonts w:asciiTheme="majorBidi" w:eastAsia="Times New Roman" w:hAnsiTheme="majorBidi" w:cs="Al Bayan Plain"/>
          <w:i/>
          <w:iCs/>
          <w:rtl/>
        </w:rPr>
        <w:t>الكتاب والقرآن: قراءة معاصرة</w:t>
      </w:r>
      <w:r w:rsidRPr="00E14D01">
        <w:rPr>
          <w:rFonts w:asciiTheme="majorBidi" w:eastAsia="Times New Roman" w:hAnsiTheme="majorBidi" w:cs="Al Bayan Plain"/>
          <w:rtl/>
        </w:rPr>
        <w:t>، دار الأهالي، دمشق، ١٩٩٤.</w:t>
      </w:r>
    </w:p>
    <w:p w14:paraId="4351AD39"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tl/>
        </w:rPr>
      </w:pPr>
      <w:r w:rsidRPr="00E14D01">
        <w:rPr>
          <w:rFonts w:asciiTheme="majorBidi" w:eastAsia="Times New Roman" w:hAnsiTheme="majorBidi" w:cs="Al Bayan Plain"/>
          <w:rtl/>
        </w:rPr>
        <w:t xml:space="preserve">شنقيطي (الـ)، محمد الأمين بن محمد بن المختار الجنكي، </w:t>
      </w:r>
      <w:r w:rsidRPr="00E14D01">
        <w:rPr>
          <w:rFonts w:asciiTheme="majorBidi" w:eastAsia="Times New Roman" w:hAnsiTheme="majorBidi" w:cs="Al Bayan Plain"/>
          <w:i/>
          <w:iCs/>
          <w:rtl/>
        </w:rPr>
        <w:t>أضواء البيان في إيضاح القرآن بالقرآن</w:t>
      </w:r>
      <w:r w:rsidRPr="00E14D01">
        <w:rPr>
          <w:rFonts w:asciiTheme="majorBidi" w:eastAsia="Times New Roman" w:hAnsiTheme="majorBidi" w:cs="Al Bayan Plain"/>
          <w:rtl/>
        </w:rPr>
        <w:t xml:space="preserve">، دار الفكر، </w:t>
      </w:r>
      <w:r w:rsidRPr="00E14D01">
        <w:rPr>
          <w:rFonts w:ascii="Calibri" w:eastAsia="Calibri" w:hAnsi="Calibri" w:cs="Calibri"/>
          <w:rtl/>
        </w:rPr>
        <w:t>1995</w:t>
      </w:r>
      <w:r w:rsidRPr="00E14D01">
        <w:rPr>
          <w:rFonts w:asciiTheme="majorBidi" w:eastAsia="Times New Roman" w:hAnsiTheme="majorBidi" w:cs="Al Bayan Plain"/>
          <w:rtl/>
        </w:rPr>
        <w:t>، تسعة أجزاء.</w:t>
      </w:r>
    </w:p>
    <w:p w14:paraId="2F6F4723"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شوكاني (الـ)، محمد بن علي بن محمد، </w:t>
      </w:r>
      <w:r w:rsidRPr="00E14D01">
        <w:rPr>
          <w:rFonts w:asciiTheme="majorBidi" w:eastAsia="Times New Roman" w:hAnsiTheme="majorBidi" w:cs="Al Bayan Plain"/>
          <w:i/>
          <w:iCs/>
          <w:rtl/>
        </w:rPr>
        <w:t>فتح القدير الجامع بين فنَّي الرواية والدراية من علم التفسير</w:t>
      </w:r>
      <w:r w:rsidRPr="00E14D01">
        <w:rPr>
          <w:rFonts w:asciiTheme="majorBidi" w:eastAsia="Times New Roman" w:hAnsiTheme="majorBidi" w:cs="Al Bayan Plain"/>
          <w:rtl/>
        </w:rPr>
        <w:t xml:space="preserve">، تحقيق: عبد الرحمن عميرة، دار الوفاء، </w:t>
      </w:r>
      <w:r w:rsidRPr="00E14D01">
        <w:rPr>
          <w:rFonts w:ascii="Calibri" w:eastAsia="Calibri" w:hAnsi="Calibri" w:cs="Calibri"/>
          <w:rtl/>
        </w:rPr>
        <w:t>1994</w:t>
      </w:r>
      <w:r w:rsidRPr="00E14D01">
        <w:rPr>
          <w:rFonts w:asciiTheme="majorBidi" w:eastAsia="Times New Roman" w:hAnsiTheme="majorBidi" w:cs="Al Bayan Plain"/>
          <w:rtl/>
        </w:rPr>
        <w:t>، خمس مجلدات.</w:t>
      </w:r>
    </w:p>
    <w:p w14:paraId="5B08E4FA"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rPr>
        <w:t xml:space="preserve">شيخو، محمد أمين، </w:t>
      </w:r>
      <w:r w:rsidRPr="00E14D01">
        <w:rPr>
          <w:rFonts w:asciiTheme="majorBidi" w:eastAsia="Calibri" w:hAnsiTheme="majorBidi" w:cs="Al Bayan Plain"/>
          <w:i/>
          <w:iCs/>
          <w:rtl/>
        </w:rPr>
        <w:t>تأويل القرآن العظيم. أنوار التنزيل وحقائق التأويل</w:t>
      </w:r>
      <w:r w:rsidRPr="00E14D01">
        <w:rPr>
          <w:rFonts w:asciiTheme="majorBidi" w:eastAsia="Calibri" w:hAnsiTheme="majorBidi" w:cs="Al Bayan Plain"/>
          <w:rtl/>
        </w:rPr>
        <w:t xml:space="preserve">، جمع وتحقيق وإعداد: عبد القادر يحيى الديراني، دار نور البشير، دمشق، سوريا، </w:t>
      </w:r>
      <w:r w:rsidRPr="00E14D01">
        <w:rPr>
          <w:rFonts w:ascii="Calibri" w:eastAsia="Calibri" w:hAnsi="Calibri" w:cs="Calibri"/>
          <w:rtl/>
        </w:rPr>
        <w:t>1997</w:t>
      </w:r>
      <w:r w:rsidRPr="00E14D01">
        <w:rPr>
          <w:rFonts w:asciiTheme="majorBidi" w:eastAsia="Calibri" w:hAnsiTheme="majorBidi" w:cs="Al Bayan Plain"/>
          <w:rtl/>
        </w:rPr>
        <w:t>.</w:t>
      </w:r>
    </w:p>
    <w:p w14:paraId="7F452DCC"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شيرازي (الـ)، ناصر مكارم، </w:t>
      </w:r>
      <w:r w:rsidRPr="00E14D01">
        <w:rPr>
          <w:rFonts w:asciiTheme="majorBidi" w:eastAsia="Calibri" w:hAnsiTheme="majorBidi" w:cs="Al Bayan Plain"/>
          <w:i/>
          <w:iCs/>
          <w:rtl/>
          <w:lang w:bidi="ar-AE"/>
        </w:rPr>
        <w:t>الأمثل في تفسير كلام الله المنزل</w:t>
      </w:r>
      <w:r w:rsidRPr="00E14D01">
        <w:rPr>
          <w:rFonts w:asciiTheme="majorBidi" w:eastAsia="Calibri" w:hAnsiTheme="majorBidi" w:cs="Al Bayan Plain"/>
          <w:rtl/>
          <w:lang w:bidi="ar-AE"/>
        </w:rPr>
        <w:t xml:space="preserve">، دار إحياء التراث العربي، بيروت، الطبعة الثانية، </w:t>
      </w:r>
      <w:r w:rsidRPr="00E14D01">
        <w:rPr>
          <w:rFonts w:ascii="Calibri" w:eastAsia="Calibri" w:hAnsi="Calibri" w:cs="Calibri"/>
          <w:rtl/>
          <w:lang w:bidi="ar-AE"/>
        </w:rPr>
        <w:t>2005</w:t>
      </w:r>
      <w:r w:rsidRPr="00E14D01">
        <w:rPr>
          <w:rFonts w:asciiTheme="majorBidi" w:eastAsia="Calibri" w:hAnsiTheme="majorBidi" w:cs="Al Bayan Plain"/>
          <w:rtl/>
          <w:lang w:bidi="ar-AE"/>
        </w:rPr>
        <w:t xml:space="preserve">، </w:t>
      </w:r>
      <w:r w:rsidRPr="00E14D01">
        <w:rPr>
          <w:rFonts w:ascii="Calibri" w:eastAsia="Calibri" w:hAnsi="Calibri" w:cs="Calibri"/>
          <w:rtl/>
          <w:lang w:bidi="ar-AE"/>
        </w:rPr>
        <w:t>21</w:t>
      </w:r>
      <w:r w:rsidRPr="00E14D01">
        <w:rPr>
          <w:rFonts w:asciiTheme="majorBidi" w:eastAsia="Calibri" w:hAnsiTheme="majorBidi" w:cs="Al Bayan Plain"/>
          <w:rtl/>
          <w:lang w:bidi="ar-AE"/>
        </w:rPr>
        <w:t xml:space="preserve"> مجلَّداً، موجود على موقع هدى القرآن.</w:t>
      </w:r>
    </w:p>
    <w:p w14:paraId="1BFAE94B"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صنعاني (الـ)، عبد</w:t>
      </w:r>
      <w:r w:rsidRPr="00E14D01">
        <w:rPr>
          <w:rFonts w:asciiTheme="majorBidi" w:eastAsia="Times New Roman" w:hAnsiTheme="majorBidi" w:cs="Al Bayan Plain"/>
        </w:rPr>
        <w:t xml:space="preserve"> </w:t>
      </w:r>
      <w:r w:rsidRPr="00E14D01">
        <w:rPr>
          <w:rFonts w:asciiTheme="majorBidi" w:eastAsia="Times New Roman" w:hAnsiTheme="majorBidi" w:cs="Al Bayan Plain"/>
          <w:rtl/>
        </w:rPr>
        <w:t xml:space="preserve">الرزاق، </w:t>
      </w:r>
      <w:r w:rsidRPr="00E14D01">
        <w:rPr>
          <w:rFonts w:asciiTheme="majorBidi" w:eastAsia="Times New Roman" w:hAnsiTheme="majorBidi" w:cs="Al Bayan Plain"/>
          <w:i/>
          <w:iCs/>
          <w:rtl/>
        </w:rPr>
        <w:t>تفسير القرآن</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تفسير الصنعاني</w:t>
      </w:r>
      <w:r w:rsidRPr="00E14D01">
        <w:rPr>
          <w:rFonts w:asciiTheme="majorBidi" w:eastAsia="Times New Roman" w:hAnsiTheme="majorBidi" w:cs="Al Bayan Plain"/>
          <w:rtl/>
        </w:rPr>
        <w:t xml:space="preserve">)، مكتبة الرشد للنشر والتوزيع، الرياض، السعودية، </w:t>
      </w:r>
      <w:r w:rsidRPr="00E14D01">
        <w:rPr>
          <w:rFonts w:ascii="Calibri" w:eastAsia="Calibri" w:hAnsi="Calibri" w:cs="Calibri"/>
          <w:rtl/>
        </w:rPr>
        <w:t>1989</w:t>
      </w:r>
      <w:r w:rsidRPr="00E14D01">
        <w:rPr>
          <w:rFonts w:asciiTheme="majorBidi" w:eastAsia="Times New Roman" w:hAnsiTheme="majorBidi" w:cs="Al Bayan Plain"/>
          <w:rtl/>
        </w:rPr>
        <w:t>.</w:t>
      </w:r>
    </w:p>
    <w:p w14:paraId="03D4913B"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طباطبائي (الـ)، محمد حسين، </w:t>
      </w:r>
      <w:r w:rsidRPr="00E14D01">
        <w:rPr>
          <w:rFonts w:asciiTheme="majorBidi" w:eastAsia="Calibri" w:hAnsiTheme="majorBidi" w:cs="Al Bayan Plain"/>
          <w:i/>
          <w:iCs/>
          <w:rtl/>
          <w:lang w:bidi="ar-AE"/>
        </w:rPr>
        <w:t>الميزان في تفسير القرآن</w:t>
      </w:r>
      <w:r w:rsidRPr="00E14D01">
        <w:rPr>
          <w:rFonts w:asciiTheme="majorBidi" w:eastAsia="Calibri" w:hAnsiTheme="majorBidi" w:cs="Al Bayan Plain"/>
          <w:rtl/>
          <w:lang w:bidi="ar-AE"/>
        </w:rPr>
        <w:t xml:space="preserve">، صححه وأشرف على طباعته: حسين الأعلمي، منشورات مؤسسة الأعلمي للمطبوعات، بيروت، </w:t>
      </w:r>
      <w:r w:rsidRPr="00E14D01">
        <w:rPr>
          <w:rFonts w:ascii="Calibri" w:eastAsia="Calibri" w:hAnsi="Calibri" w:cs="Calibri"/>
          <w:rtl/>
          <w:lang w:bidi="ar-AE"/>
        </w:rPr>
        <w:t>1997</w:t>
      </w:r>
      <w:r w:rsidRPr="00E14D01">
        <w:rPr>
          <w:rFonts w:asciiTheme="majorBidi" w:eastAsia="Calibri" w:hAnsiTheme="majorBidi" w:cs="Al Bayan Plain"/>
          <w:rtl/>
          <w:lang w:bidi="ar-AE"/>
        </w:rPr>
        <w:t>.</w:t>
      </w:r>
    </w:p>
    <w:p w14:paraId="0CD433A4"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طبرسي (الـ)، أمين الإسلام أبو علي الفضل بن الحسن، </w:t>
      </w:r>
      <w:r w:rsidRPr="00E14D01">
        <w:rPr>
          <w:rFonts w:asciiTheme="majorBidi" w:eastAsia="Calibri" w:hAnsiTheme="majorBidi" w:cs="Al Bayan Plain"/>
          <w:i/>
          <w:iCs/>
          <w:rtl/>
          <w:lang w:bidi="ar-AE"/>
        </w:rPr>
        <w:t>مجمع البيان في تفسير القرآن والفرقان</w:t>
      </w:r>
      <w:r w:rsidRPr="00E14D01">
        <w:rPr>
          <w:rFonts w:asciiTheme="majorBidi" w:eastAsia="Calibri" w:hAnsiTheme="majorBidi" w:cs="Al Bayan Plain"/>
          <w:rtl/>
          <w:lang w:bidi="ar-AE"/>
        </w:rPr>
        <w:t xml:space="preserve">، دار العلوم للتحقيق والطباعة والنشر والتوزيع، بيروت، لبنان، </w:t>
      </w:r>
      <w:r w:rsidRPr="00E14D01">
        <w:rPr>
          <w:rFonts w:ascii="Calibri" w:eastAsia="Calibri" w:hAnsi="Calibri" w:cs="Calibri"/>
          <w:rtl/>
          <w:lang w:bidi="ar-AE"/>
        </w:rPr>
        <w:t>2005</w:t>
      </w:r>
      <w:r w:rsidRPr="00E14D01">
        <w:rPr>
          <w:rFonts w:asciiTheme="majorBidi" w:eastAsia="Calibri" w:hAnsiTheme="majorBidi" w:cs="Al Bayan Plain"/>
          <w:rtl/>
          <w:lang w:bidi="ar-AE"/>
        </w:rPr>
        <w:t xml:space="preserve"> (</w:t>
      </w:r>
      <w:r w:rsidRPr="00E14D01">
        <w:rPr>
          <w:rFonts w:ascii="Calibri" w:eastAsia="Calibri" w:hAnsi="Calibri" w:cs="Calibri"/>
          <w:rtl/>
          <w:lang w:bidi="ar-AE"/>
        </w:rPr>
        <w:t>10</w:t>
      </w:r>
      <w:r w:rsidRPr="00E14D01">
        <w:rPr>
          <w:rFonts w:asciiTheme="majorBidi" w:eastAsia="Calibri" w:hAnsiTheme="majorBidi" w:cs="Al Bayan Plain"/>
          <w:rtl/>
          <w:lang w:bidi="ar-AE"/>
        </w:rPr>
        <w:t xml:space="preserve"> أجزاء). وهناك طبعة مؤسسة الأعلمي للمطبوعات، بيروت، </w:t>
      </w:r>
      <w:r w:rsidRPr="00E14D01">
        <w:rPr>
          <w:rFonts w:ascii="Calibri" w:eastAsia="Calibri" w:hAnsi="Calibri" w:cs="Calibri"/>
          <w:rtl/>
          <w:lang w:bidi="ar-AE"/>
        </w:rPr>
        <w:t>1995</w:t>
      </w:r>
      <w:r w:rsidRPr="00E14D01">
        <w:rPr>
          <w:rFonts w:asciiTheme="majorBidi" w:eastAsia="Calibri" w:hAnsiTheme="majorBidi" w:cs="Al Bayan Plain"/>
          <w:rtl/>
          <w:lang w:bidi="ar-AE"/>
        </w:rPr>
        <w:t>.</w:t>
      </w:r>
    </w:p>
    <w:p w14:paraId="43CDDEB0" w14:textId="77777777" w:rsidR="00A70B78" w:rsidRPr="00E14D01" w:rsidRDefault="00A70B78" w:rsidP="00876BB0">
      <w:pPr>
        <w:numPr>
          <w:ilvl w:val="0"/>
          <w:numId w:val="107"/>
        </w:numPr>
        <w:tabs>
          <w:tab w:val="left" w:pos="849"/>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lang w:bidi="ar-AE"/>
        </w:rPr>
        <w:t xml:space="preserve">طبري (الـ)، محمد بن جرير، </w:t>
      </w:r>
      <w:r w:rsidRPr="00E14D01">
        <w:rPr>
          <w:rFonts w:asciiTheme="majorBidi" w:eastAsia="Times New Roman" w:hAnsiTheme="majorBidi" w:cs="Al Bayan Plain"/>
          <w:i/>
          <w:iCs/>
          <w:rtl/>
        </w:rPr>
        <w:t>تفسير الطبري</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جامع البيان عن تأويل آي القرآن</w:t>
      </w:r>
      <w:r w:rsidRPr="00E14D01">
        <w:rPr>
          <w:rFonts w:asciiTheme="majorBidi" w:eastAsia="Times New Roman" w:hAnsiTheme="majorBidi" w:cs="Al Bayan Plain"/>
          <w:rtl/>
        </w:rPr>
        <w:t xml:space="preserve">)، تحقيق: عبد الله بن عبد المحسن التركي، مركز البحوث والدراسات العربية الإسلامية بدار هجر، القاهرة، </w:t>
      </w:r>
      <w:r w:rsidRPr="00E14D01">
        <w:rPr>
          <w:rFonts w:ascii="Calibri" w:eastAsia="Calibri" w:hAnsi="Calibri" w:cs="Calibri"/>
          <w:rtl/>
        </w:rPr>
        <w:t>2001</w:t>
      </w:r>
      <w:r w:rsidRPr="00E14D01">
        <w:rPr>
          <w:rFonts w:asciiTheme="majorBidi" w:eastAsia="Times New Roman" w:hAnsiTheme="majorBidi" w:cs="Al Bayan Plain"/>
          <w:rtl/>
        </w:rPr>
        <w:t>.</w:t>
      </w:r>
    </w:p>
    <w:p w14:paraId="4BE4E40C"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طوسي (الـ)، أبو جعفر محمد بن الحسن، </w:t>
      </w:r>
      <w:r w:rsidRPr="00E14D01">
        <w:rPr>
          <w:rFonts w:asciiTheme="majorBidi" w:eastAsia="Calibri" w:hAnsiTheme="majorBidi" w:cs="Al Bayan Plain"/>
          <w:i/>
          <w:iCs/>
          <w:rtl/>
          <w:lang w:bidi="ar-AE"/>
        </w:rPr>
        <w:t>تفسير التبيان الجامع لعلوم القرآن</w:t>
      </w:r>
      <w:r w:rsidRPr="00E14D01">
        <w:rPr>
          <w:rFonts w:asciiTheme="majorBidi" w:eastAsia="Calibri" w:hAnsiTheme="majorBidi" w:cs="Al Bayan Plain"/>
          <w:rtl/>
          <w:lang w:bidi="ar-AE"/>
        </w:rPr>
        <w:t xml:space="preserve">، مؤسسة آل البيت، </w:t>
      </w:r>
      <w:r w:rsidRPr="00E14D01">
        <w:rPr>
          <w:rFonts w:ascii="Calibri" w:eastAsia="Calibri" w:hAnsi="Calibri" w:cs="Calibri"/>
          <w:rtl/>
          <w:lang w:bidi="ar-AE"/>
        </w:rPr>
        <w:t>2009</w:t>
      </w:r>
      <w:r w:rsidRPr="00E14D01">
        <w:rPr>
          <w:rFonts w:asciiTheme="majorBidi" w:eastAsia="Calibri" w:hAnsiTheme="majorBidi" w:cs="Al Bayan Plain"/>
          <w:rtl/>
          <w:lang w:bidi="ar-AE"/>
        </w:rPr>
        <w:t>.</w:t>
      </w:r>
    </w:p>
    <w:p w14:paraId="270D7F98" w14:textId="77777777" w:rsidR="00A70B78" w:rsidRPr="00E14D01" w:rsidRDefault="00A70B78" w:rsidP="00876BB0">
      <w:pPr>
        <w:pStyle w:val="Paragraphedeliste"/>
        <w:numPr>
          <w:ilvl w:val="0"/>
          <w:numId w:val="107"/>
        </w:numPr>
        <w:tabs>
          <w:tab w:val="left" w:pos="849"/>
        </w:tabs>
        <w:spacing w:after="0" w:line="360" w:lineRule="auto"/>
        <w:contextualSpacing/>
        <w:jc w:val="both"/>
        <w:rPr>
          <w:rFonts w:asciiTheme="majorBidi" w:hAnsiTheme="majorBidi" w:cs="Al Bayan Plain"/>
          <w:sz w:val="24"/>
          <w:szCs w:val="24"/>
          <w:lang w:eastAsia="fr-FR" w:bidi="ar-EG"/>
        </w:rPr>
      </w:pPr>
      <w:r w:rsidRPr="00E14D01">
        <w:rPr>
          <w:rFonts w:asciiTheme="majorBidi" w:hAnsiTheme="majorBidi" w:cs="Al Bayan Plain"/>
          <w:sz w:val="24"/>
          <w:szCs w:val="24"/>
          <w:rtl/>
          <w:lang w:eastAsia="fr-FR" w:bidi="ar-EG"/>
        </w:rPr>
        <w:t xml:space="preserve">عبد السلام أبو شادي، مصطفى، </w:t>
      </w:r>
      <w:r w:rsidRPr="00E14D01">
        <w:rPr>
          <w:rFonts w:asciiTheme="majorBidi" w:hAnsiTheme="majorBidi" w:cs="Al Bayan Plain"/>
          <w:i/>
          <w:iCs/>
          <w:sz w:val="24"/>
          <w:szCs w:val="24"/>
          <w:rtl/>
          <w:lang w:eastAsia="fr-FR" w:bidi="ar-EG"/>
        </w:rPr>
        <w:t>الحذف البلاغي في القرآن الكريم</w:t>
      </w:r>
      <w:r w:rsidRPr="00E14D01">
        <w:rPr>
          <w:rFonts w:asciiTheme="majorBidi" w:hAnsiTheme="majorBidi" w:cs="Al Bayan Plain"/>
          <w:sz w:val="24"/>
          <w:szCs w:val="24"/>
          <w:rtl/>
          <w:lang w:eastAsia="fr-FR" w:bidi="ar-EG"/>
        </w:rPr>
        <w:t>، مكتبة القرآن، القاهرة، ١٩٩١.</w:t>
      </w:r>
    </w:p>
    <w:p w14:paraId="4BE4BEE3"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عثمان، هاشم، </w:t>
      </w:r>
      <w:r w:rsidRPr="00E14D01">
        <w:rPr>
          <w:rFonts w:asciiTheme="majorBidi" w:eastAsia="Times New Roman" w:hAnsiTheme="majorBidi" w:cs="Al Bayan Plain"/>
          <w:i/>
          <w:iCs/>
          <w:rtl/>
        </w:rPr>
        <w:t>العلويون بين الأسطورة والحقيقة</w:t>
      </w:r>
      <w:r w:rsidRPr="00E14D01">
        <w:rPr>
          <w:rFonts w:asciiTheme="majorBidi" w:eastAsia="Times New Roman" w:hAnsiTheme="majorBidi" w:cs="Al Bayan Plain"/>
          <w:rtl/>
        </w:rPr>
        <w:t>، مؤسسة الأعلمي، بيروت، ط٢، ١٩٨٥.</w:t>
      </w:r>
    </w:p>
    <w:p w14:paraId="217BEE0C"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lastRenderedPageBreak/>
        <w:t xml:space="preserve">عز (الـ) بن عبد السلام، </w:t>
      </w:r>
      <w:r w:rsidRPr="00E14D01">
        <w:rPr>
          <w:rFonts w:asciiTheme="majorBidi" w:eastAsia="Times New Roman" w:hAnsiTheme="majorBidi" w:cs="Al Bayan Plain"/>
          <w:i/>
          <w:iCs/>
          <w:rtl/>
        </w:rPr>
        <w:t>تفسير العز بن عبد السلام</w:t>
      </w:r>
      <w:r w:rsidRPr="00E14D01">
        <w:rPr>
          <w:rFonts w:asciiTheme="majorBidi" w:eastAsia="Times New Roman" w:hAnsiTheme="majorBidi" w:cs="Al Bayan Plain"/>
          <w:rtl/>
        </w:rPr>
        <w:t xml:space="preserve">، تحقيق الدكتور عبد الله بن إبراهيم الوهبي، دار ابن حزم، </w:t>
      </w:r>
      <w:r w:rsidRPr="00E14D01">
        <w:rPr>
          <w:rFonts w:ascii="Calibri" w:eastAsia="Calibri" w:hAnsi="Calibri" w:cs="Calibri"/>
          <w:rtl/>
        </w:rPr>
        <w:t>1996</w:t>
      </w:r>
      <w:r w:rsidRPr="00E14D01">
        <w:rPr>
          <w:rFonts w:asciiTheme="majorBidi" w:eastAsia="Times New Roman" w:hAnsiTheme="majorBidi" w:cs="Al Bayan Plain"/>
          <w:rtl/>
        </w:rPr>
        <w:t xml:space="preserve">، بيروت، عدد الأجزاء </w:t>
      </w:r>
      <w:r w:rsidRPr="00E14D01">
        <w:rPr>
          <w:rFonts w:ascii="Calibri" w:eastAsia="Calibri" w:hAnsi="Calibri" w:cs="Calibri"/>
          <w:rtl/>
        </w:rPr>
        <w:t>3</w:t>
      </w:r>
      <w:r w:rsidRPr="00E14D01">
        <w:rPr>
          <w:rFonts w:asciiTheme="majorBidi" w:eastAsia="Times New Roman" w:hAnsiTheme="majorBidi" w:cs="Al Bayan Plain"/>
          <w:rtl/>
        </w:rPr>
        <w:t>.</w:t>
      </w:r>
    </w:p>
    <w:p w14:paraId="2A680532"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عسكري (الـ)، </w:t>
      </w:r>
      <w:r w:rsidRPr="00E14D01">
        <w:rPr>
          <w:rFonts w:asciiTheme="majorBidi" w:eastAsia="Calibri" w:hAnsiTheme="majorBidi" w:cs="Al Bayan Plain"/>
          <w:i/>
          <w:iCs/>
          <w:rtl/>
          <w:lang w:bidi="ar-AE"/>
        </w:rPr>
        <w:t>التفسير المنسوب إلى الإمام أبى محمد الحسن بن علي العسكري</w:t>
      </w:r>
      <w:r w:rsidRPr="00E14D01">
        <w:rPr>
          <w:rFonts w:asciiTheme="majorBidi" w:eastAsia="Calibri" w:hAnsiTheme="majorBidi" w:cs="Al Bayan Plain"/>
          <w:rtl/>
          <w:lang w:bidi="ar-AE"/>
        </w:rPr>
        <w:t xml:space="preserve">، التحقيق والنشر: مؤسسة الإمام المهدي، قُـمْ، ربيع الأول، </w:t>
      </w:r>
      <w:r w:rsidRPr="00E14D01">
        <w:rPr>
          <w:rFonts w:ascii="Calibri" w:eastAsia="Calibri" w:hAnsi="Calibri" w:cs="Calibri"/>
          <w:rtl/>
          <w:lang w:bidi="ar-AE"/>
        </w:rPr>
        <w:t>1988</w:t>
      </w:r>
      <w:r w:rsidRPr="00E14D01">
        <w:rPr>
          <w:rFonts w:asciiTheme="majorBidi" w:eastAsia="Calibri" w:hAnsiTheme="majorBidi" w:cs="Al Bayan Plain"/>
          <w:rtl/>
          <w:lang w:bidi="ar-AE"/>
        </w:rPr>
        <w:t>، مطبعة: مهر، قم، إيران.</w:t>
      </w:r>
    </w:p>
    <w:p w14:paraId="739C29E6" w14:textId="77777777" w:rsidR="00A70B78" w:rsidRPr="00E14D01" w:rsidRDefault="00A70B78" w:rsidP="00876BB0">
      <w:pPr>
        <w:pStyle w:val="Paragraphedeliste"/>
        <w:numPr>
          <w:ilvl w:val="0"/>
          <w:numId w:val="107"/>
        </w:numPr>
        <w:spacing w:after="0" w:line="360" w:lineRule="auto"/>
        <w:contextualSpacing/>
        <w:jc w:val="both"/>
        <w:rPr>
          <w:rFonts w:asciiTheme="majorBidi" w:hAnsiTheme="majorBidi" w:cs="Al Bayan Plain"/>
          <w:sz w:val="24"/>
          <w:szCs w:val="24"/>
          <w:lang w:eastAsia="fr-FR" w:bidi="ar-EG"/>
        </w:rPr>
      </w:pPr>
      <w:r w:rsidRPr="00E14D01">
        <w:rPr>
          <w:rFonts w:asciiTheme="majorBidi" w:hAnsiTheme="majorBidi" w:cs="Al Bayan Plain"/>
          <w:sz w:val="24"/>
          <w:szCs w:val="24"/>
          <w:rtl/>
          <w:lang w:eastAsia="fr-FR"/>
        </w:rPr>
        <w:t>عوا (الـ)، سلوى محمد، الوجوه والنظائر في القرآن الكريم، دار الشروق، القاهرة، ١٩٩٨.</w:t>
      </w:r>
    </w:p>
    <w:p w14:paraId="49005B7C"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عياشي (الـ)، أبو النصر محمد بن مسعود بن عياش السمرقندي، </w:t>
      </w:r>
      <w:r w:rsidRPr="00E14D01">
        <w:rPr>
          <w:rFonts w:asciiTheme="majorBidi" w:eastAsia="Calibri" w:hAnsiTheme="majorBidi" w:cs="Al Bayan Plain"/>
          <w:i/>
          <w:iCs/>
          <w:rtl/>
          <w:lang w:bidi="ar-AE"/>
        </w:rPr>
        <w:t>تفسير العياشي</w:t>
      </w:r>
      <w:r w:rsidRPr="00E14D01">
        <w:rPr>
          <w:rFonts w:asciiTheme="majorBidi" w:eastAsia="Calibri" w:hAnsiTheme="majorBidi" w:cs="Al Bayan Plain"/>
          <w:rtl/>
          <w:lang w:bidi="ar-AE"/>
        </w:rPr>
        <w:t>، منشورات مؤسسة الأعلمي للمطبوعات، بيروت.</w:t>
      </w:r>
    </w:p>
    <w:p w14:paraId="2DC27280"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غرناطي (الـ) الأندلسي، محمد بن يوسف أبو حيان، </w:t>
      </w:r>
      <w:r w:rsidRPr="00E14D01">
        <w:rPr>
          <w:rFonts w:asciiTheme="majorBidi" w:eastAsia="Times New Roman" w:hAnsiTheme="majorBidi" w:cs="Al Bayan Plain"/>
          <w:i/>
          <w:iCs/>
          <w:rtl/>
        </w:rPr>
        <w:t>تفسير البحر المحيط</w:t>
      </w:r>
      <w:r w:rsidRPr="00E14D01">
        <w:rPr>
          <w:rFonts w:asciiTheme="majorBidi" w:eastAsia="Times New Roman" w:hAnsiTheme="majorBidi" w:cs="Al Bayan Plain"/>
          <w:rtl/>
        </w:rPr>
        <w:t xml:space="preserve">، المحقق: عادل أحمد وعلي معوض، دار الكتب العلمية، </w:t>
      </w:r>
      <w:r w:rsidRPr="00E14D01">
        <w:rPr>
          <w:rFonts w:ascii="Calibri" w:eastAsia="Calibri" w:hAnsi="Calibri" w:cs="Calibri"/>
          <w:rtl/>
        </w:rPr>
        <w:t>1993</w:t>
      </w:r>
      <w:r w:rsidRPr="00E14D01">
        <w:rPr>
          <w:rFonts w:asciiTheme="majorBidi" w:eastAsia="Times New Roman" w:hAnsiTheme="majorBidi" w:cs="Al Bayan Plain"/>
          <w:rtl/>
        </w:rPr>
        <w:t xml:space="preserve">، عدد المجلدات: </w:t>
      </w:r>
      <w:r w:rsidRPr="00E14D01">
        <w:rPr>
          <w:rFonts w:ascii="Calibri" w:eastAsia="Calibri" w:hAnsi="Calibri" w:cs="Calibri"/>
          <w:rtl/>
        </w:rPr>
        <w:t>8</w:t>
      </w:r>
      <w:r w:rsidRPr="00E14D01">
        <w:rPr>
          <w:rFonts w:asciiTheme="majorBidi" w:eastAsia="Times New Roman" w:hAnsiTheme="majorBidi" w:cs="Al Bayan Plain"/>
          <w:rtl/>
        </w:rPr>
        <w:t>.</w:t>
      </w:r>
    </w:p>
    <w:p w14:paraId="17AF52CC" w14:textId="77777777" w:rsidR="00A70B78" w:rsidRPr="00E14D01" w:rsidRDefault="00A70B78" w:rsidP="00876BB0">
      <w:pPr>
        <w:pStyle w:val="Paragraphedeliste"/>
        <w:numPr>
          <w:ilvl w:val="0"/>
          <w:numId w:val="107"/>
        </w:numPr>
        <w:spacing w:after="0" w:line="360" w:lineRule="auto"/>
        <w:contextualSpacing/>
        <w:jc w:val="both"/>
        <w:rPr>
          <w:rFonts w:asciiTheme="majorBidi" w:hAnsiTheme="majorBidi" w:cs="Al Bayan Plain"/>
          <w:sz w:val="24"/>
          <w:szCs w:val="24"/>
          <w:lang w:eastAsia="fr-FR" w:bidi="ar-EG"/>
        </w:rPr>
      </w:pPr>
      <w:r w:rsidRPr="00E14D01">
        <w:rPr>
          <w:rFonts w:asciiTheme="majorBidi" w:hAnsiTheme="majorBidi" w:cs="Al Bayan Plain"/>
          <w:sz w:val="24"/>
          <w:szCs w:val="24"/>
          <w:rtl/>
          <w:lang w:eastAsia="fr-FR" w:bidi="ar-EG"/>
        </w:rPr>
        <w:t xml:space="preserve">غزالي (الـ)، أبو حامد محمد بن محمد، </w:t>
      </w:r>
      <w:r w:rsidRPr="00E14D01">
        <w:rPr>
          <w:rFonts w:asciiTheme="majorBidi" w:hAnsiTheme="majorBidi" w:cs="Al Bayan Plain"/>
          <w:i/>
          <w:iCs/>
          <w:sz w:val="24"/>
          <w:szCs w:val="24"/>
          <w:rtl/>
          <w:lang w:eastAsia="fr-FR" w:bidi="ar-EG"/>
        </w:rPr>
        <w:t>المقصد الأسنى في شرح معاني أسماء الله الحسنى</w:t>
      </w:r>
      <w:r w:rsidRPr="00E14D01">
        <w:rPr>
          <w:rFonts w:asciiTheme="majorBidi" w:hAnsiTheme="majorBidi" w:cs="Al Bayan Plain"/>
          <w:sz w:val="24"/>
          <w:szCs w:val="24"/>
          <w:rtl/>
          <w:lang w:eastAsia="fr-FR" w:bidi="ar-EG"/>
        </w:rPr>
        <w:t>، مكتبة القرآن، القاهرة، ١٩٨٤.</w:t>
      </w:r>
    </w:p>
    <w:p w14:paraId="3C081BB9"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قرطبي (الـ)، أبي عبد الله محمد بن أحمد الأنصاري، </w:t>
      </w:r>
      <w:r w:rsidRPr="00E14D01">
        <w:rPr>
          <w:rFonts w:asciiTheme="majorBidi" w:eastAsia="Times New Roman" w:hAnsiTheme="majorBidi" w:cs="Al Bayan Plain"/>
          <w:i/>
          <w:iCs/>
          <w:rtl/>
        </w:rPr>
        <w:t>الجامع لأحكام القرآن</w:t>
      </w:r>
      <w:r w:rsidRPr="00E14D01">
        <w:rPr>
          <w:rFonts w:asciiTheme="majorBidi" w:eastAsia="Times New Roman" w:hAnsiTheme="majorBidi" w:cs="Al Bayan Plain"/>
          <w:rtl/>
        </w:rPr>
        <w:t xml:space="preserve"> (</w:t>
      </w:r>
      <w:r w:rsidRPr="00E14D01">
        <w:rPr>
          <w:rFonts w:asciiTheme="majorBidi" w:eastAsia="Times New Roman" w:hAnsiTheme="majorBidi" w:cs="Al Bayan Plain"/>
          <w:i/>
          <w:iCs/>
          <w:rtl/>
        </w:rPr>
        <w:t>تفسير القرطبي</w:t>
      </w:r>
      <w:r w:rsidRPr="00E14D01">
        <w:rPr>
          <w:rFonts w:asciiTheme="majorBidi" w:eastAsia="Times New Roman" w:hAnsiTheme="majorBidi" w:cs="Al Bayan Plain"/>
          <w:rtl/>
        </w:rPr>
        <w:t xml:space="preserve">)، دار الكتب المصرية، الطبعة الثانية، </w:t>
      </w:r>
      <w:r w:rsidRPr="00E14D01">
        <w:rPr>
          <w:rFonts w:ascii="Calibri" w:eastAsia="Calibri" w:hAnsi="Calibri" w:cs="Calibri"/>
          <w:rtl/>
        </w:rPr>
        <w:t>1935</w:t>
      </w:r>
      <w:r w:rsidRPr="00E14D01">
        <w:rPr>
          <w:rFonts w:asciiTheme="majorBidi" w:eastAsia="Times New Roman" w:hAnsiTheme="majorBidi" w:cs="Al Bayan Plain"/>
          <w:rtl/>
        </w:rPr>
        <w:t>.</w:t>
      </w:r>
    </w:p>
    <w:p w14:paraId="1E1C6A3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قزّي، جوزيف (أبو موسى الحريري)، </w:t>
      </w:r>
      <w:r w:rsidRPr="00E14D01">
        <w:rPr>
          <w:rFonts w:asciiTheme="majorBidi" w:eastAsia="Times New Roman" w:hAnsiTheme="majorBidi" w:cs="Al Bayan Plain"/>
          <w:i/>
          <w:iCs/>
          <w:rtl/>
        </w:rPr>
        <w:t>قِسّ ونبي. بحث في نشأة الإسلام</w:t>
      </w:r>
      <w:r w:rsidRPr="00E14D01">
        <w:rPr>
          <w:rFonts w:asciiTheme="majorBidi" w:eastAsia="Times New Roman" w:hAnsiTheme="majorBidi" w:cs="Al Bayan Plain"/>
          <w:rtl/>
        </w:rPr>
        <w:t>، بيروت، ١٩٧٩.</w:t>
      </w:r>
    </w:p>
    <w:p w14:paraId="432389EF" w14:textId="77777777" w:rsidR="00A70B78" w:rsidRPr="00E14D01" w:rsidRDefault="00A70B78" w:rsidP="00876BB0">
      <w:pPr>
        <w:pStyle w:val="Paragraphedeliste"/>
        <w:numPr>
          <w:ilvl w:val="0"/>
          <w:numId w:val="107"/>
        </w:numPr>
        <w:spacing w:after="0" w:line="360" w:lineRule="auto"/>
        <w:contextualSpacing/>
        <w:jc w:val="both"/>
        <w:rPr>
          <w:rFonts w:asciiTheme="majorBidi" w:hAnsiTheme="majorBidi" w:cs="Al Bayan Plain"/>
          <w:sz w:val="24"/>
          <w:szCs w:val="24"/>
          <w:lang w:eastAsia="fr-FR" w:bidi="ar-EG"/>
        </w:rPr>
      </w:pPr>
      <w:r w:rsidRPr="00E14D01">
        <w:rPr>
          <w:rFonts w:asciiTheme="majorBidi" w:eastAsia="Calibri" w:hAnsiTheme="majorBidi" w:cs="Al Bayan Plain"/>
          <w:sz w:val="24"/>
          <w:szCs w:val="24"/>
          <w:rtl/>
          <w:lang w:bidi="ar-AE"/>
        </w:rPr>
        <w:t xml:space="preserve">قشيري (الـ)، عبد الكريم بن هوازن بن عبد الملك (المتوفى: </w:t>
      </w:r>
      <w:r w:rsidRPr="00E14D01">
        <w:rPr>
          <w:rFonts w:eastAsia="Calibri" w:cs="Calibri"/>
          <w:sz w:val="24"/>
          <w:szCs w:val="24"/>
          <w:rtl/>
          <w:lang w:bidi="ar-AE"/>
        </w:rPr>
        <w:t>465</w:t>
      </w:r>
      <w:r w:rsidRPr="00E14D01">
        <w:rPr>
          <w:rFonts w:asciiTheme="majorBidi" w:eastAsia="Calibri" w:hAnsiTheme="majorBidi" w:cs="Al Bayan Plain"/>
          <w:sz w:val="24"/>
          <w:szCs w:val="24"/>
          <w:rtl/>
          <w:lang w:bidi="ar-AE"/>
        </w:rPr>
        <w:t xml:space="preserve"> هـ)، </w:t>
      </w:r>
      <w:r w:rsidRPr="00E14D01">
        <w:rPr>
          <w:rFonts w:asciiTheme="majorBidi" w:eastAsia="Calibri" w:hAnsiTheme="majorBidi" w:cs="Al Bayan Plain"/>
          <w:i/>
          <w:iCs/>
          <w:sz w:val="24"/>
          <w:szCs w:val="24"/>
          <w:rtl/>
          <w:lang w:bidi="ar-AE"/>
        </w:rPr>
        <w:t>تفسير لطائف الإشارات</w:t>
      </w:r>
      <w:r w:rsidRPr="00E14D01">
        <w:rPr>
          <w:rFonts w:asciiTheme="majorBidi" w:eastAsia="Calibri" w:hAnsiTheme="majorBidi" w:cs="Al Bayan Plain"/>
          <w:sz w:val="24"/>
          <w:szCs w:val="24"/>
          <w:rtl/>
          <w:lang w:bidi="ar-AE"/>
        </w:rPr>
        <w:t>، تحقيق: إبراهيم البسيوني، الهيئة المصرية العامة للكتاب، الطبعة الثالثة.</w:t>
      </w:r>
    </w:p>
    <w:p w14:paraId="456F7A61"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t xml:space="preserve">قُمَّي (الـ)، أبو الحسن علي بن إبراهيم، </w:t>
      </w:r>
      <w:r w:rsidRPr="00E14D01">
        <w:rPr>
          <w:rFonts w:asciiTheme="majorBidi" w:eastAsia="Calibri" w:hAnsiTheme="majorBidi" w:cs="Al Bayan Plain"/>
          <w:i/>
          <w:iCs/>
          <w:rtl/>
          <w:lang w:bidi="ar-AE"/>
        </w:rPr>
        <w:t>تفسير القمي</w:t>
      </w:r>
      <w:r w:rsidRPr="00E14D01">
        <w:rPr>
          <w:rFonts w:asciiTheme="majorBidi" w:eastAsia="Calibri" w:hAnsiTheme="majorBidi" w:cs="Al Bayan Plain"/>
          <w:rtl/>
          <w:lang w:bidi="ar-AE"/>
        </w:rPr>
        <w:t>، صححه وعلَّق عليه وقدَّمَه: طيب الموسوي الجزائري،</w:t>
      </w:r>
      <w:r w:rsidRPr="00E14D01">
        <w:rPr>
          <w:rFonts w:asciiTheme="majorBidi" w:eastAsia="Times New Roman" w:hAnsiTheme="majorBidi" w:cs="Al Bayan Plain"/>
          <w:rtl/>
          <w:lang w:bidi="ar-AE"/>
        </w:rPr>
        <w:t xml:space="preserve"> </w:t>
      </w:r>
      <w:r w:rsidRPr="00E14D01">
        <w:rPr>
          <w:rFonts w:asciiTheme="majorBidi" w:eastAsia="Calibri" w:hAnsiTheme="majorBidi" w:cs="Al Bayan Plain"/>
          <w:rtl/>
          <w:lang w:bidi="ar-AE"/>
        </w:rPr>
        <w:t xml:space="preserve">منشورات مؤسسة دار الكتاب للطباعة والنشر، قُمْ، إيران، الطبعة الثالثة، </w:t>
      </w:r>
      <w:r w:rsidRPr="00E14D01">
        <w:rPr>
          <w:rFonts w:ascii="Calibri" w:eastAsia="Calibri" w:hAnsi="Calibri" w:cs="Calibri"/>
          <w:rtl/>
          <w:lang w:bidi="ar-AE"/>
        </w:rPr>
        <w:t>1983</w:t>
      </w:r>
      <w:r w:rsidRPr="00E14D01">
        <w:rPr>
          <w:rFonts w:asciiTheme="majorBidi" w:eastAsia="Calibri" w:hAnsiTheme="majorBidi" w:cs="Al Bayan Plain"/>
          <w:rtl/>
          <w:lang w:bidi="ar-AE"/>
        </w:rPr>
        <w:t>.</w:t>
      </w:r>
    </w:p>
    <w:p w14:paraId="60B6ABEF" w14:textId="77777777" w:rsidR="00A70B78" w:rsidRPr="00E14D01" w:rsidRDefault="00A70B78" w:rsidP="00876BB0">
      <w:pPr>
        <w:numPr>
          <w:ilvl w:val="0"/>
          <w:numId w:val="107"/>
        </w:numPr>
        <w:bidi/>
        <w:spacing w:line="360" w:lineRule="auto"/>
        <w:contextualSpacing/>
        <w:jc w:val="both"/>
        <w:rPr>
          <w:rFonts w:asciiTheme="majorBidi" w:eastAsia="Times New Roman" w:hAnsiTheme="majorBidi" w:cs="Al Bayan Plain"/>
          <w:rtl/>
        </w:rPr>
      </w:pPr>
      <w:r w:rsidRPr="00E14D01">
        <w:rPr>
          <w:rFonts w:asciiTheme="majorBidi" w:eastAsia="Times New Roman" w:hAnsiTheme="majorBidi" w:cs="Al Bayan Plain"/>
          <w:rtl/>
        </w:rPr>
        <w:t xml:space="preserve">كلبي (الـ)، محمد بن أحمد بن جزي أبو القاسم، </w:t>
      </w:r>
      <w:r w:rsidRPr="00E14D01">
        <w:rPr>
          <w:rFonts w:asciiTheme="majorBidi" w:eastAsia="Times New Roman" w:hAnsiTheme="majorBidi" w:cs="Al Bayan Plain"/>
          <w:i/>
          <w:iCs/>
          <w:rtl/>
        </w:rPr>
        <w:t>التسهيل لعلوم التنزيل</w:t>
      </w:r>
      <w:r w:rsidRPr="00E14D01">
        <w:rPr>
          <w:rFonts w:asciiTheme="majorBidi" w:eastAsia="Times New Roman" w:hAnsiTheme="majorBidi" w:cs="Al Bayan Plain"/>
          <w:rtl/>
        </w:rPr>
        <w:t xml:space="preserve">، المحقق: محمد سالم هاشم، دار الكتب العلمية، </w:t>
      </w:r>
      <w:r w:rsidRPr="00E14D01">
        <w:rPr>
          <w:rFonts w:ascii="Calibri" w:eastAsia="Calibri" w:hAnsi="Calibri" w:cs="Calibri"/>
          <w:rtl/>
        </w:rPr>
        <w:t>1995</w:t>
      </w:r>
      <w:r w:rsidRPr="00E14D01">
        <w:rPr>
          <w:rFonts w:asciiTheme="majorBidi" w:eastAsia="Times New Roman" w:hAnsiTheme="majorBidi" w:cs="Al Bayan Plain"/>
          <w:rtl/>
        </w:rPr>
        <w:t>، مجلدان.</w:t>
      </w:r>
    </w:p>
    <w:p w14:paraId="5AEEE1B7"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مسيري (الـ)، منير محمود،</w:t>
      </w:r>
      <w:r w:rsidRPr="00E14D01">
        <w:rPr>
          <w:rFonts w:asciiTheme="majorBidi" w:eastAsia="Times New Roman" w:hAnsiTheme="majorBidi" w:cs="Al Bayan Plain"/>
          <w:i/>
          <w:iCs/>
          <w:rtl/>
        </w:rPr>
        <w:t xml:space="preserve"> دلالات التقديم والتأخير في القرآن الكريم: دراسة تحليلية</w:t>
      </w:r>
      <w:r w:rsidRPr="00E14D01">
        <w:rPr>
          <w:rFonts w:asciiTheme="majorBidi" w:eastAsia="Times New Roman" w:hAnsiTheme="majorBidi" w:cs="Al Bayan Plain"/>
          <w:rtl/>
        </w:rPr>
        <w:t>، مكتبة وهبة، القاهرة، ٢٠٠٥.</w:t>
      </w:r>
    </w:p>
    <w:p w14:paraId="195606EB"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مقاتل بن سليمان الأزدي، </w:t>
      </w:r>
      <w:r w:rsidRPr="00E14D01">
        <w:rPr>
          <w:rFonts w:asciiTheme="majorBidi" w:eastAsia="Times New Roman" w:hAnsiTheme="majorBidi" w:cs="Al Bayan Plain"/>
          <w:i/>
          <w:iCs/>
          <w:rtl/>
        </w:rPr>
        <w:t>تفسير مقاتل</w:t>
      </w:r>
      <w:r w:rsidRPr="00E14D01">
        <w:rPr>
          <w:rFonts w:asciiTheme="majorBidi" w:eastAsia="Times New Roman" w:hAnsiTheme="majorBidi" w:cs="Al Bayan Plain"/>
          <w:rtl/>
        </w:rPr>
        <w:t xml:space="preserve">، دار الكتب العلمية، بيروت، </w:t>
      </w:r>
      <w:r w:rsidRPr="00E14D01">
        <w:rPr>
          <w:rFonts w:ascii="Calibri" w:eastAsia="Calibri" w:hAnsi="Calibri" w:cs="Calibri"/>
          <w:rtl/>
        </w:rPr>
        <w:t>2003</w:t>
      </w:r>
      <w:r w:rsidRPr="00E14D01">
        <w:rPr>
          <w:rFonts w:asciiTheme="majorBidi" w:eastAsia="Times New Roman" w:hAnsiTheme="majorBidi" w:cs="Al Bayan Plain"/>
          <w:rtl/>
        </w:rPr>
        <w:t xml:space="preserve">، عدد الأجزاء: </w:t>
      </w:r>
      <w:r w:rsidRPr="00E14D01">
        <w:rPr>
          <w:rFonts w:ascii="Calibri" w:eastAsia="Calibri" w:hAnsi="Calibri" w:cs="Calibri"/>
          <w:rtl/>
        </w:rPr>
        <w:t>3</w:t>
      </w:r>
      <w:r w:rsidRPr="00E14D01">
        <w:rPr>
          <w:rFonts w:asciiTheme="majorBidi" w:eastAsia="Times New Roman" w:hAnsiTheme="majorBidi" w:cs="Al Bayan Plain"/>
          <w:rtl/>
        </w:rPr>
        <w:t>، تحقيق: أحمد فريد.</w:t>
      </w:r>
    </w:p>
    <w:p w14:paraId="14542C42"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مُكرَّم، عبد العال سالم، </w:t>
      </w:r>
      <w:r w:rsidRPr="00E14D01">
        <w:rPr>
          <w:rFonts w:asciiTheme="majorBidi" w:eastAsia="Times New Roman" w:hAnsiTheme="majorBidi" w:cs="Al Bayan Plain"/>
          <w:i/>
          <w:iCs/>
          <w:rtl/>
        </w:rPr>
        <w:t>المشترَك اللفظي في الحقل القرآني</w:t>
      </w:r>
      <w:r w:rsidRPr="00E14D01">
        <w:rPr>
          <w:rFonts w:asciiTheme="majorBidi" w:eastAsia="Times New Roman" w:hAnsiTheme="majorBidi" w:cs="Al Bayan Plain"/>
          <w:rtl/>
        </w:rPr>
        <w:t>، مؤسسة الرسالة، بيروت، ١٩٩٦.</w:t>
      </w:r>
    </w:p>
    <w:p w14:paraId="7C328D01"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ميرزا، بشير الدين محمود أحمد، </w:t>
      </w:r>
      <w:r w:rsidRPr="00E14D01">
        <w:rPr>
          <w:rFonts w:asciiTheme="majorBidi" w:eastAsia="Times New Roman" w:hAnsiTheme="majorBidi" w:cs="Al Bayan Plain"/>
          <w:i/>
          <w:iCs/>
          <w:rtl/>
        </w:rPr>
        <w:t>التفسير الكبير</w:t>
      </w:r>
      <w:r w:rsidRPr="00E14D01">
        <w:rPr>
          <w:rFonts w:asciiTheme="majorBidi" w:eastAsia="Times New Roman" w:hAnsiTheme="majorBidi" w:cs="Al Bayan Plain"/>
          <w:rtl/>
        </w:rPr>
        <w:t xml:space="preserve"> [تفسير أحمدي]، الجزء ٦، الشركة الإسلامية المحدودة، ٢٠١١، ترجمَه عن الأُردية عبد المؤمن طاهر، راجعه هاني طاهر.</w:t>
      </w:r>
    </w:p>
    <w:p w14:paraId="3A5865EF"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Calibri" w:hAnsiTheme="majorBidi" w:cs="Al Bayan Plain"/>
          <w:rtl/>
          <w:lang w:bidi="ar-AE"/>
        </w:rPr>
        <w:lastRenderedPageBreak/>
        <w:t xml:space="preserve">نسفي (الـ)، </w:t>
      </w:r>
      <w:r w:rsidRPr="00E14D01">
        <w:rPr>
          <w:rFonts w:asciiTheme="majorBidi" w:eastAsia="Calibri" w:hAnsiTheme="majorBidi" w:cs="Al Bayan Plain"/>
          <w:i/>
          <w:iCs/>
          <w:rtl/>
          <w:lang w:bidi="ar-AE"/>
        </w:rPr>
        <w:t>تفسير النسفي</w:t>
      </w:r>
      <w:r w:rsidRPr="00E14D01">
        <w:rPr>
          <w:rFonts w:asciiTheme="majorBidi" w:eastAsia="Calibri" w:hAnsiTheme="majorBidi" w:cs="Al Bayan Plain"/>
          <w:rtl/>
          <w:lang w:bidi="ar-AE"/>
        </w:rPr>
        <w:t xml:space="preserve"> (</w:t>
      </w:r>
      <w:r w:rsidRPr="00E14D01">
        <w:rPr>
          <w:rFonts w:asciiTheme="majorBidi" w:eastAsia="Calibri" w:hAnsiTheme="majorBidi" w:cs="Al Bayan Plain"/>
          <w:i/>
          <w:iCs/>
          <w:rtl/>
          <w:lang w:bidi="ar-AE"/>
        </w:rPr>
        <w:t>مدارك التنزيل وحقائق التأويل</w:t>
      </w:r>
      <w:r w:rsidRPr="00E14D01">
        <w:rPr>
          <w:rFonts w:asciiTheme="majorBidi" w:eastAsia="Calibri" w:hAnsiTheme="majorBidi" w:cs="Al Bayan Plain"/>
          <w:rtl/>
          <w:lang w:bidi="ar-AE"/>
        </w:rPr>
        <w:t xml:space="preserve">)، دار النفائس، بيروت، عدد الأجزاء: </w:t>
      </w:r>
      <w:r w:rsidRPr="00E14D01">
        <w:rPr>
          <w:rFonts w:ascii="Calibri" w:eastAsia="Calibri" w:hAnsi="Calibri" w:cs="Calibri"/>
          <w:rtl/>
          <w:lang w:bidi="ar-AE"/>
        </w:rPr>
        <w:t>4</w:t>
      </w:r>
      <w:r w:rsidRPr="00E14D01">
        <w:rPr>
          <w:rFonts w:asciiTheme="majorBidi" w:eastAsia="Calibri" w:hAnsiTheme="majorBidi" w:cs="Al Bayan Plain"/>
          <w:rtl/>
          <w:lang w:bidi="ar-AE"/>
        </w:rPr>
        <w:t>.</w:t>
      </w:r>
    </w:p>
    <w:p w14:paraId="6C4B645A"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نِفَّري (الـ)، محمد بن عبد الجبار، </w:t>
      </w:r>
      <w:r w:rsidRPr="00E14D01">
        <w:rPr>
          <w:rFonts w:asciiTheme="majorBidi" w:eastAsia="Times New Roman" w:hAnsiTheme="majorBidi" w:cs="Al Bayan Plain"/>
          <w:i/>
          <w:iCs/>
          <w:rtl/>
        </w:rPr>
        <w:t>المواقف والمخاطبات</w:t>
      </w:r>
      <w:r w:rsidRPr="00E14D01">
        <w:rPr>
          <w:rFonts w:asciiTheme="majorBidi" w:eastAsia="Times New Roman" w:hAnsiTheme="majorBidi" w:cs="Al Bayan Plain"/>
          <w:rtl/>
        </w:rPr>
        <w:t>، دار الكتب المصرية، ١٩٣٤.</w:t>
      </w:r>
    </w:p>
    <w:p w14:paraId="2355CB6E"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 xml:space="preserve">واحدي (الـ)، </w:t>
      </w:r>
      <w:r w:rsidRPr="00E14D01">
        <w:rPr>
          <w:rFonts w:asciiTheme="majorBidi" w:eastAsia="Times New Roman" w:hAnsiTheme="majorBidi" w:cs="Al Bayan Plain"/>
          <w:i/>
          <w:iCs/>
          <w:rtl/>
        </w:rPr>
        <w:t>الوجيز في تفسير الكتاب العزيز</w:t>
      </w:r>
      <w:r w:rsidRPr="00E14D01">
        <w:rPr>
          <w:rFonts w:asciiTheme="majorBidi" w:eastAsia="Times New Roman" w:hAnsiTheme="majorBidi" w:cs="Al Bayan Plain"/>
          <w:rtl/>
        </w:rPr>
        <w:t>، دار القلم</w:t>
      </w:r>
      <w:r w:rsidRPr="00E14D01">
        <w:rPr>
          <w:rFonts w:ascii="Calibri" w:eastAsia="Calibri" w:hAnsi="Calibri" w:cs="Calibri"/>
          <w:rtl/>
        </w:rPr>
        <w:t>,</w:t>
      </w:r>
      <w:r w:rsidRPr="00E14D01">
        <w:rPr>
          <w:rFonts w:asciiTheme="majorBidi" w:eastAsia="Times New Roman" w:hAnsiTheme="majorBidi" w:cs="Al Bayan Plain"/>
          <w:rtl/>
        </w:rPr>
        <w:t xml:space="preserve"> الدار الشامية، دمشق، بيروت، تحقيق: صفوان عدنان داوودي، </w:t>
      </w:r>
      <w:r w:rsidRPr="00E14D01">
        <w:rPr>
          <w:rFonts w:ascii="Calibri" w:eastAsia="Calibri" w:hAnsi="Calibri" w:cs="Calibri"/>
          <w:rtl/>
        </w:rPr>
        <w:t>1994</w:t>
      </w:r>
      <w:r w:rsidRPr="00E14D01">
        <w:rPr>
          <w:rFonts w:asciiTheme="majorBidi" w:eastAsia="Times New Roman" w:hAnsiTheme="majorBidi" w:cs="Al Bayan Plain"/>
          <w:rtl/>
        </w:rPr>
        <w:t>.</w:t>
      </w:r>
    </w:p>
    <w:p w14:paraId="2D6A02D2" w14:textId="77777777" w:rsidR="00A70B78" w:rsidRPr="00E14D01" w:rsidRDefault="00A70B78" w:rsidP="00876BB0">
      <w:pPr>
        <w:numPr>
          <w:ilvl w:val="0"/>
          <w:numId w:val="107"/>
        </w:numPr>
        <w:tabs>
          <w:tab w:val="left" w:pos="991"/>
        </w:tabs>
        <w:bidi/>
        <w:spacing w:line="360" w:lineRule="auto"/>
        <w:contextualSpacing/>
        <w:jc w:val="both"/>
        <w:rPr>
          <w:rFonts w:asciiTheme="majorBidi" w:eastAsia="Times New Roman" w:hAnsiTheme="majorBidi" w:cs="Al Bayan Plain"/>
        </w:rPr>
      </w:pPr>
      <w:r w:rsidRPr="00E14D01">
        <w:rPr>
          <w:rFonts w:asciiTheme="majorBidi" w:eastAsia="Times New Roman" w:hAnsiTheme="majorBidi" w:cs="Al Bayan Plain"/>
          <w:rtl/>
        </w:rPr>
        <w:t>يوسف، أُلفة،</w:t>
      </w:r>
      <w:r w:rsidRPr="00E14D01">
        <w:rPr>
          <w:rFonts w:asciiTheme="majorBidi" w:eastAsia="SimSun" w:hAnsiTheme="majorBidi" w:cs="Al Bayan Plain"/>
          <w:i/>
          <w:iCs/>
          <w:rtl/>
          <w:lang w:eastAsia="zh-CN"/>
        </w:rPr>
        <w:t xml:space="preserve"> نموذج من القراءة التأويلية: تعدد المعنى في القران</w:t>
      </w:r>
      <w:r w:rsidRPr="00E14D01">
        <w:rPr>
          <w:rFonts w:asciiTheme="majorBidi" w:eastAsia="Times New Roman" w:hAnsiTheme="majorBidi" w:cs="Al Bayan Plain"/>
          <w:rtl/>
        </w:rPr>
        <w:t>، أطروحة دكتوراه، جامعة تونس، ٢٠٠٢.</w:t>
      </w:r>
    </w:p>
    <w:p w14:paraId="56FAED2E" w14:textId="77777777" w:rsidR="00A70B78" w:rsidRPr="00CE4FCD" w:rsidRDefault="00A70B78" w:rsidP="00A70B78">
      <w:pPr>
        <w:spacing w:line="360" w:lineRule="auto"/>
        <w:contextualSpacing/>
        <w:jc w:val="both"/>
        <w:rPr>
          <w:rFonts w:asciiTheme="majorBidi" w:hAnsiTheme="majorBidi" w:cstheme="majorBidi"/>
          <w:sz w:val="20"/>
          <w:szCs w:val="20"/>
          <w:lang w:bidi="ar-EG"/>
        </w:rPr>
      </w:pPr>
    </w:p>
    <w:p w14:paraId="7369F512" w14:textId="77777777" w:rsidR="00A70B78" w:rsidRPr="00CE4FCD" w:rsidRDefault="00A70B78" w:rsidP="00A70B78">
      <w:pPr>
        <w:spacing w:line="360" w:lineRule="auto"/>
        <w:contextualSpacing/>
        <w:jc w:val="both"/>
        <w:rPr>
          <w:rFonts w:asciiTheme="majorBidi" w:eastAsia="Times New Roman" w:hAnsiTheme="majorBidi" w:cstheme="majorBidi"/>
          <w:b/>
          <w:bCs/>
          <w:sz w:val="20"/>
          <w:szCs w:val="20"/>
          <w:u w:val="single"/>
        </w:rPr>
      </w:pPr>
      <w:r w:rsidRPr="00CE4FCD">
        <w:rPr>
          <w:rFonts w:asciiTheme="majorBidi" w:eastAsia="Times New Roman" w:hAnsiTheme="majorBidi" w:cstheme="majorBidi"/>
          <w:b/>
          <w:bCs/>
          <w:sz w:val="20"/>
          <w:szCs w:val="20"/>
          <w:u w:val="single"/>
        </w:rPr>
        <w:t>Sitographie :</w:t>
      </w:r>
    </w:p>
    <w:p w14:paraId="42EB9AF1"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al Jazeera (émission « </w:t>
      </w:r>
      <w:r w:rsidRPr="00CE4FCD">
        <w:rPr>
          <w:rFonts w:asciiTheme="majorBidi" w:hAnsiTheme="majorBidi" w:cstheme="majorBidi"/>
          <w:i/>
          <w:iCs/>
          <w:sz w:val="20"/>
          <w:szCs w:val="20"/>
        </w:rPr>
        <w:t>ash-sharī</w:t>
      </w:r>
      <w:r w:rsidRPr="00CE4FCD">
        <w:rPr>
          <w:rFonts w:asciiTheme="majorBidi" w:eastAsia="Times New Roman" w:hAnsiTheme="majorBidi" w:cstheme="majorBidi"/>
          <w:i/>
          <w:iCs/>
          <w:sz w:val="20"/>
          <w:szCs w:val="20"/>
        </w:rPr>
        <w:t>ʿ</w:t>
      </w:r>
      <w:r w:rsidRPr="00CE4FCD">
        <w:rPr>
          <w:rFonts w:asciiTheme="majorBidi" w:hAnsiTheme="majorBidi" w:cstheme="majorBidi"/>
          <w:i/>
          <w:iCs/>
          <w:sz w:val="20"/>
          <w:szCs w:val="20"/>
        </w:rPr>
        <w:t>a wa-l-</w:t>
      </w:r>
      <w:r w:rsidRPr="00CE4FCD">
        <w:rPr>
          <w:rFonts w:asciiTheme="majorBidi" w:eastAsia="Times New Roman" w:hAnsiTheme="majorBidi" w:cstheme="majorBidi"/>
          <w:i/>
          <w:iCs/>
          <w:sz w:val="20"/>
          <w:szCs w:val="20"/>
        </w:rPr>
        <w:t>ḥ</w:t>
      </w:r>
      <w:r w:rsidRPr="00CE4FCD">
        <w:rPr>
          <w:rFonts w:asciiTheme="majorBidi" w:hAnsiTheme="majorBidi" w:cstheme="majorBidi"/>
          <w:i/>
          <w:iCs/>
          <w:sz w:val="20"/>
          <w:szCs w:val="20"/>
        </w:rPr>
        <w:t>ayāt </w:t>
      </w:r>
      <w:r w:rsidRPr="00CE4FCD">
        <w:rPr>
          <w:rFonts w:asciiTheme="majorBidi" w:hAnsiTheme="majorBidi" w:cstheme="majorBidi"/>
          <w:sz w:val="20"/>
          <w:szCs w:val="20"/>
        </w:rPr>
        <w:t xml:space="preserve">»), </w:t>
      </w:r>
      <w:r w:rsidRPr="00CE4FCD">
        <w:rPr>
          <w:rFonts w:asciiTheme="majorBidi" w:hAnsiTheme="majorBidi" w:cstheme="majorBidi"/>
          <w:color w:val="C00000"/>
          <w:sz w:val="20"/>
          <w:szCs w:val="20"/>
        </w:rPr>
        <w:t xml:space="preserve"> </w:t>
      </w:r>
      <w:hyperlink r:id="rId27" w:history="1">
        <w:r w:rsidRPr="00CE4FCD">
          <w:rPr>
            <w:rStyle w:val="Lienhypertexte"/>
            <w:rFonts w:asciiTheme="majorBidi" w:hAnsiTheme="majorBidi" w:cstheme="majorBidi"/>
            <w:sz w:val="20"/>
            <w:szCs w:val="20"/>
          </w:rPr>
          <w:t>http://www.aljazeera.net/programs/religionandlife/2012/2/9/</w:t>
        </w:r>
        <w:r w:rsidRPr="00CE4FCD">
          <w:rPr>
            <w:rStyle w:val="Lienhypertexte"/>
            <w:rFonts w:asciiTheme="majorBidi" w:hAnsiTheme="majorBidi" w:cstheme="majorBidi"/>
            <w:sz w:val="20"/>
            <w:szCs w:val="20"/>
            <w:rtl/>
          </w:rPr>
          <w:t>الإسلام-والدولة-المدنية</w:t>
        </w:r>
      </w:hyperlink>
      <w:r w:rsidRPr="00CE4FCD">
        <w:rPr>
          <w:rFonts w:asciiTheme="majorBidi" w:eastAsia="Times New Roman" w:hAnsiTheme="majorBidi" w:cstheme="majorBidi"/>
          <w:sz w:val="20"/>
          <w:szCs w:val="20"/>
        </w:rPr>
        <w:t xml:space="preserve"> </w:t>
      </w:r>
    </w:p>
    <w:p w14:paraId="63A3DC80"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Al Maktaba al Islamyya, </w:t>
      </w:r>
      <w:hyperlink r:id="rId28" w:history="1">
        <w:r w:rsidRPr="00CE4FCD">
          <w:rPr>
            <w:rStyle w:val="Lienhypertexte"/>
            <w:rFonts w:asciiTheme="majorBidi" w:hAnsiTheme="majorBidi" w:cstheme="majorBidi"/>
            <w:sz w:val="20"/>
            <w:szCs w:val="20"/>
          </w:rPr>
          <w:t>http://library.islamweb.net/newlibrary/</w:t>
        </w:r>
      </w:hyperlink>
      <w:r w:rsidRPr="00CE4FCD">
        <w:rPr>
          <w:rFonts w:asciiTheme="majorBidi" w:eastAsia="Times New Roman" w:hAnsiTheme="majorBidi" w:cstheme="majorBidi"/>
          <w:sz w:val="20"/>
          <w:szCs w:val="20"/>
        </w:rPr>
        <w:t xml:space="preserve"> </w:t>
      </w:r>
    </w:p>
    <w:p w14:paraId="204F093F"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Al Maktaba al Shamela, </w:t>
      </w:r>
      <w:hyperlink r:id="rId29" w:history="1">
        <w:r w:rsidRPr="00CE4FCD">
          <w:rPr>
            <w:rFonts w:asciiTheme="majorBidi" w:eastAsia="Times New Roman" w:hAnsiTheme="majorBidi" w:cstheme="majorBidi"/>
            <w:color w:val="0000FF"/>
            <w:sz w:val="20"/>
            <w:szCs w:val="20"/>
            <w:u w:val="single"/>
          </w:rPr>
          <w:t>http://shamela.ws/</w:t>
        </w:r>
      </w:hyperlink>
    </w:p>
    <w:p w14:paraId="13227B33"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Al Tafsīr </w:t>
      </w:r>
      <w:hyperlink r:id="rId30" w:history="1">
        <w:r w:rsidRPr="00CE4FCD">
          <w:rPr>
            <w:rFonts w:asciiTheme="majorBidi" w:eastAsia="Times New Roman" w:hAnsiTheme="majorBidi" w:cstheme="majorBidi"/>
            <w:color w:val="0000FF"/>
            <w:sz w:val="20"/>
            <w:szCs w:val="20"/>
            <w:u w:val="single"/>
          </w:rPr>
          <w:t>http://www.altafsir.com/</w:t>
        </w:r>
      </w:hyperlink>
      <w:r w:rsidRPr="00CE4FCD">
        <w:rPr>
          <w:rFonts w:asciiTheme="majorBidi" w:eastAsia="Times New Roman" w:hAnsiTheme="majorBidi" w:cstheme="majorBidi"/>
          <w:sz w:val="20"/>
          <w:szCs w:val="20"/>
        </w:rPr>
        <w:t xml:space="preserve"> (Muʾassasat Āl al-Bayt).</w:t>
      </w:r>
    </w:p>
    <w:p w14:paraId="2CDD07AE"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Al-Awfa, </w:t>
      </w:r>
      <w:hyperlink r:id="rId31" w:history="1">
        <w:r w:rsidRPr="00CE4FCD">
          <w:rPr>
            <w:rFonts w:asciiTheme="majorBidi" w:eastAsia="Times New Roman" w:hAnsiTheme="majorBidi" w:cstheme="majorBidi"/>
            <w:color w:val="0000FF"/>
            <w:sz w:val="20"/>
            <w:szCs w:val="20"/>
            <w:u w:val="single"/>
          </w:rPr>
          <w:t>http://www.alawfa.com</w:t>
        </w:r>
      </w:hyperlink>
      <w:r w:rsidRPr="00CE4FCD">
        <w:rPr>
          <w:rFonts w:asciiTheme="majorBidi" w:eastAsia="Times New Roman" w:hAnsiTheme="majorBidi" w:cstheme="majorBidi"/>
          <w:sz w:val="20"/>
          <w:szCs w:val="20"/>
        </w:rPr>
        <w:t xml:space="preserve"> (moteur de recherche dans le Coran)</w:t>
      </w:r>
    </w:p>
    <w:p w14:paraId="367C61DF"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Al-Warrāq, </w:t>
      </w:r>
      <w:hyperlink r:id="rId32" w:history="1">
        <w:r w:rsidRPr="00CE4FCD">
          <w:rPr>
            <w:rFonts w:asciiTheme="majorBidi" w:eastAsia="Calibri" w:hAnsiTheme="majorBidi" w:cstheme="majorBidi"/>
            <w:color w:val="0000FF"/>
            <w:sz w:val="20"/>
            <w:szCs w:val="20"/>
            <w:u w:val="single"/>
            <w:lang w:bidi="ar-AE"/>
          </w:rPr>
          <w:t>http://www.alwarraq.com</w:t>
        </w:r>
      </w:hyperlink>
      <w:r w:rsidRPr="00CE4FCD">
        <w:rPr>
          <w:rFonts w:asciiTheme="majorBidi" w:eastAsia="Calibri" w:hAnsiTheme="majorBidi" w:cstheme="majorBidi"/>
          <w:sz w:val="20"/>
          <w:szCs w:val="20"/>
          <w:lang w:bidi="ar-AE"/>
        </w:rPr>
        <w:t>.</w:t>
      </w:r>
    </w:p>
    <w:p w14:paraId="5CC382AC" w14:textId="77777777" w:rsidR="00A70B78" w:rsidRPr="00CE4FCD" w:rsidRDefault="00A70B78" w:rsidP="00876BB0">
      <w:pPr>
        <w:pStyle w:val="Paragraphedeliste"/>
        <w:numPr>
          <w:ilvl w:val="0"/>
          <w:numId w:val="121"/>
        </w:numPr>
        <w:bidi w:val="0"/>
        <w:spacing w:after="0" w:line="360" w:lineRule="auto"/>
        <w:contextualSpacing/>
        <w:jc w:val="both"/>
        <w:rPr>
          <w:rStyle w:val="Lienhypertexte"/>
          <w:rFonts w:asciiTheme="majorBidi" w:eastAsiaTheme="minorHAnsi" w:hAnsiTheme="majorBidi" w:cstheme="majorBidi"/>
          <w:sz w:val="20"/>
          <w:szCs w:val="20"/>
        </w:rPr>
      </w:pPr>
      <w:r w:rsidRPr="00CE4FCD">
        <w:rPr>
          <w:rFonts w:asciiTheme="majorBidi" w:hAnsiTheme="majorBidi" w:cstheme="majorBidi"/>
          <w:sz w:val="20"/>
          <w:szCs w:val="20"/>
        </w:rPr>
        <w:t xml:space="preserve">Bibliothèque nationale de France (BnF Gallica), </w:t>
      </w:r>
      <w:hyperlink r:id="rId33" w:history="1">
        <w:r w:rsidRPr="00CE4FCD">
          <w:rPr>
            <w:rStyle w:val="Lienhypertexte"/>
            <w:rFonts w:asciiTheme="majorBidi" w:hAnsiTheme="majorBidi" w:cstheme="majorBidi"/>
            <w:sz w:val="20"/>
            <w:szCs w:val="20"/>
          </w:rPr>
          <w:t>http://gallica.bnf.fr/ark:/12148/bpt6k109735r/f2.image</w:t>
        </w:r>
      </w:hyperlink>
      <w:r w:rsidRPr="00CE4FCD">
        <w:rPr>
          <w:rFonts w:asciiTheme="majorBidi" w:hAnsiTheme="majorBidi" w:cstheme="majorBidi"/>
          <w:sz w:val="20"/>
          <w:szCs w:val="20"/>
        </w:rPr>
        <w:t>.</w:t>
      </w:r>
    </w:p>
    <w:p w14:paraId="5378F872"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Coran et sciences de l’homme, </w:t>
      </w:r>
      <w:hyperlink r:id="rId34" w:history="1">
        <w:r w:rsidRPr="00CE4FCD">
          <w:rPr>
            <w:rFonts w:asciiTheme="majorBidi" w:eastAsia="Times New Roman" w:hAnsiTheme="majorBidi" w:cstheme="majorBidi"/>
            <w:color w:val="0000FF"/>
            <w:sz w:val="20"/>
            <w:szCs w:val="20"/>
            <w:u w:val="single"/>
          </w:rPr>
          <w:t>http://www.mehdi-azaiez.org/-Les-traductions-du-Coran-</w:t>
        </w:r>
      </w:hyperlink>
    </w:p>
    <w:p w14:paraId="62DFFFD5"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Druzenet, </w:t>
      </w:r>
      <w:hyperlink r:id="rId35" w:history="1">
        <w:r w:rsidRPr="00CE4FCD">
          <w:rPr>
            <w:rFonts w:asciiTheme="majorBidi" w:eastAsia="Times New Roman" w:hAnsiTheme="majorBidi" w:cstheme="majorBidi"/>
            <w:color w:val="0000FF"/>
            <w:sz w:val="20"/>
            <w:szCs w:val="20"/>
            <w:u w:val="single"/>
          </w:rPr>
          <w:t>http://www.druzenet.net/dn-a-abnanour.html</w:t>
        </w:r>
      </w:hyperlink>
    </w:p>
    <w:p w14:paraId="46668717"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Fabula, La recherche en littérature, </w:t>
      </w:r>
      <w:hyperlink r:id="rId36" w:history="1">
        <w:r w:rsidRPr="00CE4FCD">
          <w:rPr>
            <w:rFonts w:asciiTheme="majorBidi" w:eastAsia="Times New Roman" w:hAnsiTheme="majorBidi" w:cstheme="majorBidi"/>
            <w:color w:val="0000FF"/>
            <w:sz w:val="20"/>
            <w:szCs w:val="20"/>
            <w:u w:val="single"/>
          </w:rPr>
          <w:t>http://www.fabula.org/actualites/traduction-et-texte-sacre_43863.php</w:t>
        </w:r>
      </w:hyperlink>
      <w:r w:rsidRPr="00CE4FCD">
        <w:rPr>
          <w:rFonts w:asciiTheme="majorBidi" w:eastAsia="Times New Roman" w:hAnsiTheme="majorBidi" w:cstheme="majorBidi"/>
          <w:sz w:val="20"/>
          <w:szCs w:val="20"/>
        </w:rPr>
        <w:t xml:space="preserve"> (« Traduction et texte sacré »)</w:t>
      </w:r>
    </w:p>
    <w:p w14:paraId="665948BB"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lang w:bidi="ar-AE"/>
        </w:rPr>
        <w:t xml:space="preserve">International Quran News Agency, </w:t>
      </w:r>
      <w:hyperlink r:id="rId37" w:history="1">
        <w:r w:rsidRPr="00CE4FCD">
          <w:rPr>
            <w:rFonts w:asciiTheme="majorBidi" w:eastAsia="Times New Roman" w:hAnsiTheme="majorBidi" w:cstheme="majorBidi"/>
            <w:color w:val="0000FF"/>
            <w:sz w:val="20"/>
            <w:szCs w:val="20"/>
            <w:u w:val="single"/>
          </w:rPr>
          <w:t>http://www.iqna.ir/fr/</w:t>
        </w:r>
      </w:hyperlink>
      <w:r w:rsidRPr="00CE4FCD">
        <w:rPr>
          <w:rFonts w:asciiTheme="majorBidi" w:eastAsia="Times New Roman" w:hAnsiTheme="majorBidi" w:cstheme="majorBidi"/>
          <w:sz w:val="20"/>
          <w:szCs w:val="20"/>
        </w:rPr>
        <w:t xml:space="preserve"> (Agence Internationale de Presse Coranique)</w:t>
      </w:r>
    </w:p>
    <w:p w14:paraId="0A4823CD"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lang w:bidi="ar-KW"/>
        </w:rPr>
        <w:t xml:space="preserve">Islam Ahmadyya, </w:t>
      </w:r>
      <w:hyperlink r:id="rId38" w:tgtFrame="_blank" w:history="1">
        <w:r w:rsidRPr="00CE4FCD">
          <w:rPr>
            <w:rFonts w:asciiTheme="majorBidi" w:eastAsia="Times New Roman" w:hAnsiTheme="majorBidi" w:cstheme="majorBidi"/>
            <w:color w:val="0000FF"/>
            <w:sz w:val="20"/>
            <w:szCs w:val="20"/>
            <w:u w:val="single"/>
          </w:rPr>
          <w:t>http://new.islamahmadiyya.net/booksinner.asp?id=111</w:t>
        </w:r>
      </w:hyperlink>
      <w:r w:rsidRPr="00CE4FCD">
        <w:rPr>
          <w:rFonts w:asciiTheme="majorBidi" w:hAnsiTheme="majorBidi" w:cstheme="majorBidi"/>
          <w:sz w:val="20"/>
          <w:szCs w:val="20"/>
        </w:rPr>
        <w:t xml:space="preserve"> (</w:t>
      </w:r>
      <w:r w:rsidRPr="00CE4FCD">
        <w:rPr>
          <w:rFonts w:asciiTheme="majorBidi" w:eastAsia="Times New Roman" w:hAnsiTheme="majorBidi" w:cstheme="majorBidi"/>
          <w:sz w:val="20"/>
          <w:szCs w:val="20"/>
          <w:lang w:bidi="ar-KW"/>
        </w:rPr>
        <w:t>Site de la Communauté Ahmadie).</w:t>
      </w:r>
    </w:p>
    <w:p w14:paraId="0C92183D"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Islam Web, </w:t>
      </w:r>
      <w:r w:rsidRPr="00CE4FCD">
        <w:rPr>
          <w:rFonts w:asciiTheme="majorBidi" w:eastAsia="Times New Roman" w:hAnsiTheme="majorBidi" w:cstheme="majorBidi"/>
          <w:color w:val="0000FF"/>
          <w:sz w:val="20"/>
          <w:szCs w:val="20"/>
          <w:u w:val="single"/>
        </w:rPr>
        <w:t>http:/</w:t>
      </w:r>
      <w:hyperlink r:id="rId39" w:history="1">
        <w:r w:rsidRPr="00CE4FCD">
          <w:rPr>
            <w:rFonts w:asciiTheme="majorBidi" w:eastAsia="Times New Roman" w:hAnsiTheme="majorBidi" w:cstheme="majorBidi"/>
            <w:color w:val="0000FF"/>
            <w:sz w:val="20"/>
            <w:szCs w:val="20"/>
            <w:u w:val="single"/>
          </w:rPr>
          <w:t>www.islamweb.net</w:t>
        </w:r>
      </w:hyperlink>
    </w:p>
    <w:p w14:paraId="5BB88871"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lang w:bidi="ar-KW"/>
        </w:rPr>
        <w:t xml:space="preserve">Khawāṭir al-Shaykh Muḥammad Mitwallī al Shaʿrāwī, </w:t>
      </w:r>
      <w:hyperlink r:id="rId40" w:history="1">
        <w:r w:rsidRPr="00CE4FCD">
          <w:rPr>
            <w:rStyle w:val="Lienhypertexte"/>
            <w:rFonts w:asciiTheme="majorBidi" w:hAnsiTheme="majorBidi" w:cstheme="majorBidi"/>
            <w:sz w:val="20"/>
            <w:szCs w:val="20"/>
            <w:lang w:bidi="ar-KW"/>
          </w:rPr>
          <w:t>http://www.elsharawy.com</w:t>
        </w:r>
      </w:hyperlink>
      <w:r w:rsidRPr="00CE4FCD">
        <w:rPr>
          <w:rFonts w:asciiTheme="majorBidi" w:eastAsia="Times New Roman" w:hAnsiTheme="majorBidi" w:cstheme="majorBidi"/>
          <w:sz w:val="20"/>
          <w:szCs w:val="20"/>
          <w:lang w:bidi="ar-KW"/>
        </w:rPr>
        <w:t>.</w:t>
      </w:r>
    </w:p>
    <w:p w14:paraId="51573E4D"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L’Encyclopédie An-Nābulsī : </w:t>
      </w:r>
      <w:hyperlink r:id="rId41" w:history="1">
        <w:r w:rsidRPr="00CE4FCD">
          <w:rPr>
            <w:rFonts w:asciiTheme="majorBidi" w:eastAsia="Times New Roman" w:hAnsiTheme="majorBidi" w:cstheme="majorBidi"/>
            <w:color w:val="0000FF"/>
            <w:sz w:val="20"/>
            <w:szCs w:val="20"/>
            <w:u w:val="single"/>
          </w:rPr>
          <w:t>http://www.nabulsi.com/blue/ar/art.php?art=11001</w:t>
        </w:r>
      </w:hyperlink>
    </w:p>
    <w:p w14:paraId="1AFDF55A"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Le complexe du Roi Fahd pour l’impression du noble Coran : Traductions</w:t>
      </w:r>
      <w:r w:rsidRPr="00CE4FCD">
        <w:rPr>
          <w:rFonts w:asciiTheme="majorBidi" w:hAnsiTheme="majorBidi" w:cstheme="majorBidi"/>
          <w:sz w:val="20"/>
          <w:szCs w:val="20"/>
        </w:rPr>
        <w:t xml:space="preserve">, </w:t>
      </w:r>
      <w:hyperlink r:id="rId42" w:history="1">
        <w:r w:rsidRPr="00CE4FCD">
          <w:rPr>
            <w:rStyle w:val="Lienhypertexte"/>
            <w:rFonts w:asciiTheme="majorBidi" w:hAnsiTheme="majorBidi" w:cstheme="majorBidi"/>
            <w:sz w:val="20"/>
            <w:szCs w:val="20"/>
          </w:rPr>
          <w:t>http://www.qurancomplex.org</w:t>
        </w:r>
      </w:hyperlink>
      <w:r w:rsidRPr="00CE4FCD">
        <w:rPr>
          <w:rFonts w:asciiTheme="majorBidi" w:hAnsiTheme="majorBidi" w:cstheme="majorBidi"/>
          <w:sz w:val="20"/>
          <w:szCs w:val="20"/>
        </w:rPr>
        <w:t xml:space="preserve"> </w:t>
      </w:r>
    </w:p>
    <w:p w14:paraId="1BBA4E52"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Le noble Coran, </w:t>
      </w:r>
      <w:hyperlink r:id="rId43" w:history="1">
        <w:r w:rsidRPr="00CE4FCD">
          <w:rPr>
            <w:rStyle w:val="Lienhypertexte"/>
            <w:rFonts w:asciiTheme="majorBidi" w:hAnsiTheme="majorBidi" w:cstheme="majorBidi"/>
            <w:sz w:val="20"/>
            <w:szCs w:val="20"/>
          </w:rPr>
          <w:t>http://www.lenoblecoran.fr</w:t>
        </w:r>
      </w:hyperlink>
      <w:r w:rsidRPr="00CE4FCD">
        <w:rPr>
          <w:rFonts w:asciiTheme="majorBidi" w:eastAsia="Times New Roman" w:hAnsiTheme="majorBidi" w:cstheme="majorBidi"/>
          <w:sz w:val="20"/>
          <w:szCs w:val="20"/>
        </w:rPr>
        <w:t xml:space="preserve"> </w:t>
      </w:r>
    </w:p>
    <w:p w14:paraId="555B6459"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Le site druze </w:t>
      </w:r>
      <w:r w:rsidRPr="00CE4FCD">
        <w:rPr>
          <w:rFonts w:asciiTheme="majorBidi" w:eastAsia="Times New Roman" w:hAnsiTheme="majorBidi" w:cstheme="majorBidi"/>
          <w:i/>
          <w:iCs/>
          <w:sz w:val="20"/>
          <w:szCs w:val="20"/>
        </w:rPr>
        <w:t>Al-ʿAmāma</w:t>
      </w:r>
      <w:r w:rsidRPr="00CE4FCD">
        <w:rPr>
          <w:rFonts w:asciiTheme="majorBidi" w:eastAsia="Times New Roman" w:hAnsiTheme="majorBidi" w:cstheme="majorBidi"/>
          <w:sz w:val="20"/>
          <w:szCs w:val="20"/>
        </w:rPr>
        <w:t xml:space="preserve">, </w:t>
      </w:r>
      <w:hyperlink r:id="rId44" w:history="1">
        <w:r w:rsidRPr="00CE4FCD">
          <w:rPr>
            <w:rFonts w:asciiTheme="majorBidi" w:eastAsia="Times New Roman" w:hAnsiTheme="majorBidi" w:cstheme="majorBidi"/>
            <w:color w:val="0000FF"/>
            <w:sz w:val="20"/>
            <w:szCs w:val="20"/>
            <w:u w:val="single"/>
          </w:rPr>
          <w:t>http://www.al-amama.com/index.php?option=com_content&amp;task=view&amp;id=633</w:t>
        </w:r>
      </w:hyperlink>
    </w:p>
    <w:p w14:paraId="2E258BE4"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Le site web de Muḥammad Amīn Shaykhū: </w:t>
      </w:r>
      <w:hyperlink r:id="rId45" w:history="1">
        <w:r w:rsidRPr="00CE4FCD">
          <w:rPr>
            <w:rFonts w:asciiTheme="majorBidi" w:eastAsia="Times New Roman" w:hAnsiTheme="majorBidi" w:cstheme="majorBidi"/>
            <w:color w:val="0000FF"/>
            <w:sz w:val="20"/>
            <w:szCs w:val="20"/>
            <w:u w:val="single"/>
          </w:rPr>
          <w:t>http://rchss.com/ar/</w:t>
        </w:r>
      </w:hyperlink>
    </w:p>
    <w:p w14:paraId="71747055"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Lexilogos. Le Coran, </w:t>
      </w:r>
      <w:hyperlink r:id="rId46" w:history="1">
        <w:r w:rsidRPr="00CE4FCD">
          <w:rPr>
            <w:rFonts w:asciiTheme="majorBidi" w:eastAsia="Times New Roman" w:hAnsiTheme="majorBidi" w:cstheme="majorBidi"/>
            <w:color w:val="0000FF"/>
            <w:sz w:val="20"/>
            <w:szCs w:val="20"/>
            <w:u w:val="single"/>
          </w:rPr>
          <w:t>http://www.lexilogos.com/coran.htm</w:t>
        </w:r>
      </w:hyperlink>
    </w:p>
    <w:p w14:paraId="1B066A29"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Maktabat Ya</w:t>
      </w:r>
      <w:r w:rsidRPr="00CE4FCD">
        <w:rPr>
          <w:rFonts w:asciiTheme="majorBidi" w:eastAsia="Times New Roman" w:hAnsiTheme="majorBidi" w:cstheme="majorBidi"/>
          <w:sz w:val="20"/>
          <w:szCs w:val="20"/>
        </w:rPr>
        <w:t>ʿ</w:t>
      </w:r>
      <w:r w:rsidRPr="00CE4FCD">
        <w:rPr>
          <w:rFonts w:asciiTheme="majorBidi" w:hAnsiTheme="majorBidi" w:cstheme="majorBidi"/>
          <w:sz w:val="20"/>
          <w:szCs w:val="20"/>
        </w:rPr>
        <w:t xml:space="preserve">sūb al-Dīn, </w:t>
      </w:r>
      <w:hyperlink r:id="rId47" w:history="1">
        <w:r w:rsidRPr="00CE4FCD">
          <w:rPr>
            <w:rFonts w:asciiTheme="majorBidi" w:eastAsia="Calibri" w:hAnsiTheme="majorBidi" w:cstheme="majorBidi"/>
            <w:color w:val="0000FF"/>
            <w:sz w:val="20"/>
            <w:szCs w:val="20"/>
            <w:u w:val="single"/>
            <w:lang w:bidi="ar-AE"/>
          </w:rPr>
          <w:t>http://www.yasoob.com/ar/</w:t>
        </w:r>
      </w:hyperlink>
    </w:p>
    <w:p w14:paraId="60237558"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Mesopotamia, </w:t>
      </w:r>
      <w:hyperlink r:id="rId48" w:history="1">
        <w:r w:rsidRPr="00CE4FCD">
          <w:rPr>
            <w:rFonts w:asciiTheme="majorBidi" w:eastAsia="Times New Roman" w:hAnsiTheme="majorBidi" w:cstheme="majorBidi"/>
            <w:color w:val="0000FF"/>
            <w:sz w:val="20"/>
            <w:szCs w:val="20"/>
            <w:u w:val="single"/>
            <w:lang w:bidi="ar-AE"/>
          </w:rPr>
          <w:t>http://www.mesopot.com/old/adad9/46.htm</w:t>
        </w:r>
      </w:hyperlink>
    </w:p>
    <w:p w14:paraId="4B5991A0"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Ministères des affaires islamiques en Arabie saoudite </w:t>
      </w:r>
      <w:hyperlink r:id="rId49" w:history="1">
        <w:r w:rsidRPr="00CE4FCD">
          <w:rPr>
            <w:rFonts w:asciiTheme="majorBidi" w:eastAsia="Calibri" w:hAnsiTheme="majorBidi" w:cstheme="majorBidi"/>
            <w:color w:val="0000FF"/>
            <w:sz w:val="20"/>
            <w:szCs w:val="20"/>
            <w:u w:val="single"/>
            <w:lang w:bidi="ar-AE"/>
          </w:rPr>
          <w:t>www.al-islam.com</w:t>
        </w:r>
      </w:hyperlink>
    </w:p>
    <w:p w14:paraId="46348D1A"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Orient. Le Monde Des Religions, </w:t>
      </w:r>
      <w:hyperlink r:id="rId50" w:history="1">
        <w:r w:rsidRPr="00CE4FCD">
          <w:rPr>
            <w:rFonts w:asciiTheme="majorBidi" w:eastAsia="Times New Roman" w:hAnsiTheme="majorBidi" w:cstheme="majorBidi"/>
            <w:color w:val="0000FF"/>
            <w:sz w:val="20"/>
            <w:szCs w:val="20"/>
            <w:u w:val="single"/>
          </w:rPr>
          <w:t>http://stehly.chez-alice.fr/</w:t>
        </w:r>
      </w:hyperlink>
      <w:r w:rsidRPr="00CE4FCD">
        <w:rPr>
          <w:rFonts w:asciiTheme="majorBidi" w:eastAsia="Times New Roman" w:hAnsiTheme="majorBidi" w:cstheme="majorBidi"/>
          <w:color w:val="0000FF"/>
          <w:sz w:val="20"/>
          <w:szCs w:val="20"/>
          <w:u w:val="single"/>
        </w:rPr>
        <w:t xml:space="preserve"> (</w:t>
      </w:r>
      <w:r w:rsidRPr="00CE4FCD">
        <w:rPr>
          <w:rFonts w:asciiTheme="majorBidi" w:hAnsiTheme="majorBidi" w:cstheme="majorBidi"/>
          <w:sz w:val="20"/>
          <w:szCs w:val="20"/>
        </w:rPr>
        <w:t>Site  universitaire de référence d’histoire  des religions)</w:t>
      </w:r>
    </w:p>
    <w:p w14:paraId="69160073"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eastAsia="Times New Roman" w:hAnsiTheme="majorBidi" w:cstheme="majorBidi"/>
          <w:sz w:val="20"/>
          <w:szCs w:val="20"/>
        </w:rPr>
        <w:t xml:space="preserve">Oumma, </w:t>
      </w:r>
      <w:hyperlink r:id="rId51" w:history="1">
        <w:r w:rsidRPr="00CE4FCD">
          <w:rPr>
            <w:rStyle w:val="Lienhypertexte"/>
            <w:rFonts w:asciiTheme="majorBidi" w:hAnsiTheme="majorBidi" w:cstheme="majorBidi"/>
            <w:sz w:val="20"/>
            <w:szCs w:val="20"/>
          </w:rPr>
          <w:t>https://oumma.com</w:t>
        </w:r>
      </w:hyperlink>
      <w:r w:rsidRPr="00CE4FCD">
        <w:rPr>
          <w:rFonts w:asciiTheme="majorBidi" w:eastAsia="Times New Roman" w:hAnsiTheme="majorBidi" w:cstheme="majorBidi"/>
          <w:sz w:val="20"/>
          <w:szCs w:val="20"/>
        </w:rPr>
        <w:t xml:space="preserve"> </w:t>
      </w:r>
    </w:p>
    <w:p w14:paraId="0C1C2C19"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lastRenderedPageBreak/>
        <w:t xml:space="preserve">Portail de la traduction littéraire, </w:t>
      </w:r>
      <w:hyperlink r:id="rId52" w:history="1">
        <w:r w:rsidRPr="00CE4FCD">
          <w:rPr>
            <w:rFonts w:asciiTheme="majorBidi" w:eastAsia="Times New Roman" w:hAnsiTheme="majorBidi" w:cstheme="majorBidi"/>
            <w:color w:val="0000FF"/>
            <w:sz w:val="20"/>
            <w:szCs w:val="20"/>
            <w:u w:val="single"/>
          </w:rPr>
          <w:t>http://www.traduction-litteraire.fr</w:t>
        </w:r>
      </w:hyperlink>
    </w:p>
    <w:p w14:paraId="2FD47946"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Quran al Shia </w:t>
      </w:r>
      <w:hyperlink r:id="rId53" w:history="1">
        <w:r w:rsidRPr="00CE4FCD">
          <w:rPr>
            <w:rFonts w:asciiTheme="majorBidi" w:eastAsia="Times New Roman" w:hAnsiTheme="majorBidi" w:cstheme="majorBidi"/>
            <w:color w:val="0000FF"/>
            <w:sz w:val="20"/>
            <w:szCs w:val="20"/>
            <w:u w:val="single"/>
          </w:rPr>
          <w:t>http://quran.al-shia.org/fr/</w:t>
        </w:r>
      </w:hyperlink>
    </w:p>
    <w:p w14:paraId="053D4322"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 xml:space="preserve">Revues, </w:t>
      </w:r>
      <w:hyperlink r:id="rId54" w:history="1">
        <w:r w:rsidRPr="00CE4FCD">
          <w:rPr>
            <w:rFonts w:asciiTheme="majorBidi" w:eastAsia="Times New Roman" w:hAnsiTheme="majorBidi" w:cstheme="majorBidi"/>
            <w:color w:val="0000FF"/>
            <w:sz w:val="20"/>
            <w:szCs w:val="20"/>
            <w:u w:val="single"/>
          </w:rPr>
          <w:t>http://www.revues.org/</w:t>
        </w:r>
      </w:hyperlink>
    </w:p>
    <w:p w14:paraId="1A451485" w14:textId="77777777" w:rsidR="00A70B78" w:rsidRPr="00CE4FCD" w:rsidRDefault="00A70B78" w:rsidP="00876BB0">
      <w:pPr>
        <w:numPr>
          <w:ilvl w:val="0"/>
          <w:numId w:val="121"/>
        </w:numPr>
        <w:spacing w:line="360" w:lineRule="auto"/>
        <w:contextualSpacing/>
        <w:jc w:val="both"/>
        <w:rPr>
          <w:rFonts w:asciiTheme="majorBidi" w:eastAsia="Times New Roman" w:hAnsiTheme="majorBidi" w:cstheme="majorBidi"/>
          <w:sz w:val="20"/>
          <w:szCs w:val="20"/>
        </w:rPr>
      </w:pPr>
      <w:r w:rsidRPr="00CE4FCD">
        <w:rPr>
          <w:rFonts w:asciiTheme="majorBidi" w:hAnsiTheme="majorBidi" w:cstheme="majorBidi"/>
          <w:sz w:val="20"/>
          <w:szCs w:val="20"/>
        </w:rPr>
        <w:t>Supreme Council For Islamic Affairs [</w:t>
      </w:r>
      <w:r w:rsidRPr="00CE4FCD">
        <w:rPr>
          <w:rFonts w:asciiTheme="majorBidi" w:hAnsiTheme="majorBidi" w:cstheme="majorBidi"/>
          <w:sz w:val="20"/>
          <w:szCs w:val="20"/>
          <w:rtl/>
        </w:rPr>
        <w:t>المجلس الأعلى للشئون الإسلامية</w:t>
      </w:r>
      <w:r w:rsidRPr="00CE4FCD">
        <w:rPr>
          <w:rFonts w:asciiTheme="majorBidi" w:hAnsiTheme="majorBidi" w:cstheme="majorBidi"/>
          <w:sz w:val="20"/>
          <w:szCs w:val="20"/>
        </w:rPr>
        <w:t xml:space="preserve">] (Égypte), </w:t>
      </w:r>
      <w:hyperlink r:id="rId55" w:history="1">
        <w:r w:rsidRPr="00CE4FCD">
          <w:rPr>
            <w:rFonts w:asciiTheme="majorBidi" w:eastAsia="Calibri" w:hAnsiTheme="majorBidi" w:cstheme="majorBidi"/>
            <w:color w:val="0000FF"/>
            <w:sz w:val="20"/>
            <w:szCs w:val="20"/>
            <w:u w:val="single"/>
            <w:lang w:bidi="ar-AE"/>
          </w:rPr>
          <w:t>http://www.islamic-council.com</w:t>
        </w:r>
      </w:hyperlink>
    </w:p>
    <w:p w14:paraId="6730E963" w14:textId="77777777" w:rsidR="00A70B78" w:rsidRPr="00CE4FCD" w:rsidRDefault="00A70B78" w:rsidP="00A70B78">
      <w:pPr>
        <w:spacing w:line="360" w:lineRule="auto"/>
        <w:contextualSpacing/>
        <w:jc w:val="both"/>
        <w:rPr>
          <w:rFonts w:asciiTheme="majorBidi" w:hAnsiTheme="majorBidi" w:cstheme="majorBidi"/>
          <w:sz w:val="20"/>
          <w:szCs w:val="20"/>
          <w:lang w:bidi="ar-EG"/>
        </w:rPr>
      </w:pPr>
    </w:p>
    <w:p w14:paraId="5A766836" w14:textId="77777777" w:rsidR="00A70B78" w:rsidRPr="00CE4FCD" w:rsidRDefault="00A70B78" w:rsidP="00A70B78">
      <w:pPr>
        <w:spacing w:line="360" w:lineRule="auto"/>
        <w:ind w:firstLine="708"/>
        <w:jc w:val="both"/>
        <w:rPr>
          <w:rFonts w:asciiTheme="majorBidi" w:hAnsiTheme="majorBidi" w:cstheme="majorBidi"/>
          <w:sz w:val="20"/>
          <w:szCs w:val="20"/>
        </w:rPr>
      </w:pPr>
    </w:p>
    <w:p w14:paraId="0B88B304" w14:textId="77777777" w:rsidR="00A70B78" w:rsidRPr="007C6A42" w:rsidRDefault="00A70B78" w:rsidP="00A70B78">
      <w:pPr>
        <w:contextualSpacing/>
        <w:jc w:val="center"/>
        <w:rPr>
          <w:rFonts w:asciiTheme="majorBidi" w:eastAsia="Calibri" w:hAnsiTheme="majorBidi" w:cstheme="majorBidi"/>
          <w:b/>
          <w:bCs/>
        </w:rPr>
      </w:pPr>
      <w:r w:rsidRPr="007C6A42">
        <w:rPr>
          <w:rFonts w:asciiTheme="majorBidi" w:eastAsia="Calibri" w:hAnsiTheme="majorBidi" w:cstheme="majorBidi"/>
          <w:b/>
          <w:bCs/>
        </w:rPr>
        <w:br w:type="page"/>
      </w:r>
    </w:p>
    <w:p w14:paraId="16485A4D" w14:textId="77777777" w:rsidR="00A70B78" w:rsidRPr="00CE4FCD" w:rsidRDefault="00A70B78" w:rsidP="00A70B78">
      <w:pPr>
        <w:contextualSpacing/>
        <w:jc w:val="center"/>
        <w:rPr>
          <w:rFonts w:asciiTheme="majorBidi" w:eastAsia="Calibri" w:hAnsiTheme="majorBidi" w:cstheme="majorBidi"/>
          <w:b/>
          <w:bCs/>
          <w:sz w:val="20"/>
          <w:szCs w:val="20"/>
        </w:rPr>
      </w:pPr>
      <w:r w:rsidRPr="00CE4FCD">
        <w:rPr>
          <w:rFonts w:asciiTheme="majorBidi" w:eastAsia="Calibri" w:hAnsiTheme="majorBidi" w:cstheme="majorBidi"/>
          <w:b/>
          <w:bCs/>
          <w:sz w:val="20"/>
          <w:szCs w:val="20"/>
        </w:rPr>
        <w:lastRenderedPageBreak/>
        <w:t>Résumé</w:t>
      </w:r>
    </w:p>
    <w:p w14:paraId="70BCF823" w14:textId="77777777" w:rsidR="00A70B78" w:rsidRPr="00CE4FCD" w:rsidRDefault="00A70B78" w:rsidP="00A70B78">
      <w:pPr>
        <w:contextualSpacing/>
        <w:jc w:val="center"/>
        <w:rPr>
          <w:rFonts w:asciiTheme="majorBidi" w:eastAsia="Calibri" w:hAnsiTheme="majorBidi" w:cstheme="majorBidi"/>
          <w:b/>
          <w:bCs/>
          <w:i/>
          <w:iCs/>
          <w:sz w:val="20"/>
          <w:szCs w:val="20"/>
        </w:rPr>
      </w:pPr>
      <w:r w:rsidRPr="00CE4FCD">
        <w:rPr>
          <w:rFonts w:asciiTheme="majorBidi" w:eastAsia="Calibri" w:hAnsiTheme="majorBidi" w:cstheme="majorBidi"/>
          <w:b/>
          <w:bCs/>
          <w:i/>
          <w:iCs/>
          <w:sz w:val="20"/>
          <w:szCs w:val="20"/>
        </w:rPr>
        <w:t>Approche polysémique et traductologique du Coran.</w:t>
      </w:r>
    </w:p>
    <w:p w14:paraId="1C885173" w14:textId="77777777" w:rsidR="00A70B78" w:rsidRPr="00CE4FCD" w:rsidRDefault="00A70B78" w:rsidP="00A70B78">
      <w:pPr>
        <w:contextualSpacing/>
        <w:jc w:val="center"/>
        <w:rPr>
          <w:rFonts w:asciiTheme="majorBidi" w:eastAsia="Calibri" w:hAnsiTheme="majorBidi" w:cstheme="majorBidi"/>
          <w:b/>
          <w:bCs/>
          <w:i/>
          <w:iCs/>
          <w:sz w:val="20"/>
          <w:szCs w:val="20"/>
        </w:rPr>
      </w:pPr>
      <w:r w:rsidRPr="00CE4FCD">
        <w:rPr>
          <w:rFonts w:asciiTheme="majorBidi" w:eastAsia="Calibri" w:hAnsiTheme="majorBidi" w:cstheme="majorBidi"/>
          <w:b/>
          <w:bCs/>
          <w:i/>
          <w:iCs/>
          <w:sz w:val="20"/>
          <w:szCs w:val="20"/>
        </w:rPr>
        <w:t>La sourate XXII (Al-Ḥajj [le pèlerinage]) comme modèle</w:t>
      </w:r>
    </w:p>
    <w:p w14:paraId="34A970A2" w14:textId="77777777" w:rsidR="00A70B78" w:rsidRPr="00CE4FCD" w:rsidRDefault="00A70B78" w:rsidP="00A70B78">
      <w:pPr>
        <w:widowControl w:val="0"/>
        <w:autoSpaceDE w:val="0"/>
        <w:autoSpaceDN w:val="0"/>
        <w:adjustRightInd w:val="0"/>
        <w:ind w:firstLine="284"/>
        <w:contextualSpacing/>
        <w:jc w:val="both"/>
        <w:rPr>
          <w:rFonts w:asciiTheme="majorBidi" w:hAnsiTheme="majorBidi" w:cstheme="majorBidi"/>
          <w:sz w:val="20"/>
          <w:szCs w:val="20"/>
        </w:rPr>
      </w:pPr>
      <w:r w:rsidRPr="00CE4FCD">
        <w:rPr>
          <w:rFonts w:asciiTheme="majorBidi" w:hAnsiTheme="majorBidi" w:cstheme="majorBidi"/>
          <w:sz w:val="20"/>
          <w:szCs w:val="20"/>
        </w:rPr>
        <w:t>La tradition musulmane rapporte que l’une des caractéristiques les plus fondamentales du Coran est qu’il est un texte polysémique par excellence (</w:t>
      </w:r>
      <w:r w:rsidRPr="00CE4FCD">
        <w:rPr>
          <w:rFonts w:asciiTheme="majorBidi" w:hAnsiTheme="majorBidi" w:cstheme="majorBidi"/>
          <w:i/>
          <w:iCs/>
          <w:sz w:val="20"/>
          <w:szCs w:val="20"/>
        </w:rPr>
        <w:t>ḥammāl dhū wujūh</w:t>
      </w:r>
      <w:r w:rsidRPr="00CE4FCD">
        <w:rPr>
          <w:rFonts w:asciiTheme="majorBidi" w:hAnsiTheme="majorBidi" w:cstheme="majorBidi"/>
          <w:sz w:val="20"/>
          <w:szCs w:val="20"/>
        </w:rPr>
        <w:t xml:space="preserve">, porteur de plusieurs visages). </w:t>
      </w:r>
      <w:r w:rsidRPr="00CE4FCD">
        <w:rPr>
          <w:rFonts w:asciiTheme="majorBidi" w:eastAsia="SimSun" w:hAnsiTheme="majorBidi" w:cstheme="majorBidi"/>
          <w:sz w:val="20"/>
          <w:szCs w:val="20"/>
          <w:lang w:eastAsia="zh-CN"/>
        </w:rPr>
        <w:t>Si le Coran est polysémique et que ses exégèses ne sont que des lectures possibles, il s’ensuit que ses traductions en sont également autant de lectures possibles et complémentaires. L’</w:t>
      </w:r>
      <w:r w:rsidRPr="00CE4FCD">
        <w:rPr>
          <w:rFonts w:asciiTheme="majorBidi" w:hAnsiTheme="majorBidi" w:cstheme="majorBidi"/>
          <w:sz w:val="20"/>
          <w:szCs w:val="20"/>
        </w:rPr>
        <w:t>accumulation des traductions contribue ainsi à exprimer la polysémie du texte d’origine, même si ces traductions, dans leur diversité, restent en deçà de la diversité des exégèses.</w:t>
      </w:r>
    </w:p>
    <w:p w14:paraId="6352D81B" w14:textId="77777777" w:rsidR="00A70B78" w:rsidRPr="00CE4FCD" w:rsidRDefault="00A70B78" w:rsidP="00A70B78">
      <w:pPr>
        <w:widowControl w:val="0"/>
        <w:autoSpaceDE w:val="0"/>
        <w:autoSpaceDN w:val="0"/>
        <w:adjustRightInd w:val="0"/>
        <w:ind w:firstLine="284"/>
        <w:contextualSpacing/>
        <w:jc w:val="both"/>
        <w:rPr>
          <w:rFonts w:asciiTheme="majorBidi" w:hAnsiTheme="majorBidi" w:cstheme="majorBidi"/>
          <w:sz w:val="20"/>
          <w:szCs w:val="20"/>
        </w:rPr>
      </w:pPr>
      <w:r w:rsidRPr="00CE4FCD">
        <w:rPr>
          <w:rFonts w:asciiTheme="majorBidi" w:hAnsiTheme="majorBidi" w:cstheme="majorBidi"/>
          <w:sz w:val="20"/>
          <w:szCs w:val="20"/>
        </w:rPr>
        <w:t>La thèse prend la sourate Al-</w:t>
      </w:r>
      <w:r w:rsidRPr="00CE4FCD">
        <w:rPr>
          <w:rFonts w:asciiTheme="majorBidi" w:eastAsia="Calibri" w:hAnsiTheme="majorBidi" w:cstheme="majorBidi"/>
          <w:bCs/>
          <w:iCs/>
          <w:sz w:val="20"/>
          <w:szCs w:val="20"/>
        </w:rPr>
        <w:t>Ḥ</w:t>
      </w:r>
      <w:r w:rsidRPr="00CE4FCD">
        <w:rPr>
          <w:rFonts w:asciiTheme="majorBidi" w:hAnsiTheme="majorBidi" w:cstheme="majorBidi"/>
          <w:sz w:val="20"/>
          <w:szCs w:val="20"/>
        </w:rPr>
        <w:t>ajj [le pèlerinage] comme exemple de cette problématique. Elle est articulée autour de deux axes de recherche :</w:t>
      </w:r>
    </w:p>
    <w:p w14:paraId="7C397B2A" w14:textId="77777777" w:rsidR="00A70B78" w:rsidRPr="00CE4FCD" w:rsidRDefault="00A70B78" w:rsidP="00A70B78">
      <w:pPr>
        <w:widowControl w:val="0"/>
        <w:numPr>
          <w:ilvl w:val="0"/>
          <w:numId w:val="11"/>
        </w:numPr>
        <w:tabs>
          <w:tab w:val="left" w:pos="220"/>
        </w:tabs>
        <w:autoSpaceDE w:val="0"/>
        <w:autoSpaceDN w:val="0"/>
        <w:adjustRightInd w:val="0"/>
        <w:ind w:left="0" w:firstLine="0"/>
        <w:contextualSpacing/>
        <w:jc w:val="both"/>
        <w:rPr>
          <w:rFonts w:asciiTheme="majorBidi" w:hAnsiTheme="majorBidi" w:cstheme="majorBidi"/>
          <w:sz w:val="20"/>
          <w:szCs w:val="20"/>
        </w:rPr>
      </w:pPr>
      <w:r w:rsidRPr="00CE4FCD">
        <w:rPr>
          <w:rFonts w:asciiTheme="majorBidi" w:hAnsiTheme="majorBidi" w:cstheme="majorBidi"/>
          <w:sz w:val="20"/>
          <w:szCs w:val="20"/>
        </w:rPr>
        <w:t>une étude de la polysémie du texte de départ (la sourate Al-</w:t>
      </w:r>
      <w:r w:rsidRPr="00CE4FCD">
        <w:rPr>
          <w:rFonts w:asciiTheme="majorBidi" w:eastAsia="Calibri" w:hAnsiTheme="majorBidi" w:cstheme="majorBidi"/>
          <w:bCs/>
          <w:iCs/>
          <w:sz w:val="20"/>
          <w:szCs w:val="20"/>
        </w:rPr>
        <w:t>Ḥ</w:t>
      </w:r>
      <w:r w:rsidRPr="00CE4FCD">
        <w:rPr>
          <w:rFonts w:asciiTheme="majorBidi" w:hAnsiTheme="majorBidi" w:cstheme="majorBidi"/>
          <w:sz w:val="20"/>
          <w:szCs w:val="20"/>
        </w:rPr>
        <w:t xml:space="preserve">ajj) : 1) Histoire concise de l’exégèse du Coran en relation avec la polysémie ; 2) Polysémie pronominale : au niveau des pronoms, des particules, des déictiques (embrayeurs), des clitiques ; 3) Polysémie lexicale : au niveau des mots ; 4) Polysémie des énoncés : au niveau des phrases : syntaxe, ponctuation, </w:t>
      </w:r>
      <w:r w:rsidRPr="00CE4FCD">
        <w:rPr>
          <w:rFonts w:asciiTheme="majorBidi" w:hAnsiTheme="majorBidi" w:cstheme="majorBidi"/>
          <w:sz w:val="20"/>
          <w:szCs w:val="20"/>
          <w:lang w:bidi="ar-AE"/>
        </w:rPr>
        <w:t>anastrophe</w:t>
      </w:r>
      <w:r w:rsidRPr="00CE4FCD">
        <w:rPr>
          <w:rFonts w:asciiTheme="majorBidi" w:hAnsiTheme="majorBidi" w:cstheme="majorBidi"/>
          <w:sz w:val="20"/>
          <w:szCs w:val="20"/>
        </w:rPr>
        <w:t>, omission, etc.</w:t>
      </w:r>
    </w:p>
    <w:p w14:paraId="44370806" w14:textId="77777777" w:rsidR="00A70B78" w:rsidRPr="00CE4FCD" w:rsidRDefault="00A70B78" w:rsidP="00A70B78">
      <w:pPr>
        <w:widowControl w:val="0"/>
        <w:numPr>
          <w:ilvl w:val="0"/>
          <w:numId w:val="11"/>
        </w:numPr>
        <w:autoSpaceDE w:val="0"/>
        <w:autoSpaceDN w:val="0"/>
        <w:adjustRightInd w:val="0"/>
        <w:ind w:left="0" w:firstLine="0"/>
        <w:contextualSpacing/>
        <w:jc w:val="both"/>
        <w:rPr>
          <w:rFonts w:asciiTheme="majorBidi" w:hAnsiTheme="majorBidi" w:cstheme="majorBidi"/>
          <w:sz w:val="20"/>
          <w:szCs w:val="20"/>
        </w:rPr>
      </w:pPr>
      <w:r w:rsidRPr="00CE4FCD">
        <w:rPr>
          <w:rFonts w:asciiTheme="majorBidi" w:hAnsiTheme="majorBidi" w:cstheme="majorBidi"/>
          <w:sz w:val="20"/>
          <w:szCs w:val="20"/>
        </w:rPr>
        <w:t>une étude de la polysémie du texte d’arrivée qui montre comment la traduction réduit et/ou modifie la polysémie. Cette partie est divisée en six chapitres : 1) Présentation succincte des traductions françaises du Coran à la lumière de la polysémie ; 2) Les tendances déformantes dans les traductions françaises de la sourate al-Ḥajj ; 3) Polysémie pronominale ; 4) Polysémie lexicale ; 5) Polysémie des énoncés ; 6) Convergences et divergences dans les traductions.</w:t>
      </w:r>
    </w:p>
    <w:p w14:paraId="0E3B9B22" w14:textId="77777777" w:rsidR="00A70B78" w:rsidRPr="00CE4FCD" w:rsidRDefault="00A70B78" w:rsidP="00A70B78">
      <w:pPr>
        <w:ind w:firstLine="284"/>
        <w:contextualSpacing/>
        <w:jc w:val="both"/>
        <w:rPr>
          <w:rFonts w:asciiTheme="majorBidi" w:hAnsiTheme="majorBidi" w:cstheme="majorBidi"/>
          <w:sz w:val="20"/>
          <w:szCs w:val="20"/>
        </w:rPr>
      </w:pPr>
      <w:r w:rsidRPr="00CE4FCD">
        <w:rPr>
          <w:rFonts w:asciiTheme="majorBidi" w:hAnsiTheme="majorBidi" w:cstheme="majorBidi"/>
          <w:sz w:val="20"/>
          <w:szCs w:val="20"/>
        </w:rPr>
        <w:t>Le corpus est constitué de 18 traductions représentatives de toutes les tendances et de toutes les périodes de l’histoire de la traduction française du Coran depuis 1647 jusqu’à 2010.</w:t>
      </w:r>
    </w:p>
    <w:p w14:paraId="1FBB2FBC" w14:textId="77777777" w:rsidR="00A70B78" w:rsidRPr="00CE4FCD" w:rsidRDefault="00A70B78" w:rsidP="00A70B78">
      <w:pPr>
        <w:ind w:firstLine="284"/>
        <w:contextualSpacing/>
        <w:jc w:val="both"/>
        <w:rPr>
          <w:rFonts w:asciiTheme="majorBidi" w:hAnsiTheme="majorBidi" w:cstheme="majorBidi"/>
          <w:sz w:val="20"/>
          <w:szCs w:val="20"/>
        </w:rPr>
      </w:pPr>
      <w:r w:rsidRPr="00CE4FCD">
        <w:rPr>
          <w:rFonts w:asciiTheme="majorBidi" w:hAnsiTheme="majorBidi" w:cstheme="majorBidi"/>
          <w:sz w:val="20"/>
          <w:szCs w:val="20"/>
        </w:rPr>
        <w:t>Constituant un espace clos qui évolue indépendamment de l’exégèse vers plus de littéralité, les traductions se rejoignent, se complètent, reflètent dans leur diversité avec légère modification une grande partie de la polysémie réunie et concentrée dans le texte de départ mais sporadique, éparse et dispersée dans les traductions.</w:t>
      </w:r>
    </w:p>
    <w:p w14:paraId="6B23049A" w14:textId="77777777" w:rsidR="00A70B78" w:rsidRPr="00CE4FCD" w:rsidRDefault="00A70B78" w:rsidP="00A70B78">
      <w:pPr>
        <w:contextualSpacing/>
        <w:jc w:val="both"/>
        <w:rPr>
          <w:rFonts w:asciiTheme="majorBidi" w:hAnsiTheme="majorBidi" w:cstheme="majorBidi"/>
          <w:sz w:val="20"/>
          <w:szCs w:val="20"/>
        </w:rPr>
      </w:pPr>
      <w:r w:rsidRPr="00CE4FCD">
        <w:rPr>
          <w:rFonts w:asciiTheme="majorBidi" w:hAnsiTheme="majorBidi" w:cstheme="majorBidi"/>
          <w:b/>
          <w:bCs/>
          <w:sz w:val="20"/>
          <w:szCs w:val="20"/>
        </w:rPr>
        <w:t>Mots clés :</w:t>
      </w:r>
      <w:r w:rsidRPr="00CE4FCD">
        <w:rPr>
          <w:rFonts w:asciiTheme="majorBidi" w:hAnsiTheme="majorBidi" w:cstheme="majorBidi"/>
          <w:sz w:val="20"/>
          <w:szCs w:val="20"/>
        </w:rPr>
        <w:t xml:space="preserve"> Coran, polysémie (pronominale, lexicale, des énoncés), exégèse coranique (</w:t>
      </w:r>
      <w:r w:rsidRPr="00CE4FCD">
        <w:rPr>
          <w:rFonts w:asciiTheme="majorBidi" w:hAnsiTheme="majorBidi" w:cstheme="majorBidi"/>
          <w:i/>
          <w:sz w:val="20"/>
          <w:szCs w:val="20"/>
        </w:rPr>
        <w:t>tafsīr</w:t>
      </w:r>
      <w:r w:rsidRPr="00CE4FCD">
        <w:rPr>
          <w:rFonts w:asciiTheme="majorBidi" w:hAnsiTheme="majorBidi" w:cstheme="majorBidi"/>
          <w:sz w:val="20"/>
          <w:szCs w:val="20"/>
        </w:rPr>
        <w:t>), traductologie,</w:t>
      </w:r>
      <w:r w:rsidRPr="00CE4FCD">
        <w:rPr>
          <w:rFonts w:asciiTheme="majorBidi" w:eastAsia="Calibri" w:hAnsiTheme="majorBidi" w:cstheme="majorBidi"/>
          <w:sz w:val="20"/>
          <w:szCs w:val="20"/>
        </w:rPr>
        <w:t xml:space="preserve"> analyse des traductions, histoire des traductions.</w:t>
      </w:r>
    </w:p>
    <w:p w14:paraId="397488D3" w14:textId="77777777" w:rsidR="00A70B78" w:rsidRPr="00CE4FCD" w:rsidRDefault="00A70B78" w:rsidP="00A70B78">
      <w:pPr>
        <w:contextualSpacing/>
        <w:jc w:val="center"/>
        <w:rPr>
          <w:rFonts w:asciiTheme="majorBidi" w:eastAsia="Calibri" w:hAnsiTheme="majorBidi" w:cstheme="majorBidi"/>
          <w:b/>
          <w:bCs/>
          <w:sz w:val="20"/>
          <w:szCs w:val="20"/>
        </w:rPr>
      </w:pPr>
      <w:r w:rsidRPr="00CE4FCD">
        <w:rPr>
          <w:rFonts w:asciiTheme="majorBidi" w:eastAsia="Calibri" w:hAnsiTheme="majorBidi" w:cstheme="majorBidi"/>
          <w:b/>
          <w:bCs/>
          <w:sz w:val="20"/>
          <w:szCs w:val="20"/>
        </w:rPr>
        <w:t>Abstract</w:t>
      </w:r>
    </w:p>
    <w:p w14:paraId="46B1CA50" w14:textId="77777777" w:rsidR="00A70B78" w:rsidRPr="00CE4FCD" w:rsidRDefault="00A70B78" w:rsidP="00A70B78">
      <w:pPr>
        <w:contextualSpacing/>
        <w:jc w:val="center"/>
        <w:rPr>
          <w:rFonts w:asciiTheme="majorBidi" w:eastAsia="Calibri" w:hAnsiTheme="majorBidi" w:cstheme="majorBidi"/>
          <w:b/>
          <w:bCs/>
          <w:i/>
          <w:iCs/>
          <w:sz w:val="20"/>
          <w:szCs w:val="20"/>
        </w:rPr>
      </w:pPr>
      <w:r w:rsidRPr="00CE4FCD">
        <w:rPr>
          <w:rFonts w:asciiTheme="majorBidi" w:eastAsia="Calibri" w:hAnsiTheme="majorBidi" w:cstheme="majorBidi"/>
          <w:b/>
          <w:bCs/>
          <w:i/>
          <w:iCs/>
          <w:sz w:val="20"/>
          <w:szCs w:val="20"/>
        </w:rPr>
        <w:t>Polysemic and translatological approach of the Koran.</w:t>
      </w:r>
    </w:p>
    <w:p w14:paraId="2DAB39BA" w14:textId="77777777" w:rsidR="00A70B78" w:rsidRPr="00CE4FCD" w:rsidRDefault="00A70B78" w:rsidP="00A70B78">
      <w:pPr>
        <w:contextualSpacing/>
        <w:jc w:val="center"/>
        <w:rPr>
          <w:rFonts w:asciiTheme="majorBidi" w:eastAsia="Calibri" w:hAnsiTheme="majorBidi" w:cstheme="majorBidi"/>
          <w:b/>
          <w:bCs/>
          <w:i/>
          <w:iCs/>
          <w:sz w:val="20"/>
          <w:szCs w:val="20"/>
        </w:rPr>
      </w:pPr>
      <w:r w:rsidRPr="00CE4FCD">
        <w:rPr>
          <w:rFonts w:asciiTheme="majorBidi" w:eastAsia="Calibri" w:hAnsiTheme="majorBidi" w:cstheme="majorBidi"/>
          <w:b/>
          <w:bCs/>
          <w:i/>
          <w:iCs/>
          <w:sz w:val="20"/>
          <w:szCs w:val="20"/>
        </w:rPr>
        <w:t>The Surah XXII (Al-Ḥajj [the pilgrimage]) as a model</w:t>
      </w:r>
    </w:p>
    <w:p w14:paraId="1CD2662B" w14:textId="77777777" w:rsidR="00A70B78" w:rsidRPr="00CE4FCD" w:rsidRDefault="00A70B78" w:rsidP="00A70B78">
      <w:pPr>
        <w:ind w:firstLine="720"/>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According to Islamic tradition, one of the core characteristics of the Quran is that it is a polysemic text par excellence (</w:t>
      </w:r>
      <w:r w:rsidRPr="00CE4FCD">
        <w:rPr>
          <w:rFonts w:asciiTheme="majorBidi" w:eastAsia="Calibri" w:hAnsiTheme="majorBidi" w:cstheme="majorBidi"/>
          <w:i/>
          <w:iCs/>
          <w:sz w:val="20"/>
          <w:szCs w:val="20"/>
          <w:lang w:val="en-GB"/>
        </w:rPr>
        <w:t>ḥammāl dhū wujūh</w:t>
      </w:r>
      <w:r w:rsidRPr="00CE4FCD">
        <w:rPr>
          <w:rFonts w:asciiTheme="majorBidi" w:eastAsia="Calibri" w:hAnsiTheme="majorBidi" w:cstheme="majorBidi"/>
          <w:sz w:val="20"/>
          <w:szCs w:val="20"/>
          <w:lang w:val="en-GB"/>
        </w:rPr>
        <w:t>, bearer of several faces). To say that the Quranic text is polysemic implies that its various exegeses are as many possible readings of it, which implies in turn that its translations are also as many readings that complete each other. The accumulation of translations is thus another expression of the polysemy of the original text, even if the diversity of these translations does not match that of the exegeses.</w:t>
      </w:r>
    </w:p>
    <w:p w14:paraId="4EA6520B" w14:textId="77777777" w:rsidR="00A70B78" w:rsidRPr="00CE4FCD" w:rsidRDefault="00A70B78" w:rsidP="00A70B78">
      <w:pPr>
        <w:ind w:firstLine="720"/>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The thesis deals with the analysis of the Surah of Al-Ḥajj [pilgrimage] (n° 22) and it is based on two research axes:</w:t>
      </w:r>
    </w:p>
    <w:p w14:paraId="5DA64257" w14:textId="77777777" w:rsidR="00A70B78" w:rsidRPr="00CE4FCD" w:rsidRDefault="00A70B78" w:rsidP="00A70B78">
      <w:pPr>
        <w:pStyle w:val="Paragraphedeliste"/>
        <w:numPr>
          <w:ilvl w:val="0"/>
          <w:numId w:val="14"/>
        </w:numPr>
        <w:bidi w:val="0"/>
        <w:spacing w:after="0" w:line="240" w:lineRule="auto"/>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a study of the polysemy of the original text (Surah of Al-Ḥajj):</w:t>
      </w:r>
    </w:p>
    <w:p w14:paraId="4E4BF559" w14:textId="77777777" w:rsidR="00A70B78" w:rsidRPr="00CE4FCD" w:rsidRDefault="00A70B78" w:rsidP="00A70B78">
      <w:pPr>
        <w:pStyle w:val="Paragraphedeliste"/>
        <w:numPr>
          <w:ilvl w:val="1"/>
          <w:numId w:val="14"/>
        </w:numPr>
        <w:bidi w:val="0"/>
        <w:spacing w:after="0" w:line="240" w:lineRule="auto"/>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Concise History of the Exegesis of the Koran in Relation to Polysemy ;</w:t>
      </w:r>
    </w:p>
    <w:p w14:paraId="531026D5" w14:textId="77777777" w:rsidR="00A70B78" w:rsidRPr="00CE4FCD" w:rsidRDefault="00A70B78" w:rsidP="00A70B78">
      <w:pPr>
        <w:pStyle w:val="Paragraphedeliste"/>
        <w:numPr>
          <w:ilvl w:val="1"/>
          <w:numId w:val="14"/>
        </w:numPr>
        <w:bidi w:val="0"/>
        <w:spacing w:after="0" w:line="240" w:lineRule="auto"/>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Pronominal polysemy: at the level of pronouns, particles, deictics (clutches), clitics;</w:t>
      </w:r>
    </w:p>
    <w:p w14:paraId="2DAE8881" w14:textId="77777777" w:rsidR="00A70B78" w:rsidRPr="00CE4FCD" w:rsidRDefault="00A70B78" w:rsidP="00A70B78">
      <w:pPr>
        <w:pStyle w:val="Paragraphedeliste"/>
        <w:numPr>
          <w:ilvl w:val="1"/>
          <w:numId w:val="14"/>
        </w:numPr>
        <w:bidi w:val="0"/>
        <w:spacing w:after="0" w:line="240" w:lineRule="auto"/>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Lexical polysemy: at the word level;</w:t>
      </w:r>
    </w:p>
    <w:p w14:paraId="1BB78F83" w14:textId="77777777" w:rsidR="00A70B78" w:rsidRPr="00CE4FCD" w:rsidRDefault="00A70B78" w:rsidP="00A70B78">
      <w:pPr>
        <w:pStyle w:val="Paragraphedeliste"/>
        <w:numPr>
          <w:ilvl w:val="1"/>
          <w:numId w:val="14"/>
        </w:numPr>
        <w:bidi w:val="0"/>
        <w:spacing w:after="0" w:line="240" w:lineRule="auto"/>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Polysemy of utterances: at the level of sentences: syntax, punctuation, anastrophe, omission, etc.</w:t>
      </w:r>
    </w:p>
    <w:p w14:paraId="6C09557A" w14:textId="77777777" w:rsidR="00A70B78" w:rsidRPr="00CE4FCD" w:rsidRDefault="00A70B78" w:rsidP="00A70B78">
      <w:pPr>
        <w:pStyle w:val="Paragraphedeliste"/>
        <w:numPr>
          <w:ilvl w:val="0"/>
          <w:numId w:val="14"/>
        </w:numPr>
        <w:bidi w:val="0"/>
        <w:spacing w:after="0" w:line="240" w:lineRule="auto"/>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A study of the polysemy of the final text (18 French translations) to show how translation reduces and/or modifies polysemy. This part is divided into six chapters: 1) Short presentation of the French translations of the Quran in the light of polysemy; 2) The distorting tendencies in the French translations of the surah of al-Ḥajj; 3) Pronominal polysemy; 4) Lexical polysemy; 5) polysemy of utterances; 6)</w:t>
      </w:r>
      <w:r w:rsidRPr="00CE4FCD">
        <w:rPr>
          <w:rFonts w:asciiTheme="majorBidi" w:hAnsiTheme="majorBidi" w:cstheme="majorBidi"/>
          <w:sz w:val="20"/>
          <w:szCs w:val="20"/>
          <w:lang w:val="en-GB"/>
        </w:rPr>
        <w:t xml:space="preserve"> </w:t>
      </w:r>
      <w:r w:rsidRPr="00CE4FCD">
        <w:rPr>
          <w:rFonts w:asciiTheme="majorBidi" w:eastAsia="Calibri" w:hAnsiTheme="majorBidi" w:cstheme="majorBidi"/>
          <w:sz w:val="20"/>
          <w:szCs w:val="20"/>
          <w:lang w:val="en-GB"/>
        </w:rPr>
        <w:t>Convergences and divergences in translations.</w:t>
      </w:r>
    </w:p>
    <w:p w14:paraId="3D210EB3" w14:textId="77777777" w:rsidR="00A70B78" w:rsidRPr="00CE4FCD" w:rsidRDefault="00A70B78" w:rsidP="00A70B78">
      <w:pPr>
        <w:ind w:firstLine="360"/>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The corpus of translations (18 translations) covers all the periods of the history of the translation of the Koran from 1647 until 2010 in order to see the evolution of the translation of the Koranic text.</w:t>
      </w:r>
    </w:p>
    <w:p w14:paraId="383DB9BA" w14:textId="77777777" w:rsidR="00A70B78" w:rsidRPr="00CE4FCD" w:rsidRDefault="00A70B78" w:rsidP="00A70B78">
      <w:pPr>
        <w:ind w:firstLine="360"/>
        <w:contextualSpacing/>
        <w:jc w:val="both"/>
        <w:rPr>
          <w:rFonts w:asciiTheme="majorBidi" w:eastAsia="Calibri" w:hAnsiTheme="majorBidi" w:cstheme="majorBidi"/>
          <w:sz w:val="20"/>
          <w:szCs w:val="20"/>
          <w:lang w:val="en-GB"/>
        </w:rPr>
      </w:pPr>
      <w:r w:rsidRPr="00CE4FCD">
        <w:rPr>
          <w:rFonts w:asciiTheme="majorBidi" w:eastAsia="Calibri" w:hAnsiTheme="majorBidi" w:cstheme="majorBidi"/>
          <w:sz w:val="20"/>
          <w:szCs w:val="20"/>
          <w:lang w:val="en-GB"/>
        </w:rPr>
        <w:t>As a closed space that evolves independently from exegesis to more literality, the translations meet and complement each other, reflecting in their diversity with slight modification a large part of the polysemy united and concentrated in the original text but sporadic, sparse and Dispersed in the translations.</w:t>
      </w:r>
    </w:p>
    <w:p w14:paraId="76D051DF" w14:textId="775CF1C8" w:rsidR="00F324A5" w:rsidRDefault="00A70B78" w:rsidP="00F324A5">
      <w:pPr>
        <w:shd w:val="clear" w:color="auto" w:fill="FFFFFF"/>
        <w:ind w:firstLine="720"/>
        <w:contextualSpacing/>
        <w:jc w:val="both"/>
        <w:rPr>
          <w:rFonts w:asciiTheme="majorBidi" w:eastAsia="Calibri" w:hAnsiTheme="majorBidi" w:cstheme="majorBidi"/>
          <w:sz w:val="20"/>
          <w:szCs w:val="20"/>
        </w:rPr>
      </w:pPr>
      <w:r w:rsidRPr="00CE4FCD">
        <w:rPr>
          <w:rFonts w:asciiTheme="majorBidi" w:eastAsia="Calibri" w:hAnsiTheme="majorBidi" w:cstheme="majorBidi"/>
          <w:b/>
          <w:bCs/>
          <w:sz w:val="20"/>
          <w:szCs w:val="20"/>
        </w:rPr>
        <w:t>Keywords :</w:t>
      </w:r>
      <w:r w:rsidRPr="00CE4FCD">
        <w:rPr>
          <w:rFonts w:asciiTheme="majorBidi" w:eastAsia="Calibri" w:hAnsiTheme="majorBidi" w:cstheme="majorBidi"/>
          <w:sz w:val="20"/>
          <w:szCs w:val="20"/>
        </w:rPr>
        <w:t xml:space="preserve"> Quran, Polysemy (pronominal, lexical, of utterances), Quranic exegesis </w:t>
      </w:r>
      <w:r w:rsidRPr="00CE4FCD">
        <w:rPr>
          <w:rFonts w:asciiTheme="majorBidi" w:hAnsiTheme="majorBidi" w:cstheme="majorBidi"/>
          <w:sz w:val="20"/>
          <w:szCs w:val="20"/>
        </w:rPr>
        <w:t>(</w:t>
      </w:r>
      <w:r w:rsidRPr="00CE4FCD">
        <w:rPr>
          <w:rFonts w:asciiTheme="majorBidi" w:hAnsiTheme="majorBidi" w:cstheme="majorBidi"/>
          <w:i/>
          <w:sz w:val="20"/>
          <w:szCs w:val="20"/>
        </w:rPr>
        <w:t>tafsīr</w:t>
      </w:r>
      <w:r w:rsidRPr="00CE4FCD">
        <w:rPr>
          <w:rFonts w:asciiTheme="majorBidi" w:hAnsiTheme="majorBidi" w:cstheme="majorBidi"/>
          <w:sz w:val="20"/>
          <w:szCs w:val="20"/>
        </w:rPr>
        <w:t>)</w:t>
      </w:r>
      <w:r w:rsidRPr="00CE4FCD">
        <w:rPr>
          <w:rFonts w:asciiTheme="majorBidi" w:eastAsia="Calibri" w:hAnsiTheme="majorBidi" w:cstheme="majorBidi"/>
          <w:sz w:val="20"/>
          <w:szCs w:val="20"/>
        </w:rPr>
        <w:t>, Translation Studies, analysis of translations, history of translations.</w:t>
      </w:r>
      <w:r w:rsidR="00F324A5">
        <w:rPr>
          <w:rFonts w:asciiTheme="majorBidi" w:eastAsia="Calibri" w:hAnsiTheme="majorBidi" w:cstheme="majorBidi"/>
          <w:sz w:val="20"/>
          <w:szCs w:val="20"/>
        </w:rPr>
        <w:br w:type="page"/>
      </w:r>
    </w:p>
    <w:p w14:paraId="71CD0D0B" w14:textId="77777777" w:rsidR="002C3F12" w:rsidRDefault="002C3F12" w:rsidP="002C3F12">
      <w:pPr>
        <w:contextualSpacing/>
        <w:jc w:val="center"/>
        <w:rPr>
          <w:rFonts w:asciiTheme="majorBidi" w:hAnsiTheme="majorBidi" w:cstheme="majorBidi"/>
          <w:b/>
          <w:bCs/>
        </w:rPr>
      </w:pPr>
    </w:p>
    <w:p w14:paraId="627A4CEA" w14:textId="77777777" w:rsidR="002C3F12" w:rsidRDefault="002C3F12" w:rsidP="002C3F12">
      <w:pPr>
        <w:contextualSpacing/>
        <w:jc w:val="center"/>
        <w:rPr>
          <w:rFonts w:asciiTheme="majorBidi" w:hAnsiTheme="majorBidi" w:cstheme="majorBidi"/>
          <w:b/>
          <w:bCs/>
        </w:rPr>
      </w:pPr>
    </w:p>
    <w:p w14:paraId="08E598D5" w14:textId="77777777" w:rsidR="002C3F12" w:rsidRDefault="002C3F12" w:rsidP="002C3F12">
      <w:pPr>
        <w:contextualSpacing/>
        <w:jc w:val="center"/>
        <w:rPr>
          <w:rFonts w:asciiTheme="majorBidi" w:hAnsiTheme="majorBidi" w:cstheme="majorBidi"/>
          <w:b/>
          <w:bCs/>
        </w:rPr>
      </w:pPr>
    </w:p>
    <w:p w14:paraId="6B24E577" w14:textId="77777777" w:rsidR="002C3F12" w:rsidRDefault="002C3F12" w:rsidP="002C3F12">
      <w:pPr>
        <w:contextualSpacing/>
        <w:jc w:val="center"/>
        <w:rPr>
          <w:rFonts w:asciiTheme="majorBidi" w:hAnsiTheme="majorBidi" w:cstheme="majorBidi"/>
          <w:b/>
          <w:bCs/>
        </w:rPr>
      </w:pPr>
    </w:p>
    <w:p w14:paraId="0183E804" w14:textId="77777777" w:rsidR="002C3F12" w:rsidRDefault="002C3F12" w:rsidP="002C3F12">
      <w:pPr>
        <w:contextualSpacing/>
        <w:jc w:val="center"/>
        <w:rPr>
          <w:rFonts w:asciiTheme="majorBidi" w:hAnsiTheme="majorBidi" w:cstheme="majorBidi"/>
          <w:b/>
          <w:bCs/>
        </w:rPr>
      </w:pPr>
    </w:p>
    <w:p w14:paraId="3C689694" w14:textId="77777777" w:rsidR="002C3F12" w:rsidRDefault="002C3F12" w:rsidP="002C3F12">
      <w:pPr>
        <w:contextualSpacing/>
        <w:jc w:val="center"/>
        <w:rPr>
          <w:rFonts w:asciiTheme="majorBidi" w:hAnsiTheme="majorBidi" w:cstheme="majorBidi"/>
          <w:b/>
          <w:bCs/>
        </w:rPr>
      </w:pPr>
    </w:p>
    <w:p w14:paraId="13657D4B" w14:textId="77777777" w:rsidR="002C3F12" w:rsidRDefault="002C3F12" w:rsidP="002C3F12">
      <w:pPr>
        <w:contextualSpacing/>
        <w:jc w:val="center"/>
        <w:rPr>
          <w:rFonts w:asciiTheme="majorBidi" w:hAnsiTheme="majorBidi" w:cstheme="majorBidi"/>
          <w:b/>
          <w:bCs/>
        </w:rPr>
      </w:pPr>
    </w:p>
    <w:p w14:paraId="378456CD" w14:textId="77777777" w:rsidR="002C3F12" w:rsidRDefault="002C3F12" w:rsidP="002C3F12">
      <w:pPr>
        <w:contextualSpacing/>
        <w:jc w:val="center"/>
        <w:rPr>
          <w:rFonts w:asciiTheme="majorBidi" w:hAnsiTheme="majorBidi" w:cstheme="majorBidi"/>
          <w:b/>
          <w:bCs/>
        </w:rPr>
      </w:pPr>
    </w:p>
    <w:p w14:paraId="6B02C4EC" w14:textId="77777777" w:rsidR="002C3F12" w:rsidRDefault="002C3F12" w:rsidP="002C3F12">
      <w:pPr>
        <w:contextualSpacing/>
        <w:jc w:val="center"/>
        <w:rPr>
          <w:rFonts w:asciiTheme="majorBidi" w:hAnsiTheme="majorBidi" w:cstheme="majorBidi"/>
          <w:b/>
          <w:bCs/>
        </w:rPr>
      </w:pPr>
    </w:p>
    <w:p w14:paraId="64497264" w14:textId="77777777" w:rsidR="002C3F12" w:rsidRDefault="002C3F12" w:rsidP="002C3F12">
      <w:pPr>
        <w:contextualSpacing/>
        <w:jc w:val="center"/>
        <w:rPr>
          <w:rFonts w:asciiTheme="majorBidi" w:hAnsiTheme="majorBidi" w:cstheme="majorBidi"/>
          <w:b/>
          <w:bCs/>
        </w:rPr>
      </w:pPr>
    </w:p>
    <w:p w14:paraId="179CB4B4" w14:textId="77777777" w:rsidR="002C3F12" w:rsidRPr="002C3F12" w:rsidRDefault="002C3F12" w:rsidP="002C3F12">
      <w:pPr>
        <w:contextualSpacing/>
        <w:jc w:val="center"/>
        <w:rPr>
          <w:rFonts w:asciiTheme="majorBidi" w:hAnsiTheme="majorBidi" w:cstheme="majorBidi"/>
          <w:b/>
          <w:bCs/>
          <w:sz w:val="52"/>
          <w:szCs w:val="52"/>
        </w:rPr>
      </w:pPr>
      <w:r w:rsidRPr="002C3F12">
        <w:rPr>
          <w:rFonts w:asciiTheme="majorBidi" w:hAnsiTheme="majorBidi" w:cstheme="majorBidi"/>
          <w:b/>
          <w:bCs/>
          <w:sz w:val="52"/>
          <w:szCs w:val="52"/>
        </w:rPr>
        <w:t>Annexes</w:t>
      </w:r>
    </w:p>
    <w:p w14:paraId="0C78F6B2" w14:textId="77777777" w:rsidR="002C3F12" w:rsidRDefault="002C3F12" w:rsidP="00F324A5">
      <w:pPr>
        <w:contextualSpacing/>
        <w:jc w:val="center"/>
        <w:rPr>
          <w:rFonts w:asciiTheme="majorBidi" w:hAnsiTheme="majorBidi" w:cstheme="majorBidi"/>
          <w:b/>
          <w:bCs/>
        </w:rPr>
      </w:pPr>
      <w:r>
        <w:rPr>
          <w:rFonts w:asciiTheme="majorBidi" w:hAnsiTheme="majorBidi" w:cstheme="majorBidi"/>
          <w:b/>
          <w:bCs/>
        </w:rPr>
        <w:br w:type="page"/>
      </w:r>
    </w:p>
    <w:p w14:paraId="4E989F1F" w14:textId="7206DDD4" w:rsidR="00F324A5" w:rsidRPr="00EC1FBB" w:rsidRDefault="00F324A5" w:rsidP="00F324A5">
      <w:pPr>
        <w:contextualSpacing/>
        <w:jc w:val="center"/>
        <w:rPr>
          <w:rFonts w:asciiTheme="majorBidi" w:hAnsiTheme="majorBidi" w:cstheme="majorBidi"/>
          <w:b/>
          <w:bCs/>
        </w:rPr>
      </w:pPr>
      <w:r w:rsidRPr="00EC1FBB">
        <w:rPr>
          <w:rFonts w:asciiTheme="majorBidi" w:hAnsiTheme="majorBidi" w:cstheme="majorBidi"/>
          <w:b/>
          <w:bCs/>
        </w:rPr>
        <w:lastRenderedPageBreak/>
        <w:t>Annexes</w:t>
      </w:r>
    </w:p>
    <w:p w14:paraId="501D440C" w14:textId="77777777" w:rsidR="00F324A5" w:rsidRPr="00EC1FBB" w:rsidRDefault="00F324A5" w:rsidP="00F324A5">
      <w:pPr>
        <w:contextualSpacing/>
        <w:jc w:val="center"/>
        <w:rPr>
          <w:rFonts w:asciiTheme="majorBidi" w:hAnsiTheme="majorBidi" w:cstheme="majorBidi"/>
          <w:b/>
          <w:bCs/>
        </w:rPr>
      </w:pPr>
      <w:r w:rsidRPr="00EC1FBB">
        <w:rPr>
          <w:rFonts w:asciiTheme="majorBidi" w:hAnsiTheme="majorBidi" w:cstheme="majorBidi"/>
          <w:b/>
          <w:bCs/>
        </w:rPr>
        <w:t>Sourate 22 (al-Ḥajj [le pèlerinage]) et ses traductions en français</w:t>
      </w:r>
    </w:p>
    <w:p w14:paraId="0DC86DC2" w14:textId="77777777" w:rsidR="00F324A5" w:rsidRPr="00EC1FBB" w:rsidRDefault="00F324A5" w:rsidP="00F324A5">
      <w:pPr>
        <w:contextualSpacing/>
        <w:jc w:val="center"/>
        <w:rPr>
          <w:rFonts w:asciiTheme="majorBidi" w:hAnsiTheme="majorBidi" w:cstheme="majorBidi"/>
          <w:b/>
          <w:bCs/>
        </w:rPr>
      </w:pPr>
    </w:p>
    <w:p w14:paraId="5D276672" w14:textId="77777777" w:rsidR="00F324A5" w:rsidRPr="00EC1FBB" w:rsidRDefault="00F324A5" w:rsidP="00F324A5">
      <w:pPr>
        <w:contextualSpacing/>
        <w:jc w:val="center"/>
        <w:rPr>
          <w:rFonts w:asciiTheme="majorBidi" w:hAnsiTheme="majorBidi" w:cstheme="majorBidi"/>
          <w:b/>
          <w:bCs/>
        </w:rPr>
      </w:pPr>
      <w:r w:rsidRPr="00EC1FBB">
        <w:rPr>
          <w:rFonts w:asciiTheme="majorBidi" w:hAnsiTheme="majorBidi" w:cstheme="majorBidi"/>
          <w:b/>
          <w:bCs/>
        </w:rPr>
        <w:t>Le texte arabe</w:t>
      </w:r>
    </w:p>
    <w:p w14:paraId="08432BEC" w14:textId="680D6142" w:rsidR="00F324A5" w:rsidRPr="00354593" w:rsidRDefault="00F324A5" w:rsidP="00354593">
      <w:pPr>
        <w:contextualSpacing/>
        <w:jc w:val="center"/>
        <w:rPr>
          <w:rFonts w:asciiTheme="majorBidi" w:hAnsiTheme="majorBidi" w:cstheme="majorBidi"/>
          <w:b/>
          <w:bCs/>
        </w:rPr>
      </w:pPr>
      <w:r w:rsidRPr="00EC1FBB">
        <w:rPr>
          <w:rFonts w:asciiTheme="majorBidi" w:hAnsiTheme="majorBidi" w:cstheme="majorBidi"/>
          <w:b/>
          <w:bCs/>
          <w:rtl/>
        </w:rPr>
        <w:t>سورة الحج - سورة 22 - عدد آياتها 78</w:t>
      </w:r>
    </w:p>
    <w:p w14:paraId="514F1A42" w14:textId="77777777" w:rsidR="00354593" w:rsidRPr="00354593" w:rsidRDefault="00354593" w:rsidP="00354593">
      <w:pPr>
        <w:contextualSpacing/>
        <w:jc w:val="center"/>
        <w:rPr>
          <w:rFonts w:ascii="-webkit-standard" w:hAnsi="-webkit-standard"/>
          <w:color w:val="000000"/>
          <w:sz w:val="32"/>
          <w:szCs w:val="32"/>
        </w:rPr>
      </w:pPr>
      <w:r w:rsidRPr="00354593">
        <w:rPr>
          <w:rFonts w:ascii="Traditional Arabic" w:hAnsi="Traditional Arabic" w:cs="Traditional Arabic"/>
          <w:color w:val="000000"/>
          <w:sz w:val="32"/>
          <w:szCs w:val="32"/>
          <w:rtl/>
        </w:rPr>
        <w:t>بسم الله الرحمن الرحيم</w:t>
      </w:r>
    </w:p>
    <w:p w14:paraId="62AF3788"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Pr>
      </w:pPr>
      <w:r w:rsidRPr="00354593">
        <w:rPr>
          <w:rFonts w:ascii="Traditional Arabic" w:hAnsi="Traditional Arabic" w:cs="Traditional Arabic"/>
          <w:color w:val="000000"/>
          <w:sz w:val="32"/>
          <w:szCs w:val="32"/>
          <w:rtl/>
        </w:rPr>
        <w:t>يَا أَيُّهَا النَّاسُ اتَّقُوا رَبَّكُمْ إِنَّ زَلْزَلَةَ السَّاعَةِ شَيْءٌ عَظِيمٌ</w:t>
      </w:r>
    </w:p>
    <w:p w14:paraId="76F24946"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يَوْمَ تَرَوْنَهَا تَذْهَلُ كُلُّ مُرْضِعَةٍ عَمَّا أَرْضَعَتْ وَتَضَعُ كُلُّ ذَاتِ حَمْلٍ حَمْلَهَا وَتَرَى النَّاسَ سُكَارَى وَمَا هُم بِسُكَارَى وَلَكِنَّ عَذَابَ اللَّهِ شَدِيدٌ</w:t>
      </w:r>
    </w:p>
    <w:p w14:paraId="47F1FFB6"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وَمِنَ النَّاسِ مَن يُجَادِلُ فِي اللَّهِ بِغَيْرِ عِلْمٍ وَيَتَّبِعُ كُلَّ شَيْطَانٍ مَّرِيدٍ</w:t>
      </w:r>
    </w:p>
    <w:p w14:paraId="29EBB792"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كُتِبَ عَلَيْهِ أَنَّهُ مَن تَوَلاَّهُ فَأَنَّهُ يُضِلُّهُ وَيَهْدِيهِ إِلَى عَذَابِ السَّعِيرِ</w:t>
      </w:r>
    </w:p>
    <w:p w14:paraId="52EE1655"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يَا أَيُّهَا النَّاسُ إِن كُنتُمْ فِي رَيْبٍ مِّنَ الْبَعْثِ فَإِنَّا خَلَقْنَاكُم مِّن تُرَابٍ ثُمَّ مِن نُّطْفَةٍ ثُمَّ مِنْ عَلَقَةٍ ثُمَّ مِن مُّضْغَةٍ مُّخَلَّقَةٍ وَغَيْرِ مُخَلَّقَةٍ لِّنُبَيِّنَ لَكُمْ وَنُقِرُّ فِي الأَرْحَامِ مَا نَشَاء إِلَى أَجَلٍ مُّسَمًّى ثُمَّ نُخْرِجُكُمْ طِفْلا ثُمَّ لِتَبْلُغُوا أَشُدَّكُمْ وَمِنكُم مَّن يُتَوَفَّى وَمِنكُم مَّن يُرَدُّ إِلَى أَرْذَلِ الْعُمُرِ لِكَيْلا يَعْلَمَ مِن بَعْدِ عِلْمٍ شَيْئًا وَتَرَى الأَرْضَ هَامِدَةً فَإِذَا أَنزَلْنَا عَلَيْهَا الْمَاء اهْتَزَّتْ وَرَبَتْ وَأَنبَتَتْ مِن كُلِّ زَوْجٍ بَهِيجٍ</w:t>
      </w:r>
    </w:p>
    <w:p w14:paraId="12DBA0DC"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ذَلِكَ بِأَنَّ اللَّهَ هُوَ الْحَقُّ وَأَنَّهُ يُحْيِي الْمَوْتَى وَأَنَّهُ عَلَى كُلِّ شَيْءٍ قَدِيرٌ</w:t>
      </w:r>
    </w:p>
    <w:p w14:paraId="0EB6D391"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وَأَنَّ السَّاعَةَ آتِيَةٌ لّا رَيْبَ فِيهَا وَأَنَّ اللَّهَ يَبْعَثُ مَن فِي الْقُبُورِ</w:t>
      </w:r>
    </w:p>
    <w:p w14:paraId="16DF2BA2"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وَمِنَ النَّاسِ مَن يُجَادِلُ فِي اللَّهِ بِغَيْرِ عِلْمٍ وَلا هُدًى وَلا كِتَابٍ مُّنِيرٍ</w:t>
      </w:r>
    </w:p>
    <w:p w14:paraId="0A99A40C"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ثَانِيَ عِطْفِهِ لِيُضِلَّ عَن سَبِيلِ اللَّهِ لَهُ فِي الدُّنْيَا خِزْيٌ وَنُذِيقُهُ يَوْمَ الْقِيَامَةِ عَذَابَ الْحَرِيقِ</w:t>
      </w:r>
    </w:p>
    <w:p w14:paraId="43370AB2"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ذَلِكَ بِمَا قَدَّمَتْ يَدَاكَ وَأَنَّ اللَّهَ لَيْسَ بِظَلاَّمٍ لِّلْعَبِيدِ</w:t>
      </w:r>
    </w:p>
    <w:p w14:paraId="31A21A31"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وَمِنَ النَّاسِ مَن يَعْبُدُ اللَّهَ عَلَى حَرْفٍ فَإِنْ أَصَابَهُ خَيْرٌ اطْمَأَنَّ بِهِ وَإِنْ أَصَابَتْهُ فِتْنَةٌ انقَلَبَ عَلَى وَجْهِهِ خَسِرَ الدُّنْيَا وَالآخِرَةَ ذَلِكَ هُوَ الْخُسْرَانُ الْمُبِينُ</w:t>
      </w:r>
    </w:p>
    <w:p w14:paraId="32D3A73D"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يَدْعُو مِن دُونِ اللَّهِ مَا لا يَضُرُّهُ وَمَا لا يَنفَعُهُ ذَلِكَ هُوَ الضَّلالُ الْبَعِيدُ</w:t>
      </w:r>
    </w:p>
    <w:p w14:paraId="7CC3960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يَدْعُو لَمَن ضَرُّهُ أَقْرَبُ مِن نَّفْعِهِ لَبِئْسَ الْمَوْلَى وَلَبِئْسَ الْعَشِيرُ</w:t>
      </w:r>
    </w:p>
    <w:p w14:paraId="765FF763"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إِنَّ اللَّهَ يُدْخِلُ الَّذِينَ آمَنُوا وَعَمِلُوا الصَّالِحَاتِ جَنَّاتٍ تَجْرِي مِن تَحْتِهَا الأَنْهَارُ إِنَّ اللَّهَ يَفْعَلُ مَا يُرِيدُ</w:t>
      </w:r>
    </w:p>
    <w:p w14:paraId="5AA2979C"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مَن كَانَ يَظُنُّ أَن لَّن يَنصُرَهُ اللَّهُ فِي الدُّنْيَا وَالآخِرَةِ فَلْيَمْدُدْ بِسَبَبٍ إِلَى السَّمَاء ثُمَّ لِيَقْطَعْ فَلْيَنظُرْ هَلْ يُذْهِبَنَّ كَيْدُهُ مَا يَغِيظُ</w:t>
      </w:r>
    </w:p>
    <w:p w14:paraId="2A9F253F"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وَكَذَلِكَ أَنزَلْنَاهُ آيَاتٍ بَيِّنَاتٍ وَأَنَّ اللَّهَ يَهْدِي مَن يُرِيدُ</w:t>
      </w:r>
    </w:p>
    <w:p w14:paraId="3664B91B"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lastRenderedPageBreak/>
        <w:t>إِنَّ الَّذِينَ آمَنُوا وَالَّذِينَ هَادُوا وَالصَّابِئِينَ وَالنَّصَارَى وَالْمَجُوسَ وَالَّذِينَ أَشْرَكُوا إِنَّ اللَّهَ يَفْصِلُ بَيْنَهُمْ يَوْمَ الْقِيَامَةِ إِنَّ اللَّهَ عَلَى كُلِّ شَيْءٍ شَهِيدٌ</w:t>
      </w:r>
    </w:p>
    <w:p w14:paraId="511E04C5"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أَلَمْ تَرَ أَنَّ اللَّهَ يَسْجُدُ لَهُ مَن فِي السَّمَاوَاتِ وَمَن فِي الأَرْضِ وَالشَّمْسُ وَالْقَمَرُ وَالنُّجُومُ وَالْجِبَالُ وَالشَّجَرُ وَالدَّوَابُّ وَكَثِيرٌ مِّنَ النَّاسِ وَكَثِيرٌ حَقَّ عَلَيْهِ الْعَذَابُ وَمَن يُهِنِ اللَّهُ فَمَا لَهُ مِن مُّكْرِمٍ إِنَّ اللَّهَ يَفْعَلُ مَا يَشَاء</w:t>
      </w:r>
    </w:p>
    <w:p w14:paraId="07A9C9BE"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هَذَانِ خَصْمَانِ اخْتَصَمُوا فِي رَبِّهِمْ فَالَّذِينَ كَفَرُوا قُطِّعَتْ لَهُمْ ثِيَابٌ مِّن نَّارٍ يُصَبُّ مِن فَوْقِ رُؤُوسِهِمُ الْحَمِيمُ</w:t>
      </w:r>
    </w:p>
    <w:p w14:paraId="17AD3F24"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يُصْهَرُ بِهِ مَا فِي بُطُونِهِمْ وَالْجُلُودُ</w:t>
      </w:r>
    </w:p>
    <w:p w14:paraId="6C5BF5A2"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وَلَهُم مَّقَامِعُ مِنْ حَدِيدٍ</w:t>
      </w:r>
    </w:p>
    <w:p w14:paraId="1EEB327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كُلَّمَا أَرَادُوا أَن يَخْرُجُوا مِنْهَا مِنْ غَمٍّ أُعِيدُوا فِيهَا وَذُوقُوا عَذَابَ الْحَرِيقِ</w:t>
      </w:r>
    </w:p>
    <w:p w14:paraId="3FFC3814"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إِنَّ اللَّهَ يُدْخِلُ الَّذِينَ آمَنُوا وَعَمِلُوا الصَّالِحَاتِ جَنَّاتٍ تَجْرِي مِن تَحْتِهَا الأَنْهَارُ يُحَلَّوْنَ فِيهَا مِنْ أَسَاوِرَ مِن ذَهَبٍ وَلُؤْلُؤًا وَلِبَاسُهُمْ فِيهَا حَرِيرٌ</w:t>
      </w:r>
    </w:p>
    <w:p w14:paraId="4A00353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وَهُدُوا إِلَى الطَّيِّبِ مِنَ الْقَوْلِ وَهُدُوا إِلَى صِرَاطِ الْحَمِيدِ</w:t>
      </w:r>
    </w:p>
    <w:p w14:paraId="0506C35F"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إِنَّ الَّذِينَ كَفَرُوا وَيَصُدُّونَ عَن سَبِيلِ اللَّهِ وَالْمَسْجِدِ الْحَرَامِ الَّذِي جَعَلْنَاهُ لِلنَّاسِ سَوَاء الْعَاكِفُ فِيهِ وَالْبَادِ وَمَن يُرِدْ فِيهِ بِإِلْحَادٍ بِظُلْمٍ نُذِقْهُ مِنْ عَذَابٍ أَلِيمٍ</w:t>
      </w:r>
    </w:p>
    <w:p w14:paraId="6F81CA0F"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وَإِذْ بَوَّأْنَا لِإِبْرَاهِيمَ مَكَانَ الْبَيْتِ أَن لّا تُشْرِكْ بِي شَيْئًا وَطَهِّرْ بَيْتِيَ لِلطَّائِفِينَ وَالْقَائِمِينَ وَالرُّكَّعِ السُّجُودِ</w:t>
      </w:r>
    </w:p>
    <w:p w14:paraId="61318447"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وَأَذِّن فِي النَّاسِ بِالْحَجِّ يَأْتُوكَ رِجَالا وَعَلَى كُلِّ ضَامِرٍ يَأْتِينَ مِن كُلِّ فَجٍّ عَمِيقٍ</w:t>
      </w:r>
    </w:p>
    <w:p w14:paraId="43AC881C"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لِيَشْهَدُوا مَنَافِعَ لَهُمْ وَيَذْكُرُوا اسْمَ اللَّهِ فِي أَيَّامٍ مَّعْلُومَاتٍ عَلَى مَا رَزَقَهُم مِّن بَهِيمَةِ الأَنْعَامِ فَكُلُوا مِنْهَا وَأَطْعِمُوا الْبَائِسَ الْفَقِيرَ</w:t>
      </w:r>
    </w:p>
    <w:p w14:paraId="4CEE7EB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ثُمَّ لْيَقْضُوا تَفَثَهُمْ وَلْيُوفُوا نُذُورَهُمْ وَلْيَطَّوَّفُوا بِالْبَيْتِ الْعَتِيقِ</w:t>
      </w:r>
    </w:p>
    <w:p w14:paraId="74807644"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ذَلِكَ وَمَن يُعَظِّمْ حُرُمَاتِ اللَّهِ فَهُوَ خَيْرٌ لَّهُ عِندَ رَبِّهِ وَأُحِلَّتْ لَكُمُ الأَنْعَامُ إِلاَّ مَا يُتْلَى عَلَيْكُمْ فَاجْتَنِبُوا الرِّجْسَ مِنَ الأَوْثَانِ وَاجْتَنِبُوا قَوْلَ الزُّورِ</w:t>
      </w:r>
    </w:p>
    <w:p w14:paraId="7F460097"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حُنَفَاء لِلَّهِ غَيْرَ مُشْرِكِينَ بِهِ وَمَن يُشْرِكْ بِاللَّهِ فَكَأَنَّمَا خَرَّ مِنَ السَّمَاء فَتَخْطَفُهُ الطَّيْرُ أَوْ تَهْوِي بِهِ الرِّيحُ فِي مَكَانٍ سَحِيقٍ</w:t>
      </w:r>
    </w:p>
    <w:p w14:paraId="3B91A4A8"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ذَلِكَ وَمَن يُعَظِّمْ شَعَائِرَ اللَّهِ فَإِنَّهَا مِن تَقْوَى الْقُلُوبِ</w:t>
      </w:r>
    </w:p>
    <w:p w14:paraId="5D6687FD"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لَكُمْ فِيهَا مَنَافِعُ إِلَى أَجَلٍ مُّسَمًّى ثُمَّ مَحِلُّهَا إِلَى الْبَيْتِ الْعَتِيقِ</w:t>
      </w:r>
    </w:p>
    <w:p w14:paraId="417BCF46"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lastRenderedPageBreak/>
        <w:t>وَلِكُلِّ أُمَّةٍ جَعَلْنَا مَنسَكًا لِيَذْكُرُوا اسْمَ اللَّهِ عَلَى مَا رَزَقَهُم مِّن بَهِيمَةِ الأَنْعَامِ فَإِلَهُكُمْ إِلَهٌ وَاحِدٌ فَلَهُ أَسْلِمُوا وَبَشِّرِ الْمُخْبِتِينَ</w:t>
      </w:r>
    </w:p>
    <w:p w14:paraId="45CB8C84"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الَّذِينَ إِذَا ذُكِرَ اللَّهُ وَجِلَتْ قُلُوبُهُمْ وَالصَّابِرِينَ عَلَى مَا أَصَابَهُمْ وَالْمُقِيمِي الصَّلاةِ وَمِمَّا رَزَقْنَاهُمْ يُنفِقُونَ</w:t>
      </w:r>
    </w:p>
    <w:p w14:paraId="2CDA86DC"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وَالْبُدْنَ جَعَلْنَاهَا لَكُم مِّن شَعَائِرِ اللَّهِ لَكُمْ فِيهَا خَيْرٌ فَاذْكُرُوا اسْمَ اللَّهِ عَلَيْهَا صَوَافَّ فَإِذَا وَجَبَتْ جُنُوبُهَا فَكُلُوا مِنْهَا وَأَطْعِمُوا الْقَانِعَ وَالْمُعْتَرَّ كَذَلِكَ سَخَّرْنَاهَا لَكُمْ لَعَلَّكُمْ تَشْكُرُونَ</w:t>
      </w:r>
    </w:p>
    <w:p w14:paraId="567476C5"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لَن يَنَالَ اللَّهَ لُحُومُهَا وَلا دِمَاؤُهَا وَلَكِن يَنَالُهُ التَّقْوَى مِنكُمْ كَذَلِكَ سَخَّرَهَا لَكُمْ لِتُكَبِّرُوا اللَّهَ عَلَى مَا هَدَاكُمْ وَبَشِّرِ الْمُحْسِنِينَ</w:t>
      </w:r>
    </w:p>
    <w:p w14:paraId="4CFD3D08"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إِنَّ اللَّهَ يُدَافِعُ عَنِ الَّذِينَ آمَنُوا إِنَّ اللَّهَ لا يُحِبُّ كُلَّ خَوَّانٍ كَفُورٍ</w:t>
      </w:r>
    </w:p>
    <w:p w14:paraId="2A1B311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أُذِنَ لِلَّذِينَ يُقَاتَلُونَ بِأَنَّهُمْ ظُلِمُوا وَإِنَّ اللَّهَ عَلَى نَصْرِهِمْ لَقَدِيرٌ</w:t>
      </w:r>
    </w:p>
    <w:p w14:paraId="70377A13"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w:t>
      </w:r>
    </w:p>
    <w:p w14:paraId="1B531D9F"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الَّذِينَ إِن مَّكَّنَّاهُمْ فِي الأَرْضِ أَقَامُوا الصَّلاةَ وَآتَوُا الزَّكَاةَ وَأَمَرُوا بِالْمَعْرُوفِ وَنَهَوْا عَنِ الْمُنكَرِ وَلِلَّهِ عَاقِبَةُ الأُمُورِ</w:t>
      </w:r>
    </w:p>
    <w:p w14:paraId="5EA413D5"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وَإِن يُكَذِّبُوكَ فَقَدْ كَذَّبَتْ قَبْلَهُمْ قَوْمُ نُوحٍ وَعَادٌ وَثَمُودُ</w:t>
      </w:r>
    </w:p>
    <w:p w14:paraId="5799BFA0"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وَقَوْمُ إِبْرَاهِيمَ وَقَوْمُ لُوطٍ</w:t>
      </w:r>
    </w:p>
    <w:p w14:paraId="40593085"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وَأَصْحَابُ مَدْيَنَ وَكُذِّبَ مُوسَى فَأَمْلَيْتُ لِلْكَافِرِينَ ثُمَّ أَخَذْتُهُمْ فَكَيْفَ كَانَ نَكِيرِ</w:t>
      </w:r>
    </w:p>
    <w:p w14:paraId="38A73E86"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فَكَأَيِّن مِّن قَرْيَةٍ أَهْلَكْنَاهَا وَهِيَ ظَالِمَةٌ فَهِيَ خَاوِيَةٌ عَلَى عُرُوشِهَا وَبِئْرٍ مُّعَطَّلَةٍ وَقَصْرٍ مَّشِيدٍ</w:t>
      </w:r>
    </w:p>
    <w:p w14:paraId="03167D37"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أَفَلَمْ يَسِيرُوا فِي الأَرْضِ فَتَكُونَ لَهُمْ قُلُوبٌ يَعْقِلُونَ بِهَا أَوْ آذَانٌ يَسْمَعُونَ بِهَا فَإِنَّهَا لا تَعْمَى الأَبْصَارُ وَلَكِن تَعْمَى الْقُلُوبُ الَّتِي فِي الصُّدُورِ</w:t>
      </w:r>
    </w:p>
    <w:p w14:paraId="10CE54FD"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وَيَسْتَعْجِلُونَكَ بِالْعَذَابِ وَلَن يُخْلِفَ اللَّهُ وَعْدَهُ وَإِنَّ يَوْمًا عِندَ رَبِّكَ كَأَلْفِ سَنَةٍ مِّمَّا تَعُدُّونَ</w:t>
      </w:r>
    </w:p>
    <w:p w14:paraId="569F359E"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وَكَأَيِّن مِّن قَرْيَةٍ أَمْلَيْتُ لَهَا وَهِيَ ظَالِمَةٌ ثُمَّ أَخَذْتُهَا وَإِلَيَّ الْمَصِيرُ</w:t>
      </w:r>
    </w:p>
    <w:p w14:paraId="34D8D8B9"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قُلْ يَا أَيُّهَا النَّاسُ إِنَّمَا أَنَا لَكُمْ نَذِيرٌ مُّبِينٌ</w:t>
      </w:r>
    </w:p>
    <w:p w14:paraId="7DFF0160"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فَالَّذِينَ آمَنُوا وَعَمِلُوا الصَّالِحَاتِ لَهُم مَّغْفِرَةٌ وَرِزْقٌ كَرِيمٌ</w:t>
      </w:r>
    </w:p>
    <w:p w14:paraId="3AE4CDB7"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وَالَّذِينَ سَعَوْا فِي آيَاتِنَا مُعَاجِزِينَ أُوْلَئِكَ أَصْحَابُ الْجَحِيمِ</w:t>
      </w:r>
    </w:p>
    <w:p w14:paraId="76B4B979"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وَمَا أَرْسَلْنَا مِن قَبْلِكَ مِن رَّسُولٍ وَلا نَبِيٍّ إِلاَّ إِذَا تَمَنَّى أَلْقَى الشَّيْطَانُ فِي أُمْنِيَّتِهِ فَيَنسَخُ اللَّهُ مَا يُلْقِي الشَّيْطَانُ ثُمَّ يُحْكِمُ اللَّهُ آيَاتِهِ وَاللَّهُ عَلِيمٌ حَكِيمٌ</w:t>
      </w:r>
    </w:p>
    <w:p w14:paraId="0E3C488D"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lastRenderedPageBreak/>
        <w:t>لِيَجْعَلَ مَا يُلْقِي الشَّيْطَانُ فِتْنَةً لِّلَّذِينَ فِي قُلُوبِهِم مَّرَضٌ وَالْقَاسِيَةِ قُلُوبُهُمْ وَإِنَّ الظَّالِمِينَ لَفِي شِقَاقٍ بَعِيدٍ</w:t>
      </w:r>
    </w:p>
    <w:p w14:paraId="39B80AC9"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وَلِيَعْلَمَ الَّذِينَ أُوتُوا الْعِلْمَ أَنَّهُ الْحَقُّ مِن رَّبِّكَ فَيُؤْمِنُوا بِهِ فَتُخْبِتَ لَهُ قُلُوبُهُمْ وَإِنَّ اللَّهَ لَهَادِ الَّذِينَ آمَنُوا إِلَى صِرَاطٍ مُّسْتَقِيمٍ</w:t>
      </w:r>
    </w:p>
    <w:p w14:paraId="64829862"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وَلا يَزَالُ الَّذِينَ كَفَرُوا فِي مِرْيَةٍ مِّنْهُ حَتَّى تَأْتِيَهُمُ السَّاعَةُ بَغْتَةً أَوْ يَأْتِيَهُمْ عَذَابُ يَوْمٍ عَقِيمٍ</w:t>
      </w:r>
    </w:p>
    <w:p w14:paraId="011CDFDE"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الْمُلْكُ يَوْمَئِذٍ لِّلَّهِ يَحْكُمُ بَيْنَهُمْ فَالَّذِينَ آمَنُوا وَعَمِلُوا الصَّالِحَاتِ فِي جَنَّاتِ النَّعِيمِ</w:t>
      </w:r>
    </w:p>
    <w:p w14:paraId="4BC4E937"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وَالَّذِينَ كَفَرُوا وَكَذَّبُوا بِآيَاتِنَا فَأُولَئِكَ لَهُمْ عَذَابٌ مُّهِينٌ</w:t>
      </w:r>
    </w:p>
    <w:p w14:paraId="5C33CB35"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وَالَّذِينَ هَاجَرُوا فِي سَبِيلِ اللَّهِ ثُمَّ قُتِلُوا أَوْ مَاتُوا لَيَرْزُقَنَّهُمُ اللَّهُ رِزْقًا حَسَنًا وَإِنَّ اللَّهَ لَهُوَ خَيْرُ الرَّازِقِينَ</w:t>
      </w:r>
    </w:p>
    <w:p w14:paraId="4A078898"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لَيُدْخِلَنَّهُم مُّدْخَلا يَرْضَوْنَهُ وَإِنَّ اللَّهَ لَعَلِيمٌ حَلِيمٌ</w:t>
      </w:r>
    </w:p>
    <w:p w14:paraId="1E100EFB"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ذَلِكَ وَمَنْ عَاقَبَ بِمِثْلِ مَا عُوقِبَ بِهِ ثُمَّ بُغِيَ عَلَيْهِ لَيَنصُرَنَّهُ اللَّهُ إِنَّ اللَّهَ لَعَفُوٌّ غَفُورٌ</w:t>
      </w:r>
    </w:p>
    <w:p w14:paraId="691B6BE7"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ذَلِكَ بِأَنَّ اللَّهَ يُولِجُ اللَّيْلَ فِي النَّهَارِ وَيُولِجُ النَّهَارَ فِي اللَّيْلِ وَأَنَّ اللَّهَ سَمِيعٌ بَصِيرٌ</w:t>
      </w:r>
    </w:p>
    <w:p w14:paraId="5C076A03"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ذَلِكَ بِأَنَّ اللَّهَ هُوَ الْحَقُّ وَأَنَّ مَا يَدْعُونَ مِن دُونِهِ هُوَ الْبَاطِلُ وَأَنَّ اللَّهَ هُوَ الْعَلِيُّ الْكَبِيرُ</w:t>
      </w:r>
    </w:p>
    <w:p w14:paraId="237AE0E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أَلَمْ تَرَ أَنَّ اللَّهَ أَنزَلَ مِنَ السَّمَاء مَاء فَتُصْبِحُ الأَرْضُ مُخْضَرَّةً إِنَّ اللَّهَ لَطِيفٌ خَبِيرٌ</w:t>
      </w:r>
    </w:p>
    <w:p w14:paraId="3C133318"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لَهُ مَا فِي السَّمَاوَاتِ وَمَا فِي الأَرْضِ وَإِنَّ اللَّهَ لَهُوَ الْغَنِيُّ الْحَمِيدُ</w:t>
      </w:r>
    </w:p>
    <w:p w14:paraId="479C0180"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أَلَمْ تَرَ أَنَّ اللَّهَ سَخَّرَ لَكُم مَّا فِي الأَرْضِ وَالْفُلْكَ تَجْرِي فِي الْبَحْرِ بِأَمْرِهِ وَيُمْسِكُ السَّمَاء أَن تَقَعَ عَلَى الأَرْضِ إِلاَّ بِإِذْنِهِ إِنَّ اللَّهَ بِالنَّاسِ لَرَؤُوفٌ رَّحِيمٌ</w:t>
      </w:r>
    </w:p>
    <w:p w14:paraId="46F266E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وَهُوَ الَّذِي أَحْيَاكُمْ ثُمَّ يُمِيتُكُمْ ثُمَّ يُحْيِيكُمْ إِنَّ الإِنسَانَ لَكَفُورٌ</w:t>
      </w:r>
    </w:p>
    <w:p w14:paraId="5C62E98F"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لِكُلِّ أُمَّةٍ جَعَلْنَا مَنسَكًا هُمْ نَاسِكُوهُ فَلا يُنَازِعُنَّكَ فِي الأَمْرِ وَادْعُ إِلَى رَبِّكَ إِنَّكَ لَعَلَى هُدًى مُّسْتَقِيمٍ</w:t>
      </w:r>
    </w:p>
    <w:p w14:paraId="59A708E3"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وَإِن جَادَلُوكَ فَقُلِ اللَّهُ أَعْلَمُ بِمَا تَعْمَلُونَ</w:t>
      </w:r>
    </w:p>
    <w:p w14:paraId="780CC28E"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اللَّهُ يَحْكُمُ بَيْنَكُمْ يَوْمَ الْقِيَامَةِ فِيمَا كُنتُمْ فِيهِ تَخْتَلِفُونَ</w:t>
      </w:r>
    </w:p>
    <w:p w14:paraId="1C90B67A"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أَلَمْ تَعْلَمْ أَنَّ اللَّهَ يَعْلَمُ مَا فِي السَّمَاء وَالأَرْضِ إِنَّ ذَلِكَ فِي كِتَابٍ إِنَّ ذَلِكَ عَلَى اللَّهِ يَسِيرٌ</w:t>
      </w:r>
    </w:p>
    <w:p w14:paraId="76B52794"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وَيَعْبُدُونَ مِن دُونِ اللَّهِ مَا لَمْ يُنَزِّلْ بِهِ سُلْطَانًا وَمَا لَيْسَ لَهُم بِهِ عِلْمٌ وَمَا لِلظَّالِمِينَ مِن نَّصِيرٍ</w:t>
      </w:r>
    </w:p>
    <w:p w14:paraId="1EBC60FD"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وَإِذَا تُتْلَى عَلَيْهِمْ آيَاتُنَا بَيِّنَاتٍ تَعْرِفُ فِي وُجُوهِ الَّذِينَ كَفَرُوا الْمُنكَرَ يَكَادُونَ يَسْطُونَ بِالَّذِينَ يَتْلُونَ عَلَيْهِمْ آيَاتِنَا قُلْ أَفَأُنَبِّئُكُم بِشَرٍّ مِّن ذَلِكُمُ النَّارُ وَعَدَهَا اللَّهُ الَّذِينَ كَفَرُوا وَبِئْسَ الْمَصِيرُ</w:t>
      </w:r>
    </w:p>
    <w:p w14:paraId="3BE18614"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p>
    <w:p w14:paraId="55E181A2"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مَا قَدَرُوا اللَّهَ حَقَّ قَدْرِهِ إِنَّ اللَّهَ لَقَوِيٌّ عَزِيزٌ</w:t>
      </w:r>
    </w:p>
    <w:p w14:paraId="473711EC"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lastRenderedPageBreak/>
        <w:t>اللَّهُ يَصْطَفِي مِنَ الْمَلائِكَةِ رُسُلا وَمِنَ النَّاسِ إِنَّ اللَّهَ سَمِيعٌ بَصِيرٌ</w:t>
      </w:r>
    </w:p>
    <w:p w14:paraId="26B75E0E"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يَعْلَمُ مَا بَيْنَ أَيْدِيهِمْ وَمَا خَلْفَهُمْ وَإِلَى اللَّهِ تُرْجَعُ الأُمُورُ</w:t>
      </w:r>
    </w:p>
    <w:p w14:paraId="63A01853" w14:textId="77777777" w:rsidR="00354593" w:rsidRPr="00354593" w:rsidRDefault="00354593" w:rsidP="00354593">
      <w:pPr>
        <w:numPr>
          <w:ilvl w:val="0"/>
          <w:numId w:val="145"/>
        </w:numPr>
        <w:bidi/>
        <w:contextualSpacing/>
        <w:rPr>
          <w:rFonts w:ascii="Traditional Arabic" w:hAnsi="Traditional Arabic" w:cs="Traditional Arabic"/>
          <w:color w:val="000000"/>
          <w:sz w:val="32"/>
          <w:szCs w:val="32"/>
          <w:rtl/>
        </w:rPr>
      </w:pPr>
      <w:r w:rsidRPr="00354593">
        <w:rPr>
          <w:rFonts w:ascii="Traditional Arabic" w:hAnsi="Traditional Arabic" w:cs="Traditional Arabic"/>
          <w:color w:val="000000"/>
          <w:sz w:val="32"/>
          <w:szCs w:val="32"/>
          <w:rtl/>
        </w:rPr>
        <w:t>يَا أَيُّهَا الَّذِينَ آمَنُوا ارْكَعُوا وَاسْجُدُوا وَاعْبُدُوا رَبَّكُمْ وَافْعَلُوا الْخَيْرَ لَعَلَّكُمْ تُفْلِحُونَ</w:t>
      </w:r>
    </w:p>
    <w:p w14:paraId="13F8A56C" w14:textId="3AE50C79" w:rsidR="00F324A5" w:rsidRPr="00354593" w:rsidRDefault="00354593" w:rsidP="00354593">
      <w:pPr>
        <w:numPr>
          <w:ilvl w:val="0"/>
          <w:numId w:val="145"/>
        </w:numPr>
        <w:bidi/>
        <w:contextualSpacing/>
        <w:rPr>
          <w:rFonts w:ascii="Traditional Arabic" w:hAnsi="Traditional Arabic" w:cs="Traditional Arabic"/>
          <w:color w:val="000000"/>
          <w:sz w:val="32"/>
          <w:szCs w:val="32"/>
        </w:rPr>
      </w:pPr>
      <w:r w:rsidRPr="00354593">
        <w:rPr>
          <w:rFonts w:ascii="Traditional Arabic" w:hAnsi="Traditional Arabic" w:cs="Traditional Arabic"/>
          <w:color w:val="000000"/>
          <w:sz w:val="32"/>
          <w:szCs w:val="32"/>
          <w:rtl/>
        </w:rPr>
        <w:t>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w:t>
      </w:r>
    </w:p>
    <w:p w14:paraId="1CDD3505" w14:textId="77777777" w:rsidR="00F324A5" w:rsidRPr="00EC1FBB" w:rsidRDefault="00F324A5" w:rsidP="00354593">
      <w:pPr>
        <w:pStyle w:val="Titre1"/>
        <w:bidi/>
        <w:contextualSpacing/>
        <w:rPr>
          <w:rFonts w:asciiTheme="majorBidi" w:hAnsiTheme="majorBidi" w:cstheme="majorBidi"/>
          <w:b w:val="0"/>
          <w:sz w:val="22"/>
          <w:szCs w:val="22"/>
        </w:rPr>
      </w:pPr>
      <w:r w:rsidRPr="00EC1FBB">
        <w:rPr>
          <w:rFonts w:asciiTheme="majorBidi" w:hAnsiTheme="majorBidi" w:cstheme="majorBidi"/>
          <w:sz w:val="22"/>
          <w:szCs w:val="22"/>
        </w:rPr>
        <w:br w:type="page"/>
      </w:r>
    </w:p>
    <w:p w14:paraId="6D47BF74" w14:textId="77777777" w:rsidR="00F324A5" w:rsidRPr="009040D9" w:rsidRDefault="00F324A5" w:rsidP="00F324A5">
      <w:pPr>
        <w:pStyle w:val="Titre1"/>
        <w:contextualSpacing/>
        <w:jc w:val="center"/>
        <w:rPr>
          <w:rFonts w:asciiTheme="majorBidi" w:hAnsiTheme="majorBidi" w:cstheme="majorBidi"/>
          <w:b w:val="0"/>
        </w:rPr>
      </w:pPr>
      <w:bookmarkStart w:id="2" w:name="_GoBack"/>
      <w:bookmarkEnd w:id="2"/>
      <w:r w:rsidRPr="009040D9">
        <w:rPr>
          <w:rFonts w:asciiTheme="majorBidi" w:hAnsiTheme="majorBidi" w:cstheme="majorBidi"/>
        </w:rPr>
        <w:lastRenderedPageBreak/>
        <w:t>Les traductions de la sourate 22</w:t>
      </w:r>
    </w:p>
    <w:p w14:paraId="0FEBCCEA"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André Du Ryer</w:t>
      </w:r>
      <w:r w:rsidRPr="009040D9">
        <w:rPr>
          <w:rFonts w:asciiTheme="majorBidi" w:eastAsia="Calibri" w:hAnsiTheme="majorBidi" w:cstheme="majorBidi"/>
          <w:sz w:val="24"/>
          <w:szCs w:val="24"/>
          <w:lang w:bidi="ar-AE"/>
        </w:rPr>
        <w:t xml:space="preserve"> (1647)</w:t>
      </w:r>
      <w:r w:rsidRPr="009040D9">
        <w:rPr>
          <w:rFonts w:asciiTheme="majorBidi" w:hAnsiTheme="majorBidi" w:cstheme="majorBidi"/>
          <w:sz w:val="24"/>
          <w:szCs w:val="24"/>
        </w:rPr>
        <w:t> ;</w:t>
      </w:r>
    </w:p>
    <w:p w14:paraId="07FB66C6"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eastAsia="SimSun" w:hAnsiTheme="majorBidi" w:cstheme="majorBidi"/>
          <w:sz w:val="24"/>
          <w:szCs w:val="24"/>
          <w:lang w:eastAsia="zh-CN"/>
        </w:rPr>
        <w:t>Claude-Étienne Savary</w:t>
      </w:r>
      <w:r w:rsidRPr="009040D9">
        <w:rPr>
          <w:rFonts w:asciiTheme="majorBidi" w:eastAsia="Calibri" w:hAnsiTheme="majorBidi" w:cstheme="majorBidi"/>
          <w:sz w:val="24"/>
          <w:szCs w:val="24"/>
          <w:lang w:bidi="ar-AE"/>
        </w:rPr>
        <w:t xml:space="preserve"> (1782)</w:t>
      </w:r>
      <w:r w:rsidRPr="009040D9">
        <w:rPr>
          <w:rFonts w:asciiTheme="majorBidi" w:hAnsiTheme="majorBidi" w:cstheme="majorBidi"/>
          <w:sz w:val="24"/>
          <w:szCs w:val="24"/>
        </w:rPr>
        <w:t> ;</w:t>
      </w:r>
    </w:p>
    <w:p w14:paraId="19CC2DB0"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eastAsia="SimSun" w:hAnsiTheme="majorBidi" w:cstheme="majorBidi"/>
          <w:sz w:val="24"/>
          <w:szCs w:val="24"/>
          <w:lang w:eastAsia="zh-CN"/>
        </w:rPr>
        <w:t>Kazimirski (</w:t>
      </w:r>
      <w:r w:rsidRPr="009040D9">
        <w:rPr>
          <w:rFonts w:asciiTheme="majorBidi" w:hAnsiTheme="majorBidi" w:cstheme="majorBidi"/>
          <w:sz w:val="24"/>
          <w:szCs w:val="24"/>
          <w:lang w:eastAsia="en-AU"/>
        </w:rPr>
        <w:t>1840</w:t>
      </w:r>
      <w:r w:rsidRPr="009040D9">
        <w:rPr>
          <w:rFonts w:asciiTheme="majorBidi" w:eastAsia="Calibri" w:hAnsiTheme="majorBidi" w:cstheme="majorBidi"/>
          <w:sz w:val="24"/>
          <w:szCs w:val="24"/>
          <w:lang w:bidi="ar-AE"/>
        </w:rPr>
        <w:t>)</w:t>
      </w:r>
      <w:r w:rsidRPr="009040D9">
        <w:rPr>
          <w:rFonts w:asciiTheme="majorBidi" w:hAnsiTheme="majorBidi" w:cstheme="majorBidi"/>
          <w:sz w:val="24"/>
          <w:szCs w:val="24"/>
        </w:rPr>
        <w:t> ;</w:t>
      </w:r>
    </w:p>
    <w:p w14:paraId="0866E2E1"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Régis Blachère (1949) ;</w:t>
      </w:r>
    </w:p>
    <w:p w14:paraId="1C2EEF8F"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eastAsia="SimSun" w:hAnsiTheme="majorBidi" w:cstheme="majorBidi"/>
          <w:sz w:val="24"/>
          <w:szCs w:val="24"/>
          <w:lang w:eastAsia="zh-CN"/>
        </w:rPr>
        <w:t xml:space="preserve">Ameur </w:t>
      </w:r>
      <w:r w:rsidRPr="009040D9">
        <w:rPr>
          <w:rFonts w:asciiTheme="majorBidi" w:hAnsiTheme="majorBidi" w:cstheme="majorBidi"/>
          <w:sz w:val="24"/>
          <w:szCs w:val="24"/>
        </w:rPr>
        <w:t>Ghédira</w:t>
      </w:r>
      <w:r w:rsidRPr="009040D9">
        <w:rPr>
          <w:rFonts w:asciiTheme="majorBidi" w:eastAsia="SimSun" w:hAnsiTheme="majorBidi" w:cstheme="majorBidi"/>
          <w:sz w:val="24"/>
          <w:szCs w:val="24"/>
          <w:lang w:eastAsia="zh-CN"/>
        </w:rPr>
        <w:t xml:space="preserve"> (1957</w:t>
      </w:r>
      <w:r w:rsidRPr="009040D9">
        <w:rPr>
          <w:rFonts w:asciiTheme="majorBidi" w:eastAsia="Calibri" w:hAnsiTheme="majorBidi" w:cstheme="majorBidi"/>
          <w:sz w:val="24"/>
          <w:szCs w:val="24"/>
          <w:lang w:bidi="ar-AE"/>
        </w:rPr>
        <w:t>)</w:t>
      </w:r>
      <w:r w:rsidRPr="009040D9">
        <w:rPr>
          <w:rFonts w:asciiTheme="majorBidi" w:hAnsiTheme="majorBidi" w:cstheme="majorBidi"/>
          <w:sz w:val="24"/>
          <w:szCs w:val="24"/>
        </w:rPr>
        <w:t> ;</w:t>
      </w:r>
    </w:p>
    <w:p w14:paraId="66DBC6C9"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Muhammad Hamidullah (1959)</w:t>
      </w:r>
      <w:r w:rsidRPr="009040D9">
        <w:rPr>
          <w:rFonts w:asciiTheme="majorBidi" w:eastAsia="Calibri" w:hAnsiTheme="majorBidi" w:cstheme="majorBidi"/>
          <w:sz w:val="24"/>
          <w:szCs w:val="24"/>
          <w:lang w:bidi="ar-AE"/>
        </w:rPr>
        <w:t xml:space="preserve"> (traduction accompagnée du texte arabe à gauche)</w:t>
      </w:r>
      <w:r w:rsidRPr="009040D9">
        <w:rPr>
          <w:rFonts w:asciiTheme="majorBidi" w:hAnsiTheme="majorBidi" w:cstheme="majorBidi"/>
          <w:sz w:val="24"/>
          <w:szCs w:val="24"/>
        </w:rPr>
        <w:t> ;</w:t>
      </w:r>
    </w:p>
    <w:p w14:paraId="5410BECF"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Noureddine Ben Mahmoud (1962)</w:t>
      </w:r>
      <w:r w:rsidRPr="009040D9">
        <w:rPr>
          <w:rFonts w:asciiTheme="majorBidi" w:eastAsia="Calibri" w:hAnsiTheme="majorBidi" w:cstheme="majorBidi"/>
          <w:sz w:val="24"/>
          <w:szCs w:val="24"/>
          <w:lang w:bidi="ar-AE"/>
        </w:rPr>
        <w:t xml:space="preserve"> (traduction accompagnée du texte arabe à gauche) ;</w:t>
      </w:r>
    </w:p>
    <w:p w14:paraId="011E40B2"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Denise Masson (1967)</w:t>
      </w:r>
      <w:r w:rsidRPr="009040D9">
        <w:rPr>
          <w:rFonts w:asciiTheme="majorBidi" w:eastAsia="Calibri" w:hAnsiTheme="majorBidi" w:cstheme="majorBidi"/>
          <w:sz w:val="24"/>
          <w:szCs w:val="24"/>
          <w:lang w:bidi="ar-AE"/>
        </w:rPr>
        <w:t xml:space="preserve"> (traduction accompagnée du texte arabe à droite)</w:t>
      </w:r>
      <w:r w:rsidRPr="009040D9">
        <w:rPr>
          <w:rFonts w:asciiTheme="majorBidi" w:hAnsiTheme="majorBidi" w:cstheme="majorBidi"/>
          <w:sz w:val="24"/>
          <w:szCs w:val="24"/>
        </w:rPr>
        <w:t> ;</w:t>
      </w:r>
    </w:p>
    <w:p w14:paraId="7C87FB2D"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Jean Grosjean (1972 ; 1979) ;</w:t>
      </w:r>
    </w:p>
    <w:p w14:paraId="7920A363"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Jacques Berque (1990) (traduction qui a suscité une polémique) ;</w:t>
      </w:r>
    </w:p>
    <w:p w14:paraId="3D129166"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André Chouraqui (1990) (traduction dépaysante controversée réalisée par le biais de l’hébreu) ;</w:t>
      </w:r>
    </w:p>
    <w:p w14:paraId="09C65472"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Ahmed Guessous (1999 et 2000) (traduction rimée) ;</w:t>
      </w:r>
    </w:p>
    <w:p w14:paraId="68E3896E"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 xml:space="preserve">Mohammed Chiadmi (1999) </w:t>
      </w:r>
      <w:r w:rsidRPr="009040D9">
        <w:rPr>
          <w:rFonts w:asciiTheme="majorBidi" w:eastAsia="Calibri" w:hAnsiTheme="majorBidi" w:cstheme="majorBidi"/>
          <w:sz w:val="24"/>
          <w:szCs w:val="24"/>
          <w:lang w:bidi="ar-AE"/>
        </w:rPr>
        <w:t>(traduction apologétique accompagnée du texte arabe à droite) ;</w:t>
      </w:r>
    </w:p>
    <w:p w14:paraId="1858DF64"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Le Complexe du Roi Fahd à Médine (2001) ;</w:t>
      </w:r>
    </w:p>
    <w:p w14:paraId="3B76A3A0"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 xml:space="preserve">Zeinab </w:t>
      </w:r>
      <w:r w:rsidRPr="009040D9">
        <w:rPr>
          <w:rFonts w:asciiTheme="majorBidi" w:eastAsia="Calibri" w:hAnsiTheme="majorBidi" w:cstheme="majorBidi"/>
          <w:sz w:val="24"/>
          <w:szCs w:val="24"/>
        </w:rPr>
        <w:t>Abdelaziz</w:t>
      </w:r>
      <w:r w:rsidRPr="009040D9">
        <w:rPr>
          <w:rFonts w:asciiTheme="majorBidi" w:hAnsiTheme="majorBidi" w:cstheme="majorBidi"/>
          <w:sz w:val="24"/>
          <w:szCs w:val="24"/>
        </w:rPr>
        <w:t xml:space="preserve"> (2002, 2009 &amp; 2014) ;</w:t>
      </w:r>
    </w:p>
    <w:p w14:paraId="143086C2"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Sami Awad Aldeeb Abu-Sahlieh (2008) (</w:t>
      </w:r>
      <w:r w:rsidRPr="009040D9">
        <w:rPr>
          <w:rFonts w:asciiTheme="majorBidi" w:eastAsia="Calibri" w:hAnsiTheme="majorBidi" w:cstheme="majorBidi"/>
          <w:sz w:val="24"/>
          <w:szCs w:val="24"/>
          <w:lang w:bidi="ar-AE"/>
        </w:rPr>
        <w:t xml:space="preserve">traduction accompagnée du texte arabe, en deux colonnes, </w:t>
      </w:r>
      <w:r w:rsidRPr="009040D9">
        <w:rPr>
          <w:rFonts w:asciiTheme="majorBidi" w:hAnsiTheme="majorBidi" w:cstheme="majorBidi"/>
          <w:sz w:val="24"/>
          <w:szCs w:val="24"/>
        </w:rPr>
        <w:t>traduction réalisée à partir de la confrontation des autres traductions) ;</w:t>
      </w:r>
    </w:p>
    <w:p w14:paraId="128D6489" w14:textId="77777777" w:rsidR="009040D9"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Malek Chebel (2009) ;</w:t>
      </w:r>
    </w:p>
    <w:p w14:paraId="359B1612" w14:textId="68CCC423" w:rsidR="00F324A5" w:rsidRPr="009040D9" w:rsidRDefault="00F324A5" w:rsidP="009040D9">
      <w:pPr>
        <w:pStyle w:val="Paragraphedeliste"/>
        <w:numPr>
          <w:ilvl w:val="1"/>
          <w:numId w:val="3"/>
        </w:numPr>
        <w:bidi w:val="0"/>
        <w:contextualSpacing/>
        <w:jc w:val="both"/>
        <w:rPr>
          <w:rFonts w:asciiTheme="majorBidi" w:hAnsiTheme="majorBidi" w:cstheme="majorBidi"/>
          <w:sz w:val="24"/>
          <w:szCs w:val="24"/>
        </w:rPr>
      </w:pPr>
      <w:r w:rsidRPr="009040D9">
        <w:rPr>
          <w:rFonts w:asciiTheme="majorBidi" w:hAnsiTheme="majorBidi" w:cstheme="majorBidi"/>
          <w:sz w:val="24"/>
          <w:szCs w:val="24"/>
        </w:rPr>
        <w:t>Hachemi Hafiane (2010)</w:t>
      </w:r>
      <w:r w:rsidRPr="009040D9">
        <w:rPr>
          <w:rFonts w:asciiTheme="majorBidi" w:eastAsia="Calibri" w:hAnsiTheme="majorBidi" w:cstheme="majorBidi"/>
          <w:sz w:val="24"/>
          <w:szCs w:val="24"/>
          <w:lang w:bidi="ar-AE"/>
        </w:rPr>
        <w:t xml:space="preserve"> (traduction accompagnée du texte arabe à droite).</w:t>
      </w:r>
    </w:p>
    <w:p w14:paraId="19AA7A45" w14:textId="77777777" w:rsidR="00F324A5" w:rsidRPr="009040D9" w:rsidRDefault="00F324A5" w:rsidP="00F324A5">
      <w:pPr>
        <w:contextualSpacing/>
        <w:rPr>
          <w:rFonts w:asciiTheme="majorBidi" w:hAnsiTheme="majorBidi" w:cstheme="majorBidi"/>
        </w:rPr>
      </w:pPr>
    </w:p>
    <w:p w14:paraId="3C2178B7" w14:textId="77777777" w:rsidR="00F324A5" w:rsidRPr="009040D9" w:rsidRDefault="00F324A5" w:rsidP="00F324A5">
      <w:pPr>
        <w:contextualSpacing/>
        <w:jc w:val="both"/>
        <w:rPr>
          <w:rFonts w:asciiTheme="majorBidi" w:hAnsiTheme="majorBidi" w:cstheme="majorBidi"/>
          <w:i/>
          <w:iCs/>
        </w:rPr>
      </w:pPr>
      <w:r w:rsidRPr="009040D9">
        <w:rPr>
          <w:rFonts w:asciiTheme="majorBidi" w:hAnsiTheme="majorBidi" w:cstheme="majorBidi"/>
          <w:i/>
          <w:iCs/>
        </w:rPr>
        <w:t>Nous avons reproduit les notes des traducteurs. En revanche, la première note qui introduit la référence est ajoutée par nous.</w:t>
      </w:r>
    </w:p>
    <w:p w14:paraId="6B20E18A" w14:textId="51A682A4" w:rsidR="0056315F" w:rsidRPr="009040D9" w:rsidRDefault="0056315F" w:rsidP="00F324A5">
      <w:pPr>
        <w:contextualSpacing/>
        <w:jc w:val="both"/>
        <w:rPr>
          <w:rFonts w:asciiTheme="majorBidi" w:hAnsiTheme="majorBidi" w:cstheme="majorBidi"/>
        </w:rPr>
      </w:pPr>
      <w:r w:rsidRPr="009040D9">
        <w:rPr>
          <w:rFonts w:asciiTheme="majorBidi" w:hAnsiTheme="majorBidi" w:cstheme="majorBidi"/>
        </w:rPr>
        <w:br w:type="page"/>
      </w:r>
    </w:p>
    <w:p w14:paraId="7BEEAA30" w14:textId="77777777" w:rsidR="00F324A5" w:rsidRPr="00B13792" w:rsidRDefault="00F324A5" w:rsidP="00F324A5">
      <w:pPr>
        <w:contextualSpacing/>
        <w:jc w:val="both"/>
        <w:rPr>
          <w:rFonts w:asciiTheme="majorBidi" w:hAnsiTheme="majorBidi" w:cstheme="majorBidi"/>
        </w:rPr>
      </w:pPr>
    </w:p>
    <w:p w14:paraId="67795BE6" w14:textId="77777777" w:rsidR="00F324A5" w:rsidRPr="00EC1FBB" w:rsidRDefault="00F324A5" w:rsidP="00876BB0">
      <w:pPr>
        <w:pStyle w:val="Titre1"/>
        <w:keepNext/>
        <w:numPr>
          <w:ilvl w:val="0"/>
          <w:numId w:val="128"/>
        </w:numPr>
        <w:spacing w:before="0" w:beforeAutospacing="0" w:after="0" w:afterAutospacing="0"/>
        <w:contextualSpacing/>
        <w:jc w:val="center"/>
        <w:rPr>
          <w:rFonts w:asciiTheme="majorBidi" w:hAnsiTheme="majorBidi" w:cstheme="majorBidi"/>
          <w:b w:val="0"/>
          <w:sz w:val="22"/>
          <w:szCs w:val="22"/>
        </w:rPr>
      </w:pPr>
      <w:r w:rsidRPr="00161C3B">
        <w:rPr>
          <w:rFonts w:asciiTheme="majorBidi" w:hAnsiTheme="majorBidi" w:cstheme="majorBidi"/>
          <w:sz w:val="22"/>
          <w:szCs w:val="22"/>
        </w:rPr>
        <w:t>La traduction d’André Du Ryer</w:t>
      </w:r>
      <w:r>
        <w:rPr>
          <w:rStyle w:val="Appelnotedebasdep"/>
          <w:rFonts w:asciiTheme="majorBidi" w:hAnsiTheme="majorBidi" w:cstheme="majorBidi"/>
          <w:sz w:val="22"/>
          <w:szCs w:val="22"/>
        </w:rPr>
        <w:footnoteReference w:id="619"/>
      </w:r>
      <w:r w:rsidRPr="00EC1FBB">
        <w:rPr>
          <w:rFonts w:asciiTheme="majorBidi" w:hAnsiTheme="majorBidi" w:cstheme="majorBidi"/>
          <w:sz w:val="22"/>
          <w:szCs w:val="22"/>
        </w:rPr>
        <w:t xml:space="preserve"> (1647)</w:t>
      </w:r>
    </w:p>
    <w:p w14:paraId="35C76EA2" w14:textId="77777777" w:rsidR="00F324A5" w:rsidRPr="00EC1FBB" w:rsidRDefault="00F324A5" w:rsidP="00F324A5">
      <w:pPr>
        <w:pStyle w:val="Titre1"/>
        <w:contextualSpacing/>
        <w:jc w:val="center"/>
        <w:rPr>
          <w:rFonts w:asciiTheme="majorBidi" w:hAnsiTheme="majorBidi" w:cstheme="majorBidi"/>
          <w:bCs w:val="0"/>
          <w:sz w:val="22"/>
          <w:szCs w:val="22"/>
        </w:rPr>
      </w:pPr>
      <w:r w:rsidRPr="00EC1FBB">
        <w:rPr>
          <w:rFonts w:asciiTheme="majorBidi" w:hAnsiTheme="majorBidi" w:cstheme="majorBidi"/>
          <w:sz w:val="22"/>
          <w:szCs w:val="22"/>
        </w:rPr>
        <w:t>L’ALCORAN DE MAHOMET</w:t>
      </w:r>
    </w:p>
    <w:p w14:paraId="3EEBFBCB" w14:textId="77777777" w:rsidR="00F324A5" w:rsidRPr="00EC1FBB" w:rsidRDefault="00F324A5" w:rsidP="00F324A5">
      <w:pPr>
        <w:pStyle w:val="Titre2"/>
        <w:spacing w:line="240" w:lineRule="auto"/>
        <w:contextualSpacing/>
        <w:rPr>
          <w:rFonts w:asciiTheme="majorBidi" w:hAnsiTheme="majorBidi" w:cstheme="majorBidi"/>
          <w:sz w:val="22"/>
          <w:szCs w:val="22"/>
        </w:rPr>
      </w:pPr>
      <w:r w:rsidRPr="00EC1FBB">
        <w:rPr>
          <w:rFonts w:asciiTheme="majorBidi" w:hAnsiTheme="majorBidi" w:cstheme="majorBidi"/>
          <w:sz w:val="22"/>
          <w:szCs w:val="22"/>
        </w:rPr>
        <w:t>Traduction de Sieur Du Ryer</w:t>
      </w:r>
    </w:p>
    <w:p w14:paraId="7E276466" w14:textId="77777777" w:rsidR="00F324A5" w:rsidRDefault="00F324A5" w:rsidP="00F324A5">
      <w:pPr>
        <w:contextualSpacing/>
        <w:jc w:val="both"/>
        <w:rPr>
          <w:rFonts w:asciiTheme="majorBidi" w:hAnsiTheme="majorBidi" w:cstheme="majorBidi"/>
        </w:rPr>
      </w:pPr>
      <w:r w:rsidRPr="00EC1FBB">
        <w:rPr>
          <w:rFonts w:asciiTheme="majorBidi" w:hAnsiTheme="majorBidi" w:cstheme="majorBidi"/>
          <w:i/>
        </w:rPr>
        <w:t>Le chapitre du pèlerinage contenant ʃoixante ʊ dix-ʃept verʃets, eʃcrit à la Mecque</w:t>
      </w:r>
      <w:r w:rsidRPr="00EC1FBB">
        <w:rPr>
          <w:rFonts w:asciiTheme="majorBidi" w:hAnsiTheme="majorBidi" w:cstheme="majorBidi"/>
        </w:rPr>
        <w:t>.</w:t>
      </w:r>
    </w:p>
    <w:p w14:paraId="48438C19"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Av Nom de Dieu clement &amp; miʃericordieux. O peuple, craignez Dieu, le tremblement de terre qui arriuera au jour du Iugement ʃera eʃtrange, vous verrez ce jour les meres oublier leurs enfants, et que chacun portera ʃon fardeau, vous verrez le peuple yure non pas de vin, mais eʃtourdy &amp; eʃtonné des grands chaʃtiments de Dieu. Il y a des perʃonnes qui diʃputent de la Diuinité auec ignorance, &amp; fuiuent la volonté du Diable volontaire &amp; opiniatre, il eʃt eʃcrit qu’il déuoyera ceux qui luy obeiront, &amp; les conduira dedans le feu d’Enfer. O peuple ʃi vous doutez de la reʃurrection, conʃiderez comme nous vous auons creé de la pouʃʃiere de la terre auec vn peu d’eau reʃpanduë deʃʃus de la bouë, de ʃang congelé, &amp; d’vn peu de chair entierement formée, &amp; non entierement formée, ie forme dans le ventre des femmes ce que bon ʃemble juʃques au temps ordonné, je vous en faits ʃortir enfans, puis ie vous donne la vie, &amp; vous faits arriuer à l’aage de virilité, les vns meurent ieunes, &amp; les autres arriuent à l’extremité de la vieilleʃʃe afin qu’ils apprennent à bien viuvre. Conʃidere la terre ʃeiché, morte, &amp; arride ; lorsque nous aurons fait tomber la pluye elle changera de face, elle produira &amp; nourrira ʃes fruicts de toute force, beaux &amp; agreables, parce que Dieu eʃt la verité meʃme, il reʃʃuʃcite les morts &amp; eʃt tout-Puiʃʃant ; Il n’y a point de doute que le iour du Iujement s’approche, &amp; que Dieu fera reʃʃuʃciter les morts. Il y a des perʃonnes qui diʃputent de Dieu ʃans ʃcience, ʃans raiʃon, ʃans authorité &amp; ʃe déuoyent du chemin de ʃa loy, ils feront pleins d’ignonimie &amp; de honte en ce monde, &amp; reʃʃentiront en l’autre les peines de l’Enfer. Dieu ne fait point d’iniuʃtice à ʃon peuple, Il y des perʃonnes qui l’adorent auec doute, s’il leur arriue du bien ils perʃeuerent à l’adorer, s’il leur arriue du mal, ils retournent en leur impieté, &amp; perdent les biens de la Terre &amp; les biens du Ciel, ces deux pertes ʃont tres-grandes, ils inuoquent les Idoles au lieu de Dieu, ils inuoquent ce qui ne leur peut faire ny bien ny mal, telle priere eʃt vn fouruoyement éloigné des commandements de Dieu, ils adorent ce qui leur fait pluʃtoʃt mal que bien. (14) Certainement Dieu fera entrer les vray-coyans qui feront de bonnes oeuures dans les iardins où coulent pluʃieurs ruiʃʃeaux, il fait ce que bon luy ʃemble. Celuy qui eʃt faʃché de ce que Dieu donne ʃecours &amp; protection à Mahomet en ce monde &amp; en l’autre, qu’il attache vne corde au plancher de ʃa maison, &amp; qu’il s’eʃtrangle, il verra ʃe ʃa colere paʃʃera, Dieu a enuoyé l’Alcoran, comme il a cy-deuant enuoyé les autres eʃcritures, il contient ʃes commandemens clairs &amp; intelligibles, il conduit au droit chemin qui bon luy ʃemble, il iugera au iour du Iugement les differens qui font entre les fidelles &amp; les infidelles, entre les Samaritains, les Chreʃtiens et les idolatres, il ʃçait tout. Ne vois-tu pas que tout ce qui eʃt au Ciel &amp; en la Terre, le Soleil, la Lune, les eʃtoiles, les montagnes, les arbres, &amp; les animaux l’adorent ? Pluʃieurs l’adorent auec zel, mais auʃʃi pluʃieurs meritent d’eʃtre chaʃtiez, perʃonne n’eʃtimera celuy que Dieu meʃpriʃera, il fait ce que bon luy ʃemble. Ces deux partis, les fidelles &amp; les infidelles, ont diʃputé de la Diuinité, mais les infidelles ʃeront entourez des flammes de l’Enfer, ils auront des chemiʃes de feu, l’eau boüillante inondera leurs teʃtes, le feu bruʃlera ce qui est dans leur ventre, &amp; rotira leur peau, ils ʃeront battus auec des maʃʃes de fer, lorsqu’ils penʃeront ʃortir de ce braʃier ils y rentreront plus auant &amp; ʃeront eternellement tourmentez. Dieu fera entrer </w:t>
      </w:r>
      <w:r w:rsidRPr="00EC1FBB">
        <w:rPr>
          <w:rFonts w:asciiTheme="majorBidi" w:hAnsiTheme="majorBidi" w:cstheme="majorBidi"/>
        </w:rPr>
        <w:lastRenderedPageBreak/>
        <w:t>les vray-croyans qui auront fait de bonnes œuvres dans des jardins où coulent pluʃieurs fleuues, ils ʃeront parez de bracelets d’or &amp; de perles, ils ʃeront veʃtus de ʃoye, &amp; joüiront d’vne eternelle felicité, parce qu’ils ont profeʃʃé ʃon vnité ; &amp; les infidelles reʃʃentiront de grands tourmens, parce qu’ils ont empeʃché le peuple d’embraʃʃer la foy, &amp; de viʃiter le Tèple de la Mecque, que Dieu a eʃtably pour y eʃtre adoré de tout le monde, celuy qui ʃe fera ʃoliciter de le viʃiter, &amp; qui entrera auec deʃʃein de retourner en ʃon impieté, ʃera rigoureuʃement chaʃtié. Souuiens-toy que nous auons monʃtré à Abraham le lieu pour baʃtir le Temple de la Meque, que nous luy auons ordonné de m’adorer ʃeul, &amp; de purger mon Temple d’Idoles pour la ʃatisfaction de ceux qui y feront des proceʃʃions, le peuple y viendrate viʃiter de tous coʃtez à pied &amp; à cheval, ils en receuvront du profit, ils y feront leurs oraiʃons au temps ordonné &amp; aux iours nommez, ils remercieront le Seigneur du bien qu’il leur a fait, &amp; des richeʃʃes qui leur a données, &amp; feront auʃʃi des proceʃʃions au vieil Temple, celuy qui le reuerera fera tres-bien, &amp; en ʃera recompensé de ʃon Seigneur. Il vous eʃt permis de manger de toute ʃorte d’animaux mondes, excepté de ce qui vous a eʃté cy deuant deffendu, eʃloignez vous de l’ordure des Idoles, gardez-vous de porter faux teʃmoignage, &amp; ʃoyez obeïʃʃants à Dieu, celuy qui dit que Dieu a vn compagnon, eʃt ʃemblable a celuy qui eʃt precipité du Ciel, que les oyʃeaux ont rauy, &amp; que le vent a jetté en vn lieu eʃloigné &amp; plein de malheurs. Celuy qui reuerera les ʃignes de la puiʃʃances de Dieu ne doutera pas de ʃa foy, &amp; ʃera recompensé de ʃes bonnes oeuuvres au temps ordonné s’il viʃite le vieil Temple de la Mecque. Nous auons donné à toutes les nations du monde vne loy pour faire leurs ʃacrifices, &amp; pour remercier leur Seigneur de leur auoir donné aduantage ʃur toute ʃorte d’animaux, voʃtre Dieu eʃt vn seul Dieu, obeïʃʃez à ʃes commandemens, annonce vne grande recompenʃe à ceux qui luy ʃont obeïʃʃans, à ceux qui tremblent de peur lors qu’ils entendent parler de ʃon nom, qui ʃont paciens en leur aduerʃité, qui font leurs prieres au temps ordonné, &amp; qui depenʃent en aumoʃnes quelque partie des biens que nous leur auons donnés. Nous auons créé la femelle du chameau pour ʃigne de noʃtre vnité, elle vous ʃerai vtile en ce monde, ʃouuenez-vous de proferer le nom de Dieu, lors que vous la ʃacrifierez droicte ʃur ʃes pieds, lors qu’elle ʃera tombée morte en terre mangez ʃa chair ʃi elle vous agrée, &amp; en donnez à manger à ceux qui vous en demanderont, nous vous l’auons ʃoumiʃe, peut-eʃtre que vous me remercierez de cette grace. Dieu n’efleue pas deuant foy la chair ny le ʃang de cét animal, mais ʃeulement les bonnes oeuures que vous faites, il vous l’a ainʃi ʃoumiʃe afin que vous l’exaltiez, &amp; que vous le remerciez de vous auoir conduit au droit chemin. Annonce aux gens de bien que Dieu éloignera d’eux la malice des meʃchans, il n’ayme pas les traiʃtres ny les ingrats, annonce à ceux qui combattent les infidelles pour reparer l ‘iniure qu’on leur a faite, que Dieu eʃt aʃʃez puiʃʃant pour les proteger. Lors qu’ils ont eʃté chaʃʃez de leurs maiʃons ʃans raiʃon, ils ont dit, Dieu eʃt noʃtre Seigneur ; ʃi Dieu n’eut ʃouʃleué le peuple l’vn contre l’autre, les Conuents des Religieux, les Egliʃes des Chreʃtiens, les Sinagogues des Iuifs, &amp; les Temples des fidelles auroient eʃté ruinez (par le grand nombre des meʃchants, &amp; par leur malice.) Le nom de Dieu eʃt exalté dans les Temples des fidelles, &amp; ʃa Loy y eʃt deffenduë &amp; protégée, Dieu eʃt tres-fort, il a tout pouuoir ʃur ʃon peuple, Ceux que Dieu a eʃtably en terre auec victoire ʃur leurs ennemis font leurs prieres ainʃi qu’il eʃt ordóné, ils payent les dix-mes, ils ordonnent de faire ce qui eʃt honneʃte &amp; civil, ils deffendent de faire ce qui eʃt prohibé de Dieu qui ʃçait la fin de toute choʃe. Si les infidelles te deʃmentent ceux qui les ont precedez ont deʃmenty Noé, Aad, Chaïb, Abraham &amp; Loth, ils ont auʃʃi démenty Moïʃe, Dieu a diferé quelques temps leur punition, mais à la fin il les a chaʃtiez tres-rigoureuʃement. Combien auons-nous exterminé de Villes à cauʃe de leur impieté, nous les auons bouleuerʃées &amp; renduës deʃertes par la mort de leurs habitans. Ceux de la Meque chemineront-ils touʃiours en terre auec vn cœur endurcy ʃans faire reflection ʃur ce qui eʃt ci-</w:t>
      </w:r>
      <w:r w:rsidRPr="00EC1FBB">
        <w:rPr>
          <w:rFonts w:asciiTheme="majorBidi" w:hAnsiTheme="majorBidi" w:cstheme="majorBidi"/>
        </w:rPr>
        <w:lastRenderedPageBreak/>
        <w:t xml:space="preserve">deuant attriué aux Infidelles ? Leurs yeux ne ʃont pas aueuglez, mais leurs cœurs ʃont abeugles &amp; endurcis ; Ils te demandéront de faire promptemet chaʃtier les Impies, Dieu ne contreuiendra pas à ce qu’il a promis, vn iour deuant ton Seigneur eʃt comme mille années deuant les hommes, Combien de fois à t’on diferé de chaʃtier des Villes impies, qui ont eʃté à la fin exterminées ? Tout le monde ʃera vn iour aʃʃemblé deuant moy pour eʃtre recompenʃé ʃelon les merites ; Dis leur, ô Peuple, ie vous preʃche publiquement les tourments de l’Enfer, ceux qui croiront &amp; qui feront de bonnes oeuures, receuvront pardon de leurs pechez &amp; vn precieux treʃor, ceux qui s’efforceront d’aneantir la foy ʃeront damnez. Nous n’auons enuoyé nos Prophetes que pour lire au peuple nos commadements, les infidelles ont leu pluʃieurs choʃes qui ne ʃont pas dans l’Alcoran, mais Dieu a aneanty ce que le Diable y auoit adiouʃté, &amp; a confirmé les preceptes de ʃa foy, ce que le Diable y auoit adjouʃté à ceux qui ʃont faoibles en leur foy, &amp; qui ont le cœur endurcy. Les infidelles font vne tres grande erreur, &amp; ʃont eʃloignez de la verité. Ceux qui ont la ʃcience des eʃcritures ʃçauent que l’Alcoran eʃt la verité meʃme qui procede de ton Seigneur, ils croyent en luy, &amp; humilient leur cœur en le liʃant, Dieu conduit au droit chemin ceux qui croyent en la verité, les infidelles en douteront iuʃques à ce qu’ils ʃoient ʃurpris du iour du Iugement ; Ce iour ils ʃeront chaʃtiez tres-rigoureuʃement, Ce iour Dieu commandera &amp; iugera les bons &amp; les meʃchans, les gens de bien qui auront crû &amp; qui auront fait de bonnes oeuures entreront dans des jardins delicieux, &amp; les infidelles qui auront deʃobey à ʃes commandemens ʃouʃʃriront de tres-grands tourmens. Ceux qui ʃont ʃortis de la Meque, &amp; ʃont allez à la Medine pour s’eʃloigner de la compagnie des infidelles, &amp; ont eʃté tuez où ʃont morts de maladie, ʃeront recompenʃez par ʃa diuine Majeʃté, Dieu le plus grand bien-faiʃteur du monde, il les fera entrer où ils deʃireront, il ʃçait tout &amp; eʃt tres misericordieux. Les fidelles qui prendront vengeance de l’injure que les infidelles leur ont faite ʃerót protegez de Dieu, il eʃt clement &amp; miʃericordieux enuers ʃon peuple, il fait entrer le iour dans la nuit, &amp; la nuit dans le iour, il exauce les oraiʃons des vray-coyans, &amp; voit tout ce qu’ils font, &amp; les protegera parce qu’il eʃt la verité meʃme. Les Idoles ne font que vanité, &amp; Dieu eʃt tres-hault &amp; tout-Puiʃʃant, Ne cõʃidere-tu pas que Dieu enuoye la pluye du Ciel, &amp; que la Terre deuient verte ? Il eʃt benin à ʃon peuple, &amp; ʃçait tout, tout ce qui eʃt aux Cieux &amp; en la Terre eʃt à luy, il n’a pas affaire de ʃon peuple, &amp; doit eʃtre exalté, ne voids-tu pas que Dieu vous a ʃouʃmis tous les animaux qui ʃont ʃur la terre ? Ne voids-tu pas que le nauire court ʃur la mer par ʃon commandement pour vous porter vous &amp; vos facultez ? Ne voids-tu pas qu’il empeʃche le Ciel de tomber ʃur la terre ? certainement, il eʃt benin &amp; miʃericordieux ; C’eʃt luy qui vous donne la vie &amp; la mort, ils vous fera mourir &amp; vous fera reʃʃuʃciter, neantmoins l’homme eʃt ingrat de ʃes graces. Nous auons donné vne loy à toutes les nations du monde pour les cõduire au droict chemin, s’ils l’obʃeruent ils ne diʃputeront pas contre toy. Inuoque ton Seigneur, tu es dans le droict chemin, s’ils diʃputent contre toy ; Dis leur, Dieu ʃçait tout ce que vous faites , il iugera vos differents au iour du Iugement : Ne ʃçais-tu pas que Dieu ʃçait tout ce qui eʃt au Ciel &amp; en la Terre, tout ce qui eʃt eʃcrit, &amp; cela eʃt tres-facile à ʃa diuine Majeʃté. Les idolatres adorent ʃans raiʃon des Idoles qui ne cognoiʃʃent pas s’ils ʃont Dieu ou non, ils feront ʃans protection au iour du Iugement ; Lors qu’on preʃche aux hommes mes commandemens, on cognoit à leur viʃage ceux qui ʃont impies &amp; ingrats de mes graces, ils ʃe veulent jetter de colere ʃur ceux qui les inʃtruiʃent ; Dis leur, ie vous annonceray des choʃes plus faʃcheuʃes ; Dieu a preparé le feu d’Enfer pour chaʃtier les infidelles. O peuple, on vous raconte vne parabole, eʃcoutez-là. Tous les Idoles que vous adorez ne pourroient pas créer vne mouche quand ils feroient tous aʃʃemblez pour ce faire, ʃi les mouches ʃaliʃʃent quelque choʃe des ʃacrifices qu’on leur offre, ils n’ont pas le pouuoir de les chaʃʃer à cauʃe de leur impuiʃʃance, &amp; de la foibleʃʃe de ceux qui les adorent ; Ils ne loüent pas Dieu ainʃi qu’il eʃt iuʃte &amp; raiʃonnable, il eʃt tres-fort &amp; </w:t>
      </w:r>
      <w:r w:rsidRPr="00EC1FBB">
        <w:rPr>
          <w:rFonts w:asciiTheme="majorBidi" w:hAnsiTheme="majorBidi" w:cstheme="majorBidi"/>
        </w:rPr>
        <w:lastRenderedPageBreak/>
        <w:t>tres-puiʃʃant, il a eʃleu des Meʃʃagers pour porter &amp; executer ʃes cõmandemens entre les Anges &amp; les hommes, il entend tout ce qu’ils diʃsent, il void tout ce qu’ils font, il ʃçait tout ce qu’ils ont fait, &amp; tout luy obey. O vous qui croyez, honnorez &amp; adorez voʃtre Seigneur &amp; faites bien, peut-eʃtre que vous ʃerez bien-heureux ; Combattez pour l’eʃtabliʃʃement de ʃa loy auec affection, il vous a eʃleu pour la fuiure, il ne vous a pas donné vne loy peʃante &amp; faʃcheuʃe ; C’eʃt la loy d’Abraham voʃtre pere, il vous a nommé les reʃignez en Dieu auant la venüe de l’Alcoran, le Prophete ʃera teʃmoin contre vous au iour du Iugement, &amp; vous ʃerez teʃmoins contre le peuple que le Prophete luy a preʃché le droict chemin, perʃeuerez en vos prieres, payez les decimes, &amp; vous confiez en Dieu, il eʃt voʃtre Seigneur &amp; votre Protecteur.</w:t>
      </w:r>
    </w:p>
    <w:p w14:paraId="62627C69" w14:textId="77777777" w:rsidR="00F324A5" w:rsidRPr="00EC1FBB" w:rsidRDefault="00F324A5" w:rsidP="00F324A5">
      <w:pPr>
        <w:pStyle w:val="Corpsdetexte"/>
        <w:spacing w:line="240" w:lineRule="auto"/>
        <w:contextualSpacing/>
        <w:rPr>
          <w:rFonts w:asciiTheme="majorBidi" w:hAnsiTheme="majorBidi" w:cstheme="majorBidi"/>
          <w:sz w:val="22"/>
          <w:szCs w:val="22"/>
        </w:rPr>
      </w:pPr>
    </w:p>
    <w:p w14:paraId="774BC678"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3109F33D" w14:textId="77777777" w:rsidR="00F324A5" w:rsidRPr="00EC1FBB" w:rsidRDefault="00F324A5" w:rsidP="00F324A5">
      <w:pPr>
        <w:contextualSpacing/>
        <w:jc w:val="both"/>
        <w:rPr>
          <w:rFonts w:asciiTheme="majorBidi" w:eastAsia="Times New Roman" w:hAnsiTheme="majorBidi" w:cstheme="majorBidi"/>
        </w:rPr>
      </w:pPr>
    </w:p>
    <w:p w14:paraId="65C5388F"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La traduction de Claude-Étienne Savary</w:t>
      </w:r>
      <w:r>
        <w:rPr>
          <w:rStyle w:val="Appelnotedebasdep"/>
          <w:rFonts w:asciiTheme="majorBidi" w:eastAsia="SimSun" w:hAnsiTheme="majorBidi" w:cstheme="majorBidi"/>
          <w:b/>
          <w:bCs/>
          <w:lang w:eastAsia="zh-CN"/>
        </w:rPr>
        <w:footnoteReference w:id="620"/>
      </w:r>
      <w:r w:rsidRPr="00EC1FBB">
        <w:rPr>
          <w:rFonts w:asciiTheme="majorBidi" w:eastAsia="Calibri" w:hAnsiTheme="majorBidi" w:cstheme="majorBidi"/>
          <w:b/>
          <w:bCs/>
          <w:lang w:bidi="ar-AE"/>
        </w:rPr>
        <w:t xml:space="preserve"> (1782)</w:t>
      </w:r>
    </w:p>
    <w:p w14:paraId="5A17B823" w14:textId="77777777" w:rsidR="00F324A5" w:rsidRPr="00EC1FBB" w:rsidRDefault="00F324A5" w:rsidP="00F324A5">
      <w:pPr>
        <w:shd w:val="clear" w:color="auto" w:fill="FFFFFF"/>
        <w:contextualSpacing/>
        <w:jc w:val="center"/>
        <w:rPr>
          <w:rFonts w:asciiTheme="majorBidi" w:eastAsia="Times New Roman" w:hAnsiTheme="majorBidi" w:cstheme="majorBidi"/>
          <w:color w:val="000000"/>
          <w:spacing w:val="16"/>
        </w:rPr>
      </w:pPr>
      <w:r w:rsidRPr="00EC1FBB">
        <w:rPr>
          <w:rFonts w:asciiTheme="majorBidi" w:eastAsia="Times New Roman" w:hAnsiTheme="majorBidi" w:cstheme="majorBidi"/>
          <w:color w:val="000000"/>
          <w:spacing w:val="16"/>
        </w:rPr>
        <w:t>CHAPITRE </w:t>
      </w:r>
      <w:r w:rsidRPr="00EC1FBB">
        <w:rPr>
          <w:rFonts w:asciiTheme="majorBidi" w:eastAsia="Times New Roman" w:hAnsiTheme="majorBidi" w:cstheme="majorBidi"/>
          <w:caps/>
          <w:color w:val="000000"/>
          <w:spacing w:val="16"/>
        </w:rPr>
        <w:t>XXII</w:t>
      </w:r>
      <w:r w:rsidRPr="00EC1FBB">
        <w:rPr>
          <w:rFonts w:asciiTheme="majorBidi" w:eastAsia="Times New Roman" w:hAnsiTheme="majorBidi" w:cstheme="majorBidi"/>
          <w:color w:val="000000"/>
          <w:spacing w:val="16"/>
        </w:rPr>
        <w:t>.</w:t>
      </w:r>
    </w:p>
    <w:p w14:paraId="5B001006" w14:textId="77777777" w:rsidR="00F324A5" w:rsidRPr="00EC1FBB" w:rsidRDefault="00F324A5" w:rsidP="00F324A5">
      <w:pPr>
        <w:shd w:val="clear" w:color="auto" w:fill="FFFFFF"/>
        <w:contextualSpacing/>
        <w:jc w:val="center"/>
        <w:rPr>
          <w:rFonts w:asciiTheme="majorBidi" w:eastAsia="Times New Roman" w:hAnsiTheme="majorBidi" w:cstheme="majorBidi"/>
          <w:caps/>
          <w:color w:val="000000"/>
          <w:spacing w:val="16"/>
        </w:rPr>
      </w:pPr>
      <w:r w:rsidRPr="00EC1FBB">
        <w:rPr>
          <w:rFonts w:asciiTheme="majorBidi" w:eastAsia="Times New Roman" w:hAnsiTheme="majorBidi" w:cstheme="majorBidi"/>
          <w:caps/>
          <w:color w:val="000000"/>
          <w:spacing w:val="16"/>
        </w:rPr>
        <w:t>LE PÈLERINAGE.</w:t>
      </w:r>
    </w:p>
    <w:p w14:paraId="2C7392F1" w14:textId="77777777" w:rsidR="00F324A5" w:rsidRPr="00EC1FBB" w:rsidRDefault="00F324A5" w:rsidP="00F324A5">
      <w:pPr>
        <w:shd w:val="clear" w:color="auto" w:fill="FFFFFF"/>
        <w:contextualSpacing/>
        <w:jc w:val="center"/>
        <w:rPr>
          <w:rFonts w:asciiTheme="majorBidi" w:eastAsia="Times New Roman" w:hAnsiTheme="majorBidi" w:cstheme="majorBidi"/>
          <w:smallCaps/>
          <w:color w:val="000000"/>
          <w:spacing w:val="24"/>
        </w:rPr>
      </w:pPr>
      <w:r w:rsidRPr="00EC1FBB">
        <w:rPr>
          <w:rFonts w:asciiTheme="majorBidi" w:eastAsia="Times New Roman" w:hAnsiTheme="majorBidi" w:cstheme="majorBidi"/>
          <w:smallCaps/>
          <w:color w:val="000000"/>
          <w:spacing w:val="24"/>
        </w:rPr>
        <w:t>donné à la mecque, composé de 78 versets.</w:t>
      </w:r>
    </w:p>
    <w:p w14:paraId="68D8FC71" w14:textId="77777777" w:rsidR="00F324A5" w:rsidRPr="00EC1FBB" w:rsidRDefault="00F324A5" w:rsidP="00F324A5">
      <w:pPr>
        <w:shd w:val="clear" w:color="auto" w:fill="FFFFFF"/>
        <w:contextualSpacing/>
        <w:jc w:val="center"/>
        <w:rPr>
          <w:rFonts w:asciiTheme="majorBidi" w:eastAsia="Times New Roman" w:hAnsiTheme="majorBidi" w:cstheme="majorBidi"/>
          <w:i/>
          <w:iCs/>
          <w:color w:val="000000"/>
        </w:rPr>
      </w:pPr>
      <w:r w:rsidRPr="00EC1FBB">
        <w:rPr>
          <w:rFonts w:asciiTheme="majorBidi" w:eastAsia="Times New Roman" w:hAnsiTheme="majorBidi" w:cstheme="majorBidi"/>
          <w:i/>
          <w:iCs/>
          <w:color w:val="000000"/>
        </w:rPr>
        <w:t>Au nom de Dieu clément et miséricordieux.</w:t>
      </w:r>
    </w:p>
    <w:p w14:paraId="67597389"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b/>
          <w:bCs/>
          <w:color w:val="000000"/>
        </w:rPr>
        <w:t>M</w:t>
      </w:r>
      <w:r w:rsidRPr="00EC1FBB">
        <w:rPr>
          <w:rFonts w:asciiTheme="majorBidi" w:eastAsia="Times New Roman" w:hAnsiTheme="majorBidi" w:cstheme="majorBidi"/>
          <w:smallCaps/>
          <w:color w:val="000000"/>
          <w:spacing w:val="24"/>
        </w:rPr>
        <w:t>ortels,</w:t>
      </w:r>
      <w:r w:rsidRPr="00EC1FBB">
        <w:rPr>
          <w:rFonts w:asciiTheme="majorBidi" w:eastAsia="Times New Roman" w:hAnsiTheme="majorBidi" w:cstheme="majorBidi"/>
          <w:color w:val="000000"/>
        </w:rPr>
        <w:t> craignez le Seigneur, parce que le tremblement de terre du grand jour sera épouvantable.</w:t>
      </w:r>
    </w:p>
    <w:p w14:paraId="6DB22B9A"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Dans ce jour la mère abandonnera son fils à la mamelle, la femme enceinte enfantera, les hommes frappés par le bras terrible de Dieu seront comme dans l’ivresse.</w:t>
      </w:r>
    </w:p>
    <w:p w14:paraId="673FB52B"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La plupart des hommes disputent de Dieu, sans être guidés par la lumière. Ils suivent Satan rebelle.</w:t>
      </w:r>
    </w:p>
    <w:p w14:paraId="12162723"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est écrit qu’il égarera et entraînera dans l’enfer, quiconque l’aura pris pour patron.</w:t>
      </w:r>
    </w:p>
    <w:p w14:paraId="76E82E7F"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Mortels, si vous doutez de la résurrection, considérez les degrés par où nous vous avons fait passer. Nous vous avons formés de terre, ensuite de sperme, puis de sang congelé qui s’est changé en fœtus à moitié informe. Nous avons marqué le temps que vous deviez rester dans le sein de vos mères. Nous vous en retirons enfans. Vous parvenez à l’âge viril. Beaucoup meurent avant de l’avoir atteint. Quelques-uns arrivent à la décrépitude, et oublient tout ce qu’ils avaient appris. Considère la terre que la sécheresse a rendue stérile. Nous y versons la pluie. Son sein s’émeut, et elle produit toutes les plantes qui composent sa richesse et sa parure.</w:t>
      </w:r>
    </w:p>
    <w:p w14:paraId="444CB499"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Ces merveilles s’opèrent, parce que Dieu est la vérité ; parce qu’il donne la vie aux morts, et que sa puissance embrasse l’univers.</w:t>
      </w:r>
    </w:p>
    <w:p w14:paraId="4DB9322A"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L’heure viendra ; on ne peut en douter. Dieu ranimera les cendres qui sont dans les tombeaux.</w:t>
      </w:r>
    </w:p>
    <w:p w14:paraId="54C6544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La plupart disputent de Dieu, sans être éclairés du flambeau de la science, et sans l’autorité d’aucun livre fameux.</w:t>
      </w:r>
    </w:p>
    <w:p w14:paraId="579B9AD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détournent orgueilleusement la tête, pour écarter leurs semblables de la vraie voie. Ils seront couverts d’ignominie dans ce monde, et nous leur ferons éprouver, au jour de la résurrection, le tourment du feu.</w:t>
      </w:r>
    </w:p>
    <w:p w14:paraId="078FA6F6"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Tel sera le prix de leurs crimes. Dieu ne trompe point ses serviteurs.</w:t>
      </w:r>
    </w:p>
    <w:p w14:paraId="2D04ED15"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en est qui, peu fermes dans la foi, s’y attachent dans la prospérité, et l’abandonnent au moindre souffle de la tentation. Ils perdent ainsi les biens du monde et ceux de la vie future. Malheur irréparable !</w:t>
      </w:r>
    </w:p>
    <w:p w14:paraId="3107FD92"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adorent des divinités qui ne peuvent les assister, ni leur nuire. Aveuglement déplorable !</w:t>
      </w:r>
    </w:p>
    <w:p w14:paraId="1A9793B2"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invoquent des dieux qui leur seront funestes plutôt que favorables. Malheur au patron ! Malheur à l’adorateur !</w:t>
      </w:r>
    </w:p>
    <w:p w14:paraId="4409DC58"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Dieu introduira les croyans vertueux dans des jardins arrosés par des fleuves. Il fait ce qu’il lui plaît.</w:t>
      </w:r>
    </w:p>
    <w:p w14:paraId="4956FD27"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Que celui qui pense que le prophète sera privé du secours divin dans ce monde et dans l’autre, attache une corde au toit de sa maison, et s’étrangle. Il verra si son stratagème rendra vain ce qui l’irrite.</w:t>
      </w:r>
    </w:p>
    <w:p w14:paraId="293A8B33"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lastRenderedPageBreak/>
        <w:t>Nous avons envoyé le Coran du ciel. Il est le dépôt de la vraie religion ; mais le Seigneur éclaire ceux qu’il veut.</w:t>
      </w:r>
    </w:p>
    <w:p w14:paraId="45FAE8B0"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Au jour de la résurrection il jugera les croyans, les juifs, les sabéens, les chrétiens, les mages et les idolâtres, parce qu’il est témoin de toutes choses.</w:t>
      </w:r>
    </w:p>
    <w:p w14:paraId="45BD748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Ne vois-tu pas que tout ce qui est dans les cieux et sur la terre adore le Seigneur ; que le soleil, la lune, les étoiles, les arbres, les animaux et les hommes l’adorent ? Mais beaucoup d’entre les mortels sont destinés aux supplices.</w:t>
      </w:r>
    </w:p>
    <w:p w14:paraId="102BB7DC"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Celui que Dieu méprisera sera couvert de honte. Il fait ce qu’il lui plaît.</w:t>
      </w:r>
    </w:p>
    <w:p w14:paraId="78392678"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Les croyans et les incrédules disputent de Dieu ; mais les incrédules auront des habits de feu, et l’on versera sur leur tête l’eau bouillante. Elle dévorera leur peau et leurs entrailles. Ils seront frappés avec des bâtons armés de fer.</w:t>
      </w:r>
    </w:p>
    <w:p w14:paraId="4385C899"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Toutes les fois que la douleur les fera s’élancer des flammes, ils y seront replongés, et on leur dira : Goûtez la peine du feu.</w:t>
      </w:r>
    </w:p>
    <w:p w14:paraId="7E6D6AEC"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Dieu introduira les croyans qui auront exercé la bienfaisance, dans des jardins où coulent des fleuves. Ils seront ornés de bracelets d’or enrichis de perles, et vêtus d’habits de soie ;</w:t>
      </w:r>
    </w:p>
    <w:p w14:paraId="46ABDBAA"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Parce qu’ils ont fait leur profession de foi, et qu’ils ont marché dans le chemin du salut.</w:t>
      </w:r>
    </w:p>
    <w:p w14:paraId="4A16F361"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Les infidèles qui écarteront les croyans du sentier de Dieu et du temple saint, que tous les hommes, soit étrangers, soit habitans de la Mecque, doivent visiter ;</w:t>
      </w:r>
    </w:p>
    <w:p w14:paraId="6D83BC48"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ceux qui voudraient le profaner, éprouveront la rigueur de nos châtimens.</w:t>
      </w:r>
    </w:p>
    <w:p w14:paraId="71DB1382"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Lorsque nous donnâmes à Abraham l’emplacement </w:t>
      </w:r>
      <w:hyperlink r:id="rId56" w:anchor="cite_note-1" w:history="1">
        <w:r w:rsidRPr="00EC1FBB">
          <w:rPr>
            <w:rFonts w:asciiTheme="majorBidi" w:eastAsia="Times New Roman" w:hAnsiTheme="majorBidi" w:cstheme="majorBidi"/>
            <w:color w:val="0B0080"/>
            <w:vertAlign w:val="superscript"/>
          </w:rPr>
          <w:t>[1]</w:t>
        </w:r>
      </w:hyperlink>
      <w:r w:rsidRPr="00EC1FBB">
        <w:rPr>
          <w:rFonts w:asciiTheme="majorBidi" w:eastAsia="Times New Roman" w:hAnsiTheme="majorBidi" w:cstheme="majorBidi"/>
          <w:color w:val="000000"/>
        </w:rPr>
        <w:t> du temple de la Mecque, pour asile, nous lui recommandâmes de ne point y souffrir d’idole, et de le purifier pour les fidèles qui feront le tour de son enceinte, qui y prieront, et qui se courberont devant le Seigneur.</w:t>
      </w:r>
    </w:p>
    <w:p w14:paraId="7C885E1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Annonce aux peuples le saint pèlerinage </w:t>
      </w:r>
      <w:hyperlink r:id="rId57" w:anchor="cite_note-2" w:history="1">
        <w:r w:rsidRPr="00EC1FBB">
          <w:rPr>
            <w:rFonts w:asciiTheme="majorBidi" w:eastAsia="Times New Roman" w:hAnsiTheme="majorBidi" w:cstheme="majorBidi"/>
            <w:color w:val="0B0080"/>
            <w:vertAlign w:val="superscript"/>
          </w:rPr>
          <w:t>[2]</w:t>
        </w:r>
      </w:hyperlink>
      <w:r w:rsidRPr="00EC1FBB">
        <w:rPr>
          <w:rFonts w:asciiTheme="majorBidi" w:eastAsia="Times New Roman" w:hAnsiTheme="majorBidi" w:cstheme="majorBidi"/>
          <w:color w:val="000000"/>
        </w:rPr>
        <w:t>. Qu’ils l’accomplissent à pied ou sur des chameaux. Qu’ils viennent des contrées les plus éloignées.</w:t>
      </w:r>
    </w:p>
    <w:p w14:paraId="168E2F36"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verront combien ils en retireront d’avantages. Aux jours marqués, ils rendront grâces au Seigneur qui leur a permis de manger de la chair des troupeaux. Nourrissez-vous-en, et calmez la faim du pauvre.</w:t>
      </w:r>
    </w:p>
    <w:p w14:paraId="67B5ED87"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Qu’ils quittent tout levain d’infidélité ; qu’ils accomplissent leurs vœux, et qu’ils fassent le tour de la maison antique </w:t>
      </w:r>
      <w:hyperlink r:id="rId58" w:anchor="cite_note-3" w:history="1">
        <w:r w:rsidRPr="00EC1FBB">
          <w:rPr>
            <w:rFonts w:asciiTheme="majorBidi" w:eastAsia="Times New Roman" w:hAnsiTheme="majorBidi" w:cstheme="majorBidi"/>
            <w:color w:val="0B0080"/>
            <w:vertAlign w:val="superscript"/>
          </w:rPr>
          <w:t>[3]</w:t>
        </w:r>
      </w:hyperlink>
      <w:r w:rsidRPr="00EC1FBB">
        <w:rPr>
          <w:rFonts w:asciiTheme="majorBidi" w:eastAsia="Times New Roman" w:hAnsiTheme="majorBidi" w:cstheme="majorBidi"/>
          <w:color w:val="000000"/>
        </w:rPr>
        <w:t>.</w:t>
      </w:r>
    </w:p>
    <w:p w14:paraId="496635C0"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Celui qui redoutera l’anathème du ciel lui sera agréable. Nourrissez-vous de tous les animaux qui ne vous sont point défendus. Fuyez l’abomination des idoles, et le mensonge.</w:t>
      </w:r>
    </w:p>
    <w:p w14:paraId="7128DB31"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Adorez l’unité de Dieu. Ne lui donnez point d’égal. L’idolâtre sera semblable à celui qui, précipité du ciel, devient la proie des oiseaux, ou est jeté dans un lieu désert.</w:t>
      </w:r>
    </w:p>
    <w:p w14:paraId="476DDBD7"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Celui qui fera éclater sa magnificence dans les victimes qu’il offrira, donnera des marques de la piété de son cœur.</w:t>
      </w:r>
    </w:p>
    <w:p w14:paraId="5C97967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Servez-vous-en jusqu’au temps marqué. Immolez-les ensuite devant la maison antique </w:t>
      </w:r>
      <w:hyperlink r:id="rId59" w:anchor="cite_note-4" w:history="1">
        <w:r w:rsidRPr="00EC1FBB">
          <w:rPr>
            <w:rFonts w:asciiTheme="majorBidi" w:eastAsia="Times New Roman" w:hAnsiTheme="majorBidi" w:cstheme="majorBidi"/>
            <w:color w:val="0B0080"/>
            <w:vertAlign w:val="superscript"/>
          </w:rPr>
          <w:t>[4]</w:t>
        </w:r>
      </w:hyperlink>
      <w:r w:rsidRPr="00EC1FBB">
        <w:rPr>
          <w:rFonts w:asciiTheme="majorBidi" w:eastAsia="Times New Roman" w:hAnsiTheme="majorBidi" w:cstheme="majorBidi"/>
          <w:color w:val="000000"/>
        </w:rPr>
        <w:t>. </w:t>
      </w:r>
    </w:p>
    <w:p w14:paraId="3E73C7B1"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Nous avons donné à chaque nation ses rites sacrés, pour remercier le Seigneur qui a multiplié les troupeaux utiles aux humains. Il n’y a qu’un Dieu. Embrassez l’islamisme. Annoncez la félicité aux humbles,</w:t>
      </w:r>
    </w:p>
    <w:p w14:paraId="7AC0AC2F"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 ceux qui ne se rappellent le souvenir de Dieu qu’avec crainte, qui supportent avec constance les maux qui leur arrivent, qui font la prière et qui versent dans le sein des pauvres une portion des biens que nous leur avons départis.</w:t>
      </w:r>
    </w:p>
    <w:p w14:paraId="4C9A93F0"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 xml:space="preserve">Les chameaux doivent entrer dans l’hommage que vous rendez au Très-Haut. Vous en retirez des avantages multipliés. Invoquez le nom du Seigneur sur ceux que vous immolez. Qu’ils soient posés sur trois jambes, et liés par le pied gauche de devant. Lorsqu’ils auront été </w:t>
      </w:r>
      <w:r w:rsidRPr="00EC1FBB">
        <w:rPr>
          <w:rFonts w:asciiTheme="majorBidi" w:eastAsia="Times New Roman" w:hAnsiTheme="majorBidi" w:cstheme="majorBidi"/>
          <w:color w:val="000000"/>
        </w:rPr>
        <w:lastRenderedPageBreak/>
        <w:t>immolés, nourrissez-vous de leur chair, et en distribuez à tous ceux qui en demanderont. Dieu les a soumis à votre usage. Vous devez lui rendre grâce de ce bienfait.</w:t>
      </w:r>
    </w:p>
    <w:p w14:paraId="612A4A9B"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ne reçoit ni la chair, ni le sang des victimes ; mais il agrée la piété de ceux qui les immolent. Nous faisons servir les animaux à votre usage, afin que vous glorifiez le Seigneur qui vous a éclairés. Annonce le bonheur à ceux qui exercent la bienfaisance.</w:t>
      </w:r>
    </w:p>
    <w:p w14:paraId="2E7D1625"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Dieu détruira les piéges tendus au croyant. Il hait le fourbe et l’infidèle.</w:t>
      </w:r>
    </w:p>
    <w:p w14:paraId="0FC74A42"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a permis à ceux qui ont reçu des outrages, de combattre, et il est puissant pour les défendre.</w:t>
      </w:r>
    </w:p>
    <w:p w14:paraId="6B787E05"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ont été chassés de leurs maisons parce qu’ils ont professé la foi. Si Dieu n’eût opposé une partie des hommes à l’autre, les monastères, les églises des chrétiens, les synagogues et le temple de la Mecque auraient été détruits. C’est dans ces lieux saints qu’on célèbre les louanges du Très-Haut. Il aidera ceux qui combattront pour la foi, parce qu’il est fort et puissant.</w:t>
      </w:r>
    </w:p>
    <w:p w14:paraId="088780ED"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Affermis par nos mains sur la terre, ils feront la prière, l’aumône ; ils exerceront la justice, et aboliront l’iniquité. Dieu est le terme de toutes choses.</w:t>
      </w:r>
    </w:p>
    <w:p w14:paraId="5169C85B"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S’ils t’accusent d’imposture, souviens-toi que les peuples de Noé, d’</w:t>
      </w:r>
      <w:r w:rsidRPr="00EC1FBB">
        <w:rPr>
          <w:rFonts w:asciiTheme="majorBidi" w:eastAsia="Times New Roman" w:hAnsiTheme="majorBidi" w:cstheme="majorBidi"/>
          <w:i/>
          <w:iCs/>
          <w:color w:val="000000"/>
        </w:rPr>
        <w:t>Aod</w:t>
      </w:r>
      <w:r w:rsidRPr="00EC1FBB">
        <w:rPr>
          <w:rFonts w:asciiTheme="majorBidi" w:eastAsia="Times New Roman" w:hAnsiTheme="majorBidi" w:cstheme="majorBidi"/>
          <w:color w:val="000000"/>
        </w:rPr>
        <w:t>, de </w:t>
      </w:r>
      <w:r w:rsidRPr="00EC1FBB">
        <w:rPr>
          <w:rFonts w:asciiTheme="majorBidi" w:eastAsia="Times New Roman" w:hAnsiTheme="majorBidi" w:cstheme="majorBidi"/>
          <w:i/>
          <w:iCs/>
          <w:color w:val="000000"/>
        </w:rPr>
        <w:t>Themod</w:t>
      </w:r>
      <w:r w:rsidRPr="00EC1FBB">
        <w:rPr>
          <w:rFonts w:asciiTheme="majorBidi" w:eastAsia="Times New Roman" w:hAnsiTheme="majorBidi" w:cstheme="majorBidi"/>
          <w:color w:val="000000"/>
        </w:rPr>
        <w:t>, d’Abraham, de Loth et de Madian, ont ainsi traité leurs prophètes. Moïse ne fut-il pas accusé de mensonge ? J’ai laissé vivre les pervers jusqu’au temps ; ensuite je les ai punis ; et mes fléaux ont été terribles.</w:t>
      </w:r>
    </w:p>
    <w:p w14:paraId="6238371A"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Combien de villes criminelles avons-nous renversées ? Elles sont maintenant ensevelies sous leurs ruines. Combien de puits ont été abandonnés ? Combien de forteresses détruites ?</w:t>
      </w:r>
    </w:p>
    <w:p w14:paraId="21A6DDCD"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N’ont-ils jamais voyagé ? N’ont-ils pas un esprit pour comprendre, des oreilles pour attendre ? Leurs yeux ne sont point fermés à la lumière ; mais leurs cœurs sont aveugles.</w:t>
      </w:r>
    </w:p>
    <w:p w14:paraId="1997D6E5"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te presseront de hâter la vengeance céleste. Dieu ne rétracte point ses promesses. Un jour à ses yeux est comme mille ans aux vôtres.</w:t>
      </w:r>
    </w:p>
    <w:p w14:paraId="711BC55D"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Combien de cités pendant long-temps florissantes, ont été anéanties, à l’instant où elles sont devenues coupables ? Leurs habitans paraîtront devant moi.</w:t>
      </w:r>
    </w:p>
    <w:p w14:paraId="516F6723"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Dis : ô mortels ! Je vous prêche la vérité.</w:t>
      </w:r>
    </w:p>
    <w:p w14:paraId="39D4885A"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L’indulgence, et une récompense magnifique, seront le partage des croyans vertueux.</w:t>
      </w:r>
    </w:p>
    <w:p w14:paraId="297FA7FC"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Ceux qui s’efforceront d’abolir la doctrine du Coran, seront les victimes du feu.</w:t>
      </w:r>
    </w:p>
    <w:p w14:paraId="215C265F"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Nous n’avons point envoyé de prophètes, que Satan n’ait mêlé des erreurs dans leur doctrine ; mais Dieu détruit ses artifices, et les préceptes divins restent dans leur pureté. Il est savant et sage.</w:t>
      </w:r>
    </w:p>
    <w:p w14:paraId="6738CA59"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fait servir les prestiges du tentateur, à l’aveuglement de ceux dont le cœur est endurci et gangrené. Les impies sont ensevelis dans de profondes ténèbres.</w:t>
      </w:r>
    </w:p>
    <w:p w14:paraId="08B7AF3F"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Ceux qui ont reçu la science, intimement persuadés que le Coran est la vérité éternelle, croient en lui. Leurs cœurs reposent tranquillement dans cette croyance, et Dieu les guide dans le chemin du salut.</w:t>
      </w:r>
    </w:p>
    <w:p w14:paraId="09CAC17B"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Les infidèles ne cesseront de douter, qu’au moment où l’heure fatale les surprendra, et où ils verront les supplices du jour terrible.</w:t>
      </w:r>
    </w:p>
    <w:p w14:paraId="426D4B00"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Alors la balance sera dans les mains de Dieu. II jugera entre les mortels. Les croyans qui auront exercé la bienfaisance, seront introduits dans les jardins de la volupté.</w:t>
      </w:r>
    </w:p>
    <w:p w14:paraId="75E30521"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Une peine ignominieuse sera le prix des incrédules et de ceux qui auront blasphémé contre l’islamisme.</w:t>
      </w:r>
    </w:p>
    <w:p w14:paraId="2148C3CB"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Martyrs de l’islamisme, ceux qui seront morts, ou qui auront été tués sous ses étendards, recevront des biens infinis. La libéralité de Dieu est sans bornes.</w:t>
      </w:r>
    </w:p>
    <w:p w14:paraId="7F8BFF82"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les introduira dans un séjour dont ils seront enchantés. Il est savant et doux.</w:t>
      </w:r>
    </w:p>
    <w:p w14:paraId="38D62A58"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lastRenderedPageBreak/>
        <w:t>Celui qui, après avoir usé de représailles envers l’infidèle, en recevra de nouvelles insultes, aura pour appui, le bras du Dieu clément et miséricordieux.</w:t>
      </w:r>
    </w:p>
    <w:p w14:paraId="0B233F39"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fait succéder la nuit au jour, et le jour à la nuit. Il sait et apprécie toutes choses.</w:t>
      </w:r>
    </w:p>
    <w:p w14:paraId="623D2B99"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est la vérité. Les autres dieux qu’on invoque ne sont que mensonge. Il est le Dieu grand, le Très-Haut. Ne vois-tu pas que sa main abaisse les nuages qui versent la pluie, qu’aussitôt la terre se couvre de verdure ? Il est habile et prévoyant.</w:t>
      </w:r>
    </w:p>
    <w:p w14:paraId="5FBE67C5"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possède ce qui est dans les cieux et sur la terre. Il est riche, et sa louange est en lui-même.</w:t>
      </w:r>
    </w:p>
    <w:p w14:paraId="269FCC95"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Ne voyez-vous pas qu’il a soumis à votre usage tout ce que la terre contient, que le vaisseau fend les ondes à sa voix, qu’il soutient sur vos têtes le firmament, parce qu’il est clément et miséricordieux ?</w:t>
      </w:r>
    </w:p>
    <w:p w14:paraId="5B7825B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C’est lui qui vous a donné la vie. C’est lui qui vous envoie la mort, et qui vous ressuscitera. O combien l’homme est ingrat !</w:t>
      </w:r>
    </w:p>
    <w:p w14:paraId="2B4B3F5C"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Nous avons prescrit à chaque peuple ses rites sacrés. Qu’ils les observent, et qu’ils ne disputent point sur la religion. Appelle-les à Dieu. Tu es dans le chemin véritable.</w:t>
      </w:r>
    </w:p>
    <w:p w14:paraId="00CA858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S’ils disputent, dis-leur : Dieu connaît vos actions.</w:t>
      </w:r>
    </w:p>
    <w:p w14:paraId="7470CB4D"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jugera vos différens au jour de la résurrection.</w:t>
      </w:r>
    </w:p>
    <w:p w14:paraId="26344B93"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Ignorez-vous que la science de Dieu embrasse l’étendue des cieux et de la terre ? Tout est écrit dans le livre. Tout est facile au Très-Haut.</w:t>
      </w:r>
    </w:p>
    <w:p w14:paraId="3F441C7F"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Le culte qu’ils rendent aux idoles, n’est point autorisé du ciel. Ils n’ont point la science pour guide. Un jour ils seront sans protecteur.</w:t>
      </w:r>
    </w:p>
    <w:p w14:paraId="330602AA"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Lorsqu’on récite les versets du Coran, on voit l’indignation peinte sur le front des infidèles. Ils sont prêts à se jeter sur le lecteur. Dis : vous annoncerai-je quelque chose de plus terrible ? C’est le feu de l’enfer que Dieu a promis aux incrédules. Malheur à ceux qui y seront précipités !</w:t>
      </w:r>
    </w:p>
    <w:p w14:paraId="08A0F506"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O idolâtres ! écoutez cette parabole. Les dieux que vous servez ne sauraient créer une mouche. En vain réuniraient-ils leurs efforts ; et si ce faible insecte ravit une parcelle de ce que vous leur offrez, il leur est impossible de la reprendre. L’adorateur et l’idole sont également impuissans.</w:t>
      </w:r>
    </w:p>
    <w:p w14:paraId="21E4A2AD"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n’ont pas porté de Dieu un jugement équitable. Il est puissant et dominateur.</w:t>
      </w:r>
    </w:p>
    <w:p w14:paraId="5B4182DD"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choisit ses ministres parmi les anges et les hommes. Il apprécie tout.</w:t>
      </w:r>
    </w:p>
    <w:p w14:paraId="7B46451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connaît le passé et l’avenir. Il est le terme de toutes choses.</w:t>
      </w:r>
    </w:p>
    <w:p w14:paraId="51D50694"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O croyans ! courbez-vous, servez, adorez le Seigneur ; faites le bien, et vous serez heureux.</w:t>
      </w:r>
    </w:p>
    <w:p w14:paraId="746A2E69"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Combattez avec courage sous les étendards de Dieu. Vous êtes ses élus. Il ne vous a rien commandé de difficile dans votre religion. C’est la foi de votre père Abraham que vous professez. C’est lui qui vous nomma </w:t>
      </w:r>
      <w:r w:rsidRPr="00EC1FBB">
        <w:rPr>
          <w:rFonts w:asciiTheme="majorBidi" w:eastAsia="Times New Roman" w:hAnsiTheme="majorBidi" w:cstheme="majorBidi"/>
          <w:i/>
          <w:iCs/>
          <w:color w:val="000000"/>
        </w:rPr>
        <w:t>musulmans</w:t>
      </w:r>
      <w:r w:rsidRPr="00EC1FBB">
        <w:rPr>
          <w:rFonts w:asciiTheme="majorBidi" w:eastAsia="Times New Roman" w:hAnsiTheme="majorBidi" w:cstheme="majorBidi"/>
          <w:color w:val="000000"/>
        </w:rPr>
        <w:t>.</w:t>
      </w:r>
    </w:p>
    <w:p w14:paraId="28835966" w14:textId="77777777" w:rsidR="00F324A5" w:rsidRPr="00EC1FBB" w:rsidRDefault="00F324A5" w:rsidP="00F324A5">
      <w:pPr>
        <w:shd w:val="clear" w:color="auto" w:fill="FFFFFF"/>
        <w:ind w:firstLine="480"/>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Le Coran vous confirme ce titre glorieux. Mon envoyé sera témoin contre vous, au jour de la résurrection. Vous porterez témoignage contre le genre humain. Accomplissez la prière. Faites l’aumône. Soyez inébranlables dans la foi. Dieu est votre maître. Courage au serviteur, et louange au patron ! </w:t>
      </w:r>
    </w:p>
    <w:p w14:paraId="52095D38" w14:textId="77777777" w:rsidR="00F324A5" w:rsidRPr="00EC1FBB" w:rsidRDefault="00BA118B" w:rsidP="00F324A5">
      <w:pPr>
        <w:shd w:val="clear" w:color="auto" w:fill="FFFFFF"/>
        <w:contextualSpacing/>
        <w:jc w:val="both"/>
        <w:rPr>
          <w:rFonts w:asciiTheme="majorBidi" w:eastAsia="Times New Roman" w:hAnsiTheme="majorBidi" w:cstheme="majorBidi"/>
          <w:color w:val="000000"/>
        </w:rPr>
      </w:pPr>
      <w:r>
        <w:rPr>
          <w:rFonts w:asciiTheme="majorBidi" w:eastAsia="Times New Roman" w:hAnsiTheme="majorBidi" w:cstheme="majorBidi"/>
          <w:noProof/>
          <w:color w:val="000000"/>
        </w:rPr>
        <w:pict w14:anchorId="457903EE">
          <v:rect id="_x0000_i1025" alt="" style="width:468pt;height:.05pt;mso-width-percent:0;mso-height-percent:0;mso-width-percent:0;mso-height-percent:0" o:hralign="center" o:hrstd="t" o:hrnoshade="t" o:hr="t" fillcolor="#aaa" stroked="f"/>
        </w:pict>
      </w:r>
    </w:p>
    <w:p w14:paraId="4C4A0BE7" w14:textId="77777777" w:rsidR="00F324A5" w:rsidRPr="006B4C2F" w:rsidRDefault="00F324A5" w:rsidP="00876BB0">
      <w:pPr>
        <w:numPr>
          <w:ilvl w:val="0"/>
          <w:numId w:val="129"/>
        </w:numPr>
        <w:pBdr>
          <w:top w:val="single" w:sz="6" w:space="0" w:color="F5F5F5"/>
          <w:left w:val="single" w:sz="6" w:space="0" w:color="F5F5F5"/>
          <w:bottom w:val="single" w:sz="6" w:space="0" w:color="F5F5F5"/>
          <w:right w:val="single" w:sz="6" w:space="0" w:color="F5F5F5"/>
        </w:pBdr>
        <w:ind w:left="768"/>
        <w:contextualSpacing/>
        <w:jc w:val="both"/>
        <w:rPr>
          <w:rFonts w:asciiTheme="majorBidi" w:eastAsia="Times New Roman" w:hAnsiTheme="majorBidi" w:cstheme="majorBidi"/>
          <w:sz w:val="18"/>
          <w:szCs w:val="18"/>
        </w:rPr>
      </w:pPr>
      <w:r w:rsidRPr="006B4C2F">
        <w:rPr>
          <w:rFonts w:asciiTheme="majorBidi" w:eastAsia="Times New Roman" w:hAnsiTheme="majorBidi" w:cstheme="majorBidi"/>
          <w:sz w:val="18"/>
          <w:szCs w:val="18"/>
        </w:rPr>
        <w:t>↑ Suivant le sentiment des auteurs arabes, la maison sainte avait été apportée du ciel par les anges. Soixante-dix mille y priaient tous les jours, et les mêmes n’y entraient jamais deux fois. Adam en avait fait quarante fois le pèlerinage du fond de l’Inde. Ayant été enlevée au ciel avant le déluge, Dieu en donna l’emplacement à Abraham pour y bâtir le temple de la Mecque.</w:t>
      </w:r>
    </w:p>
    <w:p w14:paraId="4FB77F99" w14:textId="77777777" w:rsidR="00F324A5" w:rsidRPr="006B4C2F" w:rsidRDefault="00F324A5" w:rsidP="00876BB0">
      <w:pPr>
        <w:numPr>
          <w:ilvl w:val="0"/>
          <w:numId w:val="129"/>
        </w:numPr>
        <w:pBdr>
          <w:top w:val="single" w:sz="6" w:space="0" w:color="F5F5F5"/>
          <w:left w:val="single" w:sz="6" w:space="0" w:color="F5F5F5"/>
          <w:bottom w:val="single" w:sz="6" w:space="0" w:color="F5F5F5"/>
          <w:right w:val="single" w:sz="6" w:space="0" w:color="F5F5F5"/>
        </w:pBdr>
        <w:ind w:left="768"/>
        <w:contextualSpacing/>
        <w:jc w:val="both"/>
        <w:rPr>
          <w:rFonts w:asciiTheme="majorBidi" w:eastAsia="Times New Roman" w:hAnsiTheme="majorBidi" w:cstheme="majorBidi"/>
          <w:sz w:val="18"/>
          <w:szCs w:val="18"/>
        </w:rPr>
      </w:pPr>
      <w:r w:rsidRPr="006B4C2F">
        <w:rPr>
          <w:rFonts w:asciiTheme="majorBidi" w:eastAsia="Times New Roman" w:hAnsiTheme="majorBidi" w:cstheme="majorBidi"/>
          <w:sz w:val="18"/>
          <w:szCs w:val="18"/>
        </w:rPr>
        <w:t xml:space="preserve">↑ Avant Mahomet les Arabes faisaient le pèlerinage de la Mecque. Ils venaient y célébrer la mémoire d’Abraham et d’Ismaël. Ce n’était qu’un usage. Mahomet le consacra par des cérémonies religieuses, et leur en fit un précepte. Il cachait sous le motif de la religion des vues politiques. Il voulait que la Mecque devînt un point de réunion pour tous les mahométans ; qu’ils vinssent y chercher les aromates de l’Arabie heureuse, et apporter en échange leur or et les productions de leur pays. Les grandes caravanes qui partent tous les ans de Perse, de Damas, de Maroc et du Caire, se </w:t>
      </w:r>
      <w:r w:rsidRPr="006B4C2F">
        <w:rPr>
          <w:rFonts w:asciiTheme="majorBidi" w:eastAsia="Times New Roman" w:hAnsiTheme="majorBidi" w:cstheme="majorBidi"/>
          <w:sz w:val="18"/>
          <w:szCs w:val="18"/>
        </w:rPr>
        <w:lastRenderedPageBreak/>
        <w:t>réunissent à la Mecque. Il se fait pendant le temps du pèlerinage un commerce immense dans cette ville, et à Gedda qui en est le port.</w:t>
      </w:r>
    </w:p>
    <w:p w14:paraId="4DA6F2E3" w14:textId="77777777" w:rsidR="00F324A5" w:rsidRPr="006B4C2F" w:rsidRDefault="00F324A5" w:rsidP="00876BB0">
      <w:pPr>
        <w:numPr>
          <w:ilvl w:val="0"/>
          <w:numId w:val="129"/>
        </w:numPr>
        <w:pBdr>
          <w:top w:val="single" w:sz="6" w:space="0" w:color="F5F5F5"/>
          <w:left w:val="single" w:sz="6" w:space="0" w:color="F5F5F5"/>
          <w:bottom w:val="single" w:sz="6" w:space="0" w:color="F5F5F5"/>
          <w:right w:val="single" w:sz="6" w:space="0" w:color="F5F5F5"/>
        </w:pBdr>
        <w:ind w:left="768"/>
        <w:contextualSpacing/>
        <w:jc w:val="both"/>
        <w:rPr>
          <w:rFonts w:asciiTheme="majorBidi" w:eastAsia="Times New Roman" w:hAnsiTheme="majorBidi" w:cstheme="majorBidi"/>
          <w:sz w:val="18"/>
          <w:szCs w:val="18"/>
        </w:rPr>
      </w:pPr>
      <w:r w:rsidRPr="006B4C2F">
        <w:rPr>
          <w:rFonts w:asciiTheme="majorBidi" w:eastAsia="Times New Roman" w:hAnsiTheme="majorBidi" w:cstheme="majorBidi"/>
          <w:sz w:val="18"/>
          <w:szCs w:val="18"/>
        </w:rPr>
        <w:t>↑ Le temple de la Mecque.</w:t>
      </w:r>
    </w:p>
    <w:p w14:paraId="18C0D44C" w14:textId="77777777" w:rsidR="00F324A5" w:rsidRPr="006B4C2F" w:rsidRDefault="00F324A5" w:rsidP="00876BB0">
      <w:pPr>
        <w:numPr>
          <w:ilvl w:val="0"/>
          <w:numId w:val="129"/>
        </w:numPr>
        <w:pBdr>
          <w:top w:val="single" w:sz="6" w:space="0" w:color="F5F5F5"/>
          <w:left w:val="single" w:sz="6" w:space="0" w:color="F5F5F5"/>
          <w:bottom w:val="single" w:sz="6" w:space="0" w:color="F5F5F5"/>
          <w:right w:val="single" w:sz="6" w:space="0" w:color="F5F5F5"/>
        </w:pBdr>
        <w:ind w:left="768"/>
        <w:contextualSpacing/>
        <w:jc w:val="both"/>
        <w:rPr>
          <w:rFonts w:asciiTheme="majorBidi" w:eastAsia="Times New Roman" w:hAnsiTheme="majorBidi" w:cstheme="majorBidi"/>
          <w:sz w:val="18"/>
          <w:szCs w:val="18"/>
        </w:rPr>
      </w:pPr>
      <w:r w:rsidRPr="006B4C2F">
        <w:rPr>
          <w:rFonts w:asciiTheme="majorBidi" w:eastAsia="Times New Roman" w:hAnsiTheme="majorBidi" w:cstheme="majorBidi"/>
          <w:sz w:val="18"/>
          <w:szCs w:val="18"/>
        </w:rPr>
        <w:t>↑ </w:t>
      </w:r>
      <w:r w:rsidRPr="006B4C2F">
        <w:rPr>
          <w:rFonts w:asciiTheme="majorBidi" w:eastAsia="Times New Roman" w:hAnsiTheme="majorBidi" w:cstheme="majorBidi"/>
          <w:i/>
          <w:iCs/>
          <w:sz w:val="18"/>
          <w:szCs w:val="18"/>
        </w:rPr>
        <w:t>Idem.</w:t>
      </w:r>
    </w:p>
    <w:p w14:paraId="389D1551" w14:textId="77777777" w:rsidR="00F324A5" w:rsidRPr="00EC1FBB" w:rsidRDefault="00F324A5" w:rsidP="00F324A5">
      <w:pPr>
        <w:ind w:left="360"/>
        <w:contextualSpacing/>
        <w:jc w:val="both"/>
        <w:rPr>
          <w:rFonts w:asciiTheme="majorBidi" w:eastAsia="Calibri" w:hAnsiTheme="majorBidi" w:cstheme="majorBidi"/>
          <w:lang w:bidi="ar-AE"/>
        </w:rPr>
      </w:pPr>
    </w:p>
    <w:p w14:paraId="7D47969E" w14:textId="77777777" w:rsidR="00F324A5" w:rsidRPr="00EC1FBB" w:rsidRDefault="00F324A5" w:rsidP="00F324A5">
      <w:pPr>
        <w:ind w:left="360"/>
        <w:contextualSpacing/>
        <w:jc w:val="both"/>
        <w:rPr>
          <w:rFonts w:asciiTheme="majorBidi" w:eastAsia="Calibri" w:hAnsiTheme="majorBidi" w:cstheme="majorBidi"/>
          <w:lang w:bidi="ar-AE"/>
        </w:rPr>
      </w:pPr>
    </w:p>
    <w:p w14:paraId="3E6A3591" w14:textId="77777777" w:rsidR="00F324A5" w:rsidRPr="00EC1FBB" w:rsidRDefault="00F324A5" w:rsidP="00F324A5">
      <w:pPr>
        <w:ind w:left="360"/>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0B95D36C"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lastRenderedPageBreak/>
        <w:t>La traduction de Kazimirski</w:t>
      </w:r>
      <w:r>
        <w:rPr>
          <w:rStyle w:val="Appelnotedebasdep"/>
          <w:rFonts w:asciiTheme="majorBidi" w:eastAsia="SimSun" w:hAnsiTheme="majorBidi" w:cstheme="majorBidi"/>
          <w:b/>
          <w:bCs/>
          <w:lang w:eastAsia="zh-CN"/>
        </w:rPr>
        <w:footnoteReference w:id="621"/>
      </w:r>
      <w:r w:rsidRPr="00EC1FBB">
        <w:rPr>
          <w:rFonts w:asciiTheme="majorBidi" w:eastAsia="SimSun" w:hAnsiTheme="majorBidi" w:cstheme="majorBidi"/>
          <w:b/>
          <w:bCs/>
          <w:lang w:eastAsia="zh-CN"/>
        </w:rPr>
        <w:t xml:space="preserve"> (</w:t>
      </w:r>
      <w:r w:rsidRPr="00EC1FBB">
        <w:rPr>
          <w:rFonts w:asciiTheme="majorBidi" w:eastAsia="Times New Roman" w:hAnsiTheme="majorBidi" w:cstheme="majorBidi"/>
          <w:b/>
          <w:bCs/>
          <w:lang w:eastAsia="en-AU"/>
        </w:rPr>
        <w:t>1840</w:t>
      </w:r>
      <w:r w:rsidRPr="00EC1FBB">
        <w:rPr>
          <w:rFonts w:asciiTheme="majorBidi" w:eastAsia="Calibri" w:hAnsiTheme="majorBidi" w:cstheme="majorBidi"/>
          <w:b/>
          <w:bCs/>
          <w:lang w:bidi="ar-AE"/>
        </w:rPr>
        <w:t>)</w:t>
      </w:r>
    </w:p>
    <w:p w14:paraId="0DDC7E40" w14:textId="77777777" w:rsidR="00F324A5" w:rsidRPr="00EC1FBB" w:rsidRDefault="00F324A5" w:rsidP="00F324A5">
      <w:pPr>
        <w:contextualSpacing/>
        <w:jc w:val="center"/>
        <w:rPr>
          <w:rFonts w:asciiTheme="majorBidi" w:eastAsia="Times New Roman" w:hAnsiTheme="majorBidi" w:cstheme="majorBidi"/>
          <w:i/>
          <w:iCs/>
        </w:rPr>
      </w:pPr>
      <w:r w:rsidRPr="00EC1FBB">
        <w:rPr>
          <w:rFonts w:asciiTheme="majorBidi" w:eastAsia="Times New Roman" w:hAnsiTheme="majorBidi" w:cstheme="majorBidi"/>
          <w:i/>
          <w:iCs/>
        </w:rPr>
        <w:t>Au nom de Dieu clément et miséricordieux.</w:t>
      </w:r>
    </w:p>
    <w:p w14:paraId="5EE41093"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Ô hommes* ! craignez votre Seigneur. Le tremblement de terre du grand jour sera terrible.</w:t>
      </w:r>
    </w:p>
    <w:p w14:paraId="6E5CC180" w14:textId="77777777" w:rsidR="00F324A5" w:rsidRPr="00EC1FBB" w:rsidRDefault="00F324A5" w:rsidP="00F324A5">
      <w:p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 Presque toujours les mots Ô hommes ! veulent dire : Ô Mecquois ! ou bien : Ô vous qui m'écoutez ! C'est la formule par laquelle un orateur qui harangue le peuple ou un prédicateur de la mosquée commencent leur discours.</w:t>
      </w:r>
    </w:p>
    <w:p w14:paraId="77782D21"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Dans ce jour-là tu verras la nourrice abandonner son nourrisson à la mamelle, la femme enceinte accoucher, et tu verras les hommes comme ivres. Non, ils ne sont point ivres ; mais le châtiment de Dieu est terrible, et son arrivée les étourdira.</w:t>
      </w:r>
    </w:p>
    <w:p w14:paraId="58683EE7"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II est des hommes qui disputent de Dieu sans connaissance ; ils suivent tout démon rebelle.</w:t>
      </w:r>
    </w:p>
    <w:p w14:paraId="3241FDC2"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a été décidé qu'il égarât quiconque se sera livré à lui et le conduisît au supplice du feu.</w:t>
      </w:r>
    </w:p>
    <w:p w14:paraId="28B0CD26"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Ô hommes ! si vous doutez de la résurrection, considérez que nous vous avons créés de poussière, puis d'une goutte de sperme, qui devint un grumeau de sang ; puis d'un morceau de chair tantôt formé tantôt informe. Pour vous démontrer notre puissance, nous laissons demeurer dans les entrailles ce qu'il nous plaît jusqu'à un terme marqué, et puis nous vous en faisons sortir tendres enfants. Vous atteignez ensuite l'âge décrépit, au point d'oublier tout ce qu'ils savaient autrefois. Tu as vu tantôt la terre séchée ; mais que nous y fassions descendre de l'eau, la voilà qui s'ébranle, se gonfle et fait germer toute espèce de végétaux luxuriants.</w:t>
      </w:r>
    </w:p>
    <w:p w14:paraId="21BB0432"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C'est parce que Dieu est la vérité même ; il ressuscite les morts, et il peut tout.</w:t>
      </w:r>
    </w:p>
    <w:p w14:paraId="1E9CC064"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C'est parce que l'heure doit venir, on ne peut en douter, et que Dieu rappellera à la vie les habitants des tombeaux.</w:t>
      </w:r>
    </w:p>
    <w:p w14:paraId="7E8D8814"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est des hommes qui disputent de Dieu sans connaissance, sans avoir reçu aucune direction, sans être guidés par un livre qui les éclaire.</w:t>
      </w:r>
    </w:p>
    <w:p w14:paraId="16AA599C"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Ils se détournent avec orgueil pour éloigner les autres du chemin de Dieu. L'opprobre est réservé à ces hommes dans ce monde ; dans l'autre, nous leur ferons subir le supplice du feu.</w:t>
      </w:r>
    </w:p>
    <w:p w14:paraId="203C7058"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 ne sera qu'une rétribution de nos œuvres ; car Dieu n'est point injuste envers ses serviteurs.</w:t>
      </w:r>
    </w:p>
    <w:p w14:paraId="49AE9C10"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en est qui servent Dieu ; mais, incertains et méchants, s'il leur arrive quelque avantage, leur cœur s'en rassure ; mais à la moindre tentation ils reviennent aussitôt à leurs erreurs ; ils perdent ainsi la vie de ce monde et la vie future. C'est une ruine évidente.</w:t>
      </w:r>
    </w:p>
    <w:p w14:paraId="4AA5DF37"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Ils invoquent à côté de Dieu des divinités qui ne peuvent ni leur nuire ni leur être d'aucune utilité. Qu'ils sont loin du vrai chemin !</w:t>
      </w:r>
    </w:p>
    <w:p w14:paraId="58710CCF"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Ils invoquent les divinités qui leur seraient plutôt funestes que favorables. Quels détestables patrons et quels détestables clients !</w:t>
      </w:r>
    </w:p>
    <w:p w14:paraId="04053426"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Dieu introduira les croyants qui auront pratiqué le bien dans des jardins arrosés par des fleuves ; il fait ce qu'il lui plaît.</w:t>
      </w:r>
    </w:p>
    <w:p w14:paraId="56AE4C34"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lastRenderedPageBreak/>
        <w:t>Que celui qui pense que le Prophète sera privé des secours de Dieu dans ce monde et dans l'autre attache la corde au toit de sa maison*, se pende, et la coupe, il verra si ses artifices rendront vain ce qui l'irrite.</w:t>
      </w:r>
    </w:p>
    <w:p w14:paraId="77AE3BC8" w14:textId="77777777" w:rsidR="00F324A5" w:rsidRPr="00EC1FBB" w:rsidRDefault="00F324A5" w:rsidP="00F324A5">
      <w:p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 Mot à mot : qu'il allonge une corde vers le ciel, c'est-à-dire en haut.</w:t>
      </w:r>
    </w:p>
    <w:p w14:paraId="72386023"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C'est ainsi que nous t'avons révélé le Coran en signes (versets) évidents. Dieu dirige ceux qu'il lui plaît.</w:t>
      </w:r>
    </w:p>
    <w:p w14:paraId="77CD21E9"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Dieu prononcera, au jour de la résurrection, entre les vrais croyants, les juifs, les sabéens, les chrétiens, les mages (adorateurs du feu) et les idolâtres ; car Dieu est témoin de toutes choses.</w:t>
      </w:r>
    </w:p>
    <w:p w14:paraId="139AE9F3"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Ne vois-tu pas que tout ce qui est dans les cieux et sur la terre adore le Seigneur, le soleil, la lune, les étoiles, les montagnes, les arbres, les animaux, et une grande partie des hommes ? mais beaucoup d'hommes sont destinés au supplice.</w:t>
      </w:r>
    </w:p>
    <w:p w14:paraId="390DBDF5"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Et celui que Dieu rendra méprisable, qui l'honorera ? Dieu fait ce qu'il lui plaît.</w:t>
      </w:r>
    </w:p>
    <w:p w14:paraId="5F3D400F"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Les fidèles et les incrédules sont deux adversaires qui se disputent au sujet de Dieu ; mais les vêtements des infidèles seront taillés du feu, et l'eau bouillante sera versée sur leurs têtes.</w:t>
      </w:r>
    </w:p>
    <w:p w14:paraId="4BCF7A68"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Leurs entrailles et leur peau en seront consumées ; ils seront frappés de gourdins de fer.</w:t>
      </w:r>
    </w:p>
    <w:p w14:paraId="7197C464"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Toutes les fois que, transis de douleur, ils voudront s'en évader, on les y fera rentrer et on leur criera : Subissez le supplice du feu.</w:t>
      </w:r>
    </w:p>
    <w:p w14:paraId="66561DA6"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Dieu introduira les croyants qui auront pratiqué le bien dans des jardins arrosés par des fleuves ; ils y porteront des bracelets d'or et de perles ; ils s'y vêtiront de soie.</w:t>
      </w:r>
    </w:p>
    <w:p w14:paraId="10BC43BF"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C'est qu'ils ont été conduits pour entendre de belles paroles, et guidés dans le glorieux chemin.</w:t>
      </w:r>
    </w:p>
    <w:p w14:paraId="217FB315"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Les incrédules sont ceux qui éloignent les hommes du chemin de Dieu et les écartent de l'oratoire sacré que nous avons établi pour tous les hommes, que les habitants de La Mecque ont le droit de visiter, aussi bien que les externes.</w:t>
      </w:r>
    </w:p>
    <w:p w14:paraId="3B05E50D"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Et ceux qui voudraient le profaner dans leur iniquité éprouveront un châtiment douloureux.</w:t>
      </w:r>
    </w:p>
    <w:p w14:paraId="6C30F4F1"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Souviens-toi que nous avons assigné à Abraham l'emplacement de la maison sainte, en lui disant : Ne nous associe aucun autre dieu dans ton adoration ; conserve cette maison pure pour ceux qui viendront y faire des tours de dévotion, qui s'y acquitteront des œuvres de piété debout, agenouillés ou prosternés.</w:t>
      </w:r>
    </w:p>
    <w:p w14:paraId="2D31BDDC"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Annonce aux peuples le pèlerinage de la maison sainte, qu'ils y arrivent à pied ou montés sur des chameaux prompts à la course, venant des contrées éloignées.</w:t>
      </w:r>
    </w:p>
    <w:p w14:paraId="684D6195"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Afin qu'ils soient eux-mêmes témoins des avantages qu'ils en recueilleront, et afin qu'ils répètent le nom de Dieu à des jours fixes, de Dieu qui leur a donné des bestiaux pour leur nourriture. Nourrissez-vous-en donc, et donnez-en à l'indigent, au pauvre.</w:t>
      </w:r>
    </w:p>
    <w:p w14:paraId="7BA587F6"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Mettez un terme à la négligence par rapport à votre extérieur* ; accomplissez les vœux que vous aviez formés, et faites les tours de dévotion de la maison antique**.</w:t>
      </w:r>
    </w:p>
    <w:p w14:paraId="185DEBB8" w14:textId="77777777" w:rsidR="00F324A5" w:rsidRPr="00EC1FBB" w:rsidRDefault="00F324A5" w:rsidP="00F324A5">
      <w:p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 Par ce verset, Muhammad insinue aux musulmans de raser leurs têtes, couper leurs ongles, etc. </w:t>
      </w:r>
      <w:r w:rsidRPr="00EC1FBB">
        <w:rPr>
          <w:rFonts w:asciiTheme="majorBidi" w:eastAsia="PMingLiU" w:hAnsiTheme="majorBidi" w:cstheme="majorBidi"/>
        </w:rPr>
        <w:br/>
      </w:r>
      <w:r w:rsidRPr="00EC1FBB">
        <w:rPr>
          <w:rFonts w:asciiTheme="majorBidi" w:eastAsia="Times New Roman" w:hAnsiTheme="majorBidi" w:cstheme="majorBidi"/>
        </w:rPr>
        <w:t>**C'est-à-dire du temple de La Mecque.</w:t>
      </w:r>
    </w:p>
    <w:p w14:paraId="6628B55A"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Agissez ainsi. Celui qui respectera ces respectables préceptes de Dieu trouvera une récompense de Dieu. Il vous est permis de vous nourrir de la chair des animaux, à l'exception de ceux au sujet desquels la défense vous a été lue dans le Coran. Fuyez l'abomination des idoles, et évitez la fausseté dans vos discours.</w:t>
      </w:r>
    </w:p>
    <w:p w14:paraId="42C230C9"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lastRenderedPageBreak/>
        <w:t>Soyez pieux, n'associez point de dieu à Dieu ; car celui qui lui associe d'autres dieux est comme celui qui, précipité du ciel sur la terre, y deviendrait la proie des oiseaux, ou que le vent emporterait au loin.</w:t>
      </w:r>
    </w:p>
    <w:p w14:paraId="2ED668DC"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en sera ainsi. Celui qui observe les divers rites de Dieu, tels que les offrandes, fait une action qui provient de la piété dans le cœur.</w:t>
      </w:r>
    </w:p>
    <w:p w14:paraId="72819197"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Vous retirez des animaux consacrés aux offrandes de nombreux avantages jusqu'au temps marqué. Le lieu de sacrifice est dans la maison antique.</w:t>
      </w:r>
    </w:p>
    <w:p w14:paraId="6FBB4D9B"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Nous avons donné à chaque nation ses rites sacrés, afin que l'on répète le nom de Dieu qui leur a accordé des troupeaux. Votre Dieu est le Dieu unique. Résignez-vous entièrement à sa volonté. Et toi, Muhammad ! annonce des nouvelles propices aux humbles,</w:t>
      </w:r>
    </w:p>
    <w:p w14:paraId="7F9D27F8"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Dont le cœur est saisi de frayeur quand ils entendent prononcer le nom de Dieu, qui supportent avec patience les maux qui les visitent, qui observent la prière et font l'aumône des biens que nous leur avons départis.</w:t>
      </w:r>
    </w:p>
    <w:p w14:paraId="4B134E41"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Nous avons destiné les chameaux pour servir aux rites des sacrifices ; vous y trouverez aussi d'autres avantages. Prononcez donc le nom de Dieu sur ceux que vous allez immoler. Ils doivent rester sur trois pieds, attachés par le quatrième. Quand la victime tombe, mangez-en et donnez-en à celui qui se contente de ce qu'on lui donne, ainsi qu'à celui qui en demande. Nous vous les avons assujettis ainsi, afin que vous soyez reconnaissants.</w:t>
      </w:r>
    </w:p>
    <w:p w14:paraId="3EADE283"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Dieu ne reçoit ni la chair ni le sang des victimes ; mais votre piété monte vers lui ; il vous les a soumises, afin que vous le glorifiiez de ce qu'il vous a dirigés sur le droit chemin. Annoncez à ceux qui font le bien</w:t>
      </w:r>
    </w:p>
    <w:p w14:paraId="2FD79FB2"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Que Dieu protégera ceux qui croient contre toute machination des infidèles, car il n'aime point les perfides et les infidèles.</w:t>
      </w:r>
    </w:p>
    <w:p w14:paraId="7E163CE9"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a promis à ceux qui ont reçu des outrages de combattre leurs ennemis ; Dieu est capable de les protéger,</w:t>
      </w:r>
    </w:p>
    <w:p w14:paraId="362BC143"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Ceux qui ont été injustement chassés de leurs foyers, uniquement pour avoir dit : Notre Seigneur est le Dieu unique. Si Dieu n'eût repoussé une partie des hommes par les autres, les monastères, les églises, les synagogues et les oratoires des musulmans où le nom de Dieu est invoqué sans cesse auraient été détruits. Dieu assistera celui qui l'assiste dans sa lutte contre les impies. Dieu est fort et puissant.</w:t>
      </w:r>
    </w:p>
    <w:p w14:paraId="47A202AD"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assistera ceux qui, mis en possession de ce pays, observent exactement la prière, font l'aumône, commandent le bien et interdisent le mal. Dieu est le terme de toutes choses.</w:t>
      </w:r>
    </w:p>
    <w:p w14:paraId="2D4D90CC"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S'ils t'accusent d'imposture, ô Mohammed ! songe donc qu'avant eux les peuples de Noé, de 'Ad, de Thamoud, d'Abraham, de Loth, les Madianites, en accusaient leurs prophètes. Moïse aussi a été traité de menteur. J'ai accordé un long délai aux incrédules, puis je les ai visités de mon châtiment. Qu'il a été terrible !</w:t>
      </w:r>
    </w:p>
    <w:p w14:paraId="13B8B5CF"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Combien de villes criminelles avons-nous renversées ! A l'heure qu'il est elles sont désertes et rasées ; le puits comblé et le château fortifié n'existent plus.</w:t>
      </w:r>
    </w:p>
    <w:p w14:paraId="3023758E"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N'ont-ils pas voyagé dans le pays ? Leurs cœurs sont-ils incapables de le comprendre ? N'ont-ils pas des oreilles pour entendre ? Leurs yeux ne sont point privés de la vue, mais leurs cœurs, ensevelis dans leurs poitrines, sont aveugles.</w:t>
      </w:r>
    </w:p>
    <w:p w14:paraId="5B619AA2"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Ils te presseront de hâter le châtiment ; qu'ils attendent. Dieu ne manque jamais à ses promesses. Un jour auprès de Dieu fait mille ans de votre calcul.</w:t>
      </w:r>
    </w:p>
    <w:p w14:paraId="4A760EB8"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lastRenderedPageBreak/>
        <w:t>Combien de cités criminelles n'avons-nous pas laissées prospérer pendant un certain temps ! A la fin nous les visitâmes de notre châtiment. Tout retourne à nous.</w:t>
      </w:r>
    </w:p>
    <w:p w14:paraId="2E1F88D4"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Dis : Ô hommes ! je suis un apôtre chargé de vous exhorter.</w:t>
      </w:r>
    </w:p>
    <w:p w14:paraId="0AD0FAA5"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Ceux qui ont cru et pratiqué le bien obtiendront le pardon de leurs péchés, et des faveurs généreuses.</w:t>
      </w:r>
    </w:p>
    <w:p w14:paraId="0E2C4650"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Ceux qui s'efforcent de prévaloir contre les signes de notre puissance habiteront l'enfer.</w:t>
      </w:r>
    </w:p>
    <w:p w14:paraId="539231A5"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Nous n'avons envoyé avant toi aucun apôtre que Satan ne lui eût suggéré des erreurs dans la lecture d'un livre divin* ; mais Dieu met au néant ce que Satan suggère, et affermit le sens de ses signes. Car Dieu est savant et sage.</w:t>
      </w:r>
    </w:p>
    <w:p w14:paraId="2A8764D4" w14:textId="77777777" w:rsidR="00F324A5" w:rsidRPr="00EC1FBB" w:rsidRDefault="00F324A5" w:rsidP="00F324A5">
      <w:p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 Ceci fait allusion à ce qui arriva une fois à Muhammad, quand il récitait un verset du Coran où les divinités païennes étaient nommées ; il prononça, par distraction ou parce qu'il sommeillait, ces mots : Ce sont des demoiselles belles et très distinguées et qui méritent l'adoration. De là, grande joie parmi les infidèles qui se trouvaient alors à ses côtés.</w:t>
      </w:r>
    </w:p>
    <w:p w14:paraId="2733E359"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Mais Dieu permet de le faire, afin que les suggestions de Satan soient une épreuve pour ceux dont le cœur est atteint, malade ou endurci. (Les méchants sont plongés dans un schisme bien éloigné de la vérité.)</w:t>
      </w:r>
    </w:p>
    <w:p w14:paraId="0CA58801"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Afin que ceux qui ont reçu la science sachent que le Coran est une vérité qui provient du Seigneur, afin qu'ils y croient, que leurs cœurs s'humilient devant Dieu ; car il guide ceux qui croient vers le sentier droit.</w:t>
      </w:r>
    </w:p>
    <w:p w14:paraId="455F4A75"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Les infidèles ne cesseront point d'en douter jusqu'à ce que l'heure les surprenne soudain, ou que le jour d'un châtiment exterminateur les visite.</w:t>
      </w:r>
    </w:p>
    <w:p w14:paraId="73B837E7"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Dans ce jour, l'empire sur toutes choses restera à Dieu, il jugera entre les hommes ; alors ceux qui auront cru et pratiqué les bonnes œuvres iront habiter les jardins des délices.</w:t>
      </w:r>
    </w:p>
    <w:p w14:paraId="7D458B1B"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Tandis que les infidèles, qui ont traité nos signes de mensonges, seront livrés en supplice ignominieux.</w:t>
      </w:r>
    </w:p>
    <w:p w14:paraId="6FF6841D"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Dieu accordera une belle récompense à ceux qui ont émigré pour la cause de Dieu, ont succombé en combattant, ou qui moururent éloignés de leur patrie. Dieu sait le mieux accorder des récompenses.</w:t>
      </w:r>
    </w:p>
    <w:p w14:paraId="5F374FBC"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les introduira d'une manière qui leur plaira. Dieu est savant et humain.</w:t>
      </w:r>
    </w:p>
    <w:p w14:paraId="67FABB3B"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en sera ainsi. Celui qui, ayant exercé des représailles en rapport rigoureux avec l'outrage reçu, en recevra un nouveau, sera assisté par Dieu lui-même. Dieu aime à pardonner : il est indulgent.</w:t>
      </w:r>
    </w:p>
    <w:p w14:paraId="18EDC1C5"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C'est parce que Dieu fait entrer la nuit dans le jour et le jour dans la nuit ; il entend et voit tout.</w:t>
      </w:r>
    </w:p>
    <w:p w14:paraId="742F554A"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C'est parce que Dieu est la vérité même, et que les divinités que vous invoquez à côté de lui sont un mensonge, et que Dieu est le sublime, le grand.</w:t>
      </w:r>
    </w:p>
    <w:p w14:paraId="56E7F6F6"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N'as-tu pas considéré que Dieu fait descendre l'eau du ciel ? Par elle, le lendemain, la terre se couvre de verdure. Dieu est plein de bonté et instruit de tout.</w:t>
      </w:r>
    </w:p>
    <w:p w14:paraId="1BFA179B"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A lui appartient tout ce qui est dans les cieux et sur la terre ; il est le riche, le glorieux.</w:t>
      </w:r>
    </w:p>
    <w:p w14:paraId="64685FC9"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Ne voyez-vous pas qu'il vous a soumis tout ce que la terre contient ? Le vaisseau court à travers les mers par ses ordres ; il soutient le ciel, afin qu'il ne s'affaisse pas sur la terre, sauf quand il le permettra. Dieu est plein de bonté et de miséricorde pour les hommes.</w:t>
      </w:r>
    </w:p>
    <w:p w14:paraId="132F90FE"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lastRenderedPageBreak/>
        <w:t>C'est lui qui vous a fait vivre et qui vous fera mourir ; puis il vous fera revivre ; en vérité, l'homme est ingrat.</w:t>
      </w:r>
    </w:p>
    <w:p w14:paraId="22DA1420"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Nous avons établi pour chaque nation des rites sacrés qu'elle suit. Qu'ils cessent donc de disputer avec toi sur cette matière. Appelle-les au Seigneur, car tu es dans le sentier droit.</w:t>
      </w:r>
    </w:p>
    <w:p w14:paraId="2342DDC7"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S'ils disputent encore, dis-leur : Dieu connaît vos actions.</w:t>
      </w:r>
    </w:p>
    <w:p w14:paraId="5742E013"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Dieu prononcera au jour de la résurrection dans vos différends.</w:t>
      </w:r>
    </w:p>
    <w:p w14:paraId="3B9B2F5D"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Ne sais-tu pas que Dieu connaît tout ce qui est dans les cieux et sur la terre ? Tout est inscrit dans le livre, et c'est facile à Dieu.</w:t>
      </w:r>
    </w:p>
    <w:p w14:paraId="4B74E34B"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Ils adorent des divinités à côté de Dieu, bien que Dieu ne leur ait envoyé aucune preuve à l'appui de ce culte, des divinités dont ils ne savent rien. Mais les impies n'auront aucun protecteur.</w:t>
      </w:r>
    </w:p>
    <w:p w14:paraId="5E408C49"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Quand on lit aux infidèles nos signes, tu verras l'aversion se peindre sur leurs fronts ; ils sont prêts à se jeter sur ceux qui leur relisent nos signes. Dis-leur : Vous annoncerai-je quelque chose de plus terrible ? C'est le feu que Dieu a promis à ceux qui ne croient pas. Et quel affreux terme de voyage !</w:t>
      </w:r>
    </w:p>
    <w:p w14:paraId="6D52B6C4"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Ô hommes ! on vous propose une parabole, écoutez-la. Ceux que vous invoquez à côté de Dieu ne sauraient créer une mouche, quand même ils se réuniraient tous ; et si une mouche venait leur enlever quelque chose, ils ne sauraient le lui arracher. L'adoré et l'adorateur sont également impuissants.</w:t>
      </w:r>
    </w:p>
    <w:p w14:paraId="193A6CC6"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Les hommes ne savent point apprécier Dieu comme il le mérite ; il est fort et puissant.</w:t>
      </w:r>
    </w:p>
    <w:p w14:paraId="716BAD3C"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choisit ses messagers parmi les hommes et parmi les anges ; il entend et voit tout.</w:t>
      </w:r>
    </w:p>
    <w:p w14:paraId="4AE1D7AC"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connaît ce qui est devant eux et derrière eux ; il est le terme de toutes choses.</w:t>
      </w:r>
    </w:p>
    <w:p w14:paraId="551BCB82"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Ô vous qui croyez ! fléchissez vos genoux, prosternez-vous, adorez votre Seigneur, faites le bien, et vous serez heureux.</w:t>
      </w:r>
    </w:p>
    <w:p w14:paraId="265B14E4" w14:textId="77777777" w:rsidR="00F324A5" w:rsidRPr="00EC1FBB"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Combattez pour la cause de Dieu comme il convient de le faire ; vous êtes ses élus. Il ne vous a rien commandé de difficile dans votre religion, dans la religion de votre père Abraham, il vous a nommés musulmans.</w:t>
      </w:r>
    </w:p>
    <w:p w14:paraId="0F3D406E" w14:textId="77777777" w:rsidR="00F324A5" w:rsidRPr="006B4C2F" w:rsidRDefault="00F324A5" w:rsidP="00876BB0">
      <w:pPr>
        <w:numPr>
          <w:ilvl w:val="0"/>
          <w:numId w:val="130"/>
        </w:numPr>
        <w:ind w:left="833" w:right="113"/>
        <w:contextualSpacing/>
        <w:jc w:val="both"/>
        <w:rPr>
          <w:rFonts w:asciiTheme="majorBidi" w:eastAsia="Times New Roman" w:hAnsiTheme="majorBidi" w:cstheme="majorBidi"/>
        </w:rPr>
      </w:pPr>
      <w:r w:rsidRPr="00EC1FBB">
        <w:rPr>
          <w:rFonts w:asciiTheme="majorBidi" w:eastAsia="Times New Roman" w:hAnsiTheme="majorBidi" w:cstheme="majorBidi"/>
        </w:rPr>
        <w:t>Il y a longtemps qu'il vous a ainsi nommés dans le Coran, afin que votre prophète soit témoin contre vous et que vous soyez témoins contre le reste des hommes. Observez donc la prière, faites l'aumône, attachez-vous fermement à Dieu, il est votre patron ; et quel patron et quel protecteur !</w:t>
      </w:r>
      <w:r w:rsidRPr="00EC1FBB">
        <w:rPr>
          <w:rFonts w:asciiTheme="majorBidi" w:eastAsia="Times New Roman" w:hAnsiTheme="majorBidi" w:cstheme="majorBidi"/>
        </w:rPr>
        <w:br w:type="page"/>
      </w:r>
    </w:p>
    <w:p w14:paraId="3BDD6805" w14:textId="77777777" w:rsidR="00F324A5" w:rsidRPr="00D65716"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lastRenderedPageBreak/>
        <w:t xml:space="preserve">La </w:t>
      </w:r>
      <w:r w:rsidRPr="00D65716">
        <w:rPr>
          <w:rFonts w:asciiTheme="majorBidi" w:eastAsia="SimSun" w:hAnsiTheme="majorBidi" w:cstheme="majorBidi"/>
          <w:b/>
          <w:bCs/>
          <w:lang w:eastAsia="zh-CN"/>
        </w:rPr>
        <w:t xml:space="preserve">traduction de </w:t>
      </w:r>
      <w:r w:rsidRPr="00D65716">
        <w:rPr>
          <w:rFonts w:asciiTheme="majorBidi" w:eastAsia="Times New Roman" w:hAnsiTheme="majorBidi" w:cstheme="majorBidi"/>
          <w:b/>
          <w:bCs/>
        </w:rPr>
        <w:t xml:space="preserve">Régis </w:t>
      </w:r>
      <w:r w:rsidRPr="00B6432E">
        <w:rPr>
          <w:rFonts w:asciiTheme="majorBidi" w:eastAsia="Times New Roman" w:hAnsiTheme="majorBidi" w:cstheme="majorBidi"/>
          <w:b/>
          <w:bCs/>
        </w:rPr>
        <w:t>Blachère</w:t>
      </w:r>
      <w:r w:rsidRPr="00B6432E">
        <w:rPr>
          <w:rStyle w:val="Appelnotedebasdep"/>
          <w:rFonts w:asciiTheme="majorBidi" w:hAnsiTheme="majorBidi" w:cstheme="majorBidi"/>
          <w:b/>
          <w:bCs/>
        </w:rPr>
        <w:footnoteReference w:id="622"/>
      </w:r>
      <w:r w:rsidRPr="00B6432E">
        <w:rPr>
          <w:rFonts w:asciiTheme="majorBidi" w:eastAsia="Times New Roman" w:hAnsiTheme="majorBidi" w:cstheme="majorBidi"/>
          <w:b/>
          <w:bCs/>
        </w:rPr>
        <w:t xml:space="preserve"> (1949</w:t>
      </w:r>
      <w:r w:rsidRPr="00D65716">
        <w:rPr>
          <w:rFonts w:asciiTheme="majorBidi" w:eastAsia="Times New Roman" w:hAnsiTheme="majorBidi" w:cstheme="majorBidi"/>
          <w:b/>
          <w:bCs/>
        </w:rPr>
        <w:t>)</w:t>
      </w:r>
    </w:p>
    <w:p w14:paraId="37EC5A2A" w14:textId="77777777" w:rsidR="00F324A5" w:rsidRPr="00D65716" w:rsidRDefault="00F324A5" w:rsidP="00F324A5">
      <w:pPr>
        <w:pStyle w:val="Titre1"/>
        <w:contextualSpacing/>
        <w:jc w:val="center"/>
        <w:rPr>
          <w:rFonts w:asciiTheme="majorBidi" w:hAnsiTheme="majorBidi" w:cstheme="majorBidi"/>
          <w:sz w:val="22"/>
          <w:szCs w:val="22"/>
        </w:rPr>
      </w:pPr>
      <w:r w:rsidRPr="00D65716">
        <w:rPr>
          <w:rFonts w:asciiTheme="majorBidi" w:hAnsiTheme="majorBidi" w:cstheme="majorBidi"/>
          <w:sz w:val="22"/>
          <w:szCs w:val="22"/>
        </w:rPr>
        <w:t>Sourate XXII</w:t>
      </w:r>
      <w:r w:rsidRPr="00D65716">
        <w:rPr>
          <w:rStyle w:val="Appelnotedebasdep"/>
          <w:rFonts w:asciiTheme="majorBidi" w:hAnsiTheme="majorBidi" w:cstheme="majorBidi"/>
          <w:sz w:val="22"/>
          <w:szCs w:val="22"/>
        </w:rPr>
        <w:footnoteReference w:id="623"/>
      </w:r>
    </w:p>
    <w:p w14:paraId="014BC8A4" w14:textId="77777777" w:rsidR="00F324A5" w:rsidRPr="00EC1FBB" w:rsidRDefault="00F324A5" w:rsidP="00F324A5">
      <w:pPr>
        <w:pStyle w:val="Titre2"/>
        <w:spacing w:line="240" w:lineRule="auto"/>
        <w:contextualSpacing/>
        <w:rPr>
          <w:rFonts w:asciiTheme="majorBidi" w:hAnsiTheme="majorBidi" w:cstheme="majorBidi"/>
          <w:sz w:val="22"/>
          <w:szCs w:val="22"/>
        </w:rPr>
      </w:pPr>
      <w:r w:rsidRPr="00EC1FBB">
        <w:rPr>
          <w:rFonts w:asciiTheme="majorBidi" w:hAnsiTheme="majorBidi" w:cstheme="majorBidi"/>
          <w:sz w:val="22"/>
          <w:szCs w:val="22"/>
        </w:rPr>
        <w:t>Le pèlerinage</w:t>
      </w:r>
    </w:p>
    <w:p w14:paraId="535CE4B7"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i/>
        </w:rPr>
        <w:t>(Al-Hajj</w:t>
      </w:r>
      <w:r w:rsidRPr="00EC1FBB">
        <w:rPr>
          <w:rFonts w:asciiTheme="majorBidi" w:hAnsiTheme="majorBidi" w:cstheme="majorBidi"/>
        </w:rPr>
        <w:t>)</w:t>
      </w:r>
    </w:p>
    <w:p w14:paraId="2DBF0F9B"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Au nom d’Allah, le Bienfaiteur miséricordieux.</w:t>
      </w:r>
    </w:p>
    <w:p w14:paraId="15C68B6C"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[Rappel de la Résurrection, Preuve de sa venue.]</w:t>
      </w:r>
    </w:p>
    <w:p w14:paraId="7CDF671A"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Hommes ! Soyez pieux envers votre Seigneur ! Le séisme de l’Heure sera chose immense</w:t>
      </w:r>
      <w:r w:rsidRPr="00EC1FBB">
        <w:rPr>
          <w:rStyle w:val="Appelnotedebasdep"/>
          <w:rFonts w:asciiTheme="majorBidi" w:hAnsiTheme="majorBidi" w:cstheme="majorBidi"/>
        </w:rPr>
        <w:footnoteReference w:id="624"/>
      </w:r>
      <w:r>
        <w:rPr>
          <w:rFonts w:asciiTheme="majorBidi" w:hAnsiTheme="majorBidi" w:cstheme="majorBidi"/>
        </w:rPr>
        <w:t>,</w:t>
      </w:r>
    </w:p>
    <w:p w14:paraId="21834B7B"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en ce jour où vous verrez chaque nourrice délaisser ce qu’elle allaite, [</w:t>
      </w:r>
      <w:r w:rsidRPr="00EC1FBB">
        <w:rPr>
          <w:rFonts w:asciiTheme="majorBidi" w:hAnsiTheme="majorBidi" w:cstheme="majorBidi"/>
          <w:i/>
        </w:rPr>
        <w:t>où</w:t>
      </w:r>
      <w:r w:rsidRPr="00EC1FBB">
        <w:rPr>
          <w:rFonts w:asciiTheme="majorBidi" w:hAnsiTheme="majorBidi" w:cstheme="majorBidi"/>
        </w:rPr>
        <w:t>] chaque femelle fécondée [,</w:t>
      </w:r>
      <w:r w:rsidRPr="00EC1FBB">
        <w:rPr>
          <w:rFonts w:asciiTheme="majorBidi" w:hAnsiTheme="majorBidi" w:cstheme="majorBidi"/>
          <w:i/>
        </w:rPr>
        <w:t>de terreur</w:t>
      </w:r>
      <w:r w:rsidRPr="00EC1FBB">
        <w:rPr>
          <w:rFonts w:asciiTheme="majorBidi" w:hAnsiTheme="majorBidi" w:cstheme="majorBidi"/>
        </w:rPr>
        <w:t>] mettra bas ce qu’elle porte, [</w:t>
      </w:r>
      <w:r w:rsidRPr="00EC1FBB">
        <w:rPr>
          <w:rFonts w:asciiTheme="majorBidi" w:hAnsiTheme="majorBidi" w:cstheme="majorBidi"/>
          <w:i/>
        </w:rPr>
        <w:t>où</w:t>
      </w:r>
      <w:r w:rsidRPr="00EC1FBB">
        <w:rPr>
          <w:rFonts w:asciiTheme="majorBidi" w:hAnsiTheme="majorBidi" w:cstheme="majorBidi"/>
        </w:rPr>
        <w:t xml:space="preserve">] tu verras les Hommes ivres, bien qu’ils ne le soient point. Le tourment d’Allah sera terrible. </w:t>
      </w:r>
    </w:p>
    <w:p w14:paraId="44F36B0D"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Parmi les Hommes, il en est qui discutent sur Allah sans [</w:t>
      </w:r>
      <w:r w:rsidRPr="00EC1FBB">
        <w:rPr>
          <w:rFonts w:asciiTheme="majorBidi" w:hAnsiTheme="majorBidi" w:cstheme="majorBidi"/>
          <w:i/>
        </w:rPr>
        <w:t>détenir aucune</w:t>
      </w:r>
      <w:r w:rsidRPr="00EC1FBB">
        <w:rPr>
          <w:rFonts w:asciiTheme="majorBidi" w:hAnsiTheme="majorBidi" w:cstheme="majorBidi"/>
        </w:rPr>
        <w:t xml:space="preserve">] Science, et qui suivent tout Démon révolté. </w:t>
      </w:r>
    </w:p>
    <w:p w14:paraId="495EA27F"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A l’égard de celui-ci, il a été écrit qu’il égarera et dirigera vers le tourment du Brasier quiconque l’aura pris comme patron</w:t>
      </w:r>
      <w:r w:rsidRPr="00EC1FBB">
        <w:rPr>
          <w:rStyle w:val="Appelnotedebasdep"/>
          <w:rFonts w:asciiTheme="majorBidi" w:hAnsiTheme="majorBidi" w:cstheme="majorBidi"/>
        </w:rPr>
        <w:footnoteReference w:id="625"/>
      </w:r>
      <w:r w:rsidRPr="00EC1FBB">
        <w:rPr>
          <w:rFonts w:asciiTheme="majorBidi" w:hAnsiTheme="majorBidi" w:cstheme="majorBidi"/>
        </w:rPr>
        <w:t xml:space="preserve">. </w:t>
      </w:r>
    </w:p>
    <w:p w14:paraId="4E8CB4A2"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Hommes ! Si vous êtes en un doute au sujet du Rappel [</w:t>
      </w:r>
      <w:r w:rsidRPr="00EC1FBB">
        <w:rPr>
          <w:rFonts w:asciiTheme="majorBidi" w:hAnsiTheme="majorBidi" w:cstheme="majorBidi"/>
          <w:i/>
        </w:rPr>
        <w:t>des trépassés, souvenez-vous que</w:t>
      </w:r>
      <w:r w:rsidRPr="00EC1FBB">
        <w:rPr>
          <w:rFonts w:asciiTheme="majorBidi" w:hAnsiTheme="majorBidi" w:cstheme="majorBidi"/>
        </w:rPr>
        <w:t>] Nous vous avons créés de poussière, puis d’une éjaculation, puis d’une adhérence, puis d’une masse flasque élaborée ( ?) ou non élaborée ( ?), afin de faire éclater l’évidence à vos yeux. [</w:t>
      </w:r>
      <w:r w:rsidRPr="00EC1FBB">
        <w:rPr>
          <w:rFonts w:asciiTheme="majorBidi" w:hAnsiTheme="majorBidi" w:cstheme="majorBidi"/>
          <w:i/>
        </w:rPr>
        <w:t>Souvenez-vous, que</w:t>
      </w:r>
      <w:r w:rsidRPr="00EC1FBB">
        <w:rPr>
          <w:rFonts w:asciiTheme="majorBidi" w:hAnsiTheme="majorBidi" w:cstheme="majorBidi"/>
        </w:rPr>
        <w:t>] Nous déposons dans les utérus ce que Nous voulons, jusqu’à un terme fixé, que Nous vous [</w:t>
      </w:r>
      <w:r w:rsidRPr="00EC1FBB">
        <w:rPr>
          <w:rFonts w:asciiTheme="majorBidi" w:hAnsiTheme="majorBidi" w:cstheme="majorBidi"/>
          <w:i/>
        </w:rPr>
        <w:t>en</w:t>
      </w:r>
      <w:r w:rsidRPr="00EC1FBB">
        <w:rPr>
          <w:rFonts w:asciiTheme="majorBidi" w:hAnsiTheme="majorBidi" w:cstheme="majorBidi"/>
        </w:rPr>
        <w:t>] faisons sortir ensuite, petit enfant, pour qu’ensuite vous atteigniez votre puberté. Parmi vous, il en est qui seront rappelés [</w:t>
      </w:r>
      <w:r w:rsidRPr="00EC1FBB">
        <w:rPr>
          <w:rFonts w:asciiTheme="majorBidi" w:hAnsiTheme="majorBidi" w:cstheme="majorBidi"/>
          <w:i/>
        </w:rPr>
        <w:t>au Seigneur</w:t>
      </w:r>
      <w:r w:rsidRPr="00EC1FBB">
        <w:rPr>
          <w:rFonts w:asciiTheme="majorBidi" w:hAnsiTheme="majorBidi" w:cstheme="majorBidi"/>
        </w:rPr>
        <w:t>] (tawaftä) [</w:t>
      </w:r>
      <w:r w:rsidRPr="00EC1FBB">
        <w:rPr>
          <w:rFonts w:asciiTheme="majorBidi" w:hAnsiTheme="majorBidi" w:cstheme="majorBidi"/>
          <w:i/>
        </w:rPr>
        <w:t>avant la vieillesse</w:t>
      </w:r>
      <w:r w:rsidRPr="00EC1FBB">
        <w:rPr>
          <w:rFonts w:asciiTheme="majorBidi" w:hAnsiTheme="majorBidi" w:cstheme="majorBidi"/>
        </w:rPr>
        <w:t>] ; parmi vous, il en est qui sont rejetés jusqu’à l’âge le plus vil, afin qu’après avoir su ils ne sachent plus rien. [</w:t>
      </w:r>
      <w:r w:rsidRPr="00EC1FBB">
        <w:rPr>
          <w:rFonts w:asciiTheme="majorBidi" w:hAnsiTheme="majorBidi" w:cstheme="majorBidi"/>
          <w:i/>
        </w:rPr>
        <w:t>De même</w:t>
      </w:r>
      <w:r>
        <w:rPr>
          <w:rFonts w:asciiTheme="majorBidi" w:hAnsiTheme="majorBidi" w:cstheme="majorBidi"/>
        </w:rPr>
        <w:t>,] tu vois la terre prostrée</w:t>
      </w:r>
      <w:r w:rsidRPr="00EC1FBB">
        <w:rPr>
          <w:rFonts w:asciiTheme="majorBidi" w:hAnsiTheme="majorBidi" w:cstheme="majorBidi"/>
        </w:rPr>
        <w:t>. Or, quand Nous faisons descendre sur elle l’eau [</w:t>
      </w:r>
      <w:r w:rsidRPr="00EC1FBB">
        <w:rPr>
          <w:rFonts w:asciiTheme="majorBidi" w:hAnsiTheme="majorBidi" w:cstheme="majorBidi"/>
          <w:i/>
        </w:rPr>
        <w:t>du ciel</w:t>
      </w:r>
      <w:r w:rsidRPr="00EC1FBB">
        <w:rPr>
          <w:rFonts w:asciiTheme="majorBidi" w:hAnsiTheme="majorBidi" w:cstheme="majorBidi"/>
        </w:rPr>
        <w:t>], elle s’ébroue, se redresse, fait pousser tout magnifique couple [</w:t>
      </w:r>
      <w:r w:rsidRPr="00EC1FBB">
        <w:rPr>
          <w:rFonts w:asciiTheme="majorBidi" w:hAnsiTheme="majorBidi" w:cstheme="majorBidi"/>
          <w:i/>
        </w:rPr>
        <w:t>végétal</w:t>
      </w:r>
      <w:r w:rsidRPr="00EC1FBB">
        <w:rPr>
          <w:rFonts w:asciiTheme="majorBidi" w:hAnsiTheme="majorBidi" w:cstheme="majorBidi"/>
        </w:rPr>
        <w:t>]</w:t>
      </w:r>
      <w:r w:rsidRPr="00EC1FBB">
        <w:rPr>
          <w:rStyle w:val="Appelnotedebasdep"/>
          <w:rFonts w:asciiTheme="majorBidi" w:hAnsiTheme="majorBidi" w:cstheme="majorBidi"/>
        </w:rPr>
        <w:footnoteReference w:id="626"/>
      </w:r>
      <w:r w:rsidRPr="00EC1FBB">
        <w:rPr>
          <w:rFonts w:asciiTheme="majorBidi" w:hAnsiTheme="majorBidi" w:cstheme="majorBidi"/>
        </w:rPr>
        <w:t xml:space="preserve">. </w:t>
      </w:r>
    </w:p>
    <w:p w14:paraId="06FA842B"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 xml:space="preserve">C’est qu’Allah est en effet la Vérité, qu’Il ranime les Morts, que sur toute chose Il est omnipotent, </w:t>
      </w:r>
    </w:p>
    <w:p w14:paraId="53AD2CE1"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 xml:space="preserve">que l’Heure va venir – nul doute à son endroit -, et qu’Allah rappellera ceux qui sont dans les sépulcres. </w:t>
      </w:r>
    </w:p>
    <w:p w14:paraId="359F839D"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Parmi les Hommes, il en est qui discutent sur Allah, sans [</w:t>
      </w:r>
      <w:r w:rsidRPr="00EC1FBB">
        <w:rPr>
          <w:rFonts w:asciiTheme="majorBidi" w:hAnsiTheme="majorBidi" w:cstheme="majorBidi"/>
          <w:i/>
        </w:rPr>
        <w:t>détenir ni</w:t>
      </w:r>
      <w:r w:rsidRPr="00EC1FBB">
        <w:rPr>
          <w:rFonts w:asciiTheme="majorBidi" w:hAnsiTheme="majorBidi" w:cstheme="majorBidi"/>
        </w:rPr>
        <w:t xml:space="preserve">] Science, ni Direction, ni Écriture lumineuse, </w:t>
      </w:r>
    </w:p>
    <w:p w14:paraId="4388E9A3"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lastRenderedPageBreak/>
        <w:t>[</w:t>
      </w:r>
      <w:r w:rsidRPr="00EC1FBB">
        <w:rPr>
          <w:rFonts w:asciiTheme="majorBidi" w:hAnsiTheme="majorBidi" w:cstheme="majorBidi"/>
          <w:i/>
        </w:rPr>
        <w:t>seulement</w:t>
      </w:r>
      <w:r w:rsidRPr="00EC1FBB">
        <w:rPr>
          <w:rFonts w:asciiTheme="majorBidi" w:hAnsiTheme="majorBidi" w:cstheme="majorBidi"/>
        </w:rPr>
        <w:t>] par cautèle, pour égarer loin du Chemin d’Allah. A ceux-là, opprobre dans la [</w:t>
      </w:r>
      <w:r w:rsidRPr="00EC1FBB">
        <w:rPr>
          <w:rFonts w:asciiTheme="majorBidi" w:hAnsiTheme="majorBidi" w:cstheme="majorBidi"/>
          <w:i/>
        </w:rPr>
        <w:t>Vie</w:t>
      </w:r>
      <w:r w:rsidRPr="00EC1FBB">
        <w:rPr>
          <w:rFonts w:asciiTheme="majorBidi" w:hAnsiTheme="majorBidi" w:cstheme="majorBidi"/>
        </w:rPr>
        <w:t>] immédiate ! Au Jour de la Résurrection, Nous leur ferons goûter le tourment de la Calcination</w:t>
      </w:r>
      <w:r w:rsidRPr="00EC1FBB">
        <w:rPr>
          <w:rStyle w:val="Appelnotedebasdep"/>
          <w:rFonts w:asciiTheme="majorBidi" w:hAnsiTheme="majorBidi" w:cstheme="majorBidi"/>
        </w:rPr>
        <w:footnoteReference w:id="627"/>
      </w:r>
      <w:r w:rsidRPr="00EC1FBB">
        <w:rPr>
          <w:rFonts w:asciiTheme="majorBidi" w:hAnsiTheme="majorBidi" w:cstheme="majorBidi"/>
        </w:rPr>
        <w:t xml:space="preserve">, </w:t>
      </w:r>
    </w:p>
    <w:p w14:paraId="7677F69E"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cela, en prix de ce qu’ont accompli leurs mains. Allah n’est point injuste (</w:t>
      </w:r>
      <w:r w:rsidRPr="00EC1FBB">
        <w:rPr>
          <w:rFonts w:asciiTheme="majorBidi" w:hAnsiTheme="majorBidi" w:cstheme="majorBidi"/>
          <w:i/>
        </w:rPr>
        <w:t>ẓallâm</w:t>
      </w:r>
      <w:r w:rsidRPr="00EC1FBB">
        <w:rPr>
          <w:rFonts w:asciiTheme="majorBidi" w:hAnsiTheme="majorBidi" w:cstheme="majorBidi"/>
        </w:rPr>
        <w:t>) envers ses Serviteurs</w:t>
      </w:r>
      <w:r w:rsidRPr="00EC1FBB">
        <w:rPr>
          <w:rStyle w:val="Appelnotedebasdep"/>
          <w:rFonts w:asciiTheme="majorBidi" w:hAnsiTheme="majorBidi" w:cstheme="majorBidi"/>
        </w:rPr>
        <w:footnoteReference w:id="628"/>
      </w:r>
      <w:r w:rsidRPr="00EC1FBB">
        <w:rPr>
          <w:rFonts w:asciiTheme="majorBidi" w:hAnsiTheme="majorBidi" w:cstheme="majorBidi"/>
        </w:rPr>
        <w:t xml:space="preserve">. </w:t>
      </w:r>
    </w:p>
    <w:p w14:paraId="733CF485" w14:textId="77777777" w:rsidR="00F324A5" w:rsidRPr="00EC1FBB" w:rsidRDefault="00F324A5" w:rsidP="00F324A5">
      <w:pPr>
        <w:ind w:left="1416" w:firstLine="708"/>
        <w:contextualSpacing/>
        <w:jc w:val="both"/>
        <w:rPr>
          <w:rFonts w:asciiTheme="majorBidi" w:hAnsiTheme="majorBidi" w:cstheme="majorBidi"/>
        </w:rPr>
      </w:pPr>
      <w:r w:rsidRPr="00EC1FBB">
        <w:rPr>
          <w:rFonts w:asciiTheme="majorBidi" w:hAnsiTheme="majorBidi" w:cstheme="majorBidi"/>
        </w:rPr>
        <w:t>[Versatilité de l’Homme. Rétribution selon les œuvres]</w:t>
      </w:r>
    </w:p>
    <w:p w14:paraId="047D8C87"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Parmi les Hommes, il en est qui adorent Allah, en balance. Si un bonheur leur échoit, ils le goûtent avec tranquillité ; si une tentation [d’abjurer] les touche [</w:t>
      </w:r>
      <w:r w:rsidRPr="00EC1FBB">
        <w:rPr>
          <w:rFonts w:asciiTheme="majorBidi" w:hAnsiTheme="majorBidi" w:cstheme="majorBidi"/>
          <w:i/>
        </w:rPr>
        <w:t>au contraire</w:t>
      </w:r>
      <w:r w:rsidRPr="00EC1FBB">
        <w:rPr>
          <w:rFonts w:asciiTheme="majorBidi" w:hAnsiTheme="majorBidi" w:cstheme="majorBidi"/>
        </w:rPr>
        <w:t>], ils se détournent sans retour. Qu’ils perdent la [</w:t>
      </w:r>
      <w:r w:rsidRPr="00EC1FBB">
        <w:rPr>
          <w:rFonts w:asciiTheme="majorBidi" w:hAnsiTheme="majorBidi" w:cstheme="majorBidi"/>
          <w:i/>
        </w:rPr>
        <w:t>Vie</w:t>
      </w:r>
      <w:r w:rsidRPr="00EC1FBB">
        <w:rPr>
          <w:rFonts w:asciiTheme="majorBidi" w:hAnsiTheme="majorBidi" w:cstheme="majorBidi"/>
        </w:rPr>
        <w:t>] Immédiate et la [</w:t>
      </w:r>
      <w:r w:rsidRPr="00EC1FBB">
        <w:rPr>
          <w:rFonts w:asciiTheme="majorBidi" w:hAnsiTheme="majorBidi" w:cstheme="majorBidi"/>
          <w:i/>
        </w:rPr>
        <w:t>Vie</w:t>
      </w:r>
      <w:r w:rsidRPr="00EC1FBB">
        <w:rPr>
          <w:rFonts w:asciiTheme="majorBidi" w:hAnsiTheme="majorBidi" w:cstheme="majorBidi"/>
        </w:rPr>
        <w:t>] Dernière ! C’est là la Perte éclatante</w:t>
      </w:r>
      <w:r w:rsidRPr="00EC1FBB">
        <w:rPr>
          <w:rStyle w:val="Appelnotedebasdep"/>
          <w:rFonts w:asciiTheme="majorBidi" w:hAnsiTheme="majorBidi" w:cstheme="majorBidi"/>
        </w:rPr>
        <w:footnoteReference w:id="629"/>
      </w:r>
      <w:r>
        <w:rPr>
          <w:rFonts w:asciiTheme="majorBidi" w:hAnsiTheme="majorBidi" w:cstheme="majorBidi"/>
        </w:rPr>
        <w:t>.</w:t>
      </w:r>
    </w:p>
    <w:p w14:paraId="5F84D468"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 xml:space="preserve">Ils prient, en dehors d’Allah, ce qui ne leur est ni nuisible ni utile : c’est là l’Égarement Infini. </w:t>
      </w:r>
    </w:p>
    <w:p w14:paraId="05D590EC"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 xml:space="preserve">Ils prient, certes, celui dont la nocivité est plus proche que l’utilité. Quel mauvais maître certes, et quel mauvais acolyte ! </w:t>
      </w:r>
    </w:p>
    <w:p w14:paraId="6D2559DD" w14:textId="77777777" w:rsidR="00F324A5" w:rsidRPr="00EC1FBB" w:rsidRDefault="00F324A5" w:rsidP="00F324A5">
      <w:pPr>
        <w:ind w:left="1416" w:firstLine="708"/>
        <w:contextualSpacing/>
        <w:jc w:val="both"/>
        <w:rPr>
          <w:rFonts w:asciiTheme="majorBidi" w:hAnsiTheme="majorBidi" w:cstheme="majorBidi"/>
        </w:rPr>
      </w:pPr>
      <w:r w:rsidRPr="00EC1FBB">
        <w:rPr>
          <w:rFonts w:asciiTheme="majorBidi" w:hAnsiTheme="majorBidi" w:cstheme="majorBidi"/>
        </w:rPr>
        <w:t>[Monothéistes et Associateurs, Au Jugement Dernier]</w:t>
      </w:r>
    </w:p>
    <w:p w14:paraId="4CF572F6"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 xml:space="preserve">Allah fera entrer ceux qui auront cru et accompli des œuvres pies, dans des Jardins sous lesquels coulent les ruisseaux. Allah fait ce qu’Il veut. </w:t>
      </w:r>
    </w:p>
    <w:p w14:paraId="7F4834FC"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Que celui qui pense qu’Allah ne le secourra pas, dans la [</w:t>
      </w:r>
      <w:r w:rsidRPr="00EC1FBB">
        <w:rPr>
          <w:rFonts w:asciiTheme="majorBidi" w:hAnsiTheme="majorBidi" w:cstheme="majorBidi"/>
          <w:i/>
        </w:rPr>
        <w:t>Vie</w:t>
      </w:r>
      <w:r w:rsidRPr="00EC1FBB">
        <w:rPr>
          <w:rFonts w:asciiTheme="majorBidi" w:hAnsiTheme="majorBidi" w:cstheme="majorBidi"/>
        </w:rPr>
        <w:t>] Immédiate et la [</w:t>
      </w:r>
      <w:r w:rsidRPr="00EC1FBB">
        <w:rPr>
          <w:rFonts w:asciiTheme="majorBidi" w:hAnsiTheme="majorBidi" w:cstheme="majorBidi"/>
          <w:i/>
        </w:rPr>
        <w:t>Vie</w:t>
      </w:r>
      <w:r w:rsidRPr="00EC1FBB">
        <w:rPr>
          <w:rFonts w:asciiTheme="majorBidi" w:hAnsiTheme="majorBidi" w:cstheme="majorBidi"/>
        </w:rPr>
        <w:t>] Dernière, tende une corde jusqu’au ciel, puis qu’il la tranche et qu’il considère si son stratagème dissipera ce qui [l’]irrite</w:t>
      </w:r>
      <w:r w:rsidRPr="00EC1FBB">
        <w:rPr>
          <w:rStyle w:val="Appelnotedebasdep"/>
          <w:rFonts w:asciiTheme="majorBidi" w:hAnsiTheme="majorBidi" w:cstheme="majorBidi"/>
        </w:rPr>
        <w:footnoteReference w:id="630"/>
      </w:r>
      <w:r w:rsidRPr="00EC1FBB">
        <w:rPr>
          <w:rFonts w:asciiTheme="majorBidi" w:hAnsiTheme="majorBidi" w:cstheme="majorBidi"/>
        </w:rPr>
        <w:t xml:space="preserve">. </w:t>
      </w:r>
    </w:p>
    <w:p w14:paraId="10259DC9"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FF7236">
        <w:rPr>
          <w:rFonts w:asciiTheme="majorBidi" w:hAnsiTheme="majorBidi" w:cstheme="majorBidi"/>
          <w:i/>
          <w:iCs/>
        </w:rPr>
        <w:t>A.</w:t>
      </w:r>
      <w:r w:rsidRPr="00EC1FBB">
        <w:rPr>
          <w:rFonts w:asciiTheme="majorBidi" w:hAnsiTheme="majorBidi" w:cstheme="majorBidi"/>
        </w:rPr>
        <w:t xml:space="preserve"> Et ainsi, Nous l’avons fait descendre en claires </w:t>
      </w:r>
      <w:r w:rsidRPr="00EC1FBB">
        <w:rPr>
          <w:rFonts w:asciiTheme="majorBidi" w:hAnsiTheme="majorBidi" w:cstheme="majorBidi"/>
          <w:i/>
        </w:rPr>
        <w:t xml:space="preserve">aya </w:t>
      </w:r>
      <w:r w:rsidRPr="00EC1FBB">
        <w:rPr>
          <w:rFonts w:asciiTheme="majorBidi" w:hAnsiTheme="majorBidi" w:cstheme="majorBidi"/>
        </w:rPr>
        <w:t>et qu’Allah (</w:t>
      </w:r>
      <w:r w:rsidRPr="00EC1FBB">
        <w:rPr>
          <w:rFonts w:asciiTheme="majorBidi" w:hAnsiTheme="majorBidi" w:cstheme="majorBidi"/>
          <w:i/>
        </w:rPr>
        <w:t>sic</w:t>
      </w:r>
      <w:r>
        <w:rPr>
          <w:rFonts w:asciiTheme="majorBidi" w:hAnsiTheme="majorBidi" w:cstheme="majorBidi"/>
        </w:rPr>
        <w:t>) dirige qui Il veut. /</w:t>
      </w:r>
      <w:r w:rsidRPr="00EC1FBB">
        <w:rPr>
          <w:rFonts w:asciiTheme="majorBidi" w:hAnsiTheme="majorBidi" w:cstheme="majorBidi"/>
        </w:rPr>
        <w:t xml:space="preserve"> </w:t>
      </w:r>
      <w:r w:rsidRPr="00A63D31">
        <w:rPr>
          <w:rFonts w:asciiTheme="majorBidi" w:hAnsiTheme="majorBidi" w:cstheme="majorBidi"/>
          <w:i/>
          <w:iCs/>
        </w:rPr>
        <w:t>B.</w:t>
      </w:r>
      <w:r w:rsidRPr="00EC1FBB">
        <w:rPr>
          <w:rFonts w:asciiTheme="majorBidi" w:hAnsiTheme="majorBidi" w:cstheme="majorBidi"/>
        </w:rPr>
        <w:t xml:space="preserve"> et </w:t>
      </w:r>
      <w:r w:rsidRPr="00EC1FBB">
        <w:rPr>
          <w:rFonts w:asciiTheme="majorBidi" w:hAnsiTheme="majorBidi" w:cstheme="majorBidi"/>
          <w:i/>
        </w:rPr>
        <w:t>Ainsi Nous l’avons fait descendre en claires aya</w:t>
      </w:r>
      <w:r w:rsidRPr="00EC1FBB">
        <w:rPr>
          <w:rFonts w:asciiTheme="majorBidi" w:hAnsiTheme="majorBidi" w:cstheme="majorBidi"/>
        </w:rPr>
        <w:t xml:space="preserve"> et [</w:t>
      </w:r>
      <w:r w:rsidRPr="00EC1FBB">
        <w:rPr>
          <w:rFonts w:asciiTheme="majorBidi" w:hAnsiTheme="majorBidi" w:cstheme="majorBidi"/>
          <w:i/>
        </w:rPr>
        <w:t>que</w:t>
      </w:r>
      <w:r w:rsidRPr="00EC1FBB">
        <w:rPr>
          <w:rFonts w:asciiTheme="majorBidi" w:hAnsiTheme="majorBidi" w:cstheme="majorBidi"/>
        </w:rPr>
        <w:t xml:space="preserve"> cet homme considère] qu’Allah dirige qui Il veut</w:t>
      </w:r>
      <w:r w:rsidRPr="00EC1FBB">
        <w:rPr>
          <w:rStyle w:val="Appelnotedebasdep"/>
          <w:rFonts w:asciiTheme="majorBidi" w:hAnsiTheme="majorBidi" w:cstheme="majorBidi"/>
        </w:rPr>
        <w:footnoteReference w:id="631"/>
      </w:r>
      <w:r w:rsidRPr="00EC1FBB">
        <w:rPr>
          <w:rFonts w:asciiTheme="majorBidi" w:hAnsiTheme="majorBidi" w:cstheme="majorBidi"/>
        </w:rPr>
        <w:t xml:space="preserve">. </w:t>
      </w:r>
    </w:p>
    <w:p w14:paraId="0E22F3C7"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 xml:space="preserve">Au jour de la Résurrection, Allah distinguera entre ceux qui auront cru, </w:t>
      </w:r>
      <w:r w:rsidRPr="00EC1FBB">
        <w:rPr>
          <w:rFonts w:asciiTheme="majorBidi" w:hAnsiTheme="majorBidi" w:cstheme="majorBidi"/>
          <w:i/>
        </w:rPr>
        <w:t>ceux qui auront pratiqué le Judaïsme, les Sabéens, les Chrétiens et les Zoroastriens</w:t>
      </w:r>
      <w:r w:rsidRPr="00EC1FBB">
        <w:rPr>
          <w:rFonts w:asciiTheme="majorBidi" w:hAnsiTheme="majorBidi" w:cstheme="majorBidi"/>
        </w:rPr>
        <w:t>, et ceux qui auront été Associateurs. Allah, de toute chose, est témoin</w:t>
      </w:r>
      <w:r w:rsidRPr="00EC1FBB">
        <w:rPr>
          <w:rStyle w:val="Appelnotedebasdep"/>
          <w:rFonts w:asciiTheme="majorBidi" w:hAnsiTheme="majorBidi" w:cstheme="majorBidi"/>
        </w:rPr>
        <w:footnoteReference w:id="632"/>
      </w:r>
      <w:r w:rsidRPr="00EC1FBB">
        <w:rPr>
          <w:rFonts w:asciiTheme="majorBidi" w:hAnsiTheme="majorBidi" w:cstheme="majorBidi"/>
        </w:rPr>
        <w:t xml:space="preserve">. </w:t>
      </w:r>
    </w:p>
    <w:p w14:paraId="6DEEBEE8"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Ne vois-tu pas que, devant Allah, se prosternent ceux qui sont dans les cieux et ceux qui sont sur la terre, de même que le soleil, la lune, les étoiles, les montagnes, les arbres, les animaux et beaucoup d’Hommes ? [</w:t>
      </w:r>
      <w:r w:rsidRPr="00EC1FBB">
        <w:rPr>
          <w:rFonts w:asciiTheme="majorBidi" w:hAnsiTheme="majorBidi" w:cstheme="majorBidi"/>
          <w:i/>
        </w:rPr>
        <w:t>Toutefois</w:t>
      </w:r>
      <w:r w:rsidRPr="00EC1FBB">
        <w:rPr>
          <w:rFonts w:asciiTheme="majorBidi" w:hAnsiTheme="majorBidi" w:cstheme="majorBidi"/>
        </w:rPr>
        <w:t>], pour beaucoup [</w:t>
      </w:r>
      <w:r w:rsidRPr="00EC1FBB">
        <w:rPr>
          <w:rFonts w:asciiTheme="majorBidi" w:hAnsiTheme="majorBidi" w:cstheme="majorBidi"/>
          <w:i/>
        </w:rPr>
        <w:t>d’Hommes</w:t>
      </w:r>
      <w:r>
        <w:rPr>
          <w:rFonts w:asciiTheme="majorBidi" w:hAnsiTheme="majorBidi" w:cstheme="majorBidi"/>
        </w:rPr>
        <w:t>]</w:t>
      </w:r>
      <w:r w:rsidRPr="00EC1FBB">
        <w:rPr>
          <w:rFonts w:asciiTheme="majorBidi" w:hAnsiTheme="majorBidi" w:cstheme="majorBidi"/>
        </w:rPr>
        <w:t>, le Tourment est inéluctable, [</w:t>
      </w:r>
      <w:r w:rsidRPr="00EC1FBB">
        <w:rPr>
          <w:rFonts w:asciiTheme="majorBidi" w:hAnsiTheme="majorBidi" w:cstheme="majorBidi"/>
          <w:i/>
        </w:rPr>
        <w:t>car</w:t>
      </w:r>
      <w:r w:rsidRPr="00EC1FBB">
        <w:rPr>
          <w:rFonts w:asciiTheme="majorBidi" w:hAnsiTheme="majorBidi" w:cstheme="majorBidi"/>
        </w:rPr>
        <w:t>] quiconque méprise Allah n’aura nul bienfait [</w:t>
      </w:r>
      <w:r w:rsidRPr="00EC1FBB">
        <w:rPr>
          <w:rFonts w:asciiTheme="majorBidi" w:hAnsiTheme="majorBidi" w:cstheme="majorBidi"/>
          <w:i/>
        </w:rPr>
        <w:t>au Jugement Dernier</w:t>
      </w:r>
      <w:r w:rsidRPr="00EC1FBB">
        <w:rPr>
          <w:rFonts w:asciiTheme="majorBidi" w:hAnsiTheme="majorBidi" w:cstheme="majorBidi"/>
        </w:rPr>
        <w:t xml:space="preserve">]. Allah fait ce qu’Il veut. </w:t>
      </w:r>
    </w:p>
    <w:p w14:paraId="7B1EAB29"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Voici deux groupes adverses qui se querellent au sujet de leur Seigneur. A ceux qui sont infidèles seront taillés des vêtements de feu ; sur leurs têtes sera versée de l’eau bouillante</w:t>
      </w:r>
      <w:r w:rsidRPr="00EC1FBB">
        <w:rPr>
          <w:rStyle w:val="Appelnotedebasdep"/>
          <w:rFonts w:asciiTheme="majorBidi" w:hAnsiTheme="majorBidi" w:cstheme="majorBidi"/>
        </w:rPr>
        <w:footnoteReference w:id="633"/>
      </w:r>
    </w:p>
    <w:p w14:paraId="62993EDA"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lastRenderedPageBreak/>
        <w:t xml:space="preserve">par laquelle seront consumées leurs entrailles et leur peau ; </w:t>
      </w:r>
    </w:p>
    <w:p w14:paraId="2C0D0DE2"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 xml:space="preserve">des fouets de fer leur seront destinés ; </w:t>
      </w:r>
    </w:p>
    <w:p w14:paraId="0BDA6508"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chaque fois que, de chagrin, ils voudront sortir de ce Feu, ils y seront ramenés [et il leur sera crié] : « Goûtez le tourment de la Calcination ! »</w:t>
      </w:r>
    </w:p>
    <w:p w14:paraId="546293C9"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w:t>
      </w:r>
      <w:r w:rsidRPr="00EC1FBB">
        <w:rPr>
          <w:rFonts w:asciiTheme="majorBidi" w:hAnsiTheme="majorBidi" w:cstheme="majorBidi"/>
          <w:i/>
        </w:rPr>
        <w:t>Cependant</w:t>
      </w:r>
      <w:r w:rsidRPr="00EC1FBB">
        <w:rPr>
          <w:rFonts w:asciiTheme="majorBidi" w:hAnsiTheme="majorBidi" w:cstheme="majorBidi"/>
        </w:rPr>
        <w:t xml:space="preserve">,] Allah fera entrer ceux qui auront cru et fait les œuvres pies, dans des Jardins sous lesquels couleront les ruisseaux, où ils seront parés de bracelets d’or et de perles, où leurs vêtements seront de soie : </w:t>
      </w:r>
    </w:p>
    <w:p w14:paraId="64CC627B" w14:textId="77777777" w:rsidR="00F324A5" w:rsidRPr="00EC1FBB" w:rsidRDefault="00F324A5" w:rsidP="00876BB0">
      <w:pPr>
        <w:numPr>
          <w:ilvl w:val="0"/>
          <w:numId w:val="131"/>
        </w:numPr>
        <w:tabs>
          <w:tab w:val="clear" w:pos="720"/>
        </w:tabs>
        <w:ind w:left="360" w:hanging="360"/>
        <w:contextualSpacing/>
        <w:jc w:val="both"/>
        <w:rPr>
          <w:rFonts w:asciiTheme="majorBidi" w:hAnsiTheme="majorBidi" w:cstheme="majorBidi"/>
        </w:rPr>
      </w:pPr>
      <w:r w:rsidRPr="00EC1FBB">
        <w:rPr>
          <w:rFonts w:asciiTheme="majorBidi" w:hAnsiTheme="majorBidi" w:cstheme="majorBidi"/>
        </w:rPr>
        <w:t>[</w:t>
      </w:r>
      <w:r w:rsidRPr="00EC1FBB">
        <w:rPr>
          <w:rFonts w:asciiTheme="majorBidi" w:hAnsiTheme="majorBidi" w:cstheme="majorBidi"/>
          <w:i/>
        </w:rPr>
        <w:t>ceux-là</w:t>
      </w:r>
      <w:r w:rsidRPr="00EC1FBB">
        <w:rPr>
          <w:rFonts w:asciiTheme="majorBidi" w:hAnsiTheme="majorBidi" w:cstheme="majorBidi"/>
        </w:rPr>
        <w:t xml:space="preserve">] auront été dirigés vers la Belle Parole et vers la Voie du Digne de Louanges. </w:t>
      </w:r>
    </w:p>
    <w:p w14:paraId="0FEAE812" w14:textId="77777777" w:rsidR="00F324A5" w:rsidRPr="00EC1FBB" w:rsidRDefault="00F324A5" w:rsidP="00F324A5">
      <w:pPr>
        <w:ind w:left="709" w:firstLine="707"/>
        <w:contextualSpacing/>
        <w:jc w:val="both"/>
        <w:rPr>
          <w:rFonts w:asciiTheme="majorBidi" w:hAnsiTheme="majorBidi" w:cstheme="majorBidi"/>
        </w:rPr>
      </w:pPr>
      <w:r w:rsidRPr="00EC1FBB">
        <w:rPr>
          <w:rFonts w:asciiTheme="majorBidi" w:hAnsiTheme="majorBidi" w:cstheme="majorBidi"/>
        </w:rPr>
        <w:t>[La Mosquée Sacrée interdite par les Mekkois aux Croyants de Médine]</w:t>
      </w:r>
    </w:p>
    <w:p w14:paraId="41D5B6C8" w14:textId="77777777" w:rsidR="00F324A5" w:rsidRPr="00EC1FBB" w:rsidRDefault="00F324A5" w:rsidP="00876BB0">
      <w:pPr>
        <w:numPr>
          <w:ilvl w:val="0"/>
          <w:numId w:val="131"/>
        </w:numPr>
        <w:tabs>
          <w:tab w:val="clear" w:pos="720"/>
        </w:tabs>
        <w:ind w:left="709" w:hanging="360"/>
        <w:contextualSpacing/>
        <w:jc w:val="both"/>
        <w:rPr>
          <w:rFonts w:asciiTheme="majorBidi" w:hAnsiTheme="majorBidi" w:cstheme="majorBidi"/>
        </w:rPr>
      </w:pPr>
      <w:r w:rsidRPr="00EC1FBB">
        <w:rPr>
          <w:rFonts w:asciiTheme="majorBidi" w:hAnsiTheme="majorBidi" w:cstheme="majorBidi"/>
        </w:rPr>
        <w:t>Ceux qui sont infidèles écartent du Chemin d’Allah et de la Mosquée Sacrée que Nous avons placée pour [</w:t>
      </w:r>
      <w:r w:rsidRPr="00EC1FBB">
        <w:rPr>
          <w:rFonts w:asciiTheme="majorBidi" w:hAnsiTheme="majorBidi" w:cstheme="majorBidi"/>
          <w:i/>
        </w:rPr>
        <w:t>tous</w:t>
      </w:r>
      <w:r w:rsidRPr="00EC1FBB">
        <w:rPr>
          <w:rFonts w:asciiTheme="majorBidi" w:hAnsiTheme="majorBidi" w:cstheme="majorBidi"/>
        </w:rPr>
        <w:t>] les Hommes également, [</w:t>
      </w:r>
      <w:r w:rsidRPr="00EC1FBB">
        <w:rPr>
          <w:rFonts w:asciiTheme="majorBidi" w:hAnsiTheme="majorBidi" w:cstheme="majorBidi"/>
          <w:i/>
        </w:rPr>
        <w:t>pour</w:t>
      </w:r>
      <w:r w:rsidRPr="00EC1FBB">
        <w:rPr>
          <w:rFonts w:asciiTheme="majorBidi" w:hAnsiTheme="majorBidi" w:cstheme="majorBidi"/>
        </w:rPr>
        <w:t>] celui qui réside près d’elle et [</w:t>
      </w:r>
      <w:r w:rsidRPr="00EC1FBB">
        <w:rPr>
          <w:rFonts w:asciiTheme="majorBidi" w:hAnsiTheme="majorBidi" w:cstheme="majorBidi"/>
          <w:i/>
        </w:rPr>
        <w:t>pour</w:t>
      </w:r>
      <w:r w:rsidRPr="00EC1FBB">
        <w:rPr>
          <w:rFonts w:asciiTheme="majorBidi" w:hAnsiTheme="majorBidi" w:cstheme="majorBidi"/>
        </w:rPr>
        <w:t>] celui du dehors. Or Nous ferons goûter un tourment cruel à quiconque, à l’égard de [cette Mosquée], voudra [</w:t>
      </w:r>
      <w:r w:rsidRPr="00EC1FBB">
        <w:rPr>
          <w:rFonts w:asciiTheme="majorBidi" w:hAnsiTheme="majorBidi" w:cstheme="majorBidi"/>
          <w:i/>
        </w:rPr>
        <w:t>agir</w:t>
      </w:r>
      <w:r w:rsidRPr="00EC1FBB">
        <w:rPr>
          <w:rFonts w:asciiTheme="majorBidi" w:hAnsiTheme="majorBidi" w:cstheme="majorBidi"/>
        </w:rPr>
        <w:t>] par sacrilège ( ?), par injustice</w:t>
      </w:r>
      <w:r w:rsidRPr="00EC1FBB">
        <w:rPr>
          <w:rStyle w:val="Appelnotedebasdep"/>
          <w:rFonts w:asciiTheme="majorBidi" w:hAnsiTheme="majorBidi" w:cstheme="majorBidi"/>
        </w:rPr>
        <w:footnoteReference w:id="634"/>
      </w:r>
      <w:r w:rsidRPr="00EC1FBB">
        <w:rPr>
          <w:rFonts w:asciiTheme="majorBidi" w:hAnsiTheme="majorBidi" w:cstheme="majorBidi"/>
        </w:rPr>
        <w:t xml:space="preserve">. </w:t>
      </w:r>
    </w:p>
    <w:p w14:paraId="3ED1F1FF" w14:textId="77777777" w:rsidR="00F324A5" w:rsidRPr="00EC1FBB" w:rsidRDefault="00F324A5" w:rsidP="00876BB0">
      <w:pPr>
        <w:numPr>
          <w:ilvl w:val="0"/>
          <w:numId w:val="131"/>
        </w:numPr>
        <w:tabs>
          <w:tab w:val="clear" w:pos="720"/>
        </w:tabs>
        <w:ind w:left="709" w:hanging="360"/>
        <w:contextualSpacing/>
        <w:jc w:val="both"/>
        <w:rPr>
          <w:rFonts w:asciiTheme="majorBidi" w:hAnsiTheme="majorBidi" w:cstheme="majorBidi"/>
        </w:rPr>
      </w:pPr>
      <w:r w:rsidRPr="00EC1FBB">
        <w:rPr>
          <w:rFonts w:asciiTheme="majorBidi" w:hAnsiTheme="majorBidi" w:cstheme="majorBidi"/>
        </w:rPr>
        <w:t>Et [</w:t>
      </w:r>
      <w:r w:rsidRPr="00EC1FBB">
        <w:rPr>
          <w:rFonts w:asciiTheme="majorBidi" w:hAnsiTheme="majorBidi" w:cstheme="majorBidi"/>
          <w:i/>
        </w:rPr>
        <w:t>rappelle-leur</w:t>
      </w:r>
      <w:r w:rsidRPr="00EC1FBB">
        <w:rPr>
          <w:rFonts w:asciiTheme="majorBidi" w:hAnsiTheme="majorBidi" w:cstheme="majorBidi"/>
        </w:rPr>
        <w:t>] quand Nous établîmes, pour Abraham, l’emplacement du Temple, [</w:t>
      </w:r>
      <w:r w:rsidRPr="00EC1FBB">
        <w:rPr>
          <w:rFonts w:asciiTheme="majorBidi" w:hAnsiTheme="majorBidi" w:cstheme="majorBidi"/>
          <w:i/>
        </w:rPr>
        <w:t>lui disant</w:t>
      </w:r>
      <w:r w:rsidRPr="00EC1FBB">
        <w:rPr>
          <w:rFonts w:asciiTheme="majorBidi" w:hAnsiTheme="majorBidi" w:cstheme="majorBidi"/>
        </w:rPr>
        <w:t>] : « Ne m’associe rien ! Purifie Mon Temple pour ceux qui accomplissent la circumambulation, [</w:t>
      </w:r>
      <w:r w:rsidRPr="00EC1FBB">
        <w:rPr>
          <w:rFonts w:asciiTheme="majorBidi" w:hAnsiTheme="majorBidi" w:cstheme="majorBidi"/>
          <w:i/>
        </w:rPr>
        <w:t>pour</w:t>
      </w:r>
      <w:r w:rsidRPr="00EC1FBB">
        <w:rPr>
          <w:rFonts w:asciiTheme="majorBidi" w:hAnsiTheme="majorBidi" w:cstheme="majorBidi"/>
        </w:rPr>
        <w:t>] ceux qui [</w:t>
      </w:r>
      <w:r w:rsidRPr="00EC1FBB">
        <w:rPr>
          <w:rFonts w:asciiTheme="majorBidi" w:hAnsiTheme="majorBidi" w:cstheme="majorBidi"/>
          <w:i/>
        </w:rPr>
        <w:t>prient</w:t>
      </w:r>
      <w:r w:rsidRPr="00EC1FBB">
        <w:rPr>
          <w:rFonts w:asciiTheme="majorBidi" w:hAnsiTheme="majorBidi" w:cstheme="majorBidi"/>
        </w:rPr>
        <w:t>] debout et [</w:t>
      </w:r>
      <w:r w:rsidRPr="00EC1FBB">
        <w:rPr>
          <w:rFonts w:asciiTheme="majorBidi" w:hAnsiTheme="majorBidi" w:cstheme="majorBidi"/>
          <w:i/>
        </w:rPr>
        <w:t>pour</w:t>
      </w:r>
      <w:r w:rsidRPr="00EC1FBB">
        <w:rPr>
          <w:rFonts w:asciiTheme="majorBidi" w:hAnsiTheme="majorBidi" w:cstheme="majorBidi"/>
        </w:rPr>
        <w:t>] ceux qui s’inclinent, prosternés !</w:t>
      </w:r>
      <w:r w:rsidRPr="00EC1FBB">
        <w:rPr>
          <w:rStyle w:val="Appelnotedebasdep"/>
          <w:rFonts w:asciiTheme="majorBidi" w:hAnsiTheme="majorBidi" w:cstheme="majorBidi"/>
        </w:rPr>
        <w:footnoteReference w:id="635"/>
      </w:r>
      <w:r w:rsidRPr="00EC1FBB">
        <w:rPr>
          <w:rFonts w:asciiTheme="majorBidi" w:hAnsiTheme="majorBidi" w:cstheme="majorBidi"/>
        </w:rPr>
        <w:t xml:space="preserve"> </w:t>
      </w:r>
    </w:p>
    <w:p w14:paraId="173D873A"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Appelle, parmi les Hommes, au Pèlerinage ! Ils viendront à pied ou sur toute [monture] au flanc cave. Ils viendront par tout passage encaissé</w:t>
      </w:r>
      <w:r w:rsidRPr="00EC1FBB">
        <w:rPr>
          <w:rStyle w:val="Appelnotedebasdep"/>
          <w:rFonts w:asciiTheme="majorBidi" w:hAnsiTheme="majorBidi" w:cstheme="majorBidi"/>
        </w:rPr>
        <w:footnoteReference w:id="636"/>
      </w:r>
    </w:p>
    <w:p w14:paraId="2E796967"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pour attester des dons qui leur ont été faits et invoquer le nom d’Allah à des jours connus, sur des bêtes de troupeaux qu’[Allah] leur a attribuées. « Mangez de [ces bêtes] et nourrissez[-en] le miséreux et le besogneux !</w:t>
      </w:r>
      <w:r w:rsidRPr="00EC1FBB">
        <w:rPr>
          <w:rStyle w:val="Appelnotedebasdep"/>
          <w:rFonts w:asciiTheme="majorBidi" w:hAnsiTheme="majorBidi" w:cstheme="majorBidi"/>
        </w:rPr>
        <w:footnoteReference w:id="637"/>
      </w:r>
      <w:r w:rsidRPr="00EC1FBB">
        <w:rPr>
          <w:rFonts w:asciiTheme="majorBidi" w:hAnsiTheme="majorBidi" w:cstheme="majorBidi"/>
        </w:rPr>
        <w:t> »</w:t>
      </w:r>
    </w:p>
    <w:p w14:paraId="02CD6A24"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Qu’ils mettent fin ensuite à leurs interdits ! Qu’ils s’acquittent de leurs vœux ! Qu’ils accomplissent la circumambulation autour du Temple Antique</w:t>
      </w:r>
      <w:r w:rsidRPr="00EC1FBB">
        <w:rPr>
          <w:rStyle w:val="Appelnotedebasdep"/>
          <w:rFonts w:asciiTheme="majorBidi" w:hAnsiTheme="majorBidi" w:cstheme="majorBidi"/>
        </w:rPr>
        <w:footnoteReference w:id="638"/>
      </w:r>
      <w:r w:rsidRPr="00EC1FBB">
        <w:rPr>
          <w:rFonts w:asciiTheme="majorBidi" w:hAnsiTheme="majorBidi" w:cstheme="majorBidi"/>
        </w:rPr>
        <w:t>. »</w:t>
      </w:r>
    </w:p>
    <w:p w14:paraId="1D6D92C4"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Voilà [</w:t>
      </w:r>
      <w:r w:rsidRPr="00EC1FBB">
        <w:rPr>
          <w:rFonts w:asciiTheme="majorBidi" w:hAnsiTheme="majorBidi" w:cstheme="majorBidi"/>
          <w:i/>
        </w:rPr>
        <w:t>ce qui est prescrit</w:t>
      </w:r>
      <w:r w:rsidRPr="00EC1FBB">
        <w:rPr>
          <w:rFonts w:asciiTheme="majorBidi" w:hAnsiTheme="majorBidi" w:cstheme="majorBidi"/>
        </w:rPr>
        <w:t>]. Or quiconque respecte les choses sacrées ( ?) d’Allah, c’est un bien pour lui auprès de son Seigneur. Les bêtes de troupeaux (‘</w:t>
      </w:r>
      <w:r w:rsidRPr="00EC1FBB">
        <w:rPr>
          <w:rFonts w:asciiTheme="majorBidi" w:hAnsiTheme="majorBidi" w:cstheme="majorBidi"/>
          <w:i/>
        </w:rPr>
        <w:t>an’âm</w:t>
      </w:r>
      <w:r w:rsidRPr="00EC1FBB">
        <w:rPr>
          <w:rFonts w:asciiTheme="majorBidi" w:hAnsiTheme="majorBidi" w:cstheme="majorBidi"/>
        </w:rPr>
        <w:t>) ont été déclarées licites pour vous, sauf celles dont énumération vous est communiquée</w:t>
      </w:r>
      <w:r w:rsidRPr="00EC1FBB">
        <w:rPr>
          <w:rStyle w:val="Appelnotedebasdep"/>
          <w:rFonts w:asciiTheme="majorBidi" w:hAnsiTheme="majorBidi" w:cstheme="majorBidi"/>
        </w:rPr>
        <w:footnoteReference w:id="639"/>
      </w:r>
      <w:r w:rsidRPr="00EC1FBB">
        <w:rPr>
          <w:rFonts w:asciiTheme="majorBidi" w:hAnsiTheme="majorBidi" w:cstheme="majorBidi"/>
        </w:rPr>
        <w:t xml:space="preserve">. Évitez la souillure des Idoles ! Évitez la parole de la Fausseté, </w:t>
      </w:r>
    </w:p>
    <w:p w14:paraId="0FA418B7"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Pr>
          <w:rFonts w:asciiTheme="majorBidi" w:hAnsiTheme="majorBidi" w:cstheme="majorBidi"/>
        </w:rPr>
        <w:lastRenderedPageBreak/>
        <w:t xml:space="preserve">en </w:t>
      </w:r>
      <w:r w:rsidRPr="00CA6516">
        <w:rPr>
          <w:rFonts w:asciiTheme="majorBidi" w:hAnsiTheme="majorBidi" w:cstheme="majorBidi"/>
          <w:i/>
          <w:iCs/>
        </w:rPr>
        <w:t>ḥanîf</w:t>
      </w:r>
      <w:r>
        <w:rPr>
          <w:rFonts w:asciiTheme="majorBidi" w:hAnsiTheme="majorBidi" w:cstheme="majorBidi"/>
        </w:rPr>
        <w:t xml:space="preserve"> envers Allah, en Non-Associateurs envers Lui ! </w:t>
      </w:r>
      <w:r w:rsidRPr="00EC1FBB">
        <w:rPr>
          <w:rFonts w:asciiTheme="majorBidi" w:hAnsiTheme="majorBidi" w:cstheme="majorBidi"/>
        </w:rPr>
        <w:t>Quiconque associe [</w:t>
      </w:r>
      <w:r w:rsidRPr="00EC1FBB">
        <w:rPr>
          <w:rFonts w:asciiTheme="majorBidi" w:hAnsiTheme="majorBidi" w:cstheme="majorBidi"/>
          <w:i/>
        </w:rPr>
        <w:t>des parèdres</w:t>
      </w:r>
      <w:r w:rsidRPr="00EC1FBB">
        <w:rPr>
          <w:rFonts w:asciiTheme="majorBidi" w:hAnsiTheme="majorBidi" w:cstheme="majorBidi"/>
        </w:rPr>
        <w:t>] à Allah, c’est comme s’il s’abattait du ciel, [</w:t>
      </w:r>
      <w:r w:rsidRPr="00EC1FBB">
        <w:rPr>
          <w:rFonts w:asciiTheme="majorBidi" w:hAnsiTheme="majorBidi" w:cstheme="majorBidi"/>
          <w:i/>
        </w:rPr>
        <w:t>comme si</w:t>
      </w:r>
      <w:r w:rsidRPr="00EC1FBB">
        <w:rPr>
          <w:rFonts w:asciiTheme="majorBidi" w:hAnsiTheme="majorBidi" w:cstheme="majorBidi"/>
        </w:rPr>
        <w:t>] des oiseaux l’enlevaient et que le vent le précipitât [</w:t>
      </w:r>
      <w:r w:rsidRPr="00EC1FBB">
        <w:rPr>
          <w:rFonts w:asciiTheme="majorBidi" w:hAnsiTheme="majorBidi" w:cstheme="majorBidi"/>
          <w:i/>
        </w:rPr>
        <w:t>dans l’abîme</w:t>
      </w:r>
      <w:r>
        <w:rPr>
          <w:rFonts w:asciiTheme="majorBidi" w:hAnsiTheme="majorBidi" w:cstheme="majorBidi"/>
        </w:rPr>
        <w:t>].</w:t>
      </w:r>
    </w:p>
    <w:p w14:paraId="2554CEBE"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Voilà [</w:t>
      </w:r>
      <w:r w:rsidRPr="00EC1FBB">
        <w:rPr>
          <w:rFonts w:asciiTheme="majorBidi" w:hAnsiTheme="majorBidi" w:cstheme="majorBidi"/>
          <w:i/>
        </w:rPr>
        <w:t>ce qui est prescrit</w:t>
      </w:r>
      <w:r w:rsidRPr="00EC1FBB">
        <w:rPr>
          <w:rFonts w:asciiTheme="majorBidi" w:hAnsiTheme="majorBidi" w:cstheme="majorBidi"/>
        </w:rPr>
        <w:t>]. Or quiconque respecte les choses sacrées ( ?) d’Allah en Non-Associateurs envers Lui car elles procèdent de la piété des cœurs</w:t>
      </w:r>
      <w:r w:rsidRPr="00EC1FBB">
        <w:rPr>
          <w:rStyle w:val="Appelnotedebasdep"/>
          <w:rFonts w:asciiTheme="majorBidi" w:hAnsiTheme="majorBidi" w:cstheme="majorBidi"/>
        </w:rPr>
        <w:footnoteReference w:id="640"/>
      </w:r>
      <w:r w:rsidRPr="00EC1FBB">
        <w:rPr>
          <w:rFonts w:asciiTheme="majorBidi" w:hAnsiTheme="majorBidi" w:cstheme="majorBidi"/>
        </w:rPr>
        <w:t>.</w:t>
      </w:r>
    </w:p>
    <w:p w14:paraId="418C1395"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Vous avez en elles des profits jusqu’à un terme fixé, puis [</w:t>
      </w:r>
      <w:r w:rsidRPr="00EC1FBB">
        <w:rPr>
          <w:rFonts w:asciiTheme="majorBidi" w:hAnsiTheme="majorBidi" w:cstheme="majorBidi"/>
          <w:i/>
        </w:rPr>
        <w:t>vient</w:t>
      </w:r>
      <w:r w:rsidRPr="00EC1FBB">
        <w:rPr>
          <w:rFonts w:asciiTheme="majorBidi" w:hAnsiTheme="majorBidi" w:cstheme="majorBidi"/>
        </w:rPr>
        <w:t>] leur immolation ( ?) vers le Temple Antique</w:t>
      </w:r>
      <w:r w:rsidRPr="00EC1FBB">
        <w:rPr>
          <w:rStyle w:val="Appelnotedebasdep"/>
          <w:rFonts w:asciiTheme="majorBidi" w:hAnsiTheme="majorBidi" w:cstheme="majorBidi"/>
        </w:rPr>
        <w:footnoteReference w:id="641"/>
      </w:r>
      <w:r w:rsidRPr="00EC1FBB">
        <w:rPr>
          <w:rFonts w:asciiTheme="majorBidi" w:hAnsiTheme="majorBidi" w:cstheme="majorBidi"/>
        </w:rPr>
        <w:t xml:space="preserve">. </w:t>
      </w:r>
    </w:p>
    <w:p w14:paraId="35D81CB0"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A chaque communauté, Nous avons donné une pratique cultuelle ( ?) (</w:t>
      </w:r>
      <w:r w:rsidRPr="00EC1FBB">
        <w:rPr>
          <w:rFonts w:asciiTheme="majorBidi" w:hAnsiTheme="majorBidi" w:cstheme="majorBidi"/>
          <w:i/>
        </w:rPr>
        <w:t>mansak</w:t>
      </w:r>
      <w:r w:rsidRPr="00EC1FBB">
        <w:rPr>
          <w:rFonts w:asciiTheme="majorBidi" w:hAnsiTheme="majorBidi" w:cstheme="majorBidi"/>
        </w:rPr>
        <w:t>) pour que [ses membres]</w:t>
      </w:r>
      <w:r w:rsidRPr="00EC1FBB">
        <w:rPr>
          <w:rStyle w:val="Appelnotedebasdep"/>
          <w:rFonts w:asciiTheme="majorBidi" w:hAnsiTheme="majorBidi" w:cstheme="majorBidi"/>
        </w:rPr>
        <w:footnoteReference w:id="642"/>
      </w:r>
      <w:r w:rsidRPr="00EC1FBB">
        <w:rPr>
          <w:rFonts w:asciiTheme="majorBidi" w:hAnsiTheme="majorBidi" w:cstheme="majorBidi"/>
        </w:rPr>
        <w:t xml:space="preserve"> invoquent le nom d’Allah sur la bête des troupeaux (‘</w:t>
      </w:r>
      <w:r w:rsidRPr="00EC1FBB">
        <w:rPr>
          <w:rFonts w:asciiTheme="majorBidi" w:hAnsiTheme="majorBidi" w:cstheme="majorBidi"/>
          <w:i/>
        </w:rPr>
        <w:t>an âm</w:t>
      </w:r>
      <w:r w:rsidRPr="00EC1FBB">
        <w:rPr>
          <w:rFonts w:asciiTheme="majorBidi" w:hAnsiTheme="majorBidi" w:cstheme="majorBidi"/>
        </w:rPr>
        <w:t>) qu’Il leur a attribuée. Votre Divinité est une divinité unique. A Elle soumettez-vous (‘</w:t>
      </w:r>
      <w:r w:rsidRPr="00EC1FBB">
        <w:rPr>
          <w:rFonts w:asciiTheme="majorBidi" w:hAnsiTheme="majorBidi" w:cstheme="majorBidi"/>
          <w:i/>
        </w:rPr>
        <w:t>aslama</w:t>
      </w:r>
      <w:r w:rsidRPr="00EC1FBB">
        <w:rPr>
          <w:rFonts w:asciiTheme="majorBidi" w:hAnsiTheme="majorBidi" w:cstheme="majorBidi"/>
        </w:rPr>
        <w:t>) ! [Prophète !,] annonce la bonne nouvelle aux Modestes</w:t>
      </w:r>
    </w:p>
    <w:p w14:paraId="3ED15272"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dont les cœurs s’émeuvent quand Allah est invoqué ! [</w:t>
      </w:r>
      <w:r w:rsidRPr="00EC1FBB">
        <w:rPr>
          <w:rFonts w:asciiTheme="majorBidi" w:hAnsiTheme="majorBidi" w:cstheme="majorBidi"/>
          <w:i/>
        </w:rPr>
        <w:t>Annonce-la</w:t>
      </w:r>
      <w:r w:rsidRPr="00EC1FBB">
        <w:rPr>
          <w:rFonts w:asciiTheme="majorBidi" w:hAnsiTheme="majorBidi" w:cstheme="majorBidi"/>
        </w:rPr>
        <w:t>] aux Constants dans l’épreuve qui les atteint, à ceux qui accomplissent la Prière et [</w:t>
      </w:r>
      <w:r w:rsidRPr="00EC1FBB">
        <w:rPr>
          <w:rFonts w:asciiTheme="majorBidi" w:hAnsiTheme="majorBidi" w:cstheme="majorBidi"/>
          <w:i/>
        </w:rPr>
        <w:t>qui</w:t>
      </w:r>
      <w:r w:rsidRPr="00EC1FBB">
        <w:rPr>
          <w:rFonts w:asciiTheme="majorBidi" w:hAnsiTheme="majorBidi" w:cstheme="majorBidi"/>
        </w:rPr>
        <w:t>] font dépense [</w:t>
      </w:r>
      <w:r w:rsidRPr="00EC1FBB">
        <w:rPr>
          <w:rFonts w:asciiTheme="majorBidi" w:hAnsiTheme="majorBidi" w:cstheme="majorBidi"/>
          <w:i/>
        </w:rPr>
        <w:t>en</w:t>
      </w:r>
      <w:r w:rsidRPr="00EC1FBB">
        <w:rPr>
          <w:rFonts w:asciiTheme="majorBidi" w:hAnsiTheme="majorBidi" w:cstheme="majorBidi"/>
        </w:rPr>
        <w:t xml:space="preserve"> </w:t>
      </w:r>
      <w:r w:rsidRPr="00EC1FBB">
        <w:rPr>
          <w:rFonts w:asciiTheme="majorBidi" w:hAnsiTheme="majorBidi" w:cstheme="majorBidi"/>
          <w:i/>
        </w:rPr>
        <w:t>aumône</w:t>
      </w:r>
      <w:r w:rsidRPr="00EC1FBB">
        <w:rPr>
          <w:rFonts w:asciiTheme="majorBidi" w:hAnsiTheme="majorBidi" w:cstheme="majorBidi"/>
        </w:rPr>
        <w:t xml:space="preserve">] sur ce que Nous leur avons attribué ! </w:t>
      </w:r>
    </w:p>
    <w:p w14:paraId="7F54B654"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Pour vous, Nous avons placé les animaux sacrifiés, parmi les choses sacrées d’Allah. Un bien s’y trouve pour vous. Invoquez sur eux, vivants</w:t>
      </w:r>
      <w:r w:rsidRPr="00EC1FBB">
        <w:rPr>
          <w:rStyle w:val="Appelnotedebasdep"/>
          <w:rFonts w:asciiTheme="majorBidi" w:hAnsiTheme="majorBidi" w:cstheme="majorBidi"/>
        </w:rPr>
        <w:footnoteReference w:id="643"/>
      </w:r>
      <w:r w:rsidRPr="00EC1FBB">
        <w:rPr>
          <w:rFonts w:asciiTheme="majorBidi" w:hAnsiTheme="majorBidi" w:cstheme="majorBidi"/>
        </w:rPr>
        <w:t xml:space="preserve"> ( ?), le nom d’Allah ! Quand ils sont sans vie, mangez-en, nourrissez [-en] l’impécunieux et le démuni. Ainsi vous ont été livrés [</w:t>
      </w:r>
      <w:r w:rsidRPr="00EC1FBB">
        <w:rPr>
          <w:rFonts w:asciiTheme="majorBidi" w:hAnsiTheme="majorBidi" w:cstheme="majorBidi"/>
          <w:i/>
        </w:rPr>
        <w:t>ces victimes, espérant que</w:t>
      </w:r>
      <w:r w:rsidRPr="00EC1FBB">
        <w:rPr>
          <w:rFonts w:asciiTheme="majorBidi" w:hAnsiTheme="majorBidi" w:cstheme="majorBidi"/>
        </w:rPr>
        <w:t xml:space="preserve">] peut-être vous serez reconnaissants. </w:t>
      </w:r>
    </w:p>
    <w:p w14:paraId="6FE3A954"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Ni leur chair ni leur sang n’atteindront Allah, mais [,</w:t>
      </w:r>
      <w:r>
        <w:rPr>
          <w:rFonts w:asciiTheme="majorBidi" w:hAnsiTheme="majorBidi" w:cstheme="majorBidi"/>
        </w:rPr>
        <w:t xml:space="preserve"> </w:t>
      </w:r>
      <w:r w:rsidRPr="00EC1FBB">
        <w:rPr>
          <w:rFonts w:asciiTheme="majorBidi" w:hAnsiTheme="majorBidi" w:cstheme="majorBidi"/>
          <w:i/>
        </w:rPr>
        <w:t>seule</w:t>
      </w:r>
      <w:r w:rsidRPr="00EC1FBB">
        <w:rPr>
          <w:rFonts w:asciiTheme="majorBidi" w:hAnsiTheme="majorBidi" w:cstheme="majorBidi"/>
        </w:rPr>
        <w:t>] la piété [</w:t>
      </w:r>
      <w:r w:rsidRPr="00EC1FBB">
        <w:rPr>
          <w:rFonts w:asciiTheme="majorBidi" w:hAnsiTheme="majorBidi" w:cstheme="majorBidi"/>
          <w:i/>
        </w:rPr>
        <w:t>venue</w:t>
      </w:r>
      <w:r w:rsidRPr="00EC1FBB">
        <w:rPr>
          <w:rFonts w:asciiTheme="majorBidi" w:hAnsiTheme="majorBidi" w:cstheme="majorBidi"/>
        </w:rPr>
        <w:t>] de nous L’atteindra. Ainsi [ces victimes] vous ont été livrées… A pour que vous proclamiez la grandeur d’Allah, en reconnaissance de ce qu’Il vous a accordé. //B pour que vous proclamiez : « Allah est très grand ! » sur l’offrande qu’Il vous a accordée. Annonce la bonne nouvelle aux Bienfaisants !</w:t>
      </w:r>
    </w:p>
    <w:p w14:paraId="0BE3DC40" w14:textId="77777777" w:rsidR="00F324A5" w:rsidRPr="00EC1FBB" w:rsidRDefault="00F324A5" w:rsidP="00F324A5">
      <w:pPr>
        <w:ind w:left="1416" w:firstLine="708"/>
        <w:contextualSpacing/>
        <w:jc w:val="both"/>
        <w:rPr>
          <w:rFonts w:asciiTheme="majorBidi" w:hAnsiTheme="majorBidi" w:cstheme="majorBidi"/>
        </w:rPr>
      </w:pPr>
      <w:r w:rsidRPr="00EC1FBB">
        <w:rPr>
          <w:rFonts w:asciiTheme="majorBidi" w:hAnsiTheme="majorBidi" w:cstheme="majorBidi"/>
        </w:rPr>
        <w:t>[Allah Défenseur des Croyants émigrés]</w:t>
      </w:r>
    </w:p>
    <w:p w14:paraId="3F8549E8"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rPr>
      </w:pPr>
      <w:r w:rsidRPr="00EC1FBB">
        <w:rPr>
          <w:rFonts w:asciiTheme="majorBidi" w:hAnsiTheme="majorBidi" w:cstheme="majorBidi"/>
        </w:rPr>
        <w:t xml:space="preserve">Allah défend ceux qui auront cru. Allah n’aime pas le traître plein d’infidélité. </w:t>
      </w:r>
    </w:p>
    <w:p w14:paraId="77712E22" w14:textId="77777777" w:rsidR="00F324A5" w:rsidRPr="00EC1FBB" w:rsidRDefault="00F324A5" w:rsidP="00876BB0">
      <w:pPr>
        <w:numPr>
          <w:ilvl w:val="0"/>
          <w:numId w:val="131"/>
        </w:numPr>
        <w:tabs>
          <w:tab w:val="clear" w:pos="720"/>
        </w:tabs>
        <w:ind w:left="709" w:hanging="993"/>
        <w:contextualSpacing/>
        <w:jc w:val="both"/>
        <w:rPr>
          <w:rFonts w:asciiTheme="majorBidi" w:hAnsiTheme="majorBidi" w:cstheme="majorBidi"/>
        </w:rPr>
      </w:pPr>
      <w:r w:rsidRPr="00EC1FBB">
        <w:rPr>
          <w:rFonts w:asciiTheme="majorBidi" w:hAnsiTheme="majorBidi" w:cstheme="majorBidi"/>
        </w:rPr>
        <w:t>Permission est donnée [</w:t>
      </w:r>
      <w:r w:rsidRPr="00EC1FBB">
        <w:rPr>
          <w:rFonts w:asciiTheme="majorBidi" w:hAnsiTheme="majorBidi" w:cstheme="majorBidi"/>
          <w:i/>
        </w:rPr>
        <w:t>de combattre</w:t>
      </w:r>
      <w:r w:rsidRPr="00EC1FBB">
        <w:rPr>
          <w:rFonts w:asciiTheme="majorBidi" w:hAnsiTheme="majorBidi" w:cstheme="majorBidi"/>
        </w:rPr>
        <w:t xml:space="preserve">] à ceux qui combattent parce qu’ils ont été lésés – en vérité Allah a pleine puissance pour les secourir -, </w:t>
      </w:r>
    </w:p>
    <w:p w14:paraId="4C03BAEC" w14:textId="77777777" w:rsidR="00F324A5" w:rsidRPr="00EC1FBB" w:rsidRDefault="00F324A5" w:rsidP="00876BB0">
      <w:pPr>
        <w:numPr>
          <w:ilvl w:val="0"/>
          <w:numId w:val="131"/>
        </w:numPr>
        <w:tabs>
          <w:tab w:val="clear" w:pos="720"/>
          <w:tab w:val="num" w:pos="284"/>
        </w:tabs>
        <w:ind w:left="284" w:hanging="568"/>
        <w:contextualSpacing/>
        <w:jc w:val="both"/>
        <w:rPr>
          <w:rFonts w:asciiTheme="majorBidi" w:hAnsiTheme="majorBidi" w:cstheme="majorBidi"/>
        </w:rPr>
      </w:pPr>
      <w:r w:rsidRPr="00EC1FBB">
        <w:rPr>
          <w:rFonts w:asciiTheme="majorBidi" w:hAnsiTheme="majorBidi" w:cstheme="majorBidi"/>
        </w:rPr>
        <w:t xml:space="preserve">A ceux qui, sans droit, ont été expulsés de leurs habitats seulement parce qu’ils disent : « Notre Seigneur est Allah. » Si Allah n’avait point repoussé certains hommes par d’autres, des ermitages auraient été démolis ainsi que des synagogues, des oratoires ( ?) et des </w:t>
      </w:r>
      <w:r w:rsidRPr="00EC1FBB">
        <w:rPr>
          <w:rFonts w:asciiTheme="majorBidi" w:hAnsiTheme="majorBidi" w:cstheme="majorBidi"/>
        </w:rPr>
        <w:lastRenderedPageBreak/>
        <w:t>mosquées ( ?) où le nom d’Allah est beaucoup invoqué. Allah secourra certes ceux qui Le secourent. En vérité Allah est certes fort et puissant</w:t>
      </w:r>
      <w:r w:rsidRPr="00EC1FBB">
        <w:rPr>
          <w:rStyle w:val="Appelnotedebasdep"/>
          <w:rFonts w:asciiTheme="majorBidi" w:hAnsiTheme="majorBidi" w:cstheme="majorBidi"/>
        </w:rPr>
        <w:footnoteReference w:id="644"/>
      </w:r>
      <w:r w:rsidRPr="00EC1FBB">
        <w:rPr>
          <w:rFonts w:asciiTheme="majorBidi" w:hAnsiTheme="majorBidi" w:cstheme="majorBidi"/>
        </w:rPr>
        <w:t xml:space="preserve">. </w:t>
      </w:r>
    </w:p>
    <w:p w14:paraId="4626D137" w14:textId="77777777" w:rsidR="00F324A5" w:rsidRPr="00EC1FBB" w:rsidRDefault="00F324A5" w:rsidP="00876BB0">
      <w:pPr>
        <w:numPr>
          <w:ilvl w:val="0"/>
          <w:numId w:val="131"/>
        </w:numPr>
        <w:tabs>
          <w:tab w:val="clear" w:pos="720"/>
          <w:tab w:val="num" w:pos="284"/>
        </w:tabs>
        <w:ind w:left="284" w:hanging="568"/>
        <w:contextualSpacing/>
        <w:jc w:val="both"/>
        <w:rPr>
          <w:rFonts w:asciiTheme="majorBidi" w:hAnsiTheme="majorBidi" w:cstheme="majorBidi"/>
        </w:rPr>
      </w:pPr>
      <w:r w:rsidRPr="00EC1FBB">
        <w:rPr>
          <w:rFonts w:asciiTheme="majorBidi" w:hAnsiTheme="majorBidi" w:cstheme="majorBidi"/>
        </w:rPr>
        <w:t>[</w:t>
      </w:r>
      <w:r w:rsidRPr="00EC1FBB">
        <w:rPr>
          <w:rFonts w:asciiTheme="majorBidi" w:hAnsiTheme="majorBidi" w:cstheme="majorBidi"/>
          <w:i/>
        </w:rPr>
        <w:t>Il secourra</w:t>
      </w:r>
      <w:r w:rsidRPr="00EC1FBB">
        <w:rPr>
          <w:rFonts w:asciiTheme="majorBidi" w:hAnsiTheme="majorBidi" w:cstheme="majorBidi"/>
        </w:rPr>
        <w:t>] ceux qui, s’ils sont bien établis par Nous sur la terre, accomplissent la Prière, donnent l’Aumône (</w:t>
      </w:r>
      <w:r w:rsidRPr="00EC1FBB">
        <w:rPr>
          <w:rFonts w:asciiTheme="majorBidi" w:hAnsiTheme="majorBidi" w:cstheme="majorBidi"/>
          <w:i/>
        </w:rPr>
        <w:t>zakât</w:t>
      </w:r>
      <w:r w:rsidRPr="00EC1FBB">
        <w:rPr>
          <w:rFonts w:asciiTheme="majorBidi" w:hAnsiTheme="majorBidi" w:cstheme="majorBidi"/>
        </w:rPr>
        <w:t xml:space="preserve">), ordonnent le Convenable et interdisent le Blâmable. A Allah la fin des choses. </w:t>
      </w:r>
    </w:p>
    <w:p w14:paraId="5A3510E2" w14:textId="77777777" w:rsidR="00F324A5" w:rsidRPr="00EC1FBB" w:rsidRDefault="00F324A5" w:rsidP="00F324A5">
      <w:pPr>
        <w:ind w:left="992" w:firstLine="424"/>
        <w:contextualSpacing/>
        <w:jc w:val="both"/>
        <w:rPr>
          <w:rFonts w:asciiTheme="majorBidi" w:hAnsiTheme="majorBidi" w:cstheme="majorBidi"/>
        </w:rPr>
      </w:pPr>
      <w:r w:rsidRPr="00EC1FBB">
        <w:rPr>
          <w:rFonts w:asciiTheme="majorBidi" w:hAnsiTheme="majorBidi" w:cstheme="majorBidi"/>
        </w:rPr>
        <w:t>[Invariable dénégation des infidèles, lors de la venue des prophètes]</w:t>
      </w:r>
    </w:p>
    <w:p w14:paraId="40D58924" w14:textId="77777777" w:rsidR="00F324A5" w:rsidRPr="00EC1FBB" w:rsidRDefault="00F324A5" w:rsidP="00876BB0">
      <w:pPr>
        <w:numPr>
          <w:ilvl w:val="0"/>
          <w:numId w:val="131"/>
        </w:numPr>
        <w:tabs>
          <w:tab w:val="clear" w:pos="720"/>
          <w:tab w:val="num" w:pos="284"/>
        </w:tabs>
        <w:ind w:left="709" w:hanging="993"/>
        <w:contextualSpacing/>
        <w:jc w:val="both"/>
        <w:rPr>
          <w:rFonts w:asciiTheme="majorBidi" w:hAnsiTheme="majorBidi" w:cstheme="majorBidi"/>
          <w:i/>
        </w:rPr>
      </w:pPr>
      <w:r w:rsidRPr="00EC1FBB">
        <w:rPr>
          <w:rFonts w:asciiTheme="majorBidi" w:hAnsiTheme="majorBidi" w:cstheme="majorBidi"/>
          <w:i/>
        </w:rPr>
        <w:t xml:space="preserve">Si les </w:t>
      </w:r>
      <w:r w:rsidRPr="00EC1FBB">
        <w:rPr>
          <w:rFonts w:asciiTheme="majorBidi" w:hAnsiTheme="majorBidi" w:cstheme="majorBidi"/>
        </w:rPr>
        <w:t xml:space="preserve">Infidèles [actuels] </w:t>
      </w:r>
      <w:r w:rsidRPr="00EC1FBB">
        <w:rPr>
          <w:rFonts w:asciiTheme="majorBidi" w:hAnsiTheme="majorBidi" w:cstheme="majorBidi"/>
          <w:i/>
        </w:rPr>
        <w:t>te traitent d’imposteur</w:t>
      </w:r>
      <w:r w:rsidRPr="00EC1FBB">
        <w:rPr>
          <w:rFonts w:asciiTheme="majorBidi" w:hAnsiTheme="majorBidi" w:cstheme="majorBidi"/>
        </w:rPr>
        <w:t xml:space="preserve">, [de même] </w:t>
      </w:r>
      <w:r w:rsidRPr="00EC1FBB">
        <w:rPr>
          <w:rFonts w:asciiTheme="majorBidi" w:hAnsiTheme="majorBidi" w:cstheme="majorBidi"/>
          <w:i/>
        </w:rPr>
        <w:t xml:space="preserve">crièrent au mensonge avant eux, le peuple de Noé, les ‘Ad, les Thamoud, </w:t>
      </w:r>
    </w:p>
    <w:p w14:paraId="5AFAF827" w14:textId="77777777" w:rsidR="00F324A5" w:rsidRPr="00EC1FBB" w:rsidRDefault="00F324A5" w:rsidP="00876BB0">
      <w:pPr>
        <w:numPr>
          <w:ilvl w:val="0"/>
          <w:numId w:val="131"/>
        </w:numPr>
        <w:tabs>
          <w:tab w:val="clear" w:pos="720"/>
          <w:tab w:val="num" w:pos="284"/>
        </w:tabs>
        <w:ind w:left="567" w:hanging="992"/>
        <w:contextualSpacing/>
        <w:jc w:val="both"/>
        <w:rPr>
          <w:rFonts w:asciiTheme="majorBidi" w:hAnsiTheme="majorBidi" w:cstheme="majorBidi"/>
        </w:rPr>
      </w:pPr>
      <w:r w:rsidRPr="00EC1FBB">
        <w:rPr>
          <w:rFonts w:asciiTheme="majorBidi" w:hAnsiTheme="majorBidi" w:cstheme="majorBidi"/>
          <w:i/>
        </w:rPr>
        <w:t>le peuple d’Abraham, le peuple de Loth</w:t>
      </w:r>
      <w:r w:rsidRPr="00EC1FBB">
        <w:rPr>
          <w:rFonts w:asciiTheme="majorBidi" w:hAnsiTheme="majorBidi" w:cstheme="majorBidi"/>
        </w:rPr>
        <w:t xml:space="preserve">, </w:t>
      </w:r>
    </w:p>
    <w:p w14:paraId="690ED458" w14:textId="77777777" w:rsidR="00F324A5" w:rsidRPr="00EC1FBB" w:rsidRDefault="00F324A5" w:rsidP="00876BB0">
      <w:pPr>
        <w:numPr>
          <w:ilvl w:val="0"/>
          <w:numId w:val="131"/>
        </w:numPr>
        <w:tabs>
          <w:tab w:val="clear" w:pos="720"/>
          <w:tab w:val="left" w:pos="284"/>
        </w:tabs>
        <w:ind w:left="284" w:hanging="709"/>
        <w:contextualSpacing/>
        <w:jc w:val="both"/>
        <w:rPr>
          <w:rFonts w:asciiTheme="majorBidi" w:hAnsiTheme="majorBidi" w:cstheme="majorBidi"/>
          <w:i/>
        </w:rPr>
      </w:pPr>
      <w:r w:rsidRPr="00EC1FBB">
        <w:rPr>
          <w:rFonts w:asciiTheme="majorBidi" w:hAnsiTheme="majorBidi" w:cstheme="majorBidi"/>
          <w:i/>
        </w:rPr>
        <w:t>les gens de Madian. Moïse fut [</w:t>
      </w:r>
      <w:r w:rsidRPr="00EC1FBB">
        <w:rPr>
          <w:rFonts w:asciiTheme="majorBidi" w:hAnsiTheme="majorBidi" w:cstheme="majorBidi"/>
        </w:rPr>
        <w:t>aussi</w:t>
      </w:r>
      <w:r w:rsidRPr="00EC1FBB">
        <w:rPr>
          <w:rFonts w:asciiTheme="majorBidi" w:hAnsiTheme="majorBidi" w:cstheme="majorBidi"/>
          <w:i/>
        </w:rPr>
        <w:t xml:space="preserve">] traité d’imposteur. Nous leur avons donné un répit puis Nous les avons pris. Quelle fut Ma réprobation ! </w:t>
      </w:r>
    </w:p>
    <w:p w14:paraId="78F52E8C" w14:textId="77777777" w:rsidR="00F324A5" w:rsidRPr="00EC1FBB" w:rsidRDefault="00F324A5" w:rsidP="00876BB0">
      <w:pPr>
        <w:numPr>
          <w:ilvl w:val="0"/>
          <w:numId w:val="131"/>
        </w:numPr>
        <w:tabs>
          <w:tab w:val="clear" w:pos="720"/>
          <w:tab w:val="left" w:pos="284"/>
        </w:tabs>
        <w:ind w:left="284" w:hanging="709"/>
        <w:contextualSpacing/>
        <w:jc w:val="both"/>
        <w:rPr>
          <w:rFonts w:asciiTheme="majorBidi" w:hAnsiTheme="majorBidi" w:cstheme="majorBidi"/>
          <w:i/>
        </w:rPr>
      </w:pPr>
      <w:r w:rsidRPr="00EC1FBB">
        <w:rPr>
          <w:rFonts w:asciiTheme="majorBidi" w:hAnsiTheme="majorBidi" w:cstheme="majorBidi"/>
          <w:i/>
        </w:rPr>
        <w:t>Que de cités Nous avons fait périr parce qu’injustes, sont [aujourd’hui]désertes bien que debout ( ?) ! Que de puits maçonnés, que de palais puissants [</w:t>
      </w:r>
      <w:r w:rsidRPr="00EC1FBB">
        <w:rPr>
          <w:rFonts w:asciiTheme="majorBidi" w:hAnsiTheme="majorBidi" w:cstheme="majorBidi"/>
        </w:rPr>
        <w:t>sont abandonnés</w:t>
      </w:r>
      <w:r w:rsidRPr="00EC1FBB">
        <w:rPr>
          <w:rFonts w:asciiTheme="majorBidi" w:hAnsiTheme="majorBidi" w:cstheme="majorBidi"/>
          <w:i/>
        </w:rPr>
        <w:t xml:space="preserve">] ! </w:t>
      </w:r>
    </w:p>
    <w:p w14:paraId="7107B75A"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i/>
        </w:rPr>
      </w:pPr>
      <w:r w:rsidRPr="00EC1FBB">
        <w:rPr>
          <w:rFonts w:asciiTheme="majorBidi" w:hAnsiTheme="majorBidi" w:cstheme="majorBidi"/>
          <w:i/>
        </w:rPr>
        <w:t xml:space="preserve">En quoi [ces incrédules] n’ont-ils pas cheminé sur la terre ayant des cœurs avec lesquels comprendre et des oreilles avec lesquelles entendre ? Non ! Ce ne sont pas les yeux qui sont aveugles, mais ce sont les cœurs dans les poitrines qui sont aveugles. </w:t>
      </w:r>
    </w:p>
    <w:p w14:paraId="5011F9B2"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i/>
        </w:rPr>
      </w:pPr>
      <w:r w:rsidRPr="00EC1FBB">
        <w:rPr>
          <w:rFonts w:asciiTheme="majorBidi" w:hAnsiTheme="majorBidi" w:cstheme="majorBidi"/>
          <w:i/>
        </w:rPr>
        <w:t>Que de cités J’ai prises, auxquelles, bien qu’injustes, J’avais donné un répit ! Vers moi est le « Devenir ».</w:t>
      </w:r>
    </w:p>
    <w:p w14:paraId="5CA50132" w14:textId="77777777" w:rsidR="00F324A5" w:rsidRPr="00EC1FBB" w:rsidRDefault="00F324A5" w:rsidP="00F324A5">
      <w:pPr>
        <w:tabs>
          <w:tab w:val="left" w:pos="0"/>
        </w:tabs>
        <w:contextualSpacing/>
        <w:jc w:val="both"/>
        <w:rPr>
          <w:rFonts w:asciiTheme="majorBidi" w:hAnsiTheme="majorBidi" w:cstheme="majorBidi"/>
        </w:rPr>
      </w:pPr>
      <w:r w:rsidRPr="00EC1FBB">
        <w:rPr>
          <w:rFonts w:asciiTheme="majorBidi" w:hAnsiTheme="majorBidi" w:cstheme="majorBidi"/>
        </w:rPr>
        <w:tab/>
      </w:r>
      <w:r w:rsidRPr="00EC1FBB">
        <w:rPr>
          <w:rFonts w:asciiTheme="majorBidi" w:hAnsiTheme="majorBidi" w:cstheme="majorBidi"/>
        </w:rPr>
        <w:tab/>
        <w:t>[Contre les Infidèles et les Incrédules. Rétribution selon les œuvres]</w:t>
      </w:r>
    </w:p>
    <w:p w14:paraId="412BCBB5" w14:textId="77777777" w:rsidR="00F324A5" w:rsidRPr="00EC1FBB" w:rsidRDefault="00F324A5" w:rsidP="00876BB0">
      <w:pPr>
        <w:numPr>
          <w:ilvl w:val="0"/>
          <w:numId w:val="131"/>
        </w:numPr>
        <w:tabs>
          <w:tab w:val="clear" w:pos="720"/>
          <w:tab w:val="left" w:pos="0"/>
          <w:tab w:val="num" w:pos="567"/>
        </w:tabs>
        <w:ind w:left="567" w:hanging="992"/>
        <w:contextualSpacing/>
        <w:jc w:val="both"/>
        <w:rPr>
          <w:rFonts w:asciiTheme="majorBidi" w:hAnsiTheme="majorBidi" w:cstheme="majorBidi"/>
        </w:rPr>
      </w:pPr>
      <w:r w:rsidRPr="00EC1FBB">
        <w:rPr>
          <w:rFonts w:asciiTheme="majorBidi" w:hAnsiTheme="majorBidi" w:cstheme="majorBidi"/>
        </w:rPr>
        <w:t>Ils réclament de toi [,</w:t>
      </w:r>
      <w:r>
        <w:rPr>
          <w:rFonts w:asciiTheme="majorBidi" w:hAnsiTheme="majorBidi" w:cstheme="majorBidi"/>
        </w:rPr>
        <w:t xml:space="preserve"> </w:t>
      </w:r>
      <w:r w:rsidRPr="00EC1FBB">
        <w:rPr>
          <w:rFonts w:asciiTheme="majorBidi" w:hAnsiTheme="majorBidi" w:cstheme="majorBidi"/>
          <w:i/>
        </w:rPr>
        <w:t>Prophète</w:t>
      </w:r>
      <w:r w:rsidRPr="00EC1FBB">
        <w:rPr>
          <w:rFonts w:asciiTheme="majorBidi" w:hAnsiTheme="majorBidi" w:cstheme="majorBidi"/>
        </w:rPr>
        <w:t> !] la prompte venue du Tourment. Allah ne manquera point à Sa promesse. En vérité, un jour auprès d’Allah est comme mille années de celles que vous comptez</w:t>
      </w:r>
      <w:r w:rsidRPr="00EC1FBB">
        <w:rPr>
          <w:rStyle w:val="Appelnotedebasdep"/>
          <w:rFonts w:asciiTheme="majorBidi" w:hAnsiTheme="majorBidi" w:cstheme="majorBidi"/>
        </w:rPr>
        <w:footnoteReference w:id="645"/>
      </w:r>
      <w:r w:rsidRPr="00EC1FBB">
        <w:rPr>
          <w:rFonts w:asciiTheme="majorBidi" w:hAnsiTheme="majorBidi" w:cstheme="majorBidi"/>
        </w:rPr>
        <w:t xml:space="preserve">. </w:t>
      </w:r>
    </w:p>
    <w:p w14:paraId="4832B1D9" w14:textId="77777777" w:rsidR="00F324A5" w:rsidRPr="00EC1FBB" w:rsidRDefault="00F324A5" w:rsidP="00876BB0">
      <w:pPr>
        <w:numPr>
          <w:ilvl w:val="0"/>
          <w:numId w:val="131"/>
        </w:numPr>
        <w:tabs>
          <w:tab w:val="clear" w:pos="720"/>
          <w:tab w:val="left" w:pos="0"/>
          <w:tab w:val="num" w:pos="567"/>
        </w:tabs>
        <w:ind w:left="284" w:hanging="709"/>
        <w:contextualSpacing/>
        <w:jc w:val="both"/>
        <w:rPr>
          <w:rFonts w:asciiTheme="majorBidi" w:hAnsiTheme="majorBidi" w:cstheme="majorBidi"/>
        </w:rPr>
      </w:pPr>
      <w:r w:rsidRPr="00EC1FBB">
        <w:rPr>
          <w:rFonts w:asciiTheme="majorBidi" w:hAnsiTheme="majorBidi" w:cstheme="majorBidi"/>
        </w:rPr>
        <w:t>Dis [-</w:t>
      </w:r>
      <w:r w:rsidRPr="00EC1FBB">
        <w:rPr>
          <w:rFonts w:asciiTheme="majorBidi" w:hAnsiTheme="majorBidi" w:cstheme="majorBidi"/>
          <w:i/>
        </w:rPr>
        <w:t>leur donc</w:t>
      </w:r>
      <w:r w:rsidRPr="00EC1FBB">
        <w:rPr>
          <w:rFonts w:asciiTheme="majorBidi" w:hAnsiTheme="majorBidi" w:cstheme="majorBidi"/>
        </w:rPr>
        <w:t>] : « Hommes !, je ne suis pour vous qu’un Avertisseur explicite. »</w:t>
      </w:r>
    </w:p>
    <w:p w14:paraId="5BDDBC87" w14:textId="77777777" w:rsidR="00F324A5" w:rsidRPr="00EC1FBB" w:rsidRDefault="00F324A5" w:rsidP="00876BB0">
      <w:pPr>
        <w:numPr>
          <w:ilvl w:val="0"/>
          <w:numId w:val="131"/>
        </w:numPr>
        <w:tabs>
          <w:tab w:val="clear" w:pos="720"/>
          <w:tab w:val="left" w:pos="567"/>
        </w:tabs>
        <w:ind w:left="567" w:hanging="992"/>
        <w:contextualSpacing/>
        <w:jc w:val="both"/>
        <w:rPr>
          <w:rFonts w:asciiTheme="majorBidi" w:hAnsiTheme="majorBidi" w:cstheme="majorBidi"/>
        </w:rPr>
      </w:pPr>
      <w:r w:rsidRPr="00EC1FBB">
        <w:rPr>
          <w:rFonts w:asciiTheme="majorBidi" w:hAnsiTheme="majorBidi" w:cstheme="majorBidi"/>
        </w:rPr>
        <w:t xml:space="preserve">Ceux qui auront cru et auront fait des œuvres pies auront pardon et généreuse attribution. </w:t>
      </w:r>
    </w:p>
    <w:p w14:paraId="64967A0E" w14:textId="77777777" w:rsidR="00F324A5" w:rsidRPr="00EC1FBB" w:rsidRDefault="00F324A5" w:rsidP="00876BB0">
      <w:pPr>
        <w:numPr>
          <w:ilvl w:val="0"/>
          <w:numId w:val="131"/>
        </w:numPr>
        <w:tabs>
          <w:tab w:val="clear" w:pos="720"/>
          <w:tab w:val="left" w:pos="567"/>
        </w:tabs>
        <w:ind w:left="567" w:hanging="992"/>
        <w:contextualSpacing/>
        <w:jc w:val="both"/>
        <w:rPr>
          <w:rFonts w:asciiTheme="majorBidi" w:hAnsiTheme="majorBidi" w:cstheme="majorBidi"/>
        </w:rPr>
      </w:pPr>
      <w:r w:rsidRPr="00EC1FBB">
        <w:rPr>
          <w:rFonts w:asciiTheme="majorBidi" w:hAnsiTheme="majorBidi" w:cstheme="majorBidi"/>
        </w:rPr>
        <w:t>Ceux [</w:t>
      </w:r>
      <w:r w:rsidRPr="00EC1FBB">
        <w:rPr>
          <w:rFonts w:asciiTheme="majorBidi" w:hAnsiTheme="majorBidi" w:cstheme="majorBidi"/>
          <w:i/>
        </w:rPr>
        <w:t>au contraire</w:t>
      </w:r>
      <w:r w:rsidRPr="00EC1FBB">
        <w:rPr>
          <w:rFonts w:asciiTheme="majorBidi" w:hAnsiTheme="majorBidi" w:cstheme="majorBidi"/>
        </w:rPr>
        <w:t>] qui s’évertuent contre Nos aya, pour [</w:t>
      </w:r>
      <w:r w:rsidRPr="00EC1FBB">
        <w:rPr>
          <w:rFonts w:asciiTheme="majorBidi" w:hAnsiTheme="majorBidi" w:cstheme="majorBidi"/>
          <w:i/>
        </w:rPr>
        <w:t>Nous</w:t>
      </w:r>
      <w:r w:rsidRPr="00EC1FBB">
        <w:rPr>
          <w:rFonts w:asciiTheme="majorBidi" w:hAnsiTheme="majorBidi" w:cstheme="majorBidi"/>
        </w:rPr>
        <w:t xml:space="preserve">] réduire à l’impuissance, ceux-là seront les Hôtes de la Fournaise. </w:t>
      </w:r>
    </w:p>
    <w:p w14:paraId="7BD56451" w14:textId="77777777" w:rsidR="00F324A5" w:rsidRPr="00EC1FBB" w:rsidRDefault="00F324A5" w:rsidP="00876BB0">
      <w:pPr>
        <w:numPr>
          <w:ilvl w:val="0"/>
          <w:numId w:val="131"/>
        </w:numPr>
        <w:tabs>
          <w:tab w:val="clear" w:pos="720"/>
          <w:tab w:val="num" w:pos="284"/>
          <w:tab w:val="left" w:pos="567"/>
        </w:tabs>
        <w:ind w:left="284" w:hanging="709"/>
        <w:contextualSpacing/>
        <w:jc w:val="both"/>
        <w:rPr>
          <w:rFonts w:asciiTheme="majorBidi" w:hAnsiTheme="majorBidi" w:cstheme="majorBidi"/>
        </w:rPr>
      </w:pPr>
      <w:r w:rsidRPr="00EC1FBB">
        <w:rPr>
          <w:rFonts w:asciiTheme="majorBidi" w:hAnsiTheme="majorBidi" w:cstheme="majorBidi"/>
        </w:rPr>
        <w:t>Avant toi, Nous n’avons envoyé nul Apôtre et nul Prophète, sans que le Démon jetât [</w:t>
      </w:r>
      <w:r w:rsidRPr="00EC1FBB">
        <w:rPr>
          <w:rFonts w:asciiTheme="majorBidi" w:hAnsiTheme="majorBidi" w:cstheme="majorBidi"/>
          <w:i/>
        </w:rPr>
        <w:t>l’impureté</w:t>
      </w:r>
      <w:r w:rsidRPr="00EC1FBB">
        <w:rPr>
          <w:rFonts w:asciiTheme="majorBidi" w:hAnsiTheme="majorBidi" w:cstheme="majorBidi"/>
        </w:rPr>
        <w:t xml:space="preserve"> ( ?)] dans leur souhait, quand ils [</w:t>
      </w:r>
      <w:r w:rsidRPr="00EC1FBB">
        <w:rPr>
          <w:rFonts w:asciiTheme="majorBidi" w:hAnsiTheme="majorBidi" w:cstheme="majorBidi"/>
          <w:i/>
        </w:rPr>
        <w:t>le</w:t>
      </w:r>
      <w:r w:rsidRPr="00EC1FBB">
        <w:rPr>
          <w:rFonts w:asciiTheme="majorBidi" w:hAnsiTheme="majorBidi" w:cstheme="majorBidi"/>
        </w:rPr>
        <w:t>] formulaient. Allah abrogera donc ce que le Démon jette [</w:t>
      </w:r>
      <w:r w:rsidRPr="00EC1FBB">
        <w:rPr>
          <w:rFonts w:asciiTheme="majorBidi" w:hAnsiTheme="majorBidi" w:cstheme="majorBidi"/>
          <w:i/>
        </w:rPr>
        <w:t xml:space="preserve">d’impur </w:t>
      </w:r>
      <w:r w:rsidRPr="00EC1FBB">
        <w:rPr>
          <w:rFonts w:asciiTheme="majorBidi" w:hAnsiTheme="majorBidi" w:cstheme="majorBidi"/>
        </w:rPr>
        <w:t xml:space="preserve">( ?) </w:t>
      </w:r>
      <w:r w:rsidRPr="00EC1FBB">
        <w:rPr>
          <w:rFonts w:asciiTheme="majorBidi" w:hAnsiTheme="majorBidi" w:cstheme="majorBidi"/>
          <w:i/>
        </w:rPr>
        <w:t>en ton message</w:t>
      </w:r>
      <w:r w:rsidRPr="00EC1FBB">
        <w:rPr>
          <w:rFonts w:asciiTheme="majorBidi" w:hAnsiTheme="majorBidi" w:cstheme="majorBidi"/>
        </w:rPr>
        <w:t>], puis Allah confirmera Ses aya. Allah est omniscient et sage</w:t>
      </w:r>
      <w:r w:rsidRPr="00EC1FBB">
        <w:rPr>
          <w:rStyle w:val="Appelnotedebasdep"/>
          <w:rFonts w:asciiTheme="majorBidi" w:hAnsiTheme="majorBidi" w:cstheme="majorBidi"/>
        </w:rPr>
        <w:footnoteReference w:id="646"/>
      </w:r>
      <w:r w:rsidRPr="00EC1FBB">
        <w:rPr>
          <w:rFonts w:asciiTheme="majorBidi" w:hAnsiTheme="majorBidi" w:cstheme="majorBidi"/>
        </w:rPr>
        <w:t xml:space="preserve">. </w:t>
      </w:r>
    </w:p>
    <w:p w14:paraId="44767395"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rPr>
      </w:pPr>
      <w:r w:rsidRPr="00EC1FBB">
        <w:rPr>
          <w:rFonts w:asciiTheme="majorBidi" w:hAnsiTheme="majorBidi" w:cstheme="majorBidi"/>
        </w:rPr>
        <w:t>[</w:t>
      </w:r>
      <w:r w:rsidRPr="00EC1FBB">
        <w:rPr>
          <w:rFonts w:asciiTheme="majorBidi" w:hAnsiTheme="majorBidi" w:cstheme="majorBidi"/>
          <w:i/>
        </w:rPr>
        <w:t>Allah en a décidé ainsi</w:t>
      </w:r>
      <w:r w:rsidRPr="00EC1FBB">
        <w:rPr>
          <w:rFonts w:asciiTheme="majorBidi" w:hAnsiTheme="majorBidi" w:cstheme="majorBidi"/>
        </w:rPr>
        <w:t xml:space="preserve">] afin de faire, de ce que jette le Démon, une tentation pour ceux au cœur desquels est un mal et dont le cœur est dur – en vérité les Injustes sont certes dans une profonde divergence -, </w:t>
      </w:r>
    </w:p>
    <w:p w14:paraId="0F3CF439"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rPr>
      </w:pPr>
      <w:r w:rsidRPr="00EC1FBB">
        <w:rPr>
          <w:rFonts w:asciiTheme="majorBidi" w:hAnsiTheme="majorBidi" w:cstheme="majorBidi"/>
        </w:rPr>
        <w:lastRenderedPageBreak/>
        <w:t>afin [</w:t>
      </w:r>
      <w:r w:rsidRPr="00EC1FBB">
        <w:rPr>
          <w:rFonts w:asciiTheme="majorBidi" w:hAnsiTheme="majorBidi" w:cstheme="majorBidi"/>
          <w:i/>
        </w:rPr>
        <w:t>aussi</w:t>
      </w:r>
      <w:r w:rsidRPr="00EC1FBB">
        <w:rPr>
          <w:rFonts w:asciiTheme="majorBidi" w:hAnsiTheme="majorBidi" w:cstheme="majorBidi"/>
        </w:rPr>
        <w:t>] que ceux qui ont reçu la Science</w:t>
      </w:r>
      <w:r w:rsidRPr="00EC1FBB">
        <w:rPr>
          <w:rStyle w:val="Appelnotedebasdep"/>
          <w:rFonts w:asciiTheme="majorBidi" w:hAnsiTheme="majorBidi" w:cstheme="majorBidi"/>
        </w:rPr>
        <w:footnoteReference w:id="647"/>
      </w:r>
      <w:r w:rsidRPr="00EC1FBB">
        <w:rPr>
          <w:rFonts w:asciiTheme="majorBidi" w:hAnsiTheme="majorBidi" w:cstheme="majorBidi"/>
        </w:rPr>
        <w:t xml:space="preserve"> sachent que [cette Révélation] est la Vérité [</w:t>
      </w:r>
      <w:r w:rsidRPr="00EC1FBB">
        <w:rPr>
          <w:rFonts w:asciiTheme="majorBidi" w:hAnsiTheme="majorBidi" w:cstheme="majorBidi"/>
          <w:i/>
        </w:rPr>
        <w:t>venue</w:t>
      </w:r>
      <w:r w:rsidRPr="00EC1FBB">
        <w:rPr>
          <w:rFonts w:asciiTheme="majorBidi" w:hAnsiTheme="majorBidi" w:cstheme="majorBidi"/>
        </w:rPr>
        <w:t xml:space="preserve">] de ton Seigneur et que, croyant à elle, leurs s’humilient devant elle. En vérité, Allah dirige certes ceux qui croient, vers une Voie Droite. </w:t>
      </w:r>
    </w:p>
    <w:p w14:paraId="3071E10F" w14:textId="77777777" w:rsidR="00F324A5" w:rsidRPr="00EC1FBB" w:rsidRDefault="00F324A5" w:rsidP="00876BB0">
      <w:pPr>
        <w:numPr>
          <w:ilvl w:val="0"/>
          <w:numId w:val="131"/>
        </w:numPr>
        <w:tabs>
          <w:tab w:val="clear" w:pos="720"/>
          <w:tab w:val="left" w:pos="284"/>
        </w:tabs>
        <w:ind w:left="284" w:hanging="709"/>
        <w:contextualSpacing/>
        <w:jc w:val="both"/>
        <w:rPr>
          <w:rFonts w:asciiTheme="majorBidi" w:hAnsiTheme="majorBidi" w:cstheme="majorBidi"/>
        </w:rPr>
      </w:pPr>
      <w:r w:rsidRPr="00EC1FBB">
        <w:rPr>
          <w:rFonts w:asciiTheme="majorBidi" w:hAnsiTheme="majorBidi" w:cstheme="majorBidi"/>
        </w:rPr>
        <w:t xml:space="preserve">Ceux qui sont incrédules ne cesseront d’être en un doute à l’égard de [cette Révélation] jusqu’à ce que l’Heure vienne à eux, à l’improviste, ou que vienne à eux le tourment d’un jour dévastateur. </w:t>
      </w:r>
    </w:p>
    <w:p w14:paraId="1BD3D8B0"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rPr>
      </w:pPr>
      <w:r w:rsidRPr="00EC1FBB">
        <w:rPr>
          <w:rFonts w:asciiTheme="majorBidi" w:hAnsiTheme="majorBidi" w:cstheme="majorBidi"/>
        </w:rPr>
        <w:t xml:space="preserve">La Royauté, ce jour-là, appartiendra à Allah et Il jugera entre [les Hommes]. Ceux qui auront cru et accompli des œuvres pies seront dans les Jardins du Délice. </w:t>
      </w:r>
    </w:p>
    <w:p w14:paraId="292CA26B"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rPr>
      </w:pPr>
      <w:r w:rsidRPr="00EC1FBB">
        <w:rPr>
          <w:rFonts w:asciiTheme="majorBidi" w:hAnsiTheme="majorBidi" w:cstheme="majorBidi"/>
        </w:rPr>
        <w:t xml:space="preserve">Ceux qui auront été infidèles et auront traités Nos aya de mensonges auront [,au contraire,] un Tourment avilissant. </w:t>
      </w:r>
    </w:p>
    <w:p w14:paraId="305FAB7A"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rPr>
      </w:pPr>
      <w:r w:rsidRPr="00EC1FBB">
        <w:rPr>
          <w:rFonts w:asciiTheme="majorBidi" w:hAnsiTheme="majorBidi" w:cstheme="majorBidi"/>
        </w:rPr>
        <w:t xml:space="preserve">Ceux qui auront émigré dans le Chemin d’Allah, puis auront été tués ou seront morts [de mort naturelle] seront certes rétribués par Allah d’une belle manière. Allah est le meilleur des Attributeurs. </w:t>
      </w:r>
    </w:p>
    <w:p w14:paraId="61424188"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rPr>
      </w:pPr>
      <w:r w:rsidRPr="00EC1FBB">
        <w:rPr>
          <w:rFonts w:asciiTheme="majorBidi" w:hAnsiTheme="majorBidi" w:cstheme="majorBidi"/>
        </w:rPr>
        <w:t>Il les fera certes entrer en un lieu qu’ils agréeront. En vérité, Allah est certes omniscient et longanime</w:t>
      </w:r>
      <w:r w:rsidRPr="00EC1FBB">
        <w:rPr>
          <w:rStyle w:val="Appelnotedebasdep"/>
          <w:rFonts w:asciiTheme="majorBidi" w:hAnsiTheme="majorBidi" w:cstheme="majorBidi"/>
        </w:rPr>
        <w:footnoteReference w:id="648"/>
      </w:r>
      <w:r w:rsidRPr="00EC1FBB">
        <w:rPr>
          <w:rFonts w:asciiTheme="majorBidi" w:hAnsiTheme="majorBidi" w:cstheme="majorBidi"/>
        </w:rPr>
        <w:t xml:space="preserve">. </w:t>
      </w:r>
    </w:p>
    <w:p w14:paraId="45D8F2EB" w14:textId="77777777" w:rsidR="00F324A5" w:rsidRPr="00EC1FBB" w:rsidRDefault="00F324A5" w:rsidP="00F324A5">
      <w:pPr>
        <w:ind w:left="2832"/>
        <w:contextualSpacing/>
        <w:jc w:val="both"/>
        <w:rPr>
          <w:rFonts w:asciiTheme="majorBidi" w:hAnsiTheme="majorBidi" w:cstheme="majorBidi"/>
        </w:rPr>
      </w:pPr>
      <w:r w:rsidRPr="00EC1FBB">
        <w:rPr>
          <w:rFonts w:asciiTheme="majorBidi" w:hAnsiTheme="majorBidi" w:cstheme="majorBidi"/>
        </w:rPr>
        <w:t>[Omnipotence d’Allah]</w:t>
      </w:r>
    </w:p>
    <w:p w14:paraId="2EEC0C85" w14:textId="77777777" w:rsidR="00F324A5" w:rsidRPr="00EC1FBB" w:rsidRDefault="00F324A5" w:rsidP="00876BB0">
      <w:pPr>
        <w:numPr>
          <w:ilvl w:val="0"/>
          <w:numId w:val="131"/>
        </w:numPr>
        <w:tabs>
          <w:tab w:val="clear" w:pos="720"/>
          <w:tab w:val="left" w:pos="284"/>
        </w:tabs>
        <w:ind w:left="284" w:hanging="709"/>
        <w:contextualSpacing/>
        <w:jc w:val="both"/>
        <w:rPr>
          <w:rFonts w:asciiTheme="majorBidi" w:hAnsiTheme="majorBidi" w:cstheme="majorBidi"/>
          <w:i/>
        </w:rPr>
      </w:pPr>
      <w:r w:rsidRPr="00EC1FBB">
        <w:rPr>
          <w:rFonts w:asciiTheme="majorBidi" w:hAnsiTheme="majorBidi" w:cstheme="majorBidi"/>
          <w:i/>
        </w:rPr>
        <w:t xml:space="preserve">Voilà [ce qui est prescrit]. Quiconque châtie de la même manière qu’il a été châtié (sic) et qui, ensuite, subit de nouvelles représailles, Allah certes le secourra. Allah est certes « pardonneur » et « absoluteur ». </w:t>
      </w:r>
    </w:p>
    <w:p w14:paraId="30A91A6A" w14:textId="77777777" w:rsidR="00F324A5" w:rsidRPr="00EC1FBB" w:rsidRDefault="00F324A5" w:rsidP="00876BB0">
      <w:pPr>
        <w:numPr>
          <w:ilvl w:val="0"/>
          <w:numId w:val="131"/>
        </w:numPr>
        <w:tabs>
          <w:tab w:val="clear" w:pos="720"/>
          <w:tab w:val="left" w:pos="284"/>
        </w:tabs>
        <w:ind w:left="284" w:hanging="709"/>
        <w:contextualSpacing/>
        <w:jc w:val="both"/>
        <w:rPr>
          <w:rFonts w:asciiTheme="majorBidi" w:hAnsiTheme="majorBidi" w:cstheme="majorBidi"/>
          <w:i/>
        </w:rPr>
      </w:pPr>
      <w:r w:rsidRPr="00EC1FBB">
        <w:rPr>
          <w:rFonts w:asciiTheme="majorBidi" w:hAnsiTheme="majorBidi" w:cstheme="majorBidi"/>
          <w:i/>
        </w:rPr>
        <w:t xml:space="preserve">C’est qu’Allah fait pénétrer la nuit dans le jour, qu’Il fait pénétrer le jour dans la nuit. Allah est audient et clairvoyant. </w:t>
      </w:r>
    </w:p>
    <w:p w14:paraId="62673504"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i/>
        </w:rPr>
      </w:pPr>
      <w:r w:rsidRPr="00EC1FBB">
        <w:rPr>
          <w:rFonts w:asciiTheme="majorBidi" w:hAnsiTheme="majorBidi" w:cstheme="majorBidi"/>
          <w:i/>
        </w:rPr>
        <w:t xml:space="preserve">C’est qu’Allah est la Vérité, que ce qu’ils prient, en dehors d’Allah est le Faux. Allah est l’Auguste, le Grand. </w:t>
      </w:r>
    </w:p>
    <w:p w14:paraId="2C69B27F"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i/>
        </w:rPr>
      </w:pPr>
      <w:r w:rsidRPr="00EC1FBB">
        <w:rPr>
          <w:rFonts w:asciiTheme="majorBidi" w:hAnsiTheme="majorBidi" w:cstheme="majorBidi"/>
          <w:i/>
        </w:rPr>
        <w:t xml:space="preserve">N’as-tu point vu qu’Allah a fait descendre une eau du ciel ? Au matin, la terre s’est trouvée verdissante. Allah est sagace et bien informé. </w:t>
      </w:r>
    </w:p>
    <w:p w14:paraId="6DF17605"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i/>
        </w:rPr>
      </w:pPr>
      <w:r w:rsidRPr="00EC1FBB">
        <w:rPr>
          <w:rFonts w:asciiTheme="majorBidi" w:hAnsiTheme="majorBidi" w:cstheme="majorBidi"/>
          <w:i/>
        </w:rPr>
        <w:t xml:space="preserve">A Lui ce qui est dans les cieux et ce qui est sur la terre. En vérité, Allah est certes le Suffisant à Soi-même, le Digne de louanges. </w:t>
      </w:r>
    </w:p>
    <w:p w14:paraId="63498D62"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i/>
        </w:rPr>
      </w:pPr>
      <w:r w:rsidRPr="00EC1FBB">
        <w:rPr>
          <w:rFonts w:asciiTheme="majorBidi" w:hAnsiTheme="majorBidi" w:cstheme="majorBidi"/>
          <w:i/>
        </w:rPr>
        <w:t>N’as-tu pas vu qu’Allah vous a</w:t>
      </w:r>
      <w:r>
        <w:rPr>
          <w:rFonts w:asciiTheme="majorBidi" w:hAnsiTheme="majorBidi" w:cstheme="majorBidi"/>
          <w:i/>
        </w:rPr>
        <w:t xml:space="preserve"> soumis ce qui est sur la terre</w:t>
      </w:r>
      <w:r w:rsidRPr="00EC1FBB">
        <w:rPr>
          <w:rFonts w:asciiTheme="majorBidi" w:hAnsiTheme="majorBidi" w:cstheme="majorBidi"/>
          <w:i/>
        </w:rPr>
        <w:t xml:space="preserve"> ainsi que le vaisseau qui vogue sur mer, sur Son Ordre ? Il retient le ciel de crainte qu’il ne s’affaisse sur la terre : [il s’affaissera] qu’avec Sa permission. En vérité, Allah est certes, envers les Hommes, indulgent et miséricordieux. </w:t>
      </w:r>
    </w:p>
    <w:p w14:paraId="17C1D447" w14:textId="77777777" w:rsidR="00F324A5" w:rsidRPr="00EC1FBB" w:rsidRDefault="00F324A5" w:rsidP="00876BB0">
      <w:pPr>
        <w:numPr>
          <w:ilvl w:val="0"/>
          <w:numId w:val="131"/>
        </w:numPr>
        <w:tabs>
          <w:tab w:val="clear" w:pos="720"/>
          <w:tab w:val="left" w:pos="0"/>
          <w:tab w:val="num" w:pos="284"/>
        </w:tabs>
        <w:ind w:left="284" w:hanging="709"/>
        <w:contextualSpacing/>
        <w:jc w:val="both"/>
        <w:rPr>
          <w:rFonts w:asciiTheme="majorBidi" w:hAnsiTheme="majorBidi" w:cstheme="majorBidi"/>
          <w:i/>
        </w:rPr>
      </w:pPr>
      <w:r w:rsidRPr="00EC1FBB">
        <w:rPr>
          <w:rFonts w:asciiTheme="majorBidi" w:hAnsiTheme="majorBidi" w:cstheme="majorBidi"/>
          <w:i/>
        </w:rPr>
        <w:t>C’est Lui qui vous donna la vie, puis [qui] vous fera mourir, puis [qui] vous fera revivre. En vérité, l’Homme est certes très ingrat</w:t>
      </w:r>
      <w:r w:rsidRPr="00EC1FBB">
        <w:rPr>
          <w:rStyle w:val="Appelnotedebasdep"/>
          <w:rFonts w:asciiTheme="majorBidi" w:hAnsiTheme="majorBidi" w:cstheme="majorBidi"/>
          <w:i/>
        </w:rPr>
        <w:footnoteReference w:id="649"/>
      </w:r>
      <w:r w:rsidRPr="00EC1FBB">
        <w:rPr>
          <w:rFonts w:asciiTheme="majorBidi" w:hAnsiTheme="majorBidi" w:cstheme="majorBidi"/>
          <w:i/>
        </w:rPr>
        <w:t>.</w:t>
      </w:r>
    </w:p>
    <w:p w14:paraId="01F95BF2"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[Contre des opposants médinois]</w:t>
      </w:r>
    </w:p>
    <w:p w14:paraId="56491693"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rPr>
      </w:pPr>
      <w:r w:rsidRPr="00EC1FBB">
        <w:rPr>
          <w:rFonts w:asciiTheme="majorBidi" w:hAnsiTheme="majorBidi" w:cstheme="majorBidi"/>
        </w:rPr>
        <w:t>A chaque communauté Nous avons donné une pratique cultuelle ( ?) (</w:t>
      </w:r>
      <w:r w:rsidRPr="00F228DA">
        <w:rPr>
          <w:rFonts w:asciiTheme="majorBidi" w:hAnsiTheme="majorBidi" w:cstheme="majorBidi"/>
          <w:i/>
          <w:iCs/>
        </w:rPr>
        <w:t>mansak</w:t>
      </w:r>
      <w:r w:rsidRPr="00EC1FBB">
        <w:rPr>
          <w:rFonts w:asciiTheme="majorBidi" w:hAnsiTheme="majorBidi" w:cstheme="majorBidi"/>
        </w:rPr>
        <w:t>) que [ses membres] suivent. Qu’ils ne di</w:t>
      </w:r>
      <w:r>
        <w:rPr>
          <w:rFonts w:asciiTheme="majorBidi" w:hAnsiTheme="majorBidi" w:cstheme="majorBidi"/>
        </w:rPr>
        <w:t>sputent donc point contre toi [</w:t>
      </w:r>
      <w:r w:rsidRPr="007C2042">
        <w:rPr>
          <w:rFonts w:asciiTheme="majorBidi" w:hAnsiTheme="majorBidi" w:cstheme="majorBidi"/>
          <w:i/>
          <w:iCs/>
        </w:rPr>
        <w:t>, Prophète !,</w:t>
      </w:r>
      <w:r w:rsidRPr="00EC1FBB">
        <w:rPr>
          <w:rFonts w:asciiTheme="majorBidi" w:hAnsiTheme="majorBidi" w:cstheme="majorBidi"/>
        </w:rPr>
        <w:t xml:space="preserve">] au sujet de l’Ordre ! Appelle à ton Seigneur ! En vérité, tu es certes dans une droite direction. </w:t>
      </w:r>
    </w:p>
    <w:p w14:paraId="4CF3E011"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rPr>
      </w:pPr>
      <w:r w:rsidRPr="00EC1FBB">
        <w:rPr>
          <w:rFonts w:asciiTheme="majorBidi" w:hAnsiTheme="majorBidi" w:cstheme="majorBidi"/>
        </w:rPr>
        <w:t>S’ils discutent avec toi, réponds [</w:t>
      </w:r>
      <w:r w:rsidRPr="00D95BB6">
        <w:rPr>
          <w:rFonts w:asciiTheme="majorBidi" w:hAnsiTheme="majorBidi" w:cstheme="majorBidi"/>
          <w:i/>
          <w:iCs/>
        </w:rPr>
        <w:t>-leur</w:t>
      </w:r>
      <w:r w:rsidRPr="00EC1FBB">
        <w:rPr>
          <w:rFonts w:asciiTheme="majorBidi" w:hAnsiTheme="majorBidi" w:cstheme="majorBidi"/>
        </w:rPr>
        <w:t>] : « Allah sait fort bien ce que vous faîtes</w:t>
      </w:r>
    </w:p>
    <w:p w14:paraId="42E7D4C7" w14:textId="77777777" w:rsidR="00F324A5" w:rsidRPr="00EC1FBB" w:rsidRDefault="00F324A5" w:rsidP="00876BB0">
      <w:pPr>
        <w:numPr>
          <w:ilvl w:val="0"/>
          <w:numId w:val="131"/>
        </w:numPr>
        <w:tabs>
          <w:tab w:val="clear" w:pos="720"/>
        </w:tabs>
        <w:ind w:left="709" w:hanging="1134"/>
        <w:contextualSpacing/>
        <w:jc w:val="both"/>
        <w:rPr>
          <w:rFonts w:asciiTheme="majorBidi" w:hAnsiTheme="majorBidi" w:cstheme="majorBidi"/>
        </w:rPr>
      </w:pPr>
      <w:r w:rsidRPr="00EC1FBB">
        <w:rPr>
          <w:rFonts w:asciiTheme="majorBidi" w:hAnsiTheme="majorBidi" w:cstheme="majorBidi"/>
        </w:rPr>
        <w:lastRenderedPageBreak/>
        <w:t>Allah décidera entre vous, au Jour de la Résurrection, de ce sur quoi vous vous trouvez opposer ».</w:t>
      </w:r>
    </w:p>
    <w:p w14:paraId="52DA9FA6" w14:textId="77777777" w:rsidR="00F324A5" w:rsidRPr="00EC1FBB" w:rsidRDefault="00F324A5" w:rsidP="00F324A5">
      <w:pPr>
        <w:ind w:firstLine="708"/>
        <w:contextualSpacing/>
        <w:jc w:val="both"/>
        <w:rPr>
          <w:rFonts w:asciiTheme="majorBidi" w:hAnsiTheme="majorBidi" w:cstheme="majorBidi"/>
        </w:rPr>
      </w:pPr>
      <w:r w:rsidRPr="00EC1FBB">
        <w:rPr>
          <w:rFonts w:asciiTheme="majorBidi" w:hAnsiTheme="majorBidi" w:cstheme="majorBidi"/>
        </w:rPr>
        <w:t>[Contre les polythéistes aveugles à l’omnipotence et l’omniscience d’Allah l’Unique]</w:t>
      </w:r>
    </w:p>
    <w:p w14:paraId="282B767A"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i/>
        </w:rPr>
      </w:pPr>
      <w:r w:rsidRPr="00EC1FBB">
        <w:rPr>
          <w:rFonts w:asciiTheme="majorBidi" w:hAnsiTheme="majorBidi" w:cstheme="majorBidi"/>
          <w:i/>
        </w:rPr>
        <w:t xml:space="preserve">Ne sais-tu point qu’Allah sait ce qui est dans le ciel et [sur] la terre ? Cela se trouve dans un écrit. Cela est pour Allah aisé. </w:t>
      </w:r>
    </w:p>
    <w:p w14:paraId="266CF1A0"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rPr>
      </w:pPr>
      <w:r w:rsidRPr="00EC1FBB">
        <w:rPr>
          <w:rFonts w:asciiTheme="majorBidi" w:hAnsiTheme="majorBidi" w:cstheme="majorBidi"/>
          <w:i/>
        </w:rPr>
        <w:t>Ils adorent, en dehors d’Allah, ce par quoi Il n’a fait descendre nulle probation (sultân) et ce dont ils n’ont nulle science. Les Injustes n’auront nul auxiliaire</w:t>
      </w:r>
      <w:r w:rsidRPr="00EC1FBB">
        <w:rPr>
          <w:rFonts w:asciiTheme="majorBidi" w:hAnsiTheme="majorBidi" w:cstheme="majorBidi"/>
        </w:rPr>
        <w:t xml:space="preserve">. </w:t>
      </w:r>
    </w:p>
    <w:p w14:paraId="3C7E4FA8"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i/>
        </w:rPr>
      </w:pPr>
      <w:r w:rsidRPr="00EC1FBB">
        <w:rPr>
          <w:rFonts w:asciiTheme="majorBidi" w:hAnsiTheme="majorBidi" w:cstheme="majorBidi"/>
          <w:i/>
        </w:rPr>
        <w:t xml:space="preserve">Quand Nos claires aya leur sont communiquées, tu reconnais le Blâmable sur les visages de ceux qui sont infidèles et il s’en faut de peu qu’ils ne molestent ceux qui leur communiquent Nos aya. Dis [-leur] : « Eh quoi ! vous aviserai-je de pis que cela ? Le Feu, Allah l’a promis à ceux qui auront été infidèles. » Quel détestable « Devenir » ! </w:t>
      </w:r>
    </w:p>
    <w:p w14:paraId="54C2B347" w14:textId="77777777" w:rsidR="00F324A5" w:rsidRPr="00EC1FBB" w:rsidRDefault="00F324A5" w:rsidP="00876BB0">
      <w:pPr>
        <w:numPr>
          <w:ilvl w:val="0"/>
          <w:numId w:val="131"/>
        </w:numPr>
        <w:tabs>
          <w:tab w:val="clear" w:pos="720"/>
          <w:tab w:val="left" w:pos="709"/>
        </w:tabs>
        <w:ind w:left="360" w:hanging="360"/>
        <w:contextualSpacing/>
        <w:jc w:val="both"/>
        <w:rPr>
          <w:rFonts w:asciiTheme="majorBidi" w:hAnsiTheme="majorBidi" w:cstheme="majorBidi"/>
          <w:i/>
        </w:rPr>
      </w:pPr>
      <w:r w:rsidRPr="00EC1FBB">
        <w:rPr>
          <w:rFonts w:asciiTheme="majorBidi" w:hAnsiTheme="majorBidi" w:cstheme="majorBidi"/>
          <w:i/>
        </w:rPr>
        <w:t>Hommes ! Une parabole vous est proposée : écoutez-la ! Ceux que vous priez, en dehors d’Allah, ne sauraient créer des mouches, même s’ils se réunissaient pour cela. Et si les mouches leur ravissaient quelque chose, ils ne sauraient le leur reprendre. Combien sont faibles l’adorant et l’adoré</w:t>
      </w:r>
      <w:r w:rsidRPr="00EC1FBB">
        <w:rPr>
          <w:rStyle w:val="Appelnotedebasdep"/>
          <w:rFonts w:asciiTheme="majorBidi" w:hAnsiTheme="majorBidi" w:cstheme="majorBidi"/>
          <w:i/>
        </w:rPr>
        <w:footnoteReference w:id="650"/>
      </w:r>
      <w:r w:rsidRPr="00EC1FBB">
        <w:rPr>
          <w:rFonts w:asciiTheme="majorBidi" w:hAnsiTheme="majorBidi" w:cstheme="majorBidi"/>
          <w:i/>
        </w:rPr>
        <w:t xml:space="preserve"> ! </w:t>
      </w:r>
    </w:p>
    <w:p w14:paraId="4C647D10"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i/>
        </w:rPr>
      </w:pPr>
      <w:r w:rsidRPr="00EC1FBB">
        <w:rPr>
          <w:rFonts w:asciiTheme="majorBidi" w:hAnsiTheme="majorBidi" w:cstheme="majorBidi"/>
          <w:i/>
        </w:rPr>
        <w:t xml:space="preserve">[Les Infidèles] n’ont point mesuré Allah à Sa vraie mesure. En vérité, Allah est certes fort et puissant. </w:t>
      </w:r>
    </w:p>
    <w:p w14:paraId="461EB996"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i/>
        </w:rPr>
      </w:pPr>
      <w:r w:rsidRPr="00EC1FBB">
        <w:rPr>
          <w:rFonts w:asciiTheme="majorBidi" w:hAnsiTheme="majorBidi" w:cstheme="majorBidi"/>
          <w:i/>
        </w:rPr>
        <w:t xml:space="preserve">Parmi les Anges et parmi les Hommes, Il choisit des Envoyés. Allah est audient et clairvoyant. </w:t>
      </w:r>
    </w:p>
    <w:p w14:paraId="23C2831D" w14:textId="77777777" w:rsidR="00F324A5" w:rsidRPr="00EC1FBB" w:rsidRDefault="00F324A5" w:rsidP="00876BB0">
      <w:pPr>
        <w:pStyle w:val="Titre3"/>
        <w:numPr>
          <w:ilvl w:val="0"/>
          <w:numId w:val="131"/>
        </w:numPr>
        <w:tabs>
          <w:tab w:val="clear" w:pos="720"/>
          <w:tab w:val="num" w:pos="0"/>
        </w:tabs>
        <w:bidi w:val="0"/>
        <w:spacing w:before="0" w:after="0"/>
        <w:ind w:left="709" w:hanging="862"/>
        <w:contextualSpacing/>
        <w:jc w:val="both"/>
        <w:rPr>
          <w:rFonts w:asciiTheme="majorBidi" w:hAnsiTheme="majorBidi"/>
          <w:i/>
          <w:sz w:val="22"/>
          <w:szCs w:val="22"/>
        </w:rPr>
      </w:pPr>
      <w:r w:rsidRPr="00EC1FBB">
        <w:rPr>
          <w:rFonts w:asciiTheme="majorBidi" w:hAnsiTheme="majorBidi"/>
          <w:i/>
          <w:sz w:val="22"/>
          <w:szCs w:val="22"/>
        </w:rPr>
        <w:t>Il sait ce qui est entre vos mains et ce qui est derrière vous. A Allah reviennent toutes choses.</w:t>
      </w:r>
    </w:p>
    <w:p w14:paraId="782CBE48" w14:textId="77777777" w:rsidR="00F324A5" w:rsidRPr="00EC1FBB" w:rsidRDefault="00F324A5" w:rsidP="00F324A5">
      <w:pPr>
        <w:pStyle w:val="Notedebasdepage"/>
        <w:tabs>
          <w:tab w:val="left" w:pos="284"/>
          <w:tab w:val="left" w:pos="567"/>
        </w:tabs>
        <w:contextualSpacing/>
        <w:jc w:val="both"/>
        <w:rPr>
          <w:rFonts w:asciiTheme="majorBidi" w:hAnsiTheme="majorBidi" w:cstheme="majorBidi"/>
        </w:rPr>
      </w:pPr>
      <w:r w:rsidRPr="00EC1FBB">
        <w:rPr>
          <w:rFonts w:asciiTheme="majorBidi" w:hAnsiTheme="majorBidi" w:cstheme="majorBidi"/>
        </w:rPr>
        <w:tab/>
      </w:r>
      <w:r w:rsidRPr="00EC1FBB">
        <w:rPr>
          <w:rFonts w:asciiTheme="majorBidi" w:hAnsiTheme="majorBidi" w:cstheme="majorBidi"/>
        </w:rPr>
        <w:tab/>
      </w:r>
      <w:r w:rsidRPr="00EC1FBB">
        <w:rPr>
          <w:rFonts w:asciiTheme="majorBidi" w:hAnsiTheme="majorBidi" w:cstheme="majorBidi"/>
        </w:rPr>
        <w:tab/>
      </w:r>
      <w:r w:rsidRPr="00EC1FBB">
        <w:rPr>
          <w:rFonts w:asciiTheme="majorBidi" w:hAnsiTheme="majorBidi" w:cstheme="majorBidi"/>
        </w:rPr>
        <w:tab/>
      </w:r>
      <w:r w:rsidRPr="00EC1FBB">
        <w:rPr>
          <w:rFonts w:asciiTheme="majorBidi" w:hAnsiTheme="majorBidi" w:cstheme="majorBidi"/>
        </w:rPr>
        <w:tab/>
      </w:r>
      <w:r w:rsidRPr="00EC1FBB">
        <w:rPr>
          <w:rFonts w:asciiTheme="majorBidi" w:hAnsiTheme="majorBidi" w:cstheme="majorBidi"/>
        </w:rPr>
        <w:tab/>
        <w:t>[Commandements aux Croyants]</w:t>
      </w:r>
    </w:p>
    <w:p w14:paraId="678CCCAF" w14:textId="77777777" w:rsidR="00F324A5" w:rsidRPr="00EC1FBB" w:rsidRDefault="00F324A5" w:rsidP="00876BB0">
      <w:pPr>
        <w:numPr>
          <w:ilvl w:val="0"/>
          <w:numId w:val="131"/>
        </w:numPr>
        <w:tabs>
          <w:tab w:val="clear" w:pos="720"/>
        </w:tabs>
        <w:ind w:left="567" w:hanging="992"/>
        <w:contextualSpacing/>
        <w:jc w:val="both"/>
        <w:rPr>
          <w:rFonts w:asciiTheme="majorBidi" w:hAnsiTheme="majorBidi" w:cstheme="majorBidi"/>
        </w:rPr>
      </w:pPr>
      <w:r w:rsidRPr="00EC1FBB">
        <w:rPr>
          <w:rFonts w:asciiTheme="majorBidi" w:hAnsiTheme="majorBidi" w:cstheme="majorBidi"/>
        </w:rPr>
        <w:t xml:space="preserve">O vous qui croyez ! Inclinez-vous ! Prosternez-vous ! Adorez votre Seigneur ! Faites le bien ! Peut-être serez-vous bienheureux. </w:t>
      </w:r>
    </w:p>
    <w:p w14:paraId="1F955195" w14:textId="77777777" w:rsidR="00F324A5" w:rsidRPr="00EC1FBB" w:rsidRDefault="00F324A5" w:rsidP="00876BB0">
      <w:pPr>
        <w:numPr>
          <w:ilvl w:val="0"/>
          <w:numId w:val="131"/>
        </w:numPr>
        <w:tabs>
          <w:tab w:val="clear" w:pos="720"/>
          <w:tab w:val="left" w:pos="709"/>
        </w:tabs>
        <w:ind w:left="709" w:hanging="1134"/>
        <w:contextualSpacing/>
        <w:jc w:val="both"/>
        <w:rPr>
          <w:rFonts w:asciiTheme="majorBidi" w:hAnsiTheme="majorBidi" w:cstheme="majorBidi"/>
        </w:rPr>
      </w:pPr>
      <w:r w:rsidRPr="00EC1FBB">
        <w:rPr>
          <w:rFonts w:asciiTheme="majorBidi" w:hAnsiTheme="majorBidi" w:cstheme="majorBidi"/>
        </w:rPr>
        <w:t>Menez combat pour Allah, comme Il le mérite ! Il vous a choisis et, sur vous, Il n’a placé nulle gêne en la Religion (</w:t>
      </w:r>
      <w:r w:rsidRPr="00986926">
        <w:rPr>
          <w:rFonts w:asciiTheme="majorBidi" w:hAnsiTheme="majorBidi" w:cstheme="majorBidi"/>
          <w:i/>
          <w:iCs/>
        </w:rPr>
        <w:t>dîn</w:t>
      </w:r>
      <w:r w:rsidRPr="00EC1FBB">
        <w:rPr>
          <w:rFonts w:asciiTheme="majorBidi" w:hAnsiTheme="majorBidi" w:cstheme="majorBidi"/>
        </w:rPr>
        <w:t>), la religion (</w:t>
      </w:r>
      <w:r w:rsidRPr="00986926">
        <w:rPr>
          <w:rFonts w:asciiTheme="majorBidi" w:hAnsiTheme="majorBidi" w:cstheme="majorBidi"/>
          <w:i/>
          <w:iCs/>
        </w:rPr>
        <w:t>milla</w:t>
      </w:r>
      <w:r w:rsidRPr="00EC1FBB">
        <w:rPr>
          <w:rFonts w:asciiTheme="majorBidi" w:hAnsiTheme="majorBidi" w:cstheme="majorBidi"/>
        </w:rPr>
        <w:t>) de votre père Abraham. Il Vous a nommés les Soumis</w:t>
      </w:r>
      <w:r w:rsidRPr="00EC1FBB">
        <w:rPr>
          <w:rStyle w:val="Appelnotedebasdep"/>
          <w:rFonts w:asciiTheme="majorBidi" w:hAnsiTheme="majorBidi" w:cstheme="majorBidi"/>
        </w:rPr>
        <w:footnoteReference w:id="651"/>
      </w:r>
      <w:r w:rsidRPr="00EC1FBB">
        <w:rPr>
          <w:rFonts w:asciiTheme="majorBidi" w:hAnsiTheme="majorBidi" w:cstheme="majorBidi"/>
        </w:rPr>
        <w:t>, auparavant et en cette Révélation</w:t>
      </w:r>
      <w:r w:rsidRPr="00EC1FBB">
        <w:rPr>
          <w:rStyle w:val="Appelnotedebasdep"/>
          <w:rFonts w:asciiTheme="majorBidi" w:hAnsiTheme="majorBidi" w:cstheme="majorBidi"/>
        </w:rPr>
        <w:footnoteReference w:id="652"/>
      </w:r>
      <w:r w:rsidRPr="00EC1FBB">
        <w:rPr>
          <w:rFonts w:asciiTheme="majorBidi" w:hAnsiTheme="majorBidi" w:cstheme="majorBidi"/>
        </w:rPr>
        <w:t>, afin que l’Apôtre soit témoin à votre encontre et que vous soyez témoins à l’encontre des Hommes. Accomplissez donc la Prière ! Donnez l’Aumône (</w:t>
      </w:r>
      <w:r w:rsidRPr="00F228DA">
        <w:rPr>
          <w:rFonts w:asciiTheme="majorBidi" w:hAnsiTheme="majorBidi" w:cstheme="majorBidi"/>
          <w:i/>
          <w:iCs/>
        </w:rPr>
        <w:t>zakât</w:t>
      </w:r>
      <w:r w:rsidRPr="00EC1FBB">
        <w:rPr>
          <w:rFonts w:asciiTheme="majorBidi" w:hAnsiTheme="majorBidi" w:cstheme="majorBidi"/>
        </w:rPr>
        <w:t>) ! Mettez-vous hors de péril en vous attachant à Allah ! Il est votre Maître ! Combien excellent est cet Auxiliaire !</w:t>
      </w:r>
    </w:p>
    <w:p w14:paraId="3E678C3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257AA73F"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lastRenderedPageBreak/>
        <w:t xml:space="preserve">La traduction de Ameur </w:t>
      </w:r>
      <w:r w:rsidRPr="00B6432E">
        <w:rPr>
          <w:rFonts w:asciiTheme="majorBidi" w:eastAsia="Times New Roman" w:hAnsiTheme="majorBidi" w:cstheme="majorBidi"/>
          <w:b/>
          <w:bCs/>
        </w:rPr>
        <w:t>Ghédira</w:t>
      </w:r>
      <w:r w:rsidRPr="00B6432E">
        <w:rPr>
          <w:rStyle w:val="Appelnotedebasdep"/>
          <w:rFonts w:asciiTheme="majorBidi" w:hAnsiTheme="majorBidi" w:cstheme="majorBidi"/>
          <w:b/>
          <w:bCs/>
        </w:rPr>
        <w:footnoteReference w:id="653"/>
      </w:r>
      <w:r w:rsidRPr="00B6432E">
        <w:rPr>
          <w:rFonts w:asciiTheme="majorBidi" w:eastAsia="SimSun" w:hAnsiTheme="majorBidi" w:cstheme="majorBidi"/>
          <w:b/>
          <w:bCs/>
          <w:lang w:eastAsia="zh-CN"/>
        </w:rPr>
        <w:t xml:space="preserve"> (</w:t>
      </w:r>
      <w:r w:rsidRPr="00EC1FBB">
        <w:rPr>
          <w:rFonts w:asciiTheme="majorBidi" w:eastAsia="SimSun" w:hAnsiTheme="majorBidi" w:cstheme="majorBidi"/>
          <w:b/>
          <w:bCs/>
          <w:lang w:eastAsia="zh-CN"/>
        </w:rPr>
        <w:t>1957</w:t>
      </w:r>
      <w:r w:rsidRPr="00EC1FBB">
        <w:rPr>
          <w:rFonts w:asciiTheme="majorBidi" w:eastAsia="Calibri" w:hAnsiTheme="majorBidi" w:cstheme="majorBidi"/>
          <w:b/>
          <w:bCs/>
          <w:lang w:bidi="ar-AE"/>
        </w:rPr>
        <w:t>)</w:t>
      </w:r>
    </w:p>
    <w:p w14:paraId="6D6ED521"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Sourate XXII</w:t>
      </w:r>
    </w:p>
    <w:p w14:paraId="4FF34A80"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LE PÈLERINAGE DE LA MECQUE</w:t>
      </w:r>
    </w:p>
    <w:p w14:paraId="437DDF8D"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Au nom de Dieu, clément et miséricordieux,</w:t>
      </w:r>
    </w:p>
    <w:p w14:paraId="4EF5EFE6"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Hommes ! Craignez votre Seigneur, car le séisme à l’Heure du Jugement sera une chose terrible. </w:t>
      </w:r>
    </w:p>
    <w:p w14:paraId="4C0135ED"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Le jour où vous le verrez, la nourrice laissera tomber l’enfant qu’elle allaite et, de frayeur, toute femelle mettra bas ce qu’elle porte. Les Hommes te sembleront ivres et, en réalité, ils ne le seront point. Mais, le châtiment de Dieu est terrible. </w:t>
      </w:r>
    </w:p>
    <w:p w14:paraId="657EAA1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est des hommes qui discutent de Dieu, sans aucune connaissance et qui suivent tout démon rebelle. </w:t>
      </w:r>
    </w:p>
    <w:p w14:paraId="47507B97"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a été écrit qu’il égarerait quiconque l’aura pris pour allié, et qu’il le conduirait au supplice du Feu. </w:t>
      </w:r>
    </w:p>
    <w:p w14:paraId="75A2290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Hommes ! Si vous doutez de la Résurrection, considérez que Nous vous avons créés de poussière, puis d’une goutte de sperme, qui devint grumeau de sang ; puis d’un morceau de chair tantôt formé, tantôt informe pour vous démontrer Notre puissance. Nous laissons demeurer dans les entrailles ce qu’il Nous plaît jusqu’à un terme marqué, et puis ; Nous vous en faisons sortir, tendres enfants. Puis, Nous vous laissons atteindre l’âge mûr ; les uns meurent avant, d’autres parviennent à l’âge décrépit, au point d’oublier tout ce qu’ils savaient autrefois. Tu vois la terre inerte ; que Nous y fassions descendre de l’eau, la voilà qui palpite, se gonfle, et fait germer toute espèce de végétaux luxuriants. </w:t>
      </w:r>
    </w:p>
    <w:p w14:paraId="690C847F"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C’est parce que Dieu est la Vérité même, qu’Il ressuscite les morts et qu’Il est omnipotent. </w:t>
      </w:r>
    </w:p>
    <w:p w14:paraId="2043FAB1"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C’est parce que l’Heure doit venir – on ne peut en douter ! – et que Dieu rappellera à la vie les Hôtes des tombeaux. </w:t>
      </w:r>
    </w:p>
    <w:p w14:paraId="6AF52A1F"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est des hommes qui discutent de Dieu, sans aucune connaissance, sans Direction et sans un Livre qui les éclaire. </w:t>
      </w:r>
    </w:p>
    <w:p w14:paraId="5A5DCE96"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Simplement, en se détournant, pour égarer leurs semblables du Chemin de Dieu. L’opprobre est réservé à ces hommes dans ce Monde ; dans l’autre, Nous leur ferons goûter le supplice du Feu. </w:t>
      </w:r>
    </w:p>
    <w:p w14:paraId="5BCB3CE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Ceci est en prix de ce qu’ont fit vos mains. Dieu n’est point injuste à l’égard de Ses Serviteurs. </w:t>
      </w:r>
    </w:p>
    <w:p w14:paraId="1EECB07B"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Tel parmi les hommes adore Dieu mais en équilibre instable ; qu’il lui arrive quelque bonheur, il en jouit avec tranquillité ; qu’une épreuve le surprenne, le voilà qui tourne le dos. Il perd ainsi le Monde d’ici-bas et l’Au-delà. C’est là la Perte Evidente. </w:t>
      </w:r>
    </w:p>
    <w:p w14:paraId="793B1F7E"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invoque, en dehors de Dieu, ce qui ne saurait lui nuire ni lui être utile. C’est là l’égarement le plus grand. </w:t>
      </w:r>
    </w:p>
    <w:p w14:paraId="6C34298B"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invoque ce qui est certes plus prompt à nuire qu’à être utile. Quel détestable patron, quel détestable compagnon ! </w:t>
      </w:r>
    </w:p>
    <w:p w14:paraId="282AB49B"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Dieu introduira ceux qui auront cru et pratiqué le bien dans des Jardins arrosés de cours d’eau ; Dieu fait ce qu’Il veut. </w:t>
      </w:r>
    </w:p>
    <w:p w14:paraId="095F6292"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lastRenderedPageBreak/>
        <w:t xml:space="preserve">Que celui qui pense que Dieu ne secourra pas [Muhammad] ni dans ce monde ni dans l’autre, suspende une corde vers le haut, s’y attache et la tranche : il verra si ses artifices feront disparaître ce qui l’irrite. </w:t>
      </w:r>
    </w:p>
    <w:p w14:paraId="2B5540B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C’est ainsi que Nous avons révélé le Coran en versets évidents. C’est ainsi que Dieu dirige ceux qu’Il veut. </w:t>
      </w:r>
    </w:p>
    <w:p w14:paraId="00A0D03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Ceux qui croient, ceux qui pratiquent le Judaïsme, les Sabéens, les Chrétiens, les Zoroastriens et les partisans de l’Associationnisme, Dieu procédera, le Jour de la Résurrection, à une séparation entre eux ; car Dieu est témoin de toutes choses. </w:t>
      </w:r>
    </w:p>
    <w:p w14:paraId="346009F2"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Ne vois-tu pas que tout ce qui est dans les cieux et sur la terre se prosterne devant Dieu : le soleil, la lune, les étoiles, les montagnes, les arbres, les animaux et un grand nombre d’Hommes ? Un grand nombre d’Hommes a déjà mérité le supplice. </w:t>
      </w:r>
    </w:p>
    <w:p w14:paraId="636A6573"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Celui que Dieu rendra méprisable, qui l’honorera ? Dieu fait ce qui Lui plaît. </w:t>
      </w:r>
    </w:p>
    <w:p w14:paraId="03C2DEA3"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Voici deux clans adverses qui se disputent au sujet de leur Seigneur. Mais, pour les Infidèles, seront taillés des vêtements de feu, et l’eau bouillante sera versée sur leurs têtes. </w:t>
      </w:r>
    </w:p>
    <w:p w14:paraId="65E3B395"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Leurs entrailles et leur peau en seront consumées ; ils seront frappés de gourdins de fer. </w:t>
      </w:r>
    </w:p>
    <w:p w14:paraId="6B6D46F3"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Toutes les fois que, transis de douleur, ils voudront s’en évader, on les y fera rentrer et on leur criera : Goûtez le supplice de la brûlure. </w:t>
      </w:r>
    </w:p>
    <w:p w14:paraId="5A47C0BA"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Dieu introduira ceux qui ont cru et pratiqué le bien, dans des Jardins arrosés de cours d’eau ; ils y seront parés de bracelets d’or et de perles ; ils s’y vêtiront de soie. </w:t>
      </w:r>
    </w:p>
    <w:p w14:paraId="0DB98181"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C’est qu’ils ont été dirigés vers les Belles Paroles, puis dirigés vers la Voie du Seigneur loué. </w:t>
      </w:r>
    </w:p>
    <w:p w14:paraId="20A9F4DA"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Ceux qui ont été incrédules, qui empêchent l’accès du chemin de Dieu et de la Mosquée Sacrée que Nous avons établis pour tous les Hommes (ceux qui y font retraite comme ceux de passage), </w:t>
      </w:r>
    </w:p>
    <w:p w14:paraId="33231182"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Ceux qui voudraient le profaner en commettant une injustice ; à tous ceux-là, Nous ferons goûter un tourment cruel. </w:t>
      </w:r>
    </w:p>
    <w:p w14:paraId="6363788C"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Souviens-toi lorsque Nous avons indiqué à Abraham l’emplacement de la Maison de Dieu, en lui disant : Ne M’associe aucune divinité ; purifie Ma Maison pour accueillir ceux qui feront des exercices circumambulatoires, ceux qui y feront retraite et ceux qui prient par génuflexions et prosternations. </w:t>
      </w:r>
    </w:p>
    <w:p w14:paraId="7A148845"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Annonce aux Hommes le Pèlerinage : ils te rejoindront à pieds ou montés sur des chameaux prompts à la course, surgissant des chemins les plus éloignés. </w:t>
      </w:r>
    </w:p>
    <w:p w14:paraId="00BCB11D"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Ils te rejoindront pour participer à des activités qui leur seront profitables et pour invoquer, à des jours déterminés, le nom de Dieu sur la nourriture qu’Il leur a accordée en leurs troupeaux. Mangez de leur chair, et nourrissez-en le pauvre qui se trouve dans le dénuement absolu. </w:t>
      </w:r>
    </w:p>
    <w:p w14:paraId="61E3445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Ils auront ensuite à mettre fin à leur négligence physique ; ils devront accomplir les vœux qu’ils ont formés, et qu’ils fassent la circumambulation autour de la Maison Antique. </w:t>
      </w:r>
    </w:p>
    <w:p w14:paraId="66C13D7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en est ainsi ! Respecter ce que Dieu a déclaré sacré constitue, pour celui qui le fait, un grand bien auprès de son Seigneur. Licite est pour vous la chair des animaux, à l’exception de ceux qui ont été signalés. Fuyez l’abomination des idoles, évitez toute parole de mensonge. </w:t>
      </w:r>
    </w:p>
    <w:p w14:paraId="1E5F88DF"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Soyez </w:t>
      </w:r>
      <w:r w:rsidRPr="00EC1FBB">
        <w:rPr>
          <w:rFonts w:asciiTheme="majorBidi" w:hAnsiTheme="majorBidi" w:cstheme="majorBidi"/>
          <w:i/>
        </w:rPr>
        <w:t>hânifs</w:t>
      </w:r>
      <w:r w:rsidRPr="00EC1FBB">
        <w:rPr>
          <w:rFonts w:asciiTheme="majorBidi" w:hAnsiTheme="majorBidi" w:cstheme="majorBidi"/>
        </w:rPr>
        <w:t xml:space="preserve"> envers Dieu, ne Lui associant aucun autre être ; quiconque associe une autre divinité à Dieu est semblable à l’homme qui choit du ciel : les oiseaux rapaces s’en emparent au vol ou bien le vent l’emporte dans l’abîme. </w:t>
      </w:r>
    </w:p>
    <w:p w14:paraId="5212A4E8"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en est ainsi ! Respecter les offrandes de Dieu cela tient de la piété des cœurs. </w:t>
      </w:r>
    </w:p>
    <w:p w14:paraId="304D469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lastRenderedPageBreak/>
        <w:t xml:space="preserve">Vous retirerez de ces animaux consacrés aux offrandes de nombreux avantages jusqu’à un temps déterminé. Ensuite, leur route se terminera dans la Maison Antique. </w:t>
      </w:r>
    </w:p>
    <w:p w14:paraId="1F995DA1"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Pour chaque communauté, Nous avons institué un rite de sacrifice, afin que les Hommes invoquent le nom de Dieu sur la nourriture qu’Il leur accorde dans leurs troupeaux. Votre Dieu est un seul et même Dieu. Soumettez-vous à Lui. Annonce la bonne nouvelle aux Humbles, </w:t>
      </w:r>
    </w:p>
    <w:p w14:paraId="59A9B65D"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Dont les cœurs sont saisis de frayeur quand ils entendent prononcer le nom de Dieu, qui supportent avec patience les maux qui les visitent, qui observent la Prière et dépensent des biens que Nous leur avons accordés. </w:t>
      </w:r>
    </w:p>
    <w:p w14:paraId="5EC5F58F"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Nous avons destiné les chameaux pour faire partie des offrandes de Dieu ; vous y trouverez aussi d’autres avantages. Prononcez donc le nom de Dieu sur ceux que vous allez immoler, debout sur trois pattes, attachés par la quatrième. Quand la victime tombe sur le côté, mangez-en et donnez-en à celui qui accepte l’offre, ainsi qu’à celui qui la réclame. C’est dans ce sens, que Nous vous les avons soumis. Peut-être serez-vous reconnaissants. </w:t>
      </w:r>
    </w:p>
    <w:p w14:paraId="6B6A5EBD"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Ni la chair ni le sang des victimes n’arriveront jusqu’à Dieu ; c’est votre piété qui monte vers Lui ; c’est dans ce sens qu’Il vous a soumis ces animaux afin que vous Le glorifiez pour vous avoir dirigés sur le droit chemin. Annonce la bonne no</w:t>
      </w:r>
      <w:r>
        <w:rPr>
          <w:rFonts w:asciiTheme="majorBidi" w:hAnsiTheme="majorBidi" w:cstheme="majorBidi"/>
        </w:rPr>
        <w:t>uvelle à Ceux qui font le bien.</w:t>
      </w:r>
    </w:p>
    <w:p w14:paraId="6AC1792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Dieu défend certes ceux qui croient. Dieu n’aime certes point tout perfide infidèle. </w:t>
      </w:r>
    </w:p>
    <w:p w14:paraId="1B52078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L’autorisation a été donnée aux Musulmans de combattre en considération des injustices qu’ils avaient subies ; Dieu est certes bien capable de les assister. </w:t>
      </w:r>
    </w:p>
    <w:p w14:paraId="34F722D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 sont ceux qui ont été injustement chassés de leurs foyers, uniquement pour avoir dit : Notre Seigneur est Dieu ! Si Dieu n’eût repoussé une partie des hommes par les autres, monastères, églises, synagogues et mosquées (où pourtant le nom de Dieu est invoqué sans cesse) auraient été détruits de fond en comble. </w:t>
      </w:r>
    </w:p>
    <w:p w14:paraId="07FFEA9F"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assistera ceux qui, installés par Nous sur la terre, observent exactement la Prière, font l’Aumône légale, ordonnent le Bien et interdisent le Mal. Vers Dieu est la fin de toute chose. </w:t>
      </w:r>
    </w:p>
    <w:p w14:paraId="7FD893CC"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S’ils t’accusent d’imposture, ô Muhammad ! Songe donc qu’avant eux les peuples de Noé, d’Ad, de Thamoud, d’Abraham, de Loth et des Madianites, en accusaient leurs Prophètes. Moïse aussi a été traité de menteur. J’ai accordé un long délai aux Incrédules, puis, Je les ai châtiés. Quelle ne fut pas Ma réprobation ! </w:t>
      </w:r>
    </w:p>
    <w:p w14:paraId="32AB089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Combien de cités avons-Nous détruites alors qu’elles étaient injustes. A présent, ce ne sont que des toits n’abritant personne ; combien de puits sont comblés, combien de châteaux splendides, abandonnés ! </w:t>
      </w:r>
    </w:p>
    <w:p w14:paraId="6675A96D"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N’ont-ils pas voyagé dans le pays avec des cœurs pour comprendre et des oreilles pour entendre ? Non ! Ce ne sont pas leurs yeux qui ne voient pas, mais ce sont leurs cœurs palpitant dans leurs poitrines, qui sont aveugles. </w:t>
      </w:r>
    </w:p>
    <w:p w14:paraId="4AF19E40"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Ils te demanderont de faire hâter le châtiment, alors que Dieu ne manque jamais à Ses promesses. Un jour, auprès de ton Seigneur, égale mille ans de votre comput. </w:t>
      </w:r>
    </w:p>
    <w:p w14:paraId="3250ED6B"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A combien de cités n’avons-Nous pas accordé un délai, alors qu’elles étaient injustes ! A la fin, Je les ai châtiées ! C’est à Moi que tout aboutira. </w:t>
      </w:r>
    </w:p>
    <w:p w14:paraId="65B0F87C"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Dis : Hommes ! Je suis simplement chargé de vous avertir d’une manière explicite. </w:t>
      </w:r>
    </w:p>
    <w:p w14:paraId="5139AC5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Ceux qui ont cru et pratiqué le bien obtiendront le Pardon et des faveurs généreuses. </w:t>
      </w:r>
    </w:p>
    <w:p w14:paraId="2C95C37A"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Ceux, au contraire, qui s’efforcent d’agir contre Nos Signes, voulant réduire les Musulmans à l’impuissance, ceux-là seront les Habitants de l’Enfer. </w:t>
      </w:r>
    </w:p>
    <w:p w14:paraId="0878DD71"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lastRenderedPageBreak/>
        <w:t xml:space="preserve">Nous n’avons envoyé avant toi aucun Apôtre, aucun Prophète que le Démon ne troublât, dans la lecture du Livre révélé, par quelque addition étrange ; mais Dieu abroge ce que le Démon glisse et Il établit solidement Ses versets. Dieu est omniscient et sage. </w:t>
      </w:r>
    </w:p>
    <w:p w14:paraId="1FD3DB6B"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Dieu permet d’ailleurs l’action du Démon dans l’intention d’éprouver ceux dont le cœur est rongé d’un mal et ceux dont le cœur est endurci, (les Injustes ont des opinions bien divergentes !), </w:t>
      </w:r>
    </w:p>
    <w:p w14:paraId="1D956786"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Et dans l’intention aussi de faire connaître à ceux qui ont reçu la science que le Coran est la Vérité qui provient de ton Seigneur. Ainsi, ils y croient et leurs cœurs s’humilient devant Lui ; Dieu guidera ceux qui croient vers un Chemin droit. </w:t>
      </w:r>
    </w:p>
    <w:p w14:paraId="07B13662"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Les Infidèles ne cesseront point d’en douter jusqu’à ce que la Mort les surprenne soudain, ou qu’un châtiment par un jour néfaste les visite. </w:t>
      </w:r>
    </w:p>
    <w:p w14:paraId="347FF1A5"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Le Jour de la Résurrection, le Pouvoir est à Dieu, qui jugera entre les Hommes. Ceux qui auront cru et pratiqué, les bonnes œuvres iront habiter les Jardins du Délice. </w:t>
      </w:r>
    </w:p>
    <w:p w14:paraId="2B660895"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Ceux qui ont été Infidèles et qui ont traité Nos Signes de mensonges, ceux-là seront livrés à un supplice ignominieux. </w:t>
      </w:r>
    </w:p>
    <w:p w14:paraId="0463F41B"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Ceux qui ont émigré pour la cause de Dieu et qui, par la suite sont morts au champ d’honneur ou de leur mort naturelle, Dieu leur accordera une belle part de Ses bienfaits. Dieu est le meilleur des Donateurs. </w:t>
      </w:r>
    </w:p>
    <w:p w14:paraId="0998573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les introduira dans un lieu dont ils seront satisfaits. Dieu est omniscient et longanime. </w:t>
      </w:r>
    </w:p>
    <w:p w14:paraId="3456EE0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en est ainsi. Celui qui, ayant exercé des représailles en rapport vigoureux avec l’outrage reçu, en recevra un nouveau, sera assisté par Dieu Lui-même. Dieu aime à gracier et à pardonner. </w:t>
      </w:r>
    </w:p>
    <w:p w14:paraId="05F5CDCC"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Il en est ainsi de la puissance de</w:t>
      </w:r>
      <w:r w:rsidRPr="00EC1FBB">
        <w:rPr>
          <w:rFonts w:asciiTheme="majorBidi" w:hAnsiTheme="majorBidi" w:cstheme="majorBidi"/>
          <w:color w:val="FF0000"/>
        </w:rPr>
        <w:t xml:space="preserve"> </w:t>
      </w:r>
      <w:r w:rsidRPr="00EC1FBB">
        <w:rPr>
          <w:rFonts w:asciiTheme="majorBidi" w:hAnsiTheme="majorBidi" w:cstheme="majorBidi"/>
        </w:rPr>
        <w:t xml:space="preserve">Dieu qui fait entrer la nuit dans le jour et le jour dans la nuit ; Il entend et voit tout. </w:t>
      </w:r>
    </w:p>
    <w:p w14:paraId="41E4C361"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en est ainsi de la puissance de Dieu qui est la Vérité même, et parce que les divinités qu’ils invoquent à l’exclusion de Dieu sont un mensonge, et que Dieu est le Sublime, le Grand. </w:t>
      </w:r>
    </w:p>
    <w:p w14:paraId="002849E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N’as-tu pas vu que Dieu fait descendre une eau du ciel par laquelle, le lendemain, la terre se couvre de verdure. Dieu est prévenant et instruit. </w:t>
      </w:r>
    </w:p>
    <w:p w14:paraId="24A767A7"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A Lui appartient tout ce qui est dans les cieux et sur la terre ; il est le Riche, le Glorieux. </w:t>
      </w:r>
    </w:p>
    <w:p w14:paraId="45403182"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N’as-tu pas que vu que Dieu vous a soumis les bêtes de somme, qui sont sur la terre ainsi que les vaisseaux, qui voguent sur les mers, avec Sa Permission ; Il retient le ciel, afin qu’il ne s’affaisse pas sur la terre, sauf quand Il le permettra. Dieu est certes plein de bonté et de miséricorde pour les Hommes. </w:t>
      </w:r>
    </w:p>
    <w:p w14:paraId="4AB8272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C’est Lui qui vous a donné la vie, qui vous fera mourir et qui, enfin vous redonnera la vie. En vérité, l’Homme est ingrat. </w:t>
      </w:r>
    </w:p>
    <w:p w14:paraId="15C32F0E"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Pour chaque communauté Nous avons institué un rite qu’elle observe. Que toute controverse cesse donc entre vous à ce sujet. Invite-les vers ton Seigneur. Tu es, en vérité, dans le Chemin droit. </w:t>
      </w:r>
    </w:p>
    <w:p w14:paraId="7BF0F9C9"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S’ils disputent encore, dis-leur : Dieu sait mieux que quiconque ce que vous faites. </w:t>
      </w:r>
    </w:p>
    <w:p w14:paraId="66AB7BB8"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Dieu se prononcera au Jour de la Résurrection au sujet de ce qui vous sépare, Croyants et Incrédules. </w:t>
      </w:r>
    </w:p>
    <w:p w14:paraId="5BB62AAB"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Ne sais-tu pas que Dieu sait tout ce qui est dans les cieux et sur la terre ? Tout est inscrit dans un livre, la connaissance en est aisée de Dieu. </w:t>
      </w:r>
    </w:p>
    <w:p w14:paraId="768FC061"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Ils adorent, en dehors de Dieu, des divinités au sujet desquelles ils n’ont reçu aucun pouvoir et dont ils ne savent rien. Mais les Injustes n’auront aucun protecteur. </w:t>
      </w:r>
    </w:p>
    <w:p w14:paraId="03D4366A"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lastRenderedPageBreak/>
        <w:t xml:space="preserve">Quand on lit aux Infidèles Nos versets d’une manière claire et nette, tu vois l’aversion se peindre sur leurs fronts ; ils se jetteraient presque sur ceux qui leur récitent Nos versets. Dis-leur : Vous annoncerai-je quelque chose de plus terrible encore ? C’est le Feu que Dieu a promis à ceux qui ne croient pas. Et quelle affreuse fin ! </w:t>
      </w:r>
    </w:p>
    <w:p w14:paraId="7F3826A5"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Hommes ! Une parabole vous est proposée ; écoutez-la. Ceux que vous invoquez en dehors de Dieu ne sauraient créer des mouches, quand bien même ils se réuniraient tous pour le faire ; et si les mouches venaient à leur enlever quelque chose, ils ne sauraient le leur arracher. L’adoré et l’adorateur sont également impuissants. </w:t>
      </w:r>
    </w:p>
    <w:p w14:paraId="282F733E"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Ces hommes n’ont point apprécié Dieu à Sa juste valeur ; Dieu est certes fort et puissant. </w:t>
      </w:r>
    </w:p>
    <w:p w14:paraId="3F64C932"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choisit Ses Envoyés parmi les Hommes et parmi les Anges ; Il entend et voit tout. </w:t>
      </w:r>
    </w:p>
    <w:p w14:paraId="18875B6F"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Il connaît ce qui est devant et derrière eux. C’est à Dieu que tout aboutit. </w:t>
      </w:r>
    </w:p>
    <w:p w14:paraId="1BCB63C1"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Ô vous qui croyez ! Fléchissez vos genoux, prosternez-vous, adorez votre Seigneur, faites le bien. Certainement vous serez heureux. </w:t>
      </w:r>
    </w:p>
    <w:p w14:paraId="64BE9FF4"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Faites la Juste Guerre pour Dieu comme Il le mérite ; c’est Lui qui vous a élus. Ile ne vous a rien commandé de difficile dans votre religion, la religion de votre père Abraham ; Il vous a nommés Musulmans bien avant le Coran. </w:t>
      </w:r>
    </w:p>
    <w:p w14:paraId="000B405E" w14:textId="77777777" w:rsidR="00F324A5" w:rsidRPr="00EC1FBB" w:rsidRDefault="00F324A5" w:rsidP="00876BB0">
      <w:pPr>
        <w:numPr>
          <w:ilvl w:val="0"/>
          <w:numId w:val="133"/>
        </w:numPr>
        <w:contextualSpacing/>
        <w:jc w:val="both"/>
        <w:rPr>
          <w:rFonts w:asciiTheme="majorBidi" w:hAnsiTheme="majorBidi" w:cstheme="majorBidi"/>
        </w:rPr>
      </w:pPr>
      <w:r w:rsidRPr="00EC1FBB">
        <w:rPr>
          <w:rFonts w:asciiTheme="majorBidi" w:hAnsiTheme="majorBidi" w:cstheme="majorBidi"/>
        </w:rPr>
        <w:t xml:space="preserve">Et dans ce Coran aussi, afin que l’Apôtre soit Témoin contre vous et que vous soyez Témoins contre le reste des Hommes. Observez donc la Prière, faites l’Aumône légale, attachez-vous fermement à Dieu, Il est votre maître ; et quel excellent maître et quel excellent protecteur ! </w:t>
      </w:r>
    </w:p>
    <w:p w14:paraId="4AB0F8C4" w14:textId="77777777" w:rsidR="00F324A5" w:rsidRPr="00EC1FBB" w:rsidRDefault="00F324A5" w:rsidP="00F324A5">
      <w:pPr>
        <w:contextualSpacing/>
        <w:jc w:val="both"/>
        <w:rPr>
          <w:rFonts w:asciiTheme="majorBidi" w:eastAsia="Calibri" w:hAnsiTheme="majorBidi" w:cstheme="majorBidi"/>
          <w:lang w:bidi="ar-AE"/>
        </w:rPr>
      </w:pPr>
    </w:p>
    <w:p w14:paraId="02444DE7" w14:textId="77777777" w:rsidR="00F324A5" w:rsidRPr="00EC1FBB" w:rsidRDefault="00F324A5" w:rsidP="00F324A5">
      <w:pPr>
        <w:contextualSpacing/>
        <w:jc w:val="both"/>
        <w:rPr>
          <w:rFonts w:asciiTheme="majorBidi" w:eastAsia="Times New Roman" w:hAnsiTheme="majorBidi" w:cstheme="majorBidi"/>
        </w:rPr>
      </w:pPr>
    </w:p>
    <w:p w14:paraId="116D37BD"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26001692" w14:textId="77777777" w:rsidR="00F324A5" w:rsidRPr="00EC1FBB" w:rsidRDefault="00F324A5" w:rsidP="00F324A5">
      <w:pPr>
        <w:contextualSpacing/>
        <w:jc w:val="both"/>
        <w:rPr>
          <w:rFonts w:asciiTheme="majorBidi" w:eastAsia="Times New Roman" w:hAnsiTheme="majorBidi" w:cstheme="majorBidi"/>
        </w:rPr>
      </w:pPr>
    </w:p>
    <w:p w14:paraId="6C6E9F66" w14:textId="77777777" w:rsidR="00F324A5" w:rsidRPr="00EC1FBB" w:rsidRDefault="00F324A5" w:rsidP="00876BB0">
      <w:pPr>
        <w:pStyle w:val="Paragraphedeliste"/>
        <w:numPr>
          <w:ilvl w:val="0"/>
          <w:numId w:val="128"/>
        </w:numPr>
        <w:bidi w:val="0"/>
        <w:spacing w:line="240" w:lineRule="auto"/>
        <w:contextualSpacing/>
        <w:jc w:val="center"/>
        <w:rPr>
          <w:rFonts w:asciiTheme="majorBidi" w:hAnsiTheme="majorBidi" w:cstheme="majorBidi"/>
          <w:b/>
          <w:bCs/>
          <w:u w:val="single"/>
        </w:rPr>
      </w:pPr>
      <w:r w:rsidRPr="00EC1FBB">
        <w:rPr>
          <w:rFonts w:asciiTheme="majorBidi" w:hAnsiTheme="majorBidi" w:cstheme="majorBidi"/>
          <w:b/>
          <w:bCs/>
        </w:rPr>
        <w:t>Traduction de Muhammad Hamidullah</w:t>
      </w:r>
      <w:r w:rsidRPr="004D20A0">
        <w:rPr>
          <w:rStyle w:val="Appelnotedebasdep"/>
          <w:rFonts w:asciiTheme="majorBidi" w:hAnsiTheme="majorBidi" w:cstheme="majorBidi"/>
          <w:b/>
          <w:bCs/>
          <w:sz w:val="24"/>
        </w:rPr>
        <w:footnoteReference w:id="654"/>
      </w:r>
      <w:r w:rsidRPr="00EC1FBB">
        <w:rPr>
          <w:rFonts w:asciiTheme="majorBidi" w:hAnsiTheme="majorBidi" w:cstheme="majorBidi"/>
          <w:b/>
          <w:bCs/>
        </w:rPr>
        <w:t xml:space="preserve"> (1959)</w:t>
      </w:r>
    </w:p>
    <w:p w14:paraId="6AE60D61" w14:textId="77777777" w:rsidR="00F324A5" w:rsidRDefault="00F324A5" w:rsidP="00F324A5">
      <w:pPr>
        <w:pStyle w:val="Paragraphedeliste"/>
        <w:bidi w:val="0"/>
        <w:spacing w:line="240" w:lineRule="auto"/>
        <w:jc w:val="center"/>
        <w:rPr>
          <w:rFonts w:asciiTheme="majorBidi" w:eastAsia="Calibri" w:hAnsiTheme="majorBidi" w:cstheme="majorBidi"/>
          <w:i/>
          <w:iCs/>
          <w:lang w:bidi="ar-AE"/>
        </w:rPr>
      </w:pPr>
      <w:r w:rsidRPr="00EC1FBB">
        <w:rPr>
          <w:rFonts w:asciiTheme="majorBidi" w:eastAsia="Calibri" w:hAnsiTheme="majorBidi" w:cstheme="majorBidi"/>
          <w:i/>
          <w:iCs/>
          <w:lang w:bidi="ar-AE"/>
        </w:rPr>
        <w:t>(Traduction accompagnée du texte arabe à gauche)</w:t>
      </w:r>
    </w:p>
    <w:p w14:paraId="169C2FDC" w14:textId="77777777" w:rsidR="00F324A5" w:rsidRDefault="00F324A5" w:rsidP="00F324A5">
      <w:pPr>
        <w:pStyle w:val="Paragraphedeliste"/>
        <w:bidi w:val="0"/>
        <w:spacing w:line="240" w:lineRule="auto"/>
        <w:jc w:val="center"/>
        <w:rPr>
          <w:rFonts w:asciiTheme="majorBidi" w:hAnsiTheme="majorBidi" w:cstheme="majorBidi"/>
        </w:rPr>
      </w:pPr>
      <w:r w:rsidRPr="00EC1FBB">
        <w:rPr>
          <w:rFonts w:asciiTheme="majorBidi" w:hAnsiTheme="majorBidi" w:cstheme="majorBidi"/>
        </w:rPr>
        <w:t>LE PELERINAGE</w:t>
      </w:r>
      <w:r w:rsidRPr="00EC1FBB">
        <w:rPr>
          <w:rStyle w:val="Appelnotedebasdep"/>
          <w:rFonts w:asciiTheme="majorBidi" w:hAnsiTheme="majorBidi" w:cstheme="majorBidi"/>
        </w:rPr>
        <w:footnoteReference w:id="655"/>
      </w:r>
    </w:p>
    <w:p w14:paraId="00E4DAE0" w14:textId="77777777" w:rsidR="00F324A5" w:rsidRPr="006B4C2F" w:rsidRDefault="00F324A5" w:rsidP="00F324A5">
      <w:pPr>
        <w:pStyle w:val="Paragraphedeliste"/>
        <w:bidi w:val="0"/>
        <w:spacing w:line="240" w:lineRule="auto"/>
        <w:jc w:val="center"/>
        <w:rPr>
          <w:rFonts w:asciiTheme="majorBidi" w:hAnsiTheme="majorBidi" w:cstheme="majorBidi"/>
          <w:i/>
          <w:iCs/>
          <w:u w:val="single"/>
        </w:rPr>
      </w:pPr>
      <w:r w:rsidRPr="00EC1FBB">
        <w:rPr>
          <w:rFonts w:asciiTheme="majorBidi" w:hAnsiTheme="majorBidi" w:cstheme="majorBidi"/>
        </w:rPr>
        <w:t>Post-hég. No 103 ; 78 versets</w:t>
      </w:r>
    </w:p>
    <w:p w14:paraId="66AD6F95"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Au nom de Dieu, le Très Miséricordieux, le Tout Miséricordieux. Ho, les gens ! Craignez votre Seigneur. Oui, c’est une chose énorme que le tremblement de l’Heure</w:t>
      </w:r>
      <w:r w:rsidRPr="00EC1FBB">
        <w:rPr>
          <w:rStyle w:val="Appelnotedebasdep"/>
          <w:rFonts w:asciiTheme="majorBidi" w:hAnsiTheme="majorBidi" w:cstheme="majorBidi"/>
        </w:rPr>
        <w:footnoteReference w:id="656"/>
      </w:r>
      <w:r w:rsidRPr="00EC1FBB">
        <w:rPr>
          <w:rFonts w:asciiTheme="majorBidi" w:hAnsiTheme="majorBidi" w:cstheme="majorBidi"/>
        </w:rPr>
        <w:t> !</w:t>
      </w:r>
    </w:p>
    <w:p w14:paraId="269E876A"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Le jour où vous le verrez, toute femme qui allaite oubliera ce qu’elle allaitait, et toute femelle engrossée avortera sa grossesse. Et tu verras ivres les gens, alors qu’ils ne seront pas ivres. Mais le châtiment de Dieu sera dur. </w:t>
      </w:r>
    </w:p>
    <w:p w14:paraId="2ABDBC1C"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il y a des gens qui disputent au sujet de Dieu sans savoir, et suivent tout diable rebelle, </w:t>
      </w:r>
    </w:p>
    <w:p w14:paraId="4BE64667"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dont il a été prescrit que quiconque le prend pour patron il l’égarera, certes, et le guidera vers le châtiment de l’Enfer-Sa’ïr</w:t>
      </w:r>
      <w:r w:rsidRPr="00EC1FBB">
        <w:rPr>
          <w:rStyle w:val="Appelnotedebasdep"/>
          <w:rFonts w:asciiTheme="majorBidi" w:hAnsiTheme="majorBidi" w:cstheme="majorBidi"/>
        </w:rPr>
        <w:footnoteReference w:id="657"/>
      </w:r>
      <w:r w:rsidRPr="00EC1FBB">
        <w:rPr>
          <w:rFonts w:asciiTheme="majorBidi" w:hAnsiTheme="majorBidi" w:cstheme="majorBidi"/>
        </w:rPr>
        <w:t xml:space="preserve">. </w:t>
      </w:r>
    </w:p>
    <w:p w14:paraId="5C27BB27"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Ho, les gens ! Si vous êtes en doute au sujet de la résurrection, eh bien, c’est Nous qui vous avons créés de poussière, puis de sperme, puis de caillot</w:t>
      </w:r>
      <w:r w:rsidRPr="00EC1FBB">
        <w:rPr>
          <w:rStyle w:val="Appelnotedebasdep"/>
          <w:rFonts w:asciiTheme="majorBidi" w:hAnsiTheme="majorBidi" w:cstheme="majorBidi"/>
        </w:rPr>
        <w:footnoteReference w:id="658"/>
      </w:r>
      <w:r w:rsidRPr="00EC1FBB">
        <w:rPr>
          <w:rFonts w:asciiTheme="majorBidi" w:hAnsiTheme="majorBidi" w:cstheme="majorBidi"/>
        </w:rPr>
        <w:t>, puis de chair</w:t>
      </w:r>
      <w:r w:rsidRPr="00EC1FBB">
        <w:rPr>
          <w:rStyle w:val="Appelnotedebasdep"/>
          <w:rFonts w:asciiTheme="majorBidi" w:hAnsiTheme="majorBidi" w:cstheme="majorBidi"/>
        </w:rPr>
        <w:footnoteReference w:id="659"/>
      </w:r>
      <w:r w:rsidRPr="00EC1FBB">
        <w:rPr>
          <w:rFonts w:asciiTheme="majorBidi" w:hAnsiTheme="majorBidi" w:cstheme="majorBidi"/>
        </w:rPr>
        <w:t>, formée aussi bien qu’informe, - pour tout vous expliquer</w:t>
      </w:r>
      <w:r w:rsidRPr="00EC1FBB">
        <w:rPr>
          <w:rStyle w:val="Appelnotedebasdep"/>
          <w:rFonts w:asciiTheme="majorBidi" w:hAnsiTheme="majorBidi" w:cstheme="majorBidi"/>
        </w:rPr>
        <w:footnoteReference w:id="660"/>
      </w:r>
      <w:r w:rsidRPr="00EC1FBB">
        <w:rPr>
          <w:rFonts w:asciiTheme="majorBidi" w:hAnsiTheme="majorBidi" w:cstheme="majorBidi"/>
        </w:rPr>
        <w:t> ; - et Nous déposons dans les matrices ce que Nous voulons, jusqu’à un terme dénommé</w:t>
      </w:r>
      <w:r w:rsidRPr="00EC1FBB">
        <w:rPr>
          <w:rStyle w:val="Appelnotedebasdep"/>
          <w:rFonts w:asciiTheme="majorBidi" w:hAnsiTheme="majorBidi" w:cstheme="majorBidi"/>
        </w:rPr>
        <w:footnoteReference w:id="661"/>
      </w:r>
      <w:r w:rsidRPr="00EC1FBB">
        <w:rPr>
          <w:rFonts w:asciiTheme="majorBidi" w:hAnsiTheme="majorBidi" w:cstheme="majorBidi"/>
        </w:rPr>
        <w:t> ; puis Nous vous faisons sortir bébés pour qu’ensuite vous atteigniez vos pleines forces. Tel d’entre vous est achevé</w:t>
      </w:r>
      <w:r w:rsidRPr="00EC1FBB">
        <w:rPr>
          <w:rStyle w:val="Appelnotedebasdep"/>
          <w:rFonts w:asciiTheme="majorBidi" w:hAnsiTheme="majorBidi" w:cstheme="majorBidi"/>
        </w:rPr>
        <w:footnoteReference w:id="662"/>
      </w:r>
      <w:r w:rsidRPr="00EC1FBB">
        <w:rPr>
          <w:rFonts w:asciiTheme="majorBidi" w:hAnsiTheme="majorBidi" w:cstheme="majorBidi"/>
        </w:rPr>
        <w:t> ; tel d’entre vous est reconduit jusqu’au plus vil de l’âge de sorte qu’après avoir su il ne sait plus rien. De même, tu verras la terre éteinte : dès que Nous y faisons descendre de l’eau, elle remue, et gonfle, et pousse toute sorte de couple joli.</w:t>
      </w:r>
    </w:p>
    <w:p w14:paraId="7B43A9EC"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Oui, c’est que Dieu, Lui, est la vérité ; oui, et c’est Lui qui donne aux morts la vie ; et c’est Lui qui est capable de tout ; </w:t>
      </w:r>
    </w:p>
    <w:p w14:paraId="6DDAAC02"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oui, et que l’Heure est en route – là-dessus, pas de doute – oui, et que Dieu ressuscitera ceux qui sont dans les tombeaux. </w:t>
      </w:r>
    </w:p>
    <w:p w14:paraId="7905AA81"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Or il y en a qui disputent au sujet de Dieu sans savoir, sans guidée, sans livre qui éclaire ; </w:t>
      </w:r>
    </w:p>
    <w:p w14:paraId="696B18B6"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lastRenderedPageBreak/>
        <w:t>ployant de la hanche</w:t>
      </w:r>
      <w:r w:rsidRPr="00EC1FBB">
        <w:rPr>
          <w:rStyle w:val="Appelnotedebasdep"/>
          <w:rFonts w:asciiTheme="majorBidi" w:hAnsiTheme="majorBidi" w:cstheme="majorBidi"/>
        </w:rPr>
        <w:footnoteReference w:id="663"/>
      </w:r>
      <w:r w:rsidRPr="00EC1FBB">
        <w:rPr>
          <w:rFonts w:asciiTheme="majorBidi" w:hAnsiTheme="majorBidi" w:cstheme="majorBidi"/>
        </w:rPr>
        <w:t xml:space="preserve"> pour égarer du sentier de Dieu. A celui-là, ignominie dès ici-bas ; et Nous lui ferons goûter, le jour de la résurrection, au châtiment de l’Enfer-Harîc</w:t>
      </w:r>
      <w:r w:rsidRPr="00EC1FBB">
        <w:rPr>
          <w:rStyle w:val="Appelnotedebasdep"/>
          <w:rFonts w:asciiTheme="majorBidi" w:hAnsiTheme="majorBidi" w:cstheme="majorBidi"/>
        </w:rPr>
        <w:footnoteReference w:id="664"/>
      </w:r>
      <w:r w:rsidRPr="00EC1FBB">
        <w:rPr>
          <w:rFonts w:asciiTheme="majorBidi" w:hAnsiTheme="majorBidi" w:cstheme="majorBidi"/>
        </w:rPr>
        <w:t xml:space="preserve">. </w:t>
      </w:r>
    </w:p>
    <w:p w14:paraId="4C9FF614"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Voilà, pour ce que tes deux mains ont préparé ! Cependant, Dieu n’est point prévaricateur, vraiment, envers les Esclaves</w:t>
      </w:r>
      <w:r w:rsidRPr="00EC1FBB">
        <w:rPr>
          <w:rStyle w:val="Appelnotedebasdep"/>
          <w:rFonts w:asciiTheme="majorBidi" w:hAnsiTheme="majorBidi" w:cstheme="majorBidi"/>
        </w:rPr>
        <w:footnoteReference w:id="665"/>
      </w:r>
      <w:r w:rsidRPr="00EC1FBB">
        <w:rPr>
          <w:rFonts w:asciiTheme="majorBidi" w:hAnsiTheme="majorBidi" w:cstheme="majorBidi"/>
        </w:rPr>
        <w:t xml:space="preserve">. </w:t>
      </w:r>
    </w:p>
    <w:p w14:paraId="2FB02FB0"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Tel d’entre eux adore Dieu sur le bord. Puis, s’il lui arrive un bien, il s’en tranquillise ; et s’il lui arrive une tentation, il pivote sur son visage, et perd l’ici-bas et l’au-delà</w:t>
      </w:r>
      <w:r w:rsidRPr="00EC1FBB">
        <w:rPr>
          <w:rStyle w:val="Appelnotedebasdep"/>
          <w:rFonts w:asciiTheme="majorBidi" w:hAnsiTheme="majorBidi" w:cstheme="majorBidi"/>
        </w:rPr>
        <w:footnoteReference w:id="666"/>
      </w:r>
      <w:r w:rsidRPr="00EC1FBB">
        <w:rPr>
          <w:rFonts w:asciiTheme="majorBidi" w:hAnsiTheme="majorBidi" w:cstheme="majorBidi"/>
        </w:rPr>
        <w:t xml:space="preserve"> aussi. Voilà la perte évidente ! </w:t>
      </w:r>
    </w:p>
    <w:p w14:paraId="15224549"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Il appelle, au lieu de Dieu, un qui ne lui nuit ni ne lui profite. Voilà l’égarement au loin ! </w:t>
      </w:r>
    </w:p>
    <w:p w14:paraId="5EC8CCE5"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Il en appelle un dont le mal est plus près que l’utilité. Mauvais patron, certes ! et certes, mauvais client ! </w:t>
      </w:r>
    </w:p>
    <w:p w14:paraId="5869630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Oui, ceux qui croient et font œuvres bonnes, Dieu les fait entrer aux Jardins sous quoi coulent les ruisseaux. Dieu fait ce qu’Il veut, vraiment ! </w:t>
      </w:r>
    </w:p>
    <w:p w14:paraId="5E09DF35"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Quiconque pense qu’en vérité Dieu ne viendra pas au secours de celui-ci</w:t>
      </w:r>
      <w:r w:rsidRPr="00EC1FBB">
        <w:rPr>
          <w:rStyle w:val="Appelnotedebasdep"/>
          <w:rFonts w:asciiTheme="majorBidi" w:hAnsiTheme="majorBidi" w:cstheme="majorBidi"/>
        </w:rPr>
        <w:footnoteReference w:id="667"/>
      </w:r>
      <w:r w:rsidRPr="00EC1FBB">
        <w:rPr>
          <w:rFonts w:asciiTheme="majorBidi" w:hAnsiTheme="majorBidi" w:cstheme="majorBidi"/>
        </w:rPr>
        <w:t xml:space="preserve"> ni dans l’ici-bas ni dans l’au-delà, eh bien qu’il tende une corde jusqu’au ciel, puis qu’il coupe, puis, qu’il voie si sa ruse va faire disparaître quoi que ce soit de ce qui le fait enrager. </w:t>
      </w:r>
    </w:p>
    <w:p w14:paraId="3BC4ED44"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Ainsi avons-Nous fait descendre en ceci</w:t>
      </w:r>
      <w:r w:rsidRPr="00EC1FBB">
        <w:rPr>
          <w:rStyle w:val="Appelnotedebasdep"/>
          <w:rFonts w:asciiTheme="majorBidi" w:hAnsiTheme="majorBidi" w:cstheme="majorBidi"/>
        </w:rPr>
        <w:footnoteReference w:id="668"/>
      </w:r>
      <w:r w:rsidRPr="00EC1FBB">
        <w:rPr>
          <w:rFonts w:asciiTheme="majorBidi" w:hAnsiTheme="majorBidi" w:cstheme="majorBidi"/>
        </w:rPr>
        <w:t xml:space="preserve"> des versets probants. Et Dieu guide qui Il veut, vraiment ! </w:t>
      </w:r>
    </w:p>
    <w:p w14:paraId="0CCF0A98"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Oui, quant aux croyants</w:t>
      </w:r>
      <w:r w:rsidRPr="00EC1FBB">
        <w:rPr>
          <w:rStyle w:val="Appelnotedebasdep"/>
          <w:rFonts w:asciiTheme="majorBidi" w:hAnsiTheme="majorBidi" w:cstheme="majorBidi"/>
        </w:rPr>
        <w:footnoteReference w:id="669"/>
      </w:r>
      <w:r w:rsidRPr="00EC1FBB">
        <w:rPr>
          <w:rFonts w:asciiTheme="majorBidi" w:hAnsiTheme="majorBidi" w:cstheme="majorBidi"/>
        </w:rPr>
        <w:t xml:space="preserve">, et aux Judaïsés, et aux Sabéens et aux Nazaréens, et aux Mages, et à ceux qui donnent à Dieu des associés, oui, Dieu tranchera entre eux. Oui, sur toute chose Dieu est témoin. </w:t>
      </w:r>
    </w:p>
    <w:p w14:paraId="7DD6283B"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N’as-tu pas vu que c’est devant Dieu que se prosternent tous ceux qui sont dans les cieux et tous ceux qui sont sur la terre, et le soleil, et la lune, et les étoiles, et les montagnes, et les arbres, et les animaux, ainsi que beaucoup des gens ? Il y en a aussi beaucoup contre qui le châtiment s’avère</w:t>
      </w:r>
      <w:r w:rsidRPr="00EC1FBB">
        <w:rPr>
          <w:rStyle w:val="Appelnotedebasdep"/>
          <w:rFonts w:asciiTheme="majorBidi" w:hAnsiTheme="majorBidi" w:cstheme="majorBidi"/>
        </w:rPr>
        <w:footnoteReference w:id="670"/>
      </w:r>
      <w:r w:rsidRPr="00EC1FBB">
        <w:rPr>
          <w:rFonts w:asciiTheme="majorBidi" w:hAnsiTheme="majorBidi" w:cstheme="majorBidi"/>
        </w:rPr>
        <w:t>. Et quiconque Dieu avilit n’a personne qui l’honore. Dieu fait ce qu’Il veut, vraiment</w:t>
      </w:r>
      <w:r w:rsidRPr="00EC1FBB">
        <w:rPr>
          <w:rStyle w:val="Appelnotedebasdep"/>
          <w:rFonts w:asciiTheme="majorBidi" w:hAnsiTheme="majorBidi" w:cstheme="majorBidi"/>
        </w:rPr>
        <w:footnoteReference w:id="671"/>
      </w:r>
      <w:r w:rsidRPr="00EC1FBB">
        <w:rPr>
          <w:rFonts w:asciiTheme="majorBidi" w:hAnsiTheme="majorBidi" w:cstheme="majorBidi"/>
        </w:rPr>
        <w:t xml:space="preserve"> ! </w:t>
      </w:r>
    </w:p>
    <w:p w14:paraId="1BD2566C"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Voici deux disputeurs qui disputent de leur Seigneur. Puis, quant à ceux qui mécroient, on leur taillera des vêtements de feu, tandis que dessus leurs têtes on versera l’eau bouillante</w:t>
      </w:r>
      <w:r w:rsidRPr="00EC1FBB">
        <w:rPr>
          <w:rStyle w:val="Appelnotedebasdep"/>
          <w:rFonts w:asciiTheme="majorBidi" w:hAnsiTheme="majorBidi" w:cstheme="majorBidi"/>
        </w:rPr>
        <w:footnoteReference w:id="672"/>
      </w:r>
      <w:r w:rsidRPr="00EC1FBB">
        <w:rPr>
          <w:rFonts w:asciiTheme="majorBidi" w:hAnsiTheme="majorBidi" w:cstheme="majorBidi"/>
        </w:rPr>
        <w:t xml:space="preserve">, </w:t>
      </w:r>
    </w:p>
    <w:p w14:paraId="6F4A31CB"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de quoi seront fondus ce qui est dans leurs ventres, et les peaux aussi. </w:t>
      </w:r>
    </w:p>
    <w:p w14:paraId="0C651A4E"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lastRenderedPageBreak/>
        <w:t>Et pour eux, des maillets de fer</w:t>
      </w:r>
      <w:r w:rsidRPr="00EC1FBB">
        <w:rPr>
          <w:rStyle w:val="Appelnotedebasdep"/>
          <w:rFonts w:asciiTheme="majorBidi" w:hAnsiTheme="majorBidi" w:cstheme="majorBidi"/>
        </w:rPr>
        <w:footnoteReference w:id="673"/>
      </w:r>
      <w:r w:rsidRPr="00EC1FBB">
        <w:rPr>
          <w:rFonts w:asciiTheme="majorBidi" w:hAnsiTheme="majorBidi" w:cstheme="majorBidi"/>
        </w:rPr>
        <w:t xml:space="preserve"> : </w:t>
      </w:r>
    </w:p>
    <w:p w14:paraId="1DAEE8FF"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toutes les fois que, de chagrin, ils voudront en sortir, on les y remettra et : « Goûtez au châtiment de l’Enfer-Harîc</w:t>
      </w:r>
      <w:r w:rsidRPr="00EC1FBB">
        <w:rPr>
          <w:rStyle w:val="Appelnotedebasdep"/>
          <w:rFonts w:asciiTheme="majorBidi" w:hAnsiTheme="majorBidi" w:cstheme="majorBidi"/>
        </w:rPr>
        <w:footnoteReference w:id="674"/>
      </w:r>
      <w:r w:rsidRPr="00EC1FBB">
        <w:rPr>
          <w:rFonts w:asciiTheme="majorBidi" w:hAnsiTheme="majorBidi" w:cstheme="majorBidi"/>
        </w:rPr>
        <w:t> »</w:t>
      </w:r>
    </w:p>
    <w:p w14:paraId="5A2D3D20"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Oui, ceux qui croient et font œuvres bonnes, Dieu les fait entrer aux Jardins sous quoi coulent les ruisseaux . Là, on les ornera de bracelets d’or, et aussi de perles ; et là, leur vêtement sera de soie</w:t>
      </w:r>
      <w:r w:rsidRPr="00EC1FBB">
        <w:rPr>
          <w:rStyle w:val="Appelnotedebasdep"/>
          <w:rFonts w:asciiTheme="majorBidi" w:hAnsiTheme="majorBidi" w:cstheme="majorBidi"/>
        </w:rPr>
        <w:footnoteReference w:id="675"/>
      </w:r>
      <w:r w:rsidRPr="00EC1FBB">
        <w:rPr>
          <w:rFonts w:asciiTheme="majorBidi" w:hAnsiTheme="majorBidi" w:cstheme="majorBidi"/>
        </w:rPr>
        <w:t xml:space="preserve">. </w:t>
      </w:r>
    </w:p>
    <w:p w14:paraId="148EE133"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ils sont guidés vers une excellente parole, et ils sont guidés vers le chemin du Digne-de-Louange. </w:t>
      </w:r>
    </w:p>
    <w:p w14:paraId="48621C92"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Oui, ceux qui mécroient et qui empêchent du sentier de Dieu, ainsi que de la Sainte Mosquée</w:t>
      </w:r>
      <w:r w:rsidRPr="00EC1FBB">
        <w:rPr>
          <w:rStyle w:val="Appelnotedebasdep"/>
          <w:rFonts w:asciiTheme="majorBidi" w:hAnsiTheme="majorBidi" w:cstheme="majorBidi"/>
        </w:rPr>
        <w:footnoteReference w:id="676"/>
      </w:r>
      <w:r w:rsidRPr="00EC1FBB">
        <w:rPr>
          <w:rFonts w:asciiTheme="majorBidi" w:hAnsiTheme="majorBidi" w:cstheme="majorBidi"/>
        </w:rPr>
        <w:t xml:space="preserve"> que Nous avons assignée aux gens… - celui qui s’y retire et celui qui y est de passage sont égaux ; - et quiconque lui en veut en quoi que ce soit, par sacrilège, par prévarication, Nous le ferons goûter au châtiment douloureux. </w:t>
      </w:r>
    </w:p>
    <w:p w14:paraId="76EEEBF8"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quand Nous installâmes pour Abraham le lieu de la Maison</w:t>
      </w:r>
      <w:r w:rsidRPr="00EC1FBB">
        <w:rPr>
          <w:rStyle w:val="Appelnotedebasdep"/>
          <w:rFonts w:asciiTheme="majorBidi" w:hAnsiTheme="majorBidi" w:cstheme="majorBidi"/>
        </w:rPr>
        <w:footnoteReference w:id="677"/>
      </w:r>
      <w:r w:rsidRPr="00EC1FBB">
        <w:rPr>
          <w:rFonts w:asciiTheme="majorBidi" w:hAnsiTheme="majorBidi" w:cstheme="majorBidi"/>
        </w:rPr>
        <w:t>, avec ceci : « Ne M’associe rien ; et purifie Ma Maison pour ceux qui tournent autour</w:t>
      </w:r>
      <w:r w:rsidRPr="00EC1FBB">
        <w:rPr>
          <w:rStyle w:val="Appelnotedebasdep"/>
          <w:rFonts w:asciiTheme="majorBidi" w:hAnsiTheme="majorBidi" w:cstheme="majorBidi"/>
        </w:rPr>
        <w:footnoteReference w:id="678"/>
      </w:r>
      <w:r w:rsidRPr="00EC1FBB">
        <w:rPr>
          <w:rFonts w:asciiTheme="majorBidi" w:hAnsiTheme="majorBidi" w:cstheme="majorBidi"/>
        </w:rPr>
        <w:t>, pour ceux qui restent debout</w:t>
      </w:r>
      <w:r w:rsidRPr="00EC1FBB">
        <w:rPr>
          <w:rStyle w:val="Appelnotedebasdep"/>
          <w:rFonts w:asciiTheme="majorBidi" w:hAnsiTheme="majorBidi" w:cstheme="majorBidi"/>
        </w:rPr>
        <w:footnoteReference w:id="679"/>
      </w:r>
      <w:r w:rsidRPr="00EC1FBB">
        <w:rPr>
          <w:rFonts w:asciiTheme="majorBidi" w:hAnsiTheme="majorBidi" w:cstheme="majorBidi"/>
        </w:rPr>
        <w:t xml:space="preserve">, pour ceux qui s’inclinent, se prosternent. </w:t>
      </w:r>
    </w:p>
    <w:p w14:paraId="46DF8E9E"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fais aux gens une annonce pour le pèlerinage</w:t>
      </w:r>
      <w:r w:rsidRPr="00EC1FBB">
        <w:rPr>
          <w:rStyle w:val="Appelnotedebasdep"/>
          <w:rFonts w:asciiTheme="majorBidi" w:hAnsiTheme="majorBidi" w:cstheme="majorBidi"/>
        </w:rPr>
        <w:footnoteReference w:id="680"/>
      </w:r>
      <w:r w:rsidRPr="00EC1FBB">
        <w:rPr>
          <w:rFonts w:asciiTheme="majorBidi" w:hAnsiTheme="majorBidi" w:cstheme="majorBidi"/>
        </w:rPr>
        <w:t> : qu’ils viennent à toi, à pied, et aussi à dromadaire de toute espèce, de tout chemin creux</w:t>
      </w:r>
      <w:r w:rsidRPr="00EC1FBB">
        <w:rPr>
          <w:rStyle w:val="Appelnotedebasdep"/>
          <w:rFonts w:asciiTheme="majorBidi" w:hAnsiTheme="majorBidi" w:cstheme="majorBidi"/>
        </w:rPr>
        <w:footnoteReference w:id="681"/>
      </w:r>
    </w:p>
    <w:p w14:paraId="096F1141"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afin qu’ils témoignent eux-mêmes d’avantages qui sont les leurs, et qu’ils rappellent le nom de Dieu</w:t>
      </w:r>
      <w:r w:rsidRPr="00EC1FBB">
        <w:rPr>
          <w:rStyle w:val="Appelnotedebasdep"/>
          <w:rFonts w:asciiTheme="majorBidi" w:hAnsiTheme="majorBidi" w:cstheme="majorBidi"/>
        </w:rPr>
        <w:footnoteReference w:id="682"/>
      </w:r>
      <w:r w:rsidRPr="00EC1FBB">
        <w:rPr>
          <w:rFonts w:asciiTheme="majorBidi" w:hAnsiTheme="majorBidi" w:cstheme="majorBidi"/>
        </w:rPr>
        <w:t>, pendant quelques jours bien connus, sur la bête de cheptel qu’Il leur a attribuée en nourriture. – Mangez-en vous-mêmes, et faites-en aussi un repas au besogneux misérable. –</w:t>
      </w:r>
    </w:p>
    <w:p w14:paraId="04F59387"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Qu’ils ôtent ensuite leur crasse, et qu’ils remplissent leurs vœux, et qu’ils fassent les tours autour de l’Antique Maison</w:t>
      </w:r>
      <w:r w:rsidRPr="00EC1FBB">
        <w:rPr>
          <w:rStyle w:val="Appelnotedebasdep"/>
          <w:rFonts w:asciiTheme="majorBidi" w:hAnsiTheme="majorBidi" w:cstheme="majorBidi"/>
        </w:rPr>
        <w:footnoteReference w:id="683"/>
      </w:r>
      <w:r w:rsidRPr="00EC1FBB">
        <w:rPr>
          <w:rFonts w:asciiTheme="majorBidi" w:hAnsiTheme="majorBidi" w:cstheme="majorBidi"/>
        </w:rPr>
        <w:t xml:space="preserve">. </w:t>
      </w:r>
    </w:p>
    <w:p w14:paraId="5C295C43"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Voilà ! Et quiconque exalte les interdits</w:t>
      </w:r>
      <w:r w:rsidRPr="00EC1FBB">
        <w:rPr>
          <w:rStyle w:val="Appelnotedebasdep"/>
          <w:rFonts w:asciiTheme="majorBidi" w:hAnsiTheme="majorBidi" w:cstheme="majorBidi"/>
        </w:rPr>
        <w:footnoteReference w:id="684"/>
      </w:r>
      <w:r w:rsidRPr="00EC1FBB">
        <w:rPr>
          <w:rFonts w:asciiTheme="majorBidi" w:hAnsiTheme="majorBidi" w:cstheme="majorBidi"/>
        </w:rPr>
        <w:t xml:space="preserve"> de Dieu , c’est mieux pour lui, auprès de son Seigneur ! – Or les bêtes, sauf ce qu’on vous a récité, vous ont été rendues licites : abstenez-vous donc de la souillure des idoles, et abstenez-vous de la parole de mensonge, </w:t>
      </w:r>
    </w:p>
    <w:p w14:paraId="39C5555A"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lastRenderedPageBreak/>
        <w:t>sincères envers Dieu, ne Lui associant rien </w:t>
      </w:r>
      <w:r w:rsidRPr="00EC1FBB">
        <w:rPr>
          <w:rStyle w:val="Appelnotedebasdep"/>
          <w:rFonts w:asciiTheme="majorBidi" w:hAnsiTheme="majorBidi" w:cstheme="majorBidi"/>
        </w:rPr>
        <w:footnoteReference w:id="685"/>
      </w:r>
      <w:r w:rsidRPr="00EC1FBB">
        <w:rPr>
          <w:rFonts w:asciiTheme="majorBidi" w:hAnsiTheme="majorBidi" w:cstheme="majorBidi"/>
        </w:rPr>
        <w:t>; car quiconque associe à Dieu, c’est comme s’il était tombé du ciel, puis les oiseaux l’enlèvent, ou le vent le précipite, d’en haut, à l’en pulvériser</w:t>
      </w:r>
      <w:r w:rsidRPr="00EC1FBB">
        <w:rPr>
          <w:rStyle w:val="Appelnotedebasdep"/>
          <w:rFonts w:asciiTheme="majorBidi" w:hAnsiTheme="majorBidi" w:cstheme="majorBidi"/>
        </w:rPr>
        <w:footnoteReference w:id="686"/>
      </w:r>
      <w:r w:rsidRPr="00EC1FBB">
        <w:rPr>
          <w:rFonts w:asciiTheme="majorBidi" w:hAnsiTheme="majorBidi" w:cstheme="majorBidi"/>
        </w:rPr>
        <w:t xml:space="preserve">. </w:t>
      </w:r>
    </w:p>
    <w:p w14:paraId="62681D75"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Voilà ! Et quiconque exalte les emblèmes de Dieu</w:t>
      </w:r>
      <w:r w:rsidRPr="00EC1FBB">
        <w:rPr>
          <w:rStyle w:val="Appelnotedebasdep"/>
          <w:rFonts w:asciiTheme="majorBidi" w:hAnsiTheme="majorBidi" w:cstheme="majorBidi"/>
        </w:rPr>
        <w:footnoteReference w:id="687"/>
      </w:r>
      <w:r w:rsidRPr="00EC1FBB">
        <w:rPr>
          <w:rFonts w:asciiTheme="majorBidi" w:hAnsiTheme="majorBidi" w:cstheme="majorBidi"/>
        </w:rPr>
        <w:t xml:space="preserve">, oui, c’est en effet de la piété des cœurs ! </w:t>
      </w:r>
    </w:p>
    <w:p w14:paraId="4F3F0172"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De ces bêtes-là</w:t>
      </w:r>
      <w:r w:rsidRPr="00EC1FBB">
        <w:rPr>
          <w:rStyle w:val="Appelnotedebasdep"/>
          <w:rFonts w:asciiTheme="majorBidi" w:hAnsiTheme="majorBidi" w:cstheme="majorBidi"/>
        </w:rPr>
        <w:footnoteReference w:id="688"/>
      </w:r>
      <w:r w:rsidRPr="00EC1FBB">
        <w:rPr>
          <w:rFonts w:asciiTheme="majorBidi" w:hAnsiTheme="majorBidi" w:cstheme="majorBidi"/>
        </w:rPr>
        <w:t xml:space="preserve"> vous tirez des avantages jusqu’à un terme dénommé ; puis vers l’Antique Maison est leur lieu d’immolation. </w:t>
      </w:r>
    </w:p>
    <w:p w14:paraId="3F275A7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à chaque communauté Nous avons assigné un rite, afin qu’ils rappellent le nom de Dieu sur la bête de cheptel qu’Il leur attribuée en nourriture. Votre Dieu en effet, est Dieu unique. Soumettez-vous</w:t>
      </w:r>
      <w:r w:rsidRPr="00EC1FBB">
        <w:rPr>
          <w:rStyle w:val="Appelnotedebasdep"/>
          <w:rFonts w:asciiTheme="majorBidi" w:hAnsiTheme="majorBidi" w:cstheme="majorBidi"/>
        </w:rPr>
        <w:footnoteReference w:id="689"/>
      </w:r>
      <w:r w:rsidRPr="00EC1FBB">
        <w:rPr>
          <w:rFonts w:asciiTheme="majorBidi" w:hAnsiTheme="majorBidi" w:cstheme="majorBidi"/>
        </w:rPr>
        <w:t xml:space="preserve"> donc à Lui. – Et fais bonne annonce à ceux qui s’humilient, </w:t>
      </w:r>
    </w:p>
    <w:p w14:paraId="63C752B6"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dont les cœurs s’effraient quand Dieu est rappelé à ceux qui endurent avec constance ce qui les atteint, et à ceux qui établissent l’Office et font largesses sur ce que Nous leur avons attribué. </w:t>
      </w:r>
    </w:p>
    <w:p w14:paraId="70BD0022"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quant aux bêtes de sacrifice</w:t>
      </w:r>
      <w:r w:rsidRPr="00EC1FBB">
        <w:rPr>
          <w:rStyle w:val="Appelnotedebasdep"/>
          <w:rFonts w:asciiTheme="majorBidi" w:hAnsiTheme="majorBidi" w:cstheme="majorBidi"/>
        </w:rPr>
        <w:footnoteReference w:id="690"/>
      </w:r>
      <w:r w:rsidRPr="00EC1FBB">
        <w:rPr>
          <w:rFonts w:asciiTheme="majorBidi" w:hAnsiTheme="majorBidi" w:cstheme="majorBidi"/>
        </w:rPr>
        <w:t>, Nous vous les avons désignées comme des emblèmes de Dieu. Il y a là pour vous un bien. Rappelez donc sur elles le nom de Dieu, tandis qu’elles sont rangées</w:t>
      </w:r>
      <w:r w:rsidRPr="00EC1FBB">
        <w:rPr>
          <w:rStyle w:val="Appelnotedebasdep"/>
          <w:rFonts w:asciiTheme="majorBidi" w:hAnsiTheme="majorBidi" w:cstheme="majorBidi"/>
        </w:rPr>
        <w:footnoteReference w:id="691"/>
      </w:r>
      <w:r w:rsidRPr="00EC1FBB">
        <w:rPr>
          <w:rFonts w:asciiTheme="majorBidi" w:hAnsiTheme="majorBidi" w:cstheme="majorBidi"/>
        </w:rPr>
        <w:t>. Puis, lorsqu’elles gisent sur le flanc</w:t>
      </w:r>
      <w:r w:rsidRPr="00EC1FBB">
        <w:rPr>
          <w:rStyle w:val="Appelnotedebasdep"/>
          <w:rFonts w:asciiTheme="majorBidi" w:hAnsiTheme="majorBidi" w:cstheme="majorBidi"/>
        </w:rPr>
        <w:footnoteReference w:id="692"/>
      </w:r>
      <w:r w:rsidRPr="00EC1FBB">
        <w:rPr>
          <w:rFonts w:asciiTheme="majorBidi" w:hAnsiTheme="majorBidi" w:cstheme="majorBidi"/>
        </w:rPr>
        <w:t>, alors mangez-en, et faites-en repas à celui qui se contente</w:t>
      </w:r>
      <w:r w:rsidRPr="00EC1FBB">
        <w:rPr>
          <w:rStyle w:val="Appelnotedebasdep"/>
          <w:rFonts w:asciiTheme="majorBidi" w:hAnsiTheme="majorBidi" w:cstheme="majorBidi"/>
        </w:rPr>
        <w:footnoteReference w:id="693"/>
      </w:r>
      <w:r w:rsidRPr="00EC1FBB">
        <w:rPr>
          <w:rFonts w:asciiTheme="majorBidi" w:hAnsiTheme="majorBidi" w:cstheme="majorBidi"/>
        </w:rPr>
        <w:t xml:space="preserve">, à celui aussi qui mendie. Ainsi vous les avons-Nous assujetties. Peut-être serez-vous reconnaissant ? </w:t>
      </w:r>
    </w:p>
    <w:p w14:paraId="1DBB0766"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Ni leurs chairs ni leurs sangs n’atteignent jamais à Dieu, mais c’est la piété qui, de votre part, L’atteint</w:t>
      </w:r>
      <w:r w:rsidRPr="00EC1FBB">
        <w:rPr>
          <w:rStyle w:val="Appelnotedebasdep"/>
          <w:rFonts w:asciiTheme="majorBidi" w:hAnsiTheme="majorBidi" w:cstheme="majorBidi"/>
        </w:rPr>
        <w:footnoteReference w:id="694"/>
      </w:r>
      <w:r w:rsidRPr="00EC1FBB">
        <w:rPr>
          <w:rFonts w:asciiTheme="majorBidi" w:hAnsiTheme="majorBidi" w:cstheme="majorBidi"/>
        </w:rPr>
        <w:t>. Ainsi vous les a-t-Il assujetties, afin que vous proclamiez la grandeur de Dieu, parce qu’Il vous a guidés</w:t>
      </w:r>
      <w:r w:rsidRPr="00EC1FBB">
        <w:rPr>
          <w:rStyle w:val="Appelnotedebasdep"/>
          <w:rFonts w:asciiTheme="majorBidi" w:hAnsiTheme="majorBidi" w:cstheme="majorBidi"/>
        </w:rPr>
        <w:footnoteReference w:id="695"/>
      </w:r>
      <w:r w:rsidRPr="00EC1FBB">
        <w:rPr>
          <w:rFonts w:asciiTheme="majorBidi" w:hAnsiTheme="majorBidi" w:cstheme="majorBidi"/>
        </w:rPr>
        <w:t xml:space="preserve">. Et fais bonne annonce aux gens bienfaisants. </w:t>
      </w:r>
    </w:p>
    <w:p w14:paraId="2B178F06"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Oui, Dieu prend la défense de ceux qui croient. Oui, Dieu n’aime aucun grand traître ingrat. </w:t>
      </w:r>
    </w:p>
    <w:p w14:paraId="41D6B125"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Toute autorisation</w:t>
      </w:r>
      <w:r w:rsidRPr="00EC1FBB">
        <w:rPr>
          <w:rStyle w:val="Appelnotedebasdep"/>
          <w:rFonts w:asciiTheme="majorBidi" w:hAnsiTheme="majorBidi" w:cstheme="majorBidi"/>
        </w:rPr>
        <w:footnoteReference w:id="696"/>
      </w:r>
      <w:r w:rsidRPr="00EC1FBB">
        <w:rPr>
          <w:rFonts w:asciiTheme="majorBidi" w:hAnsiTheme="majorBidi" w:cstheme="majorBidi"/>
        </w:rPr>
        <w:t xml:space="preserve"> est donnée à ceux qui sont combattus, - parce que vraiment ils sont lésés, et Dieu est capable, vraiment, de les secourir, -</w:t>
      </w:r>
    </w:p>
    <w:p w14:paraId="6456BBB8"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lastRenderedPageBreak/>
        <w:t xml:space="preserve">à ceux qui ont été expulsés de leurs demeures, - sans droit, sauf qu’ils disaient : « Dieu est notre Seigneur » ; - si Dieu ne repoussait pas les gens les uns par les autres, les ermitages seraient démolis, et aussi les synagogues, et les oratoires, et les mosquées où le nom de Dieu est beaucoup rappelé – et très certainement, Dieu secoure ceux qui Le secourent;  certes oui, Dieu est fort, puissant : </w:t>
      </w:r>
    </w:p>
    <w:p w14:paraId="6E6C7588"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à ceux qui, si Nous leur donnons la puissance sur terre, établiront l’Office, et acquitteront l’impôt, et ordonneront le convenable, et interdiront le blâmable. Cependant, la finale des affaires est à Dieu. </w:t>
      </w:r>
    </w:p>
    <w:p w14:paraId="51E5CDA1"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s’ils te traitent de menteur, eh bien, avant ces gens-là</w:t>
      </w:r>
      <w:r w:rsidRPr="00EC1FBB">
        <w:rPr>
          <w:rStyle w:val="Appelnotedebasdep"/>
          <w:rFonts w:asciiTheme="majorBidi" w:hAnsiTheme="majorBidi" w:cstheme="majorBidi"/>
        </w:rPr>
        <w:footnoteReference w:id="697"/>
      </w:r>
      <w:r w:rsidRPr="00EC1FBB">
        <w:rPr>
          <w:rFonts w:asciiTheme="majorBidi" w:hAnsiTheme="majorBidi" w:cstheme="majorBidi"/>
        </w:rPr>
        <w:t>, crièrent au mensonge le peuple de Noé, les Aad, les Thamoud</w:t>
      </w:r>
      <w:r w:rsidRPr="00EC1FBB">
        <w:rPr>
          <w:rStyle w:val="Appelnotedebasdep"/>
          <w:rFonts w:asciiTheme="majorBidi" w:hAnsiTheme="majorBidi" w:cstheme="majorBidi"/>
        </w:rPr>
        <w:footnoteReference w:id="698"/>
      </w:r>
      <w:r w:rsidRPr="00EC1FBB">
        <w:rPr>
          <w:rFonts w:asciiTheme="majorBidi" w:hAnsiTheme="majorBidi" w:cstheme="majorBidi"/>
        </w:rPr>
        <w:t xml:space="preserve">, </w:t>
      </w:r>
    </w:p>
    <w:p w14:paraId="780E70A0"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le peuple d’Abraham, et le peuple Loth, </w:t>
      </w:r>
    </w:p>
    <w:p w14:paraId="5D03B3D7"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les gens de Madian. Et Moïse fut traité de menteur ! Puis J’ai donné répit aux mécréants ; ensuite Je les ai saisis. Et quelle réprobation que la Mienne !</w:t>
      </w:r>
    </w:p>
    <w:p w14:paraId="721739E9"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Que de cités, donc, n’avons-Nous pas fait périr, - parce qu’elles prévariquaient, - qui en furent réduites aux toits écroulés ! De même que de puits désertés</w:t>
      </w:r>
      <w:r w:rsidRPr="00EC1FBB">
        <w:rPr>
          <w:rStyle w:val="Appelnotedebasdep"/>
          <w:rFonts w:asciiTheme="majorBidi" w:hAnsiTheme="majorBidi" w:cstheme="majorBidi"/>
        </w:rPr>
        <w:footnoteReference w:id="699"/>
      </w:r>
      <w:r w:rsidRPr="00EC1FBB">
        <w:rPr>
          <w:rFonts w:asciiTheme="majorBidi" w:hAnsiTheme="majorBidi" w:cstheme="majorBidi"/>
        </w:rPr>
        <w:t xml:space="preserve"> ! Que de palais crépis, aussi ! </w:t>
      </w:r>
    </w:p>
    <w:p w14:paraId="001594B0"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Ne voyageront-ils donc pas, sur terre, et qu’ils aient des cœurs pour comprendre, ou des oreilles pour entendre ? – Car ce ne sont pas les yeux qui s’aveuglent, en vérité ; mais ce sont les cœurs, dans les poitrines, qui s’aveuglent. </w:t>
      </w:r>
    </w:p>
    <w:p w14:paraId="56F5CCEC"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ils te demandent de hâter le châtiment. Or, jamais Dieu ne manquera à Sa promesse. Cependant, un jour, auprès de ton Seigneur est comme mille ans selon que vous comptez</w:t>
      </w:r>
      <w:r w:rsidRPr="00EC1FBB">
        <w:rPr>
          <w:rStyle w:val="Appelnotedebasdep"/>
          <w:rFonts w:asciiTheme="majorBidi" w:hAnsiTheme="majorBidi" w:cstheme="majorBidi"/>
        </w:rPr>
        <w:footnoteReference w:id="700"/>
      </w:r>
      <w:r w:rsidRPr="00EC1FBB">
        <w:rPr>
          <w:rFonts w:asciiTheme="majorBidi" w:hAnsiTheme="majorBidi" w:cstheme="majorBidi"/>
        </w:rPr>
        <w:t xml:space="preserve">. </w:t>
      </w:r>
    </w:p>
    <w:p w14:paraId="2EC3614A"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A combien de cités n’ai-Je pas donné répit tandis qu’elles prévariquaient ? Ensuite, Je les ai saisies. Et vers Moi est le devenir. </w:t>
      </w:r>
    </w:p>
    <w:p w14:paraId="1878160C"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Dis : « Ho, les Gens ! Je ne suis pour vous, en vérité, qu’un avertisseur clair. »</w:t>
      </w:r>
    </w:p>
    <w:p w14:paraId="51F28CBF"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A ceux donc, qui croient et font œuvres bonnes, à eux pardon et noble part. </w:t>
      </w:r>
    </w:p>
    <w:p w14:paraId="610E52A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Tandis que ceux qui courent pour rendre impuissants Nos signes, ceux-là sont compagnons de l’Enfer-Jahîm. </w:t>
      </w:r>
    </w:p>
    <w:p w14:paraId="7D86A823"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Nous n’avons envoyé, avant toi, messager ni prophète qui n’ait eu quelque désir</w:t>
      </w:r>
      <w:r w:rsidRPr="00EC1FBB">
        <w:rPr>
          <w:rStyle w:val="Appelnotedebasdep"/>
          <w:rFonts w:asciiTheme="majorBidi" w:hAnsiTheme="majorBidi" w:cstheme="majorBidi"/>
        </w:rPr>
        <w:footnoteReference w:id="701"/>
      </w:r>
      <w:r w:rsidRPr="00EC1FBB">
        <w:rPr>
          <w:rFonts w:asciiTheme="majorBidi" w:hAnsiTheme="majorBidi" w:cstheme="majorBidi"/>
        </w:rPr>
        <w:t xml:space="preserve"> que le Diable ait lancé dans son désir ! Puis, Dieu abroge ce que le Diable lance. Puis Dieu renforce Ses signes</w:t>
      </w:r>
      <w:r w:rsidRPr="00EC1FBB">
        <w:rPr>
          <w:rStyle w:val="Appelnotedebasdep"/>
          <w:rFonts w:asciiTheme="majorBidi" w:hAnsiTheme="majorBidi" w:cstheme="majorBidi"/>
        </w:rPr>
        <w:footnoteReference w:id="702"/>
      </w:r>
      <w:r w:rsidRPr="00EC1FBB">
        <w:rPr>
          <w:rFonts w:asciiTheme="majorBidi" w:hAnsiTheme="majorBidi" w:cstheme="majorBidi"/>
        </w:rPr>
        <w:t xml:space="preserve">, - tandis que Dieu est savant, sage ; - </w:t>
      </w:r>
    </w:p>
    <w:p w14:paraId="31ED3922"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afin de faire ce que le Diable a lancé</w:t>
      </w:r>
      <w:r w:rsidRPr="00EC1FBB">
        <w:rPr>
          <w:rStyle w:val="Appelnotedebasdep"/>
          <w:rFonts w:asciiTheme="majorBidi" w:hAnsiTheme="majorBidi" w:cstheme="majorBidi"/>
        </w:rPr>
        <w:footnoteReference w:id="703"/>
      </w:r>
      <w:r w:rsidRPr="00EC1FBB">
        <w:rPr>
          <w:rFonts w:asciiTheme="majorBidi" w:hAnsiTheme="majorBidi" w:cstheme="majorBidi"/>
        </w:rPr>
        <w:t xml:space="preserve">, une tentation pour ceux aux cœurs de qui est une maladie, pour ceux aussi dont les cœurs sont endurcis ; - certes oui, les prévaricateurs sont loin dans le schisme ; - </w:t>
      </w:r>
    </w:p>
    <w:p w14:paraId="74B58EE9"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lastRenderedPageBreak/>
        <w:t xml:space="preserve">et afin que ceux à qui la science a été donnée sachent que voilà en effet la Vérité, de la part de ton Seigneur, et qu’ils y croient, puis que leurs cœurs s’y humilient. Oui, Dieu va certainement guider vers un droit chemin ceux qui croient. </w:t>
      </w:r>
    </w:p>
    <w:p w14:paraId="74387E5F"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ceux qui mécroient ne cesseront pas d’être en doute jusqu’à ce que l’Heure vienne à eux soudain, ou que leur vienne le châtiment d’un Jour stérile</w:t>
      </w:r>
      <w:r w:rsidRPr="00EC1FBB">
        <w:rPr>
          <w:rStyle w:val="Appelnotedebasdep"/>
          <w:rFonts w:asciiTheme="majorBidi" w:hAnsiTheme="majorBidi" w:cstheme="majorBidi"/>
        </w:rPr>
        <w:footnoteReference w:id="704"/>
      </w:r>
      <w:r w:rsidRPr="00EC1FBB">
        <w:rPr>
          <w:rFonts w:asciiTheme="majorBidi" w:hAnsiTheme="majorBidi" w:cstheme="majorBidi"/>
        </w:rPr>
        <w:t xml:space="preserve">. </w:t>
      </w:r>
    </w:p>
    <w:p w14:paraId="3654FAEC" w14:textId="77777777" w:rsidR="00F324A5" w:rsidRPr="00EC1FBB" w:rsidRDefault="00F324A5" w:rsidP="00F324A5">
      <w:pPr>
        <w:contextualSpacing/>
        <w:jc w:val="both"/>
        <w:rPr>
          <w:rFonts w:asciiTheme="majorBidi" w:hAnsiTheme="majorBidi" w:cstheme="majorBidi"/>
        </w:rPr>
      </w:pPr>
    </w:p>
    <w:p w14:paraId="752B05A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La royauté ce jour-là, appartiendra à Dieu. Il jugera parmi eux. Puis, ceux qui auront cru et fait œuvres bonnes iront aux Jardins du Délice</w:t>
      </w:r>
      <w:r w:rsidRPr="00EC1FBB">
        <w:rPr>
          <w:rStyle w:val="Appelnotedebasdep"/>
          <w:rFonts w:asciiTheme="majorBidi" w:hAnsiTheme="majorBidi" w:cstheme="majorBidi"/>
        </w:rPr>
        <w:footnoteReference w:id="705"/>
      </w:r>
      <w:r w:rsidRPr="00EC1FBB">
        <w:rPr>
          <w:rFonts w:asciiTheme="majorBidi" w:hAnsiTheme="majorBidi" w:cstheme="majorBidi"/>
        </w:rPr>
        <w:t> ;</w:t>
      </w:r>
    </w:p>
    <w:p w14:paraId="0E85A4C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quant à ceux qui auront mécru et traité de mensonge Nos signes, à ceux-là, alors, un châtiment avilissant. </w:t>
      </w:r>
    </w:p>
    <w:p w14:paraId="38101621"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ceux qui émigrent</w:t>
      </w:r>
      <w:r w:rsidRPr="00EC1FBB">
        <w:rPr>
          <w:rStyle w:val="Appelnotedebasdep"/>
          <w:rFonts w:asciiTheme="majorBidi" w:hAnsiTheme="majorBidi" w:cstheme="majorBidi"/>
        </w:rPr>
        <w:footnoteReference w:id="706"/>
      </w:r>
      <w:r w:rsidRPr="00EC1FBB">
        <w:rPr>
          <w:rFonts w:asciiTheme="majorBidi" w:hAnsiTheme="majorBidi" w:cstheme="majorBidi"/>
        </w:rPr>
        <w:t xml:space="preserve"> dans le sentier de Dieu, et qui sont tués, ou meurent, très certainement Dieu leur donnera jolie part en partage, tandis que Dieu est, certes oui, le meilleur des partageurs ! </w:t>
      </w:r>
    </w:p>
    <w:p w14:paraId="5C2DB8AB"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Très certainement Il les fera entrer d’une entrée qui leur sera agréable, tandis que Dieu est, certes oui, savant, patient. </w:t>
      </w:r>
    </w:p>
    <w:p w14:paraId="6112594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De plus</w:t>
      </w:r>
      <w:r w:rsidRPr="00EC1FBB">
        <w:rPr>
          <w:rStyle w:val="Appelnotedebasdep"/>
          <w:rFonts w:asciiTheme="majorBidi" w:hAnsiTheme="majorBidi" w:cstheme="majorBidi"/>
        </w:rPr>
        <w:footnoteReference w:id="707"/>
      </w:r>
      <w:r w:rsidRPr="00EC1FBB">
        <w:rPr>
          <w:rFonts w:asciiTheme="majorBidi" w:hAnsiTheme="majorBidi" w:cstheme="majorBidi"/>
        </w:rPr>
        <w:t xml:space="preserve">, quiconque poursuite de la façon qu’il a été poursuivi, et qu’ensuite on lui en veuille encore, Dieu très certainement l’en secourra. Dieu est maître d’absolution, pardonneur, vraiment ! </w:t>
      </w:r>
    </w:p>
    <w:p w14:paraId="17F8CF5E"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C’est qu’en vérité Dieu fait que la nuit pénètre dans le jour, et que le jour pénètre dans la nuit</w:t>
      </w:r>
      <w:r w:rsidRPr="00EC1FBB">
        <w:rPr>
          <w:rStyle w:val="Appelnotedebasdep"/>
          <w:rFonts w:asciiTheme="majorBidi" w:hAnsiTheme="majorBidi" w:cstheme="majorBidi"/>
        </w:rPr>
        <w:footnoteReference w:id="708"/>
      </w:r>
      <w:r w:rsidRPr="00EC1FBB">
        <w:rPr>
          <w:rFonts w:asciiTheme="majorBidi" w:hAnsiTheme="majorBidi" w:cstheme="majorBidi"/>
        </w:rPr>
        <w:t xml:space="preserve">. Dieu, cependant, entend, Il observe, vraiment ! </w:t>
      </w:r>
    </w:p>
    <w:p w14:paraId="3F380E4F"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C’est qu’en vérité Dieu est, Lui, la Vérité, alors que ce qu’ils invoquent en dehors de Lui, vraiment c’est le faux ; et parce que Dieu est, Lui, Haut, le Grand, vraiment. </w:t>
      </w:r>
    </w:p>
    <w:p w14:paraId="6489B946"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N’as-tu pas vu qu’en vérité Dieu fait du ciel, descendre l’eau, puis la terre devient verte ? Dieu est plein de mansuétude, certes, oui, bien informé ! </w:t>
      </w:r>
    </w:p>
    <w:p w14:paraId="1295A4B3"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A Lui tout ce qui est dans les cieux, et tout ce qui est sur la terre. Dieu, c’est Lui qui est au large, certes oui, qui est digne de louange ! </w:t>
      </w:r>
    </w:p>
    <w:p w14:paraId="11DC1A95"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N’as-tu pas vu qu’en vérité Dieu vous a assujetti tout ce qui est sur la terre ? De même que le vaisseau qui glisse sur la mer par Son ordre ? Et c’est Lui qui retient le ciel de tomber sur la terre, - sauf permission de Lui. Dieu est doux envers les gens, certes oui, miséricordieux. </w:t>
      </w:r>
    </w:p>
    <w:p w14:paraId="43F47868"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c’est Lui qui vous donne la vie, puis Il vous donne la mort, puis Il vous donne la vie. L’homme est, certes oui, très ingrat ! </w:t>
      </w:r>
    </w:p>
    <w:p w14:paraId="14BC030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A chaque communauté</w:t>
      </w:r>
      <w:r w:rsidRPr="00EC1FBB">
        <w:rPr>
          <w:rStyle w:val="Appelnotedebasdep"/>
          <w:rFonts w:asciiTheme="majorBidi" w:hAnsiTheme="majorBidi" w:cstheme="majorBidi"/>
        </w:rPr>
        <w:footnoteReference w:id="709"/>
      </w:r>
      <w:r w:rsidRPr="00EC1FBB">
        <w:rPr>
          <w:rFonts w:asciiTheme="majorBidi" w:hAnsiTheme="majorBidi" w:cstheme="majorBidi"/>
        </w:rPr>
        <w:t xml:space="preserve">, Nous avons assigné un rite qu’ils ritualisent. Qu’ils ne disputent donc point avec toi dans le commandement ! Et appelle à ton Seigneur. Tu es, certes oui, sur une guidée droite. </w:t>
      </w:r>
    </w:p>
    <w:p w14:paraId="0BCDD853"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s’ils disputent avec toi, alors, dis : « Dieu sait mieux ce que vous œuvrez. </w:t>
      </w:r>
    </w:p>
    <w:p w14:paraId="72F0B061"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Dieu jugera entre vous, au jour de la résurrection, ce en quoi vous divergez. »</w:t>
      </w:r>
    </w:p>
    <w:p w14:paraId="16AB7D57"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lastRenderedPageBreak/>
        <w:t>Ne sais-tu pas que Dieu sait ce qu’il y a dans le ciel et la terre ? Oui, cela se trouve dans un Livre</w:t>
      </w:r>
      <w:r w:rsidRPr="00EC1FBB">
        <w:rPr>
          <w:rStyle w:val="Appelnotedebasdep"/>
          <w:rFonts w:asciiTheme="majorBidi" w:hAnsiTheme="majorBidi" w:cstheme="majorBidi"/>
        </w:rPr>
        <w:footnoteReference w:id="710"/>
      </w:r>
      <w:r w:rsidRPr="00EC1FBB">
        <w:rPr>
          <w:rFonts w:asciiTheme="majorBidi" w:hAnsiTheme="majorBidi" w:cstheme="majorBidi"/>
        </w:rPr>
        <w:t xml:space="preserve">.C’est facile à Dieu, vraiment ! </w:t>
      </w:r>
    </w:p>
    <w:p w14:paraId="4BF42F12"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ils adorent, au lieu de Dieu, ce pour quoi Il n’a fait descendre aucune autorité, ce dont ils n’ont science aucune. Or, pas de secoureur pour les prévaricateurs ! </w:t>
      </w:r>
    </w:p>
    <w:p w14:paraId="71BEB5C7"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quand on récite sur eux Nos versets comme preuves, tu discerneras la réprobation sur les visages de ceux qui mécroient ; peu s’en faut qu’ils ne se précipitent sur ceux qui récitent devant eux Nos versets. – Dis : « Vous donnerai-je nouvelle de quelque chose de pire ? – Le Feu : Dieu l’a promis à ceux qui mécroient. Et quel mauvais devenir ! »</w:t>
      </w:r>
    </w:p>
    <w:p w14:paraId="3C50973E"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Ho, les gens ! Voici frappée une parabole, écoutez-la : « Non, ceux que vous invoquez en dehors de Dieu ne créeront jamais une mouche, quand même ils s’uniraient pour cela. Et si la mouche les dépouillait de quelque chose, ils ne sauraient pas le lui reprendre Que faibles, le chercheur et le cherché ! »</w:t>
      </w:r>
    </w:p>
    <w:p w14:paraId="7AC6FA6A"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Et ils ne mesurent pas Dieu à Sa vraie mesure. Certes oui, Dieu est fort, puissant. </w:t>
      </w:r>
    </w:p>
    <w:p w14:paraId="3E81ACFE"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Dieu choisit des messagers parmi les anges, de même parmi les hommes. Oui, Dieu entend, observe. </w:t>
      </w:r>
    </w:p>
    <w:p w14:paraId="0FD6691D"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 xml:space="preserve">Il sait ce qui est devant eux, derrière eux aussi. Et c’est vers Dieu que les affaires sont ramenées. </w:t>
      </w:r>
    </w:p>
    <w:p w14:paraId="2F8B3309"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Ho, les gens ! Inclinez-vous, et prosternez-vous, et adorez votre Seigneur, et faites le bien. Peut-être serez-vous gagnants ?</w:t>
      </w:r>
      <w:r w:rsidRPr="00EC1FBB">
        <w:rPr>
          <w:rStyle w:val="Appelnotedebasdep"/>
          <w:rFonts w:asciiTheme="majorBidi" w:hAnsiTheme="majorBidi" w:cstheme="majorBidi"/>
        </w:rPr>
        <w:footnoteReference w:id="711"/>
      </w:r>
    </w:p>
    <w:p w14:paraId="0A31AE46" w14:textId="77777777" w:rsidR="00F324A5" w:rsidRPr="00EC1FBB" w:rsidRDefault="00F324A5" w:rsidP="00876BB0">
      <w:pPr>
        <w:numPr>
          <w:ilvl w:val="0"/>
          <w:numId w:val="132"/>
        </w:numPr>
        <w:contextualSpacing/>
        <w:jc w:val="both"/>
        <w:rPr>
          <w:rFonts w:asciiTheme="majorBidi" w:hAnsiTheme="majorBidi" w:cstheme="majorBidi"/>
        </w:rPr>
      </w:pPr>
      <w:r w:rsidRPr="00EC1FBB">
        <w:rPr>
          <w:rFonts w:asciiTheme="majorBidi" w:hAnsiTheme="majorBidi" w:cstheme="majorBidi"/>
        </w:rPr>
        <w:t>Et luttez pour Dieu selon le droit de Sa lutte. C’est Lui qui vous a élus ; et Il ne vous a pas assigné de gêne dans la religion comme culte de votre père Abraham, lequel vous a nommés « Soumis</w:t>
      </w:r>
      <w:r w:rsidRPr="00EC1FBB">
        <w:rPr>
          <w:rStyle w:val="Appelnotedebasdep"/>
          <w:rFonts w:asciiTheme="majorBidi" w:hAnsiTheme="majorBidi" w:cstheme="majorBidi"/>
        </w:rPr>
        <w:footnoteReference w:id="712"/>
      </w:r>
      <w:r w:rsidRPr="00EC1FBB">
        <w:rPr>
          <w:rFonts w:asciiTheme="majorBidi" w:hAnsiTheme="majorBidi" w:cstheme="majorBidi"/>
        </w:rPr>
        <w:t> », autrefois, - et ici aussi,- afin que le messager soit témoin sur vous et que vous soyez témoins sur les gens. Etablissez donc l’Office et acquittez l’impôt, et cramponnez-vous à Dieu. C’est Lui votre patron ; et quel meilleur patron ! Et quel meilleur secoureur !</w:t>
      </w:r>
    </w:p>
    <w:p w14:paraId="2EF76A47" w14:textId="77777777" w:rsidR="00F324A5" w:rsidRPr="00EC1FBB" w:rsidRDefault="00F324A5" w:rsidP="00F324A5">
      <w:pPr>
        <w:contextualSpacing/>
        <w:jc w:val="both"/>
        <w:rPr>
          <w:rFonts w:asciiTheme="majorBidi" w:eastAsia="Times New Roman" w:hAnsiTheme="majorBidi" w:cstheme="majorBidi"/>
        </w:rPr>
      </w:pPr>
    </w:p>
    <w:p w14:paraId="64B4FE22"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0E863E1D" w14:textId="77777777" w:rsidR="00F324A5" w:rsidRPr="00EC1FBB" w:rsidRDefault="00F324A5" w:rsidP="00F324A5">
      <w:pPr>
        <w:contextualSpacing/>
        <w:jc w:val="both"/>
        <w:rPr>
          <w:rFonts w:asciiTheme="majorBidi" w:eastAsia="Times New Roman" w:hAnsiTheme="majorBidi" w:cstheme="majorBidi"/>
        </w:rPr>
      </w:pPr>
    </w:p>
    <w:p w14:paraId="4F099741"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Noureddine Ben Mahmoud</w:t>
      </w:r>
      <w:r w:rsidRPr="0018384E">
        <w:rPr>
          <w:rStyle w:val="Appelnotedebasdep"/>
          <w:rFonts w:asciiTheme="majorBidi" w:hAnsiTheme="majorBidi" w:cstheme="majorBidi"/>
          <w:b/>
          <w:bCs/>
        </w:rPr>
        <w:footnoteReference w:id="713"/>
      </w:r>
      <w:r w:rsidRPr="00EC1FBB">
        <w:rPr>
          <w:rFonts w:asciiTheme="majorBidi" w:eastAsia="Times New Roman" w:hAnsiTheme="majorBidi" w:cstheme="majorBidi"/>
          <w:b/>
          <w:bCs/>
        </w:rPr>
        <w:t xml:space="preserve"> (1962)</w:t>
      </w:r>
    </w:p>
    <w:p w14:paraId="3DFC85B6" w14:textId="77777777" w:rsidR="00F324A5" w:rsidRPr="00EC1FBB" w:rsidRDefault="00F324A5" w:rsidP="00F324A5">
      <w:pPr>
        <w:ind w:left="720"/>
        <w:contextualSpacing/>
        <w:jc w:val="center"/>
        <w:rPr>
          <w:rFonts w:asciiTheme="majorBidi" w:eastAsia="Times New Roman" w:hAnsiTheme="majorBidi" w:cstheme="majorBidi"/>
          <w:i/>
          <w:iCs/>
        </w:rPr>
      </w:pPr>
      <w:r w:rsidRPr="00EC1FBB">
        <w:rPr>
          <w:rFonts w:asciiTheme="majorBidi" w:eastAsia="Calibri" w:hAnsiTheme="majorBidi" w:cstheme="majorBidi"/>
          <w:i/>
          <w:iCs/>
          <w:lang w:bidi="ar-AE"/>
        </w:rPr>
        <w:t>(Traduction accompagnée du texte arabe à gauche)</w:t>
      </w:r>
    </w:p>
    <w:p w14:paraId="1BA25C94"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 xml:space="preserve">22- </w:t>
      </w:r>
      <w:r w:rsidRPr="00EC1FBB">
        <w:rPr>
          <w:rFonts w:asciiTheme="majorBidi" w:hAnsiTheme="majorBidi" w:cstheme="majorBidi"/>
          <w:i/>
          <w:sz w:val="22"/>
          <w:szCs w:val="22"/>
        </w:rPr>
        <w:t>Sourate du Pèlerinage</w:t>
      </w:r>
    </w:p>
    <w:p w14:paraId="3EC65BDA" w14:textId="77777777" w:rsidR="00F324A5" w:rsidRPr="00EC1FBB" w:rsidRDefault="00F324A5" w:rsidP="00F324A5">
      <w:pPr>
        <w:contextualSpacing/>
        <w:jc w:val="center"/>
        <w:rPr>
          <w:rFonts w:asciiTheme="majorBidi" w:hAnsiTheme="majorBidi" w:cstheme="majorBidi"/>
          <w:i/>
        </w:rPr>
      </w:pPr>
      <w:r w:rsidRPr="00EC1FBB">
        <w:rPr>
          <w:rFonts w:asciiTheme="majorBidi" w:hAnsiTheme="majorBidi" w:cstheme="majorBidi"/>
          <w:i/>
        </w:rPr>
        <w:t>76 versets</w:t>
      </w:r>
    </w:p>
    <w:p w14:paraId="5ABE9BFA" w14:textId="77777777" w:rsidR="00F324A5" w:rsidRPr="00EC1FBB" w:rsidRDefault="00F324A5" w:rsidP="00F324A5">
      <w:pPr>
        <w:contextualSpacing/>
        <w:jc w:val="center"/>
        <w:rPr>
          <w:rFonts w:asciiTheme="majorBidi" w:hAnsiTheme="majorBidi" w:cstheme="majorBidi"/>
          <w:i/>
        </w:rPr>
      </w:pPr>
      <w:r w:rsidRPr="00EC1FBB">
        <w:rPr>
          <w:rFonts w:asciiTheme="majorBidi" w:hAnsiTheme="majorBidi" w:cstheme="majorBidi"/>
          <w:i/>
        </w:rPr>
        <w:t>Révélée à Médine, à l’exception des versets 50, 51, 52 et 53 révélés entre la Mecque et Médine.</w:t>
      </w:r>
    </w:p>
    <w:p w14:paraId="5D72A13B" w14:textId="77777777" w:rsidR="00F324A5" w:rsidRDefault="00F324A5" w:rsidP="00F324A5">
      <w:pPr>
        <w:contextualSpacing/>
        <w:jc w:val="center"/>
        <w:rPr>
          <w:rFonts w:asciiTheme="majorBidi" w:hAnsiTheme="majorBidi" w:cstheme="majorBidi"/>
          <w:i/>
        </w:rPr>
      </w:pPr>
      <w:r w:rsidRPr="00EC1FBB">
        <w:rPr>
          <w:rFonts w:asciiTheme="majorBidi" w:hAnsiTheme="majorBidi" w:cstheme="majorBidi"/>
          <w:i/>
        </w:rPr>
        <w:t>Révélée à la suite de la sourate de la Lumière</w:t>
      </w:r>
    </w:p>
    <w:p w14:paraId="11A0455B" w14:textId="77777777" w:rsidR="00F324A5" w:rsidRPr="000C6E1E" w:rsidRDefault="00F324A5" w:rsidP="00F324A5">
      <w:pPr>
        <w:contextualSpacing/>
        <w:jc w:val="center"/>
        <w:rPr>
          <w:rFonts w:asciiTheme="majorBidi" w:hAnsiTheme="majorBidi" w:cstheme="majorBidi"/>
          <w:i/>
        </w:rPr>
      </w:pPr>
      <w:r w:rsidRPr="00EC1FBB">
        <w:rPr>
          <w:rFonts w:asciiTheme="majorBidi" w:hAnsiTheme="majorBidi" w:cstheme="majorBidi"/>
        </w:rPr>
        <w:t>Au nom de Dieu le clément et qui manifeste sa clémence</w:t>
      </w:r>
    </w:p>
    <w:p w14:paraId="4C915D4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Hommes ! Craignez votre Seigneur. La secousse de l’heure dernière sera terrifiante. </w:t>
      </w:r>
    </w:p>
    <w:p w14:paraId="7FB3F628"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Le jour où elle se produira, la mère s’arrêtera d’allaiter son enfant, la femme enceinte avortera, les hommes donneront l’impression d’être ivres. Le châtiment de Dieu sera terrible. </w:t>
      </w:r>
    </w:p>
    <w:p w14:paraId="35F7516C"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Parmi les hommes, il en est qui discutent de Dieu sans la moindre connaissance et qui suivent n’importe quel démon rebelle. </w:t>
      </w:r>
    </w:p>
    <w:p w14:paraId="6BFB5D7F"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est constant que les démons égarent ceux qui les suivent et les entraînent au supplice de l’enfer. </w:t>
      </w:r>
    </w:p>
    <w:p w14:paraId="253EB2FF"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O hommes ! Si vous doutez de la résurrection, souvenez-vous que nous vous avons tirés de la terre. Vous avez été successivement une goutte de sperme, un caillot de sang, puis un fœtus viable ou non. Nous vous avons montré ainsi notre puissance. Nous maintenons dans le sein de vos mères les germes fécondés jusqu’au terme fixé puis nous en tirons des enfants. Vous atteignez ensuite l’âge adulte. Certains d’entre vous meurent ; d’autres arrivent à un âge si avancé qu’ils perdent toutes leurs facultés. La terre a été stérile. Mais à peine l’avons-nous arrosée de pluie qu’elle a palpité et, s’épanouissant, a donné la vie à une magnifique variété de plantes. </w:t>
      </w:r>
    </w:p>
    <w:p w14:paraId="71659CCD"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Ceci, pour que vous sachiez que Dieu est la vérité même, qu’Il ressuscite les morts et que sa puissance s’étend sur tout l’univers. </w:t>
      </w:r>
    </w:p>
    <w:p w14:paraId="623D5F34"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Et ceci pour que vous sachiez que l’heure inéluctable viendra où Dieu fera sortir les hommes des tombeaux. </w:t>
      </w:r>
    </w:p>
    <w:p w14:paraId="677A3C1C"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est des hommes qui discutent de Dieu sans connaissance, sans une trace de lumière et sans livre révélé. </w:t>
      </w:r>
    </w:p>
    <w:p w14:paraId="5760DF6D"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Cette attitude prétentieuse n’a d’autre but que de détourner leurs semblables de la voie de Dieu. En ce monde, ils sont couverts d’opprobre. Nous leur ferons subir le supplice du feu au jour de la résurrection. </w:t>
      </w:r>
    </w:p>
    <w:p w14:paraId="3A684FF6"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Vous êtes les artisans d’un tel châtiment. Car Dieu ne lèse aucune de ses créatures. </w:t>
      </w:r>
    </w:p>
    <w:p w14:paraId="4ED05168"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est des hommes à la foi indécise. Leur vie leur sourit-elle ? Ils s’affermissent dans leurs convictions. Au contraire, leur est-elle hostile ? Ils font volte-face, causant ainsi leur perte dans ce monde et dans l’autre. Perte irréparable, à la vérité. </w:t>
      </w:r>
    </w:p>
    <w:p w14:paraId="28CFCFBC"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Abandonnant Dieu, ils invoquent alors d’autres divinités qui ne peuvent leur être ni uisibles ni utiles. C’est là le comble de l’aberration. </w:t>
      </w:r>
    </w:p>
    <w:p w14:paraId="476127AD"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Ils invoquent ce qui leur est plus nuisible qu’utile. Détestable dieu. Détestables adorateurs ! </w:t>
      </w:r>
    </w:p>
    <w:p w14:paraId="753C0384"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réserve à ceux qui croient et pratiquent les bonnes œuvres des jardins arrosés d’eau vive. Dieu réalise toutes ses volontés. </w:t>
      </w:r>
    </w:p>
    <w:p w14:paraId="1A5FDFD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lastRenderedPageBreak/>
        <w:t xml:space="preserve">Que celui qui désespère de Dieu en ce monde et dans l’autre tente par un moyen quelconque d’accéder au ciel et d’y pénétrer ! Il verra si une telle expérience peut calmer son dépit. </w:t>
      </w:r>
    </w:p>
    <w:p w14:paraId="6B1AB209"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C’est ainsi que nous avons révélé ce Coran en versets clairs. Dieu dirige qui Il veut. </w:t>
      </w:r>
    </w:p>
    <w:p w14:paraId="7A2D044B"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jugera entre les musulmans, les juifs, les sabéens, les chrétiens, les mages et les païens au jour de la résurrection. Dieu est le témoin de tous. </w:t>
      </w:r>
    </w:p>
    <w:p w14:paraId="2C0AA95C"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Ne vois-tu pas que tout ce qui peuple les cieux et la terre, le soleil, la lune, les étoiles, les montagnes, les arbres, les animaux et une grande partie des hommes adorent Dieu. D’autres ont encouru son châtiment. Ceux que Dieu abat, personne ne pourra les relever. Dieu fait ce qu’Il lui plaît. </w:t>
      </w:r>
    </w:p>
    <w:p w14:paraId="300FE87E"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Deux personnes discutent au sujet de leur Seigneur. Les infidèles recevront des vêtements de feu et de l’eau bouillante sera versée sur leur tête qui mettra à vif leurs entrailles et leur peau. Ils seront bâtonnés avec des massues de fer. </w:t>
      </w:r>
    </w:p>
    <w:p w14:paraId="6D56FAD8"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Toutes les fois qu’ils voudront sortir de ces lieux de douleur, on les y fera rentrer et ils purgeront la peine du feu. </w:t>
      </w:r>
    </w:p>
    <w:p w14:paraId="3CE21ED7"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réserve à ceux qui croient et pratiquent les bonnes œuvres des jardins arrosés d’eau vive. Ils seront ornés de parures d’or et de perles et leurs vêtements seront de soie. </w:t>
      </w:r>
    </w:p>
    <w:p w14:paraId="49C5E703"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les initiera à la bonne parole et les guidera dans le chemin de la vraie gloire. </w:t>
      </w:r>
    </w:p>
    <w:p w14:paraId="483C2DD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Ceux qui nient nos signes et écartent leurs semblables de la voie de Dieu et du Temple sacré que nous avons créé à l’usage de tous, gens de la campagne comme gens de la ville, ceux qui tentent d’imposer un schisme par violence, ceux-là nous leur ferons subir un châtiment terrible. </w:t>
      </w:r>
    </w:p>
    <w:p w14:paraId="47B66897"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Lorsque nous avons indiqué à Abraham l’emplacement du Temple, nous lui avons adressé cette recommandation : « Ne nous donne aucun associé et veille à ce que notre Temple soit un symbole de pureté pour les pèlerins et les gens adonnés aux exercices pieux. »</w:t>
      </w:r>
    </w:p>
    <w:p w14:paraId="3BD75581"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Convie les gens à venir visiter le Temple. Qu’ils y viennent à pied ou sur leurs montures ; qu’ils y accourent de tous les points de l’univers ! </w:t>
      </w:r>
    </w:p>
    <w:p w14:paraId="4EF7F7E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Qu’ils participent aux bienfaits du pèlerinage et qu’ils mentionnent le nom de Dieu, en ces jours solennels, pour le remercier d’avoir mis à leur disposition la viande des troupeaux. Mangez de cette viande et donnez-en aux pauvres. </w:t>
      </w:r>
    </w:p>
    <w:p w14:paraId="19ED2731"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Qu’ils donnent leurs soins au corps, qu’ils accomplissent leurs vœux et qu’ils fassent le tour du Temple originel. </w:t>
      </w:r>
    </w:p>
    <w:p w14:paraId="3A053BF9"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Oui, faites ainsi. Celui qui vénérera les institutions de Dieu en sera récompensé. La consommation de la viande est permise en dehors des défenses qui ont déjà été édictées. Évitez la souillure des idoles, évitez de commettre des faux. </w:t>
      </w:r>
    </w:p>
    <w:p w14:paraId="75DA89A2"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Soyez droits. N’associez personne à Dieu. Celui qui donne des associés à Dieu est comme quelqu’un qui est précipité des nues. Les oiseaux de proie se le disputent à coup de griffes ou bien le vent l’emporte dans des contrées perdues. </w:t>
      </w:r>
    </w:p>
    <w:p w14:paraId="5BDF054F"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Ainsi en est-il. Vénérer les œuvres de Dieu est un signe de piété. </w:t>
      </w:r>
    </w:p>
    <w:p w14:paraId="15DB927A"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Vous utilisez les animaux jusqu’au jour où ils sont conduits en offrande au Temple originel. </w:t>
      </w:r>
    </w:p>
    <w:p w14:paraId="238EFF94"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Nous avons institué pour chaque nation un mode d’offrande pour qu’elle ait l’occasion de remercier Dieu de l’avoir pourvue d’animaux. Votre Dieu est un Dieu unique. Soumettez-vous à Lui. Annoncez la bonne nouvelle aux humbles, </w:t>
      </w:r>
    </w:p>
    <w:p w14:paraId="3FEF9F84"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Les humbles dont les cœurs tressaillent quand ils entendent le nom de Dieu, qui supportent leurs maux avec patience, sont assidus à la prière et font l’aumône sur ce que nous leur distribuons. </w:t>
      </w:r>
    </w:p>
    <w:p w14:paraId="66C7611E"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lastRenderedPageBreak/>
        <w:t xml:space="preserve">Nous avons compté les chameaux destinés au sacrifice parmi les choses sacrées. C’est là une décision heureuse. Prononcez le nom de Dieu sur ceux qui sont prêts à être sacrifiés. Quand ils sont abattus, nourrissez-vous de leur chair et distribuez-en aux humbles et aux nécessiteux. C’est dans ce but que nous vous les avons soumis. Montrez-vous reconnaissants. </w:t>
      </w:r>
    </w:p>
    <w:p w14:paraId="09E5B7C2"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La chair et le sang des victimes importent peu à Dieu. Ce qui le touche, c’est votre piété. Il vous a asservi ces animaux pour que vous le glorifiez de vous avoir guidés. Annoncez la bonne nouvelle aux gens de bien. </w:t>
      </w:r>
    </w:p>
    <w:p w14:paraId="4CC74A9E"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défend ceux qui ont la foi. Il n’aime pas les perfides et les impies. </w:t>
      </w:r>
    </w:p>
    <w:p w14:paraId="148671A2"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Témoignage est donné aux victimes d’une agression de l’injustice perpétrée contre eux. Dieu peut les rendre victorieux. </w:t>
      </w:r>
    </w:p>
    <w:p w14:paraId="04C20C5A"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Ceux qui ont été exilés uniquement pour avoir dit : « Notre maître est Dieu ». Si Dieu n’opposait pas les peuples les uns aux autres, on aurait tôt fait de voir tomber en ruine les clochers, les églises, les synagogues et les mosquées, tous lieux où retentit le nom de Dieu. Dieu défend qui le soutient. Dieu est toute force et toute gloire. </w:t>
      </w:r>
    </w:p>
    <w:p w14:paraId="23608A86"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défend ceux qui, après avoir été consolidés sur terre, observent leurs prières, font l’aumône, recommandent les bonnes actions et condamnent les mauvaises. C’est Dieu qui arbitre toutes choses. </w:t>
      </w:r>
    </w:p>
    <w:p w14:paraId="49AF088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Te traitent-ils de menteur ? Qu’importe. Les peuples de Noé, d’Ad et de Thémoud n’en ont-ils pas fait autant avant eux ? </w:t>
      </w:r>
    </w:p>
    <w:p w14:paraId="5AE5FDD3"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De même que les peuples d’Abraham et de Loth, </w:t>
      </w:r>
    </w:p>
    <w:p w14:paraId="4447740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De même que les Médianites. Moïs</w:t>
      </w:r>
      <w:r>
        <w:rPr>
          <w:rFonts w:asciiTheme="majorBidi" w:hAnsiTheme="majorBidi" w:cstheme="majorBidi"/>
        </w:rPr>
        <w:t>e aussi a été traité de menteur</w:t>
      </w:r>
      <w:r w:rsidRPr="00EC1FBB">
        <w:rPr>
          <w:rFonts w:asciiTheme="majorBidi" w:hAnsiTheme="majorBidi" w:cstheme="majorBidi"/>
        </w:rPr>
        <w:t xml:space="preserve">. J’ai été longanime envers les incrédules. Puis, j’ai sévi contre eux. Mon châtiment a été implacable. </w:t>
      </w:r>
    </w:p>
    <w:p w14:paraId="0439F081"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Que de cités avons-nous détruites en punition de leurs péchés ! Elles gisent solitaires au milieu de leurs ruines, leurs puits sont comblés et leurs magnifiques palais abattus. </w:t>
      </w:r>
    </w:p>
    <w:p w14:paraId="3DCC49CC"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Que ne vont-ils de par le monde ? Alors leur intelligence s’éveillerait et leurs oreilles s’affineraient. Ce ne sont pas leurs yeux qui ne voient pas. Ce sont leurs esprits qui, faute de s’extérioriser, ne voient pas. </w:t>
      </w:r>
    </w:p>
    <w:p w14:paraId="6137F52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Ils te pressent de hâter le châtiment. Oublient-ils que Dieu exécute toujours ses menaces ! Un jour de ton Seigneur a la même durée que mille ans sur terre. </w:t>
      </w:r>
    </w:p>
    <w:p w14:paraId="3AC464B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Que de cités j’ai favorisées malgré leurs fautes ! Puis, j’ai sévi. Tout aboutit à moi. </w:t>
      </w:r>
    </w:p>
    <w:p w14:paraId="1B584C8C"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Dis : O hommes, je vous apporte un avertissement solennel. </w:t>
      </w:r>
    </w:p>
    <w:p w14:paraId="257D53B4"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Ceux qui croient et pratiquent les bonnes œuvres trouveront auprès de leur Seigneur pardon et félicité. </w:t>
      </w:r>
    </w:p>
    <w:p w14:paraId="5400E6BF"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Ceux qui cherchent à rendre caducs nos enseignements sont voués à l’enfer. </w:t>
      </w:r>
    </w:p>
    <w:p w14:paraId="41A11CBB"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Nous n’avons pas envoyé avant toi un seul prophète ou apôtre auquel Satan n’ait tenté de ravir ses espoirs. Mais Dieu décèle les tentatives de Satan. Puis il raffermit ses propres preuves. Il est savant et sage. </w:t>
      </w:r>
    </w:p>
    <w:p w14:paraId="5CD808A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Si Dieu tolère les manœuvres de Satan, c’est pour éprouver les cœurs incertains ou endurcis. Les incrédules sont des rebelles irréductibles. </w:t>
      </w:r>
    </w:p>
    <w:p w14:paraId="66CFC208"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Une telle tolérance, c’est pour que les gens de science sachent que le Coran est une vérité de ton Seigneur. Ils s’y rallient alors en connaissance de cause et leurs cœurs ne sont que plus émus. Dieu met sur la voie droite ceux qui croient à Lui. </w:t>
      </w:r>
    </w:p>
    <w:p w14:paraId="4B5399ED"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Les infidèles ne cesseront de douter du Coran jusqu’à ce que l’heure dernière les surprenne brusquement ou que du jour de l’extermination les atteigne. </w:t>
      </w:r>
    </w:p>
    <w:p w14:paraId="6144FDF3"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 jour-là, la puissance n’appartiendra plus qu’à Dieu. Il jugera entre les hommes. Les croyants qui auront pratiqué les bonnes œuvres seront introduits dans des jardins de délices. </w:t>
      </w:r>
    </w:p>
    <w:p w14:paraId="2ECF3FDA"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lastRenderedPageBreak/>
        <w:t xml:space="preserve">Les impies qui auront repoussé nos signes subiront un supplice avilissant. </w:t>
      </w:r>
    </w:p>
    <w:p w14:paraId="5FD1493D"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Ceux qui se sont exilés pour la cause de Dieu, ont été tués ou sont morts pour Lui, Dieu leur accordera une félicité sans mélange. Nul ne récompense mieux que Lui. </w:t>
      </w:r>
    </w:p>
    <w:p w14:paraId="7AF38817"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les introduira dans une demeure qui les enchantera. Dieu est savant et magnanime. </w:t>
      </w:r>
    </w:p>
    <w:p w14:paraId="6BB8DFE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Celui qui sera puni pour s’être justement vengé d’un outrage, celui qui aura l’aide de Dieu. Dieu est toute indulgence et toute miséricorde. </w:t>
      </w:r>
    </w:p>
    <w:p w14:paraId="2E718897"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allonge tantôt les nuits, tantôt les jours. Il entend et voit tout. </w:t>
      </w:r>
    </w:p>
    <w:p w14:paraId="5491D834"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est la vérité même. Tout ce qu’on implore en dehors de Lui n’est qu’erreur. Dieu est sublime et grand. </w:t>
      </w:r>
    </w:p>
    <w:p w14:paraId="7A202A7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C’est Dieu, ne le vois-tu pas, qui fait tomber la pluie. Aussitôt, la terre se couvre de verdure. Dieu est toute bonté et toute intuition. </w:t>
      </w:r>
    </w:p>
    <w:p w14:paraId="3F090BF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est le maître des cieux et de la terre. Il est opulent et sublime. </w:t>
      </w:r>
    </w:p>
    <w:p w14:paraId="591BDCC3"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vous a soumis la création, ne le vois-tu pas. C’est sur son ordre que la barque flotte. Ses lois empêchent les cieux de tomber sur la terre. Dieu est plein de bonté et de pitié pour les hommes. </w:t>
      </w:r>
    </w:p>
    <w:p w14:paraId="1CF1183B"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C’est Lui qui vous appelle à la vie, vous fait mourir, puis vous ressuscite. En vérité, l’homme est ingrat. </w:t>
      </w:r>
    </w:p>
    <w:p w14:paraId="683B5EC8"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Nous avons donné à chaque peuple des rites distincts. Qu’ils cessent toute polémique avec toi sur ce point ! Gagne les hommes à la cause de ton Seigneur, toi qui es dans le droit chemin. </w:t>
      </w:r>
    </w:p>
    <w:p w14:paraId="48B0063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S’ils s’obstinent dans leur polémique, dis-leur :Dieu connaît toutes vos actions. </w:t>
      </w:r>
    </w:p>
    <w:p w14:paraId="23EAFA2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tranchera vos différends au jour de la résurrection. </w:t>
      </w:r>
    </w:p>
    <w:p w14:paraId="088B1D9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_ l’ignores-tu_ sait tout ce qui se passe dans les cieux et sur terre. Il le consigne dans le Livre. C’est là une tâche facile pour Lui. </w:t>
      </w:r>
    </w:p>
    <w:p w14:paraId="5BFAA32F"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Ils adorent des divinités dont la souveraineté ne repose sur aucune preuve. Ils les adorent sans raison. Les idolâtres sont dépourvus d’appui. </w:t>
      </w:r>
    </w:p>
    <w:p w14:paraId="39533BE9"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Lorsque les infidèles entendent réciter nos claires révélations, on peut voir le dépit contracter leurs visages. Pour un peu, ils fonceraient sur ceux qui les récitent. Dis : « Voulez-vous que je vous dise quelque chose de plus irritant encore ? Dieu a promis l’enfer aux infidèles. Triste prédiction. »</w:t>
      </w:r>
    </w:p>
    <w:p w14:paraId="492E1A75"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O hommes, voici le sujet que je propose à vos méditations. Les divinités que vous priez en dehors de Dieu sont incapables de créer un insecte, même en unissant leurs efforts. Mieux. S’il plaît aux insectes de leur disputer quelque chose, elles sont impuissantes à leur tenir tête. Disputant et disputés sont aussi impuissants les uns que les autres. </w:t>
      </w:r>
    </w:p>
    <w:p w14:paraId="08B9D8EB"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Les hommes n’ont pas pour Dieu les égards qui conviennent. Lui, le sublime, le puissant. </w:t>
      </w:r>
    </w:p>
    <w:p w14:paraId="5CC35DC0"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Dieu choisit parmi les hommes et parmi les anges ses messagers. Il entend et voit tout. </w:t>
      </w:r>
    </w:p>
    <w:p w14:paraId="4DF0794C"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Il connaît le passé et l’avenir de chaque homme. C’est à Lui que tout aboutit. </w:t>
      </w:r>
    </w:p>
    <w:p w14:paraId="1D6A3DB1"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 xml:space="preserve">O vous qui croyez, courbez-vous, prosternez-vous et adorez votre Seigneur. Pratiquez le bien, si vous voulez faire votre salut. </w:t>
      </w:r>
    </w:p>
    <w:p w14:paraId="0FCD640E" w14:textId="77777777" w:rsidR="00F324A5" w:rsidRPr="00EC1FBB" w:rsidRDefault="00F324A5" w:rsidP="00876BB0">
      <w:pPr>
        <w:numPr>
          <w:ilvl w:val="0"/>
          <w:numId w:val="134"/>
        </w:numPr>
        <w:contextualSpacing/>
        <w:jc w:val="both"/>
        <w:rPr>
          <w:rFonts w:asciiTheme="majorBidi" w:hAnsiTheme="majorBidi" w:cstheme="majorBidi"/>
        </w:rPr>
      </w:pPr>
      <w:r w:rsidRPr="00EC1FBB">
        <w:rPr>
          <w:rFonts w:asciiTheme="majorBidi" w:hAnsiTheme="majorBidi" w:cstheme="majorBidi"/>
        </w:rPr>
        <w:t>Ne ménagez pas vos efforts pour la cause de Dieu. Il vous a élus. Sa religion ne comporte aucune obligation pénible. C’est la religion de votre père Abraham. Dieu vous a donné le nom de musulmans. Il vous l’a donné dans ce Livre afin que le Prophète soit votre témoin et que vous soyez des témoins des autres hommes. Observez la prière, faîtes l’aumône, attachez-vous à Dieu. Il est votre maître, le meilleur des maîtres et le plus ferme des soutiens.</w:t>
      </w:r>
    </w:p>
    <w:p w14:paraId="55841BC4" w14:textId="77777777" w:rsidR="00F324A5" w:rsidRPr="00EC1FBB" w:rsidRDefault="00F324A5" w:rsidP="00F324A5">
      <w:pPr>
        <w:contextualSpacing/>
        <w:jc w:val="both"/>
        <w:rPr>
          <w:rFonts w:asciiTheme="majorBidi" w:eastAsia="Calibri" w:hAnsiTheme="majorBidi" w:cstheme="majorBidi"/>
          <w:lang w:bidi="ar-AE"/>
        </w:rPr>
      </w:pPr>
    </w:p>
    <w:p w14:paraId="482A0E43" w14:textId="77777777" w:rsidR="00F324A5" w:rsidRPr="00EC1FBB" w:rsidRDefault="00F324A5" w:rsidP="00F324A5">
      <w:pPr>
        <w:contextualSpacing/>
        <w:jc w:val="both"/>
        <w:rPr>
          <w:rFonts w:asciiTheme="majorBidi" w:eastAsia="Calibri" w:hAnsiTheme="majorBidi" w:cstheme="majorBidi"/>
          <w:lang w:bidi="ar-AE"/>
        </w:rPr>
      </w:pPr>
    </w:p>
    <w:p w14:paraId="1071F4F0"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7ECE516F" w14:textId="77777777" w:rsidR="00F324A5" w:rsidRPr="00EC1FBB" w:rsidRDefault="00F324A5" w:rsidP="00F324A5">
      <w:pPr>
        <w:contextualSpacing/>
        <w:jc w:val="both"/>
        <w:rPr>
          <w:rFonts w:asciiTheme="majorBidi" w:eastAsia="Times New Roman" w:hAnsiTheme="majorBidi" w:cstheme="majorBidi"/>
        </w:rPr>
      </w:pPr>
    </w:p>
    <w:p w14:paraId="4C16FCA5"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Denise Masson</w:t>
      </w:r>
      <w:r w:rsidRPr="004D5DCA">
        <w:rPr>
          <w:rStyle w:val="Appelnotedebasdep"/>
          <w:rFonts w:asciiTheme="majorBidi" w:hAnsiTheme="majorBidi" w:cstheme="majorBidi"/>
          <w:b/>
          <w:bCs/>
        </w:rPr>
        <w:footnoteReference w:id="714"/>
      </w:r>
      <w:r w:rsidRPr="00EC1FBB">
        <w:rPr>
          <w:rFonts w:asciiTheme="majorBidi" w:eastAsia="Times New Roman" w:hAnsiTheme="majorBidi" w:cstheme="majorBidi"/>
          <w:b/>
          <w:bCs/>
        </w:rPr>
        <w:t xml:space="preserve"> (1967)</w:t>
      </w:r>
    </w:p>
    <w:p w14:paraId="28E72062" w14:textId="77777777" w:rsidR="00F324A5" w:rsidRPr="00EC1FBB" w:rsidRDefault="00F324A5" w:rsidP="00F324A5">
      <w:pPr>
        <w:ind w:left="720"/>
        <w:contextualSpacing/>
        <w:jc w:val="center"/>
        <w:rPr>
          <w:rFonts w:asciiTheme="majorBidi" w:eastAsia="Times New Roman" w:hAnsiTheme="majorBidi" w:cstheme="majorBidi"/>
          <w:i/>
          <w:iCs/>
        </w:rPr>
      </w:pPr>
      <w:r w:rsidRPr="00EC1FBB">
        <w:rPr>
          <w:rFonts w:asciiTheme="majorBidi" w:eastAsia="Calibri" w:hAnsiTheme="majorBidi" w:cstheme="majorBidi"/>
          <w:i/>
          <w:iCs/>
          <w:lang w:bidi="ar-AE"/>
        </w:rPr>
        <w:t>(Traduction accompagnée du texte arabe à droite)</w:t>
      </w:r>
    </w:p>
    <w:p w14:paraId="45D20C4B"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SOURATE XXII</w:t>
      </w:r>
    </w:p>
    <w:p w14:paraId="262E7808"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LE PELERINAGE</w:t>
      </w:r>
    </w:p>
    <w:p w14:paraId="5FBF9C20" w14:textId="77777777" w:rsidR="00F324A5" w:rsidRPr="00EC1FBB" w:rsidRDefault="00F324A5" w:rsidP="00F324A5">
      <w:pPr>
        <w:contextualSpacing/>
        <w:jc w:val="right"/>
        <w:rPr>
          <w:rFonts w:asciiTheme="majorBidi" w:hAnsiTheme="majorBidi" w:cstheme="majorBidi"/>
          <w:i/>
        </w:rPr>
      </w:pPr>
      <w:r w:rsidRPr="00EC1FBB">
        <w:rPr>
          <w:rFonts w:asciiTheme="majorBidi" w:hAnsiTheme="majorBidi" w:cstheme="majorBidi"/>
          <w:i/>
        </w:rPr>
        <w:t xml:space="preserve">Au nom de Dieu : </w:t>
      </w:r>
    </w:p>
    <w:p w14:paraId="54D573EE" w14:textId="77777777" w:rsidR="00F324A5" w:rsidRPr="00EC1FBB" w:rsidRDefault="00F324A5" w:rsidP="00F324A5">
      <w:pPr>
        <w:ind w:left="6372"/>
        <w:contextualSpacing/>
        <w:jc w:val="center"/>
        <w:rPr>
          <w:rFonts w:asciiTheme="majorBidi" w:hAnsiTheme="majorBidi" w:cstheme="majorBidi"/>
          <w:i/>
        </w:rPr>
      </w:pPr>
      <w:r w:rsidRPr="00EC1FBB">
        <w:rPr>
          <w:rFonts w:asciiTheme="majorBidi" w:hAnsiTheme="majorBidi" w:cstheme="majorBidi"/>
          <w:i/>
        </w:rPr>
        <w:t xml:space="preserve">   </w:t>
      </w:r>
      <w:r w:rsidRPr="00EC1FBB">
        <w:rPr>
          <w:rFonts w:asciiTheme="majorBidi" w:hAnsiTheme="majorBidi" w:cstheme="majorBidi"/>
          <w:i/>
        </w:rPr>
        <w:tab/>
        <w:t xml:space="preserve">le Clément, </w:t>
      </w:r>
    </w:p>
    <w:p w14:paraId="1BCD586A" w14:textId="77777777" w:rsidR="00F324A5" w:rsidRPr="00EC1FBB" w:rsidRDefault="00F324A5" w:rsidP="00F324A5">
      <w:pPr>
        <w:ind w:left="708" w:firstLine="708"/>
        <w:contextualSpacing/>
        <w:jc w:val="right"/>
        <w:rPr>
          <w:rFonts w:asciiTheme="majorBidi" w:hAnsiTheme="majorBidi" w:cstheme="majorBidi"/>
          <w:i/>
        </w:rPr>
      </w:pPr>
      <w:r w:rsidRPr="00EC1FBB">
        <w:rPr>
          <w:rFonts w:asciiTheme="majorBidi" w:hAnsiTheme="majorBidi" w:cstheme="majorBidi"/>
          <w:i/>
        </w:rPr>
        <w:t>le Miséricordieux.</w:t>
      </w:r>
    </w:p>
    <w:p w14:paraId="2FC5A404"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Ô vous les hommes ! Craignez votre Seigneur ! Le tremblement de terre de l’Heure sera sûrement quelque chose de terrible ! </w:t>
      </w:r>
    </w:p>
    <w:p w14:paraId="4C31E832"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Le jour où vous le verrez : toute femme qui allaite oubliera son nourrisson ; toute femme enceinte avortera. Tu verras les hommes ivres alors qu’ils ne le sont pas. – Le châtiment de Dieu sera très dur. –</w:t>
      </w:r>
    </w:p>
    <w:p w14:paraId="31A5AF97"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Tel, parmi les hommes, discute au sujet de Dieu, sans détenir aucune science ; il suit tout démon révolté</w:t>
      </w:r>
    </w:p>
    <w:p w14:paraId="3C4DFD23"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dont il est écrit : « Il égare quiconque le prend pour maître et le dirige vers le châtiment de la flamme brûlante. » </w:t>
      </w:r>
    </w:p>
    <w:p w14:paraId="16F4F3EB"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Ô vous les hommes ! Si vous êtes dans le doute au sujet de la Résurrection, sachez qu’en vérité, c’est nous qui vous avons créés de poussière, puis d’une goutte de sperme, puis d’un caillot de sang, puis d’une masse flasque, formée ou non. – Nous vous l’expliquons ainsi. – Nous déposons dans les matrices ce que nous voulons jusqu’à un terme fixé ; puis nous faisons sortir les petits enfants pour que vous atteigniez plus tard votre maturité. Tel d’entre vous meurt ; un autre parvient à l’âge de la décrépitude au point de ne plus rien savoir de ce qu’il savait. Tu vois la terre désertique, mais dès que nous y faisons descendre de l’eau, elle remue, elle gonfle, elle fait pousser toutes sortes de belles espèces de plantes. </w:t>
      </w:r>
    </w:p>
    <w:p w14:paraId="4E3E4DCB"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 en est ainsi, parce que Dieu est la Vérité, qu’il est celui qui rend la vie aux morts, qu’il est puissant sur toute chose. </w:t>
      </w:r>
    </w:p>
    <w:p w14:paraId="473B5344"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Parce que l’Heure vient sûrement, - pas de doute à ce sujet – et parce que Dieu ressuscitera ceux qui se trouvent dans les sépulcres. </w:t>
      </w:r>
    </w:p>
    <w:p w14:paraId="49F62E78"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Tel, parmi les hommes, discute de Dieu sans détenir ni science, ni direction, ni Livre qui l’éclaire. </w:t>
      </w:r>
    </w:p>
    <w:p w14:paraId="04619879"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 se détourne, afin d’égarer les hommes, hors du chemin de Dieu. L’opprobre l’atteindra en ce monde, puis, le jour de la Résurrection, nous lui ferons goûter le châtiment du Feu : </w:t>
      </w:r>
    </w:p>
    <w:p w14:paraId="2F231C7F"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 Voilà pour les actions que vous avez accomplies » - Dieu n’est pas injuste envers ses serviteurs. – </w:t>
      </w:r>
    </w:p>
    <w:p w14:paraId="7108F300"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Tel, parmi les hommes, adore Dieu en hésitant. Si un bien lui arrive, il en jouit tranquillement. Si une tentation l’atteint, il se détourne. Il perd et la vie de ce monde, et la vie future, voilà une perte certaine ! </w:t>
      </w:r>
    </w:p>
    <w:p w14:paraId="7F5F300C"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Ils invoquent en dehors de Dieu ce qui ne peut ni leur nuire, ni leur être utile : voilà un égarement profond ! </w:t>
      </w:r>
    </w:p>
    <w:p w14:paraId="01C32FAE"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lastRenderedPageBreak/>
        <w:t xml:space="preserve">Ils invoquent celui dont la nocivité est plus certaine que l’utilité. Quel mauvais maître, vraiment, et quel mauvais compagnon ! </w:t>
      </w:r>
    </w:p>
    <w:p w14:paraId="3808C84E"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Dieu introduit dans les Jardins où coulent les ruisseaux, ceux qui croient et qui accomplissent des œuvres bonnes. – Dieu fait ce qu’il veut. – </w:t>
      </w:r>
    </w:p>
    <w:p w14:paraId="43F9249E"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Que celui qui pense que Dieu ne le secourra ni en cette vie, ni dans l’autre, tende une corde jusqu’au ciel, puis il la tranche ; il verra si sa ruse anéantit ce qui l’irrite ! </w:t>
      </w:r>
    </w:p>
    <w:p w14:paraId="47FE886E"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Nous l’avons fait descendre en de clairs Versets. – Dieu dirige ce qu’il veut. –</w:t>
      </w:r>
    </w:p>
    <w:p w14:paraId="0AC4C54C"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Le jour de la Résurrection, Dieu distinguera les uns des autres : les croyants, les Juifs, les Sabéens, les Chrétiens, les Mages et les polythéistes. – Dieu est le témoin de toute chose.– </w:t>
      </w:r>
    </w:p>
    <w:p w14:paraId="39D1A636"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N’as-tu pas vu ? C’est devant Dieu que se prosternent ceux qui se trouvent dans les cieux et ceux qui demeurent sur la terre : le soleil, la lune, les étoiles, les montagnes, les arbres, les animaux et un grand nombre d’hommes. Mais le châtiment est inéluctable pour beaucoup d’entre eux. Il n’y a personne pour honorer celui que Dieu humilie. – Dieu fait ce qu’il veut. –</w:t>
      </w:r>
    </w:p>
    <w:p w14:paraId="3AE248E6"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Voici deux adversaires qui se disputaient au sujet de leur Seigneur. Des vêtements de feu seront taillés pour les incrédules. On versera sur leurs têtes de l’eau bouillante</w:t>
      </w:r>
    </w:p>
    <w:p w14:paraId="16136CE2"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qui brûlera leurs entrailles et leur peau. </w:t>
      </w:r>
    </w:p>
    <w:p w14:paraId="0244DEF7"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Des fouets de fer sont préparés à leur intention. </w:t>
      </w:r>
    </w:p>
    <w:p w14:paraId="272A5A70"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Chaque fois que, poussés par la souffrance, ils voudront sortir de là, ils y seront ramenés : « Goûtez le châtiment du feu. »</w:t>
      </w:r>
    </w:p>
    <w:p w14:paraId="1EDC30B7"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Dieu introduira ceux qui auront cru et ceux qui auront accompli des œuvres bonnes dans des Jardins où coulent les ruisseaux. Là, ils seront parés de bracelets en or et de perles ; leurs vêtements seront en soie. </w:t>
      </w:r>
    </w:p>
    <w:p w14:paraId="0045A58A"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Ils ont été dirigés vers la Parole excellente ; ils ont été dirigés dans le chemin de celui qui est digne de louanges. </w:t>
      </w:r>
    </w:p>
    <w:p w14:paraId="0AEC566F"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A ceux qui sont incrédules, à ceux qui écartent les hommes du chemin de Dieu et de la Mosquée sacrée que nous avons établie pour les gens, - celui qui y réside et le nomade y sont égaux – à quiconque veut la profaner par perversité, nous ferons goûter un châtiment douloureux. </w:t>
      </w:r>
    </w:p>
    <w:p w14:paraId="27BC95C0"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Nous avons établi, pour Abraham, l’emplacement de la Maison : « Ne m’associe rien ; purifie ma Maison pour ceux qui accomplissent les circuits, pour ceux qui s’y tiennent debout, pour ceux qui s’inclinent et qui se prosternent. </w:t>
      </w:r>
    </w:p>
    <w:p w14:paraId="08C9BC2A"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Appelle les hommes au Pèlerinage : ils viendront à toi, à pied ou sur toute monture élancée. Ils viendront par des chemins encaissés</w:t>
      </w:r>
    </w:p>
    <w:p w14:paraId="3E443E2F"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pour témoigner des bienfaits qui leur ont été accordés ; pour invoquer le nom de Dieu aux jours fixés, sur la bête des troupeaux qu’il leur a accordée. Mangez-en et nourrissez-en le pauvre, le malheureux. </w:t>
      </w:r>
    </w:p>
    <w:p w14:paraId="5B1265A1"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Qu’ils mettent ensuite fin à leurs interdits ; qu’ils s’acquittent de leurs vœux, qu’ils accomplissent les circuits autour de l’antique Maison. </w:t>
      </w:r>
    </w:p>
    <w:p w14:paraId="6BD1BDD5"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Agissez ainsi. Respecter ce que Dieu a déclaré sacré est, pour vous, un bien auprès de votre Seigneur. Les bêtes des troupeaux ont été déclarées licites pour vous, à l’exception de celles qui vous ont été désignées. Evitez la souillure des idoles ; évitez les paroles fausses</w:t>
      </w:r>
    </w:p>
    <w:p w14:paraId="686C873E"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comme de vrais croyants en Dieu et non comme des polythéistes. Quiconque associe quoi que ce soit à Dieu se trouve comme s’il était tombé du ciel ; un oiseau de proie le saisit alors et l’emporte ou bien le vent le précipité dans un lieu très éloigné. </w:t>
      </w:r>
    </w:p>
    <w:p w14:paraId="268D40E6"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lastRenderedPageBreak/>
        <w:t xml:space="preserve">Voilà ce qui est prescrit : Quiconque respecte les choses sacrées de Dieu sait que leur observance procède de la crainte révérencielle de Dieu contenue dans les cœurs. </w:t>
      </w:r>
    </w:p>
    <w:p w14:paraId="13FF7633"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Vous trouverez des avantages dans ces animaux, jusqu’à un terme fixé. Le lieu de leur immolation est l’antique Maison. </w:t>
      </w:r>
    </w:p>
    <w:p w14:paraId="4A66304F"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Nous avons établi des rites pour chaque communauté afin que les hommes invoquent le nom de Dieu sur la bête des troupeaux qu’il leur a accordée en nourriture. Votre Dieu est un Dieu unique ! Soumettez-vous donc à lui ! Annonce la bonne nouvelle aux humbles</w:t>
      </w:r>
    </w:p>
    <w:p w14:paraId="4D581FDD"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dont les cœurs frémissent lorsque le nom de Dieu est prononcé ; à ceux qui endurent patiemment ce qui les atteint ; à ceux qui s’acquittent de la prière ; à ceux qui donnent en aumônes une partie des biens que nous leur avons accordés.</w:t>
      </w:r>
    </w:p>
    <w:p w14:paraId="48CB40F8"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Nous avons placé les animaux sacrifiés au nombre des choses sacrées de Dieu. Il y a là un bien pour vous. Invoquez le nom de Dieu sur ces animaux prêts à être égorgés puis, quand ils gisent sur le flanc, mangez-en et nourrissez celui qui s’en contente et celui qui mendie. Nous les avons ainsi mis à votre service. Peut-être serez-vous reconnaissants ? </w:t>
      </w:r>
    </w:p>
    <w:p w14:paraId="38884236"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Ni leur chair, ni leur sang n’atteindront jamais Dieu ; mais votre crainte révérencielle l’atteindra. Ces animaux sont mis à votre service afin que vous proclamiez la grandeur de Dieu, parce qu’il vous a guidés. Annonce la bonne nouvelle à ceux qui font le bien. </w:t>
      </w:r>
    </w:p>
    <w:p w14:paraId="5E60DC78"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Oui, Dieu prend la défense des croyants ; Dieu n’aime pas le traître incrédule. </w:t>
      </w:r>
    </w:p>
    <w:p w14:paraId="44F6D30A"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Toute autorisation de se défendre est donnée à ceux qui ont été attaqués parce qu’ils ont été injustement opprimés. – Dieu est puissant pour les secourir – </w:t>
      </w:r>
    </w:p>
    <w:p w14:paraId="4C0B129B"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et à ceux qui ont été chassés injustement de leurs maisons, pour avoir dit seulement : « Notre Seigneur est Dieu ! » Si Dieu n’avait pas repoussé certains hommes par d’autres, des ermitages auraient été démolis ainsi que des synagogues, des oratoires et des mosquées où le nom de Dieu est souvent invoqué. Oui, Dieu sauvera ceux qui l’assistent. Dieu est, en vérité, fort et puissant. </w:t>
      </w:r>
    </w:p>
    <w:p w14:paraId="5FD59455"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Toute autorisation de se défendre est donnée à ceux qui, si nous leur accordons le pouvoir sur la terre s’acquittent de la prière, font l’aumône, ordonnent ce qui est convenable et interdisent ce qui est blâmable. – La fin de toute chose appartient à Dieu -. </w:t>
      </w:r>
    </w:p>
    <w:p w14:paraId="1FA85A6C"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S’ils te traitent de menteur, sache qu’avant eux, le peuple de Noé, les ‘Ad, les Thamoud,</w:t>
      </w:r>
    </w:p>
    <w:p w14:paraId="18A19709"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le peuple d’Abraham, le peuple de Loth, </w:t>
      </w:r>
    </w:p>
    <w:p w14:paraId="0A2BF7C9"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les gens de Madiar ont crié au mensonge et que Moïse fut traité de menteur. J’ai accordé un délai aux incrédules puis je les ai saisis : quelle fut ma réprobation ! </w:t>
      </w:r>
    </w:p>
    <w:p w14:paraId="53CD8062"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Combien de cités avons-nous détruites parce qu’elles étaient injustes ! – Elles sont maintenant écroulées sur elles-mêmes – Que de puits désertés et de palais abandonnés ! </w:t>
      </w:r>
    </w:p>
    <w:p w14:paraId="0DC30972"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Ne parcourent-ils pas la terre ? N’ont-ils pas de cœur qui comprennent et des oreilles qui entendent ? Ce ne sont pas leurs yeux qui sont aveugles, mais ce sont leurs cœurs qui sont aveugles dans leurs poitrines. </w:t>
      </w:r>
    </w:p>
    <w:p w14:paraId="0E4E05BA"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Ils te demandent de hâter le châtiment mais Dieu ne manque jamais à sa promesse. Un seul jour, pour Dieu, est en vérité comme mille ans d’après votre manière de compter. </w:t>
      </w:r>
    </w:p>
    <w:p w14:paraId="623E6398"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A combien de cités j’ai accordé un délai alors qu’elles étaient injustes ! Puis je les ai saisies. – Le retour se fera vers moi. – </w:t>
      </w:r>
    </w:p>
    <w:p w14:paraId="0E7FB2CF"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Dis : « Ô vous, les hommes ! Je ne suis pour vous qu’un avertisseur explicite. » </w:t>
      </w:r>
    </w:p>
    <w:p w14:paraId="53FB7AF3"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Ceux qui auront cru et qui auront accompli des œuvres bonnes obtiendront un pardon et de généreux dons. </w:t>
      </w:r>
    </w:p>
    <w:p w14:paraId="71A8AE9D"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Ceux qui s’efforcent d’abolir nos Signes : voilà ceux qui seront les hôtes de la Fournaise. </w:t>
      </w:r>
    </w:p>
    <w:p w14:paraId="6F3FC447"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lastRenderedPageBreak/>
        <w:t xml:space="preserve">Nous n’avons envoyé avant toi ni prophète, ni apôtre sans que le Démon intervienne dans ses désirs. Mais Dieu abroge ce que lance le Démon. Dieu confirme ensuite ses Versets. Dieu est celui qui sait, il est sage. </w:t>
      </w:r>
    </w:p>
    <w:p w14:paraId="7C59D2BF"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Dieu transforme en tentation pour ceux dont les cœurs sont malades et pour ceux dont les cœurs sont endurcis, les suggestions du Démon. - Les injustes se trouvent dans un profond égarement. –</w:t>
      </w:r>
    </w:p>
    <w:p w14:paraId="1CF6EC70"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Quant à ceux auxquels la Science a été donnée, ils reconnaissent que ceci est la Vérité venue de la part de ton Seigneur : ils y croient et leurs cœurs s’humilient. – Dieu dirige les croyants sur la voie droite. –</w:t>
      </w:r>
    </w:p>
    <w:p w14:paraId="47D952B0"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Les incrédules continueront à douter de lui, jusqu’à ce que l’Heure arrive soudainement, ou bien le châtiment d’un Jour dévastateur. </w:t>
      </w:r>
    </w:p>
    <w:p w14:paraId="77460725"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La royauté, ce Jour-là, appartiendra à Dieu et il jugera les hommes. Ceux qui auront cru et qui auront accompli des œuvres bonnes seront dans les Jardins du Délice. </w:t>
      </w:r>
    </w:p>
    <w:p w14:paraId="548D1525"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Quant à ceux qui auront été incrédules et qui auront traité nos Signes de mensonges : voilà ceux qui subiront un châtiment ignominieux. </w:t>
      </w:r>
    </w:p>
    <w:p w14:paraId="43710C46"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Oui, Dieu récompensera d’une excellente façon ceux qui auront émigré dans le chemin de Dieu, puis qui ont été tués ou qui sont morts. – Dieu est, en vérité, le meilleur des dispensateurs de tous les biens. – </w:t>
      </w:r>
    </w:p>
    <w:p w14:paraId="62F0BF7B"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Il les fera pénétrer dans un lieu qui leur sera agréable. – Dieu est, en vérité, celui qui sait et il est plein de mansuétude. –</w:t>
      </w:r>
    </w:p>
    <w:p w14:paraId="48EEBAA8"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Il en est ainsi : celui qui châtie, comme il a été châtié et qui a subi, ensuite, de nouvelles représailles : Dieu le protégera. – Dieu est, en vérité, celui qui efface les péchés et qui pardonne. –</w:t>
      </w:r>
    </w:p>
    <w:p w14:paraId="097BAB3B"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 en est ainsi : parce que Dieu fait pénétrer la nuit dans le jour et qu’il fait pénétrer le jour dans la nuit. – Dieu est, en vérité, celui qui entend et qui voit parfaitement. – </w:t>
      </w:r>
    </w:p>
    <w:p w14:paraId="6864B4FF"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 en est ainsi : parce que Dieu est la Vérité, alors que ce qu’ils invoquent en dehors de lui est faux. – Dieu est, en vérité, le Très-Haut, le très Grand. – </w:t>
      </w:r>
    </w:p>
    <w:p w14:paraId="7A808E2C"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Ne vois-tu pas que Dieu fait descendre du ciel une eau et la terre reverdit au matin. – Dieu est, en vérité, bienveillant et il est parfaitement informé. –</w:t>
      </w:r>
    </w:p>
    <w:p w14:paraId="30DB31A2"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Ce qui est dans les cieux et sur la terre lui appartient. – Dieu est, en vérité, celui qui se suffit à lui-même, celui qui est digne de louanges. –</w:t>
      </w:r>
    </w:p>
    <w:p w14:paraId="640BF33C"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Ne vois-tu pas que Dieu a mis à votre service ce qui est sur la terre, ainsi que le vaisseau qui, sur son ordre, vogue sur la mer ? Il retient le ciel pour l’empêcher de tomber sur la terre sans sa permission. – Dieu est, en vérité, bon et miséricordieux envers les hommes. –</w:t>
      </w:r>
    </w:p>
    <w:p w14:paraId="397F2767"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C’est lui qui vous a donné la vie, puis, il vous fera mourir, et ensuite, ils vous fera revivre. – L’homme est très ingrat ! –</w:t>
      </w:r>
    </w:p>
    <w:p w14:paraId="5E1775C1"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Nous avons institué un rite pour chaque communauté ; ses membres l’observent. Qu’ils ne discutent donc pas avec toi l’ordre reçu ! Invoque ton Seigneur ! Tu es sur une voie droite. </w:t>
      </w:r>
    </w:p>
    <w:p w14:paraId="450D5710"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S’ils discutent avec toi, dis : « Dieu sait parfaitement ce que vous faites. </w:t>
      </w:r>
    </w:p>
    <w:p w14:paraId="2BD1D482"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Dieu jugera entre vous le Jour de la Résurrection et il tranchera vos différends. » </w:t>
      </w:r>
    </w:p>
    <w:p w14:paraId="2BD254F2"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Ne sais-tu pas que Dieu connaît ce qui est dans le ciel et sur la terre ? Tout est consigné dans un Livre ; c’est vraiment facile pour Dieu. </w:t>
      </w:r>
    </w:p>
    <w:p w14:paraId="3F1199F6"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Ils adorent, en dehors de Dieu, ce à quoi Dieu n’a accordé aucun pouvoir et ce qu’ils ne connaissent pas. – Personne ne secourt les injustes. –</w:t>
      </w:r>
    </w:p>
    <w:p w14:paraId="214C483D"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Lorsque nos Versets leur sont lus, comme autant de preuves évidentes, tu discernes la réprobation sur les visages incrédules. Peu s’en faut qu’ils ne se précipitent sur ceux qui </w:t>
      </w:r>
      <w:r w:rsidRPr="00EC1FBB">
        <w:rPr>
          <w:rFonts w:asciiTheme="majorBidi" w:hAnsiTheme="majorBidi" w:cstheme="majorBidi"/>
        </w:rPr>
        <w:lastRenderedPageBreak/>
        <w:t>lisent nos Versets. Dis : « Vous annoncerai-je quelque chose de pire que cela ? Le Feu promis aux incrédules ? – Quel détestable lieu de retour ! – »</w:t>
      </w:r>
    </w:p>
    <w:p w14:paraId="067C05C9"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Ô vous les hommes ! Une parabole vous est proposée ; écoutez-la : Ceux que vous invoquez en dehors de Dieu ne créeront jamais une mouche, même si tous s’unissaient… et si la mouche leur enlevait quelque chose, ils ne pourraient le lui reprendre. – Combien faible est celui qui demande et celui qui est sollicité ! – </w:t>
      </w:r>
    </w:p>
    <w:p w14:paraId="5EF69748"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Ils n’ont pas estimé Dieu à sa vraie mesure. – Dieu est, en vérité, celui qui est fort et puissant. – </w:t>
      </w:r>
    </w:p>
    <w:p w14:paraId="351685E4"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Dieu a choisi des messagers parmi les anges et les hommes. – Dieu est, en vérité, celui qui entend et qui voit parfaitement. –</w:t>
      </w:r>
    </w:p>
    <w:p w14:paraId="3C1B4269"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Il sait ce qui se trouve devant et derrière eux. Toutes choses reviennent à Dieu. </w:t>
      </w:r>
    </w:p>
    <w:p w14:paraId="7CCF9407"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Ô vous qui croyez ! Inclinez-vous, prosternez-vous, adorez votre Seigneur, faites le bien. – Peut-être serez-vous heureux ! –</w:t>
      </w:r>
    </w:p>
    <w:p w14:paraId="426EC13C" w14:textId="77777777" w:rsidR="00F324A5" w:rsidRPr="00EC1FBB" w:rsidRDefault="00F324A5" w:rsidP="00876BB0">
      <w:pPr>
        <w:numPr>
          <w:ilvl w:val="0"/>
          <w:numId w:val="135"/>
        </w:numPr>
        <w:contextualSpacing/>
        <w:jc w:val="both"/>
        <w:rPr>
          <w:rFonts w:asciiTheme="majorBidi" w:hAnsiTheme="majorBidi" w:cstheme="majorBidi"/>
        </w:rPr>
      </w:pPr>
      <w:r w:rsidRPr="00EC1FBB">
        <w:rPr>
          <w:rFonts w:asciiTheme="majorBidi" w:hAnsiTheme="majorBidi" w:cstheme="majorBidi"/>
        </w:rPr>
        <w:t xml:space="preserve">Combattez pour Dieu, car il a droit à la lutte que les croyants mènent pour lui. C’est lui qui vous a choisis. Il ne vous a jamais imposé aucune gêne dans la Religion, la Religion de votre père Abraham. C’est lui qui vous a donné le nom de « Musulmans » autrefois déjà, et ici même, afin que le Prophète soit témoin contre vous et que vous soyez témoins contre les hommes. Acquittez-vous donc de la Prière, faites l’aumône. Attachez-vous fortement à Dieu : il est votre Maître ; un excellent Maître ; un excellent Défenseur ! </w:t>
      </w:r>
    </w:p>
    <w:p w14:paraId="2DF7FBD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1D84D679" w14:textId="77777777" w:rsidR="00F324A5" w:rsidRPr="00EC1FBB" w:rsidRDefault="00F324A5" w:rsidP="00F324A5">
      <w:pPr>
        <w:contextualSpacing/>
        <w:jc w:val="both"/>
        <w:rPr>
          <w:rFonts w:asciiTheme="majorBidi" w:eastAsia="Times New Roman" w:hAnsiTheme="majorBidi" w:cstheme="majorBidi"/>
        </w:rPr>
      </w:pPr>
    </w:p>
    <w:p w14:paraId="0C24AD5D"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 xml:space="preserve">La traduction de </w:t>
      </w:r>
      <w:r>
        <w:rPr>
          <w:rFonts w:asciiTheme="majorBidi" w:eastAsia="Times New Roman" w:hAnsiTheme="majorBidi" w:cstheme="majorBidi"/>
          <w:b/>
          <w:bCs/>
        </w:rPr>
        <w:t>Jean Grosjean</w:t>
      </w:r>
      <w:r w:rsidRPr="000453C2">
        <w:rPr>
          <w:rStyle w:val="Appelnotedebasdep"/>
          <w:rFonts w:asciiTheme="majorBidi" w:hAnsiTheme="majorBidi" w:cstheme="majorBidi"/>
          <w:b/>
          <w:bCs/>
        </w:rPr>
        <w:footnoteReference w:id="715"/>
      </w:r>
      <w:r>
        <w:rPr>
          <w:rFonts w:asciiTheme="majorBidi" w:eastAsia="Times New Roman" w:hAnsiTheme="majorBidi" w:cstheme="majorBidi"/>
          <w:b/>
          <w:bCs/>
        </w:rPr>
        <w:t xml:space="preserve"> (1972</w:t>
      </w:r>
      <w:r w:rsidRPr="00EC1FBB">
        <w:rPr>
          <w:rFonts w:asciiTheme="majorBidi" w:eastAsia="Times New Roman" w:hAnsiTheme="majorBidi" w:cstheme="majorBidi"/>
          <w:b/>
          <w:bCs/>
        </w:rPr>
        <w:t>)</w:t>
      </w:r>
    </w:p>
    <w:p w14:paraId="761B6E3F"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Sourate XXII</w:t>
      </w:r>
    </w:p>
    <w:p w14:paraId="15616033" w14:textId="77777777" w:rsidR="00F324A5" w:rsidRPr="00EC1FBB" w:rsidRDefault="00F324A5" w:rsidP="00F324A5">
      <w:pPr>
        <w:contextualSpacing/>
        <w:jc w:val="center"/>
        <w:rPr>
          <w:rFonts w:asciiTheme="majorBidi" w:hAnsiTheme="majorBidi" w:cstheme="majorBidi"/>
          <w:u w:val="single"/>
        </w:rPr>
      </w:pPr>
      <w:r w:rsidRPr="00EC1FBB">
        <w:rPr>
          <w:rFonts w:asciiTheme="majorBidi" w:hAnsiTheme="majorBidi" w:cstheme="majorBidi"/>
        </w:rPr>
        <w:t>Le pèlerinage</w:t>
      </w:r>
    </w:p>
    <w:p w14:paraId="53B43B0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Au nom de Dieu le Miséricordieux plein de miséricorde. </w:t>
      </w:r>
    </w:p>
    <w:p w14:paraId="44484ADD"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Hommes, soyez fidèles à votre Seigneur. Le tremblement de terre de l’heure sera terrible. </w:t>
      </w:r>
    </w:p>
    <w:p w14:paraId="246CCE4A"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Le jour où vous la verrez toute nourrice oubliera son nourrisson, toute femme enceinte avortera et tu verras les hommes comme ivres alors qu’ils ne le seront pas. Dieu tourmentera durement. </w:t>
      </w:r>
    </w:p>
    <w:p w14:paraId="7D32A3BA"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Il y a des hommes qui discutent de Dieu sans savoir et suivent tout Satan rebelle.</w:t>
      </w:r>
    </w:p>
    <w:p w14:paraId="1AC01547"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 est écrit de lui qu’il égarera ses clients et les mènera au tourment du brasier. </w:t>
      </w:r>
    </w:p>
    <w:p w14:paraId="55FCFE43"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Hommes, si vous doutez de l’avertissement, nous vous avons créés de poussière, puis de sperme, puis de caillot, puis de masse flasque formée ou non. Nous vous l’expliquons. Nous déposons dans la matrice ce que nous voulons jusqu’à un terme fixé et nous vous en faisons sortir, enfants jusqu’à l’âge mûr. Puis certains sont rappelés et d’autres rejetés à la décrépitude jusqu’à ne plus savoir ce qu’ils savaient. Tu vois la terre morte et, quand nous faisons pleuvoir, elle remue, elle gonfle, elle fait pousser de tout par beaux couples. </w:t>
      </w:r>
    </w:p>
    <w:p w14:paraId="65B33664"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C’est parce que Dieu est le véritable, et il rend la vie aux morts, il peut tout. </w:t>
      </w:r>
    </w:p>
    <w:p w14:paraId="273A834E"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Oui, l’heure vient où Dieu ressuscitera ceux qui sont dans les tombes. </w:t>
      </w:r>
    </w:p>
    <w:p w14:paraId="0ACC0D2C"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 y a des hommes qui discutent de Dieu sans savoir, sans guide, sans livre lumineux. </w:t>
      </w:r>
    </w:p>
    <w:p w14:paraId="51220F8C"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Ils inventent des détours pour écarter du sentier de Dieu. A eux, honte en cette vie. Et le jour la résurrection, ils goûteront le tourment de la calcination. </w:t>
      </w:r>
    </w:p>
    <w:p w14:paraId="22BB6167"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Voilà pour vos actes. Car Dieu n’est pas injuste envers ses esclaves. </w:t>
      </w:r>
    </w:p>
    <w:p w14:paraId="09946358"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 y a des hommes qui n’adorent Dieu qu’avec hésitation. S’ils ont du bonheur, ils le goûtent en paix, mais dès qu’ils sont tentés, ils se détournent. Ils perdent cette vie et l’autre. Perte éclatante. </w:t>
      </w:r>
    </w:p>
    <w:p w14:paraId="1CB3DFEB"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Ils prient hors de Dieu ce qui ne peut leur servir ni leur nuire. Erreur sans borne. </w:t>
      </w:r>
    </w:p>
    <w:p w14:paraId="3BA1EFA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Ils prient celui qui pourrait plutôt leur nuire que leur servir. Mauvais patron certes, et mauvais compagnon. </w:t>
      </w:r>
    </w:p>
    <w:p w14:paraId="4E736C66"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Mais les croyants dont l’œuvre est fidèle, Dieu les fera entrer dans des jardins où les ruisseaux circulent. Dieu fait ce qu’il veut. </w:t>
      </w:r>
    </w:p>
    <w:p w14:paraId="3D126EA1"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Quiconque pense que Dieu ne le secourra ni en cette vie ni dans l’autre, qu’il tende une corde jusqu’au ciel et qu’il la tranche, il verra si sa ruse détruit ce qui l’irrite. </w:t>
      </w:r>
    </w:p>
    <w:p w14:paraId="072AEDB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Nous l’avons ainsi révélé en versets clairs. Mais Dieu guide qui il veut. </w:t>
      </w:r>
    </w:p>
    <w:p w14:paraId="14EDFCB8"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Le jour de la résurrection, Dieu décidera entre les croyants, les juifs, les sabéens, les chrétiens, les mages et ceux qui ajoutent des dieux. Car Dieu est témoin de tout. </w:t>
      </w:r>
    </w:p>
    <w:p w14:paraId="0904C8A8"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Ne vois-tu pas se prosterner devant Dieu les êtres des cieux et de la terre, le soleil, la lune et les étoiles, les montagnes, les arbres, les animaux et nombre d’hommes ? Mais pour beaucoup, le tourment est inéluctable, car il n’y a personne pour honorer celui que Dieu méprise. Et Dieu fait ce qu’il veut. </w:t>
      </w:r>
    </w:p>
    <w:p w14:paraId="17929626"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lastRenderedPageBreak/>
        <w:t xml:space="preserve">Deux adversaires sont là à se disputer au sujet de leur Seigneur. Eh bien, on taillera des vêtements de feu pour les incroyants, on leur versera de l’eau bouillante sur la tête. </w:t>
      </w:r>
    </w:p>
    <w:p w14:paraId="6D96DD5C"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Leurs entrailles et leur peau en seront consumées. </w:t>
      </w:r>
    </w:p>
    <w:p w14:paraId="4FB6FD0B"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A eux les fouets de fer. </w:t>
      </w:r>
    </w:p>
    <w:p w14:paraId="3A167B1E"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Chaque fois qu’ils voudront en sortir poussés par la souffrance, on les y ramènera : Goûtez le tourment de la calcination. </w:t>
      </w:r>
    </w:p>
    <w:p w14:paraId="0B7E0BDD"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Mais les croyants dont l’œuvre est fidèle, Dieu les fera entrer dans des jardins où les ruisseaux circulent. Ils y seront parés de bracelets d’or et de perles et vêtus de soie. </w:t>
      </w:r>
    </w:p>
    <w:p w14:paraId="7D99C837"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Ils ont été guidés vers la belle parole, ils ont été guidés vers le chemin de l’Admirable. </w:t>
      </w:r>
    </w:p>
    <w:p w14:paraId="0FA2E942"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Ceux qui n’ont pas cru et qui s’écartent du sentier de Dieu et de la mosquée sainte que nous avons établie pour les hommes, qu’ils résident près d’elle ou qu’ils soient nomades, eh bien, quiconque la profane par injustice, nous lui ferons goûter l’affreux tourment. </w:t>
      </w:r>
    </w:p>
    <w:p w14:paraId="77DB4571"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Quand nous avons établi pour Abraham le lieu du temple, nous avons dit : Ne m’ajoute rien, purifie mon temple pour ceux qui y tournent, s’y tiennent debout, s’y inclinent et s’y prosternent. </w:t>
      </w:r>
    </w:p>
    <w:p w14:paraId="3203F04B"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Appelle les hommes au pèlerinage. Ils y viendront à pied ou sur toute monture efflanquée. Ils viendront vers toi par tout défilé</w:t>
      </w:r>
    </w:p>
    <w:p w14:paraId="5C264AFB"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témoigner des dons qu’ils ont reçus et, aux jours fixés, invoquer le nom de Dieu sur la bête de troupeau qu’il leur a accordée : Mangez-en et donnez-en au malheureux et à l’indigent. </w:t>
      </w:r>
    </w:p>
    <w:p w14:paraId="441761F0"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Qu’ils mettent fin alors à leurs interdits, qu’ils acquittent leurs vœux, qu’ils tournent autour du temple antique. </w:t>
      </w:r>
    </w:p>
    <w:p w14:paraId="50151D76"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Voilà. Et quiconque exalte les sacrements de Dieu, c’est un bien pour lui devant son Seigneur. Les bêtes de troupeau vous sont permises sauf celles qu’on vous a mentionnées. Évitez la souillure des idoles, évitez les paroles mensongères, </w:t>
      </w:r>
    </w:p>
    <w:p w14:paraId="55181993"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soyez sincères envers Dieu et ne lui ajoutez rien. Quiconque ajoute à Dieu, c’est comme s’il était précipité du ciel, enlevé par des oiseaux et précipité </w:t>
      </w:r>
      <w:r>
        <w:rPr>
          <w:rFonts w:asciiTheme="majorBidi" w:hAnsiTheme="majorBidi" w:cstheme="majorBidi"/>
        </w:rPr>
        <w:t>par le vent dans un coin perdu.</w:t>
      </w:r>
    </w:p>
    <w:p w14:paraId="1899F0D9"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Voilà. Et quiconque exalte les sacrements de Dieu, c’est une fidélité du cœur. </w:t>
      </w:r>
    </w:p>
    <w:p w14:paraId="64B98381"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Vous profitez de ces bêtes jusqu’au terme fixé puis elles sont immolées au temple antique. </w:t>
      </w:r>
    </w:p>
    <w:p w14:paraId="3BF6E16D"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Nous avons donné à chaque nation ses rites pour invoquer le nom de Dieu sur la bête du troupeau qu’il leur a attribué. Mais votre Dieu est un Dieu unique, soumettez-vous à lui. </w:t>
      </w:r>
    </w:p>
    <w:p w14:paraId="0932EC37"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Annonce la bonne nouvelle aux humbles dont le cœur frémit quand Dieu est invoqué, à ceux qui endurent l’épreuve, à ceux qui font la prière et donnent de nos dons. </w:t>
      </w:r>
    </w:p>
    <w:p w14:paraId="019CB6C0"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Nous mettons les bêtes d’offrande parmi les sacrements de Dieu. C’est un bien pour vous. Invoquez sur elles le nom de Dieu quand elles sont apprêtées pour le sacrifice et, quand elles gisent sur le flanc, mangez-en et donnez-en au pauvre discret. Nous vous les avons soumises, peut-être saurez-vous gré. </w:t>
      </w:r>
    </w:p>
    <w:p w14:paraId="741BA323"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Ni leur chair ni leur sang ne touchent Dieu mais votre fidélité le touchera. Il vous les a soumises pour que vous proclamiez la grandeur de Dieu qui vous a guidés. Annonce la bonne nouvelle à ceux qui agissent bien. </w:t>
      </w:r>
    </w:p>
    <w:p w14:paraId="634E692E"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Dieu prend la défense des croyants. Dieu n’aime pas le traître incroyant. </w:t>
      </w:r>
    </w:p>
    <w:p w14:paraId="5225EBA4"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Combattre est permis à ceux qui sont lésés, parce qu’ils sont attaqués, et Dieu peut les secourir, </w:t>
      </w:r>
    </w:p>
    <w:p w14:paraId="13CDDBEE"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à ceux qui sont à tort chassés de leur maison pour avoir dit : Notre Seigneur est Dieu. Si Dieu n’avait repoussé certains hommes par d’autres, les ermitages seraient détruits, les synagogues, les oratoires, les mosquées où le nom de Dieu est invoqué si souvent, mais Dieu vient au secours de ceux qui viennent à son secours. Oui, Dieu est fort et puissant</w:t>
      </w:r>
    </w:p>
    <w:p w14:paraId="5B7AFBC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lastRenderedPageBreak/>
        <w:t xml:space="preserve">pour ceux qui, établis par nous sur terre, font la prière et acquittent l’aumône, ordonnent le bien et interdisent le mal. Et la fin de tout est à Dieu. </w:t>
      </w:r>
    </w:p>
    <w:p w14:paraId="1819AB41"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S’ils te traitent de menteur, est-ce qu’avant eux n’ont pas crié au mensonge le peuple de Noé, les Ad, les Thamoud,</w:t>
      </w:r>
    </w:p>
    <w:p w14:paraId="2BCBABAA"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le peuple d’Abraham, le peuple de Loth</w:t>
      </w:r>
    </w:p>
    <w:p w14:paraId="3F856470"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et les Madian ? Et Moïse fut traité de menteur. J’ai donné du répit aux incroyants, puis je les ai saisis et quelle réprobation que la mienne ! </w:t>
      </w:r>
    </w:p>
    <w:p w14:paraId="7B6AE1B1"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Que de villes nous avons détruites parce qu’elles étaient coupables ! Et les voilà sous leurs toits écroulés. Que de puits à l’abandon, que de fiers palais ! </w:t>
      </w:r>
    </w:p>
    <w:p w14:paraId="4E614EAB"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Ne parcourent-ils pas la terre, n’ont-ils pas des cœurs pour comprendre ou des oreilles pour entendre ? Car ce ne sont pas les yeux qui s’aveuglent, mais les cœurs dans les poitrines. </w:t>
      </w:r>
    </w:p>
    <w:p w14:paraId="0613CA4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Ils te demandent de hâter le tourment mais Dieu ne manquera pas à sa promesse bien qu’un jour pour Dieu soit comme mille ans pour vous. </w:t>
      </w:r>
    </w:p>
    <w:p w14:paraId="40436BDE"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Que de villes coupables à qui j’ai donné du répit, puis je les ai saisies car l’avenir est à moi. </w:t>
      </w:r>
    </w:p>
    <w:p w14:paraId="758E0354"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Dis : Hommes, je ne fais que vous avertir clairement. </w:t>
      </w:r>
    </w:p>
    <w:p w14:paraId="6422ABFE"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Les croyants dont l’œuvre est fidèle auront le pardon et le beau don. </w:t>
      </w:r>
    </w:p>
    <w:p w14:paraId="212D207E"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Mais ceux qui s’échinent contre nos versets pour nous affaiblir seront les hôtes de la fournaise. </w:t>
      </w:r>
    </w:p>
    <w:p w14:paraId="5B4446DB"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Nous n’avons jamais envoyé d’apôtres ou de prophètes avant toi sans que le satan intervienne dans les vœux qu’ils formulent. Mais Dieu abroge ce que lance le satan et il confirme ses versets, car Dieu sait, il est le sage. </w:t>
      </w:r>
    </w:p>
    <w:p w14:paraId="655F2B87"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Ce que lance le satan, Dieu en fait une tentation pour ceux qui ont un mal dans le cœur et dont le cœur est endurci. Certes, les coupables sont un schisme profond. </w:t>
      </w:r>
    </w:p>
    <w:p w14:paraId="0F15D06F"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C’est pour que ceux qui ont reçu la science sachent que ce Coran est la vérité qui vient de ton Seigneur. Ils y croiront et leurs cœurs s’humilieront devant lui. Oui, Dieu guide les croyants dans le droit chemin. </w:t>
      </w:r>
    </w:p>
    <w:p w14:paraId="52E9E580"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Les incroyants continueront d’en douter jusqu’à la venue de l’heure soudaine, quand leur viendra le tourment d’un jour dévastateur. </w:t>
      </w:r>
    </w:p>
    <w:p w14:paraId="72163BA9"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A Dieu sera le règne ce jour-là et il les jugera. Les croyants dont l’œuvre est fidèle seront dans les jardins du délice. </w:t>
      </w:r>
    </w:p>
    <w:p w14:paraId="59FBAC44"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Les incroyants qui nient nos versets auront la honte du tourment. </w:t>
      </w:r>
    </w:p>
    <w:p w14:paraId="270C9FDF"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Ceux qui ont émigré dans le sentier de Dieu et qui seront morts ou auront été tués, Dieu leur donnera un beau salaire. Dieu est celui qui paie le mieux. </w:t>
      </w:r>
    </w:p>
    <w:p w14:paraId="2A5DE87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 les fera entrer là où ils se plairont. Oui, Dieu sait et il patiente. </w:t>
      </w:r>
    </w:p>
    <w:p w14:paraId="6FAB9E0D"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Voici. Quiconque attaque comme on l’a attaqué, si on l’attaque encore, Dieu le secourra. Oui, Dieu pardonne, il a pitié. </w:t>
      </w:r>
    </w:p>
    <w:p w14:paraId="25DB58DA"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Car Dieu fait entrer la nuit dans le jour et il fait entrer le jour dans la nuit. Dieu entend et il voit. </w:t>
      </w:r>
    </w:p>
    <w:p w14:paraId="6AEC6E0C"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Car Dieu est la vérité et les autres qu’ils invoquent sont mensonges. Dieu est le très haut, le très grand. </w:t>
      </w:r>
    </w:p>
    <w:p w14:paraId="0B46ADCF"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Ne vois-tu pas que Dieu fait pleuvoir ? Et le matin la terre a reverdi. Dieu est doux et bien renseigné. </w:t>
      </w:r>
    </w:p>
    <w:p w14:paraId="3186A3F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A lui les êtres des cieux et de la terre. Oui, Dieu se suffit, mais il mérite louanges. </w:t>
      </w:r>
    </w:p>
    <w:p w14:paraId="154CCBF8"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Ne vois-tu pas que Dieu vous a soumis les êtres de la terre et le navire qui va sur mer par son ordre ? Il retient le ciel de tomber sur terre sans permission. Oui, Dieu est bon pour les hommes, il a pitié. </w:t>
      </w:r>
    </w:p>
    <w:p w14:paraId="3E399407"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lastRenderedPageBreak/>
        <w:t xml:space="preserve">Il vous fait vivre, il vous fera mourir et vous fera revivre. Mais l’homme est très ingrat. </w:t>
      </w:r>
    </w:p>
    <w:p w14:paraId="41F0AD74"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Nous avons donné à chaque nation un rite qu’ils suivent. Qu’on ne te querelle pas là-dessus. Appelles-en à ton Seigneur, tu es dans la voie droite. </w:t>
      </w:r>
    </w:p>
    <w:p w14:paraId="493B1DF9"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S’ils te querellent, réponds : Dieu connaît vos actes. Le jour de la résurrection, </w:t>
      </w:r>
    </w:p>
    <w:p w14:paraId="7BF9A35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Dieu tranchera sur ce qui vous divise. </w:t>
      </w:r>
    </w:p>
    <w:p w14:paraId="32FBF7D4"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Ne sais-tu pas que Dieu connaît ce qui est dans le ciel et sur la terre ? Tout est inscrit dans un livre, c’est facile pour Dieu. </w:t>
      </w:r>
    </w:p>
    <w:p w14:paraId="075F54EA"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Ils adorent hors de Dieu ce que Dieu n’autorise pas et dont ils ne savent rien, mais les coupables seront sans secours. </w:t>
      </w:r>
    </w:p>
    <w:p w14:paraId="6F4940C3"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Quand nos versets seront récités comme preuves évidentes aux incroyants, tu peux voir la réprobation sur leur visage et peu s’en faut qu’ils ne se jettent sur les récitants. Dis : Vous avertirai-je de pire encore : le feu que Dieu promet aux incroyants ? Quel mauvais avenir.</w:t>
      </w:r>
    </w:p>
    <w:p w14:paraId="68467C0A"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Hommes, voici une parabole, écoutez-la : Ceux que vous priez hors de Dieu ne peuvent, même réunis, créer un</w:t>
      </w:r>
      <w:r>
        <w:rPr>
          <w:rFonts w:asciiTheme="majorBidi" w:hAnsiTheme="majorBidi" w:cstheme="majorBidi"/>
        </w:rPr>
        <w:t>e</w:t>
      </w:r>
      <w:r w:rsidRPr="00EC1FBB">
        <w:rPr>
          <w:rFonts w:asciiTheme="majorBidi" w:hAnsiTheme="majorBidi" w:cstheme="majorBidi"/>
        </w:rPr>
        <w:t xml:space="preserve"> mouche. Et qu’une mouche leur prenne quelque chose, ils ne peuvent le reprendre. Combien faibles ces sollicités et leurs solliciteurs ! </w:t>
      </w:r>
    </w:p>
    <w:p w14:paraId="73116791"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Ils n’ont pas mesuré Dieu à sa mesure. Car Dieu est fort et puissant. </w:t>
      </w:r>
    </w:p>
    <w:p w14:paraId="7DBF2101"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Dieu choisit ses envoyés parmi les anges et parmi les hommes. Dieu entend et il voit. </w:t>
      </w:r>
    </w:p>
    <w:p w14:paraId="286222F8"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Il sait ce qui est devant vous et derrière vous. Et tout revient vers Dieu. </w:t>
      </w:r>
    </w:p>
    <w:p w14:paraId="57E44475" w14:textId="77777777" w:rsidR="00F324A5" w:rsidRPr="00EC1FBB"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Vous qui croyez, inclinez-vous, prosternez-vous, adorez votre Seigneur, agissez bien Peut-être aurez-vous le bonheur. </w:t>
      </w:r>
    </w:p>
    <w:p w14:paraId="6B231777" w14:textId="77777777" w:rsidR="00F324A5" w:rsidRPr="000828CD" w:rsidRDefault="00F324A5" w:rsidP="00876BB0">
      <w:pPr>
        <w:numPr>
          <w:ilvl w:val="0"/>
          <w:numId w:val="136"/>
        </w:numPr>
        <w:contextualSpacing/>
        <w:jc w:val="both"/>
        <w:rPr>
          <w:rFonts w:asciiTheme="majorBidi" w:hAnsiTheme="majorBidi" w:cstheme="majorBidi"/>
        </w:rPr>
      </w:pPr>
      <w:r w:rsidRPr="00EC1FBB">
        <w:rPr>
          <w:rFonts w:asciiTheme="majorBidi" w:hAnsiTheme="majorBidi" w:cstheme="majorBidi"/>
        </w:rPr>
        <w:t xml:space="preserve">Combattez pour Dieu, il a droit à ce combat. Il vous a choisis, il ne vous a pas imposé de gêne dans votre religion, la religion de votre père Abraham. Il vous a donné le nom de musulmans comme autrefois pour que l’apôtre soit témoin contre vous et que vous soyez témoins contre les hommes. Faites la prière, acquittez l’aumône, mettez-vous sous la protection de Dieu, il est votre maître, le meilleur maître et le meilleur recours. </w:t>
      </w:r>
    </w:p>
    <w:p w14:paraId="3C481DB4" w14:textId="77777777" w:rsidR="00F324A5" w:rsidRPr="00EC1FBB" w:rsidRDefault="00F324A5" w:rsidP="00F324A5">
      <w:pPr>
        <w:contextualSpacing/>
        <w:jc w:val="both"/>
        <w:rPr>
          <w:rFonts w:asciiTheme="majorBidi" w:eastAsia="Times New Roman" w:hAnsiTheme="majorBidi" w:cstheme="majorBidi"/>
        </w:rPr>
      </w:pPr>
    </w:p>
    <w:p w14:paraId="35A84467" w14:textId="77777777" w:rsidR="00F324A5" w:rsidRPr="00EC1FBB" w:rsidRDefault="00F324A5" w:rsidP="00876BB0">
      <w:pPr>
        <w:numPr>
          <w:ilvl w:val="0"/>
          <w:numId w:val="128"/>
        </w:numPr>
        <w:contextualSpacing/>
        <w:jc w:val="center"/>
        <w:rPr>
          <w:rFonts w:asciiTheme="majorBidi" w:eastAsia="Calibri" w:hAnsiTheme="majorBidi" w:cstheme="majorBidi"/>
          <w:b/>
          <w:bCs/>
          <w:lang w:bidi="ar-AE"/>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Jacques Berque</w:t>
      </w:r>
      <w:r w:rsidRPr="00EC1FBB">
        <w:rPr>
          <w:rStyle w:val="Appelnotedebasdep"/>
          <w:rFonts w:asciiTheme="majorBidi" w:eastAsia="Times New Roman" w:hAnsiTheme="majorBidi" w:cstheme="majorBidi"/>
          <w:b/>
          <w:bCs/>
        </w:rPr>
        <w:footnoteReference w:id="716"/>
      </w:r>
      <w:r w:rsidRPr="00EC1FBB">
        <w:rPr>
          <w:rFonts w:asciiTheme="majorBidi" w:eastAsia="Times New Roman" w:hAnsiTheme="majorBidi" w:cstheme="majorBidi"/>
          <w:b/>
          <w:bCs/>
        </w:rPr>
        <w:t xml:space="preserve"> (1990)</w:t>
      </w:r>
    </w:p>
    <w:p w14:paraId="1354FE3C" w14:textId="77777777" w:rsidR="00F324A5" w:rsidRPr="00EC1FBB" w:rsidRDefault="00F324A5" w:rsidP="00F324A5">
      <w:pPr>
        <w:ind w:left="720"/>
        <w:contextualSpacing/>
        <w:jc w:val="center"/>
        <w:rPr>
          <w:rFonts w:asciiTheme="majorBidi" w:eastAsia="Calibri" w:hAnsiTheme="majorBidi" w:cstheme="majorBidi"/>
          <w:i/>
          <w:iCs/>
          <w:lang w:bidi="ar-AE"/>
        </w:rPr>
      </w:pPr>
      <w:r w:rsidRPr="00EC1FBB">
        <w:rPr>
          <w:rFonts w:asciiTheme="majorBidi" w:eastAsia="Times New Roman" w:hAnsiTheme="majorBidi" w:cstheme="majorBidi"/>
          <w:i/>
          <w:iCs/>
        </w:rPr>
        <w:t>(Traduction qui a suscité une polémique)</w:t>
      </w:r>
    </w:p>
    <w:p w14:paraId="3EA9FCF8" w14:textId="77777777" w:rsidR="00F324A5" w:rsidRPr="00EC1FBB" w:rsidRDefault="00F324A5" w:rsidP="00F324A5">
      <w:pPr>
        <w:contextualSpacing/>
        <w:jc w:val="center"/>
        <w:rPr>
          <w:rFonts w:asciiTheme="majorBidi" w:eastAsia="Calibri" w:hAnsiTheme="majorBidi" w:cstheme="majorBidi"/>
          <w:i/>
          <w:iCs/>
          <w:rtl/>
          <w:lang w:bidi="ar-AE"/>
        </w:rPr>
      </w:pPr>
      <w:r w:rsidRPr="00EC1FBB">
        <w:rPr>
          <w:rFonts w:asciiTheme="majorBidi" w:eastAsia="Calibri" w:hAnsiTheme="majorBidi" w:cstheme="majorBidi"/>
          <w:i/>
          <w:iCs/>
          <w:lang w:bidi="ar-AE"/>
        </w:rPr>
        <w:t>Sourate XXII</w:t>
      </w:r>
    </w:p>
    <w:p w14:paraId="1A5A8046" w14:textId="77777777" w:rsidR="00F324A5" w:rsidRPr="00EC1FBB" w:rsidRDefault="00F324A5" w:rsidP="00F324A5">
      <w:pPr>
        <w:contextualSpacing/>
        <w:jc w:val="center"/>
        <w:rPr>
          <w:rFonts w:asciiTheme="majorBidi" w:eastAsia="Calibri" w:hAnsiTheme="majorBidi" w:cstheme="majorBidi"/>
          <w:lang w:bidi="ar-AE"/>
        </w:rPr>
      </w:pPr>
      <w:r w:rsidRPr="00EC1FBB">
        <w:rPr>
          <w:rFonts w:asciiTheme="majorBidi" w:eastAsia="Calibri" w:hAnsiTheme="majorBidi" w:cstheme="majorBidi"/>
          <w:lang w:bidi="ar-AE"/>
        </w:rPr>
        <w:t>LE PÈLERINAGE</w:t>
      </w:r>
      <w:r w:rsidRPr="00EC1FBB">
        <w:rPr>
          <w:rStyle w:val="Appelnotedebasdep"/>
          <w:rFonts w:asciiTheme="majorBidi" w:eastAsia="Calibri" w:hAnsiTheme="majorBidi" w:cstheme="majorBidi"/>
          <w:lang w:bidi="ar-AE"/>
        </w:rPr>
        <w:footnoteReference w:id="717"/>
      </w:r>
    </w:p>
    <w:p w14:paraId="1CF7D087" w14:textId="77777777" w:rsidR="00F324A5" w:rsidRPr="00EC1FBB" w:rsidRDefault="00F324A5" w:rsidP="00F324A5">
      <w:pPr>
        <w:contextualSpacing/>
        <w:jc w:val="center"/>
        <w:rPr>
          <w:rFonts w:asciiTheme="majorBidi" w:eastAsia="Calibri" w:hAnsiTheme="majorBidi" w:cstheme="majorBidi"/>
          <w:lang w:bidi="ar-AE"/>
        </w:rPr>
      </w:pPr>
      <w:r w:rsidRPr="00EC1FBB">
        <w:rPr>
          <w:rFonts w:asciiTheme="majorBidi" w:eastAsia="Calibri" w:hAnsiTheme="majorBidi" w:cstheme="majorBidi"/>
          <w:lang w:bidi="ar-AE"/>
        </w:rPr>
        <w:t>Au nom de Dieu, le Tout miséricorde, le Miséricordieux</w:t>
      </w:r>
    </w:p>
    <w:p w14:paraId="6A078F60"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Humains, prémunissez-vous envers votre Seigneur. Le tremblement de l'Heure sera chose énorme</w:t>
      </w:r>
    </w:p>
    <w:p w14:paraId="3F1448E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le Jour où vous la verrez, toute allaitante en oubliera son allaité, toute enceinte en perdra son fruit! Tu verras les gens ivres, et ils ne le seront pas. Mais le châtiment de Dieu est terrible.</w:t>
      </w:r>
    </w:p>
    <w:p w14:paraId="083D25B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lastRenderedPageBreak/>
        <w:t>Et cependant il en est parmi les hommes pour disputer sur Dieu sans la moindre science, et suivre tout satan de rébellion</w:t>
      </w:r>
    </w:p>
    <w:p w14:paraId="2CDC19D2"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quand il est écrit de Satan que quiconque se fait son lige, il l'égare et le guide au tourment infernal!</w:t>
      </w:r>
    </w:p>
    <w:p w14:paraId="12D7664F"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Humains, vous demeureriez dans le doute quant à la Résurrection ? Eh bien! nous vous avons créés de poussière, puis d'un peu de liquide, puis d'une adhérence, puis d'une mâchure, soumise à création échelonnée, cela pour vous démontrer (Notre pouvoir). Et Nous fixons dans les matrices ce que bon Nous semble, jusqu'à un terme déterminé, et puis enfin Nous vous faisons sortir enfant, après quoi Nous visons à vous faire atteindre votre force adulte ; et certains parmi vous sont recouvrés (jeunes), et d'autres ramenés au plus débile de l'âge, au point de ne rien connaître après avoir connu. Ainsi vois-tu la terre languir, et quand Nous faisons descendre de l'eau sur elle, s'émouvoir, gonfler, faire pousser un peu de chaque merveilleuse espèce</w:t>
      </w:r>
      <w:r w:rsidRPr="00EC1FBB">
        <w:rPr>
          <w:rStyle w:val="Appelnotedebasdep"/>
          <w:rFonts w:asciiTheme="majorBidi" w:eastAsia="Calibri" w:hAnsiTheme="majorBidi" w:cstheme="majorBidi"/>
          <w:lang w:bidi="ar-AE"/>
        </w:rPr>
        <w:footnoteReference w:id="718"/>
      </w:r>
    </w:p>
    <w:p w14:paraId="6C7C9015"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cela parce que Dieu, c'est Lui le Vrai, qu'Il fait revivre les morts, qu'Il est Omnipotent</w:t>
      </w:r>
    </w:p>
    <w:p w14:paraId="01B055FE"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que l'Heure vient, sans le moindre doute, et que Dieu ressuscitera les hôtes des tombeaux.</w:t>
      </w:r>
    </w:p>
    <w:p w14:paraId="64DF952A"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cependant il en est parmi les hommes pour disputer sur Dieu sans la moindre science, sans guidance, sans écrit de lumière</w:t>
      </w:r>
    </w:p>
    <w:p w14:paraId="706A4652"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se rengorgeant de sorte à égarer les autres du chemin de Dieu. Abomination sur lui en ce monde ! Et nous lui ferons goûter, au Jour de la résurrection, le tourment du feu dévorant</w:t>
      </w:r>
    </w:p>
    <w:p w14:paraId="3818B55F"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cela par ce qu’auront avancé tes mains, car Dieu n’est pas injuste vers Ses adorateurs.</w:t>
      </w:r>
    </w:p>
    <w:p w14:paraId="26F2C179"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cependant il en est parmi les hommes pour n'adorer Dieu que de guingois : si du bien l’affecte, il se tient tranquille ; si c’est du trouble, il fait volte-face: il aura perdu l’ici-bas et la vie dernière… - C’est là la perte radicale</w:t>
      </w:r>
    </w:p>
    <w:p w14:paraId="49F50F21"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 … il invoque, au lieu de Dieu, cela qui ne peut ni lui nuire ni le servir… - C’est là l’égarement extrême.</w:t>
      </w:r>
    </w:p>
    <w:p w14:paraId="59524C77"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il invoque ce dont le nuire est plus probable que le servir – Malheur au suzerain peu sûr et malheur au féal!</w:t>
      </w:r>
    </w:p>
    <w:p w14:paraId="454C4526"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Tandis que Dieu fera entrer ceux qui croient, effectuent l'œuvre salutaire dans des jardins de sous lesquels des ruisseaux coulent – Dieu opère ce qu'Il veut.</w:t>
      </w:r>
    </w:p>
    <w:p w14:paraId="1A05AD6E"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Celui qui conjecturait que Dieu laisserait (le Prophète) sans secours en ce monde et dans l'autre n'a qu'à tendre une corde jusqu'au ciel et puis la couper : qu'il voie si son stratagème va supprimer l'objet de sa rage !</w:t>
      </w:r>
    </w:p>
    <w:p w14:paraId="66DB1AA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Ainsi faisons-Nous descendre des signes explicites – Dieu guide celui qu'Il veut.</w:t>
      </w:r>
    </w:p>
    <w:p w14:paraId="7E9A02EE"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Ceux qui croient, les adeptes du Judaïsme, les Mandéens, les Chrétiens, les Zoroastriens, les associants : entre tous Dieu tranchera au Jour de la résurrection. – Dieu de toute chose est Témoin.</w:t>
      </w:r>
      <w:r w:rsidRPr="00EC1FBB">
        <w:rPr>
          <w:rStyle w:val="Appelnotedebasdep"/>
          <w:rFonts w:asciiTheme="majorBidi" w:eastAsia="Calibri" w:hAnsiTheme="majorBidi" w:cstheme="majorBidi"/>
          <w:lang w:bidi="ar-AE"/>
        </w:rPr>
        <w:footnoteReference w:id="719"/>
      </w:r>
    </w:p>
    <w:p w14:paraId="756F603D"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Dieu : ne vois-tu pas vers Lui se prosterner les hôtes des cieux, les hôtes de la terre, le soleil et la lune, les étoiles, les montagnes, les arbres, les animaux, beaucoup parmi les hommes, tandis que sur beaucoup d'autres le châtiment s’impose ? – Celui que Dieu humilie, nul ne peut l'honorer. Dieu opère ce qu'Il veut.</w:t>
      </w:r>
    </w:p>
    <w:p w14:paraId="4CCC070F"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lastRenderedPageBreak/>
        <w:t>Voici deux adversaires, qui s'opposent à propos de leur seigneur. Aux dénégateurs, des vêtures de feu taillées ; sur leurs têtes une eau bouillante se déverse</w:t>
      </w:r>
    </w:p>
    <w:p w14:paraId="4A37B0E0"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de quoi leur dissoudre les entrailles et la peau</w:t>
      </w:r>
    </w:p>
    <w:p w14:paraId="558966D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les accablent les verges de fer</w:t>
      </w:r>
    </w:p>
    <w:p w14:paraId="133AAA9C"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chaque fois que de chagrin ils en veulent sortir, ils y sont ramenés: «Savourez le tourment du feu dévorant».</w:t>
      </w:r>
    </w:p>
    <w:p w14:paraId="4CAFE31C"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Tandis que Dieu fait entrer ceux qui ont cru, effectué les œuvres salutaires dans des jardins de sous lesquels les ruisseaux coulent ; ils y sont parés de bracelets d'or, avec des perles, leurs vêtements sont tissés de soie</w:t>
      </w:r>
    </w:p>
    <w:p w14:paraId="12A88B1B"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outre qu'ils ont été guidés à la parole excellente, guidés à la voie du Louangé.</w:t>
      </w:r>
    </w:p>
    <w:p w14:paraId="66ED4DCB"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Les dénégateurs, ceux qui dressent des obstacles sur le chemin de Dieu, et de l'Oratoire consacré que Nous avons institué pour les hommes, à égalité pour le résidant et l'itinérant… et quiconque aurait volonté d'injustice et de déviation, Nous lui ferions goûter d'un châtiment douloureux.</w:t>
      </w:r>
      <w:r w:rsidRPr="00EC1FBB">
        <w:rPr>
          <w:rStyle w:val="Appelnotedebasdep"/>
          <w:rFonts w:asciiTheme="majorBidi" w:eastAsia="Calibri" w:hAnsiTheme="majorBidi" w:cstheme="majorBidi"/>
          <w:lang w:bidi="ar-AE"/>
        </w:rPr>
        <w:footnoteReference w:id="720"/>
      </w:r>
    </w:p>
    <w:p w14:paraId="38CE4D6C"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Lors Nous assignâmes à Abraham l'emplacement de la Maison : « Ne M'associe personne, purifie Ma Maison à l'intention de ceux qui en font le tour, et s'inclinent et se redressent dans la prosternation</w:t>
      </w:r>
    </w:p>
    <w:p w14:paraId="5D7CF88E"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lance parmi les hommes l'appel au pèlerinage : qu'ils te viennent à pied ou sur quelque bête amaigrie, affluant de tout profond défilé</w:t>
      </w:r>
    </w:p>
    <w:p w14:paraId="1E585500"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pour connaître leur propre avantage et rappeler le nom de Dieu, en des jours bien connus, sur Notre attribution, sous la forme d'une bête de troupeau: «Mangez-en et  nourrissez-en le malheureux indigent»</w:t>
      </w:r>
    </w:p>
    <w:p w14:paraId="3DC1ACAE"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puis qu'ils éliminent leurs excroissances, qu'ils s'acquittent de leurs vœux, qu'ils fassent le tour de la franche Maison.</w:t>
      </w:r>
      <w:r w:rsidRPr="00EC1FBB">
        <w:rPr>
          <w:rStyle w:val="Appelnotedebasdep"/>
          <w:rFonts w:asciiTheme="majorBidi" w:eastAsia="Calibri" w:hAnsiTheme="majorBidi" w:cstheme="majorBidi"/>
          <w:lang w:bidi="ar-AE"/>
        </w:rPr>
        <w:footnoteReference w:id="721"/>
      </w:r>
    </w:p>
    <w:p w14:paraId="4A0A5438"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Voilà. Et qui magnifie ce que Dieu a consacré, cela lui sera (compté pour) un bien auprès de son Seigneur. Licites vous sont rendues les bêtes de troupeau, sauf les exceptions qui vous en ont été énumérées. Écartez-vous de la souillure qui vient des idoles ; écartez-vous de la parole d'imposture</w:t>
      </w:r>
    </w:p>
    <w:p w14:paraId="094DCD5A"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en croyants originels à l'égard de Dieu, au rebours des associants : qui associe à Dieu, c'est comme s'il dégringolait du ciel, et qu'alors un oiseau le happe ou que le vent l'abîme en un lieu perdu</w:t>
      </w:r>
    </w:p>
    <w:p w14:paraId="08CBA37B"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Voilà. Et qui magnifie les observances de Dieu, eh bien ! elles relèvent de l'effort des cœurs pour se prémunir</w:t>
      </w:r>
    </w:p>
    <w:p w14:paraId="074B587D"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vous en tirez des avantages jusqu'à un terme fixé, et puis leur aboutissement est la franche Maison.</w:t>
      </w:r>
    </w:p>
    <w:p w14:paraId="708E6CBA"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lastRenderedPageBreak/>
        <w:t>À chaque communauté Nous avons établi un lieu rituel, pour que (les fidèles) rappellent le nom de Dieu sur Son attribution, sous forme d'une bête de troupeau. Votre dieu est un Dieu unique. Soumettez-vous à Lui. Fais-en l'annonce aux humbles</w:t>
      </w:r>
    </w:p>
    <w:p w14:paraId="22EE1A0D"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dont le cœur, au seul rappel de Dieu, frémit, à ceux qui témoignent de patience à l'épreuve, et qui font dépense sur Notre attribution.</w:t>
      </w:r>
    </w:p>
    <w:p w14:paraId="236A2F9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De (chamelles) ventrues Nous vous prescrivons (l'immolation) au titre d'observance de Dieu : elles vous seront bénéfiques ; rappelez sur elles, quand elles sont en rangs, le nom de Dieu ; une fois affalées sur le côté, mangez-en, donnez-en à manger au suppliant et au quémandeur. – Ainsi mettons-Nous (ces bêtes) à votre disposition, escomptant que vous en aurez gratitude.</w:t>
      </w:r>
      <w:r w:rsidRPr="00EC1FBB">
        <w:rPr>
          <w:rStyle w:val="Appelnotedebasdep"/>
          <w:rFonts w:asciiTheme="majorBidi" w:eastAsia="Calibri" w:hAnsiTheme="majorBidi" w:cstheme="majorBidi"/>
          <w:lang w:bidi="ar-AE"/>
        </w:rPr>
        <w:footnoteReference w:id="722"/>
      </w:r>
    </w:p>
    <w:p w14:paraId="3BB005DA" w14:textId="77777777" w:rsidR="00F324A5" w:rsidRPr="00EC1FBB" w:rsidRDefault="00F324A5" w:rsidP="00876BB0">
      <w:pPr>
        <w:numPr>
          <w:ilvl w:val="0"/>
          <w:numId w:val="137"/>
        </w:numPr>
        <w:contextualSpacing/>
        <w:jc w:val="both"/>
        <w:rPr>
          <w:rFonts w:asciiTheme="majorBidi" w:eastAsia="Calibri" w:hAnsiTheme="majorBidi" w:cstheme="majorBidi"/>
          <w:rtl/>
          <w:lang w:bidi="ar-AE"/>
        </w:rPr>
      </w:pPr>
      <w:r w:rsidRPr="00EC1FBB">
        <w:rPr>
          <w:rFonts w:asciiTheme="majorBidi" w:eastAsia="Calibri" w:hAnsiTheme="majorBidi" w:cstheme="majorBidi"/>
          <w:lang w:bidi="ar-AE"/>
        </w:rPr>
        <w:t>Ne parviendront (en effet) à Dieu ni leur viande ni leur sang. Ce qui Lui parvient, c'est que vous vous prémunissiez. Ainsi les met-Il à votre disposition pour que vous glorifiiez Dieu de cette guidance. Fais-en l'annonce aux bel-agissants.</w:t>
      </w:r>
    </w:p>
    <w:p w14:paraId="6ADD41CD"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Dieu prend la défense de ceux qui croient, Il n'aime pas l'homme de traîtrise et de dénégation.</w:t>
      </w:r>
    </w:p>
    <w:p w14:paraId="45324BDC"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Permission est donnée à ceux qui combattent pour avoir subi l'iniquité… - Dieu de les secourir est Capable.</w:t>
      </w:r>
      <w:r w:rsidRPr="00EC1FBB">
        <w:rPr>
          <w:rStyle w:val="Appelnotedebasdep"/>
          <w:rFonts w:asciiTheme="majorBidi" w:eastAsia="Calibri" w:hAnsiTheme="majorBidi" w:cstheme="majorBidi"/>
          <w:lang w:bidi="ar-AE"/>
        </w:rPr>
        <w:footnoteReference w:id="723"/>
      </w:r>
    </w:p>
    <w:p w14:paraId="35951076"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 à ceux qui furent évincés de leurs demeures à contre-droit, et seulement parce qu'ils disaient : «Notre Seigneur est Dieu»… - Si Dieu ne repoussait les humains les uns par les autres, combien ne seraient pas abattus de campaniles, d’églises, de synagogues, de mosquées où résonne sans trêve le rappel du nom de Dieu ! Et que Dieu secoure qui Le secoure ! – Il est Fort, Tout-Puissant.</w:t>
      </w:r>
      <w:r w:rsidRPr="00EC1FBB">
        <w:rPr>
          <w:rStyle w:val="Appelnotedebasdep"/>
          <w:rFonts w:asciiTheme="majorBidi" w:eastAsia="Calibri" w:hAnsiTheme="majorBidi" w:cstheme="majorBidi"/>
          <w:lang w:bidi="ar-AE"/>
        </w:rPr>
        <w:footnoteReference w:id="724"/>
      </w:r>
    </w:p>
    <w:p w14:paraId="32A55B08"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 à ceux qui, si Nous leur en donnons capacité sur la terre, accomplissent la prière, acquittent la purification, prescrivent le convenable et proscrivent le blâmable. – À Dieu la fin de toute chose !...</w:t>
      </w:r>
    </w:p>
    <w:p w14:paraId="0CA2056C"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Ils te démentent ? Ainsi avant eux ont démenti les peuples de Noé, de ʿAd et de Thamûd</w:t>
      </w:r>
    </w:p>
    <w:p w14:paraId="3EB6A699"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le peuple d'Abraham et le peuple de Loth</w:t>
      </w:r>
    </w:p>
    <w:p w14:paraId="0022156D"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ceux de Madyan. Démenti fut Moïse. J'accordai donc sursis aux dénégateurs, et puis Je me saisis d'eux, et quel n'était pas Mon courroux !</w:t>
      </w:r>
    </w:p>
    <w:p w14:paraId="369CA1E8"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que de cités n'avons-Nous pas détruites pour leur iniquité! Les voilà toutes vides sur leurs assises, avec leurs puits hors de service et leurs fortins encore maçonnés</w:t>
      </w:r>
    </w:p>
    <w:p w14:paraId="31FC1AAC"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n’ont-ils pas cheminé sur la terre, ayant un cœur apte à raisonner (sur ces vicissitudes), des oreilles capables d'en entendre (parler) ? Or, ce ne sont pas les regards qui sont aveugles, mais s'aveuglent les cœurs qui battent dans les poitrines.</w:t>
      </w:r>
    </w:p>
    <w:p w14:paraId="2F981519"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Ils te pressent d’avancer le châtiment. Dieu ne saurait faillir à Sa promesse. Seulement un jour de ton Seigneur vaut mille ans de vos computs.</w:t>
      </w:r>
    </w:p>
    <w:p w14:paraId="786E2709"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lastRenderedPageBreak/>
        <w:t>À combien de cités n'avais-Je pas accordé sursis, malgré leur iniquité ? et puis Je m'emparai d'elles. Et vers Moi destination de tout.</w:t>
      </w:r>
    </w:p>
    <w:p w14:paraId="34DC84FF"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Dis : « Humains, je ne suis pour vous qu'un donneur d’alarme explicite ».</w:t>
      </w:r>
    </w:p>
    <w:p w14:paraId="0AE706E1"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Dès lors ceux qui croient, effectuent les œuvres salutaires (peuvent s'attendre) à une indulgence et à une généreuse attribution</w:t>
      </w:r>
    </w:p>
    <w:p w14:paraId="5BFF89DA"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tandis que ceux qui s'acharnent à infirmer Nos signes, ceux-là de la Géhenne seront les compagnons.</w:t>
      </w:r>
    </w:p>
    <w:p w14:paraId="75585F29"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Nous n'avons pas envoyé avant toi d'envoyé ou de prophète en qui Satan, quand ils éprouvaient une aspiration, n'y mêlât de ses projections. Mais Dieu abroge les projections de Satan, et de plus rend péremptoires Ses propres signes… - Dieu est Connaisseur et Sage.</w:t>
      </w:r>
      <w:r w:rsidRPr="00EC1FBB">
        <w:rPr>
          <w:rStyle w:val="Appelnotedebasdep"/>
          <w:rFonts w:asciiTheme="majorBidi" w:eastAsia="Calibri" w:hAnsiTheme="majorBidi" w:cstheme="majorBidi"/>
          <w:lang w:bidi="ar-AE"/>
        </w:rPr>
        <w:footnoteReference w:id="725"/>
      </w:r>
    </w:p>
    <w:p w14:paraId="5A47A878"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 afin de réduire ce qu'aura introduit Satan à une tentation pour ceux au cœur malade, ceux au cœur de pierre, et c'est pourquoi les iniques vont si loin dans la scission</w:t>
      </w:r>
    </w:p>
    <w:p w14:paraId="0A16F81C"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pour qu'ils sachent bien, ceux dotés de science, que ceci est bien le Vrai, venu de ton Seigneur ; qu'ils croient donc en Lui, que leur cœur s'humilie devant Lui. – Dieu guide ceux qui croient sur la voie de rectitude.</w:t>
      </w:r>
    </w:p>
    <w:p w14:paraId="2E390EF5"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Il est vrai que les dénégateurs resteront en chicane sur le message jusqu’à ce que l’Heure ne leur advienne à l’improviste, ou le tourment d’un Jour néfaste</w:t>
      </w:r>
    </w:p>
    <w:p w14:paraId="5DFF9D1A"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La royauté, en ce Jour, à Dieu reviendra, de sorte que ce soit à Lui de trancher entre eux. Ceux qui auront cru, effectué les œuvres salutaires iront aux jardins de bonheur</w:t>
      </w:r>
    </w:p>
    <w:p w14:paraId="323ACEF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tandis que les dénégateurs, ceux qui démentent Nos signes, ceux-là subiront un châtiment de vilenie</w:t>
      </w:r>
    </w:p>
    <w:p w14:paraId="15223EAF"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quant à ceux qui ont fait exode sur le chemin de Dieu, et puis encore y furent tués ou sont morts (de mort naturelle), Dieu assurément leur attribuera splendide attribution. – Il est par excellence Celui qui attribue</w:t>
      </w:r>
    </w:p>
    <w:p w14:paraId="5DCB8375"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Il les fera entrer l'entrée de contentement – Dieu est Connaisseur, Longanime.</w:t>
      </w:r>
    </w:p>
    <w:p w14:paraId="637F0F12"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Voilà. Et puis qui se borne (à répliquer) à une exaction par la pareille, mais par surcroît essuie une nouvelle injure, assurément Dieu le secourra, assurément Dieu lui sera Clément, Indulgent</w:t>
      </w:r>
    </w:p>
    <w:p w14:paraId="1C721123"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cela de la même façon que Dieu, qui fait entrer la nuit dans le jour, fait entrer le jour dans la nuit. – Dieu est Entendant, Connaissant</w:t>
      </w:r>
    </w:p>
    <w:p w14:paraId="5F083F42"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Et cela du fait que Dieu c'est le Vrai, et que ce que vous invoquez en Sa place, c'est le faux. – Dieu est l'Auguste, le Grandiose…</w:t>
      </w:r>
    </w:p>
    <w:p w14:paraId="5A6FB51F"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Ne vois-tu pas que Dieu fait descendre une eau du ciel, et la terre au matin verdoyer ? – Il est le Subtil, l’Informé</w:t>
      </w:r>
    </w:p>
    <w:p w14:paraId="0A84408E"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À Lui appartient tout ce qui est dans les cieux et sur la terre – Il est Celui-qui-se-suffit, le Louangé</w:t>
      </w:r>
    </w:p>
    <w:p w14:paraId="0EAD3658"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lastRenderedPageBreak/>
        <w:t>Ne vois-tu pas que Dieu a mis à votre service ce qui est dans la terre, et les vaisseaux qui sur Son ordre courent sur la mer, et qu'Il retient le ciel de tomber sur la terre: il ne s'en abstient que par Son ordre – Dieu est aux humains Tendre, Miséricordieux</w:t>
      </w:r>
    </w:p>
    <w:p w14:paraId="260A8EA2"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C'est Lui qui vous a fait vivre, et puis vous fera mourir, et enfin vous fera revivre – Mais l'homme est plein d'ingratitude…</w:t>
      </w:r>
    </w:p>
    <w:p w14:paraId="7E0EAD52"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À chaque communauté Nous avons établi un lieu pour l’exercice de ses rites. Ne te laisse pas, non ! contester sur cet article : borne-toi à invoquer ton Seigneur. Assurément que tu agis selon la guidance, dans la rectitude</w:t>
      </w:r>
    </w:p>
    <w:p w14:paraId="141C262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s’ils te contestent, dis: «Dieu est seul à même de connaître vos agissements</w:t>
      </w:r>
    </w:p>
    <w:p w14:paraId="16EFF697"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c’est Dieu qui tranchera entre vous au Jour de la résurrection sur l'objet de vos divergences».</w:t>
      </w:r>
    </w:p>
    <w:p w14:paraId="0ED3CB96"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Ne sais-tu pas que Dieu sait tout ce qu'il y a dans les cieux et sur la terre : cela figure dans un Livre – Et c'est pour Dieu bien aisé…</w:t>
      </w:r>
    </w:p>
    <w:p w14:paraId="6E35ECF7"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Quoi ! Ils adorent en place de Dieu cela qu'aucune justification n'escorte, dont ils n'ont pas la moindre science, et alors que les injustes ne trouveront point de secourant !...</w:t>
      </w:r>
    </w:p>
    <w:p w14:paraId="25D0B7C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Si on leur récite comme preuve Nos signes, tu reconnais sur la face des dénégateurs de la répulsion ; peu s'en faut qu'ils ne fassent violence à qui leur récite Nos signes. Dis : « Puis-je vous faire pire annonce que ce Feu promis par Dieu aux dénégateurs ? » - Destination funeste !</w:t>
      </w:r>
    </w:p>
    <w:p w14:paraId="5326B3BE"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Humains, il va être usé d'une semblance : prêtez-y l'oreille. Ceux que vous invoquez en place de Dieu sont impuissants à créer une mouche, même s'ils se mettaient à tous pour y réussir ; et si la mouche leur enlevait une chose, ils ne pourraient sur elle la récupérer –Sollicités aussi faibles que leurs solliciteurs !</w:t>
      </w:r>
    </w:p>
    <w:p w14:paraId="0ECA5C30"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Ils n'ont pas évalué Dieu au vrai de Sa valeur – Il est Fort, Tout-Puissant…</w:t>
      </w:r>
    </w:p>
    <w:p w14:paraId="043F60F4"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Dieu a choisi des envoyés parmi les anges et parmi les hommes – Dieu est Entendant, Clairvoyant</w:t>
      </w:r>
    </w:p>
    <w:p w14:paraId="0E771702"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Il sait ce qu'ils ont devant eux et ce qui leur vient derrière. À Dieu de toute chose il sera fait retour…</w:t>
      </w:r>
    </w:p>
    <w:p w14:paraId="09BA5B35"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Croyants, prosternez-vous, adorez votre Seigneur, faites le bien, dans l'espoir de triompher</w:t>
      </w:r>
    </w:p>
    <w:p w14:paraId="4D49AB90" w14:textId="77777777" w:rsidR="00F324A5" w:rsidRPr="00EC1FBB" w:rsidRDefault="00F324A5" w:rsidP="00876BB0">
      <w:pPr>
        <w:numPr>
          <w:ilvl w:val="0"/>
          <w:numId w:val="137"/>
        </w:num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t>efforcez-vous en Dieu du vrai de Son effort. Il vous a élus. Il ne met aucune gêne pour vous dans la religion, en tant que fidèles à la communauté de votre père Abraham. C'est lui qui jadis vous a nommés Ceux-qui-se-soumettent. Qu'en cela l'Envoyé soit votre témoin, et vous les témoins des hommes. Élevez la prière. Acquittez la purification. Faites de Dieu votre rempart. Il est votre maître : heureux Maître, et sûr Secourant !</w:t>
      </w:r>
    </w:p>
    <w:p w14:paraId="1E478CB4" w14:textId="77777777" w:rsidR="00F324A5" w:rsidRPr="00EC1FBB" w:rsidRDefault="00F324A5" w:rsidP="00F324A5">
      <w:pPr>
        <w:contextualSpacing/>
        <w:jc w:val="both"/>
        <w:rPr>
          <w:rFonts w:asciiTheme="majorBidi" w:eastAsia="Calibri" w:hAnsiTheme="majorBidi" w:cstheme="majorBidi"/>
          <w:lang w:bidi="ar-AE"/>
        </w:rPr>
      </w:pPr>
    </w:p>
    <w:p w14:paraId="39EDA39E" w14:textId="77777777" w:rsidR="00F324A5" w:rsidRPr="00EC1FBB" w:rsidRDefault="00F324A5" w:rsidP="00F324A5">
      <w:pPr>
        <w:contextualSpacing/>
        <w:jc w:val="both"/>
        <w:rPr>
          <w:rFonts w:asciiTheme="majorBidi" w:eastAsia="Calibri" w:hAnsiTheme="majorBidi" w:cstheme="majorBidi"/>
          <w:lang w:bidi="ar-AE"/>
        </w:rPr>
      </w:pPr>
    </w:p>
    <w:p w14:paraId="6CAAB026" w14:textId="77777777" w:rsidR="00F324A5" w:rsidRPr="00EC1FBB" w:rsidRDefault="00F324A5" w:rsidP="00F324A5">
      <w:pPr>
        <w:contextualSpacing/>
        <w:jc w:val="both"/>
        <w:rPr>
          <w:rFonts w:asciiTheme="majorBidi" w:eastAsia="Calibri" w:hAnsiTheme="majorBidi" w:cstheme="majorBidi"/>
          <w:lang w:bidi="ar-AE"/>
        </w:rPr>
      </w:pPr>
    </w:p>
    <w:p w14:paraId="6B349425" w14:textId="77777777" w:rsidR="00F324A5" w:rsidRPr="00EC1FBB" w:rsidRDefault="00F324A5" w:rsidP="00F324A5">
      <w:pPr>
        <w:contextualSpacing/>
        <w:rPr>
          <w:rFonts w:asciiTheme="majorBidi" w:hAnsiTheme="majorBidi" w:cstheme="majorBidi"/>
          <w:lang w:bidi="ar-AE"/>
        </w:rPr>
      </w:pPr>
    </w:p>
    <w:p w14:paraId="5B243079" w14:textId="77777777" w:rsidR="00F324A5" w:rsidRPr="00EC1FBB" w:rsidRDefault="00F324A5" w:rsidP="00F324A5">
      <w:pPr>
        <w:contextualSpacing/>
        <w:jc w:val="both"/>
        <w:rPr>
          <w:rFonts w:asciiTheme="majorBidi" w:eastAsia="Calibri" w:hAnsiTheme="majorBidi" w:cstheme="majorBidi"/>
          <w:lang w:bidi="ar-AE"/>
        </w:rPr>
      </w:pPr>
    </w:p>
    <w:p w14:paraId="1664747E" w14:textId="77777777" w:rsidR="00F324A5" w:rsidRPr="00EC1FBB" w:rsidRDefault="00F324A5" w:rsidP="00F324A5">
      <w:p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br w:type="page"/>
      </w:r>
    </w:p>
    <w:p w14:paraId="26D5B3C8" w14:textId="77777777" w:rsidR="00F324A5" w:rsidRPr="00EC1FBB" w:rsidRDefault="00F324A5" w:rsidP="00F324A5">
      <w:pPr>
        <w:contextualSpacing/>
        <w:jc w:val="both"/>
        <w:rPr>
          <w:rFonts w:asciiTheme="majorBidi" w:eastAsia="Calibri" w:hAnsiTheme="majorBidi" w:cstheme="majorBidi"/>
          <w:lang w:bidi="ar-AE"/>
        </w:rPr>
      </w:pPr>
    </w:p>
    <w:p w14:paraId="6F5EC75C"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La traduction d’</w:t>
      </w:r>
      <w:r w:rsidRPr="00EC1FBB">
        <w:rPr>
          <w:rFonts w:asciiTheme="majorBidi" w:eastAsia="Times New Roman" w:hAnsiTheme="majorBidi" w:cstheme="majorBidi"/>
          <w:b/>
          <w:bCs/>
        </w:rPr>
        <w:t>André Chouraqui</w:t>
      </w:r>
      <w:r>
        <w:rPr>
          <w:rStyle w:val="Appelnotedebasdep"/>
          <w:rFonts w:asciiTheme="majorBidi" w:eastAsia="Times New Roman" w:hAnsiTheme="majorBidi" w:cstheme="majorBidi"/>
          <w:b/>
          <w:bCs/>
        </w:rPr>
        <w:footnoteReference w:id="726"/>
      </w:r>
      <w:r w:rsidRPr="00EC1FBB">
        <w:rPr>
          <w:rFonts w:asciiTheme="majorBidi" w:eastAsia="Times New Roman" w:hAnsiTheme="majorBidi" w:cstheme="majorBidi"/>
          <w:b/>
          <w:bCs/>
        </w:rPr>
        <w:t xml:space="preserve"> (1990)</w:t>
      </w:r>
    </w:p>
    <w:p w14:paraId="22130E1C" w14:textId="77777777" w:rsidR="00F324A5" w:rsidRPr="00EC1FBB" w:rsidRDefault="00F324A5" w:rsidP="00F324A5">
      <w:pPr>
        <w:ind w:left="720"/>
        <w:contextualSpacing/>
        <w:jc w:val="center"/>
        <w:rPr>
          <w:rFonts w:asciiTheme="majorBidi" w:eastAsia="Times New Roman" w:hAnsiTheme="majorBidi" w:cstheme="majorBidi"/>
          <w:i/>
          <w:iCs/>
        </w:rPr>
      </w:pPr>
      <w:r w:rsidRPr="00EC1FBB">
        <w:rPr>
          <w:rFonts w:asciiTheme="majorBidi" w:eastAsia="Times New Roman" w:hAnsiTheme="majorBidi" w:cstheme="majorBidi"/>
          <w:i/>
          <w:iCs/>
        </w:rPr>
        <w:t>(Traduction dépaysante controversée réalisée par le biais de l’hébreu)</w:t>
      </w:r>
    </w:p>
    <w:p w14:paraId="5010FB0C" w14:textId="77777777" w:rsidR="00F324A5" w:rsidRPr="00EC1FBB" w:rsidRDefault="00F324A5" w:rsidP="00F324A5">
      <w:pPr>
        <w:contextualSpacing/>
        <w:jc w:val="center"/>
        <w:rPr>
          <w:rFonts w:asciiTheme="majorBidi" w:eastAsia="Times New Roman" w:hAnsiTheme="majorBidi" w:cstheme="majorBidi"/>
        </w:rPr>
      </w:pPr>
      <w:r w:rsidRPr="00EC1FBB">
        <w:rPr>
          <w:rFonts w:asciiTheme="majorBidi" w:eastAsia="Times New Roman" w:hAnsiTheme="majorBidi" w:cstheme="majorBidi"/>
          <w:b/>
          <w:bCs/>
        </w:rPr>
        <w:t>Sourate 22.</w:t>
      </w:r>
      <w:r w:rsidRPr="00EC1FBB">
        <w:rPr>
          <w:rFonts w:asciiTheme="majorBidi" w:eastAsia="Times New Roman" w:hAnsiTheme="majorBidi" w:cstheme="majorBidi"/>
        </w:rPr>
        <w:t xml:space="preserve"> </w:t>
      </w:r>
      <w:r w:rsidRPr="00EC1FBB">
        <w:rPr>
          <w:rFonts w:asciiTheme="majorBidi" w:eastAsia="Times New Roman" w:hAnsiTheme="majorBidi" w:cstheme="majorBidi"/>
          <w:b/>
          <w:bCs/>
        </w:rPr>
        <w:t>LE PÈLERINAGE</w:t>
      </w:r>
      <w:r w:rsidRPr="00EC1FBB">
        <w:rPr>
          <w:rFonts w:asciiTheme="majorBidi" w:eastAsia="Times New Roman" w:hAnsiTheme="majorBidi" w:cstheme="majorBidi"/>
        </w:rPr>
        <w:t xml:space="preserve"> </w:t>
      </w:r>
      <w:r w:rsidRPr="00EC1FBB">
        <w:rPr>
          <w:rFonts w:asciiTheme="majorBidi" w:eastAsia="Times New Roman" w:hAnsiTheme="majorBidi" w:cstheme="majorBidi"/>
          <w:b/>
          <w:bCs/>
        </w:rPr>
        <w:t>AL-HADJDJ</w:t>
      </w:r>
    </w:p>
    <w:p w14:paraId="367BE203" w14:textId="77777777" w:rsidR="00F324A5" w:rsidRPr="00EC1FBB" w:rsidRDefault="00F324A5" w:rsidP="00F324A5">
      <w:pPr>
        <w:contextualSpacing/>
        <w:jc w:val="center"/>
        <w:rPr>
          <w:rFonts w:asciiTheme="majorBidi" w:eastAsia="Times New Roman" w:hAnsiTheme="majorBidi" w:cstheme="majorBidi"/>
        </w:rPr>
      </w:pPr>
      <w:r w:rsidRPr="00EC1FBB">
        <w:rPr>
          <w:rFonts w:asciiTheme="majorBidi" w:eastAsia="Times New Roman" w:hAnsiTheme="majorBidi" w:cstheme="majorBidi"/>
          <w:i/>
          <w:iCs/>
        </w:rPr>
        <w:t>Au nom d’Allah, le Matriciant, le Matriciel...</w:t>
      </w:r>
      <w:r w:rsidRPr="00EC1FBB">
        <w:rPr>
          <w:rFonts w:asciiTheme="majorBidi" w:eastAsia="Times New Roman" w:hAnsiTheme="majorBidi" w:cstheme="majorBidi"/>
        </w:rPr>
        <w:t xml:space="preserve"> (</w:t>
      </w:r>
      <w:r w:rsidRPr="00EC1FBB">
        <w:rPr>
          <w:rFonts w:asciiTheme="majorBidi" w:eastAsia="Times New Roman" w:hAnsiTheme="majorBidi" w:cstheme="majorBidi"/>
          <w:b/>
          <w:bCs/>
        </w:rPr>
        <w:t>Hizb Trente-quatre</w:t>
      </w:r>
      <w:r w:rsidRPr="00EC1FBB">
        <w:rPr>
          <w:rFonts w:asciiTheme="majorBidi" w:eastAsia="Times New Roman" w:hAnsiTheme="majorBidi" w:cstheme="majorBidi"/>
        </w:rPr>
        <w:t>)</w:t>
      </w:r>
    </w:p>
    <w:p w14:paraId="499A611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 Ohé, les humains, frémissez de votre Rabb : le séisme de l’Heure sera grandiose,</w:t>
      </w:r>
    </w:p>
    <w:p w14:paraId="428B5438"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 le Jour où vous verrez toute nourrice plaquer son nourrisson et toute porteuse d’un faix plaquer son faix. Tu verras les humains ivres, n’étant pas ivres : le supplice d’Allah sera inexorable.</w:t>
      </w:r>
    </w:p>
    <w:p w14:paraId="762AD044"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 Parmi les humains, certains contestent Allah sans savoir et suivent tout Shaïtân révolté.</w:t>
      </w:r>
    </w:p>
    <w:p w14:paraId="6384BE6E"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 Il est écrit de lui : « Voici, il fourvoie qui le suit et le guide vers le supplice du Brasier. »</w:t>
      </w:r>
    </w:p>
    <w:p w14:paraId="768A7A5E"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 Ohé, les humains, si vous êtes dans le doute pour la Résurrection, voici, nous vous avons créés de poussière, puis de sperme, puis d’un embryon, puis d’un fœtus, formé ou non, une évidence pour vous ! Nous déposons dans les matrices ce que nous voulons jusqu’à terme, et nous en sortons un bambin qui atteindra sa maturité.</w:t>
      </w:r>
    </w:p>
    <w:p w14:paraId="39856461"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Parmi vous, certains trépassent, d’autres descendent à la décrépitude de l’existence : après avoir su jadis, ils ne savent plus rien. Tu vois la terre s’éteindre, mais, quand nous lui faisons descendre de l’eau, elle s’ébroue, se gonfle et produit tous les couples splendides.</w:t>
      </w:r>
    </w:p>
    <w:p w14:paraId="4D68BD5F"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 Parce que Allah est la vérité : le voici, Il ressuscite les morts, le voici, puissant sur tout.</w:t>
      </w:r>
    </w:p>
    <w:p w14:paraId="4635C113"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 xml:space="preserve">7. Et voici, l’Heure ne vient pas de doute pour elle </w:t>
      </w:r>
      <w:r w:rsidRPr="00EC1FBB">
        <w:rPr>
          <w:rFonts w:asciiTheme="majorBidi" w:eastAsia="Times New Roman" w:hAnsiTheme="majorBidi" w:cstheme="majorBidi"/>
        </w:rPr>
        <w:softHyphen/>
        <w:t>et voici, Allah ressuscite les morts dans les sépulcres.</w:t>
      </w:r>
    </w:p>
    <w:p w14:paraId="173CCE6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8. Parmi les humains, certains contestent Allah, sans savoir, sans guidance, sans Écrit illuminateur,</w:t>
      </w:r>
    </w:p>
    <w:p w14:paraId="12C6C007"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9. dodelinant du flanc pour fourvoyer loin du sentier d’Allah. Dans ce monde, la ruine est pour celui-là. Au Jour du Relèvement, nous lui ferons goûter le supplice de la Calcination.</w:t>
      </w:r>
    </w:p>
    <w:p w14:paraId="6DC17D0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10. Cela pour ce qu’avancent tes mains... Voici, Allah ne lèse pas les serviteurs.</w:t>
      </w:r>
    </w:p>
    <w:p w14:paraId="32E616AA"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11. Parmi les humains, certains servent Allah, par à-coups : quand le meilleur leur échoit, ils en jouissent, mais, quand l’épreuve survient, ils détournent leurs faces. Ils perdent ce monde et l’Autre : voilà leur perte évidente.</w:t>
      </w:r>
    </w:p>
    <w:p w14:paraId="40003653"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12. Sauf Allah, ils implorent ce qui ne nuit ni ne profite : voilà le fourvoiement extrême.</w:t>
      </w:r>
    </w:p>
    <w:p w14:paraId="6330DB54"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13. Ils implorent celui dont la nuisance est plus certaine que le profit, exécrable maître, exécrable compère.</w:t>
      </w:r>
    </w:p>
    <w:p w14:paraId="645B02CD"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14. Voici, Allah fait entrer ceux qui adhèrent, intègres dans les Jardins sous lesquels courent les fleuves. Voici, Allah fait ce qu’il veut.</w:t>
      </w:r>
    </w:p>
    <w:p w14:paraId="128751C9"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15. Qui imagine qu’Allah ne l’aide pas en ce monde ni dans l’Autre, qu’il accroche une corde aux ciels, puis la coupe. Il guettera si son stratagème dissipe ce qui l’irritait.</w:t>
      </w:r>
    </w:p>
    <w:p w14:paraId="6C59414B"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16. ... Ainsi nous l’avons fait descendre en Signes évidents. Oui, Allah guide qui il veut.</w:t>
      </w:r>
    </w:p>
    <w:p w14:paraId="372AB9B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17. Voici ceux qui adhèrent, ceux qui judaïsent, les Sabéens, les Nazaréens, les Mages et ceux qui associent, voici, Allah les départagera, le Jour du Relèvement. Voici Allah : Il est le témoin de tout !</w:t>
      </w:r>
    </w:p>
    <w:p w14:paraId="7D23181C"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18. Ne le vois-tu pas ? Ceux des ciels et ceux de la terre se prosternent devant Allah, le soleil, la lune, les étoiles, les montagnes, les arbres, les animaux, la plupart des humains. Or, pour la plupart, leur part est un supplice grandiose ! Celui qu’Allah honnit, nul ne le magnifie : Allah fait ce qu’il décide. (Quart du Hizb Trente-quatre)</w:t>
      </w:r>
    </w:p>
    <w:p w14:paraId="4660F5B0"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lastRenderedPageBreak/>
        <w:t>19. Deux groupes se querellent : à propos de leur Rabb. Des habits de feu seront taillés pour les effaceurs, de l’eau bouillante sera déversée sur leur tête.</w:t>
      </w:r>
    </w:p>
    <w:p w14:paraId="10BE432C"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20. Leurs entrailles se consumeront en eux avec leur peau.</w:t>
      </w:r>
    </w:p>
    <w:p w14:paraId="6E23A77A"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21. Des fouets de fer s’abattront sur eux,</w:t>
      </w:r>
    </w:p>
    <w:p w14:paraId="68DCF1DF"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22. chaque fois qu’ils voudront s’échapper en suffoquant, ils seront ramenés là :</w:t>
      </w:r>
    </w:p>
    <w:p w14:paraId="7F37F04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 Goûtez le supplice de la Calcination. »</w:t>
      </w:r>
    </w:p>
    <w:p w14:paraId="2009755D"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23. Allah accueille ceux qui adhèrent et sont intègres, dans les Jardins sous lesquels courent des fleuves. Ils y sont parés de bracelets d’or et de perles dans des vêtements de soie,</w:t>
      </w:r>
    </w:p>
    <w:p w14:paraId="25E832A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24. guidés vers le bien du verbe, guidés vers le chemin de la Désirance.</w:t>
      </w:r>
    </w:p>
    <w:p w14:paraId="57EBD72E"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25. Ceux qui effacent écartent du sentier d’Allah et de la Mosquée Interdite, que nous avons établie pour les hommes, pour le résident comme pour le nomade. Qui veut agir en fraude, contre lui, nous lui faisons goûter le supplice terrible.</w:t>
      </w:r>
    </w:p>
    <w:p w14:paraId="0DAAE77D"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26. Quand nous avons préparé pour Ibrâhim le lieu de la Maison :</w:t>
      </w:r>
    </w:p>
    <w:p w14:paraId="707F6FD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 Voici, n’associe rien à Moi, purifie ma Maison pour les Circulateurs, debouts, courbés, prosternés.</w:t>
      </w:r>
    </w:p>
    <w:p w14:paraId="63F2653E"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27. Proclame le Pèlerinage parmi les hommes ! Ils viendront à toi à pied ou sur des méharis, ils viendront de toute gorge profonde,</w:t>
      </w:r>
    </w:p>
    <w:p w14:paraId="6522E924"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28. pour attester leurs dons et invoquer le Nom d’Allah, les jours connus, ce dont il les pourvoit en bétail: « Mangez-en, nourrissez le pauvre, le miséreux. »</w:t>
      </w:r>
    </w:p>
    <w:p w14:paraId="07570052"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29. Ensuite qu’ils rompent leurs interdits, et remplissent leurs vœux, en contournant l’Antique Maison.</w:t>
      </w:r>
    </w:p>
    <w:p w14:paraId="2FB3EF08"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30. Qui respecte l’interdit d’Allah a le meilleur chez son Rabb. Les bêtes des troupeaux, sont licites pour vous, sauf celles qui vous ont été prohibées. Fuyez l’abomination des idoles. Fuyez toute parole fausse,</w:t>
      </w:r>
    </w:p>
    <w:p w14:paraId="24E5C3F3"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31. soyez fervents envers Allah, sans rien lui associer ! Qui associe à Allah est comme s’il était précipité du haut du ciel: des oiseaux l’enlèvent et le vent l’emporte vers des lieux lointains.</w:t>
      </w:r>
    </w:p>
    <w:p w14:paraId="1D9B040A"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32. Qui respecte les rites d’Allah, se trouve parmi les frémissants du cœur.</w:t>
      </w:r>
    </w:p>
    <w:p w14:paraId="5EF6C767"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33. Le profit en est fixé pour vous, à terme. Le sacrifice est alors immolé vers l’Antique Maison.</w:t>
      </w:r>
    </w:p>
    <w:p w14:paraId="3C4C971B"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34. Pour toute matrie, nous instituons des rites qui commémorent le Nom d’Allah pour leur provende et leurs bêtes de troupeaux. Votre Ilah est Allah, l’Unique. Pour lui, pacifiez-vous, Fais cette annonce aux immarsescibles,</w:t>
      </w:r>
    </w:p>
    <w:p w14:paraId="614DB4BB"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35. ceux dont les coeurs s’émeuvent quand Mémoire est faite d’Allah, les persévérants, pour ce en quoi ils persévèrent, ceux qui élèvent la prière, et prodiguent ce dont nous les pourvoyons.</w:t>
      </w:r>
    </w:p>
    <w:p w14:paraId="7D1B6689"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36. Nous vous donnons du bétail adipeux, pour les rites d’Allah : c’est pour vous le meilleur. Sur lui, encore vivant, invoquez le nom d’Allah, puis quand il s’écroule, sur son flanc, mangez-en aussi, en nourrissant l’indigent, le nécessiteux.</w:t>
      </w:r>
    </w:p>
    <w:p w14:paraId="1F399899"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37. Sa viande et son sang n’atteindront pas Allah, mais seulement votre frémissement.</w:t>
      </w:r>
    </w:p>
    <w:p w14:paraId="7F9FDEC0"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Ce bétail vous est soumis pour que vous magnifiez Allah à la mesure de votre guidance.</w:t>
      </w:r>
    </w:p>
    <w:p w14:paraId="33315C4B"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Faites-en l’annonce aux excellents. (Moitié du Hizb Trente-quatre)</w:t>
      </w:r>
    </w:p>
    <w:p w14:paraId="07AE7C7F"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38. Allah protège ceux qui adhèrent, Allah n’aime pas les traîtres, les effaceurs.</w:t>
      </w:r>
    </w:p>
    <w:p w14:paraId="4BEAC00B"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39. Permission de se défendre est donnée à ceux qui ont combattu, s’ils ont été lésés: Voici, Allah, puissant pour les délivrer;</w:t>
      </w:r>
    </w:p>
    <w:p w14:paraId="07D650C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40. et à ceux qui ont été expulsés de leurs demeures, sans droit, pour avoir seulement dit: «Allah est notre Rabb.» Si Allah ne repoussait pas certains hommes par d’autres, ermitages, synagogues et mosquées seraient démolis. Allah aide qui l’aide. Voici, Allah est puissant, intransigeant.</w:t>
      </w:r>
    </w:p>
    <w:p w14:paraId="43E56930"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lastRenderedPageBreak/>
        <w:t>41. Il est avec ceux qui gouvernent la terre s’ils élèvent la prière, donnent la dîme, ordonnent le convenable, repoussent le blâmable. La sanction des ordres appartient à Allah.</w:t>
      </w:r>
    </w:p>
    <w:p w14:paraId="53012530"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42. S’ils te renient, les peuples de Nûh, ‘Âd, et Thamûd,</w:t>
      </w:r>
    </w:p>
    <w:p w14:paraId="6DFC789A"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43. le peuple d’Ibrâhim, le peuple de Lût reniaient déjà,</w:t>
      </w:r>
    </w:p>
    <w:p w14:paraId="09ABA7CE"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44. comme les compagnons de Madyan ! Mûssa aussi a été renié ! Je sursois pour les effaceurs, puis, quand je les saisis, ô, quelle est ma réprobation.</w:t>
      </w:r>
    </w:p>
    <w:p w14:paraId="1951470E"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45. Nous avons anéanti de nombreuses cités elles, frauduleuses, elles, dépouillées de leurs toitures, ô puits maçonnés, ô châteaux altiers !</w:t>
      </w:r>
    </w:p>
    <w:p w14:paraId="5E1FA6EC"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46. Ne marchent-ils pas sur terre, n’ont-ils pas des coeurs pour voir, des oreilles pour entendre ? Leurs regards ne sont pas aveugles, mais aveugles les coeurs dans les poitrines.</w:t>
      </w:r>
    </w:p>
    <w:p w14:paraId="7F538678"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47. Ils veulent que tu hâtes le supplice, mais Allah ne change pas de rendez-vous. Voici : un Jour, chez ton Rabb, c’est comme mille ans à votre comput.</w:t>
      </w:r>
    </w:p>
    <w:p w14:paraId="425AA88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48. Pour combien de cités frauduleuses ai-je sursis, que, par la suite, j’ai saisies ! Le devenir est à Moi !</w:t>
      </w:r>
    </w:p>
    <w:p w14:paraId="2AFFEB22"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49. Dis : « Ohé, les humains, me voici, je suis, d’évidence, votre alerteur. »</w:t>
      </w:r>
    </w:p>
    <w:p w14:paraId="36EC31A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50. Ceux qui adhèrent et sont intègres, le pardon est pour eux, généreuse provende.</w:t>
      </w:r>
    </w:p>
    <w:p w14:paraId="1E396CEC"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51. Ceux qui s’efforcent d’empêcher nos Signes, sont les Compagnons de la Géhenne.</w:t>
      </w:r>
    </w:p>
    <w:p w14:paraId="1C145561"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52. Nous n’avons envoyé, avant toi, aucun Envoyé, aucun Nabi sans que, lors d’un souhait, le Shaïtân n’attaque en son souhait. Mais Allah annule ce qu’attaque le Shaïtân. Allah confirme alors ses Signes, Allah, savant, sage.</w:t>
      </w:r>
    </w:p>
    <w:p w14:paraId="531C3431"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53. Il fait des attaques du Shaïtân une épreuve pour ceux dont le cœur est malade. Ô dureté de leur cœur ! Voici, les fraudeurs sont en un schisme extrême.</w:t>
      </w:r>
    </w:p>
    <w:p w14:paraId="7C0B205A"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54. Ceux qui ont reçu la Science connaissent ainsi la vérité de ton Rabb et y adhèrent Que leurs cœurs s’humilient devant elle ! Voici, Allah guide ceux qui adhèrent vers un chemin ascendant.</w:t>
      </w:r>
    </w:p>
    <w:p w14:paraId="51E513C1"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55. Ceux qui effacent ne cessent de douter de Lui, jusqu’à ce que l’Heure arrive soudain pour eux et arrive le supplice du Jour néfaste.</w:t>
      </w:r>
    </w:p>
    <w:p w14:paraId="5C33C514"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56. Le règne, ce Jour-là, sera à Allah et il les jugera. Ceux qui adhèrent et sont intègres, seront dans les jardins du ravissement.</w:t>
      </w:r>
    </w:p>
    <w:p w14:paraId="491C74AB"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57. Ceux qui effacent et nient nos Signes subiront un supplice avilissant.</w:t>
      </w:r>
    </w:p>
    <w:p w14:paraId="63B4AD3E"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58. Ceux qui ont émigré sur le sentier d’Allah, puis ont été tués ou sont morts, Allah les pourvoit d’une excellente provende. Allah est pour ceux-là le meilleur des pourvoyeurs.</w:t>
      </w:r>
    </w:p>
    <w:p w14:paraId="25671DA9"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59. Ils les accueillent à l’entrée qu’ils agréent. Voici Allah, savant, longanime. (Trois quarts du Hizb Trente-quatre)</w:t>
      </w:r>
    </w:p>
    <w:p w14:paraId="7FE992B7"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60. Ainsi, Allah secourt qui châtie comme il a été châtié après avoir subi un tort. Voici, Allah : clément, Il pardonne.</w:t>
      </w:r>
    </w:p>
    <w:p w14:paraId="3EAE6AC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61. Cela, le voici : Allah insère la nuit dans le jour, il insère le jour dans la nuit. Et voici, Allah, entendeur, voyant.</w:t>
      </w:r>
    </w:p>
    <w:p w14:paraId="4442DDCF"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62. Allah est la vérité. Ceux qu’ils implorent en dehors de Lui, ne sont qu’inanité. Voici, Allah, le Sublime, le Grand !</w:t>
      </w:r>
    </w:p>
    <w:p w14:paraId="54442AA9"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63. Ne le vois-tu pas ? Allah fait descendre l’eau du ciel et, matinale, la terre verdit. Voici, Allah, sagace, informé.</w:t>
      </w:r>
    </w:p>
    <w:p w14:paraId="562574C7"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64. À lui, le tout des ciels et de la terre. Voici, Allah, le Magnanime, le Désiré.</w:t>
      </w:r>
    </w:p>
    <w:p w14:paraId="75FDD8E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65. Ne le voyez-vous pas ? Allah soumet pour vous ce qui est sur la terre et la felouque qui, sur son ordre, court en mer. Il soutient le ciel pour qu’il ne s’écroule pas sur la terre, sans permission. Voici, Allah, pour les hommes, Lui, le Suave, le Matriciel.</w:t>
      </w:r>
    </w:p>
    <w:p w14:paraId="2676CAE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lastRenderedPageBreak/>
        <w:t>66. Il est celui qui vous vivifie, vous mortifie, puis vous ressuscite. Et voici l’homme : un effaceur !</w:t>
      </w:r>
    </w:p>
    <w:p w14:paraId="365276DA"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67. Pour toute matrie, nous instituons des rites, mais ils les ritualisent. Qu’ils n’en contestent pas les ordres : implore ton Rabb ! Certes, te voici en guidance ascendante.</w:t>
      </w:r>
    </w:p>
    <w:p w14:paraId="14A663DD"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68. S’ils te querellent, dis : « Allah sait mieux ce que vous faites ! »</w:t>
      </w:r>
    </w:p>
    <w:p w14:paraId="4E51C08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69. Allah jugera, le Jour du Relèvement, ce en quoi vous divergez.</w:t>
      </w:r>
    </w:p>
    <w:p w14:paraId="315380BD"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70. Ne le sais-tu pas ? Allah connaît le tout du ciel et de la terre. Voici, cela est dans l’Écrit, voici, c’est facile, pour Allah.</w:t>
      </w:r>
    </w:p>
    <w:p w14:paraId="6B7EA501"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71. Ils servent, hors d’Allah, ce qui est démunis de pouvoir, dont ils n’ont aucun savoir, et dont il n’est aucun secours pour les fraudeurs.</w:t>
      </w:r>
    </w:p>
    <w:p w14:paraId="748D091A"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72. Quand, d’évidence, nos Signes leur sont transmis, tu discernes la réprobation sur le visage des effaceurs. Ils agressent presque ceux qui leur transmettent nos Signes. Dis: « Vous annoncerais-je votre malheur ? Allah assigne le Feu à ceux qui effacent, le pire devenir. »</w:t>
      </w:r>
    </w:p>
    <w:p w14:paraId="61A3207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73. Ohé, les hommes, un exemple est donné, entendez-le ! Voici, ceux que vous implorez, c’est Allah, ne créeraient pas une mouche, même s’ils s’unissaient tous pour cela.</w:t>
      </w:r>
    </w:p>
    <w:p w14:paraId="4A2105A4"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Ils ne peuvent même pas reprendre ce qu’une mouche leur enlève. Débiles, le solliciteur et le sollicité !</w:t>
      </w:r>
    </w:p>
    <w:p w14:paraId="6FE235F3"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74. Ils n’ont pas apprécié Allah à sa vraie valeur, voici, Allah, le Puissant, l’Intransigeant.</w:t>
      </w:r>
    </w:p>
    <w:p w14:paraId="543C8F28"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75. Allah choisit ses Messagers parmi les Envoyés et les hommes. Voici, Allah, entendeur, voyant.</w:t>
      </w:r>
    </w:p>
    <w:p w14:paraId="324CD051"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76. Il sait ce qui est entre leurs mains ou derrière eux : toute réalité revient à Allah.</w:t>
      </w:r>
    </w:p>
    <w:p w14:paraId="47E084A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 xml:space="preserve">77. Ohé, ceux qui adhèrent, inclinez-vous, prosternez-vous, servez votre Rabb, faites le bien, Peut-être triompherez-vous ! </w:t>
      </w:r>
      <w:r w:rsidRPr="00EC1FBB">
        <w:rPr>
          <w:rFonts w:asciiTheme="majorBidi" w:eastAsia="Times New Roman" w:hAnsiTheme="majorBidi" w:cstheme="majorBidi"/>
          <w:b/>
          <w:bCs/>
        </w:rPr>
        <w:t>(Prosternation)</w:t>
      </w:r>
    </w:p>
    <w:p w14:paraId="0B4DAA40"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t>78. Luttez pour Allah dans la vérité de sa lutte. Il vous a choisis, et n’a mis contre vous aucune entrave de créance, dans la doctrine de votre père Ibrâhim. Lui, jadis, vous a appelés les Pacifiés, al-muslimûn, et cela pour que l’Envoyé soit votre témoin et que vous soyez des témoins pour les hommes. Élevez la prière, donnez la dîme, attachez-vous à Allah,</w:t>
      </w:r>
    </w:p>
    <w:p w14:paraId="3D8919D7" w14:textId="77777777" w:rsidR="00F324A5" w:rsidRPr="00EC1FBB" w:rsidRDefault="00F324A5" w:rsidP="00F324A5">
      <w:pPr>
        <w:contextualSpacing/>
        <w:jc w:val="both"/>
        <w:rPr>
          <w:rFonts w:asciiTheme="majorBidi" w:eastAsia="Times New Roman" w:hAnsiTheme="majorBidi" w:cstheme="majorBidi"/>
          <w:b/>
          <w:bCs/>
        </w:rPr>
      </w:pPr>
      <w:r w:rsidRPr="00EC1FBB">
        <w:rPr>
          <w:rFonts w:asciiTheme="majorBidi" w:eastAsia="Times New Roman" w:hAnsiTheme="majorBidi" w:cstheme="majorBidi"/>
        </w:rPr>
        <w:t xml:space="preserve">Lui, votre Maître, le plus suave des maîtres, le plus suave des secours. </w:t>
      </w:r>
      <w:r w:rsidRPr="00EC1FBB">
        <w:rPr>
          <w:rFonts w:asciiTheme="majorBidi" w:eastAsia="Times New Roman" w:hAnsiTheme="majorBidi" w:cstheme="majorBidi"/>
          <w:b/>
          <w:bCs/>
        </w:rPr>
        <w:t>(Fin du Djûz Dix-Septième)</w:t>
      </w:r>
    </w:p>
    <w:p w14:paraId="4FB1169C"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57BD3FC7" w14:textId="77777777" w:rsidR="00F324A5" w:rsidRPr="00EC1FBB" w:rsidRDefault="00F324A5" w:rsidP="00F324A5">
      <w:pPr>
        <w:contextualSpacing/>
        <w:jc w:val="both"/>
        <w:rPr>
          <w:rFonts w:asciiTheme="majorBidi" w:eastAsia="Times New Roman" w:hAnsiTheme="majorBidi" w:cstheme="majorBidi"/>
        </w:rPr>
      </w:pPr>
    </w:p>
    <w:p w14:paraId="12449EB8"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La traduction d’</w:t>
      </w:r>
      <w:r w:rsidRPr="00EC1FBB">
        <w:rPr>
          <w:rFonts w:asciiTheme="majorBidi" w:eastAsia="Times New Roman" w:hAnsiTheme="majorBidi" w:cstheme="majorBidi"/>
          <w:b/>
          <w:bCs/>
        </w:rPr>
        <w:t xml:space="preserve">Ahmed </w:t>
      </w:r>
      <w:r w:rsidRPr="00D42EB9">
        <w:rPr>
          <w:rFonts w:asciiTheme="majorBidi" w:eastAsia="Times New Roman" w:hAnsiTheme="majorBidi" w:cstheme="majorBidi"/>
          <w:b/>
          <w:bCs/>
        </w:rPr>
        <w:t>Guessous</w:t>
      </w:r>
      <w:r w:rsidRPr="00D42EB9">
        <w:rPr>
          <w:rStyle w:val="Appelnotedebasdep"/>
          <w:rFonts w:asciiTheme="majorBidi" w:hAnsiTheme="majorBidi" w:cstheme="majorBidi"/>
          <w:b/>
          <w:bCs/>
        </w:rPr>
        <w:footnoteReference w:id="727"/>
      </w:r>
      <w:r w:rsidRPr="00EC1FBB">
        <w:rPr>
          <w:rFonts w:asciiTheme="majorBidi" w:eastAsia="Times New Roman" w:hAnsiTheme="majorBidi" w:cstheme="majorBidi"/>
          <w:b/>
          <w:bCs/>
        </w:rPr>
        <w:t xml:space="preserve"> (1999)</w:t>
      </w:r>
    </w:p>
    <w:p w14:paraId="6D89C21F" w14:textId="77777777" w:rsidR="00F324A5" w:rsidRPr="00EC1FBB" w:rsidRDefault="00F324A5" w:rsidP="00F324A5">
      <w:pPr>
        <w:ind w:left="720"/>
        <w:contextualSpacing/>
        <w:jc w:val="center"/>
        <w:rPr>
          <w:rFonts w:asciiTheme="majorBidi" w:eastAsia="Times New Roman" w:hAnsiTheme="majorBidi" w:cstheme="majorBidi"/>
          <w:i/>
          <w:iCs/>
        </w:rPr>
      </w:pPr>
      <w:r w:rsidRPr="00EC1FBB">
        <w:rPr>
          <w:rFonts w:asciiTheme="majorBidi" w:eastAsia="Times New Roman" w:hAnsiTheme="majorBidi" w:cstheme="majorBidi"/>
          <w:i/>
          <w:iCs/>
        </w:rPr>
        <w:t>(Traduction rimée)</w:t>
      </w:r>
    </w:p>
    <w:p w14:paraId="58E911D3"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LE PÈLERINAGE</w:t>
      </w:r>
    </w:p>
    <w:p w14:paraId="005DC185" w14:textId="77777777" w:rsidR="00F324A5" w:rsidRPr="00EC1FBB" w:rsidRDefault="00F324A5" w:rsidP="00F324A5">
      <w:pPr>
        <w:pStyle w:val="Titre2"/>
        <w:spacing w:line="240" w:lineRule="auto"/>
        <w:contextualSpacing/>
        <w:rPr>
          <w:rFonts w:asciiTheme="majorBidi" w:hAnsiTheme="majorBidi" w:cstheme="majorBidi"/>
          <w:sz w:val="22"/>
          <w:szCs w:val="22"/>
        </w:rPr>
      </w:pPr>
      <w:r w:rsidRPr="00EC1FBB">
        <w:rPr>
          <w:rFonts w:asciiTheme="majorBidi" w:hAnsiTheme="majorBidi" w:cstheme="majorBidi"/>
          <w:sz w:val="22"/>
          <w:szCs w:val="22"/>
        </w:rPr>
        <w:t>Sourate 22</w:t>
      </w:r>
    </w:p>
    <w:p w14:paraId="27D5B414" w14:textId="77777777" w:rsidR="00F324A5" w:rsidRPr="00EC1FBB" w:rsidRDefault="00F324A5" w:rsidP="00876BB0">
      <w:pPr>
        <w:numPr>
          <w:ilvl w:val="0"/>
          <w:numId w:val="138"/>
        </w:numPr>
        <w:contextualSpacing/>
        <w:jc w:val="both"/>
        <w:rPr>
          <w:rFonts w:asciiTheme="majorBidi" w:hAnsiTheme="majorBidi" w:cstheme="majorBidi"/>
        </w:rPr>
      </w:pPr>
      <w:r w:rsidRPr="00EC1FBB">
        <w:rPr>
          <w:rFonts w:asciiTheme="majorBidi" w:hAnsiTheme="majorBidi" w:cstheme="majorBidi"/>
        </w:rPr>
        <w:t xml:space="preserve">Au nom </w:t>
      </w:r>
      <w:r w:rsidRPr="00EC1FBB">
        <w:rPr>
          <w:rFonts w:asciiTheme="majorBidi" w:hAnsiTheme="majorBidi" w:cstheme="majorBidi"/>
          <w:b/>
        </w:rPr>
        <w:t>d’ALLAH</w:t>
      </w:r>
      <w:r w:rsidRPr="00EC1FBB">
        <w:rPr>
          <w:rFonts w:asciiTheme="majorBidi" w:hAnsiTheme="majorBidi" w:cstheme="majorBidi"/>
        </w:rPr>
        <w:t>, le bienfaiteur et miséricordieux</w:t>
      </w:r>
    </w:p>
    <w:p w14:paraId="4C6A35EA"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Hommes ! Soyez envers votre </w:t>
      </w:r>
      <w:r w:rsidRPr="00EC1FBB">
        <w:rPr>
          <w:rFonts w:asciiTheme="majorBidi" w:hAnsiTheme="majorBidi" w:cstheme="majorBidi"/>
          <w:b/>
        </w:rPr>
        <w:t>Seigneur</w:t>
      </w:r>
      <w:r w:rsidRPr="00EC1FBB">
        <w:rPr>
          <w:rFonts w:asciiTheme="majorBidi" w:hAnsiTheme="majorBidi" w:cstheme="majorBidi"/>
        </w:rPr>
        <w:t xml:space="preserve"> empli de piété</w:t>
      </w:r>
    </w:p>
    <w:p w14:paraId="21A3214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le séisme de l’heure sera redoutable en vérité. </w:t>
      </w:r>
    </w:p>
    <w:p w14:paraId="0A40A7BE"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Le jour où vous verrez la nourrice délaisser l’enfant allaité</w:t>
      </w:r>
    </w:p>
    <w:p w14:paraId="6D6FDCA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Et chaque femelle fécondée mettre bas et avorter</w:t>
      </w:r>
    </w:p>
    <w:p w14:paraId="7771723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Et tu verras les hommes saouls alors qu’ils ne sont pas enivrés</w:t>
      </w:r>
    </w:p>
    <w:p w14:paraId="5638CAE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Ce sera le châtiment divin dans toute sa sévérité. </w:t>
      </w:r>
    </w:p>
    <w:p w14:paraId="5BCCEF09"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Il est des hommes dénués de science qui sur </w:t>
      </w:r>
      <w:r w:rsidRPr="00EC1FBB">
        <w:rPr>
          <w:rFonts w:asciiTheme="majorBidi" w:hAnsiTheme="majorBidi" w:cstheme="majorBidi"/>
          <w:b/>
        </w:rPr>
        <w:t>DIEU</w:t>
      </w:r>
      <w:r w:rsidRPr="00EC1FBB">
        <w:rPr>
          <w:rFonts w:asciiTheme="majorBidi" w:hAnsiTheme="majorBidi" w:cstheme="majorBidi"/>
        </w:rPr>
        <w:t xml:space="preserve"> ne font qu’ergoter</w:t>
      </w:r>
    </w:p>
    <w:p w14:paraId="5FFB146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suivent aveuglément le démon révolté. </w:t>
      </w:r>
    </w:p>
    <w:p w14:paraId="3E4B3925"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Il</w:t>
      </w:r>
      <w:r w:rsidRPr="00EC1FBB">
        <w:rPr>
          <w:rFonts w:asciiTheme="majorBidi" w:hAnsiTheme="majorBidi" w:cstheme="majorBidi"/>
        </w:rPr>
        <w:t xml:space="preserve"> a été décrété qu’il égarerait quiconque l’aurait comme allié</w:t>
      </w:r>
    </w:p>
    <w:p w14:paraId="66DC05F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Et qu’</w:t>
      </w:r>
      <w:r w:rsidRPr="00EC1FBB">
        <w:rPr>
          <w:rFonts w:asciiTheme="majorBidi" w:hAnsiTheme="majorBidi" w:cstheme="majorBidi"/>
          <w:b/>
        </w:rPr>
        <w:t>Il</w:t>
      </w:r>
      <w:r w:rsidRPr="00EC1FBB">
        <w:rPr>
          <w:rFonts w:asciiTheme="majorBidi" w:hAnsiTheme="majorBidi" w:cstheme="majorBidi"/>
        </w:rPr>
        <w:t xml:space="preserve"> le conduirait au supplice du brasier. </w:t>
      </w:r>
    </w:p>
    <w:p w14:paraId="21DE10E1"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Hommes ! Si de la Résurrection vous veniez à douter, </w:t>
      </w:r>
    </w:p>
    <w:p w14:paraId="5F3A3F0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Considérez que </w:t>
      </w:r>
      <w:r w:rsidRPr="00EC1FBB">
        <w:rPr>
          <w:rFonts w:asciiTheme="majorBidi" w:hAnsiTheme="majorBidi" w:cstheme="majorBidi"/>
          <w:b/>
        </w:rPr>
        <w:t>Nous</w:t>
      </w:r>
      <w:r w:rsidRPr="00EC1FBB">
        <w:rPr>
          <w:rFonts w:asciiTheme="majorBidi" w:hAnsiTheme="majorBidi" w:cstheme="majorBidi"/>
        </w:rPr>
        <w:t xml:space="preserve"> vous avons, à partir de poussière, créés </w:t>
      </w:r>
    </w:p>
    <w:p w14:paraId="5891180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Puis de sperme qui en globules de sang s’est transformé</w:t>
      </w:r>
    </w:p>
    <w:p w14:paraId="5154BE7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Puis d’un morceau de chair tantôt informe et tantôt formé</w:t>
      </w:r>
    </w:p>
    <w:p w14:paraId="3B1C560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Ceci pour vous expliciter en toute clarté</w:t>
      </w:r>
    </w:p>
    <w:p w14:paraId="491CAF6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Puis </w:t>
      </w:r>
      <w:r w:rsidRPr="00EC1FBB">
        <w:rPr>
          <w:rFonts w:asciiTheme="majorBidi" w:hAnsiTheme="majorBidi" w:cstheme="majorBidi"/>
          <w:b/>
        </w:rPr>
        <w:t xml:space="preserve">Nous </w:t>
      </w:r>
      <w:r w:rsidRPr="00EC1FBB">
        <w:rPr>
          <w:rFonts w:asciiTheme="majorBidi" w:hAnsiTheme="majorBidi" w:cstheme="majorBidi"/>
        </w:rPr>
        <w:t xml:space="preserve">déposons dans les matrices ce qui </w:t>
      </w:r>
      <w:r w:rsidRPr="00EC1FBB">
        <w:rPr>
          <w:rFonts w:asciiTheme="majorBidi" w:hAnsiTheme="majorBidi" w:cstheme="majorBidi"/>
          <w:b/>
        </w:rPr>
        <w:t xml:space="preserve">Nous </w:t>
      </w:r>
      <w:r w:rsidRPr="00EC1FBB">
        <w:rPr>
          <w:rFonts w:asciiTheme="majorBidi" w:hAnsiTheme="majorBidi" w:cstheme="majorBidi"/>
        </w:rPr>
        <w:t xml:space="preserve">plaît </w:t>
      </w:r>
    </w:p>
    <w:p w14:paraId="6C827F2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Jusqu’à un terme marqué pour en faire sortir des bébés</w:t>
      </w:r>
    </w:p>
    <w:p w14:paraId="6554C87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Vous atteignez ensuite votre puberté</w:t>
      </w:r>
    </w:p>
    <w:p w14:paraId="009C7500"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Parmi vous, certains sont vers </w:t>
      </w:r>
      <w:r w:rsidRPr="00EC1FBB">
        <w:rPr>
          <w:rFonts w:asciiTheme="majorBidi" w:hAnsiTheme="majorBidi" w:cstheme="majorBidi"/>
          <w:b/>
        </w:rPr>
        <w:t>DIEU</w:t>
      </w:r>
      <w:r w:rsidRPr="00EC1FBB">
        <w:rPr>
          <w:rFonts w:asciiTheme="majorBidi" w:hAnsiTheme="majorBidi" w:cstheme="majorBidi"/>
        </w:rPr>
        <w:t xml:space="preserve"> rappelés </w:t>
      </w:r>
    </w:p>
    <w:p w14:paraId="0D4131B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D’autres parviennent à l’âge de la sénilité</w:t>
      </w:r>
    </w:p>
    <w:p w14:paraId="191CA2C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Au point d’oublier tout ce qu’ils savaient </w:t>
      </w:r>
    </w:p>
    <w:p w14:paraId="7A9D903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Tu as vu la terre parfois desséchée</w:t>
      </w:r>
    </w:p>
    <w:p w14:paraId="09B236A2"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Or, dès qu’elle est par l’eau céleste arrosée</w:t>
      </w:r>
    </w:p>
    <w:p w14:paraId="14E699F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Elle est vivifiée, se gonfle et fait germer</w:t>
      </w:r>
    </w:p>
    <w:p w14:paraId="6DADDD5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Toutes espèces de végétaux luxuriants et couplés. </w:t>
      </w:r>
    </w:p>
    <w:p w14:paraId="4211446C"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C’est qu’</w:t>
      </w:r>
      <w:r w:rsidRPr="00EC1FBB">
        <w:rPr>
          <w:rFonts w:asciiTheme="majorBidi" w:hAnsiTheme="majorBidi" w:cstheme="majorBidi"/>
          <w:b/>
        </w:rPr>
        <w:t xml:space="preserve">ALLAH est </w:t>
      </w:r>
      <w:r w:rsidRPr="00EC1FBB">
        <w:rPr>
          <w:rFonts w:asciiTheme="majorBidi" w:hAnsiTheme="majorBidi" w:cstheme="majorBidi"/>
        </w:rPr>
        <w:t>en effet la vérité</w:t>
      </w:r>
    </w:p>
    <w:p w14:paraId="2B7AB9C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Il ranime les morts et </w:t>
      </w:r>
      <w:r w:rsidRPr="00EC1FBB">
        <w:rPr>
          <w:rFonts w:asciiTheme="majorBidi" w:hAnsiTheme="majorBidi" w:cstheme="majorBidi"/>
          <w:b/>
        </w:rPr>
        <w:t>IL</w:t>
      </w:r>
      <w:r w:rsidRPr="00EC1FBB">
        <w:rPr>
          <w:rFonts w:asciiTheme="majorBidi" w:hAnsiTheme="majorBidi" w:cstheme="majorBidi"/>
        </w:rPr>
        <w:t xml:space="preserve"> a toute possibilité. </w:t>
      </w:r>
    </w:p>
    <w:p w14:paraId="1E35D944"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L’heure doit venir – Nul ne peut en douter </w:t>
      </w:r>
    </w:p>
    <w:p w14:paraId="12DCD49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ceux qui sont les sépulcres seront rappelés. </w:t>
      </w:r>
    </w:p>
    <w:p w14:paraId="3CD4FC0D" w14:textId="77777777" w:rsidR="00F324A5" w:rsidRPr="00EC1FBB" w:rsidRDefault="00F324A5" w:rsidP="00876BB0">
      <w:pPr>
        <w:numPr>
          <w:ilvl w:val="0"/>
          <w:numId w:val="139"/>
        </w:numPr>
        <w:contextualSpacing/>
        <w:jc w:val="both"/>
        <w:rPr>
          <w:rFonts w:asciiTheme="majorBidi" w:hAnsiTheme="majorBidi" w:cstheme="majorBidi"/>
          <w:b/>
        </w:rPr>
      </w:pPr>
      <w:r w:rsidRPr="00EC1FBB">
        <w:rPr>
          <w:rFonts w:asciiTheme="majorBidi" w:hAnsiTheme="majorBidi" w:cstheme="majorBidi"/>
        </w:rPr>
        <w:t xml:space="preserve">Parmi les hommes, il en est qui discutent sur </w:t>
      </w:r>
      <w:r w:rsidRPr="00EC1FBB">
        <w:rPr>
          <w:rFonts w:asciiTheme="majorBidi" w:hAnsiTheme="majorBidi" w:cstheme="majorBidi"/>
          <w:b/>
        </w:rPr>
        <w:t>DIEU</w:t>
      </w:r>
    </w:p>
    <w:p w14:paraId="51D64BF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Sans connaissance, sans direction, sans Livre lumineux. </w:t>
      </w:r>
    </w:p>
    <w:p w14:paraId="252D73B7"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lastRenderedPageBreak/>
        <w:t>Par cautèle, pour égarer du divin sentier</w:t>
      </w:r>
    </w:p>
    <w:p w14:paraId="5BBCE84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 ceux-là et en ce monde l’opprobre leur est réservée. </w:t>
      </w:r>
    </w:p>
    <w:p w14:paraId="7928D45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Le jour de la Résurrection, ils subiront le supplice du brasier. </w:t>
      </w:r>
    </w:p>
    <w:p w14:paraId="2E673645"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Cela, au prix de ce qu’ont accompli leurs mains, </w:t>
      </w:r>
    </w:p>
    <w:p w14:paraId="4899CA1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 xml:space="preserve">ALLAH </w:t>
      </w:r>
      <w:r w:rsidRPr="00EC1FBB">
        <w:rPr>
          <w:rFonts w:asciiTheme="majorBidi" w:hAnsiTheme="majorBidi" w:cstheme="majorBidi"/>
        </w:rPr>
        <w:t xml:space="preserve">à l’égard de ses serviteurs n’est point injuste à dessein. </w:t>
      </w:r>
    </w:p>
    <w:p w14:paraId="4EEB743B" w14:textId="77777777" w:rsidR="00F324A5" w:rsidRPr="00EC1FBB" w:rsidRDefault="00F324A5" w:rsidP="00876BB0">
      <w:pPr>
        <w:numPr>
          <w:ilvl w:val="0"/>
          <w:numId w:val="139"/>
        </w:numPr>
        <w:contextualSpacing/>
        <w:jc w:val="both"/>
        <w:rPr>
          <w:rFonts w:asciiTheme="majorBidi" w:hAnsiTheme="majorBidi" w:cstheme="majorBidi"/>
          <w:b/>
        </w:rPr>
      </w:pPr>
      <w:r w:rsidRPr="00EC1FBB">
        <w:rPr>
          <w:rFonts w:asciiTheme="majorBidi" w:hAnsiTheme="majorBidi" w:cstheme="majorBidi"/>
        </w:rPr>
        <w:t xml:space="preserve">Tel parmi les hommes, adore </w:t>
      </w:r>
      <w:r w:rsidRPr="00EC1FBB">
        <w:rPr>
          <w:rFonts w:asciiTheme="majorBidi" w:hAnsiTheme="majorBidi" w:cstheme="majorBidi"/>
          <w:b/>
        </w:rPr>
        <w:t xml:space="preserve">DIEU </w:t>
      </w:r>
      <w:r w:rsidRPr="00EC1FBB">
        <w:rPr>
          <w:rFonts w:asciiTheme="majorBidi" w:hAnsiTheme="majorBidi" w:cstheme="majorBidi"/>
        </w:rPr>
        <w:t xml:space="preserve">sur un critère vacillant. </w:t>
      </w:r>
    </w:p>
    <w:p w14:paraId="39D6D00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S’il lui arrive quelq</w:t>
      </w:r>
      <w:r>
        <w:rPr>
          <w:rFonts w:asciiTheme="majorBidi" w:hAnsiTheme="majorBidi" w:cstheme="majorBidi"/>
        </w:rPr>
        <w:t>ue bonheur, cela est rassurant.</w:t>
      </w:r>
    </w:p>
    <w:p w14:paraId="00F7792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Mais si la moindre épreuve le surprend le voilà virevoltant. </w:t>
      </w:r>
    </w:p>
    <w:p w14:paraId="30EFBA7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Il perd la vie ici-bas et dans l’au-delà, c’est un désastre évident. </w:t>
      </w:r>
    </w:p>
    <w:p w14:paraId="77D227C6"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Il prie, au lieu d’</w:t>
      </w:r>
      <w:r w:rsidRPr="00EC1FBB">
        <w:rPr>
          <w:rFonts w:asciiTheme="majorBidi" w:hAnsiTheme="majorBidi" w:cstheme="majorBidi"/>
          <w:b/>
        </w:rPr>
        <w:t xml:space="preserve">ALLAH, </w:t>
      </w:r>
      <w:r w:rsidRPr="00EC1FBB">
        <w:rPr>
          <w:rFonts w:asciiTheme="majorBidi" w:hAnsiTheme="majorBidi" w:cstheme="majorBidi"/>
        </w:rPr>
        <w:t xml:space="preserve">ce qui ne saurait lui nuire ou être de quelque utilité. </w:t>
      </w:r>
    </w:p>
    <w:p w14:paraId="544CBE8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Que cet égarement est éloigné !</w:t>
      </w:r>
    </w:p>
    <w:p w14:paraId="1F35BF9F"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Il prie celui dont la nocivité est plus proche de l’utilité</w:t>
      </w:r>
    </w:p>
    <w:p w14:paraId="6C04FF4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Quel mauvais maître certes et quel détestable associé. </w:t>
      </w:r>
    </w:p>
    <w:p w14:paraId="16C2B37F" w14:textId="77777777" w:rsidR="00F324A5" w:rsidRPr="00EC1FBB" w:rsidRDefault="00F324A5" w:rsidP="00876BB0">
      <w:pPr>
        <w:numPr>
          <w:ilvl w:val="0"/>
          <w:numId w:val="139"/>
        </w:numPr>
        <w:contextualSpacing/>
        <w:jc w:val="both"/>
        <w:rPr>
          <w:rFonts w:asciiTheme="majorBidi" w:hAnsiTheme="majorBidi" w:cstheme="majorBidi"/>
          <w:b/>
        </w:rPr>
      </w:pPr>
      <w:r w:rsidRPr="00EC1FBB">
        <w:rPr>
          <w:rFonts w:asciiTheme="majorBidi" w:hAnsiTheme="majorBidi" w:cstheme="majorBidi"/>
          <w:b/>
        </w:rPr>
        <w:t xml:space="preserve">DIEU </w:t>
      </w:r>
      <w:r w:rsidRPr="00EC1FBB">
        <w:rPr>
          <w:rFonts w:asciiTheme="majorBidi" w:hAnsiTheme="majorBidi" w:cstheme="majorBidi"/>
        </w:rPr>
        <w:t xml:space="preserve">introduira les croyants qui auront pratiqué des bienfaits, </w:t>
      </w:r>
    </w:p>
    <w:p w14:paraId="466CBB1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Dans des jardins par des eaux vives arrosés, </w:t>
      </w:r>
    </w:p>
    <w:p w14:paraId="54535FA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IL</w:t>
      </w:r>
      <w:r w:rsidRPr="00EC1FBB">
        <w:rPr>
          <w:rFonts w:asciiTheme="majorBidi" w:hAnsiTheme="majorBidi" w:cstheme="majorBidi"/>
        </w:rPr>
        <w:t xml:space="preserve"> fait ce qu’</w:t>
      </w:r>
      <w:r w:rsidRPr="00EC1FBB">
        <w:rPr>
          <w:rFonts w:asciiTheme="majorBidi" w:hAnsiTheme="majorBidi" w:cstheme="majorBidi"/>
          <w:b/>
        </w:rPr>
        <w:t>Il</w:t>
      </w:r>
      <w:r w:rsidRPr="00EC1FBB">
        <w:rPr>
          <w:rFonts w:asciiTheme="majorBidi" w:hAnsiTheme="majorBidi" w:cstheme="majorBidi"/>
        </w:rPr>
        <w:t xml:space="preserve"> lui plaît. </w:t>
      </w:r>
    </w:p>
    <w:p w14:paraId="1D88E614"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Que celui qui pense ne point être par </w:t>
      </w:r>
      <w:r w:rsidRPr="00EC1FBB">
        <w:rPr>
          <w:rFonts w:asciiTheme="majorBidi" w:hAnsiTheme="majorBidi" w:cstheme="majorBidi"/>
          <w:b/>
        </w:rPr>
        <w:t>ALLAH</w:t>
      </w:r>
      <w:r w:rsidRPr="00EC1FBB">
        <w:rPr>
          <w:rFonts w:asciiTheme="majorBidi" w:hAnsiTheme="majorBidi" w:cstheme="majorBidi"/>
        </w:rPr>
        <w:t xml:space="preserve"> assisté, </w:t>
      </w:r>
    </w:p>
    <w:p w14:paraId="27EF5C6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Dans la vie immédiate ou dans l’Éternité, </w:t>
      </w:r>
    </w:p>
    <w:p w14:paraId="24B83AF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Tende une corde vers le ciel puis qu’elle soit coupée</w:t>
      </w:r>
    </w:p>
    <w:p w14:paraId="4ABB49B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Il verra si ces artifices dissiperont ce qui l’a irrité. </w:t>
      </w:r>
    </w:p>
    <w:p w14:paraId="0E078A23"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C’est ainsi que </w:t>
      </w:r>
      <w:r w:rsidRPr="00EC1FBB">
        <w:rPr>
          <w:rFonts w:asciiTheme="majorBidi" w:hAnsiTheme="majorBidi" w:cstheme="majorBidi"/>
          <w:b/>
        </w:rPr>
        <w:t>Nous</w:t>
      </w:r>
      <w:r w:rsidRPr="00EC1FBB">
        <w:rPr>
          <w:rFonts w:asciiTheme="majorBidi" w:hAnsiTheme="majorBidi" w:cstheme="majorBidi"/>
        </w:rPr>
        <w:t xml:space="preserve"> t’avons révélé le </w:t>
      </w:r>
      <w:r w:rsidRPr="00EC1FBB">
        <w:rPr>
          <w:rFonts w:asciiTheme="majorBidi" w:hAnsiTheme="majorBidi" w:cstheme="majorBidi"/>
          <w:b/>
        </w:rPr>
        <w:t xml:space="preserve">Coran </w:t>
      </w:r>
      <w:r w:rsidRPr="00EC1FBB">
        <w:rPr>
          <w:rFonts w:asciiTheme="majorBidi" w:hAnsiTheme="majorBidi" w:cstheme="majorBidi"/>
        </w:rPr>
        <w:t xml:space="preserve">en signes évidents. </w:t>
      </w:r>
    </w:p>
    <w:p w14:paraId="524B0AF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DIEU</w:t>
      </w:r>
      <w:r w:rsidRPr="00EC1FBB">
        <w:rPr>
          <w:rFonts w:asciiTheme="majorBidi" w:hAnsiTheme="majorBidi" w:cstheme="majorBidi"/>
        </w:rPr>
        <w:t xml:space="preserve"> ne dirige que ceux qui reçoivent son agrément. </w:t>
      </w:r>
    </w:p>
    <w:p w14:paraId="23F0DD62"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DIEU</w:t>
      </w:r>
      <w:r w:rsidRPr="00EC1FBB">
        <w:rPr>
          <w:rFonts w:asciiTheme="majorBidi" w:hAnsiTheme="majorBidi" w:cstheme="majorBidi"/>
        </w:rPr>
        <w:t xml:space="preserve">, au jour de la Résurrection sera l’arbitre serein, </w:t>
      </w:r>
    </w:p>
    <w:p w14:paraId="6A69B3C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Entre croyants, juifs, sabéens, nazaréens et zoroastriens, </w:t>
      </w:r>
    </w:p>
    <w:p w14:paraId="74235F9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Tout comme ceux qui lui auront trouvé des associés en vain. </w:t>
      </w:r>
    </w:p>
    <w:p w14:paraId="0C180752"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DIEU</w:t>
      </w:r>
      <w:r w:rsidRPr="00EC1FBB">
        <w:rPr>
          <w:rFonts w:asciiTheme="majorBidi" w:hAnsiTheme="majorBidi" w:cstheme="majorBidi"/>
        </w:rPr>
        <w:t xml:space="preserve">, de toutes choses, est l’unique témoin. </w:t>
      </w:r>
    </w:p>
    <w:p w14:paraId="10DD7CE1"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Ne vois-tu point que, devant </w:t>
      </w:r>
      <w:r w:rsidRPr="00EC1FBB">
        <w:rPr>
          <w:rFonts w:asciiTheme="majorBidi" w:hAnsiTheme="majorBidi" w:cstheme="majorBidi"/>
          <w:b/>
        </w:rPr>
        <w:t>ALLAH</w:t>
      </w:r>
      <w:r w:rsidRPr="00EC1FBB">
        <w:rPr>
          <w:rFonts w:asciiTheme="majorBidi" w:hAnsiTheme="majorBidi" w:cstheme="majorBidi"/>
        </w:rPr>
        <w:t>, tous ne font que se prosterner</w:t>
      </w:r>
    </w:p>
    <w:p w14:paraId="1C0C7E0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Qu’ils soient sur terre ou dans la céleste immensité ? </w:t>
      </w:r>
    </w:p>
    <w:p w14:paraId="264BDEE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Le soleil, la lune, les étoiles, les montagnes, la flore, la faune et l’humanité. </w:t>
      </w:r>
    </w:p>
    <w:p w14:paraId="47B2661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Toutefois, pour une grande partie des hommes, le supplice est déjà décrété. </w:t>
      </w:r>
    </w:p>
    <w:p w14:paraId="22040A21"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Quiconque méprise </w:t>
      </w:r>
      <w:r w:rsidRPr="00EC1FBB">
        <w:rPr>
          <w:rFonts w:asciiTheme="majorBidi" w:hAnsiTheme="majorBidi" w:cstheme="majorBidi"/>
          <w:b/>
        </w:rPr>
        <w:t>ALLAH</w:t>
      </w:r>
      <w:r w:rsidRPr="00EC1FBB">
        <w:rPr>
          <w:rFonts w:asciiTheme="majorBidi" w:hAnsiTheme="majorBidi" w:cstheme="majorBidi"/>
        </w:rPr>
        <w:t xml:space="preserve"> n’aura nul bienfait. </w:t>
      </w:r>
    </w:p>
    <w:p w14:paraId="1005522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ne fait que ce qu’</w:t>
      </w:r>
      <w:r w:rsidRPr="00EC1FBB">
        <w:rPr>
          <w:rFonts w:asciiTheme="majorBidi" w:hAnsiTheme="majorBidi" w:cstheme="majorBidi"/>
          <w:b/>
        </w:rPr>
        <w:t xml:space="preserve">Il </w:t>
      </w:r>
      <w:r w:rsidRPr="00EC1FBB">
        <w:rPr>
          <w:rFonts w:asciiTheme="majorBidi" w:hAnsiTheme="majorBidi" w:cstheme="majorBidi"/>
        </w:rPr>
        <w:t xml:space="preserve">lui plaît. </w:t>
      </w:r>
    </w:p>
    <w:p w14:paraId="372E7F69"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Voilà deux groupes adverses qui pour leur </w:t>
      </w:r>
      <w:r w:rsidRPr="00EC1FBB">
        <w:rPr>
          <w:rFonts w:asciiTheme="majorBidi" w:hAnsiTheme="majorBidi" w:cstheme="majorBidi"/>
          <w:b/>
        </w:rPr>
        <w:t xml:space="preserve">Seigneur </w:t>
      </w:r>
      <w:r w:rsidRPr="00EC1FBB">
        <w:rPr>
          <w:rFonts w:asciiTheme="majorBidi" w:hAnsiTheme="majorBidi" w:cstheme="majorBidi"/>
        </w:rPr>
        <w:t xml:space="preserve">ne font que se disputer, </w:t>
      </w:r>
    </w:p>
    <w:p w14:paraId="0DDAAAA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Les infidèles auront des vêtements dans le feu taillés, </w:t>
      </w:r>
    </w:p>
    <w:p w14:paraId="18D265E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de l’eau bouillante sur leurs têtes sera versée. </w:t>
      </w:r>
    </w:p>
    <w:p w14:paraId="5A9CD59E"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Leurs entrailles et leurs peaux seront consumées. </w:t>
      </w:r>
    </w:p>
    <w:p w14:paraId="4DBBE1CB"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Et des fouets de fer leur seront destinés. </w:t>
      </w:r>
    </w:p>
    <w:p w14:paraId="3BD208F4"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Toutes les fois que de douleur, ils voudront s’en échapper</w:t>
      </w:r>
    </w:p>
    <w:p w14:paraId="03AE5B2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Ils y seront ramenés : « Goûtez le supplice du feu et subissez ! »</w:t>
      </w:r>
    </w:p>
    <w:p w14:paraId="52EC7B5A"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fera entrer les croyants pratiquant les bienfaits, </w:t>
      </w:r>
    </w:p>
    <w:p w14:paraId="554519C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Dans des jardins par des eaux vives arrosés. </w:t>
      </w:r>
    </w:p>
    <w:p w14:paraId="56FA478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De bracelets d’or, de perles et de vêtements soyeux ils seront parés. </w:t>
      </w:r>
    </w:p>
    <w:p w14:paraId="5A96B8EB"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C’est que vers la belle parabole ils ont été dirigés, </w:t>
      </w:r>
    </w:p>
    <w:p w14:paraId="6340F60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bien guidés dans le glorieux sentier. </w:t>
      </w:r>
    </w:p>
    <w:p w14:paraId="4E2B182C"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Les infidèles sont ceux qui éloignent les autres du divin sentier</w:t>
      </w:r>
    </w:p>
    <w:p w14:paraId="664B419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Comme de l’oratoire sacré que </w:t>
      </w:r>
      <w:r w:rsidRPr="00EC1FBB">
        <w:rPr>
          <w:rFonts w:asciiTheme="majorBidi" w:hAnsiTheme="majorBidi" w:cstheme="majorBidi"/>
          <w:b/>
        </w:rPr>
        <w:t xml:space="preserve">Nous </w:t>
      </w:r>
      <w:r w:rsidRPr="00EC1FBB">
        <w:rPr>
          <w:rFonts w:asciiTheme="majorBidi" w:hAnsiTheme="majorBidi" w:cstheme="majorBidi"/>
        </w:rPr>
        <w:t xml:space="preserve">avons édifié pour l’humanité. </w:t>
      </w:r>
    </w:p>
    <w:p w14:paraId="701F8C5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lastRenderedPageBreak/>
        <w:t xml:space="preserve">Ceux qui y résident comme ceux qui transitent y sont à égalité. </w:t>
      </w:r>
    </w:p>
    <w:p w14:paraId="055749E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ceux qui, par méchanceté, voudraient le profaner, </w:t>
      </w:r>
    </w:p>
    <w:p w14:paraId="00BA352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Nous</w:t>
      </w:r>
      <w:r w:rsidRPr="00EC1FBB">
        <w:rPr>
          <w:rFonts w:asciiTheme="majorBidi" w:hAnsiTheme="majorBidi" w:cstheme="majorBidi"/>
        </w:rPr>
        <w:t xml:space="preserve"> les éprouverons par un châtiment sans pitié. </w:t>
      </w:r>
    </w:p>
    <w:p w14:paraId="0295C8AD"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Lorsque </w:t>
      </w:r>
      <w:r w:rsidRPr="00EC1FBB">
        <w:rPr>
          <w:rFonts w:asciiTheme="majorBidi" w:hAnsiTheme="majorBidi" w:cstheme="majorBidi"/>
          <w:b/>
        </w:rPr>
        <w:t xml:space="preserve">Nous </w:t>
      </w:r>
      <w:r w:rsidRPr="00EC1FBB">
        <w:rPr>
          <w:rFonts w:asciiTheme="majorBidi" w:hAnsiTheme="majorBidi" w:cstheme="majorBidi"/>
        </w:rPr>
        <w:t>indiquâmes à ABRAHAM le lieu de la Maison</w:t>
      </w:r>
    </w:p>
    <w:p w14:paraId="47404E7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Nous</w:t>
      </w:r>
      <w:r w:rsidRPr="00EC1FBB">
        <w:rPr>
          <w:rFonts w:asciiTheme="majorBidi" w:hAnsiTheme="majorBidi" w:cstheme="majorBidi"/>
        </w:rPr>
        <w:t xml:space="preserve"> lui avons dit : </w:t>
      </w:r>
    </w:p>
    <w:p w14:paraId="090F2AB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 Ne </w:t>
      </w:r>
      <w:r w:rsidRPr="00EC1FBB">
        <w:rPr>
          <w:rFonts w:asciiTheme="majorBidi" w:hAnsiTheme="majorBidi" w:cstheme="majorBidi"/>
          <w:b/>
        </w:rPr>
        <w:t>Nous</w:t>
      </w:r>
      <w:r w:rsidRPr="00EC1FBB">
        <w:rPr>
          <w:rFonts w:asciiTheme="majorBidi" w:hAnsiTheme="majorBidi" w:cstheme="majorBidi"/>
        </w:rPr>
        <w:t xml:space="preserve"> associe aucun autre </w:t>
      </w:r>
      <w:r w:rsidRPr="00EC1FBB">
        <w:rPr>
          <w:rFonts w:asciiTheme="majorBidi" w:hAnsiTheme="majorBidi" w:cstheme="majorBidi"/>
          <w:b/>
        </w:rPr>
        <w:t>DIEU</w:t>
      </w:r>
      <w:r w:rsidRPr="00EC1FBB">
        <w:rPr>
          <w:rFonts w:asciiTheme="majorBidi" w:hAnsiTheme="majorBidi" w:cstheme="majorBidi"/>
        </w:rPr>
        <w:t xml:space="preserve"> dans l’adoration »</w:t>
      </w:r>
    </w:p>
    <w:p w14:paraId="25E6AD4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Purifie </w:t>
      </w:r>
      <w:r w:rsidRPr="00EC1FBB">
        <w:rPr>
          <w:rFonts w:asciiTheme="majorBidi" w:hAnsiTheme="majorBidi" w:cstheme="majorBidi"/>
          <w:b/>
        </w:rPr>
        <w:t>Mon</w:t>
      </w:r>
      <w:r w:rsidRPr="00EC1FBB">
        <w:rPr>
          <w:rFonts w:asciiTheme="majorBidi" w:hAnsiTheme="majorBidi" w:cstheme="majorBidi"/>
        </w:rPr>
        <w:t xml:space="preserve"> temple pour ceux qui accomplissent la circumambulation, </w:t>
      </w:r>
    </w:p>
    <w:p w14:paraId="1D91A3B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qui s’y tiennent debout, prosternés ou en génuflexion. </w:t>
      </w:r>
    </w:p>
    <w:p w14:paraId="77420B5A"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Appelle les gens au pèlerinage, qu’ils y arrivent à pied ou montés, </w:t>
      </w:r>
    </w:p>
    <w:p w14:paraId="3BBA692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Venant des contrées fort éloignées. </w:t>
      </w:r>
    </w:p>
    <w:p w14:paraId="796158A1"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Pour attester des dons qui leur ont été octroyés, </w:t>
      </w:r>
    </w:p>
    <w:p w14:paraId="269219A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Et que le nom d’</w:t>
      </w:r>
      <w:r w:rsidRPr="00EC1FBB">
        <w:rPr>
          <w:rFonts w:asciiTheme="majorBidi" w:hAnsiTheme="majorBidi" w:cstheme="majorBidi"/>
          <w:b/>
        </w:rPr>
        <w:t>ALLAH</w:t>
      </w:r>
      <w:r w:rsidRPr="00EC1FBB">
        <w:rPr>
          <w:rFonts w:asciiTheme="majorBidi" w:hAnsiTheme="majorBidi" w:cstheme="majorBidi"/>
        </w:rPr>
        <w:t xml:space="preserve"> soit, à des jours connus, invoqué</w:t>
      </w:r>
    </w:p>
    <w:p w14:paraId="4DEF6E4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Sur la nourriture provenant des troupeaux accordés, </w:t>
      </w:r>
    </w:p>
    <w:p w14:paraId="7566FD6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Mangez de leur chair et nourrissez-en le miséreux atteint de pauvreté. </w:t>
      </w:r>
    </w:p>
    <w:p w14:paraId="0B1511B2"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Purifiez-vous, accomplissez les vœux souhaités, </w:t>
      </w:r>
    </w:p>
    <w:p w14:paraId="42549E1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faîtes autour de la maison antique la circumambulation demandée. </w:t>
      </w:r>
    </w:p>
    <w:p w14:paraId="43411286"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Pour quiconque respecte les choses divines sacrées</w:t>
      </w:r>
    </w:p>
    <w:p w14:paraId="32706D6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Ce qui ne peut être auprès du </w:t>
      </w:r>
      <w:r w:rsidRPr="00EC1FBB">
        <w:rPr>
          <w:rFonts w:asciiTheme="majorBidi" w:hAnsiTheme="majorBidi" w:cstheme="majorBidi"/>
          <w:b/>
        </w:rPr>
        <w:t>Seigneur</w:t>
      </w:r>
      <w:r w:rsidRPr="00EC1FBB">
        <w:rPr>
          <w:rFonts w:asciiTheme="majorBidi" w:hAnsiTheme="majorBidi" w:cstheme="majorBidi"/>
        </w:rPr>
        <w:t xml:space="preserve"> qu’un bienfait. </w:t>
      </w:r>
    </w:p>
    <w:p w14:paraId="1E22EB22"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La chair des animaux est licite pour vous alimenter</w:t>
      </w:r>
    </w:p>
    <w:p w14:paraId="3CA3267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 l’exception de ceux dont la liste vous a été communiquée. </w:t>
      </w:r>
    </w:p>
    <w:p w14:paraId="5A082030" w14:textId="77777777" w:rsidR="00F324A5" w:rsidRPr="00EC1FBB" w:rsidRDefault="00F324A5" w:rsidP="00F324A5">
      <w:pPr>
        <w:ind w:left="360"/>
        <w:contextualSpacing/>
        <w:jc w:val="both"/>
        <w:rPr>
          <w:rFonts w:asciiTheme="majorBidi" w:hAnsiTheme="majorBidi" w:cstheme="majorBidi"/>
        </w:rPr>
      </w:pPr>
      <w:r>
        <w:rPr>
          <w:rFonts w:asciiTheme="majorBidi" w:hAnsiTheme="majorBidi" w:cstheme="majorBidi"/>
        </w:rPr>
        <w:t>E</w:t>
      </w:r>
      <w:r w:rsidRPr="00EC1FBB">
        <w:rPr>
          <w:rFonts w:asciiTheme="majorBidi" w:hAnsiTheme="majorBidi" w:cstheme="majorBidi"/>
        </w:rPr>
        <w:t xml:space="preserve">viter la souillure des idoles, évitez la parole de fausseté. </w:t>
      </w:r>
    </w:p>
    <w:p w14:paraId="04C7B3AC"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En n’associant personne à </w:t>
      </w:r>
      <w:r w:rsidRPr="00EC1FBB">
        <w:rPr>
          <w:rFonts w:asciiTheme="majorBidi" w:hAnsiTheme="majorBidi" w:cstheme="majorBidi"/>
          <w:b/>
        </w:rPr>
        <w:t xml:space="preserve">DIEU </w:t>
      </w:r>
      <w:r w:rsidRPr="00EC1FBB">
        <w:rPr>
          <w:rFonts w:asciiTheme="majorBidi" w:hAnsiTheme="majorBidi" w:cstheme="majorBidi"/>
        </w:rPr>
        <w:t xml:space="preserve">et tout à </w:t>
      </w:r>
      <w:r w:rsidRPr="00EC1FBB">
        <w:rPr>
          <w:rFonts w:asciiTheme="majorBidi" w:hAnsiTheme="majorBidi" w:cstheme="majorBidi"/>
          <w:b/>
        </w:rPr>
        <w:t>LUI</w:t>
      </w:r>
      <w:r w:rsidRPr="00EC1FBB">
        <w:rPr>
          <w:rFonts w:asciiTheme="majorBidi" w:hAnsiTheme="majorBidi" w:cstheme="majorBidi"/>
        </w:rPr>
        <w:t xml:space="preserve"> voué. </w:t>
      </w:r>
    </w:p>
    <w:p w14:paraId="7C4485F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celui qui </w:t>
      </w:r>
      <w:r w:rsidRPr="00EC1FBB">
        <w:rPr>
          <w:rFonts w:asciiTheme="majorBidi" w:hAnsiTheme="majorBidi" w:cstheme="majorBidi"/>
          <w:b/>
        </w:rPr>
        <w:t>lui</w:t>
      </w:r>
      <w:r w:rsidRPr="00EC1FBB">
        <w:rPr>
          <w:rFonts w:asciiTheme="majorBidi" w:hAnsiTheme="majorBidi" w:cstheme="majorBidi"/>
        </w:rPr>
        <w:t xml:space="preserve"> trouve un associé</w:t>
      </w:r>
    </w:p>
    <w:p w14:paraId="6BD4C65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Est tel comme si du ciel il tombait </w:t>
      </w:r>
    </w:p>
    <w:p w14:paraId="5CCB22C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Et que par un oiseau il soit enlevé</w:t>
      </w:r>
    </w:p>
    <w:p w14:paraId="7801CDE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Ou que le vent emporte au loin pour le pulvériser. </w:t>
      </w:r>
    </w:p>
    <w:p w14:paraId="78463904"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Celui qui respecte les emblèmes divins sacrés, </w:t>
      </w:r>
    </w:p>
    <w:p w14:paraId="39063D9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Possède la cordiale piété. </w:t>
      </w:r>
    </w:p>
    <w:p w14:paraId="3F74F244"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Vous retirerez des animaux des profits jusqu’au délai marqué, </w:t>
      </w:r>
    </w:p>
    <w:p w14:paraId="047EE79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l’autel des sacrifices sera dans l’antique maisonnée. </w:t>
      </w:r>
    </w:p>
    <w:p w14:paraId="1387008B"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Nous</w:t>
      </w:r>
      <w:r w:rsidRPr="00EC1FBB">
        <w:rPr>
          <w:rFonts w:asciiTheme="majorBidi" w:hAnsiTheme="majorBidi" w:cstheme="majorBidi"/>
        </w:rPr>
        <w:t xml:space="preserve"> avons institué un rite pour chaque communauté, </w:t>
      </w:r>
    </w:p>
    <w:p w14:paraId="3D2C9DE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Afin que le nom d’</w:t>
      </w:r>
      <w:r w:rsidRPr="00EC1FBB">
        <w:rPr>
          <w:rFonts w:asciiTheme="majorBidi" w:hAnsiTheme="majorBidi" w:cstheme="majorBidi"/>
          <w:b/>
        </w:rPr>
        <w:t>ALLAH</w:t>
      </w:r>
      <w:r w:rsidRPr="00EC1FBB">
        <w:rPr>
          <w:rFonts w:asciiTheme="majorBidi" w:hAnsiTheme="majorBidi" w:cstheme="majorBidi"/>
        </w:rPr>
        <w:t xml:space="preserve"> soit invoqué, </w:t>
      </w:r>
    </w:p>
    <w:p w14:paraId="73B3673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Sur les nourritures animales qu’</w:t>
      </w:r>
      <w:r w:rsidRPr="00EC1FBB">
        <w:rPr>
          <w:rFonts w:asciiTheme="majorBidi" w:hAnsiTheme="majorBidi" w:cstheme="majorBidi"/>
          <w:b/>
        </w:rPr>
        <w:t>Il</w:t>
      </w:r>
      <w:r w:rsidRPr="00EC1FBB">
        <w:rPr>
          <w:rFonts w:asciiTheme="majorBidi" w:hAnsiTheme="majorBidi" w:cstheme="majorBidi"/>
        </w:rPr>
        <w:t xml:space="preserve"> leur a attribuées</w:t>
      </w:r>
    </w:p>
    <w:p w14:paraId="448C565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Votre </w:t>
      </w:r>
      <w:r w:rsidRPr="00EC1FBB">
        <w:rPr>
          <w:rFonts w:asciiTheme="majorBidi" w:hAnsiTheme="majorBidi" w:cstheme="majorBidi"/>
          <w:b/>
        </w:rPr>
        <w:t>Seigneur</w:t>
      </w:r>
      <w:r w:rsidRPr="00EC1FBB">
        <w:rPr>
          <w:rFonts w:asciiTheme="majorBidi" w:hAnsiTheme="majorBidi" w:cstheme="majorBidi"/>
        </w:rPr>
        <w:t xml:space="preserve"> est une unique divinité. </w:t>
      </w:r>
    </w:p>
    <w:p w14:paraId="56D9370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Soumettez-vous entièrement à </w:t>
      </w:r>
      <w:r w:rsidRPr="00EC1FBB">
        <w:rPr>
          <w:rFonts w:asciiTheme="majorBidi" w:hAnsiTheme="majorBidi" w:cstheme="majorBidi"/>
          <w:b/>
        </w:rPr>
        <w:t>LUI</w:t>
      </w:r>
      <w:r w:rsidRPr="00EC1FBB">
        <w:rPr>
          <w:rFonts w:asciiTheme="majorBidi" w:hAnsiTheme="majorBidi" w:cstheme="majorBidi"/>
        </w:rPr>
        <w:t xml:space="preserve"> et annoncez</w:t>
      </w:r>
    </w:p>
    <w:p w14:paraId="6620BED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La bonne nouvelle aux disciples de l’humilité. </w:t>
      </w:r>
    </w:p>
    <w:p w14:paraId="114619E5"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Dont les cœurs s’émeuvent quand le nom d’</w:t>
      </w:r>
      <w:r w:rsidRPr="00EC1FBB">
        <w:rPr>
          <w:rFonts w:asciiTheme="majorBidi" w:hAnsiTheme="majorBidi" w:cstheme="majorBidi"/>
          <w:b/>
        </w:rPr>
        <w:t>ALLAH</w:t>
      </w:r>
      <w:r w:rsidRPr="00EC1FBB">
        <w:rPr>
          <w:rFonts w:asciiTheme="majorBidi" w:hAnsiTheme="majorBidi" w:cstheme="majorBidi"/>
        </w:rPr>
        <w:t xml:space="preserve"> est invoqué</w:t>
      </w:r>
    </w:p>
    <w:p w14:paraId="495C2D3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Qui supportent avec patience les maux dont ils sont frappés</w:t>
      </w:r>
    </w:p>
    <w:p w14:paraId="703FC50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Qui observent la prière et font la charité, </w:t>
      </w:r>
    </w:p>
    <w:p w14:paraId="5976E89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Des biens que</w:t>
      </w:r>
      <w:r w:rsidRPr="00EC1FBB">
        <w:rPr>
          <w:rFonts w:asciiTheme="majorBidi" w:hAnsiTheme="majorBidi" w:cstheme="majorBidi"/>
          <w:b/>
        </w:rPr>
        <w:t xml:space="preserve"> Nous</w:t>
      </w:r>
      <w:r w:rsidRPr="00EC1FBB">
        <w:rPr>
          <w:rFonts w:asciiTheme="majorBidi" w:hAnsiTheme="majorBidi" w:cstheme="majorBidi"/>
        </w:rPr>
        <w:t xml:space="preserve"> leur avons attribués. </w:t>
      </w:r>
    </w:p>
    <w:p w14:paraId="41C61903"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A votre intention, </w:t>
      </w:r>
      <w:r w:rsidRPr="00EC1FBB">
        <w:rPr>
          <w:rFonts w:asciiTheme="majorBidi" w:hAnsiTheme="majorBidi" w:cstheme="majorBidi"/>
          <w:b/>
        </w:rPr>
        <w:t xml:space="preserve">Nous </w:t>
      </w:r>
      <w:r w:rsidRPr="00EC1FBB">
        <w:rPr>
          <w:rFonts w:asciiTheme="majorBidi" w:hAnsiTheme="majorBidi" w:cstheme="majorBidi"/>
        </w:rPr>
        <w:t>avons placé des animaux sacrifiés</w:t>
      </w:r>
    </w:p>
    <w:p w14:paraId="67BA635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Parmi les emblèmes divins sacrés</w:t>
      </w:r>
    </w:p>
    <w:p w14:paraId="748256A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Vous y trouverez pour vous d’autres bienfaits</w:t>
      </w:r>
    </w:p>
    <w:p w14:paraId="474402A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Prononcez le nom de </w:t>
      </w:r>
      <w:r w:rsidRPr="00EC1FBB">
        <w:rPr>
          <w:rFonts w:asciiTheme="majorBidi" w:hAnsiTheme="majorBidi" w:cstheme="majorBidi"/>
          <w:b/>
        </w:rPr>
        <w:t xml:space="preserve">DIEU </w:t>
      </w:r>
      <w:r w:rsidRPr="00EC1FBB">
        <w:rPr>
          <w:rFonts w:asciiTheme="majorBidi" w:hAnsiTheme="majorBidi" w:cstheme="majorBidi"/>
        </w:rPr>
        <w:t>sur ceux qui sont rangés</w:t>
      </w:r>
    </w:p>
    <w:p w14:paraId="1727091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Quand la victime gît sur le flanc étalée, </w:t>
      </w:r>
    </w:p>
    <w:p w14:paraId="4F95000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Mangez-en et donnez-en à ceux qui quémandent et aux déshérités. </w:t>
      </w:r>
    </w:p>
    <w:p w14:paraId="222E5D91"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lastRenderedPageBreak/>
        <w:t xml:space="preserve">Peut-être en serez-vous reconnaissants car </w:t>
      </w:r>
      <w:r w:rsidRPr="00EC1FBB">
        <w:rPr>
          <w:rFonts w:asciiTheme="majorBidi" w:hAnsiTheme="majorBidi" w:cstheme="majorBidi"/>
          <w:b/>
        </w:rPr>
        <w:t xml:space="preserve">Nous </w:t>
      </w:r>
      <w:r w:rsidRPr="00EC1FBB">
        <w:rPr>
          <w:rFonts w:asciiTheme="majorBidi" w:hAnsiTheme="majorBidi" w:cstheme="majorBidi"/>
        </w:rPr>
        <w:t xml:space="preserve">vous les avons livrés. </w:t>
      </w:r>
    </w:p>
    <w:p w14:paraId="67C83B6C"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Ni leur sang ni leur chair ne sauraient jusqu’à </w:t>
      </w:r>
      <w:r w:rsidRPr="00EC1FBB">
        <w:rPr>
          <w:rFonts w:asciiTheme="majorBidi" w:hAnsiTheme="majorBidi" w:cstheme="majorBidi"/>
          <w:b/>
        </w:rPr>
        <w:t xml:space="preserve">DIEU </w:t>
      </w:r>
      <w:r w:rsidRPr="00EC1FBB">
        <w:rPr>
          <w:rFonts w:asciiTheme="majorBidi" w:hAnsiTheme="majorBidi" w:cstheme="majorBidi"/>
        </w:rPr>
        <w:t>arriver</w:t>
      </w:r>
    </w:p>
    <w:p w14:paraId="079C7D7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Mais seule votre piété pourra </w:t>
      </w:r>
      <w:r w:rsidRPr="00EC1FBB">
        <w:rPr>
          <w:rFonts w:asciiTheme="majorBidi" w:hAnsiTheme="majorBidi" w:cstheme="majorBidi"/>
          <w:b/>
        </w:rPr>
        <w:t>le</w:t>
      </w:r>
      <w:r w:rsidRPr="00EC1FBB">
        <w:rPr>
          <w:rFonts w:asciiTheme="majorBidi" w:hAnsiTheme="majorBidi" w:cstheme="majorBidi"/>
        </w:rPr>
        <w:t xml:space="preserve"> toucher</w:t>
      </w:r>
    </w:p>
    <w:p w14:paraId="1986394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Il</w:t>
      </w:r>
      <w:r w:rsidRPr="00EC1FBB">
        <w:rPr>
          <w:rFonts w:asciiTheme="majorBidi" w:hAnsiTheme="majorBidi" w:cstheme="majorBidi"/>
        </w:rPr>
        <w:t xml:space="preserve"> vous a livré ces victimes afin que vous </w:t>
      </w:r>
      <w:r w:rsidRPr="00EC1FBB">
        <w:rPr>
          <w:rFonts w:asciiTheme="majorBidi" w:hAnsiTheme="majorBidi" w:cstheme="majorBidi"/>
          <w:b/>
        </w:rPr>
        <w:t>le</w:t>
      </w:r>
      <w:r w:rsidRPr="00EC1FBB">
        <w:rPr>
          <w:rFonts w:asciiTheme="majorBidi" w:hAnsiTheme="majorBidi" w:cstheme="majorBidi"/>
        </w:rPr>
        <w:t xml:space="preserve"> glorifiez</w:t>
      </w:r>
    </w:p>
    <w:p w14:paraId="4D4FA2E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IL</w:t>
      </w:r>
      <w:r w:rsidRPr="00EC1FBB">
        <w:rPr>
          <w:rFonts w:asciiTheme="majorBidi" w:hAnsiTheme="majorBidi" w:cstheme="majorBidi"/>
        </w:rPr>
        <w:t xml:space="preserve"> vous a, sur le droit chemin, aiguillé</w:t>
      </w:r>
    </w:p>
    <w:p w14:paraId="0329FA9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Annonce la bonne nouvelle aux auteurs de bienfaits. </w:t>
      </w:r>
    </w:p>
    <w:p w14:paraId="7C7E8DC6"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défend les croyants. </w:t>
      </w:r>
      <w:r w:rsidRPr="00EC1FBB">
        <w:rPr>
          <w:rFonts w:asciiTheme="majorBidi" w:hAnsiTheme="majorBidi" w:cstheme="majorBidi"/>
          <w:b/>
        </w:rPr>
        <w:t>IL</w:t>
      </w:r>
      <w:r w:rsidRPr="00EC1FBB">
        <w:rPr>
          <w:rFonts w:asciiTheme="majorBidi" w:hAnsiTheme="majorBidi" w:cstheme="majorBidi"/>
        </w:rPr>
        <w:t xml:space="preserve"> n’aime ni perfidie ni infidélité. </w:t>
      </w:r>
    </w:p>
    <w:p w14:paraId="1E11E3DD"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 xml:space="preserve">IL </w:t>
      </w:r>
      <w:r w:rsidRPr="00EC1FBB">
        <w:rPr>
          <w:rFonts w:asciiTheme="majorBidi" w:hAnsiTheme="majorBidi" w:cstheme="majorBidi"/>
        </w:rPr>
        <w:t xml:space="preserve">a autorisé le combat à ceux qui sont lésés. </w:t>
      </w:r>
    </w:p>
    <w:p w14:paraId="2F5F544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 xml:space="preserve">DIEU </w:t>
      </w:r>
      <w:r w:rsidRPr="00EC1FBB">
        <w:rPr>
          <w:rFonts w:asciiTheme="majorBidi" w:hAnsiTheme="majorBidi" w:cstheme="majorBidi"/>
        </w:rPr>
        <w:t xml:space="preserve">est capable de protéger. </w:t>
      </w:r>
    </w:p>
    <w:p w14:paraId="7731DE98"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Ceux qui ont été injustement chassés de leurs foyers. </w:t>
      </w:r>
    </w:p>
    <w:p w14:paraId="4F35582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Pour avoir seulement dit : « </w:t>
      </w:r>
      <w:r w:rsidRPr="00EC1FBB">
        <w:rPr>
          <w:rFonts w:asciiTheme="majorBidi" w:hAnsiTheme="majorBidi" w:cstheme="majorBidi"/>
          <w:b/>
        </w:rPr>
        <w:t>ALLAH</w:t>
      </w:r>
      <w:r w:rsidRPr="00EC1FBB">
        <w:rPr>
          <w:rFonts w:asciiTheme="majorBidi" w:hAnsiTheme="majorBidi" w:cstheme="majorBidi"/>
        </w:rPr>
        <w:t xml:space="preserve"> est notre </w:t>
      </w:r>
      <w:r w:rsidRPr="00EC1FBB">
        <w:rPr>
          <w:rFonts w:asciiTheme="majorBidi" w:hAnsiTheme="majorBidi" w:cstheme="majorBidi"/>
          <w:b/>
        </w:rPr>
        <w:t xml:space="preserve">Seigneur </w:t>
      </w:r>
      <w:r w:rsidRPr="00EC1FBB">
        <w:rPr>
          <w:rFonts w:asciiTheme="majorBidi" w:hAnsiTheme="majorBidi" w:cstheme="majorBidi"/>
        </w:rPr>
        <w:t>en vérité »</w:t>
      </w:r>
    </w:p>
    <w:p w14:paraId="4C833EB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Si certains hommes n’avaient, par </w:t>
      </w:r>
      <w:r w:rsidRPr="00EC1FBB">
        <w:rPr>
          <w:rFonts w:asciiTheme="majorBidi" w:hAnsiTheme="majorBidi" w:cstheme="majorBidi"/>
          <w:b/>
        </w:rPr>
        <w:t>DIEU</w:t>
      </w:r>
      <w:r w:rsidRPr="00EC1FBB">
        <w:rPr>
          <w:rFonts w:asciiTheme="majorBidi" w:hAnsiTheme="majorBidi" w:cstheme="majorBidi"/>
        </w:rPr>
        <w:t xml:space="preserve">, d’autres repoussés, </w:t>
      </w:r>
    </w:p>
    <w:p w14:paraId="6209999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Les monastères, les églises, les synagogues et les mosquées, </w:t>
      </w:r>
    </w:p>
    <w:p w14:paraId="25562F0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Où le nom de </w:t>
      </w:r>
      <w:r w:rsidRPr="00EC1FBB">
        <w:rPr>
          <w:rFonts w:asciiTheme="majorBidi" w:hAnsiTheme="majorBidi" w:cstheme="majorBidi"/>
          <w:b/>
        </w:rPr>
        <w:t>DIEU</w:t>
      </w:r>
      <w:r w:rsidRPr="00EC1FBB">
        <w:rPr>
          <w:rFonts w:asciiTheme="majorBidi" w:hAnsiTheme="majorBidi" w:cstheme="majorBidi"/>
        </w:rPr>
        <w:t xml:space="preserve"> est sans cesse invoqué, </w:t>
      </w:r>
    </w:p>
    <w:p w14:paraId="76567B4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Auraient été détruites car </w:t>
      </w:r>
      <w:r w:rsidRPr="00EC1FBB">
        <w:rPr>
          <w:rFonts w:asciiTheme="majorBidi" w:hAnsiTheme="majorBidi" w:cstheme="majorBidi"/>
          <w:b/>
        </w:rPr>
        <w:t>ALLAH</w:t>
      </w:r>
      <w:r w:rsidRPr="00EC1FBB">
        <w:rPr>
          <w:rFonts w:asciiTheme="majorBidi" w:hAnsiTheme="majorBidi" w:cstheme="majorBidi"/>
        </w:rPr>
        <w:t xml:space="preserve"> ne peut assister </w:t>
      </w:r>
    </w:p>
    <w:p w14:paraId="6EC42FE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Que celui qui l’aide car </w:t>
      </w:r>
      <w:r w:rsidRPr="00EC1FBB">
        <w:rPr>
          <w:rFonts w:asciiTheme="majorBidi" w:hAnsiTheme="majorBidi" w:cstheme="majorBidi"/>
          <w:b/>
        </w:rPr>
        <w:t>IL</w:t>
      </w:r>
      <w:r w:rsidRPr="00EC1FBB">
        <w:rPr>
          <w:rFonts w:asciiTheme="majorBidi" w:hAnsiTheme="majorBidi" w:cstheme="majorBidi"/>
        </w:rPr>
        <w:t xml:space="preserve"> est puissant et fort en vérité. </w:t>
      </w:r>
    </w:p>
    <w:p w14:paraId="776F8EE8"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A ceux qui par </w:t>
      </w:r>
      <w:r w:rsidRPr="00EC1FBB">
        <w:rPr>
          <w:rFonts w:asciiTheme="majorBidi" w:hAnsiTheme="majorBidi" w:cstheme="majorBidi"/>
          <w:b/>
        </w:rPr>
        <w:t>Nous</w:t>
      </w:r>
      <w:r w:rsidRPr="00EC1FBB">
        <w:rPr>
          <w:rFonts w:asciiTheme="majorBidi" w:hAnsiTheme="majorBidi" w:cstheme="majorBidi"/>
        </w:rPr>
        <w:t xml:space="preserve"> sur terre sont installés</w:t>
      </w:r>
    </w:p>
    <w:p w14:paraId="0DCA453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Font la prière, la charité, ordonnent le bien et interdisent le mauvais. </w:t>
      </w:r>
    </w:p>
    <w:p w14:paraId="23CDBD8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C’est à </w:t>
      </w:r>
      <w:r w:rsidRPr="00EC1FBB">
        <w:rPr>
          <w:rFonts w:asciiTheme="majorBidi" w:hAnsiTheme="majorBidi" w:cstheme="majorBidi"/>
          <w:b/>
        </w:rPr>
        <w:t>DIEU</w:t>
      </w:r>
      <w:r w:rsidRPr="00EC1FBB">
        <w:rPr>
          <w:rFonts w:asciiTheme="majorBidi" w:hAnsiTheme="majorBidi" w:cstheme="majorBidi"/>
        </w:rPr>
        <w:t xml:space="preserve"> qu’appartient, en toutes choses, la finalité. </w:t>
      </w:r>
    </w:p>
    <w:p w14:paraId="26EC8B28"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Si les infidèles t’accusent de travestir la vérité</w:t>
      </w:r>
    </w:p>
    <w:p w14:paraId="5BA3505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Avant eux les peuples de AD, THEMOUD, ABRAHAM, LOTH et NOE. </w:t>
      </w:r>
    </w:p>
    <w:p w14:paraId="234D7558"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Les gens de MADIAN et MOÎSE furent de la même façon traités. </w:t>
      </w:r>
    </w:p>
    <w:p w14:paraId="6D9B67BD"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Ensuite, aux incrédules </w:t>
      </w:r>
      <w:r w:rsidRPr="00EC1FBB">
        <w:rPr>
          <w:rFonts w:asciiTheme="majorBidi" w:hAnsiTheme="majorBidi" w:cstheme="majorBidi"/>
          <w:b/>
        </w:rPr>
        <w:t>j’ai</w:t>
      </w:r>
      <w:r w:rsidRPr="00EC1FBB">
        <w:rPr>
          <w:rFonts w:asciiTheme="majorBidi" w:hAnsiTheme="majorBidi" w:cstheme="majorBidi"/>
        </w:rPr>
        <w:t xml:space="preserve"> accordé un long délai, </w:t>
      </w:r>
    </w:p>
    <w:p w14:paraId="7DE7B56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leur ai infligé un châtiment sans pitié. </w:t>
      </w:r>
    </w:p>
    <w:p w14:paraId="3D26C7B9"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Combien de cités criminelles n’avons-Nous pas dévastées ? </w:t>
      </w:r>
    </w:p>
    <w:p w14:paraId="13C8CA91"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Elles seront écroulées, toits affaissés, </w:t>
      </w:r>
    </w:p>
    <w:p w14:paraId="190FE5A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Puits comblés, châteaux ruinés. </w:t>
      </w:r>
    </w:p>
    <w:p w14:paraId="11EA34BA"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N’ont-ils pas cheminé dans la contrée ? </w:t>
      </w:r>
    </w:p>
    <w:p w14:paraId="60F57D1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Leurs cœurs sont-ils incapables d’assimiler </w:t>
      </w:r>
    </w:p>
    <w:p w14:paraId="44CDAE8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leurs oreilles d’entendre en vérité ? </w:t>
      </w:r>
    </w:p>
    <w:p w14:paraId="21AE6271"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Leurs yeux ne sont point atteints de cécité, </w:t>
      </w:r>
    </w:p>
    <w:p w14:paraId="3A034F42"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Mais leurs cœurs dans leurs poitrines sont aveuglés. </w:t>
      </w:r>
    </w:p>
    <w:p w14:paraId="2C047863"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Ils te presseront pour hâter le châtiment. </w:t>
      </w:r>
    </w:p>
    <w:p w14:paraId="428B268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DIEU</w:t>
      </w:r>
      <w:r w:rsidRPr="00EC1FBB">
        <w:rPr>
          <w:rFonts w:asciiTheme="majorBidi" w:hAnsiTheme="majorBidi" w:cstheme="majorBidi"/>
        </w:rPr>
        <w:t xml:space="preserve"> ne manque jamais à ses engagements. </w:t>
      </w:r>
    </w:p>
    <w:p w14:paraId="6F5234E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Un jour auprès de </w:t>
      </w:r>
      <w:r w:rsidRPr="00EC1FBB">
        <w:rPr>
          <w:rFonts w:asciiTheme="majorBidi" w:hAnsiTheme="majorBidi" w:cstheme="majorBidi"/>
          <w:b/>
        </w:rPr>
        <w:t>DIEU</w:t>
      </w:r>
      <w:r w:rsidRPr="00EC1FBB">
        <w:rPr>
          <w:rFonts w:asciiTheme="majorBidi" w:hAnsiTheme="majorBidi" w:cstheme="majorBidi"/>
        </w:rPr>
        <w:t xml:space="preserve"> fait avec votre comput mille ans. </w:t>
      </w:r>
    </w:p>
    <w:p w14:paraId="3FC55C29"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Combien de cités avons-</w:t>
      </w:r>
      <w:r w:rsidRPr="00EC1FBB">
        <w:rPr>
          <w:rFonts w:asciiTheme="majorBidi" w:hAnsiTheme="majorBidi" w:cstheme="majorBidi"/>
          <w:b/>
        </w:rPr>
        <w:t>Nous</w:t>
      </w:r>
      <w:r w:rsidRPr="00EC1FBB">
        <w:rPr>
          <w:rFonts w:asciiTheme="majorBidi" w:hAnsiTheme="majorBidi" w:cstheme="majorBidi"/>
        </w:rPr>
        <w:t xml:space="preserve"> laissé </w:t>
      </w:r>
    </w:p>
    <w:p w14:paraId="116D78A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Pratiquer pendant un certain temps l’iniquité ? </w:t>
      </w:r>
    </w:p>
    <w:p w14:paraId="2FBB27E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Puis, </w:t>
      </w:r>
      <w:r w:rsidRPr="00EC1FBB">
        <w:rPr>
          <w:rFonts w:asciiTheme="majorBidi" w:hAnsiTheme="majorBidi" w:cstheme="majorBidi"/>
          <w:b/>
        </w:rPr>
        <w:t>Nous</w:t>
      </w:r>
      <w:r w:rsidRPr="00EC1FBB">
        <w:rPr>
          <w:rFonts w:asciiTheme="majorBidi" w:hAnsiTheme="majorBidi" w:cstheme="majorBidi"/>
        </w:rPr>
        <w:t xml:space="preserve"> les avons saisies car tout retourne à </w:t>
      </w:r>
      <w:r w:rsidRPr="00EC1FBB">
        <w:rPr>
          <w:rFonts w:asciiTheme="majorBidi" w:hAnsiTheme="majorBidi" w:cstheme="majorBidi"/>
          <w:b/>
        </w:rPr>
        <w:t>Nous</w:t>
      </w:r>
      <w:r w:rsidRPr="00EC1FBB">
        <w:rPr>
          <w:rFonts w:asciiTheme="majorBidi" w:hAnsiTheme="majorBidi" w:cstheme="majorBidi"/>
        </w:rPr>
        <w:t xml:space="preserve"> en finalité. </w:t>
      </w:r>
    </w:p>
    <w:p w14:paraId="39F71626"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Dis : « Hommes ! </w:t>
      </w:r>
    </w:p>
    <w:p w14:paraId="571976F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Je suis un Apôtre chargé de vous exhorter avec clarté. »</w:t>
      </w:r>
    </w:p>
    <w:p w14:paraId="06F690D2"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Ceux qui ont cru et pratiqué des bienfaits </w:t>
      </w:r>
    </w:p>
    <w:p w14:paraId="3C1E71A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Obtiendront le pardon et seront généreusement favorisés. </w:t>
      </w:r>
    </w:p>
    <w:p w14:paraId="76FAD155"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Ceux qui s’efforcent de combattre </w:t>
      </w:r>
      <w:r w:rsidRPr="00EC1FBB">
        <w:rPr>
          <w:rFonts w:asciiTheme="majorBidi" w:hAnsiTheme="majorBidi" w:cstheme="majorBidi"/>
          <w:b/>
        </w:rPr>
        <w:t>Nos</w:t>
      </w:r>
      <w:r w:rsidRPr="00EC1FBB">
        <w:rPr>
          <w:rFonts w:asciiTheme="majorBidi" w:hAnsiTheme="majorBidi" w:cstheme="majorBidi"/>
        </w:rPr>
        <w:t xml:space="preserve"> signes évidents</w:t>
      </w:r>
    </w:p>
    <w:p w14:paraId="0F3D968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Ceux-là seront les hôtes de l’enfer ardent. </w:t>
      </w:r>
    </w:p>
    <w:p w14:paraId="48C47B34"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Avant toi, </w:t>
      </w:r>
      <w:r w:rsidRPr="00EC1FBB">
        <w:rPr>
          <w:rFonts w:asciiTheme="majorBidi" w:hAnsiTheme="majorBidi" w:cstheme="majorBidi"/>
          <w:b/>
        </w:rPr>
        <w:t>Nous</w:t>
      </w:r>
      <w:r w:rsidRPr="00EC1FBB">
        <w:rPr>
          <w:rFonts w:asciiTheme="majorBidi" w:hAnsiTheme="majorBidi" w:cstheme="majorBidi"/>
        </w:rPr>
        <w:t xml:space="preserve"> n’avons délégué ni Apôtre ni Envoyé</w:t>
      </w:r>
    </w:p>
    <w:p w14:paraId="34B762A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Sans que Satan ne jetât dans leur souhait, quand ils le formulaient, </w:t>
      </w:r>
    </w:p>
    <w:p w14:paraId="7A5004D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lastRenderedPageBreak/>
        <w:t xml:space="preserve">Quelque mauvaise pensée ou quelque impureté. </w:t>
      </w:r>
    </w:p>
    <w:p w14:paraId="6AD7A9F0"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Mais tout ce que le Démon a suscité est par </w:t>
      </w:r>
      <w:r w:rsidRPr="00EC1FBB">
        <w:rPr>
          <w:rFonts w:asciiTheme="majorBidi" w:hAnsiTheme="majorBidi" w:cstheme="majorBidi"/>
          <w:b/>
        </w:rPr>
        <w:t xml:space="preserve">DIEU </w:t>
      </w:r>
      <w:r w:rsidRPr="00EC1FBB">
        <w:rPr>
          <w:rFonts w:asciiTheme="majorBidi" w:hAnsiTheme="majorBidi" w:cstheme="majorBidi"/>
        </w:rPr>
        <w:t xml:space="preserve">abrogé. </w:t>
      </w:r>
    </w:p>
    <w:p w14:paraId="6E9F4E9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est savant et sage et </w:t>
      </w:r>
      <w:r w:rsidRPr="00EC1FBB">
        <w:rPr>
          <w:rFonts w:asciiTheme="majorBidi" w:hAnsiTheme="majorBidi" w:cstheme="majorBidi"/>
          <w:b/>
        </w:rPr>
        <w:t>Ses</w:t>
      </w:r>
      <w:r w:rsidRPr="00EC1FBB">
        <w:rPr>
          <w:rFonts w:asciiTheme="majorBidi" w:hAnsiTheme="majorBidi" w:cstheme="majorBidi"/>
        </w:rPr>
        <w:t xml:space="preserve"> signes sont confirmés. </w:t>
      </w:r>
    </w:p>
    <w:p w14:paraId="709751DE"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Afin de réaliser ce que Satan propose pour tenter, </w:t>
      </w:r>
    </w:p>
    <w:p w14:paraId="782CAF7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Ceux dont le cœur desquels est un mal ancré</w:t>
      </w:r>
    </w:p>
    <w:p w14:paraId="6553CE1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Les méchants sont plongés dans un schisme fort éloigné. </w:t>
      </w:r>
    </w:p>
    <w:p w14:paraId="5B15C67B"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Afin que ceux qui ont reçu la science sachent en fait, </w:t>
      </w:r>
    </w:p>
    <w:p w14:paraId="6D6C4821"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Que cette révélation est la divine vérité</w:t>
      </w:r>
    </w:p>
    <w:p w14:paraId="6E1805F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Qu’ils y croient et que leurs cœurs soient devant </w:t>
      </w:r>
      <w:r w:rsidRPr="00EC1FBB">
        <w:rPr>
          <w:rFonts w:asciiTheme="majorBidi" w:hAnsiTheme="majorBidi" w:cstheme="majorBidi"/>
          <w:b/>
        </w:rPr>
        <w:t>DIEU</w:t>
      </w:r>
      <w:r w:rsidRPr="00EC1FBB">
        <w:rPr>
          <w:rFonts w:asciiTheme="majorBidi" w:hAnsiTheme="majorBidi" w:cstheme="majorBidi"/>
        </w:rPr>
        <w:t xml:space="preserve"> toute humilité</w:t>
      </w:r>
    </w:p>
    <w:p w14:paraId="2AA97E7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IL</w:t>
      </w:r>
      <w:r w:rsidRPr="00EC1FBB">
        <w:rPr>
          <w:rFonts w:asciiTheme="majorBidi" w:hAnsiTheme="majorBidi" w:cstheme="majorBidi"/>
        </w:rPr>
        <w:t xml:space="preserve"> guide ceux qui croient dans le droit sentier. </w:t>
      </w:r>
    </w:p>
    <w:p w14:paraId="43657BD0"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Les incrédules jusqu’à ce que l’heure les surprenne ne cesseront d’en douter, </w:t>
      </w:r>
    </w:p>
    <w:p w14:paraId="274BB99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Ou que par le jour dévastateur du châtiment ils ne soient frappés. </w:t>
      </w:r>
    </w:p>
    <w:p w14:paraId="1F1AFC2B" w14:textId="77777777" w:rsidR="00F324A5" w:rsidRPr="00EC1FBB" w:rsidRDefault="00F324A5" w:rsidP="00876BB0">
      <w:pPr>
        <w:numPr>
          <w:ilvl w:val="0"/>
          <w:numId w:val="139"/>
        </w:numPr>
        <w:contextualSpacing/>
        <w:jc w:val="both"/>
        <w:rPr>
          <w:rFonts w:asciiTheme="majorBidi" w:hAnsiTheme="majorBidi" w:cstheme="majorBidi"/>
          <w:b/>
        </w:rPr>
      </w:pPr>
      <w:r w:rsidRPr="00EC1FBB">
        <w:rPr>
          <w:rFonts w:asciiTheme="majorBidi" w:hAnsiTheme="majorBidi" w:cstheme="majorBidi"/>
        </w:rPr>
        <w:t xml:space="preserve">Ce jour, l’empire sur toute chose sera l’apanage de </w:t>
      </w:r>
      <w:r w:rsidRPr="00EC1FBB">
        <w:rPr>
          <w:rFonts w:asciiTheme="majorBidi" w:hAnsiTheme="majorBidi" w:cstheme="majorBidi"/>
          <w:b/>
        </w:rPr>
        <w:t>DIEU</w:t>
      </w:r>
    </w:p>
    <w:p w14:paraId="6948C733" w14:textId="77777777" w:rsidR="00F324A5" w:rsidRPr="00EC1FBB" w:rsidRDefault="00F324A5" w:rsidP="00F324A5">
      <w:pPr>
        <w:ind w:left="360"/>
        <w:contextualSpacing/>
        <w:jc w:val="both"/>
        <w:rPr>
          <w:rFonts w:asciiTheme="majorBidi" w:hAnsiTheme="majorBidi" w:cstheme="majorBidi"/>
          <w:b/>
        </w:rPr>
      </w:pPr>
      <w:r w:rsidRPr="00EC1FBB">
        <w:rPr>
          <w:rFonts w:asciiTheme="majorBidi" w:hAnsiTheme="majorBidi" w:cstheme="majorBidi"/>
        </w:rPr>
        <w:t xml:space="preserve">Il jugera et arbitrera entre les hommes au mieux </w:t>
      </w:r>
    </w:p>
    <w:p w14:paraId="280ED79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Alors ceux qui auront cru et pratiqué des œuvres pies, </w:t>
      </w:r>
    </w:p>
    <w:p w14:paraId="5C72143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Iront au jardin des délices dans le Paradis. </w:t>
      </w:r>
    </w:p>
    <w:p w14:paraId="1F7FA4E8"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Ceux qui ont traité </w:t>
      </w:r>
      <w:r w:rsidRPr="00EC1FBB">
        <w:rPr>
          <w:rFonts w:asciiTheme="majorBidi" w:hAnsiTheme="majorBidi" w:cstheme="majorBidi"/>
          <w:b/>
        </w:rPr>
        <w:t xml:space="preserve">Nos </w:t>
      </w:r>
      <w:r w:rsidRPr="00EC1FBB">
        <w:rPr>
          <w:rFonts w:asciiTheme="majorBidi" w:hAnsiTheme="majorBidi" w:cstheme="majorBidi"/>
        </w:rPr>
        <w:t xml:space="preserve">signes de mensonges et qui sont des mécréants, </w:t>
      </w:r>
    </w:p>
    <w:p w14:paraId="7EE620F5"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Seront alors livrés au supplice avilissant. </w:t>
      </w:r>
    </w:p>
    <w:p w14:paraId="5D8B5E8C"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Ceux qui auront émigré dans ce divin sentier, </w:t>
      </w:r>
    </w:p>
    <w:p w14:paraId="46B7115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Qui auront été tués ou naturellement succombés, </w:t>
      </w:r>
    </w:p>
    <w:p w14:paraId="78208FA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saura, de belle manière, les récompenser, </w:t>
      </w:r>
    </w:p>
    <w:p w14:paraId="1433756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IL</w:t>
      </w:r>
      <w:r w:rsidRPr="00EC1FBB">
        <w:rPr>
          <w:rFonts w:asciiTheme="majorBidi" w:hAnsiTheme="majorBidi" w:cstheme="majorBidi"/>
        </w:rPr>
        <w:t xml:space="preserve"> est le meilleur dispensateur en vérité. </w:t>
      </w:r>
    </w:p>
    <w:p w14:paraId="152B9669"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 xml:space="preserve">Il </w:t>
      </w:r>
      <w:r w:rsidRPr="00EC1FBB">
        <w:rPr>
          <w:rFonts w:asciiTheme="majorBidi" w:hAnsiTheme="majorBidi" w:cstheme="majorBidi"/>
        </w:rPr>
        <w:t>les fera entrer en un lieu par eux agréé</w:t>
      </w:r>
    </w:p>
    <w:p w14:paraId="4435F12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est omniscient et plein de longanimité. </w:t>
      </w:r>
    </w:p>
    <w:p w14:paraId="6470D85A"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Quiconque châtie de la même façon qu’il a été châtié, </w:t>
      </w:r>
    </w:p>
    <w:p w14:paraId="5828F29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Sera secouru par </w:t>
      </w:r>
      <w:r w:rsidRPr="00EC1FBB">
        <w:rPr>
          <w:rFonts w:asciiTheme="majorBidi" w:hAnsiTheme="majorBidi" w:cstheme="majorBidi"/>
          <w:b/>
        </w:rPr>
        <w:t>DIEU</w:t>
      </w:r>
      <w:r w:rsidRPr="00EC1FBB">
        <w:rPr>
          <w:rFonts w:asciiTheme="majorBidi" w:hAnsiTheme="majorBidi" w:cstheme="majorBidi"/>
        </w:rPr>
        <w:t xml:space="preserve"> s’il est de nouveau outragé, </w:t>
      </w:r>
    </w:p>
    <w:p w14:paraId="35EED13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 xml:space="preserve">DIEU </w:t>
      </w:r>
      <w:r w:rsidRPr="00EC1FBB">
        <w:rPr>
          <w:rFonts w:asciiTheme="majorBidi" w:hAnsiTheme="majorBidi" w:cstheme="majorBidi"/>
        </w:rPr>
        <w:t xml:space="preserve">est indulgent, </w:t>
      </w:r>
      <w:r w:rsidRPr="00EC1FBB">
        <w:rPr>
          <w:rFonts w:asciiTheme="majorBidi" w:hAnsiTheme="majorBidi" w:cstheme="majorBidi"/>
          <w:b/>
        </w:rPr>
        <w:t xml:space="preserve">IL </w:t>
      </w:r>
      <w:r w:rsidRPr="00EC1FBB">
        <w:rPr>
          <w:rFonts w:asciiTheme="majorBidi" w:hAnsiTheme="majorBidi" w:cstheme="majorBidi"/>
        </w:rPr>
        <w:t>aime à pardonner. </w:t>
      </w:r>
    </w:p>
    <w:p w14:paraId="25DDD0DA"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C’est parce que </w:t>
      </w:r>
      <w:r w:rsidRPr="00EC1FBB">
        <w:rPr>
          <w:rFonts w:asciiTheme="majorBidi" w:hAnsiTheme="majorBidi" w:cstheme="majorBidi"/>
          <w:b/>
        </w:rPr>
        <w:t xml:space="preserve">DIEU </w:t>
      </w:r>
      <w:r w:rsidRPr="00EC1FBB">
        <w:rPr>
          <w:rFonts w:asciiTheme="majorBidi" w:hAnsiTheme="majorBidi" w:cstheme="majorBidi"/>
        </w:rPr>
        <w:t>fait succéder le jour à la nuit et la réciprocité</w:t>
      </w:r>
    </w:p>
    <w:p w14:paraId="49A1FDC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w:t>
      </w:r>
      <w:r w:rsidRPr="00EC1FBB">
        <w:rPr>
          <w:rFonts w:asciiTheme="majorBidi" w:hAnsiTheme="majorBidi" w:cstheme="majorBidi"/>
          <w:b/>
        </w:rPr>
        <w:t>ALLAH</w:t>
      </w:r>
      <w:r w:rsidRPr="00EC1FBB">
        <w:rPr>
          <w:rFonts w:asciiTheme="majorBidi" w:hAnsiTheme="majorBidi" w:cstheme="majorBidi"/>
        </w:rPr>
        <w:t xml:space="preserve"> est audient et omniscient en vérité. </w:t>
      </w:r>
    </w:p>
    <w:p w14:paraId="6692B408"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C’est qu’</w:t>
      </w:r>
      <w:r w:rsidRPr="00EC1FBB">
        <w:rPr>
          <w:rFonts w:asciiTheme="majorBidi" w:hAnsiTheme="majorBidi" w:cstheme="majorBidi"/>
          <w:b/>
        </w:rPr>
        <w:t>ALLAH</w:t>
      </w:r>
      <w:r w:rsidRPr="00EC1FBB">
        <w:rPr>
          <w:rFonts w:asciiTheme="majorBidi" w:hAnsiTheme="majorBidi" w:cstheme="majorBidi"/>
        </w:rPr>
        <w:t xml:space="preserve"> est la suprême vérité</w:t>
      </w:r>
    </w:p>
    <w:p w14:paraId="25117BD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Ce que vous invoquez en dehors de </w:t>
      </w:r>
      <w:r w:rsidRPr="00EC1FBB">
        <w:rPr>
          <w:rFonts w:asciiTheme="majorBidi" w:hAnsiTheme="majorBidi" w:cstheme="majorBidi"/>
          <w:b/>
        </w:rPr>
        <w:t xml:space="preserve">LUI </w:t>
      </w:r>
      <w:r w:rsidRPr="00EC1FBB">
        <w:rPr>
          <w:rFonts w:asciiTheme="majorBidi" w:hAnsiTheme="majorBidi" w:cstheme="majorBidi"/>
        </w:rPr>
        <w:t xml:space="preserve">n’est que fausseté. </w:t>
      </w:r>
    </w:p>
    <w:p w14:paraId="2AC88DE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 xml:space="preserve">ALLAH </w:t>
      </w:r>
      <w:r w:rsidRPr="00EC1FBB">
        <w:rPr>
          <w:rFonts w:asciiTheme="majorBidi" w:hAnsiTheme="majorBidi" w:cstheme="majorBidi"/>
        </w:rPr>
        <w:t xml:space="preserve">est le grand et l’Auguste majesté. </w:t>
      </w:r>
    </w:p>
    <w:p w14:paraId="6AF94DA8"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N’as-tu point vu qu’</w:t>
      </w:r>
      <w:r w:rsidRPr="00EC1FBB">
        <w:rPr>
          <w:rFonts w:asciiTheme="majorBidi" w:hAnsiTheme="majorBidi" w:cstheme="majorBidi"/>
          <w:b/>
        </w:rPr>
        <w:t>ALLAH</w:t>
      </w:r>
      <w:r w:rsidRPr="00EC1FBB">
        <w:rPr>
          <w:rFonts w:asciiTheme="majorBidi" w:hAnsiTheme="majorBidi" w:cstheme="majorBidi"/>
        </w:rPr>
        <w:t xml:space="preserve"> procure une céleste ondée</w:t>
      </w:r>
    </w:p>
    <w:p w14:paraId="7925055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Grâce à laquelle la terre verdit en l’espace d’une matinée. </w:t>
      </w:r>
    </w:p>
    <w:p w14:paraId="1C4AB63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DIEU</w:t>
      </w:r>
      <w:r w:rsidRPr="00EC1FBB">
        <w:rPr>
          <w:rFonts w:asciiTheme="majorBidi" w:hAnsiTheme="majorBidi" w:cstheme="majorBidi"/>
        </w:rPr>
        <w:t xml:space="preserve"> est instruit de tout et plein de bonté. </w:t>
      </w:r>
    </w:p>
    <w:p w14:paraId="793E480E"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Tout ce qui est dans les cieux et sur terre est </w:t>
      </w:r>
      <w:r w:rsidRPr="00EC1FBB">
        <w:rPr>
          <w:rFonts w:asciiTheme="majorBidi" w:hAnsiTheme="majorBidi" w:cstheme="majorBidi"/>
          <w:b/>
        </w:rPr>
        <w:t>Sa</w:t>
      </w:r>
      <w:r w:rsidRPr="00EC1FBB">
        <w:rPr>
          <w:rFonts w:asciiTheme="majorBidi" w:hAnsiTheme="majorBidi" w:cstheme="majorBidi"/>
        </w:rPr>
        <w:t xml:space="preserve"> propriété. </w:t>
      </w:r>
    </w:p>
    <w:p w14:paraId="655F31A0"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 xml:space="preserve">ALLAH </w:t>
      </w:r>
      <w:r w:rsidRPr="00EC1FBB">
        <w:rPr>
          <w:rFonts w:asciiTheme="majorBidi" w:hAnsiTheme="majorBidi" w:cstheme="majorBidi"/>
        </w:rPr>
        <w:t>est certes la</w:t>
      </w:r>
      <w:r>
        <w:rPr>
          <w:rFonts w:asciiTheme="majorBidi" w:hAnsiTheme="majorBidi" w:cstheme="majorBidi"/>
        </w:rPr>
        <w:t xml:space="preserve"> richesse et digne d’être loué.</w:t>
      </w:r>
    </w:p>
    <w:p w14:paraId="0FFFC0BD"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N’as-tu point vu qu’</w:t>
      </w:r>
      <w:r w:rsidRPr="00EC1FBB">
        <w:rPr>
          <w:rFonts w:asciiTheme="majorBidi" w:hAnsiTheme="majorBidi" w:cstheme="majorBidi"/>
          <w:b/>
        </w:rPr>
        <w:t>ALLAH</w:t>
      </w:r>
      <w:r w:rsidRPr="00EC1FBB">
        <w:rPr>
          <w:rFonts w:asciiTheme="majorBidi" w:hAnsiTheme="majorBidi" w:cstheme="majorBidi"/>
        </w:rPr>
        <w:t xml:space="preserve"> vous a soumis le contenu de la terre. </w:t>
      </w:r>
    </w:p>
    <w:p w14:paraId="6191BE91"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Il en a fait de même pour le vaisseau voguant sur mer. </w:t>
      </w:r>
    </w:p>
    <w:p w14:paraId="2F48AB73"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Il contient le ciel afin que celui-ci ne s’affaisse sur la terre. </w:t>
      </w:r>
    </w:p>
    <w:p w14:paraId="11E62E6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Sauf lorsqu’</w:t>
      </w:r>
      <w:r w:rsidRPr="00EC1FBB">
        <w:rPr>
          <w:rFonts w:asciiTheme="majorBidi" w:hAnsiTheme="majorBidi" w:cstheme="majorBidi"/>
          <w:b/>
        </w:rPr>
        <w:t>IL</w:t>
      </w:r>
      <w:r w:rsidRPr="00EC1FBB">
        <w:rPr>
          <w:rFonts w:asciiTheme="majorBidi" w:hAnsiTheme="majorBidi" w:cstheme="majorBidi"/>
        </w:rPr>
        <w:t xml:space="preserve"> e</w:t>
      </w:r>
      <w:r>
        <w:rPr>
          <w:rFonts w:asciiTheme="majorBidi" w:hAnsiTheme="majorBidi" w:cstheme="majorBidi"/>
        </w:rPr>
        <w:t>n décidera de façon volontaire.</w:t>
      </w:r>
    </w:p>
    <w:p w14:paraId="468ECDCE"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est plein de bonté et de miséricorde pour la société humanitaire. </w:t>
      </w:r>
    </w:p>
    <w:p w14:paraId="6F7A2E00"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C’est </w:t>
      </w:r>
      <w:r w:rsidRPr="00EC1FBB">
        <w:rPr>
          <w:rFonts w:asciiTheme="majorBidi" w:hAnsiTheme="majorBidi" w:cstheme="majorBidi"/>
          <w:b/>
        </w:rPr>
        <w:t>Lui</w:t>
      </w:r>
      <w:r w:rsidRPr="00EC1FBB">
        <w:rPr>
          <w:rFonts w:asciiTheme="majorBidi" w:hAnsiTheme="majorBidi" w:cstheme="majorBidi"/>
        </w:rPr>
        <w:t xml:space="preserve"> qui vous a donné la vie puis la mortalité. </w:t>
      </w:r>
    </w:p>
    <w:p w14:paraId="3D43B1D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Il</w:t>
      </w:r>
      <w:r w:rsidRPr="00EC1FBB">
        <w:rPr>
          <w:rFonts w:asciiTheme="majorBidi" w:hAnsiTheme="majorBidi" w:cstheme="majorBidi"/>
        </w:rPr>
        <w:t xml:space="preserve"> vous ressuscitera, mais l’homme est l’ingratitude personnifiée. </w:t>
      </w:r>
    </w:p>
    <w:p w14:paraId="690B0223"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A chaque communauté, </w:t>
      </w:r>
      <w:r w:rsidRPr="00EC1FBB">
        <w:rPr>
          <w:rFonts w:asciiTheme="majorBidi" w:hAnsiTheme="majorBidi" w:cstheme="majorBidi"/>
          <w:b/>
        </w:rPr>
        <w:t>Nous</w:t>
      </w:r>
      <w:r w:rsidRPr="00EC1FBB">
        <w:rPr>
          <w:rFonts w:asciiTheme="majorBidi" w:hAnsiTheme="majorBidi" w:cstheme="majorBidi"/>
        </w:rPr>
        <w:t xml:space="preserve"> avons établi, pour être suivis, des rites sacrés. </w:t>
      </w:r>
    </w:p>
    <w:p w14:paraId="665DE1E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Qu’ils cessent donc de se disputer avec toi sur le décret</w:t>
      </w:r>
    </w:p>
    <w:p w14:paraId="3AB0A8B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lastRenderedPageBreak/>
        <w:t xml:space="preserve">Appelle-les au </w:t>
      </w:r>
      <w:r w:rsidRPr="00EC1FBB">
        <w:rPr>
          <w:rFonts w:asciiTheme="majorBidi" w:hAnsiTheme="majorBidi" w:cstheme="majorBidi"/>
          <w:b/>
        </w:rPr>
        <w:t>Seigneur</w:t>
      </w:r>
      <w:r w:rsidRPr="00EC1FBB">
        <w:rPr>
          <w:rFonts w:asciiTheme="majorBidi" w:hAnsiTheme="majorBidi" w:cstheme="majorBidi"/>
        </w:rPr>
        <w:t xml:space="preserve"> car tu es dans le droit sentier. </w:t>
      </w:r>
    </w:p>
    <w:p w14:paraId="26467FF4"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S’ils poursuivent avec toi leur discussion, </w:t>
      </w:r>
    </w:p>
    <w:p w14:paraId="79A781F0"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Dis-leur : « </w:t>
      </w:r>
      <w:r w:rsidRPr="00EC1FBB">
        <w:rPr>
          <w:rFonts w:asciiTheme="majorBidi" w:hAnsiTheme="majorBidi" w:cstheme="majorBidi"/>
          <w:b/>
        </w:rPr>
        <w:t>DIEU</w:t>
      </w:r>
      <w:r w:rsidRPr="00EC1FBB">
        <w:rPr>
          <w:rFonts w:asciiTheme="majorBidi" w:hAnsiTheme="majorBidi" w:cstheme="majorBidi"/>
        </w:rPr>
        <w:t xml:space="preserve"> connaît le mieux toutes vos actions. »</w:t>
      </w:r>
    </w:p>
    <w:p w14:paraId="2A30CD46"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b/>
        </w:rPr>
        <w:t>ALLAH,</w:t>
      </w:r>
      <w:r w:rsidRPr="00EC1FBB">
        <w:rPr>
          <w:rFonts w:asciiTheme="majorBidi" w:hAnsiTheme="majorBidi" w:cstheme="majorBidi"/>
        </w:rPr>
        <w:t xml:space="preserve"> au jour de la Résurrection, arbitrera vos oppositions. </w:t>
      </w:r>
    </w:p>
    <w:p w14:paraId="2D3FBE4A"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Ne sais-tu pas que ce qui est sur terre ou au firmament</w:t>
      </w:r>
    </w:p>
    <w:p w14:paraId="0173D7C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DIEU</w:t>
      </w:r>
      <w:r w:rsidRPr="00EC1FBB">
        <w:rPr>
          <w:rFonts w:asciiTheme="majorBidi" w:hAnsiTheme="majorBidi" w:cstheme="majorBidi"/>
        </w:rPr>
        <w:t xml:space="preserve"> le connaît parfaitement et totalement ? </w:t>
      </w:r>
    </w:p>
    <w:p w14:paraId="5429BE4A"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Cela est inscrit dans le Livre car pour </w:t>
      </w:r>
      <w:r w:rsidRPr="00EC1FBB">
        <w:rPr>
          <w:rFonts w:asciiTheme="majorBidi" w:hAnsiTheme="majorBidi" w:cstheme="majorBidi"/>
          <w:b/>
        </w:rPr>
        <w:t>DIEU</w:t>
      </w:r>
      <w:r w:rsidRPr="00EC1FBB">
        <w:rPr>
          <w:rFonts w:asciiTheme="majorBidi" w:hAnsiTheme="majorBidi" w:cstheme="majorBidi"/>
        </w:rPr>
        <w:t xml:space="preserve"> tout se fait aisément. </w:t>
      </w:r>
    </w:p>
    <w:p w14:paraId="60760449"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Ils adorent, en dehors d’</w:t>
      </w:r>
      <w:r w:rsidRPr="00EC1FBB">
        <w:rPr>
          <w:rFonts w:asciiTheme="majorBidi" w:hAnsiTheme="majorBidi" w:cstheme="majorBidi"/>
          <w:b/>
        </w:rPr>
        <w:t>ALLAH</w:t>
      </w:r>
      <w:r w:rsidRPr="00EC1FBB">
        <w:rPr>
          <w:rFonts w:asciiTheme="majorBidi" w:hAnsiTheme="majorBidi" w:cstheme="majorBidi"/>
        </w:rPr>
        <w:t>, d’autres divinités</w:t>
      </w:r>
    </w:p>
    <w:p w14:paraId="2A8F3CF0"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Bien que nulle probation ne leur ait été par </w:t>
      </w:r>
      <w:r w:rsidRPr="00EC1FBB">
        <w:rPr>
          <w:rFonts w:asciiTheme="majorBidi" w:hAnsiTheme="majorBidi" w:cstheme="majorBidi"/>
          <w:b/>
        </w:rPr>
        <w:t xml:space="preserve">Lui </w:t>
      </w:r>
      <w:r w:rsidRPr="00EC1FBB">
        <w:rPr>
          <w:rFonts w:asciiTheme="majorBidi" w:hAnsiTheme="majorBidi" w:cstheme="majorBidi"/>
        </w:rPr>
        <w:t xml:space="preserve">envoyée. </w:t>
      </w:r>
    </w:p>
    <w:p w14:paraId="5421838D"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Ils n’en ont nulle connaissance, </w:t>
      </w:r>
    </w:p>
    <w:p w14:paraId="24C09330"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les impies n’auront nulle assistance. </w:t>
      </w:r>
    </w:p>
    <w:p w14:paraId="0ADB5F8C"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Quand on lit aux infidèles </w:t>
      </w:r>
      <w:r w:rsidRPr="00EC1FBB">
        <w:rPr>
          <w:rFonts w:asciiTheme="majorBidi" w:hAnsiTheme="majorBidi" w:cstheme="majorBidi"/>
          <w:b/>
        </w:rPr>
        <w:t>Nos</w:t>
      </w:r>
      <w:r w:rsidRPr="00EC1FBB">
        <w:rPr>
          <w:rFonts w:asciiTheme="majorBidi" w:hAnsiTheme="majorBidi" w:cstheme="majorBidi"/>
        </w:rPr>
        <w:t xml:space="preserve"> versets, </w:t>
      </w:r>
    </w:p>
    <w:p w14:paraId="1CED3FC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Tu verras sur leurs visages l’expression d’une aversion marquée. </w:t>
      </w:r>
    </w:p>
    <w:p w14:paraId="54B548F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Et ils sont prêts à molester ceux qui les ont récités</w:t>
      </w:r>
    </w:p>
    <w:p w14:paraId="49BC9C4C"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Dis : « Vous annoncerai-je quelque chose de plus mauvais ? </w:t>
      </w:r>
    </w:p>
    <w:p w14:paraId="63C4D969"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 xml:space="preserve">ALLAH </w:t>
      </w:r>
      <w:r w:rsidRPr="00EC1FBB">
        <w:rPr>
          <w:rFonts w:asciiTheme="majorBidi" w:hAnsiTheme="majorBidi" w:cstheme="majorBidi"/>
        </w:rPr>
        <w:t>a promis aux infidèles le feu</w:t>
      </w:r>
    </w:p>
    <w:p w14:paraId="11D58E21"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N’est-ce point le terme d’un voyage affreux ? »</w:t>
      </w:r>
    </w:p>
    <w:p w14:paraId="48BA3A91"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Hommes ! Écoutez la parabole qui vous est proposée, </w:t>
      </w:r>
    </w:p>
    <w:p w14:paraId="2B659775" w14:textId="77777777" w:rsidR="00F324A5" w:rsidRPr="00EC1FBB" w:rsidRDefault="00F324A5" w:rsidP="00F324A5">
      <w:pPr>
        <w:ind w:firstLine="360"/>
        <w:contextualSpacing/>
        <w:jc w:val="both"/>
        <w:rPr>
          <w:rFonts w:asciiTheme="majorBidi" w:hAnsiTheme="majorBidi" w:cstheme="majorBidi"/>
        </w:rPr>
      </w:pPr>
      <w:r w:rsidRPr="00EC1FBB">
        <w:rPr>
          <w:rFonts w:asciiTheme="majorBidi" w:hAnsiTheme="majorBidi" w:cstheme="majorBidi"/>
        </w:rPr>
        <w:t xml:space="preserve">Ceux qu’au lieu et place de </w:t>
      </w:r>
      <w:r w:rsidRPr="00EC1FBB">
        <w:rPr>
          <w:rFonts w:asciiTheme="majorBidi" w:hAnsiTheme="majorBidi" w:cstheme="majorBidi"/>
          <w:b/>
        </w:rPr>
        <w:t xml:space="preserve">DIEU </w:t>
      </w:r>
      <w:r w:rsidRPr="00EC1FBB">
        <w:rPr>
          <w:rFonts w:asciiTheme="majorBidi" w:hAnsiTheme="majorBidi" w:cstheme="majorBidi"/>
        </w:rPr>
        <w:t xml:space="preserve">vous invoquez, </w:t>
      </w:r>
    </w:p>
    <w:p w14:paraId="7370219E" w14:textId="77777777" w:rsidR="00F324A5" w:rsidRPr="00EC1FBB" w:rsidRDefault="00F324A5" w:rsidP="00F324A5">
      <w:pPr>
        <w:ind w:firstLine="360"/>
        <w:contextualSpacing/>
        <w:jc w:val="both"/>
        <w:rPr>
          <w:rFonts w:asciiTheme="majorBidi" w:hAnsiTheme="majorBidi" w:cstheme="majorBidi"/>
        </w:rPr>
      </w:pPr>
      <w:r w:rsidRPr="00EC1FBB">
        <w:rPr>
          <w:rFonts w:asciiTheme="majorBidi" w:hAnsiTheme="majorBidi" w:cstheme="majorBidi"/>
        </w:rPr>
        <w:t xml:space="preserve">Ne sauraient créer une mouche quand bien même réunis à cet effet. </w:t>
      </w:r>
    </w:p>
    <w:p w14:paraId="2FC69A7E" w14:textId="77777777" w:rsidR="00F324A5" w:rsidRPr="00EC1FBB" w:rsidRDefault="00F324A5" w:rsidP="00F324A5">
      <w:pPr>
        <w:ind w:firstLine="360"/>
        <w:contextualSpacing/>
        <w:jc w:val="both"/>
        <w:rPr>
          <w:rFonts w:asciiTheme="majorBidi" w:hAnsiTheme="majorBidi" w:cstheme="majorBidi"/>
        </w:rPr>
      </w:pPr>
      <w:r w:rsidRPr="00EC1FBB">
        <w:rPr>
          <w:rFonts w:asciiTheme="majorBidi" w:hAnsiTheme="majorBidi" w:cstheme="majorBidi"/>
        </w:rPr>
        <w:t>Et si une mouche venait leur ravir quelque objet</w:t>
      </w:r>
    </w:p>
    <w:p w14:paraId="7121A36B" w14:textId="77777777" w:rsidR="00F324A5" w:rsidRPr="00EC1FBB" w:rsidRDefault="00F324A5" w:rsidP="00F324A5">
      <w:pPr>
        <w:ind w:firstLine="360"/>
        <w:contextualSpacing/>
        <w:jc w:val="both"/>
        <w:rPr>
          <w:rFonts w:asciiTheme="majorBidi" w:hAnsiTheme="majorBidi" w:cstheme="majorBidi"/>
        </w:rPr>
      </w:pPr>
      <w:r w:rsidRPr="00EC1FBB">
        <w:rPr>
          <w:rFonts w:asciiTheme="majorBidi" w:hAnsiTheme="majorBidi" w:cstheme="majorBidi"/>
        </w:rPr>
        <w:t xml:space="preserve">Ils ne sauraient le reprendre et le lui arracher. </w:t>
      </w:r>
    </w:p>
    <w:p w14:paraId="3287434C" w14:textId="77777777" w:rsidR="00F324A5" w:rsidRPr="00EC1FBB" w:rsidRDefault="00F324A5" w:rsidP="00F324A5">
      <w:pPr>
        <w:ind w:firstLine="360"/>
        <w:contextualSpacing/>
        <w:jc w:val="both"/>
        <w:rPr>
          <w:rFonts w:asciiTheme="majorBidi" w:hAnsiTheme="majorBidi" w:cstheme="majorBidi"/>
        </w:rPr>
      </w:pPr>
      <w:r w:rsidRPr="00EC1FBB">
        <w:rPr>
          <w:rFonts w:asciiTheme="majorBidi" w:hAnsiTheme="majorBidi" w:cstheme="majorBidi"/>
        </w:rPr>
        <w:t xml:space="preserve">Combien sont faibles l’adorateur et l’adoré ? </w:t>
      </w:r>
    </w:p>
    <w:p w14:paraId="0A2D852B"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Les hommes ne savent apprécier </w:t>
      </w:r>
      <w:r w:rsidRPr="00EC1FBB">
        <w:rPr>
          <w:rFonts w:asciiTheme="majorBidi" w:hAnsiTheme="majorBidi" w:cstheme="majorBidi"/>
          <w:b/>
        </w:rPr>
        <w:t xml:space="preserve">DIEU </w:t>
      </w:r>
      <w:r w:rsidRPr="00EC1FBB">
        <w:rPr>
          <w:rFonts w:asciiTheme="majorBidi" w:hAnsiTheme="majorBidi" w:cstheme="majorBidi"/>
        </w:rPr>
        <w:t xml:space="preserve">à sa juste valeur, </w:t>
      </w:r>
    </w:p>
    <w:p w14:paraId="0F5A6BD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IL</w:t>
      </w:r>
      <w:r w:rsidRPr="00EC1FBB">
        <w:rPr>
          <w:rFonts w:asciiTheme="majorBidi" w:hAnsiTheme="majorBidi" w:cstheme="majorBidi"/>
        </w:rPr>
        <w:t xml:space="preserve"> est certes fort et puissant par bonheur. </w:t>
      </w:r>
    </w:p>
    <w:p w14:paraId="1AE7A079"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Parmi les hommes et les anges </w:t>
      </w:r>
      <w:r w:rsidRPr="00EC1FBB">
        <w:rPr>
          <w:rFonts w:asciiTheme="majorBidi" w:hAnsiTheme="majorBidi" w:cstheme="majorBidi"/>
          <w:b/>
        </w:rPr>
        <w:t xml:space="preserve">IL </w:t>
      </w:r>
      <w:r w:rsidRPr="00EC1FBB">
        <w:rPr>
          <w:rFonts w:asciiTheme="majorBidi" w:hAnsiTheme="majorBidi" w:cstheme="majorBidi"/>
        </w:rPr>
        <w:t>choisit ses messagers</w:t>
      </w:r>
    </w:p>
    <w:p w14:paraId="4304107B"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 xml:space="preserve">IL </w:t>
      </w:r>
      <w:r w:rsidRPr="00EC1FBB">
        <w:rPr>
          <w:rFonts w:asciiTheme="majorBidi" w:hAnsiTheme="majorBidi" w:cstheme="majorBidi"/>
        </w:rPr>
        <w:t xml:space="preserve">est audient et clairvoyant sur la totalité. </w:t>
      </w:r>
    </w:p>
    <w:p w14:paraId="0DF92650"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Ce qui est entre vos mains ou derrière vous </w:t>
      </w:r>
      <w:r w:rsidRPr="00EC1FBB">
        <w:rPr>
          <w:rFonts w:asciiTheme="majorBidi" w:hAnsiTheme="majorBidi" w:cstheme="majorBidi"/>
          <w:b/>
        </w:rPr>
        <w:t>IL</w:t>
      </w:r>
      <w:r w:rsidRPr="00EC1FBB">
        <w:rPr>
          <w:rFonts w:asciiTheme="majorBidi" w:hAnsiTheme="majorBidi" w:cstheme="majorBidi"/>
        </w:rPr>
        <w:t xml:space="preserve"> le connaît </w:t>
      </w:r>
    </w:p>
    <w:p w14:paraId="2A3F868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Car de toute chose, </w:t>
      </w:r>
      <w:r w:rsidRPr="00EC1FBB">
        <w:rPr>
          <w:rFonts w:asciiTheme="majorBidi" w:hAnsiTheme="majorBidi" w:cstheme="majorBidi"/>
          <w:b/>
        </w:rPr>
        <w:t xml:space="preserve">IL </w:t>
      </w:r>
      <w:r w:rsidRPr="00EC1FBB">
        <w:rPr>
          <w:rFonts w:asciiTheme="majorBidi" w:hAnsiTheme="majorBidi" w:cstheme="majorBidi"/>
        </w:rPr>
        <w:t xml:space="preserve">en est la finalité. </w:t>
      </w:r>
    </w:p>
    <w:p w14:paraId="6219D7F7"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Inclinez-vous et prosternez-vous O vous qui croyez ! </w:t>
      </w:r>
    </w:p>
    <w:p w14:paraId="147F0B8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Adorez votre </w:t>
      </w:r>
      <w:r w:rsidRPr="00EC1FBB">
        <w:rPr>
          <w:rFonts w:asciiTheme="majorBidi" w:hAnsiTheme="majorBidi" w:cstheme="majorBidi"/>
          <w:b/>
        </w:rPr>
        <w:t>Seigneur</w:t>
      </w:r>
      <w:r w:rsidRPr="00EC1FBB">
        <w:rPr>
          <w:rFonts w:asciiTheme="majorBidi" w:hAnsiTheme="majorBidi" w:cstheme="majorBidi"/>
        </w:rPr>
        <w:t xml:space="preserve">, vous serez heureux si vous pratiquez le bienfait. </w:t>
      </w:r>
    </w:p>
    <w:p w14:paraId="68EA09FD" w14:textId="77777777" w:rsidR="00F324A5" w:rsidRPr="00EC1FBB" w:rsidRDefault="00F324A5" w:rsidP="00876BB0">
      <w:pPr>
        <w:numPr>
          <w:ilvl w:val="0"/>
          <w:numId w:val="139"/>
        </w:numPr>
        <w:contextualSpacing/>
        <w:jc w:val="both"/>
        <w:rPr>
          <w:rFonts w:asciiTheme="majorBidi" w:hAnsiTheme="majorBidi" w:cstheme="majorBidi"/>
        </w:rPr>
      </w:pPr>
      <w:r w:rsidRPr="00EC1FBB">
        <w:rPr>
          <w:rFonts w:asciiTheme="majorBidi" w:hAnsiTheme="majorBidi" w:cstheme="majorBidi"/>
        </w:rPr>
        <w:t xml:space="preserve">Combattez pour </w:t>
      </w:r>
      <w:r w:rsidRPr="00EC1FBB">
        <w:rPr>
          <w:rFonts w:asciiTheme="majorBidi" w:hAnsiTheme="majorBidi" w:cstheme="majorBidi"/>
          <w:b/>
        </w:rPr>
        <w:t>ALLAH</w:t>
      </w:r>
      <w:r w:rsidRPr="00EC1FBB">
        <w:rPr>
          <w:rFonts w:asciiTheme="majorBidi" w:hAnsiTheme="majorBidi" w:cstheme="majorBidi"/>
        </w:rPr>
        <w:t xml:space="preserve"> comme il sied que vous le fassiez. </w:t>
      </w:r>
    </w:p>
    <w:p w14:paraId="758E27D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 xml:space="preserve">IL </w:t>
      </w:r>
      <w:r w:rsidRPr="00EC1FBB">
        <w:rPr>
          <w:rFonts w:asciiTheme="majorBidi" w:hAnsiTheme="majorBidi" w:cstheme="majorBidi"/>
        </w:rPr>
        <w:t xml:space="preserve">vous a élus dans votre religion </w:t>
      </w:r>
      <w:r w:rsidRPr="00EC1FBB">
        <w:rPr>
          <w:rFonts w:asciiTheme="majorBidi" w:hAnsiTheme="majorBidi" w:cstheme="majorBidi"/>
          <w:b/>
        </w:rPr>
        <w:t>IL</w:t>
      </w:r>
      <w:r w:rsidRPr="00EC1FBB">
        <w:rPr>
          <w:rFonts w:asciiTheme="majorBidi" w:hAnsiTheme="majorBidi" w:cstheme="majorBidi"/>
        </w:rPr>
        <w:t xml:space="preserve"> n’a mis nulle difficulté</w:t>
      </w:r>
    </w:p>
    <w:p w14:paraId="699B69C0"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Pas plus que celle de votre père ABRAHAM qui vous a précédé, </w:t>
      </w:r>
    </w:p>
    <w:p w14:paraId="0A34D454"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Et comme musulmans soumis </w:t>
      </w:r>
      <w:r w:rsidRPr="00EC1FBB">
        <w:rPr>
          <w:rFonts w:asciiTheme="majorBidi" w:hAnsiTheme="majorBidi" w:cstheme="majorBidi"/>
          <w:b/>
        </w:rPr>
        <w:t>IL</w:t>
      </w:r>
      <w:r w:rsidRPr="00EC1FBB">
        <w:rPr>
          <w:rFonts w:asciiTheme="majorBidi" w:hAnsiTheme="majorBidi" w:cstheme="majorBidi"/>
        </w:rPr>
        <w:t xml:space="preserve"> vous a désignés. </w:t>
      </w:r>
    </w:p>
    <w:p w14:paraId="27C24B5F"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Auparavant et en cette Révélation afin que votre Envoyé, </w:t>
      </w:r>
    </w:p>
    <w:p w14:paraId="63D23F78"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Puisse à votre égard témoigner comme vous le ferez pour l’humanité. </w:t>
      </w:r>
    </w:p>
    <w:p w14:paraId="13D9D522"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Observez donc la prière, pratiquez la charité. </w:t>
      </w:r>
    </w:p>
    <w:p w14:paraId="26D23A77"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rPr>
        <w:t xml:space="preserve">Soyez à </w:t>
      </w:r>
      <w:r w:rsidRPr="00EC1FBB">
        <w:rPr>
          <w:rFonts w:asciiTheme="majorBidi" w:hAnsiTheme="majorBidi" w:cstheme="majorBidi"/>
          <w:b/>
        </w:rPr>
        <w:t>DIEU</w:t>
      </w:r>
      <w:r w:rsidRPr="00EC1FBB">
        <w:rPr>
          <w:rFonts w:asciiTheme="majorBidi" w:hAnsiTheme="majorBidi" w:cstheme="majorBidi"/>
        </w:rPr>
        <w:t xml:space="preserve"> fermement attachés</w:t>
      </w:r>
    </w:p>
    <w:p w14:paraId="6A19BB26" w14:textId="77777777" w:rsidR="00F324A5" w:rsidRPr="00EC1FBB" w:rsidRDefault="00F324A5" w:rsidP="00F324A5">
      <w:pPr>
        <w:ind w:left="360"/>
        <w:contextualSpacing/>
        <w:jc w:val="both"/>
        <w:rPr>
          <w:rFonts w:asciiTheme="majorBidi" w:hAnsiTheme="majorBidi" w:cstheme="majorBidi"/>
        </w:rPr>
      </w:pPr>
      <w:r w:rsidRPr="00EC1FBB">
        <w:rPr>
          <w:rFonts w:asciiTheme="majorBidi" w:hAnsiTheme="majorBidi" w:cstheme="majorBidi"/>
          <w:b/>
        </w:rPr>
        <w:t xml:space="preserve">IL </w:t>
      </w:r>
      <w:r w:rsidRPr="00EC1FBB">
        <w:rPr>
          <w:rFonts w:asciiTheme="majorBidi" w:hAnsiTheme="majorBidi" w:cstheme="majorBidi"/>
        </w:rPr>
        <w:t xml:space="preserve">est votre Maître incontesté et quel protecteur de qualité ! </w:t>
      </w:r>
    </w:p>
    <w:p w14:paraId="782D8B6D" w14:textId="77777777" w:rsidR="00F324A5" w:rsidRPr="00EC1FBB" w:rsidRDefault="00F324A5" w:rsidP="00F324A5">
      <w:pPr>
        <w:contextualSpacing/>
        <w:jc w:val="both"/>
        <w:rPr>
          <w:rFonts w:asciiTheme="majorBidi" w:eastAsia="Times New Roman" w:hAnsiTheme="majorBidi" w:cstheme="majorBidi"/>
        </w:rPr>
      </w:pPr>
    </w:p>
    <w:p w14:paraId="064AC0A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7CCD5114" w14:textId="77777777" w:rsidR="00F324A5" w:rsidRPr="00EC1FBB" w:rsidRDefault="00F324A5" w:rsidP="00F324A5">
      <w:pPr>
        <w:contextualSpacing/>
        <w:jc w:val="both"/>
        <w:rPr>
          <w:rFonts w:asciiTheme="majorBidi" w:eastAsia="Times New Roman" w:hAnsiTheme="majorBidi" w:cstheme="majorBidi"/>
        </w:rPr>
      </w:pPr>
    </w:p>
    <w:p w14:paraId="6BAC75FB"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Mohammed Chiadmi</w:t>
      </w:r>
      <w:r w:rsidRPr="001F1490">
        <w:rPr>
          <w:rStyle w:val="Appelnotedebasdep"/>
          <w:rFonts w:asciiTheme="majorBidi" w:hAnsiTheme="majorBidi" w:cstheme="majorBidi"/>
          <w:b/>
          <w:bCs/>
        </w:rPr>
        <w:footnoteReference w:id="728"/>
      </w:r>
      <w:r w:rsidRPr="00EC1FBB">
        <w:rPr>
          <w:rFonts w:asciiTheme="majorBidi" w:eastAsia="Times New Roman" w:hAnsiTheme="majorBidi" w:cstheme="majorBidi"/>
          <w:b/>
          <w:bCs/>
        </w:rPr>
        <w:t xml:space="preserve"> (1999)</w:t>
      </w:r>
    </w:p>
    <w:p w14:paraId="523718FE" w14:textId="77777777" w:rsidR="00F324A5" w:rsidRPr="00EC1FBB" w:rsidRDefault="00F324A5" w:rsidP="00F324A5">
      <w:pPr>
        <w:ind w:left="720"/>
        <w:contextualSpacing/>
        <w:jc w:val="center"/>
        <w:rPr>
          <w:rFonts w:asciiTheme="majorBidi" w:eastAsia="Times New Roman" w:hAnsiTheme="majorBidi" w:cstheme="majorBidi"/>
          <w:i/>
          <w:iCs/>
        </w:rPr>
      </w:pPr>
      <w:r w:rsidRPr="00EC1FBB">
        <w:rPr>
          <w:rFonts w:asciiTheme="majorBidi" w:eastAsia="Calibri" w:hAnsiTheme="majorBidi" w:cstheme="majorBidi"/>
          <w:i/>
          <w:iCs/>
          <w:lang w:bidi="ar-AE"/>
        </w:rPr>
        <w:t>(Traduction accompagnée du texte arabe à droite)</w:t>
      </w:r>
    </w:p>
    <w:p w14:paraId="26C69706"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22 Sourate du Pèlerinage</w:t>
      </w:r>
    </w:p>
    <w:p w14:paraId="2B9C9759"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Al-Hajj</w:t>
      </w:r>
    </w:p>
    <w:p w14:paraId="316706D4"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Post-hég. N°103 ; titre tiré du verset 27, 78 versets</w:t>
      </w:r>
    </w:p>
    <w:p w14:paraId="587DB028"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i/>
        </w:rPr>
        <w:t>Au nom de Dieu, le Clément, le Miséricordieux</w:t>
      </w:r>
      <w:r w:rsidRPr="00EC1FBB">
        <w:rPr>
          <w:rFonts w:asciiTheme="majorBidi" w:hAnsiTheme="majorBidi" w:cstheme="majorBidi"/>
        </w:rPr>
        <w:t>.</w:t>
      </w:r>
    </w:p>
    <w:p w14:paraId="68DBD0C3"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1. Ô hommes ! Craignez votre Seigneur car le tremblement de l’Heure dernière sera quelque chose de terrifiant ! </w:t>
      </w:r>
    </w:p>
    <w:p w14:paraId="53E4A7B3"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2. Le jour où il se produira, toute nourrice oubliera son nourrisson, toute femelle enceinte enfantera avant terme et les hommes donneront l’impression d’être ivres, bien qu’ils ne le soient pas, car le châtiment de Dieu sera terrible. </w:t>
      </w:r>
    </w:p>
    <w:p w14:paraId="06025639"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3. Tel, parmi les hommes, discute au sujet de Dieu sans détenir la moindre connaissance, et se laisse entraîner par tout démon rebelle, 4. prédestiné à égarer quiconque le prend pour allié, et à le conduire au supplice de l’Enfer. </w:t>
      </w:r>
    </w:p>
    <w:p w14:paraId="22B2742B"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 Ô hommes ! Si vous êtes dans le doute au sujet de la Résurrection, sachez que c’est Nous qui vous avons tirés de terre puis d’une goutte de sperme, puis d’une adhérence, puis d’un embryon dont une partie est déjà formée et une autre non encore formée. C’est ainsi que Nous vous donnons une idée de Notre puissance. Nous maintenons dans les matrices ce que Nous voulons jusqu’au terme fixé pour vous en faire ensuite sortir à l’état de bébé, et vous atteindrez ainsi plus tard votre maturité. Il en est parmi vous qui meurent encore jeunes, tandis que d’autres arrivent jusqu’à l’âge de la décrépitude au point de ne plus se souvenir de ce qu’ils savaient. Ne vois-tu pas comment la terre desséchée reprend vie, dès que Nous l’arrosons de pluie, pour se gonfler et se couvrir de toutes sortes de couples de plantes luxuriantes ? </w:t>
      </w:r>
    </w:p>
    <w:p w14:paraId="331F5696"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 Il en est ainsi, parce que Dieu est la Vérité même, qu’Il est Celui qui rend la vie aux morts, que Sa puissance s’étend sur toute chose, </w:t>
      </w:r>
    </w:p>
    <w:p w14:paraId="54497E79"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7. que l’heure viendra, sans nul doute, et que Dieu ressuscitera ceux qui sont dans les tombes. </w:t>
      </w:r>
    </w:p>
    <w:p w14:paraId="2285DAD3"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8. Tel, parmi les hommes, discute de Dieu sans aucune connaissance, sans direction et sans livre pour éclairer sa lanterne, 9. en affichant une attitude orgueilleuse pour éloigner ses semblables de la Voie du Seigneur. L’opprobre couvrira cet individu en ce monde, puis Nous lui ferons goûter, au Jour de la Résurrection, le supplice de l’Enfer. </w:t>
      </w:r>
    </w:p>
    <w:p w14:paraId="04289597"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10. « Voilà le prix des actes que tu as accomplis sur Terre ! », lui sera-t-il dit, car Dieu ne Se montre jamais injuste envers Ses créatures. </w:t>
      </w:r>
    </w:p>
    <w:p w14:paraId="23FF7987"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11. Tel autre, parmi les hommes, adore Dieu d’une manière indécise. S’il lui arrive quelque bien, il en jouit avec quiétude, mais s’il est atteint par la moindre épreuve, il fait aussitôt volte-face, causant ainsi sa perte dans cette vie et dans la vie future. Et c’est là une perte irréparable ! </w:t>
      </w:r>
    </w:p>
    <w:p w14:paraId="1AE6085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12. Il invoque en dehors de Dieu ce qui ne peut lui être ni nuisible ni utile. Et c’est là le comble de l’égarement ! </w:t>
      </w:r>
    </w:p>
    <w:p w14:paraId="05D9977E"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13. Il invoque celui qui lui est plus nuisible qu’utile. Quel détestable patron et quel détestable compagnon ! </w:t>
      </w:r>
    </w:p>
    <w:p w14:paraId="0795799E"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14. Certes, Dieu fera entrer dans les Jardins sous lesquels coulent des ruisseaux ceux qui croient et font de bonnes actions, car la volonté de Dieu doit toujours s’accomplir. </w:t>
      </w:r>
    </w:p>
    <w:p w14:paraId="0C6768C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lastRenderedPageBreak/>
        <w:t>15. Que celui qui pense que Dieu ne secourra pas son Prophète, ni en ce monde ni dans la vie future, se pende à une corde haut placée et qu’il tente de la couper. Il verra alors si ce moyen est de nature à dissiper ses rancœurs.</w:t>
      </w:r>
    </w:p>
    <w:p w14:paraId="762AA374"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16. C’est ainsi que Nous avons révélé ce Coran en versets évidents, et Dieu guide qui Il veut. 17. Certes, ceux qui croient, ceux qui pratiquent le judaïsme ainsi que les sabéens</w:t>
      </w:r>
      <w:r w:rsidRPr="00EC1FBB">
        <w:rPr>
          <w:rStyle w:val="Appelnotedebasdep"/>
          <w:rFonts w:asciiTheme="majorBidi" w:hAnsiTheme="majorBidi" w:cstheme="majorBidi"/>
        </w:rPr>
        <w:footnoteReference w:id="729"/>
      </w:r>
      <w:r w:rsidRPr="00EC1FBB">
        <w:rPr>
          <w:rFonts w:asciiTheme="majorBidi" w:hAnsiTheme="majorBidi" w:cstheme="majorBidi"/>
        </w:rPr>
        <w:t>, les chrétiens, les zoroastriens</w:t>
      </w:r>
      <w:r w:rsidRPr="00EC1FBB">
        <w:rPr>
          <w:rStyle w:val="Appelnotedebasdep"/>
          <w:rFonts w:asciiTheme="majorBidi" w:hAnsiTheme="majorBidi" w:cstheme="majorBidi"/>
        </w:rPr>
        <w:footnoteReference w:id="730"/>
      </w:r>
      <w:r w:rsidRPr="00EC1FBB">
        <w:rPr>
          <w:rFonts w:asciiTheme="majorBidi" w:hAnsiTheme="majorBidi" w:cstheme="majorBidi"/>
        </w:rPr>
        <w:t xml:space="preserve"> et les polythéistes, Dieu les départagera le Jour de la Résurrection, car il est Témoin de toute chose. </w:t>
      </w:r>
    </w:p>
    <w:p w14:paraId="5CCD963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18. Ne vois-tu pas que devant Dieu se prosternent tous ceux qui sont dans les Cieux tous ceux qui sont sur la Terre, ainsi que le Soleil, la Lune, les étoiles, les montagnes, les arbres, les animaux et une grande partie des hommes ? Mais le châtiment sera le lot de beaucoup parmi ces derniers. Et celui que Dieu déshonore, nul ne saurait le réhabiliter, car la volonté de Dieu doit s’accomplir</w:t>
      </w:r>
      <w:r w:rsidRPr="00EC1FBB">
        <w:rPr>
          <w:rStyle w:val="Appelnotedebasdep"/>
          <w:rFonts w:asciiTheme="majorBidi" w:hAnsiTheme="majorBidi" w:cstheme="majorBidi"/>
        </w:rPr>
        <w:footnoteReference w:id="731"/>
      </w:r>
      <w:r w:rsidRPr="00EC1FBB">
        <w:rPr>
          <w:rFonts w:asciiTheme="majorBidi" w:hAnsiTheme="majorBidi" w:cstheme="majorBidi"/>
        </w:rPr>
        <w:t xml:space="preserve">. </w:t>
      </w:r>
    </w:p>
    <w:p w14:paraId="5607DC25"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19. Voici deux clans adverses qui disputent au sujet de leur Seigneur. Les négateurs recevront des vêtements de feu, et il leur sera versé sur la tête un liquide bouillant. </w:t>
      </w:r>
    </w:p>
    <w:p w14:paraId="06956B6F"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20. qui fera fondre leurs entrailles et leur peau, </w:t>
      </w:r>
    </w:p>
    <w:p w14:paraId="2D473BB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21. pendant que des massues de fer seront préparées à leur intention. </w:t>
      </w:r>
    </w:p>
    <w:p w14:paraId="20C9E24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22. Et toutes les fois que, transis de douleur, ils tenteront de s’en évader, on les y ramènera et on leur dira : « Goûtez donc le supplice de l’Enfer ! » </w:t>
      </w:r>
    </w:p>
    <w:p w14:paraId="7BF968C5"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23. Quant à ceux qui croient et font des œuvres pies, Dieu les admettra dans des Jardins sous lesquels coulent des ruisseaux, et ils seront ornés de parures d’or et de perles, et de soie vêtus. </w:t>
      </w:r>
    </w:p>
    <w:p w14:paraId="2A353E43"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24. Ils auront été ainsi initiés à la bonne parole et guidés vers la Voie du Digne des louanges. 25. Mais les négateurs qui s’emploient à éloigner leurs semblables de la Voie de Dieu et du Temple sacré</w:t>
      </w:r>
      <w:r w:rsidRPr="00EC1FBB">
        <w:rPr>
          <w:rStyle w:val="Appelnotedebasdep"/>
          <w:rFonts w:asciiTheme="majorBidi" w:hAnsiTheme="majorBidi" w:cstheme="majorBidi"/>
        </w:rPr>
        <w:footnoteReference w:id="732"/>
      </w:r>
      <w:r w:rsidRPr="00EC1FBB">
        <w:rPr>
          <w:rFonts w:asciiTheme="majorBidi" w:hAnsiTheme="majorBidi" w:cstheme="majorBidi"/>
        </w:rPr>
        <w:t xml:space="preserve"> que Nous avons établi pour tous les hommes, aussi bien pour les résidents que pour ceux qui sont de passage, ainsi que quiconque s’avise d’y commettre un sacrilège par méchanceté, Nous leur ferons goûter un châtiment douloureux. </w:t>
      </w:r>
    </w:p>
    <w:p w14:paraId="57A24B0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lastRenderedPageBreak/>
        <w:t>26. Rappelle-toi que, lorsque Nous avons installé Abraham sur l’emplacement du Temple</w:t>
      </w:r>
      <w:r w:rsidRPr="00EC1FBB">
        <w:rPr>
          <w:rStyle w:val="Appelnotedebasdep"/>
          <w:rFonts w:asciiTheme="majorBidi" w:hAnsiTheme="majorBidi" w:cstheme="majorBidi"/>
        </w:rPr>
        <w:footnoteReference w:id="733"/>
      </w:r>
      <w:r w:rsidRPr="00EC1FBB">
        <w:rPr>
          <w:rFonts w:asciiTheme="majorBidi" w:hAnsiTheme="majorBidi" w:cstheme="majorBidi"/>
        </w:rPr>
        <w:t>, Nous lui dîmes : « Ne Me donne aucun associé ! Veille à conserver Mon Temple en état de pureté pour ceux qui viennent y accomplir les tours rituels</w:t>
      </w:r>
      <w:r w:rsidRPr="00EC1FBB">
        <w:rPr>
          <w:rStyle w:val="Appelnotedebasdep"/>
          <w:rFonts w:asciiTheme="majorBidi" w:hAnsiTheme="majorBidi" w:cstheme="majorBidi"/>
        </w:rPr>
        <w:footnoteReference w:id="734"/>
      </w:r>
      <w:r w:rsidRPr="00EC1FBB">
        <w:rPr>
          <w:rFonts w:asciiTheme="majorBidi" w:hAnsiTheme="majorBidi" w:cstheme="majorBidi"/>
        </w:rPr>
        <w:t>, ou y faire leurs dévotions debout, agenouillés ou prosternés</w:t>
      </w:r>
      <w:r w:rsidRPr="00EC1FBB">
        <w:rPr>
          <w:rStyle w:val="Appelnotedebasdep"/>
          <w:rFonts w:asciiTheme="majorBidi" w:hAnsiTheme="majorBidi" w:cstheme="majorBidi"/>
        </w:rPr>
        <w:footnoteReference w:id="735"/>
      </w:r>
      <w:r w:rsidRPr="00EC1FBB">
        <w:rPr>
          <w:rFonts w:asciiTheme="majorBidi" w:hAnsiTheme="majorBidi" w:cstheme="majorBidi"/>
        </w:rPr>
        <w:t> !</w:t>
      </w:r>
    </w:p>
    <w:p w14:paraId="08246E3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27. Appelle les hommes au pèlerinage </w:t>
      </w:r>
      <w:r w:rsidRPr="00EC1FBB">
        <w:rPr>
          <w:rFonts w:asciiTheme="majorBidi" w:hAnsiTheme="majorBidi" w:cstheme="majorBidi"/>
          <w:i/>
        </w:rPr>
        <w:t xml:space="preserve">[hajj] ! </w:t>
      </w:r>
      <w:r w:rsidRPr="00EC1FBB">
        <w:rPr>
          <w:rFonts w:asciiTheme="majorBidi" w:hAnsiTheme="majorBidi" w:cstheme="majorBidi"/>
        </w:rPr>
        <w:t>Ils répondront à ton appel, à pied et sur toute monture, venant des contrées les plus éloignées,</w:t>
      </w:r>
    </w:p>
    <w:p w14:paraId="78A3CE79"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28. Pour participer aux bienfaits du pèlerinage et invoquer le Nom du Seigneur aux jours fixés, en immolant la bête prise sur le bétail que Dieu leur a accordé. Mangez-en vous-mêmes et donnez-en à manger aux pauvres démunis</w:t>
      </w:r>
      <w:r w:rsidRPr="00EC1FBB">
        <w:rPr>
          <w:rStyle w:val="Appelnotedebasdep"/>
          <w:rFonts w:asciiTheme="majorBidi" w:hAnsiTheme="majorBidi" w:cstheme="majorBidi"/>
        </w:rPr>
        <w:footnoteReference w:id="736"/>
      </w:r>
      <w:r w:rsidRPr="00EC1FBB">
        <w:rPr>
          <w:rFonts w:asciiTheme="majorBidi" w:hAnsiTheme="majorBidi" w:cstheme="majorBidi"/>
        </w:rPr>
        <w:t>.</w:t>
      </w:r>
    </w:p>
    <w:p w14:paraId="3F34EA26"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29. Puis qu’ils se délient de leurs interdits, accomplissent leurs vœux et effectuent autour du Temple antique</w:t>
      </w:r>
      <w:r w:rsidRPr="00EC1FBB">
        <w:rPr>
          <w:rStyle w:val="Appelnotedebasdep"/>
          <w:rFonts w:asciiTheme="majorBidi" w:hAnsiTheme="majorBidi" w:cstheme="majorBidi"/>
        </w:rPr>
        <w:footnoteReference w:id="737"/>
      </w:r>
      <w:r w:rsidRPr="00EC1FBB">
        <w:rPr>
          <w:rFonts w:asciiTheme="majorBidi" w:hAnsiTheme="majorBidi" w:cstheme="majorBidi"/>
        </w:rPr>
        <w:t xml:space="preserve"> les circuits rituels ». </w:t>
      </w:r>
    </w:p>
    <w:p w14:paraId="6C0786BF"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30. C’est ainsi qu’il faut agir. Quiconque respecte ces institutions sacrées en sera récompensé auprès du Seigneur. La chair du bétail vous est permise, à l’exception des interdictions qui vous ont déjà été désignées. Evitez la souillure, évitez les propos mensongers ! </w:t>
      </w:r>
    </w:p>
    <w:p w14:paraId="77C9508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31. Soyez des monothéistes sincères et ne prêtez aucun associé au Seigneur, car celui qui Lui donne des associés est comme quelqu’un qui, précipité du ciel, se trouve disputé par des oiseaux de proie ou emporté par le vent vers un abîme sans fond. 32. Ainsi en est-il. Se montrer respectueux des rites institués par Dieu est un acte qui s’inspire de la piété du cœur. 33. Libre à vous d’en tirer profit jusqu’au terme fixé. Puis leur immolation aura lieu auprès du Temple antique. </w:t>
      </w:r>
    </w:p>
    <w:p w14:paraId="012286A3"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34. A chaque communauté, Nous avons assigné un rite sacrificiel</w:t>
      </w:r>
      <w:r w:rsidRPr="00EC1FBB">
        <w:rPr>
          <w:rStyle w:val="Appelnotedebasdep"/>
          <w:rFonts w:asciiTheme="majorBidi" w:hAnsiTheme="majorBidi" w:cstheme="majorBidi"/>
        </w:rPr>
        <w:footnoteReference w:id="738"/>
      </w:r>
      <w:r w:rsidRPr="00EC1FBB">
        <w:rPr>
          <w:rFonts w:asciiTheme="majorBidi" w:hAnsiTheme="majorBidi" w:cstheme="majorBidi"/>
        </w:rPr>
        <w:t xml:space="preserve">, afin que ses membres invoquent le Nom de Dieu sur les bêtes prélevées sur le cheptel qu’Il leur a attribué. Votre Dieu est un Dieu unique. Soumettez-vous donc à Lui. Et toi, Prophète, fais bonne annonce aux humbles. </w:t>
      </w:r>
    </w:p>
    <w:p w14:paraId="2493D4FD"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lastRenderedPageBreak/>
        <w:t xml:space="preserve">35. dont les cœurs frémissent quand le nom de Dieu est prononcé, qui se montrent patients face à l’épreuve, qui s’acquittent de la salât et qui donnent en aumône une partie de ce que Nous leur avons accordé. </w:t>
      </w:r>
    </w:p>
    <w:p w14:paraId="565EA31C"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36. Nous avons désigné, à votre intention, les chameaux pour servir dans les rites sacrificiels. Et c’est là une décision bénéfique pour vous. Invoquez le Nom de Dieu sur ceux qui sont prêts à être sacrifiés. Et une fois que la bête est abattue, vous pourrez vous nourrir de sa chair et en distribuer aux nécessiteux discrets et aux pauvres mendiants. C’est dans ce but que Nous vous avons assujetti ces animaux. Peut-être en serez-vous reconnaissants. 37. Ni la chair ni le sang de ces animaux n’ont d’importance pour Dieu. Seule compte pour Lui votre piété. Aussi a-t-Il mis ces animaux à votre service, afin que vous Le glorifiez pour vous avoir dirigés sur le droit chemin. Prophète ! Annonce à ceux qui font le bien. 38. que Dieu prendra toujours la défense de ceux qui ont la foi, car Dieu n’aime pas les traîtres ingrats. </w:t>
      </w:r>
    </w:p>
    <w:p w14:paraId="07A44D2B"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39. Toute autorisation de se défendre est donnée aux victimes d’une agression, qui ont été injustement opprimées, et Dieu a tout pouvoir pour les secourir</w:t>
      </w:r>
      <w:r w:rsidRPr="00EC1FBB">
        <w:rPr>
          <w:rStyle w:val="Appelnotedebasdep"/>
          <w:rFonts w:asciiTheme="majorBidi" w:hAnsiTheme="majorBidi" w:cstheme="majorBidi"/>
        </w:rPr>
        <w:footnoteReference w:id="739"/>
      </w:r>
      <w:r w:rsidRPr="00EC1FBB">
        <w:rPr>
          <w:rFonts w:asciiTheme="majorBidi" w:hAnsiTheme="majorBidi" w:cstheme="majorBidi"/>
        </w:rPr>
        <w:t xml:space="preserve">. </w:t>
      </w:r>
    </w:p>
    <w:p w14:paraId="45311A47"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40. Tel est le cas de ceux qui ont été injustement chassés de leurs foyers uniquement pour avoir dit : « Notre Seigneur est Dieu ! » Si Dieu ne repoussait pas certains peuples par d’autres, des ermitages auraient été démolis, ainsi que des synagogues, des oratoires et des mosquées où le Nom de Dieu est souvent invoqué. Dieu assistera assurément ceux qui aident au triomphe de Sa Cause, car la force et la puissance de Dieu n’ont point de limite.</w:t>
      </w:r>
    </w:p>
    <w:p w14:paraId="07C9DD5A"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41. Dieu prêtera assistance à ceux qui, une fois leur position consolidée, accompliront la salât, s’acquitteront de la zakât, ordonneront le Bien et dénonceront le Mal. En définitive, c’est à Dieu qu’appartient l’issue de toute chose. </w:t>
      </w:r>
    </w:p>
    <w:p w14:paraId="663D8B14"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42. Si les impies te traitent d’imposteur, sache qu’avant eux le peuple de Noé, les ‘Âd, les Thamûd, </w:t>
      </w:r>
    </w:p>
    <w:p w14:paraId="620D5FBF"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43. le peuple d’Abraham, le peuple de Loth, </w:t>
      </w:r>
    </w:p>
    <w:p w14:paraId="361F084A"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44. les gens de Madyan avaient eux aussi crié au mensonge. De même que Moïse</w:t>
      </w:r>
      <w:r w:rsidRPr="00EC1FBB">
        <w:rPr>
          <w:rStyle w:val="Appelnotedebasdep"/>
          <w:rFonts w:asciiTheme="majorBidi" w:hAnsiTheme="majorBidi" w:cstheme="majorBidi"/>
        </w:rPr>
        <w:footnoteReference w:id="740"/>
      </w:r>
      <w:r w:rsidRPr="00EC1FBB">
        <w:rPr>
          <w:rFonts w:asciiTheme="majorBidi" w:hAnsiTheme="majorBidi" w:cstheme="majorBidi"/>
        </w:rPr>
        <w:t xml:space="preserve"> fut traité de menteur. J’ai accordé aux impies un long délai ; puis J’ai sévi contre eux. Et quel ne fut point alors Ma réprobation ! </w:t>
      </w:r>
    </w:p>
    <w:p w14:paraId="5F8DD9EB"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45. Que de cités Nous avons anéanties en punition de leurs péchés, et dont il ne reste plus que de vagues vestiges : là, un puits comblé ; et là, un château puissamment édifié, aujourd’hui totalement abandonné ! </w:t>
      </w:r>
    </w:p>
    <w:p w14:paraId="5FEE00CF"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46. Que ne parcourent-ils la Terre pour acquérir des cœurs aptes à comprendre et des oreilles aptes à entendre ? En vérité, ce ne sont pas les yeux qui se trouvent atteints de cécité, mais ce sont les cœurs qui battent dans les poitrines qui s’aveuglent. </w:t>
      </w:r>
    </w:p>
    <w:p w14:paraId="48A1E961"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47. Ils te demandent de hâter l’arrivée du châtiment. Mais Dieu ne manque jamais à Sa promesse. Cependant, un seul jour du Seigneur équivaut à mille ans de votre manière de compter. </w:t>
      </w:r>
    </w:p>
    <w:p w14:paraId="06830276"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48. A combien de cités n’ai-Je accordé un sursis alors qu’elles étaient en pleine tyrannie ? Puis, soudain, Je les ai saisies, car c’est vers Moi que tout fera retour. </w:t>
      </w:r>
    </w:p>
    <w:p w14:paraId="6B0222A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49. Dis : « Ô hommes ! Je ne suis pour vous qu’un avertisseur explicite. </w:t>
      </w:r>
    </w:p>
    <w:p w14:paraId="4BF7A2C7"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lastRenderedPageBreak/>
        <w:t xml:space="preserve">50. Ceux donc qui croient et pratiquent le bien auront le pardon de leurs péchés et une généreuse rétribution, </w:t>
      </w:r>
    </w:p>
    <w:p w14:paraId="762C84EE"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51. tandis que ceux qui s’acharnent à rendre Nos signes inopérants, ceux-là seront voués à la Géhenne</w:t>
      </w:r>
      <w:r w:rsidRPr="00EC1FBB">
        <w:rPr>
          <w:rStyle w:val="Appelnotedebasdep"/>
          <w:rFonts w:asciiTheme="majorBidi" w:hAnsiTheme="majorBidi" w:cstheme="majorBidi"/>
        </w:rPr>
        <w:footnoteReference w:id="741"/>
      </w:r>
      <w:r w:rsidRPr="00EC1FBB">
        <w:rPr>
          <w:rFonts w:asciiTheme="majorBidi" w:hAnsiTheme="majorBidi" w:cstheme="majorBidi"/>
        </w:rPr>
        <w:t xml:space="preserve">. » </w:t>
      </w:r>
    </w:p>
    <w:p w14:paraId="24F49A18"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52. Nous n’avons envoyé avant toi aucun messager ni prophète sans que le diable ait tenté d’altérer le sens des versets qui leur étaient révélés. Mais Dieu a toujours aboli les suggestions du diable et rétabli le sens véritable de Ses versets. Dieu est Omniscient et Sage. </w:t>
      </w:r>
    </w:p>
    <w:p w14:paraId="56C85978"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53. Et ce, afin de faire ce que suggère le diable une tentation pour ceux dont les cœurs sont minés par le doute et pour ceux dont les cœurs sont endurcis. C’est pourquoi les iniques s’engagent si loin dans la scission. </w:t>
      </w:r>
    </w:p>
    <w:p w14:paraId="5F1D26C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54. Et afin aussi que les initiés sachent que ces versets expriment la vérité émanant de ton Seigneur, qu’ils y croient et que leurs cœurs s’y soumettent en toute humilité, car Dieu guide vers le droit chemin ceux qui croient. </w:t>
      </w:r>
    </w:p>
    <w:p w14:paraId="7C64DC54"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55. Quant aux impies, ils continueront à en douter jusqu’à ce que l’Heure dernière vienne les surprendre, ou que les atteigne le châtiment d’un jour terrifiant. </w:t>
      </w:r>
    </w:p>
    <w:p w14:paraId="44658C62"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56. La souveraineté, ce jour-là, appartiendra à Dieu Seul qui jugera entre les hommes. C’est ainsi que ceux qui auront cru et auront accompli des œuvres salutaires iront aux jardins du délice, </w:t>
      </w:r>
    </w:p>
    <w:p w14:paraId="06C76DD6"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57. tandis que ceux qui auront été incrédules et qui auront traité Nos signes de mensonges, ceux-là subiront un châtiment avilissant. </w:t>
      </w:r>
    </w:p>
    <w:p w14:paraId="2BCD633D"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58. Quant à ceux qui ont émigré pour la Cause de Dieu et qui ensuite ont été tués ou sont morts, Dieu leur accordera une belle récompense, car nul ne récompense mieux que Lui. </w:t>
      </w:r>
    </w:p>
    <w:p w14:paraId="0164F35B"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59. Il les fera sûrement admettre en un lieu qui les enchantera. Dieu est Omniscient et Magnanime. </w:t>
      </w:r>
    </w:p>
    <w:p w14:paraId="18D89585"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60. Ainsi en est-il. Celui qui se venge sans excès d’une agression qu’il avait subie, et qui est ensuite victime d’une nouvelle violence, Dieu lui prêtera assurément Son secours et Se montrera à son égard Indulgent et Clément. </w:t>
      </w:r>
    </w:p>
    <w:p w14:paraId="47ECD048"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61. Il en est ainsi, parce que Dieu insère la nuit dans le jour et le jour dans la nuit. En vérité, Dieu est Audient et Clairvoyant. </w:t>
      </w:r>
    </w:p>
    <w:p w14:paraId="62FF2BA4"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62. Et il en est ainsi parce que Dieu est la Vérité même, alors que ce qu’ils invoquent en dehors de Lui n’est que fausseté, et que Dieu est le Sublime et le Grand. </w:t>
      </w:r>
    </w:p>
    <w:p w14:paraId="723A0DB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63. Ne vois-tu pas que la terre ne tarde pas à reverdir, dès que Dieu fait descendre l’eau du ciel ? Dieu est, en vérité, Bienveillant et parfaitement informé. </w:t>
      </w:r>
    </w:p>
    <w:p w14:paraId="382C1458"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64. Il est le Maître des Cieux et de la Terre. Il est, en vérité, Celui qui Se suffit à Lui-même, et Il est le Digne de louange. </w:t>
      </w:r>
    </w:p>
    <w:p w14:paraId="0E15541B"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65. Ne vois-tu pas que Dieu vous a soumis tout ce qui est sur la terre, ainsi que le vaisseau qui, sur Son ordre, vogue sur la mer, et qu’Il retient le ciel pour l’empêcher de tomber, sauf par Sa permission, sur la terre. Dieu est, en vérité, Plein de compassion et de miséricorde pour les hommes. </w:t>
      </w:r>
    </w:p>
    <w:p w14:paraId="63484501"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66. C’est Lui qui vous a donné la vie, qui vous fera ensuite mourir et qui vous fera à nouveau revivre. En vérité, l’homme est plein d’ingratitude ! </w:t>
      </w:r>
    </w:p>
    <w:p w14:paraId="668C3637"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67. A chaque communauté Nous avons institué un ensemble de rites qu’elle doit observer</w:t>
      </w:r>
      <w:r w:rsidRPr="00EC1FBB">
        <w:rPr>
          <w:rStyle w:val="Appelnotedebasdep"/>
          <w:rFonts w:asciiTheme="majorBidi" w:hAnsiTheme="majorBidi" w:cstheme="majorBidi"/>
        </w:rPr>
        <w:footnoteReference w:id="742"/>
      </w:r>
      <w:r w:rsidRPr="00EC1FBB">
        <w:rPr>
          <w:rFonts w:asciiTheme="majorBidi" w:hAnsiTheme="majorBidi" w:cstheme="majorBidi"/>
        </w:rPr>
        <w:t xml:space="preserve">. Qu’ils cessent donc de discuter avec toi l’ordre reçu ! Implore plutôt ton Seigneur, car tu es </w:t>
      </w:r>
      <w:r w:rsidRPr="00EC1FBB">
        <w:rPr>
          <w:rFonts w:asciiTheme="majorBidi" w:hAnsiTheme="majorBidi" w:cstheme="majorBidi"/>
        </w:rPr>
        <w:lastRenderedPageBreak/>
        <w:t xml:space="preserve">assurément dans le droit chemin. 68. S’ils s’obstinent dans leur polémique, dis-leur : « Dieu sait parfaitement ce que vous faîtes. 69. Il tranchera, au Jour du Jugement dernier, vos différends. » 70. Ne sais-tu pas que Dieu connaît tout ce qui se passe dans le Ciel et sur la Terre?  Tout cela est consigné dans un Livre, et il n’est rien d’aussi facile pour Dieu. </w:t>
      </w:r>
    </w:p>
    <w:p w14:paraId="2C08C9AD"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71. Ils adorent en dehors de Dieu des divinités qu’Il n’a jamais accréditées et dont eux-mêmes n’ont aucune connaissance. Ces injustes ne bénéficieront d’aucun secours. </w:t>
      </w:r>
    </w:p>
    <w:p w14:paraId="682DC8B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72. Quand on leur récite Nos versets, comme autant de preuves évidentes, on voit se dessiner la réprobation sur les visages des négateurs. Et peu s’en faut qu’ils ne fassent violence à ceux qui les récitent. Dis-leur : « Voulez-vous que je vous informe de quelque chose de plus terrible encore ? C’est l’Enfer que Dieu a promis aux infidèles ! Et quel affreux devenir ! »</w:t>
      </w:r>
    </w:p>
    <w:p w14:paraId="3F78F5C8"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73. Ô hommes ! Voici une parabole qui vous est proposée. Ecoutez-la ! Ceux que vous invoquez en dehors de Dieu ne sauraient même pas créer une mouche, dussent-ils s’y mettre ensemble. Et si une mouche leur enlevait quelque chose, ils seraient incapables de le lui reprendre. Solliciteur et sollicité sont aussi faibles l’un que l’autre</w:t>
      </w:r>
      <w:r w:rsidRPr="00EC1FBB">
        <w:rPr>
          <w:rStyle w:val="Appelnotedebasdep"/>
          <w:rFonts w:asciiTheme="majorBidi" w:hAnsiTheme="majorBidi" w:cstheme="majorBidi"/>
        </w:rPr>
        <w:footnoteReference w:id="743"/>
      </w:r>
      <w:r w:rsidRPr="00EC1FBB">
        <w:rPr>
          <w:rFonts w:asciiTheme="majorBidi" w:hAnsiTheme="majorBidi" w:cstheme="majorBidi"/>
        </w:rPr>
        <w:t xml:space="preserve">. </w:t>
      </w:r>
    </w:p>
    <w:p w14:paraId="1E79DE7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74. Les hommes ne savent pas estimer Dieu à Sa juste valeur. Dieu est, en vérité, Fort et Puissant. </w:t>
      </w:r>
    </w:p>
    <w:p w14:paraId="44572DED"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75. Il choisit des messagers parmi les anges et parmi les hommes. Dieu est Audient et Clairvoyant. </w:t>
      </w:r>
    </w:p>
    <w:p w14:paraId="5F89C2A0"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76. Il connaît tout leur passé et leur avenir. Et c’est à Lui que tout fera retour. </w:t>
      </w:r>
    </w:p>
    <w:p w14:paraId="42FC52AF"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77. Ô vous qui croyez ! Inclinez-vous ! Prosternez-vous ! Adorez votre Seigneur et faites le bien, dans l’espoir d’assurer votre salut</w:t>
      </w:r>
      <w:r w:rsidRPr="00EC1FBB">
        <w:rPr>
          <w:rStyle w:val="Appelnotedebasdep"/>
          <w:rFonts w:asciiTheme="majorBidi" w:hAnsiTheme="majorBidi" w:cstheme="majorBidi"/>
        </w:rPr>
        <w:footnoteReference w:id="744"/>
      </w:r>
      <w:r w:rsidRPr="00EC1FBB">
        <w:rPr>
          <w:rFonts w:asciiTheme="majorBidi" w:hAnsiTheme="majorBidi" w:cstheme="majorBidi"/>
        </w:rPr>
        <w:t> !</w:t>
      </w:r>
    </w:p>
    <w:p w14:paraId="64FCE641" w14:textId="77777777" w:rsidR="00F324A5" w:rsidRPr="00EC1FBB" w:rsidRDefault="00F324A5" w:rsidP="00F324A5">
      <w:pPr>
        <w:contextualSpacing/>
        <w:jc w:val="both"/>
        <w:rPr>
          <w:rFonts w:asciiTheme="majorBidi" w:hAnsiTheme="majorBidi" w:cstheme="majorBidi"/>
        </w:rPr>
      </w:pPr>
      <w:r w:rsidRPr="00EC1FBB">
        <w:rPr>
          <w:rFonts w:asciiTheme="majorBidi" w:hAnsiTheme="majorBidi" w:cstheme="majorBidi"/>
        </w:rPr>
        <w:t xml:space="preserve">78. Luttez comme il se doit pour la Cause de Dieu ! C’est Lui qui vous a élus, sans vous imposer aucune gêne dans votre religion, qui est la religion de votre père Abraham, lequel vous a lui-même déjà nommés « les musulmans », nom que vous portez encore dans ce Coran, afin que le Prophète soit témoin contre vous, et que vous soyez vous-mêmes témoins contre les hommes. Accomplissez donc la salât ! Acquittez-vous de la zâlat et attachez-vous fortement au Seigneur ! C’est Lui votre Protecteur ! Quel excellent Seigneur et quel excellent Soutien ! </w:t>
      </w:r>
    </w:p>
    <w:p w14:paraId="551A2DEB" w14:textId="77777777" w:rsidR="00F324A5" w:rsidRPr="00EC1FBB" w:rsidRDefault="00F324A5" w:rsidP="00F324A5">
      <w:pPr>
        <w:contextualSpacing/>
        <w:jc w:val="both"/>
        <w:rPr>
          <w:rFonts w:asciiTheme="majorBidi" w:eastAsia="Calibri" w:hAnsiTheme="majorBidi" w:cstheme="majorBidi"/>
          <w:lang w:bidi="ar-AE"/>
        </w:rPr>
      </w:pPr>
    </w:p>
    <w:p w14:paraId="68607632" w14:textId="77777777" w:rsidR="00F324A5" w:rsidRPr="00EC1FBB" w:rsidRDefault="00F324A5" w:rsidP="00F324A5">
      <w:pPr>
        <w:contextualSpacing/>
        <w:jc w:val="both"/>
        <w:rPr>
          <w:rFonts w:asciiTheme="majorBidi" w:eastAsia="Calibri" w:hAnsiTheme="majorBidi" w:cstheme="majorBidi"/>
          <w:lang w:bidi="ar-AE"/>
        </w:rPr>
      </w:pPr>
    </w:p>
    <w:p w14:paraId="57A35699"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303DFDC8" w14:textId="77777777" w:rsidR="00F324A5" w:rsidRPr="00EC1FBB" w:rsidRDefault="00F324A5" w:rsidP="00F324A5">
      <w:pPr>
        <w:contextualSpacing/>
        <w:jc w:val="both"/>
        <w:rPr>
          <w:rFonts w:asciiTheme="majorBidi" w:eastAsia="Times New Roman" w:hAnsiTheme="majorBidi" w:cstheme="majorBidi"/>
        </w:rPr>
      </w:pPr>
    </w:p>
    <w:p w14:paraId="553D9F19" w14:textId="77777777" w:rsidR="00F324A5" w:rsidRPr="00EC1FBB" w:rsidRDefault="00F324A5" w:rsidP="00876BB0">
      <w:pPr>
        <w:numPr>
          <w:ilvl w:val="0"/>
          <w:numId w:val="128"/>
        </w:numPr>
        <w:contextualSpacing/>
        <w:jc w:val="center"/>
        <w:rPr>
          <w:rFonts w:asciiTheme="majorBidi" w:eastAsia="Times New Roman" w:hAnsiTheme="majorBidi" w:cstheme="majorBidi"/>
          <w:b/>
          <w:bCs/>
          <w:rtl/>
        </w:rPr>
      </w:pPr>
      <w:r w:rsidRPr="00EC1FBB">
        <w:rPr>
          <w:rFonts w:asciiTheme="majorBidi" w:eastAsia="SimSun" w:hAnsiTheme="majorBidi" w:cstheme="majorBidi"/>
          <w:b/>
          <w:bCs/>
          <w:lang w:eastAsia="zh-CN"/>
        </w:rPr>
        <w:t xml:space="preserve">La traduction du </w:t>
      </w:r>
      <w:r w:rsidRPr="00EC1FBB">
        <w:rPr>
          <w:rFonts w:asciiTheme="majorBidi" w:eastAsia="Times New Roman" w:hAnsiTheme="majorBidi" w:cstheme="majorBidi"/>
          <w:b/>
          <w:bCs/>
        </w:rPr>
        <w:t>Complexe du Roi Fahd à Médine</w:t>
      </w:r>
      <w:r>
        <w:rPr>
          <w:rStyle w:val="Appelnotedebasdep"/>
          <w:rFonts w:asciiTheme="majorBidi" w:eastAsia="Times New Roman" w:hAnsiTheme="majorBidi" w:cstheme="majorBidi"/>
          <w:b/>
          <w:bCs/>
        </w:rPr>
        <w:footnoteReference w:id="745"/>
      </w:r>
      <w:r w:rsidRPr="00EC1FBB">
        <w:rPr>
          <w:rFonts w:asciiTheme="majorBidi" w:eastAsia="Times New Roman" w:hAnsiTheme="majorBidi" w:cstheme="majorBidi"/>
          <w:b/>
          <w:bCs/>
        </w:rPr>
        <w:t xml:space="preserve"> (2001)</w:t>
      </w:r>
    </w:p>
    <w:p w14:paraId="380D59D3" w14:textId="77777777" w:rsidR="00F324A5" w:rsidRPr="00EC1FBB" w:rsidRDefault="00F324A5" w:rsidP="00F324A5">
      <w:pPr>
        <w:contextualSpacing/>
        <w:jc w:val="center"/>
        <w:rPr>
          <w:rFonts w:asciiTheme="majorBidi" w:eastAsia="Times New Roman" w:hAnsiTheme="majorBidi" w:cstheme="majorBidi"/>
          <w:color w:val="000000"/>
        </w:rPr>
      </w:pPr>
      <w:r w:rsidRPr="00EC1FBB">
        <w:rPr>
          <w:rFonts w:asciiTheme="majorBidi" w:eastAsia="Times New Roman" w:hAnsiTheme="majorBidi" w:cstheme="majorBidi"/>
          <w:color w:val="000000"/>
        </w:rPr>
        <w:t>Sourate 22 : Al-</w:t>
      </w:r>
      <w:r w:rsidRPr="00EC1FBB">
        <w:rPr>
          <w:rFonts w:asciiTheme="majorBidi" w:eastAsia="Calibri" w:hAnsiTheme="majorBidi" w:cstheme="majorBidi"/>
        </w:rPr>
        <w:t xml:space="preserve"> </w:t>
      </w:r>
      <w:r w:rsidRPr="00EC1FBB">
        <w:rPr>
          <w:rFonts w:asciiTheme="majorBidi" w:eastAsia="Times New Roman" w:hAnsiTheme="majorBidi" w:cstheme="majorBidi"/>
          <w:color w:val="000000"/>
        </w:rPr>
        <w:t>Ḥajj (Le pèlerinage)</w:t>
      </w:r>
    </w:p>
    <w:p w14:paraId="733BC206" w14:textId="77777777" w:rsidR="00F324A5" w:rsidRPr="00EC1FBB" w:rsidRDefault="00F324A5" w:rsidP="00F324A5">
      <w:pPr>
        <w:contextualSpacing/>
        <w:jc w:val="center"/>
        <w:rPr>
          <w:rFonts w:asciiTheme="majorBidi" w:eastAsia="Times New Roman" w:hAnsiTheme="majorBidi" w:cstheme="majorBidi"/>
          <w:color w:val="000000"/>
        </w:rPr>
      </w:pPr>
      <w:r w:rsidRPr="00EC1FBB">
        <w:rPr>
          <w:rFonts w:asciiTheme="majorBidi" w:eastAsia="Times New Roman" w:hAnsiTheme="majorBidi" w:cstheme="majorBidi"/>
          <w:color w:val="000000"/>
        </w:rPr>
        <w:t>78 versets</w:t>
      </w:r>
    </w:p>
    <w:p w14:paraId="568F603B" w14:textId="77777777" w:rsidR="00F324A5" w:rsidRPr="00EC1FBB" w:rsidRDefault="00F324A5" w:rsidP="00F324A5">
      <w:pPr>
        <w:contextualSpacing/>
        <w:jc w:val="center"/>
        <w:rPr>
          <w:rFonts w:asciiTheme="majorBidi" w:eastAsia="Times New Roman" w:hAnsiTheme="majorBidi" w:cstheme="majorBidi"/>
          <w:color w:val="000000"/>
        </w:rPr>
      </w:pPr>
      <w:r w:rsidRPr="00EC1FBB">
        <w:rPr>
          <w:rFonts w:asciiTheme="majorBidi" w:eastAsia="Times New Roman" w:hAnsiTheme="majorBidi" w:cstheme="majorBidi"/>
          <w:color w:val="000000"/>
        </w:rPr>
        <w:t>Post-hég. n° 103</w:t>
      </w:r>
    </w:p>
    <w:p w14:paraId="556BA19B" w14:textId="77777777" w:rsidR="00F324A5" w:rsidRPr="00EC1FBB" w:rsidRDefault="00F324A5" w:rsidP="00F324A5">
      <w:pPr>
        <w:shd w:val="clear" w:color="auto" w:fill="FFFFFF"/>
        <w:ind w:firstLine="480"/>
        <w:contextualSpacing/>
        <w:jc w:val="center"/>
        <w:rPr>
          <w:rFonts w:asciiTheme="majorBidi" w:eastAsia="Times New Roman" w:hAnsiTheme="majorBidi" w:cstheme="majorBidi"/>
          <w:i/>
          <w:iCs/>
          <w:color w:val="000000"/>
        </w:rPr>
      </w:pPr>
      <w:r w:rsidRPr="00EC1FBB">
        <w:rPr>
          <w:rFonts w:asciiTheme="majorBidi" w:eastAsia="Times New Roman" w:hAnsiTheme="majorBidi" w:cstheme="majorBidi"/>
          <w:i/>
          <w:iCs/>
          <w:color w:val="000000"/>
        </w:rPr>
        <w:t>Au nom d’Allah, le Tout Miséricordieux, le Très Miséricordieux</w:t>
      </w:r>
    </w:p>
    <w:p w14:paraId="1D239FE9"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Ô hommes ! Craignez votre Seigneur. Le séisme [qui précédera] l’Heure est une chose terrible.</w:t>
      </w:r>
    </w:p>
    <w:p w14:paraId="7ABA76F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Le jour où vous le verrez, toute nourrice oubliera ce qu’elle allaitait, et toute femelle enceinte avortera de ce qu’elle portait. Et tu verras les gens ivres, alors qu’ils ne le sont pas. Mais le châtiment d’Allah est dur.</w:t>
      </w:r>
    </w:p>
    <w:p w14:paraId="5E740E2B"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il y a des gens qui discutent au sujet d’Allah sans aucune science, et qui suivent tout diable rebelle.</w:t>
      </w:r>
    </w:p>
    <w:p w14:paraId="25507970"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a été prescrit à l’égard de ce dernier qu’il égarera quiconque le prendra pour maître, et qu’il le guidera vers le châtiment de la fournaise.</w:t>
      </w:r>
    </w:p>
    <w:p w14:paraId="1B4F9428"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Ô hommes ! Si vous doutez au sujet de la Résurrection, C’est Nous qui vous avons créés de terre, puis d’une goutte de sperme, puis d’une adhérence puis d’un embryon [normalement] formé aussi bien qu’informe pour vous montrer [Notre Omnipotence] et Nous déposerons dans les matrices ce que Nous voulons jusqu’à un terme fixé. Puis Nous vous en sortirons [à l’état] de bébé, pour qu’ensuite vous atteigniez votre maturité. Il en est parmi vous qui meurent [jeunes] tandis que d’autres parviennent au plus vil de l’âge si bien qu’ils ne savent plus rien de ce qu’ils connaissaient auparavant. De même tu vois la terre desséchée : dès que Nous y faisons descendre de l’eau elle remue, se gonfle, et fait pousser toutes sortes de splendides couples de végétaux.</w:t>
      </w:r>
    </w:p>
    <w:p w14:paraId="56F38D89"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en est ainsi parce qu’Allah est la vérité ; et c’est Lui qui rend la vie aux morts ; et c’est Lui qui est Omnipotent.</w:t>
      </w:r>
    </w:p>
    <w:p w14:paraId="588993CA"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que l’Heure arrivera ; pas de doute à son sujet, et qu’Allah ressuscitera ceux qui sont dans les tombeaux.</w:t>
      </w:r>
    </w:p>
    <w:p w14:paraId="30F7901D"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Or, il y a des gens qui discutent au sujet d’Allah sans aucune science, ni guide, ni Livre pour les éclairer,</w:t>
      </w:r>
    </w:p>
    <w:p w14:paraId="2460794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affichant une attitude orgueilleuse pour égarer les gens du sentier d’Allah. A lui l’ignominie ici-bas ; et Nous Lui ferons goûter le Jour de la Résurrection, le châtiment de la fournaise.</w:t>
      </w:r>
    </w:p>
    <w:p w14:paraId="241A9E33"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Voilà, pour ce que tes deux mains ont préparé (ici-bas) ! Cependant, Allah n’est point injuste envers Ses serviteurs.</w:t>
      </w:r>
    </w:p>
    <w:p w14:paraId="2C33BD7B"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en est parmi les gens qui adorent Allah marginalement. S’il leur arrive un bien, ils s’en tranquillisent, et s’il leur arrive une épreuve, ils détournent leur visage, perdant ainsi (le bien) de l’ici-bas et de l’au-delà. Telle est la perte évidente !</w:t>
      </w:r>
    </w:p>
    <w:p w14:paraId="57F8DEF0"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invoquent en dehors d’Allah, ce qui ne peut ni leur nuire ni leur profiter. Tel est l’égarement profond !</w:t>
      </w:r>
    </w:p>
    <w:p w14:paraId="018D936E"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invoquent ce dont le mal est certainement plus proche que l’utilité. Quel mauvais allié, et quel mauvais compagnon !</w:t>
      </w:r>
    </w:p>
    <w:p w14:paraId="2F5D8834"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lastRenderedPageBreak/>
        <w:t>Ceux qui croient et font de bonnes œuvres, Allah les fait entrer aux Jardins sous lesquels coulent les ruisseaux, car Allah fait certes ce qu’Il veut.</w:t>
      </w:r>
    </w:p>
    <w:p w14:paraId="323EF0E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Celui qui pense qu’Allah ne le secourra pas dans l’ici-bas et dans l’au-delà, qu’il tende une corde jusqu’au ciel, puis qu’il la coupe, et qu’il voie si sa ruse va faire disparaître ce qui l’enrage.</w:t>
      </w:r>
    </w:p>
    <w:p w14:paraId="33ADCF17"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C’est ainsi que Nous le fîmes descendre (le Coran) en versets clairs et qu’Allah guide qui Il veut.</w:t>
      </w:r>
    </w:p>
    <w:p w14:paraId="2DEE6169"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Certes, ceux qui ont cru, les Juifs, les Sabéens [ils adorateurs des étoiles], les Nazaréens, les Mages et ceux qui donnent à Allah des associés, Allah tranchera entre eux le jour de Jugement, car Allah est certes témoin de toute chose.</w:t>
      </w:r>
    </w:p>
    <w:p w14:paraId="2D1BD63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N’as-tu pas vu que c’est devant Allah que se prosternent tous ceux qui sont dans les cieux et tous ceux qui sont sur la terre, le soleil, la lune, les étoiles les montagnes, les arbres, les animaux, ainsi que beaucoup de gens ? Il y en a aussi beaucoup qui méritent le châtiment. Et quiconque Allah avilit n’a personne pour l’honorer, car Allah fait ce qu’il veut.</w:t>
      </w:r>
    </w:p>
    <w:p w14:paraId="1FF6E998"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Voici deux clans adverses qui disputaient au sujet de leur Seigneur. À ceux qui ne croient pas, on taillera des vêtements de feu, tandis que sur leurs têtes on versera de l’eau bouillante.</w:t>
      </w:r>
    </w:p>
    <w:p w14:paraId="5E6C3EFA"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qui fera fondre ce qui est dans leurs ventres de même que leurs peaux.</w:t>
      </w:r>
    </w:p>
    <w:p w14:paraId="79B8DB57"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il y aura pour eux des maillets de fer.</w:t>
      </w:r>
    </w:p>
    <w:p w14:paraId="43C38AF2"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Toutes les fois qu’ils voudront en sortir (pour échapper) à la détresse, on les y remettra et (on leur dira) : “Goûtez au châtiment de la Fournaise”.</w:t>
      </w:r>
    </w:p>
    <w:p w14:paraId="3FB646F2"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Certes Allah introduit ceux qui croient et font de bonnes œuvres aux Jardins sous lesquels coulent les ruisseaux. Là, ils seront parés de bracelets d’or, et aussi de perles ; et leurs vêtements y seront de soie.</w:t>
      </w:r>
    </w:p>
    <w:p w14:paraId="4ECC945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ont été guidés vers la bonne parole et ils ont été guidés vers le chemin du Digne des louanges.</w:t>
      </w:r>
    </w:p>
    <w:p w14:paraId="1964CDEA"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Mais ceux qui mécroient et qui obstruent le sentier d’Allah et celui de la Mosquée sacrée, que Nous avons établie pour les gens : aussi bien les résident que ceux de passage... Quiconque cherche à y commettre un sacrilège injustement, Nous lui ferons goûter un châtiment douloureux,</w:t>
      </w:r>
    </w:p>
    <w:p w14:paraId="4B3C55D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quand Nous indiquâmes pour Abraham le lieu de la Maison (La Kaaba) [en lui disant] : “Ne M’associe rien ; et purifie Ma Maison pour ceux qui tournent autour, pour qui s’y tiennent debout et pour ceux qui s’y inclinent et se prosternent”.</w:t>
      </w:r>
    </w:p>
    <w:p w14:paraId="64B5C5B0"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fais aux gens une annonce pour le Hajj. Ils viendront vers toi, à pied, et aussi sur toute monture, venant de tout chemin éloigné,</w:t>
      </w:r>
    </w:p>
    <w:p w14:paraId="2C6DCDB3"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pour participer aux avantages qui leur ont été accordés et pour invoquer le nom d’Allah aux jours fixés, sur la bête de cheptel qu’Il leur a attribuée, “Mangez-en vous-mêmes et faites-en manger le besogneux misérable.</w:t>
      </w:r>
    </w:p>
    <w:p w14:paraId="0B7920ED"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Puis qu’ils mettent fin à leurs interdits (qu’ils nettoient leurs corps), qu’ils remplissent leurs vœux, et qu’ils fassent les circuits autour de l’Antique Maison”.</w:t>
      </w:r>
    </w:p>
    <w:p w14:paraId="40F0CFDB"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Voilà [ce qui doit être observé] et quiconque prend en haute considération les limites sacrées d’Allah cela lui sera meilleur auprès de Son Seigneur. Le bétail, sauf ce qu’on vous a cité, vous a été rendu licite. Abstenez-vous de la souillure des idoles et abstenez-vous des paroles mensongères.</w:t>
      </w:r>
    </w:p>
    <w:p w14:paraId="7162E164"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lastRenderedPageBreak/>
        <w:t>(Soyez) exclusivement [acquis à la religion] d’Allah ne Lui associez rien ; car quiconque associe à Allah, c’est comme s’il tombait du haut du ciel et que les oiseaux le happaient, ou que le vent le précipitait dans un abîme très profond.</w:t>
      </w:r>
    </w:p>
    <w:p w14:paraId="796DBB8D"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Voilà [ce qui est prescrit]. Et quiconque exalte les injonctions sacrées d’Allah, s’inspire en effet de la piété des cœurs.</w:t>
      </w:r>
    </w:p>
    <w:p w14:paraId="01C104BE"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[De ces bêtes-là] vous tirez des avantages jusqu’à un terme fixé ; puis son lieu d’immolation est auprès de l’Antique Maison.</w:t>
      </w:r>
    </w:p>
    <w:p w14:paraId="64DF8B84"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 chaque communauté, Nous avons assigné un rite sacrificiel, afin qu’ils prononcent le nom d’Allah sur la bête de cheptel qu’Il leur a attribuée. Votre Dieu est certes un Dieu unique. Soumettez-vous donc à Lui. Et fais bonne annonce à ceux qui s’humilient,</w:t>
      </w:r>
    </w:p>
    <w:p w14:paraId="6EF84462"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ceux dont les cœurs frémissent quand le nom d’Allah est mentionné, ceux qui endurent ce qui les atteint et ceux qui accomplissent la Salat et dépensent de ce que Nous leur avons attribué.</w:t>
      </w:r>
    </w:p>
    <w:p w14:paraId="456456FE"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Nous vous avons désigné les chameaux (et les vaches) bien portants pour certains rites établis par Allah. Il y a en eux pour vous un bien. Prononcez donc sur eux le nom d’Allah, quand ils ont eu la patte attachée, [prêts à être immolés]. Puis, lorsqu’ils gisent sur le flanc mangez-en, et nourrissez-en le besogneux discret et le mendiant. Ainsi Nous vous les avons assujettis afin que vous soyez reconnaissants.</w:t>
      </w:r>
    </w:p>
    <w:p w14:paraId="356A1DA0"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Ni leurs chairs ni leurs sangs n’atteindront Allah, mais ce qui L’atteint de votre part c’est la piété. Ainsi vous les a-t-Il assujettis afin que vous proclamiez la grandeur d’Allah, pour vous avoir mis sur le droit chemin. Et annonce la bonne nouvelle aux bienfaisants.</w:t>
      </w:r>
    </w:p>
    <w:p w14:paraId="42FF4450"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Allah prend la défense de ceux qui croient. Allah n’aime aucun traître ingrat.</w:t>
      </w:r>
    </w:p>
    <w:p w14:paraId="55EC8BF3"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Autorisation est donnée à ceux qui sont attaqués (de se défendre) - parce que vraiment ils sont lésés ; et Allah est certes Capable de les secourir -</w:t>
      </w:r>
    </w:p>
    <w:p w14:paraId="6EC1CFC7"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ceux qui ont été expulsés de leurs demeures, - contre toute justice, simplement parce qu’ils disaient : “Allah est notre Seigneur”. - Si Allah ne repoussait pas les gens les uns par les autres, les ermitages seraient démolis, ainsi que les églises, les synagogues et les mosquées où le nom d’Allah est beaucoup invoqué. Allah soutient, certes, ceux qui soutiennent (Sa Religion). Allah est assurément Fort et Puissant,</w:t>
      </w:r>
    </w:p>
    <w:p w14:paraId="1C4CF1B7"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ceux qui, si Nous leur donnons la puissance sur terre, accomplissent la Salat, acquittent la Zakat, ordonnent le convenable et interdisent le blâmable. Cependant, l’issue finale de toute chose appartient à Allah.</w:t>
      </w:r>
    </w:p>
    <w:p w14:paraId="4EE1CD0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s’ils te traitent de menteur, [sache que] le peuple de Noé, les Aad, les Tamud avant eux, ont aussi crié au mensonge (à l’égard de leurs messagers),</w:t>
      </w:r>
    </w:p>
    <w:p w14:paraId="47834D53"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de même que le peuple d’Abraham, le peuple de Lot.</w:t>
      </w:r>
    </w:p>
    <w:p w14:paraId="133A4372"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les gens de Madyan. Et Moïse fut traité de menteur ; Puis, J’ai donné un répit aux mécréants, ensuite Je les ai saisis. Et quelle fut Ma réprobation !</w:t>
      </w:r>
    </w:p>
    <w:p w14:paraId="3D3A1B2B"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Que de cités, donc, avons-Nous fait périr, parce qu’elles commettaient des tyrannies. Elles sont réduites à des toits écroulés : Que de puits désertés ! Que de palais édifiés (et désertés aussi) !</w:t>
      </w:r>
    </w:p>
    <w:p w14:paraId="793127A5"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Que ne voyagent-ils sur la terre afin d’avoir des cœurs pour comprendre, et des oreilles pour entendre ? Car ce ne sont pas les yeux qui s’aveuglent, mais, ce sont les cœurs dans les poitrines qui s’aveuglent.</w:t>
      </w:r>
    </w:p>
    <w:p w14:paraId="6DCADBC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ils te demandent de hâter [l’arrivée] du châtiment. Jamais Allah ne manquera à Sa promesse. Cependant, un jour auprès de ton Seigneur, équivaut à mille ans de ce que vous comptez.</w:t>
      </w:r>
    </w:p>
    <w:p w14:paraId="1A5E3E6E"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lastRenderedPageBreak/>
        <w:t>A combien de cités n’ai-Je pas donné répit alors qu’elles commettaient des tyrannies ? Ensuite, Je les ai saisies. Vers Moi et le devenir.</w:t>
      </w:r>
    </w:p>
    <w:p w14:paraId="2C8DD369"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Dis : “ô hommes ! Je ne suis pour vous, en vérité, qu’un avertisseur explicite”.</w:t>
      </w:r>
    </w:p>
    <w:p w14:paraId="57F427A1"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Ceux donc qui croient et font de bonnes œuvres auront pardon et faveurs généreuses,</w:t>
      </w:r>
    </w:p>
    <w:p w14:paraId="4CA12613"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tandis que ceux qui s’efforcent à échapper (au châtiment mentionné dans) Nos versets, ceux-là sont les gens de l’Enfer.</w:t>
      </w:r>
    </w:p>
    <w:p w14:paraId="5D3E97E5"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Nous n’avons envoyé, avant toi, ni Messager ni prophète qui n’ait récité. (ce qui lui a été révélé) sans que le Diable n’ait essayé d’intervenir [pour semer le doute dans le cœur des gens au sujet] de sa récitation. Allah abroge ce que le Diable suggère, et Allah renforce Ses versets. Allah est Omniscient et Sage.</w:t>
      </w:r>
    </w:p>
    <w:p w14:paraId="455602BC"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Afin de faire, de ce que jette le Diable, une tentation pour ceux qui ont une maladie au cœur et ceux qui ont le cœur dur... Les injustes sont certes dans un schisme profond.</w:t>
      </w:r>
    </w:p>
    <w:p w14:paraId="0FB3B84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afin que ceux à qui le savoir a été donné sachent que (le Coran) est en effet, la Vérité venant de ton Seigneur, qu’ils y croient alors, et que leurs cœurs s’y soumettent en toute humilité. Allah guide certes vers le droit chemin ceux qui croient.</w:t>
      </w:r>
    </w:p>
    <w:p w14:paraId="7CB0FDF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ceux qui mécroient ne cesseront d’être en doute à son sujet, jusqu’à ce que l’Heure les surprenne à l’improviste ou que les atteigne le châtiment d’un jour terrifiant.</w:t>
      </w:r>
    </w:p>
    <w:p w14:paraId="2D0BD0D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La souveraineté ce jour-là appartiendra à Allah qui jugera parmi eux. Ceux qui auront cru et fait de bonnes œuvres seront dans les Jardins de délice,</w:t>
      </w:r>
    </w:p>
    <w:p w14:paraId="39576EFE"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quand aux infidèles qui auront traité Nos révélations de mensonges, ils auront un châtiment avilissant !</w:t>
      </w:r>
    </w:p>
    <w:p w14:paraId="6A49EA8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Ceux qui émigrent dans le sentier d’Allah et qui sont tués ou meurent, Allah leur accordera certes une belle récompense, car Allah est le meilleur des donateurs.</w:t>
      </w:r>
    </w:p>
    <w:p w14:paraId="30B7183B"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les fera, certes, entrer en un lieu qu’ils agréeront, et Allah est certes Omniscient et Indulgent.</w:t>
      </w:r>
    </w:p>
    <w:p w14:paraId="7B296B71"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Ainsi en est-il. Quiconque châtie de la même façon dont il a été châtié, et qu’ensuite il est victime d’un nouvel outrage, Allah l’aidera, car Allah est certainement Absoluteur et Pardonneur.</w:t>
      </w:r>
    </w:p>
    <w:p w14:paraId="7F0BD059"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C’est ainsi qu’Allah fait pénétrer la nuit dans le jour, et fait pénétrer le jour dans la nuit. Allah est, certes, Audient et Clairvoyant.</w:t>
      </w:r>
    </w:p>
    <w:p w14:paraId="0344E1BE"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C’est ainsi qu’Allah est Lui le Vrai, alors que ce qu’ils invoquent en dehors de Lui est le faux ; c’est Allah qui est le Sublime, le Grand.</w:t>
      </w:r>
    </w:p>
    <w:p w14:paraId="0494EFCC"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N’as-tu pas vu qu’Allah fait descendre l’eau du ciel, et la terre devient alors verte ? Allah est Plein de bonté et Parfaitement Connaisseur.</w:t>
      </w:r>
    </w:p>
    <w:p w14:paraId="60C01A4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À Lui appartient ce qui est dans les cieux et sur la terre. Allah est le seul qui se suffit à Lui-Même et qui est Le Digne de louange !</w:t>
      </w:r>
    </w:p>
    <w:p w14:paraId="44BE382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N’as-tu pas vu qu’Allah vous a soumis tout ce qui est sur la terre ainsi que le vaisseau qui vogue sur la mer par Son ordre ? Il retient le ciel de tomber sur la terre, sauf quand Il le permettra. Car Allah est Plein de bonté et de miséricorde envers les hommes.</w:t>
      </w:r>
    </w:p>
    <w:p w14:paraId="507E386B"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C’est Lui qui vous donne la vie puis vous donne la mort, puis vous fait revivre. Vraiment l’homme est très ingrat.</w:t>
      </w:r>
    </w:p>
    <w:p w14:paraId="15473671"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À chaque communauté, Nous avons assigné un culte à suivre. Qu’ils ne disputent donc point avec toi l’ordre reçu ! Et appelle à ton Seigneur. Tu es certes sur une voie droite.</w:t>
      </w:r>
    </w:p>
    <w:p w14:paraId="68005129"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s’ils discutent avec toi, alors dis : “C’est Allah qui connaît mieux ce que vous faites.</w:t>
      </w:r>
    </w:p>
    <w:p w14:paraId="6F367000"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Allah jugera entre vous, au Jour de la Résurrection, ce en quoi vous divergez”.</w:t>
      </w:r>
    </w:p>
    <w:p w14:paraId="1673B59A"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lastRenderedPageBreak/>
        <w:t>Ne sais-tu pas qu’Allah sait ce qu’il y a dans le ciel et sur la terre ? Tout cela est dans un Livre, et cela pour Allah est bien facile.</w:t>
      </w:r>
    </w:p>
    <w:p w14:paraId="700A8353"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ils adorent en dehors, d’Allah, ce en quoi Il n’a fait descendre aucune preuve et ce dont ils n’ont aucune connaissance. Et il n’y aura pas de protecteur pour les injustes.</w:t>
      </w:r>
    </w:p>
    <w:p w14:paraId="5E5CF1B3"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quand on leur récite Nos versets bien clairs, tu discerneras la réprobation sur les visages de ceux qui ont mécru. Peu s’en faut qu’ils ne se jettent sur ceux qui leur récitent Nos versets. Dis : “Vous informerai-je de quelque chose de plus terrible ? - Le Feu : Allah l’a promis à ceux qui ont mécru. Et quel triste devenir ! ”</w:t>
      </w:r>
    </w:p>
    <w:p w14:paraId="2EB14542"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ô hommes ! Une parabole vous est proposée, écoutez-la : “Ceux que vous invoquez en dehors d’Allah ne sauraient même pas créer une mouche, quand même ils s’uniraient pour cela. Et si la mouche les dépouillait de quelque chose, ils ne sauraient le lui reprendre. Le solliciteur et le sollicité sont [également] faibles ! ”</w:t>
      </w:r>
    </w:p>
    <w:p w14:paraId="61BAB7A9"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Ils n’ont pas estimé Allah à sa juste valeur ; Allah est certes Fort et Puissant.</w:t>
      </w:r>
    </w:p>
    <w:p w14:paraId="5324C18F"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Allah choisit des messagers parmi les Anges et parmi les hommes. Allah est Audient et Clairvoyant.</w:t>
      </w:r>
    </w:p>
    <w:p w14:paraId="44226BC2"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Il sait ce qui est devant eux et derrière eux. Et c’est vers Allah que tout retournera.</w:t>
      </w:r>
    </w:p>
    <w:p w14:paraId="778CBF06"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ô vous qui croyez ! Inclinez-vous, prosternez-vous, adorez votre Seigneur, et faites le bien. Peut-être réussirez vous !</w:t>
      </w:r>
    </w:p>
    <w:p w14:paraId="6D89494E" w14:textId="77777777" w:rsidR="00F324A5" w:rsidRPr="00EC1FBB" w:rsidRDefault="00F324A5" w:rsidP="00876BB0">
      <w:pPr>
        <w:numPr>
          <w:ilvl w:val="0"/>
          <w:numId w:val="140"/>
        </w:numPr>
        <w:shd w:val="clear" w:color="auto" w:fill="FFFFFF"/>
        <w:ind w:left="768"/>
        <w:contextualSpacing/>
        <w:jc w:val="both"/>
        <w:rPr>
          <w:rFonts w:asciiTheme="majorBidi" w:eastAsia="Times New Roman" w:hAnsiTheme="majorBidi" w:cstheme="majorBidi"/>
          <w:color w:val="000000"/>
        </w:rPr>
      </w:pPr>
      <w:r w:rsidRPr="00EC1FBB">
        <w:rPr>
          <w:rFonts w:asciiTheme="majorBidi" w:eastAsia="Times New Roman" w:hAnsiTheme="majorBidi" w:cstheme="majorBidi"/>
          <w:color w:val="000000"/>
        </w:rPr>
        <w:t>Et luttez pour Allah avec tout l’effort qu’Il mérite. C’est Lui qui vous a élus ; et Il ne vous a imposé aucune gêne dans la religion, celle de votre père Abraham, lequel vous a déjà nommés “Musulmans” avant (ce Livre) et dans ce (Livre), afin que le Messager soit témoin contre vous, et que vous soyez vous-mêmes témoins contre les gens. Accomplissez donc la Salat, acquittez la Zakat et attachez-vous fortement à Allah. C’est Lui votre Maître. Et quel Excellent Maître ! Et quel Excellent soutien !</w:t>
      </w:r>
    </w:p>
    <w:p w14:paraId="46CE268D" w14:textId="77777777" w:rsidR="00F324A5" w:rsidRPr="00EC1FBB" w:rsidRDefault="00F324A5" w:rsidP="00F324A5">
      <w:pPr>
        <w:contextualSpacing/>
        <w:rPr>
          <w:rFonts w:asciiTheme="majorBidi" w:eastAsia="Calibri" w:hAnsiTheme="majorBidi" w:cstheme="majorBidi"/>
          <w:lang w:bidi="ar-AE"/>
        </w:rPr>
      </w:pPr>
    </w:p>
    <w:p w14:paraId="6DA9DABE" w14:textId="77777777" w:rsidR="00F324A5" w:rsidRPr="00EC1FBB" w:rsidRDefault="00F324A5" w:rsidP="00F324A5">
      <w:pPr>
        <w:contextualSpacing/>
        <w:rPr>
          <w:rFonts w:asciiTheme="majorBidi" w:hAnsiTheme="majorBidi" w:cstheme="majorBidi"/>
          <w:lang w:bidi="ar-AE"/>
        </w:rPr>
      </w:pPr>
    </w:p>
    <w:p w14:paraId="28399DF7"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456DD8C8" w14:textId="77777777" w:rsidR="00F324A5" w:rsidRPr="00EC1FBB" w:rsidRDefault="00F324A5" w:rsidP="00F324A5">
      <w:pPr>
        <w:contextualSpacing/>
        <w:jc w:val="both"/>
        <w:rPr>
          <w:rFonts w:asciiTheme="majorBidi" w:eastAsia="Times New Roman" w:hAnsiTheme="majorBidi" w:cstheme="majorBidi"/>
        </w:rPr>
      </w:pPr>
    </w:p>
    <w:p w14:paraId="22225882"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 xml:space="preserve">Zeinab </w:t>
      </w:r>
      <w:r w:rsidRPr="00EC1FBB">
        <w:rPr>
          <w:rFonts w:asciiTheme="majorBidi" w:eastAsia="Calibri" w:hAnsiTheme="majorBidi" w:cstheme="majorBidi"/>
          <w:b/>
          <w:bCs/>
        </w:rPr>
        <w:t>Abdelaziz</w:t>
      </w:r>
      <w:r>
        <w:rPr>
          <w:rStyle w:val="Appelnotedebasdep"/>
          <w:rFonts w:asciiTheme="majorBidi" w:eastAsia="Calibri" w:hAnsiTheme="majorBidi" w:cstheme="majorBidi"/>
          <w:b/>
          <w:bCs/>
        </w:rPr>
        <w:footnoteReference w:id="746"/>
      </w:r>
      <w:r w:rsidRPr="00EC1FBB">
        <w:rPr>
          <w:rFonts w:asciiTheme="majorBidi" w:eastAsia="Times New Roman" w:hAnsiTheme="majorBidi" w:cstheme="majorBidi"/>
          <w:b/>
          <w:bCs/>
        </w:rPr>
        <w:t xml:space="preserve"> (2002, 2009 &amp; 2014)</w:t>
      </w:r>
    </w:p>
    <w:p w14:paraId="1AAA43A1" w14:textId="77777777" w:rsidR="00F324A5" w:rsidRPr="00EC1FBB" w:rsidRDefault="00F324A5" w:rsidP="00F324A5">
      <w:pPr>
        <w:pStyle w:val="Titre1"/>
        <w:contextualSpacing/>
        <w:jc w:val="center"/>
        <w:rPr>
          <w:rFonts w:asciiTheme="majorBidi" w:hAnsiTheme="majorBidi" w:cstheme="majorBidi"/>
          <w:b w:val="0"/>
          <w:sz w:val="22"/>
          <w:szCs w:val="22"/>
        </w:rPr>
      </w:pPr>
      <w:r w:rsidRPr="00EC1FBB">
        <w:rPr>
          <w:rFonts w:asciiTheme="majorBidi" w:hAnsiTheme="majorBidi" w:cstheme="majorBidi"/>
          <w:sz w:val="22"/>
          <w:szCs w:val="22"/>
        </w:rPr>
        <w:t>Sūrah-22</w:t>
      </w:r>
    </w:p>
    <w:p w14:paraId="10F12725" w14:textId="77777777" w:rsidR="00F324A5" w:rsidRPr="00EC1FBB" w:rsidRDefault="00F324A5" w:rsidP="00F324A5">
      <w:pPr>
        <w:contextualSpacing/>
        <w:jc w:val="center"/>
        <w:rPr>
          <w:rFonts w:asciiTheme="majorBidi" w:hAnsiTheme="majorBidi" w:cstheme="majorBidi"/>
          <w:b/>
        </w:rPr>
      </w:pPr>
      <w:r w:rsidRPr="00EC1FBB">
        <w:rPr>
          <w:rFonts w:asciiTheme="majorBidi" w:hAnsiTheme="majorBidi" w:cstheme="majorBidi"/>
          <w:b/>
        </w:rPr>
        <w:t>AL-HAJJ (le Pèlerinage)</w:t>
      </w:r>
    </w:p>
    <w:p w14:paraId="0E777E00"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78 versets</w:t>
      </w:r>
    </w:p>
    <w:p w14:paraId="19298B63"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Au nom d’Allah, le Miséricordeur, le Miséricordieux</w:t>
      </w:r>
    </w:p>
    <w:p w14:paraId="69D51015"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O Hommes ! Craignez votre Seigneur. L’ébranlement de l’Heure est sûrement une chose immense. </w:t>
      </w:r>
    </w:p>
    <w:p w14:paraId="2DD6DB88"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Le jour où vous la verrez, chaque nourrice oubliera ce qu’elle a allaité, et chacune en état de grossesse délivrera ce qu’elle porte, et tu verras les hommes enivrés, et ils ne sont point ivres, mais le châtiment d’Allah est sévère. </w:t>
      </w:r>
    </w:p>
    <w:p w14:paraId="26B0CB72"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 est parmi les hommes celui qui controverse (au sujet) d’Allah, sans nulle science, et qui suit chaque démon rebelle. </w:t>
      </w:r>
    </w:p>
    <w:p w14:paraId="6779A27D"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Il lui a été prescrit que : quiconque se fait lige de Satan, il le fourvoiera et le guidera vers le châtiment du Feu embrasé. </w:t>
      </w:r>
    </w:p>
    <w:p w14:paraId="405B7997"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O Hommes ! Si vous êtes dans le doute à propos de la Résurrection, c’est Nous qui vous Créâmes de poussière, puis d’une nutfah (gouttelette), puis d’une ‘alaqah (chose qui s’accroche)</w:t>
      </w:r>
      <w:r w:rsidRPr="00EC1FBB">
        <w:rPr>
          <w:rStyle w:val="Appelnotedebasdep"/>
          <w:rFonts w:asciiTheme="majorBidi" w:hAnsiTheme="majorBidi" w:cstheme="majorBidi"/>
        </w:rPr>
        <w:footnoteReference w:id="747"/>
      </w:r>
      <w:r w:rsidRPr="00EC1FBB">
        <w:rPr>
          <w:rFonts w:asciiTheme="majorBidi" w:hAnsiTheme="majorBidi" w:cstheme="majorBidi"/>
        </w:rPr>
        <w:t>, puis d’une mudǧah, (machûre)</w:t>
      </w:r>
      <w:r w:rsidRPr="00EC1FBB">
        <w:rPr>
          <w:rStyle w:val="Appelnotedebasdep"/>
          <w:rFonts w:asciiTheme="majorBidi" w:hAnsiTheme="majorBidi" w:cstheme="majorBidi"/>
        </w:rPr>
        <w:footnoteReference w:id="748"/>
      </w:r>
      <w:r w:rsidRPr="00EC1FBB">
        <w:rPr>
          <w:rFonts w:asciiTheme="majorBidi" w:hAnsiTheme="majorBidi" w:cstheme="majorBidi"/>
        </w:rPr>
        <w:t xml:space="preserve"> structurée et non structurée, pour vous expliquer. Et Nous stabilisons, dans les matrices, ce que Nous Voulons jusqu’à un terme fixé, puis Nous vous Faisons sortir un enfant, pour que vous atteigniez ensuite la force de l’âge. Et il en est d’entre vous qui est Rappelé, et d’entre vous qui est Réduit au plus décrépit des âges, afin qu’il ne sache plus rien, après avoir eu science. Et tu vois la terre inerte ; si alors Nous y Déversons de l’eau, elle s’émeut, s’accroît, et fait pousser de chaque sorte resplendissante. </w:t>
      </w:r>
    </w:p>
    <w:p w14:paraId="10546A14"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C’est ainsi, car Allah Est le Vrai, et Il Fait Revivre les morts, et Il Est Omnipuissant sur toute chose, </w:t>
      </w:r>
    </w:p>
    <w:p w14:paraId="11763B0A"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que l’Heure aura sûrement lieu, il n’y a en cela aucun doute, et qu’Allah Ressuscite vraiment ceux qui sont dans les tombes. </w:t>
      </w:r>
    </w:p>
    <w:p w14:paraId="7FC3A3D4"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 est parmi les hommes celui qui controverse (au sujet) d’Allah, sans nulle science, sans direction et sans un Livre éclairant, </w:t>
      </w:r>
    </w:p>
    <w:p w14:paraId="0F70FADF"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prenant un air hautain pour fourvoyer de la Cause d’Allah. Il aura au monde un avilissement et, le jour de la Résurrection, le châtiment du Feu ardent : </w:t>
      </w:r>
    </w:p>
    <w:p w14:paraId="7C55046A"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C’est ainsi, en raison de ce que tes mains ont commis et, certes, Allah, n’Est sûrement point un Archi-Injuste envers Ses créatures. »</w:t>
      </w:r>
    </w:p>
    <w:p w14:paraId="64975AAE"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 est parmi les hommes celui qui adore Allah avec défiance : s’il est touché d’un bien, il s’en tranquillise, et s’il est frappé d’une épreuve, il abjure, perdant le monde et la vie Future. Cela est la grande perte évidente. </w:t>
      </w:r>
    </w:p>
    <w:p w14:paraId="1D7EAEF0"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lastRenderedPageBreak/>
        <w:t xml:space="preserve">Il invoque, à l’exclusion d’Allah, ce qui ne peut lui nuire et ce qui ne peut lui être utile. Cela est le profond fourvoiement. </w:t>
      </w:r>
    </w:p>
    <w:p w14:paraId="2009EBFB"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Il invoque celui dont la nuisance est plus forte que son utilité. Piètre protecteur et piètre compagnon ! </w:t>
      </w:r>
    </w:p>
    <w:p w14:paraId="37AEB7E7"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Certes, Allah Fait entrer ceux qui devinrent croyants et ont fait les œuvres méritoires, en des Paradis sous lesquels coulent les fleuves. Certes, Allah Fait ce qu’Il Veut. </w:t>
      </w:r>
    </w:p>
    <w:p w14:paraId="44D1E9D7"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Quiconque croyait qu’Allah ne lui Donnerait pas victoire (au Prophète), dans le monde et dans la vie Future, qu’il tende alors une corde vers le toit, ensuite qu’il se pende : qu’il regarde si sa ruse a dissipé ce qui l’enrage ! </w:t>
      </w:r>
    </w:p>
    <w:p w14:paraId="4404BD8A"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De même, Nous le Révélâmes en Versets évidents, certes, Allah Dirige qui Il Veut. </w:t>
      </w:r>
    </w:p>
    <w:p w14:paraId="04E82836"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Ceux qui devinrent croyants et qui se judaïsèrent, et les Sabéens, les Nazaréens, les Mages, et ceux qui devinrent polythéistes, Allah tranchera sûrement entre eux, le Jour de la Résurrection. Certes, Allah Est Témoin sur toute chose. </w:t>
      </w:r>
    </w:p>
    <w:p w14:paraId="595B4142"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N’as-tu donc pas vu que devant Allah se prosternent ceux qui sont dans les Cieux et ceux qui sont sur la terre, et que le soleil, et la lune, et les étoiles, et les montagnes, et les arbres, et les êtres vivants, et beaucoup d’entre les hommes, et qu’à beaucoup inco</w:t>
      </w:r>
      <w:r>
        <w:rPr>
          <w:rFonts w:asciiTheme="majorBidi" w:hAnsiTheme="majorBidi" w:cstheme="majorBidi"/>
        </w:rPr>
        <w:t>mbe le châtiment, et que celui qu</w:t>
      </w:r>
      <w:r w:rsidRPr="00EC1FBB">
        <w:rPr>
          <w:rFonts w:asciiTheme="majorBidi" w:hAnsiTheme="majorBidi" w:cstheme="majorBidi"/>
        </w:rPr>
        <w:t>’Allah Humilie n’aura point d’honorificateur. Ce</w:t>
      </w:r>
      <w:r>
        <w:rPr>
          <w:rFonts w:asciiTheme="majorBidi" w:hAnsiTheme="majorBidi" w:cstheme="majorBidi"/>
        </w:rPr>
        <w:t>rtes, Allah Fait ce qu’Il Veut.</w:t>
      </w:r>
    </w:p>
    <w:p w14:paraId="1CE3702C"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Ces deux-ci sont adversaires qui divergèrent à propos de leur Seigneur. Ceux qui devinrent mécréants, on leur a taillé des vêtements de Feu, et sur leurs têtes sera versée l’eau bouillante. </w:t>
      </w:r>
    </w:p>
    <w:p w14:paraId="5C5310BD"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par laquelle sera fondu ce qui est dans leurs ventres, et les peaux, </w:t>
      </w:r>
    </w:p>
    <w:p w14:paraId="79B60ACF"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ils seront frappés par des massues de fer. </w:t>
      </w:r>
    </w:p>
    <w:p w14:paraId="57C99378"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Chaque fois qu’ils voudront en sortir, à cause d’un tourment, ils y seront ramenés : « Subissez le châtiment du Feu ardent ! »</w:t>
      </w:r>
    </w:p>
    <w:p w14:paraId="6B2B4E90"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Certes, Allah Fait entrer ceux qui devinrent croyants et ont fait les œuvres méritoires en des Paradis sous lesquels coulent des fleuves : ils y seront parés de bracelets d’or et de perles, et leurs vêtements y seront de soie. </w:t>
      </w:r>
    </w:p>
    <w:p w14:paraId="7771E0B2"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ils ont été guidés vers les bonnes paroles, et ils ont été guidés vers le chemin du Tout-Louable. </w:t>
      </w:r>
    </w:p>
    <w:p w14:paraId="66C60C91"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Certes, ceux qui devinrent mécréants et rebutent de la Cause d’Allah et de la Mosquée Sacrée, que Nous Avons Faite pour tous les hommes, en totalité : celui qui y fait la retraite pieuse, et le passager. Et quiconque y voudrait sacrilège, par injustice : Nous lui Ferons subir un douloureux châtiment. </w:t>
      </w:r>
    </w:p>
    <w:p w14:paraId="56DCF2E9"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lorsque Nous Désignâmes à Abraham l’emplacement de la Maison : « Certes, ne M’associe absolument rien, et purifie Ma Maison pour les circumambulants, pour ceux qui prient, qui s’inclinent et se prosternent. </w:t>
      </w:r>
    </w:p>
    <w:p w14:paraId="755FC57C"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appelle les hommes au pèlerinage, ils te viendront à pieds et sur toute monture, ils viendront de tout ravin éloigné. </w:t>
      </w:r>
    </w:p>
    <w:p w14:paraId="76281503"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Afin qu’ils participent aux avantages qui leur reviennent, et qu’ils invoquent le nom d’Allah en des journées connues, pour ce qu’Il leur A Octroyé du bétail de bêtes. Alors, mangez-en et nourrissez l’infortuné et le miséreux. </w:t>
      </w:r>
    </w:p>
    <w:p w14:paraId="7ABB14BD"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Ensuite, qu’ils se délient de leurs interdits, qu’ils accomplissent leurs vœux, et qu’ils fassent la circumambulation autour de la Maison antique. »</w:t>
      </w:r>
    </w:p>
    <w:p w14:paraId="76179237"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C’est ainsi, car quiconque magnifie les choses sacrées d’Allah, cela est un bien pour lui auprès de son Seigneur. Et le bétail vous est rendu licite, sauf ce qui vous est signalé. Evitez donc l’infamie des idoles, et évitez le faux parler, </w:t>
      </w:r>
    </w:p>
    <w:p w14:paraId="0151360E"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lastRenderedPageBreak/>
        <w:t xml:space="preserve">en purs monothéistes à l’égard d’Allah et non comme polythéistes. Et quiconque associe à Allah, c’est comme s’il s’affalait du ciel et que les oiseaux le ravissent, ou comme si le vent le faisait choir en un gouffre profond. </w:t>
      </w:r>
    </w:p>
    <w:p w14:paraId="2393641F"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C’est ainsi, et quiconque honore les rites d’Allah, cela fait alors partie de la piété des cœurs. </w:t>
      </w:r>
    </w:p>
    <w:p w14:paraId="6874B31B"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Vous y avez des avantages jusqu’à un terme fixé, ensuite son lieu d’aboutissement est la Maison antique. </w:t>
      </w:r>
    </w:p>
    <w:p w14:paraId="600800D7"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à chaque communauté Nous Prescrivîmes un lieu d’offrande, afin qu’ils mentionnent le nom d’Allah sur ce qu’Il leur A Octroyé de bétail de bêtes, car votre Dieu Est un Dieu Unique, remettez-vous donc à Lui. Et annonce la bonne nouvelle à ceux qui sont déférents, </w:t>
      </w:r>
    </w:p>
    <w:p w14:paraId="2E151B29"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ceux qui, si le nom d’Allah Est mentionné, leurs cœurs se sentent confus, ceux qui persévèrent face à ce qui les atteint, ceux qui accomplissent la prière et dépensent de ce que Nous leur Octroyâmes. </w:t>
      </w:r>
    </w:p>
    <w:p w14:paraId="7ABFD2AD"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les chameaux, Nous les Prescrivîmes comme rites d’Allah, vous y avez du bien. Mentionnez donc le nom d’Allah (au moment de les sacrifier) en les alignant. Quand ils tombent sur leurs côtés, mangez-en et nourrissez le pauvre et le mendiant. De même, Nous vous les Avons Assujettis pour que vous soyez reconnaissants. </w:t>
      </w:r>
    </w:p>
    <w:p w14:paraId="2C022E6F"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Ne parviendra point à Allah ni leurs chairs, ni leurs sangs, mais il Lui parvient la piété de votre part. De même, Il vous les A Assujettis afin que vous glorifiez Allah pour ce qu’il vous A Guidés. Et annonce la bonne nouvelle à ceux qui font le meilleur. </w:t>
      </w:r>
    </w:p>
    <w:p w14:paraId="6ABC2E44"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Certes, Allah Prend la défense de ceux qui devinrent croyants. Certes, Allah n’Aime pas celui qui persiste dans la traîtrise, qui persiste dans la mécréance. </w:t>
      </w:r>
    </w:p>
    <w:p w14:paraId="5047CDA7"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Il a été permis à ceux qui sont combattus, de se défendre, en raison de l’injustice qu’ils ont subie. Certes, pour leur donner victoire, Allah Est sûrement Omnipuissant. </w:t>
      </w:r>
    </w:p>
    <w:p w14:paraId="6DA96F89"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Ceux qui furent expulsés de leurs demeures sans aucune juste cause, rien que pour avoir dit : « Notre Seigneur Est Allah. » Et si Allah ne Faisait réagir les hommes les uns par les autres, que de cloîtres, d’églises, de synagogues et de mosquées, dans lesquels le nom d’Allah Est beaucoup Invoqué, ne seraient démolis ! Certes, Allah Donnera sûrement victoire à celui qui fait triompher Sa Cause. Certes, Allah Est sûrement Fort, Invincible. </w:t>
      </w:r>
    </w:p>
    <w:p w14:paraId="1828BBE1"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Ceux qui, si Nous leur Accordons pouvoir sur terre, accomplissent la prière, s’acquittent de la </w:t>
      </w:r>
      <w:r w:rsidRPr="00EC1FBB">
        <w:rPr>
          <w:rFonts w:asciiTheme="majorBidi" w:hAnsiTheme="majorBidi" w:cstheme="majorBidi"/>
          <w:b/>
        </w:rPr>
        <w:t>Zakāt</w:t>
      </w:r>
      <w:r w:rsidRPr="00EC1FBB">
        <w:rPr>
          <w:rFonts w:asciiTheme="majorBidi" w:hAnsiTheme="majorBidi" w:cstheme="majorBidi"/>
        </w:rPr>
        <w:t xml:space="preserve">, commandant le bon usage et interdisant le répréhensible. Et c’est à Allah qu’appartient l’issue des choses. </w:t>
      </w:r>
    </w:p>
    <w:p w14:paraId="6DBC69CC"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ils te démentent, avant eux déjà ont démenti les gens de Noé, de ‘Ād et de Ţamūd, </w:t>
      </w:r>
    </w:p>
    <w:p w14:paraId="7033A6C0"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les gens d’Abraham, et les gens de Loth, </w:t>
      </w:r>
    </w:p>
    <w:p w14:paraId="08910678"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les habitants de Madian. Et Moïse fut démenti, alors J’ai Accordé du répit aux mécréants, ensuite, Je les Ai Saisis. Quelle ne fut alors Ma Réprobation ? </w:t>
      </w:r>
    </w:p>
    <w:p w14:paraId="3EB1E0AB"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combien de Cités n’Avons-Nous Fait périr quand elles étaient injustes ? Les voilà désertes dans leurs ruines, un puits détérioré, un château délaissé. </w:t>
      </w:r>
    </w:p>
    <w:p w14:paraId="4904C701"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N’ont-ils donc pas été de par la terre, de sorte qu’ils aient des cœurs avec lesquels ils raisonnent ou des oreilles avec lesquelles ils entendent ? En fait, ce ne sont pas les yeux qui s’aveuglent, ce qui s’aveugle, ce sont les cœurs qui sont dans les poitrines. </w:t>
      </w:r>
    </w:p>
    <w:p w14:paraId="575344C2"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ils t’empressent à hâter le châtiment, et Allah ne manquera point à Sa Promesse. Et certes, un jour auprès de ton Seigneur est comme mille ans de ce que vous comptez. </w:t>
      </w:r>
    </w:p>
    <w:p w14:paraId="3081A6B0"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combien (de fois) n’Ai-Je pas Accordé du répit, à une Cité, quand elle était injuste, ensuite Je l’Ai Saisie ? Et c’est vers Moi le Devenir. </w:t>
      </w:r>
    </w:p>
    <w:p w14:paraId="78E46A1A"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Dis : « O Hommes ! Je ne suis pour vous qu’un avertisseur évident ! »</w:t>
      </w:r>
    </w:p>
    <w:p w14:paraId="6DC7622D"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Ceux qui ont fait les œuvres méritoires auront une absolution et une généreuse subsistance. </w:t>
      </w:r>
    </w:p>
    <w:p w14:paraId="150E4692"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lastRenderedPageBreak/>
        <w:t xml:space="preserve">Et ceux qui s’acharnèrent contre Nos Versets pour les entraver, ceux-là sont les damnés de l’Enfer. </w:t>
      </w:r>
    </w:p>
    <w:p w14:paraId="5FB60A02"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Nous n’Avons point Envoyé avant toi de Messager ni de Prophète sans que, s’il désire quoi ce soit, Satan lui insufflât dans sa pensée. Alors qu’Allah Abroge ce qu’insuffle Satan, puis Allah Confirme Ses Versets. Allah Est Tout-Scient, Sage. </w:t>
      </w:r>
    </w:p>
    <w:p w14:paraId="65AAC6B1"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Afin qu’Il Fasse ce qu’insuffle Satan une épreuve pour ceux qui ont une malveillance dans leurs cœurs, et ceux qui ont les cœurs endurcis. Certes, les injustes sont dans un schisme profond. </w:t>
      </w:r>
    </w:p>
    <w:p w14:paraId="63955794"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afin que ceux qui reçurent la science sachent que cela est la Vérité de ton Seigneur, alors ils y croiront et leurs cœurs en seront déférents. Et Allah Guidera sûrement ceux qui devinrent croyants vers un chemin de rectitude. </w:t>
      </w:r>
    </w:p>
    <w:p w14:paraId="734DBC74"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ceux qui devinrent mécréants continuent à être dans le doute à son sujet, jusqu’à ce que l’Heure leur vienne à l’improviste ou que leur vienne le châtiment d’un jour stérile. </w:t>
      </w:r>
    </w:p>
    <w:p w14:paraId="0843995E"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Le pouvoir, ce jour-là, appartiendra à Allah : Il Jugera entre eux. Ceux alors qui devinrent croyants et ont fait les œuvres méritoires seront dans le Paradis de Félicité. </w:t>
      </w:r>
    </w:p>
    <w:p w14:paraId="245F5BEE"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ceux qui devinrent mécréants et ont démenti Nos Versets, ceux-là auront un infâme châtiment. </w:t>
      </w:r>
    </w:p>
    <w:p w14:paraId="79567673"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ceux qui ont émigré pour la Cause d’Allah, puis furent tués ou sont morts, Allah leur Octroiera sûrement une bonne subsistance. Certes, Allah Est sûrement le meilleur des Octroyeurs : </w:t>
      </w:r>
    </w:p>
    <w:p w14:paraId="050B1470"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Il les Fera sûrement entrer d’une façon qu’ils agréeront. Certes, Allah est sûrement Tout-Scient, Longanime. </w:t>
      </w:r>
    </w:p>
    <w:p w14:paraId="151BCD81"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C’est ainsi, et quiconque a puni comme il a été puni, et après cela on le tyrannise, Allah lui Donnera sûrement victoire. Certes, Allah Est Pardonneur, Absoluteur. </w:t>
      </w:r>
    </w:p>
    <w:p w14:paraId="66A785E8"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C’est ainsi, car Allah Fait pénétrer la nuit dans le jour et Fait pénétrer le jour dans la nuit. Certes, Allah Est Omni-Audiant, Omnivoyant. </w:t>
      </w:r>
    </w:p>
    <w:p w14:paraId="43C91063"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C’est ainsi, parce qu’Allah Est le Vrai et ce qu’ils invoquent, à son exclusion, est le faux. Certes, Allah Est le Tout-Haut, le Tout-Grand. </w:t>
      </w:r>
    </w:p>
    <w:p w14:paraId="13869084"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N’as-tu donc pas vu qu’Allah A Fait descendre du ciel une eau, alors la terre devient verdoyante ? Certes, Allah Est Affable, Omniconnaissant. </w:t>
      </w:r>
    </w:p>
    <w:p w14:paraId="2C62D6AB"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A Lui appartient ce qui est dans les Cieux et ce qui est dans la terre. Certes, Allah Est sûrement Lui, le Tout-Riche, le Tout-Louable. </w:t>
      </w:r>
    </w:p>
    <w:p w14:paraId="66D2393B"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N’as-tu donc pas vu qu’Allah vous A Assujetti ce qui est dans la terre, et que les navires voguent sur la mer par Son Ordre, et qu’Il Retient le Ciel de tomber sur la terre, rien que par Son Vouloir ? Certes, Allah Est sûrement Compatissant, Miséricordieux. </w:t>
      </w:r>
    </w:p>
    <w:p w14:paraId="29EA87D8"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c’est Lui qui vous A Fait vivre, puis Il vous Fait mourir, puis, Il vous Fera vivre. Certes, l’être humain persiste sûrement dans la mécréance. </w:t>
      </w:r>
    </w:p>
    <w:p w14:paraId="256A232A"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A chaque communauté Nous Donnâmes un lieu d’offrande dont ils font usage. Qu’ils ne te contestent point dans l’ordre reçu ! Et appelle vers ton Seigneur, tu es sûrement sur une Direction de rectitude. </w:t>
      </w:r>
    </w:p>
    <w:p w14:paraId="73D3D6D9"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Et s’ils te controversent, alors dis : « Allah Est Plus-Scient de ce que vous faites. »</w:t>
      </w:r>
    </w:p>
    <w:p w14:paraId="20E645CF"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Allah jugera entre vous, le jour de la Résurrection, ce sur quoi vous divergiez. </w:t>
      </w:r>
    </w:p>
    <w:p w14:paraId="3D10DD28"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N’as-tu pas su qu’Allah Sait ce qui est dans le Ciel et la terre ? Cela est dans un Livre du Destin, cela est bien facile pour Allah. </w:t>
      </w:r>
    </w:p>
    <w:p w14:paraId="4B0121E5"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Et ils adorent, à l’exclusion d’Allah, ce sur quoi il n’A Révélé aucune preuve, et ce dont ils n’ont aucune science. Et les injustes n’ont point de partisans. </w:t>
      </w:r>
    </w:p>
    <w:p w14:paraId="057E2A48"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lastRenderedPageBreak/>
        <w:t>Et quand on leur récite Nos Versets évidents, tu reconnais le refus sur les visages de ceux qui devinrent mécréants : peu s’en faut qu’ils n’attaquent ceux qui leur récitent Nos Versets. Dis : « Vous informerai-je d’un mal pire que cela ? Le Feu d’Allah l’A Promis à ceux qui devinrent mécréants. Piètre destin ! »</w:t>
      </w:r>
    </w:p>
    <w:p w14:paraId="5428C8B3"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O Hommes ! Une parabole vous est fournie, écoutez-la : « Certes, ceux que vous invoquez, à l’exclusion d’Allah, ne pourront point créer de mouche, même s’ils s’y mettaient tous ensemble. Et si une mouche leur ravit quelque chose, ils ne sauront point le récupérer d’elle. » Faible de nature, le solliciteur et le sollicité ! </w:t>
      </w:r>
    </w:p>
    <w:p w14:paraId="3BA84BE0"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Ils n’ont point apprécié Allah Sa vraie appréciation. Certes, Allah Est sûrement Tout-Fort, Invincible. </w:t>
      </w:r>
    </w:p>
    <w:p w14:paraId="4273A9D7"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Allah Elit des Envoyés de parmi l</w:t>
      </w:r>
      <w:r>
        <w:rPr>
          <w:rFonts w:asciiTheme="majorBidi" w:hAnsiTheme="majorBidi" w:cstheme="majorBidi"/>
        </w:rPr>
        <w:t>es Anges et de parmi les hommes</w:t>
      </w:r>
      <w:r w:rsidRPr="00EC1FBB">
        <w:rPr>
          <w:rFonts w:asciiTheme="majorBidi" w:hAnsiTheme="majorBidi" w:cstheme="majorBidi"/>
        </w:rPr>
        <w:t xml:space="preserve">. Certes, Allah est Omni-Audiant, Omnivoyant. </w:t>
      </w:r>
    </w:p>
    <w:p w14:paraId="6A47724C"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Il Sait tout ce qui les concerne, et c’est vers Allah que les choses sont ramenées. </w:t>
      </w:r>
    </w:p>
    <w:p w14:paraId="51F8BB9A"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 xml:space="preserve">O vous qui devîntes croyants, inclinez-vous, prosternez-vous, adorez votre Seigneur et faites le bien, afin que vous cultiviez. </w:t>
      </w:r>
    </w:p>
    <w:p w14:paraId="4E41F5A9" w14:textId="77777777" w:rsidR="00F324A5" w:rsidRPr="00EC1FBB" w:rsidRDefault="00F324A5" w:rsidP="00876BB0">
      <w:pPr>
        <w:numPr>
          <w:ilvl w:val="0"/>
          <w:numId w:val="141"/>
        </w:numPr>
        <w:contextualSpacing/>
        <w:jc w:val="both"/>
        <w:rPr>
          <w:rFonts w:asciiTheme="majorBidi" w:hAnsiTheme="majorBidi" w:cstheme="majorBidi"/>
        </w:rPr>
      </w:pPr>
      <w:r w:rsidRPr="00EC1FBB">
        <w:rPr>
          <w:rFonts w:asciiTheme="majorBidi" w:hAnsiTheme="majorBidi" w:cstheme="majorBidi"/>
        </w:rPr>
        <w:t>Et luttez pour Allah comme il se doit de lutter pour Lui. Il vous A Elus et ne vous Imposa nulle gêne en religion, la confession de votre père Abraham. C’est Lui qui vous A déjà Nommés musulmans, auparavant, et dans ceci (</w:t>
      </w:r>
      <w:r w:rsidRPr="00EC1FBB">
        <w:rPr>
          <w:rFonts w:asciiTheme="majorBidi" w:hAnsiTheme="majorBidi" w:cstheme="majorBidi"/>
          <w:b/>
        </w:rPr>
        <w:t>le Qur’ān</w:t>
      </w:r>
      <w:r w:rsidRPr="00EC1FBB">
        <w:rPr>
          <w:rFonts w:asciiTheme="majorBidi" w:hAnsiTheme="majorBidi" w:cstheme="majorBidi"/>
        </w:rPr>
        <w:t xml:space="preserve">) : afin que le Messager soit témoin sur vous et que vous soyez témoins sur les hommes. Accomplissez donc la prière, acquittez-vous de la Zakāt, attachez-vous à Allah. Il Est votre Protecteur, le meilleur Protecteur et le meilleur Partisan. </w:t>
      </w:r>
    </w:p>
    <w:p w14:paraId="537A31C1" w14:textId="77777777" w:rsidR="00F324A5" w:rsidRPr="00EC1FBB" w:rsidRDefault="00F324A5" w:rsidP="00F324A5">
      <w:pPr>
        <w:contextualSpacing/>
        <w:jc w:val="both"/>
        <w:rPr>
          <w:rFonts w:asciiTheme="majorBidi" w:hAnsiTheme="majorBidi" w:cstheme="majorBidi"/>
        </w:rPr>
      </w:pPr>
    </w:p>
    <w:p w14:paraId="11D39F65"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7E9696D7" w14:textId="77777777" w:rsidR="00F324A5" w:rsidRPr="00EC1FBB" w:rsidRDefault="00F324A5" w:rsidP="00F324A5">
      <w:pPr>
        <w:contextualSpacing/>
        <w:jc w:val="both"/>
        <w:rPr>
          <w:rFonts w:asciiTheme="majorBidi" w:eastAsia="Times New Roman" w:hAnsiTheme="majorBidi" w:cstheme="majorBidi"/>
        </w:rPr>
      </w:pPr>
    </w:p>
    <w:p w14:paraId="7225BC4D" w14:textId="77777777" w:rsidR="00F324A5" w:rsidRPr="00EC1FBB" w:rsidRDefault="00F324A5" w:rsidP="00876BB0">
      <w:pPr>
        <w:numPr>
          <w:ilvl w:val="0"/>
          <w:numId w:val="128"/>
        </w:numPr>
        <w:contextualSpacing/>
        <w:jc w:val="center"/>
        <w:rPr>
          <w:rFonts w:asciiTheme="majorBidi" w:eastAsia="Calibri" w:hAnsiTheme="majorBidi" w:cstheme="majorBidi"/>
          <w:b/>
          <w:bCs/>
          <w:lang w:bidi="ar-AE"/>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Sami Awad Aldeeb Abu-Sahlieh</w:t>
      </w:r>
      <w:r>
        <w:rPr>
          <w:rStyle w:val="Appelnotedebasdep"/>
          <w:rFonts w:asciiTheme="majorBidi" w:eastAsia="Times New Roman" w:hAnsiTheme="majorBidi" w:cstheme="majorBidi"/>
          <w:b/>
          <w:bCs/>
        </w:rPr>
        <w:footnoteReference w:id="749"/>
      </w:r>
      <w:r w:rsidRPr="00EC1FBB">
        <w:rPr>
          <w:rFonts w:asciiTheme="majorBidi" w:eastAsia="Times New Roman" w:hAnsiTheme="majorBidi" w:cstheme="majorBidi"/>
          <w:b/>
          <w:bCs/>
        </w:rPr>
        <w:t xml:space="preserve"> (2008)</w:t>
      </w:r>
    </w:p>
    <w:p w14:paraId="2CB5BC1A" w14:textId="77777777" w:rsidR="00F324A5" w:rsidRPr="00EC1FBB" w:rsidRDefault="00F324A5" w:rsidP="00F324A5">
      <w:pPr>
        <w:ind w:left="360"/>
        <w:contextualSpacing/>
        <w:jc w:val="center"/>
        <w:rPr>
          <w:rFonts w:asciiTheme="majorBidi" w:eastAsia="Times New Roman" w:hAnsiTheme="majorBidi" w:cstheme="majorBidi"/>
          <w:i/>
          <w:iCs/>
        </w:rPr>
      </w:pPr>
      <w:r w:rsidRPr="00EC1FBB">
        <w:rPr>
          <w:rFonts w:asciiTheme="majorBidi" w:eastAsia="Times New Roman" w:hAnsiTheme="majorBidi" w:cstheme="majorBidi"/>
          <w:i/>
          <w:iCs/>
        </w:rPr>
        <w:t>(</w:t>
      </w:r>
      <w:r w:rsidRPr="00EC1FBB">
        <w:rPr>
          <w:rFonts w:asciiTheme="majorBidi" w:eastAsia="Calibri" w:hAnsiTheme="majorBidi" w:cstheme="majorBidi"/>
          <w:i/>
          <w:iCs/>
          <w:lang w:bidi="ar-AE"/>
        </w:rPr>
        <w:t xml:space="preserve">Traduction accompagnée du texte arabe, en deux colonnes, </w:t>
      </w:r>
      <w:r w:rsidRPr="00EC1FBB">
        <w:rPr>
          <w:rFonts w:asciiTheme="majorBidi" w:eastAsia="Times New Roman" w:hAnsiTheme="majorBidi" w:cstheme="majorBidi"/>
          <w:i/>
          <w:iCs/>
        </w:rPr>
        <w:t>traduction réalisée à partir de la confrontation des autres traductions)</w:t>
      </w:r>
    </w:p>
    <w:p w14:paraId="52FDFB19" w14:textId="77777777" w:rsidR="00F324A5" w:rsidRPr="00EC1FBB" w:rsidRDefault="00F324A5" w:rsidP="00F324A5">
      <w:pPr>
        <w:shd w:val="clear" w:color="auto" w:fill="5F5F5F"/>
        <w:spacing w:before="600" w:after="100" w:afterAutospacing="1"/>
        <w:ind w:right="67"/>
        <w:contextualSpacing/>
        <w:jc w:val="center"/>
        <w:outlineLvl w:val="0"/>
        <w:rPr>
          <w:rFonts w:asciiTheme="majorBidi" w:eastAsia="Times New Roman" w:hAnsiTheme="majorBidi" w:cstheme="majorBidi"/>
          <w:b/>
          <w:bCs/>
          <w:caps/>
          <w:color w:val="FFFFFF"/>
        </w:rPr>
      </w:pPr>
      <w:r w:rsidRPr="00EC1FBB">
        <w:rPr>
          <w:rFonts w:asciiTheme="majorBidi" w:eastAsia="Times New Roman" w:hAnsiTheme="majorBidi" w:cstheme="majorBidi"/>
          <w:b/>
          <w:bCs/>
          <w:caps/>
          <w:color w:val="FFFFFF"/>
        </w:rPr>
        <w:t>Chapitre 103/22: Le Pèlerinage</w:t>
      </w:r>
      <w:r w:rsidRPr="00EC1FBB">
        <w:rPr>
          <w:rFonts w:asciiTheme="majorBidi" w:eastAsia="Times New Roman" w:hAnsiTheme="majorBidi" w:cstheme="majorBidi"/>
          <w:b/>
          <w:bCs/>
          <w:caps/>
          <w:color w:val="FFFFFF"/>
        </w:rPr>
        <w:br w:type="textWrapping" w:clear="all"/>
      </w:r>
      <w:r w:rsidRPr="00EC1FBB">
        <w:rPr>
          <w:rFonts w:asciiTheme="majorBidi" w:eastAsia="Times New Roman" w:hAnsiTheme="majorBidi" w:cstheme="majorBidi"/>
          <w:b/>
          <w:bCs/>
          <w:caps/>
          <w:color w:val="FFFFFF"/>
          <w:rtl/>
        </w:rPr>
        <w:t>سورة الحج</w:t>
      </w:r>
    </w:p>
    <w:p w14:paraId="7496DD1F" w14:textId="77777777" w:rsidR="00F324A5" w:rsidRPr="00EC1FBB" w:rsidRDefault="00F324A5" w:rsidP="00F324A5">
      <w:pPr>
        <w:keepNext/>
        <w:spacing w:before="100" w:beforeAutospacing="1" w:after="100" w:afterAutospacing="1"/>
        <w:ind w:right="68"/>
        <w:contextualSpacing/>
        <w:jc w:val="center"/>
        <w:outlineLvl w:val="2"/>
        <w:rPr>
          <w:rFonts w:asciiTheme="majorBidi" w:eastAsia="Times New Roman" w:hAnsiTheme="majorBidi" w:cstheme="majorBidi"/>
          <w:b/>
          <w:bCs/>
          <w:color w:val="000000"/>
          <w:lang w:eastAsia="fr-CH"/>
        </w:rPr>
      </w:pPr>
      <w:bookmarkStart w:id="3" w:name="_Toc64699599"/>
      <w:bookmarkStart w:id="4" w:name="_Toc64689968"/>
      <w:r w:rsidRPr="00EC1FBB">
        <w:rPr>
          <w:rFonts w:asciiTheme="majorBidi" w:eastAsia="Times New Roman" w:hAnsiTheme="majorBidi" w:cstheme="majorBidi"/>
          <w:b/>
          <w:bCs/>
          <w:color w:val="000000"/>
          <w:lang w:eastAsia="fr-CH"/>
        </w:rPr>
        <w:t xml:space="preserve">78 versets – </w:t>
      </w:r>
      <w:bookmarkEnd w:id="3"/>
      <w:bookmarkEnd w:id="4"/>
      <w:r w:rsidRPr="00EC1FBB">
        <w:rPr>
          <w:rFonts w:asciiTheme="majorBidi" w:eastAsia="Times New Roman" w:hAnsiTheme="majorBidi" w:cstheme="majorBidi"/>
          <w:b/>
          <w:bCs/>
          <w:color w:val="000000"/>
          <w:lang w:eastAsia="fr-CH"/>
        </w:rPr>
        <w:t>Hégirien</w:t>
      </w:r>
      <w:r w:rsidRPr="00EC1FBB">
        <w:rPr>
          <w:rFonts w:asciiTheme="majorBidi" w:eastAsia="Times New Roman" w:hAnsiTheme="majorBidi" w:cstheme="majorBidi"/>
          <w:color w:val="FF0000"/>
          <w:vertAlign w:val="superscript"/>
          <w:lang w:eastAsia="fr-CH"/>
        </w:rPr>
        <w:footnoteReference w:id="750"/>
      </w:r>
    </w:p>
    <w:tbl>
      <w:tblPr>
        <w:tblW w:w="5000" w:type="pct"/>
        <w:tblLook w:val="01E0" w:firstRow="1" w:lastRow="1" w:firstColumn="1" w:lastColumn="1" w:noHBand="0" w:noVBand="0"/>
      </w:tblPr>
      <w:tblGrid>
        <w:gridCol w:w="4788"/>
        <w:gridCol w:w="4788"/>
      </w:tblGrid>
      <w:tr w:rsidR="00F324A5" w:rsidRPr="00EC1FBB" w14:paraId="66330C76" w14:textId="77777777" w:rsidTr="009C3BB9">
        <w:trPr>
          <w:cantSplit/>
        </w:trPr>
        <w:tc>
          <w:tcPr>
            <w:tcW w:w="2500" w:type="pct"/>
            <w:hideMark/>
          </w:tcPr>
          <w:p w14:paraId="5AADF5CE" w14:textId="77777777" w:rsidR="00F324A5" w:rsidRPr="00EC1FBB" w:rsidRDefault="00F324A5" w:rsidP="009C3BB9">
            <w:pPr>
              <w:keepNext/>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lang w:eastAsia="fr-CH"/>
              </w:rPr>
              <w:t>Au nom de Dieu, le tout miséricordieux, le très miséricordieux.</w:t>
            </w:r>
            <w:r w:rsidRPr="00EC1FBB">
              <w:rPr>
                <w:rFonts w:asciiTheme="majorBidi" w:eastAsia="Times New Roman" w:hAnsiTheme="majorBidi" w:cstheme="majorBidi"/>
                <w:color w:val="FF0000"/>
                <w:vertAlign w:val="superscript"/>
                <w:lang w:eastAsia="fr-CH"/>
              </w:rPr>
              <w:footnoteReference w:id="751"/>
            </w:r>
          </w:p>
        </w:tc>
        <w:tc>
          <w:tcPr>
            <w:tcW w:w="2500" w:type="pct"/>
            <w:hideMark/>
          </w:tcPr>
          <w:p w14:paraId="5EBBD04D" w14:textId="77777777" w:rsidR="00F324A5" w:rsidRPr="00EC1FBB" w:rsidRDefault="00F324A5" w:rsidP="009C3BB9">
            <w:pPr>
              <w:keepNext/>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t></w:t>
            </w:r>
            <w:r w:rsidRPr="00EC1FBB">
              <w:rPr>
                <w:rFonts w:asciiTheme="majorBidi" w:eastAsia="Times New Roman" w:hAnsiTheme="majorBidi" w:cstheme="majorBidi"/>
                <w:color w:val="000000"/>
                <w:lang w:eastAsia="fr-CH"/>
              </w:rPr>
              <w:t></w:t>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t></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0"/>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t></w:t>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48"/>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71"/>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15299160" w14:textId="77777777" w:rsidTr="009C3BB9">
        <w:trPr>
          <w:cantSplit/>
        </w:trPr>
        <w:tc>
          <w:tcPr>
            <w:tcW w:w="2500" w:type="pct"/>
            <w:hideMark/>
          </w:tcPr>
          <w:p w14:paraId="4F71F9AF"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 Ô humains! Craignez votre Seigneur. La secousse de l'heure est une très grande chose.</w:t>
            </w:r>
          </w:p>
        </w:tc>
        <w:tc>
          <w:tcPr>
            <w:tcW w:w="2500" w:type="pct"/>
            <w:hideMark/>
          </w:tcPr>
          <w:p w14:paraId="6284A136"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AE"/>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AD"/>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3"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D"/>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p>
        </w:tc>
      </w:tr>
      <w:tr w:rsidR="00F324A5" w:rsidRPr="00EC1FBB" w14:paraId="25A0CA74" w14:textId="77777777" w:rsidTr="009C3BB9">
        <w:trPr>
          <w:cantSplit/>
        </w:trPr>
        <w:tc>
          <w:tcPr>
            <w:tcW w:w="2500" w:type="pct"/>
            <w:hideMark/>
          </w:tcPr>
          <w:p w14:paraId="76BAD3E8"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w:t>
            </w:r>
            <w:r w:rsidRPr="00EC1FBB">
              <w:rPr>
                <w:rFonts w:asciiTheme="majorBidi" w:eastAsia="Times New Roman" w:hAnsiTheme="majorBidi" w:cstheme="majorBidi"/>
                <w:color w:val="FF0000"/>
                <w:vertAlign w:val="superscript"/>
                <w:lang w:eastAsia="fr-CH"/>
              </w:rPr>
              <w:footnoteReference w:id="752"/>
            </w:r>
            <w:r w:rsidRPr="00EC1FBB">
              <w:rPr>
                <w:rFonts w:asciiTheme="majorBidi" w:eastAsia="Times New Roman" w:hAnsiTheme="majorBidi" w:cstheme="majorBidi"/>
                <w:lang w:eastAsia="fr-CH"/>
              </w:rPr>
              <w:t>. Le jour où vous la verrez, toute allaiteuse</w:t>
            </w:r>
            <w:r w:rsidRPr="00EC1FBB">
              <w:rPr>
                <w:rFonts w:asciiTheme="majorBidi" w:eastAsia="Times New Roman" w:hAnsiTheme="majorBidi" w:cstheme="majorBidi"/>
                <w:color w:val="FF0000"/>
                <w:vertAlign w:val="superscript"/>
                <w:lang w:eastAsia="fr-CH"/>
              </w:rPr>
              <w:t>R1</w:t>
            </w:r>
            <w:r w:rsidRPr="00EC1FBB">
              <w:rPr>
                <w:rFonts w:asciiTheme="majorBidi" w:eastAsia="Times New Roman" w:hAnsiTheme="majorBidi" w:cstheme="majorBidi"/>
                <w:lang w:eastAsia="fr-CH"/>
              </w:rPr>
              <w:t xml:space="preserve"> se distraira de ce qu'elle allaitait, et toute [femelle] porteuse mettra bas sa portée. Tu verras les humains ivres, alors qu'ils ne sont pas ivres. Mais le châtiment de Dieu est fort.</w:t>
            </w:r>
          </w:p>
        </w:tc>
        <w:tc>
          <w:tcPr>
            <w:tcW w:w="2500" w:type="pct"/>
            <w:hideMark/>
          </w:tcPr>
          <w:p w14:paraId="786068C8"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E"/>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3"/>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0"/>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48"/>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7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3"/>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3"/>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0"/>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3"/>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55"/>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3"/>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p>
        </w:tc>
      </w:tr>
      <w:tr w:rsidR="00F324A5" w:rsidRPr="00EC1FBB" w14:paraId="02BF63BF" w14:textId="77777777" w:rsidTr="009C3BB9">
        <w:trPr>
          <w:cantSplit/>
        </w:trPr>
        <w:tc>
          <w:tcPr>
            <w:tcW w:w="2500" w:type="pct"/>
            <w:hideMark/>
          </w:tcPr>
          <w:p w14:paraId="2483791E"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w:t>
            </w:r>
            <w:r w:rsidRPr="00EC1FBB">
              <w:rPr>
                <w:rFonts w:asciiTheme="majorBidi" w:eastAsia="Times New Roman" w:hAnsiTheme="majorBidi" w:cstheme="majorBidi"/>
                <w:color w:val="FF0000"/>
                <w:vertAlign w:val="superscript"/>
                <w:lang w:eastAsia="fr-CH"/>
              </w:rPr>
              <w:footnoteReference w:id="753"/>
            </w:r>
            <w:r w:rsidRPr="00EC1FBB">
              <w:rPr>
                <w:rFonts w:asciiTheme="majorBidi" w:eastAsia="Times New Roman" w:hAnsiTheme="majorBidi" w:cstheme="majorBidi"/>
                <w:lang w:eastAsia="fr-CH"/>
              </w:rPr>
              <w:t>. Parmi les humains, il en est qui dispute à propos de Dieu, sans connaissance, et qui suit tout satan rebelle.</w:t>
            </w:r>
          </w:p>
        </w:tc>
        <w:tc>
          <w:tcPr>
            <w:tcW w:w="2500" w:type="pct"/>
            <w:hideMark/>
          </w:tcPr>
          <w:p w14:paraId="62CA377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AE"/>
            </w:r>
            <w:r w:rsidRPr="00EC1FBB">
              <w:rPr>
                <w:rFonts w:asciiTheme="majorBidi" w:eastAsia="Times New Roman" w:hAnsiTheme="majorBidi" w:cstheme="majorBidi"/>
                <w:color w:val="000000"/>
                <w:lang w:eastAsia="fr-CH"/>
              </w:rPr>
              <w:sym w:font="HQPB1" w:char="F04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p>
        </w:tc>
      </w:tr>
      <w:tr w:rsidR="00F324A5" w:rsidRPr="00EC1FBB" w14:paraId="4A4B0B66" w14:textId="77777777" w:rsidTr="009C3BB9">
        <w:trPr>
          <w:cantSplit/>
        </w:trPr>
        <w:tc>
          <w:tcPr>
            <w:tcW w:w="2500" w:type="pct"/>
            <w:hideMark/>
          </w:tcPr>
          <w:p w14:paraId="036245BF"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w:t>
            </w:r>
            <w:r w:rsidRPr="00EC1FBB">
              <w:rPr>
                <w:rFonts w:asciiTheme="majorBidi" w:eastAsia="Times New Roman" w:hAnsiTheme="majorBidi" w:cstheme="majorBidi"/>
                <w:color w:val="FF0000"/>
                <w:vertAlign w:val="superscript"/>
                <w:lang w:eastAsia="fr-CH"/>
              </w:rPr>
              <w:footnoteReference w:id="754"/>
            </w:r>
            <w:r w:rsidRPr="00EC1FBB">
              <w:rPr>
                <w:rFonts w:asciiTheme="majorBidi" w:eastAsia="Times New Roman" w:hAnsiTheme="majorBidi" w:cstheme="majorBidi"/>
                <w:lang w:eastAsia="fr-CH"/>
              </w:rPr>
              <w:t>. On lui a prescrit qu'il égarera quiconque s'allie à lui, et qu'il le dirigera vers le châtiment du brasier.</w:t>
            </w:r>
          </w:p>
        </w:tc>
        <w:tc>
          <w:tcPr>
            <w:tcW w:w="2500" w:type="pct"/>
            <w:hideMark/>
          </w:tcPr>
          <w:p w14:paraId="6C1A5C12"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3" w:char="F026"/>
            </w:r>
            <w:r w:rsidRPr="00EC1FBB">
              <w:rPr>
                <w:rFonts w:asciiTheme="majorBidi" w:eastAsia="Times New Roman" w:hAnsiTheme="majorBidi" w:cstheme="majorBidi"/>
                <w:color w:val="000000"/>
                <w:lang w:eastAsia="fr-CH"/>
              </w:rPr>
              <w:sym w:font="HQPB4" w:char="F097"/>
            </w:r>
            <w:r w:rsidRPr="00EC1FBB">
              <w:rPr>
                <w:rFonts w:asciiTheme="majorBidi" w:eastAsia="Times New Roman" w:hAnsiTheme="majorBidi" w:cstheme="majorBidi"/>
                <w:color w:val="000000"/>
                <w:lang w:eastAsia="fr-CH"/>
              </w:rPr>
              <w:sym w:font="HQPB3" w:char="F023"/>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59DCE927" w14:textId="77777777" w:rsidTr="009C3BB9">
        <w:trPr>
          <w:cantSplit/>
        </w:trPr>
        <w:tc>
          <w:tcPr>
            <w:tcW w:w="2500" w:type="pct"/>
            <w:hideMark/>
          </w:tcPr>
          <w:p w14:paraId="3C01362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103/22:5</w:t>
            </w:r>
            <w:r w:rsidRPr="00EC1FBB">
              <w:rPr>
                <w:rFonts w:asciiTheme="majorBidi" w:eastAsia="Times New Roman" w:hAnsiTheme="majorBidi" w:cstheme="majorBidi"/>
                <w:color w:val="FF0000"/>
                <w:vertAlign w:val="superscript"/>
                <w:lang w:eastAsia="fr-CH"/>
              </w:rPr>
              <w:footnoteReference w:id="755"/>
            </w:r>
            <w:r w:rsidRPr="00EC1FBB">
              <w:rPr>
                <w:rFonts w:asciiTheme="majorBidi" w:eastAsia="Times New Roman" w:hAnsiTheme="majorBidi" w:cstheme="majorBidi"/>
                <w:lang w:eastAsia="fr-CH"/>
              </w:rPr>
              <w:t>. Ô humains! Si vous êtes dans la suspicion au sujet de la résurrection, c'est nous qui vous avons créés de terre, puis d'une goutte [de sperme], puis d'une adhérence, puis d'un embryon créé complètement ou incomplètement pour vous manifester [notre puissance]. Ensuite, nous fixons dans les matrices ce que nous souhaitons jusqu'à un terme nommé. Puis nous vous faisons sortir enfants, pour qu'ensuite vous parveniez à votre plus fort. Il en est parmi vous qui sera rappelé [jeunes], et tel autre parmi vous parviendra à l'âge le plus humiliant au point qu'après avoir eu une connaissance, il n'en saura plus rien. Tu vois la terre éteinte. Puis aussitôt que nous faisons descendre l'eau sur elle, elle se remue, s'accroît, et fait pousser toutes [sortes] de magnifiques couples [de végétaux].</w:t>
            </w:r>
            <w:r w:rsidRPr="00EC1FBB">
              <w:rPr>
                <w:rFonts w:asciiTheme="majorBidi" w:eastAsia="Times New Roman" w:hAnsiTheme="majorBidi" w:cstheme="majorBidi"/>
                <w:color w:val="FF0000"/>
                <w:vertAlign w:val="superscript"/>
                <w:lang w:eastAsia="fr-CH"/>
              </w:rPr>
              <w:t>R1</w:t>
            </w:r>
          </w:p>
        </w:tc>
        <w:tc>
          <w:tcPr>
            <w:tcW w:w="2500" w:type="pct"/>
            <w:hideMark/>
          </w:tcPr>
          <w:p w14:paraId="15863CF3"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5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9C"/>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4" w:char="F092"/>
            </w:r>
            <w:r w:rsidRPr="00EC1FBB">
              <w:rPr>
                <w:rFonts w:asciiTheme="majorBidi" w:eastAsia="Times New Roman" w:hAnsiTheme="majorBidi" w:cstheme="majorBidi"/>
                <w:color w:val="000000"/>
                <w:lang w:eastAsia="fr-CH"/>
              </w:rPr>
              <w:sym w:font="HQPB2" w:char="F04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EE"/>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4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4</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1"/>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6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5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3"/>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4" w:char="F077"/>
            </w:r>
            <w:r w:rsidRPr="00EC1FBB">
              <w:rPr>
                <w:rFonts w:asciiTheme="majorBidi" w:eastAsia="Times New Roman" w:hAnsiTheme="majorBidi" w:cstheme="majorBidi"/>
                <w:color w:val="000000"/>
                <w:lang w:eastAsia="fr-CH"/>
              </w:rPr>
              <w:sym w:font="HQPB2" w:char="F04B"/>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2" w:char="F055"/>
            </w:r>
            <w:r w:rsidRPr="00EC1FBB">
              <w:rPr>
                <w:rFonts w:asciiTheme="majorBidi" w:eastAsia="Times New Roman" w:hAnsiTheme="majorBidi" w:cstheme="majorBidi"/>
                <w:color w:val="FF0000"/>
                <w:vertAlign w:val="superscript"/>
                <w:rtl/>
                <w:lang w:eastAsia="fr-CH"/>
              </w:rPr>
              <w:t> 5</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57"/>
            </w:r>
            <w:r w:rsidRPr="00EC1FBB">
              <w:rPr>
                <w:rFonts w:asciiTheme="majorBidi" w:eastAsia="Times New Roman" w:hAnsiTheme="majorBidi" w:cstheme="majorBidi"/>
                <w:color w:val="000000"/>
                <w:lang w:eastAsia="fr-CH"/>
              </w:rPr>
              <w:sym w:font="HQPB2" w:char="F07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D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4" w:char="F0A3"/>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3" w:char="F086"/>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6</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6"/>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3"/>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7</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E"/>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8"/>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5C"/>
            </w:r>
            <w:r w:rsidRPr="00EC1FBB">
              <w:rPr>
                <w:rFonts w:asciiTheme="majorBidi" w:eastAsia="Times New Roman" w:hAnsiTheme="majorBidi" w:cstheme="majorBidi"/>
                <w:color w:val="000000"/>
                <w:lang w:eastAsia="fr-CH"/>
              </w:rPr>
              <w:sym w:font="HQPB2" w:char="F0A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DF"/>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5A"/>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E"/>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1" w:char="F09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8</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2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3"/>
            </w:r>
            <w:r w:rsidRPr="00EC1FBB">
              <w:rPr>
                <w:rFonts w:asciiTheme="majorBidi" w:eastAsia="Times New Roman" w:hAnsiTheme="majorBidi" w:cstheme="majorBidi"/>
                <w:color w:val="000000"/>
                <w:lang w:eastAsia="fr-CH"/>
              </w:rPr>
              <w:sym w:font="HQPB1" w:char="F06C"/>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8"/>
            </w:r>
            <w:r w:rsidRPr="00EC1FBB">
              <w:rPr>
                <w:rFonts w:asciiTheme="majorBidi" w:eastAsia="Times New Roman" w:hAnsiTheme="majorBidi" w:cstheme="majorBidi"/>
                <w:color w:val="000000"/>
                <w:lang w:eastAsia="fr-CH"/>
              </w:rPr>
              <w:sym w:font="HQPB1" w:char="F06B"/>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p>
        </w:tc>
      </w:tr>
      <w:tr w:rsidR="00F324A5" w:rsidRPr="00EC1FBB" w14:paraId="49CD12BF" w14:textId="77777777" w:rsidTr="009C3BB9">
        <w:trPr>
          <w:cantSplit/>
        </w:trPr>
        <w:tc>
          <w:tcPr>
            <w:tcW w:w="2500" w:type="pct"/>
            <w:hideMark/>
          </w:tcPr>
          <w:p w14:paraId="0AE963D3"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 Cela parce que Dieu est la vérité. C'est lui qui fait revivre les morts. Il est puissant sur toute chose.</w:t>
            </w:r>
          </w:p>
        </w:tc>
        <w:tc>
          <w:tcPr>
            <w:tcW w:w="2500" w:type="pct"/>
            <w:hideMark/>
          </w:tcPr>
          <w:p w14:paraId="36A74349"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1"/>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4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6"/>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p>
        </w:tc>
      </w:tr>
    </w:tbl>
    <w:p w14:paraId="5B551150" w14:textId="77777777" w:rsidR="00F324A5" w:rsidRPr="00EC1FBB" w:rsidRDefault="00F324A5" w:rsidP="00F324A5">
      <w:pPr>
        <w:keepLines/>
        <w:ind w:right="68"/>
        <w:contextualSpacing/>
        <w:jc w:val="both"/>
        <w:rPr>
          <w:rFonts w:asciiTheme="majorBidi" w:eastAsia="Times New Roman" w:hAnsiTheme="majorBidi" w:cstheme="majorBidi"/>
          <w:bCs/>
          <w:lang w:eastAsia="fr-CH"/>
        </w:rPr>
      </w:pPr>
    </w:p>
    <w:tbl>
      <w:tblPr>
        <w:tblW w:w="5000" w:type="pct"/>
        <w:tblLook w:val="01E0" w:firstRow="1" w:lastRow="1" w:firstColumn="1" w:lastColumn="1" w:noHBand="0" w:noVBand="0"/>
      </w:tblPr>
      <w:tblGrid>
        <w:gridCol w:w="4788"/>
        <w:gridCol w:w="4788"/>
      </w:tblGrid>
      <w:tr w:rsidR="00F324A5" w:rsidRPr="00EC1FBB" w14:paraId="563481DA" w14:textId="77777777" w:rsidTr="009C3BB9">
        <w:trPr>
          <w:cantSplit/>
        </w:trPr>
        <w:tc>
          <w:tcPr>
            <w:tcW w:w="2500" w:type="pct"/>
            <w:hideMark/>
          </w:tcPr>
          <w:p w14:paraId="6986016D"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w:t>
            </w:r>
            <w:r w:rsidRPr="00EC1FBB">
              <w:rPr>
                <w:rFonts w:asciiTheme="majorBidi" w:eastAsia="Times New Roman" w:hAnsiTheme="majorBidi" w:cstheme="majorBidi"/>
                <w:color w:val="FF0000"/>
                <w:vertAlign w:val="superscript"/>
                <w:lang w:eastAsia="fr-CH"/>
              </w:rPr>
              <w:footnoteReference w:id="756"/>
            </w:r>
            <w:r w:rsidRPr="00EC1FBB">
              <w:rPr>
                <w:rFonts w:asciiTheme="majorBidi" w:eastAsia="Times New Roman" w:hAnsiTheme="majorBidi" w:cstheme="majorBidi"/>
                <w:lang w:eastAsia="fr-CH"/>
              </w:rPr>
              <w:t>. L'heure, au sujet de laquelle il n'y a pas de suspicion, viendra et Dieu ressuscitera ceux qui sont dans les tombes.</w:t>
            </w:r>
          </w:p>
        </w:tc>
        <w:tc>
          <w:tcPr>
            <w:tcW w:w="2500" w:type="pct"/>
            <w:hideMark/>
          </w:tcPr>
          <w:p w14:paraId="54F1AAD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2" w:char="F08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5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721E95F2" w14:textId="77777777" w:rsidTr="009C3BB9">
        <w:trPr>
          <w:cantSplit/>
        </w:trPr>
        <w:tc>
          <w:tcPr>
            <w:tcW w:w="2500" w:type="pct"/>
            <w:hideMark/>
          </w:tcPr>
          <w:p w14:paraId="3766706C"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103/22:8. Parmi les humains, il en est qui dispute à propos de Dieu, sans connaissance, ni direction, ni livre lumineux,</w:t>
            </w:r>
          </w:p>
        </w:tc>
        <w:tc>
          <w:tcPr>
            <w:tcW w:w="2500" w:type="pct"/>
            <w:hideMark/>
          </w:tcPr>
          <w:p w14:paraId="6FF3AC1C"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57"/>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p>
        </w:tc>
      </w:tr>
      <w:tr w:rsidR="00F324A5" w:rsidRPr="00EC1FBB" w14:paraId="7D3CCB22" w14:textId="77777777" w:rsidTr="009C3BB9">
        <w:trPr>
          <w:cantSplit/>
        </w:trPr>
        <w:tc>
          <w:tcPr>
            <w:tcW w:w="2500" w:type="pct"/>
            <w:hideMark/>
          </w:tcPr>
          <w:p w14:paraId="1A6B54C9"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103/22:9</w:t>
            </w:r>
            <w:r w:rsidRPr="00EC1FBB">
              <w:rPr>
                <w:rFonts w:asciiTheme="majorBidi" w:eastAsia="Times New Roman" w:hAnsiTheme="majorBidi" w:cstheme="majorBidi"/>
                <w:color w:val="FF0000"/>
                <w:vertAlign w:val="superscript"/>
                <w:lang w:eastAsia="fr-CH"/>
              </w:rPr>
              <w:footnoteReference w:id="757"/>
            </w:r>
            <w:r w:rsidRPr="00EC1FBB">
              <w:rPr>
                <w:rFonts w:asciiTheme="majorBidi" w:eastAsia="Times New Roman" w:hAnsiTheme="majorBidi" w:cstheme="majorBidi"/>
                <w:lang w:eastAsia="fr-CH"/>
              </w:rPr>
              <w:t>. pliant le cou pour égarer de la voie de Dieu. À lui l'ignominie dans la [vie] ici-bas. Nous lui ferons goûter le jour de la résurrection le châtiment du feu brûlant.</w:t>
            </w:r>
          </w:p>
        </w:tc>
        <w:tc>
          <w:tcPr>
            <w:tcW w:w="2500" w:type="pct"/>
            <w:hideMark/>
          </w:tcPr>
          <w:p w14:paraId="22A05DD7"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5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3"/>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8F"/>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68FD5769" w14:textId="77777777" w:rsidTr="009C3BB9">
        <w:trPr>
          <w:cantSplit/>
        </w:trPr>
        <w:tc>
          <w:tcPr>
            <w:tcW w:w="2500" w:type="pct"/>
            <w:hideMark/>
          </w:tcPr>
          <w:p w14:paraId="2049C2E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103/22:10. Cela pour ce que tes deux mains ont préparé. Dieu n'est point oppresseur envers les serviteurs.</w:t>
            </w:r>
          </w:p>
        </w:tc>
        <w:tc>
          <w:tcPr>
            <w:tcW w:w="2500" w:type="pct"/>
            <w:hideMark/>
          </w:tcPr>
          <w:p w14:paraId="48C5D807"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A3"/>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2" w:char="F039"/>
            </w:r>
          </w:p>
        </w:tc>
      </w:tr>
      <w:tr w:rsidR="00F324A5" w:rsidRPr="00EC1FBB" w14:paraId="04E980A9" w14:textId="77777777" w:rsidTr="009C3BB9">
        <w:trPr>
          <w:cantSplit/>
        </w:trPr>
        <w:tc>
          <w:tcPr>
            <w:tcW w:w="2500" w:type="pct"/>
            <w:hideMark/>
          </w:tcPr>
          <w:p w14:paraId="5A0F534D"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103/22:11</w:t>
            </w:r>
            <w:r w:rsidRPr="00EC1FBB">
              <w:rPr>
                <w:rFonts w:asciiTheme="majorBidi" w:eastAsia="Times New Roman" w:hAnsiTheme="majorBidi" w:cstheme="majorBidi"/>
                <w:color w:val="FF0000"/>
                <w:vertAlign w:val="superscript"/>
                <w:lang w:eastAsia="fr-CH"/>
              </w:rPr>
              <w:footnoteReference w:id="758"/>
            </w:r>
            <w:r w:rsidRPr="00EC1FBB">
              <w:rPr>
                <w:rFonts w:asciiTheme="majorBidi" w:eastAsia="Times New Roman" w:hAnsiTheme="majorBidi" w:cstheme="majorBidi"/>
                <w:lang w:eastAsia="fr-CH"/>
              </w:rPr>
              <w:t>. Parmi les humains, il en est qui adore Dieu marginalement. Si un bien l'atteint, il s'en rassure, et si une épreuve l'atteint, il tourne la face, perdant [ainsi] la [vie] ici-bas et la [vie] dernière. Voilà la perte manifeste!</w:t>
            </w:r>
          </w:p>
        </w:tc>
        <w:tc>
          <w:tcPr>
            <w:tcW w:w="2500" w:type="pct"/>
            <w:hideMark/>
          </w:tcPr>
          <w:p w14:paraId="18FB89FD"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24"/>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D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E"/>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A3"/>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A3"/>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33A11174" w14:textId="77777777" w:rsidTr="009C3BB9">
        <w:trPr>
          <w:cantSplit/>
        </w:trPr>
        <w:tc>
          <w:tcPr>
            <w:tcW w:w="2500" w:type="pct"/>
            <w:hideMark/>
          </w:tcPr>
          <w:p w14:paraId="0CF98D6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103/22:12. Il appelle hors de Dieu, ce qui ne peut ni lui nuire ni lui profiter. Voilà l'égarement lointain!</w:t>
            </w:r>
          </w:p>
        </w:tc>
        <w:tc>
          <w:tcPr>
            <w:tcW w:w="2500" w:type="pct"/>
            <w:hideMark/>
          </w:tcPr>
          <w:p w14:paraId="5CB1FF6E"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2"/>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4" w:char="F09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04BC5251" w14:textId="77777777" w:rsidTr="009C3BB9">
        <w:trPr>
          <w:cantSplit/>
        </w:trPr>
        <w:tc>
          <w:tcPr>
            <w:tcW w:w="2500" w:type="pct"/>
            <w:hideMark/>
          </w:tcPr>
          <w:p w14:paraId="45275799"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103/22:13</w:t>
            </w:r>
            <w:r w:rsidRPr="00EC1FBB">
              <w:rPr>
                <w:rFonts w:asciiTheme="majorBidi" w:eastAsia="Times New Roman" w:hAnsiTheme="majorBidi" w:cstheme="majorBidi"/>
                <w:color w:val="FF0000"/>
                <w:vertAlign w:val="superscript"/>
                <w:lang w:eastAsia="fr-CH"/>
              </w:rPr>
              <w:footnoteReference w:id="759"/>
            </w:r>
            <w:r w:rsidRPr="00EC1FBB">
              <w:rPr>
                <w:rFonts w:asciiTheme="majorBidi" w:eastAsia="Times New Roman" w:hAnsiTheme="majorBidi" w:cstheme="majorBidi"/>
                <w:lang w:eastAsia="fr-CH"/>
              </w:rPr>
              <w:t>. Il appelle ce dont la nuisance est plus proche que le profit. Quel détestable allié, et quel détestable compagnon!</w:t>
            </w:r>
          </w:p>
        </w:tc>
        <w:tc>
          <w:tcPr>
            <w:tcW w:w="2500" w:type="pct"/>
            <w:hideMark/>
          </w:tcPr>
          <w:p w14:paraId="115854DD"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1" w:char="F0D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A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A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4CDDD715" w14:textId="77777777" w:rsidTr="009C3BB9">
        <w:trPr>
          <w:cantSplit/>
        </w:trPr>
        <w:tc>
          <w:tcPr>
            <w:tcW w:w="2500" w:type="pct"/>
            <w:hideMark/>
          </w:tcPr>
          <w:p w14:paraId="47AEB176"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103/22:14. Dieu fait entrer ceux qui ont cru et ont fait les œuvres vertueuses dans des jardins sous lesquels courent les rivières. Dieu fait ce qu'il veut.</w:t>
            </w:r>
          </w:p>
        </w:tc>
        <w:tc>
          <w:tcPr>
            <w:tcW w:w="2500" w:type="pct"/>
            <w:hideMark/>
          </w:tcPr>
          <w:p w14:paraId="13DAD303"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B"/>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p>
        </w:tc>
      </w:tr>
      <w:tr w:rsidR="00F324A5" w:rsidRPr="00EC1FBB" w14:paraId="7C7A512E" w14:textId="77777777" w:rsidTr="009C3BB9">
        <w:trPr>
          <w:cantSplit/>
        </w:trPr>
        <w:tc>
          <w:tcPr>
            <w:tcW w:w="2500" w:type="pct"/>
            <w:hideMark/>
          </w:tcPr>
          <w:p w14:paraId="759114EC"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103/22:15</w:t>
            </w:r>
            <w:r w:rsidRPr="00EC1FBB">
              <w:rPr>
                <w:rFonts w:asciiTheme="majorBidi" w:eastAsia="Times New Roman" w:hAnsiTheme="majorBidi" w:cstheme="majorBidi"/>
                <w:color w:val="FF0000"/>
                <w:vertAlign w:val="superscript"/>
                <w:lang w:eastAsia="fr-CH"/>
              </w:rPr>
              <w:footnoteReference w:id="760"/>
            </w:r>
            <w:r w:rsidRPr="00EC1FBB">
              <w:rPr>
                <w:rFonts w:asciiTheme="majorBidi" w:eastAsia="Times New Roman" w:hAnsiTheme="majorBidi" w:cstheme="majorBidi"/>
                <w:lang w:eastAsia="fr-CH"/>
              </w:rPr>
              <w:t>. Celui qui présume que Dieu ne le secourra pas dans la [vie] ici-bas et la [vie] dernière, qu'il tende une corde jusqu'au ciel, puis qu'il la coupe,</w:t>
            </w:r>
            <w:r w:rsidRPr="00EC1FBB">
              <w:rPr>
                <w:rFonts w:asciiTheme="majorBidi" w:eastAsia="Times New Roman" w:hAnsiTheme="majorBidi" w:cstheme="majorBidi"/>
                <w:color w:val="FF0000"/>
                <w:vertAlign w:val="superscript"/>
                <w:lang w:eastAsia="fr-CH"/>
              </w:rPr>
              <w:t>T1</w:t>
            </w:r>
            <w:r w:rsidRPr="00EC1FBB">
              <w:rPr>
                <w:rFonts w:asciiTheme="majorBidi" w:eastAsia="Times New Roman" w:hAnsiTheme="majorBidi" w:cstheme="majorBidi"/>
                <w:lang w:eastAsia="fr-CH"/>
              </w:rPr>
              <w:t xml:space="preserve"> et qu'il regarde si sa ruse fera disparaître ce qui l'enrage.</w:t>
            </w:r>
          </w:p>
        </w:tc>
        <w:tc>
          <w:tcPr>
            <w:tcW w:w="2500" w:type="pct"/>
            <w:hideMark/>
          </w:tcPr>
          <w:p w14:paraId="59DC88D6"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0"/>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C7"/>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1"/>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0"/>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E1"/>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p>
        </w:tc>
      </w:tr>
      <w:tr w:rsidR="00F324A5" w:rsidRPr="00EC1FBB" w14:paraId="4C27FED6" w14:textId="77777777" w:rsidTr="009C3BB9">
        <w:trPr>
          <w:cantSplit/>
        </w:trPr>
        <w:tc>
          <w:tcPr>
            <w:tcW w:w="2500" w:type="pct"/>
            <w:hideMark/>
          </w:tcPr>
          <w:p w14:paraId="7B8950F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103/22:16. Ainsi l'avons-nous fait descendre en signes manifestes. Dieu dirige qui il veut.</w:t>
            </w:r>
          </w:p>
        </w:tc>
        <w:tc>
          <w:tcPr>
            <w:tcW w:w="2500" w:type="pct"/>
            <w:hideMark/>
          </w:tcPr>
          <w:p w14:paraId="5DF2F182"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B"/>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p>
        </w:tc>
      </w:tr>
      <w:tr w:rsidR="00F324A5" w:rsidRPr="00EC1FBB" w14:paraId="0E0D3BCC" w14:textId="77777777" w:rsidTr="009C3BB9">
        <w:trPr>
          <w:cantSplit/>
        </w:trPr>
        <w:tc>
          <w:tcPr>
            <w:tcW w:w="2500" w:type="pct"/>
            <w:hideMark/>
          </w:tcPr>
          <w:p w14:paraId="3568463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103/22:17</w:t>
            </w:r>
            <w:r w:rsidRPr="00EC1FBB">
              <w:rPr>
                <w:rFonts w:asciiTheme="majorBidi" w:eastAsia="Times New Roman" w:hAnsiTheme="majorBidi" w:cstheme="majorBidi"/>
                <w:color w:val="FF0000"/>
                <w:vertAlign w:val="superscript"/>
                <w:lang w:eastAsia="fr-CH"/>
              </w:rPr>
              <w:footnoteReference w:id="761"/>
            </w:r>
            <w:r w:rsidRPr="00EC1FBB">
              <w:rPr>
                <w:rFonts w:asciiTheme="majorBidi" w:eastAsia="Times New Roman" w:hAnsiTheme="majorBidi" w:cstheme="majorBidi"/>
                <w:lang w:eastAsia="fr-CH"/>
              </w:rPr>
              <w:t>. Ceux qui ont cru, les juifs, les sabéens, les nazaréens,</w:t>
            </w:r>
            <w:r w:rsidRPr="00EC1FBB">
              <w:rPr>
                <w:rFonts w:asciiTheme="majorBidi" w:eastAsia="Times New Roman" w:hAnsiTheme="majorBidi" w:cstheme="majorBidi"/>
                <w:color w:val="FF0000"/>
                <w:vertAlign w:val="superscript"/>
                <w:lang w:eastAsia="fr-CH"/>
              </w:rPr>
              <w:t>T1</w:t>
            </w:r>
            <w:r w:rsidRPr="00EC1FBB">
              <w:rPr>
                <w:rFonts w:asciiTheme="majorBidi" w:eastAsia="Times New Roman" w:hAnsiTheme="majorBidi" w:cstheme="majorBidi"/>
                <w:lang w:eastAsia="fr-CH"/>
              </w:rPr>
              <w:t xml:space="preserve"> les mages et les associateurs, Dieu décidera parmi eux le jour de la résurrection. Dieu est témoin de toute chose.</w:t>
            </w:r>
          </w:p>
        </w:tc>
        <w:tc>
          <w:tcPr>
            <w:tcW w:w="2500" w:type="pct"/>
            <w:hideMark/>
          </w:tcPr>
          <w:p w14:paraId="7C596F3C"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A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3"/>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B0"/>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6"/>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E"/>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AD"/>
            </w:r>
          </w:p>
        </w:tc>
      </w:tr>
      <w:tr w:rsidR="00F324A5" w:rsidRPr="00EC1FBB" w14:paraId="215B2738" w14:textId="77777777" w:rsidTr="009C3BB9">
        <w:trPr>
          <w:cantSplit/>
        </w:trPr>
        <w:tc>
          <w:tcPr>
            <w:tcW w:w="2500" w:type="pct"/>
            <w:hideMark/>
          </w:tcPr>
          <w:p w14:paraId="2CBBC346"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103/22:18</w:t>
            </w:r>
            <w:r w:rsidRPr="00EC1FBB">
              <w:rPr>
                <w:rFonts w:asciiTheme="majorBidi" w:eastAsia="Times New Roman" w:hAnsiTheme="majorBidi" w:cstheme="majorBidi"/>
                <w:color w:val="FF0000"/>
                <w:vertAlign w:val="superscript"/>
                <w:lang w:eastAsia="fr-CH"/>
              </w:rPr>
              <w:footnoteReference w:id="762"/>
            </w:r>
            <w:r w:rsidRPr="00EC1FBB">
              <w:rPr>
                <w:rFonts w:asciiTheme="majorBidi" w:eastAsia="Times New Roman" w:hAnsiTheme="majorBidi" w:cstheme="majorBidi"/>
                <w:lang w:eastAsia="fr-CH"/>
              </w:rPr>
              <w:t>. N'as-tu pas vu que devant Dieu se prosternent ceux qui sont dans les cieux et la terre, le soleil, la lune, les astres, les montagnes, les arbres, les animaux, et beaucoup d’humains ? Il y en a beaucoup contre qui le châtiment s'avère juste. Quiconque Dieu humilie n'a personne pour l'honorer. Dieu fait ce qu'il souhaite.</w:t>
            </w:r>
          </w:p>
        </w:tc>
        <w:tc>
          <w:tcPr>
            <w:tcW w:w="2500" w:type="pct"/>
            <w:hideMark/>
          </w:tcPr>
          <w:p w14:paraId="3A3F16D1"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E"/>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A7"/>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8F"/>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3" w:char="F024"/>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56"/>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57"/>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8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2"/>
            </w:r>
            <w:r w:rsidRPr="00EC1FBB">
              <w:rPr>
                <w:rFonts w:asciiTheme="majorBidi" w:eastAsia="Times New Roman" w:hAnsiTheme="majorBidi" w:cstheme="majorBidi"/>
                <w:color w:val="000000"/>
                <w:lang w:eastAsia="fr-CH"/>
              </w:rPr>
              <w:sym w:font="HQPB2" w:char="F051"/>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rtl/>
                <w:lang w:eastAsia="fr-CH"/>
              </w:rPr>
              <w:t> </w:t>
            </w:r>
            <w:r w:rsidRPr="00EC1FBB">
              <w:rPr>
                <w:rFonts w:asciiTheme="majorBidi" w:eastAsia="Times New Roman" w:hAnsiTheme="majorBidi" w:cstheme="majorBidi"/>
                <w:color w:val="000000"/>
                <w:lang w:eastAsia="fr-CH"/>
              </w:rPr>
              <w:sym w:font="HQPB4" w:char="F029"/>
            </w:r>
          </w:p>
        </w:tc>
      </w:tr>
    </w:tbl>
    <w:p w14:paraId="40FC5A46" w14:textId="77777777" w:rsidR="00F324A5" w:rsidRPr="00EC1FBB" w:rsidRDefault="00F324A5" w:rsidP="00F324A5">
      <w:pPr>
        <w:keepLines/>
        <w:ind w:right="68"/>
        <w:contextualSpacing/>
        <w:jc w:val="both"/>
        <w:rPr>
          <w:rFonts w:asciiTheme="majorBidi" w:eastAsia="Times New Roman" w:hAnsiTheme="majorBidi" w:cstheme="majorBidi"/>
          <w:bCs/>
          <w:lang w:eastAsia="fr-CH"/>
        </w:rPr>
      </w:pPr>
    </w:p>
    <w:tbl>
      <w:tblPr>
        <w:tblW w:w="5000" w:type="pct"/>
        <w:tblLook w:val="01E0" w:firstRow="1" w:lastRow="1" w:firstColumn="1" w:lastColumn="1" w:noHBand="0" w:noVBand="0"/>
      </w:tblPr>
      <w:tblGrid>
        <w:gridCol w:w="4788"/>
        <w:gridCol w:w="4788"/>
      </w:tblGrid>
      <w:tr w:rsidR="00F324A5" w:rsidRPr="00EC1FBB" w14:paraId="22B2A92B" w14:textId="77777777" w:rsidTr="009C3BB9">
        <w:trPr>
          <w:cantSplit/>
        </w:trPr>
        <w:tc>
          <w:tcPr>
            <w:tcW w:w="2500" w:type="pct"/>
            <w:hideMark/>
          </w:tcPr>
          <w:p w14:paraId="2C1FFB7C"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103/22:19</w:t>
            </w:r>
            <w:r w:rsidRPr="00EC1FBB">
              <w:rPr>
                <w:rFonts w:asciiTheme="majorBidi" w:eastAsia="Times New Roman" w:hAnsiTheme="majorBidi" w:cstheme="majorBidi"/>
                <w:color w:val="FF0000"/>
                <w:vertAlign w:val="superscript"/>
                <w:lang w:eastAsia="fr-CH"/>
              </w:rPr>
              <w:footnoteReference w:id="763"/>
            </w:r>
            <w:r w:rsidRPr="00EC1FBB">
              <w:rPr>
                <w:rFonts w:asciiTheme="majorBidi" w:eastAsia="Times New Roman" w:hAnsiTheme="majorBidi" w:cstheme="majorBidi"/>
                <w:lang w:eastAsia="fr-CH"/>
              </w:rPr>
              <w:t>. Voici deux disputeurs qui se disputaient au sujet de leur Seigneur. À ceux qui ont mécru, on coupera des vêtements de feu [et] on déversera au-dessus de leurs têtes de l'eau ardente,</w:t>
            </w:r>
          </w:p>
        </w:tc>
        <w:tc>
          <w:tcPr>
            <w:tcW w:w="2500" w:type="pct"/>
            <w:hideMark/>
          </w:tcPr>
          <w:p w14:paraId="61FF8588"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4" w:char="F068"/>
            </w:r>
            <w:r w:rsidRPr="00EC1FBB">
              <w:rPr>
                <w:rFonts w:asciiTheme="majorBidi" w:eastAsia="Times New Roman" w:hAnsiTheme="majorBidi" w:cstheme="majorBidi"/>
                <w:color w:val="000000"/>
                <w:lang w:eastAsia="fr-CH"/>
              </w:rPr>
              <w:sym w:font="HQPB1" w:char="F035"/>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C"/>
            </w:r>
            <w:r w:rsidRPr="00EC1FBB">
              <w:rPr>
                <w:rFonts w:asciiTheme="majorBidi" w:eastAsia="Times New Roman" w:hAnsiTheme="majorBidi" w:cstheme="majorBidi"/>
                <w:color w:val="000000"/>
                <w:lang w:eastAsia="fr-CH"/>
              </w:rPr>
              <w:sym w:font="HQPB5" w:char="F06D"/>
            </w:r>
            <w:r w:rsidRPr="00EC1FBB">
              <w:rPr>
                <w:rFonts w:asciiTheme="majorBidi" w:eastAsia="Times New Roman" w:hAnsiTheme="majorBidi" w:cstheme="majorBidi"/>
                <w:color w:val="000000"/>
                <w:lang w:eastAsia="fr-CH"/>
              </w:rPr>
              <w:sym w:font="HQPB2" w:char="F03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8F"/>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D"/>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9D"/>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06391F1A" w14:textId="77777777" w:rsidTr="009C3BB9">
        <w:trPr>
          <w:cantSplit/>
        </w:trPr>
        <w:tc>
          <w:tcPr>
            <w:tcW w:w="2500" w:type="pct"/>
            <w:hideMark/>
          </w:tcPr>
          <w:p w14:paraId="3B10ACA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103/22:20</w:t>
            </w:r>
            <w:r w:rsidRPr="00EC1FBB">
              <w:rPr>
                <w:rFonts w:asciiTheme="majorBidi" w:eastAsia="Times New Roman" w:hAnsiTheme="majorBidi" w:cstheme="majorBidi"/>
                <w:color w:val="FF0000"/>
                <w:vertAlign w:val="superscript"/>
                <w:lang w:eastAsia="fr-CH"/>
              </w:rPr>
              <w:footnoteReference w:id="764"/>
            </w:r>
            <w:r w:rsidRPr="00EC1FBB">
              <w:rPr>
                <w:rFonts w:asciiTheme="majorBidi" w:eastAsia="Times New Roman" w:hAnsiTheme="majorBidi" w:cstheme="majorBidi"/>
                <w:lang w:eastAsia="fr-CH"/>
              </w:rPr>
              <w:t>. qui fera fondre ce qui est dans leurs ventres et leurs peaux.</w:t>
            </w:r>
          </w:p>
        </w:tc>
        <w:tc>
          <w:tcPr>
            <w:tcW w:w="2500" w:type="pct"/>
            <w:hideMark/>
          </w:tcPr>
          <w:p w14:paraId="09BBD723"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58"/>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p>
        </w:tc>
      </w:tr>
      <w:tr w:rsidR="00F324A5" w:rsidRPr="00EC1FBB" w14:paraId="473AA605" w14:textId="77777777" w:rsidTr="009C3BB9">
        <w:trPr>
          <w:cantSplit/>
        </w:trPr>
        <w:tc>
          <w:tcPr>
            <w:tcW w:w="2500" w:type="pct"/>
            <w:hideMark/>
          </w:tcPr>
          <w:p w14:paraId="586AE39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103/22:21. Il y aura pour eux des maillets de fer.</w:t>
            </w:r>
          </w:p>
        </w:tc>
        <w:tc>
          <w:tcPr>
            <w:tcW w:w="2500" w:type="pct"/>
            <w:hideMark/>
          </w:tcPr>
          <w:p w14:paraId="17A8F138"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C"/>
            </w:r>
            <w:r w:rsidRPr="00EC1FBB">
              <w:rPr>
                <w:rFonts w:asciiTheme="majorBidi" w:eastAsia="Times New Roman" w:hAnsiTheme="majorBidi" w:cstheme="majorBidi"/>
                <w:color w:val="000000"/>
                <w:lang w:eastAsia="fr-CH"/>
              </w:rPr>
              <w:sym w:font="HQPB5" w:char="F06D"/>
            </w:r>
            <w:r w:rsidRPr="00EC1FBB">
              <w:rPr>
                <w:rFonts w:asciiTheme="majorBidi" w:eastAsia="Times New Roman" w:hAnsiTheme="majorBidi" w:cstheme="majorBidi"/>
                <w:color w:val="000000"/>
                <w:lang w:eastAsia="fr-CH"/>
              </w:rPr>
              <w:sym w:font="HQPB2" w:char="F03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6E"/>
            </w:r>
          </w:p>
        </w:tc>
      </w:tr>
      <w:tr w:rsidR="00F324A5" w:rsidRPr="00EC1FBB" w14:paraId="70F186F1" w14:textId="77777777" w:rsidTr="009C3BB9">
        <w:trPr>
          <w:cantSplit/>
        </w:trPr>
        <w:tc>
          <w:tcPr>
            <w:tcW w:w="2500" w:type="pct"/>
            <w:hideMark/>
          </w:tcPr>
          <w:p w14:paraId="2FFFDBE5"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103/22:22</w:t>
            </w:r>
            <w:r w:rsidRPr="00EC1FBB">
              <w:rPr>
                <w:rFonts w:asciiTheme="majorBidi" w:eastAsia="Times New Roman" w:hAnsiTheme="majorBidi" w:cstheme="majorBidi"/>
                <w:color w:val="FF0000"/>
                <w:vertAlign w:val="superscript"/>
                <w:lang w:eastAsia="fr-CH"/>
              </w:rPr>
              <w:footnoteReference w:id="765"/>
            </w:r>
            <w:r w:rsidRPr="00EC1FBB">
              <w:rPr>
                <w:rFonts w:asciiTheme="majorBidi" w:eastAsia="Times New Roman" w:hAnsiTheme="majorBidi" w:cstheme="majorBidi"/>
                <w:lang w:eastAsia="fr-CH"/>
              </w:rPr>
              <w:t>. Chaque fois qu'ils voudront en sortir à cause de la détresse, on les y retournera: "Goûtez le châtiment du feu brûlant".</w:t>
            </w:r>
          </w:p>
        </w:tc>
        <w:tc>
          <w:tcPr>
            <w:tcW w:w="2500" w:type="pct"/>
            <w:hideMark/>
          </w:tcPr>
          <w:p w14:paraId="05A39E03"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1"/>
            </w:r>
            <w:r w:rsidRPr="00EC1FBB">
              <w:rPr>
                <w:rFonts w:asciiTheme="majorBidi" w:eastAsia="Times New Roman" w:hAnsiTheme="majorBidi" w:cstheme="majorBidi"/>
                <w:color w:val="000000"/>
                <w:lang w:eastAsia="fr-CH"/>
              </w:rPr>
              <w:sym w:font="HQPB4" w:char="F064"/>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E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2" w:char="F08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8F"/>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70E0A32B" w14:textId="77777777" w:rsidTr="009C3BB9">
        <w:trPr>
          <w:cantSplit/>
        </w:trPr>
        <w:tc>
          <w:tcPr>
            <w:tcW w:w="2500" w:type="pct"/>
            <w:hideMark/>
          </w:tcPr>
          <w:p w14:paraId="7CD2D20B"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103/22:23</w:t>
            </w:r>
            <w:r w:rsidRPr="00EC1FBB">
              <w:rPr>
                <w:rFonts w:asciiTheme="majorBidi" w:eastAsia="Times New Roman" w:hAnsiTheme="majorBidi" w:cstheme="majorBidi"/>
                <w:color w:val="FF0000"/>
                <w:vertAlign w:val="superscript"/>
                <w:lang w:eastAsia="fr-CH"/>
              </w:rPr>
              <w:footnoteReference w:id="766"/>
            </w:r>
            <w:r w:rsidRPr="00EC1FBB">
              <w:rPr>
                <w:rFonts w:asciiTheme="majorBidi" w:eastAsia="Times New Roman" w:hAnsiTheme="majorBidi" w:cstheme="majorBidi"/>
                <w:lang w:eastAsia="fr-CH"/>
              </w:rPr>
              <w:t>. Dieu fait entrer ceux qui ont cru et ont fait les œuvres vertueuses dans des jardins sous lesquels courent les rivières. Ils y seront parés de bracelets en or et de perles, et leurs vêtements y seront de soie.</w:t>
            </w:r>
          </w:p>
        </w:tc>
        <w:tc>
          <w:tcPr>
            <w:tcW w:w="2500" w:type="pct"/>
            <w:hideMark/>
          </w:tcPr>
          <w:p w14:paraId="3ED0F1FF"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B"/>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5A"/>
            </w:r>
            <w:r w:rsidRPr="00EC1FBB">
              <w:rPr>
                <w:rFonts w:asciiTheme="majorBidi" w:eastAsia="Times New Roman" w:hAnsiTheme="majorBidi" w:cstheme="majorBidi"/>
                <w:color w:val="000000"/>
                <w:lang w:eastAsia="fr-CH"/>
              </w:rPr>
              <w:sym w:font="HQPB2" w:char="F073"/>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3"/>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p>
        </w:tc>
      </w:tr>
      <w:tr w:rsidR="00F324A5" w:rsidRPr="00EC1FBB" w14:paraId="03D32E37" w14:textId="77777777" w:rsidTr="009C3BB9">
        <w:trPr>
          <w:cantSplit/>
        </w:trPr>
        <w:tc>
          <w:tcPr>
            <w:tcW w:w="2500" w:type="pct"/>
            <w:hideMark/>
          </w:tcPr>
          <w:p w14:paraId="74E09929"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103/22:24. Ils ont été dirigés vers la bonne parole et ils ont été dirigés vers le chemin du louable.</w:t>
            </w:r>
          </w:p>
        </w:tc>
        <w:tc>
          <w:tcPr>
            <w:tcW w:w="2500" w:type="pct"/>
            <w:hideMark/>
          </w:tcPr>
          <w:p w14:paraId="6760B380"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4" w:char="F06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C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DE"/>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0"/>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54CE93D7" w14:textId="77777777" w:rsidTr="009C3BB9">
        <w:trPr>
          <w:cantSplit/>
        </w:trPr>
        <w:tc>
          <w:tcPr>
            <w:tcW w:w="2500" w:type="pct"/>
            <w:hideMark/>
          </w:tcPr>
          <w:p w14:paraId="57A098FE"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103/22:25</w:t>
            </w:r>
            <w:r w:rsidRPr="00EC1FBB">
              <w:rPr>
                <w:rFonts w:asciiTheme="majorBidi" w:eastAsia="Times New Roman" w:hAnsiTheme="majorBidi" w:cstheme="majorBidi"/>
                <w:color w:val="FF0000"/>
                <w:vertAlign w:val="superscript"/>
                <w:lang w:eastAsia="fr-CH"/>
              </w:rPr>
              <w:footnoteReference w:id="767"/>
            </w:r>
            <w:r w:rsidRPr="00EC1FBB">
              <w:rPr>
                <w:rFonts w:asciiTheme="majorBidi" w:eastAsia="Times New Roman" w:hAnsiTheme="majorBidi" w:cstheme="majorBidi"/>
                <w:lang w:eastAsia="fr-CH"/>
              </w:rPr>
              <w:t>. Ceux qui ont mécru et rebuté [les autres] de la voie de Dieu et du Sanctuaire interdit,</w:t>
            </w:r>
            <w:r w:rsidRPr="00EC1FBB">
              <w:rPr>
                <w:rFonts w:asciiTheme="majorBidi" w:eastAsia="Times New Roman" w:hAnsiTheme="majorBidi" w:cstheme="majorBidi"/>
                <w:color w:val="FF0000"/>
                <w:vertAlign w:val="superscript"/>
                <w:lang w:eastAsia="fr-CH"/>
              </w:rPr>
              <w:t>T1</w:t>
            </w:r>
            <w:r w:rsidRPr="00EC1FBB">
              <w:rPr>
                <w:rFonts w:asciiTheme="majorBidi" w:eastAsia="Times New Roman" w:hAnsiTheme="majorBidi" w:cstheme="majorBidi"/>
                <w:lang w:eastAsia="fr-CH"/>
              </w:rPr>
              <w:t xml:space="preserve"> celui que nous avons fait pour les humains: C'est égal qu'il y soit attaché au culte ou bédouin […]. Quiconque y veut une déformation [et] une oppression,</w:t>
            </w:r>
            <w:r w:rsidRPr="00EC1FBB">
              <w:rPr>
                <w:rFonts w:asciiTheme="majorBidi" w:eastAsia="Times New Roman" w:hAnsiTheme="majorBidi" w:cstheme="majorBidi"/>
                <w:color w:val="FF0000"/>
                <w:vertAlign w:val="superscript"/>
                <w:lang w:eastAsia="fr-CH"/>
              </w:rPr>
              <w:t>T2</w:t>
            </w:r>
            <w:r w:rsidRPr="00EC1FBB">
              <w:rPr>
                <w:rFonts w:asciiTheme="majorBidi" w:eastAsia="Times New Roman" w:hAnsiTheme="majorBidi" w:cstheme="majorBidi"/>
                <w:lang w:eastAsia="fr-CH"/>
              </w:rPr>
              <w:t xml:space="preserve"> nous lui ferons goûter un châtiment affligeant.</w:t>
            </w:r>
          </w:p>
        </w:tc>
        <w:tc>
          <w:tcPr>
            <w:tcW w:w="2500" w:type="pct"/>
            <w:hideMark/>
          </w:tcPr>
          <w:p w14:paraId="471A3E23"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1"/>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B9"/>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23"/>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4</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5"/>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FF0000"/>
                <w:vertAlign w:val="superscript"/>
                <w:rtl/>
                <w:lang w:eastAsia="fr-CH"/>
              </w:rPr>
              <w:t> 5</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9C"/>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1"/>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p>
        </w:tc>
      </w:tr>
      <w:tr w:rsidR="00F324A5" w:rsidRPr="00EC1FBB" w14:paraId="697E7760" w14:textId="77777777" w:rsidTr="009C3BB9">
        <w:trPr>
          <w:cantSplit/>
        </w:trPr>
        <w:tc>
          <w:tcPr>
            <w:tcW w:w="2500" w:type="pct"/>
            <w:hideMark/>
          </w:tcPr>
          <w:p w14:paraId="140A71C1"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103/22:26</w:t>
            </w:r>
            <w:r w:rsidRPr="00EC1FBB">
              <w:rPr>
                <w:rFonts w:asciiTheme="majorBidi" w:eastAsia="Times New Roman" w:hAnsiTheme="majorBidi" w:cstheme="majorBidi"/>
                <w:color w:val="FF0000"/>
                <w:vertAlign w:val="superscript"/>
                <w:lang w:eastAsia="fr-CH"/>
              </w:rPr>
              <w:footnoteReference w:id="768"/>
            </w:r>
            <w:r w:rsidRPr="00EC1FBB">
              <w:rPr>
                <w:rFonts w:asciiTheme="majorBidi" w:eastAsia="Times New Roman" w:hAnsiTheme="majorBidi" w:cstheme="majorBidi"/>
                <w:lang w:eastAsia="fr-CH"/>
              </w:rPr>
              <w:t>. En ce temps-là, nous avons établi Abraham à l'endroit de la Maison: "Ne m'associe rien et purifie ma Maison pour ceux qui tournent autour, sont debout, s'y agenouillent et se prosternent".</w:t>
            </w:r>
          </w:p>
        </w:tc>
        <w:tc>
          <w:tcPr>
            <w:tcW w:w="2500" w:type="pct"/>
            <w:hideMark/>
          </w:tcPr>
          <w:p w14:paraId="6FBABA00"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5C"/>
            </w:r>
            <w:r w:rsidRPr="00EC1FBB">
              <w:rPr>
                <w:rFonts w:asciiTheme="majorBidi" w:eastAsia="Times New Roman" w:hAnsiTheme="majorBidi" w:cstheme="majorBidi"/>
                <w:color w:val="000000"/>
                <w:lang w:eastAsia="fr-CH"/>
              </w:rPr>
              <w:sym w:font="HQPB2" w:char="F07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1"/>
            </w:r>
            <w:r w:rsidRPr="00EC1FBB">
              <w:rPr>
                <w:rFonts w:asciiTheme="majorBidi" w:eastAsia="Times New Roman" w:hAnsiTheme="majorBidi" w:cstheme="majorBidi"/>
                <w:color w:val="000000"/>
                <w:lang w:eastAsia="fr-CH"/>
              </w:rPr>
              <w:sym w:font="HQPB3" w:char="F08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B3"/>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0"/>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5C"/>
            </w:r>
            <w:r w:rsidRPr="00EC1FBB">
              <w:rPr>
                <w:rFonts w:asciiTheme="majorBidi" w:eastAsia="Times New Roman" w:hAnsiTheme="majorBidi" w:cstheme="majorBidi"/>
                <w:color w:val="000000"/>
                <w:lang w:eastAsia="fr-CH"/>
              </w:rPr>
              <w:sym w:font="HQPB2" w:char="F0A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4" w:char="F064"/>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4C"/>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AC"/>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AC"/>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6"/>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4" w:char="F09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4" w:char="F08F"/>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0A48F7EB" w14:textId="77777777" w:rsidTr="009C3BB9">
        <w:trPr>
          <w:cantSplit/>
        </w:trPr>
        <w:tc>
          <w:tcPr>
            <w:tcW w:w="2500" w:type="pct"/>
            <w:hideMark/>
          </w:tcPr>
          <w:p w14:paraId="33B694F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103/22:27</w:t>
            </w:r>
            <w:r w:rsidRPr="00EC1FBB">
              <w:rPr>
                <w:rFonts w:asciiTheme="majorBidi" w:eastAsia="Times New Roman" w:hAnsiTheme="majorBidi" w:cstheme="majorBidi"/>
                <w:color w:val="FF0000"/>
                <w:vertAlign w:val="superscript"/>
                <w:lang w:eastAsia="fr-CH"/>
              </w:rPr>
              <w:footnoteReference w:id="769"/>
            </w:r>
            <w:r w:rsidRPr="00EC1FBB">
              <w:rPr>
                <w:rFonts w:asciiTheme="majorBidi" w:eastAsia="Times New Roman" w:hAnsiTheme="majorBidi" w:cstheme="majorBidi"/>
                <w:lang w:eastAsia="fr-CH"/>
              </w:rPr>
              <w:t>. Annonce aux humains le pèlerinage. Ils viendront vers toi, à pied, et aussi sur toute bête amaigrie, venant de tout profond défilé.</w:t>
            </w:r>
          </w:p>
        </w:tc>
        <w:tc>
          <w:tcPr>
            <w:tcW w:w="2500" w:type="pct"/>
            <w:hideMark/>
          </w:tcPr>
          <w:p w14:paraId="7E7C86B6"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6"/>
            </w:r>
            <w:r w:rsidRPr="00EC1FBB">
              <w:rPr>
                <w:rFonts w:asciiTheme="majorBidi" w:eastAsia="Times New Roman" w:hAnsiTheme="majorBidi" w:cstheme="majorBidi"/>
                <w:color w:val="000000"/>
                <w:lang w:eastAsia="fr-CH"/>
              </w:rPr>
              <w:sym w:font="HQPB4" w:char="F064"/>
            </w:r>
            <w:r w:rsidRPr="00EC1FBB">
              <w:rPr>
                <w:rFonts w:asciiTheme="majorBidi" w:eastAsia="Times New Roman" w:hAnsiTheme="majorBidi" w:cstheme="majorBidi"/>
                <w:color w:val="000000"/>
                <w:lang w:eastAsia="fr-CH"/>
              </w:rPr>
              <w:sym w:font="HQPB1" w:char="F06B"/>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5A"/>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0"/>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4</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F"/>
            </w:r>
            <w:r w:rsidRPr="00EC1FBB">
              <w:rPr>
                <w:rFonts w:asciiTheme="majorBidi" w:eastAsia="Times New Roman" w:hAnsiTheme="majorBidi" w:cstheme="majorBidi"/>
                <w:color w:val="000000"/>
                <w:lang w:eastAsia="fr-CH"/>
              </w:rPr>
              <w:sym w:font="HQPB4" w:char="F064"/>
            </w:r>
            <w:r w:rsidRPr="00EC1FBB">
              <w:rPr>
                <w:rFonts w:asciiTheme="majorBidi" w:eastAsia="Times New Roman" w:hAnsiTheme="majorBidi" w:cstheme="majorBidi"/>
                <w:color w:val="000000"/>
                <w:lang w:eastAsia="fr-CH"/>
              </w:rPr>
              <w:sym w:font="HQPB1" w:char="F06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FF0000"/>
                <w:vertAlign w:val="superscript"/>
                <w:rtl/>
                <w:lang w:eastAsia="fr-CH"/>
              </w:rPr>
              <w:t> 5</w:t>
            </w:r>
          </w:p>
        </w:tc>
      </w:tr>
      <w:tr w:rsidR="00F324A5" w:rsidRPr="00EC1FBB" w14:paraId="4CA584D3" w14:textId="77777777" w:rsidTr="009C3BB9">
        <w:trPr>
          <w:cantSplit/>
        </w:trPr>
        <w:tc>
          <w:tcPr>
            <w:tcW w:w="2500" w:type="pct"/>
            <w:hideMark/>
          </w:tcPr>
          <w:p w14:paraId="2C5BB95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103/22:28</w:t>
            </w:r>
            <w:r w:rsidRPr="00EC1FBB">
              <w:rPr>
                <w:rFonts w:asciiTheme="majorBidi" w:eastAsia="Times New Roman" w:hAnsiTheme="majorBidi" w:cstheme="majorBidi"/>
                <w:color w:val="FF0000"/>
                <w:vertAlign w:val="superscript"/>
                <w:lang w:eastAsia="fr-CH"/>
              </w:rPr>
              <w:footnoteReference w:id="770"/>
            </w:r>
            <w:r w:rsidRPr="00EC1FBB">
              <w:rPr>
                <w:rFonts w:asciiTheme="majorBidi" w:eastAsia="Times New Roman" w:hAnsiTheme="majorBidi" w:cstheme="majorBidi"/>
                <w:lang w:eastAsia="fr-CH"/>
              </w:rPr>
              <w:t>. Qu'ils soient témoins de leurs profits et qu'ils se rappellent le nom de Dieu, aux jours connus, sur la bête du bétail qu'il leur a attribuée:</w:t>
            </w:r>
            <w:r w:rsidRPr="00EC1FBB">
              <w:rPr>
                <w:rFonts w:asciiTheme="majorBidi" w:eastAsia="Times New Roman" w:hAnsiTheme="majorBidi" w:cstheme="majorBidi"/>
                <w:color w:val="FF0000"/>
                <w:vertAlign w:val="superscript"/>
                <w:lang w:eastAsia="fr-CH"/>
              </w:rPr>
              <w:t>A1</w:t>
            </w:r>
            <w:r w:rsidRPr="00EC1FBB">
              <w:rPr>
                <w:rFonts w:asciiTheme="majorBidi" w:eastAsia="Times New Roman" w:hAnsiTheme="majorBidi" w:cstheme="majorBidi"/>
                <w:lang w:eastAsia="fr-CH"/>
              </w:rPr>
              <w:t xml:space="preserve"> "Mangez-en et nourrissez[-en] le pauvre besogneux".</w:t>
            </w:r>
          </w:p>
        </w:tc>
        <w:tc>
          <w:tcPr>
            <w:tcW w:w="2500" w:type="pct"/>
            <w:hideMark/>
          </w:tcPr>
          <w:p w14:paraId="55E1A5E1"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5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D"/>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2"/>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E"/>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DB"/>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7"/>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AC"/>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1659CE94" w14:textId="77777777" w:rsidTr="009C3BB9">
        <w:trPr>
          <w:cantSplit/>
        </w:trPr>
        <w:tc>
          <w:tcPr>
            <w:tcW w:w="2500" w:type="pct"/>
            <w:hideMark/>
          </w:tcPr>
          <w:p w14:paraId="04E5759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103/22:29</w:t>
            </w:r>
            <w:r w:rsidRPr="00EC1FBB">
              <w:rPr>
                <w:rFonts w:asciiTheme="majorBidi" w:eastAsia="Times New Roman" w:hAnsiTheme="majorBidi" w:cstheme="majorBidi"/>
                <w:color w:val="FF0000"/>
                <w:vertAlign w:val="superscript"/>
                <w:lang w:eastAsia="fr-CH"/>
              </w:rPr>
              <w:footnoteReference w:id="771"/>
            </w:r>
            <w:r w:rsidRPr="00EC1FBB">
              <w:rPr>
                <w:rFonts w:asciiTheme="majorBidi" w:eastAsia="Times New Roman" w:hAnsiTheme="majorBidi" w:cstheme="majorBidi"/>
                <w:lang w:eastAsia="fr-CH"/>
              </w:rPr>
              <w:t>. Puis qu'ils achèvent leurs interdits, qu'ils remplissent leurs vœux, et qu'ils tournent autour de l'antique Maison.</w:t>
            </w:r>
          </w:p>
        </w:tc>
        <w:tc>
          <w:tcPr>
            <w:tcW w:w="2500" w:type="pct"/>
            <w:hideMark/>
          </w:tcPr>
          <w:p w14:paraId="71DBBFC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57"/>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bl>
    <w:p w14:paraId="0E56B2C0" w14:textId="77777777" w:rsidR="00F324A5" w:rsidRPr="00EC1FBB" w:rsidRDefault="00F324A5" w:rsidP="00F324A5">
      <w:pPr>
        <w:keepLines/>
        <w:ind w:right="68"/>
        <w:contextualSpacing/>
        <w:jc w:val="both"/>
        <w:rPr>
          <w:rFonts w:asciiTheme="majorBidi" w:eastAsia="Times New Roman" w:hAnsiTheme="majorBidi" w:cstheme="majorBidi"/>
          <w:bCs/>
          <w:lang w:eastAsia="fr-CH"/>
        </w:rPr>
      </w:pPr>
    </w:p>
    <w:tbl>
      <w:tblPr>
        <w:tblW w:w="5000" w:type="pct"/>
        <w:tblLook w:val="01E0" w:firstRow="1" w:lastRow="1" w:firstColumn="1" w:lastColumn="1" w:noHBand="0" w:noVBand="0"/>
      </w:tblPr>
      <w:tblGrid>
        <w:gridCol w:w="4788"/>
        <w:gridCol w:w="4788"/>
      </w:tblGrid>
      <w:tr w:rsidR="00F324A5" w:rsidRPr="00EC1FBB" w14:paraId="073E73A6" w14:textId="77777777" w:rsidTr="009C3BB9">
        <w:trPr>
          <w:cantSplit/>
        </w:trPr>
        <w:tc>
          <w:tcPr>
            <w:tcW w:w="2500" w:type="pct"/>
            <w:hideMark/>
          </w:tcPr>
          <w:p w14:paraId="2F141EF5"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103/22:30. C'est ainsi! Quiconque élève les interdits de Dieu, cela lui sera meilleur auprès de son Seigneur. Vous ont été permises les [bêtes] des bétails, à l'exception de ce qui vous est récité [dans le Coran]. Abstenez-vous de l'opprobre des idoles et abstenez-vous des paroles mensongères.</w:t>
            </w:r>
          </w:p>
        </w:tc>
        <w:tc>
          <w:tcPr>
            <w:tcW w:w="2500" w:type="pct"/>
            <w:hideMark/>
          </w:tcPr>
          <w:p w14:paraId="31F4611D"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3" w:char="F026"/>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4" w:char="F06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E"/>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5B"/>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4" w:char="F068"/>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E"/>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5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96"/>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49864409" w14:textId="77777777" w:rsidTr="009C3BB9">
        <w:trPr>
          <w:cantSplit/>
        </w:trPr>
        <w:tc>
          <w:tcPr>
            <w:tcW w:w="2500" w:type="pct"/>
            <w:hideMark/>
          </w:tcPr>
          <w:p w14:paraId="01E7602E"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103/22:31</w:t>
            </w:r>
            <w:r w:rsidRPr="00EC1FBB">
              <w:rPr>
                <w:rFonts w:asciiTheme="majorBidi" w:eastAsia="Times New Roman" w:hAnsiTheme="majorBidi" w:cstheme="majorBidi"/>
                <w:color w:val="FF0000"/>
                <w:vertAlign w:val="superscript"/>
                <w:lang w:eastAsia="fr-CH"/>
              </w:rPr>
              <w:footnoteReference w:id="772"/>
            </w:r>
            <w:r w:rsidRPr="00EC1FBB">
              <w:rPr>
                <w:rFonts w:asciiTheme="majorBidi" w:eastAsia="Times New Roman" w:hAnsiTheme="majorBidi" w:cstheme="majorBidi"/>
                <w:lang w:eastAsia="fr-CH"/>
              </w:rPr>
              <w:t>. Soyez tournés vers Dieu</w:t>
            </w:r>
            <w:r w:rsidRPr="00EC1FBB">
              <w:rPr>
                <w:rFonts w:asciiTheme="majorBidi" w:eastAsia="Times New Roman" w:hAnsiTheme="majorBidi" w:cstheme="majorBidi"/>
                <w:color w:val="FF0000"/>
                <w:vertAlign w:val="superscript"/>
                <w:lang w:eastAsia="fr-CH"/>
              </w:rPr>
              <w:t>T1</w:t>
            </w:r>
            <w:r w:rsidRPr="00EC1FBB">
              <w:rPr>
                <w:rFonts w:asciiTheme="majorBidi" w:eastAsia="Times New Roman" w:hAnsiTheme="majorBidi" w:cstheme="majorBidi"/>
                <w:lang w:eastAsia="fr-CH"/>
              </w:rPr>
              <w:t xml:space="preserve"> et ne lui associez [rien]. Quiconque associe [d'autres dieux] à Dieu, c'est comme s'il tombait du ciel et que les oiseaux le ravissent, ou que le vent le précipite dans un endroit éloigné.</w:t>
            </w:r>
          </w:p>
        </w:tc>
        <w:tc>
          <w:tcPr>
            <w:tcW w:w="2500" w:type="pct"/>
            <w:hideMark/>
          </w:tcPr>
          <w:p w14:paraId="24617305"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C"/>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E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B3"/>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2" w:char="F038"/>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B3"/>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C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77"/>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4" w:char="F068"/>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p>
        </w:tc>
      </w:tr>
      <w:tr w:rsidR="00F324A5" w:rsidRPr="00EC1FBB" w14:paraId="1E59ADDC" w14:textId="77777777" w:rsidTr="009C3BB9">
        <w:trPr>
          <w:cantSplit/>
        </w:trPr>
        <w:tc>
          <w:tcPr>
            <w:tcW w:w="2500" w:type="pct"/>
            <w:hideMark/>
          </w:tcPr>
          <w:p w14:paraId="3EECE71C"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103/22:32</w:t>
            </w:r>
            <w:r w:rsidRPr="00EC1FBB">
              <w:rPr>
                <w:rFonts w:asciiTheme="majorBidi" w:eastAsia="Times New Roman" w:hAnsiTheme="majorBidi" w:cstheme="majorBidi"/>
                <w:color w:val="FF0000"/>
                <w:vertAlign w:val="superscript"/>
                <w:lang w:eastAsia="fr-CH"/>
              </w:rPr>
              <w:footnoteReference w:id="773"/>
            </w:r>
            <w:r w:rsidRPr="00EC1FBB">
              <w:rPr>
                <w:rFonts w:asciiTheme="majorBidi" w:eastAsia="Times New Roman" w:hAnsiTheme="majorBidi" w:cstheme="majorBidi"/>
                <w:lang w:eastAsia="fr-CH"/>
              </w:rPr>
              <w:t>. C'est ainsi! Quiconque élève les rituels</w:t>
            </w:r>
            <w:r w:rsidRPr="00EC1FBB">
              <w:rPr>
                <w:rFonts w:asciiTheme="majorBidi" w:eastAsia="Times New Roman" w:hAnsiTheme="majorBidi" w:cstheme="majorBidi"/>
                <w:color w:val="FF0000"/>
                <w:vertAlign w:val="superscript"/>
                <w:lang w:eastAsia="fr-CH"/>
              </w:rPr>
              <w:t>T1</w:t>
            </w:r>
            <w:r w:rsidRPr="00EC1FBB">
              <w:rPr>
                <w:rFonts w:asciiTheme="majorBidi" w:eastAsia="Times New Roman" w:hAnsiTheme="majorBidi" w:cstheme="majorBidi"/>
                <w:lang w:eastAsia="fr-CH"/>
              </w:rPr>
              <w:t xml:space="preserve"> de Dieu, cela est de la crainte des cœurs.</w:t>
            </w:r>
          </w:p>
        </w:tc>
        <w:tc>
          <w:tcPr>
            <w:tcW w:w="2500" w:type="pct"/>
            <w:hideMark/>
          </w:tcPr>
          <w:p w14:paraId="216AEED9"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B5"/>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1</w:t>
            </w:r>
          </w:p>
        </w:tc>
      </w:tr>
      <w:tr w:rsidR="00F324A5" w:rsidRPr="00EC1FBB" w14:paraId="496E7A00" w14:textId="77777777" w:rsidTr="009C3BB9">
        <w:trPr>
          <w:cantSplit/>
        </w:trPr>
        <w:tc>
          <w:tcPr>
            <w:tcW w:w="2500" w:type="pct"/>
            <w:hideMark/>
          </w:tcPr>
          <w:p w14:paraId="716F9F25"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103/22:33. Vous en avez des profits jusqu'à un terme nommé. Puis leur lieu [d'immolation] est auprès de l'antique Maison.</w:t>
            </w:r>
          </w:p>
        </w:tc>
        <w:tc>
          <w:tcPr>
            <w:tcW w:w="2500" w:type="pct"/>
            <w:hideMark/>
          </w:tcPr>
          <w:p w14:paraId="6239408E"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2" w:char="F08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3"/>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4" w:char="F077"/>
            </w:r>
            <w:r w:rsidRPr="00EC1FBB">
              <w:rPr>
                <w:rFonts w:asciiTheme="majorBidi" w:eastAsia="Times New Roman" w:hAnsiTheme="majorBidi" w:cstheme="majorBidi"/>
                <w:color w:val="000000"/>
                <w:lang w:eastAsia="fr-CH"/>
              </w:rPr>
              <w:sym w:font="HQPB2" w:char="F04B"/>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9D"/>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4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24100D3D" w14:textId="77777777" w:rsidTr="009C3BB9">
        <w:trPr>
          <w:cantSplit/>
        </w:trPr>
        <w:tc>
          <w:tcPr>
            <w:tcW w:w="2500" w:type="pct"/>
            <w:hideMark/>
          </w:tcPr>
          <w:p w14:paraId="2E4B39DA"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103/22:34</w:t>
            </w:r>
            <w:r w:rsidRPr="00EC1FBB">
              <w:rPr>
                <w:rFonts w:asciiTheme="majorBidi" w:eastAsia="Times New Roman" w:hAnsiTheme="majorBidi" w:cstheme="majorBidi"/>
                <w:color w:val="FF0000"/>
                <w:vertAlign w:val="superscript"/>
                <w:lang w:eastAsia="fr-CH"/>
              </w:rPr>
              <w:footnoteReference w:id="774"/>
            </w:r>
            <w:r w:rsidRPr="00EC1FBB">
              <w:rPr>
                <w:rFonts w:asciiTheme="majorBidi" w:eastAsia="Times New Roman" w:hAnsiTheme="majorBidi" w:cstheme="majorBidi"/>
                <w:lang w:eastAsia="fr-CH"/>
              </w:rPr>
              <w:t>. À chaque nation, nous avons fait un rituel, afin qu'ils se rappellent le nom de Dieu sur la bête des bétails qu'il leur a attribuée. Votre Dieu est un seul dieu. Soumettez-vous donc à lui. Fais la bonne annonce aux humbles,</w:t>
            </w:r>
          </w:p>
        </w:tc>
        <w:tc>
          <w:tcPr>
            <w:tcW w:w="2500" w:type="pct"/>
            <w:hideMark/>
          </w:tcPr>
          <w:p w14:paraId="16F73099"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4" w:char="F05A"/>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E"/>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3"/>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6E"/>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3" w:char="F02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3"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1" w:char="F0B3"/>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1" w:char="F030"/>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32FA4E8E" w14:textId="77777777" w:rsidTr="009C3BB9">
        <w:trPr>
          <w:cantSplit/>
        </w:trPr>
        <w:tc>
          <w:tcPr>
            <w:tcW w:w="2500" w:type="pct"/>
            <w:hideMark/>
          </w:tcPr>
          <w:p w14:paraId="16D8A4B8"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103/22:35</w:t>
            </w:r>
            <w:r w:rsidRPr="00EC1FBB">
              <w:rPr>
                <w:rFonts w:asciiTheme="majorBidi" w:eastAsia="Times New Roman" w:hAnsiTheme="majorBidi" w:cstheme="majorBidi"/>
                <w:color w:val="FF0000"/>
                <w:vertAlign w:val="superscript"/>
                <w:lang w:eastAsia="fr-CH"/>
              </w:rPr>
              <w:footnoteReference w:id="775"/>
            </w:r>
            <w:r w:rsidRPr="00EC1FBB">
              <w:rPr>
                <w:rFonts w:asciiTheme="majorBidi" w:eastAsia="Times New Roman" w:hAnsiTheme="majorBidi" w:cstheme="majorBidi"/>
                <w:lang w:eastAsia="fr-CH"/>
              </w:rPr>
              <w:t>. ceux dont les cœurs sont apeurés quand Dieu est rappelé, qui endurent ce qui les atteint, élèvent la prière et dépensent de ce que nous leur avons attribué.</w:t>
            </w:r>
          </w:p>
        </w:tc>
        <w:tc>
          <w:tcPr>
            <w:tcW w:w="2500" w:type="pct"/>
            <w:hideMark/>
          </w:tcPr>
          <w:p w14:paraId="1033EC3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39"/>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5"/>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35"/>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E"/>
            </w:r>
            <w:r w:rsidRPr="00EC1FBB">
              <w:rPr>
                <w:rFonts w:asciiTheme="majorBidi" w:eastAsia="Times New Roman" w:hAnsiTheme="majorBidi" w:cstheme="majorBidi"/>
                <w:color w:val="000000"/>
                <w:lang w:eastAsia="fr-CH"/>
              </w:rPr>
              <w:sym w:font="HQPB2" w:char="F0FF"/>
            </w:r>
            <w:r w:rsidRPr="00EC1FBB">
              <w:rPr>
                <w:rFonts w:asciiTheme="majorBidi" w:eastAsia="Times New Roman" w:hAnsiTheme="majorBidi" w:cstheme="majorBidi"/>
                <w:color w:val="000000"/>
                <w:lang w:eastAsia="fr-CH"/>
              </w:rPr>
              <w:sym w:font="HQPB4" w:char="F0CA"/>
            </w:r>
            <w:r w:rsidRPr="00EC1FBB">
              <w:rPr>
                <w:rFonts w:asciiTheme="majorBidi" w:eastAsia="Times New Roman" w:hAnsiTheme="majorBidi" w:cstheme="majorBidi"/>
                <w:color w:val="000000"/>
                <w:lang w:eastAsia="fr-CH"/>
              </w:rPr>
              <w:sym w:font="HQPB2" w:char="F045"/>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p>
        </w:tc>
      </w:tr>
      <w:tr w:rsidR="00F324A5" w:rsidRPr="00EC1FBB" w14:paraId="0AE99AD6" w14:textId="77777777" w:rsidTr="009C3BB9">
        <w:trPr>
          <w:cantSplit/>
        </w:trPr>
        <w:tc>
          <w:tcPr>
            <w:tcW w:w="2500" w:type="pct"/>
            <w:hideMark/>
          </w:tcPr>
          <w:p w14:paraId="47A45D2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103/22:36</w:t>
            </w:r>
            <w:r w:rsidRPr="00EC1FBB">
              <w:rPr>
                <w:rFonts w:asciiTheme="majorBidi" w:eastAsia="Times New Roman" w:hAnsiTheme="majorBidi" w:cstheme="majorBidi"/>
                <w:color w:val="FF0000"/>
                <w:vertAlign w:val="superscript"/>
                <w:lang w:eastAsia="fr-CH"/>
              </w:rPr>
              <w:footnoteReference w:id="776"/>
            </w:r>
            <w:r w:rsidRPr="00EC1FBB">
              <w:rPr>
                <w:rFonts w:asciiTheme="majorBidi" w:eastAsia="Times New Roman" w:hAnsiTheme="majorBidi" w:cstheme="majorBidi"/>
                <w:lang w:eastAsia="fr-CH"/>
              </w:rPr>
              <w:t>. Nous vous avons fait les animaux de chair</w:t>
            </w:r>
            <w:r w:rsidRPr="00EC1FBB">
              <w:rPr>
                <w:rFonts w:asciiTheme="majorBidi" w:eastAsia="Times New Roman" w:hAnsiTheme="majorBidi" w:cstheme="majorBidi"/>
                <w:color w:val="FF0000"/>
                <w:vertAlign w:val="superscript"/>
                <w:lang w:eastAsia="fr-CH"/>
              </w:rPr>
              <w:t>T1</w:t>
            </w:r>
            <w:r w:rsidRPr="00EC1FBB">
              <w:rPr>
                <w:rFonts w:asciiTheme="majorBidi" w:eastAsia="Times New Roman" w:hAnsiTheme="majorBidi" w:cstheme="majorBidi"/>
                <w:lang w:eastAsia="fr-CH"/>
              </w:rPr>
              <w:t xml:space="preserve"> pour certains rituels</w:t>
            </w:r>
            <w:r w:rsidRPr="00EC1FBB">
              <w:rPr>
                <w:rFonts w:asciiTheme="majorBidi" w:eastAsia="Times New Roman" w:hAnsiTheme="majorBidi" w:cstheme="majorBidi"/>
                <w:color w:val="FF0000"/>
                <w:vertAlign w:val="superscript"/>
                <w:lang w:eastAsia="fr-CH"/>
              </w:rPr>
              <w:t>T2</w:t>
            </w:r>
            <w:r w:rsidRPr="00EC1FBB">
              <w:rPr>
                <w:rFonts w:asciiTheme="majorBidi" w:eastAsia="Times New Roman" w:hAnsiTheme="majorBidi" w:cstheme="majorBidi"/>
                <w:lang w:eastAsia="fr-CH"/>
              </w:rPr>
              <w:t xml:space="preserve"> de Dieu. Vous y avez un bien. Rappelez-vous donc sur eux le nom de Dieu, quand ils sont en rangs. Lorsqu'ils gisent sur leurs côtés, mangez-en,</w:t>
            </w:r>
            <w:r w:rsidRPr="00EC1FBB">
              <w:rPr>
                <w:rFonts w:asciiTheme="majorBidi" w:eastAsia="Times New Roman" w:hAnsiTheme="majorBidi" w:cstheme="majorBidi"/>
                <w:color w:val="FF0000"/>
                <w:vertAlign w:val="superscript"/>
                <w:lang w:eastAsia="fr-CH"/>
              </w:rPr>
              <w:t>A1</w:t>
            </w:r>
            <w:r w:rsidRPr="00EC1FBB">
              <w:rPr>
                <w:rFonts w:asciiTheme="majorBidi" w:eastAsia="Times New Roman" w:hAnsiTheme="majorBidi" w:cstheme="majorBidi"/>
                <w:lang w:eastAsia="fr-CH"/>
              </w:rPr>
              <w:t xml:space="preserve"> et nourrissez-en le content de son sort et le mendiant. Ainsi vous les avons-nous soumis. Peut-être remercierez-vous!</w:t>
            </w:r>
          </w:p>
        </w:tc>
        <w:tc>
          <w:tcPr>
            <w:tcW w:w="2500" w:type="pct"/>
            <w:hideMark/>
          </w:tcPr>
          <w:p w14:paraId="07956FA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B5"/>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2" w:char="F08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E"/>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2" w:char="F02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E6"/>
            </w:r>
            <w:r w:rsidRPr="00EC1FBB">
              <w:rPr>
                <w:rFonts w:asciiTheme="majorBidi" w:eastAsia="Times New Roman" w:hAnsiTheme="majorBidi" w:cstheme="majorBidi"/>
                <w:color w:val="000000"/>
                <w:lang w:eastAsia="fr-CH"/>
              </w:rPr>
              <w:sym w:font="HQPB1" w:char="F03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DB"/>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FF0000"/>
                <w:vertAlign w:val="superscript"/>
                <w:rtl/>
                <w:lang w:eastAsia="fr-CH"/>
              </w:rPr>
              <w:t> 4</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AA"/>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p>
        </w:tc>
      </w:tr>
      <w:tr w:rsidR="00F324A5" w:rsidRPr="00EC1FBB" w14:paraId="0D32D4C2" w14:textId="77777777" w:rsidTr="009C3BB9">
        <w:trPr>
          <w:cantSplit/>
        </w:trPr>
        <w:tc>
          <w:tcPr>
            <w:tcW w:w="2500" w:type="pct"/>
            <w:hideMark/>
          </w:tcPr>
          <w:p w14:paraId="3EE5C18F"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103/22:37</w:t>
            </w:r>
            <w:r w:rsidRPr="00EC1FBB">
              <w:rPr>
                <w:rFonts w:asciiTheme="majorBidi" w:eastAsia="Times New Roman" w:hAnsiTheme="majorBidi" w:cstheme="majorBidi"/>
                <w:color w:val="FF0000"/>
                <w:vertAlign w:val="superscript"/>
                <w:lang w:eastAsia="fr-CH"/>
              </w:rPr>
              <w:footnoteReference w:id="777"/>
            </w:r>
            <w:r w:rsidRPr="00EC1FBB">
              <w:rPr>
                <w:rFonts w:asciiTheme="majorBidi" w:eastAsia="Times New Roman" w:hAnsiTheme="majorBidi" w:cstheme="majorBidi"/>
                <w:lang w:eastAsia="fr-CH"/>
              </w:rPr>
              <w:t>. Dieu n'aura ni leurs chairs ni leurs sangs, mais ce qu'il aura de votre part, c'est la crainte [de Dieu].</w:t>
            </w:r>
            <w:r w:rsidRPr="00EC1FBB">
              <w:rPr>
                <w:rFonts w:asciiTheme="majorBidi" w:eastAsia="Times New Roman" w:hAnsiTheme="majorBidi" w:cstheme="majorBidi"/>
                <w:color w:val="FF0000"/>
                <w:vertAlign w:val="superscript"/>
                <w:lang w:eastAsia="fr-CH"/>
              </w:rPr>
              <w:t>R1</w:t>
            </w:r>
            <w:r w:rsidRPr="00EC1FBB">
              <w:rPr>
                <w:rFonts w:asciiTheme="majorBidi" w:eastAsia="Times New Roman" w:hAnsiTheme="majorBidi" w:cstheme="majorBidi"/>
                <w:lang w:eastAsia="fr-CH"/>
              </w:rPr>
              <w:t xml:space="preserve"> Ainsi vous les a-t-il soumis afin que vous magnifiiez Dieu, pour vous avoir dirigés. Fais la bonne annonce aux bienfaisants.</w:t>
            </w:r>
          </w:p>
        </w:tc>
        <w:tc>
          <w:tcPr>
            <w:tcW w:w="2500" w:type="pct"/>
            <w:hideMark/>
          </w:tcPr>
          <w:p w14:paraId="0F3F5F2C"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7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3" w:char="F026"/>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3"/>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AD"/>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1" w:char="F03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3" w:char="F03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1" w:char="F0B3"/>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1" w:char="F030"/>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11C3C504" w14:textId="77777777" w:rsidTr="009C3BB9">
        <w:trPr>
          <w:cantSplit/>
        </w:trPr>
        <w:tc>
          <w:tcPr>
            <w:tcW w:w="2500" w:type="pct"/>
            <w:hideMark/>
          </w:tcPr>
          <w:p w14:paraId="7218CBAC"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103/22:38</w:t>
            </w:r>
            <w:r w:rsidRPr="00EC1FBB">
              <w:rPr>
                <w:rFonts w:asciiTheme="majorBidi" w:eastAsia="Times New Roman" w:hAnsiTheme="majorBidi" w:cstheme="majorBidi"/>
                <w:color w:val="FF0000"/>
                <w:vertAlign w:val="superscript"/>
                <w:lang w:eastAsia="fr-CH"/>
              </w:rPr>
              <w:footnoteReference w:id="778"/>
            </w:r>
            <w:r w:rsidRPr="00EC1FBB">
              <w:rPr>
                <w:rFonts w:asciiTheme="majorBidi" w:eastAsia="Times New Roman" w:hAnsiTheme="majorBidi" w:cstheme="majorBidi"/>
                <w:lang w:eastAsia="fr-CH"/>
              </w:rPr>
              <w:t>. Dieu repousse [les ennemis] de ceux qui ont cru. Dieu n'aime aucun traître ingrat.</w:t>
            </w:r>
          </w:p>
        </w:tc>
        <w:tc>
          <w:tcPr>
            <w:tcW w:w="2500" w:type="pct"/>
            <w:hideMark/>
          </w:tcPr>
          <w:p w14:paraId="3C4A8457"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8F"/>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1"/>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p>
        </w:tc>
      </w:tr>
      <w:tr w:rsidR="00F324A5" w:rsidRPr="00EC1FBB" w14:paraId="6EF26EF2" w14:textId="77777777" w:rsidTr="009C3BB9">
        <w:trPr>
          <w:cantSplit/>
        </w:trPr>
        <w:tc>
          <w:tcPr>
            <w:tcW w:w="2500" w:type="pct"/>
            <w:hideMark/>
          </w:tcPr>
          <w:p w14:paraId="1E69E1E7"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103/22:39</w:t>
            </w:r>
            <w:r w:rsidRPr="00EC1FBB">
              <w:rPr>
                <w:rFonts w:asciiTheme="majorBidi" w:eastAsia="Times New Roman" w:hAnsiTheme="majorBidi" w:cstheme="majorBidi"/>
                <w:color w:val="FF0000"/>
                <w:vertAlign w:val="superscript"/>
                <w:lang w:eastAsia="fr-CH"/>
              </w:rPr>
              <w:footnoteReference w:id="779"/>
            </w:r>
            <w:r w:rsidRPr="00EC1FBB">
              <w:rPr>
                <w:rFonts w:asciiTheme="majorBidi" w:eastAsia="Times New Roman" w:hAnsiTheme="majorBidi" w:cstheme="majorBidi"/>
                <w:lang w:eastAsia="fr-CH"/>
              </w:rPr>
              <w:t>. Autorisation est donnée à ceux qui sont combattus [de combattre], parce qu'ils ont été opprimés. Dieu est puissant pour les secourir.</w:t>
            </w:r>
          </w:p>
        </w:tc>
        <w:tc>
          <w:tcPr>
            <w:tcW w:w="2500" w:type="pct"/>
            <w:hideMark/>
          </w:tcPr>
          <w:p w14:paraId="5F0C1E47"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D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C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D"/>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p>
        </w:tc>
      </w:tr>
    </w:tbl>
    <w:p w14:paraId="65971BFE" w14:textId="77777777" w:rsidR="00F324A5" w:rsidRPr="00EC1FBB" w:rsidRDefault="00F324A5" w:rsidP="00F324A5">
      <w:pPr>
        <w:keepLines/>
        <w:ind w:right="68"/>
        <w:contextualSpacing/>
        <w:jc w:val="both"/>
        <w:rPr>
          <w:rFonts w:asciiTheme="majorBidi" w:eastAsia="Times New Roman" w:hAnsiTheme="majorBidi" w:cstheme="majorBidi"/>
          <w:bCs/>
          <w:lang w:eastAsia="fr-CH"/>
        </w:rPr>
      </w:pPr>
    </w:p>
    <w:tbl>
      <w:tblPr>
        <w:tblW w:w="5000" w:type="pct"/>
        <w:tblLook w:val="01E0" w:firstRow="1" w:lastRow="1" w:firstColumn="1" w:lastColumn="1" w:noHBand="0" w:noVBand="0"/>
      </w:tblPr>
      <w:tblGrid>
        <w:gridCol w:w="4788"/>
        <w:gridCol w:w="4788"/>
      </w:tblGrid>
      <w:tr w:rsidR="00F324A5" w:rsidRPr="00EC1FBB" w14:paraId="06B34692" w14:textId="77777777" w:rsidTr="009C3BB9">
        <w:trPr>
          <w:cantSplit/>
        </w:trPr>
        <w:tc>
          <w:tcPr>
            <w:tcW w:w="2500" w:type="pct"/>
            <w:hideMark/>
          </w:tcPr>
          <w:p w14:paraId="7119D6A2"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103/22:40</w:t>
            </w:r>
            <w:r w:rsidRPr="00EC1FBB">
              <w:rPr>
                <w:rFonts w:asciiTheme="majorBidi" w:eastAsia="Times New Roman" w:hAnsiTheme="majorBidi" w:cstheme="majorBidi"/>
                <w:color w:val="FF0000"/>
                <w:vertAlign w:val="superscript"/>
                <w:lang w:eastAsia="fr-CH"/>
              </w:rPr>
              <w:footnoteReference w:id="780"/>
            </w:r>
            <w:r w:rsidRPr="00EC1FBB">
              <w:rPr>
                <w:rFonts w:asciiTheme="majorBidi" w:eastAsia="Times New Roman" w:hAnsiTheme="majorBidi" w:cstheme="majorBidi"/>
                <w:lang w:eastAsia="fr-CH"/>
              </w:rPr>
              <w:t>. Ceux qu'on a fait sortir de leurs demeures sans droit, simplement parce qu'ils disaient: "Dieu est notre Seigneur". Si Dieu ne repoussait pas les humains les uns par les autres, des ermitages, des églises, des lieux de prière et des sanctuaires où le nom de Dieu est beaucoup rappelé auraient été démolis. Dieu secourra qui le secourt. Dieu est fort et fier.</w:t>
            </w:r>
          </w:p>
        </w:tc>
        <w:tc>
          <w:tcPr>
            <w:tcW w:w="2500" w:type="pct"/>
            <w:hideMark/>
          </w:tcPr>
          <w:p w14:paraId="074BEC42"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0"/>
            </w:r>
            <w:r w:rsidRPr="00EC1FBB">
              <w:rPr>
                <w:rFonts w:asciiTheme="majorBidi" w:eastAsia="Times New Roman" w:hAnsiTheme="majorBidi" w:cstheme="majorBidi"/>
                <w:color w:val="000000"/>
                <w:lang w:eastAsia="fr-CH"/>
              </w:rPr>
              <w:sym w:font="HQPB4" w:char="F064"/>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48"/>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9A"/>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5"/>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D5"/>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C"/>
            </w:r>
            <w:r w:rsidRPr="00EC1FBB">
              <w:rPr>
                <w:rFonts w:asciiTheme="majorBidi" w:eastAsia="Times New Roman" w:hAnsiTheme="majorBidi" w:cstheme="majorBidi"/>
                <w:color w:val="000000"/>
                <w:lang w:eastAsia="fr-CH"/>
              </w:rPr>
              <w:sym w:font="HQPB1" w:char="F0D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C"/>
            </w:r>
            <w:r w:rsidRPr="00EC1FBB">
              <w:rPr>
                <w:rFonts w:asciiTheme="majorBidi" w:eastAsia="Times New Roman" w:hAnsiTheme="majorBidi" w:cstheme="majorBidi"/>
                <w:color w:val="000000"/>
                <w:lang w:eastAsia="fr-CH"/>
              </w:rPr>
              <w:sym w:font="HQPB4" w:char="F0B0"/>
            </w:r>
            <w:r w:rsidRPr="00EC1FBB">
              <w:rPr>
                <w:rFonts w:asciiTheme="majorBidi" w:eastAsia="Times New Roman" w:hAnsiTheme="majorBidi" w:cstheme="majorBidi"/>
                <w:color w:val="000000"/>
                <w:lang w:eastAsia="fr-CH"/>
              </w:rPr>
              <w:sym w:font="HQPB2" w:char="F03B"/>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3"/>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4"/>
            </w:r>
            <w:r w:rsidRPr="00EC1FBB">
              <w:rPr>
                <w:rFonts w:asciiTheme="majorBidi" w:eastAsia="Times New Roman" w:hAnsiTheme="majorBidi" w:cstheme="majorBidi"/>
                <w:color w:val="000000"/>
                <w:lang w:eastAsia="fr-CH"/>
              </w:rPr>
              <w:sym w:font="HQPB1" w:char="F04E"/>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2" w:char="F08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5A"/>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56"/>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C7"/>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C7"/>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A"/>
            </w:r>
            <w:r w:rsidRPr="00EC1FBB">
              <w:rPr>
                <w:rFonts w:asciiTheme="majorBidi" w:eastAsia="Times New Roman" w:hAnsiTheme="majorBidi" w:cstheme="majorBidi"/>
                <w:color w:val="000000"/>
                <w:lang w:eastAsia="fr-CH"/>
              </w:rPr>
              <w:sym w:font="HQPB2" w:char="F094"/>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E"/>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p>
        </w:tc>
      </w:tr>
      <w:tr w:rsidR="00F324A5" w:rsidRPr="00EC1FBB" w14:paraId="123699FE" w14:textId="77777777" w:rsidTr="009C3BB9">
        <w:trPr>
          <w:cantSplit/>
        </w:trPr>
        <w:tc>
          <w:tcPr>
            <w:tcW w:w="2500" w:type="pct"/>
            <w:hideMark/>
          </w:tcPr>
          <w:p w14:paraId="26A6F10F"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103/22:41. Ceux qui, lorsque nous leur donnons le pouvoir sur terre, ont élevé la prière, donné l'[aumône] épuratrice, ordonné le convenable et interdit le répugnant. La fin de [toutes] les affaires [revient] à Dieu.</w:t>
            </w:r>
          </w:p>
        </w:tc>
        <w:tc>
          <w:tcPr>
            <w:tcW w:w="2500" w:type="pct"/>
            <w:hideMark/>
          </w:tcPr>
          <w:p w14:paraId="6D7A91C1"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24"/>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C"/>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57"/>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20775402" w14:textId="77777777" w:rsidTr="009C3BB9">
        <w:trPr>
          <w:cantSplit/>
        </w:trPr>
        <w:tc>
          <w:tcPr>
            <w:tcW w:w="2500" w:type="pct"/>
            <w:hideMark/>
          </w:tcPr>
          <w:p w14:paraId="53BE68EF"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103/22:42. S'ils te démentent, avant eux ont aussi démenti les gens de Noé, les Aad et les Tamud.</w:t>
            </w:r>
          </w:p>
        </w:tc>
        <w:tc>
          <w:tcPr>
            <w:tcW w:w="2500" w:type="pct"/>
            <w:hideMark/>
          </w:tcPr>
          <w:p w14:paraId="4ACC737D"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8"/>
            </w:r>
            <w:r w:rsidRPr="00EC1FBB">
              <w:rPr>
                <w:rFonts w:asciiTheme="majorBidi" w:eastAsia="Times New Roman" w:hAnsiTheme="majorBidi" w:cstheme="majorBidi"/>
                <w:color w:val="000000"/>
                <w:lang w:eastAsia="fr-CH"/>
              </w:rPr>
              <w:sym w:font="HQPB1" w:char="F079"/>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p>
        </w:tc>
      </w:tr>
      <w:tr w:rsidR="00F324A5" w:rsidRPr="00EC1FBB" w14:paraId="5689928B" w14:textId="77777777" w:rsidTr="009C3BB9">
        <w:trPr>
          <w:cantSplit/>
        </w:trPr>
        <w:tc>
          <w:tcPr>
            <w:tcW w:w="2500" w:type="pct"/>
            <w:hideMark/>
          </w:tcPr>
          <w:p w14:paraId="1CDEA326"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103/22:43. De même que les gens d'Abraham, les gens de Lot</w:t>
            </w:r>
          </w:p>
        </w:tc>
        <w:tc>
          <w:tcPr>
            <w:tcW w:w="2500" w:type="pct"/>
            <w:hideMark/>
          </w:tcPr>
          <w:p w14:paraId="2425BB27"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C"/>
            </w:r>
            <w:r w:rsidRPr="00EC1FBB">
              <w:rPr>
                <w:rFonts w:asciiTheme="majorBidi" w:eastAsia="Times New Roman" w:hAnsiTheme="majorBidi" w:cstheme="majorBidi"/>
                <w:color w:val="000000"/>
                <w:lang w:eastAsia="fr-CH"/>
              </w:rPr>
              <w:sym w:font="HQPB2" w:char="F0E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1" w:char="F0D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9"/>
            </w:r>
          </w:p>
        </w:tc>
      </w:tr>
      <w:tr w:rsidR="00F324A5" w:rsidRPr="00EC1FBB" w14:paraId="5CC47981" w14:textId="77777777" w:rsidTr="009C3BB9">
        <w:trPr>
          <w:cantSplit/>
        </w:trPr>
        <w:tc>
          <w:tcPr>
            <w:tcW w:w="2500" w:type="pct"/>
            <w:hideMark/>
          </w:tcPr>
          <w:p w14:paraId="76C7D45B"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103/22:44</w:t>
            </w:r>
            <w:r w:rsidRPr="00EC1FBB">
              <w:rPr>
                <w:rFonts w:asciiTheme="majorBidi" w:eastAsia="Times New Roman" w:hAnsiTheme="majorBidi" w:cstheme="majorBidi"/>
                <w:color w:val="FF0000"/>
                <w:vertAlign w:val="superscript"/>
                <w:lang w:eastAsia="fr-CH"/>
              </w:rPr>
              <w:footnoteReference w:id="781"/>
            </w:r>
            <w:r w:rsidRPr="00EC1FBB">
              <w:rPr>
                <w:rFonts w:asciiTheme="majorBidi" w:eastAsia="Times New Roman" w:hAnsiTheme="majorBidi" w:cstheme="majorBidi"/>
                <w:lang w:eastAsia="fr-CH"/>
              </w:rPr>
              <w:t>. et les gens de Madian. Moïse a été aussi démenti. J'ai temporisé avec ceux qui ont mécru, et ensuite je les ai pris. Quelle fut ma réprobation!</w:t>
            </w:r>
          </w:p>
        </w:tc>
        <w:tc>
          <w:tcPr>
            <w:tcW w:w="2500" w:type="pct"/>
            <w:hideMark/>
          </w:tcPr>
          <w:p w14:paraId="6B2A9C8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B"/>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4D"/>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7B"/>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2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FF0000"/>
                <w:vertAlign w:val="superscript"/>
                <w:rtl/>
                <w:lang w:eastAsia="fr-CH"/>
              </w:rPr>
              <w:t> 1</w:t>
            </w:r>
          </w:p>
        </w:tc>
      </w:tr>
      <w:tr w:rsidR="00F324A5" w:rsidRPr="00EC1FBB" w14:paraId="53C0EDAC" w14:textId="77777777" w:rsidTr="009C3BB9">
        <w:trPr>
          <w:cantSplit/>
        </w:trPr>
        <w:tc>
          <w:tcPr>
            <w:tcW w:w="2500" w:type="pct"/>
            <w:hideMark/>
          </w:tcPr>
          <w:p w14:paraId="78763130"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103/22:45</w:t>
            </w:r>
            <w:r w:rsidRPr="00EC1FBB">
              <w:rPr>
                <w:rFonts w:asciiTheme="majorBidi" w:eastAsia="Times New Roman" w:hAnsiTheme="majorBidi" w:cstheme="majorBidi"/>
                <w:color w:val="FF0000"/>
                <w:vertAlign w:val="superscript"/>
                <w:lang w:eastAsia="fr-CH"/>
              </w:rPr>
              <w:footnoteReference w:id="782"/>
            </w:r>
            <w:r w:rsidRPr="00EC1FBB">
              <w:rPr>
                <w:rFonts w:asciiTheme="majorBidi" w:eastAsia="Times New Roman" w:hAnsiTheme="majorBidi" w:cstheme="majorBidi"/>
                <w:lang w:eastAsia="fr-CH"/>
              </w:rPr>
              <w:t>. Que de cités avons-nous détruites, lorsqu'elles sont oppresseuses. Les voilà vides dans leurs ruines, avec un puits délaissé et un palais élevé!</w:t>
            </w:r>
          </w:p>
        </w:tc>
        <w:tc>
          <w:tcPr>
            <w:tcW w:w="2500" w:type="pct"/>
            <w:hideMark/>
          </w:tcPr>
          <w:p w14:paraId="6949EAC8"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E"/>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6"/>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6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E"/>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7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A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3</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3"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3" w:char="F023"/>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FF0000"/>
                <w:vertAlign w:val="superscript"/>
                <w:rtl/>
                <w:lang w:eastAsia="fr-CH"/>
              </w:rPr>
              <w:t> 4</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C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E"/>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p>
        </w:tc>
      </w:tr>
      <w:tr w:rsidR="00F324A5" w:rsidRPr="00EC1FBB" w14:paraId="0BCADE37" w14:textId="77777777" w:rsidTr="009C3BB9">
        <w:trPr>
          <w:cantSplit/>
        </w:trPr>
        <w:tc>
          <w:tcPr>
            <w:tcW w:w="2500" w:type="pct"/>
            <w:hideMark/>
          </w:tcPr>
          <w:p w14:paraId="2B6AB25B"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103/22:46</w:t>
            </w:r>
            <w:r w:rsidRPr="00EC1FBB">
              <w:rPr>
                <w:rFonts w:asciiTheme="majorBidi" w:eastAsia="Times New Roman" w:hAnsiTheme="majorBidi" w:cstheme="majorBidi"/>
                <w:color w:val="FF0000"/>
                <w:vertAlign w:val="superscript"/>
                <w:lang w:eastAsia="fr-CH"/>
              </w:rPr>
              <w:footnoteReference w:id="783"/>
            </w:r>
            <w:r w:rsidRPr="00EC1FBB">
              <w:rPr>
                <w:rFonts w:asciiTheme="majorBidi" w:eastAsia="Times New Roman" w:hAnsiTheme="majorBidi" w:cstheme="majorBidi"/>
                <w:lang w:eastAsia="fr-CH"/>
              </w:rPr>
              <w:t>. Ne se sont-ils pas mus sur la terre afin d'avoir des cœurs pour discerner, et des oreilles pour écouter?</w:t>
            </w:r>
            <w:r w:rsidRPr="00EC1FBB">
              <w:rPr>
                <w:rFonts w:asciiTheme="majorBidi" w:eastAsia="Times New Roman" w:hAnsiTheme="majorBidi" w:cstheme="majorBidi"/>
                <w:color w:val="FF0000"/>
                <w:vertAlign w:val="superscript"/>
                <w:lang w:eastAsia="fr-CH"/>
              </w:rPr>
              <w:t>R1</w:t>
            </w:r>
            <w:r w:rsidRPr="00EC1FBB">
              <w:rPr>
                <w:rFonts w:asciiTheme="majorBidi" w:eastAsia="Times New Roman" w:hAnsiTheme="majorBidi" w:cstheme="majorBidi"/>
                <w:lang w:eastAsia="fr-CH"/>
              </w:rPr>
              <w:t xml:space="preserve"> Car ce ne sont pas les regards qui s'aveuglent, mais ce sont les cœurs dans les poitrines qui s'aveuglent.</w:t>
            </w:r>
          </w:p>
        </w:tc>
        <w:tc>
          <w:tcPr>
            <w:tcW w:w="2500" w:type="pct"/>
            <w:hideMark/>
          </w:tcPr>
          <w:p w14:paraId="374922DA"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C"/>
            </w:r>
            <w:r w:rsidRPr="00EC1FBB">
              <w:rPr>
                <w:rFonts w:asciiTheme="majorBidi" w:eastAsia="Times New Roman" w:hAnsiTheme="majorBidi" w:cstheme="majorBidi"/>
                <w:color w:val="000000"/>
                <w:lang w:eastAsia="fr-CH"/>
              </w:rPr>
              <w:sym w:font="HQPB5" w:char="F06D"/>
            </w:r>
            <w:r w:rsidRPr="00EC1FBB">
              <w:rPr>
                <w:rFonts w:asciiTheme="majorBidi" w:eastAsia="Times New Roman" w:hAnsiTheme="majorBidi" w:cstheme="majorBidi"/>
                <w:color w:val="000000"/>
                <w:lang w:eastAsia="fr-CH"/>
              </w:rPr>
              <w:sym w:font="HQPB2" w:char="F03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3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3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8"/>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4C"/>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90"/>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2B862C8C" w14:textId="77777777" w:rsidTr="009C3BB9">
        <w:trPr>
          <w:cantSplit/>
        </w:trPr>
        <w:tc>
          <w:tcPr>
            <w:tcW w:w="2500" w:type="pct"/>
            <w:hideMark/>
          </w:tcPr>
          <w:p w14:paraId="00BB8F5E"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103/22:47</w:t>
            </w:r>
            <w:r w:rsidRPr="00EC1FBB">
              <w:rPr>
                <w:rFonts w:asciiTheme="majorBidi" w:eastAsia="Times New Roman" w:hAnsiTheme="majorBidi" w:cstheme="majorBidi"/>
                <w:color w:val="FF0000"/>
                <w:vertAlign w:val="superscript"/>
                <w:lang w:eastAsia="fr-CH"/>
              </w:rPr>
              <w:footnoteReference w:id="784"/>
            </w:r>
            <w:r w:rsidRPr="00EC1FBB">
              <w:rPr>
                <w:rFonts w:asciiTheme="majorBidi" w:eastAsia="Times New Roman" w:hAnsiTheme="majorBidi" w:cstheme="majorBidi"/>
                <w:lang w:eastAsia="fr-CH"/>
              </w:rPr>
              <w:t>. Ils veulent que tu hâtes le châtiment. Mais Dieu ne manquera pas à sa promesse. Un jour auprès de ton Seigneur équivaut à mille ans de ce que vous dénombrez.</w:t>
            </w:r>
            <w:r w:rsidRPr="00EC1FBB">
              <w:rPr>
                <w:rFonts w:asciiTheme="majorBidi" w:eastAsia="Times New Roman" w:hAnsiTheme="majorBidi" w:cstheme="majorBidi"/>
                <w:color w:val="FF0000"/>
                <w:vertAlign w:val="superscript"/>
                <w:lang w:eastAsia="fr-CH"/>
              </w:rPr>
              <w:t>R1</w:t>
            </w:r>
          </w:p>
        </w:tc>
        <w:tc>
          <w:tcPr>
            <w:tcW w:w="2500" w:type="pct"/>
            <w:hideMark/>
          </w:tcPr>
          <w:p w14:paraId="3677C325"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2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B7"/>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4" w:char="F06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8"/>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3"/>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FF0000"/>
                <w:vertAlign w:val="superscript"/>
                <w:rtl/>
                <w:lang w:eastAsia="fr-CH"/>
              </w:rPr>
              <w:t> 1</w:t>
            </w:r>
          </w:p>
        </w:tc>
      </w:tr>
      <w:tr w:rsidR="00F324A5" w:rsidRPr="00EC1FBB" w14:paraId="51B827B2" w14:textId="77777777" w:rsidTr="009C3BB9">
        <w:trPr>
          <w:cantSplit/>
        </w:trPr>
        <w:tc>
          <w:tcPr>
            <w:tcW w:w="2500" w:type="pct"/>
            <w:hideMark/>
          </w:tcPr>
          <w:p w14:paraId="5567CE73"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103/22:48</w:t>
            </w:r>
            <w:r w:rsidRPr="00EC1FBB">
              <w:rPr>
                <w:rFonts w:asciiTheme="majorBidi" w:eastAsia="Times New Roman" w:hAnsiTheme="majorBidi" w:cstheme="majorBidi"/>
                <w:color w:val="FF0000"/>
                <w:vertAlign w:val="superscript"/>
                <w:lang w:eastAsia="fr-CH"/>
              </w:rPr>
              <w:footnoteReference w:id="785"/>
            </w:r>
            <w:r w:rsidRPr="00EC1FBB">
              <w:rPr>
                <w:rFonts w:asciiTheme="majorBidi" w:eastAsia="Times New Roman" w:hAnsiTheme="majorBidi" w:cstheme="majorBidi"/>
                <w:lang w:eastAsia="fr-CH"/>
              </w:rPr>
              <w:t>. Que de cités avec lesquelles n'ai-je pas temporisé, lorsqu'elles sont oppresseuses! Ensuite, je les ai prises! C'est vers moi la destination!</w:t>
            </w:r>
          </w:p>
        </w:tc>
        <w:tc>
          <w:tcPr>
            <w:tcW w:w="2500" w:type="pct"/>
            <w:hideMark/>
          </w:tcPr>
          <w:p w14:paraId="0A67F895"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8"/>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E"/>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6C"/>
            </w:r>
            <w:r w:rsidRPr="00EC1FBB">
              <w:rPr>
                <w:rFonts w:asciiTheme="majorBidi" w:eastAsia="Times New Roman" w:hAnsiTheme="majorBidi" w:cstheme="majorBidi"/>
                <w:color w:val="000000"/>
                <w:lang w:eastAsia="fr-CH"/>
              </w:rPr>
              <w:sym w:font="HQPB5" w:char="F06D"/>
            </w:r>
            <w:r w:rsidRPr="00EC1FBB">
              <w:rPr>
                <w:rFonts w:asciiTheme="majorBidi" w:eastAsia="Times New Roman" w:hAnsiTheme="majorBidi" w:cstheme="majorBidi"/>
                <w:color w:val="000000"/>
                <w:lang w:eastAsia="fr-CH"/>
              </w:rPr>
              <w:sym w:font="HQPB2" w:char="F03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6"/>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6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5"/>
            </w:r>
            <w:r w:rsidRPr="00EC1FBB">
              <w:rPr>
                <w:rFonts w:asciiTheme="majorBidi" w:eastAsia="Times New Roman" w:hAnsiTheme="majorBidi" w:cstheme="majorBidi"/>
                <w:color w:val="000000"/>
                <w:lang w:eastAsia="fr-CH"/>
              </w:rPr>
              <w:sym w:font="HQPB4" w:char="F0F5"/>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7B"/>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5"/>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7C69C786" w14:textId="77777777" w:rsidTr="009C3BB9">
        <w:trPr>
          <w:cantSplit/>
        </w:trPr>
        <w:tc>
          <w:tcPr>
            <w:tcW w:w="2500" w:type="pct"/>
            <w:hideMark/>
          </w:tcPr>
          <w:p w14:paraId="20D7C10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103/22:49. Dis: "Ô humains! Je ne suis pour vous qu'un avertisseur manifeste".</w:t>
            </w:r>
          </w:p>
        </w:tc>
        <w:tc>
          <w:tcPr>
            <w:tcW w:w="2500" w:type="pct"/>
            <w:hideMark/>
          </w:tcPr>
          <w:p w14:paraId="101478C5"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9A"/>
            </w:r>
            <w:r w:rsidRPr="00EC1FBB">
              <w:rPr>
                <w:rFonts w:asciiTheme="majorBidi" w:eastAsia="Times New Roman" w:hAnsiTheme="majorBidi" w:cstheme="majorBidi"/>
                <w:color w:val="000000"/>
                <w:lang w:eastAsia="fr-CH"/>
              </w:rPr>
              <w:sym w:font="HQPB2" w:char="F08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4F"/>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p>
        </w:tc>
      </w:tr>
      <w:tr w:rsidR="00F324A5" w:rsidRPr="00EC1FBB" w14:paraId="1CC6FEF0" w14:textId="77777777" w:rsidTr="009C3BB9">
        <w:trPr>
          <w:cantSplit/>
        </w:trPr>
        <w:tc>
          <w:tcPr>
            <w:tcW w:w="2500" w:type="pct"/>
            <w:hideMark/>
          </w:tcPr>
          <w:p w14:paraId="01185519"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103/22:50. Ceux qui ont cru et ont fait les œuvres vertueuses auront un pardon et une attribution honorable.</w:t>
            </w:r>
          </w:p>
        </w:tc>
        <w:tc>
          <w:tcPr>
            <w:tcW w:w="2500" w:type="pct"/>
            <w:hideMark/>
          </w:tcPr>
          <w:p w14:paraId="1D854579"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D"/>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C"/>
            </w:r>
            <w:r w:rsidRPr="00EC1FBB">
              <w:rPr>
                <w:rFonts w:asciiTheme="majorBidi" w:eastAsia="Times New Roman" w:hAnsiTheme="majorBidi" w:cstheme="majorBidi"/>
                <w:color w:val="000000"/>
                <w:lang w:eastAsia="fr-CH"/>
              </w:rPr>
              <w:sym w:font="HQPB5" w:char="F06D"/>
            </w:r>
            <w:r w:rsidRPr="00EC1FBB">
              <w:rPr>
                <w:rFonts w:asciiTheme="majorBidi" w:eastAsia="Times New Roman" w:hAnsiTheme="majorBidi" w:cstheme="majorBidi"/>
                <w:color w:val="000000"/>
                <w:lang w:eastAsia="fr-CH"/>
              </w:rPr>
              <w:sym w:font="HQPB2" w:char="F03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2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p>
        </w:tc>
      </w:tr>
      <w:tr w:rsidR="00F324A5" w:rsidRPr="00EC1FBB" w14:paraId="4146644A" w14:textId="77777777" w:rsidTr="009C3BB9">
        <w:trPr>
          <w:cantSplit/>
        </w:trPr>
        <w:tc>
          <w:tcPr>
            <w:tcW w:w="2500" w:type="pct"/>
            <w:hideMark/>
          </w:tcPr>
          <w:p w14:paraId="192F0336"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103/22:51</w:t>
            </w:r>
            <w:r w:rsidRPr="00EC1FBB">
              <w:rPr>
                <w:rFonts w:asciiTheme="majorBidi" w:eastAsia="Times New Roman" w:hAnsiTheme="majorBidi" w:cstheme="majorBidi"/>
                <w:color w:val="FF0000"/>
                <w:vertAlign w:val="superscript"/>
                <w:lang w:eastAsia="fr-CH"/>
              </w:rPr>
              <w:footnoteReference w:id="786"/>
            </w:r>
            <w:r w:rsidRPr="00EC1FBB">
              <w:rPr>
                <w:rFonts w:asciiTheme="majorBidi" w:eastAsia="Times New Roman" w:hAnsiTheme="majorBidi" w:cstheme="majorBidi"/>
                <w:lang w:eastAsia="fr-CH"/>
              </w:rPr>
              <w:t>. Ceux qui s'empressent de défier nos signes, ceux-là sont les gens de la géhenne.</w:t>
            </w:r>
          </w:p>
        </w:tc>
        <w:tc>
          <w:tcPr>
            <w:tcW w:w="2500" w:type="pct"/>
            <w:hideMark/>
          </w:tcPr>
          <w:p w14:paraId="3B9AEB6C"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B4"/>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B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B"/>
            </w:r>
            <w:r w:rsidRPr="00EC1FBB">
              <w:rPr>
                <w:rFonts w:asciiTheme="majorBidi" w:eastAsia="Times New Roman" w:hAnsiTheme="majorBidi" w:cstheme="majorBidi"/>
                <w:color w:val="000000"/>
                <w:lang w:eastAsia="fr-CH"/>
              </w:rPr>
              <w:sym w:font="HQPB2" w:char="F04C"/>
            </w:r>
            <w:r w:rsidRPr="00EC1FBB">
              <w:rPr>
                <w:rFonts w:asciiTheme="majorBidi" w:eastAsia="Times New Roman" w:hAnsiTheme="majorBidi" w:cstheme="majorBidi"/>
                <w:color w:val="000000"/>
                <w:lang w:eastAsia="fr-CH"/>
              </w:rPr>
              <w:sym w:font="HQPB2" w:char="F0EC"/>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bl>
    <w:p w14:paraId="44824925" w14:textId="77777777" w:rsidR="00F324A5" w:rsidRPr="00EC1FBB" w:rsidRDefault="00F324A5" w:rsidP="00F324A5">
      <w:pPr>
        <w:keepLines/>
        <w:ind w:right="68"/>
        <w:contextualSpacing/>
        <w:jc w:val="both"/>
        <w:rPr>
          <w:rFonts w:asciiTheme="majorBidi" w:eastAsia="Times New Roman" w:hAnsiTheme="majorBidi" w:cstheme="majorBidi"/>
          <w:bCs/>
          <w:lang w:eastAsia="fr-CH"/>
        </w:rPr>
      </w:pPr>
    </w:p>
    <w:tbl>
      <w:tblPr>
        <w:tblW w:w="5000" w:type="pct"/>
        <w:tblLook w:val="01E0" w:firstRow="1" w:lastRow="1" w:firstColumn="1" w:lastColumn="1" w:noHBand="0" w:noVBand="0"/>
      </w:tblPr>
      <w:tblGrid>
        <w:gridCol w:w="4788"/>
        <w:gridCol w:w="4788"/>
      </w:tblGrid>
      <w:tr w:rsidR="00F324A5" w:rsidRPr="00EC1FBB" w14:paraId="057A972E" w14:textId="77777777" w:rsidTr="009C3BB9">
        <w:trPr>
          <w:cantSplit/>
        </w:trPr>
        <w:tc>
          <w:tcPr>
            <w:tcW w:w="2500" w:type="pct"/>
            <w:hideMark/>
          </w:tcPr>
          <w:p w14:paraId="553CD73F"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103/22:52</w:t>
            </w:r>
            <w:r w:rsidRPr="00EC1FBB">
              <w:rPr>
                <w:rFonts w:asciiTheme="majorBidi" w:eastAsia="Times New Roman" w:hAnsiTheme="majorBidi" w:cstheme="majorBidi"/>
                <w:color w:val="FF0000"/>
                <w:vertAlign w:val="superscript"/>
                <w:lang w:eastAsia="fr-CH"/>
              </w:rPr>
              <w:footnoteReference w:id="787"/>
            </w:r>
            <w:r w:rsidRPr="00EC1FBB">
              <w:rPr>
                <w:rFonts w:asciiTheme="majorBidi" w:eastAsia="Times New Roman" w:hAnsiTheme="majorBidi" w:cstheme="majorBidi"/>
                <w:lang w:eastAsia="fr-CH"/>
              </w:rPr>
              <w:t>. Nous n'avons envoyé, avant toi, ni envoyé ni prophète qui ait souhaité sans que le satan n'ait lancé [le doute] dans son souhait. Dieu abroge ce que le satan lance, et puis Dieu rend décisifs ses signes. Dieu est connaisseur et sage.</w:t>
            </w:r>
          </w:p>
        </w:tc>
        <w:tc>
          <w:tcPr>
            <w:tcW w:w="2500" w:type="pct"/>
            <w:hideMark/>
          </w:tcPr>
          <w:p w14:paraId="1A1A7EAE"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0"/>
            </w:r>
            <w:r w:rsidRPr="00EC1FBB">
              <w:rPr>
                <w:rFonts w:asciiTheme="majorBidi" w:eastAsia="Times New Roman" w:hAnsiTheme="majorBidi" w:cstheme="majorBidi"/>
                <w:color w:val="000000"/>
                <w:lang w:eastAsia="fr-CH"/>
              </w:rPr>
              <w:sym w:font="HQPB4" w:char="F063"/>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1" w:char="F03C"/>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48"/>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3"/>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2" w:char="F05F"/>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7"/>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2B"/>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D"/>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p>
        </w:tc>
      </w:tr>
      <w:tr w:rsidR="00F324A5" w:rsidRPr="00EC1FBB" w14:paraId="3247576D" w14:textId="77777777" w:rsidTr="009C3BB9">
        <w:trPr>
          <w:cantSplit/>
        </w:trPr>
        <w:tc>
          <w:tcPr>
            <w:tcW w:w="2500" w:type="pct"/>
            <w:hideMark/>
          </w:tcPr>
          <w:p w14:paraId="4B067B81"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103/22:53</w:t>
            </w:r>
            <w:r w:rsidRPr="00EC1FBB">
              <w:rPr>
                <w:rFonts w:asciiTheme="majorBidi" w:eastAsia="Times New Roman" w:hAnsiTheme="majorBidi" w:cstheme="majorBidi"/>
                <w:bCs/>
                <w:color w:val="FF0000"/>
                <w:vertAlign w:val="superscript"/>
                <w:lang w:eastAsia="fr-CH"/>
              </w:rPr>
              <w:footnoteReference w:id="788"/>
            </w:r>
            <w:r w:rsidRPr="00EC1FBB">
              <w:rPr>
                <w:rFonts w:asciiTheme="majorBidi" w:eastAsia="Times New Roman" w:hAnsiTheme="majorBidi" w:cstheme="majorBidi"/>
                <w:lang w:eastAsia="fr-CH"/>
              </w:rPr>
              <w:t xml:space="preserve">. Afin de faire, de ce que lance le satan, une épreuve pour ceux qui ont une </w:t>
            </w:r>
            <w:r w:rsidRPr="00EC1FBB">
              <w:rPr>
                <w:rFonts w:asciiTheme="majorBidi" w:eastAsia="Times New Roman" w:hAnsiTheme="majorBidi" w:cstheme="majorBidi"/>
                <w:bCs/>
                <w:color w:val="000000"/>
                <w:lang w:eastAsia="fr-CH"/>
              </w:rPr>
              <w:t>maladie</w:t>
            </w:r>
            <w:r w:rsidRPr="00EC1FBB">
              <w:rPr>
                <w:rFonts w:asciiTheme="majorBidi" w:eastAsia="Times New Roman" w:hAnsiTheme="majorBidi" w:cstheme="majorBidi"/>
                <w:bCs/>
                <w:color w:val="FF0000"/>
                <w:vertAlign w:val="superscript"/>
                <w:lang w:eastAsia="fr-CH"/>
              </w:rPr>
              <w:t>T1</w:t>
            </w:r>
            <w:r w:rsidRPr="00EC1FBB">
              <w:rPr>
                <w:rFonts w:asciiTheme="majorBidi" w:eastAsia="Times New Roman" w:hAnsiTheme="majorBidi" w:cstheme="majorBidi"/>
                <w:lang w:eastAsia="fr-CH"/>
              </w:rPr>
              <w:t xml:space="preserve"> dans leurs cœurs et ceux dont les cœurs sont endurcis. Les oppresseurs sont dans une dissension lointaine.</w:t>
            </w:r>
          </w:p>
        </w:tc>
        <w:tc>
          <w:tcPr>
            <w:tcW w:w="2500" w:type="pct"/>
            <w:hideMark/>
          </w:tcPr>
          <w:p w14:paraId="52BCDBC1"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2B"/>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5A"/>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3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6"/>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22"/>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5"/>
            </w:r>
            <w:r w:rsidRPr="00EC1FBB">
              <w:rPr>
                <w:rFonts w:asciiTheme="majorBidi" w:eastAsia="Times New Roman" w:hAnsiTheme="majorBidi" w:cstheme="majorBidi"/>
                <w:color w:val="000000"/>
                <w:lang w:eastAsia="fr-CH"/>
              </w:rPr>
              <w:sym w:font="HQPB2" w:char="F02D"/>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p>
        </w:tc>
      </w:tr>
      <w:tr w:rsidR="00F324A5" w:rsidRPr="00EC1FBB" w14:paraId="6DE2DB34" w14:textId="77777777" w:rsidTr="009C3BB9">
        <w:trPr>
          <w:cantSplit/>
        </w:trPr>
        <w:tc>
          <w:tcPr>
            <w:tcW w:w="2500" w:type="pct"/>
            <w:hideMark/>
          </w:tcPr>
          <w:p w14:paraId="75F1C20B"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103/22:54</w:t>
            </w:r>
            <w:r w:rsidRPr="00EC1FBB">
              <w:rPr>
                <w:rFonts w:asciiTheme="majorBidi" w:eastAsia="Times New Roman" w:hAnsiTheme="majorBidi" w:cstheme="majorBidi"/>
                <w:color w:val="FF0000"/>
                <w:vertAlign w:val="superscript"/>
                <w:lang w:eastAsia="fr-CH"/>
              </w:rPr>
              <w:footnoteReference w:id="789"/>
            </w:r>
            <w:r w:rsidRPr="00EC1FBB">
              <w:rPr>
                <w:rFonts w:asciiTheme="majorBidi" w:eastAsia="Times New Roman" w:hAnsiTheme="majorBidi" w:cstheme="majorBidi"/>
                <w:lang w:eastAsia="fr-CH"/>
              </w:rPr>
              <w:t>. Afin que ceux auxquels la connaissance fut donnée sachent que ceci est la vérité [venue] de ton Seigneur, qu'ils y croient, et que leurs cœurs s'humilient devant lui. Dieu dirige ceux qui ont cru vers un chemin droit.</w:t>
            </w:r>
          </w:p>
        </w:tc>
        <w:tc>
          <w:tcPr>
            <w:tcW w:w="2500" w:type="pct"/>
            <w:hideMark/>
          </w:tcPr>
          <w:p w14:paraId="56AE0AD8"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1"/>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3"/>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3" w:char="F02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A"/>
            </w:r>
            <w:r w:rsidRPr="00EC1FBB">
              <w:rPr>
                <w:rFonts w:asciiTheme="majorBidi" w:eastAsia="Times New Roman" w:hAnsiTheme="majorBidi" w:cstheme="majorBidi"/>
                <w:color w:val="000000"/>
                <w:lang w:eastAsia="fr-CH"/>
              </w:rPr>
              <w:sym w:font="HQPB1" w:char="F0DE"/>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0"/>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p>
        </w:tc>
      </w:tr>
      <w:tr w:rsidR="00F324A5" w:rsidRPr="00EC1FBB" w14:paraId="00DFB952" w14:textId="77777777" w:rsidTr="009C3BB9">
        <w:trPr>
          <w:cantSplit/>
        </w:trPr>
        <w:tc>
          <w:tcPr>
            <w:tcW w:w="2500" w:type="pct"/>
            <w:hideMark/>
          </w:tcPr>
          <w:p w14:paraId="330058D2"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103/22:55</w:t>
            </w:r>
            <w:r w:rsidRPr="00EC1FBB">
              <w:rPr>
                <w:rFonts w:asciiTheme="majorBidi" w:eastAsia="Times New Roman" w:hAnsiTheme="majorBidi" w:cstheme="majorBidi"/>
                <w:color w:val="FF0000"/>
                <w:vertAlign w:val="superscript"/>
                <w:lang w:eastAsia="fr-CH"/>
              </w:rPr>
              <w:footnoteReference w:id="790"/>
            </w:r>
            <w:r w:rsidRPr="00EC1FBB">
              <w:rPr>
                <w:rFonts w:asciiTheme="majorBidi" w:eastAsia="Times New Roman" w:hAnsiTheme="majorBidi" w:cstheme="majorBidi"/>
                <w:lang w:eastAsia="fr-CH"/>
              </w:rPr>
              <w:t>. Ceux qui ont mécru ne cesseront d'être dans le doute au sujet de ce [Coran] que lorsque l'heure leur viendra soudainement ou que leur viendra le châtiment d'un jour stérile.</w:t>
            </w:r>
          </w:p>
        </w:tc>
        <w:tc>
          <w:tcPr>
            <w:tcW w:w="2500" w:type="pct"/>
            <w:hideMark/>
          </w:tcPr>
          <w:p w14:paraId="2F5C3EBE"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3" w:char="F086"/>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0"/>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44"/>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4" w:char="F0AE"/>
            </w:r>
            <w:r w:rsidRPr="00EC1FBB">
              <w:rPr>
                <w:rFonts w:asciiTheme="majorBidi" w:eastAsia="Times New Roman" w:hAnsiTheme="majorBidi" w:cstheme="majorBidi"/>
                <w:color w:val="000000"/>
                <w:lang w:eastAsia="fr-CH"/>
              </w:rPr>
              <w:sym w:font="HQPB1" w:char="F04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BA"/>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B"/>
            </w:r>
            <w:r w:rsidRPr="00EC1FBB">
              <w:rPr>
                <w:rFonts w:asciiTheme="majorBidi" w:eastAsia="Times New Roman" w:hAnsiTheme="majorBidi" w:cstheme="majorBidi"/>
                <w:color w:val="000000"/>
                <w:lang w:eastAsia="fr-CH"/>
              </w:rPr>
              <w:sym w:font="HQPB3" w:char="F055"/>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2"/>
            </w:r>
            <w:r w:rsidRPr="00EC1FBB">
              <w:rPr>
                <w:rFonts w:asciiTheme="majorBidi" w:eastAsia="Times New Roman" w:hAnsiTheme="majorBidi" w:cstheme="majorBidi"/>
                <w:color w:val="000000"/>
                <w:lang w:eastAsia="fr-CH"/>
              </w:rPr>
              <w:sym w:font="HQPB2" w:char="F051"/>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1"/>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p>
        </w:tc>
      </w:tr>
      <w:tr w:rsidR="00F324A5" w:rsidRPr="00EC1FBB" w14:paraId="69A0460D" w14:textId="77777777" w:rsidTr="009C3BB9">
        <w:trPr>
          <w:cantSplit/>
        </w:trPr>
        <w:tc>
          <w:tcPr>
            <w:tcW w:w="2500" w:type="pct"/>
            <w:hideMark/>
          </w:tcPr>
          <w:p w14:paraId="21D53E68"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103/22:56. Le royaume ce jour-là est à Dieu qui jugera parmi eux. Ceux qui ont cru et ont fait les œuvres vertueuses seront dans les jardins du bonheur.</w:t>
            </w:r>
          </w:p>
        </w:tc>
        <w:tc>
          <w:tcPr>
            <w:tcW w:w="2500" w:type="pct"/>
            <w:hideMark/>
          </w:tcPr>
          <w:p w14:paraId="0CC7D76E"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DB"/>
            </w:r>
            <w:r w:rsidRPr="00EC1FBB">
              <w:rPr>
                <w:rFonts w:asciiTheme="majorBidi" w:eastAsia="Times New Roman" w:hAnsiTheme="majorBidi" w:cstheme="majorBidi"/>
                <w:color w:val="000000"/>
                <w:lang w:eastAsia="fr-CH"/>
              </w:rPr>
              <w:sym w:font="HQPB3" w:char="F081"/>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B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B0"/>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39D46BFE" w14:textId="77777777" w:rsidTr="009C3BB9">
        <w:trPr>
          <w:cantSplit/>
        </w:trPr>
        <w:tc>
          <w:tcPr>
            <w:tcW w:w="2500" w:type="pct"/>
            <w:hideMark/>
          </w:tcPr>
          <w:p w14:paraId="44AC53ED"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103/22:57. Ceux qui ont mécru et ont démenti nos signes, ceux-là auront un châtiment humiliant.</w:t>
            </w:r>
          </w:p>
        </w:tc>
        <w:tc>
          <w:tcPr>
            <w:tcW w:w="2500" w:type="pct"/>
            <w:hideMark/>
          </w:tcPr>
          <w:p w14:paraId="221C7C2C"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A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1"/>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B4"/>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1"/>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p>
        </w:tc>
      </w:tr>
      <w:tr w:rsidR="00F324A5" w:rsidRPr="00EC1FBB" w14:paraId="0196F878" w14:textId="77777777" w:rsidTr="009C3BB9">
        <w:trPr>
          <w:cantSplit/>
        </w:trPr>
        <w:tc>
          <w:tcPr>
            <w:tcW w:w="2500" w:type="pct"/>
            <w:hideMark/>
          </w:tcPr>
          <w:p w14:paraId="253FB81B"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103/22:58</w:t>
            </w:r>
            <w:r w:rsidRPr="00EC1FBB">
              <w:rPr>
                <w:rFonts w:asciiTheme="majorBidi" w:eastAsia="Times New Roman" w:hAnsiTheme="majorBidi" w:cstheme="majorBidi"/>
                <w:color w:val="FF0000"/>
                <w:vertAlign w:val="superscript"/>
                <w:lang w:eastAsia="fr-CH"/>
              </w:rPr>
              <w:footnoteReference w:id="791"/>
            </w:r>
            <w:r w:rsidRPr="00EC1FBB">
              <w:rPr>
                <w:rFonts w:asciiTheme="majorBidi" w:eastAsia="Times New Roman" w:hAnsiTheme="majorBidi" w:cstheme="majorBidi"/>
                <w:lang w:eastAsia="fr-CH"/>
              </w:rPr>
              <w:t>. Ceux qui ont émigré dans la voie de Dieu, et ont ensuite été tués ou sont morts, Dieu leur attribuera une bonne attribution. Dieu est le meilleur des attributeurs.</w:t>
            </w:r>
          </w:p>
        </w:tc>
        <w:tc>
          <w:tcPr>
            <w:tcW w:w="2500" w:type="pct"/>
            <w:hideMark/>
          </w:tcPr>
          <w:p w14:paraId="1886AC91"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F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BB"/>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59"/>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97"/>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0D232898" w14:textId="77777777" w:rsidTr="009C3BB9">
        <w:trPr>
          <w:cantSplit/>
        </w:trPr>
        <w:tc>
          <w:tcPr>
            <w:tcW w:w="2500" w:type="pct"/>
            <w:hideMark/>
          </w:tcPr>
          <w:p w14:paraId="17C6B32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103/22:59</w:t>
            </w:r>
            <w:r w:rsidRPr="00EC1FBB">
              <w:rPr>
                <w:rFonts w:asciiTheme="majorBidi" w:eastAsia="Times New Roman" w:hAnsiTheme="majorBidi" w:cstheme="majorBidi"/>
                <w:color w:val="FF0000"/>
                <w:vertAlign w:val="superscript"/>
                <w:lang w:eastAsia="fr-CH"/>
              </w:rPr>
              <w:footnoteReference w:id="792"/>
            </w:r>
            <w:r w:rsidRPr="00EC1FBB">
              <w:rPr>
                <w:rFonts w:asciiTheme="majorBidi" w:eastAsia="Times New Roman" w:hAnsiTheme="majorBidi" w:cstheme="majorBidi"/>
                <w:lang w:eastAsia="fr-CH"/>
              </w:rPr>
              <w:t>. Il les fera entrer par une entrée qu'ils agréent. Dieu est connaisseur et magnanime.</w:t>
            </w:r>
          </w:p>
        </w:tc>
        <w:tc>
          <w:tcPr>
            <w:tcW w:w="2500" w:type="pct"/>
            <w:hideMark/>
          </w:tcPr>
          <w:p w14:paraId="3CD3319D"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57"/>
            </w:r>
            <w:r w:rsidRPr="00EC1FBB">
              <w:rPr>
                <w:rFonts w:asciiTheme="majorBidi" w:eastAsia="Times New Roman" w:hAnsiTheme="majorBidi" w:cstheme="majorBidi"/>
                <w:color w:val="000000"/>
                <w:lang w:eastAsia="fr-CH"/>
              </w:rPr>
              <w:sym w:font="HQPB2" w:char="F07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D"/>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p>
        </w:tc>
      </w:tr>
      <w:tr w:rsidR="00F324A5" w:rsidRPr="00EC1FBB" w14:paraId="71F33F9F" w14:textId="77777777" w:rsidTr="009C3BB9">
        <w:trPr>
          <w:cantSplit/>
        </w:trPr>
        <w:tc>
          <w:tcPr>
            <w:tcW w:w="2500" w:type="pct"/>
            <w:hideMark/>
          </w:tcPr>
          <w:p w14:paraId="18D9153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103/22:60. C'est ainsi! Quiconque punit semblablement à ce dont il a été puni, et qu'ensuite il a été abusé, Dieu le secourra. Dieu est gracieux et pardonneur.</w:t>
            </w:r>
          </w:p>
        </w:tc>
        <w:tc>
          <w:tcPr>
            <w:tcW w:w="2500" w:type="pct"/>
            <w:hideMark/>
          </w:tcPr>
          <w:p w14:paraId="5B0F3864"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1"/>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5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D3"/>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1" w:char="F0F6"/>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DD"/>
            </w:r>
            <w:r w:rsidRPr="00EC1FBB">
              <w:rPr>
                <w:rFonts w:asciiTheme="majorBidi" w:eastAsia="Times New Roman" w:hAnsiTheme="majorBidi" w:cstheme="majorBidi"/>
                <w:color w:val="000000"/>
                <w:lang w:eastAsia="fr-CH"/>
              </w:rPr>
              <w:sym w:font="HQPB1" w:char="F0C7"/>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B"/>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EE"/>
            </w:r>
          </w:p>
        </w:tc>
      </w:tr>
      <w:tr w:rsidR="00F324A5" w:rsidRPr="00EC1FBB" w14:paraId="1DE7998F" w14:textId="77777777" w:rsidTr="009C3BB9">
        <w:trPr>
          <w:cantSplit/>
        </w:trPr>
        <w:tc>
          <w:tcPr>
            <w:tcW w:w="2500" w:type="pct"/>
            <w:hideMark/>
          </w:tcPr>
          <w:p w14:paraId="1BDCBB2A"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103/22:61. Cela parce que Dieu fait pénétrer la nuit dans le jour, et fait pénétrer le jour dans la nuit. Dieu est écouteur, clairvoyant.</w:t>
            </w:r>
          </w:p>
        </w:tc>
        <w:tc>
          <w:tcPr>
            <w:tcW w:w="2500" w:type="pct"/>
            <w:hideMark/>
          </w:tcPr>
          <w:p w14:paraId="7E04EC3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1"/>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0"/>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6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6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7"/>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p>
        </w:tc>
      </w:tr>
      <w:tr w:rsidR="00F324A5" w:rsidRPr="00EC1FBB" w14:paraId="0B7D0996" w14:textId="77777777" w:rsidTr="009C3BB9">
        <w:trPr>
          <w:cantSplit/>
        </w:trPr>
        <w:tc>
          <w:tcPr>
            <w:tcW w:w="2500" w:type="pct"/>
            <w:hideMark/>
          </w:tcPr>
          <w:p w14:paraId="58FABBD2"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103/22:62</w:t>
            </w:r>
            <w:r w:rsidRPr="00EC1FBB">
              <w:rPr>
                <w:rFonts w:asciiTheme="majorBidi" w:eastAsia="Times New Roman" w:hAnsiTheme="majorBidi" w:cstheme="majorBidi"/>
                <w:color w:val="FF0000"/>
                <w:vertAlign w:val="superscript"/>
                <w:lang w:eastAsia="fr-CH"/>
              </w:rPr>
              <w:footnoteReference w:id="793"/>
            </w:r>
            <w:r w:rsidRPr="00EC1FBB">
              <w:rPr>
                <w:rFonts w:asciiTheme="majorBidi" w:eastAsia="Times New Roman" w:hAnsiTheme="majorBidi" w:cstheme="majorBidi"/>
                <w:lang w:eastAsia="fr-CH"/>
              </w:rPr>
              <w:t>. Cela parce que Dieu est la vérité, et ce qu'ils appellent hors de lui est le faux. Dieu est le très élevé, le grand.</w:t>
            </w:r>
          </w:p>
        </w:tc>
        <w:tc>
          <w:tcPr>
            <w:tcW w:w="2500" w:type="pct"/>
            <w:hideMark/>
          </w:tcPr>
          <w:p w14:paraId="26043BF6"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1"/>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0"/>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1"/>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0"/>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6347B52D" w14:textId="77777777" w:rsidTr="009C3BB9">
        <w:trPr>
          <w:cantSplit/>
        </w:trPr>
        <w:tc>
          <w:tcPr>
            <w:tcW w:w="2500" w:type="pct"/>
            <w:hideMark/>
          </w:tcPr>
          <w:p w14:paraId="56E5825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103/22:63</w:t>
            </w:r>
            <w:r w:rsidRPr="00EC1FBB">
              <w:rPr>
                <w:rFonts w:asciiTheme="majorBidi" w:eastAsia="Times New Roman" w:hAnsiTheme="majorBidi" w:cstheme="majorBidi"/>
                <w:color w:val="FF0000"/>
                <w:vertAlign w:val="superscript"/>
                <w:lang w:eastAsia="fr-CH"/>
              </w:rPr>
              <w:footnoteReference w:id="794"/>
            </w:r>
            <w:r w:rsidRPr="00EC1FBB">
              <w:rPr>
                <w:rFonts w:asciiTheme="majorBidi" w:eastAsia="Times New Roman" w:hAnsiTheme="majorBidi" w:cstheme="majorBidi"/>
                <w:lang w:eastAsia="fr-CH"/>
              </w:rPr>
              <w:t>. N'as-tu pas vu que Dieu fait descendre du ciel de l'eau, et la terre devient alors verdoyante ? Dieu est accommodant et informé.</w:t>
            </w:r>
          </w:p>
        </w:tc>
        <w:tc>
          <w:tcPr>
            <w:tcW w:w="2500" w:type="pct"/>
            <w:hideMark/>
          </w:tcPr>
          <w:p w14:paraId="3DC5AB41"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C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5B"/>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78"/>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E"/>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B8"/>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1" w:char="F0D2"/>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4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C"/>
            </w:r>
            <w:r w:rsidRPr="00EC1FBB">
              <w:rPr>
                <w:rFonts w:asciiTheme="majorBidi" w:eastAsia="Times New Roman" w:hAnsiTheme="majorBidi" w:cstheme="majorBidi"/>
                <w:color w:val="000000"/>
                <w:lang w:eastAsia="fr-CH"/>
              </w:rPr>
              <w:sym w:font="HQPB2" w:char="F023"/>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p>
        </w:tc>
      </w:tr>
    </w:tbl>
    <w:p w14:paraId="50FE7403" w14:textId="77777777" w:rsidR="00F324A5" w:rsidRPr="00EC1FBB" w:rsidRDefault="00F324A5" w:rsidP="00F324A5">
      <w:pPr>
        <w:keepLines/>
        <w:ind w:right="68"/>
        <w:contextualSpacing/>
        <w:jc w:val="both"/>
        <w:rPr>
          <w:rFonts w:asciiTheme="majorBidi" w:eastAsia="Times New Roman" w:hAnsiTheme="majorBidi" w:cstheme="majorBidi"/>
          <w:bCs/>
          <w:lang w:eastAsia="fr-CH"/>
        </w:rPr>
      </w:pPr>
    </w:p>
    <w:tbl>
      <w:tblPr>
        <w:tblW w:w="5000" w:type="pct"/>
        <w:tblLook w:val="01E0" w:firstRow="1" w:lastRow="1" w:firstColumn="1" w:lastColumn="1" w:noHBand="0" w:noVBand="0"/>
      </w:tblPr>
      <w:tblGrid>
        <w:gridCol w:w="4788"/>
        <w:gridCol w:w="4788"/>
      </w:tblGrid>
      <w:tr w:rsidR="00F324A5" w:rsidRPr="00EC1FBB" w14:paraId="001AA222" w14:textId="77777777" w:rsidTr="009C3BB9">
        <w:trPr>
          <w:cantSplit/>
        </w:trPr>
        <w:tc>
          <w:tcPr>
            <w:tcW w:w="2500" w:type="pct"/>
            <w:hideMark/>
          </w:tcPr>
          <w:p w14:paraId="4CB569CF"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103/22:64. À lui ce qui est dans les cieux et la terre. Dieu est l'autosuffisant, le louable!</w:t>
            </w:r>
          </w:p>
        </w:tc>
        <w:tc>
          <w:tcPr>
            <w:tcW w:w="2500" w:type="pct"/>
            <w:hideMark/>
          </w:tcPr>
          <w:p w14:paraId="66A9186B"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3" w:char="F026"/>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E"/>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3" w:char="F086"/>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8E"/>
            </w:r>
            <w:r w:rsidRPr="00EC1FBB">
              <w:rPr>
                <w:rFonts w:asciiTheme="majorBidi" w:eastAsia="Times New Roman" w:hAnsiTheme="majorBidi" w:cstheme="majorBidi"/>
                <w:color w:val="000000"/>
                <w:lang w:eastAsia="fr-CH"/>
              </w:rPr>
              <w:sym w:font="HQPB3" w:char="F05F"/>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5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F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72158398" w14:textId="77777777" w:rsidTr="009C3BB9">
        <w:trPr>
          <w:cantSplit/>
        </w:trPr>
        <w:tc>
          <w:tcPr>
            <w:tcW w:w="2500" w:type="pct"/>
            <w:hideMark/>
          </w:tcPr>
          <w:p w14:paraId="18CA9CFD"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103/22:65</w:t>
            </w:r>
            <w:r w:rsidRPr="00EC1FBB">
              <w:rPr>
                <w:rFonts w:asciiTheme="majorBidi" w:eastAsia="Times New Roman" w:hAnsiTheme="majorBidi" w:cstheme="majorBidi"/>
                <w:color w:val="FF0000"/>
                <w:vertAlign w:val="superscript"/>
                <w:lang w:eastAsia="fr-CH"/>
              </w:rPr>
              <w:footnoteReference w:id="795"/>
            </w:r>
            <w:r w:rsidRPr="00EC1FBB">
              <w:rPr>
                <w:rFonts w:asciiTheme="majorBidi" w:eastAsia="Times New Roman" w:hAnsiTheme="majorBidi" w:cstheme="majorBidi"/>
                <w:lang w:eastAsia="fr-CH"/>
              </w:rPr>
              <w:t>. N'as-tu pas vu que Dieu vous a soumis tout ce qui est sur la terre et que la felouque court dans la mer sur son ordre? Il retient le ciel de tomber sur la terre, sinon avec son autorisation. Dieu est compatissant et très miséricordieux envers les humains.</w:t>
            </w:r>
          </w:p>
        </w:tc>
        <w:tc>
          <w:tcPr>
            <w:tcW w:w="2500" w:type="pct"/>
            <w:hideMark/>
          </w:tcPr>
          <w:p w14:paraId="2FF556F3"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A4"/>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67"/>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3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4"/>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4"/>
            </w:r>
            <w:r w:rsidRPr="00EC1FBB">
              <w:rPr>
                <w:rFonts w:asciiTheme="majorBidi" w:eastAsia="Times New Roman" w:hAnsiTheme="majorBidi" w:cstheme="majorBidi"/>
                <w:color w:val="000000"/>
                <w:lang w:eastAsia="fr-CH"/>
              </w:rPr>
              <w:sym w:font="HQPB2" w:char="F024"/>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91"/>
            </w:r>
          </w:p>
        </w:tc>
      </w:tr>
      <w:tr w:rsidR="00F324A5" w:rsidRPr="00EC1FBB" w14:paraId="41B1E089" w14:textId="77777777" w:rsidTr="009C3BB9">
        <w:trPr>
          <w:cantSplit/>
        </w:trPr>
        <w:tc>
          <w:tcPr>
            <w:tcW w:w="2500" w:type="pct"/>
            <w:hideMark/>
          </w:tcPr>
          <w:p w14:paraId="3E665009"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103/22:66. C'est lui qui vous a fait vivre et vous fera mourir, ensuite il vous fera revivre. L'humain est ingrat.</w:t>
            </w:r>
          </w:p>
        </w:tc>
        <w:tc>
          <w:tcPr>
            <w:tcW w:w="2500" w:type="pct"/>
            <w:hideMark/>
          </w:tcPr>
          <w:p w14:paraId="76193FCF"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C"/>
            </w:r>
            <w:r w:rsidRPr="00EC1FBB">
              <w:rPr>
                <w:rFonts w:asciiTheme="majorBidi" w:eastAsia="Times New Roman" w:hAnsiTheme="majorBidi" w:cstheme="majorBidi"/>
                <w:color w:val="000000"/>
                <w:lang w:eastAsia="fr-CH"/>
              </w:rPr>
              <w:sym w:font="HQPB2" w:char="F094"/>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4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53"/>
            </w:r>
            <w:r w:rsidRPr="00EC1FBB">
              <w:rPr>
                <w:rFonts w:asciiTheme="majorBidi" w:eastAsia="Times New Roman" w:hAnsiTheme="majorBidi" w:cstheme="majorBidi"/>
                <w:color w:val="000000"/>
                <w:lang w:eastAsia="fr-CH"/>
              </w:rPr>
              <w:sym w:font="HQPB5" w:char="F04D"/>
            </w:r>
            <w:r w:rsidRPr="00EC1FBB">
              <w:rPr>
                <w:rFonts w:asciiTheme="majorBidi" w:eastAsia="Times New Roman" w:hAnsiTheme="majorBidi" w:cstheme="majorBidi"/>
                <w:color w:val="000000"/>
                <w:lang w:eastAsia="fr-CH"/>
              </w:rPr>
              <w:sym w:font="HQPB2" w:char="F07D"/>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p>
        </w:tc>
      </w:tr>
      <w:tr w:rsidR="00F324A5" w:rsidRPr="00EC1FBB" w14:paraId="7F5C2C19" w14:textId="77777777" w:rsidTr="009C3BB9">
        <w:trPr>
          <w:cantSplit/>
        </w:trPr>
        <w:tc>
          <w:tcPr>
            <w:tcW w:w="2500" w:type="pct"/>
            <w:hideMark/>
          </w:tcPr>
          <w:p w14:paraId="5FFFB6D1"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103/22:67</w:t>
            </w:r>
            <w:r w:rsidRPr="00EC1FBB">
              <w:rPr>
                <w:rFonts w:asciiTheme="majorBidi" w:eastAsia="Times New Roman" w:hAnsiTheme="majorBidi" w:cstheme="majorBidi"/>
                <w:color w:val="FF0000"/>
                <w:vertAlign w:val="superscript"/>
                <w:lang w:eastAsia="fr-CH"/>
              </w:rPr>
              <w:footnoteReference w:id="796"/>
            </w:r>
            <w:r w:rsidRPr="00EC1FBB">
              <w:rPr>
                <w:rFonts w:asciiTheme="majorBidi" w:eastAsia="Times New Roman" w:hAnsiTheme="majorBidi" w:cstheme="majorBidi"/>
                <w:lang w:eastAsia="fr-CH"/>
              </w:rPr>
              <w:t>. À chaque nation, nous avons fait un rituel qu'ils suivent. Qu'ils ne disputent donc point avec toi à propos de l'affaire! Appelle [les gens] vers ton Seigneur. Tu es sur une direction droite.</w:t>
            </w:r>
          </w:p>
        </w:tc>
        <w:tc>
          <w:tcPr>
            <w:tcW w:w="2500" w:type="pct"/>
            <w:hideMark/>
          </w:tcPr>
          <w:p w14:paraId="701561F7"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4" w:char="F065"/>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7"/>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4" w:char="F0B8"/>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7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4" w:char="F0CC"/>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4"/>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1" w:char="F0E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4" w:char="F06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4"/>
            </w:r>
            <w:r w:rsidRPr="00EC1FBB">
              <w:rPr>
                <w:rFonts w:asciiTheme="majorBidi" w:eastAsia="Times New Roman" w:hAnsiTheme="majorBidi" w:cstheme="majorBidi"/>
                <w:color w:val="000000"/>
                <w:lang w:eastAsia="fr-CH"/>
              </w:rPr>
              <w:sym w:font="HQPB4" w:char="F057"/>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5"/>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42"/>
            </w:r>
          </w:p>
        </w:tc>
      </w:tr>
      <w:tr w:rsidR="00F324A5" w:rsidRPr="00EC1FBB" w14:paraId="781C69A8" w14:textId="77777777" w:rsidTr="009C3BB9">
        <w:trPr>
          <w:cantSplit/>
        </w:trPr>
        <w:tc>
          <w:tcPr>
            <w:tcW w:w="2500" w:type="pct"/>
            <w:hideMark/>
          </w:tcPr>
          <w:p w14:paraId="0E14C687"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103/22:68</w:t>
            </w:r>
            <w:r w:rsidRPr="00EC1FBB">
              <w:rPr>
                <w:rFonts w:asciiTheme="majorBidi" w:eastAsia="Times New Roman" w:hAnsiTheme="majorBidi" w:cstheme="majorBidi"/>
                <w:color w:val="FF0000"/>
                <w:vertAlign w:val="superscript"/>
                <w:lang w:eastAsia="fr-CH"/>
              </w:rPr>
              <w:footnoteReference w:id="797"/>
            </w:r>
            <w:r w:rsidRPr="00EC1FBB">
              <w:rPr>
                <w:rFonts w:asciiTheme="majorBidi" w:eastAsia="Times New Roman" w:hAnsiTheme="majorBidi" w:cstheme="majorBidi"/>
                <w:lang w:eastAsia="fr-CH"/>
              </w:rPr>
              <w:t>. S'ils disputent avec toi, alors dis: "Dieu sait le mieux ce que vous faites.</w:t>
            </w:r>
            <w:r w:rsidRPr="00EC1FBB">
              <w:rPr>
                <w:rFonts w:asciiTheme="majorBidi" w:eastAsia="Times New Roman" w:hAnsiTheme="majorBidi" w:cstheme="majorBidi"/>
                <w:color w:val="FF0000"/>
                <w:vertAlign w:val="superscript"/>
                <w:lang w:eastAsia="fr-CH"/>
              </w:rPr>
              <w:t>A1</w:t>
            </w:r>
          </w:p>
        </w:tc>
        <w:tc>
          <w:tcPr>
            <w:tcW w:w="2500" w:type="pct"/>
            <w:hideMark/>
          </w:tcPr>
          <w:p w14:paraId="4E10DDDE"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8"/>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p>
        </w:tc>
      </w:tr>
      <w:tr w:rsidR="00F324A5" w:rsidRPr="00EC1FBB" w14:paraId="6743DEDE" w14:textId="77777777" w:rsidTr="009C3BB9">
        <w:trPr>
          <w:cantSplit/>
        </w:trPr>
        <w:tc>
          <w:tcPr>
            <w:tcW w:w="2500" w:type="pct"/>
            <w:hideMark/>
          </w:tcPr>
          <w:p w14:paraId="750E5454"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103/22:69</w:t>
            </w:r>
            <w:r w:rsidRPr="00EC1FBB">
              <w:rPr>
                <w:rFonts w:asciiTheme="majorBidi" w:eastAsia="Times New Roman" w:hAnsiTheme="majorBidi" w:cstheme="majorBidi"/>
                <w:color w:val="FF0000"/>
                <w:vertAlign w:val="superscript"/>
                <w:lang w:eastAsia="fr-CH"/>
              </w:rPr>
              <w:footnoteReference w:id="798"/>
            </w:r>
            <w:r w:rsidRPr="00EC1FBB">
              <w:rPr>
                <w:rFonts w:asciiTheme="majorBidi" w:eastAsia="Times New Roman" w:hAnsiTheme="majorBidi" w:cstheme="majorBidi"/>
                <w:lang w:eastAsia="fr-CH"/>
              </w:rPr>
              <w:t>. Dieu jugera parmi vous, au jour de la résurrection, ce en quoi vous divergiez".</w:t>
            </w:r>
            <w:r w:rsidRPr="00EC1FBB">
              <w:rPr>
                <w:rFonts w:asciiTheme="majorBidi" w:eastAsia="Times New Roman" w:hAnsiTheme="majorBidi" w:cstheme="majorBidi"/>
                <w:color w:val="FF0000"/>
                <w:vertAlign w:val="superscript"/>
                <w:lang w:eastAsia="fr-CH"/>
              </w:rPr>
              <w:t>A1</w:t>
            </w:r>
          </w:p>
        </w:tc>
        <w:tc>
          <w:tcPr>
            <w:tcW w:w="2500" w:type="pct"/>
            <w:hideMark/>
          </w:tcPr>
          <w:p w14:paraId="41C615EC"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7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42"/>
            </w:r>
          </w:p>
        </w:tc>
      </w:tr>
      <w:tr w:rsidR="00F324A5" w:rsidRPr="00EC1FBB" w14:paraId="55E69F81" w14:textId="77777777" w:rsidTr="009C3BB9">
        <w:trPr>
          <w:cantSplit/>
        </w:trPr>
        <w:tc>
          <w:tcPr>
            <w:tcW w:w="2500" w:type="pct"/>
            <w:hideMark/>
          </w:tcPr>
          <w:p w14:paraId="31C9C636"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103/22:70. N'as-tu pas su que Dieu sait ce qu'il y a dans le ciel et la terre? Cela est dans un livre. Cela est aisé pour Dieu.</w:t>
            </w:r>
          </w:p>
        </w:tc>
        <w:tc>
          <w:tcPr>
            <w:tcW w:w="2500" w:type="pct"/>
            <w:hideMark/>
          </w:tcPr>
          <w:p w14:paraId="24C5DE1C"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A1"/>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7"/>
            </w:r>
            <w:r w:rsidRPr="00EC1FBB">
              <w:rPr>
                <w:rFonts w:asciiTheme="majorBidi" w:eastAsia="Times New Roman" w:hAnsiTheme="majorBidi" w:cstheme="majorBidi"/>
                <w:color w:val="000000"/>
                <w:lang w:eastAsia="fr-CH"/>
              </w:rPr>
              <w:sym w:font="HQPB1" w:char="F0DA"/>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46"/>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3" w:char="F081"/>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41"/>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37"/>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p>
        </w:tc>
      </w:tr>
      <w:tr w:rsidR="00F324A5" w:rsidRPr="00EC1FBB" w14:paraId="6C98AB93" w14:textId="77777777" w:rsidTr="009C3BB9">
        <w:trPr>
          <w:cantSplit/>
        </w:trPr>
        <w:tc>
          <w:tcPr>
            <w:tcW w:w="2500" w:type="pct"/>
            <w:hideMark/>
          </w:tcPr>
          <w:p w14:paraId="0B81EEB5"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103/22:71</w:t>
            </w:r>
            <w:r w:rsidRPr="00EC1FBB">
              <w:rPr>
                <w:rFonts w:asciiTheme="majorBidi" w:eastAsia="Times New Roman" w:hAnsiTheme="majorBidi" w:cstheme="majorBidi"/>
                <w:color w:val="FF0000"/>
                <w:vertAlign w:val="superscript"/>
                <w:lang w:eastAsia="fr-CH"/>
              </w:rPr>
              <w:footnoteReference w:id="799"/>
            </w:r>
            <w:r w:rsidRPr="00EC1FBB">
              <w:rPr>
                <w:rFonts w:asciiTheme="majorBidi" w:eastAsia="Times New Roman" w:hAnsiTheme="majorBidi" w:cstheme="majorBidi"/>
                <w:lang w:eastAsia="fr-CH"/>
              </w:rPr>
              <w:t>. Ils adorent, hors de Dieu, ce dont il n'a fait descendre aucun argument d'autorité,</w:t>
            </w:r>
            <w:r w:rsidRPr="00EC1FBB">
              <w:rPr>
                <w:rFonts w:asciiTheme="majorBidi" w:eastAsia="Times New Roman" w:hAnsiTheme="majorBidi" w:cstheme="majorBidi"/>
                <w:color w:val="FF0000"/>
                <w:vertAlign w:val="superscript"/>
                <w:lang w:eastAsia="fr-CH"/>
              </w:rPr>
              <w:t>T1</w:t>
            </w:r>
            <w:r w:rsidRPr="00EC1FBB">
              <w:rPr>
                <w:rFonts w:asciiTheme="majorBidi" w:eastAsia="Times New Roman" w:hAnsiTheme="majorBidi" w:cstheme="majorBidi"/>
                <w:lang w:eastAsia="fr-CH"/>
              </w:rPr>
              <w:t xml:space="preserve"> et ce dont ils n'ont aucune connaissance. Les oppresseurs n'auront pas de secoureur.</w:t>
            </w:r>
          </w:p>
        </w:tc>
        <w:tc>
          <w:tcPr>
            <w:tcW w:w="2500" w:type="pct"/>
            <w:hideMark/>
          </w:tcPr>
          <w:p w14:paraId="12AF5D3D"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2"/>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1" w:char="F09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C"/>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59"/>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D"/>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C"/>
            </w:r>
            <w:r w:rsidRPr="00EC1FBB">
              <w:rPr>
                <w:rFonts w:asciiTheme="majorBidi" w:eastAsia="Times New Roman" w:hAnsiTheme="majorBidi" w:cstheme="majorBidi"/>
                <w:color w:val="000000"/>
                <w:lang w:eastAsia="fr-CH"/>
              </w:rPr>
              <w:sym w:font="HQPB5" w:char="F06D"/>
            </w:r>
            <w:r w:rsidRPr="00EC1FBB">
              <w:rPr>
                <w:rFonts w:asciiTheme="majorBidi" w:eastAsia="Times New Roman" w:hAnsiTheme="majorBidi" w:cstheme="majorBidi"/>
                <w:color w:val="000000"/>
                <w:lang w:eastAsia="fr-CH"/>
              </w:rPr>
              <w:sym w:font="HQPB2" w:char="F03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8"/>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3E"/>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E0"/>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52"/>
            </w:r>
          </w:p>
        </w:tc>
      </w:tr>
      <w:tr w:rsidR="00F324A5" w:rsidRPr="00EC1FBB" w14:paraId="1E867464" w14:textId="77777777" w:rsidTr="009C3BB9">
        <w:trPr>
          <w:cantSplit/>
        </w:trPr>
        <w:tc>
          <w:tcPr>
            <w:tcW w:w="2500" w:type="pct"/>
            <w:hideMark/>
          </w:tcPr>
          <w:p w14:paraId="37FB0C02"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103/22:72</w:t>
            </w:r>
            <w:r w:rsidRPr="00EC1FBB">
              <w:rPr>
                <w:rFonts w:asciiTheme="majorBidi" w:eastAsia="Times New Roman" w:hAnsiTheme="majorBidi" w:cstheme="majorBidi"/>
                <w:color w:val="FF0000"/>
                <w:vertAlign w:val="superscript"/>
                <w:lang w:eastAsia="fr-CH"/>
              </w:rPr>
              <w:footnoteReference w:id="800"/>
            </w:r>
            <w:r w:rsidRPr="00EC1FBB">
              <w:rPr>
                <w:rFonts w:asciiTheme="majorBidi" w:eastAsia="Times New Roman" w:hAnsiTheme="majorBidi" w:cstheme="majorBidi"/>
                <w:lang w:eastAsia="fr-CH"/>
              </w:rPr>
              <w:t>. Lorsque nos signes manifestes leur sont récités, tu reconnais la répugnance sur les faces de ceux qui ont mécru. Ils ont failli se jeter sur ceux qui leur récitent nos signes. Dis: "Vous informerai-je de quelque chose de pire que cela? Le feu! Dieu l'a promis à ceux qui ont mécru. Quelle détestable destination!"</w:t>
            </w:r>
          </w:p>
        </w:tc>
        <w:tc>
          <w:tcPr>
            <w:tcW w:w="2500" w:type="pct"/>
            <w:hideMark/>
          </w:tcPr>
          <w:p w14:paraId="350867E4"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B"/>
            </w:r>
            <w:r w:rsidRPr="00EC1FBB">
              <w:rPr>
                <w:rFonts w:asciiTheme="majorBidi" w:eastAsia="Times New Roman" w:hAnsiTheme="majorBidi" w:cstheme="majorBidi"/>
                <w:color w:val="000000"/>
                <w:lang w:eastAsia="fr-CH"/>
              </w:rPr>
              <w:sym w:font="HQPB1" w:char="F04D"/>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8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A"/>
            </w:r>
            <w:r w:rsidRPr="00EC1FBB">
              <w:rPr>
                <w:rFonts w:asciiTheme="majorBidi" w:eastAsia="Times New Roman" w:hAnsiTheme="majorBidi" w:cstheme="majorBidi"/>
                <w:color w:val="000000"/>
                <w:lang w:eastAsia="fr-CH"/>
              </w:rPr>
              <w:sym w:font="HQPB3" w:char="F092"/>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5"/>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FF0000"/>
                <w:vertAlign w:val="superscript"/>
                <w:rtl/>
                <w:lang w:eastAsia="fr-CH"/>
              </w:rPr>
              <w:t> 2</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A5"/>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4" w:char="F06D"/>
            </w:r>
            <w:r w:rsidRPr="00EC1FBB">
              <w:rPr>
                <w:rFonts w:asciiTheme="majorBidi" w:eastAsia="Times New Roman" w:hAnsiTheme="majorBidi" w:cstheme="majorBidi"/>
                <w:color w:val="000000"/>
                <w:lang w:eastAsia="fr-CH"/>
              </w:rPr>
              <w:sym w:font="HQPB1" w:char="F03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4" w:char="F0E9"/>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9"/>
            </w:r>
            <w:r w:rsidRPr="00EC1FBB">
              <w:rPr>
                <w:rFonts w:asciiTheme="majorBidi" w:eastAsia="Times New Roman" w:hAnsiTheme="majorBidi" w:cstheme="majorBidi"/>
                <w:color w:val="000000"/>
                <w:lang w:eastAsia="fr-CH"/>
              </w:rPr>
              <w:sym w:font="HQPB4" w:char="F068"/>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B1"/>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30"/>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D"/>
            </w:r>
            <w:r w:rsidRPr="00EC1FBB">
              <w:rPr>
                <w:rFonts w:asciiTheme="majorBidi" w:eastAsia="Times New Roman" w:hAnsiTheme="majorBidi" w:cstheme="majorBidi"/>
                <w:color w:val="000000"/>
                <w:lang w:eastAsia="fr-CH"/>
              </w:rPr>
              <w:sym w:font="HQPB1" w:char="F0A7"/>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A9"/>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53C3BEB7" w14:textId="77777777" w:rsidTr="009C3BB9">
        <w:trPr>
          <w:cantSplit/>
        </w:trPr>
        <w:tc>
          <w:tcPr>
            <w:tcW w:w="2500" w:type="pct"/>
            <w:hideMark/>
          </w:tcPr>
          <w:p w14:paraId="272BDCA6"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103/22:73</w:t>
            </w:r>
            <w:r w:rsidRPr="00EC1FBB">
              <w:rPr>
                <w:rFonts w:asciiTheme="majorBidi" w:eastAsia="Times New Roman" w:hAnsiTheme="majorBidi" w:cstheme="majorBidi"/>
                <w:color w:val="FF0000"/>
                <w:vertAlign w:val="superscript"/>
                <w:lang w:eastAsia="fr-CH"/>
              </w:rPr>
              <w:footnoteReference w:id="801"/>
            </w:r>
            <w:r w:rsidRPr="00EC1FBB">
              <w:rPr>
                <w:rFonts w:asciiTheme="majorBidi" w:eastAsia="Times New Roman" w:hAnsiTheme="majorBidi" w:cstheme="majorBidi"/>
                <w:lang w:eastAsia="fr-CH"/>
              </w:rPr>
              <w:t>. Ô humains! On cite un exemple, écoutez-le: "Ceux que vous appelez hors de Dieu ne sauraient même pas créer une mouche, quand même ils s'uniraient pour cela. Et si la mouche leur dérobe quelque chose, ils ne sauraient la sauver d'elle. Le solliciteur et le sollicité sont faibles!"</w:t>
            </w:r>
          </w:p>
        </w:tc>
        <w:tc>
          <w:tcPr>
            <w:tcW w:w="2500" w:type="pct"/>
            <w:hideMark/>
          </w:tcPr>
          <w:p w14:paraId="58BC883F"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D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57"/>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3" w:char="F02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8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8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5C"/>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8C"/>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C"/>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5"/>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3A"/>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97"/>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5C"/>
            </w:r>
            <w:r w:rsidRPr="00EC1FBB">
              <w:rPr>
                <w:rFonts w:asciiTheme="majorBidi" w:eastAsia="Times New Roman" w:hAnsiTheme="majorBidi" w:cstheme="majorBidi"/>
                <w:color w:val="000000"/>
                <w:lang w:eastAsia="fr-CH"/>
              </w:rPr>
              <w:sym w:font="HQPB2" w:char="F0AB"/>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E"/>
            </w:r>
            <w:r w:rsidRPr="00EC1FBB">
              <w:rPr>
                <w:rFonts w:asciiTheme="majorBidi" w:eastAsia="Times New Roman" w:hAnsiTheme="majorBidi" w:cstheme="majorBidi"/>
                <w:color w:val="000000"/>
                <w:lang w:eastAsia="fr-CH"/>
              </w:rPr>
              <w:sym w:font="HQPB2" w:char="F077"/>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4" w:char="F0C9"/>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5" w:char="F06F"/>
            </w:r>
            <w:r w:rsidRPr="00EC1FBB">
              <w:rPr>
                <w:rFonts w:asciiTheme="majorBidi" w:eastAsia="Times New Roman" w:hAnsiTheme="majorBidi" w:cstheme="majorBidi"/>
                <w:color w:val="000000"/>
                <w:lang w:eastAsia="fr-CH"/>
              </w:rPr>
              <w:sym w:font="HQPB2" w:char="F08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6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23"/>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C"/>
            </w:r>
            <w:r w:rsidRPr="00EC1FBB">
              <w:rPr>
                <w:rFonts w:asciiTheme="majorBidi" w:eastAsia="Times New Roman" w:hAnsiTheme="majorBidi" w:cstheme="majorBidi"/>
                <w:color w:val="000000"/>
                <w:lang w:eastAsia="fr-CH"/>
              </w:rPr>
              <w:sym w:font="HQPB1" w:char="F0C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D"/>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C"/>
            </w:r>
            <w:r w:rsidRPr="00EC1FBB">
              <w:rPr>
                <w:rFonts w:asciiTheme="majorBidi" w:eastAsia="Times New Roman" w:hAnsiTheme="majorBidi" w:cstheme="majorBidi"/>
                <w:color w:val="000000"/>
                <w:lang w:eastAsia="fr-CH"/>
              </w:rPr>
              <w:sym w:font="HQPB1" w:char="F03E"/>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p>
        </w:tc>
      </w:tr>
      <w:tr w:rsidR="00F324A5" w:rsidRPr="00EC1FBB" w14:paraId="73A129AC" w14:textId="77777777" w:rsidTr="009C3BB9">
        <w:trPr>
          <w:cantSplit/>
        </w:trPr>
        <w:tc>
          <w:tcPr>
            <w:tcW w:w="2500" w:type="pct"/>
            <w:hideMark/>
          </w:tcPr>
          <w:p w14:paraId="1778468E"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103/22:74. Ils n'ont pas mesuré Dieu comme il doit être mesuré. Dieu est fort et fier.</w:t>
            </w:r>
          </w:p>
        </w:tc>
        <w:tc>
          <w:tcPr>
            <w:tcW w:w="2500" w:type="pct"/>
            <w:hideMark/>
          </w:tcPr>
          <w:p w14:paraId="7C37616A"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F"/>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A"/>
            </w:r>
            <w:r w:rsidRPr="00EC1FBB">
              <w:rPr>
                <w:rFonts w:asciiTheme="majorBidi" w:eastAsia="Times New Roman" w:hAnsiTheme="majorBidi" w:cstheme="majorBidi"/>
                <w:color w:val="000000"/>
                <w:lang w:eastAsia="fr-CH"/>
              </w:rPr>
              <w:sym w:font="HQPB2" w:char="F094"/>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E"/>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1" w:char="F095"/>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p>
        </w:tc>
      </w:tr>
      <w:tr w:rsidR="00F324A5" w:rsidRPr="00EC1FBB" w14:paraId="5AC394FE" w14:textId="77777777" w:rsidTr="009C3BB9">
        <w:trPr>
          <w:cantSplit/>
        </w:trPr>
        <w:tc>
          <w:tcPr>
            <w:tcW w:w="2500" w:type="pct"/>
            <w:hideMark/>
          </w:tcPr>
          <w:p w14:paraId="08C8A998"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103/22:75. Dieu choisit des envoyés parmi les anges et parmi les humains. Dieu est écouteur, clairvoyant.</w:t>
            </w:r>
          </w:p>
        </w:tc>
        <w:tc>
          <w:tcPr>
            <w:tcW w:w="2500" w:type="pct"/>
            <w:hideMark/>
          </w:tcPr>
          <w:p w14:paraId="151ED44F"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5" w:char="F0AA"/>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2" w:char="F022"/>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DC"/>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C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70"/>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B4"/>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57"/>
            </w:r>
            <w:r w:rsidRPr="00EC1FBB">
              <w:rPr>
                <w:rFonts w:asciiTheme="majorBidi" w:eastAsia="Times New Roman" w:hAnsiTheme="majorBidi" w:cstheme="majorBidi"/>
                <w:color w:val="000000"/>
                <w:lang w:eastAsia="fr-CH"/>
              </w:rPr>
              <w:sym w:font="HQPB2" w:char="F078"/>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C6"/>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9E"/>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9"/>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7"/>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p>
        </w:tc>
      </w:tr>
    </w:tbl>
    <w:p w14:paraId="1C37BA41" w14:textId="77777777" w:rsidR="00F324A5" w:rsidRPr="00EC1FBB" w:rsidRDefault="00F324A5" w:rsidP="00F324A5">
      <w:pPr>
        <w:keepLines/>
        <w:ind w:right="68"/>
        <w:contextualSpacing/>
        <w:jc w:val="both"/>
        <w:rPr>
          <w:rFonts w:asciiTheme="majorBidi" w:eastAsia="Times New Roman" w:hAnsiTheme="majorBidi" w:cstheme="majorBidi"/>
          <w:bCs/>
          <w:lang w:eastAsia="fr-CH"/>
        </w:rPr>
      </w:pPr>
    </w:p>
    <w:tbl>
      <w:tblPr>
        <w:tblW w:w="5000" w:type="pct"/>
        <w:tblLook w:val="01E0" w:firstRow="1" w:lastRow="1" w:firstColumn="1" w:lastColumn="1" w:noHBand="0" w:noVBand="0"/>
      </w:tblPr>
      <w:tblGrid>
        <w:gridCol w:w="4788"/>
        <w:gridCol w:w="4788"/>
      </w:tblGrid>
      <w:tr w:rsidR="00F324A5" w:rsidRPr="00EC1FBB" w14:paraId="577C0B03" w14:textId="77777777" w:rsidTr="009C3BB9">
        <w:trPr>
          <w:cantSplit/>
        </w:trPr>
        <w:tc>
          <w:tcPr>
            <w:tcW w:w="2500" w:type="pct"/>
            <w:hideMark/>
          </w:tcPr>
          <w:p w14:paraId="20F10B42"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103/22:76</w:t>
            </w:r>
            <w:r w:rsidRPr="00EC1FBB">
              <w:rPr>
                <w:rFonts w:asciiTheme="majorBidi" w:eastAsia="Times New Roman" w:hAnsiTheme="majorBidi" w:cstheme="majorBidi"/>
                <w:color w:val="FF0000"/>
                <w:vertAlign w:val="superscript"/>
                <w:lang w:eastAsia="fr-CH"/>
              </w:rPr>
              <w:footnoteReference w:id="802"/>
            </w:r>
            <w:r w:rsidRPr="00EC1FBB">
              <w:rPr>
                <w:rFonts w:asciiTheme="majorBidi" w:eastAsia="Times New Roman" w:hAnsiTheme="majorBidi" w:cstheme="majorBidi"/>
                <w:lang w:eastAsia="fr-CH"/>
              </w:rPr>
              <w:t>. Il sait ce qui est devant eux et derrière eux. [Toutes] les affaires reviennent à Dieu.</w:t>
            </w:r>
          </w:p>
        </w:tc>
        <w:tc>
          <w:tcPr>
            <w:tcW w:w="2500" w:type="pct"/>
            <w:hideMark/>
          </w:tcPr>
          <w:p w14:paraId="5A49ACEE"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4" w:char="F0DE"/>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F9"/>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7A"/>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E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2"/>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57"/>
            </w:r>
            <w:r w:rsidRPr="00EC1FBB">
              <w:rPr>
                <w:rFonts w:asciiTheme="majorBidi" w:eastAsia="Times New Roman" w:hAnsiTheme="majorBidi" w:cstheme="majorBidi"/>
                <w:color w:val="000000"/>
                <w:lang w:eastAsia="fr-CH"/>
              </w:rPr>
              <w:sym w:font="HQPB2" w:char="F07B"/>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tc>
      </w:tr>
      <w:tr w:rsidR="00F324A5" w:rsidRPr="00EC1FBB" w14:paraId="1EED321A" w14:textId="77777777" w:rsidTr="009C3BB9">
        <w:trPr>
          <w:cantSplit/>
        </w:trPr>
        <w:tc>
          <w:tcPr>
            <w:tcW w:w="2500" w:type="pct"/>
            <w:hideMark/>
          </w:tcPr>
          <w:p w14:paraId="4CBF6927"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t>H-</w:t>
            </w:r>
            <w:r w:rsidRPr="00EC1FBB">
              <w:rPr>
                <w:rFonts w:asciiTheme="majorBidi" w:eastAsia="Times New Roman" w:hAnsiTheme="majorBidi" w:cstheme="majorBidi"/>
                <w:lang w:eastAsia="fr-CH"/>
              </w:rPr>
              <w:t>103/22:77. Ô vous qui avez cru! Agenouillez-vous, prosternez-vous, adorez votre Seigneur, et faites le bien. Peut-être réussirez-vous!</w:t>
            </w:r>
          </w:p>
        </w:tc>
        <w:tc>
          <w:tcPr>
            <w:tcW w:w="2500" w:type="pct"/>
            <w:hideMark/>
          </w:tcPr>
          <w:p w14:paraId="6631C8B2"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95"/>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AF"/>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8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FA"/>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3" w:char="F025"/>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32"/>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66"/>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AD"/>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91"/>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2"/>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2" w:char="F036"/>
            </w:r>
            <w:r w:rsidRPr="00EC1FBB">
              <w:rPr>
                <w:rFonts w:asciiTheme="majorBidi" w:eastAsia="Times New Roman" w:hAnsiTheme="majorBidi" w:cstheme="majorBidi"/>
                <w:color w:val="000000"/>
                <w:lang w:eastAsia="fr-CH"/>
              </w:rPr>
              <w:sym w:font="HQPB4" w:char="F0AF"/>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A"/>
            </w:r>
            <w:r w:rsidRPr="00EC1FBB">
              <w:rPr>
                <w:rFonts w:asciiTheme="majorBidi" w:eastAsia="Times New Roman" w:hAnsiTheme="majorBidi" w:cstheme="majorBidi"/>
                <w:color w:val="000000"/>
                <w:lang w:eastAsia="fr-CH"/>
              </w:rPr>
              <w:sym w:font="HQPB2" w:char="F06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73"/>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1" w:char="F0FF"/>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rtl/>
                <w:lang w:eastAsia="fr-CH"/>
              </w:rPr>
              <w:t> </w:t>
            </w:r>
            <w:r w:rsidRPr="00EC1FBB">
              <w:rPr>
                <w:rFonts w:asciiTheme="majorBidi" w:eastAsia="Times New Roman" w:hAnsiTheme="majorBidi" w:cstheme="majorBidi"/>
                <w:color w:val="000000"/>
                <w:lang w:eastAsia="fr-CH"/>
              </w:rPr>
              <w:sym w:font="HQPB4" w:char="F029"/>
            </w:r>
          </w:p>
        </w:tc>
      </w:tr>
      <w:tr w:rsidR="00F324A5" w:rsidRPr="00EC1FBB" w14:paraId="1CF149F1" w14:textId="77777777" w:rsidTr="009C3BB9">
        <w:trPr>
          <w:cantSplit/>
        </w:trPr>
        <w:tc>
          <w:tcPr>
            <w:tcW w:w="2500" w:type="pct"/>
            <w:hideMark/>
          </w:tcPr>
          <w:p w14:paraId="0CA7D655" w14:textId="77777777" w:rsidR="00F324A5" w:rsidRPr="00EC1FBB" w:rsidRDefault="00F324A5" w:rsidP="009C3BB9">
            <w:pPr>
              <w:ind w:right="68"/>
              <w:contextualSpacing/>
              <w:jc w:val="both"/>
              <w:outlineLvl w:val="7"/>
              <w:rPr>
                <w:rFonts w:asciiTheme="majorBidi" w:eastAsia="Times New Roman" w:hAnsiTheme="majorBidi" w:cstheme="majorBidi"/>
                <w:color w:val="000000"/>
                <w:lang w:eastAsia="fr-CH"/>
              </w:rPr>
            </w:pPr>
            <w:r w:rsidRPr="00EC1FBB">
              <w:rPr>
                <w:rFonts w:asciiTheme="majorBidi" w:eastAsia="Times New Roman" w:hAnsiTheme="majorBidi" w:cstheme="majorBidi"/>
                <w:b/>
                <w:color w:val="FF0000"/>
                <w:lang w:eastAsia="fr-CH"/>
              </w:rPr>
              <w:lastRenderedPageBreak/>
              <w:t>H-</w:t>
            </w:r>
            <w:r w:rsidRPr="00EC1FBB">
              <w:rPr>
                <w:rFonts w:asciiTheme="majorBidi" w:eastAsia="Times New Roman" w:hAnsiTheme="majorBidi" w:cstheme="majorBidi"/>
                <w:lang w:eastAsia="fr-CH"/>
              </w:rPr>
              <w:t>103/22:78</w:t>
            </w:r>
            <w:r w:rsidRPr="00EC1FBB">
              <w:rPr>
                <w:rFonts w:asciiTheme="majorBidi" w:eastAsia="Times New Roman" w:hAnsiTheme="majorBidi" w:cstheme="majorBidi"/>
                <w:color w:val="FF0000"/>
                <w:vertAlign w:val="superscript"/>
                <w:lang w:eastAsia="fr-CH"/>
              </w:rPr>
              <w:footnoteReference w:id="803"/>
            </w:r>
            <w:r w:rsidRPr="00EC1FBB">
              <w:rPr>
                <w:rFonts w:asciiTheme="majorBidi" w:eastAsia="Times New Roman" w:hAnsiTheme="majorBidi" w:cstheme="majorBidi"/>
                <w:lang w:eastAsia="fr-CH"/>
              </w:rPr>
              <w:t>. Luttez pour Dieu comme il doit être lutté pour lui.</w:t>
            </w:r>
            <w:r w:rsidRPr="00EC1FBB">
              <w:rPr>
                <w:rFonts w:asciiTheme="majorBidi" w:eastAsia="Times New Roman" w:hAnsiTheme="majorBidi" w:cstheme="majorBidi"/>
                <w:color w:val="FF0000"/>
                <w:vertAlign w:val="superscript"/>
                <w:lang w:eastAsia="fr-CH"/>
              </w:rPr>
              <w:t>A1</w:t>
            </w:r>
            <w:r w:rsidRPr="00EC1FBB">
              <w:rPr>
                <w:rFonts w:asciiTheme="majorBidi" w:eastAsia="Times New Roman" w:hAnsiTheme="majorBidi" w:cstheme="majorBidi"/>
                <w:lang w:eastAsia="fr-CH"/>
              </w:rPr>
              <w:t xml:space="preserve"> C'est lui qui vous a élus. Il ne vous a fait aucune gêne dans la religion, celle de votre père Abraham. C'est lui qui vous a nommés auparavant les soumis, comme dans ce [Livre], afin que l'envoyé soit témoin à l'encontre de vous, et que vous soyez témoins à l'encontre des humains. Élevez la prière, donnez l'[aumône] épuratrice et protégez-vous auprès de Dieu. Quel merveilleux allié et quel merveilleux secoureur !</w:t>
            </w:r>
          </w:p>
          <w:p w14:paraId="1DD627EA" w14:textId="77777777" w:rsidR="00F324A5" w:rsidRPr="00EC1FBB" w:rsidRDefault="00F324A5" w:rsidP="009C3BB9">
            <w:pPr>
              <w:contextualSpacing/>
              <w:rPr>
                <w:rFonts w:asciiTheme="majorBidi" w:eastAsia="Times New Roman" w:hAnsiTheme="majorBidi" w:cstheme="majorBidi"/>
                <w:lang w:eastAsia="fr-CH"/>
              </w:rPr>
            </w:pPr>
          </w:p>
        </w:tc>
        <w:tc>
          <w:tcPr>
            <w:tcW w:w="2500" w:type="pct"/>
            <w:hideMark/>
          </w:tcPr>
          <w:p w14:paraId="3BC5F5DA" w14:textId="77777777" w:rsidR="00F324A5" w:rsidRPr="00EC1FBB" w:rsidRDefault="00F324A5" w:rsidP="009C3BB9">
            <w:pPr>
              <w:ind w:right="68"/>
              <w:contextualSpacing/>
              <w:jc w:val="both"/>
              <w:rPr>
                <w:rFonts w:asciiTheme="majorBidi" w:eastAsia="Times New Roman" w:hAnsiTheme="majorBidi" w:cstheme="majorBidi"/>
                <w:color w:val="000000"/>
                <w:lang w:eastAsia="fr-CH"/>
              </w:rPr>
            </w:pP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2C"/>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BE"/>
            </w:r>
            <w:r w:rsidRPr="00EC1FBB">
              <w:rPr>
                <w:rFonts w:asciiTheme="majorBidi" w:eastAsia="Times New Roman" w:hAnsiTheme="majorBidi" w:cstheme="majorBidi"/>
                <w:color w:val="000000"/>
                <w:lang w:eastAsia="fr-CH"/>
              </w:rPr>
              <w:sym w:font="HQPB4" w:char="F0CD"/>
            </w:r>
            <w:r w:rsidRPr="00EC1FBB">
              <w:rPr>
                <w:rFonts w:asciiTheme="majorBidi" w:eastAsia="Times New Roman" w:hAnsiTheme="majorBidi" w:cstheme="majorBidi"/>
                <w:color w:val="000000"/>
                <w:lang w:eastAsia="fr-CH"/>
              </w:rPr>
              <w:sym w:font="HQPB2" w:char="F06E"/>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1" w:char="F08A"/>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3" w:char="F038"/>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1" w:char="F03B"/>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6"/>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9F"/>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5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8"/>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EF"/>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8"/>
            </w:r>
            <w:r w:rsidRPr="00EC1FBB">
              <w:rPr>
                <w:rFonts w:asciiTheme="majorBidi" w:eastAsia="Times New Roman" w:hAnsiTheme="majorBidi" w:cstheme="majorBidi"/>
                <w:color w:val="000000"/>
                <w:lang w:eastAsia="fr-CH"/>
              </w:rPr>
              <w:sym w:font="HQPB1" w:char="F06C"/>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6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3" w:char="F027"/>
            </w:r>
            <w:r w:rsidRPr="00EC1FBB">
              <w:rPr>
                <w:rFonts w:asciiTheme="majorBidi" w:eastAsia="Times New Roman" w:hAnsiTheme="majorBidi" w:cstheme="majorBidi"/>
                <w:color w:val="000000"/>
                <w:lang w:eastAsia="fr-CH"/>
              </w:rPr>
              <w:sym w:font="HQPB4" w:char="F0A9"/>
            </w:r>
            <w:r w:rsidRPr="00EC1FBB">
              <w:rPr>
                <w:rFonts w:asciiTheme="majorBidi" w:eastAsia="Times New Roman" w:hAnsiTheme="majorBidi" w:cstheme="majorBidi"/>
                <w:color w:val="000000"/>
                <w:lang w:eastAsia="fr-CH"/>
              </w:rPr>
              <w:sym w:font="HQPB3" w:char="F023"/>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4" w:char="F069"/>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lang w:eastAsia="fr-CH"/>
              </w:rPr>
              <w:sym w:font="HQPB2" w:char="F0BA"/>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FF0000"/>
                <w:vertAlign w:val="superscript"/>
                <w:rtl/>
                <w:lang w:eastAsia="fr-CH"/>
              </w:rPr>
              <w:t> 1</w:t>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3" w:char="F039"/>
            </w:r>
            <w:r w:rsidRPr="00EC1FBB">
              <w:rPr>
                <w:rFonts w:asciiTheme="majorBidi" w:eastAsia="Times New Roman" w:hAnsiTheme="majorBidi" w:cstheme="majorBidi"/>
                <w:color w:val="000000"/>
                <w:lang w:eastAsia="fr-CH"/>
              </w:rPr>
              <w:sym w:font="HQPB4" w:char="F0A3"/>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FB"/>
            </w:r>
            <w:r w:rsidRPr="00EC1FBB">
              <w:rPr>
                <w:rFonts w:asciiTheme="majorBidi" w:eastAsia="Times New Roman" w:hAnsiTheme="majorBidi" w:cstheme="majorBidi"/>
                <w:color w:val="000000"/>
                <w:lang w:eastAsia="fr-CH"/>
              </w:rPr>
              <w:sym w:font="HQPB2" w:char="F0FC"/>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1" w:char="F0A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60"/>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0"/>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1" w:char="F036"/>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FB"/>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8B"/>
            </w:r>
            <w:r w:rsidRPr="00EC1FBB">
              <w:rPr>
                <w:rFonts w:asciiTheme="majorBidi" w:eastAsia="Times New Roman" w:hAnsiTheme="majorBidi" w:cstheme="majorBidi"/>
                <w:color w:val="000000"/>
                <w:lang w:eastAsia="fr-CH"/>
              </w:rPr>
              <w:sym w:font="HQPB2" w:char="F0BB"/>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6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3"/>
            </w:r>
            <w:r w:rsidRPr="00EC1FBB">
              <w:rPr>
                <w:rFonts w:asciiTheme="majorBidi" w:eastAsia="Times New Roman" w:hAnsiTheme="majorBidi" w:cstheme="majorBidi"/>
                <w:color w:val="000000"/>
                <w:lang w:eastAsia="fr-CH"/>
              </w:rPr>
              <w:sym w:font="HQPB2" w:char="F041"/>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1" w:char="F099"/>
            </w:r>
            <w:r w:rsidRPr="00EC1FBB">
              <w:rPr>
                <w:rFonts w:asciiTheme="majorBidi" w:eastAsia="Times New Roman" w:hAnsiTheme="majorBidi" w:cstheme="majorBidi"/>
                <w:color w:val="000000"/>
                <w:lang w:eastAsia="fr-CH"/>
              </w:rPr>
              <w:sym w:font="HQPB4" w:char="F0A7"/>
            </w:r>
            <w:r w:rsidRPr="00EC1FBB">
              <w:rPr>
                <w:rFonts w:asciiTheme="majorBidi" w:eastAsia="Times New Roman" w:hAnsiTheme="majorBidi" w:cstheme="majorBidi"/>
                <w:color w:val="000000"/>
                <w:lang w:eastAsia="fr-CH"/>
              </w:rPr>
              <w:sym w:font="HQPB1" w:char="F08D"/>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4" w:char="F0B4"/>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2" w:char="F067"/>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1" w:char="F0A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3" w:char="F02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8B"/>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6"/>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21"/>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1" w:char="F089"/>
            </w:r>
            <w:r w:rsidRPr="00EC1FBB">
              <w:rPr>
                <w:rFonts w:asciiTheme="majorBidi" w:eastAsia="Times New Roman" w:hAnsiTheme="majorBidi" w:cstheme="majorBidi"/>
                <w:color w:val="000000"/>
                <w:lang w:eastAsia="fr-CH"/>
              </w:rPr>
              <w:sym w:font="HQPB5" w:char="F070"/>
            </w:r>
            <w:r w:rsidRPr="00EC1FBB">
              <w:rPr>
                <w:rFonts w:asciiTheme="majorBidi" w:eastAsia="Times New Roman" w:hAnsiTheme="majorBidi" w:cstheme="majorBidi"/>
                <w:color w:val="000000"/>
                <w:lang w:eastAsia="fr-CH"/>
              </w:rPr>
              <w:sym w:font="HQPB2" w:char="F06B"/>
            </w:r>
            <w:r w:rsidRPr="00EC1FBB">
              <w:rPr>
                <w:rFonts w:asciiTheme="majorBidi" w:eastAsia="Times New Roman" w:hAnsiTheme="majorBidi" w:cstheme="majorBidi"/>
                <w:color w:val="000000"/>
                <w:lang w:eastAsia="fr-CH"/>
              </w:rPr>
              <w:sym w:font="HQPB4" w:char="F0E0"/>
            </w:r>
            <w:r w:rsidRPr="00EC1FBB">
              <w:rPr>
                <w:rFonts w:asciiTheme="majorBidi" w:eastAsia="Times New Roman" w:hAnsiTheme="majorBidi" w:cstheme="majorBidi"/>
                <w:color w:val="000000"/>
                <w:lang w:eastAsia="fr-CH"/>
              </w:rPr>
              <w:sym w:font="HQPB1" w:char="F0AD"/>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F"/>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C4"/>
            </w:r>
            <w:r w:rsidRPr="00EC1FBB">
              <w:rPr>
                <w:rFonts w:asciiTheme="majorBidi" w:eastAsia="Times New Roman" w:hAnsiTheme="majorBidi" w:cstheme="majorBidi"/>
                <w:color w:val="000000"/>
                <w:lang w:eastAsia="fr-CH"/>
              </w:rPr>
              <w:sym w:font="HQPB1" w:char="F0A8"/>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3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2" w:char="F08A"/>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25"/>
            </w:r>
            <w:r w:rsidRPr="00EC1FBB">
              <w:rPr>
                <w:rFonts w:asciiTheme="majorBidi" w:eastAsia="Times New Roman" w:hAnsiTheme="majorBidi" w:cstheme="majorBidi"/>
                <w:color w:val="000000"/>
                <w:lang w:eastAsia="fr-CH"/>
              </w:rPr>
              <w:sym w:font="HQPB5" w:char="F072"/>
            </w:r>
            <w:r w:rsidRPr="00EC1FBB">
              <w:rPr>
                <w:rFonts w:asciiTheme="majorBidi" w:eastAsia="Times New Roman" w:hAnsiTheme="majorBidi" w:cstheme="majorBidi"/>
                <w:color w:val="000000"/>
                <w:lang w:eastAsia="fr-CH"/>
              </w:rPr>
              <w:sym w:font="HQPB1" w:char="F027"/>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D"/>
            </w:r>
            <w:r w:rsidRPr="00EC1FBB">
              <w:rPr>
                <w:rFonts w:asciiTheme="majorBidi" w:eastAsia="Times New Roman" w:hAnsiTheme="majorBidi" w:cstheme="majorBidi"/>
                <w:color w:val="000000"/>
                <w:lang w:eastAsia="fr-CH"/>
              </w:rPr>
              <w:sym w:font="HQPB4" w:char="F0A2"/>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1" w:char="F03F"/>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E4"/>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6F"/>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8"/>
            </w:r>
            <w:r w:rsidRPr="00EC1FBB">
              <w:rPr>
                <w:rFonts w:asciiTheme="majorBidi" w:eastAsia="Times New Roman" w:hAnsiTheme="majorBidi" w:cstheme="majorBidi"/>
                <w:color w:val="000000"/>
                <w:lang w:eastAsia="fr-CH"/>
              </w:rPr>
              <w:sym w:font="HQPB2" w:char="F02E"/>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1" w:char="F09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28"/>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DF"/>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1" w:char="F047"/>
            </w:r>
            <w:r w:rsidRPr="00EC1FBB">
              <w:rPr>
                <w:rFonts w:asciiTheme="majorBidi" w:eastAsia="Times New Roman" w:hAnsiTheme="majorBidi" w:cstheme="majorBidi"/>
                <w:color w:val="000000"/>
                <w:lang w:eastAsia="fr-CH"/>
              </w:rPr>
              <w:sym w:font="HQPB4" w:char="F0F4"/>
            </w:r>
            <w:r w:rsidRPr="00EC1FBB">
              <w:rPr>
                <w:rFonts w:asciiTheme="majorBidi" w:eastAsia="Times New Roman" w:hAnsiTheme="majorBidi" w:cstheme="majorBidi"/>
                <w:color w:val="000000"/>
                <w:lang w:eastAsia="fr-CH"/>
              </w:rPr>
              <w:sym w:font="HQPB1" w:char="F0E3"/>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AB"/>
            </w:r>
            <w:r w:rsidRPr="00EC1FBB">
              <w:rPr>
                <w:rFonts w:asciiTheme="majorBidi" w:eastAsia="Times New Roman" w:hAnsiTheme="majorBidi" w:cstheme="majorBidi"/>
                <w:color w:val="000000"/>
                <w:lang w:eastAsia="fr-CH"/>
              </w:rPr>
              <w:sym w:font="HQPB1" w:char="F021"/>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4"/>
            </w:r>
            <w:r w:rsidRPr="00EC1FBB">
              <w:rPr>
                <w:rFonts w:asciiTheme="majorBidi" w:eastAsia="Times New Roman" w:hAnsiTheme="majorBidi" w:cstheme="majorBidi"/>
                <w:color w:val="000000"/>
                <w:lang w:eastAsia="fr-CH"/>
              </w:rPr>
              <w:sym w:font="HQPB4" w:char="F0CE"/>
            </w:r>
            <w:r w:rsidRPr="00EC1FBB">
              <w:rPr>
                <w:rFonts w:asciiTheme="majorBidi" w:eastAsia="Times New Roman" w:hAnsiTheme="majorBidi" w:cstheme="majorBidi"/>
                <w:color w:val="000000"/>
                <w:lang w:eastAsia="fr-CH"/>
              </w:rPr>
              <w:sym w:font="HQPB1" w:char="F02F"/>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4" w:char="F0E8"/>
            </w:r>
            <w:r w:rsidRPr="00EC1FBB">
              <w:rPr>
                <w:rFonts w:asciiTheme="majorBidi" w:eastAsia="Times New Roman" w:hAnsiTheme="majorBidi" w:cstheme="majorBidi"/>
                <w:color w:val="000000"/>
                <w:lang w:eastAsia="fr-CH"/>
              </w:rPr>
              <w:sym w:font="HQPB2" w:char="F064"/>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F3"/>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E4"/>
            </w:r>
            <w:r w:rsidRPr="00EC1FBB">
              <w:rPr>
                <w:rFonts w:asciiTheme="majorBidi" w:eastAsia="Times New Roman" w:hAnsiTheme="majorBidi" w:cstheme="majorBidi"/>
                <w:color w:val="000000"/>
                <w:lang w:eastAsia="fr-CH"/>
              </w:rPr>
              <w:sym w:font="HQPB2" w:char="F033"/>
            </w:r>
            <w:r w:rsidRPr="00EC1FBB">
              <w:rPr>
                <w:rFonts w:asciiTheme="majorBidi" w:eastAsia="Times New Roman" w:hAnsiTheme="majorBidi" w:cstheme="majorBidi"/>
                <w:color w:val="000000"/>
                <w:lang w:eastAsia="fr-CH"/>
              </w:rPr>
              <w:sym w:font="HQPB3" w:char="F03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4"/>
            </w:r>
            <w:r w:rsidRPr="00EC1FBB">
              <w:rPr>
                <w:rFonts w:asciiTheme="majorBidi" w:eastAsia="Times New Roman" w:hAnsiTheme="majorBidi" w:cstheme="majorBidi"/>
                <w:color w:val="000000"/>
                <w:lang w:eastAsia="fr-CH"/>
              </w:rPr>
              <w:sym w:font="HQPB2" w:char="F04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28"/>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E"/>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9"/>
            </w:r>
            <w:r w:rsidRPr="00EC1FBB">
              <w:rPr>
                <w:rFonts w:asciiTheme="majorBidi" w:eastAsia="Times New Roman" w:hAnsiTheme="majorBidi" w:cstheme="majorBidi"/>
                <w:color w:val="000000"/>
                <w:lang w:eastAsia="fr-CH"/>
              </w:rPr>
              <w:sym w:font="HQPB5" w:char="F073"/>
            </w:r>
            <w:r w:rsidRPr="00EC1FBB">
              <w:rPr>
                <w:rFonts w:asciiTheme="majorBidi" w:eastAsia="Times New Roman" w:hAnsiTheme="majorBidi" w:cstheme="majorBidi"/>
                <w:color w:val="000000"/>
                <w:lang w:eastAsia="fr-CH"/>
              </w:rPr>
              <w:sym w:font="HQPB1" w:char="F0F9"/>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34"/>
            </w:r>
            <w:r w:rsidRPr="00EC1FBB">
              <w:rPr>
                <w:rFonts w:asciiTheme="majorBidi" w:eastAsia="Times New Roman" w:hAnsiTheme="majorBidi" w:cstheme="majorBidi"/>
                <w:color w:val="000000"/>
                <w:lang w:eastAsia="fr-CH"/>
              </w:rPr>
              <w:sym w:font="HQPB2" w:char="F092"/>
            </w:r>
            <w:r w:rsidRPr="00EC1FBB">
              <w:rPr>
                <w:rFonts w:asciiTheme="majorBidi" w:eastAsia="Times New Roman" w:hAnsiTheme="majorBidi" w:cstheme="majorBidi"/>
                <w:color w:val="000000"/>
                <w:lang w:eastAsia="fr-CH"/>
              </w:rPr>
              <w:sym w:font="HQPB5" w:char="F06E"/>
            </w:r>
            <w:r w:rsidRPr="00EC1FBB">
              <w:rPr>
                <w:rFonts w:asciiTheme="majorBidi" w:eastAsia="Times New Roman" w:hAnsiTheme="majorBidi" w:cstheme="majorBidi"/>
                <w:color w:val="000000"/>
                <w:lang w:eastAsia="fr-CH"/>
              </w:rPr>
              <w:sym w:font="HQPB2" w:char="F03C"/>
            </w:r>
            <w:r w:rsidRPr="00EC1FBB">
              <w:rPr>
                <w:rFonts w:asciiTheme="majorBidi" w:eastAsia="Times New Roman" w:hAnsiTheme="majorBidi" w:cstheme="majorBidi"/>
                <w:color w:val="000000"/>
                <w:lang w:eastAsia="fr-CH"/>
              </w:rPr>
              <w:sym w:font="HQPB4" w:char="F0F6"/>
            </w:r>
            <w:r w:rsidRPr="00EC1FBB">
              <w:rPr>
                <w:rFonts w:asciiTheme="majorBidi" w:eastAsia="Times New Roman" w:hAnsiTheme="majorBidi" w:cstheme="majorBidi"/>
                <w:color w:val="000000"/>
                <w:lang w:eastAsia="fr-CH"/>
              </w:rPr>
              <w:sym w:font="HQPB2" w:char="F071"/>
            </w:r>
            <w:r w:rsidRPr="00EC1FBB">
              <w:rPr>
                <w:rFonts w:asciiTheme="majorBidi" w:eastAsia="Times New Roman" w:hAnsiTheme="majorBidi" w:cstheme="majorBidi"/>
                <w:color w:val="000000"/>
                <w:lang w:eastAsia="fr-CH"/>
              </w:rPr>
              <w:sym w:font="HQPB5" w:char="F079"/>
            </w:r>
            <w:r w:rsidRPr="00EC1FBB">
              <w:rPr>
                <w:rFonts w:asciiTheme="majorBidi" w:eastAsia="Times New Roman" w:hAnsiTheme="majorBidi" w:cstheme="majorBidi"/>
                <w:color w:val="000000"/>
                <w:lang w:eastAsia="fr-CH"/>
              </w:rPr>
              <w:sym w:font="HQPB2" w:char="F04A"/>
            </w:r>
            <w:r w:rsidRPr="00EC1FBB">
              <w:rPr>
                <w:rFonts w:asciiTheme="majorBidi" w:eastAsia="Times New Roman" w:hAnsiTheme="majorBidi" w:cstheme="majorBidi"/>
                <w:color w:val="000000"/>
                <w:lang w:eastAsia="fr-CH"/>
              </w:rPr>
              <w:sym w:font="HQPB4" w:char="F0F8"/>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5" w:char="F07A"/>
            </w:r>
            <w:r w:rsidRPr="00EC1FBB">
              <w:rPr>
                <w:rFonts w:asciiTheme="majorBidi" w:eastAsia="Times New Roman" w:hAnsiTheme="majorBidi" w:cstheme="majorBidi"/>
                <w:color w:val="000000"/>
                <w:lang w:eastAsia="fr-CH"/>
              </w:rPr>
              <w:sym w:font="HQPB2" w:char="F04F"/>
            </w:r>
            <w:r w:rsidRPr="00EC1FBB">
              <w:rPr>
                <w:rFonts w:asciiTheme="majorBidi" w:eastAsia="Times New Roman" w:hAnsiTheme="majorBidi" w:cstheme="majorBidi"/>
                <w:color w:val="000000"/>
                <w:lang w:eastAsia="fr-CH"/>
              </w:rPr>
              <w:sym w:font="HQPB4" w:char="F0F7"/>
            </w:r>
            <w:r w:rsidRPr="00EC1FBB">
              <w:rPr>
                <w:rFonts w:asciiTheme="majorBidi" w:eastAsia="Times New Roman" w:hAnsiTheme="majorBidi" w:cstheme="majorBidi"/>
                <w:color w:val="000000"/>
                <w:lang w:eastAsia="fr-CH"/>
              </w:rPr>
              <w:sym w:font="HQPB1" w:char="F0E8"/>
            </w:r>
            <w:r w:rsidRPr="00EC1FBB">
              <w:rPr>
                <w:rFonts w:asciiTheme="majorBidi" w:eastAsia="Times New Roman" w:hAnsiTheme="majorBidi" w:cstheme="majorBidi"/>
                <w:color w:val="000000"/>
                <w:lang w:eastAsia="fr-CH"/>
              </w:rPr>
              <w:sym w:font="HQPB4" w:char="F0CF"/>
            </w:r>
            <w:r w:rsidRPr="00EC1FBB">
              <w:rPr>
                <w:rFonts w:asciiTheme="majorBidi" w:eastAsia="Times New Roman" w:hAnsiTheme="majorBidi" w:cstheme="majorBidi"/>
                <w:color w:val="000000"/>
                <w:lang w:eastAsia="fr-CH"/>
              </w:rPr>
              <w:sym w:font="HQPB2" w:char="F052"/>
            </w:r>
            <w:r w:rsidRPr="00EC1FBB">
              <w:rPr>
                <w:rFonts w:asciiTheme="majorBidi" w:eastAsia="Times New Roman" w:hAnsiTheme="majorBidi" w:cstheme="majorBidi"/>
                <w:color w:val="000000"/>
                <w:lang w:eastAsia="fr-CH"/>
              </w:rPr>
              <w:sym w:font="HQPB5" w:char="F075"/>
            </w:r>
            <w:r w:rsidRPr="00EC1FBB">
              <w:rPr>
                <w:rFonts w:asciiTheme="majorBidi" w:eastAsia="Times New Roman" w:hAnsiTheme="majorBidi" w:cstheme="majorBidi"/>
                <w:color w:val="000000"/>
                <w:lang w:eastAsia="fr-CH"/>
              </w:rPr>
              <w:sym w:font="HQPB2" w:char="F072"/>
            </w:r>
            <w:r w:rsidRPr="00EC1FBB">
              <w:rPr>
                <w:rFonts w:asciiTheme="majorBidi" w:eastAsia="Times New Roman" w:hAnsiTheme="majorBidi" w:cstheme="majorBidi"/>
                <w:color w:val="000000"/>
                <w:rtl/>
                <w:lang w:eastAsia="fr-CH"/>
              </w:rPr>
              <w:t xml:space="preserve"> </w:t>
            </w:r>
            <w:r w:rsidRPr="00EC1FBB">
              <w:rPr>
                <w:rFonts w:asciiTheme="majorBidi" w:eastAsia="Times New Roman" w:hAnsiTheme="majorBidi" w:cstheme="majorBidi"/>
                <w:color w:val="000000"/>
                <w:lang w:eastAsia="fr-CH"/>
              </w:rPr>
              <w:sym w:font="HQPB4" w:char="F0E7"/>
            </w:r>
            <w:r w:rsidRPr="00EC1FBB">
              <w:rPr>
                <w:rFonts w:asciiTheme="majorBidi" w:eastAsia="Times New Roman" w:hAnsiTheme="majorBidi" w:cstheme="majorBidi"/>
                <w:color w:val="000000"/>
                <w:lang w:eastAsia="fr-CH"/>
              </w:rPr>
              <w:sym w:font="HQPB1" w:char="F08E"/>
            </w:r>
            <w:r w:rsidRPr="00EC1FBB">
              <w:rPr>
                <w:rFonts w:asciiTheme="majorBidi" w:eastAsia="Times New Roman" w:hAnsiTheme="majorBidi" w:cstheme="majorBidi"/>
                <w:color w:val="000000"/>
                <w:lang w:eastAsia="fr-CH"/>
              </w:rPr>
              <w:sym w:font="HQPB2" w:char="F08D"/>
            </w:r>
            <w:r w:rsidRPr="00EC1FBB">
              <w:rPr>
                <w:rFonts w:asciiTheme="majorBidi" w:eastAsia="Times New Roman" w:hAnsiTheme="majorBidi" w:cstheme="majorBidi"/>
                <w:color w:val="000000"/>
                <w:lang w:eastAsia="fr-CH"/>
              </w:rPr>
              <w:sym w:font="HQPB4" w:char="F0C5"/>
            </w:r>
            <w:r w:rsidRPr="00EC1FBB">
              <w:rPr>
                <w:rFonts w:asciiTheme="majorBidi" w:eastAsia="Times New Roman" w:hAnsiTheme="majorBidi" w:cstheme="majorBidi"/>
                <w:color w:val="000000"/>
                <w:lang w:eastAsia="fr-CH"/>
              </w:rPr>
              <w:sym w:font="HQPB1" w:char="F0C1"/>
            </w:r>
            <w:r w:rsidRPr="00EC1FBB">
              <w:rPr>
                <w:rFonts w:asciiTheme="majorBidi" w:eastAsia="Times New Roman" w:hAnsiTheme="majorBidi" w:cstheme="majorBidi"/>
                <w:color w:val="000000"/>
                <w:lang w:eastAsia="fr-CH"/>
              </w:rPr>
              <w:sym w:font="HQPB4" w:char="F0A8"/>
            </w:r>
            <w:r w:rsidRPr="00EC1FBB">
              <w:rPr>
                <w:rFonts w:asciiTheme="majorBidi" w:eastAsia="Times New Roman" w:hAnsiTheme="majorBidi" w:cstheme="majorBidi"/>
                <w:color w:val="000000"/>
                <w:lang w:eastAsia="fr-CH"/>
              </w:rPr>
              <w:sym w:font="HQPB2" w:char="F05A"/>
            </w:r>
            <w:r w:rsidRPr="00EC1FBB">
              <w:rPr>
                <w:rFonts w:asciiTheme="majorBidi" w:eastAsia="Times New Roman" w:hAnsiTheme="majorBidi" w:cstheme="majorBidi"/>
                <w:color w:val="000000"/>
                <w:lang w:eastAsia="fr-CH"/>
              </w:rPr>
              <w:sym w:font="HQPB2" w:char="F039"/>
            </w:r>
            <w:r w:rsidRPr="00EC1FBB">
              <w:rPr>
                <w:rFonts w:asciiTheme="majorBidi" w:eastAsia="Times New Roman" w:hAnsiTheme="majorBidi" w:cstheme="majorBidi"/>
                <w:color w:val="000000"/>
                <w:lang w:eastAsia="fr-CH"/>
              </w:rPr>
              <w:sym w:font="HQPB5" w:char="F024"/>
            </w:r>
            <w:r w:rsidRPr="00EC1FBB">
              <w:rPr>
                <w:rFonts w:asciiTheme="majorBidi" w:eastAsia="Times New Roman" w:hAnsiTheme="majorBidi" w:cstheme="majorBidi"/>
                <w:color w:val="000000"/>
                <w:lang w:eastAsia="fr-CH"/>
              </w:rPr>
              <w:sym w:font="HQPB1" w:char="F023"/>
            </w:r>
          </w:p>
          <w:p w14:paraId="34758EBA" w14:textId="77777777" w:rsidR="00F324A5" w:rsidRPr="00EC1FBB" w:rsidRDefault="00F324A5" w:rsidP="009C3BB9">
            <w:pPr>
              <w:ind w:right="68"/>
              <w:contextualSpacing/>
              <w:jc w:val="both"/>
              <w:rPr>
                <w:rFonts w:asciiTheme="majorBidi" w:eastAsia="Times New Roman" w:hAnsiTheme="majorBidi" w:cstheme="majorBidi"/>
                <w:bCs/>
                <w:color w:val="000000"/>
                <w:lang w:eastAsia="fr-CH"/>
              </w:rPr>
            </w:pPr>
          </w:p>
        </w:tc>
      </w:tr>
    </w:tbl>
    <w:p w14:paraId="6FAE6A41" w14:textId="77777777" w:rsidR="00F324A5" w:rsidRPr="00EC1FBB" w:rsidRDefault="00F324A5" w:rsidP="00F324A5">
      <w:pPr>
        <w:shd w:val="clear" w:color="auto" w:fill="5F5F5F"/>
        <w:tabs>
          <w:tab w:val="left" w:pos="5130"/>
        </w:tabs>
        <w:spacing w:before="600" w:after="100" w:afterAutospacing="1"/>
        <w:ind w:right="67"/>
        <w:contextualSpacing/>
        <w:outlineLvl w:val="0"/>
        <w:rPr>
          <w:rFonts w:asciiTheme="majorBidi" w:hAnsiTheme="majorBidi" w:cstheme="majorBidi"/>
        </w:rPr>
      </w:pPr>
    </w:p>
    <w:p w14:paraId="112F394D" w14:textId="77777777" w:rsidR="00F324A5" w:rsidRPr="00EC1FBB" w:rsidRDefault="00F324A5" w:rsidP="00F324A5">
      <w:pPr>
        <w:contextualSpacing/>
        <w:jc w:val="both"/>
        <w:rPr>
          <w:rFonts w:asciiTheme="majorBidi" w:eastAsia="Calibri" w:hAnsiTheme="majorBidi" w:cstheme="majorBidi"/>
          <w:lang w:bidi="ar-AE"/>
        </w:rPr>
      </w:pPr>
      <w:r w:rsidRPr="00EC1FBB">
        <w:rPr>
          <w:rFonts w:asciiTheme="majorBidi" w:eastAsia="Calibri" w:hAnsiTheme="majorBidi" w:cstheme="majorBidi"/>
          <w:lang w:bidi="ar-AE"/>
        </w:rPr>
        <w:br w:type="page"/>
      </w:r>
    </w:p>
    <w:p w14:paraId="5BB5F1D9" w14:textId="77777777" w:rsidR="00F324A5" w:rsidRPr="00EC1FBB" w:rsidRDefault="00F324A5" w:rsidP="00F324A5">
      <w:pPr>
        <w:contextualSpacing/>
        <w:jc w:val="both"/>
        <w:rPr>
          <w:rFonts w:asciiTheme="majorBidi" w:eastAsia="Calibri" w:hAnsiTheme="majorBidi" w:cstheme="majorBidi"/>
          <w:lang w:bidi="ar-AE"/>
        </w:rPr>
      </w:pPr>
    </w:p>
    <w:p w14:paraId="6E0BF87B"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Malek Chebel</w:t>
      </w:r>
      <w:r>
        <w:rPr>
          <w:rStyle w:val="Appelnotedebasdep"/>
          <w:rFonts w:asciiTheme="majorBidi" w:eastAsia="Times New Roman" w:hAnsiTheme="majorBidi" w:cstheme="majorBidi"/>
          <w:b/>
          <w:bCs/>
        </w:rPr>
        <w:footnoteReference w:id="804"/>
      </w:r>
      <w:r w:rsidRPr="00EC1FBB">
        <w:rPr>
          <w:rFonts w:asciiTheme="majorBidi" w:eastAsia="Times New Roman" w:hAnsiTheme="majorBidi" w:cstheme="majorBidi"/>
          <w:b/>
          <w:bCs/>
        </w:rPr>
        <w:t xml:space="preserve"> (2009)</w:t>
      </w:r>
    </w:p>
    <w:p w14:paraId="5C48810A"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Sourate XXII</w:t>
      </w:r>
    </w:p>
    <w:p w14:paraId="648B4E4C" w14:textId="77777777" w:rsidR="00F324A5" w:rsidRPr="00EC1FBB" w:rsidRDefault="00BA118B" w:rsidP="00F324A5">
      <w:pPr>
        <w:contextualSpacing/>
        <w:jc w:val="center"/>
        <w:rPr>
          <w:rFonts w:asciiTheme="majorBidi" w:hAnsiTheme="majorBidi" w:cstheme="majorBidi"/>
        </w:rPr>
      </w:pPr>
      <w:r>
        <w:rPr>
          <w:rFonts w:asciiTheme="majorBidi" w:hAnsiTheme="majorBidi" w:cstheme="majorBidi"/>
          <w:noProof/>
          <w:lang w:eastAsia="en-US"/>
        </w:rPr>
        <w:pict w14:anchorId="7C0502C2">
          <v:line id="_x0000_s1027" alt="" style="position:absolute;left:0;text-align:left;z-index:251658240;mso-wrap-edited:f;mso-width-percent:0;mso-height-percent:0;mso-width-percent:0;mso-height-percent:0" from="159.55pt,9.25pt" to="296.35pt,9.25pt" o:allowincell="f"/>
        </w:pict>
      </w:r>
    </w:p>
    <w:p w14:paraId="4F47A881"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Le pèlerinage (Al-Hajj)</w:t>
      </w:r>
    </w:p>
    <w:p w14:paraId="0B18301D"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Révélée à Médine, 78 versets</w:t>
      </w:r>
    </w:p>
    <w:p w14:paraId="39FA7472"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Au nom d’Allah, le Clément, le Miséricordieux</w:t>
      </w:r>
    </w:p>
    <w:p w14:paraId="5851FDD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Ô vous, les hommes, craignez votre Seigneur, car le jour où le séisme de l’Heure se produira, ce sera quelque chose d’immense. </w:t>
      </w:r>
    </w:p>
    <w:p w14:paraId="5C835B45"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Lorsque vous verrez ce séisme, vous verrez fuir la femme allaitant son enfant et toute femelle enceinte déposera son faix sans l’avoir voulu ; tu verras des gens ivres alors qu’ils n’auront pas bu. De fait, le châtiment d’Allah sera terrible ! </w:t>
      </w:r>
    </w:p>
    <w:p w14:paraId="36515B2E"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Et il est des hommes qui controversent au sujet d’Allah, alors même qu’ils manquent de connaissance et suivent chaque démon dans sa folie. </w:t>
      </w:r>
    </w:p>
    <w:p w14:paraId="6A23C9E0"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 est écrit que celui qui sert de tuteur au ratiocineur, [Dieu] lui fera perdre son chemin et l’égarera pour le jeter dans le brasier infernal. </w:t>
      </w:r>
    </w:p>
    <w:p w14:paraId="7A04923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Ô vous les hommes, si vous êtes dans le doute en matière de résurrection, sachez que Nous vous avons créés de poussière, puis d’une goutte de sperme, puis d’une petite adhérence, puis d’un grumeau de chair à la fois précis et encore indéterminé, afin que Nous vous montrions [ce dont Nous sommes capable]. Nous déposons dans les matrices ce que Nous voulons, et cela jusqu’à une période précise, puis Nous vous faisons naître comme petits enfants, avant d’atteindre votre maturité</w:t>
      </w:r>
      <w:r w:rsidRPr="00EC1FBB">
        <w:rPr>
          <w:rStyle w:val="Appelnotedebasdep"/>
          <w:rFonts w:asciiTheme="majorBidi" w:hAnsiTheme="majorBidi" w:cstheme="majorBidi"/>
        </w:rPr>
        <w:footnoteReference w:id="805"/>
      </w:r>
      <w:r w:rsidRPr="00EC1FBB">
        <w:rPr>
          <w:rFonts w:asciiTheme="majorBidi" w:hAnsiTheme="majorBidi" w:cstheme="majorBidi"/>
        </w:rPr>
        <w:t xml:space="preserve">. Il y a ceux d’entre vous qui meurent et d’autres qui sont laissés pour compte jusqu’à un âge où ils seront humiliés au point de ne plus rien savoir de ce qu’ils auront acquis. Tu verras la terre desséchée et stérile, mais dès lors qu’une eau descendue du ciel l’arrosera, elle s’éveillera soudain, s’ébrouera, enflera de ce qu’elle porte et donnera naissance à de luxuriants couples de végétaux. </w:t>
      </w:r>
    </w:p>
    <w:p w14:paraId="1C6AC4F1"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En tout cela, Allah est la Vérité. Il ressuscite les morts, car il est Tout-Puissant. </w:t>
      </w:r>
    </w:p>
    <w:p w14:paraId="47120D6B"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Car l’Heure se produira, il n’y a aucun doute là-dessus. Allah rappellera ceux qui sont dans leurs tombes. </w:t>
      </w:r>
    </w:p>
    <w:p w14:paraId="1A99A0BC"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Il est parmi les hommes des gens qui entretiennent des controverses au sujet d’Allah sans disposer de la science nécessaire, ni de la bonne orientation</w:t>
      </w:r>
      <w:r w:rsidRPr="00EC1FBB">
        <w:rPr>
          <w:rStyle w:val="Appelnotedebasdep"/>
          <w:rFonts w:asciiTheme="majorBidi" w:hAnsiTheme="majorBidi" w:cstheme="majorBidi"/>
        </w:rPr>
        <w:footnoteReference w:id="806"/>
      </w:r>
      <w:r w:rsidRPr="00EC1FBB">
        <w:rPr>
          <w:rFonts w:asciiTheme="majorBidi" w:hAnsiTheme="majorBidi" w:cstheme="majorBidi"/>
        </w:rPr>
        <w:t>, ni d’un livre de lumière</w:t>
      </w:r>
      <w:r w:rsidRPr="00EC1FBB">
        <w:rPr>
          <w:rStyle w:val="Appelnotedebasdep"/>
          <w:rFonts w:asciiTheme="majorBidi" w:hAnsiTheme="majorBidi" w:cstheme="majorBidi"/>
        </w:rPr>
        <w:footnoteReference w:id="807"/>
      </w:r>
      <w:r w:rsidRPr="00EC1FBB">
        <w:rPr>
          <w:rFonts w:asciiTheme="majorBidi" w:hAnsiTheme="majorBidi" w:cstheme="majorBidi"/>
        </w:rPr>
        <w:t>.</w:t>
      </w:r>
    </w:p>
    <w:p w14:paraId="12B7FE21"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Il se rebiffe par ostentation, et cela afin de détourner les bons croyants de la voie d’Allah. Celui-là sera avili en cette terre et goûtera aux tourments du brasier</w:t>
      </w:r>
      <w:r w:rsidRPr="00EC1FBB">
        <w:rPr>
          <w:rStyle w:val="Appelnotedebasdep"/>
          <w:rFonts w:asciiTheme="majorBidi" w:hAnsiTheme="majorBidi" w:cstheme="majorBidi"/>
        </w:rPr>
        <w:footnoteReference w:id="808"/>
      </w:r>
      <w:r w:rsidRPr="00EC1FBB">
        <w:rPr>
          <w:rFonts w:asciiTheme="majorBidi" w:hAnsiTheme="majorBidi" w:cstheme="majorBidi"/>
        </w:rPr>
        <w:t xml:space="preserve"> au jour de la résurrection. </w:t>
      </w:r>
    </w:p>
    <w:p w14:paraId="379CE37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Tout cela en échange de ce que tes mains auront apporté et fourni par le passé, en sachant qu’Allah n’est pas injuste envers Ses serviteurs. </w:t>
      </w:r>
    </w:p>
    <w:p w14:paraId="18CE73BE"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lastRenderedPageBreak/>
        <w:t>Il est bien des gens qui vénèrent Allah sur le bord [d’un ravin]. S’il arrive un bien, il se sent rassuré ; s’il lui arrive un mal ou une sédition, le voilà qui bascule sur son visage</w:t>
      </w:r>
      <w:r w:rsidRPr="00EC1FBB">
        <w:rPr>
          <w:rStyle w:val="Appelnotedebasdep"/>
          <w:rFonts w:asciiTheme="majorBidi" w:hAnsiTheme="majorBidi" w:cstheme="majorBidi"/>
        </w:rPr>
        <w:footnoteReference w:id="809"/>
      </w:r>
      <w:r w:rsidRPr="00EC1FBB">
        <w:rPr>
          <w:rFonts w:asciiTheme="majorBidi" w:hAnsiTheme="majorBidi" w:cstheme="majorBidi"/>
        </w:rPr>
        <w:t>. Il perd ainsi la vie d’ici-bas et la vie future. Telle est la vraie perte ! </w:t>
      </w:r>
    </w:p>
    <w:p w14:paraId="433B060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Ils prient en dehors d’Allah des divinités qui ne leur apportent aucune nuisance, et ne leur sont d’aucune utilité. Tel est l’égarement véritable. </w:t>
      </w:r>
    </w:p>
    <w:p w14:paraId="4A62473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En somme, ils prient davantage ceux qui leur nuisent que celui qui leur veut du bien. Quel mauvais maître , quelle mauvaise compagnie ! </w:t>
      </w:r>
    </w:p>
    <w:p w14:paraId="3753675E"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Allah fera entrer ceux qui ont cru et qui se sont acquittés des œuvres pies dans des jardins où coulent des ruisseaux. Allah fait ce qu’Il veut. </w:t>
      </w:r>
    </w:p>
    <w:p w14:paraId="15B15F30"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Celui qui a pensé qu’Allah ne le sauvera ni dans la vie immédiate ni dans l’au-delà peut toujours tendre une corde vers le ciel, puis la couper, il constatera par lui-même si sa ruse dissipe sa colère. </w:t>
      </w:r>
    </w:p>
    <w:p w14:paraId="509D6657"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C’est ainsi que Nous l’avons révélé [le Coran] sous forme de versets explicites. Allah conduit dans le bon chemin celui qu’Il veut. </w:t>
      </w:r>
    </w:p>
    <w:p w14:paraId="416BF065"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Allah établira au jour de la résurrection une distinction entre ceux qui ont cru, les juifs, les chrétiens, les mages</w:t>
      </w:r>
      <w:r w:rsidRPr="00EC1FBB">
        <w:rPr>
          <w:rStyle w:val="Appelnotedebasdep"/>
          <w:rFonts w:asciiTheme="majorBidi" w:hAnsiTheme="majorBidi" w:cstheme="majorBidi"/>
        </w:rPr>
        <w:footnoteReference w:id="810"/>
      </w:r>
      <w:r w:rsidRPr="00EC1FBB">
        <w:rPr>
          <w:rFonts w:asciiTheme="majorBidi" w:hAnsiTheme="majorBidi" w:cstheme="majorBidi"/>
        </w:rPr>
        <w:t xml:space="preserve"> et ceux qui n’ayant pas cru, Lui ont associé d’autres divinités. A</w:t>
      </w:r>
      <w:r>
        <w:rPr>
          <w:rFonts w:asciiTheme="majorBidi" w:hAnsiTheme="majorBidi" w:cstheme="majorBidi"/>
        </w:rPr>
        <w:t>llah est témoin de toute chose.</w:t>
      </w:r>
    </w:p>
    <w:p w14:paraId="64F235E5"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Ne vois-tu pas que tout ce qui se trouve dans les cieux et sur terre se prosterne devant Allah ?  Ainsi que le soleil, la lune, les étoiles, les montagnes, les arbres, les animaux et une grande partie des hommes. Mais beaucoup méritent les pires tourments, car celui qui néglige Allah ne trouvera personne pour l’honorer</w:t>
      </w:r>
      <w:r w:rsidRPr="00EC1FBB">
        <w:rPr>
          <w:rStyle w:val="Appelnotedebasdep"/>
          <w:rFonts w:asciiTheme="majorBidi" w:hAnsiTheme="majorBidi" w:cstheme="majorBidi"/>
        </w:rPr>
        <w:footnoteReference w:id="811"/>
      </w:r>
      <w:r w:rsidRPr="00EC1FBB">
        <w:rPr>
          <w:rFonts w:asciiTheme="majorBidi" w:hAnsiTheme="majorBidi" w:cstheme="majorBidi"/>
        </w:rPr>
        <w:t xml:space="preserve">. Allah fait ce qu’Il veut. </w:t>
      </w:r>
    </w:p>
    <w:p w14:paraId="3B0A7EE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Deux clans adverses se querellent au sujet de leur Seigneur. Ceux qui n’ont pas cru, leurs vêtements seront façonnés dans du feu et l’on fera couler une eau bouillante sur leur tête. </w:t>
      </w:r>
    </w:p>
    <w:p w14:paraId="1CB39FFE"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De façon que leurs entrailles soient consumées, ainsi que leur peau. </w:t>
      </w:r>
    </w:p>
    <w:p w14:paraId="320D839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Et pour eux des fouets de fer. </w:t>
      </w:r>
    </w:p>
    <w:p w14:paraId="4B7E8AD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Et chaque fois qu’ils voudront sortir, au bord de l’évanouissement, ils y sont ramenés, où ils goûteront les tourments du feu. </w:t>
      </w:r>
    </w:p>
    <w:p w14:paraId="50A1BA37"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Allah fera entrer dans des jardins arrosés de ruisseaux ceux qui auront cru et accompli de bonnes œuvres. Ils porteront des bracelets d’or et de perles, tandis que leurs vêtements seront de soie. </w:t>
      </w:r>
    </w:p>
    <w:p w14:paraId="6771B4D5"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Ils ont été orientés pour n’entendre que les bonnes paroles et pour ne prendre que le chemin digne de louanges. </w:t>
      </w:r>
    </w:p>
    <w:p w14:paraId="10333BF4"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Quant à ceux qui n’ont pas cru et qui dans leur infidélité ont poussé d’autres à s’écarter de la bonne voie qui mène à Allah, les éloignant de la Mosquée sacrée</w:t>
      </w:r>
      <w:r w:rsidRPr="00EC1FBB">
        <w:rPr>
          <w:rStyle w:val="Appelnotedebasdep"/>
          <w:rFonts w:asciiTheme="majorBidi" w:hAnsiTheme="majorBidi" w:cstheme="majorBidi"/>
        </w:rPr>
        <w:footnoteReference w:id="812"/>
      </w:r>
      <w:r w:rsidRPr="00EC1FBB">
        <w:rPr>
          <w:rFonts w:asciiTheme="majorBidi" w:hAnsiTheme="majorBidi" w:cstheme="majorBidi"/>
        </w:rPr>
        <w:t xml:space="preserve">, celle-là même que Nous avons établie de manière équitable pour tous les hommes, celui qui habite à côté comme le bédouin, ceux-là donc goûteront un châtiment cruel en raison même de la profanation dont ils pourraient se rendre coupables. </w:t>
      </w:r>
    </w:p>
    <w:p w14:paraId="188FBAB0"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Nous avons assigné à Abraham un lieu précis de la Maison sacrée : Ne M’associe aucune autre divinité et fais en sorte de purifier Mon temple afin que les pèlerins y accomplissent </w:t>
      </w:r>
      <w:r w:rsidRPr="00EC1FBB">
        <w:rPr>
          <w:rFonts w:asciiTheme="majorBidi" w:hAnsiTheme="majorBidi" w:cstheme="majorBidi"/>
        </w:rPr>
        <w:lastRenderedPageBreak/>
        <w:t xml:space="preserve">leurs tours, de même ceux qui se tiennent debout, ceux qui s’inclinent et ceux qui se prosternent. </w:t>
      </w:r>
    </w:p>
    <w:p w14:paraId="5CF9AA8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Invite les hommes au pèlerinage. Ils y viendront de toute part. A pied ou sur des montures promptes à s’élancer</w:t>
      </w:r>
      <w:r w:rsidRPr="00EC1FBB">
        <w:rPr>
          <w:rStyle w:val="Appelnotedebasdep"/>
          <w:rFonts w:asciiTheme="majorBidi" w:hAnsiTheme="majorBidi" w:cstheme="majorBidi"/>
        </w:rPr>
        <w:footnoteReference w:id="813"/>
      </w:r>
      <w:r w:rsidRPr="00EC1FBB">
        <w:rPr>
          <w:rFonts w:asciiTheme="majorBidi" w:hAnsiTheme="majorBidi" w:cstheme="majorBidi"/>
        </w:rPr>
        <w:t>. Ils viennent de chaque profond défilé</w:t>
      </w:r>
      <w:r w:rsidRPr="00EC1FBB">
        <w:rPr>
          <w:rStyle w:val="Appelnotedebasdep"/>
          <w:rFonts w:asciiTheme="majorBidi" w:hAnsiTheme="majorBidi" w:cstheme="majorBidi"/>
        </w:rPr>
        <w:footnoteReference w:id="814"/>
      </w:r>
      <w:r w:rsidRPr="00EC1FBB">
        <w:rPr>
          <w:rFonts w:asciiTheme="majorBidi" w:hAnsiTheme="majorBidi" w:cstheme="majorBidi"/>
        </w:rPr>
        <w:t xml:space="preserve">. </w:t>
      </w:r>
    </w:p>
    <w:p w14:paraId="710F1C6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De toute façon qu’ils puissent voir </w:t>
      </w:r>
      <w:r w:rsidRPr="00EC1FBB">
        <w:rPr>
          <w:rFonts w:asciiTheme="majorBidi" w:hAnsiTheme="majorBidi" w:cstheme="majorBidi"/>
          <w:i/>
        </w:rPr>
        <w:t>de visu</w:t>
      </w:r>
      <w:r w:rsidRPr="00EC1FBB">
        <w:rPr>
          <w:rFonts w:asciiTheme="majorBidi" w:hAnsiTheme="majorBidi" w:cstheme="majorBidi"/>
        </w:rPr>
        <w:t xml:space="preserve"> les avantages liés à cela et qu’ils invoquent le nom d'Allah en des jours prescrits, remerciement pour les nourritures animales dont Il les a dotés. Ils mangeront la viande des bêtes et donneront aux pauvres mendiants et aux nécessiteux. </w:t>
      </w:r>
    </w:p>
    <w:p w14:paraId="6BC0CFA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Après quoi, ils mettent fin à leurs interdits, ils accomplissent les vœux qu’ils se sont donnés et ils effectuent les tours nécessaires autour du Temple antique</w:t>
      </w:r>
      <w:r w:rsidRPr="00EC1FBB">
        <w:rPr>
          <w:rStyle w:val="Appelnotedebasdep"/>
          <w:rFonts w:asciiTheme="majorBidi" w:hAnsiTheme="majorBidi" w:cstheme="majorBidi"/>
        </w:rPr>
        <w:footnoteReference w:id="815"/>
      </w:r>
      <w:r w:rsidRPr="00EC1FBB">
        <w:rPr>
          <w:rFonts w:asciiTheme="majorBidi" w:hAnsiTheme="majorBidi" w:cstheme="majorBidi"/>
        </w:rPr>
        <w:t xml:space="preserve">. </w:t>
      </w:r>
    </w:p>
    <w:p w14:paraId="5EEB9488"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C’est ainsi, quant à celui qui vénère les prescriptions d’Allah, il trouvera sa récompense auprès de son Seigneur. La chair des animaux vous a été permise, exception faite des interdictions qui vous ont été annoncées. Eloignez-vous de l’impureté des idoles autant que des paroles mensongères. </w:t>
      </w:r>
    </w:p>
    <w:p w14:paraId="0EAE1547"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Soyez sincèrement pieux envers Allah et ne lui associez aucune autre divinité, car celui qui associe d'autres dieux à Allah est comme celui qui, à la suite d’une furie céleste, est enlevé par des oiseaux ou emporté par des vents dans des endroits isolés. </w:t>
      </w:r>
    </w:p>
    <w:p w14:paraId="4772FF89"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C’est ainsi ! Celui qui glorifie les signes d’Allah s’inspire de la piété des cœurs. </w:t>
      </w:r>
    </w:p>
    <w:p w14:paraId="21C2143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Vous y trouverez des avantages jusqu’à un terme fixé, dès lors que le lieu de purification est le Temple antique. </w:t>
      </w:r>
    </w:p>
    <w:p w14:paraId="2D8D8B7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A chaque communauté, Nous avons prévu des pratiques et rituels afin que les hommes invoquent le nom d’Allah sur la bête des troupeaux que Nous leur avons donnée. Votre Dieu est un Dieu unique. A Lui, vous vous soumettez. Annonce la bonne nouvelle aux humbles</w:t>
      </w:r>
      <w:r w:rsidRPr="00EC1FBB">
        <w:rPr>
          <w:rStyle w:val="Appelnotedebasdep"/>
          <w:rFonts w:asciiTheme="majorBidi" w:hAnsiTheme="majorBidi" w:cstheme="majorBidi"/>
        </w:rPr>
        <w:footnoteReference w:id="816"/>
      </w:r>
      <w:r w:rsidRPr="00EC1FBB">
        <w:rPr>
          <w:rFonts w:asciiTheme="majorBidi" w:hAnsiTheme="majorBidi" w:cstheme="majorBidi"/>
        </w:rPr>
        <w:t xml:space="preserve">… </w:t>
      </w:r>
    </w:p>
    <w:p w14:paraId="2A2B609E"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 dont les cœurs se réjouissent lorsque le nom d’Allah est prononcé devant eux. A ceux qui ont été patients, ainsi qu’aux dévots qui s’acquittent de leurs prières et à tous ceux qui ont été dotés de quelque bien et qui en dépensent une partie. </w:t>
      </w:r>
    </w:p>
    <w:p w14:paraId="5D265CD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Les animaux ventrus</w:t>
      </w:r>
      <w:r w:rsidRPr="00EC1FBB">
        <w:rPr>
          <w:rStyle w:val="Appelnotedebasdep"/>
          <w:rFonts w:asciiTheme="majorBidi" w:hAnsiTheme="majorBidi" w:cstheme="majorBidi"/>
        </w:rPr>
        <w:footnoteReference w:id="817"/>
      </w:r>
      <w:r w:rsidRPr="00EC1FBB">
        <w:rPr>
          <w:rFonts w:asciiTheme="majorBidi" w:hAnsiTheme="majorBidi" w:cstheme="majorBidi"/>
        </w:rPr>
        <w:t xml:space="preserve"> que Nous vous avons destinés en vue d’être sacrifiés au nom d’Allah constituent un bien pour vous. Prononcez sur eux le nom d’Allah alors qu’ils sont encore en vie. Dès lors qu’ils sont abattus, mangez-en et nourrissez-en ceux qui se satisfont de peu et les nécessiteux</w:t>
      </w:r>
      <w:r w:rsidRPr="00EC1FBB">
        <w:rPr>
          <w:rStyle w:val="Appelnotedebasdep"/>
          <w:rFonts w:asciiTheme="majorBidi" w:hAnsiTheme="majorBidi" w:cstheme="majorBidi"/>
        </w:rPr>
        <w:footnoteReference w:id="818"/>
      </w:r>
      <w:r w:rsidRPr="00EC1FBB">
        <w:rPr>
          <w:rFonts w:asciiTheme="majorBidi" w:hAnsiTheme="majorBidi" w:cstheme="majorBidi"/>
        </w:rPr>
        <w:t xml:space="preserve">. C’est ainsi que Nous les avons rendus dociles pour vous servir, peut-être serez-vous reconnaissants. </w:t>
      </w:r>
    </w:p>
    <w:p w14:paraId="23C3D2CF"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Pour autant, ni leur chair ni leur sang n’ont de valeur en soi auprès d’Allah, car, pour mériter l’intérêt de Dieu, seule la crainte révérencieuse que vous exprimerez à Son égard vous sera d’un réel apport. Nous vous avons soumis ces animaux afin que vous proclamiez la gloire d’Allah pour la bonne guidance qu’Il vous a donnée. Transmets cette bonne nouvelle aux bienfaiteurs. </w:t>
      </w:r>
    </w:p>
    <w:p w14:paraId="2A7B25F8"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Allah défend ceux qui ont cru, mais Allah n’aime pas les traîtres incrédules. </w:t>
      </w:r>
    </w:p>
    <w:p w14:paraId="516C5B9B"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Permission est donnée à ceux qui combattent à la suite d’un injustice et Allah veille à leur octroyer la victoire. </w:t>
      </w:r>
    </w:p>
    <w:p w14:paraId="45033235"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lastRenderedPageBreak/>
        <w:t xml:space="preserve">A ceux qui ont été injustement chassés de leurs maisons uniquement parce qu’ils avaient dit : Notre Seigneur est Allah ! Car, si Allah n’avait pas protégé certaines personnes par rapport à d’autres, de nombreux clochers auraient été détruits, des églises, des synagogues et des mosquées où le nom d’Allah aura été tant de fois prononcé. Allah est Celui qui accorde du secours à celui qui Le défend ; Il est fort et puissant. </w:t>
      </w:r>
    </w:p>
    <w:p w14:paraId="26AA007C"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Ainsi ceux que Nous aurons établis sur terre et qui, ce faisant, observent le rituel des prières, font l'aumône, incitent au bien et récusent le mal. A Allah, cependant, est la décision finale. </w:t>
      </w:r>
    </w:p>
    <w:p w14:paraId="62E157BB"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Et si d’aventure on te traitait de menteur, sache que d’autres peuples auparavant, les peuples de Noé, de ‘Ad et de Thamoud, ont également traité leurs envoyés de menteurs. </w:t>
      </w:r>
    </w:p>
    <w:p w14:paraId="79EF9418"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De même le peuple d’Abraham et celui de Loth… </w:t>
      </w:r>
    </w:p>
    <w:p w14:paraId="771163E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…ainsi que les gens de Madian. Moïse a été traité de menteur. Mais un répit a été accordé aux infidèles, après quoi Je les ai saisis. Et de quelle manière ! </w:t>
      </w:r>
    </w:p>
    <w:p w14:paraId="7131EF60"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Que de cités injustes furent ainsi détruites ! Elles gisent maintenant sombres, abandonnées et inhabitées par leurs occupants, puits comblés et magnifiques palais déserts.</w:t>
      </w:r>
    </w:p>
    <w:p w14:paraId="23B93614"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N’ont-ils pas erré de par le monde, pour avoir des cœurs qui comprennent, des oreilles qui leur permettent d’entendre ! Ce ne sont pas les yeux qui cessent de voir, mais les cœurs qui, au sein des poitrines, sont atteints de cécité.</w:t>
      </w:r>
    </w:p>
    <w:p w14:paraId="135C6F04"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Ils te demandent de hâter le tourment ! Mais Allah n’oublie jamais Ses promesses. Un jour chez ton Seigneur équivaut à mille ans de votre comput. </w:t>
      </w:r>
    </w:p>
    <w:p w14:paraId="5C1BA67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Combien de cités injustes ont connu un long répit avant qu’elles ne soient saisies. A Moi est le retour ultime. </w:t>
      </w:r>
    </w:p>
    <w:p w14:paraId="2BCD53E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Dis : Ô vous les hommes, je suis pour vous un annonciateur explicite. </w:t>
      </w:r>
    </w:p>
    <w:p w14:paraId="7F17D13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Ceux qui ont cru et qui ont fait de bonnes actions seront pardonnés et recevront un bien immense. </w:t>
      </w:r>
    </w:p>
    <w:p w14:paraId="4FC28CE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Quant à ceux qui s’évertuent à nier Nos Signes, ils sont promis à la fournaise infernale. </w:t>
      </w:r>
    </w:p>
    <w:p w14:paraId="75A3D32D"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D’ailleurs, Nous n’avons envoyé avant toi ni prophète ni messager sans que Satan intervienne pour les décourager et ruiner leurs espoirs. Mais Allah abolit ce que le démon apporte et impose. Ses propres versets. Allah est Celui qui sait, Celui qui est sage. </w:t>
      </w:r>
    </w:p>
    <w:p w14:paraId="28E9691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Tout cela pour que Satan puisse détourner ceux qui souffrent d’un mal intérieur</w:t>
      </w:r>
      <w:r w:rsidRPr="00EC1FBB">
        <w:rPr>
          <w:rStyle w:val="Appelnotedebasdep"/>
          <w:rFonts w:asciiTheme="majorBidi" w:hAnsiTheme="majorBidi" w:cstheme="majorBidi"/>
        </w:rPr>
        <w:footnoteReference w:id="819"/>
      </w:r>
      <w:r w:rsidRPr="00EC1FBB">
        <w:rPr>
          <w:rFonts w:asciiTheme="majorBidi" w:hAnsiTheme="majorBidi" w:cstheme="majorBidi"/>
        </w:rPr>
        <w:t xml:space="preserve">. Les injustes sont dans un égarement terrible. </w:t>
      </w:r>
    </w:p>
    <w:p w14:paraId="1D70BDF8"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Que ceux, en revanche, qui ont reçu la science</w:t>
      </w:r>
      <w:r w:rsidRPr="00EC1FBB">
        <w:rPr>
          <w:rStyle w:val="Appelnotedebasdep"/>
          <w:rFonts w:asciiTheme="majorBidi" w:hAnsiTheme="majorBidi" w:cstheme="majorBidi"/>
        </w:rPr>
        <w:footnoteReference w:id="820"/>
      </w:r>
      <w:r w:rsidRPr="00EC1FBB">
        <w:rPr>
          <w:rFonts w:asciiTheme="majorBidi" w:hAnsiTheme="majorBidi" w:cstheme="majorBidi"/>
        </w:rPr>
        <w:t xml:space="preserve"> sachent qu’elle est la vérité venue de ton Seigneur à laquelle ils sont amenés à croire. Leurs cœurs seront attendris</w:t>
      </w:r>
      <w:r w:rsidRPr="00EC1FBB">
        <w:rPr>
          <w:rStyle w:val="Appelnotedebasdep"/>
          <w:rFonts w:asciiTheme="majorBidi" w:hAnsiTheme="majorBidi" w:cstheme="majorBidi"/>
        </w:rPr>
        <w:footnoteReference w:id="821"/>
      </w:r>
      <w:r w:rsidRPr="00EC1FBB">
        <w:rPr>
          <w:rFonts w:asciiTheme="majorBidi" w:hAnsiTheme="majorBidi" w:cstheme="majorBidi"/>
        </w:rPr>
        <w:t xml:space="preserve">. Mais Allah oriente ceux qui croient dans un chemin droit. </w:t>
      </w:r>
    </w:p>
    <w:p w14:paraId="09349230"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Les infidèles seront dans le doute et le scepticisme jusqu’au jour où, subitement, l’Heure les saisira, ou bien, où le jour de l’extermination les atteindra. </w:t>
      </w:r>
    </w:p>
    <w:p w14:paraId="40D8ECAA"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Ce jour-là, la puissance souveraine reviendra à Allah. Il établira une distinction entre eux. Ceux qui ont cru en Lui et qui ont accompli de bonnes œuvres seront placés dans les jardins d’Eden. </w:t>
      </w:r>
    </w:p>
    <w:p w14:paraId="5CFC1C8F"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Ceux, en revanche, qui ont été infidèles et qui n’ont pas cru en Nos signes subiront un vil tourment. </w:t>
      </w:r>
    </w:p>
    <w:p w14:paraId="4EE07BE1"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lastRenderedPageBreak/>
        <w:t xml:space="preserve">Quant à ceux qui auront émigré dans le sentier d’Allah, puis auront été tués ou simplement seront morts, ceux-là seront récompensés d’un bien immense venu d’Allah, car Allah octroie le meilleur salaire. </w:t>
      </w:r>
    </w:p>
    <w:p w14:paraId="14FD5017"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 les fera entrer en un lieu qu’ils aimeront. Allah est en effet Celui qui sait, le Magnanime. </w:t>
      </w:r>
    </w:p>
    <w:p w14:paraId="54F644AB"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Par ailleurs, celui qui riposte à la hauteur de l’outrage qu’il a subi, et si cet outrage se répète de nouveau, Allah lui portera secours et le fera vaincre. Allah est Celui qui pardonne, Celui qui efface les péchés. </w:t>
      </w:r>
    </w:p>
    <w:p w14:paraId="06B5247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Du fait même qu’Allah fait fondre la nuit dans le jour et fait fondre le jour dans la nuit. Allah est celui qui entend et qui voit. </w:t>
      </w:r>
    </w:p>
    <w:p w14:paraId="6E43F876"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Du fait aussi qu’Allah est la Vérité, tandis que toute vénération qui ne Lui est pas destinée est vouée à l’échec, Allah étant le plus élevé, le plus grand. </w:t>
      </w:r>
    </w:p>
    <w:p w14:paraId="409FB8E9"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Ne vois-tu pas qu’Allah a fait descendre du ciel une eau qui arrose la terre et qui la fait verdir ? Allah est toute bonté, Il est le plus informé. </w:t>
      </w:r>
    </w:p>
    <w:p w14:paraId="4A8587CE"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Lui appartient tout ce qui se trouve dans les cieux et sur terre. Allah est le plus fortuné, le plus digne de louanges. </w:t>
      </w:r>
    </w:p>
    <w:p w14:paraId="7FB7B669"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Ne vois-tu pas qu’Allah vous a rendu docile tout ce qui se trouve sur terre et dans le cosmos ? Grâce à Son ordre, les vaisseaux naviguent sur l’océan et n’eût été Son ordre, le ciel tomberait sur terre. Allah est indulgent pour les êtres humains. Il est le Miséricordieux. </w:t>
      </w:r>
    </w:p>
    <w:p w14:paraId="45DDCC69"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 est Celui qui vous a donné la vie, qui vous la reprend et qui vous la redonne de nouveau, mais l’homme est un ingrat. </w:t>
      </w:r>
    </w:p>
    <w:p w14:paraId="68F7B222"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 chaque communauté, Nous avons octroyé des rituels distincts et un dogme qu’elle suit. Qu’ils cessent donc de spéculer à ce sujet. Invoque ton Seigneur, tu es certes sur la voie droite. </w:t>
      </w:r>
    </w:p>
    <w:p w14:paraId="0179A1F7"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Et s’il y a contestation, tu diras qu’Allah est plus savant que vous ne l’êtes. </w:t>
      </w:r>
    </w:p>
    <w:p w14:paraId="32472B84"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Au jour de la résurrection, Allah jugera les différends qui vous opposaient. </w:t>
      </w:r>
    </w:p>
    <w:p w14:paraId="6F5D35ED"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Ne sais-tu pas qu’Allah sait parfaitement ce qu’il y a au ciel et sur terre, étant entendu que cela est consigné dans un livre ? Que cela est très aisé pour Allah ? </w:t>
      </w:r>
    </w:p>
    <w:p w14:paraId="65EABBAB"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Ils vénèrent en dehors d’Allah ce qui n’a aucune souveraineté propre et ce que par ailleurs ils ne connaissent pas. Les injustes n’auront aucun appui. </w:t>
      </w:r>
    </w:p>
    <w:p w14:paraId="792E8D5F"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Et lorsque Nos versets explicites seront récités aux mécréants, tu verras se dessiner la réprobation sur leurs visages. Il s’en faut peu qu’ils ne se jettent sur les récitants pour les molester de Nos versets. Dis-leur : Voici une nouvelle qui vous irritera encore plus : Allah a prévu l’enfer pour ceux qui ne croient pas. Quel triste sort ! </w:t>
      </w:r>
    </w:p>
    <w:p w14:paraId="09F27831"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Ô vous les hommes, une parabole vous a été donnée, méditez-la ! Ceux que vous vénérez en dehors d’Allah sont incapables de créer la moindre mouche</w:t>
      </w:r>
      <w:r w:rsidRPr="00EC1FBB">
        <w:rPr>
          <w:rStyle w:val="Appelnotedebasdep"/>
          <w:rFonts w:asciiTheme="majorBidi" w:hAnsiTheme="majorBidi" w:cstheme="majorBidi"/>
        </w:rPr>
        <w:footnoteReference w:id="822"/>
      </w:r>
      <w:r w:rsidRPr="00EC1FBB">
        <w:rPr>
          <w:rFonts w:asciiTheme="majorBidi" w:hAnsiTheme="majorBidi" w:cstheme="majorBidi"/>
        </w:rPr>
        <w:t>, même s’ils devaient se fédérer pour cela. Et si cette mouche arrivait à leur subtiliser quoi que ce soit, ils ne seraient pas en mesure de le récupérer. Faiblesse du quémandeur et du quémandé</w:t>
      </w:r>
      <w:r w:rsidRPr="00EC1FBB">
        <w:rPr>
          <w:rStyle w:val="Appelnotedebasdep"/>
          <w:rFonts w:asciiTheme="majorBidi" w:hAnsiTheme="majorBidi" w:cstheme="majorBidi"/>
        </w:rPr>
        <w:footnoteReference w:id="823"/>
      </w:r>
      <w:r w:rsidRPr="00EC1FBB">
        <w:rPr>
          <w:rFonts w:asciiTheme="majorBidi" w:hAnsiTheme="majorBidi" w:cstheme="majorBidi"/>
        </w:rPr>
        <w:t xml:space="preserve">. </w:t>
      </w:r>
    </w:p>
    <w:p w14:paraId="35F99AE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Ils n’ont pas une vision d’Allah qui soit à la mesure de Sa grandeur, mais Allah est fort et puissant. </w:t>
      </w:r>
    </w:p>
    <w:p w14:paraId="43B7BAF3"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Allah choisit Ses envoyés parmi les anges et parmi les hommes. Allah est Celui qui entend et Celui qui voit. </w:t>
      </w:r>
    </w:p>
    <w:p w14:paraId="7A8BD6DD"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Il sait ce que leurs mains montrent et ce qu’elles cachent, et c’est à Allah que finalement tout aboutit. </w:t>
      </w:r>
    </w:p>
    <w:p w14:paraId="61BECD46"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lastRenderedPageBreak/>
        <w:t xml:space="preserve">Ô vous qui avez cru, inclinez-vous, prosternez-vous, adorez votre Seigneur et faîtes le bien, peut-être qu’avec tout cela vous serez les bienheureux gagnants. </w:t>
      </w:r>
    </w:p>
    <w:p w14:paraId="6FD5F355" w14:textId="77777777" w:rsidR="00F324A5" w:rsidRPr="00EC1FBB" w:rsidRDefault="00F324A5" w:rsidP="00876BB0">
      <w:pPr>
        <w:numPr>
          <w:ilvl w:val="0"/>
          <w:numId w:val="143"/>
        </w:numPr>
        <w:contextualSpacing/>
        <w:jc w:val="both"/>
        <w:rPr>
          <w:rFonts w:asciiTheme="majorBidi" w:hAnsiTheme="majorBidi" w:cstheme="majorBidi"/>
        </w:rPr>
      </w:pPr>
      <w:r w:rsidRPr="00EC1FBB">
        <w:rPr>
          <w:rFonts w:asciiTheme="majorBidi" w:hAnsiTheme="majorBidi" w:cstheme="majorBidi"/>
        </w:rPr>
        <w:t xml:space="preserve">Combattez dans la voie d’Allah à la hauteur de ce qu’Il conçoit. Il vous a choisis et ne vous a point contrariés dans le choix du culte de votre père Abraham. Il vous a nommés musulmans, soit ceux qui s’abandonnent à Dieu, et cela de manière anticipée, afin que vous soyez témoins des hommes de la même façon que le Prophète est votre témoin. Observez la prière, acquittez-vous de l’aumône et tenez fermement à Allah. Il est votre protecteur et maître. Béni soit le Protecteur et béni soit le Soutien ! </w:t>
      </w:r>
    </w:p>
    <w:p w14:paraId="7DE4FC36" w14:textId="77777777" w:rsidR="00F324A5" w:rsidRPr="00EC1FBB" w:rsidRDefault="00F324A5" w:rsidP="00F324A5">
      <w:pPr>
        <w:contextualSpacing/>
        <w:jc w:val="both"/>
        <w:rPr>
          <w:rFonts w:asciiTheme="majorBidi" w:eastAsia="Times New Roman" w:hAnsiTheme="majorBidi" w:cstheme="majorBidi"/>
        </w:rPr>
      </w:pPr>
      <w:r w:rsidRPr="00EC1FBB">
        <w:rPr>
          <w:rFonts w:asciiTheme="majorBidi" w:eastAsia="Times New Roman" w:hAnsiTheme="majorBidi" w:cstheme="majorBidi"/>
        </w:rPr>
        <w:br w:type="page"/>
      </w:r>
    </w:p>
    <w:p w14:paraId="54AC9907" w14:textId="77777777" w:rsidR="00F324A5" w:rsidRPr="00EC1FBB" w:rsidRDefault="00F324A5" w:rsidP="00F324A5">
      <w:pPr>
        <w:contextualSpacing/>
        <w:jc w:val="both"/>
        <w:rPr>
          <w:rFonts w:asciiTheme="majorBidi" w:eastAsia="Times New Roman" w:hAnsiTheme="majorBidi" w:cstheme="majorBidi"/>
        </w:rPr>
      </w:pPr>
    </w:p>
    <w:p w14:paraId="7C7793A8" w14:textId="77777777" w:rsidR="00F324A5" w:rsidRPr="00EC1FBB" w:rsidRDefault="00F324A5" w:rsidP="00876BB0">
      <w:pPr>
        <w:numPr>
          <w:ilvl w:val="0"/>
          <w:numId w:val="128"/>
        </w:numPr>
        <w:contextualSpacing/>
        <w:jc w:val="center"/>
        <w:rPr>
          <w:rFonts w:asciiTheme="majorBidi" w:eastAsia="Times New Roman" w:hAnsiTheme="majorBidi" w:cstheme="majorBidi"/>
          <w:b/>
          <w:bCs/>
        </w:rPr>
      </w:pPr>
      <w:r w:rsidRPr="00EC1FBB">
        <w:rPr>
          <w:rFonts w:asciiTheme="majorBidi" w:eastAsia="SimSun" w:hAnsiTheme="majorBidi" w:cstheme="majorBidi"/>
          <w:b/>
          <w:bCs/>
          <w:lang w:eastAsia="zh-CN"/>
        </w:rPr>
        <w:t xml:space="preserve">La traduction de </w:t>
      </w:r>
      <w:r w:rsidRPr="00EC1FBB">
        <w:rPr>
          <w:rFonts w:asciiTheme="majorBidi" w:eastAsia="Times New Roman" w:hAnsiTheme="majorBidi" w:cstheme="majorBidi"/>
          <w:b/>
          <w:bCs/>
        </w:rPr>
        <w:t>Hachemi Hafiane</w:t>
      </w:r>
      <w:r w:rsidRPr="00EE0495">
        <w:rPr>
          <w:rStyle w:val="Appelnotedebasdep"/>
          <w:rFonts w:asciiTheme="majorBidi" w:hAnsiTheme="majorBidi" w:cstheme="majorBidi"/>
          <w:b/>
          <w:bCs/>
        </w:rPr>
        <w:footnoteReference w:id="824"/>
      </w:r>
      <w:r w:rsidRPr="00EC1FBB">
        <w:rPr>
          <w:rFonts w:asciiTheme="majorBidi" w:eastAsia="Times New Roman" w:hAnsiTheme="majorBidi" w:cstheme="majorBidi"/>
          <w:b/>
          <w:bCs/>
        </w:rPr>
        <w:t xml:space="preserve"> (2010)</w:t>
      </w:r>
    </w:p>
    <w:p w14:paraId="12688660" w14:textId="77777777" w:rsidR="00F324A5" w:rsidRPr="00EC1FBB" w:rsidRDefault="00F324A5" w:rsidP="00F324A5">
      <w:pPr>
        <w:contextualSpacing/>
        <w:jc w:val="center"/>
        <w:rPr>
          <w:rFonts w:asciiTheme="majorBidi" w:eastAsia="Times New Roman" w:hAnsiTheme="majorBidi" w:cstheme="majorBidi"/>
          <w:i/>
          <w:iCs/>
        </w:rPr>
      </w:pPr>
      <w:r w:rsidRPr="00EC1FBB">
        <w:rPr>
          <w:rFonts w:asciiTheme="majorBidi" w:eastAsia="Calibri" w:hAnsiTheme="majorBidi" w:cstheme="majorBidi"/>
          <w:i/>
          <w:iCs/>
          <w:lang w:bidi="ar-AE"/>
        </w:rPr>
        <w:t>(Traduction accompagnée du texte arabe à droite)</w:t>
      </w:r>
    </w:p>
    <w:p w14:paraId="4EF7CB8B"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Sourate 22</w:t>
      </w:r>
    </w:p>
    <w:p w14:paraId="134875F4" w14:textId="77777777" w:rsidR="00F324A5" w:rsidRPr="00EC1FBB" w:rsidRDefault="00BA118B" w:rsidP="00F324A5">
      <w:pPr>
        <w:contextualSpacing/>
        <w:jc w:val="center"/>
        <w:rPr>
          <w:rFonts w:asciiTheme="majorBidi" w:hAnsiTheme="majorBidi" w:cstheme="majorBidi"/>
        </w:rPr>
      </w:pPr>
      <w:r>
        <w:rPr>
          <w:rFonts w:asciiTheme="majorBidi" w:hAnsiTheme="majorBidi" w:cstheme="majorBidi"/>
          <w:noProof/>
          <w:lang w:eastAsia="en-US"/>
        </w:rPr>
        <w:pict w14:anchorId="6747B85F">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6" type="#_x0000_t71" alt="" style="position:absolute;left:0;text-align:left;margin-left:202.05pt;margin-top:8.95pt;width:21.6pt;height:14.4pt;z-index:251660288;mso-wrap-edited:f;mso-width-percent:0;mso-height-percent:0;mso-position-horizontal-relative:text;mso-position-vertical-relative:text;mso-width-percent:0;mso-height-percent:0" o:allowincell="f"/>
        </w:pict>
      </w:r>
      <w:r w:rsidR="00F324A5" w:rsidRPr="00EC1FBB">
        <w:rPr>
          <w:rFonts w:asciiTheme="majorBidi" w:hAnsiTheme="majorBidi" w:cstheme="majorBidi"/>
        </w:rPr>
        <w:tab/>
      </w:r>
    </w:p>
    <w:p w14:paraId="5DE1DF0A" w14:textId="77777777" w:rsidR="00F324A5" w:rsidRPr="00EC1FBB" w:rsidRDefault="00F324A5" w:rsidP="00F324A5">
      <w:pPr>
        <w:pStyle w:val="Titre1"/>
        <w:contextualSpacing/>
        <w:jc w:val="center"/>
        <w:rPr>
          <w:rFonts w:asciiTheme="majorBidi" w:hAnsiTheme="majorBidi" w:cstheme="majorBidi"/>
          <w:sz w:val="22"/>
          <w:szCs w:val="22"/>
        </w:rPr>
      </w:pPr>
      <w:r w:rsidRPr="00EC1FBB">
        <w:rPr>
          <w:rFonts w:asciiTheme="majorBidi" w:hAnsiTheme="majorBidi" w:cstheme="majorBidi"/>
          <w:sz w:val="22"/>
          <w:szCs w:val="22"/>
        </w:rPr>
        <w:t>Le pèlerinage</w:t>
      </w:r>
    </w:p>
    <w:p w14:paraId="3D3674D3" w14:textId="77777777" w:rsidR="00F324A5" w:rsidRPr="00EC1FBB" w:rsidRDefault="00F324A5" w:rsidP="00F324A5">
      <w:pPr>
        <w:pStyle w:val="Titre2"/>
        <w:spacing w:line="240" w:lineRule="auto"/>
        <w:contextualSpacing/>
        <w:rPr>
          <w:rFonts w:asciiTheme="majorBidi" w:hAnsiTheme="majorBidi" w:cstheme="majorBidi"/>
          <w:sz w:val="22"/>
          <w:szCs w:val="22"/>
        </w:rPr>
      </w:pPr>
      <w:r w:rsidRPr="00EC1FBB">
        <w:rPr>
          <w:rFonts w:asciiTheme="majorBidi" w:hAnsiTheme="majorBidi" w:cstheme="majorBidi"/>
          <w:sz w:val="22"/>
          <w:szCs w:val="22"/>
        </w:rPr>
        <w:t>El Hajj</w:t>
      </w:r>
    </w:p>
    <w:p w14:paraId="6D2C9598"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(78 versets)</w:t>
      </w:r>
    </w:p>
    <w:p w14:paraId="6273EB57" w14:textId="77777777" w:rsidR="00F324A5" w:rsidRPr="00EC1FBB" w:rsidRDefault="00F324A5" w:rsidP="00F324A5">
      <w:pPr>
        <w:contextualSpacing/>
        <w:jc w:val="center"/>
        <w:rPr>
          <w:rFonts w:asciiTheme="majorBidi" w:hAnsiTheme="majorBidi" w:cstheme="majorBidi"/>
        </w:rPr>
      </w:pPr>
      <w:r w:rsidRPr="00EC1FBB">
        <w:rPr>
          <w:rFonts w:asciiTheme="majorBidi" w:hAnsiTheme="majorBidi" w:cstheme="majorBidi"/>
        </w:rPr>
        <w:t>Au nom de Dieu le Clément, le Miséricordieux</w:t>
      </w:r>
    </w:p>
    <w:p w14:paraId="1418640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Ô hommes ! Craignez votre Seigneur ! En vérité, le séisme de l’Heure sera terrible. </w:t>
      </w:r>
    </w:p>
    <w:p w14:paraId="06C1A727"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Le jour où vous la verrez, toute femme qui allaite oubliera son nourrisson et toute femme enceinte avortera ; tu verras les hommes ivres alors qu’ils ne le sont pas en réalité, car le châtiment de Dieu est très dur. </w:t>
      </w:r>
    </w:p>
    <w:p w14:paraId="4E363166"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est des hommes qui discutent au sujet de Dieu sans détenir aucune science et qui suivent tout démon rebelle. </w:t>
      </w:r>
    </w:p>
    <w:p w14:paraId="1011F2AB"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est écrit à l’égard de ce dernier qu’il égarera quiconque le prendra pour maître et le dirigera vers le châtiment de la Fournaise. </w:t>
      </w:r>
    </w:p>
    <w:p w14:paraId="1B975115"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Ô hommes ! Si vous êtes dans le doute au sujet de la Résurrection, sachez qu’en vérité c’est Nous qui vous avons créés de terre, puis d’une goutte de sperme, puis d’une jonction cellulaire</w:t>
      </w:r>
      <w:r w:rsidRPr="00EC1FBB">
        <w:rPr>
          <w:rStyle w:val="Appelnotedebasdep"/>
          <w:rFonts w:asciiTheme="majorBidi" w:hAnsiTheme="majorBidi" w:cstheme="majorBidi"/>
        </w:rPr>
        <w:footnoteReference w:id="825"/>
      </w:r>
      <w:r w:rsidRPr="00EC1FBB">
        <w:rPr>
          <w:rFonts w:asciiTheme="majorBidi" w:hAnsiTheme="majorBidi" w:cstheme="majorBidi"/>
        </w:rPr>
        <w:t>, puis d’un embryon formé normalement ou bien informe. Nous vous l’expliquons ainsi. Nous maintenons dans les matrices ce que Nou</w:t>
      </w:r>
      <w:r>
        <w:rPr>
          <w:rFonts w:asciiTheme="majorBidi" w:hAnsiTheme="majorBidi" w:cstheme="majorBidi"/>
        </w:rPr>
        <w:t>s voulons jusqu’à un terme fixé</w:t>
      </w:r>
      <w:r w:rsidRPr="00EC1FBB">
        <w:rPr>
          <w:rFonts w:asciiTheme="majorBidi" w:hAnsiTheme="majorBidi" w:cstheme="majorBidi"/>
        </w:rPr>
        <w:t xml:space="preserve">. Puis, Nous vous en faisons sortir petit enfant pour que vous atteigniez ensuite votre maturité. Il en est parmi vous qui meurent encore jeunes, tandis que d’autres parviennent à l’âge de la décrépitude au point de ne plus rien savoir de ce qu’ils savaient auparavant. De même, tu vois la terre desséchée, mais dès que Nous y faisons descendre de l’eau, elle remue, se gonfle et fait germer toutes sortes de couples de belles espèces de plantes. </w:t>
      </w:r>
    </w:p>
    <w:p w14:paraId="170E46A2"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en est ainsi parce que Dieu est la Vérité ; Il rend la vie aux morts et Il est Omnipotent ; </w:t>
      </w:r>
    </w:p>
    <w:p w14:paraId="19B86A9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parce que l’Heure viendra sûrement – pas de doute à ce sujet – et parce que Dieu ressuscitera ceux qui sont dans les tombes. </w:t>
      </w:r>
    </w:p>
    <w:p w14:paraId="52DD6C4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Tel parmi les hommes discute au sujet de Dieu sans connaissance, ni direction, ni livre qui l’éclaire. </w:t>
      </w:r>
    </w:p>
    <w:p w14:paraId="1390E38D"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se détourne avec orgueil pour éloigner les hommes du sentier de Dieu. L’opprobre lui est réservé en ce monde, puis, le Jour de la Résurrection, Nous lui ferons goûter le châtiment du Feu. </w:t>
      </w:r>
    </w:p>
    <w:p w14:paraId="38764B53"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Voilà la rétribution des actes que tu as accomplis. En vérité, Dieu n’est pas injuste envers Ses serviteurs. </w:t>
      </w:r>
    </w:p>
    <w:p w14:paraId="2D348459"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lastRenderedPageBreak/>
        <w:t xml:space="preserve">Tel parmi les hommes adore Dieu avec hésitation : si un bien lui arrive, il en jouit tranquillement ; si une épreuve l’atteint, il se détourne aussitôt de la religion de Dieu, perdant ainsi la vie présente et la vie future. Voilà une perte évidente. </w:t>
      </w:r>
    </w:p>
    <w:p w14:paraId="52C611F6"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invoque en dehors de Dieu, ce qui ne peut ni lui nuire ni lui être utile ; tel est l’égarement profond. </w:t>
      </w:r>
    </w:p>
    <w:p w14:paraId="13ABFD16"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invoque celui qui cause plus de mal que de bien. Quel mauvais maître et quel mauvais compagnon ! </w:t>
      </w:r>
    </w:p>
    <w:p w14:paraId="4818EBFD"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Certes, Dieu introduira les croyants qui accomplissent de bonnes actions dans des Jardins desquels coulent des fleuves. En vérité, Dieu fait ce qu’Il veut. </w:t>
      </w:r>
    </w:p>
    <w:p w14:paraId="7F222F2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Que celui qui pense que Dieu ne secourra pas Mohammed dans ce monde et dans l’autre tende une corde vers le ciel, puis qu’il la coupe pour se pendre : il verra si sa ruse mettra fin à ce qui l’irrite. </w:t>
      </w:r>
    </w:p>
    <w:p w14:paraId="5D791BF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C’est ainsi que Nous fîmes révéler le Coran en versets clairs. En vérité, Dieu dirige qui Il veut. </w:t>
      </w:r>
    </w:p>
    <w:p w14:paraId="0A323F7A"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Le jour de la Résurrection, Dieu jugera entre les croyants, les Juifs, les sabéens</w:t>
      </w:r>
      <w:r w:rsidRPr="00EC1FBB">
        <w:rPr>
          <w:rStyle w:val="Appelnotedebasdep"/>
          <w:rFonts w:asciiTheme="majorBidi" w:hAnsiTheme="majorBidi" w:cstheme="majorBidi"/>
        </w:rPr>
        <w:footnoteReference w:id="826"/>
      </w:r>
      <w:r w:rsidRPr="00EC1FBB">
        <w:rPr>
          <w:rFonts w:asciiTheme="majorBidi" w:hAnsiTheme="majorBidi" w:cstheme="majorBidi"/>
        </w:rPr>
        <w:t>, les chrétiens, les mages</w:t>
      </w:r>
      <w:r w:rsidRPr="00EC1FBB">
        <w:rPr>
          <w:rStyle w:val="Appelnotedebasdep"/>
          <w:rFonts w:asciiTheme="majorBidi" w:hAnsiTheme="majorBidi" w:cstheme="majorBidi"/>
        </w:rPr>
        <w:footnoteReference w:id="827"/>
      </w:r>
      <w:r w:rsidRPr="00EC1FBB">
        <w:rPr>
          <w:rFonts w:asciiTheme="majorBidi" w:hAnsiTheme="majorBidi" w:cstheme="majorBidi"/>
        </w:rPr>
        <w:t xml:space="preserve"> et les idolâtres. Certes, Dieu est Témoin de toute chose. </w:t>
      </w:r>
    </w:p>
    <w:p w14:paraId="44B9EB02"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Ne vois-tu pas que c’est devant Dieu que se prosternent tous ceux qui sont dans les cieux et tous ceux qui sont sur la terre : le soleil, la lune, les étoiles, les montagnes, les arbres, les animaux et beaucoup d’hommes ? Mais un grand nombre d’entre eux mérité le châtiment. Celui que Dieu humilie ne trouvera personne pour l’honorer. En vérité, Dieu fait ce qu’Il veut. </w:t>
      </w:r>
    </w:p>
    <w:p w14:paraId="2B7994B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Voici deux clans adverses qui se disputaient au sujet de leur Seigneur. Aux incroyants seront taillés des vêtements de feu, sur leurs têtes sera versée de l’eau bouillante</w:t>
      </w:r>
    </w:p>
    <w:p w14:paraId="724A8339"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qui consumera leurs entrailles et leur peau ; </w:t>
      </w:r>
    </w:p>
    <w:p w14:paraId="2F9906A3"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y aura pour eux des fouets de fer ; </w:t>
      </w:r>
    </w:p>
    <w:p w14:paraId="1CA06878"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chaque fois qu’ils voudront sortir de l’Enfer pour échapper à la souffrance, ils y seront ramenés : « Goûtez au châtiment du Feu ! »</w:t>
      </w:r>
    </w:p>
    <w:p w14:paraId="50D4817C"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Quant à ceux qui auront cru et qui auront accompli de bonnes actions, Dieu les introduira dans des Jardins sous lesquels coulent des fleuves. Là, ils seront parés de bracelets d’or et de perles, ils seront vêtus de soie. </w:t>
      </w:r>
    </w:p>
    <w:p w14:paraId="03784D3D"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Ils ont été dirigés vers la bonne parole. Ils ont été dirigés dans le chemin de Celui qui est Digne de louanges. </w:t>
      </w:r>
    </w:p>
    <w:p w14:paraId="3937D2C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A ceux qui sont incroyants, qui éloignent les hommes du chemin de Dieu et de la Mosquée Sacrée que Nous avons établie pour les gens, qu’ils soient résidents ou de passage ; à ceux d’entre eux qui cherchent à commettre un sacrilège injustement, Nous leur ferons goûter un châtiment douloureux. </w:t>
      </w:r>
    </w:p>
    <w:p w14:paraId="2D9F2B23"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Souviens-toi que Nous avons indiqué à Abraham le lieu de la Maison</w:t>
      </w:r>
      <w:r w:rsidRPr="00EC1FBB">
        <w:rPr>
          <w:rStyle w:val="Appelnotedebasdep"/>
          <w:rFonts w:asciiTheme="majorBidi" w:hAnsiTheme="majorBidi" w:cstheme="majorBidi"/>
        </w:rPr>
        <w:footnoteReference w:id="828"/>
      </w:r>
      <w:r w:rsidRPr="00EC1FBB">
        <w:rPr>
          <w:rFonts w:asciiTheme="majorBidi" w:hAnsiTheme="majorBidi" w:cstheme="majorBidi"/>
        </w:rPr>
        <w:t xml:space="preserve"> ; ne Me donne aucun associé ; purifie Ma maison pour ceux qui accomplissent des circuits de dévotion autour de celle-ci, pour ceux qui s’y recueillent debout, pour ceux qui s’y inclinent et qui s’y prosternent ; </w:t>
      </w:r>
    </w:p>
    <w:p w14:paraId="4E46B2A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appelle les gens au pèlerinage, ils viendront vers toi, à pied ou sur toute monture, des contrées les plus éloignées</w:t>
      </w:r>
    </w:p>
    <w:p w14:paraId="0941BCAB"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lastRenderedPageBreak/>
        <w:t xml:space="preserve">pour témoigner des bienfaits qui leur ont été accordés et pour invoquer de le nom de Dieu aux jours fixés, au moment de sacrifier la bête des troupeaux qu’Il leur a accordée – mangez-en vous-mêmes et nourrissez-en le pauvre malheureux. </w:t>
      </w:r>
    </w:p>
    <w:p w14:paraId="39EF9E79"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Puis, qu’ils mettent fin à leurs interdits, qu’ils s’acquittent de leurs vœux et qu’ils fassent des circuits autour de l’Antique Maison. </w:t>
      </w:r>
    </w:p>
    <w:p w14:paraId="389F6432"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Agissez ainsi. Celui qui respecte les préceptes sacrés de Dieu aura une récompense auprès de son Seigneur. Les bêtes des troupeaux ont été déclarées licites pour vous, à l’exception de celles qui vous ont été désignées. Abstenez-vous de la souillure des idoles et abstenez-vous des paroles mensongères</w:t>
      </w:r>
    </w:p>
    <w:p w14:paraId="55D39CA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comme de vrais croyants en Dieu et non comme des polythéistes. Quiconque associe quoi que ce soit à Dieu serait comme celui qui serait tombé du ciel et que les oiseaux auraient saisi, ou que le vent aurait précipité dans un lieu très éloigné. </w:t>
      </w:r>
    </w:p>
    <w:p w14:paraId="322D2E8C"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en est ainsi : quiconque respecte les prescriptions de Dieu fait une action qui procède de la piété des cœurs. </w:t>
      </w:r>
    </w:p>
    <w:p w14:paraId="0A5F8B1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Vous retirez de ces animaux consacrés aux offrandes de nombreux avantages jusqu’à un terme fixé. Le lieu de leur immolation est l’Antique Maison. </w:t>
      </w:r>
    </w:p>
    <w:p w14:paraId="0E67260E"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Nous avons institué à chaque communauté un rite sacrificiel afin qu’ils invoquent le nom de Dieu sur la bête des troupeaux qu’Il leur a attribuée. Votre Dieu est un Dieu Unique. Soumettez-vous donc à Lui. Annonce la bonne nouvelle aux humbles : </w:t>
      </w:r>
    </w:p>
    <w:p w14:paraId="262BABD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ceux dont les cœurs frémissent lorsque le nom de Dieu est prononcé ; ceux qui endurent patiemment ce qui les atteint ; ceux qui s’acquittent de la prière ; ceux qui donnent en aumônes une partie des biens que Nous leur avons accordés. </w:t>
      </w:r>
    </w:p>
    <w:p w14:paraId="746D5A1B"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Nous avons destiné les chameaux de belle prestance pour servir aux rites de Dieu : il y a là un bien pour vous. Invoquez le nom de Dieu sur ces animaux quand ils sont prêts à être immolés. Une fois le sacrifice accompli, mangez-en et nourrissez-en le besogneux et le mendiant ; ainsi Nous les avons mis à votre service. Peut-être serez-vous reconnaissants ! </w:t>
      </w:r>
    </w:p>
    <w:p w14:paraId="2226C4A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Ni leur chair ni leur sang n’atteindront Dieu, mais votre piété Lui parviendra. Ces animaux sont mis à votre service afin que vous proclamiez la grandeur de Dieu pour vous avoir mis sur le droit chemin. Annonce la bonne nouvelle à ceux qui font le bien. </w:t>
      </w:r>
    </w:p>
    <w:p w14:paraId="44541F40"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Certes, Dieu prend la défense des croyants. Dieu n’aime aucun traître ingrat. </w:t>
      </w:r>
    </w:p>
    <w:p w14:paraId="6A3FC47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Ceux qui sont attaqués injustement sont autorisés à combattre pour se défendre – or Dieu est Capable de les secourir ; </w:t>
      </w:r>
    </w:p>
    <w:p w14:paraId="2B622BB5"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ainsi que ceux qui ont été expulsés de leurs maisons, contre toute justice, pour avoir dit seulement : « Notre Seigneur est Dieu ! » Si Dieu n’avait pas fait repousser certains hommes par d’autres, les ermitages auraient été détruits ainsi que des églises, des synagogues et des mosquées, où le nom Dieu est fréquemment invoqué. En vérité, Dieu assistera ceux qui défendent Sa cause. Dieu est Fort et Tout-Puissant. </w:t>
      </w:r>
    </w:p>
    <w:p w14:paraId="703383FC"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Dieu assistera ceux qui, si Nous leur accordons le pouvoir sur la terre, accomplissent la prière, s’acquittent de l’aumône légale, ordonnent le bien et interdisent le mal. La fin de toute chose appartient à Dieu. </w:t>
      </w:r>
    </w:p>
    <w:p w14:paraId="035B5476"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S’ils te traitent d’imposteur, sache que le peuple de Noé, les Adites, les Thémoudites avant eux, ont aussi crié au mensonge ; </w:t>
      </w:r>
    </w:p>
    <w:p w14:paraId="61C3D45C"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de même que le peuple d’Abraham, le peuple de Loth</w:t>
      </w:r>
    </w:p>
    <w:p w14:paraId="30B6AEAE"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et les gens de Madian. Moïse a aussi été traité d’imposteur. J’ai accordé alors un délai aux mécréants, puis Je les ai saisis. Quelle fut alors Ma réprobation ! </w:t>
      </w:r>
    </w:p>
    <w:p w14:paraId="6B581A35"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lastRenderedPageBreak/>
        <w:t xml:space="preserve">Combien de cités n’avons-Nous pas détruites parce qu’elles étaient injustes ! Elles sont désertes et leurs toits se sont effondrés. Que de puits abandonnés et que de beaux palais désertés aussi ! </w:t>
      </w:r>
    </w:p>
    <w:p w14:paraId="2DF24AA8"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Ne parcourent-ils pas la terre afin que leurs cœurs comprennent et que leurs oreilles entendent ? Ce ne sont pas les yeux qui sont aveugles, mais ce sont les cœurs contenus dans les poitrines qui sont atteints de cécité. </w:t>
      </w:r>
    </w:p>
    <w:p w14:paraId="4326DBFC"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Ils te demandent de hâter l’arrivée du châtiment, mais Dieu ne manque jamais à Sa promesse. En vérité, un jour auprès de ton Seigneur équivaut à mille ans selon votre calcul. </w:t>
      </w:r>
    </w:p>
    <w:p w14:paraId="44D21AED"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A combien de cités n’ai-Je pas donné un répit alors qu’elles commettaient des injustices ! Puis Je les ai saisies. Le retour se fera vers Moi. </w:t>
      </w:r>
    </w:p>
    <w:p w14:paraId="4B5FE1C5"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Dis : « Ô hommes ! Je ne suis pour vous qu’un avertisseur explicite. »</w:t>
      </w:r>
    </w:p>
    <w:p w14:paraId="38651D15"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Ceux qui croient et qui accomplissent de bonnes actions obtiendront un pardon et de généreux dons ; </w:t>
      </w:r>
    </w:p>
    <w:p w14:paraId="1A19724B"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ceux qui s’opposent farouchement à Nos signes, voilà ceux qui seront les hôtes de la Géhenne. </w:t>
      </w:r>
    </w:p>
    <w:p w14:paraId="5D425B8B"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Nous n’avons envoyé avant toi ni Messager ni Prophète sans que Satan ne fasse des suggestions coupables dans ses désirs ; mais Dieu abroge ce que le démon suggère. Dieu confirme ensuite Ses versets. Dieu est Omniscient et Sage. </w:t>
      </w:r>
    </w:p>
    <w:p w14:paraId="55BEDB75"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Dieu fait de ce que suggère le démon une tentation pour ceux dont les cœurs sont malades</w:t>
      </w:r>
      <w:r w:rsidRPr="00EC1FBB">
        <w:rPr>
          <w:rStyle w:val="Appelnotedebasdep"/>
          <w:rFonts w:asciiTheme="majorBidi" w:hAnsiTheme="majorBidi" w:cstheme="majorBidi"/>
        </w:rPr>
        <w:footnoteReference w:id="829"/>
      </w:r>
      <w:r w:rsidRPr="00EC1FBB">
        <w:rPr>
          <w:rFonts w:asciiTheme="majorBidi" w:hAnsiTheme="majorBidi" w:cstheme="majorBidi"/>
        </w:rPr>
        <w:t xml:space="preserve"> ou pour ceux dont les cœurs sont endurcis : les injustes sont plongés dans un égarement profond. </w:t>
      </w:r>
    </w:p>
    <w:p w14:paraId="15F5E9EE"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Quant à ceux qui détiennent la science, ils savent que ce Coran est la Vérité émanant de ton Seigneur : ils y croient et s’y soumettent en toute humilité. En vérité, Dieu dirige les croyants vers le droit chemin. </w:t>
      </w:r>
    </w:p>
    <w:p w14:paraId="161BFB72"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Les mécréants ne cesseront jamais d’en douter, jusqu’à ce que l’Heure les surprenne à l’improviste ou que les atteigne le châtiment le jour néfaste. </w:t>
      </w:r>
    </w:p>
    <w:p w14:paraId="4A8A0FCB"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La souveraineté, ce jour-là, appartiendra à Dieu. Il jugera entre les hommes : ceux qui auront cru et qui auront accompli de bonnes actions seront dans les Jardins du délice ; </w:t>
      </w:r>
    </w:p>
    <w:p w14:paraId="2D8CAE3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quant à ceux qui n’auront pas cru et qui auront traité Nos révélations de mensonges, voilà ceux qui subiront un châtiment avilissant. </w:t>
      </w:r>
    </w:p>
    <w:p w14:paraId="0905760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Dieu accordera une belle récompense à ceux qui auront émigré pour la cause de Dieu et qui auront été tués en combattant, ou qui sont morts. En vérité, Dieu est le Meilleur Dispensateur de tous les biens. </w:t>
      </w:r>
    </w:p>
    <w:p w14:paraId="318D23BD"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Certes, Il les fera entrer dans un lieu qui leur plaira. Dieu est Omniscient et Magnanime. Il en est ainsi. </w:t>
      </w:r>
    </w:p>
    <w:p w14:paraId="0EA0CA8D"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Dieu assistera celui qui, ayant exercé des représailles proportionnelles aux torts qu’il aura subis, est à nouveau victime d’un outrage. En vérité, Dieu est Indulgent. Il aime à pardonner. </w:t>
      </w:r>
    </w:p>
    <w:p w14:paraId="4987423D"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en est ainsi parce que Dieu fait pénétrer la nuit dans le jour et qu’Il fait pénétrer le jour dans la nuit. Dieu est Celui qui entend et Celui qui voit parfaitement. </w:t>
      </w:r>
    </w:p>
    <w:p w14:paraId="6504EEC8"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en est ainsi parce que Dieu est la Vérité, alors que ce qu’ils invoquent en dehors de Lui est faux. Dieu est le Très-Haut et le Très-Grand. </w:t>
      </w:r>
    </w:p>
    <w:p w14:paraId="09495995"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Ne vois-tu pas que Dieu fait descendre une eau du ciel grâce à laquelle la terre devient verte ? Dieu est Plein de bonté et Il est parfaitement Informé. </w:t>
      </w:r>
    </w:p>
    <w:p w14:paraId="5DFE6452"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lastRenderedPageBreak/>
        <w:t xml:space="preserve">A Dieu appartient tout ce qui est dans les cieux et tout ce qui est sur la terre. Dieu est Celui qui se suffit à Lui-même et Il est Celui qui est Digne de louanges. </w:t>
      </w:r>
    </w:p>
    <w:p w14:paraId="035B8AAA"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Ne vois-tu pas que Dieu vous a soumis tout ce qui est sur la terre ainsi que le vaisseau qui vogue sur la mer par Son ordre ? Il soutient le ciel afin qu’il ne s’affaisse pas sur la terre, sauf quand Il le permettra. En vérité, Dieu est Bienveillant envers les hommes. Il est Miséricordieux. </w:t>
      </w:r>
    </w:p>
    <w:p w14:paraId="69E34C4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C’est Lui qui vous a donné la vie ; puis Il vous fera mourir ; ensuite Il vous fera revivre. Vraiment, l’homme est ingrat ! </w:t>
      </w:r>
    </w:p>
    <w:p w14:paraId="4FF36783"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A chaque communauté, Nous avons institué un culte auquel elle se conforme. Qu’ils ne discutent point donc avec toi sur ce sujet ! Appelle au culte de ton Seigneur. En vérité, tu es sur le droit chemin. </w:t>
      </w:r>
    </w:p>
    <w:p w14:paraId="47D6ED3F"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S’ils discutent avec toi, dis-leur : « Dieu sait parfaitement ce que vous faites ; </w:t>
      </w:r>
    </w:p>
    <w:p w14:paraId="1B586FDE"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Dieu arbitrera vos différends le jour de la Résurrection. »</w:t>
      </w:r>
    </w:p>
    <w:p w14:paraId="2AC8534B"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Ignores-tu que Dieu sait ce qui est dans le ciel et ce qui est sur la terre ? En vérité, cela est consigné dans un Livre, c’est vraiment facile pour Dieu. </w:t>
      </w:r>
    </w:p>
    <w:p w14:paraId="62302E33"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Ils adorent en dehors de Dieu, ce à quoi Dieu n’a donné aucun pouvoir et ce dont ils ne savent rien. Les injustes n’auront aucun protecteur. </w:t>
      </w:r>
    </w:p>
    <w:p w14:paraId="6D693F14"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Lorsque Nos versets aux preuves évidentes leur sont récités, tu discerneras sur les visages des incroyants la réprobation ; peu s’en faut qu’ils ne se jettent sur ceux qui lisent Nos versets. Dis : « Vous informerai-je sur quelque chose de pire que cela : le Feu que Dieu a promis aux incroyants ? Quelle détestable fin ! »</w:t>
      </w:r>
    </w:p>
    <w:p w14:paraId="79A5D953"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Ô hommes ! Une parabole vous est proposés, écoutez-la : « Ceux que vous invoquez en dehors de Dieu ne sauraient même pas créer une mouche, dussent-ils fournir leurs efforts pour cela. Si la mouche leur enlevait quelque chose, ils ne pourraient le lui reprendre. Le solliciteur</w:t>
      </w:r>
      <w:r w:rsidRPr="00EC1FBB">
        <w:rPr>
          <w:rStyle w:val="Appelnotedebasdep"/>
          <w:rFonts w:asciiTheme="majorBidi" w:hAnsiTheme="majorBidi" w:cstheme="majorBidi"/>
        </w:rPr>
        <w:footnoteReference w:id="830"/>
      </w:r>
      <w:r w:rsidRPr="00EC1FBB">
        <w:rPr>
          <w:rFonts w:asciiTheme="majorBidi" w:hAnsiTheme="majorBidi" w:cstheme="majorBidi"/>
        </w:rPr>
        <w:t xml:space="preserve"> et le sollicité</w:t>
      </w:r>
      <w:r w:rsidRPr="00EC1FBB">
        <w:rPr>
          <w:rStyle w:val="Appelnotedebasdep"/>
          <w:rFonts w:asciiTheme="majorBidi" w:hAnsiTheme="majorBidi" w:cstheme="majorBidi"/>
        </w:rPr>
        <w:footnoteReference w:id="831"/>
      </w:r>
      <w:r w:rsidRPr="00EC1FBB">
        <w:rPr>
          <w:rFonts w:asciiTheme="majorBidi" w:hAnsiTheme="majorBidi" w:cstheme="majorBidi"/>
        </w:rPr>
        <w:t xml:space="preserve"> sont également impuissants. </w:t>
      </w:r>
    </w:p>
    <w:p w14:paraId="6A8F371E"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Ils n’ont pas estimé Dieu à Sa vraie valeur. En vérité, Dieu est Fort et Tout-Puissant. </w:t>
      </w:r>
    </w:p>
    <w:p w14:paraId="13425E61"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Dieu choisit des Messagers parmi les anges et parmi les hommes. Certes, Dieu est Celui qui entend et voit parfaitement. </w:t>
      </w:r>
    </w:p>
    <w:p w14:paraId="742B78F7"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Il sait ce qui est devant eux dans la vie présente et ce qui est derrière eux dans la vie future. Dieu est le Terme de toute chose. </w:t>
      </w:r>
    </w:p>
    <w:p w14:paraId="42CC91BE" w14:textId="77777777" w:rsidR="00F324A5" w:rsidRPr="00EC1FBB"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 xml:space="preserve">Ô croyants ! Inclinez-vous, prosternez-vous, adorez Dieu votre Seigneur ! Faites le bien ! Peut-être serez-vous heureux ! </w:t>
      </w:r>
    </w:p>
    <w:p w14:paraId="43B46EA2" w14:textId="785E38C8" w:rsidR="00F324A5" w:rsidRPr="00F324A5" w:rsidRDefault="00F324A5" w:rsidP="00876BB0">
      <w:pPr>
        <w:numPr>
          <w:ilvl w:val="0"/>
          <w:numId w:val="144"/>
        </w:numPr>
        <w:contextualSpacing/>
        <w:jc w:val="both"/>
        <w:rPr>
          <w:rFonts w:asciiTheme="majorBidi" w:hAnsiTheme="majorBidi" w:cstheme="majorBidi"/>
        </w:rPr>
      </w:pPr>
      <w:r w:rsidRPr="00EC1FBB">
        <w:rPr>
          <w:rFonts w:asciiTheme="majorBidi" w:hAnsiTheme="majorBidi" w:cstheme="majorBidi"/>
        </w:rPr>
        <w:t>Combattez pour Dieu comme il convient de le faire. C’est Lui qui vous a élus. Il ne vous a imposé aucune gêne dans la religion, celle de votre père Abraham. C’est ce dernier qui vous a donné le nom de musulmans, autrefois et dans ce Coran, afin que le Messager soit témoin contre vous et que vous soyez témoin vous-mêmes contre les hommes. Accomplissez donc la prière ; acquittez-vous de l’aumône légale ; attachez-vous fortement à Dieu : il est votre Maître. Quel excellent Maître ! Quel excellent défenseur !</w:t>
      </w:r>
    </w:p>
    <w:sectPr w:rsidR="00F324A5" w:rsidRPr="00F324A5" w:rsidSect="00D74A23">
      <w:footerReference w:type="default" r:id="rId6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2F38E" w14:textId="77777777" w:rsidR="00BA118B" w:rsidRDefault="00BA118B" w:rsidP="00561BDC">
      <w:r>
        <w:separator/>
      </w:r>
    </w:p>
  </w:endnote>
  <w:endnote w:type="continuationSeparator" w:id="0">
    <w:p w14:paraId="18D7D348" w14:textId="77777777" w:rsidR="00BA118B" w:rsidRDefault="00BA118B" w:rsidP="00561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tiliser une police de caractè">
    <w:altName w:val="Times New Roman"/>
    <w:panose1 w:val="020B0604020202020204"/>
    <w:charset w:val="00"/>
    <w:family w:val="roman"/>
    <w:notTrueType/>
    <w:pitch w:val="default"/>
  </w:font>
  <w:font w:name="Traditional Arabic">
    <w:panose1 w:val="02020603050405020304"/>
    <w:charset w:val="B2"/>
    <w:family w:val="roman"/>
    <w:pitch w:val="variable"/>
    <w:sig w:usb0="00002003" w:usb1="80000000" w:usb2="00000008" w:usb3="00000000" w:csb0="00000041"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imes LT Std">
    <w:panose1 w:val="00000500000000020000"/>
    <w:charset w:val="00"/>
    <w:family w:val="auto"/>
    <w:pitch w:val="variable"/>
    <w:sig w:usb0="00000003" w:usb1="00000000" w:usb2="00000000" w:usb3="00000000" w:csb0="00000001" w:csb1="00000000"/>
  </w:font>
  <w:font w:name="TITUS Cyberbit Basic">
    <w:altName w:val="Times New Roman"/>
    <w:panose1 w:val="020B0604020202020204"/>
    <w:charset w:val="00"/>
    <w:family w:val="roman"/>
    <w:pitch w:val="variable"/>
    <w:sig w:usb0="E500AFFF" w:usb1="D00F7C7B" w:usb2="0000001E"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New (W1)">
    <w:altName w:val="Times"/>
    <w:panose1 w:val="00000500000000020000"/>
    <w:charset w:val="00"/>
    <w:family w:val="auto"/>
    <w:pitch w:val="variable"/>
    <w:sig w:usb0="00000003" w:usb1="00000000" w:usb2="00000000" w:usb3="00000000" w:csb0="00000001" w:csb1="00000000"/>
  </w:font>
  <w:font w:name="AF_Diwani">
    <w:panose1 w:val="020B0604020202020204"/>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Arabic Typesetting">
    <w:panose1 w:val="03020402040406030203"/>
    <w:charset w:val="B2"/>
    <w:family w:val="script"/>
    <w:pitch w:val="variable"/>
    <w:sig w:usb0="80002007" w:usb1="80000000" w:usb2="00000008" w:usb3="00000000" w:csb0="000000D3" w:csb1="00000000"/>
  </w:font>
  <w:font w:name="Mishafi Gold Regular">
    <w:panose1 w:val="00000400000000000000"/>
    <w:charset w:val="00"/>
    <w:family w:val="auto"/>
    <w:pitch w:val="variable"/>
    <w:sig w:usb0="00002003" w:usb1="80000000" w:usb2="00000008" w:usb3="00000000" w:csb0="00000041" w:csb1="00000000"/>
  </w:font>
  <w:font w:name="Times New Roman (Titres de thèm">
    <w:altName w:val="Times New Roman"/>
    <w:panose1 w:val="020B0604020202020204"/>
    <w:charset w:val="00"/>
    <w:family w:val="auto"/>
    <w:pitch w:val="variable"/>
    <w:sig w:usb0="E0002AEF" w:usb1="C0007841" w:usb2="00000009" w:usb3="00000000" w:csb0="000001FF" w:csb1="00000000"/>
  </w:font>
  <w:font w:name="Segoe UI">
    <w:altName w:val="Cambria"/>
    <w:panose1 w:val="020B0604020202020204"/>
    <w:charset w:val="00"/>
    <w:family w:val="swiss"/>
    <w:pitch w:val="variable"/>
    <w:sig w:usb0="E00022FF" w:usb1="C000205B" w:usb2="00000009" w:usb3="00000000" w:csb0="000001D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4D"/>
    <w:family w:val="swiss"/>
    <w:pitch w:val="variable"/>
    <w:sig w:usb0="00000003" w:usb1="00000000" w:usb2="00000000" w:usb3="00000000" w:csb0="00000003" w:csb1="00000000"/>
  </w:font>
  <w:font w:name="AppleGothic">
    <w:panose1 w:val="00000000000000000000"/>
    <w:charset w:val="81"/>
    <w:family w:val="auto"/>
    <w:pitch w:val="variable"/>
    <w:sig w:usb0="00000001" w:usb1="09060000" w:usb2="00000010" w:usb3="00000000" w:csb0="0028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l Bayan Plain">
    <w:panose1 w:val="00000000000000000000"/>
    <w:charset w:val="B2"/>
    <w:family w:val="auto"/>
    <w:pitch w:val="variable"/>
    <w:sig w:usb0="00002001" w:usb1="00000000" w:usb2="00000008" w:usb3="00000000" w:csb0="00000040" w:csb1="00000000"/>
  </w:font>
  <w:font w:name="-webkit-standard">
    <w:altName w:val="Times New Roman"/>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HQPB4">
    <w:altName w:val="Symbol"/>
    <w:panose1 w:val="020B0604020202020204"/>
    <w:charset w:val="02"/>
    <w:family w:val="auto"/>
    <w:pitch w:val="variable"/>
    <w:sig w:usb0="00000000" w:usb1="10000000" w:usb2="00000000" w:usb3="00000000" w:csb0="80000000" w:csb1="00000000"/>
  </w:font>
  <w:font w:name="HQPB1">
    <w:altName w:val="Symbol"/>
    <w:panose1 w:val="020B0604020202020204"/>
    <w:charset w:val="02"/>
    <w:family w:val="auto"/>
    <w:pitch w:val="variable"/>
    <w:sig w:usb0="00000000" w:usb1="10000000" w:usb2="00000000" w:usb3="00000000" w:csb0="80000000" w:csb1="00000000"/>
  </w:font>
  <w:font w:name="HQPB5">
    <w:altName w:val="Symbol"/>
    <w:panose1 w:val="020B0604020202020204"/>
    <w:charset w:val="02"/>
    <w:family w:val="auto"/>
    <w:pitch w:val="variable"/>
    <w:sig w:usb0="00000000" w:usb1="10000000" w:usb2="00000000" w:usb3="00000000" w:csb0="80000000" w:csb1="00000000"/>
  </w:font>
  <w:font w:name="HQPB2">
    <w:altName w:val="Symbol"/>
    <w:panose1 w:val="020B0604020202020204"/>
    <w:charset w:val="02"/>
    <w:family w:val="auto"/>
    <w:pitch w:val="variable"/>
    <w:sig w:usb0="00000000" w:usb1="10000000" w:usb2="00000000" w:usb3="00000000" w:csb0="80000000" w:csb1="00000000"/>
  </w:font>
  <w:font w:name="HQPB3">
    <w:altName w:val="Symbol"/>
    <w:panose1 w:val="020B0604020202020204"/>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361276"/>
      <w:docPartObj>
        <w:docPartGallery w:val="Page Numbers (Bottom of Page)"/>
        <w:docPartUnique/>
      </w:docPartObj>
    </w:sdtPr>
    <w:sdtEndPr>
      <w:rPr>
        <w:rFonts w:ascii="Times New Roman" w:hAnsi="Times New Roman"/>
        <w:noProof/>
      </w:rPr>
    </w:sdtEndPr>
    <w:sdtContent>
      <w:p w14:paraId="0FA5633A" w14:textId="77777777" w:rsidR="009C3BB9" w:rsidRPr="00561BDC" w:rsidRDefault="009C3BB9" w:rsidP="006A7C8D">
        <w:pPr>
          <w:pStyle w:val="Pieddepage"/>
          <w:bidi w:val="0"/>
          <w:jc w:val="center"/>
          <w:rPr>
            <w:rFonts w:ascii="Times New Roman" w:hAnsi="Times New Roman"/>
          </w:rPr>
        </w:pPr>
        <w:r>
          <w:fldChar w:fldCharType="begin"/>
        </w:r>
        <w:r>
          <w:instrText xml:space="preserve"> PAGE   \* MERGEFORMAT </w:instrText>
        </w:r>
        <w:r>
          <w:fldChar w:fldCharType="separate"/>
        </w:r>
        <w:r w:rsidR="002B1234" w:rsidRPr="002B1234">
          <w:rPr>
            <w:rFonts w:ascii="Times New Roman" w:hAnsi="Times New Roman"/>
            <w:noProof/>
          </w:rPr>
          <w:t>329</w:t>
        </w:r>
        <w:r>
          <w:rPr>
            <w:rFonts w:ascii="Times New Roman" w:hAnsi="Times New Roman"/>
            <w:noProof/>
          </w:rPr>
          <w:fldChar w:fldCharType="end"/>
        </w:r>
      </w:p>
    </w:sdtContent>
  </w:sdt>
  <w:p w14:paraId="56DC5A0C" w14:textId="77777777" w:rsidR="009C3BB9" w:rsidRDefault="009C3BB9">
    <w:pPr>
      <w:pStyle w:val="Pieddepage"/>
    </w:pPr>
  </w:p>
  <w:p w14:paraId="5E77751F" w14:textId="77777777" w:rsidR="009C3BB9" w:rsidRDefault="009C3B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5D857" w14:textId="77777777" w:rsidR="00BA118B" w:rsidRDefault="00BA118B" w:rsidP="00561BDC">
      <w:r>
        <w:separator/>
      </w:r>
    </w:p>
  </w:footnote>
  <w:footnote w:type="continuationSeparator" w:id="0">
    <w:p w14:paraId="4E8B7583" w14:textId="77777777" w:rsidR="00BA118B" w:rsidRDefault="00BA118B" w:rsidP="00561BDC">
      <w:r>
        <w:continuationSeparator/>
      </w:r>
    </w:p>
  </w:footnote>
  <w:footnote w:id="1">
    <w:p w14:paraId="7A83BADC" w14:textId="77777777" w:rsidR="009C3BB9" w:rsidRPr="00F230F1" w:rsidRDefault="009C3BB9" w:rsidP="00F230F1">
      <w:pPr>
        <w:pStyle w:val="NormalWeb"/>
        <w:spacing w:before="0" w:beforeAutospacing="0" w:after="0" w:afterAutospacing="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Christophe Rico, « La linguistique peut-elle définir l’acte de traduction ? », in J.-M. Poffet (dir.), </w:t>
      </w:r>
      <w:r w:rsidRPr="00F230F1">
        <w:rPr>
          <w:rFonts w:asciiTheme="majorBidi" w:hAnsiTheme="majorBidi" w:cstheme="majorBidi"/>
          <w:i/>
          <w:iCs/>
          <w:sz w:val="20"/>
          <w:szCs w:val="20"/>
        </w:rPr>
        <w:t>L’autorité de l’Écriture</w:t>
      </w:r>
      <w:r w:rsidRPr="00F230F1">
        <w:rPr>
          <w:rFonts w:asciiTheme="majorBidi" w:hAnsiTheme="majorBidi" w:cstheme="majorBidi"/>
          <w:sz w:val="20"/>
          <w:szCs w:val="20"/>
        </w:rPr>
        <w:t>, Hors-série, Le Cerf, Paris, 2002, p. 223.</w:t>
      </w:r>
    </w:p>
  </w:footnote>
  <w:footnote w:id="2">
    <w:p w14:paraId="2AA491C5"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Jacques Derrida, « Des Tours de Babel », in Joseph F. Graham (ed.), </w:t>
      </w:r>
      <w:r w:rsidRPr="00F230F1">
        <w:rPr>
          <w:rFonts w:asciiTheme="majorBidi" w:eastAsia="Calibri" w:hAnsiTheme="majorBidi" w:cstheme="majorBidi"/>
          <w:i/>
          <w:iCs/>
          <w:sz w:val="20"/>
          <w:szCs w:val="20"/>
          <w:lang w:bidi="ar-AE"/>
        </w:rPr>
        <w:t>Difference and Translation</w:t>
      </w:r>
      <w:r w:rsidRPr="00F230F1">
        <w:rPr>
          <w:rFonts w:asciiTheme="majorBidi" w:eastAsia="Calibri" w:hAnsiTheme="majorBidi" w:cstheme="majorBidi"/>
          <w:sz w:val="20"/>
          <w:szCs w:val="20"/>
          <w:lang w:bidi="ar-AE"/>
        </w:rPr>
        <w:t>, Cornell University Press, Ithaca, 1985, p. 208. Derrida, P</w:t>
      </w:r>
      <w:r w:rsidRPr="00F230F1">
        <w:rPr>
          <w:rStyle w:val="Accentuation"/>
          <w:rFonts w:asciiTheme="majorBidi" w:eastAsia="Times New Roman" w:hAnsiTheme="majorBidi" w:cstheme="majorBidi"/>
          <w:sz w:val="20"/>
          <w:szCs w:val="20"/>
        </w:rPr>
        <w:t>syché, Invention de l’autre</w:t>
      </w:r>
      <w:r w:rsidRPr="00F230F1">
        <w:rPr>
          <w:rFonts w:asciiTheme="majorBidi" w:eastAsia="Times New Roman" w:hAnsiTheme="majorBidi" w:cstheme="majorBidi"/>
          <w:sz w:val="20"/>
          <w:szCs w:val="20"/>
          <w:shd w:val="clear" w:color="auto" w:fill="FFFFFF"/>
        </w:rPr>
        <w:t>, p. 208.</w:t>
      </w:r>
    </w:p>
  </w:footnote>
  <w:footnote w:id="3">
    <w:p w14:paraId="0678F22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 traduction est « l’énonciation dans une autre langue (ou langue cible) de ce qui a été énoncé dans une langue (la langue source), en conservant les équivalences sémantiques et stylistiques » (Larousse). Dans quelle mesure cette définition s’applique sur la traduction du texte sacré, en l’occurrence le Coran ?</w:t>
      </w:r>
    </w:p>
  </w:footnote>
  <w:footnote w:id="4">
    <w:p w14:paraId="68EFB0B7" w14:textId="182AE94D" w:rsidR="009C3BB9" w:rsidRPr="00F230F1" w:rsidRDefault="009C3BB9" w:rsidP="00F230F1">
      <w:pPr>
        <w:contextualSpacing/>
        <w:jc w:val="both"/>
        <w:rPr>
          <w:rFonts w:asciiTheme="majorBidi" w:eastAsia="Calibri"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Le terme </w:t>
      </w:r>
      <w:r w:rsidRPr="00F230F1">
        <w:rPr>
          <w:rFonts w:asciiTheme="majorBidi" w:eastAsia="Calibri" w:hAnsiTheme="majorBidi" w:cstheme="majorBidi"/>
          <w:i/>
          <w:iCs/>
          <w:sz w:val="20"/>
          <w:szCs w:val="20"/>
          <w:lang w:bidi="ar-AE"/>
        </w:rPr>
        <w:t>polysémie</w:t>
      </w:r>
      <w:r w:rsidRPr="00F230F1">
        <w:rPr>
          <w:rFonts w:asciiTheme="majorBidi" w:eastAsia="Calibri" w:hAnsiTheme="majorBidi" w:cstheme="majorBidi"/>
          <w:sz w:val="20"/>
          <w:szCs w:val="20"/>
          <w:lang w:bidi="ar-AE"/>
        </w:rPr>
        <w:t>, qui est un phénomène langagier, désigne la propriété d’un terme qui présente plusieurs sens (Larousse), « la faculté que possèdent les mots de se présenter sous tant de faces » (</w:t>
      </w:r>
      <w:r w:rsidRPr="00F230F1">
        <w:rPr>
          <w:rFonts w:asciiTheme="majorBidi" w:hAnsiTheme="majorBidi" w:cstheme="majorBidi"/>
          <w:sz w:val="20"/>
          <w:szCs w:val="20"/>
          <w:lang w:bidi="ar-AE"/>
        </w:rPr>
        <w:t>Michel Bréal,</w:t>
      </w:r>
      <w:r w:rsidRPr="00F230F1">
        <w:rPr>
          <w:rFonts w:asciiTheme="majorBidi" w:hAnsiTheme="majorBidi" w:cstheme="majorBidi"/>
          <w:sz w:val="20"/>
          <w:szCs w:val="20"/>
          <w:shd w:val="clear" w:color="auto" w:fill="FFFFFF"/>
        </w:rPr>
        <w:t xml:space="preserve"> </w:t>
      </w:r>
      <w:r w:rsidRPr="00F230F1">
        <w:rPr>
          <w:rStyle w:val="CitationHTML"/>
          <w:rFonts w:asciiTheme="majorBidi" w:hAnsiTheme="majorBidi" w:cstheme="majorBidi"/>
          <w:sz w:val="20"/>
          <w:szCs w:val="20"/>
          <w:shd w:val="clear" w:color="auto" w:fill="FFFFFF"/>
        </w:rPr>
        <w:t>Essai de sémantique : science des significations</w:t>
      </w:r>
      <w:r w:rsidRPr="00F230F1">
        <w:rPr>
          <w:rFonts w:asciiTheme="majorBidi" w:hAnsiTheme="majorBidi" w:cstheme="majorBidi"/>
          <w:sz w:val="20"/>
          <w:szCs w:val="20"/>
          <w:shd w:val="clear" w:color="auto" w:fill="FFFFFF"/>
        </w:rPr>
        <w:t xml:space="preserve">, Paris, Hachette, </w:t>
      </w:r>
      <w:r w:rsidRPr="00F230F1">
        <w:rPr>
          <w:rFonts w:asciiTheme="majorBidi" w:hAnsiTheme="majorBidi" w:cstheme="majorBidi"/>
          <w:sz w:val="20"/>
          <w:szCs w:val="20"/>
          <w:shd w:val="clear" w:color="auto" w:fill="FFFFFF"/>
          <w:cs/>
        </w:rPr>
        <w:t>‎</w:t>
      </w:r>
      <w:r w:rsidRPr="00F230F1">
        <w:rPr>
          <w:rFonts w:asciiTheme="majorBidi" w:hAnsiTheme="majorBidi" w:cstheme="majorBidi"/>
          <w:sz w:val="20"/>
          <w:szCs w:val="20"/>
          <w:lang w:bidi="ar-AE"/>
        </w:rPr>
        <w:t xml:space="preserve"> 1897, p. 314</w:t>
      </w:r>
      <w:r w:rsidRPr="00F230F1">
        <w:rPr>
          <w:rFonts w:asciiTheme="majorBidi" w:hAnsiTheme="majorBidi" w:cstheme="majorBidi"/>
          <w:sz w:val="20"/>
          <w:szCs w:val="20"/>
        </w:rPr>
        <w:t>.</w:t>
      </w:r>
      <w:r w:rsidRPr="00F230F1">
        <w:rPr>
          <w:rFonts w:asciiTheme="majorBidi" w:eastAsia="Calibri" w:hAnsiTheme="majorBidi" w:cstheme="majorBidi"/>
          <w:sz w:val="20"/>
          <w:szCs w:val="20"/>
          <w:lang w:bidi="ar-AE"/>
        </w:rPr>
        <w:t xml:space="preserve">). Michel Bréal est le premier à avoir introduit le terme de </w:t>
      </w:r>
      <w:r w:rsidRPr="00F230F1">
        <w:rPr>
          <w:rFonts w:asciiTheme="majorBidi" w:eastAsia="Calibri" w:hAnsiTheme="majorBidi" w:cstheme="majorBidi"/>
          <w:i/>
          <w:iCs/>
          <w:sz w:val="20"/>
          <w:szCs w:val="20"/>
          <w:lang w:bidi="ar-AE"/>
        </w:rPr>
        <w:t>polysémie</w:t>
      </w:r>
      <w:r w:rsidRPr="00F230F1">
        <w:rPr>
          <w:rFonts w:asciiTheme="majorBidi" w:eastAsia="Calibri" w:hAnsiTheme="majorBidi" w:cstheme="majorBidi"/>
          <w:sz w:val="20"/>
          <w:szCs w:val="20"/>
          <w:lang w:bidi="ar-AE"/>
        </w:rPr>
        <w:t xml:space="preserve"> pour caractériser la</w:t>
      </w:r>
      <w:r w:rsidRPr="00F230F1">
        <w:rPr>
          <w:rFonts w:asciiTheme="majorBidi" w:eastAsia="Calibri" w:hAnsiTheme="majorBidi" w:cstheme="majorBidi"/>
          <w:sz w:val="20"/>
          <w:szCs w:val="20"/>
          <w:rtl/>
          <w:lang w:bidi="ar-AE"/>
        </w:rPr>
        <w:t xml:space="preserve"> </w:t>
      </w:r>
      <w:r w:rsidRPr="00F230F1">
        <w:rPr>
          <w:rFonts w:asciiTheme="majorBidi" w:eastAsia="Calibri" w:hAnsiTheme="majorBidi" w:cstheme="majorBidi"/>
          <w:sz w:val="20"/>
          <w:szCs w:val="20"/>
          <w:lang w:bidi="ar-AE"/>
        </w:rPr>
        <w:t>capacité des mots à « prendre un sens nouveau »</w:t>
      </w:r>
      <w:r w:rsidRPr="00F230F1">
        <w:rPr>
          <w:rFonts w:asciiTheme="majorBidi" w:eastAsia="Calibri" w:hAnsiTheme="majorBidi" w:cstheme="majorBidi"/>
          <w:sz w:val="20"/>
          <w:szCs w:val="20"/>
          <w:vertAlign w:val="superscript"/>
        </w:rPr>
        <w:t xml:space="preserve"> </w:t>
      </w:r>
      <w:r w:rsidRPr="00F230F1">
        <w:rPr>
          <w:rFonts w:asciiTheme="majorBidi" w:eastAsia="Calibri" w:hAnsiTheme="majorBidi" w:cstheme="majorBidi"/>
          <w:sz w:val="20"/>
          <w:szCs w:val="20"/>
          <w:lang w:bidi="ar-AE"/>
        </w:rPr>
        <w:t>(</w:t>
      </w:r>
      <w:r w:rsidRPr="00F230F1">
        <w:rPr>
          <w:rFonts w:asciiTheme="majorBidi" w:hAnsiTheme="majorBidi" w:cstheme="majorBidi"/>
          <w:sz w:val="20"/>
          <w:szCs w:val="20"/>
          <w:lang w:bidi="ar-AE"/>
        </w:rPr>
        <w:t>Hélène Mazaleyrat,</w:t>
      </w:r>
      <w:r w:rsidRPr="00F230F1">
        <w:rPr>
          <w:rFonts w:asciiTheme="majorBidi" w:hAnsiTheme="majorBidi" w:cstheme="majorBidi"/>
          <w:i/>
          <w:iCs/>
          <w:sz w:val="20"/>
          <w:szCs w:val="20"/>
          <w:lang w:bidi="ar-AE"/>
        </w:rPr>
        <w:t xml:space="preserve"> Vers une approche linguistico-cognitive de la polysémie : représentation de la signification et construction du sens</w:t>
      </w:r>
      <w:r w:rsidRPr="00F230F1">
        <w:rPr>
          <w:rFonts w:asciiTheme="majorBidi" w:hAnsiTheme="majorBidi" w:cstheme="majorBidi"/>
          <w:iCs/>
          <w:sz w:val="20"/>
          <w:szCs w:val="20"/>
          <w:lang w:bidi="ar-AE"/>
        </w:rPr>
        <w:t>, thèse de linguistique</w:t>
      </w:r>
      <w:r w:rsidRPr="00F230F1">
        <w:rPr>
          <w:rFonts w:asciiTheme="majorBidi" w:hAnsiTheme="majorBidi" w:cstheme="majorBidi"/>
          <w:sz w:val="20"/>
          <w:szCs w:val="20"/>
          <w:lang w:bidi="ar-AE"/>
        </w:rPr>
        <w:t>, Université Blaise Pascal – Clermont II, 2010, p. 10</w:t>
      </w:r>
      <w:r w:rsidRPr="00F230F1">
        <w:rPr>
          <w:rFonts w:asciiTheme="majorBidi" w:eastAsia="Calibri" w:hAnsiTheme="majorBidi" w:cstheme="majorBidi"/>
          <w:sz w:val="20"/>
          <w:szCs w:val="20"/>
          <w:lang w:bidi="ar-AE"/>
        </w:rPr>
        <w:t>).</w:t>
      </w:r>
    </w:p>
  </w:footnote>
  <w:footnote w:id="5">
    <w:p w14:paraId="4E5B4CCC" w14:textId="77777777" w:rsidR="009C3BB9" w:rsidRPr="00F230F1" w:rsidRDefault="009C3BB9" w:rsidP="00F230F1">
      <w:pPr>
        <w:contextualSpacing/>
        <w:jc w:val="both"/>
        <w:rPr>
          <w:rFonts w:asciiTheme="majorBidi" w:eastAsia="Calibri"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 xml:space="preserve">Qu’est-ce que le </w:t>
      </w:r>
      <w:r w:rsidRPr="00F230F1">
        <w:rPr>
          <w:rFonts w:asciiTheme="majorBidi" w:eastAsia="Calibri" w:hAnsiTheme="majorBidi" w:cstheme="majorBidi"/>
          <w:i/>
          <w:iCs/>
          <w:sz w:val="20"/>
          <w:szCs w:val="20"/>
        </w:rPr>
        <w:t>sacré</w:t>
      </w:r>
      <w:r w:rsidRPr="00F230F1">
        <w:rPr>
          <w:rFonts w:asciiTheme="majorBidi" w:eastAsia="Calibri" w:hAnsiTheme="majorBidi" w:cstheme="majorBidi"/>
          <w:sz w:val="20"/>
          <w:szCs w:val="20"/>
        </w:rPr>
        <w:t xml:space="preserve"> ? Selon le </w:t>
      </w:r>
      <w:r w:rsidRPr="00F230F1">
        <w:rPr>
          <w:rFonts w:asciiTheme="majorBidi" w:eastAsia="Calibri" w:hAnsiTheme="majorBidi" w:cstheme="majorBidi"/>
          <w:i/>
          <w:iCs/>
          <w:sz w:val="20"/>
          <w:szCs w:val="20"/>
          <w:shd w:val="clear" w:color="auto" w:fill="FFFFFF"/>
        </w:rPr>
        <w:t>Vocabulaire technique et critique de la philosophie</w:t>
      </w:r>
      <w:r w:rsidRPr="00F230F1">
        <w:rPr>
          <w:rFonts w:asciiTheme="majorBidi" w:eastAsia="Calibri" w:hAnsiTheme="majorBidi" w:cstheme="majorBidi"/>
          <w:sz w:val="20"/>
          <w:szCs w:val="20"/>
        </w:rPr>
        <w:t>, il s’agit de ce « qui appartient à un ordre de choses séparé, réservé, inviolable ; qui doit être l’objet d’un respect religieux de la part d’un groupe de croyants »</w:t>
      </w:r>
      <w:r w:rsidRPr="00F230F1">
        <w:rPr>
          <w:rFonts w:asciiTheme="majorBidi" w:hAnsiTheme="majorBidi" w:cstheme="majorBidi"/>
          <w:sz w:val="20"/>
          <w:szCs w:val="20"/>
        </w:rPr>
        <w:t xml:space="preserve"> (</w:t>
      </w:r>
      <w:r w:rsidRPr="00F230F1">
        <w:rPr>
          <w:rFonts w:asciiTheme="majorBidi" w:hAnsiTheme="majorBidi" w:cstheme="majorBidi"/>
          <w:sz w:val="20"/>
          <w:szCs w:val="20"/>
          <w:shd w:val="clear" w:color="auto" w:fill="FFFFFF"/>
        </w:rPr>
        <w:t>Lalande, André,</w:t>
      </w:r>
      <w:r w:rsidRPr="00F230F1">
        <w:rPr>
          <w:rFonts w:asciiTheme="majorBidi" w:hAnsiTheme="majorBidi" w:cstheme="majorBidi"/>
          <w:i/>
          <w:iCs/>
          <w:sz w:val="20"/>
          <w:szCs w:val="20"/>
          <w:shd w:val="clear" w:color="auto" w:fill="FFFFFF"/>
        </w:rPr>
        <w:t xml:space="preserve"> Vocabulaire technique et critique de la philosophie</w:t>
      </w:r>
      <w:r w:rsidRPr="00F230F1">
        <w:rPr>
          <w:rStyle w:val="apple-converted-space"/>
          <w:rFonts w:asciiTheme="majorBidi" w:hAnsiTheme="majorBidi" w:cstheme="majorBidi"/>
          <w:sz w:val="20"/>
          <w:szCs w:val="20"/>
          <w:shd w:val="clear" w:color="auto" w:fill="FFFFFF"/>
        </w:rPr>
        <w:t>, Librairie Félix Alcan, Paris 1926, pp. 721 et 722</w:t>
      </w:r>
      <w:r w:rsidRPr="00F230F1">
        <w:rPr>
          <w:rFonts w:asciiTheme="majorBidi" w:hAnsiTheme="majorBidi" w:cstheme="majorBidi"/>
          <w:sz w:val="20"/>
          <w:szCs w:val="20"/>
        </w:rPr>
        <w:t>).</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sz w:val="20"/>
          <w:szCs w:val="20"/>
          <w:shd w:val="clear" w:color="auto" w:fill="FFFFFF"/>
        </w:rPr>
        <w:t>Ainsi, le terme « </w:t>
      </w:r>
      <w:r w:rsidRPr="00F230F1">
        <w:rPr>
          <w:rFonts w:asciiTheme="majorBidi" w:eastAsia="Calibri" w:hAnsiTheme="majorBidi" w:cstheme="majorBidi"/>
          <w:i/>
          <w:iCs/>
          <w:sz w:val="20"/>
          <w:szCs w:val="20"/>
          <w:shd w:val="clear" w:color="auto" w:fill="FFFFFF"/>
        </w:rPr>
        <w:t>sacré</w:t>
      </w:r>
      <w:r w:rsidRPr="00F230F1">
        <w:rPr>
          <w:rFonts w:asciiTheme="majorBidi" w:eastAsia="Calibri" w:hAnsiTheme="majorBidi" w:cstheme="majorBidi"/>
          <w:sz w:val="20"/>
          <w:szCs w:val="20"/>
          <w:shd w:val="clear" w:color="auto" w:fill="FFFFFF"/>
        </w:rPr>
        <w:t> » ne définit pas la nature d’un texte mais la position personnelle d’un certain nombre de lecteurs vis-à-vis un texte donné. De ce fait, le texte sacré, aussi ancien soit-il, reste un texte littéraire et rien n’empêche d’appliquer sur lui des outils aussi modernes soient-ils. Le texte littéraire est celui qui emploie le langage littéraire, un type de langage qui obéit à des préoccupations esthétiques afin de capter l’intérêt du lecteur. L’auteur de littérature cherche les mots appropriés pour exprimer ses idées avec soin et beauté tout en suivant un certain critère de style. (</w:t>
      </w:r>
      <w:r w:rsidRPr="00F230F1">
        <w:rPr>
          <w:rFonts w:asciiTheme="majorBidi" w:eastAsia="Calibri" w:hAnsiTheme="majorBidi" w:cstheme="majorBidi"/>
          <w:i/>
          <w:iCs/>
          <w:sz w:val="20"/>
          <w:szCs w:val="20"/>
          <w:shd w:val="clear" w:color="auto" w:fill="FFFFFF"/>
        </w:rPr>
        <w:t>Le dico des définitions</w:t>
      </w:r>
      <w:r w:rsidRPr="00F230F1">
        <w:rPr>
          <w:rFonts w:asciiTheme="majorBidi" w:eastAsia="Calibri" w:hAnsiTheme="majorBidi" w:cstheme="majorBidi"/>
          <w:sz w:val="20"/>
          <w:szCs w:val="20"/>
          <w:shd w:val="clear" w:color="auto" w:fill="FFFFFF"/>
        </w:rPr>
        <w:t>, « </w:t>
      </w:r>
      <w:r w:rsidRPr="00F230F1">
        <w:rPr>
          <w:rFonts w:asciiTheme="majorBidi" w:hAnsiTheme="majorBidi" w:cstheme="majorBidi"/>
          <w:sz w:val="20"/>
          <w:szCs w:val="20"/>
          <w:bdr w:val="none" w:sz="0" w:space="0" w:color="auto" w:frame="1"/>
        </w:rPr>
        <w:t>Définition de texte littéraire », 2012,</w:t>
      </w:r>
      <w:r w:rsidRPr="00F230F1">
        <w:rPr>
          <w:rStyle w:val="apple-converted-space"/>
          <w:rFonts w:asciiTheme="majorBidi" w:hAnsiTheme="majorBidi" w:cstheme="majorBidi"/>
          <w:color w:val="000000"/>
          <w:sz w:val="20"/>
          <w:szCs w:val="20"/>
          <w:bdr w:val="none" w:sz="0" w:space="0" w:color="auto" w:frame="1"/>
        </w:rPr>
        <w:t> </w:t>
      </w:r>
      <w:hyperlink r:id="rId1" w:anchor="ixzz36EntVLLa" w:history="1">
        <w:r w:rsidRPr="00F230F1">
          <w:rPr>
            <w:rStyle w:val="Lienhypertexte"/>
            <w:rFonts w:asciiTheme="majorBidi" w:hAnsiTheme="majorBidi" w:cstheme="majorBidi"/>
            <w:color w:val="003399"/>
            <w:sz w:val="20"/>
            <w:szCs w:val="20"/>
            <w:bdr w:val="none" w:sz="0" w:space="0" w:color="auto" w:frame="1"/>
          </w:rPr>
          <w:t>http://lesdefinitions.fr/texte-litteraire#ixzz36EntVLLa</w:t>
        </w:r>
      </w:hyperlink>
      <w:r w:rsidRPr="00F230F1">
        <w:rPr>
          <w:rFonts w:asciiTheme="majorBidi" w:hAnsiTheme="majorBidi" w:cstheme="majorBidi"/>
          <w:sz w:val="20"/>
          <w:szCs w:val="20"/>
          <w:lang w:bidi="ar-AE"/>
        </w:rPr>
        <w:t>. Consulté le 23/06/2017.</w:t>
      </w:r>
      <w:r w:rsidRPr="00F230F1">
        <w:rPr>
          <w:rFonts w:asciiTheme="majorBidi" w:eastAsia="Calibri" w:hAnsiTheme="majorBidi" w:cstheme="majorBidi"/>
          <w:sz w:val="20"/>
          <w:szCs w:val="20"/>
          <w:shd w:val="clear" w:color="auto" w:fill="FFFFFF"/>
        </w:rPr>
        <w:t>) Cette définition s’applique au texte coranique dans la mesure où son auteur donne une grande importance au style, à la musicalité, à la beauté pour exprimer ses idées.</w:t>
      </w:r>
    </w:p>
  </w:footnote>
  <w:footnote w:id="6">
    <w:p w14:paraId="1F9E12AA"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David Bellos, </w:t>
      </w:r>
      <w:r w:rsidRPr="00F230F1">
        <w:rPr>
          <w:rFonts w:asciiTheme="majorBidi" w:hAnsiTheme="majorBidi" w:cstheme="majorBidi"/>
          <w:i/>
          <w:iCs/>
          <w:sz w:val="20"/>
          <w:szCs w:val="20"/>
        </w:rPr>
        <w:t>Le poisson et le bananier : Une histoire fabuleuse de la traduction</w:t>
      </w:r>
      <w:r w:rsidRPr="00F230F1">
        <w:rPr>
          <w:rFonts w:asciiTheme="majorBidi" w:hAnsiTheme="majorBidi" w:cstheme="majorBidi"/>
          <w:sz w:val="20"/>
          <w:szCs w:val="20"/>
        </w:rPr>
        <w:t>, Flammarion, Paris, 2012, p. 41</w:t>
      </w:r>
      <w:r w:rsidRPr="00F230F1">
        <w:rPr>
          <w:rFonts w:asciiTheme="majorBidi" w:eastAsia="Calibri" w:hAnsiTheme="majorBidi" w:cstheme="majorBidi"/>
          <w:sz w:val="20"/>
          <w:szCs w:val="20"/>
          <w:lang w:bidi="ar-AE"/>
        </w:rPr>
        <w:t xml:space="preserve"> et p. 82.</w:t>
      </w:r>
    </w:p>
  </w:footnote>
  <w:footnote w:id="7">
    <w:p w14:paraId="0E3ED475"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Alfred-Louis de Prémare souligne à ce propos : “Pour ma part, lorsque je lis le Coran, je trouve étrange que l’on ait pu le considérer comme étant la seule base, </w:t>
      </w:r>
      <w:r w:rsidRPr="00F230F1">
        <w:rPr>
          <w:rFonts w:asciiTheme="majorBidi" w:eastAsia="Calibri" w:hAnsiTheme="majorBidi" w:cstheme="majorBidi"/>
          <w:i/>
          <w:iCs/>
          <w:sz w:val="20"/>
          <w:szCs w:val="20"/>
          <w:lang w:bidi="ar-AE"/>
        </w:rPr>
        <w:t>à peu près sûre</w:t>
      </w:r>
      <w:r w:rsidRPr="00F230F1">
        <w:rPr>
          <w:rFonts w:asciiTheme="majorBidi" w:eastAsia="Calibri" w:hAnsiTheme="majorBidi" w:cstheme="majorBidi"/>
          <w:sz w:val="20"/>
          <w:szCs w:val="20"/>
          <w:lang w:bidi="ar-AE"/>
        </w:rPr>
        <w:t xml:space="preserve">, pour établir une biographie du fondateur de l’islam. En effet, le Coran ne se présente absolument pas comme un document historico-narratif. Il ne comporte aucune narration sur Muḥammad ou sur les événements du début de l’islam, à l’exception de quelques bribes purement allusives. Cette base estimée </w:t>
      </w:r>
      <w:r w:rsidRPr="00F230F1">
        <w:rPr>
          <w:rFonts w:asciiTheme="majorBidi" w:eastAsia="Calibri" w:hAnsiTheme="majorBidi" w:cstheme="majorBidi"/>
          <w:i/>
          <w:iCs/>
          <w:sz w:val="20"/>
          <w:szCs w:val="20"/>
          <w:lang w:bidi="ar-AE"/>
        </w:rPr>
        <w:t>sûre</w:t>
      </w:r>
      <w:r w:rsidRPr="00F230F1">
        <w:rPr>
          <w:rFonts w:asciiTheme="majorBidi" w:eastAsia="Calibri" w:hAnsiTheme="majorBidi" w:cstheme="majorBidi"/>
          <w:sz w:val="20"/>
          <w:szCs w:val="20"/>
          <w:lang w:bidi="ar-AE"/>
        </w:rPr>
        <w:t xml:space="preserve"> me semble bien aléatoire lorsqu’il s’agit d’histoire et, plus particulièrement, de </w:t>
      </w:r>
      <w:r w:rsidRPr="00F230F1">
        <w:rPr>
          <w:rFonts w:asciiTheme="majorBidi" w:eastAsia="Calibri" w:hAnsiTheme="majorBidi" w:cstheme="majorBidi"/>
          <w:i/>
          <w:iCs/>
          <w:sz w:val="20"/>
          <w:szCs w:val="20"/>
          <w:lang w:bidi="ar-AE"/>
        </w:rPr>
        <w:t>biographie</w:t>
      </w:r>
      <w:r w:rsidRPr="00F230F1">
        <w:rPr>
          <w:rFonts w:asciiTheme="majorBidi" w:eastAsia="Calibri" w:hAnsiTheme="majorBidi" w:cstheme="majorBidi"/>
          <w:sz w:val="20"/>
          <w:szCs w:val="20"/>
          <w:lang w:bidi="ar-AE"/>
        </w:rPr>
        <w:t xml:space="preserve">, où il s’agit </w:t>
      </w:r>
      <w:r w:rsidRPr="00F230F1">
        <w:rPr>
          <w:rFonts w:asciiTheme="majorBidi" w:eastAsia="Calibri" w:hAnsiTheme="majorBidi" w:cstheme="majorBidi"/>
          <w:i/>
          <w:iCs/>
          <w:sz w:val="20"/>
          <w:szCs w:val="20"/>
          <w:lang w:bidi="ar-AE"/>
        </w:rPr>
        <w:t>d’écrire une Vie</w:t>
      </w:r>
      <w:r w:rsidRPr="00F230F1">
        <w:rPr>
          <w:rFonts w:asciiTheme="majorBidi" w:eastAsia="Calibri" w:hAnsiTheme="majorBidi" w:cstheme="majorBidi"/>
          <w:sz w:val="20"/>
          <w:szCs w:val="20"/>
          <w:lang w:bidi="ar-AE"/>
        </w:rPr>
        <w:t xml:space="preserve"> et de présenter son personnage central. J’évoquerai quelques illustrations de ce caractère aléatoire, faute de ne pouvoir aller plus loin dans le cadre limité de cet exposé. Ces illustrations sont, cependant, significatives. Le nom de Muḥammad n’apparaît que quatre fois dans le Coran : deux fois pour affirmer qu’il est l’envoyé de Dieu, une fois pour dire que le Coran est </w:t>
      </w:r>
      <w:r w:rsidRPr="00F230F1">
        <w:rPr>
          <w:rFonts w:asciiTheme="majorBidi" w:eastAsia="Calibri" w:hAnsiTheme="majorBidi" w:cstheme="majorBidi"/>
          <w:i/>
          <w:iCs/>
          <w:sz w:val="20"/>
          <w:szCs w:val="20"/>
          <w:lang w:bidi="ar-AE"/>
        </w:rPr>
        <w:t>descendu</w:t>
      </w:r>
      <w:r w:rsidRPr="00F230F1">
        <w:rPr>
          <w:rFonts w:asciiTheme="majorBidi" w:eastAsia="Calibri" w:hAnsiTheme="majorBidi" w:cstheme="majorBidi"/>
          <w:sz w:val="20"/>
          <w:szCs w:val="20"/>
          <w:lang w:bidi="ar-AE"/>
        </w:rPr>
        <w:t xml:space="preserve"> sur lui, et une fois pour dire, dans un contexte particulier concernant une allusion à l’un de ses mariages contestés, qu’il est le sceau des prophètes. C’est même le seul cas où, à côté de Muḥammad, apparaît le nom de l’un de ses compagnons, Zayd. Mis à part ce Zayd, dont on nous parlera ailleurs que dans le Coran, rien n’est dit, dans celui-ci, sur les grands </w:t>
      </w:r>
      <w:r w:rsidRPr="00F230F1">
        <w:rPr>
          <w:rFonts w:asciiTheme="majorBidi" w:eastAsia="Calibri" w:hAnsiTheme="majorBidi" w:cstheme="majorBidi"/>
          <w:i/>
          <w:iCs/>
          <w:sz w:val="20"/>
          <w:szCs w:val="20"/>
          <w:lang w:bidi="ar-AE"/>
        </w:rPr>
        <w:t>Compagnons</w:t>
      </w:r>
      <w:r w:rsidRPr="00F230F1">
        <w:rPr>
          <w:rFonts w:asciiTheme="majorBidi" w:eastAsia="Calibri" w:hAnsiTheme="majorBidi" w:cstheme="majorBidi"/>
          <w:sz w:val="20"/>
          <w:szCs w:val="20"/>
          <w:lang w:bidi="ar-AE"/>
        </w:rPr>
        <w:t xml:space="preserve"> historiques figurant dans toute biographie de Muḥammad comme étant, à ses côtés, des sortes de co-fondateurs : Abū-Bakr, ʿUmar, ʿUthmān, ʿAlī, et beaucoup d’autres. Rien sur ceux qui auraient été ses scribes, ses familiers, etc. Plusieurs fois, il est fait allusion à certaines de ses épouses, mais de façon très contournée, et sans jamais qu’aucun nom n’en soit donné. S’il fallait nous appuyer uniquement sur le Coran, nous serions bien en peine de savoir de qui il s’agit et, surtout, de quoi il s’agit.” (de Prémare, Alfred-Louis, “L’approche historique des figures religieuses : Muhammad”, </w:t>
      </w:r>
      <w:r w:rsidRPr="00F230F1">
        <w:rPr>
          <w:rFonts w:asciiTheme="majorBidi" w:eastAsia="Calibri" w:hAnsiTheme="majorBidi" w:cstheme="majorBidi"/>
          <w:i/>
          <w:iCs/>
          <w:sz w:val="20"/>
          <w:szCs w:val="20"/>
          <w:lang w:bidi="ar-AE"/>
        </w:rPr>
        <w:t>Actes de l’université d’automne - Religions et modernité</w:t>
      </w:r>
      <w:r w:rsidRPr="00F230F1">
        <w:rPr>
          <w:rFonts w:asciiTheme="majorBidi" w:eastAsia="Calibri" w:hAnsiTheme="majorBidi" w:cstheme="majorBidi"/>
          <w:sz w:val="20"/>
          <w:szCs w:val="20"/>
          <w:lang w:bidi="ar-AE"/>
        </w:rPr>
        <w:t xml:space="preserve">, Éduscol (Portail national des professionnels de l’éducation), </w:t>
      </w:r>
      <w:hyperlink r:id="rId2" w:history="1">
        <w:r w:rsidRPr="00F230F1">
          <w:rPr>
            <w:rStyle w:val="Lienhypertexte"/>
            <w:rFonts w:asciiTheme="majorBidi" w:eastAsia="Calibri" w:hAnsiTheme="majorBidi" w:cstheme="majorBidi"/>
            <w:sz w:val="20"/>
            <w:szCs w:val="20"/>
            <w:lang w:bidi="ar-AE"/>
          </w:rPr>
          <w:t>http://eduscol.education.fr/cid46655/l-approche-historique-des-figures-religieuses%C2%A0-muhammad.html</w:t>
        </w:r>
      </w:hyperlink>
      <w:r w:rsidRPr="00F230F1">
        <w:rPr>
          <w:rFonts w:asciiTheme="majorBidi" w:eastAsia="Calibri" w:hAnsiTheme="majorBidi" w:cstheme="majorBidi"/>
          <w:sz w:val="20"/>
          <w:szCs w:val="20"/>
          <w:lang w:bidi="ar-AE"/>
        </w:rPr>
        <w:t xml:space="preserve"> , consulté le 13/07/2017.</w:t>
      </w:r>
    </w:p>
  </w:footnote>
  <w:footnote w:id="8">
    <w:p w14:paraId="1B695809"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Calibri" w:hAnsiTheme="majorBidi" w:cstheme="majorBidi"/>
          <w:sz w:val="20"/>
          <w:szCs w:val="20"/>
          <w:lang w:bidi="ar-AE"/>
        </w:rPr>
        <w:t xml:space="preserve">As-Suyūṭī, </w:t>
      </w:r>
      <w:r w:rsidRPr="00F230F1">
        <w:rPr>
          <w:rFonts w:asciiTheme="majorBidi" w:eastAsia="Calibri" w:hAnsiTheme="majorBidi" w:cstheme="majorBidi"/>
          <w:i/>
          <w:iCs/>
          <w:sz w:val="20"/>
          <w:szCs w:val="20"/>
          <w:lang w:bidi="ar-AE"/>
        </w:rPr>
        <w:t>Al-Itqān fī ʿulūm al-qurʾān</w:t>
      </w:r>
      <w:r w:rsidRPr="00F230F1">
        <w:rPr>
          <w:rFonts w:asciiTheme="majorBidi" w:eastAsia="Calibri" w:hAnsiTheme="majorBidi" w:cstheme="majorBidi"/>
          <w:sz w:val="20"/>
          <w:szCs w:val="20"/>
          <w:lang w:bidi="ar-AE"/>
        </w:rPr>
        <w:t xml:space="preserve"> [« La perfection dans les sciences du Coran »], partie 3, page 72, Dār al-kutub al-ʿilmīya, Beyrouth, 1995.</w:t>
      </w:r>
    </w:p>
  </w:footnote>
  <w:footnote w:id="9">
    <w:p w14:paraId="33630858" w14:textId="77777777" w:rsidR="009C3BB9" w:rsidRPr="00F230F1" w:rsidRDefault="009C3BB9" w:rsidP="00F230F1">
      <w:pPr>
        <w:contextualSpacing/>
        <w:jc w:val="both"/>
        <w:rPr>
          <w:rFonts w:asciiTheme="majorBidi" w:eastAsia="Calibr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David Bellos,</w:t>
      </w:r>
      <w:r w:rsidRPr="00F230F1">
        <w:rPr>
          <w:rFonts w:asciiTheme="majorBidi" w:hAnsiTheme="majorBidi" w:cstheme="majorBidi"/>
          <w:i/>
          <w:iCs/>
          <w:sz w:val="20"/>
          <w:szCs w:val="20"/>
        </w:rPr>
        <w:t xml:space="preserve"> Le poisson et le bananier</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lang w:bidi="ar-AE"/>
        </w:rPr>
        <w:t>., p.</w:t>
      </w:r>
      <w:r w:rsidRPr="00F230F1">
        <w:rPr>
          <w:rFonts w:asciiTheme="majorBidi" w:eastAsia="Calibri" w:hAnsiTheme="majorBidi" w:cstheme="majorBidi"/>
          <w:sz w:val="20"/>
          <w:szCs w:val="20"/>
          <w:lang w:bidi="ar-AE"/>
        </w:rPr>
        <w:t xml:space="preserve"> 83.</w:t>
      </w:r>
    </w:p>
  </w:footnote>
  <w:footnote w:id="10">
    <w:p w14:paraId="7943DED9"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Claude Gilliot, « </w:t>
      </w:r>
      <w:r w:rsidRPr="00F230F1">
        <w:rPr>
          <w:rFonts w:asciiTheme="majorBidi" w:eastAsia="Times New Roman" w:hAnsiTheme="majorBidi" w:cstheme="majorBidi"/>
          <w:color w:val="222222"/>
          <w:sz w:val="20"/>
          <w:szCs w:val="20"/>
          <w:shd w:val="clear" w:color="auto" w:fill="FFFFFF"/>
        </w:rPr>
        <w:t xml:space="preserve">Muhammad, Le Coran et les "Contraintes de l’histoire" ». In: </w:t>
      </w:r>
      <w:r w:rsidRPr="00F230F1">
        <w:rPr>
          <w:rFonts w:asciiTheme="majorBidi" w:eastAsia="Times New Roman" w:hAnsiTheme="majorBidi" w:cstheme="majorBidi"/>
          <w:iCs/>
          <w:color w:val="222222"/>
          <w:sz w:val="20"/>
          <w:szCs w:val="20"/>
          <w:shd w:val="clear" w:color="auto" w:fill="FFFFFF"/>
        </w:rPr>
        <w:t>Stefan Wild</w:t>
      </w:r>
      <w:r w:rsidRPr="00F230F1">
        <w:rPr>
          <w:rFonts w:asciiTheme="majorBidi" w:eastAsia="Times New Roman" w:hAnsiTheme="majorBidi" w:cstheme="majorBidi"/>
          <w:color w:val="222222"/>
          <w:sz w:val="20"/>
          <w:szCs w:val="20"/>
          <w:shd w:val="clear" w:color="auto" w:fill="FFFFFF"/>
        </w:rPr>
        <w:t xml:space="preserve"> (Hrsg.) : </w:t>
      </w:r>
      <w:r w:rsidRPr="00F230F1">
        <w:rPr>
          <w:rFonts w:asciiTheme="majorBidi" w:eastAsia="Times New Roman" w:hAnsiTheme="majorBidi" w:cstheme="majorBidi"/>
          <w:i/>
          <w:iCs/>
          <w:color w:val="222222"/>
          <w:sz w:val="20"/>
          <w:szCs w:val="20"/>
          <w:shd w:val="clear" w:color="auto" w:fill="FFFFFF"/>
        </w:rPr>
        <w:t>The Qur'an as Text</w:t>
      </w:r>
      <w:r w:rsidRPr="00F230F1">
        <w:rPr>
          <w:rFonts w:asciiTheme="majorBidi" w:eastAsia="Times New Roman" w:hAnsiTheme="majorBidi" w:cstheme="majorBidi"/>
          <w:color w:val="222222"/>
          <w:sz w:val="20"/>
          <w:szCs w:val="20"/>
          <w:shd w:val="clear" w:color="auto" w:fill="FFFFFF"/>
        </w:rPr>
        <w:t>. Brill, Leiden,</w:t>
      </w:r>
      <w:r w:rsidRPr="00F230F1">
        <w:rPr>
          <w:rFonts w:asciiTheme="majorBidi" w:eastAsia="Times New Roman" w:hAnsiTheme="majorBidi" w:cstheme="majorBidi"/>
          <w:sz w:val="20"/>
          <w:szCs w:val="20"/>
        </w:rPr>
        <w:t xml:space="preserve"> 1996, p. 26.</w:t>
      </w:r>
    </w:p>
  </w:footnote>
  <w:footnote w:id="11">
    <w:p w14:paraId="3BC92497" w14:textId="77777777" w:rsidR="009C3BB9" w:rsidRPr="00F230F1" w:rsidRDefault="009C3BB9" w:rsidP="00F230F1">
      <w:pPr>
        <w:contextualSpacing/>
        <w:jc w:val="both"/>
        <w:rPr>
          <w:rFonts w:asciiTheme="majorBidi" w:eastAsia="Calibri" w:hAnsiTheme="majorBidi" w:cstheme="majorBidi"/>
          <w:color w:val="7030A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L’exégèse est l’explication philologique, historique ou doctrinale d’un texte obscur ou sujet à discussion (Larousse). Le terme arabe qui désigne l’exégèse est « </w:t>
      </w:r>
      <w:r w:rsidRPr="00F230F1">
        <w:rPr>
          <w:rFonts w:asciiTheme="majorBidi" w:eastAsia="Calibri" w:hAnsiTheme="majorBidi" w:cstheme="majorBidi"/>
          <w:i/>
          <w:iCs/>
          <w:sz w:val="20"/>
          <w:szCs w:val="20"/>
        </w:rPr>
        <w:t>tafsīr</w:t>
      </w:r>
      <w:r w:rsidRPr="00F230F1">
        <w:rPr>
          <w:rFonts w:asciiTheme="majorBidi" w:eastAsia="Calibri" w:hAnsiTheme="majorBidi" w:cstheme="majorBidi"/>
          <w:sz w:val="20"/>
          <w:szCs w:val="20"/>
        </w:rPr>
        <w:t xml:space="preserve"> » (pl. </w:t>
      </w:r>
      <w:r w:rsidRPr="00F230F1">
        <w:rPr>
          <w:rFonts w:asciiTheme="majorBidi" w:eastAsia="Calibri" w:hAnsiTheme="majorBidi" w:cstheme="majorBidi"/>
          <w:i/>
          <w:iCs/>
          <w:sz w:val="20"/>
          <w:szCs w:val="20"/>
        </w:rPr>
        <w:t>tafāsīr</w:t>
      </w:r>
      <w:r w:rsidRPr="00F230F1">
        <w:rPr>
          <w:rFonts w:asciiTheme="majorBidi" w:eastAsia="Calibri" w:hAnsiTheme="majorBidi" w:cstheme="majorBidi"/>
          <w:sz w:val="20"/>
          <w:szCs w:val="20"/>
        </w:rPr>
        <w:t xml:space="preserve">, « interprétation »), « généralement, mais pas toujours, du </w:t>
      </w:r>
      <w:r w:rsidRPr="00F230F1">
        <w:rPr>
          <w:rFonts w:asciiTheme="majorBidi" w:eastAsia="Calibri" w:hAnsiTheme="majorBidi" w:cstheme="majorBidi"/>
          <w:i/>
          <w:iCs/>
          <w:sz w:val="20"/>
          <w:szCs w:val="20"/>
        </w:rPr>
        <w:t>Qurʾān</w:t>
      </w:r>
      <w:r w:rsidRPr="00F230F1">
        <w:rPr>
          <w:rFonts w:asciiTheme="majorBidi" w:eastAsia="Calibri" w:hAnsiTheme="majorBidi" w:cstheme="majorBidi"/>
          <w:sz w:val="20"/>
          <w:szCs w:val="20"/>
        </w:rPr>
        <w:t xml:space="preserve">. Le mot, employé pour désigner des commentaires d’œuvres scientifiques et philosophiques grecques, est équivalent à </w:t>
      </w:r>
      <w:r w:rsidRPr="00F230F1">
        <w:rPr>
          <w:rFonts w:asciiTheme="majorBidi" w:eastAsia="Calibri" w:hAnsiTheme="majorBidi" w:cstheme="majorBidi"/>
          <w:i/>
          <w:iCs/>
          <w:sz w:val="20"/>
          <w:szCs w:val="20"/>
        </w:rPr>
        <w:t>sharḥ</w:t>
      </w:r>
      <w:r w:rsidRPr="00F230F1">
        <w:rPr>
          <w:rFonts w:asciiTheme="majorBidi" w:eastAsia="Calibri" w:hAnsiTheme="majorBidi" w:cstheme="majorBidi"/>
          <w:sz w:val="20"/>
          <w:szCs w:val="20"/>
        </w:rPr>
        <w:t xml:space="preserve">. Le terme s’applique, par exemple, aux commentaires en grec et en arabe des ouvrages d’Aristote. Des Juifs et des Chrétiens, écrivant en arabe, utilisent aussi le mot à propos de traductions et de commentaires de la Bible […]. Cependant, l’emploi le plus significatif de ce mot […] est le fait de se référer à la branche du savoir islamique concernant le </w:t>
      </w:r>
      <w:r w:rsidRPr="00F230F1">
        <w:rPr>
          <w:rFonts w:asciiTheme="majorBidi" w:eastAsia="Calibri" w:hAnsiTheme="majorBidi" w:cstheme="majorBidi"/>
          <w:i/>
          <w:iCs/>
          <w:sz w:val="20"/>
          <w:szCs w:val="20"/>
        </w:rPr>
        <w:t>Qurʾān</w:t>
      </w:r>
      <w:r w:rsidRPr="00F230F1">
        <w:rPr>
          <w:rFonts w:asciiTheme="majorBidi" w:eastAsia="Calibri" w:hAnsiTheme="majorBidi" w:cstheme="majorBidi"/>
          <w:sz w:val="20"/>
          <w:szCs w:val="20"/>
        </w:rPr>
        <w:t xml:space="preserve">. C’est une part essentielle de la formation donnée dans la </w:t>
      </w:r>
      <w:r w:rsidRPr="00F230F1">
        <w:rPr>
          <w:rFonts w:asciiTheme="majorBidi" w:eastAsia="Calibri" w:hAnsiTheme="majorBidi" w:cstheme="majorBidi"/>
          <w:i/>
          <w:iCs/>
          <w:sz w:val="20"/>
          <w:szCs w:val="20"/>
        </w:rPr>
        <w:t>madrasa</w:t>
      </w:r>
      <w:r w:rsidRPr="00F230F1">
        <w:rPr>
          <w:rFonts w:asciiTheme="majorBidi" w:eastAsia="Calibri" w:hAnsiTheme="majorBidi" w:cstheme="majorBidi"/>
          <w:sz w:val="20"/>
          <w:szCs w:val="20"/>
        </w:rPr>
        <w:t xml:space="preserve">, l’étude des </w:t>
      </w:r>
      <w:r w:rsidRPr="00F230F1">
        <w:rPr>
          <w:rFonts w:asciiTheme="majorBidi" w:eastAsia="Calibri" w:hAnsiTheme="majorBidi" w:cstheme="majorBidi"/>
          <w:i/>
          <w:iCs/>
          <w:sz w:val="20"/>
          <w:szCs w:val="20"/>
        </w:rPr>
        <w:t>tafāsīr</w:t>
      </w:r>
      <w:r w:rsidRPr="00F230F1">
        <w:rPr>
          <w:rFonts w:asciiTheme="majorBidi" w:eastAsia="Calibri" w:hAnsiTheme="majorBidi" w:cstheme="majorBidi"/>
          <w:sz w:val="20"/>
          <w:szCs w:val="20"/>
        </w:rPr>
        <w:t xml:space="preserve"> du </w:t>
      </w:r>
      <w:r w:rsidRPr="00F230F1">
        <w:rPr>
          <w:rFonts w:asciiTheme="majorBidi" w:eastAsia="Calibri" w:hAnsiTheme="majorBidi" w:cstheme="majorBidi"/>
          <w:i/>
          <w:iCs/>
          <w:sz w:val="20"/>
          <w:szCs w:val="20"/>
        </w:rPr>
        <w:t>Qurʾān</w:t>
      </w:r>
      <w:r w:rsidRPr="00F230F1">
        <w:rPr>
          <w:rFonts w:asciiTheme="majorBidi" w:eastAsia="Calibri" w:hAnsiTheme="majorBidi" w:cstheme="majorBidi"/>
          <w:sz w:val="20"/>
          <w:szCs w:val="20"/>
        </w:rPr>
        <w:t xml:space="preserve"> constituant, de pair avec l’étude des </w:t>
      </w:r>
      <w:r w:rsidRPr="00F230F1">
        <w:rPr>
          <w:rFonts w:asciiTheme="majorBidi" w:eastAsia="Calibri" w:hAnsiTheme="majorBidi" w:cstheme="majorBidi"/>
          <w:i/>
          <w:iCs/>
          <w:sz w:val="20"/>
          <w:szCs w:val="20"/>
        </w:rPr>
        <w:t>ḥadīth</w:t>
      </w:r>
      <w:r w:rsidRPr="00F230F1">
        <w:rPr>
          <w:rFonts w:asciiTheme="majorBidi" w:eastAsia="Calibri" w:hAnsiTheme="majorBidi" w:cstheme="majorBidi"/>
          <w:sz w:val="20"/>
          <w:szCs w:val="20"/>
        </w:rPr>
        <w:t xml:space="preserve"> et du </w:t>
      </w:r>
      <w:r w:rsidRPr="00F230F1">
        <w:rPr>
          <w:rFonts w:asciiTheme="majorBidi" w:eastAsia="Calibri" w:hAnsiTheme="majorBidi" w:cstheme="majorBidi"/>
          <w:i/>
          <w:iCs/>
          <w:sz w:val="20"/>
          <w:szCs w:val="20"/>
        </w:rPr>
        <w:t>fiqh</w:t>
      </w:r>
      <w:r w:rsidRPr="00F230F1">
        <w:rPr>
          <w:rFonts w:asciiTheme="majorBidi" w:eastAsia="Calibri" w:hAnsiTheme="majorBidi" w:cstheme="majorBidi"/>
          <w:sz w:val="20"/>
          <w:szCs w:val="20"/>
        </w:rPr>
        <w:t>, les éléments traditionnels du cursus. » (</w:t>
      </w:r>
      <w:r w:rsidRPr="00F230F1">
        <w:rPr>
          <w:rFonts w:asciiTheme="majorBidi" w:hAnsiTheme="majorBidi" w:cstheme="majorBidi"/>
          <w:sz w:val="20"/>
          <w:szCs w:val="20"/>
        </w:rPr>
        <w:t xml:space="preserve">Rippin, A., « Tafsīr », </w:t>
      </w:r>
      <w:r w:rsidRPr="00F230F1">
        <w:rPr>
          <w:rFonts w:asciiTheme="majorBidi" w:hAnsiTheme="majorBidi" w:cstheme="majorBidi"/>
          <w:i/>
          <w:iCs/>
          <w:sz w:val="20"/>
          <w:szCs w:val="20"/>
        </w:rPr>
        <w:t>Encyclopédie de l’Islam</w:t>
      </w:r>
      <w:r w:rsidRPr="00F230F1">
        <w:rPr>
          <w:rFonts w:asciiTheme="majorBidi" w:hAnsiTheme="majorBidi" w:cstheme="majorBidi"/>
          <w:sz w:val="20"/>
          <w:szCs w:val="20"/>
        </w:rPr>
        <w:t xml:space="preserve">, Brill Online, 2010. </w:t>
      </w:r>
      <w:hyperlink r:id="rId3" w:history="1">
        <w:r w:rsidRPr="00F230F1">
          <w:rPr>
            <w:rStyle w:val="Lienhypertexte"/>
            <w:rFonts w:asciiTheme="majorBidi" w:eastAsia="Times New Roman" w:hAnsiTheme="majorBidi" w:cstheme="majorBidi"/>
            <w:sz w:val="20"/>
            <w:szCs w:val="20"/>
            <w:shd w:val="clear" w:color="auto" w:fill="F2F2F2"/>
          </w:rPr>
          <w:t>http://dx.doi.org/10.1163/9789004206106_eifo_SIM_7294</w:t>
        </w:r>
      </w:hyperlink>
      <w:r w:rsidRPr="00F230F1">
        <w:rPr>
          <w:rFonts w:asciiTheme="majorBidi" w:eastAsia="Times New Roman" w:hAnsiTheme="majorBidi" w:cstheme="majorBidi"/>
          <w:color w:val="222222"/>
          <w:sz w:val="20"/>
          <w:szCs w:val="20"/>
          <w:shd w:val="clear" w:color="auto" w:fill="F2F2F2"/>
        </w:rPr>
        <w:t xml:space="preserve">. </w:t>
      </w:r>
      <w:r w:rsidRPr="00F230F1">
        <w:rPr>
          <w:rFonts w:asciiTheme="majorBidi" w:hAnsiTheme="majorBidi" w:cstheme="majorBidi"/>
          <w:sz w:val="20"/>
          <w:szCs w:val="20"/>
        </w:rPr>
        <w:t>Consulté le 23/06/2017</w:t>
      </w:r>
      <w:r w:rsidRPr="00F230F1">
        <w:rPr>
          <w:rFonts w:asciiTheme="majorBidi" w:eastAsia="Calibri" w:hAnsiTheme="majorBidi" w:cstheme="majorBidi"/>
          <w:color w:val="7030A0"/>
          <w:sz w:val="20"/>
          <w:szCs w:val="20"/>
        </w:rPr>
        <w:t>).</w:t>
      </w:r>
    </w:p>
  </w:footnote>
  <w:footnote w:id="12">
    <w:p w14:paraId="62FCFED8" w14:textId="3EC773D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Pierre Lory, « L’exégèse mystique du Coran », </w:t>
      </w:r>
      <w:hyperlink r:id="rId4" w:history="1">
        <w:r w:rsidRPr="00F230F1">
          <w:rPr>
            <w:rStyle w:val="Lienhypertexte"/>
            <w:rFonts w:asciiTheme="majorBidi" w:hAnsiTheme="majorBidi" w:cstheme="majorBidi"/>
            <w:sz w:val="20"/>
            <w:szCs w:val="20"/>
          </w:rPr>
          <w:t>https://www.baglis.tv/ame/mystique/379-l-exegese-mystique-du-coran.html</w:t>
        </w:r>
      </w:hyperlink>
      <w:r w:rsidRPr="00F230F1">
        <w:rPr>
          <w:rFonts w:asciiTheme="majorBidi" w:hAnsiTheme="majorBidi" w:cstheme="majorBidi"/>
          <w:sz w:val="20"/>
          <w:szCs w:val="20"/>
        </w:rPr>
        <w:t xml:space="preserve"> (consulté le 03/09/2017). Pierre Lory parle également de </w:t>
      </w:r>
      <w:r w:rsidRPr="00F230F1">
        <w:rPr>
          <w:rFonts w:asciiTheme="majorBidi" w:hAnsiTheme="majorBidi" w:cstheme="majorBidi"/>
          <w:i/>
          <w:iCs/>
          <w:sz w:val="20"/>
          <w:szCs w:val="20"/>
        </w:rPr>
        <w:t>taʾwīl ʿaqlī</w:t>
      </w:r>
      <w:r w:rsidRPr="00F230F1">
        <w:rPr>
          <w:rFonts w:asciiTheme="majorBidi" w:hAnsiTheme="majorBidi" w:cstheme="majorBidi"/>
          <w:sz w:val="20"/>
          <w:szCs w:val="20"/>
        </w:rPr>
        <w:t xml:space="preserve"> qui « consiste en l’introduction de l’opinion personnelle du commentateur (</w:t>
      </w:r>
      <w:r w:rsidRPr="00F230F1">
        <w:rPr>
          <w:rFonts w:asciiTheme="majorBidi" w:hAnsiTheme="majorBidi" w:cstheme="majorBidi"/>
          <w:i/>
          <w:iCs/>
          <w:sz w:val="20"/>
          <w:szCs w:val="20"/>
        </w:rPr>
        <w:t>raʾy</w:t>
      </w:r>
      <w:r w:rsidRPr="00F230F1">
        <w:rPr>
          <w:rFonts w:asciiTheme="majorBidi" w:hAnsiTheme="majorBidi" w:cstheme="majorBidi"/>
          <w:sz w:val="20"/>
          <w:szCs w:val="20"/>
        </w:rPr>
        <w:t xml:space="preserve">) ». (Cf. : Pierre Lory, </w:t>
      </w:r>
      <w:r w:rsidRPr="00F230F1">
        <w:rPr>
          <w:rFonts w:asciiTheme="majorBidi" w:hAnsiTheme="majorBidi" w:cstheme="majorBidi"/>
          <w:i/>
          <w:iCs/>
          <w:sz w:val="20"/>
          <w:szCs w:val="20"/>
        </w:rPr>
        <w:t>Les commentaires ésotériques du Coran d’après ‘Abd al-Razzāq al-Qāshānī</w:t>
      </w:r>
      <w:r w:rsidRPr="00F230F1">
        <w:rPr>
          <w:rFonts w:asciiTheme="majorBidi" w:hAnsiTheme="majorBidi" w:cstheme="majorBidi"/>
          <w:sz w:val="20"/>
          <w:szCs w:val="20"/>
        </w:rPr>
        <w:t>, Les Deux Océans, Paris, 1980, p. 12.</w:t>
      </w:r>
    </w:p>
    <w:p w14:paraId="52E2B262" w14:textId="5DE23D41" w:rsidR="009C3BB9" w:rsidRPr="00F230F1" w:rsidRDefault="009C3BB9" w:rsidP="00F230F1">
      <w:pPr>
        <w:pStyle w:val="Notedebasdepage"/>
        <w:contextualSpacing/>
        <w:jc w:val="both"/>
        <w:rPr>
          <w:rFonts w:asciiTheme="majorBidi" w:hAnsiTheme="majorBidi" w:cstheme="majorBidi"/>
          <w:sz w:val="20"/>
          <w:szCs w:val="20"/>
        </w:rPr>
      </w:pPr>
      <w:r w:rsidRPr="00F230F1">
        <w:rPr>
          <w:rFonts w:asciiTheme="majorBidi" w:hAnsiTheme="majorBidi" w:cstheme="majorBidi"/>
          <w:sz w:val="20"/>
          <w:szCs w:val="20"/>
        </w:rPr>
        <w:t>« Herméneutique et symbolique : le ta’wīl chez Ibn ‘Arabī et quelques auteurs antérieurs »,</w:t>
      </w:r>
    </w:p>
  </w:footnote>
  <w:footnote w:id="13">
    <w:p w14:paraId="04D3430C" w14:textId="3A696508"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The Wiley Blackwell Companion to the Qur'an</w:t>
      </w:r>
      <w:r w:rsidRPr="00F230F1">
        <w:rPr>
          <w:rFonts w:asciiTheme="majorBidi" w:hAnsiTheme="majorBidi" w:cstheme="majorBidi"/>
          <w:sz w:val="20"/>
          <w:szCs w:val="20"/>
        </w:rPr>
        <w:t xml:space="preserve">, publié par </w:t>
      </w:r>
      <w:r w:rsidRPr="00F230F1">
        <w:rPr>
          <w:rFonts w:asciiTheme="majorBidi" w:eastAsia="Times New Roman" w:hAnsiTheme="majorBidi" w:cstheme="majorBidi"/>
          <w:sz w:val="20"/>
          <w:szCs w:val="20"/>
        </w:rPr>
        <w:t>Andrew Rippin,</w:t>
      </w:r>
      <w:r w:rsidRPr="00F230F1">
        <w:rPr>
          <w:rStyle w:val="apple-converted-space"/>
          <w:rFonts w:asciiTheme="majorBidi" w:eastAsia="Times New Roman" w:hAnsiTheme="majorBidi" w:cstheme="majorBidi"/>
          <w:sz w:val="20"/>
          <w:szCs w:val="20"/>
        </w:rPr>
        <w:t> </w:t>
      </w:r>
      <w:r w:rsidRPr="00F230F1">
        <w:rPr>
          <w:rFonts w:asciiTheme="majorBidi" w:eastAsia="Times New Roman" w:hAnsiTheme="majorBidi" w:cstheme="majorBidi"/>
          <w:sz w:val="20"/>
          <w:szCs w:val="20"/>
        </w:rPr>
        <w:t>Jawid Mojaddedi, John Wiley &amp; Sons,</w:t>
      </w:r>
      <w:r w:rsidRPr="00F230F1">
        <w:rPr>
          <w:rStyle w:val="apple-converted-space"/>
          <w:rFonts w:asciiTheme="majorBidi" w:eastAsia="Times New Roman" w:hAnsiTheme="majorBidi" w:cstheme="majorBidi"/>
          <w:sz w:val="20"/>
          <w:szCs w:val="20"/>
        </w:rPr>
        <w:t> </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xml:space="preserve">2nd édition, </w:t>
      </w:r>
      <w:r w:rsidRPr="00F230F1">
        <w:rPr>
          <w:rFonts w:asciiTheme="majorBidi" w:eastAsia="Times New Roman" w:hAnsiTheme="majorBidi" w:cstheme="majorBidi"/>
          <w:sz w:val="20"/>
          <w:szCs w:val="20"/>
        </w:rPr>
        <w:t>2017</w:t>
      </w:r>
      <w:r w:rsidRPr="00F230F1">
        <w:rPr>
          <w:rStyle w:val="apple-converted-space"/>
          <w:rFonts w:asciiTheme="majorBidi" w:eastAsia="Times New Roman" w:hAnsiTheme="majorBidi" w:cstheme="majorBidi"/>
          <w:sz w:val="20"/>
          <w:szCs w:val="20"/>
        </w:rPr>
        <w:t>, </w:t>
      </w:r>
      <w:r w:rsidRPr="00F230F1">
        <w:rPr>
          <w:rFonts w:asciiTheme="majorBidi" w:eastAsia="Times New Roman" w:hAnsiTheme="majorBidi" w:cstheme="majorBidi"/>
          <w:sz w:val="20"/>
          <w:szCs w:val="20"/>
        </w:rPr>
        <w:t>688 pages, chapter 27, « Ṣūfism », Alan Godlas.</w:t>
      </w:r>
    </w:p>
  </w:footnote>
  <w:footnote w:id="14">
    <w:p w14:paraId="2E8D9524" w14:textId="2BF7DFA5"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C’est surtout l’opinion des chercheurs occidentaux, comme Claude Gilliot dans</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 Le Coran, production littéraire de l’Antiquité tardive ou Mahomet interprète dans le "lectionnaire arabe" de La Mecque », </w:t>
      </w:r>
      <w:r w:rsidRPr="00F230F1">
        <w:rPr>
          <w:rFonts w:asciiTheme="majorBidi" w:eastAsia="Calibri" w:hAnsiTheme="majorBidi" w:cstheme="majorBidi"/>
          <w:i/>
          <w:sz w:val="20"/>
          <w:szCs w:val="20"/>
          <w:lang w:bidi="ar-AE"/>
        </w:rPr>
        <w:t>Revue des mondes musulmans et de la Méditerranée</w:t>
      </w:r>
      <w:r w:rsidRPr="00F230F1">
        <w:rPr>
          <w:rFonts w:asciiTheme="majorBidi" w:eastAsia="Calibri" w:hAnsiTheme="majorBidi" w:cstheme="majorBidi"/>
          <w:sz w:val="20"/>
          <w:szCs w:val="20"/>
          <w:lang w:bidi="ar-AE"/>
        </w:rPr>
        <w:t xml:space="preserve"> [En ligne], 129 | juillet 2011, mis en ligne le 05 janvier 2012, consulté le 27 juin 2017. URL : </w:t>
      </w:r>
      <w:hyperlink r:id="rId5" w:history="1">
        <w:r w:rsidRPr="00F230F1">
          <w:rPr>
            <w:rStyle w:val="Lienhypertexte"/>
            <w:rFonts w:asciiTheme="majorBidi" w:eastAsia="Calibri" w:hAnsiTheme="majorBidi" w:cstheme="majorBidi"/>
            <w:sz w:val="20"/>
            <w:szCs w:val="20"/>
            <w:lang w:bidi="ar-AE"/>
          </w:rPr>
          <w:t>http://remmm.revues.org/7054</w:t>
        </w:r>
      </w:hyperlink>
      <w:r w:rsidRPr="00F230F1">
        <w:rPr>
          <w:rFonts w:asciiTheme="majorBidi" w:eastAsia="Calibri" w:hAnsiTheme="majorBidi" w:cstheme="majorBidi"/>
          <w:sz w:val="20"/>
          <w:szCs w:val="20"/>
          <w:lang w:bidi="ar-AE"/>
        </w:rPr>
        <w:t xml:space="preserve">. Cependant, pour insister sur le caractère arabe du texte coranique, les oulémas musulmans soutiennent l’idée que le mot </w:t>
      </w:r>
      <w:r w:rsidRPr="00F230F1">
        <w:rPr>
          <w:rFonts w:asciiTheme="majorBidi" w:eastAsia="Calibri" w:hAnsiTheme="majorBidi" w:cstheme="majorBidi"/>
          <w:i/>
          <w:iCs/>
          <w:sz w:val="20"/>
          <w:szCs w:val="20"/>
          <w:lang w:bidi="ar-AE"/>
        </w:rPr>
        <w:t>Coran</w:t>
      </w:r>
      <w:r w:rsidRPr="00F230F1">
        <w:rPr>
          <w:rFonts w:asciiTheme="majorBidi" w:eastAsia="Calibri" w:hAnsiTheme="majorBidi" w:cstheme="majorBidi"/>
          <w:sz w:val="20"/>
          <w:szCs w:val="20"/>
          <w:lang w:bidi="ar-AE"/>
        </w:rPr>
        <w:t xml:space="preserve"> est dérivé non du syriaque mais du verbe arabe </w:t>
      </w:r>
      <w:r w:rsidRPr="00F230F1">
        <w:rPr>
          <w:rFonts w:asciiTheme="majorBidi" w:eastAsia="Calibri" w:hAnsiTheme="majorBidi" w:cstheme="majorBidi"/>
          <w:i/>
          <w:iCs/>
          <w:sz w:val="20"/>
          <w:szCs w:val="20"/>
          <w:lang w:bidi="ar-AE"/>
        </w:rPr>
        <w:t>qaraʾa</w:t>
      </w:r>
      <w:r w:rsidRPr="00F230F1">
        <w:rPr>
          <w:rFonts w:asciiTheme="majorBidi" w:eastAsia="Calibri" w:hAnsiTheme="majorBidi" w:cstheme="majorBidi"/>
          <w:sz w:val="20"/>
          <w:szCs w:val="20"/>
          <w:lang w:bidi="ar-AE"/>
        </w:rPr>
        <w:t xml:space="preserve"> qui signifie : lire, réciter, rassembler, compiler.</w:t>
      </w:r>
    </w:p>
  </w:footnote>
  <w:footnote w:id="15">
    <w:p w14:paraId="089F493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Henri Meschonnic, </w:t>
      </w:r>
      <w:r w:rsidRPr="00F230F1">
        <w:rPr>
          <w:rFonts w:asciiTheme="majorBidi" w:hAnsiTheme="majorBidi" w:cstheme="majorBidi"/>
          <w:i/>
          <w:iCs/>
          <w:sz w:val="20"/>
          <w:szCs w:val="20"/>
        </w:rPr>
        <w:t>Les états de la poétique</w:t>
      </w:r>
      <w:r w:rsidRPr="00F230F1">
        <w:rPr>
          <w:rFonts w:asciiTheme="majorBidi" w:hAnsiTheme="majorBidi" w:cstheme="majorBidi"/>
          <w:sz w:val="20"/>
          <w:szCs w:val="20"/>
        </w:rPr>
        <w:t>, Paris, Presses Universitaires de France, 1985, p. 51.</w:t>
      </w:r>
    </w:p>
  </w:footnote>
  <w:footnote w:id="16">
    <w:p w14:paraId="61C8933A" w14:textId="676F2256"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eastAsia="it-IT"/>
        </w:rPr>
        <w:t>Un hadith attribué au plus important scribe de Mahomet évoque l’hébreu et le syriaque comme sources étrangères éventuelles du Coran. Selon Zayd b. Thābit : « L’Envoyé de Dieu [Muḥammad] dit : "Il me vient des écrits [</w:t>
      </w:r>
      <w:r w:rsidRPr="00F230F1">
        <w:rPr>
          <w:rFonts w:asciiTheme="majorBidi" w:hAnsiTheme="majorBidi" w:cstheme="majorBidi"/>
          <w:i/>
          <w:iCs/>
          <w:sz w:val="20"/>
          <w:szCs w:val="20"/>
          <w:lang w:eastAsia="it-IT"/>
        </w:rPr>
        <w:t>kutub</w:t>
      </w:r>
      <w:r w:rsidRPr="00F230F1">
        <w:rPr>
          <w:rFonts w:asciiTheme="majorBidi" w:hAnsiTheme="majorBidi" w:cstheme="majorBidi"/>
          <w:sz w:val="20"/>
          <w:szCs w:val="20"/>
          <w:lang w:eastAsia="it-IT"/>
        </w:rPr>
        <w:t>], et je ne veux pas que tout un chacun les lise, peux-tu apprendre l’écriture de l’hébreu", ou bien il dit : "du syriaque ?". Je dis : "Oui", et je l’appris en dix-sept-jours. »</w:t>
      </w:r>
      <w:r w:rsidRPr="00F230F1">
        <w:rPr>
          <w:rFonts w:asciiTheme="majorBidi" w:hAnsiTheme="majorBidi" w:cstheme="majorBidi"/>
          <w:sz w:val="20"/>
          <w:szCs w:val="20"/>
        </w:rPr>
        <w:t xml:space="preserve"> (</w:t>
      </w:r>
      <w:r w:rsidRPr="00F230F1">
        <w:rPr>
          <w:rFonts w:asciiTheme="majorBidi" w:hAnsiTheme="majorBidi" w:cstheme="majorBidi"/>
          <w:sz w:val="20"/>
          <w:szCs w:val="20"/>
          <w:lang w:eastAsia="it-IT"/>
        </w:rPr>
        <w:t xml:space="preserve">Ibn ʿAsākir, </w:t>
      </w:r>
      <w:r w:rsidRPr="00F230F1">
        <w:rPr>
          <w:rFonts w:asciiTheme="majorBidi" w:hAnsiTheme="majorBidi" w:cstheme="majorBidi"/>
          <w:i/>
          <w:iCs/>
          <w:sz w:val="20"/>
          <w:szCs w:val="20"/>
          <w:lang w:eastAsia="it-IT"/>
        </w:rPr>
        <w:t>Tārīkh Dimashq</w:t>
      </w:r>
      <w:r w:rsidRPr="00F230F1">
        <w:rPr>
          <w:rFonts w:asciiTheme="majorBidi" w:hAnsiTheme="majorBidi" w:cstheme="majorBidi"/>
          <w:sz w:val="20"/>
          <w:szCs w:val="20"/>
          <w:lang w:eastAsia="it-IT"/>
        </w:rPr>
        <w:t xml:space="preserve"> [I-LXXX, éd. Muḥibb ad-Dīn al-ʿAmrawī, Beyrouth, Dār al-Fikr, 1995-2000], XIX, p. 303. Voir aussi : </w:t>
      </w:r>
      <w:r w:rsidRPr="00F230F1">
        <w:rPr>
          <w:rFonts w:asciiTheme="majorBidi" w:hAnsiTheme="majorBidi" w:cstheme="majorBidi"/>
          <w:i/>
          <w:iCs/>
          <w:sz w:val="20"/>
          <w:szCs w:val="20"/>
          <w:lang w:eastAsia="it-IT"/>
        </w:rPr>
        <w:t>Aṭ-ṭabaqāt al-kubrā</w:t>
      </w:r>
      <w:r w:rsidRPr="00F230F1">
        <w:rPr>
          <w:rFonts w:asciiTheme="majorBidi" w:hAnsiTheme="majorBidi" w:cstheme="majorBidi"/>
          <w:sz w:val="20"/>
          <w:szCs w:val="20"/>
          <w:lang w:eastAsia="it-IT"/>
        </w:rPr>
        <w:t xml:space="preserve"> d’Ibn Saʿd </w:t>
      </w:r>
      <w:r w:rsidRPr="00F230F1">
        <w:rPr>
          <w:rFonts w:asciiTheme="majorBidi" w:hAnsiTheme="majorBidi" w:cstheme="majorBidi"/>
          <w:sz w:val="20"/>
          <w:szCs w:val="20"/>
        </w:rPr>
        <w:t>[</w:t>
      </w:r>
      <w:hyperlink r:id="rId6" w:history="1">
        <w:r w:rsidRPr="00F230F1">
          <w:rPr>
            <w:rStyle w:val="Lienhypertexte"/>
            <w:rFonts w:asciiTheme="majorBidi" w:hAnsiTheme="majorBidi" w:cstheme="majorBidi"/>
            <w:sz w:val="20"/>
            <w:szCs w:val="20"/>
          </w:rPr>
          <w:t>http://library.islamweb.net/hadith/display_hbook.php?bk_no=82&amp;hid=2496&amp;pid=35735</w:t>
        </w:r>
      </w:hyperlink>
      <w:r w:rsidRPr="00F230F1">
        <w:rPr>
          <w:rFonts w:asciiTheme="majorBidi" w:hAnsiTheme="majorBidi" w:cstheme="majorBidi"/>
          <w:sz w:val="20"/>
          <w:szCs w:val="20"/>
        </w:rPr>
        <w:t>]</w:t>
      </w:r>
      <w:r w:rsidRPr="00F230F1">
        <w:rPr>
          <w:rFonts w:asciiTheme="majorBidi" w:hAnsiTheme="majorBidi" w:cstheme="majorBidi"/>
          <w:sz w:val="20"/>
          <w:szCs w:val="20"/>
          <w:lang w:eastAsia="it-IT"/>
        </w:rPr>
        <w:t xml:space="preserve"> et le </w:t>
      </w:r>
      <w:r w:rsidRPr="00F230F1">
        <w:rPr>
          <w:rFonts w:asciiTheme="majorBidi" w:hAnsiTheme="majorBidi" w:cstheme="majorBidi"/>
          <w:i/>
          <w:iCs/>
          <w:sz w:val="20"/>
          <w:szCs w:val="20"/>
          <w:lang w:eastAsia="it-IT"/>
        </w:rPr>
        <w:t>Musnad</w:t>
      </w:r>
      <w:r w:rsidRPr="00F230F1">
        <w:rPr>
          <w:rFonts w:asciiTheme="majorBidi" w:hAnsiTheme="majorBidi" w:cstheme="majorBidi"/>
          <w:sz w:val="20"/>
          <w:szCs w:val="20"/>
          <w:lang w:eastAsia="it-IT"/>
        </w:rPr>
        <w:t xml:space="preserve"> d’Ibn </w:t>
      </w:r>
      <w:r w:rsidRPr="00F230F1">
        <w:rPr>
          <w:rFonts w:asciiTheme="majorBidi" w:hAnsiTheme="majorBidi" w:cstheme="majorBidi"/>
          <w:sz w:val="20"/>
          <w:szCs w:val="20"/>
        </w:rPr>
        <w:t>Ḥanbal</w:t>
      </w:r>
      <w:r w:rsidRPr="00F230F1">
        <w:rPr>
          <w:rFonts w:asciiTheme="majorBidi" w:hAnsiTheme="majorBidi" w:cstheme="majorBidi"/>
          <w:sz w:val="20"/>
          <w:szCs w:val="20"/>
          <w:lang w:eastAsia="it-IT"/>
        </w:rPr>
        <w:t xml:space="preserve"> [</w:t>
      </w:r>
      <w:hyperlink r:id="rId7" w:history="1">
        <w:r w:rsidRPr="00F230F1">
          <w:rPr>
            <w:rStyle w:val="Lienhypertexte"/>
            <w:rFonts w:asciiTheme="majorBidi" w:hAnsiTheme="majorBidi" w:cstheme="majorBidi"/>
            <w:sz w:val="20"/>
            <w:szCs w:val="20"/>
            <w:lang w:eastAsia="it-IT"/>
          </w:rPr>
          <w:t>http://library.islamweb.net/newlibrary/display_book.php?flag=1&amp;bk_no=6&amp;ID=20607</w:t>
        </w:r>
      </w:hyperlink>
      <w:r w:rsidRPr="00F230F1">
        <w:rPr>
          <w:rFonts w:asciiTheme="majorBidi" w:hAnsiTheme="majorBidi" w:cstheme="majorBidi"/>
          <w:sz w:val="20"/>
          <w:szCs w:val="20"/>
          <w:lang w:eastAsia="it-IT"/>
        </w:rPr>
        <w:t>], textes numériques consultés le 30/06/2017.)</w:t>
      </w:r>
    </w:p>
  </w:footnote>
  <w:footnote w:id="17">
    <w:p w14:paraId="66C50683" w14:textId="77777777" w:rsidR="009C3BB9" w:rsidRPr="00F230F1" w:rsidRDefault="009C3BB9" w:rsidP="00F230F1">
      <w:pPr>
        <w:pStyle w:val="Titre1"/>
        <w:shd w:val="clear" w:color="auto" w:fill="FFFFFF"/>
        <w:spacing w:before="0" w:beforeAutospacing="0" w:after="0" w:afterAutospacing="0"/>
        <w:contextualSpacing/>
        <w:jc w:val="both"/>
        <w:rPr>
          <w:rFonts w:asciiTheme="majorBidi" w:hAnsiTheme="majorBidi" w:cstheme="majorBidi"/>
          <w:b w:val="0"/>
          <w:bCs w:val="0"/>
          <w:sz w:val="20"/>
          <w:szCs w:val="20"/>
        </w:rPr>
      </w:pPr>
      <w:r w:rsidRPr="00F230F1">
        <w:rPr>
          <w:rStyle w:val="Appelnotedebasdep"/>
          <w:rFonts w:asciiTheme="majorBidi" w:hAnsiTheme="majorBidi" w:cstheme="majorBidi"/>
          <w:b w:val="0"/>
          <w:bCs w:val="0"/>
          <w:sz w:val="20"/>
          <w:szCs w:val="20"/>
        </w:rPr>
        <w:footnoteRef/>
      </w:r>
      <w:r w:rsidRPr="00F230F1">
        <w:rPr>
          <w:rFonts w:asciiTheme="majorBidi" w:eastAsia="Calibri" w:hAnsiTheme="majorBidi" w:cstheme="majorBidi"/>
          <w:b w:val="0"/>
          <w:bCs w:val="0"/>
          <w:sz w:val="20"/>
          <w:szCs w:val="20"/>
          <w:lang w:bidi="ar-AE"/>
        </w:rPr>
        <w:t xml:space="preserve"> Nous avons développé cette idée dans un article en français intitulé : « </w:t>
      </w:r>
      <w:r w:rsidRPr="00F230F1">
        <w:rPr>
          <w:rFonts w:asciiTheme="majorBidi" w:hAnsiTheme="majorBidi" w:cstheme="majorBidi"/>
          <w:b w:val="0"/>
          <w:bCs w:val="0"/>
          <w:kern w:val="0"/>
          <w:sz w:val="20"/>
          <w:szCs w:val="20"/>
          <w:shd w:val="clear" w:color="auto" w:fill="FFFFFF"/>
        </w:rPr>
        <w:t>Le</w:t>
      </w:r>
      <w:r w:rsidRPr="00F230F1">
        <w:rPr>
          <w:rFonts w:asciiTheme="majorBidi" w:hAnsiTheme="majorBidi" w:cstheme="majorBidi"/>
          <w:b w:val="0"/>
          <w:bCs w:val="0"/>
          <w:kern w:val="0"/>
          <w:sz w:val="20"/>
          <w:szCs w:val="20"/>
        </w:rPr>
        <w:t> Coran </w:t>
      </w:r>
      <w:r w:rsidRPr="00F230F1">
        <w:rPr>
          <w:rFonts w:asciiTheme="majorBidi" w:hAnsiTheme="majorBidi" w:cstheme="majorBidi"/>
          <w:b w:val="0"/>
          <w:bCs w:val="0"/>
          <w:kern w:val="0"/>
          <w:sz w:val="20"/>
          <w:szCs w:val="20"/>
          <w:shd w:val="clear" w:color="auto" w:fill="FFFFFF"/>
        </w:rPr>
        <w:t>:</w:t>
      </w:r>
      <w:r w:rsidRPr="00F230F1">
        <w:rPr>
          <w:rFonts w:asciiTheme="majorBidi" w:hAnsiTheme="majorBidi" w:cstheme="majorBidi"/>
          <w:b w:val="0"/>
          <w:bCs w:val="0"/>
          <w:kern w:val="0"/>
          <w:sz w:val="20"/>
          <w:szCs w:val="20"/>
        </w:rPr>
        <w:t> texte révélé </w:t>
      </w:r>
      <w:r w:rsidRPr="00F230F1">
        <w:rPr>
          <w:rFonts w:asciiTheme="majorBidi" w:hAnsiTheme="majorBidi" w:cstheme="majorBidi"/>
          <w:b w:val="0"/>
          <w:bCs w:val="0"/>
          <w:kern w:val="0"/>
          <w:sz w:val="20"/>
          <w:szCs w:val="20"/>
          <w:shd w:val="clear" w:color="auto" w:fill="FFFFFF"/>
        </w:rPr>
        <w:t>ou</w:t>
      </w:r>
      <w:r w:rsidRPr="00F230F1">
        <w:rPr>
          <w:rFonts w:asciiTheme="majorBidi" w:hAnsiTheme="majorBidi" w:cstheme="majorBidi"/>
          <w:b w:val="0"/>
          <w:bCs w:val="0"/>
          <w:kern w:val="0"/>
          <w:sz w:val="20"/>
          <w:szCs w:val="20"/>
        </w:rPr>
        <w:t> texte traduit </w:t>
      </w:r>
      <w:r w:rsidRPr="00F230F1">
        <w:rPr>
          <w:rFonts w:asciiTheme="majorBidi" w:hAnsiTheme="majorBidi" w:cstheme="majorBidi"/>
          <w:b w:val="0"/>
          <w:bCs w:val="0"/>
          <w:kern w:val="0"/>
          <w:sz w:val="20"/>
          <w:szCs w:val="20"/>
          <w:shd w:val="clear" w:color="auto" w:fill="FFFFFF"/>
        </w:rPr>
        <w:t>? »,</w:t>
      </w:r>
      <w:r w:rsidRPr="00F230F1">
        <w:rPr>
          <w:rFonts w:asciiTheme="majorBidi" w:hAnsiTheme="majorBidi" w:cstheme="majorBidi"/>
          <w:b w:val="0"/>
          <w:bCs w:val="0"/>
          <w:color w:val="545454"/>
          <w:kern w:val="0"/>
          <w:sz w:val="20"/>
          <w:szCs w:val="20"/>
          <w:shd w:val="clear" w:color="auto" w:fill="FFFFFF"/>
        </w:rPr>
        <w:t xml:space="preserve"> </w:t>
      </w:r>
      <w:r w:rsidRPr="00F230F1">
        <w:rPr>
          <w:rFonts w:asciiTheme="majorBidi" w:eastAsia="Calibri" w:hAnsiTheme="majorBidi" w:cstheme="majorBidi"/>
          <w:b w:val="0"/>
          <w:bCs w:val="0"/>
          <w:sz w:val="20"/>
          <w:szCs w:val="20"/>
        </w:rPr>
        <w:t xml:space="preserve">Blog de Sami Aldeeb « Savoir ou se faire avoir », </w:t>
      </w:r>
      <w:hyperlink r:id="rId8" w:history="1">
        <w:r w:rsidRPr="00F230F1">
          <w:rPr>
            <w:rStyle w:val="Lienhypertexte"/>
            <w:rFonts w:asciiTheme="majorBidi" w:hAnsiTheme="majorBidi" w:cstheme="majorBidi"/>
            <w:b w:val="0"/>
            <w:bCs w:val="0"/>
            <w:sz w:val="20"/>
            <w:szCs w:val="20"/>
          </w:rPr>
          <w:t>http://www.blog.sami-aldeeb.com/2015/07/26/le-coran-texte-revele-ou-texte-traduit</w:t>
        </w:r>
      </w:hyperlink>
      <w:r w:rsidRPr="00F230F1">
        <w:rPr>
          <w:rFonts w:asciiTheme="majorBidi" w:eastAsia="Calibri" w:hAnsiTheme="majorBidi" w:cstheme="majorBidi"/>
          <w:b w:val="0"/>
          <w:bCs w:val="0"/>
          <w:sz w:val="20"/>
          <w:szCs w:val="20"/>
          <w:lang w:bidi="ar-AE"/>
        </w:rPr>
        <w:t xml:space="preserve">, et dans un article en arabe intitulé : </w:t>
      </w:r>
      <w:r w:rsidRPr="00F230F1">
        <w:rPr>
          <w:rFonts w:asciiTheme="majorBidi" w:hAnsiTheme="majorBidi" w:cstheme="majorBidi"/>
          <w:b w:val="0"/>
          <w:bCs w:val="0"/>
          <w:sz w:val="20"/>
          <w:szCs w:val="20"/>
          <w:rtl/>
          <w:lang w:bidi="ar-KW"/>
        </w:rPr>
        <w:t>"</w:t>
      </w:r>
      <w:r w:rsidRPr="00F230F1">
        <w:rPr>
          <w:rFonts w:asciiTheme="majorBidi" w:hAnsiTheme="majorBidi" w:cstheme="majorBidi"/>
          <w:b w:val="0"/>
          <w:bCs w:val="0"/>
          <w:sz w:val="20"/>
          <w:szCs w:val="20"/>
          <w:rtl/>
        </w:rPr>
        <w:t>القرآن العربي نص مترجَم إلى العربية"</w:t>
      </w:r>
      <w:r w:rsidRPr="00F230F1">
        <w:rPr>
          <w:rFonts w:asciiTheme="majorBidi" w:eastAsia="Calibri" w:hAnsiTheme="majorBidi" w:cstheme="majorBidi"/>
          <w:b w:val="0"/>
          <w:bCs w:val="0"/>
          <w:sz w:val="20"/>
          <w:szCs w:val="20"/>
        </w:rPr>
        <w:t xml:space="preserve">, Site </w:t>
      </w:r>
      <w:r w:rsidRPr="00F230F1">
        <w:rPr>
          <w:rFonts w:asciiTheme="majorBidi" w:hAnsiTheme="majorBidi" w:cstheme="majorBidi"/>
          <w:b w:val="0"/>
          <w:bCs w:val="0"/>
          <w:i/>
          <w:iCs/>
          <w:sz w:val="20"/>
          <w:szCs w:val="20"/>
        </w:rPr>
        <w:t>al-Ḥiwār al-Mutamaddin</w:t>
      </w:r>
      <w:r w:rsidRPr="00F230F1">
        <w:rPr>
          <w:rFonts w:asciiTheme="majorBidi" w:eastAsia="Calibri" w:hAnsiTheme="majorBidi" w:cstheme="majorBidi"/>
          <w:b w:val="0"/>
          <w:bCs w:val="0"/>
          <w:sz w:val="20"/>
          <w:szCs w:val="20"/>
        </w:rPr>
        <w:t xml:space="preserve">, </w:t>
      </w:r>
      <w:hyperlink r:id="rId9" w:history="1">
        <w:r w:rsidRPr="00F230F1">
          <w:rPr>
            <w:rStyle w:val="Lienhypertexte"/>
            <w:rFonts w:asciiTheme="majorBidi" w:eastAsia="Calibri" w:hAnsiTheme="majorBidi" w:cstheme="majorBidi"/>
            <w:b w:val="0"/>
            <w:bCs w:val="0"/>
            <w:sz w:val="20"/>
            <w:szCs w:val="20"/>
          </w:rPr>
          <w:t>http://www.ahewar.org/debat/show.art.asp?aid=341103</w:t>
        </w:r>
      </w:hyperlink>
      <w:r w:rsidRPr="00F230F1">
        <w:rPr>
          <w:rFonts w:asciiTheme="majorBidi" w:eastAsia="Calibri" w:hAnsiTheme="majorBidi" w:cstheme="majorBidi"/>
          <w:b w:val="0"/>
          <w:bCs w:val="0"/>
          <w:sz w:val="20"/>
          <w:szCs w:val="20"/>
        </w:rPr>
        <w:t>.</w:t>
      </w:r>
    </w:p>
  </w:footnote>
  <w:footnote w:id="18">
    <w:p w14:paraId="2F97C5C1"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rPr>
        <w:t xml:space="preserve">Soufian Al Karjousli, </w:t>
      </w:r>
      <w:r w:rsidRPr="00F230F1">
        <w:rPr>
          <w:rFonts w:asciiTheme="majorBidi" w:hAnsiTheme="majorBidi" w:cstheme="majorBidi"/>
          <w:i/>
          <w:iCs/>
          <w:kern w:val="36"/>
          <w:sz w:val="20"/>
          <w:szCs w:val="20"/>
        </w:rPr>
        <w:t>La polysémie et le Coran</w:t>
      </w:r>
      <w:r w:rsidRPr="00F230F1">
        <w:rPr>
          <w:rFonts w:asciiTheme="majorBidi" w:hAnsiTheme="majorBidi" w:cstheme="majorBidi"/>
          <w:sz w:val="20"/>
          <w:szCs w:val="20"/>
        </w:rPr>
        <w:t xml:space="preserve">, thèse de doctorat </w:t>
      </w:r>
      <w:r w:rsidRPr="00F230F1">
        <w:rPr>
          <w:rFonts w:asciiTheme="majorBidi" w:eastAsia="SimSun" w:hAnsiTheme="majorBidi" w:cstheme="majorBidi"/>
          <w:sz w:val="20"/>
          <w:szCs w:val="20"/>
          <w:lang w:eastAsia="zh-CN"/>
        </w:rPr>
        <w:t>sous la direction de Jean-Yves L’Hôpital</w:t>
      </w:r>
      <w:r w:rsidRPr="00F230F1">
        <w:rPr>
          <w:rFonts w:asciiTheme="majorBidi" w:hAnsiTheme="majorBidi" w:cstheme="majorBidi"/>
          <w:sz w:val="20"/>
          <w:szCs w:val="20"/>
        </w:rPr>
        <w:t xml:space="preserve">, Université Rennes 2, 2005. Thèse consultée par échange de courriels avec l’auteur et par l’intermédiaire des articles publiés sur le web comme celui intitulé « Regards croisés des linguistes sur la polysémie et la langue arabe », </w:t>
      </w:r>
      <w:hyperlink r:id="rId10" w:history="1">
        <w:r w:rsidRPr="00F230F1">
          <w:rPr>
            <w:rStyle w:val="Lienhypertexte"/>
            <w:rFonts w:asciiTheme="majorBidi" w:hAnsiTheme="majorBidi" w:cstheme="majorBidi"/>
            <w:sz w:val="20"/>
            <w:szCs w:val="20"/>
          </w:rPr>
          <w:t>http://www.helsinki.fi/jarj/ufy/Varia_final.pdf</w:t>
        </w:r>
      </w:hyperlink>
      <w:r w:rsidRPr="00F230F1">
        <w:rPr>
          <w:rFonts w:asciiTheme="majorBidi" w:hAnsiTheme="majorBidi" w:cstheme="majorBidi"/>
          <w:sz w:val="20"/>
          <w:szCs w:val="20"/>
        </w:rPr>
        <w:t xml:space="preserve"> (consulté le 02/07/2017).</w:t>
      </w:r>
    </w:p>
  </w:footnote>
  <w:footnote w:id="19">
    <w:p w14:paraId="6C8A41BF"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Ahmed Hasan Ali Al-Gubbanchi [Al-Qubanji] : intellectuel libéral et traducteur irakien, né à Najaf en 1958. Il propose un « islam civil » compatible avec les droits de l’homme, la justice et les circonstances modernes. Parmi ses ouvrages on cite :</w:t>
      </w:r>
      <w:r w:rsidRPr="00F230F1">
        <w:rPr>
          <w:rFonts w:asciiTheme="majorBidi" w:hAnsiTheme="majorBidi" w:cstheme="majorBidi"/>
          <w:i/>
          <w:iCs/>
          <w:sz w:val="20"/>
          <w:szCs w:val="20"/>
        </w:rPr>
        <w:t xml:space="preserve"> Sirr al-</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 xml:space="preserve">iʿjāz al-qurʾānī : Qirāʾa naqdyya li-l-mawrūth ad-dīnī… </w:t>
      </w:r>
      <w:r w:rsidRPr="00F230F1">
        <w:rPr>
          <w:rFonts w:asciiTheme="majorBidi" w:hAnsiTheme="majorBidi" w:cstheme="majorBidi"/>
          <w:sz w:val="20"/>
          <w:szCs w:val="20"/>
        </w:rPr>
        <w:t xml:space="preserve">[Le mystère de l’inimitabilité coranique : lecture critique de la tradition religieuse…], Muʾassasat al-intishār al-ʿArabī, Maktabat al-Fikr al-Jadīd, Beyrouth, 2009 ; </w:t>
      </w:r>
      <w:r w:rsidRPr="00F230F1">
        <w:rPr>
          <w:rFonts w:asciiTheme="majorBidi" w:hAnsiTheme="majorBidi" w:cstheme="majorBidi"/>
          <w:i/>
          <w:iCs/>
          <w:sz w:val="20"/>
          <w:szCs w:val="20"/>
        </w:rPr>
        <w:t>Al-Islām al-Madanī</w:t>
      </w:r>
      <w:r w:rsidRPr="00F230F1">
        <w:rPr>
          <w:rFonts w:asciiTheme="majorBidi" w:hAnsiTheme="majorBidi" w:cstheme="majorBidi"/>
          <w:sz w:val="20"/>
          <w:szCs w:val="20"/>
        </w:rPr>
        <w:t xml:space="preserve"> [L’islam civil], version électronique, </w:t>
      </w:r>
      <w:hyperlink r:id="rId11" w:history="1">
        <w:r w:rsidRPr="00F230F1">
          <w:rPr>
            <w:rStyle w:val="Lienhypertexte"/>
            <w:rFonts w:asciiTheme="majorBidi" w:hAnsiTheme="majorBidi" w:cstheme="majorBidi"/>
            <w:sz w:val="20"/>
            <w:szCs w:val="20"/>
          </w:rPr>
          <w:t>http://khair.ws/library/wp-content/uploads/2017/03/</w:t>
        </w:r>
        <w:r w:rsidRPr="00F230F1">
          <w:rPr>
            <w:rStyle w:val="Lienhypertexte"/>
            <w:rFonts w:asciiTheme="majorBidi" w:hAnsiTheme="majorBidi" w:cstheme="majorBidi"/>
            <w:sz w:val="20"/>
            <w:szCs w:val="20"/>
            <w:rtl/>
          </w:rPr>
          <w:t>الاسلام-المدني-أحمد-القبانجي</w:t>
        </w:r>
        <w:r w:rsidRPr="00F230F1">
          <w:rPr>
            <w:rStyle w:val="Lienhypertexte"/>
            <w:rFonts w:asciiTheme="majorBidi" w:hAnsiTheme="majorBidi" w:cstheme="majorBidi"/>
            <w:sz w:val="20"/>
            <w:szCs w:val="20"/>
          </w:rPr>
          <w:t>.pdf</w:t>
        </w:r>
      </w:hyperlink>
      <w:r w:rsidRPr="00F230F1">
        <w:rPr>
          <w:rFonts w:asciiTheme="majorBidi" w:hAnsiTheme="majorBidi" w:cstheme="majorBidi"/>
          <w:sz w:val="20"/>
          <w:szCs w:val="20"/>
        </w:rPr>
        <w:t>. Il a également traduit en arabe de nombreux livres du philosophe iranien Abdolkarim Soroush (né en 1945).</w:t>
      </w:r>
    </w:p>
  </w:footnote>
  <w:footnote w:id="20">
    <w:p w14:paraId="0F0924EA"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Selon les termes de ʿAlī b. Abī Ṭālib. Voir : Ibn al-Athīr, </w:t>
      </w:r>
      <w:r w:rsidRPr="00F230F1">
        <w:rPr>
          <w:rFonts w:asciiTheme="majorBidi" w:hAnsiTheme="majorBidi" w:cstheme="majorBidi"/>
          <w:i/>
          <w:iCs/>
          <w:sz w:val="20"/>
          <w:szCs w:val="20"/>
        </w:rPr>
        <w:t>An-Nihāya fī gharīb l-ḥadīth wa l-athar</w:t>
      </w:r>
      <w:r w:rsidRPr="00F230F1">
        <w:rPr>
          <w:rFonts w:asciiTheme="majorBidi" w:hAnsiTheme="majorBidi" w:cstheme="majorBidi"/>
          <w:sz w:val="20"/>
          <w:szCs w:val="20"/>
        </w:rPr>
        <w:t xml:space="preserve">, tome 1, Lettre </w:t>
      </w:r>
      <w:r w:rsidRPr="00F230F1">
        <w:rPr>
          <w:rFonts w:asciiTheme="majorBidi" w:eastAsia="Times New Roman" w:hAnsiTheme="majorBidi" w:cstheme="majorBidi"/>
          <w:i/>
          <w:iCs/>
          <w:sz w:val="20"/>
          <w:szCs w:val="20"/>
        </w:rPr>
        <w:t>ḥ</w:t>
      </w:r>
      <w:r w:rsidRPr="00F230F1">
        <w:rPr>
          <w:rFonts w:asciiTheme="majorBidi" w:hAnsiTheme="majorBidi" w:cstheme="majorBidi"/>
          <w:i/>
          <w:iCs/>
          <w:sz w:val="20"/>
          <w:szCs w:val="20"/>
        </w:rPr>
        <w:t>ā</w:t>
      </w:r>
      <w:r w:rsidRPr="00F230F1">
        <w:rPr>
          <w:rFonts w:asciiTheme="majorBidi" w:eastAsia="Times New Roman" w:hAnsiTheme="majorBidi" w:cstheme="majorBidi"/>
          <w:i/>
          <w:iCs/>
          <w:sz w:val="20"/>
          <w:szCs w:val="20"/>
        </w:rPr>
        <w:t>ʾ</w:t>
      </w:r>
      <w:r w:rsidRPr="00F230F1">
        <w:rPr>
          <w:rFonts w:asciiTheme="majorBidi" w:hAnsiTheme="majorBidi" w:cstheme="majorBidi"/>
          <w:sz w:val="20"/>
          <w:szCs w:val="20"/>
        </w:rPr>
        <w:t>, chapitre « </w:t>
      </w:r>
      <w:r w:rsidRPr="00F230F1">
        <w:rPr>
          <w:rFonts w:asciiTheme="majorBidi" w:hAnsiTheme="majorBidi" w:cstheme="majorBidi"/>
          <w:i/>
          <w:iCs/>
          <w:sz w:val="20"/>
          <w:szCs w:val="20"/>
        </w:rPr>
        <w:t>al-</w:t>
      </w:r>
      <w:r w:rsidRPr="00F230F1">
        <w:rPr>
          <w:rFonts w:asciiTheme="majorBidi" w:eastAsia="Times New Roman" w:hAnsiTheme="majorBidi" w:cstheme="majorBidi"/>
          <w:i/>
          <w:iCs/>
          <w:sz w:val="20"/>
          <w:szCs w:val="20"/>
        </w:rPr>
        <w:t>ḥ</w:t>
      </w:r>
      <w:r w:rsidRPr="00F230F1">
        <w:rPr>
          <w:rFonts w:asciiTheme="majorBidi" w:hAnsiTheme="majorBidi" w:cstheme="majorBidi"/>
          <w:i/>
          <w:iCs/>
          <w:sz w:val="20"/>
          <w:szCs w:val="20"/>
        </w:rPr>
        <w:t>ā</w:t>
      </w:r>
      <w:r w:rsidRPr="00F230F1">
        <w:rPr>
          <w:rFonts w:asciiTheme="majorBidi" w:eastAsia="Times New Roman" w:hAnsiTheme="majorBidi" w:cstheme="majorBidi"/>
          <w:i/>
          <w:iCs/>
          <w:sz w:val="20"/>
          <w:szCs w:val="20"/>
        </w:rPr>
        <w:t>ʾ maʿa al-mīm </w:t>
      </w:r>
      <w:r w:rsidRPr="00F230F1">
        <w:rPr>
          <w:rFonts w:asciiTheme="majorBidi" w:eastAsia="Times New Roman" w:hAnsiTheme="majorBidi" w:cstheme="majorBidi"/>
          <w:sz w:val="20"/>
          <w:szCs w:val="20"/>
        </w:rPr>
        <w:t xml:space="preserve">» [la lettre Ḥ avec la lettre M]. </w:t>
      </w:r>
      <w:r w:rsidRPr="00F230F1">
        <w:rPr>
          <w:rFonts w:asciiTheme="majorBidi" w:hAnsiTheme="majorBidi" w:cstheme="majorBidi"/>
          <w:sz w:val="20"/>
          <w:szCs w:val="20"/>
        </w:rPr>
        <w:t xml:space="preserve">Voir aussi le site web </w:t>
      </w:r>
      <w:r w:rsidRPr="00F230F1">
        <w:rPr>
          <w:rFonts w:asciiTheme="majorBidi" w:hAnsiTheme="majorBidi" w:cstheme="majorBidi"/>
          <w:i/>
          <w:iCs/>
          <w:sz w:val="20"/>
          <w:szCs w:val="20"/>
        </w:rPr>
        <w:t>Multaqā Ahl at-Tafsīr</w:t>
      </w:r>
      <w:r w:rsidRPr="00F230F1">
        <w:rPr>
          <w:rFonts w:asciiTheme="majorBidi" w:hAnsiTheme="majorBidi" w:cstheme="majorBidi"/>
          <w:sz w:val="20"/>
          <w:szCs w:val="20"/>
        </w:rPr>
        <w:t xml:space="preserve">, </w:t>
      </w:r>
    </w:p>
    <w:p w14:paraId="6CD9E778" w14:textId="77777777" w:rsidR="009C3BB9" w:rsidRPr="00F230F1" w:rsidRDefault="00BA118B" w:rsidP="00F230F1">
      <w:pPr>
        <w:pStyle w:val="Notedebasdepage"/>
        <w:contextualSpacing/>
        <w:jc w:val="both"/>
        <w:rPr>
          <w:rFonts w:asciiTheme="majorBidi" w:hAnsiTheme="majorBidi" w:cstheme="majorBidi"/>
          <w:sz w:val="20"/>
          <w:szCs w:val="20"/>
        </w:rPr>
      </w:pPr>
      <w:hyperlink r:id="rId12" w:anchor=".WU7eVjPpNsM" w:history="1">
        <w:r w:rsidR="009C3BB9" w:rsidRPr="00F230F1">
          <w:rPr>
            <w:rStyle w:val="Lienhypertexte"/>
            <w:rFonts w:asciiTheme="majorBidi" w:hAnsiTheme="majorBidi" w:cstheme="majorBidi"/>
            <w:sz w:val="20"/>
            <w:szCs w:val="20"/>
          </w:rPr>
          <w:t>https://vb.tafsir.net/tafsir24079/#.WU7eVjPpNsM</w:t>
        </w:r>
      </w:hyperlink>
      <w:r w:rsidR="009C3BB9" w:rsidRPr="00F230F1">
        <w:rPr>
          <w:rFonts w:asciiTheme="majorBidi" w:hAnsiTheme="majorBidi" w:cstheme="majorBidi"/>
          <w:sz w:val="20"/>
          <w:szCs w:val="20"/>
        </w:rPr>
        <w:t>. Consulté le 24/06/2017.</w:t>
      </w:r>
    </w:p>
  </w:footnote>
  <w:footnote w:id="21">
    <w:p w14:paraId="7E91C4DA"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David Bellos, </w:t>
      </w:r>
      <w:r w:rsidRPr="00F230F1">
        <w:rPr>
          <w:rFonts w:asciiTheme="majorBidi" w:hAnsiTheme="majorBidi" w:cstheme="majorBidi"/>
          <w:i/>
          <w:iCs/>
          <w:sz w:val="20"/>
          <w:szCs w:val="20"/>
        </w:rPr>
        <w:t>Le poisson et le bananier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344.</w:t>
      </w:r>
    </w:p>
  </w:footnote>
  <w:footnote w:id="22">
    <w:p w14:paraId="3939CC84"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Moncef Chelli, </w:t>
      </w:r>
      <w:r w:rsidRPr="00F230F1">
        <w:rPr>
          <w:rFonts w:asciiTheme="majorBidi" w:eastAsia="Times New Roman" w:hAnsiTheme="majorBidi" w:cstheme="majorBidi"/>
          <w:i/>
          <w:iCs/>
          <w:sz w:val="20"/>
          <w:szCs w:val="20"/>
        </w:rPr>
        <w:t>La parole arabe Une théorie de la relativité des cultures</w:t>
      </w:r>
      <w:r w:rsidRPr="00F230F1">
        <w:rPr>
          <w:rFonts w:asciiTheme="majorBidi" w:eastAsia="Times New Roman" w:hAnsiTheme="majorBidi" w:cstheme="majorBidi"/>
          <w:sz w:val="20"/>
          <w:szCs w:val="20"/>
        </w:rPr>
        <w:t>, Éditions Sindbad, Paris, 1980.</w:t>
      </w:r>
    </w:p>
  </w:footnote>
  <w:footnote w:id="23">
    <w:p w14:paraId="7967BE63"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 310.</w:t>
      </w:r>
    </w:p>
  </w:footnote>
  <w:footnote w:id="24">
    <w:p w14:paraId="1BFFE56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w:t>
      </w:r>
      <w:r w:rsidRPr="00F230F1">
        <w:rPr>
          <w:rFonts w:asciiTheme="majorBidi" w:hAnsiTheme="majorBidi" w:cstheme="majorBidi"/>
          <w:sz w:val="20"/>
          <w:szCs w:val="20"/>
        </w:rPr>
        <w:t>. Nouvelle traduction par Ameur Ghédira. Enluminures de Jean Gradassi, Lyon, Éditions du Fleuve (Imprimerie Audin), 1957, « Introduction », p. 1.</w:t>
      </w:r>
    </w:p>
  </w:footnote>
  <w:footnote w:id="25">
    <w:p w14:paraId="430FBF89"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Chelli, </w:t>
      </w:r>
      <w:r w:rsidRPr="00F230F1">
        <w:rPr>
          <w:rFonts w:asciiTheme="majorBidi" w:eastAsia="Times New Roman" w:hAnsiTheme="majorBidi" w:cstheme="majorBidi"/>
          <w:i/>
          <w:iCs/>
          <w:sz w:val="20"/>
          <w:szCs w:val="20"/>
        </w:rPr>
        <w:t>La parole arabe</w:t>
      </w:r>
      <w:r w:rsidRPr="00F230F1">
        <w:rPr>
          <w:rFonts w:asciiTheme="majorBidi" w:eastAsia="Times New Roman" w:hAnsiTheme="majorBidi" w:cstheme="majorBidi"/>
          <w:sz w:val="20"/>
          <w:szCs w:val="20"/>
        </w:rPr>
        <w:t>, p. 48.</w:t>
      </w:r>
    </w:p>
  </w:footnote>
  <w:footnote w:id="26">
    <w:p w14:paraId="4E33C9EE"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 267.</w:t>
      </w:r>
    </w:p>
  </w:footnote>
  <w:footnote w:id="27">
    <w:p w14:paraId="33D67D2A"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pp. 273-279.</w:t>
      </w:r>
    </w:p>
  </w:footnote>
  <w:footnote w:id="28">
    <w:p w14:paraId="468C7598"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pp. 302.</w:t>
      </w:r>
    </w:p>
  </w:footnote>
  <w:footnote w:id="29">
    <w:p w14:paraId="1588310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Alain Gresh, </w:t>
      </w:r>
      <w:r w:rsidRPr="00F230F1">
        <w:rPr>
          <w:rFonts w:asciiTheme="majorBidi" w:hAnsiTheme="majorBidi" w:cstheme="majorBidi"/>
          <w:i/>
          <w:iCs/>
          <w:sz w:val="20"/>
          <w:szCs w:val="20"/>
        </w:rPr>
        <w:t>L'islam, la république et le monde</w:t>
      </w:r>
      <w:r w:rsidRPr="00F230F1">
        <w:rPr>
          <w:rFonts w:asciiTheme="majorBidi" w:hAnsiTheme="majorBidi" w:cstheme="majorBidi"/>
          <w:sz w:val="20"/>
          <w:szCs w:val="20"/>
        </w:rPr>
        <w:t xml:space="preserve">, Fayard 2004, Hachette </w:t>
      </w:r>
      <w:r w:rsidRPr="00F230F1">
        <w:rPr>
          <w:rFonts w:asciiTheme="majorBidi" w:hAnsiTheme="majorBidi" w:cstheme="majorBidi"/>
          <w:i/>
          <w:iCs/>
          <w:sz w:val="20"/>
          <w:szCs w:val="20"/>
        </w:rPr>
        <w:t>Pluriel</w:t>
      </w:r>
      <w:r w:rsidRPr="00F230F1">
        <w:rPr>
          <w:rFonts w:asciiTheme="majorBidi" w:hAnsiTheme="majorBidi" w:cstheme="majorBidi"/>
          <w:sz w:val="20"/>
          <w:szCs w:val="20"/>
        </w:rPr>
        <w:t xml:space="preserve"> 2006, « introduction », p. IV.</w:t>
      </w:r>
    </w:p>
  </w:footnote>
  <w:footnote w:id="30">
    <w:p w14:paraId="24CE5142"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SimSun" w:hAnsiTheme="majorBidi" w:cstheme="majorBidi"/>
          <w:sz w:val="20"/>
          <w:szCs w:val="20"/>
          <w:lang w:eastAsia="zh-CN"/>
        </w:rPr>
        <w:t xml:space="preserve"> Chokri, Mimouni, « Traduction du texte religieux : créativité littéraire et persécution » [Université Rennes 2, Haute Bretagne Rennes, France],</w:t>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 xml:space="preserve">in </w:t>
      </w:r>
      <w:r w:rsidRPr="00F230F1">
        <w:rPr>
          <w:rFonts w:asciiTheme="majorBidi" w:eastAsia="SimSun" w:hAnsiTheme="majorBidi" w:cstheme="majorBidi"/>
          <w:i/>
          <w:iCs/>
          <w:sz w:val="20"/>
          <w:szCs w:val="20"/>
          <w:lang w:eastAsia="zh-CN"/>
        </w:rPr>
        <w:t>Revue Doct-us</w:t>
      </w:r>
      <w:r w:rsidRPr="00F230F1">
        <w:rPr>
          <w:rFonts w:asciiTheme="majorBidi" w:eastAsia="SimSun" w:hAnsiTheme="majorBidi" w:cstheme="majorBidi"/>
          <w:sz w:val="20"/>
          <w:szCs w:val="20"/>
          <w:lang w:eastAsia="zh-CN"/>
        </w:rPr>
        <w:t>, Vol. 3, 2011, pp. 177-185</w:t>
      </w:r>
      <w:r w:rsidRPr="00F230F1">
        <w:rPr>
          <w:rFonts w:asciiTheme="majorBidi" w:hAnsiTheme="majorBidi" w:cstheme="majorBidi"/>
          <w:sz w:val="20"/>
          <w:szCs w:val="20"/>
        </w:rPr>
        <w:t>.</w:t>
      </w:r>
    </w:p>
  </w:footnote>
  <w:footnote w:id="31">
    <w:p w14:paraId="1A1017C9" w14:textId="77777777" w:rsidR="009C3BB9" w:rsidRPr="00F230F1" w:rsidRDefault="009C3BB9" w:rsidP="00F230F1">
      <w:pPr>
        <w:contextualSpacing/>
        <w:jc w:val="both"/>
        <w:rPr>
          <w:rFonts w:asciiTheme="majorBidi" w:eastAsia="Calibr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 xml:space="preserve">Abū Shujāʿ ad-Daylamī, </w:t>
      </w:r>
      <w:r w:rsidRPr="00F230F1">
        <w:rPr>
          <w:rFonts w:asciiTheme="majorBidi" w:eastAsia="Calibri" w:hAnsiTheme="majorBidi" w:cstheme="majorBidi"/>
          <w:i/>
          <w:iCs/>
          <w:sz w:val="20"/>
          <w:szCs w:val="20"/>
        </w:rPr>
        <w:t>Al-Firdaws bi-maʾthūr al-khiṭāb</w:t>
      </w:r>
      <w:r w:rsidRPr="00F230F1">
        <w:rPr>
          <w:rFonts w:asciiTheme="majorBidi" w:eastAsia="Calibri" w:hAnsiTheme="majorBidi" w:cstheme="majorBidi"/>
          <w:sz w:val="20"/>
          <w:szCs w:val="20"/>
        </w:rPr>
        <w:t>, Dār al-kutub al-ʿilmiyya, 1986, t. 3, p. 228, n° 4672.</w:t>
      </w:r>
    </w:p>
  </w:footnote>
  <w:footnote w:id="32">
    <w:p w14:paraId="766D4672"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Ibn Taymīya, Taqī ad-Dīn, </w:t>
      </w:r>
      <w:r w:rsidRPr="00F230F1">
        <w:rPr>
          <w:rFonts w:asciiTheme="majorBidi" w:hAnsiTheme="majorBidi" w:cstheme="majorBidi"/>
          <w:i/>
          <w:iCs/>
          <w:sz w:val="20"/>
          <w:szCs w:val="20"/>
          <w:lang w:bidi="ar-AE"/>
        </w:rPr>
        <w:t>Majmūʿ fatāwā Ibn Taymīya</w:t>
      </w:r>
      <w:r w:rsidRPr="00F230F1">
        <w:rPr>
          <w:rFonts w:asciiTheme="majorBidi" w:hAnsiTheme="majorBidi" w:cstheme="majorBidi"/>
          <w:sz w:val="20"/>
          <w:szCs w:val="20"/>
          <w:lang w:bidi="ar-AE"/>
        </w:rPr>
        <w:t>, Complexe du Roi Fahd, 1995, (37 tomes), t . 17, p. 423.</w:t>
      </w:r>
    </w:p>
  </w:footnote>
  <w:footnote w:id="33">
    <w:p w14:paraId="593467BE"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Badr ad-Dīn</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 xml:space="preserve">Muḥammad b. ʿAbd Allāh Az-Zarkashī, </w:t>
      </w:r>
      <w:r w:rsidRPr="00F230F1">
        <w:rPr>
          <w:rFonts w:asciiTheme="majorBidi" w:eastAsia="Calibri" w:hAnsiTheme="majorBidi" w:cstheme="majorBidi"/>
          <w:i/>
          <w:iCs/>
          <w:sz w:val="20"/>
          <w:szCs w:val="20"/>
        </w:rPr>
        <w:t>Al-Burhān fī ʿulūm al-qurʾān</w:t>
      </w:r>
      <w:r w:rsidRPr="00F230F1">
        <w:rPr>
          <w:rFonts w:asciiTheme="majorBidi" w:eastAsia="Calibri" w:hAnsiTheme="majorBidi" w:cstheme="majorBidi"/>
          <w:sz w:val="20"/>
          <w:szCs w:val="20"/>
        </w:rPr>
        <w:t>, Dār al-Maʿrifa, 1990 (4 tomes</w:t>
      </w:r>
      <w:r w:rsidRPr="00F230F1">
        <w:rPr>
          <w:rFonts w:asciiTheme="majorBidi" w:eastAsia="Calibri" w:hAnsiTheme="majorBidi" w:cstheme="majorBidi"/>
          <w:sz w:val="20"/>
          <w:szCs w:val="20"/>
          <w:lang w:bidi="ar-AE"/>
        </w:rPr>
        <w:t>), tome 1, p. 305.</w:t>
      </w:r>
    </w:p>
  </w:footnote>
  <w:footnote w:id="34">
    <w:p w14:paraId="4A7CC641"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As-Suyūṭī, </w:t>
      </w:r>
      <w:r w:rsidRPr="00F230F1">
        <w:rPr>
          <w:rFonts w:asciiTheme="majorBidi" w:eastAsia="Calibri" w:hAnsiTheme="majorBidi" w:cstheme="majorBidi"/>
          <w:i/>
          <w:iCs/>
          <w:sz w:val="20"/>
          <w:szCs w:val="20"/>
        </w:rPr>
        <w:t>Itqān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chapitre : « Maʿrifat al-wujūh wa-n-naẓāʾir », Dar al-kitāb al-ʿarabī, 1999, page 440.</w:t>
      </w:r>
    </w:p>
  </w:footnote>
  <w:footnote w:id="35">
    <w:p w14:paraId="2FCE8A79"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As-Suyūṭī, </w:t>
      </w:r>
      <w:r w:rsidRPr="00F230F1">
        <w:rPr>
          <w:rFonts w:asciiTheme="majorBidi" w:eastAsia="Calibri" w:hAnsiTheme="majorBidi" w:cstheme="majorBidi"/>
          <w:i/>
          <w:iCs/>
          <w:sz w:val="20"/>
          <w:szCs w:val="20"/>
        </w:rPr>
        <w:t>Itqān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I/132, § 566.</w:t>
      </w:r>
    </w:p>
  </w:footnote>
  <w:footnote w:id="36">
    <w:p w14:paraId="21A31C26"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As-Suyūṭī, </w:t>
      </w:r>
      <w:r w:rsidRPr="00F230F1">
        <w:rPr>
          <w:rFonts w:asciiTheme="majorBidi" w:eastAsia="Calibri" w:hAnsiTheme="majorBidi" w:cstheme="majorBidi"/>
          <w:i/>
          <w:iCs/>
          <w:sz w:val="20"/>
          <w:szCs w:val="20"/>
        </w:rPr>
        <w:t>Itqān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sz w:val="20"/>
          <w:szCs w:val="20"/>
          <w:lang w:bidi="ar-AE"/>
        </w:rPr>
        <w:t xml:space="preserve">I/133, § 566. Mondher Sfar, </w:t>
      </w:r>
      <w:r w:rsidRPr="00F230F1">
        <w:rPr>
          <w:rFonts w:asciiTheme="majorBidi" w:eastAsia="Calibri" w:hAnsiTheme="majorBidi" w:cstheme="majorBidi"/>
          <w:i/>
          <w:iCs/>
          <w:sz w:val="20"/>
          <w:szCs w:val="20"/>
          <w:lang w:bidi="ar-AE"/>
        </w:rPr>
        <w:t>Le Coran est-il authentique ?</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lang w:bidi="ar-AE"/>
        </w:rPr>
        <w:t>, p. 20</w:t>
      </w:r>
      <w:r w:rsidRPr="00F230F1">
        <w:rPr>
          <w:rFonts w:asciiTheme="majorBidi" w:eastAsia="Calibri" w:hAnsiTheme="majorBidi" w:cstheme="majorBidi"/>
          <w:sz w:val="20"/>
          <w:szCs w:val="20"/>
        </w:rPr>
        <w:t>.</w:t>
      </w:r>
    </w:p>
  </w:footnote>
  <w:footnote w:id="37">
    <w:p w14:paraId="097BAFA1"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Itqān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sz w:val="20"/>
          <w:szCs w:val="20"/>
          <w:lang w:bidi="ar-AE"/>
        </w:rPr>
        <w:t xml:space="preserve">et </w:t>
      </w:r>
      <w:r w:rsidRPr="00F230F1">
        <w:rPr>
          <w:rFonts w:asciiTheme="majorBidi" w:eastAsia="Calibri" w:hAnsiTheme="majorBidi" w:cstheme="majorBidi"/>
          <w:i/>
          <w:iCs/>
          <w:sz w:val="20"/>
          <w:szCs w:val="20"/>
          <w:lang w:bidi="ar-AE"/>
        </w:rPr>
        <w:t>Le Coran est-il authentique ?</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rPr>
        <w:t>op. cit.</w:t>
      </w:r>
    </w:p>
  </w:footnote>
  <w:footnote w:id="38">
    <w:p w14:paraId="690D747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Antoine Compagnon, </w:t>
      </w:r>
      <w:r w:rsidRPr="00F230F1">
        <w:rPr>
          <w:rFonts w:asciiTheme="majorBidi" w:eastAsia="Times New Roman" w:hAnsiTheme="majorBidi" w:cstheme="majorBidi"/>
          <w:i/>
          <w:iCs/>
          <w:sz w:val="20"/>
          <w:szCs w:val="20"/>
        </w:rPr>
        <w:t>Le Démon de la théorie. Littérature et sens commun</w:t>
      </w:r>
      <w:r w:rsidRPr="00F230F1">
        <w:rPr>
          <w:rFonts w:asciiTheme="majorBidi" w:eastAsia="Times New Roman" w:hAnsiTheme="majorBidi" w:cstheme="majorBidi"/>
          <w:sz w:val="20"/>
          <w:szCs w:val="20"/>
        </w:rPr>
        <w:t xml:space="preserve">, Éditions du Seuil, 1998, p. 76, p. 86, p. 106, et p. 107. </w:t>
      </w:r>
    </w:p>
  </w:footnote>
  <w:footnote w:id="39">
    <w:p w14:paraId="44394C20" w14:textId="77777777" w:rsidR="009C3BB9" w:rsidRPr="00F230F1" w:rsidRDefault="009C3BB9" w:rsidP="00F230F1">
      <w:pPr>
        <w:contextualSpacing/>
        <w:jc w:val="both"/>
        <w:rPr>
          <w:rFonts w:asciiTheme="majorBidi" w:eastAsia="Times New Roman"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 76.</w:t>
      </w:r>
    </w:p>
  </w:footnote>
  <w:footnote w:id="40">
    <w:p w14:paraId="652A3420"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Fatwa n° 171021, </w:t>
      </w:r>
      <w:r w:rsidRPr="00F230F1">
        <w:rPr>
          <w:rFonts w:asciiTheme="majorBidi" w:hAnsiTheme="majorBidi" w:cstheme="majorBidi"/>
          <w:i/>
          <w:iCs/>
          <w:sz w:val="20"/>
          <w:szCs w:val="20"/>
        </w:rPr>
        <w:t>Islamweb.net</w:t>
      </w:r>
      <w:r w:rsidRPr="00F230F1">
        <w:rPr>
          <w:rFonts w:asciiTheme="majorBidi" w:hAnsiTheme="majorBidi" w:cstheme="majorBidi"/>
          <w:sz w:val="20"/>
          <w:szCs w:val="20"/>
        </w:rPr>
        <w:t>, Centre de la fatwa :</w:t>
      </w:r>
      <w:r w:rsidRPr="00F230F1">
        <w:rPr>
          <w:rFonts w:asciiTheme="majorBidi" w:hAnsiTheme="majorBidi" w:cstheme="majorBidi"/>
          <w:sz w:val="20"/>
          <w:szCs w:val="20"/>
          <w:lang w:bidi="ar-EG"/>
        </w:rPr>
        <w:t xml:space="preserve"> </w:t>
      </w:r>
      <w:hyperlink r:id="rId13" w:history="1">
        <w:r w:rsidRPr="00F230F1">
          <w:rPr>
            <w:rStyle w:val="Lienhypertexte"/>
            <w:rFonts w:asciiTheme="majorBidi" w:hAnsiTheme="majorBidi" w:cstheme="majorBidi"/>
            <w:sz w:val="20"/>
            <w:szCs w:val="20"/>
          </w:rPr>
          <w:t>http://fatwa.islamweb.net/fatwa/index.php?page=showfatwa&amp;Option=FatwaId&amp;Id=171021</w:t>
        </w:r>
      </w:hyperlink>
      <w:r w:rsidRPr="00F230F1">
        <w:rPr>
          <w:rFonts w:asciiTheme="majorBidi" w:eastAsia="Calibri" w:hAnsiTheme="majorBidi" w:cstheme="majorBidi"/>
          <w:sz w:val="20"/>
          <w:szCs w:val="20"/>
        </w:rPr>
        <w:t xml:space="preserve"> (consulté le 09/07/2017).</w:t>
      </w:r>
    </w:p>
  </w:footnote>
  <w:footnote w:id="41">
    <w:p w14:paraId="1F1E9AED"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Site web </w:t>
      </w:r>
      <w:r w:rsidRPr="00F230F1">
        <w:rPr>
          <w:rFonts w:asciiTheme="majorBidi" w:hAnsiTheme="majorBidi" w:cstheme="majorBidi"/>
          <w:i/>
          <w:iCs/>
          <w:sz w:val="20"/>
          <w:szCs w:val="20"/>
        </w:rPr>
        <w:t>Ahl al-qurʾān</w:t>
      </w:r>
      <w:r w:rsidRPr="00F230F1">
        <w:rPr>
          <w:rFonts w:asciiTheme="majorBidi" w:hAnsiTheme="majorBidi" w:cstheme="majorBidi"/>
          <w:sz w:val="20"/>
          <w:szCs w:val="20"/>
        </w:rPr>
        <w:t xml:space="preserve"> : </w:t>
      </w:r>
      <w:hyperlink r:id="rId14" w:history="1">
        <w:r w:rsidRPr="00F230F1">
          <w:rPr>
            <w:rStyle w:val="Lienhypertexte"/>
            <w:rFonts w:asciiTheme="majorBidi" w:hAnsiTheme="majorBidi" w:cstheme="majorBidi"/>
            <w:sz w:val="20"/>
            <w:szCs w:val="20"/>
          </w:rPr>
          <w:t>http://www.ahl-alquran.com/arabic/show_article.php?main_id=2730</w:t>
        </w:r>
      </w:hyperlink>
      <w:r w:rsidRPr="00F230F1">
        <w:rPr>
          <w:rFonts w:asciiTheme="majorBidi" w:eastAsia="Calibri" w:hAnsiTheme="majorBidi" w:cstheme="majorBidi"/>
          <w:sz w:val="20"/>
          <w:szCs w:val="20"/>
        </w:rPr>
        <w:t xml:space="preserve"> (consulté le 09/07/2017).</w:t>
      </w:r>
    </w:p>
  </w:footnote>
  <w:footnote w:id="42">
    <w:p w14:paraId="742A2DC4"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Dans son ouvrage </w:t>
      </w:r>
      <w:r w:rsidRPr="00F230F1">
        <w:rPr>
          <w:rFonts w:asciiTheme="majorBidi" w:hAnsiTheme="majorBidi" w:cstheme="majorBidi"/>
          <w:i/>
          <w:iCs/>
          <w:sz w:val="20"/>
          <w:szCs w:val="20"/>
        </w:rPr>
        <w:t>Kayfa nataʿāmal maʿa al-qurʾān</w:t>
      </w:r>
      <w:r w:rsidRPr="00F230F1">
        <w:rPr>
          <w:rFonts w:asciiTheme="majorBidi" w:hAnsiTheme="majorBidi" w:cstheme="majorBidi"/>
          <w:sz w:val="20"/>
          <w:szCs w:val="20"/>
        </w:rPr>
        <w:t xml:space="preserve"> [</w:t>
      </w:r>
      <w:r w:rsidRPr="00F230F1">
        <w:rPr>
          <w:rFonts w:asciiTheme="majorBidi" w:hAnsiTheme="majorBidi" w:cstheme="majorBidi"/>
          <w:iCs/>
          <w:sz w:val="20"/>
          <w:szCs w:val="20"/>
        </w:rPr>
        <w:t>Comment se comporter avec le Coran</w:t>
      </w:r>
      <w:r w:rsidRPr="00F230F1">
        <w:rPr>
          <w:rFonts w:asciiTheme="majorBidi" w:hAnsiTheme="majorBidi" w:cstheme="majorBidi"/>
          <w:sz w:val="20"/>
          <w:szCs w:val="20"/>
        </w:rPr>
        <w:t xml:space="preserve">] (Dar </w:t>
      </w:r>
      <w:r w:rsidRPr="00F230F1">
        <w:rPr>
          <w:rFonts w:asciiTheme="majorBidi" w:hAnsiTheme="majorBidi" w:cstheme="majorBidi"/>
          <w:iCs/>
          <w:sz w:val="20"/>
          <w:szCs w:val="20"/>
        </w:rPr>
        <w:t>Nahḍat Miṣr</w:t>
      </w:r>
      <w:r w:rsidRPr="00F230F1">
        <w:rPr>
          <w:rFonts w:asciiTheme="majorBidi" w:hAnsiTheme="majorBidi" w:cstheme="majorBidi"/>
          <w:sz w:val="20"/>
          <w:szCs w:val="20"/>
        </w:rPr>
        <w:t>, Le Caire, 7</w:t>
      </w:r>
      <w:r w:rsidRPr="00F230F1">
        <w:rPr>
          <w:rFonts w:asciiTheme="majorBidi" w:hAnsiTheme="majorBidi" w:cstheme="majorBidi"/>
          <w:sz w:val="20"/>
          <w:szCs w:val="20"/>
          <w:vertAlign w:val="superscript"/>
        </w:rPr>
        <w:t>e</w:t>
      </w:r>
      <w:r w:rsidRPr="00F230F1">
        <w:rPr>
          <w:rFonts w:asciiTheme="majorBidi" w:hAnsiTheme="majorBidi" w:cstheme="majorBidi"/>
          <w:sz w:val="20"/>
          <w:szCs w:val="20"/>
        </w:rPr>
        <w:t xml:space="preserve"> édition, 2005, p. 148), Muḥammad al-Ghazālī affirme que la polysémie du Coran n’est pas un défaut, mais qu’elle fait partie de son inimitabilité, et que cette flexibilité a pour but d’adapter le Coran à toutes les époques. (</w:t>
      </w:r>
      <w:hyperlink r:id="rId15" w:anchor="v=onepage&amp;q=وهذا%20جزء%20من%20إعجازه%20وليس%20عيباً%20فيه&amp;f=false" w:history="1">
        <w:r w:rsidRPr="00F230F1">
          <w:rPr>
            <w:rStyle w:val="Lienhypertexte"/>
            <w:rFonts w:asciiTheme="majorBidi" w:hAnsiTheme="majorBidi" w:cstheme="majorBidi"/>
            <w:sz w:val="20"/>
            <w:szCs w:val="20"/>
          </w:rPr>
          <w:t>https://books.google.fr/books?id=DPsiDgAAQBAJ&amp;pg=PT155&amp;lpg=PT155&amp;dq=</w:t>
        </w:r>
        <w:r w:rsidRPr="00F230F1">
          <w:rPr>
            <w:rStyle w:val="Lienhypertexte"/>
            <w:rFonts w:asciiTheme="majorBidi" w:hAnsiTheme="majorBidi" w:cstheme="majorBidi"/>
            <w:sz w:val="20"/>
            <w:szCs w:val="20"/>
            <w:rtl/>
          </w:rPr>
          <w:t>وهذا+جزء+من+إعجازه+وليس+عيباً+فيه</w:t>
        </w:r>
        <w:r w:rsidRPr="00F230F1">
          <w:rPr>
            <w:rStyle w:val="Lienhypertexte"/>
            <w:rFonts w:asciiTheme="majorBidi" w:hAnsiTheme="majorBidi" w:cstheme="majorBidi"/>
            <w:sz w:val="20"/>
            <w:szCs w:val="20"/>
          </w:rPr>
          <w:t>&amp;source=bl&amp;ots=DUBH-r4DK4&amp;sig=a2X3smbegCoa0svRC85sytneP28&amp;hl=fr&amp;sa=X&amp;ved=0ahUKEwi_x5fC8vvUAhVH7BQKHYgIBsAQ6AEIJTAA#v=onepage&amp;q=</w:t>
        </w:r>
        <w:r w:rsidRPr="00F230F1">
          <w:rPr>
            <w:rStyle w:val="Lienhypertexte"/>
            <w:rFonts w:asciiTheme="majorBidi" w:hAnsiTheme="majorBidi" w:cstheme="majorBidi"/>
            <w:sz w:val="20"/>
            <w:szCs w:val="20"/>
            <w:rtl/>
          </w:rPr>
          <w:t>وهذا%20جزء%20من%20إعجازه%20وليس%20عيباً%20فيه</w:t>
        </w:r>
        <w:r w:rsidRPr="00F230F1">
          <w:rPr>
            <w:rStyle w:val="Lienhypertexte"/>
            <w:rFonts w:asciiTheme="majorBidi" w:hAnsiTheme="majorBidi" w:cstheme="majorBidi"/>
            <w:sz w:val="20"/>
            <w:szCs w:val="20"/>
          </w:rPr>
          <w:t>&amp;f=false</w:t>
        </w:r>
      </w:hyperlink>
      <w:r w:rsidRPr="00F230F1">
        <w:rPr>
          <w:rFonts w:asciiTheme="majorBidi" w:hAnsiTheme="majorBidi" w:cstheme="majorBidi"/>
          <w:sz w:val="20"/>
          <w:szCs w:val="20"/>
        </w:rPr>
        <w:t xml:space="preserve"> consulté le 09/07/2017.) Muḥammad al-Ghazālī souligne :</w:t>
      </w:r>
    </w:p>
    <w:p w14:paraId="112AB6D6" w14:textId="77777777" w:rsidR="009C3BB9" w:rsidRPr="00F230F1" w:rsidRDefault="009C3BB9" w:rsidP="00F230F1">
      <w:pPr>
        <w:pStyle w:val="Titre1"/>
        <w:shd w:val="clear" w:color="auto" w:fill="FFFFFF"/>
        <w:bidi/>
        <w:spacing w:before="0" w:beforeAutospacing="0" w:after="0" w:afterAutospacing="0"/>
        <w:contextualSpacing/>
        <w:jc w:val="both"/>
        <w:rPr>
          <w:rFonts w:asciiTheme="majorBidi" w:hAnsiTheme="majorBidi" w:cstheme="majorBidi"/>
          <w:b w:val="0"/>
          <w:bCs w:val="0"/>
          <w:sz w:val="20"/>
          <w:szCs w:val="20"/>
        </w:rPr>
      </w:pPr>
      <w:r w:rsidRPr="00F230F1">
        <w:rPr>
          <w:rFonts w:asciiTheme="majorBidi" w:hAnsiTheme="majorBidi" w:cstheme="majorBidi"/>
          <w:b w:val="0"/>
          <w:bCs w:val="0"/>
          <w:sz w:val="20"/>
          <w:szCs w:val="20"/>
          <w:rtl/>
        </w:rPr>
        <w:t>"بقي أنَّ القرآن حمَّال أوجه، كما يقال، وهذا جزء من إعجازه، وليس عيبا</w:t>
      </w:r>
      <w:r w:rsidRPr="00F230F1">
        <w:rPr>
          <w:rFonts w:asciiTheme="majorBidi" w:hAnsiTheme="majorBidi" w:cstheme="majorBidi"/>
          <w:b w:val="0"/>
          <w:bCs w:val="0"/>
          <w:sz w:val="20"/>
          <w:szCs w:val="20"/>
          <w:rtl/>
          <w:lang w:bidi="ar-KW"/>
        </w:rPr>
        <w:t>ً</w:t>
      </w:r>
      <w:r w:rsidRPr="00F230F1">
        <w:rPr>
          <w:rFonts w:asciiTheme="majorBidi" w:hAnsiTheme="majorBidi" w:cstheme="majorBidi"/>
          <w:b w:val="0"/>
          <w:bCs w:val="0"/>
          <w:sz w:val="20"/>
          <w:szCs w:val="20"/>
          <w:rtl/>
        </w:rPr>
        <w:t xml:space="preserve"> فيه. وكَوْنُ الآياتِ مرِنةً، فذلك لكي تُطاوِعَ العصورَ كلَّها. لكنْ مع حسن النية وسلامة شرف القصد، فإنَّ المرونة تكون أساساً لسعة العصور كلها، لا أساساً للعب والعبث."</w:t>
      </w:r>
    </w:p>
    <w:p w14:paraId="2EB4E252" w14:textId="77777777" w:rsidR="009C3BB9" w:rsidRPr="00F230F1" w:rsidRDefault="009C3BB9" w:rsidP="00F230F1">
      <w:pPr>
        <w:contextualSpacing/>
        <w:jc w:val="both"/>
        <w:rPr>
          <w:rFonts w:asciiTheme="majorBidi" w:eastAsia="Times New Roman" w:hAnsiTheme="majorBidi" w:cstheme="majorBidi"/>
          <w:kern w:val="36"/>
          <w:sz w:val="20"/>
          <w:szCs w:val="20"/>
          <w:rtl/>
          <w:lang w:eastAsia="en-US"/>
        </w:rPr>
      </w:pPr>
      <w:r w:rsidRPr="00F230F1">
        <w:rPr>
          <w:rFonts w:asciiTheme="majorBidi" w:eastAsia="Times New Roman" w:hAnsiTheme="majorBidi" w:cstheme="majorBidi"/>
          <w:kern w:val="36"/>
          <w:sz w:val="20"/>
          <w:szCs w:val="20"/>
          <w:lang w:eastAsia="en-US"/>
        </w:rPr>
        <w:t>[Il reste</w:t>
      </w:r>
      <w:r w:rsidRPr="00F230F1">
        <w:rPr>
          <w:rFonts w:asciiTheme="majorBidi" w:hAnsiTheme="majorBidi" w:cstheme="majorBidi"/>
          <w:kern w:val="36"/>
          <w:sz w:val="20"/>
          <w:szCs w:val="20"/>
          <w:lang w:eastAsia="en-US"/>
        </w:rPr>
        <w:t> </w:t>
      </w:r>
      <w:r w:rsidRPr="00F230F1">
        <w:rPr>
          <w:rFonts w:asciiTheme="majorBidi" w:eastAsia="Times New Roman" w:hAnsiTheme="majorBidi" w:cstheme="majorBidi"/>
          <w:kern w:val="36"/>
          <w:sz w:val="20"/>
          <w:szCs w:val="20"/>
          <w:lang w:eastAsia="en-US"/>
        </w:rPr>
        <w:t>à</w:t>
      </w:r>
      <w:r w:rsidRPr="00F230F1">
        <w:rPr>
          <w:rFonts w:asciiTheme="majorBidi" w:hAnsiTheme="majorBidi" w:cstheme="majorBidi"/>
          <w:kern w:val="36"/>
          <w:sz w:val="20"/>
          <w:szCs w:val="20"/>
          <w:lang w:eastAsia="en-US"/>
        </w:rPr>
        <w:t> </w:t>
      </w:r>
      <w:r w:rsidRPr="00F230F1">
        <w:rPr>
          <w:rFonts w:asciiTheme="majorBidi" w:eastAsia="Times New Roman" w:hAnsiTheme="majorBidi" w:cstheme="majorBidi"/>
          <w:kern w:val="36"/>
          <w:sz w:val="20"/>
          <w:szCs w:val="20"/>
          <w:lang w:eastAsia="en-US"/>
        </w:rPr>
        <w:t>souligner que le Coran est polysémique</w:t>
      </w:r>
      <w:r w:rsidRPr="00F230F1">
        <w:rPr>
          <w:rFonts w:asciiTheme="majorBidi" w:hAnsiTheme="majorBidi" w:cstheme="majorBidi"/>
          <w:kern w:val="36"/>
          <w:sz w:val="20"/>
          <w:szCs w:val="20"/>
          <w:lang w:eastAsia="en-US"/>
        </w:rPr>
        <w:t> </w:t>
      </w:r>
      <w:r w:rsidRPr="00F230F1">
        <w:rPr>
          <w:rFonts w:asciiTheme="majorBidi" w:eastAsia="Times New Roman" w:hAnsiTheme="majorBidi" w:cstheme="majorBidi"/>
          <w:kern w:val="36"/>
          <w:sz w:val="20"/>
          <w:szCs w:val="20"/>
          <w:lang w:eastAsia="en-US"/>
        </w:rPr>
        <w:t>[</w:t>
      </w:r>
      <w:r w:rsidRPr="00F230F1">
        <w:rPr>
          <w:rFonts w:asciiTheme="majorBidi" w:eastAsia="Times New Roman" w:hAnsiTheme="majorBidi" w:cstheme="majorBidi"/>
          <w:i/>
          <w:iCs/>
          <w:kern w:val="36"/>
          <w:sz w:val="20"/>
          <w:szCs w:val="20"/>
          <w:lang w:eastAsia="en-US"/>
        </w:rPr>
        <w:t>ḥammāl awjuh</w:t>
      </w:r>
      <w:r w:rsidRPr="00F230F1">
        <w:rPr>
          <w:rFonts w:asciiTheme="majorBidi" w:eastAsia="Times New Roman" w:hAnsiTheme="majorBidi" w:cstheme="majorBidi"/>
          <w:kern w:val="36"/>
          <w:sz w:val="20"/>
          <w:szCs w:val="20"/>
          <w:lang w:eastAsia="en-US"/>
        </w:rPr>
        <w:t>],</w:t>
      </w:r>
      <w:r w:rsidRPr="00F230F1">
        <w:rPr>
          <w:rFonts w:asciiTheme="majorBidi" w:hAnsiTheme="majorBidi" w:cstheme="majorBidi"/>
          <w:kern w:val="36"/>
          <w:sz w:val="20"/>
          <w:szCs w:val="20"/>
          <w:lang w:eastAsia="en-US"/>
        </w:rPr>
        <w:t> </w:t>
      </w:r>
      <w:r w:rsidRPr="00F230F1">
        <w:rPr>
          <w:rFonts w:asciiTheme="majorBidi" w:eastAsia="Times New Roman" w:hAnsiTheme="majorBidi" w:cstheme="majorBidi"/>
          <w:kern w:val="36"/>
          <w:sz w:val="20"/>
          <w:szCs w:val="20"/>
          <w:lang w:eastAsia="en-US"/>
        </w:rPr>
        <w:t>comme on dit ; c’est en cela qu’il est inimitable et cette caractéristique n’est pas à considérer comme un défaut. Le fait que les versets sont flexibles permet ainsi leur adaptation à toutes les époques. Toutefois, avec de la bonne foi et une approche empreinte de droiture et de probité, elle peut devenir la base idéale pour que le texte sacré s’adapte à tous les temps et non</w:t>
      </w:r>
      <w:r w:rsidRPr="00F230F1">
        <w:rPr>
          <w:rFonts w:asciiTheme="majorBidi" w:hAnsiTheme="majorBidi" w:cstheme="majorBidi"/>
          <w:kern w:val="36"/>
          <w:sz w:val="20"/>
          <w:szCs w:val="20"/>
          <w:lang w:eastAsia="en-US"/>
        </w:rPr>
        <w:t> </w:t>
      </w:r>
      <w:r w:rsidRPr="00F230F1">
        <w:rPr>
          <w:rFonts w:asciiTheme="majorBidi" w:eastAsia="Times New Roman" w:hAnsiTheme="majorBidi" w:cstheme="majorBidi"/>
          <w:kern w:val="36"/>
          <w:sz w:val="20"/>
          <w:szCs w:val="20"/>
          <w:lang w:eastAsia="en-US"/>
        </w:rPr>
        <w:t>pas un motif pour jouer avec ce texte et le falsifier.]</w:t>
      </w:r>
    </w:p>
  </w:footnote>
  <w:footnote w:id="43">
    <w:p w14:paraId="6C5B2E91" w14:textId="77777777" w:rsidR="009C3BB9" w:rsidRPr="00F230F1" w:rsidRDefault="009C3BB9" w:rsidP="00F230F1">
      <w:pPr>
        <w:pStyle w:val="Titre1"/>
        <w:shd w:val="clear" w:color="auto" w:fill="FFFFFF"/>
        <w:spacing w:before="0" w:beforeAutospacing="0" w:after="0" w:afterAutospacing="0"/>
        <w:contextualSpacing/>
        <w:jc w:val="both"/>
        <w:rPr>
          <w:rFonts w:asciiTheme="majorBidi" w:eastAsia="Calibri" w:hAnsiTheme="majorBidi" w:cstheme="majorBidi"/>
          <w:b w:val="0"/>
          <w:bCs w:val="0"/>
          <w:sz w:val="20"/>
          <w:szCs w:val="20"/>
        </w:rPr>
      </w:pPr>
      <w:r w:rsidRPr="00F230F1">
        <w:rPr>
          <w:rStyle w:val="Appelnotedebasdep"/>
          <w:rFonts w:asciiTheme="majorBidi" w:hAnsiTheme="majorBidi" w:cstheme="majorBidi"/>
          <w:b w:val="0"/>
          <w:bCs w:val="0"/>
          <w:sz w:val="20"/>
          <w:szCs w:val="20"/>
        </w:rPr>
        <w:footnoteRef/>
      </w:r>
      <w:r w:rsidRPr="00F230F1">
        <w:rPr>
          <w:rFonts w:asciiTheme="majorBidi" w:eastAsia="Calibri" w:hAnsiTheme="majorBidi" w:cstheme="majorBidi"/>
          <w:b w:val="0"/>
          <w:bCs w:val="0"/>
          <w:sz w:val="20"/>
          <w:szCs w:val="20"/>
        </w:rPr>
        <w:t xml:space="preserve"> Guidère, Mathieu, </w:t>
      </w:r>
      <w:r w:rsidRPr="00F230F1">
        <w:rPr>
          <w:rFonts w:asciiTheme="majorBidi" w:eastAsia="Calibri" w:hAnsiTheme="majorBidi" w:cstheme="majorBidi"/>
          <w:b w:val="0"/>
          <w:bCs w:val="0"/>
          <w:i/>
          <w:iCs/>
          <w:sz w:val="20"/>
          <w:szCs w:val="20"/>
        </w:rPr>
        <w:t>Introduction à la traductologie : Penser la traduction : hier, aujourd’hui, demain</w:t>
      </w:r>
      <w:r w:rsidRPr="00F230F1">
        <w:rPr>
          <w:rFonts w:asciiTheme="majorBidi" w:eastAsia="Calibri" w:hAnsiTheme="majorBidi" w:cstheme="majorBidi"/>
          <w:b w:val="0"/>
          <w:bCs w:val="0"/>
          <w:sz w:val="20"/>
          <w:szCs w:val="20"/>
        </w:rPr>
        <w:t>, De Boeck, Bruxelles, 2</w:t>
      </w:r>
      <w:r w:rsidRPr="00F230F1">
        <w:rPr>
          <w:rFonts w:asciiTheme="majorBidi" w:eastAsia="Calibri" w:hAnsiTheme="majorBidi" w:cstheme="majorBidi"/>
          <w:b w:val="0"/>
          <w:bCs w:val="0"/>
          <w:sz w:val="20"/>
          <w:szCs w:val="20"/>
          <w:vertAlign w:val="superscript"/>
        </w:rPr>
        <w:t>ème</w:t>
      </w:r>
      <w:r w:rsidRPr="00F230F1">
        <w:rPr>
          <w:rFonts w:asciiTheme="majorBidi" w:eastAsia="Calibri" w:hAnsiTheme="majorBidi" w:cstheme="majorBidi"/>
          <w:b w:val="0"/>
          <w:bCs w:val="0"/>
          <w:sz w:val="20"/>
          <w:szCs w:val="20"/>
        </w:rPr>
        <w:t xml:space="preserve"> édition, 2010, p. 22.</w:t>
      </w:r>
    </w:p>
  </w:footnote>
  <w:footnote w:id="44">
    <w:p w14:paraId="01165529" w14:textId="77777777" w:rsidR="009C3BB9" w:rsidRPr="00F230F1" w:rsidRDefault="009C3BB9" w:rsidP="00F230F1">
      <w:pPr>
        <w:contextualSpacing/>
        <w:jc w:val="both"/>
        <w:rPr>
          <w:rFonts w:asciiTheme="majorBidi" w:eastAsia="Calibr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Le nombre des versets de la sourate </w:t>
      </w:r>
      <w:r w:rsidRPr="00F230F1">
        <w:rPr>
          <w:rFonts w:asciiTheme="majorBidi" w:eastAsia="Calibri" w:hAnsiTheme="majorBidi" w:cstheme="majorBidi"/>
          <w:i/>
          <w:iCs/>
          <w:sz w:val="20"/>
          <w:szCs w:val="20"/>
        </w:rPr>
        <w:t>Al-Ḥajj</w:t>
      </w:r>
      <w:r w:rsidRPr="00F230F1">
        <w:rPr>
          <w:rFonts w:asciiTheme="majorBidi" w:eastAsia="Calibri" w:hAnsiTheme="majorBidi" w:cstheme="majorBidi"/>
          <w:sz w:val="20"/>
          <w:szCs w:val="20"/>
        </w:rPr>
        <w:t xml:space="preserve"> est controversé (74, 75, 76 ou 80 versets). Dans son </w:t>
      </w:r>
      <w:r w:rsidRPr="00F230F1">
        <w:rPr>
          <w:rFonts w:asciiTheme="majorBidi" w:eastAsia="Calibri" w:hAnsiTheme="majorBidi" w:cstheme="majorBidi"/>
          <w:i/>
          <w:iCs/>
          <w:sz w:val="20"/>
          <w:szCs w:val="20"/>
          <w:lang w:bidi="ar-AE"/>
        </w:rPr>
        <w:t>Itqān</w:t>
      </w:r>
      <w:r w:rsidRPr="00F230F1">
        <w:rPr>
          <w:rFonts w:asciiTheme="majorBidi" w:eastAsia="Calibri" w:hAnsiTheme="majorBidi" w:cstheme="majorBidi"/>
          <w:sz w:val="20"/>
          <w:szCs w:val="20"/>
        </w:rPr>
        <w:t xml:space="preserve"> (tome 1, p. 64), </w:t>
      </w:r>
      <w:r w:rsidRPr="00F230F1">
        <w:rPr>
          <w:rFonts w:asciiTheme="majorBidi" w:eastAsia="Calibri" w:hAnsiTheme="majorBidi" w:cstheme="majorBidi"/>
          <w:sz w:val="20"/>
          <w:szCs w:val="20"/>
          <w:lang w:bidi="ar-AE"/>
        </w:rPr>
        <w:t>As-Suyūṭī souligne :</w:t>
      </w:r>
    </w:p>
    <w:p w14:paraId="50CDA956" w14:textId="77777777" w:rsidR="009C3BB9" w:rsidRPr="00F230F1" w:rsidRDefault="009C3BB9" w:rsidP="00F230F1">
      <w:pPr>
        <w:bidi/>
        <w:contextualSpacing/>
        <w:jc w:val="both"/>
        <w:rPr>
          <w:rFonts w:asciiTheme="majorBidi" w:hAnsiTheme="majorBidi" w:cstheme="majorBidi"/>
          <w:sz w:val="20"/>
          <w:szCs w:val="20"/>
          <w:lang w:bidi="ar-AE"/>
        </w:rPr>
      </w:pPr>
      <w:r w:rsidRPr="00F230F1">
        <w:rPr>
          <w:rFonts w:asciiTheme="majorBidi" w:hAnsiTheme="majorBidi" w:cstheme="majorBidi"/>
          <w:sz w:val="20"/>
          <w:szCs w:val="20"/>
          <w:rtl/>
          <w:lang w:bidi="ar-AE"/>
        </w:rPr>
        <w:t>"قال أبو عبد الله الموصلي في شرح قصيدته "ذات الرشد": الحج‏:‏ سبعون وأربع [74]، وقيل: وخمس [75]، وقيل: وسِتّ [76]، وقيل: وثمان [80]‏.‏"</w:t>
      </w:r>
    </w:p>
    <w:p w14:paraId="7CE61EDB" w14:textId="77777777" w:rsidR="009C3BB9" w:rsidRPr="00F230F1" w:rsidRDefault="009C3BB9" w:rsidP="00F230F1">
      <w:pPr>
        <w:contextualSpacing/>
        <w:jc w:val="both"/>
        <w:rPr>
          <w:rFonts w:asciiTheme="majorBidi" w:hAnsiTheme="majorBidi" w:cstheme="majorBidi"/>
          <w:sz w:val="20"/>
          <w:szCs w:val="20"/>
          <w:lang w:bidi="ar-AE"/>
        </w:rPr>
      </w:pPr>
      <w:r w:rsidRPr="00F230F1">
        <w:rPr>
          <w:rFonts w:asciiTheme="majorBidi" w:hAnsiTheme="majorBidi" w:cstheme="majorBidi"/>
          <w:sz w:val="20"/>
          <w:szCs w:val="20"/>
          <w:lang w:bidi="ar-AE"/>
        </w:rPr>
        <w:t xml:space="preserve">[« Abū </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lang w:bidi="ar-AE"/>
        </w:rPr>
        <w:t>Abd Allāh al-Mū</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lang w:bidi="ar-AE"/>
        </w:rPr>
        <w:t>illī dit en commentant son poème intitulé « </w:t>
      </w:r>
      <w:r w:rsidRPr="00F230F1">
        <w:rPr>
          <w:rFonts w:asciiTheme="majorBidi" w:hAnsiTheme="majorBidi" w:cstheme="majorBidi"/>
          <w:i/>
          <w:iCs/>
          <w:sz w:val="20"/>
          <w:szCs w:val="20"/>
          <w:lang w:bidi="ar-AE"/>
        </w:rPr>
        <w:t>Dhāt ar-rashad </w:t>
      </w:r>
      <w:r w:rsidRPr="00F230F1">
        <w:rPr>
          <w:rFonts w:asciiTheme="majorBidi" w:hAnsiTheme="majorBidi" w:cstheme="majorBidi"/>
          <w:sz w:val="20"/>
          <w:szCs w:val="20"/>
          <w:lang w:bidi="ar-AE"/>
        </w:rPr>
        <w:t>» : "[La sourate] al-Ḥajj est composée de 74 versets. Mais selon certains elle est composée de 75 versets, et selon d’autres de 76 ou 80." »]</w:t>
      </w:r>
    </w:p>
    <w:p w14:paraId="233AC254" w14:textId="77777777" w:rsidR="009C3BB9" w:rsidRPr="00F230F1" w:rsidRDefault="009C3BB9" w:rsidP="00F230F1">
      <w:pPr>
        <w:contextualSpacing/>
        <w:jc w:val="both"/>
        <w:rPr>
          <w:rFonts w:asciiTheme="majorBidi" w:eastAsia="Calibri" w:hAnsiTheme="majorBidi" w:cstheme="majorBidi"/>
          <w:sz w:val="20"/>
          <w:szCs w:val="20"/>
        </w:rPr>
      </w:pPr>
      <w:r w:rsidRPr="00F230F1">
        <w:rPr>
          <w:rFonts w:asciiTheme="majorBidi" w:eastAsia="Calibri" w:hAnsiTheme="majorBidi" w:cstheme="majorBidi"/>
          <w:sz w:val="20"/>
          <w:szCs w:val="20"/>
        </w:rPr>
        <w:t>Cette divergence sur le nombre des versets est significative. Elle présente plusieurs segmentations du texte, ce qui pourrait changer le sens.</w:t>
      </w:r>
    </w:p>
  </w:footnote>
  <w:footnote w:id="45">
    <w:p w14:paraId="203DD347" w14:textId="7DE9FD95" w:rsidR="009C3BB9" w:rsidRPr="00F230F1" w:rsidRDefault="009C3BB9" w:rsidP="00F230F1">
      <w:pPr>
        <w:contextualSpacing/>
        <w:jc w:val="both"/>
        <w:rPr>
          <w:rFonts w:asciiTheme="majorBidi" w:eastAsia="Times New Roman"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eastAsia="Times New Roman" w:hAnsiTheme="majorBidi" w:cstheme="majorBidi"/>
          <w:sz w:val="20"/>
          <w:szCs w:val="20"/>
          <w:lang w:bidi="ar-AE"/>
        </w:rPr>
        <w:t xml:space="preserve">Les exégètes se sont divisés à propos du type de la sourate. Est-elle mecquoise ou médinoise ? Mujāhid précise qu’elle est mecquoise sauf 3 versets (19, 20 et 21), alors que Qatāda dit qu’elle est médinoise sauf 4 versets (52, 53, 54 et 55). </w:t>
      </w:r>
      <w:r w:rsidRPr="00F230F1">
        <w:rPr>
          <w:rFonts w:asciiTheme="majorBidi" w:eastAsia="Calibri" w:hAnsiTheme="majorBidi" w:cstheme="majorBidi"/>
          <w:sz w:val="20"/>
          <w:szCs w:val="20"/>
        </w:rPr>
        <w:t xml:space="preserve">Différentes références soulignent que la sourate </w:t>
      </w:r>
      <w:r w:rsidRPr="00F230F1">
        <w:rPr>
          <w:rFonts w:asciiTheme="majorBidi" w:eastAsia="Calibri" w:hAnsiTheme="majorBidi" w:cstheme="majorBidi"/>
          <w:i/>
          <w:iCs/>
          <w:sz w:val="20"/>
          <w:szCs w:val="20"/>
        </w:rPr>
        <w:t>Al-</w:t>
      </w:r>
      <w:r w:rsidRPr="00F230F1">
        <w:rPr>
          <w:rFonts w:asciiTheme="majorBidi" w:hAnsiTheme="majorBidi" w:cstheme="majorBidi"/>
          <w:i/>
          <w:iCs/>
          <w:sz w:val="20"/>
          <w:szCs w:val="20"/>
        </w:rPr>
        <w:t>Ḥajj</w:t>
      </w:r>
      <w:r w:rsidRPr="00F230F1">
        <w:rPr>
          <w:rFonts w:asciiTheme="majorBidi" w:hAnsiTheme="majorBidi" w:cstheme="majorBidi"/>
          <w:sz w:val="20"/>
          <w:szCs w:val="20"/>
        </w:rPr>
        <w:t xml:space="preserve"> contient des versets mecquois et des versets médinois.</w:t>
      </w:r>
      <w:r w:rsidRPr="00F230F1">
        <w:rPr>
          <w:rFonts w:asciiTheme="majorBidi" w:eastAsia="Times New Roman" w:hAnsiTheme="majorBidi" w:cstheme="majorBidi"/>
          <w:sz w:val="20"/>
          <w:szCs w:val="20"/>
          <w:lang w:bidi="ar-AE"/>
        </w:rPr>
        <w:t xml:space="preserve"> </w:t>
      </w:r>
      <w:r w:rsidRPr="00F230F1">
        <w:rPr>
          <w:rFonts w:asciiTheme="majorBidi" w:eastAsia="Times New Roman" w:hAnsiTheme="majorBidi" w:cstheme="majorBidi"/>
          <w:sz w:val="20"/>
          <w:szCs w:val="20"/>
        </w:rPr>
        <w:t xml:space="preserve">Dans </w:t>
      </w:r>
      <w:r w:rsidRPr="00F230F1">
        <w:rPr>
          <w:rFonts w:asciiTheme="majorBidi" w:eastAsia="Times New Roman" w:hAnsiTheme="majorBidi" w:cstheme="majorBidi"/>
          <w:i/>
          <w:iCs/>
          <w:sz w:val="20"/>
          <w:szCs w:val="20"/>
        </w:rPr>
        <w:t>Al-kashf ʿan wujūh al-qirāʾāt as-sabʿ</w:t>
      </w:r>
      <w:r w:rsidRPr="00F230F1">
        <w:rPr>
          <w:rFonts w:asciiTheme="majorBidi" w:eastAsia="Times New Roman" w:hAnsiTheme="majorBidi" w:cstheme="majorBidi"/>
          <w:sz w:val="20"/>
          <w:szCs w:val="20"/>
        </w:rPr>
        <w:t xml:space="preserve"> [Exposé sur les différents aspects des sept lectures] (tome 2, p. 116, Muʾassasat ar-Risāla, Beyrouth, 5</w:t>
      </w:r>
      <w:r w:rsidRPr="00F230F1">
        <w:rPr>
          <w:rFonts w:asciiTheme="majorBidi" w:eastAsia="Times New Roman" w:hAnsiTheme="majorBidi" w:cstheme="majorBidi"/>
          <w:sz w:val="20"/>
          <w:szCs w:val="20"/>
          <w:vertAlign w:val="superscript"/>
        </w:rPr>
        <w:t>e</w:t>
      </w:r>
      <w:r w:rsidRPr="00F230F1">
        <w:rPr>
          <w:rFonts w:asciiTheme="majorBidi" w:eastAsia="Times New Roman" w:hAnsiTheme="majorBidi" w:cstheme="majorBidi"/>
          <w:sz w:val="20"/>
          <w:szCs w:val="20"/>
        </w:rPr>
        <w:t xml:space="preserve"> édition, revu par Muḥyī ad-Dīn Ramaḍān), Abū Muḥammad Makkī b. Abī Ṭālib dit à propos de la sourate al-Ḥajj qu’elle est mecquoise. As-Suyūṭī dans </w:t>
      </w:r>
      <w:r w:rsidRPr="00F230F1">
        <w:rPr>
          <w:rFonts w:asciiTheme="majorBidi" w:eastAsia="Times New Roman" w:hAnsiTheme="majorBidi" w:cstheme="majorBidi"/>
          <w:i/>
          <w:iCs/>
          <w:sz w:val="20"/>
          <w:szCs w:val="20"/>
        </w:rPr>
        <w:t>al-Itqān</w:t>
      </w:r>
      <w:r w:rsidRPr="00F230F1">
        <w:rPr>
          <w:rFonts w:asciiTheme="majorBidi" w:eastAsia="Times New Roman" w:hAnsiTheme="majorBidi" w:cstheme="majorBidi"/>
          <w:sz w:val="20"/>
          <w:szCs w:val="20"/>
        </w:rPr>
        <w:t xml:space="preserve"> (tome 1, p. 9) souligne que Ibn ʿAbbās dit que la sourate al-Ḥajj est révélée à la Mecque sauf les versets 19, 20 et 21 qui sont révélés à Médine. Dans son </w:t>
      </w:r>
      <w:r w:rsidRPr="00F230F1">
        <w:rPr>
          <w:rFonts w:asciiTheme="majorBidi" w:eastAsia="Times New Roman" w:hAnsiTheme="majorBidi" w:cstheme="majorBidi"/>
          <w:i/>
          <w:iCs/>
          <w:sz w:val="20"/>
          <w:szCs w:val="20"/>
        </w:rPr>
        <w:t>tafsīr</w:t>
      </w:r>
      <w:r w:rsidRPr="00F230F1">
        <w:rPr>
          <w:rFonts w:asciiTheme="majorBidi" w:eastAsia="Times New Roman" w:hAnsiTheme="majorBidi" w:cstheme="majorBidi"/>
          <w:sz w:val="20"/>
          <w:szCs w:val="20"/>
        </w:rPr>
        <w:t xml:space="preserve"> (tome 17, p. 131 et 132), Ṭabarī dit que les versets qui parlent de l’incident des </w:t>
      </w:r>
      <w:r w:rsidRPr="00F230F1">
        <w:rPr>
          <w:rFonts w:asciiTheme="majorBidi" w:eastAsia="Times New Roman" w:hAnsiTheme="majorBidi" w:cstheme="majorBidi"/>
          <w:i/>
          <w:iCs/>
          <w:sz w:val="20"/>
          <w:szCs w:val="20"/>
        </w:rPr>
        <w:t>gharānīq</w:t>
      </w:r>
      <w:r w:rsidRPr="00F230F1">
        <w:rPr>
          <w:rFonts w:asciiTheme="majorBidi" w:eastAsia="Times New Roman" w:hAnsiTheme="majorBidi" w:cstheme="majorBidi"/>
          <w:sz w:val="20"/>
          <w:szCs w:val="20"/>
        </w:rPr>
        <w:t xml:space="preserve"> [versets sataniques] sont mecquois. Dans son ouvrage </w:t>
      </w:r>
      <w:r w:rsidRPr="00F230F1">
        <w:rPr>
          <w:rFonts w:asciiTheme="majorBidi" w:eastAsia="Times New Roman" w:hAnsiTheme="majorBidi" w:cstheme="majorBidi"/>
          <w:i/>
          <w:iCs/>
          <w:sz w:val="20"/>
          <w:szCs w:val="20"/>
        </w:rPr>
        <w:t xml:space="preserve">Al-Bayān fī ʿadd āy al-qurʾān </w:t>
      </w:r>
      <w:r w:rsidRPr="00F230F1">
        <w:rPr>
          <w:rFonts w:asciiTheme="majorBidi" w:eastAsia="Times New Roman" w:hAnsiTheme="majorBidi" w:cstheme="majorBidi"/>
          <w:sz w:val="20"/>
          <w:szCs w:val="20"/>
        </w:rPr>
        <w:t>[L’éclaircissement sur le dénombrement des versets du Coran] (Koweït, 1994, p. 189), Abū ʿAmr ad-Dānī dit : « [Al-Ḥajj est une sourate] mecquoise sauf quatre versets révélés à Médine à propos de ceux qui se sont livrés à un duel lors de la bataille de Badr. »</w:t>
      </w:r>
    </w:p>
  </w:footnote>
  <w:footnote w:id="46">
    <w:p w14:paraId="7EDF1E8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site web </w:t>
      </w:r>
      <w:r w:rsidRPr="00F230F1">
        <w:rPr>
          <w:rFonts w:asciiTheme="majorBidi" w:hAnsiTheme="majorBidi" w:cstheme="majorBidi"/>
          <w:i/>
          <w:iCs/>
          <w:sz w:val="20"/>
          <w:szCs w:val="20"/>
        </w:rPr>
        <w:t>islamweb.net</w:t>
      </w:r>
      <w:r w:rsidRPr="00F230F1">
        <w:rPr>
          <w:rFonts w:asciiTheme="majorBidi" w:hAnsiTheme="majorBidi" w:cstheme="majorBidi"/>
          <w:sz w:val="20"/>
          <w:szCs w:val="20"/>
        </w:rPr>
        <w:t xml:space="preserve"> cite le verset 78 de la sourate al-Ḥajj (« C’est Lui qui vous A déjà Nommés musulmans » [trad. Abdelaziz]) en parlant du conflit des identités et des caractéristiques de l’identité musulmane (</w:t>
      </w:r>
      <w:hyperlink r:id="rId16" w:history="1">
        <w:r w:rsidRPr="00F230F1">
          <w:rPr>
            <w:rStyle w:val="Lienhypertexte"/>
            <w:rFonts w:asciiTheme="majorBidi" w:hAnsiTheme="majorBidi" w:cstheme="majorBidi"/>
            <w:sz w:val="20"/>
            <w:szCs w:val="20"/>
          </w:rPr>
          <w:t>http://articles.islamweb.net/Media/index.php?page=article&amp;lang=A&amp;id=63232</w:t>
        </w:r>
      </w:hyperlink>
      <w:r w:rsidRPr="00F230F1">
        <w:rPr>
          <w:rFonts w:asciiTheme="majorBidi" w:hAnsiTheme="majorBidi" w:cstheme="majorBidi"/>
          <w:sz w:val="20"/>
          <w:szCs w:val="20"/>
        </w:rPr>
        <w:t xml:space="preserve"> , consulté le 09/07/2017.) Le théologien égyptien Abū </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Ā</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rPr>
        <w:t>im al-Barakātī cite également ce même verset dans un article intitulé « </w:t>
      </w:r>
      <w:r w:rsidRPr="00F230F1">
        <w:rPr>
          <w:rFonts w:asciiTheme="majorBidi" w:eastAsia="Times New Roman" w:hAnsiTheme="majorBidi" w:cstheme="majorBidi"/>
          <w:i/>
          <w:iCs/>
          <w:sz w:val="20"/>
          <w:szCs w:val="20"/>
        </w:rPr>
        <w:t>ḍ</w:t>
      </w:r>
      <w:r w:rsidRPr="00F230F1">
        <w:rPr>
          <w:rFonts w:asciiTheme="majorBidi" w:hAnsiTheme="majorBidi" w:cstheme="majorBidi"/>
          <w:i/>
          <w:iCs/>
          <w:sz w:val="20"/>
          <w:szCs w:val="20"/>
        </w:rPr>
        <w:t>arūrat al-huwyya al-islāmyya</w:t>
      </w:r>
      <w:r w:rsidRPr="00F230F1">
        <w:rPr>
          <w:rFonts w:asciiTheme="majorBidi" w:hAnsiTheme="majorBidi" w:cstheme="majorBidi"/>
          <w:sz w:val="20"/>
          <w:szCs w:val="20"/>
        </w:rPr>
        <w:t xml:space="preserve"> » [« la nécessité de l’identité musulmane »], 29.01/2017, site web </w:t>
      </w:r>
      <w:r w:rsidRPr="00F230F1">
        <w:rPr>
          <w:rFonts w:asciiTheme="majorBidi" w:hAnsiTheme="majorBidi" w:cstheme="majorBidi"/>
          <w:i/>
          <w:iCs/>
          <w:sz w:val="20"/>
          <w:szCs w:val="20"/>
        </w:rPr>
        <w:t>Aluka.net</w:t>
      </w:r>
      <w:r w:rsidRPr="00F230F1">
        <w:rPr>
          <w:rFonts w:asciiTheme="majorBidi" w:hAnsiTheme="majorBidi" w:cstheme="majorBidi"/>
          <w:sz w:val="20"/>
          <w:szCs w:val="20"/>
        </w:rPr>
        <w:t>,</w:t>
      </w:r>
    </w:p>
    <w:p w14:paraId="50A45700" w14:textId="77777777" w:rsidR="009C3BB9" w:rsidRPr="00F230F1" w:rsidRDefault="00BA118B" w:rsidP="00F230F1">
      <w:pPr>
        <w:pStyle w:val="Notedebasdepage"/>
        <w:contextualSpacing/>
        <w:jc w:val="both"/>
        <w:rPr>
          <w:rFonts w:asciiTheme="majorBidi" w:hAnsiTheme="majorBidi" w:cstheme="majorBidi"/>
          <w:sz w:val="20"/>
          <w:szCs w:val="20"/>
          <w:rtl/>
        </w:rPr>
      </w:pPr>
      <w:hyperlink r:id="rId17" w:anchor="ixzz4mKgTz6Fw" w:history="1">
        <w:r w:rsidR="009C3BB9" w:rsidRPr="00F230F1">
          <w:rPr>
            <w:rStyle w:val="Lienhypertexte"/>
            <w:rFonts w:asciiTheme="majorBidi" w:hAnsiTheme="majorBidi" w:cstheme="majorBidi"/>
            <w:sz w:val="20"/>
            <w:szCs w:val="20"/>
          </w:rPr>
          <w:t>http://www.alukah.net/sharia/0/112078/#ixzz4mKgTz6Fw</w:t>
        </w:r>
      </w:hyperlink>
      <w:r w:rsidR="009C3BB9" w:rsidRPr="00F230F1">
        <w:rPr>
          <w:rFonts w:asciiTheme="majorBidi" w:hAnsiTheme="majorBidi" w:cstheme="majorBidi"/>
          <w:sz w:val="20"/>
          <w:szCs w:val="20"/>
        </w:rPr>
        <w:t xml:space="preserve"> (consulté le 09/07/2017). Dans le site web </w:t>
      </w:r>
      <w:r w:rsidR="009C3BB9" w:rsidRPr="00F230F1">
        <w:rPr>
          <w:rFonts w:asciiTheme="majorBidi" w:eastAsia="Times New Roman" w:hAnsiTheme="majorBidi" w:cstheme="majorBidi"/>
          <w:i/>
          <w:iCs/>
          <w:sz w:val="20"/>
          <w:szCs w:val="20"/>
        </w:rPr>
        <w:t>Ṣaid al-Fawāʾid</w:t>
      </w:r>
      <w:r w:rsidR="009C3BB9" w:rsidRPr="00F230F1">
        <w:rPr>
          <w:rFonts w:asciiTheme="majorBidi" w:eastAsia="Times New Roman" w:hAnsiTheme="majorBidi" w:cstheme="majorBidi"/>
          <w:sz w:val="20"/>
          <w:szCs w:val="20"/>
        </w:rPr>
        <w:t xml:space="preserve"> (</w:t>
      </w:r>
      <w:r w:rsidR="009C3BB9" w:rsidRPr="00F230F1">
        <w:rPr>
          <w:rFonts w:asciiTheme="majorBidi" w:eastAsia="Times New Roman" w:hAnsiTheme="majorBidi" w:cstheme="majorBidi"/>
          <w:i/>
          <w:iCs/>
          <w:sz w:val="20"/>
          <w:szCs w:val="20"/>
        </w:rPr>
        <w:t>www.saaid.net</w:t>
      </w:r>
      <w:r w:rsidR="009C3BB9" w:rsidRPr="00F230F1">
        <w:rPr>
          <w:rFonts w:asciiTheme="majorBidi" w:eastAsia="Times New Roman" w:hAnsiTheme="majorBidi" w:cstheme="majorBidi"/>
          <w:sz w:val="20"/>
          <w:szCs w:val="20"/>
        </w:rPr>
        <w:t>),</w:t>
      </w:r>
      <w:r w:rsidR="009C3BB9" w:rsidRPr="00F230F1">
        <w:rPr>
          <w:rFonts w:asciiTheme="majorBidi" w:hAnsiTheme="majorBidi" w:cstheme="majorBidi"/>
          <w:sz w:val="20"/>
          <w:szCs w:val="20"/>
        </w:rPr>
        <w:t xml:space="preserve"> le pèlerinage est considéré comme un facteur qui favorise chez le pèlerin le sentiment d’appartenance à la communauté musulmane et de fierté de l’identité musulmane et qui fortifie les liens de fraternité et d’amour entre les musulmans (</w:t>
      </w:r>
      <w:hyperlink r:id="rId18" w:history="1">
        <w:r w:rsidR="009C3BB9" w:rsidRPr="00F230F1">
          <w:rPr>
            <w:rStyle w:val="Lienhypertexte"/>
            <w:rFonts w:asciiTheme="majorBidi" w:hAnsiTheme="majorBidi" w:cstheme="majorBidi"/>
            <w:sz w:val="20"/>
            <w:szCs w:val="20"/>
          </w:rPr>
          <w:t>http://www.saaid.net/mktarat/hajj/131.htm</w:t>
        </w:r>
      </w:hyperlink>
      <w:r w:rsidR="009C3BB9" w:rsidRPr="00F230F1">
        <w:rPr>
          <w:rFonts w:asciiTheme="majorBidi" w:hAnsiTheme="majorBidi" w:cstheme="majorBidi"/>
          <w:sz w:val="20"/>
          <w:szCs w:val="20"/>
        </w:rPr>
        <w:t>, consulté le 09/07/2017).</w:t>
      </w:r>
    </w:p>
  </w:footnote>
  <w:footnote w:id="47">
    <w:p w14:paraId="4BAA6900"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 MMSH (Maison méditerranéenne des sciences de l’homme) : </w:t>
      </w:r>
      <w:r w:rsidRPr="00F230F1">
        <w:rPr>
          <w:rFonts w:asciiTheme="majorBidi" w:eastAsia="Times New Roman" w:hAnsiTheme="majorBidi" w:cstheme="majorBidi"/>
          <w:sz w:val="20"/>
          <w:szCs w:val="20"/>
          <w:shd w:val="clear" w:color="auto" w:fill="FBFBFB"/>
        </w:rPr>
        <w:t>un campus de recherche et d’enseignement spécialisé sur le monde méditerranéen (Aix-Marseille Université – CNRS).</w:t>
      </w:r>
    </w:p>
  </w:footnote>
  <w:footnote w:id="48">
    <w:p w14:paraId="638B0235" w14:textId="5153CC55"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Paul Ricœur, </w:t>
      </w:r>
      <w:r w:rsidRPr="00F230F1">
        <w:rPr>
          <w:rFonts w:asciiTheme="majorBidi" w:hAnsiTheme="majorBidi" w:cstheme="majorBidi"/>
          <w:i/>
          <w:iCs/>
          <w:sz w:val="20"/>
          <w:szCs w:val="20"/>
        </w:rPr>
        <w:t>Sur la traduction</w:t>
      </w:r>
      <w:r w:rsidRPr="00F230F1">
        <w:rPr>
          <w:rFonts w:asciiTheme="majorBidi" w:hAnsiTheme="majorBidi" w:cstheme="majorBidi"/>
          <w:sz w:val="20"/>
          <w:szCs w:val="20"/>
        </w:rPr>
        <w:t>, Bayard Culture, 2004.</w:t>
      </w:r>
    </w:p>
  </w:footnote>
  <w:footnote w:id="49">
    <w:p w14:paraId="66E0A9F5" w14:textId="530B625B"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Paul Ricœur,</w:t>
      </w:r>
      <w:r w:rsidRPr="00F230F1">
        <w:rPr>
          <w:rFonts w:asciiTheme="majorBidi" w:hAnsiTheme="majorBidi" w:cstheme="majorBidi"/>
          <w:i/>
          <w:iCs/>
          <w:sz w:val="20"/>
          <w:szCs w:val="20"/>
        </w:rPr>
        <w:t xml:space="preserve"> La critique et la conviction,</w:t>
      </w:r>
      <w:r w:rsidRPr="00F230F1">
        <w:rPr>
          <w:rFonts w:asciiTheme="majorBidi" w:hAnsiTheme="majorBidi" w:cstheme="majorBidi"/>
          <w:sz w:val="20"/>
          <w:szCs w:val="20"/>
        </w:rPr>
        <w:t xml:space="preserve"> </w:t>
      </w:r>
      <w:r w:rsidRPr="00F230F1">
        <w:rPr>
          <w:rFonts w:asciiTheme="majorBidi" w:hAnsiTheme="majorBidi" w:cstheme="majorBidi"/>
          <w:i/>
          <w:iCs/>
          <w:color w:val="000000"/>
          <w:sz w:val="20"/>
          <w:szCs w:val="20"/>
          <w:shd w:val="clear" w:color="auto" w:fill="FFFFFF"/>
        </w:rPr>
        <w:t>Entretiens avec François Azouvi et Marc de Launay</w:t>
      </w:r>
      <w:r w:rsidRPr="00F230F1">
        <w:rPr>
          <w:rFonts w:asciiTheme="majorBidi" w:hAnsiTheme="majorBidi" w:cstheme="majorBidi"/>
          <w:sz w:val="20"/>
          <w:szCs w:val="20"/>
        </w:rPr>
        <w:t>, Paris, Calmann-Lévy, 1995.</w:t>
      </w:r>
    </w:p>
  </w:footnote>
  <w:footnote w:id="50">
    <w:p w14:paraId="53E4FBC3" w14:textId="076D433F"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 xml:space="preserve">Inês Oseki-Dépré, </w:t>
      </w:r>
      <w:r w:rsidRPr="00F230F1">
        <w:rPr>
          <w:rFonts w:asciiTheme="majorBidi" w:eastAsia="SimSun" w:hAnsiTheme="majorBidi" w:cstheme="majorBidi"/>
          <w:i/>
          <w:iCs/>
          <w:sz w:val="20"/>
          <w:szCs w:val="20"/>
          <w:lang w:eastAsia="zh-CN"/>
        </w:rPr>
        <w:t>Théories et pratiques de la traduction littéraire</w:t>
      </w:r>
      <w:r w:rsidRPr="00F230F1">
        <w:rPr>
          <w:rFonts w:asciiTheme="majorBidi" w:eastAsia="SimSun" w:hAnsiTheme="majorBidi" w:cstheme="majorBidi"/>
          <w:sz w:val="20"/>
          <w:szCs w:val="20"/>
          <w:lang w:eastAsia="zh-CN"/>
        </w:rPr>
        <w:t>, Paris, Armand Colin, 1999.</w:t>
      </w:r>
    </w:p>
  </w:footnote>
  <w:footnote w:id="51">
    <w:p w14:paraId="129B46ED"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Umberto Eco, </w:t>
      </w:r>
      <w:r w:rsidRPr="00F230F1">
        <w:rPr>
          <w:rFonts w:asciiTheme="majorBidi" w:hAnsiTheme="majorBidi" w:cstheme="majorBidi"/>
          <w:i/>
          <w:iCs/>
          <w:sz w:val="20"/>
          <w:szCs w:val="20"/>
        </w:rPr>
        <w:t>Les Limites de l’interprétation</w:t>
      </w:r>
      <w:r w:rsidRPr="00F230F1">
        <w:rPr>
          <w:rFonts w:asciiTheme="majorBidi" w:hAnsiTheme="majorBidi" w:cstheme="majorBidi"/>
          <w:sz w:val="20"/>
          <w:szCs w:val="20"/>
        </w:rPr>
        <w:t>, Paris, Bernard Grasset, 1992 (</w:t>
      </w:r>
      <w:r w:rsidRPr="00F230F1">
        <w:rPr>
          <w:rFonts w:asciiTheme="majorBidi" w:hAnsiTheme="majorBidi" w:cstheme="majorBidi"/>
          <w:i/>
          <w:iCs/>
          <w:sz w:val="20"/>
          <w:szCs w:val="20"/>
        </w:rPr>
        <w:t>I limiti dell’interpretazione</w:t>
      </w:r>
      <w:r w:rsidRPr="00F230F1">
        <w:rPr>
          <w:rFonts w:asciiTheme="majorBidi" w:hAnsiTheme="majorBidi" w:cstheme="majorBidi"/>
          <w:sz w:val="20"/>
          <w:szCs w:val="20"/>
        </w:rPr>
        <w:t>, 1990).</w:t>
      </w:r>
    </w:p>
  </w:footnote>
  <w:footnote w:id="52">
    <w:p w14:paraId="69FCB8D4" w14:textId="6F649C85"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David Bellos, </w:t>
      </w:r>
      <w:r w:rsidRPr="00F230F1">
        <w:rPr>
          <w:rFonts w:asciiTheme="majorBidi" w:hAnsiTheme="majorBidi" w:cstheme="majorBidi"/>
          <w:i/>
          <w:iCs/>
          <w:sz w:val="20"/>
          <w:szCs w:val="20"/>
        </w:rPr>
        <w:t>Le poisson et le bananier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p>
  </w:footnote>
  <w:footnote w:id="53">
    <w:p w14:paraId="1F4B88D7"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Dinda Gorlée, L. </w:t>
      </w:r>
      <w:r w:rsidRPr="00F230F1">
        <w:rPr>
          <w:rFonts w:asciiTheme="majorBidi" w:hAnsiTheme="majorBidi" w:cstheme="majorBidi"/>
          <w:i/>
          <w:iCs/>
          <w:sz w:val="20"/>
          <w:szCs w:val="20"/>
        </w:rPr>
        <w:t>Semiotics and the Problem of Translation: with special reference to the Semiotics of Charles Sanders Peirce</w:t>
      </w:r>
      <w:r w:rsidRPr="00F230F1">
        <w:rPr>
          <w:rFonts w:asciiTheme="majorBidi" w:hAnsiTheme="majorBidi" w:cstheme="majorBidi"/>
          <w:sz w:val="20"/>
          <w:szCs w:val="20"/>
        </w:rPr>
        <w:t>, Amsterdam and Atlanta, GA: Rodopi, 1994. 255 p.</w:t>
      </w:r>
    </w:p>
  </w:footnote>
  <w:footnote w:id="54">
    <w:p w14:paraId="2FCD6232"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Willard Van Orman Quine, </w:t>
      </w:r>
      <w:r w:rsidRPr="00F230F1">
        <w:rPr>
          <w:rFonts w:asciiTheme="majorBidi" w:hAnsiTheme="majorBidi" w:cstheme="majorBidi"/>
          <w:i/>
          <w:iCs/>
          <w:sz w:val="20"/>
          <w:szCs w:val="20"/>
        </w:rPr>
        <w:t>Le Mot et la Chose</w:t>
      </w:r>
      <w:r w:rsidRPr="00F230F1">
        <w:rPr>
          <w:rFonts w:asciiTheme="majorBidi" w:hAnsiTheme="majorBidi" w:cstheme="majorBidi"/>
          <w:sz w:val="20"/>
          <w:szCs w:val="20"/>
        </w:rPr>
        <w:t>, trad. J. Dopp &amp; P. Gochet, avant-propos de P. Gochet, Paris, Flammarion, coll. “ Champs”, 1977, 399 p.</w:t>
      </w:r>
    </w:p>
  </w:footnote>
  <w:footnote w:id="55">
    <w:p w14:paraId="753CD394" w14:textId="77777777" w:rsidR="009C3BB9" w:rsidRPr="00F230F1" w:rsidRDefault="009C3BB9" w:rsidP="00F230F1">
      <w:pPr>
        <w:pStyle w:val="Titre1"/>
        <w:shd w:val="clear" w:color="auto" w:fill="FFFFFF"/>
        <w:spacing w:before="0" w:beforeAutospacing="0" w:after="0" w:afterAutospacing="0"/>
        <w:contextualSpacing/>
        <w:jc w:val="both"/>
        <w:rPr>
          <w:rFonts w:asciiTheme="majorBidi" w:eastAsia="Calibri" w:hAnsiTheme="majorBidi" w:cstheme="majorBidi"/>
          <w:b w:val="0"/>
          <w:bCs w:val="0"/>
          <w:sz w:val="20"/>
          <w:szCs w:val="20"/>
        </w:rPr>
      </w:pPr>
      <w:r w:rsidRPr="00F230F1">
        <w:rPr>
          <w:rStyle w:val="Appelnotedebasdep"/>
          <w:rFonts w:asciiTheme="majorBidi" w:hAnsiTheme="majorBidi" w:cstheme="majorBidi"/>
          <w:b w:val="0"/>
          <w:bCs w:val="0"/>
          <w:sz w:val="20"/>
          <w:szCs w:val="20"/>
        </w:rPr>
        <w:footnoteRef/>
      </w:r>
      <w:r w:rsidRPr="00F230F1">
        <w:rPr>
          <w:rFonts w:asciiTheme="majorBidi" w:eastAsia="Calibri" w:hAnsiTheme="majorBidi" w:cstheme="majorBidi"/>
          <w:b w:val="0"/>
          <w:bCs w:val="0"/>
          <w:sz w:val="20"/>
          <w:szCs w:val="20"/>
        </w:rPr>
        <w:t xml:space="preserve"> Mathieu Guidère, </w:t>
      </w:r>
      <w:r w:rsidRPr="00F230F1">
        <w:rPr>
          <w:rFonts w:asciiTheme="majorBidi" w:eastAsia="Calibri" w:hAnsiTheme="majorBidi" w:cstheme="majorBidi"/>
          <w:b w:val="0"/>
          <w:bCs w:val="0"/>
          <w:i/>
          <w:iCs/>
          <w:sz w:val="20"/>
          <w:szCs w:val="20"/>
        </w:rPr>
        <w:t>Introduction à la traductologie : Penser la traduction : hier, aujourd’hui, demain</w:t>
      </w:r>
      <w:r w:rsidRPr="00F230F1">
        <w:rPr>
          <w:rFonts w:asciiTheme="majorBidi" w:eastAsia="Calibri" w:hAnsiTheme="majorBidi" w:cstheme="majorBidi"/>
          <w:b w:val="0"/>
          <w:bCs w:val="0"/>
          <w:sz w:val="20"/>
          <w:szCs w:val="20"/>
        </w:rPr>
        <w:t>, Groupe De Boeck, Bruxelles, 2</w:t>
      </w:r>
      <w:r w:rsidRPr="00F230F1">
        <w:rPr>
          <w:rFonts w:asciiTheme="majorBidi" w:eastAsia="Calibri" w:hAnsiTheme="majorBidi" w:cstheme="majorBidi"/>
          <w:b w:val="0"/>
          <w:bCs w:val="0"/>
          <w:sz w:val="20"/>
          <w:szCs w:val="20"/>
          <w:vertAlign w:val="superscript"/>
        </w:rPr>
        <w:t>ème</w:t>
      </w:r>
      <w:r w:rsidRPr="00F230F1">
        <w:rPr>
          <w:rFonts w:asciiTheme="majorBidi" w:eastAsia="Calibri" w:hAnsiTheme="majorBidi" w:cstheme="majorBidi"/>
          <w:b w:val="0"/>
          <w:bCs w:val="0"/>
          <w:sz w:val="20"/>
          <w:szCs w:val="20"/>
        </w:rPr>
        <w:t xml:space="preserve"> édition, 2010.</w:t>
      </w:r>
    </w:p>
  </w:footnote>
  <w:footnote w:id="56">
    <w:p w14:paraId="398DD68B" w14:textId="0C296B00" w:rsidR="009C3BB9" w:rsidRPr="00F230F1" w:rsidRDefault="009C3BB9" w:rsidP="00F230F1">
      <w:pPr>
        <w:pStyle w:val="Titre1"/>
        <w:shd w:val="clear" w:color="auto" w:fill="FFFFFF"/>
        <w:spacing w:before="0" w:beforeAutospacing="0" w:after="0" w:afterAutospacing="0"/>
        <w:contextualSpacing/>
        <w:jc w:val="both"/>
        <w:rPr>
          <w:rFonts w:asciiTheme="majorBidi" w:hAnsiTheme="majorBidi" w:cstheme="majorBidi"/>
          <w:b w:val="0"/>
          <w:bCs w:val="0"/>
          <w:sz w:val="20"/>
          <w:szCs w:val="20"/>
        </w:rPr>
      </w:pPr>
      <w:r w:rsidRPr="00F230F1">
        <w:rPr>
          <w:rStyle w:val="Appelnotedebasdep"/>
          <w:rFonts w:asciiTheme="majorBidi" w:hAnsiTheme="majorBidi" w:cstheme="majorBidi"/>
          <w:b w:val="0"/>
          <w:bCs w:val="0"/>
          <w:sz w:val="20"/>
          <w:szCs w:val="20"/>
        </w:rPr>
        <w:footnoteRef/>
      </w:r>
      <w:r w:rsidRPr="00F230F1">
        <w:rPr>
          <w:rFonts w:asciiTheme="majorBidi" w:eastAsia="Calibri" w:hAnsiTheme="majorBidi" w:cstheme="majorBidi"/>
          <w:b w:val="0"/>
          <w:bCs w:val="0"/>
          <w:sz w:val="20"/>
          <w:szCs w:val="20"/>
        </w:rPr>
        <w:t xml:space="preserve"> </w:t>
      </w:r>
      <w:r w:rsidRPr="00F230F1">
        <w:rPr>
          <w:rFonts w:asciiTheme="majorBidi" w:hAnsiTheme="majorBidi" w:cstheme="majorBidi"/>
          <w:b w:val="0"/>
          <w:bCs w:val="0"/>
          <w:sz w:val="20"/>
          <w:szCs w:val="20"/>
        </w:rPr>
        <w:t xml:space="preserve">Katharina Reiss, </w:t>
      </w:r>
      <w:r w:rsidRPr="00F230F1">
        <w:rPr>
          <w:rFonts w:asciiTheme="majorBidi" w:hAnsiTheme="majorBidi" w:cstheme="majorBidi"/>
          <w:b w:val="0"/>
          <w:bCs w:val="0"/>
          <w:i/>
          <w:iCs/>
          <w:sz w:val="20"/>
          <w:szCs w:val="20"/>
        </w:rPr>
        <w:t>Problématiques de la traduction : les conférences de Vienne</w:t>
      </w:r>
      <w:r w:rsidRPr="00F230F1">
        <w:rPr>
          <w:rFonts w:asciiTheme="majorBidi" w:hAnsiTheme="majorBidi" w:cstheme="majorBidi"/>
          <w:b w:val="0"/>
          <w:bCs w:val="0"/>
          <w:sz w:val="20"/>
          <w:szCs w:val="20"/>
        </w:rPr>
        <w:t>, préface de Jean-René Ladmiral, traduction et notes de Catherine A. Bocquet, Éditions Economica : Anthropos, Paris, 2009.</w:t>
      </w:r>
    </w:p>
  </w:footnote>
  <w:footnote w:id="57">
    <w:p w14:paraId="116C5D0E" w14:textId="77777777" w:rsidR="009C3BB9" w:rsidRPr="00F230F1" w:rsidRDefault="009C3BB9" w:rsidP="00F230F1">
      <w:pPr>
        <w:tabs>
          <w:tab w:val="right" w:pos="851"/>
        </w:tabs>
        <w:contextualSpacing/>
        <w:jc w:val="both"/>
        <w:rPr>
          <w:rFonts w:asciiTheme="majorBidi" w:eastAsia="Times New Roman"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b/>
          <w:bCs/>
          <w:sz w:val="20"/>
          <w:szCs w:val="20"/>
        </w:rPr>
        <w:t xml:space="preserve"> </w:t>
      </w:r>
      <w:r w:rsidRPr="00F230F1">
        <w:rPr>
          <w:rFonts w:asciiTheme="majorBidi" w:eastAsia="Times New Roman" w:hAnsiTheme="majorBidi" w:cstheme="majorBidi"/>
          <w:sz w:val="20"/>
          <w:szCs w:val="20"/>
        </w:rPr>
        <w:t xml:space="preserve">Georges Mounin, </w:t>
      </w:r>
      <w:r w:rsidRPr="00F230F1">
        <w:rPr>
          <w:rFonts w:asciiTheme="majorBidi" w:eastAsia="Times New Roman" w:hAnsiTheme="majorBidi" w:cstheme="majorBidi"/>
          <w:i/>
          <w:iCs/>
          <w:sz w:val="20"/>
          <w:szCs w:val="20"/>
        </w:rPr>
        <w:t>Les Problèmes théoriques de la traduction</w:t>
      </w:r>
      <w:r w:rsidRPr="00F230F1">
        <w:rPr>
          <w:rFonts w:asciiTheme="majorBidi" w:eastAsia="Times New Roman" w:hAnsiTheme="majorBidi" w:cstheme="majorBidi"/>
          <w:sz w:val="20"/>
          <w:szCs w:val="20"/>
        </w:rPr>
        <w:t>, Gallimard, 1976.</w:t>
      </w:r>
    </w:p>
  </w:footnote>
  <w:footnote w:id="58">
    <w:p w14:paraId="053A8B4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Alexis Nouss, « Le problème de la traduction / Sur la traduction, de Paul Ricœur », Bayard Culture, 69 p., "Spirale numéro 197" (juillet-août 2004), p.12 (</w:t>
      </w:r>
      <w:hyperlink r:id="rId19" w:history="1">
        <w:r w:rsidRPr="00F230F1">
          <w:rPr>
            <w:rStyle w:val="Lienhypertexte"/>
            <w:rFonts w:asciiTheme="majorBidi" w:hAnsiTheme="majorBidi" w:cstheme="majorBidi"/>
            <w:sz w:val="20"/>
            <w:szCs w:val="20"/>
          </w:rPr>
          <w:t>https://www.erudit.org/en/journals/spirale/2004-n197-spirale1057835/19386ac.pdf</w:t>
        </w:r>
      </w:hyperlink>
      <w:r w:rsidRPr="00F230F1">
        <w:rPr>
          <w:rFonts w:asciiTheme="majorBidi" w:hAnsiTheme="majorBidi" w:cstheme="majorBidi"/>
          <w:sz w:val="20"/>
          <w:szCs w:val="20"/>
        </w:rPr>
        <w:t xml:space="preserve"> , consulté le 09/07/2017).</w:t>
      </w:r>
    </w:p>
  </w:footnote>
  <w:footnote w:id="59">
    <w:p w14:paraId="31FEB8B4" w14:textId="0AEB1F09"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Paul Ricœur,</w:t>
      </w:r>
      <w:r w:rsidRPr="00F230F1">
        <w:rPr>
          <w:rFonts w:asciiTheme="majorBidi" w:hAnsiTheme="majorBidi" w:cstheme="majorBidi"/>
          <w:i/>
          <w:iCs/>
          <w:sz w:val="20"/>
          <w:szCs w:val="20"/>
        </w:rPr>
        <w:t xml:space="preserve"> La critique et la conviction,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215.</w:t>
      </w:r>
    </w:p>
  </w:footnote>
  <w:footnote w:id="60">
    <w:p w14:paraId="14009FEB" w14:textId="6756E234"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Umberto Eco, </w:t>
      </w:r>
      <w:r w:rsidRPr="00F230F1">
        <w:rPr>
          <w:rFonts w:asciiTheme="majorBidi" w:hAnsiTheme="majorBidi" w:cstheme="majorBidi"/>
          <w:i/>
          <w:iCs/>
          <w:sz w:val="20"/>
          <w:szCs w:val="20"/>
        </w:rPr>
        <w:t>Les limites de l’interprétation,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125.</w:t>
      </w:r>
    </w:p>
  </w:footnote>
  <w:footnote w:id="61">
    <w:p w14:paraId="7703BBA1"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142.</w:t>
      </w:r>
    </w:p>
  </w:footnote>
  <w:footnote w:id="62">
    <w:p w14:paraId="654217B5"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132.</w:t>
      </w:r>
    </w:p>
  </w:footnote>
  <w:footnote w:id="63">
    <w:p w14:paraId="33945D49" w14:textId="1AF76BC5" w:rsidR="009C3BB9" w:rsidRPr="00F230F1" w:rsidRDefault="009C3BB9" w:rsidP="00F230F1">
      <w:pPr>
        <w:pStyle w:val="n1"/>
        <w:bidi w:val="0"/>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verset 39 de la sourate </w:t>
      </w:r>
      <w:r w:rsidRPr="00F230F1">
        <w:rPr>
          <w:rFonts w:asciiTheme="majorBidi" w:hAnsiTheme="majorBidi" w:cstheme="majorBidi"/>
          <w:i/>
          <w:iCs/>
          <w:sz w:val="20"/>
          <w:szCs w:val="20"/>
          <w:lang w:bidi="ar-AE"/>
        </w:rPr>
        <w:t>Al-Ḥajj</w:t>
      </w:r>
      <w:r w:rsidRPr="00F230F1">
        <w:rPr>
          <w:rFonts w:asciiTheme="majorBidi" w:hAnsiTheme="majorBidi" w:cstheme="majorBidi"/>
          <w:sz w:val="20"/>
          <w:szCs w:val="20"/>
          <w:lang w:bidi="ar-AE"/>
        </w:rPr>
        <w:t xml:space="preserve"> (“Permission est donnée à ceux qui combattent pour avoir subi l’iniquité… - Dieu de les secourir est Capable”)</w:t>
      </w:r>
      <w:r w:rsidRPr="00F230F1">
        <w:rPr>
          <w:rFonts w:asciiTheme="majorBidi" w:hAnsiTheme="majorBidi" w:cstheme="majorBidi"/>
          <w:color w:val="C00000"/>
          <w:sz w:val="20"/>
          <w:szCs w:val="20"/>
          <w:lang w:bidi="ar-AE"/>
        </w:rPr>
        <w:t xml:space="preserve"> </w:t>
      </w:r>
      <w:r w:rsidRPr="00F230F1">
        <w:rPr>
          <w:rFonts w:asciiTheme="majorBidi" w:hAnsiTheme="majorBidi" w:cstheme="majorBidi"/>
          <w:sz w:val="20"/>
          <w:szCs w:val="20"/>
          <w:lang w:bidi="ar-AE"/>
        </w:rPr>
        <w:t xml:space="preserve">est utilisé pour des raisons politiques et militaires chaque fois qu’on a besoin de légitimer une attaque ou une mobilisation militaire à travers l’histoire de l’islam. En effet, ce fut, selon az-Zamakhsharī, le premier verset autorisant la lutte défensive après soixante-dix autres proscrivant la violence en général. Il s’agirait d’un parti de </w:t>
      </w:r>
      <w:r w:rsidRPr="00F230F1">
        <w:rPr>
          <w:rFonts w:asciiTheme="majorBidi" w:hAnsiTheme="majorBidi" w:cstheme="majorBidi"/>
          <w:i/>
          <w:iCs/>
          <w:sz w:val="20"/>
          <w:szCs w:val="20"/>
          <w:lang w:bidi="ar-AE"/>
        </w:rPr>
        <w:t>Muhājirūn</w:t>
      </w:r>
      <w:r w:rsidRPr="00F230F1">
        <w:rPr>
          <w:rFonts w:asciiTheme="majorBidi" w:hAnsiTheme="majorBidi" w:cstheme="majorBidi"/>
          <w:sz w:val="20"/>
          <w:szCs w:val="20"/>
          <w:lang w:bidi="ar-AE"/>
        </w:rPr>
        <w:t xml:space="preserve"> qu’ont molestés les Mecquois. Récemment, dans un communiqué du Haut Conseil de la Fatwa, le grand mufti de la Syrie Aḥmad Badr ad-Dīn Ḥassūn et le régime syrien ont instrumentalisé entre autres ce même verset pour annoncer le djihad aussi bien en Syrie que dans les autres pays arabes et musulmans contre ce qu’ils appellent le complot universel (Le quotidien Ath-Thawra, le 11/3/2013: </w:t>
      </w:r>
      <w:hyperlink r:id="rId20" w:history="1">
        <w:r w:rsidRPr="00F230F1">
          <w:rPr>
            <w:rStyle w:val="Lienhypertexte"/>
            <w:rFonts w:asciiTheme="majorBidi" w:hAnsiTheme="majorBidi" w:cstheme="majorBidi"/>
            <w:sz w:val="20"/>
            <w:szCs w:val="20"/>
            <w:lang w:bidi="ar-AE"/>
          </w:rPr>
          <w:t>http://thawra.alwehda.gov.sy/_View_news2.asp?FileName=65197172820130311014542</w:t>
        </w:r>
      </w:hyperlink>
      <w:r w:rsidRPr="00F230F1">
        <w:rPr>
          <w:rFonts w:asciiTheme="majorBidi" w:hAnsiTheme="majorBidi" w:cstheme="majorBidi"/>
          <w:sz w:val="20"/>
          <w:szCs w:val="20"/>
          <w:lang w:bidi="ar-AE"/>
        </w:rPr>
        <w:t xml:space="preserve">; DP News: </w:t>
      </w:r>
      <w:hyperlink r:id="rId21" w:history="1">
        <w:r w:rsidRPr="00F230F1">
          <w:rPr>
            <w:rStyle w:val="Lienhypertexte"/>
            <w:rFonts w:asciiTheme="majorBidi" w:hAnsiTheme="majorBidi" w:cstheme="majorBidi"/>
            <w:sz w:val="20"/>
            <w:szCs w:val="20"/>
            <w:lang w:bidi="ar-AE"/>
          </w:rPr>
          <w:t>http://www.dp-news.com/pages/detail.aspx?articleid=142128</w:t>
        </w:r>
      </w:hyperlink>
      <w:r w:rsidRPr="00F230F1">
        <w:rPr>
          <w:rFonts w:asciiTheme="majorBidi" w:hAnsiTheme="majorBidi" w:cstheme="majorBidi"/>
          <w:sz w:val="20"/>
          <w:szCs w:val="20"/>
          <w:lang w:bidi="ar-AE"/>
        </w:rPr>
        <w:t xml:space="preserve">). L’animateur de télévision a commis une erreur en prononçant le verbe au passif </w:t>
      </w:r>
      <w:r w:rsidRPr="00F230F1">
        <w:rPr>
          <w:rFonts w:asciiTheme="majorBidi" w:hAnsiTheme="majorBidi" w:cstheme="majorBidi"/>
          <w:i/>
          <w:iCs/>
          <w:sz w:val="20"/>
          <w:szCs w:val="20"/>
          <w:lang w:bidi="ar-AE"/>
        </w:rPr>
        <w:t>udhina</w:t>
      </w:r>
      <w:r w:rsidRPr="00F230F1">
        <w:rPr>
          <w:rFonts w:asciiTheme="majorBidi" w:hAnsiTheme="majorBidi" w:cstheme="majorBidi"/>
          <w:sz w:val="20"/>
          <w:szCs w:val="20"/>
          <w:lang w:bidi="ar-AE"/>
        </w:rPr>
        <w:t xml:space="preserve"> [Permission est donnée] comme un verbe à l’actif </w:t>
      </w:r>
      <w:r w:rsidRPr="00F230F1">
        <w:rPr>
          <w:rFonts w:asciiTheme="majorBidi" w:hAnsiTheme="majorBidi" w:cstheme="majorBidi"/>
          <w:i/>
          <w:iCs/>
          <w:sz w:val="20"/>
          <w:szCs w:val="20"/>
          <w:lang w:bidi="ar-AE"/>
        </w:rPr>
        <w:t>ʾadhina</w:t>
      </w:r>
      <w:r w:rsidRPr="00F230F1">
        <w:rPr>
          <w:rFonts w:asciiTheme="majorBidi" w:hAnsiTheme="majorBidi" w:cstheme="majorBidi"/>
          <w:sz w:val="20"/>
          <w:szCs w:val="20"/>
          <w:lang w:bidi="ar-AE"/>
        </w:rPr>
        <w:t xml:space="preserve"> [il a permis] (</w:t>
      </w:r>
      <w:hyperlink r:id="rId22" w:history="1">
        <w:r w:rsidRPr="00F230F1">
          <w:rPr>
            <w:rStyle w:val="Lienhypertexte"/>
            <w:rFonts w:asciiTheme="majorBidi" w:hAnsiTheme="majorBidi" w:cstheme="majorBidi"/>
            <w:sz w:val="20"/>
            <w:szCs w:val="20"/>
          </w:rPr>
          <w:t>https://www.youtube.com/watch?v=I5XRATcH0PA</w:t>
        </w:r>
      </w:hyperlink>
      <w:r w:rsidRPr="00F230F1">
        <w:rPr>
          <w:rFonts w:asciiTheme="majorBidi" w:hAnsiTheme="majorBidi" w:cstheme="majorBidi"/>
          <w:sz w:val="20"/>
          <w:szCs w:val="20"/>
        </w:rPr>
        <w:t>).</w:t>
      </w:r>
    </w:p>
  </w:footnote>
  <w:footnote w:id="64">
    <w:p w14:paraId="5DCB8DE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Parmi les ouvrages qui abordent les règles de l’exégèse on cite : Khālid b. ʿUthmān as-Sabt, </w:t>
      </w:r>
      <w:r w:rsidRPr="00F230F1">
        <w:rPr>
          <w:rFonts w:asciiTheme="majorBidi" w:hAnsiTheme="majorBidi" w:cstheme="majorBidi"/>
          <w:i/>
          <w:iCs/>
          <w:sz w:val="20"/>
          <w:szCs w:val="20"/>
        </w:rPr>
        <w:t>Qawāʿid at-tafsīr. Jamʿan wa-dirāsatan</w:t>
      </w:r>
      <w:r w:rsidRPr="00F230F1">
        <w:rPr>
          <w:rFonts w:asciiTheme="majorBidi" w:hAnsiTheme="majorBidi" w:cstheme="majorBidi"/>
          <w:sz w:val="20"/>
          <w:szCs w:val="20"/>
        </w:rPr>
        <w:t xml:space="preserve"> [Les règles de l’exégèse. Compilation et commentaire], Dār Ibn ʿAffān, Médine, 1421 H/2000, 2 vols.</w:t>
      </w:r>
    </w:p>
  </w:footnote>
  <w:footnote w:id="65">
    <w:p w14:paraId="650F2B8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Zoran Jankovic, </w:t>
      </w:r>
      <w:r w:rsidRPr="00F230F1">
        <w:rPr>
          <w:rFonts w:asciiTheme="majorBidi" w:hAnsiTheme="majorBidi" w:cstheme="majorBidi"/>
          <w:i/>
          <w:iCs/>
          <w:sz w:val="20"/>
          <w:szCs w:val="20"/>
          <w:lang w:bidi="ar-AE"/>
        </w:rPr>
        <w:t>Au-delà du signe. Gadamer et Derrida : Le dépassement herméneutique et déconstructiviste du Dasein</w:t>
      </w:r>
      <w:r w:rsidRPr="00F230F1">
        <w:rPr>
          <w:rFonts w:asciiTheme="majorBidi" w:hAnsiTheme="majorBidi" w:cstheme="majorBidi"/>
          <w:sz w:val="20"/>
          <w:szCs w:val="20"/>
          <w:lang w:bidi="ar-AE"/>
        </w:rPr>
        <w:t>, L’Harmattan, Paris, 2003, p. 100</w:t>
      </w:r>
      <w:r w:rsidRPr="00F230F1">
        <w:rPr>
          <w:rFonts w:asciiTheme="majorBidi" w:hAnsiTheme="majorBidi" w:cstheme="majorBidi"/>
          <w:sz w:val="20"/>
          <w:szCs w:val="20"/>
        </w:rPr>
        <w:t>.</w:t>
      </w:r>
    </w:p>
  </w:footnote>
  <w:footnote w:id="66">
    <w:p w14:paraId="1205FA1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Jacques Derrida,</w:t>
      </w:r>
      <w:r w:rsidRPr="00F230F1">
        <w:rPr>
          <w:rFonts w:asciiTheme="majorBidi" w:hAnsiTheme="majorBidi" w:cstheme="majorBidi"/>
          <w:i/>
          <w:iCs/>
          <w:sz w:val="20"/>
          <w:szCs w:val="20"/>
          <w:lang w:bidi="ar-AE"/>
        </w:rPr>
        <w:t xml:space="preserve"> Positions</w:t>
      </w:r>
      <w:r w:rsidRPr="00F230F1">
        <w:rPr>
          <w:rFonts w:asciiTheme="majorBidi" w:hAnsiTheme="majorBidi" w:cstheme="majorBidi"/>
          <w:sz w:val="20"/>
          <w:szCs w:val="20"/>
          <w:lang w:bidi="ar-AE"/>
        </w:rPr>
        <w:t>, Éditions de Minuit, Paris, 1972, p. 61</w:t>
      </w:r>
      <w:r w:rsidRPr="00F230F1">
        <w:rPr>
          <w:rFonts w:asciiTheme="majorBidi" w:hAnsiTheme="majorBidi" w:cstheme="majorBidi"/>
          <w:sz w:val="20"/>
          <w:szCs w:val="20"/>
        </w:rPr>
        <w:t>.</w:t>
      </w:r>
    </w:p>
  </w:footnote>
  <w:footnote w:id="67">
    <w:p w14:paraId="0A581D99"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lang w:bidi="ar-AE"/>
        </w:rPr>
        <w:t>Ibid.</w:t>
      </w:r>
      <w:r w:rsidRPr="00F230F1">
        <w:rPr>
          <w:rFonts w:asciiTheme="majorBidi" w:hAnsiTheme="majorBidi" w:cstheme="majorBidi"/>
          <w:sz w:val="20"/>
          <w:szCs w:val="20"/>
          <w:lang w:bidi="ar-AE"/>
        </w:rPr>
        <w:t>, p. 61 à 63.</w:t>
      </w:r>
    </w:p>
  </w:footnote>
  <w:footnote w:id="68">
    <w:p w14:paraId="717436DE"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Pierre Cadiot &amp; Benoît Habert, 1997, «Aux sources de la polysémie nominale», </w:t>
      </w:r>
      <w:r w:rsidRPr="00F230F1">
        <w:rPr>
          <w:rFonts w:asciiTheme="majorBidi" w:hAnsiTheme="majorBidi" w:cstheme="majorBidi"/>
          <w:i/>
          <w:iCs/>
          <w:sz w:val="20"/>
          <w:szCs w:val="20"/>
          <w:lang w:bidi="ar-AE"/>
        </w:rPr>
        <w:t>Langue française</w:t>
      </w:r>
      <w:r w:rsidRPr="00F230F1">
        <w:rPr>
          <w:rFonts w:asciiTheme="majorBidi" w:hAnsiTheme="majorBidi" w:cstheme="majorBidi"/>
          <w:sz w:val="20"/>
          <w:szCs w:val="20"/>
          <w:lang w:bidi="ar-AE"/>
        </w:rPr>
        <w:t>, 113, p. 3.</w:t>
      </w:r>
    </w:p>
  </w:footnote>
  <w:footnote w:id="69">
    <w:p w14:paraId="1269DD02"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Mel’čuk, Igor et Polguère, Alain </w:t>
      </w:r>
      <w:r w:rsidRPr="00F230F1">
        <w:rPr>
          <w:rFonts w:asciiTheme="majorBidi" w:eastAsia="Calibri" w:hAnsiTheme="majorBidi" w:cstheme="majorBidi"/>
          <w:i/>
          <w:iCs/>
          <w:sz w:val="20"/>
          <w:szCs w:val="20"/>
          <w:lang w:bidi="ar-AE"/>
        </w:rPr>
        <w:t>Introduction à la lexicologie explicative et combinatoire</w:t>
      </w:r>
      <w:r w:rsidRPr="00F230F1">
        <w:rPr>
          <w:rFonts w:asciiTheme="majorBidi" w:eastAsia="Calibri" w:hAnsiTheme="majorBidi" w:cstheme="majorBidi"/>
          <w:sz w:val="20"/>
          <w:szCs w:val="20"/>
          <w:lang w:bidi="ar-AE"/>
        </w:rPr>
        <w:t>, Duculot, Paris/Louvain-la-Neuve, 1995, pp. 156-157</w:t>
      </w:r>
      <w:r w:rsidRPr="00F230F1">
        <w:rPr>
          <w:rFonts w:asciiTheme="majorBidi" w:hAnsiTheme="majorBidi" w:cstheme="majorBidi"/>
          <w:sz w:val="20"/>
          <w:szCs w:val="20"/>
          <w:lang w:bidi="ar-AE"/>
        </w:rPr>
        <w:t>.</w:t>
      </w:r>
    </w:p>
  </w:footnote>
  <w:footnote w:id="70">
    <w:p w14:paraId="02506109"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Gérard Cornu, (dir.), </w:t>
      </w:r>
      <w:r w:rsidRPr="00F230F1">
        <w:rPr>
          <w:rFonts w:asciiTheme="majorBidi" w:eastAsia="Calibri" w:hAnsiTheme="majorBidi" w:cstheme="majorBidi"/>
          <w:i/>
          <w:iCs/>
          <w:sz w:val="20"/>
          <w:szCs w:val="20"/>
          <w:lang w:bidi="ar-AE"/>
        </w:rPr>
        <w:t>Vocabulaire juridique</w:t>
      </w:r>
      <w:r w:rsidRPr="00F230F1">
        <w:rPr>
          <w:rFonts w:asciiTheme="majorBidi" w:eastAsia="Calibri" w:hAnsiTheme="majorBidi" w:cstheme="majorBidi"/>
          <w:sz w:val="20"/>
          <w:szCs w:val="20"/>
          <w:lang w:bidi="ar-AE"/>
        </w:rPr>
        <w:t>, Paris, 1990, p. 2 et p. 4</w:t>
      </w:r>
      <w:r w:rsidRPr="00F230F1">
        <w:rPr>
          <w:rFonts w:asciiTheme="majorBidi" w:hAnsiTheme="majorBidi" w:cstheme="majorBidi"/>
          <w:sz w:val="20"/>
          <w:szCs w:val="20"/>
          <w:lang w:bidi="ar-AE"/>
        </w:rPr>
        <w:t>.</w:t>
      </w:r>
    </w:p>
  </w:footnote>
  <w:footnote w:id="71">
    <w:p w14:paraId="60A7386F"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Le cinétisme est un concept de la psychomécanique (ou psychosystématique) du langage de Gustave Guillaume. Le cinétisme du langage est la propension qu’a l’esprit humain de concevoir des images plus ou moins achevées de tel ou tel fait de langue</w:t>
      </w:r>
      <w:r w:rsidRPr="00F230F1">
        <w:rPr>
          <w:rFonts w:asciiTheme="majorBidi" w:hAnsiTheme="majorBidi" w:cstheme="majorBidi"/>
          <w:sz w:val="20"/>
          <w:szCs w:val="20"/>
          <w:lang w:bidi="ar-AE"/>
        </w:rPr>
        <w:t>.</w:t>
      </w:r>
    </w:p>
  </w:footnote>
  <w:footnote w:id="72">
    <w:p w14:paraId="0A2CF3F0"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Hélène Mazaleyrat,</w:t>
      </w:r>
      <w:r w:rsidRPr="00F230F1">
        <w:rPr>
          <w:rFonts w:asciiTheme="majorBidi" w:eastAsia="Calibri" w:hAnsiTheme="majorBidi" w:cstheme="majorBidi"/>
          <w:i/>
          <w:iCs/>
          <w:sz w:val="20"/>
          <w:szCs w:val="20"/>
          <w:lang w:bidi="ar-AE"/>
        </w:rPr>
        <w:t xml:space="preserve"> Vers une approche linguistico-cognitive de la polysémie</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op. cit.</w:t>
      </w:r>
      <w:r w:rsidRPr="00F230F1">
        <w:rPr>
          <w:rFonts w:asciiTheme="majorBidi" w:eastAsia="Calibri" w:hAnsiTheme="majorBidi" w:cstheme="majorBidi"/>
          <w:sz w:val="20"/>
          <w:szCs w:val="20"/>
          <w:lang w:bidi="ar-AE"/>
        </w:rPr>
        <w:t>, p. 78</w:t>
      </w:r>
      <w:r w:rsidRPr="00F230F1">
        <w:rPr>
          <w:rFonts w:asciiTheme="majorBidi" w:hAnsiTheme="majorBidi" w:cstheme="majorBidi"/>
          <w:sz w:val="20"/>
          <w:szCs w:val="20"/>
          <w:lang w:bidi="ar-AE"/>
        </w:rPr>
        <w:t>.</w:t>
      </w:r>
    </w:p>
  </w:footnote>
  <w:footnote w:id="73">
    <w:p w14:paraId="79970118"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i/>
          <w:iCs/>
          <w:sz w:val="20"/>
          <w:szCs w:val="20"/>
          <w:lang w:bidi="ar-AE"/>
        </w:rPr>
        <w:t>Ibid.</w:t>
      </w:r>
    </w:p>
  </w:footnote>
  <w:footnote w:id="74">
    <w:p w14:paraId="3111FDCA"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Georges Kleiber, </w:t>
      </w:r>
      <w:r w:rsidRPr="00F230F1">
        <w:rPr>
          <w:rFonts w:asciiTheme="majorBidi" w:eastAsia="Calibri" w:hAnsiTheme="majorBidi" w:cstheme="majorBidi"/>
          <w:i/>
          <w:iCs/>
          <w:sz w:val="20"/>
          <w:szCs w:val="20"/>
          <w:lang w:bidi="ar-AE"/>
        </w:rPr>
        <w:t>Problèmes de sémantique. La polysémie en questions</w:t>
      </w:r>
      <w:r w:rsidRPr="00F230F1">
        <w:rPr>
          <w:rFonts w:asciiTheme="majorBidi" w:eastAsia="Calibri" w:hAnsiTheme="majorBidi" w:cstheme="majorBidi"/>
          <w:sz w:val="20"/>
          <w:szCs w:val="20"/>
          <w:lang w:bidi="ar-AE"/>
        </w:rPr>
        <w:t>, Lille, Éditions du Septentrion (223 p), 1999, p. 10.</w:t>
      </w:r>
    </w:p>
  </w:footnote>
  <w:footnote w:id="75">
    <w:p w14:paraId="1A4202D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Simone Weil, </w:t>
      </w:r>
      <w:r w:rsidRPr="00F230F1">
        <w:rPr>
          <w:rFonts w:asciiTheme="majorBidi" w:hAnsiTheme="majorBidi" w:cstheme="majorBidi"/>
          <w:i/>
          <w:iCs/>
          <w:sz w:val="20"/>
          <w:szCs w:val="20"/>
        </w:rPr>
        <w:t>Lettre à un religieux</w:t>
      </w:r>
      <w:r w:rsidRPr="00F230F1">
        <w:rPr>
          <w:rFonts w:asciiTheme="majorBidi" w:hAnsiTheme="majorBidi" w:cstheme="majorBidi"/>
          <w:sz w:val="20"/>
          <w:szCs w:val="20"/>
        </w:rPr>
        <w:t xml:space="preserve">, version électronique </w:t>
      </w:r>
      <w:hyperlink r:id="rId23" w:history="1">
        <w:r w:rsidRPr="00F230F1">
          <w:rPr>
            <w:rStyle w:val="Lienhypertexte"/>
            <w:rFonts w:asciiTheme="majorBidi" w:hAnsiTheme="majorBidi" w:cstheme="majorBidi"/>
            <w:sz w:val="20"/>
            <w:szCs w:val="20"/>
          </w:rPr>
          <w:t>http://classiques.uqac.ca/classiques/weil_simone/lettre_a_un_religieux/lettre_a_un_religieux.pdf</w:t>
        </w:r>
      </w:hyperlink>
      <w:r w:rsidRPr="00F230F1">
        <w:rPr>
          <w:rFonts w:asciiTheme="majorBidi" w:hAnsiTheme="majorBidi" w:cstheme="majorBidi"/>
          <w:sz w:val="20"/>
          <w:szCs w:val="20"/>
        </w:rPr>
        <w:t xml:space="preserve"> (consulté le 09/07/2017). Voir aussi: </w:t>
      </w:r>
      <w:hyperlink r:id="rId24" w:history="1">
        <w:r w:rsidRPr="00F230F1">
          <w:rPr>
            <w:rStyle w:val="Lienhypertexte"/>
            <w:rFonts w:asciiTheme="majorBidi" w:hAnsiTheme="majorBidi" w:cstheme="majorBidi"/>
            <w:sz w:val="20"/>
            <w:szCs w:val="20"/>
          </w:rPr>
          <w:t>http://maaber.50megs.com/issue_december09/spiritual_traditions1_f.htm</w:t>
        </w:r>
      </w:hyperlink>
      <w:r w:rsidRPr="00F230F1">
        <w:rPr>
          <w:rFonts w:asciiTheme="majorBidi" w:hAnsiTheme="majorBidi" w:cstheme="majorBidi"/>
          <w:sz w:val="20"/>
          <w:szCs w:val="20"/>
        </w:rPr>
        <w:t xml:space="preserve"> (consulté le 09/07/2017).</w:t>
      </w:r>
    </w:p>
  </w:footnote>
  <w:footnote w:id="76">
    <w:p w14:paraId="71734DB0"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Dans l’introduction de sa thèse de doctorat de psychologie intitulée </w:t>
      </w:r>
      <w:r w:rsidRPr="00F230F1">
        <w:rPr>
          <w:rFonts w:asciiTheme="majorBidi" w:eastAsia="Calibri" w:hAnsiTheme="majorBidi" w:cstheme="majorBidi"/>
          <w:i/>
          <w:iCs/>
          <w:sz w:val="20"/>
          <w:szCs w:val="20"/>
          <w:lang w:bidi="ar-AE"/>
        </w:rPr>
        <w:t>Effet du contexte lexical sur l’accès à la signification des homographes polarisés</w:t>
      </w:r>
      <w:r w:rsidRPr="00F230F1">
        <w:rPr>
          <w:rFonts w:asciiTheme="majorBidi" w:eastAsia="Calibri" w:hAnsiTheme="majorBidi" w:cstheme="majorBidi"/>
          <w:sz w:val="20"/>
          <w:szCs w:val="20"/>
          <w:lang w:bidi="ar-AE"/>
        </w:rPr>
        <w:t xml:space="preserve"> (Université d’Aix-Marseille I, 2000), Pierre Thérouanne souligne : “Les formes d’ambiguïtés les plus fréquemment rencontrées sont les ambiguïtés syntaxiques</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(par exemple, identification de la catégorie syntaxique), référentielles (par exemple, anaphore pronominale), et lexicales. Une ambiguïté lexicale est rencontrée lorsqu’un mot considéré en l’absence de son contexte peut référer à plusieurs signifiés. Par exemple, le mot “ pensée” dénote une idée ou une fleur. Dans une description linguistique classique (Saussure, 1916), l’ambiguïté lexicale est une configuration linguistique</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dans laquelle un signifiant (expression) est lié à plusieurs signifiés (contenu).” </w:t>
      </w:r>
    </w:p>
  </w:footnote>
  <w:footnote w:id="77">
    <w:p w14:paraId="6F784E7F" w14:textId="65C4289C"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David Bellos, </w:t>
      </w:r>
      <w:r w:rsidRPr="00F230F1">
        <w:rPr>
          <w:rFonts w:asciiTheme="majorBidi" w:eastAsia="Calibri" w:hAnsiTheme="majorBidi" w:cstheme="majorBidi"/>
          <w:i/>
          <w:iCs/>
          <w:sz w:val="20"/>
          <w:szCs w:val="20"/>
          <w:lang w:bidi="ar-AE"/>
        </w:rPr>
        <w:t>Le poisson et le bananier</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op. cit.</w:t>
      </w:r>
      <w:r w:rsidRPr="00F230F1">
        <w:rPr>
          <w:rFonts w:asciiTheme="majorBidi" w:eastAsia="Calibri" w:hAnsiTheme="majorBidi" w:cstheme="majorBidi"/>
          <w:sz w:val="20"/>
          <w:szCs w:val="20"/>
          <w:lang w:bidi="ar-AE"/>
        </w:rPr>
        <w:t>, p. 98.</w:t>
      </w:r>
    </w:p>
  </w:footnote>
  <w:footnote w:id="78">
    <w:p w14:paraId="75685E30"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Khalīl b. Ḥasan Al-Tīrāwī (Qara Khalīl), </w:t>
      </w:r>
      <w:r w:rsidRPr="00F230F1">
        <w:rPr>
          <w:rFonts w:asciiTheme="majorBidi" w:hAnsiTheme="majorBidi" w:cstheme="majorBidi"/>
          <w:i/>
          <w:iCs/>
          <w:sz w:val="20"/>
          <w:szCs w:val="20"/>
        </w:rPr>
        <w:t>Jilā</w:t>
      </w:r>
      <w:r w:rsidRPr="00F230F1">
        <w:rPr>
          <w:rFonts w:asciiTheme="majorBidi" w:eastAsia="Times New Roman" w:hAnsiTheme="majorBidi" w:cstheme="majorBidi"/>
          <w:i/>
          <w:iCs/>
          <w:sz w:val="20"/>
          <w:szCs w:val="20"/>
        </w:rPr>
        <w:t>ʾ al-anẓār fī ḥall ʿawīṣāt al-afkār</w:t>
      </w:r>
      <w:r w:rsidRPr="00F230F1">
        <w:rPr>
          <w:rFonts w:asciiTheme="majorBidi" w:eastAsia="Times New Roman" w:hAnsiTheme="majorBidi" w:cstheme="majorBidi"/>
          <w:sz w:val="20"/>
          <w:szCs w:val="20"/>
        </w:rPr>
        <w:t xml:space="preserve"> [L’éclaircissement de la vue à propos de la résolution des pensées difficiles à comprendre], Imprimerie Al-Āstāna, 1888, 232 pages, </w:t>
      </w:r>
      <w:r w:rsidRPr="00F230F1">
        <w:rPr>
          <w:rFonts w:asciiTheme="majorBidi" w:hAnsiTheme="majorBidi" w:cstheme="majorBidi"/>
          <w:sz w:val="20"/>
          <w:szCs w:val="20"/>
        </w:rPr>
        <w:t xml:space="preserve">p. 144 &amp; 145. Version électronique </w:t>
      </w:r>
      <w:hyperlink r:id="rId25" w:anchor="v=onepage&amp;q&amp;f=false" w:history="1">
        <w:r w:rsidRPr="00F230F1">
          <w:rPr>
            <w:rStyle w:val="Lienhypertexte"/>
            <w:rFonts w:asciiTheme="majorBidi" w:hAnsiTheme="majorBidi" w:cstheme="majorBidi"/>
            <w:sz w:val="20"/>
            <w:szCs w:val="20"/>
          </w:rPr>
          <w:t>https://books.google.fr/books?id=7LJUAAAAcAAJ&amp;printsec=frontcover&amp;dq=inauthor:%22vulgo+Qara+Halil+Halil+ibn+Hasan+'Amirzade%22&amp;hl=fr&amp;sa=X&amp;ved=0ahUKEwilxuaI4v_UAhVEBBoKHeIQDmIQ6AEIJzAA#v=onepage&amp;q&amp;f=false</w:t>
        </w:r>
      </w:hyperlink>
      <w:r w:rsidRPr="00F230F1">
        <w:rPr>
          <w:rFonts w:asciiTheme="majorBidi" w:hAnsiTheme="majorBidi" w:cstheme="majorBidi"/>
          <w:sz w:val="20"/>
          <w:szCs w:val="20"/>
        </w:rPr>
        <w:t xml:space="preserve"> (consulté le 11/07/2017). Voir aussi : Ibtisām b. A</w:t>
      </w:r>
      <w:r w:rsidRPr="00F230F1">
        <w:rPr>
          <w:rFonts w:asciiTheme="majorBidi" w:eastAsia="Times New Roman" w:hAnsiTheme="majorBidi" w:cstheme="majorBidi"/>
          <w:sz w:val="20"/>
          <w:szCs w:val="20"/>
        </w:rPr>
        <w:t>ḥ</w:t>
      </w:r>
      <w:r w:rsidRPr="00F230F1">
        <w:rPr>
          <w:rFonts w:asciiTheme="majorBidi" w:hAnsiTheme="majorBidi" w:cstheme="majorBidi"/>
          <w:sz w:val="20"/>
          <w:szCs w:val="20"/>
        </w:rPr>
        <w:t xml:space="preserve">mad Jamāl, </w:t>
      </w:r>
      <w:r w:rsidRPr="00F230F1">
        <w:rPr>
          <w:rFonts w:asciiTheme="majorBidi" w:hAnsiTheme="majorBidi" w:cstheme="majorBidi"/>
          <w:i/>
          <w:iCs/>
          <w:sz w:val="20"/>
          <w:szCs w:val="20"/>
        </w:rPr>
        <w:t>Al-qiyās wa-makānatu-hu fi l-man</w:t>
      </w:r>
      <w:r w:rsidRPr="00F230F1">
        <w:rPr>
          <w:rFonts w:asciiTheme="majorBidi" w:eastAsia="Times New Roman" w:hAnsiTheme="majorBidi" w:cstheme="majorBidi"/>
          <w:i/>
          <w:iCs/>
          <w:sz w:val="20"/>
          <w:szCs w:val="20"/>
        </w:rPr>
        <w:t xml:space="preserve">ṭiq al-yūnānī </w:t>
      </w:r>
      <w:r w:rsidRPr="00F230F1">
        <w:rPr>
          <w:rFonts w:asciiTheme="majorBidi" w:eastAsia="Times New Roman" w:hAnsiTheme="majorBidi" w:cstheme="majorBidi"/>
          <w:sz w:val="20"/>
          <w:szCs w:val="20"/>
        </w:rPr>
        <w:t xml:space="preserve">[Le syllogisme et son importance dans la logique grecque], revue de l’Université Oumm Al-Qura, n° 19 – 24, La Mecque, Arabie saoudite, mis en ligne 14/11/2010, versions électronique consultées le 13/07/2017 : </w:t>
      </w:r>
      <w:hyperlink r:id="rId26" w:history="1">
        <w:r w:rsidRPr="00F230F1">
          <w:rPr>
            <w:rStyle w:val="Lienhypertexte"/>
            <w:rFonts w:asciiTheme="majorBidi" w:hAnsiTheme="majorBidi" w:cstheme="majorBidi"/>
            <w:sz w:val="20"/>
            <w:szCs w:val="20"/>
          </w:rPr>
          <w:t>http://dspace.mediu.edu.my:8181/jspui/bitstream/123456789/99620/1/</w:t>
        </w:r>
        <w:r w:rsidRPr="00F230F1">
          <w:rPr>
            <w:rStyle w:val="Lienhypertexte"/>
            <w:rFonts w:asciiTheme="majorBidi" w:hAnsiTheme="majorBidi" w:cstheme="majorBidi"/>
            <w:sz w:val="20"/>
            <w:szCs w:val="20"/>
            <w:rtl/>
          </w:rPr>
          <w:t>القياس%20ومكانته%20في%20المنطق%20اليوناني</w:t>
        </w:r>
        <w:r w:rsidRPr="00F230F1">
          <w:rPr>
            <w:rStyle w:val="Lienhypertexte"/>
            <w:rFonts w:asciiTheme="majorBidi" w:hAnsiTheme="majorBidi" w:cstheme="majorBidi"/>
            <w:sz w:val="20"/>
            <w:szCs w:val="20"/>
          </w:rPr>
          <w:t>.pdf</w:t>
        </w:r>
      </w:hyperlink>
      <w:r w:rsidRPr="00F230F1">
        <w:rPr>
          <w:rFonts w:asciiTheme="majorBidi" w:hAnsiTheme="majorBidi" w:cstheme="majorBidi"/>
          <w:sz w:val="20"/>
          <w:szCs w:val="20"/>
        </w:rPr>
        <w:t xml:space="preserve"> ; </w:t>
      </w:r>
      <w:hyperlink r:id="rId27" w:history="1">
        <w:r w:rsidRPr="00F230F1">
          <w:rPr>
            <w:rStyle w:val="Lienhypertexte"/>
            <w:rFonts w:asciiTheme="majorBidi" w:eastAsia="Times New Roman" w:hAnsiTheme="majorBidi" w:cstheme="majorBidi"/>
            <w:sz w:val="20"/>
            <w:szCs w:val="20"/>
            <w:shd w:val="clear" w:color="auto" w:fill="FFFFFF"/>
          </w:rPr>
          <w:t>www.t1t.net/download/716.doc</w:t>
        </w:r>
      </w:hyperlink>
      <w:r w:rsidRPr="00F230F1">
        <w:rPr>
          <w:rFonts w:asciiTheme="majorBidi" w:eastAsia="Times New Roman" w:hAnsiTheme="majorBidi" w:cstheme="majorBidi"/>
          <w:sz w:val="20"/>
          <w:szCs w:val="20"/>
        </w:rPr>
        <w:t>.</w:t>
      </w:r>
    </w:p>
  </w:footnote>
  <w:footnote w:id="79">
    <w:p w14:paraId="3FF2419C"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eastAsia="SimSun" w:hAnsiTheme="majorBidi" w:cstheme="majorBidi"/>
          <w:sz w:val="20"/>
          <w:szCs w:val="20"/>
          <w:lang w:eastAsia="zh-CN"/>
        </w:rPr>
        <w:t xml:space="preserve">Olfa Youssef, </w:t>
      </w:r>
      <w:r w:rsidRPr="00F230F1">
        <w:rPr>
          <w:rFonts w:asciiTheme="majorBidi" w:eastAsia="SimSun" w:hAnsiTheme="majorBidi" w:cstheme="majorBidi"/>
          <w:i/>
          <w:iCs/>
          <w:sz w:val="20"/>
          <w:szCs w:val="20"/>
          <w:lang w:eastAsia="zh-CN"/>
        </w:rPr>
        <w:t>Namūdhaj min al-qirāʾa at-taʾwīlīya : Ta</w:t>
      </w:r>
      <w:r w:rsidRPr="00F230F1">
        <w:rPr>
          <w:rFonts w:asciiTheme="majorBidi" w:hAnsiTheme="majorBidi" w:cstheme="majorBidi"/>
          <w:i/>
          <w:iCs/>
          <w:sz w:val="20"/>
          <w:szCs w:val="20"/>
        </w:rPr>
        <w:t>ʿaddud al-ma</w:t>
      </w:r>
      <w:r w:rsidRPr="00F230F1">
        <w:rPr>
          <w:rFonts w:asciiTheme="majorBidi" w:eastAsia="SimSun" w:hAnsiTheme="majorBidi" w:cstheme="majorBidi"/>
          <w:i/>
          <w:iCs/>
          <w:sz w:val="20"/>
          <w:szCs w:val="20"/>
          <w:lang w:eastAsia="zh-CN"/>
        </w:rPr>
        <w:t>ʿānī fi l-qurʾān</w:t>
      </w:r>
      <w:r w:rsidRPr="00F230F1">
        <w:rPr>
          <w:rFonts w:asciiTheme="majorBidi" w:eastAsia="SimSun" w:hAnsiTheme="majorBidi" w:cstheme="majorBidi"/>
          <w:sz w:val="20"/>
          <w:szCs w:val="20"/>
          <w:lang w:eastAsia="zh-CN"/>
        </w:rPr>
        <w:t xml:space="preserve"> [</w:t>
      </w:r>
      <w:r w:rsidRPr="00F230F1">
        <w:rPr>
          <w:rFonts w:asciiTheme="majorBidi" w:eastAsia="SimSun" w:hAnsiTheme="majorBidi" w:cstheme="majorBidi"/>
          <w:i/>
          <w:iCs/>
          <w:sz w:val="20"/>
          <w:szCs w:val="20"/>
          <w:lang w:eastAsia="zh-CN"/>
        </w:rPr>
        <w:t>Un modèle de la lecture interprétative : la polysémie dans le Coran</w:t>
      </w:r>
      <w:r w:rsidRPr="00F230F1">
        <w:rPr>
          <w:rFonts w:asciiTheme="majorBidi" w:eastAsia="SimSun" w:hAnsiTheme="majorBidi" w:cstheme="majorBidi"/>
          <w:sz w:val="20"/>
          <w:szCs w:val="20"/>
          <w:lang w:eastAsia="zh-CN"/>
        </w:rPr>
        <w:t>], thèse de doctorat, Université de Tunis, 2002.</w:t>
      </w:r>
      <w:r w:rsidRPr="00F230F1">
        <w:rPr>
          <w:rFonts w:asciiTheme="majorBidi" w:eastAsia="SimSun" w:hAnsiTheme="majorBidi" w:cstheme="majorBidi"/>
          <w:sz w:val="20"/>
          <w:szCs w:val="20"/>
          <w:rtl/>
          <w:lang w:eastAsia="zh-CN"/>
        </w:rPr>
        <w:t xml:space="preserve"> </w:t>
      </w:r>
      <w:r w:rsidRPr="00F230F1">
        <w:rPr>
          <w:rFonts w:asciiTheme="majorBidi" w:eastAsia="SimSun" w:hAnsiTheme="majorBidi" w:cstheme="majorBidi"/>
          <w:sz w:val="20"/>
          <w:szCs w:val="20"/>
          <w:lang w:eastAsia="zh-CN"/>
        </w:rPr>
        <w:t xml:space="preserve"> Version électronique </w:t>
      </w:r>
      <w:hyperlink r:id="rId28" w:history="1">
        <w:r w:rsidRPr="00F230F1">
          <w:rPr>
            <w:rStyle w:val="Lienhypertexte"/>
            <w:rFonts w:asciiTheme="majorBidi" w:eastAsia="SimSun" w:hAnsiTheme="majorBidi" w:cstheme="majorBidi"/>
            <w:sz w:val="20"/>
            <w:szCs w:val="20"/>
            <w:lang w:eastAsia="zh-CN"/>
          </w:rPr>
          <w:t>https://docs.google.com/file/d/0B8T3WZHUTpuZcXR3eF84UUpEVEk/edit</w:t>
        </w:r>
      </w:hyperlink>
      <w:r w:rsidRPr="00F230F1">
        <w:rPr>
          <w:rFonts w:asciiTheme="majorBidi" w:eastAsia="SimSun" w:hAnsiTheme="majorBidi" w:cstheme="majorBidi"/>
          <w:sz w:val="20"/>
          <w:szCs w:val="20"/>
          <w:lang w:eastAsia="zh-CN"/>
        </w:rPr>
        <w:t xml:space="preserve"> (consulté le 09/07/2017).</w:t>
      </w:r>
    </w:p>
  </w:footnote>
  <w:footnote w:id="80">
    <w:p w14:paraId="4BCBE659"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David Bellos, </w:t>
      </w:r>
      <w:r w:rsidRPr="00F230F1">
        <w:rPr>
          <w:rFonts w:asciiTheme="majorBidi" w:hAnsiTheme="majorBidi" w:cstheme="majorBidi"/>
          <w:i/>
          <w:iCs/>
          <w:sz w:val="20"/>
          <w:szCs w:val="20"/>
        </w:rPr>
        <w:t>Le poisson et le bananier</w:t>
      </w:r>
      <w:r w:rsidRPr="00F230F1">
        <w:rPr>
          <w:rFonts w:asciiTheme="majorBidi" w:hAnsiTheme="majorBidi" w:cstheme="majorBidi"/>
          <w:sz w:val="20"/>
          <w:szCs w:val="20"/>
          <w:lang w:bidi="ar-AE"/>
        </w:rPr>
        <w:t>,</w:t>
      </w:r>
      <w:r w:rsidRPr="00F230F1">
        <w:rPr>
          <w:rFonts w:asciiTheme="majorBidi" w:hAnsiTheme="majorBidi" w:cstheme="majorBidi"/>
          <w:i/>
          <w:iCs/>
          <w:sz w:val="20"/>
          <w:szCs w:val="20"/>
        </w:rPr>
        <w:t xml:space="preserve"> op. cit.</w:t>
      </w:r>
      <w:r w:rsidRPr="00F230F1">
        <w:rPr>
          <w:rFonts w:asciiTheme="majorBidi" w:hAnsiTheme="majorBidi" w:cstheme="majorBidi"/>
          <w:sz w:val="20"/>
          <w:szCs w:val="20"/>
        </w:rPr>
        <w:t>, pp. 333 et 334.</w:t>
      </w:r>
    </w:p>
  </w:footnote>
  <w:footnote w:id="81">
    <w:p w14:paraId="6850B4A7"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Conférence d’Ahmed Hasan Ali Al-Gubbanchi sur « la farce de la compilation du Coran et ses dispositions » [</w:t>
      </w:r>
      <w:r w:rsidRPr="00F230F1">
        <w:rPr>
          <w:rFonts w:asciiTheme="majorBidi" w:eastAsia="Calibri" w:hAnsiTheme="majorBidi" w:cstheme="majorBidi"/>
          <w:i/>
          <w:iCs/>
          <w:sz w:val="20"/>
          <w:szCs w:val="20"/>
        </w:rPr>
        <w:t>Mahzalat jam</w:t>
      </w:r>
      <w:r w:rsidRPr="00F230F1">
        <w:rPr>
          <w:rFonts w:asciiTheme="majorBidi" w:eastAsia="Times New Roman" w:hAnsiTheme="majorBidi" w:cstheme="majorBidi"/>
          <w:i/>
          <w:iCs/>
          <w:color w:val="C00000"/>
          <w:sz w:val="20"/>
          <w:szCs w:val="20"/>
        </w:rPr>
        <w:t>ʿ</w:t>
      </w:r>
      <w:r w:rsidRPr="00F230F1">
        <w:rPr>
          <w:rFonts w:asciiTheme="majorBidi" w:eastAsia="Calibri" w:hAnsiTheme="majorBidi" w:cstheme="majorBidi"/>
          <w:i/>
          <w:iCs/>
          <w:sz w:val="20"/>
          <w:szCs w:val="20"/>
        </w:rPr>
        <w:t xml:space="preserve"> al-qurʾān wa-aḥkām-uhu</w:t>
      </w:r>
      <w:r w:rsidRPr="00F230F1">
        <w:rPr>
          <w:rFonts w:asciiTheme="majorBidi" w:eastAsia="Calibri" w:hAnsiTheme="majorBidi" w:cstheme="majorBidi"/>
          <w:sz w:val="20"/>
          <w:szCs w:val="20"/>
        </w:rPr>
        <w:t xml:space="preserve">], le Groupe </w:t>
      </w:r>
      <w:r w:rsidRPr="00F230F1">
        <w:rPr>
          <w:rFonts w:asciiTheme="majorBidi" w:eastAsia="Calibri" w:hAnsiTheme="majorBidi" w:cstheme="majorBidi"/>
          <w:i/>
          <w:iCs/>
          <w:sz w:val="20"/>
          <w:szCs w:val="20"/>
        </w:rPr>
        <w:t>Bayt al-Wijdān ath-thaqāfī</w:t>
      </w:r>
      <w:r w:rsidRPr="00F230F1">
        <w:rPr>
          <w:rFonts w:asciiTheme="majorBidi" w:hAnsiTheme="majorBidi" w:cstheme="majorBidi"/>
          <w:sz w:val="20"/>
          <w:szCs w:val="20"/>
        </w:rPr>
        <w:t xml:space="preserve">, mis en ligne le 29/06/2014, </w:t>
      </w:r>
    </w:p>
    <w:p w14:paraId="7B2F6014" w14:textId="77777777" w:rsidR="009C3BB9" w:rsidRPr="00F230F1" w:rsidRDefault="00BA118B" w:rsidP="00F230F1">
      <w:pPr>
        <w:contextualSpacing/>
        <w:jc w:val="both"/>
        <w:rPr>
          <w:rFonts w:asciiTheme="majorBidi" w:hAnsiTheme="majorBidi" w:cstheme="majorBidi"/>
          <w:sz w:val="20"/>
          <w:szCs w:val="20"/>
        </w:rPr>
      </w:pPr>
      <w:hyperlink r:id="rId29" w:history="1">
        <w:r w:rsidR="009C3BB9" w:rsidRPr="00F230F1">
          <w:rPr>
            <w:rStyle w:val="Lienhypertexte"/>
            <w:rFonts w:asciiTheme="majorBidi" w:hAnsiTheme="majorBidi" w:cstheme="majorBidi"/>
            <w:sz w:val="20"/>
            <w:szCs w:val="20"/>
          </w:rPr>
          <w:t>https://www.youtube.com/watch?v=TLX7eJSC2SQ</w:t>
        </w:r>
      </w:hyperlink>
      <w:r w:rsidR="009C3BB9" w:rsidRPr="00F230F1">
        <w:rPr>
          <w:rFonts w:asciiTheme="majorBidi" w:hAnsiTheme="majorBidi" w:cstheme="majorBidi"/>
          <w:sz w:val="20"/>
          <w:szCs w:val="20"/>
        </w:rPr>
        <w:t xml:space="preserve"> (consulté le 13/07/2017).</w:t>
      </w:r>
    </w:p>
  </w:footnote>
  <w:footnote w:id="82">
    <w:p w14:paraId="6385D14E"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Richard Argand, </w:t>
      </w:r>
      <w:r w:rsidRPr="00F230F1">
        <w:rPr>
          <w:rFonts w:asciiTheme="majorBidi" w:hAnsiTheme="majorBidi" w:cstheme="majorBidi"/>
          <w:i/>
          <w:iCs/>
          <w:sz w:val="20"/>
          <w:szCs w:val="20"/>
        </w:rPr>
        <w:t>Les figures de style</w:t>
      </w:r>
      <w:r w:rsidRPr="00F230F1">
        <w:rPr>
          <w:rFonts w:asciiTheme="majorBidi" w:hAnsiTheme="majorBidi" w:cstheme="majorBidi"/>
          <w:sz w:val="20"/>
          <w:szCs w:val="20"/>
        </w:rPr>
        <w:t xml:space="preserve">, Québec, Éditions de l’Homme, 2004, p. 30. D’après la même référence, étymologiquement parlant, l’antanaclase vient d’un terme grec qui signifie </w:t>
      </w:r>
      <w:r w:rsidRPr="00F230F1">
        <w:rPr>
          <w:rFonts w:asciiTheme="majorBidi" w:hAnsiTheme="majorBidi" w:cstheme="majorBidi"/>
          <w:i/>
          <w:iCs/>
          <w:sz w:val="20"/>
          <w:szCs w:val="20"/>
        </w:rPr>
        <w:t>être renvoyé dans une direction nouvelle</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xml:space="preserve">., p. 32. </w:t>
      </w:r>
    </w:p>
  </w:footnote>
  <w:footnote w:id="83">
    <w:p w14:paraId="1FBB88DC"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Claire Stolz, </w:t>
      </w:r>
      <w:r w:rsidRPr="00F230F1">
        <w:rPr>
          <w:rFonts w:asciiTheme="majorBidi" w:hAnsiTheme="majorBidi" w:cstheme="majorBidi"/>
          <w:i/>
          <w:iCs/>
          <w:sz w:val="20"/>
          <w:szCs w:val="20"/>
        </w:rPr>
        <w:t>Initiation à la stylistique</w:t>
      </w:r>
      <w:r w:rsidRPr="00F230F1">
        <w:rPr>
          <w:rFonts w:asciiTheme="majorBidi" w:hAnsiTheme="majorBidi" w:cstheme="majorBidi"/>
          <w:sz w:val="20"/>
          <w:szCs w:val="20"/>
        </w:rPr>
        <w:t>, Paris, Ellipses Éditions, 1999, p. 94.</w:t>
      </w:r>
    </w:p>
  </w:footnote>
  <w:footnote w:id="84">
    <w:p w14:paraId="787E2C7F"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Brigitte Buffart-Moret, </w:t>
      </w:r>
      <w:r w:rsidRPr="00F230F1">
        <w:rPr>
          <w:rFonts w:asciiTheme="majorBidi" w:hAnsiTheme="majorBidi" w:cstheme="majorBidi"/>
          <w:i/>
          <w:iCs/>
          <w:sz w:val="20"/>
          <w:szCs w:val="20"/>
        </w:rPr>
        <w:t>Introduction à la stylistique</w:t>
      </w:r>
      <w:r w:rsidRPr="00F230F1">
        <w:rPr>
          <w:rFonts w:asciiTheme="majorBidi" w:hAnsiTheme="majorBidi" w:cstheme="majorBidi"/>
          <w:sz w:val="20"/>
          <w:szCs w:val="20"/>
        </w:rPr>
        <w:t>, Paris, Armand Colin, 2007, p. 82.</w:t>
      </w:r>
    </w:p>
  </w:footnote>
  <w:footnote w:id="85">
    <w:p w14:paraId="1B7DF66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Georges Molinié, </w:t>
      </w:r>
      <w:r w:rsidRPr="00F230F1">
        <w:rPr>
          <w:rFonts w:asciiTheme="majorBidi" w:hAnsiTheme="majorBidi" w:cstheme="majorBidi"/>
          <w:i/>
          <w:iCs/>
          <w:sz w:val="20"/>
          <w:szCs w:val="20"/>
        </w:rPr>
        <w:t xml:space="preserve">Éléments de stylistique française, </w:t>
      </w:r>
      <w:r w:rsidRPr="00F230F1">
        <w:rPr>
          <w:rFonts w:asciiTheme="majorBidi" w:hAnsiTheme="majorBidi" w:cstheme="majorBidi"/>
          <w:sz w:val="20"/>
          <w:szCs w:val="20"/>
        </w:rPr>
        <w:t>Paris, Presses Universitaires de France, 1991, p. 100.</w:t>
      </w:r>
    </w:p>
  </w:footnote>
  <w:footnote w:id="86">
    <w:p w14:paraId="4A62A76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99.</w:t>
      </w:r>
    </w:p>
  </w:footnote>
  <w:footnote w:id="87">
    <w:p w14:paraId="45BD2064"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Henri Suhamy, </w:t>
      </w:r>
      <w:r w:rsidRPr="00F230F1">
        <w:rPr>
          <w:rFonts w:asciiTheme="majorBidi" w:hAnsiTheme="majorBidi" w:cstheme="majorBidi"/>
          <w:i/>
          <w:iCs/>
          <w:sz w:val="20"/>
          <w:szCs w:val="20"/>
        </w:rPr>
        <w:t>Les figures de style</w:t>
      </w:r>
      <w:r w:rsidRPr="00F230F1">
        <w:rPr>
          <w:rFonts w:asciiTheme="majorBidi" w:hAnsiTheme="majorBidi" w:cstheme="majorBidi"/>
          <w:sz w:val="20"/>
          <w:szCs w:val="20"/>
        </w:rPr>
        <w:t xml:space="preserve">, Paris, Presses universitaires de France, 1995, p. 62. </w:t>
      </w:r>
    </w:p>
  </w:footnote>
  <w:footnote w:id="88">
    <w:p w14:paraId="03906D7B" w14:textId="77777777" w:rsidR="009C3BB9" w:rsidRPr="00F230F1" w:rsidRDefault="009C3BB9" w:rsidP="00F230F1">
      <w:pPr>
        <w:pStyle w:val="n1"/>
        <w:bidi w:val="0"/>
        <w:contextualSpacing/>
        <w:jc w:val="both"/>
        <w:rPr>
          <w:rFonts w:asciiTheme="majorBidi" w:hAnsiTheme="majorBidi" w:cstheme="majorBidi"/>
          <w:sz w:val="20"/>
          <w:szCs w:val="20"/>
          <w:lang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Salwā Muḥammad Al-ʿAwwā, </w:t>
      </w:r>
      <w:r w:rsidRPr="00F230F1">
        <w:rPr>
          <w:rFonts w:asciiTheme="majorBidi" w:hAnsiTheme="majorBidi" w:cstheme="majorBidi"/>
          <w:i/>
          <w:iCs/>
          <w:sz w:val="20"/>
          <w:szCs w:val="20"/>
        </w:rPr>
        <w:t>al-Wujūh wa-n-naẓāʾir fi l-qurʾān al-karīm</w:t>
      </w:r>
      <w:r w:rsidRPr="00F230F1">
        <w:rPr>
          <w:rFonts w:asciiTheme="majorBidi" w:hAnsiTheme="majorBidi" w:cstheme="majorBidi"/>
          <w:sz w:val="20"/>
          <w:szCs w:val="20"/>
        </w:rPr>
        <w:t>, Dār ash-shurūq, Le Caire, 1998, p. 15.</w:t>
      </w:r>
    </w:p>
  </w:footnote>
  <w:footnote w:id="89">
    <w:p w14:paraId="56C4B04B" w14:textId="77777777" w:rsidR="009C3BB9" w:rsidRPr="00F230F1" w:rsidRDefault="009C3BB9" w:rsidP="00F230F1">
      <w:pPr>
        <w:pStyle w:val="n1"/>
        <w:bidi w:val="0"/>
        <w:contextualSpacing/>
        <w:jc w:val="both"/>
        <w:rPr>
          <w:rFonts w:asciiTheme="majorBidi" w:hAnsiTheme="majorBidi" w:cstheme="majorBidi"/>
          <w:sz w:val="20"/>
          <w:szCs w:val="20"/>
          <w:rtl/>
          <w:lang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Abd al-</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Āl Sālim Mukarram, </w:t>
      </w:r>
      <w:r w:rsidRPr="00F230F1">
        <w:rPr>
          <w:rFonts w:asciiTheme="majorBidi" w:hAnsiTheme="majorBidi" w:cstheme="majorBidi"/>
          <w:i/>
          <w:iCs/>
          <w:sz w:val="20"/>
          <w:szCs w:val="20"/>
        </w:rPr>
        <w:t>al-Mushtarak al-lafẓī fi l-ḥaql al-qurʾānī</w:t>
      </w:r>
      <w:r w:rsidRPr="00F230F1">
        <w:rPr>
          <w:rFonts w:asciiTheme="majorBidi" w:hAnsiTheme="majorBidi" w:cstheme="majorBidi"/>
          <w:sz w:val="20"/>
          <w:szCs w:val="20"/>
        </w:rPr>
        <w:t>, Muʾassasat ar-Risāla, Beyrouth, 1996, p. 9.</w:t>
      </w:r>
    </w:p>
  </w:footnote>
  <w:footnote w:id="90">
    <w:p w14:paraId="52AC1851" w14:textId="77777777" w:rsidR="009C3BB9" w:rsidRPr="00F230F1" w:rsidRDefault="009C3BB9" w:rsidP="00F230F1">
      <w:pPr>
        <w:pStyle w:val="n1"/>
        <w:bidi w:val="0"/>
        <w:contextualSpacing/>
        <w:jc w:val="both"/>
        <w:rPr>
          <w:rFonts w:asciiTheme="majorBidi" w:hAnsiTheme="majorBidi" w:cstheme="majorBidi"/>
          <w:sz w:val="20"/>
          <w:szCs w:val="20"/>
          <w:rtl/>
          <w:lang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Salwā Al-ʿAwwā, </w:t>
      </w:r>
      <w:r w:rsidRPr="00F230F1">
        <w:rPr>
          <w:rFonts w:asciiTheme="majorBidi" w:hAnsiTheme="majorBidi" w:cstheme="majorBidi"/>
          <w:i/>
          <w:iCs/>
          <w:sz w:val="20"/>
          <w:szCs w:val="20"/>
        </w:rPr>
        <w:t>al-Wujūh wa-n-naẓāʾir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16.</w:t>
      </w:r>
    </w:p>
  </w:footnote>
  <w:footnote w:id="91">
    <w:p w14:paraId="2F2DCAEC" w14:textId="7777777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al-Jawzīyya, Ibn Qayyim, </w:t>
      </w:r>
      <w:r w:rsidRPr="00F230F1">
        <w:rPr>
          <w:rFonts w:asciiTheme="majorBidi" w:hAnsiTheme="majorBidi" w:cstheme="majorBidi"/>
          <w:i/>
          <w:iCs/>
          <w:sz w:val="20"/>
          <w:szCs w:val="20"/>
        </w:rPr>
        <w:t>Badāʾiʿ al-fawāʾid</w:t>
      </w:r>
      <w:r w:rsidRPr="00F230F1">
        <w:rPr>
          <w:rFonts w:asciiTheme="majorBidi" w:hAnsiTheme="majorBidi" w:cstheme="majorBidi"/>
          <w:sz w:val="20"/>
          <w:szCs w:val="20"/>
        </w:rPr>
        <w:t>, Maktabat al-Bayān, Beyrouth, 1994, tome 2, p. 301.</w:t>
      </w:r>
      <w:r w:rsidRPr="00F230F1">
        <w:rPr>
          <w:rFonts w:asciiTheme="majorBidi" w:hAnsiTheme="majorBidi" w:cstheme="majorBidi"/>
          <w:sz w:val="20"/>
          <w:szCs w:val="20"/>
          <w:lang w:bidi="ar-EG"/>
        </w:rPr>
        <w:t xml:space="preserve"> Cité dans </w:t>
      </w:r>
      <w:r w:rsidRPr="00F230F1">
        <w:rPr>
          <w:rFonts w:asciiTheme="majorBidi" w:hAnsiTheme="majorBidi" w:cstheme="majorBidi"/>
          <w:i/>
          <w:iCs/>
          <w:sz w:val="20"/>
          <w:szCs w:val="20"/>
        </w:rPr>
        <w:t>al-Wujūh wa-n-naẓāʾir</w:t>
      </w:r>
      <w:r w:rsidRPr="00F230F1">
        <w:rPr>
          <w:rFonts w:asciiTheme="majorBidi" w:hAnsiTheme="majorBidi" w:cstheme="majorBidi"/>
          <w:sz w:val="20"/>
          <w:szCs w:val="20"/>
          <w:lang w:bidi="ar-EG"/>
        </w:rPr>
        <w:t xml:space="preserve">, </w:t>
      </w:r>
      <w:r w:rsidRPr="00F230F1">
        <w:rPr>
          <w:rFonts w:asciiTheme="majorBidi" w:hAnsiTheme="majorBidi" w:cstheme="majorBidi"/>
          <w:i/>
          <w:iCs/>
          <w:sz w:val="20"/>
          <w:szCs w:val="20"/>
          <w:lang w:bidi="ar-EG"/>
        </w:rPr>
        <w:t>op. cit.</w:t>
      </w:r>
      <w:r w:rsidRPr="00F230F1">
        <w:rPr>
          <w:rFonts w:asciiTheme="majorBidi" w:hAnsiTheme="majorBidi" w:cstheme="majorBidi"/>
          <w:sz w:val="20"/>
          <w:szCs w:val="20"/>
          <w:lang w:bidi="ar-EG"/>
        </w:rPr>
        <w:t>, p. 63</w:t>
      </w:r>
      <w:r w:rsidRPr="00F230F1">
        <w:rPr>
          <w:rFonts w:asciiTheme="majorBidi" w:hAnsiTheme="majorBidi" w:cstheme="majorBidi"/>
          <w:sz w:val="20"/>
          <w:szCs w:val="20"/>
          <w:lang w:bidi="ar-AE"/>
        </w:rPr>
        <w:t>. La citation arabe est :</w:t>
      </w:r>
    </w:p>
    <w:p w14:paraId="0ACE7E01" w14:textId="77777777" w:rsidR="009C3BB9" w:rsidRPr="00F230F1" w:rsidRDefault="009C3BB9" w:rsidP="00F230F1">
      <w:pPr>
        <w:pStyle w:val="n1"/>
        <w:contextualSpacing/>
        <w:jc w:val="both"/>
        <w:rPr>
          <w:rFonts w:asciiTheme="majorBidi" w:hAnsiTheme="majorBidi" w:cstheme="majorBidi"/>
          <w:sz w:val="20"/>
          <w:szCs w:val="20"/>
          <w:lang w:bidi="ar-KW"/>
        </w:rPr>
      </w:pPr>
      <w:r w:rsidRPr="00F230F1">
        <w:rPr>
          <w:rFonts w:asciiTheme="majorBidi" w:hAnsiTheme="majorBidi" w:cstheme="majorBidi"/>
          <w:sz w:val="20"/>
          <w:szCs w:val="20"/>
          <w:rtl/>
          <w:lang w:bidi="ar-AE"/>
        </w:rPr>
        <w:t>"السياقُ يُرشِد إلى تبَـيُّـن المجمَل وتعيين المحتمَـل والقطع بعدم احتمال غير المراد وتخصيص العام وتقييد المطلق وتنوع الدلالة. وهذا من أعظم القرائن الدالة على مراد المتكلم".</w:t>
      </w:r>
    </w:p>
  </w:footnote>
  <w:footnote w:id="92">
    <w:p w14:paraId="2EC49DAB" w14:textId="77777777" w:rsidR="009C3BB9" w:rsidRPr="00F230F1" w:rsidRDefault="009C3BB9" w:rsidP="00F230F1">
      <w:pPr>
        <w:contextualSpacing/>
        <w:jc w:val="both"/>
        <w:rPr>
          <w:rFonts w:asciiTheme="majorBidi" w:eastAsia="Calibr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David</w:t>
      </w:r>
      <w:r w:rsidRPr="00F230F1">
        <w:rPr>
          <w:rFonts w:asciiTheme="majorBidi" w:hAnsiTheme="majorBidi" w:cstheme="majorBidi"/>
          <w:i/>
          <w:iCs/>
          <w:sz w:val="20"/>
          <w:szCs w:val="20"/>
        </w:rPr>
        <w:t xml:space="preserve"> </w:t>
      </w:r>
      <w:r w:rsidRPr="00F230F1">
        <w:rPr>
          <w:rFonts w:asciiTheme="majorBidi" w:hAnsiTheme="majorBidi" w:cstheme="majorBidi"/>
          <w:sz w:val="20"/>
          <w:szCs w:val="20"/>
        </w:rPr>
        <w:t xml:space="preserve">Bellos, </w:t>
      </w:r>
      <w:r w:rsidRPr="00F230F1">
        <w:rPr>
          <w:rFonts w:asciiTheme="majorBidi" w:hAnsiTheme="majorBidi" w:cstheme="majorBidi"/>
          <w:i/>
          <w:iCs/>
          <w:sz w:val="20"/>
          <w:szCs w:val="20"/>
        </w:rPr>
        <w:t>Le poisson et le bananier</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lang w:bidi="ar-AE"/>
        </w:rPr>
        <w:t>, p.</w:t>
      </w:r>
      <w:r w:rsidRPr="00F230F1">
        <w:rPr>
          <w:rFonts w:asciiTheme="majorBidi" w:eastAsia="Calibri" w:hAnsiTheme="majorBidi" w:cstheme="majorBidi"/>
          <w:sz w:val="20"/>
          <w:szCs w:val="20"/>
          <w:lang w:bidi="ar-AE"/>
        </w:rPr>
        <w:t xml:space="preserve"> 83.</w:t>
      </w:r>
    </w:p>
  </w:footnote>
  <w:footnote w:id="93">
    <w:p w14:paraId="47E17087"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Il existe également l’antanaclase elliptique (proche du zeugma), qui est une tournure de phrase dans laquelle un mot est utilisé une seule fois (elliptique) mais avec deux sens différents. L’annomination (une figure de style fondée sur la répétition d’un mot pris à la fois dans son sens premier et dans son sens figuré) est une variante de l’antanaclase. Quant au zeugma, On distingue le zeugma syntaxique, quand le terme non répété est utilisé dans le même sens que déjà exprimé, du zeugme sémantique, où le terme occulté est utilisé dans un sens différent de celui déjà exprimé. Cette dernière figure, appelée également attelage, associe le plus souvent deux compléments d’objet, l’un de sens concret et l’autre de sens abstrait, pour un effet humoristique voire ironique. Il est proche de la syllepse de sens, de l’hendiadys, de la concaténation et de l’anacoluthe.</w:t>
      </w:r>
    </w:p>
  </w:footnote>
  <w:footnote w:id="94">
    <w:p w14:paraId="2EA6C8DB" w14:textId="1711BA47" w:rsidR="009C3BB9" w:rsidRPr="00F230F1" w:rsidRDefault="009C3BB9" w:rsidP="00F230F1">
      <w:pPr>
        <w:contextualSpacing/>
        <w:jc w:val="both"/>
        <w:rPr>
          <w:rFonts w:asciiTheme="majorBidi" w:eastAsia="Calibr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w:t>
      </w:r>
      <w:r w:rsidRPr="00F230F1">
        <w:rPr>
          <w:rFonts w:asciiTheme="majorBidi" w:hAnsiTheme="majorBidi" w:cstheme="majorBidi"/>
          <w:sz w:val="20"/>
          <w:szCs w:val="20"/>
          <w:lang w:bidi="ar-EG"/>
        </w:rPr>
        <w:t>Selon ʿAlqama [ibn Qays an-Nakhaʿī] (681-682)</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EG"/>
        </w:rPr>
        <w:t xml:space="preserve">tout ce qui, dans le Coran, contient l’expression </w:t>
      </w:r>
      <w:r w:rsidRPr="00F230F1">
        <w:rPr>
          <w:rFonts w:asciiTheme="majorBidi" w:hAnsiTheme="majorBidi" w:cstheme="majorBidi"/>
          <w:i/>
          <w:iCs/>
          <w:sz w:val="20"/>
          <w:szCs w:val="20"/>
          <w:lang w:bidi="ar-EG"/>
        </w:rPr>
        <w:t>Yā</w:t>
      </w:r>
      <w:r w:rsidRPr="00F230F1">
        <w:rPr>
          <w:rFonts w:asciiTheme="majorBidi" w:hAnsiTheme="majorBidi" w:cstheme="majorBidi"/>
          <w:i/>
          <w:iCs/>
          <w:sz w:val="20"/>
          <w:szCs w:val="20"/>
        </w:rPr>
        <w:t xml:space="preserve"> </w:t>
      </w:r>
      <w:r w:rsidRPr="00F230F1">
        <w:rPr>
          <w:rFonts w:asciiTheme="majorBidi" w:hAnsiTheme="majorBidi" w:cstheme="majorBidi"/>
          <w:i/>
          <w:iCs/>
          <w:sz w:val="20"/>
          <w:szCs w:val="20"/>
          <w:lang w:bidi="ar-EG"/>
        </w:rPr>
        <w:t>ayyuha n-nās</w:t>
      </w:r>
      <w:r w:rsidRPr="00F230F1">
        <w:rPr>
          <w:rFonts w:asciiTheme="majorBidi" w:hAnsiTheme="majorBidi" w:cstheme="majorBidi"/>
          <w:sz w:val="20"/>
          <w:szCs w:val="20"/>
          <w:lang w:bidi="ar-EG"/>
        </w:rPr>
        <w:t xml:space="preserve"> [</w:t>
      </w:r>
      <w:r w:rsidRPr="00F230F1">
        <w:rPr>
          <w:rFonts w:asciiTheme="majorBidi" w:hAnsiTheme="majorBidi" w:cstheme="majorBidi"/>
          <w:i/>
          <w:iCs/>
          <w:sz w:val="20"/>
          <w:szCs w:val="20"/>
        </w:rPr>
        <w:t>Ô hommes !</w:t>
      </w:r>
      <w:r w:rsidRPr="00F230F1">
        <w:rPr>
          <w:rFonts w:asciiTheme="majorBidi" w:hAnsiTheme="majorBidi" w:cstheme="majorBidi"/>
          <w:sz w:val="20"/>
          <w:szCs w:val="20"/>
          <w:lang w:bidi="ar-EG"/>
        </w:rPr>
        <w:t>] est mecquois, alors que tout ce qui contient l’expression</w:t>
      </w:r>
      <w:r w:rsidRPr="00F230F1">
        <w:rPr>
          <w:rFonts w:asciiTheme="majorBidi" w:hAnsiTheme="majorBidi" w:cstheme="majorBidi"/>
          <w:i/>
          <w:iCs/>
          <w:sz w:val="20"/>
          <w:szCs w:val="20"/>
          <w:lang w:bidi="ar-EG"/>
        </w:rPr>
        <w:t xml:space="preserve"> Yā</w:t>
      </w:r>
      <w:r w:rsidRPr="00F230F1">
        <w:rPr>
          <w:rFonts w:asciiTheme="majorBidi" w:hAnsiTheme="majorBidi" w:cstheme="majorBidi"/>
          <w:i/>
          <w:iCs/>
          <w:sz w:val="20"/>
          <w:szCs w:val="20"/>
        </w:rPr>
        <w:t xml:space="preserve"> </w:t>
      </w:r>
      <w:r w:rsidRPr="00F230F1">
        <w:rPr>
          <w:rFonts w:asciiTheme="majorBidi" w:hAnsiTheme="majorBidi" w:cstheme="majorBidi"/>
          <w:i/>
          <w:iCs/>
          <w:sz w:val="20"/>
          <w:szCs w:val="20"/>
          <w:lang w:bidi="ar-EG"/>
        </w:rPr>
        <w:t>ayyuha l-ladhīna āmanū</w:t>
      </w:r>
      <w:r w:rsidRPr="00F230F1">
        <w:rPr>
          <w:rFonts w:asciiTheme="majorBidi" w:hAnsiTheme="majorBidi" w:cstheme="majorBidi"/>
          <w:sz w:val="20"/>
          <w:szCs w:val="20"/>
          <w:lang w:bidi="ar-EG"/>
        </w:rPr>
        <w:t xml:space="preserve"> [</w:t>
      </w:r>
      <w:r w:rsidRPr="00F230F1">
        <w:rPr>
          <w:rFonts w:asciiTheme="majorBidi" w:hAnsiTheme="majorBidi" w:cstheme="majorBidi"/>
          <w:i/>
          <w:iCs/>
          <w:sz w:val="20"/>
          <w:szCs w:val="20"/>
        </w:rPr>
        <w:t>Ô vous qui croyez !</w:t>
      </w:r>
      <w:r w:rsidRPr="00F230F1">
        <w:rPr>
          <w:rFonts w:asciiTheme="majorBidi" w:hAnsiTheme="majorBidi" w:cstheme="majorBidi"/>
          <w:sz w:val="20"/>
          <w:szCs w:val="20"/>
          <w:lang w:bidi="ar-EG"/>
        </w:rPr>
        <w:t>]</w:t>
      </w:r>
      <w:r w:rsidRPr="00F230F1">
        <w:rPr>
          <w:rFonts w:asciiTheme="majorBidi" w:hAnsiTheme="majorBidi" w:cstheme="majorBidi"/>
          <w:sz w:val="20"/>
          <w:szCs w:val="20"/>
        </w:rPr>
        <w:t xml:space="preserve"> est médinois.</w:t>
      </w:r>
      <w:r w:rsidRPr="00F230F1">
        <w:rPr>
          <w:rFonts w:asciiTheme="majorBidi" w:eastAsia="Calibri" w:hAnsiTheme="majorBidi" w:cstheme="majorBidi"/>
          <w:sz w:val="20"/>
          <w:szCs w:val="20"/>
        </w:rPr>
        <w:t xml:space="preserve"> Voir : al-Wāḥidī an-Naysābūrī ash-shāfiʿī, Abu l-</w:t>
      </w:r>
      <w:r w:rsidRPr="00F230F1">
        <w:rPr>
          <w:rFonts w:asciiTheme="majorBidi" w:hAnsiTheme="majorBidi" w:cstheme="majorBidi"/>
          <w:sz w:val="20"/>
          <w:szCs w:val="20"/>
        </w:rPr>
        <w:t>Ḥ</w:t>
      </w:r>
      <w:r w:rsidRPr="00F230F1">
        <w:rPr>
          <w:rFonts w:asciiTheme="majorBidi" w:eastAsia="Calibri" w:hAnsiTheme="majorBidi" w:cstheme="majorBidi"/>
          <w:sz w:val="20"/>
          <w:szCs w:val="20"/>
        </w:rPr>
        <w:t xml:space="preserve">asan ʿAlī b. Aḥmad b. Muḥammad b. ʿAlī, </w:t>
      </w:r>
      <w:r w:rsidRPr="00F230F1">
        <w:rPr>
          <w:rFonts w:asciiTheme="majorBidi" w:eastAsia="Calibri" w:hAnsiTheme="majorBidi" w:cstheme="majorBidi"/>
          <w:i/>
          <w:iCs/>
          <w:sz w:val="20"/>
          <w:szCs w:val="20"/>
        </w:rPr>
        <w:t>Asbāb an-nuzūl</w:t>
      </w:r>
      <w:r w:rsidRPr="00F230F1">
        <w:rPr>
          <w:rFonts w:asciiTheme="majorBidi" w:eastAsia="Calibri" w:hAnsiTheme="majorBidi" w:cstheme="majorBidi"/>
          <w:sz w:val="20"/>
          <w:szCs w:val="20"/>
        </w:rPr>
        <w:t xml:space="preserve">, Dār al-Kutub al-ʿArabyya al-Kubrā, Égypte, 1327 H. [1909]. Voir aussi : Az-Zarkashī, </w:t>
      </w:r>
      <w:r w:rsidRPr="00F230F1">
        <w:rPr>
          <w:rFonts w:asciiTheme="majorBidi" w:eastAsia="Calibri" w:hAnsiTheme="majorBidi" w:cstheme="majorBidi"/>
          <w:i/>
          <w:iCs/>
          <w:sz w:val="20"/>
          <w:szCs w:val="20"/>
        </w:rPr>
        <w:t>Al-Burhān fī ʿulūm al-qurʾān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xml:space="preserve"> </w:t>
      </w:r>
      <w:r w:rsidRPr="00F230F1">
        <w:rPr>
          <w:rFonts w:asciiTheme="majorBidi" w:hAnsiTheme="majorBidi" w:cstheme="majorBidi"/>
          <w:sz w:val="20"/>
          <w:szCs w:val="20"/>
        </w:rPr>
        <w:t xml:space="preserve">Voir aussi : </w:t>
      </w:r>
      <w:r w:rsidRPr="00F230F1">
        <w:rPr>
          <w:rFonts w:asciiTheme="majorBidi" w:hAnsiTheme="majorBidi" w:cstheme="majorBidi"/>
          <w:i/>
          <w:iCs/>
          <w:sz w:val="20"/>
          <w:szCs w:val="20"/>
        </w:rPr>
        <w:t>Bayān al-mukhtaṣar : sharḥ mukhtaṣar</w:t>
      </w:r>
      <w:r w:rsidRPr="00F230F1">
        <w:rPr>
          <w:rFonts w:asciiTheme="majorBidi" w:eastAsia="Calibri" w:hAnsiTheme="majorBidi" w:cstheme="majorBidi"/>
          <w:i/>
          <w:iCs/>
          <w:sz w:val="20"/>
          <w:szCs w:val="20"/>
        </w:rPr>
        <w:t xml:space="preserve"> ibn al-Ḥājib</w:t>
      </w:r>
      <w:r w:rsidRPr="00F230F1">
        <w:rPr>
          <w:rFonts w:asciiTheme="majorBidi" w:eastAsia="Calibri" w:hAnsiTheme="majorBidi" w:cstheme="majorBidi"/>
          <w:sz w:val="20"/>
          <w:szCs w:val="20"/>
        </w:rPr>
        <w:t>, Abu th-Thanāʾ Maḥmūd b. ʿAbd ar-Raḥmān b. Aḥmad al-Aṣbahānī [XIV</w:t>
      </w:r>
      <w:r w:rsidRPr="00F230F1">
        <w:rPr>
          <w:rFonts w:asciiTheme="majorBidi" w:eastAsia="Calibri" w:hAnsiTheme="majorBidi" w:cstheme="majorBidi"/>
          <w:sz w:val="20"/>
          <w:szCs w:val="20"/>
          <w:vertAlign w:val="superscript"/>
        </w:rPr>
        <w:t>e</w:t>
      </w:r>
      <w:r w:rsidRPr="00F230F1">
        <w:rPr>
          <w:rFonts w:asciiTheme="majorBidi" w:eastAsia="Calibri" w:hAnsiTheme="majorBidi" w:cstheme="majorBidi"/>
          <w:sz w:val="20"/>
          <w:szCs w:val="20"/>
        </w:rPr>
        <w:t xml:space="preserve"> siècle], Dār al-Madanī, 1986, 3 tomes, chapitre « Al-ʿāmm wa-l-khāṣṣ » [l’universel et le particulier], « l’expression </w:t>
      </w:r>
      <w:r w:rsidRPr="00F230F1">
        <w:rPr>
          <w:rFonts w:asciiTheme="majorBidi" w:hAnsiTheme="majorBidi" w:cstheme="majorBidi"/>
          <w:i/>
          <w:iCs/>
          <w:sz w:val="20"/>
          <w:szCs w:val="20"/>
          <w:lang w:bidi="ar-EG"/>
        </w:rPr>
        <w:t>Yā</w:t>
      </w:r>
      <w:r w:rsidRPr="00F230F1">
        <w:rPr>
          <w:rFonts w:asciiTheme="majorBidi" w:hAnsiTheme="majorBidi" w:cstheme="majorBidi"/>
          <w:i/>
          <w:iCs/>
          <w:sz w:val="20"/>
          <w:szCs w:val="20"/>
        </w:rPr>
        <w:t xml:space="preserve"> </w:t>
      </w:r>
      <w:r w:rsidRPr="00F230F1">
        <w:rPr>
          <w:rFonts w:asciiTheme="majorBidi" w:hAnsiTheme="majorBidi" w:cstheme="majorBidi"/>
          <w:i/>
          <w:iCs/>
          <w:sz w:val="20"/>
          <w:szCs w:val="20"/>
          <w:lang w:bidi="ar-EG"/>
        </w:rPr>
        <w:t>ayyuha n-nās</w:t>
      </w:r>
      <w:r w:rsidRPr="00F230F1">
        <w:rPr>
          <w:rFonts w:asciiTheme="majorBidi" w:eastAsia="Calibri" w:hAnsiTheme="majorBidi" w:cstheme="majorBidi"/>
          <w:sz w:val="20"/>
          <w:szCs w:val="20"/>
        </w:rPr>
        <w:t xml:space="preserve"> </w:t>
      </w:r>
      <w:r w:rsidRPr="00F230F1">
        <w:rPr>
          <w:rFonts w:asciiTheme="majorBidi" w:hAnsiTheme="majorBidi" w:cstheme="majorBidi"/>
          <w:sz w:val="20"/>
          <w:szCs w:val="20"/>
          <w:lang w:bidi="ar-EG"/>
        </w:rPr>
        <w:t>[</w:t>
      </w:r>
      <w:r w:rsidRPr="00F230F1">
        <w:rPr>
          <w:rFonts w:asciiTheme="majorBidi" w:hAnsiTheme="majorBidi" w:cstheme="majorBidi"/>
          <w:i/>
          <w:iCs/>
          <w:sz w:val="20"/>
          <w:szCs w:val="20"/>
        </w:rPr>
        <w:t>Ô hommes !</w:t>
      </w:r>
      <w:r w:rsidRPr="00F230F1">
        <w:rPr>
          <w:rFonts w:asciiTheme="majorBidi" w:hAnsiTheme="majorBidi" w:cstheme="majorBidi"/>
          <w:sz w:val="20"/>
          <w:szCs w:val="20"/>
          <w:lang w:bidi="ar-EG"/>
        </w:rPr>
        <w:t>]</w:t>
      </w:r>
      <w:r w:rsidRPr="00F230F1">
        <w:rPr>
          <w:rFonts w:asciiTheme="majorBidi" w:eastAsia="Calibri" w:hAnsiTheme="majorBidi" w:cstheme="majorBidi"/>
          <w:sz w:val="20"/>
          <w:szCs w:val="20"/>
        </w:rPr>
        <w:t xml:space="preserve"> n’est pas adressée à ceux qui viennent après ».</w:t>
      </w:r>
      <w:r w:rsidRPr="00F230F1">
        <w:rPr>
          <w:rFonts w:asciiTheme="majorBidi" w:eastAsia="Calibri" w:hAnsiTheme="majorBidi" w:cstheme="majorBidi"/>
          <w:sz w:val="20"/>
          <w:szCs w:val="20"/>
          <w:lang w:bidi="ar-AE"/>
        </w:rPr>
        <w:t xml:space="preserve"> </w:t>
      </w:r>
      <w:r w:rsidRPr="00F230F1">
        <w:rPr>
          <w:rFonts w:asciiTheme="majorBidi" w:hAnsiTheme="majorBidi" w:cstheme="majorBidi"/>
          <w:sz w:val="20"/>
          <w:szCs w:val="20"/>
        </w:rPr>
        <w:t>Dans un commentaire à la traduction du 1</w:t>
      </w:r>
      <w:r w:rsidRPr="00F230F1">
        <w:rPr>
          <w:rFonts w:asciiTheme="majorBidi" w:hAnsiTheme="majorBidi" w:cstheme="majorBidi"/>
          <w:sz w:val="20"/>
          <w:szCs w:val="20"/>
          <w:vertAlign w:val="superscript"/>
        </w:rPr>
        <w:t>er</w:t>
      </w:r>
      <w:r w:rsidRPr="00F230F1">
        <w:rPr>
          <w:rFonts w:asciiTheme="majorBidi" w:hAnsiTheme="majorBidi" w:cstheme="majorBidi"/>
          <w:sz w:val="20"/>
          <w:szCs w:val="20"/>
        </w:rPr>
        <w:t xml:space="preserve"> verset de la sourate </w:t>
      </w:r>
      <w:r w:rsidRPr="00F230F1">
        <w:rPr>
          <w:rFonts w:asciiTheme="majorBidi" w:hAnsiTheme="majorBidi" w:cstheme="majorBidi"/>
          <w:i/>
          <w:iCs/>
          <w:sz w:val="20"/>
          <w:szCs w:val="20"/>
        </w:rPr>
        <w:t>Al-Ḥajj</w:t>
      </w:r>
      <w:r w:rsidRPr="00F230F1">
        <w:rPr>
          <w:rFonts w:asciiTheme="majorBidi" w:hAnsiTheme="majorBidi" w:cstheme="majorBidi"/>
          <w:sz w:val="20"/>
          <w:szCs w:val="20"/>
        </w:rPr>
        <w:t xml:space="preserve">, Albert de Biberstein Kazimirski souligne : « Presque toujours les mots </w:t>
      </w:r>
      <w:r w:rsidRPr="00F230F1">
        <w:rPr>
          <w:rFonts w:asciiTheme="majorBidi" w:hAnsiTheme="majorBidi" w:cstheme="majorBidi"/>
          <w:i/>
          <w:iCs/>
          <w:sz w:val="20"/>
          <w:szCs w:val="20"/>
        </w:rPr>
        <w:t xml:space="preserve">O hommes ! </w:t>
      </w:r>
      <w:r w:rsidRPr="00F230F1">
        <w:rPr>
          <w:rFonts w:asciiTheme="majorBidi" w:hAnsiTheme="majorBidi" w:cstheme="majorBidi"/>
          <w:sz w:val="20"/>
          <w:szCs w:val="20"/>
        </w:rPr>
        <w:t xml:space="preserve">veulent dire : </w:t>
      </w:r>
      <w:r w:rsidRPr="00F230F1">
        <w:rPr>
          <w:rFonts w:asciiTheme="majorBidi" w:hAnsiTheme="majorBidi" w:cstheme="majorBidi"/>
          <w:i/>
          <w:iCs/>
          <w:sz w:val="20"/>
          <w:szCs w:val="20"/>
        </w:rPr>
        <w:t xml:space="preserve">O Mecquois ! </w:t>
      </w:r>
      <w:r w:rsidRPr="00F230F1">
        <w:rPr>
          <w:rFonts w:asciiTheme="majorBidi" w:hAnsiTheme="majorBidi" w:cstheme="majorBidi"/>
          <w:sz w:val="20"/>
          <w:szCs w:val="20"/>
        </w:rPr>
        <w:t xml:space="preserve">ou bien </w:t>
      </w:r>
      <w:r w:rsidRPr="00F230F1">
        <w:rPr>
          <w:rFonts w:asciiTheme="majorBidi" w:hAnsiTheme="majorBidi" w:cstheme="majorBidi"/>
          <w:i/>
          <w:iCs/>
          <w:sz w:val="20"/>
          <w:szCs w:val="20"/>
        </w:rPr>
        <w:t xml:space="preserve">O vous qui m’écoutez ! </w:t>
      </w:r>
      <w:r w:rsidRPr="00F230F1">
        <w:rPr>
          <w:rFonts w:asciiTheme="majorBidi" w:hAnsiTheme="majorBidi" w:cstheme="majorBidi"/>
          <w:sz w:val="20"/>
          <w:szCs w:val="20"/>
        </w:rPr>
        <w:t>C’est une formule déclamatoire par laquelle un orateur qui harangue le peuple ou un prédicateur de la mosquée commence son discours. » (</w:t>
      </w:r>
      <w:r w:rsidRPr="00F230F1">
        <w:rPr>
          <w:rFonts w:asciiTheme="majorBidi" w:hAnsiTheme="majorBidi" w:cstheme="majorBidi"/>
          <w:i/>
          <w:iCs/>
          <w:sz w:val="20"/>
          <w:szCs w:val="20"/>
        </w:rPr>
        <w:t>Le Coran, traduit de l’arabe par Kazimirski</w:t>
      </w:r>
      <w:r w:rsidRPr="00F230F1">
        <w:rPr>
          <w:rFonts w:asciiTheme="majorBidi" w:hAnsiTheme="majorBidi" w:cstheme="majorBidi"/>
          <w:sz w:val="20"/>
          <w:szCs w:val="20"/>
        </w:rPr>
        <w:t>, chronologie et préface par Mohammed Arkoun, Garnier-Flammarion, Paris, 1970, p. 259).</w:t>
      </w:r>
    </w:p>
  </w:footnote>
  <w:footnote w:id="95">
    <w:p w14:paraId="4F743CEB" w14:textId="77777777" w:rsidR="009C3BB9" w:rsidRPr="00F230F1" w:rsidRDefault="009C3BB9" w:rsidP="00F230F1">
      <w:pPr>
        <w:contextualSpacing/>
        <w:jc w:val="both"/>
        <w:rPr>
          <w:rFonts w:asciiTheme="majorBidi" w:eastAsia="Times New Roman" w:hAnsiTheme="majorBidi" w:cstheme="majorBidi"/>
          <w:sz w:val="20"/>
          <w:szCs w:val="20"/>
          <w:lang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EG"/>
        </w:rPr>
        <w:t xml:space="preserve"> L’idée que la synonymie n’existe pas dans le Coran signifie que chaque mot est calculé selon des considérations sociolinguistiques. Ce procédé se réalise le mieux lorsque le texte est traduit. C’est le traducteur qui pèse ses mots avant de les choisir et chez qui la synonymie se trouve à un degré minime.</w:t>
      </w:r>
    </w:p>
  </w:footnote>
  <w:footnote w:id="96">
    <w:p w14:paraId="3951E886" w14:textId="77777777" w:rsidR="009C3BB9" w:rsidRPr="00F230F1" w:rsidRDefault="009C3BB9" w:rsidP="00F230F1">
      <w:pPr>
        <w:contextualSpacing/>
        <w:jc w:val="both"/>
        <w:rPr>
          <w:rFonts w:asciiTheme="majorBidi" w:hAnsiTheme="majorBidi" w:cstheme="majorBidi"/>
          <w:color w:val="FF0000"/>
          <w:sz w:val="20"/>
          <w:szCs w:val="20"/>
          <w:lang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EG"/>
        </w:rPr>
        <w:t xml:space="preserve">Muḥammad Shaḥrūr, </w:t>
      </w:r>
      <w:r w:rsidRPr="00F230F1">
        <w:rPr>
          <w:rFonts w:asciiTheme="majorBidi" w:hAnsiTheme="majorBidi" w:cstheme="majorBidi"/>
          <w:i/>
          <w:iCs/>
          <w:sz w:val="20"/>
          <w:szCs w:val="20"/>
          <w:lang w:bidi="ar-EG"/>
        </w:rPr>
        <w:t>Al-kitāb wa-l-qurʾān</w:t>
      </w:r>
      <w:r w:rsidRPr="00F230F1">
        <w:rPr>
          <w:rFonts w:asciiTheme="majorBidi" w:hAnsiTheme="majorBidi" w:cstheme="majorBidi"/>
          <w:sz w:val="20"/>
          <w:szCs w:val="20"/>
          <w:lang w:bidi="ar-EG"/>
        </w:rPr>
        <w:t xml:space="preserve"> : </w:t>
      </w:r>
      <w:r w:rsidRPr="00F230F1">
        <w:rPr>
          <w:rFonts w:asciiTheme="majorBidi" w:hAnsiTheme="majorBidi" w:cstheme="majorBidi"/>
          <w:i/>
          <w:iCs/>
          <w:sz w:val="20"/>
          <w:szCs w:val="20"/>
          <w:lang w:bidi="ar-EG"/>
        </w:rPr>
        <w:t>qirāʾa muʿāṣira</w:t>
      </w:r>
      <w:r w:rsidRPr="00F230F1">
        <w:rPr>
          <w:rFonts w:asciiTheme="majorBidi" w:hAnsiTheme="majorBidi" w:cstheme="majorBidi"/>
          <w:sz w:val="20"/>
          <w:szCs w:val="20"/>
          <w:lang w:bidi="ar-EG"/>
        </w:rPr>
        <w:t xml:space="preserve"> [</w:t>
      </w:r>
      <w:r w:rsidRPr="00F230F1">
        <w:rPr>
          <w:rFonts w:asciiTheme="majorBidi" w:hAnsiTheme="majorBidi" w:cstheme="majorBidi"/>
          <w:i/>
          <w:iCs/>
          <w:sz w:val="20"/>
          <w:szCs w:val="20"/>
          <w:lang w:bidi="ar-EG"/>
        </w:rPr>
        <w:t>Le Livre et le Coran</w:t>
      </w:r>
      <w:r w:rsidRPr="00F230F1">
        <w:rPr>
          <w:rFonts w:asciiTheme="majorBidi" w:hAnsiTheme="majorBidi" w:cstheme="majorBidi"/>
          <w:sz w:val="20"/>
          <w:szCs w:val="20"/>
          <w:lang w:bidi="ar-EG"/>
        </w:rPr>
        <w:t xml:space="preserve"> : </w:t>
      </w:r>
      <w:r w:rsidRPr="00F230F1">
        <w:rPr>
          <w:rFonts w:asciiTheme="majorBidi" w:hAnsiTheme="majorBidi" w:cstheme="majorBidi"/>
          <w:i/>
          <w:iCs/>
          <w:sz w:val="20"/>
          <w:szCs w:val="20"/>
          <w:lang w:bidi="ar-EG"/>
        </w:rPr>
        <w:t>une lecture contemporaine</w:t>
      </w:r>
      <w:r w:rsidRPr="00F230F1">
        <w:rPr>
          <w:rFonts w:asciiTheme="majorBidi" w:hAnsiTheme="majorBidi" w:cstheme="majorBidi"/>
          <w:sz w:val="20"/>
          <w:szCs w:val="20"/>
          <w:lang w:bidi="ar-EG"/>
        </w:rPr>
        <w:t xml:space="preserve">], Dār al-Ahālī, Damas, 1994, p. 51 </w:t>
      </w:r>
      <w:r w:rsidRPr="00F230F1">
        <w:rPr>
          <w:rFonts w:asciiTheme="majorBidi" w:hAnsiTheme="majorBidi" w:cstheme="majorBidi"/>
          <w:i/>
          <w:iCs/>
          <w:sz w:val="20"/>
          <w:szCs w:val="20"/>
          <w:lang w:bidi="ar-EG"/>
        </w:rPr>
        <w:t>sq</w:t>
      </w:r>
      <w:r w:rsidRPr="00F230F1">
        <w:rPr>
          <w:rFonts w:asciiTheme="majorBidi" w:hAnsiTheme="majorBidi" w:cstheme="majorBidi"/>
          <w:sz w:val="20"/>
          <w:szCs w:val="20"/>
          <w:lang w:bidi="ar-EG"/>
        </w:rPr>
        <w:t>.</w:t>
      </w:r>
    </w:p>
  </w:footnote>
  <w:footnote w:id="97">
    <w:p w14:paraId="16523EC4" w14:textId="77777777" w:rsidR="009C3BB9" w:rsidRPr="00F230F1" w:rsidRDefault="009C3BB9" w:rsidP="00F230F1">
      <w:pPr>
        <w:contextualSpacing/>
        <w:jc w:val="both"/>
        <w:rPr>
          <w:rFonts w:asciiTheme="majorBidi" w:hAnsiTheme="majorBidi" w:cstheme="majorBidi"/>
          <w:sz w:val="20"/>
          <w:szCs w:val="20"/>
          <w:lang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Fatwa n° 25002, </w:t>
      </w:r>
      <w:r w:rsidRPr="00F230F1">
        <w:rPr>
          <w:rFonts w:asciiTheme="majorBidi" w:hAnsiTheme="majorBidi" w:cstheme="majorBidi"/>
          <w:i/>
          <w:iCs/>
          <w:sz w:val="20"/>
          <w:szCs w:val="20"/>
        </w:rPr>
        <w:t>Islamweb.net</w:t>
      </w:r>
      <w:r w:rsidRPr="00F230F1">
        <w:rPr>
          <w:rFonts w:asciiTheme="majorBidi" w:hAnsiTheme="majorBidi" w:cstheme="majorBidi"/>
          <w:sz w:val="20"/>
          <w:szCs w:val="20"/>
        </w:rPr>
        <w:t>, Centre de la fatwa :</w:t>
      </w:r>
      <w:r w:rsidRPr="00F230F1">
        <w:rPr>
          <w:rFonts w:asciiTheme="majorBidi" w:hAnsiTheme="majorBidi" w:cstheme="majorBidi"/>
          <w:sz w:val="20"/>
          <w:szCs w:val="20"/>
          <w:lang w:bidi="ar-EG"/>
        </w:rPr>
        <w:t xml:space="preserve"> </w:t>
      </w:r>
      <w:hyperlink r:id="rId30" w:history="1">
        <w:r w:rsidRPr="00F230F1">
          <w:rPr>
            <w:rStyle w:val="Lienhypertexte"/>
            <w:rFonts w:asciiTheme="majorBidi" w:hAnsiTheme="majorBidi" w:cstheme="majorBidi"/>
            <w:sz w:val="20"/>
            <w:szCs w:val="20"/>
            <w:lang w:bidi="ar-EG"/>
          </w:rPr>
          <w:t>http://www.islamweb.net/fatwa/index.php?page=showfatwa&amp;Option=FatwaId&amp;Id=25002</w:t>
        </w:r>
      </w:hyperlink>
      <w:r w:rsidRPr="00F230F1">
        <w:rPr>
          <w:rStyle w:val="Lienhypertexte"/>
          <w:rFonts w:asciiTheme="majorBidi" w:hAnsiTheme="majorBidi" w:cstheme="majorBidi"/>
          <w:sz w:val="20"/>
          <w:szCs w:val="20"/>
          <w:lang w:bidi="ar-EG"/>
        </w:rPr>
        <w:t xml:space="preserve"> </w:t>
      </w:r>
      <w:r w:rsidRPr="00F230F1">
        <w:rPr>
          <w:rFonts w:asciiTheme="majorBidi" w:hAnsiTheme="majorBidi" w:cstheme="majorBidi"/>
          <w:sz w:val="20"/>
          <w:szCs w:val="20"/>
          <w:lang w:bidi="ar-EG"/>
        </w:rPr>
        <w:t>(consulté le 13/07/2017).</w:t>
      </w:r>
    </w:p>
  </w:footnote>
  <w:footnote w:id="98">
    <w:p w14:paraId="6C3E8FC3"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w:t>
      </w:r>
      <w:r w:rsidRPr="00F230F1">
        <w:rPr>
          <w:rFonts w:asciiTheme="majorBidi" w:hAnsiTheme="majorBidi" w:cstheme="majorBidi"/>
          <w:sz w:val="20"/>
          <w:szCs w:val="20"/>
        </w:rPr>
        <w:t xml:space="preserve">La </w:t>
      </w:r>
      <w:r w:rsidRPr="00F230F1">
        <w:rPr>
          <w:rFonts w:asciiTheme="majorBidi" w:hAnsiTheme="majorBidi" w:cstheme="majorBidi"/>
          <w:i/>
          <w:iCs/>
          <w:sz w:val="20"/>
          <w:szCs w:val="20"/>
        </w:rPr>
        <w:t>théorie du skopos</w:t>
      </w:r>
      <w:r w:rsidRPr="00F230F1">
        <w:rPr>
          <w:rFonts w:asciiTheme="majorBidi" w:hAnsiTheme="majorBidi" w:cstheme="majorBidi"/>
          <w:sz w:val="20"/>
          <w:szCs w:val="20"/>
        </w:rPr>
        <w:t xml:space="preserve"> est une théorie élaborée dans les années 1970 par le traductologue allemand Hans J. Vermeer. Selon cette théorie, toute traduction en tant qu’action a un but ou un objectif (</w:t>
      </w:r>
      <w:r w:rsidRPr="00F230F1">
        <w:rPr>
          <w:rFonts w:asciiTheme="majorBidi" w:hAnsiTheme="majorBidi" w:cstheme="majorBidi"/>
          <w:i/>
          <w:iCs/>
          <w:sz w:val="20"/>
          <w:szCs w:val="20"/>
        </w:rPr>
        <w:t xml:space="preserve">skopos </w:t>
      </w:r>
      <w:r w:rsidRPr="00F230F1">
        <w:rPr>
          <w:rFonts w:asciiTheme="majorBidi" w:hAnsiTheme="majorBidi" w:cstheme="majorBidi"/>
          <w:sz w:val="20"/>
          <w:szCs w:val="20"/>
        </w:rPr>
        <w:t>du</w:t>
      </w:r>
      <w:r w:rsidRPr="00F230F1">
        <w:rPr>
          <w:rFonts w:asciiTheme="majorBidi" w:hAnsiTheme="majorBidi" w:cstheme="majorBidi"/>
          <w:i/>
          <w:iCs/>
          <w:sz w:val="20"/>
          <w:szCs w:val="20"/>
        </w:rPr>
        <w:t xml:space="preserve"> translatum</w:t>
      </w:r>
      <w:r w:rsidRPr="00F230F1">
        <w:rPr>
          <w:rFonts w:asciiTheme="majorBidi" w:hAnsiTheme="majorBidi" w:cstheme="majorBidi"/>
          <w:sz w:val="20"/>
          <w:szCs w:val="20"/>
        </w:rPr>
        <w:t xml:space="preserve">) qui peut être différent de celui du texte de départ. Vermeer précise que le texte de départ et le texte d’arrivée peuvent différer considérablement l’un de l’autre, non seulement dans la formulation et la distribution du contenu, mais aussi dans leurs buts respectifs, lesquels déterminent la façon dont le contenu est arrangé. La théorie du </w:t>
      </w:r>
      <w:r w:rsidRPr="00F230F1">
        <w:rPr>
          <w:rFonts w:asciiTheme="majorBidi" w:hAnsiTheme="majorBidi" w:cstheme="majorBidi"/>
          <w:i/>
          <w:iCs/>
          <w:sz w:val="20"/>
          <w:szCs w:val="20"/>
        </w:rPr>
        <w:t>skopos</w:t>
      </w:r>
      <w:r w:rsidRPr="00F230F1">
        <w:rPr>
          <w:rFonts w:asciiTheme="majorBidi" w:hAnsiTheme="majorBidi" w:cstheme="majorBidi"/>
          <w:sz w:val="20"/>
          <w:szCs w:val="20"/>
        </w:rPr>
        <w:t xml:space="preserve"> se concentre surtout sur </w:t>
      </w:r>
      <w:r w:rsidRPr="00F230F1">
        <w:rPr>
          <w:rFonts w:asciiTheme="majorBidi" w:hAnsiTheme="majorBidi" w:cstheme="majorBidi"/>
          <w:i/>
          <w:iCs/>
          <w:sz w:val="20"/>
          <w:szCs w:val="20"/>
        </w:rPr>
        <w:t>le but de la traduction, qui détermine les méthodes de traduction et les stratégies devant être employées pour arriver à un résultat fonctionnellement adéquat.</w:t>
      </w:r>
      <w:r w:rsidRPr="00F230F1">
        <w:rPr>
          <w:rFonts w:asciiTheme="majorBidi" w:hAnsiTheme="majorBidi" w:cstheme="majorBidi"/>
          <w:sz w:val="20"/>
          <w:szCs w:val="20"/>
        </w:rPr>
        <w:t xml:space="preserve"> Dans cette perspective, le succès d’une traduction dépend de sa cohérence avec la situation des récepteurs.</w:t>
      </w:r>
    </w:p>
  </w:footnote>
  <w:footnote w:id="99">
    <w:p w14:paraId="371E0C46" w14:textId="54E9DD0E"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w:t>
      </w:r>
      <w:r w:rsidRPr="00F230F1">
        <w:rPr>
          <w:rFonts w:asciiTheme="majorBidi" w:hAnsiTheme="majorBidi" w:cstheme="majorBidi"/>
          <w:sz w:val="20"/>
          <w:szCs w:val="20"/>
        </w:rPr>
        <w:t>Le grand mystique et poète soufi Mansūr Al-Ḥallāj (X</w:t>
      </w:r>
      <w:r w:rsidRPr="00F230F1">
        <w:rPr>
          <w:rFonts w:asciiTheme="majorBidi" w:hAnsiTheme="majorBidi" w:cstheme="majorBidi"/>
          <w:sz w:val="20"/>
          <w:szCs w:val="20"/>
          <w:vertAlign w:val="superscript"/>
        </w:rPr>
        <w:t>e</w:t>
      </w:r>
      <w:r w:rsidRPr="00F230F1">
        <w:rPr>
          <w:rFonts w:asciiTheme="majorBidi" w:hAnsiTheme="majorBidi" w:cstheme="majorBidi"/>
          <w:sz w:val="20"/>
          <w:szCs w:val="20"/>
        </w:rPr>
        <w:t xml:space="preserve"> siècle) fait allusion à la réincarnation en disant : </w:t>
      </w:r>
      <w:r w:rsidRPr="00F230F1">
        <w:rPr>
          <w:rFonts w:asciiTheme="majorBidi" w:hAnsiTheme="majorBidi" w:cstheme="majorBidi"/>
          <w:i/>
          <w:iCs/>
          <w:sz w:val="20"/>
          <w:szCs w:val="20"/>
        </w:rPr>
        <w:t>“Comme l’herbe des champs, j’ai poussé maintes fois sur les berges des cours d’eau. Depuis cent mille ans, j’ai vécu, œuvré et fait des efforts dans toutes sortes de corps”</w:t>
      </w:r>
      <w:r w:rsidRPr="00F230F1">
        <w:rPr>
          <w:rFonts w:asciiTheme="majorBidi" w:hAnsiTheme="majorBidi" w:cstheme="majorBidi"/>
          <w:sz w:val="20"/>
          <w:szCs w:val="20"/>
        </w:rPr>
        <w:t>. (</w:t>
      </w:r>
      <w:r w:rsidRPr="00F230F1">
        <w:rPr>
          <w:rFonts w:asciiTheme="majorBidi" w:hAnsiTheme="majorBidi" w:cstheme="majorBidi"/>
          <w:i/>
          <w:sz w:val="20"/>
          <w:szCs w:val="20"/>
        </w:rPr>
        <w:t>Nexus</w:t>
      </w:r>
      <w:r w:rsidRPr="00F230F1">
        <w:rPr>
          <w:rFonts w:asciiTheme="majorBidi" w:hAnsiTheme="majorBidi" w:cstheme="majorBidi"/>
          <w:sz w:val="20"/>
          <w:szCs w:val="20"/>
        </w:rPr>
        <w:t xml:space="preserve">, n° 76, septembre/octobre 2011, p. 19, 21-27). À propos de la réincarnation et de la résurrection chez les druzes et les alaouites, voir : </w:t>
      </w:r>
      <w:r w:rsidRPr="00F230F1">
        <w:rPr>
          <w:rFonts w:asciiTheme="majorBidi" w:hAnsiTheme="majorBidi" w:cstheme="majorBidi"/>
          <w:b/>
          <w:bCs/>
          <w:sz w:val="20"/>
          <w:szCs w:val="20"/>
        </w:rPr>
        <w:t xml:space="preserve">1) </w:t>
      </w:r>
      <w:r w:rsidRPr="00F230F1">
        <w:rPr>
          <w:rFonts w:asciiTheme="majorBidi" w:hAnsiTheme="majorBidi" w:cstheme="majorBidi"/>
          <w:sz w:val="20"/>
          <w:szCs w:val="20"/>
          <w:lang w:bidi="ar-AE"/>
        </w:rPr>
        <w:t>Muḥammad Khalīl</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Al-Bāshā </w:t>
      </w:r>
      <w:r w:rsidRPr="00F230F1">
        <w:rPr>
          <w:rFonts w:asciiTheme="majorBidi" w:hAnsiTheme="majorBidi" w:cstheme="majorBidi"/>
          <w:sz w:val="20"/>
          <w:szCs w:val="20"/>
        </w:rPr>
        <w:t xml:space="preserve">[auteur de </w:t>
      </w:r>
      <w:r w:rsidRPr="00F230F1">
        <w:rPr>
          <w:rFonts w:asciiTheme="majorBidi" w:hAnsiTheme="majorBidi" w:cstheme="majorBidi"/>
          <w:i/>
          <w:iCs/>
          <w:sz w:val="20"/>
          <w:szCs w:val="20"/>
        </w:rPr>
        <w:t>Muʿjam Aʿlām ad-Drūz</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Dictionnaire des noms propres druzes</w:t>
      </w:r>
      <w:r w:rsidRPr="00F230F1">
        <w:rPr>
          <w:rFonts w:asciiTheme="majorBidi" w:hAnsiTheme="majorBidi" w:cstheme="majorBidi"/>
          <w:sz w:val="20"/>
          <w:szCs w:val="20"/>
        </w:rPr>
        <w:t>)]</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At-taqammuṣ wa-asrār al-ḥayāt wa-l-mawt</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La réincarnation et les secrets de la vie et de la mort</w:t>
      </w:r>
      <w:r w:rsidRPr="00F230F1">
        <w:rPr>
          <w:rFonts w:asciiTheme="majorBidi" w:hAnsiTheme="majorBidi" w:cstheme="majorBidi"/>
          <w:sz w:val="20"/>
          <w:szCs w:val="20"/>
        </w:rPr>
        <w:t xml:space="preserve">], Muʾassasat Naūfal, 1982 ; </w:t>
      </w:r>
      <w:r w:rsidRPr="00F230F1">
        <w:rPr>
          <w:rFonts w:asciiTheme="majorBidi" w:hAnsiTheme="majorBidi" w:cstheme="majorBidi"/>
          <w:b/>
          <w:bCs/>
          <w:sz w:val="20"/>
          <w:szCs w:val="20"/>
        </w:rPr>
        <w:t xml:space="preserve">2) </w:t>
      </w:r>
      <w:r w:rsidRPr="00F230F1">
        <w:rPr>
          <w:rFonts w:asciiTheme="majorBidi" w:hAnsiTheme="majorBidi" w:cstheme="majorBidi"/>
          <w:sz w:val="20"/>
          <w:szCs w:val="20"/>
        </w:rPr>
        <w:t xml:space="preserve">Muḥammad Khalīl Al-Bāshā, </w:t>
      </w:r>
      <w:r w:rsidRPr="00F230F1">
        <w:rPr>
          <w:rFonts w:asciiTheme="majorBidi" w:hAnsiTheme="majorBidi" w:cstheme="majorBidi"/>
          <w:i/>
          <w:iCs/>
          <w:sz w:val="20"/>
          <w:szCs w:val="20"/>
        </w:rPr>
        <w:t>Al-insān wa-taqallubātu-hu fi l-āfāq</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L’être humain et ses mutabilités dans les horizons</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les lieux</w:t>
      </w:r>
      <w:r w:rsidRPr="00F230F1">
        <w:rPr>
          <w:rFonts w:asciiTheme="majorBidi" w:hAnsiTheme="majorBidi" w:cstheme="majorBidi"/>
          <w:sz w:val="20"/>
          <w:szCs w:val="20"/>
        </w:rPr>
        <w:t xml:space="preserve">]], Dār Nawfal, Beyrouth, 1994 ; </w:t>
      </w:r>
      <w:r w:rsidRPr="00F230F1">
        <w:rPr>
          <w:rFonts w:asciiTheme="majorBidi" w:hAnsiTheme="majorBidi" w:cstheme="majorBidi"/>
          <w:b/>
          <w:bCs/>
          <w:sz w:val="20"/>
          <w:szCs w:val="20"/>
        </w:rPr>
        <w:t xml:space="preserve">3) </w:t>
      </w:r>
      <w:r w:rsidRPr="00F230F1">
        <w:rPr>
          <w:rFonts w:asciiTheme="majorBidi" w:hAnsiTheme="majorBidi" w:cstheme="majorBidi"/>
          <w:sz w:val="20"/>
          <w:szCs w:val="20"/>
        </w:rPr>
        <w:t xml:space="preserve">Sāmī Nasīb Makārim, </w:t>
      </w:r>
      <w:r w:rsidRPr="00F230F1">
        <w:rPr>
          <w:rFonts w:asciiTheme="majorBidi" w:hAnsiTheme="majorBidi" w:cstheme="majorBidi"/>
          <w:i/>
          <w:iCs/>
          <w:sz w:val="20"/>
          <w:szCs w:val="20"/>
        </w:rPr>
        <w:t>Maslak at-Tawḥid</w:t>
      </w:r>
      <w:r w:rsidRPr="00F230F1">
        <w:rPr>
          <w:rFonts w:asciiTheme="majorBidi" w:hAnsiTheme="majorBidi" w:cstheme="majorBidi"/>
          <w:sz w:val="20"/>
          <w:szCs w:val="20"/>
        </w:rPr>
        <w:t xml:space="preserve">, Beyrouth, 1980 ; </w:t>
      </w:r>
      <w:r w:rsidRPr="00F230F1">
        <w:rPr>
          <w:rFonts w:asciiTheme="majorBidi" w:hAnsiTheme="majorBidi" w:cstheme="majorBidi"/>
          <w:b/>
          <w:bCs/>
          <w:sz w:val="20"/>
          <w:szCs w:val="20"/>
        </w:rPr>
        <w:t xml:space="preserve">4) </w:t>
      </w:r>
      <w:r w:rsidRPr="00F230F1">
        <w:rPr>
          <w:rFonts w:asciiTheme="majorBidi" w:hAnsiTheme="majorBidi" w:cstheme="majorBidi"/>
          <w:sz w:val="20"/>
          <w:szCs w:val="20"/>
        </w:rPr>
        <w:t xml:space="preserve">Anwar Fuʾād Abū Khzām, </w:t>
      </w:r>
      <w:r w:rsidRPr="00F230F1">
        <w:rPr>
          <w:rFonts w:asciiTheme="majorBidi" w:hAnsiTheme="majorBidi" w:cstheme="majorBidi"/>
          <w:i/>
          <w:iCs/>
          <w:sz w:val="20"/>
          <w:szCs w:val="20"/>
        </w:rPr>
        <w:t>ʾIslām al-Muwaḥḥidīn. al-Madhhab ad-Durzī fī wāqiʿi-hi al-islāmī wa-l-falsafī wa-t-tashrīʿī</w:t>
      </w:r>
      <w:r w:rsidRPr="00F230F1">
        <w:rPr>
          <w:rFonts w:asciiTheme="majorBidi" w:hAnsiTheme="majorBidi" w:cstheme="majorBidi"/>
          <w:sz w:val="20"/>
          <w:szCs w:val="20"/>
        </w:rPr>
        <w:t xml:space="preserve">, Dār al-Yamāma, Beyrouth, 1995 ; </w:t>
      </w:r>
      <w:r w:rsidRPr="00F230F1">
        <w:rPr>
          <w:rFonts w:asciiTheme="majorBidi" w:hAnsiTheme="majorBidi" w:cstheme="majorBidi"/>
          <w:b/>
          <w:bCs/>
          <w:sz w:val="20"/>
          <w:szCs w:val="20"/>
        </w:rPr>
        <w:t xml:space="preserve">5) </w:t>
      </w:r>
      <w:r w:rsidRPr="00F230F1">
        <w:rPr>
          <w:rFonts w:asciiTheme="majorBidi" w:eastAsia="Calibri" w:hAnsiTheme="majorBidi" w:cstheme="majorBidi"/>
          <w:sz w:val="20"/>
          <w:szCs w:val="20"/>
          <w:lang w:bidi="ar-AE"/>
        </w:rPr>
        <w:t xml:space="preserve">Amīn Ṭalīʿ, </w:t>
      </w:r>
      <w:r w:rsidRPr="00F230F1">
        <w:rPr>
          <w:rFonts w:asciiTheme="majorBidi" w:eastAsia="Calibri" w:hAnsiTheme="majorBidi" w:cstheme="majorBidi"/>
          <w:i/>
          <w:iCs/>
          <w:sz w:val="20"/>
          <w:szCs w:val="20"/>
          <w:lang w:bidi="ar-AE"/>
        </w:rPr>
        <w:t>At-taqammus</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La réincarnation</w:t>
      </w:r>
      <w:r w:rsidRPr="00F230F1">
        <w:rPr>
          <w:rFonts w:asciiTheme="majorBidi" w:eastAsia="Calibri" w:hAnsiTheme="majorBidi" w:cstheme="majorBidi"/>
          <w:sz w:val="20"/>
          <w:szCs w:val="20"/>
          <w:lang w:bidi="ar-AE"/>
        </w:rPr>
        <w:t>], Éditions</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ʿUwaydāt, coll. Zid-nī ʿilman, Beyrouth, 1980 </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 xml:space="preserve">6) </w:t>
      </w:r>
      <w:r w:rsidRPr="00F230F1">
        <w:rPr>
          <w:rFonts w:asciiTheme="majorBidi" w:eastAsia="Calibri" w:hAnsiTheme="majorBidi" w:cstheme="majorBidi"/>
          <w:sz w:val="20"/>
          <w:szCs w:val="20"/>
          <w:lang w:bidi="ar-AE"/>
        </w:rPr>
        <w:t xml:space="preserve">Muḥammad Rawwās Qalʿajī &amp; Ḥāmed Ṣādiq Qanībī, </w:t>
      </w:r>
      <w:r w:rsidRPr="00F230F1">
        <w:rPr>
          <w:rFonts w:asciiTheme="majorBidi" w:eastAsia="Calibri" w:hAnsiTheme="majorBidi" w:cstheme="majorBidi"/>
          <w:i/>
          <w:iCs/>
          <w:sz w:val="20"/>
          <w:szCs w:val="20"/>
          <w:lang w:bidi="ar-AE"/>
        </w:rPr>
        <w:t>Glossaire des faqīh</w:t>
      </w:r>
      <w:r w:rsidRPr="00F230F1">
        <w:rPr>
          <w:rFonts w:asciiTheme="majorBidi" w:eastAsia="Calibri" w:hAnsiTheme="majorBidi" w:cstheme="majorBidi"/>
          <w:sz w:val="20"/>
          <w:szCs w:val="20"/>
          <w:lang w:bidi="ar-AE"/>
        </w:rPr>
        <w:t xml:space="preserve">. Dār an-Nafāʾis, Beyrouth, 1985 et 1988 ; </w:t>
      </w:r>
      <w:r w:rsidRPr="00F230F1">
        <w:rPr>
          <w:rFonts w:asciiTheme="majorBidi" w:hAnsiTheme="majorBidi" w:cstheme="majorBidi"/>
          <w:b/>
          <w:bCs/>
          <w:sz w:val="20"/>
          <w:szCs w:val="20"/>
        </w:rPr>
        <w:t xml:space="preserve">7) </w:t>
      </w:r>
      <w:r w:rsidRPr="00F230F1">
        <w:rPr>
          <w:rFonts w:asciiTheme="majorBidi" w:hAnsiTheme="majorBidi" w:cstheme="majorBidi"/>
          <w:sz w:val="20"/>
          <w:szCs w:val="20"/>
          <w:lang w:bidi="ar-AE"/>
        </w:rPr>
        <w:t xml:space="preserve">Abū Mūsā al-Ḥarīrī [Joseph Azzi], </w:t>
      </w:r>
      <w:r w:rsidRPr="00F230F1">
        <w:rPr>
          <w:rFonts w:asciiTheme="majorBidi" w:hAnsiTheme="majorBidi" w:cstheme="majorBidi"/>
          <w:i/>
          <w:iCs/>
          <w:sz w:val="20"/>
          <w:szCs w:val="20"/>
          <w:lang w:bidi="ar-AE"/>
        </w:rPr>
        <w:t>Al-ʿAlawyīūn an-nuṣayryīūn. Baḥth fī al-ʿaqīda wa-at-tārīkh</w:t>
      </w:r>
      <w:r w:rsidRPr="00F230F1">
        <w:rPr>
          <w:rFonts w:asciiTheme="majorBidi" w:hAnsiTheme="majorBidi" w:cstheme="majorBidi"/>
          <w:sz w:val="20"/>
          <w:szCs w:val="20"/>
          <w:lang w:bidi="ar-AE"/>
        </w:rPr>
        <w:t>, série:</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lang w:bidi="ar-AE"/>
        </w:rPr>
        <w:t>Al-ḥaqīqa aṣ-ṣaʿba</w:t>
      </w:r>
      <w:r w:rsidRPr="00F230F1">
        <w:rPr>
          <w:rFonts w:asciiTheme="majorBidi" w:hAnsiTheme="majorBidi" w:cstheme="majorBidi"/>
          <w:sz w:val="20"/>
          <w:szCs w:val="20"/>
          <w:lang w:bidi="ar-AE"/>
        </w:rPr>
        <w:t>, 2</w:t>
      </w:r>
      <w:r w:rsidRPr="00F230F1">
        <w:rPr>
          <w:rFonts w:asciiTheme="majorBidi" w:hAnsiTheme="majorBidi" w:cstheme="majorBidi"/>
          <w:sz w:val="20"/>
          <w:szCs w:val="20"/>
          <w:vertAlign w:val="superscript"/>
          <w:lang w:bidi="ar-AE"/>
        </w:rPr>
        <w:t>ème</w:t>
      </w:r>
      <w:r w:rsidRPr="00F230F1">
        <w:rPr>
          <w:rFonts w:asciiTheme="majorBidi" w:hAnsiTheme="majorBidi" w:cstheme="majorBidi"/>
          <w:sz w:val="20"/>
          <w:szCs w:val="20"/>
          <w:lang w:bidi="ar-AE"/>
        </w:rPr>
        <w:t xml:space="preserve"> éd., Beyrouth, 1984 </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 xml:space="preserve">8) </w:t>
      </w:r>
      <w:r w:rsidRPr="00F230F1">
        <w:rPr>
          <w:rFonts w:asciiTheme="majorBidi" w:hAnsiTheme="majorBidi" w:cstheme="majorBidi"/>
          <w:sz w:val="20"/>
          <w:szCs w:val="20"/>
          <w:lang w:bidi="ar-AE"/>
        </w:rPr>
        <w:t xml:space="preserve">Hāshim ʿUthmān, </w:t>
      </w:r>
      <w:r w:rsidRPr="00F230F1">
        <w:rPr>
          <w:rFonts w:asciiTheme="majorBidi" w:hAnsiTheme="majorBidi" w:cstheme="majorBidi"/>
          <w:i/>
          <w:iCs/>
          <w:sz w:val="20"/>
          <w:szCs w:val="20"/>
          <w:lang w:bidi="ar-AE"/>
        </w:rPr>
        <w:t>al-ʿAlawyīūn bayn al-usṭūra wa-l-ḥaqīqa</w:t>
      </w:r>
      <w:r w:rsidRPr="00F230F1">
        <w:rPr>
          <w:rFonts w:asciiTheme="majorBidi" w:hAnsiTheme="majorBidi" w:cstheme="majorBidi"/>
          <w:sz w:val="20"/>
          <w:szCs w:val="20"/>
          <w:lang w:bidi="ar-AE"/>
        </w:rPr>
        <w:t>, Muʾassasat al-Aʿlamī, Beyrouth, 2</w:t>
      </w:r>
      <w:r w:rsidRPr="00F230F1">
        <w:rPr>
          <w:rFonts w:asciiTheme="majorBidi" w:hAnsiTheme="majorBidi" w:cstheme="majorBidi"/>
          <w:sz w:val="20"/>
          <w:szCs w:val="20"/>
          <w:vertAlign w:val="superscript"/>
          <w:lang w:bidi="ar-AE"/>
        </w:rPr>
        <w:t>e</w:t>
      </w:r>
      <w:r w:rsidRPr="00F230F1">
        <w:rPr>
          <w:rFonts w:asciiTheme="majorBidi" w:hAnsiTheme="majorBidi" w:cstheme="majorBidi"/>
          <w:sz w:val="20"/>
          <w:szCs w:val="20"/>
          <w:lang w:bidi="ar-AE"/>
        </w:rPr>
        <w:t xml:space="preserve"> éd., 1985 </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 xml:space="preserve">9) </w:t>
      </w:r>
      <w:r w:rsidRPr="00F230F1">
        <w:rPr>
          <w:rFonts w:asciiTheme="majorBidi" w:hAnsiTheme="majorBidi" w:cstheme="majorBidi"/>
          <w:sz w:val="20"/>
          <w:szCs w:val="20"/>
          <w:lang w:bidi="ar-AE"/>
        </w:rPr>
        <w:t xml:space="preserve">ʿAbd ar-Raḥmān Badawī, </w:t>
      </w:r>
      <w:r w:rsidRPr="00F230F1">
        <w:rPr>
          <w:rFonts w:asciiTheme="majorBidi" w:hAnsiTheme="majorBidi" w:cstheme="majorBidi"/>
          <w:i/>
          <w:iCs/>
          <w:sz w:val="20"/>
          <w:szCs w:val="20"/>
          <w:lang w:bidi="ar-AE"/>
        </w:rPr>
        <w:t>an-Nuṣayrīya</w:t>
      </w:r>
      <w:r w:rsidRPr="00F230F1">
        <w:rPr>
          <w:rFonts w:asciiTheme="majorBidi" w:hAnsiTheme="majorBidi" w:cstheme="majorBidi"/>
          <w:sz w:val="20"/>
          <w:szCs w:val="20"/>
          <w:lang w:bidi="ar-AE"/>
        </w:rPr>
        <w:t>, Beyrouth, 1973 </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 xml:space="preserve">10) </w:t>
      </w:r>
      <w:r w:rsidRPr="00F230F1">
        <w:rPr>
          <w:rFonts w:asciiTheme="majorBidi" w:eastAsia="Calibri" w:hAnsiTheme="majorBidi" w:cstheme="majorBidi"/>
          <w:sz w:val="20"/>
          <w:szCs w:val="20"/>
          <w:lang w:bidi="ar-AE"/>
        </w:rPr>
        <w:t xml:space="preserve">Abū l-Fatḥ Muḥammad b. ʿAbd al-Karīm Ash-Shahrastānī, </w:t>
      </w:r>
      <w:r w:rsidRPr="00F230F1">
        <w:rPr>
          <w:rFonts w:asciiTheme="majorBidi" w:eastAsia="Calibri" w:hAnsiTheme="majorBidi" w:cstheme="majorBidi"/>
          <w:i/>
          <w:iCs/>
          <w:sz w:val="20"/>
          <w:szCs w:val="20"/>
          <w:lang w:bidi="ar-AE"/>
        </w:rPr>
        <w:t>Kitāb Al-Milal wa-an-Niḥal</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Livre des religions et des sectes</w:t>
      </w:r>
      <w:r w:rsidRPr="00F230F1">
        <w:rPr>
          <w:rFonts w:asciiTheme="majorBidi" w:eastAsia="Calibri" w:hAnsiTheme="majorBidi" w:cstheme="majorBidi"/>
          <w:sz w:val="20"/>
          <w:szCs w:val="20"/>
          <w:lang w:bidi="ar-AE"/>
        </w:rPr>
        <w:t>], Dār al-Kutub al-ʿilmiyya, Beyrouth, 2</w:t>
      </w:r>
      <w:r w:rsidRPr="00F230F1">
        <w:rPr>
          <w:rFonts w:asciiTheme="majorBidi" w:eastAsia="Calibri" w:hAnsiTheme="majorBidi" w:cstheme="majorBidi"/>
          <w:sz w:val="20"/>
          <w:szCs w:val="20"/>
          <w:vertAlign w:val="superscript"/>
          <w:lang w:bidi="ar-AE"/>
        </w:rPr>
        <w:t>e</w:t>
      </w:r>
      <w:r w:rsidRPr="00F230F1">
        <w:rPr>
          <w:rFonts w:asciiTheme="majorBidi" w:eastAsia="Calibri" w:hAnsiTheme="majorBidi" w:cstheme="majorBidi"/>
          <w:sz w:val="20"/>
          <w:szCs w:val="20"/>
          <w:lang w:bidi="ar-AE"/>
        </w:rPr>
        <w:t xml:space="preserve"> éd., pp. 203, 204, 214 et 215 (sur la métempsychose et la notion de la résurrection chez les ésotéristes) </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 xml:space="preserve">11) </w:t>
      </w:r>
      <w:r w:rsidRPr="00F230F1">
        <w:rPr>
          <w:rFonts w:asciiTheme="majorBidi" w:eastAsia="Calibri" w:hAnsiTheme="majorBidi" w:cstheme="majorBidi"/>
          <w:sz w:val="20"/>
          <w:szCs w:val="20"/>
          <w:lang w:bidi="ar-AE"/>
        </w:rPr>
        <w:t xml:space="preserve">Taqī ad-Dīn b. Taymīya, </w:t>
      </w:r>
      <w:r w:rsidRPr="00F230F1">
        <w:rPr>
          <w:rFonts w:asciiTheme="majorBidi" w:eastAsia="Calibri" w:hAnsiTheme="majorBidi" w:cstheme="majorBidi"/>
          <w:i/>
          <w:iCs/>
          <w:sz w:val="20"/>
          <w:szCs w:val="20"/>
          <w:lang w:bidi="ar-AE"/>
        </w:rPr>
        <w:t>Majmūʿ fatāwā Ibn Taymiyya</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op. cit.</w:t>
      </w:r>
      <w:r w:rsidRPr="00F230F1">
        <w:rPr>
          <w:rFonts w:asciiTheme="majorBidi" w:eastAsia="Calibri" w:hAnsiTheme="majorBidi" w:cstheme="majorBidi"/>
          <w:sz w:val="20"/>
          <w:szCs w:val="20"/>
          <w:lang w:bidi="ar-AE"/>
        </w:rPr>
        <w:t xml:space="preserve"> (sur la métempsycose et la dénégation de la résurrection, voir t. 35, p. 145 et 146</w:t>
      </w:r>
      <w:r w:rsidRPr="00F230F1">
        <w:rPr>
          <w:rFonts w:asciiTheme="majorBidi" w:hAnsiTheme="majorBidi" w:cstheme="majorBidi"/>
          <w:sz w:val="20"/>
          <w:szCs w:val="20"/>
        </w:rPr>
        <w:t xml:space="preserve">) ; </w:t>
      </w:r>
      <w:r w:rsidRPr="00F230F1">
        <w:rPr>
          <w:rFonts w:asciiTheme="majorBidi" w:hAnsiTheme="majorBidi" w:cstheme="majorBidi"/>
          <w:b/>
          <w:bCs/>
          <w:sz w:val="20"/>
          <w:szCs w:val="20"/>
        </w:rPr>
        <w:t xml:space="preserve">12) </w:t>
      </w:r>
      <w:r w:rsidRPr="00F230F1">
        <w:rPr>
          <w:rFonts w:asciiTheme="majorBidi" w:hAnsiTheme="majorBidi" w:cstheme="majorBidi"/>
          <w:sz w:val="20"/>
          <w:szCs w:val="20"/>
        </w:rPr>
        <w:t xml:space="preserve">Sites druzes : </w:t>
      </w:r>
      <w:hyperlink r:id="rId31" w:history="1">
        <w:r w:rsidRPr="00F230F1">
          <w:rPr>
            <w:rStyle w:val="Lienhypertexte"/>
            <w:rFonts w:asciiTheme="majorBidi" w:hAnsiTheme="majorBidi" w:cstheme="majorBidi"/>
            <w:sz w:val="20"/>
            <w:szCs w:val="20"/>
          </w:rPr>
          <w:t>http://www.druzenet.net/dn-a-abnanour.html</w:t>
        </w:r>
      </w:hyperlink>
      <w:r w:rsidRPr="00F230F1">
        <w:rPr>
          <w:rFonts w:asciiTheme="majorBidi" w:hAnsiTheme="majorBidi" w:cstheme="majorBidi"/>
          <w:sz w:val="20"/>
          <w:szCs w:val="20"/>
        </w:rPr>
        <w:t xml:space="preserve"> ; </w:t>
      </w:r>
      <w:hyperlink r:id="rId32" w:history="1">
        <w:r w:rsidRPr="00F230F1">
          <w:rPr>
            <w:rStyle w:val="Lienhypertexte"/>
            <w:rFonts w:asciiTheme="majorBidi" w:hAnsiTheme="majorBidi" w:cstheme="majorBidi"/>
            <w:sz w:val="20"/>
            <w:szCs w:val="20"/>
          </w:rPr>
          <w:t>http://www.al-amama.com/index.php?option=com_content&amp;task=view&amp;id=633</w:t>
        </w:r>
      </w:hyperlink>
      <w:r w:rsidRPr="00F230F1">
        <w:rPr>
          <w:rFonts w:asciiTheme="majorBidi" w:hAnsiTheme="majorBidi" w:cstheme="majorBidi"/>
          <w:sz w:val="20"/>
          <w:szCs w:val="20"/>
        </w:rPr>
        <w:t xml:space="preserve"> (sites consultés le 13/07/2017).</w:t>
      </w:r>
    </w:p>
  </w:footnote>
  <w:footnote w:id="100">
    <w:p w14:paraId="16C9AA94"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L’archéologue copte Sarwat Anis Al-Assiouty a fait une étude importante dans ce domaine. Al-Assiouty, Sarwat Anis, </w:t>
      </w:r>
      <w:r w:rsidRPr="00F230F1">
        <w:rPr>
          <w:rFonts w:asciiTheme="majorBidi" w:hAnsiTheme="majorBidi" w:cstheme="majorBidi"/>
          <w:i/>
          <w:iCs/>
          <w:sz w:val="20"/>
          <w:szCs w:val="20"/>
        </w:rPr>
        <w:t>Civilisations de répression et forgeurs de livres sacrés</w:t>
      </w:r>
      <w:r w:rsidRPr="00F230F1">
        <w:rPr>
          <w:rFonts w:asciiTheme="majorBidi" w:hAnsiTheme="majorBidi" w:cstheme="majorBidi"/>
          <w:sz w:val="20"/>
          <w:szCs w:val="20"/>
        </w:rPr>
        <w:t>, Éditions Letouzey et Ané, Paris 1995.</w:t>
      </w:r>
    </w:p>
  </w:footnote>
  <w:footnote w:id="101">
    <w:p w14:paraId="1A355BC9" w14:textId="669A5A7C" w:rsidR="009C3BB9" w:rsidRPr="00F230F1" w:rsidRDefault="009C3BB9" w:rsidP="00F230F1">
      <w:pPr>
        <w:contextualSpacing/>
        <w:jc w:val="both"/>
        <w:rPr>
          <w:rFonts w:asciiTheme="majorBidi" w:eastAsia="Calibri" w:hAnsiTheme="majorBidi" w:cstheme="majorBidi"/>
          <w:sz w:val="20"/>
          <w:szCs w:val="20"/>
          <w:lang w:eastAsia="en-US"/>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eastAsia="en-US"/>
        </w:rPr>
        <w:t xml:space="preserve">Miramolin : Nom par lequel les écrivains du moyen âge désignent le calife et autres souverains musulmans. </w:t>
      </w:r>
      <w:hyperlink r:id="rId33" w:history="1">
        <w:r w:rsidRPr="00F230F1">
          <w:rPr>
            <w:rStyle w:val="Lienhypertexte"/>
            <w:rFonts w:asciiTheme="majorBidi" w:eastAsia="Calibri" w:hAnsiTheme="majorBidi" w:cstheme="majorBidi"/>
            <w:sz w:val="20"/>
            <w:szCs w:val="20"/>
            <w:lang w:eastAsia="en-US"/>
          </w:rPr>
          <w:t>https://www.littre.org/definition/miramolin</w:t>
        </w:r>
      </w:hyperlink>
      <w:r w:rsidRPr="00F230F1">
        <w:rPr>
          <w:rFonts w:asciiTheme="majorBidi" w:eastAsia="Calibri" w:hAnsiTheme="majorBidi" w:cstheme="majorBidi"/>
          <w:sz w:val="20"/>
          <w:szCs w:val="20"/>
          <w:lang w:eastAsia="en-US"/>
        </w:rPr>
        <w:t xml:space="preserve"> ; </w:t>
      </w:r>
      <w:hyperlink r:id="rId34" w:history="1">
        <w:r w:rsidRPr="00F230F1">
          <w:rPr>
            <w:rStyle w:val="Lienhypertexte"/>
            <w:rFonts w:asciiTheme="majorBidi" w:eastAsia="Calibri" w:hAnsiTheme="majorBidi" w:cstheme="majorBidi"/>
            <w:sz w:val="20"/>
            <w:szCs w:val="20"/>
            <w:lang w:eastAsia="en-US"/>
          </w:rPr>
          <w:t>http://littre.fracademic.com/43932/miramolin</w:t>
        </w:r>
      </w:hyperlink>
      <w:r w:rsidRPr="00F230F1">
        <w:rPr>
          <w:rFonts w:asciiTheme="majorBidi" w:eastAsia="Calibri" w:hAnsiTheme="majorBidi" w:cstheme="majorBidi"/>
          <w:sz w:val="20"/>
          <w:szCs w:val="20"/>
          <w:lang w:eastAsia="en-US"/>
        </w:rPr>
        <w:t xml:space="preserve"> ; </w:t>
      </w:r>
      <w:hyperlink r:id="rId35" w:history="1">
        <w:r w:rsidRPr="00F230F1">
          <w:rPr>
            <w:rStyle w:val="Lienhypertexte"/>
            <w:rFonts w:asciiTheme="majorBidi" w:eastAsia="Calibri" w:hAnsiTheme="majorBidi" w:cstheme="majorBidi"/>
            <w:sz w:val="20"/>
            <w:szCs w:val="20"/>
            <w:lang w:eastAsia="en-US"/>
          </w:rPr>
          <w:t>https://fr.wiktionary.org/wiki/miramolin</w:t>
        </w:r>
      </w:hyperlink>
      <w:r w:rsidRPr="00F230F1">
        <w:rPr>
          <w:rFonts w:asciiTheme="majorBidi" w:eastAsia="Calibri" w:hAnsiTheme="majorBidi" w:cstheme="majorBidi"/>
          <w:sz w:val="20"/>
          <w:szCs w:val="20"/>
          <w:lang w:eastAsia="en-US"/>
        </w:rPr>
        <w:t xml:space="preserve"> (consultés le 29/08/2017).</w:t>
      </w:r>
    </w:p>
  </w:footnote>
  <w:footnote w:id="102">
    <w:p w14:paraId="451F43BC"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Amīn Shaykhū, </w:t>
      </w:r>
      <w:r w:rsidRPr="00F230F1">
        <w:rPr>
          <w:rFonts w:asciiTheme="majorBidi" w:hAnsiTheme="majorBidi" w:cstheme="majorBidi"/>
          <w:i/>
          <w:iCs/>
          <w:sz w:val="20"/>
          <w:szCs w:val="20"/>
        </w:rPr>
        <w:t>Taʾwīl al-Qurʾān al-ʿaẓīm. ʾAnwār at-tanzīl wa-ḥaqāʾiq at-taʾwīl</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L’interprétation du sublime Coran. Les lumières de la révélation et les vérités de l’interprétation</w:t>
      </w:r>
      <w:r w:rsidRPr="00F230F1">
        <w:rPr>
          <w:rFonts w:asciiTheme="majorBidi" w:hAnsiTheme="majorBidi" w:cstheme="majorBidi"/>
          <w:sz w:val="20"/>
          <w:szCs w:val="20"/>
        </w:rPr>
        <w:t xml:space="preserve">], révisé par : ʿAbd al-Qādir Yaḥyā ad-Dīrānī, Dār Nūr al-Bachīr, Damas, Syrie, 1997, tome 4, p. 199 (verset 15 de la sourate </w:t>
      </w:r>
      <w:r w:rsidRPr="00F230F1">
        <w:rPr>
          <w:rFonts w:asciiTheme="majorBidi" w:hAnsiTheme="majorBidi" w:cstheme="majorBidi"/>
          <w:i/>
          <w:iCs/>
          <w:sz w:val="20"/>
          <w:szCs w:val="20"/>
        </w:rPr>
        <w:t>Al- Ḥajj</w:t>
      </w:r>
      <w:r w:rsidRPr="00F230F1">
        <w:rPr>
          <w:rFonts w:asciiTheme="majorBidi" w:hAnsiTheme="majorBidi" w:cstheme="majorBidi"/>
          <w:sz w:val="20"/>
          <w:szCs w:val="20"/>
        </w:rPr>
        <w:t xml:space="preserve">). Cf. : Le site web de Muḥammad Amīn Shaykhū : </w:t>
      </w:r>
      <w:hyperlink r:id="rId36" w:history="1">
        <w:r w:rsidRPr="00F230F1">
          <w:rPr>
            <w:rStyle w:val="Lienhypertexte"/>
            <w:rFonts w:asciiTheme="majorBidi" w:hAnsiTheme="majorBidi" w:cstheme="majorBidi"/>
            <w:sz w:val="20"/>
            <w:szCs w:val="20"/>
          </w:rPr>
          <w:t>http://rchss.com/ar/</w:t>
        </w:r>
      </w:hyperlink>
      <w:r w:rsidRPr="00F230F1">
        <w:rPr>
          <w:rFonts w:asciiTheme="majorBidi" w:hAnsiTheme="majorBidi" w:cstheme="majorBidi"/>
          <w:sz w:val="20"/>
          <w:szCs w:val="20"/>
        </w:rPr>
        <w:t xml:space="preserve"> (consulté le 13/07/2017).</w:t>
      </w:r>
    </w:p>
  </w:footnote>
  <w:footnote w:id="103">
    <w:p w14:paraId="5B764C6D"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L’Encyclopédie An-Nābulsī : </w:t>
      </w:r>
      <w:hyperlink r:id="rId37" w:history="1">
        <w:r w:rsidRPr="00F230F1">
          <w:rPr>
            <w:rStyle w:val="Lienhypertexte"/>
            <w:rFonts w:asciiTheme="majorBidi" w:hAnsiTheme="majorBidi" w:cstheme="majorBidi"/>
            <w:sz w:val="20"/>
            <w:szCs w:val="20"/>
          </w:rPr>
          <w:t>http://www.nabulsi.com/blue/ar/art.php?art=11001</w:t>
        </w:r>
      </w:hyperlink>
      <w:r w:rsidRPr="00F230F1">
        <w:rPr>
          <w:rFonts w:asciiTheme="majorBidi" w:hAnsiTheme="majorBidi" w:cstheme="majorBidi"/>
          <w:sz w:val="20"/>
          <w:szCs w:val="20"/>
        </w:rPr>
        <w:t xml:space="preserve"> (consulté le 13/07/2017).</w:t>
      </w:r>
    </w:p>
  </w:footnote>
  <w:footnote w:id="104">
    <w:p w14:paraId="645ED639"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David Bellos,</w:t>
      </w:r>
      <w:r w:rsidRPr="00F230F1">
        <w:rPr>
          <w:rFonts w:asciiTheme="majorBidi" w:hAnsiTheme="majorBidi" w:cstheme="majorBidi"/>
          <w:i/>
          <w:iCs/>
          <w:sz w:val="20"/>
          <w:szCs w:val="20"/>
        </w:rPr>
        <w:t xml:space="preserve"> Le poisson et le bananier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p. 79</w:t>
      </w:r>
      <w:r w:rsidRPr="00F230F1">
        <w:rPr>
          <w:rFonts w:asciiTheme="majorBidi" w:hAnsiTheme="majorBidi" w:cstheme="majorBidi"/>
          <w:sz w:val="20"/>
          <w:szCs w:val="20"/>
        </w:rPr>
        <w:t>.</w:t>
      </w:r>
    </w:p>
  </w:footnote>
  <w:footnote w:id="105">
    <w:p w14:paraId="254D46BD" w14:textId="2589897C"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Selon al-Qurṭubī (1214-1273), dans son exégèse (tome 9, p. 259, Dār al-kutub al-miṣriyya, le Caire, 1964), ʿAbd Allāh b. ʿAbbās a interprété </w:t>
      </w:r>
      <w:r w:rsidRPr="00F230F1">
        <w:rPr>
          <w:rFonts w:asciiTheme="majorBidi" w:hAnsiTheme="majorBidi" w:cstheme="majorBidi"/>
          <w:i/>
          <w:iCs/>
          <w:sz w:val="20"/>
          <w:szCs w:val="20"/>
        </w:rPr>
        <w:t xml:space="preserve">māʾ </w:t>
      </w:r>
      <w:r w:rsidRPr="00F230F1">
        <w:rPr>
          <w:rFonts w:asciiTheme="majorBidi" w:hAnsiTheme="majorBidi" w:cstheme="majorBidi"/>
          <w:sz w:val="20"/>
          <w:szCs w:val="20"/>
        </w:rPr>
        <w:t>[eau] par</w:t>
      </w:r>
      <w:r w:rsidRPr="00F230F1">
        <w:rPr>
          <w:rFonts w:asciiTheme="majorBidi" w:hAnsiTheme="majorBidi" w:cstheme="majorBidi"/>
          <w:sz w:val="20"/>
          <w:szCs w:val="20"/>
          <w:lang w:bidi="ar-AE"/>
        </w:rPr>
        <w:t xml:space="preserve"> “ un Coran” et </w:t>
      </w:r>
      <w:r w:rsidRPr="00F230F1">
        <w:rPr>
          <w:rFonts w:asciiTheme="majorBidi" w:hAnsiTheme="majorBidi" w:cstheme="majorBidi"/>
          <w:i/>
          <w:iCs/>
          <w:sz w:val="20"/>
          <w:szCs w:val="20"/>
          <w:lang w:bidi="ar-AE"/>
        </w:rPr>
        <w:t>awdiya</w:t>
      </w:r>
      <w:r w:rsidRPr="00F230F1">
        <w:rPr>
          <w:rFonts w:asciiTheme="majorBidi" w:hAnsiTheme="majorBidi" w:cstheme="majorBidi"/>
          <w:sz w:val="20"/>
          <w:szCs w:val="20"/>
          <w:lang w:bidi="ar-AE"/>
        </w:rPr>
        <w:t xml:space="preserve"> [vallées] par “des cœurs” dans le verset XIII, 17 (“Anzala mina s-samāʾi </w:t>
      </w:r>
      <w:r w:rsidRPr="00F230F1">
        <w:rPr>
          <w:rFonts w:asciiTheme="majorBidi" w:hAnsiTheme="majorBidi" w:cstheme="majorBidi"/>
          <w:i/>
          <w:iCs/>
          <w:sz w:val="20"/>
          <w:szCs w:val="20"/>
          <w:lang w:bidi="ar-AE"/>
        </w:rPr>
        <w:t>māʾan</w:t>
      </w:r>
      <w:r w:rsidRPr="00F230F1">
        <w:rPr>
          <w:rFonts w:asciiTheme="majorBidi" w:hAnsiTheme="majorBidi" w:cstheme="majorBidi"/>
          <w:sz w:val="20"/>
          <w:szCs w:val="20"/>
          <w:lang w:bidi="ar-AE"/>
        </w:rPr>
        <w:t xml:space="preserve"> fa-sālat </w:t>
      </w:r>
      <w:r w:rsidRPr="00F230F1">
        <w:rPr>
          <w:rFonts w:asciiTheme="majorBidi" w:hAnsiTheme="majorBidi" w:cstheme="majorBidi"/>
          <w:i/>
          <w:iCs/>
          <w:sz w:val="20"/>
          <w:szCs w:val="20"/>
          <w:lang w:bidi="ar-AE"/>
        </w:rPr>
        <w:t>awdiyatun</w:t>
      </w:r>
      <w:r w:rsidRPr="00F230F1">
        <w:rPr>
          <w:rFonts w:asciiTheme="majorBidi" w:hAnsiTheme="majorBidi" w:cstheme="majorBidi"/>
          <w:sz w:val="20"/>
          <w:szCs w:val="20"/>
          <w:lang w:bidi="ar-AE"/>
        </w:rPr>
        <w:t xml:space="preserve"> bi-qadarihā” [“Il fait descendre du ciel de </w:t>
      </w:r>
      <w:r w:rsidRPr="00F230F1">
        <w:rPr>
          <w:rFonts w:asciiTheme="majorBidi" w:hAnsiTheme="majorBidi" w:cstheme="majorBidi"/>
          <w:i/>
          <w:iCs/>
          <w:sz w:val="20"/>
          <w:szCs w:val="20"/>
          <w:lang w:bidi="ar-AE"/>
        </w:rPr>
        <w:t>l’eau</w:t>
      </w:r>
      <w:r w:rsidRPr="00F230F1">
        <w:rPr>
          <w:rFonts w:asciiTheme="majorBidi" w:hAnsiTheme="majorBidi" w:cstheme="majorBidi"/>
          <w:sz w:val="20"/>
          <w:szCs w:val="20"/>
          <w:lang w:bidi="ar-AE"/>
        </w:rPr>
        <w:t xml:space="preserve"> qui coule dans </w:t>
      </w:r>
      <w:r w:rsidRPr="00F230F1">
        <w:rPr>
          <w:rFonts w:asciiTheme="majorBidi" w:hAnsiTheme="majorBidi" w:cstheme="majorBidi"/>
          <w:i/>
          <w:iCs/>
          <w:sz w:val="20"/>
          <w:szCs w:val="20"/>
          <w:lang w:bidi="ar-AE"/>
        </w:rPr>
        <w:t>des vallées</w:t>
      </w:r>
      <w:r w:rsidRPr="00F230F1">
        <w:rPr>
          <w:rFonts w:asciiTheme="majorBidi" w:hAnsiTheme="majorBidi" w:cstheme="majorBidi"/>
          <w:sz w:val="20"/>
          <w:szCs w:val="20"/>
          <w:lang w:bidi="ar-AE"/>
        </w:rPr>
        <w:t xml:space="preserve"> à la mesure de leur capacité]), verset qui ressemble au verset 63 de la sourate </w:t>
      </w:r>
      <w:r w:rsidRPr="00F230F1">
        <w:rPr>
          <w:rFonts w:asciiTheme="majorBidi" w:hAnsiTheme="majorBidi" w:cstheme="majorBidi"/>
          <w:i/>
          <w:iCs/>
          <w:sz w:val="20"/>
          <w:szCs w:val="20"/>
          <w:lang w:bidi="ar-AE"/>
        </w:rPr>
        <w:t>Al-Ḥajj</w:t>
      </w:r>
      <w:r w:rsidRPr="00F230F1">
        <w:rPr>
          <w:rFonts w:asciiTheme="majorBidi" w:hAnsiTheme="majorBidi" w:cstheme="majorBidi"/>
          <w:sz w:val="20"/>
          <w:szCs w:val="20"/>
        </w:rPr>
        <w:t>.</w:t>
      </w:r>
    </w:p>
  </w:footnote>
  <w:footnote w:id="106">
    <w:p w14:paraId="209F8812"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concordisme est un système d’exégèse consistant à interpréter les textes sacrés d’une religion de façon à ce qu’ils ne soient pas contradictoires avec les connaissances scientifiques d’une époque (Définition du concordisme par le Centre national des ressources textuelles et lexicales). Il tend à faire coïncider les résultats scientifiques avec les données des textes religieux lus soit de manière quasiment littérale, soit que les textes religieux soit </w:t>
      </w:r>
      <w:r w:rsidRPr="00F230F1">
        <w:rPr>
          <w:rFonts w:asciiTheme="majorBidi" w:hAnsiTheme="majorBidi" w:cstheme="majorBidi"/>
          <w:i/>
          <w:iCs/>
          <w:sz w:val="20"/>
          <w:szCs w:val="20"/>
        </w:rPr>
        <w:t>ré-interprétés</w:t>
      </w:r>
      <w:r w:rsidRPr="00F230F1">
        <w:rPr>
          <w:rFonts w:asciiTheme="majorBidi" w:hAnsiTheme="majorBidi" w:cstheme="majorBidi"/>
          <w:sz w:val="20"/>
          <w:szCs w:val="20"/>
        </w:rPr>
        <w:t xml:space="preserve"> pour correspondre aux théories scientifiques.</w:t>
      </w:r>
    </w:p>
  </w:footnote>
  <w:footnote w:id="107">
    <w:p w14:paraId="2333D1FD" w14:textId="51DED7F1" w:rsidR="009C3BB9" w:rsidRPr="00F230F1" w:rsidRDefault="009C3BB9" w:rsidP="00F230F1">
      <w:pPr>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Ibn Hishām, </w:t>
      </w:r>
      <w:r w:rsidRPr="00F230F1">
        <w:rPr>
          <w:rFonts w:asciiTheme="majorBidi" w:hAnsiTheme="majorBidi" w:cstheme="majorBidi"/>
          <w:i/>
          <w:iCs/>
          <w:sz w:val="20"/>
          <w:szCs w:val="20"/>
        </w:rPr>
        <w:t>As-Sīra an-nabawīya</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[La vie du Prophète]</w:t>
      </w:r>
      <w:r w:rsidRPr="00F230F1">
        <w:rPr>
          <w:rFonts w:asciiTheme="majorBidi" w:hAnsiTheme="majorBidi" w:cstheme="majorBidi"/>
          <w:sz w:val="20"/>
          <w:szCs w:val="20"/>
        </w:rPr>
        <w:t>, commentée par : ʿUmar ʿAbd as-Salām Tadmurī, Dār al-Kitāb al-ʿArabī, Beyrouth, 3</w:t>
      </w:r>
      <w:r w:rsidRPr="00F230F1">
        <w:rPr>
          <w:rFonts w:asciiTheme="majorBidi" w:hAnsiTheme="majorBidi" w:cstheme="majorBidi"/>
          <w:sz w:val="20"/>
          <w:szCs w:val="20"/>
          <w:vertAlign w:val="superscript"/>
        </w:rPr>
        <w:t>e</w:t>
      </w:r>
      <w:r w:rsidRPr="00F230F1">
        <w:rPr>
          <w:rFonts w:asciiTheme="majorBidi" w:hAnsiTheme="majorBidi" w:cstheme="majorBidi"/>
          <w:sz w:val="20"/>
          <w:szCs w:val="20"/>
        </w:rPr>
        <w:t xml:space="preserve"> édition, 1990, tome 1, p. 238 </w:t>
      </w:r>
      <w:r w:rsidRPr="00F230F1">
        <w:rPr>
          <w:rFonts w:asciiTheme="majorBidi" w:hAnsiTheme="majorBidi" w:cstheme="majorBidi"/>
          <w:i/>
          <w:iCs/>
          <w:sz w:val="20"/>
          <w:szCs w:val="20"/>
        </w:rPr>
        <w:t>sq.</w:t>
      </w:r>
      <w:r w:rsidRPr="00F230F1">
        <w:rPr>
          <w:rFonts w:asciiTheme="majorBidi" w:hAnsiTheme="majorBidi" w:cstheme="majorBidi"/>
          <w:sz w:val="20"/>
          <w:szCs w:val="20"/>
        </w:rPr>
        <w:t xml:space="preserve"> Ibn Hishām souligne que les Juifs de Médine disaient souvent aux Arabes païens :</w:t>
      </w:r>
    </w:p>
    <w:p w14:paraId="160B9A46" w14:textId="77777777" w:rsidR="009C3BB9" w:rsidRPr="00F230F1" w:rsidRDefault="009C3BB9" w:rsidP="00F230F1">
      <w:pPr>
        <w:bidi/>
        <w:contextualSpacing/>
        <w:jc w:val="both"/>
        <w:rPr>
          <w:rFonts w:asciiTheme="majorBidi" w:hAnsiTheme="majorBidi" w:cstheme="majorBidi"/>
          <w:sz w:val="20"/>
          <w:szCs w:val="20"/>
        </w:rPr>
      </w:pPr>
      <w:r w:rsidRPr="00F230F1">
        <w:rPr>
          <w:rFonts w:asciiTheme="majorBidi" w:eastAsia="Times New Roman" w:hAnsiTheme="majorBidi" w:cstheme="majorBidi"/>
          <w:sz w:val="20"/>
          <w:szCs w:val="20"/>
          <w:rtl/>
        </w:rPr>
        <w:t>"</w:t>
      </w:r>
      <w:r w:rsidRPr="00F230F1">
        <w:rPr>
          <w:rFonts w:asciiTheme="majorBidi" w:eastAsia="Times New Roman" w:hAnsiTheme="majorBidi" w:cstheme="majorBidi"/>
          <w:sz w:val="20"/>
          <w:szCs w:val="20"/>
          <w:shd w:val="clear" w:color="auto" w:fill="FFFFFF"/>
          <w:rtl/>
        </w:rPr>
        <w:t>إنه تقارَبَ زمانُ نبي يُبعَثُ الآن، نقتلكم معه قتْلَ عادٍ وإرَمَ."</w:t>
      </w:r>
    </w:p>
    <w:p w14:paraId="562A2E38" w14:textId="77777777" w:rsidR="009C3BB9" w:rsidRPr="00F230F1" w:rsidRDefault="009C3BB9" w:rsidP="00F230F1">
      <w:pPr>
        <w:bidi/>
        <w:contextualSpacing/>
        <w:jc w:val="both"/>
        <w:rPr>
          <w:rFonts w:asciiTheme="majorBidi" w:hAnsiTheme="majorBidi" w:cstheme="majorBidi"/>
          <w:sz w:val="20"/>
          <w:szCs w:val="20"/>
        </w:rPr>
      </w:pPr>
      <w:r w:rsidRPr="00F230F1">
        <w:rPr>
          <w:rFonts w:asciiTheme="majorBidi" w:eastAsia="Times New Roman" w:hAnsiTheme="majorBidi" w:cstheme="majorBidi"/>
          <w:sz w:val="20"/>
          <w:szCs w:val="20"/>
          <w:shd w:val="clear" w:color="auto" w:fill="FFFFFF"/>
        </w:rPr>
        <w:t xml:space="preserve">[« Peu s’en faut pour qu’un prophète soit investi de sa mission. Nous vous tuerons avec son aide tout comme </w:t>
      </w:r>
      <w:r w:rsidRPr="00F230F1">
        <w:rPr>
          <w:rFonts w:asciiTheme="majorBidi" w:eastAsia="Times New Roman" w:hAnsiTheme="majorBidi" w:cstheme="majorBidi"/>
          <w:sz w:val="20"/>
          <w:szCs w:val="20"/>
        </w:rPr>
        <w:t xml:space="preserve">ce fut le cas de </w:t>
      </w:r>
      <w:r w:rsidRPr="00F230F1">
        <w:rPr>
          <w:rFonts w:asciiTheme="majorBidi" w:hAnsiTheme="majorBidi" w:cstheme="majorBidi"/>
          <w:sz w:val="20"/>
          <w:szCs w:val="20"/>
        </w:rPr>
        <w:t>ʿĀd et de Iram</w:t>
      </w:r>
      <w:r w:rsidRPr="00F230F1">
        <w:rPr>
          <w:rFonts w:asciiTheme="majorBidi" w:eastAsia="Times New Roman" w:hAnsiTheme="majorBidi" w:cstheme="majorBidi"/>
          <w:sz w:val="20"/>
          <w:szCs w:val="20"/>
          <w:shd w:val="clear" w:color="auto" w:fill="FFFFFF"/>
        </w:rPr>
        <w:t>. »</w:t>
      </w:r>
    </w:p>
    <w:p w14:paraId="2B3BFC6D" w14:textId="77777777" w:rsidR="009C3BB9" w:rsidRPr="00F230F1" w:rsidRDefault="009C3BB9" w:rsidP="00F230F1">
      <w:pPr>
        <w:contextualSpacing/>
        <w:jc w:val="both"/>
        <w:rPr>
          <w:rFonts w:asciiTheme="majorBidi" w:eastAsia="Times New Roman" w:hAnsiTheme="majorBidi" w:cstheme="majorBidi"/>
          <w:color w:val="C00000"/>
          <w:sz w:val="20"/>
          <w:szCs w:val="20"/>
        </w:rPr>
      </w:pPr>
      <w:r w:rsidRPr="00F230F1">
        <w:rPr>
          <w:rFonts w:asciiTheme="majorBidi" w:hAnsiTheme="majorBidi" w:cstheme="majorBidi"/>
          <w:sz w:val="20"/>
          <w:szCs w:val="20"/>
        </w:rPr>
        <w:t>Voir aussi : A</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rPr>
        <w:t xml:space="preserve">uwyyānī, Muḥammad Ḥamad </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Abd Allāh, </w:t>
      </w:r>
      <w:r w:rsidRPr="00F230F1">
        <w:rPr>
          <w:rFonts w:asciiTheme="majorBidi" w:hAnsiTheme="majorBidi" w:cstheme="majorBidi"/>
          <w:i/>
          <w:iCs/>
          <w:sz w:val="20"/>
          <w:szCs w:val="20"/>
        </w:rPr>
        <w:t xml:space="preserve">Fī </w:t>
      </w:r>
      <w:r w:rsidRPr="00F230F1">
        <w:rPr>
          <w:rFonts w:asciiTheme="majorBidi" w:eastAsia="Times New Roman" w:hAnsiTheme="majorBidi" w:cstheme="majorBidi"/>
          <w:i/>
          <w:iCs/>
          <w:sz w:val="20"/>
          <w:szCs w:val="20"/>
        </w:rPr>
        <w:t>ẓilāl as-sīra an-nabawīya</w:t>
      </w:r>
      <w:r w:rsidRPr="00F230F1">
        <w:rPr>
          <w:rFonts w:asciiTheme="majorBidi" w:eastAsia="Times New Roman" w:hAnsiTheme="majorBidi" w:cstheme="majorBidi"/>
          <w:sz w:val="20"/>
          <w:szCs w:val="20"/>
        </w:rPr>
        <w:t xml:space="preserve"> [à l’ombre de la vie du Prophète], Maktabat al-ʿUbaykān, Riyad, 2016, p</w:t>
      </w:r>
      <w:r w:rsidRPr="00F230F1">
        <w:rPr>
          <w:rFonts w:asciiTheme="majorBidi" w:hAnsiTheme="majorBidi" w:cstheme="majorBidi"/>
          <w:sz w:val="20"/>
          <w:szCs w:val="20"/>
        </w:rPr>
        <w:t xml:space="preserve">. 102. (Version électronique consultée le 13/07/2017 </w:t>
      </w:r>
      <w:hyperlink r:id="rId38" w:anchor="v=onepage&amp;q&amp;f=false" w:history="1">
        <w:r w:rsidRPr="00F230F1">
          <w:rPr>
            <w:rStyle w:val="Lienhypertexte"/>
            <w:rFonts w:asciiTheme="majorBidi" w:hAnsiTheme="majorBidi" w:cstheme="majorBidi"/>
            <w:sz w:val="20"/>
            <w:szCs w:val="20"/>
          </w:rPr>
          <w:t>https://books.google.fr/books?id=aFYIDAAAQBAJ&amp;printsec=frontcover&amp;hl=fr&amp;source=gbs_ge_summary_r&amp;cad=0#v=onepage&amp;q&amp;f=false</w:t>
        </w:r>
      </w:hyperlink>
      <w:r w:rsidRPr="00F230F1">
        <w:rPr>
          <w:rFonts w:asciiTheme="majorBidi" w:hAnsiTheme="majorBidi" w:cstheme="majorBidi"/>
          <w:sz w:val="20"/>
          <w:szCs w:val="20"/>
        </w:rPr>
        <w:t>).</w:t>
      </w:r>
    </w:p>
  </w:footnote>
  <w:footnote w:id="108">
    <w:p w14:paraId="4D92868B" w14:textId="77777777" w:rsidR="009C3BB9" w:rsidRPr="00F230F1" w:rsidRDefault="009C3BB9" w:rsidP="00F230F1">
      <w:pPr>
        <w:pStyle w:val="n1"/>
        <w:bidi w:val="0"/>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shd w:val="clear" w:color="auto" w:fill="FFFFFF"/>
        </w:rPr>
        <w:t xml:space="preserve">Hibat Allāh Ibn Salāma, </w:t>
      </w:r>
      <w:r w:rsidRPr="00F230F1">
        <w:rPr>
          <w:rFonts w:asciiTheme="majorBidi" w:hAnsiTheme="majorBidi" w:cstheme="majorBidi"/>
          <w:i/>
          <w:iCs/>
          <w:sz w:val="20"/>
          <w:szCs w:val="20"/>
          <w:shd w:val="clear" w:color="auto" w:fill="FFFFFF"/>
        </w:rPr>
        <w:t>An-nāsikh wa-al-mansūkh</w:t>
      </w:r>
      <w:r w:rsidRPr="00F230F1">
        <w:rPr>
          <w:rFonts w:asciiTheme="majorBidi" w:hAnsiTheme="majorBidi" w:cstheme="majorBidi"/>
          <w:sz w:val="20"/>
          <w:szCs w:val="20"/>
          <w:shd w:val="clear" w:color="auto" w:fill="FFFFFF"/>
        </w:rPr>
        <w:t xml:space="preserve"> [</w:t>
      </w:r>
      <w:r w:rsidRPr="00F230F1">
        <w:rPr>
          <w:rFonts w:asciiTheme="majorBidi" w:hAnsiTheme="majorBidi" w:cstheme="majorBidi"/>
          <w:i/>
          <w:iCs/>
          <w:sz w:val="20"/>
          <w:szCs w:val="20"/>
          <w:shd w:val="clear" w:color="auto" w:fill="FFFFFF"/>
        </w:rPr>
        <w:t>L’abrogeant et l’abrogé</w:t>
      </w:r>
      <w:r w:rsidRPr="00F230F1">
        <w:rPr>
          <w:rFonts w:asciiTheme="majorBidi" w:hAnsiTheme="majorBidi" w:cstheme="majorBidi"/>
          <w:sz w:val="20"/>
          <w:szCs w:val="20"/>
          <w:shd w:val="clear" w:color="auto" w:fill="FFFFFF"/>
        </w:rPr>
        <w:t>], 2</w:t>
      </w:r>
      <w:r w:rsidRPr="00F230F1">
        <w:rPr>
          <w:rFonts w:asciiTheme="majorBidi" w:hAnsiTheme="majorBidi" w:cstheme="majorBidi"/>
          <w:sz w:val="20"/>
          <w:szCs w:val="20"/>
          <w:shd w:val="clear" w:color="auto" w:fill="FFFFFF"/>
          <w:vertAlign w:val="superscript"/>
        </w:rPr>
        <w:t>ème</w:t>
      </w:r>
      <w:r w:rsidRPr="00F230F1">
        <w:rPr>
          <w:rFonts w:asciiTheme="majorBidi" w:hAnsiTheme="majorBidi" w:cstheme="majorBidi"/>
          <w:sz w:val="20"/>
          <w:szCs w:val="20"/>
          <w:shd w:val="clear" w:color="auto" w:fill="FFFFFF"/>
        </w:rPr>
        <w:t xml:space="preserve"> édition d’Al-Bābī Al-</w:t>
      </w:r>
      <w:r w:rsidRPr="00F230F1">
        <w:rPr>
          <w:rFonts w:asciiTheme="majorBidi" w:hAnsiTheme="majorBidi" w:cstheme="majorBidi"/>
          <w:sz w:val="20"/>
          <w:szCs w:val="20"/>
        </w:rPr>
        <w:t>Ḥalabī, d’après le manuscrit de Princeton, 1967,</w:t>
      </w:r>
      <w:r w:rsidRPr="00F230F1">
        <w:rPr>
          <w:rFonts w:asciiTheme="majorBidi" w:hAnsiTheme="majorBidi" w:cstheme="majorBidi"/>
          <w:sz w:val="20"/>
          <w:szCs w:val="20"/>
          <w:shd w:val="clear" w:color="auto" w:fill="FFFFFF"/>
        </w:rPr>
        <w:t xml:space="preserve"> </w:t>
      </w:r>
      <w:r w:rsidRPr="00F230F1">
        <w:rPr>
          <w:rFonts w:asciiTheme="majorBidi" w:hAnsiTheme="majorBidi" w:cstheme="majorBidi"/>
          <w:sz w:val="20"/>
          <w:szCs w:val="20"/>
        </w:rPr>
        <w:t xml:space="preserve">pp. 65-66. Voir aussi le site </w:t>
      </w:r>
      <w:r w:rsidRPr="00F230F1">
        <w:rPr>
          <w:rFonts w:asciiTheme="majorBidi" w:hAnsiTheme="majorBidi" w:cstheme="majorBidi"/>
          <w:i/>
          <w:iCs/>
          <w:sz w:val="20"/>
          <w:szCs w:val="20"/>
        </w:rPr>
        <w:t>Islamweb</w:t>
      </w:r>
      <w:r w:rsidRPr="00F230F1">
        <w:rPr>
          <w:rFonts w:asciiTheme="majorBidi" w:hAnsiTheme="majorBidi" w:cstheme="majorBidi"/>
          <w:sz w:val="20"/>
          <w:szCs w:val="20"/>
        </w:rPr>
        <w:t xml:space="preserve"> : </w:t>
      </w:r>
      <w:hyperlink r:id="rId39" w:history="1">
        <w:r w:rsidRPr="00F230F1">
          <w:rPr>
            <w:rStyle w:val="Lienhypertexte"/>
            <w:rFonts w:asciiTheme="majorBidi" w:hAnsiTheme="majorBidi" w:cstheme="majorBidi"/>
            <w:sz w:val="20"/>
            <w:szCs w:val="20"/>
          </w:rPr>
          <w:t>http://articles.islamweb.net/media/print.php?id=190036</w:t>
        </w:r>
      </w:hyperlink>
      <w:r w:rsidRPr="00F230F1">
        <w:rPr>
          <w:rFonts w:asciiTheme="majorBidi" w:hAnsiTheme="majorBidi" w:cstheme="majorBidi"/>
          <w:sz w:val="20"/>
          <w:szCs w:val="20"/>
        </w:rPr>
        <w:t>.</w:t>
      </w:r>
    </w:p>
  </w:footnote>
  <w:footnote w:id="109">
    <w:p w14:paraId="09406628" w14:textId="2729C16F" w:rsidR="009C3BB9" w:rsidRPr="00F230F1" w:rsidRDefault="009C3BB9" w:rsidP="00F230F1">
      <w:pPr>
        <w:pStyle w:val="n1"/>
        <w:bidi w:val="0"/>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Denis Gril, « Exégèse mystique », in : </w:t>
      </w:r>
      <w:r w:rsidRPr="00F230F1">
        <w:rPr>
          <w:rFonts w:asciiTheme="majorBidi" w:hAnsiTheme="majorBidi" w:cstheme="majorBidi"/>
          <w:i/>
          <w:iCs/>
          <w:sz w:val="20"/>
          <w:szCs w:val="20"/>
        </w:rPr>
        <w:t>Dictionnaire du Coran</w:t>
      </w:r>
      <w:r w:rsidRPr="00F230F1">
        <w:rPr>
          <w:rFonts w:asciiTheme="majorBidi" w:hAnsiTheme="majorBidi" w:cstheme="majorBidi"/>
          <w:sz w:val="20"/>
          <w:szCs w:val="20"/>
        </w:rPr>
        <w:t>, dir. M.A. Amir-Moezzi, Robert Laffont, Paris, 2007, pp. 304-305.</w:t>
      </w:r>
    </w:p>
  </w:footnote>
  <w:footnote w:id="110">
    <w:p w14:paraId="069BAFFA"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Muḥammad ʿImāra, </w:t>
      </w:r>
      <w:r w:rsidRPr="00F230F1">
        <w:rPr>
          <w:rFonts w:asciiTheme="majorBidi" w:eastAsia="Times New Roman" w:hAnsiTheme="majorBidi" w:cstheme="majorBidi"/>
          <w:i/>
          <w:iCs/>
          <w:sz w:val="20"/>
          <w:szCs w:val="20"/>
        </w:rPr>
        <w:t>Shubuhāt ḥawla al-qurʾān al-karīm</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Des soupçons autour du noble Coran</w:t>
      </w:r>
      <w:r w:rsidRPr="00F230F1">
        <w:rPr>
          <w:rFonts w:asciiTheme="majorBidi" w:eastAsia="Times New Roman" w:hAnsiTheme="majorBidi" w:cstheme="majorBidi"/>
          <w:sz w:val="20"/>
          <w:szCs w:val="20"/>
        </w:rPr>
        <w:t>], Dār Nahḍat Miṣr, Le Caire, 2009.</w:t>
      </w:r>
    </w:p>
  </w:footnote>
  <w:footnote w:id="111">
    <w:p w14:paraId="1DBABA14" w14:textId="5CD0CB69"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Mawsūʿat bayān al-islām. Ar-radd ʿalā l-iftirāʾāt wa-sh-shubuhāt</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Encyclopédie de l’explication de l’islam. La réfutation des diffamations et des soupçons</w:t>
      </w:r>
      <w:r w:rsidRPr="00F230F1">
        <w:rPr>
          <w:rFonts w:asciiTheme="majorBidi" w:eastAsia="Times New Roman" w:hAnsiTheme="majorBidi" w:cstheme="majorBidi"/>
          <w:sz w:val="20"/>
          <w:szCs w:val="20"/>
        </w:rPr>
        <w:t>], Dār Nahḍat Miṣr, Le Caire, 2012.</w:t>
      </w:r>
      <w:r w:rsidRPr="00F230F1">
        <w:rPr>
          <w:rStyle w:val="Marquedecommentaire"/>
          <w:rFonts w:asciiTheme="majorBidi" w:hAnsiTheme="majorBidi" w:cstheme="majorBidi"/>
          <w:vanish/>
          <w:sz w:val="20"/>
          <w:szCs w:val="20"/>
        </w:rPr>
        <w:t xml:space="preserve"> </w:t>
      </w:r>
    </w:p>
  </w:footnote>
  <w:footnote w:id="112">
    <w:p w14:paraId="1F8143D8"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Christoph</w:t>
      </w:r>
      <w:r w:rsidRPr="00F230F1">
        <w:rPr>
          <w:rFonts w:asciiTheme="majorBidi" w:eastAsia="Times New Roman" w:hAnsiTheme="majorBidi" w:cstheme="majorBidi"/>
          <w:sz w:val="20"/>
          <w:szCs w:val="20"/>
        </w:rPr>
        <w:t xml:space="preserve"> Luxenberg, </w:t>
      </w:r>
      <w:r w:rsidRPr="00F230F1">
        <w:rPr>
          <w:rFonts w:asciiTheme="majorBidi" w:hAnsiTheme="majorBidi" w:cstheme="majorBidi"/>
          <w:i/>
          <w:iCs/>
          <w:sz w:val="20"/>
          <w:szCs w:val="20"/>
        </w:rPr>
        <w:t>The Syro-Aramaic Reading of the Koran : A Contribution to the Decoding of the Language of the Koran</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Lecture syro-araméenne du Coran : une contribution pour décoder la langue du Coran</w:t>
      </w:r>
      <w:r w:rsidRPr="00F230F1">
        <w:rPr>
          <w:rFonts w:asciiTheme="majorBidi" w:hAnsiTheme="majorBidi" w:cstheme="majorBidi"/>
          <w:sz w:val="20"/>
          <w:szCs w:val="20"/>
        </w:rPr>
        <w:t xml:space="preserve">], (titre original en allemand : </w:t>
      </w:r>
      <w:r w:rsidRPr="00F230F1">
        <w:rPr>
          <w:rFonts w:asciiTheme="majorBidi" w:eastAsia="Times New Roman" w:hAnsiTheme="majorBidi" w:cstheme="majorBidi"/>
          <w:i/>
          <w:iCs/>
          <w:color w:val="222222"/>
          <w:sz w:val="20"/>
          <w:szCs w:val="20"/>
        </w:rPr>
        <w:t>Die syro-aramäische Lesart des Koran – Ein Beitrag zur Entschlüsselung der Koransprache</w:t>
      </w:r>
      <w:r w:rsidRPr="00F230F1">
        <w:rPr>
          <w:rFonts w:asciiTheme="majorBidi" w:eastAsia="Times New Roman" w:hAnsiTheme="majorBidi" w:cstheme="majorBidi"/>
          <w:color w:val="222222"/>
          <w:sz w:val="20"/>
          <w:szCs w:val="20"/>
        </w:rPr>
        <w:t>, publié en 2000</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traduction anglaise publiée à Berlin en 2007 par Verlag Hans Schiler, p. 242 </w:t>
      </w:r>
      <w:r w:rsidRPr="00F230F1">
        <w:rPr>
          <w:rFonts w:asciiTheme="majorBidi" w:eastAsia="Times New Roman" w:hAnsiTheme="majorBidi" w:cstheme="majorBidi"/>
          <w:i/>
          <w:iCs/>
          <w:sz w:val="20"/>
          <w:szCs w:val="20"/>
        </w:rPr>
        <w:t>sq.</w:t>
      </w:r>
    </w:p>
  </w:footnote>
  <w:footnote w:id="113">
    <w:p w14:paraId="3D14803F"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Georges Mounin, </w:t>
      </w:r>
      <w:r w:rsidRPr="00F230F1">
        <w:rPr>
          <w:rFonts w:asciiTheme="majorBidi" w:hAnsiTheme="majorBidi" w:cstheme="majorBidi"/>
          <w:i/>
          <w:iCs/>
          <w:sz w:val="20"/>
          <w:szCs w:val="20"/>
        </w:rPr>
        <w:t>Les problèmes théoriques de la traduction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Gallimard, 1963, p. 167.</w:t>
      </w:r>
    </w:p>
  </w:footnote>
  <w:footnote w:id="114">
    <w:p w14:paraId="79D0C840"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w:t>
      </w:r>
      <w:r w:rsidRPr="00F230F1">
        <w:rPr>
          <w:rFonts w:asciiTheme="majorBidi" w:eastAsia="Times New Roman" w:hAnsiTheme="majorBidi" w:cstheme="majorBidi"/>
          <w:sz w:val="20"/>
          <w:szCs w:val="20"/>
        </w:rPr>
        <w:t xml:space="preserve">ammad </w:t>
      </w:r>
      <w:r w:rsidRPr="00F230F1">
        <w:rPr>
          <w:rFonts w:asciiTheme="majorBidi" w:hAnsiTheme="majorBidi" w:cstheme="majorBidi"/>
          <w:sz w:val="20"/>
          <w:szCs w:val="20"/>
        </w:rPr>
        <w:t>ʿ</w:t>
      </w:r>
      <w:r w:rsidRPr="00F230F1">
        <w:rPr>
          <w:rFonts w:asciiTheme="majorBidi" w:eastAsia="Times New Roman" w:hAnsiTheme="majorBidi" w:cstheme="majorBidi"/>
          <w:sz w:val="20"/>
          <w:szCs w:val="20"/>
        </w:rPr>
        <w:t xml:space="preserve">Abdallah Darrāz, </w:t>
      </w:r>
      <w:r w:rsidRPr="00F230F1">
        <w:rPr>
          <w:rFonts w:asciiTheme="majorBidi" w:eastAsia="Times New Roman" w:hAnsiTheme="majorBidi" w:cstheme="majorBidi"/>
          <w:i/>
          <w:iCs/>
          <w:sz w:val="20"/>
          <w:szCs w:val="20"/>
        </w:rPr>
        <w:t>Madkhal ilā al-qurʾān al-karīm</w:t>
      </w:r>
      <w:r w:rsidRPr="00F230F1">
        <w:rPr>
          <w:rFonts w:asciiTheme="majorBidi" w:eastAsia="Times New Roman" w:hAnsiTheme="majorBidi" w:cstheme="majorBidi"/>
          <w:sz w:val="20"/>
          <w:szCs w:val="20"/>
        </w:rPr>
        <w:t xml:space="preserve"> [introduction au Coran], pp. 115 et 116, Dār al-Qalam, Koweït.</w:t>
      </w:r>
    </w:p>
  </w:footnote>
  <w:footnote w:id="115">
    <w:p w14:paraId="599F42F9" w14:textId="6D0F20EC"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Muḥammad ʿAbd Al-ʿAẓīm Az-Zurqānī, </w:t>
      </w:r>
      <w:r w:rsidRPr="00F230F1">
        <w:rPr>
          <w:rFonts w:asciiTheme="majorBidi" w:eastAsia="Times New Roman" w:hAnsiTheme="majorBidi" w:cstheme="majorBidi"/>
          <w:i/>
          <w:iCs/>
          <w:sz w:val="20"/>
          <w:szCs w:val="20"/>
        </w:rPr>
        <w:t>Manāhil al-ʿirfān fī ʿulūm al-qurʾān</w:t>
      </w:r>
      <w:r w:rsidRPr="00F230F1">
        <w:rPr>
          <w:rFonts w:asciiTheme="majorBidi" w:eastAsia="Times New Roman" w:hAnsiTheme="majorBidi" w:cstheme="majorBidi"/>
          <w:sz w:val="20"/>
          <w:szCs w:val="20"/>
        </w:rPr>
        <w:t xml:space="preserve"> [Les sources de la gnose dans les sciences du Coran], Dār al-Kitāb al-ʿArabī, Beyrouth, première édition, 1995, revu par Fawwāz Aḥmad Zamarlī, tome 2, p. 90.</w:t>
      </w:r>
    </w:p>
  </w:footnote>
  <w:footnote w:id="116">
    <w:p w14:paraId="4DD930E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Az-Zurqānī, </w:t>
      </w:r>
      <w:r w:rsidRPr="00F230F1">
        <w:rPr>
          <w:rFonts w:asciiTheme="majorBidi" w:eastAsia="Times New Roman" w:hAnsiTheme="majorBidi" w:cstheme="majorBidi"/>
          <w:i/>
          <w:iCs/>
          <w:sz w:val="20"/>
          <w:szCs w:val="20"/>
        </w:rPr>
        <w:t>Manāhil al-ʿirfān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tome 2, pp. 93, 94 et 95.</w:t>
      </w:r>
    </w:p>
  </w:footnote>
  <w:footnote w:id="117">
    <w:p w14:paraId="2035338F"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Jean Grondin, « La rencontre de la déconstruction et de l’herméneutique », paru dans J.-F. MATTÉI (Dir.), </w:t>
      </w:r>
      <w:r w:rsidRPr="00F230F1">
        <w:rPr>
          <w:rFonts w:asciiTheme="majorBidi" w:eastAsia="Times New Roman" w:hAnsiTheme="majorBidi" w:cstheme="majorBidi"/>
          <w:i/>
          <w:sz w:val="20"/>
          <w:szCs w:val="20"/>
        </w:rPr>
        <w:t>Philosopher en français</w:t>
      </w:r>
      <w:r w:rsidRPr="00F230F1">
        <w:rPr>
          <w:rFonts w:asciiTheme="majorBidi" w:eastAsia="Times New Roman" w:hAnsiTheme="majorBidi" w:cstheme="majorBidi"/>
          <w:sz w:val="20"/>
          <w:szCs w:val="20"/>
        </w:rPr>
        <w:t>, Paris, PUF, 2001, 235-246.</w:t>
      </w:r>
    </w:p>
  </w:footnote>
  <w:footnote w:id="118">
    <w:p w14:paraId="3407A62E"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Charles Ramond, </w:t>
      </w:r>
      <w:r w:rsidRPr="00F230F1">
        <w:rPr>
          <w:rFonts w:asciiTheme="majorBidi" w:eastAsia="Times New Roman" w:hAnsiTheme="majorBidi" w:cstheme="majorBidi"/>
          <w:i/>
          <w:sz w:val="20"/>
          <w:szCs w:val="20"/>
        </w:rPr>
        <w:t>Le vocabulaire de Jacques Derrida</w:t>
      </w:r>
      <w:r w:rsidRPr="00F230F1">
        <w:rPr>
          <w:rFonts w:asciiTheme="majorBidi" w:eastAsia="Times New Roman" w:hAnsiTheme="majorBidi" w:cstheme="majorBidi"/>
          <w:sz w:val="20"/>
          <w:szCs w:val="20"/>
        </w:rPr>
        <w:t>, collection de Jean-Pierre Zarader, Ellipses, 2001, p. 25.</w:t>
      </w:r>
    </w:p>
  </w:footnote>
  <w:footnote w:id="119">
    <w:p w14:paraId="247EF327"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Jean-Michel Salanskis, </w:t>
      </w:r>
      <w:r w:rsidRPr="00F230F1">
        <w:rPr>
          <w:rFonts w:asciiTheme="majorBidi" w:eastAsia="Times New Roman" w:hAnsiTheme="majorBidi" w:cstheme="majorBidi"/>
          <w:i/>
          <w:sz w:val="20"/>
          <w:szCs w:val="20"/>
        </w:rPr>
        <w:t>Derrida</w:t>
      </w:r>
      <w:r w:rsidRPr="00F230F1">
        <w:rPr>
          <w:rFonts w:asciiTheme="majorBidi" w:eastAsia="Times New Roman" w:hAnsiTheme="majorBidi" w:cstheme="majorBidi"/>
          <w:sz w:val="20"/>
          <w:szCs w:val="20"/>
        </w:rPr>
        <w:t>, Les Belles Lettres, Paris 2010, p. 22.</w:t>
      </w:r>
    </w:p>
  </w:footnote>
  <w:footnote w:id="120">
    <w:p w14:paraId="3542DABD"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p. 21.</w:t>
      </w:r>
    </w:p>
  </w:footnote>
  <w:footnote w:id="121">
    <w:p w14:paraId="60CE47A5" w14:textId="77777777" w:rsidR="009C3BB9" w:rsidRPr="00F230F1" w:rsidRDefault="009C3BB9" w:rsidP="00F230F1">
      <w:pPr>
        <w:pStyle w:val="n1"/>
        <w:bidi w:val="0"/>
        <w:contextualSpacing/>
        <w:jc w:val="both"/>
        <w:rPr>
          <w:rStyle w:val="Appelnotedebasdep"/>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At-Targhīb wa-at-Tarhīb</w:t>
      </w:r>
      <w:r w:rsidRPr="00F230F1">
        <w:rPr>
          <w:rFonts w:asciiTheme="majorBidi" w:eastAsia="Times New Roman" w:hAnsiTheme="majorBidi" w:cstheme="majorBidi"/>
          <w:sz w:val="20"/>
          <w:szCs w:val="20"/>
        </w:rPr>
        <w:t xml:space="preserve">, 2/302, et </w:t>
      </w:r>
      <w:r w:rsidRPr="00F230F1">
        <w:rPr>
          <w:rFonts w:asciiTheme="majorBidi" w:eastAsia="Times New Roman" w:hAnsiTheme="majorBidi" w:cstheme="majorBidi"/>
          <w:i/>
          <w:iCs/>
          <w:sz w:val="20"/>
          <w:szCs w:val="20"/>
        </w:rPr>
        <w:t>Sunan at-Tirmidhī</w:t>
      </w:r>
      <w:r w:rsidRPr="00F230F1">
        <w:rPr>
          <w:rFonts w:asciiTheme="majorBidi" w:eastAsia="Times New Roman" w:hAnsiTheme="majorBidi" w:cstheme="majorBidi"/>
          <w:sz w:val="20"/>
          <w:szCs w:val="20"/>
        </w:rPr>
        <w:t>, n° 2906.</w:t>
      </w:r>
    </w:p>
  </w:footnote>
  <w:footnote w:id="122">
    <w:p w14:paraId="649F6D9D" w14:textId="77777777" w:rsidR="009C3BB9" w:rsidRPr="00F230F1" w:rsidRDefault="009C3BB9" w:rsidP="00F230F1">
      <w:pPr>
        <w:pStyle w:val="n1"/>
        <w:bidi w:val="0"/>
        <w:contextualSpacing/>
        <w:jc w:val="both"/>
        <w:rPr>
          <w:rStyle w:val="Appelnotedebasdep"/>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Centre de Fatwa, </w:t>
      </w:r>
      <w:hyperlink r:id="rId40" w:history="1">
        <w:r w:rsidRPr="00F230F1">
          <w:rPr>
            <w:rStyle w:val="Lienhypertexte"/>
            <w:rFonts w:asciiTheme="majorBidi" w:hAnsiTheme="majorBidi" w:cstheme="majorBidi"/>
            <w:sz w:val="20"/>
            <w:szCs w:val="20"/>
          </w:rPr>
          <w:t>http://fatwa.islamweb.net/fatwa/index.php?page=showfatwa&amp;Option=FatwaId&amp;Id=63778</w:t>
        </w:r>
      </w:hyperlink>
      <w:r w:rsidRPr="00F230F1">
        <w:rPr>
          <w:rFonts w:asciiTheme="majorBidi" w:hAnsiTheme="majorBidi" w:cstheme="majorBidi"/>
          <w:sz w:val="20"/>
          <w:szCs w:val="20"/>
        </w:rPr>
        <w:t xml:space="preserve"> et </w:t>
      </w:r>
      <w:hyperlink r:id="rId41" w:history="1">
        <w:r w:rsidRPr="00F230F1">
          <w:rPr>
            <w:rStyle w:val="Lienhypertexte"/>
            <w:rFonts w:asciiTheme="majorBidi" w:hAnsiTheme="majorBidi" w:cstheme="majorBidi"/>
            <w:sz w:val="20"/>
            <w:szCs w:val="20"/>
          </w:rPr>
          <w:t>http://www.onislam.net/arabic/ask-the-scholar/8275/8248/46250-2004-08-01%2017-37-04.html</w:t>
        </w:r>
      </w:hyperlink>
      <w:r w:rsidRPr="00F230F1">
        <w:rPr>
          <w:rFonts w:asciiTheme="majorBidi" w:eastAsia="Times New Roman" w:hAnsiTheme="majorBidi" w:cstheme="majorBidi"/>
          <w:sz w:val="20"/>
          <w:szCs w:val="20"/>
        </w:rPr>
        <w:t xml:space="preserve"> (consultés le 03/08/2017).</w:t>
      </w:r>
    </w:p>
  </w:footnote>
  <w:footnote w:id="123">
    <w:p w14:paraId="533D16B9" w14:textId="77777777" w:rsidR="009C3BB9" w:rsidRPr="00F230F1" w:rsidRDefault="009C3BB9" w:rsidP="00F230F1">
      <w:pPr>
        <w:pStyle w:val="n1"/>
        <w:bidi w:val="0"/>
        <w:contextualSpacing/>
        <w:jc w:val="both"/>
        <w:rPr>
          <w:rStyle w:val="Appelnotedebasdep"/>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vidéo d’Al-Sha</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rāwī </w:t>
      </w:r>
      <w:hyperlink r:id="rId42" w:history="1">
        <w:r w:rsidRPr="00F230F1">
          <w:rPr>
            <w:rStyle w:val="Lienhypertexte"/>
            <w:rFonts w:asciiTheme="majorBidi" w:hAnsiTheme="majorBidi" w:cstheme="majorBidi"/>
            <w:sz w:val="20"/>
            <w:szCs w:val="20"/>
          </w:rPr>
          <w:t>http://www.youtube.com/watch?v=o6VSh_-wAWg</w:t>
        </w:r>
      </w:hyperlink>
      <w:r w:rsidRPr="00F230F1">
        <w:rPr>
          <w:rFonts w:asciiTheme="majorBidi" w:eastAsia="Times New Roman" w:hAnsiTheme="majorBidi" w:cstheme="majorBidi"/>
          <w:sz w:val="20"/>
          <w:szCs w:val="20"/>
        </w:rPr>
        <w:t xml:space="preserve"> (consulté le 03/08/2017).</w:t>
      </w:r>
    </w:p>
  </w:footnote>
  <w:footnote w:id="124">
    <w:p w14:paraId="699D8641" w14:textId="77777777" w:rsidR="009C3BB9" w:rsidRPr="00F230F1" w:rsidRDefault="009C3BB9" w:rsidP="00F230F1">
      <w:pPr>
        <w:pStyle w:val="n1"/>
        <w:bidi w:val="0"/>
        <w:contextualSpacing/>
        <w:jc w:val="both"/>
        <w:rPr>
          <w:rStyle w:val="Appelnotedebasdep"/>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Claude Gilliot, « Exegesis of the Qur’ān », </w:t>
      </w:r>
      <w:r w:rsidRPr="00F230F1">
        <w:rPr>
          <w:rFonts w:asciiTheme="majorBidi" w:hAnsiTheme="majorBidi" w:cstheme="majorBidi"/>
          <w:i/>
          <w:sz w:val="20"/>
          <w:szCs w:val="20"/>
        </w:rPr>
        <w:t>op. cit.,</w:t>
      </w:r>
      <w:r w:rsidRPr="00F230F1">
        <w:rPr>
          <w:rFonts w:asciiTheme="majorBidi" w:hAnsiTheme="majorBidi" w:cstheme="majorBidi"/>
          <w:sz w:val="20"/>
          <w:szCs w:val="20"/>
        </w:rPr>
        <w:t xml:space="preserve"> et Ḥusayn Adh-Dhahabī, </w:t>
      </w:r>
      <w:r w:rsidRPr="00F230F1">
        <w:rPr>
          <w:rFonts w:asciiTheme="majorBidi" w:hAnsiTheme="majorBidi" w:cstheme="majorBidi"/>
          <w:i/>
          <w:iCs/>
          <w:sz w:val="20"/>
          <w:szCs w:val="20"/>
        </w:rPr>
        <w:t>At-tafsīr wa-l-mufassirūn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L’exégèse et les exégètes</w:t>
      </w:r>
      <w:r w:rsidRPr="00F230F1">
        <w:rPr>
          <w:rFonts w:asciiTheme="majorBidi" w:hAnsiTheme="majorBidi" w:cstheme="majorBidi"/>
          <w:sz w:val="20"/>
          <w:szCs w:val="20"/>
        </w:rPr>
        <w:t>], Le Caire, 2000, t. 1, p. 106.</w:t>
      </w:r>
    </w:p>
  </w:footnote>
  <w:footnote w:id="125">
    <w:p w14:paraId="5B345DA7" w14:textId="77777777" w:rsidR="009C3BB9" w:rsidRPr="00F230F1" w:rsidRDefault="009C3BB9" w:rsidP="00F230F1">
      <w:pPr>
        <w:contextualSpacing/>
        <w:jc w:val="both"/>
        <w:rPr>
          <w:rFonts w:asciiTheme="majorBidi" w:eastAsia="Calibr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Verset 33, sourate XXV (</w:t>
      </w:r>
      <w:r w:rsidRPr="00F230F1">
        <w:rPr>
          <w:rFonts w:asciiTheme="majorBidi" w:hAnsiTheme="majorBidi" w:cstheme="majorBidi"/>
          <w:i/>
          <w:iCs/>
          <w:sz w:val="20"/>
          <w:szCs w:val="20"/>
        </w:rPr>
        <w:t>Al-Furqān</w:t>
      </w:r>
      <w:r w:rsidRPr="00F230F1">
        <w:rPr>
          <w:rFonts w:asciiTheme="majorBidi" w:hAnsiTheme="majorBidi" w:cstheme="majorBidi"/>
          <w:sz w:val="20"/>
          <w:szCs w:val="20"/>
        </w:rPr>
        <w:t xml:space="preserve"> [le discernement]) : </w:t>
      </w:r>
      <w:r w:rsidRPr="00F230F1">
        <w:rPr>
          <w:rFonts w:asciiTheme="majorBidi" w:hAnsiTheme="majorBidi" w:cstheme="majorBidi"/>
          <w:sz w:val="20"/>
          <w:szCs w:val="20"/>
          <w:rtl/>
          <w:lang w:bidi="ar-KW"/>
        </w:rPr>
        <w:t xml:space="preserve">"ولا يَأْتونكَ بِمَثَـــلٍ إلاَّ جِئْناكَ بالحقِّ وأحسَنَ </w:t>
      </w:r>
      <w:r w:rsidRPr="00F230F1">
        <w:rPr>
          <w:rFonts w:asciiTheme="majorBidi" w:hAnsiTheme="majorBidi" w:cstheme="majorBidi"/>
          <w:b/>
          <w:bCs/>
          <w:sz w:val="20"/>
          <w:szCs w:val="20"/>
          <w:rtl/>
          <w:lang w:bidi="ar-KW"/>
        </w:rPr>
        <w:t>تفسيراً</w:t>
      </w:r>
      <w:r w:rsidRPr="00F230F1">
        <w:rPr>
          <w:rFonts w:asciiTheme="majorBidi" w:hAnsiTheme="majorBidi" w:cstheme="majorBidi"/>
          <w:sz w:val="20"/>
          <w:szCs w:val="20"/>
          <w:rtl/>
          <w:lang w:bidi="ar-KW"/>
        </w:rPr>
        <w:t>"</w:t>
      </w:r>
      <w:r w:rsidRPr="00F230F1">
        <w:rPr>
          <w:rFonts w:asciiTheme="majorBidi" w:hAnsiTheme="majorBidi" w:cstheme="majorBidi"/>
          <w:sz w:val="20"/>
          <w:szCs w:val="20"/>
          <w:lang w:bidi="ar-KW"/>
        </w:rPr>
        <w:t xml:space="preserve"> [</w:t>
      </w:r>
      <w:r w:rsidRPr="00F230F1">
        <w:rPr>
          <w:rFonts w:asciiTheme="majorBidi" w:eastAsia="Calibri" w:hAnsiTheme="majorBidi" w:cstheme="majorBidi"/>
          <w:sz w:val="20"/>
          <w:szCs w:val="20"/>
        </w:rPr>
        <w:t>« Et ils ne t’apporteront une parabole, sans que Nous ne t’Ayons Apporté la Vérité et la meilleure interprétation »</w:t>
      </w:r>
      <w:r w:rsidRPr="00F230F1">
        <w:rPr>
          <w:rFonts w:asciiTheme="majorBidi" w:hAnsiTheme="majorBidi" w:cstheme="majorBidi"/>
          <w:sz w:val="20"/>
          <w:szCs w:val="20"/>
          <w:lang w:bidi="ar-KW"/>
        </w:rPr>
        <w:t>]</w:t>
      </w:r>
      <w:r w:rsidRPr="00F230F1">
        <w:rPr>
          <w:rFonts w:asciiTheme="majorBidi" w:eastAsia="Calibri" w:hAnsiTheme="majorBidi" w:cstheme="majorBidi"/>
          <w:sz w:val="20"/>
          <w:szCs w:val="20"/>
        </w:rPr>
        <w:t xml:space="preserve"> (trad. Abdelaziz</w:t>
      </w:r>
      <w:r w:rsidRPr="00F230F1">
        <w:rPr>
          <w:rFonts w:asciiTheme="majorBidi" w:hAnsiTheme="majorBidi" w:cstheme="majorBidi"/>
          <w:sz w:val="20"/>
          <w:szCs w:val="20"/>
          <w:lang w:bidi="ar-KW"/>
        </w:rPr>
        <w:t>)</w:t>
      </w:r>
      <w:r w:rsidRPr="00F230F1">
        <w:rPr>
          <w:rFonts w:asciiTheme="majorBidi" w:hAnsiTheme="majorBidi" w:cstheme="majorBidi"/>
          <w:sz w:val="20"/>
          <w:szCs w:val="20"/>
        </w:rPr>
        <w:t>.</w:t>
      </w:r>
      <w:r w:rsidRPr="00F230F1">
        <w:rPr>
          <w:rFonts w:asciiTheme="majorBidi" w:eastAsia="Calibri" w:hAnsiTheme="majorBidi" w:cstheme="majorBidi"/>
          <w:sz w:val="20"/>
          <w:szCs w:val="20"/>
        </w:rPr>
        <w:t xml:space="preserve"> Le verset voudrait dire que si les adversaires t’apportent une parabole, nous (p.-ê. l’équipe de traduction) t’en apporterons la vraie version avec une meilleure traduction.</w:t>
      </w:r>
    </w:p>
  </w:footnote>
  <w:footnote w:id="126">
    <w:p w14:paraId="02F9BB0B" w14:textId="4BDB7043"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Abū ʿAbd Allāh Muḥammad b. ʿUmar Al-Wāqidī,</w:t>
      </w:r>
      <w:r w:rsidRPr="00F230F1">
        <w:rPr>
          <w:rFonts w:asciiTheme="majorBidi" w:eastAsia="Times New Roman" w:hAnsiTheme="majorBidi" w:cstheme="majorBidi"/>
          <w:i/>
          <w:iCs/>
          <w:sz w:val="20"/>
          <w:szCs w:val="20"/>
        </w:rPr>
        <w:t xml:space="preserve"> Futūḥ ash-Shām</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Les conquêtes de la Syrie</w:t>
      </w:r>
      <w:r w:rsidRPr="00F230F1">
        <w:rPr>
          <w:rFonts w:asciiTheme="majorBidi" w:eastAsia="Times New Roman" w:hAnsiTheme="majorBidi" w:cstheme="majorBidi"/>
          <w:sz w:val="20"/>
          <w:szCs w:val="20"/>
        </w:rPr>
        <w:t xml:space="preserve">], Éditions de Muḥammad ʿAlī Bayḍūn, Dār al-Kutub al-ʿIlmyya, Beyrouth, 1997, revue par : ʿAbd al-Laṭīf ʿAbd ar-Raḥmān, tome 1, p. 65 (version électronique consultée le 17/07/2017 : </w:t>
      </w:r>
      <w:hyperlink r:id="rId43" w:history="1">
        <w:r w:rsidRPr="00F230F1">
          <w:rPr>
            <w:rStyle w:val="Lienhypertexte"/>
            <w:rFonts w:asciiTheme="majorBidi" w:eastAsia="Times New Roman" w:hAnsiTheme="majorBidi" w:cstheme="majorBidi"/>
            <w:sz w:val="20"/>
            <w:szCs w:val="20"/>
          </w:rPr>
          <w:t>http://download-date-history-pdf-ebooks.com/9729-free-book</w:t>
        </w:r>
      </w:hyperlink>
      <w:r w:rsidRPr="00F230F1">
        <w:rPr>
          <w:rFonts w:asciiTheme="majorBidi" w:eastAsia="Times New Roman" w:hAnsiTheme="majorBidi" w:cstheme="majorBidi"/>
          <w:sz w:val="20"/>
          <w:szCs w:val="20"/>
        </w:rPr>
        <w:t xml:space="preserve">. Autre version électronique consultée le 17/07/2017 : </w:t>
      </w:r>
      <w:hyperlink r:id="rId44" w:history="1">
        <w:r w:rsidRPr="00F230F1">
          <w:rPr>
            <w:rStyle w:val="Lienhypertexte"/>
            <w:rFonts w:asciiTheme="majorBidi" w:eastAsia="Times New Roman" w:hAnsiTheme="majorBidi" w:cstheme="majorBidi"/>
            <w:sz w:val="20"/>
            <w:szCs w:val="20"/>
          </w:rPr>
          <w:t>http://www.creativity.ps/library/data/1247261475300411.pdf</w:t>
        </w:r>
      </w:hyperlink>
      <w:r w:rsidRPr="00F230F1">
        <w:rPr>
          <w:rFonts w:asciiTheme="majorBidi" w:eastAsia="Times New Roman" w:hAnsiTheme="majorBidi" w:cstheme="majorBidi"/>
          <w:sz w:val="20"/>
          <w:szCs w:val="20"/>
        </w:rPr>
        <w:t>, p. 92.</w:t>
      </w:r>
    </w:p>
  </w:footnote>
  <w:footnote w:id="127">
    <w:p w14:paraId="418953A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AE"/>
        </w:rPr>
        <w:t xml:space="preserve">Ṭabarānī, </w:t>
      </w:r>
      <w:r w:rsidRPr="00F230F1">
        <w:rPr>
          <w:rFonts w:asciiTheme="majorBidi" w:eastAsia="Times New Roman" w:hAnsiTheme="majorBidi" w:cstheme="majorBidi"/>
          <w:i/>
          <w:iCs/>
          <w:sz w:val="20"/>
          <w:szCs w:val="20"/>
          <w:lang w:bidi="ar-AE"/>
        </w:rPr>
        <w:t>Musnad ash-shāmīyyīn</w:t>
      </w:r>
      <w:r w:rsidRPr="00F230F1">
        <w:rPr>
          <w:rFonts w:asciiTheme="majorBidi" w:eastAsia="Times New Roman" w:hAnsiTheme="majorBidi" w:cstheme="majorBidi"/>
          <w:sz w:val="20"/>
          <w:szCs w:val="20"/>
          <w:lang w:bidi="ar-AE"/>
        </w:rPr>
        <w:t>, 3/13, version électronique d’</w:t>
      </w:r>
      <w:r w:rsidRPr="00F230F1">
        <w:rPr>
          <w:rFonts w:asciiTheme="majorBidi" w:eastAsia="Times New Roman" w:hAnsiTheme="majorBidi" w:cstheme="majorBidi"/>
          <w:i/>
          <w:iCs/>
          <w:sz w:val="20"/>
          <w:szCs w:val="20"/>
          <w:lang w:bidi="ar-AE"/>
        </w:rPr>
        <w:t>al-Mawsū</w:t>
      </w:r>
      <w:r w:rsidRPr="00F230F1">
        <w:rPr>
          <w:rFonts w:asciiTheme="majorBidi" w:eastAsia="Times New Roman" w:hAnsiTheme="majorBidi" w:cstheme="majorBidi"/>
          <w:i/>
          <w:iCs/>
          <w:sz w:val="20"/>
          <w:szCs w:val="20"/>
        </w:rPr>
        <w:t>ʿa</w:t>
      </w:r>
      <w:r w:rsidRPr="00F230F1">
        <w:rPr>
          <w:rFonts w:asciiTheme="majorBidi" w:eastAsia="Times New Roman" w:hAnsiTheme="majorBidi" w:cstheme="majorBidi"/>
          <w:i/>
          <w:iCs/>
          <w:sz w:val="20"/>
          <w:szCs w:val="20"/>
          <w:lang w:bidi="ar-AE"/>
        </w:rPr>
        <w:t xml:space="preserve"> ash-Shāmila </w:t>
      </w:r>
      <w:hyperlink r:id="rId45" w:history="1">
        <w:r w:rsidRPr="00F230F1">
          <w:rPr>
            <w:rStyle w:val="Lienhypertexte"/>
            <w:rFonts w:asciiTheme="majorBidi" w:eastAsia="Times New Roman" w:hAnsiTheme="majorBidi" w:cstheme="majorBidi"/>
            <w:sz w:val="20"/>
            <w:szCs w:val="20"/>
            <w:lang w:bidi="ar-AE"/>
          </w:rPr>
          <w:t>http://islamport.com/d/1/mtn/1/103/3672.html</w:t>
        </w:r>
      </w:hyperlink>
      <w:r w:rsidRPr="00F230F1">
        <w:rPr>
          <w:rFonts w:asciiTheme="majorBidi" w:eastAsia="Times New Roman" w:hAnsiTheme="majorBidi" w:cstheme="majorBidi"/>
          <w:sz w:val="20"/>
          <w:szCs w:val="20"/>
          <w:lang w:bidi="ar-AE"/>
        </w:rPr>
        <w:t xml:space="preserve"> (consultée le 17/07/2017).</w:t>
      </w:r>
    </w:p>
  </w:footnote>
  <w:footnote w:id="128">
    <w:p w14:paraId="4C5A685C" w14:textId="77777777" w:rsidR="009C3BB9" w:rsidRPr="00F230F1" w:rsidRDefault="009C3BB9" w:rsidP="00F230F1">
      <w:pPr>
        <w:pStyle w:val="Notedebasdepage"/>
        <w:contextualSpacing/>
        <w:jc w:val="both"/>
        <w:rPr>
          <w:rFonts w:asciiTheme="majorBidi" w:eastAsia="Times New Roman"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AE"/>
        </w:rPr>
        <w:t xml:space="preserve">Bayhaqī, </w:t>
      </w:r>
      <w:r w:rsidRPr="00F230F1">
        <w:rPr>
          <w:rFonts w:asciiTheme="majorBidi" w:eastAsia="Times New Roman" w:hAnsiTheme="majorBidi" w:cstheme="majorBidi"/>
          <w:i/>
          <w:iCs/>
          <w:sz w:val="20"/>
          <w:szCs w:val="20"/>
          <w:lang w:bidi="ar-AE"/>
        </w:rPr>
        <w:t>Shuʿab al-ʾīmān</w:t>
      </w:r>
      <w:r w:rsidRPr="00F230F1">
        <w:rPr>
          <w:rFonts w:asciiTheme="majorBidi" w:eastAsia="Times New Roman" w:hAnsiTheme="majorBidi" w:cstheme="majorBidi"/>
          <w:sz w:val="20"/>
          <w:szCs w:val="20"/>
          <w:lang w:bidi="ar-AE"/>
        </w:rPr>
        <w:t>, 1/122, version électronique d’</w:t>
      </w:r>
      <w:r w:rsidRPr="00F230F1">
        <w:rPr>
          <w:rFonts w:asciiTheme="majorBidi" w:eastAsia="Times New Roman" w:hAnsiTheme="majorBidi" w:cstheme="majorBidi"/>
          <w:i/>
          <w:iCs/>
          <w:sz w:val="20"/>
          <w:szCs w:val="20"/>
          <w:lang w:bidi="ar-AE"/>
        </w:rPr>
        <w:t>al-Mawsū</w:t>
      </w:r>
      <w:r w:rsidRPr="00F230F1">
        <w:rPr>
          <w:rFonts w:asciiTheme="majorBidi" w:eastAsia="Times New Roman" w:hAnsiTheme="majorBidi" w:cstheme="majorBidi"/>
          <w:i/>
          <w:iCs/>
          <w:sz w:val="20"/>
          <w:szCs w:val="20"/>
        </w:rPr>
        <w:t>ʿa</w:t>
      </w:r>
      <w:r w:rsidRPr="00F230F1">
        <w:rPr>
          <w:rFonts w:asciiTheme="majorBidi" w:eastAsia="Times New Roman" w:hAnsiTheme="majorBidi" w:cstheme="majorBidi"/>
          <w:i/>
          <w:iCs/>
          <w:sz w:val="20"/>
          <w:szCs w:val="20"/>
          <w:lang w:bidi="ar-AE"/>
        </w:rPr>
        <w:t xml:space="preserve"> ash-Shāmila</w:t>
      </w:r>
      <w:r w:rsidRPr="00F230F1">
        <w:rPr>
          <w:rFonts w:asciiTheme="majorBidi" w:eastAsia="Times New Roman" w:hAnsiTheme="majorBidi" w:cstheme="majorBidi"/>
          <w:sz w:val="20"/>
          <w:szCs w:val="20"/>
          <w:lang w:bidi="ar-AE"/>
        </w:rPr>
        <w:t xml:space="preserve">  </w:t>
      </w:r>
      <w:hyperlink r:id="rId46" w:history="1">
        <w:r w:rsidRPr="00F230F1">
          <w:rPr>
            <w:rStyle w:val="Lienhypertexte"/>
            <w:rFonts w:asciiTheme="majorBidi" w:eastAsia="Times New Roman" w:hAnsiTheme="majorBidi" w:cstheme="majorBidi"/>
            <w:sz w:val="20"/>
            <w:szCs w:val="20"/>
            <w:lang w:bidi="ar-AE"/>
          </w:rPr>
          <w:t>http://islamport.com/d/1/mtn/1/68/2436.html</w:t>
        </w:r>
      </w:hyperlink>
      <w:r w:rsidRPr="00F230F1">
        <w:rPr>
          <w:rFonts w:asciiTheme="majorBidi" w:eastAsia="Times New Roman" w:hAnsiTheme="majorBidi" w:cstheme="majorBidi"/>
          <w:sz w:val="20"/>
          <w:szCs w:val="20"/>
          <w:lang w:bidi="ar-AE"/>
        </w:rPr>
        <w:t xml:space="preserve"> (consultée le 17/07/2017).</w:t>
      </w:r>
    </w:p>
  </w:footnote>
  <w:footnote w:id="129">
    <w:p w14:paraId="43628197"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Ibn Ḥajar Al-ʿAsqalānī, </w:t>
      </w:r>
      <w:r w:rsidRPr="00F230F1">
        <w:rPr>
          <w:rFonts w:asciiTheme="majorBidi" w:eastAsia="Times New Roman" w:hAnsiTheme="majorBidi" w:cstheme="majorBidi"/>
          <w:i/>
          <w:iCs/>
          <w:sz w:val="20"/>
          <w:szCs w:val="20"/>
        </w:rPr>
        <w:t>Fatḥ al-Bārī</w:t>
      </w:r>
      <w:r w:rsidRPr="00F230F1">
        <w:rPr>
          <w:rFonts w:asciiTheme="majorBidi" w:eastAsia="Times New Roman" w:hAnsiTheme="majorBidi" w:cstheme="majorBidi"/>
          <w:sz w:val="20"/>
          <w:szCs w:val="20"/>
        </w:rPr>
        <w:t xml:space="preserve">, première édition imprimée au compte du prince Sultan ben Abdelaziz Al Saoud, Arabie saoudite, 2001, revue par : ʿAbd al-Qādir Shayba al-Ḥamd, tome 8, p. 66. (Version électronique consultée le 17/07/2017 : </w:t>
      </w:r>
      <w:hyperlink r:id="rId47" w:anchor="v=onepage&amp;q&amp;f=false" w:history="1">
        <w:r w:rsidRPr="00F230F1">
          <w:rPr>
            <w:rStyle w:val="Lienhypertexte"/>
            <w:rFonts w:asciiTheme="majorBidi" w:eastAsia="Times New Roman" w:hAnsiTheme="majorBidi" w:cstheme="majorBidi"/>
            <w:sz w:val="20"/>
            <w:szCs w:val="20"/>
          </w:rPr>
          <w:t>https://books.google.fr/books?id=D4NHCwAAQBAJ&amp;printsec=frontcover&amp;hl=fr&amp;source=gbs_ge_summary_r&amp;cad=0#v=onepage&amp;q&amp;f=false</w:t>
        </w:r>
      </w:hyperlink>
      <w:r w:rsidRPr="00F230F1">
        <w:rPr>
          <w:rFonts w:asciiTheme="majorBidi" w:eastAsia="Times New Roman" w:hAnsiTheme="majorBidi" w:cstheme="majorBidi"/>
          <w:sz w:val="20"/>
          <w:szCs w:val="20"/>
        </w:rPr>
        <w:t>).</w:t>
      </w:r>
    </w:p>
  </w:footnote>
  <w:footnote w:id="130">
    <w:p w14:paraId="3512547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Ibn Taymīya,</w:t>
      </w:r>
      <w:r w:rsidRPr="00F230F1">
        <w:rPr>
          <w:rFonts w:asciiTheme="majorBidi" w:hAnsiTheme="majorBidi" w:cstheme="majorBidi"/>
          <w:i/>
          <w:iCs/>
          <w:sz w:val="20"/>
          <w:szCs w:val="20"/>
          <w:lang w:bidi="ar-AE"/>
        </w:rPr>
        <w:t xml:space="preserve"> Majmūʿ Fatāwā Ibn Taymīya</w:t>
      </w:r>
      <w:r w:rsidRPr="00F230F1">
        <w:rPr>
          <w:rFonts w:asciiTheme="majorBidi" w:hAnsiTheme="majorBidi" w:cstheme="majorBidi"/>
          <w:sz w:val="20"/>
          <w:szCs w:val="20"/>
          <w:lang w:bidi="ar-AE"/>
        </w:rPr>
        <w:t>, Le Complexe du Roi Fahd, 1995, tome 4 [</w:t>
      </w:r>
      <w:r w:rsidRPr="00F230F1">
        <w:rPr>
          <w:rFonts w:asciiTheme="majorBidi" w:hAnsiTheme="majorBidi" w:cstheme="majorBidi"/>
          <w:i/>
          <w:iCs/>
          <w:sz w:val="20"/>
          <w:szCs w:val="20"/>
          <w:lang w:bidi="ar-AE"/>
        </w:rPr>
        <w:t>al-ʿaqīda</w:t>
      </w:r>
      <w:r w:rsidRPr="00F230F1">
        <w:rPr>
          <w:rFonts w:asciiTheme="majorBidi" w:hAnsiTheme="majorBidi" w:cstheme="majorBidi"/>
          <w:sz w:val="20"/>
          <w:szCs w:val="20"/>
          <w:lang w:bidi="ar-AE"/>
        </w:rPr>
        <w:t xml:space="preserve">], p. 115. </w:t>
      </w:r>
    </w:p>
  </w:footnote>
  <w:footnote w:id="131">
    <w:p w14:paraId="1B3F7EE6" w14:textId="6F81047A" w:rsidR="009C3BB9" w:rsidRPr="00F230F1" w:rsidRDefault="009C3BB9" w:rsidP="00F230F1">
      <w:pPr>
        <w:contextualSpacing/>
        <w:jc w:val="both"/>
        <w:rPr>
          <w:rFonts w:asciiTheme="majorBidi" w:eastAsia="Calibr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Denis Gril, « Exégèse mystique », in : </w:t>
      </w:r>
      <w:r w:rsidRPr="00F230F1">
        <w:rPr>
          <w:rFonts w:asciiTheme="majorBidi" w:hAnsiTheme="majorBidi" w:cstheme="majorBidi"/>
          <w:i/>
          <w:iCs/>
          <w:sz w:val="20"/>
          <w:szCs w:val="20"/>
        </w:rPr>
        <w:t>Dictionnaire du Coran</w:t>
      </w:r>
      <w:r w:rsidRPr="00F230F1">
        <w:rPr>
          <w:rFonts w:asciiTheme="majorBidi" w:hAnsiTheme="majorBidi" w:cstheme="majorBidi"/>
          <w:sz w:val="20"/>
          <w:szCs w:val="20"/>
        </w:rPr>
        <w:t xml:space="preserve">, </w:t>
      </w:r>
      <w:r w:rsidRPr="00F230F1">
        <w:rPr>
          <w:rFonts w:asciiTheme="majorBidi" w:hAnsiTheme="majorBidi" w:cstheme="majorBidi"/>
          <w:i/>
          <w:sz w:val="20"/>
          <w:szCs w:val="20"/>
        </w:rPr>
        <w:t>op. cit</w:t>
      </w:r>
      <w:r w:rsidRPr="00F230F1">
        <w:rPr>
          <w:rFonts w:asciiTheme="majorBidi" w:hAnsiTheme="majorBidi" w:cstheme="majorBidi"/>
          <w:sz w:val="20"/>
          <w:szCs w:val="20"/>
        </w:rPr>
        <w:t>., p. 301</w:t>
      </w:r>
      <w:r w:rsidRPr="00F230F1">
        <w:rPr>
          <w:rFonts w:asciiTheme="majorBidi" w:eastAsia="Calibri" w:hAnsiTheme="majorBidi" w:cstheme="majorBidi"/>
          <w:sz w:val="20"/>
          <w:szCs w:val="20"/>
        </w:rPr>
        <w:t>.</w:t>
      </w:r>
    </w:p>
  </w:footnote>
  <w:footnote w:id="132">
    <w:p w14:paraId="6DF40855" w14:textId="77777777" w:rsidR="009C3BB9" w:rsidRPr="00F230F1" w:rsidRDefault="009C3BB9" w:rsidP="00F230F1">
      <w:pPr>
        <w:contextualSpacing/>
        <w:jc w:val="both"/>
        <w:rPr>
          <w:rFonts w:asciiTheme="majorBidi" w:eastAsia="Calibr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Tafsīr</w:t>
      </w:r>
      <w:r w:rsidRPr="00F230F1">
        <w:rPr>
          <w:rFonts w:asciiTheme="majorBidi" w:hAnsiTheme="majorBidi" w:cstheme="majorBidi"/>
          <w:sz w:val="20"/>
          <w:szCs w:val="20"/>
        </w:rPr>
        <w:t xml:space="preserve"> Aṭ-Ṭabarī</w:t>
      </w:r>
      <w:r w:rsidRPr="00F230F1">
        <w:rPr>
          <w:rFonts w:asciiTheme="majorBidi" w:eastAsia="Calibri" w:hAnsiTheme="majorBidi" w:cstheme="majorBidi"/>
          <w:sz w:val="20"/>
          <w:szCs w:val="20"/>
        </w:rPr>
        <w:t xml:space="preserve">, verset XVI, 44, </w:t>
      </w:r>
      <w:hyperlink r:id="rId48" w:history="1">
        <w:r w:rsidRPr="00F230F1">
          <w:rPr>
            <w:rStyle w:val="Lienhypertexte"/>
            <w:rFonts w:asciiTheme="majorBidi" w:eastAsia="Calibri" w:hAnsiTheme="majorBidi" w:cstheme="majorBidi"/>
            <w:sz w:val="20"/>
            <w:szCs w:val="20"/>
          </w:rPr>
          <w:t>http://library.islamweb.net/newlibrary/display_book.php?flag=1&amp;bk_no=50&amp;surano=16&amp;ayano=44</w:t>
        </w:r>
      </w:hyperlink>
      <w:r w:rsidRPr="00F230F1">
        <w:rPr>
          <w:rFonts w:asciiTheme="majorBidi" w:eastAsia="Calibri" w:hAnsiTheme="majorBidi" w:cstheme="majorBidi"/>
          <w:sz w:val="20"/>
          <w:szCs w:val="20"/>
        </w:rPr>
        <w:t xml:space="preserve"> (consulté le 03/08/2017).</w:t>
      </w:r>
    </w:p>
  </w:footnote>
  <w:footnote w:id="133">
    <w:p w14:paraId="45F0895C" w14:textId="77777777" w:rsidR="009C3BB9" w:rsidRPr="00F230F1" w:rsidRDefault="009C3BB9" w:rsidP="00F230F1">
      <w:pPr>
        <w:shd w:val="clear" w:color="auto" w:fill="FFFFFF"/>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Khālid ʿAbd Ar-Raḥmān Al-ʿAkk, </w:t>
      </w:r>
      <w:r w:rsidRPr="00F230F1">
        <w:rPr>
          <w:rFonts w:asciiTheme="majorBidi" w:hAnsiTheme="majorBidi" w:cstheme="majorBidi"/>
          <w:i/>
          <w:iCs/>
          <w:sz w:val="20"/>
          <w:szCs w:val="20"/>
        </w:rPr>
        <w:t xml:space="preserve">ʾUṣūl at-tafsīr wa-qawāʿiduhu </w:t>
      </w:r>
      <w:r w:rsidRPr="00F230F1">
        <w:rPr>
          <w:rFonts w:asciiTheme="majorBidi" w:hAnsiTheme="majorBidi" w:cstheme="majorBidi"/>
          <w:sz w:val="20"/>
          <w:szCs w:val="20"/>
        </w:rPr>
        <w:t>[Les principes et les règles de l’exégèse], Éditions Dār An-Nafāʾis, Beyrouth, 2</w:t>
      </w:r>
      <w:r w:rsidRPr="00F230F1">
        <w:rPr>
          <w:rFonts w:asciiTheme="majorBidi" w:hAnsiTheme="majorBidi" w:cstheme="majorBidi"/>
          <w:sz w:val="20"/>
          <w:szCs w:val="20"/>
          <w:vertAlign w:val="superscript"/>
        </w:rPr>
        <w:t>ème</w:t>
      </w:r>
      <w:r w:rsidRPr="00F230F1">
        <w:rPr>
          <w:rFonts w:asciiTheme="majorBidi" w:hAnsiTheme="majorBidi" w:cstheme="majorBidi"/>
          <w:sz w:val="20"/>
          <w:szCs w:val="20"/>
        </w:rPr>
        <w:t xml:space="preserve"> édition, 1986, pp. 249, 250.</w:t>
      </w:r>
    </w:p>
  </w:footnote>
  <w:footnote w:id="134">
    <w:p w14:paraId="37D2583A" w14:textId="77777777" w:rsidR="009C3BB9" w:rsidRPr="00F230F1" w:rsidRDefault="009C3BB9" w:rsidP="00F230F1">
      <w:pPr>
        <w:contextualSpacing/>
        <w:jc w:val="both"/>
        <w:rPr>
          <w:rFonts w:asciiTheme="majorBidi" w:eastAsia="Calibri" w:hAnsiTheme="majorBidi" w:cstheme="majorBidi"/>
          <w:sz w:val="20"/>
          <w:szCs w:val="20"/>
          <w:lang w:eastAsia="it-IT"/>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eastAsia="it-IT"/>
        </w:rPr>
        <w:t xml:space="preserve"> </w:t>
      </w:r>
      <w:r w:rsidRPr="00F230F1">
        <w:rPr>
          <w:rFonts w:asciiTheme="majorBidi" w:hAnsiTheme="majorBidi" w:cstheme="majorBidi"/>
          <w:sz w:val="20"/>
          <w:szCs w:val="20"/>
          <w:lang w:bidi="ar-AE"/>
        </w:rPr>
        <w:t>Voici un exemple entre autres sur la ressemblance flagrante entre le Coran et les anciennes Écritures. Le verset coranique XX, 12 est quasi identique avec le verset biblique 3 : 5 de l’Exode.</w:t>
      </w:r>
      <w:r w:rsidRPr="00F230F1">
        <w:rPr>
          <w:rFonts w:asciiTheme="majorBidi" w:eastAsia="Calibri" w:hAnsiTheme="majorBidi" w:cstheme="majorBidi"/>
          <w:sz w:val="20"/>
          <w:szCs w:val="20"/>
          <w:lang w:eastAsia="it-IT"/>
        </w:rPr>
        <w:t xml:space="preserve"> (Ṣafadī, Muḥammad, « </w:t>
      </w:r>
      <w:r w:rsidRPr="00F230F1">
        <w:rPr>
          <w:rFonts w:asciiTheme="majorBidi" w:eastAsia="Calibri" w:hAnsiTheme="majorBidi" w:cstheme="majorBidi"/>
          <w:i/>
          <w:iCs/>
          <w:sz w:val="20"/>
          <w:szCs w:val="20"/>
          <w:lang w:eastAsia="it-IT"/>
        </w:rPr>
        <w:t xml:space="preserve">Al-wādī al-muqaddas </w:t>
      </w:r>
      <w:r w:rsidRPr="00F230F1">
        <w:rPr>
          <w:rFonts w:asciiTheme="majorBidi" w:hAnsiTheme="majorBidi" w:cstheme="majorBidi"/>
          <w:sz w:val="20"/>
          <w:szCs w:val="20"/>
          <w:lang w:bidi="ar-AE"/>
        </w:rPr>
        <w:t>Ṭuwā</w:t>
      </w:r>
      <w:r w:rsidRPr="00F230F1">
        <w:rPr>
          <w:rFonts w:asciiTheme="majorBidi" w:eastAsia="Calibri" w:hAnsiTheme="majorBidi" w:cstheme="majorBidi"/>
          <w:i/>
          <w:iCs/>
          <w:sz w:val="20"/>
          <w:szCs w:val="20"/>
          <w:lang w:eastAsia="it-IT"/>
        </w:rPr>
        <w:t xml:space="preserve"> wa-al-lugha al-ʿibryya</w:t>
      </w:r>
      <w:r w:rsidRPr="00F230F1">
        <w:rPr>
          <w:rFonts w:asciiTheme="majorBidi" w:eastAsia="Calibri" w:hAnsiTheme="majorBidi" w:cstheme="majorBidi"/>
          <w:sz w:val="20"/>
          <w:szCs w:val="20"/>
          <w:lang w:eastAsia="it-IT"/>
        </w:rPr>
        <w:t xml:space="preserve"> » [« Le Val sacré </w:t>
      </w:r>
      <w:r w:rsidRPr="00F230F1">
        <w:rPr>
          <w:rFonts w:asciiTheme="majorBidi" w:hAnsiTheme="majorBidi" w:cstheme="majorBidi"/>
          <w:i/>
          <w:iCs/>
          <w:sz w:val="20"/>
          <w:szCs w:val="20"/>
          <w:lang w:bidi="ar-AE"/>
        </w:rPr>
        <w:t>Ṭuwā</w:t>
      </w:r>
      <w:r w:rsidRPr="00F230F1">
        <w:rPr>
          <w:rFonts w:asciiTheme="majorBidi" w:eastAsia="Calibri" w:hAnsiTheme="majorBidi" w:cstheme="majorBidi"/>
          <w:sz w:val="20"/>
          <w:szCs w:val="20"/>
          <w:lang w:eastAsia="it-IT"/>
        </w:rPr>
        <w:t xml:space="preserve"> et l’hébreu »], site web </w:t>
      </w:r>
      <w:r w:rsidRPr="00F230F1">
        <w:rPr>
          <w:rFonts w:asciiTheme="majorBidi" w:eastAsia="Calibri" w:hAnsiTheme="majorBidi" w:cstheme="majorBidi"/>
          <w:i/>
          <w:iCs/>
          <w:sz w:val="20"/>
          <w:szCs w:val="20"/>
          <w:lang w:eastAsia="it-IT"/>
        </w:rPr>
        <w:t>Al-Ḥiwār al-Mutamaddin</w:t>
      </w:r>
      <w:r w:rsidRPr="00F230F1">
        <w:rPr>
          <w:rFonts w:asciiTheme="majorBidi" w:eastAsia="Calibri" w:hAnsiTheme="majorBidi" w:cstheme="majorBidi"/>
          <w:sz w:val="20"/>
          <w:szCs w:val="20"/>
          <w:lang w:eastAsia="it-IT"/>
        </w:rPr>
        <w:t>, n° 2657, 25/05/2009. Saʿdāwī, ʿAlī, « </w:t>
      </w:r>
      <w:r w:rsidRPr="00F230F1">
        <w:rPr>
          <w:rFonts w:asciiTheme="majorBidi" w:eastAsia="Calibri" w:hAnsiTheme="majorBidi" w:cstheme="majorBidi"/>
          <w:i/>
          <w:iCs/>
          <w:sz w:val="20"/>
          <w:szCs w:val="20"/>
          <w:lang w:eastAsia="it-IT"/>
        </w:rPr>
        <w:t xml:space="preserve">Al-wādī al-muqaddas </w:t>
      </w:r>
      <w:r w:rsidRPr="00F230F1">
        <w:rPr>
          <w:rFonts w:asciiTheme="majorBidi" w:hAnsiTheme="majorBidi" w:cstheme="majorBidi"/>
          <w:sz w:val="20"/>
          <w:szCs w:val="20"/>
          <w:lang w:bidi="ar-AE"/>
        </w:rPr>
        <w:t>Ṭuwā</w:t>
      </w:r>
      <w:r w:rsidRPr="00F230F1">
        <w:rPr>
          <w:rFonts w:asciiTheme="majorBidi" w:eastAsia="Calibri" w:hAnsiTheme="majorBidi" w:cstheme="majorBidi"/>
          <w:i/>
          <w:iCs/>
          <w:sz w:val="20"/>
          <w:szCs w:val="20"/>
          <w:lang w:eastAsia="it-IT"/>
        </w:rPr>
        <w:t>, khaṭaʾ fi t-tarjama </w:t>
      </w:r>
      <w:r w:rsidRPr="00F230F1">
        <w:rPr>
          <w:rFonts w:asciiTheme="majorBidi" w:eastAsia="Calibri" w:hAnsiTheme="majorBidi" w:cstheme="majorBidi"/>
          <w:sz w:val="20"/>
          <w:szCs w:val="20"/>
          <w:lang w:eastAsia="it-IT"/>
        </w:rPr>
        <w:t xml:space="preserve">» [« Le Val sacré </w:t>
      </w:r>
      <w:r w:rsidRPr="00F230F1">
        <w:rPr>
          <w:rFonts w:asciiTheme="majorBidi" w:hAnsiTheme="majorBidi" w:cstheme="majorBidi"/>
          <w:i/>
          <w:iCs/>
          <w:sz w:val="20"/>
          <w:szCs w:val="20"/>
          <w:lang w:bidi="ar-AE"/>
        </w:rPr>
        <w:t>Ṭuwā</w:t>
      </w:r>
      <w:r w:rsidRPr="00F230F1">
        <w:rPr>
          <w:rFonts w:asciiTheme="majorBidi" w:eastAsia="Calibri" w:hAnsiTheme="majorBidi" w:cstheme="majorBidi"/>
          <w:sz w:val="20"/>
          <w:szCs w:val="20"/>
          <w:lang w:eastAsia="it-IT"/>
        </w:rPr>
        <w:t xml:space="preserve">, une erreur de traduction], blog </w:t>
      </w:r>
      <w:r w:rsidRPr="00F230F1">
        <w:rPr>
          <w:rFonts w:asciiTheme="majorBidi" w:eastAsia="Calibri" w:hAnsiTheme="majorBidi" w:cstheme="majorBidi"/>
          <w:i/>
          <w:iCs/>
          <w:sz w:val="20"/>
          <w:szCs w:val="20"/>
          <w:lang w:eastAsia="it-IT"/>
        </w:rPr>
        <w:t>Iktashif ḥaqīqat al-Islām</w:t>
      </w:r>
      <w:r w:rsidRPr="00F230F1">
        <w:rPr>
          <w:rFonts w:asciiTheme="majorBidi" w:eastAsia="Calibri" w:hAnsiTheme="majorBidi" w:cstheme="majorBidi"/>
          <w:sz w:val="20"/>
          <w:szCs w:val="20"/>
          <w:lang w:eastAsia="it-IT"/>
        </w:rPr>
        <w:t>, 2011.)</w:t>
      </w:r>
    </w:p>
    <w:tbl>
      <w:tblPr>
        <w:tblStyle w:val="Grilledutableau"/>
        <w:tblW w:w="8719" w:type="dxa"/>
        <w:jc w:val="center"/>
        <w:tblLook w:val="04A0" w:firstRow="1" w:lastRow="0" w:firstColumn="1" w:lastColumn="0" w:noHBand="0" w:noVBand="1"/>
      </w:tblPr>
      <w:tblGrid>
        <w:gridCol w:w="8719"/>
      </w:tblGrid>
      <w:tr w:rsidR="009C3BB9" w:rsidRPr="00F230F1" w14:paraId="202B9185" w14:textId="77777777">
        <w:trPr>
          <w:jc w:val="center"/>
        </w:trPr>
        <w:tc>
          <w:tcPr>
            <w:tcW w:w="8719" w:type="dxa"/>
          </w:tcPr>
          <w:p w14:paraId="1B8F7FB1" w14:textId="77777777" w:rsidR="009C3BB9" w:rsidRPr="00F230F1" w:rsidRDefault="009C3BB9" w:rsidP="00F230F1">
            <w:pPr>
              <w:contextualSpacing/>
              <w:jc w:val="both"/>
              <w:rPr>
                <w:rFonts w:asciiTheme="majorBidi" w:hAnsiTheme="majorBidi" w:cstheme="majorBidi"/>
                <w:sz w:val="20"/>
                <w:szCs w:val="20"/>
                <w:rtl/>
                <w:lang w:bidi="ar-KW"/>
              </w:rPr>
            </w:pPr>
            <w:r w:rsidRPr="00F230F1">
              <w:rPr>
                <w:rFonts w:asciiTheme="majorBidi" w:hAnsiTheme="majorBidi" w:cstheme="majorBidi"/>
                <w:sz w:val="20"/>
                <w:szCs w:val="20"/>
                <w:shd w:val="clear" w:color="auto" w:fill="FFFFFF"/>
                <w:rtl/>
              </w:rPr>
              <w:t xml:space="preserve">فاخْلَعْ نَعلَيكَ إنَّكَ بِالْوَادِ المُقَدَّسِ </w:t>
            </w:r>
            <w:r w:rsidRPr="00F230F1">
              <w:rPr>
                <w:rFonts w:asciiTheme="majorBidi" w:hAnsiTheme="majorBidi" w:cstheme="majorBidi"/>
                <w:b/>
                <w:bCs/>
                <w:sz w:val="20"/>
                <w:szCs w:val="20"/>
                <w:shd w:val="clear" w:color="auto" w:fill="FFFFFF"/>
                <w:rtl/>
              </w:rPr>
              <w:t>طُوى</w:t>
            </w:r>
            <w:r w:rsidRPr="00F230F1">
              <w:rPr>
                <w:rFonts w:asciiTheme="majorBidi" w:hAnsiTheme="majorBidi" w:cstheme="majorBidi"/>
                <w:sz w:val="20"/>
                <w:szCs w:val="20"/>
                <w:shd w:val="clear" w:color="auto" w:fill="FFFFFF"/>
                <w:rtl/>
                <w:lang w:bidi="ar-KW"/>
              </w:rPr>
              <w:t>. (طه، 12)</w:t>
            </w:r>
          </w:p>
          <w:p w14:paraId="6B225BE0" w14:textId="77777777" w:rsidR="009C3BB9" w:rsidRPr="00F230F1" w:rsidRDefault="009C3BB9" w:rsidP="00F230F1">
            <w:pPr>
              <w:contextualSpacing/>
              <w:jc w:val="both"/>
              <w:rPr>
                <w:rFonts w:asciiTheme="majorBidi" w:hAnsiTheme="majorBidi" w:cstheme="majorBidi"/>
                <w:sz w:val="20"/>
                <w:szCs w:val="20"/>
                <w:lang w:bidi="ar-KW"/>
              </w:rPr>
            </w:pPr>
            <w:r w:rsidRPr="00F230F1">
              <w:rPr>
                <w:rFonts w:asciiTheme="majorBidi" w:hAnsiTheme="majorBidi" w:cstheme="majorBidi"/>
                <w:i/>
                <w:iCs/>
                <w:sz w:val="20"/>
                <w:szCs w:val="20"/>
                <w:lang w:bidi="ar-AE"/>
              </w:rPr>
              <w:t xml:space="preserve">Fa-khlaʿ naʿlayka innaka bi-l-wādi l-muqaddasi </w:t>
            </w:r>
            <w:r w:rsidRPr="00F230F1">
              <w:rPr>
                <w:rFonts w:asciiTheme="majorBidi" w:hAnsiTheme="majorBidi" w:cstheme="majorBidi"/>
                <w:b/>
                <w:bCs/>
                <w:i/>
                <w:iCs/>
                <w:sz w:val="20"/>
                <w:szCs w:val="20"/>
                <w:lang w:bidi="ar-AE"/>
              </w:rPr>
              <w:t>Ṭuwā</w:t>
            </w:r>
            <w:r w:rsidRPr="00F230F1">
              <w:rPr>
                <w:rFonts w:asciiTheme="majorBidi" w:hAnsiTheme="majorBidi" w:cstheme="majorBidi"/>
                <w:i/>
                <w:iCs/>
                <w:sz w:val="20"/>
                <w:szCs w:val="20"/>
                <w:lang w:bidi="ar-AE"/>
              </w:rPr>
              <w:t>.</w:t>
            </w:r>
            <w:r w:rsidRPr="00F230F1">
              <w:rPr>
                <w:rFonts w:asciiTheme="majorBidi" w:hAnsiTheme="majorBidi" w:cstheme="majorBidi"/>
                <w:sz w:val="20"/>
                <w:szCs w:val="20"/>
                <w:lang w:bidi="ar-AE"/>
              </w:rPr>
              <w:t xml:space="preserve"> (Coran, Ṭāhā, 12)</w:t>
            </w:r>
          </w:p>
        </w:tc>
      </w:tr>
      <w:tr w:rsidR="009C3BB9" w:rsidRPr="00F230F1" w14:paraId="6ACB80CB" w14:textId="77777777">
        <w:trPr>
          <w:jc w:val="center"/>
        </w:trPr>
        <w:tc>
          <w:tcPr>
            <w:tcW w:w="8719" w:type="dxa"/>
          </w:tcPr>
          <w:p w14:paraId="427A5995" w14:textId="77777777" w:rsidR="009C3BB9" w:rsidRPr="00F230F1" w:rsidRDefault="009C3BB9" w:rsidP="00F230F1">
            <w:pPr>
              <w:contextualSpacing/>
              <w:jc w:val="both"/>
              <w:rPr>
                <w:rFonts w:asciiTheme="majorBidi" w:hAnsiTheme="majorBidi" w:cstheme="majorBidi"/>
                <w:sz w:val="20"/>
                <w:szCs w:val="20"/>
                <w:lang w:bidi="ar-AE"/>
              </w:rPr>
            </w:pPr>
            <w:r w:rsidRPr="00F230F1">
              <w:rPr>
                <w:rFonts w:asciiTheme="majorBidi" w:hAnsiTheme="majorBidi" w:cstheme="majorBidi"/>
                <w:sz w:val="20"/>
                <w:szCs w:val="20"/>
                <w:lang w:bidi="ar-AE"/>
              </w:rPr>
              <w:t xml:space="preserve">Retire tes sandales. Tu te trouves dans le Val sacré de </w:t>
            </w:r>
            <w:r w:rsidRPr="00F230F1">
              <w:rPr>
                <w:rFonts w:asciiTheme="majorBidi" w:hAnsiTheme="majorBidi" w:cstheme="majorBidi"/>
                <w:b/>
                <w:bCs/>
                <w:sz w:val="20"/>
                <w:szCs w:val="20"/>
                <w:lang w:bidi="ar-AE"/>
              </w:rPr>
              <w:t>Tuwâ*</w:t>
            </w:r>
            <w:r w:rsidRPr="00F230F1">
              <w:rPr>
                <w:rFonts w:asciiTheme="majorBidi" w:hAnsiTheme="majorBidi" w:cstheme="majorBidi"/>
                <w:sz w:val="20"/>
                <w:szCs w:val="20"/>
                <w:lang w:bidi="ar-AE"/>
              </w:rPr>
              <w:t xml:space="preserve"> [NDT : </w:t>
            </w:r>
            <w:r w:rsidRPr="00F230F1">
              <w:rPr>
                <w:rFonts w:asciiTheme="majorBidi" w:hAnsiTheme="majorBidi" w:cstheme="majorBidi"/>
                <w:b/>
                <w:bCs/>
                <w:i/>
                <w:iCs/>
                <w:sz w:val="20"/>
                <w:szCs w:val="20"/>
                <w:lang w:bidi="ar-AE"/>
              </w:rPr>
              <w:t>Tuwâ</w:t>
            </w:r>
            <w:r w:rsidRPr="00F230F1">
              <w:rPr>
                <w:rFonts w:asciiTheme="majorBidi" w:hAnsiTheme="majorBidi" w:cstheme="majorBidi"/>
                <w:b/>
                <w:bCs/>
                <w:sz w:val="20"/>
                <w:szCs w:val="20"/>
                <w:lang w:bidi="ar-AE"/>
              </w:rPr>
              <w:t>, mot énigmatique</w:t>
            </w:r>
            <w:r w:rsidRPr="00F230F1">
              <w:rPr>
                <w:rFonts w:asciiTheme="majorBidi" w:hAnsiTheme="majorBidi" w:cstheme="majorBidi"/>
                <w:sz w:val="20"/>
                <w:szCs w:val="20"/>
                <w:lang w:bidi="ar-AE"/>
              </w:rPr>
              <w:t>] (Coran, trad. Berque).</w:t>
            </w:r>
          </w:p>
        </w:tc>
      </w:tr>
      <w:tr w:rsidR="009C3BB9" w:rsidRPr="00F230F1" w14:paraId="1D3E5470" w14:textId="77777777">
        <w:trPr>
          <w:jc w:val="center"/>
        </w:trPr>
        <w:tc>
          <w:tcPr>
            <w:tcW w:w="8719" w:type="dxa"/>
          </w:tcPr>
          <w:p w14:paraId="1C18D985" w14:textId="77777777" w:rsidR="009C3BB9" w:rsidRPr="00F230F1" w:rsidRDefault="009C3BB9" w:rsidP="00F230F1">
            <w:pPr>
              <w:shd w:val="clear" w:color="auto" w:fill="FFFFFF"/>
              <w:contextualSpacing/>
              <w:jc w:val="both"/>
              <w:rPr>
                <w:rFonts w:asciiTheme="majorBidi" w:hAnsiTheme="majorBidi" w:cstheme="majorBidi"/>
                <w:color w:val="000000"/>
                <w:sz w:val="20"/>
                <w:szCs w:val="20"/>
                <w:shd w:val="clear" w:color="auto" w:fill="FFFFFF"/>
              </w:rPr>
            </w:pPr>
            <w:r w:rsidRPr="00F230F1">
              <w:rPr>
                <w:rFonts w:asciiTheme="majorBidi" w:hAnsiTheme="majorBidi" w:cstheme="majorBidi"/>
                <w:sz w:val="20"/>
                <w:szCs w:val="20"/>
                <w:rtl/>
                <w:lang w:bidi="he-IL"/>
              </w:rPr>
              <w:t xml:space="preserve">שַׁל-נְעָלֶיךָ, מֵעַל רַגְלֶיךָ--כִּי הַמָּקוֹם אֲשֶׁר אַתָּה עוֹמֵד עָלָיו, אַדְמַת-קֹדֶשׁ </w:t>
            </w:r>
            <w:r w:rsidRPr="00F230F1">
              <w:rPr>
                <w:rFonts w:asciiTheme="majorBidi" w:hAnsiTheme="majorBidi" w:cstheme="majorBidi"/>
                <w:b/>
                <w:bCs/>
                <w:i/>
                <w:iCs/>
                <w:sz w:val="20"/>
                <w:szCs w:val="20"/>
                <w:rtl/>
                <w:lang w:bidi="he-IL"/>
              </w:rPr>
              <w:t>הוּא</w:t>
            </w:r>
            <w:r w:rsidRPr="00F230F1">
              <w:rPr>
                <w:rFonts w:asciiTheme="majorBidi" w:hAnsiTheme="majorBidi" w:cstheme="majorBidi"/>
                <w:sz w:val="20"/>
                <w:szCs w:val="20"/>
              </w:rPr>
              <w:t>.</w:t>
            </w:r>
            <w:r w:rsidRPr="00F230F1">
              <w:rPr>
                <w:rFonts w:asciiTheme="majorBidi" w:hAnsiTheme="majorBidi" w:cstheme="majorBidi"/>
                <w:sz w:val="20"/>
                <w:szCs w:val="20"/>
                <w:lang w:bidi="ar-AE"/>
              </w:rPr>
              <w:t xml:space="preserve"> (</w:t>
            </w:r>
            <w:r w:rsidRPr="00F230F1">
              <w:rPr>
                <w:rFonts w:asciiTheme="majorBidi" w:hAnsiTheme="majorBidi" w:cstheme="majorBidi"/>
                <w:color w:val="000000"/>
                <w:sz w:val="20"/>
                <w:szCs w:val="20"/>
                <w:shd w:val="clear" w:color="auto" w:fill="FFFFFF"/>
              </w:rPr>
              <w:t>Exodus Chapter 3</w:t>
            </w:r>
            <w:r w:rsidRPr="00F230F1">
              <w:rPr>
                <w:rFonts w:asciiTheme="majorBidi" w:hAnsiTheme="majorBidi" w:cstheme="majorBidi"/>
                <w:sz w:val="20"/>
                <w:szCs w:val="20"/>
                <w:shd w:val="clear" w:color="auto" w:fill="FFFFFF"/>
              </w:rPr>
              <w:t> </w:t>
            </w:r>
            <w:r w:rsidRPr="00F230F1">
              <w:rPr>
                <w:rFonts w:asciiTheme="majorBidi" w:hAnsiTheme="majorBidi" w:cstheme="majorBidi"/>
                <w:sz w:val="20"/>
                <w:szCs w:val="20"/>
                <w:shd w:val="clear" w:color="auto" w:fill="FFFFFF"/>
                <w:rtl/>
                <w:lang w:bidi="he-IL"/>
              </w:rPr>
              <w:t>שְׁמוֹת</w:t>
            </w:r>
            <w:r w:rsidRPr="00F230F1">
              <w:rPr>
                <w:rFonts w:asciiTheme="majorBidi" w:hAnsiTheme="majorBidi" w:cstheme="majorBidi"/>
                <w:color w:val="000000"/>
                <w:sz w:val="20"/>
                <w:szCs w:val="20"/>
                <w:shd w:val="clear" w:color="auto" w:fill="FFFFFF"/>
              </w:rPr>
              <w:t xml:space="preserve">, site Mechon Mamre, </w:t>
            </w:r>
            <w:hyperlink r:id="rId49" w:history="1">
              <w:r w:rsidRPr="00F230F1">
                <w:rPr>
                  <w:rStyle w:val="Lienhypertexte"/>
                  <w:rFonts w:asciiTheme="majorBidi" w:hAnsiTheme="majorBidi" w:cstheme="majorBidi"/>
                  <w:sz w:val="20"/>
                  <w:szCs w:val="20"/>
                  <w:shd w:val="clear" w:color="auto" w:fill="FFFFFF"/>
                </w:rPr>
                <w:t>http://www.mechon-mamre.org/p/pt/pt0203.htm</w:t>
              </w:r>
            </w:hyperlink>
            <w:r w:rsidRPr="00F230F1">
              <w:rPr>
                <w:rFonts w:asciiTheme="majorBidi" w:hAnsiTheme="majorBidi" w:cstheme="majorBidi"/>
                <w:color w:val="000000"/>
                <w:sz w:val="20"/>
                <w:szCs w:val="20"/>
                <w:shd w:val="clear" w:color="auto" w:fill="FFFFFF"/>
              </w:rPr>
              <w:t>)</w:t>
            </w:r>
          </w:p>
          <w:p w14:paraId="005D7AD8"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Fonts w:asciiTheme="majorBidi" w:hAnsiTheme="majorBidi" w:cstheme="majorBidi"/>
                <w:i/>
                <w:iCs/>
                <w:sz w:val="20"/>
                <w:szCs w:val="20"/>
              </w:rPr>
              <w:t xml:space="preserve">Shāl naʿlīkhā maʿāl rijlīkhā kī hamkom ashīr ata ʿomīd ʿlāf admāt qodesh </w:t>
            </w:r>
            <w:r w:rsidRPr="00F230F1">
              <w:rPr>
                <w:rFonts w:asciiTheme="majorBidi" w:hAnsiTheme="majorBidi" w:cstheme="majorBidi"/>
                <w:b/>
                <w:bCs/>
                <w:i/>
                <w:iCs/>
                <w:sz w:val="20"/>
                <w:szCs w:val="20"/>
              </w:rPr>
              <w:t>huwa</w:t>
            </w:r>
            <w:r w:rsidRPr="00F230F1">
              <w:rPr>
                <w:rFonts w:asciiTheme="majorBidi" w:hAnsiTheme="majorBidi" w:cstheme="majorBidi"/>
                <w:i/>
                <w:iCs/>
                <w:sz w:val="20"/>
                <w:szCs w:val="20"/>
              </w:rPr>
              <w:t>.</w:t>
            </w:r>
          </w:p>
        </w:tc>
      </w:tr>
      <w:tr w:rsidR="009C3BB9" w:rsidRPr="00F230F1" w14:paraId="7C391EE6" w14:textId="77777777">
        <w:trPr>
          <w:jc w:val="center"/>
        </w:trPr>
        <w:tc>
          <w:tcPr>
            <w:tcW w:w="8719" w:type="dxa"/>
          </w:tcPr>
          <w:p w14:paraId="7B3A075B" w14:textId="77777777" w:rsidR="009C3BB9" w:rsidRPr="00F230F1" w:rsidRDefault="009C3BB9" w:rsidP="00F230F1">
            <w:pPr>
              <w:contextualSpacing/>
              <w:jc w:val="both"/>
              <w:rPr>
                <w:rFonts w:asciiTheme="majorBidi" w:hAnsiTheme="majorBidi" w:cstheme="majorBidi"/>
                <w:sz w:val="20"/>
                <w:szCs w:val="20"/>
                <w:shd w:val="clear" w:color="auto" w:fill="FFFFFF"/>
                <w:lang w:bidi="ar-KW"/>
              </w:rPr>
            </w:pPr>
            <w:r w:rsidRPr="00F230F1">
              <w:rPr>
                <w:rFonts w:asciiTheme="majorBidi" w:hAnsiTheme="majorBidi" w:cstheme="majorBidi"/>
                <w:sz w:val="20"/>
                <w:szCs w:val="20"/>
                <w:shd w:val="clear" w:color="auto" w:fill="FFFFFF"/>
              </w:rPr>
              <w:t xml:space="preserve">« put off thy shoes from off thy feet, for the place whereon thou standest is holy ground. </w:t>
            </w:r>
            <w:r w:rsidRPr="00F230F1">
              <w:rPr>
                <w:rFonts w:asciiTheme="majorBidi" w:hAnsiTheme="majorBidi" w:cstheme="majorBidi"/>
                <w:b/>
                <w:bCs/>
                <w:sz w:val="20"/>
                <w:szCs w:val="20"/>
                <w:shd w:val="clear" w:color="auto" w:fill="FFFFFF"/>
              </w:rPr>
              <w:t>[</w:t>
            </w:r>
            <w:r w:rsidRPr="00F230F1">
              <w:rPr>
                <w:rFonts w:ascii="MS Mincho" w:eastAsia="MS Mincho" w:hAnsi="MS Mincho" w:cs="MS Mincho"/>
                <w:b/>
                <w:bCs/>
                <w:sz w:val="20"/>
                <w:szCs w:val="20"/>
                <w:shd w:val="clear" w:color="auto" w:fill="F9F9F9"/>
              </w:rPr>
              <w:t>∅</w:t>
            </w:r>
            <w:r w:rsidRPr="00F230F1">
              <w:rPr>
                <w:rFonts w:asciiTheme="majorBidi" w:hAnsiTheme="majorBidi" w:cstheme="majorBidi"/>
                <w:b/>
                <w:bCs/>
                <w:sz w:val="20"/>
                <w:szCs w:val="20"/>
                <w:shd w:val="clear" w:color="auto" w:fill="FFFFFF"/>
              </w:rPr>
              <w:t>]</w:t>
            </w:r>
            <w:r w:rsidRPr="00F230F1">
              <w:rPr>
                <w:rFonts w:asciiTheme="majorBidi" w:hAnsiTheme="majorBidi" w:cstheme="majorBidi"/>
                <w:sz w:val="20"/>
                <w:szCs w:val="20"/>
                <w:shd w:val="clear" w:color="auto" w:fill="FFFFFF"/>
              </w:rPr>
              <w:t> » (Exodus Chapter 3</w:t>
            </w:r>
            <w:r w:rsidRPr="00F230F1">
              <w:rPr>
                <w:rFonts w:asciiTheme="majorBidi" w:hAnsiTheme="majorBidi" w:cstheme="majorBidi"/>
                <w:sz w:val="20"/>
                <w:szCs w:val="20"/>
                <w:lang w:bidi="ar-AE"/>
              </w:rPr>
              <w:t>)</w:t>
            </w:r>
          </w:p>
        </w:tc>
      </w:tr>
      <w:tr w:rsidR="009C3BB9" w:rsidRPr="00F230F1" w14:paraId="1A814AB6" w14:textId="77777777">
        <w:trPr>
          <w:jc w:val="center"/>
        </w:trPr>
        <w:tc>
          <w:tcPr>
            <w:tcW w:w="8719" w:type="dxa"/>
          </w:tcPr>
          <w:p w14:paraId="36634CAD" w14:textId="77777777" w:rsidR="009C3BB9" w:rsidRPr="00F230F1" w:rsidRDefault="009C3BB9" w:rsidP="00F230F1">
            <w:pPr>
              <w:shd w:val="clear" w:color="auto" w:fill="FFFFFF"/>
              <w:contextualSpacing/>
              <w:jc w:val="both"/>
              <w:rPr>
                <w:rFonts w:asciiTheme="majorBidi" w:hAnsiTheme="majorBidi" w:cstheme="majorBidi"/>
                <w:sz w:val="20"/>
                <w:szCs w:val="20"/>
                <w:lang w:bidi="ar-KW"/>
              </w:rPr>
            </w:pPr>
            <w:r w:rsidRPr="00F230F1">
              <w:rPr>
                <w:rFonts w:asciiTheme="majorBidi" w:hAnsiTheme="majorBidi" w:cstheme="majorBidi"/>
                <w:sz w:val="20"/>
                <w:szCs w:val="20"/>
                <w:shd w:val="clear" w:color="auto" w:fill="FDFEFF"/>
              </w:rPr>
              <w:t>« ôte tes souliers de tes pieds, car le lieu sur lequel tu te tiens est une terre sainte.</w:t>
            </w:r>
            <w:r w:rsidRPr="00F230F1">
              <w:rPr>
                <w:rFonts w:asciiTheme="majorBidi" w:hAnsiTheme="majorBidi" w:cstheme="majorBidi"/>
                <w:b/>
                <w:bCs/>
                <w:sz w:val="20"/>
                <w:szCs w:val="20"/>
                <w:shd w:val="clear" w:color="auto" w:fill="FFFFFF"/>
              </w:rPr>
              <w:t xml:space="preserve"> [</w:t>
            </w:r>
            <w:r w:rsidRPr="00F230F1">
              <w:rPr>
                <w:rFonts w:ascii="MS Mincho" w:eastAsia="MS Mincho" w:hAnsi="MS Mincho" w:cs="MS Mincho"/>
                <w:b/>
                <w:bCs/>
                <w:sz w:val="20"/>
                <w:szCs w:val="20"/>
                <w:shd w:val="clear" w:color="auto" w:fill="F9F9F9"/>
              </w:rPr>
              <w:t>∅</w:t>
            </w:r>
            <w:r w:rsidRPr="00F230F1">
              <w:rPr>
                <w:rFonts w:asciiTheme="majorBidi" w:hAnsiTheme="majorBidi" w:cstheme="majorBidi"/>
                <w:b/>
                <w:bCs/>
                <w:sz w:val="20"/>
                <w:szCs w:val="20"/>
                <w:shd w:val="clear" w:color="auto" w:fill="FFFFFF"/>
              </w:rPr>
              <w:t>]</w:t>
            </w:r>
            <w:r w:rsidRPr="00F230F1">
              <w:rPr>
                <w:rFonts w:asciiTheme="majorBidi" w:hAnsiTheme="majorBidi" w:cstheme="majorBidi"/>
                <w:sz w:val="20"/>
                <w:szCs w:val="20"/>
                <w:lang w:bidi="ar-KW"/>
              </w:rPr>
              <w:t xml:space="preserve"> » (Exode 3 : 5, </w:t>
            </w:r>
            <w:r w:rsidRPr="00F230F1">
              <w:rPr>
                <w:rFonts w:asciiTheme="majorBidi" w:hAnsiTheme="majorBidi" w:cstheme="majorBidi"/>
                <w:sz w:val="20"/>
                <w:szCs w:val="20"/>
                <w:shd w:val="clear" w:color="auto" w:fill="FDFEFF"/>
              </w:rPr>
              <w:t>trad. Louis Segond</w:t>
            </w:r>
            <w:r w:rsidRPr="00F230F1">
              <w:rPr>
                <w:rFonts w:asciiTheme="majorBidi" w:hAnsiTheme="majorBidi" w:cstheme="majorBidi"/>
                <w:sz w:val="20"/>
                <w:szCs w:val="20"/>
                <w:lang w:bidi="ar-KW"/>
              </w:rPr>
              <w:t>).</w:t>
            </w:r>
          </w:p>
        </w:tc>
      </w:tr>
    </w:tbl>
    <w:p w14:paraId="6D1BF4FE" w14:textId="77777777" w:rsidR="009C3BB9" w:rsidRPr="00F230F1" w:rsidRDefault="009C3BB9" w:rsidP="00F230F1">
      <w:pPr>
        <w:contextualSpacing/>
        <w:jc w:val="both"/>
        <w:rPr>
          <w:rFonts w:asciiTheme="majorBidi" w:hAnsiTheme="majorBidi" w:cstheme="majorBidi"/>
          <w:color w:val="FF0000"/>
          <w:sz w:val="20"/>
          <w:szCs w:val="20"/>
          <w:bdr w:val="none" w:sz="0" w:space="0" w:color="auto" w:frame="1"/>
        </w:rPr>
      </w:pPr>
      <w:r w:rsidRPr="00F230F1">
        <w:rPr>
          <w:rFonts w:asciiTheme="majorBidi" w:hAnsiTheme="majorBidi" w:cstheme="majorBidi"/>
          <w:sz w:val="20"/>
          <w:szCs w:val="20"/>
          <w:shd w:val="clear" w:color="auto" w:fill="FFFFFF"/>
          <w:lang w:bidi="ar-KW"/>
        </w:rPr>
        <w:t xml:space="preserve">Un hadith souligne l’opération de la traduction de l’Évangile depuis l’hébreu vers l’arabe réalisée par Waraqa b. Nawfal, le cousin de Khadija, la première épouse du prophète de l’islam, et probablement le maître spirituel de ce dernier, d’autant plus que, selon </w:t>
      </w:r>
      <w:r w:rsidRPr="00F230F1">
        <w:rPr>
          <w:rFonts w:asciiTheme="majorBidi" w:hAnsiTheme="majorBidi" w:cstheme="majorBidi"/>
          <w:sz w:val="20"/>
          <w:szCs w:val="20"/>
          <w:bdr w:val="none" w:sz="0" w:space="0" w:color="auto" w:frame="1"/>
        </w:rPr>
        <w:t>Al-Bukhārī, « lorsque Waraqa est décédé, la révélation s’est tarie</w:t>
      </w:r>
      <w:r w:rsidRPr="00F230F1">
        <w:rPr>
          <w:rStyle w:val="apple-converted-space"/>
          <w:rFonts w:asciiTheme="majorBidi" w:hAnsiTheme="majorBidi" w:cstheme="majorBidi"/>
          <w:sz w:val="20"/>
          <w:szCs w:val="20"/>
          <w:bdr w:val="none" w:sz="0" w:space="0" w:color="auto" w:frame="1"/>
        </w:rPr>
        <w:t> »</w:t>
      </w:r>
      <w:r w:rsidRPr="00F230F1">
        <w:rPr>
          <w:rFonts w:asciiTheme="majorBidi" w:hAnsiTheme="majorBidi" w:cstheme="majorBidi"/>
          <w:sz w:val="20"/>
          <w:szCs w:val="20"/>
          <w:bdr w:val="none" w:sz="0" w:space="0" w:color="auto" w:frame="1"/>
        </w:rPr>
        <w:t xml:space="preserve">. Le hadith rapporté par Al-Bukhārī dit : </w:t>
      </w:r>
      <w:r w:rsidRPr="00F230F1">
        <w:rPr>
          <w:rFonts w:asciiTheme="majorBidi" w:hAnsiTheme="majorBidi" w:cstheme="majorBidi"/>
          <w:sz w:val="20"/>
          <w:szCs w:val="20"/>
          <w:shd w:val="clear" w:color="auto" w:fill="FFFFFF"/>
          <w:lang w:bidi="ar-KW"/>
        </w:rPr>
        <w:t>« </w:t>
      </w:r>
      <w:r w:rsidRPr="00F230F1">
        <w:rPr>
          <w:rFonts w:asciiTheme="majorBidi" w:hAnsiTheme="majorBidi" w:cstheme="majorBidi"/>
          <w:sz w:val="20"/>
          <w:szCs w:val="20"/>
          <w:bdr w:val="none" w:sz="0" w:space="0" w:color="auto" w:frame="1"/>
        </w:rPr>
        <w:t>Ensuite Khadija le conduisit chez son cousin du côté de son père Waraqa b. Nawfal b. Asad b. ʿAbd al-ʿUzzā b. Quṣay. Celui-ci avait embrassé le christianisme pendant la période préislamique, et il avait pris l’habitude de transcrire l’Écriture hébraïque. Il copiait toute la partie de l’Évangile des Hébreux que Dieu avait voulu qu’il transcrivit. Waraqa était âgé et il a perdu la vue. […] Ensuite Waraqa ne tarda pas à décéder et la révélation se tarit</w:t>
      </w:r>
      <w:r w:rsidRPr="00F230F1">
        <w:rPr>
          <w:rStyle w:val="apple-converted-space"/>
          <w:rFonts w:asciiTheme="majorBidi" w:hAnsiTheme="majorBidi" w:cstheme="majorBidi"/>
          <w:sz w:val="20"/>
          <w:szCs w:val="20"/>
          <w:bdr w:val="none" w:sz="0" w:space="0" w:color="auto" w:frame="1"/>
        </w:rPr>
        <w:t> »</w:t>
      </w:r>
      <w:r w:rsidRPr="00F230F1">
        <w:rPr>
          <w:rFonts w:asciiTheme="majorBidi" w:hAnsiTheme="majorBidi" w:cstheme="majorBidi"/>
          <w:sz w:val="20"/>
          <w:szCs w:val="20"/>
          <w:bdr w:val="none" w:sz="0" w:space="0" w:color="auto" w:frame="1"/>
        </w:rPr>
        <w:t>. (</w:t>
      </w:r>
      <w:r w:rsidRPr="00F230F1">
        <w:rPr>
          <w:rFonts w:asciiTheme="majorBidi" w:hAnsiTheme="majorBidi" w:cstheme="majorBidi"/>
          <w:i/>
          <w:iCs/>
          <w:sz w:val="20"/>
          <w:szCs w:val="20"/>
          <w:bdr w:val="none" w:sz="0" w:space="0" w:color="auto" w:frame="1"/>
        </w:rPr>
        <w:t>Ṣaḥiḥ Al-Bukhārī</w:t>
      </w:r>
      <w:r w:rsidRPr="00F230F1">
        <w:rPr>
          <w:rFonts w:asciiTheme="majorBidi" w:hAnsiTheme="majorBidi" w:cstheme="majorBidi"/>
          <w:sz w:val="20"/>
          <w:szCs w:val="20"/>
          <w:bdr w:val="none" w:sz="0" w:space="0" w:color="auto" w:frame="1"/>
        </w:rPr>
        <w:t xml:space="preserve">, volume 4, livre 55, n° 605). </w:t>
      </w:r>
      <w:r w:rsidRPr="00F230F1">
        <w:rPr>
          <w:rFonts w:asciiTheme="majorBidi" w:eastAsia="Calibri" w:hAnsiTheme="majorBidi" w:cstheme="majorBidi"/>
          <w:sz w:val="20"/>
          <w:szCs w:val="20"/>
          <w:lang w:eastAsia="it-IT"/>
        </w:rPr>
        <w:t>Un autre hadith attribué au plus important scribe de Mahomet montre les sources étrangères éventuelles du Coran. Selon Zayd b. Thābit : « L’Envoyé de Dieu dit : “Il me vient des écrits [</w:t>
      </w:r>
      <w:r w:rsidRPr="00F230F1">
        <w:rPr>
          <w:rFonts w:asciiTheme="majorBidi" w:eastAsia="Calibri" w:hAnsiTheme="majorBidi" w:cstheme="majorBidi"/>
          <w:i/>
          <w:iCs/>
          <w:sz w:val="20"/>
          <w:szCs w:val="20"/>
          <w:lang w:eastAsia="it-IT"/>
        </w:rPr>
        <w:t>kutub</w:t>
      </w:r>
      <w:r w:rsidRPr="00F230F1">
        <w:rPr>
          <w:rFonts w:asciiTheme="majorBidi" w:eastAsia="Calibri" w:hAnsiTheme="majorBidi" w:cstheme="majorBidi"/>
          <w:sz w:val="20"/>
          <w:szCs w:val="20"/>
          <w:lang w:eastAsia="it-IT"/>
        </w:rPr>
        <w:t>], et je ne veux pas que tout un chacun les lise, peux-tu apprendre l’écriture de l’hébreu, ou bien il dit du syriaque ?”. Je dis : “Oui”, et je l’appris en dix-sept-jours » !</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eastAsia="it-IT"/>
        </w:rPr>
        <w:t xml:space="preserve">Ibn ʿAsākir, </w:t>
      </w:r>
      <w:r w:rsidRPr="00F230F1">
        <w:rPr>
          <w:rFonts w:asciiTheme="majorBidi" w:eastAsia="Calibri" w:hAnsiTheme="majorBidi" w:cstheme="majorBidi"/>
          <w:i/>
          <w:iCs/>
          <w:sz w:val="20"/>
          <w:szCs w:val="20"/>
          <w:lang w:eastAsia="it-IT"/>
        </w:rPr>
        <w:t>Tārikh Dimashq</w:t>
      </w:r>
      <w:r w:rsidRPr="00F230F1">
        <w:rPr>
          <w:rFonts w:asciiTheme="majorBidi" w:eastAsia="Calibri" w:hAnsiTheme="majorBidi" w:cstheme="majorBidi"/>
          <w:sz w:val="20"/>
          <w:szCs w:val="20"/>
          <w:lang w:eastAsia="it-IT"/>
        </w:rPr>
        <w:t xml:space="preserve"> [I-LXXX, éd. Muḥibb ad-Dīn al-ʿAmrawī, Beyrouth, Dār al-Fikr, 1995-2000], XIX, p. 303. Voir aussi : </w:t>
      </w:r>
      <w:r w:rsidRPr="00F230F1">
        <w:rPr>
          <w:rFonts w:asciiTheme="majorBidi" w:eastAsia="Calibri" w:hAnsiTheme="majorBidi" w:cstheme="majorBidi"/>
          <w:i/>
          <w:iCs/>
          <w:sz w:val="20"/>
          <w:szCs w:val="20"/>
          <w:lang w:eastAsia="it-IT"/>
        </w:rPr>
        <w:t>Aṭ-ṭabaqāt al-kubrā</w:t>
      </w:r>
      <w:r w:rsidRPr="00F230F1">
        <w:rPr>
          <w:rFonts w:asciiTheme="majorBidi" w:eastAsia="Calibri" w:hAnsiTheme="majorBidi" w:cstheme="majorBidi"/>
          <w:sz w:val="20"/>
          <w:szCs w:val="20"/>
          <w:lang w:eastAsia="it-IT"/>
        </w:rPr>
        <w:t xml:space="preserve"> d’Ibn Saʿd et </w:t>
      </w:r>
      <w:r w:rsidRPr="00F230F1">
        <w:rPr>
          <w:rFonts w:asciiTheme="majorBidi" w:eastAsia="Calibri" w:hAnsiTheme="majorBidi" w:cstheme="majorBidi"/>
          <w:i/>
          <w:iCs/>
          <w:sz w:val="20"/>
          <w:szCs w:val="20"/>
          <w:lang w:eastAsia="it-IT"/>
        </w:rPr>
        <w:t>Musnad</w:t>
      </w:r>
      <w:r w:rsidRPr="00F230F1">
        <w:rPr>
          <w:rFonts w:asciiTheme="majorBidi" w:eastAsia="Calibri" w:hAnsiTheme="majorBidi" w:cstheme="majorBidi"/>
          <w:sz w:val="20"/>
          <w:szCs w:val="20"/>
          <w:lang w:eastAsia="it-IT"/>
        </w:rPr>
        <w:t xml:space="preserve"> d’Ibn </w:t>
      </w:r>
      <w:r w:rsidRPr="00F230F1">
        <w:rPr>
          <w:rFonts w:asciiTheme="majorBidi" w:hAnsiTheme="majorBidi" w:cstheme="majorBidi"/>
          <w:sz w:val="20"/>
          <w:szCs w:val="20"/>
        </w:rPr>
        <w:t>Ḥanbal</w:t>
      </w:r>
      <w:r w:rsidRPr="00F230F1">
        <w:rPr>
          <w:rFonts w:asciiTheme="majorBidi" w:eastAsia="Calibri" w:hAnsiTheme="majorBidi" w:cstheme="majorBidi"/>
          <w:sz w:val="20"/>
          <w:szCs w:val="20"/>
          <w:lang w:eastAsia="it-IT"/>
        </w:rPr>
        <w:t>, textes numériques</w:t>
      </w:r>
      <w:r w:rsidRPr="00F230F1">
        <w:rPr>
          <w:rFonts w:asciiTheme="majorBidi" w:hAnsiTheme="majorBidi" w:cstheme="majorBidi"/>
          <w:sz w:val="20"/>
          <w:szCs w:val="20"/>
        </w:rPr>
        <w:t>).</w:t>
      </w:r>
      <w:r w:rsidRPr="00F230F1">
        <w:rPr>
          <w:rFonts w:asciiTheme="majorBidi" w:hAnsiTheme="majorBidi" w:cstheme="majorBidi"/>
          <w:color w:val="FF0000"/>
          <w:sz w:val="20"/>
          <w:szCs w:val="20"/>
          <w:bdr w:val="none" w:sz="0" w:space="0" w:color="auto" w:frame="1"/>
        </w:rPr>
        <w:t xml:space="preserve"> </w:t>
      </w:r>
      <w:r w:rsidRPr="00F230F1">
        <w:rPr>
          <w:rFonts w:asciiTheme="majorBidi" w:eastAsia="Calibri" w:hAnsiTheme="majorBidi" w:cstheme="majorBidi"/>
          <w:sz w:val="20"/>
          <w:szCs w:val="20"/>
          <w:lang w:bidi="ar-AE"/>
        </w:rPr>
        <w:t>(Voir : « </w:t>
      </w:r>
      <w:r w:rsidRPr="00F230F1">
        <w:rPr>
          <w:rFonts w:asciiTheme="majorBidi" w:hAnsiTheme="majorBidi" w:cstheme="majorBidi"/>
          <w:sz w:val="20"/>
          <w:szCs w:val="20"/>
          <w:shd w:val="clear" w:color="auto" w:fill="FFFFFF"/>
        </w:rPr>
        <w:t>Le</w:t>
      </w:r>
      <w:r w:rsidRPr="00F230F1">
        <w:rPr>
          <w:rFonts w:asciiTheme="majorBidi" w:hAnsiTheme="majorBidi" w:cstheme="majorBidi"/>
          <w:sz w:val="20"/>
          <w:szCs w:val="20"/>
        </w:rPr>
        <w:t> Coran </w:t>
      </w:r>
      <w:r w:rsidRPr="00F230F1">
        <w:rPr>
          <w:rFonts w:asciiTheme="majorBidi" w:hAnsiTheme="majorBidi" w:cstheme="majorBidi"/>
          <w:sz w:val="20"/>
          <w:szCs w:val="20"/>
          <w:shd w:val="clear" w:color="auto" w:fill="FFFFFF"/>
        </w:rPr>
        <w:t>:</w:t>
      </w:r>
      <w:r w:rsidRPr="00F230F1">
        <w:rPr>
          <w:rFonts w:asciiTheme="majorBidi" w:hAnsiTheme="majorBidi" w:cstheme="majorBidi"/>
          <w:sz w:val="20"/>
          <w:szCs w:val="20"/>
        </w:rPr>
        <w:t> texte révélé </w:t>
      </w:r>
      <w:r w:rsidRPr="00F230F1">
        <w:rPr>
          <w:rFonts w:asciiTheme="majorBidi" w:hAnsiTheme="majorBidi" w:cstheme="majorBidi"/>
          <w:sz w:val="20"/>
          <w:szCs w:val="20"/>
          <w:shd w:val="clear" w:color="auto" w:fill="FFFFFF"/>
        </w:rPr>
        <w:t>ou</w:t>
      </w:r>
      <w:r w:rsidRPr="00F230F1">
        <w:rPr>
          <w:rFonts w:asciiTheme="majorBidi" w:hAnsiTheme="majorBidi" w:cstheme="majorBidi"/>
          <w:sz w:val="20"/>
          <w:szCs w:val="20"/>
        </w:rPr>
        <w:t> texte traduit </w:t>
      </w:r>
      <w:r w:rsidRPr="00F230F1">
        <w:rPr>
          <w:rFonts w:asciiTheme="majorBidi" w:hAnsiTheme="majorBidi" w:cstheme="majorBidi"/>
          <w:sz w:val="20"/>
          <w:szCs w:val="20"/>
          <w:shd w:val="clear" w:color="auto" w:fill="FFFFFF"/>
        </w:rPr>
        <w:t>? »</w:t>
      </w:r>
      <w:r w:rsidRPr="00F230F1">
        <w:rPr>
          <w:rFonts w:asciiTheme="majorBidi" w:hAnsiTheme="majorBidi" w:cstheme="majorBidi"/>
          <w:sz w:val="20"/>
          <w:szCs w:val="20"/>
        </w:rPr>
        <w:t>.</w:t>
      </w:r>
    </w:p>
  </w:footnote>
  <w:footnote w:id="135">
    <w:p w14:paraId="64929C0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Christoph</w:t>
      </w:r>
      <w:r w:rsidRPr="00F230F1">
        <w:rPr>
          <w:rFonts w:asciiTheme="majorBidi" w:eastAsia="Times New Roman" w:hAnsiTheme="majorBidi" w:cstheme="majorBidi"/>
          <w:sz w:val="20"/>
          <w:szCs w:val="20"/>
        </w:rPr>
        <w:t xml:space="preserve"> Luxenberg, </w:t>
      </w:r>
      <w:r w:rsidRPr="00F230F1">
        <w:rPr>
          <w:rFonts w:asciiTheme="majorBidi" w:hAnsiTheme="majorBidi" w:cstheme="majorBidi"/>
          <w:i/>
          <w:iCs/>
          <w:sz w:val="20"/>
          <w:szCs w:val="20"/>
        </w:rPr>
        <w:t>The Syro-Aramaic Reading of the Koran : A Contribution to the Decoding of the Language of the Koran</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Lecture syro-araméenne du Coran : une contribution pour décoder la langue du Coran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(titre original en allemand : </w:t>
      </w:r>
      <w:r w:rsidRPr="00F230F1">
        <w:rPr>
          <w:rFonts w:asciiTheme="majorBidi" w:eastAsia="Times New Roman" w:hAnsiTheme="majorBidi" w:cstheme="majorBidi"/>
          <w:i/>
          <w:iCs/>
          <w:sz w:val="20"/>
          <w:szCs w:val="20"/>
          <w:lang w:eastAsia="fr-FR"/>
        </w:rPr>
        <w:t>Die syro-aramäische Lesart des Koran – Ein Beitrag zur Entschlüsselung der Koransprache</w:t>
      </w:r>
      <w:r w:rsidRPr="00F230F1">
        <w:rPr>
          <w:rFonts w:asciiTheme="majorBidi" w:eastAsia="Times New Roman" w:hAnsiTheme="majorBidi" w:cstheme="majorBidi"/>
          <w:sz w:val="20"/>
          <w:szCs w:val="20"/>
          <w:lang w:eastAsia="fr-FR"/>
        </w:rPr>
        <w:t>, publié en 2000</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traduction anglaise publiée à Berlin en 2007 par Verlag Hans Schiler.</w:t>
      </w:r>
    </w:p>
  </w:footnote>
  <w:footnote w:id="136">
    <w:p w14:paraId="6779683A"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Michel Orcel, </w:t>
      </w:r>
      <w:r w:rsidRPr="00F230F1">
        <w:rPr>
          <w:rFonts w:asciiTheme="majorBidi" w:hAnsiTheme="majorBidi" w:cstheme="majorBidi"/>
          <w:i/>
          <w:iCs/>
          <w:sz w:val="20"/>
          <w:szCs w:val="20"/>
        </w:rPr>
        <w:t>L’invention de l’islam : Enquête historique sur les origines</w:t>
      </w:r>
      <w:r w:rsidRPr="00F230F1">
        <w:rPr>
          <w:rFonts w:asciiTheme="majorBidi" w:hAnsiTheme="majorBidi" w:cstheme="majorBidi"/>
          <w:sz w:val="20"/>
          <w:szCs w:val="20"/>
        </w:rPr>
        <w:t xml:space="preserve">, Éditions Perrin, 2012. Version électronique consultée le 17/07/2017 : </w:t>
      </w:r>
      <w:hyperlink r:id="rId50" w:anchor="v=onepage&amp;q=Mecque%20archéologie&amp;f=false" w:history="1">
        <w:r w:rsidRPr="00F230F1">
          <w:rPr>
            <w:rStyle w:val="Lienhypertexte"/>
            <w:rFonts w:asciiTheme="majorBidi" w:hAnsiTheme="majorBidi" w:cstheme="majorBidi"/>
            <w:sz w:val="20"/>
            <w:szCs w:val="20"/>
          </w:rPr>
          <w:t>https://books.google.fr/books?id=RISfXyQKUasC&amp;pg=PR7-IA17&amp;dq=Mecque+archéologie&amp;hl=fr&amp;sa=X&amp;ei=4dyNUZiUF8GyPMDtgHA&amp;ved=0CEQQ6AEwAg#v=onepage&amp;q=Mecque%20archéologie&amp;f=false</w:t>
        </w:r>
      </w:hyperlink>
      <w:r w:rsidRPr="00F230F1">
        <w:rPr>
          <w:rFonts w:asciiTheme="majorBidi" w:hAnsiTheme="majorBidi" w:cstheme="majorBidi"/>
          <w:sz w:val="20"/>
          <w:szCs w:val="20"/>
        </w:rPr>
        <w:t>.</w:t>
      </w:r>
    </w:p>
  </w:footnote>
  <w:footnote w:id="137">
    <w:p w14:paraId="37A05A2E" w14:textId="77777777" w:rsidR="009C3BB9" w:rsidRPr="00F230F1" w:rsidRDefault="009C3BB9" w:rsidP="00F230F1">
      <w:pPr>
        <w:pStyle w:val="Notedebasdepage"/>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Patricia Crone, « What do we actually know about Mohammed ? », site web </w:t>
      </w:r>
      <w:r w:rsidRPr="00F230F1">
        <w:rPr>
          <w:rFonts w:asciiTheme="majorBidi" w:hAnsiTheme="majorBidi" w:cstheme="majorBidi"/>
          <w:i/>
          <w:iCs/>
          <w:sz w:val="20"/>
          <w:szCs w:val="20"/>
        </w:rPr>
        <w:t>opendemocracy.net</w:t>
      </w:r>
      <w:r w:rsidRPr="00F230F1">
        <w:rPr>
          <w:rFonts w:asciiTheme="majorBidi" w:hAnsiTheme="majorBidi" w:cstheme="majorBidi"/>
          <w:sz w:val="20"/>
          <w:szCs w:val="20"/>
        </w:rPr>
        <w:t xml:space="preserve">, 10 juin 2008. Patricia Crone définit les travaux de Luxenberg comme « susceptibles de soulever de nombreuses objections scientifiques » [« open to so many scholarly objections »]. </w:t>
      </w:r>
      <w:hyperlink r:id="rId51" w:history="1">
        <w:r w:rsidRPr="00F230F1">
          <w:rPr>
            <w:rStyle w:val="Lienhypertexte"/>
            <w:rFonts w:asciiTheme="majorBidi" w:hAnsiTheme="majorBidi" w:cstheme="majorBidi"/>
            <w:sz w:val="20"/>
            <w:szCs w:val="20"/>
          </w:rPr>
          <w:t>https://www.opendemocracy.net/faith-europe_islam/mohammed_3866.jsp</w:t>
        </w:r>
      </w:hyperlink>
      <w:r w:rsidRPr="00F230F1">
        <w:rPr>
          <w:rFonts w:asciiTheme="majorBidi" w:hAnsiTheme="majorBidi" w:cstheme="majorBidi"/>
          <w:sz w:val="20"/>
          <w:szCs w:val="20"/>
        </w:rPr>
        <w:t xml:space="preserve"> ; </w:t>
      </w:r>
      <w:hyperlink r:id="rId52" w:history="1">
        <w:r w:rsidRPr="00F230F1">
          <w:rPr>
            <w:rStyle w:val="Lienhypertexte"/>
            <w:rFonts w:asciiTheme="majorBidi" w:hAnsiTheme="majorBidi" w:cstheme="majorBidi"/>
            <w:sz w:val="20"/>
            <w:szCs w:val="20"/>
          </w:rPr>
          <w:t>http://moodle.huji.ac.il/hu11/file.php/16423/Crone_what_we_know_Muhammad.pdf</w:t>
        </w:r>
      </w:hyperlink>
      <w:r w:rsidRPr="00F230F1">
        <w:rPr>
          <w:rFonts w:asciiTheme="majorBidi" w:hAnsiTheme="majorBidi" w:cstheme="majorBidi"/>
          <w:sz w:val="20"/>
          <w:szCs w:val="20"/>
        </w:rPr>
        <w:t xml:space="preserve"> (consultés le 17/07/2017).</w:t>
      </w:r>
    </w:p>
  </w:footnote>
  <w:footnote w:id="138">
    <w:p w14:paraId="1DB059C6"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w:t>
      </w:r>
      <w:r w:rsidRPr="00F230F1">
        <w:rPr>
          <w:rFonts w:asciiTheme="majorBidi" w:hAnsiTheme="majorBidi" w:cstheme="majorBidi"/>
          <w:sz w:val="20"/>
          <w:szCs w:val="20"/>
        </w:rPr>
        <w:t>À propos du travail de Luxenberg, voici l’avis de Pierre Lory qu’il nous a envoyé par courrier électronique : « Luxenberg a l’avantage de souligner combien de passages ou termes du Coran sont incompréhensibles ou non interprétables en tout cas. Le principal reproche que je fais à sa méthode est d’avoir conçu abstraitement une grille d’explication qu’il applique ensuite de façon trop rigide. Au départ cependant, sa grille aurait dû être mieux justifiée. Il pose en introduction (</w:t>
      </w:r>
      <w:r w:rsidRPr="00F230F1">
        <w:rPr>
          <w:rFonts w:asciiTheme="majorBidi" w:hAnsiTheme="majorBidi" w:cstheme="majorBidi"/>
          <w:i/>
          <w:iCs/>
          <w:sz w:val="20"/>
          <w:szCs w:val="20"/>
        </w:rPr>
        <w:t>le Coran est un lectionnaire syriaque</w:t>
      </w:r>
      <w:r w:rsidRPr="00F230F1">
        <w:rPr>
          <w:rFonts w:asciiTheme="majorBidi" w:hAnsiTheme="majorBidi" w:cstheme="majorBidi"/>
          <w:sz w:val="20"/>
          <w:szCs w:val="20"/>
        </w:rPr>
        <w:t>), ce qui est simultanément sa conclusion. Ceci dit, certaines de ses idées peuvent être ponctuellement fécondes, me semble-t-il. Pour le reste, je ne connais pas le syriaque et ne puis guère aller plus loin. »</w:t>
      </w:r>
    </w:p>
  </w:footnote>
  <w:footnote w:id="139">
    <w:p w14:paraId="1170CA36" w14:textId="77777777" w:rsidR="009C3BB9" w:rsidRPr="00F230F1" w:rsidRDefault="009C3BB9" w:rsidP="00F230F1">
      <w:pPr>
        <w:contextualSpacing/>
        <w:jc w:val="both"/>
        <w:rPr>
          <w:rFonts w:asciiTheme="majorBidi" w:eastAsia="Calibr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sz w:val="20"/>
          <w:szCs w:val="20"/>
        </w:rPr>
        <w:t>Claude Gilliot, « L’embarras d’un exégète musulman face à un palimpseste. Māturīdī et la sourate de l’Abondance (</w:t>
      </w:r>
      <w:r w:rsidRPr="00F230F1">
        <w:rPr>
          <w:rFonts w:asciiTheme="majorBidi" w:eastAsia="Calibri" w:hAnsiTheme="majorBidi" w:cstheme="majorBidi"/>
          <w:i/>
          <w:iCs/>
          <w:sz w:val="20"/>
          <w:szCs w:val="20"/>
        </w:rPr>
        <w:t>al-Kawthar</w:t>
      </w:r>
      <w:r w:rsidRPr="00F230F1">
        <w:rPr>
          <w:rFonts w:asciiTheme="majorBidi" w:eastAsia="Calibri" w:hAnsiTheme="majorBidi" w:cstheme="majorBidi"/>
          <w:sz w:val="20"/>
          <w:szCs w:val="20"/>
        </w:rPr>
        <w:t>, sourate 108), avec une note savante sur le commentaire coranique d’Ibn al-Naqīb (m. 698/1298) », 2004, p. 22,</w:t>
      </w:r>
      <w:r w:rsidRPr="00F230F1">
        <w:rPr>
          <w:rFonts w:asciiTheme="majorBidi" w:hAnsiTheme="majorBidi" w:cstheme="majorBidi"/>
          <w:sz w:val="20"/>
          <w:szCs w:val="20"/>
        </w:rPr>
        <w:t xml:space="preserve"> </w:t>
      </w:r>
      <w:hyperlink r:id="rId53" w:history="1">
        <w:r w:rsidRPr="00F230F1">
          <w:rPr>
            <w:rStyle w:val="Lienhypertexte"/>
            <w:rFonts w:asciiTheme="majorBidi" w:hAnsiTheme="majorBidi" w:cstheme="majorBidi"/>
            <w:sz w:val="20"/>
            <w:szCs w:val="20"/>
          </w:rPr>
          <w:t>https://halshs.archives-ouvertes.fr/halshs-00006638/document</w:t>
        </w:r>
      </w:hyperlink>
      <w:r w:rsidRPr="00F230F1">
        <w:rPr>
          <w:rFonts w:asciiTheme="majorBidi" w:hAnsiTheme="majorBidi" w:cstheme="majorBidi"/>
          <w:sz w:val="20"/>
          <w:szCs w:val="20"/>
        </w:rPr>
        <w:t xml:space="preserve"> (consluté le 17/07/2017)</w:t>
      </w:r>
      <w:r w:rsidRPr="00F230F1">
        <w:rPr>
          <w:rFonts w:asciiTheme="majorBidi" w:eastAsia="Calibri" w:hAnsiTheme="majorBidi" w:cstheme="majorBidi"/>
          <w:sz w:val="20"/>
          <w:szCs w:val="20"/>
        </w:rPr>
        <w:t xml:space="preserve">. Voir aussi du même auteur : « Méthodes et débats. Langue et Coran : une lecture syro-araméenne du Coran », </w:t>
      </w:r>
      <w:r w:rsidRPr="00F230F1">
        <w:rPr>
          <w:rFonts w:asciiTheme="majorBidi" w:eastAsia="Calibri" w:hAnsiTheme="majorBidi" w:cstheme="majorBidi"/>
          <w:i/>
          <w:sz w:val="20"/>
          <w:szCs w:val="20"/>
        </w:rPr>
        <w:t>Arabica</w:t>
      </w:r>
      <w:r w:rsidRPr="00F230F1">
        <w:rPr>
          <w:rFonts w:asciiTheme="majorBidi" w:eastAsia="Calibri" w:hAnsiTheme="majorBidi" w:cstheme="majorBidi"/>
          <w:sz w:val="20"/>
          <w:szCs w:val="20"/>
        </w:rPr>
        <w:t xml:space="preserve">, </w:t>
      </w:r>
      <w:r w:rsidRPr="00F230F1">
        <w:rPr>
          <w:rFonts w:asciiTheme="majorBidi" w:hAnsiTheme="majorBidi" w:cstheme="majorBidi"/>
          <w:sz w:val="20"/>
          <w:szCs w:val="20"/>
        </w:rPr>
        <w:t>T. 50, Fasc. 3 (Juil. 2003), pp. 381-393. (</w:t>
      </w:r>
      <w:hyperlink r:id="rId54" w:anchor="page_scan_tab_contents" w:history="1">
        <w:r w:rsidRPr="00F230F1">
          <w:rPr>
            <w:rStyle w:val="Lienhypertexte"/>
            <w:rFonts w:asciiTheme="majorBidi" w:hAnsiTheme="majorBidi" w:cstheme="majorBidi"/>
            <w:sz w:val="20"/>
            <w:szCs w:val="20"/>
          </w:rPr>
          <w:t>https://www.jstor.org/stable/4057635?seq=1#page_scan_tab_contents</w:t>
        </w:r>
      </w:hyperlink>
      <w:r w:rsidRPr="00F230F1">
        <w:rPr>
          <w:rFonts w:asciiTheme="majorBidi" w:hAnsiTheme="majorBidi" w:cstheme="majorBidi"/>
          <w:sz w:val="20"/>
          <w:szCs w:val="20"/>
        </w:rPr>
        <w:t xml:space="preserve"> consulté le 19/07/2017)</w:t>
      </w:r>
      <w:r w:rsidRPr="00F230F1">
        <w:rPr>
          <w:rFonts w:asciiTheme="majorBidi" w:eastAsia="Calibri" w:hAnsiTheme="majorBidi" w:cstheme="majorBidi"/>
          <w:sz w:val="20"/>
          <w:szCs w:val="20"/>
        </w:rPr>
        <w:t>.</w:t>
      </w:r>
    </w:p>
  </w:footnote>
  <w:footnote w:id="140">
    <w:p w14:paraId="2F0A45D2"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Pascale Casanova, </w:t>
      </w:r>
      <w:r w:rsidRPr="00F230F1">
        <w:rPr>
          <w:rFonts w:asciiTheme="majorBidi" w:hAnsiTheme="majorBidi" w:cstheme="majorBidi"/>
          <w:i/>
          <w:iCs/>
          <w:sz w:val="20"/>
          <w:szCs w:val="20"/>
        </w:rPr>
        <w:t>La république mondiale des lettres</w:t>
      </w:r>
      <w:r w:rsidRPr="00F230F1">
        <w:rPr>
          <w:rFonts w:asciiTheme="majorBidi" w:hAnsiTheme="majorBidi" w:cstheme="majorBidi"/>
          <w:sz w:val="20"/>
          <w:szCs w:val="20"/>
        </w:rPr>
        <w:t xml:space="preserve">, Éditions du Seuil, 1999, pp. 81 </w:t>
      </w:r>
      <w:r w:rsidRPr="00F230F1">
        <w:rPr>
          <w:rFonts w:asciiTheme="majorBidi" w:hAnsiTheme="majorBidi" w:cstheme="majorBidi"/>
          <w:i/>
          <w:iCs/>
          <w:sz w:val="20"/>
          <w:szCs w:val="20"/>
        </w:rPr>
        <w:t>sq</w:t>
      </w:r>
      <w:r w:rsidRPr="00F230F1">
        <w:rPr>
          <w:rFonts w:asciiTheme="majorBidi" w:hAnsiTheme="majorBidi" w:cstheme="majorBidi"/>
          <w:sz w:val="20"/>
          <w:szCs w:val="20"/>
        </w:rPr>
        <w:t>.</w:t>
      </w:r>
    </w:p>
  </w:footnote>
  <w:footnote w:id="141">
    <w:p w14:paraId="382558B7"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Jean Delisle et Judith Woodsworth,</w:t>
      </w:r>
      <w:r w:rsidRPr="00F230F1">
        <w:rPr>
          <w:rFonts w:asciiTheme="majorBidi" w:hAnsiTheme="majorBidi" w:cstheme="majorBidi"/>
          <w:i/>
          <w:iCs/>
          <w:sz w:val="20"/>
          <w:szCs w:val="20"/>
        </w:rPr>
        <w:t xml:space="preserve"> Les traducteurs dans l’histoire</w:t>
      </w:r>
      <w:r w:rsidRPr="00F230F1">
        <w:rPr>
          <w:rFonts w:asciiTheme="majorBidi" w:hAnsiTheme="majorBidi" w:cstheme="majorBidi"/>
          <w:sz w:val="20"/>
          <w:szCs w:val="20"/>
        </w:rPr>
        <w:t>, Presses de l’Université d’Ottawa, 1995.</w:t>
      </w:r>
    </w:p>
  </w:footnote>
  <w:footnote w:id="142">
    <w:p w14:paraId="0BC92CA4" w14:textId="77777777" w:rsidR="009C3BB9" w:rsidRPr="00F230F1" w:rsidRDefault="009C3BB9" w:rsidP="00F230F1">
      <w:pPr>
        <w:contextualSpacing/>
        <w:jc w:val="both"/>
        <w:outlineLvl w:val="0"/>
        <w:rPr>
          <w:rFonts w:asciiTheme="majorBidi" w:eastAsia="Times New Roman"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Désiré</w:t>
      </w:r>
      <w:r w:rsidRPr="00F230F1">
        <w:rPr>
          <w:rFonts w:asciiTheme="majorBidi" w:eastAsia="Times New Roman" w:hAnsiTheme="majorBidi" w:cstheme="majorBidi"/>
          <w:sz w:val="20"/>
          <w:szCs w:val="20"/>
          <w:lang w:bidi="ar-KW"/>
        </w:rPr>
        <w:t xml:space="preserve"> Saqqāl, </w:t>
      </w:r>
      <w:r w:rsidRPr="00F230F1">
        <w:rPr>
          <w:rFonts w:asciiTheme="majorBidi" w:eastAsia="Times New Roman" w:hAnsiTheme="majorBidi" w:cstheme="majorBidi"/>
          <w:i/>
          <w:iCs/>
          <w:sz w:val="20"/>
          <w:szCs w:val="20"/>
          <w:lang w:bidi="ar-KW"/>
        </w:rPr>
        <w:t>Nashʾat al-maʿājim al-ʿarabīya wa-taṭawwuruhā</w:t>
      </w:r>
      <w:r w:rsidRPr="00F230F1">
        <w:rPr>
          <w:rFonts w:asciiTheme="majorBidi" w:eastAsia="Times New Roman" w:hAnsiTheme="majorBidi" w:cstheme="majorBidi"/>
          <w:sz w:val="20"/>
          <w:szCs w:val="20"/>
          <w:lang w:bidi="ar-KW"/>
        </w:rPr>
        <w:t xml:space="preserve"> [L’émergence et l’évolution des dictionnaires], Éditions Dār aṣ-Ṣadāqa al-ʿarabīya, Beyrouth, 1995. Jamāl, Mussarat, « </w:t>
      </w:r>
      <w:r w:rsidRPr="00F230F1">
        <w:rPr>
          <w:rFonts w:asciiTheme="majorBidi" w:eastAsia="Times New Roman" w:hAnsiTheme="majorBidi" w:cstheme="majorBidi"/>
          <w:i/>
          <w:iCs/>
          <w:sz w:val="20"/>
          <w:szCs w:val="20"/>
          <w:lang w:bidi="ar-KW"/>
        </w:rPr>
        <w:t>Al-muʿjam al-ʿarabī wa-taṭawwuruhu al-khallāb al-ʾabdaʿ</w:t>
      </w:r>
      <w:r w:rsidRPr="00F230F1">
        <w:rPr>
          <w:rFonts w:asciiTheme="majorBidi" w:eastAsia="Times New Roman" w:hAnsiTheme="majorBidi" w:cstheme="majorBidi"/>
          <w:sz w:val="20"/>
          <w:szCs w:val="20"/>
          <w:lang w:bidi="ar-KW"/>
        </w:rPr>
        <w:t> » [Le dictionnaire arabe et son évolution ravissante et merveilleuse], Département de l’Arabe, Université de Peshawar, Pakistan, revue Ad-Dāʿī (revue mensuelle publiée par l’école islamique indienne Dār al-ʿUlūm</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KW"/>
        </w:rPr>
        <w:t xml:space="preserve">Deoband, numéro 3, février 2011, </w:t>
      </w:r>
      <w:hyperlink r:id="rId55" w:history="1">
        <w:r w:rsidRPr="00F230F1">
          <w:rPr>
            <w:rStyle w:val="Lienhypertexte"/>
            <w:rFonts w:asciiTheme="majorBidi" w:hAnsiTheme="majorBidi" w:cstheme="majorBidi"/>
            <w:sz w:val="20"/>
            <w:szCs w:val="20"/>
          </w:rPr>
          <w:t>http://www.darululoom-deoband.com/arabic/magazine/tmp/1326780777fix4sub6file.htm</w:t>
        </w:r>
      </w:hyperlink>
      <w:r w:rsidRPr="00F230F1">
        <w:rPr>
          <w:rFonts w:asciiTheme="majorBidi" w:hAnsiTheme="majorBidi" w:cstheme="majorBidi"/>
          <w:sz w:val="20"/>
          <w:szCs w:val="20"/>
        </w:rPr>
        <w:t xml:space="preserve">. Mme </w:t>
      </w:r>
      <w:r w:rsidRPr="00F230F1">
        <w:rPr>
          <w:rFonts w:asciiTheme="majorBidi" w:eastAsia="Times New Roman" w:hAnsiTheme="majorBidi" w:cstheme="majorBidi"/>
          <w:sz w:val="20"/>
          <w:szCs w:val="20"/>
          <w:lang w:bidi="ar-KW"/>
        </w:rPr>
        <w:t xml:space="preserve">Mussarat Jamāl souligne que les premières sciences de la langue arabe ont paru pour sauvegarder et interpréter le Coran. </w:t>
      </w:r>
      <w:r w:rsidRPr="00F230F1">
        <w:rPr>
          <w:rFonts w:asciiTheme="majorBidi" w:hAnsiTheme="majorBidi" w:cstheme="majorBidi"/>
          <w:sz w:val="20"/>
          <w:szCs w:val="20"/>
        </w:rPr>
        <w:t xml:space="preserve">Plusieurs exégèses lexicographiques ont paru en parallèle avec les dictionnaires arabes comme : </w:t>
      </w:r>
      <w:r w:rsidRPr="00F230F1">
        <w:rPr>
          <w:rFonts w:asciiTheme="majorBidi" w:hAnsiTheme="majorBidi" w:cstheme="majorBidi"/>
          <w:i/>
          <w:iCs/>
          <w:sz w:val="20"/>
          <w:szCs w:val="20"/>
        </w:rPr>
        <w:t>Al-Ashbāh wa-n-Naẓāʾir</w:t>
      </w:r>
      <w:r w:rsidRPr="00F230F1">
        <w:rPr>
          <w:rFonts w:asciiTheme="majorBidi" w:hAnsiTheme="majorBidi" w:cstheme="majorBidi"/>
          <w:sz w:val="20"/>
          <w:szCs w:val="20"/>
        </w:rPr>
        <w:t xml:space="preserve"> d’Ibn Sāʾib al-Kalbī, </w:t>
      </w:r>
      <w:r w:rsidRPr="00F230F1">
        <w:rPr>
          <w:rFonts w:asciiTheme="majorBidi" w:hAnsiTheme="majorBidi" w:cstheme="majorBidi"/>
          <w:i/>
          <w:iCs/>
          <w:sz w:val="20"/>
          <w:szCs w:val="20"/>
        </w:rPr>
        <w:t>Wujūh Ḥurūf al-Qurʾān</w:t>
      </w:r>
      <w:r w:rsidRPr="00F230F1">
        <w:rPr>
          <w:rFonts w:asciiTheme="majorBidi" w:hAnsiTheme="majorBidi" w:cstheme="majorBidi"/>
          <w:sz w:val="20"/>
          <w:szCs w:val="20"/>
        </w:rPr>
        <w:t xml:space="preserve"> de Muqātil al-ʾAzdī, </w:t>
      </w:r>
      <w:r w:rsidRPr="00F230F1">
        <w:rPr>
          <w:rFonts w:asciiTheme="majorBidi" w:hAnsiTheme="majorBidi" w:cstheme="majorBidi"/>
          <w:i/>
          <w:iCs/>
          <w:sz w:val="20"/>
          <w:szCs w:val="20"/>
        </w:rPr>
        <w:t>Gharīb al-Qurʾān</w:t>
      </w:r>
      <w:r w:rsidRPr="00F230F1">
        <w:rPr>
          <w:rFonts w:asciiTheme="majorBidi" w:hAnsiTheme="majorBidi" w:cstheme="majorBidi"/>
          <w:sz w:val="20"/>
          <w:szCs w:val="20"/>
        </w:rPr>
        <w:t xml:space="preserve"> d’al-Qāsim b. Sallām, </w:t>
      </w:r>
      <w:r w:rsidRPr="00F230F1">
        <w:rPr>
          <w:rFonts w:asciiTheme="majorBidi" w:hAnsiTheme="majorBidi" w:cstheme="majorBidi"/>
          <w:i/>
          <w:iCs/>
          <w:sz w:val="20"/>
          <w:szCs w:val="20"/>
        </w:rPr>
        <w:t>Gharīb al-Qurʾān</w:t>
      </w:r>
      <w:r w:rsidRPr="00F230F1">
        <w:rPr>
          <w:rFonts w:asciiTheme="majorBidi" w:hAnsiTheme="majorBidi" w:cstheme="majorBidi"/>
          <w:sz w:val="20"/>
          <w:szCs w:val="20"/>
        </w:rPr>
        <w:t xml:space="preserve"> d’Ibn Qutayba, </w:t>
      </w:r>
      <w:r w:rsidRPr="00F230F1">
        <w:rPr>
          <w:rFonts w:asciiTheme="majorBidi" w:hAnsiTheme="majorBidi" w:cstheme="majorBidi"/>
          <w:i/>
          <w:iCs/>
          <w:sz w:val="20"/>
          <w:szCs w:val="20"/>
        </w:rPr>
        <w:t>Ma t-tafaqa lafẓuhu wa-ikhtalafa maʿnāhu</w:t>
      </w:r>
      <w:r w:rsidRPr="00F230F1">
        <w:rPr>
          <w:rFonts w:asciiTheme="majorBidi" w:hAnsiTheme="majorBidi" w:cstheme="majorBidi"/>
          <w:sz w:val="20"/>
          <w:szCs w:val="20"/>
        </w:rPr>
        <w:t xml:space="preserve"> d’al-Mubarrid,</w:t>
      </w:r>
      <w:r w:rsidRPr="00F230F1">
        <w:rPr>
          <w:rFonts w:asciiTheme="majorBidi" w:hAnsiTheme="majorBidi" w:cstheme="majorBidi"/>
          <w:i/>
          <w:iCs/>
          <w:sz w:val="20"/>
          <w:szCs w:val="20"/>
        </w:rPr>
        <w:t xml:space="preserve"> Al-Ashbāh wa-n-Naẓāʾir</w:t>
      </w:r>
      <w:r w:rsidRPr="00F230F1">
        <w:rPr>
          <w:rFonts w:asciiTheme="majorBidi" w:hAnsiTheme="majorBidi" w:cstheme="majorBidi"/>
          <w:sz w:val="20"/>
          <w:szCs w:val="20"/>
        </w:rPr>
        <w:t xml:space="preserve"> d’an-Naqqāsh al-Mawṣilī, </w:t>
      </w:r>
      <w:r w:rsidRPr="00F230F1">
        <w:rPr>
          <w:rFonts w:asciiTheme="majorBidi" w:hAnsiTheme="majorBidi" w:cstheme="majorBidi"/>
          <w:i/>
          <w:iCs/>
          <w:sz w:val="20"/>
          <w:szCs w:val="20"/>
        </w:rPr>
        <w:t>Al-Mufradāt fī Gharīb al-Qurʾān</w:t>
      </w:r>
      <w:r w:rsidRPr="00F230F1">
        <w:rPr>
          <w:rFonts w:asciiTheme="majorBidi" w:hAnsiTheme="majorBidi" w:cstheme="majorBidi"/>
          <w:sz w:val="20"/>
          <w:szCs w:val="20"/>
        </w:rPr>
        <w:t xml:space="preserve"> d’ar-Rāghib al-Aṣfahānī, etc.</w:t>
      </w:r>
    </w:p>
  </w:footnote>
  <w:footnote w:id="143">
    <w:p w14:paraId="3FC23FF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 Rippin, « Tafsīr », in </w:t>
      </w:r>
      <w:r w:rsidRPr="00F230F1">
        <w:rPr>
          <w:rFonts w:asciiTheme="majorBidi" w:eastAsia="Times New Roman" w:hAnsiTheme="majorBidi" w:cstheme="majorBidi"/>
          <w:i/>
          <w:iCs/>
          <w:sz w:val="20"/>
          <w:szCs w:val="20"/>
        </w:rPr>
        <w:t>Encyclopédie de l’Islam</w:t>
      </w:r>
      <w:r w:rsidRPr="00F230F1">
        <w:rPr>
          <w:rFonts w:asciiTheme="majorBidi" w:eastAsia="Times New Roman" w:hAnsiTheme="majorBidi" w:cstheme="majorBidi"/>
          <w:sz w:val="20"/>
          <w:szCs w:val="20"/>
        </w:rPr>
        <w:t xml:space="preserve">,  </w:t>
      </w:r>
      <w:hyperlink r:id="rId56" w:history="1">
        <w:r w:rsidRPr="00F230F1">
          <w:rPr>
            <w:rStyle w:val="Lienhypertexte"/>
            <w:rFonts w:asciiTheme="majorBidi" w:eastAsia="Times New Roman" w:hAnsiTheme="majorBidi" w:cstheme="majorBidi"/>
            <w:sz w:val="20"/>
            <w:szCs w:val="20"/>
          </w:rPr>
          <w:t>http://referenceworks.brillonline.com/entries/encyclopedie-de-l-islam/*-SIM_7294</w:t>
        </w:r>
      </w:hyperlink>
      <w:r w:rsidRPr="00F230F1">
        <w:rPr>
          <w:rFonts w:asciiTheme="majorBidi" w:eastAsia="Times New Roman" w:hAnsiTheme="majorBidi" w:cstheme="majorBidi"/>
          <w:sz w:val="20"/>
          <w:szCs w:val="20"/>
        </w:rPr>
        <w:t>, consulté le 19/07/2017, mise en ligne en 2010.</w:t>
      </w:r>
    </w:p>
  </w:footnote>
  <w:footnote w:id="144">
    <w:p w14:paraId="1A1D6710"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Michael G. Carter, </w:t>
      </w:r>
      <w:r w:rsidRPr="00F230F1">
        <w:rPr>
          <w:rFonts w:asciiTheme="majorBidi" w:eastAsia="Times New Roman" w:hAnsiTheme="majorBidi" w:cstheme="majorBidi"/>
          <w:i/>
          <w:iCs/>
          <w:sz w:val="20"/>
          <w:szCs w:val="20"/>
        </w:rPr>
        <w:t>Language control as people control in medieval Islam : the aims of the grammarians in their cultural context</w:t>
      </w:r>
      <w:r w:rsidRPr="00F230F1">
        <w:rPr>
          <w:rFonts w:asciiTheme="majorBidi" w:eastAsia="Times New Roman" w:hAnsiTheme="majorBidi" w:cstheme="majorBidi"/>
          <w:sz w:val="20"/>
          <w:szCs w:val="20"/>
        </w:rPr>
        <w:t>, dans </w:t>
      </w:r>
      <w:r w:rsidRPr="00F230F1">
        <w:rPr>
          <w:rFonts w:asciiTheme="majorBidi" w:eastAsia="Times New Roman" w:hAnsiTheme="majorBidi" w:cstheme="majorBidi"/>
          <w:i/>
          <w:iCs/>
          <w:sz w:val="20"/>
          <w:szCs w:val="20"/>
        </w:rPr>
        <w:t>Al-Abḥāth</w:t>
      </w:r>
      <w:r w:rsidRPr="00F230F1">
        <w:rPr>
          <w:rFonts w:asciiTheme="majorBidi" w:eastAsia="Times New Roman" w:hAnsiTheme="majorBidi" w:cstheme="majorBidi"/>
          <w:sz w:val="20"/>
          <w:szCs w:val="20"/>
        </w:rPr>
        <w:t xml:space="preserve">, XXXI [1983], 65-84. </w:t>
      </w:r>
    </w:p>
  </w:footnote>
  <w:footnote w:id="145">
    <w:p w14:paraId="75079359" w14:textId="77777777" w:rsidR="009C3BB9" w:rsidRPr="00F230F1" w:rsidRDefault="009C3BB9" w:rsidP="00F230F1">
      <w:pPr>
        <w:contextualSpacing/>
        <w:jc w:val="both"/>
        <w:rPr>
          <w:rFonts w:asciiTheme="majorBidi" w:hAnsiTheme="majorBidi" w:cstheme="majorBidi"/>
          <w:color w:val="00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Umberto Eco, </w:t>
      </w:r>
      <w:r w:rsidRPr="00F230F1">
        <w:rPr>
          <w:rFonts w:asciiTheme="majorBidi" w:hAnsiTheme="majorBidi" w:cstheme="majorBidi"/>
          <w:i/>
          <w:iCs/>
          <w:sz w:val="20"/>
          <w:szCs w:val="20"/>
        </w:rPr>
        <w:t>Lector in fabula</w:t>
      </w:r>
      <w:r w:rsidRPr="00F230F1">
        <w:rPr>
          <w:rFonts w:asciiTheme="majorBidi" w:hAnsiTheme="majorBidi" w:cstheme="majorBidi"/>
          <w:sz w:val="20"/>
          <w:szCs w:val="20"/>
        </w:rPr>
        <w:t xml:space="preserve"> </w:t>
      </w:r>
      <w:r w:rsidRPr="00F230F1">
        <w:rPr>
          <w:rFonts w:asciiTheme="majorBidi" w:hAnsiTheme="majorBidi" w:cstheme="majorBidi"/>
          <w:i/>
          <w:iCs/>
          <w:color w:val="000000"/>
          <w:sz w:val="20"/>
          <w:szCs w:val="20"/>
        </w:rPr>
        <w:t>Le rôle du lecteur ou la coopération interprétative dans les textes narratifs</w:t>
      </w:r>
      <w:r w:rsidRPr="00F230F1">
        <w:rPr>
          <w:rFonts w:asciiTheme="majorBidi" w:hAnsiTheme="majorBidi" w:cstheme="majorBidi"/>
          <w:color w:val="000000"/>
          <w:sz w:val="20"/>
          <w:szCs w:val="20"/>
        </w:rPr>
        <w:t xml:space="preserve">, traduction Par Myriam Bouzaher, Editions Grasset, 1979, 315 pages. </w:t>
      </w:r>
      <w:r w:rsidRPr="00F230F1">
        <w:rPr>
          <w:rFonts w:asciiTheme="majorBidi" w:hAnsiTheme="majorBidi" w:cstheme="majorBidi"/>
          <w:sz w:val="20"/>
          <w:szCs w:val="20"/>
        </w:rPr>
        <w:t xml:space="preserve">Cité par </w:t>
      </w:r>
      <w:r w:rsidRPr="00F230F1">
        <w:rPr>
          <w:rFonts w:asciiTheme="majorBidi" w:hAnsiTheme="majorBidi" w:cstheme="majorBidi"/>
          <w:color w:val="000000"/>
          <w:sz w:val="20"/>
          <w:szCs w:val="20"/>
        </w:rPr>
        <w:t xml:space="preserve">Martine Marzloff (Institut national de recherche pédagogique [INRP]) dans un compte rendu de lecture publié sur le site de l’Institut Français de l’Éducation (IFÉ), </w:t>
      </w:r>
      <w:hyperlink r:id="rId57" w:history="1">
        <w:r w:rsidRPr="00F230F1">
          <w:rPr>
            <w:rStyle w:val="Lienhypertexte"/>
            <w:rFonts w:asciiTheme="majorBidi" w:hAnsiTheme="majorBidi" w:cstheme="majorBidi"/>
            <w:sz w:val="20"/>
            <w:szCs w:val="20"/>
          </w:rPr>
          <w:t>http://litterature.ens-lyon.fr/litterature/dossiers/theories-litteraires/reception/eco/?searchterm=eco</w:t>
        </w:r>
      </w:hyperlink>
      <w:r w:rsidRPr="00F230F1">
        <w:rPr>
          <w:rFonts w:asciiTheme="majorBidi" w:hAnsiTheme="majorBidi" w:cstheme="majorBidi"/>
          <w:color w:val="000000"/>
          <w:sz w:val="20"/>
          <w:szCs w:val="20"/>
        </w:rPr>
        <w:t xml:space="preserve"> (consulté le 19/07/2017).</w:t>
      </w:r>
    </w:p>
  </w:footnote>
  <w:footnote w:id="146">
    <w:p w14:paraId="3EACA290" w14:textId="77777777" w:rsidR="009C3BB9" w:rsidRPr="00F230F1" w:rsidRDefault="009C3BB9" w:rsidP="00F230F1">
      <w:pPr>
        <w:contextualSpacing/>
        <w:jc w:val="both"/>
        <w:rPr>
          <w:rFonts w:asciiTheme="majorBidi" w:eastAsia="Calibri" w:hAnsiTheme="majorBidi" w:cstheme="majorBidi"/>
          <w:sz w:val="20"/>
          <w:szCs w:val="20"/>
        </w:rPr>
      </w:pPr>
      <w:r w:rsidRPr="00F230F1">
        <w:rPr>
          <w:rStyle w:val="Appelnotedebasdep"/>
          <w:rFonts w:asciiTheme="majorBidi" w:eastAsia="Calibr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Itqān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sz w:val="20"/>
          <w:szCs w:val="20"/>
          <w:lang w:bidi="ar-AE"/>
        </w:rPr>
        <w:t xml:space="preserve">et </w:t>
      </w:r>
      <w:r w:rsidRPr="00F230F1">
        <w:rPr>
          <w:rFonts w:asciiTheme="majorBidi" w:eastAsia="Calibri" w:hAnsiTheme="majorBidi" w:cstheme="majorBidi"/>
          <w:i/>
          <w:iCs/>
          <w:sz w:val="20"/>
          <w:szCs w:val="20"/>
          <w:lang w:bidi="ar-AE"/>
        </w:rPr>
        <w:t>Le Coran est-il authentique ?</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w:t>
      </w:r>
    </w:p>
  </w:footnote>
  <w:footnote w:id="147">
    <w:p w14:paraId="7FE53112" w14:textId="77777777" w:rsidR="009C3BB9" w:rsidRPr="00F230F1" w:rsidRDefault="009C3BB9" w:rsidP="00F230F1">
      <w:pPr>
        <w:tabs>
          <w:tab w:val="left" w:pos="7730"/>
        </w:tabs>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Claude Gilliot, </w:t>
      </w:r>
      <w:r w:rsidRPr="00F230F1">
        <w:rPr>
          <w:rFonts w:asciiTheme="majorBidi" w:hAnsiTheme="majorBidi" w:cstheme="majorBidi"/>
          <w:sz w:val="20"/>
          <w:szCs w:val="20"/>
          <w:shd w:val="clear" w:color="auto" w:fill="FFFFFF"/>
        </w:rPr>
        <w:t>« Exegesis of the Qur’ān : Classical and Medieval »,</w:t>
      </w:r>
      <w:r w:rsidRPr="00F230F1">
        <w:rPr>
          <w:rStyle w:val="apple-converted-space"/>
          <w:rFonts w:asciiTheme="majorBidi" w:hAnsiTheme="majorBidi" w:cstheme="majorBidi"/>
          <w:sz w:val="20"/>
          <w:szCs w:val="20"/>
          <w:shd w:val="clear" w:color="auto" w:fill="FFFFFF"/>
        </w:rPr>
        <w:t> </w:t>
      </w:r>
      <w:r w:rsidRPr="00F230F1">
        <w:rPr>
          <w:rFonts w:asciiTheme="majorBidi" w:hAnsiTheme="majorBidi" w:cstheme="majorBidi"/>
          <w:i/>
          <w:iCs/>
          <w:sz w:val="20"/>
          <w:szCs w:val="20"/>
          <w:shd w:val="clear" w:color="auto" w:fill="FFFFFF"/>
        </w:rPr>
        <w:t>in Encyclopaedia of the Qur’ān [EQ]</w:t>
      </w:r>
      <w:r w:rsidRPr="00F230F1">
        <w:rPr>
          <w:rFonts w:asciiTheme="majorBidi" w:hAnsiTheme="majorBidi" w:cstheme="majorBidi"/>
          <w:sz w:val="20"/>
          <w:szCs w:val="20"/>
          <w:shd w:val="clear" w:color="auto" w:fill="FFFFFF"/>
        </w:rPr>
        <w:t>, II, Leyde, Brill, 2002, p. 99-124</w:t>
      </w:r>
      <w:r w:rsidRPr="00F230F1">
        <w:rPr>
          <w:rFonts w:asciiTheme="majorBidi" w:hAnsiTheme="majorBidi" w:cstheme="majorBidi"/>
          <w:sz w:val="20"/>
          <w:szCs w:val="20"/>
          <w:lang w:bidi="ar-AE"/>
        </w:rPr>
        <w:t>.</w:t>
      </w:r>
    </w:p>
  </w:footnote>
  <w:footnote w:id="148">
    <w:p w14:paraId="169879A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Site </w:t>
      </w:r>
      <w:r w:rsidRPr="00F230F1">
        <w:rPr>
          <w:rFonts w:asciiTheme="majorBidi" w:hAnsiTheme="majorBidi" w:cstheme="majorBidi"/>
          <w:i/>
          <w:iCs/>
          <w:sz w:val="20"/>
          <w:szCs w:val="20"/>
        </w:rPr>
        <w:t>Multaqā ahl at-tafsīr</w:t>
      </w:r>
      <w:r w:rsidRPr="00F230F1">
        <w:rPr>
          <w:rFonts w:asciiTheme="majorBidi" w:hAnsiTheme="majorBidi" w:cstheme="majorBidi"/>
          <w:sz w:val="20"/>
          <w:szCs w:val="20"/>
        </w:rPr>
        <w:t xml:space="preserve">, </w:t>
      </w:r>
      <w:hyperlink r:id="rId58" w:anchor=".WY3eejPpOt8" w:history="1">
        <w:r w:rsidRPr="00F230F1">
          <w:rPr>
            <w:rStyle w:val="Lienhypertexte"/>
            <w:rFonts w:asciiTheme="majorBidi" w:hAnsiTheme="majorBidi" w:cstheme="majorBidi"/>
            <w:sz w:val="20"/>
            <w:szCs w:val="20"/>
          </w:rPr>
          <w:t>https://vb.tafsir.net/tafsir27852/#.WY3eejPpOt8</w:t>
        </w:r>
      </w:hyperlink>
      <w:r w:rsidRPr="00F230F1">
        <w:rPr>
          <w:rFonts w:asciiTheme="majorBidi" w:hAnsiTheme="majorBidi" w:cstheme="majorBidi"/>
          <w:sz w:val="20"/>
          <w:szCs w:val="20"/>
        </w:rPr>
        <w:t xml:space="preserve"> (consulté le 11/08/2017). </w:t>
      </w:r>
      <w:r w:rsidRPr="00F230F1">
        <w:rPr>
          <w:rFonts w:asciiTheme="majorBidi" w:hAnsiTheme="majorBidi" w:cstheme="majorBidi"/>
          <w:i/>
          <w:iCs/>
          <w:sz w:val="20"/>
          <w:szCs w:val="20"/>
        </w:rPr>
        <w:t>Tafsīr a</w:t>
      </w:r>
      <w:r w:rsidRPr="00F230F1">
        <w:rPr>
          <w:rFonts w:asciiTheme="majorBidi" w:eastAsia="Times New Roman" w:hAnsiTheme="majorBidi" w:cstheme="majorBidi"/>
          <w:i/>
          <w:iCs/>
          <w:sz w:val="20"/>
          <w:szCs w:val="20"/>
        </w:rPr>
        <w:t>ṭ-Ṭ</w:t>
      </w:r>
      <w:r w:rsidRPr="00F230F1">
        <w:rPr>
          <w:rFonts w:asciiTheme="majorBidi" w:hAnsiTheme="majorBidi" w:cstheme="majorBidi"/>
          <w:i/>
          <w:iCs/>
          <w:sz w:val="20"/>
          <w:szCs w:val="20"/>
        </w:rPr>
        <w:t>abarī</w:t>
      </w:r>
      <w:r w:rsidRPr="00F230F1">
        <w:rPr>
          <w:rFonts w:asciiTheme="majorBidi" w:hAnsiTheme="majorBidi" w:cstheme="majorBidi"/>
          <w:sz w:val="20"/>
          <w:szCs w:val="20"/>
        </w:rPr>
        <w:t xml:space="preserve">, t. 1, p. 73, </w:t>
      </w:r>
      <w:hyperlink r:id="rId59" w:history="1">
        <w:r w:rsidRPr="00F230F1">
          <w:rPr>
            <w:rStyle w:val="Lienhypertexte"/>
            <w:rFonts w:asciiTheme="majorBidi" w:hAnsiTheme="majorBidi" w:cstheme="majorBidi"/>
            <w:sz w:val="20"/>
            <w:szCs w:val="20"/>
          </w:rPr>
          <w:t>http://library.islamweb.net/newlibrary/display_book.php?idfrom=6&amp;idto=6&amp;bk_no=50&amp;ID=7</w:t>
        </w:r>
      </w:hyperlink>
      <w:r w:rsidRPr="00F230F1">
        <w:rPr>
          <w:rFonts w:asciiTheme="majorBidi" w:hAnsiTheme="majorBidi" w:cstheme="majorBidi"/>
          <w:sz w:val="20"/>
          <w:szCs w:val="20"/>
        </w:rPr>
        <w:t xml:space="preserve"> (consulté le 11/08/2017).</w:t>
      </w:r>
    </w:p>
  </w:footnote>
  <w:footnote w:id="149">
    <w:p w14:paraId="72809851" w14:textId="77777777" w:rsidR="009C3BB9" w:rsidRPr="00F230F1" w:rsidRDefault="009C3BB9" w:rsidP="00F230F1">
      <w:pPr>
        <w:shd w:val="clear" w:color="auto" w:fill="FFFFFF"/>
        <w:contextualSpacing/>
        <w:jc w:val="both"/>
        <w:rPr>
          <w:rFonts w:asciiTheme="majorBidi" w:eastAsia="Times New Roman"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KW"/>
        </w:rPr>
        <w:t xml:space="preserve"> </w:t>
      </w:r>
      <w:r w:rsidRPr="00F230F1">
        <w:rPr>
          <w:rFonts w:asciiTheme="majorBidi" w:hAnsiTheme="majorBidi" w:cstheme="majorBidi"/>
          <w:sz w:val="20"/>
          <w:szCs w:val="20"/>
        </w:rPr>
        <w:t xml:space="preserve">Jacques Nieuviarts et Gérard Billon, « Traduire : un échec programmé ? », </w:t>
      </w:r>
      <w:r w:rsidRPr="00F230F1">
        <w:rPr>
          <w:rFonts w:asciiTheme="majorBidi" w:hAnsiTheme="majorBidi" w:cstheme="majorBidi"/>
          <w:i/>
          <w:iCs/>
          <w:sz w:val="20"/>
          <w:szCs w:val="20"/>
        </w:rPr>
        <w:t>Cahiers Évangile</w:t>
      </w:r>
      <w:r w:rsidRPr="00F230F1">
        <w:rPr>
          <w:rFonts w:asciiTheme="majorBidi" w:hAnsiTheme="majorBidi" w:cstheme="majorBidi"/>
          <w:sz w:val="20"/>
          <w:szCs w:val="20"/>
        </w:rPr>
        <w:t>, n° 157, 2011,</w:t>
      </w:r>
      <w:r w:rsidRPr="00F230F1">
        <w:rPr>
          <w:rFonts w:asciiTheme="majorBidi" w:hAnsiTheme="majorBidi" w:cstheme="majorBidi"/>
          <w:sz w:val="20"/>
          <w:szCs w:val="20"/>
          <w:lang w:bidi="ar-KW"/>
        </w:rPr>
        <w:t xml:space="preserve"> p. 4.</w:t>
      </w:r>
    </w:p>
  </w:footnote>
  <w:footnote w:id="150">
    <w:p w14:paraId="4A605DA7"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KW"/>
        </w:rPr>
        <w:t xml:space="preserve">Jaʿfar As-Sabḥānī, </w:t>
      </w:r>
      <w:r w:rsidRPr="00F230F1">
        <w:rPr>
          <w:rFonts w:asciiTheme="majorBidi" w:eastAsia="Times New Roman" w:hAnsiTheme="majorBidi" w:cstheme="majorBidi"/>
          <w:i/>
          <w:iCs/>
          <w:sz w:val="20"/>
          <w:szCs w:val="20"/>
          <w:lang w:bidi="ar-KW"/>
        </w:rPr>
        <w:t>Al-manāhij at-tafsīrīya</w:t>
      </w:r>
      <w:r w:rsidRPr="00F230F1">
        <w:rPr>
          <w:rFonts w:asciiTheme="majorBidi" w:eastAsia="Times New Roman" w:hAnsiTheme="majorBidi" w:cstheme="majorBidi"/>
          <w:sz w:val="20"/>
          <w:szCs w:val="20"/>
          <w:lang w:bidi="ar-KW"/>
        </w:rPr>
        <w:t>, Éditions de Mu</w:t>
      </w:r>
      <w:r w:rsidRPr="00F230F1">
        <w:rPr>
          <w:rFonts w:asciiTheme="majorBidi" w:eastAsia="Times New Roman" w:hAnsiTheme="majorBidi" w:cstheme="majorBidi"/>
          <w:sz w:val="20"/>
          <w:szCs w:val="20"/>
        </w:rPr>
        <w:t>ʾ</w:t>
      </w:r>
      <w:r w:rsidRPr="00F230F1">
        <w:rPr>
          <w:rFonts w:asciiTheme="majorBidi" w:eastAsia="Times New Roman" w:hAnsiTheme="majorBidi" w:cstheme="majorBidi"/>
          <w:sz w:val="20"/>
          <w:szCs w:val="20"/>
          <w:lang w:bidi="ar-KW"/>
        </w:rPr>
        <w:t>assasat al-Imām a</w:t>
      </w:r>
      <w:r w:rsidRPr="00F230F1">
        <w:rPr>
          <w:rFonts w:asciiTheme="majorBidi" w:eastAsia="Times New Roman" w:hAnsiTheme="majorBidi" w:cstheme="majorBidi"/>
          <w:sz w:val="20"/>
          <w:szCs w:val="20"/>
        </w:rPr>
        <w:t>ṣ-Ṣādiq, Qom, Iran,</w:t>
      </w:r>
      <w:r w:rsidRPr="00F230F1">
        <w:rPr>
          <w:rFonts w:asciiTheme="majorBidi" w:eastAsia="Times New Roman" w:hAnsiTheme="majorBidi" w:cstheme="majorBidi"/>
          <w:sz w:val="20"/>
          <w:szCs w:val="20"/>
          <w:lang w:bidi="ar-KW"/>
        </w:rPr>
        <w:t xml:space="preserve"> troisième édition, 1426 de l’Hégire (2005 J-.C), p. 17.</w:t>
      </w:r>
    </w:p>
  </w:footnote>
  <w:footnote w:id="151">
    <w:p w14:paraId="6DF59DD1" w14:textId="77777777" w:rsidR="009C3BB9" w:rsidRPr="00F230F1" w:rsidRDefault="009C3BB9" w:rsidP="00F230F1">
      <w:pPr>
        <w:shd w:val="clear" w:color="auto" w:fill="FFFFFF"/>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Bellos, David, </w:t>
      </w:r>
      <w:r w:rsidRPr="00F230F1">
        <w:rPr>
          <w:rFonts w:asciiTheme="majorBidi" w:hAnsiTheme="majorBidi" w:cstheme="majorBidi"/>
          <w:i/>
          <w:iCs/>
          <w:sz w:val="20"/>
          <w:szCs w:val="20"/>
        </w:rPr>
        <w:t>Le poisson et le Bananier</w:t>
      </w:r>
      <w:r w:rsidRPr="00F230F1">
        <w:rPr>
          <w:rFonts w:asciiTheme="majorBidi" w:hAnsiTheme="majorBidi" w:cstheme="majorBidi"/>
          <w:sz w:val="20"/>
          <w:szCs w:val="20"/>
        </w:rPr>
        <w:t>, Flammarion, 2012</w:t>
      </w:r>
      <w:r w:rsidRPr="00F230F1">
        <w:rPr>
          <w:rFonts w:asciiTheme="majorBidi" w:hAnsiTheme="majorBidi" w:cstheme="majorBidi"/>
          <w:sz w:val="20"/>
          <w:szCs w:val="20"/>
          <w:lang w:bidi="ar-AE"/>
        </w:rPr>
        <w:t>, p. 357</w:t>
      </w:r>
      <w:r w:rsidRPr="00F230F1">
        <w:rPr>
          <w:rFonts w:asciiTheme="majorBidi" w:hAnsiTheme="majorBidi" w:cstheme="majorBidi"/>
          <w:sz w:val="20"/>
          <w:szCs w:val="20"/>
          <w:lang w:bidi="ar-KW"/>
        </w:rPr>
        <w:t>.</w:t>
      </w:r>
    </w:p>
  </w:footnote>
  <w:footnote w:id="152">
    <w:p w14:paraId="02B44614" w14:textId="77777777" w:rsidR="009C3BB9" w:rsidRPr="00F230F1" w:rsidRDefault="009C3BB9" w:rsidP="00F230F1">
      <w:pPr>
        <w:shd w:val="clear" w:color="auto" w:fill="FFFFFF"/>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Mounin, Georges, </w:t>
      </w:r>
      <w:r w:rsidRPr="00F230F1">
        <w:rPr>
          <w:rFonts w:asciiTheme="majorBidi" w:hAnsiTheme="majorBidi" w:cstheme="majorBidi"/>
          <w:i/>
          <w:iCs/>
          <w:sz w:val="20"/>
          <w:szCs w:val="20"/>
        </w:rPr>
        <w:t>Les problèmes théoriques de la traduction</w:t>
      </w:r>
      <w:r w:rsidRPr="00F230F1">
        <w:rPr>
          <w:rFonts w:asciiTheme="majorBidi" w:hAnsiTheme="majorBidi" w:cstheme="majorBidi"/>
          <w:sz w:val="20"/>
          <w:szCs w:val="20"/>
        </w:rPr>
        <w:t>, Gallimard, 1963, p. 166</w:t>
      </w:r>
      <w:r w:rsidRPr="00F230F1">
        <w:rPr>
          <w:rFonts w:asciiTheme="majorBidi" w:hAnsiTheme="majorBidi" w:cstheme="majorBidi"/>
          <w:sz w:val="20"/>
          <w:szCs w:val="20"/>
          <w:lang w:bidi="ar-KW"/>
        </w:rPr>
        <w:t>.</w:t>
      </w:r>
    </w:p>
  </w:footnote>
  <w:footnote w:id="153">
    <w:p w14:paraId="58F1172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Claude </w:t>
      </w:r>
      <w:r w:rsidRPr="00F230F1">
        <w:rPr>
          <w:rFonts w:asciiTheme="majorBidi" w:eastAsia="Times New Roman" w:hAnsiTheme="majorBidi" w:cstheme="majorBidi"/>
          <w:sz w:val="20"/>
          <w:szCs w:val="20"/>
        </w:rPr>
        <w:t>Gilliot, « Exegesis of the Qur’ān : Classical and Medieval », Jane Dammen McAuliffe, Cl. Gilliot, Wadad Kadi, A. Rippin. </w:t>
      </w:r>
      <w:r w:rsidRPr="00F230F1">
        <w:rPr>
          <w:rFonts w:asciiTheme="majorBidi" w:eastAsia="Times New Roman" w:hAnsiTheme="majorBidi" w:cstheme="majorBidi"/>
          <w:i/>
          <w:iCs/>
          <w:sz w:val="20"/>
          <w:szCs w:val="20"/>
        </w:rPr>
        <w:t>Encyclopaedia of the Qur'ān</w:t>
      </w:r>
      <w:r w:rsidRPr="00F230F1">
        <w:rPr>
          <w:rFonts w:asciiTheme="majorBidi" w:eastAsia="Times New Roman" w:hAnsiTheme="majorBidi" w:cstheme="majorBidi"/>
          <w:sz w:val="20"/>
          <w:szCs w:val="20"/>
        </w:rPr>
        <w:t xml:space="preserve"> (EQ), II, Leiden, Brill, p. 99-124, 2002. </w:t>
      </w:r>
      <w:hyperlink r:id="rId60" w:history="1">
        <w:r w:rsidRPr="00F230F1">
          <w:rPr>
            <w:rStyle w:val="Lienhypertexte"/>
            <w:rFonts w:asciiTheme="majorBidi" w:eastAsia="Times New Roman" w:hAnsiTheme="majorBidi" w:cstheme="majorBidi"/>
            <w:sz w:val="20"/>
            <w:szCs w:val="20"/>
          </w:rPr>
          <w:t>https://halshs.archives-ouvertes.fr/halshs-00643875</w:t>
        </w:r>
      </w:hyperlink>
      <w:r w:rsidRPr="00F230F1">
        <w:rPr>
          <w:rFonts w:asciiTheme="majorBidi" w:eastAsia="Times New Roman" w:hAnsiTheme="majorBidi" w:cstheme="majorBidi"/>
          <w:sz w:val="20"/>
          <w:szCs w:val="20"/>
        </w:rPr>
        <w:t xml:space="preserve"> (consulté le 19/07/2017).</w:t>
      </w:r>
    </w:p>
  </w:footnote>
  <w:footnote w:id="154">
    <w:p w14:paraId="3411FB4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Rippin, « Tafsīr », </w:t>
      </w:r>
      <w:r w:rsidRPr="00F230F1">
        <w:rPr>
          <w:rFonts w:asciiTheme="majorBidi" w:eastAsia="Times New Roman" w:hAnsiTheme="majorBidi" w:cstheme="majorBidi"/>
          <w:i/>
          <w:iCs/>
          <w:sz w:val="20"/>
          <w:szCs w:val="20"/>
        </w:rPr>
        <w:t>Encyclopédie de l’Islam</w:t>
      </w:r>
      <w:r w:rsidRPr="00F230F1">
        <w:rPr>
          <w:rFonts w:asciiTheme="majorBidi" w:eastAsia="Times New Roman" w:hAnsiTheme="majorBidi" w:cstheme="majorBidi"/>
          <w:sz w:val="20"/>
          <w:szCs w:val="20"/>
        </w:rPr>
        <w:t xml:space="preserve">, Brill Online, 2013,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xml:space="preserve"> </w:t>
      </w:r>
    </w:p>
  </w:footnote>
  <w:footnote w:id="155">
    <w:p w14:paraId="30E0AD0E"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Ḥussayn Adh-Dhahabī, </w:t>
      </w:r>
      <w:r w:rsidRPr="00F230F1">
        <w:rPr>
          <w:rFonts w:asciiTheme="majorBidi" w:hAnsiTheme="majorBidi" w:cstheme="majorBidi"/>
          <w:i/>
          <w:iCs/>
          <w:sz w:val="20"/>
          <w:szCs w:val="20"/>
        </w:rPr>
        <w:t>At-tafsīr wa-l-mufassirūn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L’exégèse et les exégètes</w:t>
      </w:r>
      <w:r w:rsidRPr="00F230F1">
        <w:rPr>
          <w:rFonts w:asciiTheme="majorBidi" w:hAnsiTheme="majorBidi" w:cstheme="majorBidi"/>
          <w:sz w:val="20"/>
          <w:szCs w:val="20"/>
        </w:rPr>
        <w:t xml:space="preserve">], 3 tomes, Éditions Maktabat Wahba, le Caire, 2000, tome 1, p. 31,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p>
  </w:footnote>
  <w:footnote w:id="156">
    <w:p w14:paraId="365BADA8"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En </w:t>
      </w:r>
      <w:r w:rsidRPr="00F230F1">
        <w:rPr>
          <w:rFonts w:asciiTheme="majorBidi" w:hAnsiTheme="majorBidi" w:cstheme="majorBidi"/>
          <w:sz w:val="20"/>
          <w:szCs w:val="20"/>
        </w:rPr>
        <w:t>effet, ce n’est pas l’exégèse d’</w:t>
      </w:r>
      <w:r w:rsidRPr="00F230F1">
        <w:rPr>
          <w:rFonts w:asciiTheme="majorBidi" w:hAnsiTheme="majorBidi" w:cstheme="majorBidi"/>
          <w:sz w:val="20"/>
          <w:szCs w:val="20"/>
          <w:lang w:bidi="ar-AE"/>
        </w:rPr>
        <w:t>Aṭ-Ṭabarī</w:t>
      </w:r>
      <w:r w:rsidRPr="00F230F1">
        <w:rPr>
          <w:rFonts w:asciiTheme="majorBidi" w:hAnsiTheme="majorBidi" w:cstheme="majorBidi"/>
          <w:sz w:val="20"/>
          <w:szCs w:val="20"/>
        </w:rPr>
        <w:t xml:space="preserve"> qui est</w:t>
      </w:r>
      <w:r w:rsidRPr="00F230F1">
        <w:rPr>
          <w:rFonts w:asciiTheme="majorBidi" w:hAnsiTheme="majorBidi" w:cstheme="majorBidi"/>
          <w:sz w:val="20"/>
          <w:szCs w:val="20"/>
          <w:lang w:bidi="ar-EG"/>
        </w:rPr>
        <w:t xml:space="preserve"> la plus ancienne, mais celle de Yaḥya b. Sallām Al-Baṣrī Al-Qayrawānī (741-815). Voir : Az-Zarklī,</w:t>
      </w:r>
      <w:r w:rsidRPr="00F230F1">
        <w:rPr>
          <w:rFonts w:asciiTheme="majorBidi" w:hAnsiTheme="majorBidi" w:cstheme="majorBidi"/>
          <w:i/>
          <w:iCs/>
          <w:sz w:val="20"/>
          <w:szCs w:val="20"/>
          <w:lang w:bidi="ar-EG"/>
        </w:rPr>
        <w:t xml:space="preserve"> </w:t>
      </w:r>
      <w:r w:rsidRPr="00F230F1">
        <w:rPr>
          <w:rFonts w:asciiTheme="majorBidi" w:hAnsiTheme="majorBidi" w:cstheme="majorBidi"/>
          <w:sz w:val="20"/>
          <w:szCs w:val="20"/>
          <w:lang w:bidi="ar-EG"/>
        </w:rPr>
        <w:t xml:space="preserve">Khayr ad-Dīn, </w:t>
      </w:r>
      <w:r w:rsidRPr="00F230F1">
        <w:rPr>
          <w:rFonts w:asciiTheme="majorBidi" w:hAnsiTheme="majorBidi" w:cstheme="majorBidi"/>
          <w:i/>
          <w:iCs/>
          <w:sz w:val="20"/>
          <w:szCs w:val="20"/>
          <w:lang w:bidi="ar-EG"/>
        </w:rPr>
        <w:t>Al-ʾAʿlām :</w:t>
      </w:r>
      <w:r w:rsidRPr="00F230F1">
        <w:rPr>
          <w:rFonts w:asciiTheme="majorBidi" w:hAnsiTheme="majorBidi" w:cstheme="majorBidi"/>
          <w:sz w:val="20"/>
          <w:szCs w:val="20"/>
          <w:lang w:bidi="ar-EG"/>
        </w:rPr>
        <w:t xml:space="preserve"> </w:t>
      </w:r>
      <w:r w:rsidRPr="00F230F1">
        <w:rPr>
          <w:rFonts w:asciiTheme="majorBidi" w:hAnsiTheme="majorBidi" w:cstheme="majorBidi"/>
          <w:i/>
          <w:iCs/>
          <w:sz w:val="20"/>
          <w:szCs w:val="20"/>
          <w:lang w:bidi="ar-EG"/>
        </w:rPr>
        <w:t>Qāmūs tarājim</w:t>
      </w:r>
      <w:r w:rsidRPr="00F230F1">
        <w:rPr>
          <w:rFonts w:asciiTheme="majorBidi" w:hAnsiTheme="majorBidi" w:cstheme="majorBidi"/>
          <w:sz w:val="20"/>
          <w:szCs w:val="20"/>
          <w:lang w:bidi="ar-EG"/>
        </w:rPr>
        <w:t xml:space="preserve"> [Noms propres : Dictionnaire biographique], Dār al-ʿilm li-l-malāyīn, Beyrouth, 15</w:t>
      </w:r>
      <w:r w:rsidRPr="00F230F1">
        <w:rPr>
          <w:rFonts w:asciiTheme="majorBidi" w:hAnsiTheme="majorBidi" w:cstheme="majorBidi"/>
          <w:sz w:val="20"/>
          <w:szCs w:val="20"/>
          <w:vertAlign w:val="superscript"/>
          <w:lang w:bidi="ar-EG"/>
        </w:rPr>
        <w:t>e</w:t>
      </w:r>
      <w:r w:rsidRPr="00F230F1">
        <w:rPr>
          <w:rFonts w:asciiTheme="majorBidi" w:hAnsiTheme="majorBidi" w:cstheme="majorBidi"/>
          <w:sz w:val="20"/>
          <w:szCs w:val="20"/>
          <w:lang w:bidi="ar-EG"/>
        </w:rPr>
        <w:t xml:space="preserve"> éd., 2002. Il existe une exégèse plus ancienne encore, celle intitulée </w:t>
      </w:r>
      <w:r w:rsidRPr="00F230F1">
        <w:rPr>
          <w:rFonts w:asciiTheme="majorBidi" w:hAnsiTheme="majorBidi" w:cstheme="majorBidi"/>
          <w:i/>
          <w:iCs/>
          <w:sz w:val="20"/>
          <w:szCs w:val="20"/>
          <w:lang w:bidi="ar-EG"/>
        </w:rPr>
        <w:t>Tanwīr al-Miqbās min Tafsīr Ibn ʿAbbās</w:t>
      </w:r>
      <w:r w:rsidRPr="00F230F1">
        <w:rPr>
          <w:rFonts w:asciiTheme="majorBidi" w:hAnsiTheme="majorBidi" w:cstheme="majorBidi"/>
          <w:sz w:val="20"/>
          <w:szCs w:val="20"/>
          <w:lang w:bidi="ar-EG"/>
        </w:rPr>
        <w:t xml:space="preserve"> attribuée à ʿAbdullāh b. ʿAbbās (618/619-687) </w:t>
      </w:r>
      <w:hyperlink r:id="rId61" w:history="1">
        <w:r w:rsidRPr="00F230F1">
          <w:rPr>
            <w:rStyle w:val="Lienhypertexte"/>
            <w:rFonts w:asciiTheme="majorBidi" w:hAnsiTheme="majorBidi" w:cstheme="majorBidi"/>
            <w:sz w:val="20"/>
            <w:szCs w:val="20"/>
          </w:rPr>
          <w:t>http://www.altafsir.com/Books/IbnAbbas.pdf</w:t>
        </w:r>
      </w:hyperlink>
      <w:r w:rsidRPr="00F230F1">
        <w:rPr>
          <w:rFonts w:asciiTheme="majorBidi" w:hAnsiTheme="majorBidi" w:cstheme="majorBidi"/>
          <w:sz w:val="20"/>
          <w:szCs w:val="20"/>
          <w:lang w:bidi="ar-EG"/>
        </w:rPr>
        <w:t xml:space="preserve"> (consulté le 19/07/2017). Cependant, l’exégèse </w:t>
      </w:r>
      <w:r w:rsidRPr="00F230F1">
        <w:rPr>
          <w:rFonts w:asciiTheme="majorBidi" w:hAnsiTheme="majorBidi" w:cstheme="majorBidi"/>
          <w:sz w:val="20"/>
          <w:szCs w:val="20"/>
        </w:rPr>
        <w:t>d’</w:t>
      </w:r>
      <w:r w:rsidRPr="00F230F1">
        <w:rPr>
          <w:rFonts w:asciiTheme="majorBidi" w:hAnsiTheme="majorBidi" w:cstheme="majorBidi"/>
          <w:sz w:val="20"/>
          <w:szCs w:val="20"/>
          <w:lang w:bidi="ar-AE"/>
        </w:rPr>
        <w:t>Aṭ-Ṭabarī</w:t>
      </w:r>
      <w:r w:rsidRPr="00F230F1">
        <w:rPr>
          <w:rFonts w:asciiTheme="majorBidi" w:hAnsiTheme="majorBidi" w:cstheme="majorBidi"/>
          <w:sz w:val="20"/>
          <w:szCs w:val="20"/>
          <w:lang w:bidi="ar-EG"/>
        </w:rPr>
        <w:t xml:space="preserve"> est le premier recueil qui nous est parvenue, alors que les précédentes ont été perdues. </w:t>
      </w:r>
      <w:r w:rsidRPr="00F230F1">
        <w:rPr>
          <w:rFonts w:asciiTheme="majorBidi" w:hAnsiTheme="majorBidi" w:cstheme="majorBidi"/>
          <w:sz w:val="20"/>
          <w:szCs w:val="20"/>
          <w:lang w:bidi="ar-AE"/>
        </w:rPr>
        <w:t xml:space="preserve">Sans oublier </w:t>
      </w:r>
      <w:r w:rsidRPr="00F230F1">
        <w:rPr>
          <w:rFonts w:asciiTheme="majorBidi" w:hAnsiTheme="majorBidi" w:cstheme="majorBidi"/>
          <w:i/>
          <w:iCs/>
          <w:sz w:val="20"/>
          <w:szCs w:val="20"/>
          <w:lang w:bidi="ar-AE"/>
        </w:rPr>
        <w:t>Tafsīr Aṣ-ṣanʿānī</w:t>
      </w:r>
      <w:r w:rsidRPr="00F230F1">
        <w:rPr>
          <w:rFonts w:asciiTheme="majorBidi" w:hAnsiTheme="majorBidi" w:cstheme="majorBidi"/>
          <w:sz w:val="20"/>
          <w:szCs w:val="20"/>
          <w:lang w:bidi="ar-AE"/>
        </w:rPr>
        <w:t xml:space="preserve"> (744-827) qui précède celle </w:t>
      </w:r>
      <w:r w:rsidRPr="00F230F1">
        <w:rPr>
          <w:rFonts w:asciiTheme="majorBidi" w:hAnsiTheme="majorBidi" w:cstheme="majorBidi"/>
          <w:sz w:val="20"/>
          <w:szCs w:val="20"/>
          <w:shd w:val="clear" w:color="auto" w:fill="FFFFFF"/>
        </w:rPr>
        <w:t>d’</w:t>
      </w:r>
      <w:r w:rsidRPr="00F230F1">
        <w:rPr>
          <w:rFonts w:asciiTheme="majorBidi" w:hAnsiTheme="majorBidi" w:cstheme="majorBidi"/>
          <w:sz w:val="20"/>
          <w:szCs w:val="20"/>
          <w:lang w:bidi="ar-AE"/>
        </w:rPr>
        <w:t xml:space="preserve">Aṭ-Ṭabarī. Toutefois, </w:t>
      </w:r>
      <w:r w:rsidRPr="00F230F1">
        <w:rPr>
          <w:rFonts w:asciiTheme="majorBidi" w:eastAsia="Times New Roman" w:hAnsiTheme="majorBidi" w:cstheme="majorBidi"/>
          <w:sz w:val="20"/>
          <w:szCs w:val="20"/>
        </w:rPr>
        <w:t xml:space="preserve">ʿAbd Allāh Shaḥāta (dans </w:t>
      </w:r>
      <w:r w:rsidRPr="00F230F1">
        <w:rPr>
          <w:rFonts w:asciiTheme="majorBidi" w:eastAsia="Times New Roman" w:hAnsiTheme="majorBidi" w:cstheme="majorBidi"/>
          <w:i/>
          <w:iCs/>
          <w:sz w:val="20"/>
          <w:szCs w:val="20"/>
        </w:rPr>
        <w:t>ʿUlūm at-Tafsīr</w:t>
      </w:r>
      <w:r w:rsidRPr="00F230F1">
        <w:rPr>
          <w:rFonts w:asciiTheme="majorBidi" w:eastAsia="Times New Roman" w:hAnsiTheme="majorBidi" w:cstheme="majorBidi"/>
          <w:sz w:val="20"/>
          <w:szCs w:val="20"/>
        </w:rPr>
        <w:t xml:space="preserve"> [Les sciences de l’exégèse], Éditions de Dār ash-Shurūq, 2001, le Caire, première édition, p. 164) souligne :</w:t>
      </w:r>
    </w:p>
    <w:p w14:paraId="7621C904" w14:textId="77777777" w:rsidR="009C3BB9" w:rsidRPr="00F230F1" w:rsidRDefault="009C3BB9" w:rsidP="00F230F1">
      <w:pPr>
        <w:pStyle w:val="Notedebasdepage"/>
        <w:bidi/>
        <w:contextualSpacing/>
        <w:jc w:val="both"/>
        <w:rPr>
          <w:rFonts w:asciiTheme="majorBidi" w:eastAsia="Times New Roman" w:hAnsiTheme="majorBidi" w:cstheme="majorBidi"/>
          <w:sz w:val="20"/>
          <w:szCs w:val="20"/>
        </w:rPr>
      </w:pPr>
      <w:r w:rsidRPr="00F230F1">
        <w:rPr>
          <w:rFonts w:asciiTheme="majorBidi" w:eastAsia="Times New Roman" w:hAnsiTheme="majorBidi" w:cstheme="majorBidi"/>
          <w:sz w:val="20"/>
          <w:szCs w:val="20"/>
          <w:rtl/>
        </w:rPr>
        <w:t>"أَقدَمُ تفسيرٍ كاملٍ للقرآن الكريم وصلَ إلينا هو تفسير مقاتل بن سليمان". (ص. ١٦٤)</w:t>
      </w:r>
    </w:p>
    <w:p w14:paraId="0929872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Fonts w:asciiTheme="majorBidi" w:eastAsia="Times New Roman" w:hAnsiTheme="majorBidi" w:cstheme="majorBidi"/>
          <w:sz w:val="20"/>
          <w:szCs w:val="20"/>
        </w:rPr>
        <w:t>[« La première exégèse complète du noble Coran qui nous est parvenue integralement est celle de Muqātil b. Sulaymān. » (p. 164)]</w:t>
      </w:r>
    </w:p>
  </w:footnote>
  <w:footnote w:id="157">
    <w:p w14:paraId="1931CD64" w14:textId="77777777" w:rsidR="009C3BB9" w:rsidRPr="00F230F1" w:rsidRDefault="009C3BB9" w:rsidP="00F230F1">
      <w:pPr>
        <w:pStyle w:val="n1"/>
        <w:tabs>
          <w:tab w:val="left" w:pos="142"/>
          <w:tab w:val="left" w:pos="284"/>
        </w:tabs>
        <w:bidi w:val="0"/>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shd w:val="clear" w:color="auto" w:fill="FFFFFF"/>
        </w:rPr>
        <w:t>Ignác Goldziher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shd w:val="clear" w:color="auto" w:fill="FFFFFF"/>
        </w:rPr>
        <w:t>Die Richtungen der islamischen Koranauslegung</w:t>
      </w:r>
      <w:r w:rsidRPr="00F230F1">
        <w:rPr>
          <w:rFonts w:asciiTheme="majorBidi" w:hAnsiTheme="majorBidi" w:cstheme="majorBidi"/>
          <w:sz w:val="20"/>
          <w:szCs w:val="20"/>
          <w:shd w:val="clear" w:color="auto" w:fill="FFFFFF"/>
        </w:rPr>
        <w:t xml:space="preserve"> [</w:t>
      </w:r>
      <w:r w:rsidRPr="00F230F1">
        <w:rPr>
          <w:rFonts w:asciiTheme="majorBidi" w:eastAsia="Times New Roman" w:hAnsiTheme="majorBidi" w:cstheme="majorBidi"/>
          <w:i/>
          <w:iCs/>
          <w:sz w:val="20"/>
          <w:szCs w:val="20"/>
          <w:shd w:val="clear" w:color="auto" w:fill="FFFFFF"/>
        </w:rPr>
        <w:t>Les tendances de l'</w:t>
      </w:r>
      <w:r w:rsidRPr="00F230F1">
        <w:rPr>
          <w:rFonts w:asciiTheme="majorBidi" w:eastAsia="Times New Roman" w:hAnsiTheme="majorBidi" w:cstheme="majorBidi"/>
          <w:i/>
          <w:iCs/>
          <w:sz w:val="20"/>
          <w:szCs w:val="20"/>
        </w:rPr>
        <w:t>exégèse </w:t>
      </w:r>
      <w:r w:rsidRPr="00F230F1">
        <w:rPr>
          <w:rFonts w:asciiTheme="majorBidi" w:eastAsia="Times New Roman" w:hAnsiTheme="majorBidi" w:cstheme="majorBidi"/>
          <w:i/>
          <w:iCs/>
          <w:sz w:val="20"/>
          <w:szCs w:val="20"/>
          <w:shd w:val="clear" w:color="auto" w:fill="FFFFFF"/>
        </w:rPr>
        <w:t>islamique du</w:t>
      </w:r>
      <w:r w:rsidRPr="00F230F1">
        <w:rPr>
          <w:rFonts w:asciiTheme="majorBidi" w:eastAsia="Times New Roman" w:hAnsiTheme="majorBidi" w:cstheme="majorBidi"/>
          <w:i/>
          <w:iCs/>
          <w:sz w:val="20"/>
          <w:szCs w:val="20"/>
        </w:rPr>
        <w:t> Coran</w:t>
      </w:r>
      <w:r w:rsidRPr="00F230F1">
        <w:rPr>
          <w:rFonts w:asciiTheme="majorBidi" w:hAnsiTheme="majorBidi" w:cstheme="majorBidi"/>
          <w:sz w:val="20"/>
          <w:szCs w:val="20"/>
          <w:shd w:val="clear" w:color="auto" w:fill="FFFFFF"/>
        </w:rPr>
        <w:t xml:space="preserve">], Leiden 1920, traduction arabe par </w:t>
      </w:r>
      <w:r w:rsidRPr="00F230F1">
        <w:rPr>
          <w:rFonts w:asciiTheme="majorBidi" w:hAnsiTheme="majorBidi" w:cstheme="majorBidi"/>
          <w:sz w:val="20"/>
          <w:szCs w:val="20"/>
        </w:rPr>
        <w:t>ʿAbd Al-</w:t>
      </w:r>
      <w:r w:rsidRPr="00F230F1">
        <w:rPr>
          <w:rFonts w:asciiTheme="majorBidi" w:hAnsiTheme="majorBidi" w:cstheme="majorBidi"/>
          <w:sz w:val="20"/>
          <w:szCs w:val="20"/>
          <w:shd w:val="clear" w:color="auto" w:fill="FFFFFF"/>
        </w:rPr>
        <w:t xml:space="preserve">Ḥalīm An-Najjār : </w:t>
      </w:r>
      <w:r w:rsidRPr="00F230F1">
        <w:rPr>
          <w:rFonts w:asciiTheme="majorBidi" w:hAnsiTheme="majorBidi" w:cstheme="majorBidi"/>
          <w:i/>
          <w:iCs/>
          <w:sz w:val="20"/>
          <w:szCs w:val="20"/>
          <w:shd w:val="clear" w:color="auto" w:fill="FFFFFF"/>
        </w:rPr>
        <w:t>Madhāhib at-tafsīr al-islāmī</w:t>
      </w:r>
      <w:r w:rsidRPr="00F230F1">
        <w:rPr>
          <w:rFonts w:asciiTheme="majorBidi" w:hAnsiTheme="majorBidi" w:cstheme="majorBidi"/>
          <w:sz w:val="20"/>
          <w:szCs w:val="20"/>
          <w:shd w:val="clear" w:color="auto" w:fill="FFFFFF"/>
        </w:rPr>
        <w:t>,</w:t>
      </w:r>
      <w:r w:rsidRPr="00F230F1">
        <w:rPr>
          <w:rFonts w:asciiTheme="majorBidi" w:hAnsiTheme="majorBidi" w:cstheme="majorBidi"/>
          <w:sz w:val="20"/>
          <w:szCs w:val="20"/>
        </w:rPr>
        <w:t xml:space="preserve"> </w:t>
      </w:r>
      <w:r w:rsidRPr="00F230F1">
        <w:rPr>
          <w:rFonts w:asciiTheme="majorBidi" w:hAnsiTheme="majorBidi" w:cstheme="majorBidi"/>
          <w:iCs/>
          <w:sz w:val="20"/>
          <w:szCs w:val="20"/>
        </w:rPr>
        <w:t>Dār ʾIqraʾ</w:t>
      </w:r>
      <w:r w:rsidRPr="00F230F1">
        <w:rPr>
          <w:rFonts w:asciiTheme="majorBidi" w:hAnsiTheme="majorBidi" w:cstheme="majorBidi"/>
          <w:sz w:val="20"/>
          <w:szCs w:val="20"/>
        </w:rPr>
        <w:t>, Beyrouth, 5</w:t>
      </w:r>
      <w:r w:rsidRPr="00F230F1">
        <w:rPr>
          <w:rFonts w:asciiTheme="majorBidi" w:hAnsiTheme="majorBidi" w:cstheme="majorBidi"/>
          <w:sz w:val="20"/>
          <w:szCs w:val="20"/>
          <w:vertAlign w:val="superscript"/>
        </w:rPr>
        <w:t>ème</w:t>
      </w:r>
      <w:r w:rsidRPr="00F230F1">
        <w:rPr>
          <w:rFonts w:asciiTheme="majorBidi" w:hAnsiTheme="majorBidi" w:cstheme="majorBidi"/>
          <w:sz w:val="20"/>
          <w:szCs w:val="20"/>
        </w:rPr>
        <w:t xml:space="preserve"> édition, 1992.</w:t>
      </w:r>
    </w:p>
  </w:footnote>
  <w:footnote w:id="158">
    <w:p w14:paraId="26A124FC" w14:textId="77777777" w:rsidR="009C3BB9" w:rsidRPr="00F230F1" w:rsidRDefault="009C3BB9" w:rsidP="00F230F1">
      <w:pPr>
        <w:pStyle w:val="n1"/>
        <w:bidi w:val="0"/>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Ḥusayn Adh-Dhahabī, </w:t>
      </w:r>
      <w:r w:rsidRPr="00F230F1">
        <w:rPr>
          <w:rFonts w:asciiTheme="majorBidi" w:hAnsiTheme="majorBidi" w:cstheme="majorBidi"/>
          <w:i/>
          <w:iCs/>
          <w:sz w:val="20"/>
          <w:szCs w:val="20"/>
        </w:rPr>
        <w:t>At-tafsīr wa-l-mufassirūn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1/10.</w:t>
      </w:r>
    </w:p>
  </w:footnote>
  <w:footnote w:id="159">
    <w:p w14:paraId="0F149F1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Rippin, « Tafsīr », </w:t>
      </w:r>
      <w:r w:rsidRPr="00F230F1">
        <w:rPr>
          <w:rFonts w:asciiTheme="majorBidi" w:eastAsia="Times New Roman" w:hAnsiTheme="majorBidi" w:cstheme="majorBidi"/>
          <w:i/>
          <w:iCs/>
          <w:sz w:val="20"/>
          <w:szCs w:val="20"/>
        </w:rPr>
        <w:t>Encyclopédie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p>
  </w:footnote>
  <w:footnote w:id="160">
    <w:p w14:paraId="25289432" w14:textId="77777777" w:rsidR="009C3BB9" w:rsidRPr="00F230F1" w:rsidRDefault="009C3BB9" w:rsidP="00F230F1">
      <w:pPr>
        <w:shd w:val="clear" w:color="auto" w:fill="FFFFFF"/>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Yūsuf ash-Sharbajī, « </w:t>
      </w:r>
      <w:r w:rsidRPr="00F230F1">
        <w:rPr>
          <w:rFonts w:asciiTheme="majorBidi" w:hAnsiTheme="majorBidi" w:cstheme="majorBidi"/>
          <w:iCs/>
          <w:sz w:val="20"/>
          <w:szCs w:val="20"/>
        </w:rPr>
        <w:t>ʿIlm al-wujūh wa-n-naẓāʾir fī l-qurʾān al-karīm, wa-atharu-hu fī t-tafsīr wa-l-kashf ʿan iʿjāz al-qurʾān</w:t>
      </w:r>
      <w:r w:rsidRPr="00F230F1">
        <w:rPr>
          <w:rFonts w:asciiTheme="majorBidi" w:hAnsiTheme="majorBidi" w:cstheme="majorBidi"/>
          <w:sz w:val="20"/>
          <w:szCs w:val="20"/>
        </w:rPr>
        <w:t xml:space="preserve"> » (La science de la polysémie </w:t>
      </w:r>
      <w:r w:rsidRPr="00F230F1">
        <w:rPr>
          <w:rFonts w:asciiTheme="majorBidi" w:eastAsia="Calibri" w:hAnsiTheme="majorBidi" w:cstheme="majorBidi"/>
          <w:sz w:val="20"/>
          <w:szCs w:val="20"/>
        </w:rPr>
        <w:t>[</w:t>
      </w:r>
      <w:r w:rsidRPr="00F230F1">
        <w:rPr>
          <w:rFonts w:asciiTheme="majorBidi" w:eastAsia="Calibri" w:hAnsiTheme="majorBidi" w:cstheme="majorBidi"/>
          <w:i/>
          <w:iCs/>
          <w:sz w:val="20"/>
          <w:szCs w:val="20"/>
        </w:rPr>
        <w:t>litt.</w:t>
      </w:r>
      <w:r w:rsidRPr="00F230F1">
        <w:rPr>
          <w:rFonts w:asciiTheme="majorBidi" w:eastAsia="Calibri" w:hAnsiTheme="majorBidi" w:cstheme="majorBidi"/>
          <w:sz w:val="20"/>
          <w:szCs w:val="20"/>
        </w:rPr>
        <w:t> : la science des aspects et des analogues]</w:t>
      </w:r>
      <w:r w:rsidRPr="00F230F1">
        <w:rPr>
          <w:rFonts w:asciiTheme="majorBidi" w:hAnsiTheme="majorBidi" w:cstheme="majorBidi"/>
          <w:sz w:val="20"/>
          <w:szCs w:val="20"/>
        </w:rPr>
        <w:t xml:space="preserve"> dans le noble Coran et son impact dans l’exégèse et dans la recherche de l’inimitabilité du Coran), </w:t>
      </w:r>
      <w:r w:rsidRPr="00F230F1">
        <w:rPr>
          <w:rFonts w:asciiTheme="majorBidi" w:hAnsiTheme="majorBidi" w:cstheme="majorBidi"/>
          <w:i/>
          <w:sz w:val="20"/>
          <w:szCs w:val="20"/>
        </w:rPr>
        <w:t>Majallat</w:t>
      </w:r>
      <w:r w:rsidRPr="00F230F1">
        <w:rPr>
          <w:rFonts w:asciiTheme="majorBidi" w:hAnsiTheme="majorBidi" w:cstheme="majorBidi"/>
          <w:sz w:val="20"/>
          <w:szCs w:val="20"/>
        </w:rPr>
        <w:t xml:space="preserve"> </w:t>
      </w:r>
      <w:r w:rsidRPr="00F230F1">
        <w:rPr>
          <w:rFonts w:asciiTheme="majorBidi" w:hAnsiTheme="majorBidi" w:cstheme="majorBidi"/>
          <w:i/>
          <w:sz w:val="20"/>
          <w:szCs w:val="20"/>
        </w:rPr>
        <w:t>jāmi</w:t>
      </w:r>
      <w:r w:rsidRPr="00F230F1">
        <w:rPr>
          <w:rFonts w:asciiTheme="majorBidi" w:hAnsiTheme="majorBidi" w:cstheme="majorBidi"/>
          <w:sz w:val="20"/>
          <w:szCs w:val="20"/>
        </w:rPr>
        <w:t>ʿ</w:t>
      </w:r>
      <w:r w:rsidRPr="00F230F1">
        <w:rPr>
          <w:rFonts w:asciiTheme="majorBidi" w:hAnsiTheme="majorBidi" w:cstheme="majorBidi"/>
          <w:i/>
          <w:sz w:val="20"/>
          <w:szCs w:val="20"/>
        </w:rPr>
        <w:t>at</w:t>
      </w:r>
      <w:r w:rsidRPr="00F230F1">
        <w:rPr>
          <w:rFonts w:asciiTheme="majorBidi" w:hAnsiTheme="majorBidi" w:cstheme="majorBidi"/>
          <w:sz w:val="20"/>
          <w:szCs w:val="20"/>
        </w:rPr>
        <w:t xml:space="preserve"> </w:t>
      </w:r>
      <w:r w:rsidRPr="00F230F1">
        <w:rPr>
          <w:rFonts w:asciiTheme="majorBidi" w:hAnsiTheme="majorBidi" w:cstheme="majorBidi"/>
          <w:i/>
          <w:sz w:val="20"/>
          <w:szCs w:val="20"/>
        </w:rPr>
        <w:t>Dimashq</w:t>
      </w:r>
      <w:r w:rsidRPr="00F230F1">
        <w:rPr>
          <w:rFonts w:asciiTheme="majorBidi" w:hAnsiTheme="majorBidi" w:cstheme="majorBidi"/>
          <w:iCs/>
          <w:sz w:val="20"/>
          <w:szCs w:val="20"/>
        </w:rPr>
        <w:t xml:space="preserve"> [Revue de l’niversité de Damas]</w:t>
      </w:r>
      <w:r w:rsidRPr="00F230F1">
        <w:rPr>
          <w:rFonts w:asciiTheme="majorBidi" w:hAnsiTheme="majorBidi" w:cstheme="majorBidi"/>
          <w:sz w:val="20"/>
          <w:szCs w:val="20"/>
        </w:rPr>
        <w:t>, t. 19 n° 2, 2003, pp. 455-491.</w:t>
      </w:r>
      <w:r w:rsidRPr="00F230F1">
        <w:rPr>
          <w:rFonts w:asciiTheme="majorBidi" w:hAnsiTheme="majorBidi" w:cstheme="majorBidi"/>
          <w:color w:val="FF0000"/>
          <w:sz w:val="20"/>
          <w:szCs w:val="20"/>
        </w:rPr>
        <w:t xml:space="preserve"> </w:t>
      </w:r>
      <w:hyperlink r:id="rId62" w:history="1">
        <w:r w:rsidRPr="00F230F1">
          <w:rPr>
            <w:rStyle w:val="Lienhypertexte"/>
            <w:rFonts w:asciiTheme="majorBidi" w:hAnsiTheme="majorBidi" w:cstheme="majorBidi"/>
            <w:sz w:val="20"/>
            <w:szCs w:val="20"/>
          </w:rPr>
          <w:t>http://www.damascusuniversity.edu.sy/mag/law/old/economics/2003/19-2/alsharbaji.pdf</w:t>
        </w:r>
      </w:hyperlink>
      <w:r w:rsidRPr="00F230F1">
        <w:rPr>
          <w:rFonts w:asciiTheme="majorBidi" w:hAnsiTheme="majorBidi" w:cstheme="majorBidi"/>
          <w:sz w:val="20"/>
          <w:szCs w:val="20"/>
        </w:rPr>
        <w:t xml:space="preserve"> ; </w:t>
      </w:r>
      <w:hyperlink r:id="rId63" w:history="1">
        <w:r w:rsidRPr="00F230F1">
          <w:rPr>
            <w:rStyle w:val="Lienhypertexte"/>
            <w:rFonts w:asciiTheme="majorBidi" w:hAnsiTheme="majorBidi" w:cstheme="majorBidi"/>
            <w:sz w:val="20"/>
            <w:szCs w:val="20"/>
          </w:rPr>
          <w:t>https://media.tafsir.net/ar/books//867/5653.pdf</w:t>
        </w:r>
      </w:hyperlink>
      <w:r w:rsidRPr="00F230F1">
        <w:rPr>
          <w:rFonts w:asciiTheme="majorBidi" w:hAnsiTheme="majorBidi" w:cstheme="majorBidi"/>
          <w:sz w:val="20"/>
          <w:szCs w:val="20"/>
        </w:rPr>
        <w:t xml:space="preserve"> (consultés le 19/07/2017).</w:t>
      </w:r>
    </w:p>
  </w:footnote>
  <w:footnote w:id="161">
    <w:p w14:paraId="20C9FD49"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ʿAbd Allāh Shaḥāta, </w:t>
      </w:r>
      <w:r w:rsidRPr="00F230F1">
        <w:rPr>
          <w:rFonts w:asciiTheme="majorBidi" w:eastAsia="Times New Roman" w:hAnsiTheme="majorBidi" w:cstheme="majorBidi"/>
          <w:i/>
          <w:iCs/>
          <w:sz w:val="20"/>
          <w:szCs w:val="20"/>
        </w:rPr>
        <w:t>ʿUlūm at-Tafsīr</w:t>
      </w:r>
      <w:r w:rsidRPr="00F230F1">
        <w:rPr>
          <w:rFonts w:asciiTheme="majorBidi" w:eastAsia="Times New Roman" w:hAnsiTheme="majorBidi" w:cstheme="majorBidi"/>
          <w:sz w:val="20"/>
          <w:szCs w:val="20"/>
        </w:rPr>
        <w:t xml:space="preserve">, Dār ash-Shurūq, 2001, le Caire, première édition, p. 164, </w:t>
      </w:r>
      <w:r w:rsidRPr="00F230F1">
        <w:rPr>
          <w:rFonts w:asciiTheme="majorBidi" w:eastAsia="Times New Roman" w:hAnsiTheme="majorBidi" w:cstheme="majorBidi"/>
          <w:i/>
          <w:iCs/>
          <w:sz w:val="20"/>
          <w:szCs w:val="20"/>
        </w:rPr>
        <w:t>op. cit.</w:t>
      </w:r>
    </w:p>
  </w:footnote>
  <w:footnote w:id="162">
    <w:p w14:paraId="00069910" w14:textId="77777777" w:rsidR="009C3BB9" w:rsidRPr="00F230F1" w:rsidRDefault="009C3BB9" w:rsidP="00F230F1">
      <w:pPr>
        <w:pStyle w:val="n1"/>
        <w:bidi w:val="0"/>
        <w:contextualSpacing/>
        <w:jc w:val="both"/>
        <w:rPr>
          <w:rFonts w:asciiTheme="majorBidi" w:hAnsiTheme="majorBidi" w:cstheme="majorBidi"/>
          <w:i/>
          <w:iCs/>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Ḥusayn Adh-Dhahabī, </w:t>
      </w:r>
      <w:r w:rsidRPr="00F230F1">
        <w:rPr>
          <w:rFonts w:asciiTheme="majorBidi" w:hAnsiTheme="majorBidi" w:cstheme="majorBidi"/>
          <w:i/>
          <w:iCs/>
          <w:sz w:val="20"/>
          <w:szCs w:val="20"/>
        </w:rPr>
        <w:t>At-tafsīr wa-l-mufassirūn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1/150.</w:t>
      </w:r>
    </w:p>
  </w:footnote>
  <w:footnote w:id="163">
    <w:p w14:paraId="182AAF7D"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154.</w:t>
      </w:r>
    </w:p>
  </w:footnote>
  <w:footnote w:id="164">
    <w:p w14:paraId="389B1C7D"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xml:space="preserve">, p. 165 </w:t>
      </w:r>
      <w:r w:rsidRPr="00F230F1">
        <w:rPr>
          <w:rFonts w:asciiTheme="majorBidi" w:hAnsiTheme="majorBidi" w:cstheme="majorBidi"/>
          <w:i/>
          <w:iCs/>
          <w:sz w:val="20"/>
          <w:szCs w:val="20"/>
        </w:rPr>
        <w:t>sq.</w:t>
      </w:r>
    </w:p>
  </w:footnote>
  <w:footnote w:id="165">
    <w:p w14:paraId="31A0B2E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eastAsia="fr-FR"/>
        </w:rPr>
        <w:t xml:space="preserve">Claude Gilliot, </w:t>
      </w:r>
      <w:r w:rsidRPr="00F230F1">
        <w:rPr>
          <w:rFonts w:asciiTheme="majorBidi" w:eastAsia="Times New Roman" w:hAnsiTheme="majorBidi" w:cstheme="majorBidi"/>
          <w:sz w:val="20"/>
          <w:szCs w:val="20"/>
          <w:lang w:eastAsia="fr-FR" w:bidi="ar-AE"/>
        </w:rPr>
        <w:t>« Exegesis of the Qurʾān : Classical and Medieval »,</w:t>
      </w:r>
      <w:r w:rsidRPr="00F230F1">
        <w:rPr>
          <w:rFonts w:asciiTheme="majorBidi" w:eastAsia="Times New Roman" w:hAnsiTheme="majorBidi" w:cstheme="majorBidi"/>
          <w:i/>
          <w:iCs/>
          <w:sz w:val="20"/>
          <w:szCs w:val="20"/>
          <w:lang w:eastAsia="fr-FR" w:bidi="ar-AE"/>
        </w:rPr>
        <w:t xml:space="preserve"> op. cit.</w:t>
      </w:r>
    </w:p>
  </w:footnote>
  <w:footnote w:id="166">
    <w:p w14:paraId="7CFB56B3"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eastAsia="fr-FR" w:bidi="ar-EG"/>
        </w:rPr>
        <w:t xml:space="preserve">Dans son </w:t>
      </w:r>
      <w:r w:rsidRPr="00F230F1">
        <w:rPr>
          <w:rFonts w:asciiTheme="majorBidi" w:hAnsiTheme="majorBidi" w:cstheme="majorBidi"/>
          <w:i/>
          <w:iCs/>
          <w:sz w:val="20"/>
          <w:szCs w:val="20"/>
          <w:shd w:val="clear" w:color="auto" w:fill="FFFFFF"/>
        </w:rPr>
        <w:t>Dictionnaire biographique</w:t>
      </w:r>
      <w:r w:rsidRPr="00F230F1">
        <w:rPr>
          <w:rStyle w:val="apple-converted-space"/>
          <w:rFonts w:asciiTheme="majorBidi" w:hAnsiTheme="majorBidi" w:cstheme="majorBidi"/>
          <w:sz w:val="20"/>
          <w:szCs w:val="20"/>
          <w:shd w:val="clear" w:color="auto" w:fill="FFFFFF"/>
        </w:rPr>
        <w:t> </w:t>
      </w:r>
      <w:r w:rsidRPr="00F230F1">
        <w:rPr>
          <w:rFonts w:asciiTheme="majorBidi" w:hAnsiTheme="majorBidi" w:cstheme="majorBidi"/>
          <w:sz w:val="20"/>
          <w:szCs w:val="20"/>
          <w:shd w:val="clear" w:color="auto" w:fill="FFFFFF"/>
        </w:rPr>
        <w:t xml:space="preserve">intitulé : </w:t>
      </w:r>
      <w:r w:rsidRPr="00F230F1">
        <w:rPr>
          <w:rFonts w:asciiTheme="majorBidi" w:hAnsiTheme="majorBidi" w:cstheme="majorBidi"/>
          <w:i/>
          <w:iCs/>
          <w:sz w:val="20"/>
          <w:szCs w:val="20"/>
          <w:shd w:val="clear" w:color="auto" w:fill="FFFFFF"/>
        </w:rPr>
        <w:t>Wafayāt al-Aʿyān</w:t>
      </w:r>
      <w:r w:rsidRPr="00F230F1">
        <w:rPr>
          <w:rStyle w:val="apple-converted-space"/>
          <w:rFonts w:asciiTheme="majorBidi" w:hAnsiTheme="majorBidi" w:cstheme="majorBidi"/>
          <w:sz w:val="20"/>
          <w:szCs w:val="20"/>
          <w:shd w:val="clear" w:color="auto" w:fill="FFFFFF"/>
        </w:rPr>
        <w:t> </w:t>
      </w:r>
      <w:r w:rsidRPr="00F230F1">
        <w:rPr>
          <w:rFonts w:asciiTheme="majorBidi" w:hAnsiTheme="majorBidi" w:cstheme="majorBidi"/>
          <w:sz w:val="20"/>
          <w:szCs w:val="20"/>
          <w:shd w:val="clear" w:color="auto" w:fill="FFFFFF"/>
        </w:rPr>
        <w:t>[</w:t>
      </w:r>
      <w:r w:rsidRPr="00F230F1">
        <w:rPr>
          <w:rFonts w:asciiTheme="majorBidi" w:hAnsiTheme="majorBidi" w:cstheme="majorBidi"/>
          <w:i/>
          <w:iCs/>
          <w:sz w:val="20"/>
          <w:szCs w:val="20"/>
          <w:shd w:val="clear" w:color="auto" w:fill="FFFFFF"/>
        </w:rPr>
        <w:t>Nécrologies des Hommes éminents</w:t>
      </w:r>
      <w:r w:rsidRPr="00F230F1">
        <w:rPr>
          <w:rFonts w:asciiTheme="majorBidi" w:hAnsiTheme="majorBidi" w:cstheme="majorBidi"/>
          <w:sz w:val="20"/>
          <w:szCs w:val="20"/>
          <w:lang w:eastAsia="fr-FR" w:bidi="ar-EG"/>
        </w:rPr>
        <w:t>], 2/267</w:t>
      </w:r>
      <w:r w:rsidRPr="00F230F1">
        <w:rPr>
          <w:rFonts w:asciiTheme="majorBidi" w:hAnsiTheme="majorBidi" w:cstheme="majorBidi"/>
          <w:sz w:val="20"/>
          <w:szCs w:val="20"/>
        </w:rPr>
        <w:t>.</w:t>
      </w:r>
    </w:p>
  </w:footnote>
  <w:footnote w:id="167">
    <w:p w14:paraId="5139FF9F" w14:textId="77777777" w:rsidR="009C3BB9" w:rsidRPr="00F230F1" w:rsidRDefault="009C3BB9" w:rsidP="00F230F1">
      <w:pPr>
        <w:pStyle w:val="n1"/>
        <w:bidi w:val="0"/>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Meir Bar-Acher, « Exégèse sunnite et chiite », in : </w:t>
      </w:r>
      <w:r w:rsidRPr="00F230F1">
        <w:rPr>
          <w:rFonts w:asciiTheme="majorBidi" w:hAnsiTheme="majorBidi" w:cstheme="majorBidi"/>
          <w:i/>
          <w:iCs/>
          <w:sz w:val="20"/>
          <w:szCs w:val="20"/>
        </w:rPr>
        <w:t>Dictionnaire du Coran</w:t>
      </w:r>
      <w:r w:rsidRPr="00F230F1">
        <w:rPr>
          <w:rFonts w:asciiTheme="majorBidi" w:hAnsiTheme="majorBidi" w:cstheme="majorBidi"/>
          <w:sz w:val="20"/>
          <w:szCs w:val="20"/>
        </w:rPr>
        <w:t>, dir. M.A. Amir-Moezzi, 2007, p. 317.</w:t>
      </w:r>
    </w:p>
  </w:footnote>
  <w:footnote w:id="168">
    <w:p w14:paraId="3910547F" w14:textId="77777777" w:rsidR="009C3BB9" w:rsidRPr="00F230F1" w:rsidRDefault="009C3BB9" w:rsidP="00F230F1">
      <w:pPr>
        <w:pStyle w:val="n1"/>
        <w:bidi w:val="0"/>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Adh-Dhahabī, </w:t>
      </w:r>
      <w:r w:rsidRPr="00F230F1">
        <w:rPr>
          <w:rFonts w:asciiTheme="majorBidi" w:hAnsiTheme="majorBidi" w:cstheme="majorBidi"/>
          <w:i/>
          <w:iCs/>
          <w:sz w:val="20"/>
          <w:szCs w:val="20"/>
        </w:rPr>
        <w:t>At-tafsīr wa-l-mufassirūn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L’exégèse et les exégètes</w:t>
      </w:r>
      <w:r w:rsidRPr="00F230F1">
        <w:rPr>
          <w:rFonts w:asciiTheme="majorBidi" w:hAnsiTheme="majorBidi" w:cstheme="majorBidi"/>
          <w:sz w:val="20"/>
          <w:szCs w:val="20"/>
        </w:rPr>
        <w:t>], le Caire, 2000, t. 2, p. 39.</w:t>
      </w:r>
    </w:p>
  </w:footnote>
  <w:footnote w:id="169">
    <w:p w14:paraId="42866EE4" w14:textId="77777777" w:rsidR="009C3BB9" w:rsidRPr="00F230F1" w:rsidRDefault="009C3BB9" w:rsidP="00F230F1">
      <w:pPr>
        <w:pStyle w:val="n1"/>
        <w:bidi w:val="0"/>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Meir Bar-Acher, « Exégèse sunnite et chiite », </w:t>
      </w:r>
      <w:r w:rsidRPr="00F230F1">
        <w:rPr>
          <w:rFonts w:asciiTheme="majorBidi" w:hAnsiTheme="majorBidi" w:cstheme="majorBidi"/>
          <w:i/>
          <w:iCs/>
          <w:sz w:val="20"/>
          <w:szCs w:val="20"/>
        </w:rPr>
        <w:t>op. cit.</w:t>
      </w:r>
      <w:r w:rsidRPr="00F230F1">
        <w:rPr>
          <w:rFonts w:asciiTheme="majorBidi" w:hAnsiTheme="majorBidi" w:cstheme="majorBidi"/>
          <w:sz w:val="20"/>
          <w:szCs w:val="20"/>
        </w:rPr>
        <w:t>, p. 319. Voir aussi :</w:t>
      </w:r>
      <w:r w:rsidRPr="00F230F1">
        <w:rPr>
          <w:rFonts w:asciiTheme="majorBidi" w:hAnsiTheme="majorBidi" w:cstheme="majorBidi"/>
          <w:color w:val="FF0000"/>
          <w:sz w:val="20"/>
          <w:szCs w:val="20"/>
        </w:rPr>
        <w:t xml:space="preserve"> </w:t>
      </w:r>
      <w:r w:rsidRPr="00F230F1">
        <w:rPr>
          <w:rFonts w:asciiTheme="majorBidi" w:hAnsiTheme="majorBidi" w:cstheme="majorBidi"/>
          <w:sz w:val="20"/>
          <w:szCs w:val="20"/>
        </w:rPr>
        <w:t xml:space="preserve">Adh-Dhahabī, </w:t>
      </w:r>
      <w:r w:rsidRPr="00F230F1">
        <w:rPr>
          <w:rFonts w:asciiTheme="majorBidi" w:hAnsiTheme="majorBidi" w:cstheme="majorBidi"/>
          <w:i/>
          <w:iCs/>
          <w:sz w:val="20"/>
          <w:szCs w:val="20"/>
        </w:rPr>
        <w:t>At-tafsīr wa-l-mufassirūn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2/177.</w:t>
      </w:r>
    </w:p>
  </w:footnote>
  <w:footnote w:id="170">
    <w:p w14:paraId="3A590A1A"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Mirzā Bashīr ad-Dīn Maḥmūd Aḥmad, </w:t>
      </w:r>
      <w:r w:rsidRPr="00F230F1">
        <w:rPr>
          <w:rFonts w:asciiTheme="majorBidi" w:eastAsia="Times New Roman" w:hAnsiTheme="majorBidi" w:cstheme="majorBidi"/>
          <w:i/>
          <w:iCs/>
          <w:sz w:val="20"/>
          <w:szCs w:val="20"/>
        </w:rPr>
        <w:t>At-tafsīr al-kabīr</w:t>
      </w:r>
      <w:r w:rsidRPr="00F230F1">
        <w:rPr>
          <w:rFonts w:asciiTheme="majorBidi" w:eastAsia="Times New Roman" w:hAnsiTheme="majorBidi" w:cstheme="majorBidi"/>
          <w:sz w:val="20"/>
          <w:szCs w:val="20"/>
        </w:rPr>
        <w:t xml:space="preserve"> [la grande exégèse], Éditions </w:t>
      </w:r>
      <w:r w:rsidRPr="00F230F1">
        <w:rPr>
          <w:rFonts w:asciiTheme="majorBidi" w:eastAsia="Times New Roman" w:hAnsiTheme="majorBidi" w:cstheme="majorBidi"/>
          <w:i/>
          <w:iCs/>
          <w:sz w:val="20"/>
          <w:szCs w:val="20"/>
        </w:rPr>
        <w:t>ash-Sharika al-Islāmīya al-Maḥdūda</w:t>
      </w:r>
      <w:r w:rsidRPr="00F230F1">
        <w:rPr>
          <w:rFonts w:asciiTheme="majorBidi" w:eastAsia="Times New Roman" w:hAnsiTheme="majorBidi" w:cstheme="majorBidi"/>
          <w:sz w:val="20"/>
          <w:szCs w:val="20"/>
        </w:rPr>
        <w:t xml:space="preserve"> [la Société Islamique Limitée], traduit de l’Ourdou par ʿAbd Al-Muʾmin Ṭāhir, revu par Hānī Ṭāhir, Rabwah, Pakistan, 2011.</w:t>
      </w:r>
    </w:p>
  </w:footnote>
  <w:footnote w:id="171">
    <w:p w14:paraId="04E5692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Christiane Dieterlé, « La Bible au risques des traductions », Foi &amp; Vie, </w:t>
      </w:r>
      <w:r w:rsidRPr="00F230F1">
        <w:rPr>
          <w:rFonts w:asciiTheme="majorBidi" w:hAnsiTheme="majorBidi" w:cstheme="majorBidi"/>
          <w:i/>
          <w:iCs/>
          <w:sz w:val="20"/>
          <w:szCs w:val="20"/>
        </w:rPr>
        <w:t>Cahier Biblique</w:t>
      </w:r>
      <w:r w:rsidRPr="00F230F1">
        <w:rPr>
          <w:rFonts w:asciiTheme="majorBidi" w:hAnsiTheme="majorBidi" w:cstheme="majorBidi"/>
          <w:sz w:val="20"/>
          <w:szCs w:val="20"/>
        </w:rPr>
        <w:t xml:space="preserve"> n° 41, Septembre 2002, p. 32.</w:t>
      </w:r>
    </w:p>
  </w:footnote>
  <w:footnote w:id="172">
    <w:p w14:paraId="6FFFD19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Dans un entretien avec le théologien influent Yūsuf al-Qara</w:t>
      </w:r>
      <w:r w:rsidRPr="00F230F1">
        <w:rPr>
          <w:rFonts w:asciiTheme="majorBidi" w:eastAsia="Times New Roman" w:hAnsiTheme="majorBidi" w:cstheme="majorBidi"/>
          <w:sz w:val="20"/>
          <w:szCs w:val="20"/>
        </w:rPr>
        <w:t>ḍ</w:t>
      </w:r>
      <w:r w:rsidRPr="00F230F1">
        <w:rPr>
          <w:rFonts w:asciiTheme="majorBidi" w:hAnsiTheme="majorBidi" w:cstheme="majorBidi"/>
          <w:sz w:val="20"/>
          <w:szCs w:val="20"/>
        </w:rPr>
        <w:t>āwī (né en 1926) sur le thème « l’islam et l’état civil » à la chaîne al Jazeera, dans l’émission « </w:t>
      </w:r>
      <w:r w:rsidRPr="00F230F1">
        <w:rPr>
          <w:rFonts w:asciiTheme="majorBidi" w:hAnsiTheme="majorBidi" w:cstheme="majorBidi"/>
          <w:i/>
          <w:iCs/>
          <w:sz w:val="20"/>
          <w:szCs w:val="20"/>
        </w:rPr>
        <w:t>ash-sharī</w:t>
      </w:r>
      <w:r w:rsidRPr="00F230F1">
        <w:rPr>
          <w:rFonts w:asciiTheme="majorBidi" w:eastAsia="Times New Roman" w:hAnsiTheme="majorBidi" w:cstheme="majorBidi"/>
          <w:i/>
          <w:iCs/>
          <w:sz w:val="20"/>
          <w:szCs w:val="20"/>
        </w:rPr>
        <w:t>ʿ</w:t>
      </w:r>
      <w:r w:rsidRPr="00F230F1">
        <w:rPr>
          <w:rFonts w:asciiTheme="majorBidi" w:hAnsiTheme="majorBidi" w:cstheme="majorBidi"/>
          <w:i/>
          <w:iCs/>
          <w:sz w:val="20"/>
          <w:szCs w:val="20"/>
        </w:rPr>
        <w:t>a wa-l-</w:t>
      </w:r>
      <w:r w:rsidRPr="00F230F1">
        <w:rPr>
          <w:rFonts w:asciiTheme="majorBidi" w:eastAsia="Times New Roman" w:hAnsiTheme="majorBidi" w:cstheme="majorBidi"/>
          <w:i/>
          <w:iCs/>
          <w:sz w:val="20"/>
          <w:szCs w:val="20"/>
        </w:rPr>
        <w:t>ḥ</w:t>
      </w:r>
      <w:r w:rsidRPr="00F230F1">
        <w:rPr>
          <w:rFonts w:asciiTheme="majorBidi" w:hAnsiTheme="majorBidi" w:cstheme="majorBidi"/>
          <w:i/>
          <w:iCs/>
          <w:sz w:val="20"/>
          <w:szCs w:val="20"/>
        </w:rPr>
        <w:t>ayāt </w:t>
      </w:r>
      <w:r w:rsidRPr="00F230F1">
        <w:rPr>
          <w:rFonts w:asciiTheme="majorBidi" w:hAnsiTheme="majorBidi" w:cstheme="majorBidi"/>
          <w:sz w:val="20"/>
          <w:szCs w:val="20"/>
        </w:rPr>
        <w:t>» [la charia et la vie], le 05/02/2012, Qara</w:t>
      </w:r>
      <w:r w:rsidRPr="00F230F1">
        <w:rPr>
          <w:rFonts w:asciiTheme="majorBidi" w:eastAsia="Times New Roman" w:hAnsiTheme="majorBidi" w:cstheme="majorBidi"/>
          <w:sz w:val="20"/>
          <w:szCs w:val="20"/>
        </w:rPr>
        <w:t>ḍ</w:t>
      </w:r>
      <w:r w:rsidRPr="00F230F1">
        <w:rPr>
          <w:rFonts w:asciiTheme="majorBidi" w:hAnsiTheme="majorBidi" w:cstheme="majorBidi"/>
          <w:sz w:val="20"/>
          <w:szCs w:val="20"/>
        </w:rPr>
        <w:t>āwī cite le verset 41 de la sourate al-</w:t>
      </w:r>
      <w:r w:rsidRPr="00F230F1">
        <w:rPr>
          <w:rFonts w:asciiTheme="majorBidi" w:eastAsia="Times New Roman" w:hAnsiTheme="majorBidi" w:cstheme="majorBidi"/>
          <w:sz w:val="20"/>
          <w:szCs w:val="20"/>
        </w:rPr>
        <w:t>Ḥajj (« </w:t>
      </w:r>
      <w:r w:rsidRPr="00F230F1">
        <w:rPr>
          <w:rFonts w:asciiTheme="majorBidi" w:eastAsia="Times New Roman" w:hAnsiTheme="majorBidi" w:cstheme="majorBidi"/>
          <w:sz w:val="20"/>
          <w:szCs w:val="20"/>
          <w:bdr w:val="none" w:sz="0" w:space="0" w:color="auto" w:frame="1"/>
          <w:rtl/>
          <w:lang w:eastAsia="fr-FR"/>
        </w:rPr>
        <w:t>الّذين إنْ مكّنّاهم في الأرضِ أقاموا الصلاة وآتوا الزكاةَ وأمروا بالمعروف </w:t>
      </w:r>
      <w:r w:rsidRPr="00F230F1">
        <w:rPr>
          <w:rFonts w:asciiTheme="majorBidi" w:eastAsia="Times New Roman" w:hAnsiTheme="majorBidi" w:cstheme="majorBidi"/>
          <w:sz w:val="20"/>
          <w:szCs w:val="20"/>
        </w:rPr>
        <w:t> » [</w:t>
      </w:r>
      <w:r w:rsidRPr="00F230F1">
        <w:rPr>
          <w:rFonts w:asciiTheme="majorBidi" w:hAnsiTheme="majorBidi" w:cstheme="majorBidi"/>
          <w:sz w:val="20"/>
          <w:szCs w:val="20"/>
          <w:lang w:bidi="ar-AE"/>
        </w:rPr>
        <w:t>à ceux qui, si Nous leur en donnons capacité sur la terre, accomplissent la prière, acquittent la purification, prescrivent le convenable et proscrivent le blâmable.</w:t>
      </w:r>
      <w:r w:rsidRPr="00F230F1">
        <w:rPr>
          <w:rFonts w:asciiTheme="majorBidi" w:eastAsia="Times New Roman" w:hAnsiTheme="majorBidi" w:cstheme="majorBidi"/>
          <w:sz w:val="20"/>
          <w:szCs w:val="20"/>
        </w:rPr>
        <w:t xml:space="preserve">]) pour refuser l’état laïque. </w:t>
      </w:r>
      <w:hyperlink r:id="rId64" w:history="1">
        <w:r w:rsidRPr="00F230F1">
          <w:rPr>
            <w:rStyle w:val="Lienhypertexte"/>
            <w:rFonts w:asciiTheme="majorBidi" w:hAnsiTheme="majorBidi" w:cstheme="majorBidi"/>
            <w:sz w:val="20"/>
            <w:szCs w:val="20"/>
          </w:rPr>
          <w:t>http://www.aljazeera.net/programs/religionandlife/2012/2/9/</w:t>
        </w:r>
        <w:r w:rsidRPr="00F230F1">
          <w:rPr>
            <w:rStyle w:val="Lienhypertexte"/>
            <w:rFonts w:asciiTheme="majorBidi" w:hAnsiTheme="majorBidi" w:cstheme="majorBidi"/>
            <w:sz w:val="20"/>
            <w:szCs w:val="20"/>
            <w:rtl/>
          </w:rPr>
          <w:t>الإسلام-والدولة-المدنية</w:t>
        </w:r>
      </w:hyperlink>
      <w:r w:rsidRPr="00F230F1">
        <w:rPr>
          <w:rFonts w:asciiTheme="majorBidi" w:hAnsiTheme="majorBidi" w:cstheme="majorBidi"/>
          <w:sz w:val="20"/>
          <w:szCs w:val="20"/>
        </w:rPr>
        <w:t xml:space="preserve"> ; </w:t>
      </w:r>
      <w:hyperlink r:id="rId65" w:history="1">
        <w:r w:rsidRPr="00F230F1">
          <w:rPr>
            <w:rStyle w:val="Lienhypertexte"/>
            <w:rFonts w:asciiTheme="majorBidi" w:hAnsiTheme="majorBidi" w:cstheme="majorBidi"/>
            <w:sz w:val="20"/>
            <w:szCs w:val="20"/>
          </w:rPr>
          <w:t>https://www.youtube.com/watch?v=_LSe3RykiSA</w:t>
        </w:r>
      </w:hyperlink>
      <w:r w:rsidRPr="00F230F1">
        <w:rPr>
          <w:rFonts w:asciiTheme="majorBidi" w:hAnsiTheme="majorBidi" w:cstheme="majorBidi"/>
          <w:sz w:val="20"/>
          <w:szCs w:val="20"/>
        </w:rPr>
        <w:t xml:space="preserve"> (consultés le 19/07/2017).</w:t>
      </w:r>
    </w:p>
  </w:footnote>
  <w:footnote w:id="173">
    <w:p w14:paraId="441942B6"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Alors que selon la déconstruction de Derrida, c’est l’écriture qui doit donc primer sur la voix (renverser les rapports de forces). Depuis Platon, le mot écrit était considéré seulement comme une représentation du mot dit : c’est ce que Derrida nomme la tradition logocentriste de la pensée occidentale.</w:t>
      </w:r>
    </w:p>
  </w:footnote>
  <w:footnote w:id="174">
    <w:p w14:paraId="18210F7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Al-Kalābādhī,</w:t>
      </w:r>
      <w:r w:rsidRPr="00F230F1">
        <w:rPr>
          <w:rFonts w:asciiTheme="majorBidi" w:eastAsia="Times New Roman" w:hAnsiTheme="majorBidi" w:cstheme="majorBidi"/>
          <w:i/>
          <w:iCs/>
          <w:sz w:val="20"/>
          <w:szCs w:val="20"/>
        </w:rPr>
        <w:t xml:space="preserve"> Baḥr al-Fawāʾid</w:t>
      </w:r>
      <w:r w:rsidRPr="00F230F1">
        <w:rPr>
          <w:rFonts w:asciiTheme="majorBidi" w:eastAsia="Times New Roman" w:hAnsiTheme="majorBidi" w:cstheme="majorBidi"/>
          <w:sz w:val="20"/>
          <w:szCs w:val="20"/>
        </w:rPr>
        <w:t>, Éditions Dār al-Kutub al-ʿilmīya, Beyrouth.</w:t>
      </w:r>
    </w:p>
  </w:footnote>
  <w:footnote w:id="175">
    <w:p w14:paraId="475B2FC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Ṣaḥīḥ Muslim</w:t>
      </w:r>
      <w:r w:rsidRPr="00F230F1">
        <w:rPr>
          <w:rFonts w:asciiTheme="majorBidi" w:eastAsia="Times New Roman" w:hAnsiTheme="majorBidi" w:cstheme="majorBidi"/>
          <w:sz w:val="20"/>
          <w:szCs w:val="20"/>
        </w:rPr>
        <w:t>.</w:t>
      </w:r>
    </w:p>
  </w:footnote>
  <w:footnote w:id="176">
    <w:p w14:paraId="1044E68C" w14:textId="77777777" w:rsidR="009C3BB9" w:rsidRPr="00F230F1" w:rsidRDefault="009C3BB9" w:rsidP="00F230F1">
      <w:pPr>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Entretien avec </w:t>
      </w:r>
      <w:r w:rsidRPr="00F230F1">
        <w:rPr>
          <w:rFonts w:asciiTheme="majorBidi" w:eastAsia="Times New Roman" w:hAnsiTheme="majorBidi" w:cstheme="majorBidi"/>
          <w:sz w:val="20"/>
          <w:szCs w:val="20"/>
        </w:rPr>
        <w:t>Manṣūr</w:t>
      </w:r>
      <w:r w:rsidRPr="00F230F1">
        <w:rPr>
          <w:rFonts w:asciiTheme="majorBidi" w:hAnsiTheme="majorBidi" w:cstheme="majorBidi"/>
          <w:sz w:val="20"/>
          <w:szCs w:val="20"/>
        </w:rPr>
        <w:t xml:space="preserve"> Raḥbānī, propos recueillis par Marwān Ṣawwāff, la chaîne Al-Chardjah,</w:t>
      </w:r>
      <w:r w:rsidRPr="00F230F1">
        <w:rPr>
          <w:rFonts w:asciiTheme="majorBidi" w:hAnsiTheme="majorBidi" w:cstheme="majorBidi"/>
          <w:color w:val="FF0000"/>
          <w:sz w:val="20"/>
          <w:szCs w:val="20"/>
        </w:rPr>
        <w:t xml:space="preserve"> </w:t>
      </w:r>
      <w:hyperlink r:id="rId66" w:history="1">
        <w:r w:rsidRPr="00F230F1">
          <w:rPr>
            <w:rStyle w:val="Lienhypertexte"/>
            <w:rFonts w:asciiTheme="majorBidi" w:hAnsiTheme="majorBidi" w:cstheme="majorBidi"/>
            <w:sz w:val="20"/>
            <w:szCs w:val="20"/>
            <w:u w:color="1652CA"/>
          </w:rPr>
          <w:t>https://www.youtube.com/watch?v=51Len6ohv9g</w:t>
        </w:r>
      </w:hyperlink>
      <w:r w:rsidRPr="00F230F1">
        <w:rPr>
          <w:rFonts w:asciiTheme="majorBidi" w:hAnsiTheme="majorBidi" w:cstheme="majorBidi"/>
          <w:sz w:val="20"/>
          <w:szCs w:val="20"/>
        </w:rPr>
        <w:t xml:space="preserve"> (consulté le 17/07/2017).</w:t>
      </w:r>
    </w:p>
  </w:footnote>
  <w:footnote w:id="177">
    <w:p w14:paraId="3E4D490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Zeinab</w:t>
      </w:r>
      <w:r w:rsidRPr="00F230F1">
        <w:rPr>
          <w:rFonts w:asciiTheme="majorBidi" w:hAnsiTheme="majorBidi" w:cstheme="majorBidi"/>
          <w:sz w:val="20"/>
          <w:szCs w:val="20"/>
        </w:rPr>
        <w:t xml:space="preserve"> Abdelaziz</w:t>
      </w:r>
      <w:r w:rsidRPr="00F230F1">
        <w:rPr>
          <w:rFonts w:asciiTheme="majorBidi" w:eastAsia="Times New Roman" w:hAnsiTheme="majorBidi" w:cstheme="majorBidi"/>
          <w:sz w:val="20"/>
          <w:szCs w:val="20"/>
          <w:lang w:eastAsia="fr-FR"/>
        </w:rPr>
        <w:t xml:space="preserve">, </w:t>
      </w:r>
      <w:r w:rsidRPr="00F230F1">
        <w:rPr>
          <w:rFonts w:asciiTheme="majorBidi" w:hAnsiTheme="majorBidi" w:cstheme="majorBidi"/>
          <w:i/>
          <w:iCs/>
          <w:sz w:val="20"/>
          <w:szCs w:val="20"/>
        </w:rPr>
        <w:t>Le Qur’ān. Traduction du sens de ses Versets</w:t>
      </w:r>
      <w:r w:rsidRPr="00F230F1">
        <w:rPr>
          <w:rFonts w:asciiTheme="majorBidi" w:hAnsiTheme="majorBidi" w:cstheme="majorBidi"/>
          <w:sz w:val="20"/>
          <w:szCs w:val="20"/>
        </w:rPr>
        <w:t xml:space="preserve">, Jamʿīyat Tablīgh al-ʾIslām [Conveying Islamic Message Society], Alexandrie, Égypte, </w:t>
      </w:r>
      <w:r w:rsidRPr="00F230F1">
        <w:rPr>
          <w:rFonts w:asciiTheme="majorBidi" w:eastAsia="Times New Roman" w:hAnsiTheme="majorBidi" w:cstheme="majorBidi"/>
          <w:sz w:val="20"/>
          <w:szCs w:val="20"/>
          <w:lang w:eastAsia="fr-FR"/>
        </w:rPr>
        <w:t>2009, « Avant-propos », p. 18.</w:t>
      </w:r>
    </w:p>
  </w:footnote>
  <w:footnote w:id="178">
    <w:p w14:paraId="35F64B0F"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b/>
          <w:bCs/>
          <w:sz w:val="20"/>
          <w:szCs w:val="20"/>
          <w:lang w:bidi="ar-AE"/>
        </w:rPr>
        <w:t>Le verset 15 :</w:t>
      </w:r>
      <w:r w:rsidRPr="00F230F1">
        <w:rPr>
          <w:rFonts w:asciiTheme="majorBidi" w:eastAsia="Times New Roman" w:hAnsiTheme="majorBidi" w:cstheme="majorBidi"/>
          <w:sz w:val="20"/>
          <w:szCs w:val="20"/>
          <w:lang w:bidi="ar-AE"/>
        </w:rPr>
        <w:t xml:space="preserve"> </w:t>
      </w:r>
      <w:r w:rsidRPr="00F230F1">
        <w:rPr>
          <w:rFonts w:asciiTheme="majorBidi" w:eastAsia="Times New Roman" w:hAnsiTheme="majorBidi" w:cstheme="majorBidi"/>
          <w:sz w:val="20"/>
          <w:szCs w:val="20"/>
          <w:rtl/>
          <w:lang w:bidi="ar-AE"/>
        </w:rPr>
        <w:t>"مَن كانَ يظُنُّ أنْ لن ينصرَهُ اللهُ في الدنيا والآخرةِ فلْيَمْدُدْ بسببٍ إلى السماء ثم ليقطَعْ فلْينظُرْ هل يُذْهِبَنَّ كيدُه ما يَغيظ."</w:t>
      </w:r>
      <w:r w:rsidRPr="00F230F1">
        <w:rPr>
          <w:rFonts w:asciiTheme="majorBidi" w:eastAsia="Times New Roman" w:hAnsiTheme="majorBidi" w:cstheme="majorBidi"/>
          <w:sz w:val="20"/>
          <w:szCs w:val="20"/>
          <w:lang w:bidi="ar-AE"/>
        </w:rPr>
        <w:t xml:space="preserve"> [Celui qui conjecturait que Dieu laisserait (le Prophète) sans secours en ce monde et dans l’autre n’a qu’à tendre une corde jusqu’au ciel et puis la couper : qu’il voie si son stratagème va supprimer l’objet de sa rage !]. </w:t>
      </w:r>
      <w:r w:rsidRPr="00F230F1">
        <w:rPr>
          <w:rFonts w:asciiTheme="majorBidi" w:eastAsia="Times New Roman" w:hAnsiTheme="majorBidi" w:cstheme="majorBidi"/>
          <w:b/>
          <w:bCs/>
          <w:sz w:val="20"/>
          <w:szCs w:val="20"/>
          <w:lang w:bidi="ar-AE"/>
        </w:rPr>
        <w:t>Le verset 52 :</w:t>
      </w:r>
      <w:r w:rsidRPr="00F230F1">
        <w:rPr>
          <w:rFonts w:asciiTheme="majorBidi" w:eastAsia="Times New Roman" w:hAnsiTheme="majorBidi" w:cstheme="majorBidi"/>
          <w:sz w:val="20"/>
          <w:szCs w:val="20"/>
          <w:lang w:bidi="ar-AE"/>
        </w:rPr>
        <w:t xml:space="preserve"> </w:t>
      </w:r>
      <w:r w:rsidRPr="00F230F1">
        <w:rPr>
          <w:rFonts w:asciiTheme="majorBidi" w:eastAsia="Calibri" w:hAnsiTheme="majorBidi" w:cstheme="majorBidi"/>
          <w:sz w:val="20"/>
          <w:szCs w:val="20"/>
          <w:rtl/>
          <w:lang w:bidi="ar-AE"/>
        </w:rPr>
        <w:t>"وما أرسلنا مِن قبلِكَ مِن رسولٍ ولا نبيٍّ إلاَّ إذا تمنَّى ألقى الشيطانُ في أُمنيَّتِه فيَنسَخُ اللهُ ما يُــلْقي الشيطانُ ثم يُحْكِمُ اللهُ آياتِه واللهُ عليمٌ حكيم</w:t>
      </w:r>
      <w:r w:rsidRPr="00F230F1">
        <w:rPr>
          <w:rFonts w:asciiTheme="majorBidi" w:hAnsiTheme="majorBidi" w:cstheme="majorBidi"/>
          <w:sz w:val="20"/>
          <w:szCs w:val="20"/>
          <w:rtl/>
          <w:lang w:bidi="ar-AE"/>
        </w:rPr>
        <w:t>."</w:t>
      </w:r>
      <w:r w:rsidRPr="00F230F1">
        <w:rPr>
          <w:rFonts w:asciiTheme="majorBidi" w:hAnsiTheme="majorBidi" w:cstheme="majorBidi"/>
          <w:sz w:val="20"/>
          <w:szCs w:val="20"/>
          <w:lang w:bidi="ar-AE"/>
        </w:rPr>
        <w:t xml:space="preserve"> [</w:t>
      </w:r>
      <w:r w:rsidRPr="00F230F1">
        <w:rPr>
          <w:rFonts w:asciiTheme="majorBidi" w:eastAsia="Calibri" w:hAnsiTheme="majorBidi" w:cstheme="majorBidi"/>
          <w:sz w:val="20"/>
          <w:szCs w:val="20"/>
          <w:lang w:bidi="ar-AE"/>
        </w:rPr>
        <w:t>Nous n’avons pas envoyé avant toi d’envoyé ou de prophète en qui Satan, quand ils éprouvaient une aspiration, n’y mêlât de ses projections. Mais Dieu abroge les projections de Satan, et de plus rend péremptoires Ses propres signes… - Dieu est Connaisseur et Sage.</w:t>
      </w:r>
      <w:r w:rsidRPr="00F230F1">
        <w:rPr>
          <w:rFonts w:asciiTheme="majorBidi" w:hAnsiTheme="majorBidi" w:cstheme="majorBidi"/>
          <w:sz w:val="20"/>
          <w:szCs w:val="20"/>
          <w:lang w:bidi="ar-AE"/>
        </w:rPr>
        <w:t>]</w:t>
      </w:r>
    </w:p>
  </w:footnote>
  <w:footnote w:id="179">
    <w:p w14:paraId="44AA51E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Tafsīr </w:t>
      </w:r>
      <w:r w:rsidRPr="00F230F1">
        <w:rPr>
          <w:rFonts w:asciiTheme="majorBidi" w:eastAsia="Times New Roman" w:hAnsiTheme="majorBidi" w:cstheme="majorBidi"/>
          <w:sz w:val="20"/>
          <w:szCs w:val="20"/>
          <w:lang w:eastAsia="fr-FR" w:bidi="ar-AE"/>
        </w:rPr>
        <w:t>Aṭ-Ṭabarī, version électronique d’Almaktaba al-Islamyya, [</w:t>
      </w:r>
      <w:hyperlink r:id="rId67" w:history="1">
        <w:r w:rsidRPr="00F230F1">
          <w:rPr>
            <w:rStyle w:val="Lienhypertexte"/>
            <w:rFonts w:asciiTheme="majorBidi" w:eastAsia="Times New Roman" w:hAnsiTheme="majorBidi" w:cstheme="majorBidi"/>
            <w:sz w:val="20"/>
            <w:szCs w:val="20"/>
            <w:lang w:eastAsia="fr-FR" w:bidi="ar-AE"/>
          </w:rPr>
          <w:t>http://library.islamweb.net/newlibrary/display_book.php?idfrom=3420&amp;idto=3420&amp;bk_no=50&amp;ID=3443</w:t>
        </w:r>
      </w:hyperlink>
      <w:r w:rsidRPr="00F230F1">
        <w:rPr>
          <w:rFonts w:asciiTheme="majorBidi" w:eastAsia="Times New Roman" w:hAnsiTheme="majorBidi" w:cstheme="majorBidi"/>
          <w:sz w:val="20"/>
          <w:szCs w:val="20"/>
          <w:lang w:eastAsia="fr-FR" w:bidi="ar-AE"/>
        </w:rPr>
        <w:t>] (consulté le 03/08/2017).</w:t>
      </w:r>
    </w:p>
  </w:footnote>
  <w:footnote w:id="180">
    <w:p w14:paraId="55158B8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Abdelaziz</w:t>
      </w:r>
      <w:r w:rsidRPr="00F230F1">
        <w:rPr>
          <w:rFonts w:asciiTheme="majorBidi" w:eastAsia="Times New Roman" w:hAnsiTheme="majorBidi" w:cstheme="majorBidi"/>
          <w:sz w:val="20"/>
          <w:szCs w:val="20"/>
          <w:lang w:eastAsia="fr-FR"/>
        </w:rPr>
        <w:t xml:space="preserve">, </w:t>
      </w:r>
      <w:r w:rsidRPr="00F230F1">
        <w:rPr>
          <w:rFonts w:asciiTheme="majorBidi" w:hAnsiTheme="majorBidi" w:cstheme="majorBidi"/>
          <w:i/>
          <w:iCs/>
          <w:sz w:val="20"/>
          <w:szCs w:val="20"/>
        </w:rPr>
        <w:t>Le Qur’ān</w:t>
      </w:r>
      <w:r w:rsidRPr="00F230F1">
        <w:rPr>
          <w:rFonts w:asciiTheme="majorBidi" w:hAnsiTheme="majorBidi" w:cstheme="majorBidi"/>
          <w:sz w:val="20"/>
          <w:szCs w:val="20"/>
        </w:rPr>
        <w:t>,</w:t>
      </w:r>
      <w:r w:rsidRPr="00F230F1">
        <w:rPr>
          <w:rFonts w:asciiTheme="majorBidi" w:hAnsiTheme="majorBidi" w:cstheme="majorBidi"/>
          <w:i/>
          <w:iCs/>
          <w:sz w:val="20"/>
          <w:szCs w:val="20"/>
        </w:rPr>
        <w:t xml:space="preserve"> op. cit.</w:t>
      </w:r>
      <w:r w:rsidRPr="00F230F1">
        <w:rPr>
          <w:rFonts w:asciiTheme="majorBidi" w:eastAsia="Times New Roman" w:hAnsiTheme="majorBidi" w:cstheme="majorBidi"/>
          <w:sz w:val="20"/>
          <w:szCs w:val="20"/>
          <w:lang w:eastAsia="fr-FR"/>
        </w:rPr>
        <w:t>, p. 18.</w:t>
      </w:r>
    </w:p>
  </w:footnote>
  <w:footnote w:id="181">
    <w:p w14:paraId="3697584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La lecture du verbe à l’actif </w:t>
      </w:r>
      <w:r w:rsidRPr="00F230F1">
        <w:rPr>
          <w:rFonts w:asciiTheme="majorBidi" w:hAnsiTheme="majorBidi" w:cstheme="majorBidi"/>
          <w:i/>
          <w:iCs/>
          <w:sz w:val="20"/>
          <w:szCs w:val="20"/>
        </w:rPr>
        <w:t>yuqāt</w:t>
      </w:r>
      <w:r w:rsidRPr="00F230F1">
        <w:rPr>
          <w:rFonts w:asciiTheme="majorBidi" w:hAnsiTheme="majorBidi" w:cstheme="majorBidi"/>
          <w:b/>
          <w:bCs/>
          <w:i/>
          <w:iCs/>
          <w:sz w:val="20"/>
          <w:szCs w:val="20"/>
        </w:rPr>
        <w:t>i</w:t>
      </w:r>
      <w:r w:rsidRPr="00F230F1">
        <w:rPr>
          <w:rFonts w:asciiTheme="majorBidi" w:hAnsiTheme="majorBidi" w:cstheme="majorBidi"/>
          <w:i/>
          <w:iCs/>
          <w:sz w:val="20"/>
          <w:szCs w:val="20"/>
        </w:rPr>
        <w:t>lūna</w:t>
      </w:r>
      <w:r w:rsidRPr="00F230F1">
        <w:rPr>
          <w:rFonts w:asciiTheme="majorBidi" w:hAnsiTheme="majorBidi" w:cstheme="majorBidi"/>
          <w:sz w:val="20"/>
          <w:szCs w:val="20"/>
        </w:rPr>
        <w:t xml:space="preserve"> est celle d’Ibn </w:t>
      </w:r>
      <w:r w:rsidRPr="00F230F1">
        <w:rPr>
          <w:rFonts w:asciiTheme="majorBidi" w:eastAsia="Times New Roman" w:hAnsiTheme="majorBidi" w:cstheme="majorBidi"/>
          <w:sz w:val="20"/>
          <w:szCs w:val="20"/>
        </w:rPr>
        <w:t xml:space="preserve">ʿĀmir ; alors que la lecture du verbe au passif </w:t>
      </w:r>
      <w:r w:rsidRPr="00F230F1">
        <w:rPr>
          <w:rFonts w:asciiTheme="majorBidi" w:hAnsiTheme="majorBidi" w:cstheme="majorBidi"/>
          <w:i/>
          <w:iCs/>
          <w:sz w:val="20"/>
          <w:szCs w:val="20"/>
        </w:rPr>
        <w:t>yuqāt</w:t>
      </w:r>
      <w:r w:rsidRPr="00F230F1">
        <w:rPr>
          <w:rFonts w:asciiTheme="majorBidi" w:hAnsiTheme="majorBidi" w:cstheme="majorBidi"/>
          <w:b/>
          <w:bCs/>
          <w:i/>
          <w:iCs/>
          <w:sz w:val="20"/>
          <w:szCs w:val="20"/>
        </w:rPr>
        <w:t>a</w:t>
      </w:r>
      <w:r w:rsidRPr="00F230F1">
        <w:rPr>
          <w:rFonts w:asciiTheme="majorBidi" w:hAnsiTheme="majorBidi" w:cstheme="majorBidi"/>
          <w:i/>
          <w:iCs/>
          <w:sz w:val="20"/>
          <w:szCs w:val="20"/>
        </w:rPr>
        <w:t>lūna</w:t>
      </w:r>
      <w:r w:rsidRPr="00F230F1">
        <w:rPr>
          <w:rFonts w:asciiTheme="majorBidi" w:eastAsia="Times New Roman" w:hAnsiTheme="majorBidi" w:cstheme="majorBidi"/>
          <w:sz w:val="20"/>
          <w:szCs w:val="20"/>
        </w:rPr>
        <w:t xml:space="preserve"> est celle de Nāfiʿ et Ḥafṣ </w:t>
      </w:r>
      <w:r w:rsidRPr="00F230F1">
        <w:rPr>
          <w:rFonts w:asciiTheme="majorBidi" w:hAnsiTheme="majorBidi" w:cstheme="majorBidi"/>
          <w:sz w:val="20"/>
          <w:szCs w:val="20"/>
        </w:rPr>
        <w:t>(</w:t>
      </w:r>
      <w:r w:rsidRPr="00F230F1">
        <w:rPr>
          <w:rFonts w:asciiTheme="majorBidi" w:hAnsiTheme="majorBidi" w:cstheme="majorBidi"/>
          <w:i/>
          <w:iCs/>
          <w:sz w:val="20"/>
          <w:szCs w:val="20"/>
        </w:rPr>
        <w:t>cf.</w:t>
      </w:r>
      <w:r w:rsidRPr="00F230F1">
        <w:rPr>
          <w:rFonts w:asciiTheme="majorBidi" w:hAnsiTheme="majorBidi" w:cstheme="majorBidi"/>
          <w:sz w:val="20"/>
          <w:szCs w:val="20"/>
        </w:rPr>
        <w:t> Abū al-Qāsim [ou Abū al-Baqā</w:t>
      </w:r>
      <w:r w:rsidRPr="00F230F1">
        <w:rPr>
          <w:rFonts w:asciiTheme="majorBidi" w:eastAsia="Times New Roman" w:hAnsiTheme="majorBidi" w:cstheme="majorBidi"/>
          <w:sz w:val="20"/>
          <w:szCs w:val="20"/>
        </w:rPr>
        <w:t>ʾ</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ʿAlī b. ʿUthmān, </w:t>
      </w:r>
      <w:r w:rsidRPr="00F230F1">
        <w:rPr>
          <w:rFonts w:asciiTheme="majorBidi" w:eastAsia="Times New Roman" w:hAnsiTheme="majorBidi" w:cstheme="majorBidi"/>
          <w:i/>
          <w:iCs/>
          <w:sz w:val="20"/>
          <w:szCs w:val="20"/>
        </w:rPr>
        <w:t>Sirāj al-qāriʾ al-mubtadī wa-tadhkār al-muqriʾ al-muntahī</w:t>
      </w:r>
      <w:r w:rsidRPr="00F230F1">
        <w:rPr>
          <w:rFonts w:asciiTheme="majorBidi" w:eastAsia="Times New Roman" w:hAnsiTheme="majorBidi" w:cstheme="majorBidi"/>
          <w:sz w:val="20"/>
          <w:szCs w:val="20"/>
        </w:rPr>
        <w:t>, revu par : ʿAlī aḍ-Ḍabbāʿ, imprimerie Muṣtafā al-Bābī al- Ḥalabī, Égypte, troisième édition, 1954.</w:t>
      </w:r>
    </w:p>
  </w:footnote>
  <w:footnote w:id="182">
    <w:p w14:paraId="672223C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Savary, </w:t>
      </w:r>
      <w:r w:rsidRPr="00F230F1">
        <w:rPr>
          <w:rFonts w:asciiTheme="majorBidi" w:hAnsiTheme="majorBidi" w:cstheme="majorBidi"/>
          <w:i/>
          <w:iCs/>
          <w:sz w:val="20"/>
          <w:szCs w:val="20"/>
        </w:rPr>
        <w:t>Coran</w:t>
      </w:r>
      <w:r w:rsidRPr="00F230F1">
        <w:rPr>
          <w:rFonts w:asciiTheme="majorBidi" w:hAnsiTheme="majorBidi" w:cstheme="majorBidi"/>
          <w:sz w:val="20"/>
          <w:szCs w:val="20"/>
        </w:rPr>
        <w:t>, « Préface », p. XIII &amp; IX.</w:t>
      </w:r>
    </w:p>
  </w:footnote>
  <w:footnote w:id="183">
    <w:p w14:paraId="23C4A6C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p>
  </w:footnote>
  <w:footnote w:id="184">
    <w:p w14:paraId="4A3DD27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Traduction du Coran par le Complexe de Médine, 2001, « Préface », p. IX.</w:t>
      </w:r>
    </w:p>
  </w:footnote>
  <w:footnote w:id="185">
    <w:p w14:paraId="40BFFA5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 xml:space="preserve"> Ibid</w:t>
      </w:r>
      <w:r w:rsidRPr="00F230F1">
        <w:rPr>
          <w:rFonts w:asciiTheme="majorBidi" w:hAnsiTheme="majorBidi" w:cstheme="majorBidi"/>
          <w:sz w:val="20"/>
          <w:szCs w:val="20"/>
        </w:rPr>
        <w:t>.</w:t>
      </w:r>
    </w:p>
  </w:footnote>
  <w:footnote w:id="186">
    <w:p w14:paraId="1FF3D704" w14:textId="77777777" w:rsidR="009C3BB9" w:rsidRPr="00F230F1" w:rsidRDefault="009C3BB9" w:rsidP="00F230F1">
      <w:pPr>
        <w:shd w:val="clear" w:color="auto" w:fill="FFFFFF"/>
        <w:contextualSpacing/>
        <w:jc w:val="both"/>
        <w:rPr>
          <w:rFonts w:asciiTheme="majorBidi" w:eastAsia="Calibr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Traduction du Coran par Jacques Berque, </w:t>
      </w:r>
      <w:r w:rsidRPr="00F230F1">
        <w:rPr>
          <w:rFonts w:asciiTheme="majorBidi" w:eastAsia="Calibri" w:hAnsiTheme="majorBidi" w:cstheme="majorBidi"/>
          <w:sz w:val="20"/>
          <w:szCs w:val="20"/>
        </w:rPr>
        <w:t>« Avant-propos », p. 13.</w:t>
      </w:r>
    </w:p>
  </w:footnote>
  <w:footnote w:id="187">
    <w:p w14:paraId="688C6E2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w:t>
      </w:r>
    </w:p>
  </w:footnote>
  <w:footnote w:id="188">
    <w:p w14:paraId="6E6A7C6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Traduction d’Abdelaziz</w:t>
      </w:r>
      <w:r w:rsidRPr="00F230F1">
        <w:rPr>
          <w:rFonts w:asciiTheme="majorBidi" w:eastAsia="Times New Roman" w:hAnsiTheme="majorBidi" w:cstheme="majorBidi"/>
          <w:sz w:val="20"/>
          <w:szCs w:val="20"/>
          <w:lang w:eastAsia="fr-FR"/>
        </w:rPr>
        <w:t>,</w:t>
      </w:r>
      <w:r w:rsidRPr="00F230F1">
        <w:rPr>
          <w:rFonts w:asciiTheme="majorBidi" w:hAnsiTheme="majorBidi" w:cstheme="majorBidi"/>
          <w:i/>
          <w:iCs/>
          <w:sz w:val="20"/>
          <w:szCs w:val="20"/>
        </w:rPr>
        <w:t xml:space="preserve"> op. cit.</w:t>
      </w:r>
      <w:r w:rsidRPr="00F230F1">
        <w:rPr>
          <w:rFonts w:asciiTheme="majorBidi" w:eastAsia="Times New Roman" w:hAnsiTheme="majorBidi" w:cstheme="majorBidi"/>
          <w:sz w:val="20"/>
          <w:szCs w:val="20"/>
          <w:lang w:eastAsia="fr-FR"/>
        </w:rPr>
        <w:t>, p. 4.</w:t>
      </w:r>
    </w:p>
  </w:footnote>
  <w:footnote w:id="189">
    <w:p w14:paraId="063331A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Richard Jacquemond, « Recherches sur la production littéraire arabe moderne et sur les mouvements de traduction contemporains de et vers l’arabe » (Dossier de synthèse pour l’Habilitation à Diriger des Recherches [HDR]), Université Aix-Marseille I - Université de Provence, 2006, pp. 46 - 47.</w:t>
      </w:r>
    </w:p>
  </w:footnote>
  <w:footnote w:id="190">
    <w:p w14:paraId="691F5A7B" w14:textId="77777777" w:rsidR="009C3BB9" w:rsidRPr="00F230F1" w:rsidRDefault="009C3BB9" w:rsidP="00F230F1">
      <w:pPr>
        <w:contextualSpacing/>
        <w:jc w:val="both"/>
        <w:rPr>
          <w:rFonts w:asciiTheme="majorBidi" w:eastAsia="Times New Roman"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Parmi ces études nous citons : Jacques François, « </w:t>
      </w:r>
      <w:r w:rsidRPr="00F230F1">
        <w:rPr>
          <w:rFonts w:asciiTheme="majorBidi" w:hAnsiTheme="majorBidi" w:cstheme="majorBidi"/>
          <w:i/>
          <w:iCs/>
          <w:sz w:val="20"/>
          <w:szCs w:val="20"/>
        </w:rPr>
        <w:t>Polysémie et polytaxie verbales entre synchronie et diachronie </w:t>
      </w:r>
      <w:r w:rsidRPr="00F230F1">
        <w:rPr>
          <w:rFonts w:asciiTheme="majorBidi" w:hAnsiTheme="majorBidi" w:cstheme="majorBidi"/>
          <w:sz w:val="20"/>
          <w:szCs w:val="20"/>
        </w:rPr>
        <w:t>», Actes du 1</w:t>
      </w:r>
      <w:r w:rsidRPr="00F230F1">
        <w:rPr>
          <w:rFonts w:asciiTheme="majorBidi" w:hAnsiTheme="majorBidi" w:cstheme="majorBidi"/>
          <w:sz w:val="20"/>
          <w:szCs w:val="20"/>
          <w:vertAlign w:val="superscript"/>
        </w:rPr>
        <w:t>er</w:t>
      </w:r>
      <w:r w:rsidRPr="00F230F1">
        <w:rPr>
          <w:rFonts w:asciiTheme="majorBidi" w:hAnsiTheme="majorBidi" w:cstheme="majorBidi"/>
          <w:sz w:val="20"/>
          <w:szCs w:val="20"/>
        </w:rPr>
        <w:t xml:space="preserve"> Congrès Mondial de Linguistique Française, Table-Ronde de la section de Sémantique, 2008, Université de Caen. J</w:t>
      </w:r>
      <w:r w:rsidRPr="00F230F1">
        <w:rPr>
          <w:rFonts w:asciiTheme="majorBidi" w:eastAsia="Times New Roman" w:hAnsiTheme="majorBidi" w:cstheme="majorBidi"/>
          <w:sz w:val="20"/>
          <w:szCs w:val="20"/>
        </w:rPr>
        <w:t>acqueline Picoche</w:t>
      </w:r>
      <w:r w:rsidRPr="00F230F1">
        <w:rPr>
          <w:rFonts w:asciiTheme="majorBidi" w:eastAsia="Times New Roman" w:hAnsiTheme="majorBidi" w:cstheme="majorBidi"/>
          <w:sz w:val="20"/>
          <w:szCs w:val="20"/>
          <w:shd w:val="clear" w:color="auto" w:fill="FFFFFF"/>
        </w:rPr>
        <w:t>, « Polysémie n’est pas ambiguïté », </w:t>
      </w:r>
      <w:r w:rsidRPr="00F230F1">
        <w:rPr>
          <w:rFonts w:asciiTheme="majorBidi" w:eastAsia="Times New Roman" w:hAnsiTheme="majorBidi" w:cstheme="majorBidi"/>
          <w:i/>
          <w:iCs/>
          <w:sz w:val="20"/>
          <w:szCs w:val="20"/>
        </w:rPr>
        <w:t>Cahiers de praxématique</w:t>
      </w:r>
      <w:r w:rsidRPr="00F230F1">
        <w:rPr>
          <w:rFonts w:asciiTheme="majorBidi" w:eastAsia="Times New Roman" w:hAnsiTheme="majorBidi" w:cstheme="majorBidi"/>
          <w:sz w:val="20"/>
          <w:szCs w:val="20"/>
          <w:shd w:val="clear" w:color="auto" w:fill="FFFFFF"/>
        </w:rPr>
        <w:t> [En ligne], 12 | 1989, document 5, mis en ligne le 01 janvier 2015, consulté le 20 juillet 2017. URL :</w:t>
      </w:r>
      <w:r w:rsidRPr="00F230F1">
        <w:rPr>
          <w:rFonts w:asciiTheme="majorBidi" w:eastAsia="Times New Roman" w:hAnsiTheme="majorBidi" w:cstheme="majorBidi"/>
          <w:color w:val="000000"/>
          <w:sz w:val="20"/>
          <w:szCs w:val="20"/>
          <w:shd w:val="clear" w:color="auto" w:fill="FFFFFF"/>
        </w:rPr>
        <w:t xml:space="preserve"> </w:t>
      </w:r>
      <w:hyperlink r:id="rId68" w:history="1">
        <w:r w:rsidRPr="00F230F1">
          <w:rPr>
            <w:rStyle w:val="Lienhypertexte"/>
            <w:rFonts w:asciiTheme="majorBidi" w:eastAsia="Times New Roman" w:hAnsiTheme="majorBidi" w:cstheme="majorBidi"/>
            <w:sz w:val="20"/>
            <w:szCs w:val="20"/>
            <w:shd w:val="clear" w:color="auto" w:fill="FFFFFF"/>
          </w:rPr>
          <w:t>http://praxematique.revues.org/3451</w:t>
        </w:r>
      </w:hyperlink>
      <w:r w:rsidRPr="00F230F1">
        <w:rPr>
          <w:rFonts w:asciiTheme="majorBidi" w:eastAsia="Times New Roman" w:hAnsiTheme="majorBidi" w:cstheme="majorBidi"/>
          <w:color w:val="000000"/>
          <w:sz w:val="20"/>
          <w:szCs w:val="20"/>
          <w:shd w:val="clear" w:color="auto" w:fill="FFFFFF"/>
        </w:rPr>
        <w:t xml:space="preserve">. </w:t>
      </w:r>
      <w:r w:rsidRPr="00F230F1">
        <w:rPr>
          <w:rFonts w:asciiTheme="majorBidi" w:hAnsiTheme="majorBidi" w:cstheme="majorBidi"/>
          <w:sz w:val="20"/>
          <w:szCs w:val="20"/>
          <w:lang w:bidi="ar-AE"/>
        </w:rPr>
        <w:t>Jacqueline</w:t>
      </w:r>
      <w:r w:rsidRPr="00F230F1">
        <w:rPr>
          <w:rFonts w:asciiTheme="majorBidi" w:eastAsia="Times New Roman" w:hAnsiTheme="majorBidi" w:cstheme="majorBidi"/>
          <w:sz w:val="20"/>
          <w:szCs w:val="20"/>
        </w:rPr>
        <w:t xml:space="preserve"> Picoche, S</w:t>
      </w:r>
      <w:r w:rsidRPr="00F230F1">
        <w:rPr>
          <w:rFonts w:asciiTheme="majorBidi" w:eastAsia="Times New Roman" w:hAnsiTheme="majorBidi" w:cstheme="majorBidi"/>
          <w:i/>
          <w:iCs/>
          <w:sz w:val="20"/>
          <w:szCs w:val="20"/>
        </w:rPr>
        <w:t>tructures sémantiques du lexique français</w:t>
      </w:r>
      <w:r w:rsidRPr="00F230F1">
        <w:rPr>
          <w:rFonts w:asciiTheme="majorBidi" w:eastAsia="Times New Roman" w:hAnsiTheme="majorBidi" w:cstheme="majorBidi"/>
          <w:sz w:val="20"/>
          <w:szCs w:val="20"/>
        </w:rPr>
        <w:t xml:space="preserve">, Nathan, Paris, 1986. Si la néologie est sémantique, elle s’appelle </w:t>
      </w:r>
      <w:r w:rsidRPr="00F230F1">
        <w:rPr>
          <w:rFonts w:asciiTheme="majorBidi" w:eastAsia="Times New Roman" w:hAnsiTheme="majorBidi" w:cstheme="majorBidi"/>
          <w:i/>
          <w:iCs/>
          <w:sz w:val="20"/>
          <w:szCs w:val="20"/>
        </w:rPr>
        <w:t>polysémie</w:t>
      </w:r>
      <w:r w:rsidRPr="00F230F1">
        <w:rPr>
          <w:rFonts w:asciiTheme="majorBidi" w:eastAsia="Times New Roman" w:hAnsiTheme="majorBidi" w:cstheme="majorBidi"/>
          <w:sz w:val="20"/>
          <w:szCs w:val="20"/>
        </w:rPr>
        <w:t xml:space="preserve">. Si la néologie est syntaxique, elle s’appelle </w:t>
      </w:r>
      <w:r w:rsidRPr="00F230F1">
        <w:rPr>
          <w:rFonts w:asciiTheme="majorBidi" w:eastAsia="Times New Roman" w:hAnsiTheme="majorBidi" w:cstheme="majorBidi"/>
          <w:i/>
          <w:iCs/>
          <w:sz w:val="20"/>
          <w:szCs w:val="20"/>
        </w:rPr>
        <w:t>polytaxie</w:t>
      </w:r>
      <w:r w:rsidRPr="00F230F1">
        <w:rPr>
          <w:rFonts w:asciiTheme="majorBidi" w:eastAsia="Times New Roman" w:hAnsiTheme="majorBidi" w:cstheme="majorBidi"/>
          <w:sz w:val="20"/>
          <w:szCs w:val="20"/>
        </w:rPr>
        <w:t>. Les linguistes ont classifié la polysémie en plusieurs types : 1) régulière (ou systématique) et irrégulière ; 2) verticale (les effets de sens d’un signifié de puissance</w:t>
      </w:r>
      <w:r w:rsidRPr="00F230F1">
        <w:rPr>
          <w:rFonts w:asciiTheme="majorBidi" w:eastAsia="Times New Roman" w:hAnsiTheme="majorBidi" w:cstheme="majorBidi"/>
          <w:b/>
          <w:bCs/>
          <w:sz w:val="20"/>
          <w:szCs w:val="20"/>
        </w:rPr>
        <w:t>[*]</w:t>
      </w:r>
      <w:r w:rsidRPr="00F230F1">
        <w:rPr>
          <w:rFonts w:asciiTheme="majorBidi" w:eastAsia="Times New Roman" w:hAnsiTheme="majorBidi" w:cstheme="majorBidi"/>
          <w:sz w:val="20"/>
          <w:szCs w:val="20"/>
        </w:rPr>
        <w:t>) et horizontale (à partir d’un sens prototypique) ; 3) interne concernant le sémème (interne d’acceptions ou interne de sens) et externe concernant les actants (externe d’acceptions, externe de sens ou externe sélectionnelle) ; 4) synchronique et diachronique ; 5) polysémie cohérente, complémentaire, de raffinement et désordonnée ; 6) </w:t>
      </w:r>
      <w:r w:rsidRPr="00F230F1">
        <w:rPr>
          <w:rFonts w:asciiTheme="majorBidi" w:hAnsiTheme="majorBidi" w:cstheme="majorBidi"/>
          <w:sz w:val="20"/>
          <w:szCs w:val="20"/>
          <w:lang w:bidi="ar-AE"/>
        </w:rPr>
        <w:t>polysémie sans subduction (qui relève le plus souvent des cas de métonymie) et polysémie avec subduction (sur un ou plusieurs cinétismes qui inclut la métaphore</w:t>
      </w:r>
      <w:r w:rsidRPr="00F230F1">
        <w:rPr>
          <w:rFonts w:asciiTheme="majorBidi" w:eastAsia="Times New Roman" w:hAnsiTheme="majorBidi" w:cstheme="majorBidi"/>
          <w:sz w:val="20"/>
          <w:szCs w:val="20"/>
        </w:rPr>
        <w:t>) (</w:t>
      </w:r>
      <w:r w:rsidRPr="00F230F1">
        <w:rPr>
          <w:rFonts w:asciiTheme="majorBidi" w:hAnsiTheme="majorBidi" w:cstheme="majorBidi"/>
          <w:sz w:val="20"/>
          <w:szCs w:val="20"/>
          <w:lang w:bidi="ar-AE"/>
        </w:rPr>
        <w:t>selon Jacqueline Picoche</w:t>
      </w:r>
      <w:r w:rsidRPr="00F230F1">
        <w:rPr>
          <w:rFonts w:asciiTheme="majorBidi" w:hAnsiTheme="majorBidi" w:cstheme="majorBidi"/>
          <w:smallCaps/>
          <w:sz w:val="20"/>
          <w:szCs w:val="20"/>
          <w:lang w:bidi="ar-AE"/>
        </w:rPr>
        <w:t xml:space="preserve">) ; </w:t>
      </w:r>
      <w:r w:rsidRPr="00F230F1">
        <w:rPr>
          <w:rFonts w:asciiTheme="majorBidi" w:eastAsia="Times New Roman" w:hAnsiTheme="majorBidi" w:cstheme="majorBidi"/>
          <w:sz w:val="20"/>
          <w:szCs w:val="20"/>
        </w:rPr>
        <w:t xml:space="preserve">7) polysémie fonctionnelle, polysémie d’acception et polysémie d’usage. </w:t>
      </w:r>
      <w:r w:rsidRPr="00F230F1">
        <w:rPr>
          <w:rFonts w:asciiTheme="majorBidi" w:eastAsia="Times New Roman" w:hAnsiTheme="majorBidi" w:cstheme="majorBidi"/>
          <w:b/>
          <w:bCs/>
          <w:sz w:val="20"/>
          <w:szCs w:val="20"/>
        </w:rPr>
        <w:t xml:space="preserve">[*] </w:t>
      </w:r>
      <w:r w:rsidRPr="00F230F1">
        <w:rPr>
          <w:rFonts w:asciiTheme="majorBidi" w:hAnsiTheme="majorBidi" w:cstheme="majorBidi"/>
          <w:sz w:val="20"/>
          <w:szCs w:val="20"/>
          <w:lang w:bidi="ar-AE"/>
        </w:rPr>
        <w:t>Jacqueline Picoche</w:t>
      </w:r>
      <w:r w:rsidRPr="00F230F1">
        <w:rPr>
          <w:rFonts w:asciiTheme="majorBidi" w:eastAsia="Times New Roman" w:hAnsiTheme="majorBidi" w:cstheme="majorBidi"/>
          <w:sz w:val="20"/>
          <w:szCs w:val="20"/>
        </w:rPr>
        <w:t xml:space="preserve"> explique le signifié de puissance : « La notion de signifié de puissance, quoique rarement théorisée, est fondamentale chez [Gustave] Guillaume [...]. Un signe totalise en lui-même un signifiant et un signifié de puissance qui lui est attaché de façon permanente. Le signifiant est médiateur entre le signifié de puissance et le signifié d’effet qui résulte momentanément de l’emploi qui en est fait dans le discours. Le signifié de puissance, réalité inconsciente de l’ordre du virtuel, devient actuel par l’effet du discours. » (</w:t>
      </w:r>
      <w:r w:rsidRPr="00F230F1">
        <w:rPr>
          <w:rFonts w:asciiTheme="majorBidi" w:hAnsiTheme="majorBidi" w:cstheme="majorBidi"/>
          <w:sz w:val="20"/>
          <w:szCs w:val="20"/>
          <w:lang w:bidi="ar-AE"/>
        </w:rPr>
        <w:t>Jacqueline</w:t>
      </w:r>
      <w:r w:rsidRPr="00F230F1">
        <w:rPr>
          <w:rFonts w:asciiTheme="majorBidi" w:eastAsia="Times New Roman" w:hAnsiTheme="majorBidi" w:cstheme="majorBidi"/>
          <w:sz w:val="20"/>
          <w:szCs w:val="20"/>
        </w:rPr>
        <w:t xml:space="preserve"> Picoche, S</w:t>
      </w:r>
      <w:r w:rsidRPr="00F230F1">
        <w:rPr>
          <w:rFonts w:asciiTheme="majorBidi" w:eastAsia="Times New Roman" w:hAnsiTheme="majorBidi" w:cstheme="majorBidi"/>
          <w:i/>
          <w:iCs/>
          <w:sz w:val="20"/>
          <w:szCs w:val="20"/>
        </w:rPr>
        <w:t>tructures sémantiques du lexique français</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xml:space="preserve">, p.8.) Elle définit le signifié de puissance ainsi : « toute construction sémantique, dynamique (avec subduction) ou statique (sans subduction), capable de révéler l’unité d’un polysème » (Picoche,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 9).</w:t>
      </w:r>
    </w:p>
  </w:footnote>
  <w:footnote w:id="191">
    <w:p w14:paraId="72DF133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hyperlink r:id="rId69" w:history="1">
        <w:r w:rsidRPr="00F230F1">
          <w:rPr>
            <w:rStyle w:val="Lienhypertexte"/>
            <w:rFonts w:asciiTheme="majorBidi" w:hAnsiTheme="majorBidi" w:cstheme="majorBidi"/>
            <w:sz w:val="20"/>
            <w:szCs w:val="20"/>
          </w:rPr>
          <w:t>http://shamela.ws/index.php/book/1083</w:t>
        </w:r>
      </w:hyperlink>
      <w:r w:rsidRPr="00F230F1">
        <w:rPr>
          <w:rFonts w:asciiTheme="majorBidi" w:hAnsiTheme="majorBidi" w:cstheme="majorBidi"/>
          <w:sz w:val="20"/>
          <w:szCs w:val="20"/>
        </w:rPr>
        <w:t xml:space="preserve"> (consulté le 20/07/2017).</w:t>
      </w:r>
    </w:p>
  </w:footnote>
  <w:footnote w:id="192">
    <w:p w14:paraId="72F24DA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ʿAlī Riḍā, </w:t>
      </w:r>
      <w:r w:rsidRPr="00F230F1">
        <w:rPr>
          <w:rFonts w:asciiTheme="majorBidi" w:hAnsiTheme="majorBidi" w:cstheme="majorBidi"/>
          <w:i/>
          <w:iCs/>
          <w:sz w:val="20"/>
          <w:szCs w:val="20"/>
        </w:rPr>
        <w:t>Al-Mukhtār fī l-qawāʿid wa-l-ʾiʿrāb</w:t>
      </w:r>
      <w:r w:rsidRPr="00F230F1">
        <w:rPr>
          <w:rFonts w:asciiTheme="majorBidi" w:hAnsiTheme="majorBidi" w:cstheme="majorBidi"/>
          <w:sz w:val="20"/>
          <w:szCs w:val="20"/>
        </w:rPr>
        <w:t>, Éditions de Maktabat Dār ash-Sharq, Beyrouth, sans date, p. 299. L’auteur souligne : « </w:t>
      </w:r>
      <w:r w:rsidRPr="00F230F1">
        <w:rPr>
          <w:rFonts w:asciiTheme="majorBidi" w:hAnsiTheme="majorBidi" w:cstheme="majorBidi"/>
          <w:sz w:val="20"/>
          <w:szCs w:val="20"/>
          <w:rtl/>
        </w:rPr>
        <w:t>الغاية من ضمير الشأن تعظيم الأمر أو تفخيمه (ص. ٢٩٩)</w:t>
      </w:r>
      <w:r w:rsidRPr="00F230F1">
        <w:rPr>
          <w:rFonts w:asciiTheme="majorBidi" w:hAnsiTheme="majorBidi" w:cstheme="majorBidi"/>
          <w:sz w:val="20"/>
          <w:szCs w:val="20"/>
        </w:rPr>
        <w:t xml:space="preserve"> » [l’objectif du </w:t>
      </w:r>
      <w:r w:rsidRPr="00F230F1">
        <w:rPr>
          <w:rFonts w:asciiTheme="majorBidi" w:eastAsia="Times New Roman" w:hAnsiTheme="majorBidi" w:cstheme="majorBidi"/>
          <w:i/>
          <w:iCs/>
          <w:sz w:val="20"/>
          <w:szCs w:val="20"/>
          <w:lang w:eastAsia="fr-FR" w:bidi="ar-EG"/>
        </w:rPr>
        <w:t>ḍamīr ash-shaʾn</w:t>
      </w:r>
      <w:r w:rsidRPr="00F230F1">
        <w:rPr>
          <w:rFonts w:asciiTheme="majorBidi" w:eastAsia="Times New Roman" w:hAnsiTheme="majorBidi" w:cstheme="majorBidi"/>
          <w:sz w:val="20"/>
          <w:szCs w:val="20"/>
          <w:lang w:eastAsia="fr-FR" w:bidi="ar-EG"/>
        </w:rPr>
        <w:t xml:space="preserve"> [pronom impersonnel] est d’exalter ou d’emphatiser] </w:t>
      </w:r>
      <w:r w:rsidRPr="00F230F1">
        <w:rPr>
          <w:rFonts w:asciiTheme="majorBidi" w:hAnsiTheme="majorBidi" w:cstheme="majorBidi"/>
          <w:sz w:val="20"/>
          <w:szCs w:val="20"/>
        </w:rPr>
        <w:t xml:space="preserve">(p. 299). Voir aussi : </w:t>
      </w:r>
      <w:r w:rsidRPr="00F230F1">
        <w:rPr>
          <w:rFonts w:asciiTheme="majorBidi" w:hAnsiTheme="majorBidi" w:cstheme="majorBidi"/>
          <w:sz w:val="20"/>
          <w:szCs w:val="20"/>
          <w:lang w:eastAsia="fr-FR" w:bidi="ar-EG"/>
        </w:rPr>
        <w:t xml:space="preserve">Az-Zamakhsharī, </w:t>
      </w:r>
      <w:r w:rsidRPr="00F230F1">
        <w:rPr>
          <w:rFonts w:asciiTheme="majorBidi" w:hAnsiTheme="majorBidi" w:cstheme="majorBidi"/>
          <w:i/>
          <w:iCs/>
          <w:sz w:val="20"/>
          <w:szCs w:val="20"/>
          <w:lang w:eastAsia="fr-FR" w:bidi="ar-EG"/>
        </w:rPr>
        <w:t>Sharḥ al-Mufaṣṣal</w:t>
      </w:r>
      <w:r w:rsidRPr="00F230F1">
        <w:rPr>
          <w:rFonts w:asciiTheme="majorBidi" w:hAnsiTheme="majorBidi" w:cstheme="majorBidi"/>
          <w:sz w:val="20"/>
          <w:szCs w:val="20"/>
          <w:lang w:eastAsia="fr-FR" w:bidi="ar-EG"/>
        </w:rPr>
        <w:t xml:space="preserve">, Dār al-Kutub al-ʿilmyya, Beyrouth, 2001, tome 2, p. 335 (Le pronom impersonnel est utilisé pour </w:t>
      </w:r>
      <w:r w:rsidRPr="00F230F1">
        <w:rPr>
          <w:rFonts w:asciiTheme="majorBidi" w:hAnsiTheme="majorBidi" w:cstheme="majorBidi"/>
          <w:i/>
          <w:iCs/>
          <w:sz w:val="20"/>
          <w:szCs w:val="20"/>
          <w:lang w:eastAsia="fr-FR" w:bidi="ar-EG"/>
        </w:rPr>
        <w:t>at-tafkhīm wa-t-ta</w:t>
      </w:r>
      <w:r w:rsidRPr="00F230F1">
        <w:rPr>
          <w:rFonts w:asciiTheme="majorBidi" w:eastAsia="Times New Roman" w:hAnsiTheme="majorBidi" w:cstheme="majorBidi"/>
          <w:i/>
          <w:iCs/>
          <w:sz w:val="20"/>
          <w:szCs w:val="20"/>
        </w:rPr>
        <w:t>ʿẓ</w:t>
      </w:r>
      <w:r w:rsidRPr="00F230F1">
        <w:rPr>
          <w:rFonts w:asciiTheme="majorBidi" w:hAnsiTheme="majorBidi" w:cstheme="majorBidi"/>
          <w:i/>
          <w:iCs/>
          <w:sz w:val="20"/>
          <w:szCs w:val="20"/>
          <w:lang w:eastAsia="fr-FR" w:bidi="ar-EG"/>
        </w:rPr>
        <w:t>īm</w:t>
      </w:r>
      <w:r w:rsidRPr="00F230F1">
        <w:rPr>
          <w:rFonts w:asciiTheme="majorBidi" w:hAnsiTheme="majorBidi" w:cstheme="majorBidi"/>
          <w:sz w:val="20"/>
          <w:szCs w:val="20"/>
          <w:lang w:eastAsia="fr-FR" w:bidi="ar-EG"/>
        </w:rPr>
        <w:t xml:space="preserve"> [l’emphatisation et l’exaltation]).</w:t>
      </w:r>
    </w:p>
  </w:footnote>
  <w:footnote w:id="193">
    <w:p w14:paraId="549AAE01"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EG"/>
        </w:rPr>
        <w:t xml:space="preserve">Ibn al-Ḥājib, </w:t>
      </w:r>
      <w:r w:rsidRPr="00F230F1">
        <w:rPr>
          <w:rFonts w:asciiTheme="majorBidi" w:hAnsiTheme="majorBidi" w:cstheme="majorBidi"/>
          <w:i/>
          <w:iCs/>
          <w:sz w:val="20"/>
          <w:szCs w:val="20"/>
          <w:lang w:bidi="ar-EG"/>
        </w:rPr>
        <w:t>Al-ʾīḍāḥ fī sharḥ al-Mufaṣṣal</w:t>
      </w:r>
      <w:r w:rsidRPr="00F230F1">
        <w:rPr>
          <w:rFonts w:asciiTheme="majorBidi" w:hAnsiTheme="majorBidi" w:cstheme="majorBidi"/>
          <w:sz w:val="20"/>
          <w:szCs w:val="20"/>
          <w:lang w:bidi="ar-EG"/>
        </w:rPr>
        <w:t>, Dār Sa</w:t>
      </w:r>
      <w:r w:rsidRPr="00F230F1">
        <w:rPr>
          <w:rFonts w:asciiTheme="majorBidi" w:hAnsiTheme="majorBidi" w:cstheme="majorBidi"/>
          <w:sz w:val="20"/>
          <w:szCs w:val="20"/>
        </w:rPr>
        <w:t>ʿ</w:t>
      </w:r>
      <w:r w:rsidRPr="00F230F1">
        <w:rPr>
          <w:rFonts w:asciiTheme="majorBidi" w:hAnsiTheme="majorBidi" w:cstheme="majorBidi"/>
          <w:sz w:val="20"/>
          <w:szCs w:val="20"/>
          <w:lang w:bidi="ar-EG"/>
        </w:rPr>
        <w:t xml:space="preserve">d ad-Dīn, Damas, 2005, tome 1, p. 450. Az-Zamakhsharī, </w:t>
      </w:r>
      <w:r w:rsidRPr="00F230F1">
        <w:rPr>
          <w:rFonts w:asciiTheme="majorBidi" w:hAnsiTheme="majorBidi" w:cstheme="majorBidi"/>
          <w:i/>
          <w:iCs/>
          <w:sz w:val="20"/>
          <w:szCs w:val="20"/>
          <w:lang w:bidi="ar-EG"/>
        </w:rPr>
        <w:t>Sharḥ al-Mufaṣṣal</w:t>
      </w:r>
      <w:r w:rsidRPr="00F230F1">
        <w:rPr>
          <w:rFonts w:asciiTheme="majorBidi" w:hAnsiTheme="majorBidi" w:cstheme="majorBidi"/>
          <w:sz w:val="20"/>
          <w:szCs w:val="20"/>
          <w:lang w:bidi="ar-EG"/>
        </w:rPr>
        <w:t xml:space="preserve">, Dār al-Kutub al-ʿilmyya, Beyrouth, 2001, tome 2, p. 334 &amp; p. 352. On considère notamment le pronom démonstratif comme </w:t>
      </w:r>
      <w:r w:rsidRPr="00F230F1">
        <w:rPr>
          <w:rFonts w:asciiTheme="majorBidi" w:hAnsiTheme="majorBidi" w:cstheme="majorBidi"/>
          <w:i/>
          <w:iCs/>
          <w:sz w:val="20"/>
          <w:szCs w:val="20"/>
          <w:lang w:bidi="ar-EG"/>
        </w:rPr>
        <w:t>mubham</w:t>
      </w:r>
      <w:r w:rsidRPr="00F230F1">
        <w:rPr>
          <w:rFonts w:asciiTheme="majorBidi" w:hAnsiTheme="majorBidi" w:cstheme="majorBidi"/>
          <w:sz w:val="20"/>
          <w:szCs w:val="20"/>
          <w:lang w:bidi="ar-EG"/>
        </w:rPr>
        <w:t xml:space="preserve"> (vague/confus), et on considère surtout le pronom </w:t>
      </w:r>
      <w:r w:rsidRPr="00F230F1">
        <w:rPr>
          <w:rFonts w:asciiTheme="majorBidi" w:eastAsia="Times New Roman" w:hAnsiTheme="majorBidi" w:cstheme="majorBidi"/>
          <w:sz w:val="20"/>
          <w:szCs w:val="20"/>
          <w:lang w:bidi="ar-EG"/>
        </w:rPr>
        <w:t>impersonnel (</w:t>
      </w:r>
      <w:r w:rsidRPr="00F230F1">
        <w:rPr>
          <w:rFonts w:asciiTheme="majorBidi" w:eastAsia="Times New Roman" w:hAnsiTheme="majorBidi" w:cstheme="majorBidi"/>
          <w:i/>
          <w:iCs/>
          <w:sz w:val="20"/>
          <w:szCs w:val="20"/>
          <w:lang w:bidi="ar-EG"/>
        </w:rPr>
        <w:t>ḍamīr ash-shaʾn</w:t>
      </w:r>
      <w:r w:rsidRPr="00F230F1">
        <w:rPr>
          <w:rFonts w:asciiTheme="majorBidi" w:eastAsia="Times New Roman" w:hAnsiTheme="majorBidi" w:cstheme="majorBidi"/>
          <w:sz w:val="20"/>
          <w:szCs w:val="20"/>
          <w:lang w:bidi="ar-EG"/>
        </w:rPr>
        <w:t xml:space="preserve"> et </w:t>
      </w:r>
      <w:r w:rsidRPr="00F230F1">
        <w:rPr>
          <w:rFonts w:asciiTheme="majorBidi" w:eastAsia="Times New Roman" w:hAnsiTheme="majorBidi" w:cstheme="majorBidi"/>
          <w:i/>
          <w:iCs/>
          <w:sz w:val="20"/>
          <w:szCs w:val="20"/>
          <w:lang w:bidi="ar-EG"/>
        </w:rPr>
        <w:t>ḍamīr al-qiṣṣa</w:t>
      </w:r>
      <w:r w:rsidRPr="00F230F1">
        <w:rPr>
          <w:rFonts w:asciiTheme="majorBidi" w:eastAsia="Times New Roman" w:hAnsiTheme="majorBidi" w:cstheme="majorBidi"/>
          <w:sz w:val="20"/>
          <w:szCs w:val="20"/>
          <w:lang w:bidi="ar-EG"/>
        </w:rPr>
        <w:t xml:space="preserve">) comme </w:t>
      </w:r>
      <w:r w:rsidRPr="00F230F1">
        <w:rPr>
          <w:rFonts w:asciiTheme="majorBidi" w:eastAsia="Times New Roman" w:hAnsiTheme="majorBidi" w:cstheme="majorBidi"/>
          <w:i/>
          <w:iCs/>
          <w:sz w:val="20"/>
          <w:szCs w:val="20"/>
          <w:lang w:bidi="ar-EG"/>
        </w:rPr>
        <w:t xml:space="preserve">majhūl </w:t>
      </w:r>
      <w:r w:rsidRPr="00F230F1">
        <w:rPr>
          <w:rFonts w:asciiTheme="majorBidi" w:eastAsia="Times New Roman" w:hAnsiTheme="majorBidi" w:cstheme="majorBidi"/>
          <w:sz w:val="20"/>
          <w:szCs w:val="20"/>
          <w:lang w:bidi="ar-EG"/>
        </w:rPr>
        <w:t>(inconnu). Cependant, Ma</w:t>
      </w:r>
      <w:r w:rsidRPr="00F230F1">
        <w:rPr>
          <w:rFonts w:asciiTheme="majorBidi" w:hAnsiTheme="majorBidi" w:cstheme="majorBidi"/>
          <w:sz w:val="20"/>
          <w:szCs w:val="20"/>
          <w:lang w:bidi="ar-EG"/>
        </w:rPr>
        <w:t>ḥ</w:t>
      </w:r>
      <w:r w:rsidRPr="00F230F1">
        <w:rPr>
          <w:rFonts w:asciiTheme="majorBidi" w:eastAsia="Times New Roman" w:hAnsiTheme="majorBidi" w:cstheme="majorBidi"/>
          <w:sz w:val="20"/>
          <w:szCs w:val="20"/>
          <w:lang w:bidi="ar-EG"/>
        </w:rPr>
        <w:t xml:space="preserve">moud </w:t>
      </w:r>
      <w:r w:rsidRPr="00F230F1">
        <w:rPr>
          <w:rFonts w:asciiTheme="majorBidi" w:hAnsiTheme="majorBidi" w:cstheme="majorBidi"/>
          <w:sz w:val="20"/>
          <w:szCs w:val="20"/>
        </w:rPr>
        <w:t xml:space="preserve">ʿAkkāsha considère le pronom </w:t>
      </w:r>
      <w:r w:rsidRPr="00F230F1">
        <w:rPr>
          <w:rFonts w:asciiTheme="majorBidi" w:eastAsia="Times New Roman" w:hAnsiTheme="majorBidi" w:cstheme="majorBidi"/>
          <w:i/>
          <w:iCs/>
          <w:sz w:val="20"/>
          <w:szCs w:val="20"/>
          <w:lang w:bidi="ar-EG"/>
        </w:rPr>
        <w:t>ḍamīr ash-shaʾn</w:t>
      </w:r>
      <w:r w:rsidRPr="00F230F1">
        <w:rPr>
          <w:rFonts w:asciiTheme="majorBidi" w:eastAsia="Times New Roman" w:hAnsiTheme="majorBidi" w:cstheme="majorBidi"/>
          <w:sz w:val="20"/>
          <w:szCs w:val="20"/>
          <w:lang w:bidi="ar-EG"/>
        </w:rPr>
        <w:t xml:space="preserve"> </w:t>
      </w:r>
      <w:r w:rsidRPr="00F230F1">
        <w:rPr>
          <w:rFonts w:asciiTheme="majorBidi" w:hAnsiTheme="majorBidi" w:cstheme="majorBidi"/>
          <w:sz w:val="20"/>
          <w:szCs w:val="20"/>
        </w:rPr>
        <w:t xml:space="preserve">comme un pronom </w:t>
      </w:r>
      <w:r w:rsidRPr="00F230F1">
        <w:rPr>
          <w:rFonts w:asciiTheme="majorBidi" w:hAnsiTheme="majorBidi" w:cstheme="majorBidi"/>
          <w:i/>
          <w:iCs/>
          <w:sz w:val="20"/>
          <w:szCs w:val="20"/>
          <w:lang w:bidi="ar-EG"/>
        </w:rPr>
        <w:t>mubham</w:t>
      </w:r>
      <w:r w:rsidRPr="00F230F1">
        <w:rPr>
          <w:rFonts w:asciiTheme="majorBidi" w:hAnsiTheme="majorBidi" w:cstheme="majorBidi"/>
          <w:sz w:val="20"/>
          <w:szCs w:val="20"/>
          <w:lang w:bidi="ar-EG"/>
        </w:rPr>
        <w:t xml:space="preserve"> (vague) (</w:t>
      </w:r>
      <w:r w:rsidRPr="00F230F1">
        <w:rPr>
          <w:rFonts w:asciiTheme="majorBidi" w:eastAsia="Times New Roman" w:hAnsiTheme="majorBidi" w:cstheme="majorBidi"/>
          <w:sz w:val="20"/>
          <w:szCs w:val="20"/>
          <w:lang w:bidi="ar-EG"/>
        </w:rPr>
        <w:t>Ma</w:t>
      </w:r>
      <w:r w:rsidRPr="00F230F1">
        <w:rPr>
          <w:rFonts w:asciiTheme="majorBidi" w:hAnsiTheme="majorBidi" w:cstheme="majorBidi"/>
          <w:sz w:val="20"/>
          <w:szCs w:val="20"/>
          <w:lang w:bidi="ar-EG"/>
        </w:rPr>
        <w:t>ḥ</w:t>
      </w:r>
      <w:r w:rsidRPr="00F230F1">
        <w:rPr>
          <w:rFonts w:asciiTheme="majorBidi" w:eastAsia="Times New Roman" w:hAnsiTheme="majorBidi" w:cstheme="majorBidi"/>
          <w:sz w:val="20"/>
          <w:szCs w:val="20"/>
          <w:lang w:bidi="ar-EG"/>
        </w:rPr>
        <w:t xml:space="preserve">moud </w:t>
      </w:r>
      <w:r w:rsidRPr="00F230F1">
        <w:rPr>
          <w:rFonts w:asciiTheme="majorBidi" w:hAnsiTheme="majorBidi" w:cstheme="majorBidi"/>
          <w:sz w:val="20"/>
          <w:szCs w:val="20"/>
        </w:rPr>
        <w:t xml:space="preserve">ʿAkkāsha, </w:t>
      </w:r>
      <w:r w:rsidRPr="00F230F1">
        <w:rPr>
          <w:rFonts w:asciiTheme="majorBidi" w:hAnsiTheme="majorBidi" w:cstheme="majorBidi"/>
          <w:i/>
          <w:iCs/>
          <w:sz w:val="20"/>
          <w:szCs w:val="20"/>
        </w:rPr>
        <w:t>Ar-rab</w:t>
      </w:r>
      <w:r w:rsidRPr="00F230F1">
        <w:rPr>
          <w:rFonts w:asciiTheme="majorBidi" w:eastAsia="Times New Roman" w:hAnsiTheme="majorBidi" w:cstheme="majorBidi"/>
          <w:i/>
          <w:iCs/>
          <w:sz w:val="20"/>
          <w:szCs w:val="20"/>
        </w:rPr>
        <w:t>ṭ fī l-lafẓ wa-l-maʿnā</w:t>
      </w:r>
      <w:r w:rsidRPr="00F230F1">
        <w:rPr>
          <w:rFonts w:asciiTheme="majorBidi" w:eastAsia="Times New Roman" w:hAnsiTheme="majorBidi" w:cstheme="majorBidi"/>
          <w:sz w:val="20"/>
          <w:szCs w:val="20"/>
        </w:rPr>
        <w:t>, édition d’Al-Akādīmyya l-ḥadītha li-l-kitāb l-jāmiʿī [Académie moderne du livre universitaire], le Caire, 2010, p. 161.</w:t>
      </w:r>
    </w:p>
  </w:footnote>
  <w:footnote w:id="194">
    <w:p w14:paraId="4D123334" w14:textId="77777777" w:rsidR="009C3BB9" w:rsidRPr="00F230F1" w:rsidRDefault="009C3BB9" w:rsidP="00F230F1">
      <w:pPr>
        <w:pStyle w:val="n1"/>
        <w:bidi w:val="0"/>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 lecture de Ibn Abī ʿAbla est : </w:t>
      </w:r>
      <w:r w:rsidRPr="00F230F1">
        <w:rPr>
          <w:rFonts w:asciiTheme="majorBidi" w:hAnsiTheme="majorBidi" w:cstheme="majorBidi"/>
          <w:i/>
          <w:iCs/>
          <w:sz w:val="20"/>
          <w:szCs w:val="20"/>
        </w:rPr>
        <w:t>li-</w:t>
      </w:r>
      <w:r w:rsidRPr="00F230F1">
        <w:rPr>
          <w:rFonts w:asciiTheme="majorBidi" w:hAnsiTheme="majorBidi" w:cstheme="majorBidi"/>
          <w:b/>
          <w:bCs/>
          <w:i/>
          <w:iCs/>
          <w:sz w:val="20"/>
          <w:szCs w:val="20"/>
        </w:rPr>
        <w:t>yu</w:t>
      </w:r>
      <w:r w:rsidRPr="00F230F1">
        <w:rPr>
          <w:rFonts w:asciiTheme="majorBidi" w:hAnsiTheme="majorBidi" w:cstheme="majorBidi"/>
          <w:i/>
          <w:iCs/>
          <w:sz w:val="20"/>
          <w:szCs w:val="20"/>
        </w:rPr>
        <w:t>bayyina lakum</w:t>
      </w:r>
      <w:r w:rsidRPr="00F230F1">
        <w:rPr>
          <w:rFonts w:asciiTheme="majorBidi" w:hAnsiTheme="majorBidi" w:cstheme="majorBidi"/>
          <w:sz w:val="20"/>
          <w:szCs w:val="20"/>
        </w:rPr>
        <w:t xml:space="preserve"> [pour qu’</w:t>
      </w:r>
      <w:r w:rsidRPr="00F230F1">
        <w:rPr>
          <w:rFonts w:asciiTheme="majorBidi" w:hAnsiTheme="majorBidi" w:cstheme="majorBidi"/>
          <w:b/>
          <w:bCs/>
          <w:i/>
          <w:iCs/>
          <w:sz w:val="20"/>
          <w:szCs w:val="20"/>
        </w:rPr>
        <w:t>Il</w:t>
      </w:r>
      <w:r w:rsidRPr="00F230F1">
        <w:rPr>
          <w:rFonts w:asciiTheme="majorBidi" w:hAnsiTheme="majorBidi" w:cstheme="majorBidi"/>
          <w:i/>
          <w:iCs/>
          <w:sz w:val="20"/>
          <w:szCs w:val="20"/>
        </w:rPr>
        <w:t xml:space="preserve"> </w:t>
      </w:r>
      <w:r w:rsidRPr="00F230F1">
        <w:rPr>
          <w:rFonts w:asciiTheme="majorBidi" w:hAnsiTheme="majorBidi" w:cstheme="majorBidi"/>
          <w:sz w:val="20"/>
          <w:szCs w:val="20"/>
        </w:rPr>
        <w:t xml:space="preserve">vous démontre Ø] selon Athīr Ad-Dīn </w:t>
      </w:r>
      <w:r w:rsidRPr="00F230F1">
        <w:rPr>
          <w:rFonts w:asciiTheme="majorBidi" w:hAnsiTheme="majorBidi" w:cstheme="majorBidi"/>
          <w:smallCaps/>
          <w:sz w:val="20"/>
          <w:szCs w:val="20"/>
        </w:rPr>
        <w:t>Al-</w:t>
      </w:r>
      <w:r w:rsidRPr="00F230F1">
        <w:rPr>
          <w:rFonts w:asciiTheme="majorBidi" w:hAnsiTheme="majorBidi" w:cstheme="majorBidi"/>
          <w:sz w:val="20"/>
          <w:szCs w:val="20"/>
        </w:rPr>
        <w:t xml:space="preserve">Ghirnāṭī Al-Andalusī dans </w:t>
      </w:r>
      <w:r w:rsidRPr="00F230F1">
        <w:rPr>
          <w:rFonts w:asciiTheme="majorBidi" w:hAnsiTheme="majorBidi" w:cstheme="majorBidi"/>
          <w:i/>
          <w:iCs/>
          <w:sz w:val="20"/>
          <w:szCs w:val="20"/>
        </w:rPr>
        <w:t>At-Tafsīr Al-Kabīr</w:t>
      </w:r>
      <w:r w:rsidRPr="00F230F1">
        <w:rPr>
          <w:rFonts w:asciiTheme="majorBidi" w:hAnsiTheme="majorBidi" w:cstheme="majorBidi"/>
          <w:sz w:val="20"/>
          <w:szCs w:val="20"/>
        </w:rPr>
        <w:t xml:space="preserve"> (ou </w:t>
      </w:r>
      <w:r w:rsidRPr="00F230F1">
        <w:rPr>
          <w:rFonts w:asciiTheme="majorBidi" w:hAnsiTheme="majorBidi" w:cstheme="majorBidi"/>
          <w:i/>
          <w:iCs/>
          <w:sz w:val="20"/>
          <w:szCs w:val="20"/>
        </w:rPr>
        <w:t>Al-Baḥr Al-Muḥīṭ</w:t>
      </w:r>
      <w:r w:rsidRPr="00F230F1">
        <w:rPr>
          <w:rFonts w:asciiTheme="majorBidi" w:hAnsiTheme="majorBidi" w:cstheme="majorBidi"/>
          <w:sz w:val="20"/>
          <w:szCs w:val="20"/>
        </w:rPr>
        <w:t>).</w:t>
      </w:r>
    </w:p>
  </w:footnote>
  <w:footnote w:id="195">
    <w:p w14:paraId="4E433FBC"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w:t>
      </w:r>
      <w:r w:rsidRPr="00F230F1">
        <w:rPr>
          <w:rFonts w:asciiTheme="majorBidi" w:hAnsiTheme="majorBidi" w:cstheme="majorBidi"/>
          <w:sz w:val="20"/>
          <w:szCs w:val="20"/>
          <w:shd w:val="clear" w:color="auto" w:fill="FFFFFF"/>
          <w:lang w:bidi="ar-KW"/>
        </w:rPr>
        <w:t>énallage est une figure de style qui consiste à remplacer une forme grammaticale [un pronom, un nom, un temps verbal ou un aspect verbal] par une autre</w:t>
      </w:r>
      <w:r w:rsidRPr="00F230F1">
        <w:rPr>
          <w:rFonts w:asciiTheme="majorBidi" w:hAnsiTheme="majorBidi" w:cstheme="majorBidi"/>
          <w:sz w:val="20"/>
          <w:szCs w:val="20"/>
          <w:lang w:bidi="ar-AE"/>
        </w:rPr>
        <w:t>.</w:t>
      </w:r>
    </w:p>
  </w:footnote>
  <w:footnote w:id="196">
    <w:p w14:paraId="04F0F414" w14:textId="77777777" w:rsidR="009C3BB9" w:rsidRPr="00F230F1" w:rsidRDefault="009C3BB9" w:rsidP="00F230F1">
      <w:pPr>
        <w:contextualSpacing/>
        <w:jc w:val="both"/>
        <w:rPr>
          <w:rFonts w:asciiTheme="majorBidi" w:eastAsia="Times New Roman"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KW"/>
        </w:rPr>
        <w:t xml:space="preserve">Selon Aṭ-Ṭabarī, l’une des versions de cette histoire des </w:t>
      </w:r>
      <w:r w:rsidRPr="00F230F1">
        <w:rPr>
          <w:rFonts w:asciiTheme="majorBidi" w:eastAsia="Times New Roman" w:hAnsiTheme="majorBidi" w:cstheme="majorBidi"/>
          <w:i/>
          <w:iCs/>
          <w:sz w:val="20"/>
          <w:szCs w:val="20"/>
          <w:lang w:bidi="ar-KW"/>
        </w:rPr>
        <w:t>gharānīq</w:t>
      </w:r>
      <w:r w:rsidRPr="00F230F1">
        <w:rPr>
          <w:rFonts w:asciiTheme="majorBidi" w:eastAsia="Times New Roman" w:hAnsiTheme="majorBidi" w:cstheme="majorBidi"/>
          <w:sz w:val="20"/>
          <w:szCs w:val="20"/>
          <w:lang w:bidi="ar-KW"/>
        </w:rPr>
        <w:t xml:space="preserve"> est la suivante :</w:t>
      </w:r>
    </w:p>
    <w:p w14:paraId="2AD06282"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Fonts w:asciiTheme="majorBidi" w:eastAsia="Times New Roman" w:hAnsiTheme="majorBidi" w:cstheme="majorBidi"/>
          <w:sz w:val="20"/>
          <w:szCs w:val="20"/>
        </w:rPr>
        <w:t>"Le prophète se rendit dans une assemblée [</w:t>
      </w:r>
      <w:r w:rsidRPr="00F230F1">
        <w:rPr>
          <w:rFonts w:asciiTheme="majorBidi" w:eastAsia="Times New Roman" w:hAnsiTheme="majorBidi" w:cstheme="majorBidi"/>
          <w:i/>
          <w:iCs/>
          <w:sz w:val="20"/>
          <w:szCs w:val="20"/>
        </w:rPr>
        <w:t>nādī</w:t>
      </w:r>
      <w:r w:rsidRPr="00F230F1">
        <w:rPr>
          <w:rFonts w:asciiTheme="majorBidi" w:eastAsia="Times New Roman" w:hAnsiTheme="majorBidi" w:cstheme="majorBidi"/>
          <w:sz w:val="20"/>
          <w:szCs w:val="20"/>
        </w:rPr>
        <w:t>] de Quraychites païens. À ce moment-là, il</w:t>
      </w:r>
      <w:r w:rsidRPr="00F230F1">
        <w:rPr>
          <w:rFonts w:asciiTheme="majorBidi" w:eastAsia="Times New Roman" w:hAnsiTheme="majorBidi" w:cstheme="majorBidi"/>
          <w:i/>
          <w:iCs/>
          <w:sz w:val="20"/>
          <w:szCs w:val="20"/>
        </w:rPr>
        <w:t xml:space="preserve"> souhaita</w:t>
      </w:r>
      <w:r w:rsidRPr="00F230F1">
        <w:rPr>
          <w:rFonts w:asciiTheme="majorBidi" w:eastAsia="Times New Roman" w:hAnsiTheme="majorBidi" w:cstheme="majorBidi"/>
          <w:sz w:val="20"/>
          <w:szCs w:val="20"/>
        </w:rPr>
        <w:t xml:space="preserve"> que Dieu ne lui révèle pas des paroles qui pouvaient effaroucher les païens. Alors la sourate de l’Étoile lui fut révélée. Il la récita devant les païens. Lorsqu’il fut arrivé aux versets 19 et 20 (« [19] Ainsi, vous auriez vu Allât et al-‘Uzzâ [20] et Manât, cette autre troisième ? »), Satan vint et mit dans sa bouche ces paroles : « Voici ces sublimes </w:t>
      </w:r>
      <w:r w:rsidRPr="00F230F1">
        <w:rPr>
          <w:rFonts w:asciiTheme="majorBidi" w:eastAsia="Times New Roman" w:hAnsiTheme="majorBidi" w:cstheme="majorBidi"/>
          <w:i/>
          <w:iCs/>
          <w:sz w:val="20"/>
          <w:szCs w:val="20"/>
        </w:rPr>
        <w:t>gharāniqa</w:t>
      </w:r>
      <w:r w:rsidRPr="00F230F1">
        <w:rPr>
          <w:rFonts w:asciiTheme="majorBidi" w:eastAsia="Times New Roman" w:hAnsiTheme="majorBidi" w:cstheme="majorBidi"/>
          <w:sz w:val="20"/>
          <w:szCs w:val="20"/>
        </w:rPr>
        <w:t xml:space="preserve">, dont l’intercession doit être espérée ». Les païens furent très heureux de ces paroles et dirent : « il est arrivé à Muḥammad de louer nos divinités et d’en dire du bien ». Le prophète termina la sourate, puis il se prosterna, et les païens se prosternèrent à son exemple. Ensuite, l’archange Gabriel vint trouver le prophète et lui demande de réciter la sourate de l’Étoile. Quand Muḥammad en répétait les termes, Gabriel dit : « Ce n’est pas ainsi que je te l’ai transmise ? » Ayant trop peur de Dieu, le prophète fut très inquiet et triste. Ensuite, Dieu </w:t>
      </w:r>
      <w:r w:rsidRPr="00F230F1">
        <w:rPr>
          <w:rFonts w:asciiTheme="majorBidi" w:eastAsia="Times New Roman" w:hAnsiTheme="majorBidi" w:cstheme="majorBidi"/>
          <w:i/>
          <w:iCs/>
          <w:sz w:val="20"/>
          <w:szCs w:val="20"/>
        </w:rPr>
        <w:t>le consola</w:t>
      </w:r>
      <w:r w:rsidRPr="00F230F1">
        <w:rPr>
          <w:rFonts w:asciiTheme="majorBidi" w:eastAsia="Times New Roman" w:hAnsiTheme="majorBidi" w:cstheme="majorBidi"/>
          <w:sz w:val="20"/>
          <w:szCs w:val="20"/>
        </w:rPr>
        <w:t xml:space="preserve"> en lui révélant le verset suivant (Al-Ḥajj, 52) </w:t>
      </w:r>
      <w:r w:rsidRPr="00F230F1">
        <w:rPr>
          <w:rFonts w:asciiTheme="majorBidi" w:eastAsia="Times New Roman" w:hAnsiTheme="majorBidi" w:cstheme="majorBidi"/>
          <w:sz w:val="20"/>
          <w:szCs w:val="20"/>
          <w:lang w:bidi="ar-KW"/>
        </w:rPr>
        <w:t>: « Nous n’avons pas envoyé avant toi d’envoyé ou de prophète en qui Satan, quand ils éprouvaient une aspiration, n’y mêlât de ses projections. Mais Dieu abroge les projections de Satan, et de plus rend péremptoires Ses propres signes »</w:t>
      </w:r>
      <w:r w:rsidRPr="00F230F1">
        <w:rPr>
          <w:rFonts w:asciiTheme="majorBidi" w:eastAsia="Times New Roman" w:hAnsiTheme="majorBidi" w:cstheme="majorBidi"/>
          <w:sz w:val="20"/>
          <w:szCs w:val="20"/>
        </w:rPr>
        <w:t>."</w:t>
      </w:r>
    </w:p>
  </w:footnote>
  <w:footnote w:id="197">
    <w:p w14:paraId="175FD465" w14:textId="7777777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Al-ʿArābli, ʿAbd al-Majīd Abū Muslim, « </w:t>
      </w:r>
      <w:r w:rsidRPr="00F230F1">
        <w:rPr>
          <w:rFonts w:asciiTheme="majorBidi" w:hAnsiTheme="majorBidi" w:cstheme="majorBidi"/>
          <w:i/>
          <w:iCs/>
          <w:sz w:val="20"/>
          <w:szCs w:val="20"/>
          <w:lang w:bidi="ar-AE"/>
        </w:rPr>
        <w:t>Asrār ḥadhf al-yāʾ fī l-Qurʾān</w:t>
      </w:r>
      <w:r w:rsidRPr="00F230F1">
        <w:rPr>
          <w:rFonts w:asciiTheme="majorBidi" w:hAnsiTheme="majorBidi" w:cstheme="majorBidi"/>
          <w:sz w:val="20"/>
          <w:szCs w:val="20"/>
          <w:lang w:bidi="ar-AE"/>
        </w:rPr>
        <w:t xml:space="preserve"> » [« Les secrets de l’omission du pronom </w:t>
      </w:r>
      <w:r w:rsidRPr="00F230F1">
        <w:rPr>
          <w:rFonts w:asciiTheme="majorBidi" w:hAnsiTheme="majorBidi" w:cstheme="majorBidi"/>
          <w:i/>
          <w:iCs/>
          <w:sz w:val="20"/>
          <w:szCs w:val="20"/>
          <w:lang w:bidi="ar-AE"/>
        </w:rPr>
        <w:t>ī</w:t>
      </w:r>
      <w:r w:rsidRPr="00F230F1">
        <w:rPr>
          <w:rFonts w:asciiTheme="majorBidi" w:hAnsiTheme="majorBidi" w:cstheme="majorBidi"/>
          <w:sz w:val="20"/>
          <w:szCs w:val="20"/>
          <w:lang w:bidi="ar-AE"/>
        </w:rPr>
        <w:t xml:space="preserve"> dans le Coran »], site Multaqā Ahl at-Tafsīr, </w:t>
      </w:r>
      <w:hyperlink r:id="rId70" w:history="1">
        <w:r w:rsidRPr="00F230F1">
          <w:rPr>
            <w:rStyle w:val="Lienhypertexte"/>
            <w:rFonts w:asciiTheme="majorBidi" w:hAnsiTheme="majorBidi" w:cstheme="majorBidi"/>
            <w:sz w:val="20"/>
            <w:szCs w:val="20"/>
          </w:rPr>
          <w:t>http://vb.tafsir.net/tafsir21145/</w:t>
        </w:r>
      </w:hyperlink>
      <w:r w:rsidRPr="00F230F1">
        <w:rPr>
          <w:rFonts w:asciiTheme="majorBidi" w:hAnsiTheme="majorBidi" w:cstheme="majorBidi"/>
          <w:sz w:val="20"/>
          <w:szCs w:val="20"/>
          <w:lang w:eastAsia="fr-FR" w:bidi="ar-EG"/>
        </w:rPr>
        <w:t xml:space="preserve"> (consulté le 20 juillet 2017).</w:t>
      </w:r>
    </w:p>
  </w:footnote>
  <w:footnote w:id="198">
    <w:p w14:paraId="5263DEE3" w14:textId="77777777" w:rsidR="009C3BB9" w:rsidRPr="00F230F1" w:rsidRDefault="009C3BB9" w:rsidP="00F230F1">
      <w:pPr>
        <w:pStyle w:val="n1"/>
        <w:bidi w:val="0"/>
        <w:contextualSpacing/>
        <w:jc w:val="both"/>
        <w:rPr>
          <w:rFonts w:asciiTheme="majorBidi" w:hAnsiTheme="majorBidi" w:cstheme="majorBidi"/>
          <w:sz w:val="20"/>
          <w:szCs w:val="20"/>
          <w:lang w:eastAsia="fr-FR"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lang w:eastAsia="fr-FR" w:bidi="ar-EG"/>
        </w:rPr>
        <w:t xml:space="preserve">Dans un seul cas, le pronom possessif suffixal </w:t>
      </w:r>
      <w:r w:rsidRPr="00F230F1">
        <w:rPr>
          <w:rFonts w:asciiTheme="majorBidi" w:hAnsiTheme="majorBidi" w:cstheme="majorBidi"/>
          <w:i/>
          <w:iCs/>
          <w:sz w:val="20"/>
          <w:szCs w:val="20"/>
          <w:lang w:eastAsia="fr-FR" w:bidi="ar-EG"/>
        </w:rPr>
        <w:t>-ī</w:t>
      </w:r>
      <w:r w:rsidRPr="00F230F1">
        <w:rPr>
          <w:rFonts w:asciiTheme="majorBidi" w:hAnsiTheme="majorBidi" w:cstheme="majorBidi"/>
          <w:sz w:val="20"/>
          <w:szCs w:val="20"/>
          <w:lang w:eastAsia="fr-FR" w:bidi="ar-EG"/>
        </w:rPr>
        <w:t xml:space="preserve"> apparaît dans le mot</w:t>
      </w:r>
      <w:r w:rsidRPr="00F230F1">
        <w:rPr>
          <w:rFonts w:asciiTheme="majorBidi" w:hAnsiTheme="majorBidi" w:cstheme="majorBidi"/>
          <w:i/>
          <w:iCs/>
          <w:sz w:val="20"/>
          <w:szCs w:val="20"/>
          <w:lang w:eastAsia="fr-FR"/>
        </w:rPr>
        <w:t xml:space="preserve"> dīnī</w:t>
      </w:r>
      <w:r w:rsidRPr="00F230F1">
        <w:rPr>
          <w:rFonts w:asciiTheme="majorBidi" w:hAnsiTheme="majorBidi" w:cstheme="majorBidi"/>
          <w:sz w:val="20"/>
          <w:szCs w:val="20"/>
          <w:lang w:eastAsia="fr-FR" w:bidi="ar-EG"/>
        </w:rPr>
        <w:t xml:space="preserve"> à la fin du verset XXXIX, 14 (</w:t>
      </w:r>
      <w:r w:rsidRPr="00F230F1">
        <w:rPr>
          <w:rFonts w:asciiTheme="majorBidi" w:hAnsiTheme="majorBidi" w:cstheme="majorBidi"/>
          <w:i/>
          <w:iCs/>
          <w:sz w:val="20"/>
          <w:szCs w:val="20"/>
          <w:lang w:eastAsia="fr-FR" w:bidi="ar-EG"/>
        </w:rPr>
        <w:t>Quli llāha aʿbudu mukhliṣan lahu dīn</w:t>
      </w:r>
      <w:r w:rsidRPr="00F230F1">
        <w:rPr>
          <w:rFonts w:asciiTheme="majorBidi" w:hAnsiTheme="majorBidi" w:cstheme="majorBidi"/>
          <w:b/>
          <w:bCs/>
          <w:i/>
          <w:iCs/>
          <w:sz w:val="20"/>
          <w:szCs w:val="20"/>
          <w:lang w:eastAsia="fr-FR" w:bidi="ar-EG"/>
        </w:rPr>
        <w:t>ī</w:t>
      </w:r>
      <w:r w:rsidRPr="00F230F1">
        <w:rPr>
          <w:rFonts w:asciiTheme="majorBidi" w:hAnsiTheme="majorBidi" w:cstheme="majorBidi"/>
          <w:i/>
          <w:iCs/>
          <w:sz w:val="20"/>
          <w:szCs w:val="20"/>
          <w:lang w:eastAsia="fr-FR" w:bidi="ar-EG"/>
        </w:rPr>
        <w:t>.</w:t>
      </w:r>
      <w:r w:rsidRPr="00F230F1">
        <w:rPr>
          <w:rFonts w:asciiTheme="majorBidi" w:hAnsiTheme="majorBidi" w:cstheme="majorBidi"/>
          <w:sz w:val="20"/>
          <w:szCs w:val="20"/>
          <w:lang w:eastAsia="fr-FR" w:bidi="ar-EG"/>
        </w:rPr>
        <w:t xml:space="preserve"> [Dis : « Dieu j’adore, en Lui vouant la religion foncière [</w:t>
      </w:r>
      <w:r w:rsidRPr="00F230F1">
        <w:rPr>
          <w:rFonts w:asciiTheme="majorBidi" w:hAnsiTheme="majorBidi" w:cstheme="majorBidi"/>
          <w:i/>
          <w:iCs/>
          <w:sz w:val="20"/>
          <w:szCs w:val="20"/>
          <w:lang w:eastAsia="fr-FR" w:bidi="ar-EG"/>
        </w:rPr>
        <w:t>litt.</w:t>
      </w:r>
      <w:r w:rsidRPr="00F230F1">
        <w:rPr>
          <w:rFonts w:asciiTheme="majorBidi" w:hAnsiTheme="majorBidi" w:cstheme="majorBidi"/>
          <w:sz w:val="20"/>
          <w:szCs w:val="20"/>
          <w:lang w:eastAsia="fr-FR" w:bidi="ar-EG"/>
        </w:rPr>
        <w:t xml:space="preserve"> : </w:t>
      </w:r>
      <w:r w:rsidRPr="00F230F1">
        <w:rPr>
          <w:rFonts w:asciiTheme="majorBidi" w:hAnsiTheme="majorBidi" w:cstheme="majorBidi"/>
          <w:b/>
          <w:bCs/>
          <w:sz w:val="20"/>
          <w:szCs w:val="20"/>
          <w:lang w:eastAsia="fr-FR" w:bidi="ar-EG"/>
        </w:rPr>
        <w:t>ma</w:t>
      </w:r>
      <w:r w:rsidRPr="00F230F1">
        <w:rPr>
          <w:rFonts w:asciiTheme="majorBidi" w:hAnsiTheme="majorBidi" w:cstheme="majorBidi"/>
          <w:sz w:val="20"/>
          <w:szCs w:val="20"/>
          <w:lang w:eastAsia="fr-FR" w:bidi="ar-EG"/>
        </w:rPr>
        <w:t xml:space="preserve"> religion]. »]). Ce verset-là ne ferait pas partie, semble-t-il, du corps de la sourate, mais il s’agirait ou bien d’un commentaire du verset précédent 11, ou bien d’une phrase tirée d’un autre contexte et d’un autre discours, ou bien d’un verset incomplet.</w:t>
      </w:r>
    </w:p>
  </w:footnote>
  <w:footnote w:id="199">
    <w:p w14:paraId="5C6A8D25" w14:textId="77777777" w:rsidR="009C3BB9" w:rsidRPr="00F230F1" w:rsidRDefault="009C3BB9" w:rsidP="00F230F1">
      <w:pPr>
        <w:pStyle w:val="n1"/>
        <w:bidi w:val="0"/>
        <w:contextualSpacing/>
        <w:jc w:val="both"/>
        <w:rPr>
          <w:rFonts w:asciiTheme="majorBidi" w:hAnsiTheme="majorBidi" w:cstheme="majorBidi"/>
          <w:sz w:val="20"/>
          <w:szCs w:val="20"/>
          <w:rtl/>
          <w:lang w:eastAsia="fr-FR"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lang w:eastAsia="fr-FR"/>
        </w:rPr>
        <w:t xml:space="preserve">Le mot </w:t>
      </w:r>
      <w:r w:rsidRPr="00F230F1">
        <w:rPr>
          <w:rFonts w:asciiTheme="majorBidi" w:hAnsiTheme="majorBidi" w:cstheme="majorBidi"/>
          <w:i/>
          <w:iCs/>
          <w:sz w:val="20"/>
          <w:szCs w:val="20"/>
          <w:lang w:eastAsia="fr-FR"/>
        </w:rPr>
        <w:t>ʿibād</w:t>
      </w:r>
      <w:r w:rsidRPr="00F230F1">
        <w:rPr>
          <w:rFonts w:asciiTheme="majorBidi" w:hAnsiTheme="majorBidi" w:cstheme="majorBidi"/>
          <w:sz w:val="20"/>
          <w:szCs w:val="20"/>
          <w:lang w:eastAsia="fr-FR"/>
        </w:rPr>
        <w:t>[</w:t>
      </w:r>
      <w:r w:rsidRPr="00F230F1">
        <w:rPr>
          <w:rFonts w:asciiTheme="majorBidi" w:hAnsiTheme="majorBidi" w:cstheme="majorBidi"/>
          <w:i/>
          <w:iCs/>
          <w:sz w:val="20"/>
          <w:szCs w:val="20"/>
          <w:lang w:eastAsia="fr-FR"/>
        </w:rPr>
        <w:t>ī</w:t>
      </w:r>
      <w:r w:rsidRPr="00F230F1">
        <w:rPr>
          <w:rFonts w:asciiTheme="majorBidi" w:hAnsiTheme="majorBidi" w:cstheme="majorBidi"/>
          <w:sz w:val="20"/>
          <w:szCs w:val="20"/>
          <w:lang w:eastAsia="fr-FR"/>
        </w:rPr>
        <w:t xml:space="preserve">] (Mes serviteurs) apparaît exceptionnellement sans </w:t>
      </w:r>
      <w:r w:rsidRPr="00F230F1">
        <w:rPr>
          <w:rFonts w:asciiTheme="majorBidi" w:hAnsiTheme="majorBidi" w:cstheme="majorBidi"/>
          <w:i/>
          <w:iCs/>
          <w:sz w:val="20"/>
          <w:szCs w:val="20"/>
          <w:lang w:eastAsia="fr-FR"/>
        </w:rPr>
        <w:t>-ī</w:t>
      </w:r>
      <w:r w:rsidRPr="00F230F1">
        <w:rPr>
          <w:rFonts w:asciiTheme="majorBidi" w:hAnsiTheme="majorBidi" w:cstheme="majorBidi"/>
          <w:sz w:val="20"/>
          <w:szCs w:val="20"/>
          <w:lang w:eastAsia="fr-FR"/>
        </w:rPr>
        <w:t xml:space="preserve"> au milieu des trois versets XXXIX, 10 et 16 ; et XLIII, 68</w:t>
      </w:r>
      <w:r w:rsidRPr="00F230F1">
        <w:rPr>
          <w:rFonts w:asciiTheme="majorBidi" w:hAnsiTheme="majorBidi" w:cstheme="majorBidi"/>
          <w:sz w:val="20"/>
          <w:szCs w:val="20"/>
          <w:lang w:eastAsia="fr-FR" w:bidi="ar-EG"/>
        </w:rPr>
        <w:t>. Il s’agirait là d’un procédé d’élision proche du vocatif apocopé (</w:t>
      </w:r>
      <w:r w:rsidRPr="00F230F1">
        <w:rPr>
          <w:rFonts w:asciiTheme="majorBidi" w:hAnsiTheme="majorBidi" w:cstheme="majorBidi"/>
          <w:i/>
          <w:iCs/>
          <w:sz w:val="20"/>
          <w:szCs w:val="20"/>
          <w:lang w:eastAsia="fr-FR" w:bidi="ar-EG"/>
        </w:rPr>
        <w:t>tarkhīm al-munādā</w:t>
      </w:r>
      <w:r w:rsidRPr="00F230F1">
        <w:rPr>
          <w:rFonts w:asciiTheme="majorBidi" w:hAnsiTheme="majorBidi" w:cstheme="majorBidi"/>
          <w:sz w:val="20"/>
          <w:szCs w:val="20"/>
          <w:lang w:eastAsia="fr-FR" w:bidi="ar-EG"/>
        </w:rPr>
        <w:t xml:space="preserve">) ; ou bien il s’agit d’une erreur ou d’une omission. Le grammairien Ibn Yaʿīsh An-Naḥawī (1159-1245), dans </w:t>
      </w:r>
      <w:r w:rsidRPr="00F230F1">
        <w:rPr>
          <w:rFonts w:asciiTheme="majorBidi" w:hAnsiTheme="majorBidi" w:cstheme="majorBidi"/>
          <w:i/>
          <w:iCs/>
          <w:sz w:val="20"/>
          <w:szCs w:val="20"/>
          <w:lang w:eastAsia="fr-FR" w:bidi="ar-EG"/>
        </w:rPr>
        <w:t>Sharḥ al-Mufaṣṣal</w:t>
      </w:r>
      <w:r w:rsidRPr="00F230F1">
        <w:rPr>
          <w:rFonts w:asciiTheme="majorBidi" w:hAnsiTheme="majorBidi" w:cstheme="majorBidi"/>
          <w:sz w:val="20"/>
          <w:szCs w:val="20"/>
          <w:lang w:eastAsia="fr-FR" w:bidi="ar-EG"/>
        </w:rPr>
        <w:t xml:space="preserve"> (un livre qui commente </w:t>
      </w:r>
      <w:r w:rsidRPr="00F230F1">
        <w:rPr>
          <w:rFonts w:asciiTheme="majorBidi" w:hAnsiTheme="majorBidi" w:cstheme="majorBidi"/>
          <w:i/>
          <w:iCs/>
          <w:sz w:val="20"/>
          <w:szCs w:val="20"/>
          <w:lang w:eastAsia="fr-FR" w:bidi="ar-EG"/>
        </w:rPr>
        <w:t>Al-Mufaṣṣal</w:t>
      </w:r>
      <w:r w:rsidRPr="00F230F1">
        <w:rPr>
          <w:rFonts w:asciiTheme="majorBidi" w:hAnsiTheme="majorBidi" w:cstheme="majorBidi"/>
          <w:sz w:val="20"/>
          <w:szCs w:val="20"/>
          <w:lang w:eastAsia="fr-FR" w:bidi="ar-EG"/>
        </w:rPr>
        <w:t xml:space="preserve"> d’</w:t>
      </w:r>
      <w:r w:rsidRPr="00F230F1">
        <w:rPr>
          <w:rFonts w:asciiTheme="majorBidi" w:hAnsiTheme="majorBidi" w:cstheme="majorBidi"/>
          <w:smallCaps/>
          <w:sz w:val="20"/>
          <w:szCs w:val="20"/>
          <w:lang w:eastAsia="fr-FR" w:bidi="ar-EG"/>
        </w:rPr>
        <w:t>Az-Zamakhsharī</w:t>
      </w:r>
      <w:r w:rsidRPr="00F230F1">
        <w:rPr>
          <w:rFonts w:asciiTheme="majorBidi" w:hAnsiTheme="majorBidi" w:cstheme="majorBidi"/>
          <w:sz w:val="20"/>
          <w:szCs w:val="20"/>
          <w:lang w:eastAsia="fr-FR" w:bidi="ar-EG"/>
        </w:rPr>
        <w:t>), souligne que l’élision du pronom possessif du locuteur (</w:t>
      </w:r>
      <w:r w:rsidRPr="00F230F1">
        <w:rPr>
          <w:rFonts w:asciiTheme="majorBidi" w:hAnsiTheme="majorBidi" w:cstheme="majorBidi"/>
          <w:i/>
          <w:iCs/>
          <w:sz w:val="20"/>
          <w:szCs w:val="20"/>
          <w:lang w:eastAsia="fr-FR" w:bidi="ar-EG"/>
        </w:rPr>
        <w:t>-ī</w:t>
      </w:r>
      <w:r w:rsidRPr="00F230F1">
        <w:rPr>
          <w:rFonts w:asciiTheme="majorBidi" w:hAnsiTheme="majorBidi" w:cstheme="majorBidi"/>
          <w:sz w:val="20"/>
          <w:szCs w:val="20"/>
          <w:lang w:eastAsia="fr-FR" w:bidi="ar-EG"/>
        </w:rPr>
        <w:t xml:space="preserve">) au vocatif est plus courante. Ainsi, selon lui, il est plus éloquent de dire </w:t>
      </w:r>
      <w:r w:rsidRPr="00F230F1">
        <w:rPr>
          <w:rFonts w:asciiTheme="majorBidi" w:hAnsiTheme="majorBidi" w:cstheme="majorBidi"/>
          <w:i/>
          <w:iCs/>
          <w:sz w:val="20"/>
          <w:szCs w:val="20"/>
          <w:lang w:eastAsia="fr-FR" w:bidi="ar-EG"/>
        </w:rPr>
        <w:t>yā ʿibā</w:t>
      </w:r>
      <w:r w:rsidRPr="00F230F1">
        <w:rPr>
          <w:rFonts w:asciiTheme="majorBidi" w:hAnsiTheme="majorBidi" w:cstheme="majorBidi"/>
          <w:b/>
          <w:bCs/>
          <w:i/>
          <w:iCs/>
          <w:sz w:val="20"/>
          <w:szCs w:val="20"/>
          <w:lang w:eastAsia="fr-FR" w:bidi="ar-EG"/>
        </w:rPr>
        <w:t>d</w:t>
      </w:r>
      <w:r w:rsidRPr="00F230F1">
        <w:rPr>
          <w:rFonts w:asciiTheme="majorBidi" w:hAnsiTheme="majorBidi" w:cstheme="majorBidi"/>
          <w:sz w:val="20"/>
          <w:szCs w:val="20"/>
          <w:lang w:eastAsia="fr-FR" w:bidi="ar-EG"/>
        </w:rPr>
        <w:t>[</w:t>
      </w:r>
      <w:r w:rsidRPr="00F230F1">
        <w:rPr>
          <w:rFonts w:asciiTheme="majorBidi" w:hAnsiTheme="majorBidi" w:cstheme="majorBidi"/>
          <w:b/>
          <w:bCs/>
          <w:i/>
          <w:iCs/>
          <w:sz w:val="20"/>
          <w:szCs w:val="20"/>
          <w:lang w:eastAsia="fr-FR" w:bidi="ar-EG"/>
        </w:rPr>
        <w:t>i</w:t>
      </w:r>
      <w:r w:rsidRPr="00F230F1">
        <w:rPr>
          <w:rFonts w:asciiTheme="majorBidi" w:hAnsiTheme="majorBidi" w:cstheme="majorBidi"/>
          <w:sz w:val="20"/>
          <w:szCs w:val="20"/>
          <w:lang w:eastAsia="fr-FR" w:bidi="ar-EG"/>
        </w:rPr>
        <w:t>], au lieu de « </w:t>
      </w:r>
      <w:r w:rsidRPr="00F230F1">
        <w:rPr>
          <w:rFonts w:asciiTheme="majorBidi" w:hAnsiTheme="majorBidi" w:cstheme="majorBidi"/>
          <w:i/>
          <w:iCs/>
          <w:sz w:val="20"/>
          <w:szCs w:val="20"/>
          <w:lang w:eastAsia="fr-FR" w:bidi="ar-EG"/>
        </w:rPr>
        <w:t>yā ʿibād</w:t>
      </w:r>
      <w:r w:rsidRPr="00F230F1">
        <w:rPr>
          <w:rFonts w:asciiTheme="majorBidi" w:hAnsiTheme="majorBidi" w:cstheme="majorBidi"/>
          <w:b/>
          <w:bCs/>
          <w:i/>
          <w:iCs/>
          <w:sz w:val="20"/>
          <w:szCs w:val="20"/>
          <w:lang w:eastAsia="fr-FR" w:bidi="ar-EG"/>
        </w:rPr>
        <w:t>ī</w:t>
      </w:r>
      <w:r w:rsidRPr="00F230F1">
        <w:rPr>
          <w:rFonts w:asciiTheme="majorBidi" w:hAnsiTheme="majorBidi" w:cstheme="majorBidi"/>
          <w:sz w:val="20"/>
          <w:szCs w:val="20"/>
          <w:lang w:eastAsia="fr-FR" w:bidi="ar-EG"/>
        </w:rPr>
        <w:t> ».</w:t>
      </w:r>
    </w:p>
  </w:footnote>
  <w:footnote w:id="200">
    <w:p w14:paraId="7EB5A6BE" w14:textId="77777777" w:rsidR="009C3BB9" w:rsidRPr="00F230F1" w:rsidRDefault="009C3BB9" w:rsidP="00F230F1">
      <w:pPr>
        <w:tabs>
          <w:tab w:val="right" w:pos="9360"/>
        </w:tabs>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rPr>
        <w:t xml:space="preserve">Az-Zarkashī, </w:t>
      </w:r>
      <w:r w:rsidRPr="00F230F1">
        <w:rPr>
          <w:rFonts w:asciiTheme="majorBidi" w:eastAsia="Times New Roman" w:hAnsiTheme="majorBidi" w:cstheme="majorBidi"/>
          <w:i/>
          <w:iCs/>
          <w:sz w:val="20"/>
          <w:szCs w:val="20"/>
        </w:rPr>
        <w:t>Al-Burhān fī ʿulūm al-Qurʾān</w:t>
      </w:r>
      <w:r w:rsidRPr="00F230F1">
        <w:rPr>
          <w:rFonts w:asciiTheme="majorBidi" w:hAnsiTheme="majorBidi" w:cstheme="majorBidi"/>
          <w:sz w:val="20"/>
          <w:szCs w:val="20"/>
          <w:lang w:bidi="ar-KW"/>
        </w:rPr>
        <w:t>, Maktabat Dār at-Turāth, revu par : Muḥammad Abū al-Faḍl Ibrahīm, le Caire, volume 1, p. 187.</w:t>
      </w:r>
    </w:p>
  </w:footnote>
  <w:footnote w:id="201">
    <w:p w14:paraId="19CAD33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Aḥmad Mukhtār ʿUmar </w:t>
      </w:r>
      <w:r w:rsidRPr="00F230F1">
        <w:rPr>
          <w:rFonts w:asciiTheme="majorBidi" w:eastAsia="Times New Roman" w:hAnsiTheme="majorBidi" w:cstheme="majorBidi"/>
          <w:i/>
          <w:sz w:val="20"/>
          <w:szCs w:val="20"/>
        </w:rPr>
        <w:t>et al</w:t>
      </w:r>
      <w:r w:rsidRPr="00F230F1">
        <w:rPr>
          <w:rFonts w:asciiTheme="majorBidi" w:eastAsia="Times New Roman" w:hAnsiTheme="majorBidi" w:cstheme="majorBidi"/>
          <w:sz w:val="20"/>
          <w:szCs w:val="20"/>
        </w:rPr>
        <w:t xml:space="preserve">., </w:t>
      </w:r>
      <w:r w:rsidRPr="00F230F1">
        <w:rPr>
          <w:rFonts w:asciiTheme="majorBidi" w:hAnsiTheme="majorBidi" w:cstheme="majorBidi"/>
          <w:i/>
          <w:iCs/>
          <w:sz w:val="20"/>
          <w:szCs w:val="20"/>
        </w:rPr>
        <w:t>Al-Mu</w:t>
      </w:r>
      <w:r w:rsidRPr="00F230F1">
        <w:rPr>
          <w:rFonts w:asciiTheme="majorBidi" w:eastAsia="Times New Roman" w:hAnsiTheme="majorBidi" w:cstheme="majorBidi"/>
          <w:i/>
          <w:iCs/>
          <w:sz w:val="20"/>
          <w:szCs w:val="20"/>
        </w:rPr>
        <w:t>ʿjam al-mawsūʿī li-alfāẓ al-Qurʾān al-karīm wa-qirāʾātu-hu</w:t>
      </w:r>
      <w:r w:rsidRPr="00F230F1">
        <w:rPr>
          <w:rFonts w:asciiTheme="majorBidi" w:eastAsia="Times New Roman" w:hAnsiTheme="majorBidi" w:cstheme="majorBidi"/>
          <w:sz w:val="20"/>
          <w:szCs w:val="20"/>
        </w:rPr>
        <w:t xml:space="preserve"> [Dictionnaire encyclopédique des termes et des lectures du Coran sublime], , Muʾassasat Suṭūr al-maʿrifīya, Riyad, 2002, p. 821.</w:t>
      </w:r>
    </w:p>
  </w:footnote>
  <w:footnote w:id="202">
    <w:p w14:paraId="1515B92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ʿAzīza Fawwāl Bābtī, </w:t>
      </w:r>
      <w:r w:rsidRPr="00F230F1">
        <w:rPr>
          <w:rFonts w:asciiTheme="majorBidi" w:hAnsiTheme="majorBidi" w:cstheme="majorBidi"/>
          <w:i/>
          <w:iCs/>
          <w:sz w:val="20"/>
          <w:szCs w:val="20"/>
        </w:rPr>
        <w:t>Al-Mu</w:t>
      </w:r>
      <w:r w:rsidRPr="00F230F1">
        <w:rPr>
          <w:rFonts w:asciiTheme="majorBidi" w:eastAsia="Times New Roman" w:hAnsiTheme="majorBidi" w:cstheme="majorBidi"/>
          <w:i/>
          <w:iCs/>
          <w:sz w:val="20"/>
          <w:szCs w:val="20"/>
        </w:rPr>
        <w:t>ʿjam al-mufaṣṣal fī n-naḥw al-ʿarabī</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sz w:val="20"/>
          <w:szCs w:val="20"/>
          <w:lang w:eastAsia="fr-FR"/>
        </w:rPr>
        <w:t>[</w:t>
      </w:r>
      <w:r w:rsidRPr="00F230F1">
        <w:rPr>
          <w:rFonts w:asciiTheme="majorBidi" w:eastAsia="Times New Roman" w:hAnsiTheme="majorBidi" w:cstheme="majorBidi"/>
          <w:i/>
          <w:iCs/>
          <w:sz w:val="20"/>
          <w:szCs w:val="20"/>
          <w:lang w:eastAsia="fr-FR"/>
        </w:rPr>
        <w:t>Dictionnaire détaillé de grammaire arabe</w:t>
      </w:r>
      <w:r w:rsidRPr="00F230F1">
        <w:rPr>
          <w:rFonts w:asciiTheme="majorBidi" w:eastAsia="Times New Roman" w:hAnsiTheme="majorBidi" w:cstheme="majorBidi"/>
          <w:sz w:val="20"/>
          <w:szCs w:val="20"/>
          <w:lang w:eastAsia="fr-FR"/>
        </w:rPr>
        <w:t>]</w:t>
      </w:r>
      <w:r w:rsidRPr="00F230F1">
        <w:rPr>
          <w:rFonts w:asciiTheme="majorBidi" w:eastAsia="Times New Roman" w:hAnsiTheme="majorBidi" w:cstheme="majorBidi"/>
          <w:sz w:val="20"/>
          <w:szCs w:val="20"/>
        </w:rPr>
        <w:t xml:space="preserve">, Dār al-Kutub al-ʿilmīya, Beyrouth, 1992, 2 vols. Dans le vol. I, p. 47, l’auteur indique que les </w:t>
      </w:r>
      <w:r w:rsidRPr="00F230F1">
        <w:rPr>
          <w:rFonts w:asciiTheme="majorBidi" w:eastAsia="Times New Roman" w:hAnsiTheme="majorBidi" w:cstheme="majorBidi"/>
          <w:i/>
          <w:iCs/>
          <w:sz w:val="20"/>
          <w:szCs w:val="20"/>
        </w:rPr>
        <w:t>ḥurūf al-ibtidāʾ</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sz w:val="20"/>
          <w:szCs w:val="20"/>
          <w:lang w:eastAsia="fr-FR"/>
        </w:rPr>
        <w:t>[</w:t>
      </w:r>
      <w:r w:rsidRPr="00F230F1">
        <w:rPr>
          <w:rFonts w:asciiTheme="majorBidi" w:eastAsia="Times New Roman" w:hAnsiTheme="majorBidi" w:cstheme="majorBidi"/>
          <w:i/>
          <w:iCs/>
          <w:sz w:val="20"/>
          <w:szCs w:val="20"/>
          <w:lang w:eastAsia="fr-FR"/>
        </w:rPr>
        <w:t>les mots-outils du début de la phrase</w:t>
      </w:r>
      <w:r w:rsidRPr="00F230F1">
        <w:rPr>
          <w:rFonts w:asciiTheme="majorBidi" w:eastAsia="Times New Roman" w:hAnsiTheme="majorBidi" w:cstheme="majorBidi"/>
          <w:sz w:val="20"/>
          <w:szCs w:val="20"/>
          <w:lang w:eastAsia="fr-FR"/>
        </w:rPr>
        <w:t>] sont : </w:t>
      </w:r>
      <w:r w:rsidRPr="00F230F1">
        <w:rPr>
          <w:rFonts w:asciiTheme="majorBidi" w:eastAsia="Times New Roman" w:hAnsiTheme="majorBidi" w:cstheme="majorBidi"/>
          <w:i/>
          <w:iCs/>
          <w:sz w:val="20"/>
          <w:szCs w:val="20"/>
        </w:rPr>
        <w:t>inna</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in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anna</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lang w:eastAsia="fr-FR"/>
        </w:rPr>
        <w:t>ka</w:t>
      </w:r>
      <w:r w:rsidRPr="00F230F1">
        <w:rPr>
          <w:rFonts w:asciiTheme="majorBidi" w:eastAsia="Times New Roman" w:hAnsiTheme="majorBidi" w:cstheme="majorBidi"/>
          <w:i/>
          <w:iCs/>
          <w:sz w:val="20"/>
          <w:szCs w:val="20"/>
        </w:rPr>
        <w:t>ʾanna</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lākinna</w:t>
      </w:r>
      <w:r w:rsidRPr="00F230F1">
        <w:rPr>
          <w:rFonts w:asciiTheme="majorBidi" w:eastAsia="Times New Roman" w:hAnsiTheme="majorBidi" w:cstheme="majorBidi"/>
          <w:sz w:val="20"/>
          <w:szCs w:val="20"/>
        </w:rPr>
        <w:t>,</w:t>
      </w:r>
      <w:r w:rsidRPr="00F230F1">
        <w:rPr>
          <w:rFonts w:asciiTheme="majorBidi" w:eastAsia="Times New Roman" w:hAnsiTheme="majorBidi" w:cstheme="majorBidi"/>
          <w:sz w:val="20"/>
          <w:szCs w:val="20"/>
          <w:lang w:eastAsia="fr-FR"/>
        </w:rPr>
        <w:t> </w:t>
      </w:r>
      <w:r w:rsidRPr="00F230F1">
        <w:rPr>
          <w:rFonts w:asciiTheme="majorBidi" w:eastAsia="Times New Roman" w:hAnsiTheme="majorBidi" w:cstheme="majorBidi"/>
          <w:i/>
          <w:iCs/>
          <w:sz w:val="20"/>
          <w:szCs w:val="20"/>
        </w:rPr>
        <w:t>lākin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layta</w:t>
      </w:r>
      <w:r w:rsidRPr="00F230F1">
        <w:rPr>
          <w:rFonts w:asciiTheme="majorBidi" w:eastAsia="Times New Roman" w:hAnsiTheme="majorBidi" w:cstheme="majorBidi"/>
          <w:sz w:val="20"/>
          <w:szCs w:val="20"/>
        </w:rPr>
        <w:t xml:space="preserve"> et</w:t>
      </w:r>
      <w:r w:rsidRPr="00F230F1">
        <w:rPr>
          <w:rFonts w:asciiTheme="majorBidi" w:eastAsia="Times New Roman" w:hAnsiTheme="majorBidi" w:cstheme="majorBidi"/>
          <w:sz w:val="20"/>
          <w:szCs w:val="20"/>
          <w:lang w:eastAsia="fr-FR"/>
        </w:rPr>
        <w:t> </w:t>
      </w:r>
      <w:r w:rsidRPr="00F230F1">
        <w:rPr>
          <w:rFonts w:asciiTheme="majorBidi" w:eastAsia="Times New Roman" w:hAnsiTheme="majorBidi" w:cstheme="majorBidi"/>
          <w:i/>
          <w:iCs/>
          <w:sz w:val="20"/>
          <w:szCs w:val="20"/>
        </w:rPr>
        <w:t>laʿalla</w:t>
      </w:r>
      <w:r w:rsidRPr="00F230F1">
        <w:rPr>
          <w:rFonts w:asciiTheme="majorBidi" w:hAnsiTheme="majorBidi" w:cstheme="majorBidi"/>
          <w:sz w:val="20"/>
          <w:szCs w:val="20"/>
        </w:rPr>
        <w:t>.</w:t>
      </w:r>
    </w:p>
  </w:footnote>
  <w:footnote w:id="203">
    <w:p w14:paraId="7D6BD9C9" w14:textId="7ECBBCAB" w:rsidR="009C3BB9" w:rsidRPr="00F230F1" w:rsidRDefault="009C3BB9" w:rsidP="00F230F1">
      <w:pPr>
        <w:pStyle w:val="Notedebasdepage"/>
        <w:contextualSpacing/>
        <w:jc w:val="both"/>
        <w:rPr>
          <w:rFonts w:asciiTheme="majorBidi" w:eastAsia="Times New Roman" w:hAnsiTheme="majorBidi" w:cstheme="majorBidi"/>
          <w:sz w:val="20"/>
          <w:szCs w:val="20"/>
          <w:lang w:eastAsia="fr-FR" w:bidi="ar-AE"/>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lang w:eastAsia="fr-FR" w:bidi="ar-AE"/>
        </w:rPr>
        <w:t xml:space="preserve"> Claude Gilliot, « André Miquel, </w:t>
      </w:r>
      <w:r w:rsidRPr="00F230F1">
        <w:rPr>
          <w:rFonts w:asciiTheme="majorBidi" w:eastAsia="Times New Roman" w:hAnsiTheme="majorBidi" w:cstheme="majorBidi"/>
          <w:i/>
          <w:iCs/>
          <w:sz w:val="20"/>
          <w:szCs w:val="20"/>
          <w:lang w:eastAsia="fr-FR" w:bidi="ar-AE"/>
        </w:rPr>
        <w:t>L’Événement</w:t>
      </w:r>
      <w:r w:rsidRPr="00F230F1">
        <w:rPr>
          <w:rFonts w:asciiTheme="majorBidi" w:eastAsia="Times New Roman" w:hAnsiTheme="majorBidi" w:cstheme="majorBidi"/>
          <w:sz w:val="20"/>
          <w:szCs w:val="20"/>
          <w:lang w:eastAsia="fr-FR" w:bidi="ar-AE"/>
        </w:rPr>
        <w:t xml:space="preserve"> », </w:t>
      </w:r>
      <w:r w:rsidRPr="00F230F1">
        <w:rPr>
          <w:rFonts w:asciiTheme="majorBidi" w:eastAsia="Times New Roman" w:hAnsiTheme="majorBidi" w:cstheme="majorBidi"/>
          <w:i/>
          <w:sz w:val="20"/>
          <w:szCs w:val="20"/>
          <w:lang w:eastAsia="fr-FR" w:bidi="ar-AE"/>
        </w:rPr>
        <w:t>Revue du monde musulman et de la Méditerranée</w:t>
      </w:r>
      <w:r w:rsidRPr="00F230F1">
        <w:rPr>
          <w:rFonts w:asciiTheme="majorBidi" w:eastAsia="Times New Roman" w:hAnsiTheme="majorBidi" w:cstheme="majorBidi"/>
          <w:sz w:val="20"/>
          <w:szCs w:val="20"/>
          <w:lang w:eastAsia="fr-FR" w:bidi="ar-AE"/>
        </w:rPr>
        <w:t>, vol. 68 (1993) n° 1, p. 295.</w:t>
      </w:r>
    </w:p>
  </w:footnote>
  <w:footnote w:id="204">
    <w:p w14:paraId="2D8EFA11"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Sourate </w:t>
      </w:r>
      <w:r w:rsidRPr="00F230F1">
        <w:rPr>
          <w:rFonts w:asciiTheme="majorBidi" w:hAnsiTheme="majorBidi" w:cstheme="majorBidi"/>
          <w:i/>
          <w:iCs/>
          <w:sz w:val="20"/>
          <w:szCs w:val="20"/>
          <w:shd w:val="clear" w:color="auto" w:fill="FFFFFF"/>
          <w:lang w:bidi="ar-KW"/>
        </w:rPr>
        <w:t>Aṣ-Ṣāffāt</w:t>
      </w:r>
      <w:r w:rsidRPr="00F230F1">
        <w:rPr>
          <w:rFonts w:asciiTheme="majorBidi" w:hAnsiTheme="majorBidi" w:cstheme="majorBidi"/>
          <w:sz w:val="20"/>
          <w:szCs w:val="20"/>
          <w:shd w:val="clear" w:color="auto" w:fill="FFFFFF"/>
          <w:lang w:bidi="ar-KW"/>
        </w:rPr>
        <w:t xml:space="preserve">, </w:t>
      </w:r>
      <w:r w:rsidRPr="00F230F1">
        <w:rPr>
          <w:rFonts w:asciiTheme="majorBidi" w:hAnsiTheme="majorBidi" w:cstheme="majorBidi"/>
          <w:b/>
          <w:bCs/>
          <w:sz w:val="20"/>
          <w:szCs w:val="20"/>
        </w:rPr>
        <w:t>[</w:t>
      </w:r>
      <w:r w:rsidRPr="00F230F1">
        <w:rPr>
          <w:rFonts w:asciiTheme="majorBidi" w:hAnsiTheme="majorBidi" w:cstheme="majorBidi"/>
          <w:i/>
          <w:iCs/>
          <w:sz w:val="20"/>
          <w:szCs w:val="20"/>
          <w:shd w:val="clear" w:color="auto" w:fill="FFFFFF"/>
          <w:lang w:bidi="ar-KW"/>
        </w:rPr>
        <w:t>les Rangés</w:t>
      </w:r>
      <w:r w:rsidRPr="00F230F1">
        <w:rPr>
          <w:rFonts w:asciiTheme="majorBidi" w:hAnsiTheme="majorBidi" w:cstheme="majorBidi"/>
          <w:b/>
          <w:bCs/>
          <w:sz w:val="20"/>
          <w:szCs w:val="20"/>
        </w:rPr>
        <w:t>]</w:t>
      </w:r>
      <w:r w:rsidRPr="00F230F1">
        <w:rPr>
          <w:rFonts w:asciiTheme="majorBidi" w:hAnsiTheme="majorBidi" w:cstheme="majorBidi"/>
          <w:sz w:val="20"/>
          <w:szCs w:val="20"/>
        </w:rPr>
        <w:t xml:space="preserve"> (sourate n°</w:t>
      </w:r>
      <w:r w:rsidRPr="00F230F1">
        <w:rPr>
          <w:rFonts w:asciiTheme="majorBidi" w:hAnsiTheme="majorBidi" w:cstheme="majorBidi"/>
          <w:sz w:val="20"/>
          <w:szCs w:val="20"/>
          <w:shd w:val="clear" w:color="auto" w:fill="FFFFFF"/>
          <w:lang w:bidi="ar-KW"/>
        </w:rPr>
        <w:t xml:space="preserve"> XXXVII), versets 101-107</w:t>
      </w:r>
      <w:r w:rsidRPr="00F230F1">
        <w:rPr>
          <w:rFonts w:asciiTheme="majorBidi" w:hAnsiTheme="majorBidi" w:cstheme="majorBidi"/>
          <w:sz w:val="20"/>
          <w:szCs w:val="20"/>
          <w:lang w:bidi="ar-AE"/>
        </w:rPr>
        <w:t> :</w:t>
      </w:r>
    </w:p>
    <w:p w14:paraId="611C365D"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StyleComplexeTraditionalArabicNoir1"/>
          <w:rFonts w:asciiTheme="majorBidi" w:hAnsiTheme="majorBidi" w:cstheme="majorBidi"/>
          <w:sz w:val="20"/>
          <w:szCs w:val="20"/>
        </w:rPr>
        <w:t>« </w:t>
      </w:r>
      <w:r w:rsidRPr="00F230F1">
        <w:rPr>
          <w:rStyle w:val="numverset1"/>
          <w:rFonts w:asciiTheme="majorBidi" w:hAnsiTheme="majorBidi" w:cstheme="majorBidi"/>
          <w:sz w:val="20"/>
          <w:szCs w:val="20"/>
        </w:rPr>
        <w:t>[101]</w:t>
      </w:r>
      <w:r w:rsidRPr="00F230F1">
        <w:rPr>
          <w:rFonts w:asciiTheme="majorBidi" w:hAnsiTheme="majorBidi" w:cstheme="majorBidi"/>
          <w:sz w:val="20"/>
          <w:szCs w:val="20"/>
        </w:rPr>
        <w:t xml:space="preserve"> </w:t>
      </w:r>
      <w:r w:rsidRPr="00F230F1">
        <w:rPr>
          <w:rStyle w:val="StyleComplexeTraditionalArabicNoir1"/>
          <w:rFonts w:asciiTheme="majorBidi" w:hAnsiTheme="majorBidi" w:cstheme="majorBidi"/>
          <w:sz w:val="20"/>
          <w:szCs w:val="20"/>
        </w:rPr>
        <w:t xml:space="preserve">Nous lui annonçâmes </w:t>
      </w:r>
      <w:r w:rsidRPr="00F230F1">
        <w:rPr>
          <w:rStyle w:val="StyleComplexeTraditionalArabicNoir1"/>
          <w:rFonts w:asciiTheme="majorBidi" w:hAnsiTheme="majorBidi" w:cstheme="majorBidi"/>
          <w:b/>
          <w:bCs/>
          <w:sz w:val="20"/>
          <w:szCs w:val="20"/>
        </w:rPr>
        <w:t>un garçon</w:t>
      </w:r>
      <w:r w:rsidRPr="00F230F1">
        <w:rPr>
          <w:rStyle w:val="StyleComplexeTraditionalArabicNoir1"/>
          <w:rFonts w:asciiTheme="majorBidi" w:hAnsiTheme="majorBidi" w:cstheme="majorBidi"/>
          <w:sz w:val="20"/>
          <w:szCs w:val="20"/>
        </w:rPr>
        <w:t xml:space="preserve"> </w:t>
      </w:r>
      <w:r w:rsidRPr="00F230F1">
        <w:rPr>
          <w:rFonts w:asciiTheme="majorBidi" w:hAnsiTheme="majorBidi" w:cstheme="majorBidi"/>
          <w:b/>
          <w:bCs/>
          <w:sz w:val="20"/>
          <w:szCs w:val="20"/>
        </w:rPr>
        <w:t xml:space="preserve">[ø] </w:t>
      </w:r>
      <w:r w:rsidRPr="00F230F1">
        <w:rPr>
          <w:rStyle w:val="StyleComplexeTraditionalArabicNoir1"/>
          <w:rFonts w:asciiTheme="majorBidi" w:hAnsiTheme="majorBidi" w:cstheme="majorBidi"/>
          <w:sz w:val="20"/>
          <w:szCs w:val="20"/>
        </w:rPr>
        <w:t>magnanime.</w:t>
      </w:r>
      <w:r w:rsidRPr="00F230F1">
        <w:rPr>
          <w:rFonts w:asciiTheme="majorBidi" w:hAnsiTheme="majorBidi" w:cstheme="majorBidi"/>
          <w:sz w:val="20"/>
          <w:szCs w:val="20"/>
        </w:rPr>
        <w:t xml:space="preserve"> </w:t>
      </w:r>
      <w:r w:rsidRPr="00F230F1">
        <w:rPr>
          <w:rStyle w:val="numverset1"/>
          <w:rFonts w:asciiTheme="majorBidi" w:hAnsiTheme="majorBidi" w:cstheme="majorBidi"/>
          <w:sz w:val="20"/>
          <w:szCs w:val="20"/>
        </w:rPr>
        <w:t>[102]</w:t>
      </w:r>
      <w:r w:rsidRPr="00F230F1">
        <w:rPr>
          <w:rFonts w:asciiTheme="majorBidi" w:hAnsiTheme="majorBidi" w:cstheme="majorBidi"/>
          <w:sz w:val="20"/>
          <w:szCs w:val="20"/>
        </w:rPr>
        <w:t xml:space="preserve"> </w:t>
      </w:r>
      <w:r w:rsidRPr="00F230F1">
        <w:rPr>
          <w:rStyle w:val="StyleComplexeTraditionalArabicNoir1"/>
          <w:rFonts w:asciiTheme="majorBidi" w:hAnsiTheme="majorBidi" w:cstheme="majorBidi"/>
          <w:sz w:val="20"/>
          <w:szCs w:val="20"/>
        </w:rPr>
        <w:t>Lorsqu’</w:t>
      </w:r>
      <w:r w:rsidRPr="00F230F1">
        <w:rPr>
          <w:rStyle w:val="StyleComplexeTraditionalArabicNoir1"/>
          <w:rFonts w:asciiTheme="majorBidi" w:hAnsiTheme="majorBidi" w:cstheme="majorBidi"/>
          <w:b/>
          <w:bCs/>
          <w:sz w:val="20"/>
          <w:szCs w:val="20"/>
        </w:rPr>
        <w:t>il</w:t>
      </w:r>
      <w:r w:rsidRPr="00F230F1">
        <w:rPr>
          <w:rStyle w:val="StyleComplexeTraditionalArabicNoir1"/>
          <w:rFonts w:asciiTheme="majorBidi" w:hAnsiTheme="majorBidi" w:cstheme="majorBidi"/>
          <w:sz w:val="20"/>
          <w:szCs w:val="20"/>
        </w:rPr>
        <w:t xml:space="preserve"> </w:t>
      </w:r>
      <w:r w:rsidRPr="00F230F1">
        <w:rPr>
          <w:rFonts w:asciiTheme="majorBidi" w:hAnsiTheme="majorBidi" w:cstheme="majorBidi"/>
          <w:b/>
          <w:bCs/>
          <w:sz w:val="20"/>
          <w:szCs w:val="20"/>
        </w:rPr>
        <w:t xml:space="preserve">[ø] </w:t>
      </w:r>
      <w:r w:rsidRPr="00F230F1">
        <w:rPr>
          <w:rStyle w:val="StyleComplexeTraditionalArabicNoir1"/>
          <w:rFonts w:asciiTheme="majorBidi" w:hAnsiTheme="majorBidi" w:cstheme="majorBidi"/>
          <w:sz w:val="20"/>
          <w:szCs w:val="20"/>
        </w:rPr>
        <w:t>parvint [à l’âge] de s’empresser avec lui, [Abraham] dit : « Ô mon fils</w:t>
      </w:r>
      <w:r w:rsidRPr="00F230F1">
        <w:rPr>
          <w:rFonts w:asciiTheme="majorBidi" w:hAnsiTheme="majorBidi" w:cstheme="majorBidi"/>
          <w:b/>
          <w:bCs/>
          <w:sz w:val="20"/>
          <w:szCs w:val="20"/>
        </w:rPr>
        <w:t xml:space="preserve"> [ø]</w:t>
      </w:r>
      <w:r w:rsidRPr="00F230F1">
        <w:rPr>
          <w:rStyle w:val="StyleComplexeTraditionalArabicNoir1"/>
          <w:rFonts w:asciiTheme="majorBidi" w:hAnsiTheme="majorBidi" w:cstheme="majorBidi"/>
          <w:sz w:val="20"/>
          <w:szCs w:val="20"/>
        </w:rPr>
        <w:t xml:space="preserve"> ! Je me vois dans le sommeil en train de t’immoler. Regarde donc ce que tu vois ». </w:t>
      </w:r>
      <w:r w:rsidRPr="00F230F1">
        <w:rPr>
          <w:rStyle w:val="StyleComplexeTraditionalArabicNoir1"/>
          <w:rFonts w:asciiTheme="majorBidi" w:hAnsiTheme="majorBidi" w:cstheme="majorBidi"/>
          <w:b/>
          <w:bCs/>
          <w:sz w:val="20"/>
          <w:szCs w:val="20"/>
        </w:rPr>
        <w:t>Il</w:t>
      </w:r>
      <w:r w:rsidRPr="00F230F1">
        <w:rPr>
          <w:rStyle w:val="StyleComplexeTraditionalArabicNoir1"/>
          <w:rFonts w:asciiTheme="majorBidi" w:hAnsiTheme="majorBidi" w:cstheme="majorBidi"/>
          <w:sz w:val="20"/>
          <w:szCs w:val="20"/>
        </w:rPr>
        <w:t xml:space="preserve"> </w:t>
      </w:r>
      <w:r w:rsidRPr="00F230F1">
        <w:rPr>
          <w:rFonts w:asciiTheme="majorBidi" w:hAnsiTheme="majorBidi" w:cstheme="majorBidi"/>
          <w:b/>
          <w:bCs/>
          <w:sz w:val="20"/>
          <w:szCs w:val="20"/>
        </w:rPr>
        <w:t>[ø]</w:t>
      </w:r>
      <w:r w:rsidRPr="00F230F1">
        <w:rPr>
          <w:rFonts w:asciiTheme="majorBidi" w:hAnsiTheme="majorBidi" w:cstheme="majorBidi"/>
          <w:sz w:val="20"/>
          <w:szCs w:val="20"/>
        </w:rPr>
        <w:t xml:space="preserve"> </w:t>
      </w:r>
      <w:r w:rsidRPr="00F230F1">
        <w:rPr>
          <w:rStyle w:val="StyleComplexeTraditionalArabicNoir1"/>
          <w:rFonts w:asciiTheme="majorBidi" w:hAnsiTheme="majorBidi" w:cstheme="majorBidi"/>
          <w:sz w:val="20"/>
          <w:szCs w:val="20"/>
        </w:rPr>
        <w:t>dit : « Ô mon père ! Fais ce qu’il t’a été ordonné. Tu me trouveras, si Dieu [le] souhaite, au nombre des endurants ».</w:t>
      </w:r>
      <w:r w:rsidRPr="00F230F1">
        <w:rPr>
          <w:rFonts w:asciiTheme="majorBidi" w:hAnsiTheme="majorBidi" w:cstheme="majorBidi"/>
          <w:sz w:val="20"/>
          <w:szCs w:val="20"/>
        </w:rPr>
        <w:t xml:space="preserve"> </w:t>
      </w:r>
      <w:r w:rsidRPr="00F230F1">
        <w:rPr>
          <w:rStyle w:val="numverset1"/>
          <w:rFonts w:asciiTheme="majorBidi" w:hAnsiTheme="majorBidi" w:cstheme="majorBidi"/>
          <w:sz w:val="20"/>
          <w:szCs w:val="20"/>
        </w:rPr>
        <w:t>[103]</w:t>
      </w:r>
      <w:r w:rsidRPr="00F230F1">
        <w:rPr>
          <w:rFonts w:asciiTheme="majorBidi" w:hAnsiTheme="majorBidi" w:cstheme="majorBidi"/>
          <w:sz w:val="20"/>
          <w:szCs w:val="20"/>
        </w:rPr>
        <w:t xml:space="preserve"> Puis quand tous deux se furent soumis et qu’il </w:t>
      </w:r>
      <w:r w:rsidRPr="00F230F1">
        <w:rPr>
          <w:rFonts w:asciiTheme="majorBidi" w:hAnsiTheme="majorBidi" w:cstheme="majorBidi"/>
          <w:b/>
          <w:bCs/>
          <w:sz w:val="20"/>
          <w:szCs w:val="20"/>
        </w:rPr>
        <w:t>l’[ø]</w:t>
      </w:r>
      <w:r w:rsidRPr="00F230F1">
        <w:rPr>
          <w:rFonts w:asciiTheme="majorBidi" w:hAnsiTheme="majorBidi" w:cstheme="majorBidi"/>
          <w:sz w:val="20"/>
          <w:szCs w:val="20"/>
        </w:rPr>
        <w:t>eut jeté sur la tempe,</w:t>
      </w:r>
      <w:r w:rsidRPr="00F230F1">
        <w:rPr>
          <w:rStyle w:val="numverset1"/>
          <w:rFonts w:asciiTheme="majorBidi" w:hAnsiTheme="majorBidi" w:cstheme="majorBidi"/>
          <w:sz w:val="20"/>
          <w:szCs w:val="20"/>
        </w:rPr>
        <w:t xml:space="preserve"> [104]</w:t>
      </w:r>
      <w:r w:rsidRPr="00F230F1">
        <w:rPr>
          <w:rFonts w:asciiTheme="majorBidi" w:hAnsiTheme="majorBidi" w:cstheme="majorBidi"/>
          <w:sz w:val="20"/>
          <w:szCs w:val="20"/>
        </w:rPr>
        <w:t xml:space="preserve"> nous l’avons interpellé : « Ô Abraham !  </w:t>
      </w:r>
      <w:r w:rsidRPr="00F230F1">
        <w:rPr>
          <w:rStyle w:val="numverset1"/>
          <w:rFonts w:asciiTheme="majorBidi" w:hAnsiTheme="majorBidi" w:cstheme="majorBidi"/>
          <w:sz w:val="20"/>
          <w:szCs w:val="20"/>
        </w:rPr>
        <w:t>[105]</w:t>
      </w:r>
      <w:r w:rsidRPr="00F230F1">
        <w:rPr>
          <w:rFonts w:asciiTheme="majorBidi" w:hAnsiTheme="majorBidi" w:cstheme="majorBidi"/>
          <w:sz w:val="20"/>
          <w:szCs w:val="20"/>
        </w:rPr>
        <w:t xml:space="preserve"> Tu as confirmé la vision. Ainsi rétribuons-nous les bienfaisants ». </w:t>
      </w:r>
      <w:r w:rsidRPr="00F230F1">
        <w:rPr>
          <w:rStyle w:val="numverset1"/>
          <w:rFonts w:asciiTheme="majorBidi" w:hAnsiTheme="majorBidi" w:cstheme="majorBidi"/>
          <w:sz w:val="20"/>
          <w:szCs w:val="20"/>
        </w:rPr>
        <w:t>[106]</w:t>
      </w:r>
      <w:r w:rsidRPr="00F230F1">
        <w:rPr>
          <w:rFonts w:asciiTheme="majorBidi" w:hAnsiTheme="majorBidi" w:cstheme="majorBidi"/>
          <w:sz w:val="20"/>
          <w:szCs w:val="20"/>
        </w:rPr>
        <w:t xml:space="preserve"> Ceci est le test manifeste. </w:t>
      </w:r>
      <w:r w:rsidRPr="00F230F1">
        <w:rPr>
          <w:rStyle w:val="numverset1"/>
          <w:rFonts w:asciiTheme="majorBidi" w:hAnsiTheme="majorBidi" w:cstheme="majorBidi"/>
          <w:sz w:val="20"/>
          <w:szCs w:val="20"/>
        </w:rPr>
        <w:t>[107]</w:t>
      </w:r>
      <w:r w:rsidRPr="00F230F1">
        <w:rPr>
          <w:rFonts w:asciiTheme="majorBidi" w:hAnsiTheme="majorBidi" w:cstheme="majorBidi"/>
          <w:sz w:val="20"/>
          <w:szCs w:val="20"/>
        </w:rPr>
        <w:t xml:space="preserve"> Nous </w:t>
      </w:r>
      <w:r w:rsidRPr="00F230F1">
        <w:rPr>
          <w:rFonts w:asciiTheme="majorBidi" w:hAnsiTheme="majorBidi" w:cstheme="majorBidi"/>
          <w:b/>
          <w:bCs/>
          <w:sz w:val="20"/>
          <w:szCs w:val="20"/>
        </w:rPr>
        <w:t>le [ø]</w:t>
      </w:r>
      <w:r w:rsidRPr="00F230F1">
        <w:rPr>
          <w:rFonts w:asciiTheme="majorBidi" w:hAnsiTheme="majorBidi" w:cstheme="majorBidi"/>
          <w:sz w:val="20"/>
          <w:szCs w:val="20"/>
        </w:rPr>
        <w:t xml:space="preserve"> rachetâmes d’une très grande immolation. » (Traduction d’Aldeeb)</w:t>
      </w:r>
    </w:p>
  </w:footnote>
  <w:footnote w:id="205">
    <w:p w14:paraId="125E85F9" w14:textId="77777777" w:rsidR="009C3BB9" w:rsidRPr="00F230F1" w:rsidRDefault="009C3BB9" w:rsidP="00F230F1">
      <w:pPr>
        <w:contextualSpacing/>
        <w:jc w:val="both"/>
        <w:rPr>
          <w:rFonts w:asciiTheme="majorBidi" w:hAnsiTheme="majorBidi" w:cstheme="majorBidi"/>
          <w:sz w:val="20"/>
          <w:szCs w:val="20"/>
          <w:shd w:val="clear" w:color="auto" w:fill="FFFFFF"/>
          <w:rtl/>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shd w:val="clear" w:color="auto" w:fill="FFFFFF"/>
          <w:lang w:bidi="ar-KW"/>
        </w:rPr>
        <w:t>Genèse, 22 : 6-7 :</w:t>
      </w:r>
      <w:r w:rsidRPr="00F230F1">
        <w:rPr>
          <w:rFonts w:asciiTheme="majorBidi" w:hAnsiTheme="majorBidi" w:cstheme="majorBidi"/>
          <w:b/>
          <w:bCs/>
          <w:sz w:val="20"/>
          <w:szCs w:val="20"/>
          <w:u w:val="single"/>
          <w:shd w:val="clear" w:color="auto" w:fill="FFFFFF"/>
          <w:lang w:bidi="ar-KW"/>
        </w:rPr>
        <w:t xml:space="preserve"> </w:t>
      </w:r>
      <w:r w:rsidRPr="00F230F1">
        <w:rPr>
          <w:rFonts w:asciiTheme="majorBidi" w:hAnsiTheme="majorBidi" w:cstheme="majorBidi"/>
          <w:sz w:val="20"/>
          <w:szCs w:val="20"/>
          <w:shd w:val="clear" w:color="auto" w:fill="FFFFFF"/>
          <w:lang w:bidi="ar-KW"/>
        </w:rPr>
        <w:t xml:space="preserve">« Abraham prit le bois pour l’holocauste, le chargea sur </w:t>
      </w:r>
      <w:r w:rsidRPr="00F230F1">
        <w:rPr>
          <w:rFonts w:asciiTheme="majorBidi" w:hAnsiTheme="majorBidi" w:cstheme="majorBidi"/>
          <w:b/>
          <w:bCs/>
          <w:sz w:val="20"/>
          <w:szCs w:val="20"/>
          <w:shd w:val="clear" w:color="auto" w:fill="FFFFFF"/>
          <w:lang w:bidi="ar-KW"/>
        </w:rPr>
        <w:t xml:space="preserve">son fils </w:t>
      </w:r>
      <w:r w:rsidRPr="00F230F1">
        <w:rPr>
          <w:rFonts w:asciiTheme="majorBidi" w:hAnsiTheme="majorBidi" w:cstheme="majorBidi"/>
          <w:b/>
          <w:bCs/>
          <w:i/>
          <w:iCs/>
          <w:sz w:val="20"/>
          <w:szCs w:val="20"/>
          <w:shd w:val="clear" w:color="auto" w:fill="FFFFFF"/>
          <w:lang w:bidi="ar-KW"/>
        </w:rPr>
        <w:t>Isaac</w:t>
      </w:r>
      <w:r w:rsidRPr="00F230F1">
        <w:rPr>
          <w:rFonts w:asciiTheme="majorBidi" w:hAnsiTheme="majorBidi" w:cstheme="majorBidi"/>
          <w:sz w:val="20"/>
          <w:szCs w:val="20"/>
          <w:shd w:val="clear" w:color="auto" w:fill="FFFFFF"/>
          <w:lang w:bidi="ar-KW"/>
        </w:rPr>
        <w:t xml:space="preserve">, et porta dans sa main le feu et le couteau. Et ils marchèrent tous deux ensemble. Alors </w:t>
      </w:r>
      <w:r w:rsidRPr="00F230F1">
        <w:rPr>
          <w:rFonts w:asciiTheme="majorBidi" w:hAnsiTheme="majorBidi" w:cstheme="majorBidi"/>
          <w:b/>
          <w:bCs/>
          <w:i/>
          <w:iCs/>
          <w:sz w:val="20"/>
          <w:szCs w:val="20"/>
          <w:shd w:val="clear" w:color="auto" w:fill="FFFFFF"/>
          <w:lang w:bidi="ar-KW"/>
        </w:rPr>
        <w:t>Isaac</w:t>
      </w:r>
      <w:r w:rsidRPr="00F230F1">
        <w:rPr>
          <w:rFonts w:asciiTheme="majorBidi" w:hAnsiTheme="majorBidi" w:cstheme="majorBidi"/>
          <w:sz w:val="20"/>
          <w:szCs w:val="20"/>
          <w:shd w:val="clear" w:color="auto" w:fill="FFFFFF"/>
          <w:lang w:bidi="ar-KW"/>
        </w:rPr>
        <w:t xml:space="preserve">, parlant à Abraham, son père, dit : Mon père ! Et il répondit : Me voici, mon fils ! </w:t>
      </w:r>
      <w:r w:rsidRPr="00F230F1">
        <w:rPr>
          <w:rFonts w:asciiTheme="majorBidi" w:hAnsiTheme="majorBidi" w:cstheme="majorBidi"/>
          <w:b/>
          <w:bCs/>
          <w:i/>
          <w:iCs/>
          <w:sz w:val="20"/>
          <w:szCs w:val="20"/>
          <w:shd w:val="clear" w:color="auto" w:fill="FFFFFF"/>
          <w:lang w:bidi="ar-KW"/>
        </w:rPr>
        <w:t>Isaac</w:t>
      </w:r>
      <w:r w:rsidRPr="00F230F1">
        <w:rPr>
          <w:rFonts w:asciiTheme="majorBidi" w:hAnsiTheme="majorBidi" w:cstheme="majorBidi"/>
          <w:sz w:val="20"/>
          <w:szCs w:val="20"/>
          <w:shd w:val="clear" w:color="auto" w:fill="FFFFFF"/>
          <w:lang w:bidi="ar-KW"/>
        </w:rPr>
        <w:t xml:space="preserve"> reprit : Voici le feu et le bois ; mais où est l’agneau pour l’holocauste ? » Épître aux Hébreux, 11 : 17-18 : « C’est par la foi qu’Abraham mis à l’épreuve, offrit </w:t>
      </w:r>
      <w:r w:rsidRPr="00F230F1">
        <w:rPr>
          <w:rFonts w:asciiTheme="majorBidi" w:hAnsiTheme="majorBidi" w:cstheme="majorBidi"/>
          <w:b/>
          <w:bCs/>
          <w:i/>
          <w:iCs/>
          <w:sz w:val="20"/>
          <w:szCs w:val="20"/>
          <w:shd w:val="clear" w:color="auto" w:fill="FFFFFF"/>
          <w:lang w:bidi="ar-KW"/>
        </w:rPr>
        <w:t>Isaac</w:t>
      </w:r>
      <w:r w:rsidRPr="00F230F1">
        <w:rPr>
          <w:rFonts w:asciiTheme="majorBidi" w:hAnsiTheme="majorBidi" w:cstheme="majorBidi"/>
          <w:sz w:val="20"/>
          <w:szCs w:val="20"/>
          <w:shd w:val="clear" w:color="auto" w:fill="FFFFFF"/>
          <w:lang w:bidi="ar-KW"/>
        </w:rPr>
        <w:t xml:space="preserve"> en sacrifice. Ainsi celui qui avait reçu les promesses, et à qui il avait été dit : ‘C’est d’</w:t>
      </w:r>
      <w:r w:rsidRPr="00F230F1">
        <w:rPr>
          <w:rFonts w:asciiTheme="majorBidi" w:hAnsiTheme="majorBidi" w:cstheme="majorBidi"/>
          <w:b/>
          <w:bCs/>
          <w:i/>
          <w:iCs/>
          <w:sz w:val="20"/>
          <w:szCs w:val="20"/>
          <w:shd w:val="clear" w:color="auto" w:fill="FFFFFF"/>
          <w:lang w:bidi="ar-KW"/>
        </w:rPr>
        <w:t>Isaac</w:t>
      </w:r>
      <w:r w:rsidRPr="00F230F1">
        <w:rPr>
          <w:rFonts w:asciiTheme="majorBidi" w:hAnsiTheme="majorBidi" w:cstheme="majorBidi"/>
          <w:sz w:val="20"/>
          <w:szCs w:val="20"/>
          <w:shd w:val="clear" w:color="auto" w:fill="FFFFFF"/>
          <w:lang w:bidi="ar-KW"/>
        </w:rPr>
        <w:t xml:space="preserve"> que naîtra ta postérité’, offrit ce fils unique… » </w:t>
      </w:r>
      <w:r w:rsidRPr="00F230F1">
        <w:rPr>
          <w:rFonts w:asciiTheme="majorBidi" w:eastAsia="Times New Roman" w:hAnsiTheme="majorBidi" w:cstheme="majorBidi"/>
          <w:sz w:val="20"/>
          <w:szCs w:val="20"/>
          <w:shd w:val="clear" w:color="auto" w:fill="FFFFFF"/>
          <w:lang w:bidi="ar-KW"/>
        </w:rPr>
        <w:t>Il est à souligner que la légende du sacrifice d’Iphigénie dans la mythologie grecque ancienne a été probablement recyclée, reproduite ou retraduite dans l’histoire biblique du sacrifice d’Isaac, premier fils d’Abraham et ancêtre des Juifs ; et cette dernière a été plus tard recyclée dans l’histoire coranique du sacrifice d’Ismaël, deuxième fils d’Abraham et ancêtre des Arabes.</w:t>
      </w:r>
    </w:p>
  </w:footnote>
  <w:footnote w:id="206">
    <w:p w14:paraId="4F46626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AE"/>
        </w:rPr>
        <w:t>Ibn ʿĀshūr</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lang w:bidi="ar-AE"/>
        </w:rPr>
        <w:t>At-Taḥrīr wa-at-Tanwīr</w:t>
      </w:r>
      <w:r w:rsidRPr="00F230F1">
        <w:rPr>
          <w:rFonts w:asciiTheme="majorBidi" w:eastAsia="Times New Roman" w:hAnsiTheme="majorBidi" w:cstheme="majorBidi"/>
          <w:sz w:val="20"/>
          <w:szCs w:val="20"/>
          <w:lang w:bidi="ar-AE"/>
        </w:rPr>
        <w:t>, Dār Saḥnūn, Tunis, 1997, t. 18, p. 241.</w:t>
      </w:r>
      <w:r w:rsidRPr="00F230F1">
        <w:rPr>
          <w:rFonts w:asciiTheme="majorBidi" w:eastAsia="Times New Roman" w:hAnsiTheme="majorBidi" w:cstheme="majorBidi"/>
          <w:sz w:val="20"/>
          <w:szCs w:val="20"/>
        </w:rPr>
        <w:t xml:space="preserve"> Version électronique (</w:t>
      </w:r>
      <w:hyperlink r:id="rId71" w:history="1">
        <w:r w:rsidRPr="00F230F1">
          <w:rPr>
            <w:rStyle w:val="Lienhypertexte"/>
            <w:rFonts w:asciiTheme="majorBidi" w:eastAsia="Times New Roman" w:hAnsiTheme="majorBidi" w:cstheme="majorBidi"/>
            <w:sz w:val="20"/>
            <w:szCs w:val="20"/>
          </w:rPr>
          <w:t>http://library.islamweb.net/newlibrary/display_book.php?flag=1&amp;bk_no=61&amp;surano=22&amp;ayano=26</w:t>
        </w:r>
      </w:hyperlink>
      <w:r w:rsidRPr="00F230F1">
        <w:rPr>
          <w:rFonts w:asciiTheme="majorBidi" w:eastAsia="Times New Roman" w:hAnsiTheme="majorBidi" w:cstheme="majorBidi"/>
          <w:sz w:val="20"/>
          <w:szCs w:val="20"/>
        </w:rPr>
        <w:t>) consultée le 22/07/2017.</w:t>
      </w:r>
    </w:p>
  </w:footnote>
  <w:footnote w:id="207">
    <w:p w14:paraId="5A3A8F37" w14:textId="77777777" w:rsidR="009C3BB9" w:rsidRPr="00F230F1" w:rsidRDefault="009C3BB9" w:rsidP="00F230F1">
      <w:pPr>
        <w:pStyle w:val="Notedebasdepage"/>
        <w:contextualSpacing/>
        <w:jc w:val="both"/>
        <w:rPr>
          <w:rFonts w:asciiTheme="majorBidi" w:hAnsiTheme="majorBidi" w:cstheme="majorBidi"/>
          <w:color w:val="C00000"/>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b. Ibrāhīm al-Ḥamad, « </w:t>
      </w:r>
      <w:r w:rsidRPr="00F230F1">
        <w:rPr>
          <w:rFonts w:asciiTheme="majorBidi" w:hAnsiTheme="majorBidi" w:cstheme="majorBidi"/>
          <w:i/>
          <w:iCs/>
          <w:sz w:val="20"/>
          <w:szCs w:val="20"/>
        </w:rPr>
        <w:t xml:space="preserve">Manhaj Ibn </w:t>
      </w:r>
      <w:r w:rsidRPr="00F230F1">
        <w:rPr>
          <w:rFonts w:asciiTheme="majorBidi" w:eastAsia="Times New Roman" w:hAnsiTheme="majorBidi" w:cstheme="majorBidi"/>
          <w:i/>
          <w:iCs/>
          <w:sz w:val="20"/>
          <w:szCs w:val="20"/>
          <w:lang w:bidi="ar-AE"/>
        </w:rPr>
        <w:t>ʿĀshūr fī tafsīri-hi wa-khulā</w:t>
      </w:r>
      <w:r w:rsidRPr="00F230F1">
        <w:rPr>
          <w:rFonts w:asciiTheme="majorBidi" w:eastAsia="Times New Roman" w:hAnsiTheme="majorBidi" w:cstheme="majorBidi"/>
          <w:i/>
          <w:iCs/>
          <w:sz w:val="20"/>
          <w:szCs w:val="20"/>
        </w:rPr>
        <w:t>ṣat ma ishtamala ʿalayhi </w:t>
      </w:r>
      <w:r w:rsidRPr="00F230F1">
        <w:rPr>
          <w:rFonts w:asciiTheme="majorBidi" w:eastAsia="Times New Roman" w:hAnsiTheme="majorBidi" w:cstheme="majorBidi"/>
          <w:sz w:val="20"/>
          <w:szCs w:val="20"/>
        </w:rPr>
        <w:t>», site web</w:t>
      </w:r>
      <w:r w:rsidRPr="00F230F1">
        <w:rPr>
          <w:rFonts w:asciiTheme="majorBidi" w:eastAsia="Times New Roman" w:hAnsiTheme="majorBidi" w:cstheme="majorBidi"/>
          <w:color w:val="C00000"/>
          <w:sz w:val="20"/>
          <w:szCs w:val="20"/>
        </w:rPr>
        <w:t xml:space="preserve"> </w:t>
      </w:r>
      <w:r w:rsidRPr="00F230F1">
        <w:rPr>
          <w:rFonts w:asciiTheme="majorBidi" w:eastAsia="Times New Roman" w:hAnsiTheme="majorBidi" w:cstheme="majorBidi"/>
          <w:sz w:val="20"/>
          <w:szCs w:val="20"/>
        </w:rPr>
        <w:t xml:space="preserve">Multaqā Ahl at-Tafsīr, mise </w:t>
      </w:r>
      <w:r w:rsidRPr="00F230F1">
        <w:rPr>
          <w:rFonts w:asciiTheme="majorBidi" w:hAnsiTheme="majorBidi" w:cstheme="majorBidi"/>
          <w:sz w:val="20"/>
          <w:szCs w:val="20"/>
        </w:rPr>
        <w:t xml:space="preserve">en ligne le 03/10/2006, </w:t>
      </w:r>
      <w:hyperlink r:id="rId72" w:anchor=".WXOojzPpNsM" w:history="1">
        <w:r w:rsidRPr="00F230F1">
          <w:rPr>
            <w:rStyle w:val="Lienhypertexte"/>
            <w:rFonts w:asciiTheme="majorBidi" w:hAnsiTheme="majorBidi" w:cstheme="majorBidi"/>
            <w:sz w:val="20"/>
            <w:szCs w:val="20"/>
          </w:rPr>
          <w:t>https://vb.tafsir.net/tafsir6555/#.WXOojzPpNsM</w:t>
        </w:r>
      </w:hyperlink>
      <w:r w:rsidRPr="00F230F1">
        <w:rPr>
          <w:rFonts w:asciiTheme="majorBidi" w:hAnsiTheme="majorBidi" w:cstheme="majorBidi"/>
          <w:sz w:val="20"/>
          <w:szCs w:val="20"/>
        </w:rPr>
        <w:t xml:space="preserve"> (consulté le 22/07/2017).</w:t>
      </w:r>
    </w:p>
  </w:footnote>
  <w:footnote w:id="208">
    <w:p w14:paraId="32A1E680" w14:textId="77777777" w:rsidR="009C3BB9" w:rsidRPr="00F230F1" w:rsidRDefault="009C3BB9" w:rsidP="00F230F1">
      <w:pPr>
        <w:pStyle w:val="Notedebasdepage"/>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KW"/>
        </w:rPr>
        <w:t xml:space="preserve"> Dans son ouvrage </w:t>
      </w:r>
      <w:r w:rsidRPr="00F230F1">
        <w:rPr>
          <w:rFonts w:asciiTheme="majorBidi" w:hAnsiTheme="majorBidi" w:cstheme="majorBidi"/>
          <w:i/>
          <w:iCs/>
          <w:sz w:val="20"/>
          <w:szCs w:val="20"/>
          <w:lang w:bidi="ar-KW"/>
        </w:rPr>
        <w:t>Al-Sharīʿa</w:t>
      </w:r>
      <w:r w:rsidRPr="00F230F1">
        <w:rPr>
          <w:rFonts w:asciiTheme="majorBidi" w:hAnsiTheme="majorBidi" w:cstheme="majorBidi"/>
          <w:sz w:val="20"/>
          <w:szCs w:val="20"/>
          <w:lang w:bidi="ar-KW"/>
        </w:rPr>
        <w:t xml:space="preserve"> (ḥadīth n° 1994), Abū Bakr Muḥammad ibn Al-Ḥussayn Al-ʾĀjurrī Al-Baghdādī (m. 970) rapporte d’après </w:t>
      </w:r>
      <w:r w:rsidRPr="00F230F1">
        <w:rPr>
          <w:rFonts w:asciiTheme="majorBidi" w:hAnsiTheme="majorBidi" w:cstheme="majorBidi"/>
          <w:sz w:val="20"/>
          <w:szCs w:val="20"/>
        </w:rPr>
        <w:t>ʿUthmān</w:t>
      </w:r>
      <w:r w:rsidRPr="00F230F1">
        <w:rPr>
          <w:rFonts w:asciiTheme="majorBidi" w:hAnsiTheme="majorBidi" w:cstheme="majorBidi"/>
          <w:sz w:val="20"/>
          <w:szCs w:val="20"/>
          <w:lang w:bidi="ar-KW"/>
        </w:rPr>
        <w:t xml:space="preserve"> ibn ʿAffān qu’un groupe de chiites vinrent à ʿAlī ibn </w:t>
      </w:r>
      <w:r w:rsidRPr="00F230F1">
        <w:rPr>
          <w:rFonts w:asciiTheme="majorBidi" w:hAnsiTheme="majorBidi" w:cstheme="majorBidi"/>
          <w:sz w:val="20"/>
          <w:szCs w:val="20"/>
        </w:rPr>
        <w:t>Abī Ṭālib</w:t>
      </w:r>
      <w:r w:rsidRPr="00F230F1">
        <w:rPr>
          <w:rFonts w:asciiTheme="majorBidi" w:hAnsiTheme="majorBidi" w:cstheme="majorBidi"/>
          <w:sz w:val="20"/>
          <w:szCs w:val="20"/>
          <w:lang w:bidi="ar-KW"/>
        </w:rPr>
        <w:t xml:space="preserve"> et lui dirent : « Tu es notre </w:t>
      </w:r>
      <w:r w:rsidRPr="00F230F1">
        <w:rPr>
          <w:rFonts w:asciiTheme="majorBidi" w:hAnsiTheme="majorBidi" w:cstheme="majorBidi"/>
          <w:i/>
          <w:iCs/>
          <w:sz w:val="20"/>
          <w:szCs w:val="20"/>
          <w:lang w:bidi="ar-KW"/>
        </w:rPr>
        <w:t>Rabb</w:t>
      </w:r>
      <w:r w:rsidRPr="00F230F1">
        <w:rPr>
          <w:rFonts w:asciiTheme="majorBidi" w:hAnsiTheme="majorBidi" w:cstheme="majorBidi"/>
          <w:sz w:val="20"/>
          <w:szCs w:val="20"/>
          <w:lang w:bidi="ar-KW"/>
        </w:rPr>
        <w:t xml:space="preserve"> [Seigneur] ». ʿAlī leur demandèrent de se repentir, mais ils refusèrent et s’obstinèrent. Alors, ʿAlī les tuèrent, fit creuser un fossé, demanda à Qambar (un esclave affranchi et son valet) d’apporter des fagots de bois, et il les brûla.</w:t>
      </w:r>
    </w:p>
  </w:footnote>
  <w:footnote w:id="209">
    <w:p w14:paraId="081486E8" w14:textId="77777777" w:rsidR="009C3BB9" w:rsidRPr="00F230F1" w:rsidRDefault="009C3BB9" w:rsidP="00F230F1">
      <w:pPr>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KW"/>
        </w:rPr>
        <w:t xml:space="preserve"> </w:t>
      </w:r>
      <w:r w:rsidRPr="00F230F1">
        <w:rPr>
          <w:rFonts w:asciiTheme="majorBidi" w:eastAsia="Calibri" w:hAnsiTheme="majorBidi" w:cstheme="majorBidi"/>
          <w:sz w:val="20"/>
          <w:szCs w:val="20"/>
        </w:rPr>
        <w:t xml:space="preserve">Le </w:t>
      </w:r>
      <w:r w:rsidRPr="00F230F1">
        <w:rPr>
          <w:rFonts w:asciiTheme="majorBidi" w:eastAsia="Calibri" w:hAnsiTheme="majorBidi" w:cstheme="majorBidi"/>
          <w:i/>
          <w:iCs/>
          <w:sz w:val="20"/>
          <w:szCs w:val="20"/>
        </w:rPr>
        <w:t>Quddās at-Turābīya</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litt.</w:t>
      </w:r>
      <w:r w:rsidRPr="00F230F1">
        <w:rPr>
          <w:rFonts w:asciiTheme="majorBidi" w:eastAsia="Calibri" w:hAnsiTheme="majorBidi" w:cstheme="majorBidi"/>
          <w:sz w:val="20"/>
          <w:szCs w:val="20"/>
        </w:rPr>
        <w:t xml:space="preserve"> la messe de la poussiéreuse (ou de la terreuse), probablement une allusion à Abū Turāb [l’homme à la poussière], titre attribué à ʿAlī ibn Abī Ṭālib</w:t>
      </w:r>
      <w:r w:rsidRPr="00F230F1">
        <w:rPr>
          <w:rFonts w:asciiTheme="majorBidi" w:hAnsiTheme="majorBidi" w:cstheme="majorBidi"/>
          <w:sz w:val="20"/>
          <w:szCs w:val="20"/>
          <w:lang w:bidi="ar-KW"/>
        </w:rPr>
        <w:t xml:space="preserve">) est une prière qui a la valeur de la première sourate du Coran, </w:t>
      </w:r>
      <w:r w:rsidRPr="00F230F1">
        <w:rPr>
          <w:rFonts w:asciiTheme="majorBidi" w:hAnsiTheme="majorBidi" w:cstheme="majorBidi"/>
          <w:i/>
          <w:iCs/>
          <w:sz w:val="20"/>
          <w:szCs w:val="20"/>
          <w:lang w:bidi="ar-KW"/>
        </w:rPr>
        <w:t>Al-Fātiḥa</w:t>
      </w:r>
      <w:r w:rsidRPr="00F230F1">
        <w:rPr>
          <w:rFonts w:asciiTheme="majorBidi" w:hAnsiTheme="majorBidi" w:cstheme="majorBidi"/>
          <w:sz w:val="20"/>
          <w:szCs w:val="20"/>
          <w:lang w:bidi="ar-KW"/>
        </w:rPr>
        <w:t xml:space="preserve"> (l’Ouverture). </w:t>
      </w:r>
      <w:r w:rsidRPr="00F230F1">
        <w:rPr>
          <w:rFonts w:asciiTheme="majorBidi" w:eastAsia="Calibri" w:hAnsiTheme="majorBidi" w:cstheme="majorBidi"/>
          <w:i/>
          <w:iCs/>
          <w:sz w:val="20"/>
          <w:szCs w:val="20"/>
        </w:rPr>
        <w:t>At-Turābīya</w:t>
      </w:r>
      <w:r w:rsidRPr="00F230F1">
        <w:rPr>
          <w:rFonts w:asciiTheme="majorBidi" w:eastAsia="Calibri" w:hAnsiTheme="majorBidi" w:cstheme="majorBidi"/>
          <w:sz w:val="20"/>
          <w:szCs w:val="20"/>
        </w:rPr>
        <w:t> </w:t>
      </w:r>
      <w:r w:rsidRPr="00F230F1">
        <w:rPr>
          <w:rFonts w:asciiTheme="majorBidi" w:hAnsiTheme="majorBidi" w:cstheme="majorBidi"/>
          <w:sz w:val="20"/>
          <w:szCs w:val="20"/>
          <w:lang w:bidi="ar-KW"/>
        </w:rPr>
        <w:t xml:space="preserve">commence ainsi : </w:t>
      </w:r>
      <w:r w:rsidRPr="00F230F1">
        <w:rPr>
          <w:rFonts w:asciiTheme="majorBidi" w:hAnsiTheme="majorBidi" w:cstheme="majorBidi"/>
          <w:sz w:val="20"/>
          <w:szCs w:val="20"/>
          <w:rtl/>
          <w:lang w:bidi="ar-KW"/>
        </w:rPr>
        <w:t>" تَبدَّيتُ بأوَّلِ إجابتي بالإقرار بِحُبِّ قُدس معنوية مولايَ عليّ أمير المؤمنين [...]. وأشهد أنه ربّي وربُّ آبائي الأولين والآخرين."</w:t>
      </w:r>
      <w:r w:rsidRPr="00F230F1">
        <w:rPr>
          <w:rFonts w:asciiTheme="majorBidi" w:hAnsiTheme="majorBidi" w:cstheme="majorBidi"/>
          <w:sz w:val="20"/>
          <w:szCs w:val="20"/>
          <w:lang w:bidi="ar-KW"/>
        </w:rPr>
        <w:t xml:space="preserve"> [« J’ai commencé ma réponse par la déclaration de l’amour de la Sainteté de l’idéal [?] de mon maître ʿAlī le commandeur des croyants […]. Et j’atteste qu’il est mon </w:t>
      </w:r>
      <w:r w:rsidRPr="00F230F1">
        <w:rPr>
          <w:rFonts w:asciiTheme="majorBidi" w:hAnsiTheme="majorBidi" w:cstheme="majorBidi"/>
          <w:i/>
          <w:iCs/>
          <w:sz w:val="20"/>
          <w:szCs w:val="20"/>
          <w:lang w:bidi="ar-KW"/>
        </w:rPr>
        <w:t>Rabb</w:t>
      </w:r>
      <w:r w:rsidRPr="00F230F1">
        <w:rPr>
          <w:rFonts w:asciiTheme="majorBidi" w:hAnsiTheme="majorBidi" w:cstheme="majorBidi"/>
          <w:sz w:val="20"/>
          <w:szCs w:val="20"/>
          <w:lang w:bidi="ar-KW"/>
        </w:rPr>
        <w:t xml:space="preserve"> [Seigneur] et le </w:t>
      </w:r>
      <w:r w:rsidRPr="00F230F1">
        <w:rPr>
          <w:rFonts w:asciiTheme="majorBidi" w:hAnsiTheme="majorBidi" w:cstheme="majorBidi"/>
          <w:i/>
          <w:iCs/>
          <w:sz w:val="20"/>
          <w:szCs w:val="20"/>
          <w:lang w:bidi="ar-KW"/>
        </w:rPr>
        <w:t>Rabb</w:t>
      </w:r>
      <w:r w:rsidRPr="00F230F1">
        <w:rPr>
          <w:rFonts w:asciiTheme="majorBidi" w:hAnsiTheme="majorBidi" w:cstheme="majorBidi"/>
          <w:sz w:val="20"/>
          <w:szCs w:val="20"/>
          <w:lang w:bidi="ar-KW"/>
        </w:rPr>
        <w:t xml:space="preserve"> de mes premiers et derniers ancêtres]. Voir : page web </w:t>
      </w:r>
      <w:r w:rsidRPr="00F230F1">
        <w:rPr>
          <w:rFonts w:asciiTheme="majorBidi" w:hAnsiTheme="majorBidi" w:cstheme="majorBidi"/>
          <w:i/>
          <w:iCs/>
          <w:sz w:val="20"/>
          <w:szCs w:val="20"/>
          <w:lang w:bidi="ar-KW"/>
        </w:rPr>
        <w:t>dostooralawi</w:t>
      </w:r>
      <w:r w:rsidRPr="00F230F1">
        <w:rPr>
          <w:rFonts w:asciiTheme="majorBidi" w:hAnsiTheme="majorBidi" w:cstheme="majorBidi"/>
          <w:i/>
          <w:iCs/>
          <w:color w:val="FF0000"/>
          <w:sz w:val="20"/>
          <w:szCs w:val="20"/>
        </w:rPr>
        <w:t xml:space="preserve"> </w:t>
      </w:r>
      <w:hyperlink r:id="rId73" w:history="1">
        <w:r w:rsidRPr="00F230F1">
          <w:rPr>
            <w:rStyle w:val="Lienhypertexte"/>
            <w:rFonts w:asciiTheme="majorBidi" w:eastAsia="Calibri" w:hAnsiTheme="majorBidi" w:cstheme="majorBidi"/>
            <w:sz w:val="20"/>
            <w:szCs w:val="20"/>
          </w:rPr>
          <w:t>http://www.netfornet.4t.com/</w:t>
        </w:r>
      </w:hyperlink>
      <w:r w:rsidRPr="00F230F1">
        <w:rPr>
          <w:rFonts w:asciiTheme="majorBidi" w:hAnsiTheme="majorBidi" w:cstheme="majorBidi"/>
          <w:sz w:val="20"/>
          <w:szCs w:val="20"/>
          <w:lang w:bidi="ar-KW"/>
        </w:rPr>
        <w:t xml:space="preserve"> (consulté le 31/07/2017).</w:t>
      </w:r>
    </w:p>
  </w:footnote>
  <w:footnote w:id="210">
    <w:p w14:paraId="168833EC" w14:textId="77777777" w:rsidR="009C3BB9" w:rsidRPr="00F230F1" w:rsidRDefault="009C3BB9" w:rsidP="00F230F1">
      <w:pPr>
        <w:pStyle w:val="Notedebasdepage"/>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KW"/>
        </w:rPr>
        <w:t xml:space="preserve"> Voir les vidéos : </w:t>
      </w:r>
      <w:hyperlink r:id="rId74" w:history="1">
        <w:r w:rsidRPr="00F230F1">
          <w:rPr>
            <w:rStyle w:val="Lienhypertexte"/>
            <w:rFonts w:asciiTheme="majorBidi" w:hAnsiTheme="majorBidi" w:cstheme="majorBidi"/>
            <w:sz w:val="20"/>
            <w:szCs w:val="20"/>
            <w:lang w:bidi="ar-KW"/>
          </w:rPr>
          <w:t>https://www.youtube.com/watch?v=20AmDcp8Fz0</w:t>
        </w:r>
      </w:hyperlink>
      <w:r w:rsidRPr="00F230F1">
        <w:rPr>
          <w:rFonts w:asciiTheme="majorBidi" w:hAnsiTheme="majorBidi" w:cstheme="majorBidi"/>
          <w:sz w:val="20"/>
          <w:szCs w:val="20"/>
          <w:lang w:bidi="ar-KW"/>
        </w:rPr>
        <w:t xml:space="preserve"> ; </w:t>
      </w:r>
      <w:hyperlink r:id="rId75" w:history="1">
        <w:r w:rsidRPr="00F230F1">
          <w:rPr>
            <w:rStyle w:val="Lienhypertexte"/>
            <w:rFonts w:asciiTheme="majorBidi" w:hAnsiTheme="majorBidi" w:cstheme="majorBidi"/>
            <w:sz w:val="20"/>
            <w:szCs w:val="20"/>
            <w:lang w:bidi="ar-KW"/>
          </w:rPr>
          <w:t>https://www.youtube.com/watch?v=VoZgcXyThcY</w:t>
        </w:r>
      </w:hyperlink>
      <w:r w:rsidRPr="00F230F1">
        <w:rPr>
          <w:rFonts w:asciiTheme="majorBidi" w:hAnsiTheme="majorBidi" w:cstheme="majorBidi"/>
          <w:sz w:val="20"/>
          <w:szCs w:val="20"/>
          <w:lang w:bidi="ar-KW"/>
        </w:rPr>
        <w:t xml:space="preserve"> ; </w:t>
      </w:r>
      <w:hyperlink r:id="rId76" w:history="1">
        <w:r w:rsidRPr="00F230F1">
          <w:rPr>
            <w:rStyle w:val="Lienhypertexte"/>
            <w:rFonts w:asciiTheme="majorBidi" w:hAnsiTheme="majorBidi" w:cstheme="majorBidi"/>
            <w:sz w:val="20"/>
            <w:szCs w:val="20"/>
            <w:lang w:bidi="ar-KW"/>
          </w:rPr>
          <w:t>https://www.youtube.com/watch?v=UK5HlDsCjYk</w:t>
        </w:r>
      </w:hyperlink>
      <w:r w:rsidRPr="00F230F1">
        <w:rPr>
          <w:rFonts w:asciiTheme="majorBidi" w:hAnsiTheme="majorBidi" w:cstheme="majorBidi"/>
          <w:sz w:val="20"/>
          <w:szCs w:val="20"/>
          <w:lang w:bidi="ar-KW"/>
        </w:rPr>
        <w:t xml:space="preserve"> ; </w:t>
      </w:r>
      <w:hyperlink r:id="rId77" w:history="1">
        <w:r w:rsidRPr="00F230F1">
          <w:rPr>
            <w:rStyle w:val="Lienhypertexte"/>
            <w:rFonts w:asciiTheme="majorBidi" w:hAnsiTheme="majorBidi" w:cstheme="majorBidi"/>
            <w:sz w:val="20"/>
            <w:szCs w:val="20"/>
            <w:lang w:bidi="ar-KW"/>
          </w:rPr>
          <w:t>https://www.youtube.com/watch?v=xI4GHz5eYi0</w:t>
        </w:r>
      </w:hyperlink>
      <w:r w:rsidRPr="00F230F1">
        <w:rPr>
          <w:rFonts w:asciiTheme="majorBidi" w:hAnsiTheme="majorBidi" w:cstheme="majorBidi"/>
          <w:sz w:val="20"/>
          <w:szCs w:val="20"/>
          <w:lang w:bidi="ar-KW"/>
        </w:rPr>
        <w:t xml:space="preserve"> ; et le site de Mufakkarat al-Islam (</w:t>
      </w:r>
      <w:r w:rsidRPr="00F230F1">
        <w:rPr>
          <w:rFonts w:asciiTheme="majorBidi" w:hAnsiTheme="majorBidi" w:cstheme="majorBidi"/>
          <w:i/>
          <w:iCs/>
          <w:sz w:val="20"/>
          <w:szCs w:val="20"/>
          <w:lang w:bidi="ar-KW"/>
        </w:rPr>
        <w:t>islammemo.cc</w:t>
      </w:r>
      <w:r w:rsidRPr="00F230F1">
        <w:rPr>
          <w:rFonts w:asciiTheme="majorBidi" w:hAnsiTheme="majorBidi" w:cstheme="majorBidi"/>
          <w:sz w:val="20"/>
          <w:szCs w:val="20"/>
          <w:lang w:bidi="ar-KW"/>
        </w:rPr>
        <w:t xml:space="preserve">) </w:t>
      </w:r>
      <w:hyperlink r:id="rId78" w:history="1">
        <w:r w:rsidRPr="00F230F1">
          <w:rPr>
            <w:rStyle w:val="Lienhypertexte"/>
            <w:rFonts w:asciiTheme="majorBidi" w:hAnsiTheme="majorBidi" w:cstheme="majorBidi"/>
            <w:sz w:val="20"/>
            <w:szCs w:val="20"/>
            <w:lang w:bidi="ar-KW"/>
          </w:rPr>
          <w:t>http://islammemo.cc/akhbar/arab/2014/10/20/212906.html</w:t>
        </w:r>
      </w:hyperlink>
      <w:r w:rsidRPr="00F230F1">
        <w:rPr>
          <w:rFonts w:asciiTheme="majorBidi" w:hAnsiTheme="majorBidi" w:cstheme="majorBidi"/>
          <w:sz w:val="20"/>
          <w:szCs w:val="20"/>
          <w:lang w:bidi="ar-KW"/>
        </w:rPr>
        <w:t xml:space="preserve"> (consultés le 19/07/2017).</w:t>
      </w:r>
    </w:p>
  </w:footnote>
  <w:footnote w:id="211">
    <w:p w14:paraId="023C9CB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Quran Dictionary</w:t>
      </w:r>
      <w:r w:rsidRPr="00F230F1">
        <w:rPr>
          <w:rFonts w:asciiTheme="majorBidi" w:hAnsiTheme="majorBidi" w:cstheme="majorBidi"/>
          <w:sz w:val="20"/>
          <w:szCs w:val="20"/>
        </w:rPr>
        <w:t xml:space="preserve"> en ligne</w:t>
      </w:r>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w:t>
      </w:r>
      <w:hyperlink r:id="rId79" w:history="1">
        <w:r w:rsidRPr="00F230F1">
          <w:rPr>
            <w:rStyle w:val="Lienhypertexte"/>
            <w:rFonts w:asciiTheme="majorBidi" w:hAnsiTheme="majorBidi" w:cstheme="majorBidi"/>
            <w:sz w:val="20"/>
            <w:szCs w:val="20"/>
          </w:rPr>
          <w:t>http://corpus.quran.com/qurandictionary.jsp?q=rbb</w:t>
        </w:r>
      </w:hyperlink>
      <w:r w:rsidRPr="00F230F1">
        <w:rPr>
          <w:rFonts w:asciiTheme="majorBidi" w:hAnsiTheme="majorBidi" w:cstheme="majorBidi"/>
          <w:sz w:val="20"/>
          <w:szCs w:val="20"/>
        </w:rPr>
        <w:t>] (consulté le 01/08/2017).</w:t>
      </w:r>
    </w:p>
  </w:footnote>
  <w:footnote w:id="212">
    <w:p w14:paraId="6A54998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 John Penrice,</w:t>
      </w:r>
      <w:r w:rsidRPr="00F230F1">
        <w:rPr>
          <w:rFonts w:asciiTheme="majorBidi" w:hAnsiTheme="majorBidi" w:cstheme="majorBidi"/>
          <w:i/>
          <w:iCs/>
          <w:sz w:val="20"/>
          <w:szCs w:val="20"/>
        </w:rPr>
        <w:t xml:space="preserve"> Dictionary and Glossary of th Quran</w:t>
      </w:r>
      <w:r w:rsidRPr="00F230F1">
        <w:rPr>
          <w:rFonts w:asciiTheme="majorBidi" w:hAnsiTheme="majorBidi" w:cstheme="majorBidi"/>
          <w:sz w:val="20"/>
          <w:szCs w:val="20"/>
        </w:rPr>
        <w:t>, S. Sajid Ali for Adam Publishers &amp; Distributors, Delhi, 1991, p. 54.</w:t>
      </w:r>
    </w:p>
  </w:footnote>
  <w:footnote w:id="213">
    <w:p w14:paraId="4A92BEB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Az-Zabīdī, </w:t>
      </w:r>
      <w:r w:rsidRPr="00F230F1">
        <w:rPr>
          <w:rFonts w:asciiTheme="majorBidi" w:hAnsiTheme="majorBidi" w:cstheme="majorBidi"/>
          <w:i/>
          <w:iCs/>
          <w:sz w:val="20"/>
          <w:szCs w:val="20"/>
        </w:rPr>
        <w:t>Dictionnaire Tāj al-</w:t>
      </w:r>
      <w:r w:rsidRPr="00F230F1">
        <w:rPr>
          <w:rFonts w:asciiTheme="majorBidi" w:eastAsia="Times New Roman" w:hAnsiTheme="majorBidi" w:cstheme="majorBidi"/>
          <w:i/>
          <w:iCs/>
          <w:sz w:val="20"/>
          <w:szCs w:val="20"/>
        </w:rPr>
        <w:t>ʿ</w:t>
      </w:r>
      <w:r w:rsidRPr="00F230F1">
        <w:rPr>
          <w:rFonts w:asciiTheme="majorBidi" w:hAnsiTheme="majorBidi" w:cstheme="majorBidi"/>
          <w:i/>
          <w:iCs/>
          <w:sz w:val="20"/>
          <w:szCs w:val="20"/>
        </w:rPr>
        <w:t>Arūs</w:t>
      </w:r>
      <w:r w:rsidRPr="00F230F1">
        <w:rPr>
          <w:rFonts w:asciiTheme="majorBidi" w:hAnsiTheme="majorBidi" w:cstheme="majorBidi"/>
          <w:sz w:val="20"/>
          <w:szCs w:val="20"/>
        </w:rPr>
        <w:t>.</w:t>
      </w:r>
    </w:p>
  </w:footnote>
  <w:footnote w:id="214">
    <w:p w14:paraId="7AAB47D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p>
  </w:footnote>
  <w:footnote w:id="215">
    <w:p w14:paraId="17EF3F3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rPr>
        <w:t xml:space="preserve">cf. </w:t>
      </w:r>
      <w:r w:rsidRPr="00F230F1">
        <w:rPr>
          <w:rFonts w:asciiTheme="majorBidi" w:eastAsia="Times New Roman" w:hAnsiTheme="majorBidi" w:cstheme="majorBidi"/>
          <w:i/>
          <w:iCs/>
          <w:sz w:val="20"/>
          <w:szCs w:val="20"/>
          <w:lang w:eastAsia="fr-FR"/>
        </w:rPr>
        <w:t>Bible Hub</w:t>
      </w:r>
      <w:r w:rsidRPr="00F230F1">
        <w:rPr>
          <w:rFonts w:asciiTheme="majorBidi" w:eastAsia="Times New Roman" w:hAnsiTheme="majorBidi" w:cstheme="majorBidi"/>
          <w:sz w:val="20"/>
          <w:szCs w:val="20"/>
          <w:lang w:eastAsia="fr-FR"/>
        </w:rPr>
        <w:t xml:space="preserve"> [</w:t>
      </w:r>
      <w:hyperlink r:id="rId80" w:history="1">
        <w:r w:rsidRPr="00F230F1">
          <w:rPr>
            <w:rStyle w:val="Lienhypertexte"/>
            <w:rFonts w:asciiTheme="majorBidi" w:hAnsiTheme="majorBidi" w:cstheme="majorBidi"/>
            <w:sz w:val="20"/>
            <w:szCs w:val="20"/>
            <w:lang w:eastAsia="fr-FR"/>
          </w:rPr>
          <w:t>http://biblehub.com/hebrew/113.htm</w:t>
        </w:r>
      </w:hyperlink>
      <w:r w:rsidRPr="00F230F1">
        <w:rPr>
          <w:rFonts w:asciiTheme="majorBidi" w:eastAsia="Times New Roman" w:hAnsiTheme="majorBidi" w:cstheme="majorBidi"/>
          <w:sz w:val="20"/>
          <w:szCs w:val="20"/>
          <w:lang w:eastAsia="fr-FR"/>
        </w:rPr>
        <w:t>] consulté le 01/08/2017.</w:t>
      </w:r>
    </w:p>
  </w:footnote>
  <w:footnote w:id="216">
    <w:p w14:paraId="505931F7" w14:textId="77777777" w:rsidR="009C3BB9" w:rsidRPr="00F230F1" w:rsidRDefault="009C3BB9" w:rsidP="00F230F1">
      <w:pPr>
        <w:contextualSpacing/>
        <w:jc w:val="both"/>
        <w:rPr>
          <w:rFonts w:asciiTheme="majorBidi" w:eastAsia="Calibr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eastAsia="Calibri" w:hAnsiTheme="majorBidi" w:cstheme="majorBidi"/>
          <w:sz w:val="20"/>
          <w:szCs w:val="20"/>
          <w:lang w:bidi="ar-AE"/>
        </w:rPr>
        <w:t>Le plus célèbre exégète et historien de tradition sunnite Muḥammad ibn Jarīr Aṭ-Ṭabarī</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lang w:bidi="ar-AE"/>
        </w:rPr>
        <w:t xml:space="preserve">(m. 923), dans son </w:t>
      </w:r>
      <w:r w:rsidRPr="00F230F1">
        <w:rPr>
          <w:rFonts w:asciiTheme="majorBidi" w:eastAsia="Calibri" w:hAnsiTheme="majorBidi" w:cstheme="majorBidi"/>
          <w:i/>
          <w:iCs/>
          <w:sz w:val="20"/>
          <w:szCs w:val="20"/>
          <w:lang w:bidi="ar-AE"/>
        </w:rPr>
        <w:t xml:space="preserve">Jāmiʿ al-bayān </w:t>
      </w:r>
      <w:r w:rsidRPr="00F230F1">
        <w:rPr>
          <w:rFonts w:asciiTheme="majorBidi" w:hAnsiTheme="majorBidi" w:cstheme="majorBidi"/>
          <w:i/>
          <w:iCs/>
          <w:sz w:val="20"/>
          <w:szCs w:val="20"/>
          <w:lang w:bidi="ar-AE"/>
        </w:rPr>
        <w:t>ʿ</w:t>
      </w:r>
      <w:r w:rsidRPr="00F230F1">
        <w:rPr>
          <w:rFonts w:asciiTheme="majorBidi" w:eastAsia="Calibri" w:hAnsiTheme="majorBidi" w:cstheme="majorBidi"/>
          <w:i/>
          <w:iCs/>
          <w:sz w:val="20"/>
          <w:szCs w:val="20"/>
          <w:lang w:bidi="ar-AE"/>
        </w:rPr>
        <w:t>an taʾwīl ʾāyi l-Qurʾān</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Jāmiʿ Al-Bayān fī Tafsīr al-Qurʾān</w:t>
      </w:r>
      <w:r w:rsidRPr="00F230F1">
        <w:rPr>
          <w:rFonts w:asciiTheme="majorBidi" w:eastAsia="Calibri" w:hAnsiTheme="majorBidi" w:cstheme="majorBidi"/>
          <w:sz w:val="20"/>
          <w:szCs w:val="20"/>
          <w:lang w:bidi="ar-AE"/>
        </w:rPr>
        <w:t xml:space="preserve">, connu sous le nom </w:t>
      </w:r>
      <w:r w:rsidRPr="00F230F1">
        <w:rPr>
          <w:rFonts w:asciiTheme="majorBidi" w:eastAsia="Calibri" w:hAnsiTheme="majorBidi" w:cstheme="majorBidi"/>
          <w:i/>
          <w:iCs/>
          <w:sz w:val="20"/>
          <w:szCs w:val="20"/>
          <w:lang w:bidi="ar-AE"/>
        </w:rPr>
        <w:t>Tafsīr Aṭ-Ṭabarī</w:t>
      </w:r>
      <w:r w:rsidRPr="00F230F1">
        <w:rPr>
          <w:rFonts w:asciiTheme="majorBidi" w:eastAsia="Calibri" w:hAnsiTheme="majorBidi" w:cstheme="majorBidi"/>
          <w:sz w:val="20"/>
          <w:szCs w:val="20"/>
          <w:lang w:bidi="ar-AE"/>
        </w:rPr>
        <w:t>), dit :</w:t>
      </w:r>
    </w:p>
    <w:p w14:paraId="08DEBCC8" w14:textId="77777777" w:rsidR="009C3BB9" w:rsidRPr="00F230F1" w:rsidRDefault="009C3BB9" w:rsidP="00F230F1">
      <w:pPr>
        <w:pStyle w:val="n1"/>
        <w:contextualSpacing/>
        <w:jc w:val="both"/>
        <w:rPr>
          <w:rFonts w:asciiTheme="majorBidi" w:hAnsiTheme="majorBidi" w:cstheme="majorBidi"/>
          <w:sz w:val="20"/>
          <w:szCs w:val="20"/>
          <w:rtl/>
          <w:lang w:bidi="ar-KW"/>
        </w:rPr>
      </w:pPr>
      <w:r w:rsidRPr="00F230F1">
        <w:rPr>
          <w:rFonts w:asciiTheme="majorBidi" w:hAnsiTheme="majorBidi" w:cstheme="majorBidi"/>
          <w:sz w:val="20"/>
          <w:szCs w:val="20"/>
          <w:rtl/>
          <w:lang w:bidi="ar-AE"/>
        </w:rPr>
        <w:t>"و</w:t>
      </w:r>
      <w:r w:rsidRPr="00F230F1">
        <w:rPr>
          <w:rFonts w:asciiTheme="majorBidi" w:hAnsiTheme="majorBidi" w:cstheme="majorBidi"/>
          <w:b/>
          <w:bCs/>
          <w:i/>
          <w:iCs/>
          <w:sz w:val="20"/>
          <w:szCs w:val="20"/>
          <w:rtl/>
          <w:lang w:bidi="ar-AE"/>
        </w:rPr>
        <w:t>اختلفَ</w:t>
      </w:r>
      <w:r w:rsidRPr="00F230F1">
        <w:rPr>
          <w:rFonts w:asciiTheme="majorBidi" w:hAnsiTheme="majorBidi" w:cstheme="majorBidi"/>
          <w:sz w:val="20"/>
          <w:szCs w:val="20"/>
          <w:rtl/>
          <w:lang w:bidi="ar-AE"/>
        </w:rPr>
        <w:t xml:space="preserve"> أهلُ العِلْم في وقت كون الزلزلة [...] فقال بعضُهم: هي كائنة في الدنيا قبل يوم القيامة. [...] حدَّثني يونسُ قال: </w:t>
      </w:r>
      <w:r w:rsidRPr="00F230F1">
        <w:rPr>
          <w:rFonts w:asciiTheme="majorBidi" w:hAnsiTheme="majorBidi" w:cstheme="majorBidi"/>
          <w:sz w:val="20"/>
          <w:szCs w:val="20"/>
          <w:rtl/>
          <w:lang w:bidi="ar-KW"/>
        </w:rPr>
        <w:t>«</w:t>
      </w:r>
      <w:r w:rsidRPr="00F230F1">
        <w:rPr>
          <w:rFonts w:asciiTheme="majorBidi" w:hAnsiTheme="majorBidi" w:cstheme="majorBidi"/>
          <w:sz w:val="20"/>
          <w:szCs w:val="20"/>
          <w:rtl/>
          <w:lang w:bidi="ar-AE"/>
        </w:rPr>
        <w:t>[...] هذا يوم القيامة»."</w:t>
      </w:r>
    </w:p>
    <w:p w14:paraId="63FCF548" w14:textId="77777777" w:rsidR="009C3BB9" w:rsidRPr="00F230F1" w:rsidRDefault="009C3BB9" w:rsidP="00F230F1">
      <w:pPr>
        <w:pStyle w:val="Notedebasdepage"/>
        <w:contextualSpacing/>
        <w:jc w:val="both"/>
        <w:rPr>
          <w:rFonts w:asciiTheme="majorBidi" w:hAnsiTheme="majorBidi" w:cstheme="majorBidi"/>
          <w:sz w:val="20"/>
          <w:szCs w:val="20"/>
          <w:lang w:bidi="ar-AE"/>
        </w:rPr>
      </w:pPr>
      <w:r w:rsidRPr="00F230F1">
        <w:rPr>
          <w:rFonts w:asciiTheme="majorBidi" w:hAnsiTheme="majorBidi" w:cstheme="majorBidi"/>
          <w:sz w:val="20"/>
          <w:szCs w:val="20"/>
          <w:lang w:bidi="ar-AE"/>
        </w:rPr>
        <w:t xml:space="preserve">["Les oulémas </w:t>
      </w:r>
      <w:r w:rsidRPr="00F230F1">
        <w:rPr>
          <w:rFonts w:asciiTheme="majorBidi" w:hAnsiTheme="majorBidi" w:cstheme="majorBidi"/>
          <w:b/>
          <w:bCs/>
          <w:i/>
          <w:iCs/>
          <w:sz w:val="20"/>
          <w:szCs w:val="20"/>
          <w:lang w:bidi="ar-AE"/>
        </w:rPr>
        <w:t>se sont divisés</w:t>
      </w:r>
      <w:r w:rsidRPr="00F230F1">
        <w:rPr>
          <w:rFonts w:asciiTheme="majorBidi" w:hAnsiTheme="majorBidi" w:cstheme="majorBidi"/>
          <w:sz w:val="20"/>
          <w:szCs w:val="20"/>
          <w:lang w:bidi="ar-AE"/>
        </w:rPr>
        <w:t xml:space="preserve"> à propos du temps de la secousse […]. Certains disent qu’elle arrivera dans ce monde avant le jour du jugement dernier. […] Yūnus m’a rapporté et dit : « […] ce sera le jour de la résurrection »."]</w:t>
      </w:r>
    </w:p>
  </w:footnote>
  <w:footnote w:id="217">
    <w:p w14:paraId="7A5AC6EF" w14:textId="77777777" w:rsidR="009C3BB9" w:rsidRPr="00F230F1" w:rsidRDefault="009C3BB9" w:rsidP="00F230F1">
      <w:pPr>
        <w:contextualSpacing/>
        <w:jc w:val="both"/>
        <w:rPr>
          <w:rFonts w:asciiTheme="majorBidi" w:eastAsia="Calibr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Ibn ʿArabī souligne qu’il s’agit de « </w:t>
      </w:r>
      <w:r w:rsidRPr="00F230F1">
        <w:rPr>
          <w:rFonts w:asciiTheme="majorBidi" w:eastAsia="Calibri" w:hAnsiTheme="majorBidi" w:cstheme="majorBidi"/>
          <w:i/>
          <w:iCs/>
          <w:sz w:val="20"/>
          <w:szCs w:val="20"/>
          <w:lang w:bidi="ar-AE"/>
        </w:rPr>
        <w:t xml:space="preserve">l’agitation de la terre du corps lors de la résurrection mineure </w:t>
      </w:r>
      <w:r w:rsidRPr="00F230F1">
        <w:rPr>
          <w:rFonts w:asciiTheme="majorBidi" w:eastAsia="Calibri" w:hAnsiTheme="majorBidi" w:cstheme="majorBidi"/>
          <w:sz w:val="20"/>
          <w:szCs w:val="20"/>
          <w:lang w:bidi="ar-AE"/>
        </w:rPr>
        <w:t>[</w:t>
      </w:r>
      <w:r w:rsidRPr="00F230F1">
        <w:rPr>
          <w:rFonts w:asciiTheme="majorBidi" w:eastAsia="Calibri" w:hAnsiTheme="majorBidi" w:cstheme="majorBidi"/>
          <w:i/>
          <w:iCs/>
          <w:sz w:val="20"/>
          <w:szCs w:val="20"/>
          <w:lang w:bidi="ar-AE"/>
        </w:rPr>
        <w:t>la mort</w:t>
      </w:r>
      <w:r w:rsidRPr="00F230F1">
        <w:rPr>
          <w:rFonts w:asciiTheme="majorBidi" w:eastAsia="Calibri" w:hAnsiTheme="majorBidi" w:cstheme="majorBidi"/>
          <w:sz w:val="20"/>
          <w:szCs w:val="20"/>
          <w:lang w:bidi="ar-AE"/>
        </w:rPr>
        <w:t>] » [</w:t>
      </w:r>
      <w:r w:rsidRPr="00F230F1">
        <w:rPr>
          <w:rFonts w:asciiTheme="majorBidi" w:eastAsia="Calibri" w:hAnsiTheme="majorBidi" w:cstheme="majorBidi"/>
          <w:i/>
          <w:iCs/>
          <w:sz w:val="20"/>
          <w:szCs w:val="20"/>
          <w:rtl/>
          <w:lang w:bidi="ar-AE"/>
        </w:rPr>
        <w:t>"اضطراب أرض البدن في القيامة الصغرى"</w:t>
      </w:r>
      <w:r w:rsidRPr="00F230F1">
        <w:rPr>
          <w:rFonts w:asciiTheme="majorBidi" w:eastAsia="Calibri" w:hAnsiTheme="majorBidi" w:cstheme="majorBidi"/>
          <w:sz w:val="20"/>
          <w:szCs w:val="20"/>
          <w:lang w:bidi="ar-AE"/>
        </w:rPr>
        <w:t>]. Amīn Shaykhū parle de « </w:t>
      </w:r>
      <w:r w:rsidRPr="00F230F1">
        <w:rPr>
          <w:rFonts w:asciiTheme="majorBidi" w:eastAsia="Calibri" w:hAnsiTheme="majorBidi" w:cstheme="majorBidi"/>
          <w:i/>
          <w:iCs/>
          <w:sz w:val="20"/>
          <w:szCs w:val="20"/>
          <w:lang w:bidi="ar-AE"/>
        </w:rPr>
        <w:t>l’heure du malheur grave qui bouleverse les âmes</w:t>
      </w:r>
      <w:r w:rsidRPr="00F230F1">
        <w:rPr>
          <w:rFonts w:asciiTheme="majorBidi" w:eastAsia="Calibri" w:hAnsiTheme="majorBidi" w:cstheme="majorBidi"/>
          <w:sz w:val="20"/>
          <w:szCs w:val="20"/>
          <w:lang w:bidi="ar-AE"/>
        </w:rPr>
        <w:t> » [</w:t>
      </w:r>
      <w:r w:rsidRPr="00F230F1">
        <w:rPr>
          <w:rFonts w:asciiTheme="majorBidi" w:eastAsia="Calibri" w:hAnsiTheme="majorBidi" w:cstheme="majorBidi"/>
          <w:i/>
          <w:iCs/>
          <w:sz w:val="20"/>
          <w:szCs w:val="20"/>
          <w:rtl/>
          <w:lang w:bidi="ar-AE"/>
        </w:rPr>
        <w:t>"شدة ساعة البلاء العظيم التي تُزلزِل النفوسَ"</w:t>
      </w:r>
      <w:r w:rsidRPr="00F230F1">
        <w:rPr>
          <w:rFonts w:asciiTheme="majorBidi" w:eastAsia="Calibri" w:hAnsiTheme="majorBidi" w:cstheme="majorBidi"/>
          <w:sz w:val="20"/>
          <w:szCs w:val="20"/>
          <w:lang w:bidi="ar-AE"/>
        </w:rPr>
        <w:t>].</w:t>
      </w:r>
    </w:p>
  </w:footnote>
  <w:footnote w:id="218">
    <w:p w14:paraId="078EC1BA" w14:textId="7D3ABEF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Abū Khuzām, Anwar Fuʾād, </w:t>
      </w:r>
      <w:r w:rsidRPr="00F230F1">
        <w:rPr>
          <w:rFonts w:asciiTheme="majorBidi" w:hAnsiTheme="majorBidi" w:cstheme="majorBidi"/>
          <w:i/>
          <w:iCs/>
          <w:sz w:val="20"/>
          <w:szCs w:val="20"/>
        </w:rPr>
        <w:t>ʾIslām Al-Muwaḥḥidīn</w:t>
      </w:r>
      <w:r w:rsidRPr="00F230F1">
        <w:rPr>
          <w:rFonts w:asciiTheme="majorBidi" w:hAnsiTheme="majorBidi" w:cstheme="majorBidi"/>
          <w:sz w:val="20"/>
          <w:szCs w:val="20"/>
        </w:rPr>
        <w:t xml:space="preserve">, Dār al-Yamāma, Beyrouth, 1995, p. 319. </w:t>
      </w:r>
      <w:r w:rsidRPr="00F230F1">
        <w:rPr>
          <w:rFonts w:asciiTheme="majorBidi" w:hAnsiTheme="majorBidi" w:cstheme="majorBidi"/>
          <w:i/>
          <w:iCs/>
          <w:sz w:val="20"/>
          <w:szCs w:val="20"/>
        </w:rPr>
        <w:t>op</w:t>
      </w:r>
      <w:r w:rsidRPr="00116ED9">
        <w:rPr>
          <w:rFonts w:asciiTheme="majorBidi" w:hAnsiTheme="majorBidi" w:cstheme="majorBidi"/>
          <w:i/>
          <w:iCs/>
          <w:sz w:val="20"/>
          <w:szCs w:val="20"/>
        </w:rPr>
        <w:t>. cit.</w:t>
      </w:r>
      <w:r w:rsidRPr="00116ED9">
        <w:rPr>
          <w:rFonts w:asciiTheme="majorBidi" w:hAnsiTheme="majorBidi" w:cstheme="majorBidi"/>
          <w:sz w:val="20"/>
          <w:szCs w:val="20"/>
        </w:rPr>
        <w:t xml:space="preserve"> Voir aussi les références évoquées dans la note n° 99 p. 41</w:t>
      </w:r>
      <w:r w:rsidRPr="00116ED9">
        <w:rPr>
          <w:rFonts w:asciiTheme="majorBidi" w:hAnsiTheme="majorBidi" w:cstheme="majorBidi"/>
          <w:sz w:val="20"/>
          <w:szCs w:val="20"/>
          <w:lang w:bidi="ar-AE"/>
        </w:rPr>
        <w:t xml:space="preserve">. </w:t>
      </w:r>
      <w:r w:rsidRPr="00116ED9">
        <w:rPr>
          <w:rFonts w:asciiTheme="majorBidi" w:hAnsiTheme="majorBidi" w:cstheme="majorBidi"/>
          <w:sz w:val="20"/>
          <w:szCs w:val="20"/>
        </w:rPr>
        <w:t xml:space="preserve">Ces références affirment que </w:t>
      </w:r>
      <w:r w:rsidRPr="00116ED9">
        <w:rPr>
          <w:rFonts w:asciiTheme="majorBidi" w:hAnsiTheme="majorBidi" w:cstheme="majorBidi"/>
          <w:sz w:val="20"/>
          <w:szCs w:val="20"/>
          <w:lang w:bidi="ar-AE"/>
        </w:rPr>
        <w:t>les druzes croient fermement à</w:t>
      </w:r>
      <w:r w:rsidRPr="00F230F1">
        <w:rPr>
          <w:rFonts w:asciiTheme="majorBidi" w:hAnsiTheme="majorBidi" w:cstheme="majorBidi"/>
          <w:sz w:val="20"/>
          <w:szCs w:val="20"/>
          <w:lang w:bidi="ar-AE"/>
        </w:rPr>
        <w:t xml:space="preserve"> la réincarnation (la transmigration des âmes), et par la suite, la résurrection n’est pour eux qu’une renaissance de l’âme dans ce monde. Le jugement dernier chez les monothéistes semble correspondre chez les druzes à la fin d’un Cycle Cosmique, d’un Temps Cosmique, d’une Période Cosmique, d’un grand Âge cosmique, du jour cosmique (</w:t>
      </w:r>
      <w:r w:rsidRPr="00F230F1">
        <w:rPr>
          <w:rFonts w:asciiTheme="majorBidi" w:hAnsiTheme="majorBidi" w:cstheme="majorBidi"/>
          <w:i/>
          <w:iCs/>
          <w:sz w:val="20"/>
          <w:szCs w:val="20"/>
          <w:lang w:bidi="ar-AE"/>
        </w:rPr>
        <w:t>Manvantara</w:t>
      </w:r>
      <w:r w:rsidRPr="00F230F1">
        <w:rPr>
          <w:rFonts w:asciiTheme="majorBidi" w:hAnsiTheme="majorBidi" w:cstheme="majorBidi"/>
          <w:sz w:val="20"/>
          <w:szCs w:val="20"/>
          <w:lang w:bidi="ar-AE"/>
        </w:rPr>
        <w:t>, l’âge de Manu) (qui sera suivi d’une nuit ou d’un repos cosmique (</w:t>
      </w:r>
      <w:r w:rsidRPr="00F230F1">
        <w:rPr>
          <w:rFonts w:asciiTheme="majorBidi" w:hAnsiTheme="majorBidi" w:cstheme="majorBidi"/>
          <w:i/>
          <w:iCs/>
          <w:sz w:val="20"/>
          <w:szCs w:val="20"/>
          <w:lang w:bidi="ar-AE"/>
        </w:rPr>
        <w:t>Pralaya</w:t>
      </w:r>
      <w:r w:rsidRPr="00F230F1">
        <w:rPr>
          <w:rFonts w:asciiTheme="majorBidi" w:hAnsiTheme="majorBidi" w:cstheme="majorBidi"/>
          <w:sz w:val="20"/>
          <w:szCs w:val="20"/>
          <w:lang w:bidi="ar-AE"/>
        </w:rPr>
        <w:t xml:space="preserve">)), c’est-à-dire, selon la mythologie hindoue, à la fin d’une ère cosmologique entre deux déluges qui compte 12000 années divines ou 71 </w:t>
      </w:r>
      <w:r w:rsidRPr="00F230F1">
        <w:rPr>
          <w:rFonts w:asciiTheme="majorBidi" w:hAnsiTheme="majorBidi" w:cstheme="majorBidi"/>
          <w:i/>
          <w:iCs/>
          <w:sz w:val="20"/>
          <w:szCs w:val="20"/>
          <w:lang w:bidi="ar-AE"/>
        </w:rPr>
        <w:t>mahāyuga</w:t>
      </w:r>
      <w:r w:rsidRPr="00F230F1">
        <w:rPr>
          <w:rFonts w:asciiTheme="majorBidi" w:hAnsiTheme="majorBidi" w:cstheme="majorBidi"/>
          <w:sz w:val="20"/>
          <w:szCs w:val="20"/>
          <w:lang w:bidi="ar-AE"/>
        </w:rPr>
        <w:t xml:space="preserve"> soit environ 307 millions d’années. Ainsi, la résurrection druze n’a rien à voir avec la résurrection sémitique abrahamique monothéiste, et elle est proche de la notion hindoue, d’où s’ensuit que le concept monothéiste de l’enfer et du paradis n’est que des états psychologiques de l’âme sur cette terre et dans ce monde d’ici-bas.</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Le professeur Muḥammad Khalīl </w:t>
      </w:r>
      <w:r w:rsidRPr="00F230F1">
        <w:rPr>
          <w:rFonts w:asciiTheme="majorBidi" w:hAnsiTheme="majorBidi" w:cstheme="majorBidi"/>
          <w:sz w:val="20"/>
          <w:szCs w:val="20"/>
        </w:rPr>
        <w:t xml:space="preserve">Al-Bāshā (l’auteur de </w:t>
      </w:r>
      <w:r w:rsidRPr="00F230F1">
        <w:rPr>
          <w:rFonts w:asciiTheme="majorBidi" w:hAnsiTheme="majorBidi" w:cstheme="majorBidi"/>
          <w:i/>
          <w:iCs/>
          <w:sz w:val="20"/>
          <w:szCs w:val="20"/>
        </w:rPr>
        <w:t>Muʿjam ʾAʿlām ad-Drūz</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Dictionnaire des noms propres druzes</w:t>
      </w:r>
      <w:r w:rsidRPr="00F230F1">
        <w:rPr>
          <w:rFonts w:asciiTheme="majorBidi" w:hAnsiTheme="majorBidi" w:cstheme="majorBidi"/>
          <w:sz w:val="20"/>
          <w:szCs w:val="20"/>
        </w:rPr>
        <w:t>])</w:t>
      </w:r>
      <w:r w:rsidRPr="00F230F1">
        <w:rPr>
          <w:rFonts w:asciiTheme="majorBidi" w:hAnsiTheme="majorBidi" w:cstheme="majorBidi"/>
          <w:sz w:val="20"/>
          <w:szCs w:val="20"/>
          <w:lang w:bidi="ar-AE"/>
        </w:rPr>
        <w:t xml:space="preserve"> souligne (dans </w:t>
      </w:r>
      <w:r w:rsidRPr="00F230F1">
        <w:rPr>
          <w:rFonts w:asciiTheme="majorBidi" w:hAnsiTheme="majorBidi" w:cstheme="majorBidi"/>
          <w:i/>
          <w:iCs/>
          <w:sz w:val="20"/>
          <w:szCs w:val="20"/>
        </w:rPr>
        <w:t>ʾAl-ʾinsān wa-taqallubātihi fi-l-ʾāfāq</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L’être humain et ses mutabilités dans les horizons</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les lieux</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Dār Nawfal, Beyrouth, 1994, p. 319</w:t>
      </w:r>
      <w:r w:rsidRPr="00F230F1">
        <w:rPr>
          <w:rFonts w:asciiTheme="majorBidi" w:hAnsiTheme="majorBidi" w:cstheme="majorBidi"/>
          <w:sz w:val="20"/>
          <w:szCs w:val="20"/>
          <w:lang w:bidi="ar-AE"/>
        </w:rPr>
        <w:t>) que l’être humain porte sur le dos son paradis et son enfer et que l’existence de ces derniers n’est que morale.</w:t>
      </w:r>
    </w:p>
  </w:footnote>
  <w:footnote w:id="219">
    <w:p w14:paraId="0AAABCA3"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eastAsia="Calibri" w:hAnsiTheme="majorBidi" w:cstheme="majorBidi"/>
          <w:sz w:val="20"/>
          <w:szCs w:val="20"/>
          <w:lang w:bidi="ar-AE"/>
        </w:rPr>
        <w:t xml:space="preserve">Dans son célèbre ouvrage </w:t>
      </w:r>
      <w:r w:rsidRPr="00F230F1">
        <w:rPr>
          <w:rFonts w:asciiTheme="majorBidi" w:eastAsia="Calibri" w:hAnsiTheme="majorBidi" w:cstheme="majorBidi"/>
          <w:i/>
          <w:iCs/>
          <w:sz w:val="20"/>
          <w:szCs w:val="20"/>
          <w:lang w:bidi="ar-AE"/>
        </w:rPr>
        <w:t>Kitāb Al-Milal wa-an-Niḥal</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Le livre des religions et des sectes</w:t>
      </w:r>
      <w:r w:rsidRPr="00F230F1">
        <w:rPr>
          <w:rFonts w:asciiTheme="majorBidi" w:eastAsia="Calibri" w:hAnsiTheme="majorBidi" w:cstheme="majorBidi"/>
          <w:sz w:val="20"/>
          <w:szCs w:val="20"/>
          <w:lang w:bidi="ar-AE"/>
        </w:rPr>
        <w:t>] (Éditions Dār al-Kutub Al-ʿIlmīya, Beyrouth, 2</w:t>
      </w:r>
      <w:r w:rsidRPr="00F230F1">
        <w:rPr>
          <w:rFonts w:asciiTheme="majorBidi" w:eastAsia="Calibri" w:hAnsiTheme="majorBidi" w:cstheme="majorBidi"/>
          <w:sz w:val="20"/>
          <w:szCs w:val="20"/>
          <w:vertAlign w:val="superscript"/>
          <w:lang w:bidi="ar-AE"/>
        </w:rPr>
        <w:t>ème</w:t>
      </w:r>
      <w:r w:rsidRPr="00F230F1">
        <w:rPr>
          <w:rFonts w:asciiTheme="majorBidi" w:eastAsia="Calibri" w:hAnsiTheme="majorBidi" w:cstheme="majorBidi"/>
          <w:sz w:val="20"/>
          <w:szCs w:val="20"/>
          <w:lang w:bidi="ar-AE"/>
        </w:rPr>
        <w:t xml:space="preserve"> édition, pp. 203 et 204, </w:t>
      </w:r>
      <w:r w:rsidRPr="00F230F1">
        <w:rPr>
          <w:rFonts w:asciiTheme="majorBidi" w:eastAsia="Calibri" w:hAnsiTheme="majorBidi" w:cstheme="majorBidi"/>
          <w:i/>
          <w:iCs/>
          <w:sz w:val="20"/>
          <w:szCs w:val="20"/>
          <w:lang w:bidi="ar-AE"/>
        </w:rPr>
        <w:t>op. cit.</w:t>
      </w:r>
      <w:r w:rsidRPr="00F230F1">
        <w:rPr>
          <w:rFonts w:asciiTheme="majorBidi" w:eastAsia="Calibri" w:hAnsiTheme="majorBidi" w:cstheme="majorBidi"/>
          <w:sz w:val="20"/>
          <w:szCs w:val="20"/>
          <w:lang w:bidi="ar-AE"/>
        </w:rPr>
        <w:t>), Ash-Shahrastānī souligne que la grande Résurrection chez les sectes ésotériques est le fait que l’âme atteigne sa perfection [son épanouissement], c’est-à-dire l’étape de la Raison et de la Sagesse. À ce stade, les structures de l’Univers, des éléments et des composants dégénèrent et se décomposent (« </w:t>
      </w:r>
      <w:r w:rsidRPr="00F230F1">
        <w:rPr>
          <w:rFonts w:asciiTheme="majorBidi" w:eastAsia="Calibri" w:hAnsiTheme="majorBidi" w:cstheme="majorBidi"/>
          <w:i/>
          <w:iCs/>
          <w:sz w:val="20"/>
          <w:szCs w:val="20"/>
          <w:lang w:bidi="ar-AE"/>
        </w:rPr>
        <w:t>Al-qiyāma al-kubra</w:t>
      </w:r>
      <w:r w:rsidRPr="00F230F1">
        <w:rPr>
          <w:rFonts w:asciiTheme="majorBidi" w:hAnsiTheme="majorBidi" w:cstheme="majorBidi"/>
          <w:i/>
          <w:iCs/>
          <w:sz w:val="20"/>
          <w:szCs w:val="20"/>
        </w:rPr>
        <w:t xml:space="preserve"> </w:t>
      </w:r>
      <w:r w:rsidRPr="00F230F1">
        <w:rPr>
          <w:rFonts w:asciiTheme="majorBidi" w:eastAsia="Calibri" w:hAnsiTheme="majorBidi" w:cstheme="majorBidi"/>
          <w:i/>
          <w:iCs/>
          <w:sz w:val="20"/>
          <w:szCs w:val="20"/>
          <w:lang w:bidi="ar-AE"/>
        </w:rPr>
        <w:t>ʿinda firaq al-bāṭinyya hiya bulūgh an-nafs kamāla-hā,</w:t>
      </w:r>
      <w:r w:rsidRPr="00F230F1">
        <w:rPr>
          <w:rFonts w:asciiTheme="majorBidi" w:hAnsiTheme="majorBidi" w:cstheme="majorBidi"/>
          <w:i/>
          <w:iCs/>
          <w:sz w:val="20"/>
          <w:szCs w:val="20"/>
        </w:rPr>
        <w:t xml:space="preserve"> </w:t>
      </w:r>
      <w:r w:rsidRPr="00F230F1">
        <w:rPr>
          <w:rFonts w:asciiTheme="majorBidi" w:eastAsia="Calibri" w:hAnsiTheme="majorBidi" w:cstheme="majorBidi"/>
          <w:i/>
          <w:iCs/>
          <w:sz w:val="20"/>
          <w:szCs w:val="20"/>
          <w:lang w:bidi="ar-AE"/>
        </w:rPr>
        <w:t>ay</w:t>
      </w:r>
      <w:r w:rsidRPr="00F230F1">
        <w:rPr>
          <w:rFonts w:asciiTheme="majorBidi" w:hAnsiTheme="majorBidi" w:cstheme="majorBidi"/>
          <w:i/>
          <w:iCs/>
          <w:sz w:val="20"/>
          <w:szCs w:val="20"/>
        </w:rPr>
        <w:t xml:space="preserve"> </w:t>
      </w:r>
      <w:r w:rsidRPr="00F230F1">
        <w:rPr>
          <w:rFonts w:asciiTheme="majorBidi" w:eastAsia="Calibri" w:hAnsiTheme="majorBidi" w:cstheme="majorBidi"/>
          <w:i/>
          <w:iCs/>
          <w:sz w:val="20"/>
          <w:szCs w:val="20"/>
          <w:lang w:bidi="ar-AE"/>
        </w:rPr>
        <w:t>bulūgh darajat al-ʿaql, fa-tanḥallu tarākīb al-aflāk wa-l-ʿanāṣir wa-l-murakkabāt [al-markabāt]</w:t>
      </w:r>
      <w:r w:rsidRPr="00F230F1">
        <w:rPr>
          <w:rFonts w:asciiTheme="majorBidi" w:eastAsia="Calibri" w:hAnsiTheme="majorBidi" w:cstheme="majorBidi"/>
          <w:sz w:val="20"/>
          <w:szCs w:val="20"/>
          <w:lang w:bidi="ar-AE"/>
        </w:rPr>
        <w:t> »).</w:t>
      </w:r>
    </w:p>
  </w:footnote>
  <w:footnote w:id="220">
    <w:p w14:paraId="5313784E" w14:textId="77777777" w:rsidR="009C3BB9" w:rsidRPr="00F230F1" w:rsidRDefault="009C3BB9" w:rsidP="00F230F1">
      <w:pPr>
        <w:contextualSpacing/>
        <w:jc w:val="both"/>
        <w:rPr>
          <w:rFonts w:asciiTheme="majorBidi" w:eastAsia="Times New Roman"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Voir : </w:t>
      </w:r>
      <w:r w:rsidRPr="00F230F1">
        <w:rPr>
          <w:rFonts w:asciiTheme="majorBidi" w:hAnsiTheme="majorBidi" w:cstheme="majorBidi"/>
          <w:sz w:val="20"/>
          <w:szCs w:val="20"/>
          <w:lang w:bidi="ar-AE"/>
        </w:rPr>
        <w:t xml:space="preserve">ʾAl-Ḥarīrī, Abū Mūsā [Joseph Azzi], </w:t>
      </w:r>
      <w:r w:rsidRPr="00F230F1">
        <w:rPr>
          <w:rFonts w:asciiTheme="majorBidi" w:hAnsiTheme="majorBidi" w:cstheme="majorBidi"/>
          <w:i/>
          <w:iCs/>
          <w:sz w:val="20"/>
          <w:szCs w:val="20"/>
          <w:lang w:bidi="ar-AE"/>
        </w:rPr>
        <w:t>ʾAl-ʿAlawyīūn an-Nuṣayryīūn. op. cit.</w:t>
      </w:r>
      <w:r w:rsidRPr="00F230F1">
        <w:rPr>
          <w:rFonts w:asciiTheme="majorBidi" w:hAnsiTheme="majorBidi" w:cstheme="majorBidi"/>
          <w:sz w:val="20"/>
          <w:szCs w:val="20"/>
          <w:lang w:bidi="ar-AE"/>
        </w:rPr>
        <w:t>, p. 60. Il dit :</w:t>
      </w:r>
    </w:p>
    <w:p w14:paraId="2CFB1FEE" w14:textId="77777777" w:rsidR="009C3BB9" w:rsidRPr="00F230F1" w:rsidRDefault="009C3BB9" w:rsidP="00F230F1">
      <w:pPr>
        <w:bidi/>
        <w:contextualSpacing/>
        <w:jc w:val="both"/>
        <w:rPr>
          <w:rFonts w:asciiTheme="majorBidi" w:hAnsiTheme="majorBidi" w:cstheme="majorBidi"/>
          <w:sz w:val="20"/>
          <w:szCs w:val="20"/>
          <w:rtl/>
          <w:lang w:bidi="ar-KW"/>
        </w:rPr>
      </w:pPr>
      <w:r w:rsidRPr="00F230F1">
        <w:rPr>
          <w:rFonts w:asciiTheme="majorBidi" w:hAnsiTheme="majorBidi" w:cstheme="majorBidi"/>
          <w:sz w:val="20"/>
          <w:szCs w:val="20"/>
          <w:rtl/>
          <w:lang w:bidi="ar-AE"/>
        </w:rPr>
        <w:t xml:space="preserve">"يصف النصيريون اليوم الأخير من الخليقة بأنَّ علياً سيظهر مجدَّداً ويُعلِن امتلاكَه العالَم من أقصاه إلى أقصاه، فيكون هو </w:t>
      </w:r>
      <w:r w:rsidRPr="00F230F1">
        <w:rPr>
          <w:rFonts w:asciiTheme="majorBidi" w:hAnsiTheme="majorBidi" w:cstheme="majorBidi"/>
          <w:b/>
          <w:bCs/>
          <w:i/>
          <w:iCs/>
          <w:sz w:val="20"/>
          <w:szCs w:val="20"/>
          <w:rtl/>
          <w:lang w:bidi="ar-AE"/>
        </w:rPr>
        <w:t>سيد الكل ورب العالمين</w:t>
      </w:r>
      <w:r w:rsidRPr="00F230F1">
        <w:rPr>
          <w:rFonts w:asciiTheme="majorBidi" w:hAnsiTheme="majorBidi" w:cstheme="majorBidi"/>
          <w:sz w:val="20"/>
          <w:szCs w:val="20"/>
          <w:rtl/>
          <w:lang w:bidi="ar-AE"/>
        </w:rPr>
        <w:t xml:space="preserve">. ولن يكونَ بعد هذا الظهور أي ظهور آخر، لأنه لن تكون بعده غيبة. فـــ «مولانا أمير المؤمنين يَظهر مِن دونِ احتجاب في آخر الزمان بمجد وبهاء عظيم </w:t>
      </w:r>
      <w:r w:rsidRPr="00F230F1">
        <w:rPr>
          <w:rFonts w:asciiTheme="majorBidi" w:hAnsiTheme="majorBidi" w:cstheme="majorBidi"/>
          <w:b/>
          <w:bCs/>
          <w:i/>
          <w:iCs/>
          <w:sz w:val="20"/>
          <w:szCs w:val="20"/>
          <w:rtl/>
          <w:lang w:bidi="ar-AE"/>
        </w:rPr>
        <w:t>ويخَـــلِّص أرواحَ المؤمنين من قبورها التي هي قمصانها اللحمية الدموية</w:t>
      </w:r>
      <w:r w:rsidRPr="00F230F1">
        <w:rPr>
          <w:rFonts w:asciiTheme="majorBidi" w:hAnsiTheme="majorBidi" w:cstheme="majorBidi"/>
          <w:sz w:val="20"/>
          <w:szCs w:val="20"/>
          <w:rtl/>
          <w:lang w:bidi="ar-AE"/>
        </w:rPr>
        <w:t xml:space="preserve"> ويجعلها تسكن بالأنوار الأبدية»."</w:t>
      </w:r>
    </w:p>
    <w:p w14:paraId="3904ADE6" w14:textId="77777777" w:rsidR="009C3BB9" w:rsidRPr="00F230F1" w:rsidRDefault="009C3BB9" w:rsidP="00F230F1">
      <w:pPr>
        <w:contextualSpacing/>
        <w:jc w:val="both"/>
        <w:rPr>
          <w:rFonts w:asciiTheme="majorBidi" w:hAnsiTheme="majorBidi" w:cstheme="majorBidi"/>
          <w:sz w:val="20"/>
          <w:szCs w:val="20"/>
          <w:lang w:bidi="ar-KW"/>
        </w:rPr>
      </w:pPr>
      <w:r w:rsidRPr="00F230F1">
        <w:rPr>
          <w:rFonts w:asciiTheme="majorBidi" w:hAnsiTheme="majorBidi" w:cstheme="majorBidi"/>
          <w:sz w:val="20"/>
          <w:szCs w:val="20"/>
          <w:lang w:bidi="ar-KW"/>
        </w:rPr>
        <w:t xml:space="preserve">[« Les Nusayrites décrivent le jour dernier du monde par le fait que ʿAlī se manifestera à nouveau et déclarera sa possession du monde de bout en bout ; il est ainsi </w:t>
      </w:r>
      <w:r w:rsidRPr="00F230F1">
        <w:rPr>
          <w:rFonts w:asciiTheme="majorBidi" w:hAnsiTheme="majorBidi" w:cstheme="majorBidi"/>
          <w:b/>
          <w:bCs/>
          <w:i/>
          <w:iCs/>
          <w:sz w:val="20"/>
          <w:szCs w:val="20"/>
          <w:lang w:bidi="ar-KW"/>
        </w:rPr>
        <w:t>le maître de tout et le Seigneur des mondes</w:t>
      </w:r>
      <w:r w:rsidRPr="00F230F1">
        <w:rPr>
          <w:rFonts w:asciiTheme="majorBidi" w:hAnsiTheme="majorBidi" w:cstheme="majorBidi"/>
          <w:sz w:val="20"/>
          <w:szCs w:val="20"/>
          <w:lang w:bidi="ar-KW"/>
        </w:rPr>
        <w:t xml:space="preserve">. Cette manifestation ne sera suivie d’aucune manifestation, car il n’y aura plus d’occultation. Ainsi, « notre maître, le commandant des croyants, se manifestera sans occultation à la fin des temps dans une gloire et une grande splendeur, </w:t>
      </w:r>
      <w:r w:rsidRPr="00F230F1">
        <w:rPr>
          <w:rFonts w:asciiTheme="majorBidi" w:hAnsiTheme="majorBidi" w:cstheme="majorBidi"/>
          <w:b/>
          <w:bCs/>
          <w:i/>
          <w:iCs/>
          <w:sz w:val="20"/>
          <w:szCs w:val="20"/>
          <w:lang w:bidi="ar-KW"/>
        </w:rPr>
        <w:t xml:space="preserve">rédimera les âmes des croyants de leurs tombes qui sont leurs chemises en chair et en sang </w:t>
      </w:r>
      <w:r w:rsidRPr="00F230F1">
        <w:rPr>
          <w:rFonts w:asciiTheme="majorBidi" w:hAnsiTheme="majorBidi" w:cstheme="majorBidi"/>
          <w:sz w:val="20"/>
          <w:szCs w:val="20"/>
          <w:lang w:bidi="ar-KW"/>
        </w:rPr>
        <w:t>et les logera dans les lumières éternelles ». »]</w:t>
      </w:r>
    </w:p>
  </w:footnote>
  <w:footnote w:id="221">
    <w:p w14:paraId="0390327D" w14:textId="77777777" w:rsidR="009C3BB9" w:rsidRPr="00F230F1" w:rsidRDefault="009C3BB9" w:rsidP="00F230F1">
      <w:pPr>
        <w:tabs>
          <w:tab w:val="right" w:pos="9360"/>
        </w:tabs>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EG"/>
        </w:rPr>
        <w:t>Fakhr Ad-Dīn Ar-Rāzī</w:t>
      </w:r>
      <w:r w:rsidRPr="00F230F1">
        <w:rPr>
          <w:rFonts w:asciiTheme="majorBidi" w:hAnsiTheme="majorBidi" w:cstheme="majorBidi"/>
          <w:sz w:val="20"/>
          <w:szCs w:val="20"/>
          <w:lang w:bidi="ar-EG"/>
        </w:rPr>
        <w:t xml:space="preserve">, </w:t>
      </w:r>
      <w:r w:rsidRPr="00F230F1">
        <w:rPr>
          <w:rFonts w:asciiTheme="majorBidi" w:hAnsiTheme="majorBidi" w:cstheme="majorBidi"/>
          <w:i/>
          <w:iCs/>
          <w:sz w:val="20"/>
          <w:szCs w:val="20"/>
          <w:lang w:bidi="ar-EG"/>
        </w:rPr>
        <w:t>At-Tafsīr Al-Kabīr</w:t>
      </w:r>
      <w:r w:rsidRPr="00F230F1">
        <w:rPr>
          <w:rFonts w:asciiTheme="majorBidi" w:hAnsiTheme="majorBidi" w:cstheme="majorBidi"/>
          <w:sz w:val="20"/>
          <w:szCs w:val="20"/>
          <w:lang w:bidi="ar-EG"/>
        </w:rPr>
        <w:t xml:space="preserve"> ou </w:t>
      </w:r>
      <w:r w:rsidRPr="00F230F1">
        <w:rPr>
          <w:rFonts w:asciiTheme="majorBidi" w:hAnsiTheme="majorBidi" w:cstheme="majorBidi"/>
          <w:i/>
          <w:iCs/>
          <w:sz w:val="20"/>
          <w:szCs w:val="20"/>
          <w:lang w:bidi="ar-EG"/>
        </w:rPr>
        <w:t>Mafātīḥ Al-Ghayb</w:t>
      </w:r>
      <w:r w:rsidRPr="00F230F1">
        <w:rPr>
          <w:rFonts w:asciiTheme="majorBidi" w:hAnsiTheme="majorBidi" w:cstheme="majorBidi"/>
          <w:sz w:val="20"/>
          <w:szCs w:val="20"/>
          <w:lang w:bidi="ar-EG"/>
        </w:rPr>
        <w:t>.</w:t>
      </w:r>
      <w:r w:rsidRPr="00F230F1">
        <w:rPr>
          <w:rFonts w:asciiTheme="majorBidi" w:hAnsiTheme="majorBidi" w:cstheme="majorBidi"/>
          <w:sz w:val="20"/>
          <w:szCs w:val="20"/>
          <w:lang w:bidi="ar-EG"/>
        </w:rPr>
        <w:tab/>
      </w:r>
    </w:p>
  </w:footnote>
  <w:footnote w:id="222">
    <w:p w14:paraId="4DEDA865"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Rapporté également par Al-Bukhārī (10/130,131) et (10/179) dans </w:t>
      </w:r>
      <w:r w:rsidRPr="00F230F1">
        <w:rPr>
          <w:rFonts w:asciiTheme="majorBidi" w:hAnsiTheme="majorBidi" w:cstheme="majorBidi"/>
          <w:i/>
          <w:iCs/>
          <w:sz w:val="20"/>
          <w:szCs w:val="20"/>
        </w:rPr>
        <w:t>Kitāb a</w:t>
      </w:r>
      <w:r w:rsidRPr="00F230F1">
        <w:rPr>
          <w:rFonts w:asciiTheme="majorBidi" w:eastAsia="Times New Roman" w:hAnsiTheme="majorBidi" w:cstheme="majorBidi"/>
          <w:i/>
          <w:iCs/>
          <w:sz w:val="20"/>
          <w:szCs w:val="20"/>
        </w:rPr>
        <w:t>ṭ</w:t>
      </w:r>
      <w:r w:rsidRPr="00F230F1">
        <w:rPr>
          <w:rFonts w:asciiTheme="majorBidi" w:hAnsiTheme="majorBidi" w:cstheme="majorBidi"/>
          <w:i/>
          <w:iCs/>
          <w:sz w:val="20"/>
          <w:szCs w:val="20"/>
        </w:rPr>
        <w:t>-</w:t>
      </w:r>
      <w:r w:rsidRPr="00F230F1">
        <w:rPr>
          <w:rFonts w:asciiTheme="majorBidi" w:eastAsia="Times New Roman" w:hAnsiTheme="majorBidi" w:cstheme="majorBidi"/>
          <w:i/>
          <w:iCs/>
          <w:sz w:val="20"/>
          <w:szCs w:val="20"/>
        </w:rPr>
        <w:t>Ṭ</w:t>
      </w:r>
      <w:r w:rsidRPr="00F230F1">
        <w:rPr>
          <w:rFonts w:asciiTheme="majorBidi" w:hAnsiTheme="majorBidi" w:cstheme="majorBidi"/>
          <w:i/>
          <w:iCs/>
          <w:sz w:val="20"/>
          <w:szCs w:val="20"/>
        </w:rPr>
        <w:t>ibb</w:t>
      </w:r>
      <w:r w:rsidRPr="00F230F1">
        <w:rPr>
          <w:rFonts w:asciiTheme="majorBidi" w:hAnsiTheme="majorBidi" w:cstheme="majorBidi"/>
          <w:sz w:val="20"/>
          <w:szCs w:val="20"/>
        </w:rPr>
        <w:t xml:space="preserve"> et par Muslim dans </w:t>
      </w:r>
      <w:r w:rsidRPr="00F230F1">
        <w:rPr>
          <w:rFonts w:asciiTheme="majorBidi" w:hAnsiTheme="majorBidi" w:cstheme="majorBidi"/>
          <w:i/>
          <w:iCs/>
          <w:sz w:val="20"/>
          <w:szCs w:val="20"/>
        </w:rPr>
        <w:t>Kitāb al-Imān</w:t>
      </w:r>
      <w:r w:rsidRPr="00F230F1">
        <w:rPr>
          <w:rFonts w:asciiTheme="majorBidi" w:hAnsiTheme="majorBidi" w:cstheme="majorBidi"/>
          <w:sz w:val="20"/>
          <w:szCs w:val="20"/>
        </w:rPr>
        <w:t>.</w:t>
      </w:r>
    </w:p>
  </w:footnote>
  <w:footnote w:id="223">
    <w:p w14:paraId="3162135E"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Tafsīr a</w:t>
      </w:r>
      <w:r w:rsidRPr="00F230F1">
        <w:rPr>
          <w:rFonts w:asciiTheme="majorBidi" w:eastAsia="Times New Roman" w:hAnsiTheme="majorBidi" w:cstheme="majorBidi"/>
          <w:i/>
          <w:iCs/>
          <w:sz w:val="20"/>
          <w:szCs w:val="20"/>
        </w:rPr>
        <w:t>ṭ</w:t>
      </w:r>
      <w:r w:rsidRPr="00F230F1">
        <w:rPr>
          <w:rFonts w:asciiTheme="majorBidi" w:hAnsiTheme="majorBidi" w:cstheme="majorBidi"/>
          <w:i/>
          <w:iCs/>
          <w:sz w:val="20"/>
          <w:szCs w:val="20"/>
        </w:rPr>
        <w:t>-</w:t>
      </w:r>
      <w:r w:rsidRPr="00F230F1">
        <w:rPr>
          <w:rFonts w:asciiTheme="majorBidi" w:eastAsia="Times New Roman" w:hAnsiTheme="majorBidi" w:cstheme="majorBidi"/>
          <w:i/>
          <w:iCs/>
          <w:sz w:val="20"/>
          <w:szCs w:val="20"/>
        </w:rPr>
        <w:t>Ṭ</w:t>
      </w:r>
      <w:r w:rsidRPr="00F230F1">
        <w:rPr>
          <w:rFonts w:asciiTheme="majorBidi" w:hAnsiTheme="majorBidi" w:cstheme="majorBidi"/>
          <w:i/>
          <w:iCs/>
          <w:sz w:val="20"/>
          <w:szCs w:val="20"/>
        </w:rPr>
        <w:t>abarī</w:t>
      </w:r>
      <w:r w:rsidRPr="00F230F1">
        <w:rPr>
          <w:rFonts w:asciiTheme="majorBidi" w:hAnsiTheme="majorBidi" w:cstheme="majorBidi"/>
          <w:sz w:val="20"/>
          <w:szCs w:val="20"/>
        </w:rPr>
        <w:t>, Éditions Mu</w:t>
      </w:r>
      <w:r w:rsidRPr="00F230F1">
        <w:rPr>
          <w:rFonts w:asciiTheme="majorBidi" w:eastAsia="Times New Roman" w:hAnsiTheme="majorBidi" w:cstheme="majorBidi"/>
          <w:sz w:val="20"/>
          <w:szCs w:val="20"/>
        </w:rPr>
        <w:t>ʾ</w:t>
      </w:r>
      <w:r w:rsidRPr="00F230F1">
        <w:rPr>
          <w:rFonts w:asciiTheme="majorBidi" w:hAnsiTheme="majorBidi" w:cstheme="majorBidi"/>
          <w:sz w:val="20"/>
          <w:szCs w:val="20"/>
        </w:rPr>
        <w:t xml:space="preserve">assasat ar-Risāla, Beyrouth, première édition, 1994, volume 5, p. 292 et 296. </w:t>
      </w:r>
      <w:r w:rsidRPr="00F230F1">
        <w:rPr>
          <w:rFonts w:asciiTheme="majorBidi" w:hAnsiTheme="majorBidi" w:cstheme="majorBidi"/>
          <w:i/>
          <w:iCs/>
          <w:sz w:val="20"/>
          <w:szCs w:val="20"/>
        </w:rPr>
        <w:t>Tafsīr al-Qurtubī</w:t>
      </w:r>
      <w:r w:rsidRPr="00F230F1">
        <w:rPr>
          <w:rFonts w:asciiTheme="majorBidi" w:hAnsiTheme="majorBidi" w:cstheme="majorBidi"/>
          <w:sz w:val="20"/>
          <w:szCs w:val="20"/>
        </w:rPr>
        <w:t>, Dār al-Fikr, Damas, t. 12, p. 16 [</w:t>
      </w:r>
      <w:hyperlink r:id="rId81" w:history="1">
        <w:r w:rsidRPr="00F230F1">
          <w:rPr>
            <w:rStyle w:val="Lienhypertexte"/>
            <w:rFonts w:asciiTheme="majorBidi" w:hAnsiTheme="majorBidi" w:cstheme="majorBidi"/>
            <w:sz w:val="20"/>
            <w:szCs w:val="20"/>
          </w:rPr>
          <w:t>http://library.islamweb.net/newlibrary/display_book.php?idfrom=2359&amp;idto=2359&amp;bk_no=48&amp;ID=1795</w:t>
        </w:r>
      </w:hyperlink>
      <w:r w:rsidRPr="00F230F1">
        <w:rPr>
          <w:rFonts w:asciiTheme="majorBidi" w:hAnsiTheme="majorBidi" w:cstheme="majorBidi"/>
          <w:sz w:val="20"/>
          <w:szCs w:val="20"/>
        </w:rPr>
        <w:t xml:space="preserve">  (consulté le 29/07/2017).</w:t>
      </w:r>
    </w:p>
  </w:footnote>
  <w:footnote w:id="224">
    <w:p w14:paraId="1A8DCD79"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As-Sīra an-Nabawyya li-bn Hishām</w:t>
      </w:r>
      <w:r w:rsidRPr="00F230F1">
        <w:rPr>
          <w:rFonts w:asciiTheme="majorBidi" w:hAnsiTheme="majorBidi" w:cstheme="majorBidi"/>
          <w:sz w:val="20"/>
          <w:szCs w:val="20"/>
        </w:rPr>
        <w:t>, revu par : Mus</w:t>
      </w:r>
      <w:r w:rsidRPr="00F230F1">
        <w:rPr>
          <w:rFonts w:asciiTheme="majorBidi" w:eastAsia="Times New Roman" w:hAnsiTheme="majorBidi" w:cstheme="majorBidi"/>
          <w:sz w:val="20"/>
          <w:szCs w:val="20"/>
        </w:rPr>
        <w:t>ṭ</w:t>
      </w:r>
      <w:r w:rsidRPr="00F230F1">
        <w:rPr>
          <w:rFonts w:asciiTheme="majorBidi" w:hAnsiTheme="majorBidi" w:cstheme="majorBidi"/>
          <w:sz w:val="20"/>
          <w:szCs w:val="20"/>
        </w:rPr>
        <w:t xml:space="preserve">afā as-Saqqa </w:t>
      </w:r>
      <w:r w:rsidRPr="00F230F1">
        <w:rPr>
          <w:rFonts w:asciiTheme="majorBidi" w:hAnsiTheme="majorBidi" w:cstheme="majorBidi"/>
          <w:i/>
          <w:iCs/>
          <w:sz w:val="20"/>
          <w:szCs w:val="20"/>
        </w:rPr>
        <w:t>et al.</w:t>
      </w:r>
      <w:r w:rsidRPr="00F230F1">
        <w:rPr>
          <w:rFonts w:asciiTheme="majorBidi" w:hAnsiTheme="majorBidi" w:cstheme="majorBidi"/>
          <w:sz w:val="20"/>
          <w:szCs w:val="20"/>
        </w:rPr>
        <w:t>, deuxième édition, 1995, édition de Mus</w:t>
      </w:r>
      <w:r w:rsidRPr="00F230F1">
        <w:rPr>
          <w:rFonts w:asciiTheme="majorBidi" w:eastAsia="Times New Roman" w:hAnsiTheme="majorBidi" w:cstheme="majorBidi"/>
          <w:sz w:val="20"/>
          <w:szCs w:val="20"/>
        </w:rPr>
        <w:t>ṭ</w:t>
      </w:r>
      <w:r w:rsidRPr="00F230F1">
        <w:rPr>
          <w:rFonts w:asciiTheme="majorBidi" w:hAnsiTheme="majorBidi" w:cstheme="majorBidi"/>
          <w:sz w:val="20"/>
          <w:szCs w:val="20"/>
        </w:rPr>
        <w:t>afā al-Bābī al-</w:t>
      </w:r>
      <w:r w:rsidRPr="00F230F1">
        <w:rPr>
          <w:rFonts w:asciiTheme="majorBidi" w:eastAsia="Times New Roman" w:hAnsiTheme="majorBidi" w:cstheme="majorBidi"/>
          <w:color w:val="C00000"/>
          <w:sz w:val="20"/>
          <w:szCs w:val="20"/>
        </w:rPr>
        <w:t xml:space="preserve"> </w:t>
      </w:r>
      <w:r w:rsidRPr="00F230F1">
        <w:rPr>
          <w:rFonts w:asciiTheme="majorBidi" w:eastAsia="Times New Roman" w:hAnsiTheme="majorBidi" w:cstheme="majorBidi"/>
          <w:sz w:val="20"/>
          <w:szCs w:val="20"/>
        </w:rPr>
        <w:t>Ḥ</w:t>
      </w:r>
      <w:r w:rsidRPr="00F230F1">
        <w:rPr>
          <w:rFonts w:asciiTheme="majorBidi" w:hAnsiTheme="majorBidi" w:cstheme="majorBidi"/>
          <w:sz w:val="20"/>
          <w:szCs w:val="20"/>
        </w:rPr>
        <w:t xml:space="preserve">alabī, Égypte, volume 2, p. 300. [La </w:t>
      </w:r>
      <w:r w:rsidRPr="00F230F1">
        <w:rPr>
          <w:rFonts w:asciiTheme="majorBidi" w:hAnsiTheme="majorBidi" w:cstheme="majorBidi"/>
          <w:i/>
          <w:iCs/>
          <w:sz w:val="20"/>
          <w:szCs w:val="20"/>
        </w:rPr>
        <w:t>Sīra</w:t>
      </w:r>
      <w:r w:rsidRPr="00F230F1">
        <w:rPr>
          <w:rFonts w:asciiTheme="majorBidi" w:hAnsiTheme="majorBidi" w:cstheme="majorBidi"/>
          <w:sz w:val="20"/>
          <w:szCs w:val="20"/>
        </w:rPr>
        <w:t xml:space="preserve"> en ligne </w:t>
      </w:r>
      <w:hyperlink r:id="rId82" w:history="1">
        <w:r w:rsidRPr="00F230F1">
          <w:rPr>
            <w:rStyle w:val="Lienhypertexte"/>
            <w:rFonts w:asciiTheme="majorBidi" w:hAnsiTheme="majorBidi" w:cstheme="majorBidi"/>
            <w:sz w:val="20"/>
            <w:szCs w:val="20"/>
          </w:rPr>
          <w:t>http://library.islamweb.net/newlibrary/display_book.php?bk_no=58&amp;ID=242&amp;idfrom=323&amp;idto=330&amp;bookid=58&amp;startno=6</w:t>
        </w:r>
      </w:hyperlink>
      <w:r w:rsidRPr="00F230F1">
        <w:rPr>
          <w:rFonts w:asciiTheme="majorBidi" w:hAnsiTheme="majorBidi" w:cstheme="majorBidi"/>
          <w:sz w:val="20"/>
          <w:szCs w:val="20"/>
        </w:rPr>
        <w:t xml:space="preserve"> (consulté le 29/07/2017)].</w:t>
      </w:r>
    </w:p>
  </w:footnote>
  <w:footnote w:id="225">
    <w:p w14:paraId="4D106A02"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Voir mon article « </w:t>
      </w:r>
      <w:r w:rsidRPr="00F230F1">
        <w:rPr>
          <w:rFonts w:asciiTheme="majorBidi" w:hAnsiTheme="majorBidi" w:cstheme="majorBidi"/>
          <w:sz w:val="20"/>
          <w:szCs w:val="20"/>
          <w:rtl/>
        </w:rPr>
        <w:t>ما المقصود بالعلم في القرآن</w:t>
      </w:r>
      <w:r w:rsidRPr="00F230F1">
        <w:rPr>
          <w:rFonts w:asciiTheme="majorBidi" w:hAnsiTheme="majorBidi" w:cstheme="majorBidi"/>
          <w:sz w:val="20"/>
          <w:szCs w:val="20"/>
        </w:rPr>
        <w:t xml:space="preserve"> » [« Qu’entend-on par le </w:t>
      </w:r>
      <w:r w:rsidRPr="00F230F1">
        <w:rPr>
          <w:rFonts w:asciiTheme="majorBidi" w:hAnsiTheme="majorBidi" w:cstheme="majorBidi"/>
          <w:i/>
          <w:iCs/>
          <w:sz w:val="20"/>
          <w:szCs w:val="20"/>
        </w:rPr>
        <w:t>ʿilm</w:t>
      </w:r>
      <w:r w:rsidRPr="00F230F1">
        <w:rPr>
          <w:rFonts w:asciiTheme="majorBidi" w:hAnsiTheme="majorBidi" w:cstheme="majorBidi"/>
          <w:sz w:val="20"/>
          <w:szCs w:val="20"/>
        </w:rPr>
        <w:t xml:space="preserve"> dans le Coran ? »] in </w:t>
      </w:r>
      <w:r w:rsidRPr="00F230F1">
        <w:rPr>
          <w:rFonts w:asciiTheme="majorBidi" w:hAnsiTheme="majorBidi" w:cstheme="majorBidi"/>
          <w:i/>
          <w:iCs/>
          <w:sz w:val="20"/>
          <w:szCs w:val="20"/>
        </w:rPr>
        <w:t>al-Ḥiwār al-Mutamaddin</w:t>
      </w:r>
      <w:r w:rsidRPr="00F230F1">
        <w:rPr>
          <w:rFonts w:asciiTheme="majorBidi" w:hAnsiTheme="majorBidi" w:cstheme="majorBidi"/>
          <w:sz w:val="20"/>
          <w:szCs w:val="20"/>
        </w:rPr>
        <w:t xml:space="preserve">, </w:t>
      </w:r>
      <w:hyperlink r:id="rId83" w:history="1">
        <w:r w:rsidRPr="00F230F1">
          <w:rPr>
            <w:rStyle w:val="Lienhypertexte"/>
            <w:rFonts w:asciiTheme="majorBidi" w:hAnsiTheme="majorBidi" w:cstheme="majorBidi"/>
            <w:sz w:val="20"/>
            <w:szCs w:val="20"/>
          </w:rPr>
          <w:t>http://www.ahewar.org/debat/show.art.asp?aid=362820</w:t>
        </w:r>
      </w:hyperlink>
      <w:r w:rsidRPr="00F230F1">
        <w:rPr>
          <w:rFonts w:asciiTheme="majorBidi" w:hAnsiTheme="majorBidi" w:cstheme="majorBidi"/>
          <w:sz w:val="20"/>
          <w:szCs w:val="20"/>
        </w:rPr>
        <w:t xml:space="preserve"> (consulté le 29/07/2017). </w:t>
      </w:r>
    </w:p>
  </w:footnote>
  <w:footnote w:id="226">
    <w:p w14:paraId="09BF9A68"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rtl/>
        </w:rPr>
        <w:t xml:space="preserve">هو الذي بَعثَ في </w:t>
      </w:r>
      <w:r w:rsidRPr="00F230F1">
        <w:rPr>
          <w:rFonts w:asciiTheme="majorBidi" w:hAnsiTheme="majorBidi" w:cstheme="majorBidi"/>
          <w:b/>
          <w:bCs/>
          <w:i/>
          <w:iCs/>
          <w:sz w:val="20"/>
          <w:szCs w:val="20"/>
          <w:rtl/>
        </w:rPr>
        <w:t>الأُمِّيِّينَ</w:t>
      </w:r>
      <w:r w:rsidRPr="00F230F1">
        <w:rPr>
          <w:rFonts w:asciiTheme="majorBidi" w:hAnsiTheme="majorBidi" w:cstheme="majorBidi"/>
          <w:sz w:val="20"/>
          <w:szCs w:val="20"/>
          <w:rtl/>
        </w:rPr>
        <w:t xml:space="preserve"> رسولاً منهم يتلو عليهم آياتِه ويزك</w:t>
      </w:r>
      <w:r w:rsidRPr="00F230F1">
        <w:rPr>
          <w:rFonts w:asciiTheme="majorBidi" w:hAnsiTheme="majorBidi" w:cstheme="majorBidi"/>
          <w:sz w:val="20"/>
          <w:szCs w:val="20"/>
          <w:rtl/>
          <w:lang w:bidi="ar-AE"/>
        </w:rPr>
        <w:t>ِّ</w:t>
      </w:r>
      <w:r w:rsidRPr="00F230F1">
        <w:rPr>
          <w:rFonts w:asciiTheme="majorBidi" w:hAnsiTheme="majorBidi" w:cstheme="majorBidi"/>
          <w:sz w:val="20"/>
          <w:szCs w:val="20"/>
          <w:rtl/>
        </w:rPr>
        <w:t>يهم و</w:t>
      </w:r>
      <w:r w:rsidRPr="00F230F1">
        <w:rPr>
          <w:rFonts w:asciiTheme="majorBidi" w:hAnsiTheme="majorBidi" w:cstheme="majorBidi"/>
          <w:b/>
          <w:bCs/>
          <w:i/>
          <w:iCs/>
          <w:sz w:val="20"/>
          <w:szCs w:val="20"/>
          <w:rtl/>
        </w:rPr>
        <w:t>يعلِّمُهم الكتابَ</w:t>
      </w:r>
      <w:r w:rsidRPr="00F230F1">
        <w:rPr>
          <w:rFonts w:asciiTheme="majorBidi" w:hAnsiTheme="majorBidi" w:cstheme="majorBidi"/>
          <w:sz w:val="20"/>
          <w:szCs w:val="20"/>
          <w:rtl/>
        </w:rPr>
        <w:t xml:space="preserve"> والحكمة</w:t>
      </w:r>
      <w:r w:rsidRPr="00F230F1">
        <w:rPr>
          <w:rFonts w:asciiTheme="majorBidi" w:hAnsiTheme="majorBidi" w:cstheme="majorBidi"/>
          <w:sz w:val="20"/>
          <w:szCs w:val="20"/>
        </w:rPr>
        <w:t xml:space="preserve">” [« C’est lui qui a suscité aux </w:t>
      </w:r>
      <w:r w:rsidRPr="00F230F1">
        <w:rPr>
          <w:rFonts w:asciiTheme="majorBidi" w:hAnsiTheme="majorBidi" w:cstheme="majorBidi"/>
          <w:b/>
          <w:bCs/>
          <w:i/>
          <w:iCs/>
          <w:sz w:val="20"/>
          <w:szCs w:val="20"/>
        </w:rPr>
        <w:t>gentils</w:t>
      </w:r>
      <w:r w:rsidRPr="00F230F1">
        <w:rPr>
          <w:rFonts w:asciiTheme="majorBidi" w:hAnsiTheme="majorBidi" w:cstheme="majorBidi"/>
          <w:sz w:val="20"/>
          <w:szCs w:val="20"/>
        </w:rPr>
        <w:t xml:space="preserve"> un envoyé des leurs pour leur réciter ses signes, les épurer et </w:t>
      </w:r>
      <w:r w:rsidRPr="00F230F1">
        <w:rPr>
          <w:rFonts w:asciiTheme="majorBidi" w:hAnsiTheme="majorBidi" w:cstheme="majorBidi"/>
          <w:b/>
          <w:bCs/>
          <w:i/>
          <w:iCs/>
          <w:sz w:val="20"/>
          <w:szCs w:val="20"/>
        </w:rPr>
        <w:t>leur enseigner le livre</w:t>
      </w:r>
      <w:r w:rsidRPr="00F230F1">
        <w:rPr>
          <w:rFonts w:asciiTheme="majorBidi" w:hAnsiTheme="majorBidi" w:cstheme="majorBidi"/>
          <w:sz w:val="20"/>
          <w:szCs w:val="20"/>
        </w:rPr>
        <w:t xml:space="preserve"> et la sagesse</w:t>
      </w:r>
      <w:r w:rsidRPr="00F230F1">
        <w:rPr>
          <w:rFonts w:asciiTheme="majorBidi" w:hAnsiTheme="majorBidi" w:cstheme="majorBidi"/>
          <w:bCs/>
          <w:noProof/>
          <w:sz w:val="20"/>
          <w:szCs w:val="20"/>
          <w:lang w:val="fr-CH"/>
        </w:rPr>
        <w:t>. »</w:t>
      </w:r>
      <w:r w:rsidRPr="00F230F1">
        <w:rPr>
          <w:rFonts w:asciiTheme="majorBidi" w:hAnsiTheme="majorBidi" w:cstheme="majorBidi"/>
          <w:sz w:val="20"/>
          <w:szCs w:val="20"/>
        </w:rPr>
        <w:t>] (LXII, 2).</w:t>
      </w:r>
    </w:p>
  </w:footnote>
  <w:footnote w:id="227">
    <w:p w14:paraId="16934CCB"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rtl/>
        </w:rPr>
        <w:t xml:space="preserve">"وقُـــلْ </w:t>
      </w:r>
      <w:r w:rsidRPr="00F230F1">
        <w:rPr>
          <w:rFonts w:asciiTheme="majorBidi" w:hAnsiTheme="majorBidi" w:cstheme="majorBidi"/>
          <w:b/>
          <w:bCs/>
          <w:i/>
          <w:iCs/>
          <w:sz w:val="20"/>
          <w:szCs w:val="20"/>
          <w:rtl/>
        </w:rPr>
        <w:t xml:space="preserve">للذين أُوتُوا الكِتابَ </w:t>
      </w:r>
      <w:r w:rsidRPr="00F230F1">
        <w:rPr>
          <w:rFonts w:asciiTheme="majorBidi" w:hAnsiTheme="majorBidi" w:cstheme="majorBidi"/>
          <w:sz w:val="20"/>
          <w:szCs w:val="20"/>
          <w:rtl/>
        </w:rPr>
        <w:t>و</w:t>
      </w:r>
      <w:r w:rsidRPr="00F230F1">
        <w:rPr>
          <w:rFonts w:asciiTheme="majorBidi" w:hAnsiTheme="majorBidi" w:cstheme="majorBidi"/>
          <w:b/>
          <w:bCs/>
          <w:i/>
          <w:iCs/>
          <w:sz w:val="20"/>
          <w:szCs w:val="20"/>
          <w:rtl/>
        </w:rPr>
        <w:t>الأُمِّـــيِّين</w:t>
      </w:r>
      <w:r w:rsidRPr="00F230F1">
        <w:rPr>
          <w:rFonts w:asciiTheme="majorBidi" w:hAnsiTheme="majorBidi" w:cstheme="majorBidi"/>
          <w:sz w:val="20"/>
          <w:szCs w:val="20"/>
          <w:rtl/>
        </w:rPr>
        <w:t>: «أأسلَمْتم؟»"</w:t>
      </w:r>
      <w:r w:rsidRPr="00F230F1">
        <w:rPr>
          <w:rFonts w:asciiTheme="majorBidi" w:hAnsiTheme="majorBidi" w:cstheme="majorBidi"/>
          <w:sz w:val="20"/>
          <w:szCs w:val="20"/>
        </w:rPr>
        <w:t xml:space="preserve"> [« Dis </w:t>
      </w:r>
      <w:r w:rsidRPr="00F230F1">
        <w:rPr>
          <w:rFonts w:asciiTheme="majorBidi" w:hAnsiTheme="majorBidi" w:cstheme="majorBidi"/>
          <w:b/>
          <w:bCs/>
          <w:i/>
          <w:iCs/>
          <w:sz w:val="20"/>
          <w:szCs w:val="20"/>
        </w:rPr>
        <w:t>à ceux auxquels le livre fut donné, ainsi qu’aux gentils</w:t>
      </w:r>
      <w:r w:rsidRPr="00F230F1">
        <w:rPr>
          <w:rFonts w:asciiTheme="majorBidi" w:hAnsiTheme="majorBidi" w:cstheme="majorBidi"/>
          <w:sz w:val="20"/>
          <w:szCs w:val="20"/>
        </w:rPr>
        <w:t> : "Êtes-vous soumis?" »] (III, 20).</w:t>
      </w:r>
    </w:p>
  </w:footnote>
  <w:footnote w:id="228">
    <w:p w14:paraId="2BF5C663" w14:textId="050D6C79" w:rsidR="009C3BB9" w:rsidRPr="00F230F1" w:rsidRDefault="009C3BB9" w:rsidP="00F230F1">
      <w:pPr>
        <w:pStyle w:val="n1"/>
        <w:bidi w:val="0"/>
        <w:contextualSpacing/>
        <w:jc w:val="both"/>
        <w:rPr>
          <w:rFonts w:asciiTheme="majorBidi" w:hAnsiTheme="majorBidi" w:cstheme="majorBidi"/>
          <w:sz w:val="20"/>
          <w:szCs w:val="20"/>
          <w:lang w:bidi="ar-AE"/>
        </w:rPr>
      </w:pPr>
      <w:r w:rsidRPr="008A3E58">
        <w:rPr>
          <w:rStyle w:val="Appelnotedebasdep"/>
          <w:rFonts w:asciiTheme="majorBidi" w:hAnsiTheme="majorBidi" w:cstheme="majorBidi"/>
          <w:sz w:val="20"/>
          <w:szCs w:val="20"/>
        </w:rPr>
        <w:footnoteRef/>
      </w:r>
      <w:r w:rsidRPr="008A3E58">
        <w:rPr>
          <w:rFonts w:asciiTheme="majorBidi" w:hAnsiTheme="majorBidi" w:cstheme="majorBidi"/>
          <w:sz w:val="20"/>
          <w:szCs w:val="20"/>
        </w:rPr>
        <w:t xml:space="preserve"> Voir les références évoquées dans la note n° 99 p. 41</w:t>
      </w:r>
      <w:r w:rsidRPr="008A3E58">
        <w:rPr>
          <w:rFonts w:asciiTheme="majorBidi" w:hAnsiTheme="majorBidi" w:cstheme="majorBidi"/>
          <w:b/>
          <w:bCs/>
          <w:sz w:val="20"/>
          <w:szCs w:val="20"/>
          <w:lang w:bidi="ar-AE"/>
        </w:rPr>
        <w:t xml:space="preserve"> </w:t>
      </w:r>
      <w:r w:rsidRPr="008A3E58">
        <w:rPr>
          <w:rFonts w:asciiTheme="majorBidi" w:hAnsiTheme="majorBidi" w:cstheme="majorBidi"/>
          <w:sz w:val="20"/>
          <w:szCs w:val="20"/>
        </w:rPr>
        <w:t>à propos de la réincarnation et de la résurrection chez les</w:t>
      </w:r>
      <w:r w:rsidRPr="00F230F1">
        <w:rPr>
          <w:rFonts w:asciiTheme="majorBidi" w:hAnsiTheme="majorBidi" w:cstheme="majorBidi"/>
          <w:sz w:val="20"/>
          <w:szCs w:val="20"/>
        </w:rPr>
        <w:t xml:space="preserve"> druzes, les alaouites et les ésotéristes.</w:t>
      </w:r>
      <w:r w:rsidRPr="00F230F1">
        <w:rPr>
          <w:rFonts w:asciiTheme="majorBidi" w:hAnsiTheme="majorBidi" w:cstheme="majorBidi"/>
          <w:sz w:val="20"/>
          <w:szCs w:val="20"/>
          <w:lang w:bidi="ar-AE"/>
        </w:rPr>
        <w:t xml:space="preserve"> Il est à noter que la réincarnation est au cœur de la religion druze. La justice de Dieu exige de donner à l’âme plusieurs occasions (plusieurs vies) pour acquérir des expériences, payer ses dettes karmiques et s’épanouir. Chaque retour à la vie s’appelle </w:t>
      </w:r>
      <w:r w:rsidRPr="00F230F1">
        <w:rPr>
          <w:rFonts w:asciiTheme="majorBidi" w:hAnsiTheme="majorBidi" w:cstheme="majorBidi"/>
          <w:i/>
          <w:iCs/>
          <w:sz w:val="20"/>
          <w:szCs w:val="20"/>
          <w:lang w:bidi="ar-AE"/>
        </w:rPr>
        <w:t>baʿth</w:t>
      </w:r>
      <w:r w:rsidRPr="00F230F1">
        <w:rPr>
          <w:rFonts w:asciiTheme="majorBidi" w:hAnsiTheme="majorBidi" w:cstheme="majorBidi"/>
          <w:sz w:val="20"/>
          <w:szCs w:val="20"/>
          <w:lang w:bidi="ar-AE"/>
        </w:rPr>
        <w:t xml:space="preserve"> [retour, renaissance, résurrection]. Ce </w:t>
      </w:r>
      <w:r w:rsidRPr="00F230F1">
        <w:rPr>
          <w:rFonts w:asciiTheme="majorBidi" w:hAnsiTheme="majorBidi" w:cstheme="majorBidi"/>
          <w:i/>
          <w:iCs/>
          <w:sz w:val="20"/>
          <w:szCs w:val="20"/>
          <w:lang w:bidi="ar-AE"/>
        </w:rPr>
        <w:t>baʿth</w:t>
      </w:r>
      <w:r w:rsidRPr="00F230F1">
        <w:rPr>
          <w:rFonts w:asciiTheme="majorBidi" w:hAnsiTheme="majorBidi" w:cstheme="majorBidi"/>
          <w:sz w:val="20"/>
          <w:szCs w:val="20"/>
          <w:lang w:bidi="ar-AE"/>
        </w:rPr>
        <w:t xml:space="preserve"> se passe dans ce bas monde, sur cette terre, et non pas dans l’autre monde. Plusieurs versets ont été interprétés de façon à confirmer cette idée, dont le verset 66 de la sourate </w:t>
      </w:r>
      <w:r w:rsidRPr="00F230F1">
        <w:rPr>
          <w:rFonts w:asciiTheme="majorBidi" w:hAnsiTheme="majorBidi" w:cstheme="majorBidi"/>
          <w:i/>
          <w:iCs/>
          <w:sz w:val="20"/>
          <w:szCs w:val="20"/>
          <w:lang w:bidi="ar-AE"/>
        </w:rPr>
        <w:t>Al-Ḥajj</w:t>
      </w:r>
      <w:r w:rsidRPr="00F230F1">
        <w:rPr>
          <w:rFonts w:asciiTheme="majorBidi" w:hAnsiTheme="majorBidi" w:cstheme="majorBidi"/>
          <w:sz w:val="20"/>
          <w:szCs w:val="20"/>
          <w:lang w:bidi="ar-AE"/>
        </w:rPr>
        <w:t xml:space="preserve"> (« </w:t>
      </w:r>
      <w:r w:rsidRPr="00F230F1">
        <w:rPr>
          <w:rFonts w:asciiTheme="majorBidi" w:hAnsiTheme="majorBidi" w:cstheme="majorBidi"/>
          <w:sz w:val="20"/>
          <w:szCs w:val="20"/>
          <w:rtl/>
        </w:rPr>
        <w:t>وهو الذي أحياكم ثم يميتكم ثم يحييكم</w:t>
      </w:r>
      <w:r w:rsidRPr="00F230F1">
        <w:rPr>
          <w:rFonts w:asciiTheme="majorBidi" w:hAnsiTheme="majorBidi" w:cstheme="majorBidi"/>
          <w:sz w:val="20"/>
          <w:szCs w:val="20"/>
        </w:rPr>
        <w:t xml:space="preserve"> » [« C’est Lui qui vous a fait vivre, et puis vous fera mourir, et enfin vous fera revivre »]. De cette notion de </w:t>
      </w:r>
      <w:r w:rsidRPr="00F230F1">
        <w:rPr>
          <w:rFonts w:asciiTheme="majorBidi" w:hAnsiTheme="majorBidi" w:cstheme="majorBidi"/>
          <w:i/>
          <w:iCs/>
          <w:sz w:val="20"/>
          <w:szCs w:val="20"/>
          <w:lang w:bidi="ar-AE"/>
        </w:rPr>
        <w:t>baʿth</w:t>
      </w:r>
      <w:r w:rsidRPr="00F230F1">
        <w:rPr>
          <w:rFonts w:asciiTheme="majorBidi" w:hAnsiTheme="majorBidi" w:cstheme="majorBidi"/>
          <w:sz w:val="20"/>
          <w:szCs w:val="20"/>
          <w:lang w:bidi="ar-AE"/>
        </w:rPr>
        <w:t xml:space="preserve"> résulte l’idée que l’enfer et le paradis existent sur cette terre aussi.</w:t>
      </w:r>
    </w:p>
  </w:footnote>
  <w:footnote w:id="229">
    <w:p w14:paraId="0EC8981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Ibn </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Āshūr, </w:t>
      </w:r>
      <w:r w:rsidRPr="00F230F1">
        <w:rPr>
          <w:rFonts w:asciiTheme="majorBidi" w:hAnsiTheme="majorBidi" w:cstheme="majorBidi"/>
          <w:i/>
          <w:iCs/>
          <w:sz w:val="20"/>
          <w:szCs w:val="20"/>
        </w:rPr>
        <w:t>At-Ta</w:t>
      </w:r>
      <w:r w:rsidRPr="00F230F1">
        <w:rPr>
          <w:rFonts w:asciiTheme="majorBidi" w:eastAsia="Times New Roman" w:hAnsiTheme="majorBidi" w:cstheme="majorBidi"/>
          <w:i/>
          <w:iCs/>
          <w:sz w:val="20"/>
          <w:szCs w:val="20"/>
        </w:rPr>
        <w:t>ḥ</w:t>
      </w:r>
      <w:r w:rsidRPr="00F230F1">
        <w:rPr>
          <w:rFonts w:asciiTheme="majorBidi" w:hAnsiTheme="majorBidi" w:cstheme="majorBidi"/>
          <w:i/>
          <w:iCs/>
          <w:sz w:val="20"/>
          <w:szCs w:val="20"/>
        </w:rPr>
        <w:t>rīr wa-at-Tanwīr</w:t>
      </w:r>
      <w:r w:rsidRPr="00F230F1">
        <w:rPr>
          <w:rFonts w:asciiTheme="majorBidi" w:hAnsiTheme="majorBidi" w:cstheme="majorBidi"/>
          <w:sz w:val="20"/>
          <w:szCs w:val="20"/>
        </w:rPr>
        <w:t>, l’explication du verset X, 18.</w:t>
      </w:r>
    </w:p>
  </w:footnote>
  <w:footnote w:id="230">
    <w:p w14:paraId="40804356"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Antoine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ou l'Auberge du lointain</w:t>
      </w:r>
      <w:r w:rsidRPr="00F230F1">
        <w:rPr>
          <w:rFonts w:asciiTheme="majorBidi" w:eastAsia="Times New Roman" w:hAnsiTheme="majorBidi" w:cstheme="majorBidi"/>
          <w:sz w:val="20"/>
          <w:szCs w:val="20"/>
        </w:rPr>
        <w:t>, Éditions du Seuil, Paris, 1999, p. 61.</w:t>
      </w:r>
    </w:p>
    <w:p w14:paraId="13A419EE" w14:textId="77777777" w:rsidR="009C3BB9" w:rsidRPr="00F230F1" w:rsidRDefault="009C3BB9" w:rsidP="00F230F1">
      <w:pPr>
        <w:pStyle w:val="Notedebasdepage"/>
        <w:contextualSpacing/>
        <w:jc w:val="both"/>
        <w:rPr>
          <w:rFonts w:asciiTheme="majorBidi" w:hAnsiTheme="majorBidi" w:cstheme="majorBidi"/>
          <w:sz w:val="20"/>
          <w:szCs w:val="20"/>
        </w:rPr>
      </w:pPr>
    </w:p>
  </w:footnote>
  <w:footnote w:id="231">
    <w:p w14:paraId="19837137" w14:textId="7777777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Zaghlūl An-Najjār,</w:t>
      </w:r>
      <w:r w:rsidRPr="00F230F1">
        <w:rPr>
          <w:rFonts w:asciiTheme="majorBidi" w:eastAsia="Times New Roman" w:hAnsiTheme="majorBidi" w:cstheme="majorBidi"/>
          <w:sz w:val="20"/>
          <w:szCs w:val="20"/>
          <w:lang w:eastAsia="fr-FR" w:bidi="ar-AE"/>
        </w:rPr>
        <w:t xml:space="preserve"> </w:t>
      </w:r>
      <w:r w:rsidRPr="00F230F1">
        <w:rPr>
          <w:rFonts w:asciiTheme="majorBidi" w:eastAsia="Times New Roman" w:hAnsiTheme="majorBidi" w:cstheme="majorBidi"/>
          <w:i/>
          <w:iCs/>
          <w:sz w:val="20"/>
          <w:szCs w:val="20"/>
          <w:lang w:eastAsia="fr-FR" w:bidi="ar-AE"/>
        </w:rPr>
        <w:t>Al-ʾiʿjāz al-ʿilmī fī as-sunna an-nabawīya</w:t>
      </w:r>
      <w:r w:rsidRPr="00F230F1">
        <w:rPr>
          <w:rFonts w:asciiTheme="majorBidi" w:eastAsia="Times New Roman" w:hAnsiTheme="majorBidi" w:cstheme="majorBidi"/>
          <w:sz w:val="20"/>
          <w:szCs w:val="20"/>
          <w:lang w:eastAsia="fr-FR" w:bidi="ar-AE"/>
        </w:rPr>
        <w:t xml:space="preserve"> [</w:t>
      </w:r>
      <w:r w:rsidRPr="00F230F1">
        <w:rPr>
          <w:rFonts w:asciiTheme="majorBidi" w:eastAsia="Times New Roman" w:hAnsiTheme="majorBidi" w:cstheme="majorBidi"/>
          <w:i/>
          <w:iCs/>
          <w:sz w:val="20"/>
          <w:szCs w:val="20"/>
          <w:lang w:eastAsia="fr-FR" w:bidi="ar-AE"/>
        </w:rPr>
        <w:t>Le contenu scientifique miraculeux dans la Sunna</w:t>
      </w:r>
      <w:r w:rsidRPr="00F230F1">
        <w:rPr>
          <w:rFonts w:asciiTheme="majorBidi" w:eastAsia="Times New Roman" w:hAnsiTheme="majorBidi" w:cstheme="majorBidi"/>
          <w:sz w:val="20"/>
          <w:szCs w:val="20"/>
          <w:lang w:eastAsia="fr-FR" w:bidi="ar-AE"/>
        </w:rPr>
        <w:t>], Éditions Nahḍat Miṣr, 2007</w:t>
      </w:r>
      <w:r w:rsidRPr="00F230F1">
        <w:rPr>
          <w:rFonts w:asciiTheme="majorBidi" w:hAnsiTheme="majorBidi" w:cstheme="majorBidi"/>
          <w:sz w:val="20"/>
          <w:szCs w:val="20"/>
          <w:lang w:bidi="ar-AE"/>
        </w:rPr>
        <w:t>.</w:t>
      </w:r>
    </w:p>
  </w:footnote>
  <w:footnote w:id="232">
    <w:p w14:paraId="629B15D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tl/>
        </w:rPr>
        <w:t xml:space="preserve"> </w:t>
      </w:r>
      <w:r w:rsidRPr="00F230F1">
        <w:rPr>
          <w:rFonts w:asciiTheme="majorBidi" w:hAnsiTheme="majorBidi" w:cstheme="majorBidi"/>
          <w:i/>
          <w:iCs/>
          <w:sz w:val="20"/>
          <w:szCs w:val="20"/>
        </w:rPr>
        <w:t>Ibid.</w:t>
      </w:r>
    </w:p>
  </w:footnote>
  <w:footnote w:id="233">
    <w:p w14:paraId="72A177D3"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Pinchard, Alexis, « Ni polysémie ni monosémie : l’inquiétante étrangeté de l’être », colloque : </w:t>
      </w:r>
      <w:r w:rsidRPr="00F230F1">
        <w:rPr>
          <w:rFonts w:asciiTheme="majorBidi" w:hAnsiTheme="majorBidi" w:cstheme="majorBidi"/>
          <w:i/>
          <w:iCs/>
          <w:sz w:val="20"/>
          <w:szCs w:val="20"/>
          <w:lang w:bidi="ar-AE"/>
        </w:rPr>
        <w:t>Sens multiple(s) et polysémie</w:t>
      </w:r>
      <w:r w:rsidRPr="00F230F1">
        <w:rPr>
          <w:rFonts w:asciiTheme="majorBidi" w:hAnsiTheme="majorBidi" w:cstheme="majorBidi"/>
          <w:sz w:val="20"/>
          <w:szCs w:val="20"/>
          <w:lang w:bidi="ar-AE"/>
        </w:rPr>
        <w:t>, Aix-en-Provence, 4-6 juin 2013</w:t>
      </w:r>
      <w:r w:rsidRPr="00F230F1">
        <w:rPr>
          <w:rFonts w:asciiTheme="majorBidi" w:hAnsiTheme="majorBidi" w:cstheme="majorBidi"/>
          <w:sz w:val="20"/>
          <w:szCs w:val="20"/>
        </w:rPr>
        <w:t>.</w:t>
      </w:r>
    </w:p>
  </w:footnote>
  <w:footnote w:id="234">
    <w:p w14:paraId="377EC5A0"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Cs/>
          <w:sz w:val="20"/>
          <w:szCs w:val="20"/>
          <w:lang w:bidi="ar-AE"/>
        </w:rPr>
        <w:t xml:space="preserve">Le </w:t>
      </w:r>
      <w:r w:rsidRPr="00F230F1">
        <w:rPr>
          <w:rFonts w:asciiTheme="majorBidi" w:hAnsiTheme="majorBidi" w:cstheme="majorBidi"/>
          <w:i/>
          <w:iCs/>
          <w:sz w:val="20"/>
          <w:szCs w:val="20"/>
          <w:lang w:bidi="ar-AE"/>
        </w:rPr>
        <w:t>ṭibāq</w:t>
      </w:r>
      <w:r w:rsidRPr="00F230F1">
        <w:rPr>
          <w:rFonts w:asciiTheme="majorBidi" w:hAnsiTheme="majorBidi" w:cstheme="majorBidi"/>
          <w:sz w:val="20"/>
          <w:szCs w:val="20"/>
          <w:lang w:bidi="ar-AE"/>
        </w:rPr>
        <w:t xml:space="preserve"> [antithèse] est une figure de rhétorique qui consiste en un rapprochement, à l’intérieur d’une structure syntaxique binaire et équilibrée, de deux termes de même nature qui s’opposent sémantiquement. Il a pour objectif de mettre en valeur le contraste et de mieux illustrer l’image. Exemples : « </w:t>
      </w:r>
      <w:r w:rsidRPr="00F230F1">
        <w:rPr>
          <w:rFonts w:asciiTheme="majorBidi" w:hAnsiTheme="majorBidi" w:cstheme="majorBidi"/>
          <w:i/>
          <w:iCs/>
          <w:sz w:val="20"/>
          <w:szCs w:val="20"/>
          <w:lang w:bidi="ar-AE"/>
        </w:rPr>
        <w:t>yuḍillu-hu wa-yahdī-hi</w:t>
      </w:r>
      <w:r w:rsidRPr="00F230F1">
        <w:rPr>
          <w:rFonts w:asciiTheme="majorBidi" w:hAnsiTheme="majorBidi" w:cstheme="majorBidi"/>
          <w:sz w:val="20"/>
          <w:szCs w:val="20"/>
          <w:lang w:bidi="ar-AE"/>
        </w:rPr>
        <w:t> » [« il l’égare et le guide »] (XXII, 4) ; « </w:t>
      </w:r>
      <w:r w:rsidRPr="00F230F1">
        <w:rPr>
          <w:rFonts w:asciiTheme="majorBidi" w:hAnsiTheme="majorBidi" w:cstheme="majorBidi"/>
          <w:i/>
          <w:iCs/>
          <w:sz w:val="20"/>
          <w:szCs w:val="20"/>
          <w:lang w:bidi="ar-AE"/>
        </w:rPr>
        <w:t>wa-taḥsabu-hum ʾayqāẓan wa-hum ruqūd</w:t>
      </w:r>
      <w:r w:rsidRPr="00F230F1">
        <w:rPr>
          <w:rFonts w:asciiTheme="majorBidi" w:hAnsiTheme="majorBidi" w:cstheme="majorBidi"/>
          <w:sz w:val="20"/>
          <w:szCs w:val="20"/>
          <w:lang w:bidi="ar-AE"/>
        </w:rPr>
        <w:t xml:space="preserve"> » [« tu les aurais cru éveillés, alors qu’ils dormaient. »] (XVIII, 18). Le </w:t>
      </w:r>
      <w:r w:rsidRPr="00F230F1">
        <w:rPr>
          <w:rFonts w:asciiTheme="majorBidi" w:hAnsiTheme="majorBidi" w:cstheme="majorBidi"/>
          <w:i/>
          <w:iCs/>
          <w:sz w:val="20"/>
          <w:szCs w:val="20"/>
          <w:lang w:bidi="ar-AE"/>
        </w:rPr>
        <w:t>tibāq as-salb</w:t>
      </w:r>
      <w:r w:rsidRPr="00F230F1">
        <w:rPr>
          <w:rFonts w:asciiTheme="majorBidi" w:hAnsiTheme="majorBidi" w:cstheme="majorBidi"/>
          <w:sz w:val="20"/>
          <w:szCs w:val="20"/>
          <w:lang w:bidi="ar-AE"/>
        </w:rPr>
        <w:t xml:space="preserve"> [l’antithèse négative] est défini comme « </w:t>
      </w:r>
      <w:r w:rsidRPr="00F230F1">
        <w:rPr>
          <w:rFonts w:asciiTheme="majorBidi" w:hAnsiTheme="majorBidi" w:cstheme="majorBidi"/>
          <w:i/>
          <w:iCs/>
          <w:sz w:val="20"/>
          <w:szCs w:val="20"/>
          <w:lang w:bidi="ar-AE"/>
        </w:rPr>
        <w:t>muṭābaqat as-salb baʿda l-ījāb</w:t>
      </w:r>
      <w:r w:rsidRPr="00F230F1">
        <w:rPr>
          <w:rFonts w:asciiTheme="majorBidi" w:hAnsiTheme="majorBidi" w:cstheme="majorBidi"/>
          <w:sz w:val="20"/>
          <w:szCs w:val="20"/>
          <w:lang w:bidi="ar-AE"/>
        </w:rPr>
        <w:t xml:space="preserve"> » (l’adjonction de la négation à la suite de l’affirmation). Exemples : </w:t>
      </w:r>
      <w:r w:rsidRPr="00F230F1">
        <w:rPr>
          <w:rFonts w:asciiTheme="majorBidi" w:hAnsiTheme="majorBidi" w:cstheme="majorBidi"/>
          <w:sz w:val="20"/>
          <w:szCs w:val="20"/>
          <w:rtl/>
          <w:lang w:bidi="ar-KW"/>
        </w:rPr>
        <w:t>"-</w:t>
      </w:r>
      <w:r w:rsidRPr="00F230F1">
        <w:rPr>
          <w:rFonts w:asciiTheme="majorBidi" w:hAnsiTheme="majorBidi" w:cstheme="majorBidi"/>
          <w:sz w:val="20"/>
          <w:szCs w:val="20"/>
          <w:rtl/>
          <w:lang w:bidi="ar-AE"/>
        </w:rPr>
        <w:t>جَـزِعتُ ولم أجزَعْ من البين مَجْزعا، / وعزَّيتُ قلباً بالكواعب مُولَعا."</w:t>
      </w:r>
      <w:r w:rsidRPr="00F230F1">
        <w:rPr>
          <w:rFonts w:asciiTheme="majorBidi" w:hAnsiTheme="majorBidi" w:cstheme="majorBidi"/>
          <w:sz w:val="20"/>
          <w:szCs w:val="20"/>
          <w:lang w:bidi="ar-AE"/>
        </w:rPr>
        <w:t xml:space="preserve"> [« -Affligé, sans l’être vraiment, de la séparation, / J’ai consolé un cœur, aux seins formés (galbés) adonné. » [ʾImruʾu l-Qays, traduction de Pierre Larcher]] ; </w:t>
      </w:r>
      <w:r w:rsidRPr="00F230F1">
        <w:rPr>
          <w:rFonts w:asciiTheme="majorBidi" w:hAnsiTheme="majorBidi" w:cstheme="majorBidi"/>
          <w:sz w:val="20"/>
          <w:szCs w:val="20"/>
          <w:rtl/>
          <w:lang w:bidi="ar-AE"/>
        </w:rPr>
        <w:t>"وتَرى النَّاسَ سُكارَى وما هُم بسُكارَى"</w:t>
      </w:r>
      <w:r w:rsidRPr="00F230F1">
        <w:rPr>
          <w:rFonts w:asciiTheme="majorBidi" w:hAnsiTheme="majorBidi" w:cstheme="majorBidi"/>
          <w:sz w:val="20"/>
          <w:szCs w:val="20"/>
          <w:lang w:bidi="ar-AE"/>
        </w:rPr>
        <w:t xml:space="preserve"> [« Tu verras les gens ivres, et ils ne le seront pas »] (XXII, 2) ; </w:t>
      </w:r>
      <w:r w:rsidRPr="00F230F1">
        <w:rPr>
          <w:rFonts w:asciiTheme="majorBidi" w:hAnsiTheme="majorBidi" w:cstheme="majorBidi"/>
          <w:sz w:val="20"/>
          <w:szCs w:val="20"/>
          <w:rtl/>
          <w:lang w:bidi="ar-KW"/>
        </w:rPr>
        <w:t>"-</w:t>
      </w:r>
      <w:r w:rsidRPr="00F230F1">
        <w:rPr>
          <w:rFonts w:asciiTheme="majorBidi" w:hAnsiTheme="majorBidi" w:cstheme="majorBidi"/>
          <w:sz w:val="20"/>
          <w:szCs w:val="20"/>
          <w:rtl/>
          <w:lang w:bidi="ar-AE"/>
        </w:rPr>
        <w:t>فلقد عُـرِفْتَ وما عُـرِفْتَ حقيقةً. / ولقد جُهِلْتَ وما جُهِلْتَ خُمولا."</w:t>
      </w:r>
      <w:r w:rsidRPr="00F230F1">
        <w:rPr>
          <w:rFonts w:asciiTheme="majorBidi" w:hAnsiTheme="majorBidi" w:cstheme="majorBidi"/>
          <w:sz w:val="20"/>
          <w:szCs w:val="20"/>
          <w:lang w:bidi="ar-AE"/>
        </w:rPr>
        <w:t xml:space="preserve"> [« -Tu as donc été connu, sans l’être vraiment. / En revanche, tu as été méconnu, mais tu ne l’as pas été par apathie. »] (Al-Mutanabbī) ; </w:t>
      </w:r>
      <w:r w:rsidRPr="00F230F1">
        <w:rPr>
          <w:rFonts w:asciiTheme="majorBidi" w:hAnsiTheme="majorBidi" w:cstheme="majorBidi"/>
          <w:sz w:val="20"/>
          <w:szCs w:val="20"/>
          <w:rtl/>
          <w:lang w:bidi="ar-KW"/>
        </w:rPr>
        <w:t>"-</w:t>
      </w:r>
      <w:r w:rsidRPr="00F230F1">
        <w:rPr>
          <w:rFonts w:asciiTheme="majorBidi" w:hAnsiTheme="majorBidi" w:cstheme="majorBidi"/>
          <w:sz w:val="20"/>
          <w:szCs w:val="20"/>
          <w:rtl/>
          <w:lang w:bidi="ar-AE"/>
        </w:rPr>
        <w:t>رُزِقوا وما رُزِقوا سَماحَ يدٍ / فكأنهم رُزِقوا وما رُزِقوا. / خُلِقوا وما خُلِقوا لمكرُمةٍ / فكأنهم خُلِقوا وما خُلِقوا."</w:t>
      </w:r>
      <w:r w:rsidRPr="00F230F1">
        <w:rPr>
          <w:rFonts w:asciiTheme="majorBidi" w:hAnsiTheme="majorBidi" w:cstheme="majorBidi"/>
          <w:sz w:val="20"/>
          <w:szCs w:val="20"/>
          <w:lang w:bidi="ar-AE"/>
        </w:rPr>
        <w:t xml:space="preserve"> [« -Ils ont reçu des moyens de subsistance, mais ils ne les ont pas reçus par générosité. / Ils les ont reçus, mais comme s’ils ne les ont pas reçus. / Ils ont été créés, mais ils n’ont pas été créés pour des bonnes actions. / Ils ont été créés, mais comme s’ils n’ont pas été créés. »] (Anonyme).</w:t>
      </w:r>
    </w:p>
  </w:footnote>
  <w:footnote w:id="235">
    <w:p w14:paraId="15705B3A"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Basim Musallam, </w:t>
      </w:r>
      <w:r w:rsidRPr="00F230F1">
        <w:rPr>
          <w:rFonts w:asciiTheme="majorBidi" w:eastAsia="Times New Roman" w:hAnsiTheme="majorBidi" w:cstheme="majorBidi"/>
          <w:i/>
          <w:iCs/>
          <w:sz w:val="20"/>
          <w:szCs w:val="20"/>
        </w:rPr>
        <w:t>Sex and Society in Islam</w:t>
      </w:r>
      <w:r w:rsidRPr="00F230F1">
        <w:rPr>
          <w:rFonts w:asciiTheme="majorBidi" w:eastAsia="Times New Roman" w:hAnsiTheme="majorBidi" w:cstheme="majorBidi"/>
          <w:sz w:val="20"/>
          <w:szCs w:val="20"/>
        </w:rPr>
        <w:t>, Cambridge, 1983, p. 54.</w:t>
      </w:r>
    </w:p>
  </w:footnote>
  <w:footnote w:id="236">
    <w:p w14:paraId="12687A38"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Mahdi Esmaeilzadeh,</w:t>
      </w:r>
      <w:r w:rsidRPr="00F230F1">
        <w:rPr>
          <w:rFonts w:asciiTheme="majorBidi" w:hAnsiTheme="majorBidi" w:cstheme="majorBidi"/>
          <w:sz w:val="20"/>
          <w:szCs w:val="20"/>
        </w:rPr>
        <w:t xml:space="preserve"> Motamedi Mohsen, Shahghasemi Hamid,</w:t>
      </w:r>
      <w:r w:rsidRPr="00F230F1">
        <w:rPr>
          <w:rFonts w:asciiTheme="majorBidi" w:eastAsia="Times New Roman" w:hAnsiTheme="majorBidi" w:cstheme="majorBidi"/>
          <w:sz w:val="20"/>
          <w:szCs w:val="20"/>
        </w:rPr>
        <w:t xml:space="preserve"> « Holy Quran, New Sciences and Development of Human Embryo », Department of Basic Science, Shirvan Branch, Islamic Azad University, Shirvan, </w:t>
      </w:r>
      <w:r w:rsidRPr="00F230F1">
        <w:rPr>
          <w:rFonts w:asciiTheme="majorBidi" w:eastAsia="Times New Roman" w:hAnsiTheme="majorBidi" w:cstheme="majorBidi"/>
          <w:sz w:val="20"/>
          <w:szCs w:val="20"/>
          <w:shd w:val="clear" w:color="auto" w:fill="FFFFFF"/>
          <w:lang w:eastAsia="fr-FR"/>
        </w:rPr>
        <w:t xml:space="preserve">WebmedCentral Embryology 2011;2(9):WMC002260 </w:t>
      </w:r>
      <w:r w:rsidRPr="00F230F1">
        <w:rPr>
          <w:rFonts w:asciiTheme="majorBidi" w:eastAsia="Times New Roman" w:hAnsiTheme="majorBidi" w:cstheme="majorBidi"/>
          <w:sz w:val="20"/>
          <w:szCs w:val="20"/>
          <w:lang w:eastAsia="fr-FR"/>
        </w:rPr>
        <w:br/>
      </w:r>
      <w:r w:rsidRPr="00F230F1">
        <w:rPr>
          <w:rFonts w:asciiTheme="majorBidi" w:eastAsia="Times New Roman" w:hAnsiTheme="majorBidi" w:cstheme="majorBidi"/>
          <w:sz w:val="20"/>
          <w:szCs w:val="20"/>
          <w:shd w:val="clear" w:color="auto" w:fill="FFFFFF"/>
          <w:lang w:eastAsia="fr-FR"/>
        </w:rPr>
        <w:t>doi: 10.9754/journal.wmc.2011.002260,</w:t>
      </w:r>
      <w:r w:rsidRPr="00F230F1">
        <w:rPr>
          <w:rFonts w:asciiTheme="majorBidi" w:eastAsia="Times New Roman" w:hAnsiTheme="majorBidi" w:cstheme="majorBidi"/>
          <w:sz w:val="20"/>
          <w:szCs w:val="20"/>
        </w:rPr>
        <w:t xml:space="preserve"> [</w:t>
      </w:r>
      <w:hyperlink r:id="rId84" w:history="1">
        <w:r w:rsidRPr="00F230F1">
          <w:rPr>
            <w:rStyle w:val="Lienhypertexte"/>
            <w:rFonts w:asciiTheme="majorBidi" w:hAnsiTheme="majorBidi" w:cstheme="majorBidi"/>
            <w:sz w:val="20"/>
            <w:szCs w:val="20"/>
          </w:rPr>
          <w:t>http://www.webmedcentral.com/article_view/2260</w:t>
        </w:r>
      </w:hyperlink>
      <w:r w:rsidRPr="00F230F1">
        <w:rPr>
          <w:rFonts w:asciiTheme="majorBidi" w:eastAsia="Times New Roman" w:hAnsiTheme="majorBidi" w:cstheme="majorBidi"/>
          <w:sz w:val="20"/>
          <w:szCs w:val="20"/>
        </w:rPr>
        <w:t>] (consulté le 30/07/2017).</w:t>
      </w:r>
    </w:p>
  </w:footnote>
  <w:footnote w:id="237">
    <w:p w14:paraId="4D256805" w14:textId="77777777" w:rsidR="009C3BB9" w:rsidRPr="00F230F1" w:rsidRDefault="009C3BB9" w:rsidP="00F230F1">
      <w:pPr>
        <w:pStyle w:val="n1"/>
        <w:bidi w:val="0"/>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Dans son </w:t>
      </w:r>
      <w:r w:rsidRPr="00F230F1">
        <w:rPr>
          <w:rFonts w:asciiTheme="majorBidi" w:hAnsiTheme="majorBidi" w:cstheme="majorBidi"/>
          <w:i/>
          <w:iCs/>
          <w:sz w:val="20"/>
          <w:szCs w:val="20"/>
          <w:lang w:bidi="ar-AE"/>
        </w:rPr>
        <w:t>Sunan</w:t>
      </w:r>
      <w:r w:rsidRPr="00F230F1">
        <w:rPr>
          <w:rFonts w:asciiTheme="majorBidi" w:hAnsiTheme="majorBidi" w:cstheme="majorBidi"/>
          <w:sz w:val="20"/>
          <w:szCs w:val="20"/>
          <w:lang w:bidi="ar-AE"/>
        </w:rPr>
        <w:t xml:space="preserve"> (7/443), Al-Bayhaqī (m. 1066) rapporte que la période de la grossesse de la femme ne dépasse jamais les deux ans selon la narration d’Al-Walīd ibn Muslim d’après ʿĀʾisha, et qu’elle peut, par contre, atteindre les quatre ans, d’après Mālik Ibn Anas. Un autre hadith dont les références et le degré de l’authenticité [</w:t>
      </w:r>
      <w:r w:rsidRPr="00F230F1">
        <w:rPr>
          <w:rFonts w:asciiTheme="majorBidi" w:hAnsiTheme="majorBidi" w:cstheme="majorBidi"/>
          <w:i/>
          <w:iCs/>
          <w:sz w:val="20"/>
          <w:szCs w:val="20"/>
          <w:lang w:bidi="ar-AE"/>
        </w:rPr>
        <w:t>at-takhrīj</w:t>
      </w:r>
      <w:r w:rsidRPr="00F230F1">
        <w:rPr>
          <w:rFonts w:asciiTheme="majorBidi" w:hAnsiTheme="majorBidi" w:cstheme="majorBidi"/>
          <w:sz w:val="20"/>
          <w:szCs w:val="20"/>
          <w:lang w:bidi="ar-AE"/>
        </w:rPr>
        <w:t>] sont réalisés par Ad-Dārquṭnī (</w:t>
      </w:r>
      <w:r w:rsidRPr="00F230F1">
        <w:rPr>
          <w:rFonts w:asciiTheme="majorBidi" w:hAnsiTheme="majorBidi" w:cstheme="majorBidi"/>
          <w:i/>
          <w:iCs/>
          <w:sz w:val="20"/>
          <w:szCs w:val="20"/>
          <w:lang w:bidi="ar-AE"/>
        </w:rPr>
        <w:t>Sinan</w:t>
      </w:r>
      <w:r w:rsidRPr="00F230F1">
        <w:rPr>
          <w:rFonts w:asciiTheme="majorBidi" w:hAnsiTheme="majorBidi" w:cstheme="majorBidi"/>
          <w:sz w:val="20"/>
          <w:szCs w:val="20"/>
          <w:lang w:bidi="ar-AE"/>
        </w:rPr>
        <w:t xml:space="preserve">, 3/322, hadith n° 3407) rapporte d’après Al-Mubārak ibn Mujāhid que la période de la grossesse de la femme de Muḥammad ibn ʿAjlān était de quatre ans et que pour cette raison on l’appelait </w:t>
      </w:r>
      <w:r w:rsidRPr="00F230F1">
        <w:rPr>
          <w:rFonts w:asciiTheme="majorBidi" w:hAnsiTheme="majorBidi" w:cstheme="majorBidi"/>
          <w:i/>
          <w:iCs/>
          <w:sz w:val="20"/>
          <w:szCs w:val="20"/>
          <w:lang w:bidi="ar-AE"/>
        </w:rPr>
        <w:t>ḥāmilat al-fīl</w:t>
      </w:r>
      <w:r w:rsidRPr="00F230F1">
        <w:rPr>
          <w:rFonts w:asciiTheme="majorBidi" w:hAnsiTheme="majorBidi" w:cstheme="majorBidi"/>
          <w:sz w:val="20"/>
          <w:szCs w:val="20"/>
          <w:lang w:bidi="ar-AE"/>
        </w:rPr>
        <w:t xml:space="preserve"> [la porteuse de l’éléphant].</w:t>
      </w:r>
    </w:p>
  </w:footnote>
  <w:footnote w:id="238">
    <w:p w14:paraId="2F147211"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ʿAbd al-Karīm </w:t>
      </w:r>
      <w:r w:rsidRPr="00F230F1">
        <w:rPr>
          <w:rFonts w:asciiTheme="majorBidi" w:eastAsia="Times New Roman" w:hAnsiTheme="majorBidi" w:cstheme="majorBidi"/>
          <w:sz w:val="20"/>
          <w:szCs w:val="20"/>
          <w:lang w:bidi="ar-EG"/>
        </w:rPr>
        <w:t xml:space="preserve">Abū l-Qāsim al-Qushayrī, </w:t>
      </w:r>
      <w:r w:rsidRPr="00F230F1">
        <w:rPr>
          <w:rFonts w:asciiTheme="majorBidi" w:eastAsia="Times New Roman" w:hAnsiTheme="majorBidi" w:cstheme="majorBidi"/>
          <w:i/>
          <w:iCs/>
          <w:sz w:val="20"/>
          <w:szCs w:val="20"/>
          <w:lang w:bidi="ar-EG"/>
        </w:rPr>
        <w:t>La</w:t>
      </w:r>
      <w:r w:rsidRPr="00F230F1">
        <w:rPr>
          <w:rFonts w:asciiTheme="majorBidi" w:eastAsia="Times New Roman" w:hAnsiTheme="majorBidi" w:cstheme="majorBidi"/>
          <w:i/>
          <w:iCs/>
          <w:sz w:val="20"/>
          <w:szCs w:val="20"/>
        </w:rPr>
        <w:t>ṭ</w:t>
      </w:r>
      <w:r w:rsidRPr="00F230F1">
        <w:rPr>
          <w:rFonts w:asciiTheme="majorBidi" w:eastAsia="Times New Roman" w:hAnsiTheme="majorBidi" w:cstheme="majorBidi"/>
          <w:i/>
          <w:iCs/>
          <w:sz w:val="20"/>
          <w:szCs w:val="20"/>
          <w:lang w:bidi="ar-EG"/>
        </w:rPr>
        <w:t>ā</w:t>
      </w:r>
      <w:r w:rsidRPr="00F230F1">
        <w:rPr>
          <w:rFonts w:asciiTheme="majorBidi" w:eastAsia="Times New Roman" w:hAnsiTheme="majorBidi" w:cstheme="majorBidi"/>
          <w:i/>
          <w:iCs/>
          <w:sz w:val="20"/>
          <w:szCs w:val="20"/>
        </w:rPr>
        <w:t>ʾ</w:t>
      </w:r>
      <w:r w:rsidRPr="00F230F1">
        <w:rPr>
          <w:rFonts w:asciiTheme="majorBidi" w:eastAsia="Times New Roman" w:hAnsiTheme="majorBidi" w:cstheme="majorBidi"/>
          <w:i/>
          <w:iCs/>
          <w:sz w:val="20"/>
          <w:szCs w:val="20"/>
          <w:lang w:bidi="ar-EG"/>
        </w:rPr>
        <w:t>if al-Ishārāt</w:t>
      </w:r>
      <w:r w:rsidRPr="00F230F1">
        <w:rPr>
          <w:rFonts w:asciiTheme="majorBidi" w:eastAsia="Times New Roman" w:hAnsiTheme="majorBidi" w:cstheme="majorBidi"/>
          <w:sz w:val="20"/>
          <w:szCs w:val="20"/>
          <w:lang w:bidi="ar-EG"/>
        </w:rPr>
        <w:t>, commentaire par Ibrāhīm al-Basyūnī, al-Hay</w:t>
      </w:r>
      <w:r w:rsidRPr="00F230F1">
        <w:rPr>
          <w:rFonts w:asciiTheme="majorBidi" w:eastAsia="Times New Roman" w:hAnsiTheme="majorBidi" w:cstheme="majorBidi"/>
          <w:sz w:val="20"/>
          <w:szCs w:val="20"/>
        </w:rPr>
        <w:t>ʾa al-miṣriyya al-ʿāmma li-l-kitāb, Le Caire, 2000 (3</w:t>
      </w:r>
      <w:r w:rsidRPr="00F230F1">
        <w:rPr>
          <w:rFonts w:asciiTheme="majorBidi" w:eastAsia="Times New Roman" w:hAnsiTheme="majorBidi" w:cstheme="majorBidi"/>
          <w:sz w:val="20"/>
          <w:szCs w:val="20"/>
          <w:vertAlign w:val="superscript"/>
        </w:rPr>
        <w:t>e</w:t>
      </w:r>
      <w:r w:rsidRPr="00F230F1">
        <w:rPr>
          <w:rFonts w:asciiTheme="majorBidi" w:eastAsia="Times New Roman" w:hAnsiTheme="majorBidi" w:cstheme="majorBidi"/>
          <w:sz w:val="20"/>
          <w:szCs w:val="20"/>
        </w:rPr>
        <w:t xml:space="preserve"> éd.), vol. 2, p. 557.</w:t>
      </w:r>
    </w:p>
  </w:footnote>
  <w:footnote w:id="239">
    <w:p w14:paraId="3E68BF62"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Muḥammad Khalīl Al-Bāshā, </w:t>
      </w:r>
      <w:r w:rsidRPr="00F230F1">
        <w:rPr>
          <w:rFonts w:asciiTheme="majorBidi" w:hAnsiTheme="majorBidi" w:cstheme="majorBidi"/>
          <w:i/>
          <w:iCs/>
          <w:sz w:val="20"/>
          <w:szCs w:val="20"/>
          <w:lang w:bidi="ar-AE"/>
        </w:rPr>
        <w:t>At-taqammuṣ wa-asrār al-</w:t>
      </w:r>
      <w:r w:rsidRPr="00F230F1">
        <w:rPr>
          <w:rFonts w:asciiTheme="majorBidi" w:hAnsiTheme="majorBidi" w:cstheme="majorBidi"/>
          <w:i/>
          <w:iCs/>
          <w:sz w:val="20"/>
          <w:szCs w:val="20"/>
        </w:rPr>
        <w:t xml:space="preserve"> </w:t>
      </w:r>
      <w:r w:rsidRPr="00F230F1">
        <w:rPr>
          <w:rFonts w:asciiTheme="majorBidi" w:hAnsiTheme="majorBidi" w:cstheme="majorBidi"/>
          <w:i/>
          <w:iCs/>
          <w:sz w:val="20"/>
          <w:szCs w:val="20"/>
          <w:lang w:bidi="ar-AE"/>
        </w:rPr>
        <w:t>ḥayāt wa-l-mawt</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Muḥammad Khalīl Al-Bāshā,</w:t>
      </w:r>
      <w:r w:rsidRPr="00F230F1">
        <w:rPr>
          <w:rFonts w:asciiTheme="majorBidi" w:hAnsiTheme="majorBidi" w:cstheme="majorBidi"/>
          <w:i/>
          <w:iCs/>
          <w:sz w:val="20"/>
          <w:szCs w:val="20"/>
        </w:rPr>
        <w:t>Al-ʾinsān wa-taqallubātu-hu f</w:t>
      </w:r>
      <w:r w:rsidRPr="00F230F1">
        <w:rPr>
          <w:rFonts w:asciiTheme="majorBidi" w:hAnsiTheme="majorBidi" w:cstheme="majorBidi"/>
          <w:i/>
          <w:iCs/>
          <w:sz w:val="20"/>
          <w:szCs w:val="20"/>
          <w:lang w:bidi="ar-AE"/>
        </w:rPr>
        <w:t>ī</w:t>
      </w:r>
      <w:r w:rsidRPr="00F230F1">
        <w:rPr>
          <w:rFonts w:asciiTheme="majorBidi" w:hAnsiTheme="majorBidi" w:cstheme="majorBidi"/>
          <w:i/>
          <w:iCs/>
          <w:sz w:val="20"/>
          <w:szCs w:val="20"/>
        </w:rPr>
        <w:t xml:space="preserve"> l-āfāq</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Sāmī Nasīb Makārim, </w:t>
      </w:r>
      <w:r w:rsidRPr="00F230F1">
        <w:rPr>
          <w:rFonts w:asciiTheme="majorBidi" w:hAnsiTheme="majorBidi" w:cstheme="majorBidi"/>
          <w:i/>
          <w:iCs/>
          <w:sz w:val="20"/>
          <w:szCs w:val="20"/>
        </w:rPr>
        <w:t>Maslak at-Tawḥid</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Abū Mūsā Al-Ḥarīrī, </w:t>
      </w:r>
      <w:r w:rsidRPr="00F230F1">
        <w:rPr>
          <w:rFonts w:asciiTheme="majorBidi" w:hAnsiTheme="majorBidi" w:cstheme="majorBidi"/>
          <w:i/>
          <w:iCs/>
          <w:sz w:val="20"/>
          <w:szCs w:val="20"/>
          <w:lang w:bidi="ar-AE"/>
        </w:rPr>
        <w:t>ʾAl-ʿAlawyīūn an-Nuṣayryīūn</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rPr>
        <w:t>.</w:t>
      </w:r>
    </w:p>
  </w:footnote>
  <w:footnote w:id="240">
    <w:p w14:paraId="5382D7D6"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Ibid</w:t>
      </w:r>
      <w:r w:rsidRPr="00F230F1">
        <w:rPr>
          <w:rFonts w:asciiTheme="majorBidi" w:hAnsiTheme="majorBidi" w:cstheme="majorBidi"/>
          <w:i/>
          <w:iCs/>
          <w:sz w:val="20"/>
          <w:szCs w:val="20"/>
        </w:rPr>
        <w:t>.</w:t>
      </w:r>
    </w:p>
  </w:footnote>
  <w:footnote w:id="241">
    <w:p w14:paraId="5D9F0049"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terme </w:t>
      </w:r>
      <w:r w:rsidRPr="00F230F1">
        <w:rPr>
          <w:rFonts w:asciiTheme="majorBidi" w:hAnsiTheme="majorBidi" w:cstheme="majorBidi"/>
          <w:i/>
          <w:iCs/>
          <w:sz w:val="20"/>
          <w:szCs w:val="20"/>
          <w:lang w:bidi="ar-AE"/>
        </w:rPr>
        <w:t>wijdān</w:t>
      </w:r>
      <w:r w:rsidRPr="00F230F1">
        <w:rPr>
          <w:rFonts w:asciiTheme="majorBidi" w:hAnsiTheme="majorBidi" w:cstheme="majorBidi"/>
          <w:sz w:val="20"/>
          <w:szCs w:val="20"/>
          <w:lang w:bidi="ar-AE"/>
        </w:rPr>
        <w:t xml:space="preserve"> vient du verbe </w:t>
      </w:r>
      <w:r w:rsidRPr="00F230F1">
        <w:rPr>
          <w:rFonts w:asciiTheme="majorBidi" w:hAnsiTheme="majorBidi" w:cstheme="majorBidi"/>
          <w:i/>
          <w:iCs/>
          <w:sz w:val="20"/>
          <w:szCs w:val="20"/>
          <w:lang w:bidi="ar-AE"/>
        </w:rPr>
        <w:t>wajada</w:t>
      </w:r>
      <w:r w:rsidRPr="00F230F1">
        <w:rPr>
          <w:rFonts w:asciiTheme="majorBidi" w:hAnsiTheme="majorBidi" w:cstheme="majorBidi"/>
          <w:sz w:val="20"/>
          <w:szCs w:val="20"/>
          <w:lang w:bidi="ar-AE"/>
        </w:rPr>
        <w:t xml:space="preserve"> [trouver] et désigne l’acte de réalisation. Il représente chez </w:t>
      </w:r>
      <w:r w:rsidRPr="00F230F1">
        <w:rPr>
          <w:rFonts w:asciiTheme="majorBidi" w:hAnsiTheme="majorBidi" w:cstheme="majorBidi"/>
          <w:sz w:val="20"/>
          <w:szCs w:val="20"/>
          <w:lang w:bidi="ar-EG"/>
        </w:rPr>
        <w:t xml:space="preserve">Ibn ʿArabī </w:t>
      </w:r>
      <w:r w:rsidRPr="00F230F1">
        <w:rPr>
          <w:rFonts w:asciiTheme="majorBidi" w:hAnsiTheme="majorBidi" w:cstheme="majorBidi"/>
          <w:sz w:val="20"/>
          <w:szCs w:val="20"/>
          <w:lang w:bidi="ar-AE"/>
        </w:rPr>
        <w:t>le degré maximal de l’expérience. Ce terme a le sens originaire du terme grec ἐνθουσιασμός (</w:t>
      </w:r>
      <w:r w:rsidRPr="00F230F1">
        <w:rPr>
          <w:rFonts w:asciiTheme="majorBidi" w:hAnsiTheme="majorBidi" w:cstheme="majorBidi"/>
          <w:i/>
          <w:iCs/>
          <w:sz w:val="20"/>
          <w:szCs w:val="20"/>
          <w:lang w:bidi="ar-AE"/>
        </w:rPr>
        <w:t>enthousiasmós</w:t>
      </w:r>
      <w:r w:rsidRPr="00F230F1">
        <w:rPr>
          <w:rFonts w:asciiTheme="majorBidi" w:hAnsiTheme="majorBidi" w:cstheme="majorBidi"/>
          <w:sz w:val="20"/>
          <w:szCs w:val="20"/>
          <w:lang w:bidi="ar-AE"/>
        </w:rPr>
        <w:t>) qui signifiait à l’origine l’inspiration ou la possession par le divin ou par la présence d’un dieu et qui</w:t>
      </w:r>
      <w:r w:rsidRPr="00F230F1">
        <w:rPr>
          <w:rFonts w:asciiTheme="majorBidi" w:hAnsiTheme="majorBidi" w:cstheme="majorBidi"/>
          <w:sz w:val="20"/>
          <w:szCs w:val="20"/>
        </w:rPr>
        <w:t xml:space="preserve"> sous-entend une communication divine.</w:t>
      </w:r>
    </w:p>
  </w:footnote>
  <w:footnote w:id="242">
    <w:p w14:paraId="37DADEAA"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Cette signification donnée par l’exégète chiite </w:t>
      </w:r>
      <w:r w:rsidRPr="00F230F1">
        <w:rPr>
          <w:rFonts w:asciiTheme="majorBidi" w:hAnsiTheme="majorBidi" w:cstheme="majorBidi"/>
          <w:sz w:val="20"/>
          <w:szCs w:val="20"/>
          <w:lang w:bidi="ar-EG"/>
        </w:rPr>
        <w:t>Aṭ-Ṭabāṭabāʾī</w:t>
      </w:r>
      <w:r w:rsidRPr="00F230F1">
        <w:rPr>
          <w:rFonts w:asciiTheme="majorBidi" w:hAnsiTheme="majorBidi" w:cstheme="majorBidi"/>
          <w:sz w:val="20"/>
          <w:szCs w:val="20"/>
        </w:rPr>
        <w:t xml:space="preserve"> est proche du concept bouddhiste de la septième voie du Sentier octuple (Noble Chemin, la quatrième des Nobles Vérités, « Chemin du milieu »), c’est </w:t>
      </w:r>
      <w:r w:rsidRPr="00F230F1">
        <w:rPr>
          <w:rFonts w:asciiTheme="majorBidi" w:hAnsiTheme="majorBidi" w:cstheme="majorBidi"/>
          <w:i/>
          <w:iCs/>
          <w:sz w:val="20"/>
          <w:szCs w:val="20"/>
        </w:rPr>
        <w:t>la Vue juste</w:t>
      </w:r>
      <w:r w:rsidRPr="00F230F1">
        <w:rPr>
          <w:rFonts w:asciiTheme="majorBidi" w:hAnsiTheme="majorBidi" w:cstheme="majorBidi"/>
          <w:sz w:val="20"/>
          <w:szCs w:val="20"/>
        </w:rPr>
        <w:t xml:space="preserve"> [la vision ou la compréhension juste] « </w:t>
      </w:r>
      <w:r w:rsidRPr="00F230F1">
        <w:rPr>
          <w:rFonts w:asciiTheme="majorBidi" w:hAnsiTheme="majorBidi" w:cstheme="majorBidi"/>
          <w:i/>
          <w:iCs/>
          <w:sz w:val="20"/>
          <w:szCs w:val="20"/>
        </w:rPr>
        <w:t>samyag-dṛṣṭi </w:t>
      </w:r>
      <w:r w:rsidRPr="00F230F1">
        <w:rPr>
          <w:rFonts w:asciiTheme="majorBidi" w:hAnsiTheme="majorBidi" w:cstheme="majorBidi"/>
          <w:sz w:val="20"/>
          <w:szCs w:val="20"/>
        </w:rPr>
        <w:t>;</w:t>
      </w:r>
      <w:r w:rsidRPr="00F230F1">
        <w:rPr>
          <w:rFonts w:asciiTheme="majorBidi" w:hAnsiTheme="majorBidi" w:cstheme="majorBidi"/>
          <w:i/>
          <w:iCs/>
          <w:sz w:val="20"/>
          <w:szCs w:val="20"/>
        </w:rPr>
        <w:t xml:space="preserve"> sammā-diṭṭhi</w:t>
      </w:r>
      <w:r w:rsidRPr="00F230F1">
        <w:rPr>
          <w:rFonts w:asciiTheme="majorBidi" w:hAnsiTheme="majorBidi" w:cstheme="majorBidi"/>
          <w:sz w:val="20"/>
          <w:szCs w:val="20"/>
        </w:rPr>
        <w:t> » (de la réalité, des quatre nobles vérités), c.à.d. voir « l’état réel des choses », une vue complète de la nature de l’esprit et de la réalité.</w:t>
      </w:r>
    </w:p>
  </w:footnote>
  <w:footnote w:id="243">
    <w:p w14:paraId="629CFA0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AE"/>
        </w:rPr>
        <w:t xml:space="preserve">Il est à souligner que l’idéologie même de l’islam s’appuie sur les intérêts aussi matériels que moraux, sur </w:t>
      </w:r>
      <w:r w:rsidRPr="00F230F1">
        <w:rPr>
          <w:rFonts w:asciiTheme="majorBidi" w:hAnsiTheme="majorBidi" w:cstheme="majorBidi"/>
          <w:i/>
          <w:iCs/>
          <w:sz w:val="20"/>
          <w:szCs w:val="20"/>
          <w:lang w:bidi="ar-AE"/>
        </w:rPr>
        <w:t>at-targhīb wa-t-tarhīb</w:t>
      </w:r>
      <w:r w:rsidRPr="00F230F1">
        <w:rPr>
          <w:rFonts w:asciiTheme="majorBidi" w:hAnsiTheme="majorBidi" w:cstheme="majorBidi"/>
          <w:sz w:val="20"/>
          <w:szCs w:val="20"/>
          <w:lang w:bidi="ar-AE"/>
        </w:rPr>
        <w:t xml:space="preserve"> (la promesse</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lang w:bidi="ar-AE"/>
        </w:rPr>
        <w:t xml:space="preserve">et l’intimidation), « la carotte et le bâton ». </w:t>
      </w:r>
      <w:r w:rsidRPr="00F230F1">
        <w:rPr>
          <w:rFonts w:asciiTheme="majorBidi" w:eastAsia="Times New Roman" w:hAnsiTheme="majorBidi" w:cstheme="majorBidi"/>
          <w:sz w:val="20"/>
          <w:szCs w:val="20"/>
          <w:lang w:eastAsia="fr-FR" w:bidi="ar-AE"/>
        </w:rPr>
        <w:t xml:space="preserve">C’est le Coran lui-même qui a adopté cette stratégie d’appât pour convaincre et rallier les adversaires et les Gentils. Il a donc affecté une somme de </w:t>
      </w:r>
      <w:r w:rsidRPr="00F230F1">
        <w:rPr>
          <w:rFonts w:asciiTheme="majorBidi" w:eastAsia="Times New Roman" w:hAnsiTheme="majorBidi" w:cstheme="majorBidi"/>
          <w:i/>
          <w:iCs/>
          <w:sz w:val="20"/>
          <w:szCs w:val="20"/>
          <w:lang w:eastAsia="fr-FR" w:bidi="ar-AE"/>
        </w:rPr>
        <w:t>zakāt</w:t>
      </w:r>
      <w:r w:rsidRPr="00F230F1">
        <w:rPr>
          <w:rFonts w:asciiTheme="majorBidi" w:eastAsia="Times New Roman" w:hAnsiTheme="majorBidi" w:cstheme="majorBidi"/>
          <w:sz w:val="20"/>
          <w:szCs w:val="20"/>
          <w:lang w:eastAsia="fr-FR" w:bidi="ar-AE"/>
        </w:rPr>
        <w:t xml:space="preserve"> [aumône légale] à ceux dont les cœurs sont à gagner, à rallier (verset IX, 60).</w:t>
      </w:r>
    </w:p>
  </w:footnote>
  <w:footnote w:id="244">
    <w:p w14:paraId="3B31737B" w14:textId="77777777" w:rsidR="009C3BB9" w:rsidRPr="00F230F1" w:rsidRDefault="009C3BB9" w:rsidP="00F230F1">
      <w:pPr>
        <w:pStyle w:val="Notedebasdepage"/>
        <w:contextualSpacing/>
        <w:jc w:val="both"/>
        <w:rPr>
          <w:rStyle w:val="footnote1"/>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Style w:val="footnote1"/>
          <w:rFonts w:asciiTheme="majorBidi" w:hAnsiTheme="majorBidi" w:cstheme="majorBidi"/>
          <w:sz w:val="20"/>
          <w:szCs w:val="20"/>
        </w:rPr>
        <w:t xml:space="preserve"> Al-Mubārakfūrī [le mubarakpurien, de Mubarakpur à Azamgarh, district en Inde], Abū l-</w:t>
      </w:r>
      <w:r w:rsidRPr="00F230F1">
        <w:rPr>
          <w:rFonts w:asciiTheme="majorBidi" w:eastAsia="Times New Roman" w:hAnsiTheme="majorBidi" w:cstheme="majorBidi"/>
          <w:sz w:val="20"/>
          <w:szCs w:val="20"/>
        </w:rPr>
        <w:t xml:space="preserve">ʿUlā Muḥammad ʿAbd ar-Raḥmān ibn ʿAbd ar-Raḥīm, </w:t>
      </w:r>
      <w:r w:rsidRPr="00F230F1">
        <w:rPr>
          <w:rFonts w:asciiTheme="majorBidi" w:eastAsia="Times New Roman" w:hAnsiTheme="majorBidi" w:cstheme="majorBidi"/>
          <w:i/>
          <w:iCs/>
          <w:sz w:val="20"/>
          <w:szCs w:val="20"/>
        </w:rPr>
        <w:t>Tuḥfat al-ʾAḥwadhī bi-sharḥ jāmiʿ at-Tirmidhī</w:t>
      </w:r>
      <w:r w:rsidRPr="00F230F1">
        <w:rPr>
          <w:rFonts w:asciiTheme="majorBidi" w:eastAsia="Times New Roman" w:hAnsiTheme="majorBidi" w:cstheme="majorBidi"/>
          <w:sz w:val="20"/>
          <w:szCs w:val="20"/>
        </w:rPr>
        <w:t xml:space="preserve"> </w:t>
      </w:r>
      <w:r w:rsidRPr="00F230F1">
        <w:rPr>
          <w:rStyle w:val="footnote1"/>
          <w:rFonts w:asciiTheme="majorBidi" w:hAnsiTheme="majorBidi" w:cstheme="majorBidi"/>
          <w:sz w:val="20"/>
          <w:szCs w:val="20"/>
        </w:rPr>
        <w:t>[</w:t>
      </w:r>
      <w:r w:rsidRPr="00F230F1">
        <w:rPr>
          <w:rStyle w:val="footnote1"/>
          <w:rFonts w:asciiTheme="majorBidi" w:hAnsiTheme="majorBidi" w:cstheme="majorBidi"/>
          <w:i/>
          <w:iCs/>
          <w:sz w:val="20"/>
          <w:szCs w:val="20"/>
        </w:rPr>
        <w:t>Le chef d’œuvre de l’incollable dans le commentaire de la synthèse d’at-Tirmidhī</w:t>
      </w:r>
      <w:r w:rsidRPr="00F230F1">
        <w:rPr>
          <w:rStyle w:val="footnote1"/>
          <w:rFonts w:asciiTheme="majorBidi" w:hAnsiTheme="majorBidi" w:cstheme="majorBidi"/>
          <w:sz w:val="20"/>
          <w:szCs w:val="20"/>
        </w:rPr>
        <w:t>]</w:t>
      </w:r>
      <w:r w:rsidRPr="00F230F1">
        <w:rPr>
          <w:rFonts w:asciiTheme="majorBidi" w:eastAsia="Times New Roman" w:hAnsiTheme="majorBidi" w:cstheme="majorBidi"/>
          <w:sz w:val="20"/>
          <w:szCs w:val="20"/>
        </w:rPr>
        <w:t xml:space="preserve">, revue par ʿAbd al-Wahhāb ʿAbd al-Latīf, Dār al-Fikr, Damas, sans date, mis en ligne par </w:t>
      </w:r>
      <w:r w:rsidRPr="00F230F1">
        <w:rPr>
          <w:rFonts w:asciiTheme="majorBidi" w:eastAsia="Times New Roman" w:hAnsiTheme="majorBidi" w:cstheme="majorBidi"/>
          <w:i/>
          <w:iCs/>
          <w:sz w:val="20"/>
          <w:szCs w:val="20"/>
        </w:rPr>
        <w:t>al-Maktaba al-islāmīya</w:t>
      </w:r>
      <w:r w:rsidRPr="00F230F1">
        <w:rPr>
          <w:rFonts w:asciiTheme="majorBidi" w:eastAsia="Times New Roman" w:hAnsiTheme="majorBidi" w:cstheme="majorBidi"/>
          <w:sz w:val="20"/>
          <w:szCs w:val="20"/>
        </w:rPr>
        <w:t>.</w:t>
      </w:r>
    </w:p>
  </w:footnote>
  <w:footnote w:id="245">
    <w:p w14:paraId="7327F658"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Mu</w:t>
      </w:r>
      <w:r w:rsidRPr="00F230F1">
        <w:rPr>
          <w:rFonts w:asciiTheme="majorBidi" w:eastAsia="Times New Roman" w:hAnsiTheme="majorBidi" w:cstheme="majorBidi"/>
          <w:sz w:val="20"/>
          <w:szCs w:val="20"/>
        </w:rPr>
        <w:t xml:space="preserve">ḥammad b. Mālik b. Abī al-Faḍaʾil al-Ḥammādī al-Yamānī, </w:t>
      </w:r>
      <w:r w:rsidRPr="00F230F1">
        <w:rPr>
          <w:rFonts w:asciiTheme="majorBidi" w:eastAsia="Times New Roman" w:hAnsiTheme="majorBidi" w:cstheme="majorBidi"/>
          <w:i/>
          <w:iCs/>
          <w:sz w:val="20"/>
          <w:szCs w:val="20"/>
        </w:rPr>
        <w:t>Kashf asrār al-bāṭinīya wa-akhbār</w:t>
      </w:r>
      <w:r w:rsidRPr="00F230F1">
        <w:rPr>
          <w:rFonts w:asciiTheme="majorBidi" w:eastAsia="Times New Roman" w:hAnsiTheme="majorBidi" w:cstheme="majorBidi"/>
          <w:sz w:val="20"/>
          <w:szCs w:val="20"/>
        </w:rPr>
        <w:t xml:space="preserve"> </w:t>
      </w:r>
      <w:r w:rsidRPr="00F230F1">
        <w:rPr>
          <w:rFonts w:asciiTheme="majorBidi" w:hAnsiTheme="majorBidi" w:cstheme="majorBidi"/>
          <w:i/>
          <w:iCs/>
          <w:sz w:val="20"/>
          <w:szCs w:val="20"/>
        </w:rPr>
        <w:t>al-qarāmiṭa wa-kayfīyat madhhabi-him wa-bayān i</w:t>
      </w:r>
      <w:r w:rsidRPr="00F230F1">
        <w:rPr>
          <w:rFonts w:asciiTheme="majorBidi" w:eastAsia="Times New Roman" w:hAnsiTheme="majorBidi" w:cstheme="majorBidi"/>
          <w:i/>
          <w:iCs/>
          <w:sz w:val="20"/>
          <w:szCs w:val="20"/>
        </w:rPr>
        <w:t>ʿtiqādi-him</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Le dévoilement des secrets des ésotériques. Histoire, religion et doctrine des Qarmates</w:t>
      </w:r>
      <w:r w:rsidRPr="00F230F1">
        <w:rPr>
          <w:rFonts w:asciiTheme="majorBidi" w:hAnsiTheme="majorBidi" w:cstheme="majorBidi"/>
          <w:sz w:val="20"/>
          <w:szCs w:val="20"/>
        </w:rPr>
        <w:t>], révision et commentaire par Mu</w:t>
      </w:r>
      <w:r w:rsidRPr="00F230F1">
        <w:rPr>
          <w:rFonts w:asciiTheme="majorBidi" w:eastAsia="Times New Roman" w:hAnsiTheme="majorBidi" w:cstheme="majorBidi"/>
          <w:sz w:val="20"/>
          <w:szCs w:val="20"/>
        </w:rPr>
        <w:t xml:space="preserve">ḥammad ʿUthmān al-Khusht, </w:t>
      </w:r>
      <w:r w:rsidRPr="00F230F1">
        <w:rPr>
          <w:rFonts w:asciiTheme="majorBidi" w:hAnsiTheme="majorBidi" w:cstheme="majorBidi"/>
          <w:sz w:val="20"/>
          <w:szCs w:val="20"/>
        </w:rPr>
        <w:t>Maktabat as-Sāʿī, Riyad, 1985, pp. 28 et 29.</w:t>
      </w:r>
    </w:p>
  </w:footnote>
  <w:footnote w:id="246">
    <w:p w14:paraId="5F2284CE" w14:textId="77777777" w:rsidR="009C3BB9" w:rsidRPr="00F230F1" w:rsidRDefault="009C3BB9" w:rsidP="00F230F1">
      <w:pPr>
        <w:pStyle w:val="n1"/>
        <w:bidi w:val="0"/>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Shaykhū, </w:t>
      </w:r>
      <w:r w:rsidRPr="00F230F1">
        <w:rPr>
          <w:rFonts w:asciiTheme="majorBidi" w:hAnsiTheme="majorBidi" w:cstheme="majorBidi"/>
          <w:i/>
          <w:iCs/>
          <w:sz w:val="20"/>
          <w:szCs w:val="20"/>
        </w:rPr>
        <w:t>Taʾwīl al-Qurʾān al-ʿaẓīm</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Dār Nūr al-Bachīr, Damas, 1997, p. 200.</w:t>
      </w:r>
    </w:p>
  </w:footnote>
  <w:footnote w:id="247">
    <w:p w14:paraId="4A4DAFF9"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Mirzā Bashīr ad-Dīn, </w:t>
      </w:r>
      <w:r w:rsidRPr="00F230F1">
        <w:rPr>
          <w:rFonts w:asciiTheme="majorBidi" w:hAnsiTheme="majorBidi" w:cstheme="majorBidi"/>
          <w:i/>
          <w:iCs/>
          <w:sz w:val="20"/>
          <w:szCs w:val="20"/>
        </w:rPr>
        <w:t>At-tafsīr al-kabīr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tome 6, p. 25 [</w:t>
      </w:r>
      <w:hyperlink r:id="rId85" w:tgtFrame="_blank" w:history="1">
        <w:r w:rsidRPr="00F230F1">
          <w:rPr>
            <w:rStyle w:val="Lienhypertexte"/>
            <w:rFonts w:asciiTheme="majorBidi" w:hAnsiTheme="majorBidi" w:cstheme="majorBidi"/>
            <w:sz w:val="20"/>
            <w:szCs w:val="20"/>
          </w:rPr>
          <w:t>http://new.islamahmadiyya.net/booksinner.asp?id=111</w:t>
        </w:r>
      </w:hyperlink>
      <w:r w:rsidRPr="00F230F1">
        <w:rPr>
          <w:rFonts w:asciiTheme="majorBidi" w:hAnsiTheme="majorBidi" w:cstheme="majorBidi"/>
          <w:sz w:val="20"/>
          <w:szCs w:val="20"/>
        </w:rPr>
        <w:t>] (consulté le 30/07/2017).</w:t>
      </w:r>
    </w:p>
  </w:footnote>
  <w:footnote w:id="248">
    <w:p w14:paraId="2164B4D5"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Voir le site de Markaz al-Ish</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lang w:bidi="ar-AE"/>
        </w:rPr>
        <w:t>ā</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lang w:bidi="ar-AE"/>
        </w:rPr>
        <w:t xml:space="preserve"> al-Islamī </w:t>
      </w:r>
      <w:hyperlink r:id="rId86" w:history="1">
        <w:r w:rsidRPr="00F230F1">
          <w:rPr>
            <w:rStyle w:val="Lienhypertexte"/>
            <w:rFonts w:asciiTheme="majorBidi" w:hAnsiTheme="majorBidi" w:cstheme="majorBidi"/>
            <w:sz w:val="20"/>
            <w:szCs w:val="20"/>
          </w:rPr>
          <w:t>http://www.islam4u.com/ar/almojib/%D9%85%D9%86-%D9%87%D9%88-%D8%A7%D9%84%D9%83%D8%A7%D9%81%D8%B1-%D8%9F</w:t>
        </w:r>
      </w:hyperlink>
      <w:r w:rsidRPr="00F230F1">
        <w:rPr>
          <w:rFonts w:asciiTheme="majorBidi" w:hAnsiTheme="majorBidi" w:cstheme="majorBidi"/>
          <w:sz w:val="20"/>
          <w:szCs w:val="20"/>
        </w:rPr>
        <w:t xml:space="preserve">, </w:t>
      </w:r>
      <w:hyperlink r:id="rId87" w:history="1">
        <w:r w:rsidRPr="00F230F1">
          <w:rPr>
            <w:rStyle w:val="Lienhypertexte"/>
            <w:rFonts w:asciiTheme="majorBidi" w:hAnsiTheme="majorBidi" w:cstheme="majorBidi"/>
            <w:sz w:val="20"/>
            <w:szCs w:val="20"/>
          </w:rPr>
          <w:t>http://www.aicp.ca/islamic-lessons/arabic/athaqafa-al-islamiyyah/faslu-al-aqaid/lesson13/</w:t>
        </w:r>
      </w:hyperlink>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et </w:t>
      </w:r>
      <w:hyperlink r:id="rId88" w:history="1">
        <w:r w:rsidRPr="00F230F1">
          <w:rPr>
            <w:rStyle w:val="Lienhypertexte"/>
            <w:rFonts w:asciiTheme="majorBidi" w:hAnsiTheme="majorBidi" w:cstheme="majorBidi"/>
            <w:sz w:val="20"/>
            <w:szCs w:val="20"/>
          </w:rPr>
          <w:t>http://fatwa.islamweb.net/fatwa/index.php?page=showfatwa&amp;Option=FatwaId&amp;Id=132221</w:t>
        </w:r>
      </w:hyperlink>
      <w:r w:rsidRPr="00F230F1">
        <w:rPr>
          <w:rFonts w:asciiTheme="majorBidi" w:hAnsiTheme="majorBidi" w:cstheme="majorBidi"/>
          <w:sz w:val="20"/>
          <w:szCs w:val="20"/>
        </w:rPr>
        <w:t xml:space="preserve"> (sites consultés le 30/10/2017).</w:t>
      </w:r>
    </w:p>
  </w:footnote>
  <w:footnote w:id="249">
    <w:p w14:paraId="2F7A0CE5"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As-Suyūṭī dans </w:t>
      </w:r>
      <w:r w:rsidRPr="00F230F1">
        <w:rPr>
          <w:rFonts w:asciiTheme="majorBidi" w:hAnsiTheme="majorBidi" w:cstheme="majorBidi"/>
          <w:i/>
          <w:iCs/>
          <w:sz w:val="20"/>
          <w:szCs w:val="20"/>
          <w:lang w:bidi="ar-AE"/>
        </w:rPr>
        <w:t>Miftāḥ al-janna fi-l-iḥtijāj bi-s-sunna</w:t>
      </w:r>
      <w:r w:rsidRPr="00F230F1">
        <w:rPr>
          <w:rFonts w:asciiTheme="majorBidi" w:hAnsiTheme="majorBidi" w:cstheme="majorBidi"/>
          <w:sz w:val="20"/>
          <w:szCs w:val="20"/>
          <w:lang w:bidi="ar-AE"/>
        </w:rPr>
        <w:t xml:space="preserve"> [La Sunna, la Clé du Paradis]. Voir aussi la fatwa n° 108688 [</w:t>
      </w:r>
      <w:hyperlink r:id="rId89" w:history="1">
        <w:r w:rsidRPr="00F230F1">
          <w:rPr>
            <w:rStyle w:val="Lienhypertexte"/>
            <w:rFonts w:asciiTheme="majorBidi" w:hAnsiTheme="majorBidi" w:cstheme="majorBidi"/>
            <w:sz w:val="20"/>
            <w:szCs w:val="20"/>
          </w:rPr>
          <w:t>http://fatwa.islamweb.net/fatwa/index.php?page=showfatwa&amp;Option=FatwaId&amp;Id=108688</w:t>
        </w:r>
      </w:hyperlink>
      <w:r w:rsidRPr="00F230F1">
        <w:rPr>
          <w:rFonts w:asciiTheme="majorBidi" w:hAnsiTheme="majorBidi" w:cstheme="majorBidi"/>
          <w:sz w:val="20"/>
          <w:szCs w:val="20"/>
          <w:lang w:bidi="ar-AE"/>
        </w:rPr>
        <w:t>] (consulté le 30/07/2017).</w:t>
      </w:r>
    </w:p>
  </w:footnote>
  <w:footnote w:id="250">
    <w:p w14:paraId="784D8BE6"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Selon les chiites, l’imam Ar-Riḍā dit : « Celui qui croit à la réincarnation est non-croyant et nie le Paradis. » Al-Majlisī, </w:t>
      </w:r>
      <w:r w:rsidRPr="00F230F1">
        <w:rPr>
          <w:rFonts w:asciiTheme="majorBidi" w:hAnsiTheme="majorBidi" w:cstheme="majorBidi"/>
          <w:i/>
          <w:iCs/>
          <w:sz w:val="20"/>
          <w:szCs w:val="20"/>
          <w:lang w:bidi="ar-AE"/>
        </w:rPr>
        <w:t>Biḥār al-anwār</w:t>
      </w:r>
      <w:r w:rsidRPr="00F230F1">
        <w:rPr>
          <w:rFonts w:asciiTheme="majorBidi" w:hAnsiTheme="majorBidi" w:cstheme="majorBidi"/>
          <w:sz w:val="20"/>
          <w:szCs w:val="20"/>
          <w:lang w:bidi="ar-AE"/>
        </w:rPr>
        <w:t>, 4/320.</w:t>
      </w:r>
    </w:p>
  </w:footnote>
  <w:footnote w:id="251">
    <w:p w14:paraId="51FCE72C" w14:textId="77777777" w:rsidR="009C3BB9" w:rsidRPr="00F230F1" w:rsidRDefault="009C3BB9" w:rsidP="00295192">
      <w:pPr>
        <w:pStyle w:val="Titre3"/>
        <w:shd w:val="clear" w:color="auto" w:fill="FFFFFF"/>
        <w:bidi w:val="0"/>
        <w:spacing w:before="0" w:after="0"/>
        <w:contextualSpacing/>
        <w:jc w:val="both"/>
        <w:rPr>
          <w:rFonts w:asciiTheme="majorBidi" w:hAnsiTheme="majorBidi" w:cstheme="majorBidi"/>
          <w:b w:val="0"/>
          <w:bCs w:val="0"/>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b w:val="0"/>
          <w:bCs w:val="0"/>
          <w:sz w:val="20"/>
          <w:szCs w:val="20"/>
          <w:shd w:val="clear" w:color="auto" w:fill="FFFFFF"/>
        </w:rPr>
        <w:t xml:space="preserve"> </w:t>
      </w:r>
      <w:r w:rsidRPr="00F230F1">
        <w:rPr>
          <w:rFonts w:asciiTheme="majorBidi" w:hAnsiTheme="majorBidi" w:cstheme="majorBidi"/>
          <w:b w:val="0"/>
          <w:bCs w:val="0"/>
          <w:sz w:val="20"/>
          <w:szCs w:val="20"/>
        </w:rPr>
        <w:t xml:space="preserve">Dans </w:t>
      </w:r>
      <w:r w:rsidRPr="00F230F1">
        <w:rPr>
          <w:rFonts w:asciiTheme="majorBidi" w:hAnsiTheme="majorBidi" w:cstheme="majorBidi"/>
          <w:b w:val="0"/>
          <w:bCs w:val="0"/>
          <w:i/>
          <w:iCs/>
          <w:sz w:val="20"/>
          <w:szCs w:val="20"/>
          <w:shd w:val="clear" w:color="auto" w:fill="FFFFFF"/>
        </w:rPr>
        <w:t>Le Messie et son Prophète : Aux origines de l’islam</w:t>
      </w:r>
      <w:r w:rsidRPr="00F230F1">
        <w:rPr>
          <w:rFonts w:asciiTheme="majorBidi" w:hAnsiTheme="majorBidi" w:cstheme="majorBidi"/>
          <w:b w:val="0"/>
          <w:bCs w:val="0"/>
          <w:sz w:val="20"/>
          <w:szCs w:val="20"/>
          <w:shd w:val="clear" w:color="auto" w:fill="FFFFFF"/>
        </w:rPr>
        <w:t>, thèse de doctorat de l’Université de Strasbourg en 2004,</w:t>
      </w:r>
      <w:r w:rsidRPr="00F230F1">
        <w:rPr>
          <w:rStyle w:val="apple-converted-space"/>
          <w:rFonts w:asciiTheme="majorBidi" w:hAnsiTheme="majorBidi" w:cstheme="majorBidi"/>
          <w:b w:val="0"/>
          <w:bCs w:val="0"/>
          <w:sz w:val="20"/>
          <w:szCs w:val="20"/>
          <w:shd w:val="clear" w:color="auto" w:fill="FFFFFF"/>
        </w:rPr>
        <w:t> </w:t>
      </w:r>
      <w:r w:rsidRPr="00F230F1">
        <w:rPr>
          <w:rFonts w:asciiTheme="majorBidi" w:hAnsiTheme="majorBidi" w:cstheme="majorBidi"/>
          <w:b w:val="0"/>
          <w:bCs w:val="0"/>
          <w:sz w:val="20"/>
          <w:szCs w:val="20"/>
          <w:shd w:val="clear" w:color="auto" w:fill="FFFFFF"/>
        </w:rPr>
        <w:t>Éditions de Paris, 2005 (2 tomes)</w:t>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sz w:val="20"/>
          <w:szCs w:val="20"/>
          <w:shd w:val="clear" w:color="auto" w:fill="FFFFFF"/>
        </w:rPr>
        <w:t xml:space="preserve">Édouard-Marie Gallez a étudié les significations du verbe </w:t>
      </w:r>
      <w:r w:rsidRPr="00F230F1">
        <w:rPr>
          <w:rFonts w:asciiTheme="majorBidi" w:hAnsiTheme="majorBidi" w:cstheme="majorBidi"/>
          <w:b w:val="0"/>
          <w:bCs w:val="0"/>
          <w:i/>
          <w:iCs/>
          <w:sz w:val="20"/>
          <w:szCs w:val="20"/>
          <w:shd w:val="clear" w:color="auto" w:fill="FFFFFF"/>
        </w:rPr>
        <w:t>kfr</w:t>
      </w:r>
      <w:r w:rsidRPr="00F230F1">
        <w:rPr>
          <w:rFonts w:asciiTheme="majorBidi" w:hAnsiTheme="majorBidi" w:cstheme="majorBidi"/>
          <w:b w:val="0"/>
          <w:bCs w:val="0"/>
          <w:i/>
          <w:iCs/>
          <w:color w:val="000000"/>
          <w:sz w:val="20"/>
          <w:szCs w:val="20"/>
          <w:shd w:val="clear" w:color="auto" w:fill="FFFFFF"/>
        </w:rPr>
        <w:t xml:space="preserve">. </w:t>
      </w:r>
      <w:r w:rsidRPr="00F230F1">
        <w:rPr>
          <w:rFonts w:asciiTheme="majorBidi" w:hAnsiTheme="majorBidi" w:cstheme="majorBidi"/>
          <w:b w:val="0"/>
          <w:bCs w:val="0"/>
          <w:sz w:val="20"/>
          <w:szCs w:val="20"/>
          <w:shd w:val="clear" w:color="auto" w:fill="FFFFFF"/>
        </w:rPr>
        <w:t xml:space="preserve">La racine </w:t>
      </w:r>
      <w:r w:rsidRPr="00F230F1">
        <w:rPr>
          <w:rFonts w:asciiTheme="majorBidi" w:hAnsiTheme="majorBidi" w:cstheme="majorBidi"/>
          <w:b w:val="0"/>
          <w:bCs w:val="0"/>
          <w:i/>
          <w:iCs/>
          <w:sz w:val="20"/>
          <w:szCs w:val="20"/>
          <w:shd w:val="clear" w:color="auto" w:fill="FFFFFF"/>
        </w:rPr>
        <w:t>kfr</w:t>
      </w:r>
      <w:r w:rsidRPr="00F230F1">
        <w:rPr>
          <w:rFonts w:asciiTheme="majorBidi" w:hAnsiTheme="majorBidi" w:cstheme="majorBidi"/>
          <w:b w:val="0"/>
          <w:bCs w:val="0"/>
          <w:sz w:val="20"/>
          <w:szCs w:val="20"/>
          <w:shd w:val="clear" w:color="auto" w:fill="FFFFFF"/>
        </w:rPr>
        <w:t xml:space="preserve"> peut signifier : </w:t>
      </w:r>
      <w:r w:rsidRPr="00F230F1">
        <w:rPr>
          <w:rFonts w:asciiTheme="majorBidi" w:hAnsiTheme="majorBidi" w:cstheme="majorBidi"/>
          <w:b w:val="0"/>
          <w:bCs w:val="0"/>
          <w:i/>
          <w:iCs/>
          <w:sz w:val="20"/>
          <w:szCs w:val="20"/>
          <w:shd w:val="clear" w:color="auto" w:fill="FFFFFF"/>
        </w:rPr>
        <w:t xml:space="preserve">absoudre </w:t>
      </w:r>
      <w:r w:rsidRPr="00F230F1">
        <w:rPr>
          <w:rFonts w:asciiTheme="majorBidi" w:hAnsiTheme="majorBidi" w:cstheme="majorBidi"/>
          <w:b w:val="0"/>
          <w:bCs w:val="0"/>
          <w:sz w:val="20"/>
          <w:szCs w:val="20"/>
          <w:shd w:val="clear" w:color="auto" w:fill="FFFFFF"/>
        </w:rPr>
        <w:t xml:space="preserve">ses fautes, </w:t>
      </w:r>
      <w:r w:rsidRPr="00F230F1">
        <w:rPr>
          <w:rFonts w:asciiTheme="majorBidi" w:hAnsiTheme="majorBidi" w:cstheme="majorBidi"/>
          <w:b w:val="0"/>
          <w:bCs w:val="0"/>
          <w:i/>
          <w:iCs/>
          <w:sz w:val="20"/>
          <w:szCs w:val="20"/>
          <w:shd w:val="clear" w:color="auto" w:fill="FFFFFF"/>
        </w:rPr>
        <w:t>effacer</w:t>
      </w:r>
      <w:r w:rsidRPr="00F230F1">
        <w:rPr>
          <w:rFonts w:asciiTheme="majorBidi" w:hAnsiTheme="majorBidi" w:cstheme="majorBidi"/>
          <w:b w:val="0"/>
          <w:bCs w:val="0"/>
          <w:sz w:val="20"/>
          <w:szCs w:val="20"/>
          <w:shd w:val="clear" w:color="auto" w:fill="FFFFFF"/>
        </w:rPr>
        <w:t xml:space="preserve">, </w:t>
      </w:r>
      <w:r w:rsidRPr="00F230F1">
        <w:rPr>
          <w:rFonts w:asciiTheme="majorBidi" w:hAnsiTheme="majorBidi" w:cstheme="majorBidi"/>
          <w:b w:val="0"/>
          <w:bCs w:val="0"/>
          <w:i/>
          <w:iCs/>
          <w:sz w:val="20"/>
          <w:szCs w:val="20"/>
          <w:shd w:val="clear" w:color="auto" w:fill="FFFFFF"/>
        </w:rPr>
        <w:t>couvrir</w:t>
      </w:r>
      <w:r w:rsidRPr="00F230F1">
        <w:rPr>
          <w:rFonts w:asciiTheme="majorBidi" w:hAnsiTheme="majorBidi" w:cstheme="majorBidi"/>
          <w:b w:val="0"/>
          <w:bCs w:val="0"/>
          <w:sz w:val="20"/>
          <w:szCs w:val="20"/>
          <w:shd w:val="clear" w:color="auto" w:fill="FFFFFF"/>
        </w:rPr>
        <w:t xml:space="preserve"> qqn, </w:t>
      </w:r>
      <w:r w:rsidRPr="00F230F1">
        <w:rPr>
          <w:rFonts w:asciiTheme="majorBidi" w:hAnsiTheme="majorBidi" w:cstheme="majorBidi"/>
          <w:b w:val="0"/>
          <w:bCs w:val="0"/>
          <w:i/>
          <w:iCs/>
          <w:sz w:val="20"/>
          <w:szCs w:val="20"/>
          <w:shd w:val="clear" w:color="auto" w:fill="FFFFFF"/>
        </w:rPr>
        <w:t>enduire</w:t>
      </w:r>
      <w:r w:rsidRPr="00F230F1">
        <w:rPr>
          <w:rFonts w:asciiTheme="majorBidi" w:hAnsiTheme="majorBidi" w:cstheme="majorBidi"/>
          <w:b w:val="0"/>
          <w:bCs w:val="0"/>
          <w:sz w:val="20"/>
          <w:szCs w:val="20"/>
          <w:shd w:val="clear" w:color="auto" w:fill="FFFFFF"/>
        </w:rPr>
        <w:t xml:space="preserve">. Le participe actif </w:t>
      </w:r>
      <w:r w:rsidRPr="00F230F1">
        <w:rPr>
          <w:rFonts w:asciiTheme="majorBidi" w:hAnsiTheme="majorBidi" w:cstheme="majorBidi"/>
          <w:b w:val="0"/>
          <w:bCs w:val="0"/>
          <w:i/>
          <w:iCs/>
          <w:sz w:val="20"/>
          <w:szCs w:val="20"/>
          <w:shd w:val="clear" w:color="auto" w:fill="FFFFFF"/>
        </w:rPr>
        <w:t xml:space="preserve">kāfir </w:t>
      </w:r>
      <w:r w:rsidRPr="00F230F1">
        <w:rPr>
          <w:rFonts w:asciiTheme="majorBidi" w:hAnsiTheme="majorBidi" w:cstheme="majorBidi"/>
          <w:b w:val="0"/>
          <w:bCs w:val="0"/>
          <w:sz w:val="20"/>
          <w:szCs w:val="20"/>
          <w:shd w:val="clear" w:color="auto" w:fill="FFFFFF"/>
        </w:rPr>
        <w:t xml:space="preserve">peut désigner : </w:t>
      </w:r>
      <w:r w:rsidRPr="00F230F1">
        <w:rPr>
          <w:rFonts w:asciiTheme="majorBidi" w:hAnsiTheme="majorBidi" w:cstheme="majorBidi"/>
          <w:b w:val="0"/>
          <w:bCs w:val="0"/>
          <w:i/>
          <w:iCs/>
          <w:sz w:val="20"/>
          <w:szCs w:val="20"/>
          <w:shd w:val="clear" w:color="auto" w:fill="FFFFFF"/>
        </w:rPr>
        <w:t>mécréant </w:t>
      </w:r>
      <w:r w:rsidRPr="00F230F1">
        <w:rPr>
          <w:rFonts w:asciiTheme="majorBidi" w:hAnsiTheme="majorBidi" w:cstheme="majorBidi"/>
          <w:b w:val="0"/>
          <w:bCs w:val="0"/>
          <w:sz w:val="20"/>
          <w:szCs w:val="20"/>
          <w:shd w:val="clear" w:color="auto" w:fill="FFFFFF"/>
        </w:rPr>
        <w:t xml:space="preserve">; </w:t>
      </w:r>
      <w:r w:rsidRPr="00F230F1">
        <w:rPr>
          <w:rFonts w:asciiTheme="majorBidi" w:hAnsiTheme="majorBidi" w:cstheme="majorBidi"/>
          <w:b w:val="0"/>
          <w:bCs w:val="0"/>
          <w:i/>
          <w:iCs/>
          <w:sz w:val="20"/>
          <w:szCs w:val="20"/>
          <w:shd w:val="clear" w:color="auto" w:fill="FFFFFF"/>
        </w:rPr>
        <w:t>cultivateur</w:t>
      </w:r>
      <w:r w:rsidRPr="00F230F1">
        <w:rPr>
          <w:rFonts w:asciiTheme="majorBidi" w:hAnsiTheme="majorBidi" w:cstheme="majorBidi"/>
          <w:b w:val="0"/>
          <w:bCs w:val="0"/>
          <w:sz w:val="20"/>
          <w:szCs w:val="20"/>
          <w:shd w:val="clear" w:color="auto" w:fill="FFFFFF"/>
        </w:rPr>
        <w:t xml:space="preserve"> ou</w:t>
      </w:r>
      <w:r w:rsidRPr="00F230F1">
        <w:rPr>
          <w:rFonts w:asciiTheme="majorBidi" w:hAnsiTheme="majorBidi" w:cstheme="majorBidi"/>
          <w:b w:val="0"/>
          <w:bCs w:val="0"/>
          <w:i/>
          <w:iCs/>
          <w:sz w:val="20"/>
          <w:szCs w:val="20"/>
          <w:shd w:val="clear" w:color="auto" w:fill="FFFFFF"/>
        </w:rPr>
        <w:t xml:space="preserve"> semeur</w:t>
      </w:r>
      <w:r w:rsidRPr="00F230F1">
        <w:rPr>
          <w:rFonts w:asciiTheme="majorBidi" w:hAnsiTheme="majorBidi" w:cstheme="majorBidi"/>
          <w:b w:val="0"/>
          <w:bCs w:val="0"/>
          <w:sz w:val="20"/>
          <w:szCs w:val="20"/>
          <w:shd w:val="clear" w:color="auto" w:fill="FFFFFF"/>
        </w:rPr>
        <w:t xml:space="preserve"> (LVII, 20) ; </w:t>
      </w:r>
      <w:r w:rsidRPr="00F230F1">
        <w:rPr>
          <w:rFonts w:asciiTheme="majorBidi" w:hAnsiTheme="majorBidi" w:cstheme="majorBidi"/>
          <w:b w:val="0"/>
          <w:bCs w:val="0"/>
          <w:i/>
          <w:iCs/>
          <w:sz w:val="20"/>
          <w:szCs w:val="20"/>
          <w:shd w:val="clear" w:color="auto" w:fill="FFFFFF"/>
        </w:rPr>
        <w:t>obscurité </w:t>
      </w:r>
      <w:r w:rsidRPr="00F230F1">
        <w:rPr>
          <w:rFonts w:asciiTheme="majorBidi" w:hAnsiTheme="majorBidi" w:cstheme="majorBidi"/>
          <w:b w:val="0"/>
          <w:bCs w:val="0"/>
          <w:sz w:val="20"/>
          <w:szCs w:val="20"/>
          <w:shd w:val="clear" w:color="auto" w:fill="FFFFFF"/>
        </w:rPr>
        <w:t xml:space="preserve">; </w:t>
      </w:r>
      <w:r w:rsidRPr="00F230F1">
        <w:rPr>
          <w:rFonts w:asciiTheme="majorBidi" w:hAnsiTheme="majorBidi" w:cstheme="majorBidi"/>
          <w:b w:val="0"/>
          <w:bCs w:val="0"/>
          <w:i/>
          <w:iCs/>
          <w:sz w:val="20"/>
          <w:szCs w:val="20"/>
          <w:shd w:val="clear" w:color="auto" w:fill="FFFFFF"/>
        </w:rPr>
        <w:t>grande rivière</w:t>
      </w:r>
      <w:r w:rsidRPr="00F230F1">
        <w:rPr>
          <w:rFonts w:asciiTheme="majorBidi" w:hAnsiTheme="majorBidi" w:cstheme="majorBidi"/>
          <w:b w:val="0"/>
          <w:bCs w:val="0"/>
          <w:sz w:val="20"/>
          <w:szCs w:val="20"/>
          <w:shd w:val="clear" w:color="auto" w:fill="FFFFFF"/>
        </w:rPr>
        <w:t xml:space="preserve"> ; </w:t>
      </w:r>
      <w:r w:rsidRPr="00F230F1">
        <w:rPr>
          <w:rFonts w:asciiTheme="majorBidi" w:hAnsiTheme="majorBidi" w:cstheme="majorBidi"/>
          <w:b w:val="0"/>
          <w:bCs w:val="0"/>
          <w:i/>
          <w:iCs/>
          <w:sz w:val="20"/>
          <w:szCs w:val="20"/>
          <w:shd w:val="clear" w:color="auto" w:fill="FFFFFF"/>
        </w:rPr>
        <w:t>terre lointaine</w:t>
      </w:r>
      <w:r w:rsidRPr="00F230F1">
        <w:rPr>
          <w:rFonts w:asciiTheme="majorBidi" w:hAnsiTheme="majorBidi" w:cstheme="majorBidi"/>
          <w:b w:val="0"/>
          <w:bCs w:val="0"/>
          <w:sz w:val="20"/>
          <w:szCs w:val="20"/>
          <w:shd w:val="clear" w:color="auto" w:fill="FFFFFF"/>
        </w:rPr>
        <w:t xml:space="preserve"> ; </w:t>
      </w:r>
      <w:r w:rsidRPr="00F230F1">
        <w:rPr>
          <w:rFonts w:asciiTheme="majorBidi" w:hAnsiTheme="majorBidi" w:cstheme="majorBidi"/>
          <w:b w:val="0"/>
          <w:bCs w:val="0"/>
          <w:i/>
          <w:iCs/>
          <w:sz w:val="20"/>
          <w:szCs w:val="20"/>
          <w:shd w:val="clear" w:color="auto" w:fill="FFFFFF"/>
        </w:rPr>
        <w:t>celui qui couvre quelque chose</w:t>
      </w:r>
      <w:r w:rsidRPr="00F230F1">
        <w:rPr>
          <w:rFonts w:asciiTheme="majorBidi" w:hAnsiTheme="majorBidi" w:cstheme="majorBidi"/>
          <w:b w:val="0"/>
          <w:bCs w:val="0"/>
          <w:sz w:val="20"/>
          <w:szCs w:val="20"/>
          <w:shd w:val="clear" w:color="auto" w:fill="FFFFFF"/>
        </w:rPr>
        <w:t>. « Vers le I</w:t>
      </w:r>
      <w:r w:rsidRPr="00F230F1">
        <w:rPr>
          <w:rFonts w:asciiTheme="majorBidi" w:hAnsiTheme="majorBidi" w:cstheme="majorBidi"/>
          <w:b w:val="0"/>
          <w:bCs w:val="0"/>
          <w:sz w:val="20"/>
          <w:szCs w:val="20"/>
          <w:shd w:val="clear" w:color="auto" w:fill="FFFFFF"/>
          <w:vertAlign w:val="superscript"/>
        </w:rPr>
        <w:t>er</w:t>
      </w:r>
      <w:r w:rsidRPr="00F230F1">
        <w:rPr>
          <w:rFonts w:asciiTheme="majorBidi" w:hAnsiTheme="majorBidi" w:cstheme="majorBidi"/>
          <w:b w:val="0"/>
          <w:bCs w:val="0"/>
          <w:sz w:val="20"/>
          <w:szCs w:val="20"/>
          <w:shd w:val="clear" w:color="auto" w:fill="FFFFFF"/>
        </w:rPr>
        <w:t xml:space="preserve"> siècle avant notre ère, en araméen, souligne Gallez, un sens second de la racine </w:t>
      </w:r>
      <w:r w:rsidRPr="00F230F1">
        <w:rPr>
          <w:rFonts w:asciiTheme="majorBidi" w:hAnsiTheme="majorBidi" w:cstheme="majorBidi"/>
          <w:b w:val="0"/>
          <w:bCs w:val="0"/>
          <w:i/>
          <w:iCs/>
          <w:sz w:val="20"/>
          <w:szCs w:val="20"/>
          <w:shd w:val="clear" w:color="auto" w:fill="FFFFFF"/>
        </w:rPr>
        <w:t>kfr</w:t>
      </w:r>
      <w:r w:rsidRPr="00F230F1">
        <w:rPr>
          <w:rFonts w:asciiTheme="majorBidi" w:hAnsiTheme="majorBidi" w:cstheme="majorBidi"/>
          <w:b w:val="0"/>
          <w:bCs w:val="0"/>
          <w:sz w:val="20"/>
          <w:szCs w:val="20"/>
          <w:shd w:val="clear" w:color="auto" w:fill="FFFFFF"/>
        </w:rPr>
        <w:t> était apparu : r</w:t>
      </w:r>
      <w:r w:rsidRPr="00F230F1">
        <w:rPr>
          <w:rFonts w:asciiTheme="majorBidi" w:hAnsiTheme="majorBidi" w:cstheme="majorBidi"/>
          <w:b w:val="0"/>
          <w:bCs w:val="0"/>
          <w:i/>
          <w:iCs/>
          <w:sz w:val="20"/>
          <w:szCs w:val="20"/>
          <w:shd w:val="clear" w:color="auto" w:fill="FFFFFF"/>
        </w:rPr>
        <w:t>ecouvrir</w:t>
      </w:r>
      <w:r w:rsidRPr="00F230F1">
        <w:rPr>
          <w:rFonts w:asciiTheme="majorBidi" w:hAnsiTheme="majorBidi" w:cstheme="majorBidi"/>
          <w:b w:val="0"/>
          <w:bCs w:val="0"/>
          <w:sz w:val="20"/>
          <w:szCs w:val="20"/>
          <w:shd w:val="clear" w:color="auto" w:fill="FFFFFF"/>
        </w:rPr>
        <w:t> un fait (ou une parole), c’est le passer </w:t>
      </w:r>
      <w:r w:rsidRPr="00F230F1">
        <w:rPr>
          <w:rFonts w:asciiTheme="majorBidi" w:hAnsiTheme="majorBidi" w:cstheme="majorBidi"/>
          <w:b w:val="0"/>
          <w:bCs w:val="0"/>
          <w:i/>
          <w:iCs/>
          <w:sz w:val="20"/>
          <w:szCs w:val="20"/>
          <w:shd w:val="clear" w:color="auto" w:fill="FFFFFF"/>
        </w:rPr>
        <w:t>sous</w:t>
      </w:r>
      <w:r w:rsidRPr="00F230F1">
        <w:rPr>
          <w:rFonts w:asciiTheme="majorBidi" w:hAnsiTheme="majorBidi" w:cstheme="majorBidi"/>
          <w:b w:val="0"/>
          <w:bCs w:val="0"/>
          <w:sz w:val="20"/>
          <w:szCs w:val="20"/>
          <w:shd w:val="clear" w:color="auto" w:fill="FFFFFF"/>
        </w:rPr>
        <w:t xml:space="preserve"> silence, c’est-à-dire taire mais aussi </w:t>
      </w:r>
      <w:r w:rsidRPr="00F230F1">
        <w:rPr>
          <w:rFonts w:asciiTheme="majorBidi" w:hAnsiTheme="majorBidi" w:cstheme="majorBidi"/>
          <w:b w:val="0"/>
          <w:bCs w:val="0"/>
          <w:i/>
          <w:iCs/>
          <w:sz w:val="20"/>
          <w:szCs w:val="20"/>
          <w:shd w:val="clear" w:color="auto" w:fill="FFFFFF"/>
        </w:rPr>
        <w:t>dénier</w:t>
      </w:r>
      <w:r w:rsidRPr="00F230F1">
        <w:rPr>
          <w:rFonts w:asciiTheme="majorBidi" w:hAnsiTheme="majorBidi" w:cstheme="majorBidi"/>
          <w:b w:val="0"/>
          <w:bCs w:val="0"/>
          <w:sz w:val="20"/>
          <w:szCs w:val="20"/>
          <w:shd w:val="clear" w:color="auto" w:fill="FFFFFF"/>
        </w:rPr>
        <w:t> ou même </w:t>
      </w:r>
      <w:r w:rsidRPr="00F230F1">
        <w:rPr>
          <w:rFonts w:asciiTheme="majorBidi" w:hAnsiTheme="majorBidi" w:cstheme="majorBidi"/>
          <w:b w:val="0"/>
          <w:bCs w:val="0"/>
          <w:i/>
          <w:iCs/>
          <w:sz w:val="20"/>
          <w:szCs w:val="20"/>
          <w:shd w:val="clear" w:color="auto" w:fill="FFFFFF"/>
        </w:rPr>
        <w:t>être ingrat</w:t>
      </w:r>
      <w:r w:rsidRPr="00F230F1">
        <w:rPr>
          <w:rFonts w:asciiTheme="majorBidi" w:hAnsiTheme="majorBidi" w:cstheme="majorBidi"/>
          <w:b w:val="0"/>
          <w:bCs w:val="0"/>
          <w:sz w:val="20"/>
          <w:szCs w:val="20"/>
          <w:shd w:val="clear" w:color="auto" w:fill="FFFFFF"/>
        </w:rPr>
        <w:t> (s’il s’agit d’un bienfait). […]</w:t>
      </w:r>
      <w:r w:rsidRPr="00F230F1">
        <w:rPr>
          <w:rFonts w:asciiTheme="majorBidi" w:hAnsiTheme="majorBidi" w:cstheme="majorBidi"/>
          <w:b w:val="0"/>
          <w:bCs w:val="0"/>
          <w:i/>
          <w:iCs/>
          <w:sz w:val="20"/>
          <w:szCs w:val="20"/>
        </w:rPr>
        <w:t xml:space="preserve"> cacher</w:t>
      </w:r>
      <w:r w:rsidRPr="00F230F1">
        <w:rPr>
          <w:rStyle w:val="apple-converted-space"/>
          <w:rFonts w:asciiTheme="majorBidi" w:hAnsiTheme="majorBidi" w:cstheme="majorBidi"/>
          <w:b w:val="0"/>
          <w:bCs w:val="0"/>
          <w:sz w:val="20"/>
          <w:szCs w:val="20"/>
        </w:rPr>
        <w:t> </w:t>
      </w:r>
      <w:r w:rsidRPr="00F230F1">
        <w:rPr>
          <w:rFonts w:asciiTheme="majorBidi" w:hAnsiTheme="majorBidi" w:cstheme="majorBidi"/>
          <w:b w:val="0"/>
          <w:bCs w:val="0"/>
          <w:sz w:val="20"/>
          <w:szCs w:val="20"/>
        </w:rPr>
        <w:t>la vérité en la</w:t>
      </w:r>
      <w:r w:rsidRPr="00F230F1">
        <w:rPr>
          <w:rStyle w:val="apple-converted-space"/>
          <w:rFonts w:asciiTheme="majorBidi" w:hAnsiTheme="majorBidi" w:cstheme="majorBidi"/>
          <w:b w:val="0"/>
          <w:bCs w:val="0"/>
          <w:sz w:val="20"/>
          <w:szCs w:val="20"/>
        </w:rPr>
        <w:t> </w:t>
      </w:r>
      <w:r w:rsidRPr="00F230F1">
        <w:rPr>
          <w:rFonts w:asciiTheme="majorBidi" w:hAnsiTheme="majorBidi" w:cstheme="majorBidi"/>
          <w:b w:val="0"/>
          <w:bCs w:val="0"/>
          <w:i/>
          <w:iCs/>
          <w:sz w:val="20"/>
          <w:szCs w:val="20"/>
        </w:rPr>
        <w:t>taisant</w:t>
      </w:r>
      <w:r w:rsidRPr="00F230F1">
        <w:rPr>
          <w:rStyle w:val="apple-converted-space"/>
          <w:rFonts w:asciiTheme="majorBidi" w:hAnsiTheme="majorBidi" w:cstheme="majorBidi"/>
          <w:b w:val="0"/>
          <w:bCs w:val="0"/>
          <w:sz w:val="20"/>
          <w:szCs w:val="20"/>
        </w:rPr>
        <w:t> </w:t>
      </w:r>
      <w:r w:rsidRPr="00F230F1">
        <w:rPr>
          <w:rFonts w:asciiTheme="majorBidi" w:hAnsiTheme="majorBidi" w:cstheme="majorBidi"/>
          <w:b w:val="0"/>
          <w:bCs w:val="0"/>
          <w:sz w:val="20"/>
          <w:szCs w:val="20"/>
        </w:rPr>
        <w:t>puisqu’on la sait.</w:t>
      </w:r>
      <w:r w:rsidRPr="00F230F1">
        <w:rPr>
          <w:rFonts w:asciiTheme="majorBidi" w:hAnsiTheme="majorBidi" w:cstheme="majorBidi"/>
          <w:b w:val="0"/>
          <w:bCs w:val="0"/>
          <w:sz w:val="20"/>
          <w:szCs w:val="20"/>
          <w:shd w:val="clear" w:color="auto" w:fill="FFFFFF"/>
        </w:rPr>
        <w:t xml:space="preserve"> […]</w:t>
      </w:r>
      <w:r w:rsidRPr="00F230F1">
        <w:rPr>
          <w:rFonts w:asciiTheme="majorBidi" w:hAnsiTheme="majorBidi" w:cstheme="majorBidi"/>
          <w:b w:val="0"/>
          <w:bCs w:val="0"/>
          <w:sz w:val="20"/>
          <w:szCs w:val="20"/>
        </w:rPr>
        <w:t xml:space="preserve"> En fin de compte</w:t>
      </w:r>
      <w:r w:rsidRPr="00F230F1">
        <w:rPr>
          <w:rFonts w:asciiTheme="majorBidi" w:hAnsiTheme="majorBidi" w:cstheme="majorBidi"/>
          <w:b w:val="0"/>
          <w:bCs w:val="0"/>
          <w:sz w:val="20"/>
          <w:szCs w:val="20"/>
          <w:shd w:val="clear" w:color="auto" w:fill="FFFFFF"/>
        </w:rPr>
        <w:t xml:space="preserve">, </w:t>
      </w:r>
      <w:r w:rsidRPr="00F230F1">
        <w:rPr>
          <w:rFonts w:asciiTheme="majorBidi" w:hAnsiTheme="majorBidi" w:cstheme="majorBidi"/>
          <w:b w:val="0"/>
          <w:bCs w:val="0"/>
          <w:sz w:val="20"/>
          <w:szCs w:val="20"/>
        </w:rPr>
        <w:t>si l’on peut jouer sur une compréhension aussi souple que celle des langues sémitiques, il faudrait rendre systématiquement la racine de</w:t>
      </w:r>
      <w:r w:rsidRPr="00F230F1">
        <w:rPr>
          <w:rStyle w:val="apple-converted-space"/>
          <w:rFonts w:asciiTheme="majorBidi" w:hAnsiTheme="majorBidi" w:cstheme="majorBidi"/>
          <w:b w:val="0"/>
          <w:bCs w:val="0"/>
          <w:sz w:val="20"/>
          <w:szCs w:val="20"/>
        </w:rPr>
        <w:t> </w:t>
      </w:r>
      <w:r w:rsidRPr="00F230F1">
        <w:rPr>
          <w:rFonts w:asciiTheme="majorBidi" w:hAnsiTheme="majorBidi" w:cstheme="majorBidi"/>
          <w:b w:val="0"/>
          <w:bCs w:val="0"/>
          <w:i/>
          <w:iCs/>
          <w:sz w:val="20"/>
          <w:szCs w:val="20"/>
        </w:rPr>
        <w:t>kfr</w:t>
      </w:r>
      <w:r w:rsidRPr="00F230F1">
        <w:rPr>
          <w:rStyle w:val="apple-converted-space"/>
          <w:rFonts w:asciiTheme="majorBidi" w:hAnsiTheme="majorBidi" w:cstheme="majorBidi"/>
          <w:b w:val="0"/>
          <w:bCs w:val="0"/>
          <w:sz w:val="20"/>
          <w:szCs w:val="20"/>
        </w:rPr>
        <w:t> </w:t>
      </w:r>
      <w:r w:rsidRPr="00F230F1">
        <w:rPr>
          <w:rFonts w:asciiTheme="majorBidi" w:hAnsiTheme="majorBidi" w:cstheme="majorBidi"/>
          <w:b w:val="0"/>
          <w:bCs w:val="0"/>
          <w:sz w:val="20"/>
          <w:szCs w:val="20"/>
        </w:rPr>
        <w:t>par</w:t>
      </w:r>
      <w:r w:rsidRPr="00F230F1">
        <w:rPr>
          <w:rStyle w:val="apple-converted-space"/>
          <w:rFonts w:asciiTheme="majorBidi" w:hAnsiTheme="majorBidi" w:cstheme="majorBidi"/>
          <w:b w:val="0"/>
          <w:bCs w:val="0"/>
          <w:sz w:val="20"/>
          <w:szCs w:val="20"/>
        </w:rPr>
        <w:t> </w:t>
      </w:r>
      <w:r w:rsidRPr="00F230F1">
        <w:rPr>
          <w:rFonts w:asciiTheme="majorBidi" w:hAnsiTheme="majorBidi" w:cstheme="majorBidi"/>
          <w:b w:val="0"/>
          <w:bCs w:val="0"/>
          <w:i/>
          <w:iCs/>
          <w:sz w:val="20"/>
          <w:szCs w:val="20"/>
        </w:rPr>
        <w:t>recouvrir</w:t>
      </w:r>
      <w:r w:rsidRPr="00F230F1">
        <w:rPr>
          <w:rFonts w:asciiTheme="majorBidi" w:hAnsiTheme="majorBidi" w:cstheme="majorBidi"/>
          <w:b w:val="0"/>
          <w:bCs w:val="0"/>
          <w:sz w:val="20"/>
          <w:szCs w:val="20"/>
        </w:rPr>
        <w:t>, plutôt que de la rendre par des approximations contradictoires</w:t>
      </w:r>
      <w:r w:rsidRPr="00F230F1">
        <w:rPr>
          <w:rStyle w:val="apple-converted-space"/>
          <w:rFonts w:asciiTheme="majorBidi" w:hAnsiTheme="majorBidi" w:cstheme="majorBidi"/>
          <w:b w:val="0"/>
          <w:bCs w:val="0"/>
          <w:sz w:val="20"/>
          <w:szCs w:val="20"/>
        </w:rPr>
        <w:t> » [</w:t>
      </w:r>
      <w:hyperlink r:id="rId90" w:history="1">
        <w:r w:rsidRPr="00F230F1">
          <w:rPr>
            <w:rStyle w:val="Lienhypertexte"/>
            <w:rFonts w:asciiTheme="majorBidi" w:hAnsiTheme="majorBidi" w:cstheme="majorBidi"/>
            <w:sz w:val="20"/>
            <w:szCs w:val="20"/>
          </w:rPr>
          <w:t>http://www.lemessieetsonprophete.com/annexes/kfr.htm</w:t>
        </w:r>
      </w:hyperlink>
      <w:r w:rsidRPr="00F230F1">
        <w:rPr>
          <w:rStyle w:val="apple-converted-space"/>
          <w:rFonts w:asciiTheme="majorBidi" w:hAnsiTheme="majorBidi" w:cstheme="majorBidi"/>
          <w:b w:val="0"/>
          <w:bCs w:val="0"/>
          <w:sz w:val="20"/>
          <w:szCs w:val="20"/>
        </w:rPr>
        <w:t>] (consultés le 30/07/2017).</w:t>
      </w:r>
    </w:p>
  </w:footnote>
  <w:footnote w:id="252">
    <w:p w14:paraId="6E3D5D1F" w14:textId="77777777" w:rsidR="009C3BB9" w:rsidRPr="00F230F1" w:rsidRDefault="009C3BB9" w:rsidP="00F230F1">
      <w:pPr>
        <w:contextualSpacing/>
        <w:jc w:val="both"/>
        <w:rPr>
          <w:rFonts w:asciiTheme="majorBidi" w:hAnsiTheme="majorBidi" w:cstheme="majorBidi"/>
          <w:color w:val="0070C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Al-Bāshā, </w:t>
      </w:r>
      <w:r w:rsidRPr="00F230F1">
        <w:rPr>
          <w:rFonts w:asciiTheme="majorBidi" w:hAnsiTheme="majorBidi" w:cstheme="majorBidi"/>
          <w:i/>
          <w:iCs/>
          <w:sz w:val="20"/>
          <w:szCs w:val="20"/>
        </w:rPr>
        <w:t>ʾAl-ʾinsān wa-taqallubātihi</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319.</w:t>
      </w:r>
    </w:p>
  </w:footnote>
  <w:footnote w:id="253">
    <w:p w14:paraId="432A5BCF" w14:textId="77777777" w:rsidR="009C3BB9" w:rsidRPr="00F230F1" w:rsidRDefault="009C3BB9" w:rsidP="00F230F1">
      <w:pPr>
        <w:pStyle w:val="Notedebasdepage"/>
        <w:contextualSpacing/>
        <w:jc w:val="both"/>
        <w:rPr>
          <w:rFonts w:asciiTheme="majorBidi" w:eastAsiaTheme="minorHAnsi" w:hAnsiTheme="majorBidi" w:cstheme="majorBidi"/>
          <w:sz w:val="20"/>
          <w:szCs w:val="20"/>
        </w:rPr>
      </w:pPr>
      <w:r w:rsidRPr="00F230F1">
        <w:rPr>
          <w:rFonts w:asciiTheme="majorBidi" w:eastAsiaTheme="minorHAnsi" w:hAnsiTheme="majorBidi" w:cstheme="majorBidi"/>
          <w:sz w:val="20"/>
          <w:szCs w:val="20"/>
        </w:rPr>
        <w:footnoteRef/>
      </w:r>
      <w:r w:rsidRPr="00F230F1">
        <w:rPr>
          <w:rFonts w:asciiTheme="majorBidi" w:eastAsiaTheme="minorHAnsi" w:hAnsiTheme="majorBidi" w:cstheme="majorBidi"/>
          <w:sz w:val="20"/>
          <w:szCs w:val="20"/>
          <w:rtl/>
        </w:rPr>
        <w:t xml:space="preserve"> </w:t>
      </w:r>
      <w:r w:rsidRPr="00F230F1">
        <w:rPr>
          <w:rFonts w:asciiTheme="majorBidi" w:eastAsiaTheme="minorHAnsi" w:hAnsiTheme="majorBidi" w:cstheme="majorBidi"/>
          <w:sz w:val="20"/>
          <w:szCs w:val="20"/>
        </w:rPr>
        <w:t xml:space="preserve"> Ephrem the Syrian, </w:t>
      </w:r>
      <w:r w:rsidRPr="00F230F1">
        <w:rPr>
          <w:rFonts w:asciiTheme="majorBidi" w:eastAsiaTheme="minorHAnsi" w:hAnsiTheme="majorBidi" w:cstheme="majorBidi"/>
          <w:i/>
          <w:sz w:val="20"/>
          <w:szCs w:val="20"/>
        </w:rPr>
        <w:t>Hymns</w:t>
      </w:r>
      <w:r w:rsidRPr="00F230F1">
        <w:rPr>
          <w:rFonts w:asciiTheme="majorBidi" w:eastAsiaTheme="minorHAnsi" w:hAnsiTheme="majorBidi" w:cstheme="majorBidi"/>
          <w:i/>
          <w:iCs/>
          <w:sz w:val="20"/>
          <w:szCs w:val="20"/>
        </w:rPr>
        <w:t xml:space="preserve"> On Paradise</w:t>
      </w:r>
      <w:r w:rsidRPr="00F230F1">
        <w:rPr>
          <w:rFonts w:asciiTheme="majorBidi" w:eastAsiaTheme="minorHAnsi" w:hAnsiTheme="majorBidi" w:cstheme="majorBidi"/>
          <w:sz w:val="20"/>
          <w:szCs w:val="20"/>
        </w:rPr>
        <w:t>, introduction et traduction par Sebastien Brock, New York, 1990.</w:t>
      </w:r>
    </w:p>
  </w:footnote>
  <w:footnote w:id="254">
    <w:p w14:paraId="4B10DD4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 Joseph Azzi [</w:t>
      </w:r>
      <w:r w:rsidRPr="00F230F1">
        <w:rPr>
          <w:rFonts w:asciiTheme="majorBidi" w:eastAsia="Times New Roman" w:hAnsiTheme="majorBidi" w:cstheme="majorBidi"/>
          <w:sz w:val="20"/>
          <w:szCs w:val="20"/>
          <w:lang w:eastAsia="fr-FR" w:bidi="ar-AE"/>
        </w:rPr>
        <w:t>Abū Mūsā Al-Ḥarīrī</w:t>
      </w:r>
      <w:r w:rsidRPr="00F230F1">
        <w:rPr>
          <w:rFonts w:asciiTheme="majorBidi" w:hAnsiTheme="majorBidi" w:cstheme="majorBidi"/>
          <w:sz w:val="20"/>
          <w:szCs w:val="20"/>
        </w:rPr>
        <w:t>]</w:t>
      </w:r>
      <w:r w:rsidRPr="00F230F1">
        <w:rPr>
          <w:rFonts w:asciiTheme="majorBidi" w:hAnsiTheme="majorBidi" w:cstheme="majorBidi"/>
          <w:i/>
          <w:iCs/>
          <w:sz w:val="20"/>
          <w:szCs w:val="20"/>
        </w:rPr>
        <w:t xml:space="preserve"> Le Prêtre et le Prophète : aux sources du Coran</w:t>
      </w:r>
      <w:r w:rsidRPr="00F230F1">
        <w:rPr>
          <w:rFonts w:asciiTheme="majorBidi" w:hAnsiTheme="majorBidi" w:cstheme="majorBidi"/>
          <w:sz w:val="20"/>
          <w:szCs w:val="20"/>
        </w:rPr>
        <w:t>, trad. de l’arabe (</w:t>
      </w:r>
      <w:r w:rsidRPr="00F230F1">
        <w:rPr>
          <w:rFonts w:asciiTheme="majorBidi" w:hAnsiTheme="majorBidi" w:cstheme="majorBidi"/>
          <w:i/>
          <w:iCs/>
          <w:sz w:val="20"/>
          <w:szCs w:val="20"/>
        </w:rPr>
        <w:t>Qiss wa-nabī</w:t>
      </w:r>
      <w:r w:rsidRPr="00F230F1">
        <w:rPr>
          <w:rFonts w:asciiTheme="majorBidi" w:hAnsiTheme="majorBidi" w:cstheme="majorBidi"/>
          <w:sz w:val="20"/>
          <w:szCs w:val="20"/>
        </w:rPr>
        <w:t>) par Maurice S. Garnier, Maisonneuve et Larose, Paris, 2001.</w:t>
      </w:r>
    </w:p>
  </w:footnote>
  <w:footnote w:id="255">
    <w:p w14:paraId="6104E44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Christoph</w:t>
      </w:r>
      <w:r w:rsidRPr="00F230F1">
        <w:rPr>
          <w:rFonts w:asciiTheme="majorBidi" w:eastAsia="Times New Roman" w:hAnsiTheme="majorBidi" w:cstheme="majorBidi"/>
          <w:sz w:val="20"/>
          <w:szCs w:val="20"/>
        </w:rPr>
        <w:t xml:space="preserve"> Luxenberg, </w:t>
      </w:r>
      <w:r w:rsidRPr="00F230F1">
        <w:rPr>
          <w:rFonts w:asciiTheme="majorBidi" w:hAnsiTheme="majorBidi" w:cstheme="majorBidi"/>
          <w:i/>
          <w:iCs/>
          <w:sz w:val="20"/>
          <w:szCs w:val="20"/>
        </w:rPr>
        <w:t>The Syro-Aramaic Reading of the Koran: A Contribution to the Decoding of the Language of the Koran</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Lecture syro-araméenne du Coran : une contribution pour décoder la langue du Coran</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traduction anglaise en 2007.</w:t>
      </w:r>
    </w:p>
  </w:footnote>
  <w:footnote w:id="256">
    <w:p w14:paraId="13B62D38" w14:textId="3CDE0E21" w:rsidR="009C3BB9" w:rsidRPr="00D24177" w:rsidRDefault="009C3BB9" w:rsidP="00F347D2">
      <w:pPr>
        <w:contextualSpacing/>
        <w:jc w:val="both"/>
        <w:rPr>
          <w:rFonts w:asciiTheme="majorBidi" w:hAnsiTheme="majorBidi" w:cstheme="majorBidi"/>
          <w:sz w:val="20"/>
          <w:szCs w:val="20"/>
        </w:rPr>
      </w:pPr>
      <w:r w:rsidRPr="00D24177">
        <w:rPr>
          <w:rStyle w:val="Appelnotedebasdep"/>
          <w:rFonts w:asciiTheme="majorBidi" w:hAnsiTheme="majorBidi" w:cstheme="majorBidi"/>
          <w:sz w:val="20"/>
          <w:szCs w:val="20"/>
        </w:rPr>
        <w:footnoteRef/>
      </w:r>
      <w:r w:rsidRPr="00D24177">
        <w:rPr>
          <w:rFonts w:asciiTheme="majorBidi" w:eastAsia="Calibri" w:hAnsiTheme="majorBidi" w:cstheme="majorBidi"/>
          <w:sz w:val="20"/>
          <w:szCs w:val="20"/>
          <w:lang w:bidi="ar-AE"/>
        </w:rPr>
        <w:t xml:space="preserve"> </w:t>
      </w:r>
      <w:r w:rsidRPr="00D24177">
        <w:rPr>
          <w:rFonts w:asciiTheme="majorBidi" w:eastAsia="Calibri" w:hAnsiTheme="majorBidi" w:cstheme="majorBidi"/>
          <w:i/>
          <w:sz w:val="20"/>
          <w:szCs w:val="20"/>
        </w:rPr>
        <w:t>Cf. supra</w:t>
      </w:r>
      <w:r w:rsidRPr="00D24177">
        <w:rPr>
          <w:rFonts w:asciiTheme="majorBidi" w:eastAsia="Calibri" w:hAnsiTheme="majorBidi" w:cstheme="majorBidi"/>
          <w:sz w:val="20"/>
          <w:szCs w:val="20"/>
        </w:rPr>
        <w:t>, note 138, page 62.</w:t>
      </w:r>
    </w:p>
  </w:footnote>
  <w:footnote w:id="257">
    <w:p w14:paraId="4EF18460"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 Dans </w:t>
      </w:r>
      <w:r w:rsidRPr="00F230F1">
        <w:rPr>
          <w:rFonts w:asciiTheme="majorBidi" w:eastAsia="Calibri" w:hAnsiTheme="majorBidi" w:cstheme="majorBidi"/>
          <w:i/>
          <w:iCs/>
          <w:sz w:val="20"/>
          <w:szCs w:val="20"/>
        </w:rPr>
        <w:t>Qāmus al-fārisīya</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Dictionnaire de persan</w:t>
      </w:r>
      <w:r w:rsidRPr="00F230F1">
        <w:rPr>
          <w:rFonts w:asciiTheme="majorBidi" w:eastAsia="Calibri" w:hAnsiTheme="majorBidi" w:cstheme="majorBidi"/>
          <w:sz w:val="20"/>
          <w:szCs w:val="20"/>
        </w:rPr>
        <w:t xml:space="preserve">], </w:t>
      </w:r>
      <w:r w:rsidRPr="00F230F1">
        <w:rPr>
          <w:rFonts w:asciiTheme="majorBidi" w:hAnsiTheme="majorBidi" w:cstheme="majorBidi"/>
          <w:i/>
          <w:iCs/>
          <w:sz w:val="20"/>
          <w:szCs w:val="20"/>
          <w:lang w:bidi="ar-AE"/>
        </w:rPr>
        <w:t>siwār</w:t>
      </w:r>
      <w:r w:rsidRPr="00F230F1">
        <w:rPr>
          <w:rFonts w:asciiTheme="majorBidi" w:hAnsiTheme="majorBidi" w:cstheme="majorBidi"/>
          <w:sz w:val="20"/>
          <w:szCs w:val="20"/>
          <w:lang w:bidi="ar-AE"/>
        </w:rPr>
        <w:t xml:space="preserve"> est</w:t>
      </w:r>
      <w:r w:rsidRPr="00F230F1">
        <w:rPr>
          <w:rFonts w:asciiTheme="majorBidi" w:eastAsia="Calibri" w:hAnsiTheme="majorBidi" w:cstheme="majorBidi"/>
          <w:sz w:val="20"/>
          <w:szCs w:val="20"/>
        </w:rPr>
        <w:t xml:space="preserve"> l’ornement que la femme porte (p. 387). Dans </w:t>
      </w:r>
      <w:r w:rsidRPr="00F230F1">
        <w:rPr>
          <w:rFonts w:asciiTheme="majorBidi" w:eastAsia="Calibri" w:hAnsiTheme="majorBidi" w:cstheme="majorBidi"/>
          <w:i/>
          <w:iCs/>
          <w:sz w:val="20"/>
          <w:szCs w:val="20"/>
        </w:rPr>
        <w:t>Al-muʿjam al-wasīṭ</w:t>
      </w:r>
      <w:r w:rsidRPr="00F230F1">
        <w:rPr>
          <w:rFonts w:asciiTheme="majorBidi" w:eastAsia="Calibri" w:hAnsiTheme="majorBidi" w:cstheme="majorBidi"/>
          <w:sz w:val="20"/>
          <w:szCs w:val="20"/>
        </w:rPr>
        <w:t xml:space="preserve">, </w:t>
      </w:r>
      <w:r w:rsidRPr="00F230F1">
        <w:rPr>
          <w:rFonts w:asciiTheme="majorBidi" w:hAnsiTheme="majorBidi" w:cstheme="majorBidi"/>
          <w:i/>
          <w:iCs/>
          <w:sz w:val="20"/>
          <w:szCs w:val="20"/>
          <w:lang w:bidi="ar-AE"/>
        </w:rPr>
        <w:t>siwār</w:t>
      </w:r>
      <w:r w:rsidRPr="00F230F1">
        <w:rPr>
          <w:rFonts w:asciiTheme="majorBidi" w:hAnsiTheme="majorBidi" w:cstheme="majorBidi"/>
          <w:sz w:val="20"/>
          <w:szCs w:val="20"/>
          <w:lang w:bidi="ar-AE"/>
        </w:rPr>
        <w:t xml:space="preserve"> (un emprunt) est</w:t>
      </w:r>
      <w:r w:rsidRPr="00F230F1">
        <w:rPr>
          <w:rFonts w:asciiTheme="majorBidi" w:eastAsia="Calibri" w:hAnsiTheme="majorBidi" w:cstheme="majorBidi"/>
          <w:sz w:val="20"/>
          <w:szCs w:val="20"/>
        </w:rPr>
        <w:t xml:space="preserve"> un ornement d’or qui se porte autour du poignet (p. 462). » (Shifāʾ Muḥammad Khayr Yūsuf, </w:t>
      </w:r>
      <w:r w:rsidRPr="00F230F1">
        <w:rPr>
          <w:rFonts w:asciiTheme="majorBidi" w:eastAsia="Calibri" w:hAnsiTheme="majorBidi" w:cstheme="majorBidi"/>
          <w:i/>
          <w:sz w:val="20"/>
          <w:szCs w:val="20"/>
        </w:rPr>
        <w:t>Alfāẓ fārisīya muʿarraba fī l-ḥadīth ash-sharīf</w:t>
      </w:r>
      <w:r w:rsidRPr="00F230F1">
        <w:rPr>
          <w:rFonts w:asciiTheme="majorBidi" w:eastAsia="Calibri" w:hAnsiTheme="majorBidi" w:cstheme="majorBidi"/>
          <w:sz w:val="20"/>
          <w:szCs w:val="20"/>
        </w:rPr>
        <w:t xml:space="preserve"> [« Termes persans arabisés dans le noble hadith »], 02/02/2012 [</w:t>
      </w:r>
      <w:hyperlink r:id="rId91" w:history="1">
        <w:r w:rsidRPr="00F230F1">
          <w:rPr>
            <w:rStyle w:val="Lienhypertexte"/>
            <w:rFonts w:asciiTheme="majorBidi" w:eastAsia="Calibri" w:hAnsiTheme="majorBidi" w:cstheme="majorBidi"/>
            <w:sz w:val="20"/>
            <w:szCs w:val="20"/>
          </w:rPr>
          <w:t>http://www.alukah.net/Web/khair/11140/38015</w:t>
        </w:r>
      </w:hyperlink>
      <w:r w:rsidRPr="00F230F1">
        <w:rPr>
          <w:rFonts w:asciiTheme="majorBidi" w:eastAsia="Calibri" w:hAnsiTheme="majorBidi" w:cstheme="majorBidi"/>
          <w:sz w:val="20"/>
          <w:szCs w:val="20"/>
        </w:rPr>
        <w:t>] (consulté le 30/07/2017).</w:t>
      </w:r>
    </w:p>
  </w:footnote>
  <w:footnote w:id="258">
    <w:p w14:paraId="22703835" w14:textId="77777777" w:rsidR="009C3BB9" w:rsidRPr="00F230F1" w:rsidRDefault="009C3BB9" w:rsidP="00F230F1">
      <w:pPr>
        <w:contextualSpacing/>
        <w:jc w:val="both"/>
        <w:rPr>
          <w:rFonts w:asciiTheme="majorBidi" w:eastAsia="Times New Roman"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Pour Ibn ʿArabī,</w:t>
      </w:r>
      <w:r w:rsidRPr="00F230F1">
        <w:rPr>
          <w:rFonts w:asciiTheme="majorBidi" w:eastAsia="Calibri" w:hAnsiTheme="majorBidi" w:cstheme="majorBidi"/>
          <w:sz w:val="20"/>
          <w:szCs w:val="20"/>
        </w:rPr>
        <w:t xml:space="preserve"> la vraie </w:t>
      </w:r>
      <w:r w:rsidRPr="00F230F1">
        <w:rPr>
          <w:rFonts w:asciiTheme="majorBidi" w:hAnsiTheme="majorBidi" w:cstheme="majorBidi"/>
          <w:i/>
          <w:iCs/>
          <w:sz w:val="20"/>
          <w:szCs w:val="20"/>
          <w:lang w:bidi="ar-AE"/>
        </w:rPr>
        <w:t>kaʿba</w:t>
      </w:r>
      <w:r w:rsidRPr="00F230F1">
        <w:rPr>
          <w:rFonts w:asciiTheme="majorBidi" w:hAnsiTheme="majorBidi" w:cstheme="majorBidi"/>
          <w:sz w:val="20"/>
          <w:szCs w:val="20"/>
          <w:lang w:bidi="ar-AE"/>
        </w:rPr>
        <w:t xml:space="preserve"> n’est pas la construction </w:t>
      </w:r>
      <w:r w:rsidRPr="00F230F1">
        <w:rPr>
          <w:rFonts w:asciiTheme="majorBidi" w:hAnsiTheme="majorBidi" w:cstheme="majorBidi"/>
          <w:sz w:val="20"/>
          <w:szCs w:val="20"/>
          <w:shd w:val="clear" w:color="auto" w:fill="FFFFFF"/>
        </w:rPr>
        <w:t xml:space="preserve">cuboïde au sein du </w:t>
      </w:r>
      <w:r w:rsidRPr="00F230F1">
        <w:rPr>
          <w:rFonts w:asciiTheme="majorBidi" w:hAnsiTheme="majorBidi" w:cstheme="majorBidi"/>
          <w:i/>
          <w:iCs/>
          <w:sz w:val="20"/>
          <w:szCs w:val="20"/>
          <w:lang w:bidi="ar-AE"/>
        </w:rPr>
        <w:t>Masjid al-ḥarām</w:t>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shd w:val="clear" w:color="auto" w:fill="FFFFFF"/>
        </w:rPr>
        <w:t>à La Mecque, mais c’est</w:t>
      </w:r>
      <w:r w:rsidRPr="00F230F1">
        <w:rPr>
          <w:rFonts w:asciiTheme="majorBidi" w:hAnsiTheme="majorBidi" w:cstheme="majorBidi"/>
          <w:sz w:val="20"/>
          <w:szCs w:val="20"/>
          <w:lang w:bidi="ar-AE"/>
        </w:rPr>
        <w:t xml:space="preserve"> la </w:t>
      </w:r>
      <w:r w:rsidRPr="00F230F1">
        <w:rPr>
          <w:rFonts w:asciiTheme="majorBidi" w:hAnsiTheme="majorBidi" w:cstheme="majorBidi"/>
          <w:i/>
          <w:iCs/>
          <w:sz w:val="20"/>
          <w:szCs w:val="20"/>
          <w:lang w:bidi="ar-AE"/>
        </w:rPr>
        <w:t>kaʿba</w:t>
      </w:r>
      <w:r w:rsidRPr="00F230F1">
        <w:rPr>
          <w:rFonts w:asciiTheme="majorBidi" w:hAnsiTheme="majorBidi" w:cstheme="majorBidi"/>
          <w:sz w:val="20"/>
          <w:szCs w:val="20"/>
          <w:lang w:bidi="ar-AE"/>
        </w:rPr>
        <w:t xml:space="preserve"> du cœur</w:t>
      </w:r>
      <w:r w:rsidRPr="00F230F1">
        <w:rPr>
          <w:rFonts w:asciiTheme="majorBidi" w:hAnsiTheme="majorBidi" w:cstheme="majorBidi"/>
          <w:sz w:val="20"/>
          <w:szCs w:val="20"/>
          <w:shd w:val="clear" w:color="auto" w:fill="FFFFFF"/>
        </w:rPr>
        <w:t xml:space="preserve">. Il affirme également dans </w:t>
      </w:r>
      <w:r w:rsidRPr="00F230F1">
        <w:rPr>
          <w:rFonts w:asciiTheme="majorBidi" w:hAnsiTheme="majorBidi" w:cstheme="majorBidi"/>
          <w:i/>
          <w:iCs/>
          <w:sz w:val="20"/>
          <w:szCs w:val="20"/>
          <w:shd w:val="clear" w:color="auto" w:fill="FFFFFF"/>
        </w:rPr>
        <w:t>Turjumān al-Ashwāq</w:t>
      </w:r>
      <w:r w:rsidRPr="00F230F1">
        <w:rPr>
          <w:rFonts w:asciiTheme="majorBidi" w:hAnsiTheme="majorBidi" w:cstheme="majorBidi"/>
          <w:sz w:val="20"/>
          <w:szCs w:val="20"/>
          <w:shd w:val="clear" w:color="auto" w:fill="FFFFFF"/>
        </w:rPr>
        <w:t xml:space="preserve"> [</w:t>
      </w:r>
      <w:r w:rsidRPr="00F230F1">
        <w:rPr>
          <w:rFonts w:asciiTheme="majorBidi" w:hAnsiTheme="majorBidi" w:cstheme="majorBidi"/>
          <w:i/>
          <w:iCs/>
          <w:sz w:val="20"/>
          <w:szCs w:val="20"/>
          <w:shd w:val="clear" w:color="auto" w:fill="FFFFFF"/>
        </w:rPr>
        <w:t>L’Interprète des désirs</w:t>
      </w:r>
      <w:r w:rsidRPr="00F230F1">
        <w:rPr>
          <w:rFonts w:asciiTheme="majorBidi" w:hAnsiTheme="majorBidi" w:cstheme="majorBidi"/>
          <w:sz w:val="20"/>
          <w:szCs w:val="20"/>
          <w:shd w:val="clear" w:color="auto" w:fill="FFFFFF"/>
        </w:rPr>
        <w:t>] :</w:t>
      </w:r>
    </w:p>
    <w:p w14:paraId="46292138" w14:textId="77777777" w:rsidR="009C3BB9" w:rsidRPr="00F230F1" w:rsidRDefault="009C3BB9" w:rsidP="00F230F1">
      <w:pPr>
        <w:bidi/>
        <w:contextualSpacing/>
        <w:jc w:val="both"/>
        <w:rPr>
          <w:rFonts w:asciiTheme="majorBidi" w:hAnsiTheme="majorBidi" w:cstheme="majorBidi"/>
          <w:sz w:val="20"/>
          <w:szCs w:val="20"/>
          <w:shd w:val="clear" w:color="auto" w:fill="FFFFFF"/>
          <w:lang w:bidi="ar-KW"/>
        </w:rPr>
      </w:pPr>
      <w:r w:rsidRPr="00F230F1">
        <w:rPr>
          <w:rStyle w:val="apple-converted-space"/>
          <w:rFonts w:asciiTheme="majorBidi" w:hAnsiTheme="majorBidi" w:cstheme="majorBidi"/>
          <w:color w:val="000000"/>
          <w:sz w:val="20"/>
          <w:szCs w:val="20"/>
          <w:shd w:val="clear" w:color="auto" w:fill="FFFFFF"/>
        </w:rPr>
        <w:t> </w:t>
      </w:r>
      <w:r w:rsidRPr="00F230F1">
        <w:rPr>
          <w:rFonts w:asciiTheme="majorBidi" w:hAnsiTheme="majorBidi" w:cstheme="majorBidi"/>
          <w:color w:val="000000"/>
          <w:sz w:val="20"/>
          <w:szCs w:val="20"/>
          <w:shd w:val="clear" w:color="auto" w:fill="FFFFFF"/>
          <w:rtl/>
        </w:rPr>
        <w:t>"-لقد صار قلبي قابلاً كلَّ صورةٍ / فمرعىً لغزلانٍ وديراً لرهبان</w:t>
      </w:r>
      <w:r w:rsidRPr="00F230F1">
        <w:rPr>
          <w:rFonts w:asciiTheme="majorBidi" w:hAnsiTheme="majorBidi" w:cstheme="majorBidi"/>
          <w:color w:val="000000"/>
          <w:sz w:val="20"/>
          <w:szCs w:val="20"/>
          <w:shd w:val="clear" w:color="auto" w:fill="FFFFFF"/>
          <w:rtl/>
          <w:lang w:bidi="ar-KW"/>
        </w:rPr>
        <w:t>ِ</w:t>
      </w:r>
      <w:r w:rsidRPr="00F230F1">
        <w:rPr>
          <w:rFonts w:asciiTheme="majorBidi" w:hAnsiTheme="majorBidi" w:cstheme="majorBidi"/>
          <w:color w:val="000000"/>
          <w:sz w:val="20"/>
          <w:szCs w:val="20"/>
          <w:shd w:val="clear" w:color="auto" w:fill="FFFFFF"/>
          <w:rtl/>
        </w:rPr>
        <w:t>. -وبيتاً لأصنامٍ وكعبةَ طائفٍ / وألواحَ توراةٍ ومصحفَ قرآنِ. -أدينُ بدين الحب أنَّى توجَّهَت / ركائبُه فالدِّينُ دِيني وإيماني."</w:t>
      </w:r>
    </w:p>
    <w:p w14:paraId="32EC44A0" w14:textId="77777777" w:rsidR="009C3BB9" w:rsidRPr="00F230F1" w:rsidRDefault="009C3BB9" w:rsidP="00F230F1">
      <w:pPr>
        <w:contextualSpacing/>
        <w:jc w:val="both"/>
        <w:rPr>
          <w:rFonts w:asciiTheme="majorBidi" w:hAnsiTheme="majorBidi" w:cstheme="majorBidi"/>
          <w:sz w:val="20"/>
          <w:szCs w:val="20"/>
          <w:shd w:val="clear" w:color="auto" w:fill="FFFFFF"/>
          <w:rtl/>
        </w:rPr>
      </w:pPr>
      <w:r w:rsidRPr="00F230F1">
        <w:rPr>
          <w:rFonts w:asciiTheme="majorBidi" w:hAnsiTheme="majorBidi" w:cstheme="majorBidi"/>
          <w:sz w:val="20"/>
          <w:szCs w:val="20"/>
          <w:shd w:val="clear" w:color="auto" w:fill="FFFFFF"/>
        </w:rPr>
        <w:t>[« -</w:t>
      </w:r>
      <w:r w:rsidRPr="00F230F1">
        <w:rPr>
          <w:rFonts w:asciiTheme="majorBidi" w:eastAsia="Calibri" w:hAnsiTheme="majorBidi" w:cstheme="majorBidi"/>
          <w:sz w:val="20"/>
          <w:szCs w:val="20"/>
        </w:rPr>
        <w:t>Mon cœur est devenu capable</w:t>
      </w:r>
      <w:r w:rsidRPr="00F230F1">
        <w:rPr>
          <w:rFonts w:asciiTheme="majorBidi" w:hAnsiTheme="majorBidi" w:cstheme="majorBidi"/>
          <w:sz w:val="20"/>
          <w:szCs w:val="20"/>
          <w:shd w:val="clear" w:color="auto" w:fill="FFFFFF"/>
        </w:rPr>
        <w:t xml:space="preserve"> d</w:t>
      </w:r>
      <w:r w:rsidRPr="00F230F1">
        <w:rPr>
          <w:rFonts w:asciiTheme="majorBidi" w:eastAsia="Calibri" w:hAnsiTheme="majorBidi" w:cstheme="majorBidi"/>
          <w:sz w:val="20"/>
          <w:szCs w:val="20"/>
        </w:rPr>
        <w:t>’accueillir toute forme / Il est pâturage pour gazelles</w:t>
      </w:r>
      <w:r w:rsidRPr="00F230F1">
        <w:rPr>
          <w:rFonts w:asciiTheme="majorBidi" w:hAnsiTheme="majorBidi" w:cstheme="majorBidi"/>
          <w:sz w:val="20"/>
          <w:szCs w:val="20"/>
          <w:shd w:val="clear" w:color="auto" w:fill="FFFFFF"/>
        </w:rPr>
        <w:t xml:space="preserve"> </w:t>
      </w:r>
      <w:r w:rsidRPr="00F230F1">
        <w:rPr>
          <w:rFonts w:asciiTheme="majorBidi" w:eastAsia="Calibri" w:hAnsiTheme="majorBidi" w:cstheme="majorBidi"/>
          <w:sz w:val="20"/>
          <w:szCs w:val="20"/>
        </w:rPr>
        <w:t>et abbaye pour moines ! -Il est un temple pour idoles</w:t>
      </w:r>
      <w:r w:rsidRPr="00F230F1">
        <w:rPr>
          <w:rFonts w:asciiTheme="majorBidi" w:hAnsiTheme="majorBidi" w:cstheme="majorBidi"/>
          <w:sz w:val="20"/>
          <w:szCs w:val="20"/>
          <w:shd w:val="clear" w:color="auto" w:fill="FFFFFF"/>
        </w:rPr>
        <w:t xml:space="preserve"> </w:t>
      </w:r>
      <w:r w:rsidRPr="00F230F1">
        <w:rPr>
          <w:rFonts w:asciiTheme="majorBidi" w:eastAsia="Calibri" w:hAnsiTheme="majorBidi" w:cstheme="majorBidi"/>
          <w:sz w:val="20"/>
          <w:szCs w:val="20"/>
        </w:rPr>
        <w:t>et la</w:t>
      </w:r>
      <w:r w:rsidRPr="00F230F1">
        <w:rPr>
          <w:rFonts w:asciiTheme="majorBidi" w:eastAsia="Calibri" w:hAnsiTheme="majorBidi" w:cstheme="majorBidi"/>
          <w:i/>
          <w:iCs/>
          <w:sz w:val="20"/>
          <w:szCs w:val="20"/>
        </w:rPr>
        <w:t xml:space="preserve"> Kaʿba </w:t>
      </w:r>
      <w:r w:rsidRPr="00F230F1">
        <w:rPr>
          <w:rFonts w:asciiTheme="majorBidi" w:eastAsia="Calibri" w:hAnsiTheme="majorBidi" w:cstheme="majorBidi"/>
          <w:sz w:val="20"/>
          <w:szCs w:val="20"/>
        </w:rPr>
        <w:t>pour qui en fait le tour,</w:t>
      </w:r>
      <w:r w:rsidRPr="00F230F1">
        <w:rPr>
          <w:rFonts w:asciiTheme="majorBidi" w:hAnsiTheme="majorBidi" w:cstheme="majorBidi"/>
          <w:sz w:val="20"/>
          <w:szCs w:val="20"/>
          <w:shd w:val="clear" w:color="auto" w:fill="FFFFFF"/>
        </w:rPr>
        <w:t xml:space="preserve"> / </w:t>
      </w:r>
      <w:r w:rsidRPr="00F230F1">
        <w:rPr>
          <w:rFonts w:asciiTheme="majorBidi" w:eastAsia="Calibri" w:hAnsiTheme="majorBidi" w:cstheme="majorBidi"/>
          <w:sz w:val="20"/>
          <w:szCs w:val="20"/>
        </w:rPr>
        <w:t>Il est les Tables de la Thora</w:t>
      </w:r>
      <w:r w:rsidRPr="00F230F1">
        <w:rPr>
          <w:rFonts w:asciiTheme="majorBidi" w:hAnsiTheme="majorBidi" w:cstheme="majorBidi"/>
          <w:sz w:val="20"/>
          <w:szCs w:val="20"/>
          <w:shd w:val="clear" w:color="auto" w:fill="FFFFFF"/>
        </w:rPr>
        <w:t xml:space="preserve"> e</w:t>
      </w:r>
      <w:r w:rsidRPr="00F230F1">
        <w:rPr>
          <w:rFonts w:asciiTheme="majorBidi" w:eastAsia="Calibri" w:hAnsiTheme="majorBidi" w:cstheme="majorBidi"/>
          <w:sz w:val="20"/>
          <w:szCs w:val="20"/>
        </w:rPr>
        <w:t>t aussi les feuillets du Coran !</w:t>
      </w:r>
      <w:r w:rsidRPr="00F230F1">
        <w:rPr>
          <w:rFonts w:asciiTheme="majorBidi" w:hAnsiTheme="majorBidi" w:cstheme="majorBidi"/>
          <w:sz w:val="20"/>
          <w:szCs w:val="20"/>
          <w:shd w:val="clear" w:color="auto" w:fill="FFFFFF"/>
        </w:rPr>
        <w:t xml:space="preserve"> -</w:t>
      </w:r>
      <w:r w:rsidRPr="00F230F1">
        <w:rPr>
          <w:rFonts w:asciiTheme="majorBidi" w:eastAsia="Calibri" w:hAnsiTheme="majorBidi" w:cstheme="majorBidi"/>
          <w:sz w:val="20"/>
          <w:szCs w:val="20"/>
        </w:rPr>
        <w:t>Je crois en la religion de l’amour</w:t>
      </w:r>
      <w:r w:rsidRPr="00F230F1">
        <w:rPr>
          <w:rFonts w:asciiTheme="majorBidi" w:hAnsiTheme="majorBidi" w:cstheme="majorBidi"/>
          <w:sz w:val="20"/>
          <w:szCs w:val="20"/>
          <w:shd w:val="clear" w:color="auto" w:fill="FFFFFF"/>
        </w:rPr>
        <w:t xml:space="preserve"> </w:t>
      </w:r>
      <w:r w:rsidRPr="00F230F1">
        <w:rPr>
          <w:rFonts w:asciiTheme="majorBidi" w:eastAsia="Calibri" w:hAnsiTheme="majorBidi" w:cstheme="majorBidi"/>
          <w:sz w:val="20"/>
          <w:szCs w:val="20"/>
        </w:rPr>
        <w:t>où que se dirige ses caravanes</w:t>
      </w:r>
      <w:r w:rsidRPr="00F230F1">
        <w:rPr>
          <w:rFonts w:asciiTheme="majorBidi" w:hAnsiTheme="majorBidi" w:cstheme="majorBidi"/>
          <w:sz w:val="20"/>
          <w:szCs w:val="20"/>
          <w:shd w:val="clear" w:color="auto" w:fill="FFFFFF"/>
        </w:rPr>
        <w:t xml:space="preserve"> / </w:t>
      </w:r>
      <w:r w:rsidRPr="00F230F1">
        <w:rPr>
          <w:rFonts w:asciiTheme="majorBidi" w:eastAsia="Calibri" w:hAnsiTheme="majorBidi" w:cstheme="majorBidi"/>
          <w:sz w:val="20"/>
          <w:szCs w:val="20"/>
        </w:rPr>
        <w:t>Car la religion est la mienne et ma foi. »</w:t>
      </w:r>
      <w:r w:rsidRPr="00F230F1">
        <w:rPr>
          <w:rFonts w:asciiTheme="majorBidi" w:hAnsiTheme="majorBidi" w:cstheme="majorBidi"/>
          <w:sz w:val="20"/>
          <w:szCs w:val="20"/>
          <w:shd w:val="clear" w:color="auto" w:fill="FFFFFF"/>
        </w:rPr>
        <w:t>]</w:t>
      </w:r>
    </w:p>
  </w:footnote>
  <w:footnote w:id="259">
    <w:p w14:paraId="2D117B74" w14:textId="77777777" w:rsidR="009C3BB9" w:rsidRPr="00F230F1" w:rsidRDefault="009C3BB9" w:rsidP="00F230F1">
      <w:pPr>
        <w:contextualSpacing/>
        <w:jc w:val="both"/>
        <w:rPr>
          <w:rFonts w:asciiTheme="majorBidi" w:eastAsia="Calibr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quotidien </w:t>
      </w:r>
      <w:r w:rsidRPr="00F230F1">
        <w:rPr>
          <w:rFonts w:asciiTheme="majorBidi" w:hAnsiTheme="majorBidi" w:cstheme="majorBidi"/>
          <w:i/>
          <w:iCs/>
          <w:sz w:val="20"/>
          <w:szCs w:val="20"/>
          <w:lang w:bidi="ar-AE"/>
        </w:rPr>
        <w:t>Ash-Sharq</w:t>
      </w:r>
      <w:r w:rsidRPr="00F230F1">
        <w:rPr>
          <w:rFonts w:asciiTheme="majorBidi" w:hAnsiTheme="majorBidi" w:cstheme="majorBidi"/>
          <w:sz w:val="20"/>
          <w:szCs w:val="20"/>
          <w:lang w:bidi="ar-AE"/>
        </w:rPr>
        <w:t xml:space="preserve"> (n° 230 le 21/07/2012) a rapporté que les autorités saoudiennes, s’inspirant de cette compréhension du verset, ont nommé des guides religieux pour empêcher toute pratique considérée comme hérétique au sein du </w:t>
      </w:r>
      <w:r w:rsidRPr="00F230F1">
        <w:rPr>
          <w:rFonts w:asciiTheme="majorBidi" w:hAnsiTheme="majorBidi" w:cstheme="majorBidi"/>
          <w:i/>
          <w:iCs/>
          <w:sz w:val="20"/>
          <w:szCs w:val="20"/>
          <w:lang w:bidi="ar-AE"/>
        </w:rPr>
        <w:t>Maqām Ibrahīm</w:t>
      </w:r>
      <w:r w:rsidRPr="00F230F1">
        <w:rPr>
          <w:rFonts w:asciiTheme="majorBidi" w:hAnsiTheme="majorBidi" w:cstheme="majorBidi"/>
          <w:sz w:val="20"/>
          <w:szCs w:val="20"/>
          <w:lang w:bidi="ar-AE"/>
        </w:rPr>
        <w:t xml:space="preserve"> [la station d’Abraham], </w:t>
      </w:r>
      <w:hyperlink r:id="rId92" w:history="1">
        <w:r w:rsidRPr="00F230F1">
          <w:rPr>
            <w:rStyle w:val="Lienhypertexte"/>
            <w:rFonts w:asciiTheme="majorBidi" w:hAnsiTheme="majorBidi" w:cstheme="majorBidi"/>
            <w:sz w:val="20"/>
            <w:szCs w:val="20"/>
          </w:rPr>
          <w:t>http://www.alsharq.net.sa/2012/07/21/404231</w:t>
        </w:r>
      </w:hyperlink>
      <w:r w:rsidRPr="00F230F1">
        <w:rPr>
          <w:rFonts w:asciiTheme="majorBidi" w:hAnsiTheme="majorBidi" w:cstheme="majorBidi"/>
          <w:sz w:val="20"/>
          <w:szCs w:val="20"/>
          <w:lang w:bidi="ar-AE"/>
        </w:rPr>
        <w:t>.</w:t>
      </w:r>
    </w:p>
  </w:footnote>
  <w:footnote w:id="260">
    <w:p w14:paraId="12B9D60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heme="minorHAnsi" w:hAnsiTheme="majorBidi" w:cstheme="majorBidi"/>
          <w:sz w:val="20"/>
          <w:szCs w:val="20"/>
          <w:lang w:eastAsia="fr-FR" w:bidi="ar-AE"/>
        </w:rPr>
        <w:t xml:space="preserve">Il s’agit d’un hadith faible </w:t>
      </w:r>
      <w:r w:rsidRPr="00F230F1">
        <w:rPr>
          <w:rFonts w:asciiTheme="majorBidi" w:eastAsiaTheme="minorHAnsi" w:hAnsiTheme="majorBidi" w:cstheme="majorBidi"/>
          <w:i/>
          <w:iCs/>
          <w:sz w:val="20"/>
          <w:szCs w:val="20"/>
          <w:lang w:eastAsia="fr-FR" w:bidi="ar-AE"/>
        </w:rPr>
        <w:t>marfūʿ</w:t>
      </w:r>
      <w:r w:rsidRPr="00F230F1">
        <w:rPr>
          <w:rFonts w:asciiTheme="majorBidi" w:eastAsiaTheme="minorHAnsi" w:hAnsiTheme="majorBidi" w:cstheme="majorBidi"/>
          <w:sz w:val="20"/>
          <w:szCs w:val="20"/>
          <w:lang w:eastAsia="fr-FR" w:bidi="ar-AE"/>
        </w:rPr>
        <w:t xml:space="preserve"> [élevé] (qui commence par : « J’ai entendu le prophète dire »).</w:t>
      </w:r>
    </w:p>
  </w:footnote>
  <w:footnote w:id="261">
    <w:p w14:paraId="7E53951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lang w:eastAsia="fr-FR" w:bidi="ar-AE"/>
        </w:rPr>
        <w:t xml:space="preserve">Quotidien </w:t>
      </w:r>
      <w:r w:rsidRPr="00F230F1">
        <w:rPr>
          <w:rFonts w:asciiTheme="majorBidi" w:hAnsiTheme="majorBidi" w:cstheme="majorBidi"/>
          <w:i/>
          <w:iCs/>
          <w:sz w:val="20"/>
          <w:szCs w:val="20"/>
          <w:lang w:eastAsia="fr-FR" w:bidi="ar-AE"/>
        </w:rPr>
        <w:t>Ash-Sharq</w:t>
      </w:r>
      <w:r w:rsidRPr="00F230F1">
        <w:rPr>
          <w:rFonts w:asciiTheme="majorBidi" w:hAnsiTheme="majorBidi" w:cstheme="majorBidi"/>
          <w:sz w:val="20"/>
          <w:szCs w:val="20"/>
          <w:lang w:eastAsia="fr-FR" w:bidi="ar-AE"/>
        </w:rPr>
        <w:t xml:space="preserve">, n° 230, le 21/07/2012, </w:t>
      </w:r>
      <w:r w:rsidRPr="00F230F1">
        <w:rPr>
          <w:rFonts w:asciiTheme="majorBidi" w:hAnsiTheme="majorBidi" w:cstheme="majorBidi"/>
          <w:i/>
          <w:iCs/>
          <w:sz w:val="20"/>
          <w:szCs w:val="20"/>
          <w:lang w:eastAsia="fr-FR" w:bidi="ar-AE"/>
        </w:rPr>
        <w:t>op. cit</w:t>
      </w:r>
      <w:r w:rsidRPr="00F230F1">
        <w:rPr>
          <w:rFonts w:asciiTheme="majorBidi" w:hAnsiTheme="majorBidi" w:cstheme="majorBidi"/>
          <w:sz w:val="20"/>
          <w:szCs w:val="20"/>
          <w:lang w:eastAsia="fr-FR" w:bidi="ar-AE"/>
        </w:rPr>
        <w:t>.</w:t>
      </w:r>
    </w:p>
  </w:footnote>
  <w:footnote w:id="262">
    <w:p w14:paraId="678A898F" w14:textId="77777777" w:rsidR="009C3BB9" w:rsidRPr="00F230F1" w:rsidRDefault="009C3BB9" w:rsidP="00F230F1">
      <w:pPr>
        <w:contextualSpacing/>
        <w:jc w:val="both"/>
        <w:rPr>
          <w:rFonts w:asciiTheme="majorBidi" w:eastAsia="Times New Roman"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chef spirituel druze (le </w:t>
      </w:r>
      <w:r w:rsidRPr="00F230F1">
        <w:rPr>
          <w:rFonts w:asciiTheme="majorBidi" w:hAnsiTheme="majorBidi" w:cstheme="majorBidi"/>
          <w:i/>
          <w:iCs/>
          <w:sz w:val="20"/>
          <w:szCs w:val="20"/>
          <w:lang w:bidi="ar-AE"/>
        </w:rPr>
        <w:t>Sheikh ʿAql</w:t>
      </w:r>
      <w:r w:rsidRPr="00F230F1">
        <w:rPr>
          <w:rFonts w:asciiTheme="majorBidi" w:hAnsiTheme="majorBidi" w:cstheme="majorBidi"/>
          <w:sz w:val="20"/>
          <w:szCs w:val="20"/>
          <w:lang w:bidi="ar-AE"/>
        </w:rPr>
        <w:t xml:space="preserve">) Naʿīm </w:t>
      </w:r>
      <w:r w:rsidRPr="00F230F1">
        <w:rPr>
          <w:rFonts w:asciiTheme="majorBidi" w:hAnsiTheme="majorBidi" w:cstheme="majorBidi"/>
          <w:sz w:val="20"/>
          <w:szCs w:val="20"/>
        </w:rPr>
        <w:t>Ḥ</w:t>
      </w:r>
      <w:r w:rsidRPr="00F230F1">
        <w:rPr>
          <w:rFonts w:asciiTheme="majorBidi" w:hAnsiTheme="majorBidi" w:cstheme="majorBidi"/>
          <w:sz w:val="20"/>
          <w:szCs w:val="20"/>
          <w:lang w:bidi="ar-AE"/>
        </w:rPr>
        <w:t xml:space="preserve">asan précise que « le but de ce voyage béni est de se donner à la volonté de Dieu Tout Puissant, exprimé le matin de la fête par l’immolation ». Extrait d’un discours du </w:t>
      </w:r>
      <w:r w:rsidRPr="00F230F1">
        <w:rPr>
          <w:rFonts w:asciiTheme="majorBidi" w:hAnsiTheme="majorBidi" w:cstheme="majorBidi"/>
          <w:i/>
          <w:iCs/>
          <w:sz w:val="20"/>
          <w:szCs w:val="20"/>
          <w:lang w:bidi="ar-AE"/>
        </w:rPr>
        <w:t>Sheikh ʿAql</w:t>
      </w:r>
      <w:r w:rsidRPr="00F230F1">
        <w:rPr>
          <w:rFonts w:asciiTheme="majorBidi" w:hAnsiTheme="majorBidi" w:cstheme="majorBidi"/>
          <w:sz w:val="20"/>
          <w:szCs w:val="20"/>
          <w:lang w:bidi="ar-AE"/>
        </w:rPr>
        <w:t xml:space="preserve"> de la communauté des unitariens druzes Naʿīm </w:t>
      </w:r>
      <w:r w:rsidRPr="00F230F1">
        <w:rPr>
          <w:rFonts w:asciiTheme="majorBidi" w:hAnsiTheme="majorBidi" w:cstheme="majorBidi"/>
          <w:sz w:val="20"/>
          <w:szCs w:val="20"/>
        </w:rPr>
        <w:t>Ḥ</w:t>
      </w:r>
      <w:r w:rsidRPr="00F230F1">
        <w:rPr>
          <w:rFonts w:asciiTheme="majorBidi" w:hAnsiTheme="majorBidi" w:cstheme="majorBidi"/>
          <w:sz w:val="20"/>
          <w:szCs w:val="20"/>
          <w:lang w:bidi="ar-AE"/>
        </w:rPr>
        <w:t>asan à l’occasion de la Fête de l’</w:t>
      </w:r>
      <w:r w:rsidRPr="00F230F1">
        <w:rPr>
          <w:rFonts w:asciiTheme="majorBidi" w:hAnsiTheme="majorBidi" w:cstheme="majorBidi"/>
          <w:i/>
          <w:iCs/>
          <w:sz w:val="20"/>
          <w:szCs w:val="20"/>
          <w:lang w:bidi="ar-AE"/>
        </w:rPr>
        <w:t>Aḍḥā</w:t>
      </w:r>
      <w:r w:rsidRPr="00F230F1">
        <w:rPr>
          <w:rFonts w:asciiTheme="majorBidi" w:hAnsiTheme="majorBidi" w:cstheme="majorBidi"/>
          <w:sz w:val="20"/>
          <w:szCs w:val="20"/>
          <w:lang w:bidi="ar-AE"/>
        </w:rPr>
        <w:t xml:space="preserve"> pour l’année 2010, Beyrouth, le site druze </w:t>
      </w:r>
      <w:hyperlink r:id="rId93" w:history="1">
        <w:r w:rsidRPr="00F230F1">
          <w:rPr>
            <w:rStyle w:val="Lienhypertexte"/>
            <w:rFonts w:asciiTheme="majorBidi" w:hAnsiTheme="majorBidi" w:cstheme="majorBidi"/>
            <w:sz w:val="20"/>
            <w:szCs w:val="20"/>
          </w:rPr>
          <w:t>http://www.mouwahidoundruze.gov.lb/fr/bayanatm66.php</w:t>
        </w:r>
      </w:hyperlink>
      <w:r w:rsidRPr="00F230F1">
        <w:rPr>
          <w:rFonts w:asciiTheme="majorBidi" w:hAnsiTheme="majorBidi" w:cstheme="majorBidi"/>
          <w:sz w:val="20"/>
          <w:szCs w:val="20"/>
          <w:lang w:bidi="ar-AE"/>
        </w:rPr>
        <w:t xml:space="preserve"> (consulté le 25/07/2017)/</w:t>
      </w:r>
    </w:p>
  </w:footnote>
  <w:footnote w:id="263">
    <w:p w14:paraId="48CC31CD" w14:textId="77777777" w:rsidR="009C3BB9" w:rsidRPr="00F230F1" w:rsidRDefault="009C3BB9" w:rsidP="00F230F1">
      <w:pPr>
        <w:contextualSpacing/>
        <w:jc w:val="both"/>
        <w:rPr>
          <w:rFonts w:asciiTheme="majorBid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moteur de recherche coranique </w:t>
      </w:r>
      <w:r w:rsidRPr="00F230F1">
        <w:rPr>
          <w:rFonts w:asciiTheme="majorBidi" w:hAnsiTheme="majorBidi" w:cstheme="majorBidi"/>
          <w:i/>
          <w:iCs/>
          <w:sz w:val="20"/>
          <w:szCs w:val="20"/>
          <w:lang w:bidi="ar-AE"/>
        </w:rPr>
        <w:t>Al-Awfā</w:t>
      </w:r>
      <w:r w:rsidRPr="00F230F1">
        <w:rPr>
          <w:rFonts w:asciiTheme="majorBidi" w:hAnsiTheme="majorBidi" w:cstheme="majorBidi"/>
          <w:sz w:val="20"/>
          <w:szCs w:val="20"/>
          <w:lang w:bidi="ar-AE"/>
        </w:rPr>
        <w:t xml:space="preserve">, </w:t>
      </w:r>
      <w:hyperlink r:id="rId94" w:history="1">
        <w:r w:rsidRPr="00F230F1">
          <w:rPr>
            <w:rStyle w:val="Lienhypertexte"/>
            <w:rFonts w:asciiTheme="majorBidi" w:hAnsiTheme="majorBidi" w:cstheme="majorBidi"/>
            <w:sz w:val="20"/>
            <w:szCs w:val="20"/>
            <w:lang w:bidi="ar-AE"/>
          </w:rPr>
          <w:t>http://www.alawfa.com/Go.aspx?keyword=%D8%A7%D9%84%D9%86%D8%A7%D8%B3&amp;start=0&amp;page=1</w:t>
        </w:r>
      </w:hyperlink>
      <w:r w:rsidRPr="00F230F1">
        <w:rPr>
          <w:rFonts w:asciiTheme="majorBidi" w:hAnsiTheme="majorBidi" w:cstheme="majorBidi"/>
          <w:sz w:val="20"/>
          <w:szCs w:val="20"/>
          <w:lang w:bidi="ar-AE"/>
        </w:rPr>
        <w:t xml:space="preserve"> (consulté le 26/07/2017).</w:t>
      </w:r>
    </w:p>
  </w:footnote>
  <w:footnote w:id="264">
    <w:p w14:paraId="5C9F732B" w14:textId="77777777" w:rsidR="009C3BB9" w:rsidRPr="00F230F1" w:rsidRDefault="009C3BB9" w:rsidP="00F230F1">
      <w:pPr>
        <w:contextualSpacing/>
        <w:jc w:val="both"/>
        <w:rPr>
          <w:rFonts w:asciiTheme="majorBid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rPr>
        <w:t xml:space="preserve">Az-Zarkashī, </w:t>
      </w:r>
      <w:r w:rsidRPr="00F230F1">
        <w:rPr>
          <w:rFonts w:asciiTheme="majorBidi" w:hAnsiTheme="majorBidi" w:cstheme="majorBidi"/>
          <w:i/>
          <w:iCs/>
          <w:sz w:val="20"/>
          <w:szCs w:val="20"/>
        </w:rPr>
        <w:t>Al-Burhān fī ʿulūm al-qurʾān</w:t>
      </w:r>
      <w:r w:rsidRPr="00F230F1">
        <w:rPr>
          <w:rFonts w:asciiTheme="majorBidi" w:eastAsia="Calibri" w:hAnsiTheme="majorBidi" w:cstheme="majorBidi"/>
          <w:sz w:val="20"/>
          <w:szCs w:val="20"/>
          <w:lang w:bidi="ar-AE"/>
        </w:rPr>
        <w:t xml:space="preserve">, </w:t>
      </w:r>
      <w:hyperlink r:id="rId95" w:history="1">
        <w:r w:rsidRPr="00F230F1">
          <w:rPr>
            <w:rStyle w:val="Lienhypertexte"/>
            <w:rFonts w:asciiTheme="majorBidi" w:hAnsiTheme="majorBidi" w:cstheme="majorBidi"/>
            <w:sz w:val="20"/>
            <w:szCs w:val="20"/>
            <w:lang w:bidi="ar-AE"/>
          </w:rPr>
          <w:t>http://library.islamweb.net/newlibrary/display_book.php?idfrom=66&amp;idto=85&amp;bk_no=67&amp;ID=78</w:t>
        </w:r>
      </w:hyperlink>
      <w:r w:rsidRPr="00F230F1">
        <w:rPr>
          <w:rFonts w:asciiTheme="majorBidi" w:hAnsiTheme="majorBidi" w:cstheme="majorBidi"/>
          <w:sz w:val="20"/>
          <w:szCs w:val="20"/>
          <w:lang w:bidi="ar-AE"/>
        </w:rPr>
        <w:t xml:space="preserve"> (conslulé le 28/07/2017).</w:t>
      </w:r>
    </w:p>
  </w:footnote>
  <w:footnote w:id="265">
    <w:p w14:paraId="6C120F76"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Frédéric Imbert souligne : « Dans un contexte politique troublé, le consensus fut difficile à trouver et il fallut sans doute plus de temps que les douze années du califat de ʿUthmān pour imposer une seule et unique version. D’autres collections du texte coranique continuèrent à circuler parallèlement à celle du calife. […] Nous ne possédons pas d’exemplaire de la vulgate historique, sous forme d’un </w:t>
      </w:r>
      <w:r w:rsidRPr="00F230F1">
        <w:rPr>
          <w:rFonts w:asciiTheme="majorBidi" w:hAnsiTheme="majorBidi" w:cstheme="majorBidi"/>
          <w:i/>
          <w:iCs/>
          <w:sz w:val="20"/>
          <w:szCs w:val="20"/>
          <w:lang w:bidi="ar-AE"/>
        </w:rPr>
        <w:t>codex</w:t>
      </w:r>
      <w:r w:rsidRPr="00F230F1">
        <w:rPr>
          <w:rFonts w:asciiTheme="majorBidi" w:hAnsiTheme="majorBidi" w:cstheme="majorBidi"/>
          <w:sz w:val="20"/>
          <w:szCs w:val="20"/>
          <w:lang w:bidi="ar-AE"/>
        </w:rPr>
        <w:t xml:space="preserve"> ou même de fragments remontant à la période initiale de constitution ou de rassemblement (</w:t>
      </w:r>
      <w:r w:rsidRPr="00F230F1">
        <w:rPr>
          <w:rFonts w:asciiTheme="majorBidi" w:hAnsiTheme="majorBidi" w:cstheme="majorBidi"/>
          <w:i/>
          <w:iCs/>
          <w:sz w:val="20"/>
          <w:szCs w:val="20"/>
          <w:lang w:bidi="ar-AE"/>
        </w:rPr>
        <w:t>jamʿ al-Qurʾān</w:t>
      </w:r>
      <w:r w:rsidRPr="00F230F1">
        <w:rPr>
          <w:rFonts w:asciiTheme="majorBidi" w:hAnsiTheme="majorBidi" w:cstheme="majorBidi"/>
          <w:sz w:val="20"/>
          <w:szCs w:val="20"/>
          <w:lang w:bidi="ar-AE"/>
        </w:rPr>
        <w:t>) soit vers 30/650. Plusieurs exemplaires de la vulgate furent copiés dès la seconde moitié du VII</w:t>
      </w:r>
      <w:r w:rsidRPr="00F230F1">
        <w:rPr>
          <w:rFonts w:asciiTheme="majorBidi" w:hAnsiTheme="majorBidi" w:cstheme="majorBidi"/>
          <w:sz w:val="20"/>
          <w:szCs w:val="20"/>
          <w:vertAlign w:val="superscript"/>
          <w:lang w:bidi="ar-AE"/>
        </w:rPr>
        <w:t>e</w:t>
      </w:r>
      <w:r w:rsidRPr="00F230F1">
        <w:rPr>
          <w:rFonts w:asciiTheme="majorBidi" w:hAnsiTheme="majorBidi" w:cstheme="majorBidi"/>
          <w:sz w:val="20"/>
          <w:szCs w:val="20"/>
          <w:lang w:bidi="ar-AE"/>
        </w:rPr>
        <w:t xml:space="preserve"> siècle puis envoyés dans les grandes cités du nouvel empire arabo-musulman (4 ou 7 exemplaires selon les traditions) dans le but d’imposer et de diffuser la nouvelle recension de ʿUthmān. Il est probable qu’un système coranique « à deux vitesses » s’imposa d’abord : ceux qui eurent accès aux rares exemplaires copiés de la vulgate de ʿUthmān se mirent à réciter le texte dans sa version recomposée ; quant à ceux qui n’avaient pas eu accès à une copie ou à une copie de copie, ils continuèrent de réciter le Coran dans une version orale antérieure à la recension. » Imbert, Frédéric, « Le Coran dans les graffiti des deux premiers siècles de l’Hégire », </w:t>
      </w:r>
      <w:r w:rsidRPr="00F230F1">
        <w:rPr>
          <w:rFonts w:asciiTheme="majorBidi" w:hAnsiTheme="majorBidi" w:cstheme="majorBidi"/>
          <w:i/>
          <w:iCs/>
          <w:sz w:val="20"/>
          <w:szCs w:val="20"/>
          <w:lang w:bidi="ar-AE"/>
        </w:rPr>
        <w:t>Arabica</w:t>
      </w:r>
      <w:r w:rsidRPr="00F230F1">
        <w:rPr>
          <w:rFonts w:asciiTheme="majorBidi" w:hAnsiTheme="majorBidi" w:cstheme="majorBidi"/>
          <w:sz w:val="20"/>
          <w:szCs w:val="20"/>
          <w:lang w:bidi="ar-AE"/>
        </w:rPr>
        <w:t>, t. XLVII, Leiden, pp. 384-90, 2000.</w:t>
      </w:r>
    </w:p>
  </w:footnote>
  <w:footnote w:id="266">
    <w:p w14:paraId="0BE80FB7" w14:textId="77777777" w:rsidR="009C3BB9" w:rsidRPr="00F230F1" w:rsidRDefault="009C3BB9" w:rsidP="00F230F1">
      <w:pPr>
        <w:contextualSpacing/>
        <w:jc w:val="both"/>
        <w:rPr>
          <w:rFonts w:asciiTheme="majorBid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mallCaps/>
          <w:sz w:val="20"/>
          <w:szCs w:val="20"/>
          <w:lang w:bidi="ar-AE"/>
        </w:rPr>
        <w:t xml:space="preserve"> ͑</w:t>
      </w:r>
      <w:r w:rsidRPr="00F230F1">
        <w:rPr>
          <w:rFonts w:asciiTheme="majorBidi" w:hAnsiTheme="majorBidi" w:cstheme="majorBidi"/>
          <w:sz w:val="20"/>
          <w:szCs w:val="20"/>
          <w:lang w:bidi="ar-AE"/>
        </w:rPr>
        <w:t>Abd ad-Dāʾim Al-Ka</w:t>
      </w:r>
      <w:r w:rsidRPr="00F230F1">
        <w:rPr>
          <w:rFonts w:asciiTheme="majorBidi" w:hAnsiTheme="majorBidi" w:cstheme="majorBidi"/>
          <w:sz w:val="20"/>
          <w:szCs w:val="20"/>
        </w:rPr>
        <w:t>ḥ</w:t>
      </w:r>
      <w:r w:rsidRPr="00F230F1">
        <w:rPr>
          <w:rFonts w:asciiTheme="majorBidi" w:hAnsiTheme="majorBidi" w:cstheme="majorBidi"/>
          <w:sz w:val="20"/>
          <w:szCs w:val="20"/>
          <w:lang w:bidi="ar-AE"/>
        </w:rPr>
        <w:t>īl, « </w:t>
      </w:r>
      <w:r w:rsidRPr="00F230F1">
        <w:rPr>
          <w:rFonts w:asciiTheme="majorBidi" w:hAnsiTheme="majorBidi" w:cstheme="majorBidi"/>
          <w:i/>
          <w:iCs/>
          <w:sz w:val="20"/>
          <w:szCs w:val="20"/>
          <w:lang w:bidi="ar-AE"/>
        </w:rPr>
        <w:t>ʿAshr ḥaqāʾiq ʿilmīya ʿan al-ḥajj</w:t>
      </w:r>
      <w:r w:rsidRPr="00F230F1">
        <w:rPr>
          <w:rFonts w:asciiTheme="majorBidi" w:hAnsiTheme="majorBidi" w:cstheme="majorBidi"/>
          <w:sz w:val="20"/>
          <w:szCs w:val="20"/>
          <w:lang w:bidi="ar-AE"/>
        </w:rPr>
        <w:t xml:space="preserve"> » [Dix vérités scientifiques sur le pèlerinage], site </w:t>
      </w:r>
      <w:r w:rsidRPr="00F230F1">
        <w:rPr>
          <w:rFonts w:asciiTheme="majorBidi" w:hAnsiTheme="majorBidi" w:cstheme="majorBidi"/>
          <w:i/>
          <w:iCs/>
          <w:sz w:val="20"/>
          <w:szCs w:val="20"/>
          <w:lang w:bidi="ar-AE"/>
        </w:rPr>
        <w:t>Asrār al-iʿjāz al-ʿilmī fī l-qurʾān wa-s-sunna</w:t>
      </w:r>
      <w:r w:rsidRPr="00F230F1">
        <w:rPr>
          <w:rFonts w:asciiTheme="majorBidi" w:hAnsiTheme="majorBidi" w:cstheme="majorBidi"/>
          <w:sz w:val="20"/>
          <w:szCs w:val="20"/>
          <w:lang w:bidi="ar-AE"/>
        </w:rPr>
        <w:t xml:space="preserve"> [Secrets du contenu scientifique miraculeux dans le Coran et la sunna] [</w:t>
      </w:r>
      <w:hyperlink r:id="rId96" w:history="1">
        <w:r w:rsidRPr="00F230F1">
          <w:rPr>
            <w:rStyle w:val="Lienhypertexte"/>
            <w:rFonts w:asciiTheme="majorBidi" w:hAnsiTheme="majorBidi" w:cstheme="majorBidi"/>
            <w:sz w:val="20"/>
            <w:szCs w:val="20"/>
          </w:rPr>
          <w:t>http://www.kaheel7.com/ar/index.php/2012-12-04-18-20-16/1277-2013-05-11-19-24-57</w:t>
        </w:r>
      </w:hyperlink>
      <w:r w:rsidRPr="00F230F1">
        <w:rPr>
          <w:rFonts w:asciiTheme="majorBidi" w:hAnsiTheme="majorBidi" w:cstheme="majorBidi"/>
          <w:sz w:val="20"/>
          <w:szCs w:val="20"/>
          <w:lang w:bidi="ar-AE"/>
        </w:rPr>
        <w:t>] (consulté le 30/07/2017).</w:t>
      </w:r>
    </w:p>
  </w:footnote>
  <w:footnote w:id="267">
    <w:p w14:paraId="60AF9E0B" w14:textId="77777777" w:rsidR="009C3BB9" w:rsidRPr="00F230F1" w:rsidRDefault="009C3BB9" w:rsidP="00F230F1">
      <w:pPr>
        <w:contextualSpacing/>
        <w:jc w:val="both"/>
        <w:rPr>
          <w:rFonts w:asciiTheme="majorBidi" w:hAnsiTheme="majorBidi" w:cstheme="majorBidi"/>
          <w:color w:val="FF0000"/>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À titre d’exemple, voir :</w:t>
      </w:r>
      <w:r w:rsidRPr="00F230F1">
        <w:rPr>
          <w:rFonts w:asciiTheme="majorBidi" w:hAnsiTheme="majorBidi" w:cstheme="majorBidi"/>
          <w:sz w:val="20"/>
          <w:szCs w:val="20"/>
        </w:rPr>
        <w:t xml:space="preserve"> </w:t>
      </w:r>
      <w:hyperlink r:id="rId97" w:history="1">
        <w:r w:rsidRPr="00F230F1">
          <w:rPr>
            <w:rStyle w:val="Lienhypertexte"/>
            <w:rFonts w:asciiTheme="majorBidi" w:hAnsiTheme="majorBidi" w:cstheme="majorBidi"/>
            <w:sz w:val="20"/>
            <w:szCs w:val="20"/>
          </w:rPr>
          <w:t>http://www.leaders.com.tn/article/pelerinage-combien-ca-rapporte?id=3355</w:t>
        </w:r>
      </w:hyperlink>
      <w:r w:rsidRPr="00F230F1">
        <w:rPr>
          <w:rFonts w:asciiTheme="majorBidi" w:hAnsiTheme="majorBidi" w:cstheme="majorBidi"/>
          <w:sz w:val="20"/>
          <w:szCs w:val="20"/>
          <w:lang w:bidi="ar-AE"/>
        </w:rPr>
        <w:t xml:space="preserve"> et </w:t>
      </w:r>
      <w:hyperlink r:id="rId98" w:history="1">
        <w:r w:rsidRPr="00F230F1">
          <w:rPr>
            <w:rStyle w:val="Lienhypertexte"/>
            <w:rFonts w:asciiTheme="majorBidi" w:hAnsiTheme="majorBidi" w:cstheme="majorBidi"/>
            <w:sz w:val="20"/>
            <w:szCs w:val="20"/>
          </w:rPr>
          <w:t>http://www.ajib.fr/2010/11/hajj-haj-business/</w:t>
        </w:r>
      </w:hyperlink>
      <w:r w:rsidRPr="00F230F1">
        <w:rPr>
          <w:rFonts w:asciiTheme="majorBidi" w:hAnsiTheme="majorBidi" w:cstheme="majorBidi"/>
          <w:sz w:val="20"/>
          <w:szCs w:val="20"/>
          <w:lang w:bidi="ar-AE"/>
        </w:rPr>
        <w:t xml:space="preserve"> (consultés le 30/07/2017).</w:t>
      </w:r>
    </w:p>
  </w:footnote>
  <w:footnote w:id="268">
    <w:p w14:paraId="4C4EFF89"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rPr>
        <w:t xml:space="preserve">Selon </w:t>
      </w:r>
      <w:r w:rsidRPr="00F230F1">
        <w:rPr>
          <w:rFonts w:asciiTheme="majorBidi" w:eastAsia="Times New Roman" w:hAnsiTheme="majorBidi" w:cstheme="majorBidi"/>
          <w:i/>
          <w:iCs/>
          <w:sz w:val="20"/>
          <w:szCs w:val="20"/>
          <w:lang w:eastAsia="fr-FR"/>
        </w:rPr>
        <w:t>Tafsīr Muqātil</w:t>
      </w:r>
      <w:r w:rsidRPr="00F230F1">
        <w:rPr>
          <w:rFonts w:asciiTheme="majorBidi" w:eastAsia="Times New Roman" w:hAnsiTheme="majorBidi" w:cstheme="majorBidi"/>
          <w:sz w:val="20"/>
          <w:szCs w:val="20"/>
          <w:lang w:eastAsia="fr-FR"/>
        </w:rPr>
        <w:t>.</w:t>
      </w:r>
    </w:p>
  </w:footnote>
  <w:footnote w:id="269">
    <w:p w14:paraId="0DAE080F" w14:textId="7777777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langage coranique distingue entre les deux schèmes : </w:t>
      </w:r>
      <w:r w:rsidRPr="00F230F1">
        <w:rPr>
          <w:rFonts w:asciiTheme="majorBidi" w:hAnsiTheme="majorBidi" w:cstheme="majorBidi"/>
          <w:i/>
          <w:iCs/>
          <w:sz w:val="20"/>
          <w:szCs w:val="20"/>
          <w:lang w:bidi="ar-AE"/>
        </w:rPr>
        <w:t>kāfir</w:t>
      </w:r>
      <w:r w:rsidRPr="00F230F1">
        <w:rPr>
          <w:rFonts w:asciiTheme="majorBidi" w:hAnsiTheme="majorBidi" w:cstheme="majorBidi"/>
          <w:sz w:val="20"/>
          <w:szCs w:val="20"/>
          <w:lang w:bidi="ar-AE"/>
        </w:rPr>
        <w:t xml:space="preserve"> [non croyant] (participe actif) (par opposition à </w:t>
      </w:r>
      <w:r w:rsidRPr="00F230F1">
        <w:rPr>
          <w:rFonts w:asciiTheme="majorBidi" w:hAnsiTheme="majorBidi" w:cstheme="majorBidi"/>
          <w:i/>
          <w:iCs/>
          <w:sz w:val="20"/>
          <w:szCs w:val="20"/>
          <w:lang w:bidi="ar-AE"/>
        </w:rPr>
        <w:t>muʾmin</w:t>
      </w:r>
      <w:r w:rsidRPr="00F230F1">
        <w:rPr>
          <w:rFonts w:asciiTheme="majorBidi" w:hAnsiTheme="majorBidi" w:cstheme="majorBidi"/>
          <w:sz w:val="20"/>
          <w:szCs w:val="20"/>
          <w:lang w:bidi="ar-AE"/>
        </w:rPr>
        <w:t xml:space="preserve"> [croyant]) et </w:t>
      </w:r>
      <w:r w:rsidRPr="00F230F1">
        <w:rPr>
          <w:rFonts w:asciiTheme="majorBidi" w:hAnsiTheme="majorBidi" w:cstheme="majorBidi"/>
          <w:i/>
          <w:iCs/>
          <w:sz w:val="20"/>
          <w:szCs w:val="20"/>
          <w:lang w:bidi="ar-AE"/>
        </w:rPr>
        <w:t>kafūr</w:t>
      </w:r>
      <w:r w:rsidRPr="00F230F1">
        <w:rPr>
          <w:rFonts w:asciiTheme="majorBidi" w:hAnsiTheme="majorBidi" w:cstheme="majorBidi"/>
          <w:sz w:val="20"/>
          <w:szCs w:val="20"/>
          <w:lang w:bidi="ar-AE"/>
        </w:rPr>
        <w:t xml:space="preserve"> [ingrat] (forme intensive du participe actif, </w:t>
      </w:r>
      <w:r w:rsidRPr="00F230F1">
        <w:rPr>
          <w:rFonts w:asciiTheme="majorBidi" w:eastAsia="Times New Roman" w:hAnsiTheme="majorBidi" w:cstheme="majorBidi"/>
          <w:i/>
          <w:iCs/>
          <w:sz w:val="20"/>
          <w:szCs w:val="20"/>
          <w:lang w:eastAsia="fr-FR" w:bidi="ar-AE"/>
        </w:rPr>
        <w:t>ṣifa mushabbaha bi-sm al-fāʿil</w:t>
      </w:r>
      <w:r w:rsidRPr="00F230F1">
        <w:rPr>
          <w:rFonts w:asciiTheme="majorBidi" w:eastAsia="Times New Roman" w:hAnsiTheme="majorBidi" w:cstheme="majorBidi"/>
          <w:sz w:val="20"/>
          <w:szCs w:val="20"/>
          <w:lang w:eastAsia="fr-FR" w:bidi="ar-AE"/>
        </w:rPr>
        <w:t xml:space="preserve"> </w:t>
      </w:r>
      <w:r w:rsidRPr="00F230F1">
        <w:rPr>
          <w:rFonts w:asciiTheme="majorBidi" w:eastAsia="Times New Roman" w:hAnsiTheme="majorBidi" w:cstheme="majorBidi"/>
          <w:sz w:val="20"/>
          <w:szCs w:val="20"/>
          <w:lang w:eastAsia="fr-FR" w:bidi="ar-KW"/>
        </w:rPr>
        <w:t>[adjectif morphologiquement assimilable au participe actif</w:t>
      </w:r>
      <w:r w:rsidRPr="00F230F1">
        <w:rPr>
          <w:rFonts w:asciiTheme="majorBidi" w:eastAsia="Times New Roman" w:hAnsiTheme="majorBidi" w:cstheme="majorBidi"/>
          <w:sz w:val="20"/>
          <w:szCs w:val="20"/>
          <w:lang w:eastAsia="fr-FR" w:bidi="ar-AE"/>
        </w:rPr>
        <w:t>, participe hyperbolique, une forme de l’exagération</w:t>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lang w:eastAsia="fr-FR"/>
        </w:rPr>
        <w:t xml:space="preserve">(par opposition à </w:t>
      </w:r>
      <w:r w:rsidRPr="00F230F1">
        <w:rPr>
          <w:rFonts w:asciiTheme="majorBidi" w:hAnsiTheme="majorBidi" w:cstheme="majorBidi"/>
          <w:i/>
          <w:iCs/>
          <w:sz w:val="20"/>
          <w:szCs w:val="20"/>
          <w:lang w:eastAsia="fr-FR"/>
        </w:rPr>
        <w:t>shākir</w:t>
      </w:r>
      <w:r w:rsidRPr="00F230F1">
        <w:rPr>
          <w:rFonts w:asciiTheme="majorBidi" w:hAnsiTheme="majorBidi" w:cstheme="majorBidi"/>
          <w:sz w:val="20"/>
          <w:szCs w:val="20"/>
          <w:lang w:eastAsia="fr-FR"/>
        </w:rPr>
        <w:t xml:space="preserve"> ou </w:t>
      </w:r>
      <w:r w:rsidRPr="00F230F1">
        <w:rPr>
          <w:rFonts w:asciiTheme="majorBidi" w:hAnsiTheme="majorBidi" w:cstheme="majorBidi"/>
          <w:i/>
          <w:iCs/>
          <w:sz w:val="20"/>
          <w:szCs w:val="20"/>
          <w:lang w:eastAsia="fr-FR"/>
        </w:rPr>
        <w:t>shakūr</w:t>
      </w:r>
      <w:r w:rsidRPr="00F230F1">
        <w:rPr>
          <w:rFonts w:asciiTheme="majorBidi" w:hAnsiTheme="majorBidi" w:cstheme="majorBidi"/>
          <w:sz w:val="20"/>
          <w:szCs w:val="20"/>
          <w:lang w:eastAsia="fr-FR"/>
        </w:rPr>
        <w:t xml:space="preserve"> [reconnaissant])</w:t>
      </w:r>
      <w:r w:rsidRPr="00F230F1">
        <w:rPr>
          <w:rFonts w:asciiTheme="majorBidi" w:hAnsiTheme="majorBidi" w:cstheme="majorBidi"/>
          <w:sz w:val="20"/>
          <w:szCs w:val="20"/>
          <w:lang w:bidi="ar-AE"/>
        </w:rPr>
        <w:t xml:space="preserve">. Le verset LXXVI, 3 oppose les deux mots </w:t>
      </w:r>
      <w:r w:rsidRPr="00F230F1">
        <w:rPr>
          <w:rFonts w:asciiTheme="majorBidi" w:hAnsiTheme="majorBidi" w:cstheme="majorBidi"/>
          <w:i/>
          <w:iCs/>
          <w:sz w:val="20"/>
          <w:szCs w:val="20"/>
          <w:lang w:eastAsia="fr-FR"/>
        </w:rPr>
        <w:t>shākir</w:t>
      </w:r>
      <w:r w:rsidRPr="00F230F1">
        <w:rPr>
          <w:rFonts w:asciiTheme="majorBidi" w:hAnsiTheme="majorBidi" w:cstheme="majorBidi"/>
          <w:sz w:val="20"/>
          <w:szCs w:val="20"/>
          <w:lang w:bidi="ar-AE"/>
        </w:rPr>
        <w:t xml:space="preserve"> et </w:t>
      </w:r>
      <w:r w:rsidRPr="00F230F1">
        <w:rPr>
          <w:rFonts w:asciiTheme="majorBidi" w:hAnsiTheme="majorBidi" w:cstheme="majorBidi"/>
          <w:i/>
          <w:iCs/>
          <w:sz w:val="20"/>
          <w:szCs w:val="20"/>
          <w:lang w:bidi="ar-AE"/>
        </w:rPr>
        <w:t>kafūr</w:t>
      </w:r>
      <w:r w:rsidRPr="00F230F1">
        <w:rPr>
          <w:rFonts w:asciiTheme="majorBidi" w:hAnsiTheme="majorBidi" w:cstheme="majorBidi"/>
          <w:sz w:val="20"/>
          <w:szCs w:val="20"/>
          <w:lang w:bidi="ar-AE"/>
        </w:rPr>
        <w:t>.</w:t>
      </w:r>
    </w:p>
  </w:footnote>
  <w:footnote w:id="270">
    <w:p w14:paraId="6877E065" w14:textId="77777777" w:rsidR="009C3BB9" w:rsidRPr="00F230F1" w:rsidRDefault="009C3BB9" w:rsidP="00F230F1">
      <w:pPr>
        <w:ind w:firstLine="360"/>
        <w:contextualSpacing/>
        <w:jc w:val="both"/>
        <w:rPr>
          <w:rFonts w:asciiTheme="majorBidi" w:hAnsiTheme="majorBidi" w:cstheme="majorBidi"/>
          <w:sz w:val="20"/>
          <w:szCs w:val="20"/>
          <w:lang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shd w:val="clear" w:color="auto" w:fill="FFFFFF"/>
          <w:rtl/>
        </w:rPr>
        <w:t xml:space="preserve">"وكُلُّ من خَلَفَ بَعدَ شَيْء فهو عاقِبَةٌ" </w:t>
      </w:r>
      <w:r w:rsidRPr="00F230F1">
        <w:rPr>
          <w:rFonts w:asciiTheme="majorBidi" w:hAnsiTheme="majorBidi" w:cstheme="majorBidi"/>
          <w:sz w:val="20"/>
          <w:szCs w:val="20"/>
          <w:rtl/>
          <w:lang w:bidi="ar-EG"/>
        </w:rPr>
        <w:t>(</w:t>
      </w:r>
      <w:r w:rsidRPr="00F230F1">
        <w:rPr>
          <w:rFonts w:asciiTheme="majorBidi" w:hAnsiTheme="majorBidi" w:cstheme="majorBidi"/>
          <w:i/>
          <w:iCs/>
          <w:sz w:val="20"/>
          <w:szCs w:val="20"/>
          <w:rtl/>
          <w:lang w:bidi="ar-EG"/>
        </w:rPr>
        <w:t>تاج العروس</w:t>
      </w:r>
      <w:r w:rsidRPr="00F230F1">
        <w:rPr>
          <w:rFonts w:asciiTheme="majorBidi" w:hAnsiTheme="majorBidi" w:cstheme="majorBidi"/>
          <w:sz w:val="20"/>
          <w:szCs w:val="20"/>
          <w:rtl/>
          <w:lang w:bidi="ar-EG"/>
        </w:rPr>
        <w:t>).</w:t>
      </w:r>
      <w:r w:rsidRPr="00F230F1">
        <w:rPr>
          <w:rStyle w:val="apple-converted-space"/>
          <w:rFonts w:asciiTheme="majorBidi" w:hAnsiTheme="majorBidi" w:cstheme="majorBidi"/>
          <w:sz w:val="20"/>
          <w:szCs w:val="20"/>
          <w:shd w:val="clear" w:color="auto" w:fill="FFFFFF"/>
        </w:rPr>
        <w:t> </w:t>
      </w:r>
      <w:r w:rsidRPr="00F230F1">
        <w:rPr>
          <w:rFonts w:asciiTheme="majorBidi" w:hAnsiTheme="majorBidi" w:cstheme="majorBidi"/>
          <w:sz w:val="20"/>
          <w:szCs w:val="20"/>
          <w:shd w:val="clear" w:color="auto" w:fill="FFFFFF"/>
          <w:rtl/>
          <w:lang w:bidi="ar-KW"/>
        </w:rPr>
        <w:t>"</w:t>
      </w:r>
      <w:r w:rsidRPr="00F230F1">
        <w:rPr>
          <w:rFonts w:asciiTheme="majorBidi" w:hAnsiTheme="majorBidi" w:cstheme="majorBidi"/>
          <w:sz w:val="20"/>
          <w:szCs w:val="20"/>
          <w:shd w:val="clear" w:color="auto" w:fill="FFFFFF"/>
          <w:rtl/>
        </w:rPr>
        <w:t xml:space="preserve">والعاقِبةُ ولَدُ الرجلِ ووَلَدُ ولَدِه الباقونَ بعده" </w:t>
      </w:r>
      <w:r w:rsidRPr="00F230F1">
        <w:rPr>
          <w:rFonts w:asciiTheme="majorBidi" w:hAnsiTheme="majorBidi" w:cstheme="majorBidi"/>
          <w:sz w:val="20"/>
          <w:szCs w:val="20"/>
          <w:rtl/>
        </w:rPr>
        <w:t>(</w:t>
      </w:r>
      <w:r w:rsidRPr="00F230F1">
        <w:rPr>
          <w:rFonts w:asciiTheme="majorBidi" w:hAnsiTheme="majorBidi" w:cstheme="majorBidi"/>
          <w:i/>
          <w:iCs/>
          <w:sz w:val="20"/>
          <w:szCs w:val="20"/>
          <w:rtl/>
        </w:rPr>
        <w:t>لسان العرب</w:t>
      </w:r>
      <w:r w:rsidRPr="00F230F1">
        <w:rPr>
          <w:rFonts w:asciiTheme="majorBidi" w:hAnsiTheme="majorBidi" w:cstheme="majorBidi"/>
          <w:sz w:val="20"/>
          <w:szCs w:val="20"/>
          <w:rtl/>
        </w:rPr>
        <w:t>).</w:t>
      </w:r>
    </w:p>
  </w:footnote>
  <w:footnote w:id="271">
    <w:p w14:paraId="59E85E54" w14:textId="77777777" w:rsidR="009C3BB9" w:rsidRPr="00F230F1" w:rsidRDefault="009C3BB9" w:rsidP="00F230F1">
      <w:pPr>
        <w:pStyle w:val="n1"/>
        <w:bidi w:val="0"/>
        <w:contextualSpacing/>
        <w:jc w:val="both"/>
        <w:rPr>
          <w:rFonts w:asciiTheme="majorBidi" w:hAnsiTheme="majorBidi" w:cstheme="majorBidi"/>
          <w:color w:val="FF0000"/>
          <w:sz w:val="20"/>
          <w:szCs w:val="20"/>
          <w:lang w:eastAsia="fr-FR"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lang w:eastAsia="fr-FR" w:bidi="ar-EG"/>
        </w:rPr>
        <w:t xml:space="preserve">Al-Kulaynī, </w:t>
      </w:r>
      <w:r w:rsidRPr="00F230F1">
        <w:rPr>
          <w:rFonts w:asciiTheme="majorBidi" w:hAnsiTheme="majorBidi" w:cstheme="majorBidi"/>
          <w:i/>
          <w:iCs/>
          <w:sz w:val="20"/>
          <w:szCs w:val="20"/>
          <w:lang w:eastAsia="fr-FR" w:bidi="ar-EG"/>
        </w:rPr>
        <w:t>Al-Kāfī</w:t>
      </w:r>
      <w:r w:rsidRPr="00F230F1">
        <w:rPr>
          <w:rFonts w:asciiTheme="majorBidi" w:hAnsiTheme="majorBidi" w:cstheme="majorBidi"/>
          <w:sz w:val="20"/>
          <w:szCs w:val="20"/>
          <w:lang w:eastAsia="fr-FR" w:bidi="ar-EG"/>
        </w:rPr>
        <w:t>, tome 8, p. 125.</w:t>
      </w:r>
    </w:p>
  </w:footnote>
  <w:footnote w:id="272">
    <w:p w14:paraId="42779BF9"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 Tout ce que l’on dit dans le Coran, affirme ʿUmar, est juste [</w:t>
      </w:r>
      <w:r w:rsidRPr="00F230F1">
        <w:rPr>
          <w:rFonts w:asciiTheme="majorBidi" w:eastAsia="Calibri" w:hAnsiTheme="majorBidi" w:cstheme="majorBidi"/>
          <w:i/>
          <w:iCs/>
          <w:sz w:val="20"/>
          <w:szCs w:val="20"/>
          <w:lang w:bidi="ar-AE"/>
        </w:rPr>
        <w:t>ṣawāb</w:t>
      </w:r>
      <w:r w:rsidRPr="00F230F1">
        <w:rPr>
          <w:rFonts w:asciiTheme="majorBidi" w:eastAsia="Calibri" w:hAnsiTheme="majorBidi" w:cstheme="majorBidi"/>
          <w:sz w:val="20"/>
          <w:szCs w:val="20"/>
          <w:lang w:bidi="ar-AE"/>
        </w:rPr>
        <w:t xml:space="preserve">] tant que l’on ne substitue pas </w:t>
      </w:r>
      <w:r w:rsidRPr="00F230F1">
        <w:rPr>
          <w:rFonts w:asciiTheme="majorBidi" w:eastAsia="Calibri" w:hAnsiTheme="majorBidi" w:cstheme="majorBidi"/>
          <w:i/>
          <w:iCs/>
          <w:sz w:val="20"/>
          <w:szCs w:val="20"/>
          <w:lang w:bidi="ar-AE"/>
        </w:rPr>
        <w:t>châtiment</w:t>
      </w:r>
      <w:r w:rsidRPr="00F230F1">
        <w:rPr>
          <w:rFonts w:asciiTheme="majorBidi" w:eastAsia="Calibri" w:hAnsiTheme="majorBidi" w:cstheme="majorBidi"/>
          <w:sz w:val="20"/>
          <w:szCs w:val="20"/>
          <w:lang w:bidi="ar-AE"/>
        </w:rPr>
        <w:t xml:space="preserve"> à </w:t>
      </w:r>
      <w:r w:rsidRPr="00F230F1">
        <w:rPr>
          <w:rFonts w:asciiTheme="majorBidi" w:eastAsia="Calibri" w:hAnsiTheme="majorBidi" w:cstheme="majorBidi"/>
          <w:i/>
          <w:iCs/>
          <w:sz w:val="20"/>
          <w:szCs w:val="20"/>
          <w:lang w:bidi="ar-AE"/>
        </w:rPr>
        <w:t>pardon</w:t>
      </w:r>
      <w:r w:rsidRPr="00F230F1">
        <w:rPr>
          <w:rFonts w:asciiTheme="majorBidi" w:eastAsia="Calibri" w:hAnsiTheme="majorBidi" w:cstheme="majorBidi"/>
          <w:sz w:val="20"/>
          <w:szCs w:val="20"/>
          <w:lang w:bidi="ar-AE"/>
        </w:rPr>
        <w:t> »,</w:t>
      </w:r>
      <w:r w:rsidRPr="00F230F1">
        <w:rPr>
          <w:rFonts w:asciiTheme="majorBidi" w:eastAsia="Calibri" w:hAnsiTheme="majorBidi" w:cstheme="majorBidi"/>
          <w:color w:val="002060"/>
          <w:sz w:val="20"/>
          <w:szCs w:val="20"/>
          <w:lang w:bidi="ar-AE"/>
        </w:rPr>
        <w:t xml:space="preserve"> </w:t>
      </w:r>
      <w:r w:rsidRPr="00F230F1">
        <w:rPr>
          <w:rFonts w:asciiTheme="majorBidi" w:eastAsia="Calibri" w:hAnsiTheme="majorBidi" w:cstheme="majorBidi"/>
          <w:i/>
          <w:iCs/>
          <w:sz w:val="20"/>
          <w:szCs w:val="20"/>
        </w:rPr>
        <w:t>Itqān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sz w:val="20"/>
          <w:szCs w:val="20"/>
          <w:lang w:bidi="ar-AE"/>
        </w:rPr>
        <w:t xml:space="preserve">et </w:t>
      </w:r>
      <w:r w:rsidRPr="00F230F1">
        <w:rPr>
          <w:rFonts w:asciiTheme="majorBidi" w:eastAsia="Calibri" w:hAnsiTheme="majorBidi" w:cstheme="majorBidi"/>
          <w:i/>
          <w:iCs/>
          <w:sz w:val="20"/>
          <w:szCs w:val="20"/>
          <w:lang w:bidi="ar-AE"/>
        </w:rPr>
        <w:t>Le Coran est-il authentique ?</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w:t>
      </w:r>
    </w:p>
  </w:footnote>
  <w:footnote w:id="273">
    <w:p w14:paraId="01A78909" w14:textId="77777777" w:rsidR="009C3BB9" w:rsidRPr="00F230F1" w:rsidRDefault="009C3BB9" w:rsidP="00F230F1">
      <w:pPr>
        <w:contextualSpacing/>
        <w:jc w:val="both"/>
        <w:rPr>
          <w:rFonts w:asciiTheme="majorBidi" w:eastAsia="SimSun" w:hAnsiTheme="majorBidi" w:cstheme="majorBidi"/>
          <w:sz w:val="20"/>
          <w:szCs w:val="20"/>
          <w:lang w:eastAsia="zh-CN"/>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lang w:bidi="ar-EG"/>
        </w:rPr>
        <w:t xml:space="preserve">Al Karjousli, Soufian, « Un Coran en ‘sept corps’. Transcriptions et écriture coranique », in Alain Milon et Marc Perelman (dir.),  </w:t>
      </w:r>
      <w:r w:rsidRPr="00F230F1">
        <w:rPr>
          <w:rFonts w:asciiTheme="majorBidi" w:hAnsiTheme="majorBidi" w:cstheme="majorBidi"/>
          <w:i/>
          <w:iCs/>
          <w:sz w:val="20"/>
          <w:szCs w:val="20"/>
          <w:lang w:bidi="ar-EG"/>
        </w:rPr>
        <w:t>Le livre au corps</w:t>
      </w:r>
      <w:r w:rsidRPr="00F230F1">
        <w:rPr>
          <w:rFonts w:asciiTheme="majorBidi" w:hAnsiTheme="majorBidi" w:cstheme="majorBidi"/>
          <w:sz w:val="20"/>
          <w:szCs w:val="20"/>
          <w:lang w:bidi="ar-EG"/>
        </w:rPr>
        <w:t>, Presses Universitaires de Paris Ouest, Nanterre, 2012</w:t>
      </w:r>
      <w:r w:rsidRPr="00F230F1">
        <w:rPr>
          <w:rFonts w:asciiTheme="majorBidi" w:hAnsiTheme="majorBidi" w:cstheme="majorBidi"/>
          <w:sz w:val="20"/>
          <w:szCs w:val="20"/>
        </w:rPr>
        <w:t xml:space="preserve">, p. 216 </w:t>
      </w:r>
      <w:r w:rsidRPr="00F230F1">
        <w:rPr>
          <w:rFonts w:asciiTheme="majorBidi" w:hAnsiTheme="majorBidi" w:cstheme="majorBidi"/>
          <w:i/>
          <w:iCs/>
          <w:sz w:val="20"/>
          <w:szCs w:val="20"/>
        </w:rPr>
        <w:t>sq</w:t>
      </w:r>
      <w:r w:rsidRPr="00F230F1">
        <w:rPr>
          <w:rFonts w:asciiTheme="majorBidi" w:hAnsiTheme="majorBidi" w:cstheme="majorBidi"/>
          <w:sz w:val="20"/>
          <w:szCs w:val="20"/>
        </w:rPr>
        <w:t>.</w:t>
      </w:r>
    </w:p>
  </w:footnote>
  <w:footnote w:id="274">
    <w:p w14:paraId="1340CF20" w14:textId="77777777" w:rsidR="009C3BB9" w:rsidRPr="00F230F1" w:rsidRDefault="009C3BB9" w:rsidP="00F230F1">
      <w:pPr>
        <w:contextualSpacing/>
        <w:jc w:val="both"/>
        <w:rPr>
          <w:rFonts w:asciiTheme="majorBidi" w:eastAsia="Times New Roman"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eastAsia="Arial Unicode MS" w:hAnsiTheme="majorBidi" w:cstheme="majorBidi"/>
          <w:color w:val="330000"/>
          <w:sz w:val="20"/>
          <w:szCs w:val="20"/>
        </w:rPr>
        <w:t xml:space="preserve">À propos du rôle qu’Aristote donne au cœur, voir le Traité </w:t>
      </w:r>
      <w:r w:rsidRPr="00F230F1">
        <w:rPr>
          <w:rFonts w:asciiTheme="majorBidi" w:hAnsiTheme="majorBidi" w:cstheme="majorBidi"/>
          <w:i/>
          <w:iCs/>
          <w:sz w:val="20"/>
          <w:szCs w:val="20"/>
        </w:rPr>
        <w:t>Parties des animaux</w:t>
      </w:r>
      <w:r w:rsidRPr="00F230F1">
        <w:rPr>
          <w:rFonts w:asciiTheme="majorBidi" w:eastAsia="Arial Unicode MS" w:hAnsiTheme="majorBidi" w:cstheme="majorBidi"/>
          <w:color w:val="330000"/>
          <w:sz w:val="20"/>
          <w:szCs w:val="20"/>
        </w:rPr>
        <w:t>, liv. III, ch. IV</w:t>
      </w:r>
      <w:r w:rsidRPr="00F230F1">
        <w:rPr>
          <w:rFonts w:asciiTheme="majorBidi" w:hAnsiTheme="majorBidi" w:cstheme="majorBidi"/>
          <w:sz w:val="20"/>
          <w:szCs w:val="20"/>
        </w:rPr>
        <w:t>.</w:t>
      </w:r>
    </w:p>
  </w:footnote>
  <w:footnote w:id="275">
    <w:p w14:paraId="3856C296" w14:textId="77777777" w:rsidR="009C3BB9" w:rsidRPr="00F230F1" w:rsidRDefault="009C3BB9" w:rsidP="00F230F1">
      <w:pPr>
        <w:pStyle w:val="Titre1"/>
        <w:shd w:val="clear" w:color="auto" w:fill="FFFFFF"/>
        <w:spacing w:before="0" w:beforeAutospacing="0" w:after="0" w:afterAutospacing="0"/>
        <w:contextualSpacing/>
        <w:jc w:val="both"/>
        <w:rPr>
          <w:rStyle w:val="Appelnotedebasdep"/>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terme </w:t>
      </w:r>
      <w:r w:rsidRPr="00F230F1">
        <w:rPr>
          <w:rFonts w:asciiTheme="majorBidi" w:hAnsiTheme="majorBidi" w:cstheme="majorBidi"/>
          <w:i/>
          <w:iCs/>
          <w:sz w:val="20"/>
          <w:szCs w:val="20"/>
        </w:rPr>
        <w:t>rasm</w:t>
      </w:r>
      <w:r w:rsidRPr="00F230F1">
        <w:rPr>
          <w:rFonts w:asciiTheme="majorBidi" w:hAnsiTheme="majorBidi" w:cstheme="majorBidi"/>
          <w:sz w:val="20"/>
          <w:szCs w:val="20"/>
        </w:rPr>
        <w:t xml:space="preserve"> (le tracé ou le ductus consonantique) désigne la manière de tracer les signes de l’écriture du Coran.</w:t>
      </w:r>
    </w:p>
  </w:footnote>
  <w:footnote w:id="276">
    <w:p w14:paraId="7373D02A"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51.</w:t>
      </w:r>
    </w:p>
  </w:footnote>
  <w:footnote w:id="277">
    <w:p w14:paraId="3D05D15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KW"/>
        </w:rPr>
        <w:t>Antoine Compagnon,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lang w:bidi="ar-KW"/>
        </w:rPr>
        <w:t>Le Démon de la théorie</w:t>
      </w:r>
      <w:r w:rsidRPr="00F230F1">
        <w:rPr>
          <w:rFonts w:asciiTheme="majorBidi" w:eastAsia="Times New Roman" w:hAnsiTheme="majorBidi" w:cstheme="majorBidi"/>
          <w:sz w:val="20"/>
          <w:szCs w:val="20"/>
          <w:lang w:bidi="ar-KW"/>
        </w:rPr>
        <w:t xml:space="preserve">, 1998, </w:t>
      </w:r>
      <w:r w:rsidRPr="00F230F1">
        <w:rPr>
          <w:rFonts w:asciiTheme="majorBidi" w:eastAsia="Times New Roman" w:hAnsiTheme="majorBidi" w:cstheme="majorBidi"/>
          <w:sz w:val="20"/>
          <w:szCs w:val="20"/>
        </w:rPr>
        <w:t>p. 86</w:t>
      </w:r>
      <w:r w:rsidRPr="00F230F1">
        <w:rPr>
          <w:rFonts w:asciiTheme="majorBidi" w:eastAsia="Times New Roman" w:hAnsiTheme="majorBidi" w:cstheme="majorBidi"/>
          <w:sz w:val="20"/>
          <w:szCs w:val="20"/>
          <w:lang w:bidi="ar-KW"/>
        </w:rPr>
        <w:t>.</w:t>
      </w:r>
    </w:p>
  </w:footnote>
  <w:footnote w:id="278">
    <w:p w14:paraId="233D0100"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dictionnaire encyclopédique de la langue arabe </w:t>
      </w:r>
      <w:r w:rsidRPr="00F230F1">
        <w:rPr>
          <w:rFonts w:asciiTheme="majorBidi" w:hAnsiTheme="majorBidi" w:cstheme="majorBidi"/>
          <w:i/>
          <w:iCs/>
          <w:sz w:val="20"/>
          <w:szCs w:val="20"/>
          <w:lang w:bidi="ar-AE"/>
        </w:rPr>
        <w:t>Lisān al-ʿArab</w:t>
      </w:r>
      <w:r w:rsidRPr="00F230F1">
        <w:rPr>
          <w:rFonts w:asciiTheme="majorBidi" w:hAnsiTheme="majorBidi" w:cstheme="majorBidi"/>
          <w:sz w:val="20"/>
          <w:szCs w:val="20"/>
          <w:lang w:bidi="ar-AE"/>
        </w:rPr>
        <w:t xml:space="preserve"> (rédigé par l’encyclopédiste Abū al-Faḍl Jamāl ad-Dīn Muḥammad Ibn Manẓūr (1233-1311)) souligne que le mot </w:t>
      </w:r>
      <w:r w:rsidRPr="00F230F1">
        <w:rPr>
          <w:rFonts w:asciiTheme="majorBidi" w:hAnsiTheme="majorBidi" w:cstheme="majorBidi"/>
          <w:i/>
          <w:iCs/>
          <w:sz w:val="20"/>
          <w:szCs w:val="20"/>
          <w:lang w:bidi="ar-AE"/>
        </w:rPr>
        <w:t>al-jahd</w:t>
      </w:r>
      <w:r w:rsidRPr="00F230F1">
        <w:rPr>
          <w:rFonts w:asciiTheme="majorBidi" w:hAnsiTheme="majorBidi" w:cstheme="majorBidi"/>
          <w:sz w:val="20"/>
          <w:szCs w:val="20"/>
          <w:lang w:bidi="ar-AE"/>
        </w:rPr>
        <w:t xml:space="preserve"> [l’effort] est une dénomination du </w:t>
      </w:r>
      <w:r w:rsidRPr="00F230F1">
        <w:rPr>
          <w:rFonts w:asciiTheme="majorBidi" w:hAnsiTheme="majorBidi" w:cstheme="majorBidi"/>
          <w:i/>
          <w:iCs/>
          <w:sz w:val="20"/>
          <w:szCs w:val="20"/>
          <w:lang w:bidi="ar-AE"/>
        </w:rPr>
        <w:t>nikāḥ</w:t>
      </w:r>
      <w:r w:rsidRPr="00F230F1">
        <w:rPr>
          <w:rFonts w:asciiTheme="majorBidi" w:hAnsiTheme="majorBidi" w:cstheme="majorBidi"/>
          <w:sz w:val="20"/>
          <w:szCs w:val="20"/>
          <w:lang w:bidi="ar-AE"/>
        </w:rPr>
        <w:t xml:space="preserve"> [acte sexuel]. Le prophète Muḥammad lui-même aurait utilisé le verbe </w:t>
      </w:r>
      <w:r w:rsidRPr="00F230F1">
        <w:rPr>
          <w:rFonts w:asciiTheme="majorBidi" w:hAnsiTheme="majorBidi" w:cstheme="majorBidi"/>
          <w:i/>
          <w:iCs/>
          <w:sz w:val="20"/>
          <w:szCs w:val="20"/>
          <w:lang w:bidi="ar-AE"/>
        </w:rPr>
        <w:t>jahada</w:t>
      </w:r>
      <w:r w:rsidRPr="00F230F1">
        <w:rPr>
          <w:rFonts w:asciiTheme="majorBidi" w:hAnsiTheme="majorBidi" w:cstheme="majorBidi"/>
          <w:sz w:val="20"/>
          <w:szCs w:val="20"/>
          <w:lang w:bidi="ar-AE"/>
        </w:rPr>
        <w:t xml:space="preserve"> [faire un effort] pour désigner le rapport sexuel (dans un hadith sur </w:t>
      </w:r>
      <w:r w:rsidRPr="00F230F1">
        <w:rPr>
          <w:rFonts w:asciiTheme="majorBidi" w:hAnsiTheme="majorBidi" w:cstheme="majorBidi"/>
          <w:i/>
          <w:iCs/>
          <w:sz w:val="20"/>
          <w:szCs w:val="20"/>
          <w:lang w:bidi="ar-AE"/>
        </w:rPr>
        <w:t>al-ghusl</w:t>
      </w:r>
      <w:r w:rsidRPr="00F230F1">
        <w:rPr>
          <w:rFonts w:asciiTheme="majorBidi" w:hAnsiTheme="majorBidi" w:cstheme="majorBidi"/>
          <w:sz w:val="20"/>
          <w:szCs w:val="20"/>
          <w:lang w:bidi="ar-AE"/>
        </w:rPr>
        <w:t xml:space="preserve"> [les ablutions rituelles] rapporté par Al-Bukhārī et Muslim) :</w:t>
      </w:r>
    </w:p>
    <w:p w14:paraId="765C2348" w14:textId="77777777" w:rsidR="009C3BB9" w:rsidRPr="00F230F1" w:rsidRDefault="009C3BB9" w:rsidP="00F230F1">
      <w:pPr>
        <w:contextualSpacing/>
        <w:jc w:val="both"/>
        <w:rPr>
          <w:rFonts w:asciiTheme="majorBidi" w:hAnsiTheme="majorBidi" w:cstheme="majorBidi"/>
          <w:sz w:val="20"/>
          <w:szCs w:val="20"/>
          <w:lang w:bidi="ar-AE"/>
        </w:rPr>
      </w:pPr>
      <w:r w:rsidRPr="00F230F1">
        <w:rPr>
          <w:rFonts w:asciiTheme="majorBidi" w:hAnsiTheme="majorBidi" w:cstheme="majorBidi"/>
          <w:sz w:val="20"/>
          <w:szCs w:val="20"/>
          <w:rtl/>
          <w:lang w:bidi="ar-AE"/>
        </w:rPr>
        <w:t xml:space="preserve">“إذا جلسَ [الرَّجُلُ] بين شُعَبِها الأربع [يدَيْ المرأةِ ورِجْلَيها] ثمَّ </w:t>
      </w:r>
      <w:r w:rsidRPr="00F230F1">
        <w:rPr>
          <w:rFonts w:asciiTheme="majorBidi" w:hAnsiTheme="majorBidi" w:cstheme="majorBidi"/>
          <w:i/>
          <w:iCs/>
          <w:sz w:val="20"/>
          <w:szCs w:val="20"/>
          <w:rtl/>
          <w:lang w:bidi="ar-AE"/>
        </w:rPr>
        <w:t>جهَدَها</w:t>
      </w:r>
      <w:r w:rsidRPr="00F230F1">
        <w:rPr>
          <w:rFonts w:asciiTheme="majorBidi" w:hAnsiTheme="majorBidi" w:cstheme="majorBidi"/>
          <w:sz w:val="20"/>
          <w:szCs w:val="20"/>
          <w:rtl/>
          <w:lang w:bidi="ar-AE"/>
        </w:rPr>
        <w:t xml:space="preserve"> [جامَعَها] فقد وجبَ الغسلُ."</w:t>
      </w:r>
    </w:p>
    <w:p w14:paraId="47C26988" w14:textId="77777777" w:rsidR="009C3BB9" w:rsidRPr="00F230F1" w:rsidRDefault="009C3BB9" w:rsidP="00F230F1">
      <w:pPr>
        <w:contextualSpacing/>
        <w:jc w:val="both"/>
        <w:rPr>
          <w:rFonts w:asciiTheme="majorBidi" w:hAnsiTheme="majorBidi" w:cstheme="majorBidi"/>
          <w:sz w:val="20"/>
          <w:szCs w:val="20"/>
          <w:lang w:bidi="ar-AE"/>
        </w:rPr>
      </w:pPr>
      <w:r w:rsidRPr="00F230F1">
        <w:rPr>
          <w:rFonts w:asciiTheme="majorBidi" w:hAnsiTheme="majorBidi" w:cstheme="majorBidi"/>
          <w:sz w:val="20"/>
          <w:szCs w:val="20"/>
        </w:rPr>
        <w:t>[</w:t>
      </w:r>
      <w:r w:rsidRPr="00F230F1">
        <w:rPr>
          <w:rFonts w:asciiTheme="majorBidi" w:hAnsiTheme="majorBidi" w:cstheme="majorBidi"/>
          <w:sz w:val="20"/>
          <w:szCs w:val="20"/>
          <w:lang w:bidi="ar-AE"/>
        </w:rPr>
        <w:t>« Après s’être accouplés, le mari et la femme doivent aller prendre un bain ».</w:t>
      </w:r>
      <w:r w:rsidRPr="00F230F1">
        <w:rPr>
          <w:rFonts w:asciiTheme="majorBidi" w:hAnsiTheme="majorBidi" w:cstheme="majorBidi"/>
          <w:sz w:val="20"/>
          <w:szCs w:val="20"/>
        </w:rPr>
        <w:t>]</w:t>
      </w:r>
    </w:p>
  </w:footnote>
  <w:footnote w:id="279">
    <w:p w14:paraId="0857614C" w14:textId="77777777" w:rsidR="009C3BB9" w:rsidRPr="00F230F1" w:rsidRDefault="009C3BB9" w:rsidP="00F230F1">
      <w:pPr>
        <w:tabs>
          <w:tab w:val="left" w:pos="284"/>
        </w:tabs>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shd w:val="clear" w:color="auto" w:fill="FFFFFF"/>
        </w:rPr>
        <w:t xml:space="preserve"> </w:t>
      </w:r>
      <w:r w:rsidRPr="00F230F1">
        <w:rPr>
          <w:rFonts w:asciiTheme="majorBidi" w:hAnsiTheme="majorBidi" w:cstheme="majorBidi"/>
          <w:sz w:val="20"/>
          <w:szCs w:val="20"/>
          <w:lang w:bidi="ar-AE"/>
        </w:rPr>
        <w:t xml:space="preserve">Le terme </w:t>
      </w:r>
      <w:r w:rsidRPr="00F230F1">
        <w:rPr>
          <w:rFonts w:asciiTheme="majorBidi" w:hAnsiTheme="majorBidi" w:cstheme="majorBidi"/>
          <w:i/>
          <w:iCs/>
          <w:sz w:val="20"/>
          <w:szCs w:val="20"/>
          <w:lang w:bidi="ar-AE"/>
        </w:rPr>
        <w:t>anṣārī</w:t>
      </w:r>
      <w:r w:rsidRPr="00F230F1">
        <w:rPr>
          <w:rFonts w:asciiTheme="majorBidi" w:hAnsiTheme="majorBidi" w:cstheme="majorBidi"/>
          <w:sz w:val="20"/>
          <w:szCs w:val="20"/>
          <w:lang w:bidi="ar-AE"/>
        </w:rPr>
        <w:t xml:space="preserve"> est une </w:t>
      </w:r>
      <w:r w:rsidRPr="00F230F1">
        <w:rPr>
          <w:rFonts w:asciiTheme="majorBidi" w:hAnsiTheme="majorBidi" w:cstheme="majorBidi"/>
          <w:i/>
          <w:iCs/>
          <w:sz w:val="20"/>
          <w:szCs w:val="20"/>
          <w:lang w:bidi="ar-AE"/>
        </w:rPr>
        <w:t>nisba</w:t>
      </w:r>
      <w:r w:rsidRPr="00F230F1">
        <w:rPr>
          <w:rFonts w:asciiTheme="majorBidi" w:hAnsiTheme="majorBidi" w:cstheme="majorBidi"/>
          <w:sz w:val="20"/>
          <w:szCs w:val="20"/>
          <w:lang w:bidi="ar-AE"/>
        </w:rPr>
        <w:t xml:space="preserve"> [gentilé] qui désigne un membre des </w:t>
      </w:r>
      <w:r w:rsidRPr="00F230F1">
        <w:rPr>
          <w:rFonts w:asciiTheme="majorBidi" w:hAnsiTheme="majorBidi" w:cstheme="majorBidi"/>
          <w:i/>
          <w:iCs/>
          <w:sz w:val="20"/>
          <w:szCs w:val="20"/>
          <w:lang w:bidi="ar-AE"/>
        </w:rPr>
        <w:t>Anṣār</w:t>
      </w:r>
      <w:r w:rsidRPr="00F230F1">
        <w:rPr>
          <w:rFonts w:asciiTheme="majorBidi" w:hAnsiTheme="majorBidi" w:cstheme="majorBidi"/>
          <w:sz w:val="20"/>
          <w:szCs w:val="20"/>
          <w:lang w:bidi="ar-AE"/>
        </w:rPr>
        <w:t xml:space="preserve">. Les </w:t>
      </w:r>
      <w:r w:rsidRPr="00F230F1">
        <w:rPr>
          <w:rFonts w:asciiTheme="majorBidi" w:hAnsiTheme="majorBidi" w:cstheme="majorBidi"/>
          <w:i/>
          <w:iCs/>
          <w:sz w:val="20"/>
          <w:szCs w:val="20"/>
          <w:lang w:bidi="ar-AE"/>
        </w:rPr>
        <w:t>Anṣār</w:t>
      </w:r>
      <w:r w:rsidRPr="00F230F1">
        <w:rPr>
          <w:rFonts w:asciiTheme="majorBidi" w:hAnsiTheme="majorBidi" w:cstheme="majorBidi"/>
          <w:sz w:val="20"/>
          <w:szCs w:val="20"/>
          <w:lang w:bidi="ar-AE"/>
        </w:rPr>
        <w:t xml:space="preserve"> étaient les partisans ou auxiliaires de Muḥammad originaires de </w:t>
      </w:r>
      <w:r w:rsidRPr="00F230F1">
        <w:rPr>
          <w:rFonts w:asciiTheme="majorBidi" w:hAnsiTheme="majorBidi" w:cstheme="majorBidi"/>
          <w:iCs/>
          <w:sz w:val="20"/>
          <w:szCs w:val="20"/>
          <w:lang w:bidi="ar-AE"/>
        </w:rPr>
        <w:t>Yathrib</w:t>
      </w:r>
      <w:r w:rsidRPr="00F230F1">
        <w:rPr>
          <w:rFonts w:asciiTheme="majorBidi" w:hAnsiTheme="majorBidi" w:cstheme="majorBidi"/>
          <w:sz w:val="20"/>
          <w:szCs w:val="20"/>
          <w:lang w:bidi="ar-AE"/>
        </w:rPr>
        <w:t> (Médine), par opposition aux </w:t>
      </w:r>
      <w:r w:rsidRPr="00F230F1">
        <w:rPr>
          <w:rFonts w:asciiTheme="majorBidi" w:hAnsiTheme="majorBidi" w:cstheme="majorBidi"/>
          <w:i/>
          <w:iCs/>
          <w:sz w:val="20"/>
          <w:szCs w:val="20"/>
          <w:lang w:bidi="ar-AE"/>
        </w:rPr>
        <w:t>muhājirūn</w:t>
      </w:r>
      <w:r w:rsidRPr="00F230F1">
        <w:rPr>
          <w:rFonts w:asciiTheme="majorBidi" w:hAnsiTheme="majorBidi" w:cstheme="majorBidi"/>
          <w:sz w:val="20"/>
          <w:szCs w:val="20"/>
          <w:lang w:bidi="ar-AE"/>
        </w:rPr>
        <w:t> mecquois qui s’étaient expatriés de La Mecque pour rejoindre Muḥammad.</w:t>
      </w:r>
    </w:p>
  </w:footnote>
  <w:footnote w:id="280">
    <w:p w14:paraId="1B3C60C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Le Coran. Essai de traduction</w:t>
      </w:r>
      <w:r w:rsidRPr="00F230F1">
        <w:rPr>
          <w:rFonts w:asciiTheme="majorBidi" w:hAnsiTheme="majorBidi" w:cstheme="majorBidi"/>
          <w:sz w:val="20"/>
          <w:szCs w:val="20"/>
        </w:rPr>
        <w:t xml:space="preserve"> par Jacques Berque, Albin Michel, 1990, p. 354.</w:t>
      </w:r>
    </w:p>
  </w:footnote>
  <w:footnote w:id="281">
    <w:p w14:paraId="76586BC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bidi="ar-AE"/>
        </w:rPr>
        <w:t>Maqāyīs al-lugha</w:t>
      </w:r>
      <w:r w:rsidRPr="00F230F1">
        <w:rPr>
          <w:rFonts w:asciiTheme="majorBidi" w:eastAsia="Times New Roman" w:hAnsiTheme="majorBidi" w:cstheme="majorBidi"/>
          <w:sz w:val="20"/>
          <w:szCs w:val="20"/>
          <w:lang w:eastAsia="fr-FR" w:bidi="ar-AE"/>
        </w:rPr>
        <w:t xml:space="preserve">, 1/320 et </w:t>
      </w:r>
      <w:r w:rsidRPr="00F230F1">
        <w:rPr>
          <w:rFonts w:asciiTheme="majorBidi" w:eastAsia="Times New Roman" w:hAnsiTheme="majorBidi" w:cstheme="majorBidi"/>
          <w:i/>
          <w:iCs/>
          <w:sz w:val="20"/>
          <w:szCs w:val="20"/>
          <w:lang w:eastAsia="fr-FR" w:bidi="ar-AE"/>
        </w:rPr>
        <w:t>Tāj al-ʿarūs</w:t>
      </w:r>
      <w:r w:rsidRPr="00F230F1">
        <w:rPr>
          <w:rFonts w:asciiTheme="majorBidi" w:eastAsia="Times New Roman" w:hAnsiTheme="majorBidi" w:cstheme="majorBidi"/>
          <w:sz w:val="20"/>
          <w:szCs w:val="20"/>
          <w:lang w:eastAsia="fr-FR" w:bidi="ar-AE"/>
        </w:rPr>
        <w:t>, 5/179.</w:t>
      </w:r>
    </w:p>
  </w:footnote>
  <w:footnote w:id="282">
    <w:p w14:paraId="392CB7A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bidi="ar-AE"/>
        </w:rPr>
        <w:t>Maʿānī al-qurʾān wa-ʾiʿrābuhu</w:t>
      </w:r>
      <w:r w:rsidRPr="00F230F1">
        <w:rPr>
          <w:rFonts w:asciiTheme="majorBidi" w:eastAsia="Times New Roman" w:hAnsiTheme="majorBidi" w:cstheme="majorBidi"/>
          <w:sz w:val="20"/>
          <w:szCs w:val="20"/>
          <w:lang w:eastAsia="fr-FR" w:bidi="ar-AE"/>
        </w:rPr>
        <w:t xml:space="preserve">, 3/423 et </w:t>
      </w:r>
      <w:r w:rsidRPr="00F230F1">
        <w:rPr>
          <w:rFonts w:asciiTheme="majorBidi" w:eastAsia="Times New Roman" w:hAnsiTheme="majorBidi" w:cstheme="majorBidi"/>
          <w:i/>
          <w:iCs/>
          <w:sz w:val="20"/>
          <w:szCs w:val="20"/>
          <w:lang w:eastAsia="fr-FR" w:bidi="ar-AE"/>
        </w:rPr>
        <w:t>Tahdhīb al-lugha</w:t>
      </w:r>
      <w:r w:rsidRPr="00F230F1">
        <w:rPr>
          <w:rFonts w:asciiTheme="majorBidi" w:eastAsia="Times New Roman" w:hAnsiTheme="majorBidi" w:cstheme="majorBidi"/>
          <w:sz w:val="20"/>
          <w:szCs w:val="20"/>
          <w:lang w:eastAsia="fr-FR" w:bidi="ar-AE"/>
        </w:rPr>
        <w:t>, 14/266.</w:t>
      </w:r>
    </w:p>
  </w:footnote>
  <w:footnote w:id="283">
    <w:p w14:paraId="038F027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bidi="ar-AE"/>
        </w:rPr>
        <w:t>Maʿānī al-qurʾān al-karīm</w:t>
      </w:r>
      <w:r w:rsidRPr="00F230F1">
        <w:rPr>
          <w:rFonts w:asciiTheme="majorBidi" w:eastAsia="Times New Roman" w:hAnsiTheme="majorBidi" w:cstheme="majorBidi"/>
          <w:sz w:val="20"/>
          <w:szCs w:val="20"/>
          <w:lang w:eastAsia="fr-FR" w:bidi="ar-AE"/>
        </w:rPr>
        <w:t>, 4/400.</w:t>
      </w:r>
    </w:p>
  </w:footnote>
  <w:footnote w:id="284">
    <w:p w14:paraId="205DBBC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bidi="ar-AE"/>
        </w:rPr>
        <w:t>Aḥkām al-qurʾān</w:t>
      </w:r>
      <w:r w:rsidRPr="00F230F1">
        <w:rPr>
          <w:rFonts w:asciiTheme="majorBidi" w:eastAsia="Times New Roman" w:hAnsiTheme="majorBidi" w:cstheme="majorBidi"/>
          <w:sz w:val="20"/>
          <w:szCs w:val="20"/>
          <w:lang w:eastAsia="fr-FR" w:bidi="ar-AE"/>
        </w:rPr>
        <w:t xml:space="preserve"> d’Ibn Al-ʿArabī, 3/284.</w:t>
      </w:r>
    </w:p>
  </w:footnote>
  <w:footnote w:id="285">
    <w:p w14:paraId="46F8F45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bidi="ar-AE"/>
        </w:rPr>
        <w:t>Maqāyīs al-lugha</w:t>
      </w:r>
      <w:r w:rsidRPr="00F230F1">
        <w:rPr>
          <w:rFonts w:asciiTheme="majorBidi" w:eastAsia="Times New Roman" w:hAnsiTheme="majorBidi" w:cstheme="majorBidi"/>
          <w:sz w:val="20"/>
          <w:szCs w:val="20"/>
          <w:lang w:eastAsia="fr-FR" w:bidi="ar-AE"/>
        </w:rPr>
        <w:t>, 1/320.</w:t>
      </w:r>
    </w:p>
  </w:footnote>
  <w:footnote w:id="286">
    <w:p w14:paraId="57C298E7"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eastAsia="Times New Roman" w:hAnsiTheme="majorBidi" w:cstheme="majorBidi"/>
          <w:i/>
          <w:iCs/>
          <w:sz w:val="20"/>
          <w:szCs w:val="20"/>
          <w:lang w:bidi="ar-AE"/>
        </w:rPr>
        <w:t>Al-Muzhir fī ʿulūm al-lugha wa-anwāʿu-hā</w:t>
      </w:r>
      <w:r w:rsidRPr="00F230F1">
        <w:rPr>
          <w:rFonts w:asciiTheme="majorBidi" w:eastAsia="Times New Roman" w:hAnsiTheme="majorBidi" w:cstheme="majorBidi"/>
          <w:sz w:val="20"/>
          <w:szCs w:val="20"/>
          <w:lang w:bidi="ar-AE"/>
        </w:rPr>
        <w:t xml:space="preserve">, 1/301, </w:t>
      </w:r>
      <w:r w:rsidRPr="00F230F1">
        <w:rPr>
          <w:rFonts w:asciiTheme="majorBidi" w:eastAsia="Calibri" w:hAnsiTheme="majorBidi" w:cstheme="majorBidi"/>
          <w:sz w:val="20"/>
          <w:szCs w:val="20"/>
        </w:rPr>
        <w:t>Dār al-kutub al-ʿilmīya,</w:t>
      </w:r>
      <w:r w:rsidRPr="00F230F1">
        <w:rPr>
          <w:rFonts w:asciiTheme="majorBidi" w:eastAsia="Times New Roman" w:hAnsiTheme="majorBidi" w:cstheme="majorBidi"/>
          <w:sz w:val="20"/>
          <w:szCs w:val="20"/>
          <w:lang w:bidi="ar-AE"/>
        </w:rPr>
        <w:t xml:space="preserve"> Beyrouth, 1998. </w:t>
      </w:r>
      <w:r w:rsidRPr="00F230F1">
        <w:rPr>
          <w:rFonts w:asciiTheme="majorBidi" w:hAnsiTheme="majorBidi" w:cstheme="majorBidi"/>
          <w:sz w:val="20"/>
          <w:szCs w:val="20"/>
          <w:lang w:bidi="ar-AE"/>
        </w:rPr>
        <w:t xml:space="preserve">Voir le site </w:t>
      </w:r>
      <w:r w:rsidRPr="00F230F1">
        <w:rPr>
          <w:rFonts w:asciiTheme="majorBidi" w:hAnsiTheme="majorBidi" w:cstheme="majorBidi"/>
          <w:i/>
          <w:iCs/>
          <w:sz w:val="20"/>
          <w:szCs w:val="20"/>
          <w:lang w:bidi="ar-AE"/>
        </w:rPr>
        <w:t>Multaqā ahl at-tafsīr</w:t>
      </w:r>
      <w:r w:rsidRPr="00F230F1">
        <w:rPr>
          <w:rFonts w:asciiTheme="majorBidi" w:hAnsiTheme="majorBidi" w:cstheme="majorBidi"/>
          <w:sz w:val="20"/>
          <w:szCs w:val="20"/>
          <w:lang w:bidi="ar-AE"/>
        </w:rPr>
        <w:t xml:space="preserve"> : </w:t>
      </w:r>
      <w:hyperlink r:id="rId99" w:anchor="ixzz2SpMHI2Yl" w:history="1">
        <w:r w:rsidRPr="00F230F1">
          <w:rPr>
            <w:rStyle w:val="Lienhypertexte"/>
            <w:rFonts w:asciiTheme="majorBidi" w:hAnsiTheme="majorBidi" w:cstheme="majorBidi"/>
            <w:sz w:val="20"/>
            <w:szCs w:val="20"/>
            <w:lang w:bidi="ar-AE"/>
          </w:rPr>
          <w:t>http://www.tafsir.net/vb/tafsir28856/#ixzz2SpMHI2Yl</w:t>
        </w:r>
      </w:hyperlink>
      <w:r w:rsidRPr="00F230F1">
        <w:rPr>
          <w:rFonts w:asciiTheme="majorBidi" w:hAnsiTheme="majorBidi" w:cstheme="majorBidi"/>
          <w:sz w:val="20"/>
          <w:szCs w:val="20"/>
          <w:lang w:bidi="ar-AE"/>
        </w:rPr>
        <w:t xml:space="preserve"> et</w:t>
      </w:r>
      <w:r w:rsidRPr="00F230F1">
        <w:rPr>
          <w:rFonts w:asciiTheme="majorBidi" w:hAnsiTheme="majorBidi" w:cstheme="majorBidi"/>
          <w:color w:val="FF0000"/>
          <w:sz w:val="20"/>
          <w:szCs w:val="20"/>
          <w:lang w:bidi="ar-AE"/>
        </w:rPr>
        <w:t xml:space="preserve"> </w:t>
      </w:r>
      <w:hyperlink r:id="rId100" w:anchor="ixzz2bJrcpflz" w:history="1">
        <w:r w:rsidRPr="00F230F1">
          <w:rPr>
            <w:rStyle w:val="Lienhypertexte"/>
            <w:rFonts w:asciiTheme="majorBidi" w:hAnsiTheme="majorBidi" w:cstheme="majorBidi"/>
            <w:sz w:val="20"/>
            <w:szCs w:val="20"/>
          </w:rPr>
          <w:t>http://vb.tafsir.net/tafsir28856/#ixzz2bJrcpflz</w:t>
        </w:r>
      </w:hyperlink>
      <w:r w:rsidRPr="00F230F1">
        <w:rPr>
          <w:rFonts w:asciiTheme="majorBidi" w:hAnsiTheme="majorBidi" w:cstheme="majorBidi"/>
          <w:sz w:val="20"/>
          <w:szCs w:val="20"/>
          <w:lang w:bidi="ar-AE"/>
        </w:rPr>
        <w:t xml:space="preserve"> (consultés le 31/07/2017).</w:t>
      </w:r>
    </w:p>
  </w:footnote>
  <w:footnote w:id="287">
    <w:p w14:paraId="5F70B3F4"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eastAsia="Times New Roman" w:hAnsiTheme="majorBidi" w:cstheme="majorBidi"/>
          <w:sz w:val="20"/>
          <w:szCs w:val="20"/>
        </w:rPr>
        <w:t>ʾ</w:t>
      </w:r>
      <w:r w:rsidRPr="00F230F1">
        <w:rPr>
          <w:rFonts w:asciiTheme="majorBidi" w:eastAsia="Times New Roman" w:hAnsiTheme="majorBidi" w:cstheme="majorBidi"/>
          <w:sz w:val="20"/>
          <w:szCs w:val="20"/>
          <w:lang w:bidi="ar-AE"/>
        </w:rPr>
        <w:t>Umayya ibn Abī Aṣ-</w:t>
      </w:r>
      <w:r w:rsidRPr="00F230F1">
        <w:rPr>
          <w:rFonts w:asciiTheme="majorBidi" w:eastAsia="Times New Roman" w:hAnsiTheme="majorBidi" w:cstheme="majorBidi"/>
          <w:sz w:val="20"/>
          <w:szCs w:val="20"/>
          <w:shd w:val="clear" w:color="auto" w:fill="FFFFFF"/>
        </w:rPr>
        <w:t>Ṣ</w:t>
      </w:r>
      <w:r w:rsidRPr="00F230F1">
        <w:rPr>
          <w:rFonts w:asciiTheme="majorBidi" w:eastAsia="Times New Roman" w:hAnsiTheme="majorBidi" w:cstheme="majorBidi"/>
          <w:sz w:val="20"/>
          <w:szCs w:val="20"/>
          <w:lang w:bidi="ar-AE"/>
        </w:rPr>
        <w:t>alt qui a refusé de se convertir à l’islam et dont la poésie a probablement influencé le</w:t>
      </w:r>
      <w:r w:rsidRPr="00F230F1">
        <w:rPr>
          <w:rFonts w:asciiTheme="majorBidi" w:eastAsia="Times New Roman" w:hAnsiTheme="majorBidi" w:cstheme="majorBidi"/>
          <w:color w:val="FF0000"/>
          <w:sz w:val="20"/>
          <w:szCs w:val="20"/>
          <w:lang w:bidi="ar-AE"/>
        </w:rPr>
        <w:t xml:space="preserve"> </w:t>
      </w:r>
      <w:r w:rsidRPr="00F230F1">
        <w:rPr>
          <w:rFonts w:asciiTheme="majorBidi" w:eastAsia="Times New Roman" w:hAnsiTheme="majorBidi" w:cstheme="majorBidi"/>
          <w:sz w:val="20"/>
          <w:szCs w:val="20"/>
          <w:lang w:bidi="ar-AE"/>
        </w:rPr>
        <w:t xml:space="preserve">Coran est un poète préislamique </w:t>
      </w:r>
      <w:r w:rsidRPr="00F230F1">
        <w:rPr>
          <w:rFonts w:asciiTheme="majorBidi" w:eastAsia="Times New Roman" w:hAnsiTheme="majorBidi" w:cstheme="majorBidi"/>
          <w:i/>
          <w:iCs/>
          <w:sz w:val="20"/>
          <w:szCs w:val="20"/>
          <w:lang w:bidi="ar-AE"/>
        </w:rPr>
        <w:t>ḥanīf</w:t>
      </w:r>
      <w:r w:rsidRPr="00F230F1">
        <w:rPr>
          <w:rFonts w:asciiTheme="majorBidi" w:eastAsia="Times New Roman" w:hAnsiTheme="majorBidi" w:cstheme="majorBidi"/>
          <w:sz w:val="20"/>
          <w:szCs w:val="20"/>
          <w:lang w:bidi="ar-AE"/>
        </w:rPr>
        <w:t xml:space="preserve"> [monothéiste abrahamique] mort en 632 environ. </w:t>
      </w:r>
      <w:r w:rsidRPr="00F230F1">
        <w:rPr>
          <w:rFonts w:asciiTheme="majorBidi" w:hAnsiTheme="majorBidi" w:cstheme="majorBidi"/>
          <w:sz w:val="20"/>
          <w:szCs w:val="20"/>
          <w:lang w:bidi="ar-AE"/>
        </w:rPr>
        <w:t xml:space="preserve">Le vers d’Umayyah ibn Abī Aṣ-Ṣalt est : </w:t>
      </w:r>
      <w:r w:rsidRPr="00F230F1">
        <w:rPr>
          <w:rFonts w:asciiTheme="majorBidi" w:hAnsiTheme="majorBidi" w:cstheme="majorBidi"/>
          <w:sz w:val="20"/>
          <w:szCs w:val="20"/>
          <w:rtl/>
          <w:lang w:bidi="ar-AE"/>
        </w:rPr>
        <w:t>"-شاخين آباطهم لم يقذِفوا تَـــفَــثاً / وينزِعوا عنهمُ قَمْلاً وصِئبانا."</w:t>
      </w:r>
      <w:r w:rsidRPr="00F230F1">
        <w:rPr>
          <w:rFonts w:asciiTheme="majorBidi" w:hAnsiTheme="majorBidi" w:cstheme="majorBidi"/>
          <w:sz w:val="20"/>
          <w:szCs w:val="20"/>
          <w:lang w:bidi="ar-AE"/>
        </w:rPr>
        <w:t xml:space="preserve"> (Ath-Thaʿlabī, </w:t>
      </w:r>
      <w:r w:rsidRPr="00F230F1">
        <w:rPr>
          <w:rFonts w:asciiTheme="majorBidi" w:hAnsiTheme="majorBidi" w:cstheme="majorBidi"/>
          <w:i/>
          <w:iCs/>
          <w:sz w:val="20"/>
          <w:szCs w:val="20"/>
          <w:lang w:bidi="ar-AE"/>
        </w:rPr>
        <w:t>Al-kashf wa-al-bayān</w:t>
      </w:r>
      <w:r w:rsidRPr="00F230F1">
        <w:rPr>
          <w:rFonts w:asciiTheme="majorBidi" w:hAnsiTheme="majorBidi" w:cstheme="majorBidi"/>
          <w:sz w:val="20"/>
          <w:szCs w:val="20"/>
          <w:lang w:bidi="ar-AE"/>
        </w:rPr>
        <w:t xml:space="preserve">, 4/297). Autre version : </w:t>
      </w:r>
      <w:r w:rsidRPr="00F230F1">
        <w:rPr>
          <w:rFonts w:asciiTheme="majorBidi" w:hAnsiTheme="majorBidi" w:cstheme="majorBidi"/>
          <w:sz w:val="20"/>
          <w:szCs w:val="20"/>
          <w:rtl/>
          <w:lang w:bidi="ar-AE"/>
        </w:rPr>
        <w:t>"-حلقوا رؤوسهمُ لم يحلِقوا تَـــفَــثاً / ولم يسلوا لهم قَمْلاً وصِئبانا."</w:t>
      </w:r>
      <w:r w:rsidRPr="00F230F1">
        <w:rPr>
          <w:rFonts w:asciiTheme="majorBidi" w:hAnsiTheme="majorBidi" w:cstheme="majorBidi"/>
          <w:sz w:val="20"/>
          <w:szCs w:val="20"/>
          <w:lang w:bidi="ar-AE"/>
        </w:rPr>
        <w:t>.</w:t>
      </w:r>
    </w:p>
  </w:footnote>
  <w:footnote w:id="288">
    <w:p w14:paraId="01B46FE9"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Aṭ-Ṭabrasī, al-Faḍl ibn Al-Ḥasan, </w:t>
      </w:r>
      <w:r w:rsidRPr="00F230F1">
        <w:rPr>
          <w:rFonts w:asciiTheme="majorBidi" w:hAnsiTheme="majorBidi" w:cstheme="majorBidi"/>
          <w:i/>
          <w:iCs/>
          <w:sz w:val="20"/>
          <w:szCs w:val="20"/>
          <w:lang w:bidi="ar-AE"/>
        </w:rPr>
        <w:t>Tafsīr majmaʿ al-bayān</w:t>
      </w:r>
      <w:r w:rsidRPr="00F230F1">
        <w:rPr>
          <w:rFonts w:asciiTheme="majorBidi" w:hAnsiTheme="majorBidi" w:cstheme="majorBidi"/>
          <w:sz w:val="20"/>
          <w:szCs w:val="20"/>
          <w:lang w:bidi="ar-AE"/>
        </w:rPr>
        <w:t>, tome 7, p. 146.</w:t>
      </w:r>
    </w:p>
  </w:footnote>
  <w:footnote w:id="289">
    <w:p w14:paraId="0235F01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bidi="ar-KW"/>
        </w:rPr>
        <w:t>Al-Faqīh</w:t>
      </w:r>
      <w:r w:rsidRPr="00F230F1">
        <w:rPr>
          <w:rFonts w:asciiTheme="majorBidi" w:eastAsia="Times New Roman" w:hAnsiTheme="majorBidi" w:cstheme="majorBidi"/>
          <w:sz w:val="20"/>
          <w:szCs w:val="20"/>
          <w:lang w:eastAsia="fr-FR" w:bidi="ar-KW"/>
        </w:rPr>
        <w:t xml:space="preserve"> 2 : 290/1435.</w:t>
      </w:r>
    </w:p>
  </w:footnote>
  <w:footnote w:id="290">
    <w:p w14:paraId="6A47C5B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KW"/>
        </w:rPr>
        <w:t xml:space="preserve">Ash-Shaykh Aṣ-Ṣadūq Ibn Bābawayh al-Qummī, </w:t>
      </w:r>
      <w:r w:rsidRPr="00F230F1">
        <w:rPr>
          <w:rFonts w:asciiTheme="majorBidi" w:eastAsia="Times New Roman" w:hAnsiTheme="majorBidi" w:cstheme="majorBidi"/>
          <w:i/>
          <w:iCs/>
          <w:sz w:val="20"/>
          <w:szCs w:val="20"/>
          <w:lang w:eastAsia="fr-FR" w:bidi="ar-KW"/>
        </w:rPr>
        <w:t>Maʿānī al-Akhbār</w:t>
      </w:r>
      <w:r w:rsidRPr="00F230F1">
        <w:rPr>
          <w:rFonts w:asciiTheme="majorBidi" w:eastAsia="Times New Roman" w:hAnsiTheme="majorBidi" w:cstheme="majorBidi"/>
          <w:sz w:val="20"/>
          <w:szCs w:val="20"/>
          <w:lang w:eastAsia="fr-FR" w:bidi="ar-KW"/>
        </w:rPr>
        <w:t>, 339/8.</w:t>
      </w:r>
    </w:p>
  </w:footnote>
  <w:footnote w:id="291">
    <w:p w14:paraId="5E7A0DBE" w14:textId="77777777" w:rsidR="009C3BB9" w:rsidRPr="00F230F1" w:rsidRDefault="009C3BB9" w:rsidP="00F230F1">
      <w:pPr>
        <w:contextualSpacing/>
        <w:jc w:val="both"/>
        <w:rPr>
          <w:rFonts w:asciiTheme="majorBidi"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Style w:val="apple-converted-space"/>
          <w:rFonts w:asciiTheme="majorBidi" w:hAnsiTheme="majorBidi" w:cstheme="majorBidi"/>
          <w:sz w:val="20"/>
          <w:szCs w:val="20"/>
          <w:shd w:val="clear" w:color="auto" w:fill="FFFFFF"/>
        </w:rPr>
        <w:t xml:space="preserve"> </w:t>
      </w:r>
      <w:r w:rsidRPr="00F230F1">
        <w:rPr>
          <w:rFonts w:asciiTheme="majorBidi" w:hAnsiTheme="majorBidi" w:cstheme="majorBidi"/>
          <w:i/>
          <w:iCs/>
          <w:sz w:val="20"/>
          <w:szCs w:val="20"/>
          <w:lang w:bidi="ar-AE"/>
        </w:rPr>
        <w:t>Qāmūs Burʿum al-Lugha, syriaque arabe</w:t>
      </w:r>
      <w:r w:rsidRPr="00F230F1">
        <w:rPr>
          <w:rFonts w:asciiTheme="majorBidi" w:hAnsiTheme="majorBidi" w:cstheme="majorBidi"/>
          <w:sz w:val="20"/>
          <w:szCs w:val="20"/>
          <w:lang w:bidi="ar-AE"/>
        </w:rPr>
        <w:t>, ʿŪdīsho Malko Ashīthā, édition 1997</w:t>
      </w:r>
      <w:r w:rsidRPr="00F230F1">
        <w:rPr>
          <w:rFonts w:asciiTheme="majorBidi" w:hAnsiTheme="majorBidi" w:cstheme="majorBidi"/>
          <w:sz w:val="20"/>
          <w:szCs w:val="20"/>
          <w:bdr w:val="none" w:sz="0" w:space="0" w:color="auto" w:frame="1"/>
          <w:shd w:val="clear" w:color="auto" w:fill="FFFFFF"/>
        </w:rPr>
        <w:t>.</w:t>
      </w:r>
    </w:p>
  </w:footnote>
  <w:footnote w:id="292">
    <w:p w14:paraId="0B6E10A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AE"/>
        </w:rPr>
        <w:t xml:space="preserve">Ash-Shanqītī, </w:t>
      </w:r>
      <w:r w:rsidRPr="00F230F1">
        <w:rPr>
          <w:rFonts w:asciiTheme="majorBidi" w:eastAsia="Times New Roman" w:hAnsiTheme="majorBidi" w:cstheme="majorBidi"/>
          <w:i/>
          <w:iCs/>
          <w:sz w:val="20"/>
          <w:szCs w:val="20"/>
          <w:lang w:eastAsia="fr-FR" w:bidi="ar-AE"/>
        </w:rPr>
        <w:t>Aḍwāʾ Al-Bayān</w:t>
      </w:r>
      <w:r w:rsidRPr="00F230F1">
        <w:rPr>
          <w:rFonts w:asciiTheme="majorBidi" w:eastAsia="Times New Roman" w:hAnsiTheme="majorBidi" w:cstheme="majorBidi"/>
          <w:sz w:val="20"/>
          <w:szCs w:val="20"/>
          <w:lang w:eastAsia="fr-FR" w:bidi="ar-AE"/>
        </w:rPr>
        <w:t>, 4/292.</w:t>
      </w:r>
    </w:p>
  </w:footnote>
  <w:footnote w:id="293">
    <w:p w14:paraId="1881E6AF" w14:textId="77777777" w:rsidR="009C3BB9" w:rsidRPr="00F230F1" w:rsidRDefault="009C3BB9" w:rsidP="00F230F1">
      <w:pPr>
        <w:contextualSpacing/>
        <w:jc w:val="both"/>
        <w:rPr>
          <w:rFonts w:asciiTheme="majorBidi"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Style w:val="apple-converted-space"/>
          <w:rFonts w:asciiTheme="majorBidi" w:hAnsiTheme="majorBidi" w:cstheme="majorBidi"/>
          <w:sz w:val="20"/>
          <w:szCs w:val="20"/>
          <w:shd w:val="clear" w:color="auto" w:fill="FFFFFF"/>
        </w:rPr>
        <w:t>Voir mon article « </w:t>
      </w:r>
      <w:r w:rsidRPr="00F230F1">
        <w:rPr>
          <w:rStyle w:val="apple-converted-space"/>
          <w:rFonts w:asciiTheme="majorBidi" w:hAnsiTheme="majorBidi" w:cstheme="majorBidi"/>
          <w:i/>
          <w:iCs/>
          <w:sz w:val="20"/>
          <w:szCs w:val="20"/>
          <w:shd w:val="clear" w:color="auto" w:fill="FFFFFF"/>
        </w:rPr>
        <w:t>Qiṭṭat Schrödinger wa-qaswarat al-Qurʾān</w:t>
      </w:r>
      <w:r w:rsidRPr="00F230F1">
        <w:rPr>
          <w:rStyle w:val="apple-converted-space"/>
          <w:rFonts w:asciiTheme="majorBidi" w:hAnsiTheme="majorBidi" w:cstheme="majorBidi"/>
          <w:sz w:val="20"/>
          <w:szCs w:val="20"/>
          <w:shd w:val="clear" w:color="auto" w:fill="FFFFFF"/>
        </w:rPr>
        <w:t> »</w:t>
      </w:r>
      <w:r w:rsidRPr="00F230F1">
        <w:rPr>
          <w:rFonts w:asciiTheme="majorBidi" w:hAnsiTheme="majorBidi" w:cstheme="majorBidi"/>
          <w:sz w:val="20"/>
          <w:szCs w:val="20"/>
          <w:shd w:val="clear" w:color="auto" w:fill="FFFFFF"/>
        </w:rPr>
        <w:t xml:space="preserve"> [« Le chat de Schrödinger et le “</w:t>
      </w:r>
      <w:r w:rsidRPr="00F230F1">
        <w:rPr>
          <w:rFonts w:asciiTheme="majorBidi" w:hAnsiTheme="majorBidi" w:cstheme="majorBidi"/>
          <w:i/>
          <w:iCs/>
          <w:sz w:val="20"/>
          <w:szCs w:val="20"/>
          <w:shd w:val="clear" w:color="auto" w:fill="FFFFFF"/>
        </w:rPr>
        <w:t>qaswara</w:t>
      </w:r>
      <w:r w:rsidRPr="00F230F1">
        <w:rPr>
          <w:rFonts w:asciiTheme="majorBidi" w:hAnsiTheme="majorBidi" w:cstheme="majorBidi"/>
          <w:sz w:val="20"/>
          <w:szCs w:val="20"/>
          <w:shd w:val="clear" w:color="auto" w:fill="FFFFFF"/>
        </w:rPr>
        <w:t xml:space="preserve">” du Coran »], </w:t>
      </w:r>
      <w:r w:rsidRPr="00F230F1">
        <w:rPr>
          <w:rFonts w:asciiTheme="majorBidi" w:hAnsiTheme="majorBidi" w:cstheme="majorBidi"/>
          <w:i/>
          <w:iCs/>
          <w:sz w:val="20"/>
          <w:szCs w:val="20"/>
          <w:shd w:val="clear" w:color="auto" w:fill="FFFFFF"/>
        </w:rPr>
        <w:t>Maaber</w:t>
      </w:r>
      <w:r w:rsidRPr="00F230F1">
        <w:rPr>
          <w:rFonts w:asciiTheme="majorBidi" w:hAnsiTheme="majorBidi" w:cstheme="majorBidi"/>
          <w:sz w:val="20"/>
          <w:szCs w:val="20"/>
          <w:shd w:val="clear" w:color="auto" w:fill="FFFFFF"/>
        </w:rPr>
        <w:t>, juin 2013 [</w:t>
      </w:r>
      <w:hyperlink r:id="rId101" w:history="1">
        <w:r w:rsidRPr="00F230F1">
          <w:rPr>
            <w:rStyle w:val="Lienhypertexte"/>
            <w:rFonts w:asciiTheme="majorBidi" w:hAnsiTheme="majorBidi" w:cstheme="majorBidi"/>
            <w:sz w:val="20"/>
            <w:szCs w:val="20"/>
            <w:shd w:val="clear" w:color="auto" w:fill="FFFFFF"/>
          </w:rPr>
          <w:t>http://www.maaber.org/issue_june13/spotlights3.htm</w:t>
        </w:r>
      </w:hyperlink>
      <w:r w:rsidRPr="00F230F1">
        <w:rPr>
          <w:rFonts w:asciiTheme="majorBidi" w:hAnsiTheme="majorBidi" w:cstheme="majorBidi"/>
          <w:sz w:val="20"/>
          <w:szCs w:val="20"/>
          <w:shd w:val="clear" w:color="auto" w:fill="FFFFFF"/>
        </w:rPr>
        <w:t>].</w:t>
      </w:r>
    </w:p>
  </w:footnote>
  <w:footnote w:id="294">
    <w:p w14:paraId="4A7B7F65"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Style w:val="apple-converted-space"/>
          <w:rFonts w:asciiTheme="majorBidi" w:hAnsiTheme="majorBidi" w:cstheme="majorBidi"/>
          <w:sz w:val="20"/>
          <w:szCs w:val="20"/>
          <w:shd w:val="clear" w:color="auto" w:fill="FFFFFF"/>
        </w:rPr>
        <w:t xml:space="preserve"> </w:t>
      </w:r>
      <w:r w:rsidRPr="00F230F1">
        <w:rPr>
          <w:rFonts w:asciiTheme="majorBidi" w:eastAsia="Calibri" w:hAnsiTheme="majorBidi" w:cstheme="majorBidi"/>
          <w:sz w:val="20"/>
          <w:szCs w:val="20"/>
          <w:lang w:bidi="ar-AE"/>
        </w:rPr>
        <w:t xml:space="preserve">Bien que </w:t>
      </w:r>
      <w:r w:rsidRPr="00F230F1">
        <w:rPr>
          <w:rFonts w:asciiTheme="majorBidi" w:eastAsia="Times New Roman" w:hAnsiTheme="majorBidi" w:cstheme="majorBidi"/>
          <w:i/>
          <w:iCs/>
          <w:sz w:val="20"/>
          <w:szCs w:val="20"/>
          <w:lang w:bidi="ar-AE"/>
        </w:rPr>
        <w:t>ʿatīq</w:t>
      </w:r>
      <w:r w:rsidRPr="00F230F1">
        <w:rPr>
          <w:rFonts w:asciiTheme="majorBidi" w:eastAsia="Calibri" w:hAnsiTheme="majorBidi" w:cstheme="majorBidi"/>
          <w:sz w:val="20"/>
          <w:szCs w:val="20"/>
          <w:lang w:bidi="ar-AE"/>
        </w:rPr>
        <w:t xml:space="preserve"> soit répété 2 fois dans la même sourate XXII (v. 29 &amp; 33), nous le considérons comme un hapax du fait qu’il n’a pas d’occurrence en dehors de cette sourate.</w:t>
      </w:r>
    </w:p>
  </w:footnote>
  <w:footnote w:id="295">
    <w:p w14:paraId="7ED32BE4"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 Le verbe </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ṭāʿa</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obéir</w:t>
      </w:r>
      <w:r w:rsidRPr="00F230F1">
        <w:rPr>
          <w:rFonts w:asciiTheme="majorBidi" w:hAnsiTheme="majorBidi" w:cstheme="majorBidi"/>
          <w:sz w:val="20"/>
          <w:szCs w:val="20"/>
        </w:rPr>
        <w:t xml:space="preserve">] et ses dérivés sont mentionnés dans le Coran au moins 32 fois :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ṭīʿū</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obéissez !</w:t>
      </w:r>
      <w:r w:rsidRPr="00F230F1">
        <w:rPr>
          <w:rFonts w:asciiTheme="majorBidi" w:hAnsiTheme="majorBidi" w:cstheme="majorBidi"/>
          <w:sz w:val="20"/>
          <w:szCs w:val="20"/>
        </w:rPr>
        <w:t xml:space="preserve">] (10 fois) ; </w:t>
      </w:r>
      <w:r w:rsidRPr="00F230F1">
        <w:rPr>
          <w:rFonts w:asciiTheme="majorBidi" w:eastAsia="Times New Roman" w:hAnsiTheme="majorBidi" w:cstheme="majorBidi"/>
          <w:i/>
          <w:iCs/>
          <w:sz w:val="20"/>
          <w:szCs w:val="20"/>
        </w:rPr>
        <w:t>ṭāʿa</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obéissance</w:t>
      </w:r>
      <w:r w:rsidRPr="00F230F1">
        <w:rPr>
          <w:rFonts w:asciiTheme="majorBidi" w:hAnsiTheme="majorBidi" w:cstheme="majorBidi"/>
          <w:sz w:val="20"/>
          <w:szCs w:val="20"/>
        </w:rPr>
        <w:t xml:space="preserve">] (3 fois) ;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ṭaʿnā</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nous avons obéi</w:t>
      </w:r>
      <w:r w:rsidRPr="00F230F1">
        <w:rPr>
          <w:rFonts w:asciiTheme="majorBidi" w:hAnsiTheme="majorBidi" w:cstheme="majorBidi"/>
          <w:sz w:val="20"/>
          <w:szCs w:val="20"/>
        </w:rPr>
        <w:t xml:space="preserve">] (7 fois) ; </w:t>
      </w:r>
      <w:r w:rsidRPr="00F230F1">
        <w:rPr>
          <w:rFonts w:asciiTheme="majorBidi" w:eastAsia="Times New Roman" w:hAnsiTheme="majorBidi" w:cstheme="majorBidi"/>
          <w:i/>
          <w:iCs/>
          <w:sz w:val="20"/>
          <w:szCs w:val="20"/>
        </w:rPr>
        <w:t>yuṭiʿ</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xml:space="preserve">[il </w:t>
      </w:r>
      <w:r w:rsidRPr="00F230F1">
        <w:rPr>
          <w:rFonts w:asciiTheme="majorBidi" w:eastAsia="Times New Roman" w:hAnsiTheme="majorBidi" w:cstheme="majorBidi"/>
          <w:sz w:val="20"/>
          <w:szCs w:val="20"/>
        </w:rPr>
        <w:t>obéit</w:t>
      </w:r>
      <w:r w:rsidRPr="00F230F1">
        <w:rPr>
          <w:rFonts w:asciiTheme="majorBidi" w:hAnsiTheme="majorBidi" w:cstheme="majorBidi"/>
          <w:sz w:val="20"/>
          <w:szCs w:val="20"/>
        </w:rPr>
        <w:t xml:space="preserve">] (6 fois) ;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ṭaʿna-kum</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elles vous ont obéi</w:t>
      </w:r>
      <w:r w:rsidRPr="00F230F1">
        <w:rPr>
          <w:rFonts w:asciiTheme="majorBidi" w:hAnsiTheme="majorBidi" w:cstheme="majorBidi"/>
          <w:sz w:val="20"/>
          <w:szCs w:val="20"/>
        </w:rPr>
        <w:t xml:space="preserve">] (1 fois) ;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ṭaʿtumū-hum</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vous leur avez obéi</w:t>
      </w:r>
      <w:r w:rsidRPr="00F230F1">
        <w:rPr>
          <w:rFonts w:asciiTheme="majorBidi" w:hAnsiTheme="majorBidi" w:cstheme="majorBidi"/>
          <w:sz w:val="20"/>
          <w:szCs w:val="20"/>
        </w:rPr>
        <w:t xml:space="preserve">] (1 fois) ;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ṭaʿtum</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vous avez obéi</w:t>
      </w:r>
      <w:r w:rsidRPr="00F230F1">
        <w:rPr>
          <w:rFonts w:asciiTheme="majorBidi" w:hAnsiTheme="majorBidi" w:cstheme="majorBidi"/>
          <w:sz w:val="20"/>
          <w:szCs w:val="20"/>
        </w:rPr>
        <w:t xml:space="preserve">] (1 fois) ;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ṭāʿa</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xml:space="preserve">[il </w:t>
      </w:r>
      <w:r w:rsidRPr="00F230F1">
        <w:rPr>
          <w:rFonts w:asciiTheme="majorBidi" w:eastAsia="Times New Roman" w:hAnsiTheme="majorBidi" w:cstheme="majorBidi"/>
          <w:sz w:val="20"/>
          <w:szCs w:val="20"/>
        </w:rPr>
        <w:t>obéit</w:t>
      </w:r>
      <w:r w:rsidRPr="00F230F1">
        <w:rPr>
          <w:rFonts w:asciiTheme="majorBidi" w:hAnsiTheme="majorBidi" w:cstheme="majorBidi"/>
          <w:sz w:val="20"/>
          <w:szCs w:val="20"/>
        </w:rPr>
        <w:t xml:space="preserve">] (1 fois) ;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a</w:t>
      </w:r>
      <w:r w:rsidRPr="00F230F1">
        <w:rPr>
          <w:rFonts w:asciiTheme="majorBidi" w:eastAsia="Times New Roman" w:hAnsiTheme="majorBidi" w:cstheme="majorBidi"/>
          <w:i/>
          <w:iCs/>
          <w:sz w:val="20"/>
          <w:szCs w:val="20"/>
        </w:rPr>
        <w:t>ṭāʿū-nā</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xml:space="preserve">[ils nous ont </w:t>
      </w:r>
      <w:r w:rsidRPr="00F230F1">
        <w:rPr>
          <w:rFonts w:asciiTheme="majorBidi" w:eastAsia="Times New Roman" w:hAnsiTheme="majorBidi" w:cstheme="majorBidi"/>
          <w:sz w:val="20"/>
          <w:szCs w:val="20"/>
        </w:rPr>
        <w:t>obéi</w:t>
      </w:r>
      <w:r w:rsidRPr="00F230F1">
        <w:rPr>
          <w:rFonts w:asciiTheme="majorBidi" w:hAnsiTheme="majorBidi" w:cstheme="majorBidi"/>
          <w:sz w:val="20"/>
          <w:szCs w:val="20"/>
        </w:rPr>
        <w:t xml:space="preserve">] (1 fois) ; </w:t>
      </w:r>
      <w:r w:rsidRPr="00F230F1">
        <w:rPr>
          <w:rFonts w:asciiTheme="majorBidi" w:hAnsiTheme="majorBidi" w:cstheme="majorBidi"/>
          <w:i/>
          <w:iCs/>
          <w:sz w:val="20"/>
          <w:szCs w:val="20"/>
        </w:rPr>
        <w:t>fa-a</w:t>
      </w:r>
      <w:r w:rsidRPr="00F230F1">
        <w:rPr>
          <w:rFonts w:asciiTheme="majorBidi" w:eastAsia="Times New Roman" w:hAnsiTheme="majorBidi" w:cstheme="majorBidi"/>
          <w:i/>
          <w:iCs/>
          <w:sz w:val="20"/>
          <w:szCs w:val="20"/>
        </w:rPr>
        <w:t>ṭāʿū-hu</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xml:space="preserve">[et </w:t>
      </w:r>
      <w:r w:rsidRPr="00F230F1">
        <w:rPr>
          <w:rFonts w:asciiTheme="majorBidi" w:eastAsia="Times New Roman" w:hAnsiTheme="majorBidi" w:cstheme="majorBidi"/>
          <w:sz w:val="20"/>
          <w:szCs w:val="20"/>
        </w:rPr>
        <w:t>ils lui ont obéi</w:t>
      </w:r>
      <w:r w:rsidRPr="00F230F1">
        <w:rPr>
          <w:rFonts w:asciiTheme="majorBidi" w:hAnsiTheme="majorBidi" w:cstheme="majorBidi"/>
          <w:sz w:val="20"/>
          <w:szCs w:val="20"/>
        </w:rPr>
        <w:t>] (1 fois).</w:t>
      </w:r>
    </w:p>
  </w:footnote>
  <w:footnote w:id="296">
    <w:p w14:paraId="0647C0B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AE"/>
        </w:rPr>
        <w:t xml:space="preserve">selon Mujāhid dans </w:t>
      </w:r>
      <w:r w:rsidRPr="00F230F1">
        <w:rPr>
          <w:rFonts w:asciiTheme="majorBidi" w:eastAsia="Times New Roman" w:hAnsiTheme="majorBidi" w:cstheme="majorBidi"/>
          <w:i/>
          <w:iCs/>
          <w:sz w:val="20"/>
          <w:szCs w:val="20"/>
          <w:lang w:eastAsia="fr-FR" w:bidi="ar-AE"/>
        </w:rPr>
        <w:t>Aḥkām al-qurʾān</w:t>
      </w:r>
      <w:r w:rsidRPr="00F230F1">
        <w:rPr>
          <w:rFonts w:asciiTheme="majorBidi" w:eastAsia="Times New Roman" w:hAnsiTheme="majorBidi" w:cstheme="majorBidi"/>
          <w:sz w:val="20"/>
          <w:szCs w:val="20"/>
          <w:lang w:eastAsia="fr-FR" w:bidi="ar-AE"/>
        </w:rPr>
        <w:t xml:space="preserve"> de Jaṣṣāṣ et selon ʿAṭāʾ dans </w:t>
      </w:r>
      <w:r w:rsidRPr="00F230F1">
        <w:rPr>
          <w:rFonts w:asciiTheme="majorBidi" w:eastAsia="Times New Roman" w:hAnsiTheme="majorBidi" w:cstheme="majorBidi"/>
          <w:i/>
          <w:iCs/>
          <w:sz w:val="20"/>
          <w:szCs w:val="20"/>
          <w:lang w:eastAsia="fr-FR" w:bidi="ar-AE"/>
        </w:rPr>
        <w:t>Al-Iklīl fī stinbāṭ at-tanzīl</w:t>
      </w:r>
      <w:r w:rsidRPr="00F230F1">
        <w:rPr>
          <w:rFonts w:asciiTheme="majorBidi" w:eastAsia="Times New Roman" w:hAnsiTheme="majorBidi" w:cstheme="majorBidi"/>
          <w:sz w:val="20"/>
          <w:szCs w:val="20"/>
          <w:lang w:eastAsia="fr-FR" w:bidi="ar-AE"/>
        </w:rPr>
        <w:t xml:space="preserve"> d’As-Suyūṭī.</w:t>
      </w:r>
    </w:p>
  </w:footnote>
  <w:footnote w:id="297">
    <w:p w14:paraId="09B9F6B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 xml:space="preserve">Tafsīr </w:t>
      </w:r>
      <w:r w:rsidRPr="00F230F1">
        <w:rPr>
          <w:rFonts w:asciiTheme="majorBidi" w:eastAsia="Times New Roman" w:hAnsiTheme="majorBidi" w:cstheme="majorBidi"/>
          <w:i/>
          <w:iCs/>
          <w:sz w:val="20"/>
          <w:szCs w:val="20"/>
          <w:lang w:eastAsia="fr-FR" w:bidi="ar-AE"/>
        </w:rPr>
        <w:t>al-qurʾān</w:t>
      </w:r>
      <w:r w:rsidRPr="00F230F1">
        <w:rPr>
          <w:rFonts w:asciiTheme="majorBidi" w:eastAsia="Times New Roman" w:hAnsiTheme="majorBidi" w:cstheme="majorBidi"/>
          <w:sz w:val="20"/>
          <w:szCs w:val="20"/>
          <w:lang w:eastAsia="fr-FR" w:bidi="ar-AE"/>
        </w:rPr>
        <w:t xml:space="preserve"> de ʿAbd Ar-Razzāq Aṣ-Ṣanʿānī.</w:t>
      </w:r>
    </w:p>
  </w:footnote>
  <w:footnote w:id="298">
    <w:p w14:paraId="3E39AA9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eastAsia="fr-FR" w:bidi="ar-AE"/>
        </w:rPr>
        <w:t xml:space="preserve">selon Ibn Jubayr dans </w:t>
      </w:r>
      <w:r w:rsidRPr="00F230F1">
        <w:rPr>
          <w:rFonts w:asciiTheme="majorBidi" w:eastAsia="Times New Roman" w:hAnsiTheme="majorBidi" w:cstheme="majorBidi"/>
          <w:i/>
          <w:iCs/>
          <w:sz w:val="20"/>
          <w:szCs w:val="20"/>
          <w:lang w:eastAsia="fr-FR" w:bidi="ar-AE"/>
        </w:rPr>
        <w:t xml:space="preserve">Al-ʾIklīl </w:t>
      </w:r>
      <w:r w:rsidRPr="00F230F1">
        <w:rPr>
          <w:rFonts w:asciiTheme="majorBidi" w:eastAsia="Times New Roman" w:hAnsiTheme="majorBidi" w:cstheme="majorBidi"/>
          <w:sz w:val="20"/>
          <w:szCs w:val="20"/>
          <w:lang w:eastAsia="fr-FR" w:bidi="ar-AE"/>
        </w:rPr>
        <w:t>d’As-Suyūṭī.</w:t>
      </w:r>
    </w:p>
  </w:footnote>
  <w:footnote w:id="299">
    <w:p w14:paraId="4551FE8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AE"/>
        </w:rPr>
        <w:t xml:space="preserve">selon Ibn Jubayr dans </w:t>
      </w:r>
      <w:r w:rsidRPr="00F230F1">
        <w:rPr>
          <w:rFonts w:asciiTheme="majorBidi" w:eastAsia="Times New Roman" w:hAnsiTheme="majorBidi" w:cstheme="majorBidi"/>
          <w:i/>
          <w:iCs/>
          <w:sz w:val="20"/>
          <w:szCs w:val="20"/>
          <w:lang w:eastAsia="fr-FR" w:bidi="ar-AE"/>
        </w:rPr>
        <w:t xml:space="preserve">Al-ʾIklīl </w:t>
      </w:r>
      <w:r w:rsidRPr="00F230F1">
        <w:rPr>
          <w:rFonts w:asciiTheme="majorBidi" w:eastAsia="Times New Roman" w:hAnsiTheme="majorBidi" w:cstheme="majorBidi"/>
          <w:sz w:val="20"/>
          <w:szCs w:val="20"/>
          <w:lang w:eastAsia="fr-FR" w:bidi="ar-AE"/>
        </w:rPr>
        <w:t>d’As-Suyūṭī.</w:t>
      </w:r>
    </w:p>
  </w:footnote>
  <w:footnote w:id="300">
    <w:p w14:paraId="759D75A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bidi="ar-AE"/>
        </w:rPr>
        <w:t>Aḥkām al-qurʾān</w:t>
      </w:r>
      <w:r w:rsidRPr="00F230F1">
        <w:rPr>
          <w:rFonts w:asciiTheme="majorBidi" w:eastAsia="Times New Roman" w:hAnsiTheme="majorBidi" w:cstheme="majorBidi"/>
          <w:sz w:val="20"/>
          <w:szCs w:val="20"/>
          <w:lang w:eastAsia="fr-FR" w:bidi="ar-AE"/>
        </w:rPr>
        <w:t xml:space="preserve"> d’Ibn al-ʿArabī al-Andalusī.</w:t>
      </w:r>
    </w:p>
  </w:footnote>
  <w:footnote w:id="301">
    <w:p w14:paraId="34B84D6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lang w:eastAsia="fr-FR"/>
        </w:rPr>
        <w:t>Ṣilwīthā</w:t>
      </w:r>
      <w:r w:rsidRPr="00F230F1">
        <w:rPr>
          <w:rFonts w:asciiTheme="majorBidi" w:eastAsia="Times New Roman" w:hAnsiTheme="majorBidi" w:cstheme="majorBidi"/>
          <w:sz w:val="20"/>
          <w:szCs w:val="20"/>
          <w:lang w:eastAsia="fr-FR"/>
        </w:rPr>
        <w:t xml:space="preserve"> est la lecture de </w:t>
      </w:r>
      <w:r w:rsidRPr="00F230F1">
        <w:rPr>
          <w:rFonts w:asciiTheme="majorBidi" w:hAnsiTheme="majorBidi" w:cstheme="majorBidi"/>
          <w:sz w:val="20"/>
          <w:szCs w:val="20"/>
          <w:lang w:bidi="ar-AE"/>
        </w:rPr>
        <w:t xml:space="preserve">ʿIkrima </w:t>
      </w:r>
      <w:r w:rsidRPr="00F230F1">
        <w:rPr>
          <w:rFonts w:asciiTheme="majorBidi" w:eastAsia="Times New Roman" w:hAnsiTheme="majorBidi" w:cstheme="majorBidi"/>
          <w:sz w:val="20"/>
          <w:szCs w:val="20"/>
          <w:lang w:eastAsia="fr-FR"/>
        </w:rPr>
        <w:t xml:space="preserve">et Mujāhid, selon Ibn ʿAṭīya Al-ʾAndalusī dans </w:t>
      </w:r>
      <w:r w:rsidRPr="00F230F1">
        <w:rPr>
          <w:rFonts w:asciiTheme="majorBidi" w:eastAsia="Times New Roman" w:hAnsiTheme="majorBidi" w:cstheme="majorBidi"/>
          <w:i/>
          <w:iCs/>
          <w:sz w:val="20"/>
          <w:szCs w:val="20"/>
          <w:lang w:eastAsia="fr-FR"/>
        </w:rPr>
        <w:t>Al-Muḥarrar al-wajīz</w:t>
      </w:r>
      <w:r w:rsidRPr="00F230F1">
        <w:rPr>
          <w:rFonts w:asciiTheme="majorBidi" w:eastAsia="Times New Roman" w:hAnsiTheme="majorBidi" w:cstheme="majorBidi"/>
          <w:sz w:val="20"/>
          <w:szCs w:val="20"/>
          <w:lang w:eastAsia="fr-FR"/>
        </w:rPr>
        <w:t>.</w:t>
      </w:r>
    </w:p>
  </w:footnote>
  <w:footnote w:id="302">
    <w:p w14:paraId="1D7D72D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Commentant le verset VII, 180 (sourate al-</w:t>
      </w:r>
      <w:r w:rsidRPr="00F230F1">
        <w:rPr>
          <w:rFonts w:asciiTheme="majorBidi" w:eastAsia="Times New Roman" w:hAnsiTheme="majorBidi" w:cstheme="majorBidi"/>
          <w:sz w:val="20"/>
          <w:szCs w:val="20"/>
        </w:rPr>
        <w:t>ʾAʿrāf)</w:t>
      </w:r>
      <w:r w:rsidRPr="00F230F1">
        <w:rPr>
          <w:rFonts w:asciiTheme="majorBidi" w:hAnsiTheme="majorBidi" w:cstheme="majorBidi"/>
          <w:sz w:val="20"/>
          <w:szCs w:val="20"/>
        </w:rPr>
        <w:t>, « Dieu possède les Plus Beaux Noms, invoquez-Le par ces Noms », le sixième imam, Ja</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far a</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rPr>
        <w:t>adiq aurait dit : « </w:t>
      </w:r>
      <w:r w:rsidRPr="00F230F1">
        <w:rPr>
          <w:rFonts w:asciiTheme="majorBidi" w:hAnsiTheme="majorBidi" w:cstheme="majorBidi"/>
          <w:i/>
          <w:iCs/>
          <w:sz w:val="20"/>
          <w:szCs w:val="20"/>
        </w:rPr>
        <w:t xml:space="preserve">Par Dieu, nous </w:t>
      </w:r>
      <w:r w:rsidRPr="00F230F1">
        <w:rPr>
          <w:rFonts w:asciiTheme="majorBidi" w:hAnsiTheme="majorBidi" w:cstheme="majorBidi"/>
          <w:sz w:val="20"/>
          <w:szCs w:val="20"/>
        </w:rPr>
        <w:t>[les imams]</w:t>
      </w:r>
      <w:r w:rsidRPr="00F230F1">
        <w:rPr>
          <w:rFonts w:asciiTheme="majorBidi" w:hAnsiTheme="majorBidi" w:cstheme="majorBidi"/>
          <w:i/>
          <w:iCs/>
          <w:sz w:val="20"/>
          <w:szCs w:val="20"/>
        </w:rPr>
        <w:t>, nous sommes les plus Beaux Noms ; aucun acte des serviteurs n'est agréé de Dieu s’il n’est pas accompagné par la connaissance de nous.</w:t>
      </w:r>
      <w:r w:rsidRPr="00F230F1">
        <w:rPr>
          <w:rFonts w:asciiTheme="majorBidi" w:hAnsiTheme="majorBidi" w:cstheme="majorBidi"/>
          <w:sz w:val="20"/>
          <w:szCs w:val="20"/>
        </w:rPr>
        <w:t> » (Al-</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Ayyāshī, </w:t>
      </w:r>
      <w:r w:rsidRPr="00F230F1">
        <w:rPr>
          <w:rFonts w:asciiTheme="majorBidi" w:hAnsiTheme="majorBidi" w:cstheme="majorBidi"/>
          <w:i/>
          <w:iCs/>
          <w:sz w:val="20"/>
          <w:szCs w:val="20"/>
        </w:rPr>
        <w:t>Tafsīr</w:t>
      </w:r>
      <w:r w:rsidRPr="00F230F1">
        <w:rPr>
          <w:rFonts w:asciiTheme="majorBidi" w:hAnsiTheme="majorBidi" w:cstheme="majorBidi"/>
          <w:sz w:val="20"/>
          <w:szCs w:val="20"/>
        </w:rPr>
        <w:t xml:space="preserve">, 2 : 42, n° 119 ; al-Kulaynī, </w:t>
      </w:r>
      <w:r w:rsidRPr="00F230F1">
        <w:rPr>
          <w:rFonts w:asciiTheme="majorBidi" w:eastAsia="Times New Roman" w:hAnsiTheme="majorBidi" w:cstheme="majorBidi"/>
          <w:i/>
          <w:iCs/>
          <w:sz w:val="20"/>
          <w:szCs w:val="20"/>
        </w:rPr>
        <w:t>ʾ</w:t>
      </w:r>
      <w:r w:rsidRPr="00F230F1">
        <w:rPr>
          <w:rFonts w:asciiTheme="majorBidi" w:hAnsiTheme="majorBidi" w:cstheme="majorBidi"/>
          <w:i/>
          <w:iCs/>
          <w:sz w:val="20"/>
          <w:szCs w:val="20"/>
        </w:rPr>
        <w:t>U</w:t>
      </w:r>
      <w:r w:rsidRPr="00F230F1">
        <w:rPr>
          <w:rFonts w:asciiTheme="majorBidi" w:eastAsia="Times New Roman" w:hAnsiTheme="majorBidi" w:cstheme="majorBidi"/>
          <w:i/>
          <w:iCs/>
          <w:sz w:val="20"/>
          <w:szCs w:val="20"/>
        </w:rPr>
        <w:t>ṣūl</w:t>
      </w:r>
      <w:r w:rsidRPr="00F230F1">
        <w:rPr>
          <w:rFonts w:asciiTheme="majorBidi" w:hAnsiTheme="majorBidi" w:cstheme="majorBidi"/>
          <w:i/>
          <w:iCs/>
          <w:sz w:val="20"/>
          <w:szCs w:val="20"/>
        </w:rPr>
        <w:t xml:space="preserve"> al-Kāfī</w:t>
      </w:r>
      <w:r w:rsidRPr="00F230F1">
        <w:rPr>
          <w:rFonts w:asciiTheme="majorBidi" w:hAnsiTheme="majorBidi" w:cstheme="majorBidi"/>
          <w:sz w:val="20"/>
          <w:szCs w:val="20"/>
        </w:rPr>
        <w:t xml:space="preserve">, 1 : 143-144 ; </w:t>
      </w:r>
      <w:r w:rsidRPr="00F230F1">
        <w:rPr>
          <w:rFonts w:asciiTheme="majorBidi" w:hAnsiTheme="majorBidi" w:cstheme="majorBidi"/>
          <w:i/>
          <w:iCs/>
          <w:sz w:val="20"/>
          <w:szCs w:val="20"/>
        </w:rPr>
        <w:t>Bi</w:t>
      </w:r>
      <w:r w:rsidRPr="00F230F1">
        <w:rPr>
          <w:rFonts w:asciiTheme="majorBidi" w:eastAsia="Times New Roman" w:hAnsiTheme="majorBidi" w:cstheme="majorBidi"/>
          <w:i/>
          <w:iCs/>
          <w:sz w:val="20"/>
          <w:szCs w:val="20"/>
        </w:rPr>
        <w:t>ḥār al-Anwār</w:t>
      </w:r>
      <w:r w:rsidRPr="00F230F1">
        <w:rPr>
          <w:rFonts w:asciiTheme="majorBidi" w:eastAsia="Times New Roman" w:hAnsiTheme="majorBidi" w:cstheme="majorBidi"/>
          <w:sz w:val="20"/>
          <w:szCs w:val="20"/>
        </w:rPr>
        <w:t>, tome 91, p. 5 ;</w:t>
      </w:r>
      <w:r w:rsidRPr="00F230F1">
        <w:rPr>
          <w:rFonts w:asciiTheme="majorBidi" w:hAnsiTheme="majorBidi" w:cstheme="majorBidi"/>
          <w:sz w:val="20"/>
          <w:szCs w:val="20"/>
        </w:rPr>
        <w:t xml:space="preserve"> Amir-Moezzi, Mohammad Ali, </w:t>
      </w:r>
      <w:r w:rsidRPr="00F230F1">
        <w:rPr>
          <w:rFonts w:asciiTheme="majorBidi" w:hAnsiTheme="majorBidi" w:cstheme="majorBidi"/>
          <w:i/>
          <w:iCs/>
          <w:sz w:val="20"/>
          <w:szCs w:val="20"/>
        </w:rPr>
        <w:t>La religion discrète : croyances et pratiques spirituelles dans l’islam shi’ite</w:t>
      </w:r>
      <w:r w:rsidRPr="00F230F1">
        <w:rPr>
          <w:rFonts w:asciiTheme="majorBidi" w:hAnsiTheme="majorBidi" w:cstheme="majorBidi"/>
          <w:sz w:val="20"/>
          <w:szCs w:val="20"/>
        </w:rPr>
        <w:t>, Librairie Philosophique J. Vrin, 2006, Paris, p. 224).</w:t>
      </w:r>
    </w:p>
  </w:footnote>
  <w:footnote w:id="303">
    <w:p w14:paraId="70AC159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bidi="ar-KW"/>
        </w:rPr>
        <w:t xml:space="preserve">Shihāb ad-Dīn Abū Bakr ibn Aḥmad ibn Muḥammad al-Jazarī ad-Dimashqī (m. 1432), </w:t>
      </w:r>
      <w:r w:rsidRPr="00F230F1">
        <w:rPr>
          <w:rFonts w:asciiTheme="majorBidi" w:eastAsia="Times New Roman" w:hAnsiTheme="majorBidi" w:cstheme="majorBidi"/>
          <w:i/>
          <w:iCs/>
          <w:sz w:val="20"/>
          <w:szCs w:val="20"/>
          <w:lang w:bidi="ar-KW"/>
        </w:rPr>
        <w:t>Sharḥ ṭayyibat an-nashr fī l-qirāʾāt al-ʿashr</w:t>
      </w:r>
      <w:r w:rsidRPr="00F230F1">
        <w:rPr>
          <w:rFonts w:asciiTheme="majorBidi" w:eastAsia="Times New Roman" w:hAnsiTheme="majorBidi" w:cstheme="majorBidi"/>
          <w:sz w:val="20"/>
          <w:szCs w:val="20"/>
          <w:lang w:bidi="ar-KW"/>
        </w:rPr>
        <w:t>, commenté par Anas Muhra, Dār al-Kutub al-ʿilmīya, Beyrouth, 1997, pp. 279-282.</w:t>
      </w:r>
    </w:p>
  </w:footnote>
  <w:footnote w:id="304">
    <w:p w14:paraId="14C65B57"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Le mot </w:t>
      </w:r>
      <w:r w:rsidRPr="00F230F1">
        <w:rPr>
          <w:rFonts w:asciiTheme="majorBidi" w:eastAsia="Times New Roman" w:hAnsiTheme="majorBidi" w:cstheme="majorBidi"/>
          <w:i/>
          <w:iCs/>
          <w:sz w:val="20"/>
          <w:szCs w:val="20"/>
        </w:rPr>
        <w:t>muʿājizīna</w:t>
      </w:r>
      <w:r w:rsidRPr="00F230F1">
        <w:rPr>
          <w:rFonts w:asciiTheme="majorBidi" w:eastAsia="Times New Roman" w:hAnsiTheme="majorBidi" w:cstheme="majorBidi"/>
          <w:sz w:val="20"/>
          <w:szCs w:val="20"/>
        </w:rPr>
        <w:t xml:space="preserve"> fait l’objet de controverses exégétiques. Aṭ-Ṭabarī souligne : « </w:t>
      </w:r>
      <w:r w:rsidRPr="00F230F1">
        <w:rPr>
          <w:rFonts w:asciiTheme="majorBidi" w:eastAsia="Times New Roman" w:hAnsiTheme="majorBidi" w:cstheme="majorBidi"/>
          <w:sz w:val="20"/>
          <w:szCs w:val="20"/>
          <w:rtl/>
        </w:rPr>
        <w:t>واختلف أهلُ التأويل في تأويل قوله "معاجِزين"</w:t>
      </w:r>
      <w:r w:rsidRPr="00F230F1">
        <w:rPr>
          <w:rFonts w:asciiTheme="majorBidi" w:eastAsia="Times New Roman" w:hAnsiTheme="majorBidi" w:cstheme="majorBidi"/>
          <w:i/>
          <w:sz w:val="20"/>
          <w:szCs w:val="20"/>
        </w:rPr>
        <w:t> </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w:t>
      </w:r>
      <w:r w:rsidRPr="00F230F1">
        <w:rPr>
          <w:rFonts w:asciiTheme="majorBidi" w:eastAsia="Times New Roman" w:hAnsiTheme="majorBidi" w:cstheme="majorBidi"/>
          <w:sz w:val="20"/>
          <w:szCs w:val="20"/>
        </w:rPr>
        <w:t>Les exégètes divergent à propos du mot "</w:t>
      </w:r>
      <w:r w:rsidRPr="00F230F1">
        <w:rPr>
          <w:rFonts w:asciiTheme="majorBidi" w:eastAsia="Times New Roman" w:hAnsiTheme="majorBidi" w:cstheme="majorBidi"/>
          <w:i/>
          <w:iCs/>
          <w:sz w:val="20"/>
          <w:szCs w:val="20"/>
        </w:rPr>
        <w:t>muʿājizīna</w:t>
      </w:r>
      <w:r w:rsidRPr="00F230F1">
        <w:rPr>
          <w:rFonts w:asciiTheme="majorBidi" w:eastAsia="Times New Roman" w:hAnsiTheme="majorBidi" w:cstheme="majorBidi"/>
          <w:sz w:val="20"/>
          <w:szCs w:val="20"/>
        </w:rPr>
        <w:t>" »</w:t>
      </w:r>
      <w:r w:rsidRPr="00F230F1">
        <w:rPr>
          <w:rFonts w:asciiTheme="majorBidi" w:hAnsiTheme="majorBidi" w:cstheme="majorBidi"/>
          <w:sz w:val="20"/>
          <w:szCs w:val="20"/>
        </w:rPr>
        <w:t>].</w:t>
      </w:r>
    </w:p>
    <w:p w14:paraId="18AAE5B6" w14:textId="77777777" w:rsidR="009C3BB9" w:rsidRPr="00F230F1" w:rsidRDefault="009C3BB9" w:rsidP="00F230F1">
      <w:pPr>
        <w:pStyle w:val="Notedebasdepage"/>
        <w:contextualSpacing/>
        <w:jc w:val="both"/>
        <w:rPr>
          <w:rFonts w:asciiTheme="majorBidi" w:hAnsiTheme="majorBidi" w:cstheme="majorBidi"/>
          <w:sz w:val="20"/>
          <w:szCs w:val="20"/>
        </w:rPr>
      </w:pPr>
    </w:p>
  </w:footnote>
  <w:footnote w:id="305">
    <w:p w14:paraId="5166D33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Wahba az-Zuḥaylī, </w:t>
      </w:r>
      <w:r w:rsidRPr="00F230F1">
        <w:rPr>
          <w:rFonts w:asciiTheme="majorBidi" w:hAnsiTheme="majorBidi" w:cstheme="majorBidi"/>
          <w:i/>
          <w:iCs/>
          <w:sz w:val="20"/>
          <w:szCs w:val="20"/>
          <w:lang w:bidi="ar-AE"/>
        </w:rPr>
        <w:t>At-tafsīr al-munīr fī l-ʿaqīda wa-sh-sharīʿa wa-l-manhaj</w:t>
      </w:r>
      <w:r w:rsidRPr="00F230F1">
        <w:rPr>
          <w:rFonts w:asciiTheme="majorBidi" w:hAnsiTheme="majorBidi" w:cstheme="majorBidi"/>
          <w:sz w:val="20"/>
          <w:szCs w:val="20"/>
          <w:lang w:bidi="ar-AE"/>
        </w:rPr>
        <w:t xml:space="preserve"> </w:t>
      </w:r>
      <w:r w:rsidRPr="00F230F1">
        <w:rPr>
          <w:rFonts w:asciiTheme="majorBidi" w:eastAsia="Times New Roman" w:hAnsiTheme="majorBidi" w:cstheme="majorBidi"/>
          <w:sz w:val="20"/>
          <w:szCs w:val="20"/>
        </w:rPr>
        <w:t>[L’exégèse éclairante dans le dogme, la charia et les règles de vie],</w:t>
      </w:r>
      <w:r w:rsidRPr="00F230F1">
        <w:rPr>
          <w:rFonts w:asciiTheme="majorBidi" w:hAnsiTheme="majorBidi" w:cstheme="majorBidi"/>
          <w:sz w:val="20"/>
          <w:szCs w:val="20"/>
          <w:lang w:bidi="ar-AE"/>
        </w:rPr>
        <w:t xml:space="preserve"> 1997.</w:t>
      </w:r>
    </w:p>
  </w:footnote>
  <w:footnote w:id="306">
    <w:p w14:paraId="70C1A6B1"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rPr>
        <w:t xml:space="preserve"> Az-Zarkashī</w:t>
      </w:r>
      <w:r w:rsidRPr="00F230F1">
        <w:rPr>
          <w:rFonts w:asciiTheme="majorBidi" w:hAnsiTheme="majorBidi" w:cstheme="majorBidi"/>
          <w:sz w:val="20"/>
          <w:szCs w:val="20"/>
          <w:lang w:bidi="ar-AE"/>
        </w:rPr>
        <w:t xml:space="preserve"> souligne :</w:t>
      </w:r>
    </w:p>
    <w:p w14:paraId="5024B99A" w14:textId="77777777" w:rsidR="009C3BB9" w:rsidRPr="00F230F1" w:rsidRDefault="009C3BB9" w:rsidP="00F230F1">
      <w:pPr>
        <w:bidi/>
        <w:contextualSpacing/>
        <w:jc w:val="both"/>
        <w:rPr>
          <w:rFonts w:asciiTheme="majorBidi" w:hAnsiTheme="majorBidi" w:cstheme="majorBidi"/>
          <w:sz w:val="20"/>
          <w:szCs w:val="20"/>
          <w:rtl/>
          <w:lang w:bidi="ar-KW"/>
        </w:rPr>
      </w:pPr>
      <w:r w:rsidRPr="00F230F1">
        <w:rPr>
          <w:rFonts w:asciiTheme="majorBidi" w:hAnsiTheme="majorBidi" w:cstheme="majorBidi"/>
          <w:sz w:val="20"/>
          <w:szCs w:val="20"/>
          <w:rtl/>
          <w:lang w:bidi="ar-AE"/>
        </w:rPr>
        <w:t>"</w:t>
      </w:r>
      <w:r w:rsidRPr="00F230F1">
        <w:rPr>
          <w:rFonts w:asciiTheme="majorBidi" w:hAnsiTheme="majorBidi" w:cstheme="majorBidi"/>
          <w:sz w:val="20"/>
          <w:szCs w:val="20"/>
          <w:rtl/>
        </w:rPr>
        <w:t xml:space="preserve">المكِّيُّ ما وقعَ خِطاباً لأهل مكَّةَ، والمدنيُّ ما وقعَ خِطاباً لأهل المدينة. وعليه يُحمَلُ قولُ ابن مسعود الآتي، لأنَّ الغالبَ على أهل مكة الكفرُ فخوطبوا "يأيها الناسُ" وإنْ كان غيرُهم داخلاً فيها؛ وكان الغالبُ على أهل المدينة الإيمانُ فخوطبوا "يأيها الذين آمنوا" وإنْ كان غيرُهم داخلاً فيهم." (الزركشي، </w:t>
      </w:r>
      <w:r w:rsidRPr="00F230F1">
        <w:rPr>
          <w:rFonts w:asciiTheme="majorBidi" w:hAnsiTheme="majorBidi" w:cstheme="majorBidi"/>
          <w:i/>
          <w:iCs/>
          <w:sz w:val="20"/>
          <w:szCs w:val="20"/>
          <w:rtl/>
        </w:rPr>
        <w:t>البرهان في علوم القرآن</w:t>
      </w:r>
      <w:r w:rsidRPr="00F230F1">
        <w:rPr>
          <w:rFonts w:asciiTheme="majorBidi" w:hAnsiTheme="majorBidi" w:cstheme="majorBidi"/>
          <w:sz w:val="20"/>
          <w:szCs w:val="20"/>
          <w:rtl/>
        </w:rPr>
        <w:t xml:space="preserve">، نسخة إلكترونية، مكتبة </w:t>
      </w:r>
      <w:r w:rsidRPr="00F230F1">
        <w:rPr>
          <w:rFonts w:asciiTheme="majorBidi" w:hAnsiTheme="majorBidi" w:cstheme="majorBidi"/>
          <w:i/>
          <w:iCs/>
          <w:sz w:val="20"/>
          <w:szCs w:val="20"/>
          <w:rtl/>
        </w:rPr>
        <w:t>مشكاة</w:t>
      </w:r>
      <w:r w:rsidRPr="00F230F1">
        <w:rPr>
          <w:rFonts w:asciiTheme="majorBidi" w:hAnsiTheme="majorBidi" w:cstheme="majorBidi"/>
          <w:sz w:val="20"/>
          <w:szCs w:val="20"/>
          <w:rtl/>
        </w:rPr>
        <w:t xml:space="preserve"> الإسلامية، ص 94</w:t>
      </w:r>
      <w:r w:rsidRPr="00F230F1">
        <w:rPr>
          <w:rFonts w:asciiTheme="majorBidi" w:hAnsiTheme="majorBidi" w:cstheme="majorBidi"/>
          <w:sz w:val="20"/>
          <w:szCs w:val="20"/>
          <w:rtl/>
          <w:lang w:bidi="ar-AE"/>
        </w:rPr>
        <w:t>).</w:t>
      </w:r>
    </w:p>
    <w:p w14:paraId="2BF138F7" w14:textId="77777777" w:rsidR="009C3BB9" w:rsidRPr="00F230F1" w:rsidRDefault="009C3BB9" w:rsidP="00F230F1">
      <w:pPr>
        <w:contextualSpacing/>
        <w:jc w:val="both"/>
        <w:rPr>
          <w:rFonts w:asciiTheme="majorBidi" w:hAnsiTheme="majorBidi" w:cstheme="majorBidi"/>
          <w:sz w:val="20"/>
          <w:szCs w:val="20"/>
          <w:lang w:bidi="ar-KW"/>
        </w:rPr>
      </w:pPr>
      <w:r w:rsidRPr="00F230F1">
        <w:rPr>
          <w:rFonts w:asciiTheme="majorBidi" w:hAnsiTheme="majorBidi" w:cstheme="majorBidi"/>
          <w:sz w:val="20"/>
          <w:szCs w:val="20"/>
          <w:lang w:bidi="ar-KW"/>
        </w:rPr>
        <w:t xml:space="preserve">[« Le [discours] mecquois est tout discours adressé aux habitants de la Mecque, alors que le [discours] médinois est tout discours adressé aux habitants de la Médine. C’est ainsi qu’il faut comprendre la citation suivante d’Ibn Masʿūd, car la majorité des Mecquois était non-croyants, et c’est pour cela on s’est adressé à eux en utilisant la locution </w:t>
      </w:r>
      <w:r w:rsidRPr="00F230F1">
        <w:rPr>
          <w:rFonts w:asciiTheme="majorBidi" w:eastAsia="Calibri" w:hAnsiTheme="majorBidi" w:cstheme="majorBidi"/>
          <w:sz w:val="20"/>
          <w:szCs w:val="20"/>
          <w:lang w:bidi="ar-AE"/>
        </w:rPr>
        <w:t>« </w:t>
      </w:r>
      <w:r w:rsidRPr="00F230F1">
        <w:rPr>
          <w:rFonts w:asciiTheme="majorBidi" w:eastAsia="Times New Roman" w:hAnsiTheme="majorBidi" w:cstheme="majorBidi"/>
          <w:i/>
          <w:iCs/>
          <w:sz w:val="20"/>
          <w:szCs w:val="20"/>
          <w:lang w:bidi="ar-EG"/>
        </w:rPr>
        <w:t>Yā</w:t>
      </w:r>
      <w:r w:rsidRPr="00F230F1">
        <w:rPr>
          <w:rFonts w:asciiTheme="majorBidi" w:eastAsia="Times New Roman" w:hAnsiTheme="majorBidi" w:cstheme="majorBidi"/>
          <w:i/>
          <w:iCs/>
          <w:sz w:val="20"/>
          <w:szCs w:val="20"/>
        </w:rPr>
        <w:t xml:space="preserve"> </w:t>
      </w:r>
      <w:r w:rsidRPr="00F230F1">
        <w:rPr>
          <w:rFonts w:asciiTheme="majorBidi" w:eastAsia="Times New Roman" w:hAnsiTheme="majorBidi" w:cstheme="majorBidi"/>
          <w:i/>
          <w:iCs/>
          <w:sz w:val="20"/>
          <w:szCs w:val="20"/>
          <w:lang w:bidi="ar-EG"/>
        </w:rPr>
        <w:t>ayyuha n-nās</w:t>
      </w:r>
      <w:r w:rsidRPr="00F230F1">
        <w:rPr>
          <w:rFonts w:asciiTheme="majorBidi" w:eastAsia="Times New Roman" w:hAnsiTheme="majorBidi" w:cstheme="majorBidi"/>
          <w:sz w:val="20"/>
          <w:szCs w:val="20"/>
          <w:lang w:bidi="ar-EG"/>
        </w:rPr>
        <w:t> » [</w:t>
      </w:r>
      <w:r w:rsidRPr="00F230F1">
        <w:rPr>
          <w:rFonts w:asciiTheme="majorBidi" w:eastAsia="Times New Roman" w:hAnsiTheme="majorBidi" w:cstheme="majorBidi"/>
          <w:sz w:val="20"/>
          <w:szCs w:val="20"/>
        </w:rPr>
        <w:t>Ô hommes !</w:t>
      </w:r>
      <w:r w:rsidRPr="00F230F1">
        <w:rPr>
          <w:rFonts w:asciiTheme="majorBidi" w:eastAsia="Times New Roman" w:hAnsiTheme="majorBidi" w:cstheme="majorBidi"/>
          <w:sz w:val="20"/>
          <w:szCs w:val="20"/>
          <w:lang w:bidi="ar-EG"/>
        </w:rPr>
        <w:t>]</w:t>
      </w:r>
      <w:r w:rsidRPr="00F230F1">
        <w:rPr>
          <w:rFonts w:asciiTheme="majorBidi" w:eastAsia="Calibri" w:hAnsiTheme="majorBidi" w:cstheme="majorBidi"/>
          <w:sz w:val="20"/>
          <w:szCs w:val="20"/>
          <w:lang w:bidi="ar-AE"/>
        </w:rPr>
        <w:t>,</w:t>
      </w:r>
      <w:r w:rsidRPr="00F230F1">
        <w:rPr>
          <w:rFonts w:asciiTheme="majorBidi" w:hAnsiTheme="majorBidi" w:cstheme="majorBidi"/>
          <w:sz w:val="20"/>
          <w:szCs w:val="20"/>
          <w:lang w:bidi="ar-KW"/>
        </w:rPr>
        <w:t xml:space="preserve"> même s’il y avait parmi eux des croyants ; cependant, les Médinois étaient majoritairement croyants, c’est pourquoi on s’est adressé à eux en utilisant la locution </w:t>
      </w:r>
      <w:r w:rsidRPr="00F230F1">
        <w:rPr>
          <w:rFonts w:asciiTheme="majorBidi" w:eastAsia="Times New Roman" w:hAnsiTheme="majorBidi" w:cstheme="majorBidi"/>
          <w:sz w:val="20"/>
          <w:szCs w:val="20"/>
          <w:lang w:bidi="ar-EG"/>
        </w:rPr>
        <w:t>« </w:t>
      </w:r>
      <w:r w:rsidRPr="00F230F1">
        <w:rPr>
          <w:rFonts w:asciiTheme="majorBidi" w:eastAsia="Times New Roman" w:hAnsiTheme="majorBidi" w:cstheme="majorBidi"/>
          <w:i/>
          <w:iCs/>
          <w:sz w:val="20"/>
          <w:szCs w:val="20"/>
          <w:lang w:bidi="ar-EG"/>
        </w:rPr>
        <w:t>Yā</w:t>
      </w:r>
      <w:r w:rsidRPr="00F230F1">
        <w:rPr>
          <w:rFonts w:asciiTheme="majorBidi" w:eastAsia="Times New Roman" w:hAnsiTheme="majorBidi" w:cstheme="majorBidi"/>
          <w:i/>
          <w:iCs/>
          <w:sz w:val="20"/>
          <w:szCs w:val="20"/>
        </w:rPr>
        <w:t xml:space="preserve"> </w:t>
      </w:r>
      <w:r w:rsidRPr="00F230F1">
        <w:rPr>
          <w:rFonts w:asciiTheme="majorBidi" w:eastAsia="Times New Roman" w:hAnsiTheme="majorBidi" w:cstheme="majorBidi"/>
          <w:i/>
          <w:iCs/>
          <w:sz w:val="20"/>
          <w:szCs w:val="20"/>
          <w:lang w:bidi="ar-EG"/>
        </w:rPr>
        <w:t>ayyuha l-ladhīna āmanū</w:t>
      </w:r>
      <w:r w:rsidRPr="00F230F1">
        <w:rPr>
          <w:rFonts w:asciiTheme="majorBidi" w:eastAsia="Times New Roman" w:hAnsiTheme="majorBidi" w:cstheme="majorBidi"/>
          <w:sz w:val="20"/>
          <w:szCs w:val="20"/>
          <w:lang w:bidi="ar-EG"/>
        </w:rPr>
        <w:t> » [</w:t>
      </w:r>
      <w:r w:rsidRPr="00F230F1">
        <w:rPr>
          <w:rFonts w:asciiTheme="majorBidi" w:eastAsia="Times New Roman" w:hAnsiTheme="majorBidi" w:cstheme="majorBidi"/>
          <w:i/>
          <w:iCs/>
          <w:sz w:val="20"/>
          <w:szCs w:val="20"/>
        </w:rPr>
        <w:t>Ô vous qui croyez !</w:t>
      </w:r>
      <w:r w:rsidRPr="00F230F1">
        <w:rPr>
          <w:rFonts w:asciiTheme="majorBidi" w:eastAsia="Times New Roman" w:hAnsiTheme="majorBidi" w:cstheme="majorBidi"/>
          <w:sz w:val="20"/>
          <w:szCs w:val="20"/>
          <w:lang w:bidi="ar-EG"/>
        </w:rPr>
        <w:t>]</w:t>
      </w:r>
      <w:r w:rsidRPr="00F230F1">
        <w:rPr>
          <w:rFonts w:asciiTheme="majorBidi" w:hAnsiTheme="majorBidi" w:cstheme="majorBidi"/>
          <w:sz w:val="20"/>
          <w:szCs w:val="20"/>
          <w:lang w:bidi="ar-KW"/>
        </w:rPr>
        <w:t>, même s’il y avait parmi eux des non-croyants. »]</w:t>
      </w:r>
      <w:r w:rsidRPr="00F230F1">
        <w:rPr>
          <w:rFonts w:asciiTheme="majorBidi" w:eastAsia="Times New Roman" w:hAnsiTheme="majorBidi" w:cstheme="majorBidi"/>
          <w:sz w:val="20"/>
          <w:szCs w:val="20"/>
        </w:rPr>
        <w:t xml:space="preserve">. Az-Zarkashī, </w:t>
      </w:r>
      <w:r w:rsidRPr="00F230F1">
        <w:rPr>
          <w:rStyle w:val="st"/>
          <w:rFonts w:asciiTheme="majorBidi" w:hAnsiTheme="majorBidi" w:cstheme="majorBidi"/>
          <w:sz w:val="20"/>
          <w:szCs w:val="20"/>
        </w:rPr>
        <w:t>Badr ad-Dīn Abū ʿAbd Allāh Muḥammad ibn Jamāl ad-Dīn ʿAbd Allāh ibn Bahādur</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Al-Burhān fī ʿulūm al-qurʾān</w:t>
      </w:r>
      <w:r w:rsidRPr="00F230F1">
        <w:rPr>
          <w:rFonts w:asciiTheme="majorBidi" w:hAnsiTheme="majorBidi" w:cstheme="majorBidi"/>
          <w:sz w:val="20"/>
          <w:szCs w:val="20"/>
          <w:lang w:bidi="ar-KW"/>
        </w:rPr>
        <w:t xml:space="preserve">, version numérique, Librairie islamique Mishkāt, p. 94, [ </w:t>
      </w:r>
      <w:hyperlink r:id="rId102" w:history="1">
        <w:r w:rsidRPr="00F230F1">
          <w:rPr>
            <w:rStyle w:val="Lienhypertexte"/>
            <w:rFonts w:asciiTheme="majorBidi" w:hAnsiTheme="majorBidi" w:cstheme="majorBidi"/>
            <w:sz w:val="20"/>
            <w:szCs w:val="20"/>
            <w:lang w:bidi="ar-AE"/>
          </w:rPr>
          <w:t>http://www.islamizeme.com</w:t>
        </w:r>
        <w:r w:rsidRPr="00F230F1">
          <w:rPr>
            <w:rStyle w:val="Lienhypertexte"/>
            <w:rFonts w:asciiTheme="majorBidi" w:hAnsiTheme="majorBidi" w:cstheme="majorBidi"/>
            <w:sz w:val="20"/>
            <w:szCs w:val="20"/>
            <w:rtl/>
            <w:lang w:bidi="ar-AE"/>
          </w:rPr>
          <w:t>/</w:t>
        </w:r>
      </w:hyperlink>
      <w:r w:rsidRPr="00F230F1">
        <w:rPr>
          <w:rFonts w:asciiTheme="majorBidi" w:hAnsiTheme="majorBidi" w:cstheme="majorBidi"/>
          <w:sz w:val="20"/>
          <w:szCs w:val="20"/>
          <w:lang w:bidi="ar-KW"/>
        </w:rPr>
        <w:t>] (consulté le 31/07/2017).</w:t>
      </w:r>
    </w:p>
  </w:footnote>
  <w:footnote w:id="307">
    <w:p w14:paraId="60232469" w14:textId="77777777" w:rsidR="009C3BB9" w:rsidRPr="00F230F1" w:rsidRDefault="009C3BB9" w:rsidP="00F230F1">
      <w:pPr>
        <w:pStyle w:val="n1"/>
        <w:bidi w:val="0"/>
        <w:contextualSpacing/>
        <w:jc w:val="both"/>
        <w:rPr>
          <w:rFonts w:asciiTheme="majorBidi" w:hAnsiTheme="majorBidi" w:cstheme="majorBidi"/>
          <w:color w:val="FF0000"/>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Abu-l-Ḥasan ʿAlī b. Aḥmad b. Muḥammad b. ʿAlī al-Wāḥidī an-Naysābūrī ash-shāfiʿī, </w:t>
      </w:r>
      <w:r w:rsidRPr="00F230F1">
        <w:rPr>
          <w:rFonts w:asciiTheme="majorBidi" w:hAnsiTheme="majorBidi" w:cstheme="majorBidi"/>
          <w:i/>
          <w:iCs/>
          <w:sz w:val="20"/>
          <w:szCs w:val="20"/>
        </w:rPr>
        <w:t>Asbāb an-nuzūl</w:t>
      </w:r>
      <w:r w:rsidRPr="00F230F1">
        <w:rPr>
          <w:rFonts w:asciiTheme="majorBidi" w:hAnsiTheme="majorBidi" w:cstheme="majorBidi"/>
          <w:sz w:val="20"/>
          <w:szCs w:val="20"/>
        </w:rPr>
        <w:t xml:space="preserve">, Dār al-Kutub al-ʿarabiyya al-kubrā, Le Caire, 1327 H. [1909],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Voir aussi : Az-Zarkashī, Badr ad-Dīn Muḥammad ibn ʿAbd Allāh, </w:t>
      </w:r>
      <w:r w:rsidRPr="00F230F1">
        <w:rPr>
          <w:rFonts w:asciiTheme="majorBidi" w:hAnsiTheme="majorBidi" w:cstheme="majorBidi"/>
          <w:i/>
          <w:iCs/>
          <w:sz w:val="20"/>
          <w:szCs w:val="20"/>
        </w:rPr>
        <w:t>Al-Burhān fī ʿulūm al-qurʾān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Dār al-Maʿrifa, 1990, 4 tomes. </w:t>
      </w:r>
    </w:p>
  </w:footnote>
  <w:footnote w:id="308">
    <w:p w14:paraId="3F38B154"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Kazimirski, </w:t>
      </w:r>
      <w:r w:rsidRPr="00F230F1">
        <w:rPr>
          <w:rFonts w:asciiTheme="majorBidi" w:hAnsiTheme="majorBidi" w:cstheme="majorBidi"/>
          <w:i/>
          <w:iCs/>
          <w:sz w:val="20"/>
          <w:szCs w:val="20"/>
        </w:rPr>
        <w:t>Le Coran, traduit de l’arabe par Kazimirski</w:t>
      </w:r>
      <w:r w:rsidRPr="00F230F1">
        <w:rPr>
          <w:rFonts w:asciiTheme="majorBidi" w:hAnsiTheme="majorBidi" w:cstheme="majorBidi"/>
          <w:sz w:val="20"/>
          <w:szCs w:val="20"/>
        </w:rPr>
        <w:t xml:space="preserve">, chronologie et préface par : Mohammed Arkoun, Éditions Garnier-Flammarion, Paris, 1970, p. 259,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p>
  </w:footnote>
  <w:footnote w:id="309">
    <w:p w14:paraId="7CF7AD8B" w14:textId="77777777" w:rsidR="009C3BB9" w:rsidRPr="00F230F1" w:rsidRDefault="009C3BB9" w:rsidP="00F230F1">
      <w:pPr>
        <w:contextualSpacing/>
        <w:jc w:val="both"/>
        <w:rPr>
          <w:rFonts w:asciiTheme="majorBidi" w:eastAsia="SimSun" w:hAnsiTheme="majorBidi" w:cstheme="majorBidi"/>
          <w:sz w:val="20"/>
          <w:szCs w:val="20"/>
          <w:lang w:eastAsia="zh-CN"/>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Dominique Abd Allāh Penot, </w:t>
      </w:r>
      <w:r w:rsidRPr="00F230F1">
        <w:rPr>
          <w:rFonts w:asciiTheme="majorBidi" w:hAnsiTheme="majorBidi" w:cstheme="majorBidi"/>
          <w:i/>
          <w:iCs/>
          <w:sz w:val="20"/>
          <w:szCs w:val="20"/>
        </w:rPr>
        <w:t>Le Coran</w:t>
      </w:r>
      <w:r w:rsidRPr="00F230F1">
        <w:rPr>
          <w:rFonts w:asciiTheme="majorBidi" w:hAnsiTheme="majorBidi" w:cstheme="majorBidi"/>
          <w:sz w:val="20"/>
          <w:szCs w:val="20"/>
        </w:rPr>
        <w:t>,</w:t>
      </w:r>
      <w:r w:rsidRPr="00F230F1">
        <w:rPr>
          <w:rFonts w:asciiTheme="majorBidi" w:hAnsiTheme="majorBidi" w:cstheme="majorBidi"/>
          <w:b/>
          <w:bCs/>
          <w:sz w:val="20"/>
          <w:szCs w:val="20"/>
        </w:rPr>
        <w:t> </w:t>
      </w:r>
      <w:r w:rsidRPr="00F230F1">
        <w:rPr>
          <w:rFonts w:asciiTheme="majorBidi" w:hAnsiTheme="majorBidi" w:cstheme="majorBidi"/>
          <w:sz w:val="20"/>
          <w:szCs w:val="20"/>
        </w:rPr>
        <w:t xml:space="preserve">France, Éditions Alif, 2007, p. 2. Voir également : </w:t>
      </w:r>
      <w:r w:rsidRPr="00F230F1">
        <w:rPr>
          <w:rFonts w:asciiTheme="majorBidi" w:eastAsia="SimSun" w:hAnsiTheme="majorBidi" w:cstheme="majorBidi"/>
          <w:sz w:val="20"/>
          <w:szCs w:val="20"/>
          <w:lang w:eastAsia="zh-CN"/>
        </w:rPr>
        <w:t xml:space="preserve">Abdel Méguid, Noha, </w:t>
      </w:r>
      <w:r w:rsidRPr="00F230F1">
        <w:rPr>
          <w:rFonts w:asciiTheme="majorBidi" w:eastAsia="SimSun" w:hAnsiTheme="majorBidi" w:cstheme="majorBidi"/>
          <w:i/>
          <w:iCs/>
          <w:sz w:val="20"/>
          <w:szCs w:val="20"/>
          <w:lang w:eastAsia="zh-CN"/>
        </w:rPr>
        <w:t>Rhétorique du texte traduit et Interprétation(s) du sens. Application sur une sourate du Coran dans les traductions de Régis Blachère et de Jacques Berque</w:t>
      </w:r>
      <w:r w:rsidRPr="00F230F1">
        <w:rPr>
          <w:rFonts w:asciiTheme="majorBidi" w:eastAsia="SimSun" w:hAnsiTheme="majorBidi" w:cstheme="majorBidi"/>
          <w:sz w:val="20"/>
          <w:szCs w:val="20"/>
          <w:lang w:eastAsia="zh-CN"/>
        </w:rPr>
        <w:t>, thèse de doctorat, Université de Paris III [Sorbonne Nouvelle], Université de Helwan, Mai 2011.</w:t>
      </w:r>
    </w:p>
  </w:footnote>
  <w:footnote w:id="310">
    <w:p w14:paraId="44C99905"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Selon le cheikh Muḥammad Rātib An-Nābulsī, le verbe</w:t>
      </w:r>
      <w:r w:rsidRPr="00F230F1">
        <w:rPr>
          <w:rFonts w:asciiTheme="majorBidi" w:hAnsiTheme="majorBidi" w:cstheme="majorBidi"/>
          <w:i/>
          <w:iCs/>
          <w:sz w:val="20"/>
          <w:szCs w:val="20"/>
        </w:rPr>
        <w:t xml:space="preserve"> ittaqā</w:t>
      </w:r>
      <w:r w:rsidRPr="00F230F1">
        <w:rPr>
          <w:rFonts w:asciiTheme="majorBidi" w:hAnsiTheme="majorBidi" w:cstheme="majorBidi"/>
          <w:sz w:val="20"/>
          <w:szCs w:val="20"/>
          <w:lang w:bidi="ar-AE"/>
        </w:rPr>
        <w:t xml:space="preserve"> [se prémunir]</w:t>
      </w:r>
      <w:r w:rsidRPr="00F230F1">
        <w:rPr>
          <w:rFonts w:asciiTheme="majorBidi" w:hAnsiTheme="majorBidi" w:cstheme="majorBidi"/>
          <w:sz w:val="20"/>
          <w:szCs w:val="20"/>
        </w:rPr>
        <w:t xml:space="preserve"> et ses dérivés sont mentionnés </w:t>
      </w:r>
      <w:r w:rsidRPr="00F230F1">
        <w:rPr>
          <w:rFonts w:asciiTheme="majorBidi" w:hAnsiTheme="majorBidi" w:cstheme="majorBidi"/>
          <w:sz w:val="20"/>
          <w:szCs w:val="20"/>
          <w:lang w:bidi="ar-AE"/>
        </w:rPr>
        <w:t>plus de 300 fois dans le Coran (</w:t>
      </w:r>
      <w:r w:rsidRPr="00F230F1">
        <w:rPr>
          <w:rFonts w:asciiTheme="majorBidi" w:hAnsiTheme="majorBidi" w:cstheme="majorBidi"/>
          <w:sz w:val="20"/>
          <w:szCs w:val="20"/>
        </w:rPr>
        <w:t xml:space="preserve">l’Encyclopédie </w:t>
      </w:r>
      <w:r w:rsidRPr="00F230F1">
        <w:rPr>
          <w:rFonts w:asciiTheme="majorBidi" w:hAnsiTheme="majorBidi" w:cstheme="majorBidi"/>
          <w:i/>
          <w:iCs/>
          <w:sz w:val="20"/>
          <w:szCs w:val="20"/>
        </w:rPr>
        <w:t>An-Nābulsī</w:t>
      </w:r>
      <w:r w:rsidRPr="00F230F1">
        <w:rPr>
          <w:rFonts w:asciiTheme="majorBidi" w:hAnsiTheme="majorBidi" w:cstheme="majorBidi"/>
          <w:sz w:val="20"/>
          <w:szCs w:val="20"/>
        </w:rPr>
        <w:t xml:space="preserve">, </w:t>
      </w:r>
      <w:hyperlink r:id="rId103" w:history="1">
        <w:r w:rsidRPr="00F230F1">
          <w:rPr>
            <w:rStyle w:val="Lienhypertexte"/>
            <w:rFonts w:asciiTheme="majorBidi" w:hAnsiTheme="majorBidi" w:cstheme="majorBidi"/>
            <w:sz w:val="20"/>
            <w:szCs w:val="20"/>
            <w:lang w:bidi="ar-AE"/>
          </w:rPr>
          <w:t>http://www.nabulsi.com/blue/ar/print.php?art=2587</w:t>
        </w:r>
      </w:hyperlink>
      <w:r w:rsidRPr="00F230F1">
        <w:rPr>
          <w:rFonts w:asciiTheme="majorBidi" w:hAnsiTheme="majorBidi" w:cstheme="majorBidi"/>
          <w:sz w:val="20"/>
          <w:szCs w:val="20"/>
          <w:lang w:bidi="ar-AE"/>
        </w:rPr>
        <w:t>).</w:t>
      </w:r>
    </w:p>
  </w:footnote>
  <w:footnote w:id="311">
    <w:p w14:paraId="05002179"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eastAsia="fr-FR" w:bidi="ar-EG"/>
        </w:rPr>
        <w:t xml:space="preserve">Dans son </w:t>
      </w:r>
      <w:r w:rsidRPr="00F230F1">
        <w:rPr>
          <w:rFonts w:asciiTheme="majorBidi" w:hAnsiTheme="majorBidi" w:cstheme="majorBidi"/>
          <w:i/>
          <w:iCs/>
          <w:sz w:val="20"/>
          <w:szCs w:val="20"/>
          <w:lang w:eastAsia="fr-FR" w:bidi="ar-EG"/>
        </w:rPr>
        <w:t>Tafsīr</w:t>
      </w:r>
      <w:r w:rsidRPr="00F230F1">
        <w:rPr>
          <w:rFonts w:asciiTheme="majorBidi" w:hAnsiTheme="majorBidi" w:cstheme="majorBidi"/>
          <w:sz w:val="20"/>
          <w:szCs w:val="20"/>
          <w:lang w:eastAsia="fr-FR" w:bidi="ar-EG"/>
        </w:rPr>
        <w:t xml:space="preserve">, </w:t>
      </w:r>
      <w:r w:rsidRPr="00F230F1">
        <w:rPr>
          <w:rFonts w:asciiTheme="majorBidi" w:hAnsiTheme="majorBidi" w:cstheme="majorBidi"/>
          <w:sz w:val="20"/>
          <w:szCs w:val="20"/>
        </w:rPr>
        <w:t xml:space="preserve">l’exégète Ibn Kathīr rapporte que lorsque ʿUmar ibn Al-Khaṭṭāb demanda à </w:t>
      </w:r>
      <w:r w:rsidRPr="00F230F1">
        <w:rPr>
          <w:rFonts w:asciiTheme="majorBidi" w:hAnsiTheme="majorBidi" w:cstheme="majorBidi"/>
          <w:sz w:val="20"/>
          <w:szCs w:val="20"/>
          <w:lang w:eastAsia="fr-FR" w:bidi="ar-EG"/>
        </w:rPr>
        <w:t xml:space="preserve">Ubayy Ibn Kaʿb quel était le sens du mot </w:t>
      </w:r>
      <w:r w:rsidRPr="00F230F1">
        <w:rPr>
          <w:rFonts w:asciiTheme="majorBidi" w:hAnsiTheme="majorBidi" w:cstheme="majorBidi"/>
          <w:i/>
          <w:iCs/>
          <w:sz w:val="20"/>
          <w:szCs w:val="20"/>
          <w:lang w:eastAsia="fr-FR" w:bidi="ar-EG"/>
        </w:rPr>
        <w:t>taqwā</w:t>
      </w:r>
      <w:r w:rsidRPr="00F230F1">
        <w:rPr>
          <w:rFonts w:asciiTheme="majorBidi" w:hAnsiTheme="majorBidi" w:cstheme="majorBidi"/>
          <w:sz w:val="20"/>
          <w:szCs w:val="20"/>
          <w:lang w:eastAsia="fr-FR" w:bidi="ar-EG"/>
        </w:rPr>
        <w:t xml:space="preserve">, ce dernier répondit par une autre question : – Avez-vous déjà marché dans un chemin buissonnier plein d’épines ? – Oui ! répondit ʿUmar. – Alors qu’avez-vous fait ? demanda Ubayy. – Je me suis préparé et j’ai marché très attentivement, dit ʿUmar. Et Ubayy de répondre : – C’est cela la </w:t>
      </w:r>
      <w:r w:rsidRPr="00F230F1">
        <w:rPr>
          <w:rFonts w:asciiTheme="majorBidi" w:hAnsiTheme="majorBidi" w:cstheme="majorBidi"/>
          <w:i/>
          <w:iCs/>
          <w:sz w:val="20"/>
          <w:szCs w:val="20"/>
          <w:lang w:eastAsia="fr-FR" w:bidi="ar-EG"/>
        </w:rPr>
        <w:t>taqwā</w:t>
      </w:r>
      <w:r w:rsidRPr="00F230F1">
        <w:rPr>
          <w:rFonts w:asciiTheme="majorBidi" w:hAnsiTheme="majorBidi" w:cstheme="majorBidi"/>
          <w:sz w:val="20"/>
          <w:szCs w:val="20"/>
          <w:lang w:eastAsia="fr-FR" w:bidi="ar-EG"/>
        </w:rPr>
        <w:t xml:space="preserve">. » On a demandé au </w:t>
      </w:r>
      <w:r w:rsidRPr="00F230F1">
        <w:rPr>
          <w:rFonts w:asciiTheme="majorBidi" w:hAnsiTheme="majorBidi" w:cstheme="majorBidi"/>
          <w:i/>
          <w:iCs/>
          <w:sz w:val="20"/>
          <w:szCs w:val="20"/>
          <w:lang w:eastAsia="fr-FR" w:bidi="ar-EG"/>
        </w:rPr>
        <w:t>muḥaddith</w:t>
      </w:r>
      <w:r w:rsidRPr="00F230F1">
        <w:rPr>
          <w:rFonts w:asciiTheme="majorBidi" w:hAnsiTheme="majorBidi" w:cstheme="majorBidi"/>
          <w:sz w:val="20"/>
          <w:szCs w:val="20"/>
          <w:lang w:eastAsia="fr-FR" w:bidi="ar-EG"/>
        </w:rPr>
        <w:t xml:space="preserve"> Talq Ibn Ḥabīb de définir </w:t>
      </w:r>
      <w:r w:rsidRPr="00F230F1">
        <w:rPr>
          <w:rFonts w:asciiTheme="majorBidi" w:hAnsiTheme="majorBidi" w:cstheme="majorBidi"/>
          <w:iCs/>
          <w:sz w:val="20"/>
          <w:szCs w:val="20"/>
          <w:lang w:eastAsia="fr-FR" w:bidi="ar-EG"/>
        </w:rPr>
        <w:t xml:space="preserve">la </w:t>
      </w:r>
      <w:r w:rsidRPr="00F230F1">
        <w:rPr>
          <w:rFonts w:asciiTheme="majorBidi" w:hAnsiTheme="majorBidi" w:cstheme="majorBidi"/>
          <w:i/>
          <w:iCs/>
          <w:sz w:val="20"/>
          <w:szCs w:val="20"/>
          <w:lang w:eastAsia="fr-FR" w:bidi="ar-EG"/>
        </w:rPr>
        <w:t>taqwā</w:t>
      </w:r>
      <w:r w:rsidRPr="00F230F1">
        <w:rPr>
          <w:rFonts w:asciiTheme="majorBidi" w:hAnsiTheme="majorBidi" w:cstheme="majorBidi"/>
          <w:sz w:val="20"/>
          <w:szCs w:val="20"/>
          <w:lang w:eastAsia="fr-FR" w:bidi="ar-EG"/>
        </w:rPr>
        <w:t xml:space="preserve"> ». Il a dit : « La </w:t>
      </w:r>
      <w:r w:rsidRPr="00F230F1">
        <w:rPr>
          <w:rFonts w:asciiTheme="majorBidi" w:hAnsiTheme="majorBidi" w:cstheme="majorBidi"/>
          <w:i/>
          <w:iCs/>
          <w:sz w:val="20"/>
          <w:szCs w:val="20"/>
          <w:lang w:eastAsia="fr-FR" w:bidi="ar-EG"/>
        </w:rPr>
        <w:t>taqwā</w:t>
      </w:r>
      <w:r w:rsidRPr="00F230F1">
        <w:rPr>
          <w:rFonts w:asciiTheme="majorBidi" w:hAnsiTheme="majorBidi" w:cstheme="majorBidi"/>
          <w:sz w:val="20"/>
          <w:szCs w:val="20"/>
          <w:lang w:eastAsia="fr-FR" w:bidi="ar-EG"/>
        </w:rPr>
        <w:t xml:space="preserve">, c’est d’agir dans </w:t>
      </w:r>
      <w:r w:rsidRPr="00F230F1">
        <w:rPr>
          <w:rFonts w:asciiTheme="majorBidi" w:hAnsiTheme="majorBidi" w:cstheme="majorBidi"/>
          <w:i/>
          <w:iCs/>
          <w:sz w:val="20"/>
          <w:szCs w:val="20"/>
          <w:lang w:eastAsia="fr-FR" w:bidi="ar-EG"/>
        </w:rPr>
        <w:t>l’obéissance</w:t>
      </w:r>
      <w:r w:rsidRPr="00F230F1">
        <w:rPr>
          <w:rFonts w:asciiTheme="majorBidi" w:hAnsiTheme="majorBidi" w:cstheme="majorBidi"/>
          <w:sz w:val="20"/>
          <w:szCs w:val="20"/>
          <w:lang w:eastAsia="fr-FR" w:bidi="ar-EG"/>
        </w:rPr>
        <w:t xml:space="preserve"> d’Allah, […] c’est d’abandonner les actes de désobéissance à Allah, </w:t>
      </w:r>
      <w:r w:rsidRPr="00F230F1">
        <w:rPr>
          <w:rFonts w:asciiTheme="majorBidi" w:hAnsiTheme="majorBidi" w:cstheme="majorBidi"/>
          <w:i/>
          <w:iCs/>
          <w:sz w:val="20"/>
          <w:szCs w:val="20"/>
          <w:lang w:eastAsia="fr-FR" w:bidi="ar-EG"/>
        </w:rPr>
        <w:t>par crainte</w:t>
      </w:r>
      <w:r w:rsidRPr="00F230F1">
        <w:rPr>
          <w:rFonts w:asciiTheme="majorBidi" w:hAnsiTheme="majorBidi" w:cstheme="majorBidi"/>
          <w:sz w:val="20"/>
          <w:szCs w:val="20"/>
          <w:lang w:eastAsia="fr-FR" w:bidi="ar-EG"/>
        </w:rPr>
        <w:t xml:space="preserve"> de Lui […]. » (Rapporté par Ibn Abī Shayba dans son </w:t>
      </w:r>
      <w:r w:rsidRPr="00F230F1">
        <w:rPr>
          <w:rFonts w:asciiTheme="majorBidi" w:hAnsiTheme="majorBidi" w:cstheme="majorBidi"/>
          <w:i/>
          <w:iCs/>
          <w:sz w:val="20"/>
          <w:szCs w:val="20"/>
          <w:lang w:eastAsia="fr-FR" w:bidi="ar-EG"/>
        </w:rPr>
        <w:t>Kitāb al-īmān</w:t>
      </w:r>
      <w:r w:rsidRPr="00F230F1">
        <w:rPr>
          <w:rFonts w:asciiTheme="majorBidi" w:hAnsiTheme="majorBidi" w:cstheme="majorBidi"/>
          <w:sz w:val="20"/>
          <w:szCs w:val="20"/>
          <w:lang w:eastAsia="fr-FR" w:bidi="ar-EG"/>
        </w:rPr>
        <w:t>, n° 99).</w:t>
      </w:r>
    </w:p>
  </w:footnote>
  <w:footnote w:id="312">
    <w:p w14:paraId="7110CB76"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Abū Mūsā Al-Ḥarīrī, </w:t>
      </w:r>
      <w:r w:rsidRPr="00F230F1">
        <w:rPr>
          <w:rFonts w:asciiTheme="majorBidi" w:hAnsiTheme="majorBidi" w:cstheme="majorBidi"/>
          <w:i/>
          <w:iCs/>
          <w:sz w:val="20"/>
          <w:szCs w:val="20"/>
          <w:lang w:bidi="ar-AE"/>
        </w:rPr>
        <w:t>ʾAl-ʿAlawyīūn an-Nuṣayryīūn</w:t>
      </w:r>
      <w:r w:rsidRPr="00F230F1">
        <w:rPr>
          <w:rFonts w:asciiTheme="majorBidi" w:hAnsiTheme="majorBidi" w:cstheme="majorBidi"/>
          <w:sz w:val="20"/>
          <w:szCs w:val="20"/>
          <w:lang w:bidi="ar-AE"/>
        </w:rPr>
        <w:t>,</w:t>
      </w:r>
      <w:r w:rsidRPr="00F230F1">
        <w:rPr>
          <w:rFonts w:asciiTheme="majorBidi" w:hAnsiTheme="majorBidi" w:cstheme="majorBidi"/>
          <w:i/>
          <w:iCs/>
          <w:sz w:val="20"/>
          <w:szCs w:val="20"/>
          <w:lang w:bidi="ar-AE"/>
        </w:rPr>
        <w:t xml:space="preserve"> op. cit</w:t>
      </w:r>
      <w:r w:rsidRPr="00F230F1">
        <w:rPr>
          <w:rFonts w:asciiTheme="majorBidi" w:hAnsiTheme="majorBidi" w:cstheme="majorBidi"/>
          <w:sz w:val="20"/>
          <w:szCs w:val="20"/>
          <w:lang w:bidi="ar-AE"/>
        </w:rPr>
        <w:t>. Les alaouites considèrent l’alcool comme licite et recommandé pour la communion. Cette licéité d’alcool est le fruit d’un effort exégétique. À propos de la licéité du vin, voir pp. 68, 69, 102, 105, 111, 122, 133 [dans la version électronique du livre]. À propos de la réincarnation, voir p. 54. À propos de l’importance du vin dans les cultes et les cérémonies liturgiques alaouites, de la croyance alaouite en la réincarnation et de la dénégation de la notion orthodoxe (sunnite et chiite) de la résurrection, de l’Enfer et du Paradis, Al-Ḥarīrī rapporte le propos d’Ibn Taymīya (p. 122) :</w:t>
      </w:r>
    </w:p>
    <w:p w14:paraId="2C5A6A06" w14:textId="77777777" w:rsidR="009C3BB9" w:rsidRPr="00F230F1" w:rsidRDefault="009C3BB9" w:rsidP="00F230F1">
      <w:pPr>
        <w:bidi/>
        <w:contextualSpacing/>
        <w:jc w:val="both"/>
        <w:rPr>
          <w:rFonts w:asciiTheme="majorBidi" w:hAnsiTheme="majorBidi" w:cstheme="majorBidi"/>
          <w:sz w:val="20"/>
          <w:szCs w:val="20"/>
          <w:lang w:bidi="ar-AE"/>
        </w:rPr>
      </w:pPr>
      <w:r w:rsidRPr="00F230F1">
        <w:rPr>
          <w:rFonts w:asciiTheme="majorBidi" w:hAnsiTheme="majorBidi" w:cstheme="majorBidi"/>
          <w:sz w:val="20"/>
          <w:szCs w:val="20"/>
          <w:rtl/>
          <w:lang w:bidi="ar-AE"/>
        </w:rPr>
        <w:t>"النصيرية القائلين باستحلال الخمر وتناسخ الأرواح وقِدَم العالَم وإنكار وجود البعث والنشور والجنة والنار في غير الحياة الدنيا."</w:t>
      </w:r>
    </w:p>
    <w:p w14:paraId="23A24145" w14:textId="77777777" w:rsidR="009C3BB9" w:rsidRPr="00F230F1" w:rsidRDefault="009C3BB9" w:rsidP="00F230F1">
      <w:pPr>
        <w:contextualSpacing/>
        <w:jc w:val="both"/>
        <w:rPr>
          <w:rFonts w:asciiTheme="majorBidi" w:hAnsiTheme="majorBidi" w:cstheme="majorBidi"/>
          <w:sz w:val="20"/>
          <w:szCs w:val="20"/>
          <w:lang w:bidi="ar-AE"/>
        </w:rPr>
      </w:pPr>
      <w:r w:rsidRPr="00F230F1">
        <w:rPr>
          <w:rFonts w:asciiTheme="majorBidi" w:hAnsiTheme="majorBidi" w:cstheme="majorBidi"/>
          <w:sz w:val="20"/>
          <w:szCs w:val="20"/>
          <w:lang w:bidi="ar-AE"/>
        </w:rPr>
        <w:t>[« Les nusayrites qui croient à la licéité du vin, à la réincarnation et à l’éternité du monde et qui nient la Résurrection, le Jugement dernier, le Paradis et l’Enfer de l’au-delà. »]</w:t>
      </w:r>
    </w:p>
    <w:p w14:paraId="22AECCC9"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Fonts w:asciiTheme="majorBidi" w:hAnsiTheme="majorBidi" w:cstheme="majorBidi"/>
          <w:sz w:val="20"/>
          <w:szCs w:val="20"/>
          <w:lang w:bidi="ar-AE"/>
        </w:rPr>
        <w:t>La tradition alaouite rapporte un célèbre poème écrit par Al-Muntajab Al-ʿ</w:t>
      </w:r>
      <w:r w:rsidRPr="00F230F1">
        <w:rPr>
          <w:rFonts w:asciiTheme="majorBidi" w:hAnsiTheme="majorBidi" w:cstheme="majorBidi"/>
          <w:smallCaps/>
          <w:sz w:val="20"/>
          <w:szCs w:val="20"/>
          <w:lang w:bidi="ar-AE"/>
        </w:rPr>
        <w:t>ā</w:t>
      </w:r>
      <w:r w:rsidRPr="00F230F1">
        <w:rPr>
          <w:rFonts w:asciiTheme="majorBidi" w:hAnsiTheme="majorBidi" w:cstheme="majorBidi"/>
          <w:sz w:val="20"/>
          <w:szCs w:val="20"/>
          <w:lang w:bidi="ar-AE"/>
        </w:rPr>
        <w:t xml:space="preserve">nī, éminent poète et théologien alaouite. Ce poème qui commence par </w:t>
      </w:r>
      <w:r w:rsidRPr="00F230F1">
        <w:rPr>
          <w:rFonts w:asciiTheme="majorBidi" w:hAnsiTheme="majorBidi" w:cstheme="majorBidi"/>
          <w:i/>
          <w:iCs/>
          <w:sz w:val="20"/>
          <w:szCs w:val="20"/>
          <w:lang w:bidi="ar-AE"/>
        </w:rPr>
        <w:t>Mil yumnatan bi-liwa l-ʿaqīqi wa-bānihī</w:t>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rtl/>
          <w:lang w:bidi="ar-AE"/>
        </w:rPr>
        <w:t>مِلْ يُـمنَةً ب</w:t>
      </w:r>
      <w:r w:rsidRPr="00F230F1">
        <w:rPr>
          <w:rFonts w:asciiTheme="majorBidi" w:hAnsiTheme="majorBidi" w:cstheme="majorBidi"/>
          <w:sz w:val="20"/>
          <w:szCs w:val="20"/>
          <w:rtl/>
          <w:lang w:bidi="ar-KW"/>
        </w:rPr>
        <w:t>ِ</w:t>
      </w:r>
      <w:r w:rsidRPr="00F230F1">
        <w:rPr>
          <w:rFonts w:asciiTheme="majorBidi" w:hAnsiTheme="majorBidi" w:cstheme="majorBidi"/>
          <w:sz w:val="20"/>
          <w:szCs w:val="20"/>
          <w:rtl/>
          <w:lang w:bidi="ar-AE"/>
        </w:rPr>
        <w:t>لِوى العقيقِ وبانهِ</w:t>
      </w:r>
      <w:r w:rsidRPr="00F230F1">
        <w:rPr>
          <w:rFonts w:asciiTheme="majorBidi" w:hAnsiTheme="majorBidi" w:cstheme="majorBidi"/>
          <w:sz w:val="20"/>
          <w:szCs w:val="20"/>
          <w:lang w:bidi="ar-AE"/>
        </w:rPr>
        <w:t xml:space="preserve">) met l’accent sur le caractère sacré du vin et souligne l’idée que le </w:t>
      </w:r>
      <w:r w:rsidRPr="00F230F1">
        <w:rPr>
          <w:rFonts w:asciiTheme="majorBidi" w:hAnsiTheme="majorBidi" w:cstheme="majorBidi"/>
          <w:i/>
          <w:iCs/>
          <w:sz w:val="20"/>
          <w:szCs w:val="20"/>
          <w:lang w:bidi="ar-AE"/>
        </w:rPr>
        <w:t>taḥrīm</w:t>
      </w:r>
      <w:r w:rsidRPr="00F230F1">
        <w:rPr>
          <w:rFonts w:asciiTheme="majorBidi" w:hAnsiTheme="majorBidi" w:cstheme="majorBidi"/>
          <w:sz w:val="20"/>
          <w:szCs w:val="20"/>
          <w:lang w:bidi="ar-AE"/>
        </w:rPr>
        <w:t xml:space="preserve"> [prohibition] est un </w:t>
      </w:r>
      <w:r w:rsidRPr="00F230F1">
        <w:rPr>
          <w:rFonts w:asciiTheme="majorBidi" w:hAnsiTheme="majorBidi" w:cstheme="majorBidi"/>
          <w:i/>
          <w:iCs/>
          <w:sz w:val="20"/>
          <w:szCs w:val="20"/>
          <w:lang w:bidi="ar-AE"/>
        </w:rPr>
        <w:t>takrīm</w:t>
      </w:r>
      <w:r w:rsidRPr="00F230F1">
        <w:rPr>
          <w:rFonts w:asciiTheme="majorBidi" w:hAnsiTheme="majorBidi" w:cstheme="majorBidi"/>
          <w:sz w:val="20"/>
          <w:szCs w:val="20"/>
          <w:lang w:bidi="ar-AE"/>
        </w:rPr>
        <w:t xml:space="preserve"> [signe de respect et d’honneur] (</w:t>
      </w:r>
      <w:r w:rsidRPr="00F230F1">
        <w:rPr>
          <w:rFonts w:asciiTheme="majorBidi" w:hAnsiTheme="majorBidi" w:cstheme="majorBidi"/>
          <w:i/>
          <w:iCs/>
          <w:sz w:val="20"/>
          <w:szCs w:val="20"/>
          <w:lang w:bidi="ar-AE"/>
        </w:rPr>
        <w:t>l’interdit</w:t>
      </w:r>
      <w:r w:rsidRPr="00F230F1">
        <w:rPr>
          <w:rFonts w:asciiTheme="majorBidi" w:hAnsiTheme="majorBidi" w:cstheme="majorBidi"/>
          <w:sz w:val="20"/>
          <w:szCs w:val="20"/>
          <w:lang w:bidi="ar-AE"/>
        </w:rPr>
        <w:t xml:space="preserve"> est la conséquence du </w:t>
      </w:r>
      <w:r w:rsidRPr="00F230F1">
        <w:rPr>
          <w:rFonts w:asciiTheme="majorBidi" w:hAnsiTheme="majorBidi" w:cstheme="majorBidi"/>
          <w:i/>
          <w:iCs/>
          <w:sz w:val="20"/>
          <w:szCs w:val="20"/>
          <w:lang w:bidi="ar-AE"/>
        </w:rPr>
        <w:t>sacré</w:t>
      </w:r>
      <w:r w:rsidRPr="00F230F1">
        <w:rPr>
          <w:rFonts w:asciiTheme="majorBidi" w:hAnsiTheme="majorBidi" w:cstheme="majorBidi"/>
          <w:sz w:val="20"/>
          <w:szCs w:val="20"/>
          <w:lang w:bidi="ar-AE"/>
        </w:rPr>
        <w:t>) :</w:t>
      </w:r>
    </w:p>
    <w:p w14:paraId="26F2F0E5" w14:textId="77777777" w:rsidR="009C3BB9" w:rsidRPr="00F230F1" w:rsidRDefault="009C3BB9" w:rsidP="00F230F1">
      <w:pPr>
        <w:bidi/>
        <w:contextualSpacing/>
        <w:jc w:val="both"/>
        <w:rPr>
          <w:rFonts w:asciiTheme="majorBidi" w:hAnsiTheme="majorBidi" w:cstheme="majorBidi"/>
          <w:sz w:val="20"/>
          <w:szCs w:val="20"/>
          <w:lang w:bidi="ar-AE"/>
        </w:rPr>
      </w:pPr>
      <w:r w:rsidRPr="00F230F1">
        <w:rPr>
          <w:rFonts w:asciiTheme="majorBidi" w:hAnsiTheme="majorBidi" w:cstheme="majorBidi"/>
          <w:sz w:val="20"/>
          <w:szCs w:val="20"/>
          <w:rtl/>
          <w:lang w:bidi="ar-AE"/>
        </w:rPr>
        <w:t>"- وأجلَّـها المختارُ عن يدِ جاهلٍ / أو جاحدٍ يصبو إلى شيطانهِ.</w:t>
      </w:r>
    </w:p>
    <w:p w14:paraId="51104BAB" w14:textId="77777777" w:rsidR="009C3BB9" w:rsidRPr="00F230F1" w:rsidRDefault="009C3BB9" w:rsidP="00F230F1">
      <w:pPr>
        <w:bidi/>
        <w:contextualSpacing/>
        <w:jc w:val="both"/>
        <w:rPr>
          <w:rFonts w:asciiTheme="majorBidi" w:hAnsiTheme="majorBidi" w:cstheme="majorBidi"/>
          <w:sz w:val="20"/>
          <w:szCs w:val="20"/>
          <w:rtl/>
          <w:lang w:bidi="ar-AE"/>
        </w:rPr>
      </w:pPr>
      <w:r w:rsidRPr="00F230F1">
        <w:rPr>
          <w:rFonts w:asciiTheme="majorBidi" w:hAnsiTheme="majorBidi" w:cstheme="majorBidi"/>
          <w:sz w:val="20"/>
          <w:szCs w:val="20"/>
          <w:rtl/>
          <w:lang w:bidi="ar-AE"/>
        </w:rPr>
        <w:t>- وأرادَ إتمامَ الكمالِ لشأنها / فأتى لها التحريمَ في قرآنهِ."</w:t>
      </w:r>
    </w:p>
    <w:p w14:paraId="7933CE16"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Fonts w:asciiTheme="majorBidi" w:hAnsiTheme="majorBidi" w:cstheme="majorBidi"/>
          <w:sz w:val="20"/>
          <w:szCs w:val="20"/>
          <w:lang w:bidi="ar-AE"/>
        </w:rPr>
        <w:t xml:space="preserve">(Voir : Asʿad ʿAlī, </w:t>
      </w:r>
      <w:r w:rsidRPr="00F230F1">
        <w:rPr>
          <w:rFonts w:asciiTheme="majorBidi" w:hAnsiTheme="majorBidi" w:cstheme="majorBidi"/>
          <w:i/>
          <w:iCs/>
          <w:sz w:val="20"/>
          <w:szCs w:val="20"/>
          <w:lang w:bidi="ar-AE"/>
        </w:rPr>
        <w:t>Fann al-Muntajab Al-ʿ</w:t>
      </w:r>
      <w:r w:rsidRPr="00F230F1">
        <w:rPr>
          <w:rFonts w:asciiTheme="majorBidi" w:hAnsiTheme="majorBidi" w:cstheme="majorBidi"/>
          <w:i/>
          <w:smallCaps/>
          <w:sz w:val="20"/>
          <w:szCs w:val="20"/>
          <w:lang w:bidi="ar-AE"/>
        </w:rPr>
        <w:t>ā</w:t>
      </w:r>
      <w:r w:rsidRPr="00F230F1">
        <w:rPr>
          <w:rFonts w:asciiTheme="majorBidi" w:hAnsiTheme="majorBidi" w:cstheme="majorBidi"/>
          <w:i/>
          <w:iCs/>
          <w:sz w:val="20"/>
          <w:szCs w:val="20"/>
          <w:lang w:bidi="ar-AE"/>
        </w:rPr>
        <w:t>nī wa-ʿirfānuh</w:t>
      </w:r>
      <w:r w:rsidRPr="00F230F1">
        <w:rPr>
          <w:rFonts w:asciiTheme="majorBidi" w:hAnsiTheme="majorBidi" w:cstheme="majorBidi"/>
          <w:sz w:val="20"/>
          <w:szCs w:val="20"/>
          <w:lang w:bidi="ar-AE"/>
        </w:rPr>
        <w:t xml:space="preserve"> [L’art d’al-Muntajab al-ʿĀnī et sa gnose], thèse de doctorat, Beyrouth, Dār an-Nuʿmān, 1968. Mudallal, ʿAbd ar-Raʾūf, « Dawr at-tashayyuʿ wa-ṣ-ṣūfīya bi-tarwīj al-mukhaddirāt fī Īrān » [Le rôle du chiisme et du soufisme dans le narcotrafic en Iran], </w:t>
      </w:r>
      <w:hyperlink r:id="rId104" w:history="1">
        <w:r w:rsidRPr="00F230F1">
          <w:rPr>
            <w:rStyle w:val="Lienhypertexte"/>
            <w:rFonts w:asciiTheme="majorBidi" w:hAnsiTheme="majorBidi" w:cstheme="majorBidi"/>
            <w:sz w:val="20"/>
            <w:szCs w:val="20"/>
            <w:lang w:bidi="ar-AE"/>
          </w:rPr>
          <w:t>http://www.dd-sunnah.net/records/view/action/view/id/2412/</w:t>
        </w:r>
      </w:hyperlink>
      <w:r w:rsidRPr="00F230F1">
        <w:rPr>
          <w:rFonts w:asciiTheme="majorBidi" w:hAnsiTheme="majorBidi" w:cstheme="majorBidi"/>
          <w:sz w:val="20"/>
          <w:szCs w:val="20"/>
          <w:lang w:bidi="ar-AE"/>
        </w:rPr>
        <w:t xml:space="preserve"> (consulté le 31/07/2017).</w:t>
      </w:r>
    </w:p>
    <w:p w14:paraId="53762291" w14:textId="77777777" w:rsidR="009C3BB9" w:rsidRPr="00F230F1" w:rsidRDefault="009C3BB9" w:rsidP="00F230F1">
      <w:pPr>
        <w:contextualSpacing/>
        <w:jc w:val="both"/>
        <w:rPr>
          <w:rFonts w:asciiTheme="majorBidi" w:hAnsiTheme="majorBidi" w:cstheme="majorBidi"/>
          <w:sz w:val="20"/>
          <w:szCs w:val="20"/>
          <w:lang w:bidi="ar-AE"/>
        </w:rPr>
      </w:pPr>
      <w:r w:rsidRPr="00F230F1">
        <w:rPr>
          <w:rFonts w:asciiTheme="majorBidi" w:hAnsiTheme="majorBidi" w:cstheme="majorBidi"/>
          <w:sz w:val="20"/>
          <w:szCs w:val="20"/>
          <w:lang w:bidi="ar-AE"/>
        </w:rPr>
        <w:t>De point de vue linguistique, philosophique et ésotérique, l’interdiction du vin [</w:t>
      </w:r>
      <w:r w:rsidRPr="00F230F1">
        <w:rPr>
          <w:rFonts w:asciiTheme="majorBidi" w:hAnsiTheme="majorBidi" w:cstheme="majorBidi"/>
          <w:i/>
          <w:iCs/>
          <w:sz w:val="20"/>
          <w:szCs w:val="20"/>
          <w:lang w:bidi="ar-AE"/>
        </w:rPr>
        <w:t>al-khamra</w:t>
      </w:r>
      <w:r w:rsidRPr="00F230F1">
        <w:rPr>
          <w:rFonts w:asciiTheme="majorBidi" w:hAnsiTheme="majorBidi" w:cstheme="majorBidi"/>
          <w:sz w:val="20"/>
          <w:szCs w:val="20"/>
          <w:lang w:bidi="ar-AE"/>
        </w:rPr>
        <w:t>] n’est pas un signe d’hommage et de respect au buveur, mais plutôt au vin lui-même que l’on appelle en arabe « </w:t>
      </w:r>
      <w:r w:rsidRPr="00F230F1">
        <w:rPr>
          <w:rFonts w:asciiTheme="majorBidi" w:hAnsiTheme="majorBidi" w:cstheme="majorBidi"/>
          <w:i/>
          <w:iCs/>
          <w:sz w:val="20"/>
          <w:szCs w:val="20"/>
          <w:lang w:bidi="ar-AE"/>
        </w:rPr>
        <w:t>bint al-karma</w:t>
      </w:r>
      <w:r w:rsidRPr="00F230F1">
        <w:rPr>
          <w:rFonts w:asciiTheme="majorBidi" w:hAnsiTheme="majorBidi" w:cstheme="majorBidi"/>
          <w:sz w:val="20"/>
          <w:szCs w:val="20"/>
          <w:lang w:bidi="ar-AE"/>
        </w:rPr>
        <w:t> » [fille de la vigne]. Le substantif « </w:t>
      </w:r>
      <w:r w:rsidRPr="00F230F1">
        <w:rPr>
          <w:rFonts w:asciiTheme="majorBidi" w:hAnsiTheme="majorBidi" w:cstheme="majorBidi"/>
          <w:i/>
          <w:iCs/>
          <w:sz w:val="20"/>
          <w:szCs w:val="20"/>
          <w:lang w:bidi="ar-AE"/>
        </w:rPr>
        <w:t>karma</w:t>
      </w:r>
      <w:r w:rsidRPr="00F230F1">
        <w:rPr>
          <w:rFonts w:asciiTheme="majorBidi" w:hAnsiTheme="majorBidi" w:cstheme="majorBidi"/>
          <w:sz w:val="20"/>
          <w:szCs w:val="20"/>
          <w:lang w:bidi="ar-AE"/>
        </w:rPr>
        <w:t> » [vigne] et le nom d’action « </w:t>
      </w:r>
      <w:r w:rsidRPr="00F230F1">
        <w:rPr>
          <w:rFonts w:asciiTheme="majorBidi" w:hAnsiTheme="majorBidi" w:cstheme="majorBidi"/>
          <w:i/>
          <w:iCs/>
          <w:sz w:val="20"/>
          <w:szCs w:val="20"/>
          <w:lang w:bidi="ar-AE"/>
        </w:rPr>
        <w:t>takrīm</w:t>
      </w:r>
      <w:r w:rsidRPr="00F230F1">
        <w:rPr>
          <w:rFonts w:asciiTheme="majorBidi" w:hAnsiTheme="majorBidi" w:cstheme="majorBidi"/>
          <w:sz w:val="20"/>
          <w:szCs w:val="20"/>
          <w:lang w:bidi="ar-AE"/>
        </w:rPr>
        <w:t xml:space="preserve"> » [hommage, respect, honneur] ont la même racine. Puisque la </w:t>
      </w:r>
      <w:r w:rsidRPr="00F230F1">
        <w:rPr>
          <w:rFonts w:asciiTheme="majorBidi" w:hAnsiTheme="majorBidi" w:cstheme="majorBidi"/>
          <w:i/>
          <w:iCs/>
          <w:sz w:val="20"/>
          <w:szCs w:val="20"/>
          <w:lang w:bidi="ar-AE"/>
        </w:rPr>
        <w:t>khamra</w:t>
      </w:r>
      <w:r w:rsidRPr="00F230F1">
        <w:rPr>
          <w:rFonts w:asciiTheme="majorBidi" w:hAnsiTheme="majorBidi" w:cstheme="majorBidi"/>
          <w:sz w:val="20"/>
          <w:szCs w:val="20"/>
          <w:lang w:bidi="ar-AE"/>
        </w:rPr>
        <w:t xml:space="preserve"> [le vin] (féminin) est la fille de la </w:t>
      </w:r>
      <w:r w:rsidRPr="00F230F1">
        <w:rPr>
          <w:rFonts w:asciiTheme="majorBidi" w:hAnsiTheme="majorBidi" w:cstheme="majorBidi"/>
          <w:i/>
          <w:iCs/>
          <w:sz w:val="20"/>
          <w:szCs w:val="20"/>
          <w:lang w:bidi="ar-AE"/>
        </w:rPr>
        <w:t>karma</w:t>
      </w:r>
      <w:r w:rsidRPr="00F230F1">
        <w:rPr>
          <w:rFonts w:asciiTheme="majorBidi" w:hAnsiTheme="majorBidi" w:cstheme="majorBidi"/>
          <w:sz w:val="20"/>
          <w:szCs w:val="20"/>
          <w:lang w:bidi="ar-AE"/>
        </w:rPr>
        <w:t xml:space="preserve"> [vigne], elle est </w:t>
      </w:r>
      <w:r w:rsidRPr="00F230F1">
        <w:rPr>
          <w:rFonts w:asciiTheme="majorBidi" w:hAnsiTheme="majorBidi" w:cstheme="majorBidi"/>
          <w:i/>
          <w:iCs/>
          <w:sz w:val="20"/>
          <w:szCs w:val="20"/>
          <w:lang w:bidi="ar-AE"/>
        </w:rPr>
        <w:t>mukarrama</w:t>
      </w:r>
      <w:r w:rsidRPr="00F230F1">
        <w:rPr>
          <w:rFonts w:asciiTheme="majorBidi" w:hAnsiTheme="majorBidi" w:cstheme="majorBidi"/>
          <w:sz w:val="20"/>
          <w:szCs w:val="20"/>
          <w:lang w:bidi="ar-AE"/>
        </w:rPr>
        <w:t xml:space="preserve"> [vénérée, respectée], et elle jouit d’un statut de </w:t>
      </w:r>
      <w:r w:rsidRPr="00F230F1">
        <w:rPr>
          <w:rFonts w:asciiTheme="majorBidi" w:hAnsiTheme="majorBidi" w:cstheme="majorBidi"/>
          <w:i/>
          <w:iCs/>
          <w:sz w:val="20"/>
          <w:szCs w:val="20"/>
          <w:lang w:bidi="ar-AE"/>
        </w:rPr>
        <w:t>ḥurma</w:t>
      </w:r>
      <w:r w:rsidRPr="00F230F1">
        <w:rPr>
          <w:rFonts w:asciiTheme="majorBidi" w:hAnsiTheme="majorBidi" w:cstheme="majorBidi"/>
          <w:sz w:val="20"/>
          <w:szCs w:val="20"/>
          <w:lang w:bidi="ar-AE"/>
        </w:rPr>
        <w:t xml:space="preserve"> [caractère sacré], voire elle est une </w:t>
      </w:r>
      <w:r w:rsidRPr="00F230F1">
        <w:rPr>
          <w:rFonts w:asciiTheme="majorBidi" w:hAnsiTheme="majorBidi" w:cstheme="majorBidi"/>
          <w:i/>
          <w:iCs/>
          <w:sz w:val="20"/>
          <w:szCs w:val="20"/>
          <w:lang w:bidi="ar-AE"/>
        </w:rPr>
        <w:t>ḥurma</w:t>
      </w:r>
      <w:r w:rsidRPr="00F230F1">
        <w:rPr>
          <w:rFonts w:asciiTheme="majorBidi" w:hAnsiTheme="majorBidi" w:cstheme="majorBidi"/>
          <w:sz w:val="20"/>
          <w:szCs w:val="20"/>
          <w:lang w:bidi="ar-AE"/>
        </w:rPr>
        <w:t xml:space="preserve"> [chose sacrée]. Comme signe de respect, le terme « </w:t>
      </w:r>
      <w:r w:rsidRPr="00F230F1">
        <w:rPr>
          <w:rFonts w:asciiTheme="majorBidi" w:hAnsiTheme="majorBidi" w:cstheme="majorBidi"/>
          <w:i/>
          <w:iCs/>
          <w:sz w:val="20"/>
          <w:szCs w:val="20"/>
          <w:lang w:bidi="ar-AE"/>
        </w:rPr>
        <w:t>ḥurma</w:t>
      </w:r>
      <w:r w:rsidRPr="00F230F1">
        <w:rPr>
          <w:rFonts w:asciiTheme="majorBidi" w:hAnsiTheme="majorBidi" w:cstheme="majorBidi"/>
          <w:sz w:val="20"/>
          <w:szCs w:val="20"/>
          <w:lang w:bidi="ar-AE"/>
        </w:rPr>
        <w:t xml:space="preserve"> » désigne aussi l’épouse. La relation avec la </w:t>
      </w:r>
      <w:r w:rsidRPr="00F230F1">
        <w:rPr>
          <w:rFonts w:asciiTheme="majorBidi" w:hAnsiTheme="majorBidi" w:cstheme="majorBidi"/>
          <w:i/>
          <w:iCs/>
          <w:sz w:val="20"/>
          <w:szCs w:val="20"/>
          <w:lang w:bidi="ar-AE"/>
        </w:rPr>
        <w:t>khamra</w:t>
      </w:r>
      <w:r w:rsidRPr="00F230F1">
        <w:rPr>
          <w:rFonts w:asciiTheme="majorBidi" w:hAnsiTheme="majorBidi" w:cstheme="majorBidi"/>
          <w:sz w:val="20"/>
          <w:szCs w:val="20"/>
          <w:lang w:bidi="ar-AE"/>
        </w:rPr>
        <w:t xml:space="preserve"> [vin] ressemble à la relation avec la femme [</w:t>
      </w:r>
      <w:r w:rsidRPr="00F230F1">
        <w:rPr>
          <w:rFonts w:asciiTheme="majorBidi" w:hAnsiTheme="majorBidi" w:cstheme="majorBidi"/>
          <w:i/>
          <w:iCs/>
          <w:sz w:val="20"/>
          <w:szCs w:val="20"/>
          <w:lang w:bidi="ar-AE"/>
        </w:rPr>
        <w:t>ḥurma</w:t>
      </w:r>
      <w:r w:rsidRPr="00F230F1">
        <w:rPr>
          <w:rFonts w:asciiTheme="majorBidi" w:hAnsiTheme="majorBidi" w:cstheme="majorBidi"/>
          <w:sz w:val="20"/>
          <w:szCs w:val="20"/>
          <w:lang w:bidi="ar-AE"/>
        </w:rPr>
        <w:t xml:space="preserve">], relation régie par le respect. C’est pour cela, au sujet du vin, les alaouites établissent un lien étroit entre le concept de </w:t>
      </w:r>
      <w:r w:rsidRPr="00F230F1">
        <w:rPr>
          <w:rFonts w:asciiTheme="majorBidi" w:hAnsiTheme="majorBidi" w:cstheme="majorBidi"/>
          <w:i/>
          <w:iCs/>
          <w:sz w:val="20"/>
          <w:szCs w:val="20"/>
          <w:lang w:bidi="ar-AE"/>
        </w:rPr>
        <w:t>taḥrīm</w:t>
      </w:r>
      <w:r w:rsidRPr="00F230F1">
        <w:rPr>
          <w:rFonts w:asciiTheme="majorBidi" w:hAnsiTheme="majorBidi" w:cstheme="majorBidi"/>
          <w:sz w:val="20"/>
          <w:szCs w:val="20"/>
          <w:lang w:bidi="ar-AE"/>
        </w:rPr>
        <w:t xml:space="preserve"> [interdiction] et celui de </w:t>
      </w:r>
      <w:r w:rsidRPr="00F230F1">
        <w:rPr>
          <w:rFonts w:asciiTheme="majorBidi" w:hAnsiTheme="majorBidi" w:cstheme="majorBidi"/>
          <w:i/>
          <w:iCs/>
          <w:sz w:val="20"/>
          <w:szCs w:val="20"/>
          <w:lang w:bidi="ar-AE"/>
        </w:rPr>
        <w:t>takrīm</w:t>
      </w:r>
      <w:r w:rsidRPr="00F230F1">
        <w:rPr>
          <w:rFonts w:asciiTheme="majorBidi" w:hAnsiTheme="majorBidi" w:cstheme="majorBidi"/>
          <w:sz w:val="20"/>
          <w:szCs w:val="20"/>
          <w:lang w:bidi="ar-AE"/>
        </w:rPr>
        <w:t xml:space="preserve"> [respect, hommage] en disant : </w:t>
      </w:r>
      <w:r w:rsidRPr="00F230F1">
        <w:rPr>
          <w:rFonts w:asciiTheme="majorBidi" w:hAnsiTheme="majorBidi" w:cstheme="majorBidi"/>
          <w:i/>
          <w:iCs/>
          <w:sz w:val="20"/>
          <w:szCs w:val="20"/>
          <w:lang w:bidi="ar-AE"/>
        </w:rPr>
        <w:t>Al-khamra, kurrimat fa-ḥurrimat</w:t>
      </w:r>
      <w:r w:rsidRPr="00F230F1">
        <w:rPr>
          <w:rFonts w:asciiTheme="majorBidi" w:hAnsiTheme="majorBidi" w:cstheme="majorBidi"/>
          <w:sz w:val="20"/>
          <w:szCs w:val="20"/>
          <w:lang w:bidi="ar-AE"/>
        </w:rPr>
        <w:t xml:space="preserve"> [Le vin, puisqu’il est respecté, est interdit]. Cependant, le terme « </w:t>
      </w:r>
      <w:r w:rsidRPr="00F230F1">
        <w:rPr>
          <w:rFonts w:asciiTheme="majorBidi" w:hAnsiTheme="majorBidi" w:cstheme="majorBidi"/>
          <w:i/>
          <w:iCs/>
          <w:sz w:val="20"/>
          <w:szCs w:val="20"/>
          <w:lang w:bidi="ar-AE"/>
        </w:rPr>
        <w:t>khamr</w:t>
      </w:r>
      <w:r w:rsidRPr="00F230F1">
        <w:rPr>
          <w:rFonts w:asciiTheme="majorBidi" w:hAnsiTheme="majorBidi" w:cstheme="majorBidi"/>
          <w:sz w:val="20"/>
          <w:szCs w:val="20"/>
          <w:lang w:bidi="ar-AE"/>
        </w:rPr>
        <w:t xml:space="preserve"> » (masculin) désigne l’état de l’ivresse qui est dû à l’abus du vin, c.à.d. à l’utilisation abusive et sans respect de la </w:t>
      </w:r>
      <w:r w:rsidRPr="00F230F1">
        <w:rPr>
          <w:rFonts w:asciiTheme="majorBidi" w:hAnsiTheme="majorBidi" w:cstheme="majorBidi"/>
          <w:i/>
          <w:iCs/>
          <w:sz w:val="20"/>
          <w:szCs w:val="20"/>
          <w:lang w:bidi="ar-AE"/>
        </w:rPr>
        <w:t>khamra</w:t>
      </w:r>
      <w:r w:rsidRPr="00F230F1">
        <w:rPr>
          <w:rFonts w:asciiTheme="majorBidi" w:hAnsiTheme="majorBidi" w:cstheme="majorBidi"/>
          <w:sz w:val="20"/>
          <w:szCs w:val="20"/>
          <w:lang w:bidi="ar-AE"/>
        </w:rPr>
        <w:t xml:space="preserve"> (féminin). Le </w:t>
      </w:r>
      <w:r w:rsidRPr="00F230F1">
        <w:rPr>
          <w:rFonts w:asciiTheme="majorBidi" w:hAnsiTheme="majorBidi" w:cstheme="majorBidi"/>
          <w:i/>
          <w:iCs/>
          <w:sz w:val="20"/>
          <w:szCs w:val="20"/>
          <w:lang w:bidi="ar-AE"/>
        </w:rPr>
        <w:t>khamr</w:t>
      </w:r>
      <w:r w:rsidRPr="00F230F1">
        <w:rPr>
          <w:rFonts w:asciiTheme="majorBidi" w:hAnsiTheme="majorBidi" w:cstheme="majorBidi"/>
          <w:sz w:val="20"/>
          <w:szCs w:val="20"/>
          <w:lang w:bidi="ar-AE"/>
        </w:rPr>
        <w:t xml:space="preserve"> est donc le sacrilège de la </w:t>
      </w:r>
      <w:r w:rsidRPr="00F230F1">
        <w:rPr>
          <w:rFonts w:asciiTheme="majorBidi" w:hAnsiTheme="majorBidi" w:cstheme="majorBidi"/>
          <w:i/>
          <w:iCs/>
          <w:sz w:val="20"/>
          <w:szCs w:val="20"/>
          <w:lang w:bidi="ar-AE"/>
        </w:rPr>
        <w:t>khamra</w:t>
      </w:r>
      <w:r w:rsidRPr="00F230F1">
        <w:rPr>
          <w:rFonts w:asciiTheme="majorBidi" w:hAnsiTheme="majorBidi" w:cstheme="majorBidi"/>
          <w:sz w:val="20"/>
          <w:szCs w:val="20"/>
          <w:lang w:bidi="ar-AE"/>
        </w:rPr>
        <w:t xml:space="preserve">. Le Coran n’a pas du tout condamné la </w:t>
      </w:r>
      <w:r w:rsidRPr="00F230F1">
        <w:rPr>
          <w:rFonts w:asciiTheme="majorBidi" w:hAnsiTheme="majorBidi" w:cstheme="majorBidi"/>
          <w:i/>
          <w:iCs/>
          <w:sz w:val="20"/>
          <w:szCs w:val="20"/>
          <w:lang w:bidi="ar-AE"/>
        </w:rPr>
        <w:t>khamra</w:t>
      </w:r>
      <w:r w:rsidRPr="00F230F1">
        <w:rPr>
          <w:rFonts w:asciiTheme="majorBidi" w:hAnsiTheme="majorBidi" w:cstheme="majorBidi"/>
          <w:sz w:val="20"/>
          <w:szCs w:val="20"/>
          <w:lang w:bidi="ar-AE"/>
        </w:rPr>
        <w:t xml:space="preserve">, mais le </w:t>
      </w:r>
      <w:r w:rsidRPr="00F230F1">
        <w:rPr>
          <w:rFonts w:asciiTheme="majorBidi" w:hAnsiTheme="majorBidi" w:cstheme="majorBidi"/>
          <w:i/>
          <w:iCs/>
          <w:sz w:val="20"/>
          <w:szCs w:val="20"/>
          <w:lang w:bidi="ar-AE"/>
        </w:rPr>
        <w:t>khamr</w:t>
      </w:r>
      <w:r w:rsidRPr="00F230F1">
        <w:rPr>
          <w:rFonts w:asciiTheme="majorBidi" w:hAnsiTheme="majorBidi" w:cstheme="majorBidi"/>
          <w:sz w:val="20"/>
          <w:szCs w:val="20"/>
          <w:lang w:bidi="ar-AE"/>
        </w:rPr>
        <w:t xml:space="preserve"> en le qualifiant de </w:t>
      </w:r>
      <w:r w:rsidRPr="00F230F1">
        <w:rPr>
          <w:rFonts w:asciiTheme="majorBidi" w:hAnsiTheme="majorBidi" w:cstheme="majorBidi"/>
          <w:i/>
          <w:iCs/>
          <w:sz w:val="20"/>
          <w:szCs w:val="20"/>
          <w:lang w:bidi="ar-AE"/>
        </w:rPr>
        <w:t>rijs</w:t>
      </w:r>
      <w:r w:rsidRPr="00F230F1">
        <w:rPr>
          <w:rFonts w:asciiTheme="majorBidi" w:hAnsiTheme="majorBidi" w:cstheme="majorBidi"/>
          <w:sz w:val="20"/>
          <w:szCs w:val="20"/>
          <w:lang w:bidi="ar-AE"/>
        </w:rPr>
        <w:t xml:space="preserve"> [sacrilège, action illicite, saleté] (verset IV, 90).</w:t>
      </w:r>
    </w:p>
  </w:footnote>
  <w:footnote w:id="313">
    <w:p w14:paraId="76190930"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EG"/>
        </w:rPr>
        <w:t xml:space="preserve">Benoît Deschamps, « De la crainte de Dieu à la foi filiale : « évangéliser mes peurs » », Ruy, le 18 avril 2011, Centre Théologique de Meylan-Grenoble, </w:t>
      </w:r>
      <w:hyperlink r:id="rId105" w:history="1">
        <w:r w:rsidRPr="00F230F1">
          <w:rPr>
            <w:rStyle w:val="Lienhypertexte"/>
            <w:rFonts w:asciiTheme="majorBidi" w:hAnsiTheme="majorBidi" w:cstheme="majorBidi"/>
            <w:sz w:val="20"/>
            <w:szCs w:val="20"/>
            <w:lang w:bidi="ar-EG"/>
          </w:rPr>
          <w:t>http://www.ctm-grenoble.org/photos/bonus/LACRAINTEDEDIEU.pdf</w:t>
        </w:r>
      </w:hyperlink>
      <w:r w:rsidRPr="00F230F1">
        <w:rPr>
          <w:rFonts w:asciiTheme="majorBidi" w:hAnsiTheme="majorBidi" w:cstheme="majorBidi"/>
          <w:sz w:val="20"/>
          <w:szCs w:val="20"/>
          <w:lang w:bidi="ar-EG"/>
        </w:rPr>
        <w:t>.</w:t>
      </w:r>
    </w:p>
  </w:footnote>
  <w:footnote w:id="314">
    <w:p w14:paraId="39826196"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Moncef Chelli, </w:t>
      </w:r>
      <w:r w:rsidRPr="00F230F1">
        <w:rPr>
          <w:rFonts w:asciiTheme="majorBidi" w:eastAsia="Times New Roman" w:hAnsiTheme="majorBidi" w:cstheme="majorBidi"/>
          <w:i/>
          <w:iCs/>
          <w:sz w:val="20"/>
          <w:szCs w:val="20"/>
        </w:rPr>
        <w:t>La parole arabe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281.</w:t>
      </w:r>
    </w:p>
  </w:footnote>
  <w:footnote w:id="315">
    <w:p w14:paraId="59E687B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 Par exemple, le manuel exégétique de la trentième partie du Coran publié par la fondation islamique non-gouvernementale Zayd Ibn Thābit (</w:t>
      </w:r>
      <w:r w:rsidRPr="00F230F1">
        <w:rPr>
          <w:rFonts w:asciiTheme="majorBidi" w:hAnsiTheme="majorBidi" w:cstheme="majorBidi"/>
          <w:i/>
          <w:iCs/>
          <w:sz w:val="20"/>
          <w:szCs w:val="20"/>
        </w:rPr>
        <w:t>Muʾassasat Zayd ibn Thābit al-ʾAhlyya</w:t>
      </w:r>
      <w:r w:rsidRPr="00F230F1">
        <w:rPr>
          <w:rFonts w:asciiTheme="majorBidi" w:hAnsiTheme="majorBidi" w:cstheme="majorBidi"/>
          <w:sz w:val="20"/>
          <w:szCs w:val="20"/>
        </w:rPr>
        <w:t>) à Istanbul contient toutes les explications (souvent exagérées) des mots indiquant le tourment, mais il ne contient aucune explication de mots à connotation sexuelle. En guise d’exemple, il a expliqué le mot « </w:t>
      </w:r>
      <w:r w:rsidRPr="00F230F1">
        <w:rPr>
          <w:rFonts w:asciiTheme="majorBidi" w:hAnsiTheme="majorBidi" w:cstheme="majorBidi"/>
          <w:i/>
          <w:iCs/>
          <w:sz w:val="20"/>
          <w:szCs w:val="20"/>
        </w:rPr>
        <w:t>aḥqāb</w:t>
      </w:r>
      <w:r w:rsidRPr="00F230F1">
        <w:rPr>
          <w:rFonts w:asciiTheme="majorBidi" w:hAnsiTheme="majorBidi" w:cstheme="majorBidi"/>
          <w:i/>
          <w:iCs/>
          <w:sz w:val="20"/>
          <w:szCs w:val="20"/>
          <w:vertAlign w:val="superscript"/>
        </w:rPr>
        <w:t>an</w:t>
      </w:r>
      <w:r w:rsidRPr="00F230F1">
        <w:rPr>
          <w:rFonts w:asciiTheme="majorBidi" w:hAnsiTheme="majorBidi" w:cstheme="majorBidi"/>
          <w:sz w:val="20"/>
          <w:szCs w:val="20"/>
        </w:rPr>
        <w:t xml:space="preserve"> » [périodes] (sourate </w:t>
      </w:r>
      <w:r w:rsidRPr="00F230F1">
        <w:rPr>
          <w:rFonts w:asciiTheme="majorBidi" w:hAnsiTheme="majorBidi" w:cstheme="majorBidi"/>
          <w:i/>
          <w:iCs/>
          <w:sz w:val="20"/>
          <w:szCs w:val="20"/>
        </w:rPr>
        <w:t>an-nabaʾ</w:t>
      </w:r>
      <w:r w:rsidRPr="00F230F1">
        <w:rPr>
          <w:rFonts w:asciiTheme="majorBidi" w:hAnsiTheme="majorBidi" w:cstheme="majorBidi"/>
          <w:sz w:val="20"/>
          <w:szCs w:val="20"/>
        </w:rPr>
        <w:t>, p. 1) par : « </w:t>
      </w:r>
      <w:r w:rsidRPr="00F230F1">
        <w:rPr>
          <w:rFonts w:asciiTheme="majorBidi" w:hAnsiTheme="majorBidi" w:cstheme="majorBidi"/>
          <w:i/>
          <w:iCs/>
          <w:sz w:val="20"/>
          <w:szCs w:val="20"/>
        </w:rPr>
        <w:t>duhūr</w:t>
      </w:r>
      <w:r w:rsidRPr="00F230F1">
        <w:rPr>
          <w:rFonts w:asciiTheme="majorBidi" w:hAnsiTheme="majorBidi" w:cstheme="majorBidi"/>
          <w:i/>
          <w:iCs/>
          <w:sz w:val="20"/>
          <w:szCs w:val="20"/>
          <w:vertAlign w:val="superscript"/>
        </w:rPr>
        <w:t>an</w:t>
      </w:r>
      <w:r w:rsidRPr="00F230F1">
        <w:rPr>
          <w:rFonts w:asciiTheme="majorBidi" w:hAnsiTheme="majorBidi" w:cstheme="majorBidi"/>
          <w:i/>
          <w:iCs/>
          <w:sz w:val="20"/>
          <w:szCs w:val="20"/>
        </w:rPr>
        <w:t xml:space="preserve"> </w:t>
      </w:r>
      <w:r w:rsidRPr="00F230F1">
        <w:rPr>
          <w:rFonts w:asciiTheme="majorBidi" w:hAnsiTheme="majorBidi" w:cstheme="majorBidi"/>
          <w:b/>
          <w:bCs/>
          <w:i/>
          <w:iCs/>
          <w:sz w:val="20"/>
          <w:szCs w:val="20"/>
        </w:rPr>
        <w:t>lā nihāyata lahā</w:t>
      </w:r>
      <w:r w:rsidRPr="00F230F1">
        <w:rPr>
          <w:rFonts w:asciiTheme="majorBidi" w:hAnsiTheme="majorBidi" w:cstheme="majorBidi"/>
          <w:i/>
          <w:iCs/>
          <w:sz w:val="20"/>
          <w:szCs w:val="20"/>
        </w:rPr>
        <w:t>, wa-al-ḥiqba 80 sana</w:t>
      </w:r>
      <w:r w:rsidRPr="00F230F1">
        <w:rPr>
          <w:rFonts w:asciiTheme="majorBidi" w:hAnsiTheme="majorBidi" w:cstheme="majorBidi"/>
          <w:sz w:val="20"/>
          <w:szCs w:val="20"/>
        </w:rPr>
        <w:t xml:space="preserve"> » [des siècles </w:t>
      </w:r>
      <w:r w:rsidRPr="00F230F1">
        <w:rPr>
          <w:rFonts w:asciiTheme="majorBidi" w:hAnsiTheme="majorBidi" w:cstheme="majorBidi"/>
          <w:b/>
          <w:bCs/>
          <w:sz w:val="20"/>
          <w:szCs w:val="20"/>
        </w:rPr>
        <w:t>sans fin</w:t>
      </w:r>
      <w:r w:rsidRPr="00F230F1">
        <w:rPr>
          <w:rFonts w:asciiTheme="majorBidi" w:hAnsiTheme="majorBidi" w:cstheme="majorBidi"/>
          <w:sz w:val="20"/>
          <w:szCs w:val="20"/>
        </w:rPr>
        <w:t xml:space="preserve">, la </w:t>
      </w:r>
      <w:r w:rsidRPr="00F230F1">
        <w:rPr>
          <w:rFonts w:asciiTheme="majorBidi" w:hAnsiTheme="majorBidi" w:cstheme="majorBidi"/>
          <w:i/>
          <w:iCs/>
          <w:sz w:val="20"/>
          <w:szCs w:val="20"/>
        </w:rPr>
        <w:t>ḥiqba</w:t>
      </w:r>
      <w:r w:rsidRPr="00F230F1">
        <w:rPr>
          <w:rFonts w:asciiTheme="majorBidi" w:hAnsiTheme="majorBidi" w:cstheme="majorBidi"/>
          <w:sz w:val="20"/>
          <w:szCs w:val="20"/>
        </w:rPr>
        <w:t xml:space="preserve"> est 80 ans]. Il a expliqué le mot « </w:t>
      </w:r>
      <w:r w:rsidRPr="00F230F1">
        <w:rPr>
          <w:rFonts w:asciiTheme="majorBidi" w:hAnsiTheme="majorBidi" w:cstheme="majorBidi"/>
          <w:i/>
          <w:iCs/>
          <w:sz w:val="20"/>
          <w:szCs w:val="20"/>
        </w:rPr>
        <w:t>an-nāziʿāt</w:t>
      </w:r>
      <w:r w:rsidRPr="00F230F1">
        <w:rPr>
          <w:rFonts w:asciiTheme="majorBidi" w:hAnsiTheme="majorBidi" w:cstheme="majorBidi"/>
          <w:sz w:val="20"/>
          <w:szCs w:val="20"/>
        </w:rPr>
        <w:t xml:space="preserve"> » [les arracheuses] (sourate </w:t>
      </w:r>
      <w:r w:rsidRPr="00F230F1">
        <w:rPr>
          <w:rFonts w:asciiTheme="majorBidi" w:hAnsiTheme="majorBidi" w:cstheme="majorBidi"/>
          <w:i/>
          <w:iCs/>
          <w:sz w:val="20"/>
          <w:szCs w:val="20"/>
        </w:rPr>
        <w:t>an-nāziʿāt</w:t>
      </w:r>
      <w:r w:rsidRPr="00F230F1">
        <w:rPr>
          <w:rFonts w:asciiTheme="majorBidi" w:hAnsiTheme="majorBidi" w:cstheme="majorBidi"/>
          <w:sz w:val="20"/>
          <w:szCs w:val="20"/>
        </w:rPr>
        <w:t>, p. 2) par : « </w:t>
      </w:r>
      <w:r w:rsidRPr="00F230F1">
        <w:rPr>
          <w:rFonts w:asciiTheme="majorBidi" w:hAnsiTheme="majorBidi" w:cstheme="majorBidi"/>
          <w:i/>
          <w:iCs/>
          <w:sz w:val="20"/>
          <w:szCs w:val="20"/>
        </w:rPr>
        <w:t xml:space="preserve">al-malāʾika tanziʿu ʾarwāḥ al-kāfirīn </w:t>
      </w:r>
      <w:r w:rsidRPr="00F230F1">
        <w:rPr>
          <w:rFonts w:asciiTheme="majorBidi" w:hAnsiTheme="majorBidi" w:cstheme="majorBidi"/>
          <w:b/>
          <w:bCs/>
          <w:i/>
          <w:iCs/>
          <w:sz w:val="20"/>
          <w:szCs w:val="20"/>
        </w:rPr>
        <w:t>nazʿan bi-shidda</w:t>
      </w:r>
      <w:r w:rsidRPr="00F230F1">
        <w:rPr>
          <w:rFonts w:asciiTheme="majorBidi" w:hAnsiTheme="majorBidi" w:cstheme="majorBidi"/>
          <w:b/>
          <w:bCs/>
          <w:sz w:val="20"/>
          <w:szCs w:val="20"/>
        </w:rPr>
        <w:t> </w:t>
      </w:r>
      <w:r w:rsidRPr="00F230F1">
        <w:rPr>
          <w:rFonts w:asciiTheme="majorBidi" w:hAnsiTheme="majorBidi" w:cstheme="majorBidi"/>
          <w:sz w:val="20"/>
          <w:szCs w:val="20"/>
        </w:rPr>
        <w:t xml:space="preserve">» [les anges qui arrachent les âmes des infidèles </w:t>
      </w:r>
      <w:r w:rsidRPr="00F230F1">
        <w:rPr>
          <w:rFonts w:asciiTheme="majorBidi" w:hAnsiTheme="majorBidi" w:cstheme="majorBidi"/>
          <w:b/>
          <w:bCs/>
          <w:sz w:val="20"/>
          <w:szCs w:val="20"/>
        </w:rPr>
        <w:t>de manière très forte</w:t>
      </w:r>
      <w:r w:rsidRPr="00F230F1">
        <w:rPr>
          <w:rFonts w:asciiTheme="majorBidi" w:hAnsiTheme="majorBidi" w:cstheme="majorBidi"/>
          <w:sz w:val="20"/>
          <w:szCs w:val="20"/>
        </w:rPr>
        <w:t xml:space="preserve">]. Cependant, il n’a pas du tout expliqué le mot ambigu </w:t>
      </w:r>
      <w:r w:rsidRPr="00F230F1">
        <w:rPr>
          <w:rFonts w:asciiTheme="majorBidi" w:hAnsiTheme="majorBidi" w:cstheme="majorBidi"/>
          <w:i/>
          <w:iCs/>
          <w:sz w:val="20"/>
          <w:szCs w:val="20"/>
        </w:rPr>
        <w:t>kawāʿib</w:t>
      </w:r>
      <w:r w:rsidRPr="00F230F1">
        <w:rPr>
          <w:rFonts w:asciiTheme="majorBidi" w:hAnsiTheme="majorBidi" w:cstheme="majorBidi"/>
          <w:sz w:val="20"/>
          <w:szCs w:val="20"/>
        </w:rPr>
        <w:t xml:space="preserve"> [jeunes filles aux seins biens formés] (sourate </w:t>
      </w:r>
      <w:r w:rsidRPr="00F230F1">
        <w:rPr>
          <w:rFonts w:asciiTheme="majorBidi" w:hAnsiTheme="majorBidi" w:cstheme="majorBidi"/>
          <w:i/>
          <w:iCs/>
          <w:sz w:val="20"/>
          <w:szCs w:val="20"/>
        </w:rPr>
        <w:t>an-nabaʾ</w:t>
      </w:r>
      <w:r w:rsidRPr="00F230F1">
        <w:rPr>
          <w:rFonts w:asciiTheme="majorBidi" w:hAnsiTheme="majorBidi" w:cstheme="majorBidi"/>
          <w:sz w:val="20"/>
          <w:szCs w:val="20"/>
        </w:rPr>
        <w:t>, p. 2).</w:t>
      </w:r>
    </w:p>
  </w:footnote>
  <w:footnote w:id="316">
    <w:p w14:paraId="7BF24C1A"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Nietzche, </w:t>
      </w:r>
      <w:r w:rsidRPr="00F230F1">
        <w:rPr>
          <w:rFonts w:asciiTheme="majorBidi" w:hAnsiTheme="majorBidi" w:cstheme="majorBidi"/>
          <w:i/>
          <w:iCs/>
          <w:sz w:val="20"/>
          <w:szCs w:val="20"/>
          <w:lang w:bidi="ar-AE"/>
        </w:rPr>
        <w:t>La volonté de puissance</w:t>
      </w:r>
      <w:r w:rsidRPr="00F230F1">
        <w:rPr>
          <w:rFonts w:asciiTheme="majorBidi" w:hAnsiTheme="majorBidi" w:cstheme="majorBidi"/>
          <w:sz w:val="20"/>
          <w:szCs w:val="20"/>
          <w:lang w:bidi="ar-AE"/>
        </w:rPr>
        <w:t>, Livre II, Tome I, chapitre 8, §550.</w:t>
      </w:r>
    </w:p>
  </w:footnote>
  <w:footnote w:id="317">
    <w:p w14:paraId="195E779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EG"/>
        </w:rPr>
        <w:t>Marc 13 : 17, Luc 21 : 23 et Mathieu 24 : 19.</w:t>
      </w:r>
    </w:p>
  </w:footnote>
  <w:footnote w:id="318">
    <w:p w14:paraId="581F6061"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Le sens originel et propre du verbe arabe </w:t>
      </w:r>
      <w:r w:rsidRPr="00F230F1">
        <w:rPr>
          <w:rFonts w:asciiTheme="majorBidi" w:hAnsiTheme="majorBidi" w:cstheme="majorBidi"/>
          <w:i/>
          <w:iCs/>
          <w:sz w:val="20"/>
          <w:szCs w:val="20"/>
          <w:lang w:bidi="ar-AE"/>
        </w:rPr>
        <w:t>sakira</w:t>
      </w:r>
      <w:r w:rsidRPr="00F230F1">
        <w:rPr>
          <w:rFonts w:asciiTheme="majorBidi" w:hAnsiTheme="majorBidi" w:cstheme="majorBidi"/>
          <w:sz w:val="20"/>
          <w:szCs w:val="20"/>
          <w:lang w:bidi="ar-AE"/>
        </w:rPr>
        <w:t xml:space="preserve"> est : </w:t>
      </w:r>
      <w:r w:rsidRPr="00F230F1">
        <w:rPr>
          <w:rFonts w:asciiTheme="majorBidi" w:hAnsiTheme="majorBidi" w:cstheme="majorBidi"/>
          <w:i/>
          <w:iCs/>
          <w:sz w:val="20"/>
          <w:szCs w:val="20"/>
          <w:lang w:bidi="ar-AE"/>
        </w:rPr>
        <w:t>se calmer</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se remplir</w:t>
      </w:r>
      <w:r w:rsidRPr="00F230F1">
        <w:rPr>
          <w:rFonts w:asciiTheme="majorBidi" w:hAnsiTheme="majorBidi" w:cstheme="majorBidi"/>
          <w:sz w:val="20"/>
          <w:szCs w:val="20"/>
          <w:lang w:bidi="ar-AE"/>
        </w:rPr>
        <w:t xml:space="preserve"> ou </w:t>
      </w:r>
      <w:r w:rsidRPr="00F230F1">
        <w:rPr>
          <w:rFonts w:asciiTheme="majorBidi" w:hAnsiTheme="majorBidi" w:cstheme="majorBidi"/>
          <w:i/>
          <w:iCs/>
          <w:sz w:val="20"/>
          <w:szCs w:val="20"/>
          <w:lang w:bidi="ar-AE"/>
        </w:rPr>
        <w:t>se couvrir</w:t>
      </w:r>
      <w:r w:rsidRPr="00F230F1">
        <w:rPr>
          <w:rFonts w:asciiTheme="majorBidi" w:hAnsiTheme="majorBidi" w:cstheme="majorBidi"/>
          <w:sz w:val="20"/>
          <w:szCs w:val="20"/>
          <w:lang w:bidi="ar-AE"/>
        </w:rPr>
        <w:t xml:space="preserve">. Le </w:t>
      </w:r>
      <w:r w:rsidRPr="00F230F1">
        <w:rPr>
          <w:rFonts w:asciiTheme="majorBidi" w:hAnsiTheme="majorBidi" w:cstheme="majorBidi"/>
          <w:i/>
          <w:iCs/>
          <w:sz w:val="20"/>
          <w:szCs w:val="20"/>
          <w:lang w:bidi="ar-AE"/>
        </w:rPr>
        <w:t>Lisān al-ʿArab</w:t>
      </w:r>
      <w:r w:rsidRPr="00F230F1">
        <w:rPr>
          <w:rFonts w:asciiTheme="majorBidi" w:hAnsiTheme="majorBidi" w:cstheme="majorBidi"/>
          <w:sz w:val="20"/>
          <w:szCs w:val="20"/>
          <w:lang w:bidi="ar-AE"/>
        </w:rPr>
        <w:t xml:space="preserve"> souligne que le </w:t>
      </w:r>
      <w:r w:rsidRPr="00F230F1">
        <w:rPr>
          <w:rFonts w:asciiTheme="majorBidi" w:hAnsiTheme="majorBidi" w:cstheme="majorBidi"/>
          <w:i/>
          <w:iCs/>
          <w:sz w:val="20"/>
          <w:szCs w:val="20"/>
          <w:lang w:bidi="ar-AE"/>
        </w:rPr>
        <w:t>sukr</w:t>
      </w:r>
      <w:r w:rsidRPr="00F230F1">
        <w:rPr>
          <w:rFonts w:asciiTheme="majorBidi" w:hAnsiTheme="majorBidi" w:cstheme="majorBidi"/>
          <w:sz w:val="20"/>
          <w:szCs w:val="20"/>
          <w:lang w:bidi="ar-AE"/>
        </w:rPr>
        <w:t xml:space="preserve"> [ivresse] est l’antonyme du </w:t>
      </w:r>
      <w:r w:rsidRPr="00F230F1">
        <w:rPr>
          <w:rFonts w:asciiTheme="majorBidi" w:hAnsiTheme="majorBidi" w:cstheme="majorBidi"/>
          <w:i/>
          <w:iCs/>
          <w:sz w:val="20"/>
          <w:szCs w:val="20"/>
          <w:lang w:bidi="ar-AE"/>
        </w:rPr>
        <w:t>ṣaḥw</w:t>
      </w:r>
      <w:r w:rsidRPr="00F230F1">
        <w:rPr>
          <w:rFonts w:asciiTheme="majorBidi" w:hAnsiTheme="majorBidi" w:cstheme="majorBidi"/>
          <w:sz w:val="20"/>
          <w:szCs w:val="20"/>
          <w:lang w:bidi="ar-AE"/>
        </w:rPr>
        <w:t xml:space="preserve"> [dégrisement] et qu’il y a trois types de </w:t>
      </w:r>
      <w:r w:rsidRPr="00F230F1">
        <w:rPr>
          <w:rFonts w:asciiTheme="majorBidi" w:hAnsiTheme="majorBidi" w:cstheme="majorBidi"/>
          <w:i/>
          <w:iCs/>
          <w:sz w:val="20"/>
          <w:szCs w:val="20"/>
          <w:lang w:bidi="ar-AE"/>
        </w:rPr>
        <w:t>sukr</w:t>
      </w:r>
      <w:r w:rsidRPr="00F230F1">
        <w:rPr>
          <w:rFonts w:asciiTheme="majorBidi" w:hAnsiTheme="majorBidi" w:cstheme="majorBidi"/>
          <w:sz w:val="20"/>
          <w:szCs w:val="20"/>
          <w:lang w:bidi="ar-AE"/>
        </w:rPr>
        <w:t xml:space="preserve"> : </w:t>
      </w:r>
      <w:r w:rsidRPr="00F230F1">
        <w:rPr>
          <w:rFonts w:asciiTheme="majorBidi" w:hAnsiTheme="majorBidi" w:cstheme="majorBidi"/>
          <w:iCs/>
          <w:sz w:val="20"/>
          <w:szCs w:val="20"/>
          <w:lang w:bidi="ar-AE"/>
        </w:rPr>
        <w:t>l’ivresse</w:t>
      </w:r>
      <w:r w:rsidRPr="00F230F1">
        <w:rPr>
          <w:rFonts w:asciiTheme="majorBidi" w:hAnsiTheme="majorBidi" w:cstheme="majorBidi"/>
          <w:sz w:val="20"/>
          <w:szCs w:val="20"/>
          <w:lang w:bidi="ar-AE"/>
        </w:rPr>
        <w:t xml:space="preserve"> de la jeunesse, </w:t>
      </w:r>
      <w:r w:rsidRPr="00F230F1">
        <w:rPr>
          <w:rFonts w:asciiTheme="majorBidi" w:hAnsiTheme="majorBidi" w:cstheme="majorBidi"/>
          <w:iCs/>
          <w:sz w:val="20"/>
          <w:szCs w:val="20"/>
          <w:lang w:bidi="ar-AE"/>
        </w:rPr>
        <w:t>l’ivresse</w:t>
      </w:r>
      <w:r w:rsidRPr="00F230F1">
        <w:rPr>
          <w:rFonts w:asciiTheme="majorBidi" w:hAnsiTheme="majorBidi" w:cstheme="majorBidi"/>
          <w:sz w:val="20"/>
          <w:szCs w:val="20"/>
          <w:lang w:bidi="ar-AE"/>
        </w:rPr>
        <w:t xml:space="preserve"> de l’argent et </w:t>
      </w:r>
      <w:r w:rsidRPr="00F230F1">
        <w:rPr>
          <w:rFonts w:asciiTheme="majorBidi" w:hAnsiTheme="majorBidi" w:cstheme="majorBidi"/>
          <w:iCs/>
          <w:sz w:val="20"/>
          <w:szCs w:val="20"/>
          <w:lang w:bidi="ar-AE"/>
        </w:rPr>
        <w:t>l’ivresse</w:t>
      </w:r>
      <w:r w:rsidRPr="00F230F1">
        <w:rPr>
          <w:rFonts w:asciiTheme="majorBidi" w:hAnsiTheme="majorBidi" w:cstheme="majorBidi"/>
          <w:sz w:val="20"/>
          <w:szCs w:val="20"/>
          <w:lang w:bidi="ar-AE"/>
        </w:rPr>
        <w:t xml:space="preserve"> du pouvoir. Mais, selon le </w:t>
      </w:r>
      <w:r w:rsidRPr="00F230F1">
        <w:rPr>
          <w:rFonts w:asciiTheme="majorBidi" w:hAnsiTheme="majorBidi" w:cstheme="majorBidi"/>
          <w:i/>
          <w:iCs/>
          <w:sz w:val="20"/>
          <w:szCs w:val="20"/>
          <w:lang w:bidi="ar-AE"/>
        </w:rPr>
        <w:t>Tāj al-ʿArūs</w:t>
      </w:r>
      <w:r w:rsidRPr="00F230F1">
        <w:rPr>
          <w:rFonts w:asciiTheme="majorBidi" w:hAnsiTheme="majorBidi" w:cstheme="majorBidi"/>
          <w:sz w:val="20"/>
          <w:szCs w:val="20"/>
          <w:lang w:bidi="ar-AE"/>
        </w:rPr>
        <w:t xml:space="preserve"> d’al-Murtaḍā Al-Zabīdī, le sens figuré du verbe </w:t>
      </w:r>
      <w:r w:rsidRPr="00F230F1">
        <w:rPr>
          <w:rFonts w:asciiTheme="majorBidi" w:hAnsiTheme="majorBidi" w:cstheme="majorBidi"/>
          <w:i/>
          <w:iCs/>
          <w:sz w:val="20"/>
          <w:szCs w:val="20"/>
          <w:lang w:bidi="ar-AE"/>
        </w:rPr>
        <w:t>sakira</w:t>
      </w:r>
      <w:r w:rsidRPr="00F230F1">
        <w:rPr>
          <w:rFonts w:asciiTheme="majorBidi" w:hAnsiTheme="majorBidi" w:cstheme="majorBidi"/>
          <w:sz w:val="20"/>
          <w:szCs w:val="20"/>
          <w:lang w:bidi="ar-AE"/>
        </w:rPr>
        <w:t xml:space="preserve"> et du substantif </w:t>
      </w:r>
      <w:r w:rsidRPr="00F230F1">
        <w:rPr>
          <w:rFonts w:asciiTheme="majorBidi" w:hAnsiTheme="majorBidi" w:cstheme="majorBidi"/>
          <w:i/>
          <w:iCs/>
          <w:sz w:val="20"/>
          <w:szCs w:val="20"/>
          <w:lang w:bidi="ar-AE"/>
        </w:rPr>
        <w:t>sukr</w:t>
      </w:r>
      <w:r w:rsidRPr="00F230F1">
        <w:rPr>
          <w:rFonts w:asciiTheme="majorBidi" w:hAnsiTheme="majorBidi" w:cstheme="majorBidi"/>
          <w:sz w:val="20"/>
          <w:szCs w:val="20"/>
          <w:lang w:bidi="ar-AE"/>
        </w:rPr>
        <w:t xml:space="preserve"> exprime un état de colère ou d’amour ardent, d’amour sensuel ou de passion (</w:t>
      </w:r>
      <w:r w:rsidRPr="00F230F1">
        <w:rPr>
          <w:rFonts w:asciiTheme="majorBidi" w:hAnsiTheme="majorBidi" w:cstheme="majorBidi"/>
          <w:i/>
          <w:iCs/>
          <w:sz w:val="20"/>
          <w:szCs w:val="20"/>
          <w:lang w:bidi="ar-AE"/>
        </w:rPr>
        <w:t>ʿishq</w:t>
      </w:r>
      <w:r w:rsidRPr="00F230F1">
        <w:rPr>
          <w:rFonts w:asciiTheme="majorBidi" w:hAnsiTheme="majorBidi" w:cstheme="majorBidi"/>
          <w:sz w:val="20"/>
          <w:szCs w:val="20"/>
          <w:lang w:bidi="ar-AE"/>
        </w:rPr>
        <w:t>). Nous citons comme exemple le vers du poète Dīk al-Jinn Al-Ḥimṣī</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(Homs 777-850) :</w:t>
      </w:r>
    </w:p>
    <w:p w14:paraId="46C158BB" w14:textId="77777777" w:rsidR="009C3BB9" w:rsidRPr="00F230F1" w:rsidRDefault="009C3BB9" w:rsidP="00F230F1">
      <w:pPr>
        <w:bidi/>
        <w:contextualSpacing/>
        <w:jc w:val="both"/>
        <w:rPr>
          <w:rFonts w:asciiTheme="majorBidi" w:hAnsiTheme="majorBidi" w:cstheme="majorBidi"/>
          <w:sz w:val="20"/>
          <w:szCs w:val="20"/>
          <w:lang w:bidi="ar-AE"/>
        </w:rPr>
      </w:pPr>
      <w:r w:rsidRPr="00F230F1">
        <w:rPr>
          <w:rFonts w:asciiTheme="majorBidi" w:hAnsiTheme="majorBidi" w:cstheme="majorBidi"/>
          <w:sz w:val="20"/>
          <w:szCs w:val="20"/>
          <w:rtl/>
          <w:lang w:bidi="ar-AE"/>
        </w:rPr>
        <w:t>"-سُكْرانِ: سُكْرُ هَوىً وسُكْرُ مُدامةٍ. / أنَّى يُفيقُ فتىً به سُكْرانِ."</w:t>
      </w:r>
    </w:p>
    <w:p w14:paraId="0275E291" w14:textId="77777777" w:rsidR="009C3BB9" w:rsidRPr="00F230F1" w:rsidRDefault="009C3BB9" w:rsidP="00F230F1">
      <w:pPr>
        <w:contextualSpacing/>
        <w:jc w:val="both"/>
        <w:rPr>
          <w:rFonts w:asciiTheme="majorBidi" w:hAnsiTheme="majorBidi" w:cstheme="majorBidi"/>
          <w:sz w:val="20"/>
          <w:szCs w:val="20"/>
          <w:lang w:bidi="ar-AE"/>
        </w:rPr>
      </w:pPr>
      <w:r w:rsidRPr="00F230F1">
        <w:rPr>
          <w:rFonts w:asciiTheme="majorBidi" w:hAnsiTheme="majorBidi" w:cstheme="majorBidi"/>
          <w:sz w:val="20"/>
          <w:szCs w:val="20"/>
          <w:lang w:bidi="ar-AE"/>
        </w:rPr>
        <w:t>« [J’ai] deux ivresses : l’ivresse de passion et l’ivresse de vin. / Comment peut se désenivrer un jeune homme qui est doublement ivre ? »</w:t>
      </w:r>
    </w:p>
  </w:footnote>
  <w:footnote w:id="319">
    <w:p w14:paraId="7F8185FA" w14:textId="77777777" w:rsidR="009C3BB9" w:rsidRPr="00F230F1" w:rsidRDefault="009C3BB9" w:rsidP="00F230F1">
      <w:pPr>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Cf. « ʾAbnāʾ an-nūr ʿabra al-ʿuṣūr » [« Les fils de la lumière à travers les siècles »], site </w:t>
      </w:r>
      <w:r w:rsidRPr="00F230F1">
        <w:rPr>
          <w:rFonts w:asciiTheme="majorBidi" w:hAnsiTheme="majorBidi" w:cstheme="majorBidi"/>
          <w:i/>
          <w:iCs/>
          <w:sz w:val="20"/>
          <w:szCs w:val="20"/>
          <w:lang w:bidi="ar-AE"/>
        </w:rPr>
        <w:t xml:space="preserve">Druzenet </w:t>
      </w:r>
      <w:r w:rsidRPr="00F230F1">
        <w:rPr>
          <w:rFonts w:asciiTheme="majorBidi" w:hAnsiTheme="majorBidi" w:cstheme="majorBidi"/>
          <w:sz w:val="20"/>
          <w:szCs w:val="20"/>
          <w:lang w:bidi="ar-AE"/>
        </w:rPr>
        <w:t xml:space="preserve">(Aḍ-Ḍuḥā n° 67, septembre 1997), </w:t>
      </w:r>
      <w:hyperlink r:id="rId106" w:history="1">
        <w:r w:rsidRPr="00F230F1">
          <w:rPr>
            <w:rStyle w:val="Lienhypertexte"/>
            <w:rFonts w:asciiTheme="majorBidi" w:hAnsiTheme="majorBidi" w:cstheme="majorBidi"/>
            <w:sz w:val="20"/>
            <w:szCs w:val="20"/>
            <w:lang w:bidi="ar-KW"/>
          </w:rPr>
          <w:t>http://www.druzenet.net/dn-a-abnanour.html</w:t>
        </w:r>
      </w:hyperlink>
      <w:r w:rsidRPr="00F230F1">
        <w:rPr>
          <w:rFonts w:asciiTheme="majorBidi" w:hAnsiTheme="majorBidi" w:cstheme="majorBidi"/>
          <w:sz w:val="20"/>
          <w:szCs w:val="20"/>
          <w:lang w:bidi="ar-AE"/>
        </w:rPr>
        <w:t xml:space="preserve"> (consulté le 25/07/2017).</w:t>
      </w:r>
    </w:p>
  </w:footnote>
  <w:footnote w:id="320">
    <w:p w14:paraId="26FDB598"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Nous citons ici comme exemple le célèbre poème bachique (</w:t>
      </w:r>
      <w:r w:rsidRPr="00F230F1">
        <w:rPr>
          <w:rFonts w:asciiTheme="majorBidi" w:hAnsiTheme="majorBidi" w:cstheme="majorBidi"/>
          <w:i/>
          <w:iCs/>
          <w:sz w:val="20"/>
          <w:szCs w:val="20"/>
          <w:lang w:bidi="ar-AE"/>
        </w:rPr>
        <w:t>khamrīya</w:t>
      </w:r>
      <w:r w:rsidRPr="00F230F1">
        <w:rPr>
          <w:rFonts w:asciiTheme="majorBidi" w:hAnsiTheme="majorBidi" w:cstheme="majorBidi"/>
          <w:sz w:val="20"/>
          <w:szCs w:val="20"/>
          <w:lang w:bidi="ar-AE"/>
        </w:rPr>
        <w:t xml:space="preserve"> ou éloge du vin) du grand poète et mystique ʿUmar Ibn Al-Fāriḍ (1181-1235) « </w:t>
      </w:r>
      <w:r w:rsidRPr="00F230F1">
        <w:rPr>
          <w:rFonts w:asciiTheme="majorBidi" w:hAnsiTheme="majorBidi" w:cstheme="majorBidi"/>
          <w:i/>
          <w:iCs/>
          <w:sz w:val="20"/>
          <w:szCs w:val="20"/>
          <w:lang w:bidi="ar-AE"/>
        </w:rPr>
        <w:t>Sharibnā ʿalā dhikr al-ḥabībi mudāmatan</w:t>
      </w:r>
      <w:r w:rsidRPr="00F230F1">
        <w:rPr>
          <w:rFonts w:asciiTheme="majorBidi" w:hAnsiTheme="majorBidi" w:cstheme="majorBidi"/>
          <w:sz w:val="20"/>
          <w:szCs w:val="20"/>
          <w:lang w:bidi="ar-AE"/>
        </w:rPr>
        <w:t> »</w:t>
      </w:r>
      <w:r w:rsidRPr="00F230F1">
        <w:rPr>
          <w:rFonts w:asciiTheme="majorBidi" w:hAnsiTheme="majorBidi" w:cstheme="majorBidi"/>
          <w:i/>
          <w:iCs/>
          <w:sz w:val="20"/>
          <w:szCs w:val="20"/>
          <w:lang w:bidi="ar-AE"/>
        </w:rPr>
        <w:t xml:space="preserve"> </w:t>
      </w:r>
      <w:r w:rsidRPr="00F230F1">
        <w:rPr>
          <w:rFonts w:asciiTheme="majorBidi" w:hAnsiTheme="majorBidi" w:cstheme="majorBidi"/>
          <w:sz w:val="20"/>
          <w:szCs w:val="20"/>
          <w:lang w:bidi="ar-AE"/>
        </w:rPr>
        <w:t>[</w:t>
      </w:r>
      <w:r w:rsidRPr="00F230F1">
        <w:rPr>
          <w:rFonts w:asciiTheme="majorBidi" w:hAnsiTheme="majorBidi" w:cstheme="majorBidi"/>
          <w:i/>
          <w:iCs/>
          <w:sz w:val="20"/>
          <w:szCs w:val="20"/>
          <w:lang w:bidi="ar-AE"/>
        </w:rPr>
        <w:t>Nous avons bu à la mémoire de l’Aimé un Vin</w:t>
      </w:r>
      <w:r w:rsidRPr="00F230F1">
        <w:rPr>
          <w:rFonts w:asciiTheme="majorBidi" w:hAnsiTheme="majorBidi" w:cstheme="majorBidi"/>
          <w:sz w:val="20"/>
          <w:szCs w:val="20"/>
          <w:lang w:bidi="ar-AE"/>
        </w:rPr>
        <w:t xml:space="preserve">] : « - Nous avons bu à la mémoire de l’Aimé un Vin / Dont nous nous sommes enivrés avant que la vigne fût créée. - La lune en son disque est sa coupe, il est un soleil que fait passer à la ronde / Un croissant ; mille étoiles scintillent quand on le mélange… - Dépose-t-on au couvert du clos de ses treilles / Un malade à l’agonie, voici que son mal le quitte. » (L’Hopital, Jean-Yves, </w:t>
      </w:r>
      <w:r w:rsidRPr="00F230F1">
        <w:rPr>
          <w:rFonts w:asciiTheme="majorBidi" w:hAnsiTheme="majorBidi" w:cstheme="majorBidi"/>
          <w:i/>
          <w:iCs/>
          <w:sz w:val="20"/>
          <w:szCs w:val="20"/>
          <w:lang w:bidi="ar-AE"/>
        </w:rPr>
        <w:t>ʿUmar b. al-Fāriḍ, poèmes mystiques</w:t>
      </w:r>
      <w:r w:rsidRPr="00F230F1">
        <w:rPr>
          <w:rFonts w:asciiTheme="majorBidi" w:hAnsiTheme="majorBidi" w:cstheme="majorBidi"/>
          <w:sz w:val="20"/>
          <w:szCs w:val="20"/>
          <w:lang w:bidi="ar-AE"/>
        </w:rPr>
        <w:t>, Damas, Institut Français d’Études Arabes de Damas, 2001, p. 219, 221 &amp; 225.)</w:t>
      </w:r>
    </w:p>
  </w:footnote>
  <w:footnote w:id="321">
    <w:p w14:paraId="6E2C56AB" w14:textId="77777777" w:rsidR="009C3BB9" w:rsidRPr="00F230F1" w:rsidRDefault="009C3BB9" w:rsidP="00F230F1">
      <w:pPr>
        <w:pStyle w:val="Notedebasdepage"/>
        <w:contextualSpacing/>
        <w:jc w:val="both"/>
        <w:rPr>
          <w:rFonts w:asciiTheme="majorBidi" w:eastAsia="Times New Roman" w:hAnsiTheme="majorBidi" w:cstheme="majorBidi"/>
          <w:sz w:val="20"/>
          <w:szCs w:val="20"/>
          <w:rtl/>
          <w:lang w:eastAsia="fr-FR"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AE"/>
        </w:rPr>
        <w:t xml:space="preserve">ʿĀlim Sabīṭ an-Nīlī, </w:t>
      </w:r>
      <w:r w:rsidRPr="00F230F1">
        <w:rPr>
          <w:rFonts w:asciiTheme="majorBidi" w:eastAsia="Times New Roman" w:hAnsiTheme="majorBidi" w:cstheme="majorBidi"/>
          <w:i/>
          <w:iCs/>
          <w:sz w:val="20"/>
          <w:szCs w:val="20"/>
          <w:lang w:eastAsia="fr-FR" w:bidi="ar-AE"/>
        </w:rPr>
        <w:t>An-niẓām al-qurʾānī. Muqaddima fī al-manhaj al-lafẓī</w:t>
      </w:r>
      <w:r w:rsidRPr="00F230F1">
        <w:rPr>
          <w:rFonts w:asciiTheme="majorBidi" w:eastAsia="Times New Roman" w:hAnsiTheme="majorBidi" w:cstheme="majorBidi"/>
          <w:sz w:val="20"/>
          <w:szCs w:val="20"/>
          <w:lang w:eastAsia="fr-FR" w:bidi="ar-AE"/>
        </w:rPr>
        <w:t xml:space="preserve"> [</w:t>
      </w:r>
      <w:r w:rsidRPr="00F230F1">
        <w:rPr>
          <w:rFonts w:asciiTheme="majorBidi" w:eastAsia="Times New Roman" w:hAnsiTheme="majorBidi" w:cstheme="majorBidi"/>
          <w:i/>
          <w:iCs/>
          <w:sz w:val="20"/>
          <w:szCs w:val="20"/>
          <w:lang w:eastAsia="fr-FR" w:bidi="ar-AE"/>
        </w:rPr>
        <w:t>L’organisation coranique. Introduction à l’approche phonétique</w:t>
      </w:r>
      <w:r w:rsidRPr="00F230F1">
        <w:rPr>
          <w:rFonts w:asciiTheme="majorBidi" w:eastAsia="Times New Roman" w:hAnsiTheme="majorBidi" w:cstheme="majorBidi"/>
          <w:sz w:val="20"/>
          <w:szCs w:val="20"/>
          <w:lang w:eastAsia="fr-FR" w:bidi="ar-AE"/>
        </w:rPr>
        <w:t xml:space="preserve">], p. 166, version électronique, </w:t>
      </w:r>
      <w:hyperlink r:id="rId107" w:history="1">
        <w:r w:rsidRPr="00F230F1">
          <w:rPr>
            <w:rStyle w:val="Lienhypertexte"/>
            <w:rFonts w:asciiTheme="majorBidi" w:hAnsiTheme="majorBidi" w:cstheme="majorBidi"/>
            <w:sz w:val="20"/>
            <w:szCs w:val="20"/>
            <w:lang w:eastAsia="fr-FR" w:bidi="ar-AE"/>
          </w:rPr>
          <w:t>http://islam.misrians.com/ebooks/quran/</w:t>
        </w:r>
        <w:r w:rsidRPr="00F230F1">
          <w:rPr>
            <w:rStyle w:val="Lienhypertexte"/>
            <w:rFonts w:asciiTheme="majorBidi" w:hAnsiTheme="majorBidi" w:cstheme="majorBidi"/>
            <w:sz w:val="20"/>
            <w:szCs w:val="20"/>
            <w:rtl/>
            <w:lang w:eastAsia="fr-FR" w:bidi="ar-AE"/>
          </w:rPr>
          <w:t>النظام%20القرآني</w:t>
        </w:r>
        <w:r w:rsidRPr="00F230F1">
          <w:rPr>
            <w:rStyle w:val="Lienhypertexte"/>
            <w:rFonts w:asciiTheme="majorBidi" w:hAnsiTheme="majorBidi" w:cstheme="majorBidi"/>
            <w:sz w:val="20"/>
            <w:szCs w:val="20"/>
            <w:lang w:eastAsia="fr-FR" w:bidi="ar-AE"/>
          </w:rPr>
          <w:t>.pdf</w:t>
        </w:r>
      </w:hyperlink>
      <w:r w:rsidRPr="00F230F1">
        <w:rPr>
          <w:rFonts w:asciiTheme="majorBidi" w:eastAsia="Times New Roman" w:hAnsiTheme="majorBidi" w:cstheme="majorBidi"/>
          <w:sz w:val="20"/>
          <w:szCs w:val="20"/>
          <w:lang w:eastAsia="fr-FR" w:bidi="ar-AE"/>
        </w:rPr>
        <w:t xml:space="preserve"> (consultée le 05/07/2017).</w:t>
      </w:r>
    </w:p>
  </w:footnote>
  <w:footnote w:id="322">
    <w:p w14:paraId="3605BEC8"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Dans un article intitulé « Pourquoi les humains raisonnent ? Arguments pour une théorie argumentative », les chercheurs Hugo Mercier et Dan Sperber montrent que notre capacité à raisonner n’a pas été conçue pour nous aider à rechercher la vérité, mais pour nous aider à argumenter, et que nos processus de pensée tendent vers la confirmation de notre propre idée. Ils montrent également que le biais de confirmation explique que nous avons tendance à nous souvenir mieux des preuves qui confirment ce que l’on pense déjà que les arguments contraires. Il explique également qu’on a dû mal à remettre en cause nos croyances, même face aux données empiriques</w:t>
      </w:r>
      <w:r w:rsidRPr="00F230F1">
        <w:rPr>
          <w:rStyle w:val="uficommentbody"/>
          <w:rFonts w:asciiTheme="majorBidi" w:hAnsiTheme="majorBidi" w:cstheme="majorBidi"/>
          <w:sz w:val="20"/>
          <w:szCs w:val="20"/>
        </w:rPr>
        <w:t>.</w:t>
      </w:r>
      <w:r w:rsidRPr="00F230F1">
        <w:rPr>
          <w:rFonts w:asciiTheme="majorBidi" w:hAnsiTheme="majorBidi" w:cstheme="majorBidi"/>
          <w:sz w:val="20"/>
          <w:szCs w:val="20"/>
        </w:rPr>
        <w:t xml:space="preserve"> (</w:t>
      </w:r>
      <w:r w:rsidRPr="00F230F1">
        <w:rPr>
          <w:rStyle w:val="uficommentbody"/>
          <w:rFonts w:asciiTheme="majorBidi" w:hAnsiTheme="majorBidi" w:cstheme="majorBidi"/>
          <w:i/>
          <w:iCs/>
          <w:sz w:val="20"/>
          <w:szCs w:val="20"/>
        </w:rPr>
        <w:t>Cf.</w:t>
      </w:r>
      <w:r w:rsidRPr="00F230F1">
        <w:rPr>
          <w:rStyle w:val="uficommentbody"/>
          <w:rFonts w:asciiTheme="majorBidi" w:hAnsiTheme="majorBidi" w:cstheme="majorBidi"/>
          <w:sz w:val="20"/>
          <w:szCs w:val="20"/>
        </w:rPr>
        <w:t xml:space="preserve"> Haidt, Jonathan, </w:t>
      </w:r>
      <w:r w:rsidRPr="00F230F1">
        <w:rPr>
          <w:rStyle w:val="uficommentbody"/>
          <w:rFonts w:asciiTheme="majorBidi" w:hAnsiTheme="majorBidi" w:cstheme="majorBidi"/>
          <w:i/>
          <w:iCs/>
          <w:sz w:val="20"/>
          <w:szCs w:val="20"/>
        </w:rPr>
        <w:t>The Righteous Mind</w:t>
      </w:r>
      <w:r w:rsidRPr="00F230F1">
        <w:rPr>
          <w:rStyle w:val="uficommentbody"/>
          <w:rFonts w:asciiTheme="majorBidi" w:hAnsiTheme="majorBidi" w:cstheme="majorBidi"/>
          <w:sz w:val="20"/>
          <w:szCs w:val="20"/>
        </w:rPr>
        <w:t>, 2012</w:t>
      </w:r>
      <w:r w:rsidRPr="00F230F1">
        <w:rPr>
          <w:rFonts w:asciiTheme="majorBidi" w:hAnsiTheme="majorBidi" w:cstheme="majorBidi"/>
          <w:sz w:val="20"/>
          <w:szCs w:val="20"/>
        </w:rPr>
        <w:t xml:space="preserve">, p. 103. </w:t>
      </w:r>
      <w:r w:rsidRPr="00F230F1">
        <w:rPr>
          <w:rStyle w:val="uficommentbody"/>
          <w:rFonts w:asciiTheme="majorBidi" w:hAnsiTheme="majorBidi" w:cstheme="majorBidi"/>
          <w:i/>
          <w:iCs/>
          <w:sz w:val="20"/>
          <w:szCs w:val="20"/>
        </w:rPr>
        <w:t>Cf.</w:t>
      </w:r>
      <w:r w:rsidRPr="00F230F1">
        <w:rPr>
          <w:rStyle w:val="uficommentbody"/>
          <w:rFonts w:asciiTheme="majorBidi" w:hAnsiTheme="majorBidi" w:cstheme="majorBidi"/>
          <w:sz w:val="20"/>
          <w:szCs w:val="20"/>
        </w:rPr>
        <w:t xml:space="preserve"> </w:t>
      </w:r>
      <w:r w:rsidRPr="00F230F1">
        <w:rPr>
          <w:rFonts w:asciiTheme="majorBidi" w:hAnsiTheme="majorBidi" w:cstheme="majorBidi"/>
          <w:sz w:val="20"/>
          <w:szCs w:val="20"/>
        </w:rPr>
        <w:t>Guillaud, Hubert</w:t>
      </w:r>
      <w:r w:rsidRPr="00F230F1">
        <w:rPr>
          <w:rStyle w:val="uficommentbody"/>
          <w:rFonts w:asciiTheme="majorBidi" w:hAnsiTheme="majorBidi" w:cstheme="majorBidi"/>
          <w:sz w:val="20"/>
          <w:szCs w:val="20"/>
        </w:rPr>
        <w:t>,</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KW"/>
        </w:rPr>
        <w:t>« </w:t>
      </w:r>
      <w:r w:rsidRPr="00F230F1">
        <w:rPr>
          <w:rStyle w:val="uficommentbody"/>
          <w:rFonts w:asciiTheme="majorBidi" w:hAnsiTheme="majorBidi" w:cstheme="majorBidi"/>
          <w:sz w:val="20"/>
          <w:szCs w:val="20"/>
        </w:rPr>
        <w:t>La théorie argumentative : le rôle social de l’argumentation »,</w:t>
      </w:r>
      <w:r w:rsidRPr="00F230F1">
        <w:rPr>
          <w:rFonts w:asciiTheme="majorBidi" w:hAnsiTheme="majorBidi" w:cstheme="majorBidi"/>
          <w:sz w:val="20"/>
          <w:szCs w:val="20"/>
        </w:rPr>
        <w:t xml:space="preserve"> </w:t>
      </w:r>
      <w:hyperlink r:id="rId108" w:history="1">
        <w:r w:rsidRPr="00F230F1">
          <w:rPr>
            <w:rStyle w:val="Lienhypertexte"/>
            <w:rFonts w:asciiTheme="majorBidi" w:hAnsiTheme="majorBidi" w:cstheme="majorBidi"/>
            <w:sz w:val="20"/>
            <w:szCs w:val="20"/>
          </w:rPr>
          <w:t>InternetActu.net</w:t>
        </w:r>
      </w:hyperlink>
      <w:r w:rsidRPr="00F230F1">
        <w:rPr>
          <w:rStyle w:val="uficommentbody"/>
          <w:rFonts w:asciiTheme="majorBidi" w:hAnsiTheme="majorBidi" w:cstheme="majorBidi"/>
          <w:i/>
          <w:sz w:val="20"/>
          <w:szCs w:val="20"/>
        </w:rPr>
        <w:t>,</w:t>
      </w:r>
      <w:r w:rsidRPr="00F230F1">
        <w:rPr>
          <w:rStyle w:val="uficommentbody"/>
          <w:rFonts w:asciiTheme="majorBidi" w:hAnsiTheme="majorBidi" w:cstheme="majorBidi"/>
          <w:sz w:val="20"/>
          <w:szCs w:val="20"/>
        </w:rPr>
        <w:t xml:space="preserve"> </w:t>
      </w:r>
      <w:r w:rsidRPr="00F230F1">
        <w:rPr>
          <w:rFonts w:asciiTheme="majorBidi" w:hAnsiTheme="majorBidi" w:cstheme="majorBidi"/>
          <w:sz w:val="20"/>
          <w:szCs w:val="20"/>
        </w:rPr>
        <w:t>29 juin 2011</w:t>
      </w:r>
      <w:r w:rsidRPr="00F230F1">
        <w:rPr>
          <w:rStyle w:val="uficommentbody"/>
          <w:rFonts w:asciiTheme="majorBidi" w:hAnsiTheme="majorBidi" w:cstheme="majorBidi"/>
          <w:color w:val="FF0000"/>
          <w:sz w:val="20"/>
          <w:szCs w:val="20"/>
        </w:rPr>
        <w:t xml:space="preserve"> </w:t>
      </w:r>
      <w:r w:rsidRPr="00F230F1">
        <w:rPr>
          <w:rStyle w:val="uficommentbody"/>
          <w:rFonts w:asciiTheme="majorBidi" w:hAnsiTheme="majorBidi" w:cstheme="majorBidi"/>
          <w:sz w:val="20"/>
          <w:szCs w:val="20"/>
        </w:rPr>
        <w:t>[</w:t>
      </w:r>
      <w:hyperlink r:id="rId109" w:history="1">
        <w:r w:rsidRPr="00F230F1">
          <w:rPr>
            <w:rStyle w:val="Lienhypertexte"/>
            <w:rFonts w:asciiTheme="majorBidi" w:hAnsiTheme="majorBidi" w:cstheme="majorBidi"/>
            <w:sz w:val="20"/>
            <w:szCs w:val="20"/>
          </w:rPr>
          <w:t>http://www.internetactu.net/2011/06/29/la-theorie-argumentative-le-role-social-de-largumentation/</w:t>
        </w:r>
      </w:hyperlink>
      <w:r w:rsidRPr="00F230F1">
        <w:rPr>
          <w:rStyle w:val="uficommentbody"/>
          <w:rFonts w:asciiTheme="majorBidi" w:hAnsiTheme="majorBidi" w:cstheme="majorBidi"/>
          <w:sz w:val="20"/>
          <w:szCs w:val="20"/>
        </w:rPr>
        <w:t>] (consulté le 05/07/2017).</w:t>
      </w:r>
    </w:p>
  </w:footnote>
  <w:footnote w:id="323">
    <w:p w14:paraId="1574BE6C" w14:textId="77777777" w:rsidR="009C3BB9" w:rsidRPr="00F230F1" w:rsidRDefault="009C3BB9" w:rsidP="00F230F1">
      <w:pPr>
        <w:pStyle w:val="n1"/>
        <w:bidi w:val="0"/>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eastAsia="fr-FR" w:bidi="ar-EG"/>
        </w:rPr>
        <w:t xml:space="preserve"> Abū As-Suʿūd Al-ʿImādī</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Irshād al-ʿaql as-salīm ilā mazāyā l-kitāb al-karīm</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Tafsīr Abū s-Suʿūd</w:t>
      </w:r>
      <w:r w:rsidRPr="00F230F1">
        <w:rPr>
          <w:rFonts w:asciiTheme="majorBidi" w:hAnsiTheme="majorBidi" w:cstheme="majorBidi"/>
          <w:sz w:val="20"/>
          <w:szCs w:val="20"/>
          <w:lang w:bidi="ar-AE"/>
        </w:rPr>
        <w:t>), Dār Iḥyāʾ at-turāth al-ʿarabī, Beyrouth, sans date.</w:t>
      </w:r>
    </w:p>
  </w:footnote>
  <w:footnote w:id="324">
    <w:p w14:paraId="3AB9FED1" w14:textId="77777777" w:rsidR="009C3BB9" w:rsidRPr="00F230F1" w:rsidRDefault="009C3BB9" w:rsidP="00F230F1">
      <w:pPr>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Muḥammad Khalīl Al-Bāshā, </w:t>
      </w:r>
      <w:r w:rsidRPr="00F230F1">
        <w:rPr>
          <w:rFonts w:asciiTheme="majorBidi" w:hAnsiTheme="majorBidi" w:cstheme="majorBidi"/>
          <w:i/>
          <w:iCs/>
          <w:sz w:val="20"/>
          <w:szCs w:val="20"/>
          <w:lang w:bidi="ar-AE"/>
        </w:rPr>
        <w:t>At-taqammuṣ wa-asrār al-</w:t>
      </w:r>
      <w:r w:rsidRPr="00F230F1">
        <w:rPr>
          <w:rFonts w:asciiTheme="majorBidi" w:hAnsiTheme="majorBidi" w:cstheme="majorBidi"/>
          <w:i/>
          <w:iCs/>
          <w:sz w:val="20"/>
          <w:szCs w:val="20"/>
        </w:rPr>
        <w:t xml:space="preserve"> </w:t>
      </w:r>
      <w:r w:rsidRPr="00F230F1">
        <w:rPr>
          <w:rFonts w:asciiTheme="majorBidi" w:hAnsiTheme="majorBidi" w:cstheme="majorBidi"/>
          <w:i/>
          <w:iCs/>
          <w:sz w:val="20"/>
          <w:szCs w:val="20"/>
          <w:lang w:bidi="ar-AE"/>
        </w:rPr>
        <w:t>ḥayāt wa-l-mawt</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Muḥammad Khalīl Al-Bāshā, </w:t>
      </w:r>
      <w:r w:rsidRPr="00F230F1">
        <w:rPr>
          <w:rFonts w:asciiTheme="majorBidi" w:hAnsiTheme="majorBidi" w:cstheme="majorBidi"/>
          <w:i/>
          <w:iCs/>
          <w:sz w:val="20"/>
          <w:szCs w:val="20"/>
        </w:rPr>
        <w:t>ʾAl-ʾinsān wa-taqallubātu-hu f</w:t>
      </w:r>
      <w:r w:rsidRPr="00F230F1">
        <w:rPr>
          <w:rFonts w:asciiTheme="majorBidi" w:hAnsiTheme="majorBidi" w:cstheme="majorBidi"/>
          <w:i/>
          <w:iCs/>
          <w:sz w:val="20"/>
          <w:szCs w:val="20"/>
          <w:lang w:bidi="ar-AE"/>
        </w:rPr>
        <w:t>ī</w:t>
      </w:r>
      <w:r w:rsidRPr="00F230F1">
        <w:rPr>
          <w:rFonts w:asciiTheme="majorBidi" w:hAnsiTheme="majorBidi" w:cstheme="majorBidi"/>
          <w:i/>
          <w:iCs/>
          <w:sz w:val="20"/>
          <w:szCs w:val="20"/>
        </w:rPr>
        <w:t>-l-āfāq</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Sāmī Nasīb Makārim, </w:t>
      </w:r>
      <w:r w:rsidRPr="00F230F1">
        <w:rPr>
          <w:rFonts w:asciiTheme="majorBidi" w:hAnsiTheme="majorBidi" w:cstheme="majorBidi"/>
          <w:i/>
          <w:iCs/>
          <w:sz w:val="20"/>
          <w:szCs w:val="20"/>
        </w:rPr>
        <w:t>Maslak at-Tawḥ</w:t>
      </w:r>
      <w:r w:rsidRPr="00F230F1">
        <w:rPr>
          <w:rFonts w:asciiTheme="majorBidi" w:hAnsiTheme="majorBidi" w:cstheme="majorBidi"/>
          <w:i/>
          <w:iCs/>
          <w:sz w:val="20"/>
          <w:szCs w:val="20"/>
          <w:lang w:bidi="ar-AE"/>
        </w:rPr>
        <w:t>ī</w:t>
      </w:r>
      <w:r w:rsidRPr="00F230F1">
        <w:rPr>
          <w:rFonts w:asciiTheme="majorBidi" w:hAnsiTheme="majorBidi" w:cstheme="majorBidi"/>
          <w:i/>
          <w:iCs/>
          <w:sz w:val="20"/>
          <w:szCs w:val="20"/>
        </w:rPr>
        <w:t>d</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Abū Mūsā Al-Ḥarīrī, </w:t>
      </w:r>
      <w:r w:rsidRPr="00F230F1">
        <w:rPr>
          <w:rFonts w:asciiTheme="majorBidi" w:hAnsiTheme="majorBidi" w:cstheme="majorBidi"/>
          <w:i/>
          <w:iCs/>
          <w:sz w:val="20"/>
          <w:szCs w:val="20"/>
          <w:lang w:bidi="ar-AE"/>
        </w:rPr>
        <w:t>ʾAl-ʿAlawyīūn an-Nuṣayryīūn</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rPr>
        <w:t>.</w:t>
      </w:r>
    </w:p>
  </w:footnote>
  <w:footnote w:id="325">
    <w:p w14:paraId="0C7159A4" w14:textId="77777777" w:rsidR="009C3BB9" w:rsidRPr="00F230F1" w:rsidRDefault="009C3BB9" w:rsidP="00F230F1">
      <w:pPr>
        <w:pStyle w:val="n1"/>
        <w:bidi w:val="0"/>
        <w:contextualSpacing/>
        <w:jc w:val="both"/>
        <w:rPr>
          <w:rFonts w:asciiTheme="majorBidi" w:hAnsiTheme="majorBidi" w:cstheme="majorBidi"/>
          <w:sz w:val="20"/>
          <w:szCs w:val="20"/>
          <w:lang w:eastAsia="fr-FR" w:bidi="ar-EG"/>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KW"/>
        </w:rPr>
        <w:t xml:space="preserve"> L’ima</w:t>
      </w:r>
      <w:r w:rsidRPr="00F230F1">
        <w:rPr>
          <w:rFonts w:asciiTheme="majorBidi" w:hAnsiTheme="majorBidi" w:cstheme="majorBidi"/>
          <w:sz w:val="20"/>
          <w:szCs w:val="20"/>
          <w:lang w:eastAsia="fr-FR" w:bidi="ar-EG"/>
        </w:rPr>
        <w:t>m Aḥmad rapporte d’après Bahz, d’après Ḥammād ibn Salama, d’après Yaʿlā ibn ʿAṭāʾ, d’après Wakīʿ ibn Ḥudas, d’après son oncle paternel Abū Razīn al-ʿUqaylī qui demanda au Prophète : – […] Ô messager de Dieu ! Comment Dieu fait-il revivre les morts ? Et quel en est le signe [la preuve] dans ses créatures ? Le Prophète répondit : – N’es-tu pas passé dans la vallée de ta famille alors qu’elle était desséchée ? – Si ! répondit-il. – N’y es-tu pas passé alors qu’elle était si verte qu’elle ondulait et se mouvait ? reprit le Prophète. – Si ! fit l’homme. – Puis n’y es-tu pas repassé alors qu’elle était encore une fois desséchée ? dit le Prophète. – Si ! répondit l’homme. – C’est ainsi que Dieu fait revivre les morts et c’est cela son signe dans ses créatures », conclut le prophète. (</w:t>
      </w:r>
      <w:r w:rsidRPr="00F230F1">
        <w:rPr>
          <w:rFonts w:asciiTheme="majorBidi" w:hAnsiTheme="majorBidi" w:cstheme="majorBidi"/>
          <w:i/>
          <w:iCs/>
          <w:sz w:val="20"/>
          <w:szCs w:val="20"/>
          <w:lang w:eastAsia="fr-FR" w:bidi="ar-EG"/>
        </w:rPr>
        <w:t>Tafsīr Ibn Kathīr</w:t>
      </w:r>
      <w:r w:rsidRPr="00F230F1">
        <w:rPr>
          <w:rFonts w:asciiTheme="majorBidi" w:hAnsiTheme="majorBidi" w:cstheme="majorBidi"/>
          <w:sz w:val="20"/>
          <w:szCs w:val="20"/>
          <w:lang w:eastAsia="fr-FR" w:bidi="ar-EG"/>
        </w:rPr>
        <w:t xml:space="preserve">, sourate Al-Ḥajj. </w:t>
      </w:r>
      <w:r w:rsidRPr="00F230F1">
        <w:rPr>
          <w:rFonts w:asciiTheme="majorBidi" w:hAnsiTheme="majorBidi" w:cstheme="majorBidi"/>
          <w:i/>
          <w:iCs/>
          <w:sz w:val="20"/>
          <w:szCs w:val="20"/>
          <w:lang w:eastAsia="fr-FR" w:bidi="ar-EG"/>
        </w:rPr>
        <w:t>Musnad Aḥmad Ibn Ḥanbal</w:t>
      </w:r>
      <w:r w:rsidRPr="00F230F1">
        <w:rPr>
          <w:rFonts w:asciiTheme="majorBidi" w:hAnsiTheme="majorBidi" w:cstheme="majorBidi"/>
          <w:sz w:val="20"/>
          <w:szCs w:val="20"/>
          <w:lang w:eastAsia="fr-FR" w:bidi="ar-EG"/>
        </w:rPr>
        <w:t>, hadith n° 15852).</w:t>
      </w:r>
    </w:p>
    <w:p w14:paraId="7388A784" w14:textId="77777777" w:rsidR="009C3BB9" w:rsidRPr="00F230F1" w:rsidRDefault="009C3BB9" w:rsidP="00F230F1">
      <w:pPr>
        <w:pStyle w:val="n1"/>
        <w:contextualSpacing/>
        <w:jc w:val="both"/>
        <w:rPr>
          <w:rFonts w:asciiTheme="majorBidi" w:hAnsiTheme="majorBidi" w:cstheme="majorBidi"/>
          <w:sz w:val="20"/>
          <w:szCs w:val="20"/>
          <w:lang w:bidi="ar-AE"/>
        </w:rPr>
      </w:pPr>
      <w:r w:rsidRPr="00F230F1">
        <w:rPr>
          <w:rFonts w:asciiTheme="majorBidi" w:hAnsiTheme="majorBidi" w:cstheme="majorBidi"/>
          <w:sz w:val="20"/>
          <w:szCs w:val="20"/>
          <w:rtl/>
          <w:lang w:eastAsia="fr-FR" w:bidi="ar-EG"/>
        </w:rPr>
        <w:t>قال الإمامُ أحمد: حَدَّثنا بَهْزٌ، قال: حَدَّثنا حَمَّادُ بْنُ سَلَمَةَ، قال: أَخبَرَنا يَعْلَى بْنُ عَطاء، عن وكيعِ بْنِ حُدَسٍ، عن عمِّه أَبِي رَزينٍ العُـقَــيليِّ، أنه قال: "[...] يا رسولَ الله، كيف يُحْيِي اللهُ الموتى، وما آيةُ [علامة] ذلك في خَلْقِه؟" قال: "أمَا مَرَرْتَ بِوَادِي أَهْـلِكَ مَحْلاً؟" قال: "بلى". قال: "أمَا مَرَرْتَ به يَهْــتَــزُّ خَضِراً؟" قال: قُــلْتُ: "بلى". قال: "ثم مَرَرْتَ به مَحْلاً؟" قال: "بلى". قال: "فكذلك يُحْيِي اللهُ الموتى، وذلك آيتُه في خَلْقِه". (تفسير ابن كثير، سورة الحج. ومسند أحمد بن حنبل، رقم الحديث: 15852)</w:t>
      </w:r>
    </w:p>
  </w:footnote>
  <w:footnote w:id="326">
    <w:p w14:paraId="5C8F62F8"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Ṣaḥīḥ Muslim</w:t>
      </w:r>
      <w:r w:rsidRPr="00F230F1">
        <w:rPr>
          <w:rFonts w:asciiTheme="majorBidi" w:hAnsiTheme="majorBidi" w:cstheme="majorBidi"/>
          <w:sz w:val="20"/>
          <w:szCs w:val="20"/>
        </w:rPr>
        <w:t xml:space="preserve">, 2/663, hadith n° 1606. (Version électronique </w:t>
      </w:r>
      <w:hyperlink r:id="rId110" w:history="1">
        <w:r w:rsidRPr="00F230F1">
          <w:rPr>
            <w:rStyle w:val="Lienhypertexte"/>
            <w:rFonts w:asciiTheme="majorBidi" w:hAnsiTheme="majorBidi" w:cstheme="majorBidi"/>
            <w:sz w:val="20"/>
            <w:szCs w:val="20"/>
          </w:rPr>
          <w:t>http://library.islamweb.net/hadith/display_hbook.php?bk_no=158&amp;hid=1606&amp;pid=106613</w:t>
        </w:r>
      </w:hyperlink>
      <w:r w:rsidRPr="00F230F1">
        <w:rPr>
          <w:rFonts w:asciiTheme="majorBidi" w:hAnsiTheme="majorBidi" w:cstheme="majorBidi"/>
          <w:sz w:val="20"/>
          <w:szCs w:val="20"/>
        </w:rPr>
        <w:t xml:space="preserve"> consultée le 05/07/2017).</w:t>
      </w:r>
    </w:p>
  </w:footnote>
  <w:footnote w:id="327">
    <w:p w14:paraId="03D4B337"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 xml:space="preserve"> Ibid</w:t>
      </w:r>
      <w:r w:rsidRPr="00F230F1">
        <w:rPr>
          <w:rFonts w:asciiTheme="majorBidi" w:hAnsiTheme="majorBidi" w:cstheme="majorBidi"/>
          <w:sz w:val="20"/>
          <w:szCs w:val="20"/>
        </w:rPr>
        <w:t>.</w:t>
      </w:r>
    </w:p>
  </w:footnote>
  <w:footnote w:id="328">
    <w:p w14:paraId="11EC06C5"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Les exégètes citent à ce propos un axiome anonyme qui dit : </w:t>
      </w:r>
      <w:r w:rsidRPr="00F230F1">
        <w:rPr>
          <w:rFonts w:asciiTheme="majorBidi" w:hAnsiTheme="majorBidi" w:cstheme="majorBidi"/>
          <w:i/>
          <w:iCs/>
          <w:sz w:val="20"/>
          <w:szCs w:val="20"/>
        </w:rPr>
        <w:t>Al-kalām idhā ta</w:t>
      </w:r>
      <w:r w:rsidRPr="00F230F1">
        <w:rPr>
          <w:rFonts w:asciiTheme="majorBidi" w:hAnsiTheme="majorBidi" w:cstheme="majorBidi"/>
          <w:sz w:val="20"/>
          <w:szCs w:val="20"/>
        </w:rPr>
        <w:t>k</w:t>
      </w:r>
      <w:r w:rsidRPr="00F230F1">
        <w:rPr>
          <w:rFonts w:asciiTheme="majorBidi" w:hAnsiTheme="majorBidi" w:cstheme="majorBidi"/>
          <w:i/>
          <w:iCs/>
          <w:sz w:val="20"/>
          <w:szCs w:val="20"/>
        </w:rPr>
        <w:t>arrara ta</w:t>
      </w:r>
      <w:r w:rsidRPr="00F230F1">
        <w:rPr>
          <w:rFonts w:asciiTheme="majorBidi" w:hAnsiTheme="majorBidi" w:cstheme="majorBidi"/>
          <w:sz w:val="20"/>
          <w:szCs w:val="20"/>
        </w:rPr>
        <w:t>q</w:t>
      </w:r>
      <w:r w:rsidRPr="00F230F1">
        <w:rPr>
          <w:rFonts w:asciiTheme="majorBidi" w:hAnsiTheme="majorBidi" w:cstheme="majorBidi"/>
          <w:i/>
          <w:iCs/>
          <w:sz w:val="20"/>
          <w:szCs w:val="20"/>
        </w:rPr>
        <w:t>arrara</w:t>
      </w:r>
      <w:r w:rsidRPr="00F230F1">
        <w:rPr>
          <w:rFonts w:asciiTheme="majorBidi" w:hAnsiTheme="majorBidi" w:cstheme="majorBidi"/>
          <w:sz w:val="20"/>
          <w:szCs w:val="20"/>
        </w:rPr>
        <w:t xml:space="preserve"> [La parole, dès qu’elle se répète, s’affirme].</w:t>
      </w:r>
    </w:p>
  </w:footnote>
  <w:footnote w:id="329">
    <w:p w14:paraId="26CC797A"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As-Suyūṭī, </w:t>
      </w:r>
      <w:r w:rsidRPr="00F230F1">
        <w:rPr>
          <w:rFonts w:asciiTheme="majorBidi" w:hAnsiTheme="majorBidi" w:cstheme="majorBidi"/>
          <w:i/>
          <w:iCs/>
          <w:sz w:val="20"/>
          <w:szCs w:val="20"/>
        </w:rPr>
        <w:t>Itqān</w:t>
      </w:r>
      <w:r w:rsidRPr="00F230F1">
        <w:rPr>
          <w:rFonts w:asciiTheme="majorBidi" w:hAnsiTheme="majorBidi" w:cstheme="majorBidi"/>
          <w:sz w:val="20"/>
          <w:szCs w:val="20"/>
        </w:rPr>
        <w:t xml:space="preserve">, Éditions Muʾassasat An-Nidāʾ, 3/280. </w:t>
      </w:r>
      <w:r w:rsidRPr="00F230F1">
        <w:rPr>
          <w:rFonts w:asciiTheme="majorBidi" w:hAnsiTheme="majorBidi" w:cstheme="majorBidi"/>
          <w:sz w:val="20"/>
          <w:szCs w:val="20"/>
          <w:lang w:bidi="ar-AE"/>
        </w:rPr>
        <w:t xml:space="preserve">Ibn </w:t>
      </w:r>
      <w:r w:rsidRPr="00F230F1">
        <w:rPr>
          <w:rFonts w:asciiTheme="majorBidi" w:eastAsia="Calibri" w:hAnsiTheme="majorBidi" w:cstheme="majorBidi"/>
          <w:sz w:val="20"/>
          <w:szCs w:val="20"/>
          <w:lang w:bidi="ar-AE"/>
        </w:rPr>
        <w:t>Taymīya</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Majmūʿ fatāwā Ibn Taymīya</w:t>
      </w:r>
      <w:r w:rsidRPr="00F230F1">
        <w:rPr>
          <w:rFonts w:asciiTheme="majorBidi" w:hAnsiTheme="majorBidi" w:cstheme="majorBidi"/>
          <w:sz w:val="20"/>
          <w:szCs w:val="20"/>
          <w:lang w:bidi="ar-AE"/>
        </w:rPr>
        <w:t>,</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14/408.</w:t>
      </w:r>
    </w:p>
  </w:footnote>
  <w:footnote w:id="330">
    <w:p w14:paraId="0D5D02DB"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 </w:t>
      </w:r>
      <w:r w:rsidRPr="00F230F1">
        <w:rPr>
          <w:rFonts w:asciiTheme="majorBidi" w:hAnsiTheme="majorBidi" w:cstheme="majorBidi"/>
          <w:i/>
          <w:iCs/>
          <w:sz w:val="20"/>
          <w:szCs w:val="20"/>
        </w:rPr>
        <w:t>Lā tikrāra fi l-qurʾān</w:t>
      </w:r>
      <w:r w:rsidRPr="00F230F1">
        <w:rPr>
          <w:rFonts w:asciiTheme="majorBidi" w:hAnsiTheme="majorBidi" w:cstheme="majorBidi"/>
          <w:sz w:val="20"/>
          <w:szCs w:val="20"/>
        </w:rPr>
        <w:t xml:space="preserve"> » [Pas de répétition dans le Coran], dit Abū Ḥāmid Al-Ghazālī dans </w:t>
      </w:r>
      <w:r w:rsidRPr="00F230F1">
        <w:rPr>
          <w:rFonts w:asciiTheme="majorBidi" w:hAnsiTheme="majorBidi" w:cstheme="majorBidi"/>
          <w:i/>
          <w:iCs/>
          <w:sz w:val="20"/>
          <w:szCs w:val="20"/>
        </w:rPr>
        <w:t>Jawāhir al-qurʾān wa-duraru-hu</w:t>
      </w:r>
      <w:r w:rsidRPr="00F230F1">
        <w:rPr>
          <w:rFonts w:asciiTheme="majorBidi" w:hAnsiTheme="majorBidi" w:cstheme="majorBidi"/>
          <w:sz w:val="20"/>
          <w:szCs w:val="20"/>
        </w:rPr>
        <w:t>, p. 50.</w:t>
      </w:r>
    </w:p>
  </w:footnote>
  <w:footnote w:id="331">
    <w:p w14:paraId="4443549D"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As-Suyūṭī, </w:t>
      </w:r>
      <w:r w:rsidRPr="00F230F1">
        <w:rPr>
          <w:rFonts w:asciiTheme="majorBidi" w:hAnsiTheme="majorBidi" w:cstheme="majorBidi"/>
          <w:i/>
          <w:iCs/>
          <w:sz w:val="20"/>
          <w:szCs w:val="20"/>
        </w:rPr>
        <w:t>Itqān</w:t>
      </w:r>
      <w:r w:rsidRPr="00F230F1">
        <w:rPr>
          <w:rFonts w:asciiTheme="majorBidi" w:hAnsiTheme="majorBidi" w:cstheme="majorBidi"/>
          <w:sz w:val="20"/>
          <w:szCs w:val="20"/>
        </w:rPr>
        <w:t xml:space="preserve">, Éditions Muʾassasat An-Nidāʾ, 3/280. </w:t>
      </w:r>
      <w:r w:rsidRPr="00F230F1">
        <w:rPr>
          <w:rFonts w:asciiTheme="majorBidi" w:hAnsiTheme="majorBidi" w:cstheme="majorBidi"/>
          <w:sz w:val="20"/>
          <w:szCs w:val="20"/>
          <w:lang w:bidi="ar-AE"/>
        </w:rPr>
        <w:t xml:space="preserve">Ibn </w:t>
      </w:r>
      <w:r w:rsidRPr="00F230F1">
        <w:rPr>
          <w:rFonts w:asciiTheme="majorBidi" w:eastAsia="Calibri" w:hAnsiTheme="majorBidi" w:cstheme="majorBidi"/>
          <w:sz w:val="20"/>
          <w:szCs w:val="20"/>
          <w:lang w:bidi="ar-AE"/>
        </w:rPr>
        <w:t>Taymīya</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Majmūʿ fatāwā Ibn Taymīya</w:t>
      </w:r>
      <w:r w:rsidRPr="00F230F1">
        <w:rPr>
          <w:rFonts w:asciiTheme="majorBidi" w:hAnsiTheme="majorBidi" w:cstheme="majorBidi"/>
          <w:sz w:val="20"/>
          <w:szCs w:val="20"/>
          <w:lang w:bidi="ar-AE"/>
        </w:rPr>
        <w:t>,</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14/408.</w:t>
      </w:r>
    </w:p>
  </w:footnote>
  <w:footnote w:id="332">
    <w:p w14:paraId="6611E8B2" w14:textId="530A78F3" w:rsidR="009C3BB9" w:rsidRPr="00F230F1" w:rsidRDefault="009C3BB9" w:rsidP="00F230F1">
      <w:pPr>
        <w:pStyle w:val="Notedebasdepage"/>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Denis Gril, « Exégèse mystique », in : </w:t>
      </w:r>
      <w:r w:rsidRPr="00F230F1">
        <w:rPr>
          <w:rFonts w:asciiTheme="majorBidi" w:hAnsiTheme="majorBidi" w:cstheme="majorBidi"/>
          <w:i/>
          <w:iCs/>
          <w:sz w:val="20"/>
          <w:szCs w:val="20"/>
        </w:rPr>
        <w:t>Dictionnaire du Coran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pp. 304-305.</w:t>
      </w:r>
    </w:p>
  </w:footnote>
  <w:footnote w:id="333">
    <w:p w14:paraId="5818D07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ʿAbdullāh Al-Qaṣīmī, </w:t>
      </w:r>
      <w:r w:rsidRPr="00F230F1">
        <w:rPr>
          <w:rFonts w:asciiTheme="majorBidi" w:eastAsia="Times New Roman" w:hAnsiTheme="majorBidi" w:cstheme="majorBidi"/>
          <w:i/>
          <w:iCs/>
          <w:sz w:val="20"/>
          <w:szCs w:val="20"/>
        </w:rPr>
        <w:t>Ayyuha l-ʿaql man raʾāk</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sz w:val="20"/>
          <w:szCs w:val="20"/>
          <w:lang w:eastAsia="fr-FR" w:bidi="ar-AE"/>
        </w:rPr>
        <w:t>[</w:t>
      </w:r>
      <w:r w:rsidRPr="00F230F1">
        <w:rPr>
          <w:rFonts w:asciiTheme="majorBidi" w:eastAsia="Times New Roman" w:hAnsiTheme="majorBidi" w:cstheme="majorBidi"/>
          <w:i/>
          <w:iCs/>
          <w:sz w:val="20"/>
          <w:szCs w:val="20"/>
          <w:lang w:eastAsia="fr-FR" w:bidi="ar-AE"/>
        </w:rPr>
        <w:t>Esprit, qui t’a vu ?</w:t>
      </w:r>
      <w:r w:rsidRPr="00F230F1">
        <w:rPr>
          <w:rFonts w:asciiTheme="majorBidi" w:eastAsia="Times New Roman" w:hAnsiTheme="majorBidi" w:cstheme="majorBidi"/>
          <w:sz w:val="20"/>
          <w:szCs w:val="20"/>
          <w:lang w:eastAsia="fr-FR" w:bidi="ar-AE"/>
        </w:rPr>
        <w:t xml:space="preserve">], 1967, </w:t>
      </w:r>
      <w:r w:rsidRPr="00F230F1">
        <w:rPr>
          <w:rFonts w:asciiTheme="majorBidi" w:hAnsiTheme="majorBidi" w:cstheme="majorBidi"/>
          <w:sz w:val="20"/>
          <w:szCs w:val="20"/>
        </w:rPr>
        <w:t>p. 4.</w:t>
      </w:r>
    </w:p>
  </w:footnote>
  <w:footnote w:id="334">
    <w:p w14:paraId="4B01B92C" w14:textId="77777777" w:rsidR="009C3BB9" w:rsidRPr="00F230F1" w:rsidRDefault="009C3BB9" w:rsidP="00F230F1">
      <w:pPr>
        <w:contextualSpacing/>
        <w:jc w:val="both"/>
        <w:rPr>
          <w:rFonts w:asciiTheme="majorBidi" w:hAnsiTheme="majorBidi" w:cstheme="majorBidi"/>
          <w:sz w:val="20"/>
          <w:szCs w:val="20"/>
          <w:lang w:bidi="ar-EG"/>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Alfred-Louis De Prémare, </w:t>
      </w:r>
      <w:r w:rsidRPr="00F230F1">
        <w:rPr>
          <w:rFonts w:asciiTheme="majorBidi" w:hAnsiTheme="majorBidi" w:cstheme="majorBidi"/>
          <w:i/>
          <w:iCs/>
          <w:color w:val="000000"/>
          <w:sz w:val="20"/>
          <w:szCs w:val="20"/>
        </w:rPr>
        <w:t>Aux origines du Coran, questions d’hier, approches d’aujourd’hui</w:t>
      </w:r>
      <w:r w:rsidRPr="00F230F1">
        <w:rPr>
          <w:rFonts w:asciiTheme="majorBidi" w:hAnsiTheme="majorBidi" w:cstheme="majorBidi"/>
          <w:color w:val="000000"/>
          <w:sz w:val="20"/>
          <w:szCs w:val="20"/>
        </w:rPr>
        <w:t>, Téraèdre, « L’islam en débats », Paris, 2004, p. 136.</w:t>
      </w:r>
    </w:p>
  </w:footnote>
  <w:footnote w:id="335">
    <w:p w14:paraId="1C29AE52" w14:textId="77777777" w:rsidR="009C3BB9" w:rsidRPr="00F230F1" w:rsidRDefault="009C3BB9" w:rsidP="00F230F1">
      <w:pPr>
        <w:contextualSpacing/>
        <w:jc w:val="both"/>
        <w:rPr>
          <w:rFonts w:asciiTheme="majorBidi" w:hAnsiTheme="majorBidi" w:cstheme="majorBidi"/>
          <w:sz w:val="20"/>
          <w:szCs w:val="20"/>
          <w:lang w:bidi="ar-EG"/>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lang w:bidi="ar-AE"/>
        </w:rPr>
        <w:t xml:space="preserve"> </w:t>
      </w:r>
      <w:r w:rsidRPr="00F230F1">
        <w:rPr>
          <w:rFonts w:asciiTheme="majorBidi" w:hAnsiTheme="majorBidi" w:cstheme="majorBidi"/>
          <w:color w:val="000000"/>
          <w:sz w:val="20"/>
          <w:szCs w:val="20"/>
          <w:lang w:bidi="ar-AE"/>
        </w:rPr>
        <w:t>Schwarz, Antoine,</w:t>
      </w:r>
      <w:r w:rsidRPr="00F230F1">
        <w:rPr>
          <w:rFonts w:asciiTheme="majorBidi" w:hAnsiTheme="majorBidi" w:cstheme="majorBidi"/>
          <w:color w:val="000000"/>
          <w:sz w:val="20"/>
          <w:szCs w:val="20"/>
        </w:rPr>
        <w:t xml:space="preserve"> </w:t>
      </w:r>
      <w:r w:rsidRPr="00F230F1">
        <w:rPr>
          <w:rFonts w:asciiTheme="majorBidi" w:hAnsiTheme="majorBidi" w:cstheme="majorBidi"/>
          <w:color w:val="000000"/>
          <w:sz w:val="20"/>
          <w:szCs w:val="20"/>
          <w:lang w:bidi="ar-AE"/>
        </w:rPr>
        <w:t>« </w:t>
      </w:r>
      <w:r w:rsidRPr="00F230F1">
        <w:rPr>
          <w:rFonts w:asciiTheme="majorBidi" w:hAnsiTheme="majorBidi" w:cstheme="majorBidi"/>
          <w:color w:val="000000"/>
          <w:sz w:val="20"/>
          <w:szCs w:val="20"/>
        </w:rPr>
        <w:t>Le Coran, un texte opaque et obscur mais qui dégage une vraie force »,</w:t>
      </w:r>
      <w:r w:rsidRPr="00F230F1">
        <w:rPr>
          <w:rFonts w:asciiTheme="majorBidi" w:hAnsiTheme="majorBidi" w:cstheme="majorBidi"/>
          <w:color w:val="000000"/>
          <w:sz w:val="20"/>
          <w:szCs w:val="20"/>
          <w:lang w:bidi="ar-AE"/>
        </w:rPr>
        <w:t xml:space="preserve"> </w:t>
      </w:r>
      <w:hyperlink r:id="rId111" w:history="1">
        <w:r w:rsidRPr="00F230F1">
          <w:rPr>
            <w:rStyle w:val="Lienhypertexte"/>
            <w:rFonts w:asciiTheme="majorBidi" w:hAnsiTheme="majorBidi" w:cstheme="majorBidi"/>
            <w:sz w:val="20"/>
            <w:szCs w:val="20"/>
            <w:lang w:bidi="ar-AE"/>
          </w:rPr>
          <w:t>http://www.atlantico.fr/decryptage/coran-texte-opaque-obscur-degage-force-unite-cachee-judaisme-christianisme-islam-antoine-schwarz-333021.html</w:t>
        </w:r>
      </w:hyperlink>
      <w:r w:rsidRPr="00F230F1">
        <w:rPr>
          <w:rFonts w:asciiTheme="majorBidi" w:hAnsiTheme="majorBidi" w:cstheme="majorBidi"/>
          <w:color w:val="000000"/>
          <w:sz w:val="20"/>
          <w:szCs w:val="20"/>
        </w:rPr>
        <w:t xml:space="preserve"> (consulté le 07/08/2017).</w:t>
      </w:r>
    </w:p>
  </w:footnote>
  <w:footnote w:id="336">
    <w:p w14:paraId="0611316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shd w:val="clear" w:color="auto" w:fill="FFFFFF"/>
        </w:rPr>
        <w:t xml:space="preserve">John Langshaw Austin, </w:t>
      </w:r>
      <w:r w:rsidRPr="00F230F1">
        <w:rPr>
          <w:rFonts w:asciiTheme="majorBidi" w:eastAsia="Times New Roman" w:hAnsiTheme="majorBidi" w:cstheme="majorBidi"/>
          <w:i/>
          <w:iCs/>
          <w:sz w:val="20"/>
          <w:szCs w:val="20"/>
          <w:shd w:val="clear" w:color="auto" w:fill="FFFFFF"/>
        </w:rPr>
        <w:t>How to do Things with Words</w:t>
      </w:r>
      <w:r w:rsidRPr="00F230F1">
        <w:rPr>
          <w:rFonts w:asciiTheme="majorBidi" w:eastAsia="Times New Roman" w:hAnsiTheme="majorBidi" w:cstheme="majorBidi"/>
          <w:sz w:val="20"/>
          <w:szCs w:val="20"/>
        </w:rPr>
        <w:t xml:space="preserve">,1955 et 1962, traduit en français en 1970 sous le titre : </w:t>
      </w:r>
      <w:r w:rsidRPr="00F230F1">
        <w:rPr>
          <w:rFonts w:asciiTheme="majorBidi" w:eastAsia="Times New Roman" w:hAnsiTheme="majorBidi" w:cstheme="majorBidi"/>
          <w:i/>
          <w:iCs/>
          <w:sz w:val="20"/>
          <w:szCs w:val="20"/>
          <w:shd w:val="clear" w:color="auto" w:fill="FFFFFF"/>
        </w:rPr>
        <w:t>Quand dire c’est faire</w:t>
      </w:r>
      <w:r w:rsidRPr="00F230F1">
        <w:rPr>
          <w:rFonts w:asciiTheme="majorBidi" w:eastAsia="Times New Roman" w:hAnsiTheme="majorBidi" w:cstheme="majorBidi"/>
          <w:sz w:val="20"/>
          <w:szCs w:val="20"/>
        </w:rPr>
        <w:t>.</w:t>
      </w:r>
    </w:p>
  </w:footnote>
  <w:footnote w:id="337">
    <w:p w14:paraId="5CA0AC9B" w14:textId="77777777" w:rsidR="009C3BB9" w:rsidRPr="00F230F1" w:rsidRDefault="009C3BB9" w:rsidP="00F230F1">
      <w:pPr>
        <w:pStyle w:val="n1"/>
        <w:bidi w:val="0"/>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Khalīl Al-Bāshā, </w:t>
      </w:r>
      <w:r w:rsidRPr="00F230F1">
        <w:rPr>
          <w:rFonts w:asciiTheme="majorBidi" w:hAnsiTheme="majorBidi" w:cstheme="majorBidi"/>
          <w:i/>
          <w:iCs/>
          <w:sz w:val="20"/>
          <w:szCs w:val="20"/>
        </w:rPr>
        <w:t>ʾAl-Insān wa-taqallubātu-hu fi l-āfāq</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rPr>
        <w:t xml:space="preserve">p. 319. </w:t>
      </w:r>
      <w:r w:rsidRPr="00F230F1">
        <w:rPr>
          <w:rFonts w:asciiTheme="majorBidi" w:hAnsiTheme="majorBidi" w:cstheme="majorBidi"/>
          <w:sz w:val="20"/>
          <w:szCs w:val="20"/>
          <w:lang w:bidi="ar-AE"/>
        </w:rPr>
        <w:t xml:space="preserve">Voir aussi : </w:t>
      </w:r>
      <w:hyperlink r:id="rId112" w:history="1">
        <w:r w:rsidRPr="00F230F1">
          <w:rPr>
            <w:rStyle w:val="Lienhypertexte"/>
            <w:rFonts w:asciiTheme="majorBidi" w:hAnsiTheme="majorBidi" w:cstheme="majorBidi"/>
            <w:sz w:val="20"/>
            <w:szCs w:val="20"/>
            <w:lang w:bidi="ar-AE"/>
          </w:rPr>
          <w:t>http://www.al-amama.com/index.php?option=com_content&amp;task=view&amp;id=633</w:t>
        </w:r>
      </w:hyperlink>
      <w:r w:rsidRPr="00F230F1">
        <w:rPr>
          <w:rFonts w:asciiTheme="majorBidi" w:hAnsiTheme="majorBidi" w:cstheme="majorBidi"/>
          <w:sz w:val="20"/>
          <w:szCs w:val="20"/>
          <w:lang w:bidi="ar-AE"/>
        </w:rPr>
        <w:t xml:space="preserve"> (consulté le 31/07/2017).</w:t>
      </w:r>
    </w:p>
  </w:footnote>
  <w:footnote w:id="338">
    <w:p w14:paraId="1B0AAA00"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Al-Ḥarīrī, </w:t>
      </w:r>
      <w:r w:rsidRPr="00F230F1">
        <w:rPr>
          <w:rFonts w:asciiTheme="majorBidi" w:hAnsiTheme="majorBidi" w:cstheme="majorBidi"/>
          <w:i/>
          <w:iCs/>
          <w:sz w:val="20"/>
          <w:szCs w:val="20"/>
          <w:lang w:bidi="ar-AE"/>
        </w:rPr>
        <w:t>ʾAl-ʿAlawyīūn an-Nuṣayryīūn</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lang w:bidi="ar-AE"/>
        </w:rPr>
        <w:t xml:space="preserve">, p. 122. </w:t>
      </w:r>
      <w:r w:rsidRPr="00F230F1">
        <w:rPr>
          <w:rFonts w:asciiTheme="majorBidi" w:eastAsia="Calibri" w:hAnsiTheme="majorBidi" w:cstheme="majorBidi"/>
          <w:sz w:val="20"/>
          <w:szCs w:val="20"/>
          <w:lang w:bidi="ar-AE"/>
        </w:rPr>
        <w:t xml:space="preserve">Ibn Taymīya, </w:t>
      </w:r>
      <w:r w:rsidRPr="00F230F1">
        <w:rPr>
          <w:rFonts w:asciiTheme="majorBidi" w:eastAsia="Calibri" w:hAnsiTheme="majorBidi" w:cstheme="majorBidi"/>
          <w:i/>
          <w:iCs/>
          <w:sz w:val="20"/>
          <w:szCs w:val="20"/>
          <w:lang w:bidi="ar-AE"/>
        </w:rPr>
        <w:t>Fatāwā</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lang w:bidi="ar-AE"/>
        </w:rPr>
        <w:t>op. cit.</w:t>
      </w:r>
      <w:r w:rsidRPr="00F230F1">
        <w:rPr>
          <w:rFonts w:asciiTheme="majorBidi" w:eastAsia="Calibri" w:hAnsiTheme="majorBidi" w:cstheme="majorBidi"/>
          <w:sz w:val="20"/>
          <w:szCs w:val="20"/>
          <w:lang w:bidi="ar-AE"/>
        </w:rPr>
        <w:t>, tome 35, p. 145 et 146</w:t>
      </w:r>
      <w:r w:rsidRPr="00F230F1">
        <w:rPr>
          <w:rFonts w:asciiTheme="majorBidi" w:hAnsiTheme="majorBidi" w:cstheme="majorBidi"/>
          <w:sz w:val="20"/>
          <w:szCs w:val="20"/>
        </w:rPr>
        <w:t>. </w:t>
      </w:r>
    </w:p>
  </w:footnote>
  <w:footnote w:id="339">
    <w:p w14:paraId="032886DD"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L’anastrophe, figure de style consistant en une inversion de l’ordre habituel des mots d’un énoncé, pour créer un effet de langue raffiné, permet de créer une rupture syntaxique destinée à attirer l’attention sur une phrase ou une expression. Elle est très utilisée en poésie pour des raisons de rythme, de rime, de mètre et d’effets vocaliques</w:t>
      </w:r>
      <w:r w:rsidRPr="00F230F1">
        <w:rPr>
          <w:rFonts w:asciiTheme="majorBidi" w:hAnsiTheme="majorBidi" w:cstheme="majorBidi"/>
          <w:sz w:val="20"/>
          <w:szCs w:val="20"/>
        </w:rPr>
        <w:t>.</w:t>
      </w:r>
      <w:r w:rsidRPr="00F230F1">
        <w:rPr>
          <w:rStyle w:val="Appelnotedebasdep"/>
          <w:rFonts w:asciiTheme="majorBidi" w:hAnsiTheme="majorBidi" w:cstheme="majorBidi"/>
          <w:sz w:val="20"/>
          <w:szCs w:val="20"/>
        </w:rPr>
        <w:t> </w:t>
      </w:r>
    </w:p>
  </w:footnote>
  <w:footnote w:id="340">
    <w:p w14:paraId="44CA7CFD"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Al-Masīrī, Munīr Maḥmūd, </w:t>
      </w:r>
      <w:r w:rsidRPr="00F230F1">
        <w:rPr>
          <w:rFonts w:asciiTheme="majorBidi" w:hAnsiTheme="majorBidi" w:cstheme="majorBidi"/>
          <w:i/>
          <w:iCs/>
          <w:sz w:val="20"/>
          <w:szCs w:val="20"/>
          <w:lang w:bidi="ar-AE"/>
        </w:rPr>
        <w:t>Dalālāt at-taqdīm wa-t-taʾkhīr fī al-qurʾān al-karīm : Dirāsa taḥlīlīya</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Les significations de l’anastrophe dans le Coran : étude analytique</w:t>
      </w:r>
      <w:r w:rsidRPr="00F230F1">
        <w:rPr>
          <w:rFonts w:asciiTheme="majorBidi" w:hAnsiTheme="majorBidi" w:cstheme="majorBidi"/>
          <w:sz w:val="20"/>
          <w:szCs w:val="20"/>
          <w:lang w:bidi="ar-AE"/>
        </w:rPr>
        <w:t>], Maktabat Wahba, Le Caire, 2005, p. 498 (la sourate al-</w:t>
      </w:r>
      <w:r w:rsidRPr="00F230F1">
        <w:rPr>
          <w:rFonts w:asciiTheme="majorBidi" w:hAnsiTheme="majorBidi" w:cstheme="majorBidi"/>
          <w:sz w:val="20"/>
          <w:szCs w:val="20"/>
        </w:rPr>
        <w:t xml:space="preserve"> Ḥajj</w:t>
      </w:r>
      <w:r w:rsidRPr="00F230F1">
        <w:rPr>
          <w:rFonts w:asciiTheme="majorBidi" w:hAnsiTheme="majorBidi" w:cstheme="majorBidi"/>
          <w:sz w:val="20"/>
          <w:szCs w:val="20"/>
          <w:lang w:bidi="ar-AE"/>
        </w:rPr>
        <w:t xml:space="preserve"> pp. 497-503).</w:t>
      </w:r>
    </w:p>
  </w:footnote>
  <w:footnote w:id="341">
    <w:p w14:paraId="2729D24D"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sz w:val="20"/>
          <w:szCs w:val="20"/>
          <w:lang w:bidi="ar-AE"/>
        </w:rPr>
        <w:t xml:space="preserve">Ubayy ibn Kaʿb souligne : « J’ai dit [dans le Coran] : </w:t>
      </w:r>
      <w:r w:rsidRPr="00F230F1">
        <w:rPr>
          <w:rFonts w:asciiTheme="majorBidi" w:eastAsia="Calibri" w:hAnsiTheme="majorBidi" w:cstheme="majorBidi"/>
          <w:i/>
          <w:iCs/>
          <w:sz w:val="20"/>
          <w:szCs w:val="20"/>
          <w:lang w:bidi="ar-AE"/>
        </w:rPr>
        <w:t>Audient et Savant</w:t>
      </w:r>
      <w:r w:rsidRPr="00F230F1">
        <w:rPr>
          <w:rFonts w:asciiTheme="majorBidi" w:eastAsia="Calibri" w:hAnsiTheme="majorBidi" w:cstheme="majorBidi"/>
          <w:sz w:val="20"/>
          <w:szCs w:val="20"/>
          <w:lang w:bidi="ar-AE"/>
        </w:rPr>
        <w:t xml:space="preserve">, [à la place de] </w:t>
      </w:r>
      <w:r w:rsidRPr="00F230F1">
        <w:rPr>
          <w:rFonts w:asciiTheme="majorBidi" w:eastAsia="Calibri" w:hAnsiTheme="majorBidi" w:cstheme="majorBidi"/>
          <w:i/>
          <w:iCs/>
          <w:sz w:val="20"/>
          <w:szCs w:val="20"/>
          <w:lang w:bidi="ar-AE"/>
        </w:rPr>
        <w:t>Puissant et Sage</w:t>
      </w:r>
      <w:r w:rsidRPr="00F230F1">
        <w:rPr>
          <w:rFonts w:asciiTheme="majorBidi" w:eastAsia="Calibri" w:hAnsiTheme="majorBidi" w:cstheme="majorBidi"/>
          <w:sz w:val="20"/>
          <w:szCs w:val="20"/>
          <w:lang w:bidi="ar-AE"/>
        </w:rPr>
        <w:t>, [mais sans aller jusqu’à trahir le sens, comme on le fait quand] on substitue l’expression d’un châtiment à celle du pardon, ou celle-ci à celle-là. »</w:t>
      </w:r>
      <w:r w:rsidRPr="00F230F1">
        <w:rPr>
          <w:rFonts w:asciiTheme="majorBidi" w:eastAsia="Calibri" w:hAnsiTheme="majorBidi" w:cstheme="majorBidi"/>
          <w:sz w:val="20"/>
          <w:szCs w:val="20"/>
        </w:rPr>
        <w:t xml:space="preserve"> As-Suyūṭī, </w:t>
      </w:r>
      <w:r w:rsidRPr="00F230F1">
        <w:rPr>
          <w:rFonts w:asciiTheme="majorBidi" w:eastAsia="Calibri" w:hAnsiTheme="majorBidi" w:cstheme="majorBidi"/>
          <w:i/>
          <w:iCs/>
          <w:sz w:val="20"/>
          <w:szCs w:val="20"/>
        </w:rPr>
        <w:t>Itqān</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rPr>
        <w:t xml:space="preserve">, </w:t>
      </w:r>
      <w:r w:rsidRPr="00F230F1">
        <w:rPr>
          <w:rFonts w:asciiTheme="majorBidi" w:eastAsia="Calibri" w:hAnsiTheme="majorBidi" w:cstheme="majorBidi"/>
          <w:sz w:val="20"/>
          <w:szCs w:val="20"/>
          <w:lang w:bidi="ar-AE"/>
        </w:rPr>
        <w:t xml:space="preserve">I/133, § 566. Sfar, </w:t>
      </w:r>
      <w:r w:rsidRPr="00F230F1">
        <w:rPr>
          <w:rFonts w:asciiTheme="majorBidi" w:eastAsia="Calibri" w:hAnsiTheme="majorBidi" w:cstheme="majorBidi"/>
          <w:i/>
          <w:iCs/>
          <w:sz w:val="20"/>
          <w:szCs w:val="20"/>
          <w:lang w:bidi="ar-AE"/>
        </w:rPr>
        <w:t>Le Coran est-il authentique ?</w:t>
      </w:r>
      <w:r w:rsidRPr="00F230F1">
        <w:rPr>
          <w:rFonts w:asciiTheme="majorBidi" w:eastAsia="Calibri" w:hAnsiTheme="majorBidi" w:cstheme="majorBidi"/>
          <w:sz w:val="20"/>
          <w:szCs w:val="20"/>
          <w:lang w:bidi="ar-AE"/>
        </w:rPr>
        <w:t xml:space="preserve">, </w:t>
      </w:r>
      <w:r w:rsidRPr="00F230F1">
        <w:rPr>
          <w:rFonts w:asciiTheme="majorBidi" w:eastAsia="Calibri" w:hAnsiTheme="majorBidi" w:cstheme="majorBidi"/>
          <w:i/>
          <w:iCs/>
          <w:sz w:val="20"/>
          <w:szCs w:val="20"/>
        </w:rPr>
        <w:t>op. cit.</w:t>
      </w:r>
      <w:r w:rsidRPr="00F230F1">
        <w:rPr>
          <w:rFonts w:asciiTheme="majorBidi" w:eastAsia="Calibri" w:hAnsiTheme="majorBidi" w:cstheme="majorBidi"/>
          <w:sz w:val="20"/>
          <w:szCs w:val="20"/>
          <w:lang w:bidi="ar-AE"/>
        </w:rPr>
        <w:t>, p. 20</w:t>
      </w:r>
      <w:r w:rsidRPr="00F230F1">
        <w:rPr>
          <w:rFonts w:asciiTheme="majorBidi" w:eastAsia="Calibri" w:hAnsiTheme="majorBidi" w:cstheme="majorBidi"/>
          <w:sz w:val="20"/>
          <w:szCs w:val="20"/>
        </w:rPr>
        <w:t>.</w:t>
      </w:r>
    </w:p>
  </w:footnote>
  <w:footnote w:id="342">
    <w:p w14:paraId="0A759D08" w14:textId="77777777" w:rsidR="009C3BB9" w:rsidRPr="00F230F1" w:rsidRDefault="009C3BB9" w:rsidP="00F230F1">
      <w:pPr>
        <w:contextualSpacing/>
        <w:jc w:val="both"/>
        <w:rPr>
          <w:rFonts w:asciiTheme="majorBidi" w:eastAsia="Calibr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hAnsiTheme="majorBidi" w:cstheme="majorBidi"/>
          <w:sz w:val="20"/>
          <w:szCs w:val="20"/>
          <w:lang w:bidi="ar-EG"/>
        </w:rPr>
        <w:t xml:space="preserve">Fakhr Ad-Dīn Ar-Rāzī, </w:t>
      </w:r>
      <w:r w:rsidRPr="00F230F1">
        <w:rPr>
          <w:rFonts w:asciiTheme="majorBidi" w:hAnsiTheme="majorBidi" w:cstheme="majorBidi"/>
          <w:i/>
          <w:iCs/>
          <w:sz w:val="20"/>
          <w:szCs w:val="20"/>
          <w:lang w:bidi="ar-EG"/>
        </w:rPr>
        <w:t>At-Tafsīr Al-Kabīr</w:t>
      </w:r>
      <w:r w:rsidRPr="00F230F1">
        <w:rPr>
          <w:rFonts w:asciiTheme="majorBidi" w:hAnsiTheme="majorBidi" w:cstheme="majorBidi"/>
          <w:sz w:val="20"/>
          <w:szCs w:val="20"/>
          <w:lang w:bidi="ar-EG"/>
        </w:rPr>
        <w:t xml:space="preserve"> ou </w:t>
      </w:r>
      <w:r w:rsidRPr="00F230F1">
        <w:rPr>
          <w:rFonts w:asciiTheme="majorBidi" w:hAnsiTheme="majorBidi" w:cstheme="majorBidi"/>
          <w:i/>
          <w:iCs/>
          <w:sz w:val="20"/>
          <w:szCs w:val="20"/>
          <w:lang w:bidi="ar-EG"/>
        </w:rPr>
        <w:t>Mafātīḥ Al-Ghayb</w:t>
      </w:r>
      <w:r w:rsidRPr="00F230F1">
        <w:rPr>
          <w:rFonts w:asciiTheme="majorBidi" w:hAnsiTheme="majorBidi" w:cstheme="majorBidi"/>
          <w:sz w:val="20"/>
          <w:szCs w:val="20"/>
          <w:lang w:bidi="ar-EG"/>
        </w:rPr>
        <w:t xml:space="preserve"> et</w:t>
      </w:r>
      <w:r w:rsidRPr="00F230F1">
        <w:rPr>
          <w:rFonts w:asciiTheme="majorBidi" w:hAnsiTheme="majorBidi" w:cstheme="majorBidi"/>
          <w:sz w:val="20"/>
          <w:szCs w:val="20"/>
          <w:lang w:bidi="ar-AE"/>
        </w:rPr>
        <w:t xml:space="preserve"> </w:t>
      </w:r>
      <w:r w:rsidRPr="00F230F1">
        <w:rPr>
          <w:rFonts w:asciiTheme="majorBidi" w:eastAsia="Calibri" w:hAnsiTheme="majorBidi" w:cstheme="majorBidi"/>
          <w:sz w:val="20"/>
          <w:szCs w:val="20"/>
          <w:lang w:bidi="ar-AE"/>
        </w:rPr>
        <w:t>Ash-Shawkānī</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Fatḥ al-qadīr. Al-jāmiʿ bayna fannay ar-riwāya wa-ad-dirāya min ʿilm at-tafsīr</w:t>
      </w:r>
      <w:r w:rsidRPr="00F230F1">
        <w:rPr>
          <w:rFonts w:asciiTheme="majorBidi" w:hAnsiTheme="majorBidi" w:cstheme="majorBidi"/>
          <w:sz w:val="20"/>
          <w:szCs w:val="20"/>
          <w:lang w:bidi="ar-AE"/>
        </w:rPr>
        <w:t xml:space="preserve"> (l’exégèse de la sourate Al-</w:t>
      </w:r>
      <w:r w:rsidRPr="00F230F1">
        <w:rPr>
          <w:rFonts w:asciiTheme="majorBidi" w:hAnsiTheme="majorBidi" w:cstheme="majorBidi"/>
          <w:sz w:val="20"/>
          <w:szCs w:val="20"/>
        </w:rPr>
        <w:t>Ḥ</w:t>
      </w:r>
      <w:r w:rsidRPr="00F230F1">
        <w:rPr>
          <w:rFonts w:asciiTheme="majorBidi" w:hAnsiTheme="majorBidi" w:cstheme="majorBidi"/>
          <w:sz w:val="20"/>
          <w:szCs w:val="20"/>
          <w:lang w:bidi="ar-AE"/>
        </w:rPr>
        <w:t>ajj).</w:t>
      </w:r>
    </w:p>
  </w:footnote>
  <w:footnote w:id="343">
    <w:p w14:paraId="5D15F334" w14:textId="77777777" w:rsidR="009C3BB9" w:rsidRPr="00F230F1" w:rsidRDefault="009C3BB9" w:rsidP="00F230F1">
      <w:pPr>
        <w:pStyle w:val="Notedebasdepage"/>
        <w:contextualSpacing/>
        <w:jc w:val="both"/>
        <w:rPr>
          <w:rFonts w:asciiTheme="majorBidi" w:hAnsiTheme="majorBidi" w:cstheme="majorBidi"/>
          <w:color w:val="C0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Th. Nöldeke, « Zur Sprache des Korans », </w:t>
      </w:r>
      <w:r w:rsidRPr="00F230F1">
        <w:rPr>
          <w:rFonts w:asciiTheme="majorBidi" w:hAnsiTheme="majorBidi" w:cstheme="majorBidi"/>
          <w:i/>
          <w:iCs/>
          <w:sz w:val="20"/>
          <w:szCs w:val="20"/>
        </w:rPr>
        <w:t>in Neue Beiträge zur semitische Sprachwissenschaft</w:t>
      </w:r>
      <w:r w:rsidRPr="00F230F1">
        <w:rPr>
          <w:rFonts w:asciiTheme="majorBidi" w:hAnsiTheme="majorBidi" w:cstheme="majorBidi"/>
          <w:sz w:val="20"/>
          <w:szCs w:val="20"/>
        </w:rPr>
        <w:t xml:space="preserve">, Strasbourg, 1910, p. 5-6, cité par Claude Gilliot, « André Miquel, </w:t>
      </w:r>
      <w:r w:rsidRPr="00F230F1">
        <w:rPr>
          <w:rFonts w:asciiTheme="majorBidi" w:hAnsiTheme="majorBidi" w:cstheme="majorBidi"/>
          <w:i/>
          <w:iCs/>
          <w:sz w:val="20"/>
          <w:szCs w:val="20"/>
        </w:rPr>
        <w:t>L'Événement</w:t>
      </w:r>
      <w:r w:rsidRPr="00F230F1">
        <w:rPr>
          <w:rFonts w:asciiTheme="majorBidi" w:hAnsiTheme="majorBidi" w:cstheme="majorBidi"/>
          <w:sz w:val="20"/>
          <w:szCs w:val="20"/>
        </w:rPr>
        <w:t> » [compte-rendu], Revue du monde musulman et de la</w:t>
      </w:r>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Méditerranée, année 1993, volume 68, numéro 1, p. 293. [</w:t>
      </w:r>
      <w:hyperlink r:id="rId113" w:history="1">
        <w:r w:rsidRPr="00F230F1">
          <w:rPr>
            <w:rStyle w:val="Lienhypertexte"/>
            <w:rFonts w:asciiTheme="majorBidi" w:hAnsiTheme="majorBidi" w:cstheme="majorBidi"/>
            <w:sz w:val="20"/>
            <w:szCs w:val="20"/>
          </w:rPr>
          <w:t>http://www.persee.fr/doc/remmm_0997-1327_1993_num_68_1_2575_t1_0293_0000_1</w:t>
        </w:r>
      </w:hyperlink>
      <w:r w:rsidRPr="00F230F1">
        <w:rPr>
          <w:rFonts w:asciiTheme="majorBidi" w:hAnsiTheme="majorBidi" w:cstheme="majorBidi"/>
          <w:sz w:val="20"/>
          <w:szCs w:val="20"/>
        </w:rPr>
        <w:t>] (consulté le 07.08/2017).</w:t>
      </w:r>
    </w:p>
  </w:footnote>
  <w:footnote w:id="344">
    <w:p w14:paraId="2E1FEDAE" w14:textId="77777777" w:rsidR="009C3BB9" w:rsidRPr="00F230F1" w:rsidRDefault="009C3BB9" w:rsidP="00F230F1">
      <w:pPr>
        <w:contextualSpacing/>
        <w:jc w:val="both"/>
        <w:rPr>
          <w:rFonts w:asciiTheme="majorBidi" w:eastAsia="Times New Roman" w:hAnsiTheme="majorBidi" w:cstheme="majorBidi"/>
          <w:color w:val="C00000"/>
          <w:sz w:val="20"/>
          <w:szCs w:val="20"/>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rPr>
        <w:t xml:space="preserve"> Sayyid Quṭb, </w:t>
      </w:r>
      <w:r w:rsidRPr="00F230F1">
        <w:rPr>
          <w:rFonts w:asciiTheme="majorBidi" w:eastAsia="Times New Roman" w:hAnsiTheme="majorBidi" w:cstheme="majorBidi"/>
          <w:i/>
          <w:iCs/>
          <w:sz w:val="20"/>
          <w:szCs w:val="20"/>
        </w:rPr>
        <w:t xml:space="preserve">Fī </w:t>
      </w:r>
      <w:r w:rsidRPr="00F230F1">
        <w:rPr>
          <w:rFonts w:asciiTheme="majorBidi" w:eastAsia="Times New Roman" w:hAnsiTheme="majorBidi" w:cstheme="majorBidi"/>
          <w:i/>
          <w:iCs/>
          <w:sz w:val="20"/>
          <w:szCs w:val="20"/>
          <w:lang w:bidi="ar-AE"/>
        </w:rPr>
        <w:t>ẓilāl</w:t>
      </w:r>
      <w:r w:rsidRPr="00F230F1">
        <w:rPr>
          <w:rFonts w:asciiTheme="majorBidi" w:eastAsia="Times New Roman" w:hAnsiTheme="majorBidi" w:cstheme="majorBidi"/>
          <w:i/>
          <w:iCs/>
          <w:sz w:val="20"/>
          <w:szCs w:val="20"/>
        </w:rPr>
        <w:t xml:space="preserve"> al-Qurʾān</w:t>
      </w:r>
      <w:r w:rsidRPr="00F230F1">
        <w:rPr>
          <w:rFonts w:asciiTheme="majorBidi" w:eastAsia="Times New Roman" w:hAnsiTheme="majorBidi" w:cstheme="majorBidi"/>
          <w:sz w:val="20"/>
          <w:szCs w:val="20"/>
        </w:rPr>
        <w:t>, Dār ash-Shurūq, le Caire, édition 32, 2003, volume 17, p. 2418</w:t>
      </w:r>
      <w:r w:rsidRPr="00F230F1">
        <w:rPr>
          <w:rFonts w:asciiTheme="majorBidi" w:hAnsiTheme="majorBidi" w:cstheme="majorBidi"/>
          <w:sz w:val="20"/>
          <w:szCs w:val="20"/>
        </w:rPr>
        <w:t xml:space="preserve"> [version</w:t>
      </w:r>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 xml:space="preserve">électronique </w:t>
      </w:r>
      <w:hyperlink r:id="rId114" w:history="1">
        <w:r w:rsidRPr="00F230F1">
          <w:rPr>
            <w:rStyle w:val="Lienhypertexte"/>
            <w:rFonts w:asciiTheme="majorBidi" w:hAnsiTheme="majorBidi" w:cstheme="majorBidi"/>
            <w:sz w:val="20"/>
            <w:szCs w:val="20"/>
          </w:rPr>
          <w:t>https://ar.islamway.net/book/26151/</w:t>
        </w:r>
        <w:r w:rsidRPr="00F230F1">
          <w:rPr>
            <w:rStyle w:val="Lienhypertexte"/>
            <w:rFonts w:asciiTheme="majorBidi" w:hAnsiTheme="majorBidi" w:cstheme="majorBidi"/>
            <w:sz w:val="20"/>
            <w:szCs w:val="20"/>
            <w:rtl/>
          </w:rPr>
          <w:t>في-ظلال-القرآن-مفهرس</w:t>
        </w:r>
      </w:hyperlink>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 xml:space="preserve"> consulté le 07/08/2017].</w:t>
      </w:r>
    </w:p>
  </w:footnote>
  <w:footnote w:id="345">
    <w:p w14:paraId="19EDF33F" w14:textId="77777777" w:rsidR="009C3BB9" w:rsidRPr="00F230F1" w:rsidRDefault="009C3BB9" w:rsidP="00F230F1">
      <w:pPr>
        <w:tabs>
          <w:tab w:val="left" w:pos="284"/>
        </w:tabs>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La signification est, semble-t-il, que Dieu a rendu l’âme comme une référence des rites spirituels. En d’autres termes, c’est la </w:t>
      </w:r>
      <w:r w:rsidRPr="00F230F1">
        <w:rPr>
          <w:rFonts w:asciiTheme="majorBidi" w:hAnsiTheme="majorBidi" w:cstheme="majorBidi"/>
          <w:i/>
          <w:iCs/>
          <w:sz w:val="20"/>
          <w:szCs w:val="20"/>
          <w:lang w:bidi="ar-AE"/>
        </w:rPr>
        <w:t>fiṭra</w:t>
      </w:r>
      <w:r w:rsidRPr="00F230F1">
        <w:rPr>
          <w:rFonts w:asciiTheme="majorBidi" w:hAnsiTheme="majorBidi" w:cstheme="majorBidi"/>
          <w:sz w:val="20"/>
          <w:szCs w:val="20"/>
          <w:lang w:bidi="ar-AE"/>
        </w:rPr>
        <w:t xml:space="preserve"> [la disposition naturelle, l’instinct] et le bon sens qui doivent régir les règles de la religion.</w:t>
      </w:r>
    </w:p>
  </w:footnote>
  <w:footnote w:id="346">
    <w:p w14:paraId="589972DB" w14:textId="77777777" w:rsidR="009C3BB9" w:rsidRPr="00F230F1" w:rsidRDefault="009C3BB9" w:rsidP="00F230F1">
      <w:pPr>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rPr>
        <w:t xml:space="preserve">« La </w:t>
      </w:r>
      <w:r w:rsidRPr="00F230F1">
        <w:rPr>
          <w:rFonts w:asciiTheme="majorBidi" w:hAnsiTheme="majorBidi" w:cstheme="majorBidi"/>
          <w:i/>
          <w:iCs/>
          <w:sz w:val="20"/>
          <w:szCs w:val="20"/>
        </w:rPr>
        <w:t>baḥīra</w:t>
      </w:r>
      <w:r w:rsidRPr="00F230F1">
        <w:rPr>
          <w:rFonts w:asciiTheme="majorBidi" w:hAnsiTheme="majorBidi" w:cstheme="majorBidi"/>
          <w:sz w:val="20"/>
          <w:szCs w:val="20"/>
        </w:rPr>
        <w:t xml:space="preserve"> était une chamelle qu’on laissait paître en liberté, mais dont le cinquième petit, si c’était un mâle, se tuait et se mangeait tant par les femmes que par les hommes mais si c’était une femelle, on lui fendait l’oreille et on la laissait paître sans contrainte, personne ne pouvant en manger, seulement permettait-on aux femmes d’en manger la chair, quand elle mourait. » (</w:t>
      </w:r>
      <w:r w:rsidRPr="00F230F1">
        <w:rPr>
          <w:rFonts w:asciiTheme="majorBidi" w:hAnsiTheme="majorBidi" w:cstheme="majorBidi"/>
          <w:sz w:val="20"/>
          <w:szCs w:val="20"/>
          <w:shd w:val="clear" w:color="auto" w:fill="FFFFFF"/>
        </w:rPr>
        <w:t>K. de Putter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Histoire universelle : depuis le commencement du monde jusqu’à présent</w:t>
      </w:r>
      <w:r w:rsidRPr="00F230F1">
        <w:rPr>
          <w:rFonts w:asciiTheme="majorBidi" w:hAnsiTheme="majorBidi" w:cstheme="majorBidi"/>
          <w:sz w:val="20"/>
          <w:szCs w:val="20"/>
        </w:rPr>
        <w:t>, « Histoire des Arabes », « Livre I », « Chapitre II », p. 284, livre numérique Google)</w:t>
      </w:r>
      <w:r w:rsidRPr="00F230F1">
        <w:rPr>
          <w:rFonts w:asciiTheme="majorBidi" w:hAnsiTheme="majorBidi" w:cstheme="majorBidi"/>
          <w:sz w:val="20"/>
          <w:szCs w:val="20"/>
          <w:lang w:bidi="ar-AE"/>
        </w:rPr>
        <w:t>.</w:t>
      </w:r>
    </w:p>
  </w:footnote>
  <w:footnote w:id="347">
    <w:p w14:paraId="11D8138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rPr>
        <w:t xml:space="preserve">Az-Zamakhsharī, </w:t>
      </w:r>
      <w:r w:rsidRPr="00F230F1">
        <w:rPr>
          <w:rFonts w:asciiTheme="majorBidi" w:eastAsia="Times New Roman" w:hAnsiTheme="majorBidi" w:cstheme="majorBidi"/>
          <w:i/>
          <w:iCs/>
          <w:sz w:val="20"/>
          <w:szCs w:val="20"/>
          <w:lang w:eastAsia="fr-FR"/>
        </w:rPr>
        <w:t>Al-kashshāf</w:t>
      </w:r>
      <w:r w:rsidRPr="00F230F1">
        <w:rPr>
          <w:rFonts w:asciiTheme="majorBidi" w:eastAsia="Times New Roman" w:hAnsiTheme="majorBidi" w:cstheme="majorBidi"/>
          <w:sz w:val="20"/>
          <w:szCs w:val="20"/>
          <w:lang w:eastAsia="fr-FR"/>
        </w:rPr>
        <w:t xml:space="preserve">, </w:t>
      </w:r>
      <w:r w:rsidRPr="00F230F1">
        <w:rPr>
          <w:rFonts w:asciiTheme="majorBidi" w:eastAsia="Times New Roman" w:hAnsiTheme="majorBidi" w:cstheme="majorBidi"/>
          <w:i/>
          <w:sz w:val="20"/>
          <w:szCs w:val="20"/>
          <w:lang w:eastAsia="fr-FR"/>
        </w:rPr>
        <w:t>op. cit</w:t>
      </w:r>
      <w:r w:rsidRPr="00F230F1">
        <w:rPr>
          <w:rFonts w:asciiTheme="majorBidi" w:eastAsia="Times New Roman" w:hAnsiTheme="majorBidi" w:cstheme="majorBidi"/>
          <w:sz w:val="20"/>
          <w:szCs w:val="20"/>
          <w:lang w:eastAsia="fr-FR"/>
        </w:rPr>
        <w:t>., tome 3, p. 15.</w:t>
      </w:r>
    </w:p>
  </w:footnote>
  <w:footnote w:id="348">
    <w:p w14:paraId="2971DEF6" w14:textId="7777777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i/>
          <w:sz w:val="20"/>
          <w:szCs w:val="20"/>
          <w:lang w:bidi="ar-AE"/>
        </w:rPr>
        <w:t>Ath-Thawra</w:t>
      </w:r>
      <w:r w:rsidRPr="00F230F1">
        <w:rPr>
          <w:rFonts w:asciiTheme="majorBidi" w:hAnsiTheme="majorBidi" w:cstheme="majorBidi"/>
          <w:sz w:val="20"/>
          <w:szCs w:val="20"/>
          <w:lang w:bidi="ar-AE"/>
        </w:rPr>
        <w:t xml:space="preserve">, 11 mars 2013,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lang w:bidi="ar-AE"/>
        </w:rPr>
        <w:t>.</w:t>
      </w:r>
    </w:p>
  </w:footnote>
  <w:footnote w:id="349">
    <w:p w14:paraId="108350B2" w14:textId="77777777" w:rsidR="009C3BB9" w:rsidRPr="00F230F1" w:rsidRDefault="009C3BB9" w:rsidP="00F230F1">
      <w:pPr>
        <w:tabs>
          <w:tab w:val="left" w:pos="851"/>
        </w:tabs>
        <w:contextualSpacing/>
        <w:jc w:val="both"/>
        <w:rPr>
          <w:rFonts w:asciiTheme="majorBidi" w:hAnsiTheme="majorBidi" w:cstheme="majorBidi"/>
          <w:color w:val="FF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rPr>
        <w:t xml:space="preserve">ʿAbd Ar-Raḥmān ibn Muḥammad Al-Qammāsh, </w:t>
      </w:r>
      <w:r w:rsidRPr="00F230F1">
        <w:rPr>
          <w:rFonts w:asciiTheme="majorBidi" w:hAnsiTheme="majorBidi" w:cstheme="majorBidi"/>
          <w:i/>
          <w:iCs/>
          <w:sz w:val="20"/>
          <w:szCs w:val="20"/>
        </w:rPr>
        <w:t>Al-ḥāwī fī tafsīr al-qurʾān al-karīm</w:t>
      </w:r>
      <w:r w:rsidRPr="00F230F1">
        <w:rPr>
          <w:rFonts w:asciiTheme="majorBidi" w:hAnsiTheme="majorBidi" w:cstheme="majorBidi"/>
          <w:sz w:val="20"/>
          <w:szCs w:val="20"/>
        </w:rPr>
        <w:t xml:space="preserve">, livre numérique, site </w:t>
      </w:r>
      <w:r w:rsidRPr="00F230F1">
        <w:rPr>
          <w:rFonts w:asciiTheme="majorBidi" w:hAnsiTheme="majorBidi" w:cstheme="majorBidi"/>
          <w:i/>
          <w:iCs/>
          <w:sz w:val="20"/>
          <w:szCs w:val="20"/>
        </w:rPr>
        <w:t>Nidāʾ al-ʾImān</w:t>
      </w:r>
      <w:r w:rsidRPr="00F230F1">
        <w:rPr>
          <w:rFonts w:asciiTheme="majorBidi" w:hAnsiTheme="majorBidi" w:cstheme="majorBidi"/>
          <w:sz w:val="20"/>
          <w:szCs w:val="20"/>
        </w:rPr>
        <w:t xml:space="preserve">, </w:t>
      </w:r>
      <w:hyperlink r:id="rId115" w:history="1">
        <w:r w:rsidRPr="00F230F1">
          <w:rPr>
            <w:rStyle w:val="Lienhypertexte"/>
            <w:rFonts w:asciiTheme="majorBidi" w:hAnsiTheme="majorBidi" w:cstheme="majorBidi"/>
            <w:sz w:val="20"/>
            <w:szCs w:val="20"/>
          </w:rPr>
          <w:t>http://www.al-eman.com/index.htm</w:t>
        </w:r>
      </w:hyperlink>
      <w:r w:rsidRPr="00F230F1">
        <w:rPr>
          <w:rFonts w:asciiTheme="majorBidi" w:hAnsiTheme="majorBidi" w:cstheme="majorBidi"/>
          <w:sz w:val="20"/>
          <w:szCs w:val="20"/>
          <w:lang w:bidi="ar-AE"/>
        </w:rPr>
        <w:t>.</w:t>
      </w:r>
    </w:p>
  </w:footnote>
  <w:footnote w:id="350">
    <w:p w14:paraId="18BB818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AE"/>
        </w:rPr>
        <w:t xml:space="preserve">Al-Ghirnāṭī Al-Kalbī, </w:t>
      </w:r>
      <w:r w:rsidRPr="00F230F1">
        <w:rPr>
          <w:rFonts w:asciiTheme="majorBidi" w:eastAsia="Times New Roman" w:hAnsiTheme="majorBidi" w:cstheme="majorBidi"/>
          <w:i/>
          <w:iCs/>
          <w:sz w:val="20"/>
          <w:szCs w:val="20"/>
          <w:lang w:eastAsia="fr-FR" w:bidi="ar-AE"/>
        </w:rPr>
        <w:t>At-tashīl li-ʿulūm at-tanzīl</w:t>
      </w:r>
      <w:r w:rsidRPr="00F230F1">
        <w:rPr>
          <w:rFonts w:asciiTheme="majorBidi" w:eastAsia="Times New Roman" w:hAnsiTheme="majorBidi" w:cstheme="majorBidi"/>
          <w:sz w:val="20"/>
          <w:szCs w:val="20"/>
          <w:lang w:eastAsia="fr-FR" w:bidi="ar-AE"/>
        </w:rPr>
        <w:t>, tome 3, p. 42.</w:t>
      </w:r>
    </w:p>
  </w:footnote>
  <w:footnote w:id="351">
    <w:p w14:paraId="6C64C8BE" w14:textId="77777777" w:rsidR="009C3BB9" w:rsidRPr="00F230F1" w:rsidRDefault="009C3BB9" w:rsidP="00F230F1">
      <w:pPr>
        <w:contextualSpacing/>
        <w:jc w:val="both"/>
        <w:rPr>
          <w:rFonts w:asciiTheme="majorBidi" w:eastAsia="SimSun" w:hAnsiTheme="majorBidi" w:cstheme="majorBidi"/>
          <w:sz w:val="20"/>
          <w:szCs w:val="20"/>
          <w:lang w:eastAsia="zh-CN"/>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lang w:bidi="ar-EG"/>
        </w:rPr>
        <w:t>« La globalité du concept de polysémie [chez les linguistes arabes], souligne Al Karjousli, n’a jamais été abordée dans une perspective globale d’évolution de la langue et n’a jamais été replacée dans la vision dynamique et cumulative de la langue telle qu’elle est conçue par les linguistes français […]. Au XX</w:t>
      </w:r>
      <w:r w:rsidRPr="00F230F1">
        <w:rPr>
          <w:rFonts w:asciiTheme="majorBidi" w:hAnsiTheme="majorBidi" w:cstheme="majorBidi"/>
          <w:sz w:val="20"/>
          <w:szCs w:val="20"/>
          <w:vertAlign w:val="superscript"/>
          <w:lang w:bidi="ar-EG"/>
        </w:rPr>
        <w:t>e</w:t>
      </w:r>
      <w:r w:rsidRPr="00F230F1">
        <w:rPr>
          <w:rFonts w:asciiTheme="majorBidi" w:hAnsiTheme="majorBidi" w:cstheme="majorBidi"/>
          <w:sz w:val="20"/>
          <w:szCs w:val="20"/>
          <w:lang w:bidi="ar-EG"/>
        </w:rPr>
        <w:t xml:space="preserve"> siècle, le linguiste et écrivain égyptien </w:t>
      </w:r>
      <w:r w:rsidRPr="00F230F1">
        <w:rPr>
          <w:rFonts w:asciiTheme="majorBidi" w:hAnsiTheme="majorBidi" w:cstheme="majorBidi"/>
          <w:sz w:val="20"/>
          <w:szCs w:val="20"/>
          <w:lang w:bidi="ar-AE"/>
        </w:rPr>
        <w:t>Ṭ</w:t>
      </w:r>
      <w:r w:rsidRPr="00F230F1">
        <w:rPr>
          <w:rFonts w:asciiTheme="majorBidi" w:hAnsiTheme="majorBidi" w:cstheme="majorBidi"/>
          <w:sz w:val="20"/>
          <w:szCs w:val="20"/>
          <w:lang w:bidi="ar-EG"/>
        </w:rPr>
        <w:t xml:space="preserve">. </w:t>
      </w:r>
      <w:r w:rsidRPr="00F230F1">
        <w:rPr>
          <w:rFonts w:asciiTheme="majorBidi" w:hAnsiTheme="majorBidi" w:cstheme="majorBidi"/>
          <w:sz w:val="20"/>
          <w:szCs w:val="20"/>
        </w:rPr>
        <w:t>Ḥ</w:t>
      </w:r>
      <w:r w:rsidRPr="00F230F1">
        <w:rPr>
          <w:rFonts w:asciiTheme="majorBidi" w:hAnsiTheme="majorBidi" w:cstheme="majorBidi"/>
          <w:sz w:val="20"/>
          <w:szCs w:val="20"/>
          <w:lang w:bidi="ar-EG"/>
        </w:rPr>
        <w:t xml:space="preserve">usayn revenait d’ailleurs sur le problème d’une certaine fossilisation de la langue arabe dont il rendait responsables les Arabes eux-mêmes. » Soufian Al Karjousli, « Regards croisés des linguistes sur la polysémie et la langue arabe », </w:t>
      </w:r>
      <w:hyperlink r:id="rId116" w:history="1">
        <w:r w:rsidRPr="00F230F1">
          <w:rPr>
            <w:rStyle w:val="Lienhypertexte"/>
            <w:rFonts w:asciiTheme="majorBidi" w:hAnsiTheme="majorBidi" w:cstheme="majorBidi"/>
            <w:sz w:val="20"/>
            <w:szCs w:val="20"/>
          </w:rPr>
          <w:t>http://www.helsinki.fi/jarj/ufy/Varia_final.pdf</w:t>
        </w:r>
      </w:hyperlink>
      <w:r w:rsidRPr="00F230F1">
        <w:rPr>
          <w:rFonts w:asciiTheme="majorBidi" w:hAnsiTheme="majorBidi" w:cstheme="majorBidi"/>
          <w:sz w:val="20"/>
          <w:szCs w:val="20"/>
        </w:rPr>
        <w:t xml:space="preserve"> (consulté le 07/08/2017). Pour plus d’information, voir : Al Karjousli, Soufian, </w:t>
      </w:r>
      <w:r w:rsidRPr="00F230F1">
        <w:rPr>
          <w:rFonts w:asciiTheme="majorBidi" w:hAnsiTheme="majorBidi" w:cstheme="majorBidi"/>
          <w:i/>
          <w:iCs/>
          <w:kern w:val="36"/>
          <w:sz w:val="20"/>
          <w:szCs w:val="20"/>
        </w:rPr>
        <w:t>La polysémie et le Coran</w:t>
      </w:r>
      <w:r w:rsidRPr="00F230F1">
        <w:rPr>
          <w:rFonts w:asciiTheme="majorBidi" w:hAnsiTheme="majorBidi" w:cstheme="majorBidi"/>
          <w:sz w:val="20"/>
          <w:szCs w:val="20"/>
        </w:rPr>
        <w:t>, Atelier national de reproduction des thèses, Rennes, 2005.</w:t>
      </w:r>
    </w:p>
  </w:footnote>
  <w:footnote w:id="352">
    <w:p w14:paraId="717623C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Le Coran. Nouvelle traduction par Ameur Ghédira</w:t>
      </w:r>
      <w:r w:rsidRPr="00F230F1">
        <w:rPr>
          <w:rFonts w:asciiTheme="majorBidi" w:hAnsiTheme="majorBidi" w:cstheme="majorBidi"/>
          <w:sz w:val="20"/>
          <w:szCs w:val="20"/>
        </w:rPr>
        <w:t>, Éditions de Fleuve à Lyon, 1957, « Introduction », pp. 4 &amp; 5.</w:t>
      </w:r>
    </w:p>
  </w:footnote>
  <w:footnote w:id="353">
    <w:p w14:paraId="5C473B6B" w14:textId="77777777" w:rsidR="009C3BB9" w:rsidRPr="00F230F1" w:rsidRDefault="009C3BB9" w:rsidP="00F230F1">
      <w:pPr>
        <w:tabs>
          <w:tab w:val="left" w:pos="851"/>
        </w:tabs>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 mystique musulmane donne un rôle essentiel au cœur qui n’est pas seulement l’organe de raisonnement mais aussi de vision. Le mystique gnostique (</w:t>
      </w:r>
      <w:r w:rsidRPr="00F230F1">
        <w:rPr>
          <w:rFonts w:asciiTheme="majorBidi" w:hAnsiTheme="majorBidi" w:cstheme="majorBidi"/>
          <w:i/>
          <w:iCs/>
          <w:sz w:val="20"/>
          <w:szCs w:val="20"/>
        </w:rPr>
        <w:t>al-ʿārif</w:t>
      </w:r>
      <w:r w:rsidRPr="00F230F1">
        <w:rPr>
          <w:rFonts w:asciiTheme="majorBidi" w:hAnsiTheme="majorBidi" w:cstheme="majorBidi"/>
          <w:sz w:val="20"/>
          <w:szCs w:val="20"/>
        </w:rPr>
        <w:t>) Sahl At-Tustarī (Shushtar au Khouzestan en Iran, 818-Bassora, 896) souligne que les cœurs des gnostiques ont des yeux qui voient l’invisible :</w:t>
      </w:r>
    </w:p>
    <w:p w14:paraId="33BF65A4" w14:textId="77777777" w:rsidR="009C3BB9" w:rsidRPr="00F230F1" w:rsidRDefault="009C3BB9" w:rsidP="00F230F1">
      <w:pPr>
        <w:tabs>
          <w:tab w:val="left" w:pos="851"/>
        </w:tabs>
        <w:bidi/>
        <w:contextualSpacing/>
        <w:jc w:val="both"/>
        <w:rPr>
          <w:rFonts w:asciiTheme="majorBidi" w:hAnsiTheme="majorBidi" w:cstheme="majorBidi"/>
          <w:sz w:val="20"/>
          <w:szCs w:val="20"/>
          <w:shd w:val="clear" w:color="auto" w:fill="FFFFFF"/>
          <w:rtl/>
        </w:rPr>
      </w:pPr>
      <w:r w:rsidRPr="00F230F1">
        <w:rPr>
          <w:rFonts w:asciiTheme="majorBidi" w:hAnsiTheme="majorBidi" w:cstheme="majorBidi"/>
          <w:sz w:val="20"/>
          <w:szCs w:val="20"/>
          <w:shd w:val="clear" w:color="auto" w:fill="FFFFFF"/>
          <w:rtl/>
        </w:rPr>
        <w:t>"-قلـوبُ العارفينَ لها عيونٌ / تَـرى ما لا يراه الناظرونا."</w:t>
      </w:r>
    </w:p>
    <w:p w14:paraId="50AB2263" w14:textId="77777777" w:rsidR="009C3BB9" w:rsidRPr="00F230F1" w:rsidRDefault="009C3BB9" w:rsidP="00F230F1">
      <w:pPr>
        <w:tabs>
          <w:tab w:val="left" w:pos="851"/>
        </w:tabs>
        <w:contextualSpacing/>
        <w:jc w:val="both"/>
        <w:rPr>
          <w:rFonts w:asciiTheme="majorBidi" w:hAnsiTheme="majorBidi" w:cstheme="majorBidi"/>
          <w:sz w:val="20"/>
          <w:szCs w:val="20"/>
        </w:rPr>
      </w:pPr>
      <w:r w:rsidRPr="00F230F1">
        <w:rPr>
          <w:rFonts w:asciiTheme="majorBidi" w:hAnsiTheme="majorBidi" w:cstheme="majorBidi"/>
          <w:sz w:val="20"/>
          <w:szCs w:val="20"/>
          <w:shd w:val="clear" w:color="auto" w:fill="FFFFFF"/>
        </w:rPr>
        <w:t>[« Les cœurs des gnostiques ont des yeux / qui voient ce que ceux qui normalement voient ne voient pas. »]</w:t>
      </w:r>
    </w:p>
  </w:footnote>
  <w:footnote w:id="354">
    <w:p w14:paraId="505319B0" w14:textId="77777777" w:rsidR="009C3BB9" w:rsidRPr="00F230F1" w:rsidRDefault="009C3BB9" w:rsidP="00F230F1">
      <w:pPr>
        <w:tabs>
          <w:tab w:val="left" w:pos="851"/>
        </w:tabs>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L’Encyclopédie d’</w:t>
      </w:r>
      <w:r w:rsidRPr="00F230F1">
        <w:rPr>
          <w:rFonts w:asciiTheme="majorBidi" w:eastAsia="Calibri" w:hAnsiTheme="majorBidi" w:cstheme="majorBidi"/>
          <w:sz w:val="20"/>
          <w:szCs w:val="20"/>
        </w:rPr>
        <w:t>An-Nābulsī</w:t>
      </w:r>
      <w:r w:rsidRPr="00F230F1">
        <w:rPr>
          <w:rFonts w:asciiTheme="majorBidi" w:hAnsiTheme="majorBidi" w:cstheme="majorBidi"/>
          <w:sz w:val="20"/>
          <w:szCs w:val="20"/>
        </w:rPr>
        <w:t xml:space="preserve"> pour les sciences musulmanes, </w:t>
      </w:r>
      <w:hyperlink r:id="rId117" w:history="1">
        <w:r w:rsidRPr="00F230F1">
          <w:rPr>
            <w:rStyle w:val="Lienhypertexte"/>
            <w:rFonts w:asciiTheme="majorBidi" w:hAnsiTheme="majorBidi" w:cstheme="majorBidi"/>
            <w:sz w:val="20"/>
            <w:szCs w:val="20"/>
          </w:rPr>
          <w:t>http://nabulsi.com/blue/ar/art.php?art=2626&amp;id=189&amp;sid=799&amp;ssid=805&amp;sssid=830</w:t>
        </w:r>
      </w:hyperlink>
      <w:r w:rsidRPr="00F230F1">
        <w:rPr>
          <w:rFonts w:asciiTheme="majorBidi" w:hAnsiTheme="majorBidi" w:cstheme="majorBidi"/>
          <w:sz w:val="20"/>
          <w:szCs w:val="20"/>
        </w:rPr>
        <w:t xml:space="preserve">. Voir aussi : </w:t>
      </w:r>
      <w:hyperlink r:id="rId118" w:history="1">
        <w:r w:rsidRPr="00F230F1">
          <w:rPr>
            <w:rStyle w:val="Lienhypertexte"/>
            <w:rFonts w:asciiTheme="majorBidi" w:hAnsiTheme="majorBidi" w:cstheme="majorBidi"/>
            <w:sz w:val="20"/>
            <w:szCs w:val="20"/>
          </w:rPr>
          <w:t>http://www.youtube.com/watch?v=YoCK1FESSvU</w:t>
        </w:r>
      </w:hyperlink>
      <w:r w:rsidRPr="00F230F1">
        <w:rPr>
          <w:rFonts w:asciiTheme="majorBidi" w:hAnsiTheme="majorBidi" w:cstheme="majorBidi"/>
          <w:sz w:val="20"/>
          <w:szCs w:val="20"/>
        </w:rPr>
        <w:t>.</w:t>
      </w:r>
    </w:p>
  </w:footnote>
  <w:footnote w:id="355">
    <w:p w14:paraId="1F0D5A18" w14:textId="77777777" w:rsidR="009C3BB9" w:rsidRPr="00F230F1" w:rsidRDefault="009C3BB9" w:rsidP="00F230F1">
      <w:pPr>
        <w:tabs>
          <w:tab w:val="left" w:pos="851"/>
        </w:tabs>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Selon le site de la Commission des Miracles Scientifiques du Coran et de la Sunna[</w:t>
      </w:r>
      <w:hyperlink r:id="rId119" w:history="1">
        <w:r w:rsidRPr="00F230F1">
          <w:rPr>
            <w:rStyle w:val="Lienhypertexte"/>
            <w:rFonts w:asciiTheme="majorBidi" w:hAnsiTheme="majorBidi" w:cstheme="majorBidi"/>
            <w:sz w:val="20"/>
            <w:szCs w:val="20"/>
          </w:rPr>
          <w:t>http://www.eajaz.org/index.php/Authority/The-most-important-achievements</w:t>
        </w:r>
      </w:hyperlink>
      <w:r w:rsidRPr="00F230F1">
        <w:rPr>
          <w:rFonts w:asciiTheme="majorBidi" w:eastAsia="Calibri" w:hAnsiTheme="majorBidi" w:cstheme="majorBidi"/>
          <w:sz w:val="20"/>
          <w:szCs w:val="20"/>
        </w:rPr>
        <w:t xml:space="preserve">], </w:t>
      </w:r>
      <w:r w:rsidRPr="00F230F1">
        <w:rPr>
          <w:rFonts w:asciiTheme="majorBidi" w:hAnsiTheme="majorBidi" w:cstheme="majorBidi"/>
          <w:sz w:val="20"/>
          <w:szCs w:val="20"/>
        </w:rPr>
        <w:t>le 5</w:t>
      </w:r>
      <w:r w:rsidRPr="00F230F1">
        <w:rPr>
          <w:rFonts w:asciiTheme="majorBidi" w:hAnsiTheme="majorBidi" w:cstheme="majorBidi"/>
          <w:sz w:val="20"/>
          <w:szCs w:val="20"/>
          <w:vertAlign w:val="superscript"/>
        </w:rPr>
        <w:t>e</w:t>
      </w:r>
      <w:r w:rsidRPr="00F230F1">
        <w:rPr>
          <w:rFonts w:asciiTheme="majorBidi" w:hAnsiTheme="majorBidi" w:cstheme="majorBidi"/>
          <w:sz w:val="20"/>
          <w:szCs w:val="20"/>
        </w:rPr>
        <w:t xml:space="preserve"> congrès de l’</w:t>
      </w:r>
      <w:r w:rsidRPr="00F230F1">
        <w:rPr>
          <w:rFonts w:asciiTheme="majorBidi" w:hAnsiTheme="majorBidi" w:cstheme="majorBidi"/>
          <w:i/>
          <w:iCs/>
          <w:sz w:val="20"/>
          <w:szCs w:val="20"/>
        </w:rPr>
        <w:t>iʿjāz</w:t>
      </w:r>
      <w:r w:rsidRPr="00F230F1">
        <w:rPr>
          <w:rFonts w:asciiTheme="majorBidi" w:hAnsiTheme="majorBidi" w:cstheme="majorBidi"/>
          <w:sz w:val="20"/>
          <w:szCs w:val="20"/>
        </w:rPr>
        <w:t xml:space="preserve"> s’est tenu en 1994 en Indonésie et c’est le 4</w:t>
      </w:r>
      <w:r w:rsidRPr="00F230F1">
        <w:rPr>
          <w:rFonts w:asciiTheme="majorBidi" w:hAnsiTheme="majorBidi" w:cstheme="majorBidi"/>
          <w:sz w:val="20"/>
          <w:szCs w:val="20"/>
          <w:vertAlign w:val="superscript"/>
        </w:rPr>
        <w:t>e</w:t>
      </w:r>
      <w:r w:rsidRPr="00F230F1">
        <w:rPr>
          <w:rFonts w:asciiTheme="majorBidi" w:hAnsiTheme="majorBidi" w:cstheme="majorBidi"/>
          <w:sz w:val="20"/>
          <w:szCs w:val="20"/>
        </w:rPr>
        <w:t xml:space="preserve"> qui s’est tenu à Moscou en 1993.</w:t>
      </w:r>
    </w:p>
  </w:footnote>
  <w:footnote w:id="356">
    <w:p w14:paraId="5E46066F" w14:textId="77777777" w:rsidR="009C3BB9" w:rsidRPr="00F230F1" w:rsidRDefault="009C3BB9" w:rsidP="00F230F1">
      <w:pPr>
        <w:tabs>
          <w:tab w:val="left" w:pos="851"/>
        </w:tabs>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Badr ad-Dīn</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ibn Muḥammad Bahādur Az-Zarkashī</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Al-Baḥr al-muḥīṭ</w:t>
      </w:r>
      <w:r w:rsidRPr="00F230F1">
        <w:rPr>
          <w:rFonts w:asciiTheme="majorBidi" w:hAnsiTheme="majorBidi" w:cstheme="majorBidi"/>
          <w:sz w:val="20"/>
          <w:szCs w:val="20"/>
        </w:rPr>
        <w:t>, Dār al-Kutubī, 1994, 1</w:t>
      </w:r>
      <w:r w:rsidRPr="00F230F1">
        <w:rPr>
          <w:rFonts w:asciiTheme="majorBidi" w:hAnsiTheme="majorBidi" w:cstheme="majorBidi"/>
          <w:sz w:val="20"/>
          <w:szCs w:val="20"/>
          <w:vertAlign w:val="superscript"/>
        </w:rPr>
        <w:t>ère</w:t>
      </w:r>
      <w:r w:rsidRPr="00F230F1">
        <w:rPr>
          <w:rFonts w:asciiTheme="majorBidi" w:hAnsiTheme="majorBidi" w:cstheme="majorBidi"/>
          <w:sz w:val="20"/>
          <w:szCs w:val="20"/>
        </w:rPr>
        <w:t xml:space="preserve"> édition, tome 5, p. 173.</w:t>
      </w:r>
    </w:p>
  </w:footnote>
  <w:footnote w:id="357">
    <w:p w14:paraId="3F71C79C" w14:textId="77777777" w:rsidR="009C3BB9" w:rsidRPr="00F230F1" w:rsidRDefault="009C3BB9" w:rsidP="00F230F1">
      <w:pPr>
        <w:tabs>
          <w:tab w:val="left" w:pos="851"/>
        </w:tabs>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On trouve en arabe classique beaucoup d’exemples sur l’utilisation des « grands » nombres au sens métaphorique pour exprimer l’exagération</w:t>
      </w:r>
      <w:r w:rsidRPr="00F230F1">
        <w:rPr>
          <w:rFonts w:asciiTheme="majorBidi" w:hAnsiTheme="majorBidi" w:cstheme="majorBidi"/>
          <w:sz w:val="20"/>
          <w:szCs w:val="20"/>
        </w:rPr>
        <w:t xml:space="preserve">. Voici un vers attribué à </w:t>
      </w:r>
      <w:r w:rsidRPr="00F230F1">
        <w:rPr>
          <w:rFonts w:asciiTheme="majorBidi" w:eastAsia="Calibri" w:hAnsiTheme="majorBidi" w:cstheme="majorBidi"/>
          <w:sz w:val="20"/>
          <w:szCs w:val="20"/>
          <w:lang w:bidi="ar-AE"/>
        </w:rPr>
        <w:t>ʿAlī ibn Abī Ṭālib </w:t>
      </w:r>
      <w:r w:rsidRPr="00F230F1">
        <w:rPr>
          <w:rFonts w:asciiTheme="majorBidi" w:hAnsiTheme="majorBidi" w:cstheme="majorBidi"/>
          <w:sz w:val="20"/>
          <w:szCs w:val="20"/>
        </w:rPr>
        <w:t>: « </w:t>
      </w:r>
      <w:r w:rsidRPr="00F230F1">
        <w:rPr>
          <w:rFonts w:asciiTheme="majorBidi" w:hAnsiTheme="majorBidi" w:cstheme="majorBidi"/>
          <w:sz w:val="20"/>
          <w:szCs w:val="20"/>
          <w:rtl/>
        </w:rPr>
        <w:t xml:space="preserve">لو رُمتَ </w:t>
      </w:r>
      <w:r w:rsidRPr="00F230F1">
        <w:rPr>
          <w:rFonts w:asciiTheme="majorBidi" w:hAnsiTheme="majorBidi" w:cstheme="majorBidi"/>
          <w:b/>
          <w:bCs/>
          <w:sz w:val="20"/>
          <w:szCs w:val="20"/>
          <w:rtl/>
        </w:rPr>
        <w:t>ألفَ</w:t>
      </w:r>
      <w:r w:rsidRPr="00F230F1">
        <w:rPr>
          <w:rFonts w:asciiTheme="majorBidi" w:hAnsiTheme="majorBidi" w:cstheme="majorBidi"/>
          <w:sz w:val="20"/>
          <w:szCs w:val="20"/>
          <w:rtl/>
        </w:rPr>
        <w:t xml:space="preserve"> عدوٍّ كنتَ واجدَهم / ولو طلبتَ صديقاً ما ظفِرتَ بهِ.</w:t>
      </w:r>
      <w:r w:rsidRPr="00F230F1">
        <w:rPr>
          <w:rFonts w:asciiTheme="majorBidi" w:hAnsiTheme="majorBidi" w:cstheme="majorBidi"/>
          <w:sz w:val="20"/>
          <w:szCs w:val="20"/>
        </w:rPr>
        <w:t xml:space="preserve"> » [Si tu cherchais </w:t>
      </w:r>
      <w:r w:rsidRPr="00F230F1">
        <w:rPr>
          <w:rFonts w:asciiTheme="majorBidi" w:hAnsiTheme="majorBidi" w:cstheme="majorBidi"/>
          <w:b/>
          <w:bCs/>
          <w:sz w:val="20"/>
          <w:szCs w:val="20"/>
        </w:rPr>
        <w:t>mille</w:t>
      </w:r>
      <w:r w:rsidRPr="00F230F1">
        <w:rPr>
          <w:rFonts w:asciiTheme="majorBidi" w:hAnsiTheme="majorBidi" w:cstheme="majorBidi"/>
          <w:sz w:val="20"/>
          <w:szCs w:val="20"/>
        </w:rPr>
        <w:t xml:space="preserve"> ennemis, tu les trouverais. / Mais si tu demandais un ami tu ne l’aurais pas.]</w:t>
      </w:r>
      <w:r w:rsidRPr="00F230F1">
        <w:rPr>
          <w:rFonts w:asciiTheme="majorBidi" w:hAnsiTheme="majorBidi" w:cstheme="majorBidi"/>
          <w:sz w:val="20"/>
          <w:szCs w:val="20"/>
          <w:lang w:bidi="ar-KW"/>
        </w:rPr>
        <w:t>. En arabe contemporain, qu’il soit littéral ou dialectal, on trouve également cet usage métaphorique des nombres. Dans une célèbre chanson de Fayrūz intitulé : « </w:t>
      </w:r>
      <w:r w:rsidRPr="00F230F1">
        <w:rPr>
          <w:rFonts w:asciiTheme="majorBidi" w:hAnsiTheme="majorBidi" w:cstheme="majorBidi"/>
          <w:i/>
          <w:iCs/>
          <w:sz w:val="20"/>
          <w:szCs w:val="20"/>
          <w:lang w:bidi="ar-KW"/>
        </w:rPr>
        <w:t>Addaysh kan fi nās</w:t>
      </w:r>
      <w:r w:rsidRPr="00F230F1">
        <w:rPr>
          <w:rFonts w:asciiTheme="majorBidi" w:hAnsiTheme="majorBidi" w:cstheme="majorBidi"/>
          <w:sz w:val="20"/>
          <w:szCs w:val="20"/>
          <w:lang w:bidi="ar-KW"/>
        </w:rPr>
        <w:t xml:space="preserve"> », les frères Raḥbānī utilisent le nombre </w:t>
      </w:r>
      <w:r w:rsidRPr="00F230F1">
        <w:rPr>
          <w:rFonts w:asciiTheme="majorBidi" w:hAnsiTheme="majorBidi" w:cstheme="majorBidi"/>
          <w:i/>
          <w:iCs/>
          <w:sz w:val="20"/>
          <w:szCs w:val="20"/>
          <w:lang w:bidi="ar-KW"/>
        </w:rPr>
        <w:t>myyi</w:t>
      </w:r>
      <w:r w:rsidRPr="00F230F1">
        <w:rPr>
          <w:rFonts w:asciiTheme="majorBidi" w:hAnsiTheme="majorBidi" w:cstheme="majorBidi"/>
          <w:sz w:val="20"/>
          <w:szCs w:val="20"/>
          <w:lang w:bidi="ar-KW"/>
        </w:rPr>
        <w:t xml:space="preserve"> [cent] pour exprimer l’exagération : « </w:t>
      </w:r>
      <w:r w:rsidRPr="00F230F1">
        <w:rPr>
          <w:rFonts w:asciiTheme="majorBidi" w:hAnsiTheme="majorBidi" w:cstheme="majorBidi"/>
          <w:sz w:val="20"/>
          <w:szCs w:val="20"/>
          <w:rtl/>
          <w:lang w:bidi="ar-KW"/>
        </w:rPr>
        <w:t xml:space="preserve">صرلي شي </w:t>
      </w:r>
      <w:r w:rsidRPr="00F230F1">
        <w:rPr>
          <w:rFonts w:asciiTheme="majorBidi" w:hAnsiTheme="majorBidi" w:cstheme="majorBidi"/>
          <w:b/>
          <w:bCs/>
          <w:sz w:val="20"/>
          <w:szCs w:val="20"/>
          <w:rtl/>
          <w:lang w:bidi="ar-KW"/>
        </w:rPr>
        <w:t>ميّة</w:t>
      </w:r>
      <w:r w:rsidRPr="00F230F1">
        <w:rPr>
          <w:rFonts w:asciiTheme="majorBidi" w:hAnsiTheme="majorBidi" w:cstheme="majorBidi"/>
          <w:sz w:val="20"/>
          <w:szCs w:val="20"/>
          <w:rtl/>
          <w:lang w:bidi="ar-KW"/>
        </w:rPr>
        <w:t xml:space="preserve"> سنة مشلوح بها الدكان</w:t>
      </w:r>
      <w:r w:rsidRPr="00F230F1">
        <w:rPr>
          <w:rFonts w:asciiTheme="majorBidi" w:hAnsiTheme="majorBidi" w:cstheme="majorBidi"/>
          <w:sz w:val="20"/>
          <w:szCs w:val="20"/>
          <w:lang w:bidi="ar-KW"/>
        </w:rPr>
        <w:t xml:space="preserve"> » [Ça fait </w:t>
      </w:r>
      <w:r w:rsidRPr="00F230F1">
        <w:rPr>
          <w:rFonts w:asciiTheme="majorBidi" w:hAnsiTheme="majorBidi" w:cstheme="majorBidi"/>
          <w:b/>
          <w:bCs/>
          <w:sz w:val="20"/>
          <w:szCs w:val="20"/>
          <w:lang w:bidi="ar-KW"/>
        </w:rPr>
        <w:t>cent</w:t>
      </w:r>
      <w:r w:rsidRPr="00F230F1">
        <w:rPr>
          <w:rFonts w:asciiTheme="majorBidi" w:hAnsiTheme="majorBidi" w:cstheme="majorBidi"/>
          <w:sz w:val="20"/>
          <w:szCs w:val="20"/>
          <w:lang w:bidi="ar-KW"/>
        </w:rPr>
        <w:t xml:space="preserve"> ans [une éternité], que je suis oubliée dans cette boutique].</w:t>
      </w:r>
    </w:p>
  </w:footnote>
  <w:footnote w:id="358">
    <w:p w14:paraId="0B038C1C" w14:textId="053B1A91"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Aṭ-Ṭabarī a expliqué le mot </w:t>
      </w:r>
      <w:r w:rsidRPr="00F230F1">
        <w:rPr>
          <w:rFonts w:asciiTheme="majorBidi" w:hAnsiTheme="majorBidi" w:cstheme="majorBidi"/>
          <w:i/>
          <w:iCs/>
          <w:sz w:val="20"/>
          <w:szCs w:val="20"/>
        </w:rPr>
        <w:t>ṣāliḥāt</w:t>
      </w:r>
      <w:r w:rsidRPr="00F230F1">
        <w:rPr>
          <w:rFonts w:asciiTheme="majorBidi" w:hAnsiTheme="majorBidi" w:cstheme="majorBidi"/>
          <w:sz w:val="20"/>
          <w:szCs w:val="20"/>
        </w:rPr>
        <w:t xml:space="preserve"> mais dans un autre contexte (le verset IV, 34 : « </w:t>
      </w:r>
      <w:r w:rsidRPr="00F230F1">
        <w:rPr>
          <w:rFonts w:asciiTheme="majorBidi" w:hAnsiTheme="majorBidi" w:cstheme="majorBidi"/>
          <w:i/>
          <w:iCs/>
          <w:sz w:val="20"/>
          <w:szCs w:val="20"/>
        </w:rPr>
        <w:t>fa-ṣṣāliḥātu qānitātun ḥāfiẓātun li-l-ghaybi bi-mā ḥafiẓa llāhu</w:t>
      </w:r>
      <w:r w:rsidRPr="00F230F1">
        <w:rPr>
          <w:rFonts w:asciiTheme="majorBidi" w:hAnsiTheme="majorBidi" w:cstheme="majorBidi"/>
          <w:sz w:val="20"/>
          <w:szCs w:val="20"/>
        </w:rPr>
        <w:t xml:space="preserve"> [les bonnes épouses sont dévotieuses et gardent dans l’absence ce que Dieu sauvegarde]) en disant : « </w:t>
      </w:r>
      <w:r w:rsidRPr="00F230F1">
        <w:rPr>
          <w:rFonts w:asciiTheme="majorBidi" w:hAnsiTheme="majorBidi" w:cstheme="majorBidi"/>
          <w:i/>
          <w:iCs/>
          <w:sz w:val="20"/>
          <w:szCs w:val="20"/>
        </w:rPr>
        <w:t xml:space="preserve">Aṣ-ṣāliḥāt hunna al-mustaqīmat ad-dīn al-ʿāmilāt bi-l-khayr </w:t>
      </w:r>
      <w:r w:rsidRPr="00F230F1">
        <w:rPr>
          <w:rFonts w:asciiTheme="majorBidi" w:hAnsiTheme="majorBidi" w:cstheme="majorBidi"/>
          <w:sz w:val="20"/>
          <w:szCs w:val="20"/>
        </w:rPr>
        <w:t>[</w:t>
      </w:r>
      <w:r w:rsidRPr="00F230F1">
        <w:rPr>
          <w:rFonts w:asciiTheme="majorBidi" w:hAnsiTheme="majorBidi" w:cstheme="majorBidi"/>
          <w:i/>
          <w:iCs/>
          <w:sz w:val="20"/>
          <w:szCs w:val="20"/>
        </w:rPr>
        <w:t>Aṣ-ṣāliḥāt</w:t>
      </w:r>
      <w:r w:rsidRPr="00F230F1">
        <w:rPr>
          <w:rFonts w:asciiTheme="majorBidi" w:hAnsiTheme="majorBidi" w:cstheme="majorBidi"/>
          <w:sz w:val="20"/>
          <w:szCs w:val="20"/>
        </w:rPr>
        <w:t xml:space="preserve"> sont celles dont la religion est juste et les faiseuses du bien]. Mais cette signification n’a rien à voir avec le contexte du verset en question.</w:t>
      </w:r>
    </w:p>
  </w:footnote>
  <w:footnote w:id="359">
    <w:p w14:paraId="2222B8E2"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Le théologien Ahmed al-Qubanji dit nettement que la prière et les rites en général ne sont pas des </w:t>
      </w:r>
      <w:r w:rsidRPr="00F230F1">
        <w:rPr>
          <w:rFonts w:asciiTheme="majorBidi" w:hAnsiTheme="majorBidi" w:cstheme="majorBidi"/>
          <w:i/>
          <w:iCs/>
          <w:sz w:val="20"/>
          <w:szCs w:val="20"/>
        </w:rPr>
        <w:t>ṣāliḥāt </w:t>
      </w:r>
      <w:r w:rsidRPr="00F230F1">
        <w:rPr>
          <w:rFonts w:asciiTheme="majorBidi" w:hAnsiTheme="majorBidi" w:cstheme="majorBidi"/>
          <w:sz w:val="20"/>
          <w:szCs w:val="20"/>
        </w:rPr>
        <w:t xml:space="preserve">: </w:t>
      </w:r>
      <w:hyperlink r:id="rId120" w:history="1">
        <w:r w:rsidRPr="00F230F1">
          <w:rPr>
            <w:rStyle w:val="Lienhypertexte"/>
            <w:rFonts w:asciiTheme="majorBidi" w:hAnsiTheme="majorBidi" w:cstheme="majorBidi"/>
            <w:sz w:val="20"/>
            <w:szCs w:val="20"/>
          </w:rPr>
          <w:t>http://www.youtube.com/watch?v=eukeSapPtYc</w:t>
        </w:r>
      </w:hyperlink>
      <w:r w:rsidRPr="00F230F1">
        <w:rPr>
          <w:rFonts w:asciiTheme="majorBidi" w:hAnsiTheme="majorBidi" w:cstheme="majorBidi"/>
          <w:sz w:val="20"/>
          <w:szCs w:val="20"/>
        </w:rPr>
        <w:t>.</w:t>
      </w:r>
    </w:p>
  </w:footnote>
  <w:footnote w:id="360">
    <w:p w14:paraId="291B7E1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lang w:eastAsia="fr-FR" w:bidi="ar-KW"/>
        </w:rPr>
        <w:t xml:space="preserve">Hichem Djaït, </w:t>
      </w:r>
      <w:r w:rsidRPr="00F230F1">
        <w:rPr>
          <w:rFonts w:asciiTheme="majorBidi" w:eastAsia="Times New Roman" w:hAnsiTheme="majorBidi" w:cstheme="majorBidi"/>
          <w:i/>
          <w:iCs/>
          <w:sz w:val="20"/>
          <w:szCs w:val="20"/>
          <w:lang w:eastAsia="fr-FR" w:bidi="ar-KW"/>
        </w:rPr>
        <w:t>La vie de Muhammad : La prédication prophétique à La Mecque</w:t>
      </w:r>
      <w:r w:rsidRPr="00F230F1">
        <w:rPr>
          <w:rFonts w:asciiTheme="majorBidi" w:eastAsia="Times New Roman" w:hAnsiTheme="majorBidi" w:cstheme="majorBidi"/>
          <w:sz w:val="20"/>
          <w:szCs w:val="20"/>
          <w:lang w:eastAsia="fr-FR" w:bidi="ar-KW"/>
        </w:rPr>
        <w:t>, Fayard, 2008.</w:t>
      </w:r>
    </w:p>
  </w:footnote>
  <w:footnote w:id="361">
    <w:p w14:paraId="1EC1C10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lang w:eastAsia="fr-FR" w:bidi="ar-KW"/>
        </w:rPr>
        <w:t xml:space="preserve">Muḥammad Nāṣir ad-Dīn Al-Albānī, </w:t>
      </w:r>
      <w:r w:rsidRPr="00F230F1">
        <w:rPr>
          <w:rFonts w:asciiTheme="majorBidi" w:eastAsia="Times New Roman" w:hAnsiTheme="majorBidi" w:cstheme="majorBidi"/>
          <w:i/>
          <w:iCs/>
          <w:sz w:val="20"/>
          <w:szCs w:val="20"/>
          <w:lang w:eastAsia="fr-FR" w:bidi="ar-KW"/>
        </w:rPr>
        <w:t>Naṣb al-majānīq li-nasf qiṣṣat al-qharānīq</w:t>
      </w:r>
      <w:r w:rsidRPr="00F230F1">
        <w:rPr>
          <w:rFonts w:asciiTheme="majorBidi" w:eastAsia="Times New Roman" w:hAnsiTheme="majorBidi" w:cstheme="majorBidi"/>
          <w:sz w:val="20"/>
          <w:szCs w:val="20"/>
          <w:lang w:eastAsia="fr-FR" w:bidi="ar-KW"/>
        </w:rPr>
        <w:t xml:space="preserve"> [La construction des mangonneaux pour saper l’histoire des </w:t>
      </w:r>
      <w:r w:rsidRPr="00F230F1">
        <w:rPr>
          <w:rFonts w:asciiTheme="majorBidi" w:eastAsia="Times New Roman" w:hAnsiTheme="majorBidi" w:cstheme="majorBidi"/>
          <w:i/>
          <w:iCs/>
          <w:sz w:val="20"/>
          <w:szCs w:val="20"/>
          <w:lang w:eastAsia="fr-FR" w:bidi="ar-KW"/>
        </w:rPr>
        <w:t>gharānīq</w:t>
      </w:r>
      <w:r w:rsidRPr="00F230F1">
        <w:rPr>
          <w:rFonts w:asciiTheme="majorBidi" w:eastAsia="Times New Roman" w:hAnsiTheme="majorBidi" w:cstheme="majorBidi"/>
          <w:sz w:val="20"/>
          <w:szCs w:val="20"/>
          <w:lang w:eastAsia="fr-FR" w:bidi="ar-KW"/>
        </w:rPr>
        <w:t>], Al-Maktab Al-Islāmī, Beyrouth, Damas et Amman, première édition 1952, troisième édition 1996.</w:t>
      </w:r>
    </w:p>
  </w:footnote>
  <w:footnote w:id="362">
    <w:p w14:paraId="0A160C1F" w14:textId="77777777" w:rsidR="009C3BB9" w:rsidRPr="00F230F1" w:rsidRDefault="009C3BB9" w:rsidP="00F230F1">
      <w:pPr>
        <w:pStyle w:val="Notedebasdepage"/>
        <w:contextualSpacing/>
        <w:jc w:val="both"/>
        <w:rPr>
          <w:rFonts w:asciiTheme="majorBidi" w:eastAsia="Times New Roman" w:hAnsiTheme="majorBidi" w:cstheme="majorBidi"/>
          <w:sz w:val="20"/>
          <w:szCs w:val="20"/>
          <w:lang w:eastAsia="fr-FR"/>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 xml:space="preserve">Tafsīr </w:t>
      </w:r>
      <w:r w:rsidRPr="00F230F1">
        <w:rPr>
          <w:rFonts w:asciiTheme="majorBidi" w:eastAsia="Times New Roman" w:hAnsiTheme="majorBidi" w:cstheme="majorBidi"/>
          <w:i/>
          <w:iCs/>
          <w:sz w:val="20"/>
          <w:szCs w:val="20"/>
          <w:lang w:eastAsia="fr-FR" w:bidi="ar-KW"/>
        </w:rPr>
        <w:t>Aṭ-Ṭabarī</w:t>
      </w:r>
      <w:r w:rsidRPr="00F230F1">
        <w:rPr>
          <w:rFonts w:asciiTheme="majorBidi" w:eastAsia="Times New Roman" w:hAnsiTheme="majorBidi" w:cstheme="majorBidi"/>
          <w:sz w:val="20"/>
          <w:szCs w:val="20"/>
          <w:lang w:eastAsia="fr-FR" w:bidi="ar-KW"/>
        </w:rPr>
        <w:t xml:space="preserve">, Dār Hajar, le Caire, première édition, 2001, revu par : </w:t>
      </w:r>
      <w:r w:rsidRPr="00F230F1">
        <w:rPr>
          <w:rFonts w:asciiTheme="majorBidi" w:eastAsia="Times New Roman" w:hAnsiTheme="majorBidi" w:cstheme="majorBidi"/>
          <w:sz w:val="20"/>
          <w:szCs w:val="20"/>
        </w:rPr>
        <w:t>ʿAbdullāh b. ʿAbd al-Muḥsin at-Turkī,</w:t>
      </w:r>
      <w:r w:rsidRPr="00F230F1">
        <w:rPr>
          <w:rFonts w:asciiTheme="majorBidi" w:eastAsia="Times New Roman" w:hAnsiTheme="majorBidi" w:cstheme="majorBidi"/>
          <w:sz w:val="20"/>
          <w:szCs w:val="20"/>
          <w:lang w:eastAsia="fr-FR" w:bidi="ar-KW"/>
        </w:rPr>
        <w:t xml:space="preserve"> </w:t>
      </w:r>
      <w:r w:rsidRPr="00F230F1">
        <w:rPr>
          <w:rFonts w:asciiTheme="majorBidi" w:eastAsia="Times New Roman" w:hAnsiTheme="majorBidi" w:cstheme="majorBidi"/>
          <w:sz w:val="20"/>
          <w:szCs w:val="20"/>
          <w:lang w:eastAsia="fr-FR"/>
        </w:rPr>
        <w:t>volume 16, pp. 603 et 604.</w:t>
      </w:r>
    </w:p>
  </w:footnote>
  <w:footnote w:id="363">
    <w:p w14:paraId="0ADBC30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p>
  </w:footnote>
  <w:footnote w:id="364">
    <w:p w14:paraId="2BD68FA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Notre analyse de cet incident est la suivante : le prophète Muḥammad était, semble-t-il, un porte-parole de l’équipe qui traduisait et rédigeait le Coran (dont le prêtre nestorien mecquois Waraqa ibn Nawfal, le cousin de sa première épouse Khadīja). En tant que porte-parole, il n’avait apparemment pas le droit de modifier le texte une fois achevé. On ne sait pas vraiment si cette fonction lui permettait de participer à l’élaboration du texte. Cependant, pressé de gagner la confiance et la sympathie de sa tribu, et sous l’influence de son ambition politique, il aurait décidé en toute bonne foi de modifier le texte que l’équipe « rédactionnelle » lui avait transmis. Ainsi, lors de sa récitation de la sourate de l’Étoile, il a ajouté des versets élogieux à l’égard des trois déesses du paganisme arabe. Mais cette improvisation était inopportune, déplacée, voire destructive du projet de l’unification du Panthéon mecquois. Aussi aurait-t-il été fortement réprimandé par le chef de l’équipe de la rédaction du Coran. Et l’adjonction a été aussitôt rejetée avec horreur. Ayant peur de perdre son poste de porte-parole, il était très inquiet et il s’est repenti. Pour le sortir de cette impasse et sauver le projet de la nouvelle religion, on lui a transmis le verset qui a été ultérieurement introduit dans la sourate Al-Ḥajj sous le numéro 52 lors de la compilation du Coran sous le premier calife Abū Bakr ou le troisième ʿUthmān.</w:t>
      </w:r>
    </w:p>
  </w:footnote>
  <w:footnote w:id="365">
    <w:p w14:paraId="6150FF62"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Mirzā Bashīr ad-Dīn Maḥmūd Aḥmad, </w:t>
      </w:r>
      <w:r w:rsidRPr="00F230F1">
        <w:rPr>
          <w:rFonts w:asciiTheme="majorBidi" w:hAnsiTheme="majorBidi" w:cstheme="majorBidi"/>
          <w:i/>
          <w:iCs/>
          <w:sz w:val="20"/>
          <w:szCs w:val="20"/>
        </w:rPr>
        <w:t>At-Tafsīr al-kabīr</w:t>
      </w:r>
      <w:r w:rsidRPr="00F230F1">
        <w:rPr>
          <w:rFonts w:asciiTheme="majorBidi" w:hAnsiTheme="majorBidi" w:cstheme="majorBidi"/>
          <w:sz w:val="20"/>
          <w:szCs w:val="20"/>
        </w:rPr>
        <w:t xml:space="preserve"> [la grande exégèse], </w:t>
      </w:r>
      <w:r w:rsidRPr="00F230F1">
        <w:rPr>
          <w:rFonts w:asciiTheme="majorBidi" w:hAnsiTheme="majorBidi" w:cstheme="majorBidi"/>
          <w:i/>
          <w:iCs/>
          <w:sz w:val="20"/>
          <w:szCs w:val="20"/>
        </w:rPr>
        <w:t>op. cit</w:t>
      </w:r>
      <w:r w:rsidRPr="00F230F1">
        <w:rPr>
          <w:rFonts w:asciiTheme="majorBidi" w:hAnsiTheme="majorBidi" w:cstheme="majorBidi"/>
          <w:sz w:val="20"/>
          <w:szCs w:val="20"/>
        </w:rPr>
        <w:t>., tome 6, p. 4.</w:t>
      </w:r>
    </w:p>
  </w:footnote>
  <w:footnote w:id="366">
    <w:p w14:paraId="7B624204"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hAnsiTheme="majorBidi" w:cstheme="majorBidi"/>
          <w:sz w:val="20"/>
          <w:szCs w:val="20"/>
          <w:shd w:val="clear" w:color="auto" w:fill="FFFFFF"/>
        </w:rPr>
        <w:t xml:space="preserve">Anne-Marie Delcambre, </w:t>
      </w:r>
      <w:r w:rsidRPr="00F230F1">
        <w:rPr>
          <w:rFonts w:asciiTheme="majorBidi" w:hAnsiTheme="majorBidi" w:cstheme="majorBidi"/>
          <w:i/>
          <w:iCs/>
          <w:sz w:val="20"/>
          <w:szCs w:val="20"/>
        </w:rPr>
        <w:t>Soufi ou mufti ? Quel avenir pour l’islam ?</w:t>
      </w:r>
      <w:r w:rsidRPr="00F230F1">
        <w:rPr>
          <w:rFonts w:asciiTheme="majorBidi" w:hAnsiTheme="majorBidi" w:cstheme="majorBidi"/>
          <w:sz w:val="20"/>
          <w:szCs w:val="20"/>
        </w:rPr>
        <w:t>,</w:t>
      </w:r>
      <w:r w:rsidRPr="00F230F1">
        <w:rPr>
          <w:rFonts w:asciiTheme="majorBidi" w:hAnsiTheme="majorBidi" w:cstheme="majorBidi"/>
          <w:sz w:val="20"/>
          <w:szCs w:val="20"/>
          <w:shd w:val="clear" w:color="auto" w:fill="FFFFFF"/>
        </w:rPr>
        <w:t xml:space="preserve"> Desclée de Brouwer, 2007, p. 52</w:t>
      </w:r>
      <w:r w:rsidRPr="00F230F1">
        <w:rPr>
          <w:rFonts w:asciiTheme="majorBidi" w:hAnsiTheme="majorBidi" w:cstheme="majorBidi"/>
          <w:sz w:val="20"/>
          <w:szCs w:val="20"/>
        </w:rPr>
        <w:t>.</w:t>
      </w:r>
    </w:p>
  </w:footnote>
  <w:footnote w:id="367">
    <w:p w14:paraId="038B977B"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Les Ahmadis (</w:t>
      </w:r>
      <w:r w:rsidRPr="00F230F1">
        <w:rPr>
          <w:rFonts w:asciiTheme="majorBidi" w:hAnsiTheme="majorBidi" w:cstheme="majorBidi"/>
          <w:i/>
          <w:iCs/>
          <w:sz w:val="20"/>
          <w:szCs w:val="20"/>
        </w:rPr>
        <w:t>al-aḥmadīya</w:t>
      </w:r>
      <w:r w:rsidRPr="00F230F1">
        <w:rPr>
          <w:rFonts w:asciiTheme="majorBidi" w:hAnsiTheme="majorBidi" w:cstheme="majorBidi"/>
          <w:sz w:val="20"/>
          <w:szCs w:val="20"/>
        </w:rPr>
        <w:t>) sont les disciples de Mirzā Ghulām Aḥmad (né en 1835 à Qadian (Pendjab) et mort en 1908 à Lahore (Pendjab)). Ce mouvement religieux musulman réformiste et messianiste, fondé en 1889, comprend deux courants distincts : l’</w:t>
      </w:r>
      <w:r w:rsidRPr="00F230F1">
        <w:rPr>
          <w:rFonts w:asciiTheme="majorBidi" w:hAnsiTheme="majorBidi" w:cstheme="majorBidi"/>
          <w:i/>
          <w:iCs/>
          <w:sz w:val="20"/>
          <w:szCs w:val="20"/>
        </w:rPr>
        <w:t>Ahmadiyya Muslim Community</w:t>
      </w:r>
      <w:r w:rsidRPr="00F230F1">
        <w:rPr>
          <w:rFonts w:asciiTheme="majorBidi" w:hAnsiTheme="majorBidi" w:cstheme="majorBidi"/>
          <w:sz w:val="20"/>
          <w:szCs w:val="20"/>
        </w:rPr>
        <w:t xml:space="preserve"> et le </w:t>
      </w:r>
      <w:r w:rsidRPr="00F230F1">
        <w:rPr>
          <w:rFonts w:asciiTheme="majorBidi" w:hAnsiTheme="majorBidi" w:cstheme="majorBidi"/>
          <w:i/>
          <w:iCs/>
          <w:sz w:val="20"/>
          <w:szCs w:val="20"/>
        </w:rPr>
        <w:t>Lahore Ahmadiyya Movement</w:t>
      </w:r>
      <w:r w:rsidRPr="00F230F1">
        <w:rPr>
          <w:rFonts w:asciiTheme="majorBidi" w:hAnsiTheme="majorBidi" w:cstheme="majorBidi"/>
          <w:sz w:val="20"/>
          <w:szCs w:val="20"/>
        </w:rPr>
        <w:t>. L’</w:t>
      </w:r>
      <w:r w:rsidRPr="00F230F1">
        <w:rPr>
          <w:rFonts w:asciiTheme="majorBidi" w:hAnsiTheme="majorBidi" w:cstheme="majorBidi"/>
          <w:iCs/>
          <w:sz w:val="20"/>
          <w:szCs w:val="20"/>
        </w:rPr>
        <w:t>Organisation de la conférence islamique</w:t>
      </w:r>
      <w:r w:rsidRPr="00F230F1">
        <w:rPr>
          <w:rFonts w:asciiTheme="majorBidi" w:hAnsiTheme="majorBidi" w:cstheme="majorBidi"/>
          <w:sz w:val="20"/>
          <w:szCs w:val="20"/>
        </w:rPr>
        <w:t xml:space="preserve"> les a déclarés non musulmans en 1973, leur interdisant le pèlerinage à La Mecque. La communauté musulmane Ahmadiyya compte à ce jour 20 millions de membres selon les chiffres officiels du mouvement. Elle est présente dans plus de 190 pays. Le mouvement s’est illustré dans des actions humanitaires. (D’après : </w:t>
      </w:r>
      <w:r w:rsidRPr="00F230F1">
        <w:rPr>
          <w:rFonts w:asciiTheme="majorBidi" w:hAnsiTheme="majorBidi" w:cstheme="majorBidi"/>
          <w:i/>
          <w:iCs/>
          <w:sz w:val="20"/>
          <w:szCs w:val="20"/>
        </w:rPr>
        <w:t>Wikipédia</w:t>
      </w:r>
      <w:r w:rsidRPr="00F230F1">
        <w:rPr>
          <w:rFonts w:asciiTheme="majorBidi" w:hAnsiTheme="majorBidi" w:cstheme="majorBidi"/>
          <w:sz w:val="20"/>
          <w:szCs w:val="20"/>
        </w:rPr>
        <w:t>, le site officiel international de l’ahmadisme [</w:t>
      </w:r>
      <w:hyperlink r:id="rId121" w:history="1">
        <w:r w:rsidRPr="00F230F1">
          <w:rPr>
            <w:rStyle w:val="Lienhypertexte"/>
            <w:rFonts w:asciiTheme="majorBidi" w:hAnsiTheme="majorBidi" w:cstheme="majorBidi"/>
            <w:sz w:val="20"/>
            <w:szCs w:val="20"/>
          </w:rPr>
          <w:t>http://www.alislam.org/</w:t>
        </w:r>
      </w:hyperlink>
      <w:r w:rsidRPr="00F230F1">
        <w:rPr>
          <w:rFonts w:asciiTheme="majorBidi" w:hAnsiTheme="majorBidi" w:cstheme="majorBidi"/>
          <w:sz w:val="20"/>
          <w:szCs w:val="20"/>
        </w:rPr>
        <w:t>], le site de la Communauté musulmane Ahmadiyya de France [</w:t>
      </w:r>
      <w:hyperlink r:id="rId122" w:history="1">
        <w:r w:rsidRPr="00F230F1">
          <w:rPr>
            <w:rStyle w:val="Lienhypertexte"/>
            <w:rFonts w:asciiTheme="majorBidi" w:hAnsiTheme="majorBidi" w:cstheme="majorBidi"/>
            <w:sz w:val="20"/>
            <w:szCs w:val="20"/>
          </w:rPr>
          <w:t>http://www.islam-ahmadiyya.org/</w:t>
        </w:r>
      </w:hyperlink>
      <w:r w:rsidRPr="00F230F1">
        <w:rPr>
          <w:rFonts w:asciiTheme="majorBidi" w:hAnsiTheme="majorBidi" w:cstheme="majorBidi"/>
          <w:sz w:val="20"/>
          <w:szCs w:val="20"/>
        </w:rPr>
        <w:t xml:space="preserve">], le site sunnite at-tawḥīd </w:t>
      </w:r>
    </w:p>
    <w:p w14:paraId="1D3EFF43"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Fonts w:asciiTheme="majorBidi" w:hAnsiTheme="majorBidi" w:cstheme="majorBidi"/>
          <w:sz w:val="20"/>
          <w:szCs w:val="20"/>
        </w:rPr>
        <w:t>[</w:t>
      </w:r>
      <w:hyperlink r:id="rId123" w:history="1">
        <w:r w:rsidRPr="00F230F1">
          <w:rPr>
            <w:rStyle w:val="Lienhypertexte"/>
            <w:rFonts w:asciiTheme="majorBidi" w:hAnsiTheme="majorBidi" w:cstheme="majorBidi"/>
            <w:sz w:val="20"/>
            <w:szCs w:val="20"/>
          </w:rPr>
          <w:t>http://www.at-tawhid.net/article-les-qadiyanites-et-leur-mecreance-ahmad-mash-hur-al-haddad-47119605.html</w:t>
        </w:r>
      </w:hyperlink>
      <w:r w:rsidRPr="00F230F1">
        <w:rPr>
          <w:rFonts w:asciiTheme="majorBidi" w:hAnsiTheme="majorBidi" w:cstheme="majorBidi"/>
          <w:sz w:val="20"/>
          <w:szCs w:val="20"/>
        </w:rPr>
        <w:t>]). L’ahmadisme est une branche de l’islam complètement différente du bahaïsme (</w:t>
      </w:r>
      <w:r w:rsidRPr="00F230F1">
        <w:rPr>
          <w:rFonts w:asciiTheme="majorBidi" w:hAnsiTheme="majorBidi" w:cstheme="majorBidi"/>
          <w:i/>
          <w:iCs/>
          <w:sz w:val="20"/>
          <w:szCs w:val="20"/>
        </w:rPr>
        <w:t>bahāʾīya</w:t>
      </w:r>
      <w:r w:rsidRPr="00F230F1">
        <w:rPr>
          <w:rFonts w:asciiTheme="majorBidi" w:hAnsiTheme="majorBidi" w:cstheme="majorBidi"/>
          <w:sz w:val="20"/>
          <w:szCs w:val="20"/>
        </w:rPr>
        <w:t xml:space="preserve">, la religion </w:t>
      </w:r>
      <w:r w:rsidRPr="00F230F1">
        <w:rPr>
          <w:rFonts w:asciiTheme="majorBidi" w:hAnsiTheme="majorBidi" w:cstheme="majorBidi"/>
          <w:i/>
          <w:iCs/>
          <w:sz w:val="20"/>
          <w:szCs w:val="20"/>
        </w:rPr>
        <w:t>bahāʾī</w:t>
      </w:r>
      <w:r w:rsidRPr="00F230F1">
        <w:rPr>
          <w:rFonts w:asciiTheme="majorBidi" w:hAnsiTheme="majorBidi" w:cstheme="majorBidi"/>
          <w:sz w:val="20"/>
          <w:szCs w:val="20"/>
        </w:rPr>
        <w:t>) fondé en 1863 par le Persan Mirzā Ḥusayn ʿAlī (1817-1892). En 2011, la religion bahaïe compte environ 7 millions de membres appartenant à plus de deux mille groupes ethniques et répartis dans plus de 189 pays. Son centre spirituel (lieu de pèlerinage) et administratif est situé à Haïfa en Israël.</w:t>
      </w:r>
    </w:p>
  </w:footnote>
  <w:footnote w:id="368">
    <w:p w14:paraId="14D35BF3" w14:textId="77777777" w:rsidR="009C3BB9" w:rsidRPr="00F230F1" w:rsidRDefault="009C3BB9" w:rsidP="00F230F1">
      <w:pPr>
        <w:pStyle w:val="Titre1"/>
        <w:shd w:val="clear" w:color="auto" w:fill="FFFFFF"/>
        <w:spacing w:before="0" w:beforeAutospacing="0" w:after="0" w:afterAutospacing="0"/>
        <w:contextualSpacing/>
        <w:jc w:val="both"/>
        <w:rPr>
          <w:rStyle w:val="Appelnotedebasdep"/>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Pour des informations supplémentaires à propos de la critique de l’abrogation par les ahmadis, voir : Hānī Ṭāhir, </w:t>
      </w:r>
      <w:r w:rsidRPr="00F230F1">
        <w:rPr>
          <w:rFonts w:asciiTheme="majorBidi" w:hAnsiTheme="majorBidi" w:cstheme="majorBidi"/>
          <w:i/>
          <w:iCs/>
          <w:sz w:val="20"/>
          <w:szCs w:val="20"/>
        </w:rPr>
        <w:t>Tanzīh ʾāy al-qurʾān ʿan an-naskh wa-an-nuqṣān</w:t>
      </w:r>
      <w:r w:rsidRPr="00F230F1">
        <w:rPr>
          <w:rFonts w:asciiTheme="majorBidi" w:hAnsiTheme="majorBidi" w:cstheme="majorBidi"/>
          <w:sz w:val="20"/>
          <w:szCs w:val="20"/>
        </w:rPr>
        <w:t xml:space="preserve"> [L’exemption des versets du Coran de l’abrogation et de l’imperfection], la communauté musulmane Ahmadiyya dans la Terre sainte, 1</w:t>
      </w:r>
      <w:r w:rsidRPr="00F230F1">
        <w:rPr>
          <w:rFonts w:asciiTheme="majorBidi" w:hAnsiTheme="majorBidi" w:cstheme="majorBidi"/>
          <w:sz w:val="20"/>
          <w:szCs w:val="20"/>
          <w:vertAlign w:val="superscript"/>
        </w:rPr>
        <w:t>ère</w:t>
      </w:r>
      <w:r w:rsidRPr="00F230F1">
        <w:rPr>
          <w:rFonts w:asciiTheme="majorBidi" w:hAnsiTheme="majorBidi" w:cstheme="majorBidi"/>
          <w:sz w:val="20"/>
          <w:szCs w:val="20"/>
        </w:rPr>
        <w:t xml:space="preserve"> édition, 2000.</w:t>
      </w:r>
    </w:p>
  </w:footnote>
  <w:footnote w:id="369">
    <w:p w14:paraId="0B7B2C02" w14:textId="77777777" w:rsidR="009C3BB9" w:rsidRPr="00F230F1" w:rsidRDefault="009C3BB9" w:rsidP="00F230F1">
      <w:pPr>
        <w:pStyle w:val="Titre1"/>
        <w:shd w:val="clear" w:color="auto" w:fill="FFFFFF"/>
        <w:spacing w:before="0" w:beforeAutospacing="0" w:after="0" w:afterAutospacing="0"/>
        <w:contextualSpacing/>
        <w:jc w:val="both"/>
        <w:rPr>
          <w:rStyle w:val="Appelnotedebasdep"/>
          <w:rFonts w:asciiTheme="majorBidi" w:eastAsiaTheme="minorHAns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hAnsiTheme="majorBidi" w:cstheme="majorBidi"/>
          <w:sz w:val="20"/>
          <w:szCs w:val="20"/>
        </w:rPr>
        <w:t xml:space="preserve">Compte rendu de la conférence de Wissam Halabi-Halawi </w:t>
      </w:r>
      <w:r w:rsidRPr="00F230F1">
        <w:rPr>
          <w:rStyle w:val="lev"/>
          <w:rFonts w:asciiTheme="majorBidi" w:hAnsiTheme="majorBidi" w:cstheme="majorBidi"/>
          <w:b/>
          <w:bCs/>
          <w:sz w:val="20"/>
          <w:szCs w:val="20"/>
        </w:rPr>
        <w:t>(Université Paris 1 / IFPO)</w:t>
      </w:r>
      <w:r w:rsidRPr="00F230F1">
        <w:rPr>
          <w:rStyle w:val="lev"/>
          <w:rFonts w:asciiTheme="majorBidi" w:hAnsiTheme="majorBidi" w:cstheme="majorBidi"/>
          <w:sz w:val="20"/>
          <w:szCs w:val="20"/>
        </w:rPr>
        <w:t xml:space="preserve"> </w:t>
      </w:r>
      <w:r w:rsidRPr="00F230F1">
        <w:rPr>
          <w:rFonts w:asciiTheme="majorBidi" w:hAnsiTheme="majorBidi" w:cstheme="majorBidi"/>
          <w:sz w:val="20"/>
          <w:szCs w:val="20"/>
        </w:rPr>
        <w:t>« La taqiyya chez les druzes - quand le sacré est secret », tenue le 15 mai 2013 à la bibliothèque orientale de l’Université Saint-Joseph de Beyrouth, dans le cadre du séminaire d’études arabes, médiévales et modernes : les sources et leur interprétation,</w:t>
      </w:r>
      <w:r w:rsidRPr="00F230F1">
        <w:rPr>
          <w:rStyle w:val="apple-converted-space"/>
          <w:rFonts w:asciiTheme="majorBidi" w:hAnsiTheme="majorBidi" w:cstheme="majorBidi"/>
          <w:sz w:val="20"/>
          <w:szCs w:val="20"/>
        </w:rPr>
        <w:t> </w:t>
      </w:r>
      <w:hyperlink r:id="rId124" w:history="1">
        <w:r w:rsidRPr="00F230F1">
          <w:rPr>
            <w:rStyle w:val="Lienhypertexte"/>
            <w:rFonts w:asciiTheme="majorBidi" w:hAnsiTheme="majorBidi" w:cstheme="majorBidi"/>
            <w:sz w:val="20"/>
            <w:szCs w:val="20"/>
          </w:rPr>
          <w:t>http://www.lesclesdumoyenorient.com/Compte-rendu-de-la-conference-de-1280.html</w:t>
        </w:r>
      </w:hyperlink>
      <w:r w:rsidRPr="00F230F1">
        <w:rPr>
          <w:rStyle w:val="Lienhypertexte"/>
          <w:rFonts w:asciiTheme="majorBidi" w:hAnsiTheme="majorBidi" w:cstheme="majorBidi"/>
          <w:sz w:val="20"/>
          <w:szCs w:val="20"/>
        </w:rPr>
        <w:t xml:space="preserve"> (</w:t>
      </w:r>
      <w:r w:rsidRPr="00F230F1">
        <w:rPr>
          <w:rFonts w:asciiTheme="majorBidi" w:hAnsiTheme="majorBidi" w:cstheme="majorBidi"/>
          <w:sz w:val="20"/>
          <w:szCs w:val="20"/>
        </w:rPr>
        <w:t>consulté le 07/08/2017).</w:t>
      </w:r>
    </w:p>
  </w:footnote>
  <w:footnote w:id="370">
    <w:p w14:paraId="0F53FB15" w14:textId="77777777" w:rsidR="009C3BB9" w:rsidRPr="00F230F1" w:rsidRDefault="009C3BB9" w:rsidP="00F230F1">
      <w:pPr>
        <w:pStyle w:val="Notedebasdepage"/>
        <w:contextualSpacing/>
        <w:jc w:val="both"/>
        <w:rPr>
          <w:rFonts w:asciiTheme="majorBidi" w:eastAsiaTheme="minorHAnsi" w:hAnsiTheme="majorBidi" w:cstheme="majorBidi"/>
          <w:color w:val="FF0000"/>
          <w:sz w:val="20"/>
          <w:szCs w:val="20"/>
          <w:rtl/>
        </w:rPr>
      </w:pPr>
      <w:r w:rsidRPr="00F230F1">
        <w:rPr>
          <w:rStyle w:val="Appelnotedebasdep"/>
          <w:rFonts w:asciiTheme="majorBidi" w:hAnsiTheme="majorBidi" w:cstheme="majorBidi"/>
          <w:sz w:val="20"/>
          <w:szCs w:val="20"/>
        </w:rPr>
        <w:footnoteRef/>
      </w:r>
      <w:r w:rsidRPr="00F230F1">
        <w:rPr>
          <w:rStyle w:val="Appelnotedebasdep"/>
          <w:rFonts w:asciiTheme="majorBidi" w:hAnsiTheme="majorBidi" w:cstheme="majorBidi"/>
          <w:sz w:val="20"/>
          <w:szCs w:val="20"/>
        </w:rPr>
        <w:t xml:space="preserve"> </w:t>
      </w:r>
      <w:r w:rsidRPr="00F230F1">
        <w:rPr>
          <w:rFonts w:asciiTheme="majorBidi" w:eastAsiaTheme="minorHAnsi" w:hAnsiTheme="majorBidi" w:cstheme="majorBidi"/>
          <w:sz w:val="20"/>
          <w:szCs w:val="20"/>
        </w:rPr>
        <w:t>« </w:t>
      </w:r>
      <w:r w:rsidRPr="00F230F1">
        <w:rPr>
          <w:rFonts w:asciiTheme="majorBidi" w:hAnsiTheme="majorBidi" w:cstheme="majorBidi"/>
          <w:sz w:val="20"/>
          <w:szCs w:val="20"/>
        </w:rPr>
        <w:t>Quel est l’homme d’entre vous, qui, ayant cent brebis et en ayant perdu une, ne laisse les quatre-vingt-dix-neuf au désert, et ne s’en aille après celle qui est perdue, jusqu’à ce qu’il l’ait trouvée ?</w:t>
      </w:r>
      <w:r w:rsidRPr="00F230F1">
        <w:rPr>
          <w:rFonts w:asciiTheme="majorBidi" w:eastAsiaTheme="minorHAnsi" w:hAnsiTheme="majorBidi" w:cstheme="majorBidi"/>
          <w:sz w:val="20"/>
          <w:szCs w:val="20"/>
        </w:rPr>
        <w:t xml:space="preserve"> et l’ayant trouvée, il la met sur ses propres épaules, bien joyeux ; et, étant de retour à la maison, il appelle les amis et les voisins, leur disant, Réjouissez–vous avec moi, car j’ai trouvé ma brebis perdue. Je vous dis, qu’ainsi il y aura de la joie au ciel pour un seul pécheur qui se repent, plus que pour quatre-vingt-dix-neuf justes qui n’ont pas besoin de repentance. » (Luc 15 : 4-7)</w:t>
      </w:r>
      <w:r w:rsidRPr="00F230F1">
        <w:rPr>
          <w:rFonts w:asciiTheme="majorBidi" w:eastAsiaTheme="minorHAnsi" w:hAnsiTheme="majorBidi" w:cstheme="majorBidi"/>
          <w:color w:val="FF0000"/>
          <w:sz w:val="20"/>
          <w:szCs w:val="20"/>
        </w:rPr>
        <w:t xml:space="preserve"> </w:t>
      </w:r>
      <w:r w:rsidRPr="00F230F1">
        <w:rPr>
          <w:rFonts w:asciiTheme="majorBidi" w:eastAsiaTheme="minorHAnsi" w:hAnsiTheme="majorBidi" w:cstheme="majorBidi"/>
          <w:sz w:val="20"/>
          <w:szCs w:val="20"/>
        </w:rPr>
        <w:t>De même, dans un hadith rapporté par Muslim, le prophète de l’islam dit : « Dieu est heureux du repentir de Son serviteur, comme l’un de vous qui se réjouit quand il trouve ce qu’il avait perdu. » (</w:t>
      </w:r>
      <w:r w:rsidRPr="00F230F1">
        <w:rPr>
          <w:rFonts w:asciiTheme="majorBidi" w:eastAsiaTheme="minorHAnsi" w:hAnsiTheme="majorBidi" w:cstheme="majorBidi"/>
          <w:sz w:val="20"/>
          <w:szCs w:val="20"/>
          <w:rtl/>
        </w:rPr>
        <w:t>إنّ اللَّه عزَّ وجلَّ يَفْرَحُ بِتوبةِ عبْدِه كما يفرَحُ أحدُكم بضالتِه إذا وَجدَها</w:t>
      </w:r>
      <w:r w:rsidRPr="00F230F1">
        <w:rPr>
          <w:rFonts w:asciiTheme="majorBidi" w:eastAsiaTheme="minorHAnsi" w:hAnsiTheme="majorBidi" w:cstheme="majorBidi"/>
          <w:sz w:val="20"/>
          <w:szCs w:val="20"/>
        </w:rPr>
        <w:t>).</w:t>
      </w:r>
    </w:p>
  </w:footnote>
  <w:footnote w:id="371">
    <w:p w14:paraId="23D40A81"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Calibri" w:hAnsiTheme="majorBidi" w:cstheme="majorBidi"/>
          <w:sz w:val="20"/>
          <w:szCs w:val="20"/>
        </w:rPr>
        <w:t xml:space="preserve"> </w:t>
      </w:r>
      <w:r w:rsidRPr="00F230F1">
        <w:rPr>
          <w:rFonts w:asciiTheme="majorBidi" w:hAnsiTheme="majorBidi" w:cstheme="majorBidi"/>
          <w:i/>
          <w:sz w:val="20"/>
          <w:szCs w:val="20"/>
        </w:rPr>
        <w:t>Cf</w:t>
      </w:r>
      <w:r w:rsidRPr="00F230F1">
        <w:rPr>
          <w:rFonts w:asciiTheme="majorBidi" w:hAnsiTheme="majorBidi" w:cstheme="majorBidi"/>
          <w:sz w:val="20"/>
          <w:szCs w:val="20"/>
        </w:rPr>
        <w:t xml:space="preserve">. Muḥammad Amīn Shaykhū, </w:t>
      </w:r>
      <w:r w:rsidRPr="00F230F1">
        <w:rPr>
          <w:rFonts w:asciiTheme="majorBidi" w:hAnsiTheme="majorBidi" w:cstheme="majorBidi"/>
          <w:i/>
          <w:iCs/>
          <w:sz w:val="20"/>
          <w:szCs w:val="20"/>
        </w:rPr>
        <w:t>Taʾwīl al-Qurʾān al-ʿaẓīm. op. cit.</w:t>
      </w:r>
      <w:r w:rsidRPr="00F230F1">
        <w:rPr>
          <w:rFonts w:asciiTheme="majorBidi" w:hAnsiTheme="majorBidi" w:cstheme="majorBidi"/>
          <w:sz w:val="20"/>
          <w:szCs w:val="20"/>
        </w:rPr>
        <w:t>, tome 2, pp. 105, 130, 144, 152, 264 et 349.</w:t>
      </w:r>
    </w:p>
  </w:footnote>
  <w:footnote w:id="372">
    <w:p w14:paraId="18A3C158"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Mirzā Bashīr Ad-Dīn Maḥmūd Aḥmad, </w:t>
      </w:r>
      <w:r w:rsidRPr="00F230F1">
        <w:rPr>
          <w:rFonts w:asciiTheme="majorBidi" w:hAnsiTheme="majorBidi" w:cstheme="majorBidi"/>
          <w:i/>
          <w:iCs/>
          <w:sz w:val="20"/>
          <w:szCs w:val="20"/>
        </w:rPr>
        <w:t>At-tafsīr al-kabīr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tome 6, p. 93.</w:t>
      </w:r>
    </w:p>
  </w:footnote>
  <w:footnote w:id="373">
    <w:p w14:paraId="5D3D1593"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Mirzā Bashīr Ad-Dīn,</w:t>
      </w:r>
      <w:r w:rsidRPr="00F230F1">
        <w:rPr>
          <w:rFonts w:asciiTheme="majorBidi" w:hAnsiTheme="majorBidi" w:cstheme="majorBidi"/>
          <w:i/>
          <w:iCs/>
          <w:sz w:val="20"/>
          <w:szCs w:val="20"/>
        </w:rPr>
        <w:t xml:space="preserve"> At-tafsīr al-kabīr</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tome 6, p. 94.</w:t>
      </w:r>
    </w:p>
  </w:footnote>
  <w:footnote w:id="374">
    <w:p w14:paraId="0B71829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Les mois sacrés en Islam sont quatre : 1-</w:t>
      </w:r>
      <w:r w:rsidRPr="00F230F1">
        <w:rPr>
          <w:rFonts w:asciiTheme="majorBidi" w:hAnsiTheme="majorBidi" w:cstheme="majorBidi"/>
          <w:i/>
          <w:iCs/>
          <w:sz w:val="20"/>
          <w:szCs w:val="20"/>
        </w:rPr>
        <w:t>Mu</w:t>
      </w:r>
      <w:r w:rsidRPr="00F230F1">
        <w:rPr>
          <w:rFonts w:asciiTheme="majorBidi" w:eastAsia="Times New Roman" w:hAnsiTheme="majorBidi" w:cstheme="majorBidi"/>
          <w:i/>
          <w:iCs/>
          <w:sz w:val="20"/>
          <w:szCs w:val="20"/>
        </w:rPr>
        <w:t>ḥ</w:t>
      </w:r>
      <w:r w:rsidRPr="00F230F1">
        <w:rPr>
          <w:rFonts w:asciiTheme="majorBidi" w:hAnsiTheme="majorBidi" w:cstheme="majorBidi"/>
          <w:i/>
          <w:iCs/>
          <w:sz w:val="20"/>
          <w:szCs w:val="20"/>
        </w:rPr>
        <w:t>arram</w:t>
      </w:r>
      <w:r w:rsidRPr="00F230F1">
        <w:rPr>
          <w:rFonts w:asciiTheme="majorBidi" w:hAnsiTheme="majorBidi" w:cstheme="majorBidi"/>
          <w:sz w:val="20"/>
          <w:szCs w:val="20"/>
        </w:rPr>
        <w:t xml:space="preserve"> (1</w:t>
      </w:r>
      <w:r w:rsidRPr="00F230F1">
        <w:rPr>
          <w:rFonts w:asciiTheme="majorBidi" w:hAnsiTheme="majorBidi" w:cstheme="majorBidi"/>
          <w:sz w:val="20"/>
          <w:szCs w:val="20"/>
          <w:vertAlign w:val="superscript"/>
        </w:rPr>
        <w:t>er</w:t>
      </w:r>
      <w:r w:rsidRPr="00F230F1">
        <w:rPr>
          <w:rFonts w:asciiTheme="majorBidi" w:hAnsiTheme="majorBidi" w:cstheme="majorBidi"/>
          <w:sz w:val="20"/>
          <w:szCs w:val="20"/>
        </w:rPr>
        <w:t xml:space="preserve"> mois lunaire), 2-</w:t>
      </w:r>
      <w:r w:rsidRPr="00F230F1">
        <w:rPr>
          <w:rFonts w:asciiTheme="majorBidi" w:hAnsiTheme="majorBidi" w:cstheme="majorBidi"/>
          <w:i/>
          <w:iCs/>
          <w:sz w:val="20"/>
          <w:szCs w:val="20"/>
        </w:rPr>
        <w:t>Rajab</w:t>
      </w:r>
      <w:r w:rsidRPr="00F230F1">
        <w:rPr>
          <w:rFonts w:asciiTheme="majorBidi" w:hAnsiTheme="majorBidi" w:cstheme="majorBidi"/>
          <w:sz w:val="20"/>
          <w:szCs w:val="20"/>
        </w:rPr>
        <w:t xml:space="preserve"> (7</w:t>
      </w:r>
      <w:r w:rsidRPr="00F230F1">
        <w:rPr>
          <w:rFonts w:asciiTheme="majorBidi" w:hAnsiTheme="majorBidi" w:cstheme="majorBidi"/>
          <w:sz w:val="20"/>
          <w:szCs w:val="20"/>
          <w:vertAlign w:val="superscript"/>
        </w:rPr>
        <w:t>ème</w:t>
      </w:r>
      <w:r w:rsidRPr="00F230F1">
        <w:rPr>
          <w:rFonts w:asciiTheme="majorBidi" w:hAnsiTheme="majorBidi" w:cstheme="majorBidi"/>
          <w:sz w:val="20"/>
          <w:szCs w:val="20"/>
        </w:rPr>
        <w:t xml:space="preserve"> mois lunaire), 3-</w:t>
      </w:r>
      <w:r w:rsidRPr="00F230F1">
        <w:rPr>
          <w:rFonts w:asciiTheme="majorBidi" w:hAnsiTheme="majorBidi" w:cstheme="majorBidi"/>
          <w:i/>
          <w:iCs/>
          <w:sz w:val="20"/>
          <w:szCs w:val="20"/>
        </w:rPr>
        <w:t>Dhu-l-qi</w:t>
      </w:r>
      <w:r w:rsidRPr="00F230F1">
        <w:rPr>
          <w:rFonts w:asciiTheme="majorBidi" w:eastAsia="Times New Roman" w:hAnsiTheme="majorBidi" w:cstheme="majorBidi"/>
          <w:i/>
          <w:iCs/>
          <w:sz w:val="20"/>
          <w:szCs w:val="20"/>
        </w:rPr>
        <w:t>ʿ</w:t>
      </w:r>
      <w:r w:rsidRPr="00F230F1">
        <w:rPr>
          <w:rFonts w:asciiTheme="majorBidi" w:hAnsiTheme="majorBidi" w:cstheme="majorBidi"/>
          <w:i/>
          <w:iCs/>
          <w:sz w:val="20"/>
          <w:szCs w:val="20"/>
        </w:rPr>
        <w:t>da</w:t>
      </w:r>
      <w:r w:rsidRPr="00F230F1">
        <w:rPr>
          <w:rFonts w:asciiTheme="majorBidi" w:hAnsiTheme="majorBidi" w:cstheme="majorBidi"/>
          <w:sz w:val="20"/>
          <w:szCs w:val="20"/>
        </w:rPr>
        <w:t xml:space="preserve"> (11</w:t>
      </w:r>
      <w:r w:rsidRPr="00F230F1">
        <w:rPr>
          <w:rFonts w:asciiTheme="majorBidi" w:hAnsiTheme="majorBidi" w:cstheme="majorBidi"/>
          <w:sz w:val="20"/>
          <w:szCs w:val="20"/>
          <w:vertAlign w:val="superscript"/>
        </w:rPr>
        <w:t>ème</w:t>
      </w:r>
      <w:r w:rsidRPr="00F230F1">
        <w:rPr>
          <w:rFonts w:asciiTheme="majorBidi" w:hAnsiTheme="majorBidi" w:cstheme="majorBidi"/>
          <w:sz w:val="20"/>
          <w:szCs w:val="20"/>
        </w:rPr>
        <w:t xml:space="preserve"> mois lunaire) et </w:t>
      </w:r>
      <w:r w:rsidRPr="00F230F1">
        <w:rPr>
          <w:rFonts w:asciiTheme="majorBidi" w:hAnsiTheme="majorBidi" w:cstheme="majorBidi"/>
          <w:i/>
          <w:iCs/>
          <w:sz w:val="20"/>
          <w:szCs w:val="20"/>
        </w:rPr>
        <w:t>Dhu-l-ḥijja</w:t>
      </w:r>
      <w:r w:rsidRPr="00F230F1">
        <w:rPr>
          <w:rFonts w:asciiTheme="majorBidi" w:hAnsiTheme="majorBidi" w:cstheme="majorBidi"/>
          <w:sz w:val="20"/>
          <w:szCs w:val="20"/>
        </w:rPr>
        <w:t xml:space="preserve"> (12</w:t>
      </w:r>
      <w:r w:rsidRPr="00F230F1">
        <w:rPr>
          <w:rFonts w:asciiTheme="majorBidi" w:hAnsiTheme="majorBidi" w:cstheme="majorBidi"/>
          <w:sz w:val="20"/>
          <w:szCs w:val="20"/>
          <w:vertAlign w:val="superscript"/>
        </w:rPr>
        <w:t>ème</w:t>
      </w:r>
      <w:r w:rsidRPr="00F230F1">
        <w:rPr>
          <w:rFonts w:asciiTheme="majorBidi" w:hAnsiTheme="majorBidi" w:cstheme="majorBidi"/>
          <w:sz w:val="20"/>
          <w:szCs w:val="20"/>
        </w:rPr>
        <w:t xml:space="preserve"> mois lunaire).</w:t>
      </w:r>
    </w:p>
  </w:footnote>
  <w:footnote w:id="375">
    <w:p w14:paraId="1CACB58D" w14:textId="77777777" w:rsidR="009C3BB9" w:rsidRPr="00F230F1" w:rsidRDefault="009C3BB9" w:rsidP="00F230F1">
      <w:pPr>
        <w:contextualSpacing/>
        <w:jc w:val="both"/>
        <w:rPr>
          <w:rStyle w:val="Appelnotedebasdep"/>
          <w:rFonts w:asciiTheme="majorBidi" w:hAnsiTheme="majorBidi" w:cstheme="majorBidi"/>
          <w:color w:val="0000FF"/>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Zakir Naik, </w:t>
      </w:r>
      <w:r w:rsidRPr="00F230F1">
        <w:rPr>
          <w:rFonts w:asciiTheme="majorBidi" w:hAnsiTheme="majorBidi" w:cstheme="majorBidi"/>
          <w:i/>
          <w:iCs/>
          <w:sz w:val="20"/>
          <w:szCs w:val="20"/>
          <w:lang w:bidi="ar-AE"/>
        </w:rPr>
        <w:t>Le Coran et la science moderne sont-ils compatibles ?</w:t>
      </w:r>
      <w:r w:rsidRPr="00F230F1">
        <w:rPr>
          <w:rFonts w:asciiTheme="majorBidi" w:hAnsiTheme="majorBidi" w:cstheme="majorBidi"/>
          <w:sz w:val="20"/>
          <w:szCs w:val="20"/>
          <w:lang w:bidi="ar-AE"/>
        </w:rPr>
        <w:t>, Bureau de prédication islamique de Rabwah, Riyad, p. 10.</w:t>
      </w:r>
    </w:p>
  </w:footnote>
  <w:footnote w:id="376">
    <w:p w14:paraId="28BDA702" w14:textId="77777777" w:rsidR="009C3BB9" w:rsidRPr="00F230F1" w:rsidRDefault="009C3BB9" w:rsidP="00F230F1">
      <w:pPr>
        <w:adjustRightInd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hAnsiTheme="majorBidi" w:cstheme="majorBidi"/>
          <w:sz w:val="20"/>
          <w:szCs w:val="20"/>
        </w:rPr>
        <w:t xml:space="preserve">Al Karjousli, </w:t>
      </w:r>
      <w:r w:rsidRPr="00F230F1">
        <w:rPr>
          <w:rFonts w:asciiTheme="majorBidi" w:hAnsiTheme="majorBidi" w:cstheme="majorBidi"/>
          <w:i/>
          <w:iCs/>
          <w:kern w:val="36"/>
          <w:sz w:val="20"/>
          <w:szCs w:val="20"/>
        </w:rPr>
        <w:t>La polysémie et le Coran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p>
  </w:footnote>
  <w:footnote w:id="377">
    <w:p w14:paraId="0EBCC7D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Richard Jacquemond, « Recherches sur la production littéraire arabe moderne et sur les mouvements de traduction contemporains de et vers l’arabe », </w:t>
      </w:r>
      <w:r w:rsidRPr="00F230F1">
        <w:rPr>
          <w:rFonts w:asciiTheme="majorBidi" w:hAnsiTheme="majorBidi" w:cstheme="majorBidi"/>
          <w:i/>
          <w:iCs/>
          <w:sz w:val="20"/>
          <w:szCs w:val="20"/>
        </w:rPr>
        <w:t>op. cit.</w:t>
      </w:r>
    </w:p>
  </w:footnote>
  <w:footnote w:id="378">
    <w:p w14:paraId="7B4ACA2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p>
  </w:footnote>
  <w:footnote w:id="379">
    <w:p w14:paraId="7F3A5EEF" w14:textId="77777777" w:rsidR="009C3BB9" w:rsidRPr="00F230F1" w:rsidRDefault="009C3BB9" w:rsidP="00F230F1">
      <w:pPr>
        <w:contextualSpacing/>
        <w:jc w:val="both"/>
        <w:rPr>
          <w:rFonts w:asciiTheme="majorBidi" w:eastAsia="Calibr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eastAsia="Calibri" w:hAnsiTheme="majorBidi" w:cstheme="majorBidi"/>
          <w:sz w:val="20"/>
          <w:szCs w:val="20"/>
          <w:lang w:bidi="ar-AE"/>
        </w:rPr>
        <w:t>Joseph Na</w:t>
      </w:r>
      <w:r w:rsidRPr="00F230F1">
        <w:rPr>
          <w:rFonts w:asciiTheme="majorBidi" w:eastAsia="Times New Roman" w:hAnsiTheme="majorBidi" w:cstheme="majorBidi"/>
          <w:sz w:val="20"/>
          <w:szCs w:val="20"/>
        </w:rPr>
        <w:t>ʿ</w:t>
      </w:r>
      <w:r w:rsidRPr="00F230F1">
        <w:rPr>
          <w:rFonts w:asciiTheme="majorBidi" w:eastAsia="Calibri" w:hAnsiTheme="majorBidi" w:cstheme="majorBidi"/>
          <w:sz w:val="20"/>
          <w:szCs w:val="20"/>
          <w:lang w:bidi="ar-AE"/>
        </w:rPr>
        <w:t>ūm</w:t>
      </w:r>
      <w:r w:rsidRPr="00F230F1">
        <w:rPr>
          <w:rFonts w:asciiTheme="majorBidi" w:hAnsiTheme="majorBidi" w:cstheme="majorBidi"/>
          <w:sz w:val="20"/>
          <w:szCs w:val="20"/>
        </w:rPr>
        <w:t xml:space="preserve"> Ḥajjār</w:t>
      </w:r>
      <w:r w:rsidRPr="00F230F1">
        <w:rPr>
          <w:rFonts w:asciiTheme="majorBidi" w:hAnsiTheme="majorBidi" w:cstheme="majorBidi"/>
          <w:sz w:val="20"/>
          <w:szCs w:val="20"/>
          <w:lang w:bidi="ar-AE"/>
        </w:rPr>
        <w:t xml:space="preserve">, </w:t>
      </w:r>
      <w:r w:rsidRPr="00F230F1">
        <w:rPr>
          <w:rFonts w:asciiTheme="majorBidi" w:eastAsia="Calibri" w:hAnsiTheme="majorBidi" w:cstheme="majorBidi"/>
          <w:i/>
          <w:iCs/>
          <w:sz w:val="20"/>
          <w:szCs w:val="20"/>
          <w:lang w:bidi="ar-AE"/>
        </w:rPr>
        <w:t>Traité de traduction : grammaire, rhétorique et stylistique</w:t>
      </w:r>
      <w:r w:rsidRPr="00F230F1">
        <w:rPr>
          <w:rFonts w:asciiTheme="majorBidi" w:eastAsia="Calibri" w:hAnsiTheme="majorBidi" w:cstheme="majorBidi"/>
          <w:sz w:val="20"/>
          <w:szCs w:val="20"/>
          <w:lang w:bidi="ar-AE"/>
        </w:rPr>
        <w:t>,</w:t>
      </w:r>
      <w:r w:rsidRPr="00F230F1">
        <w:rPr>
          <w:rFonts w:asciiTheme="majorBidi" w:eastAsia="Calibri" w:hAnsiTheme="majorBidi" w:cstheme="majorBidi"/>
          <w:b/>
          <w:bCs/>
          <w:sz w:val="20"/>
          <w:szCs w:val="20"/>
          <w:lang w:bidi="ar-AE"/>
        </w:rPr>
        <w:t xml:space="preserve"> </w:t>
      </w:r>
      <w:r w:rsidRPr="00F230F1">
        <w:rPr>
          <w:rFonts w:asciiTheme="majorBidi" w:eastAsia="Calibri" w:hAnsiTheme="majorBidi" w:cstheme="majorBidi"/>
          <w:sz w:val="20"/>
          <w:szCs w:val="20"/>
          <w:lang w:bidi="ar-AE"/>
        </w:rPr>
        <w:t>Beyrouth, Dār Al-Mashriq, 1995, p. 191.</w:t>
      </w:r>
    </w:p>
  </w:footnote>
  <w:footnote w:id="380">
    <w:p w14:paraId="7D58E125" w14:textId="77777777" w:rsidR="009C3BB9" w:rsidRPr="00F230F1" w:rsidRDefault="009C3BB9" w:rsidP="00F230F1">
      <w:pPr>
        <w:contextualSpacing/>
        <w:jc w:val="both"/>
        <w:rPr>
          <w:rFonts w:asciiTheme="majorBidi" w:eastAsia="Calibri" w:hAnsiTheme="majorBidi" w:cstheme="majorBidi"/>
          <w:color w:val="FF0000"/>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color w:val="FF0000"/>
          <w:sz w:val="20"/>
          <w:szCs w:val="20"/>
        </w:rPr>
        <w:t xml:space="preserve"> </w:t>
      </w:r>
      <w:r w:rsidRPr="00F230F1">
        <w:rPr>
          <w:rFonts w:asciiTheme="majorBidi" w:hAnsiTheme="majorBidi" w:cstheme="majorBidi"/>
          <w:sz w:val="20"/>
          <w:szCs w:val="20"/>
          <w:lang w:bidi="ar-EG"/>
        </w:rPr>
        <w:t xml:space="preserve">Soufian Al Karjousli, « Regards croisés des linguistes sur la polysémie et la langue arabe », </w:t>
      </w:r>
      <w:r w:rsidRPr="00F230F1">
        <w:rPr>
          <w:rFonts w:asciiTheme="majorBidi" w:hAnsiTheme="majorBidi" w:cstheme="majorBidi"/>
          <w:i/>
          <w:iCs/>
          <w:sz w:val="20"/>
          <w:szCs w:val="20"/>
          <w:lang w:bidi="ar-EG"/>
        </w:rPr>
        <w:t>op. cit</w:t>
      </w:r>
      <w:r w:rsidRPr="00F230F1">
        <w:rPr>
          <w:rFonts w:asciiTheme="majorBidi" w:hAnsiTheme="majorBidi" w:cstheme="majorBidi"/>
          <w:sz w:val="20"/>
          <w:szCs w:val="20"/>
        </w:rPr>
        <w:t>.</w:t>
      </w:r>
      <w:r w:rsidRPr="00F230F1">
        <w:rPr>
          <w:rFonts w:asciiTheme="majorBidi" w:eastAsia="Calibri" w:hAnsiTheme="majorBidi" w:cstheme="majorBidi"/>
          <w:color w:val="FF0000"/>
          <w:sz w:val="20"/>
          <w:szCs w:val="20"/>
          <w:lang w:bidi="ar-AE"/>
        </w:rPr>
        <w:t xml:space="preserve"> </w:t>
      </w:r>
    </w:p>
  </w:footnote>
  <w:footnote w:id="381">
    <w:p w14:paraId="55C23F0D" w14:textId="77777777" w:rsidR="009C3BB9" w:rsidRPr="00F230F1" w:rsidRDefault="009C3BB9" w:rsidP="00F230F1">
      <w:pPr>
        <w:contextualSpacing/>
        <w:jc w:val="both"/>
        <w:rPr>
          <w:rFonts w:asciiTheme="majorBidi" w:eastAsia="Calibr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Calibri" w:hAnsiTheme="majorBidi" w:cstheme="majorBidi"/>
          <w:sz w:val="20"/>
          <w:szCs w:val="20"/>
        </w:rPr>
        <w:t xml:space="preserve">Ahmed Hasan Al-Gubbanchi </w:t>
      </w:r>
      <w:r w:rsidRPr="00F230F1">
        <w:rPr>
          <w:rFonts w:asciiTheme="majorBidi" w:hAnsiTheme="majorBidi" w:cstheme="majorBidi"/>
          <w:sz w:val="20"/>
          <w:szCs w:val="20"/>
        </w:rPr>
        <w:t>[Al-Qubanji],</w:t>
      </w:r>
      <w:r w:rsidRPr="00F230F1">
        <w:rPr>
          <w:rFonts w:asciiTheme="majorBidi" w:eastAsia="Calibri" w:hAnsiTheme="majorBidi" w:cstheme="majorBidi"/>
          <w:sz w:val="20"/>
          <w:szCs w:val="20"/>
        </w:rPr>
        <w:t xml:space="preserve"> « La critique de l’</w:t>
      </w:r>
      <w:r w:rsidRPr="00F230F1">
        <w:rPr>
          <w:rFonts w:asciiTheme="majorBidi" w:eastAsia="Calibri" w:hAnsiTheme="majorBidi" w:cstheme="majorBidi"/>
          <w:i/>
          <w:iCs/>
          <w:sz w:val="20"/>
          <w:szCs w:val="20"/>
        </w:rPr>
        <w:t>iʿjāz al-balāghī</w:t>
      </w:r>
      <w:r w:rsidRPr="00F230F1">
        <w:rPr>
          <w:rFonts w:asciiTheme="majorBidi" w:eastAsia="Calibri" w:hAnsiTheme="majorBidi" w:cstheme="majorBidi"/>
          <w:sz w:val="20"/>
          <w:szCs w:val="20"/>
        </w:rPr>
        <w:t xml:space="preserve"> [le miracle rhétorique] dans Coran », conférence au </w:t>
      </w:r>
      <w:r w:rsidRPr="00F230F1">
        <w:rPr>
          <w:rFonts w:asciiTheme="majorBidi" w:eastAsia="Calibri" w:hAnsiTheme="majorBidi" w:cstheme="majorBidi"/>
          <w:i/>
          <w:iCs/>
          <w:sz w:val="20"/>
          <w:szCs w:val="20"/>
        </w:rPr>
        <w:t>Bayt al-Wijdān ath-thaqāfī</w:t>
      </w:r>
      <w:r w:rsidRPr="00F230F1">
        <w:rPr>
          <w:rFonts w:asciiTheme="majorBidi" w:eastAsia="Calibri" w:hAnsiTheme="majorBidi" w:cstheme="majorBidi"/>
          <w:sz w:val="20"/>
          <w:szCs w:val="20"/>
        </w:rPr>
        <w:t>, salle Akad, Bagdad, 1</w:t>
      </w:r>
      <w:r w:rsidRPr="00F230F1">
        <w:rPr>
          <w:rFonts w:asciiTheme="majorBidi" w:eastAsia="Calibri" w:hAnsiTheme="majorBidi" w:cstheme="majorBidi"/>
          <w:sz w:val="20"/>
          <w:szCs w:val="20"/>
          <w:vertAlign w:val="superscript"/>
        </w:rPr>
        <w:t>er</w:t>
      </w:r>
      <w:r w:rsidRPr="00F230F1">
        <w:rPr>
          <w:rFonts w:asciiTheme="majorBidi" w:eastAsia="Calibri" w:hAnsiTheme="majorBidi" w:cstheme="majorBidi"/>
          <w:sz w:val="20"/>
          <w:szCs w:val="20"/>
        </w:rPr>
        <w:t xml:space="preserve"> janvier 2011</w:t>
      </w:r>
      <w:r w:rsidRPr="00F230F1">
        <w:rPr>
          <w:rFonts w:asciiTheme="majorBidi" w:hAnsiTheme="majorBidi" w:cstheme="majorBidi"/>
          <w:sz w:val="20"/>
          <w:szCs w:val="20"/>
        </w:rPr>
        <w:t xml:space="preserve"> [</w:t>
      </w:r>
      <w:hyperlink r:id="rId125" w:history="1">
        <w:r w:rsidRPr="00F230F1">
          <w:rPr>
            <w:rStyle w:val="Lienhypertexte"/>
            <w:rFonts w:asciiTheme="majorBidi" w:hAnsiTheme="majorBidi" w:cstheme="majorBidi"/>
            <w:sz w:val="20"/>
            <w:szCs w:val="20"/>
          </w:rPr>
          <w:t>https://www.youtube.com/watch?v=QYNWi4whXWM</w:t>
        </w:r>
      </w:hyperlink>
      <w:r w:rsidRPr="00F230F1">
        <w:rPr>
          <w:rFonts w:asciiTheme="majorBidi" w:hAnsiTheme="majorBidi" w:cstheme="majorBidi"/>
          <w:sz w:val="20"/>
          <w:szCs w:val="20"/>
        </w:rPr>
        <w:t>] (consulté le 25/07/2017).</w:t>
      </w:r>
    </w:p>
  </w:footnote>
  <w:footnote w:id="382">
    <w:p w14:paraId="17F9C43F"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w:t>
      </w:r>
      <w:r w:rsidRPr="00F230F1">
        <w:rPr>
          <w:rFonts w:asciiTheme="majorBidi" w:eastAsia="Times New Roman" w:hAnsiTheme="majorBidi" w:cstheme="majorBidi"/>
          <w:i/>
          <w:iCs/>
          <w:sz w:val="20"/>
          <w:szCs w:val="20"/>
        </w:rPr>
        <w:t xml:space="preserve"> op. cit.</w:t>
      </w:r>
      <w:r w:rsidRPr="00F230F1">
        <w:rPr>
          <w:rFonts w:asciiTheme="majorBidi" w:eastAsia="Times New Roman" w:hAnsiTheme="majorBidi" w:cstheme="majorBidi"/>
          <w:sz w:val="20"/>
          <w:szCs w:val="20"/>
        </w:rPr>
        <w:t>, p. 51.</w:t>
      </w:r>
    </w:p>
  </w:footnote>
  <w:footnote w:id="383">
    <w:p w14:paraId="19CC81F2"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Borrmans</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Maurice</w:t>
      </w:r>
      <w:r w:rsidRPr="00F230F1">
        <w:rPr>
          <w:rFonts w:asciiTheme="majorBidi" w:hAnsiTheme="majorBidi" w:cstheme="majorBidi"/>
          <w:sz w:val="20"/>
          <w:szCs w:val="20"/>
        </w:rPr>
        <w:t>, « </w:t>
      </w:r>
      <w:r w:rsidRPr="00F230F1">
        <w:rPr>
          <w:rFonts w:asciiTheme="majorBidi" w:eastAsia="Calibri" w:hAnsiTheme="majorBidi" w:cstheme="majorBidi"/>
          <w:sz w:val="20"/>
          <w:szCs w:val="20"/>
        </w:rPr>
        <w:t>Les traductions françaises du Cor</w:t>
      </w:r>
      <w:r w:rsidRPr="00F230F1">
        <w:rPr>
          <w:rFonts w:asciiTheme="majorBidi" w:hAnsiTheme="majorBidi" w:cstheme="majorBidi"/>
          <w:sz w:val="20"/>
          <w:szCs w:val="20"/>
        </w:rPr>
        <w:t>an : présentation et évaluation »,</w:t>
      </w:r>
      <w:r w:rsidRPr="00F230F1">
        <w:rPr>
          <w:rFonts w:asciiTheme="majorBidi" w:hAnsiTheme="majorBidi" w:cstheme="majorBidi"/>
          <w:i/>
          <w:iCs/>
          <w:sz w:val="20"/>
          <w:szCs w:val="20"/>
        </w:rPr>
        <w:t xml:space="preserve"> in</w:t>
      </w:r>
      <w:r w:rsidRPr="00F230F1">
        <w:rPr>
          <w:rFonts w:asciiTheme="majorBidi" w:hAnsiTheme="majorBidi" w:cstheme="majorBidi"/>
          <w:sz w:val="20"/>
          <w:szCs w:val="20"/>
        </w:rPr>
        <w:t xml:space="preserve"> : ARCRE (Action pour la Rencontre des Cultures et Religions en Europe), 19/10/2014, </w:t>
      </w:r>
      <w:hyperlink r:id="rId126" w:history="1">
        <w:r w:rsidRPr="00F230F1">
          <w:rPr>
            <w:rStyle w:val="Lienhypertexte"/>
            <w:rFonts w:asciiTheme="majorBidi" w:hAnsiTheme="majorBidi" w:cstheme="majorBidi"/>
            <w:sz w:val="20"/>
            <w:szCs w:val="20"/>
          </w:rPr>
          <w:t>http://www.arcre.org/2014/10/19/p-maurice-borrmans-les-traductions-francaises-du-coran-presentation-et-evaluation/</w:t>
        </w:r>
      </w:hyperlink>
      <w:r w:rsidRPr="00F230F1">
        <w:rPr>
          <w:rFonts w:asciiTheme="majorBidi" w:hAnsiTheme="majorBidi" w:cstheme="majorBidi"/>
          <w:sz w:val="20"/>
          <w:szCs w:val="20"/>
        </w:rPr>
        <w:t>.</w:t>
      </w:r>
    </w:p>
  </w:footnote>
  <w:footnote w:id="384">
    <w:p w14:paraId="55A1DD15"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Beaucoup d’ouvrages ont étudié l’histoire des traductions du Coran. Parmi ces ouvrages, pour n’en citer que quelques-uns : </w:t>
      </w:r>
      <w:r w:rsidRPr="00F230F1">
        <w:rPr>
          <w:rFonts w:asciiTheme="majorBidi" w:hAnsiTheme="majorBidi" w:cstheme="majorBidi"/>
          <w:b/>
          <w:bCs/>
          <w:sz w:val="20"/>
          <w:szCs w:val="20"/>
        </w:rPr>
        <w:t xml:space="preserve">1) </w:t>
      </w:r>
      <w:r w:rsidRPr="00F230F1">
        <w:rPr>
          <w:rFonts w:asciiTheme="majorBidi" w:hAnsiTheme="majorBidi" w:cstheme="majorBidi"/>
          <w:sz w:val="20"/>
          <w:szCs w:val="20"/>
        </w:rPr>
        <w:t xml:space="preserve">Régis Blachère, </w:t>
      </w:r>
      <w:r w:rsidRPr="00F230F1">
        <w:rPr>
          <w:rFonts w:asciiTheme="majorBidi" w:hAnsiTheme="majorBidi" w:cstheme="majorBidi"/>
          <w:i/>
          <w:iCs/>
          <w:sz w:val="20"/>
          <w:szCs w:val="20"/>
        </w:rPr>
        <w:t>Introduction au Coran</w:t>
      </w:r>
      <w:r w:rsidRPr="00F230F1">
        <w:rPr>
          <w:rFonts w:asciiTheme="majorBidi" w:hAnsiTheme="majorBidi" w:cstheme="majorBidi"/>
          <w:sz w:val="20"/>
          <w:szCs w:val="20"/>
        </w:rPr>
        <w:t xml:space="preserve">, Paris, Maisonneuve &amp; Larose, 1947 (rééd. 1959 &amp; 1991) ;  </w:t>
      </w:r>
      <w:r w:rsidRPr="00F230F1">
        <w:rPr>
          <w:rFonts w:asciiTheme="majorBidi" w:hAnsiTheme="majorBidi" w:cstheme="majorBidi"/>
          <w:b/>
          <w:bCs/>
          <w:sz w:val="20"/>
          <w:szCs w:val="20"/>
        </w:rPr>
        <w:t xml:space="preserve">2) </w:t>
      </w:r>
      <w:r w:rsidRPr="00F230F1">
        <w:rPr>
          <w:rFonts w:asciiTheme="majorBidi" w:hAnsiTheme="majorBidi" w:cstheme="majorBidi"/>
          <w:sz w:val="20"/>
          <w:szCs w:val="20"/>
        </w:rPr>
        <w:t xml:space="preserve">Muḥammad </w:t>
      </w:r>
      <w:r w:rsidRPr="00F230F1">
        <w:rPr>
          <w:rFonts w:asciiTheme="majorBidi" w:hAnsiTheme="majorBidi" w:cstheme="majorBidi"/>
          <w:caps/>
          <w:sz w:val="20"/>
          <w:szCs w:val="20"/>
        </w:rPr>
        <w:t>ṣ</w:t>
      </w:r>
      <w:r w:rsidRPr="00F230F1">
        <w:rPr>
          <w:rFonts w:asciiTheme="majorBidi" w:hAnsiTheme="majorBidi" w:cstheme="majorBidi"/>
          <w:sz w:val="20"/>
          <w:szCs w:val="20"/>
        </w:rPr>
        <w:t xml:space="preserve">āliḥ Al-Bundāq, </w:t>
      </w:r>
      <w:r w:rsidRPr="00F230F1">
        <w:rPr>
          <w:rFonts w:asciiTheme="majorBidi" w:hAnsiTheme="majorBidi" w:cstheme="majorBidi"/>
          <w:i/>
          <w:iCs/>
          <w:sz w:val="20"/>
          <w:szCs w:val="20"/>
        </w:rPr>
        <w:t>Al-mustashriqūn wa-tarjamat al-qurʾān al-karīm</w:t>
      </w:r>
      <w:r w:rsidRPr="00F230F1">
        <w:rPr>
          <w:rFonts w:asciiTheme="majorBidi" w:hAnsiTheme="majorBidi" w:cstheme="majorBidi"/>
          <w:sz w:val="20"/>
          <w:szCs w:val="20"/>
        </w:rPr>
        <w:t>, Dār al-Āfāq al-Jadīda, Beyrouth, 2</w:t>
      </w:r>
      <w:r w:rsidRPr="00F230F1">
        <w:rPr>
          <w:rFonts w:asciiTheme="majorBidi" w:hAnsiTheme="majorBidi" w:cstheme="majorBidi"/>
          <w:sz w:val="20"/>
          <w:szCs w:val="20"/>
          <w:vertAlign w:val="superscript"/>
        </w:rPr>
        <w:t>ème</w:t>
      </w:r>
      <w:r w:rsidRPr="00F230F1">
        <w:rPr>
          <w:rFonts w:asciiTheme="majorBidi" w:hAnsiTheme="majorBidi" w:cstheme="majorBidi"/>
          <w:sz w:val="20"/>
          <w:szCs w:val="20"/>
        </w:rPr>
        <w:t xml:space="preserve"> édition, 1983 ; </w:t>
      </w:r>
      <w:r w:rsidRPr="00F230F1">
        <w:rPr>
          <w:rFonts w:asciiTheme="majorBidi" w:hAnsiTheme="majorBidi" w:cstheme="majorBidi"/>
          <w:b/>
          <w:bCs/>
          <w:sz w:val="20"/>
          <w:szCs w:val="20"/>
        </w:rPr>
        <w:t xml:space="preserve">3) </w:t>
      </w:r>
      <w:r w:rsidRPr="00F230F1">
        <w:rPr>
          <w:rFonts w:asciiTheme="majorBidi" w:hAnsiTheme="majorBidi" w:cstheme="majorBidi"/>
          <w:sz w:val="20"/>
          <w:szCs w:val="20"/>
        </w:rPr>
        <w:t xml:space="preserve">Fārūq Majdalāwī, </w:t>
      </w:r>
      <w:r w:rsidRPr="00F230F1">
        <w:rPr>
          <w:rFonts w:asciiTheme="majorBidi" w:hAnsiTheme="majorBidi" w:cstheme="majorBidi"/>
          <w:i/>
          <w:iCs/>
          <w:sz w:val="20"/>
          <w:szCs w:val="20"/>
        </w:rPr>
        <w:t>Qirāʾa fī tarjamat maʿānī al-qurʾān al-karīm ʿabra at-tārīkh</w:t>
      </w:r>
      <w:r w:rsidRPr="00F230F1">
        <w:rPr>
          <w:rFonts w:asciiTheme="majorBidi" w:hAnsiTheme="majorBidi" w:cstheme="majorBidi"/>
          <w:sz w:val="20"/>
          <w:szCs w:val="20"/>
        </w:rPr>
        <w:t xml:space="preserve"> [</w:t>
      </w:r>
      <w:r w:rsidRPr="00F230F1">
        <w:rPr>
          <w:rFonts w:asciiTheme="majorBidi" w:eastAsia="SimSun" w:hAnsiTheme="majorBidi" w:cstheme="majorBidi"/>
          <w:i/>
          <w:iCs/>
          <w:sz w:val="20"/>
          <w:szCs w:val="20"/>
          <w:lang w:eastAsia="zh-CN" w:bidi="ar-EG"/>
        </w:rPr>
        <w:t>Une lecture dans la traduction des sens du noble Coran à travers l’histoire</w:t>
      </w:r>
      <w:r w:rsidRPr="00F230F1">
        <w:rPr>
          <w:rFonts w:asciiTheme="majorBidi" w:hAnsiTheme="majorBidi" w:cstheme="majorBidi"/>
          <w:sz w:val="20"/>
          <w:szCs w:val="20"/>
        </w:rPr>
        <w:t xml:space="preserve">], Éditions Rawāʾiʿ Majdalāwī, Jordan, 1999. </w:t>
      </w:r>
      <w:r w:rsidRPr="00F230F1">
        <w:rPr>
          <w:rFonts w:asciiTheme="majorBidi" w:hAnsiTheme="majorBidi" w:cstheme="majorBidi"/>
          <w:b/>
          <w:bCs/>
          <w:sz w:val="20"/>
          <w:szCs w:val="20"/>
        </w:rPr>
        <w:t xml:space="preserve">4) </w:t>
      </w:r>
      <w:r w:rsidRPr="00F230F1">
        <w:rPr>
          <w:rFonts w:asciiTheme="majorBidi" w:hAnsiTheme="majorBidi" w:cstheme="majorBidi"/>
          <w:sz w:val="20"/>
          <w:szCs w:val="20"/>
        </w:rPr>
        <w:t xml:space="preserve">Marc Gaborieau, « Traductions, impressions et usages du Coran dans le sous-continent indien (1786-1975) », </w:t>
      </w:r>
      <w:r w:rsidRPr="00F230F1">
        <w:rPr>
          <w:rFonts w:asciiTheme="majorBidi" w:hAnsiTheme="majorBidi" w:cstheme="majorBidi"/>
          <w:i/>
          <w:sz w:val="20"/>
          <w:szCs w:val="20"/>
        </w:rPr>
        <w:t>Revue de l’histoire des religions</w:t>
      </w:r>
      <w:r w:rsidRPr="00F230F1">
        <w:rPr>
          <w:rFonts w:asciiTheme="majorBidi" w:hAnsiTheme="majorBidi" w:cstheme="majorBidi"/>
          <w:sz w:val="20"/>
          <w:szCs w:val="20"/>
        </w:rPr>
        <w:t xml:space="preserve">, tome 218 n°1, 2001, pp. 97-111 ; </w:t>
      </w:r>
      <w:r w:rsidRPr="00F230F1">
        <w:rPr>
          <w:rFonts w:asciiTheme="majorBidi" w:hAnsiTheme="majorBidi" w:cstheme="majorBidi"/>
          <w:b/>
          <w:bCs/>
          <w:sz w:val="20"/>
          <w:szCs w:val="20"/>
        </w:rPr>
        <w:t xml:space="preserve">5) </w:t>
      </w:r>
      <w:r w:rsidRPr="00F230F1">
        <w:rPr>
          <w:rFonts w:asciiTheme="majorBidi" w:hAnsiTheme="majorBidi" w:cstheme="majorBidi"/>
          <w:sz w:val="20"/>
          <w:szCs w:val="20"/>
        </w:rPr>
        <w:t xml:space="preserve">François Déroche, </w:t>
      </w:r>
      <w:r w:rsidRPr="00F230F1">
        <w:rPr>
          <w:rFonts w:asciiTheme="majorBidi" w:hAnsiTheme="majorBidi" w:cstheme="majorBidi"/>
          <w:i/>
          <w:iCs/>
          <w:sz w:val="20"/>
          <w:szCs w:val="20"/>
        </w:rPr>
        <w:t>Éléments d’une histoire du Coran</w:t>
      </w:r>
      <w:r w:rsidRPr="00F230F1">
        <w:rPr>
          <w:rFonts w:asciiTheme="majorBidi" w:hAnsiTheme="majorBidi" w:cstheme="majorBidi"/>
          <w:sz w:val="20"/>
          <w:szCs w:val="20"/>
        </w:rPr>
        <w:t xml:space="preserve">, Presses Universitaires de France, Paris, 2005 ; </w:t>
      </w:r>
      <w:r w:rsidRPr="00F230F1">
        <w:rPr>
          <w:rFonts w:asciiTheme="majorBidi" w:hAnsiTheme="majorBidi" w:cstheme="majorBidi"/>
          <w:b/>
          <w:bCs/>
          <w:sz w:val="20"/>
          <w:szCs w:val="20"/>
        </w:rPr>
        <w:t xml:space="preserve">6) </w:t>
      </w:r>
      <w:r w:rsidRPr="00F230F1">
        <w:rPr>
          <w:rFonts w:asciiTheme="majorBidi" w:hAnsiTheme="majorBidi" w:cstheme="majorBidi"/>
          <w:sz w:val="20"/>
          <w:szCs w:val="20"/>
        </w:rPr>
        <w:t xml:space="preserve">Amélie Neuve-Église, « Les traductions françaises du Coran : de l’orientalisme à une lecture plus musulmane ? », </w:t>
      </w:r>
      <w:r w:rsidRPr="00F230F1">
        <w:rPr>
          <w:rFonts w:asciiTheme="majorBidi" w:hAnsiTheme="majorBidi" w:cstheme="majorBidi"/>
          <w:i/>
          <w:iCs/>
          <w:sz w:val="20"/>
          <w:szCs w:val="20"/>
        </w:rPr>
        <w:t>Revue de Téhéran</w:t>
      </w:r>
      <w:r w:rsidRPr="00F230F1">
        <w:rPr>
          <w:rFonts w:asciiTheme="majorBidi" w:hAnsiTheme="majorBidi" w:cstheme="majorBidi"/>
          <w:sz w:val="20"/>
          <w:szCs w:val="20"/>
        </w:rPr>
        <w:t xml:space="preserve">, n° 11, octobre 2006 ; </w:t>
      </w:r>
      <w:r w:rsidRPr="00F230F1">
        <w:rPr>
          <w:rFonts w:asciiTheme="majorBidi" w:hAnsiTheme="majorBidi" w:cstheme="majorBidi"/>
          <w:b/>
          <w:bCs/>
          <w:sz w:val="20"/>
          <w:szCs w:val="20"/>
        </w:rPr>
        <w:t xml:space="preserve">7) </w:t>
      </w:r>
      <w:r w:rsidRPr="00F230F1">
        <w:rPr>
          <w:rFonts w:asciiTheme="majorBidi" w:hAnsiTheme="majorBidi" w:cstheme="majorBidi"/>
          <w:sz w:val="20"/>
          <w:szCs w:val="20"/>
          <w:lang w:val="en-US"/>
        </w:rPr>
        <w:t>Ha</w:t>
      </w:r>
      <w:r w:rsidRPr="00F230F1">
        <w:rPr>
          <w:rFonts w:asciiTheme="majorBidi" w:hAnsiTheme="majorBidi" w:cstheme="majorBidi"/>
          <w:sz w:val="20"/>
          <w:szCs w:val="20"/>
        </w:rPr>
        <w:t xml:space="preserve">rtmut </w:t>
      </w:r>
      <w:r w:rsidRPr="00F230F1">
        <w:rPr>
          <w:rFonts w:asciiTheme="majorBidi" w:hAnsiTheme="majorBidi" w:cstheme="majorBidi"/>
          <w:sz w:val="20"/>
          <w:szCs w:val="20"/>
          <w:lang w:val="en-US"/>
        </w:rPr>
        <w:t>Bobzin</w:t>
      </w:r>
      <w:r w:rsidRPr="00F230F1">
        <w:rPr>
          <w:rFonts w:asciiTheme="majorBidi" w:hAnsiTheme="majorBidi" w:cstheme="majorBidi"/>
          <w:sz w:val="20"/>
          <w:szCs w:val="20"/>
        </w:rPr>
        <w:t>, « Translation of the Qur’</w:t>
      </w:r>
      <w:r w:rsidRPr="00F230F1">
        <w:rPr>
          <w:rFonts w:asciiTheme="majorBidi" w:hAnsiTheme="majorBidi" w:cstheme="majorBidi"/>
          <w:sz w:val="20"/>
          <w:szCs w:val="20"/>
          <w:lang w:val="en-US"/>
        </w:rPr>
        <w:t xml:space="preserve">ân », in </w:t>
      </w:r>
      <w:r w:rsidRPr="00F230F1">
        <w:rPr>
          <w:rFonts w:asciiTheme="majorBidi" w:hAnsiTheme="majorBidi" w:cstheme="majorBidi"/>
          <w:i/>
          <w:iCs/>
          <w:sz w:val="20"/>
          <w:szCs w:val="20"/>
        </w:rPr>
        <w:t>Encyclopaedia of the Qur’</w:t>
      </w:r>
      <w:r w:rsidRPr="00F230F1">
        <w:rPr>
          <w:rFonts w:asciiTheme="majorBidi" w:hAnsiTheme="majorBidi" w:cstheme="majorBidi"/>
          <w:i/>
          <w:iCs/>
          <w:sz w:val="20"/>
          <w:szCs w:val="20"/>
          <w:lang w:val="en-US"/>
        </w:rPr>
        <w:t>ân</w:t>
      </w:r>
      <w:r w:rsidRPr="00F230F1">
        <w:rPr>
          <w:rFonts w:asciiTheme="majorBidi" w:hAnsiTheme="majorBidi" w:cstheme="majorBidi"/>
          <w:sz w:val="20"/>
          <w:szCs w:val="20"/>
          <w:lang w:val="en-US"/>
        </w:rPr>
        <w:t>, vol. V, Jane Dammen McAuliffe (ed.), Brill, Leiden, 2006 ;</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 xml:space="preserve">8) </w:t>
      </w:r>
      <w:r w:rsidRPr="00F230F1">
        <w:rPr>
          <w:rFonts w:asciiTheme="majorBidi" w:hAnsiTheme="majorBidi" w:cstheme="majorBidi"/>
          <w:sz w:val="20"/>
          <w:szCs w:val="20"/>
          <w:lang w:val="en-US"/>
        </w:rPr>
        <w:t xml:space="preserve">Ziad Elmarsafy, </w:t>
      </w:r>
      <w:r w:rsidRPr="00F230F1">
        <w:rPr>
          <w:rFonts w:asciiTheme="majorBidi" w:hAnsiTheme="majorBidi" w:cstheme="majorBidi"/>
          <w:i/>
          <w:iCs/>
          <w:sz w:val="20"/>
          <w:szCs w:val="20"/>
          <w:lang w:val="en-US"/>
        </w:rPr>
        <w:t>The Enlightenment Qur'an. The Politics of Translation and the Construction of Islam</w:t>
      </w:r>
      <w:r w:rsidRPr="00F230F1">
        <w:rPr>
          <w:rFonts w:asciiTheme="majorBidi" w:hAnsiTheme="majorBidi" w:cstheme="majorBidi"/>
          <w:sz w:val="20"/>
          <w:szCs w:val="20"/>
          <w:lang w:val="en-US"/>
        </w:rPr>
        <w:t>, Oneworld, Oxford, 2009;</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 xml:space="preserve">9) </w:t>
      </w:r>
      <w:r w:rsidRPr="00F230F1">
        <w:rPr>
          <w:rFonts w:asciiTheme="majorBidi" w:hAnsiTheme="majorBidi" w:cstheme="majorBidi"/>
          <w:sz w:val="20"/>
          <w:szCs w:val="20"/>
        </w:rPr>
        <w:t xml:space="preserve">Sylvette Larzul, « Les premières traductions françaises du Coran, (XVIIe-XIXe siècles) », </w:t>
      </w:r>
      <w:r w:rsidRPr="00F230F1">
        <w:rPr>
          <w:rFonts w:asciiTheme="majorBidi" w:hAnsiTheme="majorBidi" w:cstheme="majorBidi"/>
          <w:i/>
          <w:iCs/>
          <w:sz w:val="20"/>
          <w:szCs w:val="20"/>
        </w:rPr>
        <w:t>Archives de sciences sociales des religions</w:t>
      </w:r>
      <w:r w:rsidRPr="00F230F1">
        <w:rPr>
          <w:rFonts w:asciiTheme="majorBidi" w:hAnsiTheme="majorBidi" w:cstheme="majorBidi"/>
          <w:sz w:val="20"/>
          <w:szCs w:val="20"/>
        </w:rPr>
        <w:t>, juillet-septembre 2009, 54</w:t>
      </w:r>
      <w:r w:rsidRPr="00F230F1">
        <w:rPr>
          <w:rFonts w:asciiTheme="majorBidi" w:hAnsiTheme="majorBidi" w:cstheme="majorBidi"/>
          <w:sz w:val="20"/>
          <w:szCs w:val="20"/>
          <w:vertAlign w:val="superscript"/>
        </w:rPr>
        <w:t>e</w:t>
      </w:r>
      <w:r w:rsidRPr="00F230F1">
        <w:rPr>
          <w:rFonts w:asciiTheme="majorBidi" w:hAnsiTheme="majorBidi" w:cstheme="majorBidi"/>
          <w:sz w:val="20"/>
          <w:szCs w:val="20"/>
        </w:rPr>
        <w:t xml:space="preserve"> année, n° 147, pp. 147-165.</w:t>
      </w:r>
    </w:p>
  </w:footnote>
  <w:footnote w:id="385">
    <w:p w14:paraId="3DAB430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Dimitri Gutas, </w:t>
      </w:r>
      <w:r w:rsidRPr="00F230F1">
        <w:rPr>
          <w:rFonts w:asciiTheme="majorBidi" w:hAnsiTheme="majorBidi" w:cstheme="majorBidi"/>
          <w:i/>
          <w:iCs/>
          <w:sz w:val="20"/>
          <w:szCs w:val="20"/>
        </w:rPr>
        <w:t>Pensée grecque, culture arabe. Le mouvement de traduction gréco-arabe à Bagdad et la société abbasside primitive</w:t>
      </w:r>
      <w:r w:rsidRPr="00F230F1">
        <w:rPr>
          <w:rFonts w:asciiTheme="majorBidi" w:hAnsiTheme="majorBidi" w:cstheme="majorBidi"/>
          <w:sz w:val="20"/>
          <w:szCs w:val="20"/>
        </w:rPr>
        <w:t>, trad. Abdessalam Cheddadi, Paris, Aubier, 2005 (éd. originale 1997).</w:t>
      </w:r>
    </w:p>
  </w:footnote>
  <w:footnote w:id="386">
    <w:p w14:paraId="6E361EB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Richard Jacquemond, « Recherches sur la production littéraire arabe moderne et sur les mouvements de traduction contemporains de et vers l’arabe », HDR, 2006,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p>
  </w:footnote>
  <w:footnote w:id="387">
    <w:p w14:paraId="2D44D91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p>
  </w:footnote>
  <w:footnote w:id="388">
    <w:p w14:paraId="4548872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p>
  </w:footnote>
  <w:footnote w:id="389">
    <w:p w14:paraId="0A7556B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29.</w:t>
      </w:r>
    </w:p>
  </w:footnote>
  <w:footnote w:id="390">
    <w:p w14:paraId="528D17E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 xml:space="preserve"> Ibid.</w:t>
      </w:r>
      <w:r w:rsidRPr="00F230F1">
        <w:rPr>
          <w:rFonts w:asciiTheme="majorBidi" w:hAnsiTheme="majorBidi" w:cstheme="majorBidi"/>
          <w:sz w:val="20"/>
          <w:szCs w:val="20"/>
        </w:rPr>
        <w:t>, p. 43.</w:t>
      </w:r>
    </w:p>
  </w:footnote>
  <w:footnote w:id="391">
    <w:p w14:paraId="09DBD0B1"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Foued Laroussi &amp; Ibrahim Albalawi, « La traduction de l’arabe et vers l’arabe à l’heure de la mondialisation », dans : la revue </w:t>
      </w:r>
      <w:r w:rsidRPr="00F230F1">
        <w:rPr>
          <w:rFonts w:asciiTheme="majorBidi" w:hAnsiTheme="majorBidi" w:cstheme="majorBidi"/>
          <w:i/>
          <w:iCs/>
          <w:sz w:val="20"/>
          <w:szCs w:val="20"/>
        </w:rPr>
        <w:t>Hermès</w:t>
      </w:r>
      <w:r w:rsidRPr="00F230F1">
        <w:rPr>
          <w:rFonts w:asciiTheme="majorBidi" w:hAnsiTheme="majorBidi" w:cstheme="majorBidi"/>
          <w:sz w:val="20"/>
          <w:szCs w:val="20"/>
        </w:rPr>
        <w:t xml:space="preserve">, n° 56, </w:t>
      </w:r>
      <w:r w:rsidRPr="00F230F1">
        <w:rPr>
          <w:rFonts w:asciiTheme="majorBidi" w:hAnsiTheme="majorBidi" w:cstheme="majorBidi"/>
          <w:i/>
          <w:iCs/>
          <w:sz w:val="20"/>
          <w:szCs w:val="20"/>
        </w:rPr>
        <w:t>Traduction et mondialisation</w:t>
      </w:r>
      <w:r w:rsidRPr="00F230F1">
        <w:rPr>
          <w:rFonts w:asciiTheme="majorBidi" w:hAnsiTheme="majorBidi" w:cstheme="majorBidi"/>
          <w:sz w:val="20"/>
          <w:szCs w:val="20"/>
        </w:rPr>
        <w:t xml:space="preserve">, vol. 2, 2010, &amp; dans : </w:t>
      </w:r>
      <w:r w:rsidRPr="00F230F1">
        <w:rPr>
          <w:rFonts w:asciiTheme="majorBidi" w:hAnsiTheme="majorBidi" w:cstheme="majorBidi"/>
          <w:i/>
          <w:iCs/>
          <w:sz w:val="20"/>
          <w:szCs w:val="20"/>
        </w:rPr>
        <w:t>Traduction et mondialisation</w:t>
      </w:r>
      <w:r w:rsidRPr="00F230F1">
        <w:rPr>
          <w:rFonts w:asciiTheme="majorBidi" w:hAnsiTheme="majorBidi" w:cstheme="majorBidi"/>
          <w:sz w:val="20"/>
          <w:szCs w:val="20"/>
        </w:rPr>
        <w:t>, Coordonné par Michaël Oustinoff, CNRS Éditions, Paris, 2011, pp. 95 - 114.</w:t>
      </w:r>
    </w:p>
  </w:footnote>
  <w:footnote w:id="392">
    <w:p w14:paraId="50E1D7D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 xml:space="preserve"> </w:t>
      </w:r>
      <w:r w:rsidRPr="00F230F1">
        <w:rPr>
          <w:rFonts w:asciiTheme="majorBidi" w:hAnsiTheme="majorBidi" w:cstheme="majorBidi"/>
          <w:sz w:val="20"/>
          <w:szCs w:val="20"/>
        </w:rPr>
        <w:t xml:space="preserve">R. Jacquemond, « Recherches sur la production littéraire arabe moderne… », </w:t>
      </w:r>
      <w:r w:rsidRPr="00F230F1">
        <w:rPr>
          <w:rFonts w:asciiTheme="majorBidi" w:hAnsiTheme="majorBidi" w:cstheme="majorBidi"/>
          <w:i/>
          <w:iCs/>
          <w:sz w:val="20"/>
          <w:szCs w:val="20"/>
        </w:rPr>
        <w:t>op. cit</w:t>
      </w:r>
      <w:r w:rsidRPr="00F230F1">
        <w:rPr>
          <w:rFonts w:asciiTheme="majorBidi" w:hAnsiTheme="majorBidi" w:cstheme="majorBidi"/>
          <w:sz w:val="20"/>
          <w:szCs w:val="20"/>
        </w:rPr>
        <w:t>., p. 45.</w:t>
      </w:r>
    </w:p>
  </w:footnote>
  <w:footnote w:id="393">
    <w:p w14:paraId="032310A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 xml:space="preserve"> Ibid.</w:t>
      </w:r>
      <w:r w:rsidRPr="00F230F1">
        <w:rPr>
          <w:rFonts w:asciiTheme="majorBidi" w:hAnsiTheme="majorBidi" w:cstheme="majorBidi"/>
          <w:sz w:val="20"/>
          <w:szCs w:val="20"/>
        </w:rPr>
        <w:t>, p. 44.</w:t>
      </w:r>
    </w:p>
  </w:footnote>
  <w:footnote w:id="394">
    <w:p w14:paraId="7342A89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Traduction du Coran par Muhammad Hamidullah, le Club Français du Livre, </w:t>
      </w:r>
      <w:r w:rsidRPr="00F230F1">
        <w:rPr>
          <w:rFonts w:asciiTheme="majorBidi" w:eastAsia="Times New Roman" w:hAnsiTheme="majorBidi" w:cstheme="majorBidi"/>
          <w:sz w:val="20"/>
          <w:szCs w:val="20"/>
        </w:rPr>
        <w:t>1977, pp. XLI – LXVIII.</w:t>
      </w:r>
    </w:p>
  </w:footnote>
  <w:footnote w:id="395">
    <w:p w14:paraId="5F498A9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 Jacquemond, « Recherches sur la production littéraire arabe moderne … », </w:t>
      </w:r>
      <w:r w:rsidRPr="00F230F1">
        <w:rPr>
          <w:rFonts w:asciiTheme="majorBidi" w:hAnsiTheme="majorBidi" w:cstheme="majorBidi"/>
          <w:i/>
          <w:iCs/>
          <w:sz w:val="20"/>
          <w:szCs w:val="20"/>
        </w:rPr>
        <w:t>op. cit</w:t>
      </w:r>
      <w:r w:rsidRPr="00F230F1">
        <w:rPr>
          <w:rFonts w:asciiTheme="majorBidi" w:hAnsiTheme="majorBidi" w:cstheme="majorBidi"/>
          <w:sz w:val="20"/>
          <w:szCs w:val="20"/>
        </w:rPr>
        <w:t>., p. 45.</w:t>
      </w:r>
    </w:p>
  </w:footnote>
  <w:footnote w:id="396">
    <w:p w14:paraId="23575B9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Il s’agit ici de l’idée de Richard Jacquemond envoyée comme note.</w:t>
      </w:r>
    </w:p>
  </w:footnote>
  <w:footnote w:id="397">
    <w:p w14:paraId="696260D0"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François Pouillon, </w:t>
      </w:r>
      <w:r w:rsidRPr="00F230F1">
        <w:rPr>
          <w:rFonts w:asciiTheme="majorBidi" w:eastAsia="Times New Roman" w:hAnsiTheme="majorBidi" w:cstheme="majorBidi"/>
          <w:i/>
          <w:iCs/>
          <w:sz w:val="20"/>
          <w:szCs w:val="20"/>
        </w:rPr>
        <w:t>Dictionnaire des orientalistes de langue française</w:t>
      </w:r>
      <w:r w:rsidRPr="00F230F1">
        <w:rPr>
          <w:rFonts w:asciiTheme="majorBidi" w:eastAsia="Times New Roman" w:hAnsiTheme="majorBidi" w:cstheme="majorBidi"/>
          <w:sz w:val="20"/>
          <w:szCs w:val="20"/>
        </w:rPr>
        <w:t>, Karthala, Paris, 2012, p. 359.</w:t>
      </w:r>
    </w:p>
  </w:footnote>
  <w:footnote w:id="398">
    <w:p w14:paraId="7E28F00A"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p>
  </w:footnote>
  <w:footnote w:id="399">
    <w:p w14:paraId="038D9FBB" w14:textId="77777777" w:rsidR="009C3BB9" w:rsidRPr="00F230F1" w:rsidRDefault="009C3BB9" w:rsidP="00F230F1">
      <w:pPr>
        <w:contextualSpacing/>
        <w:jc w:val="both"/>
        <w:rPr>
          <w:rFonts w:asciiTheme="majorBidi" w:eastAsia="Times New Roman" w:hAnsiTheme="majorBidi" w:cstheme="majorBidi"/>
          <w:color w:val="C0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François Pouillon, </w:t>
      </w:r>
      <w:r w:rsidRPr="00F230F1">
        <w:rPr>
          <w:rFonts w:asciiTheme="majorBidi" w:eastAsia="Times New Roman" w:hAnsiTheme="majorBidi" w:cstheme="majorBidi"/>
          <w:i/>
          <w:iCs/>
          <w:sz w:val="20"/>
          <w:szCs w:val="20"/>
        </w:rPr>
        <w:t>Dictionnaire des orientalistes de langue française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xml:space="preserve">, p. 360. </w:t>
      </w:r>
      <w:r w:rsidRPr="00F230F1">
        <w:rPr>
          <w:rFonts w:asciiTheme="majorBidi" w:hAnsiTheme="majorBidi" w:cstheme="majorBidi"/>
          <w:sz w:val="20"/>
          <w:szCs w:val="20"/>
        </w:rPr>
        <w:t>Michel Bouvier, Catalogue</w:t>
      </w:r>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 xml:space="preserve">68, Paris, p. 29, </w:t>
      </w:r>
      <w:hyperlink r:id="rId127" w:history="1">
        <w:r w:rsidRPr="00F230F1">
          <w:rPr>
            <w:rStyle w:val="Lienhypertexte"/>
            <w:rFonts w:asciiTheme="majorBidi" w:hAnsiTheme="majorBidi" w:cstheme="majorBidi"/>
            <w:sz w:val="20"/>
            <w:szCs w:val="20"/>
          </w:rPr>
          <w:t>http://dev.slam.ilab.org/catalog_view/623/623_56p.pdf</w:t>
        </w:r>
      </w:hyperlink>
      <w:r w:rsidRPr="00F230F1">
        <w:rPr>
          <w:rFonts w:asciiTheme="majorBidi" w:hAnsiTheme="majorBidi" w:cstheme="majorBidi"/>
          <w:sz w:val="20"/>
          <w:szCs w:val="20"/>
        </w:rPr>
        <w:t xml:space="preserve"> ; </w:t>
      </w:r>
      <w:hyperlink r:id="rId128" w:history="1">
        <w:r w:rsidRPr="00F230F1">
          <w:rPr>
            <w:rStyle w:val="Lienhypertexte"/>
            <w:rFonts w:asciiTheme="majorBidi" w:hAnsiTheme="majorBidi" w:cstheme="majorBidi"/>
            <w:sz w:val="20"/>
            <w:szCs w:val="20"/>
          </w:rPr>
          <w:t>http://doczz.fr/doc/2123790/catalogue-68</w:t>
        </w:r>
      </w:hyperlink>
      <w:r w:rsidRPr="00F230F1">
        <w:rPr>
          <w:rFonts w:asciiTheme="majorBidi" w:hAnsiTheme="majorBidi" w:cstheme="majorBidi"/>
          <w:sz w:val="20"/>
          <w:szCs w:val="20"/>
        </w:rPr>
        <w:t xml:space="preserve"> (consultés le 07/08/2017).</w:t>
      </w:r>
    </w:p>
  </w:footnote>
  <w:footnote w:id="400">
    <w:p w14:paraId="6B357237"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François Pouillon, </w:t>
      </w:r>
      <w:r w:rsidRPr="00F230F1">
        <w:rPr>
          <w:rFonts w:asciiTheme="majorBidi" w:eastAsia="Times New Roman" w:hAnsiTheme="majorBidi" w:cstheme="majorBidi"/>
          <w:i/>
          <w:iCs/>
          <w:sz w:val="20"/>
          <w:szCs w:val="20"/>
        </w:rPr>
        <w:t>Dictionnaire des orientalistes de langue française</w:t>
      </w:r>
      <w:r w:rsidRPr="00F230F1">
        <w:rPr>
          <w:rFonts w:asciiTheme="majorBidi" w:eastAsia="Times New Roman" w:hAnsiTheme="majorBidi" w:cstheme="majorBidi"/>
          <w:sz w:val="20"/>
          <w:szCs w:val="20"/>
        </w:rPr>
        <w:t>,</w:t>
      </w:r>
      <w:r w:rsidRPr="00F230F1">
        <w:rPr>
          <w:rFonts w:asciiTheme="majorBidi" w:eastAsia="Times New Roman" w:hAnsiTheme="majorBidi" w:cstheme="majorBidi"/>
          <w:i/>
          <w:iCs/>
          <w:sz w:val="20"/>
          <w:szCs w:val="20"/>
        </w:rPr>
        <w:t xml:space="preserve"> op. cit.</w:t>
      </w:r>
      <w:r w:rsidRPr="00F230F1">
        <w:rPr>
          <w:rFonts w:asciiTheme="majorBidi" w:eastAsia="Times New Roman" w:hAnsiTheme="majorBidi" w:cstheme="majorBidi"/>
          <w:sz w:val="20"/>
          <w:szCs w:val="20"/>
        </w:rPr>
        <w:t>, p. 360.</w:t>
      </w:r>
    </w:p>
  </w:footnote>
  <w:footnote w:id="401">
    <w:p w14:paraId="7C6BAB67" w14:textId="77777777" w:rsidR="009C3BB9" w:rsidRPr="00F230F1" w:rsidRDefault="009C3BB9" w:rsidP="00F230F1">
      <w:pPr>
        <w:contextualSpacing/>
        <w:jc w:val="both"/>
        <w:rPr>
          <w:rFonts w:asciiTheme="majorBidi" w:eastAsia="Calibr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Les civilisations dans le regard de l’autre</w:t>
      </w:r>
      <w:r w:rsidRPr="00F230F1">
        <w:rPr>
          <w:rFonts w:asciiTheme="majorBidi" w:hAnsiTheme="majorBidi" w:cstheme="majorBidi"/>
          <w:sz w:val="20"/>
          <w:szCs w:val="20"/>
        </w:rPr>
        <w:t xml:space="preserve">, Actes du colloque international </w:t>
      </w:r>
      <w:r w:rsidRPr="00F230F1">
        <w:rPr>
          <w:rFonts w:asciiTheme="majorBidi" w:eastAsia="Calibri" w:hAnsiTheme="majorBidi" w:cstheme="majorBidi"/>
          <w:sz w:val="20"/>
          <w:szCs w:val="20"/>
        </w:rPr>
        <w:t>organisé conjointement par l’UNESCO et l’École Pratique des Hautes Études (EPHE) dans le cadre de l’Année des Nations Unies pour le dialogue entre les civilisations,</w:t>
      </w:r>
      <w:r w:rsidRPr="00F230F1">
        <w:rPr>
          <w:rFonts w:asciiTheme="majorBidi" w:hAnsiTheme="majorBidi" w:cstheme="majorBidi"/>
          <w:sz w:val="20"/>
          <w:szCs w:val="20"/>
        </w:rPr>
        <w:t xml:space="preserve"> Paris, 13 et 14 décembre 2001, publié par l’Unesco, Paris, 2002, « Le Coran et ses traductions occidentales », François Déroche, p. 70.</w:t>
      </w:r>
    </w:p>
  </w:footnote>
  <w:footnote w:id="402">
    <w:p w14:paraId="499B7F5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Maxime Rodinson,</w:t>
      </w:r>
      <w:r w:rsidRPr="00F230F1">
        <w:rPr>
          <w:rFonts w:asciiTheme="majorBidi" w:hAnsiTheme="majorBidi" w:cstheme="majorBidi"/>
          <w:i/>
          <w:iCs/>
          <w:sz w:val="20"/>
          <w:szCs w:val="20"/>
        </w:rPr>
        <w:t xml:space="preserve"> La fascination de l’Islam. Les étapes du regard occidental sur le monde musulman. Les études arabes et islamiques en Europe</w:t>
      </w:r>
      <w:r w:rsidRPr="00F230F1">
        <w:rPr>
          <w:rFonts w:asciiTheme="majorBidi" w:hAnsiTheme="majorBidi" w:cstheme="majorBidi"/>
          <w:sz w:val="20"/>
          <w:szCs w:val="20"/>
        </w:rPr>
        <w:t xml:space="preserve">, Librairie François Maspero, Paris, 1980, p. 59 </w:t>
      </w:r>
      <w:r w:rsidRPr="00F230F1">
        <w:rPr>
          <w:rFonts w:asciiTheme="majorBidi" w:hAnsiTheme="majorBidi" w:cstheme="majorBidi"/>
          <w:i/>
          <w:iCs/>
          <w:sz w:val="20"/>
          <w:szCs w:val="20"/>
        </w:rPr>
        <w:t>sq.</w:t>
      </w:r>
    </w:p>
  </w:footnote>
  <w:footnote w:id="403">
    <w:p w14:paraId="6D70D5E3" w14:textId="77777777" w:rsidR="009C3BB9" w:rsidRPr="00F230F1" w:rsidRDefault="009C3BB9" w:rsidP="00F230F1">
      <w:pPr>
        <w:pStyle w:val="n1"/>
        <w:bidi w:val="0"/>
        <w:contextualSpacing/>
        <w:jc w:val="both"/>
        <w:rPr>
          <w:rFonts w:asciiTheme="majorBidi" w:hAnsiTheme="majorBidi" w:cstheme="majorBidi"/>
          <w:sz w:val="20"/>
          <w:szCs w:val="20"/>
          <w:lang w:val="en-US"/>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Chokri </w:t>
      </w:r>
      <w:r w:rsidRPr="00F230F1">
        <w:rPr>
          <w:rFonts w:asciiTheme="majorBidi" w:eastAsia="SimSun" w:hAnsiTheme="majorBidi" w:cstheme="majorBidi"/>
          <w:sz w:val="20"/>
          <w:szCs w:val="20"/>
          <w:lang w:eastAsia="zh-CN"/>
        </w:rPr>
        <w:t>Mimouni, « Traduction du texte religieux : créativité littéraire et persécution »,</w:t>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 xml:space="preserve">in </w:t>
      </w:r>
      <w:r w:rsidRPr="00F230F1">
        <w:rPr>
          <w:rFonts w:asciiTheme="majorBidi" w:eastAsia="SimSun" w:hAnsiTheme="majorBidi" w:cstheme="majorBidi"/>
          <w:i/>
          <w:iCs/>
          <w:sz w:val="20"/>
          <w:szCs w:val="20"/>
          <w:lang w:eastAsia="zh-CN"/>
        </w:rPr>
        <w:t>Revue Doct-us</w:t>
      </w:r>
      <w:r w:rsidRPr="00F230F1">
        <w:rPr>
          <w:rFonts w:asciiTheme="majorBidi" w:eastAsia="SimSun" w:hAnsiTheme="majorBidi" w:cstheme="majorBidi"/>
          <w:sz w:val="20"/>
          <w:szCs w:val="20"/>
          <w:lang w:eastAsia="zh-CN"/>
        </w:rPr>
        <w:t>, Vol. 3, 2011, pp. 177-185</w:t>
      </w:r>
      <w:r w:rsidRPr="00F230F1">
        <w:rPr>
          <w:rFonts w:asciiTheme="majorBidi" w:hAnsiTheme="majorBidi" w:cstheme="majorBidi"/>
          <w:sz w:val="20"/>
          <w:szCs w:val="20"/>
        </w:rPr>
        <w:t>. Voir aussi :</w:t>
      </w:r>
      <w:r w:rsidRPr="00F230F1">
        <w:rPr>
          <w:rFonts w:asciiTheme="majorBidi" w:hAnsiTheme="majorBidi" w:cstheme="majorBidi"/>
          <w:sz w:val="20"/>
          <w:szCs w:val="20"/>
          <w:lang w:val="en-US"/>
        </w:rPr>
        <w:t xml:space="preserve"> Ziad Elmarsafy, </w:t>
      </w:r>
      <w:r w:rsidRPr="00F230F1">
        <w:rPr>
          <w:rFonts w:asciiTheme="majorBidi" w:hAnsiTheme="majorBidi" w:cstheme="majorBidi"/>
          <w:i/>
          <w:iCs/>
          <w:sz w:val="20"/>
          <w:szCs w:val="20"/>
          <w:lang w:val="en-US"/>
        </w:rPr>
        <w:t>The Enlightenment Qur'an. The Politics of Translation and the Construction of Islam</w:t>
      </w:r>
      <w:r w:rsidRPr="00F230F1">
        <w:rPr>
          <w:rFonts w:asciiTheme="majorBidi" w:hAnsiTheme="majorBidi" w:cstheme="majorBidi"/>
          <w:sz w:val="20"/>
          <w:szCs w:val="20"/>
          <w:lang w:val="en-US"/>
        </w:rPr>
        <w:t xml:space="preserve">, Oneworld, Oxford, Royaume-Uni, 2009, cité par Amir Ali dans </w:t>
      </w:r>
      <w:r w:rsidRPr="00F230F1">
        <w:rPr>
          <w:rFonts w:asciiTheme="majorBidi" w:hAnsiTheme="majorBidi" w:cstheme="majorBidi"/>
          <w:i/>
          <w:iCs/>
          <w:sz w:val="20"/>
          <w:szCs w:val="20"/>
          <w:lang w:val="en-US"/>
        </w:rPr>
        <w:t>South Asian Islam and British Multiculturalism</w:t>
      </w:r>
      <w:r w:rsidRPr="00F230F1">
        <w:rPr>
          <w:rFonts w:asciiTheme="majorBidi" w:hAnsiTheme="majorBidi" w:cstheme="majorBidi"/>
          <w:sz w:val="20"/>
          <w:szCs w:val="20"/>
          <w:lang w:val="en-US"/>
        </w:rPr>
        <w:t xml:space="preserve">, Routledge, London &amp; New York, 2016, p. 111. Il </w:t>
      </w:r>
      <w:r w:rsidRPr="00F230F1">
        <w:rPr>
          <w:rFonts w:asciiTheme="majorBidi" w:hAnsiTheme="majorBidi" w:cstheme="majorBidi"/>
          <w:sz w:val="20"/>
          <w:szCs w:val="20"/>
        </w:rPr>
        <w:t>souligne</w:t>
      </w:r>
      <w:r w:rsidRPr="00F230F1">
        <w:rPr>
          <w:rFonts w:asciiTheme="majorBidi" w:hAnsiTheme="majorBidi" w:cstheme="majorBidi"/>
          <w:sz w:val="20"/>
          <w:szCs w:val="20"/>
          <w:lang w:val="en-US"/>
        </w:rPr>
        <w:t>: “More significantly Sale’s translation of the Quran is noted by Ziad Elmarsafy for its uniqueness as it represents the very principles of the Enlightenment itself.”</w:t>
      </w:r>
    </w:p>
  </w:footnote>
  <w:footnote w:id="404">
    <w:p w14:paraId="1CCA68E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Maxime Rodinson,</w:t>
      </w:r>
      <w:r w:rsidRPr="00F230F1">
        <w:rPr>
          <w:rFonts w:asciiTheme="majorBidi" w:hAnsiTheme="majorBidi" w:cstheme="majorBidi"/>
          <w:i/>
          <w:iCs/>
          <w:sz w:val="20"/>
          <w:szCs w:val="20"/>
        </w:rPr>
        <w:t xml:space="preserve"> La fascination de l’Islam. op. cit.</w:t>
      </w:r>
      <w:r w:rsidRPr="00F230F1">
        <w:rPr>
          <w:rFonts w:asciiTheme="majorBidi" w:hAnsiTheme="majorBidi" w:cstheme="majorBidi"/>
          <w:sz w:val="20"/>
          <w:szCs w:val="20"/>
        </w:rPr>
        <w:t xml:space="preserve">, p. 81 </w:t>
      </w:r>
      <w:r w:rsidRPr="00F230F1">
        <w:rPr>
          <w:rFonts w:asciiTheme="majorBidi" w:hAnsiTheme="majorBidi" w:cstheme="majorBidi"/>
          <w:i/>
          <w:iCs/>
          <w:sz w:val="20"/>
          <w:szCs w:val="20"/>
        </w:rPr>
        <w:t>sq.</w:t>
      </w:r>
    </w:p>
  </w:footnote>
  <w:footnote w:id="405">
    <w:p w14:paraId="1C26BD6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Claude-Étienne</w:t>
      </w:r>
      <w:r w:rsidRPr="00F230F1">
        <w:rPr>
          <w:rFonts w:asciiTheme="majorBidi" w:eastAsia="Times New Roman" w:hAnsiTheme="majorBidi" w:cstheme="majorBidi"/>
          <w:sz w:val="20"/>
          <w:szCs w:val="20"/>
          <w:shd w:val="clear" w:color="auto" w:fill="FFFFFF"/>
        </w:rPr>
        <w:t xml:space="preserve"> </w:t>
      </w:r>
      <w:r w:rsidRPr="00F230F1">
        <w:rPr>
          <w:rFonts w:asciiTheme="majorBidi" w:eastAsia="SimSun" w:hAnsiTheme="majorBidi" w:cstheme="majorBidi"/>
          <w:sz w:val="20"/>
          <w:szCs w:val="20"/>
          <w:lang w:eastAsia="zh-CN"/>
        </w:rPr>
        <w:t>Savary</w:t>
      </w:r>
      <w:r w:rsidRPr="00F230F1">
        <w:rPr>
          <w:rFonts w:asciiTheme="majorBidi" w:eastAsia="Times New Roman" w:hAnsiTheme="majorBidi" w:cstheme="majorBidi"/>
          <w:sz w:val="20"/>
          <w:szCs w:val="20"/>
          <w:shd w:val="clear" w:color="auto" w:fill="FFFFFF"/>
        </w:rPr>
        <w:t xml:space="preserve"> (1750-1788), </w:t>
      </w:r>
      <w:r w:rsidRPr="00F230F1">
        <w:rPr>
          <w:rFonts w:asciiTheme="majorBidi" w:eastAsia="SimSun" w:hAnsiTheme="majorBidi" w:cstheme="majorBidi"/>
          <w:i/>
          <w:iCs/>
          <w:sz w:val="20"/>
          <w:szCs w:val="20"/>
          <w:lang w:eastAsia="zh-CN"/>
        </w:rPr>
        <w:t>LE CORAN, traduit de l’arabe, accompagné de notes, précédé d’un abrégé de la vie de Mahomet, tiré des écrivains orientaux les plus estimés</w:t>
      </w:r>
      <w:r w:rsidRPr="00F230F1">
        <w:rPr>
          <w:rFonts w:asciiTheme="majorBidi" w:eastAsia="SimSun" w:hAnsiTheme="majorBidi" w:cstheme="majorBidi"/>
          <w:sz w:val="20"/>
          <w:szCs w:val="20"/>
          <w:lang w:eastAsia="zh-CN"/>
        </w:rPr>
        <w:t>, « Préface », pp. XII &amp; XIII.</w:t>
      </w:r>
    </w:p>
  </w:footnote>
  <w:footnote w:id="406">
    <w:p w14:paraId="153C282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 xml:space="preserve">Ameur </w:t>
      </w:r>
      <w:r w:rsidRPr="00F230F1">
        <w:rPr>
          <w:rFonts w:asciiTheme="majorBidi" w:hAnsiTheme="majorBidi" w:cstheme="majorBidi"/>
          <w:sz w:val="20"/>
          <w:szCs w:val="20"/>
        </w:rPr>
        <w:t>Ghédira</w:t>
      </w:r>
      <w:r w:rsidRPr="00F230F1">
        <w:rPr>
          <w:rFonts w:asciiTheme="majorBidi" w:eastAsia="SimSun" w:hAnsiTheme="majorBidi" w:cstheme="majorBidi"/>
          <w:sz w:val="20"/>
          <w:szCs w:val="20"/>
          <w:lang w:eastAsia="zh-CN"/>
        </w:rPr>
        <w:t xml:space="preserve">, </w:t>
      </w:r>
      <w:r w:rsidRPr="00F230F1">
        <w:rPr>
          <w:rFonts w:asciiTheme="majorBidi" w:eastAsia="SimSun" w:hAnsiTheme="majorBidi" w:cstheme="majorBidi"/>
          <w:i/>
          <w:iCs/>
          <w:sz w:val="20"/>
          <w:szCs w:val="20"/>
          <w:lang w:eastAsia="zh-CN"/>
        </w:rPr>
        <w:t>Le Coran. Nouvelle traduction</w:t>
      </w:r>
      <w:r w:rsidRPr="00F230F1">
        <w:rPr>
          <w:rFonts w:asciiTheme="majorBidi" w:eastAsia="SimSun" w:hAnsiTheme="majorBidi" w:cstheme="majorBidi"/>
          <w:sz w:val="20"/>
          <w:szCs w:val="20"/>
          <w:lang w:eastAsia="zh-CN"/>
        </w:rPr>
        <w:t>, Enluminures de Jean Gradassi, Lyon, Éditions du Fleuve, imprimerie Audin, « Introduction », p. 1, 1957.</w:t>
      </w:r>
    </w:p>
  </w:footnote>
  <w:footnote w:id="407">
    <w:p w14:paraId="3FDE1C7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Claude-Étienne </w:t>
      </w:r>
      <w:r w:rsidRPr="00F230F1">
        <w:rPr>
          <w:rFonts w:asciiTheme="majorBidi" w:eastAsia="Times New Roman" w:hAnsiTheme="majorBidi" w:cstheme="majorBidi"/>
          <w:sz w:val="20"/>
          <w:szCs w:val="20"/>
          <w:shd w:val="clear" w:color="auto" w:fill="FFFFFF"/>
        </w:rPr>
        <w:t>Savary,</w:t>
      </w:r>
      <w:r w:rsidRPr="00F230F1">
        <w:rPr>
          <w:rFonts w:asciiTheme="majorBidi" w:hAnsiTheme="majorBidi" w:cstheme="majorBidi"/>
          <w:i/>
          <w:iCs/>
          <w:sz w:val="20"/>
          <w:szCs w:val="20"/>
        </w:rPr>
        <w:t xml:space="preserve"> Le Coran</w:t>
      </w:r>
      <w:r w:rsidRPr="00F230F1">
        <w:rPr>
          <w:rFonts w:asciiTheme="majorBidi" w:eastAsia="Times New Roman" w:hAnsiTheme="majorBidi" w:cstheme="majorBidi"/>
          <w:sz w:val="20"/>
          <w:szCs w:val="20"/>
          <w:shd w:val="clear" w:color="auto" w:fill="FFFFFF"/>
        </w:rPr>
        <w:t>, « Préface » (de l’édition de 1957), p. IX.</w:t>
      </w:r>
    </w:p>
  </w:footnote>
  <w:footnote w:id="408">
    <w:p w14:paraId="46F5E993"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Kazimirski commente sa traduction du verset II, 19 (dans la numérotation actuelle du texte arabe du Coran le verset 21 : « </w:t>
      </w:r>
      <w:r w:rsidRPr="00F230F1">
        <w:rPr>
          <w:rFonts w:asciiTheme="majorBidi" w:hAnsiTheme="majorBidi" w:cstheme="majorBidi"/>
          <w:sz w:val="20"/>
          <w:szCs w:val="20"/>
          <w:rtl/>
        </w:rPr>
        <w:t>يا أيها الناس اعبدوا ربكم الذي خلقكم</w:t>
      </w:r>
      <w:r w:rsidRPr="00F230F1">
        <w:rPr>
          <w:rFonts w:asciiTheme="majorBidi" w:hAnsiTheme="majorBidi" w:cstheme="majorBidi"/>
          <w:sz w:val="20"/>
          <w:szCs w:val="20"/>
        </w:rPr>
        <w:t xml:space="preserve"> » [« Humains, adorez votre Seigneur, qui vous a créés »]) en ces termes : « Lorsqu’un prédicateur, dans la mosquée ou un orateur arabe, harangue le peuple, il se sert, dans son allocution, des mots : </w:t>
      </w:r>
      <w:r w:rsidRPr="00F230F1">
        <w:rPr>
          <w:rFonts w:asciiTheme="majorBidi" w:hAnsiTheme="majorBidi" w:cstheme="majorBidi"/>
          <w:i/>
          <w:iCs/>
          <w:sz w:val="20"/>
          <w:szCs w:val="20"/>
        </w:rPr>
        <w:t xml:space="preserve">Ô hommes ! </w:t>
      </w:r>
      <w:r w:rsidRPr="00F230F1">
        <w:rPr>
          <w:rFonts w:asciiTheme="majorBidi" w:hAnsiTheme="majorBidi" w:cstheme="majorBidi"/>
          <w:sz w:val="20"/>
          <w:szCs w:val="20"/>
        </w:rPr>
        <w:t xml:space="preserve">C’est-à-dire : </w:t>
      </w:r>
      <w:r w:rsidRPr="00F230F1">
        <w:rPr>
          <w:rFonts w:asciiTheme="majorBidi" w:hAnsiTheme="majorBidi" w:cstheme="majorBidi"/>
          <w:i/>
          <w:iCs/>
          <w:sz w:val="20"/>
          <w:szCs w:val="20"/>
        </w:rPr>
        <w:t xml:space="preserve">Ô vous qui m’écoutez ! </w:t>
      </w:r>
      <w:r w:rsidRPr="00F230F1">
        <w:rPr>
          <w:rFonts w:asciiTheme="majorBidi" w:hAnsiTheme="majorBidi" w:cstheme="majorBidi"/>
          <w:sz w:val="20"/>
          <w:szCs w:val="20"/>
        </w:rPr>
        <w:t xml:space="preserve">De même dans le Koran, ces mots ne s’étendent pas à tous les hommes, aux mortels, mais aux Mecquois ou aux Médinois que prêchait Mahomet. » En fait, du point de vue linguistique (dictionnaire </w:t>
      </w:r>
      <w:r w:rsidRPr="00F230F1">
        <w:rPr>
          <w:rFonts w:asciiTheme="majorBidi" w:hAnsiTheme="majorBidi" w:cstheme="majorBidi"/>
          <w:i/>
          <w:iCs/>
          <w:sz w:val="20"/>
          <w:szCs w:val="20"/>
        </w:rPr>
        <w:t>Lisān al-ʿArab</w:t>
      </w:r>
      <w:r w:rsidRPr="00F230F1">
        <w:rPr>
          <w:rFonts w:asciiTheme="majorBidi" w:hAnsiTheme="majorBidi" w:cstheme="majorBidi"/>
          <w:sz w:val="20"/>
          <w:szCs w:val="20"/>
        </w:rPr>
        <w:t xml:space="preserve">), le terme </w:t>
      </w:r>
      <w:r w:rsidRPr="00F230F1">
        <w:rPr>
          <w:rFonts w:asciiTheme="majorBidi" w:hAnsiTheme="majorBidi" w:cstheme="majorBidi"/>
          <w:i/>
          <w:iCs/>
          <w:sz w:val="20"/>
          <w:szCs w:val="20"/>
        </w:rPr>
        <w:t>an-nās</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(les hommes) peut désigner un groupe d’hommes, une tribu, un clan ou une communauté. C’est le même sens du terme utilisé dans le verset X, 2 (« </w:t>
      </w:r>
      <w:r w:rsidRPr="00F230F1">
        <w:rPr>
          <w:rFonts w:asciiTheme="majorBidi" w:hAnsiTheme="majorBidi" w:cstheme="majorBidi"/>
          <w:sz w:val="20"/>
          <w:szCs w:val="20"/>
          <w:rtl/>
          <w:lang w:bidi="ar-AE"/>
        </w:rPr>
        <w:t xml:space="preserve">أكان </w:t>
      </w:r>
      <w:r w:rsidRPr="00F230F1">
        <w:rPr>
          <w:rFonts w:asciiTheme="majorBidi" w:hAnsiTheme="majorBidi" w:cstheme="majorBidi"/>
          <w:b/>
          <w:bCs/>
          <w:sz w:val="20"/>
          <w:szCs w:val="20"/>
          <w:rtl/>
          <w:lang w:bidi="ar-AE"/>
        </w:rPr>
        <w:t>للناسِ</w:t>
      </w:r>
      <w:r w:rsidRPr="00F230F1">
        <w:rPr>
          <w:rFonts w:asciiTheme="majorBidi" w:hAnsiTheme="majorBidi" w:cstheme="majorBidi"/>
          <w:sz w:val="20"/>
          <w:szCs w:val="20"/>
          <w:rtl/>
          <w:lang w:bidi="ar-AE"/>
        </w:rPr>
        <w:t xml:space="preserve"> عجَباً أن أوحينا إلى رَجُلٍ منهم أن أنذِرِ </w:t>
      </w:r>
      <w:r w:rsidRPr="00F230F1">
        <w:rPr>
          <w:rFonts w:asciiTheme="majorBidi" w:hAnsiTheme="majorBidi" w:cstheme="majorBidi"/>
          <w:b/>
          <w:bCs/>
          <w:sz w:val="20"/>
          <w:szCs w:val="20"/>
          <w:rtl/>
          <w:lang w:bidi="ar-AE"/>
        </w:rPr>
        <w:t>الناسَ</w:t>
      </w:r>
      <w:r w:rsidRPr="00F230F1">
        <w:rPr>
          <w:rFonts w:asciiTheme="majorBidi" w:hAnsiTheme="majorBidi" w:cstheme="majorBidi"/>
          <w:b/>
          <w:i/>
          <w:sz w:val="20"/>
          <w:szCs w:val="20"/>
          <w:lang w:bidi="ar-AE"/>
        </w:rPr>
        <w:t> </w:t>
      </w:r>
      <w:r w:rsidRPr="00F230F1">
        <w:rPr>
          <w:rFonts w:asciiTheme="majorBidi" w:hAnsiTheme="majorBidi" w:cstheme="majorBidi"/>
          <w:sz w:val="20"/>
          <w:szCs w:val="20"/>
          <w:lang w:bidi="ar-AE"/>
        </w:rPr>
        <w:t xml:space="preserve">» [« Est-ce un sujet d’étonnement pour </w:t>
      </w:r>
      <w:r w:rsidRPr="00F230F1">
        <w:rPr>
          <w:rFonts w:asciiTheme="majorBidi" w:hAnsiTheme="majorBidi" w:cstheme="majorBidi"/>
          <w:b/>
          <w:bCs/>
          <w:sz w:val="20"/>
          <w:szCs w:val="20"/>
          <w:lang w:bidi="ar-AE"/>
        </w:rPr>
        <w:t>les hommes</w:t>
      </w:r>
      <w:r w:rsidRPr="00F230F1">
        <w:rPr>
          <w:rFonts w:asciiTheme="majorBidi" w:hAnsiTheme="majorBidi" w:cstheme="majorBidi"/>
          <w:sz w:val="20"/>
          <w:szCs w:val="20"/>
          <w:lang w:bidi="ar-AE"/>
        </w:rPr>
        <w:t xml:space="preserve"> que Nous révélions à un homme d’entre eux : "Donne l’alarme aux </w:t>
      </w:r>
      <w:r w:rsidRPr="00F230F1">
        <w:rPr>
          <w:rFonts w:asciiTheme="majorBidi" w:hAnsiTheme="majorBidi" w:cstheme="majorBidi"/>
          <w:b/>
          <w:bCs/>
          <w:sz w:val="20"/>
          <w:szCs w:val="20"/>
          <w:lang w:bidi="ar-AE"/>
        </w:rPr>
        <w:t>humains</w:t>
      </w:r>
      <w:r w:rsidRPr="00F230F1">
        <w:rPr>
          <w:rFonts w:asciiTheme="majorBidi" w:hAnsiTheme="majorBidi" w:cstheme="majorBidi"/>
          <w:sz w:val="20"/>
          <w:szCs w:val="20"/>
          <w:lang w:bidi="ar-AE"/>
        </w:rPr>
        <w:t xml:space="preserve">". »]). Linguistiquement parlant, rien n’empêche donc que le </w:t>
      </w:r>
      <w:r w:rsidRPr="00F230F1">
        <w:rPr>
          <w:rFonts w:asciiTheme="majorBidi" w:hAnsiTheme="majorBidi" w:cstheme="majorBidi"/>
          <w:sz w:val="20"/>
          <w:szCs w:val="20"/>
        </w:rPr>
        <w:t xml:space="preserve">terme </w:t>
      </w:r>
      <w:r w:rsidRPr="00F230F1">
        <w:rPr>
          <w:rFonts w:asciiTheme="majorBidi" w:hAnsiTheme="majorBidi" w:cstheme="majorBidi"/>
          <w:i/>
          <w:iCs/>
          <w:sz w:val="20"/>
          <w:szCs w:val="20"/>
        </w:rPr>
        <w:t>an-nās</w:t>
      </w:r>
      <w:r w:rsidRPr="00F230F1">
        <w:rPr>
          <w:rFonts w:asciiTheme="majorBidi" w:hAnsiTheme="majorBidi" w:cstheme="majorBidi"/>
          <w:sz w:val="20"/>
          <w:szCs w:val="20"/>
          <w:lang w:bidi="ar-AE"/>
        </w:rPr>
        <w:t xml:space="preserve"> signifie </w:t>
      </w:r>
      <w:r w:rsidRPr="00F230F1">
        <w:rPr>
          <w:rFonts w:asciiTheme="majorBidi" w:hAnsiTheme="majorBidi" w:cstheme="majorBidi"/>
          <w:i/>
          <w:iCs/>
          <w:sz w:val="20"/>
          <w:szCs w:val="20"/>
          <w:lang w:bidi="ar-AE"/>
        </w:rPr>
        <w:t>les Mecquois</w:t>
      </w:r>
      <w:r w:rsidRPr="00F230F1">
        <w:rPr>
          <w:rFonts w:asciiTheme="majorBidi" w:hAnsiTheme="majorBidi" w:cstheme="majorBidi"/>
          <w:sz w:val="20"/>
          <w:szCs w:val="20"/>
          <w:lang w:bidi="ar-AE"/>
        </w:rPr>
        <w:t xml:space="preserve"> ou </w:t>
      </w:r>
      <w:r w:rsidRPr="00F230F1">
        <w:rPr>
          <w:rFonts w:asciiTheme="majorBidi" w:hAnsiTheme="majorBidi" w:cstheme="majorBidi"/>
          <w:i/>
          <w:iCs/>
          <w:sz w:val="20"/>
          <w:szCs w:val="20"/>
          <w:lang w:bidi="ar-AE"/>
        </w:rPr>
        <w:t>les Médinois</w:t>
      </w:r>
      <w:r w:rsidRPr="00F230F1">
        <w:rPr>
          <w:rFonts w:asciiTheme="majorBidi" w:hAnsiTheme="majorBidi" w:cstheme="majorBidi"/>
          <w:sz w:val="20"/>
          <w:szCs w:val="20"/>
          <w:lang w:bidi="ar-AE"/>
        </w:rPr>
        <w:t xml:space="preserve">. Historiquement parlant, le message de Mahomet est adressé </w:t>
      </w:r>
      <w:r w:rsidRPr="00F230F1">
        <w:rPr>
          <w:rFonts w:asciiTheme="majorBidi" w:hAnsiTheme="majorBidi" w:cstheme="majorBidi"/>
          <w:i/>
          <w:iCs/>
          <w:sz w:val="20"/>
          <w:szCs w:val="20"/>
          <w:lang w:bidi="ar-AE"/>
        </w:rPr>
        <w:t>seulement</w:t>
      </w:r>
      <w:r w:rsidRPr="00F230F1">
        <w:rPr>
          <w:rFonts w:asciiTheme="majorBidi" w:hAnsiTheme="majorBidi" w:cstheme="majorBidi"/>
          <w:sz w:val="20"/>
          <w:szCs w:val="20"/>
          <w:lang w:bidi="ar-AE"/>
        </w:rPr>
        <w:t xml:space="preserve"> à son peuple (</w:t>
      </w:r>
      <w:r w:rsidRPr="00F230F1">
        <w:rPr>
          <w:rFonts w:asciiTheme="majorBidi" w:hAnsiTheme="majorBidi" w:cstheme="majorBidi"/>
          <w:i/>
          <w:iCs/>
          <w:sz w:val="20"/>
          <w:szCs w:val="20"/>
          <w:lang w:bidi="ar-AE"/>
        </w:rPr>
        <w:t>al-ʾummiyyīn </w:t>
      </w:r>
      <w:r w:rsidRPr="00F230F1">
        <w:rPr>
          <w:rFonts w:asciiTheme="majorBidi" w:hAnsiTheme="majorBidi" w:cstheme="majorBidi"/>
          <w:sz w:val="20"/>
          <w:szCs w:val="20"/>
          <w:lang w:bidi="ar-AE"/>
        </w:rPr>
        <w:t xml:space="preserve">: les </w:t>
      </w:r>
      <w:r w:rsidRPr="00F230F1">
        <w:rPr>
          <w:rFonts w:asciiTheme="majorBidi" w:hAnsiTheme="majorBidi" w:cstheme="majorBidi"/>
          <w:i/>
          <w:iCs/>
          <w:sz w:val="20"/>
          <w:szCs w:val="20"/>
          <w:lang w:bidi="ar-AE"/>
        </w:rPr>
        <w:t>gentils</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goyim</w:t>
      </w:r>
      <w:r w:rsidRPr="00F230F1">
        <w:rPr>
          <w:rFonts w:asciiTheme="majorBidi" w:hAnsiTheme="majorBidi" w:cstheme="majorBidi"/>
          <w:sz w:val="20"/>
          <w:szCs w:val="20"/>
          <w:lang w:bidi="ar-AE"/>
        </w:rPr>
        <w:t xml:space="preserve">) c’est-à-dire les « nations » qui n’avaient pas de livre sacré [les païens]) du fait que le Coran fut écrit, ou plutôt traduit en langue arabe pour que </w:t>
      </w:r>
      <w:r w:rsidRPr="00F230F1">
        <w:rPr>
          <w:rFonts w:asciiTheme="majorBidi" w:hAnsiTheme="majorBidi" w:cstheme="majorBidi"/>
          <w:i/>
          <w:iCs/>
          <w:sz w:val="20"/>
          <w:szCs w:val="20"/>
          <w:lang w:bidi="ar-AE"/>
        </w:rPr>
        <w:t>seuls</w:t>
      </w:r>
      <w:r w:rsidRPr="00F230F1">
        <w:rPr>
          <w:rFonts w:asciiTheme="majorBidi" w:hAnsiTheme="majorBidi" w:cstheme="majorBidi"/>
          <w:sz w:val="20"/>
          <w:szCs w:val="20"/>
          <w:lang w:bidi="ar-AE"/>
        </w:rPr>
        <w:t xml:space="preserve"> les Arabes puissent le comprendre, ce qu’affirment plusieurs versets, dont le verset LXII, 2 (« </w:t>
      </w:r>
      <w:r w:rsidRPr="00F230F1">
        <w:rPr>
          <w:rFonts w:asciiTheme="majorBidi" w:hAnsiTheme="majorBidi" w:cstheme="majorBidi"/>
          <w:sz w:val="20"/>
          <w:szCs w:val="20"/>
          <w:rtl/>
          <w:lang w:bidi="ar-AE"/>
        </w:rPr>
        <w:t>هو الذي بعثَ في الأميين رسولاً منهم</w:t>
      </w:r>
      <w:r w:rsidRPr="00F230F1">
        <w:rPr>
          <w:rFonts w:asciiTheme="majorBidi" w:hAnsiTheme="majorBidi" w:cstheme="majorBidi"/>
          <w:sz w:val="20"/>
          <w:szCs w:val="20"/>
          <w:lang w:bidi="ar-AE"/>
        </w:rPr>
        <w:t> » [« Lui qui a envoyé au sein des incultes [</w:t>
      </w:r>
      <w:r w:rsidRPr="00F230F1">
        <w:rPr>
          <w:rFonts w:asciiTheme="majorBidi" w:hAnsiTheme="majorBidi" w:cstheme="majorBidi"/>
          <w:i/>
          <w:iCs/>
          <w:sz w:val="20"/>
          <w:szCs w:val="20"/>
          <w:lang w:bidi="ar-AE"/>
        </w:rPr>
        <w:t>Gentils</w:t>
      </w:r>
      <w:r w:rsidRPr="00F230F1">
        <w:rPr>
          <w:rFonts w:asciiTheme="majorBidi" w:hAnsiTheme="majorBidi" w:cstheme="majorBidi"/>
          <w:sz w:val="20"/>
          <w:szCs w:val="20"/>
          <w:lang w:bidi="ar-AE"/>
        </w:rPr>
        <w:t>] un Envoyé des leurs »]).</w:t>
      </w:r>
    </w:p>
  </w:footnote>
  <w:footnote w:id="409">
    <w:p w14:paraId="630E940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 Arabe – Français. Traduction de la langue arabe : Kasimirski</w:t>
      </w:r>
      <w:r w:rsidRPr="00F230F1">
        <w:rPr>
          <w:rFonts w:asciiTheme="majorBidi" w:hAnsiTheme="majorBidi" w:cstheme="majorBidi"/>
          <w:sz w:val="20"/>
          <w:szCs w:val="20"/>
        </w:rPr>
        <w:t xml:space="preserve">. Éditions de </w:t>
      </w:r>
      <w:r w:rsidRPr="00F230F1">
        <w:rPr>
          <w:rStyle w:val="Accentuation"/>
          <w:rFonts w:asciiTheme="majorBidi" w:hAnsiTheme="majorBidi" w:cstheme="majorBidi"/>
          <w:sz w:val="20"/>
          <w:szCs w:val="20"/>
        </w:rPr>
        <w:t>Şaban Kurt,</w:t>
      </w:r>
      <w:r w:rsidRPr="00F230F1">
        <w:rPr>
          <w:rFonts w:asciiTheme="majorBidi" w:hAnsiTheme="majorBidi" w:cstheme="majorBidi"/>
          <w:sz w:val="20"/>
          <w:szCs w:val="20"/>
        </w:rPr>
        <w:t xml:space="preserve"> Istanbul. Première édition : Istanbul 2005 (</w:t>
      </w:r>
      <w:r w:rsidRPr="00F230F1">
        <w:rPr>
          <w:rFonts w:asciiTheme="majorBidi" w:hAnsiTheme="majorBidi" w:cstheme="majorBidi"/>
          <w:i/>
          <w:iCs/>
          <w:sz w:val="20"/>
          <w:szCs w:val="20"/>
        </w:rPr>
        <w:t>fondée sur les Éditions de 1869 et 1913</w:t>
      </w:r>
      <w:r w:rsidRPr="00F230F1">
        <w:rPr>
          <w:rFonts w:asciiTheme="majorBidi" w:hAnsiTheme="majorBidi" w:cstheme="majorBidi"/>
          <w:sz w:val="20"/>
          <w:szCs w:val="20"/>
        </w:rPr>
        <w:t>). Deuxième édition : Istanbul 2008. « Avant-propos », p. IX.</w:t>
      </w:r>
    </w:p>
  </w:footnote>
  <w:footnote w:id="410">
    <w:p w14:paraId="4151B26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site </w:t>
      </w:r>
      <w:r w:rsidRPr="00F230F1">
        <w:rPr>
          <w:rFonts w:asciiTheme="majorBidi" w:hAnsiTheme="majorBidi" w:cstheme="majorBidi"/>
          <w:i/>
          <w:iCs/>
          <w:sz w:val="20"/>
          <w:szCs w:val="20"/>
        </w:rPr>
        <w:t>Orient. Le Monde des Religions</w:t>
      </w:r>
      <w:r w:rsidRPr="00F230F1">
        <w:rPr>
          <w:rFonts w:asciiTheme="majorBidi" w:hAnsiTheme="majorBidi" w:cstheme="majorBidi"/>
          <w:sz w:val="20"/>
          <w:szCs w:val="20"/>
        </w:rPr>
        <w:t xml:space="preserve"> (site universitaire de référence d’histoire des religions, par Ralph Stehly, professeur d’histoire des religions à l’Université de Strasbourg) souligne : « Actuellement, on trouve sur le marché de très nombreuses traductions du Coran, notamment celles de […] Montet (à éviter), de </w:t>
      </w:r>
      <w:r w:rsidRPr="00F230F1">
        <w:rPr>
          <w:rFonts w:asciiTheme="majorBidi" w:hAnsiTheme="majorBidi" w:cstheme="majorBidi"/>
          <w:bCs/>
          <w:sz w:val="20"/>
          <w:szCs w:val="20"/>
        </w:rPr>
        <w:t>Kazimirski (dépassée)</w:t>
      </w:r>
      <w:r w:rsidRPr="00F230F1">
        <w:rPr>
          <w:rFonts w:asciiTheme="majorBidi" w:hAnsiTheme="majorBidi" w:cstheme="majorBidi"/>
          <w:sz w:val="20"/>
          <w:szCs w:val="20"/>
        </w:rPr>
        <w:t xml:space="preserve">, de </w:t>
      </w:r>
      <w:r w:rsidRPr="00F230F1">
        <w:rPr>
          <w:rFonts w:asciiTheme="majorBidi" w:hAnsiTheme="majorBidi" w:cstheme="majorBidi"/>
          <w:bCs/>
          <w:sz w:val="20"/>
          <w:szCs w:val="20"/>
        </w:rPr>
        <w:t xml:space="preserve">R. Blachère </w:t>
      </w:r>
      <w:r w:rsidRPr="00F230F1">
        <w:rPr>
          <w:rFonts w:asciiTheme="majorBidi" w:hAnsiTheme="majorBidi" w:cstheme="majorBidi"/>
          <w:sz w:val="20"/>
          <w:szCs w:val="20"/>
        </w:rPr>
        <w:t>(</w:t>
      </w:r>
      <w:r w:rsidRPr="00F230F1">
        <w:rPr>
          <w:rFonts w:asciiTheme="majorBidi" w:hAnsiTheme="majorBidi" w:cstheme="majorBidi"/>
          <w:bCs/>
          <w:sz w:val="20"/>
          <w:szCs w:val="20"/>
        </w:rPr>
        <w:t>excellente</w:t>
      </w:r>
      <w:r w:rsidRPr="00F230F1">
        <w:rPr>
          <w:rFonts w:asciiTheme="majorBidi" w:hAnsiTheme="majorBidi" w:cstheme="majorBidi"/>
          <w:sz w:val="20"/>
          <w:szCs w:val="20"/>
        </w:rPr>
        <w:t>, préférer l’édition reclassant les sourates par ordre chronologique, hélas seulement</w:t>
      </w:r>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 xml:space="preserve">disponible en bibliothèques), </w:t>
      </w:r>
      <w:r w:rsidRPr="00F230F1">
        <w:rPr>
          <w:rFonts w:asciiTheme="majorBidi" w:hAnsiTheme="majorBidi" w:cstheme="majorBidi"/>
          <w:bCs/>
          <w:sz w:val="20"/>
          <w:szCs w:val="20"/>
        </w:rPr>
        <w:t>Denise Masson (excellente)</w:t>
      </w:r>
      <w:r w:rsidRPr="00F230F1">
        <w:rPr>
          <w:rFonts w:asciiTheme="majorBidi" w:hAnsiTheme="majorBidi" w:cstheme="majorBidi"/>
          <w:sz w:val="20"/>
          <w:szCs w:val="20"/>
        </w:rPr>
        <w:t xml:space="preserve">, de </w:t>
      </w:r>
      <w:r w:rsidRPr="00F230F1">
        <w:rPr>
          <w:rFonts w:asciiTheme="majorBidi" w:hAnsiTheme="majorBidi" w:cstheme="majorBidi"/>
          <w:bCs/>
          <w:sz w:val="20"/>
          <w:szCs w:val="20"/>
        </w:rPr>
        <w:t>Jacques Berque (excellente)</w:t>
      </w:r>
      <w:r w:rsidRPr="00F230F1">
        <w:rPr>
          <w:rFonts w:asciiTheme="majorBidi" w:hAnsiTheme="majorBidi" w:cstheme="majorBidi"/>
          <w:sz w:val="20"/>
          <w:szCs w:val="20"/>
        </w:rPr>
        <w:t> ». [</w:t>
      </w:r>
      <w:hyperlink r:id="rId129" w:history="1">
        <w:r w:rsidRPr="00F230F1">
          <w:rPr>
            <w:rStyle w:val="Lienhypertexte"/>
            <w:rFonts w:asciiTheme="majorBidi" w:hAnsiTheme="majorBidi" w:cstheme="majorBidi"/>
            <w:sz w:val="20"/>
            <w:szCs w:val="20"/>
          </w:rPr>
          <w:t>http://stehly.chez-alice.fr/traduction.htm</w:t>
        </w:r>
      </w:hyperlink>
      <w:r w:rsidRPr="00F230F1">
        <w:rPr>
          <w:rFonts w:asciiTheme="majorBidi" w:hAnsiTheme="majorBidi" w:cstheme="majorBidi"/>
          <w:sz w:val="20"/>
          <w:szCs w:val="20"/>
        </w:rPr>
        <w:t>] [</w:t>
      </w:r>
      <w:hyperlink r:id="rId130" w:history="1">
        <w:r w:rsidRPr="00F230F1">
          <w:rPr>
            <w:rStyle w:val="Lienhypertexte"/>
            <w:rFonts w:asciiTheme="majorBidi" w:hAnsiTheme="majorBidi" w:cstheme="majorBidi"/>
            <w:sz w:val="20"/>
            <w:szCs w:val="20"/>
          </w:rPr>
          <w:t>https://www.stehly-islamologie.fr/les-livres-saints-le-coran-et-la-sunna/le-coran/la-traduction-du-coran/</w:t>
        </w:r>
      </w:hyperlink>
      <w:r w:rsidRPr="00F230F1">
        <w:rPr>
          <w:rFonts w:asciiTheme="majorBidi" w:hAnsiTheme="majorBidi" w:cstheme="majorBidi"/>
          <w:sz w:val="20"/>
          <w:szCs w:val="20"/>
        </w:rPr>
        <w:t xml:space="preserve">] (consulté le 22/08/2017). Le site </w:t>
      </w:r>
      <w:r w:rsidRPr="00F230F1">
        <w:rPr>
          <w:rFonts w:asciiTheme="majorBidi" w:hAnsiTheme="majorBidi" w:cstheme="majorBidi"/>
          <w:i/>
          <w:iCs/>
          <w:sz w:val="20"/>
          <w:szCs w:val="20"/>
        </w:rPr>
        <w:t xml:space="preserve">ForumFr </w:t>
      </w:r>
      <w:r w:rsidRPr="00F230F1">
        <w:rPr>
          <w:rFonts w:asciiTheme="majorBidi" w:hAnsiTheme="majorBidi" w:cstheme="majorBidi"/>
          <w:sz w:val="20"/>
          <w:szCs w:val="20"/>
        </w:rPr>
        <w:t>souligne : « </w:t>
      </w:r>
      <w:r w:rsidRPr="00F230F1">
        <w:rPr>
          <w:rFonts w:asciiTheme="majorBidi" w:hAnsiTheme="majorBidi" w:cstheme="majorBidi"/>
          <w:bCs/>
          <w:sz w:val="20"/>
          <w:szCs w:val="20"/>
        </w:rPr>
        <w:t>Contrairement aux traductions de Muhammad Hamidullah et de Jean Grosjean, la copie de Kasimirski n’a pas été révisée</w:t>
      </w:r>
      <w:r w:rsidRPr="00F230F1">
        <w:rPr>
          <w:rFonts w:asciiTheme="majorBidi" w:hAnsiTheme="majorBidi" w:cstheme="majorBidi"/>
          <w:sz w:val="20"/>
          <w:szCs w:val="20"/>
        </w:rPr>
        <w:t xml:space="preserve"> par un institut de recherche islamique ou un théologien expert. Ainsi, </w:t>
      </w:r>
      <w:r w:rsidRPr="00F230F1">
        <w:rPr>
          <w:rFonts w:asciiTheme="majorBidi" w:hAnsiTheme="majorBidi" w:cstheme="majorBidi"/>
          <w:bCs/>
          <w:sz w:val="20"/>
          <w:szCs w:val="20"/>
        </w:rPr>
        <w:t>la traduction est teintée de l’interprétation personnelle de M. Kasimirski</w:t>
      </w:r>
      <w:r w:rsidRPr="00F230F1">
        <w:rPr>
          <w:rFonts w:asciiTheme="majorBidi" w:hAnsiTheme="majorBidi" w:cstheme="majorBidi"/>
          <w:sz w:val="20"/>
          <w:szCs w:val="20"/>
        </w:rPr>
        <w:t xml:space="preserve">. Plusieurs orientalistes ont tenté de traduire le Coran dans le passé, mais ceux-ci ne connaissent pas nécessairement les subtilités de la langue arabe. Il est mieux de se fier à des traductions révisées. » Puis ce forum </w:t>
      </w:r>
      <w:r w:rsidRPr="00F230F1">
        <w:rPr>
          <w:rFonts w:asciiTheme="majorBidi" w:hAnsiTheme="majorBidi" w:cstheme="majorBidi"/>
          <w:bCs/>
          <w:sz w:val="20"/>
          <w:szCs w:val="20"/>
        </w:rPr>
        <w:t>recommande les traductions de Muhammad Hamidullah</w:t>
      </w:r>
      <w:r w:rsidRPr="00F230F1">
        <w:rPr>
          <w:rFonts w:asciiTheme="majorBidi" w:hAnsiTheme="majorBidi" w:cstheme="majorBidi"/>
          <w:sz w:val="20"/>
          <w:szCs w:val="20"/>
        </w:rPr>
        <w:t xml:space="preserve">, de </w:t>
      </w:r>
      <w:r w:rsidRPr="00F230F1">
        <w:rPr>
          <w:rFonts w:asciiTheme="majorBidi" w:hAnsiTheme="majorBidi" w:cstheme="majorBidi"/>
          <w:bCs/>
          <w:sz w:val="20"/>
          <w:szCs w:val="20"/>
        </w:rPr>
        <w:t>Jean Grosjean</w:t>
      </w:r>
      <w:r w:rsidRPr="00F230F1">
        <w:rPr>
          <w:rFonts w:asciiTheme="majorBidi" w:hAnsiTheme="majorBidi" w:cstheme="majorBidi"/>
          <w:sz w:val="20"/>
          <w:szCs w:val="20"/>
        </w:rPr>
        <w:t xml:space="preserve">, de </w:t>
      </w:r>
      <w:r w:rsidRPr="00F230F1">
        <w:rPr>
          <w:rFonts w:asciiTheme="majorBidi" w:hAnsiTheme="majorBidi" w:cstheme="majorBidi"/>
          <w:bCs/>
          <w:sz w:val="20"/>
          <w:szCs w:val="20"/>
        </w:rPr>
        <w:t>Denise Masson</w:t>
      </w:r>
      <w:r w:rsidRPr="00F230F1">
        <w:rPr>
          <w:rFonts w:asciiTheme="majorBidi" w:hAnsiTheme="majorBidi" w:cstheme="majorBidi"/>
          <w:sz w:val="20"/>
          <w:szCs w:val="20"/>
        </w:rPr>
        <w:t xml:space="preserve">, de </w:t>
      </w:r>
      <w:r w:rsidRPr="00F230F1">
        <w:rPr>
          <w:rFonts w:asciiTheme="majorBidi" w:hAnsiTheme="majorBidi" w:cstheme="majorBidi"/>
          <w:bCs/>
          <w:sz w:val="20"/>
          <w:szCs w:val="20"/>
        </w:rPr>
        <w:t>Jacques Berque</w:t>
      </w:r>
      <w:r w:rsidRPr="00F230F1">
        <w:rPr>
          <w:rFonts w:asciiTheme="majorBidi" w:hAnsiTheme="majorBidi" w:cstheme="majorBidi"/>
          <w:sz w:val="20"/>
          <w:szCs w:val="20"/>
        </w:rPr>
        <w:t xml:space="preserve">. </w:t>
      </w:r>
      <w:r w:rsidRPr="00F230F1">
        <w:rPr>
          <w:rFonts w:asciiTheme="majorBidi" w:hAnsiTheme="majorBidi" w:cstheme="majorBidi"/>
          <w:bCs/>
          <w:sz w:val="20"/>
          <w:szCs w:val="20"/>
        </w:rPr>
        <w:t>Il conseille d’éviter celle de Kasimirski, d’Édouard Monte</w:t>
      </w:r>
      <w:r w:rsidRPr="00F230F1">
        <w:rPr>
          <w:rFonts w:asciiTheme="majorBidi" w:hAnsiTheme="majorBidi" w:cstheme="majorBidi"/>
          <w:sz w:val="20"/>
          <w:szCs w:val="20"/>
        </w:rPr>
        <w:t>t. [</w:t>
      </w:r>
      <w:hyperlink r:id="rId131" w:history="1">
        <w:r w:rsidRPr="00F230F1">
          <w:rPr>
            <w:rStyle w:val="Lienhypertexte"/>
            <w:rFonts w:asciiTheme="majorBidi" w:hAnsiTheme="majorBidi" w:cstheme="majorBidi"/>
            <w:sz w:val="20"/>
            <w:szCs w:val="20"/>
          </w:rPr>
          <w:t>https://www.forumfr.com/sujet388986-traduction-du-coran-par-kasimirski.html</w:t>
        </w:r>
      </w:hyperlink>
      <w:r w:rsidRPr="00F230F1">
        <w:rPr>
          <w:rFonts w:asciiTheme="majorBidi" w:hAnsiTheme="majorBidi" w:cstheme="majorBidi"/>
          <w:sz w:val="20"/>
          <w:szCs w:val="20"/>
        </w:rPr>
        <w:t xml:space="preserve">] (consulté le 22/08/2017). Les forums dans le site </w:t>
      </w:r>
      <w:r w:rsidRPr="00F230F1">
        <w:rPr>
          <w:rFonts w:asciiTheme="majorBidi" w:hAnsiTheme="majorBidi" w:cstheme="majorBidi"/>
          <w:i/>
          <w:iCs/>
          <w:sz w:val="20"/>
          <w:szCs w:val="20"/>
        </w:rPr>
        <w:t>Bladi.net</w:t>
      </w:r>
      <w:r w:rsidRPr="00F230F1">
        <w:rPr>
          <w:rFonts w:asciiTheme="majorBidi" w:hAnsiTheme="majorBidi" w:cstheme="majorBidi"/>
          <w:sz w:val="20"/>
          <w:szCs w:val="20"/>
        </w:rPr>
        <w:t xml:space="preserve"> conseille également d’</w:t>
      </w:r>
      <w:r w:rsidRPr="00F230F1">
        <w:rPr>
          <w:rFonts w:asciiTheme="majorBidi" w:hAnsiTheme="majorBidi" w:cstheme="majorBidi"/>
          <w:bCs/>
          <w:sz w:val="20"/>
          <w:szCs w:val="20"/>
        </w:rPr>
        <w:t>éviter la traduction de Kazimirski et celle de Chouraqui qui « déforment les sens du Coran »</w:t>
      </w:r>
      <w:r w:rsidRPr="00F230F1">
        <w:rPr>
          <w:rFonts w:asciiTheme="majorBidi" w:hAnsiTheme="majorBidi" w:cstheme="majorBidi"/>
          <w:sz w:val="20"/>
          <w:szCs w:val="20"/>
        </w:rPr>
        <w:t xml:space="preserve"> et </w:t>
      </w:r>
      <w:r w:rsidRPr="00F230F1">
        <w:rPr>
          <w:rFonts w:asciiTheme="majorBidi" w:hAnsiTheme="majorBidi" w:cstheme="majorBidi"/>
          <w:bCs/>
          <w:sz w:val="20"/>
          <w:szCs w:val="20"/>
        </w:rPr>
        <w:t>recommande celles d’Abdallah Penot, Jacques Berque, Régis Blachère et Mohammed Chiadmi</w:t>
      </w:r>
      <w:r w:rsidRPr="00F230F1">
        <w:rPr>
          <w:rFonts w:asciiTheme="majorBidi" w:hAnsiTheme="majorBidi" w:cstheme="majorBidi"/>
          <w:sz w:val="20"/>
          <w:szCs w:val="20"/>
        </w:rPr>
        <w:t>. [</w:t>
      </w:r>
      <w:hyperlink r:id="rId132" w:history="1">
        <w:r w:rsidRPr="00F230F1">
          <w:rPr>
            <w:rStyle w:val="Lienhypertexte"/>
            <w:rFonts w:asciiTheme="majorBidi" w:hAnsiTheme="majorBidi" w:cstheme="majorBidi"/>
            <w:sz w:val="20"/>
            <w:szCs w:val="20"/>
          </w:rPr>
          <w:t>https://www.bladi.info/threads/traduction-coran-choisir.420507/</w:t>
        </w:r>
      </w:hyperlink>
      <w:r w:rsidRPr="00F230F1">
        <w:rPr>
          <w:rFonts w:asciiTheme="majorBidi" w:hAnsiTheme="majorBidi" w:cstheme="majorBidi"/>
          <w:sz w:val="20"/>
          <w:szCs w:val="20"/>
        </w:rPr>
        <w:t>] (consulté le 22/08/2017).</w:t>
      </w:r>
    </w:p>
  </w:footnote>
  <w:footnote w:id="411">
    <w:p w14:paraId="7635D56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Monsieur Claude Gilliot nous a communiqué par courrier électronique </w:t>
      </w:r>
      <w:r w:rsidRPr="00F230F1">
        <w:rPr>
          <w:rFonts w:asciiTheme="majorBidi" w:eastAsia="Times New Roman" w:hAnsiTheme="majorBidi" w:cstheme="majorBidi"/>
          <w:sz w:val="20"/>
          <w:szCs w:val="20"/>
          <w:shd w:val="clear" w:color="auto" w:fill="FFFFFF"/>
          <w:lang w:eastAsia="fr-FR"/>
        </w:rPr>
        <w:t xml:space="preserve">les informations biographiques suivantes concernant Ameur Ghédira : </w:t>
      </w:r>
      <w:r w:rsidRPr="00F230F1">
        <w:rPr>
          <w:rFonts w:asciiTheme="majorBidi" w:hAnsiTheme="majorBidi" w:cstheme="majorBidi"/>
          <w:sz w:val="20"/>
          <w:szCs w:val="20"/>
        </w:rPr>
        <w:t>« Ghédira (Ameur, M. ʿĀmir Ġadīra, 27 oct. 1926, à Monastir. La BN donne 1935, mais ce doit être une erreur, car il a obtenu l’agrégation d’arabe 1952 ! Gérard Lecomte fut le major d’agrégation cette année-là ! - Ghédira a été, entre autres, maître assistant, puis professeur à l’Université Lyon II, puis ensuite également professeur agrégé au Lycée Lacassagne de Lyon. Ghédira a été agrégé d’arabe en 1952. Il a enseigné à Lyon II de 1955 à la retraite)]. »</w:t>
      </w:r>
    </w:p>
  </w:footnote>
  <w:footnote w:id="412">
    <w:p w14:paraId="0A49F02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w:t>
      </w:r>
      <w:r w:rsidRPr="00F230F1">
        <w:rPr>
          <w:rFonts w:asciiTheme="majorBidi" w:hAnsiTheme="majorBidi" w:cstheme="majorBidi"/>
          <w:sz w:val="20"/>
          <w:szCs w:val="20"/>
        </w:rPr>
        <w:t xml:space="preserve">, par Ameur Ghédira, </w:t>
      </w:r>
      <w:r w:rsidRPr="00F230F1">
        <w:rPr>
          <w:rFonts w:asciiTheme="majorBidi" w:hAnsiTheme="majorBidi" w:cstheme="majorBidi"/>
          <w:i/>
          <w:iCs/>
          <w:sz w:val="20"/>
          <w:szCs w:val="20"/>
        </w:rPr>
        <w:t>op. cit.</w:t>
      </w:r>
      <w:r w:rsidRPr="00F230F1">
        <w:rPr>
          <w:rFonts w:asciiTheme="majorBidi" w:hAnsiTheme="majorBidi" w:cstheme="majorBidi"/>
          <w:sz w:val="20"/>
          <w:szCs w:val="20"/>
        </w:rPr>
        <w:t>, « Introduction », p. 1.</w:t>
      </w:r>
    </w:p>
  </w:footnote>
  <w:footnote w:id="413">
    <w:p w14:paraId="518DA53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2 &amp; 3.</w:t>
      </w:r>
    </w:p>
  </w:footnote>
  <w:footnote w:id="414">
    <w:p w14:paraId="4207DB3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Muhammad Arkoun </w:t>
      </w:r>
      <w:r w:rsidRPr="00F230F1">
        <w:rPr>
          <w:rFonts w:asciiTheme="majorBidi" w:hAnsiTheme="majorBidi" w:cstheme="majorBidi"/>
          <w:i/>
          <w:iCs/>
          <w:sz w:val="20"/>
          <w:szCs w:val="20"/>
        </w:rPr>
        <w:t>et al.</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Les musulmans. Consultation islamo-chrétienne</w:t>
      </w:r>
      <w:r w:rsidRPr="00F230F1">
        <w:rPr>
          <w:rFonts w:asciiTheme="majorBidi" w:hAnsiTheme="majorBidi" w:cstheme="majorBidi"/>
          <w:sz w:val="20"/>
          <w:szCs w:val="20"/>
        </w:rPr>
        <w:t xml:space="preserve">, Beauchesne, Paris, 1971, p. 31. </w:t>
      </w:r>
      <w:hyperlink r:id="rId133" w:anchor="v=onepage&amp;q&amp;f=false" w:history="1">
        <w:r w:rsidRPr="00F230F1">
          <w:rPr>
            <w:rStyle w:val="Lienhypertexte"/>
            <w:rFonts w:asciiTheme="majorBidi" w:hAnsiTheme="majorBidi" w:cstheme="majorBidi"/>
            <w:sz w:val="20"/>
            <w:szCs w:val="20"/>
          </w:rPr>
          <w:t>https://books.google.be/books?id=teG1lRngrEIC&amp;pg=PA31&amp;hl=fr#v=onepage&amp;q&amp;f=false</w:t>
        </w:r>
      </w:hyperlink>
      <w:r w:rsidRPr="00F230F1">
        <w:rPr>
          <w:rFonts w:asciiTheme="majorBidi" w:hAnsiTheme="majorBidi" w:cstheme="majorBidi"/>
          <w:sz w:val="20"/>
          <w:szCs w:val="20"/>
        </w:rPr>
        <w:t xml:space="preserve"> (consulté le 12/08/2017).</w:t>
      </w:r>
    </w:p>
  </w:footnote>
  <w:footnote w:id="415">
    <w:p w14:paraId="4270A0B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Hamidullah présente une thèse sur « La diplomatie au temps du Prophète et des premiers Califes » à la Sorbonne, et obtient un doctorat ès lettres en 1935, [</w:t>
      </w:r>
      <w:hyperlink r:id="rId134" w:history="1">
        <w:r w:rsidRPr="00F230F1">
          <w:rPr>
            <w:rStyle w:val="Lienhypertexte"/>
            <w:rFonts w:asciiTheme="majorBidi" w:hAnsiTheme="majorBidi" w:cstheme="majorBidi"/>
            <w:sz w:val="20"/>
            <w:szCs w:val="20"/>
          </w:rPr>
          <w:t>http://www.sudoc.abes.fr/xslt//DB=2.1/SET=3/TTL=1/SHW?FRST=3</w:t>
        </w:r>
      </w:hyperlink>
      <w:r w:rsidRPr="00F230F1">
        <w:rPr>
          <w:rFonts w:asciiTheme="majorBidi" w:hAnsiTheme="majorBidi" w:cstheme="majorBidi"/>
          <w:sz w:val="20"/>
          <w:szCs w:val="20"/>
        </w:rPr>
        <w:t>] (consulté le 13/08/2017).</w:t>
      </w:r>
    </w:p>
  </w:footnote>
  <w:footnote w:id="416">
    <w:p w14:paraId="75D29C5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Site </w:t>
      </w:r>
      <w:r w:rsidRPr="00F230F1">
        <w:rPr>
          <w:rFonts w:asciiTheme="majorBidi" w:hAnsiTheme="majorBidi" w:cstheme="majorBidi"/>
          <w:i/>
          <w:iCs/>
          <w:sz w:val="20"/>
          <w:szCs w:val="20"/>
        </w:rPr>
        <w:t>Al-mawsūʿa at-tūnisyya al-maftū</w:t>
      </w:r>
      <w:r w:rsidRPr="00F230F1">
        <w:rPr>
          <w:rFonts w:asciiTheme="majorBidi" w:eastAsia="Times New Roman" w:hAnsiTheme="majorBidi" w:cstheme="majorBidi"/>
          <w:i/>
          <w:iCs/>
          <w:sz w:val="20"/>
          <w:szCs w:val="20"/>
        </w:rPr>
        <w:t>ḥa</w:t>
      </w:r>
      <w:r w:rsidRPr="00F230F1">
        <w:rPr>
          <w:rFonts w:asciiTheme="majorBidi" w:hAnsiTheme="majorBidi" w:cstheme="majorBidi"/>
          <w:sz w:val="20"/>
          <w:szCs w:val="20"/>
        </w:rPr>
        <w:t xml:space="preserve">,  </w:t>
      </w:r>
      <w:hyperlink r:id="rId135" w:history="1">
        <w:r w:rsidRPr="00F230F1">
          <w:rPr>
            <w:rStyle w:val="Lienhypertexte"/>
            <w:rFonts w:asciiTheme="majorBidi" w:hAnsiTheme="majorBidi" w:cstheme="majorBidi"/>
            <w:sz w:val="20"/>
            <w:szCs w:val="20"/>
          </w:rPr>
          <w:t>http://www.mawsouaa.tn/wiki/</w:t>
        </w:r>
        <w:r w:rsidRPr="00F230F1">
          <w:rPr>
            <w:rStyle w:val="Lienhypertexte"/>
            <w:rFonts w:asciiTheme="majorBidi" w:hAnsiTheme="majorBidi" w:cstheme="majorBidi"/>
            <w:sz w:val="20"/>
            <w:szCs w:val="20"/>
            <w:rtl/>
          </w:rPr>
          <w:t>نور_الدين_بن_محمود</w:t>
        </w:r>
      </w:hyperlink>
      <w:r w:rsidRPr="00F230F1">
        <w:rPr>
          <w:rFonts w:asciiTheme="majorBidi" w:hAnsiTheme="majorBidi" w:cstheme="majorBidi"/>
          <w:sz w:val="20"/>
          <w:szCs w:val="20"/>
        </w:rPr>
        <w:t xml:space="preserve"> ; Catalogue générale BnF, </w:t>
      </w:r>
      <w:hyperlink r:id="rId136" w:history="1">
        <w:r w:rsidRPr="00F230F1">
          <w:rPr>
            <w:rStyle w:val="Lienhypertexte"/>
            <w:rFonts w:asciiTheme="majorBidi" w:hAnsiTheme="majorBidi" w:cstheme="majorBidi"/>
            <w:sz w:val="20"/>
            <w:szCs w:val="20"/>
          </w:rPr>
          <w:t>http://catalogue.bnf.fr/ark:/12148/cb12990895k</w:t>
        </w:r>
      </w:hyperlink>
      <w:r w:rsidRPr="00F230F1">
        <w:rPr>
          <w:rFonts w:asciiTheme="majorBidi" w:hAnsiTheme="majorBidi" w:cstheme="majorBidi"/>
          <w:sz w:val="20"/>
          <w:szCs w:val="20"/>
        </w:rPr>
        <w:t xml:space="preserve"> (consultés le 14/08/2017).</w:t>
      </w:r>
    </w:p>
  </w:footnote>
  <w:footnote w:id="417">
    <w:p w14:paraId="2BC4AC3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Sur la biographie de Denise Masson, voir : « Denise Masson, dame de lettres et de cœur », Paola Frangieh, </w:t>
      </w:r>
      <w:r w:rsidRPr="00F230F1">
        <w:rPr>
          <w:rFonts w:asciiTheme="majorBidi" w:hAnsiTheme="majorBidi" w:cstheme="majorBidi"/>
          <w:i/>
          <w:sz w:val="20"/>
          <w:szCs w:val="20"/>
        </w:rPr>
        <w:t>Le Soir Échos</w:t>
      </w:r>
      <w:r w:rsidRPr="00F230F1">
        <w:rPr>
          <w:rFonts w:asciiTheme="majorBidi" w:hAnsiTheme="majorBidi" w:cstheme="majorBidi"/>
          <w:sz w:val="20"/>
          <w:szCs w:val="20"/>
        </w:rPr>
        <w:t>, le 31/10/2011, [</w:t>
      </w:r>
      <w:hyperlink r:id="rId137" w:history="1">
        <w:r w:rsidRPr="00F230F1">
          <w:rPr>
            <w:rStyle w:val="Lienhypertexte"/>
            <w:rFonts w:asciiTheme="majorBidi" w:hAnsiTheme="majorBidi" w:cstheme="majorBidi"/>
            <w:sz w:val="20"/>
            <w:szCs w:val="20"/>
          </w:rPr>
          <w:t>http://www.maghress.com/fr/lesoir/33635</w:t>
        </w:r>
      </w:hyperlink>
      <w:r w:rsidRPr="00F230F1">
        <w:rPr>
          <w:rFonts w:asciiTheme="majorBidi" w:hAnsiTheme="majorBidi" w:cstheme="majorBidi"/>
          <w:sz w:val="20"/>
          <w:szCs w:val="20"/>
        </w:rPr>
        <w:t xml:space="preserve">] (consulté le 13/08/2017). &amp; « Hommage. Denise Masson, une amoureuse du Maroc », </w:t>
      </w:r>
      <w:r w:rsidRPr="00F230F1">
        <w:rPr>
          <w:rFonts w:asciiTheme="majorBidi" w:hAnsiTheme="majorBidi" w:cstheme="majorBidi"/>
          <w:i/>
          <w:sz w:val="20"/>
          <w:szCs w:val="20"/>
        </w:rPr>
        <w:t>Le Matin</w:t>
      </w:r>
      <w:r w:rsidRPr="00F230F1">
        <w:rPr>
          <w:rFonts w:asciiTheme="majorBidi" w:hAnsiTheme="majorBidi" w:cstheme="majorBidi"/>
          <w:sz w:val="20"/>
          <w:szCs w:val="20"/>
        </w:rPr>
        <w:t>, 16 février 2010, [</w:t>
      </w:r>
      <w:hyperlink r:id="rId138" w:history="1">
        <w:r w:rsidRPr="00F230F1">
          <w:rPr>
            <w:rStyle w:val="Lienhypertexte"/>
            <w:rFonts w:asciiTheme="majorBidi" w:hAnsiTheme="majorBidi" w:cstheme="majorBidi"/>
            <w:sz w:val="20"/>
            <w:szCs w:val="20"/>
          </w:rPr>
          <w:t>http://lematin.ma/journal/2010/Hommage_Denise-Masson-une-amoureuse-du-Maroc/128077.html</w:t>
        </w:r>
      </w:hyperlink>
      <w:r w:rsidRPr="00F230F1">
        <w:rPr>
          <w:rFonts w:asciiTheme="majorBidi" w:hAnsiTheme="majorBidi" w:cstheme="majorBidi"/>
          <w:sz w:val="20"/>
          <w:szCs w:val="20"/>
        </w:rPr>
        <w:t>] (consulté le 13/08/2017).</w:t>
      </w:r>
    </w:p>
  </w:footnote>
  <w:footnote w:id="418">
    <w:p w14:paraId="330FA88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w:t>
      </w:r>
      <w:r w:rsidRPr="00F230F1">
        <w:rPr>
          <w:rFonts w:asciiTheme="majorBidi" w:hAnsiTheme="majorBidi" w:cstheme="majorBidi"/>
          <w:sz w:val="20"/>
          <w:szCs w:val="20"/>
        </w:rPr>
        <w:t>, traduction par Denise Masson, Gallimard, 1967, « NOTE CLÉ », pp. XCVII – CXV.</w:t>
      </w:r>
    </w:p>
  </w:footnote>
  <w:footnote w:id="419">
    <w:p w14:paraId="7AC00D4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eastAsia="fr-FR"/>
        </w:rPr>
        <w:t xml:space="preserve">Denise Masson, </w:t>
      </w:r>
      <w:r w:rsidRPr="00F230F1">
        <w:rPr>
          <w:rFonts w:asciiTheme="majorBidi" w:eastAsia="Times New Roman" w:hAnsiTheme="majorBidi" w:cstheme="majorBidi"/>
          <w:i/>
          <w:iCs/>
          <w:sz w:val="20"/>
          <w:szCs w:val="20"/>
          <w:lang w:eastAsia="fr-FR"/>
        </w:rPr>
        <w:t>Essai d’interprétation du CORAN inimitable</w:t>
      </w:r>
      <w:r w:rsidRPr="00F230F1">
        <w:rPr>
          <w:rFonts w:asciiTheme="majorBidi" w:eastAsia="Times New Roman" w:hAnsiTheme="majorBidi" w:cstheme="majorBidi"/>
          <w:sz w:val="20"/>
          <w:szCs w:val="20"/>
          <w:lang w:eastAsia="fr-FR"/>
        </w:rPr>
        <w:t>, revue par Dr. Sobhi El-Saleh, préface de Jean Grosjean, Dār al-kitāb Allubnāni, Beyrouth, 1967</w:t>
      </w:r>
      <w:r w:rsidRPr="00F230F1">
        <w:rPr>
          <w:rFonts w:asciiTheme="majorBidi" w:hAnsiTheme="majorBidi" w:cstheme="majorBidi"/>
          <w:sz w:val="20"/>
          <w:szCs w:val="20"/>
        </w:rPr>
        <w:t>, « Note clé », p. CX.</w:t>
      </w:r>
    </w:p>
  </w:footnote>
  <w:footnote w:id="420">
    <w:p w14:paraId="34C9D095" w14:textId="7777777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w:t>
      </w:r>
      <w:r w:rsidRPr="00F230F1">
        <w:rPr>
          <w:rFonts w:asciiTheme="majorBidi" w:eastAsia="Times New Roman" w:hAnsiTheme="majorBidi" w:cstheme="majorBidi"/>
          <w:i/>
          <w:iCs/>
          <w:sz w:val="20"/>
          <w:szCs w:val="20"/>
          <w:lang w:eastAsia="en-AU"/>
        </w:rPr>
        <w:t>Le Coran</w:t>
      </w:r>
      <w:r w:rsidRPr="00F230F1">
        <w:rPr>
          <w:rFonts w:asciiTheme="majorBidi" w:eastAsia="Times New Roman" w:hAnsiTheme="majorBidi" w:cstheme="majorBidi"/>
          <w:sz w:val="20"/>
          <w:szCs w:val="20"/>
          <w:lang w:eastAsia="en-AU"/>
        </w:rPr>
        <w:t>, traduit par J</w:t>
      </w:r>
      <w:r w:rsidRPr="00F230F1">
        <w:rPr>
          <w:rFonts w:asciiTheme="majorBidi" w:hAnsiTheme="majorBidi" w:cstheme="majorBidi"/>
          <w:sz w:val="20"/>
          <w:szCs w:val="20"/>
          <w:lang w:bidi="ar-AE"/>
        </w:rPr>
        <w:t>ean Grosjean</w:t>
      </w:r>
      <w:r w:rsidRPr="00F230F1">
        <w:rPr>
          <w:rFonts w:asciiTheme="majorBidi" w:eastAsia="Times New Roman" w:hAnsiTheme="majorBidi" w:cstheme="majorBidi"/>
          <w:sz w:val="20"/>
          <w:szCs w:val="20"/>
          <w:lang w:eastAsia="en-AU"/>
        </w:rPr>
        <w:t xml:space="preserve"> Le Seuil, Collection Point, Série Sagesse, 1979,</w:t>
      </w:r>
      <w:r w:rsidRPr="00F230F1">
        <w:rPr>
          <w:rFonts w:asciiTheme="majorBidi" w:hAnsiTheme="majorBidi" w:cstheme="majorBidi"/>
          <w:sz w:val="20"/>
          <w:szCs w:val="20"/>
          <w:lang w:bidi="ar-AE"/>
        </w:rPr>
        <w:t xml:space="preserve"> présentation de Jean-Louis Schlegel, p. 8 et 9.</w:t>
      </w:r>
    </w:p>
  </w:footnote>
  <w:footnote w:id="421">
    <w:p w14:paraId="3D53A6BE"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Site « Coran et Sciences de l’Homme », Mehdi Azaiez, </w:t>
      </w:r>
      <w:hyperlink r:id="rId139" w:history="1">
        <w:r w:rsidRPr="00F230F1">
          <w:rPr>
            <w:rStyle w:val="Lienhypertexte"/>
            <w:rFonts w:asciiTheme="majorBidi" w:hAnsiTheme="majorBidi" w:cstheme="majorBidi"/>
            <w:sz w:val="20"/>
            <w:szCs w:val="20"/>
          </w:rPr>
          <w:t>http://www.mehdi-azaiez.org/Cheikh-Si-Hamza-BOUBAKER-1912-1995</w:t>
        </w:r>
      </w:hyperlink>
      <w:r w:rsidRPr="00F230F1">
        <w:rPr>
          <w:rFonts w:asciiTheme="majorBidi" w:hAnsiTheme="majorBidi" w:cstheme="majorBidi"/>
          <w:sz w:val="20"/>
          <w:szCs w:val="20"/>
        </w:rPr>
        <w:t xml:space="preserve"> (consulté le 30/08/2017). Dans la deuxième édition de la traduction de Boubakeur en 1979, le traducteur est présenté ainsi : « LE </w:t>
      </w:r>
      <w:r w:rsidRPr="00F230F1">
        <w:rPr>
          <w:rFonts w:asciiTheme="majorBidi" w:eastAsia="Times New Roman" w:hAnsiTheme="majorBidi" w:cstheme="majorBidi"/>
          <w:sz w:val="20"/>
          <w:szCs w:val="20"/>
        </w:rPr>
        <w:t xml:space="preserve">CHEIKH SI ḤAMZA BOUBAKEUR : </w:t>
      </w:r>
      <w:r w:rsidRPr="00F230F1">
        <w:rPr>
          <w:rFonts w:asciiTheme="majorBidi" w:eastAsia="Times New Roman" w:hAnsiTheme="majorBidi" w:cstheme="majorBidi"/>
          <w:i/>
          <w:iCs/>
          <w:sz w:val="20"/>
          <w:szCs w:val="20"/>
        </w:rPr>
        <w:t>Recteur de l’Institut musulman de la mosquée de Paris</w:t>
      </w:r>
      <w:r w:rsidRPr="00F230F1">
        <w:rPr>
          <w:rFonts w:asciiTheme="majorBidi" w:eastAsia="Times New Roman" w:hAnsiTheme="majorBidi" w:cstheme="majorBidi"/>
          <w:sz w:val="20"/>
          <w:szCs w:val="20"/>
        </w:rPr>
        <w:t>, professeur agrégé de l’Université de France, docteur en droit honoris causa de l’Université de Mexico, membre associé du Conseil suprême des Affaires islamiques (Le Caire), membre correspondant de l’Académie des recherches islamiques d’Al Azhar, ancien membre du Comité constitutionnel français, ancien vice-président de la Commission des Affaires étrangères de l’Assemblée nationale française, membre d’honneur de l’Académie d’études et de recherches européennes (Belgique) ».</w:t>
      </w:r>
    </w:p>
  </w:footnote>
  <w:footnote w:id="422">
    <w:p w14:paraId="4D308CD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eastAsia="en-AU"/>
        </w:rPr>
        <w:t xml:space="preserve">Hamza Boubakeur, </w:t>
      </w:r>
      <w:r w:rsidRPr="00F230F1">
        <w:rPr>
          <w:rFonts w:asciiTheme="majorBidi" w:hAnsiTheme="majorBidi" w:cstheme="majorBidi"/>
          <w:i/>
          <w:iCs/>
          <w:sz w:val="20"/>
          <w:szCs w:val="20"/>
          <w:lang w:eastAsia="en-AU"/>
        </w:rPr>
        <w:t xml:space="preserve">Le Coran : </w:t>
      </w:r>
      <w:r w:rsidRPr="00F230F1">
        <w:rPr>
          <w:rFonts w:asciiTheme="majorBidi" w:hAnsiTheme="majorBidi" w:cstheme="majorBidi"/>
          <w:i/>
          <w:iCs/>
          <w:sz w:val="20"/>
          <w:szCs w:val="20"/>
        </w:rPr>
        <w:t>traduction française et commentaire…</w:t>
      </w:r>
      <w:r w:rsidRPr="00F230F1">
        <w:rPr>
          <w:rFonts w:asciiTheme="majorBidi" w:hAnsiTheme="majorBidi" w:cstheme="majorBidi"/>
          <w:sz w:val="20"/>
          <w:szCs w:val="20"/>
          <w:lang w:eastAsia="en-AU"/>
        </w:rPr>
        <w:t xml:space="preserve">, Fayard/Denoël, 2 vol., 1972, </w:t>
      </w:r>
      <w:r w:rsidRPr="00F230F1">
        <w:rPr>
          <w:rFonts w:asciiTheme="majorBidi" w:hAnsiTheme="majorBidi" w:cstheme="majorBidi"/>
          <w:i/>
          <w:iCs/>
          <w:sz w:val="20"/>
          <w:szCs w:val="20"/>
          <w:lang w:eastAsia="en-AU"/>
        </w:rPr>
        <w:t>l’introduction du président de l’administration du noble Ḥaram du Prophète et guide officiel [des pèlerins] d’Algérie</w:t>
      </w:r>
      <w:r w:rsidRPr="00F230F1">
        <w:rPr>
          <w:rFonts w:asciiTheme="majorBidi" w:hAnsiTheme="majorBidi" w:cstheme="majorBidi"/>
          <w:sz w:val="20"/>
          <w:szCs w:val="20"/>
          <w:lang w:eastAsia="en-AU"/>
        </w:rPr>
        <w:t>.</w:t>
      </w:r>
    </w:p>
  </w:footnote>
  <w:footnote w:id="423">
    <w:p w14:paraId="5A98927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 traduction de Boubakeur commence par des citations de grands intellectuels (Lamartine, Émile Dermenghem et Goethe) qui font l’éloge de Mahomet et de l’Islâm.</w:t>
      </w:r>
    </w:p>
  </w:footnote>
  <w:footnote w:id="424">
    <w:p w14:paraId="2A38929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eastAsia="en-AU"/>
        </w:rPr>
        <w:t xml:space="preserve">Hamza Boubakeur, </w:t>
      </w:r>
      <w:r w:rsidRPr="00F230F1">
        <w:rPr>
          <w:rFonts w:asciiTheme="majorBidi" w:hAnsiTheme="majorBidi" w:cstheme="majorBidi"/>
          <w:i/>
          <w:iCs/>
          <w:sz w:val="20"/>
          <w:szCs w:val="20"/>
          <w:lang w:eastAsia="en-AU"/>
        </w:rPr>
        <w:t xml:space="preserve">Le Coran : </w:t>
      </w:r>
      <w:r w:rsidRPr="00F230F1">
        <w:rPr>
          <w:rFonts w:asciiTheme="majorBidi" w:hAnsiTheme="majorBidi" w:cstheme="majorBidi"/>
          <w:i/>
          <w:iCs/>
          <w:sz w:val="20"/>
          <w:szCs w:val="20"/>
        </w:rPr>
        <w:t>traduction française…</w:t>
      </w:r>
      <w:r w:rsidRPr="00F230F1">
        <w:rPr>
          <w:rFonts w:asciiTheme="majorBidi" w:hAnsiTheme="majorBidi" w:cstheme="majorBidi"/>
          <w:sz w:val="20"/>
          <w:szCs w:val="20"/>
          <w:lang w:eastAsia="en-AU"/>
        </w:rPr>
        <w:t xml:space="preserve">, </w:t>
      </w:r>
      <w:r w:rsidRPr="00F230F1">
        <w:rPr>
          <w:rFonts w:asciiTheme="majorBidi" w:hAnsiTheme="majorBidi" w:cstheme="majorBidi"/>
          <w:i/>
          <w:iCs/>
          <w:sz w:val="20"/>
          <w:szCs w:val="20"/>
          <w:lang w:eastAsia="en-AU"/>
        </w:rPr>
        <w:t>op. cit.</w:t>
      </w:r>
      <w:r w:rsidRPr="00F230F1">
        <w:rPr>
          <w:rFonts w:asciiTheme="majorBidi" w:hAnsiTheme="majorBidi" w:cstheme="majorBidi"/>
          <w:sz w:val="20"/>
          <w:szCs w:val="20"/>
          <w:lang w:eastAsia="en-AU"/>
        </w:rPr>
        <w:t>, « Liminaire », p. XIII.</w:t>
      </w:r>
    </w:p>
  </w:footnote>
  <w:footnote w:id="425">
    <w:p w14:paraId="575C61C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 Liminaire », pp. XV-XVII.</w:t>
      </w:r>
    </w:p>
  </w:footnote>
  <w:footnote w:id="426">
    <w:p w14:paraId="0E1FEE9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p>
  </w:footnote>
  <w:footnote w:id="427">
    <w:p w14:paraId="7A116594" w14:textId="77777777" w:rsidR="009C3BB9" w:rsidRPr="00F230F1" w:rsidRDefault="009C3BB9" w:rsidP="00F230F1">
      <w:pPr>
        <w:contextualSpacing/>
        <w:jc w:val="both"/>
        <w:rPr>
          <w:rFonts w:asciiTheme="majorBidi" w:eastAsia="SimSun" w:hAnsiTheme="majorBidi" w:cstheme="majorBidi"/>
          <w:sz w:val="20"/>
          <w:szCs w:val="20"/>
          <w:lang w:eastAsia="zh-CN"/>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lang w:eastAsia="en-AU"/>
        </w:rPr>
        <w:t>Ibid.</w:t>
      </w:r>
      <w:r w:rsidRPr="00F230F1">
        <w:rPr>
          <w:rFonts w:asciiTheme="majorBidi" w:hAnsiTheme="majorBidi" w:cstheme="majorBidi"/>
          <w:sz w:val="20"/>
          <w:szCs w:val="20"/>
          <w:lang w:eastAsia="en-AU"/>
        </w:rPr>
        <w:t xml:space="preserve">, </w:t>
      </w:r>
      <w:r w:rsidRPr="00F230F1">
        <w:rPr>
          <w:rFonts w:asciiTheme="majorBidi" w:hAnsiTheme="majorBidi" w:cstheme="majorBidi"/>
          <w:i/>
          <w:iCs/>
          <w:sz w:val="20"/>
          <w:szCs w:val="20"/>
          <w:lang w:eastAsia="en-AU"/>
        </w:rPr>
        <w:t>l’introduction du président de l’administration du noble Ḥaram… et guide officiel… d’Algérie</w:t>
      </w:r>
      <w:r w:rsidRPr="00F230F1">
        <w:rPr>
          <w:rFonts w:asciiTheme="majorBidi" w:hAnsiTheme="majorBidi" w:cstheme="majorBidi"/>
          <w:sz w:val="20"/>
          <w:szCs w:val="20"/>
          <w:lang w:eastAsia="en-AU"/>
        </w:rPr>
        <w:t>.</w:t>
      </w:r>
    </w:p>
  </w:footnote>
  <w:footnote w:id="428">
    <w:p w14:paraId="0872E497"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Alfred-Louis De Prémare, « Réflexions impromptues sur la nouvelle traduction du Coran de Jacques Berque », </w:t>
      </w:r>
      <w:r w:rsidRPr="00F230F1">
        <w:rPr>
          <w:rFonts w:asciiTheme="majorBidi" w:hAnsiTheme="majorBidi" w:cstheme="majorBidi"/>
          <w:i/>
          <w:iCs/>
          <w:sz w:val="20"/>
          <w:szCs w:val="20"/>
        </w:rPr>
        <w:t>Revue du monde musulman et de la Méditerranée</w:t>
      </w:r>
      <w:r w:rsidRPr="00F230F1">
        <w:rPr>
          <w:rFonts w:asciiTheme="majorBidi" w:hAnsiTheme="majorBidi" w:cstheme="majorBidi"/>
          <w:sz w:val="20"/>
          <w:szCs w:val="20"/>
        </w:rPr>
        <w:t>, n° 58, 1990.</w:t>
      </w:r>
    </w:p>
  </w:footnote>
  <w:footnote w:id="429">
    <w:p w14:paraId="3AB8383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Parmi ces critiques, nous citons : Zaynab ‘Abd al-‘Az</w:t>
      </w:r>
      <w:r w:rsidRPr="00F230F1">
        <w:rPr>
          <w:rFonts w:asciiTheme="majorBidi" w:hAnsiTheme="majorBidi" w:cstheme="majorBidi"/>
          <w:iCs/>
          <w:sz w:val="20"/>
          <w:szCs w:val="20"/>
        </w:rPr>
        <w:t>ī</w:t>
      </w:r>
      <w:r w:rsidRPr="00F230F1">
        <w:rPr>
          <w:rFonts w:asciiTheme="majorBidi" w:hAnsiTheme="majorBidi" w:cstheme="majorBidi"/>
          <w:sz w:val="20"/>
          <w:szCs w:val="20"/>
        </w:rPr>
        <w:t>z,</w:t>
      </w:r>
      <w:r w:rsidRPr="00F230F1">
        <w:rPr>
          <w:rFonts w:asciiTheme="majorBidi" w:hAnsiTheme="majorBidi" w:cstheme="majorBidi"/>
          <w:i/>
          <w:iCs/>
          <w:sz w:val="20"/>
          <w:szCs w:val="20"/>
        </w:rPr>
        <w:t xml:space="preserve"> Tarjamāt al-Qurʾān, ʾilā ʾayn ? Wajhān li-Jāk Bīrk</w:t>
      </w:r>
      <w:r w:rsidRPr="00F230F1">
        <w:rPr>
          <w:rFonts w:asciiTheme="majorBidi" w:hAnsiTheme="majorBidi" w:cstheme="majorBidi"/>
          <w:sz w:val="20"/>
          <w:szCs w:val="20"/>
        </w:rPr>
        <w:t xml:space="preserve">, Maktabat Wahba, Le Caire, 2005 ; Muḥammad Rajab Al-Bayyūmī, </w:t>
      </w:r>
      <w:r w:rsidRPr="00F230F1">
        <w:rPr>
          <w:rFonts w:asciiTheme="majorBidi" w:hAnsiTheme="majorBidi" w:cstheme="majorBidi"/>
          <w:i/>
          <w:iCs/>
          <w:sz w:val="20"/>
          <w:szCs w:val="20"/>
        </w:rPr>
        <w:t>Iʿādat qirāʾat al-qurʾān al-karīm : ad-duktūr Muḥammad Rajab al-Bayyūmī yaruddu ʿalā Jāk Bīrk</w:t>
      </w:r>
      <w:r w:rsidRPr="00F230F1">
        <w:rPr>
          <w:rFonts w:asciiTheme="majorBidi" w:hAnsiTheme="majorBidi" w:cstheme="majorBidi"/>
          <w:sz w:val="20"/>
          <w:szCs w:val="20"/>
        </w:rPr>
        <w:t xml:space="preserve">, Dār al-Hilāl, Le Caire, 1999 ; </w:t>
      </w:r>
      <w:r w:rsidRPr="00F230F1">
        <w:rPr>
          <w:rFonts w:asciiTheme="majorBidi" w:eastAsia="Times New Roman" w:hAnsiTheme="majorBidi" w:cstheme="majorBidi"/>
          <w:sz w:val="20"/>
          <w:szCs w:val="20"/>
          <w:lang w:bidi="ar-AE"/>
        </w:rPr>
        <w:t>Ibrāhīm ʿ</w:t>
      </w:r>
      <w:r w:rsidRPr="00F230F1">
        <w:rPr>
          <w:rFonts w:asciiTheme="majorBidi" w:eastAsia="Times New Roman" w:hAnsiTheme="majorBidi" w:cstheme="majorBidi"/>
          <w:sz w:val="20"/>
          <w:szCs w:val="20"/>
          <w:lang w:bidi="ar-KW"/>
        </w:rPr>
        <w:t>Awaḍ</w:t>
      </w:r>
      <w:r w:rsidRPr="00F230F1">
        <w:rPr>
          <w:rFonts w:asciiTheme="majorBidi" w:eastAsia="Times New Roman" w:hAnsiTheme="majorBidi" w:cstheme="majorBidi"/>
          <w:sz w:val="20"/>
          <w:szCs w:val="20"/>
          <w:lang w:bidi="ar-AE"/>
        </w:rPr>
        <w:t>,</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Min Maʿārik al-ʾistishrāq ḍidd al-muṣḥaf ash-Sharīf. Tarjamat Jāk Bīrk</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li-l-Qurʾān al-karīm bayn al-mādiḥīn wa-l-qādiḥīn</w:t>
      </w:r>
      <w:r w:rsidRPr="00F230F1">
        <w:rPr>
          <w:rFonts w:asciiTheme="majorBidi" w:hAnsiTheme="majorBidi" w:cstheme="majorBidi"/>
          <w:sz w:val="20"/>
          <w:szCs w:val="20"/>
        </w:rPr>
        <w:t xml:space="preserve">, Maktabat Zahrāʾ ash-Sharq, Le Caire, 2000 ; </w:t>
      </w:r>
      <w:r w:rsidRPr="00F230F1">
        <w:rPr>
          <w:rFonts w:asciiTheme="majorBidi" w:eastAsia="SimSun" w:hAnsiTheme="majorBidi" w:cstheme="majorBidi"/>
          <w:sz w:val="20"/>
          <w:szCs w:val="20"/>
          <w:lang w:eastAsia="zh-CN"/>
        </w:rPr>
        <w:t>Maḥmūd Al-ʿAzab</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Ishkāliyyāt tarjamat maʿānī al-qurʾān al-karīm</w:t>
      </w:r>
      <w:r w:rsidRPr="00F230F1">
        <w:rPr>
          <w:rFonts w:asciiTheme="majorBidi" w:hAnsiTheme="majorBidi" w:cstheme="majorBidi"/>
          <w:sz w:val="20"/>
          <w:szCs w:val="20"/>
        </w:rPr>
        <w:t>, Nahḍat Misr, Le Caire, 2006 ; Ḥasan Ibn ʾIdrīs ʿAzzūzī, « </w:t>
      </w:r>
      <w:r w:rsidRPr="00F230F1">
        <w:rPr>
          <w:rFonts w:asciiTheme="majorBidi" w:hAnsiTheme="majorBidi" w:cstheme="majorBidi"/>
          <w:i/>
          <w:iCs/>
          <w:sz w:val="20"/>
          <w:szCs w:val="20"/>
        </w:rPr>
        <w:t>Mulāḥaẓāt ḥawla tarjamat maʿānī al-Qurʾān al-karīm li-l-mustashriq al-firansī Jāk Bīrk</w:t>
      </w:r>
      <w:r w:rsidRPr="00F230F1">
        <w:rPr>
          <w:rFonts w:asciiTheme="majorBidi" w:hAnsiTheme="majorBidi" w:cstheme="majorBidi"/>
          <w:sz w:val="20"/>
          <w:szCs w:val="20"/>
        </w:rPr>
        <w:t xml:space="preserve"> », Actes du colloque de la traduction des significations du noble Coran, Médine, Arabie saoudite, 2002.</w:t>
      </w:r>
    </w:p>
  </w:footnote>
  <w:footnote w:id="430">
    <w:p w14:paraId="48517B2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 xml:space="preserve">Le Coran. Essai de traduction </w:t>
      </w:r>
      <w:r w:rsidRPr="00F230F1">
        <w:rPr>
          <w:rFonts w:asciiTheme="majorBidi" w:hAnsiTheme="majorBidi" w:cstheme="majorBidi"/>
          <w:sz w:val="20"/>
          <w:szCs w:val="20"/>
        </w:rPr>
        <w:t>par Jacques Berque, Albin Michel, 1990, « Avant-propos », p. 13.</w:t>
      </w:r>
    </w:p>
  </w:footnote>
  <w:footnote w:id="431">
    <w:p w14:paraId="78EDA96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w:t>
      </w:r>
      <w:r w:rsidRPr="00F230F1">
        <w:rPr>
          <w:rFonts w:asciiTheme="majorBidi" w:hAnsiTheme="majorBidi" w:cstheme="majorBidi"/>
          <w:sz w:val="20"/>
          <w:szCs w:val="20"/>
        </w:rPr>
        <w:t>,</w:t>
      </w:r>
      <w:r w:rsidRPr="00F230F1">
        <w:rPr>
          <w:rFonts w:asciiTheme="majorBidi" w:hAnsiTheme="majorBidi" w:cstheme="majorBidi"/>
          <w:i/>
          <w:iCs/>
          <w:sz w:val="20"/>
          <w:szCs w:val="20"/>
        </w:rPr>
        <w:t xml:space="preserve"> </w:t>
      </w:r>
      <w:r w:rsidRPr="00F230F1">
        <w:rPr>
          <w:rFonts w:asciiTheme="majorBidi" w:hAnsiTheme="majorBidi" w:cstheme="majorBidi"/>
          <w:sz w:val="20"/>
          <w:szCs w:val="20"/>
        </w:rPr>
        <w:t xml:space="preserve">Berque, </w:t>
      </w:r>
      <w:r w:rsidRPr="00F230F1">
        <w:rPr>
          <w:rFonts w:asciiTheme="majorBidi" w:hAnsiTheme="majorBidi" w:cstheme="majorBidi"/>
          <w:i/>
          <w:iCs/>
          <w:sz w:val="20"/>
          <w:szCs w:val="20"/>
        </w:rPr>
        <w:t>op. cit.</w:t>
      </w:r>
      <w:r w:rsidRPr="00F230F1">
        <w:rPr>
          <w:rFonts w:asciiTheme="majorBidi" w:hAnsiTheme="majorBidi" w:cstheme="majorBidi"/>
          <w:sz w:val="20"/>
          <w:szCs w:val="20"/>
        </w:rPr>
        <w:t>, p. 14.</w:t>
      </w:r>
    </w:p>
  </w:footnote>
  <w:footnote w:id="432">
    <w:p w14:paraId="5089D83F"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 L’Appel</w:t>
      </w:r>
      <w:r w:rsidRPr="00F230F1">
        <w:rPr>
          <w:rFonts w:asciiTheme="majorBidi" w:hAnsiTheme="majorBidi" w:cstheme="majorBidi"/>
          <w:sz w:val="20"/>
          <w:szCs w:val="20"/>
        </w:rPr>
        <w:t xml:space="preserve">, traduit et présenté par André </w:t>
      </w:r>
      <w:r w:rsidRPr="00F230F1">
        <w:rPr>
          <w:rFonts w:asciiTheme="majorBidi" w:eastAsia="Times New Roman" w:hAnsiTheme="majorBidi" w:cstheme="majorBidi"/>
          <w:sz w:val="20"/>
          <w:szCs w:val="20"/>
        </w:rPr>
        <w:t xml:space="preserve">Chouraqui, </w:t>
      </w:r>
      <w:r w:rsidRPr="00F230F1">
        <w:rPr>
          <w:rFonts w:asciiTheme="majorBidi" w:eastAsia="Times New Roman" w:hAnsiTheme="majorBidi" w:cstheme="majorBidi"/>
          <w:sz w:val="20"/>
          <w:szCs w:val="20"/>
          <w:shd w:val="clear" w:color="auto" w:fill="FFFFFF"/>
        </w:rPr>
        <w:t xml:space="preserve">Robert Laffont, 1990, </w:t>
      </w:r>
      <w:r w:rsidRPr="00F230F1">
        <w:rPr>
          <w:rFonts w:asciiTheme="majorBidi" w:eastAsia="Times New Roman" w:hAnsiTheme="majorBidi" w:cstheme="majorBidi"/>
          <w:sz w:val="20"/>
          <w:szCs w:val="20"/>
        </w:rPr>
        <w:t>« Liminaire », p. 10.</w:t>
      </w:r>
    </w:p>
  </w:footnote>
  <w:footnote w:id="433">
    <w:p w14:paraId="5339C952" w14:textId="77777777" w:rsidR="009C3BB9" w:rsidRPr="00F230F1" w:rsidRDefault="009C3BB9" w:rsidP="00F230F1">
      <w:pPr>
        <w:pStyle w:val="Notedebasdepage"/>
        <w:contextualSpacing/>
        <w:jc w:val="both"/>
        <w:rPr>
          <w:rFonts w:asciiTheme="majorBidi" w:hAnsiTheme="majorBidi" w:cstheme="majorBidi"/>
          <w:sz w:val="20"/>
          <w:szCs w:val="20"/>
        </w:rPr>
      </w:pPr>
      <w:r w:rsidRPr="00FB618D">
        <w:rPr>
          <w:rStyle w:val="Appelnotedebasdep"/>
          <w:rFonts w:asciiTheme="majorBidi" w:hAnsiTheme="majorBidi" w:cstheme="majorBidi"/>
          <w:sz w:val="20"/>
          <w:szCs w:val="20"/>
        </w:rPr>
        <w:footnoteRef/>
      </w:r>
      <w:r w:rsidRPr="00FB618D">
        <w:rPr>
          <w:rFonts w:asciiTheme="majorBidi" w:hAnsiTheme="majorBidi" w:cstheme="majorBidi"/>
          <w:sz w:val="20"/>
          <w:szCs w:val="20"/>
        </w:rPr>
        <w:t xml:space="preserve"> </w:t>
      </w:r>
      <w:r w:rsidRPr="00FB618D">
        <w:rPr>
          <w:rFonts w:asciiTheme="majorBidi" w:hAnsiTheme="majorBidi" w:cstheme="majorBidi"/>
          <w:i/>
          <w:iCs/>
          <w:sz w:val="20"/>
          <w:szCs w:val="20"/>
        </w:rPr>
        <w:t>Cf.</w:t>
      </w:r>
      <w:r w:rsidRPr="00FB618D">
        <w:rPr>
          <w:rFonts w:asciiTheme="majorBidi" w:hAnsiTheme="majorBidi" w:cstheme="majorBidi"/>
          <w:sz w:val="20"/>
          <w:szCs w:val="20"/>
        </w:rPr>
        <w:t xml:space="preserve"> </w:t>
      </w:r>
      <w:r w:rsidRPr="00FB618D">
        <w:rPr>
          <w:rFonts w:asciiTheme="majorBidi" w:hAnsiTheme="majorBidi" w:cstheme="majorBidi"/>
          <w:i/>
          <w:iCs/>
          <w:sz w:val="20"/>
          <w:szCs w:val="20"/>
        </w:rPr>
        <w:t>supra</w:t>
      </w:r>
      <w:r w:rsidRPr="00FB618D">
        <w:rPr>
          <w:rFonts w:asciiTheme="majorBidi" w:hAnsiTheme="majorBidi" w:cstheme="majorBidi"/>
          <w:sz w:val="20"/>
          <w:szCs w:val="20"/>
        </w:rPr>
        <w:t>, dans l’introduction, note 98, p. 40. Nous rappelons que la théorie du skopos élaborée dans les années</w:t>
      </w:r>
      <w:r w:rsidRPr="00F230F1">
        <w:rPr>
          <w:rFonts w:asciiTheme="majorBidi" w:hAnsiTheme="majorBidi" w:cstheme="majorBidi"/>
          <w:sz w:val="20"/>
          <w:szCs w:val="20"/>
        </w:rPr>
        <w:t xml:space="preserve"> 1970 par le théoricien allemand Hans J. Vermeer est une théorie selon laquelle toute traduction en tant qu’action a un but ou un objectif qui peut être différent de celui du texte de départ.</w:t>
      </w:r>
    </w:p>
  </w:footnote>
  <w:footnote w:id="434">
    <w:p w14:paraId="6AED1FD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 xml:space="preserve">Le Coran. </w:t>
      </w:r>
      <w:r w:rsidRPr="00F230F1">
        <w:rPr>
          <w:rFonts w:asciiTheme="majorBidi" w:hAnsiTheme="majorBidi" w:cstheme="majorBidi"/>
          <w:sz w:val="20"/>
          <w:szCs w:val="20"/>
        </w:rPr>
        <w:t xml:space="preserve">Berque,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 Avant-propos », </w:t>
      </w:r>
      <w:r w:rsidRPr="00F230F1">
        <w:rPr>
          <w:rFonts w:asciiTheme="majorBidi" w:eastAsia="Times New Roman" w:hAnsiTheme="majorBidi" w:cstheme="majorBidi"/>
          <w:sz w:val="20"/>
          <w:szCs w:val="20"/>
          <w:lang w:bidi="ar-AE"/>
        </w:rPr>
        <w:t xml:space="preserve">pp. 14 et 15. </w:t>
      </w:r>
    </w:p>
  </w:footnote>
  <w:footnote w:id="435">
    <w:p w14:paraId="25EC294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Berque souligne : </w:t>
      </w:r>
      <w:r w:rsidRPr="00F230F1">
        <w:rPr>
          <w:rFonts w:asciiTheme="majorBidi" w:eastAsia="Times New Roman" w:hAnsiTheme="majorBidi" w:cstheme="majorBidi"/>
          <w:sz w:val="20"/>
          <w:szCs w:val="20"/>
          <w:lang w:bidi="ar-AE"/>
        </w:rPr>
        <w:t>« Les lecteurs francophones nous seront gré, espérons-le, de cette simplification ». (</w:t>
      </w:r>
      <w:r w:rsidRPr="00F230F1">
        <w:rPr>
          <w:rFonts w:asciiTheme="majorBidi" w:hAnsiTheme="majorBidi" w:cstheme="majorBidi"/>
          <w:i/>
          <w:iCs/>
          <w:sz w:val="20"/>
          <w:szCs w:val="20"/>
        </w:rPr>
        <w:t xml:space="preserve">Le Coran. </w:t>
      </w:r>
      <w:r w:rsidRPr="00F230F1">
        <w:rPr>
          <w:rFonts w:asciiTheme="majorBidi" w:hAnsiTheme="majorBidi" w:cstheme="majorBidi"/>
          <w:sz w:val="20"/>
          <w:szCs w:val="20"/>
        </w:rPr>
        <w:t xml:space="preserve">Berque,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lang w:bidi="ar-AE"/>
        </w:rPr>
        <w:t>p. 17.)</w:t>
      </w:r>
    </w:p>
  </w:footnote>
  <w:footnote w:id="436">
    <w:p w14:paraId="6FF8EB26" w14:textId="77777777" w:rsidR="009C3BB9" w:rsidRPr="00F230F1" w:rsidRDefault="009C3BB9" w:rsidP="00F230F1">
      <w:pPr>
        <w:pStyle w:val="Titre1"/>
        <w:spacing w:before="0" w:beforeAutospacing="0" w:after="0" w:afterAutospacing="0"/>
        <w:contextualSpacing/>
        <w:jc w:val="both"/>
        <w:textAlignment w:val="baseline"/>
        <w:rPr>
          <w:rFonts w:asciiTheme="majorBidi" w:hAnsiTheme="majorBidi" w:cstheme="majorBidi"/>
          <w:b w:val="0"/>
          <w:bCs w:val="0"/>
          <w:sz w:val="20"/>
          <w:szCs w:val="20"/>
          <w:lang w:eastAsia="fr-FR"/>
        </w:rPr>
      </w:pPr>
      <w:r w:rsidRPr="00F230F1">
        <w:rPr>
          <w:rStyle w:val="Appelnotedebasdep"/>
          <w:rFonts w:asciiTheme="majorBidi" w:hAnsiTheme="majorBidi" w:cstheme="majorBidi"/>
          <w:b w:val="0"/>
          <w:bCs w:val="0"/>
          <w:sz w:val="20"/>
          <w:szCs w:val="20"/>
        </w:rPr>
        <w:footnoteRef/>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Le Noble Coran – Nouvelle traduction du sens de ses versets par Mohammed Chiadmi</w:t>
      </w:r>
      <w:r w:rsidRPr="00F230F1">
        <w:rPr>
          <w:rFonts w:asciiTheme="majorBidi" w:hAnsiTheme="majorBidi" w:cstheme="majorBidi"/>
          <w:b w:val="0"/>
          <w:bCs w:val="0"/>
          <w:sz w:val="20"/>
          <w:szCs w:val="20"/>
        </w:rPr>
        <w:t xml:space="preserve">, « L’auteur de la traduction », p. XXXVIII. Site Le Noble Coran </w:t>
      </w:r>
      <w:hyperlink r:id="rId140" w:history="1">
        <w:r w:rsidRPr="00F230F1">
          <w:rPr>
            <w:rStyle w:val="Lienhypertexte"/>
            <w:rFonts w:asciiTheme="majorBidi" w:hAnsiTheme="majorBidi" w:cstheme="majorBidi"/>
            <w:b w:val="0"/>
            <w:bCs w:val="0"/>
            <w:sz w:val="20"/>
            <w:szCs w:val="20"/>
          </w:rPr>
          <w:t>http://www.lenoblecoran.fr/mohammed-chiadmi/</w:t>
        </w:r>
      </w:hyperlink>
      <w:r w:rsidRPr="00F230F1">
        <w:rPr>
          <w:rFonts w:asciiTheme="majorBidi" w:hAnsiTheme="majorBidi" w:cstheme="majorBidi"/>
          <w:b w:val="0"/>
          <w:bCs w:val="0"/>
          <w:sz w:val="20"/>
          <w:szCs w:val="20"/>
        </w:rPr>
        <w:t xml:space="preserve"> (consulté le 15/08/2017).</w:t>
      </w:r>
    </w:p>
  </w:footnote>
  <w:footnote w:id="437">
    <w:p w14:paraId="3B6206E4" w14:textId="77777777" w:rsidR="009C3BB9" w:rsidRPr="00F230F1" w:rsidRDefault="009C3BB9" w:rsidP="00F230F1">
      <w:pPr>
        <w:pStyle w:val="Titre1"/>
        <w:spacing w:before="0" w:beforeAutospacing="0" w:after="0" w:afterAutospacing="0"/>
        <w:contextualSpacing/>
        <w:jc w:val="both"/>
        <w:textAlignment w:val="baseline"/>
        <w:rPr>
          <w:rFonts w:asciiTheme="majorBidi" w:hAnsiTheme="majorBidi" w:cstheme="majorBidi"/>
          <w:b w:val="0"/>
          <w:bCs w:val="0"/>
          <w:sz w:val="20"/>
          <w:szCs w:val="20"/>
          <w:lang w:eastAsia="fr-FR"/>
        </w:rPr>
      </w:pPr>
      <w:r w:rsidRPr="00F230F1">
        <w:rPr>
          <w:rStyle w:val="Appelnotedebasdep"/>
          <w:rFonts w:asciiTheme="majorBidi" w:hAnsiTheme="majorBidi" w:cstheme="majorBidi"/>
          <w:b w:val="0"/>
          <w:bCs w:val="0"/>
          <w:sz w:val="20"/>
          <w:szCs w:val="20"/>
        </w:rPr>
        <w:footnoteRef/>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Le Noble Coran… par Chiadmi</w:t>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op. cit.</w:t>
      </w:r>
      <w:r w:rsidRPr="00F230F1">
        <w:rPr>
          <w:rFonts w:asciiTheme="majorBidi" w:hAnsiTheme="majorBidi" w:cstheme="majorBidi"/>
          <w:b w:val="0"/>
          <w:bCs w:val="0"/>
          <w:sz w:val="20"/>
          <w:szCs w:val="20"/>
        </w:rPr>
        <w:t>, « Universaliser le Message. Préface de Shaykh Zakaria Seddiki », pp. XIII &amp; IX.</w:t>
      </w:r>
    </w:p>
  </w:footnote>
  <w:footnote w:id="438">
    <w:p w14:paraId="3AAF3CDC" w14:textId="77777777" w:rsidR="009C3BB9" w:rsidRPr="00F230F1" w:rsidRDefault="009C3BB9" w:rsidP="00F230F1">
      <w:pPr>
        <w:pStyle w:val="Titre1"/>
        <w:spacing w:before="0" w:beforeAutospacing="0" w:after="0" w:afterAutospacing="0"/>
        <w:contextualSpacing/>
        <w:jc w:val="both"/>
        <w:textAlignment w:val="baseline"/>
        <w:rPr>
          <w:rFonts w:asciiTheme="majorBidi" w:hAnsiTheme="majorBidi" w:cstheme="majorBidi"/>
          <w:b w:val="0"/>
          <w:bCs w:val="0"/>
          <w:sz w:val="20"/>
          <w:szCs w:val="20"/>
          <w:lang w:eastAsia="fr-FR"/>
        </w:rPr>
      </w:pPr>
      <w:r w:rsidRPr="00F230F1">
        <w:rPr>
          <w:rStyle w:val="Appelnotedebasdep"/>
          <w:rFonts w:asciiTheme="majorBidi" w:hAnsiTheme="majorBidi" w:cstheme="majorBidi"/>
          <w:b w:val="0"/>
          <w:bCs w:val="0"/>
          <w:sz w:val="20"/>
          <w:szCs w:val="20"/>
        </w:rPr>
        <w:footnoteRef/>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Le Noble Coran… par Chiadmi</w:t>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op. cit.</w:t>
      </w:r>
      <w:r w:rsidRPr="00F230F1">
        <w:rPr>
          <w:rFonts w:asciiTheme="majorBidi" w:hAnsiTheme="majorBidi" w:cstheme="majorBidi"/>
          <w:b w:val="0"/>
          <w:bCs w:val="0"/>
          <w:sz w:val="20"/>
          <w:szCs w:val="20"/>
        </w:rPr>
        <w:t>, « Le verbe et ses Signes. Préface du Professeur Tariq Ramadan », p. XVI.</w:t>
      </w:r>
    </w:p>
  </w:footnote>
  <w:footnote w:id="439">
    <w:p w14:paraId="6FBE8A34" w14:textId="77777777" w:rsidR="009C3BB9" w:rsidRPr="00F230F1" w:rsidRDefault="009C3BB9" w:rsidP="00F230F1">
      <w:pPr>
        <w:pStyle w:val="Titre1"/>
        <w:spacing w:before="0" w:beforeAutospacing="0" w:after="0" w:afterAutospacing="0"/>
        <w:contextualSpacing/>
        <w:jc w:val="both"/>
        <w:textAlignment w:val="baseline"/>
        <w:rPr>
          <w:rFonts w:asciiTheme="majorBidi" w:hAnsiTheme="majorBidi" w:cstheme="majorBidi"/>
          <w:b w:val="0"/>
          <w:bCs w:val="0"/>
          <w:sz w:val="20"/>
          <w:szCs w:val="20"/>
          <w:lang w:eastAsia="fr-FR"/>
        </w:rPr>
      </w:pPr>
      <w:r w:rsidRPr="00F230F1">
        <w:rPr>
          <w:rStyle w:val="Appelnotedebasdep"/>
          <w:rFonts w:asciiTheme="majorBidi" w:hAnsiTheme="majorBidi" w:cstheme="majorBidi"/>
          <w:b w:val="0"/>
          <w:bCs w:val="0"/>
          <w:sz w:val="20"/>
          <w:szCs w:val="20"/>
        </w:rPr>
        <w:footnoteRef/>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Le Noble Coran par Chiadmi</w:t>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op. cit.</w:t>
      </w:r>
      <w:r w:rsidRPr="00F230F1">
        <w:rPr>
          <w:rFonts w:asciiTheme="majorBidi" w:hAnsiTheme="majorBidi" w:cstheme="majorBidi"/>
          <w:b w:val="0"/>
          <w:bCs w:val="0"/>
          <w:sz w:val="20"/>
          <w:szCs w:val="20"/>
        </w:rPr>
        <w:t>, « Sens et fidélité. Préface de Shaykh Yusuf Ibram », p. XI.</w:t>
      </w:r>
    </w:p>
  </w:footnote>
  <w:footnote w:id="440">
    <w:p w14:paraId="7BC8D54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 xml:space="preserve">Le Noble Coran </w:t>
      </w:r>
      <w:r w:rsidRPr="00F230F1">
        <w:rPr>
          <w:rFonts w:asciiTheme="majorBidi" w:hAnsiTheme="majorBidi" w:cstheme="majorBidi"/>
          <w:sz w:val="20"/>
          <w:szCs w:val="20"/>
        </w:rPr>
        <w:t xml:space="preserve">par Chiadmi, « Avant-propos », </w:t>
      </w:r>
      <w:r w:rsidRPr="00F230F1">
        <w:rPr>
          <w:rFonts w:asciiTheme="majorBidi" w:hAnsiTheme="majorBidi" w:cstheme="majorBidi"/>
          <w:i/>
          <w:iCs/>
          <w:sz w:val="20"/>
          <w:szCs w:val="20"/>
        </w:rPr>
        <w:t>op. cit.</w:t>
      </w:r>
      <w:r w:rsidRPr="00F230F1">
        <w:rPr>
          <w:rFonts w:asciiTheme="majorBidi" w:hAnsiTheme="majorBidi" w:cstheme="majorBidi"/>
          <w:sz w:val="20"/>
          <w:szCs w:val="20"/>
        </w:rPr>
        <w:t>, p. XXXVI. Chiadmi souligne : « Ce fut au cours de l’une de ces causeries que cette idée a germé dans mon esprit, lorsque de jeunes musulmans émigrés qui ne connaissent pas bien l’arabe se plaignirent de ne pas disposer d’une bonne traduction française du Coran, susceptible de les aider à bien comprendre leur religion. »</w:t>
      </w:r>
    </w:p>
  </w:footnote>
  <w:footnote w:id="441">
    <w:p w14:paraId="62AA6C97"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Maurice Borrmans</w:t>
      </w:r>
      <w:r w:rsidRPr="00F230F1">
        <w:rPr>
          <w:rFonts w:asciiTheme="majorBidi" w:hAnsiTheme="majorBidi" w:cstheme="majorBidi"/>
          <w:sz w:val="20"/>
          <w:szCs w:val="20"/>
        </w:rPr>
        <w:t>, « </w:t>
      </w:r>
      <w:r w:rsidRPr="00F230F1">
        <w:rPr>
          <w:rFonts w:asciiTheme="majorBidi" w:eastAsia="Calibri" w:hAnsiTheme="majorBidi" w:cstheme="majorBidi"/>
          <w:sz w:val="20"/>
          <w:szCs w:val="20"/>
        </w:rPr>
        <w:t>Les traductions françaises du Cor</w:t>
      </w:r>
      <w:r w:rsidRPr="00F230F1">
        <w:rPr>
          <w:rFonts w:asciiTheme="majorBidi" w:hAnsiTheme="majorBidi" w:cstheme="majorBidi"/>
          <w:sz w:val="20"/>
          <w:szCs w:val="20"/>
        </w:rPr>
        <w:t>an : présentation et évaluation »,</w:t>
      </w:r>
      <w:r w:rsidRPr="00F230F1">
        <w:rPr>
          <w:rFonts w:asciiTheme="majorBidi" w:hAnsiTheme="majorBidi" w:cstheme="majorBidi"/>
          <w:i/>
          <w:iCs/>
          <w:sz w:val="20"/>
          <w:szCs w:val="20"/>
        </w:rPr>
        <w:t xml:space="preserve"> </w:t>
      </w:r>
      <w:r w:rsidRPr="00F230F1">
        <w:rPr>
          <w:rFonts w:asciiTheme="majorBidi" w:hAnsiTheme="majorBidi" w:cstheme="majorBidi"/>
          <w:i/>
          <w:sz w:val="20"/>
          <w:szCs w:val="20"/>
        </w:rPr>
        <w:t>ARCRE (Action pour la Rencontre des Cultures et Religions en Europe</w:t>
      </w:r>
      <w:r w:rsidRPr="00F230F1">
        <w:rPr>
          <w:rFonts w:asciiTheme="majorBidi" w:hAnsiTheme="majorBidi" w:cstheme="majorBidi"/>
          <w:sz w:val="20"/>
          <w:szCs w:val="20"/>
        </w:rPr>
        <w:t>), 19 octobre 2014 [</w:t>
      </w:r>
      <w:hyperlink r:id="rId141" w:history="1">
        <w:r w:rsidRPr="00F230F1">
          <w:rPr>
            <w:rStyle w:val="Lienhypertexte"/>
            <w:rFonts w:asciiTheme="majorBidi" w:hAnsiTheme="majorBidi" w:cstheme="majorBidi"/>
            <w:sz w:val="20"/>
            <w:szCs w:val="20"/>
          </w:rPr>
          <w:t>http://www.arcre.org/p-maurice-borrmans-les-traductions-francaises-du-coran-presentation-et-evaluation/</w:t>
        </w:r>
      </w:hyperlink>
      <w:r w:rsidRPr="00F230F1">
        <w:rPr>
          <w:rFonts w:asciiTheme="majorBidi" w:hAnsiTheme="majorBidi" w:cstheme="majorBidi"/>
          <w:sz w:val="20"/>
          <w:szCs w:val="20"/>
        </w:rPr>
        <w:t>] (consulté le 08/08/2017).</w:t>
      </w:r>
    </w:p>
  </w:footnote>
  <w:footnote w:id="442">
    <w:p w14:paraId="3F14C36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Christiane Dieterlé, « La Bible au risques des traductions », </w:t>
      </w:r>
      <w:r w:rsidRPr="00F230F1">
        <w:rPr>
          <w:rFonts w:asciiTheme="majorBidi" w:hAnsiTheme="majorBidi" w:cstheme="majorBidi"/>
          <w:i/>
          <w:sz w:val="20"/>
          <w:szCs w:val="20"/>
        </w:rPr>
        <w:t>Foi &amp; Vie</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Cahier Biblique</w:t>
      </w:r>
      <w:r w:rsidRPr="00F230F1">
        <w:rPr>
          <w:rFonts w:asciiTheme="majorBidi" w:hAnsiTheme="majorBidi" w:cstheme="majorBidi"/>
          <w:sz w:val="20"/>
          <w:szCs w:val="20"/>
        </w:rPr>
        <w:t xml:space="preserve"> n° 41, Septembre 2002, p. 32.</w:t>
      </w:r>
    </w:p>
  </w:footnote>
  <w:footnote w:id="443">
    <w:p w14:paraId="1A9A465A"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sz w:val="20"/>
          <w:szCs w:val="20"/>
        </w:rPr>
        <w:t>Le Noble Coran</w:t>
      </w:r>
      <w:r w:rsidRPr="00F230F1">
        <w:rPr>
          <w:rFonts w:asciiTheme="majorBidi" w:hAnsiTheme="majorBidi" w:cstheme="majorBidi"/>
          <w:sz w:val="20"/>
          <w:szCs w:val="20"/>
        </w:rPr>
        <w:t xml:space="preserve">, traduit par </w:t>
      </w:r>
      <w:r w:rsidRPr="00F230F1">
        <w:rPr>
          <w:rFonts w:asciiTheme="majorBidi" w:hAnsiTheme="majorBidi" w:cstheme="majorBidi"/>
          <w:bCs/>
          <w:sz w:val="20"/>
          <w:szCs w:val="20"/>
        </w:rPr>
        <w:t>Mohammed Chiadmi,</w:t>
      </w:r>
      <w:r w:rsidRPr="00F230F1">
        <w:rPr>
          <w:rFonts w:asciiTheme="majorBidi" w:hAnsiTheme="majorBidi" w:cstheme="majorBidi"/>
          <w:sz w:val="20"/>
          <w:szCs w:val="20"/>
        </w:rPr>
        <w:t xml:space="preserve"> éditions Tawhid, 2004., Préfaces, p. XXI.</w:t>
      </w:r>
    </w:p>
  </w:footnote>
  <w:footnote w:id="444">
    <w:p w14:paraId="2B89BA0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sz w:val="20"/>
          <w:szCs w:val="20"/>
        </w:rPr>
        <w:t>Le Noble Coran</w:t>
      </w:r>
      <w:r w:rsidRPr="00F230F1">
        <w:rPr>
          <w:rFonts w:asciiTheme="majorBidi" w:hAnsiTheme="majorBidi" w:cstheme="majorBidi"/>
          <w:sz w:val="20"/>
          <w:szCs w:val="20"/>
        </w:rPr>
        <w:t xml:space="preserve">, par </w:t>
      </w:r>
      <w:r w:rsidRPr="00F230F1">
        <w:rPr>
          <w:rFonts w:asciiTheme="majorBidi" w:hAnsiTheme="majorBidi" w:cstheme="majorBidi"/>
          <w:bCs/>
          <w:sz w:val="20"/>
          <w:szCs w:val="20"/>
        </w:rPr>
        <w:t>Chiadmi</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 introduction », p. XXIX.</w:t>
      </w:r>
    </w:p>
  </w:footnote>
  <w:footnote w:id="445">
    <w:p w14:paraId="5DB31F8C" w14:textId="77777777" w:rsidR="009C3BB9" w:rsidRPr="00F230F1" w:rsidRDefault="009C3BB9" w:rsidP="00F230F1">
      <w:pPr>
        <w:contextualSpacing/>
        <w:jc w:val="both"/>
        <w:rPr>
          <w:rFonts w:asciiTheme="majorBidi" w:eastAsia="Calibr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Sami Aldeeb, « </w:t>
      </w:r>
      <w:r w:rsidRPr="00F230F1">
        <w:rPr>
          <w:rFonts w:asciiTheme="majorBidi" w:hAnsiTheme="majorBidi" w:cstheme="majorBidi"/>
          <w:i/>
          <w:iCs/>
          <w:sz w:val="20"/>
          <w:szCs w:val="20"/>
        </w:rPr>
        <w:t>Khibratī maʿa n-nāshirīn </w:t>
      </w:r>
      <w:r w:rsidRPr="00F230F1">
        <w:rPr>
          <w:rFonts w:asciiTheme="majorBidi" w:hAnsiTheme="majorBidi" w:cstheme="majorBidi"/>
          <w:sz w:val="20"/>
          <w:szCs w:val="20"/>
        </w:rPr>
        <w:t xml:space="preserve">» [« Mon expérience avec les éditeurs »], </w:t>
      </w:r>
      <w:r w:rsidRPr="00F230F1">
        <w:rPr>
          <w:rFonts w:asciiTheme="majorBidi" w:hAnsiTheme="majorBidi" w:cstheme="majorBidi"/>
          <w:i/>
          <w:sz w:val="20"/>
          <w:szCs w:val="20"/>
        </w:rPr>
        <w:t>Al-Hiw</w:t>
      </w:r>
      <w:r w:rsidRPr="00F230F1">
        <w:rPr>
          <w:rFonts w:asciiTheme="majorBidi" w:hAnsiTheme="majorBidi" w:cstheme="majorBidi"/>
          <w:i/>
          <w:iCs/>
          <w:sz w:val="20"/>
          <w:szCs w:val="20"/>
        </w:rPr>
        <w:t>ār al-mutamaddin</w:t>
      </w:r>
      <w:r w:rsidRPr="00F230F1">
        <w:rPr>
          <w:rFonts w:asciiTheme="majorBidi" w:hAnsiTheme="majorBidi" w:cstheme="majorBidi"/>
          <w:iCs/>
          <w:sz w:val="20"/>
          <w:szCs w:val="20"/>
        </w:rPr>
        <w:t xml:space="preserve">, n° 3929, 2 décembre </w:t>
      </w:r>
      <w:r w:rsidRPr="00F230F1">
        <w:rPr>
          <w:rFonts w:asciiTheme="majorBidi" w:hAnsiTheme="majorBidi" w:cstheme="majorBidi"/>
          <w:sz w:val="20"/>
          <w:szCs w:val="20"/>
        </w:rPr>
        <w:t>2012</w:t>
      </w:r>
      <w:r w:rsidRPr="00F230F1">
        <w:rPr>
          <w:rFonts w:asciiTheme="majorBidi" w:hAnsiTheme="majorBidi" w:cstheme="majorBidi"/>
          <w:color w:val="FF0000"/>
          <w:sz w:val="20"/>
          <w:szCs w:val="20"/>
        </w:rPr>
        <w:t xml:space="preserve"> </w:t>
      </w:r>
      <w:r w:rsidRPr="00F230F1">
        <w:rPr>
          <w:rFonts w:asciiTheme="majorBidi" w:hAnsiTheme="majorBidi" w:cstheme="majorBidi"/>
          <w:sz w:val="20"/>
          <w:szCs w:val="20"/>
        </w:rPr>
        <w:t>[</w:t>
      </w:r>
      <w:hyperlink r:id="rId142" w:history="1">
        <w:r w:rsidRPr="00F230F1">
          <w:rPr>
            <w:rStyle w:val="Lienhypertexte"/>
            <w:rFonts w:asciiTheme="majorBidi" w:eastAsia="Calibri" w:hAnsiTheme="majorBidi" w:cstheme="majorBidi"/>
            <w:sz w:val="20"/>
            <w:szCs w:val="20"/>
            <w:lang w:bidi="ar-AE"/>
          </w:rPr>
          <w:t>http://www.ahewar.org/debat/show.art.asp?aid=334921</w:t>
        </w:r>
      </w:hyperlink>
      <w:r w:rsidRPr="00F230F1">
        <w:rPr>
          <w:rFonts w:asciiTheme="majorBidi" w:eastAsia="Calibri" w:hAnsiTheme="majorBidi" w:cstheme="majorBidi"/>
          <w:sz w:val="20"/>
          <w:szCs w:val="20"/>
          <w:lang w:bidi="ar-AE"/>
        </w:rPr>
        <w:t>] ; « Mon expérience avec les éditeurs » : [</w:t>
      </w:r>
      <w:hyperlink r:id="rId143" w:history="1">
        <w:r w:rsidRPr="00F230F1">
          <w:rPr>
            <w:rStyle w:val="Lienhypertexte"/>
            <w:rFonts w:asciiTheme="majorBidi" w:eastAsia="Calibri" w:hAnsiTheme="majorBidi" w:cstheme="majorBidi"/>
            <w:sz w:val="20"/>
            <w:szCs w:val="20"/>
            <w:lang w:bidi="ar-AE"/>
          </w:rPr>
          <w:t>http://www.blog.sami-aldeeb.com/2012/12/02/mon-experience-avec-les-editeurs/</w:t>
        </w:r>
      </w:hyperlink>
      <w:r w:rsidRPr="00F230F1">
        <w:rPr>
          <w:rFonts w:asciiTheme="majorBidi" w:eastAsia="Calibri" w:hAnsiTheme="majorBidi" w:cstheme="majorBidi"/>
          <w:sz w:val="20"/>
          <w:szCs w:val="20"/>
          <w:lang w:bidi="ar-AE"/>
        </w:rPr>
        <w:t xml:space="preserve">] (consultés le 11/08/2017). </w:t>
      </w:r>
    </w:p>
  </w:footnote>
  <w:footnote w:id="446">
    <w:p w14:paraId="3BCE18B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Suyūṭī, </w:t>
      </w:r>
      <w:r w:rsidRPr="00F230F1">
        <w:rPr>
          <w:rFonts w:asciiTheme="majorBidi" w:hAnsiTheme="majorBidi" w:cstheme="majorBidi"/>
          <w:i/>
          <w:iCs/>
          <w:sz w:val="20"/>
          <w:szCs w:val="20"/>
        </w:rPr>
        <w:t>Itqān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texte en ligne par </w:t>
      </w:r>
      <w:r w:rsidRPr="00F230F1">
        <w:rPr>
          <w:rFonts w:asciiTheme="majorBidi" w:hAnsiTheme="majorBidi" w:cstheme="majorBidi"/>
          <w:i/>
          <w:iCs/>
          <w:sz w:val="20"/>
          <w:szCs w:val="20"/>
        </w:rPr>
        <w:t>Al-Maktaba al-Islāmyya</w:t>
      </w:r>
      <w:r w:rsidRPr="00F230F1">
        <w:rPr>
          <w:rFonts w:asciiTheme="majorBidi" w:hAnsiTheme="majorBidi" w:cstheme="majorBidi"/>
          <w:sz w:val="20"/>
          <w:szCs w:val="20"/>
        </w:rPr>
        <w:t xml:space="preserve"> [</w:t>
      </w:r>
      <w:hyperlink r:id="rId144" w:history="1">
        <w:r w:rsidRPr="00F230F1">
          <w:rPr>
            <w:rStyle w:val="Lienhypertexte"/>
            <w:rFonts w:asciiTheme="majorBidi" w:hAnsiTheme="majorBidi" w:cstheme="majorBidi"/>
            <w:sz w:val="20"/>
            <w:szCs w:val="20"/>
          </w:rPr>
          <w:t>http://library.islamweb.net/newlibrary/display_book.php?idfrom=43&amp;idto=43&amp;bk_no=68&amp;ID=50</w:t>
        </w:r>
      </w:hyperlink>
      <w:r w:rsidRPr="00F230F1">
        <w:rPr>
          <w:rFonts w:asciiTheme="majorBidi" w:hAnsiTheme="majorBidi" w:cstheme="majorBidi"/>
          <w:sz w:val="20"/>
          <w:szCs w:val="20"/>
        </w:rPr>
        <w:t>] (consulté le 18/08/2017).</w:t>
      </w:r>
    </w:p>
  </w:footnote>
  <w:footnote w:id="447">
    <w:p w14:paraId="6C983DE3"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Aldeeb </w:t>
      </w:r>
      <w:r w:rsidRPr="00F230F1">
        <w:rPr>
          <w:rFonts w:asciiTheme="majorBidi" w:eastAsia="Times New Roman" w:hAnsiTheme="majorBidi" w:cstheme="majorBidi"/>
          <w:sz w:val="20"/>
          <w:szCs w:val="20"/>
        </w:rPr>
        <w:t>nous a envoyé par courrier électronique</w:t>
      </w:r>
      <w:r w:rsidRPr="00F230F1">
        <w:rPr>
          <w:rFonts w:asciiTheme="majorBidi" w:hAnsiTheme="majorBidi" w:cstheme="majorBidi"/>
          <w:sz w:val="20"/>
          <w:szCs w:val="20"/>
        </w:rPr>
        <w:t xml:space="preserve"> le 09 août 2017 le message qu’il avait envoyé à la traductrice italienne</w:t>
      </w:r>
      <w:r w:rsidRPr="00F230F1">
        <w:rPr>
          <w:rFonts w:asciiTheme="majorBidi" w:eastAsia="Times New Roman" w:hAnsiTheme="majorBidi" w:cstheme="majorBidi"/>
          <w:sz w:val="20"/>
          <w:szCs w:val="20"/>
        </w:rPr>
        <w:t xml:space="preserve"> Ida Zilio Grandi le 05/12/2010. Il a parlé de cette correspondance avec la traductrice italienne dans son article « </w:t>
      </w:r>
      <w:r w:rsidRPr="00F230F1">
        <w:rPr>
          <w:rFonts w:asciiTheme="majorBidi" w:eastAsia="Times New Roman" w:hAnsiTheme="majorBidi" w:cstheme="majorBidi"/>
          <w:sz w:val="20"/>
          <w:szCs w:val="20"/>
          <w:rtl/>
        </w:rPr>
        <w:t>من وحي ترجماتي للقرآن 7: بلاغة القرآن؟</w:t>
      </w:r>
      <w:r w:rsidRPr="00F230F1">
        <w:rPr>
          <w:rFonts w:asciiTheme="majorBidi" w:eastAsia="Times New Roman" w:hAnsiTheme="majorBidi" w:cstheme="majorBidi"/>
          <w:sz w:val="20"/>
          <w:szCs w:val="20"/>
        </w:rPr>
        <w:t xml:space="preserve"> » (Site : </w:t>
      </w:r>
      <w:r w:rsidRPr="00F230F1">
        <w:rPr>
          <w:rFonts w:asciiTheme="majorBidi" w:eastAsia="Times New Roman" w:hAnsiTheme="majorBidi" w:cstheme="majorBidi"/>
          <w:i/>
          <w:sz w:val="20"/>
          <w:szCs w:val="20"/>
        </w:rPr>
        <w:t>al-Ḥiwār al-Mutamaddin</w:t>
      </w:r>
      <w:r w:rsidRPr="00F230F1">
        <w:rPr>
          <w:rFonts w:asciiTheme="majorBidi" w:eastAsia="Times New Roman" w:hAnsiTheme="majorBidi" w:cstheme="majorBidi"/>
          <w:sz w:val="20"/>
          <w:szCs w:val="20"/>
        </w:rPr>
        <w:t>, n°  5603, le 07/08/2017) sur ce lien :</w:t>
      </w:r>
      <w:r w:rsidRPr="00F230F1">
        <w:rPr>
          <w:rFonts w:asciiTheme="majorBidi" w:eastAsia="Times New Roman" w:hAnsiTheme="majorBidi" w:cstheme="majorBidi"/>
          <w:color w:val="C00000"/>
          <w:sz w:val="20"/>
          <w:szCs w:val="20"/>
        </w:rPr>
        <w:t xml:space="preserve"> </w:t>
      </w:r>
      <w:hyperlink r:id="rId145" w:history="1">
        <w:r w:rsidRPr="00F230F1">
          <w:rPr>
            <w:rStyle w:val="Lienhypertexte"/>
            <w:rFonts w:asciiTheme="majorBidi" w:hAnsiTheme="majorBidi" w:cstheme="majorBidi"/>
            <w:sz w:val="20"/>
            <w:szCs w:val="20"/>
          </w:rPr>
          <w:t>http://www.ahewar.org/debat/show.art.asp?aid=567933</w:t>
        </w:r>
      </w:hyperlink>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Voici le message :</w:t>
      </w:r>
    </w:p>
    <w:p w14:paraId="278B19E3" w14:textId="77777777" w:rsidR="009C3BB9" w:rsidRPr="00F230F1" w:rsidRDefault="009C3BB9" w:rsidP="00F230F1">
      <w:pPr>
        <w:contextualSpacing/>
        <w:jc w:val="both"/>
        <w:rPr>
          <w:rFonts w:asciiTheme="majorBidi" w:hAnsiTheme="majorBidi" w:cstheme="majorBidi"/>
          <w:sz w:val="20"/>
          <w:szCs w:val="20"/>
        </w:rPr>
      </w:pPr>
      <w:r w:rsidRPr="00F230F1">
        <w:rPr>
          <w:rFonts w:asciiTheme="majorBidi" w:hAnsiTheme="majorBidi" w:cstheme="majorBidi"/>
          <w:sz w:val="20"/>
          <w:szCs w:val="20"/>
        </w:rPr>
        <w:t xml:space="preserve">De : aldeeb sami </w:t>
      </w:r>
      <w:hyperlink r:id="rId146" w:history="1">
        <w:r w:rsidRPr="00F230F1">
          <w:rPr>
            <w:rStyle w:val="Lienhypertexte"/>
            <w:rFonts w:asciiTheme="majorBidi" w:hAnsiTheme="majorBidi" w:cstheme="majorBidi"/>
            <w:sz w:val="20"/>
            <w:szCs w:val="20"/>
          </w:rPr>
          <w:t>sami.aldeeb@yahoo.fr</w:t>
        </w:r>
      </w:hyperlink>
    </w:p>
    <w:p w14:paraId="1E6CED03" w14:textId="77777777" w:rsidR="009C3BB9" w:rsidRPr="00F230F1" w:rsidRDefault="009C3BB9" w:rsidP="00F230F1">
      <w:pPr>
        <w:contextualSpacing/>
        <w:jc w:val="both"/>
        <w:rPr>
          <w:rFonts w:asciiTheme="majorBidi" w:hAnsiTheme="majorBidi" w:cstheme="majorBidi"/>
          <w:sz w:val="20"/>
          <w:szCs w:val="20"/>
        </w:rPr>
      </w:pPr>
      <w:r w:rsidRPr="00F230F1">
        <w:rPr>
          <w:rFonts w:asciiTheme="majorBidi" w:hAnsiTheme="majorBidi" w:cstheme="majorBidi"/>
          <w:sz w:val="20"/>
          <w:szCs w:val="20"/>
        </w:rPr>
        <w:t xml:space="preserve">À : </w:t>
      </w:r>
      <w:hyperlink r:id="rId147" w:history="1">
        <w:r w:rsidRPr="00F230F1">
          <w:rPr>
            <w:rStyle w:val="Lienhypertexte"/>
            <w:rFonts w:asciiTheme="majorBidi" w:hAnsiTheme="majorBidi" w:cstheme="majorBidi"/>
            <w:sz w:val="20"/>
            <w:szCs w:val="20"/>
          </w:rPr>
          <w:t>idazg@unive.it</w:t>
        </w:r>
      </w:hyperlink>
      <w:r w:rsidRPr="00F230F1">
        <w:rPr>
          <w:rFonts w:asciiTheme="majorBidi" w:hAnsiTheme="majorBidi" w:cstheme="majorBidi"/>
          <w:sz w:val="20"/>
          <w:szCs w:val="20"/>
        </w:rPr>
        <w:t xml:space="preserve"> </w:t>
      </w:r>
    </w:p>
    <w:p w14:paraId="53CD53DF" w14:textId="77777777" w:rsidR="009C3BB9" w:rsidRPr="00F230F1" w:rsidRDefault="009C3BB9" w:rsidP="00F230F1">
      <w:pPr>
        <w:contextualSpacing/>
        <w:jc w:val="both"/>
        <w:rPr>
          <w:rFonts w:asciiTheme="majorBidi" w:hAnsiTheme="majorBidi" w:cstheme="majorBidi"/>
          <w:sz w:val="20"/>
          <w:szCs w:val="20"/>
        </w:rPr>
      </w:pPr>
      <w:r w:rsidRPr="00F230F1">
        <w:rPr>
          <w:rFonts w:asciiTheme="majorBidi" w:hAnsiTheme="majorBidi" w:cstheme="majorBidi"/>
          <w:sz w:val="20"/>
          <w:szCs w:val="20"/>
        </w:rPr>
        <w:t>Envoyé le : Dimanche 5 décembre 2010 15h52</w:t>
      </w:r>
    </w:p>
    <w:p w14:paraId="07176C4E" w14:textId="77777777" w:rsidR="009C3BB9" w:rsidRPr="00F230F1" w:rsidRDefault="009C3BB9" w:rsidP="00F230F1">
      <w:pPr>
        <w:contextualSpacing/>
        <w:jc w:val="both"/>
        <w:rPr>
          <w:rFonts w:asciiTheme="majorBidi" w:hAnsiTheme="majorBidi" w:cstheme="majorBidi"/>
          <w:sz w:val="20"/>
          <w:szCs w:val="20"/>
        </w:rPr>
      </w:pPr>
      <w:r w:rsidRPr="00F230F1">
        <w:rPr>
          <w:rFonts w:asciiTheme="majorBidi" w:hAnsiTheme="majorBidi" w:cstheme="majorBidi"/>
          <w:sz w:val="20"/>
          <w:szCs w:val="20"/>
        </w:rPr>
        <w:t>Objet : Traduzione del Corano in italiano</w:t>
      </w:r>
    </w:p>
    <w:p w14:paraId="28A29B18" w14:textId="77777777" w:rsidR="009C3BB9" w:rsidRPr="00F230F1" w:rsidRDefault="009C3BB9" w:rsidP="00F230F1">
      <w:pPr>
        <w:contextualSpacing/>
        <w:jc w:val="both"/>
        <w:rPr>
          <w:rFonts w:asciiTheme="majorBidi" w:hAnsiTheme="majorBidi" w:cstheme="majorBidi"/>
          <w:sz w:val="20"/>
          <w:szCs w:val="20"/>
        </w:rPr>
      </w:pPr>
      <w:r w:rsidRPr="00F230F1">
        <w:rPr>
          <w:rFonts w:asciiTheme="majorBidi" w:hAnsiTheme="majorBidi" w:cstheme="majorBidi"/>
          <w:sz w:val="20"/>
          <w:szCs w:val="20"/>
        </w:rPr>
        <w:t>Cara Ida, Volevo congratularti per la tua traduzione italiana del Corano che ho potuto ottenere in una libreria di Trento. Bella lingua e bel commento. Anche il libro è ben presentato, e in più non costa tanto. Sto adesso preparando una traduzione italiana del Corano ma per ordine cronologico sul modello della mia traduzione francese. Mi riferisco alla tua traduzione e a sette altre per la formulazione. Sicuramente la mia non sarà così bella come la tua, poiché è una tradizione letterale. Direi che la tua versione italiana è più bella che la versione originale araba. Si capisce che scrivi per gli italiani, in lingua italiana perfetta, che non è il caso del testo arabo.</w:t>
      </w:r>
    </w:p>
  </w:footnote>
  <w:footnote w:id="448">
    <w:p w14:paraId="0124A863"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rPr>
        <w:t xml:space="preserve"> Comme le site </w:t>
      </w:r>
      <w:r w:rsidRPr="00F230F1">
        <w:rPr>
          <w:rFonts w:asciiTheme="majorBidi" w:eastAsia="Times New Roman" w:hAnsiTheme="majorBidi" w:cstheme="majorBidi"/>
          <w:i/>
          <w:iCs/>
          <w:sz w:val="20"/>
          <w:szCs w:val="20"/>
        </w:rPr>
        <w:t>Nonfiction</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hyperlink r:id="rId148" w:history="1">
        <w:r w:rsidRPr="00F230F1">
          <w:rPr>
            <w:rStyle w:val="Lienhypertexte"/>
            <w:rFonts w:asciiTheme="majorBidi" w:hAnsiTheme="majorBidi" w:cstheme="majorBidi"/>
            <w:sz w:val="20"/>
            <w:szCs w:val="20"/>
          </w:rPr>
          <w:t>http://www.nonfiction.fr/</w:t>
        </w:r>
      </w:hyperlink>
      <w:r w:rsidRPr="00F230F1">
        <w:rPr>
          <w:rFonts w:asciiTheme="majorBidi" w:hAnsiTheme="majorBidi" w:cstheme="majorBidi"/>
          <w:sz w:val="20"/>
          <w:szCs w:val="20"/>
        </w:rPr>
        <w:t xml:space="preserve">], </w:t>
      </w:r>
      <w:hyperlink r:id="rId149" w:history="1">
        <w:r w:rsidRPr="00F230F1">
          <w:rPr>
            <w:rStyle w:val="Lienhypertexte"/>
            <w:rFonts w:asciiTheme="majorBidi" w:hAnsiTheme="majorBidi" w:cstheme="majorBidi"/>
            <w:sz w:val="20"/>
            <w:szCs w:val="20"/>
          </w:rPr>
          <w:t>http://www.nonfiction.fr/article.htm?articleID=2557&amp;categ=0&amp;page=3</w:t>
        </w:r>
      </w:hyperlink>
      <w:r w:rsidRPr="00F230F1">
        <w:rPr>
          <w:rFonts w:asciiTheme="majorBidi" w:hAnsiTheme="majorBidi" w:cstheme="majorBidi"/>
          <w:sz w:val="20"/>
          <w:szCs w:val="20"/>
        </w:rPr>
        <w:t xml:space="preserve"> (consulté le 09/08/2017).</w:t>
      </w:r>
    </w:p>
  </w:footnote>
  <w:footnote w:id="449">
    <w:p w14:paraId="765C8812" w14:textId="77777777" w:rsidR="009C3BB9" w:rsidRPr="00F230F1" w:rsidRDefault="009C3BB9" w:rsidP="00F230F1">
      <w:pPr>
        <w:pStyle w:val="n1"/>
        <w:bidi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On donne comme exemple la traduction du verset II, 253 : « </w:t>
      </w:r>
      <w:r w:rsidRPr="00F230F1">
        <w:rPr>
          <w:rFonts w:asciiTheme="majorBidi" w:eastAsia="Times New Roman" w:hAnsiTheme="majorBidi" w:cstheme="majorBidi"/>
          <w:sz w:val="20"/>
          <w:szCs w:val="20"/>
          <w:rtl/>
        </w:rPr>
        <w:t>وَلَوْ شَاء اللهُ مَا اقْتَتَلَ</w:t>
      </w:r>
      <w:r w:rsidRPr="00F230F1">
        <w:rPr>
          <w:rFonts w:asciiTheme="majorBidi" w:eastAsia="Times New Roman" w:hAnsiTheme="majorBidi" w:cstheme="majorBidi"/>
          <w:b/>
          <w:bCs/>
          <w:i/>
          <w:iCs/>
          <w:sz w:val="20"/>
          <w:szCs w:val="20"/>
          <w:rtl/>
        </w:rPr>
        <w:t xml:space="preserve"> الَّذِينَ</w:t>
      </w:r>
      <w:r w:rsidRPr="00F230F1">
        <w:rPr>
          <w:rFonts w:asciiTheme="majorBidi" w:eastAsia="Times New Roman" w:hAnsiTheme="majorBidi" w:cstheme="majorBidi"/>
          <w:i/>
          <w:iCs/>
          <w:sz w:val="20"/>
          <w:szCs w:val="20"/>
          <w:rtl/>
        </w:rPr>
        <w:t xml:space="preserve"> </w:t>
      </w:r>
      <w:r w:rsidRPr="00F230F1">
        <w:rPr>
          <w:rFonts w:asciiTheme="majorBidi" w:eastAsia="Times New Roman" w:hAnsiTheme="majorBidi" w:cstheme="majorBidi"/>
          <w:sz w:val="20"/>
          <w:szCs w:val="20"/>
          <w:rtl/>
        </w:rPr>
        <w:t>مِن بَعْدِهِم</w:t>
      </w:r>
      <w:r w:rsidRPr="00F230F1">
        <w:rPr>
          <w:rFonts w:asciiTheme="majorBidi" w:eastAsia="Times New Roman" w:hAnsiTheme="majorBidi" w:cstheme="majorBidi"/>
          <w:sz w:val="20"/>
          <w:szCs w:val="20"/>
        </w:rPr>
        <w:t xml:space="preserve"> » [Si Dieu l’avait voulu, </w:t>
      </w:r>
      <w:r w:rsidRPr="00F230F1">
        <w:rPr>
          <w:rFonts w:asciiTheme="majorBidi" w:eastAsia="Times New Roman" w:hAnsiTheme="majorBidi" w:cstheme="majorBidi"/>
          <w:b/>
          <w:bCs/>
          <w:i/>
          <w:iCs/>
          <w:sz w:val="20"/>
          <w:szCs w:val="20"/>
        </w:rPr>
        <w:t>les hommes</w:t>
      </w:r>
      <w:r w:rsidRPr="00F230F1">
        <w:rPr>
          <w:rFonts w:asciiTheme="majorBidi" w:eastAsia="Times New Roman" w:hAnsiTheme="majorBidi" w:cstheme="majorBidi"/>
          <w:sz w:val="20"/>
          <w:szCs w:val="20"/>
        </w:rPr>
        <w:t xml:space="preserve"> venus ensuite ne se seraient pas entre-tués]. Ce verset a été traduit par Chebel comme suit : « si Allah l’avait voulu, </w:t>
      </w:r>
      <w:r w:rsidRPr="00F230F1">
        <w:rPr>
          <w:rFonts w:asciiTheme="majorBidi" w:eastAsia="Times New Roman" w:hAnsiTheme="majorBidi" w:cstheme="majorBidi"/>
          <w:b/>
          <w:bCs/>
          <w:i/>
          <w:iCs/>
          <w:sz w:val="20"/>
          <w:szCs w:val="20"/>
        </w:rPr>
        <w:t>les prophètes qui</w:t>
      </w:r>
      <w:r w:rsidRPr="00F230F1">
        <w:rPr>
          <w:rFonts w:asciiTheme="majorBidi" w:eastAsia="Times New Roman" w:hAnsiTheme="majorBidi" w:cstheme="majorBidi"/>
          <w:sz w:val="20"/>
          <w:szCs w:val="20"/>
        </w:rPr>
        <w:t xml:space="preserve"> lui succédèrent ne se seraient pas entretués » !</w:t>
      </w:r>
    </w:p>
  </w:footnote>
  <w:footnote w:id="450">
    <w:p w14:paraId="56DD1DE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 Nouvelle traduction de Malek Chebel</w:t>
      </w:r>
      <w:r w:rsidRPr="00F230F1">
        <w:rPr>
          <w:rFonts w:asciiTheme="majorBidi" w:hAnsiTheme="majorBidi" w:cstheme="majorBidi"/>
          <w:sz w:val="20"/>
          <w:szCs w:val="20"/>
        </w:rPr>
        <w:t>, Fayard, 2009, « introduction », p. 13.</w:t>
      </w:r>
    </w:p>
  </w:footnote>
  <w:footnote w:id="451">
    <w:p w14:paraId="7BD082E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bCs/>
          <w:sz w:val="20"/>
          <w:szCs w:val="20"/>
        </w:rPr>
        <w:t xml:space="preserve"> Hachemi Hafiane</w:t>
      </w:r>
      <w:r w:rsidRPr="00F230F1">
        <w:rPr>
          <w:rFonts w:asciiTheme="majorBidi" w:hAnsiTheme="majorBidi" w:cstheme="majorBidi"/>
          <w:b/>
          <w:sz w:val="20"/>
          <w:szCs w:val="20"/>
        </w:rPr>
        <w:t>,</w:t>
      </w:r>
      <w:r w:rsidRPr="00F230F1">
        <w:rPr>
          <w:rFonts w:asciiTheme="majorBidi" w:hAnsiTheme="majorBidi" w:cstheme="majorBidi"/>
          <w:sz w:val="20"/>
          <w:szCs w:val="20"/>
        </w:rPr>
        <w:t xml:space="preserve"> </w:t>
      </w:r>
      <w:r w:rsidRPr="00F230F1">
        <w:rPr>
          <w:rFonts w:asciiTheme="majorBidi" w:hAnsiTheme="majorBidi" w:cstheme="majorBidi"/>
          <w:i/>
          <w:sz w:val="20"/>
          <w:szCs w:val="20"/>
        </w:rPr>
        <w:t>Le Saint Coran et la traduction du sens de ses versets</w:t>
      </w:r>
      <w:r w:rsidRPr="00F230F1">
        <w:rPr>
          <w:rFonts w:asciiTheme="majorBidi" w:hAnsiTheme="majorBidi" w:cstheme="majorBidi"/>
          <w:sz w:val="20"/>
          <w:szCs w:val="20"/>
        </w:rPr>
        <w:t>, édition bilingue arabe et français, Presses du Châlet, Paris, 2010, « Avant-propos », p. V.</w:t>
      </w:r>
    </w:p>
  </w:footnote>
  <w:footnote w:id="452">
    <w:p w14:paraId="0939BD6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bCs/>
          <w:sz w:val="20"/>
          <w:szCs w:val="20"/>
        </w:rPr>
        <w:t xml:space="preserve"> </w:t>
      </w:r>
      <w:r w:rsidRPr="00F230F1">
        <w:rPr>
          <w:rFonts w:asciiTheme="majorBidi" w:hAnsiTheme="majorBidi" w:cstheme="majorBidi"/>
          <w:bCs/>
          <w:i/>
          <w:iCs/>
          <w:sz w:val="20"/>
          <w:szCs w:val="20"/>
        </w:rPr>
        <w:t>op. cit</w:t>
      </w:r>
      <w:r w:rsidRPr="00F230F1">
        <w:rPr>
          <w:rFonts w:asciiTheme="majorBidi" w:hAnsiTheme="majorBidi" w:cstheme="majorBidi"/>
          <w:i/>
          <w:iCs/>
          <w:sz w:val="20"/>
          <w:szCs w:val="20"/>
        </w:rPr>
        <w:t>.</w:t>
      </w:r>
      <w:r w:rsidRPr="00F230F1">
        <w:rPr>
          <w:rFonts w:asciiTheme="majorBidi" w:hAnsiTheme="majorBidi" w:cstheme="majorBidi"/>
          <w:sz w:val="20"/>
          <w:szCs w:val="20"/>
        </w:rPr>
        <w:t>, p. VI.</w:t>
      </w:r>
    </w:p>
  </w:footnote>
  <w:footnote w:id="453">
    <w:p w14:paraId="0724770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bCs/>
          <w:sz w:val="20"/>
          <w:szCs w:val="20"/>
        </w:rPr>
        <w:t xml:space="preserve"> </w:t>
      </w:r>
      <w:r w:rsidRPr="00F230F1">
        <w:rPr>
          <w:rFonts w:asciiTheme="majorBidi" w:hAnsiTheme="majorBidi" w:cstheme="majorBidi"/>
          <w:bCs/>
          <w:i/>
          <w:iCs/>
          <w:sz w:val="20"/>
          <w:szCs w:val="20"/>
        </w:rPr>
        <w:t>Ibid</w:t>
      </w:r>
      <w:r w:rsidRPr="00F230F1">
        <w:rPr>
          <w:rFonts w:asciiTheme="majorBidi" w:hAnsiTheme="majorBidi" w:cstheme="majorBidi"/>
          <w:i/>
          <w:iCs/>
          <w:sz w:val="20"/>
          <w:szCs w:val="20"/>
        </w:rPr>
        <w:t>.</w:t>
      </w:r>
    </w:p>
  </w:footnote>
  <w:footnote w:id="454">
    <w:p w14:paraId="1CF73A7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Zeinab Abdelaziz a aussi recours au concept de « la persuasion » en traduisant </w:t>
      </w:r>
      <w:r w:rsidRPr="00F230F1">
        <w:rPr>
          <w:rFonts w:asciiTheme="majorBidi" w:hAnsiTheme="majorBidi" w:cstheme="majorBidi"/>
          <w:i/>
          <w:iCs/>
          <w:sz w:val="20"/>
          <w:szCs w:val="20"/>
        </w:rPr>
        <w:t xml:space="preserve">iʿjāz ʿilmī </w:t>
      </w:r>
      <w:r w:rsidRPr="00F230F1">
        <w:rPr>
          <w:rFonts w:asciiTheme="majorBidi" w:hAnsiTheme="majorBidi" w:cstheme="majorBidi"/>
          <w:sz w:val="20"/>
          <w:szCs w:val="20"/>
        </w:rPr>
        <w:t xml:space="preserve">[inimitabilité scientifique] par : « persuasion scientifique » ou « persuasivité » (Traduction du Coran par Abdelaziz, </w:t>
      </w:r>
      <w:r w:rsidRPr="00F230F1">
        <w:rPr>
          <w:rFonts w:asciiTheme="majorBidi" w:hAnsiTheme="majorBidi" w:cstheme="majorBidi"/>
          <w:i/>
          <w:iCs/>
          <w:sz w:val="20"/>
          <w:szCs w:val="20"/>
        </w:rPr>
        <w:t>op. cit.</w:t>
      </w:r>
      <w:r w:rsidRPr="00F230F1">
        <w:rPr>
          <w:rFonts w:asciiTheme="majorBidi" w:hAnsiTheme="majorBidi" w:cstheme="majorBidi"/>
          <w:sz w:val="20"/>
          <w:szCs w:val="20"/>
        </w:rPr>
        <w:t>, « Avant-propos », p. 11).</w:t>
      </w:r>
    </w:p>
  </w:footnote>
  <w:footnote w:id="455">
    <w:p w14:paraId="538B72F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L’ancien recteur d’Al-Azhar </w:t>
      </w:r>
      <w:r w:rsidRPr="00F230F1">
        <w:rPr>
          <w:rFonts w:asciiTheme="majorBidi" w:hAnsiTheme="majorBidi" w:cstheme="majorBidi"/>
          <w:sz w:val="20"/>
          <w:szCs w:val="20"/>
          <w:bdr w:val="none" w:sz="0" w:space="0" w:color="auto" w:frame="1"/>
        </w:rPr>
        <w:t xml:space="preserve">Muḥammad Muṣtafā al-Marāghī] (1881-1945) a publié en 1936 un ouvrage intitulé : </w:t>
      </w:r>
      <w:r w:rsidRPr="00F230F1">
        <w:rPr>
          <w:rFonts w:asciiTheme="majorBidi" w:hAnsiTheme="majorBidi" w:cstheme="majorBidi"/>
          <w:i/>
          <w:iCs/>
          <w:sz w:val="20"/>
          <w:szCs w:val="20"/>
          <w:bdr w:val="none" w:sz="0" w:space="0" w:color="auto" w:frame="1"/>
        </w:rPr>
        <w:t>Baḥth fī tarjamat al-qurʾān wa-aḥkāmu-hā</w:t>
      </w:r>
      <w:r w:rsidRPr="00F230F1">
        <w:rPr>
          <w:rFonts w:asciiTheme="majorBidi" w:hAnsiTheme="majorBidi" w:cstheme="majorBidi"/>
          <w:sz w:val="20"/>
          <w:szCs w:val="20"/>
          <w:bdr w:val="none" w:sz="0" w:space="0" w:color="auto" w:frame="1"/>
        </w:rPr>
        <w:t xml:space="preserve"> [</w:t>
      </w:r>
      <w:r w:rsidRPr="00F230F1">
        <w:rPr>
          <w:rFonts w:asciiTheme="majorBidi" w:hAnsiTheme="majorBidi" w:cstheme="majorBidi"/>
          <w:i/>
          <w:iCs/>
          <w:sz w:val="20"/>
          <w:szCs w:val="20"/>
          <w:bdr w:val="none" w:sz="0" w:space="0" w:color="auto" w:frame="1"/>
        </w:rPr>
        <w:t>Traité sur la traduction du Coran et ses règles</w:t>
      </w:r>
      <w:r w:rsidRPr="00F230F1">
        <w:rPr>
          <w:rFonts w:asciiTheme="majorBidi" w:hAnsiTheme="majorBidi" w:cstheme="majorBidi"/>
          <w:sz w:val="20"/>
          <w:szCs w:val="20"/>
          <w:bdr w:val="none" w:sz="0" w:space="0" w:color="auto" w:frame="1"/>
        </w:rPr>
        <w:t xml:space="preserve">] dans lequel il </w:t>
      </w:r>
      <w:r w:rsidRPr="00F230F1">
        <w:rPr>
          <w:rFonts w:asciiTheme="majorBidi" w:hAnsiTheme="majorBidi" w:cstheme="majorBidi"/>
          <w:sz w:val="20"/>
          <w:szCs w:val="20"/>
        </w:rPr>
        <w:t xml:space="preserve">aborde la question de la traduction du Coran d’un point de vue jurisprudentiel et religieux et répond à la question des musulmans non-arabophones s’ils peuvent réciter la traduction du Coran dans leur prière. L’auteur présente les avis des écoles musulmans anciens (le malikisme, le hanafisme, le chaféisme et le hanbalisme) et conclut qu’il est autorisé à l’unanimité des ulémas de traduire le Coran en langues étrangères et de réciter la traduction dans la prière </w:t>
      </w:r>
      <w:r w:rsidRPr="00F230F1">
        <w:rPr>
          <w:rFonts w:asciiTheme="majorBidi" w:hAnsiTheme="majorBidi" w:cstheme="majorBidi"/>
          <w:i/>
          <w:iCs/>
          <w:sz w:val="20"/>
          <w:szCs w:val="20"/>
        </w:rPr>
        <w:t>juste</w:t>
      </w:r>
      <w:r w:rsidRPr="00F230F1">
        <w:rPr>
          <w:rFonts w:asciiTheme="majorBidi" w:hAnsiTheme="majorBidi" w:cstheme="majorBidi"/>
          <w:sz w:val="20"/>
          <w:szCs w:val="20"/>
        </w:rPr>
        <w:t xml:space="preserve"> pour celui qui ne sait pas l’arabe </w:t>
      </w:r>
      <w:r w:rsidRPr="00F230F1">
        <w:rPr>
          <w:rFonts w:asciiTheme="majorBidi" w:hAnsiTheme="majorBidi" w:cstheme="majorBidi"/>
          <w:i/>
          <w:iCs/>
          <w:sz w:val="20"/>
          <w:szCs w:val="20"/>
        </w:rPr>
        <w:t>et à condition</w:t>
      </w:r>
      <w:r w:rsidRPr="00F230F1">
        <w:rPr>
          <w:rFonts w:asciiTheme="majorBidi" w:hAnsiTheme="majorBidi" w:cstheme="majorBidi"/>
          <w:sz w:val="20"/>
          <w:szCs w:val="20"/>
        </w:rPr>
        <w:t xml:space="preserve"> qu’on vérifie si la traduction rend bien les sens du texte coranique</w:t>
      </w:r>
      <w:r w:rsidRPr="00F230F1">
        <w:rPr>
          <w:rFonts w:asciiTheme="majorBidi" w:hAnsiTheme="majorBidi" w:cstheme="majorBidi"/>
          <w:sz w:val="20"/>
          <w:szCs w:val="20"/>
          <w:bdr w:val="none" w:sz="0" w:space="0" w:color="auto" w:frame="1"/>
        </w:rPr>
        <w:t xml:space="preserve"> (Muḥammad Muṣtafā al-Marāghī</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Baḥth fī tarjamat al-qurʾān wa aḥkāmu-hā</w:t>
      </w:r>
      <w:r w:rsidRPr="00F230F1">
        <w:rPr>
          <w:rFonts w:asciiTheme="majorBidi" w:hAnsiTheme="majorBidi" w:cstheme="majorBidi"/>
          <w:sz w:val="20"/>
          <w:szCs w:val="20"/>
        </w:rPr>
        <w:t>, Dār al-kitāb al-jadīd, Beyrouth, 1936). Cependant, Jalāl ad-Dīn b. Ṭāhir al-</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Allūsh souligne qu’il est interdit de traduire le Coran pour réciter la traduction dans la prière. (Jalāl ad-Dīn b. Ṭāhir al-ʿAllūsh, </w:t>
      </w:r>
      <w:r w:rsidRPr="00F230F1">
        <w:rPr>
          <w:rFonts w:asciiTheme="majorBidi" w:hAnsiTheme="majorBidi" w:cstheme="majorBidi"/>
          <w:i/>
          <w:iCs/>
          <w:sz w:val="20"/>
          <w:szCs w:val="20"/>
        </w:rPr>
        <w:t>Aḥkām tarjamat al-qurʾān al-karīm</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Les statuts de la traduction du Noble Coran</w:t>
      </w:r>
      <w:r w:rsidRPr="00F230F1">
        <w:rPr>
          <w:rFonts w:asciiTheme="majorBidi" w:hAnsiTheme="majorBidi" w:cstheme="majorBidi"/>
          <w:sz w:val="20"/>
          <w:szCs w:val="20"/>
        </w:rPr>
        <w:t>], Dār ibn Ḥazm, Beyrouth, 2008).</w:t>
      </w:r>
    </w:p>
  </w:footnote>
  <w:footnote w:id="456">
    <w:p w14:paraId="27C5AE31"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Borrmans</w:t>
      </w:r>
      <w:r w:rsidRPr="00F230F1">
        <w:rPr>
          <w:rFonts w:asciiTheme="majorBidi" w:hAnsiTheme="majorBidi" w:cstheme="majorBidi"/>
          <w:sz w:val="20"/>
          <w:szCs w:val="20"/>
        </w:rPr>
        <w:t>, « </w:t>
      </w:r>
      <w:r w:rsidRPr="00F230F1">
        <w:rPr>
          <w:rFonts w:asciiTheme="majorBidi" w:eastAsia="Calibri" w:hAnsiTheme="majorBidi" w:cstheme="majorBidi"/>
          <w:sz w:val="20"/>
          <w:szCs w:val="20"/>
        </w:rPr>
        <w:t>Les traductions françaises du Cor</w:t>
      </w:r>
      <w:r w:rsidRPr="00F230F1">
        <w:rPr>
          <w:rFonts w:asciiTheme="majorBidi" w:hAnsiTheme="majorBidi" w:cstheme="majorBidi"/>
          <w:sz w:val="20"/>
          <w:szCs w:val="20"/>
        </w:rPr>
        <w:t>an : présentation et évaluation »,</w:t>
      </w:r>
      <w:r w:rsidRPr="00F230F1">
        <w:rPr>
          <w:rFonts w:asciiTheme="majorBidi" w:hAnsiTheme="majorBidi" w:cstheme="majorBidi"/>
          <w:i/>
          <w:iCs/>
          <w:sz w:val="20"/>
          <w:szCs w:val="20"/>
        </w:rPr>
        <w:t xml:space="preserve"> op. cit</w:t>
      </w:r>
      <w:r w:rsidRPr="00F230F1">
        <w:rPr>
          <w:rFonts w:asciiTheme="majorBidi" w:hAnsiTheme="majorBidi" w:cstheme="majorBidi"/>
          <w:sz w:val="20"/>
          <w:szCs w:val="20"/>
        </w:rPr>
        <w:t>.</w:t>
      </w:r>
    </w:p>
  </w:footnote>
  <w:footnote w:id="457">
    <w:p w14:paraId="65B8667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Dieterlé, « La Bible au risques des traductions »,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p>
  </w:footnote>
  <w:footnote w:id="458">
    <w:p w14:paraId="6E3ED251"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François Pouillon, </w:t>
      </w:r>
      <w:r w:rsidRPr="00F230F1">
        <w:rPr>
          <w:rFonts w:asciiTheme="majorBidi" w:eastAsia="Times New Roman" w:hAnsiTheme="majorBidi" w:cstheme="majorBidi"/>
          <w:i/>
          <w:iCs/>
          <w:sz w:val="20"/>
          <w:szCs w:val="20"/>
        </w:rPr>
        <w:t>Dictionnaire des orientalistes de langue française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360.</w:t>
      </w:r>
    </w:p>
  </w:footnote>
  <w:footnote w:id="459">
    <w:p w14:paraId="7B17626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Antoine Berman, </w:t>
      </w:r>
      <w:r w:rsidRPr="00F230F1">
        <w:rPr>
          <w:rFonts w:asciiTheme="majorBidi" w:eastAsia="Times New Roman" w:hAnsiTheme="majorBidi" w:cstheme="majorBidi"/>
          <w:i/>
          <w:iCs/>
          <w:sz w:val="20"/>
          <w:szCs w:val="20"/>
        </w:rPr>
        <w:t>L’Épreuve de l’étranger. Culture et traduction dans l’Allemagne romantique</w:t>
      </w:r>
      <w:r w:rsidRPr="00F230F1">
        <w:rPr>
          <w:rFonts w:asciiTheme="majorBidi" w:eastAsia="Times New Roman" w:hAnsiTheme="majorBidi" w:cstheme="majorBidi"/>
          <w:sz w:val="20"/>
          <w:szCs w:val="20"/>
        </w:rPr>
        <w:t>, Gallimard, Essais, 1984.</w:t>
      </w:r>
    </w:p>
  </w:footnote>
  <w:footnote w:id="460">
    <w:p w14:paraId="4B265EA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Antoine Berman, </w:t>
      </w:r>
      <w:r w:rsidRPr="00F230F1">
        <w:rPr>
          <w:rFonts w:asciiTheme="majorBidi" w:eastAsia="Times New Roman" w:hAnsiTheme="majorBidi" w:cstheme="majorBidi"/>
          <w:i/>
          <w:iCs/>
          <w:sz w:val="20"/>
          <w:szCs w:val="20"/>
        </w:rPr>
        <w:t>La traduction et la lettre</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ou l'Auberge du lointain</w:t>
      </w:r>
      <w:r w:rsidRPr="00F230F1">
        <w:rPr>
          <w:rFonts w:asciiTheme="majorBidi" w:eastAsia="Times New Roman" w:hAnsiTheme="majorBidi" w:cstheme="majorBidi"/>
          <w:sz w:val="20"/>
          <w:szCs w:val="20"/>
        </w:rPr>
        <w:t xml:space="preserve">, Éditions du Seuil, Paris, 1999, </w:t>
      </w:r>
      <w:r w:rsidRPr="00F230F1">
        <w:rPr>
          <w:rFonts w:asciiTheme="majorBidi" w:eastAsia="Times New Roman" w:hAnsiTheme="majorBidi" w:cstheme="majorBidi"/>
          <w:i/>
          <w:iCs/>
          <w:sz w:val="20"/>
          <w:szCs w:val="20"/>
        </w:rPr>
        <w:t>op. cit.</w:t>
      </w:r>
    </w:p>
  </w:footnote>
  <w:footnote w:id="461">
    <w:p w14:paraId="1A0951A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Antoine Berman, </w:t>
      </w:r>
      <w:r w:rsidRPr="00F230F1">
        <w:rPr>
          <w:rFonts w:asciiTheme="majorBidi" w:eastAsia="Times New Roman" w:hAnsiTheme="majorBidi" w:cstheme="majorBidi"/>
          <w:i/>
          <w:iCs/>
          <w:sz w:val="20"/>
          <w:szCs w:val="20"/>
        </w:rPr>
        <w:t>Pour une critique des traductions : John Donne</w:t>
      </w:r>
      <w:r w:rsidRPr="00F230F1">
        <w:rPr>
          <w:rFonts w:asciiTheme="majorBidi" w:eastAsia="Times New Roman" w:hAnsiTheme="majorBidi" w:cstheme="majorBidi"/>
          <w:sz w:val="20"/>
          <w:szCs w:val="20"/>
        </w:rPr>
        <w:t>, Œuvre posthume, Gallimard, Bibliothèque des idées, 1995.</w:t>
      </w:r>
    </w:p>
  </w:footnote>
  <w:footnote w:id="462">
    <w:p w14:paraId="728D7317" w14:textId="77777777" w:rsidR="009C3BB9" w:rsidRPr="00F230F1" w:rsidRDefault="009C3BB9" w:rsidP="00F230F1">
      <w:pPr>
        <w:pStyle w:val="Notedebasdepage"/>
        <w:contextualSpacing/>
        <w:jc w:val="both"/>
        <w:rPr>
          <w:rFonts w:asciiTheme="majorBidi" w:hAnsiTheme="majorBidi" w:cstheme="majorBidi"/>
          <w:color w:val="C0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Robert Davreu, « Antoine Berman, penseur de la traduction », 2001, Université Paris 8 [</w:t>
      </w:r>
      <w:hyperlink r:id="rId150" w:history="1">
        <w:r w:rsidRPr="00F230F1">
          <w:rPr>
            <w:rStyle w:val="Lienhypertexte"/>
            <w:rFonts w:asciiTheme="majorBidi" w:hAnsiTheme="majorBidi" w:cstheme="majorBidi"/>
            <w:sz w:val="20"/>
            <w:szCs w:val="20"/>
          </w:rPr>
          <w:t>http://www2.univ-paris8.fr/dela/etranger/pages/1-4/Davreu.pdf</w:t>
        </w:r>
      </w:hyperlink>
      <w:r w:rsidRPr="00F230F1">
        <w:rPr>
          <w:rFonts w:asciiTheme="majorBidi" w:hAnsiTheme="majorBidi" w:cstheme="majorBidi"/>
          <w:sz w:val="20"/>
          <w:szCs w:val="20"/>
        </w:rPr>
        <w:t xml:space="preserve"> (consulté le 08/08/2017).</w:t>
      </w:r>
    </w:p>
  </w:footnote>
  <w:footnote w:id="463">
    <w:p w14:paraId="37851EE2" w14:textId="77777777" w:rsidR="009C3BB9" w:rsidRPr="00F230F1" w:rsidRDefault="009C3BB9" w:rsidP="00F230F1">
      <w:pPr>
        <w:pStyle w:val="NormalWeb"/>
        <w:spacing w:before="0" w:beforeAutospacing="0" w:after="0" w:afterAutospacing="0"/>
        <w:contextualSpacing/>
        <w:jc w:val="both"/>
        <w:rPr>
          <w:rFonts w:asciiTheme="majorBidi" w:eastAsiaTheme="minorHAnsi" w:hAnsiTheme="majorBidi" w:cstheme="majorBidi"/>
          <w:sz w:val="20"/>
          <w:szCs w:val="20"/>
          <w:lang w:eastAsia="fr-FR"/>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heme="minorHAnsi" w:hAnsiTheme="majorBidi" w:cstheme="majorBidi"/>
          <w:sz w:val="20"/>
          <w:szCs w:val="20"/>
          <w:lang w:eastAsia="fr-FR"/>
        </w:rPr>
        <w:t xml:space="preserve">Barbara Godard, « L’Éthique du traduire : Antoine Berman et le « virage éthique » en traduction », </w:t>
      </w:r>
      <w:r w:rsidRPr="00F230F1">
        <w:rPr>
          <w:rFonts w:asciiTheme="majorBidi" w:eastAsiaTheme="minorHAnsi" w:hAnsiTheme="majorBidi" w:cstheme="majorBidi"/>
          <w:i/>
          <w:iCs/>
          <w:sz w:val="20"/>
          <w:szCs w:val="20"/>
          <w:lang w:eastAsia="fr-FR"/>
        </w:rPr>
        <w:t xml:space="preserve">TTR </w:t>
      </w:r>
      <w:r w:rsidRPr="00F230F1">
        <w:rPr>
          <w:rFonts w:asciiTheme="majorBidi" w:eastAsiaTheme="minorHAnsi" w:hAnsiTheme="majorBidi" w:cstheme="majorBidi"/>
          <w:sz w:val="20"/>
          <w:szCs w:val="20"/>
          <w:lang w:eastAsia="fr-FR"/>
        </w:rPr>
        <w:t>142 (2001) : 49–82. DOI : 10.7202/000569ar. [</w:t>
      </w:r>
      <w:hyperlink r:id="rId151" w:history="1">
        <w:r w:rsidRPr="00F230F1">
          <w:rPr>
            <w:rStyle w:val="Lienhypertexte"/>
            <w:rFonts w:asciiTheme="majorBidi" w:eastAsiaTheme="minorHAnsi" w:hAnsiTheme="majorBidi" w:cstheme="majorBidi"/>
            <w:sz w:val="20"/>
            <w:szCs w:val="20"/>
          </w:rPr>
          <w:t>https://www.erudit.org/fr/revues/ttr/2001-v14-n2-ttr409/000569ar.pdf</w:t>
        </w:r>
      </w:hyperlink>
      <w:r w:rsidRPr="00F230F1">
        <w:rPr>
          <w:rFonts w:asciiTheme="majorBidi" w:eastAsiaTheme="minorHAnsi" w:hAnsiTheme="majorBidi" w:cstheme="majorBidi"/>
          <w:sz w:val="20"/>
          <w:szCs w:val="20"/>
          <w:lang w:eastAsia="fr-FR"/>
        </w:rPr>
        <w:t>] (consulté le 08/08/2017).</w:t>
      </w:r>
    </w:p>
  </w:footnote>
  <w:footnote w:id="464">
    <w:p w14:paraId="08FEA2BD" w14:textId="77777777" w:rsidR="009C3BB9" w:rsidRPr="00F230F1" w:rsidRDefault="009C3BB9" w:rsidP="00F230F1">
      <w:pPr>
        <w:widowControl w:val="0"/>
        <w:autoSpaceDE w:val="0"/>
        <w:autoSpaceDN w:val="0"/>
        <w:adjustRightInd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Dominique Rougé, « Introduction à l’œuvre théorique d’Antoine Berman, traductologue français », Revue du Gerint, Synergies Pologne n° 12 – 2015, p. 11-17.</w:t>
      </w:r>
    </w:p>
  </w:footnote>
  <w:footnote w:id="465">
    <w:p w14:paraId="2BB5EFF3"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Antoine Berman, </w:t>
      </w:r>
      <w:r w:rsidRPr="00F230F1">
        <w:rPr>
          <w:rFonts w:asciiTheme="majorBidi" w:eastAsia="Times New Roman" w:hAnsiTheme="majorBidi" w:cstheme="majorBidi"/>
          <w:i/>
          <w:iCs/>
          <w:sz w:val="20"/>
          <w:szCs w:val="20"/>
        </w:rPr>
        <w:t>La traduction et la lettre ou l’auberge du lointain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52 sqq.</w:t>
      </w:r>
    </w:p>
  </w:footnote>
  <w:footnote w:id="466">
    <w:p w14:paraId="7DC2F51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 55.</w:t>
      </w:r>
    </w:p>
  </w:footnote>
  <w:footnote w:id="467">
    <w:p w14:paraId="3B41A64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Nous avons souligné les ajouts.</w:t>
      </w:r>
    </w:p>
  </w:footnote>
  <w:footnote w:id="468">
    <w:p w14:paraId="60950F1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Cité par 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57 (note 2).</w:t>
      </w:r>
    </w:p>
  </w:footnote>
  <w:footnote w:id="469">
    <w:p w14:paraId="516FE321" w14:textId="77777777" w:rsidR="009C3BB9" w:rsidRPr="00F230F1" w:rsidRDefault="009C3BB9" w:rsidP="00F230F1">
      <w:pPr>
        <w:widowControl w:val="0"/>
        <w:autoSpaceDE w:val="0"/>
        <w:autoSpaceDN w:val="0"/>
        <w:adjustRightInd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Dominique Rougé, « Introduction à l’œuvre théorique d’Antoine Berman… », </w:t>
      </w:r>
      <w:r w:rsidRPr="00F230F1">
        <w:rPr>
          <w:rFonts w:asciiTheme="majorBidi" w:hAnsiTheme="majorBidi" w:cstheme="majorBidi"/>
          <w:i/>
          <w:iCs/>
          <w:sz w:val="20"/>
          <w:szCs w:val="20"/>
        </w:rPr>
        <w:t>op. cit.</w:t>
      </w:r>
      <w:r w:rsidRPr="00F230F1">
        <w:rPr>
          <w:rFonts w:asciiTheme="majorBidi" w:hAnsiTheme="majorBidi" w:cstheme="majorBidi"/>
          <w:sz w:val="20"/>
          <w:szCs w:val="20"/>
        </w:rPr>
        <w:t>, p. 13.</w:t>
      </w:r>
    </w:p>
  </w:footnote>
  <w:footnote w:id="470">
    <w:p w14:paraId="4C694EAA"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w:t>
      </w:r>
      <w:r w:rsidRPr="00F230F1">
        <w:rPr>
          <w:rFonts w:asciiTheme="majorBidi" w:eastAsia="Calibri" w:hAnsiTheme="majorBidi" w:cstheme="majorBidi"/>
          <w:sz w:val="20"/>
          <w:szCs w:val="20"/>
          <w:lang w:bidi="ar-AE"/>
        </w:rPr>
        <w:t xml:space="preserve"> 58.</w:t>
      </w:r>
    </w:p>
  </w:footnote>
  <w:footnote w:id="471">
    <w:p w14:paraId="7EFBBC4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Muḥammad aṭ-Ṭāhir Ibn ʿĀshūr, </w:t>
      </w:r>
      <w:r w:rsidRPr="00F230F1">
        <w:rPr>
          <w:rFonts w:asciiTheme="majorBidi" w:hAnsiTheme="majorBidi" w:cstheme="majorBidi"/>
          <w:i/>
          <w:iCs/>
          <w:sz w:val="20"/>
          <w:szCs w:val="20"/>
        </w:rPr>
        <w:t>Mujaz al-balāgha</w:t>
      </w:r>
      <w:r w:rsidRPr="00F230F1">
        <w:rPr>
          <w:rFonts w:asciiTheme="majorBidi" w:hAnsiTheme="majorBidi" w:cstheme="majorBidi"/>
          <w:sz w:val="20"/>
          <w:szCs w:val="20"/>
        </w:rPr>
        <w:t>, al-Maṭbaʿa at-Tūnisyya, Tunis, première édition, s.d., p. 41 [</w:t>
      </w:r>
      <w:hyperlink r:id="rId152" w:history="1">
        <w:r w:rsidRPr="00F230F1">
          <w:rPr>
            <w:rStyle w:val="Lienhypertexte"/>
            <w:rFonts w:asciiTheme="majorBidi" w:hAnsiTheme="majorBidi" w:cstheme="majorBidi"/>
            <w:sz w:val="20"/>
            <w:szCs w:val="20"/>
            <w:bdr w:val="none" w:sz="0" w:space="0" w:color="auto" w:frame="1"/>
          </w:rPr>
          <w:t>http://ia801400.us.archive.org/18/items/BALAGHA_968//MOUJAZ.pdf</w:t>
        </w:r>
      </w:hyperlink>
      <w:r w:rsidRPr="00F230F1">
        <w:rPr>
          <w:rFonts w:asciiTheme="majorBidi" w:hAnsiTheme="majorBidi" w:cstheme="majorBidi"/>
          <w:sz w:val="20"/>
          <w:szCs w:val="20"/>
          <w:bdr w:val="none" w:sz="0" w:space="0" w:color="auto" w:frame="1"/>
          <w:lang w:eastAsia="fr-FR"/>
        </w:rPr>
        <w:t xml:space="preserve">] (consulté le 05/08/2017). Voir aussi : </w:t>
      </w:r>
      <w:r w:rsidRPr="00F230F1">
        <w:rPr>
          <w:rFonts w:asciiTheme="majorBidi" w:hAnsiTheme="majorBidi" w:cstheme="majorBidi"/>
          <w:sz w:val="20"/>
          <w:szCs w:val="20"/>
        </w:rPr>
        <w:t xml:space="preserve">Ṭāriq Swaydān, émission </w:t>
      </w:r>
      <w:r w:rsidRPr="00F230F1">
        <w:rPr>
          <w:rFonts w:asciiTheme="majorBidi" w:hAnsiTheme="majorBidi" w:cstheme="majorBidi"/>
          <w:i/>
          <w:iCs/>
          <w:sz w:val="20"/>
          <w:szCs w:val="20"/>
        </w:rPr>
        <w:t>Si</w:t>
      </w:r>
      <w:r w:rsidRPr="00F230F1">
        <w:rPr>
          <w:rFonts w:asciiTheme="majorBidi" w:eastAsia="Times New Roman" w:hAnsiTheme="majorBidi" w:cstheme="majorBidi"/>
          <w:i/>
          <w:iCs/>
          <w:sz w:val="20"/>
          <w:szCs w:val="20"/>
        </w:rPr>
        <w:t>ḥ</w:t>
      </w:r>
      <w:r w:rsidRPr="00F230F1">
        <w:rPr>
          <w:rFonts w:asciiTheme="majorBidi" w:hAnsiTheme="majorBidi" w:cstheme="majorBidi"/>
          <w:i/>
          <w:iCs/>
          <w:sz w:val="20"/>
          <w:szCs w:val="20"/>
        </w:rPr>
        <w:t>r al-qurʾān</w:t>
      </w:r>
      <w:r w:rsidRPr="00F230F1">
        <w:rPr>
          <w:rFonts w:asciiTheme="majorBidi" w:hAnsiTheme="majorBidi" w:cstheme="majorBidi"/>
          <w:sz w:val="20"/>
          <w:szCs w:val="20"/>
        </w:rPr>
        <w:t>, « </w:t>
      </w:r>
      <w:r w:rsidRPr="00F230F1">
        <w:rPr>
          <w:rFonts w:asciiTheme="majorBidi" w:hAnsiTheme="majorBidi" w:cstheme="majorBidi"/>
          <w:i/>
          <w:iCs/>
          <w:sz w:val="20"/>
          <w:szCs w:val="20"/>
        </w:rPr>
        <w:t>Al-kalima al-qurʾānyya</w:t>
      </w:r>
      <w:r w:rsidRPr="00F230F1">
        <w:rPr>
          <w:rFonts w:asciiTheme="majorBidi" w:hAnsiTheme="majorBidi" w:cstheme="majorBidi"/>
          <w:sz w:val="20"/>
          <w:szCs w:val="20"/>
        </w:rPr>
        <w:t xml:space="preserve"> », 2015, </w:t>
      </w:r>
      <w:hyperlink r:id="rId153" w:history="1">
        <w:r w:rsidRPr="00F230F1">
          <w:rPr>
            <w:rStyle w:val="Lienhypertexte"/>
            <w:rFonts w:asciiTheme="majorBidi" w:hAnsiTheme="majorBidi" w:cstheme="majorBidi"/>
            <w:sz w:val="20"/>
            <w:szCs w:val="20"/>
          </w:rPr>
          <w:t>http://islamiyyat.3abber.com/post/221981</w:t>
        </w:r>
      </w:hyperlink>
      <w:r w:rsidRPr="00F230F1">
        <w:rPr>
          <w:rFonts w:asciiTheme="majorBidi" w:hAnsiTheme="majorBidi" w:cstheme="majorBidi"/>
          <w:sz w:val="20"/>
          <w:szCs w:val="20"/>
        </w:rPr>
        <w:t xml:space="preserve"> consulté le 05/08/2017)</w:t>
      </w:r>
    </w:p>
  </w:footnote>
  <w:footnote w:id="472">
    <w:p w14:paraId="1A71E40E"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Dans son dictionnaire </w:t>
      </w:r>
      <w:r w:rsidRPr="00F230F1">
        <w:rPr>
          <w:rFonts w:asciiTheme="majorBidi" w:hAnsiTheme="majorBidi" w:cstheme="majorBidi"/>
          <w:i/>
          <w:iCs/>
          <w:sz w:val="20"/>
          <w:szCs w:val="20"/>
        </w:rPr>
        <w:t>Tāj al-</w:t>
      </w:r>
      <w:r w:rsidRPr="00F230F1">
        <w:rPr>
          <w:rFonts w:asciiTheme="majorBidi" w:eastAsia="Times New Roman" w:hAnsiTheme="majorBidi" w:cstheme="majorBidi"/>
          <w:i/>
          <w:iCs/>
          <w:sz w:val="20"/>
          <w:szCs w:val="20"/>
        </w:rPr>
        <w:t>ʿ</w:t>
      </w:r>
      <w:r w:rsidRPr="00F230F1">
        <w:rPr>
          <w:rFonts w:asciiTheme="majorBidi" w:hAnsiTheme="majorBidi" w:cstheme="majorBidi"/>
          <w:i/>
          <w:iCs/>
          <w:sz w:val="20"/>
          <w:szCs w:val="20"/>
        </w:rPr>
        <w:t>arūs</w:t>
      </w:r>
      <w:r w:rsidRPr="00F230F1">
        <w:rPr>
          <w:rFonts w:asciiTheme="majorBidi" w:hAnsiTheme="majorBidi" w:cstheme="majorBidi"/>
          <w:sz w:val="20"/>
          <w:szCs w:val="20"/>
        </w:rPr>
        <w:t>, Murtaḍā az-Zabīdī souligne que la plupart des théologiens (</w:t>
      </w:r>
      <w:r w:rsidRPr="00F230F1">
        <w:rPr>
          <w:rFonts w:asciiTheme="majorBidi" w:hAnsiTheme="majorBidi" w:cstheme="majorBidi"/>
          <w:i/>
          <w:iCs/>
          <w:sz w:val="20"/>
          <w:szCs w:val="20"/>
        </w:rPr>
        <w:t>mutakallīm</w:t>
      </w:r>
      <w:r w:rsidRPr="00F230F1">
        <w:rPr>
          <w:rFonts w:asciiTheme="majorBidi" w:hAnsiTheme="majorBidi" w:cstheme="majorBidi"/>
          <w:sz w:val="20"/>
          <w:szCs w:val="20"/>
        </w:rPr>
        <w:t xml:space="preserve">) ne font aucune distinction entre </w:t>
      </w:r>
      <w:r w:rsidRPr="00F230F1">
        <w:rPr>
          <w:rFonts w:asciiTheme="majorBidi" w:hAnsiTheme="majorBidi" w:cstheme="majorBidi"/>
          <w:i/>
          <w:iCs/>
          <w:sz w:val="20"/>
          <w:szCs w:val="20"/>
        </w:rPr>
        <w:t>al-mashī</w:t>
      </w:r>
      <w:r w:rsidRPr="00F230F1">
        <w:rPr>
          <w:rFonts w:asciiTheme="majorBidi" w:eastAsia="Times New Roman" w:hAnsiTheme="majorBidi" w:cstheme="majorBidi"/>
          <w:i/>
          <w:iCs/>
          <w:sz w:val="20"/>
          <w:szCs w:val="20"/>
        </w:rPr>
        <w:t>ʾa</w:t>
      </w:r>
      <w:r w:rsidRPr="00F230F1">
        <w:rPr>
          <w:rFonts w:asciiTheme="majorBidi" w:eastAsia="Times New Roman" w:hAnsiTheme="majorBidi" w:cstheme="majorBidi"/>
          <w:sz w:val="20"/>
          <w:szCs w:val="20"/>
        </w:rPr>
        <w:t xml:space="preserve"> [≈ intention, résolution, volonté] et </w:t>
      </w:r>
      <w:r w:rsidRPr="00F230F1">
        <w:rPr>
          <w:rFonts w:asciiTheme="majorBidi" w:eastAsia="Times New Roman" w:hAnsiTheme="majorBidi" w:cstheme="majorBidi"/>
          <w:i/>
          <w:iCs/>
          <w:sz w:val="20"/>
          <w:szCs w:val="20"/>
        </w:rPr>
        <w:t>al-irāda</w:t>
      </w:r>
      <w:r w:rsidRPr="00F230F1">
        <w:rPr>
          <w:rFonts w:asciiTheme="majorBidi" w:eastAsia="Times New Roman" w:hAnsiTheme="majorBidi" w:cstheme="majorBidi"/>
          <w:sz w:val="20"/>
          <w:szCs w:val="20"/>
        </w:rPr>
        <w:t xml:space="preserve"> [≈ volonté], bien qu’ils soient étymologiquement différents, car </w:t>
      </w:r>
      <w:r w:rsidRPr="00F230F1">
        <w:rPr>
          <w:rFonts w:asciiTheme="majorBidi" w:hAnsiTheme="majorBidi" w:cstheme="majorBidi"/>
          <w:i/>
          <w:iCs/>
          <w:sz w:val="20"/>
          <w:szCs w:val="20"/>
        </w:rPr>
        <w:t>al-mashī</w:t>
      </w:r>
      <w:r w:rsidRPr="00F230F1">
        <w:rPr>
          <w:rFonts w:asciiTheme="majorBidi" w:eastAsia="Times New Roman" w:hAnsiTheme="majorBidi" w:cstheme="majorBidi"/>
          <w:i/>
          <w:iCs/>
          <w:sz w:val="20"/>
          <w:szCs w:val="20"/>
        </w:rPr>
        <w:t>ʾa</w:t>
      </w:r>
      <w:r w:rsidRPr="00F230F1">
        <w:rPr>
          <w:rFonts w:asciiTheme="majorBidi" w:eastAsia="Times New Roman" w:hAnsiTheme="majorBidi" w:cstheme="majorBidi"/>
          <w:sz w:val="20"/>
          <w:szCs w:val="20"/>
        </w:rPr>
        <w:t xml:space="preserve"> c’est « </w:t>
      </w:r>
      <w:r w:rsidRPr="00F230F1">
        <w:rPr>
          <w:rFonts w:asciiTheme="majorBidi" w:eastAsia="Times New Roman" w:hAnsiTheme="majorBidi" w:cstheme="majorBidi"/>
          <w:i/>
          <w:iCs/>
          <w:sz w:val="20"/>
          <w:szCs w:val="20"/>
        </w:rPr>
        <w:t>créer</w:t>
      </w:r>
      <w:r w:rsidRPr="00F230F1">
        <w:rPr>
          <w:rFonts w:asciiTheme="majorBidi" w:eastAsia="Times New Roman" w:hAnsiTheme="majorBidi" w:cstheme="majorBidi"/>
          <w:sz w:val="20"/>
          <w:szCs w:val="20"/>
        </w:rPr>
        <w:t> » [</w:t>
      </w:r>
      <w:r w:rsidRPr="00F230F1">
        <w:rPr>
          <w:rFonts w:asciiTheme="majorBidi" w:eastAsia="Times New Roman" w:hAnsiTheme="majorBidi" w:cstheme="majorBidi"/>
          <w:i/>
          <w:iCs/>
          <w:sz w:val="20"/>
          <w:szCs w:val="20"/>
        </w:rPr>
        <w:t>al-</w:t>
      </w:r>
      <w:r w:rsidRPr="00F230F1">
        <w:rPr>
          <w:rFonts w:asciiTheme="majorBidi" w:hAnsiTheme="majorBidi" w:cstheme="majorBidi"/>
          <w:i/>
          <w:iCs/>
          <w:sz w:val="20"/>
          <w:szCs w:val="20"/>
        </w:rPr>
        <w:t>ī</w:t>
      </w:r>
      <w:r w:rsidRPr="00F230F1">
        <w:rPr>
          <w:rFonts w:asciiTheme="majorBidi" w:eastAsia="Times New Roman" w:hAnsiTheme="majorBidi" w:cstheme="majorBidi"/>
          <w:i/>
          <w:iCs/>
          <w:sz w:val="20"/>
          <w:szCs w:val="20"/>
        </w:rPr>
        <w:t>jād</w:t>
      </w:r>
      <w:r w:rsidRPr="00F230F1">
        <w:rPr>
          <w:rFonts w:asciiTheme="majorBidi" w:eastAsia="Times New Roman" w:hAnsiTheme="majorBidi" w:cstheme="majorBidi"/>
          <w:sz w:val="20"/>
          <w:szCs w:val="20"/>
        </w:rPr>
        <w:t>], tandis qu’</w:t>
      </w:r>
      <w:r w:rsidRPr="00F230F1">
        <w:rPr>
          <w:rFonts w:asciiTheme="majorBidi" w:eastAsia="Times New Roman" w:hAnsiTheme="majorBidi" w:cstheme="majorBidi"/>
          <w:i/>
          <w:iCs/>
          <w:sz w:val="20"/>
          <w:szCs w:val="20"/>
        </w:rPr>
        <w:t>al-irāda</w:t>
      </w:r>
      <w:r w:rsidRPr="00F230F1">
        <w:rPr>
          <w:rFonts w:asciiTheme="majorBidi" w:eastAsia="Times New Roman" w:hAnsiTheme="majorBidi" w:cstheme="majorBidi"/>
          <w:sz w:val="20"/>
          <w:szCs w:val="20"/>
        </w:rPr>
        <w:t xml:space="preserve"> c’est « </w:t>
      </w:r>
      <w:r w:rsidRPr="00F230F1">
        <w:rPr>
          <w:rFonts w:asciiTheme="majorBidi" w:eastAsia="Times New Roman" w:hAnsiTheme="majorBidi" w:cstheme="majorBidi"/>
          <w:i/>
          <w:iCs/>
          <w:sz w:val="20"/>
          <w:szCs w:val="20"/>
        </w:rPr>
        <w:t>demander</w:t>
      </w:r>
      <w:r w:rsidRPr="00F230F1">
        <w:rPr>
          <w:rFonts w:asciiTheme="majorBidi" w:eastAsia="Times New Roman" w:hAnsiTheme="majorBidi" w:cstheme="majorBidi"/>
          <w:sz w:val="20"/>
          <w:szCs w:val="20"/>
        </w:rPr>
        <w:t> » [</w:t>
      </w:r>
      <w:r w:rsidRPr="00F230F1">
        <w:rPr>
          <w:rFonts w:asciiTheme="majorBidi" w:eastAsia="Times New Roman" w:hAnsiTheme="majorBidi" w:cstheme="majorBidi"/>
          <w:i/>
          <w:iCs/>
          <w:sz w:val="20"/>
          <w:szCs w:val="20"/>
        </w:rPr>
        <w:t>aṭ-ṭalab</w:t>
      </w:r>
      <w:r w:rsidRPr="00F230F1">
        <w:rPr>
          <w:rFonts w:asciiTheme="majorBidi" w:eastAsia="Times New Roman" w:hAnsiTheme="majorBidi" w:cstheme="majorBidi"/>
          <w:sz w:val="20"/>
          <w:szCs w:val="20"/>
        </w:rPr>
        <w:t>].</w:t>
      </w:r>
    </w:p>
  </w:footnote>
  <w:footnote w:id="473">
    <w:p w14:paraId="1E46A9D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Selon le linguiste Ibn Fāris dans </w:t>
      </w:r>
      <w:r w:rsidRPr="00F230F1">
        <w:rPr>
          <w:rFonts w:asciiTheme="majorBidi" w:hAnsiTheme="majorBidi" w:cstheme="majorBidi"/>
          <w:i/>
          <w:iCs/>
          <w:sz w:val="20"/>
          <w:szCs w:val="20"/>
        </w:rPr>
        <w:t>Maqāyīs al-lugha</w:t>
      </w:r>
      <w:r w:rsidRPr="00F230F1">
        <w:rPr>
          <w:rFonts w:asciiTheme="majorBidi" w:hAnsiTheme="majorBidi" w:cstheme="majorBidi"/>
          <w:sz w:val="20"/>
          <w:szCs w:val="20"/>
        </w:rPr>
        <w:t>.</w:t>
      </w:r>
    </w:p>
  </w:footnote>
  <w:footnote w:id="474">
    <w:p w14:paraId="17EEF5F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p>
  </w:footnote>
  <w:footnote w:id="475">
    <w:p w14:paraId="455E3861" w14:textId="77777777" w:rsidR="009C3BB9" w:rsidRPr="00F230F1" w:rsidRDefault="009C3BB9" w:rsidP="00F230F1">
      <w:pPr>
        <w:pStyle w:val="Notedebasdepage"/>
        <w:contextualSpacing/>
        <w:jc w:val="both"/>
        <w:rPr>
          <w:rFonts w:asciiTheme="majorBidi" w:hAnsiTheme="majorBidi" w:cstheme="majorBidi"/>
          <w:color w:val="C0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Dans le Trésor de la langue française, on lit : « HIST. </w:t>
      </w:r>
      <w:r w:rsidRPr="00F230F1">
        <w:rPr>
          <w:rFonts w:asciiTheme="majorBidi" w:eastAsia="Times New Roman" w:hAnsiTheme="majorBidi" w:cstheme="majorBidi"/>
          <w:i/>
          <w:iCs/>
          <w:sz w:val="20"/>
          <w:szCs w:val="20"/>
          <w:lang w:eastAsia="fr-FR"/>
        </w:rPr>
        <w:t>Chemise ardente, chemise de soufre, chemise</w:t>
      </w:r>
      <w:r w:rsidRPr="00F230F1">
        <w:rPr>
          <w:rFonts w:asciiTheme="majorBidi" w:eastAsia="Times New Roman" w:hAnsiTheme="majorBidi" w:cstheme="majorBidi"/>
          <w:i/>
          <w:iCs/>
          <w:color w:val="C00000"/>
          <w:sz w:val="20"/>
          <w:szCs w:val="20"/>
          <w:lang w:eastAsia="fr-FR"/>
        </w:rPr>
        <w:t xml:space="preserve"> </w:t>
      </w:r>
      <w:r w:rsidRPr="00F230F1">
        <w:rPr>
          <w:rFonts w:asciiTheme="majorBidi" w:eastAsia="Times New Roman" w:hAnsiTheme="majorBidi" w:cstheme="majorBidi"/>
          <w:i/>
          <w:iCs/>
          <w:sz w:val="20"/>
          <w:szCs w:val="20"/>
          <w:lang w:eastAsia="fr-FR"/>
        </w:rPr>
        <w:t>soufrée.</w:t>
      </w:r>
      <w:r w:rsidRPr="00F230F1">
        <w:rPr>
          <w:rFonts w:asciiTheme="majorBidi" w:eastAsia="Times New Roman" w:hAnsiTheme="majorBidi" w:cstheme="majorBidi"/>
          <w:sz w:val="20"/>
          <w:szCs w:val="20"/>
          <w:lang w:eastAsia="fr-FR"/>
        </w:rPr>
        <w:t> </w:t>
      </w:r>
      <w:r w:rsidRPr="00F230F1">
        <w:rPr>
          <w:rFonts w:asciiTheme="majorBidi" w:eastAsia="Times New Roman" w:hAnsiTheme="majorBidi" w:cstheme="majorBidi"/>
          <w:sz w:val="20"/>
          <w:szCs w:val="20"/>
          <w:shd w:val="clear" w:color="auto" w:fill="FFFFFF"/>
          <w:lang w:eastAsia="fr-FR"/>
        </w:rPr>
        <w:t>Vêtement enduit de soufre que revêtaient les condamnés au bûcher. » [</w:t>
      </w:r>
      <w:hyperlink r:id="rId154" w:history="1">
        <w:r w:rsidRPr="00F230F1">
          <w:rPr>
            <w:rStyle w:val="Lienhypertexte"/>
            <w:rFonts w:asciiTheme="majorBidi" w:hAnsiTheme="majorBidi" w:cstheme="majorBidi"/>
            <w:sz w:val="20"/>
            <w:szCs w:val="20"/>
          </w:rPr>
          <w:t>http://www.le-tresor-de-la-langue.fr/definition/chemise</w:t>
        </w:r>
      </w:hyperlink>
      <w:r w:rsidRPr="00F230F1">
        <w:rPr>
          <w:rFonts w:asciiTheme="majorBidi" w:hAnsiTheme="majorBidi" w:cstheme="majorBidi"/>
          <w:sz w:val="20"/>
          <w:szCs w:val="20"/>
        </w:rPr>
        <w:t>] (consulté le 07/08/2017).</w:t>
      </w:r>
    </w:p>
  </w:footnote>
  <w:footnote w:id="476">
    <w:p w14:paraId="4AA5B78E"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60.</w:t>
      </w:r>
    </w:p>
  </w:footnote>
  <w:footnote w:id="477">
    <w:p w14:paraId="527FA604" w14:textId="77777777" w:rsidR="009C3BB9" w:rsidRPr="00F230F1" w:rsidRDefault="009C3BB9" w:rsidP="00F230F1">
      <w:pPr>
        <w:contextualSpacing/>
        <w:jc w:val="both"/>
        <w:rPr>
          <w:rStyle w:val="Appelnotedebasdep"/>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w:t>
      </w:r>
      <w:r w:rsidRPr="00F230F1">
        <w:rPr>
          <w:rFonts w:asciiTheme="majorBidi" w:hAnsiTheme="majorBidi" w:cstheme="majorBidi"/>
          <w:sz w:val="20"/>
          <w:szCs w:val="20"/>
          <w:shd w:val="clear" w:color="auto" w:fill="FFFFFF"/>
          <w:lang w:bidi="ar-KW"/>
        </w:rPr>
        <w:t>énallage est une figure de style qui consiste à remplacer une forme grammaticale [un pronom, un nom, un temps verbal ou un aspect verbal] par une autre</w:t>
      </w:r>
      <w:r w:rsidRPr="00F230F1">
        <w:rPr>
          <w:rFonts w:asciiTheme="majorBidi" w:hAnsiTheme="majorBidi" w:cstheme="majorBidi"/>
          <w:sz w:val="20"/>
          <w:szCs w:val="20"/>
          <w:lang w:bidi="ar-AE"/>
        </w:rPr>
        <w:t>.</w:t>
      </w:r>
    </w:p>
  </w:footnote>
  <w:footnote w:id="478">
    <w:p w14:paraId="0610C2B8" w14:textId="77777777" w:rsidR="009C3BB9" w:rsidRPr="00F230F1" w:rsidRDefault="009C3BB9" w:rsidP="00F230F1">
      <w:pPr>
        <w:contextualSpacing/>
        <w:jc w:val="both"/>
        <w:rPr>
          <w:rFonts w:asciiTheme="majorBidi" w:eastAsia="SimSun" w:hAnsiTheme="majorBidi" w:cstheme="majorBidi"/>
          <w:sz w:val="20"/>
          <w:szCs w:val="20"/>
          <w:lang w:eastAsia="zh-CN"/>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 xml:space="preserve">Noha Abdel Méguid, </w:t>
      </w:r>
      <w:r w:rsidRPr="00F230F1">
        <w:rPr>
          <w:rFonts w:asciiTheme="majorBidi" w:eastAsia="SimSun" w:hAnsiTheme="majorBidi" w:cstheme="majorBidi"/>
          <w:i/>
          <w:iCs/>
          <w:sz w:val="20"/>
          <w:szCs w:val="20"/>
          <w:lang w:eastAsia="zh-CN"/>
        </w:rPr>
        <w:t>Rhétorique du texte traduit et Interprétation(s) du sens. Application sur une sourate du Coran dans les traductions de Régis Blachère et de Jacques Berque</w:t>
      </w:r>
      <w:r w:rsidRPr="00F230F1">
        <w:rPr>
          <w:rFonts w:asciiTheme="majorBidi" w:eastAsia="SimSun" w:hAnsiTheme="majorBidi" w:cstheme="majorBidi"/>
          <w:sz w:val="20"/>
          <w:szCs w:val="20"/>
          <w:lang w:eastAsia="zh-CN"/>
        </w:rPr>
        <w:t>, Université de Paris III [Sorbonne Nouvelle], Université de Helwan, Mai 2011.</w:t>
      </w:r>
    </w:p>
  </w:footnote>
  <w:footnote w:id="479">
    <w:p w14:paraId="4C0AC97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On a comparé entre </w:t>
      </w:r>
      <w:r w:rsidRPr="00F230F1">
        <w:rPr>
          <w:rFonts w:asciiTheme="majorBidi" w:eastAsia="Times New Roman" w:hAnsiTheme="majorBidi" w:cstheme="majorBidi"/>
          <w:sz w:val="20"/>
          <w:szCs w:val="20"/>
          <w:rtl/>
          <w:lang w:eastAsia="fr-FR" w:bidi="ar-AE"/>
        </w:rPr>
        <w:t>"إنَّ اللهَ على كُلِّ شيءٍ شهِيدٌ"</w:t>
      </w:r>
      <w:r w:rsidRPr="00F230F1">
        <w:rPr>
          <w:rFonts w:asciiTheme="majorBidi" w:eastAsia="Times New Roman" w:hAnsiTheme="majorBidi" w:cstheme="majorBidi"/>
          <w:sz w:val="20"/>
          <w:szCs w:val="20"/>
          <w:lang w:eastAsia="fr-FR" w:bidi="ar-AE"/>
        </w:rPr>
        <w:t xml:space="preserve"> (XXII, 17) et </w:t>
      </w:r>
      <w:r w:rsidRPr="00F230F1">
        <w:rPr>
          <w:rFonts w:asciiTheme="majorBidi" w:eastAsia="Times New Roman" w:hAnsiTheme="majorBidi" w:cstheme="majorBidi"/>
          <w:sz w:val="20"/>
          <w:szCs w:val="20"/>
          <w:rtl/>
          <w:lang w:eastAsia="fr-FR" w:bidi="ar-AE"/>
        </w:rPr>
        <w:t xml:space="preserve">"إنَّ اللهَ </w:t>
      </w:r>
      <w:r w:rsidRPr="00F230F1">
        <w:rPr>
          <w:rFonts w:asciiTheme="majorBidi" w:eastAsia="Times New Roman" w:hAnsiTheme="majorBidi" w:cstheme="majorBidi"/>
          <w:i/>
          <w:iCs/>
          <w:sz w:val="20"/>
          <w:szCs w:val="20"/>
          <w:rtl/>
          <w:lang w:eastAsia="fr-FR" w:bidi="ar-AE"/>
        </w:rPr>
        <w:t>كانَ</w:t>
      </w:r>
      <w:r w:rsidRPr="00F230F1">
        <w:rPr>
          <w:rFonts w:asciiTheme="majorBidi" w:eastAsia="Times New Roman" w:hAnsiTheme="majorBidi" w:cstheme="majorBidi"/>
          <w:sz w:val="20"/>
          <w:szCs w:val="20"/>
          <w:rtl/>
          <w:lang w:eastAsia="fr-FR" w:bidi="ar-AE"/>
        </w:rPr>
        <w:t xml:space="preserve"> على كُلِّ شيءٍ شهيداً"</w:t>
      </w:r>
      <w:r w:rsidRPr="00F230F1">
        <w:rPr>
          <w:rFonts w:asciiTheme="majorBidi" w:eastAsia="Times New Roman" w:hAnsiTheme="majorBidi" w:cstheme="majorBidi"/>
          <w:sz w:val="20"/>
          <w:szCs w:val="20"/>
          <w:lang w:eastAsia="fr-FR" w:bidi="ar-AE"/>
        </w:rPr>
        <w:t xml:space="preserve"> (</w:t>
      </w:r>
      <w:r w:rsidRPr="00F230F1">
        <w:rPr>
          <w:rFonts w:asciiTheme="majorBidi" w:eastAsia="SimSun" w:hAnsiTheme="majorBidi" w:cstheme="majorBidi"/>
          <w:sz w:val="20"/>
          <w:szCs w:val="20"/>
          <w:lang w:eastAsia="zh-CN"/>
        </w:rPr>
        <w:t>XXXIII, 55).</w:t>
      </w:r>
    </w:p>
  </w:footnote>
  <w:footnote w:id="480">
    <w:p w14:paraId="54DF8BAF"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61.</w:t>
      </w:r>
    </w:p>
  </w:footnote>
  <w:footnote w:id="481">
    <w:p w14:paraId="1EFE8DE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Abū Isḥāq Aḥmad b. Muḥammad b. Ibrāhīm al-Tha</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labī, </w:t>
      </w:r>
      <w:r w:rsidRPr="00F230F1">
        <w:rPr>
          <w:rFonts w:asciiTheme="majorBidi" w:hAnsiTheme="majorBidi" w:cstheme="majorBidi"/>
          <w:i/>
          <w:iCs/>
          <w:sz w:val="20"/>
          <w:szCs w:val="20"/>
        </w:rPr>
        <w:t xml:space="preserve">Al-Kashf wa-al-Bayān </w:t>
      </w:r>
      <w:r w:rsidRPr="00F230F1">
        <w:rPr>
          <w:rFonts w:asciiTheme="majorBidi" w:eastAsia="Times New Roman" w:hAnsiTheme="majorBidi" w:cstheme="majorBidi"/>
          <w:i/>
          <w:iCs/>
          <w:sz w:val="20"/>
          <w:szCs w:val="20"/>
        </w:rPr>
        <w:t xml:space="preserve">ʿan tafsīr al-Qurʾān </w:t>
      </w:r>
      <w:r w:rsidRPr="00F230F1">
        <w:rPr>
          <w:rFonts w:asciiTheme="majorBidi" w:hAnsiTheme="majorBidi" w:cstheme="majorBidi"/>
          <w:sz w:val="20"/>
          <w:szCs w:val="20"/>
        </w:rPr>
        <w:t>[</w:t>
      </w:r>
      <w:r w:rsidRPr="00F230F1">
        <w:rPr>
          <w:rFonts w:asciiTheme="majorBidi" w:hAnsiTheme="majorBidi" w:cstheme="majorBidi"/>
          <w:i/>
          <w:iCs/>
          <w:sz w:val="20"/>
          <w:szCs w:val="20"/>
        </w:rPr>
        <w:t>Tafsīr ath-Tha</w:t>
      </w:r>
      <w:r w:rsidRPr="00F230F1">
        <w:rPr>
          <w:rFonts w:asciiTheme="majorBidi" w:eastAsia="Times New Roman" w:hAnsiTheme="majorBidi" w:cstheme="majorBidi"/>
          <w:i/>
          <w:iCs/>
          <w:sz w:val="20"/>
          <w:szCs w:val="20"/>
        </w:rPr>
        <w:t>ʿ</w:t>
      </w:r>
      <w:r w:rsidRPr="00F230F1">
        <w:rPr>
          <w:rFonts w:asciiTheme="majorBidi" w:hAnsiTheme="majorBidi" w:cstheme="majorBidi"/>
          <w:i/>
          <w:iCs/>
          <w:sz w:val="20"/>
          <w:szCs w:val="20"/>
        </w:rPr>
        <w:t>labī</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 revu par : Ṣāliḥ ibn Namrān al-Ḥārithī &amp; Nāṣir ibn Muḥammad aṣ-Ṣāʾigh, dirigé par : Ṣalāḥ Bāʿuthmān, Ḥasan al-Ghazālī, Zayd Mahārish &amp; Amīn Bāsha, vol. 18, p. 322, Dār at-Tafsīr, Jiddah, 2015 (33 vols).</w:t>
      </w:r>
    </w:p>
  </w:footnote>
  <w:footnote w:id="482">
    <w:p w14:paraId="269745F1"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L’arabe utilise la forme du masculin pour les adjectifs (participes actifs) propres à la femme. Par exemple, pour dire : « enceinte », on utilise le masculin : </w:t>
      </w:r>
      <w:r w:rsidRPr="00F230F1">
        <w:rPr>
          <w:rFonts w:asciiTheme="majorBidi" w:hAnsiTheme="majorBidi" w:cstheme="majorBidi"/>
          <w:sz w:val="20"/>
          <w:szCs w:val="20"/>
          <w:rtl/>
        </w:rPr>
        <w:t>حامِل</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litt. </w:t>
      </w:r>
      <w:r w:rsidRPr="00F230F1">
        <w:rPr>
          <w:rFonts w:asciiTheme="majorBidi" w:hAnsiTheme="majorBidi" w:cstheme="majorBidi"/>
          <w:sz w:val="20"/>
          <w:szCs w:val="20"/>
        </w:rPr>
        <w:t xml:space="preserve">: celui qui porte). De même, pour désigner la femme qui allaite sans être forcément en action, on utilise le masculin : </w:t>
      </w:r>
      <w:r w:rsidRPr="00F230F1">
        <w:rPr>
          <w:rFonts w:asciiTheme="majorBidi" w:hAnsiTheme="majorBidi" w:cstheme="majorBidi"/>
          <w:sz w:val="20"/>
          <w:szCs w:val="20"/>
          <w:rtl/>
        </w:rPr>
        <w:t>مُرْضِع</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litt. </w:t>
      </w:r>
      <w:r w:rsidRPr="00F230F1">
        <w:rPr>
          <w:rFonts w:asciiTheme="majorBidi" w:hAnsiTheme="majorBidi" w:cstheme="majorBidi"/>
          <w:sz w:val="20"/>
          <w:szCs w:val="20"/>
        </w:rPr>
        <w:t xml:space="preserve">: celui qui allaite), et l’on réserve le féminin à l’expression de l’action de l’allaitement en train de se dérouler : </w:t>
      </w:r>
      <w:r w:rsidRPr="00F230F1">
        <w:rPr>
          <w:rFonts w:asciiTheme="majorBidi" w:hAnsiTheme="majorBidi" w:cstheme="majorBidi"/>
          <w:sz w:val="20"/>
          <w:szCs w:val="20"/>
          <w:rtl/>
        </w:rPr>
        <w:t>مُرْضِعة</w:t>
      </w:r>
      <w:r w:rsidRPr="00F230F1">
        <w:rPr>
          <w:rFonts w:asciiTheme="majorBidi" w:hAnsiTheme="majorBidi" w:cstheme="majorBidi"/>
          <w:sz w:val="20"/>
          <w:szCs w:val="20"/>
        </w:rPr>
        <w:t xml:space="preserve"> (celle qui est en train d’allaiter). Ainsi, l’emploi du féminin, en signifiant l’action en train de se dérouler, accroît l’effet d’intimidation ; le verset veut dire que toute allaitante, même au moment de l’allaitement, délaissera de terreur son allaité.</w:t>
      </w:r>
    </w:p>
  </w:footnote>
  <w:footnote w:id="483">
    <w:p w14:paraId="1462F2AA"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63.</w:t>
      </w:r>
    </w:p>
  </w:footnote>
  <w:footnote w:id="484">
    <w:p w14:paraId="33041B81"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rPr>
        <w:t>Ibid.</w:t>
      </w:r>
    </w:p>
  </w:footnote>
  <w:footnote w:id="485">
    <w:p w14:paraId="3FA00319"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 64.</w:t>
      </w:r>
    </w:p>
  </w:footnote>
  <w:footnote w:id="486">
    <w:p w14:paraId="78A3AABF"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Al-Qāsim</w:t>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b. Sallām, </w:t>
      </w:r>
      <w:r w:rsidRPr="00F230F1">
        <w:rPr>
          <w:rFonts w:asciiTheme="majorBidi" w:hAnsiTheme="majorBidi" w:cstheme="majorBidi"/>
          <w:i/>
          <w:sz w:val="20"/>
          <w:szCs w:val="20"/>
        </w:rPr>
        <w:t xml:space="preserve">Lughāt al-qabāʾil al-wārida fī l-Qurʾān al-karīm </w:t>
      </w:r>
      <w:r w:rsidRPr="00F230F1">
        <w:rPr>
          <w:rFonts w:asciiTheme="majorBidi" w:hAnsiTheme="majorBidi" w:cstheme="majorBidi"/>
          <w:sz w:val="20"/>
          <w:szCs w:val="20"/>
        </w:rPr>
        <w:t>[≈ Les langues vernaculaires évoquées dans le noble Coran]</w:t>
      </w:r>
      <w:r w:rsidRPr="00F230F1">
        <w:rPr>
          <w:rFonts w:asciiTheme="majorBidi" w:eastAsia="Times New Roman" w:hAnsiTheme="majorBidi" w:cstheme="majorBidi"/>
          <w:sz w:val="20"/>
          <w:szCs w:val="20"/>
        </w:rPr>
        <w:t xml:space="preserve">, version électronique, site web </w:t>
      </w:r>
      <w:r w:rsidRPr="00F230F1">
        <w:rPr>
          <w:rFonts w:asciiTheme="majorBidi" w:eastAsia="Times New Roman" w:hAnsiTheme="majorBidi" w:cstheme="majorBidi"/>
          <w:i/>
          <w:iCs/>
          <w:sz w:val="20"/>
          <w:szCs w:val="20"/>
        </w:rPr>
        <w:t>Nidāʾ al-ʾĪmān</w:t>
      </w:r>
      <w:r w:rsidRPr="00F230F1">
        <w:rPr>
          <w:rFonts w:asciiTheme="majorBidi" w:eastAsia="Times New Roman" w:hAnsiTheme="majorBidi" w:cstheme="majorBidi"/>
          <w:sz w:val="20"/>
          <w:szCs w:val="20"/>
        </w:rPr>
        <w:t xml:space="preserve">, </w:t>
      </w:r>
      <w:hyperlink r:id="rId155" w:history="1">
        <w:r w:rsidRPr="00F230F1">
          <w:rPr>
            <w:rStyle w:val="Lienhypertexte"/>
            <w:rFonts w:asciiTheme="majorBidi" w:hAnsiTheme="majorBidi" w:cstheme="majorBidi"/>
            <w:sz w:val="20"/>
            <w:szCs w:val="20"/>
          </w:rPr>
          <w:t>http://www.al-eman.com</w:t>
        </w:r>
      </w:hyperlink>
      <w:r w:rsidRPr="00F230F1">
        <w:rPr>
          <w:rFonts w:asciiTheme="majorBidi" w:eastAsia="Times New Roman" w:hAnsiTheme="majorBidi" w:cstheme="majorBidi"/>
          <w:sz w:val="20"/>
          <w:szCs w:val="20"/>
        </w:rPr>
        <w:t xml:space="preserve"> et </w:t>
      </w:r>
    </w:p>
    <w:p w14:paraId="39DA6B55" w14:textId="77777777" w:rsidR="009C3BB9" w:rsidRPr="00F230F1" w:rsidRDefault="00BA118B" w:rsidP="00F230F1">
      <w:pPr>
        <w:tabs>
          <w:tab w:val="right" w:pos="851"/>
        </w:tabs>
        <w:contextualSpacing/>
        <w:jc w:val="both"/>
        <w:rPr>
          <w:rFonts w:asciiTheme="majorBidi" w:eastAsia="Times New Roman" w:hAnsiTheme="majorBidi" w:cstheme="majorBidi"/>
          <w:sz w:val="20"/>
          <w:szCs w:val="20"/>
        </w:rPr>
      </w:pPr>
      <w:hyperlink r:id="rId156" w:history="1">
        <w:r w:rsidR="009C3BB9" w:rsidRPr="00F230F1">
          <w:rPr>
            <w:rStyle w:val="Lienhypertexte"/>
            <w:rFonts w:asciiTheme="majorBidi" w:hAnsiTheme="majorBidi" w:cstheme="majorBidi"/>
            <w:sz w:val="20"/>
            <w:szCs w:val="20"/>
          </w:rPr>
          <w:t>https://books.google.fr/books?id=xVzP_aMPm_MC&amp;dq=</w:t>
        </w:r>
        <w:r w:rsidR="009C3BB9" w:rsidRPr="00F230F1">
          <w:rPr>
            <w:rStyle w:val="Lienhypertexte"/>
            <w:rFonts w:asciiTheme="majorBidi" w:hAnsiTheme="majorBidi" w:cstheme="majorBidi"/>
            <w:sz w:val="20"/>
            <w:szCs w:val="20"/>
            <w:rtl/>
          </w:rPr>
          <w:t>هامدة+مغبرة+بلغة+هذيل</w:t>
        </w:r>
        <w:r w:rsidR="009C3BB9" w:rsidRPr="00F230F1">
          <w:rPr>
            <w:rStyle w:val="Lienhypertexte"/>
            <w:rFonts w:asciiTheme="majorBidi" w:hAnsiTheme="majorBidi" w:cstheme="majorBidi"/>
            <w:sz w:val="20"/>
            <w:szCs w:val="20"/>
          </w:rPr>
          <w:t>&amp;hl=fr&amp;source=gbs_navlinks_s</w:t>
        </w:r>
      </w:hyperlink>
      <w:r w:rsidR="009C3BB9" w:rsidRPr="00F230F1">
        <w:rPr>
          <w:rFonts w:asciiTheme="majorBidi" w:eastAsia="Times New Roman" w:hAnsiTheme="majorBidi" w:cstheme="majorBidi"/>
          <w:sz w:val="20"/>
          <w:szCs w:val="20"/>
        </w:rPr>
        <w:t>.</w:t>
      </w:r>
    </w:p>
  </w:footnote>
  <w:footnote w:id="487">
    <w:p w14:paraId="0B545ECB"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65.</w:t>
      </w:r>
    </w:p>
  </w:footnote>
  <w:footnote w:id="488">
    <w:p w14:paraId="3EC54D1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Berman, </w:t>
      </w:r>
      <w:r w:rsidRPr="00F230F1">
        <w:rPr>
          <w:rFonts w:asciiTheme="majorBidi" w:hAnsiTheme="majorBidi" w:cstheme="majorBidi"/>
          <w:i/>
          <w:iCs/>
          <w:sz w:val="20"/>
          <w:szCs w:val="20"/>
        </w:rPr>
        <w:t>La traduction et la lettre</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66.</w:t>
      </w:r>
    </w:p>
  </w:footnote>
  <w:footnote w:id="489">
    <w:p w14:paraId="322B3FC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Idrīs Sulaymān Muṣṭafā, </w:t>
      </w:r>
      <w:r w:rsidRPr="00F230F1">
        <w:rPr>
          <w:rFonts w:asciiTheme="majorBidi" w:hAnsiTheme="majorBidi" w:cstheme="majorBidi"/>
          <w:i/>
          <w:iCs/>
          <w:sz w:val="20"/>
          <w:szCs w:val="20"/>
        </w:rPr>
        <w:t>Al-muʿarrab aṣ-ṣawtī fī l-Qurʾān al-karīm</w:t>
      </w:r>
      <w:r w:rsidRPr="00F230F1">
        <w:rPr>
          <w:rFonts w:asciiTheme="majorBidi" w:hAnsiTheme="majorBidi" w:cstheme="majorBidi"/>
          <w:sz w:val="20"/>
          <w:szCs w:val="20"/>
        </w:rPr>
        <w:t xml:space="preserve"> [Les mots arabisés dans le noble Coran], Mossoul, 2006, p. 51.</w:t>
      </w:r>
    </w:p>
  </w:footnote>
  <w:footnote w:id="490">
    <w:p w14:paraId="403B6A26" w14:textId="77777777" w:rsidR="009C3BB9" w:rsidRPr="00F230F1" w:rsidRDefault="009C3BB9" w:rsidP="00F230F1">
      <w:pPr>
        <w:pStyle w:val="Notedebasdepage"/>
        <w:contextualSpacing/>
        <w:jc w:val="both"/>
        <w:rPr>
          <w:rFonts w:asciiTheme="majorBidi" w:hAnsiTheme="majorBidi" w:cstheme="majorBidi"/>
          <w:i/>
          <w:iCs/>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Alt</w:t>
      </w:r>
      <w:r w:rsidRPr="00F230F1">
        <w:rPr>
          <w:rFonts w:asciiTheme="majorBidi" w:hAnsiTheme="majorBidi" w:cstheme="majorBidi"/>
          <w:iCs/>
          <w:sz w:val="20"/>
          <w:szCs w:val="20"/>
        </w:rPr>
        <w:t>ū</w:t>
      </w:r>
      <w:r w:rsidRPr="00F230F1">
        <w:rPr>
          <w:rFonts w:asciiTheme="majorBidi" w:hAnsiTheme="majorBidi" w:cstheme="majorBidi"/>
          <w:sz w:val="20"/>
          <w:szCs w:val="20"/>
        </w:rPr>
        <w:t xml:space="preserve">njī, Muḥammad, </w:t>
      </w:r>
      <w:r w:rsidRPr="00F230F1">
        <w:rPr>
          <w:rFonts w:asciiTheme="majorBidi" w:hAnsiTheme="majorBidi" w:cstheme="majorBidi"/>
          <w:i/>
          <w:iCs/>
          <w:sz w:val="20"/>
          <w:szCs w:val="20"/>
        </w:rPr>
        <w:t>Al-Muʿjam al-mufaṣṣal fī tafsīr gharīb al-Qurʾān</w:t>
      </w:r>
      <w:r w:rsidRPr="00F230F1">
        <w:rPr>
          <w:rFonts w:asciiTheme="majorBidi" w:hAnsiTheme="majorBidi" w:cstheme="majorBidi"/>
          <w:sz w:val="20"/>
          <w:szCs w:val="20"/>
        </w:rPr>
        <w:t xml:space="preserve"> [Dictionnaire détaillé des mots inusuels/obscurs du Coran], Dār al-Kutub al-ʿIlmīya, Beyrouth, 2003.</w:t>
      </w:r>
    </w:p>
  </w:footnote>
  <w:footnote w:id="491">
    <w:p w14:paraId="4264030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Muṣṭafā, </w:t>
      </w:r>
      <w:r w:rsidRPr="00F230F1">
        <w:rPr>
          <w:rFonts w:asciiTheme="majorBidi" w:hAnsiTheme="majorBidi" w:cstheme="majorBidi"/>
          <w:i/>
          <w:iCs/>
          <w:sz w:val="20"/>
          <w:szCs w:val="20"/>
        </w:rPr>
        <w:t>Al-muʿarrab aṣ-ṣawtī</w:t>
      </w:r>
      <w:r w:rsidRPr="00F230F1">
        <w:rPr>
          <w:rFonts w:asciiTheme="majorBidi" w:hAnsiTheme="majorBidi" w:cstheme="majorBidi"/>
          <w:sz w:val="20"/>
          <w:szCs w:val="20"/>
        </w:rPr>
        <w:t>,</w:t>
      </w:r>
      <w:r w:rsidRPr="00F230F1">
        <w:rPr>
          <w:rFonts w:asciiTheme="majorBidi" w:hAnsiTheme="majorBidi" w:cstheme="majorBidi"/>
          <w:i/>
          <w:iCs/>
          <w:sz w:val="20"/>
          <w:szCs w:val="20"/>
        </w:rPr>
        <w:t xml:space="preserve"> op. cit.</w:t>
      </w:r>
      <w:r w:rsidRPr="00F230F1">
        <w:rPr>
          <w:rFonts w:asciiTheme="majorBidi" w:hAnsiTheme="majorBidi" w:cstheme="majorBidi"/>
          <w:sz w:val="20"/>
          <w:szCs w:val="20"/>
        </w:rPr>
        <w:t>, p. 150.</w:t>
      </w:r>
    </w:p>
  </w:footnote>
  <w:footnote w:id="492">
    <w:p w14:paraId="11D416F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Muṣṭafā, </w:t>
      </w:r>
      <w:r w:rsidRPr="00F230F1">
        <w:rPr>
          <w:rFonts w:asciiTheme="majorBidi" w:hAnsiTheme="majorBidi" w:cstheme="majorBidi"/>
          <w:i/>
          <w:iCs/>
          <w:sz w:val="20"/>
          <w:szCs w:val="20"/>
        </w:rPr>
        <w:t>Al-muʿarrab</w:t>
      </w:r>
      <w:r w:rsidRPr="00F230F1">
        <w:rPr>
          <w:rFonts w:asciiTheme="majorBidi" w:hAnsiTheme="majorBidi" w:cstheme="majorBidi"/>
          <w:sz w:val="20"/>
          <w:szCs w:val="20"/>
        </w:rPr>
        <w:t>,</w:t>
      </w:r>
      <w:r w:rsidRPr="00F230F1">
        <w:rPr>
          <w:rFonts w:asciiTheme="majorBidi" w:hAnsiTheme="majorBidi" w:cstheme="majorBidi"/>
          <w:i/>
          <w:iCs/>
          <w:sz w:val="20"/>
          <w:szCs w:val="20"/>
        </w:rPr>
        <w:t xml:space="preserve"> op. cit.</w:t>
      </w:r>
      <w:r w:rsidRPr="00F230F1">
        <w:rPr>
          <w:rFonts w:asciiTheme="majorBidi" w:hAnsiTheme="majorBidi" w:cstheme="majorBidi"/>
          <w:sz w:val="20"/>
          <w:szCs w:val="20"/>
        </w:rPr>
        <w:t>, p. 81 &amp; 82.</w:t>
      </w:r>
    </w:p>
  </w:footnote>
  <w:footnote w:id="493">
    <w:p w14:paraId="108257F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Muṣṭafā, </w:t>
      </w:r>
      <w:r w:rsidRPr="00F230F1">
        <w:rPr>
          <w:rFonts w:asciiTheme="majorBidi" w:hAnsiTheme="majorBidi" w:cstheme="majorBidi"/>
          <w:i/>
          <w:iCs/>
          <w:sz w:val="20"/>
          <w:szCs w:val="20"/>
        </w:rPr>
        <w:t>Al-muʿarrab</w:t>
      </w:r>
      <w:r w:rsidRPr="00F230F1">
        <w:rPr>
          <w:rFonts w:asciiTheme="majorBidi" w:hAnsiTheme="majorBidi" w:cstheme="majorBidi"/>
          <w:sz w:val="20"/>
          <w:szCs w:val="20"/>
        </w:rPr>
        <w:t>,</w:t>
      </w:r>
      <w:r w:rsidRPr="00F230F1">
        <w:rPr>
          <w:rFonts w:asciiTheme="majorBidi" w:hAnsiTheme="majorBidi" w:cstheme="majorBidi"/>
          <w:i/>
          <w:iCs/>
          <w:sz w:val="20"/>
          <w:szCs w:val="20"/>
        </w:rPr>
        <w:t xml:space="preserve"> op. cit.</w:t>
      </w:r>
      <w:r w:rsidRPr="00F230F1">
        <w:rPr>
          <w:rFonts w:asciiTheme="majorBidi" w:hAnsiTheme="majorBidi" w:cstheme="majorBidi"/>
          <w:sz w:val="20"/>
          <w:szCs w:val="20"/>
        </w:rPr>
        <w:t>, p. 152.</w:t>
      </w:r>
    </w:p>
  </w:footnote>
  <w:footnote w:id="494">
    <w:p w14:paraId="7374EB07"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67.</w:t>
      </w:r>
    </w:p>
  </w:footnote>
  <w:footnote w:id="495">
    <w:p w14:paraId="67695F0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p>
  </w:footnote>
  <w:footnote w:id="496">
    <w:p w14:paraId="506EA61E"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Berman, 1985 : 51. Cité par : </w:t>
      </w:r>
      <w:r w:rsidRPr="00F230F1">
        <w:rPr>
          <w:rFonts w:asciiTheme="majorBidi" w:eastAsia="Times New Roman" w:hAnsiTheme="majorBidi" w:cstheme="majorBidi"/>
          <w:sz w:val="20"/>
          <w:szCs w:val="20"/>
          <w:shd w:val="clear" w:color="auto" w:fill="FFFFFF"/>
        </w:rPr>
        <w:t>Simeonidou-Christidou Teta, « Apprendre à (re)connaître le culturel à travers les textes traduits pour enfants », </w:t>
      </w:r>
      <w:r w:rsidRPr="00F230F1">
        <w:rPr>
          <w:rFonts w:asciiTheme="majorBidi" w:eastAsia="Times New Roman" w:hAnsiTheme="majorBidi" w:cstheme="majorBidi"/>
          <w:i/>
          <w:iCs/>
          <w:sz w:val="20"/>
          <w:szCs w:val="20"/>
          <w:shd w:val="clear" w:color="auto" w:fill="FFFFFF"/>
        </w:rPr>
        <w:t>Ela. Études de linguistique appliquée</w:t>
      </w:r>
      <w:r w:rsidRPr="00F230F1">
        <w:rPr>
          <w:rFonts w:asciiTheme="majorBidi" w:eastAsia="Times New Roman" w:hAnsiTheme="majorBidi" w:cstheme="majorBidi"/>
          <w:sz w:val="20"/>
          <w:szCs w:val="20"/>
          <w:shd w:val="clear" w:color="auto" w:fill="FFFFFF"/>
        </w:rPr>
        <w:t>, 2006/1 (n</w:t>
      </w:r>
      <w:r w:rsidRPr="00F230F1">
        <w:rPr>
          <w:rFonts w:asciiTheme="majorBidi" w:eastAsia="Times New Roman" w:hAnsiTheme="majorBidi" w:cstheme="majorBidi"/>
          <w:sz w:val="20"/>
          <w:szCs w:val="20"/>
          <w:shd w:val="clear" w:color="auto" w:fill="FFFFFF"/>
          <w:vertAlign w:val="superscript"/>
        </w:rPr>
        <w:t>o</w:t>
      </w:r>
      <w:r w:rsidRPr="00F230F1">
        <w:rPr>
          <w:rFonts w:asciiTheme="majorBidi" w:eastAsia="Times New Roman" w:hAnsiTheme="majorBidi" w:cstheme="majorBidi"/>
          <w:sz w:val="20"/>
          <w:szCs w:val="20"/>
          <w:shd w:val="clear" w:color="auto" w:fill="FFFFFF"/>
        </w:rPr>
        <w:t> 141), p. 33-42. URL:</w:t>
      </w:r>
      <w:r w:rsidRPr="00F230F1">
        <w:rPr>
          <w:rFonts w:asciiTheme="majorBidi" w:eastAsia="Times New Roman" w:hAnsiTheme="majorBidi" w:cstheme="majorBidi"/>
          <w:color w:val="323232"/>
          <w:sz w:val="20"/>
          <w:szCs w:val="20"/>
          <w:shd w:val="clear" w:color="auto" w:fill="FFFFFF"/>
        </w:rPr>
        <w:t xml:space="preserve"> </w:t>
      </w:r>
      <w:hyperlink r:id="rId157" w:history="1">
        <w:r w:rsidRPr="00F230F1">
          <w:rPr>
            <w:rStyle w:val="Lienhypertexte"/>
            <w:rFonts w:asciiTheme="majorBidi" w:hAnsiTheme="majorBidi" w:cstheme="majorBidi"/>
            <w:sz w:val="20"/>
            <w:szCs w:val="20"/>
            <w:shd w:val="clear" w:color="auto" w:fill="FFFFFF"/>
          </w:rPr>
          <w:t>http://www.cairn.info/revue-ela-2006-1-page-33.htm</w:t>
        </w:r>
      </w:hyperlink>
      <w:r w:rsidRPr="00F230F1">
        <w:rPr>
          <w:rFonts w:asciiTheme="majorBidi" w:eastAsia="Times New Roman" w:hAnsiTheme="majorBidi" w:cstheme="majorBidi"/>
          <w:color w:val="323232"/>
          <w:sz w:val="20"/>
          <w:szCs w:val="20"/>
          <w:shd w:val="clear" w:color="auto" w:fill="FFFFFF"/>
        </w:rPr>
        <w:t xml:space="preserve"> </w:t>
      </w:r>
      <w:r w:rsidRPr="00F230F1">
        <w:rPr>
          <w:rFonts w:asciiTheme="majorBidi" w:eastAsia="Times New Roman" w:hAnsiTheme="majorBidi" w:cstheme="majorBidi"/>
          <w:sz w:val="20"/>
          <w:szCs w:val="20"/>
          <w:shd w:val="clear" w:color="auto" w:fill="FFFFFF"/>
        </w:rPr>
        <w:t xml:space="preserve">(consulté le 10/08/2017). Cité aussi par : </w:t>
      </w:r>
      <w:r w:rsidRPr="00F230F1">
        <w:rPr>
          <w:rFonts w:asciiTheme="majorBidi" w:eastAsia="Times New Roman" w:hAnsiTheme="majorBidi" w:cstheme="majorBidi"/>
          <w:sz w:val="20"/>
          <w:szCs w:val="20"/>
        </w:rPr>
        <w:t>Sébastien CÔTÉ, « Centre, périphérie et ethnocentrisme : la traduction française de Barney’s Version, de Mordecai Richler », Université de Montréal, communication présentée au colloque Odyssée de la traductologie, tenu le 21 mars 2003 à la Bibliothèque nationale du Québec (Montréal).</w:t>
      </w:r>
    </w:p>
  </w:footnote>
  <w:footnote w:id="497">
    <w:p w14:paraId="3FE7B74C" w14:textId="77777777" w:rsidR="009C3BB9" w:rsidRPr="00F230F1" w:rsidRDefault="009C3BB9" w:rsidP="00F230F1">
      <w:pPr>
        <w:pStyle w:val="Notedebasdepage"/>
        <w:contextualSpacing/>
        <w:jc w:val="both"/>
        <w:rPr>
          <w:rFonts w:asciiTheme="majorBidi" w:hAnsiTheme="majorBidi" w:cstheme="majorBidi"/>
          <w:color w:val="C00000"/>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Nous avons vu dans le chapitre 3 « </w:t>
      </w:r>
      <w:r w:rsidRPr="00F230F1">
        <w:rPr>
          <w:rFonts w:asciiTheme="majorBidi" w:eastAsia="Times New Roman" w:hAnsiTheme="majorBidi" w:cstheme="majorBidi"/>
          <w:sz w:val="20"/>
          <w:szCs w:val="20"/>
        </w:rPr>
        <w:t>Histoire concise de l’exégèse… »</w:t>
      </w:r>
      <w:r w:rsidRPr="00F230F1">
        <w:rPr>
          <w:rFonts w:asciiTheme="majorBidi" w:hAnsiTheme="majorBidi" w:cstheme="majorBidi"/>
          <w:sz w:val="20"/>
          <w:szCs w:val="20"/>
        </w:rPr>
        <w:t xml:space="preserve"> (</w:t>
      </w:r>
      <w:r w:rsidRPr="00F230F1">
        <w:rPr>
          <w:rFonts w:asciiTheme="majorBidi" w:hAnsiTheme="majorBidi" w:cstheme="majorBidi"/>
          <w:b/>
          <w:bCs/>
          <w:sz w:val="20"/>
          <w:szCs w:val="20"/>
        </w:rPr>
        <w:t>note 58</w:t>
      </w:r>
      <w:r w:rsidRPr="00F230F1">
        <w:rPr>
          <w:rFonts w:asciiTheme="majorBidi" w:hAnsiTheme="majorBidi" w:cstheme="majorBidi"/>
          <w:sz w:val="20"/>
          <w:szCs w:val="20"/>
        </w:rPr>
        <w:t>), que le cheikh al-Qara</w:t>
      </w:r>
      <w:r w:rsidRPr="00F230F1">
        <w:rPr>
          <w:rFonts w:asciiTheme="majorBidi" w:eastAsia="Times New Roman" w:hAnsiTheme="majorBidi" w:cstheme="majorBidi"/>
          <w:sz w:val="20"/>
          <w:szCs w:val="20"/>
        </w:rPr>
        <w:t>ḍ</w:t>
      </w:r>
      <w:r w:rsidRPr="00F230F1">
        <w:rPr>
          <w:rFonts w:asciiTheme="majorBidi" w:hAnsiTheme="majorBidi" w:cstheme="majorBidi"/>
          <w:sz w:val="20"/>
          <w:szCs w:val="20"/>
        </w:rPr>
        <w:t>āwī souligne que le verset 41 de la sourate al-</w:t>
      </w:r>
      <w:r w:rsidRPr="00F230F1">
        <w:rPr>
          <w:rFonts w:asciiTheme="majorBidi" w:eastAsia="Times New Roman" w:hAnsiTheme="majorBidi" w:cstheme="majorBidi"/>
          <w:sz w:val="20"/>
          <w:szCs w:val="20"/>
        </w:rPr>
        <w:t>Ḥajj (« </w:t>
      </w:r>
      <w:r w:rsidRPr="00F230F1">
        <w:rPr>
          <w:rFonts w:asciiTheme="majorBidi" w:eastAsia="Times New Roman" w:hAnsiTheme="majorBidi" w:cstheme="majorBidi"/>
          <w:sz w:val="20"/>
          <w:szCs w:val="20"/>
          <w:bdr w:val="none" w:sz="0" w:space="0" w:color="auto" w:frame="1"/>
          <w:rtl/>
          <w:lang w:eastAsia="fr-FR"/>
        </w:rPr>
        <w:t>الّذين إنْ مكّنّاهم في الأرضِ أقاموا الصلاة وآتوا الزكاةَ وأمروا بالمعروف </w:t>
      </w:r>
      <w:r w:rsidRPr="00F230F1">
        <w:rPr>
          <w:rFonts w:asciiTheme="majorBidi" w:eastAsia="Times New Roman" w:hAnsiTheme="majorBidi" w:cstheme="majorBidi"/>
          <w:sz w:val="20"/>
          <w:szCs w:val="20"/>
        </w:rPr>
        <w:t> » [</w:t>
      </w:r>
      <w:r w:rsidRPr="00F230F1">
        <w:rPr>
          <w:rFonts w:asciiTheme="majorBidi" w:hAnsiTheme="majorBidi" w:cstheme="majorBidi"/>
          <w:sz w:val="20"/>
          <w:szCs w:val="20"/>
          <w:lang w:bidi="ar-AE"/>
        </w:rPr>
        <w:t>à ceux qui, si Nous leur en donnons capacité sur la terre, accomplissent la prière, acquittent la purification, prescrivent le convenable et proscrivent le blâmable.</w:t>
      </w:r>
      <w:r w:rsidRPr="00F230F1">
        <w:rPr>
          <w:rFonts w:asciiTheme="majorBidi" w:eastAsia="Times New Roman" w:hAnsiTheme="majorBidi" w:cstheme="majorBidi"/>
          <w:sz w:val="20"/>
          <w:szCs w:val="20"/>
        </w:rPr>
        <w:t>]) indique le refuse de l’état laïque (</w:t>
      </w:r>
      <w:r w:rsidRPr="00F230F1">
        <w:rPr>
          <w:rFonts w:asciiTheme="majorBidi" w:hAnsiTheme="majorBidi" w:cstheme="majorBidi"/>
          <w:sz w:val="20"/>
          <w:szCs w:val="20"/>
        </w:rPr>
        <w:t>entretien avec Qara</w:t>
      </w:r>
      <w:r w:rsidRPr="00F230F1">
        <w:rPr>
          <w:rFonts w:asciiTheme="majorBidi" w:eastAsia="Times New Roman" w:hAnsiTheme="majorBidi" w:cstheme="majorBidi"/>
          <w:sz w:val="20"/>
          <w:szCs w:val="20"/>
        </w:rPr>
        <w:t>ḍ</w:t>
      </w:r>
      <w:r w:rsidRPr="00F230F1">
        <w:rPr>
          <w:rFonts w:asciiTheme="majorBidi" w:hAnsiTheme="majorBidi" w:cstheme="majorBidi"/>
          <w:sz w:val="20"/>
          <w:szCs w:val="20"/>
        </w:rPr>
        <w:t>āwī, al Jazeera, le</w:t>
      </w:r>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 xml:space="preserve">05/02/2012,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 xml:space="preserve"> </w:t>
      </w:r>
      <w:hyperlink r:id="rId158" w:history="1">
        <w:r w:rsidRPr="00F230F1">
          <w:rPr>
            <w:rStyle w:val="Lienhypertexte"/>
            <w:rFonts w:asciiTheme="majorBidi" w:hAnsiTheme="majorBidi" w:cstheme="majorBidi"/>
            <w:sz w:val="20"/>
            <w:szCs w:val="20"/>
          </w:rPr>
          <w:t>http://www.aljazeera.net/programs/religionandlife/2012/2/9/</w:t>
        </w:r>
        <w:r w:rsidRPr="00F230F1">
          <w:rPr>
            <w:rStyle w:val="Lienhypertexte"/>
            <w:rFonts w:asciiTheme="majorBidi" w:hAnsiTheme="majorBidi" w:cstheme="majorBidi"/>
            <w:sz w:val="20"/>
            <w:szCs w:val="20"/>
            <w:rtl/>
          </w:rPr>
          <w:t>الإسلام-والدولة-المدنية</w:t>
        </w:r>
      </w:hyperlink>
      <w:r w:rsidRPr="00F230F1">
        <w:rPr>
          <w:rFonts w:asciiTheme="majorBidi" w:hAnsiTheme="majorBidi" w:cstheme="majorBidi"/>
          <w:sz w:val="20"/>
          <w:szCs w:val="20"/>
        </w:rPr>
        <w:t xml:space="preserve"> (consultés le 19/07/2017).</w:t>
      </w:r>
    </w:p>
  </w:footnote>
  <w:footnote w:id="498">
    <w:p w14:paraId="376FB5C0" w14:textId="77777777" w:rsidR="009C3BB9" w:rsidRPr="00F230F1" w:rsidRDefault="009C3BB9" w:rsidP="00F230F1">
      <w:pPr>
        <w:pStyle w:val="Notedebasdepage"/>
        <w:contextualSpacing/>
        <w:jc w:val="both"/>
        <w:rPr>
          <w:rFonts w:asciiTheme="majorBidi" w:hAnsiTheme="majorBidi" w:cstheme="majorBidi"/>
          <w:bCs/>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Les majuscules en caractères gras du mot </w:t>
      </w:r>
      <w:r w:rsidRPr="00F230F1">
        <w:rPr>
          <w:rFonts w:asciiTheme="majorBidi" w:hAnsiTheme="majorBidi" w:cstheme="majorBidi"/>
          <w:b/>
          <w:sz w:val="20"/>
          <w:szCs w:val="20"/>
        </w:rPr>
        <w:t xml:space="preserve">ALLAH </w:t>
      </w:r>
      <w:r w:rsidRPr="00F230F1">
        <w:rPr>
          <w:rFonts w:asciiTheme="majorBidi" w:hAnsiTheme="majorBidi" w:cstheme="majorBidi"/>
          <w:bCs/>
          <w:sz w:val="20"/>
          <w:szCs w:val="20"/>
        </w:rPr>
        <w:t>sont utilisées par le traducteur lui-même.</w:t>
      </w:r>
    </w:p>
  </w:footnote>
  <w:footnote w:id="499">
    <w:p w14:paraId="539C6A1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Nous avons mis les traductions du pronom suffixe en gras.</w:t>
      </w:r>
    </w:p>
  </w:footnote>
  <w:footnote w:id="500">
    <w:p w14:paraId="329F621B"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Dans son livre </w:t>
      </w:r>
      <w:r w:rsidRPr="00F230F1">
        <w:rPr>
          <w:rFonts w:asciiTheme="majorBidi" w:hAnsiTheme="majorBidi" w:cstheme="majorBidi"/>
          <w:i/>
          <w:iCs/>
          <w:sz w:val="20"/>
          <w:szCs w:val="20"/>
        </w:rPr>
        <w:t>Al-</w:t>
      </w:r>
      <w:r w:rsidRPr="00F230F1">
        <w:rPr>
          <w:rFonts w:asciiTheme="majorBidi" w:eastAsia="Times New Roman" w:hAnsiTheme="majorBidi" w:cstheme="majorBidi"/>
          <w:i/>
          <w:iCs/>
          <w:sz w:val="20"/>
          <w:szCs w:val="20"/>
        </w:rPr>
        <w:t>ḥadhf al-balāghī fī l-qurʾān al-karīm</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L’omission rhétorique dans le noble Coran</w:t>
      </w:r>
      <w:r w:rsidRPr="00F230F1">
        <w:rPr>
          <w:rFonts w:asciiTheme="majorBidi" w:eastAsia="Times New Roman" w:hAnsiTheme="majorBidi" w:cstheme="majorBidi"/>
          <w:sz w:val="20"/>
          <w:szCs w:val="20"/>
        </w:rPr>
        <w:t>] (Maktabat al-Qurʾān, Le Caire, 1991), Muṣ</w:t>
      </w:r>
      <w:r w:rsidRPr="00F230F1">
        <w:rPr>
          <w:rFonts w:asciiTheme="majorBidi" w:eastAsia="Times New Roman" w:hAnsiTheme="majorBidi" w:cstheme="majorBidi"/>
          <w:iCs/>
          <w:sz w:val="20"/>
          <w:szCs w:val="20"/>
          <w:lang w:eastAsia="fr-FR"/>
        </w:rPr>
        <w:t>ṭ</w:t>
      </w:r>
      <w:r w:rsidRPr="00F230F1">
        <w:rPr>
          <w:rFonts w:asciiTheme="majorBidi" w:eastAsia="Times New Roman" w:hAnsiTheme="majorBidi" w:cstheme="majorBidi"/>
          <w:sz w:val="20"/>
          <w:szCs w:val="20"/>
        </w:rPr>
        <w:t>afā ʿAbd as-Salām Abū Shādī souligne que l’un des objectifs de l’omission du COD (</w:t>
      </w:r>
      <w:r w:rsidRPr="00F230F1">
        <w:rPr>
          <w:rFonts w:asciiTheme="majorBidi" w:eastAsia="Times New Roman" w:hAnsiTheme="majorBidi" w:cstheme="majorBidi"/>
          <w:i/>
          <w:iCs/>
          <w:sz w:val="20"/>
          <w:szCs w:val="20"/>
        </w:rPr>
        <w:t>ḥadhf al-mafʿūl bihi</w:t>
      </w:r>
      <w:r w:rsidRPr="00F230F1">
        <w:rPr>
          <w:rFonts w:asciiTheme="majorBidi" w:eastAsia="Times New Roman" w:hAnsiTheme="majorBidi" w:cstheme="majorBidi"/>
          <w:sz w:val="20"/>
          <w:szCs w:val="20"/>
        </w:rPr>
        <w:t>) est d’insister sur le sens même du verbe sans tenir compte d’un COD quelconque (</w:t>
      </w:r>
      <w:r w:rsidRPr="00F230F1">
        <w:rPr>
          <w:rFonts w:asciiTheme="majorBidi" w:eastAsia="Times New Roman" w:hAnsiTheme="majorBidi" w:cstheme="majorBidi"/>
          <w:sz w:val="20"/>
          <w:szCs w:val="20"/>
          <w:rtl/>
        </w:rPr>
        <w:t>"إثباتُ المعنى في نفسه للشيء على الإطلاق من غيرِ أن يُتعرَّضَ لمفعولٍ بعينه"</w:t>
      </w:r>
      <w:r w:rsidRPr="00F230F1">
        <w:rPr>
          <w:rFonts w:asciiTheme="majorBidi" w:eastAsia="Times New Roman" w:hAnsiTheme="majorBidi" w:cstheme="majorBidi"/>
          <w:sz w:val="20"/>
          <w:szCs w:val="20"/>
        </w:rPr>
        <w:t>) (p. 19). La généralité (</w:t>
      </w:r>
      <w:r w:rsidRPr="00F230F1">
        <w:rPr>
          <w:rFonts w:asciiTheme="majorBidi" w:eastAsia="Times New Roman" w:hAnsiTheme="majorBidi" w:cstheme="majorBidi"/>
          <w:i/>
          <w:iCs/>
          <w:sz w:val="20"/>
          <w:szCs w:val="20"/>
        </w:rPr>
        <w:t>ash-shumūl</w:t>
      </w:r>
      <w:r w:rsidRPr="00F230F1">
        <w:rPr>
          <w:rFonts w:asciiTheme="majorBidi" w:eastAsia="Times New Roman" w:hAnsiTheme="majorBidi" w:cstheme="majorBidi"/>
          <w:sz w:val="20"/>
          <w:szCs w:val="20"/>
        </w:rPr>
        <w:t xml:space="preserve"> ou </w:t>
      </w:r>
      <w:r w:rsidRPr="00F230F1">
        <w:rPr>
          <w:rFonts w:asciiTheme="majorBidi" w:eastAsia="Times New Roman" w:hAnsiTheme="majorBidi" w:cstheme="majorBidi"/>
          <w:i/>
          <w:iCs/>
          <w:sz w:val="20"/>
          <w:szCs w:val="20"/>
        </w:rPr>
        <w:t>al-ʿumūm</w:t>
      </w:r>
      <w:r w:rsidRPr="00F230F1">
        <w:rPr>
          <w:rFonts w:asciiTheme="majorBidi" w:eastAsia="Times New Roman" w:hAnsiTheme="majorBidi" w:cstheme="majorBidi"/>
          <w:sz w:val="20"/>
          <w:szCs w:val="20"/>
        </w:rPr>
        <w:t>) en est un autre objectif (p. 57 &amp; 59).</w:t>
      </w:r>
    </w:p>
  </w:footnote>
  <w:footnote w:id="501">
    <w:p w14:paraId="2783668C" w14:textId="77777777" w:rsidR="009C3BB9" w:rsidRPr="00F230F1" w:rsidRDefault="009C3BB9" w:rsidP="00F230F1">
      <w:pPr>
        <w:pStyle w:val="Notedebasdepage"/>
        <w:contextualSpacing/>
        <w:jc w:val="both"/>
        <w:rPr>
          <w:rFonts w:asciiTheme="majorBidi" w:hAnsiTheme="majorBidi" w:cstheme="majorBidi"/>
          <w:sz w:val="20"/>
          <w:szCs w:val="20"/>
          <w:lang w:val="en-US"/>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val="en-US"/>
        </w:rPr>
        <w:t xml:space="preserve"> Ibn ʿĀshūr, </w:t>
      </w:r>
      <w:r w:rsidRPr="00F230F1">
        <w:rPr>
          <w:rFonts w:asciiTheme="majorBidi" w:hAnsiTheme="majorBidi" w:cstheme="majorBidi"/>
          <w:i/>
          <w:iCs/>
          <w:sz w:val="20"/>
          <w:szCs w:val="20"/>
          <w:lang w:val="en-US"/>
        </w:rPr>
        <w:t>At-Taḥrīr wa-at-Tanwīr</w:t>
      </w:r>
      <w:r w:rsidRPr="00F230F1">
        <w:rPr>
          <w:rFonts w:asciiTheme="majorBidi" w:hAnsiTheme="majorBidi" w:cstheme="majorBidi"/>
          <w:sz w:val="20"/>
          <w:szCs w:val="20"/>
          <w:lang w:val="en-US"/>
        </w:rPr>
        <w:t>.</w:t>
      </w:r>
    </w:p>
  </w:footnote>
  <w:footnote w:id="502">
    <w:p w14:paraId="7701E04C" w14:textId="77777777" w:rsidR="009C3BB9" w:rsidRPr="00F230F1" w:rsidRDefault="009C3BB9" w:rsidP="00F230F1">
      <w:pPr>
        <w:pStyle w:val="n1"/>
        <w:bidi w:val="0"/>
        <w:contextualSpacing/>
        <w:jc w:val="both"/>
        <w:rPr>
          <w:rFonts w:asciiTheme="majorBidi" w:hAnsiTheme="majorBidi" w:cstheme="majorBidi"/>
          <w:sz w:val="20"/>
          <w:szCs w:val="20"/>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Al-ʿArābli, « </w:t>
      </w:r>
      <w:r w:rsidRPr="00F230F1">
        <w:rPr>
          <w:rFonts w:asciiTheme="majorBidi" w:hAnsiTheme="majorBidi" w:cstheme="majorBidi"/>
          <w:i/>
          <w:iCs/>
          <w:sz w:val="20"/>
          <w:szCs w:val="20"/>
          <w:lang w:bidi="ar-AE"/>
        </w:rPr>
        <w:t>Asrār ḥadhf al-yāʾ fī al-Qurʾān</w:t>
      </w:r>
      <w:r w:rsidRPr="00F230F1">
        <w:rPr>
          <w:rFonts w:asciiTheme="majorBidi" w:hAnsiTheme="majorBidi" w:cstheme="majorBidi"/>
          <w:sz w:val="20"/>
          <w:szCs w:val="20"/>
          <w:lang w:bidi="ar-AE"/>
        </w:rPr>
        <w:t xml:space="preserve"> » [« Les secrets de l’omission du pronom </w:t>
      </w:r>
      <w:r w:rsidRPr="00F230F1">
        <w:rPr>
          <w:rFonts w:asciiTheme="majorBidi" w:hAnsiTheme="majorBidi" w:cstheme="majorBidi"/>
          <w:i/>
          <w:iCs/>
          <w:sz w:val="20"/>
          <w:szCs w:val="20"/>
          <w:lang w:bidi="ar-AE"/>
        </w:rPr>
        <w:t>ī</w:t>
      </w:r>
      <w:r w:rsidRPr="00F230F1">
        <w:rPr>
          <w:rFonts w:asciiTheme="majorBidi" w:hAnsiTheme="majorBidi" w:cstheme="majorBidi"/>
          <w:sz w:val="20"/>
          <w:szCs w:val="20"/>
          <w:lang w:bidi="ar-AE"/>
        </w:rPr>
        <w:t xml:space="preserve"> dans le Coran »],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lang w:bidi="ar-AE"/>
        </w:rPr>
        <w:t>.</w:t>
      </w:r>
    </w:p>
  </w:footnote>
  <w:footnote w:id="503">
    <w:p w14:paraId="1E06C2D7"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Prenons comme exemples dans la Bible de Jérusalem : « C’est moi qui ai sacré mon roi sur Sion, ma montagne sainte. » (Psaume 2, 6). « J’énoncerai le décret de Yahvé : Il m’a dit : "Tu es mon fils, moi, aujourd’hui, je t’ai engendré" » (Psaume 2, 7). « Demande, et je te donne les nations pour héritage, pour domaine les extrémités de la terre » (Psaume 2, 8). URL : [</w:t>
      </w:r>
      <w:hyperlink r:id="rId159" w:history="1">
        <w:r w:rsidRPr="00F230F1">
          <w:rPr>
            <w:rStyle w:val="Lienhypertexte"/>
            <w:rFonts w:asciiTheme="majorBidi" w:hAnsiTheme="majorBidi" w:cstheme="majorBidi"/>
            <w:sz w:val="20"/>
            <w:szCs w:val="20"/>
          </w:rPr>
          <w:t>http://www.cerbafaso.org/textes/bioethique/html.index.htm</w:t>
        </w:r>
      </w:hyperlink>
      <w:r w:rsidRPr="00F230F1">
        <w:rPr>
          <w:rFonts w:asciiTheme="majorBidi" w:eastAsia="Times New Roman" w:hAnsiTheme="majorBidi" w:cstheme="majorBidi"/>
          <w:sz w:val="20"/>
          <w:szCs w:val="20"/>
        </w:rPr>
        <w:t>] ; [</w:t>
      </w:r>
      <w:hyperlink r:id="rId160" w:history="1">
        <w:r w:rsidRPr="00F230F1">
          <w:rPr>
            <w:rStyle w:val="Lienhypertexte"/>
            <w:rFonts w:asciiTheme="majorBidi" w:hAnsiTheme="majorBidi" w:cstheme="majorBidi"/>
            <w:sz w:val="20"/>
            <w:szCs w:val="20"/>
          </w:rPr>
          <w:t>http://www.cerbafaso.org/textes/bioethique/bible_de_jerusalem.pdf</w:t>
        </w:r>
      </w:hyperlink>
      <w:r w:rsidRPr="00F230F1">
        <w:rPr>
          <w:rFonts w:asciiTheme="majorBidi" w:eastAsia="Times New Roman" w:hAnsiTheme="majorBidi" w:cstheme="majorBidi"/>
          <w:sz w:val="20"/>
          <w:szCs w:val="20"/>
        </w:rPr>
        <w:t>] (consultés le 08/08/2017).</w:t>
      </w:r>
    </w:p>
  </w:footnote>
  <w:footnote w:id="504">
    <w:p w14:paraId="046D7612"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65.</w:t>
      </w:r>
    </w:p>
  </w:footnote>
  <w:footnote w:id="505">
    <w:p w14:paraId="76573A5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rPr>
        <w:t xml:space="preserve"> Katharina Reiss, </w:t>
      </w:r>
      <w:r w:rsidRPr="00F230F1">
        <w:rPr>
          <w:rFonts w:asciiTheme="majorBidi" w:eastAsia="Times New Roman" w:hAnsiTheme="majorBidi" w:cstheme="majorBidi"/>
          <w:i/>
          <w:iCs/>
          <w:sz w:val="20"/>
          <w:szCs w:val="20"/>
        </w:rPr>
        <w:t>Problématiques de la traduction</w:t>
      </w:r>
      <w:r w:rsidRPr="00F230F1">
        <w:rPr>
          <w:rFonts w:asciiTheme="majorBidi" w:eastAsia="Times New Roman" w:hAnsiTheme="majorBidi" w:cstheme="majorBidi"/>
          <w:sz w:val="20"/>
          <w:szCs w:val="20"/>
        </w:rPr>
        <w:t>, 2009, p. 45.</w:t>
      </w:r>
    </w:p>
  </w:footnote>
  <w:footnote w:id="506">
    <w:p w14:paraId="0B664FD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Nous avons vérifié s’il n’y a pas dans la traduction de Grosjean une note de bas de page pour </w:t>
      </w:r>
      <w:r w:rsidRPr="00F230F1">
        <w:rPr>
          <w:rFonts w:asciiTheme="majorBidi" w:hAnsiTheme="majorBidi" w:cstheme="majorBidi"/>
          <w:i/>
          <w:iCs/>
          <w:sz w:val="20"/>
          <w:szCs w:val="20"/>
        </w:rPr>
        <w:t>al-</w:t>
      </w:r>
      <w:r w:rsidRPr="00F230F1">
        <w:rPr>
          <w:rFonts w:asciiTheme="majorBidi" w:eastAsia="Times New Roman" w:hAnsiTheme="majorBidi" w:cstheme="majorBidi"/>
          <w:i/>
          <w:iCs/>
          <w:sz w:val="20"/>
          <w:szCs w:val="20"/>
          <w:lang w:bidi="ar-KW"/>
        </w:rPr>
        <w:t>baʿth</w:t>
      </w:r>
      <w:r w:rsidRPr="00F230F1">
        <w:rPr>
          <w:rFonts w:asciiTheme="majorBidi" w:hAnsiTheme="majorBidi" w:cstheme="majorBidi"/>
          <w:sz w:val="20"/>
          <w:szCs w:val="20"/>
        </w:rPr>
        <w:t xml:space="preserve"> avant l’occurrence de la sourate 22. Aucune allusion à ce mot dans l’introduction. En outre, la première occurrence du terme </w:t>
      </w:r>
      <w:r w:rsidRPr="00F230F1">
        <w:rPr>
          <w:rFonts w:asciiTheme="majorBidi" w:hAnsiTheme="majorBidi" w:cstheme="majorBidi"/>
          <w:i/>
          <w:iCs/>
          <w:sz w:val="20"/>
          <w:szCs w:val="20"/>
        </w:rPr>
        <w:t>al-</w:t>
      </w:r>
      <w:r w:rsidRPr="00F230F1">
        <w:rPr>
          <w:rFonts w:asciiTheme="majorBidi" w:eastAsia="Times New Roman" w:hAnsiTheme="majorBidi" w:cstheme="majorBidi"/>
          <w:i/>
          <w:iCs/>
          <w:sz w:val="20"/>
          <w:szCs w:val="20"/>
          <w:lang w:bidi="ar-KW"/>
        </w:rPr>
        <w:t>baʿth</w:t>
      </w:r>
      <w:r w:rsidRPr="00F230F1">
        <w:rPr>
          <w:rFonts w:asciiTheme="majorBidi" w:hAnsiTheme="majorBidi" w:cstheme="majorBidi"/>
          <w:sz w:val="20"/>
          <w:szCs w:val="20"/>
        </w:rPr>
        <w:t xml:space="preserve"> dans le Coran est celle de la sourate al-Ḥajj. Il est à souligner que ce vocable a trois occurrences dans le Coran : une occurrence dans le verset XXII, 5 et deux occurrences dans le verset XXX, 56. Il convient aussi de souligner que Grosjean (qui a traduit </w:t>
      </w:r>
      <w:r w:rsidRPr="00F230F1">
        <w:rPr>
          <w:rFonts w:asciiTheme="majorBidi" w:hAnsiTheme="majorBidi" w:cstheme="majorBidi"/>
          <w:i/>
          <w:iCs/>
          <w:sz w:val="20"/>
          <w:szCs w:val="20"/>
        </w:rPr>
        <w:t>al-</w:t>
      </w:r>
      <w:r w:rsidRPr="00F230F1">
        <w:rPr>
          <w:rFonts w:asciiTheme="majorBidi" w:eastAsia="Times New Roman" w:hAnsiTheme="majorBidi" w:cstheme="majorBidi"/>
          <w:i/>
          <w:iCs/>
          <w:sz w:val="20"/>
          <w:szCs w:val="20"/>
          <w:lang w:bidi="ar-KW"/>
        </w:rPr>
        <w:t>baʿth</w:t>
      </w:r>
      <w:r w:rsidRPr="00F230F1">
        <w:rPr>
          <w:rFonts w:asciiTheme="majorBidi" w:eastAsia="Times New Roman" w:hAnsiTheme="majorBidi" w:cstheme="majorBidi"/>
          <w:sz w:val="20"/>
          <w:szCs w:val="20"/>
          <w:lang w:bidi="ar-KW"/>
        </w:rPr>
        <w:t xml:space="preserve"> du verset </w:t>
      </w:r>
      <w:r w:rsidRPr="00F230F1">
        <w:rPr>
          <w:rFonts w:asciiTheme="majorBidi" w:hAnsiTheme="majorBidi" w:cstheme="majorBidi"/>
          <w:sz w:val="20"/>
          <w:szCs w:val="20"/>
        </w:rPr>
        <w:t>XXII, 5 par « l’avertissement ») traduit ce même mot dans le verset XXX, 56 par : « la résurrection ».</w:t>
      </w:r>
    </w:p>
  </w:footnote>
  <w:footnote w:id="507">
    <w:p w14:paraId="6F108C31" w14:textId="03CAEC32" w:rsidR="009C3BB9" w:rsidRPr="001570C5" w:rsidRDefault="009C3BB9" w:rsidP="00F230F1">
      <w:pPr>
        <w:contextualSpacing/>
        <w:jc w:val="both"/>
        <w:rPr>
          <w:rFonts w:asciiTheme="majorBidi" w:hAnsiTheme="majorBidi" w:cstheme="majorBidi"/>
          <w:sz w:val="20"/>
          <w:szCs w:val="20"/>
        </w:rPr>
      </w:pPr>
      <w:r w:rsidRPr="001570C5">
        <w:rPr>
          <w:rStyle w:val="Appelnotedebasdep"/>
          <w:rFonts w:asciiTheme="majorBidi" w:hAnsiTheme="majorBidi" w:cstheme="majorBidi"/>
          <w:sz w:val="20"/>
          <w:szCs w:val="20"/>
        </w:rPr>
        <w:footnoteRef/>
      </w:r>
      <w:r w:rsidRPr="001570C5">
        <w:rPr>
          <w:rFonts w:asciiTheme="majorBidi" w:hAnsiTheme="majorBidi" w:cstheme="majorBidi"/>
          <w:sz w:val="20"/>
          <w:szCs w:val="20"/>
        </w:rPr>
        <w:t xml:space="preserve"> </w:t>
      </w:r>
      <w:r w:rsidRPr="001570C5">
        <w:rPr>
          <w:rFonts w:asciiTheme="majorBidi" w:eastAsia="Calibri" w:hAnsiTheme="majorBidi" w:cstheme="majorBidi"/>
          <w:i/>
          <w:sz w:val="20"/>
          <w:szCs w:val="20"/>
        </w:rPr>
        <w:t>Cf. supra</w:t>
      </w:r>
      <w:r w:rsidRPr="001570C5">
        <w:rPr>
          <w:rFonts w:asciiTheme="majorBidi" w:eastAsia="Calibri" w:hAnsiTheme="majorBidi" w:cstheme="majorBidi"/>
          <w:sz w:val="20"/>
          <w:szCs w:val="20"/>
        </w:rPr>
        <w:t>, « introduction », page 33.</w:t>
      </w:r>
    </w:p>
  </w:footnote>
  <w:footnote w:id="508">
    <w:p w14:paraId="68DF2564"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Pour rappel, l’interprétation </w:t>
      </w:r>
      <w:r w:rsidRPr="00F230F1">
        <w:rPr>
          <w:rFonts w:asciiTheme="majorBidi" w:eastAsia="Times New Roman" w:hAnsiTheme="majorBidi" w:cstheme="majorBidi"/>
          <w:sz w:val="20"/>
          <w:szCs w:val="20"/>
        </w:rPr>
        <w:t xml:space="preserve">de </w:t>
      </w:r>
      <w:r w:rsidRPr="00F230F1">
        <w:rPr>
          <w:rFonts w:asciiTheme="majorBidi" w:eastAsia="Calibri" w:hAnsiTheme="majorBidi" w:cstheme="majorBidi"/>
          <w:sz w:val="20"/>
          <w:szCs w:val="20"/>
        </w:rPr>
        <w:t>ʿ</w:t>
      </w:r>
      <w:r w:rsidRPr="00F230F1">
        <w:rPr>
          <w:rFonts w:asciiTheme="majorBidi" w:eastAsia="Times New Roman" w:hAnsiTheme="majorBidi" w:cstheme="majorBidi"/>
          <w:sz w:val="20"/>
          <w:szCs w:val="20"/>
        </w:rPr>
        <w:t xml:space="preserve">Abd al-Hādī al-Bānī est la suivante : </w:t>
      </w:r>
      <w:r w:rsidRPr="00F230F1">
        <w:rPr>
          <w:rFonts w:asciiTheme="majorBidi" w:eastAsia="Times New Roman" w:hAnsiTheme="majorBidi" w:cstheme="majorBidi"/>
          <w:i/>
          <w:iCs/>
          <w:sz w:val="20"/>
          <w:szCs w:val="20"/>
          <w:lang w:bidi="ar-AE"/>
        </w:rPr>
        <w:t>Celui qui éprouve de mauvaises pensées doit se tourner vers les bonnes pensées et annihiler les causes des pensées mauvaises (c.à.d. s’établir dans le bien et rompre avec le mal), il verra alors si son malaise disparaîtra</w:t>
      </w:r>
      <w:r w:rsidRPr="00F230F1">
        <w:rPr>
          <w:rFonts w:asciiTheme="majorBidi" w:eastAsia="Times New Roman" w:hAnsiTheme="majorBidi" w:cstheme="majorBidi"/>
          <w:sz w:val="20"/>
          <w:szCs w:val="20"/>
          <w:lang w:bidi="ar-AE"/>
        </w:rPr>
        <w:t>.</w:t>
      </w:r>
    </w:p>
  </w:footnote>
  <w:footnote w:id="509">
    <w:p w14:paraId="53AA5541" w14:textId="77777777" w:rsidR="009C3BB9" w:rsidRPr="00F230F1" w:rsidRDefault="009C3BB9" w:rsidP="00F230F1">
      <w:pPr>
        <w:contextualSpacing/>
        <w:jc w:val="both"/>
        <w:rPr>
          <w:rFonts w:asciiTheme="majorBidi" w:eastAsia="Times New Roman" w:hAnsiTheme="majorBidi" w:cstheme="majorBidi"/>
          <w:sz w:val="20"/>
          <w:szCs w:val="20"/>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Selon le dictionnaire </w:t>
      </w:r>
      <w:r w:rsidRPr="00F230F1">
        <w:rPr>
          <w:rFonts w:asciiTheme="majorBidi" w:hAnsiTheme="majorBidi" w:cstheme="majorBidi"/>
          <w:i/>
          <w:iCs/>
          <w:sz w:val="20"/>
          <w:szCs w:val="20"/>
        </w:rPr>
        <w:t>Lisān al-ʿArab</w:t>
      </w:r>
      <w:r w:rsidRPr="00F230F1">
        <w:rPr>
          <w:rFonts w:asciiTheme="majorBidi" w:hAnsiTheme="majorBidi" w:cstheme="majorBidi"/>
          <w:sz w:val="20"/>
          <w:szCs w:val="20"/>
        </w:rPr>
        <w:t xml:space="preserve">, le </w:t>
      </w:r>
      <w:r w:rsidRPr="00F230F1">
        <w:rPr>
          <w:rFonts w:asciiTheme="majorBidi" w:eastAsia="Times New Roman" w:hAnsiTheme="majorBidi" w:cstheme="majorBidi"/>
          <w:sz w:val="20"/>
          <w:szCs w:val="20"/>
          <w:shd w:val="clear" w:color="auto" w:fill="FFFFFF"/>
          <w:lang w:bidi="ar-KW"/>
        </w:rPr>
        <w:t>"</w:t>
      </w:r>
      <w:r w:rsidRPr="00F230F1">
        <w:rPr>
          <w:rFonts w:asciiTheme="majorBidi" w:eastAsia="Times New Roman" w:hAnsiTheme="majorBidi" w:cstheme="majorBidi"/>
          <w:b/>
          <w:bCs/>
          <w:i/>
          <w:iCs/>
          <w:sz w:val="20"/>
          <w:szCs w:val="20"/>
          <w:shd w:val="clear" w:color="auto" w:fill="FFFFFF"/>
          <w:lang w:bidi="ar-KW"/>
        </w:rPr>
        <w:t>s</w:t>
      </w:r>
      <w:r w:rsidRPr="00F230F1">
        <w:rPr>
          <w:rFonts w:asciiTheme="majorBidi" w:eastAsia="Times New Roman" w:hAnsiTheme="majorBidi" w:cstheme="majorBidi"/>
          <w:i/>
          <w:iCs/>
          <w:sz w:val="20"/>
          <w:szCs w:val="20"/>
          <w:shd w:val="clear" w:color="auto" w:fill="FFFFFF"/>
          <w:lang w:bidi="ar-KW"/>
        </w:rPr>
        <w:t>irāṭ</w:t>
      </w:r>
      <w:r w:rsidRPr="00F230F1">
        <w:rPr>
          <w:rFonts w:asciiTheme="majorBidi" w:eastAsia="Times New Roman" w:hAnsiTheme="majorBidi" w:cstheme="majorBidi"/>
          <w:sz w:val="20"/>
          <w:szCs w:val="20"/>
          <w:shd w:val="clear" w:color="auto" w:fill="FFFFFF"/>
          <w:lang w:bidi="ar-KW"/>
        </w:rPr>
        <w:t>" est la voie claire, et le "</w:t>
      </w:r>
      <w:r w:rsidRPr="00F230F1">
        <w:rPr>
          <w:rFonts w:asciiTheme="majorBidi" w:eastAsia="Times New Roman" w:hAnsiTheme="majorBidi" w:cstheme="majorBidi"/>
          <w:b/>
          <w:bCs/>
          <w:i/>
          <w:iCs/>
          <w:sz w:val="20"/>
          <w:szCs w:val="20"/>
          <w:shd w:val="clear" w:color="auto" w:fill="FFFFFF"/>
          <w:lang w:bidi="ar-KW"/>
        </w:rPr>
        <w:t>ṣ</w:t>
      </w:r>
      <w:r w:rsidRPr="00F230F1">
        <w:rPr>
          <w:rFonts w:asciiTheme="majorBidi" w:eastAsia="Times New Roman" w:hAnsiTheme="majorBidi" w:cstheme="majorBidi"/>
          <w:i/>
          <w:iCs/>
          <w:sz w:val="20"/>
          <w:szCs w:val="20"/>
          <w:shd w:val="clear" w:color="auto" w:fill="FFFFFF"/>
          <w:lang w:bidi="ar-KW"/>
        </w:rPr>
        <w:t>irāṭ</w:t>
      </w:r>
      <w:r w:rsidRPr="00F230F1">
        <w:rPr>
          <w:rFonts w:asciiTheme="majorBidi" w:eastAsia="Times New Roman" w:hAnsiTheme="majorBidi" w:cstheme="majorBidi"/>
          <w:sz w:val="20"/>
          <w:szCs w:val="20"/>
          <w:shd w:val="clear" w:color="auto" w:fill="FFFFFF"/>
          <w:lang w:bidi="ar-KW"/>
        </w:rPr>
        <w:t xml:space="preserve">" est une variante d’orthographe. </w:t>
      </w:r>
      <w:r w:rsidRPr="00F230F1">
        <w:rPr>
          <w:rFonts w:asciiTheme="majorBidi" w:hAnsiTheme="majorBidi" w:cstheme="majorBidi"/>
          <w:sz w:val="20"/>
          <w:szCs w:val="20"/>
        </w:rPr>
        <w:t>[« </w:t>
      </w:r>
      <w:r w:rsidRPr="00F230F1">
        <w:rPr>
          <w:rFonts w:asciiTheme="majorBidi" w:eastAsia="Times New Roman" w:hAnsiTheme="majorBidi" w:cstheme="majorBidi"/>
          <w:sz w:val="20"/>
          <w:szCs w:val="20"/>
          <w:shd w:val="clear" w:color="auto" w:fill="FFFFFF"/>
          <w:rtl/>
        </w:rPr>
        <w:t>والسراط: السبيل الواضح، والصراط لغة في السراط</w:t>
      </w:r>
      <w:r w:rsidRPr="00F230F1">
        <w:rPr>
          <w:rFonts w:asciiTheme="majorBidi" w:eastAsia="Times New Roman" w:hAnsiTheme="majorBidi" w:cstheme="majorBidi"/>
          <w:sz w:val="20"/>
          <w:szCs w:val="20"/>
          <w:shd w:val="clear" w:color="auto" w:fill="FFFFFF"/>
        </w:rPr>
        <w:t xml:space="preserve"> »]. </w:t>
      </w:r>
      <w:r w:rsidRPr="00F230F1">
        <w:rPr>
          <w:rFonts w:asciiTheme="majorBidi" w:hAnsiTheme="majorBidi" w:cstheme="majorBidi"/>
          <w:sz w:val="20"/>
          <w:szCs w:val="20"/>
        </w:rPr>
        <w:t>ʿ</w:t>
      </w:r>
      <w:r w:rsidRPr="00F230F1">
        <w:rPr>
          <w:rFonts w:asciiTheme="majorBidi" w:eastAsia="Times New Roman" w:hAnsiTheme="majorBidi" w:cstheme="majorBidi"/>
          <w:sz w:val="20"/>
          <w:szCs w:val="20"/>
          <w:shd w:val="clear" w:color="auto" w:fill="FFFFFF"/>
        </w:rPr>
        <w:t>Abd al-</w:t>
      </w:r>
      <w:r w:rsidRPr="00F230F1">
        <w:rPr>
          <w:rFonts w:asciiTheme="majorBidi" w:hAnsiTheme="majorBidi" w:cstheme="majorBidi"/>
          <w:sz w:val="20"/>
          <w:szCs w:val="20"/>
        </w:rPr>
        <w:t>ʿĀl Sālim Makram,</w:t>
      </w:r>
      <w:r w:rsidRPr="00F230F1">
        <w:rPr>
          <w:rFonts w:asciiTheme="majorBidi" w:eastAsia="Times New Roman" w:hAnsiTheme="majorBidi" w:cstheme="majorBidi"/>
          <w:sz w:val="20"/>
          <w:szCs w:val="20"/>
          <w:shd w:val="clear" w:color="auto" w:fill="FFFFFF"/>
        </w:rPr>
        <w:t xml:space="preserve"> professeur de grammaire à l’Université du Koweït, </w:t>
      </w:r>
      <w:r w:rsidRPr="00F230F1">
        <w:rPr>
          <w:rFonts w:asciiTheme="majorBidi" w:hAnsiTheme="majorBidi" w:cstheme="majorBidi"/>
          <w:sz w:val="20"/>
          <w:szCs w:val="20"/>
        </w:rPr>
        <w:t xml:space="preserve">souligne : </w:t>
      </w:r>
      <w:r w:rsidRPr="00F230F1">
        <w:rPr>
          <w:rStyle w:val="apple-converted-space"/>
          <w:rFonts w:asciiTheme="majorBidi" w:hAnsiTheme="majorBidi" w:cstheme="majorBidi"/>
          <w:sz w:val="20"/>
          <w:szCs w:val="20"/>
          <w:shd w:val="clear" w:color="auto" w:fill="FFFFFF"/>
          <w:rtl/>
        </w:rPr>
        <w:t xml:space="preserve">"قال أبو عبيدة في </w:t>
      </w:r>
      <w:r w:rsidRPr="00F230F1">
        <w:rPr>
          <w:rStyle w:val="apple-converted-space"/>
          <w:rFonts w:asciiTheme="majorBidi" w:hAnsiTheme="majorBidi" w:cstheme="majorBidi"/>
          <w:i/>
          <w:iCs/>
          <w:sz w:val="20"/>
          <w:szCs w:val="20"/>
          <w:shd w:val="clear" w:color="auto" w:fill="FFFFFF"/>
          <w:rtl/>
        </w:rPr>
        <w:t>المجاز</w:t>
      </w:r>
      <w:r w:rsidRPr="00F230F1">
        <w:rPr>
          <w:rStyle w:val="apple-converted-space"/>
          <w:rFonts w:asciiTheme="majorBidi" w:hAnsiTheme="majorBidi" w:cstheme="majorBidi"/>
          <w:sz w:val="20"/>
          <w:szCs w:val="20"/>
          <w:shd w:val="clear" w:color="auto" w:fill="FFFFFF"/>
          <w:rtl/>
        </w:rPr>
        <w:t>: الصراط الطريق الواضح والمنهاج الواضح"</w:t>
      </w:r>
      <w:r w:rsidRPr="00F230F1">
        <w:rPr>
          <w:rFonts w:asciiTheme="majorBidi" w:hAnsiTheme="majorBidi" w:cstheme="majorBidi"/>
          <w:sz w:val="20"/>
          <w:szCs w:val="20"/>
        </w:rPr>
        <w:t xml:space="preserve"> [« Le </w:t>
      </w:r>
      <w:r w:rsidRPr="00F230F1">
        <w:rPr>
          <w:rFonts w:asciiTheme="majorBidi" w:eastAsia="Times New Roman" w:hAnsiTheme="majorBidi" w:cstheme="majorBidi"/>
          <w:sz w:val="20"/>
          <w:szCs w:val="20"/>
          <w:shd w:val="clear" w:color="auto" w:fill="FFFFFF"/>
          <w:lang w:bidi="ar-KW"/>
        </w:rPr>
        <w:t>"</w:t>
      </w:r>
      <w:r w:rsidRPr="00F230F1">
        <w:rPr>
          <w:rFonts w:asciiTheme="majorBidi" w:eastAsia="Times New Roman" w:hAnsiTheme="majorBidi" w:cstheme="majorBidi"/>
          <w:i/>
          <w:iCs/>
          <w:sz w:val="20"/>
          <w:szCs w:val="20"/>
          <w:shd w:val="clear" w:color="auto" w:fill="FFFFFF"/>
          <w:lang w:bidi="ar-KW"/>
        </w:rPr>
        <w:t>ṣirāṭ</w:t>
      </w:r>
      <w:r w:rsidRPr="00F230F1">
        <w:rPr>
          <w:rFonts w:asciiTheme="majorBidi" w:eastAsia="Times New Roman" w:hAnsiTheme="majorBidi" w:cstheme="majorBidi"/>
          <w:sz w:val="20"/>
          <w:szCs w:val="20"/>
          <w:shd w:val="clear" w:color="auto" w:fill="FFFFFF"/>
          <w:lang w:bidi="ar-KW"/>
        </w:rPr>
        <w:t xml:space="preserve">", dit Abū ʿUbayda dans </w:t>
      </w:r>
      <w:r w:rsidRPr="00F230F1">
        <w:rPr>
          <w:rFonts w:asciiTheme="majorBidi" w:eastAsia="Times New Roman" w:hAnsiTheme="majorBidi" w:cstheme="majorBidi"/>
          <w:i/>
          <w:iCs/>
          <w:sz w:val="20"/>
          <w:szCs w:val="20"/>
          <w:shd w:val="clear" w:color="auto" w:fill="FFFFFF"/>
          <w:lang w:bidi="ar-KW"/>
        </w:rPr>
        <w:t>Al-Majāz</w:t>
      </w:r>
      <w:r w:rsidRPr="00F230F1">
        <w:rPr>
          <w:rFonts w:asciiTheme="majorBidi" w:eastAsia="Times New Roman" w:hAnsiTheme="majorBidi" w:cstheme="majorBidi"/>
          <w:sz w:val="20"/>
          <w:szCs w:val="20"/>
          <w:shd w:val="clear" w:color="auto" w:fill="FFFFFF"/>
          <w:lang w:bidi="ar-KW"/>
        </w:rPr>
        <w:t>, est la voie claire, la méthode claire »]. (</w:t>
      </w:r>
      <w:r w:rsidRPr="00F230F1">
        <w:rPr>
          <w:rFonts w:asciiTheme="majorBidi" w:hAnsiTheme="majorBidi" w:cstheme="majorBidi"/>
          <w:sz w:val="20"/>
          <w:szCs w:val="20"/>
        </w:rPr>
        <w:t>Makram, ʿ</w:t>
      </w:r>
      <w:r w:rsidRPr="00F230F1">
        <w:rPr>
          <w:rFonts w:asciiTheme="majorBidi" w:eastAsia="Times New Roman" w:hAnsiTheme="majorBidi" w:cstheme="majorBidi"/>
          <w:sz w:val="20"/>
          <w:szCs w:val="20"/>
          <w:shd w:val="clear" w:color="auto" w:fill="FFFFFF"/>
        </w:rPr>
        <w:t>Abd al-</w:t>
      </w:r>
      <w:r w:rsidRPr="00F230F1">
        <w:rPr>
          <w:rFonts w:asciiTheme="majorBidi" w:hAnsiTheme="majorBidi" w:cstheme="majorBidi"/>
          <w:sz w:val="20"/>
          <w:szCs w:val="20"/>
        </w:rPr>
        <w:t xml:space="preserve">ʿĀl, </w:t>
      </w:r>
      <w:r w:rsidRPr="00F230F1">
        <w:rPr>
          <w:rFonts w:asciiTheme="majorBidi" w:hAnsiTheme="majorBidi" w:cstheme="majorBidi"/>
          <w:i/>
          <w:iCs/>
          <w:sz w:val="20"/>
          <w:szCs w:val="20"/>
        </w:rPr>
        <w:t>Al-Kalimāt al-islāmyya fī al-ḥaql al-qurʾānī</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La terminologie musulmane dans le domaine coranique</w:t>
      </w:r>
      <w:r w:rsidRPr="00F230F1">
        <w:rPr>
          <w:rFonts w:asciiTheme="majorBidi" w:hAnsiTheme="majorBidi" w:cstheme="majorBidi"/>
          <w:sz w:val="20"/>
          <w:szCs w:val="20"/>
        </w:rPr>
        <w:t>], Éditions Muʾassasat ar-Risāla, Beyrouth, 1996, p. 82.)</w:t>
      </w:r>
    </w:p>
  </w:footnote>
  <w:footnote w:id="510">
    <w:p w14:paraId="489575FB"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color w:val="000000"/>
          <w:sz w:val="20"/>
          <w:szCs w:val="20"/>
        </w:rPr>
        <w:t xml:space="preserve">Encyclopédie, ou Dictionnaire Raisonné des Sciences, des Arts et des Métiers, « ROUTE, VOIE, CHEMIN » (page 14 : 414), </w:t>
      </w:r>
      <w:hyperlink r:id="rId161" w:history="1">
        <w:r w:rsidRPr="00F230F1">
          <w:rPr>
            <w:rStyle w:val="Lienhypertexte"/>
            <w:rFonts w:asciiTheme="majorBidi" w:hAnsiTheme="majorBidi" w:cstheme="majorBidi"/>
            <w:sz w:val="20"/>
            <w:szCs w:val="20"/>
          </w:rPr>
          <w:t>http://portail.atilf.fr/cgi-bin/getobject_?a.107:209./var/artfla/encyclopedie/textdata/image/</w:t>
        </w:r>
      </w:hyperlink>
      <w:r w:rsidRPr="00F230F1">
        <w:rPr>
          <w:rFonts w:asciiTheme="majorBidi" w:hAnsiTheme="majorBidi" w:cstheme="majorBidi"/>
          <w:sz w:val="20"/>
          <w:szCs w:val="20"/>
        </w:rPr>
        <w:t xml:space="preserve"> (consulté le 29/08/2017).</w:t>
      </w:r>
    </w:p>
  </w:footnote>
  <w:footnote w:id="511">
    <w:p w14:paraId="28DBF01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Larousse, « voie », </w:t>
      </w:r>
      <w:hyperlink r:id="rId162" w:history="1">
        <w:r w:rsidRPr="00F230F1">
          <w:rPr>
            <w:rStyle w:val="Lienhypertexte"/>
            <w:rFonts w:asciiTheme="majorBidi" w:hAnsiTheme="majorBidi" w:cstheme="majorBidi"/>
            <w:sz w:val="20"/>
            <w:szCs w:val="20"/>
          </w:rPr>
          <w:t>http://www.larousse.fr/dictionnaires/francais/voie/82370</w:t>
        </w:r>
      </w:hyperlink>
      <w:r w:rsidRPr="00F230F1">
        <w:rPr>
          <w:rFonts w:asciiTheme="majorBidi" w:hAnsiTheme="majorBidi" w:cstheme="majorBidi"/>
          <w:sz w:val="20"/>
          <w:szCs w:val="20"/>
        </w:rPr>
        <w:t xml:space="preserve"> (consulté le 29/08/2017).</w:t>
      </w:r>
    </w:p>
  </w:footnote>
  <w:footnote w:id="512">
    <w:p w14:paraId="18961D9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Larousse, « chemin », </w:t>
      </w:r>
      <w:hyperlink r:id="rId163" w:history="1">
        <w:r w:rsidRPr="00F230F1">
          <w:rPr>
            <w:rStyle w:val="Lienhypertexte"/>
            <w:rFonts w:asciiTheme="majorBidi" w:hAnsiTheme="majorBidi" w:cstheme="majorBidi"/>
            <w:sz w:val="20"/>
            <w:szCs w:val="20"/>
          </w:rPr>
          <w:t>http://www.larousse.fr/dictionnaires/francais/chemin/15074</w:t>
        </w:r>
      </w:hyperlink>
      <w:r w:rsidRPr="00F230F1">
        <w:rPr>
          <w:rFonts w:asciiTheme="majorBidi" w:hAnsiTheme="majorBidi" w:cstheme="majorBidi"/>
          <w:sz w:val="20"/>
          <w:szCs w:val="20"/>
        </w:rPr>
        <w:t xml:space="preserve"> (consulté le 29/08/2017).</w:t>
      </w:r>
    </w:p>
  </w:footnote>
  <w:footnote w:id="513">
    <w:p w14:paraId="51F8DF2C" w14:textId="77777777" w:rsidR="009C3BB9" w:rsidRPr="00F230F1" w:rsidRDefault="009C3BB9" w:rsidP="00F230F1">
      <w:pPr>
        <w:contextualSpacing/>
        <w:jc w:val="both"/>
        <w:rPr>
          <w:rFonts w:asciiTheme="majorBidi" w:eastAsia="Times New Roman" w:hAnsiTheme="majorBidi" w:cstheme="majorBidi"/>
          <w:color w:val="002060"/>
          <w:sz w:val="20"/>
          <w:szCs w:val="20"/>
          <w:shd w:val="clear" w:color="auto" w:fill="FFFFFF"/>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On lit dans l’entrée « Office » sur le site du CNRTL</w:t>
      </w:r>
      <w:r w:rsidRPr="00F230F1">
        <w:rPr>
          <w:rFonts w:asciiTheme="majorBidi" w:eastAsia="Times New Roman" w:hAnsiTheme="majorBidi" w:cstheme="majorBidi"/>
          <w:sz w:val="20"/>
          <w:szCs w:val="20"/>
          <w:shd w:val="clear" w:color="auto" w:fill="FFFFFF"/>
          <w:lang w:bidi="ar-KW"/>
        </w:rPr>
        <w:t xml:space="preserve"> : </w:t>
      </w:r>
      <w:r w:rsidRPr="00F230F1">
        <w:rPr>
          <w:rFonts w:asciiTheme="majorBidi" w:hAnsiTheme="majorBidi" w:cstheme="majorBidi"/>
          <w:sz w:val="20"/>
          <w:szCs w:val="20"/>
        </w:rPr>
        <w:t>« LITURG. CATH. Office (</w:t>
      </w:r>
      <w:r w:rsidRPr="00F230F1">
        <w:rPr>
          <w:rFonts w:asciiTheme="majorBidi" w:hAnsiTheme="majorBidi" w:cstheme="majorBidi"/>
          <w:i/>
          <w:iCs/>
          <w:sz w:val="20"/>
          <w:szCs w:val="20"/>
        </w:rPr>
        <w:t>canonial, divin</w:t>
      </w:r>
      <w:r w:rsidRPr="00F230F1">
        <w:rPr>
          <w:rFonts w:asciiTheme="majorBidi" w:hAnsiTheme="majorBidi" w:cstheme="majorBidi"/>
          <w:sz w:val="20"/>
          <w:szCs w:val="20"/>
        </w:rPr>
        <w:t>). Ensemble des prières et des lectures que les chanoines, les religieux et les religieuses doivent chanter ou réciter quotidiennement au chœur à des heures déterminées de la journée. » (</w:t>
      </w:r>
      <w:hyperlink r:id="rId164" w:history="1">
        <w:r w:rsidRPr="00F230F1">
          <w:rPr>
            <w:rStyle w:val="Lienhypertexte"/>
            <w:rFonts w:asciiTheme="majorBidi" w:hAnsiTheme="majorBidi" w:cstheme="majorBidi"/>
            <w:sz w:val="20"/>
            <w:szCs w:val="20"/>
            <w:shd w:val="clear" w:color="auto" w:fill="FFFFFF"/>
            <w:lang w:bidi="ar-KW"/>
          </w:rPr>
          <w:t>http://www.cnrtl.fr/lexicographie/office</w:t>
        </w:r>
      </w:hyperlink>
      <w:r w:rsidRPr="00F230F1">
        <w:rPr>
          <w:rFonts w:asciiTheme="majorBidi" w:eastAsia="Times New Roman" w:hAnsiTheme="majorBidi" w:cstheme="majorBidi"/>
          <w:color w:val="002060"/>
          <w:sz w:val="20"/>
          <w:szCs w:val="20"/>
          <w:shd w:val="clear" w:color="auto" w:fill="FFFFFF"/>
          <w:lang w:bidi="ar-KW"/>
        </w:rPr>
        <w:t>).</w:t>
      </w:r>
    </w:p>
  </w:footnote>
  <w:footnote w:id="514">
    <w:p w14:paraId="53968E3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Dictionnaire </w:t>
      </w:r>
      <w:r w:rsidRPr="00F230F1">
        <w:rPr>
          <w:rFonts w:asciiTheme="majorBidi" w:hAnsiTheme="majorBidi" w:cstheme="majorBidi"/>
          <w:i/>
          <w:iCs/>
          <w:sz w:val="20"/>
          <w:szCs w:val="20"/>
        </w:rPr>
        <w:t>Tāj al-ʿArūs</w:t>
      </w:r>
      <w:r w:rsidRPr="00F230F1">
        <w:rPr>
          <w:rFonts w:asciiTheme="majorBidi" w:hAnsiTheme="majorBidi" w:cstheme="majorBidi"/>
          <w:sz w:val="20"/>
          <w:szCs w:val="20"/>
        </w:rPr>
        <w:t>.</w:t>
      </w:r>
    </w:p>
  </w:footnote>
  <w:footnote w:id="515">
    <w:p w14:paraId="51DB087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Dictionnaire </w:t>
      </w:r>
      <w:r w:rsidRPr="00F230F1">
        <w:rPr>
          <w:rFonts w:asciiTheme="majorBidi" w:hAnsiTheme="majorBidi" w:cstheme="majorBidi"/>
          <w:i/>
          <w:iCs/>
          <w:sz w:val="20"/>
          <w:szCs w:val="20"/>
        </w:rPr>
        <w:t>Lisān al-ʿArab</w:t>
      </w:r>
      <w:r w:rsidRPr="00F230F1">
        <w:rPr>
          <w:rFonts w:asciiTheme="majorBidi" w:hAnsiTheme="majorBidi" w:cstheme="majorBidi"/>
          <w:sz w:val="20"/>
          <w:szCs w:val="20"/>
        </w:rPr>
        <w:t>.</w:t>
      </w:r>
    </w:p>
  </w:footnote>
  <w:footnote w:id="516">
    <w:p w14:paraId="5AE1467A"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Dictionnaire </w:t>
      </w:r>
      <w:r w:rsidRPr="00F230F1">
        <w:rPr>
          <w:rFonts w:asciiTheme="majorBidi" w:hAnsiTheme="majorBidi" w:cstheme="majorBidi"/>
          <w:i/>
          <w:iCs/>
          <w:sz w:val="20"/>
          <w:szCs w:val="20"/>
        </w:rPr>
        <w:t>Al-Muʿjam al-Wasīṭ</w:t>
      </w:r>
      <w:r w:rsidRPr="00F230F1">
        <w:rPr>
          <w:rFonts w:asciiTheme="majorBidi" w:hAnsiTheme="majorBidi" w:cstheme="majorBidi"/>
          <w:sz w:val="20"/>
          <w:szCs w:val="20"/>
        </w:rPr>
        <w:t>.</w:t>
      </w:r>
    </w:p>
  </w:footnote>
  <w:footnote w:id="517">
    <w:p w14:paraId="0F59907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Lisān al-ʿArab</w:t>
      </w:r>
      <w:r w:rsidRPr="00F230F1">
        <w:rPr>
          <w:rFonts w:asciiTheme="majorBidi" w:hAnsiTheme="majorBidi" w:cstheme="majorBidi"/>
          <w:sz w:val="20"/>
          <w:szCs w:val="20"/>
        </w:rPr>
        <w:t>.</w:t>
      </w:r>
    </w:p>
  </w:footnote>
  <w:footnote w:id="518">
    <w:p w14:paraId="1745A9A1" w14:textId="36A184FF" w:rsidR="009C3BB9" w:rsidRPr="000B0DCE" w:rsidRDefault="009C3BB9" w:rsidP="000B0DCE">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1999, p. 60.</w:t>
      </w:r>
    </w:p>
  </w:footnote>
  <w:footnote w:id="519">
    <w:p w14:paraId="7594AB4D" w14:textId="097399C0" w:rsidR="009C3BB9" w:rsidRPr="001A6D60" w:rsidRDefault="009C3BB9" w:rsidP="001A6D60">
      <w:pPr>
        <w:pStyle w:val="Notedebasdepage"/>
        <w:jc w:val="both"/>
        <w:rPr>
          <w:sz w:val="20"/>
          <w:szCs w:val="20"/>
        </w:rPr>
      </w:pPr>
      <w:r w:rsidRPr="001A6D60">
        <w:rPr>
          <w:rStyle w:val="Appelnotedebasdep"/>
          <w:sz w:val="20"/>
          <w:szCs w:val="20"/>
        </w:rPr>
        <w:footnoteRef/>
      </w:r>
      <w:r w:rsidRPr="001A6D60">
        <w:rPr>
          <w:sz w:val="20"/>
          <w:szCs w:val="20"/>
        </w:rPr>
        <w:t xml:space="preserve"> </w:t>
      </w:r>
      <w:r w:rsidRPr="001A6D60">
        <w:rPr>
          <w:rFonts w:asciiTheme="majorBidi" w:eastAsia="Times New Roman" w:hAnsiTheme="majorBidi" w:cstheme="majorBidi"/>
          <w:sz w:val="20"/>
          <w:szCs w:val="20"/>
        </w:rPr>
        <w:t>Sur ce poin</w:t>
      </w:r>
      <w:r w:rsidRPr="001A6D60">
        <w:rPr>
          <w:rFonts w:asciiTheme="majorBidi" w:eastAsia="Times New Roman" w:hAnsiTheme="majorBidi" w:cstheme="majorBidi"/>
          <w:sz w:val="20"/>
          <w:szCs w:val="20"/>
          <w:lang w:bidi="ar-AE"/>
        </w:rPr>
        <w:t xml:space="preserve">t, </w:t>
      </w:r>
      <w:r w:rsidRPr="001A6D60">
        <w:rPr>
          <w:rFonts w:asciiTheme="majorBidi" w:eastAsia="Times New Roman" w:hAnsiTheme="majorBidi" w:cstheme="majorBidi"/>
          <w:i/>
          <w:iCs/>
          <w:sz w:val="20"/>
          <w:szCs w:val="20"/>
          <w:lang w:bidi="ar-AE"/>
        </w:rPr>
        <w:t>cf. supra</w:t>
      </w:r>
      <w:r w:rsidRPr="001A6D60">
        <w:rPr>
          <w:rFonts w:asciiTheme="majorBidi" w:eastAsia="Times New Roman" w:hAnsiTheme="majorBidi" w:cstheme="majorBidi"/>
          <w:sz w:val="20"/>
          <w:szCs w:val="20"/>
          <w:lang w:bidi="ar-AE"/>
        </w:rPr>
        <w:t>, pp. 53, 177 &amp; 178.</w:t>
      </w:r>
    </w:p>
  </w:footnote>
  <w:footnote w:id="520">
    <w:p w14:paraId="66895549" w14:textId="77777777" w:rsidR="009C3BB9" w:rsidRPr="00F230F1" w:rsidRDefault="009C3BB9" w:rsidP="00F230F1">
      <w:pPr>
        <w:shd w:val="clear" w:color="auto" w:fill="FFFFFF"/>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shd w:val="clear" w:color="auto" w:fill="FFFFFF"/>
          <w:lang w:bidi="ar-KW"/>
        </w:rPr>
        <w:t xml:space="preserve"> Dans toute la traduction de Zeinab Abdelaziz il y a environ 33 occurrences du mot </w:t>
      </w:r>
      <w:r w:rsidRPr="00F230F1">
        <w:rPr>
          <w:rFonts w:asciiTheme="majorBidi" w:hAnsiTheme="majorBidi" w:cstheme="majorBidi"/>
          <w:i/>
          <w:iCs/>
          <w:sz w:val="20"/>
          <w:szCs w:val="20"/>
          <w:shd w:val="clear" w:color="auto" w:fill="FFFFFF"/>
          <w:lang w:bidi="ar-KW"/>
        </w:rPr>
        <w:t>musulman(s)</w:t>
      </w:r>
      <w:r w:rsidRPr="00F230F1">
        <w:rPr>
          <w:rFonts w:asciiTheme="majorBidi" w:hAnsiTheme="majorBidi" w:cstheme="majorBidi"/>
          <w:sz w:val="20"/>
          <w:szCs w:val="20"/>
          <w:shd w:val="clear" w:color="auto" w:fill="FFFFFF"/>
          <w:lang w:bidi="ar-KW"/>
        </w:rPr>
        <w:t xml:space="preserve"> et seulement 3 occurrences du verbe « </w:t>
      </w:r>
      <w:r w:rsidRPr="00F230F1">
        <w:rPr>
          <w:rFonts w:asciiTheme="majorBidi" w:hAnsiTheme="majorBidi" w:cstheme="majorBidi"/>
          <w:i/>
          <w:iCs/>
          <w:sz w:val="20"/>
          <w:szCs w:val="20"/>
          <w:shd w:val="clear" w:color="auto" w:fill="FFFFFF"/>
          <w:lang w:bidi="ar-KW"/>
        </w:rPr>
        <w:t>nous nous remettons à Lui</w:t>
      </w:r>
      <w:r w:rsidRPr="00F230F1">
        <w:rPr>
          <w:rFonts w:asciiTheme="majorBidi" w:hAnsiTheme="majorBidi" w:cstheme="majorBidi"/>
          <w:sz w:val="20"/>
          <w:szCs w:val="20"/>
          <w:shd w:val="clear" w:color="auto" w:fill="FFFFFF"/>
          <w:lang w:bidi="ar-KW"/>
        </w:rPr>
        <w:t xml:space="preserve"> » (II, 133 et 136, et XXIX, 46) comme équivalent du mot </w:t>
      </w:r>
      <w:r w:rsidRPr="00F230F1">
        <w:rPr>
          <w:rFonts w:asciiTheme="majorBidi" w:hAnsiTheme="majorBidi" w:cstheme="majorBidi"/>
          <w:i/>
          <w:iCs/>
          <w:sz w:val="20"/>
          <w:szCs w:val="20"/>
        </w:rPr>
        <w:t>muslim(-ūna/īna</w:t>
      </w:r>
      <w:r w:rsidRPr="00F230F1">
        <w:rPr>
          <w:rFonts w:asciiTheme="majorBidi" w:hAnsiTheme="majorBidi" w:cstheme="majorBidi"/>
          <w:sz w:val="20"/>
          <w:szCs w:val="20"/>
          <w:lang w:bidi="ar-KW"/>
        </w:rPr>
        <w:t>).</w:t>
      </w:r>
    </w:p>
  </w:footnote>
  <w:footnote w:id="521">
    <w:p w14:paraId="3D99BC85" w14:textId="77777777" w:rsidR="009C3BB9" w:rsidRPr="00F230F1" w:rsidRDefault="009C3BB9" w:rsidP="00F230F1">
      <w:pPr>
        <w:shd w:val="clear" w:color="auto" w:fill="FFFFFF"/>
        <w:contextualSpacing/>
        <w:jc w:val="both"/>
        <w:rPr>
          <w:rFonts w:asciiTheme="majorBidi" w:hAnsiTheme="majorBidi" w:cstheme="majorBidi"/>
          <w:sz w:val="20"/>
          <w:szCs w:val="20"/>
          <w:lang w:bidi="ar-KW"/>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shd w:val="clear" w:color="auto" w:fill="FFFFFF"/>
          <w:lang w:bidi="ar-KW"/>
        </w:rPr>
        <w:t xml:space="preserve">Zeinab Abdelaziz insiste sur la transcription de beaucoup de noms de caractère musulman. Elle conserve le mot </w:t>
      </w:r>
      <w:r w:rsidRPr="00F230F1">
        <w:rPr>
          <w:rFonts w:asciiTheme="majorBidi" w:hAnsiTheme="majorBidi" w:cstheme="majorBidi"/>
          <w:i/>
          <w:iCs/>
          <w:sz w:val="20"/>
          <w:szCs w:val="20"/>
          <w:shd w:val="clear" w:color="auto" w:fill="FFFFFF"/>
          <w:lang w:bidi="ar-KW"/>
        </w:rPr>
        <w:t>Allāh</w:t>
      </w:r>
      <w:r w:rsidRPr="00F230F1">
        <w:rPr>
          <w:rFonts w:asciiTheme="majorBidi" w:hAnsiTheme="majorBidi" w:cstheme="majorBidi"/>
          <w:sz w:val="20"/>
          <w:szCs w:val="20"/>
          <w:shd w:val="clear" w:color="auto" w:fill="FFFFFF"/>
          <w:lang w:bidi="ar-KW"/>
        </w:rPr>
        <w:t xml:space="preserve"> sans avoir utilisé son équivalent français « Dieu » en justifiant cela </w:t>
      </w:r>
      <w:r w:rsidRPr="00F230F1">
        <w:rPr>
          <w:rFonts w:asciiTheme="majorBidi" w:hAnsiTheme="majorBidi" w:cstheme="majorBidi"/>
          <w:sz w:val="20"/>
          <w:szCs w:val="20"/>
        </w:rPr>
        <w:t>par le fait qu’ « un nom propre ne se traduit pas mais on le transcrit. »</w:t>
      </w:r>
      <w:r w:rsidRPr="00F230F1">
        <w:rPr>
          <w:rFonts w:asciiTheme="majorBidi" w:hAnsiTheme="majorBidi" w:cstheme="majorBidi"/>
          <w:sz w:val="20"/>
          <w:szCs w:val="20"/>
          <w:shd w:val="clear" w:color="auto" w:fill="FFFFFF"/>
          <w:lang w:bidi="ar-KW"/>
        </w:rPr>
        <w:t xml:space="preserve"> (p. 20) Si elle a gardé la transcription des noms tel</w:t>
      </w:r>
      <w:r w:rsidRPr="00F230F1">
        <w:rPr>
          <w:rFonts w:asciiTheme="majorBidi" w:hAnsiTheme="majorBidi" w:cstheme="majorBidi"/>
          <w:sz w:val="20"/>
          <w:szCs w:val="20"/>
        </w:rPr>
        <w:t>s qu’</w:t>
      </w:r>
      <w:r w:rsidRPr="00F230F1">
        <w:rPr>
          <w:rFonts w:asciiTheme="majorBidi" w:hAnsiTheme="majorBidi" w:cstheme="majorBidi"/>
          <w:i/>
          <w:iCs/>
          <w:sz w:val="20"/>
          <w:szCs w:val="20"/>
          <w:shd w:val="clear" w:color="auto" w:fill="FFFFFF"/>
          <w:lang w:bidi="ar-KW"/>
        </w:rPr>
        <w:t>Allāh</w:t>
      </w:r>
      <w:r w:rsidRPr="00F230F1">
        <w:rPr>
          <w:rFonts w:asciiTheme="majorBidi" w:hAnsiTheme="majorBidi" w:cstheme="majorBidi"/>
          <w:sz w:val="20"/>
          <w:szCs w:val="20"/>
        </w:rPr>
        <w:t xml:space="preserve"> et </w:t>
      </w:r>
      <w:r w:rsidRPr="00F230F1">
        <w:rPr>
          <w:rFonts w:asciiTheme="majorBidi" w:hAnsiTheme="majorBidi" w:cstheme="majorBidi"/>
          <w:i/>
          <w:iCs/>
          <w:sz w:val="20"/>
          <w:szCs w:val="20"/>
        </w:rPr>
        <w:t>muslim-ūn/īn</w:t>
      </w:r>
      <w:r w:rsidRPr="00F230F1">
        <w:rPr>
          <w:rFonts w:asciiTheme="majorBidi" w:hAnsiTheme="majorBidi" w:cstheme="majorBidi"/>
          <w:sz w:val="20"/>
          <w:szCs w:val="20"/>
        </w:rPr>
        <w:t xml:space="preserve">, elle transpose cependant des noms propres comme </w:t>
      </w:r>
      <w:r w:rsidRPr="00F230F1">
        <w:rPr>
          <w:rFonts w:asciiTheme="majorBidi" w:hAnsiTheme="majorBidi" w:cstheme="majorBidi"/>
          <w:i/>
          <w:iCs/>
          <w:sz w:val="20"/>
          <w:szCs w:val="20"/>
        </w:rPr>
        <w:t>Yūnus</w:t>
      </w:r>
      <w:r w:rsidRPr="00F230F1">
        <w:rPr>
          <w:rFonts w:asciiTheme="majorBidi" w:hAnsiTheme="majorBidi" w:cstheme="majorBidi"/>
          <w:sz w:val="20"/>
          <w:szCs w:val="20"/>
        </w:rPr>
        <w:t xml:space="preserve"> et </w:t>
      </w:r>
      <w:r w:rsidRPr="00F230F1">
        <w:rPr>
          <w:rFonts w:asciiTheme="majorBidi" w:hAnsiTheme="majorBidi" w:cstheme="majorBidi"/>
          <w:i/>
          <w:iCs/>
          <w:sz w:val="20"/>
          <w:szCs w:val="20"/>
        </w:rPr>
        <w:t>Yūsuf</w:t>
      </w:r>
      <w:r w:rsidRPr="00F230F1">
        <w:rPr>
          <w:rFonts w:asciiTheme="majorBidi" w:hAnsiTheme="majorBidi" w:cstheme="majorBidi"/>
          <w:sz w:val="20"/>
          <w:szCs w:val="20"/>
        </w:rPr>
        <w:t xml:space="preserve"> en </w:t>
      </w:r>
      <w:r w:rsidRPr="00F230F1">
        <w:rPr>
          <w:rFonts w:asciiTheme="majorBidi" w:hAnsiTheme="majorBidi" w:cstheme="majorBidi"/>
          <w:i/>
          <w:iCs/>
          <w:sz w:val="20"/>
          <w:szCs w:val="20"/>
        </w:rPr>
        <w:t>Jonas</w:t>
      </w:r>
      <w:r w:rsidRPr="00F230F1">
        <w:rPr>
          <w:rFonts w:asciiTheme="majorBidi" w:hAnsiTheme="majorBidi" w:cstheme="majorBidi"/>
          <w:sz w:val="20"/>
          <w:szCs w:val="20"/>
        </w:rPr>
        <w:t xml:space="preserve"> et </w:t>
      </w:r>
      <w:r w:rsidRPr="00F230F1">
        <w:rPr>
          <w:rFonts w:asciiTheme="majorBidi" w:hAnsiTheme="majorBidi" w:cstheme="majorBidi"/>
          <w:i/>
          <w:iCs/>
          <w:sz w:val="20"/>
          <w:szCs w:val="20"/>
        </w:rPr>
        <w:t>Joseph</w:t>
      </w:r>
      <w:r w:rsidRPr="00F230F1">
        <w:rPr>
          <w:rFonts w:asciiTheme="majorBidi" w:hAnsiTheme="majorBidi" w:cstheme="majorBidi"/>
          <w:sz w:val="20"/>
          <w:szCs w:val="20"/>
        </w:rPr>
        <w:t>.</w:t>
      </w:r>
    </w:p>
  </w:footnote>
  <w:footnote w:id="522">
    <w:p w14:paraId="4DE1FC7A"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Ce hadith est aussi rapporté par Al-Bayhaqī dans </w:t>
      </w:r>
      <w:r w:rsidRPr="00F230F1">
        <w:rPr>
          <w:rFonts w:asciiTheme="majorBidi" w:hAnsiTheme="majorBidi" w:cstheme="majorBidi"/>
          <w:i/>
          <w:iCs/>
          <w:sz w:val="20"/>
          <w:szCs w:val="20"/>
        </w:rPr>
        <w:t>As-Sunan al-Kubrā</w:t>
      </w:r>
      <w:r w:rsidRPr="00F230F1">
        <w:rPr>
          <w:rFonts w:asciiTheme="majorBidi" w:hAnsiTheme="majorBidi" w:cstheme="majorBidi"/>
          <w:sz w:val="20"/>
          <w:szCs w:val="20"/>
        </w:rPr>
        <w:t xml:space="preserve">, « Kitāb aṣ-ṣayd wa adh-dhabāʾiḥ », et par An-Naysābūrī dans </w:t>
      </w:r>
      <w:r w:rsidRPr="00F230F1">
        <w:rPr>
          <w:rFonts w:asciiTheme="majorBidi" w:hAnsiTheme="majorBidi" w:cstheme="majorBidi"/>
          <w:i/>
          <w:iCs/>
          <w:sz w:val="20"/>
          <w:szCs w:val="20"/>
        </w:rPr>
        <w:t>Al-Mustadrak ʿalā aṣ-Ṣaḥīḥayn</w:t>
      </w:r>
      <w:r w:rsidRPr="00F230F1">
        <w:rPr>
          <w:rFonts w:asciiTheme="majorBidi" w:hAnsiTheme="majorBidi" w:cstheme="majorBidi"/>
          <w:sz w:val="20"/>
          <w:szCs w:val="20"/>
        </w:rPr>
        <w:t>, « </w:t>
      </w:r>
      <w:r w:rsidRPr="00F230F1">
        <w:rPr>
          <w:rFonts w:asciiTheme="majorBidi" w:hAnsiTheme="majorBidi" w:cstheme="majorBidi"/>
          <w:i/>
          <w:iCs/>
          <w:sz w:val="20"/>
          <w:szCs w:val="20"/>
        </w:rPr>
        <w:t>Kitāb al-aṭʿima</w:t>
      </w:r>
      <w:r w:rsidRPr="00F230F1">
        <w:rPr>
          <w:rFonts w:asciiTheme="majorBidi" w:hAnsiTheme="majorBidi" w:cstheme="majorBidi"/>
          <w:sz w:val="20"/>
          <w:szCs w:val="20"/>
        </w:rPr>
        <w:t> ». [</w:t>
      </w:r>
      <w:hyperlink r:id="rId165" w:history="1">
        <w:r w:rsidRPr="00F230F1">
          <w:rPr>
            <w:rStyle w:val="Lienhypertexte"/>
            <w:rFonts w:asciiTheme="majorBidi" w:hAnsiTheme="majorBidi" w:cstheme="majorBidi"/>
            <w:sz w:val="20"/>
            <w:szCs w:val="20"/>
          </w:rPr>
          <w:t>http://library.islamweb.net/newlibrary/display_book.php?idfrom=7071&amp;idto=7073&amp;bk_no=74&amp;ID=3078</w:t>
        </w:r>
      </w:hyperlink>
      <w:r w:rsidRPr="00F230F1">
        <w:rPr>
          <w:rFonts w:asciiTheme="majorBidi" w:hAnsiTheme="majorBidi" w:cstheme="majorBidi"/>
          <w:sz w:val="20"/>
          <w:szCs w:val="20"/>
        </w:rPr>
        <w:t>] ; [</w:t>
      </w:r>
      <w:hyperlink r:id="rId166" w:history="1">
        <w:r w:rsidRPr="00F230F1">
          <w:rPr>
            <w:rStyle w:val="Lienhypertexte"/>
            <w:rFonts w:asciiTheme="majorBidi" w:hAnsiTheme="majorBidi" w:cstheme="majorBidi"/>
            <w:sz w:val="20"/>
            <w:szCs w:val="20"/>
          </w:rPr>
          <w:t>http://shamela.ws/browse.php/book-147/page-83</w:t>
        </w:r>
      </w:hyperlink>
      <w:r w:rsidRPr="00F230F1">
        <w:rPr>
          <w:rFonts w:asciiTheme="majorBidi" w:hAnsiTheme="majorBidi" w:cstheme="majorBidi"/>
          <w:sz w:val="20"/>
          <w:szCs w:val="20"/>
        </w:rPr>
        <w:t>] (consultés le 12/08/2017).</w:t>
      </w:r>
    </w:p>
  </w:footnote>
  <w:footnote w:id="523">
    <w:p w14:paraId="719FBD11" w14:textId="77777777" w:rsidR="009C3BB9" w:rsidRPr="00F230F1" w:rsidRDefault="009C3BB9" w:rsidP="00F230F1">
      <w:pPr>
        <w:contextualSpacing/>
        <w:jc w:val="both"/>
        <w:rPr>
          <w:rFonts w:asciiTheme="majorBidi" w:eastAsia="Times New Roman" w:hAnsiTheme="majorBidi" w:cstheme="majorBidi"/>
          <w:color w:val="000000"/>
          <w:sz w:val="20"/>
          <w:szCs w:val="20"/>
          <w:bdr w:val="none" w:sz="0" w:space="0" w:color="auto" w:frame="1"/>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Larousse, </w:t>
      </w:r>
      <w:hyperlink r:id="rId167" w:anchor="RRmg1IdJvRQzJX5f.99" w:history="1">
        <w:r w:rsidRPr="00F230F1">
          <w:rPr>
            <w:rStyle w:val="Lienhypertexte"/>
            <w:rFonts w:asciiTheme="majorBidi" w:hAnsiTheme="majorBidi" w:cstheme="majorBidi"/>
            <w:sz w:val="20"/>
            <w:szCs w:val="20"/>
            <w:bdr w:val="none" w:sz="0" w:space="0" w:color="auto" w:frame="1"/>
            <w:shd w:val="clear" w:color="auto" w:fill="FFFFFF"/>
          </w:rPr>
          <w:t>http://www.larousse.fr/dictionnaires/francais/savant_savante/71224#RRmg1IdJvRQzJX5f.99</w:t>
        </w:r>
      </w:hyperlink>
      <w:r w:rsidRPr="00F230F1">
        <w:rPr>
          <w:rFonts w:asciiTheme="majorBidi" w:eastAsia="Times New Roman" w:hAnsiTheme="majorBidi" w:cstheme="majorBidi"/>
          <w:color w:val="000000"/>
          <w:sz w:val="20"/>
          <w:szCs w:val="20"/>
          <w:bdr w:val="none" w:sz="0" w:space="0" w:color="auto" w:frame="1"/>
          <w:shd w:val="clear" w:color="auto" w:fill="FFFFFF"/>
        </w:rPr>
        <w:t>.</w:t>
      </w:r>
    </w:p>
  </w:footnote>
  <w:footnote w:id="524">
    <w:p w14:paraId="182532D5"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Ibn Qayyim al-Jawziyya, </w:t>
      </w:r>
      <w:r w:rsidRPr="00F230F1">
        <w:rPr>
          <w:rFonts w:asciiTheme="majorBidi" w:hAnsiTheme="majorBidi" w:cstheme="majorBidi"/>
          <w:i/>
          <w:iCs/>
          <w:sz w:val="20"/>
          <w:szCs w:val="20"/>
        </w:rPr>
        <w:t>Madārij as-sālikīn bayna manāzil iyyā-ka naʿbudu wa-iyyāka nastaʿīn</w:t>
      </w:r>
      <w:r w:rsidRPr="00F230F1">
        <w:rPr>
          <w:rFonts w:asciiTheme="majorBidi" w:hAnsiTheme="majorBidi" w:cstheme="majorBidi"/>
          <w:sz w:val="20"/>
          <w:szCs w:val="20"/>
        </w:rPr>
        <w:t xml:space="preserve"> [Les rangs des initiés entre les stades de « C’est Toi que nous adorons » et de « Toi de qui nous implorons le secours »], Dār al-Kitāb al-ʿArabī, Beyrouth, 1996, p. 146.</w:t>
      </w:r>
    </w:p>
  </w:footnote>
  <w:footnote w:id="525">
    <w:p w14:paraId="661BE06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Site web Muḥammad, </w:t>
      </w:r>
      <w:hyperlink r:id="rId168" w:history="1">
        <w:r w:rsidRPr="00F230F1">
          <w:rPr>
            <w:rStyle w:val="Lienhypertexte"/>
            <w:rFonts w:asciiTheme="majorBidi" w:hAnsiTheme="majorBidi" w:cstheme="majorBidi"/>
            <w:sz w:val="20"/>
            <w:szCs w:val="20"/>
          </w:rPr>
          <w:t>http://www.muhammad-pbuh.com/ar/?p=635</w:t>
        </w:r>
      </w:hyperlink>
      <w:r w:rsidRPr="00F230F1">
        <w:rPr>
          <w:rFonts w:asciiTheme="majorBidi" w:hAnsiTheme="majorBidi" w:cstheme="majorBidi"/>
          <w:sz w:val="20"/>
          <w:szCs w:val="20"/>
        </w:rPr>
        <w:t xml:space="preserve"> (consulté le 31/07/2017). Site web de la Mosquée de Lyon, </w:t>
      </w:r>
      <w:hyperlink r:id="rId169" w:history="1">
        <w:r w:rsidRPr="00F230F1">
          <w:rPr>
            <w:rStyle w:val="Lienhypertexte"/>
            <w:rFonts w:asciiTheme="majorBidi" w:hAnsiTheme="majorBidi" w:cstheme="majorBidi"/>
            <w:sz w:val="20"/>
            <w:szCs w:val="20"/>
          </w:rPr>
          <w:t>http://www.mosquee-lyon.org/forum3/index.php?topic=41427.0;wap2</w:t>
        </w:r>
      </w:hyperlink>
      <w:r w:rsidRPr="00F230F1">
        <w:rPr>
          <w:rFonts w:asciiTheme="majorBidi" w:hAnsiTheme="majorBidi" w:cstheme="majorBidi"/>
          <w:sz w:val="20"/>
          <w:szCs w:val="20"/>
        </w:rPr>
        <w:t xml:space="preserve"> (consulté le 31/07/2017).</w:t>
      </w:r>
    </w:p>
  </w:footnote>
  <w:footnote w:id="526">
    <w:p w14:paraId="567BE29F"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Comme les chansons : « </w:t>
      </w:r>
      <w:r w:rsidRPr="00F230F1">
        <w:rPr>
          <w:rFonts w:asciiTheme="majorBidi" w:hAnsiTheme="majorBidi" w:cstheme="majorBidi"/>
          <w:i/>
          <w:iCs/>
          <w:sz w:val="20"/>
          <w:szCs w:val="20"/>
        </w:rPr>
        <w:t>Ya Laṭīf ya Laṭīf </w:t>
      </w:r>
      <w:r w:rsidRPr="00F230F1">
        <w:rPr>
          <w:rFonts w:asciiTheme="majorBidi" w:hAnsiTheme="majorBidi" w:cstheme="majorBidi"/>
          <w:sz w:val="20"/>
          <w:szCs w:val="20"/>
        </w:rPr>
        <w:t>» interprétée par la marocaine et égyptienne Samīra Saʿīd ;</w:t>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w:t>
      </w:r>
      <w:r w:rsidRPr="00F230F1">
        <w:rPr>
          <w:rFonts w:asciiTheme="majorBidi" w:hAnsiTheme="majorBidi" w:cstheme="majorBidi"/>
          <w:i/>
          <w:iCs/>
          <w:sz w:val="20"/>
          <w:szCs w:val="20"/>
        </w:rPr>
        <w:t>Ya Laṭīf </w:t>
      </w:r>
      <w:r w:rsidRPr="00F230F1">
        <w:rPr>
          <w:rFonts w:asciiTheme="majorBidi" w:hAnsiTheme="majorBidi" w:cstheme="majorBidi"/>
          <w:sz w:val="20"/>
          <w:szCs w:val="20"/>
        </w:rPr>
        <w:t xml:space="preserve">» interprétée par le Syrien Salāma al-Aghawānī ; </w:t>
      </w:r>
      <w:r w:rsidRPr="00F230F1">
        <w:rPr>
          <w:rFonts w:asciiTheme="majorBidi" w:hAnsiTheme="majorBidi" w:cstheme="majorBidi"/>
          <w:sz w:val="20"/>
          <w:szCs w:val="20"/>
          <w:lang w:bidi="ar-KW"/>
        </w:rPr>
        <w:t>« </w:t>
      </w:r>
      <w:r w:rsidRPr="00F230F1">
        <w:rPr>
          <w:rFonts w:asciiTheme="majorBidi" w:hAnsiTheme="majorBidi" w:cstheme="majorBidi"/>
          <w:i/>
          <w:iCs/>
          <w:sz w:val="20"/>
          <w:szCs w:val="20"/>
        </w:rPr>
        <w:t>ʿ</w:t>
      </w:r>
      <w:r w:rsidRPr="00F230F1">
        <w:rPr>
          <w:rFonts w:asciiTheme="majorBidi" w:hAnsiTheme="majorBidi" w:cstheme="majorBidi"/>
          <w:i/>
          <w:iCs/>
          <w:sz w:val="20"/>
          <w:szCs w:val="20"/>
          <w:lang w:bidi="ar-KW"/>
        </w:rPr>
        <w:t>Alīm Allāh</w:t>
      </w:r>
      <w:r w:rsidRPr="00F230F1">
        <w:rPr>
          <w:rFonts w:asciiTheme="majorBidi" w:hAnsiTheme="majorBidi" w:cstheme="majorBidi"/>
          <w:sz w:val="20"/>
          <w:szCs w:val="20"/>
          <w:lang w:bidi="ar-KW"/>
        </w:rPr>
        <w:t xml:space="preserve"> » interprétée par le libanais </w:t>
      </w:r>
      <w:r w:rsidRPr="00F230F1">
        <w:rPr>
          <w:rFonts w:asciiTheme="majorBidi" w:hAnsiTheme="majorBidi" w:cstheme="majorBidi"/>
          <w:sz w:val="20"/>
          <w:szCs w:val="20"/>
        </w:rPr>
        <w:t>Ṭonī Ḥadshītī ;</w:t>
      </w:r>
      <w:r w:rsidRPr="00F230F1">
        <w:rPr>
          <w:rFonts w:asciiTheme="majorBidi" w:hAnsiTheme="majorBidi" w:cstheme="majorBidi"/>
          <w:sz w:val="20"/>
          <w:szCs w:val="20"/>
          <w:lang w:bidi="ar-KW"/>
        </w:rPr>
        <w:t xml:space="preserve"> « </w:t>
      </w:r>
      <w:r w:rsidRPr="00F230F1">
        <w:rPr>
          <w:rFonts w:asciiTheme="majorBidi" w:hAnsiTheme="majorBidi" w:cstheme="majorBidi"/>
          <w:i/>
          <w:iCs/>
          <w:sz w:val="20"/>
          <w:szCs w:val="20"/>
          <w:lang w:bidi="ar-KW"/>
        </w:rPr>
        <w:t>Fattāḥ ya </w:t>
      </w:r>
      <w:r w:rsidRPr="00F230F1">
        <w:rPr>
          <w:rFonts w:asciiTheme="majorBidi" w:hAnsiTheme="majorBidi" w:cstheme="majorBidi"/>
          <w:i/>
          <w:iCs/>
          <w:sz w:val="20"/>
          <w:szCs w:val="20"/>
        </w:rPr>
        <w:t>ʿ</w:t>
      </w:r>
      <w:r w:rsidRPr="00F230F1">
        <w:rPr>
          <w:rFonts w:asciiTheme="majorBidi" w:hAnsiTheme="majorBidi" w:cstheme="majorBidi"/>
          <w:i/>
          <w:iCs/>
          <w:sz w:val="20"/>
          <w:szCs w:val="20"/>
          <w:lang w:bidi="ar-KW"/>
        </w:rPr>
        <w:t>Alīm </w:t>
      </w:r>
      <w:r w:rsidRPr="00F230F1">
        <w:rPr>
          <w:rFonts w:asciiTheme="majorBidi" w:hAnsiTheme="majorBidi" w:cstheme="majorBidi"/>
          <w:sz w:val="20"/>
          <w:szCs w:val="20"/>
          <w:lang w:bidi="ar-KW"/>
        </w:rPr>
        <w:t>» interprétée par le libanais Wā</w:t>
      </w:r>
      <w:r w:rsidRPr="00F230F1">
        <w:rPr>
          <w:rFonts w:asciiTheme="majorBidi" w:hAnsiTheme="majorBidi" w:cstheme="majorBidi"/>
          <w:sz w:val="20"/>
          <w:szCs w:val="20"/>
        </w:rPr>
        <w:t>ʾ</w:t>
      </w:r>
      <w:r w:rsidRPr="00F230F1">
        <w:rPr>
          <w:rFonts w:asciiTheme="majorBidi" w:hAnsiTheme="majorBidi" w:cstheme="majorBidi"/>
          <w:sz w:val="20"/>
          <w:szCs w:val="20"/>
          <w:lang w:bidi="ar-KW"/>
        </w:rPr>
        <w:t xml:space="preserve">il Jassār et dans laquelle figurent quatre noms de Dieu : </w:t>
      </w:r>
      <w:r w:rsidRPr="00F230F1">
        <w:rPr>
          <w:rFonts w:asciiTheme="majorBidi" w:hAnsiTheme="majorBidi" w:cstheme="majorBidi"/>
          <w:i/>
          <w:iCs/>
          <w:sz w:val="20"/>
          <w:szCs w:val="20"/>
        </w:rPr>
        <w:t>ʿ</w:t>
      </w:r>
      <w:r w:rsidRPr="00F230F1">
        <w:rPr>
          <w:rFonts w:asciiTheme="majorBidi" w:hAnsiTheme="majorBidi" w:cstheme="majorBidi"/>
          <w:i/>
          <w:iCs/>
          <w:sz w:val="20"/>
          <w:szCs w:val="20"/>
          <w:lang w:bidi="ar-KW"/>
        </w:rPr>
        <w:t>alīm</w:t>
      </w:r>
      <w:r w:rsidRPr="00F230F1">
        <w:rPr>
          <w:rFonts w:asciiTheme="majorBidi" w:hAnsiTheme="majorBidi" w:cstheme="majorBidi"/>
          <w:sz w:val="20"/>
          <w:szCs w:val="20"/>
          <w:lang w:bidi="ar-KW"/>
        </w:rPr>
        <w:t xml:space="preserve">, </w:t>
      </w:r>
      <w:r w:rsidRPr="00F230F1">
        <w:rPr>
          <w:rFonts w:asciiTheme="majorBidi" w:hAnsiTheme="majorBidi" w:cstheme="majorBidi"/>
          <w:i/>
          <w:iCs/>
          <w:sz w:val="20"/>
          <w:szCs w:val="20"/>
          <w:lang w:bidi="ar-KW"/>
        </w:rPr>
        <w:t>fattāḥ</w:t>
      </w:r>
      <w:r w:rsidRPr="00F230F1">
        <w:rPr>
          <w:rFonts w:asciiTheme="majorBidi" w:hAnsiTheme="majorBidi" w:cstheme="majorBidi"/>
          <w:sz w:val="20"/>
          <w:szCs w:val="20"/>
          <w:lang w:bidi="ar-KW"/>
        </w:rPr>
        <w:t xml:space="preserve">, </w:t>
      </w:r>
      <w:r w:rsidRPr="00F230F1">
        <w:rPr>
          <w:rFonts w:asciiTheme="majorBidi" w:hAnsiTheme="majorBidi" w:cstheme="majorBidi"/>
          <w:i/>
          <w:iCs/>
          <w:sz w:val="20"/>
          <w:szCs w:val="20"/>
          <w:lang w:bidi="ar-KW"/>
        </w:rPr>
        <w:t>ghafūr</w:t>
      </w:r>
      <w:r w:rsidRPr="00F230F1">
        <w:rPr>
          <w:rFonts w:asciiTheme="majorBidi" w:hAnsiTheme="majorBidi" w:cstheme="majorBidi"/>
          <w:sz w:val="20"/>
          <w:szCs w:val="20"/>
          <w:lang w:bidi="ar-KW"/>
        </w:rPr>
        <w:t xml:space="preserve"> </w:t>
      </w:r>
      <w:r w:rsidRPr="00F230F1">
        <w:rPr>
          <w:rFonts w:asciiTheme="majorBidi" w:hAnsiTheme="majorBidi" w:cstheme="majorBidi"/>
          <w:sz w:val="20"/>
          <w:szCs w:val="20"/>
        </w:rPr>
        <w:t xml:space="preserve">[Pardonneur] </w:t>
      </w:r>
      <w:r w:rsidRPr="00F230F1">
        <w:rPr>
          <w:rFonts w:asciiTheme="majorBidi" w:hAnsiTheme="majorBidi" w:cstheme="majorBidi"/>
          <w:sz w:val="20"/>
          <w:szCs w:val="20"/>
          <w:lang w:bidi="ar-KW"/>
        </w:rPr>
        <w:t xml:space="preserve">et </w:t>
      </w:r>
      <w:r w:rsidRPr="00F230F1">
        <w:rPr>
          <w:rFonts w:asciiTheme="majorBidi" w:hAnsiTheme="majorBidi" w:cstheme="majorBidi"/>
          <w:i/>
          <w:iCs/>
          <w:sz w:val="20"/>
          <w:szCs w:val="20"/>
          <w:lang w:bidi="ar-KW"/>
        </w:rPr>
        <w:t>raḥīm</w:t>
      </w:r>
      <w:r w:rsidRPr="00F230F1">
        <w:rPr>
          <w:rFonts w:asciiTheme="majorBidi" w:hAnsiTheme="majorBidi" w:cstheme="majorBidi"/>
          <w:sz w:val="20"/>
          <w:szCs w:val="20"/>
          <w:rtl/>
          <w:lang w:bidi="ar-KW"/>
        </w:rPr>
        <w:t xml:space="preserve"> </w:t>
      </w:r>
      <w:r w:rsidRPr="00F230F1">
        <w:rPr>
          <w:rFonts w:asciiTheme="majorBidi" w:hAnsiTheme="majorBidi" w:cstheme="majorBidi"/>
          <w:sz w:val="20"/>
          <w:szCs w:val="20"/>
        </w:rPr>
        <w:t>[Miséricordieux]</w:t>
      </w:r>
      <w:r w:rsidRPr="00F230F1">
        <w:rPr>
          <w:rFonts w:asciiTheme="majorBidi" w:hAnsiTheme="majorBidi" w:cstheme="majorBidi"/>
          <w:sz w:val="20"/>
          <w:szCs w:val="20"/>
          <w:lang w:bidi="ar-KW"/>
        </w:rPr>
        <w:t>.</w:t>
      </w:r>
    </w:p>
  </w:footnote>
  <w:footnote w:id="527">
    <w:p w14:paraId="69B1D17D"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Abū Ḥamīd Muḥammad Al-Ghazālī, </w:t>
      </w:r>
      <w:r w:rsidRPr="00F230F1">
        <w:rPr>
          <w:rFonts w:asciiTheme="majorBidi" w:eastAsia="Times New Roman" w:hAnsiTheme="majorBidi" w:cstheme="majorBidi"/>
          <w:i/>
          <w:iCs/>
          <w:sz w:val="20"/>
          <w:szCs w:val="20"/>
        </w:rPr>
        <w:t>Al-maq</w:t>
      </w:r>
      <w:r w:rsidRPr="00F230F1">
        <w:rPr>
          <w:rFonts w:asciiTheme="majorBidi" w:hAnsiTheme="majorBidi" w:cstheme="majorBidi"/>
          <w:i/>
          <w:iCs/>
          <w:sz w:val="20"/>
          <w:szCs w:val="20"/>
        </w:rPr>
        <w:t>ṣ</w:t>
      </w:r>
      <w:r w:rsidRPr="00F230F1">
        <w:rPr>
          <w:rFonts w:asciiTheme="majorBidi" w:eastAsia="Times New Roman" w:hAnsiTheme="majorBidi" w:cstheme="majorBidi"/>
          <w:i/>
          <w:iCs/>
          <w:sz w:val="20"/>
          <w:szCs w:val="20"/>
        </w:rPr>
        <w:t>ad al-asnā fī sharḥ ʾasm</w:t>
      </w:r>
      <w:r w:rsidRPr="00F230F1">
        <w:rPr>
          <w:rFonts w:asciiTheme="majorBidi" w:hAnsiTheme="majorBidi" w:cstheme="majorBidi"/>
          <w:i/>
          <w:iCs/>
          <w:sz w:val="20"/>
          <w:szCs w:val="20"/>
        </w:rPr>
        <w:t>āʾ Allāh al-ḥusnā</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Éditions Maktabat al-Qur</w:t>
      </w:r>
      <w:r w:rsidRPr="00F230F1">
        <w:rPr>
          <w:rFonts w:asciiTheme="majorBidi" w:hAnsiTheme="majorBidi" w:cstheme="majorBidi"/>
          <w:sz w:val="20"/>
          <w:szCs w:val="20"/>
        </w:rPr>
        <w:t>ʾ</w:t>
      </w:r>
      <w:r w:rsidRPr="00F230F1">
        <w:rPr>
          <w:rFonts w:asciiTheme="majorBidi" w:eastAsia="Times New Roman" w:hAnsiTheme="majorBidi" w:cstheme="majorBidi"/>
          <w:sz w:val="20"/>
          <w:szCs w:val="20"/>
        </w:rPr>
        <w:t>ān, Le Caire, 1984, p. 93.</w:t>
      </w:r>
    </w:p>
  </w:footnote>
  <w:footnote w:id="528">
    <w:p w14:paraId="65BE9F8B"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Al-Ghazālī, </w:t>
      </w:r>
      <w:r w:rsidRPr="00F230F1">
        <w:rPr>
          <w:rFonts w:asciiTheme="majorBidi" w:eastAsia="Times New Roman" w:hAnsiTheme="majorBidi" w:cstheme="majorBidi"/>
          <w:i/>
          <w:iCs/>
          <w:sz w:val="20"/>
          <w:szCs w:val="20"/>
        </w:rPr>
        <w:t>Al-maq</w:t>
      </w:r>
      <w:r w:rsidRPr="00F230F1">
        <w:rPr>
          <w:rFonts w:asciiTheme="majorBidi" w:hAnsiTheme="majorBidi" w:cstheme="majorBidi"/>
          <w:i/>
          <w:iCs/>
          <w:sz w:val="20"/>
          <w:szCs w:val="20"/>
        </w:rPr>
        <w:t>ṣ</w:t>
      </w:r>
      <w:r w:rsidRPr="00F230F1">
        <w:rPr>
          <w:rFonts w:asciiTheme="majorBidi" w:eastAsia="Times New Roman" w:hAnsiTheme="majorBidi" w:cstheme="majorBidi"/>
          <w:i/>
          <w:iCs/>
          <w:sz w:val="20"/>
          <w:szCs w:val="20"/>
        </w:rPr>
        <w:t>ad al-asnā</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128.</w:t>
      </w:r>
    </w:p>
  </w:footnote>
  <w:footnote w:id="529">
    <w:p w14:paraId="5CFB905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verbe </w:t>
      </w:r>
      <w:r w:rsidRPr="00F230F1">
        <w:rPr>
          <w:rFonts w:asciiTheme="majorBidi" w:hAnsiTheme="majorBidi" w:cstheme="majorBidi"/>
          <w:i/>
          <w:iCs/>
          <w:sz w:val="20"/>
          <w:szCs w:val="20"/>
        </w:rPr>
        <w:t>istaghnā</w:t>
      </w:r>
      <w:r w:rsidRPr="00F230F1">
        <w:rPr>
          <w:rFonts w:asciiTheme="majorBidi" w:hAnsiTheme="majorBidi" w:cstheme="majorBidi"/>
          <w:sz w:val="20"/>
          <w:szCs w:val="20"/>
        </w:rPr>
        <w:t xml:space="preserve"> a deux sens en fonction de la préposition qui suit : « </w:t>
      </w:r>
      <w:r w:rsidRPr="00F230F1">
        <w:rPr>
          <w:rFonts w:asciiTheme="majorBidi" w:hAnsiTheme="majorBidi" w:cstheme="majorBidi"/>
          <w:i/>
          <w:iCs/>
          <w:sz w:val="20"/>
          <w:szCs w:val="20"/>
        </w:rPr>
        <w:t xml:space="preserve">istaghnā </w:t>
      </w:r>
      <w:r w:rsidRPr="00F230F1">
        <w:rPr>
          <w:rFonts w:asciiTheme="majorBidi" w:hAnsiTheme="majorBidi" w:cstheme="majorBidi"/>
          <w:b/>
          <w:bCs/>
          <w:i/>
          <w:iCs/>
          <w:sz w:val="20"/>
          <w:szCs w:val="20"/>
        </w:rPr>
        <w:t>ʿan</w:t>
      </w:r>
      <w:r w:rsidRPr="00F230F1">
        <w:rPr>
          <w:rFonts w:asciiTheme="majorBidi" w:hAnsiTheme="majorBidi" w:cstheme="majorBidi"/>
          <w:i/>
          <w:iCs/>
          <w:sz w:val="20"/>
          <w:szCs w:val="20"/>
        </w:rPr>
        <w:t> </w:t>
      </w:r>
      <w:r w:rsidRPr="00F230F1">
        <w:rPr>
          <w:rFonts w:asciiTheme="majorBidi" w:hAnsiTheme="majorBidi" w:cstheme="majorBidi"/>
          <w:sz w:val="20"/>
          <w:szCs w:val="20"/>
        </w:rPr>
        <w:t>» (se passer de) et « </w:t>
      </w:r>
      <w:r w:rsidRPr="00F230F1">
        <w:rPr>
          <w:rFonts w:asciiTheme="majorBidi" w:hAnsiTheme="majorBidi" w:cstheme="majorBidi"/>
          <w:i/>
          <w:iCs/>
          <w:sz w:val="20"/>
          <w:szCs w:val="20"/>
        </w:rPr>
        <w:t xml:space="preserve">istaghnā </w:t>
      </w:r>
      <w:r w:rsidRPr="00F230F1">
        <w:rPr>
          <w:rFonts w:asciiTheme="majorBidi" w:hAnsiTheme="majorBidi" w:cstheme="majorBidi"/>
          <w:b/>
          <w:bCs/>
          <w:i/>
          <w:iCs/>
          <w:sz w:val="20"/>
          <w:szCs w:val="20"/>
        </w:rPr>
        <w:t>bi-</w:t>
      </w:r>
      <w:r w:rsidRPr="00F230F1">
        <w:rPr>
          <w:rFonts w:asciiTheme="majorBidi" w:hAnsiTheme="majorBidi" w:cstheme="majorBidi"/>
          <w:i/>
          <w:iCs/>
          <w:sz w:val="20"/>
          <w:szCs w:val="20"/>
        </w:rPr>
        <w:t> </w:t>
      </w:r>
      <w:r w:rsidRPr="00F230F1">
        <w:rPr>
          <w:rFonts w:asciiTheme="majorBidi" w:hAnsiTheme="majorBidi" w:cstheme="majorBidi"/>
          <w:sz w:val="20"/>
          <w:szCs w:val="20"/>
        </w:rPr>
        <w:t>» (s’enrichir de). De même, l’adjectif « </w:t>
      </w:r>
      <w:r w:rsidRPr="00F230F1">
        <w:rPr>
          <w:rFonts w:asciiTheme="majorBidi" w:eastAsia="Times New Roman" w:hAnsiTheme="majorBidi" w:cstheme="majorBidi"/>
          <w:i/>
          <w:sz w:val="20"/>
          <w:szCs w:val="20"/>
        </w:rPr>
        <w:t>g</w:t>
      </w:r>
      <w:r w:rsidRPr="00F230F1">
        <w:rPr>
          <w:rFonts w:asciiTheme="majorBidi" w:eastAsia="Times New Roman" w:hAnsiTheme="majorBidi" w:cstheme="majorBidi"/>
          <w:i/>
          <w:iCs/>
          <w:sz w:val="20"/>
          <w:szCs w:val="20"/>
          <w:shd w:val="clear" w:color="auto" w:fill="FFFFFF"/>
          <w:lang w:bidi="ar-KW"/>
        </w:rPr>
        <w:t>han</w:t>
      </w:r>
      <w:r w:rsidRPr="00F230F1">
        <w:rPr>
          <w:rFonts w:asciiTheme="majorBidi" w:eastAsia="Times New Roman" w:hAnsiTheme="majorBidi" w:cstheme="majorBidi"/>
          <w:bCs/>
          <w:i/>
          <w:iCs/>
          <w:sz w:val="20"/>
          <w:szCs w:val="20"/>
          <w:shd w:val="clear" w:color="auto" w:fill="FFFFFF"/>
          <w:lang w:bidi="ar-KW"/>
        </w:rPr>
        <w:t xml:space="preserve">ī </w:t>
      </w:r>
      <w:r w:rsidRPr="00F230F1">
        <w:rPr>
          <w:rFonts w:asciiTheme="majorBidi" w:hAnsiTheme="majorBidi" w:cstheme="majorBidi"/>
          <w:sz w:val="20"/>
          <w:szCs w:val="20"/>
        </w:rPr>
        <w:t>» change de sens en fonction de la préposition qui suit : « </w:t>
      </w:r>
      <w:r w:rsidRPr="00F230F1">
        <w:rPr>
          <w:rFonts w:asciiTheme="majorBidi" w:eastAsia="Times New Roman" w:hAnsiTheme="majorBidi" w:cstheme="majorBidi"/>
          <w:i/>
          <w:sz w:val="20"/>
          <w:szCs w:val="20"/>
        </w:rPr>
        <w:t>g</w:t>
      </w:r>
      <w:r w:rsidRPr="00F230F1">
        <w:rPr>
          <w:rFonts w:asciiTheme="majorBidi" w:eastAsia="Times New Roman" w:hAnsiTheme="majorBidi" w:cstheme="majorBidi"/>
          <w:i/>
          <w:iCs/>
          <w:sz w:val="20"/>
          <w:szCs w:val="20"/>
          <w:shd w:val="clear" w:color="auto" w:fill="FFFFFF"/>
          <w:lang w:bidi="ar-KW"/>
        </w:rPr>
        <w:t>han</w:t>
      </w:r>
      <w:r w:rsidRPr="00F230F1">
        <w:rPr>
          <w:rFonts w:asciiTheme="majorBidi" w:eastAsia="Times New Roman" w:hAnsiTheme="majorBidi" w:cstheme="majorBidi"/>
          <w:bCs/>
          <w:i/>
          <w:iCs/>
          <w:sz w:val="20"/>
          <w:szCs w:val="20"/>
          <w:shd w:val="clear" w:color="auto" w:fill="FFFFFF"/>
          <w:lang w:bidi="ar-KW"/>
        </w:rPr>
        <w:t xml:space="preserve">ī </w:t>
      </w:r>
      <w:r w:rsidRPr="00F230F1">
        <w:rPr>
          <w:rFonts w:asciiTheme="majorBidi" w:hAnsiTheme="majorBidi" w:cstheme="majorBidi"/>
          <w:b/>
          <w:bCs/>
          <w:i/>
          <w:iCs/>
          <w:sz w:val="20"/>
          <w:szCs w:val="20"/>
        </w:rPr>
        <w:t>ʿan</w:t>
      </w:r>
      <w:r w:rsidRPr="00F230F1">
        <w:rPr>
          <w:rFonts w:asciiTheme="majorBidi" w:hAnsiTheme="majorBidi" w:cstheme="majorBidi"/>
          <w:sz w:val="20"/>
          <w:szCs w:val="20"/>
        </w:rPr>
        <w:t> » (celui qui se passe de) et « </w:t>
      </w:r>
      <w:r w:rsidRPr="00F230F1">
        <w:rPr>
          <w:rFonts w:asciiTheme="majorBidi" w:eastAsia="Times New Roman" w:hAnsiTheme="majorBidi" w:cstheme="majorBidi"/>
          <w:i/>
          <w:sz w:val="20"/>
          <w:szCs w:val="20"/>
        </w:rPr>
        <w:t>g</w:t>
      </w:r>
      <w:r w:rsidRPr="00F230F1">
        <w:rPr>
          <w:rFonts w:asciiTheme="majorBidi" w:eastAsia="Times New Roman" w:hAnsiTheme="majorBidi" w:cstheme="majorBidi"/>
          <w:i/>
          <w:iCs/>
          <w:sz w:val="20"/>
          <w:szCs w:val="20"/>
          <w:shd w:val="clear" w:color="auto" w:fill="FFFFFF"/>
          <w:lang w:bidi="ar-KW"/>
        </w:rPr>
        <w:t>han</w:t>
      </w:r>
      <w:r w:rsidRPr="00F230F1">
        <w:rPr>
          <w:rFonts w:asciiTheme="majorBidi" w:eastAsia="Times New Roman" w:hAnsiTheme="majorBidi" w:cstheme="majorBidi"/>
          <w:bCs/>
          <w:i/>
          <w:iCs/>
          <w:sz w:val="20"/>
          <w:szCs w:val="20"/>
          <w:shd w:val="clear" w:color="auto" w:fill="FFFFFF"/>
          <w:lang w:bidi="ar-KW"/>
        </w:rPr>
        <w:t xml:space="preserve">ī </w:t>
      </w:r>
      <w:r w:rsidRPr="00F230F1">
        <w:rPr>
          <w:rFonts w:asciiTheme="majorBidi" w:hAnsiTheme="majorBidi" w:cstheme="majorBidi"/>
          <w:b/>
          <w:bCs/>
          <w:i/>
          <w:iCs/>
          <w:sz w:val="20"/>
          <w:szCs w:val="20"/>
        </w:rPr>
        <w:t>bi-</w:t>
      </w:r>
      <w:r w:rsidRPr="00F230F1">
        <w:rPr>
          <w:rFonts w:asciiTheme="majorBidi" w:hAnsiTheme="majorBidi" w:cstheme="majorBidi"/>
          <w:b/>
          <w:bCs/>
          <w:sz w:val="20"/>
          <w:szCs w:val="20"/>
        </w:rPr>
        <w:t> </w:t>
      </w:r>
      <w:r w:rsidRPr="00F230F1">
        <w:rPr>
          <w:rFonts w:asciiTheme="majorBidi" w:hAnsiTheme="majorBidi" w:cstheme="majorBidi"/>
          <w:sz w:val="20"/>
          <w:szCs w:val="20"/>
        </w:rPr>
        <w:t>» (riche de). Dans deux versets, le Coran utilise l’adjectif « </w:t>
      </w:r>
      <w:r w:rsidRPr="00F230F1">
        <w:rPr>
          <w:rFonts w:asciiTheme="majorBidi" w:eastAsia="Times New Roman" w:hAnsiTheme="majorBidi" w:cstheme="majorBidi"/>
          <w:i/>
          <w:sz w:val="20"/>
          <w:szCs w:val="20"/>
        </w:rPr>
        <w:t>g</w:t>
      </w:r>
      <w:r w:rsidRPr="00F230F1">
        <w:rPr>
          <w:rFonts w:asciiTheme="majorBidi" w:eastAsia="Times New Roman" w:hAnsiTheme="majorBidi" w:cstheme="majorBidi"/>
          <w:i/>
          <w:iCs/>
          <w:sz w:val="20"/>
          <w:szCs w:val="20"/>
          <w:shd w:val="clear" w:color="auto" w:fill="FFFFFF"/>
          <w:lang w:bidi="ar-KW"/>
        </w:rPr>
        <w:t>han</w:t>
      </w:r>
      <w:r w:rsidRPr="00F230F1">
        <w:rPr>
          <w:rFonts w:asciiTheme="majorBidi" w:eastAsia="Times New Roman" w:hAnsiTheme="majorBidi" w:cstheme="majorBidi"/>
          <w:bCs/>
          <w:i/>
          <w:iCs/>
          <w:sz w:val="20"/>
          <w:szCs w:val="20"/>
          <w:shd w:val="clear" w:color="auto" w:fill="FFFFFF"/>
          <w:lang w:bidi="ar-KW"/>
        </w:rPr>
        <w:t xml:space="preserve">ī </w:t>
      </w:r>
      <w:r w:rsidRPr="00F230F1">
        <w:rPr>
          <w:rFonts w:asciiTheme="majorBidi" w:hAnsiTheme="majorBidi" w:cstheme="majorBidi"/>
          <w:b/>
          <w:bCs/>
          <w:i/>
          <w:iCs/>
          <w:sz w:val="20"/>
          <w:szCs w:val="20"/>
        </w:rPr>
        <w:t>ʿan</w:t>
      </w:r>
      <w:r w:rsidRPr="00F230F1">
        <w:rPr>
          <w:rFonts w:asciiTheme="majorBidi" w:hAnsiTheme="majorBidi" w:cstheme="majorBidi"/>
          <w:i/>
          <w:iCs/>
          <w:sz w:val="20"/>
          <w:szCs w:val="20"/>
        </w:rPr>
        <w:t> </w:t>
      </w:r>
      <w:r w:rsidRPr="00F230F1">
        <w:rPr>
          <w:rFonts w:asciiTheme="majorBidi" w:hAnsiTheme="majorBidi" w:cstheme="majorBidi"/>
          <w:sz w:val="20"/>
          <w:szCs w:val="20"/>
        </w:rPr>
        <w:t>» qui explique cette idée du non-besoin (</w:t>
      </w:r>
      <w:r w:rsidRPr="00F230F1">
        <w:rPr>
          <w:rFonts w:asciiTheme="majorBidi" w:hAnsiTheme="majorBidi" w:cstheme="majorBidi"/>
          <w:i/>
          <w:iCs/>
          <w:sz w:val="20"/>
          <w:szCs w:val="20"/>
        </w:rPr>
        <w:t>al-istighnāʾ</w:t>
      </w:r>
      <w:r w:rsidRPr="00F230F1">
        <w:rPr>
          <w:rFonts w:asciiTheme="majorBidi" w:hAnsiTheme="majorBidi" w:cstheme="majorBidi"/>
          <w:sz w:val="20"/>
          <w:szCs w:val="20"/>
        </w:rPr>
        <w:t xml:space="preserve">) : </w:t>
      </w:r>
      <w:r w:rsidRPr="00F230F1">
        <w:rPr>
          <w:rFonts w:asciiTheme="majorBidi" w:hAnsiTheme="majorBidi" w:cstheme="majorBidi"/>
          <w:sz w:val="20"/>
          <w:szCs w:val="20"/>
          <w:rtl/>
        </w:rPr>
        <w:t>"</w:t>
      </w:r>
      <w:r w:rsidRPr="00F230F1">
        <w:rPr>
          <w:rFonts w:asciiTheme="majorBidi" w:eastAsia="Times New Roman" w:hAnsiTheme="majorBidi" w:cstheme="majorBidi"/>
          <w:sz w:val="20"/>
          <w:szCs w:val="20"/>
          <w:shd w:val="clear" w:color="auto" w:fill="FFFFFF"/>
          <w:rtl/>
        </w:rPr>
        <w:t>فإنّ اللَّه</w:t>
      </w:r>
      <w:r w:rsidRPr="00F230F1">
        <w:rPr>
          <w:rStyle w:val="apple-converted-space"/>
          <w:rFonts w:asciiTheme="majorBidi" w:hAnsiTheme="majorBidi" w:cstheme="majorBidi"/>
          <w:sz w:val="20"/>
          <w:szCs w:val="20"/>
          <w:shd w:val="clear" w:color="auto" w:fill="FFFFFF"/>
          <w:rtl/>
        </w:rPr>
        <w:t> </w:t>
      </w:r>
      <w:r w:rsidRPr="00F230F1">
        <w:rPr>
          <w:rFonts w:asciiTheme="majorBidi" w:eastAsia="Times New Roman" w:hAnsiTheme="majorBidi" w:cstheme="majorBidi"/>
          <w:sz w:val="20"/>
          <w:szCs w:val="20"/>
          <w:bdr w:val="none" w:sz="0" w:space="0" w:color="auto" w:frame="1"/>
          <w:rtl/>
        </w:rPr>
        <w:t>غنيّ</w:t>
      </w:r>
      <w:r w:rsidRPr="00F230F1">
        <w:rPr>
          <w:rStyle w:val="apple-converted-space"/>
          <w:rFonts w:asciiTheme="majorBidi" w:hAnsiTheme="majorBidi" w:cstheme="majorBidi"/>
          <w:sz w:val="20"/>
          <w:szCs w:val="20"/>
          <w:shd w:val="clear" w:color="auto" w:fill="FFFFFF"/>
          <w:rtl/>
        </w:rPr>
        <w:t> </w:t>
      </w:r>
      <w:r w:rsidRPr="00F230F1">
        <w:rPr>
          <w:rFonts w:asciiTheme="majorBidi" w:eastAsia="Times New Roman" w:hAnsiTheme="majorBidi" w:cstheme="majorBidi"/>
          <w:sz w:val="20"/>
          <w:szCs w:val="20"/>
          <w:shd w:val="clear" w:color="auto" w:fill="FFFFFF"/>
          <w:rtl/>
        </w:rPr>
        <w:t>عن العالمين"</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Allah Se Passe sûrement des Univers » (trad. Abdelaziz)]</w:t>
      </w:r>
      <w:r w:rsidRPr="00F230F1">
        <w:rPr>
          <w:rFonts w:asciiTheme="majorBidi" w:eastAsia="Times New Roman" w:hAnsiTheme="majorBidi" w:cstheme="majorBidi"/>
          <w:sz w:val="20"/>
          <w:szCs w:val="20"/>
        </w:rPr>
        <w:t xml:space="preserve"> (III, 97) ; </w:t>
      </w:r>
      <w:r w:rsidRPr="00F230F1">
        <w:rPr>
          <w:rFonts w:asciiTheme="majorBidi" w:eastAsia="Times New Roman" w:hAnsiTheme="majorBidi" w:cstheme="majorBidi"/>
          <w:sz w:val="20"/>
          <w:szCs w:val="20"/>
          <w:rtl/>
        </w:rPr>
        <w:t>"</w:t>
      </w:r>
      <w:r w:rsidRPr="00F230F1">
        <w:rPr>
          <w:rFonts w:asciiTheme="majorBidi" w:eastAsia="Times New Roman" w:hAnsiTheme="majorBidi" w:cstheme="majorBidi"/>
          <w:sz w:val="20"/>
          <w:szCs w:val="20"/>
          <w:shd w:val="clear" w:color="auto" w:fill="FFFFFF"/>
          <w:rtl/>
        </w:rPr>
        <w:t>فإنّ اللَّه</w:t>
      </w:r>
      <w:r w:rsidRPr="00F230F1">
        <w:rPr>
          <w:rStyle w:val="apple-converted-space"/>
          <w:rFonts w:asciiTheme="majorBidi" w:hAnsiTheme="majorBidi" w:cstheme="majorBidi"/>
          <w:sz w:val="20"/>
          <w:szCs w:val="20"/>
          <w:shd w:val="clear" w:color="auto" w:fill="FFFFFF"/>
          <w:rtl/>
        </w:rPr>
        <w:t> </w:t>
      </w:r>
      <w:r w:rsidRPr="00F230F1">
        <w:rPr>
          <w:rFonts w:asciiTheme="majorBidi" w:eastAsia="Times New Roman" w:hAnsiTheme="majorBidi" w:cstheme="majorBidi"/>
          <w:sz w:val="20"/>
          <w:szCs w:val="20"/>
          <w:bdr w:val="none" w:sz="0" w:space="0" w:color="auto" w:frame="1"/>
          <w:rtl/>
        </w:rPr>
        <w:t>غنيّ</w:t>
      </w:r>
      <w:r w:rsidRPr="00F230F1">
        <w:rPr>
          <w:rStyle w:val="apple-converted-space"/>
          <w:rFonts w:asciiTheme="majorBidi" w:hAnsiTheme="majorBidi" w:cstheme="majorBidi"/>
          <w:sz w:val="20"/>
          <w:szCs w:val="20"/>
          <w:shd w:val="clear" w:color="auto" w:fill="FFFFFF"/>
          <w:rtl/>
        </w:rPr>
        <w:t> </w:t>
      </w:r>
      <w:r w:rsidRPr="00F230F1">
        <w:rPr>
          <w:rFonts w:asciiTheme="majorBidi" w:eastAsia="Times New Roman" w:hAnsiTheme="majorBidi" w:cstheme="majorBidi"/>
          <w:sz w:val="20"/>
          <w:szCs w:val="20"/>
          <w:shd w:val="clear" w:color="auto" w:fill="FFFFFF"/>
          <w:rtl/>
        </w:rPr>
        <w:t>عنكم"</w:t>
      </w:r>
      <w:r w:rsidRPr="00F230F1">
        <w:rPr>
          <w:rFonts w:asciiTheme="majorBidi" w:eastAsia="Times New Roman" w:hAnsiTheme="majorBidi" w:cstheme="majorBidi"/>
          <w:sz w:val="20"/>
          <w:szCs w:val="20"/>
          <w:shd w:val="clear" w:color="auto" w:fill="FFFFFF"/>
        </w:rPr>
        <w:t xml:space="preserve"> </w:t>
      </w:r>
      <w:r w:rsidRPr="00F230F1">
        <w:rPr>
          <w:rFonts w:asciiTheme="majorBidi" w:hAnsiTheme="majorBidi" w:cstheme="majorBidi"/>
          <w:sz w:val="20"/>
          <w:szCs w:val="20"/>
        </w:rPr>
        <w:t>[« Allah Se passe de vous » (trad. Abdelaziz)]</w:t>
      </w:r>
      <w:r w:rsidRPr="00F230F1">
        <w:rPr>
          <w:rFonts w:asciiTheme="majorBidi" w:eastAsia="Times New Roman" w:hAnsiTheme="majorBidi" w:cstheme="majorBidi"/>
          <w:sz w:val="20"/>
          <w:szCs w:val="20"/>
          <w:shd w:val="clear" w:color="auto" w:fill="FFFFFF"/>
        </w:rPr>
        <w:t xml:space="preserve"> (XXXIX, 7)</w:t>
      </w:r>
      <w:r w:rsidRPr="00F230F1">
        <w:rPr>
          <w:rFonts w:asciiTheme="majorBidi" w:eastAsia="Times New Roman" w:hAnsiTheme="majorBidi" w:cstheme="majorBidi"/>
          <w:sz w:val="20"/>
          <w:szCs w:val="20"/>
        </w:rPr>
        <w:t>.</w:t>
      </w:r>
    </w:p>
  </w:footnote>
  <w:footnote w:id="530">
    <w:p w14:paraId="39DDCC60"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Al-Ghazālī, </w:t>
      </w:r>
      <w:r w:rsidRPr="00F230F1">
        <w:rPr>
          <w:rFonts w:asciiTheme="majorBidi" w:eastAsia="Times New Roman" w:hAnsiTheme="majorBidi" w:cstheme="majorBidi"/>
          <w:i/>
          <w:iCs/>
          <w:sz w:val="20"/>
          <w:szCs w:val="20"/>
        </w:rPr>
        <w:t>Al-maq</w:t>
      </w:r>
      <w:r w:rsidRPr="00F230F1">
        <w:rPr>
          <w:rFonts w:asciiTheme="majorBidi" w:hAnsiTheme="majorBidi" w:cstheme="majorBidi"/>
          <w:i/>
          <w:iCs/>
          <w:sz w:val="20"/>
          <w:szCs w:val="20"/>
        </w:rPr>
        <w:t>ṣ</w:t>
      </w:r>
      <w:r w:rsidRPr="00F230F1">
        <w:rPr>
          <w:rFonts w:asciiTheme="majorBidi" w:eastAsia="Times New Roman" w:hAnsiTheme="majorBidi" w:cstheme="majorBidi"/>
          <w:i/>
          <w:iCs/>
          <w:sz w:val="20"/>
          <w:szCs w:val="20"/>
        </w:rPr>
        <w:t>ad al-asnā</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115.</w:t>
      </w:r>
    </w:p>
  </w:footnote>
  <w:footnote w:id="531">
    <w:p w14:paraId="0CF64623"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w:t>
      </w:r>
    </w:p>
  </w:footnote>
  <w:footnote w:id="532">
    <w:p w14:paraId="5EED5639"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p. 124.</w:t>
      </w:r>
    </w:p>
  </w:footnote>
  <w:footnote w:id="533">
    <w:p w14:paraId="5211BAAC"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Centre national de ressources textuelles et lexicales (CNRTL), </w:t>
      </w:r>
      <w:r w:rsidRPr="00F230F1">
        <w:rPr>
          <w:rFonts w:asciiTheme="majorBidi" w:hAnsiTheme="majorBidi" w:cstheme="majorBidi"/>
          <w:i/>
          <w:iCs/>
          <w:sz w:val="20"/>
          <w:szCs w:val="20"/>
        </w:rPr>
        <w:t>op. cit.</w:t>
      </w:r>
      <w:r w:rsidRPr="00F230F1">
        <w:rPr>
          <w:rFonts w:asciiTheme="majorBidi" w:eastAsia="Times New Roman" w:hAnsiTheme="majorBidi" w:cstheme="majorBidi"/>
          <w:color w:val="000000"/>
          <w:sz w:val="20"/>
          <w:szCs w:val="20"/>
          <w:shd w:val="clear" w:color="auto" w:fill="FFFFFF"/>
        </w:rPr>
        <w:t xml:space="preserve">, </w:t>
      </w:r>
      <w:hyperlink r:id="rId170" w:history="1">
        <w:r w:rsidRPr="00F230F1">
          <w:rPr>
            <w:rStyle w:val="Lienhypertexte"/>
            <w:rFonts w:asciiTheme="majorBidi" w:hAnsiTheme="majorBidi" w:cstheme="majorBidi"/>
            <w:sz w:val="20"/>
            <w:szCs w:val="20"/>
            <w:shd w:val="clear" w:color="auto" w:fill="FFFFFF"/>
          </w:rPr>
          <w:t>http://www.cnrtl.fr/lexicographie/pitié</w:t>
        </w:r>
      </w:hyperlink>
      <w:r w:rsidRPr="00F230F1">
        <w:rPr>
          <w:rFonts w:asciiTheme="majorBidi" w:eastAsia="Times New Roman" w:hAnsiTheme="majorBidi" w:cstheme="majorBidi"/>
          <w:color w:val="000000"/>
          <w:sz w:val="20"/>
          <w:szCs w:val="20"/>
          <w:shd w:val="clear" w:color="auto" w:fill="FFFFFF"/>
        </w:rPr>
        <w:t xml:space="preserve"> (consulté le 31/07/2017).</w:t>
      </w:r>
    </w:p>
  </w:footnote>
  <w:footnote w:id="534">
    <w:p w14:paraId="0D333CE4" w14:textId="77777777" w:rsidR="009C3BB9" w:rsidRPr="00F230F1" w:rsidRDefault="009C3BB9" w:rsidP="00F230F1">
      <w:pPr>
        <w:contextualSpacing/>
        <w:jc w:val="both"/>
        <w:rPr>
          <w:rFonts w:asciiTheme="majorBidi" w:eastAsia="Times New Roman" w:hAnsiTheme="majorBidi" w:cstheme="majorBidi"/>
          <w:color w:val="000000"/>
          <w:sz w:val="20"/>
          <w:szCs w:val="20"/>
          <w:bdr w:val="none" w:sz="0" w:space="0" w:color="auto" w:frame="1"/>
          <w:shd w:val="clear" w:color="auto" w:fill="FFFFFF"/>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Larousse,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w:t>
      </w:r>
      <w:hyperlink r:id="rId171" w:history="1">
        <w:r w:rsidRPr="00F230F1">
          <w:rPr>
            <w:rStyle w:val="Lienhypertexte"/>
            <w:rFonts w:asciiTheme="majorBidi" w:hAnsiTheme="majorBidi" w:cstheme="majorBidi"/>
            <w:sz w:val="20"/>
            <w:szCs w:val="20"/>
          </w:rPr>
          <w:t>http://www.larousse.fr/dictionnaires/francais/pitié/61222</w:t>
        </w:r>
      </w:hyperlink>
      <w:r w:rsidRPr="00F230F1">
        <w:rPr>
          <w:rFonts w:asciiTheme="majorBidi" w:hAnsiTheme="majorBidi" w:cstheme="majorBidi"/>
          <w:sz w:val="20"/>
          <w:szCs w:val="20"/>
        </w:rPr>
        <w:t xml:space="preserve"> </w:t>
      </w:r>
      <w:r w:rsidRPr="00F230F1">
        <w:rPr>
          <w:rFonts w:asciiTheme="majorBidi" w:eastAsia="Times New Roman" w:hAnsiTheme="majorBidi" w:cstheme="majorBidi"/>
          <w:color w:val="000000"/>
          <w:sz w:val="20"/>
          <w:szCs w:val="20"/>
          <w:shd w:val="clear" w:color="auto" w:fill="FFFFFF"/>
        </w:rPr>
        <w:t>(consulté le 31/07/2017).</w:t>
      </w:r>
    </w:p>
  </w:footnote>
  <w:footnote w:id="535">
    <w:p w14:paraId="01B3B998"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Al-Ghazālī, </w:t>
      </w:r>
      <w:r w:rsidRPr="00F230F1">
        <w:rPr>
          <w:rFonts w:asciiTheme="majorBidi" w:eastAsia="Times New Roman" w:hAnsiTheme="majorBidi" w:cstheme="majorBidi"/>
          <w:i/>
          <w:iCs/>
          <w:sz w:val="20"/>
          <w:szCs w:val="20"/>
        </w:rPr>
        <w:t>Al-maq</w:t>
      </w:r>
      <w:r w:rsidRPr="00F230F1">
        <w:rPr>
          <w:rFonts w:asciiTheme="majorBidi" w:hAnsiTheme="majorBidi" w:cstheme="majorBidi"/>
          <w:i/>
          <w:iCs/>
          <w:sz w:val="20"/>
          <w:szCs w:val="20"/>
        </w:rPr>
        <w:t>ṣ</w:t>
      </w:r>
      <w:r w:rsidRPr="00F230F1">
        <w:rPr>
          <w:rFonts w:asciiTheme="majorBidi" w:eastAsia="Times New Roman" w:hAnsiTheme="majorBidi" w:cstheme="majorBidi"/>
          <w:i/>
          <w:iCs/>
          <w:sz w:val="20"/>
          <w:szCs w:val="20"/>
        </w:rPr>
        <w:t>ad al-asnā</w:t>
      </w:r>
      <w:r w:rsidRPr="00F230F1">
        <w:rPr>
          <w:rFonts w:asciiTheme="majorBidi"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61.</w:t>
      </w:r>
    </w:p>
  </w:footnote>
  <w:footnote w:id="536">
    <w:p w14:paraId="66E3A9A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Al-Bukhārī, 5988.</w:t>
      </w:r>
    </w:p>
  </w:footnote>
  <w:footnote w:id="537">
    <w:p w14:paraId="46EF3BD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Dans une communication intitulée : « Quand la parole de Dieu passe par la plume du traducteur » présentée au colloque international organisé les 11, 12 et 13 juillet 2008 par l’Université de Ştefan cel Mare, à Suceava en Roumanie sur le thème « La Traduction du langage religieux en tant que dialogue interculturel et interconfessionnel », Henri Awaiss (Directeur de l’Institut de Langues et de Traduction [ILT] et de l’École de Traducteurs et d’Interprètes de Beyrouth [ETIB], à l’Université Saint-Joseph) et Gina Abou Fadel Saad (professeur à l’ETIB), évoquent une double problématique lors de la traduction de la Bible en arabe : Utiliser le même niveau de langue que celui du Coran équivaudrait d’abord à toucher à l’intouchable, à copier, à plagier cette œuvre maîtresse qui se distingue par ce qu’on appelle </w:t>
      </w:r>
      <w:r w:rsidRPr="00F230F1">
        <w:rPr>
          <w:rFonts w:asciiTheme="majorBidi" w:hAnsiTheme="majorBidi" w:cstheme="majorBidi"/>
          <w:i/>
          <w:iCs/>
          <w:sz w:val="20"/>
          <w:szCs w:val="20"/>
        </w:rPr>
        <w:t>al-iʿjāz</w:t>
      </w:r>
      <w:r w:rsidRPr="00F230F1">
        <w:rPr>
          <w:rFonts w:asciiTheme="majorBidi" w:hAnsiTheme="majorBidi" w:cstheme="majorBidi"/>
          <w:sz w:val="20"/>
          <w:szCs w:val="20"/>
        </w:rPr>
        <w:t xml:space="preserve"> (l’inimitabilité), c.-à-d. le miracle de la parole divine révélée dans le Coran. Par ailleurs, utiliser des tournures, des rythmes, des assonances qui rappelleraient de près ou de loin la langue coranique risquerait de brouiller les frontières entre les deux textes sacrés et de semer, par le fait même, la confusion dans les esprits.</w:t>
      </w:r>
    </w:p>
  </w:footnote>
  <w:footnote w:id="538">
    <w:p w14:paraId="62D67F7D"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Ar-Rāzī, </w:t>
      </w:r>
      <w:r w:rsidRPr="00F230F1">
        <w:rPr>
          <w:rFonts w:asciiTheme="majorBidi" w:hAnsiTheme="majorBidi" w:cstheme="majorBidi"/>
          <w:i/>
          <w:iCs/>
          <w:sz w:val="20"/>
          <w:szCs w:val="20"/>
        </w:rPr>
        <w:t>Traité sur les noms Divins</w:t>
      </w:r>
      <w:r w:rsidRPr="00F230F1">
        <w:rPr>
          <w:rFonts w:asciiTheme="majorBidi" w:hAnsiTheme="majorBidi" w:cstheme="majorBidi"/>
          <w:sz w:val="20"/>
          <w:szCs w:val="20"/>
        </w:rPr>
        <w:t>, traduction depuis l’arabe : Maurice Glotto, Héritage spirituel, édition al-Burak (669 pages), pp. 211-258.</w:t>
      </w:r>
    </w:p>
  </w:footnote>
  <w:footnote w:id="539">
    <w:p w14:paraId="59E5D1F3"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Al-Ghazālī, </w:t>
      </w:r>
      <w:r w:rsidRPr="00F230F1">
        <w:rPr>
          <w:rFonts w:asciiTheme="majorBidi" w:eastAsia="Times New Roman" w:hAnsiTheme="majorBidi" w:cstheme="majorBidi"/>
          <w:i/>
          <w:iCs/>
          <w:sz w:val="20"/>
          <w:szCs w:val="20"/>
        </w:rPr>
        <w:t>Al-maq</w:t>
      </w:r>
      <w:r w:rsidRPr="00F230F1">
        <w:rPr>
          <w:rFonts w:asciiTheme="majorBidi" w:hAnsiTheme="majorBidi" w:cstheme="majorBidi"/>
          <w:i/>
          <w:iCs/>
          <w:sz w:val="20"/>
          <w:szCs w:val="20"/>
        </w:rPr>
        <w:t>ṣ</w:t>
      </w:r>
      <w:r w:rsidRPr="00F230F1">
        <w:rPr>
          <w:rFonts w:asciiTheme="majorBidi" w:eastAsia="Times New Roman" w:hAnsiTheme="majorBidi" w:cstheme="majorBidi"/>
          <w:i/>
          <w:iCs/>
          <w:sz w:val="20"/>
          <w:szCs w:val="20"/>
        </w:rPr>
        <w:t>ad al-asnā fī sharḥ ʾasm</w:t>
      </w:r>
      <w:r w:rsidRPr="00F230F1">
        <w:rPr>
          <w:rFonts w:asciiTheme="majorBidi" w:hAnsiTheme="majorBidi" w:cstheme="majorBidi"/>
          <w:i/>
          <w:iCs/>
          <w:sz w:val="20"/>
          <w:szCs w:val="20"/>
        </w:rPr>
        <w:t>āʾ Allāh al-ḥusnā</w:t>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Éditions Maktabat al-Qur</w:t>
      </w:r>
      <w:r w:rsidRPr="00F230F1">
        <w:rPr>
          <w:rFonts w:asciiTheme="majorBidi" w:hAnsiTheme="majorBidi" w:cstheme="majorBidi"/>
          <w:sz w:val="20"/>
          <w:szCs w:val="20"/>
        </w:rPr>
        <w:t>ʾ</w:t>
      </w:r>
      <w:r w:rsidRPr="00F230F1">
        <w:rPr>
          <w:rFonts w:asciiTheme="majorBidi" w:eastAsia="Times New Roman" w:hAnsiTheme="majorBidi" w:cstheme="majorBidi"/>
          <w:sz w:val="20"/>
          <w:szCs w:val="20"/>
        </w:rPr>
        <w:t xml:space="preserve">ān, Le Caire, 1984, p. 60. À propos du sens du terme </w:t>
      </w:r>
      <w:r w:rsidRPr="00F230F1">
        <w:rPr>
          <w:rFonts w:asciiTheme="majorBidi" w:eastAsia="Times New Roman" w:hAnsiTheme="majorBidi" w:cstheme="majorBidi"/>
          <w:i/>
          <w:iCs/>
          <w:sz w:val="20"/>
          <w:szCs w:val="20"/>
        </w:rPr>
        <w:t>Allāh</w:t>
      </w:r>
      <w:r w:rsidRPr="00F230F1">
        <w:rPr>
          <w:rFonts w:asciiTheme="majorBidi" w:eastAsia="Times New Roman" w:hAnsiTheme="majorBidi" w:cstheme="majorBidi"/>
          <w:sz w:val="20"/>
          <w:szCs w:val="20"/>
        </w:rPr>
        <w:t>, Al-Ghazālī souligne littéralement (p. 60) : « </w:t>
      </w:r>
      <w:r w:rsidRPr="00F230F1">
        <w:rPr>
          <w:rFonts w:asciiTheme="majorBidi" w:eastAsia="Times New Roman" w:hAnsiTheme="majorBidi" w:cstheme="majorBidi"/>
          <w:sz w:val="20"/>
          <w:szCs w:val="20"/>
          <w:rtl/>
        </w:rPr>
        <w:t>دالّ على الذات الجامعة للصفات الإلهية كلها</w:t>
      </w:r>
      <w:r w:rsidRPr="00F230F1">
        <w:rPr>
          <w:rFonts w:asciiTheme="majorBidi" w:eastAsia="Times New Roman" w:hAnsiTheme="majorBidi" w:cstheme="majorBidi"/>
          <w:sz w:val="20"/>
          <w:szCs w:val="20"/>
        </w:rPr>
        <w:t> » [Il désigne l’essence qui réunit tous les attributs divins].</w:t>
      </w:r>
    </w:p>
  </w:footnote>
  <w:footnote w:id="540">
    <w:p w14:paraId="60B43490" w14:textId="77777777" w:rsidR="009C3BB9" w:rsidRPr="00F230F1" w:rsidRDefault="009C3BB9" w:rsidP="00F230F1">
      <w:pPr>
        <w:pStyle w:val="Notedebasdepage"/>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w:t>
      </w:r>
    </w:p>
  </w:footnote>
  <w:footnote w:id="541">
    <w:p w14:paraId="7C51579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 xml:space="preserve">Le Qur’ān. Traduction du sens de ses Versets </w:t>
      </w:r>
      <w:r w:rsidRPr="00F230F1">
        <w:rPr>
          <w:rFonts w:asciiTheme="majorBidi" w:hAnsiTheme="majorBidi" w:cstheme="majorBidi"/>
          <w:sz w:val="20"/>
          <w:szCs w:val="20"/>
        </w:rPr>
        <w:t xml:space="preserve">par Zeinab Abdelaziz, Jamʿīyat Tablīgh al-ʾIslām, Alexandrie, </w:t>
      </w:r>
      <w:r w:rsidRPr="00F230F1">
        <w:rPr>
          <w:rFonts w:asciiTheme="majorBidi" w:hAnsiTheme="majorBidi" w:cstheme="majorBidi"/>
          <w:sz w:val="20"/>
          <w:szCs w:val="20"/>
          <w:lang w:eastAsia="fr-FR"/>
        </w:rPr>
        <w:t>2009, « Avant-propos », p. 20.</w:t>
      </w:r>
    </w:p>
  </w:footnote>
  <w:footnote w:id="542">
    <w:p w14:paraId="579B4A6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shd w:val="clear" w:color="auto" w:fill="FFFFFF"/>
          <w:lang w:bidi="ar-KW"/>
        </w:rPr>
        <w:t xml:space="preserve">Zeinab Abdelaziz souligne dans l’Avant-propos de sa traduction (p. 20) : </w:t>
      </w:r>
      <w:r w:rsidRPr="00F230F1">
        <w:rPr>
          <w:rFonts w:asciiTheme="majorBidi" w:hAnsiTheme="majorBidi" w:cstheme="majorBidi"/>
          <w:sz w:val="20"/>
          <w:szCs w:val="20"/>
        </w:rPr>
        <w:t>« Nous avons maintenu le nom d’« Allah » dans sa transcription phonétique arabe, et non pas « Dieu », car un nom propre ne se traduit pas mais on le transcrit. »</w:t>
      </w:r>
    </w:p>
  </w:footnote>
  <w:footnote w:id="543">
    <w:p w14:paraId="7B820A9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La traduction du Coran par Grosjean,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lang w:bidi="ar-AE"/>
        </w:rPr>
        <w:t xml:space="preserve">, « Note clé », p. CII. Grosjean souligne : « On a choisi, dans la présente traduction, de rendre </w:t>
      </w:r>
      <w:r w:rsidRPr="00F230F1">
        <w:rPr>
          <w:rFonts w:asciiTheme="majorBidi" w:eastAsia="Times New Roman" w:hAnsiTheme="majorBidi" w:cstheme="majorBidi"/>
          <w:i/>
          <w:iCs/>
          <w:sz w:val="20"/>
          <w:szCs w:val="20"/>
        </w:rPr>
        <w:t>ʾallāh</w:t>
      </w:r>
      <w:r w:rsidRPr="00F230F1">
        <w:rPr>
          <w:rFonts w:asciiTheme="majorBidi" w:eastAsia="Times New Roman" w:hAnsiTheme="majorBidi" w:cstheme="majorBidi"/>
          <w:sz w:val="20"/>
          <w:szCs w:val="20"/>
        </w:rPr>
        <w:t xml:space="preserve"> par « Dieu » parce que le Coran se présente lui-même comme une confirmation et un achèvement de la révélation monothéiste contenue dans la Tora et l’Évangile : le Dieu de l’Islam est considéré comme étant celui d’Abraham. D’autre part, les chrétiens arabes utilisent indifféremment dans leur liturgie et dans le langage courant, les formes : </w:t>
      </w:r>
      <w:r w:rsidRPr="00F230F1">
        <w:rPr>
          <w:rFonts w:asciiTheme="majorBidi" w:eastAsia="Times New Roman" w:hAnsiTheme="majorBidi" w:cstheme="majorBidi"/>
          <w:i/>
          <w:iCs/>
          <w:sz w:val="20"/>
          <w:szCs w:val="20"/>
        </w:rPr>
        <w:t>ʾilāh</w:t>
      </w:r>
      <w:r w:rsidRPr="00F230F1">
        <w:rPr>
          <w:rFonts w:asciiTheme="majorBidi" w:eastAsia="Times New Roman" w:hAnsiTheme="majorBidi" w:cstheme="majorBidi"/>
          <w:sz w:val="20"/>
          <w:szCs w:val="20"/>
        </w:rPr>
        <w:t xml:space="preserve"> et </w:t>
      </w:r>
      <w:r w:rsidRPr="00F230F1">
        <w:rPr>
          <w:rFonts w:asciiTheme="majorBidi" w:eastAsia="Times New Roman" w:hAnsiTheme="majorBidi" w:cstheme="majorBidi"/>
          <w:i/>
          <w:iCs/>
          <w:sz w:val="20"/>
          <w:szCs w:val="20"/>
        </w:rPr>
        <w:t>ʾallāh</w:t>
      </w:r>
      <w:r w:rsidRPr="00F230F1">
        <w:rPr>
          <w:rFonts w:asciiTheme="majorBidi" w:eastAsia="Times New Roman" w:hAnsiTheme="majorBidi" w:cstheme="majorBidi"/>
          <w:sz w:val="20"/>
          <w:szCs w:val="20"/>
        </w:rPr>
        <w:t>. »</w:t>
      </w:r>
    </w:p>
  </w:footnote>
  <w:footnote w:id="544">
    <w:p w14:paraId="46DD0D09"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w:t>
      </w:r>
      <w:r w:rsidRPr="00F230F1">
        <w:rPr>
          <w:rFonts w:asciiTheme="majorBidi" w:eastAsia="Calibri" w:hAnsiTheme="majorBidi" w:cstheme="majorBidi"/>
          <w:sz w:val="20"/>
          <w:szCs w:val="20"/>
          <w:lang w:bidi="ar-AE"/>
        </w:rPr>
        <w:t xml:space="preserve"> 57.</w:t>
      </w:r>
    </w:p>
  </w:footnote>
  <w:footnote w:id="545">
    <w:p w14:paraId="2949E58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i/>
          <w:iCs/>
          <w:sz w:val="20"/>
          <w:szCs w:val="20"/>
        </w:rPr>
        <w:t xml:space="preserve"> </w:t>
      </w:r>
      <w:r w:rsidRPr="00F230F1">
        <w:rPr>
          <w:rFonts w:asciiTheme="majorBidi" w:hAnsiTheme="majorBidi" w:cstheme="majorBidi"/>
          <w:sz w:val="20"/>
          <w:szCs w:val="20"/>
        </w:rPr>
        <w:t xml:space="preserve">R. Jacquemond, « Recherches sur la production littéraire arabe moderne et sur les mouvements de traduction contemporains de et vers l’arabe », </w:t>
      </w:r>
      <w:r w:rsidRPr="00F230F1">
        <w:rPr>
          <w:rFonts w:asciiTheme="majorBidi" w:hAnsiTheme="majorBidi" w:cstheme="majorBidi"/>
          <w:i/>
          <w:iCs/>
          <w:sz w:val="20"/>
          <w:szCs w:val="20"/>
        </w:rPr>
        <w:t>op. cit</w:t>
      </w:r>
      <w:r w:rsidRPr="00F230F1">
        <w:rPr>
          <w:rFonts w:asciiTheme="majorBidi" w:hAnsiTheme="majorBidi" w:cstheme="majorBidi"/>
          <w:sz w:val="20"/>
          <w:szCs w:val="20"/>
        </w:rPr>
        <w:t>., p. 46.</w:t>
      </w:r>
    </w:p>
  </w:footnote>
  <w:footnote w:id="546">
    <w:p w14:paraId="12F6CB3A"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Moncef Chelli, </w:t>
      </w:r>
      <w:r w:rsidRPr="00F230F1">
        <w:rPr>
          <w:rFonts w:asciiTheme="majorBidi" w:eastAsia="Times New Roman" w:hAnsiTheme="majorBidi" w:cstheme="majorBidi"/>
          <w:i/>
          <w:iCs/>
          <w:sz w:val="20"/>
          <w:szCs w:val="20"/>
        </w:rPr>
        <w:t>La parole arabe, op. cit</w:t>
      </w:r>
      <w:r w:rsidRPr="00F230F1">
        <w:rPr>
          <w:rFonts w:asciiTheme="majorBidi" w:eastAsia="Times New Roman" w:hAnsiTheme="majorBidi" w:cstheme="majorBidi"/>
          <w:sz w:val="20"/>
          <w:szCs w:val="20"/>
        </w:rPr>
        <w:t>.</w:t>
      </w:r>
    </w:p>
  </w:footnote>
  <w:footnote w:id="547">
    <w:p w14:paraId="20DF347B"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Al-Bāshā, </w:t>
      </w:r>
      <w:r w:rsidRPr="00F230F1">
        <w:rPr>
          <w:rFonts w:asciiTheme="majorBidi" w:hAnsiTheme="majorBidi" w:cstheme="majorBidi"/>
          <w:i/>
          <w:iCs/>
          <w:sz w:val="20"/>
          <w:szCs w:val="20"/>
          <w:lang w:bidi="ar-AE"/>
        </w:rPr>
        <w:t>At-taqammuṣ…</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w:t>
      </w:r>
      <w:r w:rsidRPr="00F230F1">
        <w:rPr>
          <w:rFonts w:asciiTheme="majorBidi" w:hAnsiTheme="majorBidi" w:cstheme="majorBidi"/>
          <w:sz w:val="20"/>
          <w:szCs w:val="20"/>
          <w:lang w:bidi="ar-AE"/>
        </w:rPr>
        <w:t xml:space="preserve">Al-Ḥarīrī, </w:t>
      </w:r>
      <w:r w:rsidRPr="00F230F1">
        <w:rPr>
          <w:rFonts w:asciiTheme="majorBidi" w:hAnsiTheme="majorBidi" w:cstheme="majorBidi"/>
          <w:i/>
          <w:iCs/>
          <w:sz w:val="20"/>
          <w:szCs w:val="20"/>
          <w:lang w:bidi="ar-AE"/>
        </w:rPr>
        <w:t>ʾAl-ʿAlawyīūn an-Nuṣayryīūn</w:t>
      </w:r>
      <w:r w:rsidRPr="00F230F1">
        <w:rPr>
          <w:rFonts w:asciiTheme="majorBidi" w:hAnsiTheme="majorBidi" w:cstheme="majorBidi"/>
          <w:sz w:val="20"/>
          <w:szCs w:val="20"/>
          <w:lang w:bidi="ar-AE"/>
        </w:rPr>
        <w:t xml:space="preserve">, </w:t>
      </w:r>
      <w:r w:rsidRPr="00F230F1">
        <w:rPr>
          <w:rFonts w:asciiTheme="majorBidi" w:hAnsiTheme="majorBidi" w:cstheme="majorBidi"/>
          <w:i/>
          <w:iCs/>
          <w:sz w:val="20"/>
          <w:szCs w:val="20"/>
          <w:lang w:bidi="ar-AE"/>
        </w:rPr>
        <w:t>op. cit</w:t>
      </w:r>
      <w:r w:rsidRPr="00F230F1">
        <w:rPr>
          <w:rFonts w:asciiTheme="majorBidi" w:hAnsiTheme="majorBidi" w:cstheme="majorBidi"/>
          <w:sz w:val="20"/>
          <w:szCs w:val="20"/>
        </w:rPr>
        <w:t>.</w:t>
      </w:r>
    </w:p>
  </w:footnote>
  <w:footnote w:id="548">
    <w:p w14:paraId="2DED264E" w14:textId="77777777" w:rsidR="009C3BB9" w:rsidRPr="00F230F1" w:rsidRDefault="009C3BB9" w:rsidP="00F230F1">
      <w:pPr>
        <w:pStyle w:val="Titre1"/>
        <w:spacing w:before="0" w:beforeAutospacing="0" w:after="0" w:afterAutospacing="0"/>
        <w:contextualSpacing/>
        <w:jc w:val="both"/>
        <w:textAlignment w:val="baseline"/>
        <w:rPr>
          <w:rFonts w:asciiTheme="majorBidi" w:hAnsiTheme="majorBidi" w:cstheme="majorBidi"/>
          <w:b w:val="0"/>
          <w:bCs w:val="0"/>
          <w:sz w:val="20"/>
          <w:szCs w:val="20"/>
          <w:lang w:eastAsia="fr-FR"/>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b w:val="0"/>
          <w:bCs w:val="0"/>
          <w:i/>
          <w:iCs/>
          <w:sz w:val="20"/>
          <w:szCs w:val="20"/>
        </w:rPr>
        <w:t>Le Noble Coran… par Chiadmi</w:t>
      </w:r>
      <w:r w:rsidRPr="00F230F1">
        <w:rPr>
          <w:rFonts w:asciiTheme="majorBidi" w:hAnsiTheme="majorBidi" w:cstheme="majorBidi"/>
          <w:b w:val="0"/>
          <w:bCs w:val="0"/>
          <w:sz w:val="20"/>
          <w:szCs w:val="20"/>
        </w:rPr>
        <w:t xml:space="preserve">, </w:t>
      </w:r>
      <w:r w:rsidRPr="00F230F1">
        <w:rPr>
          <w:rFonts w:asciiTheme="majorBidi" w:hAnsiTheme="majorBidi" w:cstheme="majorBidi"/>
          <w:b w:val="0"/>
          <w:bCs w:val="0"/>
          <w:i/>
          <w:iCs/>
          <w:sz w:val="20"/>
          <w:szCs w:val="20"/>
        </w:rPr>
        <w:t>op. cit.</w:t>
      </w:r>
      <w:r w:rsidRPr="00F230F1">
        <w:rPr>
          <w:rFonts w:asciiTheme="majorBidi" w:hAnsiTheme="majorBidi" w:cstheme="majorBidi"/>
          <w:b w:val="0"/>
          <w:bCs w:val="0"/>
          <w:sz w:val="20"/>
          <w:szCs w:val="20"/>
        </w:rPr>
        <w:t>, « Universaliser le Message. Préface de Shaykh Zakaria Seddiki », pp. XIII &amp; IX.</w:t>
      </w:r>
    </w:p>
  </w:footnote>
  <w:footnote w:id="549">
    <w:p w14:paraId="7DE34D1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Du Ryer a fait une </w:t>
      </w:r>
      <w:r w:rsidRPr="00F230F1">
        <w:rPr>
          <w:rFonts w:asciiTheme="majorBidi" w:eastAsia="Times New Roman" w:hAnsiTheme="majorBidi" w:cstheme="majorBidi"/>
          <w:sz w:val="20"/>
          <w:szCs w:val="20"/>
        </w:rPr>
        <w:t xml:space="preserve">erreur : </w:t>
      </w:r>
      <w:r w:rsidRPr="00F230F1">
        <w:rPr>
          <w:rFonts w:asciiTheme="majorBidi" w:hAnsiTheme="majorBidi" w:cstheme="majorBidi"/>
          <w:sz w:val="20"/>
          <w:szCs w:val="20"/>
        </w:rPr>
        <w:t>il a confondu</w:t>
      </w:r>
      <w:r w:rsidRPr="00F230F1">
        <w:rPr>
          <w:rFonts w:asciiTheme="majorBidi" w:eastAsia="Times New Roman" w:hAnsiTheme="majorBidi" w:cstheme="majorBidi"/>
          <w:sz w:val="20"/>
          <w:szCs w:val="20"/>
        </w:rPr>
        <w:t xml:space="preserve"> entre le verbe simple au passif passé à la 3</w:t>
      </w:r>
      <w:r w:rsidRPr="00F230F1">
        <w:rPr>
          <w:rFonts w:asciiTheme="majorBidi" w:eastAsia="Times New Roman" w:hAnsiTheme="majorBidi" w:cstheme="majorBidi"/>
          <w:sz w:val="20"/>
          <w:szCs w:val="20"/>
          <w:vertAlign w:val="superscript"/>
        </w:rPr>
        <w:t>ème</w:t>
      </w:r>
      <w:r w:rsidRPr="00F230F1">
        <w:rPr>
          <w:rFonts w:asciiTheme="majorBidi" w:eastAsia="Times New Roman" w:hAnsiTheme="majorBidi" w:cstheme="majorBidi"/>
          <w:sz w:val="20"/>
          <w:szCs w:val="20"/>
        </w:rPr>
        <w:t xml:space="preserve"> pers. </w:t>
      </w:r>
      <w:r w:rsidRPr="00F230F1">
        <w:rPr>
          <w:rFonts w:asciiTheme="majorBidi" w:hAnsiTheme="majorBidi" w:cstheme="majorBidi"/>
          <w:sz w:val="20"/>
          <w:szCs w:val="20"/>
        </w:rPr>
        <w:t xml:space="preserve">du </w:t>
      </w:r>
      <w:r w:rsidRPr="00F230F1">
        <w:rPr>
          <w:rFonts w:asciiTheme="majorBidi" w:eastAsia="Times New Roman" w:hAnsiTheme="majorBidi" w:cstheme="majorBidi"/>
          <w:sz w:val="20"/>
          <w:szCs w:val="20"/>
        </w:rPr>
        <w:t>singulier « </w:t>
      </w:r>
      <w:r w:rsidRPr="00F230F1">
        <w:rPr>
          <w:rFonts w:asciiTheme="majorBidi" w:eastAsia="Times New Roman" w:hAnsiTheme="majorBidi" w:cstheme="majorBidi"/>
          <w:i/>
          <w:iCs/>
          <w:sz w:val="20"/>
          <w:szCs w:val="20"/>
        </w:rPr>
        <w:t>ʾUdhina</w:t>
      </w:r>
      <w:r w:rsidRPr="00F230F1">
        <w:rPr>
          <w:rFonts w:asciiTheme="majorBidi" w:eastAsia="Times New Roman" w:hAnsiTheme="majorBidi" w:cstheme="majorBidi"/>
          <w:sz w:val="20"/>
          <w:szCs w:val="20"/>
        </w:rPr>
        <w:t> »</w:t>
      </w:r>
      <w:r w:rsidRPr="00F230F1">
        <w:rPr>
          <w:rFonts w:asciiTheme="majorBidi" w:hAnsiTheme="majorBidi" w:cstheme="majorBidi"/>
          <w:sz w:val="20"/>
          <w:szCs w:val="20"/>
        </w:rPr>
        <w:t xml:space="preserve"> (</w:t>
      </w:r>
      <w:r w:rsidRPr="00F230F1">
        <w:rPr>
          <w:rFonts w:asciiTheme="majorBidi" w:hAnsiTheme="majorBidi" w:cstheme="majorBidi"/>
          <w:sz w:val="20"/>
          <w:szCs w:val="20"/>
          <w:rtl/>
        </w:rPr>
        <w:t>أُذِنَ</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il est permis</w:t>
      </w:r>
      <w:r w:rsidRPr="00F230F1">
        <w:rPr>
          <w:rFonts w:asciiTheme="majorBidi" w:hAnsiTheme="majorBidi" w:cstheme="majorBidi"/>
          <w:sz w:val="20"/>
          <w:szCs w:val="20"/>
        </w:rPr>
        <w:t xml:space="preserve">] et le verbe augmenté redoublé à l’impératif du singulier masc. </w:t>
      </w:r>
      <w:r w:rsidRPr="00F230F1">
        <w:rPr>
          <w:rFonts w:asciiTheme="majorBidi" w:eastAsia="Times New Roman" w:hAnsiTheme="majorBidi" w:cstheme="majorBidi"/>
          <w:sz w:val="20"/>
          <w:szCs w:val="20"/>
        </w:rPr>
        <w:t>« </w:t>
      </w:r>
      <w:r w:rsidRPr="00F230F1">
        <w:rPr>
          <w:rFonts w:asciiTheme="majorBidi" w:eastAsia="Times New Roman" w:hAnsiTheme="majorBidi" w:cstheme="majorBidi"/>
          <w:i/>
          <w:iCs/>
          <w:sz w:val="20"/>
          <w:szCs w:val="20"/>
        </w:rPr>
        <w:t>ʾadhdhin</w:t>
      </w:r>
      <w:r w:rsidRPr="00F230F1">
        <w:rPr>
          <w:rFonts w:asciiTheme="majorBidi" w:eastAsia="Times New Roman" w:hAnsiTheme="majorBidi" w:cstheme="majorBidi"/>
          <w:sz w:val="20"/>
          <w:szCs w:val="20"/>
        </w:rPr>
        <w:t> »</w:t>
      </w:r>
      <w:r w:rsidRPr="00F230F1">
        <w:rPr>
          <w:rFonts w:asciiTheme="majorBidi" w:hAnsiTheme="majorBidi" w:cstheme="majorBidi"/>
          <w:sz w:val="20"/>
          <w:szCs w:val="20"/>
        </w:rPr>
        <w:t xml:space="preserve"> (</w:t>
      </w:r>
      <w:r w:rsidRPr="00F230F1">
        <w:rPr>
          <w:rFonts w:asciiTheme="majorBidi" w:hAnsiTheme="majorBidi" w:cstheme="majorBidi"/>
          <w:sz w:val="20"/>
          <w:szCs w:val="20"/>
          <w:rtl/>
        </w:rPr>
        <w:t>أَذِّنْ</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annonce !</w:t>
      </w:r>
      <w:r w:rsidRPr="00F230F1">
        <w:rPr>
          <w:rFonts w:asciiTheme="majorBidi" w:hAnsiTheme="majorBidi" w:cstheme="majorBidi"/>
          <w:sz w:val="20"/>
          <w:szCs w:val="20"/>
        </w:rPr>
        <w:t>]. Cette erreur est probablement due au fait que le texte d’origine aurait été écrit sans vocalisation, ce qui veut dire que les deux verbes s’écrivent exactement de la même manière.</w:t>
      </w:r>
    </w:p>
  </w:footnote>
  <w:footnote w:id="550">
    <w:p w14:paraId="14111B2A"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61.</w:t>
      </w:r>
    </w:p>
  </w:footnote>
  <w:footnote w:id="551">
    <w:p w14:paraId="6F4BC989"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Coran utilise le nom </w:t>
      </w:r>
      <w:r w:rsidRPr="00F230F1">
        <w:rPr>
          <w:rFonts w:asciiTheme="majorBidi" w:hAnsiTheme="majorBidi" w:cstheme="majorBidi"/>
          <w:i/>
          <w:iCs/>
          <w:sz w:val="20"/>
          <w:szCs w:val="20"/>
        </w:rPr>
        <w:t>ṭawr</w:t>
      </w:r>
      <w:r w:rsidRPr="00F230F1">
        <w:rPr>
          <w:rFonts w:asciiTheme="majorBidi" w:hAnsiTheme="majorBidi" w:cstheme="majorBidi"/>
          <w:sz w:val="20"/>
          <w:szCs w:val="20"/>
        </w:rPr>
        <w:t xml:space="preserve"> [phase] (pl. </w:t>
      </w:r>
      <w:r w:rsidRPr="00F230F1">
        <w:rPr>
          <w:rFonts w:asciiTheme="majorBidi" w:hAnsiTheme="majorBidi" w:cstheme="majorBidi"/>
          <w:i/>
          <w:iCs/>
          <w:sz w:val="20"/>
          <w:szCs w:val="20"/>
        </w:rPr>
        <w:t>aṭwar</w:t>
      </w:r>
      <w:r w:rsidRPr="00F230F1">
        <w:rPr>
          <w:rFonts w:asciiTheme="majorBidi" w:hAnsiTheme="majorBidi" w:cstheme="majorBidi"/>
          <w:sz w:val="20"/>
          <w:szCs w:val="20"/>
        </w:rPr>
        <w:t>) pour parler de la création de l’être humain : (« </w:t>
      </w:r>
      <w:r w:rsidRPr="00F230F1">
        <w:rPr>
          <w:rFonts w:asciiTheme="majorBidi" w:hAnsiTheme="majorBidi" w:cstheme="majorBidi"/>
          <w:sz w:val="20"/>
          <w:szCs w:val="20"/>
          <w:rtl/>
        </w:rPr>
        <w:t xml:space="preserve">وقد خَلَقَكم أطوارًا </w:t>
      </w:r>
      <w:r w:rsidRPr="00F230F1">
        <w:rPr>
          <w:rFonts w:asciiTheme="majorBidi" w:hAnsiTheme="majorBidi" w:cstheme="majorBidi"/>
          <w:sz w:val="20"/>
          <w:szCs w:val="20"/>
        </w:rPr>
        <w:t>») [« Lui qui vous a créés par phases »] (LXXI, 14).</w:t>
      </w:r>
    </w:p>
  </w:footnote>
  <w:footnote w:id="552">
    <w:p w14:paraId="497F7E36" w14:textId="77777777" w:rsidR="009C3BB9" w:rsidRPr="00F230F1" w:rsidRDefault="009C3BB9" w:rsidP="00F230F1">
      <w:pPr>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Coran utilise le verbe </w:t>
      </w:r>
      <w:r w:rsidRPr="00F230F1">
        <w:rPr>
          <w:rFonts w:asciiTheme="majorBidi" w:eastAsia="Times New Roman" w:hAnsiTheme="majorBidi" w:cstheme="majorBidi"/>
          <w:i/>
          <w:iCs/>
          <w:sz w:val="20"/>
          <w:szCs w:val="20"/>
          <w:lang w:bidi="ar-AE"/>
        </w:rPr>
        <w:t>anbata</w:t>
      </w:r>
      <w:r w:rsidRPr="00F230F1">
        <w:rPr>
          <w:rFonts w:asciiTheme="majorBidi" w:eastAsia="Times New Roman" w:hAnsiTheme="majorBidi" w:cstheme="majorBidi"/>
          <w:sz w:val="20"/>
          <w:szCs w:val="20"/>
          <w:lang w:bidi="ar-AE"/>
        </w:rPr>
        <w:t xml:space="preserve"> dans le sens de « créer » : </w:t>
      </w:r>
      <w:r w:rsidRPr="00F230F1">
        <w:rPr>
          <w:rFonts w:asciiTheme="majorBidi" w:eastAsia="Times New Roman" w:hAnsiTheme="majorBidi" w:cstheme="majorBidi"/>
          <w:sz w:val="20"/>
          <w:szCs w:val="20"/>
          <w:rtl/>
          <w:lang w:bidi="ar-AE"/>
        </w:rPr>
        <w:t>"</w:t>
      </w:r>
      <w:r w:rsidRPr="00F230F1">
        <w:rPr>
          <w:rFonts w:asciiTheme="majorBidi" w:hAnsiTheme="majorBidi" w:cstheme="majorBidi"/>
          <w:sz w:val="20"/>
          <w:szCs w:val="20"/>
          <w:rtl/>
        </w:rPr>
        <w:t>واللَّهُ أَنبَتَكم من الأرض نَباتًا"</w:t>
      </w:r>
      <w:r w:rsidRPr="00F230F1">
        <w:rPr>
          <w:rFonts w:asciiTheme="majorBidi" w:hAnsiTheme="majorBidi" w:cstheme="majorBidi"/>
          <w:sz w:val="20"/>
          <w:szCs w:val="20"/>
        </w:rPr>
        <w:t xml:space="preserve"> [« Dieu qui de la terre vous fait pousser comme des plantes »] (LXXI, 17). Puis il souligne dans le verset suivant cette périodicité de création : </w:t>
      </w:r>
      <w:r w:rsidRPr="00F230F1">
        <w:rPr>
          <w:rFonts w:asciiTheme="majorBidi" w:hAnsiTheme="majorBidi" w:cstheme="majorBidi"/>
          <w:sz w:val="20"/>
          <w:szCs w:val="20"/>
          <w:rtl/>
        </w:rPr>
        <w:t>"ثم يُعيدُكم فيها ويُخرِجُكم إخراجًا"</w:t>
      </w:r>
      <w:r w:rsidRPr="00F230F1">
        <w:rPr>
          <w:rFonts w:asciiTheme="majorBidi" w:hAnsiTheme="majorBidi" w:cstheme="majorBidi"/>
          <w:sz w:val="20"/>
          <w:szCs w:val="20"/>
        </w:rPr>
        <w:t xml:space="preserve"> [« Et qu’ensuite Il vous y Fait retourner, et vous Fait sortir une vraie sortie » (trad. Abdelaziz)] (LXXI, 18).</w:t>
      </w:r>
    </w:p>
  </w:footnote>
  <w:footnote w:id="553">
    <w:p w14:paraId="3B19B7C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Dans une note de bas de page, Malek Chebel souligne : « Toute la "science" embryologique est déclinée dans ce verset. En effet, plusieurs étapes cruciales de la fécondation et de la grossesse humaine y sont exposées, dans une succession étonnamment précise. » (</w:t>
      </w:r>
      <w:r w:rsidRPr="00F230F1">
        <w:rPr>
          <w:rFonts w:asciiTheme="majorBidi" w:hAnsiTheme="majorBidi" w:cstheme="majorBidi"/>
          <w:i/>
          <w:iCs/>
          <w:sz w:val="20"/>
          <w:szCs w:val="20"/>
        </w:rPr>
        <w:t>Le Coran. Nouvelle traduction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de Malek Chebel</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Fayard, 2009, p. 340</w:t>
      </w:r>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 xml:space="preserve">[dans la version électronique en ligne p. 271, </w:t>
      </w:r>
      <w:hyperlink r:id="rId172" w:history="1">
        <w:r w:rsidRPr="00F230F1">
          <w:rPr>
            <w:rStyle w:val="Lienhypertexte"/>
            <w:rFonts w:asciiTheme="majorBidi" w:hAnsiTheme="majorBidi" w:cstheme="majorBidi"/>
            <w:sz w:val="20"/>
            <w:szCs w:val="20"/>
          </w:rPr>
          <w:t>http://www.lenoblecoran.fr/malek-chebel/</w:t>
        </w:r>
      </w:hyperlink>
      <w:r w:rsidRPr="00F230F1">
        <w:rPr>
          <w:rFonts w:asciiTheme="majorBidi" w:hAnsiTheme="majorBidi" w:cstheme="majorBidi"/>
          <w:sz w:val="20"/>
          <w:szCs w:val="20"/>
        </w:rPr>
        <w:t>]).</w:t>
      </w:r>
    </w:p>
  </w:footnote>
  <w:footnote w:id="554">
    <w:p w14:paraId="64AB54A8" w14:textId="77777777" w:rsidR="009C3BB9" w:rsidRPr="00F230F1" w:rsidRDefault="009C3BB9" w:rsidP="00F230F1">
      <w:pPr>
        <w:widowControl w:val="0"/>
        <w:autoSpaceDE w:val="0"/>
        <w:autoSpaceDN w:val="0"/>
        <w:adjustRightInd w:val="0"/>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Dominique Rougé, « Introduction à l’œuvre théorique d’Antoine Berman… », </w:t>
      </w:r>
      <w:r w:rsidRPr="00F230F1">
        <w:rPr>
          <w:rFonts w:asciiTheme="majorBidi" w:hAnsiTheme="majorBidi" w:cstheme="majorBidi"/>
          <w:i/>
          <w:iCs/>
          <w:sz w:val="20"/>
          <w:szCs w:val="20"/>
        </w:rPr>
        <w:t>op. cit.</w:t>
      </w:r>
      <w:r w:rsidRPr="00F230F1">
        <w:rPr>
          <w:rFonts w:asciiTheme="majorBidi" w:hAnsiTheme="majorBidi" w:cstheme="majorBidi"/>
          <w:sz w:val="20"/>
          <w:szCs w:val="20"/>
        </w:rPr>
        <w:t>, p. 13.</w:t>
      </w:r>
    </w:p>
  </w:footnote>
  <w:footnote w:id="555">
    <w:p w14:paraId="1BDBA04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 Coran. Nouvelle traduction</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de Malek Chebel</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340.</w:t>
      </w:r>
    </w:p>
  </w:footnote>
  <w:footnote w:id="556">
    <w:p w14:paraId="53A179B2" w14:textId="77777777" w:rsidR="009C3BB9" w:rsidRPr="00F230F1" w:rsidRDefault="009C3BB9" w:rsidP="00F230F1">
      <w:pPr>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Les théologiens et linguistes musulmans modernes s’intéressent à l’ordre des mots dans le Coran. L’irakien Fā</w:t>
      </w:r>
      <w:r w:rsidRPr="00F230F1">
        <w:rPr>
          <w:rFonts w:asciiTheme="majorBidi" w:eastAsia="Times New Roman" w:hAnsiTheme="majorBidi" w:cstheme="majorBidi"/>
          <w:sz w:val="20"/>
          <w:szCs w:val="20"/>
        </w:rPr>
        <w:t xml:space="preserve">ḍil as-Sāmurrāʾī (né en 1933), professeur de grammaire et d’expression coranique à l’Université de Bagdad et à l’Université de Sharjah, a consacré deux ouvrages à l’étude des mots dans le Coran : </w:t>
      </w:r>
      <w:r w:rsidRPr="00F230F1">
        <w:rPr>
          <w:rFonts w:asciiTheme="majorBidi" w:eastAsia="Times New Roman" w:hAnsiTheme="majorBidi" w:cstheme="majorBidi"/>
          <w:i/>
          <w:iCs/>
          <w:sz w:val="20"/>
          <w:szCs w:val="20"/>
        </w:rPr>
        <w:t>Balāghat al-kalima fī t-taʿbīr al-qurʾānī</w:t>
      </w:r>
      <w:r w:rsidRPr="00F230F1">
        <w:rPr>
          <w:rFonts w:asciiTheme="majorBidi" w:eastAsia="Times New Roman" w:hAnsiTheme="majorBidi" w:cstheme="majorBidi"/>
          <w:sz w:val="20"/>
          <w:szCs w:val="20"/>
        </w:rPr>
        <w:t xml:space="preserve"> [La rhétorique du mot dans l’expression coranique], Sharikat al-ʿĀtik pour l’industrie du livre, le Caire, deuxième édition, 2006 ; </w:t>
      </w:r>
      <w:r w:rsidRPr="00F230F1">
        <w:rPr>
          <w:rFonts w:asciiTheme="majorBidi" w:eastAsia="Times New Roman" w:hAnsiTheme="majorBidi" w:cstheme="majorBidi"/>
          <w:i/>
          <w:iCs/>
          <w:sz w:val="20"/>
          <w:szCs w:val="20"/>
        </w:rPr>
        <w:t>At-taʿbīr al-qurʾānī</w:t>
      </w:r>
      <w:r w:rsidRPr="00F230F1">
        <w:rPr>
          <w:rFonts w:asciiTheme="majorBidi" w:eastAsia="Times New Roman" w:hAnsiTheme="majorBidi" w:cstheme="majorBidi"/>
          <w:sz w:val="20"/>
          <w:szCs w:val="20"/>
        </w:rPr>
        <w:t xml:space="preserve"> [L’expression coranique], Dār ʿAmmār, Amman, quatrième édition, 2006. L’ordre des mots est aussi considéré comme inimitable. </w:t>
      </w:r>
      <w:r w:rsidRPr="00F230F1">
        <w:rPr>
          <w:rFonts w:asciiTheme="majorBidi" w:hAnsiTheme="majorBidi" w:cstheme="majorBidi"/>
          <w:sz w:val="20"/>
          <w:szCs w:val="20"/>
        </w:rPr>
        <w:t>Al-Khaṭṭābī (931-998) souligne que l’</w:t>
      </w:r>
      <w:r w:rsidRPr="00F230F1">
        <w:rPr>
          <w:rFonts w:asciiTheme="majorBidi" w:hAnsiTheme="majorBidi" w:cstheme="majorBidi"/>
          <w:i/>
          <w:iCs/>
          <w:sz w:val="20"/>
          <w:szCs w:val="20"/>
        </w:rPr>
        <w:t>iʿjāz</w:t>
      </w:r>
      <w:r w:rsidRPr="00F230F1">
        <w:rPr>
          <w:rFonts w:asciiTheme="majorBidi" w:hAnsiTheme="majorBidi" w:cstheme="majorBidi"/>
          <w:sz w:val="20"/>
          <w:szCs w:val="20"/>
        </w:rPr>
        <w:t xml:space="preserve"> [l’inimitabilité] est à la fois linguistique et psychologique. </w:t>
      </w:r>
      <w:r w:rsidRPr="00F230F1">
        <w:rPr>
          <w:rFonts w:asciiTheme="majorBidi" w:hAnsiTheme="majorBidi" w:cstheme="majorBidi"/>
          <w:b/>
          <w:bCs/>
          <w:sz w:val="20"/>
          <w:szCs w:val="20"/>
        </w:rPr>
        <w:t xml:space="preserve">L’agencement des mots dans les phrases et le style font donc partie de l’iʿjāz. </w:t>
      </w:r>
      <w:r w:rsidRPr="00F230F1">
        <w:rPr>
          <w:rFonts w:asciiTheme="majorBidi" w:hAnsiTheme="majorBidi" w:cstheme="majorBidi"/>
          <w:sz w:val="20"/>
          <w:szCs w:val="20"/>
        </w:rPr>
        <w:t>Qui plus est, l’effet psychologique sur l’âme du musulman fait partie de l’</w:t>
      </w:r>
      <w:r w:rsidRPr="00F230F1">
        <w:rPr>
          <w:rFonts w:asciiTheme="majorBidi" w:hAnsiTheme="majorBidi" w:cstheme="majorBidi"/>
          <w:i/>
          <w:iCs/>
          <w:sz w:val="20"/>
          <w:szCs w:val="20"/>
        </w:rPr>
        <w:t>iʿjāz</w:t>
      </w:r>
      <w:r w:rsidRPr="00F230F1">
        <w:rPr>
          <w:rFonts w:asciiTheme="majorBidi" w:hAnsiTheme="majorBidi" w:cstheme="majorBidi"/>
          <w:sz w:val="20"/>
          <w:szCs w:val="20"/>
        </w:rPr>
        <w:t>. La forme, le fond et l’effet affectif font partie intégrante de l’</w:t>
      </w:r>
      <w:r w:rsidRPr="00F230F1">
        <w:rPr>
          <w:rFonts w:asciiTheme="majorBidi" w:hAnsiTheme="majorBidi" w:cstheme="majorBidi"/>
          <w:i/>
          <w:iCs/>
          <w:sz w:val="20"/>
          <w:szCs w:val="20"/>
        </w:rPr>
        <w:t>iʿjāz</w:t>
      </w:r>
      <w:r w:rsidRPr="00F230F1">
        <w:rPr>
          <w:rFonts w:asciiTheme="majorBidi" w:hAnsiTheme="majorBidi" w:cstheme="majorBidi"/>
          <w:sz w:val="20"/>
          <w:szCs w:val="20"/>
        </w:rPr>
        <w:t>. (</w:t>
      </w:r>
      <w:r w:rsidRPr="00F230F1">
        <w:rPr>
          <w:rFonts w:asciiTheme="majorBidi" w:hAnsiTheme="majorBidi" w:cstheme="majorBidi"/>
          <w:i/>
          <w:iCs/>
          <w:sz w:val="20"/>
          <w:szCs w:val="20"/>
        </w:rPr>
        <w:t>Cf.</w:t>
      </w:r>
      <w:r w:rsidRPr="00F230F1">
        <w:rPr>
          <w:rFonts w:asciiTheme="majorBidi" w:hAnsiTheme="majorBidi" w:cstheme="majorBidi"/>
          <w:sz w:val="20"/>
          <w:szCs w:val="20"/>
        </w:rPr>
        <w:t xml:space="preserve"> Abbas Arhila [</w:t>
      </w:r>
      <w:r w:rsidRPr="00F230F1">
        <w:rPr>
          <w:rFonts w:asciiTheme="majorBidi" w:eastAsia="Times New Roman" w:hAnsiTheme="majorBidi" w:cstheme="majorBidi"/>
          <w:sz w:val="20"/>
          <w:szCs w:val="20"/>
        </w:rPr>
        <w:t>ʿAbbās Arḥīla</w:t>
      </w:r>
      <w:r w:rsidRPr="00F230F1">
        <w:rPr>
          <w:rFonts w:asciiTheme="majorBidi" w:hAnsiTheme="majorBidi" w:cstheme="majorBidi"/>
          <w:sz w:val="20"/>
          <w:szCs w:val="20"/>
        </w:rPr>
        <w:t>], « </w:t>
      </w:r>
      <w:r w:rsidRPr="00F230F1">
        <w:rPr>
          <w:rFonts w:asciiTheme="majorBidi" w:hAnsiTheme="majorBidi" w:cstheme="majorBidi"/>
          <w:i/>
          <w:iCs/>
          <w:sz w:val="20"/>
          <w:szCs w:val="20"/>
        </w:rPr>
        <w:t>Bayān iʿjāz al-qurʾān wa-ittijāh ahl l-ḥadīth </w:t>
      </w:r>
      <w:r w:rsidRPr="00F230F1">
        <w:rPr>
          <w:rFonts w:asciiTheme="majorBidi" w:hAnsiTheme="majorBidi" w:cstheme="majorBidi"/>
          <w:sz w:val="20"/>
          <w:szCs w:val="20"/>
        </w:rPr>
        <w:t xml:space="preserve">», Revue </w:t>
      </w:r>
      <w:r w:rsidRPr="00F230F1">
        <w:rPr>
          <w:rFonts w:asciiTheme="majorBidi" w:hAnsiTheme="majorBidi" w:cstheme="majorBidi"/>
          <w:i/>
          <w:iCs/>
          <w:sz w:val="20"/>
          <w:szCs w:val="20"/>
        </w:rPr>
        <w:t>Manār al-Islām</w:t>
      </w:r>
      <w:r w:rsidRPr="00F230F1">
        <w:rPr>
          <w:rFonts w:asciiTheme="majorBidi" w:hAnsiTheme="majorBidi" w:cstheme="majorBidi"/>
          <w:sz w:val="20"/>
          <w:szCs w:val="20"/>
        </w:rPr>
        <w:t>, n° 2, année 12, octobre 1986, pp. 16 – 27, Émirats arabes unis. Ce même article est publié dans le site web de l’intellectuel marocain Dr. Abbas Arhila [</w:t>
      </w:r>
      <w:hyperlink r:id="rId173" w:history="1">
        <w:r w:rsidRPr="00F230F1">
          <w:rPr>
            <w:rStyle w:val="Lienhypertexte"/>
            <w:rFonts w:asciiTheme="majorBidi" w:hAnsiTheme="majorBidi" w:cstheme="majorBidi"/>
            <w:sz w:val="20"/>
            <w:szCs w:val="20"/>
          </w:rPr>
          <w:t>http://abbasarhila.blogspot.fr/2015/11/blog-post_9.html</w:t>
        </w:r>
      </w:hyperlink>
      <w:r w:rsidRPr="00F230F1">
        <w:rPr>
          <w:rFonts w:asciiTheme="majorBidi" w:hAnsiTheme="majorBidi" w:cstheme="majorBidi"/>
          <w:sz w:val="20"/>
          <w:szCs w:val="20"/>
        </w:rPr>
        <w:t xml:space="preserve">] (consulté le 31/08/2017) sous le titre: « Al-Khaṭṭābī et son traité : </w:t>
      </w:r>
      <w:r w:rsidRPr="00F230F1">
        <w:rPr>
          <w:rFonts w:asciiTheme="majorBidi" w:hAnsiTheme="majorBidi" w:cstheme="majorBidi"/>
          <w:i/>
          <w:iCs/>
          <w:sz w:val="20"/>
          <w:szCs w:val="20"/>
        </w:rPr>
        <w:t>Bayān iʿjāz al-qurʾān</w:t>
      </w:r>
      <w:r w:rsidRPr="00F230F1">
        <w:rPr>
          <w:rFonts w:asciiTheme="majorBidi" w:hAnsiTheme="majorBidi" w:cstheme="majorBidi"/>
          <w:sz w:val="20"/>
          <w:szCs w:val="20"/>
        </w:rPr>
        <w:t> ».) Al-Qurṭubī (1214-1273), dans l’introduction de son exégèse du Coran (</w:t>
      </w:r>
      <w:r w:rsidRPr="00F230F1">
        <w:rPr>
          <w:rFonts w:asciiTheme="majorBidi" w:hAnsiTheme="majorBidi" w:cstheme="majorBidi"/>
          <w:i/>
          <w:iCs/>
          <w:sz w:val="20"/>
          <w:szCs w:val="20"/>
        </w:rPr>
        <w:t>Al-Jāmiʿ li aḥkām al-Qurʾān</w:t>
      </w:r>
      <w:r w:rsidRPr="00F230F1">
        <w:rPr>
          <w:rFonts w:asciiTheme="majorBidi" w:hAnsiTheme="majorBidi" w:cstheme="majorBidi"/>
          <w:sz w:val="20"/>
          <w:szCs w:val="20"/>
        </w:rPr>
        <w:t xml:space="preserve">, Éditions al-Risāla, Beyrouth, 2006), recense dix aspects de l’iʿjāz: 1) </w:t>
      </w:r>
      <w:r w:rsidRPr="00F230F1">
        <w:rPr>
          <w:rFonts w:asciiTheme="majorBidi" w:hAnsiTheme="majorBidi" w:cstheme="majorBidi"/>
          <w:b/>
          <w:bCs/>
          <w:sz w:val="20"/>
          <w:szCs w:val="20"/>
        </w:rPr>
        <w:t xml:space="preserve">le </w:t>
      </w:r>
      <w:r w:rsidRPr="00F230F1">
        <w:rPr>
          <w:rFonts w:asciiTheme="majorBidi" w:hAnsiTheme="majorBidi" w:cstheme="majorBidi"/>
          <w:b/>
          <w:bCs/>
          <w:i/>
          <w:iCs/>
          <w:sz w:val="20"/>
          <w:szCs w:val="20"/>
        </w:rPr>
        <w:t>na</w:t>
      </w:r>
      <w:r w:rsidRPr="00F230F1">
        <w:rPr>
          <w:rFonts w:asciiTheme="majorBidi" w:eastAsia="Times New Roman" w:hAnsiTheme="majorBidi" w:cstheme="majorBidi"/>
          <w:b/>
          <w:bCs/>
          <w:i/>
          <w:iCs/>
          <w:sz w:val="20"/>
          <w:szCs w:val="20"/>
        </w:rPr>
        <w:t>ẓ</w:t>
      </w:r>
      <w:r w:rsidRPr="00F230F1">
        <w:rPr>
          <w:rFonts w:asciiTheme="majorBidi" w:hAnsiTheme="majorBidi" w:cstheme="majorBidi"/>
          <w:b/>
          <w:bCs/>
          <w:i/>
          <w:iCs/>
          <w:sz w:val="20"/>
          <w:szCs w:val="20"/>
        </w:rPr>
        <w:t>m</w:t>
      </w:r>
      <w:r w:rsidRPr="00F230F1">
        <w:rPr>
          <w:rFonts w:asciiTheme="majorBidi" w:hAnsiTheme="majorBidi" w:cstheme="majorBidi"/>
          <w:b/>
          <w:bCs/>
          <w:sz w:val="20"/>
          <w:szCs w:val="20"/>
        </w:rPr>
        <w:t xml:space="preserve"> (la composition) </w:t>
      </w:r>
      <w:r w:rsidRPr="00F230F1">
        <w:rPr>
          <w:rFonts w:asciiTheme="majorBidi" w:hAnsiTheme="majorBidi" w:cstheme="majorBidi"/>
          <w:sz w:val="20"/>
          <w:szCs w:val="20"/>
        </w:rPr>
        <w:t xml:space="preserve">; 2) </w:t>
      </w:r>
      <w:r w:rsidRPr="00F230F1">
        <w:rPr>
          <w:rFonts w:asciiTheme="majorBidi" w:hAnsiTheme="majorBidi" w:cstheme="majorBidi"/>
          <w:b/>
          <w:bCs/>
          <w:sz w:val="20"/>
          <w:szCs w:val="20"/>
        </w:rPr>
        <w:t>le style </w:t>
      </w:r>
      <w:r w:rsidRPr="00F230F1">
        <w:rPr>
          <w:rFonts w:asciiTheme="majorBidi" w:hAnsiTheme="majorBidi" w:cstheme="majorBidi"/>
          <w:sz w:val="20"/>
          <w:szCs w:val="20"/>
        </w:rPr>
        <w:t xml:space="preserve">; 3) </w:t>
      </w:r>
      <w:r w:rsidRPr="00F230F1">
        <w:rPr>
          <w:rFonts w:asciiTheme="majorBidi" w:hAnsiTheme="majorBidi" w:cstheme="majorBidi"/>
          <w:b/>
          <w:bCs/>
          <w:sz w:val="20"/>
          <w:szCs w:val="20"/>
        </w:rPr>
        <w:t>la jazāla (l’éloquence)</w:t>
      </w:r>
      <w:r w:rsidRPr="00F230F1">
        <w:rPr>
          <w:rFonts w:asciiTheme="majorBidi" w:hAnsiTheme="majorBidi" w:cstheme="majorBidi"/>
          <w:sz w:val="20"/>
          <w:szCs w:val="20"/>
        </w:rPr>
        <w:t xml:space="preserve"> ; 4) </w:t>
      </w:r>
      <w:r w:rsidRPr="00F230F1">
        <w:rPr>
          <w:rFonts w:asciiTheme="majorBidi" w:hAnsiTheme="majorBidi" w:cstheme="majorBidi"/>
          <w:b/>
          <w:bCs/>
          <w:sz w:val="20"/>
          <w:szCs w:val="20"/>
        </w:rPr>
        <w:t xml:space="preserve">le </w:t>
      </w:r>
      <w:r w:rsidRPr="00F230F1">
        <w:rPr>
          <w:rFonts w:asciiTheme="majorBidi" w:hAnsiTheme="majorBidi" w:cstheme="majorBidi"/>
          <w:b/>
          <w:bCs/>
          <w:i/>
          <w:iCs/>
          <w:sz w:val="20"/>
          <w:szCs w:val="20"/>
        </w:rPr>
        <w:t>taṣarruf</w:t>
      </w:r>
      <w:r w:rsidRPr="00F230F1">
        <w:rPr>
          <w:rFonts w:asciiTheme="majorBidi" w:hAnsiTheme="majorBidi" w:cstheme="majorBidi"/>
          <w:b/>
          <w:bCs/>
          <w:sz w:val="20"/>
          <w:szCs w:val="20"/>
        </w:rPr>
        <w:t xml:space="preserve"> (la disposition des mots</w:t>
      </w:r>
      <w:r w:rsidRPr="00F230F1">
        <w:rPr>
          <w:rFonts w:asciiTheme="majorBidi" w:hAnsiTheme="majorBidi" w:cstheme="majorBidi"/>
          <w:sz w:val="20"/>
          <w:szCs w:val="20"/>
        </w:rPr>
        <w:t xml:space="preserve"> [La disposition dans la rhétorique est l’arrangement des parties dont un discours est composé]) ; 5) l’accomplissement de la promesse ; 6) la prédiction de l’avenir ; 7) les différentes idées scientifiques ; 8) les sagesses et les paraboles ; 9) la non-contradiction ; 10) les histoires anciennes.</w:t>
      </w:r>
    </w:p>
  </w:footnote>
  <w:footnote w:id="557">
    <w:p w14:paraId="74C685B1"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Munīr Maḥmūd Al-Masīrī, </w:t>
      </w:r>
      <w:r w:rsidRPr="00F230F1">
        <w:rPr>
          <w:rFonts w:asciiTheme="majorBidi" w:hAnsiTheme="majorBidi" w:cstheme="majorBidi"/>
          <w:i/>
          <w:iCs/>
          <w:sz w:val="20"/>
          <w:szCs w:val="20"/>
          <w:lang w:bidi="ar-AE"/>
        </w:rPr>
        <w:t>Dalālāt at-taqdīm wa-t-taʾkhīr fī al-qurʾān</w:t>
      </w:r>
      <w:r w:rsidRPr="00F230F1">
        <w:rPr>
          <w:rFonts w:asciiTheme="majorBidi" w:hAnsiTheme="majorBidi" w:cstheme="majorBidi"/>
          <w:sz w:val="20"/>
          <w:szCs w:val="20"/>
          <w:lang w:bidi="ar-AE"/>
        </w:rPr>
        <w:t>,</w:t>
      </w:r>
      <w:r w:rsidRPr="00F230F1">
        <w:rPr>
          <w:rFonts w:asciiTheme="majorBidi" w:hAnsiTheme="majorBidi" w:cstheme="majorBidi"/>
          <w:i/>
          <w:iCs/>
          <w:sz w:val="20"/>
          <w:szCs w:val="20"/>
          <w:lang w:bidi="ar-AE"/>
        </w:rPr>
        <w:t xml:space="preserve"> op. cit.</w:t>
      </w:r>
      <w:r w:rsidRPr="00F230F1">
        <w:rPr>
          <w:rFonts w:asciiTheme="majorBidi" w:hAnsiTheme="majorBidi" w:cstheme="majorBidi"/>
          <w:sz w:val="20"/>
          <w:szCs w:val="20"/>
          <w:lang w:bidi="ar-AE"/>
        </w:rPr>
        <w:t>, p. 499.</w:t>
      </w:r>
    </w:p>
  </w:footnote>
  <w:footnote w:id="558">
    <w:p w14:paraId="7F03C3F1"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Al-Masīrī, </w:t>
      </w:r>
      <w:r w:rsidRPr="00F230F1">
        <w:rPr>
          <w:rFonts w:asciiTheme="majorBidi" w:hAnsiTheme="majorBidi" w:cstheme="majorBidi"/>
          <w:i/>
          <w:iCs/>
          <w:sz w:val="20"/>
          <w:szCs w:val="20"/>
          <w:lang w:bidi="ar-AE"/>
        </w:rPr>
        <w:t>idem</w:t>
      </w:r>
      <w:r w:rsidRPr="00F230F1">
        <w:rPr>
          <w:rFonts w:asciiTheme="majorBidi" w:hAnsiTheme="majorBidi" w:cstheme="majorBidi"/>
          <w:sz w:val="20"/>
          <w:szCs w:val="20"/>
          <w:lang w:bidi="ar-AE"/>
        </w:rPr>
        <w:t>, p. 498.</w:t>
      </w:r>
    </w:p>
  </w:footnote>
  <w:footnote w:id="559">
    <w:p w14:paraId="4E810370"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Al-Masīrī, </w:t>
      </w:r>
      <w:r w:rsidRPr="00F230F1">
        <w:rPr>
          <w:rFonts w:asciiTheme="majorBidi" w:hAnsiTheme="majorBidi" w:cstheme="majorBidi"/>
          <w:i/>
          <w:iCs/>
          <w:sz w:val="20"/>
          <w:szCs w:val="20"/>
          <w:lang w:bidi="ar-AE"/>
        </w:rPr>
        <w:t>Dalālāt at-taqdīm wa-at-taʾkhīr</w:t>
      </w:r>
      <w:r w:rsidRPr="00F230F1">
        <w:rPr>
          <w:rFonts w:asciiTheme="majorBidi" w:hAnsiTheme="majorBidi" w:cstheme="majorBidi"/>
          <w:sz w:val="20"/>
          <w:szCs w:val="20"/>
          <w:lang w:bidi="ar-AE"/>
        </w:rPr>
        <w:t>,</w:t>
      </w:r>
      <w:r w:rsidRPr="00F230F1">
        <w:rPr>
          <w:rFonts w:asciiTheme="majorBidi" w:hAnsiTheme="majorBidi" w:cstheme="majorBidi"/>
          <w:i/>
          <w:iCs/>
          <w:sz w:val="20"/>
          <w:szCs w:val="20"/>
          <w:lang w:bidi="ar-AE"/>
        </w:rPr>
        <w:t xml:space="preserve"> op. cit.</w:t>
      </w:r>
      <w:r w:rsidRPr="00F230F1">
        <w:rPr>
          <w:rFonts w:asciiTheme="majorBidi" w:hAnsiTheme="majorBidi" w:cstheme="majorBidi"/>
          <w:sz w:val="20"/>
          <w:szCs w:val="20"/>
          <w:lang w:bidi="ar-AE"/>
        </w:rPr>
        <w:t>, p. 500.</w:t>
      </w:r>
    </w:p>
  </w:footnote>
  <w:footnote w:id="560">
    <w:p w14:paraId="466DC883"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Florence Bergeaud-Blackler, « L’encadrement de l’abattage rituel industriel dans l’Union européenne : limites et perspectives », </w:t>
      </w:r>
      <w:r w:rsidRPr="00F230F1">
        <w:rPr>
          <w:rFonts w:asciiTheme="majorBidi" w:hAnsiTheme="majorBidi" w:cstheme="majorBidi"/>
          <w:i/>
          <w:iCs/>
          <w:sz w:val="20"/>
          <w:szCs w:val="20"/>
        </w:rPr>
        <w:t xml:space="preserve">Politique européenne </w:t>
      </w:r>
      <w:r w:rsidRPr="00F230F1">
        <w:rPr>
          <w:rFonts w:asciiTheme="majorBidi" w:hAnsiTheme="majorBidi" w:cstheme="majorBidi"/>
          <w:sz w:val="20"/>
          <w:szCs w:val="20"/>
        </w:rPr>
        <w:t>2008/1 (n° 24), p. 103-122.</w:t>
      </w:r>
      <w:r w:rsidRPr="00F230F1">
        <w:rPr>
          <w:rFonts w:ascii="MS Mincho" w:eastAsia="MS Mincho" w:hAnsi="MS Mincho" w:cs="MS Mincho"/>
          <w:sz w:val="20"/>
          <w:szCs w:val="20"/>
        </w:rPr>
        <w:t> </w:t>
      </w:r>
      <w:r w:rsidRPr="00F230F1">
        <w:rPr>
          <w:rFonts w:asciiTheme="majorBidi" w:hAnsiTheme="majorBidi" w:cstheme="majorBidi"/>
          <w:sz w:val="20"/>
          <w:szCs w:val="20"/>
        </w:rPr>
        <w:t xml:space="preserve">DOI 10.3917/poeu.024.0103. </w:t>
      </w:r>
      <w:r w:rsidRPr="00F230F1">
        <w:rPr>
          <w:rFonts w:asciiTheme="majorBidi" w:eastAsia="Times New Roman" w:hAnsiTheme="majorBidi" w:cstheme="majorBidi"/>
          <w:sz w:val="20"/>
          <w:szCs w:val="20"/>
          <w:shd w:val="clear" w:color="auto" w:fill="FFFFFF"/>
        </w:rPr>
        <w:t>Aïda-Kanafani-Zahar, Séverine Mathieu et Sophie Nizard (direction),</w:t>
      </w:r>
      <w:r w:rsidRPr="00F230F1">
        <w:rPr>
          <w:rStyle w:val="apple-converted-space"/>
          <w:rFonts w:asciiTheme="majorBidi" w:hAnsiTheme="majorBidi" w:cstheme="majorBidi"/>
          <w:sz w:val="20"/>
          <w:szCs w:val="20"/>
          <w:shd w:val="clear" w:color="auto" w:fill="FFFFFF"/>
        </w:rPr>
        <w:t> </w:t>
      </w:r>
      <w:r w:rsidRPr="00F230F1">
        <w:rPr>
          <w:rStyle w:val="CitationHTML"/>
          <w:rFonts w:asciiTheme="majorBidi" w:hAnsiTheme="majorBidi" w:cstheme="majorBidi"/>
          <w:sz w:val="20"/>
          <w:szCs w:val="20"/>
        </w:rPr>
        <w:t>À croire et à manger : religions et alimentation</w:t>
      </w:r>
      <w:r w:rsidRPr="00F230F1">
        <w:rPr>
          <w:rFonts w:asciiTheme="majorBidi" w:eastAsia="Times New Roman" w:hAnsiTheme="majorBidi" w:cstheme="majorBidi"/>
          <w:sz w:val="20"/>
          <w:szCs w:val="20"/>
          <w:shd w:val="clear" w:color="auto" w:fill="FFFFFF"/>
        </w:rPr>
        <w:t>,</w:t>
      </w:r>
      <w:r w:rsidRPr="00F230F1">
        <w:rPr>
          <w:rFonts w:asciiTheme="majorBidi" w:eastAsia="Times New Roman" w:hAnsiTheme="majorBidi" w:cstheme="majorBidi"/>
          <w:color w:val="C00000"/>
          <w:sz w:val="20"/>
          <w:szCs w:val="20"/>
          <w:shd w:val="clear" w:color="auto" w:fill="FFFFFF"/>
        </w:rPr>
        <w:t xml:space="preserve"> </w:t>
      </w:r>
      <w:r w:rsidRPr="00F230F1">
        <w:rPr>
          <w:rFonts w:asciiTheme="majorBidi" w:eastAsia="Times New Roman" w:hAnsiTheme="majorBidi" w:cstheme="majorBidi"/>
          <w:sz w:val="20"/>
          <w:szCs w:val="20"/>
          <w:shd w:val="clear" w:color="auto" w:fill="FFFFFF"/>
        </w:rPr>
        <w:t>L’Harmattan,</w:t>
      </w:r>
      <w:r w:rsidRPr="00F230F1">
        <w:rPr>
          <w:rStyle w:val="apple-converted-space"/>
          <w:rFonts w:asciiTheme="majorBidi" w:hAnsiTheme="majorBidi" w:cstheme="majorBidi"/>
          <w:sz w:val="20"/>
          <w:szCs w:val="20"/>
          <w:shd w:val="clear" w:color="auto" w:fill="FFFFFF"/>
        </w:rPr>
        <w:t> </w:t>
      </w:r>
      <w:r w:rsidRPr="00F230F1">
        <w:rPr>
          <w:rFonts w:asciiTheme="majorBidi" w:eastAsia="Times New Roman" w:hAnsiTheme="majorBidi" w:cstheme="majorBidi"/>
          <w:sz w:val="20"/>
          <w:szCs w:val="20"/>
        </w:rPr>
        <w:t>2008</w:t>
      </w:r>
      <w:r w:rsidRPr="00F230F1">
        <w:rPr>
          <w:rStyle w:val="apple-converted-space"/>
          <w:rFonts w:asciiTheme="majorBidi" w:hAnsiTheme="majorBidi" w:cstheme="majorBidi"/>
          <w:sz w:val="20"/>
          <w:szCs w:val="20"/>
          <w:shd w:val="clear" w:color="auto" w:fill="FFFFFF"/>
        </w:rPr>
        <w:t xml:space="preserve">, </w:t>
      </w:r>
      <w:r w:rsidRPr="00F230F1">
        <w:rPr>
          <w:rFonts w:asciiTheme="majorBidi" w:eastAsia="Times New Roman" w:hAnsiTheme="majorBidi" w:cstheme="majorBidi"/>
          <w:sz w:val="20"/>
          <w:szCs w:val="20"/>
        </w:rPr>
        <w:t>pp.</w:t>
      </w:r>
      <w:r w:rsidRPr="00F230F1">
        <w:rPr>
          <w:rFonts w:asciiTheme="majorBidi" w:eastAsia="Times New Roman" w:hAnsiTheme="majorBidi" w:cstheme="majorBidi"/>
          <w:sz w:val="20"/>
          <w:szCs w:val="20"/>
          <w:shd w:val="clear" w:color="auto" w:fill="FFFFFF"/>
        </w:rPr>
        <w:t xml:space="preserve"> 209 </w:t>
      </w:r>
      <w:r w:rsidRPr="00F230F1">
        <w:rPr>
          <w:rFonts w:asciiTheme="majorBidi" w:eastAsia="Times New Roman" w:hAnsiTheme="majorBidi" w:cstheme="majorBidi"/>
          <w:i/>
          <w:iCs/>
          <w:sz w:val="20"/>
          <w:szCs w:val="20"/>
          <w:shd w:val="clear" w:color="auto" w:fill="FFFFFF"/>
        </w:rPr>
        <w:t>sq</w:t>
      </w:r>
      <w:r w:rsidRPr="00F230F1">
        <w:rPr>
          <w:rFonts w:asciiTheme="majorBidi" w:eastAsia="Times New Roman" w:hAnsiTheme="majorBidi" w:cstheme="majorBidi"/>
          <w:i/>
          <w:iCs/>
          <w:sz w:val="20"/>
          <w:szCs w:val="20"/>
        </w:rPr>
        <w:t>.</w:t>
      </w:r>
      <w:r w:rsidRPr="00F230F1">
        <w:rPr>
          <w:rFonts w:asciiTheme="majorBidi" w:eastAsia="Times New Roman" w:hAnsiTheme="majorBidi" w:cstheme="majorBidi"/>
          <w:sz w:val="20"/>
          <w:szCs w:val="20"/>
        </w:rPr>
        <w:t xml:space="preserve">, 249 </w:t>
      </w:r>
      <w:r w:rsidRPr="00F230F1">
        <w:rPr>
          <w:rFonts w:asciiTheme="majorBidi" w:eastAsia="Times New Roman" w:hAnsiTheme="majorBidi" w:cstheme="majorBidi"/>
          <w:i/>
          <w:iCs/>
          <w:sz w:val="20"/>
          <w:szCs w:val="20"/>
        </w:rPr>
        <w:t>sq.</w:t>
      </w:r>
      <w:r w:rsidRPr="00F230F1">
        <w:rPr>
          <w:rFonts w:asciiTheme="majorBidi" w:eastAsia="Times New Roman" w:hAnsiTheme="majorBidi" w:cstheme="majorBidi"/>
          <w:sz w:val="20"/>
          <w:szCs w:val="20"/>
        </w:rPr>
        <w:t xml:space="preserve"> &amp; 271 </w:t>
      </w:r>
      <w:r w:rsidRPr="00F230F1">
        <w:rPr>
          <w:rFonts w:asciiTheme="majorBidi" w:eastAsia="Times New Roman" w:hAnsiTheme="majorBidi" w:cstheme="majorBidi"/>
          <w:i/>
          <w:iCs/>
          <w:sz w:val="20"/>
          <w:szCs w:val="20"/>
        </w:rPr>
        <w:t>sq.</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Olivier Truc,</w:t>
      </w:r>
      <w:r w:rsidRPr="00F230F1">
        <w:rPr>
          <w:rFonts w:asciiTheme="majorBidi" w:eastAsia="Times New Roman" w:hAnsiTheme="majorBidi" w:cstheme="majorBidi"/>
          <w:sz w:val="20"/>
          <w:szCs w:val="20"/>
        </w:rPr>
        <w:t xml:space="preserve"> </w:t>
      </w:r>
      <w:r w:rsidRPr="00F230F1">
        <w:rPr>
          <w:rFonts w:asciiTheme="majorBidi" w:hAnsiTheme="majorBidi" w:cstheme="majorBidi"/>
          <w:sz w:val="20"/>
          <w:szCs w:val="20"/>
        </w:rPr>
        <w:t>« </w:t>
      </w:r>
      <w:r w:rsidRPr="00F230F1">
        <w:rPr>
          <w:rStyle w:val="reference-text"/>
          <w:rFonts w:asciiTheme="majorBidi" w:hAnsiTheme="majorBidi" w:cstheme="majorBidi"/>
          <w:sz w:val="20"/>
          <w:szCs w:val="20"/>
        </w:rPr>
        <w:t>Le Danemark met fin à l’abattage rituel »,</w:t>
      </w:r>
      <w:r w:rsidRPr="00F230F1">
        <w:rPr>
          <w:rStyle w:val="apple-converted-space"/>
          <w:rFonts w:asciiTheme="majorBidi" w:hAnsiTheme="majorBidi" w:cstheme="majorBidi"/>
          <w:sz w:val="20"/>
          <w:szCs w:val="20"/>
        </w:rPr>
        <w:t> </w:t>
      </w:r>
      <w:r w:rsidRPr="00F230F1">
        <w:rPr>
          <w:rStyle w:val="reference-text"/>
          <w:rFonts w:asciiTheme="majorBidi" w:hAnsiTheme="majorBidi" w:cstheme="majorBidi"/>
          <w:sz w:val="20"/>
          <w:szCs w:val="20"/>
        </w:rPr>
        <w:t>Le Monde, 18 février 2014. Audrey Garric, « L’abattage rituel fait débat sur la question de la souffrance animale », Le Monde, 29.06.2016.</w:t>
      </w:r>
    </w:p>
  </w:footnote>
  <w:footnote w:id="561">
    <w:p w14:paraId="7CB227D9" w14:textId="77777777" w:rsidR="009C3BB9" w:rsidRPr="00F230F1" w:rsidRDefault="009C3BB9" w:rsidP="00F230F1">
      <w:pPr>
        <w:contextualSpacing/>
        <w:jc w:val="both"/>
        <w:rPr>
          <w:rFonts w:asciiTheme="majorBidi" w:hAnsiTheme="majorBidi" w:cstheme="majorBidi"/>
          <w:sz w:val="20"/>
          <w:szCs w:val="20"/>
          <w:rtl/>
          <w:lang w:bidi="ar-AE"/>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bidi="ar-AE"/>
        </w:rPr>
        <w:t xml:space="preserve"> Al-Masīrī, </w:t>
      </w:r>
      <w:r w:rsidRPr="00F230F1">
        <w:rPr>
          <w:rFonts w:asciiTheme="majorBidi" w:hAnsiTheme="majorBidi" w:cstheme="majorBidi"/>
          <w:i/>
          <w:iCs/>
          <w:sz w:val="20"/>
          <w:szCs w:val="20"/>
          <w:lang w:bidi="ar-AE"/>
        </w:rPr>
        <w:t>Dalālāt at-taqdīm wa-at-taʾkhīr</w:t>
      </w:r>
      <w:r w:rsidRPr="00F230F1">
        <w:rPr>
          <w:rFonts w:asciiTheme="majorBidi" w:hAnsiTheme="majorBidi" w:cstheme="majorBidi"/>
          <w:sz w:val="20"/>
          <w:szCs w:val="20"/>
          <w:lang w:bidi="ar-AE"/>
        </w:rPr>
        <w:t>,</w:t>
      </w:r>
      <w:r w:rsidRPr="00F230F1">
        <w:rPr>
          <w:rFonts w:asciiTheme="majorBidi" w:hAnsiTheme="majorBidi" w:cstheme="majorBidi"/>
          <w:i/>
          <w:iCs/>
          <w:sz w:val="20"/>
          <w:szCs w:val="20"/>
          <w:lang w:bidi="ar-AE"/>
        </w:rPr>
        <w:t xml:space="preserve"> op. cit.</w:t>
      </w:r>
      <w:r w:rsidRPr="00F230F1">
        <w:rPr>
          <w:rFonts w:asciiTheme="majorBidi" w:hAnsiTheme="majorBidi" w:cstheme="majorBidi"/>
          <w:sz w:val="20"/>
          <w:szCs w:val="20"/>
          <w:lang w:bidi="ar-AE"/>
        </w:rPr>
        <w:t>, p. 500.</w:t>
      </w:r>
    </w:p>
  </w:footnote>
  <w:footnote w:id="562">
    <w:p w14:paraId="59AF9D0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L’idée de « l’ajout et l’omission » dans le Coran a été traitée par les théologiens sous le nom de : </w:t>
      </w:r>
      <w:r w:rsidRPr="00F230F1">
        <w:rPr>
          <w:rFonts w:asciiTheme="majorBidi" w:hAnsiTheme="majorBidi" w:cstheme="majorBidi"/>
          <w:i/>
          <w:iCs/>
          <w:sz w:val="20"/>
          <w:szCs w:val="20"/>
        </w:rPr>
        <w:t>adh-dhikr wa-l-ḥadhf</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litt. </w:t>
      </w:r>
      <w:r w:rsidRPr="00F230F1">
        <w:rPr>
          <w:rFonts w:asciiTheme="majorBidi" w:hAnsiTheme="majorBidi" w:cstheme="majorBidi"/>
          <w:sz w:val="20"/>
          <w:szCs w:val="20"/>
        </w:rPr>
        <w:t xml:space="preserve">: la mention et l’omission]. </w:t>
      </w:r>
      <w:r w:rsidRPr="00F230F1">
        <w:rPr>
          <w:rFonts w:asciiTheme="majorBidi" w:hAnsiTheme="majorBidi" w:cstheme="majorBidi"/>
          <w:i/>
          <w:iCs/>
          <w:sz w:val="20"/>
          <w:szCs w:val="20"/>
        </w:rPr>
        <w:t>Cf.</w:t>
      </w:r>
      <w:r w:rsidRPr="00F230F1">
        <w:rPr>
          <w:rFonts w:asciiTheme="majorBidi" w:hAnsiTheme="majorBidi" w:cstheme="majorBidi"/>
          <w:sz w:val="20"/>
          <w:szCs w:val="20"/>
        </w:rPr>
        <w:t xml:space="preserve"> Fā</w:t>
      </w:r>
      <w:r w:rsidRPr="00F230F1">
        <w:rPr>
          <w:rFonts w:asciiTheme="majorBidi" w:eastAsia="Times New Roman" w:hAnsiTheme="majorBidi" w:cstheme="majorBidi"/>
          <w:sz w:val="20"/>
          <w:szCs w:val="20"/>
        </w:rPr>
        <w:t xml:space="preserve">ḍil as-Sāmurrāʾī, </w:t>
      </w:r>
      <w:r w:rsidRPr="00F230F1">
        <w:rPr>
          <w:rFonts w:asciiTheme="majorBidi" w:eastAsia="Times New Roman" w:hAnsiTheme="majorBidi" w:cstheme="majorBidi"/>
          <w:i/>
          <w:iCs/>
          <w:sz w:val="20"/>
          <w:szCs w:val="20"/>
        </w:rPr>
        <w:t>Min asrār al-bayān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al-qurʾānī</w:t>
      </w:r>
      <w:r w:rsidRPr="00F230F1">
        <w:rPr>
          <w:rFonts w:asciiTheme="majorBidi" w:eastAsia="Times New Roman" w:hAnsiTheme="majorBidi" w:cstheme="majorBidi"/>
          <w:sz w:val="20"/>
          <w:szCs w:val="20"/>
        </w:rPr>
        <w:t xml:space="preserve"> [Des secrets de la rhétorique coranique], Dār al-Fikr, Amman, Jordanie, première édition, 2009, pp. 90 </w:t>
      </w:r>
      <w:r w:rsidRPr="00F230F1">
        <w:rPr>
          <w:rFonts w:asciiTheme="majorBidi" w:eastAsia="Times New Roman" w:hAnsiTheme="majorBidi" w:cstheme="majorBidi"/>
          <w:i/>
          <w:iCs/>
          <w:sz w:val="20"/>
          <w:szCs w:val="20"/>
        </w:rPr>
        <w:t>sq</w:t>
      </w:r>
      <w:r w:rsidRPr="00F230F1">
        <w:rPr>
          <w:rFonts w:asciiTheme="majorBidi" w:eastAsia="Times New Roman" w:hAnsiTheme="majorBidi" w:cstheme="majorBidi"/>
          <w:sz w:val="20"/>
          <w:szCs w:val="20"/>
        </w:rPr>
        <w:t xml:space="preserve">. Voir aussi : </w:t>
      </w:r>
      <w:r w:rsidRPr="00F230F1">
        <w:rPr>
          <w:rFonts w:asciiTheme="majorBidi" w:hAnsiTheme="majorBidi" w:cstheme="majorBidi"/>
          <w:sz w:val="20"/>
          <w:szCs w:val="20"/>
        </w:rPr>
        <w:t>Ismāʿīl al-Jurfī, « </w:t>
      </w:r>
      <w:r w:rsidRPr="00F230F1">
        <w:rPr>
          <w:rFonts w:asciiTheme="majorBidi" w:hAnsiTheme="majorBidi" w:cstheme="majorBidi"/>
          <w:i/>
          <w:iCs/>
          <w:sz w:val="20"/>
          <w:szCs w:val="20"/>
        </w:rPr>
        <w:t>adh-dhikr wa-l-ḥadhf fī-l-qurʾān al-karīm</w:t>
      </w:r>
      <w:r w:rsidRPr="00F230F1">
        <w:rPr>
          <w:rFonts w:asciiTheme="majorBidi" w:hAnsiTheme="majorBidi" w:cstheme="majorBidi"/>
          <w:sz w:val="20"/>
          <w:szCs w:val="20"/>
        </w:rPr>
        <w:t xml:space="preserve"> », 27/01/2013, site </w:t>
      </w:r>
      <w:r w:rsidRPr="00F230F1">
        <w:rPr>
          <w:rFonts w:asciiTheme="majorBidi" w:hAnsiTheme="majorBidi" w:cstheme="majorBidi"/>
          <w:i/>
          <w:iCs/>
          <w:sz w:val="20"/>
          <w:szCs w:val="20"/>
        </w:rPr>
        <w:t>Jāmiʿat al-Īmān</w:t>
      </w:r>
      <w:r w:rsidRPr="00F230F1">
        <w:rPr>
          <w:rFonts w:asciiTheme="majorBidi" w:hAnsiTheme="majorBidi" w:cstheme="majorBidi"/>
          <w:sz w:val="20"/>
          <w:szCs w:val="20"/>
        </w:rPr>
        <w:t>,</w:t>
      </w:r>
      <w:r w:rsidRPr="00F230F1">
        <w:rPr>
          <w:rFonts w:asciiTheme="majorBidi" w:hAnsiTheme="majorBidi" w:cstheme="majorBidi"/>
          <w:color w:val="C00000"/>
          <w:sz w:val="20"/>
          <w:szCs w:val="20"/>
        </w:rPr>
        <w:t xml:space="preserve"> </w:t>
      </w:r>
      <w:hyperlink r:id="rId174" w:history="1">
        <w:r w:rsidRPr="00F230F1">
          <w:rPr>
            <w:rStyle w:val="Lienhypertexte"/>
            <w:rFonts w:asciiTheme="majorBidi" w:hAnsiTheme="majorBidi" w:cstheme="majorBidi"/>
            <w:sz w:val="20"/>
            <w:szCs w:val="20"/>
          </w:rPr>
          <w:t>http://www.jameataleman.org/main/articles.aspx?article_no=1820</w:t>
        </w:r>
      </w:hyperlink>
      <w:r w:rsidRPr="00F230F1">
        <w:rPr>
          <w:rFonts w:asciiTheme="majorBidi" w:hAnsiTheme="majorBidi" w:cstheme="majorBidi"/>
          <w:color w:val="C00000"/>
          <w:sz w:val="20"/>
          <w:szCs w:val="20"/>
        </w:rPr>
        <w:t xml:space="preserve"> </w:t>
      </w:r>
      <w:r w:rsidRPr="00F230F1">
        <w:rPr>
          <w:rFonts w:asciiTheme="majorBidi" w:hAnsiTheme="majorBidi" w:cstheme="majorBidi"/>
          <w:sz w:val="20"/>
          <w:szCs w:val="20"/>
        </w:rPr>
        <w:t xml:space="preserve">(consulté le 19/08/2017). Les théologiens ne parlent pas précisément de l’ajout du syntagme </w:t>
      </w:r>
      <w:r w:rsidRPr="00F230F1">
        <w:rPr>
          <w:rFonts w:asciiTheme="majorBidi" w:eastAsia="Times New Roman" w:hAnsiTheme="majorBidi" w:cstheme="majorBidi"/>
          <w:sz w:val="20"/>
          <w:szCs w:val="20"/>
          <w:lang w:bidi="ar-AE"/>
        </w:rPr>
        <w:t>« </w:t>
      </w:r>
      <w:r w:rsidRPr="00F230F1">
        <w:rPr>
          <w:rFonts w:asciiTheme="majorBidi" w:eastAsia="Times New Roman" w:hAnsiTheme="majorBidi" w:cstheme="majorBidi"/>
          <w:sz w:val="20"/>
          <w:szCs w:val="20"/>
          <w:rtl/>
          <w:lang w:bidi="ar-AE"/>
        </w:rPr>
        <w:t>من غَمٍّ</w:t>
      </w:r>
      <w:r w:rsidRPr="00F230F1">
        <w:rPr>
          <w:rFonts w:asciiTheme="majorBidi" w:eastAsia="Times New Roman" w:hAnsiTheme="majorBidi" w:cstheme="majorBidi"/>
          <w:sz w:val="20"/>
          <w:szCs w:val="20"/>
          <w:lang w:bidi="ar-AE"/>
        </w:rPr>
        <w:t> »</w:t>
      </w:r>
      <w:r w:rsidRPr="00F230F1">
        <w:rPr>
          <w:rFonts w:asciiTheme="majorBidi" w:eastAsia="Times New Roman" w:hAnsiTheme="majorBidi" w:cstheme="majorBidi"/>
          <w:sz w:val="20"/>
          <w:szCs w:val="20"/>
          <w:lang w:bidi="ar-KW"/>
        </w:rPr>
        <w:t xml:space="preserve"> [de chagrin] </w:t>
      </w:r>
      <w:r w:rsidRPr="00F230F1">
        <w:rPr>
          <w:rFonts w:asciiTheme="majorBidi" w:hAnsiTheme="majorBidi" w:cstheme="majorBidi"/>
          <w:sz w:val="20"/>
          <w:szCs w:val="20"/>
        </w:rPr>
        <w:t xml:space="preserve">et de l’omission de </w:t>
      </w:r>
      <w:r w:rsidRPr="00F230F1">
        <w:rPr>
          <w:rFonts w:asciiTheme="majorBidi" w:eastAsia="Times New Roman" w:hAnsiTheme="majorBidi" w:cstheme="majorBidi"/>
          <w:sz w:val="20"/>
          <w:szCs w:val="20"/>
          <w:lang w:bidi="ar-AE"/>
        </w:rPr>
        <w:t>« </w:t>
      </w:r>
      <w:r w:rsidRPr="00F230F1">
        <w:rPr>
          <w:rFonts w:asciiTheme="majorBidi" w:hAnsiTheme="majorBidi" w:cstheme="majorBidi"/>
          <w:sz w:val="20"/>
          <w:szCs w:val="20"/>
          <w:rtl/>
          <w:lang w:bidi="ar-KW"/>
        </w:rPr>
        <w:t>وقيلَ لهم</w:t>
      </w:r>
      <w:r w:rsidRPr="00F230F1">
        <w:rPr>
          <w:rFonts w:asciiTheme="majorBidi" w:eastAsia="Times New Roman" w:hAnsiTheme="majorBidi" w:cstheme="majorBidi"/>
          <w:sz w:val="20"/>
          <w:szCs w:val="20"/>
          <w:lang w:bidi="ar-KW"/>
        </w:rPr>
        <w:t xml:space="preserve"> » [on leur dira] </w:t>
      </w:r>
      <w:r w:rsidRPr="00F230F1">
        <w:rPr>
          <w:rFonts w:asciiTheme="majorBidi" w:hAnsiTheme="majorBidi" w:cstheme="majorBidi"/>
          <w:sz w:val="20"/>
          <w:szCs w:val="20"/>
        </w:rPr>
        <w:t>dans ce verset XXII, 22. Mais Fā</w:t>
      </w:r>
      <w:r w:rsidRPr="00F230F1">
        <w:rPr>
          <w:rFonts w:asciiTheme="majorBidi" w:eastAsia="Times New Roman" w:hAnsiTheme="majorBidi" w:cstheme="majorBidi"/>
          <w:sz w:val="20"/>
          <w:szCs w:val="20"/>
        </w:rPr>
        <w:t xml:space="preserve">ḍil as-Sāmurrāʾī parle de l’ajout de la préposition </w:t>
      </w:r>
      <w:r w:rsidRPr="00F230F1">
        <w:rPr>
          <w:rFonts w:asciiTheme="majorBidi" w:eastAsia="Times New Roman" w:hAnsiTheme="majorBidi" w:cstheme="majorBidi"/>
          <w:i/>
          <w:iCs/>
          <w:sz w:val="20"/>
          <w:szCs w:val="20"/>
        </w:rPr>
        <w:t>min</w:t>
      </w:r>
      <w:r w:rsidRPr="00F230F1">
        <w:rPr>
          <w:rFonts w:asciiTheme="majorBidi" w:eastAsia="Times New Roman" w:hAnsiTheme="majorBidi" w:cstheme="majorBidi"/>
          <w:sz w:val="20"/>
          <w:szCs w:val="20"/>
        </w:rPr>
        <w:t xml:space="preserve"> dans le verset XXII, 19 et de l’ajout de la phrase « </w:t>
      </w:r>
      <w:r w:rsidRPr="00F230F1">
        <w:rPr>
          <w:rFonts w:asciiTheme="majorBidi" w:hAnsiTheme="majorBidi" w:cstheme="majorBidi"/>
          <w:sz w:val="20"/>
          <w:szCs w:val="20"/>
          <w:rtl/>
          <w:lang w:bidi="ar-AE"/>
        </w:rPr>
        <w:t>كُلَّما أرادوا أنْ يَخرجوا منها منْ غَمٍّ أُعيدوا فيها</w:t>
      </w:r>
      <w:r w:rsidRPr="00F230F1">
        <w:rPr>
          <w:rFonts w:asciiTheme="majorBidi" w:hAnsiTheme="majorBidi" w:cstheme="majorBidi"/>
          <w:sz w:val="20"/>
          <w:szCs w:val="20"/>
          <w:lang w:bidi="ar-AE"/>
        </w:rPr>
        <w:t> » (v. XXII, 22)</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Min asrār al-bayān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al-qurʾānī</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pp. 94 &amp; 95).</w:t>
      </w:r>
    </w:p>
  </w:footnote>
  <w:footnote w:id="563">
    <w:p w14:paraId="4126FBD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Tafsīr Aḥmadī</w:t>
      </w:r>
      <w:r w:rsidRPr="00F230F1">
        <w:rPr>
          <w:rFonts w:asciiTheme="majorBidi" w:hAnsiTheme="majorBidi" w:cstheme="majorBidi"/>
          <w:sz w:val="20"/>
          <w:szCs w:val="20"/>
        </w:rPr>
        <w:t>, tome 6, p. 130.</w:t>
      </w:r>
    </w:p>
  </w:footnote>
  <w:footnote w:id="564">
    <w:p w14:paraId="0F993896"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 xml:space="preserve">Tafsīr </w:t>
      </w:r>
      <w:r w:rsidRPr="00F230F1">
        <w:rPr>
          <w:rFonts w:asciiTheme="majorBidi" w:eastAsia="Times New Roman" w:hAnsiTheme="majorBidi" w:cstheme="majorBidi"/>
          <w:i/>
          <w:iCs/>
          <w:sz w:val="20"/>
          <w:szCs w:val="20"/>
          <w:lang w:eastAsia="fr-FR" w:bidi="ar-EG"/>
        </w:rPr>
        <w:t>Aṭ-Ṭabarī</w:t>
      </w:r>
      <w:r w:rsidRPr="00F230F1">
        <w:rPr>
          <w:rFonts w:asciiTheme="majorBidi" w:eastAsia="Times New Roman" w:hAnsiTheme="majorBidi" w:cstheme="majorBidi"/>
          <w:sz w:val="20"/>
          <w:szCs w:val="20"/>
          <w:lang w:eastAsia="fr-FR" w:bidi="ar-EG"/>
        </w:rPr>
        <w:t xml:space="preserve">, </w:t>
      </w:r>
      <w:r w:rsidRPr="00F230F1">
        <w:rPr>
          <w:rFonts w:asciiTheme="majorBidi" w:eastAsia="Times New Roman" w:hAnsiTheme="majorBidi" w:cstheme="majorBidi"/>
          <w:i/>
          <w:iCs/>
          <w:sz w:val="20"/>
          <w:szCs w:val="20"/>
          <w:lang w:eastAsia="fr-FR" w:bidi="ar-EG"/>
        </w:rPr>
        <w:t>op. cit.</w:t>
      </w:r>
      <w:r w:rsidRPr="00F230F1">
        <w:rPr>
          <w:rFonts w:asciiTheme="majorBidi" w:eastAsia="Times New Roman" w:hAnsiTheme="majorBidi" w:cstheme="majorBidi"/>
          <w:sz w:val="20"/>
          <w:szCs w:val="20"/>
          <w:lang w:eastAsia="fr-FR" w:bidi="ar-EG"/>
        </w:rPr>
        <w:t>, t. 16, p. 587.</w:t>
      </w:r>
    </w:p>
  </w:footnote>
  <w:footnote w:id="565">
    <w:p w14:paraId="041C8A2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Entretien avec Qara</w:t>
      </w:r>
      <w:r w:rsidRPr="00F230F1">
        <w:rPr>
          <w:rFonts w:asciiTheme="majorBidi" w:eastAsia="Times New Roman" w:hAnsiTheme="majorBidi" w:cstheme="majorBidi"/>
          <w:sz w:val="20"/>
          <w:szCs w:val="20"/>
        </w:rPr>
        <w:t>ḍ</w:t>
      </w:r>
      <w:r w:rsidRPr="00F230F1">
        <w:rPr>
          <w:rFonts w:asciiTheme="majorBidi" w:hAnsiTheme="majorBidi" w:cstheme="majorBidi"/>
          <w:sz w:val="20"/>
          <w:szCs w:val="20"/>
        </w:rPr>
        <w:t xml:space="preserve">āwī, al Jazeera, le 05/02/2012, </w:t>
      </w:r>
      <w:r w:rsidRPr="00F230F1">
        <w:rPr>
          <w:rFonts w:asciiTheme="majorBidi" w:hAnsiTheme="majorBidi" w:cstheme="majorBidi"/>
          <w:i/>
          <w:iCs/>
          <w:sz w:val="20"/>
          <w:szCs w:val="20"/>
        </w:rPr>
        <w:t>op. cit</w:t>
      </w:r>
      <w:r w:rsidRPr="00F230F1">
        <w:rPr>
          <w:rFonts w:asciiTheme="majorBidi" w:hAnsiTheme="majorBidi" w:cstheme="majorBidi"/>
          <w:sz w:val="20"/>
          <w:szCs w:val="20"/>
        </w:rPr>
        <w:t>.</w:t>
      </w:r>
    </w:p>
  </w:footnote>
  <w:footnote w:id="566">
    <w:p w14:paraId="55ED458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Tafsīr al-Māturīdī</w:t>
      </w:r>
      <w:r w:rsidRPr="00F230F1">
        <w:rPr>
          <w:rFonts w:asciiTheme="majorBidi" w:hAnsiTheme="majorBidi" w:cstheme="majorBidi"/>
          <w:sz w:val="20"/>
          <w:szCs w:val="20"/>
        </w:rPr>
        <w:t>, Dār al-kutub al-ʿilmyya, Beyrouth, 2005, t. 7, p. 426.</w:t>
      </w:r>
    </w:p>
  </w:footnote>
  <w:footnote w:id="567">
    <w:p w14:paraId="0A90FE7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 site web </w:t>
      </w:r>
      <w:r w:rsidRPr="00F230F1">
        <w:rPr>
          <w:rFonts w:asciiTheme="majorBidi" w:hAnsiTheme="majorBidi" w:cstheme="majorBidi"/>
          <w:i/>
          <w:iCs/>
          <w:sz w:val="20"/>
          <w:szCs w:val="20"/>
        </w:rPr>
        <w:t>Mawsūʿat an-Nabulsī</w:t>
      </w:r>
      <w:r w:rsidRPr="00F230F1">
        <w:rPr>
          <w:rFonts w:asciiTheme="majorBidi" w:hAnsiTheme="majorBidi" w:cstheme="majorBidi"/>
          <w:sz w:val="20"/>
          <w:szCs w:val="20"/>
        </w:rPr>
        <w:t xml:space="preserve"> (</w:t>
      </w:r>
      <w:hyperlink r:id="rId175" w:history="1">
        <w:r w:rsidRPr="00F230F1">
          <w:rPr>
            <w:rStyle w:val="Lienhypertexte"/>
            <w:rFonts w:asciiTheme="majorBidi" w:hAnsiTheme="majorBidi" w:cstheme="majorBidi"/>
            <w:sz w:val="20"/>
            <w:szCs w:val="20"/>
          </w:rPr>
          <w:t>http://nabulsi.com/blue/ar/artp.php?art=3258</w:t>
        </w:r>
      </w:hyperlink>
      <w:r w:rsidRPr="00F230F1">
        <w:rPr>
          <w:rFonts w:asciiTheme="majorBidi" w:hAnsiTheme="majorBidi" w:cstheme="majorBidi"/>
          <w:sz w:val="20"/>
          <w:szCs w:val="20"/>
        </w:rPr>
        <w:t>) a illustré ce verset 11 par un homme qui marche sur une corde.</w:t>
      </w:r>
    </w:p>
    <w:p w14:paraId="777F24C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Fonts w:asciiTheme="majorBidi" w:hAnsiTheme="majorBidi" w:cstheme="majorBidi"/>
          <w:noProof/>
          <w:sz w:val="20"/>
          <w:szCs w:val="20"/>
          <w:lang w:eastAsia="fr-FR"/>
        </w:rPr>
        <w:drawing>
          <wp:inline distT="0" distB="0" distL="0" distR="0" wp14:anchorId="7C6C3C10" wp14:editId="5F492C65">
            <wp:extent cx="1194117" cy="87608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200829" cy="881012"/>
                    </a:xfrm>
                    <a:prstGeom prst="rect">
                      <a:avLst/>
                    </a:prstGeom>
                  </pic:spPr>
                </pic:pic>
              </a:graphicData>
            </a:graphic>
          </wp:inline>
        </w:drawing>
      </w:r>
    </w:p>
  </w:footnote>
  <w:footnote w:id="568">
    <w:p w14:paraId="63B392D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Al-Qurṭubī souligne dans son exégèse : « </w:t>
      </w:r>
      <w:r w:rsidRPr="00F230F1">
        <w:rPr>
          <w:rFonts w:asciiTheme="majorBidi" w:hAnsiTheme="majorBidi" w:cstheme="majorBidi"/>
          <w:sz w:val="20"/>
          <w:szCs w:val="20"/>
          <w:rtl/>
        </w:rPr>
        <w:t>وقيل: "على حرف أي على وجه واحد"، وهو أن يعبده على السّرّاء دُونَ الضّرّاء</w:t>
      </w:r>
      <w:r w:rsidRPr="00F230F1">
        <w:rPr>
          <w:rFonts w:asciiTheme="majorBidi" w:hAnsiTheme="majorBidi" w:cstheme="majorBidi"/>
          <w:sz w:val="20"/>
          <w:szCs w:val="20"/>
        </w:rPr>
        <w:t xml:space="preserve"> » [« On rapporte : "l’expression </w:t>
      </w:r>
      <w:r w:rsidRPr="00F230F1">
        <w:rPr>
          <w:rFonts w:asciiTheme="majorBidi" w:hAnsiTheme="majorBidi" w:cstheme="majorBidi"/>
          <w:i/>
          <w:iCs/>
          <w:sz w:val="20"/>
          <w:szCs w:val="20"/>
        </w:rPr>
        <w:t>ʿalā ḥarf</w:t>
      </w:r>
      <w:r w:rsidRPr="00F230F1">
        <w:rPr>
          <w:rFonts w:asciiTheme="majorBidi" w:hAnsiTheme="majorBidi" w:cstheme="majorBidi"/>
          <w:sz w:val="20"/>
          <w:szCs w:val="20"/>
        </w:rPr>
        <w:t xml:space="preserve"> veut dire : sur une seule face", à savoir qu’on adore Allah dans la prospérité et non pas dans l’adversité].</w:t>
      </w:r>
    </w:p>
  </w:footnote>
  <w:footnote w:id="569">
    <w:p w14:paraId="7B14BE6E"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ʿAbd al-ʿAẓīm Ibrāhīm Muḥammad al-Maṭʿanī, </w:t>
      </w:r>
      <w:r w:rsidRPr="00F230F1">
        <w:rPr>
          <w:rFonts w:asciiTheme="majorBidi" w:hAnsiTheme="majorBidi" w:cstheme="majorBidi"/>
          <w:i/>
          <w:iCs/>
          <w:sz w:val="20"/>
          <w:szCs w:val="20"/>
        </w:rPr>
        <w:t>Khaṣāʾiṣ at-taʿbīr al-qurʾānī wa-simātu-hu l-balāghyya</w:t>
      </w:r>
      <w:r w:rsidRPr="00F230F1">
        <w:rPr>
          <w:rFonts w:asciiTheme="majorBidi" w:hAnsiTheme="majorBidi" w:cstheme="majorBidi"/>
          <w:sz w:val="20"/>
          <w:szCs w:val="20"/>
        </w:rPr>
        <w:t xml:space="preserve"> [</w:t>
      </w:r>
      <w:r w:rsidRPr="00F230F1">
        <w:rPr>
          <w:rFonts w:asciiTheme="majorBidi" w:hAnsiTheme="majorBidi" w:cstheme="majorBidi"/>
          <w:iCs/>
          <w:sz w:val="20"/>
          <w:szCs w:val="20"/>
        </w:rPr>
        <w:t>Les caractéristiques de l’expression coranique et ses traits rhétoriques</w:t>
      </w:r>
      <w:r w:rsidRPr="00F230F1">
        <w:rPr>
          <w:rFonts w:asciiTheme="majorBidi" w:hAnsiTheme="majorBidi" w:cstheme="majorBidi"/>
          <w:sz w:val="20"/>
          <w:szCs w:val="20"/>
        </w:rPr>
        <w:t>], Maktabat Wahba, le Caire, 1992, tome 1, p. 469).</w:t>
      </w:r>
    </w:p>
  </w:footnote>
  <w:footnote w:id="570">
    <w:p w14:paraId="65DA85FC" w14:textId="77777777" w:rsidR="009C3BB9" w:rsidRPr="00F230F1" w:rsidRDefault="009C3BB9" w:rsidP="00F230F1">
      <w:pPr>
        <w:pStyle w:val="Notedebasdepage"/>
        <w:contextualSpacing/>
        <w:jc w:val="both"/>
        <w:rPr>
          <w:rFonts w:asciiTheme="majorBidi" w:hAnsiTheme="majorBidi" w:cstheme="majorBidi"/>
          <w:sz w:val="20"/>
          <w:szCs w:val="20"/>
          <w:rtl/>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Fādī b. Maḥmūd ar-Rayāḥna,</w:t>
      </w:r>
      <w:r w:rsidRPr="00F230F1">
        <w:rPr>
          <w:rFonts w:asciiTheme="majorBidi" w:hAnsiTheme="majorBidi" w:cstheme="majorBidi"/>
          <w:i/>
          <w:iCs/>
          <w:sz w:val="20"/>
          <w:szCs w:val="20"/>
        </w:rPr>
        <w:t xml:space="preserve"> Manhaj Ibn Qutayba fī taʾwīl mushkil al-Qurʾān wa atharuhu fī ad-dirāsāt al-qurʾānyya</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L’approche d’Ibn Qutayba dans l’interprétation de ce qu’il y a d’équivoque dans le Coran et son impact sur les études coraniques</w:t>
      </w:r>
      <w:r w:rsidRPr="00F230F1">
        <w:rPr>
          <w:rFonts w:asciiTheme="majorBidi" w:hAnsiTheme="majorBidi" w:cstheme="majorBidi"/>
          <w:sz w:val="20"/>
          <w:szCs w:val="20"/>
        </w:rPr>
        <w:t>], Médine, 2012, p. 335.</w:t>
      </w:r>
    </w:p>
  </w:footnote>
  <w:footnote w:id="571">
    <w:p w14:paraId="0B52F07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Az-Zamakhsharī (dans </w:t>
      </w:r>
      <w:r w:rsidRPr="00F230F1">
        <w:rPr>
          <w:rFonts w:asciiTheme="majorBidi" w:hAnsiTheme="majorBidi" w:cstheme="majorBidi"/>
          <w:i/>
          <w:iCs/>
          <w:sz w:val="20"/>
          <w:szCs w:val="20"/>
        </w:rPr>
        <w:t>Al-Kashshāf</w:t>
      </w:r>
      <w:r w:rsidRPr="00F230F1">
        <w:rPr>
          <w:rFonts w:asciiTheme="majorBidi" w:hAnsiTheme="majorBidi" w:cstheme="majorBidi"/>
          <w:sz w:val="20"/>
          <w:szCs w:val="20"/>
        </w:rPr>
        <w:t xml:space="preserve">) et al-Alūsī (dans </w:t>
      </w:r>
      <w:r w:rsidRPr="00F230F1">
        <w:rPr>
          <w:rFonts w:asciiTheme="majorBidi" w:hAnsiTheme="majorBidi" w:cstheme="majorBidi"/>
          <w:i/>
          <w:iCs/>
          <w:sz w:val="20"/>
          <w:szCs w:val="20"/>
        </w:rPr>
        <w:t>Rūḥ al-maʿānī</w:t>
      </w:r>
      <w:r w:rsidRPr="00F230F1">
        <w:rPr>
          <w:rFonts w:asciiTheme="majorBidi" w:hAnsiTheme="majorBidi" w:cstheme="majorBidi"/>
          <w:sz w:val="20"/>
          <w:szCs w:val="20"/>
        </w:rPr>
        <w:t>) soulignent à propos de la rhétorique de cette image et de de l’ajout de la proposition relative redondante « </w:t>
      </w:r>
      <w:r w:rsidRPr="00F230F1">
        <w:rPr>
          <w:rFonts w:asciiTheme="majorBidi" w:hAnsiTheme="majorBidi" w:cstheme="majorBidi"/>
          <w:i/>
          <w:iCs/>
          <w:sz w:val="20"/>
          <w:szCs w:val="20"/>
        </w:rPr>
        <w:t>allatī fi-ṣ-ṣudūr </w:t>
      </w:r>
      <w:r w:rsidRPr="00F230F1">
        <w:rPr>
          <w:rFonts w:asciiTheme="majorBidi" w:hAnsiTheme="majorBidi" w:cstheme="majorBidi"/>
          <w:sz w:val="20"/>
          <w:szCs w:val="20"/>
        </w:rPr>
        <w:t>» [qui sont dans les poitrines] après le terme « </w:t>
      </w:r>
      <w:r w:rsidRPr="00F230F1">
        <w:rPr>
          <w:rFonts w:asciiTheme="majorBidi" w:hAnsiTheme="majorBidi" w:cstheme="majorBidi"/>
          <w:i/>
          <w:iCs/>
          <w:sz w:val="20"/>
          <w:szCs w:val="20"/>
        </w:rPr>
        <w:t>qulūb</w:t>
      </w:r>
      <w:r w:rsidRPr="00F230F1">
        <w:rPr>
          <w:rFonts w:asciiTheme="majorBidi" w:hAnsiTheme="majorBidi" w:cstheme="majorBidi"/>
          <w:sz w:val="20"/>
          <w:szCs w:val="20"/>
        </w:rPr>
        <w:t> » [cœurs] :</w:t>
      </w:r>
    </w:p>
    <w:p w14:paraId="07E09A05" w14:textId="77777777" w:rsidR="009C3BB9" w:rsidRPr="00F230F1" w:rsidRDefault="009C3BB9" w:rsidP="00F230F1">
      <w:pPr>
        <w:pStyle w:val="Notedebasdepage"/>
        <w:bidi/>
        <w:contextualSpacing/>
        <w:jc w:val="both"/>
        <w:rPr>
          <w:rFonts w:asciiTheme="majorBidi" w:hAnsiTheme="majorBidi" w:cstheme="majorBidi"/>
          <w:sz w:val="20"/>
          <w:szCs w:val="20"/>
        </w:rPr>
      </w:pPr>
      <w:r w:rsidRPr="00F230F1">
        <w:rPr>
          <w:rFonts w:asciiTheme="majorBidi" w:hAnsiTheme="majorBidi" w:cstheme="majorBidi"/>
          <w:sz w:val="20"/>
          <w:szCs w:val="20"/>
          <w:rtl/>
        </w:rPr>
        <w:t>"قد تُعورِفَ واعتُقِدَ أنَّ العمى على الحقيقةِ مكانُه البصرُ، وهو أنْ تُصابَ الحَدَقةُ بما يَطمسُ نورُها؛ واستعمالُه في القلبِ استعارةٌ ومَثَلٌ. فلمّا أُريدَ إثباتُ ما هو خلافُ المعتقَدِ من نسبةِ العمى إلى القلوب حقيقةً ونفيِهِ عن الأبصار احتاج هذا التصويرُ إلى زيادةِ تعيينٍ وفضلِ تعريفٍ ليتقرَّرَ أنَّ مكانَ العمى هو القلوبُ لا الأبصار."</w:t>
      </w:r>
    </w:p>
    <w:p w14:paraId="4E81648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Fonts w:asciiTheme="majorBidi" w:hAnsiTheme="majorBidi" w:cstheme="majorBidi"/>
          <w:sz w:val="20"/>
          <w:szCs w:val="20"/>
        </w:rPr>
        <w:t>[« On connaît et on pense que la cécité affecte en vérité la vue, c’est-à-dire que l’iris est infecté par ce qui l’empêche de voire la lumière ; utiliser donc ce terme pour le cœur est une métaphore et une allégorie. Et lorsqu’il s’agit de prouver ce qui est contraire à l’usage, à savoir : attribuer la cécité au cœur et pas à la vue, cela a exigé plus de spécification et plus de précision [à propos de l’ajout de la proposition relative « </w:t>
      </w:r>
      <w:r w:rsidRPr="00F230F1">
        <w:rPr>
          <w:rFonts w:asciiTheme="majorBidi" w:hAnsiTheme="majorBidi" w:cstheme="majorBidi"/>
          <w:i/>
          <w:iCs/>
          <w:sz w:val="20"/>
          <w:szCs w:val="20"/>
        </w:rPr>
        <w:t>allatī fi-ṣ-ṣudūr </w:t>
      </w:r>
      <w:r w:rsidRPr="00F230F1">
        <w:rPr>
          <w:rFonts w:asciiTheme="majorBidi" w:hAnsiTheme="majorBidi" w:cstheme="majorBidi"/>
          <w:sz w:val="20"/>
          <w:szCs w:val="20"/>
        </w:rPr>
        <w:t>» (qui sont dans les poitrines) après le mot « </w:t>
      </w:r>
      <w:r w:rsidRPr="00F230F1">
        <w:rPr>
          <w:rFonts w:asciiTheme="majorBidi" w:hAnsiTheme="majorBidi" w:cstheme="majorBidi"/>
          <w:i/>
          <w:iCs/>
          <w:sz w:val="20"/>
          <w:szCs w:val="20"/>
        </w:rPr>
        <w:t>qulūb</w:t>
      </w:r>
      <w:r w:rsidRPr="00F230F1">
        <w:rPr>
          <w:rFonts w:asciiTheme="majorBidi" w:hAnsiTheme="majorBidi" w:cstheme="majorBidi"/>
          <w:sz w:val="20"/>
          <w:szCs w:val="20"/>
        </w:rPr>
        <w:t> » (cœurs)] pour qu’il soit admis que la cécité affecte le cœur et pas la vue. »]</w:t>
      </w:r>
    </w:p>
  </w:footnote>
  <w:footnote w:id="572">
    <w:p w14:paraId="54FB013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Jean-Pierre Faye, </w:t>
      </w:r>
      <w:r w:rsidRPr="00F230F1">
        <w:rPr>
          <w:rFonts w:asciiTheme="majorBidi" w:hAnsiTheme="majorBidi" w:cstheme="majorBidi"/>
          <w:i/>
          <w:iCs/>
          <w:sz w:val="20"/>
          <w:szCs w:val="20"/>
        </w:rPr>
        <w:t>Le siècle des idéologies</w:t>
      </w:r>
      <w:r w:rsidRPr="00F230F1">
        <w:rPr>
          <w:rFonts w:asciiTheme="majorBidi" w:hAnsiTheme="majorBidi" w:cstheme="majorBidi"/>
          <w:sz w:val="20"/>
          <w:szCs w:val="20"/>
        </w:rPr>
        <w:t>, Armand Colin, 1996, Pocket, 2002, Paris.</w:t>
      </w:r>
    </w:p>
  </w:footnote>
  <w:footnote w:id="573">
    <w:p w14:paraId="3C6A50DB"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 xml:space="preserve">L’idée de la </w:t>
      </w:r>
      <w:r w:rsidRPr="00F230F1">
        <w:rPr>
          <w:rFonts w:asciiTheme="majorBidi" w:eastAsia="Calibri" w:hAnsiTheme="majorBidi" w:cstheme="majorBidi"/>
          <w:sz w:val="20"/>
          <w:szCs w:val="20"/>
        </w:rPr>
        <w:t>complémentarité</w:t>
      </w:r>
      <w:r w:rsidRPr="00F230F1">
        <w:rPr>
          <w:rFonts w:asciiTheme="majorBidi" w:eastAsia="SimSun" w:hAnsiTheme="majorBidi" w:cstheme="majorBidi"/>
          <w:sz w:val="20"/>
          <w:szCs w:val="20"/>
          <w:lang w:eastAsia="zh-CN"/>
        </w:rPr>
        <w:t xml:space="preserve"> des traductions a été défendue par </w:t>
      </w:r>
      <w:r w:rsidRPr="00F230F1">
        <w:rPr>
          <w:rFonts w:asciiTheme="majorBidi" w:eastAsia="Calibri" w:hAnsiTheme="majorBidi" w:cstheme="majorBidi"/>
          <w:sz w:val="20"/>
          <w:szCs w:val="20"/>
        </w:rPr>
        <w:t>Maurice</w:t>
      </w:r>
      <w:r w:rsidRPr="00F230F1">
        <w:rPr>
          <w:rFonts w:asciiTheme="majorBidi" w:eastAsia="Calibri" w:hAnsiTheme="majorBidi" w:cstheme="majorBidi"/>
          <w:smallCaps/>
          <w:sz w:val="20"/>
          <w:szCs w:val="20"/>
        </w:rPr>
        <w:t xml:space="preserve"> </w:t>
      </w:r>
      <w:r w:rsidRPr="00F230F1">
        <w:rPr>
          <w:rFonts w:asciiTheme="majorBidi" w:eastAsia="Calibri" w:hAnsiTheme="majorBidi" w:cstheme="majorBidi"/>
          <w:sz w:val="20"/>
          <w:szCs w:val="20"/>
        </w:rPr>
        <w:t>Borrmans</w:t>
      </w:r>
      <w:r w:rsidRPr="00F230F1">
        <w:rPr>
          <w:rFonts w:asciiTheme="majorBidi" w:hAnsiTheme="majorBidi" w:cstheme="majorBidi"/>
          <w:sz w:val="20"/>
          <w:szCs w:val="20"/>
        </w:rPr>
        <w:t xml:space="preserve"> </w:t>
      </w:r>
      <w:r w:rsidRPr="00F230F1">
        <w:rPr>
          <w:rFonts w:asciiTheme="majorBidi" w:eastAsia="SimSun" w:hAnsiTheme="majorBidi" w:cstheme="majorBidi"/>
          <w:sz w:val="20"/>
          <w:szCs w:val="20"/>
          <w:lang w:eastAsia="zh-CN"/>
        </w:rPr>
        <w:t>qui souligne que</w:t>
      </w:r>
      <w:r w:rsidRPr="00F230F1">
        <w:rPr>
          <w:rFonts w:asciiTheme="majorBidi" w:eastAsia="Times New Roman" w:hAnsiTheme="majorBidi" w:cstheme="majorBidi"/>
          <w:sz w:val="20"/>
          <w:szCs w:val="20"/>
        </w:rPr>
        <w:t xml:space="preserve"> l’on peut atteindre la richesse polysémique du texte-source en accumulant les traductions (</w:t>
      </w:r>
      <w:r w:rsidRPr="00F230F1">
        <w:rPr>
          <w:rFonts w:asciiTheme="majorBidi" w:eastAsia="Calibri" w:hAnsiTheme="majorBidi" w:cstheme="majorBidi"/>
          <w:sz w:val="20"/>
          <w:szCs w:val="20"/>
        </w:rPr>
        <w:t>Borrmans</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Maurice</w:t>
      </w:r>
      <w:r w:rsidRPr="00F230F1">
        <w:rPr>
          <w:rFonts w:asciiTheme="majorBidi" w:hAnsiTheme="majorBidi" w:cstheme="majorBidi"/>
          <w:sz w:val="20"/>
          <w:szCs w:val="20"/>
        </w:rPr>
        <w:t>, « </w:t>
      </w:r>
      <w:r w:rsidRPr="00F230F1">
        <w:rPr>
          <w:rFonts w:asciiTheme="majorBidi" w:eastAsia="Calibri" w:hAnsiTheme="majorBidi" w:cstheme="majorBidi"/>
          <w:sz w:val="20"/>
          <w:szCs w:val="20"/>
        </w:rPr>
        <w:t>Les traductions françaises du Cor</w:t>
      </w:r>
      <w:r w:rsidRPr="00F230F1">
        <w:rPr>
          <w:rFonts w:asciiTheme="majorBidi" w:hAnsiTheme="majorBidi" w:cstheme="majorBidi"/>
          <w:sz w:val="20"/>
          <w:szCs w:val="20"/>
        </w:rPr>
        <w:t>an : présentation et évaluation », ARCRE [Action pour la Rencontre des Cultures et Religions en Europe], 19/10/2014</w:t>
      </w:r>
      <w:r w:rsidRPr="00F230F1">
        <w:rPr>
          <w:rFonts w:asciiTheme="majorBidi" w:eastAsia="SimSun" w:hAnsiTheme="majorBidi" w:cstheme="majorBidi"/>
          <w:sz w:val="20"/>
          <w:szCs w:val="20"/>
          <w:lang w:eastAsia="zh-CN"/>
        </w:rPr>
        <w:t xml:space="preserve">) </w:t>
      </w:r>
      <w:r w:rsidRPr="00F230F1">
        <w:rPr>
          <w:rFonts w:asciiTheme="majorBidi" w:hAnsiTheme="majorBidi" w:cstheme="majorBidi"/>
          <w:sz w:val="20"/>
          <w:szCs w:val="20"/>
        </w:rPr>
        <w:t xml:space="preserve">et par </w:t>
      </w:r>
      <w:r w:rsidRPr="00F230F1">
        <w:rPr>
          <w:rFonts w:asciiTheme="majorBidi" w:eastAsia="Calibri" w:hAnsiTheme="majorBidi" w:cstheme="majorBidi"/>
          <w:sz w:val="20"/>
          <w:szCs w:val="20"/>
        </w:rPr>
        <w:t>Christiane Dieterlé</w:t>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qui signale que la pluralité des traductions constitue une complémentarité nécessaire dans la ligne même du pluralisme biblique</w:t>
      </w:r>
      <w:r w:rsidRPr="00F230F1">
        <w:rPr>
          <w:rFonts w:asciiTheme="majorBidi" w:hAnsiTheme="majorBidi" w:cstheme="majorBidi"/>
          <w:sz w:val="20"/>
          <w:szCs w:val="20"/>
        </w:rPr>
        <w:t xml:space="preserve"> (Dieterlé, Christiane, « La Bible au risques des traductions », Foi &amp; Vie, </w:t>
      </w:r>
      <w:r w:rsidRPr="00F230F1">
        <w:rPr>
          <w:rFonts w:asciiTheme="majorBidi" w:hAnsiTheme="majorBidi" w:cstheme="majorBidi"/>
          <w:i/>
          <w:iCs/>
          <w:sz w:val="20"/>
          <w:szCs w:val="20"/>
        </w:rPr>
        <w:t>Cahiers Bibliques</w:t>
      </w:r>
      <w:r w:rsidRPr="00F230F1">
        <w:rPr>
          <w:rFonts w:asciiTheme="majorBidi" w:hAnsiTheme="majorBidi" w:cstheme="majorBidi"/>
          <w:sz w:val="20"/>
          <w:szCs w:val="20"/>
        </w:rPr>
        <w:t xml:space="preserve"> n° 41, Septembre 2002, p. 32).</w:t>
      </w:r>
    </w:p>
  </w:footnote>
  <w:footnote w:id="574">
    <w:p w14:paraId="55ACAC09"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Joseph </w:t>
      </w:r>
      <w:r w:rsidRPr="00F230F1">
        <w:rPr>
          <w:rFonts w:asciiTheme="majorBidi" w:eastAsia="Times New Roman" w:hAnsiTheme="majorBidi" w:cstheme="majorBidi"/>
          <w:sz w:val="20"/>
          <w:szCs w:val="20"/>
          <w:lang w:bidi="ar-AE"/>
        </w:rPr>
        <w:t>Azzi</w:t>
      </w:r>
      <w:r w:rsidRPr="00F230F1">
        <w:rPr>
          <w:rFonts w:asciiTheme="majorBidi" w:hAnsiTheme="majorBidi" w:cstheme="majorBidi"/>
          <w:sz w:val="20"/>
          <w:szCs w:val="20"/>
        </w:rPr>
        <w:t xml:space="preserve">, </w:t>
      </w:r>
      <w:r w:rsidRPr="00F230F1">
        <w:rPr>
          <w:rFonts w:asciiTheme="majorBidi" w:eastAsia="Calibri" w:hAnsiTheme="majorBidi" w:cstheme="majorBidi"/>
          <w:i/>
          <w:iCs/>
          <w:sz w:val="20"/>
          <w:szCs w:val="20"/>
        </w:rPr>
        <w:t>Le Prêtre et le Prophète : aux sources du Coran</w:t>
      </w:r>
      <w:r w:rsidRPr="00F230F1">
        <w:rPr>
          <w:rFonts w:asciiTheme="majorBidi" w:eastAsia="Calibri" w:hAnsiTheme="majorBidi" w:cstheme="majorBidi"/>
          <w:sz w:val="20"/>
          <w:szCs w:val="20"/>
        </w:rPr>
        <w:t>, trad. de l’arabe par Maurice S. Garnier, Maisonneuve et Larose, Paris 2001.</w:t>
      </w:r>
    </w:p>
    <w:p w14:paraId="5C50C43D" w14:textId="77777777" w:rsidR="009C3BB9" w:rsidRPr="00F230F1" w:rsidRDefault="009C3BB9" w:rsidP="00F230F1">
      <w:pPr>
        <w:pStyle w:val="Notedebasdepage"/>
        <w:contextualSpacing/>
        <w:jc w:val="both"/>
        <w:rPr>
          <w:rFonts w:asciiTheme="majorBidi" w:hAnsiTheme="majorBidi" w:cstheme="majorBidi"/>
          <w:sz w:val="20"/>
          <w:szCs w:val="20"/>
        </w:rPr>
      </w:pPr>
    </w:p>
  </w:footnote>
  <w:footnote w:id="575">
    <w:p w14:paraId="21853260" w14:textId="77777777" w:rsidR="009C3BB9" w:rsidRPr="002A0322" w:rsidRDefault="009C3BB9" w:rsidP="00F230F1">
      <w:pPr>
        <w:pStyle w:val="Notedebasdepage"/>
        <w:contextualSpacing/>
        <w:jc w:val="both"/>
        <w:rPr>
          <w:rFonts w:asciiTheme="majorBidi" w:hAnsiTheme="majorBidi" w:cstheme="majorBidi"/>
          <w:sz w:val="20"/>
          <w:szCs w:val="20"/>
        </w:rPr>
      </w:pPr>
      <w:r w:rsidRPr="002A0322">
        <w:rPr>
          <w:rStyle w:val="Appelnotedebasdep"/>
          <w:rFonts w:asciiTheme="majorBidi" w:hAnsiTheme="majorBidi" w:cstheme="majorBidi"/>
          <w:sz w:val="20"/>
          <w:szCs w:val="20"/>
        </w:rPr>
        <w:footnoteRef/>
      </w:r>
      <w:r w:rsidRPr="002A0322">
        <w:rPr>
          <w:rFonts w:asciiTheme="majorBidi" w:hAnsiTheme="majorBidi" w:cstheme="majorBidi"/>
          <w:sz w:val="20"/>
          <w:szCs w:val="20"/>
        </w:rPr>
        <w:t xml:space="preserve"> L’astérisque est mis par Abdelaziz comme renvoi à une note.</w:t>
      </w:r>
    </w:p>
  </w:footnote>
  <w:footnote w:id="576">
    <w:p w14:paraId="0DEA5B07" w14:textId="77777777" w:rsidR="009C3BB9" w:rsidRPr="002A0322" w:rsidRDefault="009C3BB9" w:rsidP="00F230F1">
      <w:pPr>
        <w:pStyle w:val="Notedebasdepage"/>
        <w:contextualSpacing/>
        <w:jc w:val="both"/>
        <w:rPr>
          <w:rFonts w:asciiTheme="majorBidi" w:hAnsiTheme="majorBidi" w:cstheme="majorBidi"/>
          <w:sz w:val="20"/>
          <w:szCs w:val="20"/>
        </w:rPr>
      </w:pPr>
      <w:r w:rsidRPr="002A0322">
        <w:rPr>
          <w:rStyle w:val="Appelnotedebasdep"/>
          <w:rFonts w:asciiTheme="majorBidi" w:hAnsiTheme="majorBidi" w:cstheme="majorBidi"/>
          <w:sz w:val="20"/>
          <w:szCs w:val="20"/>
        </w:rPr>
        <w:footnoteRef/>
      </w:r>
      <w:r w:rsidRPr="002A0322">
        <w:rPr>
          <w:rFonts w:asciiTheme="majorBidi" w:hAnsiTheme="majorBidi" w:cstheme="majorBidi"/>
          <w:sz w:val="20"/>
          <w:szCs w:val="20"/>
        </w:rPr>
        <w:t xml:space="preserve"> </w:t>
      </w:r>
      <w:r w:rsidRPr="002A0322">
        <w:rPr>
          <w:rFonts w:asciiTheme="majorBidi" w:hAnsiTheme="majorBidi" w:cstheme="majorBidi"/>
          <w:i/>
          <w:iCs/>
          <w:sz w:val="20"/>
          <w:szCs w:val="20"/>
        </w:rPr>
        <w:t xml:space="preserve">Le Qur’ān. Traduction du sens de ses Versets </w:t>
      </w:r>
      <w:r w:rsidRPr="002A0322">
        <w:rPr>
          <w:rFonts w:asciiTheme="majorBidi" w:hAnsiTheme="majorBidi" w:cstheme="majorBidi"/>
          <w:sz w:val="20"/>
          <w:szCs w:val="20"/>
        </w:rPr>
        <w:t>par Zeinab Abdelaziz, op. cit</w:t>
      </w:r>
      <w:r w:rsidRPr="002A0322">
        <w:rPr>
          <w:rFonts w:asciiTheme="majorBidi" w:hAnsiTheme="majorBidi" w:cstheme="majorBidi"/>
          <w:sz w:val="20"/>
          <w:szCs w:val="20"/>
          <w:lang w:eastAsia="fr-FR"/>
        </w:rPr>
        <w:t>., « Avant-Propos », p. 11.</w:t>
      </w:r>
    </w:p>
  </w:footnote>
  <w:footnote w:id="577">
    <w:p w14:paraId="72B2E05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Cf.</w:t>
      </w:r>
      <w:r w:rsidRPr="00F230F1">
        <w:rPr>
          <w:rFonts w:asciiTheme="majorBidi" w:hAnsiTheme="majorBidi" w:cstheme="majorBidi"/>
          <w:sz w:val="20"/>
          <w:szCs w:val="20"/>
        </w:rPr>
        <w:t xml:space="preserve"> site </w:t>
      </w:r>
      <w:r w:rsidRPr="00F230F1">
        <w:rPr>
          <w:rFonts w:asciiTheme="majorBidi" w:hAnsiTheme="majorBidi" w:cstheme="majorBidi"/>
          <w:i/>
          <w:iCs/>
          <w:sz w:val="20"/>
          <w:szCs w:val="20"/>
        </w:rPr>
        <w:t>Mawsūʿat an-Nābulsī</w:t>
      </w:r>
      <w:r w:rsidRPr="00F230F1">
        <w:rPr>
          <w:rFonts w:asciiTheme="majorBidi" w:hAnsiTheme="majorBidi" w:cstheme="majorBidi"/>
          <w:sz w:val="20"/>
          <w:szCs w:val="20"/>
        </w:rPr>
        <w:t xml:space="preserve">, </w:t>
      </w:r>
      <w:hyperlink r:id="rId177" w:history="1">
        <w:r w:rsidRPr="00F230F1">
          <w:rPr>
            <w:rStyle w:val="Lienhypertexte"/>
            <w:rFonts w:asciiTheme="majorBidi" w:hAnsiTheme="majorBidi" w:cstheme="majorBidi"/>
            <w:sz w:val="20"/>
            <w:szCs w:val="20"/>
          </w:rPr>
          <w:t>http://nabulsi.com/blue/ar/artp.php?art=4308</w:t>
        </w:r>
      </w:hyperlink>
      <w:r w:rsidRPr="00F230F1">
        <w:rPr>
          <w:rFonts w:asciiTheme="majorBidi" w:hAnsiTheme="majorBidi" w:cstheme="majorBidi"/>
          <w:sz w:val="20"/>
          <w:szCs w:val="20"/>
        </w:rPr>
        <w:t xml:space="preserve"> (consulté le 24/08/2017). Voir aussi : Muḥammad Rātib an-Nābulsī, </w:t>
      </w:r>
      <w:r w:rsidRPr="00F230F1">
        <w:rPr>
          <w:rFonts w:asciiTheme="majorBidi" w:hAnsiTheme="majorBidi" w:cstheme="majorBidi"/>
          <w:i/>
          <w:iCs/>
          <w:sz w:val="20"/>
          <w:szCs w:val="20"/>
        </w:rPr>
        <w:t>Mawsūʿat al-iʿjāz al-ʿilmī fī l-qurʾān wa-s-sunna. Āyāt Allāh fī l-āfāq</w:t>
      </w:r>
      <w:r w:rsidRPr="00F230F1">
        <w:rPr>
          <w:rFonts w:asciiTheme="majorBidi" w:hAnsiTheme="majorBidi" w:cstheme="majorBidi"/>
          <w:sz w:val="20"/>
          <w:szCs w:val="20"/>
        </w:rPr>
        <w:t>, éditions Dār al-Maktabī, Damas, deuxième édition, 2005, p. 60 (version électronique).</w:t>
      </w:r>
    </w:p>
    <w:p w14:paraId="5354C69D" w14:textId="77777777" w:rsidR="009C3BB9" w:rsidRPr="00F230F1" w:rsidRDefault="009C3BB9" w:rsidP="00F230F1">
      <w:pPr>
        <w:pStyle w:val="Notedebasdepage"/>
        <w:contextualSpacing/>
        <w:rPr>
          <w:rFonts w:asciiTheme="majorBidi" w:hAnsiTheme="majorBidi" w:cstheme="majorBidi"/>
          <w:sz w:val="20"/>
          <w:szCs w:val="20"/>
          <w:rtl/>
        </w:rPr>
      </w:pPr>
    </w:p>
  </w:footnote>
  <w:footnote w:id="578">
    <w:p w14:paraId="7654559D"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Mathieu Guidère, </w:t>
      </w:r>
      <w:r w:rsidRPr="00F230F1">
        <w:rPr>
          <w:rFonts w:asciiTheme="majorBidi" w:eastAsia="Times New Roman" w:hAnsiTheme="majorBidi" w:cstheme="majorBidi"/>
          <w:i/>
          <w:iCs/>
          <w:sz w:val="20"/>
          <w:szCs w:val="20"/>
        </w:rPr>
        <w:t>Introduction à la traductologie. Penser la traduction : hier, aujourd’hui, demain</w:t>
      </w:r>
      <w:r w:rsidRPr="00F230F1">
        <w:rPr>
          <w:rFonts w:asciiTheme="majorBidi" w:eastAsia="Times New Roman" w:hAnsiTheme="majorBidi" w:cstheme="majorBidi"/>
          <w:sz w:val="20"/>
          <w:szCs w:val="20"/>
        </w:rPr>
        <w:t>, De Boeck, Bruxelles, 2010 (1</w:t>
      </w:r>
      <w:r w:rsidRPr="00F230F1">
        <w:rPr>
          <w:rFonts w:asciiTheme="majorBidi" w:eastAsia="Times New Roman" w:hAnsiTheme="majorBidi" w:cstheme="majorBidi"/>
          <w:sz w:val="20"/>
          <w:szCs w:val="20"/>
          <w:vertAlign w:val="superscript"/>
        </w:rPr>
        <w:t>ère</w:t>
      </w:r>
      <w:r w:rsidRPr="00F230F1">
        <w:rPr>
          <w:rFonts w:asciiTheme="majorBidi" w:eastAsia="Times New Roman" w:hAnsiTheme="majorBidi" w:cstheme="majorBidi"/>
          <w:sz w:val="20"/>
          <w:szCs w:val="20"/>
        </w:rPr>
        <w:t xml:space="preserve"> éd. 2008), p. 25-26.</w:t>
      </w:r>
    </w:p>
  </w:footnote>
  <w:footnote w:id="579">
    <w:p w14:paraId="1C656D6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Mark Shuttleworth &amp; Moira Cowie, </w:t>
      </w:r>
      <w:r w:rsidRPr="00F230F1">
        <w:rPr>
          <w:rFonts w:asciiTheme="majorBidi" w:hAnsiTheme="majorBidi" w:cstheme="majorBidi"/>
          <w:i/>
          <w:iCs/>
          <w:sz w:val="20"/>
          <w:szCs w:val="20"/>
        </w:rPr>
        <w:t>Dictionary of Translation Studies</w:t>
      </w:r>
      <w:r w:rsidRPr="00F230F1">
        <w:rPr>
          <w:rFonts w:asciiTheme="majorBidi" w:hAnsiTheme="majorBidi" w:cstheme="majorBidi"/>
          <w:sz w:val="20"/>
          <w:szCs w:val="20"/>
        </w:rPr>
        <w:t>, Routledge, London and New York, 2014, p. 59 (première édition 1997 par St Jerome Publishing), [</w:t>
      </w:r>
      <w:hyperlink r:id="rId178" w:anchor="v=onepage&amp;q=%22foreignizing%20strategy%22%20%22Venuti%22&amp;f=false" w:history="1">
        <w:r w:rsidRPr="00F230F1">
          <w:rPr>
            <w:rStyle w:val="Lienhypertexte"/>
            <w:rFonts w:asciiTheme="majorBidi" w:hAnsiTheme="majorBidi" w:cstheme="majorBidi"/>
            <w:sz w:val="20"/>
            <w:szCs w:val="20"/>
          </w:rPr>
          <w:t>https://books.google.fr/books?id=evFQAwAAQBAJ&amp;pg=PA59&amp;lpg=PA59&amp;dq=%22foreignizing+strategy%22+%22Venuti%22&amp;source=bl&amp;ots=qT_7EzIDAY&amp;sig=B7JSM_q7CD8F6jdcbNFNgkl8xFY&amp;hl=fr&amp;sa=X&amp;ved=0ahUKEwij6bK0gNvVAhVCXRQKHWsnA8wQ6AEIVTAF#v=onepage&amp;q=%22foreignizing%20strategy%22%20%22Venuti%22&amp;f=false</w:t>
        </w:r>
      </w:hyperlink>
      <w:r w:rsidRPr="00F230F1">
        <w:rPr>
          <w:rFonts w:asciiTheme="majorBidi" w:hAnsiTheme="majorBidi" w:cstheme="majorBidi"/>
          <w:sz w:val="20"/>
          <w:szCs w:val="20"/>
        </w:rPr>
        <w:t xml:space="preserve">] (consulté le 16/08/2017). Ira Torresi, « Domesticating or Foreignizing Foreignization? Joyce Translation as a Test for Venuti’s Theories », Papers on Joyce13 (2007): 91-102, </w:t>
      </w:r>
      <w:hyperlink r:id="rId179" w:history="1">
        <w:r w:rsidRPr="00F230F1">
          <w:rPr>
            <w:rStyle w:val="Lienhypertexte"/>
            <w:rFonts w:asciiTheme="majorBidi" w:hAnsiTheme="majorBidi" w:cstheme="majorBidi"/>
            <w:sz w:val="20"/>
            <w:szCs w:val="20"/>
          </w:rPr>
          <w:t>http://www.siff.us.es/iberjoyce/wp-content/uploads/2013/11/PoJ-13-Domesticating-Venuti-Torresi-91-102.pdf</w:t>
        </w:r>
      </w:hyperlink>
      <w:r w:rsidRPr="00F230F1">
        <w:rPr>
          <w:rFonts w:asciiTheme="majorBidi" w:hAnsiTheme="majorBidi" w:cstheme="majorBidi"/>
          <w:sz w:val="20"/>
          <w:szCs w:val="20"/>
        </w:rPr>
        <w:t xml:space="preserve"> (consulté le 16/08/2017).</w:t>
      </w:r>
    </w:p>
  </w:footnote>
  <w:footnote w:id="580">
    <w:p w14:paraId="7A2314E8" w14:textId="77777777" w:rsidR="009C3BB9" w:rsidRPr="00F230F1" w:rsidRDefault="009C3BB9" w:rsidP="00F230F1">
      <w:pPr>
        <w:tabs>
          <w:tab w:val="right" w:pos="851"/>
        </w:tabs>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Berman, </w:t>
      </w:r>
      <w:r w:rsidRPr="00F230F1">
        <w:rPr>
          <w:rFonts w:asciiTheme="majorBidi" w:eastAsia="Times New Roman" w:hAnsiTheme="majorBidi" w:cstheme="majorBidi"/>
          <w:i/>
          <w:iCs/>
          <w:sz w:val="20"/>
          <w:szCs w:val="20"/>
        </w:rPr>
        <w:t>La traduction et la lettre ou l’auberge du lointain</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sz w:val="20"/>
          <w:szCs w:val="20"/>
        </w:rPr>
        <w:t>op. cit.,</w:t>
      </w:r>
      <w:r w:rsidRPr="00F230F1">
        <w:rPr>
          <w:rFonts w:asciiTheme="majorBidi" w:eastAsia="Times New Roman" w:hAnsiTheme="majorBidi" w:cstheme="majorBidi"/>
          <w:sz w:val="20"/>
          <w:szCs w:val="20"/>
        </w:rPr>
        <w:t xml:space="preserve"> pp. 29 et 35.</w:t>
      </w:r>
    </w:p>
  </w:footnote>
  <w:footnote w:id="581">
    <w:p w14:paraId="2EE5F83A" w14:textId="77777777" w:rsidR="009C3BB9" w:rsidRPr="00EF3B0D" w:rsidRDefault="009C3BB9" w:rsidP="00F230F1">
      <w:pPr>
        <w:pStyle w:val="Notedebasdepage"/>
        <w:contextualSpacing/>
        <w:jc w:val="both"/>
        <w:rPr>
          <w:rFonts w:asciiTheme="majorBidi" w:hAnsiTheme="majorBidi" w:cstheme="majorBidi"/>
          <w:sz w:val="20"/>
          <w:szCs w:val="20"/>
        </w:rPr>
      </w:pPr>
      <w:r w:rsidRPr="00EF3B0D">
        <w:rPr>
          <w:rStyle w:val="Appelnotedebasdep"/>
          <w:rFonts w:asciiTheme="majorBidi" w:hAnsiTheme="majorBidi" w:cstheme="majorBidi"/>
          <w:sz w:val="20"/>
          <w:szCs w:val="20"/>
        </w:rPr>
        <w:footnoteRef/>
      </w:r>
      <w:r w:rsidRPr="00EF3B0D">
        <w:rPr>
          <w:rFonts w:asciiTheme="majorBidi" w:hAnsiTheme="majorBidi" w:cstheme="majorBidi"/>
          <w:sz w:val="20"/>
          <w:szCs w:val="20"/>
        </w:rPr>
        <w:t xml:space="preserve"> </w:t>
      </w:r>
      <w:r w:rsidRPr="00EF3B0D">
        <w:rPr>
          <w:rFonts w:asciiTheme="majorBidi" w:hAnsiTheme="majorBidi" w:cstheme="majorBidi"/>
          <w:i/>
          <w:iCs/>
          <w:sz w:val="20"/>
          <w:szCs w:val="20"/>
        </w:rPr>
        <w:t>Cf.</w:t>
      </w:r>
      <w:r w:rsidRPr="00EF3B0D">
        <w:rPr>
          <w:rFonts w:asciiTheme="majorBidi" w:hAnsiTheme="majorBidi" w:cstheme="majorBidi"/>
          <w:sz w:val="20"/>
          <w:szCs w:val="20"/>
        </w:rPr>
        <w:t xml:space="preserve"> </w:t>
      </w:r>
      <w:r w:rsidRPr="00EF3B0D">
        <w:rPr>
          <w:rFonts w:asciiTheme="majorBidi" w:hAnsiTheme="majorBidi" w:cstheme="majorBidi"/>
          <w:i/>
          <w:iCs/>
          <w:sz w:val="20"/>
          <w:szCs w:val="20"/>
        </w:rPr>
        <w:t>supra</w:t>
      </w:r>
      <w:r w:rsidRPr="00EF3B0D">
        <w:rPr>
          <w:rFonts w:asciiTheme="majorBidi" w:hAnsiTheme="majorBidi" w:cstheme="majorBidi"/>
          <w:sz w:val="20"/>
          <w:szCs w:val="20"/>
        </w:rPr>
        <w:t xml:space="preserve"> pages 13, 65, 170 &amp; 188.</w:t>
      </w:r>
    </w:p>
  </w:footnote>
  <w:footnote w:id="582">
    <w:p w14:paraId="47708AE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35.</w:t>
      </w:r>
    </w:p>
  </w:footnote>
  <w:footnote w:id="583">
    <w:p w14:paraId="438EBFB3"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Eugene Nida, </w:t>
      </w:r>
      <w:r w:rsidRPr="00F230F1">
        <w:rPr>
          <w:rFonts w:asciiTheme="majorBidi" w:hAnsiTheme="majorBidi" w:cstheme="majorBidi"/>
          <w:i/>
          <w:iCs/>
          <w:sz w:val="20"/>
          <w:szCs w:val="20"/>
        </w:rPr>
        <w:t>Towards a Science of Translating, </w:t>
      </w:r>
      <w:r w:rsidRPr="00F230F1">
        <w:rPr>
          <w:rFonts w:asciiTheme="majorBidi" w:hAnsiTheme="majorBidi" w:cstheme="majorBidi"/>
          <w:sz w:val="20"/>
          <w:szCs w:val="20"/>
        </w:rPr>
        <w:t>Leiden, E. J. Brill, 1964.</w:t>
      </w:r>
    </w:p>
  </w:footnote>
  <w:footnote w:id="584">
    <w:p w14:paraId="565D1DC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Ferhat Mameri,</w:t>
      </w:r>
      <w:r w:rsidRPr="00F230F1">
        <w:rPr>
          <w:rFonts w:asciiTheme="majorBidi" w:eastAsia="SimSun" w:hAnsiTheme="majorBidi" w:cstheme="majorBidi"/>
          <w:sz w:val="20"/>
          <w:szCs w:val="20"/>
          <w:lang w:eastAsia="zh-CN"/>
        </w:rPr>
        <w:t xml:space="preserve"> </w:t>
      </w:r>
      <w:r w:rsidRPr="00F230F1">
        <w:rPr>
          <w:rFonts w:asciiTheme="majorBidi" w:eastAsia="SimSun" w:hAnsiTheme="majorBidi" w:cstheme="majorBidi"/>
          <w:i/>
          <w:iCs/>
          <w:sz w:val="20"/>
          <w:szCs w:val="20"/>
          <w:lang w:eastAsia="zh-CN"/>
        </w:rPr>
        <w:t>Le Concept de Littéralité dans la traduction du Coran. Le cas de trois traductions</w:t>
      </w:r>
      <w:r w:rsidRPr="00F230F1">
        <w:rPr>
          <w:rFonts w:asciiTheme="majorBidi" w:eastAsia="SimSun" w:hAnsiTheme="majorBidi" w:cstheme="majorBidi"/>
          <w:sz w:val="20"/>
          <w:szCs w:val="20"/>
          <w:lang w:eastAsia="zh-CN"/>
        </w:rPr>
        <w:t xml:space="preserve"> (thèse de Doctorat),</w:t>
      </w:r>
      <w:r w:rsidRPr="00F230F1">
        <w:rPr>
          <w:rFonts w:asciiTheme="majorBidi" w:hAnsiTheme="majorBidi" w:cstheme="majorBidi"/>
          <w:sz w:val="20"/>
          <w:szCs w:val="20"/>
        </w:rPr>
        <w:t xml:space="preserve"> Département de traduction, Faculté des Lettres et des Langues, Université Mentouri, Constantine, Algérie, </w:t>
      </w:r>
      <w:r w:rsidRPr="00F230F1">
        <w:rPr>
          <w:rFonts w:asciiTheme="majorBidi" w:eastAsia="SimSun" w:hAnsiTheme="majorBidi" w:cstheme="majorBidi"/>
          <w:sz w:val="20"/>
          <w:szCs w:val="20"/>
          <w:lang w:eastAsia="zh-CN"/>
        </w:rPr>
        <w:t>2005.</w:t>
      </w:r>
    </w:p>
  </w:footnote>
  <w:footnote w:id="585">
    <w:p w14:paraId="4D4D314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Majdi Ibrahim Haji, « La problématique de l’équivalence dynamique dans la traduction du Saint Coran : Une perspective linguistique : la traduction en malais comme modèle », </w:t>
      </w:r>
      <w:r w:rsidRPr="00F230F1">
        <w:rPr>
          <w:rFonts w:asciiTheme="majorBidi" w:hAnsiTheme="majorBidi" w:cstheme="majorBidi"/>
          <w:i/>
          <w:sz w:val="20"/>
          <w:szCs w:val="20"/>
        </w:rPr>
        <w:t>Revue de l’Université de Sharjah pour les sciences humaines et sociales</w:t>
      </w:r>
      <w:r w:rsidRPr="00F230F1">
        <w:rPr>
          <w:rFonts w:asciiTheme="majorBidi" w:hAnsiTheme="majorBidi" w:cstheme="majorBidi"/>
          <w:sz w:val="20"/>
          <w:szCs w:val="20"/>
        </w:rPr>
        <w:t>, n° 293, 2009.</w:t>
      </w:r>
    </w:p>
  </w:footnote>
  <w:footnote w:id="586">
    <w:p w14:paraId="2567D7D8"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Rémi Brague, « Le Coran : Sortir du cercle ? » [« The Koran : leaving the circle ? »], </w:t>
      </w:r>
      <w:r w:rsidRPr="00F230F1">
        <w:rPr>
          <w:rFonts w:asciiTheme="majorBidi" w:hAnsiTheme="majorBidi" w:cstheme="majorBidi"/>
          <w:i/>
          <w:iCs/>
          <w:sz w:val="20"/>
          <w:szCs w:val="20"/>
        </w:rPr>
        <w:t>Critique</w:t>
      </w:r>
      <w:r w:rsidRPr="00F230F1">
        <w:rPr>
          <w:rFonts w:asciiTheme="majorBidi" w:hAnsiTheme="majorBidi" w:cstheme="majorBidi"/>
          <w:sz w:val="20"/>
          <w:szCs w:val="20"/>
        </w:rPr>
        <w:t>, avril 2003, n° 671, p.232-251.</w:t>
      </w:r>
    </w:p>
  </w:footnote>
  <w:footnote w:id="587">
    <w:p w14:paraId="1BD040A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Muḥammad Rajab Al-Bayyūmī, </w:t>
      </w:r>
      <w:r w:rsidRPr="00F230F1">
        <w:rPr>
          <w:rFonts w:asciiTheme="majorBidi" w:hAnsiTheme="majorBidi" w:cstheme="majorBidi"/>
          <w:i/>
          <w:iCs/>
          <w:sz w:val="20"/>
          <w:szCs w:val="20"/>
        </w:rPr>
        <w:t xml:space="preserve">Iʿādat qirāʾat al-qurʾān al-karīm : ad-ductur Muhammad Rajab al-Bayyūmī yaruddu ʿalā Jacques Berque </w:t>
      </w:r>
      <w:r w:rsidRPr="00F230F1">
        <w:rPr>
          <w:rFonts w:asciiTheme="majorBidi" w:hAnsiTheme="majorBidi" w:cstheme="majorBidi"/>
          <w:sz w:val="20"/>
          <w:szCs w:val="20"/>
          <w:bdr w:val="none" w:sz="0" w:space="0" w:color="auto" w:frame="1"/>
        </w:rPr>
        <w:t>[</w:t>
      </w:r>
      <w:r w:rsidRPr="00F230F1">
        <w:rPr>
          <w:rFonts w:asciiTheme="majorBidi" w:hAnsiTheme="majorBidi" w:cstheme="majorBidi"/>
          <w:i/>
          <w:iCs/>
          <w:sz w:val="20"/>
          <w:szCs w:val="20"/>
          <w:bdr w:val="none" w:sz="0" w:space="0" w:color="auto" w:frame="1"/>
        </w:rPr>
        <w:t>Relire le Coran : Dr. Muhammad Rajab al-Bayyoumi répond à Jacques Berque</w:t>
      </w:r>
      <w:r w:rsidRPr="00F230F1">
        <w:rPr>
          <w:rFonts w:asciiTheme="majorBidi" w:hAnsiTheme="majorBidi" w:cstheme="majorBidi"/>
          <w:sz w:val="20"/>
          <w:szCs w:val="20"/>
          <w:bdr w:val="none" w:sz="0" w:space="0" w:color="auto" w:frame="1"/>
        </w:rPr>
        <w:t>)</w:t>
      </w:r>
      <w:r w:rsidRPr="00F230F1">
        <w:rPr>
          <w:rFonts w:asciiTheme="majorBidi" w:hAnsiTheme="majorBidi" w:cstheme="majorBidi"/>
          <w:sz w:val="20"/>
          <w:szCs w:val="20"/>
        </w:rPr>
        <w:t>, Dār al-Hilāl, Le Caire, 1999, 400 pages.</w:t>
      </w:r>
    </w:p>
  </w:footnote>
  <w:footnote w:id="588">
    <w:p w14:paraId="1F4D0F9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lang w:val="en-US"/>
        </w:rPr>
        <w:t xml:space="preserve"> </w:t>
      </w:r>
      <w:r w:rsidRPr="00F230F1">
        <w:rPr>
          <w:rFonts w:asciiTheme="majorBidi" w:eastAsia="Times New Roman" w:hAnsiTheme="majorBidi" w:cstheme="majorBidi"/>
          <w:sz w:val="20"/>
          <w:szCs w:val="20"/>
          <w:lang w:bidi="ar-AE"/>
        </w:rPr>
        <w:t xml:space="preserve">Ibrahīm </w:t>
      </w:r>
      <w:r w:rsidRPr="00F230F1">
        <w:rPr>
          <w:rFonts w:asciiTheme="majorBidi" w:hAnsiTheme="majorBidi" w:cstheme="majorBidi"/>
          <w:i/>
          <w:iCs/>
          <w:sz w:val="20"/>
          <w:szCs w:val="20"/>
        </w:rPr>
        <w:t>ʿ</w:t>
      </w:r>
      <w:r w:rsidRPr="00F230F1">
        <w:rPr>
          <w:rFonts w:asciiTheme="majorBidi" w:eastAsia="Times New Roman" w:hAnsiTheme="majorBidi" w:cstheme="majorBidi"/>
          <w:sz w:val="20"/>
          <w:szCs w:val="20"/>
          <w:lang w:bidi="ar-AE"/>
        </w:rPr>
        <w:t>Awa</w:t>
      </w:r>
      <w:r w:rsidRPr="00F230F1">
        <w:rPr>
          <w:rFonts w:asciiTheme="majorBidi" w:eastAsia="Times New Roman" w:hAnsiTheme="majorBidi" w:cstheme="majorBidi"/>
          <w:sz w:val="20"/>
          <w:szCs w:val="20"/>
        </w:rPr>
        <w:t>ḍ</w:t>
      </w:r>
      <w:r w:rsidRPr="00F230F1">
        <w:rPr>
          <w:rFonts w:asciiTheme="majorBidi" w:hAnsiTheme="majorBidi" w:cstheme="majorBidi"/>
          <w:sz w:val="20"/>
          <w:szCs w:val="20"/>
          <w:lang w:val="en-US"/>
        </w:rPr>
        <w:t xml:space="preserve">, </w:t>
      </w:r>
      <w:r w:rsidRPr="00F230F1">
        <w:rPr>
          <w:rFonts w:asciiTheme="majorBidi" w:eastAsia="Times New Roman" w:hAnsiTheme="majorBidi" w:cstheme="majorBidi"/>
          <w:i/>
          <w:iCs/>
          <w:sz w:val="20"/>
          <w:szCs w:val="20"/>
          <w:lang w:bidi="ar-AE"/>
        </w:rPr>
        <w:t>Min Maʿārik al-ʾistishrāq ḍidd al-muṣḥaf al-sharīf. Tarjamat Jacques Berque li-l-Qurʾān al-karīm bayna al-mādiḥīn wa al-qādiḥīn</w:t>
      </w:r>
      <w:r w:rsidRPr="00F230F1">
        <w:rPr>
          <w:rFonts w:asciiTheme="majorBidi" w:eastAsia="Times New Roman" w:hAnsiTheme="majorBidi" w:cstheme="majorBidi"/>
          <w:sz w:val="20"/>
          <w:szCs w:val="20"/>
          <w:lang w:bidi="ar-AE"/>
        </w:rPr>
        <w:t xml:space="preserve"> [</w:t>
      </w:r>
      <w:r w:rsidRPr="00F230F1">
        <w:rPr>
          <w:rFonts w:asciiTheme="majorBidi" w:eastAsia="Times New Roman" w:hAnsiTheme="majorBidi" w:cstheme="majorBidi"/>
          <w:i/>
          <w:iCs/>
          <w:sz w:val="20"/>
          <w:szCs w:val="20"/>
          <w:lang w:bidi="ar-AE"/>
        </w:rPr>
        <w:t>De batailles de l’orientalisme contre le noble Coran. La traduction de Jacques Berque entre</w:t>
      </w:r>
      <w:r w:rsidRPr="00F230F1">
        <w:rPr>
          <w:rFonts w:asciiTheme="majorBidi" w:hAnsiTheme="majorBidi" w:cstheme="majorBidi"/>
          <w:i/>
          <w:iCs/>
          <w:sz w:val="20"/>
          <w:szCs w:val="20"/>
        </w:rPr>
        <w:t xml:space="preserve"> </w:t>
      </w:r>
      <w:r w:rsidRPr="00F230F1">
        <w:rPr>
          <w:rFonts w:asciiTheme="majorBidi" w:eastAsia="Times New Roman" w:hAnsiTheme="majorBidi" w:cstheme="majorBidi"/>
          <w:i/>
          <w:iCs/>
          <w:sz w:val="20"/>
          <w:szCs w:val="20"/>
          <w:lang w:bidi="ar-AE"/>
        </w:rPr>
        <w:t>les tenants et les détracteurs</w:t>
      </w:r>
      <w:r w:rsidRPr="00F230F1">
        <w:rPr>
          <w:rFonts w:asciiTheme="majorBidi" w:eastAsia="Times New Roman" w:hAnsiTheme="majorBidi" w:cstheme="majorBidi"/>
          <w:sz w:val="20"/>
          <w:szCs w:val="20"/>
          <w:lang w:bidi="ar-AE"/>
        </w:rPr>
        <w:t>]</w:t>
      </w:r>
      <w:r w:rsidRPr="00F230F1">
        <w:rPr>
          <w:rFonts w:asciiTheme="majorBidi" w:hAnsiTheme="majorBidi" w:cstheme="majorBidi"/>
          <w:sz w:val="20"/>
          <w:szCs w:val="20"/>
        </w:rPr>
        <w:t>, Maktabat Zahrāʾ al-Sharq, Le Caire, 2000.</w:t>
      </w:r>
    </w:p>
  </w:footnote>
  <w:footnote w:id="589">
    <w:p w14:paraId="6A5B4A2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Zeinab Abdelaziz,</w:t>
      </w:r>
      <w:r w:rsidRPr="00F230F1">
        <w:rPr>
          <w:rFonts w:asciiTheme="majorBidi" w:hAnsiTheme="majorBidi" w:cstheme="majorBidi"/>
          <w:i/>
          <w:iCs/>
          <w:sz w:val="20"/>
          <w:szCs w:val="20"/>
        </w:rPr>
        <w:t xml:space="preserve"> Tarjamāt al-Qurʾān ilā ayn ? Wajhān li-Jacques Berque</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Les traductions du Coran, pour aller où ? Deux visages de Jacques Berque</w:t>
      </w:r>
      <w:r w:rsidRPr="00F230F1">
        <w:rPr>
          <w:rFonts w:asciiTheme="majorBidi" w:hAnsiTheme="majorBidi" w:cstheme="majorBidi"/>
          <w:sz w:val="20"/>
          <w:szCs w:val="20"/>
        </w:rPr>
        <w:t>], Édition an-Nahār, le Caire, 2001.</w:t>
      </w:r>
    </w:p>
  </w:footnote>
  <w:footnote w:id="590">
    <w:p w14:paraId="4B3791A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Entretien avec Abdelaziz en arabe publié au forum </w:t>
      </w:r>
      <w:r w:rsidRPr="00F230F1">
        <w:rPr>
          <w:rFonts w:asciiTheme="majorBidi" w:hAnsiTheme="majorBidi" w:cstheme="majorBidi"/>
          <w:i/>
          <w:iCs/>
          <w:sz w:val="20"/>
          <w:szCs w:val="20"/>
        </w:rPr>
        <w:t>Multaqā Ahl at-tafsīr</w:t>
      </w:r>
      <w:r w:rsidRPr="00F230F1">
        <w:rPr>
          <w:rFonts w:asciiTheme="majorBidi" w:hAnsiTheme="majorBidi" w:cstheme="majorBidi"/>
          <w:sz w:val="20"/>
          <w:szCs w:val="20"/>
        </w:rPr>
        <w:t xml:space="preserve"> [</w:t>
      </w:r>
      <w:hyperlink r:id="rId180" w:history="1">
        <w:r w:rsidRPr="00F230F1">
          <w:rPr>
            <w:rStyle w:val="Lienhypertexte"/>
            <w:rFonts w:asciiTheme="majorBidi" w:hAnsiTheme="majorBidi" w:cstheme="majorBidi"/>
            <w:sz w:val="20"/>
            <w:szCs w:val="20"/>
          </w:rPr>
          <w:t>http://www.tafsir.net/vb/tafsir7800/</w:t>
        </w:r>
      </w:hyperlink>
      <w:r w:rsidRPr="00F230F1">
        <w:rPr>
          <w:rFonts w:asciiTheme="majorBidi" w:hAnsiTheme="majorBidi" w:cstheme="majorBidi"/>
          <w:sz w:val="20"/>
          <w:szCs w:val="20"/>
        </w:rPr>
        <w:t>] (consulté le 02/09/2017).</w:t>
      </w:r>
    </w:p>
  </w:footnote>
  <w:footnote w:id="591">
    <w:p w14:paraId="2DDBA05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Hassan b. Idris </w:t>
      </w:r>
      <w:r w:rsidRPr="00F230F1">
        <w:rPr>
          <w:rFonts w:asciiTheme="majorBidi" w:eastAsia="Times New Roman" w:hAnsiTheme="majorBidi" w:cstheme="majorBidi"/>
          <w:sz w:val="20"/>
          <w:szCs w:val="20"/>
          <w:lang w:bidi="ar-AE"/>
        </w:rPr>
        <w:t>ʿ</w:t>
      </w:r>
      <w:r w:rsidRPr="00F230F1">
        <w:rPr>
          <w:rFonts w:asciiTheme="majorBidi" w:hAnsiTheme="majorBidi" w:cstheme="majorBidi"/>
          <w:sz w:val="20"/>
          <w:szCs w:val="20"/>
        </w:rPr>
        <w:t xml:space="preserve">Azzūzī, </w:t>
      </w:r>
      <w:r w:rsidRPr="00F230F1">
        <w:rPr>
          <w:rFonts w:asciiTheme="majorBidi" w:eastAsia="Times New Roman" w:hAnsiTheme="majorBidi" w:cstheme="majorBidi"/>
          <w:sz w:val="20"/>
          <w:szCs w:val="20"/>
          <w:lang w:bidi="ar-AE"/>
        </w:rPr>
        <w:t>« Mulāḥaẓāt ʿalā tarjamat maʿānī al-Qurʾān al-karīm li-l-mustashriq al-firansī Jacques Berque » [« Remarques sur la traduction des sens du Coran réalisée par l’orientaliste français Jacques Berque »]</w:t>
      </w:r>
      <w:r w:rsidRPr="00F230F1">
        <w:rPr>
          <w:rFonts w:asciiTheme="majorBidi" w:hAnsiTheme="majorBidi" w:cstheme="majorBidi"/>
          <w:sz w:val="20"/>
          <w:szCs w:val="20"/>
        </w:rPr>
        <w:t>, Actes du colloque de la traduction des significations du noble Coran, Médine, Arabie saoudite, 2002.</w:t>
      </w:r>
    </w:p>
  </w:footnote>
  <w:footnote w:id="592">
    <w:p w14:paraId="5DA2057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Abdallah Cheikh-Moussa, « Méthodes et débats de l’hébraïsation moderne du Coran. À propos de la traduction du Coran par A. Chouraqui » [« Methods and Debates of The Modern Hebraization of Koran. About Traduction of Coran by A. Chouraqui »], </w:t>
      </w:r>
      <w:r w:rsidRPr="00F230F1">
        <w:rPr>
          <w:rFonts w:asciiTheme="majorBidi" w:hAnsiTheme="majorBidi" w:cstheme="majorBidi"/>
          <w:i/>
          <w:iCs/>
          <w:sz w:val="20"/>
          <w:szCs w:val="20"/>
        </w:rPr>
        <w:t>Arabica</w:t>
      </w:r>
      <w:r w:rsidRPr="00F230F1">
        <w:rPr>
          <w:rFonts w:asciiTheme="majorBidi" w:hAnsiTheme="majorBidi" w:cstheme="majorBidi"/>
          <w:sz w:val="20"/>
          <w:szCs w:val="20"/>
        </w:rPr>
        <w:t>, Vol. 42, n° 1, 1995, pp.107-126.</w:t>
      </w:r>
    </w:p>
  </w:footnote>
  <w:footnote w:id="593">
    <w:p w14:paraId="2BB7748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Guidère, </w:t>
      </w:r>
      <w:r w:rsidRPr="00F230F1">
        <w:rPr>
          <w:rFonts w:asciiTheme="majorBidi" w:eastAsia="Times New Roman" w:hAnsiTheme="majorBidi" w:cstheme="majorBidi"/>
          <w:i/>
          <w:iCs/>
          <w:sz w:val="20"/>
          <w:szCs w:val="20"/>
        </w:rPr>
        <w:t>Introduction à la traductologie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35.</w:t>
      </w:r>
    </w:p>
  </w:footnote>
  <w:footnote w:id="594">
    <w:p w14:paraId="37FD3209"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Jean Delisle, et Judith Woodsworth, </w:t>
      </w:r>
      <w:r w:rsidRPr="00F230F1">
        <w:rPr>
          <w:rFonts w:asciiTheme="majorBidi" w:hAnsiTheme="majorBidi" w:cstheme="majorBidi"/>
          <w:i/>
          <w:iCs/>
          <w:sz w:val="20"/>
          <w:szCs w:val="20"/>
        </w:rPr>
        <w:t>Les traducteurs dans l’histoire</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p>
  </w:footnote>
  <w:footnote w:id="595">
    <w:p w14:paraId="07754D7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Times New Roman" w:hAnsiTheme="majorBidi" w:cstheme="majorBidi"/>
          <w:sz w:val="20"/>
          <w:szCs w:val="20"/>
        </w:rPr>
        <w:t xml:space="preserve">Guidère, </w:t>
      </w:r>
      <w:r w:rsidRPr="00F230F1">
        <w:rPr>
          <w:rFonts w:asciiTheme="majorBidi" w:eastAsia="Times New Roman" w:hAnsiTheme="majorBidi" w:cstheme="majorBidi"/>
          <w:i/>
          <w:iCs/>
          <w:sz w:val="20"/>
          <w:szCs w:val="20"/>
        </w:rPr>
        <w:t>Introduction à la traductologie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27.</w:t>
      </w:r>
    </w:p>
  </w:footnote>
  <w:footnote w:id="596">
    <w:p w14:paraId="3A2907E0" w14:textId="77777777" w:rsidR="009C3BB9" w:rsidRPr="00F230F1" w:rsidRDefault="009C3BB9" w:rsidP="00F230F1">
      <w:pPr>
        <w:contextualSpacing/>
        <w:jc w:val="both"/>
        <w:rPr>
          <w:rFonts w:asciiTheme="majorBidi" w:eastAsia="Times New Roman"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rPr>
        <w:t xml:space="preserve">François Pouillon, </w:t>
      </w:r>
      <w:r w:rsidRPr="00F230F1">
        <w:rPr>
          <w:rFonts w:asciiTheme="majorBidi" w:eastAsia="Times New Roman" w:hAnsiTheme="majorBidi" w:cstheme="majorBidi"/>
          <w:i/>
          <w:iCs/>
          <w:sz w:val="20"/>
          <w:szCs w:val="20"/>
        </w:rPr>
        <w:t>Dictionnaire des orientalistes de langue française</w:t>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op. cit.</w:t>
      </w:r>
      <w:r w:rsidRPr="00F230F1">
        <w:rPr>
          <w:rFonts w:asciiTheme="majorBidi" w:eastAsia="Times New Roman" w:hAnsiTheme="majorBidi" w:cstheme="majorBidi"/>
          <w:sz w:val="20"/>
          <w:szCs w:val="20"/>
        </w:rPr>
        <w:t>, p. 360.</w:t>
      </w:r>
    </w:p>
  </w:footnote>
  <w:footnote w:id="597">
    <w:p w14:paraId="531FE0B5" w14:textId="77777777" w:rsidR="009C3BB9" w:rsidRPr="00F230F1" w:rsidRDefault="009C3BB9" w:rsidP="00F230F1">
      <w:pPr>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eastAsia="Calibri" w:hAnsiTheme="majorBidi" w:cstheme="majorBidi"/>
          <w:sz w:val="20"/>
          <w:szCs w:val="20"/>
        </w:rPr>
        <w:t>Maurice Borrmans</w:t>
      </w:r>
      <w:r w:rsidRPr="00F230F1">
        <w:rPr>
          <w:rFonts w:asciiTheme="majorBidi" w:hAnsiTheme="majorBidi" w:cstheme="majorBidi"/>
          <w:sz w:val="20"/>
          <w:szCs w:val="20"/>
        </w:rPr>
        <w:t>, « </w:t>
      </w:r>
      <w:r w:rsidRPr="00F230F1">
        <w:rPr>
          <w:rFonts w:asciiTheme="majorBidi" w:eastAsia="Calibri" w:hAnsiTheme="majorBidi" w:cstheme="majorBidi"/>
          <w:sz w:val="20"/>
          <w:szCs w:val="20"/>
        </w:rPr>
        <w:t>Les traductions françaises du Cor</w:t>
      </w:r>
      <w:r w:rsidRPr="00F230F1">
        <w:rPr>
          <w:rFonts w:asciiTheme="majorBidi" w:hAnsiTheme="majorBidi" w:cstheme="majorBidi"/>
          <w:sz w:val="20"/>
          <w:szCs w:val="20"/>
        </w:rPr>
        <w:t>an : présentation et évaluation »,</w:t>
      </w:r>
      <w:r w:rsidRPr="00F230F1">
        <w:rPr>
          <w:rFonts w:asciiTheme="majorBidi" w:hAnsiTheme="majorBidi" w:cstheme="majorBidi"/>
          <w:i/>
          <w:iCs/>
          <w:sz w:val="20"/>
          <w:szCs w:val="20"/>
        </w:rPr>
        <w:t xml:space="preserve"> </w:t>
      </w:r>
      <w:r w:rsidRPr="00F230F1">
        <w:rPr>
          <w:rFonts w:asciiTheme="majorBidi" w:hAnsiTheme="majorBidi" w:cstheme="majorBidi"/>
          <w:i/>
          <w:sz w:val="20"/>
          <w:szCs w:val="20"/>
        </w:rPr>
        <w:t>op. cit</w:t>
      </w:r>
      <w:r w:rsidRPr="00F230F1">
        <w:rPr>
          <w:rFonts w:asciiTheme="majorBidi" w:hAnsiTheme="majorBidi" w:cstheme="majorBidi"/>
          <w:sz w:val="20"/>
          <w:szCs w:val="20"/>
        </w:rPr>
        <w:t>.</w:t>
      </w:r>
    </w:p>
  </w:footnote>
  <w:footnote w:id="598">
    <w:p w14:paraId="08FC72C6"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Christiane Dieterlé, « La Bible au risques des traductions », </w:t>
      </w:r>
      <w:r w:rsidRPr="00F230F1">
        <w:rPr>
          <w:rFonts w:asciiTheme="majorBidi" w:hAnsiTheme="majorBidi" w:cstheme="majorBidi"/>
          <w:i/>
          <w:sz w:val="20"/>
          <w:szCs w:val="20"/>
        </w:rPr>
        <w:t>op. cit.</w:t>
      </w:r>
      <w:r w:rsidRPr="00F230F1">
        <w:rPr>
          <w:rFonts w:asciiTheme="majorBidi" w:hAnsiTheme="majorBidi" w:cstheme="majorBidi"/>
          <w:iCs/>
          <w:sz w:val="20"/>
          <w:szCs w:val="20"/>
        </w:rPr>
        <w:t>,</w:t>
      </w:r>
      <w:r w:rsidRPr="00F230F1">
        <w:rPr>
          <w:rFonts w:asciiTheme="majorBidi" w:hAnsiTheme="majorBidi" w:cstheme="majorBidi"/>
          <w:sz w:val="20"/>
          <w:szCs w:val="20"/>
        </w:rPr>
        <w:t xml:space="preserve"> p. 32.</w:t>
      </w:r>
    </w:p>
  </w:footnote>
  <w:footnote w:id="599">
    <w:p w14:paraId="57CBC27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Chédia Trabelsi, « La problématique de la traduction du Coran : étude comparative de quatre traductions françaises de la sourate "La lumière" », </w:t>
      </w:r>
      <w:r w:rsidRPr="00F230F1">
        <w:rPr>
          <w:rFonts w:asciiTheme="majorBidi" w:hAnsiTheme="majorBidi" w:cstheme="majorBidi"/>
          <w:i/>
          <w:iCs/>
          <w:sz w:val="20"/>
          <w:szCs w:val="20"/>
        </w:rPr>
        <w:t>Meta</w:t>
      </w:r>
      <w:r w:rsidRPr="00F230F1">
        <w:rPr>
          <w:rFonts w:asciiTheme="majorBidi" w:hAnsiTheme="majorBidi" w:cstheme="majorBidi"/>
          <w:sz w:val="20"/>
          <w:szCs w:val="20"/>
        </w:rPr>
        <w:t xml:space="preserve"> 453 (journal des traducteurs), vol. 45, n° 3, 2000, p. 400-411. DOI: 10.7202/004504ar.</w:t>
      </w:r>
    </w:p>
  </w:footnote>
  <w:footnote w:id="600">
    <w:p w14:paraId="3EEF187B" w14:textId="77777777" w:rsidR="009C3BB9" w:rsidRPr="00F230F1" w:rsidRDefault="009C3BB9" w:rsidP="00F230F1">
      <w:pPr>
        <w:pStyle w:val="Notedebasdepage"/>
        <w:contextualSpacing/>
        <w:jc w:val="both"/>
        <w:rPr>
          <w:rFonts w:asciiTheme="majorBidi" w:hAnsiTheme="majorBidi" w:cstheme="majorBidi"/>
          <w:sz w:val="20"/>
          <w:szCs w:val="20"/>
          <w:lang w:val="en-US"/>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sz w:val="20"/>
          <w:szCs w:val="20"/>
          <w:lang w:val="en-US"/>
        </w:rPr>
        <w:t xml:space="preserve">Afnan Fatani, « Translation and the Qur’an », </w:t>
      </w:r>
      <w:r w:rsidRPr="00F230F1">
        <w:rPr>
          <w:rFonts w:asciiTheme="majorBidi" w:hAnsiTheme="majorBidi" w:cstheme="majorBidi"/>
          <w:i/>
          <w:iCs/>
          <w:sz w:val="20"/>
          <w:szCs w:val="20"/>
          <w:lang w:val="en-US"/>
        </w:rPr>
        <w:t>in</w:t>
      </w:r>
      <w:r w:rsidRPr="00F230F1">
        <w:rPr>
          <w:rFonts w:asciiTheme="majorBidi" w:hAnsiTheme="majorBidi" w:cstheme="majorBidi"/>
          <w:sz w:val="20"/>
          <w:szCs w:val="20"/>
          <w:lang w:val="en-US"/>
        </w:rPr>
        <w:t xml:space="preserve"> Olivier Leaman (ed.), </w:t>
      </w:r>
      <w:r w:rsidRPr="00F230F1">
        <w:rPr>
          <w:rFonts w:asciiTheme="majorBidi" w:hAnsiTheme="majorBidi" w:cstheme="majorBidi"/>
          <w:i/>
          <w:iCs/>
          <w:sz w:val="20"/>
          <w:szCs w:val="20"/>
          <w:lang w:val="en-US"/>
        </w:rPr>
        <w:t>The Qur’an: An Encyclopedia</w:t>
      </w:r>
      <w:r w:rsidRPr="00F230F1">
        <w:rPr>
          <w:rFonts w:asciiTheme="majorBidi" w:hAnsiTheme="majorBidi" w:cstheme="majorBidi"/>
          <w:sz w:val="20"/>
          <w:szCs w:val="20"/>
          <w:lang w:val="en-US"/>
        </w:rPr>
        <w:t>, Routledge, Londres et New York, 2006, pp. 657-670.</w:t>
      </w:r>
    </w:p>
  </w:footnote>
  <w:footnote w:id="601">
    <w:p w14:paraId="758AFFB2"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Maḥmūd al-ʿAzab, </w:t>
      </w:r>
      <w:r w:rsidRPr="00F230F1">
        <w:rPr>
          <w:rFonts w:asciiTheme="majorBidi" w:hAnsiTheme="majorBidi" w:cstheme="majorBidi"/>
          <w:i/>
          <w:iCs/>
          <w:sz w:val="20"/>
          <w:szCs w:val="20"/>
        </w:rPr>
        <w:t>Ishkāliyyāt tarjamat maʿānī al-qurʾān al-karīm</w:t>
      </w:r>
      <w:r w:rsidRPr="00F230F1">
        <w:rPr>
          <w:rFonts w:asciiTheme="majorBidi" w:hAnsiTheme="majorBidi" w:cstheme="majorBidi"/>
          <w:sz w:val="20"/>
          <w:szCs w:val="20"/>
        </w:rPr>
        <w:t xml:space="preserve"> [Problématiques de la traduction des significations du noble Coran], Nahḍat Miṣr, le Caire, 2006, p. 107.</w:t>
      </w:r>
    </w:p>
  </w:footnote>
  <w:footnote w:id="602">
    <w:p w14:paraId="708047C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105.</w:t>
      </w:r>
    </w:p>
  </w:footnote>
  <w:footnote w:id="603">
    <w:p w14:paraId="044E575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Berman, </w:t>
      </w:r>
      <w:r w:rsidRPr="00F230F1">
        <w:rPr>
          <w:rFonts w:asciiTheme="majorBidi" w:hAnsiTheme="majorBidi" w:cstheme="majorBidi"/>
          <w:i/>
          <w:iCs/>
          <w:sz w:val="20"/>
          <w:szCs w:val="20"/>
        </w:rPr>
        <w:t>La traduction et la lettre</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71.</w:t>
      </w:r>
    </w:p>
  </w:footnote>
  <w:footnote w:id="604">
    <w:p w14:paraId="4C7A5BEF"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70.</w:t>
      </w:r>
    </w:p>
  </w:footnote>
  <w:footnote w:id="605">
    <w:p w14:paraId="0D25AEC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71.</w:t>
      </w:r>
    </w:p>
  </w:footnote>
  <w:footnote w:id="606">
    <w:p w14:paraId="79AFB32E"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Maḥmūd ash-Shab</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ān, </w:t>
      </w:r>
      <w:r w:rsidRPr="00F230F1">
        <w:rPr>
          <w:rFonts w:asciiTheme="majorBidi" w:hAnsiTheme="majorBidi" w:cstheme="majorBidi"/>
          <w:i/>
          <w:iCs/>
          <w:sz w:val="20"/>
          <w:szCs w:val="20"/>
        </w:rPr>
        <w:t>Ayna min l-qurʾān tarājim al-qurʾān</w:t>
      </w:r>
      <w:r w:rsidRPr="00F230F1">
        <w:rPr>
          <w:rFonts w:asciiTheme="majorBidi" w:hAnsiTheme="majorBidi" w:cstheme="majorBidi"/>
          <w:sz w:val="20"/>
          <w:szCs w:val="20"/>
        </w:rPr>
        <w:t>, Dār al-</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Ulamāʾ, Tunis, 1984.</w:t>
      </w:r>
    </w:p>
  </w:footnote>
  <w:footnote w:id="607">
    <w:p w14:paraId="6479DB34"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eastAsia="Times New Roman" w:hAnsiTheme="majorBidi" w:cstheme="majorBidi"/>
          <w:sz w:val="20"/>
          <w:szCs w:val="20"/>
        </w:rPr>
        <w:t xml:space="preserve"> </w:t>
      </w:r>
      <w:r w:rsidRPr="00F230F1">
        <w:rPr>
          <w:rFonts w:asciiTheme="majorBidi" w:eastAsia="Times New Roman" w:hAnsiTheme="majorBidi" w:cstheme="majorBidi"/>
          <w:i/>
          <w:iCs/>
          <w:sz w:val="20"/>
          <w:szCs w:val="20"/>
        </w:rPr>
        <w:t>Ibid.</w:t>
      </w:r>
      <w:r w:rsidRPr="00F230F1">
        <w:rPr>
          <w:rFonts w:asciiTheme="majorBidi" w:eastAsia="Times New Roman" w:hAnsiTheme="majorBidi" w:cstheme="majorBidi"/>
          <w:sz w:val="20"/>
          <w:szCs w:val="20"/>
        </w:rPr>
        <w:t xml:space="preserve"> Ici il faut faire attention au</w:t>
      </w:r>
      <w:r w:rsidRPr="00F230F1">
        <w:rPr>
          <w:rFonts w:asciiTheme="majorBidi" w:hAnsiTheme="majorBidi" w:cstheme="majorBidi"/>
          <w:sz w:val="20"/>
          <w:szCs w:val="20"/>
        </w:rPr>
        <w:t xml:space="preserve"> principe d’irréversibilité des chaînes de traduction (ICT), principe qui repose sur l’idée suivante : soit la traduction de l’expression Ei d’une langue Li par l’expression Ek d’une langue Lk, et ainsi de suite, jusqu’à l’expression Ez d’une langue Lz. Généralement, on constate que si l’on retraduit directement Ez dans Li, on n’obtient pas Ei. Cependant, cela n’empêche pas de retraduire une phrase dans la langue-source juste pour essayer de voir l’écart sémantique entre le texte de départ et la traduction.</w:t>
      </w:r>
    </w:p>
  </w:footnote>
  <w:footnote w:id="608">
    <w:p w14:paraId="31DB3E8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Al-Qurṭubī, </w:t>
      </w:r>
      <w:r w:rsidRPr="00F230F1">
        <w:rPr>
          <w:rFonts w:asciiTheme="majorBidi" w:hAnsiTheme="majorBidi" w:cstheme="majorBidi"/>
          <w:i/>
          <w:iCs/>
          <w:sz w:val="20"/>
          <w:szCs w:val="20"/>
        </w:rPr>
        <w:t>Al-Jāmiʿ li aḥkām al-Qurʾān</w:t>
      </w:r>
      <w:r w:rsidRPr="00F230F1">
        <w:rPr>
          <w:rFonts w:asciiTheme="majorBidi" w:hAnsiTheme="majorBidi" w:cstheme="majorBidi"/>
          <w:sz w:val="20"/>
          <w:szCs w:val="20"/>
        </w:rPr>
        <w:t xml:space="preserve">, « Introduction », </w:t>
      </w:r>
      <w:r w:rsidRPr="00F230F1">
        <w:rPr>
          <w:rFonts w:asciiTheme="majorBidi" w:hAnsiTheme="majorBidi" w:cstheme="majorBidi"/>
          <w:i/>
          <w:iCs/>
          <w:sz w:val="20"/>
          <w:szCs w:val="20"/>
        </w:rPr>
        <w:t>op. cit.</w:t>
      </w:r>
      <w:r w:rsidRPr="00F230F1">
        <w:rPr>
          <w:rFonts w:asciiTheme="majorBidi" w:hAnsiTheme="majorBidi" w:cstheme="majorBidi"/>
          <w:sz w:val="20"/>
          <w:szCs w:val="20"/>
        </w:rPr>
        <w:t xml:space="preserve"> Abbas Arhila, « </w:t>
      </w:r>
      <w:r w:rsidRPr="00F230F1">
        <w:rPr>
          <w:rFonts w:asciiTheme="majorBidi" w:hAnsiTheme="majorBidi" w:cstheme="majorBidi"/>
          <w:i/>
          <w:iCs/>
          <w:sz w:val="20"/>
          <w:szCs w:val="20"/>
        </w:rPr>
        <w:t>Bayān iʿjāz al-qurʾān wa-ittijāh ahl l-ḥadīth </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pp. 16-27.</w:t>
      </w:r>
    </w:p>
  </w:footnote>
  <w:footnote w:id="609">
    <w:p w14:paraId="42FA4BF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Richard Jacquemond, « Recherches sur la production littéraire arabe moderne et sur les mouvements de traduction contemporains de et vers l’arabe », </w:t>
      </w:r>
      <w:r w:rsidRPr="00F230F1">
        <w:rPr>
          <w:rFonts w:asciiTheme="majorBidi" w:hAnsiTheme="majorBidi" w:cstheme="majorBidi"/>
          <w:i/>
          <w:iCs/>
          <w:sz w:val="20"/>
          <w:szCs w:val="20"/>
        </w:rPr>
        <w:t>op. cit</w:t>
      </w:r>
      <w:r w:rsidRPr="00F230F1">
        <w:rPr>
          <w:rFonts w:asciiTheme="majorBidi" w:hAnsiTheme="majorBidi" w:cstheme="majorBidi"/>
          <w:sz w:val="20"/>
          <w:szCs w:val="20"/>
        </w:rPr>
        <w:t>., p. 44.</w:t>
      </w:r>
    </w:p>
  </w:footnote>
  <w:footnote w:id="610">
    <w:p w14:paraId="1741C9F5"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 xml:space="preserve">Uthmān </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Abd al-Qādir a</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rPr>
        <w:t>-</w:t>
      </w:r>
      <w:r w:rsidRPr="00F230F1">
        <w:rPr>
          <w:rFonts w:asciiTheme="majorBidi" w:eastAsia="Times New Roman" w:hAnsiTheme="majorBidi" w:cstheme="majorBidi"/>
          <w:sz w:val="20"/>
          <w:szCs w:val="20"/>
        </w:rPr>
        <w:t>Ṣ</w:t>
      </w:r>
      <w:r w:rsidRPr="00F230F1">
        <w:rPr>
          <w:rFonts w:asciiTheme="majorBidi" w:hAnsiTheme="majorBidi" w:cstheme="majorBidi"/>
          <w:sz w:val="20"/>
          <w:szCs w:val="20"/>
        </w:rPr>
        <w:t xml:space="preserve">āfī, </w:t>
      </w:r>
      <w:r w:rsidRPr="00F230F1">
        <w:rPr>
          <w:rFonts w:asciiTheme="majorBidi" w:hAnsiTheme="majorBidi" w:cstheme="majorBidi"/>
          <w:i/>
          <w:iCs/>
          <w:sz w:val="20"/>
          <w:szCs w:val="20"/>
        </w:rPr>
        <w:t>Al-qurʾān al-karīm, bid</w:t>
      </w:r>
      <w:r w:rsidRPr="00F230F1">
        <w:rPr>
          <w:rFonts w:asciiTheme="majorBidi" w:eastAsia="Times New Roman" w:hAnsiTheme="majorBidi" w:cstheme="majorBidi"/>
          <w:i/>
          <w:iCs/>
          <w:sz w:val="20"/>
          <w:szCs w:val="20"/>
        </w:rPr>
        <w:t>ʿ</w:t>
      </w:r>
      <w:r w:rsidRPr="00F230F1">
        <w:rPr>
          <w:rFonts w:asciiTheme="majorBidi" w:hAnsiTheme="majorBidi" w:cstheme="majorBidi"/>
          <w:i/>
          <w:iCs/>
          <w:sz w:val="20"/>
          <w:szCs w:val="20"/>
        </w:rPr>
        <w:t>iyyat tarjamat alfā</w:t>
      </w:r>
      <w:r w:rsidRPr="00F230F1">
        <w:rPr>
          <w:rFonts w:asciiTheme="majorBidi" w:eastAsia="Times New Roman" w:hAnsiTheme="majorBidi" w:cstheme="majorBidi"/>
          <w:i/>
          <w:iCs/>
          <w:sz w:val="20"/>
          <w:szCs w:val="20"/>
        </w:rPr>
        <w:t>ẓi-hi</w:t>
      </w:r>
      <w:r w:rsidRPr="00F230F1">
        <w:rPr>
          <w:rFonts w:asciiTheme="majorBidi" w:hAnsiTheme="majorBidi" w:cstheme="majorBidi"/>
          <w:i/>
          <w:iCs/>
          <w:sz w:val="20"/>
          <w:szCs w:val="20"/>
        </w:rPr>
        <w:t xml:space="preserve"> wa-maʿānī-hi wa-tafsīru-hu </w:t>
      </w:r>
      <w:r w:rsidRPr="00F230F1">
        <w:rPr>
          <w:rFonts w:asciiTheme="majorBidi" w:hAnsiTheme="majorBidi" w:cstheme="majorBidi"/>
          <w:sz w:val="20"/>
          <w:szCs w:val="20"/>
        </w:rPr>
        <w:t>[</w:t>
      </w:r>
      <w:r w:rsidRPr="00F230F1">
        <w:rPr>
          <w:rFonts w:asciiTheme="majorBidi" w:hAnsiTheme="majorBidi" w:cstheme="majorBidi"/>
          <w:i/>
          <w:iCs/>
          <w:sz w:val="20"/>
          <w:szCs w:val="20"/>
        </w:rPr>
        <w:t>Le Coran, l’hérésie de la traduction de ses mots et de ses sens et son exégèse</w:t>
      </w:r>
      <w:r w:rsidRPr="00F230F1">
        <w:rPr>
          <w:rFonts w:asciiTheme="majorBidi" w:hAnsiTheme="majorBidi" w:cstheme="majorBidi"/>
          <w:sz w:val="20"/>
          <w:szCs w:val="20"/>
        </w:rPr>
        <w:t>], ad-Dār al-ʿarabyya li-l-</w:t>
      </w:r>
      <w:r w:rsidRPr="00F230F1">
        <w:rPr>
          <w:rFonts w:asciiTheme="majorBidi" w:eastAsia="Times New Roman" w:hAnsiTheme="majorBidi" w:cstheme="majorBidi"/>
          <w:sz w:val="20"/>
          <w:szCs w:val="20"/>
        </w:rPr>
        <w:t>ʿ</w:t>
      </w:r>
      <w:r w:rsidRPr="00F230F1">
        <w:rPr>
          <w:rFonts w:asciiTheme="majorBidi" w:hAnsiTheme="majorBidi" w:cstheme="majorBidi"/>
          <w:sz w:val="20"/>
          <w:szCs w:val="20"/>
        </w:rPr>
        <w:t>ulūm - al-maktab al-islāmī li-l-ṭibāʿa wa-n-nachr, Beyrouth, 1992.</w:t>
      </w:r>
    </w:p>
  </w:footnote>
  <w:footnote w:id="611">
    <w:p w14:paraId="51ED737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Leila Abd ar-Razzāq</w:t>
      </w:r>
      <w:r w:rsidRPr="00F230F1">
        <w:rPr>
          <w:rFonts w:asciiTheme="majorBidi" w:eastAsia="Times New Roman" w:hAnsiTheme="majorBidi" w:cstheme="majorBidi"/>
          <w:sz w:val="20"/>
          <w:szCs w:val="20"/>
        </w:rPr>
        <w:t xml:space="preserve"> ʿ</w:t>
      </w:r>
      <w:r w:rsidRPr="00F230F1">
        <w:rPr>
          <w:rFonts w:asciiTheme="majorBidi" w:hAnsiTheme="majorBidi" w:cstheme="majorBidi"/>
          <w:sz w:val="20"/>
          <w:szCs w:val="20"/>
        </w:rPr>
        <w:t>Uthmān, « </w:t>
      </w:r>
      <w:r w:rsidRPr="00F230F1">
        <w:rPr>
          <w:rFonts w:asciiTheme="majorBidi" w:hAnsiTheme="majorBidi" w:cstheme="majorBidi"/>
          <w:i/>
          <w:iCs/>
          <w:sz w:val="20"/>
          <w:szCs w:val="20"/>
        </w:rPr>
        <w:t>Ishkāliyyāt tarjamat maʿānī al-qurʾān al-karīm </w:t>
      </w:r>
      <w:r w:rsidRPr="00F230F1">
        <w:rPr>
          <w:rFonts w:asciiTheme="majorBidi" w:hAnsiTheme="majorBidi" w:cstheme="majorBidi"/>
          <w:sz w:val="20"/>
          <w:szCs w:val="20"/>
        </w:rPr>
        <w:t xml:space="preserve">» [« La problématique de la traduction des sens du Coran »], 2003, site </w:t>
      </w:r>
      <w:r w:rsidRPr="00F230F1">
        <w:rPr>
          <w:rFonts w:asciiTheme="majorBidi" w:hAnsiTheme="majorBidi" w:cstheme="majorBidi"/>
          <w:i/>
          <w:iCs/>
          <w:sz w:val="20"/>
          <w:szCs w:val="20"/>
        </w:rPr>
        <w:t xml:space="preserve">Islamweb </w:t>
      </w:r>
      <w:r w:rsidRPr="00F230F1">
        <w:rPr>
          <w:rFonts w:asciiTheme="majorBidi" w:hAnsiTheme="majorBidi" w:cstheme="majorBidi"/>
          <w:sz w:val="20"/>
          <w:szCs w:val="20"/>
        </w:rPr>
        <w:t>[</w:t>
      </w:r>
      <w:hyperlink r:id="rId181" w:history="1">
        <w:r w:rsidRPr="00F230F1">
          <w:rPr>
            <w:rStyle w:val="Lienhypertexte"/>
            <w:rFonts w:asciiTheme="majorBidi" w:hAnsiTheme="majorBidi" w:cstheme="majorBidi"/>
            <w:sz w:val="20"/>
            <w:szCs w:val="20"/>
          </w:rPr>
          <w:t>http://articles.islamweb.net/media/index.php?page=article&amp;lang=A&amp;id=31105</w:t>
        </w:r>
      </w:hyperlink>
      <w:r w:rsidRPr="00F230F1">
        <w:rPr>
          <w:rFonts w:asciiTheme="majorBidi" w:hAnsiTheme="majorBidi" w:cstheme="majorBidi"/>
          <w:sz w:val="20"/>
          <w:szCs w:val="20"/>
        </w:rPr>
        <w:t>] (consulté le 31/08/2017).</w:t>
      </w:r>
    </w:p>
  </w:footnote>
  <w:footnote w:id="612">
    <w:p w14:paraId="1D72EC81"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Awaiss &amp; Abou Fadel, « Quand la parole de Dieu passe par la plume du traducteur », </w:t>
      </w:r>
      <w:r w:rsidRPr="00F230F1">
        <w:rPr>
          <w:rFonts w:asciiTheme="majorBidi" w:hAnsiTheme="majorBidi" w:cstheme="majorBidi"/>
          <w:i/>
          <w:iCs/>
          <w:sz w:val="20"/>
          <w:szCs w:val="20"/>
        </w:rPr>
        <w:t>op. cit.</w:t>
      </w:r>
      <w:r w:rsidRPr="00F230F1">
        <w:rPr>
          <w:rFonts w:asciiTheme="majorBidi" w:hAnsiTheme="majorBidi" w:cstheme="majorBidi"/>
          <w:sz w:val="20"/>
          <w:szCs w:val="20"/>
        </w:rPr>
        <w:t>, colloque « La Traduction du langage religieux… », 2008, Université de Ştefan cel Mare, Roumanie.</w:t>
      </w:r>
    </w:p>
  </w:footnote>
  <w:footnote w:id="613">
    <w:p w14:paraId="5CE7CFA7"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sz w:val="20"/>
          <w:szCs w:val="20"/>
        </w:rPr>
        <w:t xml:space="preserve">Mahmoud Azab, </w:t>
      </w:r>
      <w:r w:rsidRPr="00F230F1">
        <w:rPr>
          <w:rFonts w:asciiTheme="majorBidi" w:hAnsiTheme="majorBidi" w:cstheme="majorBidi"/>
          <w:i/>
          <w:iCs/>
          <w:sz w:val="20"/>
          <w:szCs w:val="20"/>
        </w:rPr>
        <w:t>Ishkāliyyāt tarjamat maʿānī al-qurʾān al-karīm</w:t>
      </w:r>
      <w:r w:rsidRPr="00F230F1">
        <w:rPr>
          <w:rFonts w:asciiTheme="majorBidi" w:hAnsiTheme="majorBidi" w:cstheme="majorBidi"/>
          <w:sz w:val="20"/>
          <w:szCs w:val="20"/>
        </w:rPr>
        <w:t xml:space="preserve">, </w:t>
      </w:r>
      <w:r w:rsidRPr="00F230F1">
        <w:rPr>
          <w:rFonts w:asciiTheme="majorBidi" w:hAnsiTheme="majorBidi" w:cstheme="majorBidi"/>
          <w:i/>
          <w:iCs/>
          <w:sz w:val="20"/>
          <w:szCs w:val="20"/>
        </w:rPr>
        <w:t>op. cit</w:t>
      </w:r>
      <w:r w:rsidRPr="00F230F1">
        <w:rPr>
          <w:rFonts w:asciiTheme="majorBidi" w:hAnsiTheme="majorBidi" w:cstheme="majorBidi"/>
          <w:sz w:val="20"/>
          <w:szCs w:val="20"/>
        </w:rPr>
        <w:t>., p. 14.</w:t>
      </w:r>
    </w:p>
  </w:footnote>
  <w:footnote w:id="614">
    <w:p w14:paraId="44161BC0"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pp. 31-32.</w:t>
      </w:r>
    </w:p>
  </w:footnote>
  <w:footnote w:id="615">
    <w:p w14:paraId="1F3365AD"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xml:space="preserve">, p. 50 </w:t>
      </w:r>
      <w:r w:rsidRPr="00F230F1">
        <w:rPr>
          <w:rFonts w:asciiTheme="majorBidi" w:hAnsiTheme="majorBidi" w:cstheme="majorBidi"/>
          <w:i/>
          <w:iCs/>
          <w:sz w:val="20"/>
          <w:szCs w:val="20"/>
        </w:rPr>
        <w:t>sq.</w:t>
      </w:r>
    </w:p>
  </w:footnote>
  <w:footnote w:id="616">
    <w:p w14:paraId="11D057EC"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xml:space="preserve">, p. 54 </w:t>
      </w:r>
      <w:r w:rsidRPr="00F230F1">
        <w:rPr>
          <w:rFonts w:asciiTheme="majorBidi" w:hAnsiTheme="majorBidi" w:cstheme="majorBidi"/>
          <w:i/>
          <w:iCs/>
          <w:sz w:val="20"/>
          <w:szCs w:val="20"/>
        </w:rPr>
        <w:t>sq.</w:t>
      </w:r>
    </w:p>
  </w:footnote>
  <w:footnote w:id="617">
    <w:p w14:paraId="00C9A373"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Pr>
        <w:t xml:space="preserve"> Azab souligne </w:t>
      </w:r>
      <w:r w:rsidRPr="00F230F1">
        <w:rPr>
          <w:rFonts w:asciiTheme="majorBidi" w:hAnsiTheme="majorBidi" w:cstheme="majorBidi"/>
          <w:i/>
          <w:iCs/>
          <w:sz w:val="20"/>
          <w:szCs w:val="20"/>
        </w:rPr>
        <w:t>stricto sensu </w:t>
      </w:r>
      <w:r w:rsidRPr="00F230F1">
        <w:rPr>
          <w:rFonts w:asciiTheme="majorBidi" w:hAnsiTheme="majorBidi" w:cstheme="majorBidi"/>
          <w:sz w:val="20"/>
          <w:szCs w:val="20"/>
        </w:rPr>
        <w:t>: « </w:t>
      </w:r>
      <w:r w:rsidRPr="00F230F1">
        <w:rPr>
          <w:rFonts w:asciiTheme="majorBidi" w:hAnsiTheme="majorBidi" w:cstheme="majorBidi"/>
          <w:sz w:val="20"/>
          <w:szCs w:val="20"/>
          <w:rtl/>
        </w:rPr>
        <w:t>فلدينا نحن المسلمين قرآن واحد، أما معانيه وطرق فهمه وتفاسيره فهي لا تتناهى.</w:t>
      </w:r>
      <w:r w:rsidRPr="00F230F1">
        <w:rPr>
          <w:rFonts w:asciiTheme="majorBidi" w:hAnsiTheme="majorBidi" w:cstheme="majorBidi"/>
          <w:sz w:val="20"/>
          <w:szCs w:val="20"/>
        </w:rPr>
        <w:t xml:space="preserve"> » [« En effet, nous, les musulmans, avons un seul Coran, mais quant à ses significations, ses façons de le comprendre et ses </w:t>
      </w:r>
      <w:r w:rsidRPr="00F230F1">
        <w:rPr>
          <w:rFonts w:asciiTheme="majorBidi" w:hAnsiTheme="majorBidi" w:cstheme="majorBidi"/>
          <w:i/>
          <w:iCs/>
          <w:sz w:val="20"/>
          <w:szCs w:val="20"/>
        </w:rPr>
        <w:t>tafsīr</w:t>
      </w:r>
      <w:r w:rsidRPr="00F230F1">
        <w:rPr>
          <w:rFonts w:asciiTheme="majorBidi" w:hAnsiTheme="majorBidi" w:cstheme="majorBidi"/>
          <w:sz w:val="20"/>
          <w:szCs w:val="20"/>
        </w:rPr>
        <w:t>, ils sont infinis. »] (</w:t>
      </w:r>
      <w:r w:rsidRPr="00F230F1">
        <w:rPr>
          <w:rFonts w:asciiTheme="majorBidi" w:hAnsiTheme="majorBidi" w:cstheme="majorBidi"/>
          <w:i/>
          <w:iCs/>
          <w:sz w:val="20"/>
          <w:szCs w:val="20"/>
        </w:rPr>
        <w:t>Ibid.</w:t>
      </w:r>
      <w:r w:rsidRPr="00F230F1">
        <w:rPr>
          <w:rFonts w:asciiTheme="majorBidi" w:hAnsiTheme="majorBidi" w:cstheme="majorBidi"/>
          <w:sz w:val="20"/>
          <w:szCs w:val="20"/>
        </w:rPr>
        <w:t>, p. 94).</w:t>
      </w:r>
    </w:p>
  </w:footnote>
  <w:footnote w:id="618">
    <w:p w14:paraId="5290146B" w14:textId="77777777" w:rsidR="009C3BB9" w:rsidRPr="00F230F1" w:rsidRDefault="009C3BB9" w:rsidP="00F230F1">
      <w:pPr>
        <w:pStyle w:val="Notedebasdepage"/>
        <w:contextualSpacing/>
        <w:jc w:val="both"/>
        <w:rPr>
          <w:rFonts w:asciiTheme="majorBidi" w:hAnsiTheme="majorBidi" w:cstheme="majorBidi"/>
          <w:sz w:val="20"/>
          <w:szCs w:val="20"/>
        </w:rPr>
      </w:pPr>
      <w:r w:rsidRPr="00F230F1">
        <w:rPr>
          <w:rStyle w:val="Appelnotedebasdep"/>
          <w:rFonts w:asciiTheme="majorBidi" w:hAnsiTheme="majorBidi" w:cstheme="majorBidi"/>
          <w:sz w:val="20"/>
          <w:szCs w:val="20"/>
        </w:rPr>
        <w:footnoteRef/>
      </w:r>
      <w:r w:rsidRPr="00F230F1">
        <w:rPr>
          <w:rFonts w:asciiTheme="majorBidi" w:hAnsiTheme="majorBidi" w:cstheme="majorBidi"/>
          <w:sz w:val="20"/>
          <w:szCs w:val="20"/>
          <w:rtl/>
        </w:rPr>
        <w:t xml:space="preserve"> </w:t>
      </w:r>
      <w:r w:rsidRPr="00F230F1">
        <w:rPr>
          <w:rFonts w:asciiTheme="majorBidi" w:hAnsiTheme="majorBidi" w:cstheme="majorBidi"/>
          <w:i/>
          <w:iCs/>
          <w:sz w:val="20"/>
          <w:szCs w:val="20"/>
        </w:rPr>
        <w:t>Ibid.</w:t>
      </w:r>
      <w:r w:rsidRPr="00F230F1">
        <w:rPr>
          <w:rFonts w:asciiTheme="majorBidi" w:hAnsiTheme="majorBidi" w:cstheme="majorBidi"/>
          <w:sz w:val="20"/>
          <w:szCs w:val="20"/>
        </w:rPr>
        <w:t>, p. 94-95.</w:t>
      </w:r>
    </w:p>
  </w:footnote>
  <w:footnote w:id="619">
    <w:p w14:paraId="44860D4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Disponible en ligne : BnF Gallica : </w:t>
      </w:r>
      <w:hyperlink r:id="rId182" w:history="1">
        <w:r w:rsidRPr="00B6432E">
          <w:rPr>
            <w:rStyle w:val="Lienhypertexte"/>
            <w:rFonts w:asciiTheme="majorBidi" w:hAnsiTheme="majorBidi" w:cstheme="majorBidi"/>
          </w:rPr>
          <w:t>http://gallica.bnf.fr/ark:/12148/bpt6k109735r/f2.image</w:t>
        </w:r>
      </w:hyperlink>
      <w:r w:rsidRPr="00B6432E">
        <w:rPr>
          <w:rFonts w:asciiTheme="majorBidi" w:hAnsiTheme="majorBidi" w:cstheme="majorBidi"/>
        </w:rPr>
        <w:t xml:space="preserve"> ;  </w:t>
      </w:r>
      <w:r w:rsidRPr="00B6432E">
        <w:rPr>
          <w:rFonts w:asciiTheme="majorBidi" w:hAnsiTheme="majorBidi" w:cstheme="majorBidi"/>
          <w:i/>
          <w:iCs/>
        </w:rPr>
        <w:t>Wikisource</w:t>
      </w:r>
      <w:r w:rsidRPr="00B6432E">
        <w:rPr>
          <w:rFonts w:asciiTheme="majorBidi" w:hAnsiTheme="majorBidi" w:cstheme="majorBidi"/>
        </w:rPr>
        <w:t xml:space="preserve"> : </w:t>
      </w:r>
      <w:hyperlink r:id="rId183" w:history="1">
        <w:r w:rsidRPr="00B6432E">
          <w:rPr>
            <w:rStyle w:val="Lienhypertexte"/>
            <w:rFonts w:asciiTheme="majorBidi" w:hAnsiTheme="majorBidi" w:cstheme="majorBidi"/>
          </w:rPr>
          <w:t>https://fr.wikisource.org/wiki/L’Alcoran_(Traduction_de_Du_Ryer)</w:t>
        </w:r>
      </w:hyperlink>
      <w:r w:rsidRPr="00B6432E">
        <w:rPr>
          <w:rFonts w:asciiTheme="majorBidi" w:hAnsiTheme="majorBidi" w:cstheme="majorBidi"/>
        </w:rPr>
        <w:t xml:space="preserve"> (consultés le 15/08/2017).</w:t>
      </w:r>
    </w:p>
  </w:footnote>
  <w:footnote w:id="620">
    <w:p w14:paraId="65B7CD95"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iCs/>
        </w:rPr>
        <w:t>Le Coran</w:t>
      </w:r>
      <w:r w:rsidRPr="00B6432E">
        <w:rPr>
          <w:rFonts w:asciiTheme="majorBidi" w:hAnsiTheme="majorBidi" w:cstheme="majorBidi"/>
        </w:rPr>
        <w:t xml:space="preserve">, traduction de Claude-Étienne Savary, traduit de l’arabe, accompagné de notes, précédé d’un abrégé de la vie de Mahomet, tiré des écrivains orientaux les plus estimés. Réédition de 1821 (première édition en 1782). Publié à Paris et Amsterdam par G. Dufour, Libraire. Disponible en ligne : </w:t>
      </w:r>
      <w:r w:rsidRPr="00B6432E">
        <w:rPr>
          <w:rFonts w:asciiTheme="majorBidi" w:hAnsiTheme="majorBidi" w:cstheme="majorBidi"/>
          <w:i/>
          <w:iCs/>
        </w:rPr>
        <w:t>Wikisource</w:t>
      </w:r>
      <w:r w:rsidRPr="00B6432E">
        <w:rPr>
          <w:rFonts w:asciiTheme="majorBidi" w:hAnsiTheme="majorBidi" w:cstheme="majorBidi"/>
        </w:rPr>
        <w:t xml:space="preserve"> : </w:t>
      </w:r>
      <w:hyperlink r:id="rId184" w:history="1">
        <w:r w:rsidRPr="00B6432E">
          <w:rPr>
            <w:rStyle w:val="Lienhypertexte"/>
            <w:rFonts w:asciiTheme="majorBidi" w:hAnsiTheme="majorBidi" w:cstheme="majorBidi"/>
          </w:rPr>
          <w:t>https://fr.wikisource.org/wiki/Le_Coran_(Traduction_de_Savary)</w:t>
        </w:r>
      </w:hyperlink>
      <w:r w:rsidRPr="00B6432E">
        <w:rPr>
          <w:rFonts w:asciiTheme="majorBidi" w:hAnsiTheme="majorBidi" w:cstheme="majorBidi"/>
        </w:rPr>
        <w:t xml:space="preserve"> ; Le Noble Coran : </w:t>
      </w:r>
      <w:hyperlink r:id="rId185" w:history="1">
        <w:r w:rsidRPr="00B6432E">
          <w:rPr>
            <w:rStyle w:val="Lienhypertexte"/>
            <w:rFonts w:asciiTheme="majorBidi" w:hAnsiTheme="majorBidi" w:cstheme="majorBidi"/>
          </w:rPr>
          <w:t>http://www.lenoblecoran.fr/claude-etienne-savary/</w:t>
        </w:r>
      </w:hyperlink>
      <w:r w:rsidRPr="00B6432E">
        <w:rPr>
          <w:rFonts w:asciiTheme="majorBidi" w:hAnsiTheme="majorBidi" w:cstheme="majorBidi"/>
        </w:rPr>
        <w:t xml:space="preserve"> (consultés le 15/08/2017).</w:t>
      </w:r>
    </w:p>
  </w:footnote>
  <w:footnote w:id="621">
    <w:p w14:paraId="5756ABD6"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iCs/>
        </w:rPr>
        <w:t>Le Koran</w:t>
      </w:r>
      <w:r w:rsidRPr="00B6432E">
        <w:rPr>
          <w:rFonts w:asciiTheme="majorBidi" w:hAnsiTheme="majorBidi" w:cstheme="majorBidi"/>
        </w:rPr>
        <w:t xml:space="preserve">, traduction nouvelle faite sur le texte arabe par M. Kasimirski, interprète de la légation française en Perse, 1840, 1841, 1844, Paris, Charpentier, 511 pp. ; 1970, Garnier Flammarion, avec une préface de Mohammed Arkoun ; 1997, Jean de Bonnot ; 2010, Points (coll. Sagesse).Disponible en ligne : </w:t>
      </w:r>
      <w:hyperlink r:id="rId186" w:history="1">
        <w:r w:rsidRPr="00B6432E">
          <w:rPr>
            <w:rStyle w:val="Lienhypertexte"/>
            <w:rFonts w:asciiTheme="majorBidi" w:hAnsiTheme="majorBidi" w:cstheme="majorBidi"/>
          </w:rPr>
          <w:t>http://www.lenoblecoran.fr/albert-kazimirski/</w:t>
        </w:r>
      </w:hyperlink>
      <w:r w:rsidRPr="00B6432E">
        <w:rPr>
          <w:rFonts w:asciiTheme="majorBidi" w:hAnsiTheme="majorBidi" w:cstheme="majorBidi"/>
        </w:rPr>
        <w:t xml:space="preserve"> (consulté le 15/08/2017).</w:t>
      </w:r>
    </w:p>
  </w:footnote>
  <w:footnote w:id="622">
    <w:p w14:paraId="330B215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bCs/>
        </w:rPr>
        <w:t>Régis Blachère</w:t>
      </w:r>
      <w:r w:rsidRPr="00B6432E">
        <w:rPr>
          <w:rFonts w:asciiTheme="majorBidi" w:hAnsiTheme="majorBidi" w:cstheme="majorBidi"/>
        </w:rPr>
        <w:t xml:space="preserve">, </w:t>
      </w:r>
      <w:r w:rsidRPr="00B6432E">
        <w:rPr>
          <w:rFonts w:asciiTheme="majorBidi" w:hAnsiTheme="majorBidi" w:cstheme="majorBidi"/>
          <w:i/>
        </w:rPr>
        <w:t>Le Coran</w:t>
      </w:r>
      <w:r w:rsidRPr="00B6432E">
        <w:rPr>
          <w:rFonts w:asciiTheme="majorBidi" w:hAnsiTheme="majorBidi" w:cstheme="majorBidi"/>
        </w:rPr>
        <w:t>, éditions Maisonneuve et Larose, 1980.</w:t>
      </w:r>
    </w:p>
  </w:footnote>
  <w:footnote w:id="623">
    <w:p w14:paraId="4D0BA07C" w14:textId="77777777" w:rsidR="009C3BB9" w:rsidRPr="00B6432E" w:rsidRDefault="009C3BB9" w:rsidP="00F324A5">
      <w:pPr>
        <w:contextualSpacing/>
        <w:jc w:val="both"/>
        <w:rPr>
          <w:rFonts w:asciiTheme="majorBidi" w:hAnsiTheme="majorBidi" w:cstheme="majorBidi"/>
          <w:sz w:val="20"/>
          <w:szCs w:val="20"/>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Titre tiré du verset 28. </w:t>
      </w:r>
    </w:p>
    <w:p w14:paraId="52189B9F" w14:textId="77777777" w:rsidR="009C3BB9" w:rsidRPr="00B6432E" w:rsidRDefault="009C3BB9" w:rsidP="00F324A5">
      <w:pPr>
        <w:contextualSpacing/>
        <w:jc w:val="both"/>
        <w:rPr>
          <w:rFonts w:asciiTheme="majorBidi" w:hAnsiTheme="majorBidi" w:cstheme="majorBidi"/>
          <w:sz w:val="20"/>
          <w:szCs w:val="20"/>
        </w:rPr>
      </w:pPr>
      <w:r w:rsidRPr="00B6432E">
        <w:rPr>
          <w:rFonts w:asciiTheme="majorBidi" w:hAnsiTheme="majorBidi" w:cstheme="majorBidi"/>
          <w:sz w:val="20"/>
          <w:szCs w:val="20"/>
        </w:rPr>
        <w:t>Cette sourate serait mekkoise, selon l’exégèse, sauf les versets 21/20 à 24 qui seraient médinois. En gros, il est possible de distinguer trois séries de développements. Le problème reste entier de savoir pourquoi des révélations datant de 628 se trouvent avoir pris place parmi des révélations antérieures de plusieurs années. La seule réponse plausible est que, dégagé des difficultés purement médinoises, MAHOMET reprend, dans cette sourate composite, sa prédication contre les Polythéistes mekkois réduits à l’expectative, après l’échec de la Campagne du Fossé.</w:t>
      </w:r>
    </w:p>
  </w:footnote>
  <w:footnote w:id="624">
    <w:p w14:paraId="1517162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Des données traditionnelles posent que ce verset a été révélé lors de l’expédition punitive contre les Bédouins Mustaliq, ou lors de l’expédition de Tabouk. </w:t>
      </w:r>
    </w:p>
  </w:footnote>
  <w:footnote w:id="625">
    <w:p w14:paraId="31B9A585"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Il a été écrit</w:t>
      </w:r>
      <w:r w:rsidRPr="00B6432E">
        <w:rPr>
          <w:rFonts w:asciiTheme="majorBidi" w:hAnsiTheme="majorBidi" w:cstheme="majorBidi"/>
        </w:rPr>
        <w:t xml:space="preserve">. Rappel probable de divers passages du Coran où Allah accorde à Satan d’être surtout un tentateur ; cf. par exemple sourate XV, 39 sqq. </w:t>
      </w:r>
    </w:p>
  </w:footnote>
  <w:footnote w:id="626">
    <w:p w14:paraId="3A0FA08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 verset de sept lignes se retrouve avec de légères variations dans la sourate XXIII, 14, où il détonne. A remarquer qu’ici il se trouve également inséré entre des versets courts.  - </w:t>
      </w:r>
      <w:r w:rsidRPr="00B6432E">
        <w:rPr>
          <w:rFonts w:asciiTheme="majorBidi" w:hAnsiTheme="majorBidi" w:cstheme="majorBidi"/>
          <w:i/>
        </w:rPr>
        <w:t xml:space="preserve">muḫallaqatin </w:t>
      </w:r>
      <w:r w:rsidRPr="00B6432E">
        <w:rPr>
          <w:rFonts w:asciiTheme="majorBidi" w:hAnsiTheme="majorBidi" w:cstheme="majorBidi"/>
        </w:rPr>
        <w:t xml:space="preserve">« élaborée ». Autres sens : </w:t>
      </w:r>
      <w:r w:rsidRPr="00B6432E">
        <w:rPr>
          <w:rFonts w:asciiTheme="majorBidi" w:hAnsiTheme="majorBidi" w:cstheme="majorBidi"/>
          <w:i/>
        </w:rPr>
        <w:t>formée</w:t>
      </w:r>
      <w:r w:rsidRPr="00B6432E">
        <w:rPr>
          <w:rFonts w:asciiTheme="majorBidi" w:hAnsiTheme="majorBidi" w:cstheme="majorBidi"/>
        </w:rPr>
        <w:t xml:space="preserve"> ou </w:t>
      </w:r>
      <w:r w:rsidRPr="00B6432E">
        <w:rPr>
          <w:rFonts w:asciiTheme="majorBidi" w:hAnsiTheme="majorBidi" w:cstheme="majorBidi"/>
          <w:i/>
        </w:rPr>
        <w:t>équilibrée</w:t>
      </w:r>
      <w:r w:rsidRPr="00B6432E">
        <w:rPr>
          <w:rFonts w:asciiTheme="majorBidi" w:hAnsiTheme="majorBidi" w:cstheme="majorBidi"/>
        </w:rPr>
        <w:t xml:space="preserve">. Le sens est incertain. // </w:t>
      </w:r>
      <w:r w:rsidRPr="00B6432E">
        <w:rPr>
          <w:rFonts w:asciiTheme="majorBidi" w:hAnsiTheme="majorBidi" w:cstheme="majorBidi"/>
          <w:i/>
        </w:rPr>
        <w:t>A vos yeux</w:t>
      </w:r>
      <w:r w:rsidRPr="00B6432E">
        <w:rPr>
          <w:rFonts w:asciiTheme="majorBidi" w:hAnsiTheme="majorBidi" w:cstheme="majorBidi"/>
        </w:rPr>
        <w:t xml:space="preserve">. Text. pour vous. </w:t>
      </w:r>
    </w:p>
  </w:footnote>
  <w:footnote w:id="627">
    <w:p w14:paraId="048D4FC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ṯâniya ‘iṭfi-hi</w:t>
      </w:r>
      <w:r w:rsidRPr="00B6432E">
        <w:rPr>
          <w:rFonts w:asciiTheme="majorBidi" w:hAnsiTheme="majorBidi" w:cstheme="majorBidi"/>
        </w:rPr>
        <w:t xml:space="preserve"> « par cautèle ». Text. : ployant le flanc. Autre sens possible : </w:t>
      </w:r>
      <w:r w:rsidRPr="00B6432E">
        <w:rPr>
          <w:rFonts w:asciiTheme="majorBidi" w:hAnsiTheme="majorBidi" w:cstheme="majorBidi"/>
          <w:i/>
        </w:rPr>
        <w:t xml:space="preserve">en se détournant. </w:t>
      </w:r>
    </w:p>
  </w:footnote>
  <w:footnote w:id="628">
    <w:p w14:paraId="3C395F4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Leurs mains</w:t>
      </w:r>
      <w:r w:rsidRPr="00B6432E">
        <w:rPr>
          <w:rFonts w:asciiTheme="majorBidi" w:hAnsiTheme="majorBidi" w:cstheme="majorBidi"/>
        </w:rPr>
        <w:t xml:space="preserve">. Le texte porte : </w:t>
      </w:r>
      <w:r w:rsidRPr="00B6432E">
        <w:rPr>
          <w:rFonts w:asciiTheme="majorBidi" w:hAnsiTheme="majorBidi" w:cstheme="majorBidi"/>
          <w:i/>
        </w:rPr>
        <w:t>tes mains</w:t>
      </w:r>
      <w:r w:rsidRPr="00B6432E">
        <w:rPr>
          <w:rFonts w:asciiTheme="majorBidi" w:hAnsiTheme="majorBidi" w:cstheme="majorBidi"/>
        </w:rPr>
        <w:t xml:space="preserve">, peut-être par contamination de la sourate III, 178. </w:t>
      </w:r>
    </w:p>
  </w:footnote>
  <w:footnote w:id="629">
    <w:p w14:paraId="000806A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alä harfin</w:t>
      </w:r>
      <w:r w:rsidRPr="00B6432E">
        <w:rPr>
          <w:rFonts w:asciiTheme="majorBidi" w:hAnsiTheme="majorBidi" w:cstheme="majorBidi"/>
        </w:rPr>
        <w:t xml:space="preserve"> « en balance ». Text. : sur un bord. // </w:t>
      </w:r>
      <w:r w:rsidRPr="00B6432E">
        <w:rPr>
          <w:rFonts w:asciiTheme="majorBidi" w:hAnsiTheme="majorBidi" w:cstheme="majorBidi"/>
          <w:i/>
        </w:rPr>
        <w:t>Sans retour</w:t>
      </w:r>
      <w:r w:rsidRPr="00B6432E">
        <w:rPr>
          <w:rFonts w:asciiTheme="majorBidi" w:hAnsiTheme="majorBidi" w:cstheme="majorBidi"/>
        </w:rPr>
        <w:t xml:space="preserve">. Text. : sur sa face. Autre sens possible : </w:t>
      </w:r>
      <w:r w:rsidRPr="00B6432E">
        <w:rPr>
          <w:rFonts w:asciiTheme="majorBidi" w:hAnsiTheme="majorBidi" w:cstheme="majorBidi"/>
          <w:i/>
        </w:rPr>
        <w:t>derechef</w:t>
      </w:r>
      <w:r w:rsidRPr="00B6432E">
        <w:rPr>
          <w:rFonts w:asciiTheme="majorBidi" w:hAnsiTheme="majorBidi" w:cstheme="majorBidi"/>
        </w:rPr>
        <w:t xml:space="preserve">. L’expression, avec le verbe qui précède, signifie peut-être tout simplement : </w:t>
      </w:r>
      <w:r w:rsidRPr="00B6432E">
        <w:rPr>
          <w:rFonts w:asciiTheme="majorBidi" w:hAnsiTheme="majorBidi" w:cstheme="majorBidi"/>
          <w:i/>
        </w:rPr>
        <w:t>ils font volte-face</w:t>
      </w:r>
      <w:r w:rsidRPr="00B6432E">
        <w:rPr>
          <w:rFonts w:asciiTheme="majorBidi" w:hAnsiTheme="majorBidi" w:cstheme="majorBidi"/>
        </w:rPr>
        <w:t>.</w:t>
      </w:r>
    </w:p>
  </w:footnote>
  <w:footnote w:id="630">
    <w:p w14:paraId="4EF4C7F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 verset est sans lien avec ce qui précède et paraît introduire un développement formé d’éléments hétérogènes. </w:t>
      </w:r>
    </w:p>
  </w:footnote>
  <w:footnote w:id="631">
    <w:p w14:paraId="1FA7C2D2"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La version A suppose un début de révélations sans lien avec le verset 15 et dont le commencement est perdu. La version B implique que la phrase en italique est déplacée. </w:t>
      </w:r>
    </w:p>
  </w:footnote>
  <w:footnote w:id="632">
    <w:p w14:paraId="01E9B7F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 verset paraît n’avoir reçu sa forme actuelle que tardivement. Cf. sourate II, 59, où il n’est pas fait mention des Zoroastriens. Selon toute apparence, le texte initial devait seulement opposer les Croyants aux Infidèles. Cf verset 20. </w:t>
      </w:r>
    </w:p>
  </w:footnote>
  <w:footnote w:id="633">
    <w:p w14:paraId="7E43A272"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Certaines données traditionnelles découvrent dans ces deux groupes adverses une allusion au corps des Polythéistes mekkois et des Croyants, lors du combat de Badr. </w:t>
      </w:r>
    </w:p>
  </w:footnote>
  <w:footnote w:id="634">
    <w:p w14:paraId="03BBEB3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 développement qui suit ne peut faire allusion qu’au refus des Mekkois de laisser les Croyants de Médine faire le Pèlerinage à la Mekke. Il est admissible de dater cette révélation du moment même où Mahomet projette le Pèlerinage de mars 628. </w:t>
      </w:r>
      <w:r w:rsidRPr="00B6432E">
        <w:rPr>
          <w:rFonts w:asciiTheme="majorBidi" w:hAnsiTheme="majorBidi" w:cstheme="majorBidi"/>
          <w:i/>
        </w:rPr>
        <w:t>– Ecartent du chemin d’Allah</w:t>
      </w:r>
      <w:r w:rsidRPr="00B6432E">
        <w:rPr>
          <w:rFonts w:asciiTheme="majorBidi" w:hAnsiTheme="majorBidi" w:cstheme="majorBidi"/>
        </w:rPr>
        <w:t xml:space="preserve">. Le texte porte : </w:t>
      </w:r>
      <w:r w:rsidRPr="00B6432E">
        <w:rPr>
          <w:rFonts w:asciiTheme="majorBidi" w:hAnsiTheme="majorBidi" w:cstheme="majorBidi"/>
          <w:i/>
        </w:rPr>
        <w:t>et écartent</w:t>
      </w:r>
      <w:r w:rsidRPr="00B6432E">
        <w:rPr>
          <w:rFonts w:asciiTheme="majorBidi" w:hAnsiTheme="majorBidi" w:cstheme="majorBidi"/>
        </w:rPr>
        <w:t xml:space="preserve">, mais la conjonction </w:t>
      </w:r>
      <w:r w:rsidRPr="00B6432E">
        <w:rPr>
          <w:rFonts w:asciiTheme="majorBidi" w:hAnsiTheme="majorBidi" w:cstheme="majorBidi"/>
          <w:i/>
        </w:rPr>
        <w:t xml:space="preserve">wa </w:t>
      </w:r>
      <w:r w:rsidRPr="00B6432E">
        <w:rPr>
          <w:rFonts w:asciiTheme="majorBidi" w:hAnsiTheme="majorBidi" w:cstheme="majorBidi"/>
        </w:rPr>
        <w:t>« et » crée des difficultés que les commentateurs</w:t>
      </w:r>
      <w:r>
        <w:rPr>
          <w:rFonts w:asciiTheme="majorBidi" w:hAnsiTheme="majorBidi" w:cstheme="majorBidi"/>
        </w:rPr>
        <w:t xml:space="preserve"> ne parviennent pas à surmonter</w:t>
      </w:r>
      <w:r w:rsidRPr="00B6432E">
        <w:rPr>
          <w:rFonts w:asciiTheme="majorBidi" w:hAnsiTheme="majorBidi" w:cstheme="majorBidi"/>
        </w:rPr>
        <w:t xml:space="preserve">. // </w:t>
      </w:r>
      <w:r w:rsidRPr="00B6432E">
        <w:rPr>
          <w:rFonts w:asciiTheme="majorBidi" w:hAnsiTheme="majorBidi" w:cstheme="majorBidi"/>
          <w:i/>
        </w:rPr>
        <w:t>La Mosquée Sacrée</w:t>
      </w:r>
      <w:r w:rsidRPr="00B6432E">
        <w:rPr>
          <w:rFonts w:asciiTheme="majorBidi" w:hAnsiTheme="majorBidi" w:cstheme="majorBidi"/>
        </w:rPr>
        <w:t xml:space="preserve"> = le Temple de la Mekke. Cf sourate XVII, r. // [</w:t>
      </w:r>
      <w:r w:rsidRPr="00B6432E">
        <w:rPr>
          <w:rFonts w:asciiTheme="majorBidi" w:hAnsiTheme="majorBidi" w:cstheme="majorBidi"/>
          <w:i/>
        </w:rPr>
        <w:t>Pour</w:t>
      </w:r>
      <w:r w:rsidRPr="00B6432E">
        <w:rPr>
          <w:rFonts w:asciiTheme="majorBidi" w:hAnsiTheme="majorBidi" w:cstheme="majorBidi"/>
        </w:rPr>
        <w:t xml:space="preserve">] </w:t>
      </w:r>
      <w:r w:rsidRPr="00B6432E">
        <w:rPr>
          <w:rFonts w:asciiTheme="majorBidi" w:hAnsiTheme="majorBidi" w:cstheme="majorBidi"/>
          <w:i/>
        </w:rPr>
        <w:t>celui qui réside près d’elle</w:t>
      </w:r>
      <w:r w:rsidRPr="00B6432E">
        <w:rPr>
          <w:rFonts w:asciiTheme="majorBidi" w:hAnsiTheme="majorBidi" w:cstheme="majorBidi"/>
        </w:rPr>
        <w:t xml:space="preserve">. Text. : pour celui qui est fixé. //al-bâdî « celui du dehors ». Le mot est de la même racine que </w:t>
      </w:r>
      <w:r w:rsidRPr="00B6432E">
        <w:rPr>
          <w:rFonts w:asciiTheme="majorBidi" w:hAnsiTheme="majorBidi" w:cstheme="majorBidi"/>
          <w:i/>
        </w:rPr>
        <w:t>badwun</w:t>
      </w:r>
      <w:r w:rsidRPr="00B6432E">
        <w:rPr>
          <w:rFonts w:asciiTheme="majorBidi" w:hAnsiTheme="majorBidi" w:cstheme="majorBidi"/>
        </w:rPr>
        <w:t xml:space="preserve"> « Bédouins », mais paraît désigner ici tous les Non-Mekkois. </w:t>
      </w:r>
    </w:p>
  </w:footnote>
  <w:footnote w:id="635">
    <w:p w14:paraId="5B3AD0C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bi-‘ilhâdin</w:t>
      </w:r>
      <w:r w:rsidRPr="00B6432E">
        <w:rPr>
          <w:rFonts w:asciiTheme="majorBidi" w:hAnsiTheme="majorBidi" w:cstheme="majorBidi"/>
        </w:rPr>
        <w:t xml:space="preserve"> « [agir] par sacrilège ». Le sens est très incertain. Les commentateurs proposent l’interprétation : </w:t>
      </w:r>
      <w:r w:rsidRPr="00B6432E">
        <w:rPr>
          <w:rFonts w:asciiTheme="majorBidi" w:hAnsiTheme="majorBidi" w:cstheme="majorBidi"/>
          <w:i/>
        </w:rPr>
        <w:t>Quiconque se propose d’écarter de cette Mosquée Sainte</w:t>
      </w:r>
      <w:r w:rsidRPr="00B6432E">
        <w:rPr>
          <w:rFonts w:asciiTheme="majorBidi" w:hAnsiTheme="majorBidi" w:cstheme="majorBidi"/>
        </w:rPr>
        <w:t xml:space="preserve">. </w:t>
      </w:r>
    </w:p>
  </w:footnote>
  <w:footnote w:id="636">
    <w:p w14:paraId="7A68468B"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Al-Bayti « du Temple »= de la Kaaba. On trouve ici le mot commun à tout le sémitique pour désigner la demeure de Dieu.</w:t>
      </w:r>
    </w:p>
  </w:footnote>
  <w:footnote w:id="637">
    <w:p w14:paraId="0D67440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Pour attester… faits</w:t>
      </w:r>
      <w:r w:rsidRPr="00B6432E">
        <w:rPr>
          <w:rFonts w:asciiTheme="majorBidi" w:hAnsiTheme="majorBidi" w:cstheme="majorBidi"/>
        </w:rPr>
        <w:t xml:space="preserve">. Text. : pour attester des profits pour eux. // </w:t>
      </w:r>
      <w:r w:rsidRPr="00B6432E">
        <w:rPr>
          <w:rFonts w:asciiTheme="majorBidi" w:hAnsiTheme="majorBidi" w:cstheme="majorBidi"/>
          <w:i/>
        </w:rPr>
        <w:t>Pour invoquer</w:t>
      </w:r>
      <w:r w:rsidRPr="00B6432E">
        <w:rPr>
          <w:rFonts w:asciiTheme="majorBidi" w:hAnsiTheme="majorBidi" w:cstheme="majorBidi"/>
        </w:rPr>
        <w:t xml:space="preserve"> etc. Allusion au rituel d’immolation des bêtes offertes en sacrifice, à la fin du Pèlerinage, lors du retour à Mina. </w:t>
      </w:r>
    </w:p>
  </w:footnote>
  <w:footnote w:id="638">
    <w:p w14:paraId="4DAA5C72"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 xml:space="preserve">Qu’ils mettent fin ensuite à leurs interdits. </w:t>
      </w:r>
      <w:r w:rsidRPr="00B6432E">
        <w:rPr>
          <w:rFonts w:asciiTheme="majorBidi" w:hAnsiTheme="majorBidi" w:cstheme="majorBidi"/>
        </w:rPr>
        <w:t xml:space="preserve">Le Pèlerin, au cours du Pèlerinage, ne doit ni se parfumer, ni s’épiler, ni se tailler la barbe et les ongles. Ces interdits ne cessent qu’une fois le Pèlerinage achevé. // </w:t>
      </w:r>
      <w:r w:rsidRPr="00B6432E">
        <w:rPr>
          <w:rFonts w:asciiTheme="majorBidi" w:hAnsiTheme="majorBidi" w:cstheme="majorBidi"/>
          <w:i/>
        </w:rPr>
        <w:t xml:space="preserve">Qu’ils accomplissent… Antique. </w:t>
      </w:r>
      <w:r w:rsidRPr="00B6432E">
        <w:rPr>
          <w:rFonts w:asciiTheme="majorBidi" w:hAnsiTheme="majorBidi" w:cstheme="majorBidi"/>
        </w:rPr>
        <w:t xml:space="preserve">Ce rite, un des « piliers » du Pèlerinage, marque la désacralisation complète du Pèlerin qui voit par lui cesser l’interdit sexuel. </w:t>
      </w:r>
    </w:p>
  </w:footnote>
  <w:footnote w:id="639">
    <w:p w14:paraId="1BA96452"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 xml:space="preserve">Hurumâti </w:t>
      </w:r>
      <w:r w:rsidRPr="00B6432E">
        <w:rPr>
          <w:rFonts w:asciiTheme="majorBidi" w:hAnsiTheme="majorBidi" w:cstheme="majorBidi"/>
        </w:rPr>
        <w:t>« les choses sacrées ». C</w:t>
      </w:r>
      <w:r>
        <w:rPr>
          <w:rFonts w:asciiTheme="majorBidi" w:hAnsiTheme="majorBidi" w:cstheme="majorBidi"/>
        </w:rPr>
        <w:t>omme toujours</w:t>
      </w:r>
      <w:r w:rsidRPr="00B6432E">
        <w:rPr>
          <w:rFonts w:asciiTheme="majorBidi" w:hAnsiTheme="majorBidi" w:cstheme="majorBidi"/>
        </w:rPr>
        <w:t xml:space="preserve">, le terme implique la double notion de sacré, donc l’interdit à l’homme. Les commentateurs glosent le terme par </w:t>
      </w:r>
      <w:r w:rsidRPr="00B6432E">
        <w:rPr>
          <w:rFonts w:asciiTheme="majorBidi" w:hAnsiTheme="majorBidi" w:cstheme="majorBidi"/>
          <w:i/>
        </w:rPr>
        <w:t>‘ahkâm</w:t>
      </w:r>
      <w:r w:rsidRPr="00B6432E">
        <w:rPr>
          <w:rFonts w:asciiTheme="majorBidi" w:hAnsiTheme="majorBidi" w:cstheme="majorBidi"/>
        </w:rPr>
        <w:t xml:space="preserve"> « lois », mais ils admettent aussi qu’il s’agit de « lieux sa</w:t>
      </w:r>
      <w:r>
        <w:rPr>
          <w:rFonts w:asciiTheme="majorBidi" w:hAnsiTheme="majorBidi" w:cstheme="majorBidi"/>
        </w:rPr>
        <w:t>crés » et même du « mois sacré </w:t>
      </w:r>
      <w:r w:rsidRPr="00B6432E">
        <w:rPr>
          <w:rFonts w:asciiTheme="majorBidi" w:hAnsiTheme="majorBidi" w:cstheme="majorBidi"/>
        </w:rPr>
        <w:t xml:space="preserve">du Pèlerinage ». Le terme semble s’appliquer aux animaux frappés de sacralisation du fait qu’ils sont destinés à être immolés à la fin du Pèlerinage. // </w:t>
      </w:r>
      <w:r w:rsidRPr="00B6432E">
        <w:rPr>
          <w:rFonts w:asciiTheme="majorBidi" w:hAnsiTheme="majorBidi" w:cstheme="majorBidi"/>
          <w:i/>
        </w:rPr>
        <w:t>Sauf celles dont énumération</w:t>
      </w:r>
      <w:r w:rsidRPr="00B6432E">
        <w:rPr>
          <w:rFonts w:asciiTheme="majorBidi" w:hAnsiTheme="majorBidi" w:cstheme="majorBidi"/>
        </w:rPr>
        <w:t xml:space="preserve"> etc. V. sourates XVI, 116 et II, 168. </w:t>
      </w:r>
    </w:p>
  </w:footnote>
  <w:footnote w:id="640">
    <w:p w14:paraId="4C7A6EA3"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 verset semble bien être une simple variante du verset XXX. Mais c</w:t>
      </w:r>
      <w:r>
        <w:rPr>
          <w:rFonts w:asciiTheme="majorBidi" w:hAnsiTheme="majorBidi" w:cstheme="majorBidi"/>
        </w:rPr>
        <w:t>e peut être aussi une insertion</w:t>
      </w:r>
      <w:r w:rsidRPr="00B6432E">
        <w:rPr>
          <w:rFonts w:asciiTheme="majorBidi" w:hAnsiTheme="majorBidi" w:cstheme="majorBidi"/>
        </w:rPr>
        <w:t xml:space="preserve">, à cause de la similitude du mouvement et du vocabulaire. De toute façon, il fait difficulté à la place qu’il occupe, dans le texte actuel. – </w:t>
      </w:r>
      <w:r w:rsidRPr="00B6432E">
        <w:rPr>
          <w:rFonts w:asciiTheme="majorBidi" w:hAnsiTheme="majorBidi" w:cstheme="majorBidi"/>
          <w:i/>
        </w:rPr>
        <w:t>ša’â’ira llâhi</w:t>
      </w:r>
      <w:r w:rsidRPr="00B6432E">
        <w:rPr>
          <w:rFonts w:asciiTheme="majorBidi" w:hAnsiTheme="majorBidi" w:cstheme="majorBidi"/>
        </w:rPr>
        <w:t xml:space="preserve"> « choses sacrées d’Allah ». L’expression est en rapport avec un rite du Pèlerinage ; les commentateurs la glosent souvent par </w:t>
      </w:r>
      <w:r w:rsidRPr="00B6432E">
        <w:rPr>
          <w:rFonts w:asciiTheme="majorBidi" w:hAnsiTheme="majorBidi" w:cstheme="majorBidi"/>
          <w:i/>
        </w:rPr>
        <w:t>manâsikul-Hajji</w:t>
      </w:r>
      <w:r w:rsidRPr="00B6432E">
        <w:rPr>
          <w:rFonts w:asciiTheme="majorBidi" w:hAnsiTheme="majorBidi" w:cstheme="majorBidi"/>
        </w:rPr>
        <w:t xml:space="preserve"> « rites du Pèlerinage », mais cela n’exclut point chez eux d’autres interprétations : prescriptions religieuses, </w:t>
      </w:r>
      <w:r>
        <w:rPr>
          <w:rFonts w:asciiTheme="majorBidi" w:hAnsiTheme="majorBidi" w:cstheme="majorBidi"/>
        </w:rPr>
        <w:t>lieux du Pèlerinage, offrandes.</w:t>
      </w:r>
    </w:p>
  </w:footnote>
  <w:footnote w:id="641">
    <w:p w14:paraId="0FF33CAF"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En elles</w:t>
      </w:r>
      <w:r w:rsidRPr="00B6432E">
        <w:rPr>
          <w:rFonts w:asciiTheme="majorBidi" w:hAnsiTheme="majorBidi" w:cstheme="majorBidi"/>
        </w:rPr>
        <w:t xml:space="preserve">. Le pronom est équivoque. En l’état actuel du texte, le pronom remplace </w:t>
      </w:r>
      <w:r w:rsidRPr="00B6432E">
        <w:rPr>
          <w:rFonts w:asciiTheme="majorBidi" w:hAnsiTheme="majorBidi" w:cstheme="majorBidi"/>
          <w:i/>
        </w:rPr>
        <w:t>ša’â’ira</w:t>
      </w:r>
      <w:r w:rsidRPr="00B6432E">
        <w:rPr>
          <w:rFonts w:asciiTheme="majorBidi" w:hAnsiTheme="majorBidi" w:cstheme="majorBidi"/>
        </w:rPr>
        <w:t xml:space="preserve"> « choses sacrées d’Allah ». On a toutefois lieu de penser, avec tous les commentateurs, qu’il représente en fait « bêtes de troupeaux ». – </w:t>
      </w:r>
      <w:r w:rsidRPr="00B6432E">
        <w:rPr>
          <w:rFonts w:asciiTheme="majorBidi" w:hAnsiTheme="majorBidi" w:cstheme="majorBidi"/>
          <w:i/>
        </w:rPr>
        <w:t>mahillu-hâ</w:t>
      </w:r>
      <w:r w:rsidRPr="00B6432E">
        <w:rPr>
          <w:rFonts w:asciiTheme="majorBidi" w:hAnsiTheme="majorBidi" w:cstheme="majorBidi"/>
        </w:rPr>
        <w:t xml:space="preserve"> « leur immolation ». Text. : le moment ou le lieu de leur désacralisation. Les commentateurs glosent tous par </w:t>
      </w:r>
      <w:r w:rsidRPr="00B6432E">
        <w:rPr>
          <w:rFonts w:asciiTheme="majorBidi" w:hAnsiTheme="majorBidi" w:cstheme="majorBidi"/>
          <w:i/>
        </w:rPr>
        <w:t>nahru-hâ</w:t>
      </w:r>
      <w:r w:rsidRPr="00B6432E">
        <w:rPr>
          <w:rFonts w:asciiTheme="majorBidi" w:hAnsiTheme="majorBidi" w:cstheme="majorBidi"/>
        </w:rPr>
        <w:t xml:space="preserve"> « leur égorgement selon les rites ». </w:t>
      </w:r>
    </w:p>
  </w:footnote>
  <w:footnote w:id="642">
    <w:p w14:paraId="016BB46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Pour que</w:t>
      </w:r>
      <w:r w:rsidRPr="00B6432E">
        <w:rPr>
          <w:rFonts w:asciiTheme="majorBidi" w:hAnsiTheme="majorBidi" w:cstheme="majorBidi"/>
        </w:rPr>
        <w:t xml:space="preserve"> [</w:t>
      </w:r>
      <w:r w:rsidRPr="00B6432E">
        <w:rPr>
          <w:rFonts w:asciiTheme="majorBidi" w:hAnsiTheme="majorBidi" w:cstheme="majorBidi"/>
          <w:i/>
        </w:rPr>
        <w:t>ses membres</w:t>
      </w:r>
      <w:r w:rsidRPr="00B6432E">
        <w:rPr>
          <w:rFonts w:asciiTheme="majorBidi" w:hAnsiTheme="majorBidi" w:cstheme="majorBidi"/>
        </w:rPr>
        <w:t xml:space="preserve">]. Text. : pour qu’ils. </w:t>
      </w:r>
    </w:p>
  </w:footnote>
  <w:footnote w:id="643">
    <w:p w14:paraId="1BF4C16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şawâfta</w:t>
      </w:r>
      <w:r w:rsidRPr="00B6432E">
        <w:rPr>
          <w:rFonts w:asciiTheme="majorBidi" w:hAnsiTheme="majorBidi" w:cstheme="majorBidi"/>
        </w:rPr>
        <w:t xml:space="preserve">  « vivants ». Le terme, de valeur circonstancielle, s’applique aux victimes. Le sens en est incertain. On a les variations : </w:t>
      </w:r>
      <w:r w:rsidRPr="00B6432E">
        <w:rPr>
          <w:rFonts w:asciiTheme="majorBidi" w:hAnsiTheme="majorBidi" w:cstheme="majorBidi"/>
          <w:i/>
        </w:rPr>
        <w:t xml:space="preserve">şawâfîna </w:t>
      </w:r>
      <w:r w:rsidRPr="00B6432E">
        <w:rPr>
          <w:rFonts w:asciiTheme="majorBidi" w:hAnsiTheme="majorBidi" w:cstheme="majorBidi"/>
        </w:rPr>
        <w:t xml:space="preserve">« ayant une patte entravée », </w:t>
      </w:r>
      <w:r w:rsidRPr="00B6432E">
        <w:rPr>
          <w:rFonts w:asciiTheme="majorBidi" w:hAnsiTheme="majorBidi" w:cstheme="majorBidi"/>
          <w:i/>
        </w:rPr>
        <w:t>sawâfiya</w:t>
      </w:r>
      <w:r w:rsidRPr="00B6432E">
        <w:rPr>
          <w:rFonts w:asciiTheme="majorBidi" w:hAnsiTheme="majorBidi" w:cstheme="majorBidi"/>
        </w:rPr>
        <w:t xml:space="preserve"> « purs ». // ‘</w:t>
      </w:r>
      <w:r w:rsidRPr="00B6432E">
        <w:rPr>
          <w:rFonts w:asciiTheme="majorBidi" w:hAnsiTheme="majorBidi" w:cstheme="majorBidi"/>
          <w:i/>
        </w:rPr>
        <w:t>idâ wajabat junûbu-hâ</w:t>
      </w:r>
      <w:r w:rsidRPr="00B6432E">
        <w:rPr>
          <w:rFonts w:asciiTheme="majorBidi" w:hAnsiTheme="majorBidi" w:cstheme="majorBidi"/>
        </w:rPr>
        <w:t xml:space="preserve"> « quand elles sont en vie ». Text. : quand leurs flancs sont écroulés = quand elles gisent à terre. </w:t>
      </w:r>
    </w:p>
  </w:footnote>
  <w:footnote w:id="644">
    <w:p w14:paraId="17ACCBD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 xml:space="preserve">Si Allah… démolis. </w:t>
      </w:r>
      <w:r w:rsidRPr="00B6432E">
        <w:rPr>
          <w:rFonts w:asciiTheme="majorBidi" w:hAnsiTheme="majorBidi" w:cstheme="majorBidi"/>
        </w:rPr>
        <w:t xml:space="preserve">Il est plausible, comme le pense Barth, que cette phrase soit une insertion ultérieure. – </w:t>
      </w:r>
      <w:r w:rsidRPr="00B6432E">
        <w:rPr>
          <w:rFonts w:asciiTheme="majorBidi" w:hAnsiTheme="majorBidi" w:cstheme="majorBidi"/>
          <w:i/>
        </w:rPr>
        <w:t>şalawâtun</w:t>
      </w:r>
      <w:r w:rsidRPr="00B6432E">
        <w:rPr>
          <w:rFonts w:asciiTheme="majorBidi" w:hAnsiTheme="majorBidi" w:cstheme="majorBidi"/>
        </w:rPr>
        <w:t xml:space="preserve"> « oratoires ». Le mot est senti comme un emprunt à l’araméen, par les commentateurs et les lexicographes arabes. Le sens est incertain. Ce terme, avec ce sens, ne paraît qu’ici. Partout ailleurs, dans le Coran, il signifie </w:t>
      </w:r>
      <w:r w:rsidRPr="00B6432E">
        <w:rPr>
          <w:rFonts w:asciiTheme="majorBidi" w:hAnsiTheme="majorBidi" w:cstheme="majorBidi"/>
          <w:i/>
        </w:rPr>
        <w:t>Prière</w:t>
      </w:r>
      <w:r w:rsidRPr="00B6432E">
        <w:rPr>
          <w:rFonts w:asciiTheme="majorBidi" w:hAnsiTheme="majorBidi" w:cstheme="majorBidi"/>
        </w:rPr>
        <w:t xml:space="preserve"> [</w:t>
      </w:r>
      <w:r w:rsidRPr="00B6432E">
        <w:rPr>
          <w:rFonts w:asciiTheme="majorBidi" w:hAnsiTheme="majorBidi" w:cstheme="majorBidi"/>
          <w:i/>
        </w:rPr>
        <w:t>des Croyants</w:t>
      </w:r>
      <w:r w:rsidRPr="00B6432E">
        <w:rPr>
          <w:rFonts w:asciiTheme="majorBidi" w:hAnsiTheme="majorBidi" w:cstheme="majorBidi"/>
        </w:rPr>
        <w:t xml:space="preserve">]. Quelques-uns en font l’équivalent de : </w:t>
      </w:r>
      <w:r w:rsidRPr="00B6432E">
        <w:rPr>
          <w:rFonts w:asciiTheme="majorBidi" w:hAnsiTheme="majorBidi" w:cstheme="majorBidi"/>
          <w:i/>
        </w:rPr>
        <w:t>synagogues</w:t>
      </w:r>
      <w:r w:rsidRPr="00B6432E">
        <w:rPr>
          <w:rFonts w:asciiTheme="majorBidi" w:hAnsiTheme="majorBidi" w:cstheme="majorBidi"/>
        </w:rPr>
        <w:t xml:space="preserve"> ou </w:t>
      </w:r>
      <w:r w:rsidRPr="00B6432E">
        <w:rPr>
          <w:rFonts w:asciiTheme="majorBidi" w:hAnsiTheme="majorBidi" w:cstheme="majorBidi"/>
          <w:i/>
        </w:rPr>
        <w:t xml:space="preserve">temple des Sabéens. </w:t>
      </w:r>
      <w:r w:rsidRPr="00B6432E">
        <w:rPr>
          <w:rFonts w:asciiTheme="majorBidi" w:hAnsiTheme="majorBidi" w:cstheme="majorBidi"/>
        </w:rPr>
        <w:t xml:space="preserve">// </w:t>
      </w:r>
      <w:r w:rsidRPr="00B6432E">
        <w:rPr>
          <w:rFonts w:asciiTheme="majorBidi" w:hAnsiTheme="majorBidi" w:cstheme="majorBidi"/>
          <w:i/>
        </w:rPr>
        <w:t xml:space="preserve">masâjidu </w:t>
      </w:r>
      <w:r w:rsidRPr="00B6432E">
        <w:rPr>
          <w:rFonts w:asciiTheme="majorBidi" w:hAnsiTheme="majorBidi" w:cstheme="majorBidi"/>
        </w:rPr>
        <w:t xml:space="preserve">« mosquées ». Mais il peut s’agir de « sanctuaires » ou de « lieux de prière », en général. </w:t>
      </w:r>
    </w:p>
  </w:footnote>
  <w:footnote w:id="645">
    <w:p w14:paraId="5B159FC8" w14:textId="77777777" w:rsidR="009C3BB9" w:rsidRPr="00B6432E" w:rsidRDefault="009C3BB9" w:rsidP="00F324A5">
      <w:pPr>
        <w:pStyle w:val="Notedebasdepage"/>
        <w:contextualSpacing/>
        <w:jc w:val="both"/>
        <w:rPr>
          <w:rFonts w:asciiTheme="majorBidi" w:hAnsiTheme="majorBidi" w:cstheme="majorBidi"/>
          <w: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Un jour auprès d’Allah est</w:t>
      </w:r>
      <w:r w:rsidRPr="00B6432E">
        <w:rPr>
          <w:rFonts w:asciiTheme="majorBidi" w:hAnsiTheme="majorBidi" w:cstheme="majorBidi"/>
        </w:rPr>
        <w:t xml:space="preserve"> etc. Cf. </w:t>
      </w:r>
      <w:r w:rsidRPr="00B6432E">
        <w:rPr>
          <w:rFonts w:asciiTheme="majorBidi" w:hAnsiTheme="majorBidi" w:cstheme="majorBidi"/>
          <w:i/>
        </w:rPr>
        <w:t>Psaumes XC, 4 : Mille ans sont à tes yeux [</w:t>
      </w:r>
      <w:r>
        <w:rPr>
          <w:rFonts w:asciiTheme="majorBidi" w:hAnsiTheme="majorBidi" w:cstheme="majorBidi"/>
          <w:i/>
        </w:rPr>
        <w:t xml:space="preserve">, </w:t>
      </w:r>
      <w:r w:rsidRPr="00B6432E">
        <w:rPr>
          <w:rFonts w:asciiTheme="majorBidi" w:hAnsiTheme="majorBidi" w:cstheme="majorBidi"/>
          <w:i/>
        </w:rPr>
        <w:t xml:space="preserve">Seigneur !,] comme le jour d’hier. </w:t>
      </w:r>
    </w:p>
  </w:footnote>
  <w:footnote w:id="646">
    <w:p w14:paraId="679FB09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Allah abrogera</w:t>
      </w:r>
      <w:r w:rsidRPr="00B6432E">
        <w:rPr>
          <w:rFonts w:asciiTheme="majorBidi" w:hAnsiTheme="majorBidi" w:cstheme="majorBidi"/>
        </w:rPr>
        <w:t xml:space="preserve"> etc. Le Coran a déjà fait mention de versets confirmés ; v. sourate III, 5 et la note. Ici le texte ajoute une précision très importante. Le Démon (ou le Malin) peut perturber la pureté de la Révélation par de fausses inspirations qu’Allah abroge, mais qui induisent en tentation les cœurs faibles. – </w:t>
      </w:r>
      <w:r w:rsidRPr="00B6432E">
        <w:rPr>
          <w:rFonts w:asciiTheme="majorBidi" w:hAnsiTheme="majorBidi" w:cstheme="majorBidi"/>
          <w:i/>
        </w:rPr>
        <w:t>Quand ils [le]</w:t>
      </w:r>
      <w:r w:rsidRPr="00B6432E">
        <w:rPr>
          <w:rFonts w:asciiTheme="majorBidi" w:hAnsiTheme="majorBidi" w:cstheme="majorBidi"/>
        </w:rPr>
        <w:t xml:space="preserve"> </w:t>
      </w:r>
      <w:r w:rsidRPr="00B6432E">
        <w:rPr>
          <w:rFonts w:asciiTheme="majorBidi" w:hAnsiTheme="majorBidi" w:cstheme="majorBidi"/>
          <w:i/>
        </w:rPr>
        <w:t>formulaient</w:t>
      </w:r>
      <w:r w:rsidRPr="00B6432E">
        <w:rPr>
          <w:rFonts w:asciiTheme="majorBidi" w:hAnsiTheme="majorBidi" w:cstheme="majorBidi"/>
        </w:rPr>
        <w:t xml:space="preserve"> = quand ils souhaitaient trouver une doctrine conciliant leur prédication monothéiste et le polythéisme de leurs contemporains.</w:t>
      </w:r>
    </w:p>
  </w:footnote>
  <w:footnote w:id="647">
    <w:p w14:paraId="74461C18"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 xml:space="preserve">Ceux qui ont reçu la Science. </w:t>
      </w:r>
      <w:r w:rsidRPr="00B6432E">
        <w:rPr>
          <w:rFonts w:asciiTheme="majorBidi" w:hAnsiTheme="majorBidi" w:cstheme="majorBidi"/>
        </w:rPr>
        <w:t>Cette périphrase ne peut guère désigner que les Juifs médinois. // ‘</w:t>
      </w:r>
      <w:r w:rsidRPr="00B6432E">
        <w:rPr>
          <w:rFonts w:asciiTheme="majorBidi" w:hAnsiTheme="majorBidi" w:cstheme="majorBidi"/>
          <w:i/>
        </w:rPr>
        <w:t xml:space="preserve">anna-hu </w:t>
      </w:r>
      <w:r w:rsidRPr="00B6432E">
        <w:rPr>
          <w:rFonts w:asciiTheme="majorBidi" w:hAnsiTheme="majorBidi" w:cstheme="majorBidi"/>
        </w:rPr>
        <w:t xml:space="preserve">« que [cette Révélation] ». Le pronom </w:t>
      </w:r>
      <w:r w:rsidRPr="00B6432E">
        <w:rPr>
          <w:rFonts w:asciiTheme="majorBidi" w:hAnsiTheme="majorBidi" w:cstheme="majorBidi"/>
          <w:i/>
        </w:rPr>
        <w:t xml:space="preserve">hu </w:t>
      </w:r>
      <w:r w:rsidRPr="00B6432E">
        <w:rPr>
          <w:rFonts w:asciiTheme="majorBidi" w:hAnsiTheme="majorBidi" w:cstheme="majorBidi"/>
        </w:rPr>
        <w:t xml:space="preserve">est interprété par al-Qur’ân, dans les commentaires. </w:t>
      </w:r>
    </w:p>
    <w:p w14:paraId="40B0A800" w14:textId="77777777" w:rsidR="009C3BB9" w:rsidRPr="00B6432E" w:rsidRDefault="009C3BB9" w:rsidP="00F324A5">
      <w:pPr>
        <w:pStyle w:val="Notedebasdepage"/>
        <w:contextualSpacing/>
        <w:jc w:val="both"/>
        <w:rPr>
          <w:rFonts w:asciiTheme="majorBidi" w:hAnsiTheme="majorBidi" w:cstheme="majorBidi"/>
        </w:rPr>
      </w:pPr>
    </w:p>
  </w:footnote>
  <w:footnote w:id="648">
    <w:p w14:paraId="5429D566"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Autre sens </w:t>
      </w:r>
      <w:r w:rsidRPr="00B6432E">
        <w:rPr>
          <w:rFonts w:asciiTheme="majorBidi" w:hAnsiTheme="majorBidi" w:cstheme="majorBidi"/>
          <w:i/>
        </w:rPr>
        <w:t xml:space="preserve">: Il les fera entrer [,au Paradis] en un état qui leur agréera. </w:t>
      </w:r>
    </w:p>
  </w:footnote>
  <w:footnote w:id="649">
    <w:p w14:paraId="63EC9C3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 verset et les deux suivants évoquent la sourate XVI, 126. Ils sont sans doute entièrement distincts de la série où ils figurent. – </w:t>
      </w:r>
      <w:r w:rsidRPr="00B6432E">
        <w:rPr>
          <w:rFonts w:asciiTheme="majorBidi" w:hAnsiTheme="majorBidi" w:cstheme="majorBidi"/>
          <w:i/>
        </w:rPr>
        <w:t>A chaque communauté</w:t>
      </w:r>
      <w:r w:rsidRPr="00B6432E">
        <w:rPr>
          <w:rFonts w:asciiTheme="majorBidi" w:hAnsiTheme="majorBidi" w:cstheme="majorBidi"/>
        </w:rPr>
        <w:t xml:space="preserve"> etc. Cf. ci-dessus vt.35. </w:t>
      </w:r>
    </w:p>
    <w:p w14:paraId="0732EFD6" w14:textId="77777777" w:rsidR="009C3BB9" w:rsidRPr="00B6432E" w:rsidRDefault="009C3BB9" w:rsidP="00F324A5">
      <w:pPr>
        <w:pStyle w:val="Notedebasdepage"/>
        <w:contextualSpacing/>
        <w:jc w:val="both"/>
        <w:rPr>
          <w:rFonts w:asciiTheme="majorBidi" w:hAnsiTheme="majorBidi" w:cstheme="majorBidi"/>
        </w:rPr>
      </w:pPr>
    </w:p>
  </w:footnote>
  <w:footnote w:id="650">
    <w:p w14:paraId="48279B2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L’adorant et l’adoré</w:t>
      </w:r>
      <w:r w:rsidRPr="00B6432E">
        <w:rPr>
          <w:rFonts w:asciiTheme="majorBidi" w:hAnsiTheme="majorBidi" w:cstheme="majorBidi"/>
        </w:rPr>
        <w:t>. Text. : le chercheur et le cherché ( ?)</w:t>
      </w:r>
    </w:p>
  </w:footnote>
  <w:footnote w:id="651">
    <w:p w14:paraId="327788F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Les Soumis</w:t>
      </w:r>
      <w:r w:rsidRPr="00B6432E">
        <w:rPr>
          <w:rFonts w:asciiTheme="majorBidi" w:hAnsiTheme="majorBidi" w:cstheme="majorBidi"/>
        </w:rPr>
        <w:t xml:space="preserve">. Autre sens : </w:t>
      </w:r>
      <w:r w:rsidRPr="00B6432E">
        <w:rPr>
          <w:rFonts w:asciiTheme="majorBidi" w:hAnsiTheme="majorBidi" w:cstheme="majorBidi"/>
          <w:i/>
        </w:rPr>
        <w:t>les Musulmans</w:t>
      </w:r>
      <w:r w:rsidRPr="00B6432E">
        <w:rPr>
          <w:rFonts w:asciiTheme="majorBidi" w:hAnsiTheme="majorBidi" w:cstheme="majorBidi"/>
        </w:rPr>
        <w:t>. Mais le premier sens paraît préférable</w:t>
      </w:r>
    </w:p>
  </w:footnote>
  <w:footnote w:id="652">
    <w:p w14:paraId="2ECE8A9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Et en [cette Révélation</w:t>
      </w:r>
      <w:r w:rsidRPr="00B6432E">
        <w:rPr>
          <w:rFonts w:asciiTheme="majorBidi" w:hAnsiTheme="majorBidi" w:cstheme="majorBidi"/>
        </w:rPr>
        <w:t xml:space="preserve">]. Text. : en ceci. L’interprétation est celle des commentateurs. Peut-être est-il permis aussi de comprendre : </w:t>
      </w:r>
      <w:r w:rsidRPr="00B6432E">
        <w:rPr>
          <w:rFonts w:asciiTheme="majorBidi" w:hAnsiTheme="majorBidi" w:cstheme="majorBidi"/>
          <w:i/>
        </w:rPr>
        <w:t>Antérieurement et en cette circonstance-ci</w:t>
      </w:r>
      <w:r w:rsidRPr="00B6432E">
        <w:rPr>
          <w:rFonts w:asciiTheme="majorBidi" w:hAnsiTheme="majorBidi" w:cstheme="majorBidi"/>
        </w:rPr>
        <w:t xml:space="preserve">. </w:t>
      </w:r>
    </w:p>
    <w:p w14:paraId="44A72C9A" w14:textId="77777777" w:rsidR="009C3BB9" w:rsidRPr="00B6432E" w:rsidRDefault="009C3BB9" w:rsidP="00F324A5">
      <w:pPr>
        <w:pStyle w:val="Notedebasdepage"/>
        <w:contextualSpacing/>
        <w:jc w:val="both"/>
        <w:rPr>
          <w:rFonts w:asciiTheme="majorBidi" w:hAnsiTheme="majorBidi" w:cstheme="majorBidi"/>
        </w:rPr>
      </w:pPr>
    </w:p>
  </w:footnote>
  <w:footnote w:id="653">
    <w:p w14:paraId="5C66EBC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 Coran</w:t>
      </w:r>
      <w:r w:rsidRPr="00B6432E">
        <w:rPr>
          <w:rFonts w:asciiTheme="majorBidi" w:hAnsiTheme="majorBidi" w:cstheme="majorBidi"/>
        </w:rPr>
        <w:t>, nouvelle traduction d’</w:t>
      </w:r>
      <w:r w:rsidRPr="00B6432E">
        <w:rPr>
          <w:rFonts w:asciiTheme="majorBidi" w:hAnsiTheme="majorBidi" w:cstheme="majorBidi"/>
          <w:bCs/>
        </w:rPr>
        <w:t>Ameur Ghédira</w:t>
      </w:r>
      <w:r w:rsidRPr="00B6432E">
        <w:rPr>
          <w:rFonts w:asciiTheme="majorBidi" w:hAnsiTheme="majorBidi" w:cstheme="majorBidi"/>
        </w:rPr>
        <w:t xml:space="preserve">, enluminures de </w:t>
      </w:r>
      <w:r w:rsidRPr="00B6432E">
        <w:rPr>
          <w:rFonts w:asciiTheme="majorBidi" w:hAnsiTheme="majorBidi" w:cstheme="majorBidi"/>
          <w:bCs/>
        </w:rPr>
        <w:t>Jean GRADASSI</w:t>
      </w:r>
      <w:r w:rsidRPr="00B6432E">
        <w:rPr>
          <w:rFonts w:asciiTheme="majorBidi" w:hAnsiTheme="majorBidi" w:cstheme="majorBidi"/>
        </w:rPr>
        <w:t>, éditions du fleuve à Lyon, 1957.</w:t>
      </w:r>
    </w:p>
  </w:footnote>
  <w:footnote w:id="654">
    <w:p w14:paraId="73713232" w14:textId="77777777" w:rsidR="009C3BB9" w:rsidRDefault="009C3BB9" w:rsidP="00F324A5">
      <w:pPr>
        <w:pStyle w:val="Notedebasdepage"/>
        <w:contextualSpacing/>
        <w:jc w:val="both"/>
      </w:pPr>
      <w:r>
        <w:rPr>
          <w:rStyle w:val="Appelnotedebasdep"/>
        </w:rPr>
        <w:footnoteRef/>
      </w:r>
      <w:r>
        <w:t xml:space="preserve"> </w:t>
      </w:r>
      <w:r w:rsidRPr="004D20A0">
        <w:rPr>
          <w:i/>
          <w:iCs/>
        </w:rPr>
        <w:t>Le Saint Coran</w:t>
      </w:r>
      <w:r>
        <w:t xml:space="preserve">, traduction, intégration et notes de </w:t>
      </w:r>
      <w:r w:rsidRPr="004D20A0">
        <w:rPr>
          <w:bCs/>
        </w:rPr>
        <w:t>Muhammad Hamidullah</w:t>
      </w:r>
      <w:r>
        <w:t xml:space="preserve">, avec la collaboration de </w:t>
      </w:r>
      <w:r w:rsidRPr="004D20A0">
        <w:rPr>
          <w:bCs/>
        </w:rPr>
        <w:t>M. Leturmy</w:t>
      </w:r>
      <w:r>
        <w:t>, Maison d’Ennour, 12</w:t>
      </w:r>
      <w:r>
        <w:rPr>
          <w:vertAlign w:val="superscript"/>
        </w:rPr>
        <w:t>ème</w:t>
      </w:r>
      <w:r>
        <w:t xml:space="preserve"> édition, 1986.</w:t>
      </w:r>
    </w:p>
  </w:footnote>
  <w:footnote w:id="655">
    <w:p w14:paraId="589FABB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Titre tiré du v.27</w:t>
      </w:r>
    </w:p>
  </w:footnote>
  <w:footnote w:id="656">
    <w:p w14:paraId="008C4A0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 tremblement de l’Heure : le tremblement qui accompagnera l’Heure du Jugement. </w:t>
      </w:r>
    </w:p>
  </w:footnote>
  <w:footnote w:id="657">
    <w:p w14:paraId="20FFC1C3"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L’Enfer Sa’ïr</w:t>
      </w:r>
      <w:r w:rsidRPr="00B6432E">
        <w:rPr>
          <w:rFonts w:asciiTheme="majorBidi" w:hAnsiTheme="majorBidi" w:cstheme="majorBidi"/>
        </w:rPr>
        <w:t xml:space="preserve"> : Enflammé, l’un des noms de l’Enfer. </w:t>
      </w:r>
    </w:p>
  </w:footnote>
  <w:footnote w:id="658">
    <w:p w14:paraId="0EB90E9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s. </w:t>
      </w:r>
      <w:r w:rsidRPr="00B6432E">
        <w:rPr>
          <w:rFonts w:asciiTheme="majorBidi" w:hAnsiTheme="majorBidi" w:cstheme="majorBidi"/>
          <w:i/>
        </w:rPr>
        <w:t>caillot</w:t>
      </w:r>
      <w:r w:rsidRPr="00B6432E">
        <w:rPr>
          <w:rFonts w:asciiTheme="majorBidi" w:hAnsiTheme="majorBidi" w:cstheme="majorBidi"/>
        </w:rPr>
        <w:t>. Le mot ‘</w:t>
      </w:r>
      <w:r w:rsidRPr="00B6432E">
        <w:rPr>
          <w:rFonts w:asciiTheme="majorBidi" w:hAnsiTheme="majorBidi" w:cstheme="majorBidi"/>
          <w:i/>
        </w:rPr>
        <w:t xml:space="preserve">alaqa </w:t>
      </w:r>
      <w:r w:rsidRPr="00B6432E">
        <w:rPr>
          <w:rFonts w:asciiTheme="majorBidi" w:hAnsiTheme="majorBidi" w:cstheme="majorBidi"/>
        </w:rPr>
        <w:t>signifie étymologiquement, quelque chose qui s’accroche (v. aussi 23/14, 40/67, 75/38 et 96/2 et dans ce dernier cas, ‘</w:t>
      </w:r>
      <w:r w:rsidRPr="00B6432E">
        <w:rPr>
          <w:rFonts w:asciiTheme="majorBidi" w:hAnsiTheme="majorBidi" w:cstheme="majorBidi"/>
          <w:i/>
        </w:rPr>
        <w:t>alaq</w:t>
      </w:r>
      <w:r w:rsidRPr="00B6432E">
        <w:rPr>
          <w:rFonts w:asciiTheme="majorBidi" w:hAnsiTheme="majorBidi" w:cstheme="majorBidi"/>
        </w:rPr>
        <w:t xml:space="preserve">, au pluriel). Le mot signifie aussi la sangsue (et en effet le spermatozoïde fécondant l’ovule s’accroche dans l’utérus et, pour se nourrir, suce, à l’instar de la sangsue, le sang de la femme enceinte). Mais nous gardons partout la traduction </w:t>
      </w:r>
      <w:r w:rsidRPr="00B6432E">
        <w:rPr>
          <w:rFonts w:asciiTheme="majorBidi" w:hAnsiTheme="majorBidi" w:cstheme="majorBidi"/>
          <w:i/>
        </w:rPr>
        <w:t>caillot</w:t>
      </w:r>
      <w:r w:rsidRPr="00B6432E">
        <w:rPr>
          <w:rFonts w:asciiTheme="majorBidi" w:hAnsiTheme="majorBidi" w:cstheme="majorBidi"/>
        </w:rPr>
        <w:t xml:space="preserve"> parce que c’est ainsi à vue d’œil pour le profane ; et n’oublions pas que le Coran 16/66 assimile le lait aussi au sang. Relevons que ce verset dit : « de poussière, puis de sperme… » brûlant les étapes intermédiaires, et ne contredisant pas l’évolution des espèces dont parlera le Coran dans 71/14, 39/6, 84/19, etc. </w:t>
      </w:r>
    </w:p>
  </w:footnote>
  <w:footnote w:id="659">
    <w:p w14:paraId="6C707C8B"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puis de chair</w:t>
      </w:r>
      <w:r w:rsidRPr="00B6432E">
        <w:rPr>
          <w:rFonts w:asciiTheme="majorBidi" w:hAnsiTheme="majorBidi" w:cstheme="majorBidi"/>
        </w:rPr>
        <w:t xml:space="preserve">. Littéralement : d’un morceau de chair. </w:t>
      </w:r>
    </w:p>
  </w:footnote>
  <w:footnote w:id="660">
    <w:p w14:paraId="3266DAF8"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pour tout vous expliquer</w:t>
      </w:r>
      <w:r w:rsidRPr="00B6432E">
        <w:rPr>
          <w:rFonts w:asciiTheme="majorBidi" w:hAnsiTheme="majorBidi" w:cstheme="majorBidi"/>
        </w:rPr>
        <w:t xml:space="preserve">. Littéralement : afin que Nous vous exposions (ce qui en est). </w:t>
      </w:r>
    </w:p>
  </w:footnote>
  <w:footnote w:id="661">
    <w:p w14:paraId="2EEB1EB5"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jusqu’à un terme dénommé</w:t>
      </w:r>
      <w:r w:rsidRPr="00B6432E">
        <w:rPr>
          <w:rFonts w:asciiTheme="majorBidi" w:hAnsiTheme="majorBidi" w:cstheme="majorBidi"/>
        </w:rPr>
        <w:t xml:space="preserve">. Voir la note à XI 3. </w:t>
      </w:r>
    </w:p>
  </w:footnote>
  <w:footnote w:id="662">
    <w:p w14:paraId="0D05CB9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l’un de vous est achevé</w:t>
      </w:r>
      <w:r w:rsidRPr="00B6432E">
        <w:rPr>
          <w:rFonts w:asciiTheme="majorBidi" w:hAnsiTheme="majorBidi" w:cstheme="majorBidi"/>
        </w:rPr>
        <w:t xml:space="preserve">. Littéralement : il y a parmi vous (celui) pour qui (la vie) est achevée (en la jeunesse de l’âge). Cf. aussi XVI. Intéressants détails de science gynécologique. Voir aussi XXIII 13/14. </w:t>
      </w:r>
    </w:p>
  </w:footnote>
  <w:footnote w:id="663">
    <w:p w14:paraId="32601E6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ployant de la hanche</w:t>
      </w:r>
      <w:r w:rsidRPr="00B6432E">
        <w:rPr>
          <w:rFonts w:asciiTheme="majorBidi" w:hAnsiTheme="majorBidi" w:cstheme="majorBidi"/>
        </w:rPr>
        <w:t xml:space="preserve">. Traduction littérale. On voit le geste du séducteur qui se fait avenant, maniéré même, pour mieux séduire et égarer. </w:t>
      </w:r>
    </w:p>
  </w:footnote>
  <w:footnote w:id="664">
    <w:p w14:paraId="2C7BE26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L’Enfer Harîc</w:t>
      </w:r>
      <w:r w:rsidRPr="00B6432E">
        <w:rPr>
          <w:rFonts w:asciiTheme="majorBidi" w:hAnsiTheme="majorBidi" w:cstheme="majorBidi"/>
        </w:rPr>
        <w:t xml:space="preserve"> ou Incendie. Un des noms de l’Enfer. </w:t>
      </w:r>
    </w:p>
  </w:footnote>
  <w:footnote w:id="665">
    <w:p w14:paraId="27A9B36F"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envers les Esclaves : les Esclaves-adorateurs, au sens de III 15 13. Voir la note. </w:t>
      </w:r>
    </w:p>
  </w:footnote>
  <w:footnote w:id="666">
    <w:p w14:paraId="34556245"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l’ici bas</w:t>
      </w:r>
      <w:r w:rsidRPr="00B6432E">
        <w:rPr>
          <w:rFonts w:asciiTheme="majorBidi" w:hAnsiTheme="majorBidi" w:cstheme="majorBidi"/>
        </w:rPr>
        <w:t xml:space="preserve">… l’au-delà. Littéralement : la plus proche, la dernière (voir II 85 79 et la note). </w:t>
      </w:r>
    </w:p>
  </w:footnote>
  <w:footnote w:id="667">
    <w:p w14:paraId="4AA7CCB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au secours de celui-ci</w:t>
      </w:r>
      <w:r w:rsidRPr="00B6432E">
        <w:rPr>
          <w:rFonts w:asciiTheme="majorBidi" w:hAnsiTheme="majorBidi" w:cstheme="majorBidi"/>
        </w:rPr>
        <w:t xml:space="preserve"> (de Muhammad) : les mécréants peuvent bien se pendre de colère : l’Islam n’en continuera pas moins sans que soit retranché un mot de ce qui les irrite. </w:t>
      </w:r>
    </w:p>
  </w:footnote>
  <w:footnote w:id="668">
    <w:p w14:paraId="2264F4D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en ceci</w:t>
      </w:r>
      <w:r w:rsidRPr="00B6432E">
        <w:rPr>
          <w:rFonts w:asciiTheme="majorBidi" w:hAnsiTheme="majorBidi" w:cstheme="majorBidi"/>
        </w:rPr>
        <w:t xml:space="preserve">… Littéralement : ceci (ce Coran) en tant que versets probants. </w:t>
      </w:r>
      <w:r w:rsidRPr="00B6432E">
        <w:rPr>
          <w:rFonts w:asciiTheme="majorBidi" w:hAnsiTheme="majorBidi" w:cstheme="majorBidi"/>
          <w:i/>
        </w:rPr>
        <w:t xml:space="preserve">Verset </w:t>
      </w:r>
      <w:r w:rsidRPr="00B6432E">
        <w:rPr>
          <w:rFonts w:asciiTheme="majorBidi" w:hAnsiTheme="majorBidi" w:cstheme="majorBidi"/>
        </w:rPr>
        <w:t xml:space="preserve">ou « signes ». Voir la note II 129 123. </w:t>
      </w:r>
    </w:p>
  </w:footnote>
  <w:footnote w:id="669">
    <w:p w14:paraId="1612126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Croyants… Judaïsés</w:t>
      </w:r>
      <w:r w:rsidRPr="00B6432E">
        <w:rPr>
          <w:rFonts w:asciiTheme="majorBidi" w:hAnsiTheme="majorBidi" w:cstheme="majorBidi"/>
        </w:rPr>
        <w:t xml:space="preserve">…. Littéralement : ceux qui croient, ceux qui se judaïsent. Les « Croyants » sont les Musulmans, les « Mages », les Zoroastriens. </w:t>
      </w:r>
    </w:p>
  </w:footnote>
  <w:footnote w:id="670">
    <w:p w14:paraId="4E58F6FF"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Intéressante constatation qui explique les traits de l’office islamique : debout comme les montagnes, incliné ou courbé comme les bestiaux, prosterné comme les arbres (dont les bouches sont leurs racines), répétant les mêmes gestes plusieurs fois comme fait la révolution des astres. A quoi on peut ajouter l’eau purifiante des ablutions. Ainsi « les oiseaux en volées » adorent Dieu comme les hommes en rangs serrés célèbrent l’Office (XXIV 41) et le tonnerre chante à voix haute la louange divine (XIII 13). Cf. aussi la note à XIII 15 pour l’ombre. </w:t>
      </w:r>
    </w:p>
  </w:footnote>
  <w:footnote w:id="671">
    <w:p w14:paraId="46087EF6"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Après ce verset, dans la récitation rituelle, on se prosterne. Cf. VII, 206 n. </w:t>
      </w:r>
    </w:p>
  </w:footnote>
  <w:footnote w:id="672">
    <w:p w14:paraId="4EFB738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Tortures connues de l’époque. </w:t>
      </w:r>
    </w:p>
  </w:footnote>
  <w:footnote w:id="673">
    <w:p w14:paraId="1F8C5C9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des maillets de fer</w:t>
      </w:r>
      <w:r w:rsidRPr="00B6432E">
        <w:rPr>
          <w:rFonts w:asciiTheme="majorBidi" w:hAnsiTheme="majorBidi" w:cstheme="majorBidi"/>
        </w:rPr>
        <w:t xml:space="preserve">. Parce que plusieurs gardiens pour chaque criminel. </w:t>
      </w:r>
    </w:p>
  </w:footnote>
  <w:footnote w:id="674">
    <w:p w14:paraId="66C9A09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Harîc</w:t>
      </w:r>
      <w:r w:rsidRPr="00B6432E">
        <w:rPr>
          <w:rFonts w:asciiTheme="majorBidi" w:hAnsiTheme="majorBidi" w:cstheme="majorBidi"/>
        </w:rPr>
        <w:t xml:space="preserve"> comme au v.9</w:t>
      </w:r>
    </w:p>
  </w:footnote>
  <w:footnote w:id="675">
    <w:p w14:paraId="6022AB7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vêtement de soie</w:t>
      </w:r>
      <w:r w:rsidRPr="00B6432E">
        <w:rPr>
          <w:rFonts w:asciiTheme="majorBidi" w:hAnsiTheme="majorBidi" w:cstheme="majorBidi"/>
        </w:rPr>
        <w:t xml:space="preserve"> : Il est interdit à un Musulman de s’habiller ici-bas en soie pure, femmes exceptées. </w:t>
      </w:r>
    </w:p>
  </w:footnote>
  <w:footnote w:id="676">
    <w:p w14:paraId="2D19535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La Sainte Mosquée : la Ka’ba. La phrase reste en suspens mais elle est reprise, pour l’idée, au v.26 qui donne la conclusion. </w:t>
      </w:r>
    </w:p>
  </w:footnote>
  <w:footnote w:id="677">
    <w:p w14:paraId="3FA0142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 lieu de la maison</w:t>
      </w:r>
      <w:r w:rsidRPr="00B6432E">
        <w:rPr>
          <w:rFonts w:asciiTheme="majorBidi" w:hAnsiTheme="majorBidi" w:cstheme="majorBidi"/>
        </w:rPr>
        <w:t xml:space="preserve"> : la Ka’ba. </w:t>
      </w:r>
    </w:p>
  </w:footnote>
  <w:footnote w:id="678">
    <w:p w14:paraId="7B317E7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ceux qui tournent autour</w:t>
      </w:r>
      <w:r w:rsidRPr="00B6432E">
        <w:rPr>
          <w:rFonts w:asciiTheme="majorBidi" w:hAnsiTheme="majorBidi" w:cstheme="majorBidi"/>
        </w:rPr>
        <w:t> : rite du pèlerinage, ou de simple dévotion pour ceux qui se trouvent à la Mecque.</w:t>
      </w:r>
    </w:p>
  </w:footnote>
  <w:footnote w:id="679">
    <w:p w14:paraId="34CEAAA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qui restent debout</w:t>
      </w:r>
      <w:r w:rsidRPr="00B6432E">
        <w:rPr>
          <w:rFonts w:asciiTheme="majorBidi" w:hAnsiTheme="majorBidi" w:cstheme="majorBidi"/>
        </w:rPr>
        <w:t xml:space="preserve">, etc. : les diverses postures de l’Office islamique où l’on se tourne vers la Ka’ba (voir la note II 3). </w:t>
      </w:r>
    </w:p>
  </w:footnote>
  <w:footnote w:id="680">
    <w:p w14:paraId="77766EE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 pèlerinage</w:t>
      </w:r>
      <w:r w:rsidRPr="00B6432E">
        <w:rPr>
          <w:rFonts w:asciiTheme="majorBidi" w:hAnsiTheme="majorBidi" w:cstheme="majorBidi"/>
        </w:rPr>
        <w:t>. Cf. note à II 196</w:t>
      </w:r>
    </w:p>
  </w:footnote>
  <w:footnote w:id="681">
    <w:p w14:paraId="1589C61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de tout chemin creux</w:t>
      </w:r>
      <w:r w:rsidRPr="00B6432E">
        <w:rPr>
          <w:rFonts w:asciiTheme="majorBidi" w:hAnsiTheme="majorBidi" w:cstheme="majorBidi"/>
        </w:rPr>
        <w:t xml:space="preserve">. Littéralement : profond (dans le sens difficile et lointain). </w:t>
      </w:r>
    </w:p>
  </w:footnote>
  <w:footnote w:id="682">
    <w:p w14:paraId="618184D2"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et qu’ils rappellent le nom</w:t>
      </w:r>
      <w:r w:rsidRPr="00B6432E">
        <w:rPr>
          <w:rFonts w:asciiTheme="majorBidi" w:hAnsiTheme="majorBidi" w:cstheme="majorBidi"/>
        </w:rPr>
        <w:t xml:space="preserve">… Il s’agit ici de l’invocation du nom de Dieu que l’on fait sur les bêtes sacrifiées au cours du pèlerinage. Desquelles les pèlerins reçoivent l’ordre de manger, et de faire profiter les pauvres. On fait cette invocation même pour l’usage quotidien. Les abattoirs de Paris ont une section pour les Musulmans où cette règle est pratiquée. Si on ne la fait pas, la bête n’est qu’un cadavre interdit à la consommation. Cf. vv 36-37 infra : comp. </w:t>
      </w:r>
      <w:r w:rsidRPr="00B6432E">
        <w:rPr>
          <w:rFonts w:asciiTheme="majorBidi" w:hAnsiTheme="majorBidi" w:cstheme="majorBidi"/>
          <w:i/>
        </w:rPr>
        <w:t>Lévitique</w:t>
      </w:r>
      <w:r w:rsidRPr="00B6432E">
        <w:rPr>
          <w:rFonts w:asciiTheme="majorBidi" w:hAnsiTheme="majorBidi" w:cstheme="majorBidi"/>
        </w:rPr>
        <w:t xml:space="preserve"> I, 9, 13,17. </w:t>
      </w:r>
    </w:p>
  </w:footnote>
  <w:footnote w:id="683">
    <w:p w14:paraId="40D1610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l’Antique Maison</w:t>
      </w:r>
      <w:r w:rsidRPr="00B6432E">
        <w:rPr>
          <w:rFonts w:asciiTheme="majorBidi" w:hAnsiTheme="majorBidi" w:cstheme="majorBidi"/>
        </w:rPr>
        <w:t xml:space="preserve"> : c’est la Ka’ba. </w:t>
      </w:r>
    </w:p>
  </w:footnote>
  <w:footnote w:id="684">
    <w:p w14:paraId="3B84233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les interdits</w:t>
      </w:r>
      <w:r w:rsidRPr="00B6432E">
        <w:rPr>
          <w:rFonts w:asciiTheme="majorBidi" w:hAnsiTheme="majorBidi" w:cstheme="majorBidi"/>
        </w:rPr>
        <w:t xml:space="preserve"> (ou les saintetés) dans la Bible également interdit et chose sainte sont synonymes. Voir la note à V 1,2,3,5. </w:t>
      </w:r>
    </w:p>
  </w:footnote>
  <w:footnote w:id="685">
    <w:p w14:paraId="57487888"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Ne lui associant rien</w:t>
      </w:r>
      <w:r w:rsidRPr="00B6432E">
        <w:rPr>
          <w:rFonts w:asciiTheme="majorBidi" w:hAnsiTheme="majorBidi" w:cstheme="majorBidi"/>
        </w:rPr>
        <w:t xml:space="preserve"> : « rien » n’est pas dans le texte. </w:t>
      </w:r>
    </w:p>
  </w:footnote>
  <w:footnote w:id="686">
    <w:p w14:paraId="1244DB0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à l’en pulvériser</w:t>
      </w:r>
      <w:r w:rsidRPr="00B6432E">
        <w:rPr>
          <w:rFonts w:asciiTheme="majorBidi" w:hAnsiTheme="majorBidi" w:cstheme="majorBidi"/>
        </w:rPr>
        <w:t xml:space="preserve">. Littéralement : dans un lieu pulvérisant (un abîme où l’on s’écrase sans qu’il ne reste rien). </w:t>
      </w:r>
    </w:p>
  </w:footnote>
  <w:footnote w:id="687">
    <w:p w14:paraId="7693DC1B"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les emblèmes de Dieu</w:t>
      </w:r>
      <w:r w:rsidRPr="00B6432E">
        <w:rPr>
          <w:rFonts w:asciiTheme="majorBidi" w:hAnsiTheme="majorBidi" w:cstheme="majorBidi"/>
        </w:rPr>
        <w:t xml:space="preserve"> : toute chose déclarée sainte, ici particulièrement les lieux où se déroulent les rites du Pèlerinage. Plus bas, le terme sera appliqué aux bêtes offertes au sacrifice (v.36 37). </w:t>
      </w:r>
    </w:p>
  </w:footnote>
  <w:footnote w:id="688">
    <w:p w14:paraId="216FF0F8"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de ces bêtes</w:t>
      </w:r>
      <w:r w:rsidRPr="00B6432E">
        <w:rPr>
          <w:rFonts w:asciiTheme="majorBidi" w:hAnsiTheme="majorBidi" w:cstheme="majorBidi"/>
        </w:rPr>
        <w:t xml:space="preserve"> : « Bêtes » n’est pas dans le texte. On revient aux bêtes qui sont immolées au cours du pèlerinage desquelles les hommes auront tiré bien des avantages avant de les sacrifier dans l’enceinte de la Ka’ba. Aujourd’hui, on ne les sacrifie plus qu’à Minâ, à quelques kilomètres de la Mecque. Selon toute apparence, ce changement survint quelque temps après la révélation de ce verset, lors du dernier Pèlerinage fait par le Prophète lui-même, accompagné de 140000 Musulmans. </w:t>
      </w:r>
    </w:p>
  </w:footnote>
  <w:footnote w:id="689">
    <w:p w14:paraId="5E7C28F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soumettez-vous</w:t>
      </w:r>
      <w:r w:rsidRPr="00B6432E">
        <w:rPr>
          <w:rFonts w:asciiTheme="majorBidi" w:hAnsiTheme="majorBidi" w:cstheme="majorBidi"/>
        </w:rPr>
        <w:t xml:space="preserve"> : c’est le mot « Islam ». </w:t>
      </w:r>
    </w:p>
  </w:footnote>
  <w:footnote w:id="690">
    <w:p w14:paraId="5C3D7C60"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Cf. v 28 supra</w:t>
      </w:r>
    </w:p>
  </w:footnote>
  <w:footnote w:id="691">
    <w:p w14:paraId="3DD9627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pendant qu’elles sont rangées</w:t>
      </w:r>
      <w:r w:rsidRPr="00B6432E">
        <w:rPr>
          <w:rFonts w:asciiTheme="majorBidi" w:hAnsiTheme="majorBidi" w:cstheme="majorBidi"/>
        </w:rPr>
        <w:t xml:space="preserve"> : avant l’immolation. </w:t>
      </w:r>
    </w:p>
  </w:footnote>
  <w:footnote w:id="692">
    <w:p w14:paraId="57A439A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lorsqu’elles gisent sur le flanc</w:t>
      </w:r>
      <w:r w:rsidRPr="00B6432E">
        <w:rPr>
          <w:rFonts w:asciiTheme="majorBidi" w:hAnsiTheme="majorBidi" w:cstheme="majorBidi"/>
        </w:rPr>
        <w:t xml:space="preserve">. Littéralement : lorsque leurs flancs sont obligés (et qu’elles sont mortes). </w:t>
      </w:r>
    </w:p>
  </w:footnote>
  <w:footnote w:id="693">
    <w:p w14:paraId="524509F2"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faites repas à celui qui se contente</w:t>
      </w:r>
      <w:r w:rsidRPr="00B6432E">
        <w:rPr>
          <w:rFonts w:asciiTheme="majorBidi" w:hAnsiTheme="majorBidi" w:cstheme="majorBidi"/>
        </w:rPr>
        <w:t xml:space="preserve"> : c’est la traduction littérale, en quoi on peut entendre : celui qui se contente de ce qu’on lui donne, ou de ce qu’il a. </w:t>
      </w:r>
    </w:p>
  </w:footnote>
  <w:footnote w:id="694">
    <w:p w14:paraId="3D9B64E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On ne peut pas mieux définir le « Sacrement ». </w:t>
      </w:r>
    </w:p>
  </w:footnote>
  <w:footnote w:id="695">
    <w:p w14:paraId="0D7BB40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Loin de servir à Dieu comme le pensent les primitifs et nombre d’ignorants, même aujourd’hui, le sacrifice ne sert pas à Dieu mais à l’homme d’emblème, de point de repère dans sa foi, c’est la piété qui seule est reçue au ciel. Cf. aussi </w:t>
      </w:r>
      <w:r w:rsidRPr="00B6432E">
        <w:rPr>
          <w:rFonts w:asciiTheme="majorBidi" w:hAnsiTheme="majorBidi" w:cstheme="majorBidi"/>
          <w:i/>
        </w:rPr>
        <w:t>Amos,</w:t>
      </w:r>
      <w:r w:rsidRPr="00B6432E">
        <w:rPr>
          <w:rFonts w:asciiTheme="majorBidi" w:hAnsiTheme="majorBidi" w:cstheme="majorBidi"/>
        </w:rPr>
        <w:t xml:space="preserve"> V 21-22. Comparer à Lévitique 1,9,13,17. </w:t>
      </w:r>
    </w:p>
  </w:footnote>
  <w:footnote w:id="696">
    <w:p w14:paraId="5DB6923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Toute autorisation</w:t>
      </w:r>
      <w:r w:rsidRPr="00B6432E">
        <w:rPr>
          <w:rFonts w:asciiTheme="majorBidi" w:hAnsiTheme="majorBidi" w:cstheme="majorBidi"/>
        </w:rPr>
        <w:t xml:space="preserve">. Seulement « Autorisation » dans le texte. Et l’on sous-entend : « de combattre, de se défendre, - dans les bornes de la loi. » - On date ce passage de peu après l’Hégire. Il marque le commencement de la guerre défensive. Suit, jusqu’au v.41 /42, la liste de ceux qui ont cette autorisation. </w:t>
      </w:r>
    </w:p>
  </w:footnote>
  <w:footnote w:id="697">
    <w:p w14:paraId="40150740"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Ces gens-là </w:t>
      </w:r>
      <w:r w:rsidRPr="00B6432E">
        <w:rPr>
          <w:rFonts w:asciiTheme="majorBidi" w:hAnsiTheme="majorBidi" w:cstheme="majorBidi"/>
        </w:rPr>
        <w:t xml:space="preserve">: les interlocuteurs païens du Prophète. </w:t>
      </w:r>
    </w:p>
  </w:footnote>
  <w:footnote w:id="698">
    <w:p w14:paraId="01C3FAF8"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Voir VII 65/63 (la note). </w:t>
      </w:r>
    </w:p>
  </w:footnote>
  <w:footnote w:id="699">
    <w:p w14:paraId="567FB1F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puits désertés</w:t>
      </w:r>
      <w:r w:rsidRPr="00B6432E">
        <w:rPr>
          <w:rFonts w:asciiTheme="majorBidi" w:hAnsiTheme="majorBidi" w:cstheme="majorBidi"/>
        </w:rPr>
        <w:t xml:space="preserve">. Au singulier dans le texte : dans le désert, il n’y a pas de puits dans chaque maison, mais un seul dans toute la région de plusieurs centaines de kilomètres carrés. </w:t>
      </w:r>
    </w:p>
  </w:footnote>
  <w:footnote w:id="700">
    <w:p w14:paraId="7BDB4192"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Cf. II Epître de Saint-Pierre, III, 8. </w:t>
      </w:r>
    </w:p>
  </w:footnote>
  <w:footnote w:id="701">
    <w:p w14:paraId="256F8403"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 </w:t>
      </w:r>
      <w:r w:rsidRPr="00B6432E">
        <w:rPr>
          <w:rFonts w:asciiTheme="majorBidi" w:hAnsiTheme="majorBidi" w:cstheme="majorBidi"/>
          <w:i/>
        </w:rPr>
        <w:t>qui n’ait eu quelque désir</w:t>
      </w:r>
      <w:r w:rsidRPr="00B6432E">
        <w:rPr>
          <w:rFonts w:asciiTheme="majorBidi" w:hAnsiTheme="majorBidi" w:cstheme="majorBidi"/>
        </w:rPr>
        <w:t xml:space="preserve">… Littéralement : Nous n’avons pas envoyé avant toi, de messager ni de prophète, sans que, quand il désirait (quelque chose) Satan lança (autre chose) dans son désir. </w:t>
      </w:r>
    </w:p>
  </w:footnote>
  <w:footnote w:id="702">
    <w:p w14:paraId="4228383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Dieu renforce Ses signes</w:t>
      </w:r>
      <w:r w:rsidRPr="00B6432E">
        <w:rPr>
          <w:rFonts w:asciiTheme="majorBidi" w:hAnsiTheme="majorBidi" w:cstheme="majorBidi"/>
        </w:rPr>
        <w:t xml:space="preserve"> : les versets de la révélation Dieu les renforce, plutôt que de laisser le messager s’égarer selon le désir que Satan lui a lancé. </w:t>
      </w:r>
    </w:p>
  </w:footnote>
  <w:footnote w:id="703">
    <w:p w14:paraId="1C024B23"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afin de faire</w:t>
      </w:r>
      <w:r w:rsidRPr="00B6432E">
        <w:rPr>
          <w:rFonts w:asciiTheme="majorBidi" w:hAnsiTheme="majorBidi" w:cstheme="majorBidi"/>
        </w:rPr>
        <w:t xml:space="preserve">. Littéralement : de désigner ce que Satan a lancé, comme une tentation… </w:t>
      </w:r>
    </w:p>
  </w:footnote>
  <w:footnote w:id="704">
    <w:p w14:paraId="1F09426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le Jour stérile</w:t>
      </w:r>
      <w:r w:rsidRPr="00B6432E">
        <w:rPr>
          <w:rFonts w:asciiTheme="majorBidi" w:hAnsiTheme="majorBidi" w:cstheme="majorBidi"/>
        </w:rPr>
        <w:t xml:space="preserve"> : le Jour, l’Heure du Jugement ; où de comprendre enfin ne servira plus à rien. Jour sans lendemain sans possibilité de recommencer la vie et l’œuvre. </w:t>
      </w:r>
    </w:p>
  </w:footnote>
  <w:footnote w:id="705">
    <w:p w14:paraId="414618B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Délice ou Naïm</w:t>
      </w:r>
      <w:r w:rsidRPr="00B6432E">
        <w:rPr>
          <w:rFonts w:asciiTheme="majorBidi" w:hAnsiTheme="majorBidi" w:cstheme="majorBidi"/>
        </w:rPr>
        <w:t xml:space="preserve"> : nom d’un Paradis. </w:t>
      </w:r>
    </w:p>
  </w:footnote>
  <w:footnote w:id="706">
    <w:p w14:paraId="392F7C33"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ceux qui émigrent</w:t>
      </w:r>
      <w:r w:rsidRPr="00B6432E">
        <w:rPr>
          <w:rFonts w:asciiTheme="majorBidi" w:hAnsiTheme="majorBidi" w:cstheme="majorBidi"/>
        </w:rPr>
        <w:t xml:space="preserve"> : avec le Prophète à Médine. Cela en première instance. </w:t>
      </w:r>
    </w:p>
  </w:footnote>
  <w:footnote w:id="707">
    <w:p w14:paraId="6DBC883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De plus</w:t>
      </w:r>
      <w:r w:rsidRPr="00B6432E">
        <w:rPr>
          <w:rFonts w:asciiTheme="majorBidi" w:hAnsiTheme="majorBidi" w:cstheme="majorBidi"/>
        </w:rPr>
        <w:t xml:space="preserve">… Littéralement : Cela, cependant que, quiconque poursuit par une poursuite pareille à (celle) dont il a été poursuivi, et qu’ensuite on lui en veut (en une nouvelle agression). </w:t>
      </w:r>
    </w:p>
  </w:footnote>
  <w:footnote w:id="708">
    <w:p w14:paraId="74C1AD9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C’est que Dieu fait que la nuit pénètre dans le jour</w:t>
      </w:r>
      <w:r w:rsidRPr="00B6432E">
        <w:rPr>
          <w:rFonts w:asciiTheme="majorBidi" w:hAnsiTheme="majorBidi" w:cstheme="majorBidi"/>
        </w:rPr>
        <w:t xml:space="preserve">. Le Croyant n’a pas à désespérer des revers : Dieu l’en secourra (v. 60/59). C’est qu’Il fait à Son gré se succéder revers et victoires ; comme la nuit et le jour. </w:t>
      </w:r>
    </w:p>
  </w:footnote>
  <w:footnote w:id="709">
    <w:p w14:paraId="452C97E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 chaque communauté</w:t>
      </w:r>
      <w:r w:rsidRPr="00B6432E">
        <w:rPr>
          <w:rFonts w:asciiTheme="majorBidi" w:hAnsiTheme="majorBidi" w:cstheme="majorBidi"/>
        </w:rPr>
        <w:t xml:space="preserve">… Ceci oblige à la tolérance. </w:t>
      </w:r>
    </w:p>
  </w:footnote>
  <w:footnote w:id="710">
    <w:p w14:paraId="5ACD2980" w14:textId="77777777" w:rsidR="009C3BB9" w:rsidRPr="00B6432E" w:rsidRDefault="009C3BB9" w:rsidP="00F324A5">
      <w:pPr>
        <w:pStyle w:val="Notedebasdepage"/>
        <w:contextualSpacing/>
        <w:jc w:val="both"/>
        <w:rPr>
          <w:rFonts w:asciiTheme="majorBidi" w:hAnsiTheme="majorBidi" w:cstheme="majorBidi"/>
          <w: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Livre. Cf. III, 7</w:t>
      </w:r>
    </w:p>
  </w:footnote>
  <w:footnote w:id="711">
    <w:p w14:paraId="0BBDFB8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 ce verset, dans la récitation liturgique, on se prosterne, - sauf dans le rite Hanifite et le rite Mâkilite. On sait qu’il y a, au sein de l’Islam, trois écoles juridiques : la Sunnite, la Chi’ite et la Khârijite, - avec leurs subdivisions. Les Sunnites (la grande majorité avec plus de 80%) se subdivisent en quatre branches, d’ailleurs pleinement tolérantes les unes envers les autres : les Hanifites (d’Abou Hanîfah), les Châfi’îtes (de Châfi’î), les Mâlakites (de Malik) et les Hanbalites d’Ibn Hanbal) tous maîtres du II°-III° s. de l’H. Il semble que la divergence au sujet des lieux de prosternation rituelle dans la récitation du Coran (v. VII 206) provienne du fait que le Prophète lui-même a varié dans sa pratique, et que l’on n’a pas su s’il s’agissait d’une abrogation ou d’une liberté laissée au fidèle de choisir lui-même. Comme une prosternation de plus devant le Seigneur n’incommode personne, les Musulmans se prosternent dans les deux endroits. Les différences entre ces écoles viennent de questions primitivement politiques, devenues objet de dogmes chez les zélateurs. </w:t>
      </w:r>
    </w:p>
  </w:footnote>
  <w:footnote w:id="712">
    <w:p w14:paraId="12663BD6"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 </w:t>
      </w:r>
      <w:r w:rsidRPr="00B6432E">
        <w:rPr>
          <w:rFonts w:asciiTheme="majorBidi" w:hAnsiTheme="majorBidi" w:cstheme="majorBidi"/>
          <w:i/>
        </w:rPr>
        <w:t>Soumis </w:t>
      </w:r>
      <w:r w:rsidRPr="00B6432E">
        <w:rPr>
          <w:rFonts w:asciiTheme="majorBidi" w:hAnsiTheme="majorBidi" w:cstheme="majorBidi"/>
        </w:rPr>
        <w:t xml:space="preserve">» : Musulmans. C’est Abraham qui a donné aux croyants leur nom de </w:t>
      </w:r>
      <w:r w:rsidRPr="00B6432E">
        <w:rPr>
          <w:rFonts w:asciiTheme="majorBidi" w:hAnsiTheme="majorBidi" w:cstheme="majorBidi"/>
          <w:i/>
        </w:rPr>
        <w:t>Soumis</w:t>
      </w:r>
      <w:r w:rsidRPr="00B6432E">
        <w:rPr>
          <w:rFonts w:asciiTheme="majorBidi" w:hAnsiTheme="majorBidi" w:cstheme="majorBidi"/>
        </w:rPr>
        <w:t xml:space="preserve"> (Musulmans) tant autrefois (littéralement : « auparavant ») même avant la Bible, qu’aujourd’hui même, dans le Coran. Afin que ce nom serve au Prophète d’argument contre les auditeurs, et aux croyants contre ceux qui y sont infidèles. </w:t>
      </w:r>
    </w:p>
  </w:footnote>
  <w:footnote w:id="713">
    <w:p w14:paraId="77124E84" w14:textId="77777777" w:rsidR="009C3BB9" w:rsidRPr="00935612" w:rsidRDefault="009C3BB9" w:rsidP="00F324A5">
      <w:pPr>
        <w:pStyle w:val="Notedebasdepage"/>
        <w:contextualSpacing/>
        <w:jc w:val="both"/>
      </w:pPr>
      <w:r w:rsidRPr="00935612">
        <w:rPr>
          <w:rStyle w:val="Appelnotedebasdep"/>
        </w:rPr>
        <w:footnoteRef/>
      </w:r>
      <w:r w:rsidRPr="00935612">
        <w:t xml:space="preserve"> </w:t>
      </w:r>
      <w:r w:rsidRPr="00935612">
        <w:rPr>
          <w:i/>
        </w:rPr>
        <w:t>Le Coran</w:t>
      </w:r>
      <w:r w:rsidRPr="00935612">
        <w:t xml:space="preserve">, traduction et notes de </w:t>
      </w:r>
      <w:r w:rsidRPr="00935612">
        <w:rPr>
          <w:bCs/>
        </w:rPr>
        <w:t>Noureddine Ben Mahmoud</w:t>
      </w:r>
      <w:r w:rsidRPr="00935612">
        <w:t>, Imprimerie de Carthage, 528 p</w:t>
      </w:r>
      <w:r>
        <w:t>., 1962</w:t>
      </w:r>
      <w:r w:rsidRPr="00935612">
        <w:t>.</w:t>
      </w:r>
    </w:p>
  </w:footnote>
  <w:footnote w:id="714">
    <w:p w14:paraId="145B0CA0" w14:textId="77777777" w:rsidR="009C3BB9" w:rsidRDefault="009C3BB9" w:rsidP="00F324A5">
      <w:pPr>
        <w:pStyle w:val="Notedebasdepage"/>
        <w:contextualSpacing/>
        <w:jc w:val="both"/>
      </w:pPr>
      <w:r>
        <w:rPr>
          <w:rStyle w:val="Appelnotedebasdep"/>
        </w:rPr>
        <w:footnoteRef/>
      </w:r>
      <w:r>
        <w:t xml:space="preserve"> </w:t>
      </w:r>
      <w:r w:rsidRPr="004D5DCA">
        <w:rPr>
          <w:bCs/>
        </w:rPr>
        <w:t>Denise Masson</w:t>
      </w:r>
      <w:r>
        <w:t xml:space="preserve">, </w:t>
      </w:r>
      <w:r>
        <w:rPr>
          <w:i/>
        </w:rPr>
        <w:t>Essai d’interprétation du Coran inimitable</w:t>
      </w:r>
      <w:r>
        <w:t>, traduction revue par Dr. Sobhi El Salah (vice-président du conseil supérieur islamique et professeur à l’université libanaise), Dār Al-Kitāb Al-Lubnānī, Beyrouth, 1967.</w:t>
      </w:r>
    </w:p>
  </w:footnote>
  <w:footnote w:id="715">
    <w:p w14:paraId="0400148B" w14:textId="77777777" w:rsidR="009C3BB9" w:rsidRDefault="009C3BB9" w:rsidP="00F324A5">
      <w:pPr>
        <w:pStyle w:val="Notedebasdepage"/>
        <w:contextualSpacing/>
        <w:jc w:val="both"/>
      </w:pPr>
      <w:r>
        <w:rPr>
          <w:rStyle w:val="Appelnotedebasdep"/>
        </w:rPr>
        <w:footnoteRef/>
      </w:r>
      <w:r>
        <w:rPr>
          <w:i/>
        </w:rPr>
        <w:t>Le Coran traduit de l’arabe</w:t>
      </w:r>
      <w:r w:rsidRPr="000453C2">
        <w:rPr>
          <w:iCs/>
        </w:rPr>
        <w:t xml:space="preserve"> par </w:t>
      </w:r>
      <w:r>
        <w:t xml:space="preserve">Jean </w:t>
      </w:r>
      <w:r w:rsidRPr="000453C2">
        <w:rPr>
          <w:bCs/>
        </w:rPr>
        <w:t>Grosjean</w:t>
      </w:r>
      <w:r>
        <w:t>, Éditions Philippe Lebaud, 1972 &amp; 1979 (</w:t>
      </w:r>
      <w:r w:rsidRPr="00494861">
        <w:rPr>
          <w:rFonts w:asciiTheme="majorBidi" w:hAnsiTheme="majorBidi" w:cstheme="majorBidi"/>
          <w:lang w:eastAsia="en-AU"/>
        </w:rPr>
        <w:t>Le S</w:t>
      </w:r>
      <w:r>
        <w:rPr>
          <w:rFonts w:asciiTheme="majorBidi" w:hAnsiTheme="majorBidi" w:cstheme="majorBidi"/>
          <w:lang w:eastAsia="en-AU"/>
        </w:rPr>
        <w:t xml:space="preserve">euil, Coll. Point Sagesse, 2001 ; </w:t>
      </w:r>
      <w:r w:rsidRPr="00494861">
        <w:rPr>
          <w:rFonts w:asciiTheme="majorBidi" w:eastAsia="SimSun" w:hAnsiTheme="majorBidi" w:cstheme="majorBidi"/>
          <w:lang w:eastAsia="zh-CN"/>
        </w:rPr>
        <w:t>et Paris, Gallimard, 2008</w:t>
      </w:r>
      <w:r>
        <w:rPr>
          <w:rFonts w:asciiTheme="majorBidi" w:eastAsia="SimSun" w:hAnsiTheme="majorBidi" w:cstheme="majorBidi"/>
          <w:lang w:eastAsia="zh-CN"/>
        </w:rPr>
        <w:t>).</w:t>
      </w:r>
    </w:p>
  </w:footnote>
  <w:footnote w:id="716">
    <w:p w14:paraId="1220D7BD"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sz w:val="20"/>
          <w:szCs w:val="20"/>
          <w:lang w:bidi="ar-AE"/>
        </w:rPr>
        <w:t xml:space="preserve">Jacques Berque, </w:t>
      </w:r>
      <w:r w:rsidRPr="00B6432E">
        <w:rPr>
          <w:rFonts w:asciiTheme="majorBidi" w:eastAsia="Calibri" w:hAnsiTheme="majorBidi" w:cstheme="majorBidi"/>
          <w:i/>
          <w:iCs/>
          <w:sz w:val="20"/>
          <w:szCs w:val="20"/>
          <w:lang w:bidi="ar-AE"/>
        </w:rPr>
        <w:t>Le Coran, Essai de traduction de l’arabe</w:t>
      </w:r>
      <w:r w:rsidRPr="00B6432E">
        <w:rPr>
          <w:rFonts w:asciiTheme="majorBidi" w:eastAsia="Calibri" w:hAnsiTheme="majorBidi" w:cstheme="majorBidi"/>
          <w:sz w:val="20"/>
          <w:szCs w:val="20"/>
          <w:lang w:bidi="ar-AE"/>
        </w:rPr>
        <w:t>, annoté et suivi d’une étude exégétique par Jacques Berque, Sindbad, 1990.</w:t>
      </w:r>
    </w:p>
  </w:footnote>
  <w:footnote w:id="717">
    <w:p w14:paraId="11012CD4"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sz w:val="20"/>
          <w:szCs w:val="20"/>
          <w:lang w:bidi="ar-AE"/>
        </w:rPr>
        <w:t>Sourate composite, où la tradition ne démêle pas nettement les éléments mecquois des éléments médinois. À quoi s'ajouteraient d'autres dualités : elle fut en effet, si l'on croit Ibn ʿAṭīya, révélée de jour et de nuit, en itinéraire et au repos, en paix et en guerre, et contiendrait enfin de l'abrogeant et de l'abrogé, de l'ambivalent et du péremptoire. Plus que d'autres, elle a été composée de morceaux divers, l'</w:t>
      </w:r>
      <w:r w:rsidRPr="00B6432E">
        <w:rPr>
          <w:rFonts w:asciiTheme="majorBidi" w:eastAsia="Calibri" w:hAnsiTheme="majorBidi" w:cstheme="majorBidi"/>
          <w:i/>
          <w:iCs/>
          <w:sz w:val="20"/>
          <w:szCs w:val="20"/>
          <w:lang w:bidi="ar-AE"/>
        </w:rPr>
        <w:t>incipit</w:t>
      </w:r>
      <w:r w:rsidRPr="00B6432E">
        <w:rPr>
          <w:rFonts w:asciiTheme="majorBidi" w:eastAsia="Calibri" w:hAnsiTheme="majorBidi" w:cstheme="majorBidi"/>
          <w:sz w:val="20"/>
          <w:szCs w:val="20"/>
          <w:lang w:bidi="ar-AE"/>
        </w:rPr>
        <w:t xml:space="preserve">, par exemple, relevant d'un style mecquois ; la séquence </w:t>
      </w:r>
      <w:r w:rsidRPr="00B6432E">
        <w:rPr>
          <w:rFonts w:asciiTheme="majorBidi" w:eastAsia="Calibri" w:hAnsiTheme="majorBidi" w:cstheme="majorBidi"/>
          <w:i/>
          <w:iCs/>
          <w:sz w:val="20"/>
          <w:szCs w:val="20"/>
          <w:lang w:bidi="ar-AE"/>
        </w:rPr>
        <w:t>v 25 sq</w:t>
      </w:r>
      <w:r w:rsidRPr="00B6432E">
        <w:rPr>
          <w:rFonts w:asciiTheme="majorBidi" w:eastAsia="Calibri" w:hAnsiTheme="majorBidi" w:cstheme="majorBidi"/>
          <w:sz w:val="20"/>
          <w:szCs w:val="20"/>
          <w:lang w:bidi="ar-AE"/>
        </w:rPr>
        <w:t xml:space="preserve"> semblant dater du projet de pèlerinage (printemps 628). L’ensemble, cependant, fait alterner, selon un ordre habituel, l'enseignement général et l'apostrophe liée à l’événement. Des fragments par dix ou vingt versets se laissent reconnaître, et aussi quelques pointes de la pensée coranique (</w:t>
      </w:r>
      <w:r w:rsidRPr="00B6432E">
        <w:rPr>
          <w:rFonts w:asciiTheme="majorBidi" w:eastAsia="Calibri" w:hAnsiTheme="majorBidi" w:cstheme="majorBidi"/>
          <w:i/>
          <w:iCs/>
          <w:sz w:val="20"/>
          <w:szCs w:val="20"/>
          <w:lang w:bidi="ar-AE"/>
        </w:rPr>
        <w:t>v 40</w:t>
      </w:r>
      <w:r w:rsidRPr="00B6432E">
        <w:rPr>
          <w:rFonts w:asciiTheme="majorBidi" w:eastAsia="Calibri" w:hAnsiTheme="majorBidi" w:cstheme="majorBidi"/>
          <w:sz w:val="20"/>
          <w:szCs w:val="20"/>
          <w:lang w:bidi="ar-AE"/>
        </w:rPr>
        <w:t xml:space="preserve">, </w:t>
      </w:r>
      <w:r w:rsidRPr="00B6432E">
        <w:rPr>
          <w:rFonts w:asciiTheme="majorBidi" w:eastAsia="Calibri" w:hAnsiTheme="majorBidi" w:cstheme="majorBidi"/>
          <w:i/>
          <w:iCs/>
          <w:sz w:val="20"/>
          <w:szCs w:val="20"/>
          <w:lang w:bidi="ar-AE"/>
        </w:rPr>
        <w:t>52</w:t>
      </w:r>
      <w:r w:rsidRPr="00B6432E">
        <w:rPr>
          <w:rFonts w:asciiTheme="majorBidi" w:eastAsia="Calibri" w:hAnsiTheme="majorBidi" w:cstheme="majorBidi"/>
          <w:sz w:val="20"/>
          <w:szCs w:val="20"/>
          <w:lang w:bidi="ar-AE"/>
        </w:rPr>
        <w:t xml:space="preserve">). La richesse des continus et l'unité relative du texte font ressortir l'importance du </w:t>
      </w:r>
      <w:r w:rsidRPr="00B6432E">
        <w:rPr>
          <w:rFonts w:asciiTheme="majorBidi" w:eastAsia="Calibri" w:hAnsiTheme="majorBidi" w:cstheme="majorBidi"/>
          <w:i/>
          <w:iCs/>
          <w:sz w:val="20"/>
          <w:szCs w:val="20"/>
          <w:lang w:bidi="ar-AE"/>
        </w:rPr>
        <w:t>nazm</w:t>
      </w:r>
      <w:r w:rsidRPr="00B6432E">
        <w:rPr>
          <w:rFonts w:asciiTheme="majorBidi" w:eastAsia="Calibri" w:hAnsiTheme="majorBidi" w:cstheme="majorBidi"/>
          <w:sz w:val="20"/>
          <w:szCs w:val="20"/>
          <w:lang w:bidi="ar-AE"/>
        </w:rPr>
        <w:t xml:space="preserve"> ou composition.</w:t>
      </w:r>
    </w:p>
  </w:footnote>
  <w:footnote w:id="718">
    <w:p w14:paraId="75217935"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5</w:t>
      </w:r>
      <w:r w:rsidRPr="00B6432E">
        <w:rPr>
          <w:rFonts w:asciiTheme="majorBidi" w:eastAsia="Calibri" w:hAnsiTheme="majorBidi" w:cstheme="majorBidi"/>
          <w:sz w:val="20"/>
          <w:szCs w:val="20"/>
          <w:lang w:bidi="ar-AE"/>
        </w:rPr>
        <w:t xml:space="preserve">. On adopte pour </w:t>
      </w:r>
      <w:r w:rsidRPr="00B6432E">
        <w:rPr>
          <w:rFonts w:asciiTheme="majorBidi" w:eastAsia="Calibri" w:hAnsiTheme="majorBidi" w:cstheme="majorBidi"/>
          <w:i/>
          <w:iCs/>
          <w:sz w:val="20"/>
          <w:szCs w:val="20"/>
          <w:lang w:bidi="ar-AE"/>
        </w:rPr>
        <w:t>'alaqa</w:t>
      </w:r>
      <w:r w:rsidRPr="00B6432E">
        <w:rPr>
          <w:rFonts w:asciiTheme="majorBidi" w:eastAsia="Calibri" w:hAnsiTheme="majorBidi" w:cstheme="majorBidi"/>
          <w:sz w:val="20"/>
          <w:szCs w:val="20"/>
          <w:lang w:bidi="ar-AE"/>
        </w:rPr>
        <w:t xml:space="preserve">, littér. « accrochement », si l'on pouvait dire, la traduction de R. Blachère: «adhérence», qui est la moins contestable. - « Échelonnée » </w:t>
      </w:r>
      <w:r w:rsidRPr="00B6432E">
        <w:rPr>
          <w:rFonts w:asciiTheme="majorBidi" w:eastAsia="Calibri" w:hAnsiTheme="majorBidi" w:cstheme="majorBidi"/>
          <w:i/>
          <w:iCs/>
          <w:sz w:val="20"/>
          <w:szCs w:val="20"/>
          <w:lang w:bidi="ar-AE"/>
        </w:rPr>
        <w:t>(moukhallaqa wa ghayra moukhallaqa)</w:t>
      </w:r>
      <w:r w:rsidRPr="00B6432E">
        <w:rPr>
          <w:rFonts w:asciiTheme="majorBidi" w:eastAsia="Calibri" w:hAnsiTheme="majorBidi" w:cstheme="majorBidi"/>
          <w:sz w:val="20"/>
          <w:szCs w:val="20"/>
          <w:lang w:bidi="ar-AE"/>
        </w:rPr>
        <w:t>. La 2</w:t>
      </w:r>
      <w:r w:rsidRPr="00B6432E">
        <w:rPr>
          <w:rFonts w:asciiTheme="majorBidi" w:eastAsia="Calibri" w:hAnsiTheme="majorBidi" w:cstheme="majorBidi"/>
          <w:sz w:val="20"/>
          <w:szCs w:val="20"/>
          <w:vertAlign w:val="superscript"/>
          <w:lang w:bidi="ar-AE"/>
        </w:rPr>
        <w:t>e</w:t>
      </w:r>
      <w:r w:rsidRPr="00B6432E">
        <w:rPr>
          <w:rFonts w:asciiTheme="majorBidi" w:eastAsia="Calibri" w:hAnsiTheme="majorBidi" w:cstheme="majorBidi"/>
          <w:sz w:val="20"/>
          <w:szCs w:val="20"/>
          <w:lang w:bidi="ar-AE"/>
        </w:rPr>
        <w:t xml:space="preserve"> forme indique la répétition de l'acte, qui implique création et polissage : soit la succession de formes en discontinuité. </w:t>
      </w:r>
      <w:r w:rsidRPr="00B6432E">
        <w:rPr>
          <w:rFonts w:asciiTheme="majorBidi" w:eastAsia="Calibri" w:hAnsiTheme="majorBidi" w:cstheme="majorBidi"/>
          <w:i/>
          <w:iCs/>
          <w:sz w:val="20"/>
          <w:szCs w:val="20"/>
          <w:lang w:bidi="ar-AE"/>
        </w:rPr>
        <w:t>Cf.</w:t>
      </w:r>
      <w:r w:rsidRPr="00B6432E">
        <w:rPr>
          <w:rFonts w:asciiTheme="majorBidi" w:eastAsia="Calibri" w:hAnsiTheme="majorBidi" w:cstheme="majorBidi"/>
          <w:sz w:val="20"/>
          <w:szCs w:val="20"/>
          <w:lang w:bidi="ar-AE"/>
        </w:rPr>
        <w:t xml:space="preserve"> XXIII, 14 et note.</w:t>
      </w:r>
    </w:p>
  </w:footnote>
  <w:footnote w:id="719">
    <w:p w14:paraId="2033EF4D"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17</w:t>
      </w:r>
      <w:r w:rsidRPr="00B6432E">
        <w:rPr>
          <w:rFonts w:asciiTheme="majorBidi" w:eastAsia="Calibri" w:hAnsiTheme="majorBidi" w:cstheme="majorBidi"/>
          <w:sz w:val="20"/>
          <w:szCs w:val="20"/>
          <w:lang w:bidi="ar-AE"/>
        </w:rPr>
        <w:t xml:space="preserve">. « Dieu tranchera », </w:t>
      </w:r>
      <w:r w:rsidRPr="00B6432E">
        <w:rPr>
          <w:rFonts w:asciiTheme="majorBidi" w:eastAsia="Calibri" w:hAnsiTheme="majorBidi" w:cstheme="majorBidi"/>
          <w:i/>
          <w:iCs/>
          <w:sz w:val="20"/>
          <w:szCs w:val="20"/>
          <w:lang w:bidi="ar-AE"/>
        </w:rPr>
        <w:t>épochè</w:t>
      </w:r>
      <w:r w:rsidRPr="00B6432E">
        <w:rPr>
          <w:rFonts w:asciiTheme="majorBidi" w:eastAsia="Calibri" w:hAnsiTheme="majorBidi" w:cstheme="majorBidi"/>
          <w:sz w:val="20"/>
          <w:szCs w:val="20"/>
          <w:lang w:bidi="ar-AE"/>
        </w:rPr>
        <w:t xml:space="preserve"> métaphysique et tolérance de principe. Ce trait reviendra plusieurs fois.</w:t>
      </w:r>
    </w:p>
  </w:footnote>
  <w:footnote w:id="720">
    <w:p w14:paraId="037018FF"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25-37</w:t>
      </w:r>
      <w:r w:rsidRPr="00B6432E">
        <w:rPr>
          <w:rFonts w:asciiTheme="majorBidi" w:eastAsia="Calibri" w:hAnsiTheme="majorBidi" w:cstheme="majorBidi"/>
          <w:sz w:val="20"/>
          <w:szCs w:val="20"/>
          <w:lang w:bidi="ar-AE"/>
        </w:rPr>
        <w:t xml:space="preserve">. Ces quelques versets contiennent un bréviaire de culte, ramené à des obligations minimales : respect du consacré (lieux, chose, moments), accomplissement des observances, exécution des rites. Le tout exposé avec un souci manifeste de parcimonie et de rationalité. – dans les </w:t>
      </w:r>
      <w:r w:rsidRPr="00B6432E">
        <w:rPr>
          <w:rFonts w:asciiTheme="majorBidi" w:eastAsia="Calibri" w:hAnsiTheme="majorBidi" w:cstheme="majorBidi"/>
          <w:i/>
          <w:iCs/>
          <w:sz w:val="20"/>
          <w:szCs w:val="20"/>
          <w:lang w:bidi="ar-AE"/>
        </w:rPr>
        <w:t>v 25 et 26</w:t>
      </w:r>
      <w:r w:rsidRPr="00B6432E">
        <w:rPr>
          <w:rFonts w:asciiTheme="majorBidi" w:eastAsia="Calibri" w:hAnsiTheme="majorBidi" w:cstheme="majorBidi"/>
          <w:sz w:val="20"/>
          <w:szCs w:val="20"/>
          <w:lang w:bidi="ar-AE"/>
        </w:rPr>
        <w:t xml:space="preserve"> la phrase se développe en entrelacs, les incidentes « à égalité »,</w:t>
      </w:r>
      <w:r w:rsidRPr="00B6432E">
        <w:rPr>
          <w:rFonts w:asciiTheme="majorBidi" w:eastAsia="Calibri" w:hAnsiTheme="majorBidi" w:cstheme="majorBidi"/>
          <w:sz w:val="20"/>
          <w:szCs w:val="20"/>
        </w:rPr>
        <w:t xml:space="preserve"> et </w:t>
      </w:r>
      <w:r w:rsidRPr="00B6432E">
        <w:rPr>
          <w:rFonts w:asciiTheme="majorBidi" w:eastAsia="Calibri" w:hAnsiTheme="majorBidi" w:cstheme="majorBidi"/>
          <w:sz w:val="20"/>
          <w:szCs w:val="20"/>
          <w:lang w:bidi="ar-AE"/>
        </w:rPr>
        <w:t xml:space="preserve">« et quiconque » tirent les conséquences pratiques du récit étiologique. </w:t>
      </w:r>
      <w:r w:rsidRPr="00B6432E">
        <w:rPr>
          <w:rFonts w:asciiTheme="majorBidi" w:eastAsia="Calibri" w:hAnsiTheme="majorBidi" w:cstheme="majorBidi"/>
          <w:i/>
          <w:iCs/>
          <w:sz w:val="20"/>
          <w:szCs w:val="20"/>
          <w:lang w:bidi="ar-AE"/>
        </w:rPr>
        <w:t>Ilhâd</w:t>
      </w:r>
      <w:r w:rsidRPr="00B6432E">
        <w:rPr>
          <w:rFonts w:asciiTheme="majorBidi" w:eastAsia="Calibri" w:hAnsiTheme="majorBidi" w:cstheme="majorBidi"/>
          <w:sz w:val="20"/>
          <w:szCs w:val="20"/>
          <w:lang w:bidi="ar-AE"/>
        </w:rPr>
        <w:t>, « déviation », a été souvent compris comme signifiant l'exclusive exercée par les Mecquois sur le périmètre rituel, et l'exploitation qui en découlait.</w:t>
      </w:r>
    </w:p>
  </w:footnote>
  <w:footnote w:id="721">
    <w:p w14:paraId="7E7B8EB4"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29</w:t>
      </w:r>
      <w:r w:rsidRPr="00B6432E">
        <w:rPr>
          <w:rFonts w:asciiTheme="majorBidi" w:eastAsia="Calibri" w:hAnsiTheme="majorBidi" w:cstheme="majorBidi"/>
          <w:sz w:val="20"/>
          <w:szCs w:val="20"/>
          <w:lang w:bidi="ar-AE"/>
        </w:rPr>
        <w:t xml:space="preserve">. « La franche Maison », plutôt que l’« antique», bien que ce sens soit aussi indiqué par le </w:t>
      </w:r>
      <w:r w:rsidRPr="00B6432E">
        <w:rPr>
          <w:rFonts w:asciiTheme="majorBidi" w:eastAsia="Calibri" w:hAnsiTheme="majorBidi" w:cstheme="majorBidi"/>
          <w:i/>
          <w:iCs/>
          <w:sz w:val="20"/>
          <w:szCs w:val="20"/>
          <w:lang w:bidi="ar-AE"/>
        </w:rPr>
        <w:t>Lisân</w:t>
      </w:r>
      <w:r w:rsidRPr="00B6432E">
        <w:rPr>
          <w:rFonts w:asciiTheme="majorBidi" w:eastAsia="Calibri" w:hAnsiTheme="majorBidi" w:cstheme="majorBidi"/>
          <w:sz w:val="20"/>
          <w:szCs w:val="20"/>
          <w:lang w:bidi="ar-AE"/>
        </w:rPr>
        <w:t>, en même temps que «rapide»,</w:t>
      </w:r>
      <w:r w:rsidRPr="00B6432E">
        <w:rPr>
          <w:rFonts w:asciiTheme="majorBidi" w:eastAsia="Calibri" w:hAnsiTheme="majorBidi" w:cstheme="majorBidi"/>
          <w:sz w:val="20"/>
          <w:szCs w:val="20"/>
        </w:rPr>
        <w:t xml:space="preserve"> </w:t>
      </w:r>
      <w:r w:rsidRPr="00B6432E">
        <w:rPr>
          <w:rFonts w:asciiTheme="majorBidi" w:eastAsia="Calibri" w:hAnsiTheme="majorBidi" w:cstheme="majorBidi"/>
          <w:sz w:val="20"/>
          <w:szCs w:val="20"/>
          <w:lang w:bidi="ar-AE"/>
        </w:rPr>
        <w:t xml:space="preserve">«authentique», et surtout qu'«affranchie». Cette dernière acception est confirmée par deux </w:t>
      </w:r>
      <w:r w:rsidRPr="00B6432E">
        <w:rPr>
          <w:rFonts w:asciiTheme="majorBidi" w:eastAsia="Calibri" w:hAnsiTheme="majorBidi" w:cstheme="majorBidi"/>
          <w:i/>
          <w:iCs/>
          <w:sz w:val="20"/>
          <w:szCs w:val="20"/>
          <w:lang w:bidi="ar-AE"/>
        </w:rPr>
        <w:t>hadîth</w:t>
      </w:r>
      <w:r w:rsidRPr="00B6432E">
        <w:rPr>
          <w:rFonts w:asciiTheme="majorBidi" w:eastAsia="Calibri" w:hAnsiTheme="majorBidi" w:cstheme="majorBidi"/>
          <w:sz w:val="20"/>
          <w:szCs w:val="20"/>
          <w:lang w:bidi="ar-AE"/>
        </w:rPr>
        <w:t>, l'un glosant ce nom de Ka'ba, « car elle a été affranchie des tyrans », et l'autre concernant Abû Bakr, surnommé al-'Atîq, puisque «affranchi» du feu de l'Enfer.</w:t>
      </w:r>
    </w:p>
  </w:footnote>
  <w:footnote w:id="722">
    <w:p w14:paraId="651E85B3"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36</w:t>
      </w:r>
      <w:r w:rsidRPr="00B6432E">
        <w:rPr>
          <w:rFonts w:asciiTheme="majorBidi" w:eastAsia="Calibri" w:hAnsiTheme="majorBidi" w:cstheme="majorBidi"/>
          <w:sz w:val="20"/>
          <w:szCs w:val="20"/>
          <w:lang w:bidi="ar-AE"/>
        </w:rPr>
        <w:t xml:space="preserve">. « En rangs » : autre interprétation : « debout, une jambe repliée et entravée ». La consommation de la viande des victimes, malgré cette invitation expresse, est interdite par le chaféisme. Nous avons marqué typographiquement ce changement de ton qui, à l'intérieur du </w:t>
      </w:r>
      <w:r w:rsidRPr="00B6432E">
        <w:rPr>
          <w:rFonts w:asciiTheme="majorBidi" w:eastAsia="Calibri" w:hAnsiTheme="majorBidi" w:cstheme="majorBidi"/>
          <w:i/>
          <w:iCs/>
          <w:sz w:val="20"/>
          <w:szCs w:val="20"/>
          <w:lang w:bidi="ar-AE"/>
        </w:rPr>
        <w:t>v 36</w:t>
      </w:r>
      <w:r w:rsidRPr="00B6432E">
        <w:rPr>
          <w:rFonts w:asciiTheme="majorBidi" w:eastAsia="Calibri" w:hAnsiTheme="majorBidi" w:cstheme="majorBidi"/>
          <w:sz w:val="20"/>
          <w:szCs w:val="20"/>
          <w:lang w:bidi="ar-AE"/>
        </w:rPr>
        <w:t xml:space="preserve">, sépare ce principe de tolérance de son commentaire. La dernière sentence du </w:t>
      </w:r>
      <w:r w:rsidRPr="00B6432E">
        <w:rPr>
          <w:rFonts w:asciiTheme="majorBidi" w:eastAsia="Calibri" w:hAnsiTheme="majorBidi" w:cstheme="majorBidi"/>
          <w:i/>
          <w:iCs/>
          <w:sz w:val="20"/>
          <w:szCs w:val="20"/>
          <w:lang w:bidi="ar-AE"/>
        </w:rPr>
        <w:t>v 37</w:t>
      </w:r>
      <w:r w:rsidRPr="00B6432E">
        <w:rPr>
          <w:rFonts w:asciiTheme="majorBidi" w:eastAsia="Calibri" w:hAnsiTheme="majorBidi" w:cstheme="majorBidi"/>
          <w:sz w:val="20"/>
          <w:szCs w:val="20"/>
          <w:lang w:bidi="ar-AE"/>
        </w:rPr>
        <w:t xml:space="preserve"> : « fais-en l'annonce aux bel-agissants », pourrait marquer encore une dénivellation : la tolérance ainsi définie doit être notifiée aux fidèles. </w:t>
      </w:r>
    </w:p>
  </w:footnote>
  <w:footnote w:id="723">
    <w:p w14:paraId="5EFC1D09"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39</w:t>
      </w:r>
      <w:r w:rsidRPr="00B6432E">
        <w:rPr>
          <w:rFonts w:asciiTheme="majorBidi" w:eastAsia="Calibri" w:hAnsiTheme="majorBidi" w:cstheme="majorBidi"/>
          <w:sz w:val="20"/>
          <w:szCs w:val="20"/>
          <w:lang w:bidi="ar-AE"/>
        </w:rPr>
        <w:t xml:space="preserve">. Ce fut, selon Zamakhshârî, le premier verset autorisant la lutte défensive après soixante-dix autres proscrivant la violence en général. Il s'agirait d'un parti de </w:t>
      </w:r>
      <w:r w:rsidRPr="00B6432E">
        <w:rPr>
          <w:rFonts w:asciiTheme="majorBidi" w:eastAsia="Calibri" w:hAnsiTheme="majorBidi" w:cstheme="majorBidi"/>
          <w:i/>
          <w:iCs/>
          <w:sz w:val="20"/>
          <w:szCs w:val="20"/>
          <w:lang w:bidi="ar-AE"/>
        </w:rPr>
        <w:t>Muhâjirûn</w:t>
      </w:r>
      <w:r w:rsidRPr="00B6432E">
        <w:rPr>
          <w:rFonts w:asciiTheme="majorBidi" w:eastAsia="Calibri" w:hAnsiTheme="majorBidi" w:cstheme="majorBidi"/>
          <w:sz w:val="20"/>
          <w:szCs w:val="20"/>
          <w:lang w:bidi="ar-AE"/>
        </w:rPr>
        <w:t xml:space="preserve"> qu'ont molestés les Mecquois.</w:t>
      </w:r>
    </w:p>
  </w:footnote>
  <w:footnote w:id="724">
    <w:p w14:paraId="08F2C986"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40</w:t>
      </w:r>
      <w:r w:rsidRPr="00B6432E">
        <w:rPr>
          <w:rFonts w:asciiTheme="majorBidi" w:eastAsia="Calibri" w:hAnsiTheme="majorBidi" w:cstheme="majorBidi"/>
          <w:sz w:val="20"/>
          <w:szCs w:val="20"/>
          <w:lang w:bidi="ar-AE"/>
        </w:rPr>
        <w:t xml:space="preserve">. « Synagogues » : </w:t>
      </w:r>
      <w:r w:rsidRPr="00B6432E">
        <w:rPr>
          <w:rFonts w:asciiTheme="majorBidi" w:eastAsia="Calibri" w:hAnsiTheme="majorBidi" w:cstheme="majorBidi"/>
          <w:i/>
          <w:iCs/>
          <w:sz w:val="20"/>
          <w:szCs w:val="20"/>
          <w:lang w:bidi="ar-AE"/>
        </w:rPr>
        <w:t>çalawât</w:t>
      </w:r>
      <w:r w:rsidRPr="00B6432E">
        <w:rPr>
          <w:rFonts w:asciiTheme="majorBidi" w:eastAsia="Calibri" w:hAnsiTheme="majorBidi" w:cstheme="majorBidi"/>
          <w:sz w:val="20"/>
          <w:szCs w:val="20"/>
          <w:lang w:bidi="ar-AE"/>
        </w:rPr>
        <w:t xml:space="preserve">, lu </w:t>
      </w:r>
      <w:r w:rsidRPr="00B6432E">
        <w:rPr>
          <w:rFonts w:asciiTheme="majorBidi" w:eastAsia="Calibri" w:hAnsiTheme="majorBidi" w:cstheme="majorBidi"/>
          <w:i/>
          <w:iCs/>
          <w:sz w:val="20"/>
          <w:szCs w:val="20"/>
          <w:lang w:bidi="ar-AE"/>
        </w:rPr>
        <w:t>çilwîtha</w:t>
      </w:r>
      <w:r w:rsidRPr="00B6432E">
        <w:rPr>
          <w:rFonts w:asciiTheme="majorBidi" w:eastAsia="Calibri" w:hAnsiTheme="majorBidi" w:cstheme="majorBidi"/>
          <w:sz w:val="20"/>
          <w:szCs w:val="20"/>
          <w:lang w:bidi="ar-AE"/>
        </w:rPr>
        <w:t xml:space="preserve"> par Akrama et Mujâhid, selon Ibn 'Atîya. Tabarî y voit la transcription d'un mot araméen. Le verset introduit une dialectique, ou plutôt une éristique, en tant qu'élément actif de l'histoire.</w:t>
      </w:r>
    </w:p>
  </w:footnote>
  <w:footnote w:id="725">
    <w:p w14:paraId="6529D8B1" w14:textId="77777777" w:rsidR="009C3BB9" w:rsidRPr="00B6432E" w:rsidRDefault="009C3BB9" w:rsidP="00F324A5">
      <w:pPr>
        <w:contextualSpacing/>
        <w:jc w:val="both"/>
        <w:rPr>
          <w:rFonts w:asciiTheme="majorBidi" w:eastAsia="Calibri" w:hAnsiTheme="majorBidi" w:cstheme="majorBidi"/>
          <w:sz w:val="20"/>
          <w:szCs w:val="20"/>
          <w:lang w:bidi="ar-AE"/>
        </w:rPr>
      </w:pPr>
      <w:r w:rsidRPr="00B6432E">
        <w:rPr>
          <w:rStyle w:val="Appelnotedebasdep"/>
          <w:rFonts w:asciiTheme="majorBidi" w:hAnsiTheme="majorBidi" w:cstheme="majorBidi"/>
          <w:sz w:val="20"/>
          <w:szCs w:val="20"/>
        </w:rPr>
        <w:footnoteRef/>
      </w:r>
      <w:r w:rsidRPr="00B6432E">
        <w:rPr>
          <w:rFonts w:asciiTheme="majorBidi" w:hAnsiTheme="majorBidi" w:cstheme="majorBidi"/>
          <w:sz w:val="20"/>
          <w:szCs w:val="20"/>
        </w:rPr>
        <w:t xml:space="preserve"> </w:t>
      </w:r>
      <w:r w:rsidRPr="00B6432E">
        <w:rPr>
          <w:rFonts w:asciiTheme="majorBidi" w:eastAsia="Calibri" w:hAnsiTheme="majorBidi" w:cstheme="majorBidi"/>
          <w:i/>
          <w:iCs/>
          <w:sz w:val="20"/>
          <w:szCs w:val="20"/>
          <w:lang w:bidi="ar-AE"/>
        </w:rPr>
        <w:t>v 52 sq</w:t>
      </w:r>
      <w:r w:rsidRPr="00B6432E">
        <w:rPr>
          <w:rFonts w:asciiTheme="majorBidi" w:eastAsia="Calibri" w:hAnsiTheme="majorBidi" w:cstheme="majorBidi"/>
          <w:sz w:val="20"/>
          <w:szCs w:val="20"/>
          <w:lang w:bidi="ar-AE"/>
        </w:rPr>
        <w:t xml:space="preserve">. Long </w:t>
      </w:r>
      <w:r w:rsidRPr="00B6432E">
        <w:rPr>
          <w:rFonts w:asciiTheme="majorBidi" w:eastAsia="Calibri" w:hAnsiTheme="majorBidi" w:cstheme="majorBidi"/>
          <w:i/>
          <w:iCs/>
          <w:sz w:val="20"/>
          <w:szCs w:val="20"/>
          <w:lang w:bidi="ar-AE"/>
        </w:rPr>
        <w:t>excursus</w:t>
      </w:r>
      <w:r w:rsidRPr="00B6432E">
        <w:rPr>
          <w:rFonts w:asciiTheme="majorBidi" w:eastAsia="Calibri" w:hAnsiTheme="majorBidi" w:cstheme="majorBidi"/>
          <w:sz w:val="20"/>
          <w:szCs w:val="20"/>
          <w:lang w:bidi="ar-AE"/>
        </w:rPr>
        <w:t xml:space="preserve"> de Râzî, t. VI, p. 168, 1. 13 </w:t>
      </w:r>
      <w:r w:rsidRPr="00B6432E">
        <w:rPr>
          <w:rFonts w:asciiTheme="majorBidi" w:eastAsia="Calibri" w:hAnsiTheme="majorBidi" w:cstheme="majorBidi"/>
          <w:i/>
          <w:iCs/>
          <w:sz w:val="20"/>
          <w:szCs w:val="20"/>
          <w:lang w:bidi="ar-AE"/>
        </w:rPr>
        <w:t>sq</w:t>
      </w:r>
      <w:r w:rsidRPr="00B6432E">
        <w:rPr>
          <w:rFonts w:asciiTheme="majorBidi" w:eastAsia="Calibri" w:hAnsiTheme="majorBidi" w:cstheme="majorBidi"/>
          <w:sz w:val="20"/>
          <w:szCs w:val="20"/>
          <w:lang w:bidi="ar-AE"/>
        </w:rPr>
        <w:t xml:space="preserve">. L'exégèse, qu'embrasse la notion reçue d'impeccabilité des prophètes, ne tire pas de la profondeur psychologique de cet aperçu le développement qu'il nous paraît mériter, en introduisant le thème d'une défaillance accidentelle du prophétisme. En revanche, une vive controverse à propos d’« abrogé » rejette les allusions que certains ont vues dans ce membre de phrase aux «puissantes déesses» de la sourate LIII, et à ses </w:t>
      </w:r>
      <w:r w:rsidRPr="00B6432E">
        <w:rPr>
          <w:rFonts w:asciiTheme="majorBidi" w:eastAsia="Calibri" w:hAnsiTheme="majorBidi" w:cstheme="majorBidi"/>
          <w:i/>
          <w:iCs/>
          <w:sz w:val="20"/>
          <w:szCs w:val="20"/>
          <w:lang w:bidi="ar-AE"/>
        </w:rPr>
        <w:t>gharânîq</w:t>
      </w:r>
      <w:r w:rsidRPr="00B6432E">
        <w:rPr>
          <w:rFonts w:asciiTheme="majorBidi" w:eastAsia="Calibri" w:hAnsiTheme="majorBidi" w:cstheme="majorBidi"/>
          <w:sz w:val="20"/>
          <w:szCs w:val="20"/>
          <w:lang w:bidi="ar-AE"/>
        </w:rPr>
        <w:t xml:space="preserve">, dont s'empara la malveillance des adversaires de l'islam. Une tradition rapporte en effet que Muhammad, recevant la sourate LIII, </w:t>
      </w:r>
      <w:r w:rsidRPr="00B6432E">
        <w:rPr>
          <w:rFonts w:asciiTheme="majorBidi" w:eastAsia="Calibri" w:hAnsiTheme="majorBidi" w:cstheme="majorBidi"/>
          <w:i/>
          <w:iCs/>
          <w:sz w:val="20"/>
          <w:szCs w:val="20"/>
          <w:lang w:bidi="ar-AE"/>
        </w:rPr>
        <w:t>l'Étoile</w:t>
      </w:r>
      <w:r w:rsidRPr="00B6432E">
        <w:rPr>
          <w:rFonts w:asciiTheme="majorBidi" w:eastAsia="Calibri" w:hAnsiTheme="majorBidi" w:cstheme="majorBidi"/>
          <w:sz w:val="20"/>
          <w:szCs w:val="20"/>
          <w:lang w:bidi="ar-AE"/>
        </w:rPr>
        <w:t xml:space="preserve">, y introduisit par inadvertance un verset élogieux à l'égard des trois déesses du paganisme arabe. L'adjonction fut aussitôt rejetée avec horreur, en tant que projection satanique. R. Blachère la fait toutefois figurer sous le numéro 20 bis et 20 ter de sa traduction. L'on sait le scandale provoqué récemment dans le monde islamique par l'utilisation malveillante de cette légende dans les </w:t>
      </w:r>
      <w:r w:rsidRPr="00B6432E">
        <w:rPr>
          <w:rFonts w:asciiTheme="majorBidi" w:eastAsia="Calibri" w:hAnsiTheme="majorBidi" w:cstheme="majorBidi"/>
          <w:i/>
          <w:iCs/>
          <w:sz w:val="20"/>
          <w:szCs w:val="20"/>
          <w:lang w:bidi="ar-AE"/>
        </w:rPr>
        <w:t>Versets sataniques</w:t>
      </w:r>
      <w:r w:rsidRPr="00B6432E">
        <w:rPr>
          <w:rFonts w:asciiTheme="majorBidi" w:eastAsia="Calibri" w:hAnsiTheme="majorBidi" w:cstheme="majorBidi"/>
          <w:sz w:val="20"/>
          <w:szCs w:val="20"/>
          <w:lang w:bidi="ar-AE"/>
        </w:rPr>
        <w:t xml:space="preserve"> du romancier anglo-indien Salman Rushdie.</w:t>
      </w:r>
    </w:p>
  </w:footnote>
  <w:footnote w:id="726">
    <w:p w14:paraId="116AF54A" w14:textId="77777777" w:rsidR="009C3BB9" w:rsidRPr="000C246F" w:rsidRDefault="009C3BB9" w:rsidP="00F324A5">
      <w:pPr>
        <w:contextualSpacing/>
        <w:jc w:val="both"/>
        <w:rPr>
          <w:rFonts w:asciiTheme="majorBidi" w:eastAsia="Times New Roman" w:hAnsiTheme="majorBidi" w:cstheme="majorBidi"/>
          <w:sz w:val="20"/>
          <w:szCs w:val="20"/>
        </w:rPr>
      </w:pPr>
      <w:r w:rsidRPr="000C246F">
        <w:rPr>
          <w:rStyle w:val="Appelnotedebasdep"/>
          <w:rFonts w:asciiTheme="majorBidi" w:hAnsiTheme="majorBidi" w:cstheme="majorBidi"/>
          <w:sz w:val="20"/>
          <w:szCs w:val="20"/>
        </w:rPr>
        <w:footnoteRef/>
      </w:r>
      <w:r w:rsidRPr="000C246F">
        <w:rPr>
          <w:rFonts w:asciiTheme="majorBidi" w:hAnsiTheme="majorBidi" w:cstheme="majorBidi"/>
          <w:sz w:val="20"/>
          <w:szCs w:val="20"/>
        </w:rPr>
        <w:t xml:space="preserve"> </w:t>
      </w:r>
      <w:r w:rsidRPr="000C246F">
        <w:rPr>
          <w:rFonts w:asciiTheme="majorBidi" w:eastAsia="Times New Roman" w:hAnsiTheme="majorBidi" w:cstheme="majorBidi"/>
          <w:i/>
          <w:iCs/>
          <w:color w:val="222222"/>
          <w:sz w:val="20"/>
          <w:szCs w:val="20"/>
        </w:rPr>
        <w:t>Le</w:t>
      </w:r>
      <w:r w:rsidRPr="000C246F">
        <w:rPr>
          <w:rStyle w:val="apple-converted-space"/>
          <w:rFonts w:asciiTheme="majorBidi" w:eastAsia="Times New Roman" w:hAnsiTheme="majorBidi" w:cstheme="majorBidi"/>
          <w:i/>
          <w:iCs/>
          <w:color w:val="222222"/>
          <w:sz w:val="20"/>
          <w:szCs w:val="20"/>
        </w:rPr>
        <w:t> </w:t>
      </w:r>
      <w:r w:rsidRPr="000C246F">
        <w:rPr>
          <w:rFonts w:asciiTheme="majorBidi" w:eastAsia="Times New Roman" w:hAnsiTheme="majorBidi" w:cstheme="majorBidi"/>
          <w:i/>
          <w:iCs/>
          <w:color w:val="222222"/>
          <w:sz w:val="20"/>
          <w:szCs w:val="20"/>
        </w:rPr>
        <w:t>Coran</w:t>
      </w:r>
      <w:r>
        <w:rPr>
          <w:rFonts w:asciiTheme="majorBidi" w:eastAsia="Times New Roman" w:hAnsiTheme="majorBidi" w:cstheme="majorBidi"/>
          <w:i/>
          <w:iCs/>
          <w:color w:val="222222"/>
          <w:sz w:val="20"/>
          <w:szCs w:val="20"/>
        </w:rPr>
        <w:t> : l’</w:t>
      </w:r>
      <w:r w:rsidRPr="000C246F">
        <w:rPr>
          <w:rFonts w:asciiTheme="majorBidi" w:eastAsia="Times New Roman" w:hAnsiTheme="majorBidi" w:cstheme="majorBidi"/>
          <w:i/>
          <w:iCs/>
          <w:color w:val="222222"/>
          <w:sz w:val="20"/>
          <w:szCs w:val="20"/>
        </w:rPr>
        <w:t>appel</w:t>
      </w:r>
      <w:r w:rsidRPr="000C246F">
        <w:rPr>
          <w:rFonts w:asciiTheme="majorBidi" w:eastAsia="Times New Roman" w:hAnsiTheme="majorBidi" w:cstheme="majorBidi"/>
          <w:color w:val="222222"/>
          <w:sz w:val="20"/>
          <w:szCs w:val="20"/>
          <w:shd w:val="clear" w:color="auto" w:fill="FFFFFF"/>
        </w:rPr>
        <w:t xml:space="preserve">, </w:t>
      </w:r>
      <w:r>
        <w:rPr>
          <w:rFonts w:asciiTheme="majorBidi" w:eastAsia="Times New Roman" w:hAnsiTheme="majorBidi" w:cstheme="majorBidi"/>
          <w:color w:val="222222"/>
          <w:sz w:val="20"/>
          <w:szCs w:val="20"/>
          <w:shd w:val="clear" w:color="auto" w:fill="FFFFFF"/>
        </w:rPr>
        <w:t xml:space="preserve">André Chouraqui, </w:t>
      </w:r>
      <w:r w:rsidRPr="000C246F">
        <w:rPr>
          <w:rFonts w:asciiTheme="majorBidi" w:eastAsia="Times New Roman" w:hAnsiTheme="majorBidi" w:cstheme="majorBidi"/>
          <w:color w:val="222222"/>
          <w:sz w:val="20"/>
          <w:szCs w:val="20"/>
          <w:shd w:val="clear" w:color="auto" w:fill="FFFFFF"/>
        </w:rPr>
        <w:t>éditions Robert Laffont, 1990</w:t>
      </w:r>
      <w:r>
        <w:rPr>
          <w:rFonts w:asciiTheme="majorBidi" w:eastAsia="Times New Roman" w:hAnsiTheme="majorBidi" w:cstheme="majorBidi"/>
          <w:color w:val="222222"/>
          <w:sz w:val="20"/>
          <w:szCs w:val="20"/>
          <w:shd w:val="clear" w:color="auto" w:fill="FFFFFF"/>
        </w:rPr>
        <w:t>.</w:t>
      </w:r>
    </w:p>
  </w:footnote>
  <w:footnote w:id="727">
    <w:p w14:paraId="4F50DC7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Ahmed Guessous, </w:t>
      </w:r>
      <w:r w:rsidRPr="00B6432E">
        <w:rPr>
          <w:rFonts w:asciiTheme="majorBidi" w:hAnsiTheme="majorBidi" w:cstheme="majorBidi"/>
          <w:i/>
        </w:rPr>
        <w:t>Le C</w:t>
      </w:r>
      <w:r>
        <w:rPr>
          <w:rFonts w:asciiTheme="majorBidi" w:hAnsiTheme="majorBidi" w:cstheme="majorBidi"/>
          <w:i/>
        </w:rPr>
        <w:t>oran ou les versets magnifiques.</w:t>
      </w:r>
      <w:r w:rsidRPr="00B6432E">
        <w:rPr>
          <w:rFonts w:asciiTheme="majorBidi" w:hAnsiTheme="majorBidi" w:cstheme="majorBidi"/>
          <w:i/>
        </w:rPr>
        <w:t xml:space="preserve"> Essai d’interprétation</w:t>
      </w:r>
      <w:r w:rsidRPr="00B6432E">
        <w:rPr>
          <w:rFonts w:asciiTheme="majorBidi" w:hAnsiTheme="majorBidi" w:cstheme="majorBidi"/>
        </w:rPr>
        <w:t>, éditions A</w:t>
      </w:r>
      <w:r>
        <w:rPr>
          <w:rFonts w:asciiTheme="majorBidi" w:hAnsiTheme="majorBidi" w:cstheme="majorBidi"/>
        </w:rPr>
        <w:t xml:space="preserve">frique Orient, Casablanca (Maroc), Beyrouth (Liban), 1999 (selon les catalogues des médiathèques de l’Institut français de Tétouan, </w:t>
      </w:r>
      <w:hyperlink r:id="rId187" w:history="1">
        <w:r w:rsidRPr="00376014">
          <w:rPr>
            <w:rStyle w:val="Lienhypertexte"/>
            <w:rFonts w:asciiTheme="majorBidi" w:hAnsiTheme="majorBidi" w:cstheme="majorBidi"/>
          </w:rPr>
          <w:t>http://mediathequetetouan.institutfrancais-maroc.com/opac/index.php?lvl=author_see&amp;id=14226</w:t>
        </w:r>
      </w:hyperlink>
      <w:r>
        <w:rPr>
          <w:rFonts w:asciiTheme="majorBidi" w:hAnsiTheme="majorBidi" w:cstheme="majorBidi"/>
        </w:rPr>
        <w:t xml:space="preserve"> (consulté le 01/09/2017)). La version consultée disponible à la bibliothèque de la MMSH [</w:t>
      </w:r>
      <w:r w:rsidRPr="00DF2F78">
        <w:rPr>
          <w:rFonts w:asciiTheme="majorBidi" w:hAnsiTheme="majorBidi" w:cstheme="majorBidi"/>
        </w:rPr>
        <w:t>Maison mé</w:t>
      </w:r>
      <w:r>
        <w:rPr>
          <w:rFonts w:asciiTheme="majorBidi" w:hAnsiTheme="majorBidi" w:cstheme="majorBidi"/>
        </w:rPr>
        <w:t>diterranéenne des sciences de l’</w:t>
      </w:r>
      <w:r w:rsidRPr="00DF2F78">
        <w:rPr>
          <w:rFonts w:asciiTheme="majorBidi" w:hAnsiTheme="majorBidi" w:cstheme="majorBidi"/>
        </w:rPr>
        <w:t>homme</w:t>
      </w:r>
      <w:r>
        <w:rPr>
          <w:rFonts w:asciiTheme="majorBidi" w:hAnsiTheme="majorBidi" w:cstheme="majorBidi"/>
        </w:rPr>
        <w:t xml:space="preserve">] à Aix-en-Provence date de 2000. Malek Chebel évoque la traduction d’Ahmed Guessous qui date de 2000. (Malek Chebel, </w:t>
      </w:r>
      <w:r w:rsidRPr="008F2AF9">
        <w:rPr>
          <w:rFonts w:asciiTheme="majorBidi" w:hAnsiTheme="majorBidi" w:cstheme="majorBidi"/>
          <w:i/>
          <w:iCs/>
        </w:rPr>
        <w:t>Dictionnaire encyclopédique du Coran</w:t>
      </w:r>
      <w:r>
        <w:rPr>
          <w:rFonts w:asciiTheme="majorBidi" w:hAnsiTheme="majorBidi" w:cstheme="majorBidi"/>
        </w:rPr>
        <w:t>, Fayard, 2009, p. 486).</w:t>
      </w:r>
    </w:p>
  </w:footnote>
  <w:footnote w:id="728">
    <w:p w14:paraId="6C25BC9B" w14:textId="77777777" w:rsidR="009C3BB9" w:rsidRDefault="009C3BB9" w:rsidP="00F324A5">
      <w:pPr>
        <w:pStyle w:val="Notedebasdepage"/>
      </w:pPr>
      <w:r>
        <w:rPr>
          <w:rStyle w:val="Appelnotedebasdep"/>
        </w:rPr>
        <w:footnoteRef/>
      </w:r>
      <w:r>
        <w:rPr>
          <w:i/>
        </w:rPr>
        <w:t>Le Noble Coran</w:t>
      </w:r>
      <w:r>
        <w:t xml:space="preserve">, traduit par </w:t>
      </w:r>
      <w:r w:rsidRPr="001F1490">
        <w:rPr>
          <w:bCs/>
        </w:rPr>
        <w:t>Mohammed Chiadmi</w:t>
      </w:r>
      <w:r>
        <w:rPr>
          <w:bCs/>
        </w:rPr>
        <w:t>,</w:t>
      </w:r>
      <w:r>
        <w:t xml:space="preserve"> éditions Tawhid, 2004.</w:t>
      </w:r>
    </w:p>
  </w:footnote>
  <w:footnote w:id="729">
    <w:p w14:paraId="7EC1732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Les sabéens : certains commentateurs font remonter l’origine des sabéens à Seth (Shîth, un des fils d’Adam) et à Enoch (Idrîs, descendant de Seth). Les sabéens étaient installés en Iraq, où le prophète Ibrâhîm leur avait été envoyé. Des commentateurs parlent d’eux comme des gens qui croyaient en Dieu l’Unique ; pour d’autres, ils adorent les anges ; pour d’autres encore, les astres ; pour Ibn Kathîr, ils ne suivaient aucune religion, n’avaient pas de Livre et n’avaient reçu aucun prophète. Les avis sont donc partagés quant à leur appartenance aux gens du Livre, mais la majorité des savants les considèrent comme en faisant partie, au même titre que les juifs et les chrétiens . Voir aussi 2/62 et 5/69. </w:t>
      </w:r>
    </w:p>
  </w:footnote>
  <w:footnote w:id="730">
    <w:p w14:paraId="5E6C82B3"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Les zoroastriens : ce verset est le seul dans le Coran où il est fait mention des zoroastriens </w:t>
      </w:r>
      <w:r w:rsidRPr="00B6432E">
        <w:rPr>
          <w:rFonts w:asciiTheme="majorBidi" w:hAnsiTheme="majorBidi" w:cstheme="majorBidi"/>
          <w:i/>
        </w:rPr>
        <w:t xml:space="preserve">(al-majûs), </w:t>
      </w:r>
      <w:r w:rsidRPr="00B6432E">
        <w:rPr>
          <w:rFonts w:asciiTheme="majorBidi" w:hAnsiTheme="majorBidi" w:cstheme="majorBidi"/>
        </w:rPr>
        <w:t xml:space="preserve">les partisans de Zoroastre, lequel avait vécu entre 400 et 700 ans avant J-C. Certains savants très minoritaires voient en Zoroastre un prophète ; d’autres le considèrent plutôt comme un réformateur qui prêchait l’unicité de Dieu. Ses partisans se détournèrent par la suite de ses enseignements au point de devenir des adorateurs du feu. Les zoroastriens sont établis essentiellement en Perse. Les avis divergent quant à leur appartenance aux gens du Livre. </w:t>
      </w:r>
    </w:p>
  </w:footnote>
  <w:footnote w:id="731">
    <w:p w14:paraId="03DF08E3"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Au cours de la récitation du Coran, la prosternation (</w:t>
      </w:r>
      <w:r w:rsidRPr="00B6432E">
        <w:rPr>
          <w:rFonts w:asciiTheme="majorBidi" w:hAnsiTheme="majorBidi" w:cstheme="majorBidi"/>
          <w:i/>
        </w:rPr>
        <w:t>sajda</w:t>
      </w:r>
      <w:r w:rsidRPr="00B6432E">
        <w:rPr>
          <w:rFonts w:asciiTheme="majorBidi" w:hAnsiTheme="majorBidi" w:cstheme="majorBidi"/>
        </w:rPr>
        <w:t xml:space="preserve">) est recommandée après ce verset. Voir Glossaire. </w:t>
      </w:r>
    </w:p>
  </w:footnote>
  <w:footnote w:id="732">
    <w:p w14:paraId="1E64A99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Temple : litt. « mosquée », étym. « lieu où l’on se prosterne ». Le Temple sacré désigne la Ka’ba, litt. « la maison », « le temple » : lieu de pèlerinage </w:t>
      </w:r>
      <w:r w:rsidRPr="00B6432E">
        <w:rPr>
          <w:rFonts w:asciiTheme="majorBidi" w:hAnsiTheme="majorBidi" w:cstheme="majorBidi"/>
          <w:i/>
        </w:rPr>
        <w:t>(hajj</w:t>
      </w:r>
      <w:r w:rsidRPr="00B6432E">
        <w:rPr>
          <w:rFonts w:asciiTheme="majorBidi" w:hAnsiTheme="majorBidi" w:cstheme="majorBidi"/>
        </w:rPr>
        <w:t xml:space="preserve">) à La Mecque. Le verset fait ici allusion aux polythéistes qurayshites lorsqu’ils étaient en possession de la Mosquée sacrée et qu’ils empêchaient les musulmans d’y accomplir leurs rites. </w:t>
      </w:r>
    </w:p>
  </w:footnote>
  <w:footnote w:id="733">
    <w:p w14:paraId="16CB818B"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 prophète Ibrâhîm (Abraham) est le fondateur de la Ka’ba : voir notamment 14/35-41. Selon la Tradition, la Ka’ba fut construite par les anges pour Adam. Ibrâhîm la reconstruit après qu’elle eut disparu à la suite du déluge. </w:t>
      </w:r>
    </w:p>
  </w:footnote>
  <w:footnote w:id="734">
    <w:p w14:paraId="183569FF"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Les tours rituels : ceux que les pèlerins effectuent autour de la Ka’ba pendant le pèlerinage (</w:t>
      </w:r>
      <w:r w:rsidRPr="00B6432E">
        <w:rPr>
          <w:rFonts w:asciiTheme="majorBidi" w:hAnsiTheme="majorBidi" w:cstheme="majorBidi"/>
          <w:i/>
        </w:rPr>
        <w:t>hajj</w:t>
      </w:r>
      <w:r w:rsidRPr="00B6432E">
        <w:rPr>
          <w:rFonts w:asciiTheme="majorBidi" w:hAnsiTheme="majorBidi" w:cstheme="majorBidi"/>
        </w:rPr>
        <w:t>) ou la ‘</w:t>
      </w:r>
      <w:r w:rsidRPr="00B6432E">
        <w:rPr>
          <w:rFonts w:asciiTheme="majorBidi" w:hAnsiTheme="majorBidi" w:cstheme="majorBidi"/>
          <w:i/>
        </w:rPr>
        <w:t>umra.</w:t>
      </w:r>
      <w:r w:rsidRPr="00B6432E">
        <w:rPr>
          <w:rFonts w:asciiTheme="majorBidi" w:hAnsiTheme="majorBidi" w:cstheme="majorBidi"/>
        </w:rPr>
        <w:t xml:space="preserve"> Voir Glossaire. </w:t>
      </w:r>
    </w:p>
  </w:footnote>
  <w:footnote w:id="735">
    <w:p w14:paraId="54300D7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Leurs dévotions, debout, agenouillés, prosternés : il s’agit des diverses postures de la salât. Voir Glossaire. </w:t>
      </w:r>
    </w:p>
  </w:footnote>
  <w:footnote w:id="736">
    <w:p w14:paraId="5281600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 dixième jour de dhû-l-hijja est le jour du sacrifice, dans la vallée de Minâ. Le pèlerin est appelé à sacrifier lui-même une bête (généralement un mouton mâle) ou à assister au sacrifice. Au moment où il accomplit l’acte, il doit dire : « </w:t>
      </w:r>
      <w:r w:rsidRPr="00B6432E">
        <w:rPr>
          <w:rFonts w:asciiTheme="majorBidi" w:hAnsiTheme="majorBidi" w:cstheme="majorBidi"/>
          <w:i/>
        </w:rPr>
        <w:t>Bismillâh. Allâhu akbar</w:t>
      </w:r>
      <w:r w:rsidRPr="00B6432E">
        <w:rPr>
          <w:rFonts w:asciiTheme="majorBidi" w:hAnsiTheme="majorBidi" w:cstheme="majorBidi"/>
        </w:rPr>
        <w:t xml:space="preserve"> [Au nom de Dieu. Dieu est le plus Grand]. C’est Toi qui me l’as accordé, et c’est à Toi que je l’offre. Exauce mon offrande comme tu l’as exaucée de la main d’Ibrahîm. Ton serviteur honoré de Ton amitié. » Il est recommandé de consommer une partie de la bête sacrifiée et de distribuer une grande partie (au moins le tiers) aux pauvres et aux nécessiteux. </w:t>
      </w:r>
    </w:p>
  </w:footnote>
  <w:footnote w:id="737">
    <w:p w14:paraId="484EBA0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Temple antique : la Ka’ba. Après le sacrifice, le pèlerinage est pratiquement fini. Bien que le pèlerin doit rester en état de sacralisation (</w:t>
      </w:r>
      <w:r w:rsidRPr="00B6432E">
        <w:rPr>
          <w:rFonts w:asciiTheme="majorBidi" w:hAnsiTheme="majorBidi" w:cstheme="majorBidi"/>
          <w:i/>
        </w:rPr>
        <w:t>ihrâm</w:t>
      </w:r>
      <w:r w:rsidRPr="00B6432E">
        <w:rPr>
          <w:rFonts w:asciiTheme="majorBidi" w:hAnsiTheme="majorBidi" w:cstheme="majorBidi"/>
        </w:rPr>
        <w:t xml:space="preserve">), il lui est permis de se couper les ongles, les cheveux, et de faire ce qu’il lui était auparavant interdit, excepté d’avoir des rapports sexuels. </w:t>
      </w:r>
    </w:p>
  </w:footnote>
  <w:footnote w:id="738">
    <w:p w14:paraId="0F444AB5"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Un rite sacrificiel : le sacrifice en islam est destiné à expier ses péchés et à se rapprocher de Dieu. A ses Compagnons qui lui demandaient la signification du sacrifice, le Prophète répondit:  « C’est une tradition qui fait mémoire à votre père Ibrâhîm » [hadith </w:t>
      </w:r>
      <w:r w:rsidRPr="00B6432E">
        <w:rPr>
          <w:rFonts w:asciiTheme="majorBidi" w:hAnsiTheme="majorBidi" w:cstheme="majorBidi"/>
          <w:i/>
        </w:rPr>
        <w:t>hasan</w:t>
      </w:r>
      <w:r w:rsidRPr="00B6432E">
        <w:rPr>
          <w:rFonts w:asciiTheme="majorBidi" w:hAnsiTheme="majorBidi" w:cstheme="majorBidi"/>
        </w:rPr>
        <w:t xml:space="preserve"> rapporté par Tirmiddhî et Ibn Mâja]. Le verset 37 formule clairement que Dieu ordonne le sacrifice non pas en tant que tel, mais en tant que symbole de la dévotion à Dieu. Ce geste est également un acte de charité destiné aux pauvres (verset 36). Enfin, l’islam enjoint de faire attention à la bête destinée au sacrifice, de ne pas l’effrayer, de l’apaiser, de faire en sorte qu’elle ne souffre pas.  </w:t>
      </w:r>
    </w:p>
  </w:footnote>
  <w:footnote w:id="739">
    <w:p w14:paraId="49F2CE41"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 verset, révélé au bout de quinze années de persécutions et de souffrance, autorise les croyants à se défendre contre ceux qui les combattent en toute injustice. C’est le prélude à la bataille de Badr (an 2 de l’Hégire/624), qui marque le commencement de la guerre défensive (voir Glossaire). Ce verset contient en outre, une autorisation générale à la légitime défense, qui sera mieux précisée au verset suivant. </w:t>
      </w:r>
    </w:p>
  </w:footnote>
  <w:footnote w:id="740">
    <w:p w14:paraId="02DF7EE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Nûh, Ibrâhîm, Lût, Mûsâ : voir index des prophètes. ‘Âd, Thâmûd, Madyan : voir index des noms propres. </w:t>
      </w:r>
    </w:p>
  </w:footnote>
  <w:footnote w:id="741">
    <w:p w14:paraId="53148EA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La Géhenne : l’un des noms de l’Enfer. </w:t>
      </w:r>
    </w:p>
  </w:footnote>
  <w:footnote w:id="742">
    <w:p w14:paraId="56B2817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Ce verset fut révélé à la suite d’une polémique opposant les croyants et un groupe de polythéistes mecquois, concernant la consommation de la viande qu’ils avaient eux-mêmes sacrifiée pour Dieu et de ne pas manger les bêtes mortes qui, selon eux, avaient été sacrifiées par Dieu (selon Qurtubî). Il fut demandé aux croyants d’éviter de verser dans la controverse et d’informer ces polythéistes que Dieu a institué pour chaque communauté des rites distincts par l’intermédiaire des prophètes (selon Ibn Kathîr). </w:t>
      </w:r>
    </w:p>
  </w:footnote>
  <w:footnote w:id="743">
    <w:p w14:paraId="191E151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Solliciteur : les adorateurs. Sollicité : leurs idoles (les pierres).</w:t>
      </w:r>
    </w:p>
  </w:footnote>
  <w:footnote w:id="744">
    <w:p w14:paraId="321CD3A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Au cours de la récitation du Coran, la prosternation (</w:t>
      </w:r>
      <w:r w:rsidRPr="00B6432E">
        <w:rPr>
          <w:rFonts w:asciiTheme="majorBidi" w:hAnsiTheme="majorBidi" w:cstheme="majorBidi"/>
          <w:i/>
        </w:rPr>
        <w:t>sajda</w:t>
      </w:r>
      <w:r w:rsidRPr="00B6432E">
        <w:rPr>
          <w:rFonts w:asciiTheme="majorBidi" w:hAnsiTheme="majorBidi" w:cstheme="majorBidi"/>
        </w:rPr>
        <w:t>) est recommandée après ce verset. Voir Glossaire.</w:t>
      </w:r>
    </w:p>
  </w:footnote>
  <w:footnote w:id="745">
    <w:p w14:paraId="16F15B08" w14:textId="77777777" w:rsidR="009C3BB9" w:rsidRDefault="009C3BB9" w:rsidP="00F324A5">
      <w:pPr>
        <w:pStyle w:val="Notedebasdepage"/>
        <w:jc w:val="both"/>
      </w:pPr>
      <w:r>
        <w:rPr>
          <w:rStyle w:val="Appelnotedebasdep"/>
        </w:rPr>
        <w:footnoteRef/>
      </w:r>
      <w:r>
        <w:t xml:space="preserve"> </w:t>
      </w:r>
      <w:r w:rsidRPr="00420D52">
        <w:rPr>
          <w:i/>
          <w:iCs/>
        </w:rPr>
        <w:t>Le Saint Coran</w:t>
      </w:r>
      <w:r>
        <w:t>, Traduction en langue française du sens de ses versets de Mohammed Hamidullah revue et corrigée par le complexe du roi Fahd, 2001.</w:t>
      </w:r>
    </w:p>
  </w:footnote>
  <w:footnote w:id="746">
    <w:p w14:paraId="443E0AD0" w14:textId="77777777" w:rsidR="009C3BB9" w:rsidRPr="003965FD" w:rsidRDefault="009C3BB9" w:rsidP="00F324A5">
      <w:pPr>
        <w:pStyle w:val="Notedebasdepage"/>
        <w:jc w:val="both"/>
      </w:pPr>
      <w:r w:rsidRPr="003965FD">
        <w:rPr>
          <w:rStyle w:val="Appelnotedebasdep"/>
        </w:rPr>
        <w:footnoteRef/>
      </w:r>
      <w:r w:rsidRPr="003965FD">
        <w:t xml:space="preserve"> </w:t>
      </w:r>
      <w:r w:rsidRPr="003965FD">
        <w:rPr>
          <w:i/>
          <w:iCs/>
        </w:rPr>
        <w:t xml:space="preserve">Le Qur’ān. Traduction du sens de ses Versets </w:t>
      </w:r>
      <w:r w:rsidRPr="003965FD">
        <w:t xml:space="preserve">par Zeinab Abdelaziz, Jamʿīyat Tablīgh al-ʾIslām [Conveying Islamic Message Society], Alexandrie, Égypte, </w:t>
      </w:r>
      <w:r>
        <w:rPr>
          <w:lang w:eastAsia="fr-FR"/>
        </w:rPr>
        <w:t>2009.</w:t>
      </w:r>
    </w:p>
  </w:footnote>
  <w:footnote w:id="747">
    <w:p w14:paraId="1B319D4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La fixation de l’œuf dans l’utérus a lieu grâce au développement de villosités qui vont puiser, dans l’épaisseur de la paroi, ce qui est nécessaire à sa croissance. Ces villosités accrochent littéralement l’œuf à l’utérus. Cette réalité bien établie date des temps modernes. </w:t>
      </w:r>
    </w:p>
  </w:footnote>
  <w:footnote w:id="748">
    <w:p w14:paraId="596BDD8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Au début de sa formation, l’embryon est une petite masse qui a cet aspect de chair mâchée, à une certaine étape de son développement. </w:t>
      </w:r>
    </w:p>
  </w:footnote>
  <w:footnote w:id="749">
    <w:p w14:paraId="1A1F3082" w14:textId="77777777" w:rsidR="009C3BB9" w:rsidRPr="00D61FC6" w:rsidRDefault="009C3BB9" w:rsidP="00F324A5">
      <w:pPr>
        <w:pStyle w:val="Notedebasdepage"/>
        <w:jc w:val="both"/>
      </w:pPr>
      <w:r w:rsidRPr="00D61FC6">
        <w:rPr>
          <w:rStyle w:val="Appelnotedebasdep"/>
        </w:rPr>
        <w:footnoteRef/>
      </w:r>
      <w:r w:rsidRPr="00D61FC6">
        <w:t xml:space="preserve"> </w:t>
      </w:r>
      <w:r w:rsidRPr="0027577E">
        <w:rPr>
          <w:i/>
          <w:iCs/>
        </w:rPr>
        <w:t xml:space="preserve">LE CORAN. Texte arabe et traduction française </w:t>
      </w:r>
      <w:r>
        <w:rPr>
          <w:i/>
          <w:iCs/>
        </w:rPr>
        <w:t>par ordre chronologique selon l’</w:t>
      </w:r>
      <w:r w:rsidRPr="0027577E">
        <w:rPr>
          <w:i/>
          <w:iCs/>
        </w:rPr>
        <w:t xml:space="preserve">Azhar, avec renvoi aux variantes, aux abrogations et aux écrits juifs et chrétiens, </w:t>
      </w:r>
      <w:r w:rsidRPr="0027577E">
        <w:t xml:space="preserve">par Sami Awad Aldeeb Abu-Sahlieh, </w:t>
      </w:r>
      <w:r>
        <w:t xml:space="preserve">Éditions de l’Aire, </w:t>
      </w:r>
      <w:r w:rsidRPr="00D61FC6">
        <w:t>Vevey</w:t>
      </w:r>
      <w:r>
        <w:t xml:space="preserve"> </w:t>
      </w:r>
      <w:r w:rsidRPr="00D61FC6">
        <w:t>Suisse</w:t>
      </w:r>
      <w:r>
        <w:t>,</w:t>
      </w:r>
      <w:r w:rsidRPr="00D61FC6">
        <w:t xml:space="preserve"> 2008, 579</w:t>
      </w:r>
      <w:r>
        <w:t xml:space="preserve"> pages.</w:t>
      </w:r>
    </w:p>
  </w:footnote>
  <w:footnote w:id="750">
    <w:p w14:paraId="3994AD3D"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t>Titre tiré du verset 27.</w:t>
      </w:r>
    </w:p>
  </w:footnote>
  <w:footnote w:id="751">
    <w:p w14:paraId="17C6D7FA"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Style w:val="StyleComplexeTraditionalArabicNoir1"/>
          <w:rFonts w:asciiTheme="majorBidi" w:hAnsiTheme="majorBidi" w:cstheme="majorBidi"/>
          <w:sz w:val="20"/>
          <w:szCs w:val="20"/>
        </w:rPr>
        <w:t>Voir la note 2 du chapitre 1/</w:t>
      </w:r>
      <w:r w:rsidRPr="00B6432E">
        <w:rPr>
          <w:rFonts w:asciiTheme="majorBidi" w:hAnsiTheme="majorBidi" w:cstheme="majorBidi"/>
          <w:color w:val="000000"/>
          <w:sz w:val="20"/>
          <w:szCs w:val="20"/>
        </w:rPr>
        <w:t>96.</w:t>
      </w:r>
    </w:p>
  </w:footnote>
  <w:footnote w:id="752">
    <w:p w14:paraId="42584AFE"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تُذْهَلُ كُلُّ، تُذْهِلُ كُلَّ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وَتُرَى النَّاسُ، وَيُرَى النَّاسُ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سَكْرَى .. بِسَكْرَى، سُكْرَى .. بِسُكْرَى، سُكَارَى .. بِسُكَارَى،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R1)</w:t>
      </w:r>
      <w:r w:rsidRPr="00B6432E">
        <w:rPr>
          <w:rFonts w:asciiTheme="majorBidi" w:hAnsiTheme="majorBidi" w:cstheme="majorBidi"/>
          <w:color w:val="000000"/>
          <w:sz w:val="20"/>
          <w:szCs w:val="20"/>
        </w:rPr>
        <w:t xml:space="preserve"> Cf. Mt 24:19; Mc 13:17; Lc 21:23.</w:t>
      </w:r>
    </w:p>
  </w:footnote>
  <w:footnote w:id="753">
    <w:p w14:paraId="5041BC74"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وَيَتْبَعُ</w:t>
      </w:r>
    </w:p>
  </w:footnote>
  <w:footnote w:id="754">
    <w:p w14:paraId="04E7813D"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كَتَبَ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إِنَّهُ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فَإِنَّهُ</w:t>
      </w:r>
    </w:p>
  </w:footnote>
  <w:footnote w:id="755">
    <w:p w14:paraId="4055C57F"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الْبَعَثِ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مُخَلَّقَةً وَغَيْرَ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لِيُبَيِّنَ </w:t>
      </w:r>
      <w:r w:rsidRPr="00B6432E">
        <w:rPr>
          <w:rFonts w:asciiTheme="majorBidi" w:hAnsiTheme="majorBidi" w:cstheme="majorBidi"/>
          <w:color w:val="FF0000"/>
          <w:sz w:val="20"/>
          <w:szCs w:val="20"/>
          <w:vertAlign w:val="superscript"/>
        </w:rPr>
        <w:t>4)</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وَيُقِرُّ، وَنُقِرَّ، وَنَقُرُّ، وَيَقِرُّ، وَيُقِرَّ، وَنَقُرَّ، وَيَقَرَّ، وَيَقُرُّ </w:t>
      </w:r>
      <w:r w:rsidRPr="00B6432E">
        <w:rPr>
          <w:rFonts w:asciiTheme="majorBidi" w:hAnsiTheme="majorBidi" w:cstheme="majorBidi"/>
          <w:color w:val="FF0000"/>
          <w:sz w:val="20"/>
          <w:szCs w:val="20"/>
          <w:vertAlign w:val="superscript"/>
        </w:rPr>
        <w:t>5)</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نُخْرِجَكُمْ، يُخْرِجُكُمْ، يُخْرِجَكُمْ </w:t>
      </w:r>
      <w:r w:rsidRPr="00B6432E">
        <w:rPr>
          <w:rFonts w:asciiTheme="majorBidi" w:hAnsiTheme="majorBidi" w:cstheme="majorBidi"/>
          <w:color w:val="FF0000"/>
          <w:sz w:val="20"/>
          <w:szCs w:val="20"/>
          <w:vertAlign w:val="superscript"/>
        </w:rPr>
        <w:t>6)</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يَتَوَفَّى </w:t>
      </w:r>
      <w:r w:rsidRPr="00B6432E">
        <w:rPr>
          <w:rFonts w:asciiTheme="majorBidi" w:hAnsiTheme="majorBidi" w:cstheme="majorBidi"/>
          <w:color w:val="FF0000"/>
          <w:sz w:val="20"/>
          <w:szCs w:val="20"/>
          <w:vertAlign w:val="superscript"/>
        </w:rPr>
        <w:t>7)</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ومنكم من يكون شيوخاً </w:t>
      </w:r>
      <w:r w:rsidRPr="00B6432E">
        <w:rPr>
          <w:rFonts w:asciiTheme="majorBidi" w:hAnsiTheme="majorBidi" w:cstheme="majorBidi"/>
          <w:color w:val="FF0000"/>
          <w:sz w:val="20"/>
          <w:szCs w:val="20"/>
          <w:vertAlign w:val="superscript"/>
        </w:rPr>
        <w:t>8)</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وَرَبَأَتْ، وَرَبَيَتْ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R1)</w:t>
      </w:r>
      <w:r w:rsidRPr="00B6432E">
        <w:rPr>
          <w:rFonts w:asciiTheme="majorBidi" w:hAnsiTheme="majorBidi" w:cstheme="majorBidi"/>
          <w:color w:val="000000"/>
          <w:sz w:val="20"/>
          <w:szCs w:val="20"/>
        </w:rPr>
        <w:t xml:space="preserve"> Cf. Si 33:15; 42:24.</w:t>
      </w:r>
    </w:p>
  </w:footnote>
  <w:footnote w:id="756">
    <w:p w14:paraId="358665CA"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وَأَنَّه باعث</w:t>
      </w:r>
    </w:p>
  </w:footnote>
  <w:footnote w:id="757">
    <w:p w14:paraId="7FFBC940"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عَطْفِهِ، عِطِّفِهِ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لِيَضِلَّ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وَأُذِيقُهُ</w:t>
      </w:r>
    </w:p>
  </w:footnote>
  <w:footnote w:id="758">
    <w:p w14:paraId="79649867"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خَاسِرَ .. وَالْآَخِرَةِ، خَاسِرَ .. وَالْآَخِرَةَ، خَاسِرُ .. وَالْآَخِرَةِ، خَاسِراً .. وَالْآَخِرَةَ</w:t>
      </w:r>
    </w:p>
  </w:footnote>
  <w:footnote w:id="759">
    <w:p w14:paraId="2337A6E0"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مَنْ</w:t>
      </w:r>
    </w:p>
  </w:footnote>
  <w:footnote w:id="760">
    <w:p w14:paraId="290991CE"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فَلِيَمْدُدْ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ثُمَّ لِيَقْطَعْه، فلِيَقْطَعْه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ثُمَّ لْيَنْظُرْ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qu'il se pende (Abdelaziz).</w:t>
      </w:r>
    </w:p>
  </w:footnote>
  <w:footnote w:id="761">
    <w:p w14:paraId="6F2B48AD"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وَالصَّابِينَ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Voir la note de 87/2:62.</w:t>
      </w:r>
    </w:p>
  </w:footnote>
  <w:footnote w:id="762">
    <w:p w14:paraId="6A900191"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وَكَبِيرٌ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حُقَّ، حَقٌّ، حَقّاً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مُكْرَمٍ</w:t>
      </w:r>
    </w:p>
  </w:footnote>
  <w:footnote w:id="763">
    <w:p w14:paraId="31990718"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خِصْمَانِ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اخْتَصَما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قُطِعَتْ</w:t>
      </w:r>
    </w:p>
  </w:footnote>
  <w:footnote w:id="764">
    <w:p w14:paraId="56B20161"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يُصَهَّرُ</w:t>
      </w:r>
    </w:p>
  </w:footnote>
  <w:footnote w:id="765">
    <w:p w14:paraId="05EBC208"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رُدُّوا</w:t>
      </w:r>
    </w:p>
  </w:footnote>
  <w:footnote w:id="766">
    <w:p w14:paraId="407F4D9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يُحْلَوْنَ، يَحْلَوْنَ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أَسَاوِيرَ، أَسْوَرَ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وَلُؤْلُؤٍ، وَلُوْلُؤٍ، وَلُوْلُؤًا، وَلُؤْلُوًا، وَلُوْلُيًا، وَلِيْلِيًا، وَلُوْلٍ، وَلُوْلُوًا، وَلُوْلُو</w:t>
      </w:r>
    </w:p>
  </w:footnote>
  <w:footnote w:id="767">
    <w:p w14:paraId="6ECFE1BB"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سَوَاءٌ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الْعَاكِفِ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وَالْبَادِي </w:t>
      </w:r>
      <w:r w:rsidRPr="00B6432E">
        <w:rPr>
          <w:rFonts w:asciiTheme="majorBidi" w:hAnsiTheme="majorBidi" w:cstheme="majorBidi"/>
          <w:color w:val="FF0000"/>
          <w:sz w:val="20"/>
          <w:szCs w:val="20"/>
          <w:vertAlign w:val="superscript"/>
        </w:rPr>
        <w:t>4)</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يَرِدْ </w:t>
      </w:r>
      <w:r w:rsidRPr="00B6432E">
        <w:rPr>
          <w:rFonts w:asciiTheme="majorBidi" w:hAnsiTheme="majorBidi" w:cstheme="majorBidi"/>
          <w:color w:val="FF0000"/>
          <w:sz w:val="20"/>
          <w:szCs w:val="20"/>
          <w:vertAlign w:val="superscript"/>
        </w:rPr>
        <w:t>5)</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إِلْحَادَه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Voir la note de 50/17:1. </w:t>
      </w:r>
      <w:r w:rsidRPr="00B6432E">
        <w:rPr>
          <w:rFonts w:asciiTheme="majorBidi" w:hAnsiTheme="majorBidi" w:cstheme="majorBidi"/>
          <w:color w:val="FF0000"/>
          <w:sz w:val="20"/>
          <w:szCs w:val="20"/>
          <w:vertAlign w:val="superscript"/>
        </w:rPr>
        <w:t>T2)</w:t>
      </w:r>
      <w:r w:rsidRPr="00B6432E">
        <w:rPr>
          <w:rFonts w:asciiTheme="majorBidi" w:hAnsiTheme="majorBidi" w:cstheme="majorBidi"/>
          <w:color w:val="000000"/>
          <w:sz w:val="20"/>
          <w:szCs w:val="20"/>
        </w:rPr>
        <w:t xml:space="preserve"> Quiconque cherche à y commettre un sacrilège injustement (Hamidullah); Celui qui tente de le profaner (Ould Bah)</w:t>
      </w:r>
    </w:p>
  </w:footnote>
  <w:footnote w:id="768">
    <w:p w14:paraId="3813C14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بَوَّانَا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يُشْرِكْ</w:t>
      </w:r>
    </w:p>
  </w:footnote>
  <w:footnote w:id="769">
    <w:p w14:paraId="68EA0AC4"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وَأَذِنَ، وَآذِنْ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بِالْحِجِّ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رُجَالًا، رُجَّالًا، رُجَالى، رُجَّالى، رِجَّالًا </w:t>
      </w:r>
      <w:r w:rsidRPr="00B6432E">
        <w:rPr>
          <w:rFonts w:asciiTheme="majorBidi" w:hAnsiTheme="majorBidi" w:cstheme="majorBidi"/>
          <w:color w:val="FF0000"/>
          <w:sz w:val="20"/>
          <w:szCs w:val="20"/>
          <w:vertAlign w:val="superscript"/>
        </w:rPr>
        <w:t>4)</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يَأْتُونَ </w:t>
      </w:r>
      <w:r w:rsidRPr="00B6432E">
        <w:rPr>
          <w:rFonts w:asciiTheme="majorBidi" w:hAnsiTheme="majorBidi" w:cstheme="majorBidi"/>
          <w:color w:val="FF0000"/>
          <w:sz w:val="20"/>
          <w:szCs w:val="20"/>
          <w:vertAlign w:val="superscript"/>
        </w:rPr>
        <w:t>5)</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مَعِيقٍ</w:t>
      </w:r>
    </w:p>
  </w:footnote>
  <w:footnote w:id="770">
    <w:p w14:paraId="75AC02D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A1)</w:t>
      </w:r>
      <w:r w:rsidRPr="00B6432E">
        <w:rPr>
          <w:rFonts w:asciiTheme="majorBidi" w:hAnsiTheme="majorBidi" w:cstheme="majorBidi"/>
          <w:color w:val="000000"/>
          <w:sz w:val="20"/>
          <w:szCs w:val="20"/>
        </w:rPr>
        <w:t xml:space="preserve"> Ce verset et le verset 103/22:36 abrogent l'interdiction pré-islamique de manger du sacrifice.</w:t>
      </w:r>
    </w:p>
  </w:footnote>
  <w:footnote w:id="771">
    <w:p w14:paraId="62F561FE"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لِيَقْضُوا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وَلْيُوَفُّوا، وَلِيُوفُوا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وَلِيَطَّوَّفُوا</w:t>
      </w:r>
    </w:p>
  </w:footnote>
  <w:footnote w:id="772">
    <w:p w14:paraId="7ABD4B86"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فَتَخَطَّفُهُ، فَتَخِطِّفُهُ، فَتَخَطِّفُهُ، فَتِخِطِّفُهُ، فَتِخِطَّفُهُ، تَخْطَفُهُ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الرِّياحُ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Voir la note de 51/10:105.</w:t>
      </w:r>
    </w:p>
  </w:footnote>
  <w:footnote w:id="773">
    <w:p w14:paraId="4B07565B"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الْقُلُوبُ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exalte les injonctions sacrées (Hamidullah); honore les rites (Abdelaziz).</w:t>
      </w:r>
    </w:p>
  </w:footnote>
  <w:footnote w:id="774">
    <w:p w14:paraId="7388B281"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مَنْسِكًا</w:t>
      </w:r>
    </w:p>
  </w:footnote>
  <w:footnote w:id="775">
    <w:p w14:paraId="5E34E9B6"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وَالْمُقِيمِين الصَّلَاةَ، وَالْمُقِيمِي الصَّلَاةَ، وَالْمُقِيمَ الصَّلَاةِ</w:t>
      </w:r>
    </w:p>
  </w:footnote>
  <w:footnote w:id="776">
    <w:p w14:paraId="2EF6C5DB"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وَالْبُدُنَ، وَالْبُدُنَّ، وَالْبُدْنُ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صَوَافِيَ، صَوَافِياً، صَوَافٍ، صَوَافِنَ، صَوَافي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الْقَنِعَ </w:t>
      </w:r>
      <w:r w:rsidRPr="00B6432E">
        <w:rPr>
          <w:rFonts w:asciiTheme="majorBidi" w:hAnsiTheme="majorBidi" w:cstheme="majorBidi"/>
          <w:color w:val="FF0000"/>
          <w:sz w:val="20"/>
          <w:szCs w:val="20"/>
          <w:vertAlign w:val="superscript"/>
        </w:rPr>
        <w:t>4)</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وَالْمُعْتَرِيَ، وَالْمُعْتَرِ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les chameaux [et les vaches] (Hamidullah); les chameaux (Abdelaziz); les [chameaux] de belle prestance (Boubakeur). </w:t>
      </w:r>
      <w:r w:rsidRPr="00B6432E">
        <w:rPr>
          <w:rFonts w:asciiTheme="majorBidi" w:hAnsiTheme="majorBidi" w:cstheme="majorBidi"/>
          <w:color w:val="FF0000"/>
          <w:sz w:val="20"/>
          <w:szCs w:val="20"/>
          <w:vertAlign w:val="superscript"/>
        </w:rPr>
        <w:t>T2)</w:t>
      </w:r>
      <w:r w:rsidRPr="00B6432E">
        <w:rPr>
          <w:rFonts w:asciiTheme="majorBidi" w:hAnsiTheme="majorBidi" w:cstheme="majorBidi"/>
          <w:color w:val="000000"/>
          <w:sz w:val="20"/>
          <w:szCs w:val="20"/>
        </w:rPr>
        <w:t xml:space="preserve"> rites (Hamidullah) ♦ </w:t>
      </w:r>
      <w:r w:rsidRPr="00B6432E">
        <w:rPr>
          <w:rFonts w:asciiTheme="majorBidi" w:hAnsiTheme="majorBidi" w:cstheme="majorBidi"/>
          <w:color w:val="FF0000"/>
          <w:sz w:val="20"/>
          <w:szCs w:val="20"/>
          <w:vertAlign w:val="superscript"/>
        </w:rPr>
        <w:t>A1)</w:t>
      </w:r>
      <w:r w:rsidRPr="00B6432E">
        <w:rPr>
          <w:rFonts w:asciiTheme="majorBidi" w:hAnsiTheme="majorBidi" w:cstheme="majorBidi"/>
          <w:color w:val="000000"/>
          <w:sz w:val="20"/>
          <w:szCs w:val="20"/>
        </w:rPr>
        <w:t xml:space="preserve"> Abrogation: voir 103/22:28.</w:t>
      </w:r>
    </w:p>
  </w:footnote>
  <w:footnote w:id="777">
    <w:p w14:paraId="4C113B20"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تَنَالَ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لَنْ يَنَالَ اللَّهُ لُحُومَهَا وَلَا دِمَاءَهَا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تَنَالُهُ، يُنَالُهُ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R1)</w:t>
      </w:r>
      <w:r w:rsidRPr="00B6432E">
        <w:rPr>
          <w:rFonts w:asciiTheme="majorBidi" w:hAnsiTheme="majorBidi" w:cstheme="majorBidi"/>
          <w:color w:val="000000"/>
          <w:sz w:val="20"/>
          <w:szCs w:val="20"/>
        </w:rPr>
        <w:t xml:space="preserve"> Cf. Am 5:21-22. Cf. Lv 1:9, 13, 17.</w:t>
      </w:r>
    </w:p>
  </w:footnote>
  <w:footnote w:id="778">
    <w:p w14:paraId="4C1608ED"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يَدْفَعُ</w:t>
      </w:r>
    </w:p>
  </w:footnote>
  <w:footnote w:id="779">
    <w:p w14:paraId="04613ED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أَذِنَ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يُقَاتِلُونَ</w:t>
      </w:r>
    </w:p>
  </w:footnote>
  <w:footnote w:id="780">
    <w:p w14:paraId="21B3C626"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دِفَاعُ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لَهُدِمَتْ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وَصُلُوَاتٌ، وَصِلْوَاتٌ، وَصُلَوَاتٌ، وَصَلْوَاتٌ، وَصُلُوتٌ، وَصُلُوتا، وَصُلُوَثٌ، وَصُلُوثا، وَصُلَوَاثٌ، وَصِلَوَاثٌ، وَصُلُوبٌ، وَصَلُوتٌ، وَصُلُولى</w:t>
      </w:r>
    </w:p>
  </w:footnote>
  <w:footnote w:id="781">
    <w:p w14:paraId="08C55AB4"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نَكِيرِي</w:t>
      </w:r>
    </w:p>
  </w:footnote>
  <w:footnote w:id="782">
    <w:p w14:paraId="16355607"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فَكَائِنْ، فَكايِنْ، فَكَأَيْ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أَهْلَكْتُهَا </w:t>
      </w:r>
      <w:r w:rsidRPr="00B6432E">
        <w:rPr>
          <w:rFonts w:asciiTheme="majorBidi" w:hAnsiTheme="majorBidi" w:cstheme="majorBidi"/>
          <w:color w:val="FF0000"/>
          <w:sz w:val="20"/>
          <w:szCs w:val="20"/>
          <w:vertAlign w:val="superscript"/>
        </w:rPr>
        <w:t>3)</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وَبِيْرٍ </w:t>
      </w:r>
      <w:r w:rsidRPr="00B6432E">
        <w:rPr>
          <w:rFonts w:asciiTheme="majorBidi" w:hAnsiTheme="majorBidi" w:cstheme="majorBidi"/>
          <w:color w:val="FF0000"/>
          <w:sz w:val="20"/>
          <w:szCs w:val="20"/>
          <w:vertAlign w:val="superscript"/>
        </w:rPr>
        <w:t>4)</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مُعْطَلَةٍ</w:t>
      </w:r>
    </w:p>
  </w:footnote>
  <w:footnote w:id="783">
    <w:p w14:paraId="17320B95"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فَيَكُونَ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فَإِنَّهُ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R1)</w:t>
      </w:r>
      <w:r w:rsidRPr="00B6432E">
        <w:rPr>
          <w:rFonts w:asciiTheme="majorBidi" w:hAnsiTheme="majorBidi" w:cstheme="majorBidi"/>
          <w:color w:val="000000"/>
          <w:sz w:val="20"/>
          <w:szCs w:val="20"/>
        </w:rPr>
        <w:t xml:space="preserve"> Cf. Ps 115:5-6; Is 6:9-10; Mt 13:13-14</w:t>
      </w:r>
    </w:p>
  </w:footnote>
  <w:footnote w:id="784">
    <w:p w14:paraId="75F32014"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يَعُدُّونَ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R1)</w:t>
      </w:r>
      <w:r w:rsidRPr="00B6432E">
        <w:rPr>
          <w:rFonts w:asciiTheme="majorBidi" w:hAnsiTheme="majorBidi" w:cstheme="majorBidi"/>
          <w:color w:val="000000"/>
          <w:sz w:val="20"/>
          <w:szCs w:val="20"/>
        </w:rPr>
        <w:t xml:space="preserve"> Cf. Ps 90:4; 2 P 3:8-9.</w:t>
      </w:r>
    </w:p>
  </w:footnote>
  <w:footnote w:id="785">
    <w:p w14:paraId="0B228E0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وَكَائِنْ، وَكَأَيْ، وَكَأَيْنْ، وَكَيْئنْ، وَكَئِنَّ، وَكَأَنْ، وَكَأَيٍ، وَكَيٍ، وَكَاينْ، وَكَيَيِّنْ</w:t>
      </w:r>
    </w:p>
  </w:footnote>
  <w:footnote w:id="786">
    <w:p w14:paraId="47AECE8C"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مُعَجِّزِينَ، مُعْجِزِينَ</w:t>
      </w:r>
    </w:p>
  </w:footnote>
  <w:footnote w:id="787">
    <w:p w14:paraId="1836B950"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وَلَا نَبِيٍّ ولا مُحَدِّثٍ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أُمْنِيَتِهِ</w:t>
      </w:r>
    </w:p>
  </w:footnote>
  <w:footnote w:id="788">
    <w:p w14:paraId="066FED7C"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w:t>
      </w:r>
      <w:r w:rsidRPr="00B6432E">
        <w:rPr>
          <w:rStyle w:val="StyleTitre9Noir1Car"/>
          <w:rFonts w:asciiTheme="majorBidi" w:eastAsiaTheme="minorHAnsi" w:hAnsiTheme="majorBidi" w:cstheme="majorBidi"/>
        </w:rPr>
        <w:t xml:space="preserve">Partant du terme </w:t>
      </w:r>
      <w:r w:rsidRPr="00B6432E">
        <w:rPr>
          <w:rStyle w:val="StyleTitre9Noir1Car"/>
          <w:rFonts w:asciiTheme="majorBidi" w:eastAsiaTheme="minorHAnsi" w:hAnsiTheme="majorBidi" w:cstheme="majorBidi"/>
          <w:i/>
          <w:iCs/>
        </w:rPr>
        <w:t>marad</w:t>
      </w:r>
      <w:r w:rsidRPr="00B6432E">
        <w:rPr>
          <w:rStyle w:val="StyleTitre9Noir1Car"/>
          <w:rFonts w:asciiTheme="majorBidi" w:eastAsiaTheme="minorHAnsi" w:hAnsiTheme="majorBidi" w:cstheme="majorBidi"/>
        </w:rPr>
        <w:t xml:space="preserve"> dans Jos 22:16-29, Bonnet-Eymard (vol. 1, p. 28) traduit: rébellion.</w:t>
      </w:r>
    </w:p>
  </w:footnote>
  <w:footnote w:id="789">
    <w:p w14:paraId="0EF66319"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لَهَادِي، لَهَادٍ</w:t>
      </w:r>
    </w:p>
  </w:footnote>
  <w:footnote w:id="790">
    <w:p w14:paraId="1D4480A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مُرْيَةٍ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بَغَتَةً، بَغَتَّةً</w:t>
      </w:r>
    </w:p>
  </w:footnote>
  <w:footnote w:id="791">
    <w:p w14:paraId="6807BCC9"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قُتِّلُوا</w:t>
      </w:r>
    </w:p>
  </w:footnote>
  <w:footnote w:id="792">
    <w:p w14:paraId="0BE2677B"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مَدْخَلًا</w:t>
      </w:r>
    </w:p>
  </w:footnote>
  <w:footnote w:id="793">
    <w:p w14:paraId="07A881D9"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وَإِنَّ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تَدْعُونَ، يُدْعَونَ</w:t>
      </w:r>
    </w:p>
  </w:footnote>
  <w:footnote w:id="794">
    <w:p w14:paraId="668A2318"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مَخْضَرَةً</w:t>
      </w:r>
    </w:p>
  </w:footnote>
  <w:footnote w:id="795">
    <w:p w14:paraId="5C71319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وَالْفُلُكَ، وَالْفُلْكُ</w:t>
      </w:r>
    </w:p>
  </w:footnote>
  <w:footnote w:id="796">
    <w:p w14:paraId="7D87B6C8"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مَنْسِكًا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يُنَازِعُنْكَ، يَنْزِعُنَّكَ، يَنْزِعُنْكَ</w:t>
      </w:r>
    </w:p>
  </w:footnote>
  <w:footnote w:id="797">
    <w:p w14:paraId="5A7C0373"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A1)</w:t>
      </w:r>
      <w:r w:rsidRPr="00B6432E">
        <w:rPr>
          <w:rFonts w:asciiTheme="majorBidi" w:hAnsiTheme="majorBidi" w:cstheme="majorBidi"/>
          <w:color w:val="000000"/>
          <w:sz w:val="20"/>
          <w:szCs w:val="20"/>
        </w:rPr>
        <w:t xml:space="preserve"> Abrogé par le verset du sabre 113/9:5.</w:t>
      </w:r>
    </w:p>
  </w:footnote>
  <w:footnote w:id="798">
    <w:p w14:paraId="629D4916"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A1)</w:t>
      </w:r>
      <w:r w:rsidRPr="00B6432E">
        <w:rPr>
          <w:rFonts w:asciiTheme="majorBidi" w:hAnsiTheme="majorBidi" w:cstheme="majorBidi"/>
          <w:color w:val="000000"/>
          <w:sz w:val="20"/>
          <w:szCs w:val="20"/>
        </w:rPr>
        <w:t xml:space="preserve"> Abrogé par le verset du sabre 113/9:5.</w:t>
      </w:r>
    </w:p>
  </w:footnote>
  <w:footnote w:id="799">
    <w:p w14:paraId="4709C9ED"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يُنْزِلْ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T1)</w:t>
      </w:r>
      <w:r w:rsidRPr="00B6432E">
        <w:rPr>
          <w:rFonts w:asciiTheme="majorBidi" w:hAnsiTheme="majorBidi" w:cstheme="majorBidi"/>
          <w:color w:val="000000"/>
          <w:sz w:val="20"/>
          <w:szCs w:val="20"/>
        </w:rPr>
        <w:t xml:space="preserve"> aucune preuve (Hamidullah). Voir la note de 23/53:23.</w:t>
      </w:r>
    </w:p>
  </w:footnote>
  <w:footnote w:id="800">
    <w:p w14:paraId="5D946961"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يُعْرَفُ .. الْمُنْكَرُ </w:t>
      </w:r>
      <w:r w:rsidRPr="00B6432E">
        <w:rPr>
          <w:rFonts w:asciiTheme="majorBidi" w:hAnsiTheme="majorBidi" w:cstheme="majorBidi"/>
          <w:color w:val="FF0000"/>
          <w:sz w:val="20"/>
          <w:szCs w:val="20"/>
          <w:vertAlign w:val="superscript"/>
        </w:rPr>
        <w:t>2)</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يَصْطُونَ</w:t>
      </w:r>
    </w:p>
  </w:footnote>
  <w:footnote w:id="801">
    <w:p w14:paraId="219B97BD"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يَدْعُونَ، يُدْعَونَ</w:t>
      </w:r>
    </w:p>
  </w:footnote>
  <w:footnote w:id="802">
    <w:p w14:paraId="6918FDE8"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تَرْجِعُ</w:t>
      </w:r>
    </w:p>
  </w:footnote>
  <w:footnote w:id="803">
    <w:p w14:paraId="7ED19BB9" w14:textId="77777777" w:rsidR="009C3BB9" w:rsidRPr="00B6432E" w:rsidRDefault="009C3BB9" w:rsidP="00F324A5">
      <w:pPr>
        <w:pStyle w:val="n1"/>
        <w:ind w:left="360" w:hanging="360"/>
        <w:contextualSpacing/>
        <w:rPr>
          <w:rFonts w:asciiTheme="majorBidi" w:hAnsiTheme="majorBidi" w:cstheme="majorBidi"/>
          <w:bCs/>
          <w:color w:val="000000"/>
          <w:sz w:val="20"/>
          <w:szCs w:val="20"/>
        </w:rPr>
      </w:pPr>
      <w:r w:rsidRPr="00B6432E">
        <w:rPr>
          <w:rStyle w:val="Appelnotedebasdep"/>
          <w:rFonts w:asciiTheme="majorBidi" w:hAnsiTheme="majorBidi" w:cstheme="majorBidi"/>
          <w:color w:val="FF0000"/>
          <w:sz w:val="20"/>
          <w:szCs w:val="20"/>
        </w:rPr>
        <w:footnoteRef/>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Pr>
        <w:tab/>
      </w:r>
      <w:r w:rsidRPr="00B6432E">
        <w:rPr>
          <w:rFonts w:asciiTheme="majorBidi" w:hAnsiTheme="majorBidi" w:cstheme="majorBidi"/>
          <w:color w:val="FF0000"/>
          <w:sz w:val="20"/>
          <w:szCs w:val="20"/>
          <w:vertAlign w:val="superscript"/>
        </w:rPr>
        <w:t>1)</w:t>
      </w:r>
      <w:r w:rsidRPr="00B6432E">
        <w:rPr>
          <w:rFonts w:asciiTheme="majorBidi" w:hAnsiTheme="majorBidi" w:cstheme="majorBidi"/>
          <w:color w:val="000000"/>
          <w:sz w:val="20"/>
          <w:szCs w:val="20"/>
        </w:rPr>
        <w:t xml:space="preserve"> </w:t>
      </w:r>
      <w:r w:rsidRPr="00B6432E">
        <w:rPr>
          <w:rFonts w:asciiTheme="majorBidi" w:hAnsiTheme="majorBidi" w:cstheme="majorBidi"/>
          <w:color w:val="000000"/>
          <w:sz w:val="20"/>
          <w:szCs w:val="20"/>
          <w:rtl/>
        </w:rPr>
        <w:t xml:space="preserve">اللهُ </w:t>
      </w:r>
      <w:r w:rsidRPr="00B6432E">
        <w:rPr>
          <w:rFonts w:asciiTheme="majorBidi" w:hAnsiTheme="majorBidi" w:cstheme="majorBidi"/>
          <w:color w:val="000000"/>
          <w:sz w:val="20"/>
          <w:szCs w:val="20"/>
        </w:rPr>
        <w:t xml:space="preserve">♦ </w:t>
      </w:r>
      <w:r w:rsidRPr="00B6432E">
        <w:rPr>
          <w:rFonts w:asciiTheme="majorBidi" w:hAnsiTheme="majorBidi" w:cstheme="majorBidi"/>
          <w:color w:val="FF0000"/>
          <w:sz w:val="20"/>
          <w:szCs w:val="20"/>
          <w:vertAlign w:val="superscript"/>
        </w:rPr>
        <w:t>A1)</w:t>
      </w:r>
      <w:r w:rsidRPr="00B6432E">
        <w:rPr>
          <w:rFonts w:asciiTheme="majorBidi" w:hAnsiTheme="majorBidi" w:cstheme="majorBidi"/>
          <w:color w:val="000000"/>
          <w:sz w:val="20"/>
          <w:szCs w:val="20"/>
        </w:rPr>
        <w:t xml:space="preserve"> Abrogé par 108/64:16 qui met comme limite "autant que vous pouvez".</w:t>
      </w:r>
    </w:p>
  </w:footnote>
  <w:footnote w:id="804">
    <w:p w14:paraId="4A4FFE5E" w14:textId="77777777" w:rsidR="009C3BB9" w:rsidRPr="00BC1169" w:rsidRDefault="009C3BB9" w:rsidP="00F324A5">
      <w:pPr>
        <w:pStyle w:val="Notedebasdepage"/>
      </w:pPr>
      <w:r w:rsidRPr="00BC1169">
        <w:rPr>
          <w:rStyle w:val="Appelnotedebasdep"/>
        </w:rPr>
        <w:footnoteRef/>
      </w:r>
      <w:r w:rsidRPr="00BC1169">
        <w:t xml:space="preserve"> </w:t>
      </w:r>
      <w:r w:rsidRPr="00BC1169">
        <w:rPr>
          <w:rFonts w:asciiTheme="majorBidi" w:hAnsiTheme="majorBidi" w:cstheme="majorBidi"/>
          <w:i/>
          <w:iCs/>
        </w:rPr>
        <w:t>Le Coran. Nouvelle traduction de Malek Chebel</w:t>
      </w:r>
      <w:r w:rsidRPr="00BC1169">
        <w:rPr>
          <w:rFonts w:asciiTheme="majorBidi" w:hAnsiTheme="majorBidi" w:cstheme="majorBidi"/>
        </w:rPr>
        <w:t>, Fayard, 2009</w:t>
      </w:r>
      <w:r>
        <w:rPr>
          <w:rFonts w:asciiTheme="majorBidi" w:hAnsiTheme="majorBidi" w:cstheme="majorBidi"/>
        </w:rPr>
        <w:t>.</w:t>
      </w:r>
    </w:p>
  </w:footnote>
  <w:footnote w:id="805">
    <w:p w14:paraId="79DE4738"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Toute la « science » embryologique est déclinée dans ce verset. En effet, plusieurs étapes cruciales de la fécondation et de la grossesse humaine y sont exposées, dans une succession étonnamment précise.  </w:t>
      </w:r>
    </w:p>
  </w:footnote>
  <w:footnote w:id="806">
    <w:p w14:paraId="5F5F1ED6"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Hûdan</w:t>
      </w:r>
    </w:p>
  </w:footnote>
  <w:footnote w:id="807">
    <w:p w14:paraId="5F2EDC5F"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Kitab mûnir</w:t>
      </w:r>
    </w:p>
  </w:footnote>
  <w:footnote w:id="808">
    <w:p w14:paraId="23C9002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Hariq : cela peut-être l’ « incendie », la « grande brûlure » et bien sûr  le « brasier ». </w:t>
      </w:r>
    </w:p>
  </w:footnote>
  <w:footnote w:id="809">
    <w:p w14:paraId="7118AC1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 précipice est l’un des éléments qui caractérisent l’enfer musulman, ou du moins le purgatoire. Ici « basculer sur son visage », c’est tout simplement tomber en enfer. </w:t>
      </w:r>
    </w:p>
  </w:footnote>
  <w:footnote w:id="810">
    <w:p w14:paraId="5A8FD8B5"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 Adorateurs de feu » (Kasimirski), « zoroastriens » (Blachère)</w:t>
      </w:r>
    </w:p>
  </w:footnote>
  <w:footnote w:id="811">
    <w:p w14:paraId="5B79817A" w14:textId="77777777" w:rsidR="009C3BB9" w:rsidRPr="00B6432E" w:rsidRDefault="009C3BB9" w:rsidP="00F324A5">
      <w:pPr>
        <w:pStyle w:val="Notedebasdepage"/>
        <w:contextualSpacing/>
        <w:jc w:val="both"/>
        <w:rPr>
          <w:rFonts w:asciiTheme="majorBidi" w:hAnsiTheme="majorBidi" w:cstheme="majorBidi"/>
          <w:lang w:val="en-US"/>
        </w:rPr>
      </w:pPr>
      <w:r w:rsidRPr="00B6432E">
        <w:rPr>
          <w:rStyle w:val="Appelnotedebasdep"/>
          <w:rFonts w:asciiTheme="majorBidi" w:hAnsiTheme="majorBidi" w:cstheme="majorBidi"/>
        </w:rPr>
        <w:footnoteRef/>
      </w:r>
      <w:r w:rsidRPr="00B6432E">
        <w:rPr>
          <w:rFonts w:asciiTheme="majorBidi" w:hAnsiTheme="majorBidi" w:cstheme="majorBidi"/>
          <w:lang w:val="en-US"/>
        </w:rPr>
        <w:t xml:space="preserve"> </w:t>
      </w:r>
      <w:r w:rsidRPr="00B6432E">
        <w:rPr>
          <w:rFonts w:asciiTheme="majorBidi" w:hAnsiTheme="majorBidi" w:cstheme="majorBidi"/>
          <w:i/>
          <w:lang w:val="en-US"/>
        </w:rPr>
        <w:t>Mûkrimin</w:t>
      </w:r>
    </w:p>
  </w:footnote>
  <w:footnote w:id="812">
    <w:p w14:paraId="5F690A7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lang w:val="en-US"/>
        </w:rPr>
        <w:t xml:space="preserve"> </w:t>
      </w:r>
      <w:r w:rsidRPr="00B6432E">
        <w:rPr>
          <w:rFonts w:asciiTheme="majorBidi" w:hAnsiTheme="majorBidi" w:cstheme="majorBidi"/>
          <w:i/>
          <w:lang w:val="en-US"/>
        </w:rPr>
        <w:t xml:space="preserve">Al-Masdjid al-haram. </w:t>
      </w:r>
      <w:r w:rsidRPr="00B6432E">
        <w:rPr>
          <w:rFonts w:asciiTheme="majorBidi" w:hAnsiTheme="majorBidi" w:cstheme="majorBidi"/>
        </w:rPr>
        <w:t xml:space="preserve">Le pèlerinage à La Mecque est décrit minutieusement dans les trois versets qui suivent, autant la circumambulation que les rites qui s’y pratiquent. </w:t>
      </w:r>
    </w:p>
  </w:footnote>
  <w:footnote w:id="813">
    <w:p w14:paraId="5BC3A60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Dhamirin</w:t>
      </w:r>
      <w:r w:rsidRPr="00B6432E">
        <w:rPr>
          <w:rFonts w:asciiTheme="majorBidi" w:hAnsiTheme="majorBidi" w:cstheme="majorBidi"/>
        </w:rPr>
        <w:t> : « des montures au flanc cave » (Blachère), « des méharis » (Chouraqui).</w:t>
      </w:r>
    </w:p>
  </w:footnote>
  <w:footnote w:id="814">
    <w:p w14:paraId="7BC59E8D"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Fajjin </w:t>
      </w:r>
      <w:r w:rsidRPr="00B6432E">
        <w:rPr>
          <w:rFonts w:asciiTheme="majorBidi" w:hAnsiTheme="majorBidi" w:cstheme="majorBidi"/>
        </w:rPr>
        <w:t xml:space="preserve">: nom de dune, une gorge profonde, un chemin creux. </w:t>
      </w:r>
    </w:p>
  </w:footnote>
  <w:footnote w:id="815">
    <w:p w14:paraId="67608E0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Al-bayt al-‘atiq</w:t>
      </w:r>
      <w:r w:rsidRPr="00B6432E">
        <w:rPr>
          <w:rFonts w:asciiTheme="majorBidi" w:hAnsiTheme="majorBidi" w:cstheme="majorBidi"/>
        </w:rPr>
        <w:t xml:space="preserve"> : littéralement, la Maison antique. </w:t>
      </w:r>
    </w:p>
  </w:footnote>
  <w:footnote w:id="816">
    <w:p w14:paraId="7E3526F6"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Al-Mukhbitina</w:t>
      </w:r>
      <w:r w:rsidRPr="00B6432E">
        <w:rPr>
          <w:rFonts w:asciiTheme="majorBidi" w:hAnsiTheme="majorBidi" w:cstheme="majorBidi"/>
        </w:rPr>
        <w:t xml:space="preserve"> : aux humbles (la plupart des traducteurs), aux modestes (Blachère). </w:t>
      </w:r>
    </w:p>
  </w:footnote>
  <w:footnote w:id="817">
    <w:p w14:paraId="5824A0B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Bêtes sacrifiées, bêtes d’offrandes (Grosjean). Des chameaux ? </w:t>
      </w:r>
    </w:p>
  </w:footnote>
  <w:footnote w:id="818">
    <w:p w14:paraId="1036049E"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Al-mû’tar</w:t>
      </w:r>
      <w:r w:rsidRPr="00B6432E">
        <w:rPr>
          <w:rFonts w:asciiTheme="majorBidi" w:hAnsiTheme="majorBidi" w:cstheme="majorBidi"/>
        </w:rPr>
        <w:t xml:space="preserve"> : l’impécunieux, le nécessiteux, le démuni. </w:t>
      </w:r>
    </w:p>
  </w:footnote>
  <w:footnote w:id="819">
    <w:p w14:paraId="035BD21B"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Au sens moral du terme, c’est-à-dire ceux qui ne croient pas, ceux qui ont des cœurs endurcis. </w:t>
      </w:r>
    </w:p>
  </w:footnote>
  <w:footnote w:id="820">
    <w:p w14:paraId="74980BD4"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Al-‘ilm</w:t>
      </w:r>
      <w:r w:rsidRPr="00B6432E">
        <w:rPr>
          <w:rFonts w:asciiTheme="majorBidi" w:hAnsiTheme="majorBidi" w:cstheme="majorBidi"/>
        </w:rPr>
        <w:t> : la connaissance, la science coranique</w:t>
      </w:r>
    </w:p>
  </w:footnote>
  <w:footnote w:id="821">
    <w:p w14:paraId="080AC2C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Fa-tukhbita lahû qûlubuhum</w:t>
      </w:r>
      <w:r w:rsidRPr="00B6432E">
        <w:rPr>
          <w:rFonts w:asciiTheme="majorBidi" w:hAnsiTheme="majorBidi" w:cstheme="majorBidi"/>
        </w:rPr>
        <w:t xml:space="preserve"> : « leurs cœurs s’humilieront » (Blachère) ; « leurs cœurs seront émus » (Pesle/Tidjani). </w:t>
      </w:r>
    </w:p>
  </w:footnote>
  <w:footnote w:id="822">
    <w:p w14:paraId="1FDFCC7A"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Dhûbaba</w:t>
      </w:r>
      <w:r w:rsidRPr="00B6432E">
        <w:rPr>
          <w:rFonts w:asciiTheme="majorBidi" w:hAnsiTheme="majorBidi" w:cstheme="majorBidi"/>
        </w:rPr>
        <w:t xml:space="preserve"> : insecte, mouche. </w:t>
      </w:r>
    </w:p>
  </w:footnote>
  <w:footnote w:id="823">
    <w:p w14:paraId="67B418EB"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At-tâlibu walmatlûb : le disputant et le disputé (Pesle/Tidjani) ; l’adorant et l’adoré (Blachère) ; le sollicité et le solliciteur (Grosjean). </w:t>
      </w:r>
    </w:p>
  </w:footnote>
  <w:footnote w:id="824">
    <w:p w14:paraId="032CDCD8" w14:textId="77777777" w:rsidR="009C3BB9" w:rsidRDefault="009C3BB9" w:rsidP="00F324A5">
      <w:pPr>
        <w:pStyle w:val="Notedebasdepage"/>
        <w:jc w:val="both"/>
      </w:pPr>
      <w:r>
        <w:rPr>
          <w:rStyle w:val="Appelnotedebasdep"/>
        </w:rPr>
        <w:footnoteRef/>
      </w:r>
      <w:r w:rsidRPr="00EE0495">
        <w:rPr>
          <w:bCs/>
        </w:rPr>
        <w:t xml:space="preserve"> Hafiane Hachemi</w:t>
      </w:r>
      <w:r>
        <w:rPr>
          <w:b/>
        </w:rPr>
        <w:t>,</w:t>
      </w:r>
      <w:r>
        <w:t xml:space="preserve"> </w:t>
      </w:r>
      <w:r>
        <w:rPr>
          <w:i/>
        </w:rPr>
        <w:t>Le Saint Coran et la traduction du sens de ses versets</w:t>
      </w:r>
      <w:r>
        <w:t>, édition bilingue arabe et français, Presses du Châlet, Paris, 2010.</w:t>
      </w:r>
    </w:p>
  </w:footnote>
  <w:footnote w:id="825">
    <w:p w14:paraId="6B210C67"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w:t>
      </w:r>
      <w:r w:rsidRPr="00B6432E">
        <w:rPr>
          <w:rFonts w:asciiTheme="majorBidi" w:hAnsiTheme="majorBidi" w:cstheme="majorBidi"/>
          <w:i/>
        </w:rPr>
        <w:t>El Alaq</w:t>
      </w:r>
      <w:r w:rsidRPr="00B6432E">
        <w:rPr>
          <w:rFonts w:asciiTheme="majorBidi" w:hAnsiTheme="majorBidi" w:cstheme="majorBidi"/>
        </w:rPr>
        <w:t xml:space="preserve"> signifie « quelque chose qui s’accroche » ou « une adhérence » ; nous avons préféré donner, ici, la signification correspondant au sens exact dans ce verset. </w:t>
      </w:r>
    </w:p>
  </w:footnote>
  <w:footnote w:id="826">
    <w:p w14:paraId="6DE5C5A0"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Ils vouaient un culte aux étoiles. </w:t>
      </w:r>
    </w:p>
  </w:footnote>
  <w:footnote w:id="827">
    <w:p w14:paraId="22DB85C9"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Ils vouaient un culte au feu. </w:t>
      </w:r>
    </w:p>
  </w:footnote>
  <w:footnote w:id="828">
    <w:p w14:paraId="5AA830D5"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La Kaâba de La Mecque</w:t>
      </w:r>
    </w:p>
  </w:footnote>
  <w:footnote w:id="829">
    <w:p w14:paraId="016639CB"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Les hypocrites et ceux dont le cœur est rongé par le doute. </w:t>
      </w:r>
    </w:p>
  </w:footnote>
  <w:footnote w:id="830">
    <w:p w14:paraId="49C3CF20"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L’adorateur des idoles</w:t>
      </w:r>
    </w:p>
  </w:footnote>
  <w:footnote w:id="831">
    <w:p w14:paraId="77EDE92C" w14:textId="77777777" w:rsidR="009C3BB9" w:rsidRPr="00B6432E" w:rsidRDefault="009C3BB9" w:rsidP="00F324A5">
      <w:pPr>
        <w:pStyle w:val="Notedebasdepage"/>
        <w:contextualSpacing/>
        <w:jc w:val="both"/>
        <w:rPr>
          <w:rFonts w:asciiTheme="majorBidi" w:hAnsiTheme="majorBidi" w:cstheme="majorBidi"/>
        </w:rPr>
      </w:pPr>
      <w:r w:rsidRPr="00B6432E">
        <w:rPr>
          <w:rStyle w:val="Appelnotedebasdep"/>
          <w:rFonts w:asciiTheme="majorBidi" w:hAnsiTheme="majorBidi" w:cstheme="majorBidi"/>
        </w:rPr>
        <w:footnoteRef/>
      </w:r>
      <w:r w:rsidRPr="00B6432E">
        <w:rPr>
          <w:rFonts w:asciiTheme="majorBidi" w:hAnsiTheme="majorBidi" w:cstheme="majorBidi"/>
        </w:rPr>
        <w:t xml:space="preserve"> L’idole adorée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BA45300"/>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4340A32"/>
    <w:lvl w:ilvl="0" w:tplc="040C0013">
      <w:start w:val="1"/>
      <w:numFmt w:val="upperRoman"/>
      <w:lvlText w:val="%1."/>
      <w:lvlJc w:val="righ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446C8"/>
    <w:multiLevelType w:val="hybridMultilevel"/>
    <w:tmpl w:val="8994540C"/>
    <w:lvl w:ilvl="0" w:tplc="6CF6709C">
      <w:start w:val="1"/>
      <w:numFmt w:val="decimal"/>
      <w:lvlText w:val="%1-"/>
      <w:lvlJc w:val="left"/>
      <w:pPr>
        <w:ind w:left="10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22E5534"/>
    <w:multiLevelType w:val="hybridMultilevel"/>
    <w:tmpl w:val="E1EE2B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447C15"/>
    <w:multiLevelType w:val="singleLevel"/>
    <w:tmpl w:val="040C0011"/>
    <w:lvl w:ilvl="0">
      <w:start w:val="1"/>
      <w:numFmt w:val="decimal"/>
      <w:lvlText w:val="%1)"/>
      <w:lvlJc w:val="left"/>
      <w:pPr>
        <w:tabs>
          <w:tab w:val="num" w:pos="360"/>
        </w:tabs>
        <w:ind w:left="360" w:hanging="360"/>
      </w:pPr>
    </w:lvl>
  </w:abstractNum>
  <w:abstractNum w:abstractNumId="5" w15:restartNumberingAfterBreak="0">
    <w:nsid w:val="040975F4"/>
    <w:multiLevelType w:val="hybridMultilevel"/>
    <w:tmpl w:val="E7425896"/>
    <w:lvl w:ilvl="0" w:tplc="040C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45855EC"/>
    <w:multiLevelType w:val="hybridMultilevel"/>
    <w:tmpl w:val="02223EB8"/>
    <w:lvl w:ilvl="0" w:tplc="604821E8">
      <w:start w:val="1"/>
      <w:numFmt w:val="decimal"/>
      <w:lvlText w:val="%1-"/>
      <w:lvlJc w:val="left"/>
      <w:pPr>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507142E"/>
    <w:multiLevelType w:val="hybridMultilevel"/>
    <w:tmpl w:val="9E2A1EB2"/>
    <w:lvl w:ilvl="0" w:tplc="00168384">
      <w:start w:val="1"/>
      <w:numFmt w:val="decimal"/>
      <w:lvlText w:val="%1-"/>
      <w:lvlJc w:val="left"/>
      <w:pPr>
        <w:ind w:left="720" w:hanging="360"/>
      </w:pPr>
      <w:rPr>
        <w:rFonts w:asciiTheme="majorBidi" w:eastAsia="Calibri" w:hAnsiTheme="majorBidi" w:cstheme="majorBidi" w:hint="default"/>
        <w:b/>
        <w:bCs/>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5941B9B"/>
    <w:multiLevelType w:val="hybridMultilevel"/>
    <w:tmpl w:val="BDDAEA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06744F23"/>
    <w:multiLevelType w:val="singleLevel"/>
    <w:tmpl w:val="040C000F"/>
    <w:lvl w:ilvl="0">
      <w:start w:val="1"/>
      <w:numFmt w:val="decimal"/>
      <w:lvlText w:val="%1."/>
      <w:lvlJc w:val="left"/>
      <w:pPr>
        <w:tabs>
          <w:tab w:val="num" w:pos="360"/>
        </w:tabs>
        <w:ind w:left="360" w:hanging="360"/>
      </w:pPr>
    </w:lvl>
  </w:abstractNum>
  <w:abstractNum w:abstractNumId="10" w15:restartNumberingAfterBreak="0">
    <w:nsid w:val="097175E6"/>
    <w:multiLevelType w:val="hybridMultilevel"/>
    <w:tmpl w:val="CFA6B22E"/>
    <w:lvl w:ilvl="0" w:tplc="DE18D14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09762D58"/>
    <w:multiLevelType w:val="hybridMultilevel"/>
    <w:tmpl w:val="A7144F6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0B7A6B37"/>
    <w:multiLevelType w:val="hybridMultilevel"/>
    <w:tmpl w:val="6090DF0E"/>
    <w:lvl w:ilvl="0" w:tplc="A998BA16">
      <w:start w:val="1"/>
      <w:numFmt w:val="decimal"/>
      <w:lvlText w:val="%1-"/>
      <w:lvlJc w:val="left"/>
      <w:pPr>
        <w:ind w:left="720" w:hanging="360"/>
      </w:pPr>
      <w:rPr>
        <w:rFonts w:eastAsia="Times New Roman"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D633BEA"/>
    <w:multiLevelType w:val="hybridMultilevel"/>
    <w:tmpl w:val="8048E338"/>
    <w:lvl w:ilvl="0" w:tplc="31F85D8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D8D11E6"/>
    <w:multiLevelType w:val="singleLevel"/>
    <w:tmpl w:val="040C000F"/>
    <w:lvl w:ilvl="0">
      <w:start w:val="1"/>
      <w:numFmt w:val="decimal"/>
      <w:lvlText w:val="%1."/>
      <w:lvlJc w:val="left"/>
      <w:pPr>
        <w:tabs>
          <w:tab w:val="num" w:pos="360"/>
        </w:tabs>
        <w:ind w:left="360" w:hanging="360"/>
      </w:pPr>
    </w:lvl>
  </w:abstractNum>
  <w:abstractNum w:abstractNumId="15" w15:restartNumberingAfterBreak="0">
    <w:nsid w:val="0E225263"/>
    <w:multiLevelType w:val="multilevel"/>
    <w:tmpl w:val="CD4EE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4649DC"/>
    <w:multiLevelType w:val="hybridMultilevel"/>
    <w:tmpl w:val="A5543B0C"/>
    <w:lvl w:ilvl="0" w:tplc="CBBA50D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0F0F5CFC"/>
    <w:multiLevelType w:val="multilevel"/>
    <w:tmpl w:val="EE167FB4"/>
    <w:lvl w:ilvl="0">
      <w:start w:val="2"/>
      <w:numFmt w:val="decimal"/>
      <w:lvlText w:val="%1."/>
      <w:lvlJc w:val="left"/>
      <w:pPr>
        <w:ind w:left="360" w:hanging="360"/>
      </w:pPr>
      <w:rPr>
        <w:rFonts w:asciiTheme="majorBidi" w:eastAsiaTheme="minorHAnsi" w:hAnsiTheme="majorBidi" w:cstheme="majorBidi" w:hint="default"/>
      </w:rPr>
    </w:lvl>
    <w:lvl w:ilvl="1">
      <w:start w:val="2"/>
      <w:numFmt w:val="decimal"/>
      <w:lvlText w:val="%1.%2."/>
      <w:lvlJc w:val="left"/>
      <w:pPr>
        <w:ind w:left="360" w:hanging="360"/>
      </w:pPr>
      <w:rPr>
        <w:rFonts w:asciiTheme="majorBidi" w:eastAsiaTheme="minorHAnsi" w:hAnsiTheme="majorBidi" w:cstheme="majorBidi" w:hint="default"/>
      </w:rPr>
    </w:lvl>
    <w:lvl w:ilvl="2">
      <w:start w:val="1"/>
      <w:numFmt w:val="decimal"/>
      <w:lvlText w:val="%1.%2.%3."/>
      <w:lvlJc w:val="left"/>
      <w:pPr>
        <w:ind w:left="720" w:hanging="720"/>
      </w:pPr>
      <w:rPr>
        <w:rFonts w:asciiTheme="majorBidi" w:eastAsiaTheme="minorHAnsi" w:hAnsiTheme="majorBidi" w:cstheme="majorBidi" w:hint="default"/>
      </w:rPr>
    </w:lvl>
    <w:lvl w:ilvl="3">
      <w:start w:val="1"/>
      <w:numFmt w:val="decimal"/>
      <w:lvlText w:val="%1.%2.%3.%4."/>
      <w:lvlJc w:val="left"/>
      <w:pPr>
        <w:ind w:left="720" w:hanging="720"/>
      </w:pPr>
      <w:rPr>
        <w:rFonts w:asciiTheme="majorBidi" w:eastAsiaTheme="minorHAnsi" w:hAnsiTheme="majorBidi" w:cstheme="majorBidi" w:hint="default"/>
      </w:rPr>
    </w:lvl>
    <w:lvl w:ilvl="4">
      <w:start w:val="1"/>
      <w:numFmt w:val="decimal"/>
      <w:lvlText w:val="%1.%2.%3.%4.%5."/>
      <w:lvlJc w:val="left"/>
      <w:pPr>
        <w:ind w:left="1080" w:hanging="1080"/>
      </w:pPr>
      <w:rPr>
        <w:rFonts w:asciiTheme="majorBidi" w:eastAsiaTheme="minorHAnsi" w:hAnsiTheme="majorBidi" w:cstheme="majorBidi" w:hint="default"/>
      </w:rPr>
    </w:lvl>
    <w:lvl w:ilvl="5">
      <w:start w:val="1"/>
      <w:numFmt w:val="decimal"/>
      <w:lvlText w:val="%1.%2.%3.%4.%5.%6."/>
      <w:lvlJc w:val="left"/>
      <w:pPr>
        <w:ind w:left="1080" w:hanging="1080"/>
      </w:pPr>
      <w:rPr>
        <w:rFonts w:asciiTheme="majorBidi" w:eastAsiaTheme="minorHAnsi" w:hAnsiTheme="majorBidi" w:cstheme="majorBidi" w:hint="default"/>
      </w:rPr>
    </w:lvl>
    <w:lvl w:ilvl="6">
      <w:start w:val="1"/>
      <w:numFmt w:val="decimal"/>
      <w:lvlText w:val="%1.%2.%3.%4.%5.%6.%7."/>
      <w:lvlJc w:val="left"/>
      <w:pPr>
        <w:ind w:left="1440" w:hanging="1440"/>
      </w:pPr>
      <w:rPr>
        <w:rFonts w:asciiTheme="majorBidi" w:eastAsiaTheme="minorHAnsi" w:hAnsiTheme="majorBidi" w:cstheme="majorBidi" w:hint="default"/>
      </w:rPr>
    </w:lvl>
    <w:lvl w:ilvl="7">
      <w:start w:val="1"/>
      <w:numFmt w:val="decimal"/>
      <w:lvlText w:val="%1.%2.%3.%4.%5.%6.%7.%8."/>
      <w:lvlJc w:val="left"/>
      <w:pPr>
        <w:ind w:left="1440" w:hanging="1440"/>
      </w:pPr>
      <w:rPr>
        <w:rFonts w:asciiTheme="majorBidi" w:eastAsiaTheme="minorHAnsi" w:hAnsiTheme="majorBidi" w:cstheme="majorBidi" w:hint="default"/>
      </w:rPr>
    </w:lvl>
    <w:lvl w:ilvl="8">
      <w:start w:val="1"/>
      <w:numFmt w:val="decimal"/>
      <w:lvlText w:val="%1.%2.%3.%4.%5.%6.%7.%8.%9."/>
      <w:lvlJc w:val="left"/>
      <w:pPr>
        <w:ind w:left="1800" w:hanging="1800"/>
      </w:pPr>
      <w:rPr>
        <w:rFonts w:asciiTheme="majorBidi" w:eastAsiaTheme="minorHAnsi" w:hAnsiTheme="majorBidi" w:cstheme="majorBidi" w:hint="default"/>
      </w:rPr>
    </w:lvl>
  </w:abstractNum>
  <w:abstractNum w:abstractNumId="18" w15:restartNumberingAfterBreak="0">
    <w:nsid w:val="0F572071"/>
    <w:multiLevelType w:val="hybridMultilevel"/>
    <w:tmpl w:val="38C07EBC"/>
    <w:lvl w:ilvl="0" w:tplc="53346456">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0F71229C"/>
    <w:multiLevelType w:val="hybridMultilevel"/>
    <w:tmpl w:val="7360B876"/>
    <w:lvl w:ilvl="0" w:tplc="5366F2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FAB3595"/>
    <w:multiLevelType w:val="hybridMultilevel"/>
    <w:tmpl w:val="AAC48CE4"/>
    <w:lvl w:ilvl="0" w:tplc="5F221B82">
      <w:start w:val="1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108C0334"/>
    <w:multiLevelType w:val="hybridMultilevel"/>
    <w:tmpl w:val="67989982"/>
    <w:lvl w:ilvl="0" w:tplc="5E1CDE8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113424CF"/>
    <w:multiLevelType w:val="hybridMultilevel"/>
    <w:tmpl w:val="1C24E2BE"/>
    <w:lvl w:ilvl="0" w:tplc="F9583B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16A54F0"/>
    <w:multiLevelType w:val="hybridMultilevel"/>
    <w:tmpl w:val="3B800F2C"/>
    <w:lvl w:ilvl="0" w:tplc="E9D8AB2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1199609A"/>
    <w:multiLevelType w:val="hybridMultilevel"/>
    <w:tmpl w:val="0CD22CC0"/>
    <w:lvl w:ilvl="0" w:tplc="E93C5ED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158545DD"/>
    <w:multiLevelType w:val="hybridMultilevel"/>
    <w:tmpl w:val="B956AFE0"/>
    <w:lvl w:ilvl="0" w:tplc="040C0017">
      <w:start w:val="1"/>
      <w:numFmt w:val="lowerLetter"/>
      <w:lvlText w:val="%1)"/>
      <w:lvlJc w:val="left"/>
      <w:pPr>
        <w:ind w:left="36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15E06FA5"/>
    <w:multiLevelType w:val="hybridMultilevel"/>
    <w:tmpl w:val="2E828A1A"/>
    <w:lvl w:ilvl="0" w:tplc="BEA0939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16EC0C72"/>
    <w:multiLevelType w:val="hybridMultilevel"/>
    <w:tmpl w:val="46881D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74862ED"/>
    <w:multiLevelType w:val="singleLevel"/>
    <w:tmpl w:val="23BAE5E2"/>
    <w:lvl w:ilvl="0">
      <w:start w:val="1"/>
      <w:numFmt w:val="upperRoman"/>
      <w:pStyle w:val="Titre7"/>
      <w:lvlText w:val="%1."/>
      <w:lvlJc w:val="left"/>
      <w:pPr>
        <w:tabs>
          <w:tab w:val="num" w:pos="720"/>
        </w:tabs>
        <w:ind w:left="720" w:hanging="720"/>
      </w:pPr>
    </w:lvl>
  </w:abstractNum>
  <w:abstractNum w:abstractNumId="29" w15:restartNumberingAfterBreak="0">
    <w:nsid w:val="18105C66"/>
    <w:multiLevelType w:val="hybridMultilevel"/>
    <w:tmpl w:val="84FE6B1C"/>
    <w:lvl w:ilvl="0" w:tplc="934C5876">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186B6D3F"/>
    <w:multiLevelType w:val="hybridMultilevel"/>
    <w:tmpl w:val="6614932A"/>
    <w:lvl w:ilvl="0" w:tplc="2C6A4F5A">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188C71B8"/>
    <w:multiLevelType w:val="hybridMultilevel"/>
    <w:tmpl w:val="ED1A7FB4"/>
    <w:lvl w:ilvl="0" w:tplc="0409000F">
      <w:start w:val="1"/>
      <w:numFmt w:val="decimal"/>
      <w:lvlText w:val="%1."/>
      <w:lvlJc w:val="left"/>
      <w:pPr>
        <w:ind w:left="1428" w:hanging="360"/>
      </w:pPr>
    </w:lvl>
    <w:lvl w:ilvl="1" w:tplc="04090019">
      <w:start w:val="1"/>
      <w:numFmt w:val="lowerLetter"/>
      <w:lvlText w:val="%2."/>
      <w:lvlJc w:val="left"/>
      <w:pPr>
        <w:ind w:left="214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1B483F8D"/>
    <w:multiLevelType w:val="hybridMultilevel"/>
    <w:tmpl w:val="79120E0A"/>
    <w:lvl w:ilvl="0" w:tplc="AF6A0CE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1B4D0153"/>
    <w:multiLevelType w:val="hybridMultilevel"/>
    <w:tmpl w:val="B2B0834E"/>
    <w:lvl w:ilvl="0" w:tplc="B84AA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554892"/>
    <w:multiLevelType w:val="hybridMultilevel"/>
    <w:tmpl w:val="2C260E80"/>
    <w:lvl w:ilvl="0" w:tplc="040C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1B843A92"/>
    <w:multiLevelType w:val="hybridMultilevel"/>
    <w:tmpl w:val="399468DA"/>
    <w:lvl w:ilvl="0" w:tplc="FAF2B5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1C6C0ED3"/>
    <w:multiLevelType w:val="hybridMultilevel"/>
    <w:tmpl w:val="102CEA58"/>
    <w:lvl w:ilvl="0" w:tplc="8766F80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1C785F0F"/>
    <w:multiLevelType w:val="hybridMultilevel"/>
    <w:tmpl w:val="C5724FC8"/>
    <w:lvl w:ilvl="0" w:tplc="2576AA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D394874"/>
    <w:multiLevelType w:val="hybridMultilevel"/>
    <w:tmpl w:val="8FE61706"/>
    <w:lvl w:ilvl="0" w:tplc="936C04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FE952EF"/>
    <w:multiLevelType w:val="hybridMultilevel"/>
    <w:tmpl w:val="D1A2B5A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21DC2A48"/>
    <w:multiLevelType w:val="hybridMultilevel"/>
    <w:tmpl w:val="520C0AAC"/>
    <w:lvl w:ilvl="0" w:tplc="BF64DA68">
      <w:start w:val="1"/>
      <w:numFmt w:val="decimal"/>
      <w:lvlText w:val="%1."/>
      <w:lvlJc w:val="left"/>
      <w:pPr>
        <w:ind w:left="720" w:hanging="36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22850A64"/>
    <w:multiLevelType w:val="hybridMultilevel"/>
    <w:tmpl w:val="9DB018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2290394F"/>
    <w:multiLevelType w:val="hybridMultilevel"/>
    <w:tmpl w:val="ED72E424"/>
    <w:lvl w:ilvl="0" w:tplc="3FCAB6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2AA0FE3"/>
    <w:multiLevelType w:val="hybridMultilevel"/>
    <w:tmpl w:val="1D50E1E6"/>
    <w:lvl w:ilvl="0" w:tplc="05865EB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4" w15:restartNumberingAfterBreak="0">
    <w:nsid w:val="22CB7091"/>
    <w:multiLevelType w:val="hybridMultilevel"/>
    <w:tmpl w:val="5F4C5370"/>
    <w:lvl w:ilvl="0" w:tplc="661820B0">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5" w15:restartNumberingAfterBreak="0">
    <w:nsid w:val="22E01AB4"/>
    <w:multiLevelType w:val="hybridMultilevel"/>
    <w:tmpl w:val="558AE1DA"/>
    <w:lvl w:ilvl="0" w:tplc="AC5004E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22E85EA4"/>
    <w:multiLevelType w:val="hybridMultilevel"/>
    <w:tmpl w:val="E62CE37A"/>
    <w:lvl w:ilvl="0" w:tplc="79ECF620">
      <w:start w:val="1"/>
      <w:numFmt w:val="decimal"/>
      <w:lvlText w:val="%1-"/>
      <w:lvlJc w:val="left"/>
      <w:pPr>
        <w:ind w:left="720" w:hanging="360"/>
      </w:pPr>
      <w:rPr>
        <w:rFonts w:asciiTheme="majorBidi" w:hAnsiTheme="majorBidi" w:cstheme="majorBid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3635897"/>
    <w:multiLevelType w:val="hybridMultilevel"/>
    <w:tmpl w:val="75B4E3A2"/>
    <w:lvl w:ilvl="0" w:tplc="B426936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23744C1E"/>
    <w:multiLevelType w:val="hybridMultilevel"/>
    <w:tmpl w:val="E764A7C0"/>
    <w:lvl w:ilvl="0" w:tplc="9DE84A0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23DE3283"/>
    <w:multiLevelType w:val="singleLevel"/>
    <w:tmpl w:val="040C000F"/>
    <w:lvl w:ilvl="0">
      <w:start w:val="1"/>
      <w:numFmt w:val="decimal"/>
      <w:lvlText w:val="%1."/>
      <w:lvlJc w:val="left"/>
      <w:pPr>
        <w:tabs>
          <w:tab w:val="num" w:pos="360"/>
        </w:tabs>
        <w:ind w:left="360" w:hanging="360"/>
      </w:pPr>
    </w:lvl>
  </w:abstractNum>
  <w:abstractNum w:abstractNumId="50" w15:restartNumberingAfterBreak="0">
    <w:nsid w:val="24464C98"/>
    <w:multiLevelType w:val="hybridMultilevel"/>
    <w:tmpl w:val="1680A0F6"/>
    <w:lvl w:ilvl="0" w:tplc="1068D1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4533EEB"/>
    <w:multiLevelType w:val="hybridMultilevel"/>
    <w:tmpl w:val="0DB06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54202C3"/>
    <w:multiLevelType w:val="hybridMultilevel"/>
    <w:tmpl w:val="78DAE22C"/>
    <w:lvl w:ilvl="0" w:tplc="D31C87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27FA68E4"/>
    <w:multiLevelType w:val="hybridMultilevel"/>
    <w:tmpl w:val="12DAB14C"/>
    <w:lvl w:ilvl="0" w:tplc="D4D6D66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284D4708"/>
    <w:multiLevelType w:val="hybridMultilevel"/>
    <w:tmpl w:val="667E5F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AC32908"/>
    <w:multiLevelType w:val="multilevel"/>
    <w:tmpl w:val="C5363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B470012"/>
    <w:multiLevelType w:val="hybridMultilevel"/>
    <w:tmpl w:val="A88A4DC0"/>
    <w:lvl w:ilvl="0" w:tplc="32A68B22">
      <w:start w:val="1"/>
      <w:numFmt w:val="decimal"/>
      <w:lvlText w:val="%1-"/>
      <w:lvlJc w:val="left"/>
      <w:pPr>
        <w:ind w:left="720" w:hanging="360"/>
      </w:pPr>
      <w:rPr>
        <w:rFonts w:eastAsia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D636441"/>
    <w:multiLevelType w:val="hybridMultilevel"/>
    <w:tmpl w:val="E74AA2B8"/>
    <w:lvl w:ilvl="0" w:tplc="A68E33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2E1F14EC"/>
    <w:multiLevelType w:val="hybridMultilevel"/>
    <w:tmpl w:val="7FB857B8"/>
    <w:lvl w:ilvl="0" w:tplc="63CC12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2EE00060"/>
    <w:multiLevelType w:val="hybridMultilevel"/>
    <w:tmpl w:val="316A2D12"/>
    <w:lvl w:ilvl="0" w:tplc="6B24CCE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30520794"/>
    <w:multiLevelType w:val="hybridMultilevel"/>
    <w:tmpl w:val="8BA4A26C"/>
    <w:lvl w:ilvl="0" w:tplc="08E2222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318A4977"/>
    <w:multiLevelType w:val="hybridMultilevel"/>
    <w:tmpl w:val="B8CE42CC"/>
    <w:lvl w:ilvl="0" w:tplc="3C887ED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340F6636"/>
    <w:multiLevelType w:val="hybridMultilevel"/>
    <w:tmpl w:val="079E77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15:restartNumberingAfterBreak="0">
    <w:nsid w:val="353976BA"/>
    <w:multiLevelType w:val="multilevel"/>
    <w:tmpl w:val="15E6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36A818B5"/>
    <w:multiLevelType w:val="hybridMultilevel"/>
    <w:tmpl w:val="22707C4E"/>
    <w:lvl w:ilvl="0" w:tplc="44F863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38252C5A"/>
    <w:multiLevelType w:val="hybridMultilevel"/>
    <w:tmpl w:val="0BE8375C"/>
    <w:lvl w:ilvl="0" w:tplc="0DD04D0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15:restartNumberingAfterBreak="0">
    <w:nsid w:val="38F83FE3"/>
    <w:multiLevelType w:val="hybridMultilevel"/>
    <w:tmpl w:val="46548D68"/>
    <w:lvl w:ilvl="0" w:tplc="575235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3C293ED3"/>
    <w:multiLevelType w:val="hybridMultilevel"/>
    <w:tmpl w:val="D62E504E"/>
    <w:lvl w:ilvl="0" w:tplc="E342EF1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3CA82DE7"/>
    <w:multiLevelType w:val="hybridMultilevel"/>
    <w:tmpl w:val="F948CA18"/>
    <w:lvl w:ilvl="0" w:tplc="04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Wingdings"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9" w15:restartNumberingAfterBreak="0">
    <w:nsid w:val="3D3857C8"/>
    <w:multiLevelType w:val="hybridMultilevel"/>
    <w:tmpl w:val="AD320118"/>
    <w:lvl w:ilvl="0" w:tplc="565C5F4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3E6B5103"/>
    <w:multiLevelType w:val="hybridMultilevel"/>
    <w:tmpl w:val="8CF2C95A"/>
    <w:lvl w:ilvl="0" w:tplc="2862B772">
      <w:start w:val="1"/>
      <w:numFmt w:val="decimal"/>
      <w:lvlText w:val="%1."/>
      <w:lvlJc w:val="left"/>
      <w:pPr>
        <w:ind w:left="720" w:hanging="360"/>
      </w:pPr>
      <w:rPr>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1" w15:restartNumberingAfterBreak="0">
    <w:nsid w:val="414B2820"/>
    <w:multiLevelType w:val="singleLevel"/>
    <w:tmpl w:val="040C000F"/>
    <w:lvl w:ilvl="0">
      <w:start w:val="1"/>
      <w:numFmt w:val="decimal"/>
      <w:lvlText w:val="%1."/>
      <w:lvlJc w:val="left"/>
      <w:pPr>
        <w:tabs>
          <w:tab w:val="num" w:pos="360"/>
        </w:tabs>
        <w:ind w:left="360" w:hanging="360"/>
      </w:pPr>
      <w:rPr>
        <w:rFonts w:hint="default"/>
      </w:rPr>
    </w:lvl>
  </w:abstractNum>
  <w:abstractNum w:abstractNumId="72" w15:restartNumberingAfterBreak="0">
    <w:nsid w:val="419660E9"/>
    <w:multiLevelType w:val="multilevel"/>
    <w:tmpl w:val="C8A052B6"/>
    <w:lvl w:ilvl="0">
      <w:start w:val="9"/>
      <w:numFmt w:val="decimal"/>
      <w:lvlText w:val="%1."/>
      <w:lvlJc w:val="left"/>
      <w:pPr>
        <w:ind w:left="360" w:hanging="360"/>
      </w:pPr>
      <w:rPr>
        <w:rFonts w:eastAsia="Times New Roman" w:hint="default"/>
        <w:b w:val="0"/>
      </w:rPr>
    </w:lvl>
    <w:lvl w:ilvl="1">
      <w:start w:val="4"/>
      <w:numFmt w:val="decimal"/>
      <w:lvlText w:val="%1.%2."/>
      <w:lvlJc w:val="left"/>
      <w:pPr>
        <w:ind w:left="360" w:hanging="360"/>
      </w:pPr>
      <w:rPr>
        <w:rFonts w:eastAsia="Times New Roman" w:hint="default"/>
        <w:b/>
        <w:bCs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73" w15:restartNumberingAfterBreak="0">
    <w:nsid w:val="41C56A44"/>
    <w:multiLevelType w:val="singleLevel"/>
    <w:tmpl w:val="040C000F"/>
    <w:lvl w:ilvl="0">
      <w:start w:val="1"/>
      <w:numFmt w:val="decimal"/>
      <w:lvlText w:val="%1."/>
      <w:lvlJc w:val="left"/>
      <w:pPr>
        <w:tabs>
          <w:tab w:val="num" w:pos="360"/>
        </w:tabs>
        <w:ind w:left="360" w:hanging="360"/>
      </w:pPr>
    </w:lvl>
  </w:abstractNum>
  <w:abstractNum w:abstractNumId="74" w15:restartNumberingAfterBreak="0">
    <w:nsid w:val="439B4C7E"/>
    <w:multiLevelType w:val="hybridMultilevel"/>
    <w:tmpl w:val="DD9AE64A"/>
    <w:lvl w:ilvl="0" w:tplc="46A247E2">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44D907D4"/>
    <w:multiLevelType w:val="hybridMultilevel"/>
    <w:tmpl w:val="A224CB0E"/>
    <w:lvl w:ilvl="0" w:tplc="522260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15:restartNumberingAfterBreak="0">
    <w:nsid w:val="459F1D3B"/>
    <w:multiLevelType w:val="hybridMultilevel"/>
    <w:tmpl w:val="1FF6738A"/>
    <w:lvl w:ilvl="0" w:tplc="C6E243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A5039C"/>
    <w:multiLevelType w:val="hybridMultilevel"/>
    <w:tmpl w:val="9EE428DA"/>
    <w:lvl w:ilvl="0" w:tplc="5C6C087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45D94D5D"/>
    <w:multiLevelType w:val="hybridMultilevel"/>
    <w:tmpl w:val="8E9C834A"/>
    <w:lvl w:ilvl="0" w:tplc="CB9A47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84714DC"/>
    <w:multiLevelType w:val="hybridMultilevel"/>
    <w:tmpl w:val="7D2A1D56"/>
    <w:lvl w:ilvl="0" w:tplc="2D8EF91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0" w15:restartNumberingAfterBreak="0">
    <w:nsid w:val="48E84160"/>
    <w:multiLevelType w:val="singleLevel"/>
    <w:tmpl w:val="040C000F"/>
    <w:lvl w:ilvl="0">
      <w:start w:val="1"/>
      <w:numFmt w:val="decimal"/>
      <w:lvlText w:val="%1."/>
      <w:lvlJc w:val="left"/>
      <w:pPr>
        <w:tabs>
          <w:tab w:val="num" w:pos="360"/>
        </w:tabs>
        <w:ind w:left="360" w:hanging="360"/>
      </w:pPr>
    </w:lvl>
  </w:abstractNum>
  <w:abstractNum w:abstractNumId="81" w15:restartNumberingAfterBreak="0">
    <w:nsid w:val="49657450"/>
    <w:multiLevelType w:val="hybridMultilevel"/>
    <w:tmpl w:val="B23C345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4C7F58DA"/>
    <w:multiLevelType w:val="multilevel"/>
    <w:tmpl w:val="6A940DB8"/>
    <w:lvl w:ilvl="0">
      <w:start w:val="1"/>
      <w:numFmt w:val="decimal"/>
      <w:lvlText w:val="%1."/>
      <w:lvlJc w:val="left"/>
      <w:pPr>
        <w:ind w:left="1080" w:hanging="360"/>
      </w:p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3" w15:restartNumberingAfterBreak="0">
    <w:nsid w:val="4C8A7F73"/>
    <w:multiLevelType w:val="hybridMultilevel"/>
    <w:tmpl w:val="77100116"/>
    <w:lvl w:ilvl="0" w:tplc="39689F0E">
      <w:start w:val="1"/>
      <w:numFmt w:val="decimal"/>
      <w:lvlText w:val="%1-"/>
      <w:lvlJc w:val="left"/>
      <w:pPr>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4CBC16C0"/>
    <w:multiLevelType w:val="multilevel"/>
    <w:tmpl w:val="B9185E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5" w15:restartNumberingAfterBreak="0">
    <w:nsid w:val="4CD135D9"/>
    <w:multiLevelType w:val="singleLevel"/>
    <w:tmpl w:val="B2749024"/>
    <w:lvl w:ilvl="0">
      <w:start w:val="1"/>
      <w:numFmt w:val="decimal"/>
      <w:lvlText w:val="%1."/>
      <w:lvlJc w:val="left"/>
      <w:pPr>
        <w:tabs>
          <w:tab w:val="num" w:pos="360"/>
        </w:tabs>
        <w:ind w:left="360" w:hanging="360"/>
      </w:pPr>
      <w:rPr>
        <w:b w:val="0"/>
        <w:bCs/>
      </w:rPr>
    </w:lvl>
  </w:abstractNum>
  <w:abstractNum w:abstractNumId="86" w15:restartNumberingAfterBreak="0">
    <w:nsid w:val="4DCE2A57"/>
    <w:multiLevelType w:val="hybridMultilevel"/>
    <w:tmpl w:val="BC5A4706"/>
    <w:lvl w:ilvl="0" w:tplc="B4325888">
      <w:start w:val="1"/>
      <w:numFmt w:val="decimal"/>
      <w:lvlText w:val="%1-"/>
      <w:lvlJc w:val="left"/>
      <w:pPr>
        <w:ind w:left="10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15:restartNumberingAfterBreak="0">
    <w:nsid w:val="4E892642"/>
    <w:multiLevelType w:val="hybridMultilevel"/>
    <w:tmpl w:val="C896B1D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15:restartNumberingAfterBreak="0">
    <w:nsid w:val="4FA0647D"/>
    <w:multiLevelType w:val="hybridMultilevel"/>
    <w:tmpl w:val="E396B1E2"/>
    <w:lvl w:ilvl="0" w:tplc="A5427A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4FEE2E87"/>
    <w:multiLevelType w:val="multilevel"/>
    <w:tmpl w:val="3E22269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12B3393"/>
    <w:multiLevelType w:val="hybridMultilevel"/>
    <w:tmpl w:val="FBBAD11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15:restartNumberingAfterBreak="0">
    <w:nsid w:val="519800FD"/>
    <w:multiLevelType w:val="hybridMultilevel"/>
    <w:tmpl w:val="9C54F0EA"/>
    <w:lvl w:ilvl="0" w:tplc="C8F03D3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15:restartNumberingAfterBreak="0">
    <w:nsid w:val="526C3AB1"/>
    <w:multiLevelType w:val="hybridMultilevel"/>
    <w:tmpl w:val="ED765564"/>
    <w:lvl w:ilvl="0" w:tplc="8E0A82C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15:restartNumberingAfterBreak="0">
    <w:nsid w:val="529B5C30"/>
    <w:multiLevelType w:val="hybridMultilevel"/>
    <w:tmpl w:val="62F85130"/>
    <w:lvl w:ilvl="0" w:tplc="03B6CA5C">
      <w:start w:val="1"/>
      <w:numFmt w:val="decimal"/>
      <w:lvlText w:val="%1-"/>
      <w:lvlJc w:val="left"/>
      <w:pPr>
        <w:ind w:left="720" w:hanging="360"/>
      </w:pPr>
      <w:rPr>
        <w:rFonts w:eastAsia="Times New Roman"/>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52E449FF"/>
    <w:multiLevelType w:val="hybridMultilevel"/>
    <w:tmpl w:val="AEBA8442"/>
    <w:lvl w:ilvl="0" w:tplc="3E3AB1E0">
      <w:start w:val="1"/>
      <w:numFmt w:val="decimal"/>
      <w:lvlText w:val="%1-"/>
      <w:lvlJc w:val="left"/>
      <w:pPr>
        <w:ind w:left="1068" w:hanging="360"/>
      </w:pPr>
      <w:rPr>
        <w:rFonts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5" w15:restartNumberingAfterBreak="0">
    <w:nsid w:val="52FC5BFA"/>
    <w:multiLevelType w:val="hybridMultilevel"/>
    <w:tmpl w:val="B360FA5C"/>
    <w:lvl w:ilvl="0" w:tplc="5FC221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3326356"/>
    <w:multiLevelType w:val="hybridMultilevel"/>
    <w:tmpl w:val="947E30A0"/>
    <w:lvl w:ilvl="0" w:tplc="203020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5130782"/>
    <w:multiLevelType w:val="hybridMultilevel"/>
    <w:tmpl w:val="8356EF90"/>
    <w:lvl w:ilvl="0" w:tplc="F854782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8" w15:restartNumberingAfterBreak="0">
    <w:nsid w:val="555016AB"/>
    <w:multiLevelType w:val="hybridMultilevel"/>
    <w:tmpl w:val="8DF2248C"/>
    <w:lvl w:ilvl="0" w:tplc="DA56D11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15:restartNumberingAfterBreak="0">
    <w:nsid w:val="55667609"/>
    <w:multiLevelType w:val="multilevel"/>
    <w:tmpl w:val="11DC9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5DB6A25"/>
    <w:multiLevelType w:val="hybridMultilevel"/>
    <w:tmpl w:val="3C04E576"/>
    <w:lvl w:ilvl="0" w:tplc="F7203CD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15:restartNumberingAfterBreak="0">
    <w:nsid w:val="55F60050"/>
    <w:multiLevelType w:val="hybridMultilevel"/>
    <w:tmpl w:val="6F92B3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574948F2"/>
    <w:multiLevelType w:val="multilevel"/>
    <w:tmpl w:val="712C31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588828F0"/>
    <w:multiLevelType w:val="hybridMultilevel"/>
    <w:tmpl w:val="EC1A2182"/>
    <w:lvl w:ilvl="0" w:tplc="D538510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9FC67C2"/>
    <w:multiLevelType w:val="singleLevel"/>
    <w:tmpl w:val="040C0001"/>
    <w:lvl w:ilvl="0">
      <w:numFmt w:val="bullet"/>
      <w:lvlText w:val=""/>
      <w:lvlJc w:val="left"/>
      <w:pPr>
        <w:tabs>
          <w:tab w:val="num" w:pos="360"/>
        </w:tabs>
        <w:ind w:left="360" w:hanging="360"/>
      </w:pPr>
      <w:rPr>
        <w:rFonts w:ascii="Symbol" w:hAnsi="Symbol" w:hint="default"/>
      </w:rPr>
    </w:lvl>
  </w:abstractNum>
  <w:abstractNum w:abstractNumId="105" w15:restartNumberingAfterBreak="0">
    <w:nsid w:val="5A041C5A"/>
    <w:multiLevelType w:val="hybridMultilevel"/>
    <w:tmpl w:val="6E40EB3A"/>
    <w:lvl w:ilvl="0" w:tplc="12DA74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5A134F74"/>
    <w:multiLevelType w:val="hybridMultilevel"/>
    <w:tmpl w:val="4E208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5AE842D6"/>
    <w:multiLevelType w:val="hybridMultilevel"/>
    <w:tmpl w:val="2EDAE718"/>
    <w:lvl w:ilvl="0" w:tplc="B044BB4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15:restartNumberingAfterBreak="0">
    <w:nsid w:val="5B32483B"/>
    <w:multiLevelType w:val="hybridMultilevel"/>
    <w:tmpl w:val="437EB464"/>
    <w:lvl w:ilvl="0" w:tplc="B3C076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5B7E2809"/>
    <w:multiLevelType w:val="hybridMultilevel"/>
    <w:tmpl w:val="9FFAD098"/>
    <w:lvl w:ilvl="0" w:tplc="1EC010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5CDE71A9"/>
    <w:multiLevelType w:val="hybridMultilevel"/>
    <w:tmpl w:val="F15E25A4"/>
    <w:lvl w:ilvl="0" w:tplc="2BA2728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15:restartNumberingAfterBreak="0">
    <w:nsid w:val="5E442BD0"/>
    <w:multiLevelType w:val="hybridMultilevel"/>
    <w:tmpl w:val="09B858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15:restartNumberingAfterBreak="0">
    <w:nsid w:val="5E466611"/>
    <w:multiLevelType w:val="hybridMultilevel"/>
    <w:tmpl w:val="4B78B7AC"/>
    <w:lvl w:ilvl="0" w:tplc="F1D892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5F8A77A0"/>
    <w:multiLevelType w:val="multilevel"/>
    <w:tmpl w:val="2C701240"/>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4" w15:restartNumberingAfterBreak="0">
    <w:nsid w:val="5FCE3EA6"/>
    <w:multiLevelType w:val="hybridMultilevel"/>
    <w:tmpl w:val="C0CCE11C"/>
    <w:lvl w:ilvl="0" w:tplc="964EB59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5FCF4454"/>
    <w:multiLevelType w:val="hybridMultilevel"/>
    <w:tmpl w:val="6ECCF90E"/>
    <w:lvl w:ilvl="0" w:tplc="72DA7F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60A017C1"/>
    <w:multiLevelType w:val="hybridMultilevel"/>
    <w:tmpl w:val="535202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7" w15:restartNumberingAfterBreak="0">
    <w:nsid w:val="61670658"/>
    <w:multiLevelType w:val="hybridMultilevel"/>
    <w:tmpl w:val="59AC7098"/>
    <w:lvl w:ilvl="0" w:tplc="6E4CFB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62383B4D"/>
    <w:multiLevelType w:val="hybridMultilevel"/>
    <w:tmpl w:val="A8241004"/>
    <w:lvl w:ilvl="0" w:tplc="7F14AD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6359280E"/>
    <w:multiLevelType w:val="hybridMultilevel"/>
    <w:tmpl w:val="DD7697EA"/>
    <w:lvl w:ilvl="0" w:tplc="C3089E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640D15FD"/>
    <w:multiLevelType w:val="hybridMultilevel"/>
    <w:tmpl w:val="A0CC3A9C"/>
    <w:lvl w:ilvl="0" w:tplc="3FCAB6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66CF5F9C"/>
    <w:multiLevelType w:val="multilevel"/>
    <w:tmpl w:val="742AD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7B27439"/>
    <w:multiLevelType w:val="singleLevel"/>
    <w:tmpl w:val="040C000F"/>
    <w:lvl w:ilvl="0">
      <w:start w:val="1"/>
      <w:numFmt w:val="decimal"/>
      <w:lvlText w:val="%1."/>
      <w:lvlJc w:val="left"/>
      <w:pPr>
        <w:tabs>
          <w:tab w:val="num" w:pos="360"/>
        </w:tabs>
        <w:ind w:left="360" w:hanging="360"/>
      </w:pPr>
    </w:lvl>
  </w:abstractNum>
  <w:abstractNum w:abstractNumId="123" w15:restartNumberingAfterBreak="0">
    <w:nsid w:val="68EE4D09"/>
    <w:multiLevelType w:val="hybridMultilevel"/>
    <w:tmpl w:val="CD165840"/>
    <w:lvl w:ilvl="0" w:tplc="1C08D9A4">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4" w15:restartNumberingAfterBreak="0">
    <w:nsid w:val="692B7767"/>
    <w:multiLevelType w:val="hybridMultilevel"/>
    <w:tmpl w:val="0C0C9F14"/>
    <w:lvl w:ilvl="0" w:tplc="A41C445A">
      <w:start w:val="1"/>
      <w:numFmt w:val="upperRoman"/>
      <w:lvlText w:val="%1."/>
      <w:lvlJc w:val="left"/>
      <w:pPr>
        <w:ind w:left="1080" w:hanging="720"/>
      </w:pPr>
      <w:rPr>
        <w:rFonts w:hint="default"/>
      </w:rPr>
    </w:lvl>
    <w:lvl w:ilvl="1" w:tplc="040C000F">
      <w:start w:val="1"/>
      <w:numFmt w:val="decimal"/>
      <w:lvlText w:val="%2."/>
      <w:lvlJc w:val="left"/>
      <w:pPr>
        <w:ind w:left="1068"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6AEB7B6E"/>
    <w:multiLevelType w:val="hybridMultilevel"/>
    <w:tmpl w:val="EC369306"/>
    <w:lvl w:ilvl="0" w:tplc="80D4A7D4">
      <w:start w:val="1"/>
      <w:numFmt w:val="decimal"/>
      <w:lvlText w:val="%1-"/>
      <w:lvlJc w:val="left"/>
      <w:pPr>
        <w:ind w:left="1080" w:hanging="360"/>
      </w:pPr>
      <w:rPr>
        <w:rFonts w:eastAsia="Times New Roman"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6" w15:restartNumberingAfterBreak="0">
    <w:nsid w:val="6C9C5C80"/>
    <w:multiLevelType w:val="hybridMultilevel"/>
    <w:tmpl w:val="9E00F418"/>
    <w:lvl w:ilvl="0" w:tplc="4600D4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6CA54954"/>
    <w:multiLevelType w:val="hybridMultilevel"/>
    <w:tmpl w:val="DAD6E9E4"/>
    <w:lvl w:ilvl="0" w:tplc="8D24380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15:restartNumberingAfterBreak="0">
    <w:nsid w:val="6CE27154"/>
    <w:multiLevelType w:val="hybridMultilevel"/>
    <w:tmpl w:val="4556461A"/>
    <w:lvl w:ilvl="0" w:tplc="BBE02B0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6F5266B2"/>
    <w:multiLevelType w:val="hybridMultilevel"/>
    <w:tmpl w:val="D0F8713E"/>
    <w:lvl w:ilvl="0" w:tplc="4ABC913A">
      <w:start w:val="1"/>
      <w:numFmt w:val="lowerLetter"/>
      <w:lvlText w:val="%1-"/>
      <w:lvlJc w:val="left"/>
      <w:pPr>
        <w:ind w:left="720" w:hanging="360"/>
      </w:pPr>
      <w:rPr>
        <w:rFonts w:eastAsia="Times New Roman"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14366F4"/>
    <w:multiLevelType w:val="hybridMultilevel"/>
    <w:tmpl w:val="2288FE8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15:restartNumberingAfterBreak="0">
    <w:nsid w:val="716E47D3"/>
    <w:multiLevelType w:val="hybridMultilevel"/>
    <w:tmpl w:val="293E77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2BB4C40"/>
    <w:multiLevelType w:val="hybridMultilevel"/>
    <w:tmpl w:val="9F4A8576"/>
    <w:lvl w:ilvl="0" w:tplc="46A6AC1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3" w15:restartNumberingAfterBreak="0">
    <w:nsid w:val="765B53B9"/>
    <w:multiLevelType w:val="hybridMultilevel"/>
    <w:tmpl w:val="CBF40364"/>
    <w:lvl w:ilvl="0" w:tplc="8262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78B4F7C"/>
    <w:multiLevelType w:val="hybridMultilevel"/>
    <w:tmpl w:val="CFEAF2B0"/>
    <w:lvl w:ilvl="0" w:tplc="3FE6A91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5" w15:restartNumberingAfterBreak="0">
    <w:nsid w:val="78E30020"/>
    <w:multiLevelType w:val="hybridMultilevel"/>
    <w:tmpl w:val="E628180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15:restartNumberingAfterBreak="0">
    <w:nsid w:val="78E657F7"/>
    <w:multiLevelType w:val="hybridMultilevel"/>
    <w:tmpl w:val="EA426ACA"/>
    <w:lvl w:ilvl="0" w:tplc="92600D4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7" w15:restartNumberingAfterBreak="0">
    <w:nsid w:val="7A057289"/>
    <w:multiLevelType w:val="hybridMultilevel"/>
    <w:tmpl w:val="D68082FE"/>
    <w:lvl w:ilvl="0" w:tplc="C644A81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7A682FD6"/>
    <w:multiLevelType w:val="hybridMultilevel"/>
    <w:tmpl w:val="4E9AD114"/>
    <w:lvl w:ilvl="0" w:tplc="E6BA03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C5529BF"/>
    <w:multiLevelType w:val="hybridMultilevel"/>
    <w:tmpl w:val="6310FCB2"/>
    <w:lvl w:ilvl="0" w:tplc="F224E6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7CCD2AFD"/>
    <w:multiLevelType w:val="singleLevel"/>
    <w:tmpl w:val="888E4478"/>
    <w:lvl w:ilvl="0">
      <w:start w:val="1"/>
      <w:numFmt w:val="decimal"/>
      <w:lvlText w:val="%1-"/>
      <w:lvlJc w:val="left"/>
      <w:pPr>
        <w:ind w:left="720" w:hanging="360"/>
      </w:pPr>
      <w:rPr>
        <w:color w:val="auto"/>
      </w:rPr>
    </w:lvl>
  </w:abstractNum>
  <w:abstractNum w:abstractNumId="141" w15:restartNumberingAfterBreak="0">
    <w:nsid w:val="7CFE62AD"/>
    <w:multiLevelType w:val="hybridMultilevel"/>
    <w:tmpl w:val="0F86C5C2"/>
    <w:lvl w:ilvl="0" w:tplc="38625008">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E9C06DA"/>
    <w:multiLevelType w:val="hybridMultilevel"/>
    <w:tmpl w:val="DF7075F4"/>
    <w:lvl w:ilvl="0" w:tplc="E814CE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7F87333B"/>
    <w:multiLevelType w:val="multilevel"/>
    <w:tmpl w:val="5D282C7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8"/>
    <w:lvlOverride w:ilvl="0">
      <w:startOverride w:val="1"/>
    </w:lvlOverride>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1"/>
  </w:num>
  <w:num w:numId="11">
    <w:abstractNumId w:val="1"/>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5"/>
  </w:num>
  <w:num w:numId="14">
    <w:abstractNumId w:val="124"/>
  </w:num>
  <w:num w:numId="15">
    <w:abstractNumId w:val="100"/>
  </w:num>
  <w:num w:numId="16">
    <w:abstractNumId w:val="33"/>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8"/>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num>
  <w:num w:numId="23">
    <w:abstractNumId w:val="12"/>
  </w:num>
  <w:num w:numId="24">
    <w:abstractNumId w:val="51"/>
  </w:num>
  <w:num w:numId="25">
    <w:abstractNumId w:val="133"/>
  </w:num>
  <w:num w:numId="26">
    <w:abstractNumId w:val="141"/>
  </w:num>
  <w:num w:numId="27">
    <w:abstractNumId w:val="117"/>
  </w:num>
  <w:num w:numId="28">
    <w:abstractNumId w:val="119"/>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115"/>
  </w:num>
  <w:num w:numId="44">
    <w:abstractNumId w:val="42"/>
  </w:num>
  <w:num w:numId="45">
    <w:abstractNumId w:val="120"/>
  </w:num>
  <w:num w:numId="4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num>
  <w:num w:numId="56">
    <w:abstractNumId w:val="142"/>
  </w:num>
  <w:num w:numId="57">
    <w:abstractNumId w:val="105"/>
  </w:num>
  <w:num w:numId="58">
    <w:abstractNumId w:val="38"/>
  </w:num>
  <w:num w:numId="59">
    <w:abstractNumId w:val="108"/>
  </w:num>
  <w:num w:numId="60">
    <w:abstractNumId w:val="43"/>
  </w:num>
  <w:num w:numId="61">
    <w:abstractNumId w:val="19"/>
  </w:num>
  <w:num w:numId="62">
    <w:abstractNumId w:val="128"/>
  </w:num>
  <w:num w:numId="63">
    <w:abstractNumId w:val="97"/>
  </w:num>
  <w:num w:numId="6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num>
  <w:num w:numId="85">
    <w:abstractNumId w:val="139"/>
  </w:num>
  <w:num w:numId="86">
    <w:abstractNumId w:val="138"/>
  </w:num>
  <w:num w:numId="87">
    <w:abstractNumId w:val="37"/>
  </w:num>
  <w:num w:numId="88">
    <w:abstractNumId w:val="112"/>
  </w:num>
  <w:num w:numId="89">
    <w:abstractNumId w:val="109"/>
  </w:num>
  <w:num w:numId="90">
    <w:abstractNumId w:val="44"/>
  </w:num>
  <w:num w:numId="91">
    <w:abstractNumId w:val="114"/>
  </w:num>
  <w:num w:numId="92">
    <w:abstractNumId w:val="96"/>
  </w:num>
  <w:num w:numId="93">
    <w:abstractNumId w:val="50"/>
  </w:num>
  <w:num w:numId="94">
    <w:abstractNumId w:val="58"/>
  </w:num>
  <w:num w:numId="95">
    <w:abstractNumId w:val="78"/>
  </w:num>
  <w:num w:numId="96">
    <w:abstractNumId w:val="118"/>
  </w:num>
  <w:num w:numId="97">
    <w:abstractNumId w:val="81"/>
  </w:num>
  <w:num w:numId="98">
    <w:abstractNumId w:val="126"/>
  </w:num>
  <w:num w:numId="99">
    <w:abstractNumId w:val="84"/>
  </w:num>
  <w:num w:numId="100">
    <w:abstractNumId w:val="89"/>
  </w:num>
  <w:num w:numId="10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num>
  <w:num w:numId="103">
    <w:abstractNumId w:val="140"/>
    <w:lvlOverride w:ilvl="0">
      <w:startOverride w:val="1"/>
    </w:lvlOverride>
  </w:num>
  <w:num w:numId="104">
    <w:abstractNumId w:val="3"/>
  </w:num>
  <w:num w:numId="105">
    <w:abstractNumId w:val="76"/>
  </w:num>
  <w:num w:numId="106">
    <w:abstractNumId w:val="7"/>
  </w:num>
  <w:num w:numId="1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129"/>
  </w:num>
  <w:num w:numId="110">
    <w:abstractNumId w:val="125"/>
  </w:num>
  <w:num w:numId="111">
    <w:abstractNumId w:val="27"/>
  </w:num>
  <w:num w:numId="112">
    <w:abstractNumId w:val="54"/>
  </w:num>
  <w:num w:numId="113">
    <w:abstractNumId w:val="13"/>
  </w:num>
  <w:num w:numId="114">
    <w:abstractNumId w:val="10"/>
  </w:num>
  <w:num w:numId="115">
    <w:abstractNumId w:val="57"/>
  </w:num>
  <w:num w:numId="1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4"/>
  </w:num>
  <w:num w:numId="118">
    <w:abstractNumId w:val="56"/>
  </w:num>
  <w:num w:numId="119">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3"/>
  </w:num>
  <w:num w:numId="123">
    <w:abstractNumId w:val="72"/>
  </w:num>
  <w:num w:numId="124">
    <w:abstractNumId w:val="143"/>
  </w:num>
  <w:num w:numId="125">
    <w:abstractNumId w:val="15"/>
  </w:num>
  <w:num w:numId="126">
    <w:abstractNumId w:val="17"/>
  </w:num>
  <w:num w:numId="127">
    <w:abstractNumId w:val="102"/>
  </w:num>
  <w:num w:numId="128">
    <w:abstractNumId w:val="103"/>
  </w:num>
  <w:num w:numId="129">
    <w:abstractNumId w:val="99"/>
  </w:num>
  <w:num w:numId="130">
    <w:abstractNumId w:val="121"/>
  </w:num>
  <w:num w:numId="131">
    <w:abstractNumId w:val="28"/>
  </w:num>
  <w:num w:numId="132">
    <w:abstractNumId w:val="80"/>
  </w:num>
  <w:num w:numId="133">
    <w:abstractNumId w:val="9"/>
  </w:num>
  <w:num w:numId="134">
    <w:abstractNumId w:val="73"/>
  </w:num>
  <w:num w:numId="135">
    <w:abstractNumId w:val="122"/>
  </w:num>
  <w:num w:numId="136">
    <w:abstractNumId w:val="71"/>
  </w:num>
  <w:num w:numId="13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4"/>
  </w:num>
  <w:num w:numId="139">
    <w:abstractNumId w:val="85"/>
  </w:num>
  <w:num w:numId="1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
  </w:num>
  <w:num w:numId="142">
    <w:abstractNumId w:val="0"/>
  </w:num>
  <w:num w:numId="143">
    <w:abstractNumId w:val="49"/>
  </w:num>
  <w:num w:numId="144">
    <w:abstractNumId w:val="14"/>
  </w:num>
  <w:num w:numId="145">
    <w:abstractNumId w:val="55"/>
  </w:num>
  <w:num w:numId="146">
    <w:abstractNumId w:val="2"/>
  </w:num>
  <w:num w:numId="147">
    <w:abstractNumId w:val="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61BDC"/>
    <w:rsid w:val="00001DF9"/>
    <w:rsid w:val="00002BED"/>
    <w:rsid w:val="000102AE"/>
    <w:rsid w:val="00010AA3"/>
    <w:rsid w:val="00012100"/>
    <w:rsid w:val="00013A91"/>
    <w:rsid w:val="000159E8"/>
    <w:rsid w:val="0002100E"/>
    <w:rsid w:val="000212AB"/>
    <w:rsid w:val="000212AE"/>
    <w:rsid w:val="00021D8C"/>
    <w:rsid w:val="00026245"/>
    <w:rsid w:val="000266A5"/>
    <w:rsid w:val="0002718A"/>
    <w:rsid w:val="0003008D"/>
    <w:rsid w:val="00031115"/>
    <w:rsid w:val="00031C98"/>
    <w:rsid w:val="000327F3"/>
    <w:rsid w:val="0004177B"/>
    <w:rsid w:val="0004373B"/>
    <w:rsid w:val="00043B0C"/>
    <w:rsid w:val="00044CEF"/>
    <w:rsid w:val="00045B43"/>
    <w:rsid w:val="0005061A"/>
    <w:rsid w:val="00050BAF"/>
    <w:rsid w:val="000524C2"/>
    <w:rsid w:val="000602BA"/>
    <w:rsid w:val="00061190"/>
    <w:rsid w:val="00061365"/>
    <w:rsid w:val="000639F5"/>
    <w:rsid w:val="00064478"/>
    <w:rsid w:val="00064AC2"/>
    <w:rsid w:val="00065066"/>
    <w:rsid w:val="0006585B"/>
    <w:rsid w:val="00065CE3"/>
    <w:rsid w:val="00066232"/>
    <w:rsid w:val="000705EB"/>
    <w:rsid w:val="00070AC6"/>
    <w:rsid w:val="000727BF"/>
    <w:rsid w:val="000741F3"/>
    <w:rsid w:val="0007509A"/>
    <w:rsid w:val="00080217"/>
    <w:rsid w:val="00081B05"/>
    <w:rsid w:val="000820DC"/>
    <w:rsid w:val="00087097"/>
    <w:rsid w:val="00087239"/>
    <w:rsid w:val="00087A14"/>
    <w:rsid w:val="0009020D"/>
    <w:rsid w:val="00094731"/>
    <w:rsid w:val="000949B0"/>
    <w:rsid w:val="00094CE1"/>
    <w:rsid w:val="00094E67"/>
    <w:rsid w:val="00094EF0"/>
    <w:rsid w:val="000951FD"/>
    <w:rsid w:val="000A0701"/>
    <w:rsid w:val="000A1B7A"/>
    <w:rsid w:val="000A3B42"/>
    <w:rsid w:val="000A42DA"/>
    <w:rsid w:val="000A4546"/>
    <w:rsid w:val="000A4835"/>
    <w:rsid w:val="000A587F"/>
    <w:rsid w:val="000A7F3A"/>
    <w:rsid w:val="000B069E"/>
    <w:rsid w:val="000B0DCE"/>
    <w:rsid w:val="000B176E"/>
    <w:rsid w:val="000B212B"/>
    <w:rsid w:val="000B4F53"/>
    <w:rsid w:val="000C01D2"/>
    <w:rsid w:val="000C1ECF"/>
    <w:rsid w:val="000C3D5F"/>
    <w:rsid w:val="000C42AD"/>
    <w:rsid w:val="000C4384"/>
    <w:rsid w:val="000C54FB"/>
    <w:rsid w:val="000C5716"/>
    <w:rsid w:val="000C5E4F"/>
    <w:rsid w:val="000C7A90"/>
    <w:rsid w:val="000D29A3"/>
    <w:rsid w:val="000D2AEE"/>
    <w:rsid w:val="000D31A5"/>
    <w:rsid w:val="000D39B1"/>
    <w:rsid w:val="000D3F03"/>
    <w:rsid w:val="000D6072"/>
    <w:rsid w:val="000D6629"/>
    <w:rsid w:val="000E2245"/>
    <w:rsid w:val="000E37F6"/>
    <w:rsid w:val="000E5053"/>
    <w:rsid w:val="000E66BB"/>
    <w:rsid w:val="000E7568"/>
    <w:rsid w:val="000F033C"/>
    <w:rsid w:val="000F15BB"/>
    <w:rsid w:val="000F6098"/>
    <w:rsid w:val="000F7F97"/>
    <w:rsid w:val="001010F1"/>
    <w:rsid w:val="00104E89"/>
    <w:rsid w:val="00105064"/>
    <w:rsid w:val="00106422"/>
    <w:rsid w:val="00107959"/>
    <w:rsid w:val="001117EB"/>
    <w:rsid w:val="00111E34"/>
    <w:rsid w:val="00114729"/>
    <w:rsid w:val="001169E3"/>
    <w:rsid w:val="00116ED9"/>
    <w:rsid w:val="00120051"/>
    <w:rsid w:val="00120944"/>
    <w:rsid w:val="001212DF"/>
    <w:rsid w:val="001219E3"/>
    <w:rsid w:val="00122B74"/>
    <w:rsid w:val="001241CC"/>
    <w:rsid w:val="0012567B"/>
    <w:rsid w:val="00126884"/>
    <w:rsid w:val="0013106D"/>
    <w:rsid w:val="0013693B"/>
    <w:rsid w:val="00143D64"/>
    <w:rsid w:val="0014424C"/>
    <w:rsid w:val="00145E5D"/>
    <w:rsid w:val="001504D2"/>
    <w:rsid w:val="001507AF"/>
    <w:rsid w:val="00152008"/>
    <w:rsid w:val="001520DE"/>
    <w:rsid w:val="00154FA0"/>
    <w:rsid w:val="001555A6"/>
    <w:rsid w:val="00157021"/>
    <w:rsid w:val="001570C5"/>
    <w:rsid w:val="00160B2E"/>
    <w:rsid w:val="0016317B"/>
    <w:rsid w:val="00164691"/>
    <w:rsid w:val="0016505D"/>
    <w:rsid w:val="0016630A"/>
    <w:rsid w:val="0016651E"/>
    <w:rsid w:val="00170DC2"/>
    <w:rsid w:val="00174FCC"/>
    <w:rsid w:val="00176C80"/>
    <w:rsid w:val="0018065E"/>
    <w:rsid w:val="00180699"/>
    <w:rsid w:val="00181E73"/>
    <w:rsid w:val="0018266C"/>
    <w:rsid w:val="001843FD"/>
    <w:rsid w:val="00184FDA"/>
    <w:rsid w:val="00185655"/>
    <w:rsid w:val="00186D28"/>
    <w:rsid w:val="001874E1"/>
    <w:rsid w:val="00190C06"/>
    <w:rsid w:val="00190E10"/>
    <w:rsid w:val="00192AB5"/>
    <w:rsid w:val="001933A7"/>
    <w:rsid w:val="00195011"/>
    <w:rsid w:val="001A0BF3"/>
    <w:rsid w:val="001A3044"/>
    <w:rsid w:val="001A3C82"/>
    <w:rsid w:val="001A4DF7"/>
    <w:rsid w:val="001A6D60"/>
    <w:rsid w:val="001A7731"/>
    <w:rsid w:val="001B1517"/>
    <w:rsid w:val="001B28E1"/>
    <w:rsid w:val="001B38B8"/>
    <w:rsid w:val="001B6DD5"/>
    <w:rsid w:val="001B7128"/>
    <w:rsid w:val="001B777C"/>
    <w:rsid w:val="001C4528"/>
    <w:rsid w:val="001C4DB3"/>
    <w:rsid w:val="001D5F2C"/>
    <w:rsid w:val="001D798A"/>
    <w:rsid w:val="001E3829"/>
    <w:rsid w:val="001E4486"/>
    <w:rsid w:val="001E50A6"/>
    <w:rsid w:val="001E5C2C"/>
    <w:rsid w:val="001E7802"/>
    <w:rsid w:val="001E79AE"/>
    <w:rsid w:val="001F1373"/>
    <w:rsid w:val="001F1E9B"/>
    <w:rsid w:val="001F2683"/>
    <w:rsid w:val="001F656C"/>
    <w:rsid w:val="001F79F2"/>
    <w:rsid w:val="001F7ED1"/>
    <w:rsid w:val="002005CB"/>
    <w:rsid w:val="00200B11"/>
    <w:rsid w:val="00200DC2"/>
    <w:rsid w:val="0020495D"/>
    <w:rsid w:val="00205CCD"/>
    <w:rsid w:val="00210058"/>
    <w:rsid w:val="00212082"/>
    <w:rsid w:val="00212EAF"/>
    <w:rsid w:val="00217899"/>
    <w:rsid w:val="002207B1"/>
    <w:rsid w:val="00221F9E"/>
    <w:rsid w:val="0022208F"/>
    <w:rsid w:val="00224230"/>
    <w:rsid w:val="00232338"/>
    <w:rsid w:val="0023248F"/>
    <w:rsid w:val="0023633A"/>
    <w:rsid w:val="00236994"/>
    <w:rsid w:val="00236B67"/>
    <w:rsid w:val="00241408"/>
    <w:rsid w:val="00241458"/>
    <w:rsid w:val="00242896"/>
    <w:rsid w:val="00243F38"/>
    <w:rsid w:val="00244E11"/>
    <w:rsid w:val="00250252"/>
    <w:rsid w:val="00253481"/>
    <w:rsid w:val="00253F8E"/>
    <w:rsid w:val="00254129"/>
    <w:rsid w:val="0025444C"/>
    <w:rsid w:val="002558BB"/>
    <w:rsid w:val="00255910"/>
    <w:rsid w:val="002560FB"/>
    <w:rsid w:val="00256EF4"/>
    <w:rsid w:val="00256F00"/>
    <w:rsid w:val="002629C6"/>
    <w:rsid w:val="002635A2"/>
    <w:rsid w:val="002646F7"/>
    <w:rsid w:val="002649FA"/>
    <w:rsid w:val="002666F3"/>
    <w:rsid w:val="0026671F"/>
    <w:rsid w:val="002676C6"/>
    <w:rsid w:val="00267E0E"/>
    <w:rsid w:val="00267FBD"/>
    <w:rsid w:val="002701A7"/>
    <w:rsid w:val="0027024B"/>
    <w:rsid w:val="00270693"/>
    <w:rsid w:val="00273FFF"/>
    <w:rsid w:val="00274BBF"/>
    <w:rsid w:val="00275E7D"/>
    <w:rsid w:val="0028440D"/>
    <w:rsid w:val="0028497A"/>
    <w:rsid w:val="00285BA1"/>
    <w:rsid w:val="002860C3"/>
    <w:rsid w:val="00286807"/>
    <w:rsid w:val="00292EA1"/>
    <w:rsid w:val="00293D38"/>
    <w:rsid w:val="00295192"/>
    <w:rsid w:val="00295C62"/>
    <w:rsid w:val="0029617F"/>
    <w:rsid w:val="00296288"/>
    <w:rsid w:val="00297CA8"/>
    <w:rsid w:val="00297CAB"/>
    <w:rsid w:val="002A0322"/>
    <w:rsid w:val="002A11DF"/>
    <w:rsid w:val="002A1516"/>
    <w:rsid w:val="002A3260"/>
    <w:rsid w:val="002A5560"/>
    <w:rsid w:val="002A67C3"/>
    <w:rsid w:val="002A784E"/>
    <w:rsid w:val="002B1234"/>
    <w:rsid w:val="002B145F"/>
    <w:rsid w:val="002B3753"/>
    <w:rsid w:val="002B39CF"/>
    <w:rsid w:val="002B6299"/>
    <w:rsid w:val="002B7247"/>
    <w:rsid w:val="002B7501"/>
    <w:rsid w:val="002B7576"/>
    <w:rsid w:val="002C3F12"/>
    <w:rsid w:val="002C548B"/>
    <w:rsid w:val="002C7183"/>
    <w:rsid w:val="002D0B56"/>
    <w:rsid w:val="002D3DBA"/>
    <w:rsid w:val="002D61F2"/>
    <w:rsid w:val="002D670B"/>
    <w:rsid w:val="002D7183"/>
    <w:rsid w:val="002D74FA"/>
    <w:rsid w:val="002E0233"/>
    <w:rsid w:val="002E1AF6"/>
    <w:rsid w:val="002E1F9B"/>
    <w:rsid w:val="002E51C7"/>
    <w:rsid w:val="002E6E1E"/>
    <w:rsid w:val="002E6F57"/>
    <w:rsid w:val="002F0AE9"/>
    <w:rsid w:val="002F2796"/>
    <w:rsid w:val="002F2E06"/>
    <w:rsid w:val="002F3443"/>
    <w:rsid w:val="002F530A"/>
    <w:rsid w:val="002F71CA"/>
    <w:rsid w:val="00300BE6"/>
    <w:rsid w:val="00300EBA"/>
    <w:rsid w:val="00300EDD"/>
    <w:rsid w:val="00301329"/>
    <w:rsid w:val="00305AAD"/>
    <w:rsid w:val="00307EDA"/>
    <w:rsid w:val="0031426E"/>
    <w:rsid w:val="00314860"/>
    <w:rsid w:val="0032150C"/>
    <w:rsid w:val="00321ABE"/>
    <w:rsid w:val="00321C8E"/>
    <w:rsid w:val="0032222E"/>
    <w:rsid w:val="003223C3"/>
    <w:rsid w:val="003242B9"/>
    <w:rsid w:val="0032713D"/>
    <w:rsid w:val="00335301"/>
    <w:rsid w:val="0033542B"/>
    <w:rsid w:val="00336417"/>
    <w:rsid w:val="00342771"/>
    <w:rsid w:val="00344CE2"/>
    <w:rsid w:val="00345487"/>
    <w:rsid w:val="00345549"/>
    <w:rsid w:val="00345FD8"/>
    <w:rsid w:val="003505E0"/>
    <w:rsid w:val="00351C49"/>
    <w:rsid w:val="00352B1C"/>
    <w:rsid w:val="00354593"/>
    <w:rsid w:val="00355C6B"/>
    <w:rsid w:val="00356CAA"/>
    <w:rsid w:val="00361E14"/>
    <w:rsid w:val="00362AA9"/>
    <w:rsid w:val="00363837"/>
    <w:rsid w:val="003648B2"/>
    <w:rsid w:val="00365258"/>
    <w:rsid w:val="00367DE6"/>
    <w:rsid w:val="00370BE5"/>
    <w:rsid w:val="003716BB"/>
    <w:rsid w:val="00371A10"/>
    <w:rsid w:val="00372432"/>
    <w:rsid w:val="00373AC2"/>
    <w:rsid w:val="00373F51"/>
    <w:rsid w:val="00381280"/>
    <w:rsid w:val="00381846"/>
    <w:rsid w:val="00384EAC"/>
    <w:rsid w:val="00386440"/>
    <w:rsid w:val="003903BB"/>
    <w:rsid w:val="0039045C"/>
    <w:rsid w:val="003920A6"/>
    <w:rsid w:val="003930FA"/>
    <w:rsid w:val="0039636E"/>
    <w:rsid w:val="0039669A"/>
    <w:rsid w:val="003A2282"/>
    <w:rsid w:val="003A284E"/>
    <w:rsid w:val="003A3C34"/>
    <w:rsid w:val="003A7FD1"/>
    <w:rsid w:val="003B285F"/>
    <w:rsid w:val="003B504C"/>
    <w:rsid w:val="003B5C3F"/>
    <w:rsid w:val="003C2FBC"/>
    <w:rsid w:val="003C41ED"/>
    <w:rsid w:val="003C4446"/>
    <w:rsid w:val="003D0239"/>
    <w:rsid w:val="003D27AE"/>
    <w:rsid w:val="003D5879"/>
    <w:rsid w:val="003D66BC"/>
    <w:rsid w:val="003D7D74"/>
    <w:rsid w:val="003E07A5"/>
    <w:rsid w:val="003E17D4"/>
    <w:rsid w:val="003E20DA"/>
    <w:rsid w:val="003E3B7F"/>
    <w:rsid w:val="003F01B1"/>
    <w:rsid w:val="003F5E69"/>
    <w:rsid w:val="003F6EE4"/>
    <w:rsid w:val="00400069"/>
    <w:rsid w:val="0040168D"/>
    <w:rsid w:val="00401968"/>
    <w:rsid w:val="00401A90"/>
    <w:rsid w:val="00402FA4"/>
    <w:rsid w:val="004052A2"/>
    <w:rsid w:val="00405FBE"/>
    <w:rsid w:val="004065D5"/>
    <w:rsid w:val="0041024D"/>
    <w:rsid w:val="004144C5"/>
    <w:rsid w:val="0041572B"/>
    <w:rsid w:val="00415D10"/>
    <w:rsid w:val="004161A9"/>
    <w:rsid w:val="0041629A"/>
    <w:rsid w:val="00417B00"/>
    <w:rsid w:val="00423DD1"/>
    <w:rsid w:val="00424E2A"/>
    <w:rsid w:val="00425EBF"/>
    <w:rsid w:val="00431BEB"/>
    <w:rsid w:val="00433DF6"/>
    <w:rsid w:val="00434942"/>
    <w:rsid w:val="00435A66"/>
    <w:rsid w:val="004362EB"/>
    <w:rsid w:val="00437FE0"/>
    <w:rsid w:val="004418B3"/>
    <w:rsid w:val="004429BC"/>
    <w:rsid w:val="004434E3"/>
    <w:rsid w:val="00443CE4"/>
    <w:rsid w:val="00443EF2"/>
    <w:rsid w:val="0044536E"/>
    <w:rsid w:val="004508F5"/>
    <w:rsid w:val="00451E10"/>
    <w:rsid w:val="0045218C"/>
    <w:rsid w:val="004530F7"/>
    <w:rsid w:val="0045422A"/>
    <w:rsid w:val="0046046A"/>
    <w:rsid w:val="004617E1"/>
    <w:rsid w:val="00462AF1"/>
    <w:rsid w:val="00463882"/>
    <w:rsid w:val="004638F1"/>
    <w:rsid w:val="00463DE7"/>
    <w:rsid w:val="00466D9A"/>
    <w:rsid w:val="00470C00"/>
    <w:rsid w:val="00482795"/>
    <w:rsid w:val="00482E9A"/>
    <w:rsid w:val="00483988"/>
    <w:rsid w:val="00483D12"/>
    <w:rsid w:val="00485A53"/>
    <w:rsid w:val="00485FF3"/>
    <w:rsid w:val="00490604"/>
    <w:rsid w:val="00491AC7"/>
    <w:rsid w:val="004922B5"/>
    <w:rsid w:val="004938AD"/>
    <w:rsid w:val="00496ADD"/>
    <w:rsid w:val="00497176"/>
    <w:rsid w:val="004A1E80"/>
    <w:rsid w:val="004A2440"/>
    <w:rsid w:val="004A3AA9"/>
    <w:rsid w:val="004A457B"/>
    <w:rsid w:val="004A4955"/>
    <w:rsid w:val="004A50BA"/>
    <w:rsid w:val="004A6DED"/>
    <w:rsid w:val="004A6EEE"/>
    <w:rsid w:val="004B1274"/>
    <w:rsid w:val="004B2178"/>
    <w:rsid w:val="004B2AE4"/>
    <w:rsid w:val="004B2AFB"/>
    <w:rsid w:val="004B3389"/>
    <w:rsid w:val="004B3A5D"/>
    <w:rsid w:val="004C0AFB"/>
    <w:rsid w:val="004C2004"/>
    <w:rsid w:val="004C272F"/>
    <w:rsid w:val="004C2DB4"/>
    <w:rsid w:val="004C3163"/>
    <w:rsid w:val="004C75E3"/>
    <w:rsid w:val="004D1F75"/>
    <w:rsid w:val="004D2849"/>
    <w:rsid w:val="004D5880"/>
    <w:rsid w:val="004D6BCF"/>
    <w:rsid w:val="004D6CA8"/>
    <w:rsid w:val="004D792D"/>
    <w:rsid w:val="004E161C"/>
    <w:rsid w:val="004E2983"/>
    <w:rsid w:val="004E2E72"/>
    <w:rsid w:val="004E3065"/>
    <w:rsid w:val="004E3A01"/>
    <w:rsid w:val="004E4489"/>
    <w:rsid w:val="004E4FF1"/>
    <w:rsid w:val="004E6C66"/>
    <w:rsid w:val="004F086E"/>
    <w:rsid w:val="004F1122"/>
    <w:rsid w:val="004F42CE"/>
    <w:rsid w:val="004F6277"/>
    <w:rsid w:val="004F654F"/>
    <w:rsid w:val="004F69D6"/>
    <w:rsid w:val="004F7EF0"/>
    <w:rsid w:val="00500621"/>
    <w:rsid w:val="00502D80"/>
    <w:rsid w:val="00504059"/>
    <w:rsid w:val="00504B9B"/>
    <w:rsid w:val="00514893"/>
    <w:rsid w:val="00516686"/>
    <w:rsid w:val="00516764"/>
    <w:rsid w:val="005168E7"/>
    <w:rsid w:val="00516CE4"/>
    <w:rsid w:val="00521A6D"/>
    <w:rsid w:val="005220FB"/>
    <w:rsid w:val="005316B8"/>
    <w:rsid w:val="00533DF4"/>
    <w:rsid w:val="00536D5E"/>
    <w:rsid w:val="00542DB5"/>
    <w:rsid w:val="005476AD"/>
    <w:rsid w:val="00547A18"/>
    <w:rsid w:val="00551271"/>
    <w:rsid w:val="005532F8"/>
    <w:rsid w:val="00553DF0"/>
    <w:rsid w:val="005544AA"/>
    <w:rsid w:val="005548DD"/>
    <w:rsid w:val="005601DE"/>
    <w:rsid w:val="00561BDC"/>
    <w:rsid w:val="005624D3"/>
    <w:rsid w:val="0056315F"/>
    <w:rsid w:val="0056341D"/>
    <w:rsid w:val="00564BF5"/>
    <w:rsid w:val="00564D8C"/>
    <w:rsid w:val="00565091"/>
    <w:rsid w:val="005650C2"/>
    <w:rsid w:val="00567456"/>
    <w:rsid w:val="005678CA"/>
    <w:rsid w:val="0057536C"/>
    <w:rsid w:val="005771F8"/>
    <w:rsid w:val="005857C5"/>
    <w:rsid w:val="00587DF3"/>
    <w:rsid w:val="005903B0"/>
    <w:rsid w:val="00592809"/>
    <w:rsid w:val="00592D1E"/>
    <w:rsid w:val="00592D5A"/>
    <w:rsid w:val="00596660"/>
    <w:rsid w:val="005967A0"/>
    <w:rsid w:val="00596F13"/>
    <w:rsid w:val="00597920"/>
    <w:rsid w:val="005A0F4C"/>
    <w:rsid w:val="005A2046"/>
    <w:rsid w:val="005A2067"/>
    <w:rsid w:val="005A2C68"/>
    <w:rsid w:val="005A3FB9"/>
    <w:rsid w:val="005A50FD"/>
    <w:rsid w:val="005A7856"/>
    <w:rsid w:val="005B1614"/>
    <w:rsid w:val="005B48AA"/>
    <w:rsid w:val="005B6579"/>
    <w:rsid w:val="005B69FD"/>
    <w:rsid w:val="005B7E91"/>
    <w:rsid w:val="005C0999"/>
    <w:rsid w:val="005C15A6"/>
    <w:rsid w:val="005C1ECA"/>
    <w:rsid w:val="005C31D0"/>
    <w:rsid w:val="005C38BF"/>
    <w:rsid w:val="005C4205"/>
    <w:rsid w:val="005C50D1"/>
    <w:rsid w:val="005C5353"/>
    <w:rsid w:val="005C56CA"/>
    <w:rsid w:val="005D3075"/>
    <w:rsid w:val="005D3F93"/>
    <w:rsid w:val="005D41F2"/>
    <w:rsid w:val="005D7C2D"/>
    <w:rsid w:val="005E09A4"/>
    <w:rsid w:val="005F215C"/>
    <w:rsid w:val="005F42C3"/>
    <w:rsid w:val="005F6571"/>
    <w:rsid w:val="005F6701"/>
    <w:rsid w:val="005F6F4A"/>
    <w:rsid w:val="005F7329"/>
    <w:rsid w:val="00601230"/>
    <w:rsid w:val="00602028"/>
    <w:rsid w:val="006025C8"/>
    <w:rsid w:val="00604D3D"/>
    <w:rsid w:val="00605278"/>
    <w:rsid w:val="00605ADA"/>
    <w:rsid w:val="00607636"/>
    <w:rsid w:val="00610ECA"/>
    <w:rsid w:val="0061206F"/>
    <w:rsid w:val="00613E19"/>
    <w:rsid w:val="0061540C"/>
    <w:rsid w:val="00615FAA"/>
    <w:rsid w:val="0061721B"/>
    <w:rsid w:val="00622F3F"/>
    <w:rsid w:val="00622FA2"/>
    <w:rsid w:val="0062311E"/>
    <w:rsid w:val="00627515"/>
    <w:rsid w:val="00630032"/>
    <w:rsid w:val="00630104"/>
    <w:rsid w:val="00632652"/>
    <w:rsid w:val="00632D1B"/>
    <w:rsid w:val="00632E32"/>
    <w:rsid w:val="00632FB1"/>
    <w:rsid w:val="006336F9"/>
    <w:rsid w:val="00633F7D"/>
    <w:rsid w:val="00635320"/>
    <w:rsid w:val="006365F2"/>
    <w:rsid w:val="00637E54"/>
    <w:rsid w:val="006401B7"/>
    <w:rsid w:val="00642702"/>
    <w:rsid w:val="00642B03"/>
    <w:rsid w:val="00642F5B"/>
    <w:rsid w:val="00643877"/>
    <w:rsid w:val="00644A4E"/>
    <w:rsid w:val="00644FEB"/>
    <w:rsid w:val="00646908"/>
    <w:rsid w:val="00646F2A"/>
    <w:rsid w:val="00647988"/>
    <w:rsid w:val="00653C6B"/>
    <w:rsid w:val="00654CDF"/>
    <w:rsid w:val="006561D9"/>
    <w:rsid w:val="00656C05"/>
    <w:rsid w:val="00657109"/>
    <w:rsid w:val="006573F5"/>
    <w:rsid w:val="00657B0B"/>
    <w:rsid w:val="006612A8"/>
    <w:rsid w:val="006649A4"/>
    <w:rsid w:val="00665225"/>
    <w:rsid w:val="00667FAA"/>
    <w:rsid w:val="00671611"/>
    <w:rsid w:val="0067241D"/>
    <w:rsid w:val="00673105"/>
    <w:rsid w:val="0067400A"/>
    <w:rsid w:val="00680277"/>
    <w:rsid w:val="006814F9"/>
    <w:rsid w:val="006816B0"/>
    <w:rsid w:val="00681FFB"/>
    <w:rsid w:val="006846D0"/>
    <w:rsid w:val="006871A4"/>
    <w:rsid w:val="00690508"/>
    <w:rsid w:val="00690849"/>
    <w:rsid w:val="00692CFF"/>
    <w:rsid w:val="00694137"/>
    <w:rsid w:val="0069565A"/>
    <w:rsid w:val="006A2BA6"/>
    <w:rsid w:val="006A45CD"/>
    <w:rsid w:val="006A4C0B"/>
    <w:rsid w:val="006A6A1D"/>
    <w:rsid w:val="006A7C8D"/>
    <w:rsid w:val="006B0133"/>
    <w:rsid w:val="006B0931"/>
    <w:rsid w:val="006B1411"/>
    <w:rsid w:val="006B2C07"/>
    <w:rsid w:val="006B7DD7"/>
    <w:rsid w:val="006C0829"/>
    <w:rsid w:val="006C23A1"/>
    <w:rsid w:val="006C23B4"/>
    <w:rsid w:val="006C2713"/>
    <w:rsid w:val="006C2C86"/>
    <w:rsid w:val="006C50F4"/>
    <w:rsid w:val="006C5241"/>
    <w:rsid w:val="006C59F8"/>
    <w:rsid w:val="006C6B72"/>
    <w:rsid w:val="006C7199"/>
    <w:rsid w:val="006C77E3"/>
    <w:rsid w:val="006D032B"/>
    <w:rsid w:val="006D1DD5"/>
    <w:rsid w:val="006D56FA"/>
    <w:rsid w:val="006D6D04"/>
    <w:rsid w:val="006E7AF7"/>
    <w:rsid w:val="006F0606"/>
    <w:rsid w:val="006F22B5"/>
    <w:rsid w:val="006F35AA"/>
    <w:rsid w:val="006F39D3"/>
    <w:rsid w:val="006F4631"/>
    <w:rsid w:val="006F5B2F"/>
    <w:rsid w:val="006F5D1B"/>
    <w:rsid w:val="006F72DC"/>
    <w:rsid w:val="007006CC"/>
    <w:rsid w:val="00701057"/>
    <w:rsid w:val="00702484"/>
    <w:rsid w:val="00703298"/>
    <w:rsid w:val="00703C2A"/>
    <w:rsid w:val="00705DFD"/>
    <w:rsid w:val="00705EAC"/>
    <w:rsid w:val="0070608A"/>
    <w:rsid w:val="00710E79"/>
    <w:rsid w:val="0071190B"/>
    <w:rsid w:val="00712528"/>
    <w:rsid w:val="007133CC"/>
    <w:rsid w:val="00713532"/>
    <w:rsid w:val="0071461E"/>
    <w:rsid w:val="007152A0"/>
    <w:rsid w:val="0071586A"/>
    <w:rsid w:val="00715F3F"/>
    <w:rsid w:val="00716DC0"/>
    <w:rsid w:val="00717420"/>
    <w:rsid w:val="007177F8"/>
    <w:rsid w:val="00720E7B"/>
    <w:rsid w:val="0072128A"/>
    <w:rsid w:val="007214B1"/>
    <w:rsid w:val="007236A4"/>
    <w:rsid w:val="00723763"/>
    <w:rsid w:val="00727014"/>
    <w:rsid w:val="00727084"/>
    <w:rsid w:val="00727965"/>
    <w:rsid w:val="00730715"/>
    <w:rsid w:val="0073083C"/>
    <w:rsid w:val="007315C3"/>
    <w:rsid w:val="00731FDB"/>
    <w:rsid w:val="007338B9"/>
    <w:rsid w:val="0073577C"/>
    <w:rsid w:val="00736C3E"/>
    <w:rsid w:val="00740D76"/>
    <w:rsid w:val="00741776"/>
    <w:rsid w:val="00741BCD"/>
    <w:rsid w:val="00742803"/>
    <w:rsid w:val="00743430"/>
    <w:rsid w:val="0074673D"/>
    <w:rsid w:val="007478FC"/>
    <w:rsid w:val="00752B97"/>
    <w:rsid w:val="00755DF6"/>
    <w:rsid w:val="0075727F"/>
    <w:rsid w:val="007615DF"/>
    <w:rsid w:val="00761F0A"/>
    <w:rsid w:val="007640DC"/>
    <w:rsid w:val="00765C2D"/>
    <w:rsid w:val="00771D28"/>
    <w:rsid w:val="007721FE"/>
    <w:rsid w:val="0077229C"/>
    <w:rsid w:val="0077326F"/>
    <w:rsid w:val="00774947"/>
    <w:rsid w:val="0077535F"/>
    <w:rsid w:val="00776D63"/>
    <w:rsid w:val="007771A7"/>
    <w:rsid w:val="00780854"/>
    <w:rsid w:val="00781CE1"/>
    <w:rsid w:val="007827FF"/>
    <w:rsid w:val="00784B24"/>
    <w:rsid w:val="007876C8"/>
    <w:rsid w:val="00793513"/>
    <w:rsid w:val="007943BF"/>
    <w:rsid w:val="00794E53"/>
    <w:rsid w:val="00796751"/>
    <w:rsid w:val="00797AAB"/>
    <w:rsid w:val="007A22CF"/>
    <w:rsid w:val="007A2411"/>
    <w:rsid w:val="007A28F2"/>
    <w:rsid w:val="007A626A"/>
    <w:rsid w:val="007B0670"/>
    <w:rsid w:val="007B0B76"/>
    <w:rsid w:val="007B102C"/>
    <w:rsid w:val="007B1884"/>
    <w:rsid w:val="007B32EF"/>
    <w:rsid w:val="007B3DC7"/>
    <w:rsid w:val="007B4647"/>
    <w:rsid w:val="007B5865"/>
    <w:rsid w:val="007B6299"/>
    <w:rsid w:val="007C13CA"/>
    <w:rsid w:val="007C2707"/>
    <w:rsid w:val="007C3333"/>
    <w:rsid w:val="007C344E"/>
    <w:rsid w:val="007C4445"/>
    <w:rsid w:val="007C6E00"/>
    <w:rsid w:val="007C7389"/>
    <w:rsid w:val="007D03DB"/>
    <w:rsid w:val="007D1B29"/>
    <w:rsid w:val="007D2586"/>
    <w:rsid w:val="007D2AD7"/>
    <w:rsid w:val="007D2DD6"/>
    <w:rsid w:val="007D31D7"/>
    <w:rsid w:val="007D424E"/>
    <w:rsid w:val="007D4C4D"/>
    <w:rsid w:val="007D6FF9"/>
    <w:rsid w:val="007D71C8"/>
    <w:rsid w:val="007D7592"/>
    <w:rsid w:val="007D7F61"/>
    <w:rsid w:val="007E1A1A"/>
    <w:rsid w:val="007E435C"/>
    <w:rsid w:val="007E4EAA"/>
    <w:rsid w:val="007E5B2F"/>
    <w:rsid w:val="007E61EE"/>
    <w:rsid w:val="007E6257"/>
    <w:rsid w:val="007E7089"/>
    <w:rsid w:val="007E76FF"/>
    <w:rsid w:val="007F0EF8"/>
    <w:rsid w:val="007F222F"/>
    <w:rsid w:val="007F2699"/>
    <w:rsid w:val="007F3AFD"/>
    <w:rsid w:val="007F3D09"/>
    <w:rsid w:val="007F6290"/>
    <w:rsid w:val="00800602"/>
    <w:rsid w:val="008022C6"/>
    <w:rsid w:val="00802988"/>
    <w:rsid w:val="00803E0F"/>
    <w:rsid w:val="00804A46"/>
    <w:rsid w:val="00807984"/>
    <w:rsid w:val="00812B07"/>
    <w:rsid w:val="0081381C"/>
    <w:rsid w:val="008144FA"/>
    <w:rsid w:val="00815F54"/>
    <w:rsid w:val="008170B2"/>
    <w:rsid w:val="00820163"/>
    <w:rsid w:val="008248C2"/>
    <w:rsid w:val="00825E27"/>
    <w:rsid w:val="008268BB"/>
    <w:rsid w:val="00827FEC"/>
    <w:rsid w:val="008313A8"/>
    <w:rsid w:val="00833DFE"/>
    <w:rsid w:val="00834C85"/>
    <w:rsid w:val="00834DC4"/>
    <w:rsid w:val="00835E41"/>
    <w:rsid w:val="00842ECF"/>
    <w:rsid w:val="00846C42"/>
    <w:rsid w:val="00847CE9"/>
    <w:rsid w:val="008503C6"/>
    <w:rsid w:val="00850697"/>
    <w:rsid w:val="00851439"/>
    <w:rsid w:val="00854593"/>
    <w:rsid w:val="008557A8"/>
    <w:rsid w:val="00856331"/>
    <w:rsid w:val="008604D3"/>
    <w:rsid w:val="00860624"/>
    <w:rsid w:val="008623E1"/>
    <w:rsid w:val="00871856"/>
    <w:rsid w:val="00872A61"/>
    <w:rsid w:val="00873CF0"/>
    <w:rsid w:val="00874CA8"/>
    <w:rsid w:val="00874F05"/>
    <w:rsid w:val="00875F28"/>
    <w:rsid w:val="00876BB0"/>
    <w:rsid w:val="00880EEE"/>
    <w:rsid w:val="00883768"/>
    <w:rsid w:val="00883A90"/>
    <w:rsid w:val="0088756C"/>
    <w:rsid w:val="00887AE9"/>
    <w:rsid w:val="008904D8"/>
    <w:rsid w:val="0089223F"/>
    <w:rsid w:val="008A049C"/>
    <w:rsid w:val="008A1084"/>
    <w:rsid w:val="008A11F6"/>
    <w:rsid w:val="008A1845"/>
    <w:rsid w:val="008A3E58"/>
    <w:rsid w:val="008A7B15"/>
    <w:rsid w:val="008B0332"/>
    <w:rsid w:val="008B0FB2"/>
    <w:rsid w:val="008B2FF9"/>
    <w:rsid w:val="008B34B6"/>
    <w:rsid w:val="008B522C"/>
    <w:rsid w:val="008C6531"/>
    <w:rsid w:val="008C75AB"/>
    <w:rsid w:val="008C7C07"/>
    <w:rsid w:val="008D03A7"/>
    <w:rsid w:val="008D053E"/>
    <w:rsid w:val="008D07AC"/>
    <w:rsid w:val="008D162C"/>
    <w:rsid w:val="008D1B99"/>
    <w:rsid w:val="008D348E"/>
    <w:rsid w:val="008D3C3D"/>
    <w:rsid w:val="008D3CE4"/>
    <w:rsid w:val="008D7C8F"/>
    <w:rsid w:val="008E0085"/>
    <w:rsid w:val="008E07E0"/>
    <w:rsid w:val="008E09C2"/>
    <w:rsid w:val="008E1836"/>
    <w:rsid w:val="008E1AD3"/>
    <w:rsid w:val="008E3F4B"/>
    <w:rsid w:val="008F02B7"/>
    <w:rsid w:val="008F044D"/>
    <w:rsid w:val="008F07A9"/>
    <w:rsid w:val="008F0AEA"/>
    <w:rsid w:val="008F11C4"/>
    <w:rsid w:val="008F1B81"/>
    <w:rsid w:val="008F2560"/>
    <w:rsid w:val="008F288F"/>
    <w:rsid w:val="008F6AA8"/>
    <w:rsid w:val="008F7EB9"/>
    <w:rsid w:val="00900B2F"/>
    <w:rsid w:val="009035A3"/>
    <w:rsid w:val="00903698"/>
    <w:rsid w:val="009040D9"/>
    <w:rsid w:val="00906031"/>
    <w:rsid w:val="00906975"/>
    <w:rsid w:val="0091044B"/>
    <w:rsid w:val="009104C4"/>
    <w:rsid w:val="00910578"/>
    <w:rsid w:val="00910830"/>
    <w:rsid w:val="00911D8D"/>
    <w:rsid w:val="00912729"/>
    <w:rsid w:val="00915143"/>
    <w:rsid w:val="009163F3"/>
    <w:rsid w:val="00917C0A"/>
    <w:rsid w:val="00922878"/>
    <w:rsid w:val="0092365B"/>
    <w:rsid w:val="0092381C"/>
    <w:rsid w:val="009246C2"/>
    <w:rsid w:val="009261FC"/>
    <w:rsid w:val="0092755A"/>
    <w:rsid w:val="00927B21"/>
    <w:rsid w:val="009303CB"/>
    <w:rsid w:val="00930442"/>
    <w:rsid w:val="00931206"/>
    <w:rsid w:val="00931F2E"/>
    <w:rsid w:val="00932A09"/>
    <w:rsid w:val="00932F7C"/>
    <w:rsid w:val="00933BDA"/>
    <w:rsid w:val="009348C3"/>
    <w:rsid w:val="0093594B"/>
    <w:rsid w:val="00935D38"/>
    <w:rsid w:val="009360E4"/>
    <w:rsid w:val="00936544"/>
    <w:rsid w:val="00936F65"/>
    <w:rsid w:val="00940F0B"/>
    <w:rsid w:val="0094136F"/>
    <w:rsid w:val="00944FA9"/>
    <w:rsid w:val="00944FE3"/>
    <w:rsid w:val="00945B69"/>
    <w:rsid w:val="009461B6"/>
    <w:rsid w:val="009517EE"/>
    <w:rsid w:val="0095229E"/>
    <w:rsid w:val="00953745"/>
    <w:rsid w:val="0095410A"/>
    <w:rsid w:val="00955E26"/>
    <w:rsid w:val="0095788E"/>
    <w:rsid w:val="0096037B"/>
    <w:rsid w:val="009606E8"/>
    <w:rsid w:val="00961B06"/>
    <w:rsid w:val="00963F5F"/>
    <w:rsid w:val="00964AA7"/>
    <w:rsid w:val="00965AB7"/>
    <w:rsid w:val="00967822"/>
    <w:rsid w:val="00971F0C"/>
    <w:rsid w:val="00972171"/>
    <w:rsid w:val="00973322"/>
    <w:rsid w:val="00973D9D"/>
    <w:rsid w:val="00973DA6"/>
    <w:rsid w:val="00974494"/>
    <w:rsid w:val="00976A23"/>
    <w:rsid w:val="00976AAB"/>
    <w:rsid w:val="00980BBE"/>
    <w:rsid w:val="0098521E"/>
    <w:rsid w:val="0098531B"/>
    <w:rsid w:val="00986E0C"/>
    <w:rsid w:val="009878A1"/>
    <w:rsid w:val="00987A24"/>
    <w:rsid w:val="0099057C"/>
    <w:rsid w:val="00991A31"/>
    <w:rsid w:val="00994CD6"/>
    <w:rsid w:val="0099789B"/>
    <w:rsid w:val="009979E8"/>
    <w:rsid w:val="009A000E"/>
    <w:rsid w:val="009A0576"/>
    <w:rsid w:val="009A0D5E"/>
    <w:rsid w:val="009A260B"/>
    <w:rsid w:val="009B15A3"/>
    <w:rsid w:val="009B1B92"/>
    <w:rsid w:val="009B2D25"/>
    <w:rsid w:val="009B35D0"/>
    <w:rsid w:val="009B4EB2"/>
    <w:rsid w:val="009B5B46"/>
    <w:rsid w:val="009C05BF"/>
    <w:rsid w:val="009C2117"/>
    <w:rsid w:val="009C2EEB"/>
    <w:rsid w:val="009C3BB9"/>
    <w:rsid w:val="009C3DC8"/>
    <w:rsid w:val="009C4BBB"/>
    <w:rsid w:val="009D4A40"/>
    <w:rsid w:val="009D53E7"/>
    <w:rsid w:val="009D6B05"/>
    <w:rsid w:val="009D7A55"/>
    <w:rsid w:val="009E1099"/>
    <w:rsid w:val="009E1E77"/>
    <w:rsid w:val="009E245D"/>
    <w:rsid w:val="009E27C8"/>
    <w:rsid w:val="009E362B"/>
    <w:rsid w:val="009E5997"/>
    <w:rsid w:val="009E5A12"/>
    <w:rsid w:val="009E71D5"/>
    <w:rsid w:val="009E7601"/>
    <w:rsid w:val="009F1F65"/>
    <w:rsid w:val="00A0017D"/>
    <w:rsid w:val="00A016FC"/>
    <w:rsid w:val="00A02382"/>
    <w:rsid w:val="00A035C3"/>
    <w:rsid w:val="00A057FF"/>
    <w:rsid w:val="00A07386"/>
    <w:rsid w:val="00A10768"/>
    <w:rsid w:val="00A1216A"/>
    <w:rsid w:val="00A145F9"/>
    <w:rsid w:val="00A21198"/>
    <w:rsid w:val="00A21468"/>
    <w:rsid w:val="00A21941"/>
    <w:rsid w:val="00A21BE0"/>
    <w:rsid w:val="00A233C2"/>
    <w:rsid w:val="00A23E62"/>
    <w:rsid w:val="00A25B39"/>
    <w:rsid w:val="00A311B2"/>
    <w:rsid w:val="00A315DA"/>
    <w:rsid w:val="00A3173A"/>
    <w:rsid w:val="00A32054"/>
    <w:rsid w:val="00A32EC1"/>
    <w:rsid w:val="00A34018"/>
    <w:rsid w:val="00A34BD5"/>
    <w:rsid w:val="00A35B4D"/>
    <w:rsid w:val="00A36F50"/>
    <w:rsid w:val="00A41C42"/>
    <w:rsid w:val="00A45A0D"/>
    <w:rsid w:val="00A5013E"/>
    <w:rsid w:val="00A50BDE"/>
    <w:rsid w:val="00A5142E"/>
    <w:rsid w:val="00A55FC7"/>
    <w:rsid w:val="00A56369"/>
    <w:rsid w:val="00A5747D"/>
    <w:rsid w:val="00A66613"/>
    <w:rsid w:val="00A70B78"/>
    <w:rsid w:val="00A732BB"/>
    <w:rsid w:val="00A7674A"/>
    <w:rsid w:val="00A770ED"/>
    <w:rsid w:val="00A7748B"/>
    <w:rsid w:val="00A776C9"/>
    <w:rsid w:val="00A81FBC"/>
    <w:rsid w:val="00A82277"/>
    <w:rsid w:val="00A845A4"/>
    <w:rsid w:val="00A85443"/>
    <w:rsid w:val="00A87FC2"/>
    <w:rsid w:val="00A901FC"/>
    <w:rsid w:val="00A956A4"/>
    <w:rsid w:val="00A95EC2"/>
    <w:rsid w:val="00A96E5B"/>
    <w:rsid w:val="00AA03A9"/>
    <w:rsid w:val="00AA0C93"/>
    <w:rsid w:val="00AB0872"/>
    <w:rsid w:val="00AB24F6"/>
    <w:rsid w:val="00AB27A6"/>
    <w:rsid w:val="00AB2EAA"/>
    <w:rsid w:val="00AB3165"/>
    <w:rsid w:val="00AB3DB2"/>
    <w:rsid w:val="00AB5410"/>
    <w:rsid w:val="00AB55DB"/>
    <w:rsid w:val="00AB7E6B"/>
    <w:rsid w:val="00AC1E87"/>
    <w:rsid w:val="00AC2688"/>
    <w:rsid w:val="00AC282A"/>
    <w:rsid w:val="00AC2F7E"/>
    <w:rsid w:val="00AC4E6E"/>
    <w:rsid w:val="00AC53A0"/>
    <w:rsid w:val="00AD1C6F"/>
    <w:rsid w:val="00AD304D"/>
    <w:rsid w:val="00AD33D1"/>
    <w:rsid w:val="00AD405B"/>
    <w:rsid w:val="00AD47ED"/>
    <w:rsid w:val="00AD5561"/>
    <w:rsid w:val="00AD736F"/>
    <w:rsid w:val="00AD7E89"/>
    <w:rsid w:val="00AE3C26"/>
    <w:rsid w:val="00AE5EF0"/>
    <w:rsid w:val="00AF1B94"/>
    <w:rsid w:val="00AF2F28"/>
    <w:rsid w:val="00AF3797"/>
    <w:rsid w:val="00AF4353"/>
    <w:rsid w:val="00AF45E9"/>
    <w:rsid w:val="00AF4FC9"/>
    <w:rsid w:val="00AF5A74"/>
    <w:rsid w:val="00AF6A56"/>
    <w:rsid w:val="00B00363"/>
    <w:rsid w:val="00B05F22"/>
    <w:rsid w:val="00B066BA"/>
    <w:rsid w:val="00B107BF"/>
    <w:rsid w:val="00B12999"/>
    <w:rsid w:val="00B16BFB"/>
    <w:rsid w:val="00B17709"/>
    <w:rsid w:val="00B17A25"/>
    <w:rsid w:val="00B17CFE"/>
    <w:rsid w:val="00B20936"/>
    <w:rsid w:val="00B20FFE"/>
    <w:rsid w:val="00B215B0"/>
    <w:rsid w:val="00B240C7"/>
    <w:rsid w:val="00B259E9"/>
    <w:rsid w:val="00B26566"/>
    <w:rsid w:val="00B2661D"/>
    <w:rsid w:val="00B31650"/>
    <w:rsid w:val="00B32021"/>
    <w:rsid w:val="00B320AC"/>
    <w:rsid w:val="00B3422A"/>
    <w:rsid w:val="00B34EA9"/>
    <w:rsid w:val="00B35226"/>
    <w:rsid w:val="00B352C1"/>
    <w:rsid w:val="00B36191"/>
    <w:rsid w:val="00B40A28"/>
    <w:rsid w:val="00B43EC8"/>
    <w:rsid w:val="00B448A6"/>
    <w:rsid w:val="00B4621F"/>
    <w:rsid w:val="00B47782"/>
    <w:rsid w:val="00B50187"/>
    <w:rsid w:val="00B532EF"/>
    <w:rsid w:val="00B55D6C"/>
    <w:rsid w:val="00B57FFD"/>
    <w:rsid w:val="00B604A2"/>
    <w:rsid w:val="00B637F8"/>
    <w:rsid w:val="00B670A9"/>
    <w:rsid w:val="00B67E1C"/>
    <w:rsid w:val="00B7203D"/>
    <w:rsid w:val="00B73C42"/>
    <w:rsid w:val="00B7469C"/>
    <w:rsid w:val="00B747AF"/>
    <w:rsid w:val="00B7692F"/>
    <w:rsid w:val="00B77BE0"/>
    <w:rsid w:val="00B804B2"/>
    <w:rsid w:val="00B82483"/>
    <w:rsid w:val="00B8254C"/>
    <w:rsid w:val="00B83136"/>
    <w:rsid w:val="00B8418D"/>
    <w:rsid w:val="00B84202"/>
    <w:rsid w:val="00B851F6"/>
    <w:rsid w:val="00B85662"/>
    <w:rsid w:val="00B85E61"/>
    <w:rsid w:val="00B86D3E"/>
    <w:rsid w:val="00B90594"/>
    <w:rsid w:val="00B906F6"/>
    <w:rsid w:val="00B90738"/>
    <w:rsid w:val="00B910BB"/>
    <w:rsid w:val="00B9319E"/>
    <w:rsid w:val="00B942A2"/>
    <w:rsid w:val="00B94867"/>
    <w:rsid w:val="00B95643"/>
    <w:rsid w:val="00B95E42"/>
    <w:rsid w:val="00B9671A"/>
    <w:rsid w:val="00BA118B"/>
    <w:rsid w:val="00BA4B13"/>
    <w:rsid w:val="00BA4CE4"/>
    <w:rsid w:val="00BB156B"/>
    <w:rsid w:val="00BB26CB"/>
    <w:rsid w:val="00BB7277"/>
    <w:rsid w:val="00BC060B"/>
    <w:rsid w:val="00BC108F"/>
    <w:rsid w:val="00BC10A9"/>
    <w:rsid w:val="00BC46AC"/>
    <w:rsid w:val="00BC5AC5"/>
    <w:rsid w:val="00BC5EF0"/>
    <w:rsid w:val="00BC638F"/>
    <w:rsid w:val="00BC7CEC"/>
    <w:rsid w:val="00BD093D"/>
    <w:rsid w:val="00BD1FC5"/>
    <w:rsid w:val="00BD20B3"/>
    <w:rsid w:val="00BD2276"/>
    <w:rsid w:val="00BE1696"/>
    <w:rsid w:val="00BE4EE3"/>
    <w:rsid w:val="00BE6C5C"/>
    <w:rsid w:val="00C07AF7"/>
    <w:rsid w:val="00C10646"/>
    <w:rsid w:val="00C10945"/>
    <w:rsid w:val="00C10C55"/>
    <w:rsid w:val="00C149A4"/>
    <w:rsid w:val="00C15BD7"/>
    <w:rsid w:val="00C15C81"/>
    <w:rsid w:val="00C17A54"/>
    <w:rsid w:val="00C207CF"/>
    <w:rsid w:val="00C22A31"/>
    <w:rsid w:val="00C23E1C"/>
    <w:rsid w:val="00C27F75"/>
    <w:rsid w:val="00C3182C"/>
    <w:rsid w:val="00C31834"/>
    <w:rsid w:val="00C31E82"/>
    <w:rsid w:val="00C32DAC"/>
    <w:rsid w:val="00C3319E"/>
    <w:rsid w:val="00C337EE"/>
    <w:rsid w:val="00C33D17"/>
    <w:rsid w:val="00C33DCF"/>
    <w:rsid w:val="00C35ABB"/>
    <w:rsid w:val="00C36273"/>
    <w:rsid w:val="00C415E2"/>
    <w:rsid w:val="00C41E93"/>
    <w:rsid w:val="00C4364B"/>
    <w:rsid w:val="00C43F8E"/>
    <w:rsid w:val="00C44FFA"/>
    <w:rsid w:val="00C45568"/>
    <w:rsid w:val="00C46DC8"/>
    <w:rsid w:val="00C501C2"/>
    <w:rsid w:val="00C539B3"/>
    <w:rsid w:val="00C541CA"/>
    <w:rsid w:val="00C544C1"/>
    <w:rsid w:val="00C553B4"/>
    <w:rsid w:val="00C63B5D"/>
    <w:rsid w:val="00C64B5A"/>
    <w:rsid w:val="00C65BE6"/>
    <w:rsid w:val="00C726F2"/>
    <w:rsid w:val="00C7472A"/>
    <w:rsid w:val="00C748FC"/>
    <w:rsid w:val="00C769A1"/>
    <w:rsid w:val="00C806ED"/>
    <w:rsid w:val="00C81F57"/>
    <w:rsid w:val="00C83FFC"/>
    <w:rsid w:val="00C8598F"/>
    <w:rsid w:val="00C92985"/>
    <w:rsid w:val="00C92E72"/>
    <w:rsid w:val="00C9422B"/>
    <w:rsid w:val="00C94D20"/>
    <w:rsid w:val="00C94E97"/>
    <w:rsid w:val="00C96E5A"/>
    <w:rsid w:val="00C9718A"/>
    <w:rsid w:val="00C975B5"/>
    <w:rsid w:val="00CA0CF6"/>
    <w:rsid w:val="00CA0DB6"/>
    <w:rsid w:val="00CA22BC"/>
    <w:rsid w:val="00CA3C64"/>
    <w:rsid w:val="00CA4565"/>
    <w:rsid w:val="00CA4CB2"/>
    <w:rsid w:val="00CA74A9"/>
    <w:rsid w:val="00CB2AFC"/>
    <w:rsid w:val="00CB351A"/>
    <w:rsid w:val="00CB7AF4"/>
    <w:rsid w:val="00CC10AC"/>
    <w:rsid w:val="00CC1ACD"/>
    <w:rsid w:val="00CC335A"/>
    <w:rsid w:val="00CC3544"/>
    <w:rsid w:val="00CC3ACC"/>
    <w:rsid w:val="00CC41B6"/>
    <w:rsid w:val="00CC4332"/>
    <w:rsid w:val="00CC6E7C"/>
    <w:rsid w:val="00CC73CF"/>
    <w:rsid w:val="00CC756B"/>
    <w:rsid w:val="00CC7786"/>
    <w:rsid w:val="00CD0FEF"/>
    <w:rsid w:val="00CD4116"/>
    <w:rsid w:val="00CD76BA"/>
    <w:rsid w:val="00CE02A2"/>
    <w:rsid w:val="00CE0ABF"/>
    <w:rsid w:val="00CE34D4"/>
    <w:rsid w:val="00CE5F80"/>
    <w:rsid w:val="00CE6CA7"/>
    <w:rsid w:val="00CF0612"/>
    <w:rsid w:val="00CF0EF8"/>
    <w:rsid w:val="00CF239D"/>
    <w:rsid w:val="00CF2F77"/>
    <w:rsid w:val="00CF3454"/>
    <w:rsid w:val="00CF3CBE"/>
    <w:rsid w:val="00CF776B"/>
    <w:rsid w:val="00D00408"/>
    <w:rsid w:val="00D05793"/>
    <w:rsid w:val="00D05A97"/>
    <w:rsid w:val="00D0716B"/>
    <w:rsid w:val="00D10D7C"/>
    <w:rsid w:val="00D111A9"/>
    <w:rsid w:val="00D11A6B"/>
    <w:rsid w:val="00D15787"/>
    <w:rsid w:val="00D158DD"/>
    <w:rsid w:val="00D15B65"/>
    <w:rsid w:val="00D16B19"/>
    <w:rsid w:val="00D2047B"/>
    <w:rsid w:val="00D228A4"/>
    <w:rsid w:val="00D2304D"/>
    <w:rsid w:val="00D24177"/>
    <w:rsid w:val="00D26E2E"/>
    <w:rsid w:val="00D27B4D"/>
    <w:rsid w:val="00D334FB"/>
    <w:rsid w:val="00D33BC0"/>
    <w:rsid w:val="00D33ECB"/>
    <w:rsid w:val="00D36060"/>
    <w:rsid w:val="00D36762"/>
    <w:rsid w:val="00D40D86"/>
    <w:rsid w:val="00D41E4B"/>
    <w:rsid w:val="00D43904"/>
    <w:rsid w:val="00D45197"/>
    <w:rsid w:val="00D45E81"/>
    <w:rsid w:val="00D46A2A"/>
    <w:rsid w:val="00D46E98"/>
    <w:rsid w:val="00D47DB5"/>
    <w:rsid w:val="00D516B8"/>
    <w:rsid w:val="00D526C9"/>
    <w:rsid w:val="00D54077"/>
    <w:rsid w:val="00D54E42"/>
    <w:rsid w:val="00D55F81"/>
    <w:rsid w:val="00D609DC"/>
    <w:rsid w:val="00D630C2"/>
    <w:rsid w:val="00D66085"/>
    <w:rsid w:val="00D66755"/>
    <w:rsid w:val="00D66A19"/>
    <w:rsid w:val="00D66B27"/>
    <w:rsid w:val="00D70105"/>
    <w:rsid w:val="00D71A6A"/>
    <w:rsid w:val="00D72CB4"/>
    <w:rsid w:val="00D74941"/>
    <w:rsid w:val="00D74A23"/>
    <w:rsid w:val="00D80618"/>
    <w:rsid w:val="00D80817"/>
    <w:rsid w:val="00D8160D"/>
    <w:rsid w:val="00D84503"/>
    <w:rsid w:val="00D87609"/>
    <w:rsid w:val="00D92EB9"/>
    <w:rsid w:val="00D92F7E"/>
    <w:rsid w:val="00D97435"/>
    <w:rsid w:val="00DA1A67"/>
    <w:rsid w:val="00DA58C2"/>
    <w:rsid w:val="00DA5AA2"/>
    <w:rsid w:val="00DA6CB0"/>
    <w:rsid w:val="00DA7078"/>
    <w:rsid w:val="00DB03DC"/>
    <w:rsid w:val="00DB1170"/>
    <w:rsid w:val="00DB2FBD"/>
    <w:rsid w:val="00DB4189"/>
    <w:rsid w:val="00DB475B"/>
    <w:rsid w:val="00DB53F5"/>
    <w:rsid w:val="00DC0511"/>
    <w:rsid w:val="00DC3331"/>
    <w:rsid w:val="00DC5249"/>
    <w:rsid w:val="00DC582F"/>
    <w:rsid w:val="00DC5CD9"/>
    <w:rsid w:val="00DC6B22"/>
    <w:rsid w:val="00DC7411"/>
    <w:rsid w:val="00DD0D2C"/>
    <w:rsid w:val="00DD1E66"/>
    <w:rsid w:val="00DD20DA"/>
    <w:rsid w:val="00DD32CB"/>
    <w:rsid w:val="00DD43D1"/>
    <w:rsid w:val="00DD45F4"/>
    <w:rsid w:val="00DD76D6"/>
    <w:rsid w:val="00DD7A50"/>
    <w:rsid w:val="00DE019F"/>
    <w:rsid w:val="00DE414E"/>
    <w:rsid w:val="00DE43C3"/>
    <w:rsid w:val="00DE651D"/>
    <w:rsid w:val="00DE7ACC"/>
    <w:rsid w:val="00DF029F"/>
    <w:rsid w:val="00DF1E45"/>
    <w:rsid w:val="00DF31EB"/>
    <w:rsid w:val="00DF3916"/>
    <w:rsid w:val="00DF51AE"/>
    <w:rsid w:val="00DF6A0C"/>
    <w:rsid w:val="00DF7ED7"/>
    <w:rsid w:val="00E01087"/>
    <w:rsid w:val="00E011BB"/>
    <w:rsid w:val="00E02CFA"/>
    <w:rsid w:val="00E03B4E"/>
    <w:rsid w:val="00E04EC4"/>
    <w:rsid w:val="00E105C6"/>
    <w:rsid w:val="00E125FB"/>
    <w:rsid w:val="00E12B1B"/>
    <w:rsid w:val="00E13FDA"/>
    <w:rsid w:val="00E15040"/>
    <w:rsid w:val="00E154CE"/>
    <w:rsid w:val="00E166D7"/>
    <w:rsid w:val="00E20591"/>
    <w:rsid w:val="00E23899"/>
    <w:rsid w:val="00E26BA3"/>
    <w:rsid w:val="00E26F00"/>
    <w:rsid w:val="00E27C53"/>
    <w:rsid w:val="00E358AC"/>
    <w:rsid w:val="00E35918"/>
    <w:rsid w:val="00E3667A"/>
    <w:rsid w:val="00E44462"/>
    <w:rsid w:val="00E44775"/>
    <w:rsid w:val="00E457AA"/>
    <w:rsid w:val="00E47986"/>
    <w:rsid w:val="00E50C05"/>
    <w:rsid w:val="00E5191B"/>
    <w:rsid w:val="00E51F5B"/>
    <w:rsid w:val="00E533F2"/>
    <w:rsid w:val="00E533FC"/>
    <w:rsid w:val="00E53DBB"/>
    <w:rsid w:val="00E54BD4"/>
    <w:rsid w:val="00E56CB1"/>
    <w:rsid w:val="00E57A3A"/>
    <w:rsid w:val="00E60F20"/>
    <w:rsid w:val="00E61741"/>
    <w:rsid w:val="00E62335"/>
    <w:rsid w:val="00E635D9"/>
    <w:rsid w:val="00E64128"/>
    <w:rsid w:val="00E70940"/>
    <w:rsid w:val="00E71505"/>
    <w:rsid w:val="00E72398"/>
    <w:rsid w:val="00E726A3"/>
    <w:rsid w:val="00E75376"/>
    <w:rsid w:val="00E77349"/>
    <w:rsid w:val="00E8061F"/>
    <w:rsid w:val="00E819D4"/>
    <w:rsid w:val="00E84FD5"/>
    <w:rsid w:val="00E85F27"/>
    <w:rsid w:val="00E85FF9"/>
    <w:rsid w:val="00E90FFD"/>
    <w:rsid w:val="00E924A1"/>
    <w:rsid w:val="00E934B6"/>
    <w:rsid w:val="00E95A1B"/>
    <w:rsid w:val="00E95D6B"/>
    <w:rsid w:val="00E97CBF"/>
    <w:rsid w:val="00E97FA6"/>
    <w:rsid w:val="00EA0947"/>
    <w:rsid w:val="00EA0E8D"/>
    <w:rsid w:val="00EA17E7"/>
    <w:rsid w:val="00EA1F66"/>
    <w:rsid w:val="00EA2FFC"/>
    <w:rsid w:val="00EB0816"/>
    <w:rsid w:val="00EB092B"/>
    <w:rsid w:val="00EB16B1"/>
    <w:rsid w:val="00EB3719"/>
    <w:rsid w:val="00EB5652"/>
    <w:rsid w:val="00EB5F11"/>
    <w:rsid w:val="00EB74AC"/>
    <w:rsid w:val="00EC1B7C"/>
    <w:rsid w:val="00EC2081"/>
    <w:rsid w:val="00EC3665"/>
    <w:rsid w:val="00EC721C"/>
    <w:rsid w:val="00ED043C"/>
    <w:rsid w:val="00ED20E2"/>
    <w:rsid w:val="00ED252E"/>
    <w:rsid w:val="00ED65A7"/>
    <w:rsid w:val="00ED7EFF"/>
    <w:rsid w:val="00EE049E"/>
    <w:rsid w:val="00EE11D4"/>
    <w:rsid w:val="00EE1AC9"/>
    <w:rsid w:val="00EF3B0D"/>
    <w:rsid w:val="00EF505E"/>
    <w:rsid w:val="00EF5488"/>
    <w:rsid w:val="00EF5A0D"/>
    <w:rsid w:val="00F0130D"/>
    <w:rsid w:val="00F0298B"/>
    <w:rsid w:val="00F05339"/>
    <w:rsid w:val="00F05E17"/>
    <w:rsid w:val="00F06303"/>
    <w:rsid w:val="00F07345"/>
    <w:rsid w:val="00F079EA"/>
    <w:rsid w:val="00F10FCF"/>
    <w:rsid w:val="00F1206D"/>
    <w:rsid w:val="00F12204"/>
    <w:rsid w:val="00F130F7"/>
    <w:rsid w:val="00F146F0"/>
    <w:rsid w:val="00F15886"/>
    <w:rsid w:val="00F16768"/>
    <w:rsid w:val="00F21840"/>
    <w:rsid w:val="00F2224D"/>
    <w:rsid w:val="00F22FBA"/>
    <w:rsid w:val="00F230F1"/>
    <w:rsid w:val="00F24357"/>
    <w:rsid w:val="00F24850"/>
    <w:rsid w:val="00F2495C"/>
    <w:rsid w:val="00F2624E"/>
    <w:rsid w:val="00F262F7"/>
    <w:rsid w:val="00F26B18"/>
    <w:rsid w:val="00F304D7"/>
    <w:rsid w:val="00F30DD4"/>
    <w:rsid w:val="00F31C8C"/>
    <w:rsid w:val="00F3240A"/>
    <w:rsid w:val="00F324A5"/>
    <w:rsid w:val="00F32586"/>
    <w:rsid w:val="00F33CCD"/>
    <w:rsid w:val="00F34360"/>
    <w:rsid w:val="00F347D2"/>
    <w:rsid w:val="00F35201"/>
    <w:rsid w:val="00F42BB6"/>
    <w:rsid w:val="00F42DBB"/>
    <w:rsid w:val="00F43FB1"/>
    <w:rsid w:val="00F43FB9"/>
    <w:rsid w:val="00F4459A"/>
    <w:rsid w:val="00F445C1"/>
    <w:rsid w:val="00F44F3C"/>
    <w:rsid w:val="00F50B05"/>
    <w:rsid w:val="00F51C29"/>
    <w:rsid w:val="00F51D1F"/>
    <w:rsid w:val="00F53A23"/>
    <w:rsid w:val="00F560D4"/>
    <w:rsid w:val="00F564FC"/>
    <w:rsid w:val="00F56E0E"/>
    <w:rsid w:val="00F64EB9"/>
    <w:rsid w:val="00F665FB"/>
    <w:rsid w:val="00F66D46"/>
    <w:rsid w:val="00F66DE9"/>
    <w:rsid w:val="00F723C3"/>
    <w:rsid w:val="00F730F1"/>
    <w:rsid w:val="00F73807"/>
    <w:rsid w:val="00F7433F"/>
    <w:rsid w:val="00F754F7"/>
    <w:rsid w:val="00F7666C"/>
    <w:rsid w:val="00F80A65"/>
    <w:rsid w:val="00F819BA"/>
    <w:rsid w:val="00F83942"/>
    <w:rsid w:val="00F84356"/>
    <w:rsid w:val="00F848B1"/>
    <w:rsid w:val="00F8637C"/>
    <w:rsid w:val="00F90263"/>
    <w:rsid w:val="00F9103C"/>
    <w:rsid w:val="00F92891"/>
    <w:rsid w:val="00F955B0"/>
    <w:rsid w:val="00F96ECC"/>
    <w:rsid w:val="00F975D9"/>
    <w:rsid w:val="00F97667"/>
    <w:rsid w:val="00F97E53"/>
    <w:rsid w:val="00FA1F8A"/>
    <w:rsid w:val="00FA2A38"/>
    <w:rsid w:val="00FA38C4"/>
    <w:rsid w:val="00FA3B41"/>
    <w:rsid w:val="00FA5AD9"/>
    <w:rsid w:val="00FA626C"/>
    <w:rsid w:val="00FB0188"/>
    <w:rsid w:val="00FB01D8"/>
    <w:rsid w:val="00FB3B8E"/>
    <w:rsid w:val="00FB618D"/>
    <w:rsid w:val="00FC16C8"/>
    <w:rsid w:val="00FC177B"/>
    <w:rsid w:val="00FC3B46"/>
    <w:rsid w:val="00FC4460"/>
    <w:rsid w:val="00FC7955"/>
    <w:rsid w:val="00FD18E8"/>
    <w:rsid w:val="00FD2851"/>
    <w:rsid w:val="00FD384B"/>
    <w:rsid w:val="00FD469B"/>
    <w:rsid w:val="00FE0460"/>
    <w:rsid w:val="00FE2695"/>
    <w:rsid w:val="00FE2BD7"/>
    <w:rsid w:val="00FE3CDC"/>
    <w:rsid w:val="00FE4DE8"/>
    <w:rsid w:val="00FE4F3F"/>
    <w:rsid w:val="00FE75CD"/>
    <w:rsid w:val="00FF27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A52E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3260"/>
    <w:pPr>
      <w:spacing w:after="0" w:line="240" w:lineRule="auto"/>
    </w:pPr>
    <w:rPr>
      <w:rFonts w:ascii="Times New Roman" w:hAnsi="Times New Roman" w:cs="Times New Roman"/>
      <w:sz w:val="24"/>
      <w:szCs w:val="24"/>
      <w:lang w:val="fr-FR" w:eastAsia="fr-FR"/>
    </w:rPr>
  </w:style>
  <w:style w:type="paragraph" w:styleId="Titre1">
    <w:name w:val="heading 1"/>
    <w:basedOn w:val="Normal"/>
    <w:link w:val="Titre1Car"/>
    <w:qFormat/>
    <w:rsid w:val="00561BDC"/>
    <w:pPr>
      <w:spacing w:before="100" w:beforeAutospacing="1" w:after="100" w:afterAutospacing="1"/>
      <w:outlineLvl w:val="0"/>
    </w:pPr>
    <w:rPr>
      <w:rFonts w:eastAsia="Times New Roman"/>
      <w:b/>
      <w:bCs/>
      <w:kern w:val="36"/>
      <w:lang w:eastAsia="en-US"/>
    </w:rPr>
  </w:style>
  <w:style w:type="paragraph" w:styleId="Titre2">
    <w:name w:val="heading 2"/>
    <w:basedOn w:val="Normal"/>
    <w:next w:val="Normal"/>
    <w:link w:val="Titre2Car"/>
    <w:unhideWhenUsed/>
    <w:qFormat/>
    <w:rsid w:val="00561BDC"/>
    <w:pPr>
      <w:keepNext/>
      <w:bidi/>
      <w:spacing w:before="240" w:after="60" w:line="276" w:lineRule="auto"/>
      <w:outlineLvl w:val="1"/>
    </w:pPr>
    <w:rPr>
      <w:rFonts w:ascii="Cambria" w:eastAsia="Times New Roman" w:hAnsi="Cambria"/>
      <w:b/>
      <w:bCs/>
      <w:i/>
      <w:iCs/>
      <w:sz w:val="28"/>
      <w:szCs w:val="28"/>
      <w:lang w:eastAsia="en-US"/>
    </w:rPr>
  </w:style>
  <w:style w:type="paragraph" w:styleId="Titre3">
    <w:name w:val="heading 3"/>
    <w:basedOn w:val="Normal"/>
    <w:next w:val="Normal"/>
    <w:link w:val="Titre3Car"/>
    <w:unhideWhenUsed/>
    <w:qFormat/>
    <w:rsid w:val="00561BDC"/>
    <w:pPr>
      <w:keepNext/>
      <w:bidi/>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561BDC"/>
    <w:pPr>
      <w:keepNext/>
      <w:bidi/>
      <w:spacing w:before="240" w:after="60"/>
      <w:outlineLvl w:val="3"/>
    </w:pPr>
    <w:rPr>
      <w:rFonts w:ascii="Calibri" w:eastAsia="Times New Roman" w:hAnsi="Calibri"/>
      <w:b/>
      <w:bCs/>
      <w:sz w:val="28"/>
      <w:szCs w:val="28"/>
    </w:rPr>
  </w:style>
  <w:style w:type="paragraph" w:styleId="Titre5">
    <w:name w:val="heading 5"/>
    <w:basedOn w:val="Normal"/>
    <w:link w:val="Titre5Car"/>
    <w:uiPriority w:val="9"/>
    <w:qFormat/>
    <w:rsid w:val="00296288"/>
    <w:pPr>
      <w:spacing w:before="100" w:beforeAutospacing="1" w:after="100" w:afterAutospacing="1"/>
      <w:outlineLvl w:val="4"/>
    </w:pPr>
    <w:rPr>
      <w:rFonts w:eastAsia="Times New Roman"/>
      <w:b/>
      <w:bCs/>
      <w:sz w:val="20"/>
      <w:szCs w:val="20"/>
      <w:lang w:eastAsia="en-US"/>
    </w:rPr>
  </w:style>
  <w:style w:type="paragraph" w:styleId="Titre7">
    <w:name w:val="heading 7"/>
    <w:basedOn w:val="Normal"/>
    <w:next w:val="Normal"/>
    <w:link w:val="Titre7Car"/>
    <w:unhideWhenUsed/>
    <w:qFormat/>
    <w:rsid w:val="00561BDC"/>
    <w:pPr>
      <w:keepNext/>
      <w:numPr>
        <w:numId w:val="1"/>
      </w:numPr>
      <w:tabs>
        <w:tab w:val="clear" w:pos="720"/>
        <w:tab w:val="left" w:pos="0"/>
        <w:tab w:val="num" w:pos="709"/>
      </w:tabs>
      <w:spacing w:line="360" w:lineRule="auto"/>
      <w:ind w:left="284" w:hanging="709"/>
      <w:jc w:val="both"/>
      <w:outlineLvl w:val="6"/>
    </w:pPr>
    <w:rPr>
      <w:rFonts w:eastAsia="Times New Roman"/>
    </w:rPr>
  </w:style>
  <w:style w:type="paragraph" w:styleId="Titre8">
    <w:name w:val="heading 8"/>
    <w:basedOn w:val="Normal"/>
    <w:next w:val="Normal"/>
    <w:link w:val="Titre8Car"/>
    <w:unhideWhenUsed/>
    <w:qFormat/>
    <w:rsid w:val="00561BDC"/>
    <w:pPr>
      <w:bidi/>
      <w:spacing w:before="240" w:after="60"/>
      <w:outlineLvl w:val="7"/>
    </w:pPr>
    <w:rPr>
      <w:rFonts w:ascii="Calibri" w:eastAsia="Times New Roman" w:hAnsi="Calibri" w:cs="Arial"/>
      <w:i/>
      <w:iCs/>
    </w:rPr>
  </w:style>
  <w:style w:type="paragraph" w:styleId="Titre9">
    <w:name w:val="heading 9"/>
    <w:basedOn w:val="Normal"/>
    <w:next w:val="Normal"/>
    <w:link w:val="Titre9Car"/>
    <w:semiHidden/>
    <w:unhideWhenUsed/>
    <w:qFormat/>
    <w:rsid w:val="00F324A5"/>
    <w:pPr>
      <w:keepLines/>
      <w:spacing w:after="120"/>
      <w:ind w:right="68"/>
      <w:jc w:val="both"/>
      <w:outlineLvl w:val="8"/>
    </w:pPr>
    <w:rPr>
      <w:rFonts w:ascii="(Utiliser une police de caractè" w:eastAsia="Times New Roman" w:hAnsi="(Utiliser une police de caractè" w:cs="Traditional Arabic"/>
      <w:sz w:val="20"/>
      <w:szCs w:val="20"/>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uiPriority w:val="99"/>
    <w:semiHidden/>
    <w:unhideWhenUsed/>
    <w:rsid w:val="00561BDC"/>
    <w:pPr>
      <w:bidi/>
    </w:pPr>
    <w:rPr>
      <w:rFonts w:ascii="Lucida Grande" w:eastAsia="Times New Roman" w:hAnsi="Lucida Grande"/>
      <w:sz w:val="18"/>
      <w:szCs w:val="18"/>
    </w:rPr>
  </w:style>
  <w:style w:type="character" w:customStyle="1" w:styleId="TextedebullesCar">
    <w:name w:val="Texte de bulles Car"/>
    <w:basedOn w:val="Policepardfaut"/>
    <w:uiPriority w:val="99"/>
    <w:semiHidden/>
    <w:rsid w:val="00F32837"/>
    <w:rPr>
      <w:rFonts w:ascii="Lucida Grande" w:hAnsi="Lucida Grande"/>
      <w:sz w:val="18"/>
      <w:szCs w:val="18"/>
    </w:rPr>
  </w:style>
  <w:style w:type="character" w:customStyle="1" w:styleId="TextedebullesCar0">
    <w:name w:val="Texte de bulles Car"/>
    <w:basedOn w:val="Policepardfaut"/>
    <w:uiPriority w:val="99"/>
    <w:semiHidden/>
    <w:rsid w:val="00F32837"/>
    <w:rPr>
      <w:rFonts w:ascii="Lucida Grande" w:hAnsi="Lucida Grande"/>
      <w:sz w:val="18"/>
      <w:szCs w:val="18"/>
    </w:rPr>
  </w:style>
  <w:style w:type="character" w:customStyle="1" w:styleId="Titre1Car">
    <w:name w:val="Titre 1 Car"/>
    <w:basedOn w:val="Policepardfaut"/>
    <w:link w:val="Titre1"/>
    <w:rsid w:val="00561BDC"/>
    <w:rPr>
      <w:rFonts w:ascii="Times New Roman" w:eastAsia="Times New Roman" w:hAnsi="Times New Roman" w:cs="Times New Roman"/>
      <w:b/>
      <w:bCs/>
      <w:kern w:val="36"/>
      <w:sz w:val="24"/>
      <w:szCs w:val="24"/>
    </w:rPr>
  </w:style>
  <w:style w:type="character" w:customStyle="1" w:styleId="Titre2Car">
    <w:name w:val="Titre 2 Car"/>
    <w:basedOn w:val="Policepardfaut"/>
    <w:link w:val="Titre2"/>
    <w:rsid w:val="00561BDC"/>
    <w:rPr>
      <w:rFonts w:ascii="Cambria" w:eastAsia="Times New Roman" w:hAnsi="Cambria" w:cs="Times New Roman"/>
      <w:b/>
      <w:bCs/>
      <w:i/>
      <w:iCs/>
      <w:sz w:val="28"/>
      <w:szCs w:val="28"/>
    </w:rPr>
  </w:style>
  <w:style w:type="character" w:customStyle="1" w:styleId="Titre3Car">
    <w:name w:val="Titre 3 Car"/>
    <w:basedOn w:val="Policepardfaut"/>
    <w:link w:val="Titre3"/>
    <w:rsid w:val="00561BDC"/>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561BDC"/>
    <w:rPr>
      <w:rFonts w:ascii="Calibri" w:eastAsia="Times New Roman" w:hAnsi="Calibri" w:cs="Times New Roman"/>
      <w:b/>
      <w:bCs/>
      <w:sz w:val="28"/>
      <w:szCs w:val="28"/>
    </w:rPr>
  </w:style>
  <w:style w:type="character" w:customStyle="1" w:styleId="Titre7Car">
    <w:name w:val="Titre 7 Car"/>
    <w:basedOn w:val="Policepardfaut"/>
    <w:link w:val="Titre7"/>
    <w:rsid w:val="00561BDC"/>
    <w:rPr>
      <w:rFonts w:ascii="Times New Roman" w:eastAsia="Times New Roman" w:hAnsi="Times New Roman" w:cs="Times New Roman"/>
      <w:sz w:val="24"/>
      <w:szCs w:val="24"/>
      <w:lang w:val="fr-FR" w:eastAsia="fr-FR"/>
    </w:rPr>
  </w:style>
  <w:style w:type="character" w:customStyle="1" w:styleId="Titre8Car">
    <w:name w:val="Titre 8 Car"/>
    <w:basedOn w:val="Policepardfaut"/>
    <w:link w:val="Titre8"/>
    <w:rsid w:val="00561BDC"/>
    <w:rPr>
      <w:rFonts w:ascii="Calibri" w:eastAsia="Times New Roman" w:hAnsi="Calibri" w:cs="Arial"/>
      <w:i/>
      <w:iCs/>
      <w:sz w:val="24"/>
      <w:szCs w:val="24"/>
    </w:rPr>
  </w:style>
  <w:style w:type="numbering" w:customStyle="1" w:styleId="NoList1">
    <w:name w:val="No List1"/>
    <w:next w:val="Aucuneliste"/>
    <w:uiPriority w:val="99"/>
    <w:semiHidden/>
    <w:unhideWhenUsed/>
    <w:rsid w:val="00561BDC"/>
  </w:style>
  <w:style w:type="character" w:styleId="Lienhypertexte">
    <w:name w:val="Hyperlink"/>
    <w:unhideWhenUsed/>
    <w:rsid w:val="00561BDC"/>
    <w:rPr>
      <w:rFonts w:ascii="Times New Roman" w:hAnsi="Times New Roman" w:cs="Times New Roman" w:hint="default"/>
      <w:color w:val="0000FF"/>
      <w:u w:val="single"/>
    </w:rPr>
  </w:style>
  <w:style w:type="character" w:styleId="Lienhypertextesuivivisit">
    <w:name w:val="FollowedHyperlink"/>
    <w:semiHidden/>
    <w:unhideWhenUsed/>
    <w:rsid w:val="00561BDC"/>
    <w:rPr>
      <w:color w:val="800080"/>
      <w:u w:val="single"/>
    </w:rPr>
  </w:style>
  <w:style w:type="paragraph" w:styleId="NormalWeb">
    <w:name w:val="Normal (Web)"/>
    <w:basedOn w:val="Normal"/>
    <w:uiPriority w:val="99"/>
    <w:unhideWhenUsed/>
    <w:rsid w:val="00561BDC"/>
    <w:pPr>
      <w:spacing w:before="100" w:beforeAutospacing="1" w:after="100" w:afterAutospacing="1"/>
    </w:pPr>
    <w:rPr>
      <w:rFonts w:eastAsia="Calibri"/>
      <w:lang w:eastAsia="en-US"/>
    </w:rPr>
  </w:style>
  <w:style w:type="character" w:customStyle="1" w:styleId="NotedebasdepageCar">
    <w:name w:val="Note de bas de page Car"/>
    <w:aliases w:val="n Car"/>
    <w:basedOn w:val="Policepardfaut"/>
    <w:link w:val="Notedebasdepage"/>
    <w:locked/>
    <w:rsid w:val="00561BDC"/>
    <w:rPr>
      <w:rFonts w:ascii="Calibri" w:eastAsia="Calibri" w:hAnsi="Calibri"/>
    </w:rPr>
  </w:style>
  <w:style w:type="paragraph" w:customStyle="1" w:styleId="n1">
    <w:name w:val="n1"/>
    <w:basedOn w:val="Normal"/>
    <w:next w:val="Notedebasdepage"/>
    <w:unhideWhenUsed/>
    <w:rsid w:val="00561BDC"/>
    <w:pPr>
      <w:bidi/>
    </w:pPr>
    <w:rPr>
      <w:rFonts w:ascii="Calibri" w:eastAsia="Calibri" w:hAnsi="Calibri" w:cstheme="minorBidi"/>
      <w:sz w:val="22"/>
      <w:szCs w:val="22"/>
      <w:lang w:eastAsia="en-US"/>
    </w:rPr>
  </w:style>
  <w:style w:type="character" w:customStyle="1" w:styleId="FootnoteTextChar1">
    <w:name w:val="Footnote Text Char1"/>
    <w:aliases w:val="n Char"/>
    <w:basedOn w:val="Policepardfaut"/>
    <w:semiHidden/>
    <w:rsid w:val="00561BDC"/>
    <w:rPr>
      <w:rFonts w:ascii="Calibri" w:eastAsia="Times New Roman" w:hAnsi="Calibri" w:cs="Arial"/>
      <w:sz w:val="20"/>
      <w:szCs w:val="20"/>
    </w:rPr>
  </w:style>
  <w:style w:type="paragraph" w:styleId="Commentaire">
    <w:name w:val="annotation text"/>
    <w:basedOn w:val="Normal"/>
    <w:link w:val="CommentaireCar"/>
    <w:uiPriority w:val="99"/>
    <w:semiHidden/>
    <w:unhideWhenUsed/>
    <w:rsid w:val="00561BDC"/>
    <w:pPr>
      <w:bidi/>
    </w:pPr>
    <w:rPr>
      <w:rFonts w:ascii="Calibri" w:eastAsia="Times New Roman" w:hAnsi="Calibri"/>
    </w:rPr>
  </w:style>
  <w:style w:type="character" w:customStyle="1" w:styleId="CommentaireCar">
    <w:name w:val="Commentaire Car"/>
    <w:basedOn w:val="Policepardfaut"/>
    <w:link w:val="Commentaire"/>
    <w:uiPriority w:val="99"/>
    <w:semiHidden/>
    <w:rsid w:val="00561BDC"/>
    <w:rPr>
      <w:rFonts w:ascii="Calibri" w:eastAsia="Times New Roman" w:hAnsi="Calibri" w:cs="Times New Roman"/>
      <w:sz w:val="24"/>
      <w:szCs w:val="24"/>
    </w:rPr>
  </w:style>
  <w:style w:type="paragraph" w:styleId="En-tte">
    <w:name w:val="header"/>
    <w:basedOn w:val="Normal"/>
    <w:link w:val="En-tteCar"/>
    <w:unhideWhenUsed/>
    <w:rsid w:val="00561BDC"/>
    <w:pPr>
      <w:tabs>
        <w:tab w:val="center" w:pos="4153"/>
        <w:tab w:val="right" w:pos="8306"/>
      </w:tabs>
      <w:bidi/>
      <w:spacing w:after="200" w:line="276" w:lineRule="auto"/>
    </w:pPr>
    <w:rPr>
      <w:rFonts w:ascii="Calibri" w:eastAsia="Times New Roman" w:hAnsi="Calibri"/>
      <w:sz w:val="22"/>
      <w:szCs w:val="22"/>
      <w:lang w:eastAsia="en-US"/>
    </w:rPr>
  </w:style>
  <w:style w:type="character" w:customStyle="1" w:styleId="En-tteCar">
    <w:name w:val="En-tête Car"/>
    <w:basedOn w:val="Policepardfaut"/>
    <w:link w:val="En-tte"/>
    <w:rsid w:val="00561BDC"/>
    <w:rPr>
      <w:rFonts w:ascii="Calibri" w:eastAsia="Times New Roman" w:hAnsi="Calibri" w:cs="Times New Roman"/>
    </w:rPr>
  </w:style>
  <w:style w:type="paragraph" w:styleId="Pieddepage">
    <w:name w:val="footer"/>
    <w:basedOn w:val="Normal"/>
    <w:link w:val="PieddepageCar"/>
    <w:uiPriority w:val="99"/>
    <w:unhideWhenUsed/>
    <w:rsid w:val="00561BDC"/>
    <w:pPr>
      <w:tabs>
        <w:tab w:val="center" w:pos="4153"/>
        <w:tab w:val="right" w:pos="8306"/>
      </w:tabs>
      <w:bidi/>
      <w:spacing w:after="200" w:line="276" w:lineRule="auto"/>
    </w:pPr>
    <w:rPr>
      <w:rFonts w:ascii="Calibri" w:eastAsia="Times New Roman" w:hAnsi="Calibri"/>
      <w:sz w:val="22"/>
      <w:szCs w:val="22"/>
      <w:lang w:eastAsia="en-US"/>
    </w:rPr>
  </w:style>
  <w:style w:type="character" w:customStyle="1" w:styleId="PieddepageCar">
    <w:name w:val="Pied de page Car"/>
    <w:basedOn w:val="Policepardfaut"/>
    <w:link w:val="Pieddepage"/>
    <w:uiPriority w:val="99"/>
    <w:rsid w:val="00561BDC"/>
    <w:rPr>
      <w:rFonts w:ascii="Calibri" w:eastAsia="Times New Roman" w:hAnsi="Calibri" w:cs="Times New Roman"/>
    </w:rPr>
  </w:style>
  <w:style w:type="paragraph" w:styleId="Notedefin">
    <w:name w:val="endnote text"/>
    <w:basedOn w:val="Normal"/>
    <w:link w:val="NotedefinCar"/>
    <w:uiPriority w:val="99"/>
    <w:semiHidden/>
    <w:unhideWhenUsed/>
    <w:rsid w:val="00561BDC"/>
    <w:rPr>
      <w:rFonts w:ascii="Calibri" w:eastAsia="Calibri" w:hAnsi="Calibri" w:cs="Arial"/>
      <w:sz w:val="20"/>
      <w:szCs w:val="20"/>
    </w:rPr>
  </w:style>
  <w:style w:type="character" w:customStyle="1" w:styleId="NotedefinCar">
    <w:name w:val="Note de fin Car"/>
    <w:basedOn w:val="Policepardfaut"/>
    <w:link w:val="Notedefin"/>
    <w:uiPriority w:val="99"/>
    <w:semiHidden/>
    <w:rsid w:val="00561BDC"/>
    <w:rPr>
      <w:rFonts w:ascii="Calibri" w:eastAsia="Calibri" w:hAnsi="Calibri" w:cs="Arial"/>
      <w:sz w:val="20"/>
      <w:szCs w:val="20"/>
    </w:rPr>
  </w:style>
  <w:style w:type="paragraph" w:styleId="Objetducommentaire">
    <w:name w:val="annotation subject"/>
    <w:basedOn w:val="Commentaire"/>
    <w:next w:val="Commentaire"/>
    <w:link w:val="ObjetducommentaireCar"/>
    <w:uiPriority w:val="99"/>
    <w:semiHidden/>
    <w:unhideWhenUsed/>
    <w:rsid w:val="00561BDC"/>
    <w:rPr>
      <w:b/>
      <w:bCs/>
    </w:rPr>
  </w:style>
  <w:style w:type="character" w:customStyle="1" w:styleId="ObjetducommentaireCar">
    <w:name w:val="Objet du commentaire Car"/>
    <w:basedOn w:val="CommentaireCar"/>
    <w:link w:val="Objetducommentaire"/>
    <w:uiPriority w:val="99"/>
    <w:semiHidden/>
    <w:rsid w:val="00561BDC"/>
    <w:rPr>
      <w:rFonts w:ascii="Calibri" w:eastAsia="Times New Roman" w:hAnsi="Calibri" w:cs="Times New Roman"/>
      <w:b/>
      <w:bCs/>
      <w:sz w:val="24"/>
      <w:szCs w:val="24"/>
    </w:rPr>
  </w:style>
  <w:style w:type="character" w:customStyle="1" w:styleId="TextedebullesCar1">
    <w:name w:val="Texte de bulles Car1"/>
    <w:basedOn w:val="Policepardfaut"/>
    <w:link w:val="Textedebulles"/>
    <w:uiPriority w:val="99"/>
    <w:semiHidden/>
    <w:rsid w:val="00561BDC"/>
    <w:rPr>
      <w:rFonts w:ascii="Lucida Grande" w:eastAsia="Times New Roman" w:hAnsi="Lucida Grande" w:cs="Times New Roman"/>
      <w:sz w:val="18"/>
      <w:szCs w:val="18"/>
    </w:rPr>
  </w:style>
  <w:style w:type="paragraph" w:styleId="Paragraphedeliste">
    <w:name w:val="List Paragraph"/>
    <w:basedOn w:val="Normal"/>
    <w:uiPriority w:val="34"/>
    <w:qFormat/>
    <w:rsid w:val="00561BDC"/>
    <w:pPr>
      <w:bidi/>
      <w:spacing w:after="200" w:line="276" w:lineRule="auto"/>
      <w:ind w:left="720"/>
    </w:pPr>
    <w:rPr>
      <w:rFonts w:ascii="Calibri" w:eastAsia="Times New Roman" w:hAnsi="Calibri" w:cs="Arial"/>
      <w:sz w:val="22"/>
      <w:szCs w:val="22"/>
      <w:lang w:eastAsia="en-US"/>
    </w:rPr>
  </w:style>
  <w:style w:type="paragraph" w:customStyle="1" w:styleId="ListParagraph1">
    <w:name w:val="List Paragraph1"/>
    <w:basedOn w:val="Normal"/>
    <w:uiPriority w:val="99"/>
    <w:rsid w:val="00561BDC"/>
    <w:pPr>
      <w:bidi/>
      <w:spacing w:after="200" w:line="276" w:lineRule="auto"/>
      <w:ind w:left="720"/>
      <w:contextualSpacing/>
    </w:pPr>
    <w:rPr>
      <w:rFonts w:ascii="Calibri" w:eastAsia="Times New Roman" w:hAnsi="Calibri" w:cs="Arial"/>
      <w:sz w:val="22"/>
      <w:szCs w:val="22"/>
      <w:lang w:eastAsia="en-US"/>
    </w:rPr>
  </w:style>
  <w:style w:type="paragraph" w:customStyle="1" w:styleId="1">
    <w:name w:val="سرد الفقرات1"/>
    <w:basedOn w:val="Normal"/>
    <w:uiPriority w:val="34"/>
    <w:qFormat/>
    <w:rsid w:val="00561BDC"/>
    <w:pPr>
      <w:spacing w:after="200" w:line="276" w:lineRule="auto"/>
      <w:ind w:left="720"/>
      <w:contextualSpacing/>
    </w:pPr>
    <w:rPr>
      <w:rFonts w:ascii="Calibri" w:eastAsia="Times New Roman" w:hAnsi="Calibri" w:cs="Arial"/>
      <w:sz w:val="22"/>
      <w:szCs w:val="22"/>
    </w:rPr>
  </w:style>
  <w:style w:type="paragraph" w:customStyle="1" w:styleId="detailfont">
    <w:name w:val="detailfont"/>
    <w:basedOn w:val="Normal"/>
    <w:uiPriority w:val="99"/>
    <w:rsid w:val="00561BDC"/>
    <w:pPr>
      <w:spacing w:before="100" w:beforeAutospacing="1" w:after="100" w:afterAutospacing="1"/>
    </w:pPr>
    <w:rPr>
      <w:rFonts w:eastAsia="Times New Roman"/>
      <w:lang w:eastAsia="en-US"/>
    </w:rPr>
  </w:style>
  <w:style w:type="paragraph" w:customStyle="1" w:styleId="arttextmain">
    <w:name w:val="arttextmain"/>
    <w:basedOn w:val="Normal"/>
    <w:uiPriority w:val="99"/>
    <w:rsid w:val="00561BDC"/>
    <w:pPr>
      <w:spacing w:before="100" w:beforeAutospacing="1" w:after="100" w:afterAutospacing="1"/>
    </w:pPr>
    <w:rPr>
      <w:rFonts w:eastAsia="Times New Roman"/>
      <w:lang w:eastAsia="en-US"/>
    </w:rPr>
  </w:style>
  <w:style w:type="paragraph" w:customStyle="1" w:styleId="msonormal0">
    <w:name w:val="&quot;msonormal&quot;"/>
    <w:basedOn w:val="Normal"/>
    <w:uiPriority w:val="99"/>
    <w:rsid w:val="00561BDC"/>
    <w:pPr>
      <w:spacing w:before="100" w:beforeAutospacing="1" w:after="100" w:afterAutospacing="1"/>
    </w:pPr>
    <w:rPr>
      <w:rFonts w:eastAsia="Times New Roman"/>
      <w:lang w:eastAsia="en-US"/>
    </w:rPr>
  </w:style>
  <w:style w:type="paragraph" w:customStyle="1" w:styleId="Standard">
    <w:name w:val="Standard"/>
    <w:uiPriority w:val="99"/>
    <w:rsid w:val="00561BDC"/>
    <w:pPr>
      <w:tabs>
        <w:tab w:val="left" w:pos="720"/>
      </w:tabs>
      <w:suppressAutoHyphens/>
    </w:pPr>
    <w:rPr>
      <w:rFonts w:ascii="Calibri" w:eastAsia="Arial Unicode MS" w:hAnsi="Calibri" w:cs="Arial"/>
    </w:rPr>
  </w:style>
  <w:style w:type="character" w:styleId="Appelnotedebasdep">
    <w:name w:val="footnote reference"/>
    <w:unhideWhenUsed/>
    <w:rsid w:val="00561BDC"/>
    <w:rPr>
      <w:rFonts w:ascii="Times New Roman" w:hAnsi="Times New Roman" w:cs="Times New Roman" w:hint="default"/>
      <w:vertAlign w:val="superscript"/>
    </w:rPr>
  </w:style>
  <w:style w:type="character" w:styleId="Marquedecommentaire">
    <w:name w:val="annotation reference"/>
    <w:uiPriority w:val="99"/>
    <w:semiHidden/>
    <w:unhideWhenUsed/>
    <w:rsid w:val="00561BDC"/>
    <w:rPr>
      <w:sz w:val="18"/>
      <w:szCs w:val="18"/>
    </w:rPr>
  </w:style>
  <w:style w:type="character" w:styleId="Appeldenotedefin">
    <w:name w:val="endnote reference"/>
    <w:basedOn w:val="Policepardfaut"/>
    <w:uiPriority w:val="99"/>
    <w:semiHidden/>
    <w:unhideWhenUsed/>
    <w:rsid w:val="00561BDC"/>
    <w:rPr>
      <w:vertAlign w:val="superscript"/>
    </w:rPr>
  </w:style>
  <w:style w:type="character" w:customStyle="1" w:styleId="citecrochet1">
    <w:name w:val="cite_crochet1"/>
    <w:rsid w:val="00561BDC"/>
    <w:rPr>
      <w:rFonts w:ascii="Times New Roman" w:hAnsi="Times New Roman" w:cs="Times New Roman" w:hint="default"/>
      <w:vanish/>
      <w:webHidden w:val="0"/>
      <w:specVanish w:val="0"/>
    </w:rPr>
  </w:style>
  <w:style w:type="character" w:customStyle="1" w:styleId="apple-converted-space">
    <w:name w:val="apple-converted-space"/>
    <w:rsid w:val="00561BDC"/>
  </w:style>
  <w:style w:type="character" w:customStyle="1" w:styleId="lang-ar">
    <w:name w:val="lang-ar"/>
    <w:basedOn w:val="Policepardfaut"/>
    <w:rsid w:val="00561BDC"/>
  </w:style>
  <w:style w:type="character" w:customStyle="1" w:styleId="citation">
    <w:name w:val="citation"/>
    <w:basedOn w:val="Policepardfaut"/>
    <w:rsid w:val="00561BDC"/>
  </w:style>
  <w:style w:type="character" w:customStyle="1" w:styleId="news-date">
    <w:name w:val="news-date"/>
    <w:basedOn w:val="Policepardfaut"/>
    <w:rsid w:val="00561BDC"/>
  </w:style>
  <w:style w:type="character" w:customStyle="1" w:styleId="api">
    <w:name w:val="api"/>
    <w:basedOn w:val="Policepardfaut"/>
    <w:rsid w:val="00561BDC"/>
  </w:style>
  <w:style w:type="character" w:customStyle="1" w:styleId="lang-la">
    <w:name w:val="lang-la"/>
    <w:basedOn w:val="Policepardfaut"/>
    <w:rsid w:val="00561BDC"/>
  </w:style>
  <w:style w:type="character" w:customStyle="1" w:styleId="bookdescriptionlabel">
    <w:name w:val="bookdescriptionlabel"/>
    <w:basedOn w:val="Policepardfaut"/>
    <w:rsid w:val="00561BDC"/>
  </w:style>
  <w:style w:type="character" w:customStyle="1" w:styleId="A5">
    <w:name w:val="A5"/>
    <w:uiPriority w:val="99"/>
    <w:rsid w:val="00561BDC"/>
    <w:rPr>
      <w:rFonts w:ascii="Times LT Std" w:hAnsi="Times LT Std" w:cs="Times LT Std" w:hint="default"/>
      <w:color w:val="000000"/>
      <w:sz w:val="11"/>
      <w:szCs w:val="11"/>
    </w:rPr>
  </w:style>
  <w:style w:type="character" w:customStyle="1" w:styleId="reference-text">
    <w:name w:val="reference-text"/>
    <w:basedOn w:val="Policepardfaut"/>
    <w:rsid w:val="00561BDC"/>
  </w:style>
  <w:style w:type="character" w:customStyle="1" w:styleId="italique">
    <w:name w:val="italique"/>
    <w:basedOn w:val="Policepardfaut"/>
    <w:rsid w:val="00561BDC"/>
  </w:style>
  <w:style w:type="character" w:customStyle="1" w:styleId="romain">
    <w:name w:val="romain"/>
    <w:basedOn w:val="Policepardfaut"/>
    <w:rsid w:val="00561BDC"/>
  </w:style>
  <w:style w:type="character" w:customStyle="1" w:styleId="mw-headline">
    <w:name w:val="mw-headline"/>
    <w:basedOn w:val="Policepardfaut"/>
    <w:rsid w:val="00561BDC"/>
  </w:style>
  <w:style w:type="character" w:customStyle="1" w:styleId="lang-fa">
    <w:name w:val="lang-fa"/>
    <w:basedOn w:val="Policepardfaut"/>
    <w:rsid w:val="00561BDC"/>
  </w:style>
  <w:style w:type="character" w:customStyle="1" w:styleId="fn">
    <w:name w:val="fn"/>
    <w:basedOn w:val="Policepardfaut"/>
    <w:rsid w:val="00561BDC"/>
  </w:style>
  <w:style w:type="character" w:customStyle="1" w:styleId="Sous-titre1">
    <w:name w:val="Sous-titre1"/>
    <w:basedOn w:val="Policepardfaut"/>
    <w:rsid w:val="00561BDC"/>
  </w:style>
  <w:style w:type="character" w:customStyle="1" w:styleId="num-ratings">
    <w:name w:val="num-ratings"/>
    <w:basedOn w:val="Policepardfaut"/>
    <w:rsid w:val="00561BDC"/>
  </w:style>
  <w:style w:type="character" w:customStyle="1" w:styleId="count">
    <w:name w:val="count"/>
    <w:basedOn w:val="Policepardfaut"/>
    <w:rsid w:val="00561BDC"/>
  </w:style>
  <w:style w:type="character" w:customStyle="1" w:styleId="addmd">
    <w:name w:val="addmd"/>
    <w:basedOn w:val="Policepardfaut"/>
    <w:rsid w:val="00561BDC"/>
  </w:style>
  <w:style w:type="character" w:customStyle="1" w:styleId="st">
    <w:name w:val="st"/>
    <w:basedOn w:val="Policepardfaut"/>
    <w:rsid w:val="00561BDC"/>
  </w:style>
  <w:style w:type="character" w:customStyle="1" w:styleId="srchexplword">
    <w:name w:val="srch_expl_word"/>
    <w:basedOn w:val="Policepardfaut"/>
    <w:rsid w:val="00561BDC"/>
  </w:style>
  <w:style w:type="character" w:customStyle="1" w:styleId="Date1">
    <w:name w:val="Date1"/>
    <w:basedOn w:val="Policepardfaut"/>
    <w:rsid w:val="00561BDC"/>
  </w:style>
  <w:style w:type="character" w:customStyle="1" w:styleId="auteur">
    <w:name w:val="auteur"/>
    <w:basedOn w:val="Policepardfaut"/>
    <w:rsid w:val="00561BDC"/>
  </w:style>
  <w:style w:type="character" w:customStyle="1" w:styleId="yiv9494447368apple-style-span">
    <w:name w:val="yiv9494447368apple-style-span"/>
    <w:basedOn w:val="Policepardfaut"/>
    <w:rsid w:val="00561BDC"/>
  </w:style>
  <w:style w:type="character" w:customStyle="1" w:styleId="emploi">
    <w:name w:val="emploi"/>
    <w:basedOn w:val="Policepardfaut"/>
    <w:rsid w:val="00561BDC"/>
  </w:style>
  <w:style w:type="character" w:customStyle="1" w:styleId="texte">
    <w:name w:val="texte"/>
    <w:basedOn w:val="Policepardfaut"/>
    <w:rsid w:val="00561BDC"/>
  </w:style>
  <w:style w:type="character" w:customStyle="1" w:styleId="red">
    <w:name w:val="red"/>
    <w:basedOn w:val="Policepardfaut"/>
    <w:rsid w:val="00561BDC"/>
  </w:style>
  <w:style w:type="character" w:customStyle="1" w:styleId="num">
    <w:name w:val="num"/>
    <w:basedOn w:val="Policepardfaut"/>
    <w:rsid w:val="00561BDC"/>
  </w:style>
  <w:style w:type="character" w:customStyle="1" w:styleId="content">
    <w:name w:val="content"/>
    <w:basedOn w:val="Policepardfaut"/>
    <w:rsid w:val="00561BDC"/>
  </w:style>
  <w:style w:type="character" w:customStyle="1" w:styleId="lang-he">
    <w:name w:val="lang-he"/>
    <w:basedOn w:val="Policepardfaut"/>
    <w:rsid w:val="00561BDC"/>
  </w:style>
  <w:style w:type="character" w:customStyle="1" w:styleId="info-desc">
    <w:name w:val="info-desc"/>
    <w:basedOn w:val="Policepardfaut"/>
    <w:rsid w:val="00561BDC"/>
  </w:style>
  <w:style w:type="character" w:customStyle="1" w:styleId="info-title">
    <w:name w:val="info-title"/>
    <w:basedOn w:val="Policepardfaut"/>
    <w:rsid w:val="00561BDC"/>
  </w:style>
  <w:style w:type="character" w:customStyle="1" w:styleId="numverset1">
    <w:name w:val="num_verset1"/>
    <w:basedOn w:val="Policepardfaut"/>
    <w:rsid w:val="00561BDC"/>
    <w:rPr>
      <w:sz w:val="15"/>
      <w:szCs w:val="15"/>
    </w:rPr>
  </w:style>
  <w:style w:type="character" w:customStyle="1" w:styleId="StyleComplexeTraditionalArabicNoir1">
    <w:name w:val="Style (Complexe) Traditional Arabic Noir1"/>
    <w:basedOn w:val="Policepardfaut"/>
    <w:rsid w:val="00561BDC"/>
    <w:rPr>
      <w:rFonts w:ascii="Traditional Arabic" w:hAnsi="Traditional Arabic" w:cs="Traditional Arabic" w:hint="default"/>
      <w:color w:val="000000"/>
    </w:rPr>
  </w:style>
  <w:style w:type="character" w:customStyle="1" w:styleId="date-lien">
    <w:name w:val="date-lien"/>
    <w:basedOn w:val="Policepardfaut"/>
    <w:rsid w:val="00561BDC"/>
  </w:style>
  <w:style w:type="character" w:customStyle="1" w:styleId="ligne-de-forme">
    <w:name w:val="ligne-de-forme"/>
    <w:basedOn w:val="Policepardfaut"/>
    <w:rsid w:val="00561BDC"/>
  </w:style>
  <w:style w:type="character" w:customStyle="1" w:styleId="StyleStyleComplexeTraditionalArabicNoir1Gras1">
    <w:name w:val="Style Style (Complexe) Traditional Arabic Noir1 + Gras1"/>
    <w:basedOn w:val="StyleComplexeTraditionalArabicNoir1"/>
    <w:rsid w:val="00561BDC"/>
    <w:rPr>
      <w:rFonts w:ascii="Traditional Arabic" w:hAnsi="Traditional Arabic" w:cs="Traditional Arabic" w:hint="default"/>
      <w:color w:val="000000"/>
    </w:rPr>
  </w:style>
  <w:style w:type="character" w:customStyle="1" w:styleId="StyleGrasItaliqueNoir">
    <w:name w:val="Style Gras Italique Noir"/>
    <w:basedOn w:val="Policepardfaut"/>
    <w:rsid w:val="00561BDC"/>
    <w:rPr>
      <w:i/>
      <w:iCs/>
      <w:color w:val="000000"/>
    </w:rPr>
  </w:style>
  <w:style w:type="character" w:customStyle="1" w:styleId="watch-title">
    <w:name w:val="watch-title"/>
    <w:basedOn w:val="Policepardfaut"/>
    <w:rsid w:val="00561BDC"/>
  </w:style>
  <w:style w:type="character" w:customStyle="1" w:styleId="a-size-large">
    <w:name w:val="a-size-large"/>
    <w:basedOn w:val="Policepardfaut"/>
    <w:rsid w:val="00561BDC"/>
  </w:style>
  <w:style w:type="character" w:customStyle="1" w:styleId="a-size-medium">
    <w:name w:val="a-size-medium"/>
    <w:basedOn w:val="Policepardfaut"/>
    <w:rsid w:val="00561BDC"/>
  </w:style>
  <w:style w:type="table" w:styleId="Grilledutableau">
    <w:name w:val="Table Grid"/>
    <w:basedOn w:val="TableauNormal"/>
    <w:rsid w:val="00561B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561BDC"/>
    <w:rPr>
      <w:b/>
      <w:bCs/>
    </w:rPr>
  </w:style>
  <w:style w:type="character" w:styleId="CitationHTML">
    <w:name w:val="HTML Cite"/>
    <w:basedOn w:val="Policepardfaut"/>
    <w:uiPriority w:val="99"/>
    <w:semiHidden/>
    <w:unhideWhenUsed/>
    <w:rsid w:val="00561BDC"/>
    <w:rPr>
      <w:i/>
      <w:iCs/>
    </w:rPr>
  </w:style>
  <w:style w:type="paragraph" w:styleId="Notedebasdepage">
    <w:name w:val="footnote text"/>
    <w:aliases w:val="n"/>
    <w:basedOn w:val="Normal"/>
    <w:link w:val="NotedebasdepageCar"/>
    <w:unhideWhenUsed/>
    <w:rsid w:val="00561BDC"/>
    <w:rPr>
      <w:rFonts w:ascii="Calibri" w:eastAsia="Calibri" w:hAnsi="Calibri" w:cstheme="minorBidi"/>
      <w:sz w:val="22"/>
      <w:szCs w:val="22"/>
      <w:lang w:eastAsia="en-US"/>
    </w:rPr>
  </w:style>
  <w:style w:type="character" w:customStyle="1" w:styleId="FootnoteTextChar2">
    <w:name w:val="Footnote Text Char2"/>
    <w:basedOn w:val="Policepardfaut"/>
    <w:uiPriority w:val="99"/>
    <w:semiHidden/>
    <w:rsid w:val="00561BDC"/>
    <w:rPr>
      <w:sz w:val="20"/>
      <w:szCs w:val="20"/>
    </w:rPr>
  </w:style>
  <w:style w:type="character" w:customStyle="1" w:styleId="yiv2563073869apple-style-span">
    <w:name w:val="yiv2563073869apple-style-span"/>
    <w:basedOn w:val="Policepardfaut"/>
    <w:rsid w:val="005D7C2D"/>
  </w:style>
  <w:style w:type="paragraph" w:styleId="Explorateurdedocuments">
    <w:name w:val="Document Map"/>
    <w:basedOn w:val="Normal"/>
    <w:link w:val="ExplorateurdedocumentsCar"/>
    <w:uiPriority w:val="99"/>
    <w:semiHidden/>
    <w:unhideWhenUsed/>
    <w:rsid w:val="00F2495C"/>
  </w:style>
  <w:style w:type="character" w:customStyle="1" w:styleId="ExplorateurdedocumentsCar">
    <w:name w:val="Explorateur de documents Car"/>
    <w:basedOn w:val="Policepardfaut"/>
    <w:link w:val="Explorateurdedocuments"/>
    <w:uiPriority w:val="99"/>
    <w:semiHidden/>
    <w:rsid w:val="00F2495C"/>
    <w:rPr>
      <w:rFonts w:ascii="Times New Roman" w:hAnsi="Times New Roman" w:cs="Times New Roman"/>
      <w:sz w:val="24"/>
      <w:szCs w:val="24"/>
      <w:lang w:val="fr-FR" w:eastAsia="fr-FR"/>
    </w:rPr>
  </w:style>
  <w:style w:type="character" w:styleId="Accentuation">
    <w:name w:val="Emphasis"/>
    <w:basedOn w:val="Policepardfaut"/>
    <w:uiPriority w:val="20"/>
    <w:qFormat/>
    <w:rsid w:val="007E435C"/>
    <w:rPr>
      <w:i/>
      <w:iCs/>
    </w:rPr>
  </w:style>
  <w:style w:type="paragraph" w:customStyle="1" w:styleId="Style1">
    <w:name w:val="Style1"/>
    <w:basedOn w:val="Normal"/>
    <w:qFormat/>
    <w:rsid w:val="00E154CE"/>
    <w:pPr>
      <w:ind w:firstLine="170"/>
      <w:jc w:val="both"/>
    </w:pPr>
    <w:rPr>
      <w:rFonts w:ascii="TITUS Cyberbit Basic" w:eastAsia="Times" w:hAnsi="TITUS Cyberbit Basic"/>
      <w:szCs w:val="20"/>
    </w:rPr>
  </w:style>
  <w:style w:type="character" w:customStyle="1" w:styleId="NotedebasdepageCar1">
    <w:name w:val="Note de bas de page Car1"/>
    <w:basedOn w:val="Policepardfaut"/>
    <w:semiHidden/>
    <w:rsid w:val="00EB5652"/>
    <w:rPr>
      <w:sz w:val="24"/>
      <w:szCs w:val="24"/>
      <w:lang w:val="fr-FR"/>
    </w:rPr>
  </w:style>
  <w:style w:type="character" w:customStyle="1" w:styleId="citationitalic">
    <w:name w:val="citationitalic"/>
    <w:basedOn w:val="Policepardfaut"/>
    <w:rsid w:val="00EB5652"/>
  </w:style>
  <w:style w:type="character" w:customStyle="1" w:styleId="familyname">
    <w:name w:val="familyname"/>
    <w:basedOn w:val="Policepardfaut"/>
    <w:rsid w:val="007214B1"/>
  </w:style>
  <w:style w:type="character" w:customStyle="1" w:styleId="superscript">
    <w:name w:val="superscript"/>
    <w:basedOn w:val="Policepardfaut"/>
    <w:rsid w:val="007214B1"/>
  </w:style>
  <w:style w:type="character" w:customStyle="1" w:styleId="Titre5Car">
    <w:name w:val="Titre 5 Car"/>
    <w:basedOn w:val="Policepardfaut"/>
    <w:link w:val="Titre5"/>
    <w:uiPriority w:val="9"/>
    <w:rsid w:val="00296288"/>
    <w:rPr>
      <w:rFonts w:ascii="Times New Roman" w:eastAsia="Times New Roman" w:hAnsi="Times New Roman" w:cs="Times New Roman"/>
      <w:b/>
      <w:bCs/>
      <w:sz w:val="20"/>
      <w:szCs w:val="20"/>
      <w:lang w:val="fr-FR"/>
    </w:rPr>
  </w:style>
  <w:style w:type="character" w:customStyle="1" w:styleId="hps">
    <w:name w:val="hps"/>
    <w:basedOn w:val="Policepardfaut"/>
    <w:rsid w:val="00296288"/>
  </w:style>
  <w:style w:type="character" w:customStyle="1" w:styleId="textexposedshow">
    <w:name w:val="text_exposed_show"/>
    <w:basedOn w:val="Policepardfaut"/>
    <w:rsid w:val="00296288"/>
  </w:style>
  <w:style w:type="character" w:customStyle="1" w:styleId="contentverset">
    <w:name w:val="content_verset"/>
    <w:basedOn w:val="Policepardfaut"/>
    <w:rsid w:val="00296288"/>
  </w:style>
  <w:style w:type="character" w:customStyle="1" w:styleId="footnote1">
    <w:name w:val="footnote1"/>
    <w:basedOn w:val="Policepardfaut"/>
    <w:rsid w:val="00296288"/>
    <w:rPr>
      <w:rFonts w:ascii="Verdana" w:hAnsi="Verdana" w:hint="default"/>
      <w:sz w:val="16"/>
      <w:szCs w:val="16"/>
    </w:rPr>
  </w:style>
  <w:style w:type="character" w:customStyle="1" w:styleId="arabicfoot1">
    <w:name w:val="arabicfoot1"/>
    <w:basedOn w:val="Policepardfaut"/>
    <w:rsid w:val="00296288"/>
    <w:rPr>
      <w:color w:val="000000"/>
      <w:sz w:val="22"/>
      <w:szCs w:val="22"/>
    </w:rPr>
  </w:style>
  <w:style w:type="paragraph" w:styleId="PrformatHTML">
    <w:name w:val="HTML Preformatted"/>
    <w:basedOn w:val="Normal"/>
    <w:link w:val="PrformatHTMLCar"/>
    <w:uiPriority w:val="99"/>
    <w:semiHidden/>
    <w:unhideWhenUsed/>
    <w:rsid w:val="002962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PrformatHTMLCar">
    <w:name w:val="Préformaté HTML Car"/>
    <w:basedOn w:val="Policepardfaut"/>
    <w:link w:val="PrformatHTML"/>
    <w:uiPriority w:val="99"/>
    <w:semiHidden/>
    <w:rsid w:val="00296288"/>
    <w:rPr>
      <w:rFonts w:ascii="Courier New" w:eastAsia="Times New Roman" w:hAnsi="Courier New" w:cs="Courier New"/>
      <w:sz w:val="20"/>
      <w:szCs w:val="20"/>
      <w:lang w:val="fr-FR"/>
    </w:rPr>
  </w:style>
  <w:style w:type="character" w:customStyle="1" w:styleId="uficommentbody">
    <w:name w:val="uficommentbody"/>
    <w:basedOn w:val="Policepardfaut"/>
    <w:rsid w:val="00296288"/>
  </w:style>
  <w:style w:type="character" w:customStyle="1" w:styleId="t3">
    <w:name w:val="t3"/>
    <w:basedOn w:val="Policepardfaut"/>
    <w:rsid w:val="00A70B78"/>
  </w:style>
  <w:style w:type="character" w:customStyle="1" w:styleId="5yl5">
    <w:name w:val="_5yl5"/>
    <w:basedOn w:val="Policepardfaut"/>
    <w:rsid w:val="00A70B78"/>
  </w:style>
  <w:style w:type="character" w:customStyle="1" w:styleId="shorttext">
    <w:name w:val="short_text"/>
    <w:basedOn w:val="Policepardfaut"/>
    <w:rsid w:val="00A70B78"/>
  </w:style>
  <w:style w:type="character" w:customStyle="1" w:styleId="tlfcdomaine">
    <w:name w:val="tlf_cdomaine"/>
    <w:basedOn w:val="Policepardfaut"/>
    <w:rsid w:val="00A70B78"/>
  </w:style>
  <w:style w:type="character" w:customStyle="1" w:styleId="tlfcsyntagme">
    <w:name w:val="tlf_csyntagme"/>
    <w:basedOn w:val="Policepardfaut"/>
    <w:rsid w:val="00A70B78"/>
  </w:style>
  <w:style w:type="character" w:customStyle="1" w:styleId="tlfcdefinition">
    <w:name w:val="tlf_cdefinition"/>
    <w:basedOn w:val="Policepardfaut"/>
    <w:rsid w:val="00A70B78"/>
  </w:style>
  <w:style w:type="character" w:customStyle="1" w:styleId="uppercase">
    <w:name w:val="uppercase"/>
    <w:basedOn w:val="Policepardfaut"/>
    <w:rsid w:val="00A70B78"/>
  </w:style>
  <w:style w:type="character" w:styleId="Numrodepage">
    <w:name w:val="page number"/>
    <w:basedOn w:val="Policepardfaut"/>
    <w:uiPriority w:val="99"/>
    <w:semiHidden/>
    <w:unhideWhenUsed/>
    <w:rsid w:val="00A70B78"/>
  </w:style>
  <w:style w:type="character" w:customStyle="1" w:styleId="exempledefinition">
    <w:name w:val="exempledefinition"/>
    <w:basedOn w:val="Policepardfaut"/>
    <w:rsid w:val="00A70B78"/>
  </w:style>
  <w:style w:type="character" w:customStyle="1" w:styleId="tlfcplan">
    <w:name w:val="tlf_cplan"/>
    <w:basedOn w:val="Policepardfaut"/>
    <w:rsid w:val="00A70B78"/>
  </w:style>
  <w:style w:type="character" w:customStyle="1" w:styleId="sdfn1">
    <w:name w:val="s_dfn1"/>
    <w:basedOn w:val="Policepardfaut"/>
    <w:rsid w:val="00A70B78"/>
    <w:rPr>
      <w:i w:val="0"/>
      <w:iCs w:val="0"/>
      <w:color w:val="00005A"/>
    </w:rPr>
  </w:style>
  <w:style w:type="paragraph" w:styleId="Rvision">
    <w:name w:val="Revision"/>
    <w:hidden/>
    <w:uiPriority w:val="99"/>
    <w:semiHidden/>
    <w:rsid w:val="00A70B78"/>
    <w:pPr>
      <w:spacing w:after="0" w:line="240" w:lineRule="auto"/>
    </w:pPr>
    <w:rPr>
      <w:sz w:val="24"/>
      <w:szCs w:val="24"/>
      <w:lang w:val="fr-FR"/>
    </w:rPr>
  </w:style>
  <w:style w:type="character" w:customStyle="1" w:styleId="Titre9Car">
    <w:name w:val="Titre 9 Car"/>
    <w:basedOn w:val="Policepardfaut"/>
    <w:link w:val="Titre9"/>
    <w:semiHidden/>
    <w:rsid w:val="00F324A5"/>
    <w:rPr>
      <w:rFonts w:ascii="(Utiliser une police de caractè" w:eastAsia="Times New Roman" w:hAnsi="(Utiliser une police de caractè" w:cs="Traditional Arabic"/>
      <w:sz w:val="20"/>
      <w:szCs w:val="20"/>
      <w:lang w:val="fr-FR" w:eastAsia="fr-CH"/>
    </w:rPr>
  </w:style>
  <w:style w:type="paragraph" w:styleId="Corpsdetexte">
    <w:name w:val="Body Text"/>
    <w:basedOn w:val="Normal"/>
    <w:link w:val="CorpsdetexteCar"/>
    <w:semiHidden/>
    <w:rsid w:val="00F324A5"/>
    <w:pPr>
      <w:spacing w:line="360" w:lineRule="auto"/>
      <w:jc w:val="both"/>
    </w:pPr>
    <w:rPr>
      <w:rFonts w:eastAsia="Times New Roman"/>
      <w:lang w:eastAsia="en-US"/>
    </w:rPr>
  </w:style>
  <w:style w:type="character" w:customStyle="1" w:styleId="CorpsdetexteCar">
    <w:name w:val="Corps de texte Car"/>
    <w:basedOn w:val="Policepardfaut"/>
    <w:link w:val="Corpsdetexte"/>
    <w:semiHidden/>
    <w:rsid w:val="00F324A5"/>
    <w:rPr>
      <w:rFonts w:ascii="Times New Roman" w:eastAsia="Times New Roman" w:hAnsi="Times New Roman" w:cs="Times New Roman"/>
      <w:sz w:val="24"/>
      <w:szCs w:val="24"/>
      <w:lang w:val="fr-FR"/>
    </w:rPr>
  </w:style>
  <w:style w:type="character" w:customStyle="1" w:styleId="Titre1Car1">
    <w:name w:val="Titre 1 Car1"/>
    <w:basedOn w:val="Policepardfaut"/>
    <w:rsid w:val="00F324A5"/>
    <w:rPr>
      <w:rFonts w:ascii="Times New Roman" w:eastAsia="Times New Roman" w:hAnsi="Times New Roman" w:cs="Times New Roman"/>
      <w:b/>
      <w:bCs/>
      <w:caps/>
      <w:color w:val="FFFFFF"/>
      <w:sz w:val="32"/>
      <w:szCs w:val="32"/>
      <w:shd w:val="clear" w:color="auto" w:fill="5F5F5F"/>
      <w:lang w:val="fr-FR"/>
    </w:rPr>
  </w:style>
  <w:style w:type="paragraph" w:styleId="TM1">
    <w:name w:val="toc 1"/>
    <w:basedOn w:val="Normal"/>
    <w:next w:val="Normal"/>
    <w:autoRedefine/>
    <w:semiHidden/>
    <w:unhideWhenUsed/>
    <w:rsid w:val="00F324A5"/>
    <w:pPr>
      <w:keepLines/>
      <w:tabs>
        <w:tab w:val="right" w:pos="9629"/>
      </w:tabs>
      <w:ind w:right="68"/>
    </w:pPr>
    <w:rPr>
      <w:rFonts w:eastAsia="Times New Roman"/>
      <w:b/>
      <w:bCs/>
      <w:noProof/>
      <w:sz w:val="22"/>
      <w:szCs w:val="22"/>
      <w:lang w:eastAsia="fr-CH"/>
    </w:rPr>
  </w:style>
  <w:style w:type="character" w:customStyle="1" w:styleId="ListepucesCar">
    <w:name w:val="Liste à puces Car"/>
    <w:basedOn w:val="Policepardfaut"/>
    <w:link w:val="Listepuces"/>
    <w:semiHidden/>
    <w:locked/>
    <w:rsid w:val="00F324A5"/>
    <w:rPr>
      <w:rFonts w:ascii="Times New (W1)" w:hAnsi="Times New (W1)" w:cs="Traditional Arabic"/>
      <w:bCs/>
      <w:sz w:val="24"/>
      <w:szCs w:val="24"/>
      <w:lang w:val="fr-FR" w:eastAsia="fr-CH"/>
    </w:rPr>
  </w:style>
  <w:style w:type="paragraph" w:customStyle="1" w:styleId="ListBullet1">
    <w:name w:val="List Bullet1"/>
    <w:basedOn w:val="Normal"/>
    <w:next w:val="Listepuces"/>
    <w:semiHidden/>
    <w:unhideWhenUsed/>
    <w:rsid w:val="00F324A5"/>
    <w:pPr>
      <w:keepLines/>
      <w:numPr>
        <w:numId w:val="142"/>
      </w:numPr>
      <w:ind w:right="68"/>
      <w:jc w:val="both"/>
    </w:pPr>
    <w:rPr>
      <w:rFonts w:ascii="Times New (W1)" w:hAnsi="Times New (W1)" w:cs="Traditional Arabic"/>
      <w:bCs/>
      <w:lang w:eastAsia="fr-CH"/>
    </w:rPr>
  </w:style>
  <w:style w:type="paragraph" w:styleId="Titre">
    <w:name w:val="Title"/>
    <w:basedOn w:val="Normal"/>
    <w:link w:val="TitreCar"/>
    <w:qFormat/>
    <w:rsid w:val="00F324A5"/>
    <w:pPr>
      <w:keepLines/>
      <w:spacing w:before="240"/>
      <w:ind w:right="68"/>
      <w:jc w:val="center"/>
      <w:outlineLvl w:val="0"/>
    </w:pPr>
    <w:rPr>
      <w:rFonts w:ascii="Arial" w:eastAsia="Times New Roman" w:hAnsi="Arial" w:cs="Traditional Arabic"/>
      <w:b/>
      <w:kern w:val="28"/>
      <w:sz w:val="32"/>
      <w:szCs w:val="32"/>
      <w:lang w:eastAsia="fr-CH"/>
    </w:rPr>
  </w:style>
  <w:style w:type="character" w:customStyle="1" w:styleId="TitreCar">
    <w:name w:val="Titre Car"/>
    <w:basedOn w:val="Policepardfaut"/>
    <w:link w:val="Titre"/>
    <w:rsid w:val="00F324A5"/>
    <w:rPr>
      <w:rFonts w:ascii="Arial" w:eastAsia="Times New Roman" w:hAnsi="Arial" w:cs="Traditional Arabic"/>
      <w:b/>
      <w:kern w:val="28"/>
      <w:sz w:val="32"/>
      <w:szCs w:val="32"/>
      <w:lang w:val="fr-FR" w:eastAsia="fr-CH"/>
    </w:rPr>
  </w:style>
  <w:style w:type="paragraph" w:styleId="Retraitcorpsdetexte">
    <w:name w:val="Body Text Indent"/>
    <w:basedOn w:val="Normal"/>
    <w:link w:val="RetraitcorpsdetexteCar"/>
    <w:semiHidden/>
    <w:unhideWhenUsed/>
    <w:rsid w:val="00F324A5"/>
    <w:pPr>
      <w:keepLines/>
      <w:spacing w:after="120"/>
      <w:ind w:left="283" w:right="68"/>
      <w:jc w:val="both"/>
    </w:pPr>
    <w:rPr>
      <w:rFonts w:ascii="Times New (W1)" w:eastAsia="Times New Roman" w:hAnsi="Times New (W1)" w:cs="Traditional Arabic"/>
      <w:bCs/>
      <w:lang w:eastAsia="fr-CH"/>
    </w:rPr>
  </w:style>
  <w:style w:type="character" w:customStyle="1" w:styleId="RetraitcorpsdetexteCar">
    <w:name w:val="Retrait corps de texte Car"/>
    <w:basedOn w:val="Policepardfaut"/>
    <w:link w:val="Retraitcorpsdetexte"/>
    <w:semiHidden/>
    <w:rsid w:val="00F324A5"/>
    <w:rPr>
      <w:rFonts w:ascii="Times New (W1)" w:eastAsia="Times New Roman" w:hAnsi="Times New (W1)" w:cs="Traditional Arabic"/>
      <w:bCs/>
      <w:sz w:val="24"/>
      <w:szCs w:val="24"/>
      <w:lang w:val="fr-FR" w:eastAsia="fr-CH"/>
    </w:rPr>
  </w:style>
  <w:style w:type="paragraph" w:styleId="Corpsdetexte2">
    <w:name w:val="Body Text 2"/>
    <w:basedOn w:val="Normal"/>
    <w:link w:val="Corpsdetexte2Car"/>
    <w:autoRedefine/>
    <w:semiHidden/>
    <w:unhideWhenUsed/>
    <w:rsid w:val="00F324A5"/>
    <w:pPr>
      <w:widowControl w:val="0"/>
      <w:tabs>
        <w:tab w:val="left" w:pos="9540"/>
      </w:tabs>
      <w:bidi/>
      <w:ind w:right="68"/>
      <w:jc w:val="both"/>
    </w:pPr>
    <w:rPr>
      <w:rFonts w:ascii="Times New (W1)" w:eastAsia="Times New Roman" w:hAnsi="Times New (W1)" w:cs="Traditional Arabic"/>
      <w:noProof/>
      <w:color w:val="000000"/>
      <w:lang w:eastAsia="fr-CH"/>
    </w:rPr>
  </w:style>
  <w:style w:type="character" w:customStyle="1" w:styleId="Corpsdetexte2Car">
    <w:name w:val="Corps de texte 2 Car"/>
    <w:basedOn w:val="Policepardfaut"/>
    <w:link w:val="Corpsdetexte2"/>
    <w:semiHidden/>
    <w:rsid w:val="00F324A5"/>
    <w:rPr>
      <w:rFonts w:ascii="Times New (W1)" w:eastAsia="Times New Roman" w:hAnsi="Times New (W1)" w:cs="Traditional Arabic"/>
      <w:noProof/>
      <w:color w:val="000000"/>
      <w:sz w:val="24"/>
      <w:szCs w:val="24"/>
      <w:lang w:val="fr-FR" w:eastAsia="fr-CH"/>
    </w:rPr>
  </w:style>
  <w:style w:type="character" w:customStyle="1" w:styleId="CitationCar">
    <w:name w:val="Citation Car"/>
    <w:basedOn w:val="Policepardfaut"/>
    <w:link w:val="Citation1"/>
    <w:locked/>
    <w:rsid w:val="00F324A5"/>
    <w:rPr>
      <w:rFonts w:ascii="Times New (W1)" w:hAnsi="Times New (W1)" w:cs="Traditional Arabic"/>
      <w:lang w:val="fr-FR" w:eastAsia="fr-FR"/>
    </w:rPr>
  </w:style>
  <w:style w:type="paragraph" w:customStyle="1" w:styleId="Citation1">
    <w:name w:val="Citation1"/>
    <w:basedOn w:val="Normal"/>
    <w:link w:val="CitationCar"/>
    <w:rsid w:val="00F324A5"/>
    <w:pPr>
      <w:keepLines/>
      <w:ind w:left="513" w:right="67"/>
      <w:jc w:val="both"/>
    </w:pPr>
    <w:rPr>
      <w:rFonts w:ascii="Times New (W1)" w:hAnsi="Times New (W1)" w:cs="Traditional Arabic"/>
      <w:sz w:val="22"/>
      <w:szCs w:val="22"/>
    </w:rPr>
  </w:style>
  <w:style w:type="paragraph" w:customStyle="1" w:styleId="StyleComplexeTraditionalArabicNoirAvant0ptAprs01">
    <w:name w:val="Style (Complexe) Traditional Arabic Noir Avant : 0 pt Après : 0 ...1"/>
    <w:autoRedefine/>
    <w:rsid w:val="00F324A5"/>
    <w:pPr>
      <w:bidi/>
      <w:spacing w:after="0" w:line="240" w:lineRule="auto"/>
    </w:pPr>
    <w:rPr>
      <w:rFonts w:ascii="Times New (W1)" w:eastAsia="Times New Roman" w:hAnsi="Times New (W1)" w:cs="Traditional Arabic"/>
      <w:noProof/>
      <w:color w:val="000000"/>
      <w:sz w:val="24"/>
      <w:szCs w:val="24"/>
      <w:lang w:val="fr-FR" w:eastAsia="fr-CH"/>
    </w:rPr>
  </w:style>
  <w:style w:type="character" w:customStyle="1" w:styleId="StyleCorpsdetexte2ComplexeTraditionalArabicComplexe1Car">
    <w:name w:val="Style Corps de texte 2 + (Complexe) Traditional Arabic (Complexe) ...1 Car"/>
    <w:basedOn w:val="Policepardfaut"/>
    <w:link w:val="StyleCorpsdetexte2ComplexeTraditionalArabicComplexe1"/>
    <w:locked/>
    <w:rsid w:val="00F324A5"/>
    <w:rPr>
      <w:rFonts w:ascii="Times New (W1)" w:hAnsi="Times New (W1)" w:cs="Traditional Arabic"/>
      <w:bCs/>
      <w:color w:val="000000"/>
      <w:sz w:val="24"/>
      <w:szCs w:val="24"/>
      <w:lang w:val="fr-FR" w:eastAsia="fr-CH"/>
    </w:rPr>
  </w:style>
  <w:style w:type="paragraph" w:customStyle="1" w:styleId="StyleCorpsdetexte2ComplexeTraditionalArabicComplexe1">
    <w:name w:val="Style Corps de texte 2 + (Complexe) Traditional Arabic (Complexe) ...1"/>
    <w:link w:val="StyleCorpsdetexte2ComplexeTraditionalArabicComplexe1Car"/>
    <w:autoRedefine/>
    <w:rsid w:val="00F324A5"/>
    <w:pPr>
      <w:spacing w:after="0" w:line="240" w:lineRule="auto"/>
    </w:pPr>
    <w:rPr>
      <w:rFonts w:ascii="Times New (W1)" w:hAnsi="Times New (W1)" w:cs="Traditional Arabic"/>
      <w:bCs/>
      <w:color w:val="000000"/>
      <w:sz w:val="24"/>
      <w:szCs w:val="24"/>
      <w:lang w:val="fr-FR" w:eastAsia="fr-CH"/>
    </w:rPr>
  </w:style>
  <w:style w:type="character" w:customStyle="1" w:styleId="StyleCorpsdetexte2ComplexeTraditionalArabicComplexe2Car">
    <w:name w:val="Style Corps de texte 2 + (Complexe) Traditional Arabic (Complexe) ...2 Car"/>
    <w:basedOn w:val="Policepardfaut"/>
    <w:link w:val="StyleCorpsdetexte2ComplexeTraditionalArabicComplexe2"/>
    <w:locked/>
    <w:rsid w:val="00F324A5"/>
    <w:rPr>
      <w:rFonts w:ascii="Times New (W1)" w:hAnsi="Times New (W1)" w:cs="Traditional Arabic"/>
      <w:bCs/>
      <w:color w:val="000000"/>
      <w:sz w:val="24"/>
      <w:szCs w:val="24"/>
      <w:lang w:val="fr-FR" w:eastAsia="fr-CH"/>
    </w:rPr>
  </w:style>
  <w:style w:type="paragraph" w:customStyle="1" w:styleId="StyleCorpsdetexte2ComplexeTraditionalArabicComplexe2">
    <w:name w:val="Style Corps de texte 2 + (Complexe) Traditional Arabic (Complexe) ...2"/>
    <w:link w:val="StyleCorpsdetexte2ComplexeTraditionalArabicComplexe2Car"/>
    <w:autoRedefine/>
    <w:rsid w:val="00F324A5"/>
    <w:pPr>
      <w:spacing w:after="0" w:line="240" w:lineRule="auto"/>
    </w:pPr>
    <w:rPr>
      <w:rFonts w:ascii="Times New (W1)" w:hAnsi="Times New (W1)" w:cs="Traditional Arabic"/>
      <w:bCs/>
      <w:color w:val="000000"/>
      <w:sz w:val="24"/>
      <w:szCs w:val="24"/>
      <w:lang w:val="fr-FR" w:eastAsia="fr-CH"/>
    </w:rPr>
  </w:style>
  <w:style w:type="paragraph" w:customStyle="1" w:styleId="StyleTitreLatinUtiliserunepolicedecaractComplexeA">
    <w:name w:val="Style Titre + (Latin) (Utiliser une police de caractè (Complexe) A..."/>
    <w:basedOn w:val="Titre"/>
    <w:autoRedefine/>
    <w:rsid w:val="00F324A5"/>
    <w:pPr>
      <w:spacing w:before="0"/>
      <w:ind w:right="67"/>
    </w:pPr>
    <w:rPr>
      <w:rFonts w:ascii="(Utiliser une police de caractè" w:hAnsi="(Utiliser une police de caractè" w:cs="AF_Diwani"/>
      <w:b w:val="0"/>
      <w:bCs/>
      <w:caps/>
      <w:color w:val="000000"/>
      <w:sz w:val="160"/>
      <w:szCs w:val="144"/>
    </w:rPr>
  </w:style>
  <w:style w:type="paragraph" w:customStyle="1" w:styleId="StyleGrasNoirAvant0cmSuspendu095cmAprs012cm">
    <w:name w:val="Style Gras Noir Avant : 0 cm Suspendu : 0.95 cm Après : 0.12 cm"/>
    <w:basedOn w:val="Normal"/>
    <w:autoRedefine/>
    <w:rsid w:val="00F324A5"/>
    <w:pPr>
      <w:keepLines/>
      <w:ind w:left="540" w:right="67" w:hanging="540"/>
      <w:jc w:val="both"/>
    </w:pPr>
    <w:rPr>
      <w:rFonts w:ascii="Times New (W1)" w:eastAsia="Times New Roman" w:hAnsi="Times New (W1)" w:cs="Traditional Arabic"/>
      <w:b/>
      <w:color w:val="000000"/>
      <w:lang w:eastAsia="fr-CH"/>
    </w:rPr>
  </w:style>
  <w:style w:type="paragraph" w:customStyle="1" w:styleId="StyleStyleTitreLatinUtiliserunepolicedecaractComple">
    <w:name w:val="Style Style Titre + (Latin) (Utiliser une police de caractè (Comple..."/>
    <w:basedOn w:val="StyleTitreLatinUtiliserunepolicedecaractComplexeA"/>
    <w:rsid w:val="00F324A5"/>
    <w:rPr>
      <w:bCs w:val="0"/>
    </w:rPr>
  </w:style>
  <w:style w:type="paragraph" w:customStyle="1" w:styleId="StyleGrasNoirAprs012cm">
    <w:name w:val="Style Gras Noir Après : 0.12 cm"/>
    <w:basedOn w:val="Normal"/>
    <w:rsid w:val="00F324A5"/>
    <w:pPr>
      <w:keepLines/>
      <w:ind w:right="67"/>
      <w:jc w:val="both"/>
    </w:pPr>
    <w:rPr>
      <w:rFonts w:ascii="Times New (W1)" w:eastAsia="Times New Roman" w:hAnsi="Times New (W1)" w:cs="Traditional Arabic"/>
      <w:color w:val="000000"/>
      <w:lang w:eastAsia="fr-CH"/>
    </w:rPr>
  </w:style>
  <w:style w:type="character" w:customStyle="1" w:styleId="StyleCitationLatinGrasNoirCar">
    <w:name w:val="Style Citation + (Latin) Gras Noir Car"/>
    <w:basedOn w:val="CitationCar"/>
    <w:link w:val="StyleCitationLatinGrasNoir"/>
    <w:locked/>
    <w:rsid w:val="00F324A5"/>
    <w:rPr>
      <w:rFonts w:ascii="Times New (W1)" w:hAnsi="Times New (W1)" w:cs="Traditional Arabic"/>
      <w:color w:val="000000"/>
      <w:lang w:val="fr-FR" w:eastAsia="fr-FR"/>
    </w:rPr>
  </w:style>
  <w:style w:type="paragraph" w:customStyle="1" w:styleId="StyleCitationLatinGrasNoir">
    <w:name w:val="Style Citation + (Latin) Gras Noir"/>
    <w:basedOn w:val="Citation1"/>
    <w:link w:val="StyleCitationLatinGrasNoirCar"/>
    <w:rsid w:val="00F324A5"/>
    <w:rPr>
      <w:color w:val="000000"/>
    </w:rPr>
  </w:style>
  <w:style w:type="paragraph" w:customStyle="1" w:styleId="StyleGrasNoirAprs012cmAvant0ptAprs0pt">
    <w:name w:val="Style Gras Noir Après : 0.12 cm Avant : 0 pt Après : 0 pt"/>
    <w:basedOn w:val="Normal"/>
    <w:rsid w:val="00F324A5"/>
    <w:pPr>
      <w:keepLines/>
      <w:ind w:right="67"/>
      <w:jc w:val="both"/>
    </w:pPr>
    <w:rPr>
      <w:rFonts w:ascii="Times New (W1)" w:eastAsia="Times New Roman" w:hAnsi="Times New (W1)" w:cs="Traditional Arabic"/>
      <w:color w:val="000000"/>
      <w:lang w:eastAsia="fr-CH"/>
    </w:rPr>
  </w:style>
  <w:style w:type="character" w:customStyle="1" w:styleId="StyleTitre9NoirCar">
    <w:name w:val="Style Titre 9 + Noir Car"/>
    <w:basedOn w:val="Titre9Car"/>
    <w:link w:val="StyleTitre9Noir"/>
    <w:locked/>
    <w:rsid w:val="00F324A5"/>
    <w:rPr>
      <w:rFonts w:ascii="Traditional Arabic" w:eastAsia="Times New Roman" w:hAnsi="Traditional Arabic" w:cs="Traditional Arabic"/>
      <w:bCs/>
      <w:color w:val="000000"/>
      <w:sz w:val="20"/>
      <w:szCs w:val="20"/>
      <w:lang w:val="fr-FR" w:eastAsia="fr-CH"/>
    </w:rPr>
  </w:style>
  <w:style w:type="paragraph" w:customStyle="1" w:styleId="StyleTitre9Noir">
    <w:name w:val="Style Titre 9 + Noir"/>
    <w:basedOn w:val="Titre9"/>
    <w:link w:val="StyleTitre9NoirCar"/>
    <w:autoRedefine/>
    <w:rsid w:val="00F324A5"/>
    <w:rPr>
      <w:rFonts w:ascii="Traditional Arabic" w:hAnsi="Traditional Arabic"/>
      <w:bCs/>
      <w:color w:val="000000"/>
    </w:rPr>
  </w:style>
  <w:style w:type="character" w:customStyle="1" w:styleId="StyleTitre9Noir1Car">
    <w:name w:val="Style Titre 9 + Noir1 Car"/>
    <w:basedOn w:val="Titre9Car"/>
    <w:link w:val="StyleTitre9Noir1"/>
    <w:locked/>
    <w:rsid w:val="00F324A5"/>
    <w:rPr>
      <w:rFonts w:ascii="(Utiliser une police de caractè" w:eastAsia="Times New Roman" w:hAnsi="(Utiliser une police de caractè" w:cs="Traditional Arabic"/>
      <w:bCs/>
      <w:color w:val="000000"/>
      <w:sz w:val="20"/>
      <w:szCs w:val="20"/>
      <w:lang w:val="fr-FR" w:eastAsia="fr-CH"/>
    </w:rPr>
  </w:style>
  <w:style w:type="paragraph" w:customStyle="1" w:styleId="StyleTitre9Noir1">
    <w:name w:val="Style Titre 9 + Noir1"/>
    <w:basedOn w:val="Titre9"/>
    <w:link w:val="StyleTitre9Noir1Car"/>
    <w:autoRedefine/>
    <w:rsid w:val="00F324A5"/>
    <w:rPr>
      <w:bCs/>
      <w:color w:val="000000"/>
    </w:rPr>
  </w:style>
  <w:style w:type="character" w:customStyle="1" w:styleId="StyleTitre9Noir2Car">
    <w:name w:val="Style Titre 9 + Noir2 Car"/>
    <w:basedOn w:val="Titre9Car"/>
    <w:link w:val="StyleTitre9Noir2"/>
    <w:locked/>
    <w:rsid w:val="00F324A5"/>
    <w:rPr>
      <w:rFonts w:ascii="(Utiliser une police de caractè" w:eastAsia="Times New Roman" w:hAnsi="(Utiliser une police de caractè" w:cs="Traditional Arabic"/>
      <w:color w:val="000000"/>
      <w:sz w:val="20"/>
      <w:szCs w:val="18"/>
      <w:lang w:val="fr-FR" w:eastAsia="fr-CH"/>
    </w:rPr>
  </w:style>
  <w:style w:type="paragraph" w:customStyle="1" w:styleId="StyleTitre9Noir2">
    <w:name w:val="Style Titre 9 + Noir2"/>
    <w:basedOn w:val="Titre9"/>
    <w:link w:val="StyleTitre9Noir2Car"/>
    <w:rsid w:val="00F324A5"/>
    <w:rPr>
      <w:color w:val="000000"/>
      <w:szCs w:val="18"/>
    </w:rPr>
  </w:style>
  <w:style w:type="paragraph" w:customStyle="1" w:styleId="StyleTitre3NonComplexeGrasJustifi">
    <w:name w:val="Style Titre 3 + Non (Complexe) Gras Justifié"/>
    <w:basedOn w:val="Titre3"/>
    <w:autoRedefine/>
    <w:rsid w:val="00F324A5"/>
    <w:pPr>
      <w:bidi w:val="0"/>
      <w:spacing w:before="100" w:beforeAutospacing="1" w:after="100" w:afterAutospacing="1"/>
      <w:ind w:right="68"/>
      <w:jc w:val="center"/>
    </w:pPr>
    <w:rPr>
      <w:rFonts w:ascii="Times New (W1)" w:hAnsi="Times New (W1)" w:cs="Traditional Arabic"/>
      <w:bCs w:val="0"/>
      <w:color w:val="000000"/>
      <w:sz w:val="22"/>
      <w:szCs w:val="22"/>
      <w:lang w:eastAsia="fr-CH"/>
    </w:rPr>
  </w:style>
  <w:style w:type="character" w:customStyle="1" w:styleId="StyleTitre8NonComplexeGrasNoirCar">
    <w:name w:val="Style Titre 8 + Non (Complexe) Gras Noir Car"/>
    <w:basedOn w:val="Titre8Car"/>
    <w:link w:val="StyleTitre8NonComplexeGrasNoir"/>
    <w:locked/>
    <w:rsid w:val="00F324A5"/>
    <w:rPr>
      <w:rFonts w:ascii="(Utiliser une police de caractè" w:eastAsia="Times New Roman" w:hAnsi="(Utiliser une police de caractè" w:cs="Times New Roman"/>
      <w:i w:val="0"/>
      <w:iCs/>
      <w:color w:val="000000"/>
      <w:sz w:val="24"/>
      <w:szCs w:val="24"/>
      <w:lang w:val="fr-FR" w:eastAsia="fr-CH"/>
    </w:rPr>
  </w:style>
  <w:style w:type="paragraph" w:customStyle="1" w:styleId="StyleTitre8NonComplexeGrasNoir">
    <w:name w:val="Style Titre 8 + Non (Complexe) Gras Noir"/>
    <w:basedOn w:val="Titre8"/>
    <w:link w:val="StyleTitre8NonComplexeGrasNoirCar"/>
    <w:autoRedefine/>
    <w:rsid w:val="00F324A5"/>
    <w:pPr>
      <w:widowControl w:val="0"/>
      <w:bidi w:val="0"/>
      <w:spacing w:before="0" w:after="0"/>
      <w:ind w:right="68"/>
      <w:jc w:val="both"/>
    </w:pPr>
    <w:rPr>
      <w:rFonts w:ascii="(Utiliser une police de caractè" w:hAnsi="(Utiliser une police de caractè" w:cs="Times New Roman"/>
      <w:i w:val="0"/>
      <w:color w:val="000000"/>
      <w:sz w:val="22"/>
      <w:szCs w:val="22"/>
      <w:lang w:eastAsia="fr-CH"/>
    </w:rPr>
  </w:style>
  <w:style w:type="character" w:customStyle="1" w:styleId="StyleTitre8NonComplexeGrasNoir1Car">
    <w:name w:val="Style Titre 8 + Non (Complexe) Gras Noir1 Car"/>
    <w:basedOn w:val="Titre8Car"/>
    <w:link w:val="StyleTitre8NonComplexeGrasNoir1"/>
    <w:locked/>
    <w:rsid w:val="00F324A5"/>
    <w:rPr>
      <w:rFonts w:ascii="(Utiliser une police de caractè" w:eastAsia="Times New Roman" w:hAnsi="(Utiliser une police de caractè" w:cs="Times New Roman"/>
      <w:i w:val="0"/>
      <w:iCs w:val="0"/>
      <w:color w:val="000000"/>
      <w:sz w:val="24"/>
      <w:szCs w:val="24"/>
      <w:lang w:val="fr-FR" w:eastAsia="fr-CH"/>
    </w:rPr>
  </w:style>
  <w:style w:type="paragraph" w:customStyle="1" w:styleId="StyleTitre8NonComplexeGrasNoir1">
    <w:name w:val="Style Titre 8 + Non (Complexe) Gras Noir1"/>
    <w:basedOn w:val="Titre8"/>
    <w:link w:val="StyleTitre8NonComplexeGrasNoir1Car"/>
    <w:autoRedefine/>
    <w:rsid w:val="00F324A5"/>
    <w:pPr>
      <w:widowControl w:val="0"/>
      <w:bidi w:val="0"/>
      <w:spacing w:before="0" w:after="0"/>
      <w:ind w:right="68"/>
      <w:jc w:val="both"/>
    </w:pPr>
    <w:rPr>
      <w:rFonts w:ascii="(Utiliser une police de caractè" w:hAnsi="(Utiliser une police de caractè" w:cs="Times New Roman"/>
      <w:i w:val="0"/>
      <w:iCs w:val="0"/>
      <w:color w:val="000000"/>
      <w:sz w:val="22"/>
      <w:szCs w:val="22"/>
      <w:lang w:eastAsia="fr-CH"/>
    </w:rPr>
  </w:style>
  <w:style w:type="character" w:customStyle="1" w:styleId="StyleStyleTitre8NonComplexeGrasNoir1ComplexeGrasCar">
    <w:name w:val="Style Style Titre 8 + Non (Complexe) Gras Noir1 + (Complexe) Gras ... Car"/>
    <w:basedOn w:val="StyleTitre8NonComplexeGrasNoir1Car"/>
    <w:link w:val="StyleStyleTitre8NonComplexeGrasNoir1ComplexeGras"/>
    <w:locked/>
    <w:rsid w:val="00F324A5"/>
    <w:rPr>
      <w:rFonts w:ascii="(Utiliser une police de caractè" w:eastAsia="Times New Roman" w:hAnsi="(Utiliser une police de caractè" w:cs="Times New Roman"/>
      <w:i w:val="0"/>
      <w:iCs/>
      <w:color w:val="000000"/>
      <w:sz w:val="24"/>
      <w:szCs w:val="24"/>
      <w:lang w:val="fr-FR" w:eastAsia="fr-CH"/>
    </w:rPr>
  </w:style>
  <w:style w:type="paragraph" w:customStyle="1" w:styleId="StyleStyleTitre8NonComplexeGrasNoir1ComplexeGras">
    <w:name w:val="Style Style Titre 8 + Non (Complexe) Gras Noir1 + (Complexe) Gras ..."/>
    <w:basedOn w:val="StyleTitre8NonComplexeGrasNoir1"/>
    <w:link w:val="StyleStyleTitre8NonComplexeGrasNoir1ComplexeGrasCar"/>
    <w:autoRedefine/>
    <w:rsid w:val="00F324A5"/>
    <w:rPr>
      <w:iCs/>
      <w:sz w:val="24"/>
      <w:szCs w:val="24"/>
    </w:rPr>
  </w:style>
  <w:style w:type="character" w:customStyle="1" w:styleId="StyleTitre8NonComplexeGrasNoir2Car">
    <w:name w:val="Style Titre 8 + Non (Complexe) Gras Noir2 Car"/>
    <w:basedOn w:val="Titre8Car"/>
    <w:link w:val="StyleTitre8NonComplexeGrasNoir2"/>
    <w:locked/>
    <w:rsid w:val="00F324A5"/>
    <w:rPr>
      <w:rFonts w:ascii="(Utiliser une police de caractè" w:eastAsia="Times New Roman" w:hAnsi="(Utiliser une police de caractè" w:cs="Times New Roman"/>
      <w:bCs/>
      <w:i w:val="0"/>
      <w:iCs w:val="0"/>
      <w:color w:val="000000"/>
      <w:sz w:val="24"/>
      <w:szCs w:val="24"/>
      <w:lang w:val="fr-FR" w:eastAsia="fr-CH"/>
    </w:rPr>
  </w:style>
  <w:style w:type="paragraph" w:customStyle="1" w:styleId="StyleTitre8NonComplexeGrasNoir2">
    <w:name w:val="Style Titre 8 + Non (Complexe) Gras Noir2"/>
    <w:basedOn w:val="Titre8"/>
    <w:link w:val="StyleTitre8NonComplexeGrasNoir2Car"/>
    <w:autoRedefine/>
    <w:rsid w:val="00F324A5"/>
    <w:pPr>
      <w:widowControl w:val="0"/>
      <w:bidi w:val="0"/>
      <w:spacing w:before="0" w:after="0"/>
      <w:ind w:right="68"/>
      <w:jc w:val="both"/>
    </w:pPr>
    <w:rPr>
      <w:rFonts w:ascii="(Utiliser une police de caractè" w:hAnsi="(Utiliser une police de caractè" w:cs="Times New Roman"/>
      <w:bCs/>
      <w:i w:val="0"/>
      <w:iCs w:val="0"/>
      <w:color w:val="000000"/>
      <w:sz w:val="22"/>
      <w:szCs w:val="22"/>
      <w:lang w:eastAsia="fr-CH"/>
    </w:rPr>
  </w:style>
  <w:style w:type="paragraph" w:customStyle="1" w:styleId="StyleAvant3ptAprs3pt">
    <w:name w:val="Style Avant : 3 pt Après : 3 pt"/>
    <w:basedOn w:val="Normal"/>
    <w:rsid w:val="00F324A5"/>
    <w:pPr>
      <w:autoSpaceDE w:val="0"/>
      <w:autoSpaceDN w:val="0"/>
      <w:adjustRightInd w:val="0"/>
      <w:spacing w:before="60" w:after="60"/>
      <w:ind w:right="26"/>
      <w:jc w:val="both"/>
    </w:pPr>
    <w:rPr>
      <w:rFonts w:eastAsia="Times New Roman"/>
      <w:bCs/>
      <w:color w:val="000000"/>
      <w:lang w:eastAsia="fr-CH"/>
    </w:rPr>
  </w:style>
  <w:style w:type="paragraph" w:customStyle="1" w:styleId="StyleGrasNoirAvant0ptAprs0pt">
    <w:name w:val="Style Gras Noir Avant : 0 pt Après : 0 pt"/>
    <w:basedOn w:val="Normal"/>
    <w:autoRedefine/>
    <w:rsid w:val="00F324A5"/>
    <w:pPr>
      <w:keepLines/>
      <w:ind w:right="68"/>
      <w:jc w:val="both"/>
    </w:pPr>
    <w:rPr>
      <w:rFonts w:ascii="Times New (W1)" w:eastAsia="Times New Roman" w:hAnsi="Times New (W1)" w:cs="Traditional Arabic"/>
      <w:color w:val="000000"/>
      <w:lang w:eastAsia="fr-CH"/>
    </w:rPr>
  </w:style>
  <w:style w:type="character" w:customStyle="1" w:styleId="highlight0">
    <w:name w:val="highlight0"/>
    <w:basedOn w:val="Policepardfaut"/>
    <w:rsid w:val="00F324A5"/>
  </w:style>
  <w:style w:type="character" w:customStyle="1" w:styleId="StyleComplexeTraditionalArabicNoir">
    <w:name w:val="Style (Complexe) Traditional Arabic Noir"/>
    <w:basedOn w:val="Policepardfaut"/>
    <w:rsid w:val="00F324A5"/>
    <w:rPr>
      <w:rFonts w:ascii="Traditional Arabic" w:hAnsi="Traditional Arabic" w:cs="Traditional Arabic" w:hint="default"/>
      <w:color w:val="000000"/>
    </w:rPr>
  </w:style>
  <w:style w:type="character" w:customStyle="1" w:styleId="StyleStyleComplexeTraditionalArabicNoir1Gras">
    <w:name w:val="Style Style (Complexe) Traditional Arabic Noir1 + Gras"/>
    <w:basedOn w:val="StyleComplexeTraditionalArabicNoir1"/>
    <w:rsid w:val="00F324A5"/>
    <w:rPr>
      <w:rFonts w:ascii="Traditional Arabic" w:hAnsi="Traditional Arabic" w:cs="Traditional Arabic" w:hint="default"/>
      <w:color w:val="000000"/>
    </w:rPr>
  </w:style>
  <w:style w:type="character" w:customStyle="1" w:styleId="StyleGrasNoir">
    <w:name w:val="Style Gras Noir"/>
    <w:basedOn w:val="Policepardfaut"/>
    <w:rsid w:val="00F324A5"/>
    <w:rPr>
      <w:color w:val="000000"/>
    </w:rPr>
  </w:style>
  <w:style w:type="character" w:customStyle="1" w:styleId="StyleAsiatiqueSimSunGrasNoir">
    <w:name w:val="Style (Asiatique) SimSun Gras Noir"/>
    <w:basedOn w:val="Policepardfaut"/>
    <w:rsid w:val="00F324A5"/>
    <w:rPr>
      <w:rFonts w:ascii="SimSun" w:eastAsia="SimSun" w:hAnsi="SimSun" w:hint="eastAsia"/>
      <w:color w:val="000000"/>
    </w:rPr>
  </w:style>
  <w:style w:type="character" w:customStyle="1" w:styleId="elements">
    <w:name w:val="elements"/>
    <w:basedOn w:val="Policepardfaut"/>
    <w:rsid w:val="00F324A5"/>
  </w:style>
  <w:style w:type="character" w:customStyle="1" w:styleId="emailstyle80">
    <w:name w:val="emailstyle80"/>
    <w:basedOn w:val="Policepardfaut"/>
    <w:semiHidden/>
    <w:rsid w:val="00F324A5"/>
    <w:rPr>
      <w:rFonts w:ascii="Arial" w:hAnsi="Arial" w:cs="Arial" w:hint="default"/>
      <w:color w:val="000080"/>
      <w:sz w:val="20"/>
      <w:szCs w:val="20"/>
    </w:rPr>
  </w:style>
  <w:style w:type="paragraph" w:styleId="Listepuces">
    <w:name w:val="List Bullet"/>
    <w:basedOn w:val="Normal"/>
    <w:link w:val="ListepucesCar"/>
    <w:semiHidden/>
    <w:unhideWhenUsed/>
    <w:rsid w:val="00F324A5"/>
    <w:pPr>
      <w:tabs>
        <w:tab w:val="num" w:pos="360"/>
      </w:tabs>
      <w:spacing w:after="200" w:line="276" w:lineRule="auto"/>
      <w:ind w:left="360" w:hanging="360"/>
      <w:contextualSpacing/>
    </w:pPr>
    <w:rPr>
      <w:rFonts w:ascii="Times New (W1)" w:hAnsi="Times New (W1)" w:cs="Traditional Arabic"/>
      <w:bCs/>
      <w:lang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22099">
      <w:bodyDiv w:val="1"/>
      <w:marLeft w:val="0"/>
      <w:marRight w:val="0"/>
      <w:marTop w:val="0"/>
      <w:marBottom w:val="0"/>
      <w:divBdr>
        <w:top w:val="none" w:sz="0" w:space="0" w:color="auto"/>
        <w:left w:val="none" w:sz="0" w:space="0" w:color="auto"/>
        <w:bottom w:val="none" w:sz="0" w:space="0" w:color="auto"/>
        <w:right w:val="none" w:sz="0" w:space="0" w:color="auto"/>
      </w:divBdr>
    </w:div>
    <w:div w:id="129714658">
      <w:bodyDiv w:val="1"/>
      <w:marLeft w:val="0"/>
      <w:marRight w:val="0"/>
      <w:marTop w:val="0"/>
      <w:marBottom w:val="0"/>
      <w:divBdr>
        <w:top w:val="none" w:sz="0" w:space="0" w:color="auto"/>
        <w:left w:val="none" w:sz="0" w:space="0" w:color="auto"/>
        <w:bottom w:val="none" w:sz="0" w:space="0" w:color="auto"/>
        <w:right w:val="none" w:sz="0" w:space="0" w:color="auto"/>
      </w:divBdr>
    </w:div>
    <w:div w:id="241447361">
      <w:bodyDiv w:val="1"/>
      <w:marLeft w:val="0"/>
      <w:marRight w:val="0"/>
      <w:marTop w:val="0"/>
      <w:marBottom w:val="0"/>
      <w:divBdr>
        <w:top w:val="none" w:sz="0" w:space="0" w:color="auto"/>
        <w:left w:val="none" w:sz="0" w:space="0" w:color="auto"/>
        <w:bottom w:val="none" w:sz="0" w:space="0" w:color="auto"/>
        <w:right w:val="none" w:sz="0" w:space="0" w:color="auto"/>
      </w:divBdr>
    </w:div>
    <w:div w:id="289015833">
      <w:bodyDiv w:val="1"/>
      <w:marLeft w:val="0"/>
      <w:marRight w:val="0"/>
      <w:marTop w:val="0"/>
      <w:marBottom w:val="0"/>
      <w:divBdr>
        <w:top w:val="none" w:sz="0" w:space="0" w:color="auto"/>
        <w:left w:val="none" w:sz="0" w:space="0" w:color="auto"/>
        <w:bottom w:val="none" w:sz="0" w:space="0" w:color="auto"/>
        <w:right w:val="none" w:sz="0" w:space="0" w:color="auto"/>
      </w:divBdr>
    </w:div>
    <w:div w:id="317660808">
      <w:bodyDiv w:val="1"/>
      <w:marLeft w:val="0"/>
      <w:marRight w:val="0"/>
      <w:marTop w:val="0"/>
      <w:marBottom w:val="0"/>
      <w:divBdr>
        <w:top w:val="none" w:sz="0" w:space="0" w:color="auto"/>
        <w:left w:val="none" w:sz="0" w:space="0" w:color="auto"/>
        <w:bottom w:val="none" w:sz="0" w:space="0" w:color="auto"/>
        <w:right w:val="none" w:sz="0" w:space="0" w:color="auto"/>
      </w:divBdr>
    </w:div>
    <w:div w:id="553279939">
      <w:bodyDiv w:val="1"/>
      <w:marLeft w:val="0"/>
      <w:marRight w:val="0"/>
      <w:marTop w:val="0"/>
      <w:marBottom w:val="0"/>
      <w:divBdr>
        <w:top w:val="none" w:sz="0" w:space="0" w:color="auto"/>
        <w:left w:val="none" w:sz="0" w:space="0" w:color="auto"/>
        <w:bottom w:val="none" w:sz="0" w:space="0" w:color="auto"/>
        <w:right w:val="none" w:sz="0" w:space="0" w:color="auto"/>
      </w:divBdr>
    </w:div>
    <w:div w:id="610747872">
      <w:bodyDiv w:val="1"/>
      <w:marLeft w:val="0"/>
      <w:marRight w:val="0"/>
      <w:marTop w:val="0"/>
      <w:marBottom w:val="0"/>
      <w:divBdr>
        <w:top w:val="none" w:sz="0" w:space="0" w:color="auto"/>
        <w:left w:val="none" w:sz="0" w:space="0" w:color="auto"/>
        <w:bottom w:val="none" w:sz="0" w:space="0" w:color="auto"/>
        <w:right w:val="none" w:sz="0" w:space="0" w:color="auto"/>
      </w:divBdr>
    </w:div>
    <w:div w:id="657609628">
      <w:bodyDiv w:val="1"/>
      <w:marLeft w:val="0"/>
      <w:marRight w:val="0"/>
      <w:marTop w:val="0"/>
      <w:marBottom w:val="0"/>
      <w:divBdr>
        <w:top w:val="none" w:sz="0" w:space="0" w:color="auto"/>
        <w:left w:val="none" w:sz="0" w:space="0" w:color="auto"/>
        <w:bottom w:val="none" w:sz="0" w:space="0" w:color="auto"/>
        <w:right w:val="none" w:sz="0" w:space="0" w:color="auto"/>
      </w:divBdr>
    </w:div>
    <w:div w:id="701174256">
      <w:bodyDiv w:val="1"/>
      <w:marLeft w:val="0"/>
      <w:marRight w:val="0"/>
      <w:marTop w:val="0"/>
      <w:marBottom w:val="0"/>
      <w:divBdr>
        <w:top w:val="none" w:sz="0" w:space="0" w:color="auto"/>
        <w:left w:val="none" w:sz="0" w:space="0" w:color="auto"/>
        <w:bottom w:val="none" w:sz="0" w:space="0" w:color="auto"/>
        <w:right w:val="none" w:sz="0" w:space="0" w:color="auto"/>
      </w:divBdr>
    </w:div>
    <w:div w:id="719671453">
      <w:bodyDiv w:val="1"/>
      <w:marLeft w:val="0"/>
      <w:marRight w:val="0"/>
      <w:marTop w:val="0"/>
      <w:marBottom w:val="0"/>
      <w:divBdr>
        <w:top w:val="none" w:sz="0" w:space="0" w:color="auto"/>
        <w:left w:val="none" w:sz="0" w:space="0" w:color="auto"/>
        <w:bottom w:val="none" w:sz="0" w:space="0" w:color="auto"/>
        <w:right w:val="none" w:sz="0" w:space="0" w:color="auto"/>
      </w:divBdr>
    </w:div>
    <w:div w:id="785462493">
      <w:bodyDiv w:val="1"/>
      <w:marLeft w:val="0"/>
      <w:marRight w:val="0"/>
      <w:marTop w:val="0"/>
      <w:marBottom w:val="0"/>
      <w:divBdr>
        <w:top w:val="none" w:sz="0" w:space="0" w:color="auto"/>
        <w:left w:val="none" w:sz="0" w:space="0" w:color="auto"/>
        <w:bottom w:val="none" w:sz="0" w:space="0" w:color="auto"/>
        <w:right w:val="none" w:sz="0" w:space="0" w:color="auto"/>
      </w:divBdr>
    </w:div>
    <w:div w:id="794180888">
      <w:bodyDiv w:val="1"/>
      <w:marLeft w:val="0"/>
      <w:marRight w:val="0"/>
      <w:marTop w:val="0"/>
      <w:marBottom w:val="0"/>
      <w:divBdr>
        <w:top w:val="none" w:sz="0" w:space="0" w:color="auto"/>
        <w:left w:val="none" w:sz="0" w:space="0" w:color="auto"/>
        <w:bottom w:val="none" w:sz="0" w:space="0" w:color="auto"/>
        <w:right w:val="none" w:sz="0" w:space="0" w:color="auto"/>
      </w:divBdr>
    </w:div>
    <w:div w:id="858399175">
      <w:bodyDiv w:val="1"/>
      <w:marLeft w:val="0"/>
      <w:marRight w:val="0"/>
      <w:marTop w:val="0"/>
      <w:marBottom w:val="0"/>
      <w:divBdr>
        <w:top w:val="none" w:sz="0" w:space="0" w:color="auto"/>
        <w:left w:val="none" w:sz="0" w:space="0" w:color="auto"/>
        <w:bottom w:val="none" w:sz="0" w:space="0" w:color="auto"/>
        <w:right w:val="none" w:sz="0" w:space="0" w:color="auto"/>
      </w:divBdr>
    </w:div>
    <w:div w:id="896089939">
      <w:bodyDiv w:val="1"/>
      <w:marLeft w:val="0"/>
      <w:marRight w:val="0"/>
      <w:marTop w:val="0"/>
      <w:marBottom w:val="0"/>
      <w:divBdr>
        <w:top w:val="none" w:sz="0" w:space="0" w:color="auto"/>
        <w:left w:val="none" w:sz="0" w:space="0" w:color="auto"/>
        <w:bottom w:val="none" w:sz="0" w:space="0" w:color="auto"/>
        <w:right w:val="none" w:sz="0" w:space="0" w:color="auto"/>
      </w:divBdr>
    </w:div>
    <w:div w:id="899511752">
      <w:bodyDiv w:val="1"/>
      <w:marLeft w:val="0"/>
      <w:marRight w:val="0"/>
      <w:marTop w:val="0"/>
      <w:marBottom w:val="0"/>
      <w:divBdr>
        <w:top w:val="none" w:sz="0" w:space="0" w:color="auto"/>
        <w:left w:val="none" w:sz="0" w:space="0" w:color="auto"/>
        <w:bottom w:val="none" w:sz="0" w:space="0" w:color="auto"/>
        <w:right w:val="none" w:sz="0" w:space="0" w:color="auto"/>
      </w:divBdr>
    </w:div>
    <w:div w:id="924807471">
      <w:bodyDiv w:val="1"/>
      <w:marLeft w:val="0"/>
      <w:marRight w:val="0"/>
      <w:marTop w:val="0"/>
      <w:marBottom w:val="0"/>
      <w:divBdr>
        <w:top w:val="none" w:sz="0" w:space="0" w:color="auto"/>
        <w:left w:val="none" w:sz="0" w:space="0" w:color="auto"/>
        <w:bottom w:val="none" w:sz="0" w:space="0" w:color="auto"/>
        <w:right w:val="none" w:sz="0" w:space="0" w:color="auto"/>
      </w:divBdr>
    </w:div>
    <w:div w:id="1109786803">
      <w:bodyDiv w:val="1"/>
      <w:marLeft w:val="0"/>
      <w:marRight w:val="0"/>
      <w:marTop w:val="0"/>
      <w:marBottom w:val="0"/>
      <w:divBdr>
        <w:top w:val="none" w:sz="0" w:space="0" w:color="auto"/>
        <w:left w:val="none" w:sz="0" w:space="0" w:color="auto"/>
        <w:bottom w:val="none" w:sz="0" w:space="0" w:color="auto"/>
        <w:right w:val="none" w:sz="0" w:space="0" w:color="auto"/>
      </w:divBdr>
      <w:divsChild>
        <w:div w:id="88429702">
          <w:marLeft w:val="0"/>
          <w:marRight w:val="0"/>
          <w:marTop w:val="48"/>
          <w:marBottom w:val="48"/>
          <w:divBdr>
            <w:top w:val="none" w:sz="0" w:space="0" w:color="auto"/>
            <w:left w:val="none" w:sz="0" w:space="0" w:color="auto"/>
            <w:bottom w:val="none" w:sz="0" w:space="0" w:color="auto"/>
            <w:right w:val="none" w:sz="0" w:space="0" w:color="auto"/>
          </w:divBdr>
        </w:div>
        <w:div w:id="948391720">
          <w:marLeft w:val="0"/>
          <w:marRight w:val="0"/>
          <w:marTop w:val="48"/>
          <w:marBottom w:val="48"/>
          <w:divBdr>
            <w:top w:val="none" w:sz="0" w:space="0" w:color="auto"/>
            <w:left w:val="none" w:sz="0" w:space="0" w:color="auto"/>
            <w:bottom w:val="none" w:sz="0" w:space="0" w:color="auto"/>
            <w:right w:val="none" w:sz="0" w:space="0" w:color="auto"/>
          </w:divBdr>
        </w:div>
      </w:divsChild>
    </w:div>
    <w:div w:id="1165366387">
      <w:bodyDiv w:val="1"/>
      <w:marLeft w:val="0"/>
      <w:marRight w:val="0"/>
      <w:marTop w:val="0"/>
      <w:marBottom w:val="0"/>
      <w:divBdr>
        <w:top w:val="none" w:sz="0" w:space="0" w:color="auto"/>
        <w:left w:val="none" w:sz="0" w:space="0" w:color="auto"/>
        <w:bottom w:val="none" w:sz="0" w:space="0" w:color="auto"/>
        <w:right w:val="none" w:sz="0" w:space="0" w:color="auto"/>
      </w:divBdr>
    </w:div>
    <w:div w:id="1377774187">
      <w:bodyDiv w:val="1"/>
      <w:marLeft w:val="0"/>
      <w:marRight w:val="0"/>
      <w:marTop w:val="0"/>
      <w:marBottom w:val="0"/>
      <w:divBdr>
        <w:top w:val="none" w:sz="0" w:space="0" w:color="auto"/>
        <w:left w:val="none" w:sz="0" w:space="0" w:color="auto"/>
        <w:bottom w:val="none" w:sz="0" w:space="0" w:color="auto"/>
        <w:right w:val="none" w:sz="0" w:space="0" w:color="auto"/>
      </w:divBdr>
    </w:div>
    <w:div w:id="1536190122">
      <w:bodyDiv w:val="1"/>
      <w:marLeft w:val="0"/>
      <w:marRight w:val="0"/>
      <w:marTop w:val="0"/>
      <w:marBottom w:val="0"/>
      <w:divBdr>
        <w:top w:val="none" w:sz="0" w:space="0" w:color="auto"/>
        <w:left w:val="none" w:sz="0" w:space="0" w:color="auto"/>
        <w:bottom w:val="none" w:sz="0" w:space="0" w:color="auto"/>
        <w:right w:val="none" w:sz="0" w:space="0" w:color="auto"/>
      </w:divBdr>
    </w:div>
    <w:div w:id="1613127206">
      <w:bodyDiv w:val="1"/>
      <w:marLeft w:val="0"/>
      <w:marRight w:val="0"/>
      <w:marTop w:val="0"/>
      <w:marBottom w:val="0"/>
      <w:divBdr>
        <w:top w:val="none" w:sz="0" w:space="0" w:color="auto"/>
        <w:left w:val="none" w:sz="0" w:space="0" w:color="auto"/>
        <w:bottom w:val="none" w:sz="0" w:space="0" w:color="auto"/>
        <w:right w:val="none" w:sz="0" w:space="0" w:color="auto"/>
      </w:divBdr>
    </w:div>
    <w:div w:id="1698196200">
      <w:bodyDiv w:val="1"/>
      <w:marLeft w:val="0"/>
      <w:marRight w:val="0"/>
      <w:marTop w:val="0"/>
      <w:marBottom w:val="0"/>
      <w:divBdr>
        <w:top w:val="none" w:sz="0" w:space="0" w:color="auto"/>
        <w:left w:val="none" w:sz="0" w:space="0" w:color="auto"/>
        <w:bottom w:val="none" w:sz="0" w:space="0" w:color="auto"/>
        <w:right w:val="none" w:sz="0" w:space="0" w:color="auto"/>
      </w:divBdr>
    </w:div>
    <w:div w:id="1711026062">
      <w:bodyDiv w:val="1"/>
      <w:marLeft w:val="0"/>
      <w:marRight w:val="0"/>
      <w:marTop w:val="0"/>
      <w:marBottom w:val="0"/>
      <w:divBdr>
        <w:top w:val="none" w:sz="0" w:space="0" w:color="auto"/>
        <w:left w:val="none" w:sz="0" w:space="0" w:color="auto"/>
        <w:bottom w:val="none" w:sz="0" w:space="0" w:color="auto"/>
        <w:right w:val="none" w:sz="0" w:space="0" w:color="auto"/>
      </w:divBdr>
      <w:divsChild>
        <w:div w:id="1027484317">
          <w:marLeft w:val="0"/>
          <w:marRight w:val="0"/>
          <w:marTop w:val="0"/>
          <w:marBottom w:val="0"/>
          <w:divBdr>
            <w:top w:val="none" w:sz="0" w:space="0" w:color="auto"/>
            <w:left w:val="none" w:sz="0" w:space="0" w:color="auto"/>
            <w:bottom w:val="none" w:sz="0" w:space="0" w:color="auto"/>
            <w:right w:val="none" w:sz="0" w:space="0" w:color="auto"/>
          </w:divBdr>
        </w:div>
      </w:divsChild>
    </w:div>
    <w:div w:id="1785150572">
      <w:bodyDiv w:val="1"/>
      <w:marLeft w:val="0"/>
      <w:marRight w:val="0"/>
      <w:marTop w:val="0"/>
      <w:marBottom w:val="0"/>
      <w:divBdr>
        <w:top w:val="none" w:sz="0" w:space="0" w:color="auto"/>
        <w:left w:val="none" w:sz="0" w:space="0" w:color="auto"/>
        <w:bottom w:val="none" w:sz="0" w:space="0" w:color="auto"/>
        <w:right w:val="none" w:sz="0" w:space="0" w:color="auto"/>
      </w:divBdr>
    </w:div>
    <w:div w:id="1847356110">
      <w:bodyDiv w:val="1"/>
      <w:marLeft w:val="0"/>
      <w:marRight w:val="0"/>
      <w:marTop w:val="0"/>
      <w:marBottom w:val="0"/>
      <w:divBdr>
        <w:top w:val="none" w:sz="0" w:space="0" w:color="auto"/>
        <w:left w:val="none" w:sz="0" w:space="0" w:color="auto"/>
        <w:bottom w:val="none" w:sz="0" w:space="0" w:color="auto"/>
        <w:right w:val="none" w:sz="0" w:space="0" w:color="auto"/>
      </w:divBdr>
    </w:div>
    <w:div w:id="1871602985">
      <w:bodyDiv w:val="1"/>
      <w:marLeft w:val="0"/>
      <w:marRight w:val="0"/>
      <w:marTop w:val="0"/>
      <w:marBottom w:val="0"/>
      <w:divBdr>
        <w:top w:val="none" w:sz="0" w:space="0" w:color="auto"/>
        <w:left w:val="none" w:sz="0" w:space="0" w:color="auto"/>
        <w:bottom w:val="none" w:sz="0" w:space="0" w:color="auto"/>
        <w:right w:val="none" w:sz="0" w:space="0" w:color="auto"/>
      </w:divBdr>
      <w:divsChild>
        <w:div w:id="1287196926">
          <w:marLeft w:val="0"/>
          <w:marRight w:val="0"/>
          <w:marTop w:val="0"/>
          <w:marBottom w:val="0"/>
          <w:divBdr>
            <w:top w:val="none" w:sz="0" w:space="0" w:color="auto"/>
            <w:left w:val="none" w:sz="0" w:space="0" w:color="auto"/>
            <w:bottom w:val="none" w:sz="0" w:space="0" w:color="auto"/>
            <w:right w:val="none" w:sz="0" w:space="0" w:color="auto"/>
          </w:divBdr>
          <w:divsChild>
            <w:div w:id="21639597">
              <w:marLeft w:val="0"/>
              <w:marRight w:val="0"/>
              <w:marTop w:val="0"/>
              <w:marBottom w:val="0"/>
              <w:divBdr>
                <w:top w:val="none" w:sz="0" w:space="0" w:color="auto"/>
                <w:left w:val="none" w:sz="0" w:space="0" w:color="auto"/>
                <w:bottom w:val="none" w:sz="0" w:space="0" w:color="auto"/>
                <w:right w:val="none" w:sz="0" w:space="0" w:color="auto"/>
              </w:divBdr>
              <w:divsChild>
                <w:div w:id="9059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8320">
      <w:bodyDiv w:val="1"/>
      <w:marLeft w:val="0"/>
      <w:marRight w:val="0"/>
      <w:marTop w:val="0"/>
      <w:marBottom w:val="0"/>
      <w:divBdr>
        <w:top w:val="none" w:sz="0" w:space="0" w:color="auto"/>
        <w:left w:val="none" w:sz="0" w:space="0" w:color="auto"/>
        <w:bottom w:val="none" w:sz="0" w:space="0" w:color="auto"/>
        <w:right w:val="none" w:sz="0" w:space="0" w:color="auto"/>
      </w:divBdr>
    </w:div>
    <w:div w:id="210232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fr.wikipedia.org/wiki/1911" TargetMode="External"/><Relationship Id="rId26" Type="http://schemas.openxmlformats.org/officeDocument/2006/relationships/hyperlink" Target="http://www.arcre.org/p-maurice-borrmans-les-traductions-francaises-du-coran-presentation-et-evaluation/" TargetMode="External"/><Relationship Id="rId39" Type="http://schemas.openxmlformats.org/officeDocument/2006/relationships/hyperlink" Target="http://www.islamweb.net" TargetMode="External"/><Relationship Id="rId21" Type="http://schemas.openxmlformats.org/officeDocument/2006/relationships/image" Target="media/image12.png"/><Relationship Id="rId34" Type="http://schemas.openxmlformats.org/officeDocument/2006/relationships/hyperlink" Target="http://www.mehdi-azaiez.org/-Les-traductions-du-Coran-" TargetMode="External"/><Relationship Id="rId42" Type="http://schemas.openxmlformats.org/officeDocument/2006/relationships/hyperlink" Target="http://www.qurancomplex.org" TargetMode="External"/><Relationship Id="rId47" Type="http://schemas.openxmlformats.org/officeDocument/2006/relationships/hyperlink" Target="http://www.yasoob.com/ar/" TargetMode="External"/><Relationship Id="rId50" Type="http://schemas.openxmlformats.org/officeDocument/2006/relationships/hyperlink" Target="http://stehly.chez-alice.fr/" TargetMode="External"/><Relationship Id="rId55" Type="http://schemas.openxmlformats.org/officeDocument/2006/relationships/hyperlink" Target="http://www.islamic-counc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hamela.ws/"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alwarraq.com" TargetMode="External"/><Relationship Id="rId37" Type="http://schemas.openxmlformats.org/officeDocument/2006/relationships/hyperlink" Target="http://www.iqna.ir/fr/" TargetMode="External"/><Relationship Id="rId40" Type="http://schemas.openxmlformats.org/officeDocument/2006/relationships/hyperlink" Target="http://www.elsharawy.com" TargetMode="External"/><Relationship Id="rId45" Type="http://schemas.openxmlformats.org/officeDocument/2006/relationships/hyperlink" Target="http://rchss.com/ar/" TargetMode="External"/><Relationship Id="rId53" Type="http://schemas.openxmlformats.org/officeDocument/2006/relationships/hyperlink" Target="http://quran.al-shia.org/fr/" TargetMode="External"/><Relationship Id="rId58" Type="http://schemas.openxmlformats.org/officeDocument/2006/relationships/hyperlink" Target="http://fr.wikisource.org/wiki/Le_Coran_(Traduction_de_Savary)/22"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fr.wikipedia.org/wiki/1998"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aljazeera.net/programs/religionandlife/2012/2/9/&#1575;&#1604;&#1573;&#1587;&#1604;&#1575;&#1605;-&#1608;&#1575;&#1604;&#1583;&#1608;&#1604;&#1577;-&#1575;&#1604;&#1605;&#1583;&#1606;&#1610;&#1577;" TargetMode="External"/><Relationship Id="rId30" Type="http://schemas.openxmlformats.org/officeDocument/2006/relationships/hyperlink" Target="http://www.altafsir.com/" TargetMode="External"/><Relationship Id="rId35" Type="http://schemas.openxmlformats.org/officeDocument/2006/relationships/hyperlink" Target="http://www.druzenet.net/dn-a-abnanour.html" TargetMode="External"/><Relationship Id="rId43" Type="http://schemas.openxmlformats.org/officeDocument/2006/relationships/hyperlink" Target="http://www.lenoblecoran.fr" TargetMode="External"/><Relationship Id="rId48" Type="http://schemas.openxmlformats.org/officeDocument/2006/relationships/hyperlink" Target="http://www.mesopot.com/old/adad9/46.htm" TargetMode="External"/><Relationship Id="rId56" Type="http://schemas.openxmlformats.org/officeDocument/2006/relationships/hyperlink" Target="http://fr.wikisource.org/wiki/Le_Coran_(Traduction_de_Savary)/22" TargetMode="External"/><Relationship Id="rId8" Type="http://schemas.openxmlformats.org/officeDocument/2006/relationships/image" Target="media/image1.jpeg"/><Relationship Id="rId51" Type="http://schemas.openxmlformats.org/officeDocument/2006/relationships/hyperlink" Target="https://oumma.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tiff"/><Relationship Id="rId33" Type="http://schemas.openxmlformats.org/officeDocument/2006/relationships/hyperlink" Target="http://gallica.bnf.fr/ark:/12148/bpt6k109735r/f2.image" TargetMode="External"/><Relationship Id="rId38" Type="http://schemas.openxmlformats.org/officeDocument/2006/relationships/hyperlink" Target="http://new.islamahmadiyya.net/booksinner.asp?id=111" TargetMode="External"/><Relationship Id="rId46" Type="http://schemas.openxmlformats.org/officeDocument/2006/relationships/hyperlink" Target="http://www.lexilogos.com/coran.htm" TargetMode="External"/><Relationship Id="rId59" Type="http://schemas.openxmlformats.org/officeDocument/2006/relationships/hyperlink" Target="http://fr.wikisource.org/wiki/Le_Coran_(Traduction_de_Savary)/22" TargetMode="External"/><Relationship Id="rId20" Type="http://schemas.openxmlformats.org/officeDocument/2006/relationships/image" Target="media/image11.tiff"/><Relationship Id="rId41" Type="http://schemas.openxmlformats.org/officeDocument/2006/relationships/hyperlink" Target="http://www.nabulsi.com/blue/ar/art.php?art=11001" TargetMode="External"/><Relationship Id="rId54" Type="http://schemas.openxmlformats.org/officeDocument/2006/relationships/hyperlink" Target="http://www.revues.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library.islamweb.net/newlibrary/" TargetMode="External"/><Relationship Id="rId36" Type="http://schemas.openxmlformats.org/officeDocument/2006/relationships/hyperlink" Target="http://www.fabula.org/actualites/traduction-et-texte-sacre_43863.php" TargetMode="External"/><Relationship Id="rId49" Type="http://schemas.openxmlformats.org/officeDocument/2006/relationships/hyperlink" Target="http://www.al-islam.com" TargetMode="External"/><Relationship Id="rId57" Type="http://schemas.openxmlformats.org/officeDocument/2006/relationships/hyperlink" Target="http://fr.wikisource.org/wiki/Le_Coran_(Traduction_de_Savary)/22" TargetMode="External"/><Relationship Id="rId10" Type="http://schemas.openxmlformats.org/officeDocument/2006/relationships/image" Target="media/image3.png"/><Relationship Id="rId31" Type="http://schemas.openxmlformats.org/officeDocument/2006/relationships/hyperlink" Target="http://www.alawfa.com" TargetMode="External"/><Relationship Id="rId44" Type="http://schemas.openxmlformats.org/officeDocument/2006/relationships/hyperlink" Target="http://www.al-amama.com/index.php?option=com_content&amp;task=view&amp;id=633" TargetMode="External"/><Relationship Id="rId52" Type="http://schemas.openxmlformats.org/officeDocument/2006/relationships/hyperlink" Target="http://www.traduction-litteraire.f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_rels/footnotes.xml.rels><?xml version="1.0" encoding="UTF-8" standalone="yes"?>
<Relationships xmlns="http://schemas.openxmlformats.org/package/2006/relationships"><Relationship Id="rId117" Type="http://schemas.openxmlformats.org/officeDocument/2006/relationships/hyperlink" Target="http://nabulsi.com/blue/ar/art.php?art=2626&amp;id=189&amp;sid=799&amp;ssid=805&amp;sssid=830" TargetMode="External"/><Relationship Id="rId21" Type="http://schemas.openxmlformats.org/officeDocument/2006/relationships/hyperlink" Target="http://www.dp-news.com/pages/detail.aspx?articleid=142128" TargetMode="External"/><Relationship Id="rId42" Type="http://schemas.openxmlformats.org/officeDocument/2006/relationships/hyperlink" Target="http://www.youtube.com/watch?v=o6VSh_-wAWg" TargetMode="External"/><Relationship Id="rId63" Type="http://schemas.openxmlformats.org/officeDocument/2006/relationships/hyperlink" Target="https://media.tafsir.net/ar/books//867/5653.pdf" TargetMode="External"/><Relationship Id="rId84" Type="http://schemas.openxmlformats.org/officeDocument/2006/relationships/hyperlink" Target="http://www.webmedcentral.com/article_view/2260" TargetMode="External"/><Relationship Id="rId138" Type="http://schemas.openxmlformats.org/officeDocument/2006/relationships/hyperlink" Target="http://lematin.ma/journal/2010/Hommage_Denise-Masson-une-amoureuse-du-Maroc/128077.html" TargetMode="External"/><Relationship Id="rId159" Type="http://schemas.openxmlformats.org/officeDocument/2006/relationships/hyperlink" Target="http://www.cerbafaso.org/textes/bioethique/html.index.htm" TargetMode="External"/><Relationship Id="rId170" Type="http://schemas.openxmlformats.org/officeDocument/2006/relationships/hyperlink" Target="http://www.cnrtl.fr/lexicographie/piti&#233;" TargetMode="External"/><Relationship Id="rId107" Type="http://schemas.openxmlformats.org/officeDocument/2006/relationships/hyperlink" Target="http://islam.misrians.com/ebooks/quran/&#1575;&#1604;&#1606;&#1592;&#1575;&#1605;%20&#1575;&#1604;&#1602;&#1585;&#1570;&#1606;&#1610;.pdf" TargetMode="External"/><Relationship Id="rId11" Type="http://schemas.openxmlformats.org/officeDocument/2006/relationships/hyperlink" Target="http://khair.ws/library/wp-content/uploads/2017/03/&#1575;&#1604;&#1575;&#1587;&#1604;&#1575;&#1605;-&#1575;&#1604;&#1605;&#1583;&#1606;&#1610;-&#1571;&#1581;&#1605;&#1583;-&#1575;&#1604;&#1602;&#1576;&#1575;&#1606;&#1580;&#1610;.pdf" TargetMode="External"/><Relationship Id="rId32" Type="http://schemas.openxmlformats.org/officeDocument/2006/relationships/hyperlink" Target="http://www.al-amama.com/index.php?option=com_content&amp;task=view&amp;id=633" TargetMode="External"/><Relationship Id="rId53" Type="http://schemas.openxmlformats.org/officeDocument/2006/relationships/hyperlink" Target="https://halshs.archives-ouvertes.fr/halshs-00006638/document" TargetMode="External"/><Relationship Id="rId74" Type="http://schemas.openxmlformats.org/officeDocument/2006/relationships/hyperlink" Target="https://www.youtube.com/watch?v=20AmDcp8Fz0" TargetMode="External"/><Relationship Id="rId128" Type="http://schemas.openxmlformats.org/officeDocument/2006/relationships/hyperlink" Target="http://doczz.fr/doc/2123790/catalogue-68" TargetMode="External"/><Relationship Id="rId149" Type="http://schemas.openxmlformats.org/officeDocument/2006/relationships/hyperlink" Target="http://www.nonfiction.fr/article.htm?articleID=2557&amp;categ=0&amp;page=3" TargetMode="External"/><Relationship Id="rId5" Type="http://schemas.openxmlformats.org/officeDocument/2006/relationships/hyperlink" Target="http://remmm.revues.org/7054" TargetMode="External"/><Relationship Id="rId95" Type="http://schemas.openxmlformats.org/officeDocument/2006/relationships/hyperlink" Target="http://library.islamweb.net/newlibrary/display_book.php?idfrom=66&amp;idto=85&amp;bk_no=67&amp;ID=78" TargetMode="External"/><Relationship Id="rId160" Type="http://schemas.openxmlformats.org/officeDocument/2006/relationships/hyperlink" Target="http://www.cerbafaso.org/textes/bioethique/bible_de_jerusalem.pdf" TargetMode="External"/><Relationship Id="rId181" Type="http://schemas.openxmlformats.org/officeDocument/2006/relationships/hyperlink" Target="http://articles.islamweb.net/media/index.php?page=article&amp;lang=A&amp;id=31105" TargetMode="External"/><Relationship Id="rId22" Type="http://schemas.openxmlformats.org/officeDocument/2006/relationships/hyperlink" Target="https://www.youtube.com/watch?v=I5XRATcH0PA" TargetMode="External"/><Relationship Id="rId43" Type="http://schemas.openxmlformats.org/officeDocument/2006/relationships/hyperlink" Target="http://download-date-history-pdf-ebooks.com/9729-free-book" TargetMode="External"/><Relationship Id="rId64" Type="http://schemas.openxmlformats.org/officeDocument/2006/relationships/hyperlink" Target="http://www.aljazeera.net/programs/religionandlife/2012/2/9/&#1575;&#1604;&#1573;&#1587;&#1604;&#1575;&#1605;-&#1608;&#1575;&#1604;&#1583;&#1608;&#1604;&#1577;-&#1575;&#1604;&#1605;&#1583;&#1606;&#1610;&#1577;" TargetMode="External"/><Relationship Id="rId118" Type="http://schemas.openxmlformats.org/officeDocument/2006/relationships/hyperlink" Target="http://www.youtube.com/watch?v=YoCK1FESSvU" TargetMode="External"/><Relationship Id="rId139" Type="http://schemas.openxmlformats.org/officeDocument/2006/relationships/hyperlink" Target="http://www.mehdi-azaiez.org/Cheikh-Si-Hamza-BOUBAKER-1912-1995" TargetMode="External"/><Relationship Id="rId85" Type="http://schemas.openxmlformats.org/officeDocument/2006/relationships/hyperlink" Target="http://new.islamahmadiyya.net/booksinner.asp?id=111" TargetMode="External"/><Relationship Id="rId150" Type="http://schemas.openxmlformats.org/officeDocument/2006/relationships/hyperlink" Target="http://www2.univ-paris8.fr/dela/etranger/pages/1-4/Davreu.pdf" TargetMode="External"/><Relationship Id="rId171" Type="http://schemas.openxmlformats.org/officeDocument/2006/relationships/hyperlink" Target="http://www.larousse.fr/dictionnaires/francais/piti&#233;/61222" TargetMode="External"/><Relationship Id="rId12" Type="http://schemas.openxmlformats.org/officeDocument/2006/relationships/hyperlink" Target="https://vb.tafsir.net/tafsir24079/" TargetMode="External"/><Relationship Id="rId33" Type="http://schemas.openxmlformats.org/officeDocument/2006/relationships/hyperlink" Target="https://www.littre.org/definition/miramolin" TargetMode="External"/><Relationship Id="rId108" Type="http://schemas.openxmlformats.org/officeDocument/2006/relationships/hyperlink" Target="http://www.internetactu.net" TargetMode="External"/><Relationship Id="rId129" Type="http://schemas.openxmlformats.org/officeDocument/2006/relationships/hyperlink" Target="http://stehly.chez-alice.fr/traduction.htm" TargetMode="External"/><Relationship Id="rId54" Type="http://schemas.openxmlformats.org/officeDocument/2006/relationships/hyperlink" Target="https://www.jstor.org/stable/4057635?seq=1" TargetMode="External"/><Relationship Id="rId75" Type="http://schemas.openxmlformats.org/officeDocument/2006/relationships/hyperlink" Target="https://www.youtube.com/watch?v=VoZgcXyThcY" TargetMode="External"/><Relationship Id="rId96" Type="http://schemas.openxmlformats.org/officeDocument/2006/relationships/hyperlink" Target="http://www.kaheel7.com/ar/index.php/2012-12-04-18-20-16/1277-2013-05-11-19-24-57" TargetMode="External"/><Relationship Id="rId140" Type="http://schemas.openxmlformats.org/officeDocument/2006/relationships/hyperlink" Target="http://www.lenoblecoran.fr/mohammed-chiadmi/" TargetMode="External"/><Relationship Id="rId161" Type="http://schemas.openxmlformats.org/officeDocument/2006/relationships/hyperlink" Target="http://portail.atilf.fr/cgi-bin/getobject_?a.107:209./var/artfla/encyclopedie/textdata/image/" TargetMode="External"/><Relationship Id="rId182" Type="http://schemas.openxmlformats.org/officeDocument/2006/relationships/hyperlink" Target="http://gallica.bnf.fr/ark:/12148/bpt6k109735r/f2.image" TargetMode="External"/><Relationship Id="rId6" Type="http://schemas.openxmlformats.org/officeDocument/2006/relationships/hyperlink" Target="http://library.islamweb.net/hadith/display_hbook.php?bk_no=82&amp;hid=2496&amp;pid=35735" TargetMode="External"/><Relationship Id="rId23" Type="http://schemas.openxmlformats.org/officeDocument/2006/relationships/hyperlink" Target="http://classiques.uqac.ca/classiques/weil_simone/lettre_a_un_religieux/lettre_a_un_religieux.pdf" TargetMode="External"/><Relationship Id="rId119" Type="http://schemas.openxmlformats.org/officeDocument/2006/relationships/hyperlink" Target="http://www.eajaz.org/index.php/Authority/The-most-important-achievements" TargetMode="External"/><Relationship Id="rId44" Type="http://schemas.openxmlformats.org/officeDocument/2006/relationships/hyperlink" Target="http://www.creativity.ps/library/data/1247261475300411.pdf" TargetMode="External"/><Relationship Id="rId65" Type="http://schemas.openxmlformats.org/officeDocument/2006/relationships/hyperlink" Target="https://www.youtube.com/watch?v=_LSe3RykiSA" TargetMode="External"/><Relationship Id="rId86" Type="http://schemas.openxmlformats.org/officeDocument/2006/relationships/hyperlink" Target="http://www.islam4u.com/ar/almojib/%D9%85%D9%86-%D9%87%D9%88-%D8%A7%D9%84%D9%83%D8%A7%D9%81%D8%B1-%D8%9F" TargetMode="External"/><Relationship Id="rId130" Type="http://schemas.openxmlformats.org/officeDocument/2006/relationships/hyperlink" Target="https://www.stehly-islamologie.fr/les-livres-saints-le-coran-et-la-sunna/le-coran/la-traduction-du-coran/" TargetMode="External"/><Relationship Id="rId151" Type="http://schemas.openxmlformats.org/officeDocument/2006/relationships/hyperlink" Target="https://www.erudit.org/fr/revues/ttr/2001-v14-n2-ttr409/000569ar.pdf" TargetMode="External"/><Relationship Id="rId172" Type="http://schemas.openxmlformats.org/officeDocument/2006/relationships/hyperlink" Target="http://www.lenoblecoran.fr/malek-chebel/" TargetMode="External"/><Relationship Id="rId13" Type="http://schemas.openxmlformats.org/officeDocument/2006/relationships/hyperlink" Target="http://fatwa.islamweb.net/fatwa/index.php?page=showfatwa&amp;Option=FatwaId&amp;Id=171021" TargetMode="External"/><Relationship Id="rId18" Type="http://schemas.openxmlformats.org/officeDocument/2006/relationships/hyperlink" Target="http://www.saaid.net/mktarat/hajj/131.htm" TargetMode="External"/><Relationship Id="rId39" Type="http://schemas.openxmlformats.org/officeDocument/2006/relationships/hyperlink" Target="http://articles.islamweb.net/media/print.php?id=190036" TargetMode="External"/><Relationship Id="rId109" Type="http://schemas.openxmlformats.org/officeDocument/2006/relationships/hyperlink" Target="http://www.internetactu.net/2011/06/29/la-theorie-argumentative-le-role-social-de-largumentation/" TargetMode="External"/><Relationship Id="rId34" Type="http://schemas.openxmlformats.org/officeDocument/2006/relationships/hyperlink" Target="http://littre.fracademic.com/43932/miramolin" TargetMode="External"/><Relationship Id="rId50" Type="http://schemas.openxmlformats.org/officeDocument/2006/relationships/hyperlink" Target="https://books.google.fr/books?id=RISfXyQKUasC&amp;pg=PR7-IA17&amp;dq=Mecque+arch&#233;ologie&amp;hl=fr&amp;sa=X&amp;ei=4dyNUZiUF8GyPMDtgHA&amp;ved=0CEQQ6AEwAg" TargetMode="External"/><Relationship Id="rId55" Type="http://schemas.openxmlformats.org/officeDocument/2006/relationships/hyperlink" Target="http://www.darululoom-deoband.com/arabic/magazine/tmp/1326780777fix4sub6file.htm" TargetMode="External"/><Relationship Id="rId76" Type="http://schemas.openxmlformats.org/officeDocument/2006/relationships/hyperlink" Target="https://www.youtube.com/watch?v=UK5HlDsCjYk" TargetMode="External"/><Relationship Id="rId97" Type="http://schemas.openxmlformats.org/officeDocument/2006/relationships/hyperlink" Target="http://www.leaders.com.tn/article/pelerinage-combien-ca-rapporte?id=3355" TargetMode="External"/><Relationship Id="rId104" Type="http://schemas.openxmlformats.org/officeDocument/2006/relationships/hyperlink" Target="http://www.dd-sunnah.net/records/view/action/view/id/2412/" TargetMode="External"/><Relationship Id="rId120" Type="http://schemas.openxmlformats.org/officeDocument/2006/relationships/hyperlink" Target="http://www.youtube.com/watch?v=eukeSapPtYc" TargetMode="External"/><Relationship Id="rId125" Type="http://schemas.openxmlformats.org/officeDocument/2006/relationships/hyperlink" Target="https://www.youtube.com/watch?v=QYNWi4whXWM" TargetMode="External"/><Relationship Id="rId141" Type="http://schemas.openxmlformats.org/officeDocument/2006/relationships/hyperlink" Target="http://www.arcre.org/p-maurice-borrmans-les-traductions-francaises-du-coran-presentation-et-evaluation/" TargetMode="External"/><Relationship Id="rId146" Type="http://schemas.openxmlformats.org/officeDocument/2006/relationships/hyperlink" Target="mailto:sami.aldeeb@yahoo.fr" TargetMode="External"/><Relationship Id="rId167" Type="http://schemas.openxmlformats.org/officeDocument/2006/relationships/hyperlink" Target="http://www.larousse.fr/dictionnaires/francais/savant_savante/71224" TargetMode="External"/><Relationship Id="rId7" Type="http://schemas.openxmlformats.org/officeDocument/2006/relationships/hyperlink" Target="http://library.islamweb.net/newlibrary/display_book.php?flag=1&amp;bk_no=6&amp;ID=20607" TargetMode="External"/><Relationship Id="rId71" Type="http://schemas.openxmlformats.org/officeDocument/2006/relationships/hyperlink" Target="http://library.islamweb.net/newlibrary/display_book.php?flag=1&amp;bk_no=61&amp;surano=22&amp;ayano=26" TargetMode="External"/><Relationship Id="rId92" Type="http://schemas.openxmlformats.org/officeDocument/2006/relationships/hyperlink" Target="http://www.alsharq.net.sa/2012/07/21/404231" TargetMode="External"/><Relationship Id="rId162" Type="http://schemas.openxmlformats.org/officeDocument/2006/relationships/hyperlink" Target="http://www.larousse.fr/dictionnaires/francais/voie/82370" TargetMode="External"/><Relationship Id="rId183" Type="http://schemas.openxmlformats.org/officeDocument/2006/relationships/hyperlink" Target="https://fr.wikisource.org/wiki/L'Alcoran_(Traduction_de_Du_Ryer)" TargetMode="External"/><Relationship Id="rId2" Type="http://schemas.openxmlformats.org/officeDocument/2006/relationships/hyperlink" Target="http://eduscol.education.fr/cid46655/l-approche-historique-des-figures-religieuses%C2%A0-muhammad.html" TargetMode="External"/><Relationship Id="rId29" Type="http://schemas.openxmlformats.org/officeDocument/2006/relationships/hyperlink" Target="https://www.youtube.com/watch?v=TLX7eJSC2SQ" TargetMode="External"/><Relationship Id="rId24" Type="http://schemas.openxmlformats.org/officeDocument/2006/relationships/hyperlink" Target="http://maaber.50megs.com/issue_december09/spiritual_traditions1_f.htm" TargetMode="External"/><Relationship Id="rId40" Type="http://schemas.openxmlformats.org/officeDocument/2006/relationships/hyperlink" Target="http://fatwa.islamweb.net/fatwa/index.php?page=showfatwa&amp;Option=FatwaId&amp;Id=63778" TargetMode="External"/><Relationship Id="rId45" Type="http://schemas.openxmlformats.org/officeDocument/2006/relationships/hyperlink" Target="http://islamport.com/d/1/mtn/1/103/3672.html" TargetMode="External"/><Relationship Id="rId66" Type="http://schemas.openxmlformats.org/officeDocument/2006/relationships/hyperlink" Target="https://www.youtube.com/watch?v=51Len6ohv9g" TargetMode="External"/><Relationship Id="rId87" Type="http://schemas.openxmlformats.org/officeDocument/2006/relationships/hyperlink" Target="http://www.aicp.ca/islamic-lessons/arabic/athaqafa-al-islamiyyah/faslu-al-aqaid/lesson13/" TargetMode="External"/><Relationship Id="rId110" Type="http://schemas.openxmlformats.org/officeDocument/2006/relationships/hyperlink" Target="http://library.islamweb.net/hadith/display_hbook.php?bk_no=158&amp;hid=1606&amp;pid=106613" TargetMode="External"/><Relationship Id="rId115" Type="http://schemas.openxmlformats.org/officeDocument/2006/relationships/hyperlink" Target="http://www.al-eman.com/index.htm" TargetMode="External"/><Relationship Id="rId131" Type="http://schemas.openxmlformats.org/officeDocument/2006/relationships/hyperlink" Target="https://www.forumfr.com/sujet388986-traduction-du-coran-par-kasimirski.html" TargetMode="External"/><Relationship Id="rId136" Type="http://schemas.openxmlformats.org/officeDocument/2006/relationships/hyperlink" Target="http://catalogue.bnf.fr/ark:/12148/cb12990895k" TargetMode="External"/><Relationship Id="rId157" Type="http://schemas.openxmlformats.org/officeDocument/2006/relationships/hyperlink" Target="http://www.cairn.info/revue-ela-2006-1-page-33.htm" TargetMode="External"/><Relationship Id="rId178" Type="http://schemas.openxmlformats.org/officeDocument/2006/relationships/hyperlink" Target="https://books.google.fr/books?id=evFQAwAAQBAJ&amp;pg=PA59&amp;lpg=PA59&amp;dq=%22foreignizing+strategy%22+%22Venuti%22&amp;source=bl&amp;ots=qT_7EzIDAY&amp;sig=B7JSM_q7CD8F6jdcbNFNgkl8xFY&amp;hl=fr&amp;sa=X&amp;ved=0ahUKEwij6bK0gNvVAhVCXRQKHWsnA8wQ6AEIVTAF" TargetMode="External"/><Relationship Id="rId61" Type="http://schemas.openxmlformats.org/officeDocument/2006/relationships/hyperlink" Target="http://www.altafsir.com/Books/IbnAbbas.pdf" TargetMode="External"/><Relationship Id="rId82" Type="http://schemas.openxmlformats.org/officeDocument/2006/relationships/hyperlink" Target="http://library.islamweb.net/newlibrary/display_book.php?bk_no=58&amp;ID=242&amp;idfrom=323&amp;idto=330&amp;bookid=58&amp;startno=6" TargetMode="External"/><Relationship Id="rId152" Type="http://schemas.openxmlformats.org/officeDocument/2006/relationships/hyperlink" Target="http://ia801400.us.archive.org/18/items/BALAGHA_968//MOUJAZ.pdf" TargetMode="External"/><Relationship Id="rId173" Type="http://schemas.openxmlformats.org/officeDocument/2006/relationships/hyperlink" Target="http://abbasarhila.blogspot.fr/2015/11/blog-post_9.html" TargetMode="External"/><Relationship Id="rId19" Type="http://schemas.openxmlformats.org/officeDocument/2006/relationships/hyperlink" Target="https://www.erudit.org/en/journals/spirale/2004-n197-spirale1057835/19386ac.pdf" TargetMode="External"/><Relationship Id="rId14" Type="http://schemas.openxmlformats.org/officeDocument/2006/relationships/hyperlink" Target="http://www.ahl-alquran.com/arabic/show_article.php?main_id=2730" TargetMode="External"/><Relationship Id="rId30" Type="http://schemas.openxmlformats.org/officeDocument/2006/relationships/hyperlink" Target="http://www.islamweb.net/fatwa/index.php?page=showfatwa&amp;Option=FatwaId&amp;Id=25002" TargetMode="External"/><Relationship Id="rId35" Type="http://schemas.openxmlformats.org/officeDocument/2006/relationships/hyperlink" Target="https://fr.wiktionary.org/wiki/miramolin" TargetMode="External"/><Relationship Id="rId56" Type="http://schemas.openxmlformats.org/officeDocument/2006/relationships/hyperlink" Target="http://referenceworks.brillonline.com/entries/encyclopedie-de-l-islam/*-SIM_7294" TargetMode="External"/><Relationship Id="rId77" Type="http://schemas.openxmlformats.org/officeDocument/2006/relationships/hyperlink" Target="https://www.youtube.com/watch?v=xI4GHz5eYi0" TargetMode="External"/><Relationship Id="rId100" Type="http://schemas.openxmlformats.org/officeDocument/2006/relationships/hyperlink" Target="http://vb.tafsir.net/tafsir28856/" TargetMode="External"/><Relationship Id="rId105" Type="http://schemas.openxmlformats.org/officeDocument/2006/relationships/hyperlink" Target="http://www.ctm-grenoble.org/photos/bonus/LACRAINTEDEDIEU.pdf" TargetMode="External"/><Relationship Id="rId126" Type="http://schemas.openxmlformats.org/officeDocument/2006/relationships/hyperlink" Target="http://www.arcre.org/2014/10/19/p-maurice-borrmans-les-traductions-francaises-du-coran-presentation-et-evaluation/" TargetMode="External"/><Relationship Id="rId147" Type="http://schemas.openxmlformats.org/officeDocument/2006/relationships/hyperlink" Target="mailto:idazg@unive.it" TargetMode="External"/><Relationship Id="rId168" Type="http://schemas.openxmlformats.org/officeDocument/2006/relationships/hyperlink" Target="http://www.muhammad-pbuh.com/ar/?p=635" TargetMode="External"/><Relationship Id="rId8" Type="http://schemas.openxmlformats.org/officeDocument/2006/relationships/hyperlink" Target="http://www.blog.sami-aldeeb.com/2015/07/26/le-coran-texte-revele-ou-texte-traduit" TargetMode="External"/><Relationship Id="rId51" Type="http://schemas.openxmlformats.org/officeDocument/2006/relationships/hyperlink" Target="https://www.opendemocracy.net/faith-europe_islam/mohammed_3866.jsp" TargetMode="External"/><Relationship Id="rId72" Type="http://schemas.openxmlformats.org/officeDocument/2006/relationships/hyperlink" Target="https://vb.tafsir.net/tafsir6555/" TargetMode="External"/><Relationship Id="rId93" Type="http://schemas.openxmlformats.org/officeDocument/2006/relationships/hyperlink" Target="http://www.mouwahidoundruze.gov.lb/fr/bayanatm66.php" TargetMode="External"/><Relationship Id="rId98" Type="http://schemas.openxmlformats.org/officeDocument/2006/relationships/hyperlink" Target="http://www.ajib.fr/2010/11/hajj-haj-business/" TargetMode="External"/><Relationship Id="rId121" Type="http://schemas.openxmlformats.org/officeDocument/2006/relationships/hyperlink" Target="http://www.alislam.org/" TargetMode="External"/><Relationship Id="rId142" Type="http://schemas.openxmlformats.org/officeDocument/2006/relationships/hyperlink" Target="http://www.ahewar.org/debat/show.art.asp?aid=334921" TargetMode="External"/><Relationship Id="rId163" Type="http://schemas.openxmlformats.org/officeDocument/2006/relationships/hyperlink" Target="http://www.larousse.fr/dictionnaires/francais/chemin/15074" TargetMode="External"/><Relationship Id="rId184" Type="http://schemas.openxmlformats.org/officeDocument/2006/relationships/hyperlink" Target="https://fr.wikisource.org/wiki/Le_Coran_(Traduction_de_Savary)" TargetMode="External"/><Relationship Id="rId3" Type="http://schemas.openxmlformats.org/officeDocument/2006/relationships/hyperlink" Target="http://dx.doi.org/10.1163/9789004206106_eifo_SIM_7294" TargetMode="External"/><Relationship Id="rId25" Type="http://schemas.openxmlformats.org/officeDocument/2006/relationships/hyperlink" Target="https://books.google.fr/books?id=7LJUAAAAcAAJ&amp;printsec=frontcover&amp;dq=inauthor:%22vulgo+Qara+Halil+Halil+ibn+Hasan+'Amirzade%22&amp;hl=fr&amp;sa=X&amp;ved=0ahUKEwilxuaI4v_UAhVEBBoKHeIQDmIQ6AEIJzAA" TargetMode="External"/><Relationship Id="rId46" Type="http://schemas.openxmlformats.org/officeDocument/2006/relationships/hyperlink" Target="http://islamport.com/d/1/mtn/1/68/2436.html" TargetMode="External"/><Relationship Id="rId67" Type="http://schemas.openxmlformats.org/officeDocument/2006/relationships/hyperlink" Target="http://library.islamweb.net/newlibrary/display_book.php?idfrom=3420&amp;idto=3420&amp;bk_no=50&amp;ID=3443" TargetMode="External"/><Relationship Id="rId116" Type="http://schemas.openxmlformats.org/officeDocument/2006/relationships/hyperlink" Target="http://www.helsinki.fi/jarj/ufy/Varia_final.pdf" TargetMode="External"/><Relationship Id="rId137" Type="http://schemas.openxmlformats.org/officeDocument/2006/relationships/hyperlink" Target="http://www.maghress.com/fr/lesoir/33635" TargetMode="External"/><Relationship Id="rId158" Type="http://schemas.openxmlformats.org/officeDocument/2006/relationships/hyperlink" Target="http://www.aljazeera.net/programs/religionandlife/2012/2/9/&#1575;&#1604;&#1573;&#1587;&#1604;&#1575;&#1605;-&#1608;&#1575;&#1604;&#1583;&#1608;&#1604;&#1577;-&#1575;&#1604;&#1605;&#1583;&#1606;&#1610;&#1577;" TargetMode="External"/><Relationship Id="rId20" Type="http://schemas.openxmlformats.org/officeDocument/2006/relationships/hyperlink" Target="http://thawra.alwehda.gov.sy/_View_news2.asp?FileName=65197172820130311014542" TargetMode="External"/><Relationship Id="rId41" Type="http://schemas.openxmlformats.org/officeDocument/2006/relationships/hyperlink" Target="http://www.onislam.net/arabic/ask-the-scholar/8275/8248/46250-2004-08-01%2017-37-04.html" TargetMode="External"/><Relationship Id="rId62" Type="http://schemas.openxmlformats.org/officeDocument/2006/relationships/hyperlink" Target="http://www.damascusuniversity.edu.sy/mag/law/old/economics/2003/19-2/alsharbaji.pdf" TargetMode="External"/><Relationship Id="rId83" Type="http://schemas.openxmlformats.org/officeDocument/2006/relationships/hyperlink" Target="http://www.ahewar.org/debat/show.art.asp?aid=362820" TargetMode="External"/><Relationship Id="rId88" Type="http://schemas.openxmlformats.org/officeDocument/2006/relationships/hyperlink" Target="http://fatwa.islamweb.net/fatwa/index.php?page=showfatwa&amp;Option=FatwaId&amp;Id=132221" TargetMode="External"/><Relationship Id="rId111" Type="http://schemas.openxmlformats.org/officeDocument/2006/relationships/hyperlink" Target="http://www.atlantico.fr/decryptage/coran-texte-opaque-obscur-degage-force-unite-cachee-judaisme-christianisme-islam-antoine-schwarz-333021.html" TargetMode="External"/><Relationship Id="rId132" Type="http://schemas.openxmlformats.org/officeDocument/2006/relationships/hyperlink" Target="https://www.bladi.info/threads/traduction-coran-choisir.420507/" TargetMode="External"/><Relationship Id="rId153" Type="http://schemas.openxmlformats.org/officeDocument/2006/relationships/hyperlink" Target="http://islamiyyat.3abber.com/post/221981" TargetMode="External"/><Relationship Id="rId174" Type="http://schemas.openxmlformats.org/officeDocument/2006/relationships/hyperlink" Target="http://www.jameataleman.org/main/articles.aspx?article_no=1820" TargetMode="External"/><Relationship Id="rId179" Type="http://schemas.openxmlformats.org/officeDocument/2006/relationships/hyperlink" Target="http://www.siff.us.es/iberjoyce/wp-content/uploads/2013/11/PoJ-13-Domesticating-Venuti-Torresi-91-102.pdf" TargetMode="External"/><Relationship Id="rId15" Type="http://schemas.openxmlformats.org/officeDocument/2006/relationships/hyperlink" Target="https://books.google.fr/books?id=DPsiDgAAQBAJ&amp;pg=PT155&amp;lpg=PT155&amp;dq=&#1608;&#1607;&#1584;&#1575;+&#1580;&#1586;&#1569;+&#1605;&#1606;+&#1573;&#1593;&#1580;&#1575;&#1586;&#1607;+&#1608;&#1604;&#1610;&#1587;+&#1593;&#1610;&#1576;&#1575;&#1611;+&#1601;&#1610;&#1607;&amp;source=bl&amp;ots=DUBH-r4DK4&amp;sig=a2X3smbegCoa0svRC85sytneP28&amp;hl=fr&amp;sa=X&amp;ved=0ahUKEwi_x5fC8vvUAhVH7BQKHYgIBsAQ6AEIJTAA" TargetMode="External"/><Relationship Id="rId36" Type="http://schemas.openxmlformats.org/officeDocument/2006/relationships/hyperlink" Target="http://rchss.com/ar/" TargetMode="External"/><Relationship Id="rId57" Type="http://schemas.openxmlformats.org/officeDocument/2006/relationships/hyperlink" Target="http://litterature.ens-lyon.fr/litterature/dossiers/theories-litteraires/reception/eco/?searchterm=eco" TargetMode="External"/><Relationship Id="rId106" Type="http://schemas.openxmlformats.org/officeDocument/2006/relationships/hyperlink" Target="http://www.druzenet.net/dn-a-abnanour.html" TargetMode="External"/><Relationship Id="rId127" Type="http://schemas.openxmlformats.org/officeDocument/2006/relationships/hyperlink" Target="http://dev.slam.ilab.org/catalog_view/623/623_56p.pdf" TargetMode="External"/><Relationship Id="rId10" Type="http://schemas.openxmlformats.org/officeDocument/2006/relationships/hyperlink" Target="http://www.helsinki.fi/jarj/ufy/Varia_final.pdf" TargetMode="External"/><Relationship Id="rId31" Type="http://schemas.openxmlformats.org/officeDocument/2006/relationships/hyperlink" Target="http://www.druzenet.net/dn-a-abnanour.html" TargetMode="External"/><Relationship Id="rId52" Type="http://schemas.openxmlformats.org/officeDocument/2006/relationships/hyperlink" Target="http://moodle.huji.ac.il/hu11/file.php/16423/Crone_what_we_know_Muhammad.pdf" TargetMode="External"/><Relationship Id="rId73" Type="http://schemas.openxmlformats.org/officeDocument/2006/relationships/hyperlink" Target="http://www.netfornet.4t.com/" TargetMode="External"/><Relationship Id="rId78" Type="http://schemas.openxmlformats.org/officeDocument/2006/relationships/hyperlink" Target="http://islammemo.cc/akhbar/arab/2014/10/20/212906.html" TargetMode="External"/><Relationship Id="rId94" Type="http://schemas.openxmlformats.org/officeDocument/2006/relationships/hyperlink" Target="http://www.alawfa.com/Go.aspx?keyword=%D8%A7%D9%84%D9%86%D8%A7%D8%B3&amp;start=0&amp;page=1" TargetMode="External"/><Relationship Id="rId99" Type="http://schemas.openxmlformats.org/officeDocument/2006/relationships/hyperlink" Target="http://www.tafsir.net/vb/tafsir28856/" TargetMode="External"/><Relationship Id="rId101" Type="http://schemas.openxmlformats.org/officeDocument/2006/relationships/hyperlink" Target="http://www.maaber.org/issue_june13/spotlights3.htm" TargetMode="External"/><Relationship Id="rId122" Type="http://schemas.openxmlformats.org/officeDocument/2006/relationships/hyperlink" Target="http://www.islam-ahmadiyya.org/" TargetMode="External"/><Relationship Id="rId143" Type="http://schemas.openxmlformats.org/officeDocument/2006/relationships/hyperlink" Target="http://www.blog.sami-aldeeb.com/2012/12/02/mon-experience-avec-les-editeurs/" TargetMode="External"/><Relationship Id="rId148" Type="http://schemas.openxmlformats.org/officeDocument/2006/relationships/hyperlink" Target="http://www.nonfiction.fr/" TargetMode="External"/><Relationship Id="rId164" Type="http://schemas.openxmlformats.org/officeDocument/2006/relationships/hyperlink" Target="http://www.cnrtl.fr/lexicographie/office" TargetMode="External"/><Relationship Id="rId169" Type="http://schemas.openxmlformats.org/officeDocument/2006/relationships/hyperlink" Target="http://www.mosquee-lyon.org/forum3/index.php?topic=41427.0;wap2" TargetMode="External"/><Relationship Id="rId185" Type="http://schemas.openxmlformats.org/officeDocument/2006/relationships/hyperlink" Target="http://www.lenoblecoran.fr/claude-etienne-savary/" TargetMode="External"/><Relationship Id="rId4" Type="http://schemas.openxmlformats.org/officeDocument/2006/relationships/hyperlink" Target="https://www.baglis.tv/ame/mystique/379-l-exegese-mystique-du-coran.html" TargetMode="External"/><Relationship Id="rId9" Type="http://schemas.openxmlformats.org/officeDocument/2006/relationships/hyperlink" Target="http://www.ahewar.org/debat/show.art.asp?aid=341103" TargetMode="External"/><Relationship Id="rId180" Type="http://schemas.openxmlformats.org/officeDocument/2006/relationships/hyperlink" Target="http://www.tafsir.net/vb/tafsir7800/" TargetMode="External"/><Relationship Id="rId26" Type="http://schemas.openxmlformats.org/officeDocument/2006/relationships/hyperlink" Target="http://dspace.mediu.edu.my:8181/jspui/bitstream/123456789/99620/1/&#1575;&#1604;&#1602;&#1610;&#1575;&#1587;%20&#1608;&#1605;&#1603;&#1575;&#1606;&#1578;&#1607;%20&#1601;&#1610;%20&#1575;&#1604;&#1605;&#1606;&#1591;&#1602;%20&#1575;&#1604;&#1610;&#1608;&#1606;&#1575;&#1606;&#1610;.pdf" TargetMode="External"/><Relationship Id="rId47" Type="http://schemas.openxmlformats.org/officeDocument/2006/relationships/hyperlink" Target="https://books.google.fr/books?id=D4NHCwAAQBAJ&amp;printsec=frontcover&amp;hl=fr&amp;source=gbs_ge_summary_r&amp;cad=0" TargetMode="External"/><Relationship Id="rId68" Type="http://schemas.openxmlformats.org/officeDocument/2006/relationships/hyperlink" Target="http://praxematique.revues.org/3451" TargetMode="External"/><Relationship Id="rId89" Type="http://schemas.openxmlformats.org/officeDocument/2006/relationships/hyperlink" Target="http://fatwa.islamweb.net/fatwa/index.php?page=showfatwa&amp;Option=FatwaId&amp;Id=108688" TargetMode="External"/><Relationship Id="rId112" Type="http://schemas.openxmlformats.org/officeDocument/2006/relationships/hyperlink" Target="http://www.al-amama.com/index.php?option=com_content&amp;task=view&amp;id=633" TargetMode="External"/><Relationship Id="rId133" Type="http://schemas.openxmlformats.org/officeDocument/2006/relationships/hyperlink" Target="https://books.google.be/books?id=teG1lRngrEIC&amp;pg=PA31&amp;hl=fr" TargetMode="External"/><Relationship Id="rId154" Type="http://schemas.openxmlformats.org/officeDocument/2006/relationships/hyperlink" Target="http://www.le-tresor-de-la-langue.fr/definition/chemise" TargetMode="External"/><Relationship Id="rId175" Type="http://schemas.openxmlformats.org/officeDocument/2006/relationships/hyperlink" Target="http://nabulsi.com/blue/ar/artp.php?art=3258" TargetMode="External"/><Relationship Id="rId16" Type="http://schemas.openxmlformats.org/officeDocument/2006/relationships/hyperlink" Target="http://articles.islamweb.net/Media/index.php?page=article&amp;lang=A&amp;id=63232" TargetMode="External"/><Relationship Id="rId37" Type="http://schemas.openxmlformats.org/officeDocument/2006/relationships/hyperlink" Target="http://www.nabulsi.com/blue/ar/art.php?art=11001" TargetMode="External"/><Relationship Id="rId58" Type="http://schemas.openxmlformats.org/officeDocument/2006/relationships/hyperlink" Target="https://vb.tafsir.net/tafsir27852/" TargetMode="External"/><Relationship Id="rId79" Type="http://schemas.openxmlformats.org/officeDocument/2006/relationships/hyperlink" Target="http://corpus.quran.com/qurandictionary.jsp?q=rbb" TargetMode="External"/><Relationship Id="rId102" Type="http://schemas.openxmlformats.org/officeDocument/2006/relationships/hyperlink" Target="http://www.islamizeme.com/" TargetMode="External"/><Relationship Id="rId123" Type="http://schemas.openxmlformats.org/officeDocument/2006/relationships/hyperlink" Target="http://www.at-tawhid.net/article-les-qadiyanites-et-leur-mecreance-ahmad-mash-hur-al-haddad-47119605.html" TargetMode="External"/><Relationship Id="rId144" Type="http://schemas.openxmlformats.org/officeDocument/2006/relationships/hyperlink" Target="http://library.islamweb.net/newlibrary/display_book.php?idfrom=43&amp;idto=43&amp;bk_no=68&amp;ID=50" TargetMode="External"/><Relationship Id="rId90" Type="http://schemas.openxmlformats.org/officeDocument/2006/relationships/hyperlink" Target="http://www.lemessieetsonprophete.com/annexes/kfr.htm" TargetMode="External"/><Relationship Id="rId165" Type="http://schemas.openxmlformats.org/officeDocument/2006/relationships/hyperlink" Target="http://library.islamweb.net/newlibrary/display_book.php?idfrom=7071&amp;idto=7073&amp;bk_no=74&amp;ID=3078" TargetMode="External"/><Relationship Id="rId186" Type="http://schemas.openxmlformats.org/officeDocument/2006/relationships/hyperlink" Target="http://www.lenoblecoran.fr/albert-kazimirski/" TargetMode="External"/><Relationship Id="rId27" Type="http://schemas.openxmlformats.org/officeDocument/2006/relationships/hyperlink" Target="http://www.t1t.net/download/716.doc" TargetMode="External"/><Relationship Id="rId48" Type="http://schemas.openxmlformats.org/officeDocument/2006/relationships/hyperlink" Target="http://library.islamweb.net/newlibrary/display_book.php?flag=1&amp;bk_no=50&amp;surano=16&amp;ayano=44" TargetMode="External"/><Relationship Id="rId69" Type="http://schemas.openxmlformats.org/officeDocument/2006/relationships/hyperlink" Target="http://shamela.ws/index.php/book/1083" TargetMode="External"/><Relationship Id="rId113" Type="http://schemas.openxmlformats.org/officeDocument/2006/relationships/hyperlink" Target="http://www.persee.fr/doc/remmm_0997-1327_1993_num_68_1_2575_t1_0293_0000_1" TargetMode="External"/><Relationship Id="rId134" Type="http://schemas.openxmlformats.org/officeDocument/2006/relationships/hyperlink" Target="http://www.sudoc.abes.fr/xslt//DB=2.1/SET=3/TTL=1/SHW?FRST=3" TargetMode="External"/><Relationship Id="rId80" Type="http://schemas.openxmlformats.org/officeDocument/2006/relationships/hyperlink" Target="http://biblehub.com/hebrew/113.htm" TargetMode="External"/><Relationship Id="rId155" Type="http://schemas.openxmlformats.org/officeDocument/2006/relationships/hyperlink" Target="http://www.al-eman.com" TargetMode="External"/><Relationship Id="rId176" Type="http://schemas.openxmlformats.org/officeDocument/2006/relationships/image" Target="media/image17.tiff"/><Relationship Id="rId17" Type="http://schemas.openxmlformats.org/officeDocument/2006/relationships/hyperlink" Target="http://www.alukah.net/sharia/0/112078/" TargetMode="External"/><Relationship Id="rId38" Type="http://schemas.openxmlformats.org/officeDocument/2006/relationships/hyperlink" Target="https://books.google.fr/books?id=aFYIDAAAQBAJ&amp;printsec=frontcover&amp;hl=fr&amp;source=gbs_ge_summary_r&amp;cad=0" TargetMode="External"/><Relationship Id="rId59" Type="http://schemas.openxmlformats.org/officeDocument/2006/relationships/hyperlink" Target="http://library.islamweb.net/newlibrary/display_book.php?idfrom=6&amp;idto=6&amp;bk_no=50&amp;ID=7" TargetMode="External"/><Relationship Id="rId103" Type="http://schemas.openxmlformats.org/officeDocument/2006/relationships/hyperlink" Target="http://www.nabulsi.com/blue/ar/print.php?art=2587" TargetMode="External"/><Relationship Id="rId124" Type="http://schemas.openxmlformats.org/officeDocument/2006/relationships/hyperlink" Target="http://www.lesclesdumoyenorient.com/Compte-rendu-de-la-conference-de-1280.html" TargetMode="External"/><Relationship Id="rId70" Type="http://schemas.openxmlformats.org/officeDocument/2006/relationships/hyperlink" Target="http://vb.tafsir.net/tafsir21145/" TargetMode="External"/><Relationship Id="rId91" Type="http://schemas.openxmlformats.org/officeDocument/2006/relationships/hyperlink" Target="http://www.alukah.net/Web/khair/11140/38015" TargetMode="External"/><Relationship Id="rId145" Type="http://schemas.openxmlformats.org/officeDocument/2006/relationships/hyperlink" Target="http://www.ahewar.org/debat/show.art.asp?aid=567933" TargetMode="External"/><Relationship Id="rId166" Type="http://schemas.openxmlformats.org/officeDocument/2006/relationships/hyperlink" Target="http://shamela.ws/browse.php/book-147/page-83" TargetMode="External"/><Relationship Id="rId187" Type="http://schemas.openxmlformats.org/officeDocument/2006/relationships/hyperlink" Target="http://mediathequetetouan.institutfrancais-maroc.com/opac/index.php?lvl=author_see&amp;id=14226" TargetMode="External"/><Relationship Id="rId1" Type="http://schemas.openxmlformats.org/officeDocument/2006/relationships/hyperlink" Target="http://lesdefinitions.fr/texte-litteraire" TargetMode="External"/><Relationship Id="rId28" Type="http://schemas.openxmlformats.org/officeDocument/2006/relationships/hyperlink" Target="https://docs.google.com/file/d/0B8T3WZHUTpuZcXR3eF84UUpEVEk/edit" TargetMode="External"/><Relationship Id="rId49" Type="http://schemas.openxmlformats.org/officeDocument/2006/relationships/hyperlink" Target="http://www.mechon-mamre.org/p/pt/pt0203.htm" TargetMode="External"/><Relationship Id="rId114" Type="http://schemas.openxmlformats.org/officeDocument/2006/relationships/hyperlink" Target="https://ar.islamway.net/book/26151/&#1601;&#1610;-&#1592;&#1604;&#1575;&#1604;-&#1575;&#1604;&#1602;&#1585;&#1570;&#1606;-&#1605;&#1601;&#1607;&#1585;&#1587;" TargetMode="External"/><Relationship Id="rId60" Type="http://schemas.openxmlformats.org/officeDocument/2006/relationships/hyperlink" Target="https://halshs.archives-ouvertes.fr/halshs-00643875" TargetMode="External"/><Relationship Id="rId81" Type="http://schemas.openxmlformats.org/officeDocument/2006/relationships/hyperlink" Target="http://library.islamweb.net/newlibrary/display_book.php?idfrom=2359&amp;idto=2359&amp;bk_no=48&amp;ID=1795" TargetMode="External"/><Relationship Id="rId135" Type="http://schemas.openxmlformats.org/officeDocument/2006/relationships/hyperlink" Target="http://www.mawsouaa.tn/wiki/&#1606;&#1608;&#1585;_&#1575;&#1604;&#1583;&#1610;&#1606;_&#1576;&#1606;_&#1605;&#1581;&#1605;&#1608;&#1583;" TargetMode="External"/><Relationship Id="rId156" Type="http://schemas.openxmlformats.org/officeDocument/2006/relationships/hyperlink" Target="https://books.google.fr/books?id=xVzP_aMPm_MC&amp;dq=&#1607;&#1575;&#1605;&#1583;&#1577;+&#1605;&#1594;&#1576;&#1585;&#1577;+&#1576;&#1604;&#1594;&#1577;+&#1607;&#1584;&#1610;&#1604;&amp;hl=fr&amp;source=gbs_navlinks_s" TargetMode="External"/><Relationship Id="rId177" Type="http://schemas.openxmlformats.org/officeDocument/2006/relationships/hyperlink" Target="http://nabulsi.com/blue/ar/artp.php?art=43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6E6224-BD64-9E48-BAFE-9F22968D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596</Pages>
  <Words>192116</Words>
  <Characters>1056642</Characters>
  <Application>Microsoft Office Word</Application>
  <DocSecurity>0</DocSecurity>
  <Lines>8805</Lines>
  <Paragraphs>2492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ADEL Maxime</cp:lastModifiedBy>
  <cp:revision>66</cp:revision>
  <cp:lastPrinted>2017-09-06T10:11:00Z</cp:lastPrinted>
  <dcterms:created xsi:type="dcterms:W3CDTF">2017-09-06T10:48:00Z</dcterms:created>
  <dcterms:modified xsi:type="dcterms:W3CDTF">2019-02-07T14:47:00Z</dcterms:modified>
</cp:coreProperties>
</file>